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5F49C" w14:textId="2F6EA962" w:rsidR="00A6709A" w:rsidRPr="00B53F89" w:rsidRDefault="00A6709A" w:rsidP="00A6709A">
      <w:pPr>
        <w:pStyle w:val="ACMAReportTitle"/>
      </w:pPr>
      <w:r w:rsidRPr="00B53F89">
        <w:t>Five-year spectrum outlook</w:t>
      </w:r>
    </w:p>
    <w:p w14:paraId="5FE5D78A" w14:textId="2E13A705" w:rsidR="00F06E14" w:rsidRPr="00B53F89" w:rsidRDefault="00A6709A" w:rsidP="00A51D1A">
      <w:pPr>
        <w:pStyle w:val="ACMAReportTitle"/>
      </w:pPr>
      <w:r w:rsidRPr="00B53F89">
        <w:t>20</w:t>
      </w:r>
      <w:r w:rsidR="00CF7A91">
        <w:t>20</w:t>
      </w:r>
      <w:r w:rsidRPr="00B53F89">
        <w:t>–2</w:t>
      </w:r>
      <w:r w:rsidR="00CF7A91">
        <w:t>4</w:t>
      </w:r>
    </w:p>
    <w:p w14:paraId="0F8AC54B" w14:textId="67F36DF8" w:rsidR="00F06E14" w:rsidRPr="00B53F89" w:rsidRDefault="00A6709A" w:rsidP="00F06E14">
      <w:pPr>
        <w:pStyle w:val="ACMAReportSubTitle"/>
      </w:pPr>
      <w:r w:rsidRPr="00B53F89">
        <w:t>The ACMA’s spectrum management work</w:t>
      </w:r>
      <w:r w:rsidR="007B0B47" w:rsidRPr="00B53F89">
        <w:t> </w:t>
      </w:r>
      <w:r w:rsidRPr="00B53F89">
        <w:t>progra</w:t>
      </w:r>
      <w:r w:rsidR="00883511" w:rsidRPr="00B53F89">
        <w:t>m</w:t>
      </w:r>
      <w:r w:rsidR="0080282C">
        <w:t>—</w:t>
      </w:r>
      <w:r w:rsidR="00D6580E">
        <w:t>consultation</w:t>
      </w:r>
      <w:r w:rsidR="007422A4" w:rsidRPr="001D6837">
        <w:t xml:space="preserve"> draft</w:t>
      </w:r>
      <w:r w:rsidR="00332315">
        <w:t xml:space="preserve"> </w:t>
      </w:r>
    </w:p>
    <w:p w14:paraId="59BF80E5" w14:textId="1E2BA480" w:rsidR="00F06E14" w:rsidRPr="00B53F89" w:rsidRDefault="00A84AF8" w:rsidP="003428B2">
      <w:pPr>
        <w:pStyle w:val="ACMAReportDate"/>
        <w:spacing w:after="240"/>
      </w:pPr>
      <w:r>
        <w:t>April</w:t>
      </w:r>
      <w:r w:rsidR="007422A4">
        <w:t xml:space="preserve"> </w:t>
      </w:r>
      <w:r w:rsidR="00CF7A91">
        <w:t>2020</w:t>
      </w:r>
    </w:p>
    <w:p w14:paraId="22C0C94E" w14:textId="77777777" w:rsidR="00C97736" w:rsidRPr="00B53F89" w:rsidRDefault="00D3165D" w:rsidP="00C7245A">
      <w:pPr>
        <w:rPr>
          <w:rFonts w:cs="Arial"/>
        </w:rPr>
        <w:sectPr w:rsidR="00C97736" w:rsidRPr="00B53F89" w:rsidSect="00E97880">
          <w:headerReference w:type="default" r:id="rId8"/>
          <w:footerReference w:type="default" r:id="rId9"/>
          <w:headerReference w:type="first" r:id="rId10"/>
          <w:pgSz w:w="11906" w:h="16838" w:code="9"/>
          <w:pgMar w:top="3924" w:right="1797" w:bottom="1440" w:left="1134" w:header="709" w:footer="454" w:gutter="0"/>
          <w:cols w:space="708"/>
          <w:docGrid w:linePitch="360"/>
        </w:sectPr>
      </w:pPr>
      <w:r w:rsidRPr="00B53F89">
        <w:rPr>
          <w:rFonts w:cs="Arial"/>
        </w:rPr>
        <w:tab/>
      </w:r>
    </w:p>
    <w:p w14:paraId="58F76F54" w14:textId="77777777" w:rsidR="0005011A" w:rsidRPr="00B53F89" w:rsidRDefault="0005011A" w:rsidP="00C7245A">
      <w:pPr>
        <w:pStyle w:val="ACMACorporateAddressHeader"/>
      </w:pPr>
      <w:r w:rsidRPr="00B53F89">
        <w:lastRenderedPageBreak/>
        <w:t>Canberra</w:t>
      </w:r>
      <w:r w:rsidR="00D3165D" w:rsidRPr="00B53F89">
        <w:tab/>
      </w:r>
    </w:p>
    <w:p w14:paraId="2776D9FC" w14:textId="77777777" w:rsidR="0005011A" w:rsidRPr="00B53F89" w:rsidRDefault="0005011A" w:rsidP="00FC07B9">
      <w:pPr>
        <w:pStyle w:val="ACMACorporateAddresses"/>
      </w:pPr>
      <w:r w:rsidRPr="00B53F89">
        <w:t xml:space="preserve">Red Building </w:t>
      </w:r>
      <w:r w:rsidRPr="00B53F89">
        <w:br/>
        <w:t>Benjamin Offices</w:t>
      </w:r>
      <w:r w:rsidRPr="00B53F89">
        <w:br/>
        <w:t xml:space="preserve">Chan Street </w:t>
      </w:r>
      <w:r w:rsidRPr="00B53F89">
        <w:br/>
        <w:t>Belconnen ACT</w:t>
      </w:r>
    </w:p>
    <w:p w14:paraId="159564AD" w14:textId="77777777" w:rsidR="0005011A" w:rsidRPr="00B53F89" w:rsidRDefault="0005011A" w:rsidP="00FC07B9">
      <w:pPr>
        <w:pStyle w:val="ACMACorporateAddresses"/>
      </w:pPr>
      <w:r w:rsidRPr="00B53F89">
        <w:t>PO Box 78</w:t>
      </w:r>
      <w:r w:rsidRPr="00B53F89">
        <w:br/>
        <w:t>Belconnen ACT 2616</w:t>
      </w:r>
    </w:p>
    <w:p w14:paraId="1F44094E" w14:textId="77777777" w:rsidR="00FE1823" w:rsidRPr="00B53F89" w:rsidRDefault="0005011A" w:rsidP="00FC07B9">
      <w:pPr>
        <w:pStyle w:val="ACMACorporateAddresses"/>
      </w:pPr>
      <w:r w:rsidRPr="00B53F89">
        <w:t>T</w:t>
      </w:r>
      <w:r w:rsidR="00537604" w:rsidRPr="00B53F89">
        <w:tab/>
      </w:r>
      <w:r w:rsidRPr="00B53F89">
        <w:t>+61 2 6219 5555</w:t>
      </w:r>
      <w:r w:rsidRPr="00B53F89">
        <w:br/>
        <w:t>F</w:t>
      </w:r>
      <w:r w:rsidR="00537604" w:rsidRPr="00B53F89">
        <w:tab/>
      </w:r>
      <w:r w:rsidRPr="00B53F89">
        <w:t>+61 2 6219 5353</w:t>
      </w:r>
    </w:p>
    <w:p w14:paraId="1025C19E" w14:textId="77777777" w:rsidR="0005011A" w:rsidRPr="00B53F89" w:rsidRDefault="0005011A" w:rsidP="00FC07B9">
      <w:pPr>
        <w:pStyle w:val="ACMACorporateAddressHeader"/>
      </w:pPr>
      <w:r w:rsidRPr="00B53F89">
        <w:t>Melbourne</w:t>
      </w:r>
    </w:p>
    <w:p w14:paraId="13817A6E" w14:textId="77777777" w:rsidR="0005011A" w:rsidRPr="00B53F89" w:rsidRDefault="0005011A" w:rsidP="00FC07B9">
      <w:pPr>
        <w:pStyle w:val="ACMACorporateAddresses"/>
      </w:pPr>
      <w:r w:rsidRPr="00B53F89">
        <w:t xml:space="preserve">Level 32 </w:t>
      </w:r>
      <w:r w:rsidRPr="00B53F89">
        <w:br/>
        <w:t>Melbourne Central Tower</w:t>
      </w:r>
      <w:r w:rsidRPr="00B53F89">
        <w:br/>
        <w:t xml:space="preserve">360 Elizabeth Street </w:t>
      </w:r>
      <w:r w:rsidR="008C10F4" w:rsidRPr="00B53F89">
        <w:br/>
      </w:r>
      <w:r w:rsidRPr="00B53F89">
        <w:t>Melbourne VIC</w:t>
      </w:r>
    </w:p>
    <w:p w14:paraId="694291FE" w14:textId="77777777" w:rsidR="0005011A" w:rsidRPr="00B53F89" w:rsidRDefault="0005011A" w:rsidP="00FC07B9">
      <w:pPr>
        <w:pStyle w:val="ACMACorporateAddresses"/>
      </w:pPr>
      <w:r w:rsidRPr="00B53F89">
        <w:t>PO Box 13112</w:t>
      </w:r>
      <w:r w:rsidRPr="00B53F89">
        <w:br/>
        <w:t xml:space="preserve">Law Courts </w:t>
      </w:r>
      <w:r w:rsidRPr="00B53F89">
        <w:br/>
        <w:t>Melbourne VIC 8010</w:t>
      </w:r>
    </w:p>
    <w:p w14:paraId="39E7BAC7" w14:textId="77777777" w:rsidR="0005011A" w:rsidRPr="00B53F89" w:rsidRDefault="0005011A" w:rsidP="00FC07B9">
      <w:pPr>
        <w:pStyle w:val="ACMACorporateAddresses"/>
      </w:pPr>
      <w:r w:rsidRPr="00B53F89">
        <w:t>T</w:t>
      </w:r>
      <w:r w:rsidR="00140318" w:rsidRPr="00B53F89">
        <w:tab/>
      </w:r>
      <w:r w:rsidRPr="00B53F89">
        <w:t>+61 3 9963 6800</w:t>
      </w:r>
      <w:r w:rsidRPr="00B53F89">
        <w:br/>
        <w:t>F</w:t>
      </w:r>
      <w:r w:rsidR="00140318" w:rsidRPr="00B53F89">
        <w:tab/>
      </w:r>
      <w:r w:rsidRPr="00B53F89">
        <w:t>+61 3 9963 6899</w:t>
      </w:r>
    </w:p>
    <w:p w14:paraId="09F547A7" w14:textId="77777777" w:rsidR="0005011A" w:rsidRPr="00B53F89" w:rsidRDefault="0005011A" w:rsidP="00FC07B9">
      <w:pPr>
        <w:pStyle w:val="ACMACorporateAddressHeader"/>
      </w:pPr>
      <w:r w:rsidRPr="00B53F89">
        <w:t>Sydney</w:t>
      </w:r>
    </w:p>
    <w:p w14:paraId="21CA7F9A" w14:textId="77777777" w:rsidR="0005011A" w:rsidRPr="00B53F89" w:rsidRDefault="0005011A" w:rsidP="00FC07B9">
      <w:pPr>
        <w:pStyle w:val="ACMACorporateAddresses"/>
      </w:pPr>
      <w:r w:rsidRPr="00B53F89">
        <w:t xml:space="preserve">Level 5 </w:t>
      </w:r>
      <w:r w:rsidRPr="00B53F89">
        <w:br/>
        <w:t>The Bay Centre</w:t>
      </w:r>
      <w:r w:rsidRPr="00B53F89">
        <w:br/>
        <w:t xml:space="preserve">65 Pirrama Road </w:t>
      </w:r>
      <w:r w:rsidRPr="00B53F89">
        <w:br/>
        <w:t>Pyrmont NSW</w:t>
      </w:r>
    </w:p>
    <w:p w14:paraId="708DF7AE" w14:textId="77777777" w:rsidR="0005011A" w:rsidRPr="00B53F89" w:rsidRDefault="0005011A" w:rsidP="00FC07B9">
      <w:pPr>
        <w:pStyle w:val="ACMACorporateAddresses"/>
      </w:pPr>
      <w:r w:rsidRPr="00B53F89">
        <w:t>PO Box Q500</w:t>
      </w:r>
      <w:r w:rsidRPr="00B53F89">
        <w:br/>
        <w:t xml:space="preserve">Queen Victoria Building </w:t>
      </w:r>
      <w:r w:rsidRPr="00B53F89">
        <w:br/>
        <w:t>NSW 1230</w:t>
      </w:r>
    </w:p>
    <w:p w14:paraId="1163CC05" w14:textId="77777777" w:rsidR="0005011A" w:rsidRPr="00B53F89" w:rsidRDefault="0005011A" w:rsidP="00FC07B9">
      <w:pPr>
        <w:pStyle w:val="ACMACorporateAddresses"/>
      </w:pPr>
      <w:r w:rsidRPr="00B53F89">
        <w:t>T</w:t>
      </w:r>
      <w:r w:rsidR="00140318" w:rsidRPr="00B53F89">
        <w:tab/>
      </w:r>
      <w:r w:rsidRPr="00B53F89">
        <w:t>+61 2 9334 7700</w:t>
      </w:r>
      <w:r w:rsidR="00140318" w:rsidRPr="00B53F89">
        <w:t xml:space="preserve"> or</w:t>
      </w:r>
      <w:r w:rsidRPr="00B53F89">
        <w:t xml:space="preserve"> 1800 226 667</w:t>
      </w:r>
      <w:r w:rsidRPr="00B53F89">
        <w:br/>
        <w:t>F</w:t>
      </w:r>
      <w:r w:rsidR="00140318" w:rsidRPr="00B53F89">
        <w:tab/>
      </w:r>
      <w:r w:rsidRPr="00B53F89">
        <w:t>+61 2 9334 7799</w:t>
      </w:r>
    </w:p>
    <w:p w14:paraId="3C968E65" w14:textId="77777777" w:rsidR="00140318" w:rsidRPr="00B53F89" w:rsidRDefault="00140318" w:rsidP="00FC07B9">
      <w:pPr>
        <w:pStyle w:val="ACMACopyrightHeader"/>
      </w:pPr>
      <w:r w:rsidRPr="00B53F89">
        <w:t>Copyright notice</w:t>
      </w:r>
    </w:p>
    <w:p w14:paraId="76E18378" w14:textId="77777777" w:rsidR="00140318" w:rsidRPr="00B53F89" w:rsidRDefault="00623FF9" w:rsidP="00623FF9">
      <w:pPr>
        <w:pStyle w:val="ACMACClogo"/>
      </w:pPr>
      <w:r w:rsidRPr="006A2F04">
        <w:rPr>
          <w:noProof/>
        </w:rPr>
        <w:drawing>
          <wp:inline distT="0" distB="0" distL="0" distR="0" wp14:anchorId="7214B564" wp14:editId="1F7FBAFC">
            <wp:extent cx="838200" cy="295275"/>
            <wp:effectExtent l="0" t="0" r="0" b="0"/>
            <wp:docPr id="1" name="Picture 1" title="Creative Commons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1"/>
                    </pic:cNvPr>
                    <pic:cNvPicPr>
                      <a:picLocks noChangeAspect="1" noChangeArrowheads="1"/>
                    </pic:cNvPicPr>
                  </pic:nvPicPr>
                  <pic:blipFill>
                    <a:blip r:embed="rId12" cstate="print"/>
                    <a:srcRect/>
                    <a:stretch>
                      <a:fillRect/>
                    </a:stretch>
                  </pic:blipFill>
                  <pic:spPr bwMode="auto">
                    <a:xfrm>
                      <a:off x="0" y="0"/>
                      <a:ext cx="838200" cy="295275"/>
                    </a:xfrm>
                    <a:prstGeom prst="rect">
                      <a:avLst/>
                    </a:prstGeom>
                    <a:noFill/>
                  </pic:spPr>
                </pic:pic>
              </a:graphicData>
            </a:graphic>
          </wp:inline>
        </w:drawing>
      </w:r>
    </w:p>
    <w:p w14:paraId="447D7713" w14:textId="77777777" w:rsidR="00A140B6" w:rsidRPr="006A2F04" w:rsidRDefault="00D56172" w:rsidP="00A140B6">
      <w:pPr>
        <w:pStyle w:val="ACMACorporateAddresses"/>
        <w:rPr>
          <w:rStyle w:val="Hyperlink"/>
        </w:rPr>
      </w:pPr>
      <w:hyperlink r:id="rId13" w:history="1">
        <w:r w:rsidR="00A140B6" w:rsidRPr="00B53F89">
          <w:rPr>
            <w:rStyle w:val="Hyperlink"/>
          </w:rPr>
          <w:t>https://creativecommons.org/licenses/by/4.0//</w:t>
        </w:r>
      </w:hyperlink>
    </w:p>
    <w:p w14:paraId="1C4DDDB6" w14:textId="77777777" w:rsidR="00A140B6" w:rsidRPr="00B53F89" w:rsidRDefault="00A140B6" w:rsidP="00A140B6">
      <w:pPr>
        <w:pStyle w:val="ACMACorporateAddresses"/>
      </w:pPr>
      <w:r w:rsidRPr="00B53F89">
        <w:t xml:space="preserve">With the exception of coats of arms, logos, emblems, images, other third-party material or devices protected by a trademark, this content is made available under the terms of the Creative Commons Attribution 4.0 International (CC BY 4.0) licence. </w:t>
      </w:r>
    </w:p>
    <w:p w14:paraId="723F3F5E" w14:textId="793F1E8E" w:rsidR="00A140B6" w:rsidRPr="00B53F89" w:rsidRDefault="00A140B6" w:rsidP="00A140B6">
      <w:pPr>
        <w:pStyle w:val="ACMACorporateAddresses"/>
      </w:pPr>
      <w:r w:rsidRPr="00B53F89">
        <w:t>We request attribution as © Commonwealth of Australia (Australian Communications and Media Authority) 20</w:t>
      </w:r>
      <w:r w:rsidR="00D90F94">
        <w:t>20</w:t>
      </w:r>
      <w:r w:rsidRPr="00B53F89">
        <w:t>.</w:t>
      </w:r>
    </w:p>
    <w:p w14:paraId="7F6EF873" w14:textId="77777777" w:rsidR="00140318" w:rsidRPr="00B53F89" w:rsidRDefault="00140318" w:rsidP="00FC07B9">
      <w:pPr>
        <w:pStyle w:val="ACMACorporateAddresses"/>
      </w:pPr>
      <w:r w:rsidRPr="00B53F89">
        <w:t>All other rights are reserved.</w:t>
      </w:r>
    </w:p>
    <w:p w14:paraId="5F3E44FE" w14:textId="77777777" w:rsidR="00140318" w:rsidRPr="00B53F89" w:rsidRDefault="00140318" w:rsidP="00FC07B9">
      <w:pPr>
        <w:pStyle w:val="ACMACorporateAddresses"/>
      </w:pPr>
      <w:r w:rsidRPr="00B53F89">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72E9AFCB" w14:textId="77777777" w:rsidR="00140318" w:rsidRPr="00B53F89" w:rsidRDefault="00140318" w:rsidP="00FC07B9">
      <w:pPr>
        <w:pStyle w:val="ACMACorporateAddresses"/>
      </w:pPr>
      <w:r w:rsidRPr="00B53F89">
        <w:t>Written enquiries may be sent to:</w:t>
      </w:r>
    </w:p>
    <w:p w14:paraId="0A09F1B1" w14:textId="1B2E91F3" w:rsidR="00D16FE3" w:rsidRPr="00B53F89" w:rsidRDefault="00140318" w:rsidP="00D16FE3">
      <w:pPr>
        <w:pStyle w:val="ACMACorporateAddresses"/>
        <w:rPr>
          <w:rStyle w:val="Hyperlink"/>
        </w:rPr>
      </w:pPr>
      <w:r w:rsidRPr="006A2F04">
        <w:t xml:space="preserve">Manager, Editorial </w:t>
      </w:r>
      <w:r w:rsidR="00BD2EEB" w:rsidRPr="00B53F89">
        <w:t>Services</w:t>
      </w:r>
      <w:r w:rsidR="00623FF9" w:rsidRPr="00B53F89">
        <w:br/>
      </w:r>
      <w:r w:rsidRPr="00B53F89">
        <w:t>PO Box 13112</w:t>
      </w:r>
      <w:r w:rsidR="00623FF9" w:rsidRPr="00B53F89">
        <w:br/>
      </w:r>
      <w:r w:rsidRPr="00B53F89">
        <w:t>Law Courts</w:t>
      </w:r>
      <w:r w:rsidR="00623FF9" w:rsidRPr="00B53F89">
        <w:br/>
      </w:r>
      <w:r w:rsidRPr="00B53F89">
        <w:t>Melbourne VIC 8010</w:t>
      </w:r>
      <w:r w:rsidR="00623FF9" w:rsidRPr="00B53F89">
        <w:br/>
      </w:r>
      <w:r w:rsidRPr="00B53F89">
        <w:t xml:space="preserve">Email: </w:t>
      </w:r>
      <w:hyperlink r:id="rId14" w:history="1">
        <w:r w:rsidR="000A1400" w:rsidRPr="00B53F89">
          <w:rPr>
            <w:rStyle w:val="Hyperlink"/>
          </w:rPr>
          <w:t>info@acma.gov.au</w:t>
        </w:r>
      </w:hyperlink>
    </w:p>
    <w:p w14:paraId="3A89B8FE" w14:textId="77777777" w:rsidR="00D16FE3" w:rsidRPr="00B53F89" w:rsidRDefault="00D16FE3" w:rsidP="00D16FE3">
      <w:pPr>
        <w:pStyle w:val="ACMACorporateAddresses"/>
        <w:rPr>
          <w:rStyle w:val="Hyperlink"/>
        </w:rPr>
      </w:pPr>
    </w:p>
    <w:p w14:paraId="508AA9C3" w14:textId="77777777" w:rsidR="00D16FE3" w:rsidRPr="00B53F89" w:rsidRDefault="00D16FE3" w:rsidP="00D16FE3">
      <w:pPr>
        <w:pStyle w:val="ACMACorporateAddresses"/>
        <w:sectPr w:rsidR="00D16FE3" w:rsidRPr="00B53F89" w:rsidSect="00E97880">
          <w:headerReference w:type="even" r:id="rId15"/>
          <w:headerReference w:type="default" r:id="rId16"/>
          <w:footerReference w:type="even" r:id="rId17"/>
          <w:footerReference w:type="default" r:id="rId18"/>
          <w:pgSz w:w="11906" w:h="16838" w:code="9"/>
          <w:pgMar w:top="3924" w:right="1797" w:bottom="697" w:left="1134" w:header="709" w:footer="119" w:gutter="0"/>
          <w:cols w:space="708"/>
          <w:docGrid w:linePitch="360"/>
        </w:sectPr>
      </w:pPr>
    </w:p>
    <w:p w14:paraId="57E48AED" w14:textId="775402F6" w:rsidR="00856C29" w:rsidRDefault="000650FB">
      <w:pPr>
        <w:pStyle w:val="TOC1"/>
        <w:rPr>
          <w:rFonts w:asciiTheme="minorHAnsi" w:eastAsiaTheme="minorEastAsia" w:hAnsiTheme="minorHAnsi" w:cstheme="minorBidi"/>
          <w:b w:val="0"/>
          <w:spacing w:val="0"/>
          <w:sz w:val="22"/>
          <w:szCs w:val="22"/>
        </w:rPr>
      </w:pPr>
      <w:r>
        <w:rPr>
          <w:rFonts w:cs="Arial"/>
          <w:sz w:val="26"/>
          <w:szCs w:val="26"/>
        </w:rPr>
        <w:lastRenderedPageBreak/>
        <w:fldChar w:fldCharType="begin"/>
      </w:r>
      <w:r>
        <w:rPr>
          <w:rFonts w:cs="Arial"/>
          <w:sz w:val="26"/>
          <w:szCs w:val="26"/>
        </w:rPr>
        <w:instrText xml:space="preserve"> TOC \o "1-3" \h \z \t "ACMA_ExecSummaryHeading,1" </w:instrText>
      </w:r>
      <w:r>
        <w:rPr>
          <w:rFonts w:cs="Arial"/>
          <w:sz w:val="26"/>
          <w:szCs w:val="26"/>
        </w:rPr>
        <w:fldChar w:fldCharType="separate"/>
      </w:r>
      <w:hyperlink w:anchor="_Toc38987141" w:history="1">
        <w:r w:rsidR="00856C29" w:rsidRPr="00144A47">
          <w:rPr>
            <w:rStyle w:val="Hyperlink"/>
          </w:rPr>
          <w:t>Foreword</w:t>
        </w:r>
        <w:r w:rsidR="00856C29">
          <w:rPr>
            <w:webHidden/>
          </w:rPr>
          <w:tab/>
        </w:r>
        <w:r w:rsidR="00856C29">
          <w:rPr>
            <w:webHidden/>
          </w:rPr>
          <w:fldChar w:fldCharType="begin"/>
        </w:r>
        <w:r w:rsidR="00856C29">
          <w:rPr>
            <w:webHidden/>
          </w:rPr>
          <w:instrText xml:space="preserve"> PAGEREF _Toc38987141 \h </w:instrText>
        </w:r>
        <w:r w:rsidR="00856C29">
          <w:rPr>
            <w:webHidden/>
          </w:rPr>
        </w:r>
        <w:r w:rsidR="00856C29">
          <w:rPr>
            <w:webHidden/>
          </w:rPr>
          <w:fldChar w:fldCharType="separate"/>
        </w:r>
        <w:r w:rsidR="00CD5270">
          <w:rPr>
            <w:webHidden/>
          </w:rPr>
          <w:t>8</w:t>
        </w:r>
        <w:r w:rsidR="00856C29">
          <w:rPr>
            <w:webHidden/>
          </w:rPr>
          <w:fldChar w:fldCharType="end"/>
        </w:r>
      </w:hyperlink>
    </w:p>
    <w:p w14:paraId="75B28507" w14:textId="1877A29D" w:rsidR="00856C29" w:rsidRDefault="00D56172">
      <w:pPr>
        <w:pStyle w:val="TOC2"/>
        <w:rPr>
          <w:rFonts w:asciiTheme="minorHAnsi" w:eastAsiaTheme="minorEastAsia" w:hAnsiTheme="minorHAnsi" w:cstheme="minorBidi"/>
          <w:spacing w:val="0"/>
          <w:sz w:val="22"/>
          <w:szCs w:val="22"/>
        </w:rPr>
      </w:pPr>
      <w:hyperlink w:anchor="_Toc38987142" w:history="1">
        <w:r w:rsidR="00856C29" w:rsidRPr="00144A47">
          <w:rPr>
            <w:rStyle w:val="Hyperlink"/>
          </w:rPr>
          <w:t>COVID-19—our response</w:t>
        </w:r>
        <w:r w:rsidR="00856C29">
          <w:rPr>
            <w:webHidden/>
          </w:rPr>
          <w:tab/>
        </w:r>
        <w:r w:rsidR="00856C29">
          <w:rPr>
            <w:webHidden/>
          </w:rPr>
          <w:fldChar w:fldCharType="begin"/>
        </w:r>
        <w:r w:rsidR="00856C29">
          <w:rPr>
            <w:webHidden/>
          </w:rPr>
          <w:instrText xml:space="preserve"> PAGEREF _Toc38987142 \h </w:instrText>
        </w:r>
        <w:r w:rsidR="00856C29">
          <w:rPr>
            <w:webHidden/>
          </w:rPr>
        </w:r>
        <w:r w:rsidR="00856C29">
          <w:rPr>
            <w:webHidden/>
          </w:rPr>
          <w:fldChar w:fldCharType="separate"/>
        </w:r>
        <w:r w:rsidR="00CD5270">
          <w:rPr>
            <w:webHidden/>
          </w:rPr>
          <w:t>9</w:t>
        </w:r>
        <w:r w:rsidR="00856C29">
          <w:rPr>
            <w:webHidden/>
          </w:rPr>
          <w:fldChar w:fldCharType="end"/>
        </w:r>
      </w:hyperlink>
    </w:p>
    <w:p w14:paraId="5CA66310" w14:textId="3E7936BF" w:rsidR="00856C29" w:rsidRDefault="00D56172">
      <w:pPr>
        <w:pStyle w:val="TOC2"/>
        <w:rPr>
          <w:rFonts w:asciiTheme="minorHAnsi" w:eastAsiaTheme="minorEastAsia" w:hAnsiTheme="minorHAnsi" w:cstheme="minorBidi"/>
          <w:spacing w:val="0"/>
          <w:sz w:val="22"/>
          <w:szCs w:val="22"/>
        </w:rPr>
      </w:pPr>
      <w:hyperlink w:anchor="_Toc38987143" w:history="1">
        <w:r w:rsidR="00856C29" w:rsidRPr="00144A47">
          <w:rPr>
            <w:rStyle w:val="Hyperlink"/>
          </w:rPr>
          <w:t>Key to icons</w:t>
        </w:r>
        <w:r w:rsidR="00856C29">
          <w:rPr>
            <w:webHidden/>
          </w:rPr>
          <w:tab/>
        </w:r>
        <w:r w:rsidR="00856C29">
          <w:rPr>
            <w:webHidden/>
          </w:rPr>
          <w:fldChar w:fldCharType="begin"/>
        </w:r>
        <w:r w:rsidR="00856C29">
          <w:rPr>
            <w:webHidden/>
          </w:rPr>
          <w:instrText xml:space="preserve"> PAGEREF _Toc38987143 \h </w:instrText>
        </w:r>
        <w:r w:rsidR="00856C29">
          <w:rPr>
            <w:webHidden/>
          </w:rPr>
        </w:r>
        <w:r w:rsidR="00856C29">
          <w:rPr>
            <w:webHidden/>
          </w:rPr>
          <w:fldChar w:fldCharType="separate"/>
        </w:r>
        <w:r w:rsidR="00CD5270">
          <w:rPr>
            <w:webHidden/>
          </w:rPr>
          <w:t>10</w:t>
        </w:r>
        <w:r w:rsidR="00856C29">
          <w:rPr>
            <w:webHidden/>
          </w:rPr>
          <w:fldChar w:fldCharType="end"/>
        </w:r>
      </w:hyperlink>
    </w:p>
    <w:p w14:paraId="76335106" w14:textId="729C3AF8" w:rsidR="00856C29" w:rsidRDefault="00D56172">
      <w:pPr>
        <w:pStyle w:val="TOC1"/>
        <w:rPr>
          <w:rFonts w:asciiTheme="minorHAnsi" w:eastAsiaTheme="minorEastAsia" w:hAnsiTheme="minorHAnsi" w:cstheme="minorBidi"/>
          <w:b w:val="0"/>
          <w:spacing w:val="0"/>
          <w:sz w:val="22"/>
          <w:szCs w:val="22"/>
        </w:rPr>
      </w:pPr>
      <w:hyperlink w:anchor="_Toc38987144" w:history="1">
        <w:r w:rsidR="00856C29" w:rsidRPr="00144A47">
          <w:rPr>
            <w:rStyle w:val="Hyperlink"/>
          </w:rPr>
          <w:t>Issues for comment</w:t>
        </w:r>
        <w:r w:rsidR="00856C29">
          <w:rPr>
            <w:webHidden/>
          </w:rPr>
          <w:tab/>
        </w:r>
        <w:r w:rsidR="00856C29">
          <w:rPr>
            <w:webHidden/>
          </w:rPr>
          <w:fldChar w:fldCharType="begin"/>
        </w:r>
        <w:r w:rsidR="00856C29">
          <w:rPr>
            <w:webHidden/>
          </w:rPr>
          <w:instrText xml:space="preserve"> PAGEREF _Toc38987144 \h </w:instrText>
        </w:r>
        <w:r w:rsidR="00856C29">
          <w:rPr>
            <w:webHidden/>
          </w:rPr>
        </w:r>
        <w:r w:rsidR="00856C29">
          <w:rPr>
            <w:webHidden/>
          </w:rPr>
          <w:fldChar w:fldCharType="separate"/>
        </w:r>
        <w:r w:rsidR="00CD5270">
          <w:rPr>
            <w:webHidden/>
          </w:rPr>
          <w:t>11</w:t>
        </w:r>
        <w:r w:rsidR="00856C29">
          <w:rPr>
            <w:webHidden/>
          </w:rPr>
          <w:fldChar w:fldCharType="end"/>
        </w:r>
      </w:hyperlink>
    </w:p>
    <w:p w14:paraId="29B848D2" w14:textId="03D031FD" w:rsidR="00856C29" w:rsidRDefault="00D56172">
      <w:pPr>
        <w:pStyle w:val="TOC1"/>
        <w:rPr>
          <w:rFonts w:asciiTheme="minorHAnsi" w:eastAsiaTheme="minorEastAsia" w:hAnsiTheme="minorHAnsi" w:cstheme="minorBidi"/>
          <w:b w:val="0"/>
          <w:spacing w:val="0"/>
          <w:sz w:val="22"/>
          <w:szCs w:val="22"/>
        </w:rPr>
      </w:pPr>
      <w:hyperlink w:anchor="_Toc38987145" w:history="1">
        <w:r w:rsidR="00856C29" w:rsidRPr="00144A47">
          <w:rPr>
            <w:rStyle w:val="Hyperlink"/>
          </w:rPr>
          <w:t>At a glance—2020–21 work program</w:t>
        </w:r>
        <w:r w:rsidR="00856C29">
          <w:rPr>
            <w:webHidden/>
          </w:rPr>
          <w:tab/>
        </w:r>
        <w:r w:rsidR="00856C29">
          <w:rPr>
            <w:webHidden/>
          </w:rPr>
          <w:fldChar w:fldCharType="begin"/>
        </w:r>
        <w:r w:rsidR="00856C29">
          <w:rPr>
            <w:webHidden/>
          </w:rPr>
          <w:instrText xml:space="preserve"> PAGEREF _Toc38987145 \h </w:instrText>
        </w:r>
        <w:r w:rsidR="00856C29">
          <w:rPr>
            <w:webHidden/>
          </w:rPr>
        </w:r>
        <w:r w:rsidR="00856C29">
          <w:rPr>
            <w:webHidden/>
          </w:rPr>
          <w:fldChar w:fldCharType="separate"/>
        </w:r>
        <w:r w:rsidR="00CD5270">
          <w:rPr>
            <w:webHidden/>
          </w:rPr>
          <w:t>12</w:t>
        </w:r>
        <w:r w:rsidR="00856C29">
          <w:rPr>
            <w:webHidden/>
          </w:rPr>
          <w:fldChar w:fldCharType="end"/>
        </w:r>
      </w:hyperlink>
    </w:p>
    <w:p w14:paraId="1DCE5AA9" w14:textId="3EEC469B" w:rsidR="00856C29" w:rsidRDefault="00D56172">
      <w:pPr>
        <w:pStyle w:val="TOC2"/>
        <w:rPr>
          <w:rFonts w:asciiTheme="minorHAnsi" w:eastAsiaTheme="minorEastAsia" w:hAnsiTheme="minorHAnsi" w:cstheme="minorBidi"/>
          <w:spacing w:val="0"/>
          <w:sz w:val="22"/>
          <w:szCs w:val="22"/>
        </w:rPr>
      </w:pPr>
      <w:hyperlink w:anchor="_Toc38987146" w:history="1">
        <w:r w:rsidR="00856C29" w:rsidRPr="00144A47">
          <w:rPr>
            <w:rStyle w:val="Hyperlink"/>
          </w:rPr>
          <w:t>FYSO 2019–23 progress report</w:t>
        </w:r>
        <w:r w:rsidR="00856C29">
          <w:rPr>
            <w:webHidden/>
          </w:rPr>
          <w:tab/>
        </w:r>
        <w:r w:rsidR="00856C29">
          <w:rPr>
            <w:webHidden/>
          </w:rPr>
          <w:fldChar w:fldCharType="begin"/>
        </w:r>
        <w:r w:rsidR="00856C29">
          <w:rPr>
            <w:webHidden/>
          </w:rPr>
          <w:instrText xml:space="preserve"> PAGEREF _Toc38987146 \h </w:instrText>
        </w:r>
        <w:r w:rsidR="00856C29">
          <w:rPr>
            <w:webHidden/>
          </w:rPr>
        </w:r>
        <w:r w:rsidR="00856C29">
          <w:rPr>
            <w:webHidden/>
          </w:rPr>
          <w:fldChar w:fldCharType="separate"/>
        </w:r>
        <w:r w:rsidR="00CD5270">
          <w:rPr>
            <w:webHidden/>
          </w:rPr>
          <w:t>19</w:t>
        </w:r>
        <w:r w:rsidR="00856C29">
          <w:rPr>
            <w:webHidden/>
          </w:rPr>
          <w:fldChar w:fldCharType="end"/>
        </w:r>
      </w:hyperlink>
    </w:p>
    <w:p w14:paraId="1078CBFB" w14:textId="63A17A1D" w:rsidR="00856C29" w:rsidRDefault="00D56172">
      <w:pPr>
        <w:pStyle w:val="TOC1"/>
        <w:rPr>
          <w:rFonts w:asciiTheme="minorHAnsi" w:eastAsiaTheme="minorEastAsia" w:hAnsiTheme="minorHAnsi" w:cstheme="minorBidi"/>
          <w:b w:val="0"/>
          <w:spacing w:val="0"/>
          <w:sz w:val="22"/>
          <w:szCs w:val="22"/>
        </w:rPr>
      </w:pPr>
      <w:hyperlink w:anchor="_Toc38987147" w:history="1">
        <w:r w:rsidR="00856C29" w:rsidRPr="00144A47">
          <w:rPr>
            <w:rStyle w:val="Hyperlink"/>
            <w:rFonts w:eastAsiaTheme="majorEastAsia"/>
          </w:rPr>
          <w:t>Part 1—Five-year spectrum outlook</w:t>
        </w:r>
        <w:r w:rsidR="00856C29">
          <w:rPr>
            <w:webHidden/>
          </w:rPr>
          <w:tab/>
        </w:r>
        <w:r w:rsidR="00856C29">
          <w:rPr>
            <w:webHidden/>
          </w:rPr>
          <w:fldChar w:fldCharType="begin"/>
        </w:r>
        <w:r w:rsidR="00856C29">
          <w:rPr>
            <w:webHidden/>
          </w:rPr>
          <w:instrText xml:space="preserve"> PAGEREF _Toc38987147 \h </w:instrText>
        </w:r>
        <w:r w:rsidR="00856C29">
          <w:rPr>
            <w:webHidden/>
          </w:rPr>
        </w:r>
        <w:r w:rsidR="00856C29">
          <w:rPr>
            <w:webHidden/>
          </w:rPr>
          <w:fldChar w:fldCharType="separate"/>
        </w:r>
        <w:r w:rsidR="00CD5270">
          <w:rPr>
            <w:webHidden/>
          </w:rPr>
          <w:t>20</w:t>
        </w:r>
        <w:r w:rsidR="00856C29">
          <w:rPr>
            <w:webHidden/>
          </w:rPr>
          <w:fldChar w:fldCharType="end"/>
        </w:r>
      </w:hyperlink>
    </w:p>
    <w:p w14:paraId="053613B6" w14:textId="75C09B9C" w:rsidR="00856C29" w:rsidRDefault="00D56172">
      <w:pPr>
        <w:pStyle w:val="TOC2"/>
        <w:rPr>
          <w:rFonts w:asciiTheme="minorHAnsi" w:eastAsiaTheme="minorEastAsia" w:hAnsiTheme="minorHAnsi" w:cstheme="minorBidi"/>
          <w:spacing w:val="0"/>
          <w:sz w:val="22"/>
          <w:szCs w:val="22"/>
        </w:rPr>
      </w:pPr>
      <w:hyperlink w:anchor="_Toc38987148" w:history="1">
        <w:r w:rsidR="00856C29" w:rsidRPr="00144A47">
          <w:rPr>
            <w:rStyle w:val="Hyperlink"/>
          </w:rPr>
          <w:t>Overview of current industry landscape</w:t>
        </w:r>
        <w:r w:rsidR="00856C29">
          <w:rPr>
            <w:webHidden/>
          </w:rPr>
          <w:tab/>
        </w:r>
        <w:r w:rsidR="00856C29">
          <w:rPr>
            <w:webHidden/>
          </w:rPr>
          <w:fldChar w:fldCharType="begin"/>
        </w:r>
        <w:r w:rsidR="00856C29">
          <w:rPr>
            <w:webHidden/>
          </w:rPr>
          <w:instrText xml:space="preserve"> PAGEREF _Toc38987148 \h </w:instrText>
        </w:r>
        <w:r w:rsidR="00856C29">
          <w:rPr>
            <w:webHidden/>
          </w:rPr>
        </w:r>
        <w:r w:rsidR="00856C29">
          <w:rPr>
            <w:webHidden/>
          </w:rPr>
          <w:fldChar w:fldCharType="separate"/>
        </w:r>
        <w:r w:rsidR="00CD5270">
          <w:rPr>
            <w:webHidden/>
          </w:rPr>
          <w:t>20</w:t>
        </w:r>
        <w:r w:rsidR="00856C29">
          <w:rPr>
            <w:webHidden/>
          </w:rPr>
          <w:fldChar w:fldCharType="end"/>
        </w:r>
      </w:hyperlink>
    </w:p>
    <w:p w14:paraId="069ED116" w14:textId="2AB825D4" w:rsidR="00856C29" w:rsidRDefault="00D56172">
      <w:pPr>
        <w:pStyle w:val="TOC2"/>
        <w:rPr>
          <w:rFonts w:asciiTheme="minorHAnsi" w:eastAsiaTheme="minorEastAsia" w:hAnsiTheme="minorHAnsi" w:cstheme="minorBidi"/>
          <w:spacing w:val="0"/>
          <w:sz w:val="22"/>
          <w:szCs w:val="22"/>
        </w:rPr>
      </w:pPr>
      <w:hyperlink w:anchor="_Toc38987149" w:history="1">
        <w:r w:rsidR="00856C29" w:rsidRPr="00144A47">
          <w:rPr>
            <w:rStyle w:val="Hyperlink"/>
            <w:rFonts w:eastAsiaTheme="majorEastAsia"/>
          </w:rPr>
          <w:t>Spectrum uses</w:t>
        </w:r>
        <w:r w:rsidR="00856C29">
          <w:rPr>
            <w:webHidden/>
          </w:rPr>
          <w:tab/>
        </w:r>
        <w:r w:rsidR="00856C29">
          <w:rPr>
            <w:webHidden/>
          </w:rPr>
          <w:fldChar w:fldCharType="begin"/>
        </w:r>
        <w:r w:rsidR="00856C29">
          <w:rPr>
            <w:webHidden/>
          </w:rPr>
          <w:instrText xml:space="preserve"> PAGEREF _Toc38987149 \h </w:instrText>
        </w:r>
        <w:r w:rsidR="00856C29">
          <w:rPr>
            <w:webHidden/>
          </w:rPr>
        </w:r>
        <w:r w:rsidR="00856C29">
          <w:rPr>
            <w:webHidden/>
          </w:rPr>
          <w:fldChar w:fldCharType="separate"/>
        </w:r>
        <w:r w:rsidR="00CD5270">
          <w:rPr>
            <w:webHidden/>
          </w:rPr>
          <w:t>21</w:t>
        </w:r>
        <w:r w:rsidR="00856C29">
          <w:rPr>
            <w:webHidden/>
          </w:rPr>
          <w:fldChar w:fldCharType="end"/>
        </w:r>
      </w:hyperlink>
    </w:p>
    <w:p w14:paraId="15C7F3AA" w14:textId="30A66E49" w:rsidR="00856C29" w:rsidRDefault="00D56172">
      <w:pPr>
        <w:pStyle w:val="TOC3"/>
        <w:rPr>
          <w:rFonts w:asciiTheme="minorHAnsi" w:eastAsiaTheme="minorEastAsia" w:hAnsiTheme="minorHAnsi" w:cstheme="minorBidi"/>
        </w:rPr>
      </w:pPr>
      <w:hyperlink w:anchor="_Toc38987150" w:history="1">
        <w:r w:rsidR="00856C29" w:rsidRPr="00144A47">
          <w:rPr>
            <w:rStyle w:val="Hyperlink"/>
          </w:rPr>
          <w:t>Wireless (fixed and mobile) broadband, including 5G</w:t>
        </w:r>
        <w:r w:rsidR="00856C29">
          <w:rPr>
            <w:webHidden/>
          </w:rPr>
          <w:tab/>
        </w:r>
        <w:r w:rsidR="00856C29">
          <w:rPr>
            <w:webHidden/>
          </w:rPr>
          <w:fldChar w:fldCharType="begin"/>
        </w:r>
        <w:r w:rsidR="00856C29">
          <w:rPr>
            <w:webHidden/>
          </w:rPr>
          <w:instrText xml:space="preserve"> PAGEREF _Toc38987150 \h </w:instrText>
        </w:r>
        <w:r w:rsidR="00856C29">
          <w:rPr>
            <w:webHidden/>
          </w:rPr>
        </w:r>
        <w:r w:rsidR="00856C29">
          <w:rPr>
            <w:webHidden/>
          </w:rPr>
          <w:fldChar w:fldCharType="separate"/>
        </w:r>
        <w:r w:rsidR="00CD5270">
          <w:rPr>
            <w:webHidden/>
          </w:rPr>
          <w:t>21</w:t>
        </w:r>
        <w:r w:rsidR="00856C29">
          <w:rPr>
            <w:webHidden/>
          </w:rPr>
          <w:fldChar w:fldCharType="end"/>
        </w:r>
      </w:hyperlink>
    </w:p>
    <w:p w14:paraId="32DB7CDA" w14:textId="1E6F5D2A" w:rsidR="00856C29" w:rsidRDefault="00D56172">
      <w:pPr>
        <w:pStyle w:val="TOC3"/>
        <w:rPr>
          <w:rFonts w:asciiTheme="minorHAnsi" w:eastAsiaTheme="minorEastAsia" w:hAnsiTheme="minorHAnsi" w:cstheme="minorBidi"/>
        </w:rPr>
      </w:pPr>
      <w:hyperlink w:anchor="_Toc38987151" w:history="1">
        <w:r w:rsidR="00856C29" w:rsidRPr="00144A47">
          <w:rPr>
            <w:rStyle w:val="Hyperlink"/>
          </w:rPr>
          <w:t>Private/industry vertical networks</w:t>
        </w:r>
        <w:r w:rsidR="00856C29">
          <w:rPr>
            <w:webHidden/>
          </w:rPr>
          <w:tab/>
        </w:r>
        <w:r w:rsidR="00856C29">
          <w:rPr>
            <w:webHidden/>
          </w:rPr>
          <w:fldChar w:fldCharType="begin"/>
        </w:r>
        <w:r w:rsidR="00856C29">
          <w:rPr>
            <w:webHidden/>
          </w:rPr>
          <w:instrText xml:space="preserve"> PAGEREF _Toc38987151 \h </w:instrText>
        </w:r>
        <w:r w:rsidR="00856C29">
          <w:rPr>
            <w:webHidden/>
          </w:rPr>
        </w:r>
        <w:r w:rsidR="00856C29">
          <w:rPr>
            <w:webHidden/>
          </w:rPr>
          <w:fldChar w:fldCharType="separate"/>
        </w:r>
        <w:r w:rsidR="00CD5270">
          <w:rPr>
            <w:webHidden/>
          </w:rPr>
          <w:t>25</w:t>
        </w:r>
        <w:r w:rsidR="00856C29">
          <w:rPr>
            <w:webHidden/>
          </w:rPr>
          <w:fldChar w:fldCharType="end"/>
        </w:r>
      </w:hyperlink>
    </w:p>
    <w:p w14:paraId="29518499" w14:textId="46F299E5" w:rsidR="00856C29" w:rsidRDefault="00D56172">
      <w:pPr>
        <w:pStyle w:val="TOC3"/>
        <w:rPr>
          <w:rFonts w:asciiTheme="minorHAnsi" w:eastAsiaTheme="minorEastAsia" w:hAnsiTheme="minorHAnsi" w:cstheme="minorBidi"/>
        </w:rPr>
      </w:pPr>
      <w:hyperlink w:anchor="_Toc38987152" w:history="1">
        <w:r w:rsidR="00856C29" w:rsidRPr="00144A47">
          <w:rPr>
            <w:rStyle w:val="Hyperlink"/>
          </w:rPr>
          <w:t>Machine-to-machine communications and the Internet of Things</w:t>
        </w:r>
        <w:r w:rsidR="00856C29">
          <w:rPr>
            <w:webHidden/>
          </w:rPr>
          <w:tab/>
        </w:r>
        <w:r w:rsidR="00856C29">
          <w:rPr>
            <w:webHidden/>
          </w:rPr>
          <w:fldChar w:fldCharType="begin"/>
        </w:r>
        <w:r w:rsidR="00856C29">
          <w:rPr>
            <w:webHidden/>
          </w:rPr>
          <w:instrText xml:space="preserve"> PAGEREF _Toc38987152 \h </w:instrText>
        </w:r>
        <w:r w:rsidR="00856C29">
          <w:rPr>
            <w:webHidden/>
          </w:rPr>
        </w:r>
        <w:r w:rsidR="00856C29">
          <w:rPr>
            <w:webHidden/>
          </w:rPr>
          <w:fldChar w:fldCharType="separate"/>
        </w:r>
        <w:r w:rsidR="00CD5270">
          <w:rPr>
            <w:webHidden/>
          </w:rPr>
          <w:t>26</w:t>
        </w:r>
        <w:r w:rsidR="00856C29">
          <w:rPr>
            <w:webHidden/>
          </w:rPr>
          <w:fldChar w:fldCharType="end"/>
        </w:r>
      </w:hyperlink>
    </w:p>
    <w:p w14:paraId="3758AD69" w14:textId="715B0C14" w:rsidR="00856C29" w:rsidRDefault="00D56172">
      <w:pPr>
        <w:pStyle w:val="TOC3"/>
        <w:rPr>
          <w:rFonts w:asciiTheme="minorHAnsi" w:eastAsiaTheme="minorEastAsia" w:hAnsiTheme="minorHAnsi" w:cstheme="minorBidi"/>
        </w:rPr>
      </w:pPr>
      <w:hyperlink w:anchor="_Toc38987153" w:history="1">
        <w:r w:rsidR="00856C29" w:rsidRPr="00144A47">
          <w:rPr>
            <w:rStyle w:val="Hyperlink"/>
          </w:rPr>
          <w:t>Broadcasting services</w:t>
        </w:r>
        <w:r w:rsidR="00856C29">
          <w:rPr>
            <w:webHidden/>
          </w:rPr>
          <w:tab/>
        </w:r>
        <w:r w:rsidR="00856C29">
          <w:rPr>
            <w:webHidden/>
          </w:rPr>
          <w:fldChar w:fldCharType="begin"/>
        </w:r>
        <w:r w:rsidR="00856C29">
          <w:rPr>
            <w:webHidden/>
          </w:rPr>
          <w:instrText xml:space="preserve"> PAGEREF _Toc38987153 \h </w:instrText>
        </w:r>
        <w:r w:rsidR="00856C29">
          <w:rPr>
            <w:webHidden/>
          </w:rPr>
        </w:r>
        <w:r w:rsidR="00856C29">
          <w:rPr>
            <w:webHidden/>
          </w:rPr>
          <w:fldChar w:fldCharType="separate"/>
        </w:r>
        <w:r w:rsidR="00CD5270">
          <w:rPr>
            <w:webHidden/>
          </w:rPr>
          <w:t>28</w:t>
        </w:r>
        <w:r w:rsidR="00856C29">
          <w:rPr>
            <w:webHidden/>
          </w:rPr>
          <w:fldChar w:fldCharType="end"/>
        </w:r>
      </w:hyperlink>
    </w:p>
    <w:p w14:paraId="60016817" w14:textId="77A31011" w:rsidR="00856C29" w:rsidRDefault="00D56172">
      <w:pPr>
        <w:pStyle w:val="TOC3"/>
        <w:rPr>
          <w:rFonts w:asciiTheme="minorHAnsi" w:eastAsiaTheme="minorEastAsia" w:hAnsiTheme="minorHAnsi" w:cstheme="minorBidi"/>
        </w:rPr>
      </w:pPr>
      <w:hyperlink w:anchor="_Toc38987154" w:history="1">
        <w:r w:rsidR="00856C29" w:rsidRPr="00144A47">
          <w:rPr>
            <w:rStyle w:val="Hyperlink"/>
          </w:rPr>
          <w:t>Satellite communications</w:t>
        </w:r>
        <w:r w:rsidR="00856C29">
          <w:rPr>
            <w:webHidden/>
          </w:rPr>
          <w:tab/>
        </w:r>
        <w:r w:rsidR="00856C29">
          <w:rPr>
            <w:webHidden/>
          </w:rPr>
          <w:fldChar w:fldCharType="begin"/>
        </w:r>
        <w:r w:rsidR="00856C29">
          <w:rPr>
            <w:webHidden/>
          </w:rPr>
          <w:instrText xml:space="preserve"> PAGEREF _Toc38987154 \h </w:instrText>
        </w:r>
        <w:r w:rsidR="00856C29">
          <w:rPr>
            <w:webHidden/>
          </w:rPr>
        </w:r>
        <w:r w:rsidR="00856C29">
          <w:rPr>
            <w:webHidden/>
          </w:rPr>
          <w:fldChar w:fldCharType="separate"/>
        </w:r>
        <w:r w:rsidR="00CD5270">
          <w:rPr>
            <w:webHidden/>
          </w:rPr>
          <w:t>30</w:t>
        </w:r>
        <w:r w:rsidR="00856C29">
          <w:rPr>
            <w:webHidden/>
          </w:rPr>
          <w:fldChar w:fldCharType="end"/>
        </w:r>
      </w:hyperlink>
    </w:p>
    <w:p w14:paraId="3103171E" w14:textId="012CDDE2" w:rsidR="00856C29" w:rsidRDefault="00D56172">
      <w:pPr>
        <w:pStyle w:val="TOC3"/>
        <w:rPr>
          <w:rFonts w:asciiTheme="minorHAnsi" w:eastAsiaTheme="minorEastAsia" w:hAnsiTheme="minorHAnsi" w:cstheme="minorBidi"/>
        </w:rPr>
      </w:pPr>
      <w:hyperlink w:anchor="_Toc38987155" w:history="1">
        <w:r w:rsidR="00856C29" w:rsidRPr="00144A47">
          <w:rPr>
            <w:rStyle w:val="Hyperlink"/>
          </w:rPr>
          <w:t>Spectrum for government requirements</w:t>
        </w:r>
        <w:r w:rsidR="00856C29">
          <w:rPr>
            <w:webHidden/>
          </w:rPr>
          <w:tab/>
        </w:r>
        <w:r w:rsidR="00856C29">
          <w:rPr>
            <w:webHidden/>
          </w:rPr>
          <w:fldChar w:fldCharType="begin"/>
        </w:r>
        <w:r w:rsidR="00856C29">
          <w:rPr>
            <w:webHidden/>
          </w:rPr>
          <w:instrText xml:space="preserve"> PAGEREF _Toc38987155 \h </w:instrText>
        </w:r>
        <w:r w:rsidR="00856C29">
          <w:rPr>
            <w:webHidden/>
          </w:rPr>
        </w:r>
        <w:r w:rsidR="00856C29">
          <w:rPr>
            <w:webHidden/>
          </w:rPr>
          <w:fldChar w:fldCharType="separate"/>
        </w:r>
        <w:r w:rsidR="00CD5270">
          <w:rPr>
            <w:webHidden/>
          </w:rPr>
          <w:t>31</w:t>
        </w:r>
        <w:r w:rsidR="00856C29">
          <w:rPr>
            <w:webHidden/>
          </w:rPr>
          <w:fldChar w:fldCharType="end"/>
        </w:r>
      </w:hyperlink>
    </w:p>
    <w:p w14:paraId="5E9AAECA" w14:textId="5160E3AC" w:rsidR="00856C29" w:rsidRDefault="00D56172">
      <w:pPr>
        <w:pStyle w:val="TOC3"/>
        <w:rPr>
          <w:rFonts w:asciiTheme="minorHAnsi" w:eastAsiaTheme="minorEastAsia" w:hAnsiTheme="minorHAnsi" w:cstheme="minorBidi"/>
        </w:rPr>
      </w:pPr>
      <w:hyperlink w:anchor="_Toc38987156" w:history="1">
        <w:r w:rsidR="00856C29" w:rsidRPr="00144A47">
          <w:rPr>
            <w:rStyle w:val="Hyperlink"/>
          </w:rPr>
          <w:t>Spectrum sharing</w:t>
        </w:r>
        <w:r w:rsidR="00856C29">
          <w:rPr>
            <w:webHidden/>
          </w:rPr>
          <w:tab/>
        </w:r>
        <w:r w:rsidR="00856C29">
          <w:rPr>
            <w:webHidden/>
          </w:rPr>
          <w:fldChar w:fldCharType="begin"/>
        </w:r>
        <w:r w:rsidR="00856C29">
          <w:rPr>
            <w:webHidden/>
          </w:rPr>
          <w:instrText xml:space="preserve"> PAGEREF _Toc38987156 \h </w:instrText>
        </w:r>
        <w:r w:rsidR="00856C29">
          <w:rPr>
            <w:webHidden/>
          </w:rPr>
        </w:r>
        <w:r w:rsidR="00856C29">
          <w:rPr>
            <w:webHidden/>
          </w:rPr>
          <w:fldChar w:fldCharType="separate"/>
        </w:r>
        <w:r w:rsidR="00CD5270">
          <w:rPr>
            <w:webHidden/>
          </w:rPr>
          <w:t>33</w:t>
        </w:r>
        <w:r w:rsidR="00856C29">
          <w:rPr>
            <w:webHidden/>
          </w:rPr>
          <w:fldChar w:fldCharType="end"/>
        </w:r>
      </w:hyperlink>
    </w:p>
    <w:p w14:paraId="6F3073DD" w14:textId="000A3004" w:rsidR="00856C29" w:rsidRDefault="00D56172">
      <w:pPr>
        <w:pStyle w:val="TOC3"/>
        <w:rPr>
          <w:rFonts w:asciiTheme="minorHAnsi" w:eastAsiaTheme="minorEastAsia" w:hAnsiTheme="minorHAnsi" w:cstheme="minorBidi"/>
        </w:rPr>
      </w:pPr>
      <w:hyperlink w:anchor="_Toc38987157" w:history="1">
        <w:r w:rsidR="00856C29" w:rsidRPr="00144A47">
          <w:rPr>
            <w:rStyle w:val="Hyperlink"/>
          </w:rPr>
          <w:t>Class licensing and the spectrum commons</w:t>
        </w:r>
        <w:r w:rsidR="00856C29">
          <w:rPr>
            <w:webHidden/>
          </w:rPr>
          <w:tab/>
        </w:r>
        <w:r w:rsidR="00856C29">
          <w:rPr>
            <w:webHidden/>
          </w:rPr>
          <w:fldChar w:fldCharType="begin"/>
        </w:r>
        <w:r w:rsidR="00856C29">
          <w:rPr>
            <w:webHidden/>
          </w:rPr>
          <w:instrText xml:space="preserve"> PAGEREF _Toc38987157 \h </w:instrText>
        </w:r>
        <w:r w:rsidR="00856C29">
          <w:rPr>
            <w:webHidden/>
          </w:rPr>
        </w:r>
        <w:r w:rsidR="00856C29">
          <w:rPr>
            <w:webHidden/>
          </w:rPr>
          <w:fldChar w:fldCharType="separate"/>
        </w:r>
        <w:r w:rsidR="00CD5270">
          <w:rPr>
            <w:webHidden/>
          </w:rPr>
          <w:t>34</w:t>
        </w:r>
        <w:r w:rsidR="00856C29">
          <w:rPr>
            <w:webHidden/>
          </w:rPr>
          <w:fldChar w:fldCharType="end"/>
        </w:r>
      </w:hyperlink>
    </w:p>
    <w:p w14:paraId="30D9E87C" w14:textId="45B70865" w:rsidR="00856C29" w:rsidRDefault="00D56172">
      <w:pPr>
        <w:pStyle w:val="TOC3"/>
        <w:rPr>
          <w:rFonts w:asciiTheme="minorHAnsi" w:eastAsiaTheme="minorEastAsia" w:hAnsiTheme="minorHAnsi" w:cstheme="minorBidi"/>
        </w:rPr>
      </w:pPr>
      <w:hyperlink w:anchor="_Toc38987158" w:history="1">
        <w:r w:rsidR="00856C29" w:rsidRPr="00144A47">
          <w:rPr>
            <w:rStyle w:val="Hyperlink"/>
          </w:rPr>
          <w:t>Amateur radio</w:t>
        </w:r>
        <w:r w:rsidR="00856C29">
          <w:rPr>
            <w:webHidden/>
          </w:rPr>
          <w:tab/>
        </w:r>
        <w:r w:rsidR="00856C29">
          <w:rPr>
            <w:webHidden/>
          </w:rPr>
          <w:fldChar w:fldCharType="begin"/>
        </w:r>
        <w:r w:rsidR="00856C29">
          <w:rPr>
            <w:webHidden/>
          </w:rPr>
          <w:instrText xml:space="preserve"> PAGEREF _Toc38987158 \h </w:instrText>
        </w:r>
        <w:r w:rsidR="00856C29">
          <w:rPr>
            <w:webHidden/>
          </w:rPr>
        </w:r>
        <w:r w:rsidR="00856C29">
          <w:rPr>
            <w:webHidden/>
          </w:rPr>
          <w:fldChar w:fldCharType="separate"/>
        </w:r>
        <w:r w:rsidR="00CD5270">
          <w:rPr>
            <w:webHidden/>
          </w:rPr>
          <w:t>36</w:t>
        </w:r>
        <w:r w:rsidR="00856C29">
          <w:rPr>
            <w:webHidden/>
          </w:rPr>
          <w:fldChar w:fldCharType="end"/>
        </w:r>
      </w:hyperlink>
    </w:p>
    <w:p w14:paraId="32B8B8FC" w14:textId="6EC7644E" w:rsidR="00856C29" w:rsidRDefault="00D56172">
      <w:pPr>
        <w:pStyle w:val="TOC1"/>
        <w:rPr>
          <w:rFonts w:asciiTheme="minorHAnsi" w:eastAsiaTheme="minorEastAsia" w:hAnsiTheme="minorHAnsi" w:cstheme="minorBidi"/>
          <w:b w:val="0"/>
          <w:spacing w:val="0"/>
          <w:sz w:val="22"/>
          <w:szCs w:val="22"/>
        </w:rPr>
      </w:pPr>
      <w:hyperlink w:anchor="_Toc38987159" w:history="1">
        <w:r w:rsidR="00856C29" w:rsidRPr="00144A47">
          <w:rPr>
            <w:rStyle w:val="Hyperlink"/>
            <w:rFonts w:eastAsiaTheme="majorEastAsia"/>
          </w:rPr>
          <w:t>Part 2—Proposed 2020–21 annual spectrum management work program</w:t>
        </w:r>
        <w:r w:rsidR="00856C29">
          <w:rPr>
            <w:webHidden/>
          </w:rPr>
          <w:tab/>
        </w:r>
        <w:r w:rsidR="00856C29">
          <w:rPr>
            <w:webHidden/>
          </w:rPr>
          <w:fldChar w:fldCharType="begin"/>
        </w:r>
        <w:r w:rsidR="00856C29">
          <w:rPr>
            <w:webHidden/>
          </w:rPr>
          <w:instrText xml:space="preserve"> PAGEREF _Toc38987159 \h </w:instrText>
        </w:r>
        <w:r w:rsidR="00856C29">
          <w:rPr>
            <w:webHidden/>
          </w:rPr>
        </w:r>
        <w:r w:rsidR="00856C29">
          <w:rPr>
            <w:webHidden/>
          </w:rPr>
          <w:fldChar w:fldCharType="separate"/>
        </w:r>
        <w:r w:rsidR="00CD5270">
          <w:rPr>
            <w:webHidden/>
          </w:rPr>
          <w:t>37</w:t>
        </w:r>
        <w:r w:rsidR="00856C29">
          <w:rPr>
            <w:webHidden/>
          </w:rPr>
          <w:fldChar w:fldCharType="end"/>
        </w:r>
      </w:hyperlink>
    </w:p>
    <w:p w14:paraId="739D7083" w14:textId="64622481" w:rsidR="00856C29" w:rsidRDefault="00D56172">
      <w:pPr>
        <w:pStyle w:val="TOC2"/>
        <w:rPr>
          <w:rFonts w:asciiTheme="minorHAnsi" w:eastAsiaTheme="minorEastAsia" w:hAnsiTheme="minorHAnsi" w:cstheme="minorBidi"/>
          <w:spacing w:val="0"/>
          <w:sz w:val="22"/>
          <w:szCs w:val="22"/>
        </w:rPr>
      </w:pPr>
      <w:hyperlink w:anchor="_Toc38987160" w:history="1">
        <w:r w:rsidR="00856C29" w:rsidRPr="00144A47">
          <w:rPr>
            <w:rStyle w:val="Hyperlink"/>
          </w:rPr>
          <w:t>Priorities and resources</w:t>
        </w:r>
        <w:r w:rsidR="00856C29">
          <w:rPr>
            <w:webHidden/>
          </w:rPr>
          <w:tab/>
        </w:r>
        <w:r w:rsidR="00856C29">
          <w:rPr>
            <w:webHidden/>
          </w:rPr>
          <w:fldChar w:fldCharType="begin"/>
        </w:r>
        <w:r w:rsidR="00856C29">
          <w:rPr>
            <w:webHidden/>
          </w:rPr>
          <w:instrText xml:space="preserve"> PAGEREF _Toc38987160 \h </w:instrText>
        </w:r>
        <w:r w:rsidR="00856C29">
          <w:rPr>
            <w:webHidden/>
          </w:rPr>
        </w:r>
        <w:r w:rsidR="00856C29">
          <w:rPr>
            <w:webHidden/>
          </w:rPr>
          <w:fldChar w:fldCharType="separate"/>
        </w:r>
        <w:r w:rsidR="00CD5270">
          <w:rPr>
            <w:webHidden/>
          </w:rPr>
          <w:t>37</w:t>
        </w:r>
        <w:r w:rsidR="00856C29">
          <w:rPr>
            <w:webHidden/>
          </w:rPr>
          <w:fldChar w:fldCharType="end"/>
        </w:r>
      </w:hyperlink>
    </w:p>
    <w:p w14:paraId="79F2510A" w14:textId="618A9FD1" w:rsidR="00856C29" w:rsidRDefault="00D56172">
      <w:pPr>
        <w:pStyle w:val="TOC1"/>
        <w:rPr>
          <w:rFonts w:asciiTheme="minorHAnsi" w:eastAsiaTheme="minorEastAsia" w:hAnsiTheme="minorHAnsi" w:cstheme="minorBidi"/>
          <w:b w:val="0"/>
          <w:spacing w:val="0"/>
          <w:sz w:val="22"/>
          <w:szCs w:val="22"/>
        </w:rPr>
      </w:pPr>
      <w:hyperlink w:anchor="_Toc38987161" w:history="1">
        <w:r w:rsidR="00856C29" w:rsidRPr="00144A47">
          <w:rPr>
            <w:rStyle w:val="Hyperlink"/>
          </w:rPr>
          <w:t>Planning</w:t>
        </w:r>
        <w:r w:rsidR="00856C29">
          <w:rPr>
            <w:webHidden/>
          </w:rPr>
          <w:tab/>
        </w:r>
        <w:r w:rsidR="00856C29">
          <w:rPr>
            <w:webHidden/>
          </w:rPr>
          <w:fldChar w:fldCharType="begin"/>
        </w:r>
        <w:r w:rsidR="00856C29">
          <w:rPr>
            <w:webHidden/>
          </w:rPr>
          <w:instrText xml:space="preserve"> PAGEREF _Toc38987161 \h </w:instrText>
        </w:r>
        <w:r w:rsidR="00856C29">
          <w:rPr>
            <w:webHidden/>
          </w:rPr>
        </w:r>
        <w:r w:rsidR="00856C29">
          <w:rPr>
            <w:webHidden/>
          </w:rPr>
          <w:fldChar w:fldCharType="separate"/>
        </w:r>
        <w:r w:rsidR="00CD5270">
          <w:rPr>
            <w:webHidden/>
          </w:rPr>
          <w:t>38</w:t>
        </w:r>
        <w:r w:rsidR="00856C29">
          <w:rPr>
            <w:webHidden/>
          </w:rPr>
          <w:fldChar w:fldCharType="end"/>
        </w:r>
      </w:hyperlink>
    </w:p>
    <w:p w14:paraId="601BEBC9" w14:textId="171C6384" w:rsidR="00856C29" w:rsidRDefault="00D56172">
      <w:pPr>
        <w:pStyle w:val="TOC2"/>
        <w:rPr>
          <w:rFonts w:asciiTheme="minorHAnsi" w:eastAsiaTheme="minorEastAsia" w:hAnsiTheme="minorHAnsi" w:cstheme="minorBidi"/>
          <w:spacing w:val="0"/>
          <w:sz w:val="22"/>
          <w:szCs w:val="22"/>
        </w:rPr>
      </w:pPr>
      <w:hyperlink w:anchor="_Toc38987162" w:history="1">
        <w:r w:rsidR="00856C29" w:rsidRPr="00144A47">
          <w:rPr>
            <w:rStyle w:val="Hyperlink"/>
          </w:rPr>
          <w:t>Implementing outcomes of WRC-19</w:t>
        </w:r>
        <w:r w:rsidR="00856C29">
          <w:rPr>
            <w:webHidden/>
          </w:rPr>
          <w:tab/>
        </w:r>
        <w:r w:rsidR="00856C29">
          <w:rPr>
            <w:webHidden/>
          </w:rPr>
          <w:fldChar w:fldCharType="begin"/>
        </w:r>
        <w:r w:rsidR="00856C29">
          <w:rPr>
            <w:webHidden/>
          </w:rPr>
          <w:instrText xml:space="preserve"> PAGEREF _Toc38987162 \h </w:instrText>
        </w:r>
        <w:r w:rsidR="00856C29">
          <w:rPr>
            <w:webHidden/>
          </w:rPr>
        </w:r>
        <w:r w:rsidR="00856C29">
          <w:rPr>
            <w:webHidden/>
          </w:rPr>
          <w:fldChar w:fldCharType="separate"/>
        </w:r>
        <w:r w:rsidR="00CD5270">
          <w:rPr>
            <w:webHidden/>
          </w:rPr>
          <w:t>38</w:t>
        </w:r>
        <w:r w:rsidR="00856C29">
          <w:rPr>
            <w:webHidden/>
          </w:rPr>
          <w:fldChar w:fldCharType="end"/>
        </w:r>
      </w:hyperlink>
    </w:p>
    <w:p w14:paraId="2A31614D" w14:textId="40AC2AB3" w:rsidR="00856C29" w:rsidRDefault="00D56172">
      <w:pPr>
        <w:pStyle w:val="TOC2"/>
        <w:rPr>
          <w:rFonts w:asciiTheme="minorHAnsi" w:eastAsiaTheme="minorEastAsia" w:hAnsiTheme="minorHAnsi" w:cstheme="minorBidi"/>
          <w:spacing w:val="0"/>
          <w:sz w:val="22"/>
          <w:szCs w:val="22"/>
        </w:rPr>
      </w:pPr>
      <w:hyperlink w:anchor="_Toc38987163" w:history="1">
        <w:r w:rsidR="00856C29" w:rsidRPr="00144A47">
          <w:rPr>
            <w:rStyle w:val="Hyperlink"/>
          </w:rPr>
          <w:t>Major band planning and replanning activities</w:t>
        </w:r>
        <w:r w:rsidR="00856C29">
          <w:rPr>
            <w:webHidden/>
          </w:rPr>
          <w:tab/>
        </w:r>
        <w:r w:rsidR="00856C29">
          <w:rPr>
            <w:webHidden/>
          </w:rPr>
          <w:fldChar w:fldCharType="begin"/>
        </w:r>
        <w:r w:rsidR="00856C29">
          <w:rPr>
            <w:webHidden/>
          </w:rPr>
          <w:instrText xml:space="preserve"> PAGEREF _Toc38987163 \h </w:instrText>
        </w:r>
        <w:r w:rsidR="00856C29">
          <w:rPr>
            <w:webHidden/>
          </w:rPr>
        </w:r>
        <w:r w:rsidR="00856C29">
          <w:rPr>
            <w:webHidden/>
          </w:rPr>
          <w:fldChar w:fldCharType="separate"/>
        </w:r>
        <w:r w:rsidR="00CD5270">
          <w:rPr>
            <w:webHidden/>
          </w:rPr>
          <w:t>39</w:t>
        </w:r>
        <w:r w:rsidR="00856C29">
          <w:rPr>
            <w:webHidden/>
          </w:rPr>
          <w:fldChar w:fldCharType="end"/>
        </w:r>
      </w:hyperlink>
    </w:p>
    <w:p w14:paraId="436E944C" w14:textId="15B8BC07" w:rsidR="00856C29" w:rsidRDefault="00D56172">
      <w:pPr>
        <w:pStyle w:val="TOC2"/>
        <w:rPr>
          <w:rFonts w:asciiTheme="minorHAnsi" w:eastAsiaTheme="minorEastAsia" w:hAnsiTheme="minorHAnsi" w:cstheme="minorBidi"/>
          <w:spacing w:val="0"/>
          <w:sz w:val="22"/>
          <w:szCs w:val="22"/>
        </w:rPr>
      </w:pPr>
      <w:hyperlink w:anchor="_Toc38987164" w:history="1">
        <w:r w:rsidR="00856C29" w:rsidRPr="00144A47">
          <w:rPr>
            <w:rStyle w:val="Hyperlink"/>
          </w:rPr>
          <w:t>Monitoring</w:t>
        </w:r>
        <w:r w:rsidR="00856C29">
          <w:rPr>
            <w:webHidden/>
          </w:rPr>
          <w:tab/>
        </w:r>
        <w:r w:rsidR="00856C29">
          <w:rPr>
            <w:webHidden/>
          </w:rPr>
          <w:fldChar w:fldCharType="begin"/>
        </w:r>
        <w:r w:rsidR="00856C29">
          <w:rPr>
            <w:webHidden/>
          </w:rPr>
          <w:instrText xml:space="preserve"> PAGEREF _Toc38987164 \h </w:instrText>
        </w:r>
        <w:r w:rsidR="00856C29">
          <w:rPr>
            <w:webHidden/>
          </w:rPr>
        </w:r>
        <w:r w:rsidR="00856C29">
          <w:rPr>
            <w:webHidden/>
          </w:rPr>
          <w:fldChar w:fldCharType="separate"/>
        </w:r>
        <w:r w:rsidR="00CD5270">
          <w:rPr>
            <w:webHidden/>
          </w:rPr>
          <w:t>40</w:t>
        </w:r>
        <w:r w:rsidR="00856C29">
          <w:rPr>
            <w:webHidden/>
          </w:rPr>
          <w:fldChar w:fldCharType="end"/>
        </w:r>
      </w:hyperlink>
    </w:p>
    <w:p w14:paraId="043C12D6" w14:textId="30FECF7C" w:rsidR="00856C29" w:rsidRDefault="00D56172">
      <w:pPr>
        <w:pStyle w:val="TOC3"/>
        <w:rPr>
          <w:rFonts w:asciiTheme="minorHAnsi" w:eastAsiaTheme="minorEastAsia" w:hAnsiTheme="minorHAnsi" w:cstheme="minorBidi"/>
        </w:rPr>
      </w:pPr>
      <w:hyperlink w:anchor="_Toc38987165" w:history="1">
        <w:r w:rsidR="00856C29" w:rsidRPr="00144A47">
          <w:rPr>
            <w:rStyle w:val="Hyperlink"/>
          </w:rPr>
          <w:t>600 MHz (617–698 MHz)</w:t>
        </w:r>
        <w:r w:rsidR="00856C29">
          <w:rPr>
            <w:webHidden/>
          </w:rPr>
          <w:tab/>
        </w:r>
        <w:r w:rsidR="00856C29">
          <w:rPr>
            <w:webHidden/>
          </w:rPr>
          <w:fldChar w:fldCharType="begin"/>
        </w:r>
        <w:r w:rsidR="00856C29">
          <w:rPr>
            <w:webHidden/>
          </w:rPr>
          <w:instrText xml:space="preserve"> PAGEREF _Toc38987165 \h </w:instrText>
        </w:r>
        <w:r w:rsidR="00856C29">
          <w:rPr>
            <w:webHidden/>
          </w:rPr>
        </w:r>
        <w:r w:rsidR="00856C29">
          <w:rPr>
            <w:webHidden/>
          </w:rPr>
          <w:fldChar w:fldCharType="separate"/>
        </w:r>
        <w:r w:rsidR="00CD5270">
          <w:rPr>
            <w:webHidden/>
          </w:rPr>
          <w:t>40</w:t>
        </w:r>
        <w:r w:rsidR="00856C29">
          <w:rPr>
            <w:webHidden/>
          </w:rPr>
          <w:fldChar w:fldCharType="end"/>
        </w:r>
      </w:hyperlink>
    </w:p>
    <w:p w14:paraId="0FAB4C73" w14:textId="2838CE7C" w:rsidR="00856C29" w:rsidRDefault="00D56172">
      <w:pPr>
        <w:pStyle w:val="TOC3"/>
        <w:rPr>
          <w:rFonts w:asciiTheme="minorHAnsi" w:eastAsiaTheme="minorEastAsia" w:hAnsiTheme="minorHAnsi" w:cstheme="minorBidi"/>
        </w:rPr>
      </w:pPr>
      <w:hyperlink w:anchor="_Toc38987166" w:history="1">
        <w:r w:rsidR="00856C29" w:rsidRPr="00144A47">
          <w:rPr>
            <w:rStyle w:val="Hyperlink"/>
          </w:rPr>
          <w:t>1900–1920 MHz</w:t>
        </w:r>
        <w:r w:rsidR="00856C29">
          <w:rPr>
            <w:webHidden/>
          </w:rPr>
          <w:tab/>
        </w:r>
        <w:r w:rsidR="00856C29">
          <w:rPr>
            <w:webHidden/>
          </w:rPr>
          <w:fldChar w:fldCharType="begin"/>
        </w:r>
        <w:r w:rsidR="00856C29">
          <w:rPr>
            <w:webHidden/>
          </w:rPr>
          <w:instrText xml:space="preserve"> PAGEREF _Toc38987166 \h </w:instrText>
        </w:r>
        <w:r w:rsidR="00856C29">
          <w:rPr>
            <w:webHidden/>
          </w:rPr>
        </w:r>
        <w:r w:rsidR="00856C29">
          <w:rPr>
            <w:webHidden/>
          </w:rPr>
          <w:fldChar w:fldCharType="separate"/>
        </w:r>
        <w:r w:rsidR="00CD5270">
          <w:rPr>
            <w:webHidden/>
          </w:rPr>
          <w:t>41</w:t>
        </w:r>
        <w:r w:rsidR="00856C29">
          <w:rPr>
            <w:webHidden/>
          </w:rPr>
          <w:fldChar w:fldCharType="end"/>
        </w:r>
      </w:hyperlink>
    </w:p>
    <w:p w14:paraId="39A08DCD" w14:textId="51900455" w:rsidR="00856C29" w:rsidRDefault="00D56172">
      <w:pPr>
        <w:pStyle w:val="TOC3"/>
        <w:rPr>
          <w:rFonts w:asciiTheme="minorHAnsi" w:eastAsiaTheme="minorEastAsia" w:hAnsiTheme="minorHAnsi" w:cstheme="minorBidi"/>
        </w:rPr>
      </w:pPr>
      <w:hyperlink w:anchor="_Toc38987167" w:history="1">
        <w:r w:rsidR="00856C29" w:rsidRPr="00144A47">
          <w:rPr>
            <w:rStyle w:val="Hyperlink"/>
          </w:rPr>
          <w:t>3.3 GHz (3300–3400 MHz)</w:t>
        </w:r>
        <w:r w:rsidR="00856C29">
          <w:rPr>
            <w:webHidden/>
          </w:rPr>
          <w:tab/>
        </w:r>
        <w:r w:rsidR="00856C29">
          <w:rPr>
            <w:webHidden/>
          </w:rPr>
          <w:fldChar w:fldCharType="begin"/>
        </w:r>
        <w:r w:rsidR="00856C29">
          <w:rPr>
            <w:webHidden/>
          </w:rPr>
          <w:instrText xml:space="preserve"> PAGEREF _Toc38987167 \h </w:instrText>
        </w:r>
        <w:r w:rsidR="00856C29">
          <w:rPr>
            <w:webHidden/>
          </w:rPr>
        </w:r>
        <w:r w:rsidR="00856C29">
          <w:rPr>
            <w:webHidden/>
          </w:rPr>
          <w:fldChar w:fldCharType="separate"/>
        </w:r>
        <w:r w:rsidR="00CD5270">
          <w:rPr>
            <w:webHidden/>
          </w:rPr>
          <w:t>41</w:t>
        </w:r>
        <w:r w:rsidR="00856C29">
          <w:rPr>
            <w:webHidden/>
          </w:rPr>
          <w:fldChar w:fldCharType="end"/>
        </w:r>
      </w:hyperlink>
    </w:p>
    <w:p w14:paraId="5F6CC9E3" w14:textId="1AA1F0CB" w:rsidR="00856C29" w:rsidRDefault="00D56172">
      <w:pPr>
        <w:pStyle w:val="TOC3"/>
        <w:rPr>
          <w:rFonts w:asciiTheme="minorHAnsi" w:eastAsiaTheme="minorEastAsia" w:hAnsiTheme="minorHAnsi" w:cstheme="minorBidi"/>
        </w:rPr>
      </w:pPr>
      <w:hyperlink w:anchor="_Toc38987168" w:history="1">
        <w:r w:rsidR="00856C29" w:rsidRPr="00144A47">
          <w:rPr>
            <w:rStyle w:val="Hyperlink"/>
          </w:rPr>
          <w:t>4.5 GHz (4400–4500 MHz)</w:t>
        </w:r>
        <w:r w:rsidR="00856C29">
          <w:rPr>
            <w:webHidden/>
          </w:rPr>
          <w:tab/>
        </w:r>
        <w:r w:rsidR="00856C29">
          <w:rPr>
            <w:webHidden/>
          </w:rPr>
          <w:fldChar w:fldCharType="begin"/>
        </w:r>
        <w:r w:rsidR="00856C29">
          <w:rPr>
            <w:webHidden/>
          </w:rPr>
          <w:instrText xml:space="preserve"> PAGEREF _Toc38987168 \h </w:instrText>
        </w:r>
        <w:r w:rsidR="00856C29">
          <w:rPr>
            <w:webHidden/>
          </w:rPr>
        </w:r>
        <w:r w:rsidR="00856C29">
          <w:rPr>
            <w:webHidden/>
          </w:rPr>
          <w:fldChar w:fldCharType="separate"/>
        </w:r>
        <w:r w:rsidR="00CD5270">
          <w:rPr>
            <w:webHidden/>
          </w:rPr>
          <w:t>42</w:t>
        </w:r>
        <w:r w:rsidR="00856C29">
          <w:rPr>
            <w:webHidden/>
          </w:rPr>
          <w:fldChar w:fldCharType="end"/>
        </w:r>
      </w:hyperlink>
    </w:p>
    <w:p w14:paraId="6B89F030" w14:textId="6758D342" w:rsidR="00856C29" w:rsidRDefault="00D56172">
      <w:pPr>
        <w:pStyle w:val="TOC3"/>
        <w:rPr>
          <w:rFonts w:asciiTheme="minorHAnsi" w:eastAsiaTheme="minorEastAsia" w:hAnsiTheme="minorHAnsi" w:cstheme="minorBidi"/>
        </w:rPr>
      </w:pPr>
      <w:hyperlink w:anchor="_Toc38987169" w:history="1">
        <w:r w:rsidR="00856C29" w:rsidRPr="00144A47">
          <w:rPr>
            <w:rStyle w:val="Hyperlink"/>
          </w:rPr>
          <w:t>4.8 GHz (4800–4990 MHz)</w:t>
        </w:r>
        <w:r w:rsidR="00856C29">
          <w:rPr>
            <w:webHidden/>
          </w:rPr>
          <w:tab/>
        </w:r>
        <w:r w:rsidR="00856C29">
          <w:rPr>
            <w:webHidden/>
          </w:rPr>
          <w:fldChar w:fldCharType="begin"/>
        </w:r>
        <w:r w:rsidR="00856C29">
          <w:rPr>
            <w:webHidden/>
          </w:rPr>
          <w:instrText xml:space="preserve"> PAGEREF _Toc38987169 \h </w:instrText>
        </w:r>
        <w:r w:rsidR="00856C29">
          <w:rPr>
            <w:webHidden/>
          </w:rPr>
        </w:r>
        <w:r w:rsidR="00856C29">
          <w:rPr>
            <w:webHidden/>
          </w:rPr>
          <w:fldChar w:fldCharType="separate"/>
        </w:r>
        <w:r w:rsidR="00CD5270">
          <w:rPr>
            <w:webHidden/>
          </w:rPr>
          <w:t>42</w:t>
        </w:r>
        <w:r w:rsidR="00856C29">
          <w:rPr>
            <w:webHidden/>
          </w:rPr>
          <w:fldChar w:fldCharType="end"/>
        </w:r>
      </w:hyperlink>
    </w:p>
    <w:p w14:paraId="25D062C4" w14:textId="7937E9A1" w:rsidR="00856C29" w:rsidRDefault="00D56172">
      <w:pPr>
        <w:pStyle w:val="TOC3"/>
        <w:rPr>
          <w:rFonts w:asciiTheme="minorHAnsi" w:eastAsiaTheme="minorEastAsia" w:hAnsiTheme="minorHAnsi" w:cstheme="minorBidi"/>
        </w:rPr>
      </w:pPr>
      <w:hyperlink w:anchor="_Toc38987170" w:history="1">
        <w:r w:rsidR="00856C29" w:rsidRPr="00144A47">
          <w:rPr>
            <w:rStyle w:val="Hyperlink"/>
          </w:rPr>
          <w:t>13 GHz (12.75–13.25 GHz)</w:t>
        </w:r>
        <w:r w:rsidR="00856C29">
          <w:rPr>
            <w:webHidden/>
          </w:rPr>
          <w:tab/>
        </w:r>
        <w:r w:rsidR="00856C29">
          <w:rPr>
            <w:webHidden/>
          </w:rPr>
          <w:fldChar w:fldCharType="begin"/>
        </w:r>
        <w:r w:rsidR="00856C29">
          <w:rPr>
            <w:webHidden/>
          </w:rPr>
          <w:instrText xml:space="preserve"> PAGEREF _Toc38987170 \h </w:instrText>
        </w:r>
        <w:r w:rsidR="00856C29">
          <w:rPr>
            <w:webHidden/>
          </w:rPr>
        </w:r>
        <w:r w:rsidR="00856C29">
          <w:rPr>
            <w:webHidden/>
          </w:rPr>
          <w:fldChar w:fldCharType="separate"/>
        </w:r>
        <w:r w:rsidR="00CD5270">
          <w:rPr>
            <w:webHidden/>
          </w:rPr>
          <w:t>43</w:t>
        </w:r>
        <w:r w:rsidR="00856C29">
          <w:rPr>
            <w:webHidden/>
          </w:rPr>
          <w:fldChar w:fldCharType="end"/>
        </w:r>
      </w:hyperlink>
    </w:p>
    <w:p w14:paraId="4669C076" w14:textId="41C851A8" w:rsidR="00856C29" w:rsidRDefault="00D56172">
      <w:pPr>
        <w:pStyle w:val="TOC3"/>
        <w:rPr>
          <w:rFonts w:asciiTheme="minorHAnsi" w:eastAsiaTheme="minorEastAsia" w:hAnsiTheme="minorHAnsi" w:cstheme="minorBidi"/>
        </w:rPr>
      </w:pPr>
      <w:hyperlink w:anchor="_Toc38987171" w:history="1">
        <w:r w:rsidR="00856C29" w:rsidRPr="00144A47">
          <w:rPr>
            <w:rStyle w:val="Hyperlink"/>
          </w:rPr>
          <w:t>40 GHz (37–43.5 GHz)</w:t>
        </w:r>
        <w:r w:rsidR="00856C29">
          <w:rPr>
            <w:webHidden/>
          </w:rPr>
          <w:tab/>
        </w:r>
        <w:r w:rsidR="00856C29">
          <w:rPr>
            <w:webHidden/>
          </w:rPr>
          <w:fldChar w:fldCharType="begin"/>
        </w:r>
        <w:r w:rsidR="00856C29">
          <w:rPr>
            <w:webHidden/>
          </w:rPr>
          <w:instrText xml:space="preserve"> PAGEREF _Toc38987171 \h </w:instrText>
        </w:r>
        <w:r w:rsidR="00856C29">
          <w:rPr>
            <w:webHidden/>
          </w:rPr>
        </w:r>
        <w:r w:rsidR="00856C29">
          <w:rPr>
            <w:webHidden/>
          </w:rPr>
          <w:fldChar w:fldCharType="separate"/>
        </w:r>
        <w:r w:rsidR="00CD5270">
          <w:rPr>
            <w:webHidden/>
          </w:rPr>
          <w:t>44</w:t>
        </w:r>
        <w:r w:rsidR="00856C29">
          <w:rPr>
            <w:webHidden/>
          </w:rPr>
          <w:fldChar w:fldCharType="end"/>
        </w:r>
      </w:hyperlink>
    </w:p>
    <w:p w14:paraId="62093EBD" w14:textId="15674A27" w:rsidR="00856C29" w:rsidRDefault="00D56172">
      <w:pPr>
        <w:pStyle w:val="TOC3"/>
        <w:rPr>
          <w:rFonts w:asciiTheme="minorHAnsi" w:eastAsiaTheme="minorEastAsia" w:hAnsiTheme="minorHAnsi" w:cstheme="minorBidi"/>
        </w:rPr>
      </w:pPr>
      <w:hyperlink w:anchor="_Toc38987172" w:history="1">
        <w:r w:rsidR="00856C29" w:rsidRPr="00144A47">
          <w:rPr>
            <w:rStyle w:val="Hyperlink"/>
          </w:rPr>
          <w:t>46 GHz (45.5–47 GHz)</w:t>
        </w:r>
        <w:r w:rsidR="00856C29">
          <w:rPr>
            <w:webHidden/>
          </w:rPr>
          <w:tab/>
        </w:r>
        <w:r w:rsidR="00856C29">
          <w:rPr>
            <w:webHidden/>
          </w:rPr>
          <w:fldChar w:fldCharType="begin"/>
        </w:r>
        <w:r w:rsidR="00856C29">
          <w:rPr>
            <w:webHidden/>
          </w:rPr>
          <w:instrText xml:space="preserve"> PAGEREF _Toc38987172 \h </w:instrText>
        </w:r>
        <w:r w:rsidR="00856C29">
          <w:rPr>
            <w:webHidden/>
          </w:rPr>
        </w:r>
        <w:r w:rsidR="00856C29">
          <w:rPr>
            <w:webHidden/>
          </w:rPr>
          <w:fldChar w:fldCharType="separate"/>
        </w:r>
        <w:r w:rsidR="00CD5270">
          <w:rPr>
            <w:webHidden/>
          </w:rPr>
          <w:t>45</w:t>
        </w:r>
        <w:r w:rsidR="00856C29">
          <w:rPr>
            <w:webHidden/>
          </w:rPr>
          <w:fldChar w:fldCharType="end"/>
        </w:r>
      </w:hyperlink>
    </w:p>
    <w:p w14:paraId="17B8CAA1" w14:textId="79500CD0" w:rsidR="00856C29" w:rsidRDefault="00D56172">
      <w:pPr>
        <w:pStyle w:val="TOC3"/>
        <w:rPr>
          <w:rFonts w:asciiTheme="minorHAnsi" w:eastAsiaTheme="minorEastAsia" w:hAnsiTheme="minorHAnsi" w:cstheme="minorBidi"/>
        </w:rPr>
      </w:pPr>
      <w:hyperlink w:anchor="_Toc38987173" w:history="1">
        <w:r w:rsidR="00856C29" w:rsidRPr="00144A47">
          <w:rPr>
            <w:rStyle w:val="Hyperlink"/>
          </w:rPr>
          <w:t>47 GHz (47.2–48.2 GHz)</w:t>
        </w:r>
        <w:r w:rsidR="00856C29">
          <w:rPr>
            <w:webHidden/>
          </w:rPr>
          <w:tab/>
        </w:r>
        <w:r w:rsidR="00856C29">
          <w:rPr>
            <w:webHidden/>
          </w:rPr>
          <w:fldChar w:fldCharType="begin"/>
        </w:r>
        <w:r w:rsidR="00856C29">
          <w:rPr>
            <w:webHidden/>
          </w:rPr>
          <w:instrText xml:space="preserve"> PAGEREF _Toc38987173 \h </w:instrText>
        </w:r>
        <w:r w:rsidR="00856C29">
          <w:rPr>
            <w:webHidden/>
          </w:rPr>
        </w:r>
        <w:r w:rsidR="00856C29">
          <w:rPr>
            <w:webHidden/>
          </w:rPr>
          <w:fldChar w:fldCharType="separate"/>
        </w:r>
        <w:r w:rsidR="00CD5270">
          <w:rPr>
            <w:webHidden/>
          </w:rPr>
          <w:t>45</w:t>
        </w:r>
        <w:r w:rsidR="00856C29">
          <w:rPr>
            <w:webHidden/>
          </w:rPr>
          <w:fldChar w:fldCharType="end"/>
        </w:r>
      </w:hyperlink>
    </w:p>
    <w:p w14:paraId="27424088" w14:textId="5694ED35" w:rsidR="00856C29" w:rsidRDefault="00D56172">
      <w:pPr>
        <w:pStyle w:val="TOC3"/>
        <w:rPr>
          <w:rFonts w:asciiTheme="minorHAnsi" w:eastAsiaTheme="minorEastAsia" w:hAnsiTheme="minorHAnsi" w:cstheme="minorBidi"/>
        </w:rPr>
      </w:pPr>
      <w:hyperlink w:anchor="_Toc38987174" w:history="1">
        <w:r w:rsidR="00856C29" w:rsidRPr="00144A47">
          <w:rPr>
            <w:rStyle w:val="Hyperlink"/>
          </w:rPr>
          <w:t>Bands studied under WRC-19 agenda item 1.16</w:t>
        </w:r>
        <w:r w:rsidR="00856C29">
          <w:rPr>
            <w:webHidden/>
          </w:rPr>
          <w:tab/>
        </w:r>
        <w:r w:rsidR="00856C29">
          <w:rPr>
            <w:webHidden/>
          </w:rPr>
          <w:fldChar w:fldCharType="begin"/>
        </w:r>
        <w:r w:rsidR="00856C29">
          <w:rPr>
            <w:webHidden/>
          </w:rPr>
          <w:instrText xml:space="preserve"> PAGEREF _Toc38987174 \h </w:instrText>
        </w:r>
        <w:r w:rsidR="00856C29">
          <w:rPr>
            <w:webHidden/>
          </w:rPr>
        </w:r>
        <w:r w:rsidR="00856C29">
          <w:rPr>
            <w:webHidden/>
          </w:rPr>
          <w:fldChar w:fldCharType="separate"/>
        </w:r>
        <w:r w:rsidR="00CD5270">
          <w:rPr>
            <w:webHidden/>
          </w:rPr>
          <w:t>46</w:t>
        </w:r>
        <w:r w:rsidR="00856C29">
          <w:rPr>
            <w:webHidden/>
          </w:rPr>
          <w:fldChar w:fldCharType="end"/>
        </w:r>
      </w:hyperlink>
    </w:p>
    <w:p w14:paraId="33B2642B" w14:textId="4837236F" w:rsidR="00856C29" w:rsidRDefault="00D56172">
      <w:pPr>
        <w:pStyle w:val="TOC3"/>
        <w:rPr>
          <w:rFonts w:asciiTheme="minorHAnsi" w:eastAsiaTheme="minorEastAsia" w:hAnsiTheme="minorHAnsi" w:cstheme="minorBidi"/>
        </w:rPr>
      </w:pPr>
      <w:hyperlink w:anchor="_Toc38987175" w:history="1">
        <w:r w:rsidR="00856C29" w:rsidRPr="00144A47">
          <w:rPr>
            <w:rStyle w:val="Hyperlink"/>
          </w:rPr>
          <w:t>Bands being studied under WRC-23 agenda item 1.2</w:t>
        </w:r>
        <w:r w:rsidR="00856C29">
          <w:rPr>
            <w:webHidden/>
          </w:rPr>
          <w:tab/>
        </w:r>
        <w:r w:rsidR="00856C29">
          <w:rPr>
            <w:webHidden/>
          </w:rPr>
          <w:fldChar w:fldCharType="begin"/>
        </w:r>
        <w:r w:rsidR="00856C29">
          <w:rPr>
            <w:webHidden/>
          </w:rPr>
          <w:instrText xml:space="preserve"> PAGEREF _Toc38987175 \h </w:instrText>
        </w:r>
        <w:r w:rsidR="00856C29">
          <w:rPr>
            <w:webHidden/>
          </w:rPr>
        </w:r>
        <w:r w:rsidR="00856C29">
          <w:rPr>
            <w:webHidden/>
          </w:rPr>
          <w:fldChar w:fldCharType="separate"/>
        </w:r>
        <w:r w:rsidR="00CD5270">
          <w:rPr>
            <w:webHidden/>
          </w:rPr>
          <w:t>46</w:t>
        </w:r>
        <w:r w:rsidR="00856C29">
          <w:rPr>
            <w:webHidden/>
          </w:rPr>
          <w:fldChar w:fldCharType="end"/>
        </w:r>
      </w:hyperlink>
    </w:p>
    <w:p w14:paraId="5DB99964" w14:textId="5B583829" w:rsidR="00856C29" w:rsidRDefault="00D56172">
      <w:pPr>
        <w:pStyle w:val="TOC3"/>
        <w:rPr>
          <w:rFonts w:asciiTheme="minorHAnsi" w:eastAsiaTheme="minorEastAsia" w:hAnsiTheme="minorHAnsi" w:cstheme="minorBidi"/>
        </w:rPr>
      </w:pPr>
      <w:hyperlink w:anchor="_Toc38987176" w:history="1">
        <w:r w:rsidR="00856C29" w:rsidRPr="00144A47">
          <w:rPr>
            <w:rStyle w:val="Hyperlink"/>
          </w:rPr>
          <w:t>Bands being studied under WRC-23 agenda item 1.4</w:t>
        </w:r>
        <w:r w:rsidR="00856C29">
          <w:rPr>
            <w:webHidden/>
          </w:rPr>
          <w:tab/>
        </w:r>
        <w:r w:rsidR="00856C29">
          <w:rPr>
            <w:webHidden/>
          </w:rPr>
          <w:fldChar w:fldCharType="begin"/>
        </w:r>
        <w:r w:rsidR="00856C29">
          <w:rPr>
            <w:webHidden/>
          </w:rPr>
          <w:instrText xml:space="preserve"> PAGEREF _Toc38987176 \h </w:instrText>
        </w:r>
        <w:r w:rsidR="00856C29">
          <w:rPr>
            <w:webHidden/>
          </w:rPr>
        </w:r>
        <w:r w:rsidR="00856C29">
          <w:rPr>
            <w:webHidden/>
          </w:rPr>
          <w:fldChar w:fldCharType="separate"/>
        </w:r>
        <w:r w:rsidR="00CD5270">
          <w:rPr>
            <w:webHidden/>
          </w:rPr>
          <w:t>47</w:t>
        </w:r>
        <w:r w:rsidR="00856C29">
          <w:rPr>
            <w:webHidden/>
          </w:rPr>
          <w:fldChar w:fldCharType="end"/>
        </w:r>
      </w:hyperlink>
    </w:p>
    <w:p w14:paraId="343E6E04" w14:textId="65988DDF" w:rsidR="00856C29" w:rsidRDefault="00D56172">
      <w:pPr>
        <w:pStyle w:val="TOC2"/>
        <w:rPr>
          <w:rFonts w:asciiTheme="minorHAnsi" w:eastAsiaTheme="minorEastAsia" w:hAnsiTheme="minorHAnsi" w:cstheme="minorBidi"/>
          <w:spacing w:val="0"/>
          <w:sz w:val="22"/>
          <w:szCs w:val="22"/>
        </w:rPr>
      </w:pPr>
      <w:hyperlink w:anchor="_Toc38987177" w:history="1">
        <w:r w:rsidR="00856C29" w:rsidRPr="00144A47">
          <w:rPr>
            <w:rStyle w:val="Hyperlink"/>
          </w:rPr>
          <w:t>Initial investigation</w:t>
        </w:r>
        <w:r w:rsidR="00856C29">
          <w:rPr>
            <w:webHidden/>
          </w:rPr>
          <w:tab/>
        </w:r>
        <w:r w:rsidR="00856C29">
          <w:rPr>
            <w:webHidden/>
          </w:rPr>
          <w:fldChar w:fldCharType="begin"/>
        </w:r>
        <w:r w:rsidR="00856C29">
          <w:rPr>
            <w:webHidden/>
          </w:rPr>
          <w:instrText xml:space="preserve"> PAGEREF _Toc38987177 \h </w:instrText>
        </w:r>
        <w:r w:rsidR="00856C29">
          <w:rPr>
            <w:webHidden/>
          </w:rPr>
        </w:r>
        <w:r w:rsidR="00856C29">
          <w:rPr>
            <w:webHidden/>
          </w:rPr>
          <w:fldChar w:fldCharType="separate"/>
        </w:r>
        <w:r w:rsidR="00CD5270">
          <w:rPr>
            <w:webHidden/>
          </w:rPr>
          <w:t>47</w:t>
        </w:r>
        <w:r w:rsidR="00856C29">
          <w:rPr>
            <w:webHidden/>
          </w:rPr>
          <w:fldChar w:fldCharType="end"/>
        </w:r>
      </w:hyperlink>
    </w:p>
    <w:p w14:paraId="5A0F5D61" w14:textId="728EF35F" w:rsidR="00856C29" w:rsidRDefault="00D56172">
      <w:pPr>
        <w:pStyle w:val="TOC3"/>
        <w:rPr>
          <w:rFonts w:asciiTheme="minorHAnsi" w:eastAsiaTheme="minorEastAsia" w:hAnsiTheme="minorHAnsi" w:cstheme="minorBidi"/>
        </w:rPr>
      </w:pPr>
      <w:hyperlink w:anchor="_Toc38987178" w:history="1">
        <w:r w:rsidR="00856C29" w:rsidRPr="00144A47">
          <w:rPr>
            <w:rStyle w:val="Hyperlink"/>
          </w:rPr>
          <w:t>‘Extended MSS L-band’ (1518–1525 MHz and 1668–1675 MHz)</w:t>
        </w:r>
        <w:r w:rsidR="00856C29">
          <w:rPr>
            <w:webHidden/>
          </w:rPr>
          <w:tab/>
        </w:r>
        <w:r w:rsidR="00856C29">
          <w:rPr>
            <w:webHidden/>
          </w:rPr>
          <w:fldChar w:fldCharType="begin"/>
        </w:r>
        <w:r w:rsidR="00856C29">
          <w:rPr>
            <w:webHidden/>
          </w:rPr>
          <w:instrText xml:space="preserve"> PAGEREF _Toc38987178 \h </w:instrText>
        </w:r>
        <w:r w:rsidR="00856C29">
          <w:rPr>
            <w:webHidden/>
          </w:rPr>
        </w:r>
        <w:r w:rsidR="00856C29">
          <w:rPr>
            <w:webHidden/>
          </w:rPr>
          <w:fldChar w:fldCharType="separate"/>
        </w:r>
        <w:r w:rsidR="00CD5270">
          <w:rPr>
            <w:webHidden/>
          </w:rPr>
          <w:t>47</w:t>
        </w:r>
        <w:r w:rsidR="00856C29">
          <w:rPr>
            <w:webHidden/>
          </w:rPr>
          <w:fldChar w:fldCharType="end"/>
        </w:r>
      </w:hyperlink>
    </w:p>
    <w:p w14:paraId="1A7E287C" w14:textId="4573CDDB" w:rsidR="00856C29" w:rsidRDefault="00D56172">
      <w:pPr>
        <w:pStyle w:val="TOC3"/>
        <w:rPr>
          <w:rFonts w:asciiTheme="minorHAnsi" w:eastAsiaTheme="minorEastAsia" w:hAnsiTheme="minorHAnsi" w:cstheme="minorBidi"/>
        </w:rPr>
      </w:pPr>
      <w:hyperlink w:anchor="_Toc38987179" w:history="1">
        <w:r w:rsidR="00856C29" w:rsidRPr="00144A47">
          <w:rPr>
            <w:rStyle w:val="Hyperlink"/>
          </w:rPr>
          <w:t>2300–2302 MHz</w:t>
        </w:r>
        <w:r w:rsidR="00856C29">
          <w:rPr>
            <w:webHidden/>
          </w:rPr>
          <w:tab/>
        </w:r>
        <w:r w:rsidR="00856C29">
          <w:rPr>
            <w:webHidden/>
          </w:rPr>
          <w:fldChar w:fldCharType="begin"/>
        </w:r>
        <w:r w:rsidR="00856C29">
          <w:rPr>
            <w:webHidden/>
          </w:rPr>
          <w:instrText xml:space="preserve"> PAGEREF _Toc38987179 \h </w:instrText>
        </w:r>
        <w:r w:rsidR="00856C29">
          <w:rPr>
            <w:webHidden/>
          </w:rPr>
        </w:r>
        <w:r w:rsidR="00856C29">
          <w:rPr>
            <w:webHidden/>
          </w:rPr>
          <w:fldChar w:fldCharType="separate"/>
        </w:r>
        <w:r w:rsidR="00CD5270">
          <w:rPr>
            <w:webHidden/>
          </w:rPr>
          <w:t>48</w:t>
        </w:r>
        <w:r w:rsidR="00856C29">
          <w:rPr>
            <w:webHidden/>
          </w:rPr>
          <w:fldChar w:fldCharType="end"/>
        </w:r>
      </w:hyperlink>
    </w:p>
    <w:p w14:paraId="74E3D324" w14:textId="3885CF51" w:rsidR="00856C29" w:rsidRDefault="00D56172">
      <w:pPr>
        <w:pStyle w:val="TOC2"/>
        <w:rPr>
          <w:rFonts w:asciiTheme="minorHAnsi" w:eastAsiaTheme="minorEastAsia" w:hAnsiTheme="minorHAnsi" w:cstheme="minorBidi"/>
          <w:spacing w:val="0"/>
          <w:sz w:val="22"/>
          <w:szCs w:val="22"/>
        </w:rPr>
      </w:pPr>
      <w:hyperlink w:anchor="_Toc38987180" w:history="1">
        <w:r w:rsidR="00856C29" w:rsidRPr="00144A47">
          <w:rPr>
            <w:rStyle w:val="Hyperlink"/>
          </w:rPr>
          <w:t>Preliminary replanning</w:t>
        </w:r>
        <w:r w:rsidR="00856C29">
          <w:rPr>
            <w:webHidden/>
          </w:rPr>
          <w:tab/>
        </w:r>
        <w:r w:rsidR="00856C29">
          <w:rPr>
            <w:webHidden/>
          </w:rPr>
          <w:fldChar w:fldCharType="begin"/>
        </w:r>
        <w:r w:rsidR="00856C29">
          <w:rPr>
            <w:webHidden/>
          </w:rPr>
          <w:instrText xml:space="preserve"> PAGEREF _Toc38987180 \h </w:instrText>
        </w:r>
        <w:r w:rsidR="00856C29">
          <w:rPr>
            <w:webHidden/>
          </w:rPr>
        </w:r>
        <w:r w:rsidR="00856C29">
          <w:rPr>
            <w:webHidden/>
          </w:rPr>
          <w:fldChar w:fldCharType="separate"/>
        </w:r>
        <w:r w:rsidR="00CD5270">
          <w:rPr>
            <w:webHidden/>
          </w:rPr>
          <w:t>48</w:t>
        </w:r>
        <w:r w:rsidR="00856C29">
          <w:rPr>
            <w:webHidden/>
          </w:rPr>
          <w:fldChar w:fldCharType="end"/>
        </w:r>
      </w:hyperlink>
    </w:p>
    <w:p w14:paraId="632811D3" w14:textId="44F1AE7F" w:rsidR="00856C29" w:rsidRDefault="00D56172">
      <w:pPr>
        <w:pStyle w:val="TOC3"/>
        <w:rPr>
          <w:rFonts w:asciiTheme="minorHAnsi" w:eastAsiaTheme="minorEastAsia" w:hAnsiTheme="minorHAnsi" w:cstheme="minorBidi"/>
        </w:rPr>
      </w:pPr>
      <w:hyperlink w:anchor="_Toc38987181" w:history="1">
        <w:r w:rsidR="00856C29" w:rsidRPr="00144A47">
          <w:rPr>
            <w:rStyle w:val="Hyperlink"/>
          </w:rPr>
          <w:t>1.5 GHz (1427–1518 MHz)</w:t>
        </w:r>
        <w:r w:rsidR="00856C29">
          <w:rPr>
            <w:webHidden/>
          </w:rPr>
          <w:tab/>
        </w:r>
        <w:r w:rsidR="00856C29">
          <w:rPr>
            <w:webHidden/>
          </w:rPr>
          <w:fldChar w:fldCharType="begin"/>
        </w:r>
        <w:r w:rsidR="00856C29">
          <w:rPr>
            <w:webHidden/>
          </w:rPr>
          <w:instrText xml:space="preserve"> PAGEREF _Toc38987181 \h </w:instrText>
        </w:r>
        <w:r w:rsidR="00856C29">
          <w:rPr>
            <w:webHidden/>
          </w:rPr>
        </w:r>
        <w:r w:rsidR="00856C29">
          <w:rPr>
            <w:webHidden/>
          </w:rPr>
          <w:fldChar w:fldCharType="separate"/>
        </w:r>
        <w:r w:rsidR="00CD5270">
          <w:rPr>
            <w:webHidden/>
          </w:rPr>
          <w:t>48</w:t>
        </w:r>
        <w:r w:rsidR="00856C29">
          <w:rPr>
            <w:webHidden/>
          </w:rPr>
          <w:fldChar w:fldCharType="end"/>
        </w:r>
      </w:hyperlink>
    </w:p>
    <w:p w14:paraId="1340AE56" w14:textId="110BBE7A" w:rsidR="00856C29" w:rsidRDefault="00D56172">
      <w:pPr>
        <w:pStyle w:val="TOC3"/>
        <w:rPr>
          <w:rFonts w:asciiTheme="minorHAnsi" w:eastAsiaTheme="minorEastAsia" w:hAnsiTheme="minorHAnsi" w:cstheme="minorBidi"/>
        </w:rPr>
      </w:pPr>
      <w:hyperlink w:anchor="_Toc38987182" w:history="1">
        <w:r w:rsidR="00856C29" w:rsidRPr="00144A47">
          <w:rPr>
            <w:rStyle w:val="Hyperlink"/>
          </w:rPr>
          <w:t>2 GHz (1980–2010 MHz and 2170–2200 MHz)</w:t>
        </w:r>
        <w:r w:rsidR="00856C29">
          <w:rPr>
            <w:webHidden/>
          </w:rPr>
          <w:tab/>
        </w:r>
        <w:r w:rsidR="00856C29">
          <w:rPr>
            <w:webHidden/>
          </w:rPr>
          <w:fldChar w:fldCharType="begin"/>
        </w:r>
        <w:r w:rsidR="00856C29">
          <w:rPr>
            <w:webHidden/>
          </w:rPr>
          <w:instrText xml:space="preserve"> PAGEREF _Toc38987182 \h </w:instrText>
        </w:r>
        <w:r w:rsidR="00856C29">
          <w:rPr>
            <w:webHidden/>
          </w:rPr>
        </w:r>
        <w:r w:rsidR="00856C29">
          <w:rPr>
            <w:webHidden/>
          </w:rPr>
          <w:fldChar w:fldCharType="separate"/>
        </w:r>
        <w:r w:rsidR="00CD5270">
          <w:rPr>
            <w:webHidden/>
          </w:rPr>
          <w:t>50</w:t>
        </w:r>
        <w:r w:rsidR="00856C29">
          <w:rPr>
            <w:webHidden/>
          </w:rPr>
          <w:fldChar w:fldCharType="end"/>
        </w:r>
      </w:hyperlink>
    </w:p>
    <w:p w14:paraId="336CD530" w14:textId="6206B46C" w:rsidR="00856C29" w:rsidRDefault="00D56172">
      <w:pPr>
        <w:pStyle w:val="TOC3"/>
        <w:rPr>
          <w:rFonts w:asciiTheme="minorHAnsi" w:eastAsiaTheme="minorEastAsia" w:hAnsiTheme="minorHAnsi" w:cstheme="minorBidi"/>
        </w:rPr>
      </w:pPr>
      <w:hyperlink w:anchor="_Toc38987183" w:history="1">
        <w:r w:rsidR="00856C29" w:rsidRPr="00144A47">
          <w:rPr>
            <w:rStyle w:val="Hyperlink"/>
          </w:rPr>
          <w:t>3700–4200 MHz</w:t>
        </w:r>
        <w:r w:rsidR="00856C29">
          <w:rPr>
            <w:webHidden/>
          </w:rPr>
          <w:tab/>
        </w:r>
        <w:r w:rsidR="00856C29">
          <w:rPr>
            <w:webHidden/>
          </w:rPr>
          <w:fldChar w:fldCharType="begin"/>
        </w:r>
        <w:r w:rsidR="00856C29">
          <w:rPr>
            <w:webHidden/>
          </w:rPr>
          <w:instrText xml:space="preserve"> PAGEREF _Toc38987183 \h </w:instrText>
        </w:r>
        <w:r w:rsidR="00856C29">
          <w:rPr>
            <w:webHidden/>
          </w:rPr>
        </w:r>
        <w:r w:rsidR="00856C29">
          <w:rPr>
            <w:webHidden/>
          </w:rPr>
          <w:fldChar w:fldCharType="separate"/>
        </w:r>
        <w:r w:rsidR="00CD5270">
          <w:rPr>
            <w:webHidden/>
          </w:rPr>
          <w:t>51</w:t>
        </w:r>
        <w:r w:rsidR="00856C29">
          <w:rPr>
            <w:webHidden/>
          </w:rPr>
          <w:fldChar w:fldCharType="end"/>
        </w:r>
      </w:hyperlink>
    </w:p>
    <w:p w14:paraId="713B51E6" w14:textId="7AEB1A21" w:rsidR="00856C29" w:rsidRDefault="00D56172">
      <w:pPr>
        <w:pStyle w:val="TOC2"/>
        <w:rPr>
          <w:rFonts w:asciiTheme="minorHAnsi" w:eastAsiaTheme="minorEastAsia" w:hAnsiTheme="minorHAnsi" w:cstheme="minorBidi"/>
          <w:spacing w:val="0"/>
          <w:sz w:val="22"/>
          <w:szCs w:val="22"/>
        </w:rPr>
      </w:pPr>
      <w:hyperlink w:anchor="_Toc38987184" w:history="1">
        <w:r w:rsidR="00856C29" w:rsidRPr="00144A47">
          <w:rPr>
            <w:rStyle w:val="Hyperlink"/>
          </w:rPr>
          <w:t>Replanning</w:t>
        </w:r>
        <w:r w:rsidR="00856C29">
          <w:rPr>
            <w:webHidden/>
          </w:rPr>
          <w:tab/>
        </w:r>
        <w:r w:rsidR="00856C29">
          <w:rPr>
            <w:webHidden/>
          </w:rPr>
          <w:fldChar w:fldCharType="begin"/>
        </w:r>
        <w:r w:rsidR="00856C29">
          <w:rPr>
            <w:webHidden/>
          </w:rPr>
          <w:instrText xml:space="preserve"> PAGEREF _Toc38987184 \h </w:instrText>
        </w:r>
        <w:r w:rsidR="00856C29">
          <w:rPr>
            <w:webHidden/>
          </w:rPr>
        </w:r>
        <w:r w:rsidR="00856C29">
          <w:rPr>
            <w:webHidden/>
          </w:rPr>
          <w:fldChar w:fldCharType="separate"/>
        </w:r>
        <w:r w:rsidR="00CD5270">
          <w:rPr>
            <w:webHidden/>
          </w:rPr>
          <w:t>51</w:t>
        </w:r>
        <w:r w:rsidR="00856C29">
          <w:rPr>
            <w:webHidden/>
          </w:rPr>
          <w:fldChar w:fldCharType="end"/>
        </w:r>
      </w:hyperlink>
    </w:p>
    <w:p w14:paraId="0BC1DEFE" w14:textId="162613ED" w:rsidR="00856C29" w:rsidRDefault="00D56172">
      <w:pPr>
        <w:pStyle w:val="TOC3"/>
        <w:rPr>
          <w:rFonts w:asciiTheme="minorHAnsi" w:eastAsiaTheme="minorEastAsia" w:hAnsiTheme="minorHAnsi" w:cstheme="minorBidi"/>
        </w:rPr>
      </w:pPr>
      <w:hyperlink w:anchor="_Toc38987185" w:history="1">
        <w:r w:rsidR="00856C29" w:rsidRPr="00144A47">
          <w:rPr>
            <w:rStyle w:val="Hyperlink"/>
          </w:rPr>
          <w:t>850 MHz expansion band (809–824 MHz and 854–869 MHz)</w:t>
        </w:r>
        <w:r w:rsidR="00856C29">
          <w:rPr>
            <w:webHidden/>
          </w:rPr>
          <w:tab/>
        </w:r>
        <w:r w:rsidR="00856C29">
          <w:rPr>
            <w:webHidden/>
          </w:rPr>
          <w:fldChar w:fldCharType="begin"/>
        </w:r>
        <w:r w:rsidR="00856C29">
          <w:rPr>
            <w:webHidden/>
          </w:rPr>
          <w:instrText xml:space="preserve"> PAGEREF _Toc38987185 \h </w:instrText>
        </w:r>
        <w:r w:rsidR="00856C29">
          <w:rPr>
            <w:webHidden/>
          </w:rPr>
        </w:r>
        <w:r w:rsidR="00856C29">
          <w:rPr>
            <w:webHidden/>
          </w:rPr>
          <w:fldChar w:fldCharType="separate"/>
        </w:r>
        <w:r w:rsidR="00CD5270">
          <w:rPr>
            <w:webHidden/>
          </w:rPr>
          <w:t>51</w:t>
        </w:r>
        <w:r w:rsidR="00856C29">
          <w:rPr>
            <w:webHidden/>
          </w:rPr>
          <w:fldChar w:fldCharType="end"/>
        </w:r>
      </w:hyperlink>
    </w:p>
    <w:p w14:paraId="27946242" w14:textId="526ECB8C" w:rsidR="00856C29" w:rsidRDefault="00D56172">
      <w:pPr>
        <w:pStyle w:val="TOC3"/>
        <w:rPr>
          <w:rFonts w:asciiTheme="minorHAnsi" w:eastAsiaTheme="minorEastAsia" w:hAnsiTheme="minorHAnsi" w:cstheme="minorBidi"/>
        </w:rPr>
      </w:pPr>
      <w:hyperlink w:anchor="_Toc38987186" w:history="1">
        <w:r w:rsidR="00856C29" w:rsidRPr="00144A47">
          <w:rPr>
            <w:rStyle w:val="Hyperlink"/>
          </w:rPr>
          <w:t>900 MHz (890–915 MHz and 935–960 MHz)</w:t>
        </w:r>
        <w:r w:rsidR="00856C29">
          <w:rPr>
            <w:webHidden/>
          </w:rPr>
          <w:tab/>
        </w:r>
        <w:r w:rsidR="00856C29">
          <w:rPr>
            <w:webHidden/>
          </w:rPr>
          <w:fldChar w:fldCharType="begin"/>
        </w:r>
        <w:r w:rsidR="00856C29">
          <w:rPr>
            <w:webHidden/>
          </w:rPr>
          <w:instrText xml:space="preserve"> PAGEREF _Toc38987186 \h </w:instrText>
        </w:r>
        <w:r w:rsidR="00856C29">
          <w:rPr>
            <w:webHidden/>
          </w:rPr>
        </w:r>
        <w:r w:rsidR="00856C29">
          <w:rPr>
            <w:webHidden/>
          </w:rPr>
          <w:fldChar w:fldCharType="separate"/>
        </w:r>
        <w:r w:rsidR="00CD5270">
          <w:rPr>
            <w:webHidden/>
          </w:rPr>
          <w:t>52</w:t>
        </w:r>
        <w:r w:rsidR="00856C29">
          <w:rPr>
            <w:webHidden/>
          </w:rPr>
          <w:fldChar w:fldCharType="end"/>
        </w:r>
      </w:hyperlink>
    </w:p>
    <w:p w14:paraId="028A495C" w14:textId="746FFB16" w:rsidR="00856C29" w:rsidRDefault="00D56172">
      <w:pPr>
        <w:pStyle w:val="TOC3"/>
        <w:rPr>
          <w:rFonts w:asciiTheme="minorHAnsi" w:eastAsiaTheme="minorEastAsia" w:hAnsiTheme="minorHAnsi" w:cstheme="minorBidi"/>
        </w:rPr>
      </w:pPr>
      <w:hyperlink w:anchor="_Toc38987187" w:history="1">
        <w:r w:rsidR="00856C29" w:rsidRPr="00144A47">
          <w:rPr>
            <w:rStyle w:val="Hyperlink"/>
          </w:rPr>
          <w:t>1800 MHz (1710–1785 MHz and 1805–1880 MHz) in remote areas</w:t>
        </w:r>
        <w:r w:rsidR="00856C29">
          <w:rPr>
            <w:webHidden/>
          </w:rPr>
          <w:tab/>
        </w:r>
        <w:r w:rsidR="00856C29">
          <w:rPr>
            <w:webHidden/>
          </w:rPr>
          <w:fldChar w:fldCharType="begin"/>
        </w:r>
        <w:r w:rsidR="00856C29">
          <w:rPr>
            <w:webHidden/>
          </w:rPr>
          <w:instrText xml:space="preserve"> PAGEREF _Toc38987187 \h </w:instrText>
        </w:r>
        <w:r w:rsidR="00856C29">
          <w:rPr>
            <w:webHidden/>
          </w:rPr>
        </w:r>
        <w:r w:rsidR="00856C29">
          <w:rPr>
            <w:webHidden/>
          </w:rPr>
          <w:fldChar w:fldCharType="separate"/>
        </w:r>
        <w:r w:rsidR="00CD5270">
          <w:rPr>
            <w:webHidden/>
          </w:rPr>
          <w:t>53</w:t>
        </w:r>
        <w:r w:rsidR="00856C29">
          <w:rPr>
            <w:webHidden/>
          </w:rPr>
          <w:fldChar w:fldCharType="end"/>
        </w:r>
      </w:hyperlink>
    </w:p>
    <w:p w14:paraId="0E2CF790" w14:textId="37358DEA" w:rsidR="00856C29" w:rsidRDefault="00D56172">
      <w:pPr>
        <w:pStyle w:val="TOC3"/>
        <w:rPr>
          <w:rFonts w:asciiTheme="minorHAnsi" w:eastAsiaTheme="minorEastAsia" w:hAnsiTheme="minorHAnsi" w:cstheme="minorBidi"/>
        </w:rPr>
      </w:pPr>
      <w:hyperlink w:anchor="_Toc38987188" w:history="1">
        <w:r w:rsidR="00856C29" w:rsidRPr="00144A47">
          <w:rPr>
            <w:rStyle w:val="Hyperlink"/>
          </w:rPr>
          <w:t>5.6 GHz (5600–5650 MHz)</w:t>
        </w:r>
        <w:r w:rsidR="00856C29">
          <w:rPr>
            <w:webHidden/>
          </w:rPr>
          <w:tab/>
        </w:r>
        <w:r w:rsidR="00856C29">
          <w:rPr>
            <w:webHidden/>
          </w:rPr>
          <w:fldChar w:fldCharType="begin"/>
        </w:r>
        <w:r w:rsidR="00856C29">
          <w:rPr>
            <w:webHidden/>
          </w:rPr>
          <w:instrText xml:space="preserve"> PAGEREF _Toc38987188 \h </w:instrText>
        </w:r>
        <w:r w:rsidR="00856C29">
          <w:rPr>
            <w:webHidden/>
          </w:rPr>
        </w:r>
        <w:r w:rsidR="00856C29">
          <w:rPr>
            <w:webHidden/>
          </w:rPr>
          <w:fldChar w:fldCharType="separate"/>
        </w:r>
        <w:r w:rsidR="00CD5270">
          <w:rPr>
            <w:webHidden/>
          </w:rPr>
          <w:t>53</w:t>
        </w:r>
        <w:r w:rsidR="00856C29">
          <w:rPr>
            <w:webHidden/>
          </w:rPr>
          <w:fldChar w:fldCharType="end"/>
        </w:r>
      </w:hyperlink>
    </w:p>
    <w:p w14:paraId="6E21F813" w14:textId="2B56C5F3" w:rsidR="00856C29" w:rsidRDefault="00D56172">
      <w:pPr>
        <w:pStyle w:val="TOC3"/>
        <w:rPr>
          <w:rFonts w:asciiTheme="minorHAnsi" w:eastAsiaTheme="minorEastAsia" w:hAnsiTheme="minorHAnsi" w:cstheme="minorBidi"/>
        </w:rPr>
      </w:pPr>
      <w:hyperlink w:anchor="_Toc38987189" w:history="1">
        <w:r w:rsidR="00856C29" w:rsidRPr="00144A47">
          <w:rPr>
            <w:rStyle w:val="Hyperlink"/>
          </w:rPr>
          <w:t>26 GHz (24.25–27.5 GHz)</w:t>
        </w:r>
        <w:r w:rsidR="00856C29">
          <w:rPr>
            <w:webHidden/>
          </w:rPr>
          <w:tab/>
        </w:r>
        <w:r w:rsidR="00856C29">
          <w:rPr>
            <w:webHidden/>
          </w:rPr>
          <w:fldChar w:fldCharType="begin"/>
        </w:r>
        <w:r w:rsidR="00856C29">
          <w:rPr>
            <w:webHidden/>
          </w:rPr>
          <w:instrText xml:space="preserve"> PAGEREF _Toc38987189 \h </w:instrText>
        </w:r>
        <w:r w:rsidR="00856C29">
          <w:rPr>
            <w:webHidden/>
          </w:rPr>
        </w:r>
        <w:r w:rsidR="00856C29">
          <w:rPr>
            <w:webHidden/>
          </w:rPr>
          <w:fldChar w:fldCharType="separate"/>
        </w:r>
        <w:r w:rsidR="00CD5270">
          <w:rPr>
            <w:webHidden/>
          </w:rPr>
          <w:t>54</w:t>
        </w:r>
        <w:r w:rsidR="00856C29">
          <w:rPr>
            <w:webHidden/>
          </w:rPr>
          <w:fldChar w:fldCharType="end"/>
        </w:r>
      </w:hyperlink>
    </w:p>
    <w:p w14:paraId="2836DA8E" w14:textId="598D4084" w:rsidR="00856C29" w:rsidRDefault="00D56172">
      <w:pPr>
        <w:pStyle w:val="TOC3"/>
        <w:rPr>
          <w:rFonts w:asciiTheme="minorHAnsi" w:eastAsiaTheme="minorEastAsia" w:hAnsiTheme="minorHAnsi" w:cstheme="minorBidi"/>
        </w:rPr>
      </w:pPr>
      <w:hyperlink w:anchor="_Toc38987190" w:history="1">
        <w:r w:rsidR="00856C29" w:rsidRPr="00144A47">
          <w:rPr>
            <w:rStyle w:val="Hyperlink"/>
          </w:rPr>
          <w:t>28 GHz (27.5–29.5 GHz)</w:t>
        </w:r>
        <w:r w:rsidR="00856C29">
          <w:rPr>
            <w:webHidden/>
          </w:rPr>
          <w:tab/>
        </w:r>
        <w:r w:rsidR="00856C29">
          <w:rPr>
            <w:webHidden/>
          </w:rPr>
          <w:fldChar w:fldCharType="begin"/>
        </w:r>
        <w:r w:rsidR="00856C29">
          <w:rPr>
            <w:webHidden/>
          </w:rPr>
          <w:instrText xml:space="preserve"> PAGEREF _Toc38987190 \h </w:instrText>
        </w:r>
        <w:r w:rsidR="00856C29">
          <w:rPr>
            <w:webHidden/>
          </w:rPr>
        </w:r>
        <w:r w:rsidR="00856C29">
          <w:rPr>
            <w:webHidden/>
          </w:rPr>
          <w:fldChar w:fldCharType="separate"/>
        </w:r>
        <w:r w:rsidR="00CD5270">
          <w:rPr>
            <w:webHidden/>
          </w:rPr>
          <w:t>54</w:t>
        </w:r>
        <w:r w:rsidR="00856C29">
          <w:rPr>
            <w:webHidden/>
          </w:rPr>
          <w:fldChar w:fldCharType="end"/>
        </w:r>
      </w:hyperlink>
    </w:p>
    <w:p w14:paraId="5B6B318E" w14:textId="25F91B95" w:rsidR="00856C29" w:rsidRDefault="00D56172">
      <w:pPr>
        <w:pStyle w:val="TOC1"/>
        <w:rPr>
          <w:rFonts w:asciiTheme="minorHAnsi" w:eastAsiaTheme="minorEastAsia" w:hAnsiTheme="minorHAnsi" w:cstheme="minorBidi"/>
          <w:b w:val="0"/>
          <w:spacing w:val="0"/>
          <w:sz w:val="22"/>
          <w:szCs w:val="22"/>
        </w:rPr>
      </w:pPr>
      <w:hyperlink w:anchor="_Toc38987191" w:history="1">
        <w:r w:rsidR="00856C29" w:rsidRPr="00144A47">
          <w:rPr>
            <w:rStyle w:val="Hyperlink"/>
          </w:rPr>
          <w:t>Optimising established planning frameworks</w:t>
        </w:r>
        <w:r w:rsidR="00856C29">
          <w:rPr>
            <w:webHidden/>
          </w:rPr>
          <w:tab/>
        </w:r>
        <w:r w:rsidR="00856C29">
          <w:rPr>
            <w:webHidden/>
          </w:rPr>
          <w:fldChar w:fldCharType="begin"/>
        </w:r>
        <w:r w:rsidR="00856C29">
          <w:rPr>
            <w:webHidden/>
          </w:rPr>
          <w:instrText xml:space="preserve"> PAGEREF _Toc38987191 \h </w:instrText>
        </w:r>
        <w:r w:rsidR="00856C29">
          <w:rPr>
            <w:webHidden/>
          </w:rPr>
        </w:r>
        <w:r w:rsidR="00856C29">
          <w:rPr>
            <w:webHidden/>
          </w:rPr>
          <w:fldChar w:fldCharType="separate"/>
        </w:r>
        <w:r w:rsidR="00CD5270">
          <w:rPr>
            <w:webHidden/>
          </w:rPr>
          <w:t>56</w:t>
        </w:r>
        <w:r w:rsidR="00856C29">
          <w:rPr>
            <w:webHidden/>
          </w:rPr>
          <w:fldChar w:fldCharType="end"/>
        </w:r>
      </w:hyperlink>
    </w:p>
    <w:p w14:paraId="3A5908BA" w14:textId="0DEA6ABE" w:rsidR="00856C29" w:rsidRDefault="00D56172">
      <w:pPr>
        <w:pStyle w:val="TOC2"/>
        <w:rPr>
          <w:rFonts w:asciiTheme="minorHAnsi" w:eastAsiaTheme="minorEastAsia" w:hAnsiTheme="minorHAnsi" w:cstheme="minorBidi"/>
          <w:spacing w:val="0"/>
          <w:sz w:val="22"/>
          <w:szCs w:val="22"/>
        </w:rPr>
      </w:pPr>
      <w:hyperlink w:anchor="_Toc38987192" w:history="1">
        <w:r w:rsidR="00856C29" w:rsidRPr="00144A47">
          <w:rPr>
            <w:rStyle w:val="Hyperlink"/>
          </w:rPr>
          <w:t>3400–3575 MHz</w:t>
        </w:r>
        <w:r w:rsidR="00856C29">
          <w:rPr>
            <w:webHidden/>
          </w:rPr>
          <w:tab/>
        </w:r>
        <w:r w:rsidR="00856C29">
          <w:rPr>
            <w:webHidden/>
          </w:rPr>
          <w:fldChar w:fldCharType="begin"/>
        </w:r>
        <w:r w:rsidR="00856C29">
          <w:rPr>
            <w:webHidden/>
          </w:rPr>
          <w:instrText xml:space="preserve"> PAGEREF _Toc38987192 \h </w:instrText>
        </w:r>
        <w:r w:rsidR="00856C29">
          <w:rPr>
            <w:webHidden/>
          </w:rPr>
        </w:r>
        <w:r w:rsidR="00856C29">
          <w:rPr>
            <w:webHidden/>
          </w:rPr>
          <w:fldChar w:fldCharType="separate"/>
        </w:r>
        <w:r w:rsidR="00CD5270">
          <w:rPr>
            <w:webHidden/>
          </w:rPr>
          <w:t>56</w:t>
        </w:r>
        <w:r w:rsidR="00856C29">
          <w:rPr>
            <w:webHidden/>
          </w:rPr>
          <w:fldChar w:fldCharType="end"/>
        </w:r>
      </w:hyperlink>
    </w:p>
    <w:p w14:paraId="04B08FE1" w14:textId="2B8FB7C8" w:rsidR="00856C29" w:rsidRDefault="00D56172">
      <w:pPr>
        <w:pStyle w:val="TOC3"/>
        <w:rPr>
          <w:rFonts w:asciiTheme="minorHAnsi" w:eastAsiaTheme="minorEastAsia" w:hAnsiTheme="minorHAnsi" w:cstheme="minorBidi"/>
        </w:rPr>
      </w:pPr>
      <w:hyperlink w:anchor="_Toc38987193" w:history="1">
        <w:r w:rsidR="00856C29" w:rsidRPr="00144A47">
          <w:rPr>
            <w:rStyle w:val="Hyperlink"/>
          </w:rPr>
          <w:t>Recent developments</w:t>
        </w:r>
        <w:r w:rsidR="00856C29">
          <w:rPr>
            <w:webHidden/>
          </w:rPr>
          <w:tab/>
        </w:r>
        <w:r w:rsidR="00856C29">
          <w:rPr>
            <w:webHidden/>
          </w:rPr>
          <w:fldChar w:fldCharType="begin"/>
        </w:r>
        <w:r w:rsidR="00856C29">
          <w:rPr>
            <w:webHidden/>
          </w:rPr>
          <w:instrText xml:space="preserve"> PAGEREF _Toc38987193 \h </w:instrText>
        </w:r>
        <w:r w:rsidR="00856C29">
          <w:rPr>
            <w:webHidden/>
          </w:rPr>
        </w:r>
        <w:r w:rsidR="00856C29">
          <w:rPr>
            <w:webHidden/>
          </w:rPr>
          <w:fldChar w:fldCharType="separate"/>
        </w:r>
        <w:r w:rsidR="00CD5270">
          <w:rPr>
            <w:webHidden/>
          </w:rPr>
          <w:t>56</w:t>
        </w:r>
        <w:r w:rsidR="00856C29">
          <w:rPr>
            <w:webHidden/>
          </w:rPr>
          <w:fldChar w:fldCharType="end"/>
        </w:r>
      </w:hyperlink>
    </w:p>
    <w:p w14:paraId="048C6915" w14:textId="2A56239F" w:rsidR="00856C29" w:rsidRDefault="00D56172">
      <w:pPr>
        <w:pStyle w:val="TOC3"/>
        <w:rPr>
          <w:rFonts w:asciiTheme="minorHAnsi" w:eastAsiaTheme="minorEastAsia" w:hAnsiTheme="minorHAnsi" w:cstheme="minorBidi"/>
        </w:rPr>
      </w:pPr>
      <w:hyperlink w:anchor="_Toc38987194" w:history="1">
        <w:r w:rsidR="00856C29" w:rsidRPr="00144A47">
          <w:rPr>
            <w:rStyle w:val="Hyperlink"/>
          </w:rPr>
          <w:t>Next steps</w:t>
        </w:r>
        <w:r w:rsidR="00856C29">
          <w:rPr>
            <w:webHidden/>
          </w:rPr>
          <w:tab/>
        </w:r>
        <w:r w:rsidR="00856C29">
          <w:rPr>
            <w:webHidden/>
          </w:rPr>
          <w:fldChar w:fldCharType="begin"/>
        </w:r>
        <w:r w:rsidR="00856C29">
          <w:rPr>
            <w:webHidden/>
          </w:rPr>
          <w:instrText xml:space="preserve"> PAGEREF _Toc38987194 \h </w:instrText>
        </w:r>
        <w:r w:rsidR="00856C29">
          <w:rPr>
            <w:webHidden/>
          </w:rPr>
        </w:r>
        <w:r w:rsidR="00856C29">
          <w:rPr>
            <w:webHidden/>
          </w:rPr>
          <w:fldChar w:fldCharType="separate"/>
        </w:r>
        <w:r w:rsidR="00CD5270">
          <w:rPr>
            <w:webHidden/>
          </w:rPr>
          <w:t>56</w:t>
        </w:r>
        <w:r w:rsidR="00856C29">
          <w:rPr>
            <w:webHidden/>
          </w:rPr>
          <w:fldChar w:fldCharType="end"/>
        </w:r>
      </w:hyperlink>
    </w:p>
    <w:p w14:paraId="19A802E7" w14:textId="5B583CB8" w:rsidR="00856C29" w:rsidRDefault="00D56172">
      <w:pPr>
        <w:pStyle w:val="TOC2"/>
        <w:rPr>
          <w:rFonts w:asciiTheme="minorHAnsi" w:eastAsiaTheme="minorEastAsia" w:hAnsiTheme="minorHAnsi" w:cstheme="minorBidi"/>
          <w:spacing w:val="0"/>
          <w:sz w:val="22"/>
          <w:szCs w:val="22"/>
        </w:rPr>
      </w:pPr>
      <w:hyperlink w:anchor="_Toc38987195" w:history="1">
        <w:r w:rsidR="00856C29" w:rsidRPr="00144A47">
          <w:rPr>
            <w:rStyle w:val="Hyperlink"/>
          </w:rPr>
          <w:t>Spectrum management advice and considering out-of-policy requests</w:t>
        </w:r>
        <w:r w:rsidR="00856C29">
          <w:rPr>
            <w:webHidden/>
          </w:rPr>
          <w:tab/>
        </w:r>
        <w:r w:rsidR="00856C29">
          <w:rPr>
            <w:webHidden/>
          </w:rPr>
          <w:fldChar w:fldCharType="begin"/>
        </w:r>
        <w:r w:rsidR="00856C29">
          <w:rPr>
            <w:webHidden/>
          </w:rPr>
          <w:instrText xml:space="preserve"> PAGEREF _Toc38987195 \h </w:instrText>
        </w:r>
        <w:r w:rsidR="00856C29">
          <w:rPr>
            <w:webHidden/>
          </w:rPr>
        </w:r>
        <w:r w:rsidR="00856C29">
          <w:rPr>
            <w:webHidden/>
          </w:rPr>
          <w:fldChar w:fldCharType="separate"/>
        </w:r>
        <w:r w:rsidR="00CD5270">
          <w:rPr>
            <w:webHidden/>
          </w:rPr>
          <w:t>56</w:t>
        </w:r>
        <w:r w:rsidR="00856C29">
          <w:rPr>
            <w:webHidden/>
          </w:rPr>
          <w:fldChar w:fldCharType="end"/>
        </w:r>
      </w:hyperlink>
    </w:p>
    <w:p w14:paraId="5D841B34" w14:textId="1CB2FDBE" w:rsidR="00856C29" w:rsidRDefault="00D56172">
      <w:pPr>
        <w:pStyle w:val="TOC3"/>
        <w:rPr>
          <w:rFonts w:asciiTheme="minorHAnsi" w:eastAsiaTheme="minorEastAsia" w:hAnsiTheme="minorHAnsi" w:cstheme="minorBidi"/>
        </w:rPr>
      </w:pPr>
      <w:hyperlink w:anchor="_Toc38987196" w:history="1">
        <w:r w:rsidR="00856C29" w:rsidRPr="00144A47">
          <w:rPr>
            <w:rStyle w:val="Hyperlink"/>
          </w:rPr>
          <w:t>Public protection and disaster relief (PPDR) in the 4.9 GHz band</w:t>
        </w:r>
        <w:r w:rsidR="00856C29">
          <w:rPr>
            <w:webHidden/>
          </w:rPr>
          <w:tab/>
        </w:r>
        <w:r w:rsidR="00856C29">
          <w:rPr>
            <w:webHidden/>
          </w:rPr>
          <w:fldChar w:fldCharType="begin"/>
        </w:r>
        <w:r w:rsidR="00856C29">
          <w:rPr>
            <w:webHidden/>
          </w:rPr>
          <w:instrText xml:space="preserve"> PAGEREF _Toc38987196 \h </w:instrText>
        </w:r>
        <w:r w:rsidR="00856C29">
          <w:rPr>
            <w:webHidden/>
          </w:rPr>
        </w:r>
        <w:r w:rsidR="00856C29">
          <w:rPr>
            <w:webHidden/>
          </w:rPr>
          <w:fldChar w:fldCharType="separate"/>
        </w:r>
        <w:r w:rsidR="00CD5270">
          <w:rPr>
            <w:webHidden/>
          </w:rPr>
          <w:t>56</w:t>
        </w:r>
        <w:r w:rsidR="00856C29">
          <w:rPr>
            <w:webHidden/>
          </w:rPr>
          <w:fldChar w:fldCharType="end"/>
        </w:r>
      </w:hyperlink>
    </w:p>
    <w:p w14:paraId="30147814" w14:textId="0ABCE9D3" w:rsidR="00856C29" w:rsidRDefault="00D56172">
      <w:pPr>
        <w:pStyle w:val="TOC2"/>
        <w:rPr>
          <w:rFonts w:asciiTheme="minorHAnsi" w:eastAsiaTheme="minorEastAsia" w:hAnsiTheme="minorHAnsi" w:cstheme="minorBidi"/>
          <w:spacing w:val="0"/>
          <w:sz w:val="22"/>
          <w:szCs w:val="22"/>
        </w:rPr>
      </w:pPr>
      <w:hyperlink w:anchor="_Toc38987197" w:history="1">
        <w:r w:rsidR="00856C29" w:rsidRPr="00144A47">
          <w:rPr>
            <w:rStyle w:val="Hyperlink"/>
          </w:rPr>
          <w:t>Broadcasting</w:t>
        </w:r>
        <w:r w:rsidR="00856C29">
          <w:rPr>
            <w:webHidden/>
          </w:rPr>
          <w:tab/>
        </w:r>
        <w:r w:rsidR="00856C29">
          <w:rPr>
            <w:webHidden/>
          </w:rPr>
          <w:fldChar w:fldCharType="begin"/>
        </w:r>
        <w:r w:rsidR="00856C29">
          <w:rPr>
            <w:webHidden/>
          </w:rPr>
          <w:instrText xml:space="preserve"> PAGEREF _Toc38987197 \h </w:instrText>
        </w:r>
        <w:r w:rsidR="00856C29">
          <w:rPr>
            <w:webHidden/>
          </w:rPr>
        </w:r>
        <w:r w:rsidR="00856C29">
          <w:rPr>
            <w:webHidden/>
          </w:rPr>
          <w:fldChar w:fldCharType="separate"/>
        </w:r>
        <w:r w:rsidR="00CD5270">
          <w:rPr>
            <w:webHidden/>
          </w:rPr>
          <w:t>57</w:t>
        </w:r>
        <w:r w:rsidR="00856C29">
          <w:rPr>
            <w:webHidden/>
          </w:rPr>
          <w:fldChar w:fldCharType="end"/>
        </w:r>
      </w:hyperlink>
    </w:p>
    <w:p w14:paraId="1C4F571B" w14:textId="4BC0BDE2" w:rsidR="00856C29" w:rsidRDefault="00D56172">
      <w:pPr>
        <w:pStyle w:val="TOC3"/>
        <w:rPr>
          <w:rFonts w:asciiTheme="minorHAnsi" w:eastAsiaTheme="minorEastAsia" w:hAnsiTheme="minorHAnsi" w:cstheme="minorBidi"/>
        </w:rPr>
      </w:pPr>
      <w:hyperlink w:anchor="_Toc38987198" w:history="1">
        <w:r w:rsidR="00856C29" w:rsidRPr="00144A47">
          <w:rPr>
            <w:rStyle w:val="Hyperlink"/>
          </w:rPr>
          <w:t>Recent developments</w:t>
        </w:r>
        <w:r w:rsidR="00856C29">
          <w:rPr>
            <w:webHidden/>
          </w:rPr>
          <w:tab/>
        </w:r>
        <w:r w:rsidR="00856C29">
          <w:rPr>
            <w:webHidden/>
          </w:rPr>
          <w:fldChar w:fldCharType="begin"/>
        </w:r>
        <w:r w:rsidR="00856C29">
          <w:rPr>
            <w:webHidden/>
          </w:rPr>
          <w:instrText xml:space="preserve"> PAGEREF _Toc38987198 \h </w:instrText>
        </w:r>
        <w:r w:rsidR="00856C29">
          <w:rPr>
            <w:webHidden/>
          </w:rPr>
        </w:r>
        <w:r w:rsidR="00856C29">
          <w:rPr>
            <w:webHidden/>
          </w:rPr>
          <w:fldChar w:fldCharType="separate"/>
        </w:r>
        <w:r w:rsidR="00CD5270">
          <w:rPr>
            <w:webHidden/>
          </w:rPr>
          <w:t>58</w:t>
        </w:r>
        <w:r w:rsidR="00856C29">
          <w:rPr>
            <w:webHidden/>
          </w:rPr>
          <w:fldChar w:fldCharType="end"/>
        </w:r>
      </w:hyperlink>
    </w:p>
    <w:p w14:paraId="2ACD775C" w14:textId="352AB876" w:rsidR="00856C29" w:rsidRDefault="00D56172">
      <w:pPr>
        <w:pStyle w:val="TOC3"/>
        <w:rPr>
          <w:rFonts w:asciiTheme="minorHAnsi" w:eastAsiaTheme="minorEastAsia" w:hAnsiTheme="minorHAnsi" w:cstheme="minorBidi"/>
        </w:rPr>
      </w:pPr>
      <w:hyperlink w:anchor="_Toc38987199" w:history="1">
        <w:r w:rsidR="00856C29" w:rsidRPr="00144A47">
          <w:rPr>
            <w:rStyle w:val="Hyperlink"/>
          </w:rPr>
          <w:t>Activities planned for 2020–21</w:t>
        </w:r>
        <w:r w:rsidR="00856C29">
          <w:rPr>
            <w:webHidden/>
          </w:rPr>
          <w:tab/>
        </w:r>
        <w:r w:rsidR="00856C29">
          <w:rPr>
            <w:webHidden/>
          </w:rPr>
          <w:fldChar w:fldCharType="begin"/>
        </w:r>
        <w:r w:rsidR="00856C29">
          <w:rPr>
            <w:webHidden/>
          </w:rPr>
          <w:instrText xml:space="preserve"> PAGEREF _Toc38987199 \h </w:instrText>
        </w:r>
        <w:r w:rsidR="00856C29">
          <w:rPr>
            <w:webHidden/>
          </w:rPr>
        </w:r>
        <w:r w:rsidR="00856C29">
          <w:rPr>
            <w:webHidden/>
          </w:rPr>
          <w:fldChar w:fldCharType="separate"/>
        </w:r>
        <w:r w:rsidR="00CD5270">
          <w:rPr>
            <w:webHidden/>
          </w:rPr>
          <w:t>58</w:t>
        </w:r>
        <w:r w:rsidR="00856C29">
          <w:rPr>
            <w:webHidden/>
          </w:rPr>
          <w:fldChar w:fldCharType="end"/>
        </w:r>
      </w:hyperlink>
    </w:p>
    <w:p w14:paraId="2768C204" w14:textId="0E4A8BFF" w:rsidR="00856C29" w:rsidRDefault="00D56172">
      <w:pPr>
        <w:pStyle w:val="TOC2"/>
        <w:rPr>
          <w:rFonts w:asciiTheme="minorHAnsi" w:eastAsiaTheme="minorEastAsia" w:hAnsiTheme="minorHAnsi" w:cstheme="minorBidi"/>
          <w:spacing w:val="0"/>
          <w:sz w:val="22"/>
          <w:szCs w:val="22"/>
        </w:rPr>
      </w:pPr>
      <w:hyperlink w:anchor="_Toc38987200" w:history="1">
        <w:r w:rsidR="00856C29" w:rsidRPr="00144A47">
          <w:rPr>
            <w:rStyle w:val="Hyperlink"/>
          </w:rPr>
          <w:t>Satellite planning</w:t>
        </w:r>
        <w:r w:rsidR="00856C29">
          <w:rPr>
            <w:webHidden/>
          </w:rPr>
          <w:tab/>
        </w:r>
        <w:r w:rsidR="00856C29">
          <w:rPr>
            <w:webHidden/>
          </w:rPr>
          <w:fldChar w:fldCharType="begin"/>
        </w:r>
        <w:r w:rsidR="00856C29">
          <w:rPr>
            <w:webHidden/>
          </w:rPr>
          <w:instrText xml:space="preserve"> PAGEREF _Toc38987200 \h </w:instrText>
        </w:r>
        <w:r w:rsidR="00856C29">
          <w:rPr>
            <w:webHidden/>
          </w:rPr>
        </w:r>
        <w:r w:rsidR="00856C29">
          <w:rPr>
            <w:webHidden/>
          </w:rPr>
          <w:fldChar w:fldCharType="separate"/>
        </w:r>
        <w:r w:rsidR="00CD5270">
          <w:rPr>
            <w:webHidden/>
          </w:rPr>
          <w:t>58</w:t>
        </w:r>
        <w:r w:rsidR="00856C29">
          <w:rPr>
            <w:webHidden/>
          </w:rPr>
          <w:fldChar w:fldCharType="end"/>
        </w:r>
      </w:hyperlink>
    </w:p>
    <w:p w14:paraId="78E7D2C4" w14:textId="042FAFA8" w:rsidR="00856C29" w:rsidRDefault="00D56172">
      <w:pPr>
        <w:pStyle w:val="TOC3"/>
        <w:rPr>
          <w:rFonts w:asciiTheme="minorHAnsi" w:eastAsiaTheme="minorEastAsia" w:hAnsiTheme="minorHAnsi" w:cstheme="minorBidi"/>
        </w:rPr>
      </w:pPr>
      <w:hyperlink w:anchor="_Toc38987201" w:history="1">
        <w:r w:rsidR="00856C29" w:rsidRPr="00144A47">
          <w:rPr>
            <w:rStyle w:val="Hyperlink"/>
          </w:rPr>
          <w:t>Recent developments</w:t>
        </w:r>
        <w:r w:rsidR="00856C29">
          <w:rPr>
            <w:webHidden/>
          </w:rPr>
          <w:tab/>
        </w:r>
        <w:r w:rsidR="00856C29">
          <w:rPr>
            <w:webHidden/>
          </w:rPr>
          <w:fldChar w:fldCharType="begin"/>
        </w:r>
        <w:r w:rsidR="00856C29">
          <w:rPr>
            <w:webHidden/>
          </w:rPr>
          <w:instrText xml:space="preserve"> PAGEREF _Toc38987201 \h </w:instrText>
        </w:r>
        <w:r w:rsidR="00856C29">
          <w:rPr>
            <w:webHidden/>
          </w:rPr>
        </w:r>
        <w:r w:rsidR="00856C29">
          <w:rPr>
            <w:webHidden/>
          </w:rPr>
          <w:fldChar w:fldCharType="separate"/>
        </w:r>
        <w:r w:rsidR="00CD5270">
          <w:rPr>
            <w:webHidden/>
          </w:rPr>
          <w:t>59</w:t>
        </w:r>
        <w:r w:rsidR="00856C29">
          <w:rPr>
            <w:webHidden/>
          </w:rPr>
          <w:fldChar w:fldCharType="end"/>
        </w:r>
      </w:hyperlink>
    </w:p>
    <w:p w14:paraId="708D95B2" w14:textId="247E62A5" w:rsidR="00856C29" w:rsidRDefault="00D56172">
      <w:pPr>
        <w:pStyle w:val="TOC3"/>
        <w:rPr>
          <w:rFonts w:asciiTheme="minorHAnsi" w:eastAsiaTheme="minorEastAsia" w:hAnsiTheme="minorHAnsi" w:cstheme="minorBidi"/>
        </w:rPr>
      </w:pPr>
      <w:hyperlink w:anchor="_Toc38987202" w:history="1">
        <w:r w:rsidR="00856C29" w:rsidRPr="00144A47">
          <w:rPr>
            <w:rStyle w:val="Hyperlink"/>
          </w:rPr>
          <w:t>Activities planned for 2020–21</w:t>
        </w:r>
        <w:r w:rsidR="00856C29">
          <w:rPr>
            <w:webHidden/>
          </w:rPr>
          <w:tab/>
        </w:r>
        <w:r w:rsidR="00856C29">
          <w:rPr>
            <w:webHidden/>
          </w:rPr>
          <w:fldChar w:fldCharType="begin"/>
        </w:r>
        <w:r w:rsidR="00856C29">
          <w:rPr>
            <w:webHidden/>
          </w:rPr>
          <w:instrText xml:space="preserve"> PAGEREF _Toc38987202 \h </w:instrText>
        </w:r>
        <w:r w:rsidR="00856C29">
          <w:rPr>
            <w:webHidden/>
          </w:rPr>
        </w:r>
        <w:r w:rsidR="00856C29">
          <w:rPr>
            <w:webHidden/>
          </w:rPr>
          <w:fldChar w:fldCharType="separate"/>
        </w:r>
        <w:r w:rsidR="00CD5270">
          <w:rPr>
            <w:webHidden/>
          </w:rPr>
          <w:t>59</w:t>
        </w:r>
        <w:r w:rsidR="00856C29">
          <w:rPr>
            <w:webHidden/>
          </w:rPr>
          <w:fldChar w:fldCharType="end"/>
        </w:r>
      </w:hyperlink>
    </w:p>
    <w:p w14:paraId="02B4CE78" w14:textId="1AD15607" w:rsidR="00856C29" w:rsidRDefault="00D56172">
      <w:pPr>
        <w:pStyle w:val="TOC3"/>
        <w:rPr>
          <w:rFonts w:asciiTheme="minorHAnsi" w:eastAsiaTheme="minorEastAsia" w:hAnsiTheme="minorHAnsi" w:cstheme="minorBidi"/>
        </w:rPr>
      </w:pPr>
      <w:hyperlink w:anchor="_Toc38987203" w:history="1">
        <w:r w:rsidR="00856C29" w:rsidRPr="00144A47">
          <w:rPr>
            <w:rStyle w:val="Hyperlink"/>
          </w:rPr>
          <w:t>Spectrum arrangements for ‘small satellites’</w:t>
        </w:r>
        <w:r w:rsidR="00856C29">
          <w:rPr>
            <w:webHidden/>
          </w:rPr>
          <w:tab/>
        </w:r>
        <w:r w:rsidR="00856C29">
          <w:rPr>
            <w:webHidden/>
          </w:rPr>
          <w:fldChar w:fldCharType="begin"/>
        </w:r>
        <w:r w:rsidR="00856C29">
          <w:rPr>
            <w:webHidden/>
          </w:rPr>
          <w:instrText xml:space="preserve"> PAGEREF _Toc38987203 \h </w:instrText>
        </w:r>
        <w:r w:rsidR="00856C29">
          <w:rPr>
            <w:webHidden/>
          </w:rPr>
        </w:r>
        <w:r w:rsidR="00856C29">
          <w:rPr>
            <w:webHidden/>
          </w:rPr>
          <w:fldChar w:fldCharType="separate"/>
        </w:r>
        <w:r w:rsidR="00CD5270">
          <w:rPr>
            <w:webHidden/>
          </w:rPr>
          <w:t>60</w:t>
        </w:r>
        <w:r w:rsidR="00856C29">
          <w:rPr>
            <w:webHidden/>
          </w:rPr>
          <w:fldChar w:fldCharType="end"/>
        </w:r>
      </w:hyperlink>
    </w:p>
    <w:p w14:paraId="6D618E5C" w14:textId="3EF69106" w:rsidR="00856C29" w:rsidRDefault="00D56172">
      <w:pPr>
        <w:pStyle w:val="TOC3"/>
        <w:rPr>
          <w:rFonts w:asciiTheme="minorHAnsi" w:eastAsiaTheme="minorEastAsia" w:hAnsiTheme="minorHAnsi" w:cstheme="minorBidi"/>
        </w:rPr>
      </w:pPr>
      <w:hyperlink w:anchor="_Toc38987204" w:history="1">
        <w:r w:rsidR="00856C29" w:rsidRPr="00144A47">
          <w:rPr>
            <w:rStyle w:val="Hyperlink"/>
          </w:rPr>
          <w:t xml:space="preserve">Updating regulatory arrangements for space-based </w:t>
        </w:r>
        <w:r w:rsidR="00856C29">
          <w:rPr>
            <w:rStyle w:val="Hyperlink"/>
          </w:rPr>
          <w:br/>
        </w:r>
        <w:r w:rsidR="00856C29" w:rsidRPr="00144A47">
          <w:rPr>
            <w:rStyle w:val="Hyperlink"/>
          </w:rPr>
          <w:t>communications systems</w:t>
        </w:r>
        <w:r w:rsidR="00856C29">
          <w:rPr>
            <w:webHidden/>
          </w:rPr>
          <w:tab/>
        </w:r>
        <w:r w:rsidR="00856C29">
          <w:rPr>
            <w:webHidden/>
          </w:rPr>
          <w:fldChar w:fldCharType="begin"/>
        </w:r>
        <w:r w:rsidR="00856C29">
          <w:rPr>
            <w:webHidden/>
          </w:rPr>
          <w:instrText xml:space="preserve"> PAGEREF _Toc38987204 \h </w:instrText>
        </w:r>
        <w:r w:rsidR="00856C29">
          <w:rPr>
            <w:webHidden/>
          </w:rPr>
        </w:r>
        <w:r w:rsidR="00856C29">
          <w:rPr>
            <w:webHidden/>
          </w:rPr>
          <w:fldChar w:fldCharType="separate"/>
        </w:r>
        <w:r w:rsidR="00CD5270">
          <w:rPr>
            <w:webHidden/>
          </w:rPr>
          <w:t>60</w:t>
        </w:r>
        <w:r w:rsidR="00856C29">
          <w:rPr>
            <w:webHidden/>
          </w:rPr>
          <w:fldChar w:fldCharType="end"/>
        </w:r>
      </w:hyperlink>
    </w:p>
    <w:p w14:paraId="529F452D" w14:textId="1EFDC3D7" w:rsidR="00856C29" w:rsidRDefault="00D56172">
      <w:pPr>
        <w:pStyle w:val="TOC3"/>
        <w:rPr>
          <w:rFonts w:asciiTheme="minorHAnsi" w:eastAsiaTheme="minorEastAsia" w:hAnsiTheme="minorHAnsi" w:cstheme="minorBidi"/>
        </w:rPr>
      </w:pPr>
      <w:hyperlink w:anchor="_Toc38987205" w:history="1">
        <w:r w:rsidR="00856C29" w:rsidRPr="00144A47">
          <w:rPr>
            <w:rStyle w:val="Hyperlink"/>
          </w:rPr>
          <w:t>Ongoing review of space licensing procedures</w:t>
        </w:r>
        <w:r w:rsidR="00856C29">
          <w:rPr>
            <w:webHidden/>
          </w:rPr>
          <w:tab/>
        </w:r>
        <w:r w:rsidR="00856C29">
          <w:rPr>
            <w:webHidden/>
          </w:rPr>
          <w:fldChar w:fldCharType="begin"/>
        </w:r>
        <w:r w:rsidR="00856C29">
          <w:rPr>
            <w:webHidden/>
          </w:rPr>
          <w:instrText xml:space="preserve"> PAGEREF _Toc38987205 \h </w:instrText>
        </w:r>
        <w:r w:rsidR="00856C29">
          <w:rPr>
            <w:webHidden/>
          </w:rPr>
        </w:r>
        <w:r w:rsidR="00856C29">
          <w:rPr>
            <w:webHidden/>
          </w:rPr>
          <w:fldChar w:fldCharType="separate"/>
        </w:r>
        <w:r w:rsidR="00CD5270">
          <w:rPr>
            <w:webHidden/>
          </w:rPr>
          <w:t>60</w:t>
        </w:r>
        <w:r w:rsidR="00856C29">
          <w:rPr>
            <w:webHidden/>
          </w:rPr>
          <w:fldChar w:fldCharType="end"/>
        </w:r>
      </w:hyperlink>
    </w:p>
    <w:p w14:paraId="432DB387" w14:textId="50CADCF4" w:rsidR="00856C29" w:rsidRDefault="00D56172">
      <w:pPr>
        <w:pStyle w:val="TOC3"/>
        <w:rPr>
          <w:rFonts w:asciiTheme="minorHAnsi" w:eastAsiaTheme="minorEastAsia" w:hAnsiTheme="minorHAnsi" w:cstheme="minorBidi"/>
        </w:rPr>
      </w:pPr>
      <w:hyperlink w:anchor="_Toc38987206" w:history="1">
        <w:r w:rsidR="00856C29" w:rsidRPr="00144A47">
          <w:rPr>
            <w:rStyle w:val="Hyperlink"/>
          </w:rPr>
          <w:t>Filing and coordination of Australian satellite systems</w:t>
        </w:r>
        <w:r w:rsidR="00856C29">
          <w:rPr>
            <w:webHidden/>
          </w:rPr>
          <w:tab/>
        </w:r>
        <w:r w:rsidR="00856C29">
          <w:rPr>
            <w:webHidden/>
          </w:rPr>
          <w:fldChar w:fldCharType="begin"/>
        </w:r>
        <w:r w:rsidR="00856C29">
          <w:rPr>
            <w:webHidden/>
          </w:rPr>
          <w:instrText xml:space="preserve"> PAGEREF _Toc38987206 \h </w:instrText>
        </w:r>
        <w:r w:rsidR="00856C29">
          <w:rPr>
            <w:webHidden/>
          </w:rPr>
        </w:r>
        <w:r w:rsidR="00856C29">
          <w:rPr>
            <w:webHidden/>
          </w:rPr>
          <w:fldChar w:fldCharType="separate"/>
        </w:r>
        <w:r w:rsidR="00CD5270">
          <w:rPr>
            <w:webHidden/>
          </w:rPr>
          <w:t>60</w:t>
        </w:r>
        <w:r w:rsidR="00856C29">
          <w:rPr>
            <w:webHidden/>
          </w:rPr>
          <w:fldChar w:fldCharType="end"/>
        </w:r>
      </w:hyperlink>
    </w:p>
    <w:p w14:paraId="4B4D1643" w14:textId="2D1954F9" w:rsidR="00856C29" w:rsidRDefault="00D56172">
      <w:pPr>
        <w:pStyle w:val="TOC3"/>
        <w:rPr>
          <w:rFonts w:asciiTheme="minorHAnsi" w:eastAsiaTheme="minorEastAsia" w:hAnsiTheme="minorHAnsi" w:cstheme="minorBidi"/>
        </w:rPr>
      </w:pPr>
      <w:hyperlink w:anchor="_Toc38987207" w:history="1">
        <w:r w:rsidR="00856C29" w:rsidRPr="00144A47">
          <w:rPr>
            <w:rStyle w:val="Hyperlink"/>
          </w:rPr>
          <w:t xml:space="preserve">Updating procedures for submission of Australian satellite networks </w:t>
        </w:r>
        <w:r w:rsidR="00856C29">
          <w:rPr>
            <w:rStyle w:val="Hyperlink"/>
          </w:rPr>
          <w:br/>
        </w:r>
        <w:r w:rsidR="00856C29" w:rsidRPr="00144A47">
          <w:rPr>
            <w:rStyle w:val="Hyperlink"/>
          </w:rPr>
          <w:t>to the ITU</w:t>
        </w:r>
        <w:r w:rsidR="00856C29">
          <w:rPr>
            <w:webHidden/>
          </w:rPr>
          <w:tab/>
        </w:r>
        <w:r w:rsidR="00856C29">
          <w:rPr>
            <w:webHidden/>
          </w:rPr>
          <w:fldChar w:fldCharType="begin"/>
        </w:r>
        <w:r w:rsidR="00856C29">
          <w:rPr>
            <w:webHidden/>
          </w:rPr>
          <w:instrText xml:space="preserve"> PAGEREF _Toc38987207 \h </w:instrText>
        </w:r>
        <w:r w:rsidR="00856C29">
          <w:rPr>
            <w:webHidden/>
          </w:rPr>
        </w:r>
        <w:r w:rsidR="00856C29">
          <w:rPr>
            <w:webHidden/>
          </w:rPr>
          <w:fldChar w:fldCharType="separate"/>
        </w:r>
        <w:r w:rsidR="00CD5270">
          <w:rPr>
            <w:webHidden/>
          </w:rPr>
          <w:t>60</w:t>
        </w:r>
        <w:r w:rsidR="00856C29">
          <w:rPr>
            <w:webHidden/>
          </w:rPr>
          <w:fldChar w:fldCharType="end"/>
        </w:r>
      </w:hyperlink>
    </w:p>
    <w:p w14:paraId="675BE879" w14:textId="343B44E4" w:rsidR="00856C29" w:rsidRDefault="00D56172">
      <w:pPr>
        <w:pStyle w:val="TOC2"/>
        <w:rPr>
          <w:rFonts w:asciiTheme="minorHAnsi" w:eastAsiaTheme="minorEastAsia" w:hAnsiTheme="minorHAnsi" w:cstheme="minorBidi"/>
          <w:spacing w:val="0"/>
          <w:sz w:val="22"/>
          <w:szCs w:val="22"/>
        </w:rPr>
      </w:pPr>
      <w:hyperlink w:anchor="_Toc38987208" w:history="1">
        <w:r w:rsidR="00856C29" w:rsidRPr="00144A47">
          <w:rPr>
            <w:rStyle w:val="Hyperlink"/>
          </w:rPr>
          <w:t>Low interference potential devices</w:t>
        </w:r>
        <w:r w:rsidR="00856C29">
          <w:rPr>
            <w:webHidden/>
          </w:rPr>
          <w:tab/>
        </w:r>
        <w:r w:rsidR="00856C29">
          <w:rPr>
            <w:webHidden/>
          </w:rPr>
          <w:fldChar w:fldCharType="begin"/>
        </w:r>
        <w:r w:rsidR="00856C29">
          <w:rPr>
            <w:webHidden/>
          </w:rPr>
          <w:instrText xml:space="preserve"> PAGEREF _Toc38987208 \h </w:instrText>
        </w:r>
        <w:r w:rsidR="00856C29">
          <w:rPr>
            <w:webHidden/>
          </w:rPr>
        </w:r>
        <w:r w:rsidR="00856C29">
          <w:rPr>
            <w:webHidden/>
          </w:rPr>
          <w:fldChar w:fldCharType="separate"/>
        </w:r>
        <w:r w:rsidR="00CD5270">
          <w:rPr>
            <w:webHidden/>
          </w:rPr>
          <w:t>61</w:t>
        </w:r>
        <w:r w:rsidR="00856C29">
          <w:rPr>
            <w:webHidden/>
          </w:rPr>
          <w:fldChar w:fldCharType="end"/>
        </w:r>
      </w:hyperlink>
    </w:p>
    <w:p w14:paraId="4BF24585" w14:textId="714AFAEF" w:rsidR="00856C29" w:rsidRDefault="00D56172">
      <w:pPr>
        <w:pStyle w:val="TOC3"/>
        <w:rPr>
          <w:rFonts w:asciiTheme="minorHAnsi" w:eastAsiaTheme="minorEastAsia" w:hAnsiTheme="minorHAnsi" w:cstheme="minorBidi"/>
        </w:rPr>
      </w:pPr>
      <w:hyperlink w:anchor="_Toc38987209" w:history="1">
        <w:r w:rsidR="00856C29" w:rsidRPr="00144A47">
          <w:rPr>
            <w:rStyle w:val="Hyperlink"/>
          </w:rPr>
          <w:t>Progress achieved</w:t>
        </w:r>
        <w:r w:rsidR="00856C29">
          <w:rPr>
            <w:webHidden/>
          </w:rPr>
          <w:tab/>
        </w:r>
        <w:r w:rsidR="00856C29">
          <w:rPr>
            <w:webHidden/>
          </w:rPr>
          <w:fldChar w:fldCharType="begin"/>
        </w:r>
        <w:r w:rsidR="00856C29">
          <w:rPr>
            <w:webHidden/>
          </w:rPr>
          <w:instrText xml:space="preserve"> PAGEREF _Toc38987209 \h </w:instrText>
        </w:r>
        <w:r w:rsidR="00856C29">
          <w:rPr>
            <w:webHidden/>
          </w:rPr>
        </w:r>
        <w:r w:rsidR="00856C29">
          <w:rPr>
            <w:webHidden/>
          </w:rPr>
          <w:fldChar w:fldCharType="separate"/>
        </w:r>
        <w:r w:rsidR="00CD5270">
          <w:rPr>
            <w:webHidden/>
          </w:rPr>
          <w:t>61</w:t>
        </w:r>
        <w:r w:rsidR="00856C29">
          <w:rPr>
            <w:webHidden/>
          </w:rPr>
          <w:fldChar w:fldCharType="end"/>
        </w:r>
      </w:hyperlink>
    </w:p>
    <w:p w14:paraId="2861D7CF" w14:textId="0E2661F8" w:rsidR="00856C29" w:rsidRDefault="00D56172">
      <w:pPr>
        <w:pStyle w:val="TOC3"/>
        <w:rPr>
          <w:rFonts w:asciiTheme="minorHAnsi" w:eastAsiaTheme="minorEastAsia" w:hAnsiTheme="minorHAnsi" w:cstheme="minorBidi"/>
        </w:rPr>
      </w:pPr>
      <w:hyperlink w:anchor="_Toc38987210" w:history="1">
        <w:r w:rsidR="00856C29" w:rsidRPr="00144A47">
          <w:rPr>
            <w:rStyle w:val="Hyperlink"/>
          </w:rPr>
          <w:t>Activities planned for 2020–21</w:t>
        </w:r>
        <w:r w:rsidR="00856C29">
          <w:rPr>
            <w:webHidden/>
          </w:rPr>
          <w:tab/>
        </w:r>
        <w:r w:rsidR="00856C29">
          <w:rPr>
            <w:webHidden/>
          </w:rPr>
          <w:fldChar w:fldCharType="begin"/>
        </w:r>
        <w:r w:rsidR="00856C29">
          <w:rPr>
            <w:webHidden/>
          </w:rPr>
          <w:instrText xml:space="preserve"> PAGEREF _Toc38987210 \h </w:instrText>
        </w:r>
        <w:r w:rsidR="00856C29">
          <w:rPr>
            <w:webHidden/>
          </w:rPr>
        </w:r>
        <w:r w:rsidR="00856C29">
          <w:rPr>
            <w:webHidden/>
          </w:rPr>
          <w:fldChar w:fldCharType="separate"/>
        </w:r>
        <w:r w:rsidR="00CD5270">
          <w:rPr>
            <w:webHidden/>
          </w:rPr>
          <w:t>61</w:t>
        </w:r>
        <w:r w:rsidR="00856C29">
          <w:rPr>
            <w:webHidden/>
          </w:rPr>
          <w:fldChar w:fldCharType="end"/>
        </w:r>
      </w:hyperlink>
    </w:p>
    <w:p w14:paraId="4CA0E788" w14:textId="320F98C2" w:rsidR="00856C29" w:rsidRDefault="00D56172">
      <w:pPr>
        <w:pStyle w:val="TOC2"/>
        <w:rPr>
          <w:rFonts w:asciiTheme="minorHAnsi" w:eastAsiaTheme="minorEastAsia" w:hAnsiTheme="minorHAnsi" w:cstheme="minorBidi"/>
          <w:spacing w:val="0"/>
          <w:sz w:val="22"/>
          <w:szCs w:val="22"/>
        </w:rPr>
      </w:pPr>
      <w:hyperlink w:anchor="_Toc38987211" w:history="1">
        <w:r w:rsidR="00856C29" w:rsidRPr="00144A47">
          <w:rPr>
            <w:rStyle w:val="Hyperlink"/>
          </w:rPr>
          <w:t>Amateur radio</w:t>
        </w:r>
        <w:r w:rsidR="00856C29">
          <w:rPr>
            <w:webHidden/>
          </w:rPr>
          <w:tab/>
        </w:r>
        <w:r w:rsidR="00856C29">
          <w:rPr>
            <w:webHidden/>
          </w:rPr>
          <w:fldChar w:fldCharType="begin"/>
        </w:r>
        <w:r w:rsidR="00856C29">
          <w:rPr>
            <w:webHidden/>
          </w:rPr>
          <w:instrText xml:space="preserve"> PAGEREF _Toc38987211 \h </w:instrText>
        </w:r>
        <w:r w:rsidR="00856C29">
          <w:rPr>
            <w:webHidden/>
          </w:rPr>
        </w:r>
        <w:r w:rsidR="00856C29">
          <w:rPr>
            <w:webHidden/>
          </w:rPr>
          <w:fldChar w:fldCharType="separate"/>
        </w:r>
        <w:r w:rsidR="00CD5270">
          <w:rPr>
            <w:webHidden/>
          </w:rPr>
          <w:t>62</w:t>
        </w:r>
        <w:r w:rsidR="00856C29">
          <w:rPr>
            <w:webHidden/>
          </w:rPr>
          <w:fldChar w:fldCharType="end"/>
        </w:r>
      </w:hyperlink>
    </w:p>
    <w:p w14:paraId="53DF233F" w14:textId="69C120E4" w:rsidR="00856C29" w:rsidRDefault="00D56172">
      <w:pPr>
        <w:pStyle w:val="TOC3"/>
        <w:rPr>
          <w:rFonts w:asciiTheme="minorHAnsi" w:eastAsiaTheme="minorEastAsia" w:hAnsiTheme="minorHAnsi" w:cstheme="minorBidi"/>
        </w:rPr>
      </w:pPr>
      <w:hyperlink w:anchor="_Toc38987212" w:history="1">
        <w:r w:rsidR="00856C29" w:rsidRPr="00144A47">
          <w:rPr>
            <w:rStyle w:val="Hyperlink"/>
          </w:rPr>
          <w:t>Activities planned for 2020–21</w:t>
        </w:r>
        <w:r w:rsidR="00856C29">
          <w:rPr>
            <w:webHidden/>
          </w:rPr>
          <w:tab/>
        </w:r>
        <w:r w:rsidR="00856C29">
          <w:rPr>
            <w:webHidden/>
          </w:rPr>
          <w:fldChar w:fldCharType="begin"/>
        </w:r>
        <w:r w:rsidR="00856C29">
          <w:rPr>
            <w:webHidden/>
          </w:rPr>
          <w:instrText xml:space="preserve"> PAGEREF _Toc38987212 \h </w:instrText>
        </w:r>
        <w:r w:rsidR="00856C29">
          <w:rPr>
            <w:webHidden/>
          </w:rPr>
        </w:r>
        <w:r w:rsidR="00856C29">
          <w:rPr>
            <w:webHidden/>
          </w:rPr>
          <w:fldChar w:fldCharType="separate"/>
        </w:r>
        <w:r w:rsidR="00CD5270">
          <w:rPr>
            <w:webHidden/>
          </w:rPr>
          <w:t>62</w:t>
        </w:r>
        <w:r w:rsidR="00856C29">
          <w:rPr>
            <w:webHidden/>
          </w:rPr>
          <w:fldChar w:fldCharType="end"/>
        </w:r>
      </w:hyperlink>
    </w:p>
    <w:p w14:paraId="325815BC" w14:textId="776A93DF" w:rsidR="00856C29" w:rsidRDefault="00D56172" w:rsidP="00856C29">
      <w:pPr>
        <w:pStyle w:val="TOC2"/>
        <w:ind w:left="0" w:firstLine="0"/>
        <w:rPr>
          <w:rFonts w:asciiTheme="minorHAnsi" w:eastAsiaTheme="minorEastAsia" w:hAnsiTheme="minorHAnsi" w:cstheme="minorBidi"/>
          <w:spacing w:val="0"/>
          <w:sz w:val="22"/>
          <w:szCs w:val="22"/>
        </w:rPr>
      </w:pPr>
      <w:hyperlink w:anchor="_Toc38987213" w:history="1">
        <w:r w:rsidR="00856C29" w:rsidRPr="00144A47">
          <w:rPr>
            <w:rStyle w:val="Hyperlink"/>
          </w:rPr>
          <w:t>Ongoing review of spectrum planning, assignment and coordination requirements</w:t>
        </w:r>
        <w:r w:rsidR="00856C29">
          <w:rPr>
            <w:webHidden/>
          </w:rPr>
          <w:tab/>
        </w:r>
        <w:r w:rsidR="00856C29">
          <w:rPr>
            <w:webHidden/>
          </w:rPr>
          <w:fldChar w:fldCharType="begin"/>
        </w:r>
        <w:r w:rsidR="00856C29">
          <w:rPr>
            <w:webHidden/>
          </w:rPr>
          <w:instrText xml:space="preserve"> PAGEREF _Toc38987213 \h </w:instrText>
        </w:r>
        <w:r w:rsidR="00856C29">
          <w:rPr>
            <w:webHidden/>
          </w:rPr>
        </w:r>
        <w:r w:rsidR="00856C29">
          <w:rPr>
            <w:webHidden/>
          </w:rPr>
          <w:fldChar w:fldCharType="separate"/>
        </w:r>
        <w:r w:rsidR="00CD5270">
          <w:rPr>
            <w:webHidden/>
          </w:rPr>
          <w:t>62</w:t>
        </w:r>
        <w:r w:rsidR="00856C29">
          <w:rPr>
            <w:webHidden/>
          </w:rPr>
          <w:fldChar w:fldCharType="end"/>
        </w:r>
      </w:hyperlink>
    </w:p>
    <w:p w14:paraId="78468BB6" w14:textId="7A4AF948" w:rsidR="00856C29" w:rsidRDefault="00D56172">
      <w:pPr>
        <w:pStyle w:val="TOC3"/>
        <w:rPr>
          <w:rFonts w:asciiTheme="minorHAnsi" w:eastAsiaTheme="minorEastAsia" w:hAnsiTheme="minorHAnsi" w:cstheme="minorBidi"/>
        </w:rPr>
      </w:pPr>
      <w:hyperlink w:anchor="_Toc38987214" w:history="1">
        <w:r w:rsidR="00856C29" w:rsidRPr="00144A47">
          <w:rPr>
            <w:rStyle w:val="Hyperlink"/>
          </w:rPr>
          <w:t>Progress achieved</w:t>
        </w:r>
        <w:r w:rsidR="00856C29">
          <w:rPr>
            <w:webHidden/>
          </w:rPr>
          <w:tab/>
        </w:r>
        <w:r w:rsidR="00856C29">
          <w:rPr>
            <w:webHidden/>
          </w:rPr>
          <w:fldChar w:fldCharType="begin"/>
        </w:r>
        <w:r w:rsidR="00856C29">
          <w:rPr>
            <w:webHidden/>
          </w:rPr>
          <w:instrText xml:space="preserve"> PAGEREF _Toc38987214 \h </w:instrText>
        </w:r>
        <w:r w:rsidR="00856C29">
          <w:rPr>
            <w:webHidden/>
          </w:rPr>
        </w:r>
        <w:r w:rsidR="00856C29">
          <w:rPr>
            <w:webHidden/>
          </w:rPr>
          <w:fldChar w:fldCharType="separate"/>
        </w:r>
        <w:r w:rsidR="00CD5270">
          <w:rPr>
            <w:webHidden/>
          </w:rPr>
          <w:t>62</w:t>
        </w:r>
        <w:r w:rsidR="00856C29">
          <w:rPr>
            <w:webHidden/>
          </w:rPr>
          <w:fldChar w:fldCharType="end"/>
        </w:r>
      </w:hyperlink>
    </w:p>
    <w:p w14:paraId="456AAAB8" w14:textId="1CDE473E" w:rsidR="00856C29" w:rsidRDefault="00D56172">
      <w:pPr>
        <w:pStyle w:val="TOC3"/>
        <w:rPr>
          <w:rFonts w:asciiTheme="minorHAnsi" w:eastAsiaTheme="minorEastAsia" w:hAnsiTheme="minorHAnsi" w:cstheme="minorBidi"/>
        </w:rPr>
      </w:pPr>
      <w:hyperlink w:anchor="_Toc38987215" w:history="1">
        <w:r w:rsidR="00856C29" w:rsidRPr="00144A47">
          <w:rPr>
            <w:rStyle w:val="Hyperlink"/>
          </w:rPr>
          <w:t>Activities planned for 2020–21</w:t>
        </w:r>
        <w:r w:rsidR="00856C29">
          <w:rPr>
            <w:webHidden/>
          </w:rPr>
          <w:tab/>
        </w:r>
        <w:r w:rsidR="00856C29">
          <w:rPr>
            <w:webHidden/>
          </w:rPr>
          <w:fldChar w:fldCharType="begin"/>
        </w:r>
        <w:r w:rsidR="00856C29">
          <w:rPr>
            <w:webHidden/>
          </w:rPr>
          <w:instrText xml:space="preserve"> PAGEREF _Toc38987215 \h </w:instrText>
        </w:r>
        <w:r w:rsidR="00856C29">
          <w:rPr>
            <w:webHidden/>
          </w:rPr>
        </w:r>
        <w:r w:rsidR="00856C29">
          <w:rPr>
            <w:webHidden/>
          </w:rPr>
          <w:fldChar w:fldCharType="separate"/>
        </w:r>
        <w:r w:rsidR="00CD5270">
          <w:rPr>
            <w:webHidden/>
          </w:rPr>
          <w:t>63</w:t>
        </w:r>
        <w:r w:rsidR="00856C29">
          <w:rPr>
            <w:webHidden/>
          </w:rPr>
          <w:fldChar w:fldCharType="end"/>
        </w:r>
      </w:hyperlink>
    </w:p>
    <w:p w14:paraId="28243A60" w14:textId="7601DBE6" w:rsidR="00856C29" w:rsidRDefault="00D56172">
      <w:pPr>
        <w:pStyle w:val="TOC2"/>
        <w:rPr>
          <w:rFonts w:asciiTheme="minorHAnsi" w:eastAsiaTheme="minorEastAsia" w:hAnsiTheme="minorHAnsi" w:cstheme="minorBidi"/>
          <w:spacing w:val="0"/>
          <w:sz w:val="22"/>
          <w:szCs w:val="22"/>
        </w:rPr>
      </w:pPr>
      <w:hyperlink w:anchor="_Toc38987216" w:history="1">
        <w:r w:rsidR="00856C29" w:rsidRPr="00144A47">
          <w:rPr>
            <w:rStyle w:val="Hyperlink"/>
          </w:rPr>
          <w:t>Review of spectrum licence technical frameworks</w:t>
        </w:r>
        <w:r w:rsidR="00856C29">
          <w:rPr>
            <w:webHidden/>
          </w:rPr>
          <w:tab/>
        </w:r>
        <w:r w:rsidR="00856C29">
          <w:rPr>
            <w:webHidden/>
          </w:rPr>
          <w:fldChar w:fldCharType="begin"/>
        </w:r>
        <w:r w:rsidR="00856C29">
          <w:rPr>
            <w:webHidden/>
          </w:rPr>
          <w:instrText xml:space="preserve"> PAGEREF _Toc38987216 \h </w:instrText>
        </w:r>
        <w:r w:rsidR="00856C29">
          <w:rPr>
            <w:webHidden/>
          </w:rPr>
        </w:r>
        <w:r w:rsidR="00856C29">
          <w:rPr>
            <w:webHidden/>
          </w:rPr>
          <w:fldChar w:fldCharType="separate"/>
        </w:r>
        <w:r w:rsidR="00CD5270">
          <w:rPr>
            <w:webHidden/>
          </w:rPr>
          <w:t>63</w:t>
        </w:r>
        <w:r w:rsidR="00856C29">
          <w:rPr>
            <w:webHidden/>
          </w:rPr>
          <w:fldChar w:fldCharType="end"/>
        </w:r>
      </w:hyperlink>
    </w:p>
    <w:p w14:paraId="10E02D13" w14:textId="70C90292" w:rsidR="00856C29" w:rsidRDefault="00D56172">
      <w:pPr>
        <w:pStyle w:val="TOC3"/>
        <w:rPr>
          <w:rFonts w:asciiTheme="minorHAnsi" w:eastAsiaTheme="minorEastAsia" w:hAnsiTheme="minorHAnsi" w:cstheme="minorBidi"/>
        </w:rPr>
      </w:pPr>
      <w:hyperlink w:anchor="_Toc38987217" w:history="1">
        <w:r w:rsidR="00856C29" w:rsidRPr="00144A47">
          <w:rPr>
            <w:rStyle w:val="Hyperlink"/>
          </w:rPr>
          <w:t>Activities planned for 2020–21</w:t>
        </w:r>
        <w:r w:rsidR="00856C29">
          <w:rPr>
            <w:webHidden/>
          </w:rPr>
          <w:tab/>
        </w:r>
        <w:r w:rsidR="00856C29">
          <w:rPr>
            <w:webHidden/>
          </w:rPr>
          <w:fldChar w:fldCharType="begin"/>
        </w:r>
        <w:r w:rsidR="00856C29">
          <w:rPr>
            <w:webHidden/>
          </w:rPr>
          <w:instrText xml:space="preserve"> PAGEREF _Toc38987217 \h </w:instrText>
        </w:r>
        <w:r w:rsidR="00856C29">
          <w:rPr>
            <w:webHidden/>
          </w:rPr>
        </w:r>
        <w:r w:rsidR="00856C29">
          <w:rPr>
            <w:webHidden/>
          </w:rPr>
          <w:fldChar w:fldCharType="separate"/>
        </w:r>
        <w:r w:rsidR="00CD5270">
          <w:rPr>
            <w:webHidden/>
          </w:rPr>
          <w:t>63</w:t>
        </w:r>
        <w:r w:rsidR="00856C29">
          <w:rPr>
            <w:webHidden/>
          </w:rPr>
          <w:fldChar w:fldCharType="end"/>
        </w:r>
      </w:hyperlink>
    </w:p>
    <w:p w14:paraId="032DEE39" w14:textId="145523CA" w:rsidR="00856C29" w:rsidRDefault="00D56172">
      <w:pPr>
        <w:pStyle w:val="TOC2"/>
        <w:rPr>
          <w:rFonts w:asciiTheme="minorHAnsi" w:eastAsiaTheme="minorEastAsia" w:hAnsiTheme="minorHAnsi" w:cstheme="minorBidi"/>
          <w:spacing w:val="0"/>
          <w:sz w:val="22"/>
          <w:szCs w:val="22"/>
        </w:rPr>
      </w:pPr>
      <w:hyperlink w:anchor="_Toc38987218" w:history="1">
        <w:r w:rsidR="00856C29" w:rsidRPr="00144A47">
          <w:rPr>
            <w:rStyle w:val="Hyperlink"/>
          </w:rPr>
          <w:t>Spectrum-sharing approaches</w:t>
        </w:r>
        <w:r w:rsidR="00856C29">
          <w:rPr>
            <w:webHidden/>
          </w:rPr>
          <w:tab/>
        </w:r>
        <w:r w:rsidR="00856C29">
          <w:rPr>
            <w:webHidden/>
          </w:rPr>
          <w:fldChar w:fldCharType="begin"/>
        </w:r>
        <w:r w:rsidR="00856C29">
          <w:rPr>
            <w:webHidden/>
          </w:rPr>
          <w:instrText xml:space="preserve"> PAGEREF _Toc38987218 \h </w:instrText>
        </w:r>
        <w:r w:rsidR="00856C29">
          <w:rPr>
            <w:webHidden/>
          </w:rPr>
        </w:r>
        <w:r w:rsidR="00856C29">
          <w:rPr>
            <w:webHidden/>
          </w:rPr>
          <w:fldChar w:fldCharType="separate"/>
        </w:r>
        <w:r w:rsidR="00CD5270">
          <w:rPr>
            <w:webHidden/>
          </w:rPr>
          <w:t>63</w:t>
        </w:r>
        <w:r w:rsidR="00856C29">
          <w:rPr>
            <w:webHidden/>
          </w:rPr>
          <w:fldChar w:fldCharType="end"/>
        </w:r>
      </w:hyperlink>
    </w:p>
    <w:p w14:paraId="1418BCA7" w14:textId="4D0C5145" w:rsidR="00856C29" w:rsidRDefault="00D56172">
      <w:pPr>
        <w:pStyle w:val="TOC3"/>
        <w:rPr>
          <w:rFonts w:asciiTheme="minorHAnsi" w:eastAsiaTheme="minorEastAsia" w:hAnsiTheme="minorHAnsi" w:cstheme="minorBidi"/>
        </w:rPr>
      </w:pPr>
      <w:hyperlink w:anchor="_Toc38987219" w:history="1">
        <w:r w:rsidR="00856C29" w:rsidRPr="00144A47">
          <w:rPr>
            <w:rStyle w:val="Hyperlink"/>
          </w:rPr>
          <w:t>Progress achieved</w:t>
        </w:r>
        <w:r w:rsidR="00856C29">
          <w:rPr>
            <w:webHidden/>
          </w:rPr>
          <w:tab/>
        </w:r>
        <w:r w:rsidR="00856C29">
          <w:rPr>
            <w:webHidden/>
          </w:rPr>
          <w:fldChar w:fldCharType="begin"/>
        </w:r>
        <w:r w:rsidR="00856C29">
          <w:rPr>
            <w:webHidden/>
          </w:rPr>
          <w:instrText xml:space="preserve"> PAGEREF _Toc38987219 \h </w:instrText>
        </w:r>
        <w:r w:rsidR="00856C29">
          <w:rPr>
            <w:webHidden/>
          </w:rPr>
        </w:r>
        <w:r w:rsidR="00856C29">
          <w:rPr>
            <w:webHidden/>
          </w:rPr>
          <w:fldChar w:fldCharType="separate"/>
        </w:r>
        <w:r w:rsidR="00CD5270">
          <w:rPr>
            <w:webHidden/>
          </w:rPr>
          <w:t>63</w:t>
        </w:r>
        <w:r w:rsidR="00856C29">
          <w:rPr>
            <w:webHidden/>
          </w:rPr>
          <w:fldChar w:fldCharType="end"/>
        </w:r>
      </w:hyperlink>
    </w:p>
    <w:p w14:paraId="140A1223" w14:textId="69377ED2" w:rsidR="00856C29" w:rsidRDefault="00D56172">
      <w:pPr>
        <w:pStyle w:val="TOC3"/>
        <w:rPr>
          <w:rFonts w:asciiTheme="minorHAnsi" w:eastAsiaTheme="minorEastAsia" w:hAnsiTheme="minorHAnsi" w:cstheme="minorBidi"/>
        </w:rPr>
      </w:pPr>
      <w:hyperlink w:anchor="_Toc38987220" w:history="1">
        <w:r w:rsidR="00856C29" w:rsidRPr="00144A47">
          <w:rPr>
            <w:rStyle w:val="Hyperlink"/>
          </w:rPr>
          <w:t>Activities planned for 2020-21</w:t>
        </w:r>
        <w:r w:rsidR="00856C29">
          <w:rPr>
            <w:webHidden/>
          </w:rPr>
          <w:tab/>
        </w:r>
        <w:r w:rsidR="00856C29">
          <w:rPr>
            <w:webHidden/>
          </w:rPr>
          <w:fldChar w:fldCharType="begin"/>
        </w:r>
        <w:r w:rsidR="00856C29">
          <w:rPr>
            <w:webHidden/>
          </w:rPr>
          <w:instrText xml:space="preserve"> PAGEREF _Toc38987220 \h </w:instrText>
        </w:r>
        <w:r w:rsidR="00856C29">
          <w:rPr>
            <w:webHidden/>
          </w:rPr>
        </w:r>
        <w:r w:rsidR="00856C29">
          <w:rPr>
            <w:webHidden/>
          </w:rPr>
          <w:fldChar w:fldCharType="separate"/>
        </w:r>
        <w:r w:rsidR="00CD5270">
          <w:rPr>
            <w:webHidden/>
          </w:rPr>
          <w:t>64</w:t>
        </w:r>
        <w:r w:rsidR="00856C29">
          <w:rPr>
            <w:webHidden/>
          </w:rPr>
          <w:fldChar w:fldCharType="end"/>
        </w:r>
      </w:hyperlink>
    </w:p>
    <w:p w14:paraId="61668D6C" w14:textId="2A02C135" w:rsidR="00856C29" w:rsidRDefault="00D56172">
      <w:pPr>
        <w:pStyle w:val="TOC2"/>
        <w:rPr>
          <w:rFonts w:asciiTheme="minorHAnsi" w:eastAsiaTheme="minorEastAsia" w:hAnsiTheme="minorHAnsi" w:cstheme="minorBidi"/>
          <w:spacing w:val="0"/>
          <w:sz w:val="22"/>
          <w:szCs w:val="22"/>
        </w:rPr>
      </w:pPr>
      <w:hyperlink w:anchor="_Toc38987221" w:history="1">
        <w:r w:rsidR="00856C29" w:rsidRPr="00144A47">
          <w:rPr>
            <w:rStyle w:val="Hyperlink"/>
          </w:rPr>
          <w:t>Future band planning priorities</w:t>
        </w:r>
        <w:r w:rsidR="00856C29">
          <w:rPr>
            <w:webHidden/>
          </w:rPr>
          <w:tab/>
        </w:r>
        <w:r w:rsidR="00856C29">
          <w:rPr>
            <w:webHidden/>
          </w:rPr>
          <w:fldChar w:fldCharType="begin"/>
        </w:r>
        <w:r w:rsidR="00856C29">
          <w:rPr>
            <w:webHidden/>
          </w:rPr>
          <w:instrText xml:space="preserve"> PAGEREF _Toc38987221 \h </w:instrText>
        </w:r>
        <w:r w:rsidR="00856C29">
          <w:rPr>
            <w:webHidden/>
          </w:rPr>
        </w:r>
        <w:r w:rsidR="00856C29">
          <w:rPr>
            <w:webHidden/>
          </w:rPr>
          <w:fldChar w:fldCharType="separate"/>
        </w:r>
        <w:r w:rsidR="00CD5270">
          <w:rPr>
            <w:webHidden/>
          </w:rPr>
          <w:t>64</w:t>
        </w:r>
        <w:r w:rsidR="00856C29">
          <w:rPr>
            <w:webHidden/>
          </w:rPr>
          <w:fldChar w:fldCharType="end"/>
        </w:r>
      </w:hyperlink>
    </w:p>
    <w:p w14:paraId="364C57BB" w14:textId="082517E6" w:rsidR="00856C29" w:rsidRDefault="00D56172">
      <w:pPr>
        <w:pStyle w:val="TOC3"/>
        <w:rPr>
          <w:rFonts w:asciiTheme="minorHAnsi" w:eastAsiaTheme="minorEastAsia" w:hAnsiTheme="minorHAnsi" w:cstheme="minorBidi"/>
        </w:rPr>
      </w:pPr>
      <w:hyperlink w:anchor="_Toc38987222" w:history="1">
        <w:r w:rsidR="00856C29" w:rsidRPr="00144A47">
          <w:rPr>
            <w:rStyle w:val="Hyperlink"/>
          </w:rPr>
          <w:t>Activities planned for 2020–21</w:t>
        </w:r>
        <w:r w:rsidR="00856C29">
          <w:rPr>
            <w:webHidden/>
          </w:rPr>
          <w:tab/>
        </w:r>
        <w:r w:rsidR="00856C29">
          <w:rPr>
            <w:webHidden/>
          </w:rPr>
          <w:fldChar w:fldCharType="begin"/>
        </w:r>
        <w:r w:rsidR="00856C29">
          <w:rPr>
            <w:webHidden/>
          </w:rPr>
          <w:instrText xml:space="preserve"> PAGEREF _Toc38987222 \h </w:instrText>
        </w:r>
        <w:r w:rsidR="00856C29">
          <w:rPr>
            <w:webHidden/>
          </w:rPr>
        </w:r>
        <w:r w:rsidR="00856C29">
          <w:rPr>
            <w:webHidden/>
          </w:rPr>
          <w:fldChar w:fldCharType="separate"/>
        </w:r>
        <w:r w:rsidR="00CD5270">
          <w:rPr>
            <w:webHidden/>
          </w:rPr>
          <w:t>64</w:t>
        </w:r>
        <w:r w:rsidR="00856C29">
          <w:rPr>
            <w:webHidden/>
          </w:rPr>
          <w:fldChar w:fldCharType="end"/>
        </w:r>
      </w:hyperlink>
    </w:p>
    <w:p w14:paraId="29CE5F33" w14:textId="6C7BA944" w:rsidR="00856C29" w:rsidRDefault="00D56172">
      <w:pPr>
        <w:pStyle w:val="TOC1"/>
        <w:rPr>
          <w:rFonts w:asciiTheme="minorHAnsi" w:eastAsiaTheme="minorEastAsia" w:hAnsiTheme="minorHAnsi" w:cstheme="minorBidi"/>
          <w:b w:val="0"/>
          <w:spacing w:val="0"/>
          <w:sz w:val="22"/>
          <w:szCs w:val="22"/>
        </w:rPr>
      </w:pPr>
      <w:hyperlink w:anchor="_Toc38987223" w:history="1">
        <w:r w:rsidR="00856C29" w:rsidRPr="00144A47">
          <w:rPr>
            <w:rStyle w:val="Hyperlink"/>
          </w:rPr>
          <w:t>Forward allocation work plan</w:t>
        </w:r>
        <w:r w:rsidR="00856C29">
          <w:rPr>
            <w:webHidden/>
          </w:rPr>
          <w:tab/>
        </w:r>
        <w:r w:rsidR="00856C29">
          <w:rPr>
            <w:webHidden/>
          </w:rPr>
          <w:fldChar w:fldCharType="begin"/>
        </w:r>
        <w:r w:rsidR="00856C29">
          <w:rPr>
            <w:webHidden/>
          </w:rPr>
          <w:instrText xml:space="preserve"> PAGEREF _Toc38987223 \h </w:instrText>
        </w:r>
        <w:r w:rsidR="00856C29">
          <w:rPr>
            <w:webHidden/>
          </w:rPr>
        </w:r>
        <w:r w:rsidR="00856C29">
          <w:rPr>
            <w:webHidden/>
          </w:rPr>
          <w:fldChar w:fldCharType="separate"/>
        </w:r>
        <w:r w:rsidR="00CD5270">
          <w:rPr>
            <w:webHidden/>
          </w:rPr>
          <w:t>65</w:t>
        </w:r>
        <w:r w:rsidR="00856C29">
          <w:rPr>
            <w:webHidden/>
          </w:rPr>
          <w:fldChar w:fldCharType="end"/>
        </w:r>
      </w:hyperlink>
    </w:p>
    <w:p w14:paraId="6D26FF31" w14:textId="6F4EA86E" w:rsidR="00856C29" w:rsidRDefault="00D56172">
      <w:pPr>
        <w:pStyle w:val="TOC2"/>
        <w:rPr>
          <w:rFonts w:asciiTheme="minorHAnsi" w:eastAsiaTheme="minorEastAsia" w:hAnsiTheme="minorHAnsi" w:cstheme="minorBidi"/>
          <w:spacing w:val="0"/>
          <w:sz w:val="22"/>
          <w:szCs w:val="22"/>
        </w:rPr>
      </w:pPr>
      <w:hyperlink w:anchor="_Toc38987224" w:history="1">
        <w:r w:rsidR="00856C29" w:rsidRPr="00144A47">
          <w:rPr>
            <w:rStyle w:val="Hyperlink"/>
            <w:rFonts w:eastAsiaTheme="majorEastAsia"/>
          </w:rPr>
          <w:t>Purpose of the forward allocation work plan</w:t>
        </w:r>
        <w:r w:rsidR="00856C29">
          <w:rPr>
            <w:webHidden/>
          </w:rPr>
          <w:tab/>
        </w:r>
        <w:r w:rsidR="00856C29">
          <w:rPr>
            <w:webHidden/>
          </w:rPr>
          <w:fldChar w:fldCharType="begin"/>
        </w:r>
        <w:r w:rsidR="00856C29">
          <w:rPr>
            <w:webHidden/>
          </w:rPr>
          <w:instrText xml:space="preserve"> PAGEREF _Toc38987224 \h </w:instrText>
        </w:r>
        <w:r w:rsidR="00856C29">
          <w:rPr>
            <w:webHidden/>
          </w:rPr>
        </w:r>
        <w:r w:rsidR="00856C29">
          <w:rPr>
            <w:webHidden/>
          </w:rPr>
          <w:fldChar w:fldCharType="separate"/>
        </w:r>
        <w:r w:rsidR="00CD5270">
          <w:rPr>
            <w:webHidden/>
          </w:rPr>
          <w:t>65</w:t>
        </w:r>
        <w:r w:rsidR="00856C29">
          <w:rPr>
            <w:webHidden/>
          </w:rPr>
          <w:fldChar w:fldCharType="end"/>
        </w:r>
      </w:hyperlink>
    </w:p>
    <w:p w14:paraId="0C18E893" w14:textId="1F692591" w:rsidR="00856C29" w:rsidRDefault="00D56172">
      <w:pPr>
        <w:pStyle w:val="TOC2"/>
        <w:rPr>
          <w:rFonts w:asciiTheme="minorHAnsi" w:eastAsiaTheme="minorEastAsia" w:hAnsiTheme="minorHAnsi" w:cstheme="minorBidi"/>
          <w:spacing w:val="0"/>
          <w:sz w:val="22"/>
          <w:szCs w:val="22"/>
        </w:rPr>
      </w:pPr>
      <w:hyperlink w:anchor="_Toc38987225" w:history="1">
        <w:r w:rsidR="00856C29" w:rsidRPr="00144A47">
          <w:rPr>
            <w:rStyle w:val="Hyperlink"/>
          </w:rPr>
          <w:t>What we are proposing</w:t>
        </w:r>
        <w:r w:rsidR="00856C29">
          <w:rPr>
            <w:webHidden/>
          </w:rPr>
          <w:tab/>
        </w:r>
        <w:r w:rsidR="00856C29">
          <w:rPr>
            <w:webHidden/>
          </w:rPr>
          <w:fldChar w:fldCharType="begin"/>
        </w:r>
        <w:r w:rsidR="00856C29">
          <w:rPr>
            <w:webHidden/>
          </w:rPr>
          <w:instrText xml:space="preserve"> PAGEREF _Toc38987225 \h </w:instrText>
        </w:r>
        <w:r w:rsidR="00856C29">
          <w:rPr>
            <w:webHidden/>
          </w:rPr>
        </w:r>
        <w:r w:rsidR="00856C29">
          <w:rPr>
            <w:webHidden/>
          </w:rPr>
          <w:fldChar w:fldCharType="separate"/>
        </w:r>
        <w:r w:rsidR="00CD5270">
          <w:rPr>
            <w:webHidden/>
          </w:rPr>
          <w:t>66</w:t>
        </w:r>
        <w:r w:rsidR="00856C29">
          <w:rPr>
            <w:webHidden/>
          </w:rPr>
          <w:fldChar w:fldCharType="end"/>
        </w:r>
      </w:hyperlink>
    </w:p>
    <w:p w14:paraId="329F06ED" w14:textId="7BDB1DE4" w:rsidR="00856C29" w:rsidRDefault="00D56172">
      <w:pPr>
        <w:pStyle w:val="TOC3"/>
        <w:rPr>
          <w:rFonts w:asciiTheme="minorHAnsi" w:eastAsiaTheme="minorEastAsia" w:hAnsiTheme="minorHAnsi" w:cstheme="minorBidi"/>
        </w:rPr>
      </w:pPr>
      <w:hyperlink w:anchor="_Toc38987226" w:history="1">
        <w:r w:rsidR="00856C29" w:rsidRPr="00144A47">
          <w:rPr>
            <w:rStyle w:val="Hyperlink"/>
          </w:rPr>
          <w:t>850 MHz expansion band</w:t>
        </w:r>
        <w:r w:rsidR="00856C29">
          <w:rPr>
            <w:webHidden/>
          </w:rPr>
          <w:tab/>
        </w:r>
        <w:r w:rsidR="00856C29">
          <w:rPr>
            <w:webHidden/>
          </w:rPr>
          <w:fldChar w:fldCharType="begin"/>
        </w:r>
        <w:r w:rsidR="00856C29">
          <w:rPr>
            <w:webHidden/>
          </w:rPr>
          <w:instrText xml:space="preserve"> PAGEREF _Toc38987226 \h </w:instrText>
        </w:r>
        <w:r w:rsidR="00856C29">
          <w:rPr>
            <w:webHidden/>
          </w:rPr>
        </w:r>
        <w:r w:rsidR="00856C29">
          <w:rPr>
            <w:webHidden/>
          </w:rPr>
          <w:fldChar w:fldCharType="separate"/>
        </w:r>
        <w:r w:rsidR="00CD5270">
          <w:rPr>
            <w:webHidden/>
          </w:rPr>
          <w:t>67</w:t>
        </w:r>
        <w:r w:rsidR="00856C29">
          <w:rPr>
            <w:webHidden/>
          </w:rPr>
          <w:fldChar w:fldCharType="end"/>
        </w:r>
      </w:hyperlink>
    </w:p>
    <w:p w14:paraId="19D97C6E" w14:textId="21FCC8F8" w:rsidR="00856C29" w:rsidRDefault="00D56172">
      <w:pPr>
        <w:pStyle w:val="TOC3"/>
        <w:rPr>
          <w:rFonts w:asciiTheme="minorHAnsi" w:eastAsiaTheme="minorEastAsia" w:hAnsiTheme="minorHAnsi" w:cstheme="minorBidi"/>
        </w:rPr>
      </w:pPr>
      <w:hyperlink w:anchor="_Toc38987227" w:history="1">
        <w:r w:rsidR="00856C29" w:rsidRPr="00144A47">
          <w:rPr>
            <w:rStyle w:val="Hyperlink"/>
          </w:rPr>
          <w:t>900 MHz</w:t>
        </w:r>
        <w:r w:rsidR="00856C29">
          <w:rPr>
            <w:webHidden/>
          </w:rPr>
          <w:tab/>
        </w:r>
        <w:r w:rsidR="00856C29">
          <w:rPr>
            <w:webHidden/>
          </w:rPr>
          <w:fldChar w:fldCharType="begin"/>
        </w:r>
        <w:r w:rsidR="00856C29">
          <w:rPr>
            <w:webHidden/>
          </w:rPr>
          <w:instrText xml:space="preserve"> PAGEREF _Toc38987227 \h </w:instrText>
        </w:r>
        <w:r w:rsidR="00856C29">
          <w:rPr>
            <w:webHidden/>
          </w:rPr>
        </w:r>
        <w:r w:rsidR="00856C29">
          <w:rPr>
            <w:webHidden/>
          </w:rPr>
          <w:fldChar w:fldCharType="separate"/>
        </w:r>
        <w:r w:rsidR="00CD5270">
          <w:rPr>
            <w:webHidden/>
          </w:rPr>
          <w:t>67</w:t>
        </w:r>
        <w:r w:rsidR="00856C29">
          <w:rPr>
            <w:webHidden/>
          </w:rPr>
          <w:fldChar w:fldCharType="end"/>
        </w:r>
      </w:hyperlink>
    </w:p>
    <w:p w14:paraId="478742A1" w14:textId="6BF80F25" w:rsidR="00856C29" w:rsidRDefault="00D56172">
      <w:pPr>
        <w:pStyle w:val="TOC3"/>
        <w:rPr>
          <w:rFonts w:asciiTheme="minorHAnsi" w:eastAsiaTheme="minorEastAsia" w:hAnsiTheme="minorHAnsi" w:cstheme="minorBidi"/>
        </w:rPr>
      </w:pPr>
      <w:hyperlink w:anchor="_Toc38987228" w:history="1">
        <w:r w:rsidR="00856C29" w:rsidRPr="00144A47">
          <w:rPr>
            <w:rStyle w:val="Hyperlink"/>
          </w:rPr>
          <w:t>1.5 GHz</w:t>
        </w:r>
        <w:r w:rsidR="00856C29">
          <w:rPr>
            <w:webHidden/>
          </w:rPr>
          <w:tab/>
        </w:r>
        <w:r w:rsidR="00856C29">
          <w:rPr>
            <w:webHidden/>
          </w:rPr>
          <w:fldChar w:fldCharType="begin"/>
        </w:r>
        <w:r w:rsidR="00856C29">
          <w:rPr>
            <w:webHidden/>
          </w:rPr>
          <w:instrText xml:space="preserve"> PAGEREF _Toc38987228 \h </w:instrText>
        </w:r>
        <w:r w:rsidR="00856C29">
          <w:rPr>
            <w:webHidden/>
          </w:rPr>
        </w:r>
        <w:r w:rsidR="00856C29">
          <w:rPr>
            <w:webHidden/>
          </w:rPr>
          <w:fldChar w:fldCharType="separate"/>
        </w:r>
        <w:r w:rsidR="00CD5270">
          <w:rPr>
            <w:webHidden/>
          </w:rPr>
          <w:t>68</w:t>
        </w:r>
        <w:r w:rsidR="00856C29">
          <w:rPr>
            <w:webHidden/>
          </w:rPr>
          <w:fldChar w:fldCharType="end"/>
        </w:r>
      </w:hyperlink>
    </w:p>
    <w:p w14:paraId="2B13FCF2" w14:textId="4AD697A3" w:rsidR="00856C29" w:rsidRDefault="00D56172">
      <w:pPr>
        <w:pStyle w:val="TOC3"/>
        <w:rPr>
          <w:rFonts w:asciiTheme="minorHAnsi" w:eastAsiaTheme="minorEastAsia" w:hAnsiTheme="minorHAnsi" w:cstheme="minorBidi"/>
        </w:rPr>
      </w:pPr>
      <w:hyperlink w:anchor="_Toc38987229" w:history="1">
        <w:r w:rsidR="00856C29" w:rsidRPr="00144A47">
          <w:rPr>
            <w:rStyle w:val="Hyperlink"/>
          </w:rPr>
          <w:t xml:space="preserve">3400–3575 </w:t>
        </w:r>
        <w:r w:rsidR="00856C29" w:rsidRPr="00144A47">
          <w:rPr>
            <w:rStyle w:val="Hyperlink"/>
            <w:rFonts w:eastAsiaTheme="majorEastAsia"/>
          </w:rPr>
          <w:t>MHz</w:t>
        </w:r>
        <w:r w:rsidR="00856C29">
          <w:rPr>
            <w:webHidden/>
          </w:rPr>
          <w:tab/>
        </w:r>
        <w:r w:rsidR="00856C29">
          <w:rPr>
            <w:webHidden/>
          </w:rPr>
          <w:fldChar w:fldCharType="begin"/>
        </w:r>
        <w:r w:rsidR="00856C29">
          <w:rPr>
            <w:webHidden/>
          </w:rPr>
          <w:instrText xml:space="preserve"> PAGEREF _Toc38987229 \h </w:instrText>
        </w:r>
        <w:r w:rsidR="00856C29">
          <w:rPr>
            <w:webHidden/>
          </w:rPr>
        </w:r>
        <w:r w:rsidR="00856C29">
          <w:rPr>
            <w:webHidden/>
          </w:rPr>
          <w:fldChar w:fldCharType="separate"/>
        </w:r>
        <w:r w:rsidR="00CD5270">
          <w:rPr>
            <w:webHidden/>
          </w:rPr>
          <w:t>68</w:t>
        </w:r>
        <w:r w:rsidR="00856C29">
          <w:rPr>
            <w:webHidden/>
          </w:rPr>
          <w:fldChar w:fldCharType="end"/>
        </w:r>
      </w:hyperlink>
    </w:p>
    <w:p w14:paraId="38DB9D51" w14:textId="59BF1D63" w:rsidR="00856C29" w:rsidRDefault="00D56172">
      <w:pPr>
        <w:pStyle w:val="TOC3"/>
        <w:rPr>
          <w:rFonts w:asciiTheme="minorHAnsi" w:eastAsiaTheme="minorEastAsia" w:hAnsiTheme="minorHAnsi" w:cstheme="minorBidi"/>
        </w:rPr>
      </w:pPr>
      <w:hyperlink w:anchor="_Toc38987230" w:history="1">
        <w:r w:rsidR="00856C29" w:rsidRPr="00144A47">
          <w:rPr>
            <w:rStyle w:val="Hyperlink"/>
          </w:rPr>
          <w:t xml:space="preserve">3700–4200 </w:t>
        </w:r>
        <w:r w:rsidR="00856C29" w:rsidRPr="00144A47">
          <w:rPr>
            <w:rStyle w:val="Hyperlink"/>
            <w:rFonts w:eastAsiaTheme="majorEastAsia"/>
          </w:rPr>
          <w:t>MHz</w:t>
        </w:r>
        <w:r w:rsidR="00856C29">
          <w:rPr>
            <w:webHidden/>
          </w:rPr>
          <w:tab/>
        </w:r>
        <w:r w:rsidR="00856C29">
          <w:rPr>
            <w:webHidden/>
          </w:rPr>
          <w:fldChar w:fldCharType="begin"/>
        </w:r>
        <w:r w:rsidR="00856C29">
          <w:rPr>
            <w:webHidden/>
          </w:rPr>
          <w:instrText xml:space="preserve"> PAGEREF _Toc38987230 \h </w:instrText>
        </w:r>
        <w:r w:rsidR="00856C29">
          <w:rPr>
            <w:webHidden/>
          </w:rPr>
        </w:r>
        <w:r w:rsidR="00856C29">
          <w:rPr>
            <w:webHidden/>
          </w:rPr>
          <w:fldChar w:fldCharType="separate"/>
        </w:r>
        <w:r w:rsidR="00CD5270">
          <w:rPr>
            <w:webHidden/>
          </w:rPr>
          <w:t>69</w:t>
        </w:r>
        <w:r w:rsidR="00856C29">
          <w:rPr>
            <w:webHidden/>
          </w:rPr>
          <w:fldChar w:fldCharType="end"/>
        </w:r>
      </w:hyperlink>
    </w:p>
    <w:p w14:paraId="5C2EF840" w14:textId="41E4B16E" w:rsidR="00856C29" w:rsidRDefault="00D56172">
      <w:pPr>
        <w:pStyle w:val="TOC3"/>
        <w:rPr>
          <w:rFonts w:asciiTheme="minorHAnsi" w:eastAsiaTheme="minorEastAsia" w:hAnsiTheme="minorHAnsi" w:cstheme="minorBidi"/>
        </w:rPr>
      </w:pPr>
      <w:hyperlink w:anchor="_Toc38987231" w:history="1">
        <w:r w:rsidR="00856C29" w:rsidRPr="00144A47">
          <w:rPr>
            <w:rStyle w:val="Hyperlink"/>
          </w:rPr>
          <w:t>26 GHz</w:t>
        </w:r>
        <w:r w:rsidR="00856C29">
          <w:rPr>
            <w:webHidden/>
          </w:rPr>
          <w:tab/>
        </w:r>
        <w:r w:rsidR="00856C29">
          <w:rPr>
            <w:webHidden/>
          </w:rPr>
          <w:fldChar w:fldCharType="begin"/>
        </w:r>
        <w:r w:rsidR="00856C29">
          <w:rPr>
            <w:webHidden/>
          </w:rPr>
          <w:instrText xml:space="preserve"> PAGEREF _Toc38987231 \h </w:instrText>
        </w:r>
        <w:r w:rsidR="00856C29">
          <w:rPr>
            <w:webHidden/>
          </w:rPr>
        </w:r>
        <w:r w:rsidR="00856C29">
          <w:rPr>
            <w:webHidden/>
          </w:rPr>
          <w:fldChar w:fldCharType="separate"/>
        </w:r>
        <w:r w:rsidR="00CD5270">
          <w:rPr>
            <w:webHidden/>
          </w:rPr>
          <w:t>69</w:t>
        </w:r>
        <w:r w:rsidR="00856C29">
          <w:rPr>
            <w:webHidden/>
          </w:rPr>
          <w:fldChar w:fldCharType="end"/>
        </w:r>
      </w:hyperlink>
    </w:p>
    <w:p w14:paraId="10F6A890" w14:textId="73FAA9A1" w:rsidR="00856C29" w:rsidRDefault="00D56172">
      <w:pPr>
        <w:pStyle w:val="TOC3"/>
        <w:rPr>
          <w:rFonts w:asciiTheme="minorHAnsi" w:eastAsiaTheme="minorEastAsia" w:hAnsiTheme="minorHAnsi" w:cstheme="minorBidi"/>
        </w:rPr>
      </w:pPr>
      <w:hyperlink w:anchor="_Toc38987232" w:history="1">
        <w:r w:rsidR="00856C29" w:rsidRPr="00144A47">
          <w:rPr>
            <w:rStyle w:val="Hyperlink"/>
          </w:rPr>
          <w:t xml:space="preserve">28 </w:t>
        </w:r>
        <w:r w:rsidR="00856C29" w:rsidRPr="00144A47">
          <w:rPr>
            <w:rStyle w:val="Hyperlink"/>
            <w:rFonts w:eastAsiaTheme="majorEastAsia"/>
          </w:rPr>
          <w:t>GHz</w:t>
        </w:r>
        <w:r w:rsidR="00856C29">
          <w:rPr>
            <w:webHidden/>
          </w:rPr>
          <w:tab/>
        </w:r>
        <w:r w:rsidR="00856C29">
          <w:rPr>
            <w:webHidden/>
          </w:rPr>
          <w:fldChar w:fldCharType="begin"/>
        </w:r>
        <w:r w:rsidR="00856C29">
          <w:rPr>
            <w:webHidden/>
          </w:rPr>
          <w:instrText xml:space="preserve"> PAGEREF _Toc38987232 \h </w:instrText>
        </w:r>
        <w:r w:rsidR="00856C29">
          <w:rPr>
            <w:webHidden/>
          </w:rPr>
        </w:r>
        <w:r w:rsidR="00856C29">
          <w:rPr>
            <w:webHidden/>
          </w:rPr>
          <w:fldChar w:fldCharType="separate"/>
        </w:r>
        <w:r w:rsidR="00CD5270">
          <w:rPr>
            <w:webHidden/>
          </w:rPr>
          <w:t>70</w:t>
        </w:r>
        <w:r w:rsidR="00856C29">
          <w:rPr>
            <w:webHidden/>
          </w:rPr>
          <w:fldChar w:fldCharType="end"/>
        </w:r>
      </w:hyperlink>
    </w:p>
    <w:p w14:paraId="61AD52B5" w14:textId="2FC9AB1E" w:rsidR="00856C29" w:rsidRDefault="00D56172">
      <w:pPr>
        <w:pStyle w:val="TOC2"/>
        <w:rPr>
          <w:rFonts w:asciiTheme="minorHAnsi" w:eastAsiaTheme="minorEastAsia" w:hAnsiTheme="minorHAnsi" w:cstheme="minorBidi"/>
          <w:spacing w:val="0"/>
          <w:sz w:val="22"/>
          <w:szCs w:val="22"/>
        </w:rPr>
      </w:pPr>
      <w:hyperlink w:anchor="_Toc38987233" w:history="1">
        <w:r w:rsidR="00856C29" w:rsidRPr="00144A47">
          <w:rPr>
            <w:rStyle w:val="Hyperlink"/>
            <w:rFonts w:eastAsiaTheme="majorEastAsia"/>
          </w:rPr>
          <w:t>Allocation priorities and sequencing</w:t>
        </w:r>
        <w:r w:rsidR="00856C29">
          <w:rPr>
            <w:webHidden/>
          </w:rPr>
          <w:tab/>
        </w:r>
        <w:r w:rsidR="00856C29">
          <w:rPr>
            <w:webHidden/>
          </w:rPr>
          <w:fldChar w:fldCharType="begin"/>
        </w:r>
        <w:r w:rsidR="00856C29">
          <w:rPr>
            <w:webHidden/>
          </w:rPr>
          <w:instrText xml:space="preserve"> PAGEREF _Toc38987233 \h </w:instrText>
        </w:r>
        <w:r w:rsidR="00856C29">
          <w:rPr>
            <w:webHidden/>
          </w:rPr>
        </w:r>
        <w:r w:rsidR="00856C29">
          <w:rPr>
            <w:webHidden/>
          </w:rPr>
          <w:fldChar w:fldCharType="separate"/>
        </w:r>
        <w:r w:rsidR="00CD5270">
          <w:rPr>
            <w:webHidden/>
          </w:rPr>
          <w:t>71</w:t>
        </w:r>
        <w:r w:rsidR="00856C29">
          <w:rPr>
            <w:webHidden/>
          </w:rPr>
          <w:fldChar w:fldCharType="end"/>
        </w:r>
      </w:hyperlink>
    </w:p>
    <w:p w14:paraId="514AE503" w14:textId="007B6694" w:rsidR="00856C29" w:rsidRDefault="00D56172">
      <w:pPr>
        <w:pStyle w:val="TOC3"/>
        <w:rPr>
          <w:rFonts w:asciiTheme="minorHAnsi" w:eastAsiaTheme="minorEastAsia" w:hAnsiTheme="minorHAnsi" w:cstheme="minorBidi"/>
        </w:rPr>
      </w:pPr>
      <w:hyperlink w:anchor="_Toc38987234" w:history="1">
        <w:r w:rsidR="00856C29" w:rsidRPr="00144A47">
          <w:rPr>
            <w:rStyle w:val="Hyperlink"/>
          </w:rPr>
          <w:t>Timing considerations</w:t>
        </w:r>
        <w:r w:rsidR="00856C29">
          <w:rPr>
            <w:webHidden/>
          </w:rPr>
          <w:tab/>
        </w:r>
        <w:r w:rsidR="00856C29">
          <w:rPr>
            <w:webHidden/>
          </w:rPr>
          <w:fldChar w:fldCharType="begin"/>
        </w:r>
        <w:r w:rsidR="00856C29">
          <w:rPr>
            <w:webHidden/>
          </w:rPr>
          <w:instrText xml:space="preserve"> PAGEREF _Toc38987234 \h </w:instrText>
        </w:r>
        <w:r w:rsidR="00856C29">
          <w:rPr>
            <w:webHidden/>
          </w:rPr>
        </w:r>
        <w:r w:rsidR="00856C29">
          <w:rPr>
            <w:webHidden/>
          </w:rPr>
          <w:fldChar w:fldCharType="separate"/>
        </w:r>
        <w:r w:rsidR="00CD5270">
          <w:rPr>
            <w:webHidden/>
          </w:rPr>
          <w:t>71</w:t>
        </w:r>
        <w:r w:rsidR="00856C29">
          <w:rPr>
            <w:webHidden/>
          </w:rPr>
          <w:fldChar w:fldCharType="end"/>
        </w:r>
      </w:hyperlink>
    </w:p>
    <w:p w14:paraId="41407636" w14:textId="395EAEF0" w:rsidR="00856C29" w:rsidRDefault="00D56172">
      <w:pPr>
        <w:pStyle w:val="TOC1"/>
        <w:rPr>
          <w:rFonts w:asciiTheme="minorHAnsi" w:eastAsiaTheme="minorEastAsia" w:hAnsiTheme="minorHAnsi" w:cstheme="minorBidi"/>
          <w:b w:val="0"/>
          <w:spacing w:val="0"/>
          <w:sz w:val="22"/>
          <w:szCs w:val="22"/>
        </w:rPr>
      </w:pPr>
      <w:hyperlink w:anchor="_Toc38987235" w:history="1">
        <w:r w:rsidR="00856C29" w:rsidRPr="00144A47">
          <w:rPr>
            <w:rStyle w:val="Hyperlink"/>
          </w:rPr>
          <w:t>Licensing and licensing systems</w:t>
        </w:r>
        <w:r w:rsidR="00856C29">
          <w:rPr>
            <w:webHidden/>
          </w:rPr>
          <w:tab/>
        </w:r>
        <w:r w:rsidR="00856C29">
          <w:rPr>
            <w:webHidden/>
          </w:rPr>
          <w:fldChar w:fldCharType="begin"/>
        </w:r>
        <w:r w:rsidR="00856C29">
          <w:rPr>
            <w:webHidden/>
          </w:rPr>
          <w:instrText xml:space="preserve"> PAGEREF _Toc38987235 \h </w:instrText>
        </w:r>
        <w:r w:rsidR="00856C29">
          <w:rPr>
            <w:webHidden/>
          </w:rPr>
        </w:r>
        <w:r w:rsidR="00856C29">
          <w:rPr>
            <w:webHidden/>
          </w:rPr>
          <w:fldChar w:fldCharType="separate"/>
        </w:r>
        <w:r w:rsidR="00CD5270">
          <w:rPr>
            <w:webHidden/>
          </w:rPr>
          <w:t>74</w:t>
        </w:r>
        <w:r w:rsidR="00856C29">
          <w:rPr>
            <w:webHidden/>
          </w:rPr>
          <w:fldChar w:fldCharType="end"/>
        </w:r>
      </w:hyperlink>
    </w:p>
    <w:p w14:paraId="6103D274" w14:textId="7F083466" w:rsidR="00856C29" w:rsidRDefault="00D56172">
      <w:pPr>
        <w:pStyle w:val="TOC2"/>
        <w:rPr>
          <w:rFonts w:asciiTheme="minorHAnsi" w:eastAsiaTheme="minorEastAsia" w:hAnsiTheme="minorHAnsi" w:cstheme="minorBidi"/>
          <w:spacing w:val="0"/>
          <w:sz w:val="22"/>
          <w:szCs w:val="22"/>
        </w:rPr>
      </w:pPr>
      <w:hyperlink w:anchor="_Toc38987236" w:history="1">
        <w:r w:rsidR="00856C29" w:rsidRPr="00144A47">
          <w:rPr>
            <w:rStyle w:val="Hyperlink"/>
          </w:rPr>
          <w:t>Recent developments</w:t>
        </w:r>
        <w:r w:rsidR="00856C29">
          <w:rPr>
            <w:webHidden/>
          </w:rPr>
          <w:tab/>
        </w:r>
        <w:r w:rsidR="00856C29">
          <w:rPr>
            <w:webHidden/>
          </w:rPr>
          <w:fldChar w:fldCharType="begin"/>
        </w:r>
        <w:r w:rsidR="00856C29">
          <w:rPr>
            <w:webHidden/>
          </w:rPr>
          <w:instrText xml:space="preserve"> PAGEREF _Toc38987236 \h </w:instrText>
        </w:r>
        <w:r w:rsidR="00856C29">
          <w:rPr>
            <w:webHidden/>
          </w:rPr>
        </w:r>
        <w:r w:rsidR="00856C29">
          <w:rPr>
            <w:webHidden/>
          </w:rPr>
          <w:fldChar w:fldCharType="separate"/>
        </w:r>
        <w:r w:rsidR="00CD5270">
          <w:rPr>
            <w:webHidden/>
          </w:rPr>
          <w:t>74</w:t>
        </w:r>
        <w:r w:rsidR="00856C29">
          <w:rPr>
            <w:webHidden/>
          </w:rPr>
          <w:fldChar w:fldCharType="end"/>
        </w:r>
      </w:hyperlink>
    </w:p>
    <w:p w14:paraId="6AAD8800" w14:textId="3F52D9BF" w:rsidR="00856C29" w:rsidRDefault="00D56172">
      <w:pPr>
        <w:pStyle w:val="TOC3"/>
        <w:rPr>
          <w:rFonts w:asciiTheme="minorHAnsi" w:eastAsiaTheme="minorEastAsia" w:hAnsiTheme="minorHAnsi" w:cstheme="minorBidi"/>
        </w:rPr>
      </w:pPr>
      <w:hyperlink w:anchor="_Toc38987237" w:history="1">
        <w:r w:rsidR="00856C29" w:rsidRPr="00144A47">
          <w:rPr>
            <w:rStyle w:val="Hyperlink"/>
          </w:rPr>
          <w:t>Mobile phone jammers in prisons</w:t>
        </w:r>
        <w:r w:rsidR="00856C29">
          <w:rPr>
            <w:webHidden/>
          </w:rPr>
          <w:tab/>
        </w:r>
        <w:r w:rsidR="00856C29">
          <w:rPr>
            <w:webHidden/>
          </w:rPr>
          <w:fldChar w:fldCharType="begin"/>
        </w:r>
        <w:r w:rsidR="00856C29">
          <w:rPr>
            <w:webHidden/>
          </w:rPr>
          <w:instrText xml:space="preserve"> PAGEREF _Toc38987237 \h </w:instrText>
        </w:r>
        <w:r w:rsidR="00856C29">
          <w:rPr>
            <w:webHidden/>
          </w:rPr>
        </w:r>
        <w:r w:rsidR="00856C29">
          <w:rPr>
            <w:webHidden/>
          </w:rPr>
          <w:fldChar w:fldCharType="separate"/>
        </w:r>
        <w:r w:rsidR="00CD5270">
          <w:rPr>
            <w:webHidden/>
          </w:rPr>
          <w:t>74</w:t>
        </w:r>
        <w:r w:rsidR="00856C29">
          <w:rPr>
            <w:webHidden/>
          </w:rPr>
          <w:fldChar w:fldCharType="end"/>
        </w:r>
      </w:hyperlink>
    </w:p>
    <w:p w14:paraId="1E475C5E" w14:textId="6BD387ED" w:rsidR="00856C29" w:rsidRDefault="00D56172">
      <w:pPr>
        <w:pStyle w:val="TOC3"/>
        <w:rPr>
          <w:rFonts w:asciiTheme="minorHAnsi" w:eastAsiaTheme="minorEastAsia" w:hAnsiTheme="minorHAnsi" w:cstheme="minorBidi"/>
        </w:rPr>
      </w:pPr>
      <w:hyperlink w:anchor="_Toc38987238" w:history="1">
        <w:r w:rsidR="00856C29" w:rsidRPr="00144A47">
          <w:rPr>
            <w:rStyle w:val="Hyperlink"/>
          </w:rPr>
          <w:t>Drone jamming exemption arrangements</w:t>
        </w:r>
        <w:r w:rsidR="00856C29">
          <w:rPr>
            <w:webHidden/>
          </w:rPr>
          <w:tab/>
        </w:r>
        <w:r w:rsidR="00856C29">
          <w:rPr>
            <w:webHidden/>
          </w:rPr>
          <w:fldChar w:fldCharType="begin"/>
        </w:r>
        <w:r w:rsidR="00856C29">
          <w:rPr>
            <w:webHidden/>
          </w:rPr>
          <w:instrText xml:space="preserve"> PAGEREF _Toc38987238 \h </w:instrText>
        </w:r>
        <w:r w:rsidR="00856C29">
          <w:rPr>
            <w:webHidden/>
          </w:rPr>
        </w:r>
        <w:r w:rsidR="00856C29">
          <w:rPr>
            <w:webHidden/>
          </w:rPr>
          <w:fldChar w:fldCharType="separate"/>
        </w:r>
        <w:r w:rsidR="00CD5270">
          <w:rPr>
            <w:webHidden/>
          </w:rPr>
          <w:t>74</w:t>
        </w:r>
        <w:r w:rsidR="00856C29">
          <w:rPr>
            <w:webHidden/>
          </w:rPr>
          <w:fldChar w:fldCharType="end"/>
        </w:r>
      </w:hyperlink>
    </w:p>
    <w:p w14:paraId="32AF38FF" w14:textId="3C32CD2B" w:rsidR="00856C29" w:rsidRDefault="00D56172">
      <w:pPr>
        <w:pStyle w:val="TOC2"/>
        <w:rPr>
          <w:rFonts w:asciiTheme="minorHAnsi" w:eastAsiaTheme="minorEastAsia" w:hAnsiTheme="minorHAnsi" w:cstheme="minorBidi"/>
          <w:spacing w:val="0"/>
          <w:sz w:val="22"/>
          <w:szCs w:val="22"/>
        </w:rPr>
      </w:pPr>
      <w:hyperlink w:anchor="_Toc38987239" w:history="1">
        <w:r w:rsidR="00856C29" w:rsidRPr="00144A47">
          <w:rPr>
            <w:rStyle w:val="Hyperlink"/>
          </w:rPr>
          <w:t>Activities planned for 2020–21</w:t>
        </w:r>
        <w:r w:rsidR="00856C29">
          <w:rPr>
            <w:webHidden/>
          </w:rPr>
          <w:tab/>
        </w:r>
        <w:r w:rsidR="00856C29">
          <w:rPr>
            <w:webHidden/>
          </w:rPr>
          <w:fldChar w:fldCharType="begin"/>
        </w:r>
        <w:r w:rsidR="00856C29">
          <w:rPr>
            <w:webHidden/>
          </w:rPr>
          <w:instrText xml:space="preserve"> PAGEREF _Toc38987239 \h </w:instrText>
        </w:r>
        <w:r w:rsidR="00856C29">
          <w:rPr>
            <w:webHidden/>
          </w:rPr>
        </w:r>
        <w:r w:rsidR="00856C29">
          <w:rPr>
            <w:webHidden/>
          </w:rPr>
          <w:fldChar w:fldCharType="separate"/>
        </w:r>
        <w:r w:rsidR="00CD5270">
          <w:rPr>
            <w:webHidden/>
          </w:rPr>
          <w:t>74</w:t>
        </w:r>
        <w:r w:rsidR="00856C29">
          <w:rPr>
            <w:webHidden/>
          </w:rPr>
          <w:fldChar w:fldCharType="end"/>
        </w:r>
      </w:hyperlink>
    </w:p>
    <w:p w14:paraId="072A66FB" w14:textId="05CF5C6F" w:rsidR="00856C29" w:rsidRDefault="00D56172">
      <w:pPr>
        <w:pStyle w:val="TOC3"/>
        <w:rPr>
          <w:rFonts w:asciiTheme="minorHAnsi" w:eastAsiaTheme="minorEastAsia" w:hAnsiTheme="minorHAnsi" w:cstheme="minorBidi"/>
        </w:rPr>
      </w:pPr>
      <w:hyperlink w:anchor="_Toc38987240" w:history="1">
        <w:r w:rsidR="00856C29" w:rsidRPr="00144A47">
          <w:rPr>
            <w:rStyle w:val="Hyperlink"/>
          </w:rPr>
          <w:t>Amateur certificates of proficiency</w:t>
        </w:r>
        <w:r w:rsidR="00856C29">
          <w:rPr>
            <w:webHidden/>
          </w:rPr>
          <w:tab/>
        </w:r>
        <w:r w:rsidR="00856C29">
          <w:rPr>
            <w:webHidden/>
          </w:rPr>
          <w:fldChar w:fldCharType="begin"/>
        </w:r>
        <w:r w:rsidR="00856C29">
          <w:rPr>
            <w:webHidden/>
          </w:rPr>
          <w:instrText xml:space="preserve"> PAGEREF _Toc38987240 \h </w:instrText>
        </w:r>
        <w:r w:rsidR="00856C29">
          <w:rPr>
            <w:webHidden/>
          </w:rPr>
        </w:r>
        <w:r w:rsidR="00856C29">
          <w:rPr>
            <w:webHidden/>
          </w:rPr>
          <w:fldChar w:fldCharType="separate"/>
        </w:r>
        <w:r w:rsidR="00CD5270">
          <w:rPr>
            <w:webHidden/>
          </w:rPr>
          <w:t>74</w:t>
        </w:r>
        <w:r w:rsidR="00856C29">
          <w:rPr>
            <w:webHidden/>
          </w:rPr>
          <w:fldChar w:fldCharType="end"/>
        </w:r>
      </w:hyperlink>
    </w:p>
    <w:p w14:paraId="00BD6495" w14:textId="1789258A" w:rsidR="00856C29" w:rsidRDefault="00D56172">
      <w:pPr>
        <w:pStyle w:val="TOC3"/>
        <w:rPr>
          <w:rFonts w:asciiTheme="minorHAnsi" w:eastAsiaTheme="minorEastAsia" w:hAnsiTheme="minorHAnsi" w:cstheme="minorBidi"/>
        </w:rPr>
      </w:pPr>
      <w:hyperlink w:anchor="_Toc38987241" w:history="1">
        <w:r w:rsidR="00856C29" w:rsidRPr="00144A47">
          <w:rPr>
            <w:rStyle w:val="Hyperlink"/>
          </w:rPr>
          <w:t>Enabling trials of mobile phone jammers in prisons</w:t>
        </w:r>
        <w:r w:rsidR="00856C29">
          <w:rPr>
            <w:webHidden/>
          </w:rPr>
          <w:tab/>
        </w:r>
        <w:r w:rsidR="00856C29">
          <w:rPr>
            <w:webHidden/>
          </w:rPr>
          <w:fldChar w:fldCharType="begin"/>
        </w:r>
        <w:r w:rsidR="00856C29">
          <w:rPr>
            <w:webHidden/>
          </w:rPr>
          <w:instrText xml:space="preserve"> PAGEREF _Toc38987241 \h </w:instrText>
        </w:r>
        <w:r w:rsidR="00856C29">
          <w:rPr>
            <w:webHidden/>
          </w:rPr>
        </w:r>
        <w:r w:rsidR="00856C29">
          <w:rPr>
            <w:webHidden/>
          </w:rPr>
          <w:fldChar w:fldCharType="separate"/>
        </w:r>
        <w:r w:rsidR="00CD5270">
          <w:rPr>
            <w:webHidden/>
          </w:rPr>
          <w:t>75</w:t>
        </w:r>
        <w:r w:rsidR="00856C29">
          <w:rPr>
            <w:webHidden/>
          </w:rPr>
          <w:fldChar w:fldCharType="end"/>
        </w:r>
      </w:hyperlink>
    </w:p>
    <w:p w14:paraId="7CC860D9" w14:textId="42026CD3" w:rsidR="00856C29" w:rsidRDefault="00D56172">
      <w:pPr>
        <w:pStyle w:val="TOC3"/>
        <w:rPr>
          <w:rFonts w:asciiTheme="minorHAnsi" w:eastAsiaTheme="minorEastAsia" w:hAnsiTheme="minorHAnsi" w:cstheme="minorBidi"/>
        </w:rPr>
      </w:pPr>
      <w:hyperlink w:anchor="_Toc38987242" w:history="1">
        <w:r w:rsidR="00856C29" w:rsidRPr="00144A47">
          <w:rPr>
            <w:rStyle w:val="Hyperlink"/>
          </w:rPr>
          <w:t>RNSS repeater trials</w:t>
        </w:r>
        <w:r w:rsidR="00856C29">
          <w:rPr>
            <w:webHidden/>
          </w:rPr>
          <w:tab/>
        </w:r>
        <w:r w:rsidR="00856C29">
          <w:rPr>
            <w:webHidden/>
          </w:rPr>
          <w:fldChar w:fldCharType="begin"/>
        </w:r>
        <w:r w:rsidR="00856C29">
          <w:rPr>
            <w:webHidden/>
          </w:rPr>
          <w:instrText xml:space="preserve"> PAGEREF _Toc38987242 \h </w:instrText>
        </w:r>
        <w:r w:rsidR="00856C29">
          <w:rPr>
            <w:webHidden/>
          </w:rPr>
        </w:r>
        <w:r w:rsidR="00856C29">
          <w:rPr>
            <w:webHidden/>
          </w:rPr>
          <w:fldChar w:fldCharType="separate"/>
        </w:r>
        <w:r w:rsidR="00CD5270">
          <w:rPr>
            <w:webHidden/>
          </w:rPr>
          <w:t>75</w:t>
        </w:r>
        <w:r w:rsidR="00856C29">
          <w:rPr>
            <w:webHidden/>
          </w:rPr>
          <w:fldChar w:fldCharType="end"/>
        </w:r>
      </w:hyperlink>
    </w:p>
    <w:p w14:paraId="2E3851EE" w14:textId="4649D0FB" w:rsidR="00856C29" w:rsidRDefault="00D56172">
      <w:pPr>
        <w:pStyle w:val="TOC3"/>
        <w:rPr>
          <w:rFonts w:asciiTheme="minorHAnsi" w:eastAsiaTheme="minorEastAsia" w:hAnsiTheme="minorHAnsi" w:cstheme="minorBidi"/>
        </w:rPr>
      </w:pPr>
      <w:hyperlink w:anchor="_Toc38987243" w:history="1">
        <w:r w:rsidR="00856C29" w:rsidRPr="00144A47">
          <w:rPr>
            <w:rStyle w:val="Hyperlink"/>
          </w:rPr>
          <w:t>400 MHz band</w:t>
        </w:r>
        <w:r w:rsidR="00856C29">
          <w:rPr>
            <w:webHidden/>
          </w:rPr>
          <w:tab/>
        </w:r>
        <w:r w:rsidR="00856C29">
          <w:rPr>
            <w:webHidden/>
          </w:rPr>
          <w:fldChar w:fldCharType="begin"/>
        </w:r>
        <w:r w:rsidR="00856C29">
          <w:rPr>
            <w:webHidden/>
          </w:rPr>
          <w:instrText xml:space="preserve"> PAGEREF _Toc38987243 \h </w:instrText>
        </w:r>
        <w:r w:rsidR="00856C29">
          <w:rPr>
            <w:webHidden/>
          </w:rPr>
        </w:r>
        <w:r w:rsidR="00856C29">
          <w:rPr>
            <w:webHidden/>
          </w:rPr>
          <w:fldChar w:fldCharType="separate"/>
        </w:r>
        <w:r w:rsidR="00CD5270">
          <w:rPr>
            <w:webHidden/>
          </w:rPr>
          <w:t>75</w:t>
        </w:r>
        <w:r w:rsidR="00856C29">
          <w:rPr>
            <w:webHidden/>
          </w:rPr>
          <w:fldChar w:fldCharType="end"/>
        </w:r>
      </w:hyperlink>
    </w:p>
    <w:p w14:paraId="41ABE875" w14:textId="565DDC33" w:rsidR="00856C29" w:rsidRDefault="00D56172">
      <w:pPr>
        <w:pStyle w:val="TOC3"/>
        <w:rPr>
          <w:rFonts w:asciiTheme="minorHAnsi" w:eastAsiaTheme="minorEastAsia" w:hAnsiTheme="minorHAnsi" w:cstheme="minorBidi"/>
        </w:rPr>
      </w:pPr>
      <w:hyperlink w:anchor="_Toc38987244" w:history="1">
        <w:r w:rsidR="00856C29" w:rsidRPr="00144A47">
          <w:rPr>
            <w:rStyle w:val="Hyperlink"/>
          </w:rPr>
          <w:t>Review of prohibition declarations and exemption determinations</w:t>
        </w:r>
        <w:r w:rsidR="00856C29">
          <w:rPr>
            <w:webHidden/>
          </w:rPr>
          <w:tab/>
        </w:r>
        <w:r w:rsidR="00856C29">
          <w:rPr>
            <w:webHidden/>
          </w:rPr>
          <w:fldChar w:fldCharType="begin"/>
        </w:r>
        <w:r w:rsidR="00856C29">
          <w:rPr>
            <w:webHidden/>
          </w:rPr>
          <w:instrText xml:space="preserve"> PAGEREF _Toc38987244 \h </w:instrText>
        </w:r>
        <w:r w:rsidR="00856C29">
          <w:rPr>
            <w:webHidden/>
          </w:rPr>
        </w:r>
        <w:r w:rsidR="00856C29">
          <w:rPr>
            <w:webHidden/>
          </w:rPr>
          <w:fldChar w:fldCharType="separate"/>
        </w:r>
        <w:r w:rsidR="00CD5270">
          <w:rPr>
            <w:webHidden/>
          </w:rPr>
          <w:t>75</w:t>
        </w:r>
        <w:r w:rsidR="00856C29">
          <w:rPr>
            <w:webHidden/>
          </w:rPr>
          <w:fldChar w:fldCharType="end"/>
        </w:r>
      </w:hyperlink>
    </w:p>
    <w:p w14:paraId="7B01B7E7" w14:textId="3B9DA6FA" w:rsidR="00856C29" w:rsidRDefault="00D56172">
      <w:pPr>
        <w:pStyle w:val="TOC3"/>
        <w:rPr>
          <w:rFonts w:asciiTheme="minorHAnsi" w:eastAsiaTheme="minorEastAsia" w:hAnsiTheme="minorHAnsi" w:cstheme="minorBidi"/>
        </w:rPr>
      </w:pPr>
      <w:hyperlink w:anchor="_Toc38987245" w:history="1">
        <w:r w:rsidR="00856C29" w:rsidRPr="00144A47">
          <w:rPr>
            <w:rStyle w:val="Hyperlink"/>
          </w:rPr>
          <w:t>Drone regulation</w:t>
        </w:r>
        <w:r w:rsidR="00856C29">
          <w:rPr>
            <w:webHidden/>
          </w:rPr>
          <w:tab/>
        </w:r>
        <w:r w:rsidR="00856C29">
          <w:rPr>
            <w:webHidden/>
          </w:rPr>
          <w:fldChar w:fldCharType="begin"/>
        </w:r>
        <w:r w:rsidR="00856C29">
          <w:rPr>
            <w:webHidden/>
          </w:rPr>
          <w:instrText xml:space="preserve"> PAGEREF _Toc38987245 \h </w:instrText>
        </w:r>
        <w:r w:rsidR="00856C29">
          <w:rPr>
            <w:webHidden/>
          </w:rPr>
        </w:r>
        <w:r w:rsidR="00856C29">
          <w:rPr>
            <w:webHidden/>
          </w:rPr>
          <w:fldChar w:fldCharType="separate"/>
        </w:r>
        <w:r w:rsidR="00CD5270">
          <w:rPr>
            <w:webHidden/>
          </w:rPr>
          <w:t>75</w:t>
        </w:r>
        <w:r w:rsidR="00856C29">
          <w:rPr>
            <w:webHidden/>
          </w:rPr>
          <w:fldChar w:fldCharType="end"/>
        </w:r>
      </w:hyperlink>
    </w:p>
    <w:p w14:paraId="0BF90C3C" w14:textId="7E7AA3E5" w:rsidR="00856C29" w:rsidRDefault="00D56172">
      <w:pPr>
        <w:pStyle w:val="TOC3"/>
        <w:rPr>
          <w:rFonts w:asciiTheme="minorHAnsi" w:eastAsiaTheme="minorEastAsia" w:hAnsiTheme="minorHAnsi" w:cstheme="minorBidi"/>
        </w:rPr>
      </w:pPr>
      <w:hyperlink w:anchor="_Toc38987246" w:history="1">
        <w:r w:rsidR="00856C29" w:rsidRPr="00144A47">
          <w:rPr>
            <w:rStyle w:val="Hyperlink"/>
          </w:rPr>
          <w:t>Area-wide apparatus licence</w:t>
        </w:r>
        <w:r w:rsidR="00856C29">
          <w:rPr>
            <w:webHidden/>
          </w:rPr>
          <w:tab/>
        </w:r>
        <w:r w:rsidR="00856C29">
          <w:rPr>
            <w:webHidden/>
          </w:rPr>
          <w:fldChar w:fldCharType="begin"/>
        </w:r>
        <w:r w:rsidR="00856C29">
          <w:rPr>
            <w:webHidden/>
          </w:rPr>
          <w:instrText xml:space="preserve"> PAGEREF _Toc38987246 \h </w:instrText>
        </w:r>
        <w:r w:rsidR="00856C29">
          <w:rPr>
            <w:webHidden/>
          </w:rPr>
        </w:r>
        <w:r w:rsidR="00856C29">
          <w:rPr>
            <w:webHidden/>
          </w:rPr>
          <w:fldChar w:fldCharType="separate"/>
        </w:r>
        <w:r w:rsidR="00CD5270">
          <w:rPr>
            <w:webHidden/>
          </w:rPr>
          <w:t>76</w:t>
        </w:r>
        <w:r w:rsidR="00856C29">
          <w:rPr>
            <w:webHidden/>
          </w:rPr>
          <w:fldChar w:fldCharType="end"/>
        </w:r>
      </w:hyperlink>
    </w:p>
    <w:p w14:paraId="6C572240" w14:textId="74BA360B" w:rsidR="00856C29" w:rsidRDefault="00D56172">
      <w:pPr>
        <w:pStyle w:val="TOC3"/>
        <w:rPr>
          <w:rFonts w:asciiTheme="minorHAnsi" w:eastAsiaTheme="minorEastAsia" w:hAnsiTheme="minorHAnsi" w:cstheme="minorBidi"/>
        </w:rPr>
      </w:pPr>
      <w:hyperlink w:anchor="_Toc38987247" w:history="1">
        <w:r w:rsidR="00856C29" w:rsidRPr="00144A47">
          <w:rPr>
            <w:rStyle w:val="Hyperlink"/>
          </w:rPr>
          <w:t>Review of non-assigned amateur and outpost licensing arrangements</w:t>
        </w:r>
        <w:r w:rsidR="00856C29">
          <w:rPr>
            <w:webHidden/>
          </w:rPr>
          <w:tab/>
        </w:r>
        <w:r w:rsidR="00856C29">
          <w:rPr>
            <w:webHidden/>
          </w:rPr>
          <w:fldChar w:fldCharType="begin"/>
        </w:r>
        <w:r w:rsidR="00856C29">
          <w:rPr>
            <w:webHidden/>
          </w:rPr>
          <w:instrText xml:space="preserve"> PAGEREF _Toc38987247 \h </w:instrText>
        </w:r>
        <w:r w:rsidR="00856C29">
          <w:rPr>
            <w:webHidden/>
          </w:rPr>
        </w:r>
        <w:r w:rsidR="00856C29">
          <w:rPr>
            <w:webHidden/>
          </w:rPr>
          <w:fldChar w:fldCharType="separate"/>
        </w:r>
        <w:r w:rsidR="00CD5270">
          <w:rPr>
            <w:webHidden/>
          </w:rPr>
          <w:t>76</w:t>
        </w:r>
        <w:r w:rsidR="00856C29">
          <w:rPr>
            <w:webHidden/>
          </w:rPr>
          <w:fldChar w:fldCharType="end"/>
        </w:r>
      </w:hyperlink>
    </w:p>
    <w:p w14:paraId="65C9E3E3" w14:textId="02E42F52" w:rsidR="00856C29" w:rsidRDefault="00D56172">
      <w:pPr>
        <w:pStyle w:val="TOC3"/>
        <w:rPr>
          <w:rFonts w:asciiTheme="minorHAnsi" w:eastAsiaTheme="minorEastAsia" w:hAnsiTheme="minorHAnsi" w:cstheme="minorBidi"/>
        </w:rPr>
      </w:pPr>
      <w:hyperlink w:anchor="_Toc38987248" w:history="1">
        <w:r w:rsidR="00856C29" w:rsidRPr="00144A47">
          <w:rPr>
            <w:rStyle w:val="Hyperlink"/>
          </w:rPr>
          <w:t>Review of scientific assigned and non-assigned apparatus licensing arrangements</w:t>
        </w:r>
        <w:r w:rsidR="00856C29">
          <w:rPr>
            <w:webHidden/>
          </w:rPr>
          <w:tab/>
        </w:r>
        <w:r w:rsidR="00856C29">
          <w:rPr>
            <w:webHidden/>
          </w:rPr>
          <w:fldChar w:fldCharType="begin"/>
        </w:r>
        <w:r w:rsidR="00856C29">
          <w:rPr>
            <w:webHidden/>
          </w:rPr>
          <w:instrText xml:space="preserve"> PAGEREF _Toc38987248 \h </w:instrText>
        </w:r>
        <w:r w:rsidR="00856C29">
          <w:rPr>
            <w:webHidden/>
          </w:rPr>
        </w:r>
        <w:r w:rsidR="00856C29">
          <w:rPr>
            <w:webHidden/>
          </w:rPr>
          <w:fldChar w:fldCharType="separate"/>
        </w:r>
        <w:r w:rsidR="00CD5270">
          <w:rPr>
            <w:webHidden/>
          </w:rPr>
          <w:t>77</w:t>
        </w:r>
        <w:r w:rsidR="00856C29">
          <w:rPr>
            <w:webHidden/>
          </w:rPr>
          <w:fldChar w:fldCharType="end"/>
        </w:r>
      </w:hyperlink>
    </w:p>
    <w:p w14:paraId="0D387860" w14:textId="74897E67" w:rsidR="00856C29" w:rsidRDefault="00D56172">
      <w:pPr>
        <w:pStyle w:val="TOC3"/>
        <w:rPr>
          <w:rFonts w:asciiTheme="minorHAnsi" w:eastAsiaTheme="minorEastAsia" w:hAnsiTheme="minorHAnsi" w:cstheme="minorBidi"/>
        </w:rPr>
      </w:pPr>
      <w:hyperlink w:anchor="_Toc38987249" w:history="1">
        <w:r w:rsidR="00856C29" w:rsidRPr="00144A47">
          <w:rPr>
            <w:rStyle w:val="Hyperlink"/>
          </w:rPr>
          <w:t>Review of efficiency and effectiveness of Accredited Persons scheme</w:t>
        </w:r>
        <w:r w:rsidR="00856C29">
          <w:rPr>
            <w:webHidden/>
          </w:rPr>
          <w:tab/>
        </w:r>
        <w:r w:rsidR="00856C29">
          <w:rPr>
            <w:webHidden/>
          </w:rPr>
          <w:fldChar w:fldCharType="begin"/>
        </w:r>
        <w:r w:rsidR="00856C29">
          <w:rPr>
            <w:webHidden/>
          </w:rPr>
          <w:instrText xml:space="preserve"> PAGEREF _Toc38987249 \h </w:instrText>
        </w:r>
        <w:r w:rsidR="00856C29">
          <w:rPr>
            <w:webHidden/>
          </w:rPr>
        </w:r>
        <w:r w:rsidR="00856C29">
          <w:rPr>
            <w:webHidden/>
          </w:rPr>
          <w:fldChar w:fldCharType="separate"/>
        </w:r>
        <w:r w:rsidR="00CD5270">
          <w:rPr>
            <w:webHidden/>
          </w:rPr>
          <w:t>77</w:t>
        </w:r>
        <w:r w:rsidR="00856C29">
          <w:rPr>
            <w:webHidden/>
          </w:rPr>
          <w:fldChar w:fldCharType="end"/>
        </w:r>
      </w:hyperlink>
    </w:p>
    <w:p w14:paraId="4A6EA67C" w14:textId="2E7FA66F" w:rsidR="00856C29" w:rsidRDefault="00D56172">
      <w:pPr>
        <w:pStyle w:val="TOC1"/>
        <w:rPr>
          <w:rFonts w:asciiTheme="minorHAnsi" w:eastAsiaTheme="minorEastAsia" w:hAnsiTheme="minorHAnsi" w:cstheme="minorBidi"/>
          <w:b w:val="0"/>
          <w:spacing w:val="0"/>
          <w:sz w:val="22"/>
          <w:szCs w:val="22"/>
        </w:rPr>
      </w:pPr>
      <w:hyperlink w:anchor="_Toc38987250" w:history="1">
        <w:r w:rsidR="00856C29" w:rsidRPr="00144A47">
          <w:rPr>
            <w:rStyle w:val="Hyperlink"/>
          </w:rPr>
          <w:t>Pricing</w:t>
        </w:r>
        <w:r w:rsidR="00856C29">
          <w:rPr>
            <w:webHidden/>
          </w:rPr>
          <w:tab/>
        </w:r>
        <w:r w:rsidR="00856C29">
          <w:rPr>
            <w:webHidden/>
          </w:rPr>
          <w:fldChar w:fldCharType="begin"/>
        </w:r>
        <w:r w:rsidR="00856C29">
          <w:rPr>
            <w:webHidden/>
          </w:rPr>
          <w:instrText xml:space="preserve"> PAGEREF _Toc38987250 \h </w:instrText>
        </w:r>
        <w:r w:rsidR="00856C29">
          <w:rPr>
            <w:webHidden/>
          </w:rPr>
        </w:r>
        <w:r w:rsidR="00856C29">
          <w:rPr>
            <w:webHidden/>
          </w:rPr>
          <w:fldChar w:fldCharType="separate"/>
        </w:r>
        <w:r w:rsidR="00CD5270">
          <w:rPr>
            <w:webHidden/>
          </w:rPr>
          <w:t>78</w:t>
        </w:r>
        <w:r w:rsidR="00856C29">
          <w:rPr>
            <w:webHidden/>
          </w:rPr>
          <w:fldChar w:fldCharType="end"/>
        </w:r>
      </w:hyperlink>
    </w:p>
    <w:p w14:paraId="11F5B1F3" w14:textId="6B0D4C10" w:rsidR="00856C29" w:rsidRDefault="00D56172">
      <w:pPr>
        <w:pStyle w:val="TOC2"/>
        <w:rPr>
          <w:rFonts w:asciiTheme="minorHAnsi" w:eastAsiaTheme="minorEastAsia" w:hAnsiTheme="minorHAnsi" w:cstheme="minorBidi"/>
          <w:spacing w:val="0"/>
          <w:sz w:val="22"/>
          <w:szCs w:val="22"/>
        </w:rPr>
      </w:pPr>
      <w:hyperlink w:anchor="_Toc38987251" w:history="1">
        <w:r w:rsidR="00856C29" w:rsidRPr="00144A47">
          <w:rPr>
            <w:rStyle w:val="Hyperlink"/>
          </w:rPr>
          <w:t>Recent developments</w:t>
        </w:r>
        <w:r w:rsidR="00856C29">
          <w:rPr>
            <w:webHidden/>
          </w:rPr>
          <w:tab/>
        </w:r>
        <w:r w:rsidR="00856C29">
          <w:rPr>
            <w:webHidden/>
          </w:rPr>
          <w:fldChar w:fldCharType="begin"/>
        </w:r>
        <w:r w:rsidR="00856C29">
          <w:rPr>
            <w:webHidden/>
          </w:rPr>
          <w:instrText xml:space="preserve"> PAGEREF _Toc38987251 \h </w:instrText>
        </w:r>
        <w:r w:rsidR="00856C29">
          <w:rPr>
            <w:webHidden/>
          </w:rPr>
        </w:r>
        <w:r w:rsidR="00856C29">
          <w:rPr>
            <w:webHidden/>
          </w:rPr>
          <w:fldChar w:fldCharType="separate"/>
        </w:r>
        <w:r w:rsidR="00CD5270">
          <w:rPr>
            <w:webHidden/>
          </w:rPr>
          <w:t>78</w:t>
        </w:r>
        <w:r w:rsidR="00856C29">
          <w:rPr>
            <w:webHidden/>
          </w:rPr>
          <w:fldChar w:fldCharType="end"/>
        </w:r>
      </w:hyperlink>
    </w:p>
    <w:p w14:paraId="19B87505" w14:textId="4859879A" w:rsidR="00856C29" w:rsidRDefault="00D56172">
      <w:pPr>
        <w:pStyle w:val="TOC3"/>
        <w:rPr>
          <w:rFonts w:asciiTheme="minorHAnsi" w:eastAsiaTheme="minorEastAsia" w:hAnsiTheme="minorHAnsi" w:cstheme="minorBidi"/>
        </w:rPr>
      </w:pPr>
      <w:hyperlink w:anchor="_Toc38987252" w:history="1">
        <w:r w:rsidR="00856C29" w:rsidRPr="00144A47">
          <w:rPr>
            <w:rStyle w:val="Hyperlink"/>
          </w:rPr>
          <w:t>Apparatus licence taxes</w:t>
        </w:r>
        <w:r w:rsidR="00856C29">
          <w:rPr>
            <w:webHidden/>
          </w:rPr>
          <w:tab/>
        </w:r>
        <w:r w:rsidR="00856C29">
          <w:rPr>
            <w:webHidden/>
          </w:rPr>
          <w:fldChar w:fldCharType="begin"/>
        </w:r>
        <w:r w:rsidR="00856C29">
          <w:rPr>
            <w:webHidden/>
          </w:rPr>
          <w:instrText xml:space="preserve"> PAGEREF _Toc38987252 \h </w:instrText>
        </w:r>
        <w:r w:rsidR="00856C29">
          <w:rPr>
            <w:webHidden/>
          </w:rPr>
        </w:r>
        <w:r w:rsidR="00856C29">
          <w:rPr>
            <w:webHidden/>
          </w:rPr>
          <w:fldChar w:fldCharType="separate"/>
        </w:r>
        <w:r w:rsidR="00CD5270">
          <w:rPr>
            <w:webHidden/>
          </w:rPr>
          <w:t>78</w:t>
        </w:r>
        <w:r w:rsidR="00856C29">
          <w:rPr>
            <w:webHidden/>
          </w:rPr>
          <w:fldChar w:fldCharType="end"/>
        </w:r>
      </w:hyperlink>
    </w:p>
    <w:p w14:paraId="546E0E11" w14:textId="6AE65980" w:rsidR="00856C29" w:rsidRDefault="00D56172">
      <w:pPr>
        <w:pStyle w:val="TOC3"/>
        <w:rPr>
          <w:rFonts w:asciiTheme="minorHAnsi" w:eastAsiaTheme="minorEastAsia" w:hAnsiTheme="minorHAnsi" w:cstheme="minorBidi"/>
        </w:rPr>
      </w:pPr>
      <w:hyperlink w:anchor="_Toc38987253" w:history="1">
        <w:r w:rsidR="00856C29" w:rsidRPr="00144A47">
          <w:rPr>
            <w:rStyle w:val="Hyperlink"/>
          </w:rPr>
          <w:t>Commercial broadcasting taxes</w:t>
        </w:r>
        <w:r w:rsidR="00856C29">
          <w:rPr>
            <w:webHidden/>
          </w:rPr>
          <w:tab/>
        </w:r>
        <w:r w:rsidR="00856C29">
          <w:rPr>
            <w:webHidden/>
          </w:rPr>
          <w:fldChar w:fldCharType="begin"/>
        </w:r>
        <w:r w:rsidR="00856C29">
          <w:rPr>
            <w:webHidden/>
          </w:rPr>
          <w:instrText xml:space="preserve"> PAGEREF _Toc38987253 \h </w:instrText>
        </w:r>
        <w:r w:rsidR="00856C29">
          <w:rPr>
            <w:webHidden/>
          </w:rPr>
        </w:r>
        <w:r w:rsidR="00856C29">
          <w:rPr>
            <w:webHidden/>
          </w:rPr>
          <w:fldChar w:fldCharType="separate"/>
        </w:r>
        <w:r w:rsidR="00CD5270">
          <w:rPr>
            <w:webHidden/>
          </w:rPr>
          <w:t>78</w:t>
        </w:r>
        <w:r w:rsidR="00856C29">
          <w:rPr>
            <w:webHidden/>
          </w:rPr>
          <w:fldChar w:fldCharType="end"/>
        </w:r>
      </w:hyperlink>
    </w:p>
    <w:p w14:paraId="1D1E866F" w14:textId="21F8653E" w:rsidR="00856C29" w:rsidRDefault="00D56172">
      <w:pPr>
        <w:pStyle w:val="TOC2"/>
        <w:rPr>
          <w:rFonts w:asciiTheme="minorHAnsi" w:eastAsiaTheme="minorEastAsia" w:hAnsiTheme="minorHAnsi" w:cstheme="minorBidi"/>
          <w:spacing w:val="0"/>
          <w:sz w:val="22"/>
          <w:szCs w:val="22"/>
        </w:rPr>
      </w:pPr>
      <w:hyperlink w:anchor="_Toc38987254" w:history="1">
        <w:r w:rsidR="00856C29" w:rsidRPr="00144A47">
          <w:rPr>
            <w:rStyle w:val="Hyperlink"/>
          </w:rPr>
          <w:t>Activities planned for 2020–21</w:t>
        </w:r>
        <w:r w:rsidR="00856C29">
          <w:rPr>
            <w:webHidden/>
          </w:rPr>
          <w:tab/>
        </w:r>
        <w:r w:rsidR="00856C29">
          <w:rPr>
            <w:webHidden/>
          </w:rPr>
          <w:fldChar w:fldCharType="begin"/>
        </w:r>
        <w:r w:rsidR="00856C29">
          <w:rPr>
            <w:webHidden/>
          </w:rPr>
          <w:instrText xml:space="preserve"> PAGEREF _Toc38987254 \h </w:instrText>
        </w:r>
        <w:r w:rsidR="00856C29">
          <w:rPr>
            <w:webHidden/>
          </w:rPr>
        </w:r>
        <w:r w:rsidR="00856C29">
          <w:rPr>
            <w:webHidden/>
          </w:rPr>
          <w:fldChar w:fldCharType="separate"/>
        </w:r>
        <w:r w:rsidR="00CD5270">
          <w:rPr>
            <w:webHidden/>
          </w:rPr>
          <w:t>78</w:t>
        </w:r>
        <w:r w:rsidR="00856C29">
          <w:rPr>
            <w:webHidden/>
          </w:rPr>
          <w:fldChar w:fldCharType="end"/>
        </w:r>
      </w:hyperlink>
    </w:p>
    <w:p w14:paraId="37180526" w14:textId="23A35324" w:rsidR="00856C29" w:rsidRDefault="00D56172">
      <w:pPr>
        <w:pStyle w:val="TOC3"/>
        <w:rPr>
          <w:rFonts w:asciiTheme="minorHAnsi" w:eastAsiaTheme="minorEastAsia" w:hAnsiTheme="minorHAnsi" w:cstheme="minorBidi"/>
        </w:rPr>
      </w:pPr>
      <w:hyperlink w:anchor="_Toc38987255" w:history="1">
        <w:r w:rsidR="00856C29" w:rsidRPr="00144A47">
          <w:rPr>
            <w:rStyle w:val="Hyperlink"/>
          </w:rPr>
          <w:t>Implementation of the government’s Spectrum Pricing Review</w:t>
        </w:r>
        <w:r w:rsidR="00856C29">
          <w:rPr>
            <w:webHidden/>
          </w:rPr>
          <w:tab/>
        </w:r>
        <w:r w:rsidR="00856C29">
          <w:rPr>
            <w:webHidden/>
          </w:rPr>
          <w:fldChar w:fldCharType="begin"/>
        </w:r>
        <w:r w:rsidR="00856C29">
          <w:rPr>
            <w:webHidden/>
          </w:rPr>
          <w:instrText xml:space="preserve"> PAGEREF _Toc38987255 \h </w:instrText>
        </w:r>
        <w:r w:rsidR="00856C29">
          <w:rPr>
            <w:webHidden/>
          </w:rPr>
        </w:r>
        <w:r w:rsidR="00856C29">
          <w:rPr>
            <w:webHidden/>
          </w:rPr>
          <w:fldChar w:fldCharType="separate"/>
        </w:r>
        <w:r w:rsidR="00CD5270">
          <w:rPr>
            <w:webHidden/>
          </w:rPr>
          <w:t>78</w:t>
        </w:r>
        <w:r w:rsidR="00856C29">
          <w:rPr>
            <w:webHidden/>
          </w:rPr>
          <w:fldChar w:fldCharType="end"/>
        </w:r>
      </w:hyperlink>
    </w:p>
    <w:p w14:paraId="2F8A5ED1" w14:textId="21A4A443" w:rsidR="00856C29" w:rsidRDefault="00D56172">
      <w:pPr>
        <w:pStyle w:val="TOC3"/>
        <w:rPr>
          <w:rFonts w:asciiTheme="minorHAnsi" w:eastAsiaTheme="minorEastAsia" w:hAnsiTheme="minorHAnsi" w:cstheme="minorBidi"/>
        </w:rPr>
      </w:pPr>
      <w:hyperlink w:anchor="_Toc38987256" w:history="1">
        <w:r w:rsidR="00856C29" w:rsidRPr="00144A47">
          <w:rPr>
            <w:rStyle w:val="Hyperlink"/>
          </w:rPr>
          <w:t>Commercial broadcasting taxes</w:t>
        </w:r>
        <w:r w:rsidR="00856C29">
          <w:rPr>
            <w:webHidden/>
          </w:rPr>
          <w:tab/>
        </w:r>
        <w:r w:rsidR="00856C29">
          <w:rPr>
            <w:webHidden/>
          </w:rPr>
          <w:fldChar w:fldCharType="begin"/>
        </w:r>
        <w:r w:rsidR="00856C29">
          <w:rPr>
            <w:webHidden/>
          </w:rPr>
          <w:instrText xml:space="preserve"> PAGEREF _Toc38987256 \h </w:instrText>
        </w:r>
        <w:r w:rsidR="00856C29">
          <w:rPr>
            <w:webHidden/>
          </w:rPr>
        </w:r>
        <w:r w:rsidR="00856C29">
          <w:rPr>
            <w:webHidden/>
          </w:rPr>
          <w:fldChar w:fldCharType="separate"/>
        </w:r>
        <w:r w:rsidR="00CD5270">
          <w:rPr>
            <w:webHidden/>
          </w:rPr>
          <w:t>79</w:t>
        </w:r>
        <w:r w:rsidR="00856C29">
          <w:rPr>
            <w:webHidden/>
          </w:rPr>
          <w:fldChar w:fldCharType="end"/>
        </w:r>
      </w:hyperlink>
    </w:p>
    <w:p w14:paraId="6A6453DC" w14:textId="2890112C" w:rsidR="00856C29" w:rsidRDefault="00D56172">
      <w:pPr>
        <w:pStyle w:val="TOC3"/>
        <w:rPr>
          <w:rFonts w:asciiTheme="minorHAnsi" w:eastAsiaTheme="minorEastAsia" w:hAnsiTheme="minorHAnsi" w:cstheme="minorBidi"/>
        </w:rPr>
      </w:pPr>
      <w:hyperlink w:anchor="_Toc38987257" w:history="1">
        <w:r w:rsidR="00856C29" w:rsidRPr="00144A47">
          <w:rPr>
            <w:rStyle w:val="Hyperlink"/>
          </w:rPr>
          <w:t>New EME levy arrangements.</w:t>
        </w:r>
        <w:r w:rsidR="00856C29">
          <w:rPr>
            <w:webHidden/>
          </w:rPr>
          <w:tab/>
        </w:r>
        <w:r w:rsidR="00856C29">
          <w:rPr>
            <w:webHidden/>
          </w:rPr>
          <w:fldChar w:fldCharType="begin"/>
        </w:r>
        <w:r w:rsidR="00856C29">
          <w:rPr>
            <w:webHidden/>
          </w:rPr>
          <w:instrText xml:space="preserve"> PAGEREF _Toc38987257 \h </w:instrText>
        </w:r>
        <w:r w:rsidR="00856C29">
          <w:rPr>
            <w:webHidden/>
          </w:rPr>
        </w:r>
        <w:r w:rsidR="00856C29">
          <w:rPr>
            <w:webHidden/>
          </w:rPr>
          <w:fldChar w:fldCharType="separate"/>
        </w:r>
        <w:r w:rsidR="00CD5270">
          <w:rPr>
            <w:webHidden/>
          </w:rPr>
          <w:t>79</w:t>
        </w:r>
        <w:r w:rsidR="00856C29">
          <w:rPr>
            <w:webHidden/>
          </w:rPr>
          <w:fldChar w:fldCharType="end"/>
        </w:r>
      </w:hyperlink>
    </w:p>
    <w:p w14:paraId="25F21A41" w14:textId="38033DF5" w:rsidR="00856C29" w:rsidRDefault="00D56172">
      <w:pPr>
        <w:pStyle w:val="TOC3"/>
        <w:rPr>
          <w:rFonts w:asciiTheme="minorHAnsi" w:eastAsiaTheme="minorEastAsia" w:hAnsiTheme="minorHAnsi" w:cstheme="minorBidi"/>
        </w:rPr>
      </w:pPr>
      <w:hyperlink w:anchor="_Toc38987258" w:history="1">
        <w:r w:rsidR="00856C29" w:rsidRPr="00144A47">
          <w:rPr>
            <w:rStyle w:val="Hyperlink"/>
          </w:rPr>
          <w:t>Other pricing updates</w:t>
        </w:r>
        <w:r w:rsidR="00856C29">
          <w:rPr>
            <w:webHidden/>
          </w:rPr>
          <w:tab/>
        </w:r>
        <w:r w:rsidR="00856C29">
          <w:rPr>
            <w:webHidden/>
          </w:rPr>
          <w:fldChar w:fldCharType="begin"/>
        </w:r>
        <w:r w:rsidR="00856C29">
          <w:rPr>
            <w:webHidden/>
          </w:rPr>
          <w:instrText xml:space="preserve"> PAGEREF _Toc38987258 \h </w:instrText>
        </w:r>
        <w:r w:rsidR="00856C29">
          <w:rPr>
            <w:webHidden/>
          </w:rPr>
        </w:r>
        <w:r w:rsidR="00856C29">
          <w:rPr>
            <w:webHidden/>
          </w:rPr>
          <w:fldChar w:fldCharType="separate"/>
        </w:r>
        <w:r w:rsidR="00CD5270">
          <w:rPr>
            <w:webHidden/>
          </w:rPr>
          <w:t>79</w:t>
        </w:r>
        <w:r w:rsidR="00856C29">
          <w:rPr>
            <w:webHidden/>
          </w:rPr>
          <w:fldChar w:fldCharType="end"/>
        </w:r>
      </w:hyperlink>
    </w:p>
    <w:p w14:paraId="53E608B4" w14:textId="3542B1C2" w:rsidR="00856C29" w:rsidRDefault="00D56172">
      <w:pPr>
        <w:pStyle w:val="TOC1"/>
        <w:rPr>
          <w:rFonts w:asciiTheme="minorHAnsi" w:eastAsiaTheme="minorEastAsia" w:hAnsiTheme="minorHAnsi" w:cstheme="minorBidi"/>
          <w:b w:val="0"/>
          <w:spacing w:val="0"/>
          <w:sz w:val="22"/>
          <w:szCs w:val="22"/>
        </w:rPr>
      </w:pPr>
      <w:hyperlink w:anchor="_Toc38987259" w:history="1">
        <w:r w:rsidR="00856C29" w:rsidRPr="00144A47">
          <w:rPr>
            <w:rStyle w:val="Hyperlink"/>
          </w:rPr>
          <w:t>Compliance and enforcement</w:t>
        </w:r>
        <w:r w:rsidR="00856C29">
          <w:rPr>
            <w:webHidden/>
          </w:rPr>
          <w:tab/>
        </w:r>
        <w:r w:rsidR="00856C29">
          <w:rPr>
            <w:webHidden/>
          </w:rPr>
          <w:fldChar w:fldCharType="begin"/>
        </w:r>
        <w:r w:rsidR="00856C29">
          <w:rPr>
            <w:webHidden/>
          </w:rPr>
          <w:instrText xml:space="preserve"> PAGEREF _Toc38987259 \h </w:instrText>
        </w:r>
        <w:r w:rsidR="00856C29">
          <w:rPr>
            <w:webHidden/>
          </w:rPr>
        </w:r>
        <w:r w:rsidR="00856C29">
          <w:rPr>
            <w:webHidden/>
          </w:rPr>
          <w:fldChar w:fldCharType="separate"/>
        </w:r>
        <w:r w:rsidR="00CD5270">
          <w:rPr>
            <w:webHidden/>
          </w:rPr>
          <w:t>80</w:t>
        </w:r>
        <w:r w:rsidR="00856C29">
          <w:rPr>
            <w:webHidden/>
          </w:rPr>
          <w:fldChar w:fldCharType="end"/>
        </w:r>
      </w:hyperlink>
    </w:p>
    <w:p w14:paraId="3AE8BA1B" w14:textId="4FB066BC" w:rsidR="00856C29" w:rsidRDefault="00D56172">
      <w:pPr>
        <w:pStyle w:val="TOC2"/>
        <w:rPr>
          <w:rFonts w:asciiTheme="minorHAnsi" w:eastAsiaTheme="minorEastAsia" w:hAnsiTheme="minorHAnsi" w:cstheme="minorBidi"/>
          <w:spacing w:val="0"/>
          <w:sz w:val="22"/>
          <w:szCs w:val="22"/>
        </w:rPr>
      </w:pPr>
      <w:hyperlink w:anchor="_Toc38987260" w:history="1">
        <w:r w:rsidR="00856C29" w:rsidRPr="00144A47">
          <w:rPr>
            <w:rStyle w:val="Hyperlink"/>
          </w:rPr>
          <w:t>Compliance priorities</w:t>
        </w:r>
        <w:r w:rsidR="00856C29">
          <w:rPr>
            <w:webHidden/>
          </w:rPr>
          <w:tab/>
        </w:r>
        <w:r w:rsidR="00856C29">
          <w:rPr>
            <w:webHidden/>
          </w:rPr>
          <w:fldChar w:fldCharType="begin"/>
        </w:r>
        <w:r w:rsidR="00856C29">
          <w:rPr>
            <w:webHidden/>
          </w:rPr>
          <w:instrText xml:space="preserve"> PAGEREF _Toc38987260 \h </w:instrText>
        </w:r>
        <w:r w:rsidR="00856C29">
          <w:rPr>
            <w:webHidden/>
          </w:rPr>
        </w:r>
        <w:r w:rsidR="00856C29">
          <w:rPr>
            <w:webHidden/>
          </w:rPr>
          <w:fldChar w:fldCharType="separate"/>
        </w:r>
        <w:r w:rsidR="00CD5270">
          <w:rPr>
            <w:webHidden/>
          </w:rPr>
          <w:t>80</w:t>
        </w:r>
        <w:r w:rsidR="00856C29">
          <w:rPr>
            <w:webHidden/>
          </w:rPr>
          <w:fldChar w:fldCharType="end"/>
        </w:r>
      </w:hyperlink>
    </w:p>
    <w:p w14:paraId="0D387A0C" w14:textId="77CAC773" w:rsidR="00856C29" w:rsidRDefault="00D56172">
      <w:pPr>
        <w:pStyle w:val="TOC2"/>
        <w:rPr>
          <w:rFonts w:asciiTheme="minorHAnsi" w:eastAsiaTheme="minorEastAsia" w:hAnsiTheme="minorHAnsi" w:cstheme="minorBidi"/>
          <w:spacing w:val="0"/>
          <w:sz w:val="22"/>
          <w:szCs w:val="22"/>
        </w:rPr>
      </w:pPr>
      <w:hyperlink w:anchor="_Toc38987261" w:history="1">
        <w:r w:rsidR="00856C29" w:rsidRPr="00144A47">
          <w:rPr>
            <w:rStyle w:val="Hyperlink"/>
          </w:rPr>
          <w:t>Recent developments</w:t>
        </w:r>
        <w:r w:rsidR="00856C29">
          <w:rPr>
            <w:webHidden/>
          </w:rPr>
          <w:tab/>
        </w:r>
        <w:r w:rsidR="00856C29">
          <w:rPr>
            <w:webHidden/>
          </w:rPr>
          <w:fldChar w:fldCharType="begin"/>
        </w:r>
        <w:r w:rsidR="00856C29">
          <w:rPr>
            <w:webHidden/>
          </w:rPr>
          <w:instrText xml:space="preserve"> PAGEREF _Toc38987261 \h </w:instrText>
        </w:r>
        <w:r w:rsidR="00856C29">
          <w:rPr>
            <w:webHidden/>
          </w:rPr>
        </w:r>
        <w:r w:rsidR="00856C29">
          <w:rPr>
            <w:webHidden/>
          </w:rPr>
          <w:fldChar w:fldCharType="separate"/>
        </w:r>
        <w:r w:rsidR="00CD5270">
          <w:rPr>
            <w:webHidden/>
          </w:rPr>
          <w:t>80</w:t>
        </w:r>
        <w:r w:rsidR="00856C29">
          <w:rPr>
            <w:webHidden/>
          </w:rPr>
          <w:fldChar w:fldCharType="end"/>
        </w:r>
      </w:hyperlink>
    </w:p>
    <w:p w14:paraId="4AAEE8D6" w14:textId="2F7B4CA3" w:rsidR="00856C29" w:rsidRDefault="00D56172">
      <w:pPr>
        <w:pStyle w:val="TOC3"/>
        <w:rPr>
          <w:rFonts w:asciiTheme="minorHAnsi" w:eastAsiaTheme="minorEastAsia" w:hAnsiTheme="minorHAnsi" w:cstheme="minorBidi"/>
        </w:rPr>
      </w:pPr>
      <w:hyperlink w:anchor="_Toc38987262" w:history="1">
        <w:r w:rsidR="00856C29" w:rsidRPr="00144A47">
          <w:rPr>
            <w:rStyle w:val="Hyperlink"/>
          </w:rPr>
          <w:t>Audit of small cell base stations</w:t>
        </w:r>
        <w:r w:rsidR="00856C29">
          <w:rPr>
            <w:webHidden/>
          </w:rPr>
          <w:tab/>
        </w:r>
        <w:r w:rsidR="00856C29">
          <w:rPr>
            <w:webHidden/>
          </w:rPr>
          <w:fldChar w:fldCharType="begin"/>
        </w:r>
        <w:r w:rsidR="00856C29">
          <w:rPr>
            <w:webHidden/>
          </w:rPr>
          <w:instrText xml:space="preserve"> PAGEREF _Toc38987262 \h </w:instrText>
        </w:r>
        <w:r w:rsidR="00856C29">
          <w:rPr>
            <w:webHidden/>
          </w:rPr>
        </w:r>
        <w:r w:rsidR="00856C29">
          <w:rPr>
            <w:webHidden/>
          </w:rPr>
          <w:fldChar w:fldCharType="separate"/>
        </w:r>
        <w:r w:rsidR="00CD5270">
          <w:rPr>
            <w:webHidden/>
          </w:rPr>
          <w:t>80</w:t>
        </w:r>
        <w:r w:rsidR="00856C29">
          <w:rPr>
            <w:webHidden/>
          </w:rPr>
          <w:fldChar w:fldCharType="end"/>
        </w:r>
      </w:hyperlink>
    </w:p>
    <w:p w14:paraId="332748B6" w14:textId="00F4D9F2" w:rsidR="00856C29" w:rsidRDefault="00D56172">
      <w:pPr>
        <w:pStyle w:val="TOC3"/>
        <w:rPr>
          <w:rFonts w:asciiTheme="minorHAnsi" w:eastAsiaTheme="minorEastAsia" w:hAnsiTheme="minorHAnsi" w:cstheme="minorBidi"/>
        </w:rPr>
      </w:pPr>
      <w:hyperlink w:anchor="_Toc38987263" w:history="1">
        <w:r w:rsidR="00856C29" w:rsidRPr="00144A47">
          <w:rPr>
            <w:rStyle w:val="Hyperlink"/>
          </w:rPr>
          <w:t>Licensing integrity</w:t>
        </w:r>
        <w:r w:rsidR="00856C29">
          <w:rPr>
            <w:webHidden/>
          </w:rPr>
          <w:tab/>
        </w:r>
        <w:r w:rsidR="00856C29">
          <w:rPr>
            <w:webHidden/>
          </w:rPr>
          <w:fldChar w:fldCharType="begin"/>
        </w:r>
        <w:r w:rsidR="00856C29">
          <w:rPr>
            <w:webHidden/>
          </w:rPr>
          <w:instrText xml:space="preserve"> PAGEREF _Toc38987263 \h </w:instrText>
        </w:r>
        <w:r w:rsidR="00856C29">
          <w:rPr>
            <w:webHidden/>
          </w:rPr>
        </w:r>
        <w:r w:rsidR="00856C29">
          <w:rPr>
            <w:webHidden/>
          </w:rPr>
          <w:fldChar w:fldCharType="separate"/>
        </w:r>
        <w:r w:rsidR="00CD5270">
          <w:rPr>
            <w:webHidden/>
          </w:rPr>
          <w:t>80</w:t>
        </w:r>
        <w:r w:rsidR="00856C29">
          <w:rPr>
            <w:webHidden/>
          </w:rPr>
          <w:fldChar w:fldCharType="end"/>
        </w:r>
      </w:hyperlink>
    </w:p>
    <w:p w14:paraId="051D4856" w14:textId="2C7304F5" w:rsidR="00856C29" w:rsidRDefault="00D56172">
      <w:pPr>
        <w:pStyle w:val="TOC3"/>
        <w:rPr>
          <w:rFonts w:asciiTheme="minorHAnsi" w:eastAsiaTheme="minorEastAsia" w:hAnsiTheme="minorHAnsi" w:cstheme="minorBidi"/>
        </w:rPr>
      </w:pPr>
      <w:hyperlink w:anchor="_Toc38987264" w:history="1">
        <w:r w:rsidR="00856C29" w:rsidRPr="00144A47">
          <w:rPr>
            <w:rStyle w:val="Hyperlink"/>
          </w:rPr>
          <w:t>Solar inverter suppliers</w:t>
        </w:r>
        <w:r w:rsidR="00856C29">
          <w:rPr>
            <w:webHidden/>
          </w:rPr>
          <w:tab/>
        </w:r>
        <w:r w:rsidR="00856C29">
          <w:rPr>
            <w:webHidden/>
          </w:rPr>
          <w:fldChar w:fldCharType="begin"/>
        </w:r>
        <w:r w:rsidR="00856C29">
          <w:rPr>
            <w:webHidden/>
          </w:rPr>
          <w:instrText xml:space="preserve"> PAGEREF _Toc38987264 \h </w:instrText>
        </w:r>
        <w:r w:rsidR="00856C29">
          <w:rPr>
            <w:webHidden/>
          </w:rPr>
        </w:r>
        <w:r w:rsidR="00856C29">
          <w:rPr>
            <w:webHidden/>
          </w:rPr>
          <w:fldChar w:fldCharType="separate"/>
        </w:r>
        <w:r w:rsidR="00CD5270">
          <w:rPr>
            <w:webHidden/>
          </w:rPr>
          <w:t>80</w:t>
        </w:r>
        <w:r w:rsidR="00856C29">
          <w:rPr>
            <w:webHidden/>
          </w:rPr>
          <w:fldChar w:fldCharType="end"/>
        </w:r>
      </w:hyperlink>
    </w:p>
    <w:p w14:paraId="4F6CB307" w14:textId="24605DAD" w:rsidR="00856C29" w:rsidRDefault="00D56172">
      <w:pPr>
        <w:pStyle w:val="TOC2"/>
        <w:rPr>
          <w:rFonts w:asciiTheme="minorHAnsi" w:eastAsiaTheme="minorEastAsia" w:hAnsiTheme="minorHAnsi" w:cstheme="minorBidi"/>
          <w:spacing w:val="0"/>
          <w:sz w:val="22"/>
          <w:szCs w:val="22"/>
        </w:rPr>
      </w:pPr>
      <w:hyperlink w:anchor="_Toc38987265" w:history="1">
        <w:r w:rsidR="00856C29" w:rsidRPr="00144A47">
          <w:rPr>
            <w:rStyle w:val="Hyperlink"/>
          </w:rPr>
          <w:t>Activities planned for 2020–21</w:t>
        </w:r>
        <w:r w:rsidR="00856C29">
          <w:rPr>
            <w:webHidden/>
          </w:rPr>
          <w:tab/>
        </w:r>
        <w:r w:rsidR="00856C29">
          <w:rPr>
            <w:webHidden/>
          </w:rPr>
          <w:fldChar w:fldCharType="begin"/>
        </w:r>
        <w:r w:rsidR="00856C29">
          <w:rPr>
            <w:webHidden/>
          </w:rPr>
          <w:instrText xml:space="preserve"> PAGEREF _Toc38987265 \h </w:instrText>
        </w:r>
        <w:r w:rsidR="00856C29">
          <w:rPr>
            <w:webHidden/>
          </w:rPr>
        </w:r>
        <w:r w:rsidR="00856C29">
          <w:rPr>
            <w:webHidden/>
          </w:rPr>
          <w:fldChar w:fldCharType="separate"/>
        </w:r>
        <w:r w:rsidR="00CD5270">
          <w:rPr>
            <w:webHidden/>
          </w:rPr>
          <w:t>81</w:t>
        </w:r>
        <w:r w:rsidR="00856C29">
          <w:rPr>
            <w:webHidden/>
          </w:rPr>
          <w:fldChar w:fldCharType="end"/>
        </w:r>
      </w:hyperlink>
    </w:p>
    <w:p w14:paraId="181CFEB1" w14:textId="4EBFBDF5" w:rsidR="00856C29" w:rsidRDefault="00D56172">
      <w:pPr>
        <w:pStyle w:val="TOC3"/>
        <w:rPr>
          <w:rFonts w:asciiTheme="minorHAnsi" w:eastAsiaTheme="minorEastAsia" w:hAnsiTheme="minorHAnsi" w:cstheme="minorBidi"/>
        </w:rPr>
      </w:pPr>
      <w:hyperlink w:anchor="_Toc38987266" w:history="1">
        <w:r w:rsidR="00856C29" w:rsidRPr="00144A47">
          <w:rPr>
            <w:rStyle w:val="Hyperlink"/>
          </w:rPr>
          <w:t>5G EME compliance</w:t>
        </w:r>
        <w:r w:rsidR="00856C29">
          <w:rPr>
            <w:webHidden/>
          </w:rPr>
          <w:tab/>
        </w:r>
        <w:r w:rsidR="00856C29">
          <w:rPr>
            <w:webHidden/>
          </w:rPr>
          <w:fldChar w:fldCharType="begin"/>
        </w:r>
        <w:r w:rsidR="00856C29">
          <w:rPr>
            <w:webHidden/>
          </w:rPr>
          <w:instrText xml:space="preserve"> PAGEREF _Toc38987266 \h </w:instrText>
        </w:r>
        <w:r w:rsidR="00856C29">
          <w:rPr>
            <w:webHidden/>
          </w:rPr>
        </w:r>
        <w:r w:rsidR="00856C29">
          <w:rPr>
            <w:webHidden/>
          </w:rPr>
          <w:fldChar w:fldCharType="separate"/>
        </w:r>
        <w:r w:rsidR="00CD5270">
          <w:rPr>
            <w:webHidden/>
          </w:rPr>
          <w:t>81</w:t>
        </w:r>
        <w:r w:rsidR="00856C29">
          <w:rPr>
            <w:webHidden/>
          </w:rPr>
          <w:fldChar w:fldCharType="end"/>
        </w:r>
      </w:hyperlink>
    </w:p>
    <w:p w14:paraId="2B639C67" w14:textId="3DE2224C" w:rsidR="00856C29" w:rsidRDefault="00D56172">
      <w:pPr>
        <w:pStyle w:val="TOC3"/>
        <w:rPr>
          <w:rFonts w:asciiTheme="minorHAnsi" w:eastAsiaTheme="minorEastAsia" w:hAnsiTheme="minorHAnsi" w:cstheme="minorBidi"/>
        </w:rPr>
      </w:pPr>
      <w:hyperlink w:anchor="_Toc38987267" w:history="1">
        <w:r w:rsidR="00856C29" w:rsidRPr="00144A47">
          <w:rPr>
            <w:rStyle w:val="Hyperlink"/>
          </w:rPr>
          <w:t>Interference</w:t>
        </w:r>
        <w:r w:rsidR="00856C29">
          <w:rPr>
            <w:webHidden/>
          </w:rPr>
          <w:tab/>
        </w:r>
        <w:r w:rsidR="00856C29">
          <w:rPr>
            <w:webHidden/>
          </w:rPr>
          <w:fldChar w:fldCharType="begin"/>
        </w:r>
        <w:r w:rsidR="00856C29">
          <w:rPr>
            <w:webHidden/>
          </w:rPr>
          <w:instrText xml:space="preserve"> PAGEREF _Toc38987267 \h </w:instrText>
        </w:r>
        <w:r w:rsidR="00856C29">
          <w:rPr>
            <w:webHidden/>
          </w:rPr>
        </w:r>
        <w:r w:rsidR="00856C29">
          <w:rPr>
            <w:webHidden/>
          </w:rPr>
          <w:fldChar w:fldCharType="separate"/>
        </w:r>
        <w:r w:rsidR="00CD5270">
          <w:rPr>
            <w:webHidden/>
          </w:rPr>
          <w:t>81</w:t>
        </w:r>
        <w:r w:rsidR="00856C29">
          <w:rPr>
            <w:webHidden/>
          </w:rPr>
          <w:fldChar w:fldCharType="end"/>
        </w:r>
      </w:hyperlink>
    </w:p>
    <w:p w14:paraId="2773D590" w14:textId="71790147" w:rsidR="00856C29" w:rsidRDefault="00D56172">
      <w:pPr>
        <w:pStyle w:val="TOC1"/>
        <w:rPr>
          <w:rFonts w:asciiTheme="minorHAnsi" w:eastAsiaTheme="minorEastAsia" w:hAnsiTheme="minorHAnsi" w:cstheme="minorBidi"/>
          <w:b w:val="0"/>
          <w:spacing w:val="0"/>
          <w:sz w:val="22"/>
          <w:szCs w:val="22"/>
        </w:rPr>
      </w:pPr>
      <w:hyperlink w:anchor="_Toc38987268" w:history="1">
        <w:r w:rsidR="00856C29" w:rsidRPr="00144A47">
          <w:rPr>
            <w:rStyle w:val="Hyperlink"/>
          </w:rPr>
          <w:t>International engagement</w:t>
        </w:r>
        <w:r w:rsidR="00856C29">
          <w:rPr>
            <w:webHidden/>
          </w:rPr>
          <w:tab/>
        </w:r>
        <w:r w:rsidR="00856C29">
          <w:rPr>
            <w:webHidden/>
          </w:rPr>
          <w:fldChar w:fldCharType="begin"/>
        </w:r>
        <w:r w:rsidR="00856C29">
          <w:rPr>
            <w:webHidden/>
          </w:rPr>
          <w:instrText xml:space="preserve"> PAGEREF _Toc38987268 \h </w:instrText>
        </w:r>
        <w:r w:rsidR="00856C29">
          <w:rPr>
            <w:webHidden/>
          </w:rPr>
        </w:r>
        <w:r w:rsidR="00856C29">
          <w:rPr>
            <w:webHidden/>
          </w:rPr>
          <w:fldChar w:fldCharType="separate"/>
        </w:r>
        <w:r w:rsidR="00CD5270">
          <w:rPr>
            <w:webHidden/>
          </w:rPr>
          <w:t>82</w:t>
        </w:r>
        <w:r w:rsidR="00856C29">
          <w:rPr>
            <w:webHidden/>
          </w:rPr>
          <w:fldChar w:fldCharType="end"/>
        </w:r>
      </w:hyperlink>
    </w:p>
    <w:p w14:paraId="21D4CD5B" w14:textId="1F80E1FE" w:rsidR="00856C29" w:rsidRDefault="00D56172">
      <w:pPr>
        <w:pStyle w:val="TOC2"/>
        <w:rPr>
          <w:rFonts w:asciiTheme="minorHAnsi" w:eastAsiaTheme="minorEastAsia" w:hAnsiTheme="minorHAnsi" w:cstheme="minorBidi"/>
          <w:spacing w:val="0"/>
          <w:sz w:val="22"/>
          <w:szCs w:val="22"/>
        </w:rPr>
      </w:pPr>
      <w:hyperlink w:anchor="_Toc38987269" w:history="1">
        <w:r w:rsidR="00856C29" w:rsidRPr="00144A47">
          <w:rPr>
            <w:rStyle w:val="Hyperlink"/>
          </w:rPr>
          <w:t>International meetings 2019–20</w:t>
        </w:r>
        <w:r w:rsidR="00856C29">
          <w:rPr>
            <w:webHidden/>
          </w:rPr>
          <w:tab/>
        </w:r>
        <w:r w:rsidR="00856C29">
          <w:rPr>
            <w:webHidden/>
          </w:rPr>
          <w:fldChar w:fldCharType="begin"/>
        </w:r>
        <w:r w:rsidR="00856C29">
          <w:rPr>
            <w:webHidden/>
          </w:rPr>
          <w:instrText xml:space="preserve"> PAGEREF _Toc38987269 \h </w:instrText>
        </w:r>
        <w:r w:rsidR="00856C29">
          <w:rPr>
            <w:webHidden/>
          </w:rPr>
        </w:r>
        <w:r w:rsidR="00856C29">
          <w:rPr>
            <w:webHidden/>
          </w:rPr>
          <w:fldChar w:fldCharType="separate"/>
        </w:r>
        <w:r w:rsidR="00CD5270">
          <w:rPr>
            <w:webHidden/>
          </w:rPr>
          <w:t>82</w:t>
        </w:r>
        <w:r w:rsidR="00856C29">
          <w:rPr>
            <w:webHidden/>
          </w:rPr>
          <w:fldChar w:fldCharType="end"/>
        </w:r>
      </w:hyperlink>
    </w:p>
    <w:p w14:paraId="7BD6DFF1" w14:textId="4960DA53" w:rsidR="00856C29" w:rsidRDefault="00D56172">
      <w:pPr>
        <w:pStyle w:val="TOC2"/>
        <w:rPr>
          <w:rFonts w:asciiTheme="minorHAnsi" w:eastAsiaTheme="minorEastAsia" w:hAnsiTheme="minorHAnsi" w:cstheme="minorBidi"/>
          <w:spacing w:val="0"/>
          <w:sz w:val="22"/>
          <w:szCs w:val="22"/>
        </w:rPr>
      </w:pPr>
      <w:hyperlink w:anchor="_Toc38987270" w:history="1">
        <w:r w:rsidR="00856C29" w:rsidRPr="00144A47">
          <w:rPr>
            <w:rStyle w:val="Hyperlink"/>
          </w:rPr>
          <w:t>New and ongoing activities planned for 2020–21</w:t>
        </w:r>
        <w:r w:rsidR="00856C29">
          <w:rPr>
            <w:webHidden/>
          </w:rPr>
          <w:tab/>
        </w:r>
        <w:r w:rsidR="00856C29">
          <w:rPr>
            <w:webHidden/>
          </w:rPr>
          <w:fldChar w:fldCharType="begin"/>
        </w:r>
        <w:r w:rsidR="00856C29">
          <w:rPr>
            <w:webHidden/>
          </w:rPr>
          <w:instrText xml:space="preserve"> PAGEREF _Toc38987270 \h </w:instrText>
        </w:r>
        <w:r w:rsidR="00856C29">
          <w:rPr>
            <w:webHidden/>
          </w:rPr>
        </w:r>
        <w:r w:rsidR="00856C29">
          <w:rPr>
            <w:webHidden/>
          </w:rPr>
          <w:fldChar w:fldCharType="separate"/>
        </w:r>
        <w:r w:rsidR="00CD5270">
          <w:rPr>
            <w:webHidden/>
          </w:rPr>
          <w:t>82</w:t>
        </w:r>
        <w:r w:rsidR="00856C29">
          <w:rPr>
            <w:webHidden/>
          </w:rPr>
          <w:fldChar w:fldCharType="end"/>
        </w:r>
      </w:hyperlink>
    </w:p>
    <w:p w14:paraId="7D5A101E" w14:textId="772A3CF8" w:rsidR="00856C29" w:rsidRDefault="00D56172">
      <w:pPr>
        <w:pStyle w:val="TOC1"/>
        <w:rPr>
          <w:rFonts w:asciiTheme="minorHAnsi" w:eastAsiaTheme="minorEastAsia" w:hAnsiTheme="minorHAnsi" w:cstheme="minorBidi"/>
          <w:b w:val="0"/>
          <w:spacing w:val="0"/>
          <w:sz w:val="22"/>
          <w:szCs w:val="22"/>
        </w:rPr>
      </w:pPr>
      <w:hyperlink w:anchor="_Toc38987271" w:history="1">
        <w:r w:rsidR="00856C29" w:rsidRPr="00144A47">
          <w:rPr>
            <w:rStyle w:val="Hyperlink"/>
          </w:rPr>
          <w:t>Appendix A—Sunsetting instruments</w:t>
        </w:r>
        <w:r w:rsidR="00856C29">
          <w:rPr>
            <w:webHidden/>
          </w:rPr>
          <w:tab/>
        </w:r>
        <w:r w:rsidR="00856C29">
          <w:rPr>
            <w:webHidden/>
          </w:rPr>
          <w:fldChar w:fldCharType="begin"/>
        </w:r>
        <w:r w:rsidR="00856C29">
          <w:rPr>
            <w:webHidden/>
          </w:rPr>
          <w:instrText xml:space="preserve"> PAGEREF _Toc38987271 \h </w:instrText>
        </w:r>
        <w:r w:rsidR="00856C29">
          <w:rPr>
            <w:webHidden/>
          </w:rPr>
        </w:r>
        <w:r w:rsidR="00856C29">
          <w:rPr>
            <w:webHidden/>
          </w:rPr>
          <w:fldChar w:fldCharType="separate"/>
        </w:r>
        <w:r w:rsidR="00CD5270">
          <w:rPr>
            <w:webHidden/>
          </w:rPr>
          <w:t>84</w:t>
        </w:r>
        <w:r w:rsidR="00856C29">
          <w:rPr>
            <w:webHidden/>
          </w:rPr>
          <w:fldChar w:fldCharType="end"/>
        </w:r>
      </w:hyperlink>
    </w:p>
    <w:p w14:paraId="41EC3D49" w14:textId="03293A93" w:rsidR="005A6EAB" w:rsidRPr="006A2F04" w:rsidRDefault="000650FB">
      <w:pPr>
        <w:rPr>
          <w:rFonts w:cs="Arial"/>
          <w:spacing w:val="-14"/>
          <w:sz w:val="28"/>
          <w:szCs w:val="26"/>
        </w:rPr>
        <w:sectPr w:rsidR="005A6EAB" w:rsidRPr="006A2F04" w:rsidSect="00E97880">
          <w:headerReference w:type="even" r:id="rId19"/>
          <w:headerReference w:type="default" r:id="rId20"/>
          <w:footerReference w:type="even" r:id="rId21"/>
          <w:footerReference w:type="default" r:id="rId22"/>
          <w:footerReference w:type="first" r:id="rId23"/>
          <w:pgSz w:w="11906" w:h="16838" w:code="9"/>
          <w:pgMar w:top="3646" w:right="3101" w:bottom="1134" w:left="1134" w:header="709" w:footer="119" w:gutter="0"/>
          <w:cols w:space="708"/>
          <w:titlePg/>
          <w:docGrid w:linePitch="360"/>
        </w:sectPr>
      </w:pPr>
      <w:r>
        <w:rPr>
          <w:rFonts w:cs="Arial"/>
          <w:spacing w:val="-14"/>
          <w:sz w:val="26"/>
          <w:szCs w:val="26"/>
        </w:rPr>
        <w:fldChar w:fldCharType="end"/>
      </w:r>
    </w:p>
    <w:p w14:paraId="1EF7E32D" w14:textId="618066AD" w:rsidR="009D6C71" w:rsidRPr="00B53F89" w:rsidRDefault="00835321" w:rsidP="00573D6D">
      <w:pPr>
        <w:pStyle w:val="ACMAExecSummaryHeading"/>
      </w:pPr>
      <w:bookmarkStart w:id="0" w:name="_Toc509581790"/>
      <w:bookmarkStart w:id="1" w:name="_Toc509585106"/>
      <w:bookmarkStart w:id="2" w:name="_Toc509585642"/>
      <w:bookmarkStart w:id="3" w:name="_Toc510104922"/>
      <w:bookmarkStart w:id="4" w:name="_Toc510105719"/>
      <w:bookmarkStart w:id="5" w:name="_Toc510795062"/>
      <w:bookmarkStart w:id="6" w:name="_Toc511716263"/>
      <w:bookmarkStart w:id="7" w:name="_Toc511719074"/>
      <w:bookmarkStart w:id="8" w:name="_Toc522794069"/>
      <w:bookmarkStart w:id="9" w:name="_Toc36207387"/>
      <w:bookmarkStart w:id="10" w:name="_Toc38987141"/>
      <w:bookmarkStart w:id="11" w:name="_Toc31892767"/>
      <w:r w:rsidRPr="00E87379">
        <w:lastRenderedPageBreak/>
        <w:t>Foreword</w:t>
      </w:r>
      <w:bookmarkEnd w:id="0"/>
      <w:bookmarkEnd w:id="1"/>
      <w:bookmarkEnd w:id="2"/>
      <w:bookmarkEnd w:id="3"/>
      <w:bookmarkEnd w:id="4"/>
      <w:bookmarkEnd w:id="5"/>
      <w:bookmarkEnd w:id="6"/>
      <w:bookmarkEnd w:id="7"/>
      <w:bookmarkEnd w:id="8"/>
      <w:bookmarkEnd w:id="9"/>
      <w:bookmarkEnd w:id="10"/>
      <w:r w:rsidR="009D6C71" w:rsidRPr="00B53F89">
        <w:t xml:space="preserve"> </w:t>
      </w:r>
      <w:bookmarkEnd w:id="11"/>
    </w:p>
    <w:p w14:paraId="2C5C5199" w14:textId="5C8B51AD" w:rsidR="00E02187" w:rsidRPr="00B53F89" w:rsidRDefault="00F07402" w:rsidP="00BD5B28">
      <w:r w:rsidRPr="00B53F89">
        <w:t>Spectrum use</w:t>
      </w:r>
      <w:r w:rsidR="00BC79B9" w:rsidRPr="00B53F89">
        <w:t xml:space="preserve"> </w:t>
      </w:r>
      <w:r w:rsidRPr="00B53F89">
        <w:t>continue</w:t>
      </w:r>
      <w:r w:rsidR="00BC79B9" w:rsidRPr="00B53F89">
        <w:t>s</w:t>
      </w:r>
      <w:r w:rsidRPr="00B53F89">
        <w:t xml:space="preserve"> to evolve rapidly in Australia. The </w:t>
      </w:r>
      <w:r w:rsidR="00DE2074" w:rsidRPr="00B53F89">
        <w:t>Australian Communications and Media Authority (</w:t>
      </w:r>
      <w:r w:rsidRPr="00B53F89">
        <w:t>ACMA</w:t>
      </w:r>
      <w:r w:rsidR="00DE2074" w:rsidRPr="00B53F89">
        <w:t>)</w:t>
      </w:r>
      <w:r w:rsidRPr="00B53F89">
        <w:t xml:space="preserve"> is Australia’s spectrum manager and is responsible for ensuring radiofrequency spectrum is managed in a way that maximises the</w:t>
      </w:r>
      <w:r w:rsidR="00FE15F4" w:rsidRPr="00B53F89">
        <w:t xml:space="preserve"> </w:t>
      </w:r>
      <w:r w:rsidRPr="00B53F89">
        <w:t>overall public benefit</w:t>
      </w:r>
      <w:r w:rsidR="00A323F5" w:rsidRPr="00B53F89">
        <w:t xml:space="preserve"> </w:t>
      </w:r>
      <w:r w:rsidRPr="00B53F89">
        <w:t>derived</w:t>
      </w:r>
      <w:r w:rsidR="00003CFD" w:rsidRPr="00B53F89">
        <w:t xml:space="preserve"> from </w:t>
      </w:r>
      <w:r w:rsidR="00FF308E" w:rsidRPr="00B53F89">
        <w:t xml:space="preserve">its </w:t>
      </w:r>
      <w:r w:rsidR="00003CFD" w:rsidRPr="00B53F89">
        <w:t>us</w:t>
      </w:r>
      <w:r w:rsidR="00FF308E" w:rsidRPr="00B53F89">
        <w:t>e</w:t>
      </w:r>
      <w:r w:rsidRPr="00B53F89">
        <w:t>.</w:t>
      </w:r>
      <w:r w:rsidR="00EA7FD9" w:rsidRPr="00B53F89">
        <w:t xml:space="preserve"> </w:t>
      </w:r>
    </w:p>
    <w:p w14:paraId="53F0B42E" w14:textId="4F4EC6FF" w:rsidR="005D37A7" w:rsidRDefault="005D37A7" w:rsidP="005D37A7">
      <w:r w:rsidRPr="00B53F89">
        <w:t>We are continually monitoring the environment to identify opportunities for improvements in spectrum management arrangements and accommodating new and changed uses of spectrum</w:t>
      </w:r>
      <w:r w:rsidR="0080282C">
        <w:t>,</w:t>
      </w:r>
      <w:r w:rsidRPr="00B53F89">
        <w:t xml:space="preserve"> while ensuring the continuation of existing uses that are of value to the community.</w:t>
      </w:r>
    </w:p>
    <w:p w14:paraId="7DBEA896" w14:textId="10523BD3" w:rsidR="00F5589A" w:rsidRPr="00B53F89" w:rsidRDefault="005F51CD" w:rsidP="00F5589A">
      <w:r>
        <w:t>M</w:t>
      </w:r>
      <w:r w:rsidR="00F5589A" w:rsidRPr="00B53F89">
        <w:t>anaging spectrum efficiently and effectively for the benefit of all Australians is</w:t>
      </w:r>
      <w:r w:rsidR="00F5589A">
        <w:t xml:space="preserve"> </w:t>
      </w:r>
      <w:r w:rsidR="00F5589A" w:rsidRPr="00B53F89">
        <w:t xml:space="preserve">a key priority for the </w:t>
      </w:r>
      <w:r w:rsidR="00F5589A" w:rsidRPr="003C0831">
        <w:t>ACMA.</w:t>
      </w:r>
      <w:r w:rsidR="003C0831">
        <w:rPr>
          <w:rStyle w:val="FootnoteReference"/>
        </w:rPr>
        <w:footnoteReference w:id="2"/>
      </w:r>
      <w:r w:rsidR="00F5589A" w:rsidRPr="00B53F89">
        <w:t xml:space="preserve"> </w:t>
      </w:r>
      <w:r>
        <w:t xml:space="preserve">We rely on spectrum users to keep us informed of the way that technology developments, international harmonisation efforts and market changes influence demand for new and existing uses of spectrum, </w:t>
      </w:r>
      <w:r w:rsidR="0080282C">
        <w:t xml:space="preserve">which </w:t>
      </w:r>
      <w:r>
        <w:t>in turn</w:t>
      </w:r>
      <w:r w:rsidR="0080282C">
        <w:t>,</w:t>
      </w:r>
      <w:r>
        <w:t xml:space="preserve"> </w:t>
      </w:r>
      <w:r w:rsidR="0080282C">
        <w:t>informs our</w:t>
      </w:r>
      <w:r>
        <w:t xml:space="preserve"> priorities for planning and making spectrum available.</w:t>
      </w:r>
    </w:p>
    <w:p w14:paraId="2209CB7A" w14:textId="3DCDDA87" w:rsidR="001B07AF" w:rsidRDefault="00B91E6C" w:rsidP="00B91E6C">
      <w:r w:rsidRPr="00B53F89">
        <w:t xml:space="preserve">2019 </w:t>
      </w:r>
      <w:r>
        <w:t>was</w:t>
      </w:r>
      <w:r w:rsidRPr="00B53F89">
        <w:t xml:space="preserve"> a World Radiocommunication Conference (WRC) year. WRCs are scheduled every three to four years </w:t>
      </w:r>
      <w:r w:rsidR="00CD1463">
        <w:t xml:space="preserve">to update the treaty-level Radio Regulations </w:t>
      </w:r>
      <w:r w:rsidRPr="00B53F89">
        <w:t xml:space="preserve">and are the most important </w:t>
      </w:r>
      <w:r w:rsidR="00CD1463">
        <w:t xml:space="preserve">international </w:t>
      </w:r>
      <w:r w:rsidRPr="00B53F89">
        <w:t xml:space="preserve">forum for </w:t>
      </w:r>
      <w:r w:rsidR="00CD1463">
        <w:t>cooperation on the</w:t>
      </w:r>
      <w:r w:rsidR="00CD1463" w:rsidRPr="00B53F89">
        <w:t xml:space="preserve"> </w:t>
      </w:r>
      <w:r w:rsidRPr="00B53F89">
        <w:t xml:space="preserve">harmonisation of spectrum use. </w:t>
      </w:r>
      <w:r w:rsidR="004A18F4">
        <w:t>We have</w:t>
      </w:r>
      <w:r w:rsidR="001E40DD">
        <w:t xml:space="preserve"> commenced</w:t>
      </w:r>
      <w:r w:rsidR="001E40DD" w:rsidRPr="00B53F89">
        <w:t xml:space="preserve"> work on the identification and implementation of relevant outcomes </w:t>
      </w:r>
      <w:r w:rsidR="00CD1463">
        <w:t xml:space="preserve">from the 2019 WRC (WRC-19) </w:t>
      </w:r>
      <w:r w:rsidR="001E40DD" w:rsidRPr="00B53F89">
        <w:t>in our domestic planning arrangements—</w:t>
      </w:r>
      <w:r w:rsidR="001E40DD">
        <w:t>these will remain</w:t>
      </w:r>
      <w:r w:rsidR="001E40DD" w:rsidRPr="00B53F89">
        <w:t xml:space="preserve"> key priorities in </w:t>
      </w:r>
      <w:r w:rsidR="001E40DD">
        <w:t>2020</w:t>
      </w:r>
      <w:r w:rsidR="004A18F4">
        <w:t>–</w:t>
      </w:r>
      <w:r w:rsidR="001E40DD">
        <w:t>21</w:t>
      </w:r>
      <w:r w:rsidR="001E40DD" w:rsidRPr="00B53F89">
        <w:t>.</w:t>
      </w:r>
      <w:r w:rsidR="001E40DD">
        <w:t xml:space="preserve"> </w:t>
      </w:r>
    </w:p>
    <w:p w14:paraId="5C470971" w14:textId="2482833E" w:rsidR="001E40DD" w:rsidRDefault="005A406C" w:rsidP="00B91E6C">
      <w:r>
        <w:t xml:space="preserve">In </w:t>
      </w:r>
      <w:r w:rsidR="001E40DD">
        <w:t>particular</w:t>
      </w:r>
      <w:r w:rsidR="000028BD">
        <w:t>,</w:t>
      </w:r>
      <w:r w:rsidR="001E40DD">
        <w:t xml:space="preserve"> </w:t>
      </w:r>
      <w:r w:rsidR="002C632D">
        <w:t>we are</w:t>
      </w:r>
      <w:r>
        <w:t xml:space="preserve"> testing industry appetite for the possible commencement </w:t>
      </w:r>
      <w:r w:rsidR="00CF14DF">
        <w:t xml:space="preserve">of </w:t>
      </w:r>
      <w:r>
        <w:t>replanning work in the 40, 46 and 47 GHz bands. These</w:t>
      </w:r>
      <w:r w:rsidR="001E40DD" w:rsidDel="005A406C">
        <w:t xml:space="preserve"> </w:t>
      </w:r>
      <w:r w:rsidR="001E40DD">
        <w:t xml:space="preserve">bands </w:t>
      </w:r>
      <w:r>
        <w:t>were considered at WRC-19</w:t>
      </w:r>
      <w:r w:rsidR="004A18F4">
        <w:t>,</w:t>
      </w:r>
      <w:r>
        <w:t xml:space="preserve"> with interest both from the terrestrial and satellite </w:t>
      </w:r>
      <w:r w:rsidR="009F7B5D">
        <w:t xml:space="preserve">communications </w:t>
      </w:r>
      <w:r>
        <w:t xml:space="preserve">sectors </w:t>
      </w:r>
      <w:r w:rsidR="00817DF1">
        <w:t xml:space="preserve">(in the case of the 40 and 47 GHz bands) </w:t>
      </w:r>
      <w:r>
        <w:t>for broadband use.</w:t>
      </w:r>
      <w:r w:rsidR="001E40DD">
        <w:t xml:space="preserve"> These bands are </w:t>
      </w:r>
      <w:r>
        <w:t xml:space="preserve">currently </w:t>
      </w:r>
      <w:r w:rsidR="001E40DD">
        <w:t xml:space="preserve">included </w:t>
      </w:r>
      <w:r w:rsidR="00B91E6C">
        <w:t xml:space="preserve">in the monitoring stages of our spectrum planning </w:t>
      </w:r>
      <w:r>
        <w:t>process</w:t>
      </w:r>
      <w:r w:rsidR="000028BD">
        <w:t>,</w:t>
      </w:r>
      <w:r>
        <w:t xml:space="preserve"> but we are seeking industry views on whether they should progress to the initial investigation stage or whether priority should be given to the 1.5 GHz band (also of </w:t>
      </w:r>
      <w:r w:rsidR="000D4E4E">
        <w:t>relevance</w:t>
      </w:r>
      <w:r>
        <w:t xml:space="preserve"> to both terrestrial and satellite </w:t>
      </w:r>
      <w:r w:rsidR="009F7B5D">
        <w:t xml:space="preserve">communications </w:t>
      </w:r>
      <w:r>
        <w:t>interests)</w:t>
      </w:r>
      <w:r w:rsidR="00B91E6C">
        <w:t>.</w:t>
      </w:r>
      <w:r w:rsidR="003E4DC6">
        <w:t xml:space="preserve"> </w:t>
      </w:r>
      <w:r w:rsidR="001E40DD">
        <w:t xml:space="preserve">Other mid-band spectrum in the 2 GHz and 3.7-4.2 GHz bands </w:t>
      </w:r>
      <w:r w:rsidR="00475A51">
        <w:t>is</w:t>
      </w:r>
      <w:r w:rsidR="001E40DD">
        <w:t xml:space="preserve"> </w:t>
      </w:r>
      <w:r w:rsidR="00ED7ADE">
        <w:t>being progressed this year</w:t>
      </w:r>
      <w:r w:rsidR="001E40DD">
        <w:t xml:space="preserve"> towards a preferred planning option.</w:t>
      </w:r>
    </w:p>
    <w:p w14:paraId="6E678D79" w14:textId="1B8DAA69" w:rsidR="00767163" w:rsidRDefault="00ED7ADE" w:rsidP="00BD5B28">
      <w:r>
        <w:t xml:space="preserve">Additional spectrum releases </w:t>
      </w:r>
      <w:r w:rsidR="00B91E6C">
        <w:t>across low, mid and high band spectrum</w:t>
      </w:r>
      <w:r>
        <w:t xml:space="preserve"> forms the basis for our allocation work program</w:t>
      </w:r>
      <w:r w:rsidR="001E40DD">
        <w:t xml:space="preserve">. These allocations are intended </w:t>
      </w:r>
      <w:r w:rsidR="00475A51">
        <w:t xml:space="preserve">to </w:t>
      </w:r>
      <w:r w:rsidR="001E40DD">
        <w:t xml:space="preserve">make </w:t>
      </w:r>
      <w:r w:rsidR="00B91E6C">
        <w:t xml:space="preserve">additional </w:t>
      </w:r>
      <w:r w:rsidR="001E40DD">
        <w:t xml:space="preserve">spectrum available for </w:t>
      </w:r>
      <w:r w:rsidR="00B91E6C">
        <w:t xml:space="preserve">4G and 5G services in Australia, </w:t>
      </w:r>
      <w:r w:rsidR="00117728">
        <w:t>delivered via wireless broadband (fixed and mobile) and satellite</w:t>
      </w:r>
      <w:r w:rsidR="004A18F4">
        <w:t>,</w:t>
      </w:r>
      <w:r>
        <w:t xml:space="preserve"> and enable a range of uses to be supported under a mix of licensing options</w:t>
      </w:r>
      <w:r w:rsidR="00117728">
        <w:t>.</w:t>
      </w:r>
      <w:r w:rsidR="001E40DD">
        <w:t xml:space="preserve"> </w:t>
      </w:r>
    </w:p>
    <w:p w14:paraId="48735B79" w14:textId="270DF33E" w:rsidR="00EE7718" w:rsidRDefault="001E40DD" w:rsidP="00BD5B28">
      <w:r>
        <w:t xml:space="preserve">We are progressing the allocation of the 26 GHz and 28 GHz millimetre wave bands, </w:t>
      </w:r>
      <w:r w:rsidR="00ED7ADE">
        <w:t>via spectrum and apparatus licensing</w:t>
      </w:r>
      <w:r w:rsidR="004A18F4">
        <w:t>. C</w:t>
      </w:r>
      <w:r w:rsidR="00ED7ADE">
        <w:t xml:space="preserve">lass licensing </w:t>
      </w:r>
      <w:r w:rsidR="008A6B8A">
        <w:t xml:space="preserve">for satellite services </w:t>
      </w:r>
      <w:r w:rsidR="004A18F4">
        <w:t xml:space="preserve">is </w:t>
      </w:r>
      <w:r w:rsidR="00ED7ADE">
        <w:t>already available in parts of the 28 GHz band</w:t>
      </w:r>
      <w:r w:rsidR="004A18F4">
        <w:t>,</w:t>
      </w:r>
      <w:r w:rsidR="008A6B8A">
        <w:t xml:space="preserve"> </w:t>
      </w:r>
      <w:r w:rsidR="000028BD">
        <w:t xml:space="preserve">and </w:t>
      </w:r>
      <w:r w:rsidR="00404BA5">
        <w:t xml:space="preserve">class licensing </w:t>
      </w:r>
      <w:r w:rsidR="004A18F4">
        <w:t xml:space="preserve">for </w:t>
      </w:r>
      <w:r w:rsidR="00404BA5">
        <w:t xml:space="preserve">part of the 26 GHz </w:t>
      </w:r>
      <w:r w:rsidR="000028BD">
        <w:t xml:space="preserve">band </w:t>
      </w:r>
      <w:r w:rsidR="00404BA5">
        <w:t xml:space="preserve">for terrestrial uses </w:t>
      </w:r>
      <w:r w:rsidR="004A18F4">
        <w:t xml:space="preserve">is </w:t>
      </w:r>
      <w:r w:rsidR="00404BA5">
        <w:t>expected this year</w:t>
      </w:r>
      <w:r w:rsidR="00ED7ADE">
        <w:t>. Additional mid-band spectrum is expected to become available as a result of the work underway to restack and reconfigure the 3.4</w:t>
      </w:r>
      <w:r w:rsidR="004A18F4">
        <w:t>–</w:t>
      </w:r>
      <w:r w:rsidR="00ED7ADE">
        <w:lastRenderedPageBreak/>
        <w:t xml:space="preserve">3.5 GHz band. In low band spectrum, an allocation of the 850 MHz expansion band and 900 MHz band is </w:t>
      </w:r>
      <w:r w:rsidR="00213486">
        <w:t>anticipated</w:t>
      </w:r>
      <w:r w:rsidR="00ED7ADE">
        <w:t xml:space="preserve"> for late in 2021.</w:t>
      </w:r>
    </w:p>
    <w:p w14:paraId="6C92B1E7" w14:textId="72D29C0A" w:rsidR="00EE7718" w:rsidRDefault="00EE7718" w:rsidP="00EE7718">
      <w:pPr>
        <w:rPr>
          <w:lang w:val="en-GB"/>
        </w:rPr>
      </w:pPr>
      <w:bookmarkStart w:id="12" w:name="_Hlk37938375"/>
      <w:bookmarkStart w:id="13" w:name="_Hlk37938600"/>
      <w:r>
        <w:t>In the past year</w:t>
      </w:r>
      <w:r w:rsidR="004A18F4">
        <w:t>,</w:t>
      </w:r>
      <w:r>
        <w:t xml:space="preserve"> we have consulted with the radio</w:t>
      </w:r>
      <w:r w:rsidR="009F7B5D">
        <w:t xml:space="preserve"> broadcasting</w:t>
      </w:r>
      <w:r>
        <w:t xml:space="preserve"> industry about the </w:t>
      </w:r>
      <w:hyperlink r:id="rId24" w:history="1">
        <w:r w:rsidR="004A18F4">
          <w:rPr>
            <w:rStyle w:val="Hyperlink"/>
          </w:rPr>
          <w:t>f</w:t>
        </w:r>
        <w:r w:rsidRPr="00F25EBB">
          <w:rPr>
            <w:rStyle w:val="Hyperlink"/>
          </w:rPr>
          <w:t>uture delivery of radio</w:t>
        </w:r>
      </w:hyperlink>
      <w:r>
        <w:t xml:space="preserve"> in Australia. </w:t>
      </w:r>
      <w:r w:rsidRPr="00EE7718">
        <w:rPr>
          <w:lang w:val="en-GB"/>
        </w:rPr>
        <w:t>A key outcome of</w:t>
      </w:r>
      <w:r>
        <w:rPr>
          <w:lang w:val="en-GB"/>
        </w:rPr>
        <w:t xml:space="preserve"> our engagement with the radio industry is a </w:t>
      </w:r>
      <w:r w:rsidRPr="00EE7718">
        <w:rPr>
          <w:lang w:val="en-GB"/>
        </w:rPr>
        <w:t xml:space="preserve">new framework for </w:t>
      </w:r>
      <w:r w:rsidR="004A18F4">
        <w:rPr>
          <w:lang w:val="en-GB"/>
        </w:rPr>
        <w:t>our</w:t>
      </w:r>
      <w:r w:rsidRPr="00EE7718">
        <w:rPr>
          <w:lang w:val="en-GB"/>
        </w:rPr>
        <w:t xml:space="preserve"> priority-setting and decision-making</w:t>
      </w:r>
      <w:r w:rsidR="004A18F4">
        <w:rPr>
          <w:lang w:val="en-GB"/>
        </w:rPr>
        <w:t xml:space="preserve"> in </w:t>
      </w:r>
      <w:r w:rsidR="004A18F4" w:rsidRPr="00EE7718">
        <w:rPr>
          <w:lang w:val="en-GB"/>
        </w:rPr>
        <w:t>radio broadcast planning</w:t>
      </w:r>
      <w:r>
        <w:rPr>
          <w:lang w:val="en-GB"/>
        </w:rPr>
        <w:t xml:space="preserve">. </w:t>
      </w:r>
      <w:bookmarkEnd w:id="12"/>
      <w:r>
        <w:rPr>
          <w:lang w:val="en-GB"/>
        </w:rPr>
        <w:t xml:space="preserve">We have identified four </w:t>
      </w:r>
      <w:r w:rsidRPr="00EE7718">
        <w:rPr>
          <w:lang w:val="en-GB"/>
        </w:rPr>
        <w:t>radio broadcasting planning priorities</w:t>
      </w:r>
      <w:r>
        <w:rPr>
          <w:lang w:val="en-GB"/>
        </w:rPr>
        <w:t xml:space="preserve"> in relation to AM</w:t>
      </w:r>
      <w:r w:rsidR="00BB23E5">
        <w:t>–</w:t>
      </w:r>
      <w:r>
        <w:rPr>
          <w:lang w:val="en-GB"/>
        </w:rPr>
        <w:t xml:space="preserve">FM conversions, coverage enhancements, digital radio channel planning and supporting trials of new radio broadcasting technologies. </w:t>
      </w:r>
      <w:r w:rsidR="004A18F4">
        <w:rPr>
          <w:lang w:val="en-GB"/>
        </w:rPr>
        <w:t>T</w:t>
      </w:r>
      <w:r>
        <w:rPr>
          <w:lang w:val="en-GB"/>
        </w:rPr>
        <w:t xml:space="preserve">his consultation on our annual work program </w:t>
      </w:r>
      <w:r w:rsidR="004A18F4">
        <w:rPr>
          <w:lang w:val="en-GB"/>
        </w:rPr>
        <w:t xml:space="preserve">will help </w:t>
      </w:r>
      <w:r>
        <w:rPr>
          <w:lang w:val="en-GB"/>
        </w:rPr>
        <w:t>inform the prioritisation of planning activities for the year.</w:t>
      </w:r>
    </w:p>
    <w:bookmarkEnd w:id="13"/>
    <w:p w14:paraId="1FDBAB49" w14:textId="677BA68E" w:rsidR="00AA2F83" w:rsidRDefault="004E1958" w:rsidP="00EC5C76">
      <w:r>
        <w:t>We are continuing work with a range of</w:t>
      </w:r>
      <w:r w:rsidR="00AA2F83">
        <w:t xml:space="preserve"> government spectrum users </w:t>
      </w:r>
      <w:r>
        <w:t xml:space="preserve">whose capability requirements </w:t>
      </w:r>
      <w:r w:rsidR="00AA2F83">
        <w:t xml:space="preserve">continue to evolve, as they access new technologies </w:t>
      </w:r>
      <w:r>
        <w:t>needed to</w:t>
      </w:r>
      <w:r w:rsidR="00AA2F83">
        <w:t xml:space="preserve"> support law enforcement, national </w:t>
      </w:r>
      <w:r w:rsidR="00AA2F83" w:rsidDel="006B1713">
        <w:t>interest</w:t>
      </w:r>
      <w:r w:rsidR="006B1713">
        <w:t>,</w:t>
      </w:r>
      <w:r w:rsidR="00AA2F83">
        <w:t xml:space="preserve"> and government service delivery activities.</w:t>
      </w:r>
    </w:p>
    <w:p w14:paraId="580B44C8" w14:textId="0F949B39" w:rsidR="000F4C3F" w:rsidRPr="00B53F89" w:rsidRDefault="00835321" w:rsidP="00EC5C76">
      <w:r w:rsidRPr="00B53F89">
        <w:t>The</w:t>
      </w:r>
      <w:r w:rsidR="00E14131" w:rsidRPr="00B53F89">
        <w:t xml:space="preserve"> </w:t>
      </w:r>
      <w:r w:rsidRPr="00B53F89">
        <w:t>ACMA has co</w:t>
      </w:r>
      <w:r w:rsidR="00B33B81" w:rsidRPr="00B53F89">
        <w:t xml:space="preserve">nsulted annually with industry about </w:t>
      </w:r>
      <w:r w:rsidRPr="00B53F89">
        <w:t xml:space="preserve">its spectrum management priorities through its </w:t>
      </w:r>
      <w:r w:rsidR="00E14131" w:rsidRPr="00B53F89">
        <w:t>f</w:t>
      </w:r>
      <w:r w:rsidRPr="00B53F89">
        <w:t>ive</w:t>
      </w:r>
      <w:r w:rsidR="00E14131" w:rsidRPr="00B53F89">
        <w:t>-y</w:t>
      </w:r>
      <w:r w:rsidRPr="00B53F89">
        <w:t xml:space="preserve">ear </w:t>
      </w:r>
      <w:r w:rsidR="00E14131" w:rsidRPr="00B53F89">
        <w:t>s</w:t>
      </w:r>
      <w:r w:rsidRPr="00B53F89">
        <w:t xml:space="preserve">pectrum </w:t>
      </w:r>
      <w:r w:rsidR="00E14131" w:rsidRPr="00B53F89">
        <w:t>o</w:t>
      </w:r>
      <w:r w:rsidRPr="00B53F89">
        <w:t xml:space="preserve">utlook (FYSO) since 2009. </w:t>
      </w:r>
      <w:r w:rsidR="000F4C3F">
        <w:t>Since 2018</w:t>
      </w:r>
      <w:r w:rsidR="00A140B6" w:rsidRPr="00B53F89">
        <w:t>,</w:t>
      </w:r>
      <w:r w:rsidR="003A06EE" w:rsidRPr="00B53F89">
        <w:t xml:space="preserve"> we </w:t>
      </w:r>
      <w:r w:rsidR="000F4C3F">
        <w:t>have</w:t>
      </w:r>
      <w:r w:rsidR="00EA7FD9" w:rsidRPr="00B53F89" w:rsidDel="000F4C3F">
        <w:t xml:space="preserve"> </w:t>
      </w:r>
      <w:r w:rsidR="000F4C3F" w:rsidRPr="00B53F89">
        <w:t>publish</w:t>
      </w:r>
      <w:r w:rsidR="000F4C3F">
        <w:t>ed</w:t>
      </w:r>
      <w:r w:rsidR="000F4C3F" w:rsidRPr="00B53F89">
        <w:t xml:space="preserve"> </w:t>
      </w:r>
      <w:r w:rsidR="00EA7FD9" w:rsidRPr="00B53F89">
        <w:t>a draft FYSO for consultation ahead of settling the final FYSO</w:t>
      </w:r>
      <w:r w:rsidR="00DE2074" w:rsidRPr="00B53F89">
        <w:t>.</w:t>
      </w:r>
      <w:r w:rsidR="00EA7FD9" w:rsidRPr="00B53F89">
        <w:t xml:space="preserve"> </w:t>
      </w:r>
      <w:r w:rsidR="00DF3972">
        <w:t xml:space="preserve">We are continuing </w:t>
      </w:r>
      <w:r w:rsidR="000F4C3F" w:rsidRPr="000F4C3F">
        <w:t xml:space="preserve">this approach </w:t>
      </w:r>
      <w:r w:rsidR="00DF3972">
        <w:t>and</w:t>
      </w:r>
      <w:r w:rsidR="008A0FFB">
        <w:t>,</w:t>
      </w:r>
      <w:r w:rsidR="00DF3972">
        <w:t xml:space="preserve"> subject to feedback on the draft work program</w:t>
      </w:r>
      <w:r w:rsidR="008A0FFB">
        <w:t>,</w:t>
      </w:r>
      <w:r w:rsidR="00DF3972">
        <w:t xml:space="preserve"> we are working to</w:t>
      </w:r>
      <w:r w:rsidR="00CA55D8">
        <w:t xml:space="preserve"> publish </w:t>
      </w:r>
      <w:r w:rsidR="000F4C3F" w:rsidRPr="000F4C3F">
        <w:t xml:space="preserve">a final FYSO </w:t>
      </w:r>
      <w:r w:rsidR="000F4C3F">
        <w:t>2020</w:t>
      </w:r>
      <w:r w:rsidR="006B1713">
        <w:t>–</w:t>
      </w:r>
      <w:r w:rsidR="000F4C3F">
        <w:t>24</w:t>
      </w:r>
      <w:r w:rsidR="00CA55D8">
        <w:t xml:space="preserve"> </w:t>
      </w:r>
      <w:r w:rsidR="000F4C3F" w:rsidRPr="00AB0175">
        <w:t>early in the 2020</w:t>
      </w:r>
      <w:r w:rsidR="006B1713">
        <w:t>–</w:t>
      </w:r>
      <w:r w:rsidR="000F4C3F" w:rsidRPr="00AB0175">
        <w:t>21 financial year</w:t>
      </w:r>
      <w:r w:rsidR="000F4C3F" w:rsidRPr="000F4C3F">
        <w:t>.</w:t>
      </w:r>
    </w:p>
    <w:p w14:paraId="0E9FFD78" w14:textId="6A046669" w:rsidR="00E53A2F" w:rsidRPr="00B53F89" w:rsidRDefault="00E53A2F" w:rsidP="00513FDE">
      <w:pPr>
        <w:spacing w:after="80"/>
      </w:pPr>
      <w:r w:rsidRPr="00B53F89">
        <w:t xml:space="preserve">The </w:t>
      </w:r>
      <w:r w:rsidR="001777DA">
        <w:t xml:space="preserve">draft </w:t>
      </w:r>
      <w:r w:rsidRPr="00B53F89">
        <w:t xml:space="preserve">FYSO is set out </w:t>
      </w:r>
      <w:r w:rsidR="0048575E">
        <w:t>as follows</w:t>
      </w:r>
      <w:r w:rsidRPr="00B53F89">
        <w:t>:</w:t>
      </w:r>
    </w:p>
    <w:p w14:paraId="3D7D81A5" w14:textId="45D9CA59" w:rsidR="00E53A2F" w:rsidRPr="00D40D18" w:rsidRDefault="000D5AAB" w:rsidP="005D37A7">
      <w:pPr>
        <w:pStyle w:val="ListBullet"/>
        <w:keepNext w:val="0"/>
        <w:keepLines w:val="0"/>
        <w:ind w:left="284" w:hanging="284"/>
      </w:pPr>
      <w:r w:rsidRPr="003B6D5F">
        <w:rPr>
          <w:rStyle w:val="Hyperlink"/>
          <w:color w:val="auto"/>
          <w:u w:val="none"/>
        </w:rPr>
        <w:t>At a glance</w:t>
      </w:r>
      <w:r w:rsidR="00DE2074" w:rsidRPr="00A01A2B">
        <w:t>—</w:t>
      </w:r>
      <w:r w:rsidR="001E67A0" w:rsidRPr="00D40D18">
        <w:t>summarises</w:t>
      </w:r>
      <w:r w:rsidR="00E53A2F" w:rsidRPr="00D40D18">
        <w:t xml:space="preserve"> the ACMA’s proposed </w:t>
      </w:r>
      <w:r w:rsidR="0048575E">
        <w:t xml:space="preserve">activities </w:t>
      </w:r>
      <w:r w:rsidR="00E53A2F" w:rsidRPr="00D40D18">
        <w:t xml:space="preserve">for </w:t>
      </w:r>
      <w:r w:rsidR="000F4C3F" w:rsidRPr="00D40D18">
        <w:t>20</w:t>
      </w:r>
      <w:r w:rsidR="000F4C3F">
        <w:t>20</w:t>
      </w:r>
      <w:r w:rsidR="00E53A2F" w:rsidRPr="00D40D18">
        <w:t>–</w:t>
      </w:r>
      <w:r w:rsidR="000F4C3F" w:rsidRPr="00D40D18">
        <w:t>2</w:t>
      </w:r>
      <w:r w:rsidR="000F4C3F">
        <w:t>1</w:t>
      </w:r>
    </w:p>
    <w:p w14:paraId="51370FB7" w14:textId="7AD57F03" w:rsidR="00F63016" w:rsidRPr="008C44DD" w:rsidRDefault="000D5AAB" w:rsidP="005D37A7">
      <w:pPr>
        <w:pStyle w:val="ListBullet"/>
        <w:keepNext w:val="0"/>
        <w:keepLines w:val="0"/>
        <w:tabs>
          <w:tab w:val="clear" w:pos="295"/>
          <w:tab w:val="num" w:pos="284"/>
        </w:tabs>
        <w:ind w:left="284" w:hanging="284"/>
      </w:pPr>
      <w:r w:rsidRPr="008C44DD">
        <w:rPr>
          <w:rStyle w:val="Hyperlink"/>
          <w:color w:val="auto"/>
          <w:u w:val="none"/>
        </w:rPr>
        <w:t>Part 1</w:t>
      </w:r>
      <w:r w:rsidR="00DE2074" w:rsidRPr="008C44DD">
        <w:t>—</w:t>
      </w:r>
      <w:r w:rsidR="00DB1B8C" w:rsidRPr="008C44DD">
        <w:t xml:space="preserve">provides an </w:t>
      </w:r>
      <w:r w:rsidR="00791A35" w:rsidRPr="008C44DD">
        <w:t>overview of the technology, market</w:t>
      </w:r>
      <w:r w:rsidR="00CA32F1">
        <w:t xml:space="preserve"> competition,</w:t>
      </w:r>
      <w:r w:rsidR="00791A35" w:rsidRPr="008C44DD">
        <w:t xml:space="preserve"> and policy drivers likely to shape the </w:t>
      </w:r>
      <w:r w:rsidR="00791A35" w:rsidRPr="008C44DD" w:rsidDel="006A2512">
        <w:t>demand</w:t>
      </w:r>
      <w:r w:rsidR="006A2512" w:rsidRPr="008C44DD">
        <w:t xml:space="preserve"> of</w:t>
      </w:r>
      <w:r w:rsidR="00791A35" w:rsidRPr="008C44DD" w:rsidDel="006A2512">
        <w:t xml:space="preserve"> </w:t>
      </w:r>
      <w:r w:rsidR="00791A35" w:rsidRPr="008C44DD">
        <w:t>spectrum over the next five years</w:t>
      </w:r>
      <w:r w:rsidR="00DB1B8C" w:rsidRPr="008C44DD">
        <w:t xml:space="preserve"> </w:t>
      </w:r>
    </w:p>
    <w:p w14:paraId="3C07E0FC" w14:textId="6035EB66" w:rsidR="008446E0" w:rsidRPr="00B53F89" w:rsidRDefault="000D5AAB" w:rsidP="008C44DD">
      <w:pPr>
        <w:pStyle w:val="ListBulletLast"/>
        <w:ind w:left="284" w:hanging="284"/>
      </w:pPr>
      <w:r w:rsidRPr="00B53F89">
        <w:rPr>
          <w:rStyle w:val="Hyperlink"/>
          <w:color w:val="auto"/>
          <w:u w:val="none"/>
        </w:rPr>
        <w:t>Part 2</w:t>
      </w:r>
      <w:r w:rsidR="00DE2074" w:rsidRPr="00B53F89">
        <w:t>—</w:t>
      </w:r>
      <w:r w:rsidR="00DB1B8C" w:rsidRPr="00B53F89">
        <w:t xml:space="preserve">gives </w:t>
      </w:r>
      <w:r w:rsidR="00791A35" w:rsidRPr="00B53F89">
        <w:t xml:space="preserve">detailed information about the ACMA’s planned work priorities </w:t>
      </w:r>
      <w:r w:rsidR="00B74E7A" w:rsidRPr="00B53F89">
        <w:t xml:space="preserve">for </w:t>
      </w:r>
      <w:r w:rsidR="000F4C3F" w:rsidRPr="00B53F89">
        <w:t>20</w:t>
      </w:r>
      <w:r w:rsidR="000F4C3F">
        <w:t>20</w:t>
      </w:r>
      <w:r w:rsidR="00DE2074" w:rsidRPr="00B53F89">
        <w:t>–</w:t>
      </w:r>
      <w:r w:rsidR="000F4C3F" w:rsidRPr="00B53F89">
        <w:t>2</w:t>
      </w:r>
      <w:r w:rsidR="000F4C3F">
        <w:t>1</w:t>
      </w:r>
      <w:r w:rsidR="00791A35" w:rsidRPr="00B53F89">
        <w:t>.</w:t>
      </w:r>
    </w:p>
    <w:p w14:paraId="0F6FA4C5" w14:textId="44455F7D" w:rsidR="00BA2F81" w:rsidRPr="00B53F89" w:rsidRDefault="00BA2F81" w:rsidP="00BA2F81">
      <w:pPr>
        <w:pStyle w:val="Heading2"/>
      </w:pPr>
      <w:bookmarkStart w:id="14" w:name="_Toc36207388"/>
      <w:bookmarkStart w:id="15" w:name="_Toc38987142"/>
      <w:r>
        <w:t>COVID-19</w:t>
      </w:r>
      <w:r w:rsidR="006B1713">
        <w:t>—</w:t>
      </w:r>
      <w:r>
        <w:t>our response</w:t>
      </w:r>
      <w:bookmarkEnd w:id="14"/>
      <w:bookmarkEnd w:id="15"/>
      <w:r>
        <w:t xml:space="preserve"> </w:t>
      </w:r>
    </w:p>
    <w:p w14:paraId="3C7985A0" w14:textId="0D0A5AF1" w:rsidR="009F7B5D" w:rsidRDefault="00C55690" w:rsidP="00822915">
      <w:pPr>
        <w:rPr>
          <w:lang w:val="en"/>
        </w:rPr>
      </w:pPr>
      <w:r w:rsidRPr="00C55690">
        <w:rPr>
          <w:lang w:val="en"/>
        </w:rPr>
        <w:t>The communications and media sectors are playing a critical role in enabling Australian consumers, businesses and governments to communicate during the COVID-19 pandemic.</w:t>
      </w:r>
      <w:r w:rsidR="00767163">
        <w:rPr>
          <w:lang w:val="en"/>
        </w:rPr>
        <w:t xml:space="preserve"> </w:t>
      </w:r>
      <w:r w:rsidR="009F7B5D">
        <w:rPr>
          <w:lang w:val="en"/>
        </w:rPr>
        <w:t>At a global level, the International Telecommunications Union (ITU) acknowledges the important role of information and communications technologies</w:t>
      </w:r>
      <w:r w:rsidR="006B1713">
        <w:rPr>
          <w:lang w:val="en"/>
        </w:rPr>
        <w:t>—</w:t>
      </w:r>
      <w:r w:rsidR="009F7B5D">
        <w:rPr>
          <w:lang w:val="en"/>
        </w:rPr>
        <w:t>of which spectrum is a key enabler</w:t>
      </w:r>
      <w:r w:rsidR="006B1713">
        <w:rPr>
          <w:lang w:val="en"/>
        </w:rPr>
        <w:t>—</w:t>
      </w:r>
      <w:r w:rsidR="009F7B5D">
        <w:rPr>
          <w:lang w:val="en"/>
        </w:rPr>
        <w:t>in helping to governments, businesses and individuals cope with the pandemic</w:t>
      </w:r>
      <w:r w:rsidR="00822915">
        <w:rPr>
          <w:lang w:val="en"/>
        </w:rPr>
        <w:t>.</w:t>
      </w:r>
      <w:r w:rsidR="00822915">
        <w:rPr>
          <w:rStyle w:val="FootnoteReference"/>
          <w:lang w:val="en"/>
        </w:rPr>
        <w:footnoteReference w:id="3"/>
      </w:r>
    </w:p>
    <w:p w14:paraId="4571C625" w14:textId="7930DAA9" w:rsidR="00C55690" w:rsidRDefault="00CA55D8" w:rsidP="00C55690">
      <w:pPr>
        <w:rPr>
          <w:lang w:val="en"/>
        </w:rPr>
      </w:pPr>
      <w:r>
        <w:rPr>
          <w:lang w:val="en"/>
        </w:rPr>
        <w:t>The</w:t>
      </w:r>
      <w:r w:rsidR="000E0051">
        <w:rPr>
          <w:lang w:val="en"/>
        </w:rPr>
        <w:t xml:space="preserve"> </w:t>
      </w:r>
      <w:r w:rsidR="009F7B5D">
        <w:rPr>
          <w:lang w:val="en"/>
        </w:rPr>
        <w:t xml:space="preserve">ACMA is keen to ensure that its spectrum management arrangements continue to support the Australian communications and media sectors in their response during this period, but acknowledge that the </w:t>
      </w:r>
      <w:r w:rsidR="005F51CD">
        <w:rPr>
          <w:lang w:val="en"/>
        </w:rPr>
        <w:t>impact of COVID-19 is being felt differently across the industry sectors using spectrum</w:t>
      </w:r>
      <w:r w:rsidR="002F7E5C">
        <w:rPr>
          <w:lang w:val="en"/>
        </w:rPr>
        <w:t>. We are seeing</w:t>
      </w:r>
      <w:r w:rsidR="006F29E6">
        <w:rPr>
          <w:lang w:val="en"/>
        </w:rPr>
        <w:t xml:space="preserve"> increasing demand for communications connectivity and for spectrum in some sectors, while economic conditions are likely to constrain future spectrum demand in other sectors</w:t>
      </w:r>
      <w:r w:rsidR="005F51CD">
        <w:rPr>
          <w:lang w:val="en"/>
        </w:rPr>
        <w:t xml:space="preserve">. Where we have relevant information from the industry, we have reflected </w:t>
      </w:r>
      <w:r w:rsidR="009C042B">
        <w:rPr>
          <w:lang w:val="en"/>
        </w:rPr>
        <w:t xml:space="preserve">it </w:t>
      </w:r>
      <w:r w:rsidR="005F51CD">
        <w:rPr>
          <w:lang w:val="en"/>
        </w:rPr>
        <w:t xml:space="preserve">in </w:t>
      </w:r>
      <w:r w:rsidR="006F29E6">
        <w:rPr>
          <w:lang w:val="en"/>
        </w:rPr>
        <w:t>Part 1.</w:t>
      </w:r>
    </w:p>
    <w:p w14:paraId="0C070187" w14:textId="1F757C0B" w:rsidR="005D37A7" w:rsidRPr="00B53F89" w:rsidRDefault="006F29E6" w:rsidP="00513FDE">
      <w:r>
        <w:rPr>
          <w:lang w:val="en"/>
        </w:rPr>
        <w:t xml:space="preserve">In the current context, we have </w:t>
      </w:r>
      <w:r w:rsidR="00C55690">
        <w:rPr>
          <w:lang w:val="en"/>
        </w:rPr>
        <w:t>considered it important to provide our annual work program and outlook to support the planning and response efforts of the communica</w:t>
      </w:r>
      <w:r w:rsidR="005F51CD">
        <w:rPr>
          <w:lang w:val="en"/>
        </w:rPr>
        <w:t>tions</w:t>
      </w:r>
      <w:r w:rsidR="00C55690">
        <w:rPr>
          <w:lang w:val="en"/>
        </w:rPr>
        <w:t xml:space="preserve"> and media sectors to the COVID-19 pandemic</w:t>
      </w:r>
      <w:r>
        <w:rPr>
          <w:lang w:val="en"/>
        </w:rPr>
        <w:t xml:space="preserve"> and </w:t>
      </w:r>
      <w:r w:rsidR="00767163">
        <w:rPr>
          <w:lang w:val="en"/>
        </w:rPr>
        <w:t xml:space="preserve">we </w:t>
      </w:r>
      <w:r w:rsidR="00965D44">
        <w:rPr>
          <w:lang w:val="en"/>
        </w:rPr>
        <w:t>seek</w:t>
      </w:r>
      <w:r>
        <w:rPr>
          <w:lang w:val="en"/>
        </w:rPr>
        <w:t xml:space="preserve"> information from spectrum users about the short, medium and </w:t>
      </w:r>
      <w:r w:rsidDel="000028BD">
        <w:rPr>
          <w:lang w:val="en"/>
        </w:rPr>
        <w:t>longer</w:t>
      </w:r>
      <w:r w:rsidR="000028BD">
        <w:rPr>
          <w:lang w:val="en"/>
        </w:rPr>
        <w:t>-term</w:t>
      </w:r>
      <w:r>
        <w:rPr>
          <w:lang w:val="en"/>
        </w:rPr>
        <w:t xml:space="preserve"> demand for spectrum use</w:t>
      </w:r>
      <w:r w:rsidR="00C55690">
        <w:rPr>
          <w:lang w:val="en"/>
        </w:rPr>
        <w:t>.</w:t>
      </w:r>
      <w:r w:rsidR="009F7B5D">
        <w:rPr>
          <w:lang w:val="en"/>
        </w:rPr>
        <w:t xml:space="preserve"> </w:t>
      </w:r>
      <w:r w:rsidR="00C55690">
        <w:rPr>
          <w:lang w:val="en"/>
        </w:rPr>
        <w:t xml:space="preserve">During </w:t>
      </w:r>
      <w:r w:rsidR="004F6836">
        <w:rPr>
          <w:lang w:val="en"/>
        </w:rPr>
        <w:t>the</w:t>
      </w:r>
      <w:r w:rsidR="00C55690">
        <w:rPr>
          <w:lang w:val="en"/>
        </w:rPr>
        <w:t xml:space="preserve"> pandemic, </w:t>
      </w:r>
      <w:r w:rsidR="003C0831">
        <w:rPr>
          <w:lang w:val="en"/>
        </w:rPr>
        <w:t>we will continue to</w:t>
      </w:r>
      <w:r w:rsidR="00C55690">
        <w:rPr>
          <w:lang w:val="en"/>
        </w:rPr>
        <w:t xml:space="preserve"> </w:t>
      </w:r>
      <w:r w:rsidR="003C0831">
        <w:rPr>
          <w:lang w:val="en"/>
        </w:rPr>
        <w:t xml:space="preserve">update our </w:t>
      </w:r>
      <w:hyperlink r:id="rId25" w:history="1">
        <w:r w:rsidR="00C55690" w:rsidRPr="00C55690">
          <w:rPr>
            <w:rStyle w:val="Hyperlink"/>
            <w:lang w:val="en"/>
          </w:rPr>
          <w:t>regulatory response</w:t>
        </w:r>
      </w:hyperlink>
      <w:r w:rsidR="00C55690">
        <w:rPr>
          <w:lang w:val="en"/>
        </w:rPr>
        <w:t xml:space="preserve"> and keep spectrum users and the public informed of changes. </w:t>
      </w:r>
    </w:p>
    <w:p w14:paraId="64FB308F" w14:textId="14A351B9" w:rsidR="000A726A" w:rsidRPr="00B53F89" w:rsidRDefault="000A726A" w:rsidP="00573D6D">
      <w:pPr>
        <w:pStyle w:val="Heading2"/>
        <w:keepLines/>
      </w:pPr>
      <w:bookmarkStart w:id="16" w:name="_Toc31892768"/>
      <w:bookmarkStart w:id="17" w:name="_Toc36207389"/>
      <w:bookmarkStart w:id="18" w:name="_Toc38987143"/>
      <w:r w:rsidRPr="00B53F89">
        <w:lastRenderedPageBreak/>
        <w:t xml:space="preserve">Key to </w:t>
      </w:r>
      <w:r w:rsidRPr="00A7210B">
        <w:t>icons</w:t>
      </w:r>
      <w:bookmarkEnd w:id="16"/>
      <w:bookmarkEnd w:id="17"/>
      <w:bookmarkEnd w:id="18"/>
    </w:p>
    <w:p w14:paraId="2CC63494" w14:textId="77777777" w:rsidR="00F85852" w:rsidRPr="00B53F89" w:rsidRDefault="00F85852" w:rsidP="00573D6D">
      <w:pPr>
        <w:pStyle w:val="ListParagraph"/>
        <w:keepNext/>
        <w:keepLines/>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385"/>
      </w:tblGrid>
      <w:tr w:rsidR="00B969FE" w:rsidRPr="00B53F89" w14:paraId="0D4D8538" w14:textId="77777777" w:rsidTr="00414D67">
        <w:tc>
          <w:tcPr>
            <w:tcW w:w="1276" w:type="dxa"/>
          </w:tcPr>
          <w:p w14:paraId="2F81BD48" w14:textId="46F4C296" w:rsidR="00B969FE" w:rsidRPr="00B53F89" w:rsidRDefault="00B969FE" w:rsidP="00573D6D">
            <w:pPr>
              <w:keepNext/>
              <w:keepLines/>
              <w:spacing w:after="80"/>
              <w:rPr>
                <w:b/>
              </w:rPr>
            </w:pPr>
            <w:bookmarkStart w:id="19" w:name="_Hlk16666443"/>
            <w:r w:rsidRPr="00B53F89">
              <w:rPr>
                <w:b/>
              </w:rPr>
              <w:t>FYSO icon</w:t>
            </w:r>
          </w:p>
        </w:tc>
        <w:tc>
          <w:tcPr>
            <w:tcW w:w="6385" w:type="dxa"/>
          </w:tcPr>
          <w:p w14:paraId="1F474C79" w14:textId="085168E8" w:rsidR="00B969FE" w:rsidRPr="00B53F89" w:rsidRDefault="00B969FE" w:rsidP="00573D6D">
            <w:pPr>
              <w:keepNext/>
              <w:keepLines/>
              <w:spacing w:after="80"/>
              <w:rPr>
                <w:b/>
              </w:rPr>
            </w:pPr>
            <w:r w:rsidRPr="00B53F89">
              <w:rPr>
                <w:b/>
              </w:rPr>
              <w:t xml:space="preserve">Subject </w:t>
            </w:r>
            <w:r w:rsidR="000922AB">
              <w:rPr>
                <w:b/>
              </w:rPr>
              <w:t>a</w:t>
            </w:r>
            <w:r w:rsidRPr="00B53F89">
              <w:rPr>
                <w:b/>
              </w:rPr>
              <w:t>rea</w:t>
            </w:r>
          </w:p>
        </w:tc>
      </w:tr>
      <w:tr w:rsidR="00B969FE" w:rsidRPr="00B53F89" w14:paraId="327EE060" w14:textId="77777777" w:rsidTr="00414D67">
        <w:tc>
          <w:tcPr>
            <w:tcW w:w="1276" w:type="dxa"/>
            <w:vAlign w:val="center"/>
          </w:tcPr>
          <w:p w14:paraId="71FC5EDA" w14:textId="59382118" w:rsidR="00B969FE" w:rsidRPr="00B53F89" w:rsidRDefault="00B969FE" w:rsidP="00573D6D">
            <w:pPr>
              <w:keepNext/>
              <w:keepLines/>
              <w:spacing w:after="80"/>
            </w:pPr>
            <w:r w:rsidRPr="006A2F04">
              <w:rPr>
                <w:noProof/>
              </w:rPr>
              <w:drawing>
                <wp:inline distT="0" distB="0" distL="0" distR="0" wp14:anchorId="595A74A7" wp14:editId="7E3A09D3">
                  <wp:extent cx="342900" cy="361950"/>
                  <wp:effectExtent l="0" t="0" r="0" b="0"/>
                  <wp:docPr id="147" name="Picture 147"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c>
        <w:tc>
          <w:tcPr>
            <w:tcW w:w="6385" w:type="dxa"/>
            <w:vAlign w:val="center"/>
          </w:tcPr>
          <w:p w14:paraId="79CFC328" w14:textId="220FEA9B" w:rsidR="00B969FE" w:rsidRPr="00B53F89" w:rsidRDefault="00B969FE" w:rsidP="00573D6D">
            <w:pPr>
              <w:keepNext/>
              <w:keepLines/>
              <w:spacing w:after="80"/>
            </w:pPr>
            <w:r w:rsidRPr="00B53F89">
              <w:t>Wireless broadband</w:t>
            </w:r>
          </w:p>
        </w:tc>
      </w:tr>
      <w:tr w:rsidR="00B969FE" w:rsidRPr="00B53F89" w14:paraId="26312EF5" w14:textId="77777777" w:rsidTr="00414D67">
        <w:tc>
          <w:tcPr>
            <w:tcW w:w="1276" w:type="dxa"/>
            <w:vAlign w:val="center"/>
          </w:tcPr>
          <w:p w14:paraId="48728CAE" w14:textId="1EB8A059" w:rsidR="00B969FE" w:rsidRPr="00B53F89" w:rsidRDefault="00465725" w:rsidP="00573D6D">
            <w:pPr>
              <w:keepNext/>
              <w:keepLines/>
              <w:spacing w:after="80"/>
            </w:pPr>
            <w:r w:rsidRPr="006A2F04">
              <w:rPr>
                <w:noProof/>
              </w:rPr>
              <w:drawing>
                <wp:inline distT="0" distB="0" distL="0" distR="0" wp14:anchorId="2BEC4BE7" wp14:editId="2328A108">
                  <wp:extent cx="341630" cy="359410"/>
                  <wp:effectExtent l="0" t="0" r="1270" b="2540"/>
                  <wp:docPr id="104" name="Picture 104"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p>
        </w:tc>
        <w:tc>
          <w:tcPr>
            <w:tcW w:w="6385" w:type="dxa"/>
            <w:vAlign w:val="center"/>
          </w:tcPr>
          <w:p w14:paraId="6D8BC5D3" w14:textId="4DF577C6" w:rsidR="00B969FE" w:rsidRPr="00B53F89" w:rsidRDefault="00B969FE" w:rsidP="00573D6D">
            <w:pPr>
              <w:keepNext/>
              <w:keepLines/>
              <w:spacing w:after="80"/>
            </w:pPr>
            <w:r w:rsidRPr="00B53F89">
              <w:t>Satellite</w:t>
            </w:r>
          </w:p>
        </w:tc>
      </w:tr>
      <w:tr w:rsidR="00B969FE" w:rsidRPr="00B53F89" w14:paraId="7EB9EA55" w14:textId="77777777" w:rsidTr="00414D67">
        <w:tc>
          <w:tcPr>
            <w:tcW w:w="1276" w:type="dxa"/>
            <w:vAlign w:val="center"/>
          </w:tcPr>
          <w:p w14:paraId="47E337DB" w14:textId="3D90E925" w:rsidR="00B969FE" w:rsidRPr="00B53F89" w:rsidRDefault="00B969FE" w:rsidP="00573D6D">
            <w:pPr>
              <w:keepNext/>
              <w:keepLines/>
              <w:spacing w:after="80"/>
            </w:pPr>
            <w:r w:rsidRPr="006A2F04">
              <w:rPr>
                <w:noProof/>
              </w:rPr>
              <w:drawing>
                <wp:inline distT="0" distB="0" distL="0" distR="0" wp14:anchorId="7B4D0615" wp14:editId="54EF4512">
                  <wp:extent cx="342900" cy="361950"/>
                  <wp:effectExtent l="0" t="0" r="0" b="0"/>
                  <wp:docPr id="149" name="Picture 149" descr="Class licens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ass licensing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c>
        <w:tc>
          <w:tcPr>
            <w:tcW w:w="6385" w:type="dxa"/>
            <w:vAlign w:val="center"/>
          </w:tcPr>
          <w:p w14:paraId="72E2B801" w14:textId="0C9BF4E2" w:rsidR="00B969FE" w:rsidRPr="00B53F89" w:rsidRDefault="00B969FE" w:rsidP="00573D6D">
            <w:pPr>
              <w:keepNext/>
              <w:keepLines/>
              <w:spacing w:after="80"/>
            </w:pPr>
            <w:r w:rsidRPr="00B53F89">
              <w:t>Class licensing</w:t>
            </w:r>
          </w:p>
        </w:tc>
      </w:tr>
      <w:tr w:rsidR="00B969FE" w:rsidRPr="00B53F89" w14:paraId="30002F73" w14:textId="77777777" w:rsidTr="00414D67">
        <w:tc>
          <w:tcPr>
            <w:tcW w:w="1276" w:type="dxa"/>
            <w:vAlign w:val="center"/>
          </w:tcPr>
          <w:p w14:paraId="3D5FB557" w14:textId="3666AE14" w:rsidR="00B969FE" w:rsidRPr="00B53F89" w:rsidRDefault="00B969FE" w:rsidP="00573D6D">
            <w:pPr>
              <w:keepNext/>
              <w:keepLines/>
              <w:spacing w:after="80"/>
            </w:pPr>
            <w:r w:rsidRPr="006A2F04">
              <w:rPr>
                <w:noProof/>
              </w:rPr>
              <w:drawing>
                <wp:inline distT="0" distB="0" distL="0" distR="0" wp14:anchorId="1C311088" wp14:editId="2153EE07">
                  <wp:extent cx="342900" cy="361950"/>
                  <wp:effectExtent l="0" t="0" r="0" b="0"/>
                  <wp:docPr id="150" name="Picture 150" descr="Internet of Thing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nternet of Things ico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c>
        <w:tc>
          <w:tcPr>
            <w:tcW w:w="6385" w:type="dxa"/>
            <w:vAlign w:val="center"/>
          </w:tcPr>
          <w:p w14:paraId="1BBCAB31" w14:textId="2ABCC0D4" w:rsidR="00B969FE" w:rsidRPr="00B53F89" w:rsidRDefault="00B969FE" w:rsidP="00573D6D">
            <w:pPr>
              <w:keepNext/>
              <w:keepLines/>
              <w:spacing w:after="80"/>
            </w:pPr>
            <w:r w:rsidRPr="00B53F89">
              <w:t>Internet of Things</w:t>
            </w:r>
          </w:p>
        </w:tc>
      </w:tr>
      <w:tr w:rsidR="00B969FE" w:rsidRPr="00B53F89" w14:paraId="774C24FA" w14:textId="77777777" w:rsidTr="00414D67">
        <w:tc>
          <w:tcPr>
            <w:tcW w:w="1276" w:type="dxa"/>
            <w:vAlign w:val="center"/>
          </w:tcPr>
          <w:p w14:paraId="12290E8B" w14:textId="2BF0B907" w:rsidR="00B969FE" w:rsidRPr="00B53F89" w:rsidRDefault="00B969FE" w:rsidP="00573D6D">
            <w:pPr>
              <w:keepNext/>
              <w:keepLines/>
              <w:spacing w:after="80"/>
            </w:pPr>
            <w:r w:rsidRPr="006A2F04">
              <w:rPr>
                <w:noProof/>
              </w:rPr>
              <w:drawing>
                <wp:inline distT="0" distB="0" distL="0" distR="0" wp14:anchorId="4CF71C48" wp14:editId="3F04CEB9">
                  <wp:extent cx="342900" cy="361950"/>
                  <wp:effectExtent l="0" t="0" r="0" b="0"/>
                  <wp:docPr id="151" name="Picture 151" descr="Radio/TV broadcas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adio/TV broadcasting ic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c>
        <w:tc>
          <w:tcPr>
            <w:tcW w:w="6385" w:type="dxa"/>
            <w:vAlign w:val="center"/>
          </w:tcPr>
          <w:p w14:paraId="4C1FB413" w14:textId="1409AF57" w:rsidR="00B969FE" w:rsidRPr="00B53F89" w:rsidRDefault="00B969FE" w:rsidP="00573D6D">
            <w:pPr>
              <w:keepNext/>
              <w:keepLines/>
              <w:spacing w:after="80"/>
            </w:pPr>
            <w:r w:rsidRPr="00B53F89">
              <w:t xml:space="preserve">Radio and </w:t>
            </w:r>
            <w:r w:rsidR="00167099" w:rsidRPr="00B53F89">
              <w:t>television</w:t>
            </w:r>
            <w:r w:rsidRPr="00B53F89">
              <w:t xml:space="preserve"> broadcasting</w:t>
            </w:r>
          </w:p>
        </w:tc>
      </w:tr>
      <w:tr w:rsidR="00B969FE" w:rsidRPr="00B53F89" w14:paraId="35ABA3D6" w14:textId="77777777" w:rsidTr="00414D67">
        <w:tc>
          <w:tcPr>
            <w:tcW w:w="1276" w:type="dxa"/>
            <w:vAlign w:val="center"/>
          </w:tcPr>
          <w:p w14:paraId="3F337020" w14:textId="3421B70C" w:rsidR="00B969FE" w:rsidRPr="00B53F89" w:rsidRDefault="00B969FE" w:rsidP="00573D6D">
            <w:pPr>
              <w:keepNext/>
              <w:keepLines/>
              <w:spacing w:after="80"/>
            </w:pPr>
            <w:r w:rsidRPr="006A2F04">
              <w:rPr>
                <w:noProof/>
              </w:rPr>
              <w:drawing>
                <wp:inline distT="0" distB="0" distL="0" distR="0" wp14:anchorId="0C781B82" wp14:editId="76C3FD06">
                  <wp:extent cx="342900" cy="361950"/>
                  <wp:effectExtent l="0" t="0" r="0" b="0"/>
                  <wp:docPr id="152" name="Picture 152" descr="Amateur radi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mateur radio ico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c>
        <w:tc>
          <w:tcPr>
            <w:tcW w:w="6385" w:type="dxa"/>
            <w:vAlign w:val="center"/>
          </w:tcPr>
          <w:p w14:paraId="33614548" w14:textId="6670E99D" w:rsidR="00B969FE" w:rsidRPr="00B53F89" w:rsidRDefault="00B969FE" w:rsidP="00573D6D">
            <w:pPr>
              <w:keepNext/>
              <w:keepLines/>
              <w:spacing w:after="80"/>
            </w:pPr>
            <w:r w:rsidRPr="00B53F89">
              <w:t>Amateur radio</w:t>
            </w:r>
          </w:p>
        </w:tc>
      </w:tr>
      <w:tr w:rsidR="00B969FE" w:rsidRPr="00B53F89" w14:paraId="36D83E26" w14:textId="77777777" w:rsidTr="00414D67">
        <w:tc>
          <w:tcPr>
            <w:tcW w:w="1276" w:type="dxa"/>
            <w:vAlign w:val="center"/>
          </w:tcPr>
          <w:p w14:paraId="14B929ED" w14:textId="54859236" w:rsidR="00B969FE" w:rsidRPr="00B53F89" w:rsidRDefault="00B969FE" w:rsidP="00573D6D">
            <w:pPr>
              <w:keepNext/>
              <w:keepLines/>
              <w:spacing w:after="80"/>
            </w:pPr>
            <w:r w:rsidRPr="006A2F04">
              <w:rPr>
                <w:noProof/>
              </w:rPr>
              <w:drawing>
                <wp:inline distT="0" distB="0" distL="0" distR="0" wp14:anchorId="2346FA69" wp14:editId="75014AFC">
                  <wp:extent cx="342900" cy="361950"/>
                  <wp:effectExtent l="0" t="0" r="0" b="0"/>
                  <wp:docPr id="153" name="Picture 153" descr="Point to multi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int to multipoint ico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c>
        <w:tc>
          <w:tcPr>
            <w:tcW w:w="6385" w:type="dxa"/>
            <w:vAlign w:val="center"/>
          </w:tcPr>
          <w:p w14:paraId="1E8A3321" w14:textId="3325D71C" w:rsidR="00B969FE" w:rsidRPr="00B53F89" w:rsidRDefault="00B969FE" w:rsidP="00573D6D">
            <w:pPr>
              <w:keepNext/>
              <w:keepLines/>
              <w:spacing w:after="80"/>
            </w:pPr>
            <w:r w:rsidRPr="00B53F89">
              <w:t>Point-to-multipoint</w:t>
            </w:r>
          </w:p>
        </w:tc>
      </w:tr>
      <w:tr w:rsidR="00B969FE" w:rsidRPr="00B53F89" w14:paraId="0F9201C8" w14:textId="77777777" w:rsidTr="00414D67">
        <w:tc>
          <w:tcPr>
            <w:tcW w:w="1276" w:type="dxa"/>
            <w:vAlign w:val="center"/>
          </w:tcPr>
          <w:p w14:paraId="20D50462" w14:textId="3A6FB58E" w:rsidR="00B969FE" w:rsidRPr="00B53F89" w:rsidRDefault="00B969FE" w:rsidP="00573D6D">
            <w:pPr>
              <w:keepNext/>
              <w:keepLines/>
              <w:spacing w:after="80"/>
            </w:pPr>
            <w:r w:rsidRPr="006A2F04">
              <w:rPr>
                <w:noProof/>
              </w:rPr>
              <w:drawing>
                <wp:inline distT="0" distB="0" distL="0" distR="0" wp14:anchorId="6A94CDD1" wp14:editId="69A8C4D5">
                  <wp:extent cx="342900" cy="361950"/>
                  <wp:effectExtent l="0" t="0" r="0" b="0"/>
                  <wp:docPr id="154" name="Picture 154"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c>
        <w:tc>
          <w:tcPr>
            <w:tcW w:w="6385" w:type="dxa"/>
            <w:vAlign w:val="center"/>
          </w:tcPr>
          <w:p w14:paraId="2715EF81" w14:textId="3677AD55" w:rsidR="00B969FE" w:rsidRPr="00B53F89" w:rsidRDefault="00B969FE" w:rsidP="00573D6D">
            <w:pPr>
              <w:keepNext/>
              <w:keepLines/>
              <w:spacing w:after="80"/>
            </w:pPr>
            <w:r w:rsidRPr="00B53F89">
              <w:t>Point-to-point</w:t>
            </w:r>
          </w:p>
        </w:tc>
      </w:tr>
      <w:tr w:rsidR="00B969FE" w:rsidRPr="00B53F89" w14:paraId="10043479" w14:textId="77777777" w:rsidTr="00414D67">
        <w:tc>
          <w:tcPr>
            <w:tcW w:w="1276" w:type="dxa"/>
            <w:vAlign w:val="center"/>
          </w:tcPr>
          <w:p w14:paraId="6F5B07EE" w14:textId="263103DB" w:rsidR="00B969FE" w:rsidRPr="00B53F89" w:rsidRDefault="00B969FE" w:rsidP="00573D6D">
            <w:pPr>
              <w:keepNext/>
              <w:keepLines/>
              <w:spacing w:after="80"/>
            </w:pPr>
            <w:r w:rsidRPr="006A2F04">
              <w:rPr>
                <w:noProof/>
              </w:rPr>
              <w:drawing>
                <wp:inline distT="0" distB="0" distL="0" distR="0" wp14:anchorId="416DBA02" wp14:editId="2985A336">
                  <wp:extent cx="342900" cy="361950"/>
                  <wp:effectExtent l="0" t="0" r="0" b="0"/>
                  <wp:docPr id="155" name="Picture 155" descr="Defen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fence icon"/>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c>
        <w:tc>
          <w:tcPr>
            <w:tcW w:w="6385" w:type="dxa"/>
            <w:vAlign w:val="center"/>
          </w:tcPr>
          <w:p w14:paraId="124C3119" w14:textId="54D3AE43" w:rsidR="00B969FE" w:rsidRPr="00B53F89" w:rsidRDefault="00B969FE" w:rsidP="00573D6D">
            <w:pPr>
              <w:keepNext/>
              <w:keepLines/>
              <w:spacing w:after="80"/>
            </w:pPr>
            <w:r w:rsidRPr="00B53F89">
              <w:t>Defence</w:t>
            </w:r>
          </w:p>
        </w:tc>
      </w:tr>
      <w:tr w:rsidR="00B969FE" w:rsidRPr="00B53F89" w14:paraId="26A8D363" w14:textId="77777777" w:rsidTr="00414D67">
        <w:tc>
          <w:tcPr>
            <w:tcW w:w="1276" w:type="dxa"/>
            <w:vAlign w:val="center"/>
          </w:tcPr>
          <w:p w14:paraId="0C5DB5C4" w14:textId="5AAE2AF7" w:rsidR="00B969FE" w:rsidRPr="00B53F89" w:rsidRDefault="00B969FE" w:rsidP="00573D6D">
            <w:pPr>
              <w:keepNext/>
              <w:keepLines/>
              <w:spacing w:after="80"/>
            </w:pPr>
            <w:r w:rsidRPr="006A2F04">
              <w:rPr>
                <w:noProof/>
              </w:rPr>
              <w:drawing>
                <wp:inline distT="0" distB="0" distL="0" distR="0" wp14:anchorId="66B32AA8" wp14:editId="02786293">
                  <wp:extent cx="342900" cy="361950"/>
                  <wp:effectExtent l="0" t="0" r="0" b="0"/>
                  <wp:docPr id="156" name="Picture 156" descr="Avi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viation icon"/>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c>
        <w:tc>
          <w:tcPr>
            <w:tcW w:w="6385" w:type="dxa"/>
            <w:vAlign w:val="center"/>
          </w:tcPr>
          <w:p w14:paraId="0212CF56" w14:textId="2999F044" w:rsidR="00B969FE" w:rsidRPr="00B53F89" w:rsidRDefault="00B969FE" w:rsidP="00573D6D">
            <w:pPr>
              <w:keepNext/>
              <w:keepLines/>
              <w:spacing w:after="80"/>
            </w:pPr>
            <w:r w:rsidRPr="00B53F89">
              <w:t>Aviation</w:t>
            </w:r>
          </w:p>
        </w:tc>
      </w:tr>
      <w:tr w:rsidR="00B969FE" w:rsidRPr="00B53F89" w14:paraId="049FCEA7" w14:textId="77777777" w:rsidTr="00414D67">
        <w:tc>
          <w:tcPr>
            <w:tcW w:w="1276" w:type="dxa"/>
            <w:vAlign w:val="center"/>
          </w:tcPr>
          <w:p w14:paraId="35C238D6" w14:textId="6354B80B" w:rsidR="00B969FE" w:rsidRPr="00B53F89" w:rsidRDefault="00B969FE" w:rsidP="00573D6D">
            <w:pPr>
              <w:keepNext/>
              <w:keepLines/>
              <w:spacing w:after="80"/>
            </w:pPr>
            <w:r w:rsidRPr="006A2F04">
              <w:rPr>
                <w:noProof/>
              </w:rPr>
              <w:drawing>
                <wp:inline distT="0" distB="0" distL="0" distR="0" wp14:anchorId="44257BCD" wp14:editId="6D0B4056">
                  <wp:extent cx="342900" cy="361950"/>
                  <wp:effectExtent l="0" t="0" r="0" b="0"/>
                  <wp:docPr id="157" name="Picture 157" descr="Maritim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aritime icon"/>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c>
        <w:tc>
          <w:tcPr>
            <w:tcW w:w="6385" w:type="dxa"/>
            <w:vAlign w:val="center"/>
          </w:tcPr>
          <w:p w14:paraId="770B393D" w14:textId="144D4FCF" w:rsidR="00B969FE" w:rsidRPr="00B53F89" w:rsidRDefault="00B969FE" w:rsidP="00573D6D">
            <w:pPr>
              <w:keepNext/>
              <w:keepLines/>
              <w:spacing w:after="80"/>
            </w:pPr>
            <w:r w:rsidRPr="00B53F89">
              <w:t>Maritime</w:t>
            </w:r>
          </w:p>
        </w:tc>
      </w:tr>
      <w:tr w:rsidR="00B969FE" w:rsidRPr="00B53F89" w14:paraId="7B23556C" w14:textId="77777777" w:rsidTr="00414D67">
        <w:tc>
          <w:tcPr>
            <w:tcW w:w="1276" w:type="dxa"/>
            <w:vAlign w:val="center"/>
          </w:tcPr>
          <w:p w14:paraId="01C788F4" w14:textId="2EBB037C" w:rsidR="00B969FE" w:rsidRPr="00B53F89" w:rsidRDefault="00B969FE" w:rsidP="00573D6D">
            <w:pPr>
              <w:keepNext/>
              <w:keepLines/>
              <w:spacing w:after="80"/>
            </w:pPr>
            <w:r w:rsidRPr="006A2F04">
              <w:rPr>
                <w:noProof/>
              </w:rPr>
              <w:drawing>
                <wp:inline distT="0" distB="0" distL="0" distR="0" wp14:anchorId="5781655E" wp14:editId="1A1A9F44">
                  <wp:extent cx="342900" cy="361950"/>
                  <wp:effectExtent l="0" t="0" r="0" b="0"/>
                  <wp:docPr id="158" name="Picture 158"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c>
        <w:tc>
          <w:tcPr>
            <w:tcW w:w="6385" w:type="dxa"/>
            <w:vAlign w:val="center"/>
          </w:tcPr>
          <w:p w14:paraId="5EDDB987" w14:textId="2490556B" w:rsidR="00B969FE" w:rsidRPr="00B53F89" w:rsidRDefault="00B969FE" w:rsidP="00573D6D">
            <w:pPr>
              <w:keepNext/>
              <w:keepLines/>
              <w:spacing w:after="80"/>
            </w:pPr>
            <w:r w:rsidRPr="00B53F89">
              <w:t>International interests and engagement</w:t>
            </w:r>
          </w:p>
        </w:tc>
      </w:tr>
      <w:tr w:rsidR="00B969FE" w:rsidRPr="00B53F89" w14:paraId="0738588C" w14:textId="77777777" w:rsidTr="00414D67">
        <w:tc>
          <w:tcPr>
            <w:tcW w:w="1276" w:type="dxa"/>
            <w:vAlign w:val="center"/>
          </w:tcPr>
          <w:p w14:paraId="1590F7DD" w14:textId="0194C948" w:rsidR="00B969FE" w:rsidRPr="00B53F89" w:rsidRDefault="00B969FE" w:rsidP="00573D6D">
            <w:pPr>
              <w:keepNext/>
              <w:keepLines/>
              <w:spacing w:after="80"/>
            </w:pPr>
            <w:r w:rsidRPr="006A2F04">
              <w:rPr>
                <w:noProof/>
              </w:rPr>
              <w:drawing>
                <wp:inline distT="0" distB="0" distL="0" distR="0" wp14:anchorId="43FA7A77" wp14:editId="7B39009E">
                  <wp:extent cx="342900" cy="361950"/>
                  <wp:effectExtent l="0" t="0" r="0" b="0"/>
                  <wp:docPr id="159" name="Picture 159" descr="Pric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ricing icon"/>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c>
        <w:tc>
          <w:tcPr>
            <w:tcW w:w="6385" w:type="dxa"/>
            <w:vAlign w:val="center"/>
          </w:tcPr>
          <w:p w14:paraId="758194DA" w14:textId="3B5C9068" w:rsidR="00B969FE" w:rsidRPr="00B53F89" w:rsidRDefault="00B969FE" w:rsidP="00573D6D">
            <w:pPr>
              <w:keepNext/>
              <w:keepLines/>
              <w:spacing w:after="80"/>
            </w:pPr>
            <w:r w:rsidRPr="00B53F89">
              <w:t>Pricing</w:t>
            </w:r>
          </w:p>
        </w:tc>
      </w:tr>
    </w:tbl>
    <w:p w14:paraId="56DB20B3" w14:textId="77777777" w:rsidR="001E15E1" w:rsidRDefault="001E15E1" w:rsidP="00494D12">
      <w:bookmarkStart w:id="20" w:name="_Toc348105635"/>
      <w:bookmarkStart w:id="21" w:name="_Toc442879668"/>
      <w:bookmarkStart w:id="22" w:name="_Toc510795063"/>
      <w:bookmarkStart w:id="23" w:name="_Toc511716264"/>
      <w:bookmarkStart w:id="24" w:name="_Toc511719075"/>
      <w:bookmarkStart w:id="25" w:name="_Toc522794072"/>
      <w:bookmarkEnd w:id="19"/>
    </w:p>
    <w:p w14:paraId="30CD9E6A" w14:textId="77777777" w:rsidR="001E15E1" w:rsidRDefault="001E15E1" w:rsidP="001E15E1">
      <w:pPr>
        <w:pStyle w:val="Heading1"/>
      </w:pPr>
      <w:bookmarkStart w:id="26" w:name="_Toc31892769"/>
      <w:bookmarkStart w:id="27" w:name="_Toc36207390"/>
      <w:bookmarkStart w:id="28" w:name="_Toc38987144"/>
      <w:r>
        <w:lastRenderedPageBreak/>
        <w:t>Issues for comment</w:t>
      </w:r>
      <w:bookmarkEnd w:id="26"/>
      <w:bookmarkEnd w:id="27"/>
      <w:bookmarkEnd w:id="28"/>
    </w:p>
    <w:p w14:paraId="34AEF21E" w14:textId="72001E94" w:rsidR="001E15E1" w:rsidRDefault="00A7210B" w:rsidP="00513FDE">
      <w:pPr>
        <w:spacing w:after="80"/>
      </w:pPr>
      <w:r>
        <w:t>We</w:t>
      </w:r>
      <w:r w:rsidR="001E15E1">
        <w:t xml:space="preserve"> invite comments on the draft FYSO 2020-</w:t>
      </w:r>
      <w:r w:rsidR="009C042B">
        <w:t>–</w:t>
      </w:r>
      <w:r w:rsidR="001E15E1">
        <w:t>24</w:t>
      </w:r>
      <w:r w:rsidR="002532BF">
        <w:t xml:space="preserve"> and </w:t>
      </w:r>
      <w:r w:rsidR="00F92620">
        <w:t>on the following</w:t>
      </w:r>
      <w:r w:rsidR="002532BF">
        <w:t xml:space="preserve"> s</w:t>
      </w:r>
      <w:r w:rsidR="001E15E1">
        <w:t>pecific questions:</w:t>
      </w:r>
    </w:p>
    <w:p w14:paraId="0791F5AB" w14:textId="3DB5C374" w:rsidR="0077795D" w:rsidRPr="0077795D" w:rsidRDefault="0077795D" w:rsidP="0077795D">
      <w:pPr>
        <w:pStyle w:val="ListNumber"/>
        <w:ind w:left="284" w:hanging="284"/>
        <w:rPr>
          <w:b/>
        </w:rPr>
      </w:pPr>
      <w:r w:rsidRPr="0077795D">
        <w:rPr>
          <w:b/>
        </w:rPr>
        <w:t xml:space="preserve">What </w:t>
      </w:r>
      <w:r w:rsidR="000D4E4E">
        <w:rPr>
          <w:b/>
        </w:rPr>
        <w:t xml:space="preserve">are the expected </w:t>
      </w:r>
      <w:r w:rsidRPr="0077795D">
        <w:rPr>
          <w:b/>
        </w:rPr>
        <w:t>impact</w:t>
      </w:r>
      <w:r w:rsidR="000D4E4E">
        <w:rPr>
          <w:b/>
        </w:rPr>
        <w:t>s</w:t>
      </w:r>
      <w:r w:rsidRPr="0077795D">
        <w:rPr>
          <w:b/>
        </w:rPr>
        <w:t xml:space="preserve"> of the COVID-19 pandemic on the </w:t>
      </w:r>
      <w:r w:rsidR="000D4E4E">
        <w:rPr>
          <w:b/>
        </w:rPr>
        <w:t>short</w:t>
      </w:r>
      <w:r w:rsidR="009C042B">
        <w:rPr>
          <w:b/>
        </w:rPr>
        <w:t>-</w:t>
      </w:r>
      <w:r w:rsidRPr="0077795D">
        <w:rPr>
          <w:b/>
        </w:rPr>
        <w:t xml:space="preserve"> and </w:t>
      </w:r>
      <w:r w:rsidR="000D4E4E" w:rsidDel="00127CAB">
        <w:rPr>
          <w:b/>
        </w:rPr>
        <w:t>medium</w:t>
      </w:r>
      <w:r w:rsidR="00127CAB">
        <w:rPr>
          <w:b/>
        </w:rPr>
        <w:t>-term</w:t>
      </w:r>
      <w:r w:rsidRPr="0077795D">
        <w:rPr>
          <w:b/>
        </w:rPr>
        <w:t xml:space="preserve"> capacity of your industry?</w:t>
      </w:r>
      <w:r w:rsidR="009D564A">
        <w:rPr>
          <w:b/>
        </w:rPr>
        <w:t xml:space="preserve"> </w:t>
      </w:r>
    </w:p>
    <w:p w14:paraId="1B0F76A7" w14:textId="10DCF439" w:rsidR="003A24C8" w:rsidRPr="00DE694D" w:rsidRDefault="009B1D79" w:rsidP="00EB0F5A">
      <w:pPr>
        <w:pStyle w:val="ListNumber"/>
        <w:ind w:left="284" w:hanging="284"/>
        <w:rPr>
          <w:rFonts w:eastAsiaTheme="majorEastAsia"/>
          <w:b/>
        </w:rPr>
      </w:pPr>
      <w:r w:rsidRPr="00EB0F5A">
        <w:rPr>
          <w:b/>
        </w:rPr>
        <w:t xml:space="preserve">Do you have any feedback on the ACMA’s approach </w:t>
      </w:r>
      <w:r w:rsidR="00A563AF">
        <w:rPr>
          <w:b/>
        </w:rPr>
        <w:t>to its spectrum work program</w:t>
      </w:r>
      <w:r w:rsidRPr="00EB0F5A">
        <w:rPr>
          <w:b/>
        </w:rPr>
        <w:t xml:space="preserve"> in the current environment? Do you have alternative proposals</w:t>
      </w:r>
      <w:r w:rsidR="00A563AF">
        <w:rPr>
          <w:b/>
        </w:rPr>
        <w:t xml:space="preserve"> or priorities</w:t>
      </w:r>
      <w:r w:rsidRPr="00EB0F5A">
        <w:rPr>
          <w:b/>
        </w:rPr>
        <w:t>?</w:t>
      </w:r>
    </w:p>
    <w:p w14:paraId="3B47A4BB" w14:textId="73CB8E89" w:rsidR="003A24C8" w:rsidRPr="00DE694D" w:rsidRDefault="003A24C8" w:rsidP="003A24C8">
      <w:pPr>
        <w:pStyle w:val="ListNumber"/>
        <w:ind w:left="284" w:hanging="284"/>
        <w:rPr>
          <w:rFonts w:eastAsiaTheme="majorEastAsia"/>
          <w:b/>
        </w:rPr>
      </w:pPr>
      <w:r w:rsidRPr="00DE694D">
        <w:rPr>
          <w:b/>
        </w:rPr>
        <w:t>Are there other technology developments or sources of spectrum demand</w:t>
      </w:r>
      <w:r w:rsidRPr="00DE694D" w:rsidDel="009D6C54">
        <w:rPr>
          <w:b/>
        </w:rPr>
        <w:t xml:space="preserve"> </w:t>
      </w:r>
      <w:r w:rsidRPr="00DE694D">
        <w:rPr>
          <w:b/>
        </w:rPr>
        <w:t>that the ACMA should be aware of in considering spectrum management over the next five years?</w:t>
      </w:r>
    </w:p>
    <w:p w14:paraId="572ED08E" w14:textId="7E9439AE" w:rsidR="003A24C8" w:rsidRPr="00DE694D" w:rsidRDefault="003A24C8" w:rsidP="003A24C8">
      <w:pPr>
        <w:pStyle w:val="ListNumber"/>
        <w:ind w:left="284" w:hanging="284"/>
        <w:rPr>
          <w:rFonts w:eastAsiaTheme="majorEastAsia"/>
          <w:b/>
        </w:rPr>
      </w:pPr>
      <w:r w:rsidRPr="00DE694D">
        <w:rPr>
          <w:b/>
        </w:rPr>
        <w:t xml:space="preserve">Do you have any </w:t>
      </w:r>
      <w:r w:rsidR="00191BC3">
        <w:rPr>
          <w:b/>
        </w:rPr>
        <w:t xml:space="preserve">other </w:t>
      </w:r>
      <w:r w:rsidRPr="00DE694D">
        <w:rPr>
          <w:b/>
        </w:rPr>
        <w:t xml:space="preserve">feedback on the ACMA’s plans for monitoring, initial investigation, preliminary replanning or </w:t>
      </w:r>
      <w:r w:rsidR="00276F7F">
        <w:rPr>
          <w:b/>
        </w:rPr>
        <w:t>replanning</w:t>
      </w:r>
      <w:r w:rsidRPr="00DE694D">
        <w:rPr>
          <w:b/>
        </w:rPr>
        <w:t xml:space="preserve"> of bands? </w:t>
      </w:r>
    </w:p>
    <w:p w14:paraId="369EFBB2" w14:textId="51D4F3FB" w:rsidR="003A24C8" w:rsidRPr="0010018E" w:rsidRDefault="003A24C8" w:rsidP="001E15E1">
      <w:pPr>
        <w:pStyle w:val="ListNumber"/>
        <w:ind w:left="284" w:hanging="284"/>
        <w:rPr>
          <w:rFonts w:eastAsiaTheme="majorEastAsia"/>
          <w:b/>
        </w:rPr>
      </w:pPr>
      <w:bookmarkStart w:id="29" w:name="_Hlk3366033"/>
      <w:r w:rsidRPr="00DE694D">
        <w:rPr>
          <w:b/>
        </w:rPr>
        <w:t>Do you have any comments about the ACMA</w:t>
      </w:r>
      <w:r>
        <w:rPr>
          <w:b/>
        </w:rPr>
        <w:t>’s</w:t>
      </w:r>
      <w:r w:rsidRPr="00DE694D">
        <w:rPr>
          <w:b/>
        </w:rPr>
        <w:t xml:space="preserve"> approach to forward allocations?</w:t>
      </w:r>
      <w:bookmarkEnd w:id="29"/>
    </w:p>
    <w:p w14:paraId="7104F9B8" w14:textId="398A2B07" w:rsidR="009116B7" w:rsidRPr="00B53F89" w:rsidRDefault="003F692F" w:rsidP="00DE694D">
      <w:pPr>
        <w:pStyle w:val="Heading1"/>
      </w:pPr>
      <w:bookmarkStart w:id="30" w:name="_Toc31892770"/>
      <w:bookmarkStart w:id="31" w:name="_Toc36207391"/>
      <w:bookmarkStart w:id="32" w:name="_Toc38987145"/>
      <w:r w:rsidRPr="00B53F89">
        <w:lastRenderedPageBreak/>
        <w:t>At a glance</w:t>
      </w:r>
      <w:r w:rsidR="001801F4" w:rsidRPr="00B53F89">
        <w:t>—</w:t>
      </w:r>
      <w:r w:rsidR="00D02159" w:rsidRPr="00B53F89">
        <w:t>20</w:t>
      </w:r>
      <w:r w:rsidR="00CF7A91">
        <w:t>20</w:t>
      </w:r>
      <w:r w:rsidR="001801F4" w:rsidRPr="00B53F89">
        <w:t>–</w:t>
      </w:r>
      <w:r w:rsidR="00D02159" w:rsidRPr="00B53F89">
        <w:t>2</w:t>
      </w:r>
      <w:r w:rsidR="00CF7A91">
        <w:t>1</w:t>
      </w:r>
      <w:r w:rsidR="009116B7" w:rsidRPr="00B53F89">
        <w:t xml:space="preserve"> </w:t>
      </w:r>
      <w:r w:rsidR="001801F4" w:rsidRPr="00B53F89">
        <w:t>w</w:t>
      </w:r>
      <w:r w:rsidR="009116B7" w:rsidRPr="00B53F89">
        <w:t>ork program</w:t>
      </w:r>
      <w:bookmarkEnd w:id="20"/>
      <w:bookmarkEnd w:id="21"/>
      <w:bookmarkEnd w:id="22"/>
      <w:bookmarkEnd w:id="23"/>
      <w:bookmarkEnd w:id="24"/>
      <w:bookmarkEnd w:id="25"/>
      <w:bookmarkEnd w:id="30"/>
      <w:bookmarkEnd w:id="31"/>
      <w:bookmarkEnd w:id="32"/>
    </w:p>
    <w:p w14:paraId="5790FCEF" w14:textId="16A209C2" w:rsidR="00CA32F1" w:rsidRPr="00B53F89" w:rsidRDefault="00A57D79" w:rsidP="00513FDE">
      <w:pPr>
        <w:spacing w:after="80"/>
      </w:pPr>
      <w:r w:rsidRPr="00B53F89">
        <w:t xml:space="preserve">The tables below provide a summary of </w:t>
      </w:r>
      <w:r w:rsidR="00A7210B">
        <w:t>our</w:t>
      </w:r>
      <w:r w:rsidRPr="00B53F89">
        <w:t xml:space="preserve"> </w:t>
      </w:r>
      <w:r w:rsidR="00B80555" w:rsidRPr="00B53F89">
        <w:t xml:space="preserve">proposed </w:t>
      </w:r>
      <w:r w:rsidRPr="00B53F89">
        <w:t xml:space="preserve">key </w:t>
      </w:r>
      <w:r w:rsidR="00B80555" w:rsidRPr="00B53F89">
        <w:t xml:space="preserve">spectrum management </w:t>
      </w:r>
      <w:r w:rsidRPr="00B53F89">
        <w:t xml:space="preserve">activities for </w:t>
      </w:r>
      <w:r w:rsidR="003A53AD" w:rsidRPr="00B53F89">
        <w:t xml:space="preserve">the </w:t>
      </w:r>
      <w:r w:rsidR="007B0284" w:rsidRPr="00B53F89">
        <w:t>20</w:t>
      </w:r>
      <w:r w:rsidR="007B0284">
        <w:t>20</w:t>
      </w:r>
      <w:r w:rsidR="00AE2ABA" w:rsidRPr="00B53F89">
        <w:t>–</w:t>
      </w:r>
      <w:r w:rsidR="007B0284" w:rsidRPr="00B53F89">
        <w:t>2</w:t>
      </w:r>
      <w:r w:rsidR="007B0284">
        <w:t>1</w:t>
      </w:r>
      <w:r w:rsidR="007B0284" w:rsidRPr="00B53F89">
        <w:t xml:space="preserve"> </w:t>
      </w:r>
      <w:r w:rsidR="003A53AD" w:rsidRPr="00B53F89">
        <w:t>financial year</w:t>
      </w:r>
      <w:r w:rsidRPr="00B53F89">
        <w:t xml:space="preserve">. </w:t>
      </w:r>
      <w:r w:rsidR="00CA32F1">
        <w:t>Although the FYSO is prepared on a financial year basis, for ease of interpretation</w:t>
      </w:r>
      <w:r w:rsidR="009C042B">
        <w:t>,</w:t>
      </w:r>
      <w:r w:rsidR="00CA32F1">
        <w:t xml:space="preserve"> references to quarter</w:t>
      </w:r>
      <w:r w:rsidR="009C042B">
        <w:t>s</w:t>
      </w:r>
      <w:r w:rsidR="00CA32F1">
        <w:t xml:space="preserve"> are calendar year quarters:</w:t>
      </w:r>
    </w:p>
    <w:p w14:paraId="405725BA" w14:textId="77777777" w:rsidR="00CA32F1" w:rsidRPr="00B53F89" w:rsidRDefault="00CA32F1" w:rsidP="004234AE">
      <w:pPr>
        <w:pStyle w:val="ListBullet"/>
        <w:keepNext w:val="0"/>
        <w:keepLines w:val="0"/>
        <w:tabs>
          <w:tab w:val="num" w:pos="-249"/>
        </w:tabs>
        <w:ind w:left="284" w:hanging="289"/>
      </w:pPr>
      <w:r w:rsidRPr="00B53F89">
        <w:t xml:space="preserve">quarter 1 (Q1): 1 January–31 March </w:t>
      </w:r>
    </w:p>
    <w:p w14:paraId="6A4F2E14" w14:textId="77777777" w:rsidR="00CA32F1" w:rsidRPr="00B53F89" w:rsidRDefault="00CA32F1" w:rsidP="004234AE">
      <w:pPr>
        <w:pStyle w:val="ListBullet"/>
        <w:keepNext w:val="0"/>
        <w:keepLines w:val="0"/>
        <w:ind w:left="284" w:hanging="289"/>
      </w:pPr>
      <w:r w:rsidRPr="00B53F89">
        <w:t xml:space="preserve">quarter 2 (Q2): 1 April–30 June </w:t>
      </w:r>
    </w:p>
    <w:p w14:paraId="7AA7A97A" w14:textId="77777777" w:rsidR="00CA32F1" w:rsidRPr="00B53F89" w:rsidRDefault="00CA32F1" w:rsidP="004234AE">
      <w:pPr>
        <w:pStyle w:val="ListBullet"/>
        <w:keepNext w:val="0"/>
        <w:keepLines w:val="0"/>
        <w:ind w:left="284" w:hanging="289"/>
      </w:pPr>
      <w:r w:rsidRPr="00B53F89">
        <w:t>quarter 3 (Q3): 1 July–30 September</w:t>
      </w:r>
    </w:p>
    <w:p w14:paraId="0D1DA2F6" w14:textId="77777777" w:rsidR="00CA32F1" w:rsidRDefault="00CA32F1" w:rsidP="00CA32F1">
      <w:pPr>
        <w:pStyle w:val="ListBulletLast"/>
        <w:ind w:left="284" w:hanging="289"/>
      </w:pPr>
      <w:r w:rsidRPr="00B53F89">
        <w:t>quarter 4 (Q4): 1 October–31 December.</w:t>
      </w:r>
    </w:p>
    <w:p w14:paraId="6DEAC7A9" w14:textId="615D18F6" w:rsidR="00A57D79" w:rsidRPr="00B53F89" w:rsidRDefault="00B80555" w:rsidP="00513FDE">
      <w:pPr>
        <w:spacing w:after="80"/>
      </w:pPr>
      <w:r w:rsidRPr="00B53F89">
        <w:t xml:space="preserve">The ‘proposed timelines’ column </w:t>
      </w:r>
      <w:r w:rsidR="009C042B">
        <w:t>has</w:t>
      </w:r>
      <w:r w:rsidR="00A57D79" w:rsidRPr="00B53F89">
        <w:t>:</w:t>
      </w:r>
    </w:p>
    <w:p w14:paraId="3EDC4439" w14:textId="32B1D3D4" w:rsidR="00A57D79" w:rsidRPr="00B53F89" w:rsidRDefault="00A57D79" w:rsidP="004234AE">
      <w:pPr>
        <w:pStyle w:val="ListBullet"/>
        <w:keepNext w:val="0"/>
        <w:keepLines w:val="0"/>
        <w:ind w:left="284" w:hanging="284"/>
      </w:pPr>
      <w:r w:rsidRPr="00A01A2B">
        <w:t>t</w:t>
      </w:r>
      <w:r w:rsidR="007D4950" w:rsidRPr="00EF1004">
        <w:t>iming</w:t>
      </w:r>
      <w:r w:rsidR="001A3F7F" w:rsidRPr="00B53F89">
        <w:t xml:space="preserve"> for </w:t>
      </w:r>
      <w:r w:rsidR="009116B7" w:rsidRPr="00B53F89">
        <w:t xml:space="preserve">activities </w:t>
      </w:r>
      <w:r w:rsidR="00B80555" w:rsidRPr="00B53F89">
        <w:t>(</w:t>
      </w:r>
      <w:r w:rsidRPr="00B53F89">
        <w:t>these</w:t>
      </w:r>
      <w:r w:rsidR="007D4950" w:rsidRPr="00B53F89">
        <w:t xml:space="preserve"> may be affected by </w:t>
      </w:r>
      <w:r w:rsidR="001A3F7F" w:rsidRPr="00B53F89">
        <w:t xml:space="preserve">the </w:t>
      </w:r>
      <w:r w:rsidR="007D4950" w:rsidRPr="00B53F89">
        <w:t>progression o</w:t>
      </w:r>
      <w:r w:rsidR="001A3F7F" w:rsidRPr="00B53F89">
        <w:t>f</w:t>
      </w:r>
      <w:r w:rsidR="007D4950" w:rsidRPr="00B53F89">
        <w:t xml:space="preserve"> other projects</w:t>
      </w:r>
      <w:r w:rsidR="00B80555" w:rsidRPr="00B53F89">
        <w:t>)</w:t>
      </w:r>
    </w:p>
    <w:p w14:paraId="24FEF1DF" w14:textId="4B938C21" w:rsidR="00A57D79" w:rsidRPr="00B53F89" w:rsidRDefault="00701F67" w:rsidP="008C44DD">
      <w:pPr>
        <w:pStyle w:val="ListBulletLast"/>
        <w:ind w:left="284" w:hanging="284"/>
      </w:pPr>
      <w:r>
        <w:t xml:space="preserve">details of </w:t>
      </w:r>
      <w:r w:rsidR="001A3F7F" w:rsidRPr="00B53F89">
        <w:t>o</w:t>
      </w:r>
      <w:r w:rsidR="009116B7" w:rsidRPr="00B53F89">
        <w:t>pportunities for consultation and engagement</w:t>
      </w:r>
      <w:r w:rsidR="009354DF" w:rsidRPr="00B53F89">
        <w:t>.</w:t>
      </w:r>
      <w:r w:rsidR="00593DA0">
        <w:t xml:space="preserve"> A summary </w:t>
      </w:r>
      <w:r w:rsidR="007E1448">
        <w:t>of</w:t>
      </w:r>
      <w:r w:rsidR="00593DA0">
        <w:t xml:space="preserve"> our planned spectrum consultations for 2020</w:t>
      </w:r>
      <w:r>
        <w:t>–</w:t>
      </w:r>
      <w:r w:rsidR="00593DA0">
        <w:t xml:space="preserve">21 is at </w:t>
      </w:r>
      <w:r w:rsidR="00593DA0" w:rsidRPr="00676612">
        <w:t xml:space="preserve">Table </w:t>
      </w:r>
      <w:r w:rsidR="00676612" w:rsidRPr="00676612">
        <w:t>8</w:t>
      </w:r>
      <w:r w:rsidR="009D60A9" w:rsidRPr="009D60A9">
        <w:t>.</w:t>
      </w:r>
      <w:r w:rsidR="00593DA0">
        <w:t xml:space="preserve"> </w:t>
      </w:r>
    </w:p>
    <w:p w14:paraId="4A33AE4B" w14:textId="77777777" w:rsidR="00276ECF" w:rsidRPr="00454323" w:rsidRDefault="00276ECF" w:rsidP="00513FDE">
      <w:pPr>
        <w:pStyle w:val="ACMATableHeader"/>
      </w:pPr>
      <w:bookmarkStart w:id="33" w:name="_Toc26877562"/>
      <w:r w:rsidRPr="002E5E12">
        <w:t>Planning</w:t>
      </w:r>
      <w:r w:rsidRPr="0099510B">
        <w:t>—major band planning and replanning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Caption w:val="Table title to go here"/>
        <w:tblDescription w:val="Table description to go here"/>
      </w:tblPr>
      <w:tblGrid>
        <w:gridCol w:w="1819"/>
        <w:gridCol w:w="2638"/>
        <w:gridCol w:w="3204"/>
      </w:tblGrid>
      <w:tr w:rsidR="00276ECF" w:rsidRPr="004804C7" w14:paraId="568FE7F0" w14:textId="77777777" w:rsidTr="002A31A0">
        <w:trPr>
          <w:cantSplit/>
          <w:trHeight w:val="293"/>
          <w:tblHeader/>
        </w:trPr>
        <w:tc>
          <w:tcPr>
            <w:tcW w:w="1187" w:type="pct"/>
            <w:shd w:val="clear" w:color="auto" w:fill="404040"/>
          </w:tcPr>
          <w:p w14:paraId="3BB2457C" w14:textId="77777777" w:rsidR="00276ECF" w:rsidRPr="004804C7" w:rsidRDefault="00276ECF" w:rsidP="004234AE">
            <w:pPr>
              <w:spacing w:after="0"/>
              <w:rPr>
                <w:b/>
                <w:color w:val="FFFFFF"/>
              </w:rPr>
            </w:pPr>
            <w:r w:rsidRPr="004804C7">
              <w:rPr>
                <w:b/>
                <w:color w:val="FFFFFF"/>
              </w:rPr>
              <w:t>Planning stage</w:t>
            </w:r>
          </w:p>
        </w:tc>
        <w:tc>
          <w:tcPr>
            <w:tcW w:w="1722" w:type="pct"/>
            <w:shd w:val="clear" w:color="auto" w:fill="404040"/>
          </w:tcPr>
          <w:p w14:paraId="41206AC2" w14:textId="77777777" w:rsidR="00276ECF" w:rsidRPr="004804C7" w:rsidRDefault="00276ECF" w:rsidP="004234AE">
            <w:pPr>
              <w:spacing w:after="0"/>
              <w:rPr>
                <w:b/>
                <w:color w:val="FFFFFF"/>
              </w:rPr>
            </w:pPr>
            <w:r w:rsidRPr="004804C7">
              <w:rPr>
                <w:b/>
                <w:color w:val="FFFFFF"/>
              </w:rPr>
              <w:t>Project priorities</w:t>
            </w:r>
          </w:p>
        </w:tc>
        <w:tc>
          <w:tcPr>
            <w:tcW w:w="2091" w:type="pct"/>
            <w:shd w:val="clear" w:color="auto" w:fill="404040"/>
          </w:tcPr>
          <w:p w14:paraId="13AC5D9C" w14:textId="77777777" w:rsidR="00276ECF" w:rsidRPr="004804C7" w:rsidRDefault="00276ECF" w:rsidP="004234AE">
            <w:pPr>
              <w:spacing w:after="0"/>
              <w:rPr>
                <w:b/>
                <w:color w:val="FFFFFF"/>
              </w:rPr>
            </w:pPr>
            <w:r w:rsidRPr="004804C7">
              <w:rPr>
                <w:b/>
                <w:color w:val="FFFFFF"/>
              </w:rPr>
              <w:t>Proposed timelines</w:t>
            </w:r>
          </w:p>
        </w:tc>
      </w:tr>
      <w:tr w:rsidR="00276ECF" w:rsidRPr="004804C7" w14:paraId="4DE1A4F0" w14:textId="77777777" w:rsidTr="002A31A0">
        <w:trPr>
          <w:trHeight w:val="477"/>
        </w:trPr>
        <w:tc>
          <w:tcPr>
            <w:tcW w:w="1187" w:type="pct"/>
            <w:shd w:val="clear" w:color="auto" w:fill="auto"/>
          </w:tcPr>
          <w:p w14:paraId="69C1B9DA" w14:textId="77777777" w:rsidR="00276ECF" w:rsidRPr="00513FDE" w:rsidRDefault="00276ECF" w:rsidP="00276ECF">
            <w:pPr>
              <w:spacing w:before="100" w:beforeAutospacing="1" w:after="100" w:afterAutospacing="1"/>
              <w:contextualSpacing/>
              <w:mirrorIndents/>
              <w:rPr>
                <w:rFonts w:cs="Arial"/>
                <w:b/>
                <w:bCs/>
                <w:szCs w:val="20"/>
              </w:rPr>
            </w:pPr>
            <w:r w:rsidRPr="00513FDE">
              <w:rPr>
                <w:rFonts w:cs="Arial"/>
                <w:b/>
                <w:bCs/>
                <w:szCs w:val="20"/>
              </w:rPr>
              <w:t>Monitoring</w:t>
            </w:r>
          </w:p>
        </w:tc>
        <w:tc>
          <w:tcPr>
            <w:tcW w:w="1722" w:type="pct"/>
            <w:shd w:val="clear" w:color="auto" w:fill="auto"/>
          </w:tcPr>
          <w:p w14:paraId="4803CDF7" w14:textId="77777777" w:rsidR="00276ECF" w:rsidRPr="004804C7" w:rsidRDefault="00276ECF" w:rsidP="00276ECF">
            <w:pPr>
              <w:spacing w:after="120"/>
              <w:mirrorIndents/>
              <w:rPr>
                <w:rFonts w:cs="Arial"/>
                <w:szCs w:val="20"/>
              </w:rPr>
            </w:pPr>
            <w:r w:rsidRPr="004804C7">
              <w:rPr>
                <w:rFonts w:cs="Arial"/>
                <w:szCs w:val="20"/>
              </w:rPr>
              <w:t>600 MHz (617–698 MHz)</w:t>
            </w:r>
          </w:p>
          <w:p w14:paraId="55015A8A" w14:textId="77777777" w:rsidR="00276ECF" w:rsidRPr="004804C7" w:rsidRDefault="00276ECF" w:rsidP="00276ECF">
            <w:pPr>
              <w:spacing w:after="120"/>
              <w:mirrorIndents/>
              <w:rPr>
                <w:rFonts w:cs="Arial"/>
                <w:szCs w:val="20"/>
              </w:rPr>
            </w:pPr>
            <w:r w:rsidRPr="004804C7">
              <w:rPr>
                <w:rFonts w:cs="Arial"/>
                <w:szCs w:val="20"/>
              </w:rPr>
              <w:t>1900–1920 MHz</w:t>
            </w:r>
          </w:p>
          <w:p w14:paraId="2FFB49DC" w14:textId="77777777" w:rsidR="00276ECF" w:rsidRPr="004804C7" w:rsidRDefault="00276ECF" w:rsidP="00276ECF">
            <w:pPr>
              <w:spacing w:after="120"/>
              <w:mirrorIndents/>
              <w:rPr>
                <w:rFonts w:cs="Arial"/>
                <w:szCs w:val="20"/>
              </w:rPr>
            </w:pPr>
            <w:r w:rsidRPr="004804C7">
              <w:rPr>
                <w:rFonts w:cs="Arial"/>
                <w:szCs w:val="20"/>
              </w:rPr>
              <w:t>3.3 GHz (3300–3400 MHz)</w:t>
            </w:r>
          </w:p>
          <w:p w14:paraId="564D3BB6" w14:textId="77777777" w:rsidR="00276ECF" w:rsidRPr="004804C7" w:rsidRDefault="00276ECF" w:rsidP="00276ECF">
            <w:pPr>
              <w:spacing w:after="120"/>
              <w:mirrorIndents/>
              <w:rPr>
                <w:rFonts w:cs="Arial"/>
                <w:szCs w:val="20"/>
              </w:rPr>
            </w:pPr>
            <w:r w:rsidRPr="004804C7">
              <w:rPr>
                <w:rFonts w:cs="Arial"/>
                <w:szCs w:val="20"/>
              </w:rPr>
              <w:t>4.5 GHz (4400–4500 MHz)</w:t>
            </w:r>
          </w:p>
          <w:p w14:paraId="772E5A04" w14:textId="77777777" w:rsidR="001B081A" w:rsidRDefault="00276ECF" w:rsidP="00276ECF">
            <w:pPr>
              <w:spacing w:after="120"/>
              <w:mirrorIndents/>
              <w:rPr>
                <w:rFonts w:cs="Arial"/>
                <w:szCs w:val="20"/>
              </w:rPr>
            </w:pPr>
            <w:r w:rsidRPr="004804C7">
              <w:rPr>
                <w:rFonts w:cs="Arial"/>
                <w:szCs w:val="20"/>
              </w:rPr>
              <w:t>4.8 GHz (4800–4990 MHz)</w:t>
            </w:r>
          </w:p>
          <w:p w14:paraId="6BF89732" w14:textId="4EDC42DF" w:rsidR="00276ECF" w:rsidRDefault="001B081A" w:rsidP="00276ECF">
            <w:pPr>
              <w:spacing w:after="120"/>
              <w:mirrorIndents/>
              <w:rPr>
                <w:rFonts w:cs="Arial"/>
                <w:szCs w:val="20"/>
              </w:rPr>
            </w:pPr>
            <w:r>
              <w:rPr>
                <w:rFonts w:cs="Arial"/>
                <w:szCs w:val="20"/>
              </w:rPr>
              <w:t>13 GHz</w:t>
            </w:r>
            <w:r w:rsidR="00276ECF" w:rsidRPr="004804C7">
              <w:rPr>
                <w:rFonts w:cs="Arial"/>
                <w:szCs w:val="20"/>
              </w:rPr>
              <w:t xml:space="preserve"> </w:t>
            </w:r>
          </w:p>
          <w:p w14:paraId="3ACD5073" w14:textId="17E14CEC" w:rsidR="00276ECF" w:rsidRPr="003730E3" w:rsidRDefault="00092298" w:rsidP="00276ECF">
            <w:pPr>
              <w:spacing w:after="120"/>
              <w:mirrorIndents/>
              <w:rPr>
                <w:rFonts w:cs="Arial"/>
                <w:szCs w:val="20"/>
              </w:rPr>
            </w:pPr>
            <w:r>
              <w:rPr>
                <w:rFonts w:cs="Arial"/>
                <w:szCs w:val="20"/>
              </w:rPr>
              <w:t>40 GHz (</w:t>
            </w:r>
            <w:r w:rsidR="00276ECF" w:rsidRPr="003730E3">
              <w:rPr>
                <w:rFonts w:cs="Arial"/>
                <w:szCs w:val="20"/>
              </w:rPr>
              <w:t>37</w:t>
            </w:r>
            <w:r w:rsidR="00701F67" w:rsidRPr="004804C7">
              <w:rPr>
                <w:rFonts w:cs="Arial"/>
                <w:szCs w:val="20"/>
              </w:rPr>
              <w:t>–</w:t>
            </w:r>
            <w:r w:rsidR="00276ECF" w:rsidRPr="003730E3">
              <w:rPr>
                <w:rFonts w:cs="Arial"/>
                <w:szCs w:val="20"/>
              </w:rPr>
              <w:t>43.5 GHz</w:t>
            </w:r>
            <w:r>
              <w:rPr>
                <w:rFonts w:cs="Arial"/>
                <w:szCs w:val="20"/>
              </w:rPr>
              <w:t>)</w:t>
            </w:r>
            <w:r w:rsidR="00276ECF" w:rsidRPr="003730E3">
              <w:rPr>
                <w:rFonts w:cs="Arial"/>
                <w:szCs w:val="20"/>
              </w:rPr>
              <w:t xml:space="preserve"> </w:t>
            </w:r>
          </w:p>
          <w:p w14:paraId="71942C35" w14:textId="3950AC03" w:rsidR="00276ECF" w:rsidRPr="003730E3" w:rsidRDefault="00092298" w:rsidP="00276ECF">
            <w:pPr>
              <w:spacing w:after="120"/>
              <w:mirrorIndents/>
              <w:rPr>
                <w:rFonts w:cs="Arial"/>
                <w:szCs w:val="20"/>
              </w:rPr>
            </w:pPr>
            <w:r>
              <w:rPr>
                <w:rFonts w:cs="Arial"/>
                <w:szCs w:val="20"/>
              </w:rPr>
              <w:t>46 GHz (</w:t>
            </w:r>
            <w:r w:rsidR="00276ECF" w:rsidRPr="003730E3">
              <w:rPr>
                <w:rFonts w:cs="Arial"/>
                <w:szCs w:val="20"/>
              </w:rPr>
              <w:t>45.5</w:t>
            </w:r>
            <w:r w:rsidR="00701F67" w:rsidRPr="004804C7">
              <w:rPr>
                <w:rFonts w:cs="Arial"/>
                <w:szCs w:val="20"/>
              </w:rPr>
              <w:t>–</w:t>
            </w:r>
            <w:r w:rsidR="00276ECF" w:rsidRPr="003730E3">
              <w:rPr>
                <w:rFonts w:cs="Arial"/>
                <w:szCs w:val="20"/>
              </w:rPr>
              <w:t>47 GHz</w:t>
            </w:r>
            <w:r>
              <w:rPr>
                <w:rFonts w:cs="Arial"/>
                <w:szCs w:val="20"/>
              </w:rPr>
              <w:t>)</w:t>
            </w:r>
            <w:r w:rsidR="00276ECF" w:rsidRPr="003730E3">
              <w:rPr>
                <w:rFonts w:cs="Arial"/>
                <w:szCs w:val="20"/>
              </w:rPr>
              <w:t xml:space="preserve"> </w:t>
            </w:r>
          </w:p>
          <w:p w14:paraId="5C70E4B0" w14:textId="66E3C45B" w:rsidR="00276ECF" w:rsidRPr="004804C7" w:rsidRDefault="004B3D09" w:rsidP="00276ECF">
            <w:pPr>
              <w:spacing w:after="120"/>
              <w:mirrorIndents/>
              <w:rPr>
                <w:rFonts w:cs="Arial"/>
                <w:szCs w:val="20"/>
              </w:rPr>
            </w:pPr>
            <w:r>
              <w:rPr>
                <w:rFonts w:cs="Arial"/>
                <w:szCs w:val="20"/>
              </w:rPr>
              <w:t>47 GHz (</w:t>
            </w:r>
            <w:r w:rsidR="00276ECF" w:rsidRPr="003730E3">
              <w:rPr>
                <w:rFonts w:cs="Arial"/>
                <w:szCs w:val="20"/>
              </w:rPr>
              <w:t>47.2</w:t>
            </w:r>
            <w:r w:rsidR="00701F67" w:rsidRPr="004804C7">
              <w:rPr>
                <w:rFonts w:cs="Arial"/>
                <w:szCs w:val="20"/>
              </w:rPr>
              <w:t>–</w:t>
            </w:r>
            <w:r w:rsidR="00276ECF" w:rsidRPr="003730E3">
              <w:rPr>
                <w:rFonts w:cs="Arial"/>
                <w:szCs w:val="20"/>
              </w:rPr>
              <w:t>48.2 GHz</w:t>
            </w:r>
            <w:r>
              <w:rPr>
                <w:rFonts w:cs="Arial"/>
                <w:szCs w:val="20"/>
              </w:rPr>
              <w:t>)</w:t>
            </w:r>
            <w:r w:rsidR="00276ECF" w:rsidRPr="003730E3">
              <w:rPr>
                <w:rFonts w:cs="Arial"/>
                <w:szCs w:val="20"/>
              </w:rPr>
              <w:t xml:space="preserve"> </w:t>
            </w:r>
          </w:p>
          <w:p w14:paraId="72022274" w14:textId="1B920923" w:rsidR="00276ECF" w:rsidRPr="004804C7" w:rsidRDefault="00276ECF" w:rsidP="00276ECF">
            <w:pPr>
              <w:spacing w:after="120"/>
              <w:mirrorIndents/>
              <w:rPr>
                <w:rFonts w:cs="Arial"/>
                <w:szCs w:val="20"/>
              </w:rPr>
            </w:pPr>
            <w:r w:rsidRPr="004804C7">
              <w:rPr>
                <w:rFonts w:cs="Arial"/>
                <w:szCs w:val="20"/>
              </w:rPr>
              <w:t>Bands studied under WRC-19 agenda item 1.16</w:t>
            </w:r>
          </w:p>
          <w:p w14:paraId="56F0B945" w14:textId="77777777" w:rsidR="00276ECF" w:rsidRDefault="00276ECF" w:rsidP="00276ECF">
            <w:pPr>
              <w:spacing w:after="120"/>
              <w:mirrorIndents/>
              <w:rPr>
                <w:rFonts w:cs="Arial"/>
                <w:szCs w:val="20"/>
              </w:rPr>
            </w:pPr>
            <w:r w:rsidRPr="004804C7">
              <w:rPr>
                <w:rFonts w:cs="Arial"/>
                <w:szCs w:val="20"/>
              </w:rPr>
              <w:t>Bands being studied under WRC-</w:t>
            </w:r>
            <w:r>
              <w:rPr>
                <w:rFonts w:cs="Arial"/>
                <w:szCs w:val="20"/>
              </w:rPr>
              <w:t>23</w:t>
            </w:r>
            <w:r w:rsidRPr="004804C7">
              <w:rPr>
                <w:rFonts w:cs="Arial"/>
                <w:szCs w:val="20"/>
              </w:rPr>
              <w:t xml:space="preserve"> agenda item 1.</w:t>
            </w:r>
            <w:r>
              <w:rPr>
                <w:rFonts w:cs="Arial"/>
                <w:szCs w:val="20"/>
              </w:rPr>
              <w:t>2</w:t>
            </w:r>
          </w:p>
          <w:p w14:paraId="6C007317" w14:textId="34375D81" w:rsidR="00276ECF" w:rsidRPr="004804C7" w:rsidRDefault="00276ECF" w:rsidP="00701F67">
            <w:pPr>
              <w:spacing w:after="0"/>
              <w:mirrorIndents/>
              <w:rPr>
                <w:rFonts w:cs="Arial"/>
                <w:szCs w:val="20"/>
              </w:rPr>
            </w:pPr>
            <w:r w:rsidRPr="00BD49AC">
              <w:rPr>
                <w:rFonts w:cs="Arial"/>
                <w:szCs w:val="20"/>
              </w:rPr>
              <w:t xml:space="preserve">Bands </w:t>
            </w:r>
            <w:r>
              <w:rPr>
                <w:rFonts w:cs="Arial"/>
                <w:szCs w:val="20"/>
              </w:rPr>
              <w:t xml:space="preserve">being </w:t>
            </w:r>
            <w:r w:rsidRPr="00BD49AC">
              <w:rPr>
                <w:rFonts w:cs="Arial"/>
                <w:szCs w:val="20"/>
              </w:rPr>
              <w:t>studied under WRC-23 agenda item 1.4</w:t>
            </w:r>
          </w:p>
        </w:tc>
        <w:tc>
          <w:tcPr>
            <w:tcW w:w="2091" w:type="pct"/>
            <w:shd w:val="clear" w:color="auto" w:fill="auto"/>
          </w:tcPr>
          <w:p w14:paraId="684C3031" w14:textId="77777777" w:rsidR="00276ECF" w:rsidRPr="004804C7" w:rsidRDefault="00276ECF" w:rsidP="00276ECF">
            <w:pPr>
              <w:spacing w:before="100" w:beforeAutospacing="1" w:after="100" w:afterAutospacing="1"/>
              <w:contextualSpacing/>
              <w:mirrorIndents/>
              <w:rPr>
                <w:rFonts w:cs="Arial"/>
                <w:szCs w:val="20"/>
              </w:rPr>
            </w:pPr>
            <w:r w:rsidRPr="004804C7">
              <w:rPr>
                <w:rFonts w:cs="Arial"/>
                <w:szCs w:val="20"/>
              </w:rPr>
              <w:t>Continue to monitor domestic and international developments in these bands to identify usage trends</w:t>
            </w:r>
          </w:p>
        </w:tc>
      </w:tr>
      <w:tr w:rsidR="00276ECF" w:rsidRPr="004804C7" w14:paraId="0816C6AD" w14:textId="77777777" w:rsidTr="0010018E">
        <w:trPr>
          <w:trHeight w:val="424"/>
        </w:trPr>
        <w:tc>
          <w:tcPr>
            <w:tcW w:w="1187" w:type="pct"/>
            <w:vMerge w:val="restart"/>
            <w:shd w:val="clear" w:color="auto" w:fill="F2F2F2" w:themeFill="background1" w:themeFillShade="F2"/>
          </w:tcPr>
          <w:p w14:paraId="6BF6180E" w14:textId="5FE3738D" w:rsidR="00276ECF" w:rsidRPr="00513FDE" w:rsidRDefault="004234AE" w:rsidP="00276ECF">
            <w:pPr>
              <w:spacing w:before="100" w:beforeAutospacing="1" w:after="100" w:afterAutospacing="1"/>
              <w:contextualSpacing/>
              <w:mirrorIndents/>
              <w:rPr>
                <w:rFonts w:cs="Arial"/>
                <w:b/>
                <w:bCs/>
                <w:szCs w:val="20"/>
              </w:rPr>
            </w:pPr>
            <w:r w:rsidRPr="00513FDE">
              <w:rPr>
                <w:rFonts w:cs="Arial"/>
                <w:b/>
                <w:bCs/>
                <w:szCs w:val="20"/>
              </w:rPr>
              <w:t>Initial investigation</w:t>
            </w:r>
          </w:p>
        </w:tc>
        <w:tc>
          <w:tcPr>
            <w:tcW w:w="1722" w:type="pct"/>
            <w:shd w:val="clear" w:color="auto" w:fill="F2F2F2" w:themeFill="background1" w:themeFillShade="F2"/>
          </w:tcPr>
          <w:p w14:paraId="5B05C479" w14:textId="33C83FB7" w:rsidR="00276ECF" w:rsidRPr="004804C7" w:rsidRDefault="001B081A" w:rsidP="00701F67">
            <w:pPr>
              <w:spacing w:after="0"/>
              <w:mirrorIndents/>
              <w:rPr>
                <w:rFonts w:cs="Arial"/>
                <w:szCs w:val="20"/>
              </w:rPr>
            </w:pPr>
            <w:r>
              <w:rPr>
                <w:rFonts w:cs="Arial"/>
                <w:szCs w:val="20"/>
              </w:rPr>
              <w:t>‘</w:t>
            </w:r>
            <w:r w:rsidRPr="001B081A">
              <w:rPr>
                <w:rFonts w:cs="Arial"/>
                <w:szCs w:val="20"/>
              </w:rPr>
              <w:t>Extended MSS L-band’ (1518–1525 MHz and 1668–1675 MHz)</w:t>
            </w:r>
          </w:p>
        </w:tc>
        <w:tc>
          <w:tcPr>
            <w:tcW w:w="2091" w:type="pct"/>
            <w:shd w:val="clear" w:color="auto" w:fill="F2F2F2" w:themeFill="background1" w:themeFillShade="F2"/>
          </w:tcPr>
          <w:p w14:paraId="074F4BAC" w14:textId="575FA6A0" w:rsidR="00276ECF" w:rsidRPr="004804C7" w:rsidRDefault="00787FBE" w:rsidP="00C14DAE">
            <w:pPr>
              <w:spacing w:after="0" w:line="240" w:lineRule="auto"/>
              <w:rPr>
                <w:rFonts w:cs="Arial"/>
                <w:szCs w:val="20"/>
              </w:rPr>
            </w:pPr>
            <w:r>
              <w:rPr>
                <w:rFonts w:cs="Arial"/>
                <w:szCs w:val="20"/>
              </w:rPr>
              <w:t xml:space="preserve">Likely </w:t>
            </w:r>
            <w:r w:rsidRPr="00787FBE">
              <w:rPr>
                <w:rFonts w:cs="Arial"/>
                <w:szCs w:val="20"/>
              </w:rPr>
              <w:t xml:space="preserve">simultaneous review of the extended </w:t>
            </w:r>
            <w:r w:rsidRPr="00C14DAE">
              <w:t>MSS</w:t>
            </w:r>
            <w:r w:rsidRPr="00787FBE">
              <w:rPr>
                <w:rFonts w:cs="Arial"/>
                <w:szCs w:val="20"/>
              </w:rPr>
              <w:t xml:space="preserve"> L-band and the 1.5 GHz bands </w:t>
            </w:r>
          </w:p>
        </w:tc>
      </w:tr>
      <w:tr w:rsidR="001B081A" w:rsidRPr="004804C7" w14:paraId="04F1B234" w14:textId="77777777" w:rsidTr="0010018E">
        <w:trPr>
          <w:trHeight w:val="424"/>
        </w:trPr>
        <w:tc>
          <w:tcPr>
            <w:tcW w:w="1187" w:type="pct"/>
            <w:vMerge/>
            <w:shd w:val="clear" w:color="auto" w:fill="F2F2F2" w:themeFill="background1" w:themeFillShade="F2"/>
          </w:tcPr>
          <w:p w14:paraId="16052F42" w14:textId="77777777" w:rsidR="001B081A" w:rsidRPr="004804C7" w:rsidRDefault="001B081A" w:rsidP="00276ECF">
            <w:pPr>
              <w:spacing w:before="100" w:beforeAutospacing="1" w:after="100" w:afterAutospacing="1"/>
              <w:contextualSpacing/>
              <w:mirrorIndents/>
              <w:rPr>
                <w:rFonts w:cs="Arial"/>
                <w:szCs w:val="20"/>
              </w:rPr>
            </w:pPr>
          </w:p>
        </w:tc>
        <w:tc>
          <w:tcPr>
            <w:tcW w:w="1722" w:type="pct"/>
            <w:shd w:val="clear" w:color="auto" w:fill="F2F2F2" w:themeFill="background1" w:themeFillShade="F2"/>
          </w:tcPr>
          <w:p w14:paraId="5FF2A20F" w14:textId="67F4B043" w:rsidR="001B081A" w:rsidRDefault="003A1D80" w:rsidP="00701F67">
            <w:pPr>
              <w:spacing w:after="0"/>
              <w:mirrorIndents/>
              <w:rPr>
                <w:rFonts w:cs="Arial"/>
                <w:szCs w:val="20"/>
              </w:rPr>
            </w:pPr>
            <w:r>
              <w:rPr>
                <w:rFonts w:cs="Arial"/>
                <w:szCs w:val="20"/>
              </w:rPr>
              <w:t>2300</w:t>
            </w:r>
            <w:r w:rsidRPr="004804C7">
              <w:rPr>
                <w:rFonts w:cs="Arial"/>
                <w:szCs w:val="20"/>
              </w:rPr>
              <w:t>–</w:t>
            </w:r>
            <w:r>
              <w:rPr>
                <w:rFonts w:cs="Arial"/>
                <w:szCs w:val="20"/>
              </w:rPr>
              <w:t>2302 MHz</w:t>
            </w:r>
          </w:p>
        </w:tc>
        <w:tc>
          <w:tcPr>
            <w:tcW w:w="2091" w:type="pct"/>
            <w:shd w:val="clear" w:color="auto" w:fill="F2F2F2" w:themeFill="background1" w:themeFillShade="F2"/>
          </w:tcPr>
          <w:p w14:paraId="7A40044B" w14:textId="12CFCA6A" w:rsidR="001B081A" w:rsidRPr="004804C7" w:rsidRDefault="00397054" w:rsidP="00C14DAE">
            <w:pPr>
              <w:spacing w:after="0" w:line="240" w:lineRule="auto"/>
              <w:rPr>
                <w:rFonts w:cs="Arial"/>
                <w:szCs w:val="20"/>
              </w:rPr>
            </w:pPr>
            <w:r w:rsidRPr="00397054">
              <w:t xml:space="preserve">Q4 2020: Following completion of </w:t>
            </w:r>
            <w:r w:rsidR="00A43F6E">
              <w:t xml:space="preserve">Technical Liaison Group (TLG) </w:t>
            </w:r>
            <w:r w:rsidRPr="00397054">
              <w:t xml:space="preserve">process, </w:t>
            </w:r>
            <w:r w:rsidR="00701F67">
              <w:t>c</w:t>
            </w:r>
            <w:r w:rsidRPr="00397054">
              <w:t xml:space="preserve">onsultation on </w:t>
            </w:r>
            <w:r w:rsidR="00C17E8C">
              <w:t>possible</w:t>
            </w:r>
            <w:r w:rsidR="00C17E8C" w:rsidRPr="00397054">
              <w:t xml:space="preserve"> </w:t>
            </w:r>
            <w:r w:rsidRPr="00397054">
              <w:t>changes to support 5G</w:t>
            </w:r>
          </w:p>
        </w:tc>
      </w:tr>
      <w:tr w:rsidR="00276ECF" w:rsidRPr="004804C7" w14:paraId="46063E0F" w14:textId="77777777" w:rsidTr="002A31A0">
        <w:trPr>
          <w:trHeight w:val="374"/>
        </w:trPr>
        <w:tc>
          <w:tcPr>
            <w:tcW w:w="1187" w:type="pct"/>
            <w:vMerge w:val="restart"/>
            <w:shd w:val="clear" w:color="auto" w:fill="auto"/>
          </w:tcPr>
          <w:p w14:paraId="6CD08F5F" w14:textId="199C61D2" w:rsidR="00276ECF" w:rsidRPr="00513FDE" w:rsidRDefault="00276ECF" w:rsidP="00276ECF">
            <w:pPr>
              <w:spacing w:before="100" w:beforeAutospacing="1" w:after="100" w:afterAutospacing="1"/>
              <w:contextualSpacing/>
              <w:mirrorIndents/>
              <w:rPr>
                <w:rFonts w:cs="Arial"/>
                <w:b/>
                <w:bCs/>
                <w:szCs w:val="20"/>
              </w:rPr>
            </w:pPr>
            <w:r w:rsidRPr="00513FDE">
              <w:rPr>
                <w:rFonts w:cs="Arial"/>
                <w:b/>
                <w:bCs/>
                <w:szCs w:val="20"/>
              </w:rPr>
              <w:lastRenderedPageBreak/>
              <w:t>Preliminary replanning</w:t>
            </w:r>
          </w:p>
        </w:tc>
        <w:tc>
          <w:tcPr>
            <w:tcW w:w="1722" w:type="pct"/>
            <w:shd w:val="clear" w:color="auto" w:fill="auto"/>
          </w:tcPr>
          <w:p w14:paraId="18191604" w14:textId="7DD3006F" w:rsidR="00276ECF" w:rsidRPr="004804C7" w:rsidRDefault="00103E2B" w:rsidP="00276ECF">
            <w:pPr>
              <w:spacing w:after="0" w:line="240" w:lineRule="auto"/>
            </w:pPr>
            <w:r>
              <w:t>1.5 GHz</w:t>
            </w:r>
          </w:p>
        </w:tc>
        <w:tc>
          <w:tcPr>
            <w:tcW w:w="2091" w:type="pct"/>
            <w:shd w:val="clear" w:color="auto" w:fill="auto"/>
          </w:tcPr>
          <w:p w14:paraId="156E5D84" w14:textId="3310B572" w:rsidR="00276ECF" w:rsidRPr="004804C7" w:rsidRDefault="005E2EA0" w:rsidP="005E2EA0">
            <w:pPr>
              <w:spacing w:after="0" w:line="240" w:lineRule="auto"/>
            </w:pPr>
            <w:r>
              <w:t>To be determined</w:t>
            </w:r>
          </w:p>
        </w:tc>
      </w:tr>
      <w:tr w:rsidR="00276ECF" w:rsidRPr="004804C7" w14:paraId="3252EC24" w14:textId="77777777" w:rsidTr="002A31A0">
        <w:trPr>
          <w:trHeight w:val="353"/>
        </w:trPr>
        <w:tc>
          <w:tcPr>
            <w:tcW w:w="1187" w:type="pct"/>
            <w:vMerge/>
            <w:shd w:val="clear" w:color="auto" w:fill="auto"/>
          </w:tcPr>
          <w:p w14:paraId="7887AC9F" w14:textId="77777777" w:rsidR="00276ECF" w:rsidRPr="00513FDE" w:rsidRDefault="00276ECF" w:rsidP="00276ECF">
            <w:pPr>
              <w:spacing w:before="100" w:beforeAutospacing="1" w:after="100" w:afterAutospacing="1"/>
              <w:contextualSpacing/>
              <w:mirrorIndents/>
              <w:rPr>
                <w:rFonts w:cs="Arial"/>
                <w:b/>
                <w:bCs/>
                <w:szCs w:val="20"/>
              </w:rPr>
            </w:pPr>
          </w:p>
        </w:tc>
        <w:tc>
          <w:tcPr>
            <w:tcW w:w="1722" w:type="pct"/>
            <w:shd w:val="clear" w:color="auto" w:fill="auto"/>
          </w:tcPr>
          <w:p w14:paraId="07F6548A" w14:textId="3F6FC1F4" w:rsidR="00276ECF" w:rsidRPr="004804C7" w:rsidRDefault="00F419EC" w:rsidP="00276ECF">
            <w:pPr>
              <w:spacing w:after="0" w:line="240" w:lineRule="auto"/>
            </w:pPr>
            <w:r w:rsidRPr="004804C7">
              <w:rPr>
                <w:rFonts w:cs="Arial"/>
                <w:szCs w:val="20"/>
              </w:rPr>
              <w:t>2 GHz (1980–2010 MHz and 2170–2200 MHz)</w:t>
            </w:r>
          </w:p>
        </w:tc>
        <w:tc>
          <w:tcPr>
            <w:tcW w:w="2091" w:type="pct"/>
            <w:shd w:val="clear" w:color="auto" w:fill="auto"/>
          </w:tcPr>
          <w:p w14:paraId="0A145420" w14:textId="2531D00D" w:rsidR="00F419EC" w:rsidRPr="00103E2B" w:rsidRDefault="00F419EC" w:rsidP="00513FDE">
            <w:pPr>
              <w:spacing w:after="120" w:line="240" w:lineRule="auto"/>
            </w:pPr>
            <w:r w:rsidRPr="00FC330D">
              <w:t>Q2</w:t>
            </w:r>
            <w:r w:rsidR="00701F67">
              <w:t>–</w:t>
            </w:r>
            <w:r>
              <w:t>3</w:t>
            </w:r>
            <w:r w:rsidRPr="00FC330D">
              <w:t xml:space="preserve"> 2020:</w:t>
            </w:r>
            <w:r w:rsidRPr="00103E2B">
              <w:t xml:space="preserve"> Options </w:t>
            </w:r>
            <w:r w:rsidR="00701F67">
              <w:t>p</w:t>
            </w:r>
            <w:r w:rsidRPr="00103E2B">
              <w:t>aper</w:t>
            </w:r>
          </w:p>
          <w:p w14:paraId="1015E084" w14:textId="48EC0593" w:rsidR="00276ECF" w:rsidRPr="004804C7" w:rsidRDefault="00F419EC" w:rsidP="00103E2B">
            <w:pPr>
              <w:spacing w:after="0" w:line="240" w:lineRule="auto"/>
            </w:pPr>
            <w:r w:rsidRPr="00103E2B">
              <w:t>Q</w:t>
            </w:r>
            <w:r>
              <w:t>4</w:t>
            </w:r>
            <w:r w:rsidRPr="00103E2B">
              <w:t xml:space="preserve"> 202</w:t>
            </w:r>
            <w:r>
              <w:t>0</w:t>
            </w:r>
            <w:r w:rsidRPr="00103E2B">
              <w:t>: Planning decision paper</w:t>
            </w:r>
          </w:p>
        </w:tc>
      </w:tr>
      <w:tr w:rsidR="00F419EC" w:rsidRPr="004804C7" w14:paraId="6010E13A" w14:textId="77777777" w:rsidTr="002A31A0">
        <w:trPr>
          <w:trHeight w:val="353"/>
        </w:trPr>
        <w:tc>
          <w:tcPr>
            <w:tcW w:w="1187" w:type="pct"/>
            <w:vMerge/>
            <w:shd w:val="clear" w:color="auto" w:fill="auto"/>
          </w:tcPr>
          <w:p w14:paraId="542D97BE" w14:textId="77777777" w:rsidR="00F419EC" w:rsidRPr="00513FDE" w:rsidRDefault="00F419EC" w:rsidP="00F419EC">
            <w:pPr>
              <w:spacing w:before="100" w:beforeAutospacing="1" w:after="100" w:afterAutospacing="1"/>
              <w:contextualSpacing/>
              <w:mirrorIndents/>
              <w:rPr>
                <w:rFonts w:cs="Arial"/>
                <w:b/>
                <w:bCs/>
                <w:szCs w:val="20"/>
              </w:rPr>
            </w:pPr>
          </w:p>
        </w:tc>
        <w:tc>
          <w:tcPr>
            <w:tcW w:w="1722" w:type="pct"/>
            <w:shd w:val="clear" w:color="auto" w:fill="auto"/>
          </w:tcPr>
          <w:p w14:paraId="742323BF" w14:textId="4314203E" w:rsidR="00F419EC" w:rsidRPr="004804C7" w:rsidRDefault="00F419EC" w:rsidP="00F419EC">
            <w:pPr>
              <w:spacing w:after="0" w:line="240" w:lineRule="auto"/>
              <w:rPr>
                <w:rFonts w:cs="Arial"/>
                <w:szCs w:val="20"/>
              </w:rPr>
            </w:pPr>
            <w:r w:rsidRPr="004804C7">
              <w:rPr>
                <w:rFonts w:cs="Arial"/>
                <w:szCs w:val="20"/>
              </w:rPr>
              <w:t>3700–4200 MHz</w:t>
            </w:r>
          </w:p>
        </w:tc>
        <w:tc>
          <w:tcPr>
            <w:tcW w:w="2091" w:type="pct"/>
            <w:shd w:val="clear" w:color="auto" w:fill="auto"/>
          </w:tcPr>
          <w:p w14:paraId="64F7737B" w14:textId="33703071" w:rsidR="00F419EC" w:rsidRPr="00103E2B" w:rsidRDefault="00F419EC" w:rsidP="00513FDE">
            <w:pPr>
              <w:spacing w:after="120" w:line="240" w:lineRule="auto"/>
            </w:pPr>
            <w:r w:rsidRPr="00FC330D">
              <w:t>Q2</w:t>
            </w:r>
            <w:r w:rsidR="00701F67">
              <w:t>–</w:t>
            </w:r>
            <w:r>
              <w:t>3</w:t>
            </w:r>
            <w:r w:rsidRPr="00FC330D">
              <w:t xml:space="preserve"> 2020:</w:t>
            </w:r>
            <w:r w:rsidRPr="00103E2B">
              <w:t xml:space="preserve"> Options </w:t>
            </w:r>
            <w:r w:rsidR="00701F67">
              <w:t>p</w:t>
            </w:r>
            <w:r w:rsidRPr="00103E2B">
              <w:t>aper</w:t>
            </w:r>
          </w:p>
          <w:p w14:paraId="031F3A6C" w14:textId="04161479" w:rsidR="00F419EC" w:rsidRPr="00FC330D" w:rsidRDefault="00F419EC" w:rsidP="00F419EC">
            <w:pPr>
              <w:spacing w:after="0" w:line="240" w:lineRule="auto"/>
            </w:pPr>
            <w:r w:rsidRPr="00103E2B">
              <w:t>Q4 2020:</w:t>
            </w:r>
            <w:r w:rsidRPr="004804C7">
              <w:t xml:space="preserve"> </w:t>
            </w:r>
            <w:r>
              <w:t>Planning decision paper</w:t>
            </w:r>
          </w:p>
        </w:tc>
      </w:tr>
      <w:tr w:rsidR="002A31A0" w:rsidRPr="004804C7" w14:paraId="5B68A8D5" w14:textId="77777777" w:rsidTr="0010018E">
        <w:trPr>
          <w:trHeight w:val="981"/>
        </w:trPr>
        <w:tc>
          <w:tcPr>
            <w:tcW w:w="1187" w:type="pct"/>
            <w:vMerge w:val="restart"/>
            <w:shd w:val="clear" w:color="auto" w:fill="F2F2F2" w:themeFill="background1" w:themeFillShade="F2"/>
          </w:tcPr>
          <w:p w14:paraId="711109EB" w14:textId="77777777" w:rsidR="002A31A0" w:rsidRPr="00513FDE" w:rsidRDefault="002A31A0" w:rsidP="002A31A0">
            <w:pPr>
              <w:spacing w:before="100" w:beforeAutospacing="1" w:after="100" w:afterAutospacing="1"/>
              <w:contextualSpacing/>
              <w:mirrorIndents/>
              <w:rPr>
                <w:rFonts w:cs="Arial"/>
                <w:b/>
                <w:bCs/>
                <w:szCs w:val="20"/>
              </w:rPr>
            </w:pPr>
            <w:r w:rsidRPr="00513FDE">
              <w:rPr>
                <w:rFonts w:cs="Arial"/>
                <w:b/>
                <w:bCs/>
                <w:szCs w:val="20"/>
              </w:rPr>
              <w:t>Replanning</w:t>
            </w:r>
          </w:p>
        </w:tc>
        <w:tc>
          <w:tcPr>
            <w:tcW w:w="1722" w:type="pct"/>
            <w:shd w:val="clear" w:color="auto" w:fill="F2F2F2" w:themeFill="background1" w:themeFillShade="F2"/>
          </w:tcPr>
          <w:p w14:paraId="35B68232" w14:textId="77777777" w:rsidR="002A31A0" w:rsidRPr="004804C7" w:rsidRDefault="002A31A0" w:rsidP="002A31A0">
            <w:pPr>
              <w:spacing w:after="0" w:line="240" w:lineRule="auto"/>
            </w:pPr>
            <w:r w:rsidRPr="004804C7">
              <w:t>850 MHz expansion band (809–824 MHz and 854–869 MHz)</w:t>
            </w:r>
          </w:p>
        </w:tc>
        <w:tc>
          <w:tcPr>
            <w:tcW w:w="2091" w:type="pct"/>
            <w:shd w:val="clear" w:color="auto" w:fill="F2F2F2" w:themeFill="background1" w:themeFillShade="F2"/>
          </w:tcPr>
          <w:p w14:paraId="35AD7B87" w14:textId="6350E160" w:rsidR="002A31A0" w:rsidRPr="004804C7" w:rsidRDefault="002A31A0" w:rsidP="002A31A0">
            <w:pPr>
              <w:spacing w:after="0" w:line="240" w:lineRule="auto"/>
            </w:pPr>
            <w:r w:rsidRPr="004804C7">
              <w:t xml:space="preserve">Band is being cleared progressively. </w:t>
            </w:r>
            <w:r w:rsidR="00A7210B">
              <w:t>We</w:t>
            </w:r>
            <w:r w:rsidRPr="004804C7">
              <w:t xml:space="preserve"> continue to consider options for optimising its use. Allocation timeframes are tied to those of the 900 MHz band </w:t>
            </w:r>
          </w:p>
        </w:tc>
      </w:tr>
      <w:tr w:rsidR="002A31A0" w:rsidRPr="004804C7" w14:paraId="2C1C7401" w14:textId="77777777" w:rsidTr="0010018E">
        <w:trPr>
          <w:trHeight w:val="735"/>
        </w:trPr>
        <w:tc>
          <w:tcPr>
            <w:tcW w:w="1187" w:type="pct"/>
            <w:vMerge/>
            <w:shd w:val="clear" w:color="auto" w:fill="F2F2F2" w:themeFill="background1" w:themeFillShade="F2"/>
          </w:tcPr>
          <w:p w14:paraId="5921D575" w14:textId="77777777" w:rsidR="002A31A0" w:rsidRPr="004804C7" w:rsidRDefault="002A31A0" w:rsidP="002A31A0">
            <w:pPr>
              <w:spacing w:before="100" w:beforeAutospacing="1" w:after="100" w:afterAutospacing="1"/>
              <w:contextualSpacing/>
              <w:mirrorIndents/>
              <w:rPr>
                <w:rFonts w:cs="Arial"/>
                <w:szCs w:val="20"/>
              </w:rPr>
            </w:pPr>
            <w:bookmarkStart w:id="34" w:name="_Hlk34118877"/>
          </w:p>
        </w:tc>
        <w:tc>
          <w:tcPr>
            <w:tcW w:w="1722" w:type="pct"/>
            <w:shd w:val="clear" w:color="auto" w:fill="F2F2F2" w:themeFill="background1" w:themeFillShade="F2"/>
          </w:tcPr>
          <w:p w14:paraId="0206E0CB" w14:textId="766F1E0F" w:rsidR="002A31A0" w:rsidRPr="004804C7" w:rsidRDefault="002A31A0" w:rsidP="002A31A0">
            <w:pPr>
              <w:spacing w:after="0" w:line="240" w:lineRule="auto"/>
            </w:pPr>
            <w:r w:rsidRPr="008841D0">
              <w:t>900 MHz (890–915 MHz and 935–960 MHz)</w:t>
            </w:r>
          </w:p>
        </w:tc>
        <w:tc>
          <w:tcPr>
            <w:tcW w:w="2091" w:type="pct"/>
            <w:shd w:val="clear" w:color="auto" w:fill="F2F2F2" w:themeFill="background1" w:themeFillShade="F2"/>
          </w:tcPr>
          <w:p w14:paraId="5CEA85D0" w14:textId="2E772633" w:rsidR="002A31A0" w:rsidRPr="004804C7" w:rsidRDefault="002A31A0" w:rsidP="002A31A0">
            <w:pPr>
              <w:spacing w:after="0" w:line="240" w:lineRule="auto"/>
            </w:pPr>
            <w:r w:rsidRPr="00752AA8">
              <w:t>Allocation timeframes are tied to those of the 850 MHz expansion band</w:t>
            </w:r>
          </w:p>
        </w:tc>
      </w:tr>
      <w:bookmarkEnd w:id="34"/>
      <w:tr w:rsidR="002A31A0" w:rsidRPr="004804C7" w14:paraId="614AC6CA" w14:textId="77777777" w:rsidTr="0010018E">
        <w:trPr>
          <w:trHeight w:val="735"/>
        </w:trPr>
        <w:tc>
          <w:tcPr>
            <w:tcW w:w="1187" w:type="pct"/>
            <w:vMerge/>
            <w:shd w:val="clear" w:color="auto" w:fill="F2F2F2" w:themeFill="background1" w:themeFillShade="F2"/>
          </w:tcPr>
          <w:p w14:paraId="5A9B0302" w14:textId="77777777" w:rsidR="002A31A0" w:rsidRPr="004804C7" w:rsidRDefault="002A31A0" w:rsidP="002A31A0">
            <w:pPr>
              <w:spacing w:before="100" w:beforeAutospacing="1" w:after="100" w:afterAutospacing="1"/>
              <w:contextualSpacing/>
              <w:mirrorIndents/>
              <w:rPr>
                <w:rFonts w:cs="Arial"/>
                <w:szCs w:val="20"/>
              </w:rPr>
            </w:pPr>
          </w:p>
        </w:tc>
        <w:tc>
          <w:tcPr>
            <w:tcW w:w="1722" w:type="pct"/>
            <w:shd w:val="clear" w:color="auto" w:fill="F2F2F2" w:themeFill="background1" w:themeFillShade="F2"/>
          </w:tcPr>
          <w:p w14:paraId="07CF49DC" w14:textId="53C92CBF" w:rsidR="002A31A0" w:rsidRPr="004804C7" w:rsidRDefault="002A31A0" w:rsidP="002A31A0">
            <w:pPr>
              <w:spacing w:after="0" w:line="240" w:lineRule="auto"/>
            </w:pPr>
            <w:r w:rsidRPr="0066605D">
              <w:t>1800 MHz (1710–1785 MHz and1805–1880 MHz) in remote areas</w:t>
            </w:r>
          </w:p>
        </w:tc>
        <w:tc>
          <w:tcPr>
            <w:tcW w:w="2091" w:type="pct"/>
            <w:shd w:val="clear" w:color="auto" w:fill="F2F2F2" w:themeFill="background1" w:themeFillShade="F2"/>
          </w:tcPr>
          <w:p w14:paraId="36512024" w14:textId="4257F9B0" w:rsidR="002A31A0" w:rsidRPr="004804C7" w:rsidRDefault="00F419EC" w:rsidP="002A31A0">
            <w:pPr>
              <w:spacing w:after="0" w:line="240" w:lineRule="auto"/>
            </w:pPr>
            <w:bookmarkStart w:id="35" w:name="_Hlk34664496"/>
            <w:r w:rsidRPr="00C80B90">
              <w:t>Q2</w:t>
            </w:r>
            <w:r w:rsidR="00701F67">
              <w:t>–</w:t>
            </w:r>
            <w:r>
              <w:t>3</w:t>
            </w:r>
            <w:r w:rsidRPr="00C80B90">
              <w:t xml:space="preserve"> 2020</w:t>
            </w:r>
            <w:r w:rsidR="00701F67">
              <w:t>:</w:t>
            </w:r>
            <w:r w:rsidRPr="0066605D">
              <w:t xml:space="preserve"> </w:t>
            </w:r>
            <w:r w:rsidR="00701F67">
              <w:t>D</w:t>
            </w:r>
            <w:r w:rsidRPr="0066605D">
              <w:t xml:space="preserve">iscussion paper </w:t>
            </w:r>
            <w:bookmarkEnd w:id="35"/>
          </w:p>
        </w:tc>
      </w:tr>
      <w:tr w:rsidR="002A31A0" w:rsidRPr="004804C7" w14:paraId="32B5F4BD" w14:textId="77777777" w:rsidTr="0010018E">
        <w:trPr>
          <w:trHeight w:val="735"/>
        </w:trPr>
        <w:tc>
          <w:tcPr>
            <w:tcW w:w="1187" w:type="pct"/>
            <w:vMerge/>
            <w:shd w:val="clear" w:color="auto" w:fill="F2F2F2" w:themeFill="background1" w:themeFillShade="F2"/>
          </w:tcPr>
          <w:p w14:paraId="0CB918B0" w14:textId="77777777" w:rsidR="002A31A0" w:rsidRPr="004804C7" w:rsidRDefault="002A31A0" w:rsidP="002A31A0">
            <w:pPr>
              <w:spacing w:before="100" w:beforeAutospacing="1" w:after="100" w:afterAutospacing="1"/>
              <w:contextualSpacing/>
              <w:mirrorIndents/>
              <w:rPr>
                <w:rFonts w:cs="Arial"/>
                <w:szCs w:val="20"/>
              </w:rPr>
            </w:pPr>
          </w:p>
        </w:tc>
        <w:tc>
          <w:tcPr>
            <w:tcW w:w="1722" w:type="pct"/>
            <w:shd w:val="clear" w:color="auto" w:fill="F2F2F2" w:themeFill="background1" w:themeFillShade="F2"/>
          </w:tcPr>
          <w:p w14:paraId="4834A169" w14:textId="77777777" w:rsidR="002A31A0" w:rsidRDefault="002A31A0" w:rsidP="002A31A0">
            <w:pPr>
              <w:spacing w:after="0" w:line="240" w:lineRule="auto"/>
            </w:pPr>
            <w:bookmarkStart w:id="36" w:name="_Hlk34215575"/>
            <w:r w:rsidRPr="0066605D">
              <w:t>3400–3575 MHz</w:t>
            </w:r>
          </w:p>
          <w:bookmarkEnd w:id="36"/>
          <w:p w14:paraId="33F4E198" w14:textId="7FBE7252" w:rsidR="002A31A0" w:rsidRPr="004804C7" w:rsidRDefault="002A31A0" w:rsidP="002A31A0">
            <w:pPr>
              <w:spacing w:after="0" w:line="240" w:lineRule="auto"/>
            </w:pPr>
          </w:p>
        </w:tc>
        <w:tc>
          <w:tcPr>
            <w:tcW w:w="2091" w:type="pct"/>
            <w:shd w:val="clear" w:color="auto" w:fill="F2F2F2" w:themeFill="background1" w:themeFillShade="F2"/>
          </w:tcPr>
          <w:p w14:paraId="3F35A48C" w14:textId="102FA6E0" w:rsidR="00FC46BF" w:rsidRDefault="002A31A0" w:rsidP="00513FDE">
            <w:pPr>
              <w:pStyle w:val="TableBody"/>
              <w:spacing w:after="120"/>
            </w:pPr>
            <w:r>
              <w:t>Q3</w:t>
            </w:r>
            <w:r w:rsidR="00701F67">
              <w:t>–</w:t>
            </w:r>
            <w:r>
              <w:t xml:space="preserve">4 2020: Finalise restack of incumbent services </w:t>
            </w:r>
          </w:p>
          <w:p w14:paraId="13C22534" w14:textId="66AB3D95" w:rsidR="00FC46BF" w:rsidRDefault="002A31A0" w:rsidP="00513FDE">
            <w:pPr>
              <w:pStyle w:val="TableBody"/>
              <w:spacing w:before="60" w:after="120"/>
            </w:pPr>
            <w:bookmarkStart w:id="37" w:name="_Hlk34215472"/>
            <w:r>
              <w:t>Q2</w:t>
            </w:r>
            <w:r w:rsidR="00701F67">
              <w:t>–</w:t>
            </w:r>
            <w:r>
              <w:t>3 2020: Consultation on point-to-multipoint apparatus licence arrangements in regional and remote areas</w:t>
            </w:r>
            <w:bookmarkEnd w:id="37"/>
          </w:p>
          <w:p w14:paraId="027918A8" w14:textId="52666C8C" w:rsidR="002A31A0" w:rsidRDefault="002A31A0" w:rsidP="002A31A0">
            <w:pPr>
              <w:pStyle w:val="TableBody"/>
              <w:spacing w:before="60"/>
            </w:pPr>
            <w:r>
              <w:t>Q4 2020</w:t>
            </w:r>
            <w:r w:rsidR="00701F67">
              <w:t xml:space="preserve"> – </w:t>
            </w:r>
            <w:r>
              <w:t>Q2 2021:</w:t>
            </w:r>
          </w:p>
          <w:p w14:paraId="547F4CE6" w14:textId="11C1705F" w:rsidR="002A31A0" w:rsidRPr="004804C7" w:rsidRDefault="00B50B67" w:rsidP="002A31A0">
            <w:pPr>
              <w:spacing w:after="0" w:line="240" w:lineRule="auto"/>
            </w:pPr>
            <w:r>
              <w:t>If</w:t>
            </w:r>
            <w:r w:rsidR="002A31A0">
              <w:t xml:space="preserve"> the Minister make</w:t>
            </w:r>
            <w:r>
              <w:t>s a decision to designate spectrum</w:t>
            </w:r>
            <w:r w:rsidR="002A31A0">
              <w:t>, conduct activities to convert NBN Co’s apparatus licences to spectrum licences</w:t>
            </w:r>
          </w:p>
        </w:tc>
      </w:tr>
      <w:tr w:rsidR="002A31A0" w:rsidRPr="004804C7" w14:paraId="02389ADE" w14:textId="77777777" w:rsidTr="0010018E">
        <w:trPr>
          <w:trHeight w:val="559"/>
        </w:trPr>
        <w:tc>
          <w:tcPr>
            <w:tcW w:w="1187" w:type="pct"/>
            <w:vMerge/>
            <w:shd w:val="clear" w:color="auto" w:fill="F2F2F2" w:themeFill="background1" w:themeFillShade="F2"/>
          </w:tcPr>
          <w:p w14:paraId="097AC0B1" w14:textId="77777777" w:rsidR="002A31A0" w:rsidRPr="004804C7" w:rsidRDefault="002A31A0" w:rsidP="002A31A0">
            <w:pPr>
              <w:spacing w:before="100" w:beforeAutospacing="1" w:after="100" w:afterAutospacing="1"/>
              <w:contextualSpacing/>
              <w:mirrorIndents/>
              <w:rPr>
                <w:rFonts w:cs="Arial"/>
                <w:szCs w:val="20"/>
              </w:rPr>
            </w:pPr>
          </w:p>
        </w:tc>
        <w:tc>
          <w:tcPr>
            <w:tcW w:w="1722" w:type="pct"/>
            <w:shd w:val="clear" w:color="auto" w:fill="F2F2F2" w:themeFill="background1" w:themeFillShade="F2"/>
          </w:tcPr>
          <w:p w14:paraId="1EA77A72" w14:textId="35888191" w:rsidR="002A31A0" w:rsidRPr="0066605D" w:rsidRDefault="002A31A0" w:rsidP="002A31A0">
            <w:pPr>
              <w:spacing w:after="0" w:line="240" w:lineRule="auto"/>
            </w:pPr>
            <w:r>
              <w:t>5.6 GHz</w:t>
            </w:r>
          </w:p>
        </w:tc>
        <w:tc>
          <w:tcPr>
            <w:tcW w:w="2091" w:type="pct"/>
            <w:shd w:val="clear" w:color="auto" w:fill="F2F2F2" w:themeFill="background1" w:themeFillShade="F2"/>
          </w:tcPr>
          <w:p w14:paraId="6C227D94" w14:textId="60A30E1A" w:rsidR="002A31A0" w:rsidRPr="004804C7" w:rsidRDefault="002A31A0" w:rsidP="002A31A0">
            <w:pPr>
              <w:spacing w:after="0" w:line="240" w:lineRule="auto"/>
            </w:pPr>
            <w:r w:rsidRPr="00FC330D">
              <w:t>Q2</w:t>
            </w:r>
            <w:r w:rsidR="00701F67">
              <w:t>–</w:t>
            </w:r>
            <w:r w:rsidRPr="00FC330D">
              <w:t>3</w:t>
            </w:r>
            <w:r>
              <w:t xml:space="preserve"> 2020: </w:t>
            </w:r>
            <w:r w:rsidR="00701F67">
              <w:t>C</w:t>
            </w:r>
            <w:r>
              <w:t xml:space="preserve">onsult on </w:t>
            </w:r>
            <w:r w:rsidR="00C17E8C">
              <w:t>revised arrangements</w:t>
            </w:r>
          </w:p>
        </w:tc>
      </w:tr>
      <w:tr w:rsidR="002A31A0" w:rsidRPr="004804C7" w14:paraId="0905438A" w14:textId="77777777" w:rsidTr="0010018E">
        <w:trPr>
          <w:trHeight w:val="735"/>
        </w:trPr>
        <w:tc>
          <w:tcPr>
            <w:tcW w:w="1187" w:type="pct"/>
            <w:vMerge/>
            <w:shd w:val="clear" w:color="auto" w:fill="F2F2F2" w:themeFill="background1" w:themeFillShade="F2"/>
          </w:tcPr>
          <w:p w14:paraId="5099F31D" w14:textId="77777777" w:rsidR="002A31A0" w:rsidRPr="004804C7" w:rsidRDefault="002A31A0" w:rsidP="002A31A0">
            <w:pPr>
              <w:spacing w:before="100" w:beforeAutospacing="1" w:after="100" w:afterAutospacing="1"/>
              <w:contextualSpacing/>
              <w:mirrorIndents/>
              <w:rPr>
                <w:rFonts w:cs="Arial"/>
                <w:szCs w:val="20"/>
              </w:rPr>
            </w:pPr>
          </w:p>
        </w:tc>
        <w:tc>
          <w:tcPr>
            <w:tcW w:w="1722" w:type="pct"/>
            <w:shd w:val="clear" w:color="auto" w:fill="F2F2F2" w:themeFill="background1" w:themeFillShade="F2"/>
          </w:tcPr>
          <w:p w14:paraId="3F68B9E2" w14:textId="737715E4" w:rsidR="002A31A0" w:rsidRPr="0066605D" w:rsidRDefault="002A31A0" w:rsidP="002A31A0">
            <w:pPr>
              <w:spacing w:after="0" w:line="240" w:lineRule="auto"/>
            </w:pPr>
            <w:r w:rsidRPr="004804C7">
              <w:t>26 GHz (24.25–27.5 GHz)</w:t>
            </w:r>
          </w:p>
        </w:tc>
        <w:tc>
          <w:tcPr>
            <w:tcW w:w="2091" w:type="pct"/>
            <w:shd w:val="clear" w:color="auto" w:fill="F2F2F2" w:themeFill="background1" w:themeFillShade="F2"/>
          </w:tcPr>
          <w:p w14:paraId="2FAFDEDB" w14:textId="5593DDA7" w:rsidR="002A31A0" w:rsidRDefault="002A31A0" w:rsidP="002A31A0">
            <w:pPr>
              <w:pStyle w:val="TableBody"/>
              <w:spacing w:before="60"/>
            </w:pPr>
            <w:r>
              <w:t>Q4</w:t>
            </w:r>
            <w:r w:rsidR="0066082F">
              <w:t xml:space="preserve"> 2020</w:t>
            </w:r>
            <w:r>
              <w:t xml:space="preserve">: </w:t>
            </w:r>
            <w:r w:rsidR="00745CC0">
              <w:t>F</w:t>
            </w:r>
            <w:r>
              <w:t>inalise licensing arrangements for services in this band</w:t>
            </w:r>
          </w:p>
        </w:tc>
      </w:tr>
      <w:tr w:rsidR="002A31A0" w:rsidRPr="004804C7" w14:paraId="46F029B5" w14:textId="77777777" w:rsidTr="0010018E">
        <w:trPr>
          <w:trHeight w:val="735"/>
        </w:trPr>
        <w:tc>
          <w:tcPr>
            <w:tcW w:w="1187" w:type="pct"/>
            <w:vMerge/>
            <w:shd w:val="clear" w:color="auto" w:fill="F2F2F2" w:themeFill="background1" w:themeFillShade="F2"/>
          </w:tcPr>
          <w:p w14:paraId="29FCBFA7" w14:textId="77777777" w:rsidR="002A31A0" w:rsidRPr="004804C7" w:rsidRDefault="002A31A0" w:rsidP="002A31A0">
            <w:pPr>
              <w:spacing w:before="100" w:beforeAutospacing="1" w:after="100" w:afterAutospacing="1"/>
              <w:contextualSpacing/>
              <w:mirrorIndents/>
              <w:rPr>
                <w:rFonts w:cs="Arial"/>
                <w:szCs w:val="20"/>
              </w:rPr>
            </w:pPr>
          </w:p>
        </w:tc>
        <w:tc>
          <w:tcPr>
            <w:tcW w:w="1722" w:type="pct"/>
            <w:shd w:val="clear" w:color="auto" w:fill="F2F2F2" w:themeFill="background1" w:themeFillShade="F2"/>
          </w:tcPr>
          <w:p w14:paraId="55893C3F" w14:textId="77777777" w:rsidR="002A31A0" w:rsidRPr="0066605D" w:rsidRDefault="002A31A0" w:rsidP="002A31A0">
            <w:pPr>
              <w:spacing w:after="0" w:line="240" w:lineRule="auto"/>
            </w:pPr>
            <w:r w:rsidRPr="0066605D">
              <w:t xml:space="preserve">28 GHz </w:t>
            </w:r>
          </w:p>
          <w:p w14:paraId="60513E2F" w14:textId="0CD92EEE" w:rsidR="002A31A0" w:rsidRPr="004804C7" w:rsidRDefault="002A31A0" w:rsidP="002A31A0">
            <w:pPr>
              <w:spacing w:after="0" w:line="240" w:lineRule="auto"/>
            </w:pPr>
            <w:r w:rsidRPr="0066605D">
              <w:t>(27.5–29.5 GHz)</w:t>
            </w:r>
          </w:p>
        </w:tc>
        <w:tc>
          <w:tcPr>
            <w:tcW w:w="2091" w:type="pct"/>
            <w:shd w:val="clear" w:color="auto" w:fill="F2F2F2" w:themeFill="background1" w:themeFillShade="F2"/>
          </w:tcPr>
          <w:p w14:paraId="27CB8D15" w14:textId="56CE619A" w:rsidR="002A31A0" w:rsidRPr="004804C7" w:rsidRDefault="002A31A0" w:rsidP="002A31A0">
            <w:pPr>
              <w:spacing w:after="0" w:line="240" w:lineRule="auto"/>
            </w:pPr>
            <w:r w:rsidRPr="0066605D">
              <w:t>Q</w:t>
            </w:r>
            <w:r>
              <w:t>4</w:t>
            </w:r>
            <w:r w:rsidRPr="0066605D">
              <w:t xml:space="preserve"> 2020: </w:t>
            </w:r>
            <w:r w:rsidR="00745CC0">
              <w:t>F</w:t>
            </w:r>
            <w:r w:rsidRPr="0066605D">
              <w:t>inalise licensing arrangements for services in this band</w:t>
            </w:r>
          </w:p>
        </w:tc>
      </w:tr>
    </w:tbl>
    <w:p w14:paraId="7B75F546" w14:textId="77777777" w:rsidR="00FC46BF" w:rsidRDefault="00FC46BF" w:rsidP="00E62F4C">
      <w:pPr>
        <w:rPr>
          <w:b/>
          <w:bCs/>
        </w:rPr>
      </w:pPr>
    </w:p>
    <w:p w14:paraId="7F79FEA1" w14:textId="35C4D09E" w:rsidR="00276ECF" w:rsidRPr="00276ECF" w:rsidRDefault="00276ECF" w:rsidP="00AD4192">
      <w:pPr>
        <w:pStyle w:val="ACMATableHeader"/>
        <w:keepNext/>
        <w:keepLines/>
        <w:rPr>
          <w:b w:val="0"/>
        </w:rPr>
      </w:pPr>
      <w:r w:rsidRPr="002E5E12">
        <w:lastRenderedPageBreak/>
        <w:t>Planning</w:t>
      </w:r>
      <w:r w:rsidRPr="0099510B">
        <w:t>—optimising established planning frameworks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Caption w:val="Table title to go here"/>
        <w:tblDescription w:val="Table description to go here"/>
      </w:tblPr>
      <w:tblGrid>
        <w:gridCol w:w="1698"/>
        <w:gridCol w:w="4089"/>
        <w:gridCol w:w="1874"/>
      </w:tblGrid>
      <w:tr w:rsidR="00276ECF" w:rsidRPr="004804C7" w14:paraId="74D0976D" w14:textId="77777777" w:rsidTr="00A7210B">
        <w:trPr>
          <w:cantSplit/>
          <w:trHeight w:val="349"/>
          <w:tblHeader/>
        </w:trPr>
        <w:tc>
          <w:tcPr>
            <w:tcW w:w="1108" w:type="pct"/>
            <w:shd w:val="clear" w:color="auto" w:fill="404040"/>
          </w:tcPr>
          <w:p w14:paraId="062A5E01" w14:textId="77777777" w:rsidR="00276ECF" w:rsidRPr="00745CC0" w:rsidRDefault="00276ECF" w:rsidP="00AD4192">
            <w:pPr>
              <w:keepNext/>
              <w:keepLines/>
              <w:spacing w:after="0"/>
              <w:rPr>
                <w:b/>
                <w:color w:val="FFFFFF"/>
              </w:rPr>
            </w:pPr>
            <w:r w:rsidRPr="00745CC0">
              <w:rPr>
                <w:b/>
                <w:color w:val="FFFFFF"/>
              </w:rPr>
              <w:t>Planning area</w:t>
            </w:r>
          </w:p>
        </w:tc>
        <w:tc>
          <w:tcPr>
            <w:tcW w:w="2669" w:type="pct"/>
            <w:shd w:val="clear" w:color="auto" w:fill="404040"/>
          </w:tcPr>
          <w:p w14:paraId="2264F50D" w14:textId="77777777" w:rsidR="00276ECF" w:rsidRPr="004804C7" w:rsidRDefault="00276ECF" w:rsidP="00AD4192">
            <w:pPr>
              <w:keepNext/>
              <w:keepLines/>
              <w:spacing w:after="0"/>
              <w:rPr>
                <w:b/>
                <w:color w:val="FFFFFF"/>
              </w:rPr>
            </w:pPr>
            <w:r w:rsidRPr="004804C7">
              <w:rPr>
                <w:b/>
                <w:color w:val="FFFFFF"/>
              </w:rPr>
              <w:t>Project priorities</w:t>
            </w:r>
          </w:p>
        </w:tc>
        <w:tc>
          <w:tcPr>
            <w:tcW w:w="1223" w:type="pct"/>
            <w:shd w:val="clear" w:color="auto" w:fill="404040"/>
          </w:tcPr>
          <w:p w14:paraId="1619BF67" w14:textId="77777777" w:rsidR="00276ECF" w:rsidRPr="004804C7" w:rsidRDefault="00276ECF" w:rsidP="00AD4192">
            <w:pPr>
              <w:keepNext/>
              <w:keepLines/>
              <w:spacing w:after="0"/>
              <w:rPr>
                <w:b/>
                <w:color w:val="FFFFFF"/>
              </w:rPr>
            </w:pPr>
            <w:r w:rsidRPr="004804C7">
              <w:rPr>
                <w:b/>
                <w:color w:val="FFFFFF"/>
              </w:rPr>
              <w:t>Proposed timelines</w:t>
            </w:r>
          </w:p>
        </w:tc>
      </w:tr>
      <w:tr w:rsidR="0061462B" w:rsidRPr="004804C7" w14:paraId="0B1E5EBB" w14:textId="77777777" w:rsidTr="00A7210B">
        <w:trPr>
          <w:cantSplit/>
          <w:trHeight w:val="664"/>
        </w:trPr>
        <w:tc>
          <w:tcPr>
            <w:tcW w:w="1108" w:type="pct"/>
            <w:shd w:val="clear" w:color="auto" w:fill="auto"/>
          </w:tcPr>
          <w:p w14:paraId="7CF88820" w14:textId="7F6E904E" w:rsidR="0061462B" w:rsidRPr="00745CC0" w:rsidRDefault="0061462B" w:rsidP="00AD4192">
            <w:pPr>
              <w:keepNext/>
              <w:keepLines/>
              <w:spacing w:after="0" w:line="240" w:lineRule="auto"/>
              <w:rPr>
                <w:bCs/>
              </w:rPr>
            </w:pPr>
            <w:r w:rsidRPr="00745CC0">
              <w:rPr>
                <w:bCs/>
              </w:rPr>
              <w:t>3400–3575 MHz</w:t>
            </w:r>
          </w:p>
        </w:tc>
        <w:tc>
          <w:tcPr>
            <w:tcW w:w="2669" w:type="pct"/>
            <w:shd w:val="clear" w:color="auto" w:fill="auto"/>
          </w:tcPr>
          <w:p w14:paraId="658B2DFB" w14:textId="3B1CDF62" w:rsidR="0061462B" w:rsidRPr="0066605D" w:rsidRDefault="00A23FB5" w:rsidP="00AD4192">
            <w:pPr>
              <w:keepNext/>
              <w:keepLines/>
              <w:spacing w:after="0" w:line="240" w:lineRule="auto"/>
            </w:pPr>
            <w:r>
              <w:t xml:space="preserve">Optimise spectrum and apparatus licence arrangements in band adjacent </w:t>
            </w:r>
            <w:r w:rsidR="00E261B2">
              <w:t>t</w:t>
            </w:r>
            <w:r>
              <w:t>o 3.6 GHz band</w:t>
            </w:r>
          </w:p>
        </w:tc>
        <w:tc>
          <w:tcPr>
            <w:tcW w:w="1223" w:type="pct"/>
            <w:shd w:val="clear" w:color="auto" w:fill="auto"/>
          </w:tcPr>
          <w:p w14:paraId="276FE7DA" w14:textId="33A814B0" w:rsidR="0061462B" w:rsidRPr="0066605D" w:rsidRDefault="00A23FB5" w:rsidP="00AD4192">
            <w:pPr>
              <w:keepNext/>
              <w:keepLines/>
              <w:spacing w:after="0" w:line="240" w:lineRule="auto"/>
            </w:pPr>
            <w:r>
              <w:t xml:space="preserve">See </w:t>
            </w:r>
            <w:r w:rsidR="00AD4192">
              <w:t>Table 3: F</w:t>
            </w:r>
            <w:r>
              <w:t xml:space="preserve">orward </w:t>
            </w:r>
            <w:r w:rsidRPr="00AD4192">
              <w:t xml:space="preserve">allocation work plan </w:t>
            </w:r>
          </w:p>
        </w:tc>
      </w:tr>
      <w:tr w:rsidR="00F503D3" w:rsidRPr="004804C7" w14:paraId="18FEF527" w14:textId="77777777" w:rsidTr="0010018E">
        <w:trPr>
          <w:cantSplit/>
          <w:trHeight w:val="664"/>
        </w:trPr>
        <w:tc>
          <w:tcPr>
            <w:tcW w:w="1108" w:type="pct"/>
            <w:vMerge w:val="restart"/>
            <w:shd w:val="clear" w:color="auto" w:fill="F2F2F2" w:themeFill="background1" w:themeFillShade="F2"/>
          </w:tcPr>
          <w:p w14:paraId="5E8C5FDB" w14:textId="4739DCF5" w:rsidR="00F503D3" w:rsidRPr="007E72B9" w:rsidRDefault="00F503D3" w:rsidP="00AD4192">
            <w:pPr>
              <w:keepNext/>
              <w:keepLines/>
              <w:spacing w:after="0" w:line="240" w:lineRule="auto"/>
            </w:pPr>
            <w:r w:rsidRPr="007E72B9">
              <w:t>Broadcasting</w:t>
            </w:r>
          </w:p>
        </w:tc>
        <w:tc>
          <w:tcPr>
            <w:tcW w:w="2669" w:type="pct"/>
            <w:shd w:val="clear" w:color="auto" w:fill="F2F2F2" w:themeFill="background1" w:themeFillShade="F2"/>
          </w:tcPr>
          <w:p w14:paraId="4A46367D" w14:textId="4500A156" w:rsidR="00F503D3" w:rsidRPr="004804C7" w:rsidRDefault="00F503D3" w:rsidP="00AD4192">
            <w:pPr>
              <w:keepNext/>
              <w:keepLines/>
              <w:spacing w:after="0" w:line="240" w:lineRule="auto"/>
            </w:pPr>
            <w:bookmarkStart w:id="38" w:name="_Hlk34215651"/>
            <w:r w:rsidRPr="0066605D">
              <w:t xml:space="preserve">Develop and consult on proposals for </w:t>
            </w:r>
            <w:r w:rsidR="00965D44">
              <w:t>licence area plan (</w:t>
            </w:r>
            <w:r w:rsidRPr="009A62E1">
              <w:t>L</w:t>
            </w:r>
            <w:r w:rsidRPr="00D20965">
              <w:t>AP</w:t>
            </w:r>
            <w:r w:rsidR="00965D44">
              <w:t>)</w:t>
            </w:r>
            <w:r>
              <w:t xml:space="preserve"> </w:t>
            </w:r>
            <w:r w:rsidRPr="0066605D">
              <w:t>variations in Brisbane</w:t>
            </w:r>
            <w:bookmarkEnd w:id="38"/>
          </w:p>
        </w:tc>
        <w:tc>
          <w:tcPr>
            <w:tcW w:w="1223" w:type="pct"/>
            <w:shd w:val="clear" w:color="auto" w:fill="F2F2F2" w:themeFill="background1" w:themeFillShade="F2"/>
          </w:tcPr>
          <w:p w14:paraId="02A542C3" w14:textId="522E8053" w:rsidR="00F503D3" w:rsidRPr="004804C7" w:rsidRDefault="00F503D3" w:rsidP="00AD4192">
            <w:pPr>
              <w:keepNext/>
              <w:keepLines/>
              <w:spacing w:after="0" w:line="240" w:lineRule="auto"/>
            </w:pPr>
            <w:bookmarkStart w:id="39" w:name="_Hlk34215661"/>
            <w:r w:rsidRPr="0066605D">
              <w:t xml:space="preserve">Q3 2020: </w:t>
            </w:r>
            <w:r w:rsidR="00745CC0">
              <w:t>C</w:t>
            </w:r>
            <w:r w:rsidRPr="0066605D">
              <w:t>onsult</w:t>
            </w:r>
            <w:bookmarkEnd w:id="39"/>
          </w:p>
        </w:tc>
      </w:tr>
      <w:tr w:rsidR="00F503D3" w:rsidRPr="004804C7" w14:paraId="230714C2" w14:textId="77777777" w:rsidTr="0010018E">
        <w:trPr>
          <w:cantSplit/>
          <w:trHeight w:val="368"/>
        </w:trPr>
        <w:tc>
          <w:tcPr>
            <w:tcW w:w="1108" w:type="pct"/>
            <w:vMerge/>
            <w:shd w:val="clear" w:color="auto" w:fill="F2F2F2" w:themeFill="background1" w:themeFillShade="F2"/>
          </w:tcPr>
          <w:p w14:paraId="55239394" w14:textId="77777777" w:rsidR="00F503D3" w:rsidRPr="004804C7" w:rsidRDefault="00F503D3" w:rsidP="00F503D3">
            <w:pPr>
              <w:spacing w:after="0" w:line="240" w:lineRule="auto"/>
            </w:pPr>
          </w:p>
        </w:tc>
        <w:tc>
          <w:tcPr>
            <w:tcW w:w="2669" w:type="pct"/>
            <w:shd w:val="clear" w:color="auto" w:fill="F2F2F2" w:themeFill="background1" w:themeFillShade="F2"/>
          </w:tcPr>
          <w:p w14:paraId="50E1684F" w14:textId="270657EE" w:rsidR="00F503D3" w:rsidRPr="0066605D" w:rsidRDefault="00F503D3" w:rsidP="00F503D3">
            <w:pPr>
              <w:spacing w:after="0" w:line="240" w:lineRule="auto"/>
            </w:pPr>
            <w:r>
              <w:t>Develop and consult on a proposal to vary the Deniliquin LAP</w:t>
            </w:r>
          </w:p>
        </w:tc>
        <w:tc>
          <w:tcPr>
            <w:tcW w:w="1223" w:type="pct"/>
            <w:shd w:val="clear" w:color="auto" w:fill="F2F2F2" w:themeFill="background1" w:themeFillShade="F2"/>
          </w:tcPr>
          <w:p w14:paraId="726B8CD7" w14:textId="389B6D0E" w:rsidR="00F503D3" w:rsidRPr="0066605D" w:rsidRDefault="00F503D3" w:rsidP="00F503D3">
            <w:pPr>
              <w:spacing w:after="0" w:line="240" w:lineRule="auto"/>
            </w:pPr>
            <w:r w:rsidRPr="0066605D">
              <w:t xml:space="preserve">Q3 2020: </w:t>
            </w:r>
            <w:r w:rsidR="00745CC0">
              <w:t>C</w:t>
            </w:r>
            <w:r w:rsidRPr="0066605D">
              <w:t>onsult</w:t>
            </w:r>
          </w:p>
        </w:tc>
      </w:tr>
      <w:tr w:rsidR="00F503D3" w:rsidRPr="004804C7" w14:paraId="0D4AECF8" w14:textId="77777777" w:rsidTr="0010018E">
        <w:trPr>
          <w:cantSplit/>
          <w:trHeight w:val="664"/>
        </w:trPr>
        <w:tc>
          <w:tcPr>
            <w:tcW w:w="1108" w:type="pct"/>
            <w:vMerge/>
            <w:shd w:val="clear" w:color="auto" w:fill="F2F2F2" w:themeFill="background1" w:themeFillShade="F2"/>
          </w:tcPr>
          <w:p w14:paraId="422497B8" w14:textId="77777777" w:rsidR="00F503D3" w:rsidRPr="004804C7" w:rsidRDefault="00F503D3" w:rsidP="00F503D3">
            <w:pPr>
              <w:spacing w:after="0" w:line="240" w:lineRule="auto"/>
            </w:pPr>
          </w:p>
        </w:tc>
        <w:tc>
          <w:tcPr>
            <w:tcW w:w="2669" w:type="pct"/>
            <w:shd w:val="clear" w:color="auto" w:fill="F2F2F2" w:themeFill="background1" w:themeFillShade="F2"/>
          </w:tcPr>
          <w:p w14:paraId="10DD3B06" w14:textId="7565CC84" w:rsidR="00F503D3" w:rsidRPr="0066605D" w:rsidRDefault="00F503D3" w:rsidP="00F503D3">
            <w:pPr>
              <w:spacing w:after="0" w:line="240" w:lineRule="auto"/>
              <w:rPr>
                <w:rFonts w:cs="Arial"/>
                <w:szCs w:val="20"/>
              </w:rPr>
            </w:pPr>
            <w:bookmarkStart w:id="40" w:name="_Hlk34215693"/>
            <w:r w:rsidRPr="0066605D">
              <w:rPr>
                <w:rFonts w:cs="Arial"/>
                <w:szCs w:val="20"/>
              </w:rPr>
              <w:t>Develop and consult on proposals for variations in a number of licence areas in NSW</w:t>
            </w:r>
            <w:r w:rsidRPr="0066605D">
              <w:rPr>
                <w:rStyle w:val="FootnoteReference"/>
                <w:rFonts w:cs="Arial"/>
                <w:szCs w:val="20"/>
              </w:rPr>
              <w:footnoteReference w:id="4"/>
            </w:r>
            <w:r w:rsidRPr="0066605D">
              <w:rPr>
                <w:rFonts w:cs="Arial"/>
                <w:szCs w:val="20"/>
              </w:rPr>
              <w:t xml:space="preserve"> to enable AM</w:t>
            </w:r>
            <w:r w:rsidR="00BB23E5">
              <w:t>–</w:t>
            </w:r>
            <w:r w:rsidRPr="0066605D">
              <w:rPr>
                <w:rFonts w:cs="Arial"/>
                <w:szCs w:val="20"/>
              </w:rPr>
              <w:t>FM conversions</w:t>
            </w:r>
            <w:bookmarkEnd w:id="40"/>
          </w:p>
        </w:tc>
        <w:tc>
          <w:tcPr>
            <w:tcW w:w="1223" w:type="pct"/>
            <w:shd w:val="clear" w:color="auto" w:fill="F2F2F2" w:themeFill="background1" w:themeFillShade="F2"/>
          </w:tcPr>
          <w:p w14:paraId="122E1792" w14:textId="3DB385EE" w:rsidR="00F503D3" w:rsidRPr="004804C7" w:rsidRDefault="00F503D3" w:rsidP="00F503D3">
            <w:pPr>
              <w:spacing w:after="0" w:line="240" w:lineRule="auto"/>
            </w:pPr>
            <w:r w:rsidRPr="002969FC">
              <w:t>Q3 2020</w:t>
            </w:r>
            <w:r>
              <w:t xml:space="preserve">: </w:t>
            </w:r>
            <w:r w:rsidR="00745CC0">
              <w:t>C</w:t>
            </w:r>
            <w:r>
              <w:t>onsult</w:t>
            </w:r>
          </w:p>
        </w:tc>
      </w:tr>
      <w:tr w:rsidR="00F503D3" w:rsidRPr="004804C7" w14:paraId="1AFF3C6F" w14:textId="77777777" w:rsidTr="0010018E">
        <w:trPr>
          <w:cantSplit/>
          <w:trHeight w:val="664"/>
        </w:trPr>
        <w:tc>
          <w:tcPr>
            <w:tcW w:w="1108" w:type="pct"/>
            <w:vMerge/>
            <w:shd w:val="clear" w:color="auto" w:fill="F2F2F2" w:themeFill="background1" w:themeFillShade="F2"/>
          </w:tcPr>
          <w:p w14:paraId="65F6FF8A" w14:textId="77777777" w:rsidR="00F503D3" w:rsidRPr="004804C7" w:rsidRDefault="00F503D3" w:rsidP="00F503D3">
            <w:pPr>
              <w:spacing w:after="0" w:line="240" w:lineRule="auto"/>
            </w:pPr>
          </w:p>
        </w:tc>
        <w:tc>
          <w:tcPr>
            <w:tcW w:w="2669" w:type="pct"/>
            <w:shd w:val="clear" w:color="auto" w:fill="F2F2F2" w:themeFill="background1" w:themeFillShade="F2"/>
          </w:tcPr>
          <w:p w14:paraId="4FB63696" w14:textId="66ED4BB3" w:rsidR="00F503D3" w:rsidRPr="0066605D" w:rsidRDefault="00F503D3" w:rsidP="00F503D3">
            <w:pPr>
              <w:spacing w:after="0" w:line="240" w:lineRule="auto"/>
              <w:rPr>
                <w:rFonts w:cs="Arial"/>
                <w:szCs w:val="20"/>
              </w:rPr>
            </w:pPr>
            <w:r>
              <w:t xml:space="preserve">Consult on the digital radio channel plan </w:t>
            </w:r>
            <w:r w:rsidR="005E26D8">
              <w:t xml:space="preserve">(DRCP) </w:t>
            </w:r>
            <w:r w:rsidR="007E72B9">
              <w:t>for the</w:t>
            </w:r>
            <w:r>
              <w:t xml:space="preserve"> Gold Coast</w:t>
            </w:r>
            <w:r w:rsidR="00745CC0">
              <w:t>,</w:t>
            </w:r>
            <w:r>
              <w:t xml:space="preserve"> taking into account the completion of frequency allotment planning</w:t>
            </w:r>
          </w:p>
        </w:tc>
        <w:tc>
          <w:tcPr>
            <w:tcW w:w="1223" w:type="pct"/>
            <w:shd w:val="clear" w:color="auto" w:fill="F2F2F2" w:themeFill="background1" w:themeFillShade="F2"/>
          </w:tcPr>
          <w:p w14:paraId="1C58F016" w14:textId="387E0F02" w:rsidR="00F503D3" w:rsidRDefault="00F503D3" w:rsidP="00F503D3">
            <w:pPr>
              <w:spacing w:after="0" w:line="240" w:lineRule="auto"/>
            </w:pPr>
            <w:r>
              <w:t>Q</w:t>
            </w:r>
            <w:r w:rsidR="004C723D">
              <w:t>3</w:t>
            </w:r>
            <w:r>
              <w:t xml:space="preserve"> 2020</w:t>
            </w:r>
            <w:r w:rsidR="00745CC0">
              <w:t>:</w:t>
            </w:r>
            <w:r>
              <w:t xml:space="preserve"> </w:t>
            </w:r>
            <w:r w:rsidR="00745CC0">
              <w:t>C</w:t>
            </w:r>
            <w:r>
              <w:t>onsult</w:t>
            </w:r>
          </w:p>
        </w:tc>
      </w:tr>
      <w:tr w:rsidR="00F503D3" w:rsidRPr="004804C7" w14:paraId="357C6A4C" w14:textId="77777777" w:rsidTr="0010018E">
        <w:trPr>
          <w:cantSplit/>
          <w:trHeight w:val="470"/>
        </w:trPr>
        <w:tc>
          <w:tcPr>
            <w:tcW w:w="1108" w:type="pct"/>
            <w:vMerge/>
            <w:shd w:val="clear" w:color="auto" w:fill="F2F2F2" w:themeFill="background1" w:themeFillShade="F2"/>
          </w:tcPr>
          <w:p w14:paraId="29E92475" w14:textId="77777777" w:rsidR="00F503D3" w:rsidRPr="004804C7" w:rsidRDefault="00F503D3" w:rsidP="00F503D3">
            <w:pPr>
              <w:spacing w:before="100" w:beforeAutospacing="1" w:after="100" w:afterAutospacing="1"/>
              <w:ind w:right="176"/>
              <w:contextualSpacing/>
              <w:mirrorIndents/>
              <w:rPr>
                <w:rFonts w:cs="Arial"/>
                <w:szCs w:val="20"/>
              </w:rPr>
            </w:pPr>
          </w:p>
        </w:tc>
        <w:tc>
          <w:tcPr>
            <w:tcW w:w="2669" w:type="pct"/>
            <w:shd w:val="clear" w:color="auto" w:fill="F2F2F2" w:themeFill="background1" w:themeFillShade="F2"/>
          </w:tcPr>
          <w:p w14:paraId="7028603D" w14:textId="7F77A2E5" w:rsidR="00F503D3" w:rsidRPr="004804C7" w:rsidRDefault="00F503D3" w:rsidP="009A62E1">
            <w:pPr>
              <w:spacing w:after="0" w:line="240" w:lineRule="auto"/>
            </w:pPr>
            <w:r w:rsidRPr="00F503D3">
              <w:t>Further consult</w:t>
            </w:r>
            <w:r w:rsidR="00745CC0">
              <w:t>ation</w:t>
            </w:r>
            <w:r w:rsidRPr="00F503D3">
              <w:t xml:space="preserve"> on whether variations to the </w:t>
            </w:r>
            <w:r w:rsidR="005E26D8">
              <w:t>DRCP</w:t>
            </w:r>
            <w:r w:rsidRPr="00F503D3">
              <w:t xml:space="preserve"> </w:t>
            </w:r>
            <w:r w:rsidR="00745CC0">
              <w:t>for</w:t>
            </w:r>
            <w:r w:rsidRPr="00F503D3">
              <w:t xml:space="preserve"> Brisbane are appropriate to improve digital coverage</w:t>
            </w:r>
          </w:p>
        </w:tc>
        <w:tc>
          <w:tcPr>
            <w:tcW w:w="1223" w:type="pct"/>
            <w:shd w:val="clear" w:color="auto" w:fill="F2F2F2" w:themeFill="background1" w:themeFillShade="F2"/>
          </w:tcPr>
          <w:p w14:paraId="5800E5CA" w14:textId="2BB13609" w:rsidR="00F503D3" w:rsidRDefault="00F503D3" w:rsidP="00F503D3">
            <w:pPr>
              <w:spacing w:after="0" w:line="240" w:lineRule="auto"/>
            </w:pPr>
            <w:r>
              <w:t>Q</w:t>
            </w:r>
            <w:r w:rsidR="004C723D">
              <w:t>3</w:t>
            </w:r>
            <w:r>
              <w:t xml:space="preserve"> 2020</w:t>
            </w:r>
            <w:r w:rsidR="00745CC0">
              <w:t>: C</w:t>
            </w:r>
            <w:r>
              <w:t>onsult</w:t>
            </w:r>
          </w:p>
        </w:tc>
      </w:tr>
      <w:tr w:rsidR="004C723D" w:rsidRPr="004804C7" w14:paraId="2CD552C5" w14:textId="77777777" w:rsidTr="0010018E">
        <w:trPr>
          <w:cantSplit/>
          <w:trHeight w:val="470"/>
        </w:trPr>
        <w:tc>
          <w:tcPr>
            <w:tcW w:w="1108" w:type="pct"/>
            <w:vMerge/>
            <w:shd w:val="clear" w:color="auto" w:fill="F2F2F2" w:themeFill="background1" w:themeFillShade="F2"/>
          </w:tcPr>
          <w:p w14:paraId="0F1E413C" w14:textId="77777777" w:rsidR="004C723D" w:rsidRPr="004804C7" w:rsidRDefault="004C723D" w:rsidP="004C723D">
            <w:pPr>
              <w:spacing w:before="100" w:beforeAutospacing="1" w:after="100" w:afterAutospacing="1"/>
              <w:ind w:right="176"/>
              <w:contextualSpacing/>
              <w:mirrorIndents/>
              <w:rPr>
                <w:rFonts w:cs="Arial"/>
                <w:szCs w:val="20"/>
              </w:rPr>
            </w:pPr>
          </w:p>
        </w:tc>
        <w:tc>
          <w:tcPr>
            <w:tcW w:w="2669" w:type="pct"/>
            <w:shd w:val="clear" w:color="auto" w:fill="F2F2F2" w:themeFill="background1" w:themeFillShade="F2"/>
          </w:tcPr>
          <w:p w14:paraId="16B946C8" w14:textId="6FA7D804" w:rsidR="004C723D" w:rsidRPr="004804C7" w:rsidRDefault="004C723D" w:rsidP="004C723D">
            <w:pPr>
              <w:spacing w:after="0" w:line="240" w:lineRule="auto"/>
            </w:pPr>
            <w:r w:rsidRPr="0066605D">
              <w:t>Develop and consult on proposals for variations to the Remote Central and Eastern Australia Radio LAP</w:t>
            </w:r>
          </w:p>
        </w:tc>
        <w:tc>
          <w:tcPr>
            <w:tcW w:w="1223" w:type="pct"/>
            <w:shd w:val="clear" w:color="auto" w:fill="F2F2F2" w:themeFill="background1" w:themeFillShade="F2"/>
          </w:tcPr>
          <w:p w14:paraId="5CDD3208" w14:textId="4872C113" w:rsidR="004C723D" w:rsidRDefault="004C723D" w:rsidP="004C723D">
            <w:pPr>
              <w:spacing w:after="0" w:line="240" w:lineRule="auto"/>
            </w:pPr>
            <w:r w:rsidRPr="0066605D">
              <w:t xml:space="preserve">Q4 2020: </w:t>
            </w:r>
            <w:r w:rsidR="00745CC0">
              <w:t>C</w:t>
            </w:r>
            <w:r w:rsidRPr="0066605D">
              <w:t>onsult</w:t>
            </w:r>
          </w:p>
        </w:tc>
      </w:tr>
      <w:tr w:rsidR="004C723D" w:rsidRPr="004804C7" w14:paraId="148AF487" w14:textId="77777777" w:rsidTr="0010018E">
        <w:trPr>
          <w:cantSplit/>
          <w:trHeight w:val="470"/>
        </w:trPr>
        <w:tc>
          <w:tcPr>
            <w:tcW w:w="1108" w:type="pct"/>
            <w:vMerge/>
            <w:shd w:val="clear" w:color="auto" w:fill="F2F2F2" w:themeFill="background1" w:themeFillShade="F2"/>
          </w:tcPr>
          <w:p w14:paraId="5D0F3D42" w14:textId="77777777" w:rsidR="004C723D" w:rsidRPr="004804C7" w:rsidRDefault="004C723D" w:rsidP="004C723D">
            <w:pPr>
              <w:spacing w:before="100" w:beforeAutospacing="1" w:after="100" w:afterAutospacing="1"/>
              <w:ind w:right="176"/>
              <w:contextualSpacing/>
              <w:mirrorIndents/>
              <w:rPr>
                <w:rFonts w:cs="Arial"/>
                <w:szCs w:val="20"/>
              </w:rPr>
            </w:pPr>
          </w:p>
        </w:tc>
        <w:tc>
          <w:tcPr>
            <w:tcW w:w="2669" w:type="pct"/>
            <w:shd w:val="clear" w:color="auto" w:fill="F2F2F2" w:themeFill="background1" w:themeFillShade="F2"/>
          </w:tcPr>
          <w:p w14:paraId="2CADF009" w14:textId="44167D3A" w:rsidR="004C723D" w:rsidRPr="004804C7" w:rsidRDefault="00745CC0" w:rsidP="004C723D">
            <w:pPr>
              <w:spacing w:after="0" w:line="240" w:lineRule="auto"/>
            </w:pPr>
            <w:r>
              <w:t>Consult on p</w:t>
            </w:r>
            <w:r w:rsidR="004C723D" w:rsidRPr="004804C7">
              <w:t>otential for replanning analog radio services in Perth, following the clearance of Band II television in Bunbury</w:t>
            </w:r>
          </w:p>
        </w:tc>
        <w:tc>
          <w:tcPr>
            <w:tcW w:w="1223" w:type="pct"/>
            <w:shd w:val="clear" w:color="auto" w:fill="F2F2F2" w:themeFill="background1" w:themeFillShade="F2"/>
          </w:tcPr>
          <w:p w14:paraId="27DE41B1" w14:textId="2DCEE2D4" w:rsidR="004C723D" w:rsidRPr="004804C7" w:rsidRDefault="004C723D" w:rsidP="004C723D">
            <w:pPr>
              <w:spacing w:after="0" w:line="240" w:lineRule="auto"/>
            </w:pPr>
            <w:r>
              <w:t>Q4 2020</w:t>
            </w:r>
            <w:r w:rsidR="00745CC0">
              <w:t>:</w:t>
            </w:r>
            <w:r>
              <w:t xml:space="preserve"> </w:t>
            </w:r>
            <w:r w:rsidR="00745CC0">
              <w:t>C</w:t>
            </w:r>
            <w:r>
              <w:t>onsult</w:t>
            </w:r>
          </w:p>
        </w:tc>
      </w:tr>
      <w:tr w:rsidR="004C723D" w:rsidRPr="004804C7" w14:paraId="324A07A5" w14:textId="77777777" w:rsidTr="00A7210B">
        <w:trPr>
          <w:cantSplit/>
          <w:trHeight w:val="470"/>
        </w:trPr>
        <w:tc>
          <w:tcPr>
            <w:tcW w:w="1108" w:type="pct"/>
            <w:vMerge w:val="restart"/>
            <w:shd w:val="clear" w:color="auto" w:fill="auto"/>
          </w:tcPr>
          <w:p w14:paraId="5338F0E6" w14:textId="67D0C3C8" w:rsidR="004C723D" w:rsidRPr="007E72B9" w:rsidRDefault="004C723D" w:rsidP="004C723D">
            <w:pPr>
              <w:spacing w:before="100" w:beforeAutospacing="1" w:after="100" w:afterAutospacing="1"/>
              <w:ind w:right="176"/>
              <w:contextualSpacing/>
              <w:mirrorIndents/>
              <w:rPr>
                <w:rFonts w:cs="Arial"/>
                <w:szCs w:val="20"/>
              </w:rPr>
            </w:pPr>
            <w:r w:rsidRPr="007E72B9">
              <w:rPr>
                <w:rFonts w:cs="Arial"/>
                <w:szCs w:val="20"/>
              </w:rPr>
              <w:t>Satellite</w:t>
            </w:r>
          </w:p>
        </w:tc>
        <w:tc>
          <w:tcPr>
            <w:tcW w:w="2669" w:type="pct"/>
            <w:shd w:val="clear" w:color="auto" w:fill="auto"/>
          </w:tcPr>
          <w:p w14:paraId="4A7E7DA6" w14:textId="587E052B" w:rsidR="004C723D" w:rsidRPr="004804C7" w:rsidRDefault="004C723D" w:rsidP="004C723D">
            <w:pPr>
              <w:spacing w:after="0" w:line="240" w:lineRule="auto"/>
            </w:pPr>
            <w:r w:rsidRPr="004804C7">
              <w:t>Consider applications for test and demonstration purposes in the 2 GHz band</w:t>
            </w:r>
          </w:p>
        </w:tc>
        <w:tc>
          <w:tcPr>
            <w:tcW w:w="1223" w:type="pct"/>
            <w:shd w:val="clear" w:color="auto" w:fill="auto"/>
          </w:tcPr>
          <w:p w14:paraId="71A717D4" w14:textId="58AF5B66" w:rsidR="004C723D" w:rsidRPr="004804C7" w:rsidRDefault="004C723D" w:rsidP="004C723D">
            <w:pPr>
              <w:spacing w:after="0" w:line="240" w:lineRule="auto"/>
            </w:pPr>
            <w:r w:rsidRPr="004804C7">
              <w:t>Ongoing</w:t>
            </w:r>
          </w:p>
        </w:tc>
      </w:tr>
      <w:tr w:rsidR="004C723D" w:rsidRPr="004804C7" w14:paraId="6A078396" w14:textId="77777777" w:rsidTr="00A7210B">
        <w:trPr>
          <w:cantSplit/>
          <w:trHeight w:val="20"/>
        </w:trPr>
        <w:tc>
          <w:tcPr>
            <w:tcW w:w="1108" w:type="pct"/>
            <w:vMerge/>
            <w:shd w:val="clear" w:color="auto" w:fill="auto"/>
          </w:tcPr>
          <w:p w14:paraId="5D140082" w14:textId="77777777" w:rsidR="004C723D" w:rsidRPr="007E72B9" w:rsidRDefault="004C723D" w:rsidP="004C723D">
            <w:pPr>
              <w:spacing w:before="100" w:beforeAutospacing="1" w:after="100" w:afterAutospacing="1"/>
              <w:ind w:right="176"/>
              <w:contextualSpacing/>
              <w:mirrorIndents/>
              <w:rPr>
                <w:rFonts w:cs="Arial"/>
                <w:szCs w:val="20"/>
              </w:rPr>
            </w:pPr>
          </w:p>
        </w:tc>
        <w:tc>
          <w:tcPr>
            <w:tcW w:w="2669" w:type="pct"/>
            <w:shd w:val="clear" w:color="auto" w:fill="auto"/>
          </w:tcPr>
          <w:p w14:paraId="63646493" w14:textId="0C292210" w:rsidR="004C723D" w:rsidRPr="004804C7" w:rsidRDefault="004C723D" w:rsidP="004C723D">
            <w:pPr>
              <w:spacing w:after="0" w:line="240" w:lineRule="auto"/>
            </w:pPr>
            <w:r w:rsidRPr="004804C7">
              <w:t>Manage filing and coordination of Australian satellite systems</w:t>
            </w:r>
          </w:p>
        </w:tc>
        <w:tc>
          <w:tcPr>
            <w:tcW w:w="1223" w:type="pct"/>
            <w:shd w:val="clear" w:color="auto" w:fill="auto"/>
          </w:tcPr>
          <w:p w14:paraId="1D734414" w14:textId="5ED9F54D" w:rsidR="004C723D" w:rsidRPr="004804C7" w:rsidRDefault="004C723D" w:rsidP="004C723D">
            <w:pPr>
              <w:spacing w:after="0" w:line="240" w:lineRule="auto"/>
            </w:pPr>
            <w:r w:rsidRPr="004804C7">
              <w:t>Ongoing</w:t>
            </w:r>
          </w:p>
        </w:tc>
      </w:tr>
      <w:tr w:rsidR="004C723D" w:rsidRPr="004804C7" w14:paraId="54CB9A9A" w14:textId="77777777" w:rsidTr="0010018E">
        <w:trPr>
          <w:cantSplit/>
          <w:trHeight w:val="595"/>
        </w:trPr>
        <w:tc>
          <w:tcPr>
            <w:tcW w:w="1108" w:type="pct"/>
            <w:shd w:val="clear" w:color="auto" w:fill="F2F2F2" w:themeFill="background1" w:themeFillShade="F2"/>
          </w:tcPr>
          <w:p w14:paraId="27738BE5" w14:textId="77777777" w:rsidR="004C723D" w:rsidRPr="007E72B9" w:rsidRDefault="004C723D" w:rsidP="004C723D">
            <w:pPr>
              <w:spacing w:after="0" w:line="240" w:lineRule="auto"/>
            </w:pPr>
            <w:r w:rsidRPr="007E72B9">
              <w:t>Low interference potential devices (LIPD)</w:t>
            </w:r>
          </w:p>
        </w:tc>
        <w:tc>
          <w:tcPr>
            <w:tcW w:w="2669" w:type="pct"/>
            <w:shd w:val="clear" w:color="auto" w:fill="F2F2F2" w:themeFill="background1" w:themeFillShade="F2"/>
          </w:tcPr>
          <w:p w14:paraId="16CA8565" w14:textId="73A95AF5" w:rsidR="004C723D" w:rsidRPr="004804C7" w:rsidRDefault="004C723D" w:rsidP="004C723D">
            <w:pPr>
              <w:spacing w:after="0" w:line="240" w:lineRule="auto"/>
            </w:pPr>
            <w:r>
              <w:t>Monitor developments, including updates on low duty cycle 900 MHz changes and 26 GHz (as per planning decisions)</w:t>
            </w:r>
          </w:p>
        </w:tc>
        <w:tc>
          <w:tcPr>
            <w:tcW w:w="1223" w:type="pct"/>
            <w:shd w:val="clear" w:color="auto" w:fill="F2F2F2" w:themeFill="background1" w:themeFillShade="F2"/>
          </w:tcPr>
          <w:p w14:paraId="39F3B09F" w14:textId="74E0A0CD" w:rsidR="004C723D" w:rsidRPr="004804C7" w:rsidRDefault="004C723D" w:rsidP="004C723D">
            <w:pPr>
              <w:spacing w:after="0" w:line="240" w:lineRule="auto"/>
            </w:pPr>
            <w:r>
              <w:t>Ongoing</w:t>
            </w:r>
            <w:r w:rsidR="00745CC0">
              <w:t>—</w:t>
            </w:r>
            <w:r>
              <w:t>update planned for Q3 2020</w:t>
            </w:r>
          </w:p>
        </w:tc>
      </w:tr>
      <w:tr w:rsidR="004C723D" w:rsidRPr="004804C7" w14:paraId="57A1161C" w14:textId="77777777" w:rsidTr="00A7210B">
        <w:trPr>
          <w:cantSplit/>
          <w:trHeight w:val="21"/>
        </w:trPr>
        <w:tc>
          <w:tcPr>
            <w:tcW w:w="1108" w:type="pct"/>
            <w:shd w:val="clear" w:color="auto" w:fill="auto"/>
          </w:tcPr>
          <w:p w14:paraId="23E3C5DB" w14:textId="77777777" w:rsidR="004C723D" w:rsidRPr="007E72B9" w:rsidRDefault="004C723D" w:rsidP="004C723D">
            <w:pPr>
              <w:spacing w:after="0" w:line="240" w:lineRule="auto"/>
            </w:pPr>
            <w:r w:rsidRPr="007E72B9">
              <w:t>Amateur service in the frequency band 5351.5–5366.5 kHz</w:t>
            </w:r>
          </w:p>
        </w:tc>
        <w:tc>
          <w:tcPr>
            <w:tcW w:w="2669" w:type="pct"/>
            <w:shd w:val="clear" w:color="auto" w:fill="auto"/>
          </w:tcPr>
          <w:p w14:paraId="742A34C1" w14:textId="2CCF3EA9" w:rsidR="004C723D" w:rsidRPr="004804C7" w:rsidRDefault="00745CC0" w:rsidP="004C723D">
            <w:pPr>
              <w:spacing w:after="0" w:line="240" w:lineRule="auto"/>
            </w:pPr>
            <w:r>
              <w:t>S</w:t>
            </w:r>
            <w:r w:rsidR="004C723D" w:rsidRPr="003E5DE1">
              <w:t>eek industry views on implementation issues, including appropriate technical conditions and in which part of the band the amateur service could be supported</w:t>
            </w:r>
          </w:p>
        </w:tc>
        <w:tc>
          <w:tcPr>
            <w:tcW w:w="1223" w:type="pct"/>
            <w:shd w:val="clear" w:color="auto" w:fill="auto"/>
          </w:tcPr>
          <w:p w14:paraId="1236B3EC" w14:textId="122C40B6" w:rsidR="004C723D" w:rsidRPr="004804C7" w:rsidRDefault="004C723D" w:rsidP="004C723D">
            <w:pPr>
              <w:spacing w:after="0" w:line="240" w:lineRule="auto"/>
            </w:pPr>
            <w:r w:rsidRPr="00FC330D">
              <w:t>Q2</w:t>
            </w:r>
            <w:r w:rsidR="00745CC0">
              <w:t>–</w:t>
            </w:r>
            <w:r w:rsidRPr="00FC330D">
              <w:t>3 2020</w:t>
            </w:r>
            <w:r>
              <w:t xml:space="preserve">: </w:t>
            </w:r>
            <w:r w:rsidR="00745CC0">
              <w:t>C</w:t>
            </w:r>
            <w:r>
              <w:t>onsult</w:t>
            </w:r>
          </w:p>
        </w:tc>
      </w:tr>
      <w:tr w:rsidR="004C723D" w:rsidRPr="004804C7" w14:paraId="5EE8AB9F" w14:textId="77777777" w:rsidTr="0010018E">
        <w:trPr>
          <w:cantSplit/>
          <w:trHeight w:val="21"/>
        </w:trPr>
        <w:tc>
          <w:tcPr>
            <w:tcW w:w="1108" w:type="pct"/>
            <w:shd w:val="clear" w:color="auto" w:fill="F2F2F2" w:themeFill="background1" w:themeFillShade="F2"/>
          </w:tcPr>
          <w:p w14:paraId="48AA4F4B" w14:textId="6E28CD38" w:rsidR="004C723D" w:rsidRPr="007E72B9" w:rsidRDefault="004C723D" w:rsidP="004C723D">
            <w:pPr>
              <w:spacing w:after="0" w:line="240" w:lineRule="auto"/>
            </w:pPr>
            <w:r w:rsidRPr="007E72B9">
              <w:lastRenderedPageBreak/>
              <w:t>Spectrum planning, assignment and coordination requirements</w:t>
            </w:r>
          </w:p>
        </w:tc>
        <w:tc>
          <w:tcPr>
            <w:tcW w:w="2669" w:type="pct"/>
            <w:shd w:val="clear" w:color="auto" w:fill="F2F2F2" w:themeFill="background1" w:themeFillShade="F2"/>
          </w:tcPr>
          <w:p w14:paraId="48B0D985" w14:textId="4AC0618E" w:rsidR="004C723D" w:rsidRPr="003E5DE1" w:rsidRDefault="004C723D" w:rsidP="004C723D">
            <w:pPr>
              <w:spacing w:after="0" w:line="240" w:lineRule="auto"/>
            </w:pPr>
            <w:r>
              <w:t>O</w:t>
            </w:r>
            <w:r w:rsidRPr="00A23FB5">
              <w:t>ngoing review of the spectrum planning technical framework to ensure its currency and consistency with current technologies and operational practices</w:t>
            </w:r>
          </w:p>
        </w:tc>
        <w:tc>
          <w:tcPr>
            <w:tcW w:w="1223" w:type="pct"/>
            <w:shd w:val="clear" w:color="auto" w:fill="F2F2F2" w:themeFill="background1" w:themeFillShade="F2"/>
          </w:tcPr>
          <w:p w14:paraId="2B5AC7A1" w14:textId="77777777" w:rsidR="004C723D" w:rsidRDefault="004C723D" w:rsidP="00513FDE">
            <w:pPr>
              <w:spacing w:after="120" w:line="240" w:lineRule="auto"/>
            </w:pPr>
            <w:r>
              <w:t>Ongoing</w:t>
            </w:r>
          </w:p>
          <w:p w14:paraId="4395A506" w14:textId="35C7BD92" w:rsidR="004C723D" w:rsidRPr="00FC330D" w:rsidRDefault="004C723D" w:rsidP="004C723D">
            <w:pPr>
              <w:spacing w:after="0" w:line="240" w:lineRule="auto"/>
            </w:pPr>
            <w:r>
              <w:t xml:space="preserve">Q4 2020: </w:t>
            </w:r>
            <w:r w:rsidR="00745CC0">
              <w:t>C</w:t>
            </w:r>
            <w:r>
              <w:t xml:space="preserve">onsult on </w:t>
            </w:r>
            <w:r w:rsidRPr="00A23FB5">
              <w:t xml:space="preserve">draft updated frequency coordination review work </w:t>
            </w:r>
          </w:p>
        </w:tc>
      </w:tr>
      <w:tr w:rsidR="004C723D" w:rsidRPr="004804C7" w14:paraId="17F190A2" w14:textId="77777777" w:rsidTr="00A7210B">
        <w:trPr>
          <w:cantSplit/>
          <w:trHeight w:val="21"/>
        </w:trPr>
        <w:tc>
          <w:tcPr>
            <w:tcW w:w="1108" w:type="pct"/>
            <w:shd w:val="clear" w:color="auto" w:fill="auto"/>
          </w:tcPr>
          <w:p w14:paraId="735652E9" w14:textId="2FA8FCE8" w:rsidR="004C723D" w:rsidRPr="007E72B9" w:rsidRDefault="004C723D" w:rsidP="004C723D">
            <w:pPr>
              <w:spacing w:after="0" w:line="240" w:lineRule="auto"/>
            </w:pPr>
            <w:r w:rsidRPr="007E72B9">
              <w:t>Spectrum licence technical frameworks</w:t>
            </w:r>
          </w:p>
        </w:tc>
        <w:tc>
          <w:tcPr>
            <w:tcW w:w="2669" w:type="pct"/>
            <w:shd w:val="clear" w:color="auto" w:fill="auto"/>
          </w:tcPr>
          <w:p w14:paraId="51B79A8C" w14:textId="6288A5DF" w:rsidR="004C723D" w:rsidRDefault="004C723D" w:rsidP="004C723D">
            <w:pPr>
              <w:spacing w:after="0" w:line="240" w:lineRule="auto"/>
            </w:pPr>
            <w:r>
              <w:t xml:space="preserve">Ongoing program of review of </w:t>
            </w:r>
            <w:r w:rsidRPr="00A23FB5">
              <w:t>technical frameworks below 4 GHz</w:t>
            </w:r>
          </w:p>
        </w:tc>
        <w:tc>
          <w:tcPr>
            <w:tcW w:w="1223" w:type="pct"/>
            <w:shd w:val="clear" w:color="auto" w:fill="auto"/>
          </w:tcPr>
          <w:p w14:paraId="0BB0C7E7" w14:textId="0DD7103A" w:rsidR="004C723D" w:rsidRDefault="004C723D" w:rsidP="004C723D">
            <w:pPr>
              <w:spacing w:after="0" w:line="240" w:lineRule="auto"/>
            </w:pPr>
            <w:r>
              <w:t>Ongoing</w:t>
            </w:r>
          </w:p>
        </w:tc>
      </w:tr>
      <w:tr w:rsidR="004C723D" w:rsidRPr="004804C7" w14:paraId="05EF8D37" w14:textId="77777777" w:rsidTr="0010018E">
        <w:trPr>
          <w:cantSplit/>
          <w:trHeight w:val="21"/>
        </w:trPr>
        <w:tc>
          <w:tcPr>
            <w:tcW w:w="1108" w:type="pct"/>
            <w:shd w:val="clear" w:color="auto" w:fill="F2F2F2" w:themeFill="background1" w:themeFillShade="F2"/>
          </w:tcPr>
          <w:p w14:paraId="6CC4BCAF" w14:textId="6F4C1996" w:rsidR="004C723D" w:rsidRPr="007E72B9" w:rsidRDefault="004C723D" w:rsidP="004C723D">
            <w:pPr>
              <w:spacing w:after="0" w:line="240" w:lineRule="auto"/>
            </w:pPr>
            <w:r w:rsidRPr="007E72B9">
              <w:t>Spectrum sharing approaches</w:t>
            </w:r>
          </w:p>
        </w:tc>
        <w:tc>
          <w:tcPr>
            <w:tcW w:w="2669" w:type="pct"/>
            <w:shd w:val="clear" w:color="auto" w:fill="F2F2F2" w:themeFill="background1" w:themeFillShade="F2"/>
          </w:tcPr>
          <w:p w14:paraId="528785A0" w14:textId="4CA4FC54" w:rsidR="004C723D" w:rsidRDefault="004C723D" w:rsidP="004C723D">
            <w:pPr>
              <w:spacing w:after="0" w:line="240" w:lineRule="auto"/>
            </w:pPr>
            <w:r>
              <w:t xml:space="preserve">Ongoing consideration of </w:t>
            </w:r>
            <w:r w:rsidRPr="0053295D">
              <w:t xml:space="preserve">new approaches to </w:t>
            </w:r>
            <w:r>
              <w:t xml:space="preserve">spectrum </w:t>
            </w:r>
            <w:r w:rsidRPr="0053295D">
              <w:t>sharing</w:t>
            </w:r>
          </w:p>
        </w:tc>
        <w:tc>
          <w:tcPr>
            <w:tcW w:w="1223" w:type="pct"/>
            <w:shd w:val="clear" w:color="auto" w:fill="F2F2F2" w:themeFill="background1" w:themeFillShade="F2"/>
          </w:tcPr>
          <w:p w14:paraId="341E354D" w14:textId="1FF842ED" w:rsidR="004C723D" w:rsidRDefault="004C723D" w:rsidP="004C723D">
            <w:pPr>
              <w:spacing w:after="0" w:line="240" w:lineRule="auto"/>
            </w:pPr>
            <w:r>
              <w:t>Q2</w:t>
            </w:r>
            <w:r w:rsidR="00745CC0">
              <w:t>–</w:t>
            </w:r>
            <w:r>
              <w:t xml:space="preserve">3 2020: </w:t>
            </w:r>
            <w:r w:rsidR="00745CC0">
              <w:t>P</w:t>
            </w:r>
            <w:r w:rsidRPr="0053295D">
              <w:t>aper setting out next steps</w:t>
            </w:r>
          </w:p>
        </w:tc>
      </w:tr>
    </w:tbl>
    <w:p w14:paraId="37B973A2" w14:textId="77777777" w:rsidR="002E5E12" w:rsidRDefault="002E5E12" w:rsidP="00513FDE">
      <w:pPr>
        <w:pStyle w:val="ACMATableHeader"/>
        <w:numPr>
          <w:ilvl w:val="0"/>
          <w:numId w:val="0"/>
        </w:numPr>
      </w:pPr>
    </w:p>
    <w:p w14:paraId="69EF6398" w14:textId="49C43EE4" w:rsidR="00276ECF" w:rsidRPr="003E4DC6" w:rsidRDefault="00276ECF" w:rsidP="00513FDE">
      <w:pPr>
        <w:pStyle w:val="ACMATableHeader"/>
      </w:pPr>
      <w:r w:rsidRPr="003E4DC6">
        <w:t>Forward allocation work plan</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Caption w:val="Table title to go here"/>
        <w:tblDescription w:val="Table description to go here"/>
      </w:tblPr>
      <w:tblGrid>
        <w:gridCol w:w="1688"/>
        <w:gridCol w:w="5922"/>
      </w:tblGrid>
      <w:tr w:rsidR="00276ECF" w:rsidRPr="004804C7" w14:paraId="7D5FBA37" w14:textId="77777777" w:rsidTr="00A436B1">
        <w:trPr>
          <w:tblHeader/>
        </w:trPr>
        <w:tc>
          <w:tcPr>
            <w:tcW w:w="1109" w:type="pct"/>
            <w:shd w:val="clear" w:color="auto" w:fill="404040"/>
          </w:tcPr>
          <w:p w14:paraId="1FCCBE0C" w14:textId="77777777" w:rsidR="00276ECF" w:rsidRPr="004804C7" w:rsidRDefault="00276ECF" w:rsidP="00FC46BF">
            <w:pPr>
              <w:spacing w:after="0"/>
              <w:rPr>
                <w:b/>
                <w:color w:val="FFFFFF"/>
              </w:rPr>
            </w:pPr>
            <w:r w:rsidRPr="004804C7">
              <w:rPr>
                <w:b/>
                <w:color w:val="FFFFFF"/>
              </w:rPr>
              <w:t>Project priorities</w:t>
            </w:r>
          </w:p>
        </w:tc>
        <w:tc>
          <w:tcPr>
            <w:tcW w:w="3891" w:type="pct"/>
            <w:shd w:val="clear" w:color="auto" w:fill="404040"/>
          </w:tcPr>
          <w:p w14:paraId="0CA3A78E" w14:textId="77777777" w:rsidR="00276ECF" w:rsidRPr="004804C7" w:rsidRDefault="00276ECF" w:rsidP="00FC46BF">
            <w:pPr>
              <w:spacing w:after="0"/>
              <w:rPr>
                <w:b/>
                <w:color w:val="FFFFFF"/>
              </w:rPr>
            </w:pPr>
            <w:r w:rsidRPr="004804C7">
              <w:rPr>
                <w:b/>
                <w:color w:val="FFFFFF"/>
              </w:rPr>
              <w:t>Proposed timelines—next steps</w:t>
            </w:r>
          </w:p>
        </w:tc>
      </w:tr>
      <w:tr w:rsidR="00BC67AF" w:rsidRPr="004804C7" w14:paraId="076FEB7F" w14:textId="77777777" w:rsidTr="00A436B1">
        <w:trPr>
          <w:trHeight w:val="189"/>
        </w:trPr>
        <w:tc>
          <w:tcPr>
            <w:tcW w:w="1109" w:type="pct"/>
            <w:tcBorders>
              <w:top w:val="single" w:sz="4" w:space="0" w:color="auto"/>
              <w:left w:val="single" w:sz="4" w:space="0" w:color="auto"/>
              <w:bottom w:val="single" w:sz="4" w:space="0" w:color="auto"/>
              <w:right w:val="single" w:sz="4" w:space="0" w:color="auto"/>
            </w:tcBorders>
            <w:shd w:val="clear" w:color="auto" w:fill="auto"/>
          </w:tcPr>
          <w:p w14:paraId="26DCC01D" w14:textId="283A51AC" w:rsidR="00BC67AF" w:rsidRPr="007E72B9" w:rsidDel="00CD6124" w:rsidRDefault="00BC67AF" w:rsidP="00BC67AF">
            <w:pPr>
              <w:spacing w:after="0"/>
              <w:mirrorIndents/>
              <w:rPr>
                <w:rFonts w:cs="Arial"/>
                <w:szCs w:val="20"/>
              </w:rPr>
            </w:pPr>
            <w:r w:rsidRPr="007E72B9">
              <w:rPr>
                <w:rFonts w:cs="Arial"/>
                <w:szCs w:val="20"/>
              </w:rPr>
              <w:t xml:space="preserve">26 and 28 GHz bands </w:t>
            </w:r>
          </w:p>
        </w:tc>
        <w:tc>
          <w:tcPr>
            <w:tcW w:w="3891" w:type="pct"/>
            <w:tcBorders>
              <w:top w:val="single" w:sz="4" w:space="0" w:color="auto"/>
              <w:left w:val="single" w:sz="4" w:space="0" w:color="auto"/>
              <w:bottom w:val="single" w:sz="4" w:space="0" w:color="auto"/>
              <w:right w:val="single" w:sz="4" w:space="0" w:color="auto"/>
            </w:tcBorders>
            <w:shd w:val="clear" w:color="auto" w:fill="auto"/>
          </w:tcPr>
          <w:p w14:paraId="3FA62114" w14:textId="46BB4BF3" w:rsidR="002E5E12" w:rsidRDefault="00BC67AF" w:rsidP="00513FDE">
            <w:pPr>
              <w:pStyle w:val="Paragraphbeforelist"/>
            </w:pPr>
            <w:r>
              <w:t>Q3 2020</w:t>
            </w:r>
            <w:r w:rsidR="00035F11">
              <w:t>:</w:t>
            </w:r>
            <w:r>
              <w:t xml:space="preserve"> </w:t>
            </w:r>
            <w:r w:rsidR="00035F11">
              <w:t>C</w:t>
            </w:r>
            <w:r w:rsidRPr="0023347D">
              <w:t>onsult on</w:t>
            </w:r>
            <w:r w:rsidR="002E5E12">
              <w:t>:</w:t>
            </w:r>
          </w:p>
          <w:p w14:paraId="2F88B93B" w14:textId="4A489932" w:rsidR="002E5E12" w:rsidRDefault="00BC67AF" w:rsidP="00513FDE">
            <w:pPr>
              <w:pStyle w:val="Bulletlevel1"/>
            </w:pPr>
            <w:r w:rsidRPr="0023347D">
              <w:t>drafts of the technical framework instruments</w:t>
            </w:r>
            <w:r>
              <w:t xml:space="preserve"> </w:t>
            </w:r>
          </w:p>
          <w:p w14:paraId="6A33C0B2" w14:textId="2122297D" w:rsidR="00035F11" w:rsidRDefault="00BC67AF" w:rsidP="00513FDE">
            <w:pPr>
              <w:pStyle w:val="Bulletlevel1"/>
              <w:spacing w:after="120"/>
            </w:pPr>
            <w:r w:rsidRPr="00BC67AF">
              <w:t xml:space="preserve">coordination </w:t>
            </w:r>
            <w:r w:rsidR="00A47182">
              <w:t>and licensing</w:t>
            </w:r>
            <w:r w:rsidRPr="00BC67AF">
              <w:t xml:space="preserve"> arrangements for new FSS gateway earth stations in the range 27</w:t>
            </w:r>
            <w:r w:rsidR="002E5E12">
              <w:t>–</w:t>
            </w:r>
            <w:r w:rsidRPr="00BC67AF">
              <w:t>2</w:t>
            </w:r>
            <w:r w:rsidR="00A47182">
              <w:t>9.5</w:t>
            </w:r>
            <w:r w:rsidRPr="00BC67AF">
              <w:t xml:space="preserve"> GHz</w:t>
            </w:r>
          </w:p>
          <w:p w14:paraId="2F8D7FD8" w14:textId="369E645F" w:rsidR="00035F11" w:rsidRDefault="00035F11" w:rsidP="00513FDE">
            <w:pPr>
              <w:spacing w:after="120"/>
              <w:mirrorIndents/>
            </w:pPr>
            <w:r>
              <w:t>Q2</w:t>
            </w:r>
            <w:r w:rsidR="002E5E12">
              <w:t>–</w:t>
            </w:r>
            <w:r>
              <w:t>3 2020: Consult on draft allocation instruments for spectrum licences</w:t>
            </w:r>
          </w:p>
          <w:p w14:paraId="596EB294" w14:textId="05698E7C" w:rsidR="00BC67AF" w:rsidRDefault="00BC67AF" w:rsidP="00513FDE">
            <w:pPr>
              <w:spacing w:after="120"/>
              <w:mirrorIndents/>
            </w:pPr>
            <w:r>
              <w:t>Q3 2020</w:t>
            </w:r>
            <w:r w:rsidR="00035F11">
              <w:t>:</w:t>
            </w:r>
            <w:r>
              <w:t xml:space="preserve"> Consult on taxation and other matters for apparatus licenses in the 26 and 28 GHz bands</w:t>
            </w:r>
          </w:p>
          <w:p w14:paraId="217932F9" w14:textId="44775C5D" w:rsidR="00EF3F72" w:rsidRDefault="00EF3F72" w:rsidP="00513FDE">
            <w:pPr>
              <w:spacing w:after="120"/>
              <w:mirrorIndents/>
            </w:pPr>
            <w:r>
              <w:t xml:space="preserve">Q4 2020: </w:t>
            </w:r>
            <w:r w:rsidR="00926F8E">
              <w:t>S</w:t>
            </w:r>
            <w:r>
              <w:t>ome apparatus licences in 26 and 28 GHz</w:t>
            </w:r>
            <w:r w:rsidR="00926F8E">
              <w:t xml:space="preserve"> become available for issue</w:t>
            </w:r>
          </w:p>
          <w:p w14:paraId="13DC59DB" w14:textId="49DBBCD6" w:rsidR="00BC67AF" w:rsidRPr="004804C7" w:rsidRDefault="00BC67AF" w:rsidP="00BC67AF">
            <w:pPr>
              <w:spacing w:after="0"/>
              <w:mirrorIndents/>
            </w:pPr>
            <w:r>
              <w:t xml:space="preserve">Q1 2021: </w:t>
            </w:r>
            <w:r w:rsidR="004B70B4">
              <w:t xml:space="preserve">Auction </w:t>
            </w:r>
            <w:r>
              <w:t xml:space="preserve">of spectrum licences </w:t>
            </w:r>
          </w:p>
        </w:tc>
      </w:tr>
      <w:tr w:rsidR="003E4DC6" w:rsidRPr="004804C7" w14:paraId="16155F76" w14:textId="6CB4AA1B" w:rsidTr="0010018E">
        <w:trPr>
          <w:trHeight w:val="189"/>
        </w:trPr>
        <w:tc>
          <w:tcPr>
            <w:tcW w:w="1109" w:type="pct"/>
            <w:shd w:val="clear" w:color="auto" w:fill="F2F2F2" w:themeFill="background1" w:themeFillShade="F2"/>
          </w:tcPr>
          <w:p w14:paraId="63ADC89A" w14:textId="19D9CFD4" w:rsidR="003E4DC6" w:rsidRPr="007E72B9" w:rsidRDefault="003E4DC6" w:rsidP="003E4DC6">
            <w:pPr>
              <w:spacing w:after="0"/>
              <w:mirrorIndents/>
              <w:rPr>
                <w:rFonts w:cs="Arial"/>
                <w:szCs w:val="20"/>
              </w:rPr>
            </w:pPr>
            <w:r w:rsidRPr="007E72B9">
              <w:t>850/900 MHz</w:t>
            </w:r>
          </w:p>
        </w:tc>
        <w:tc>
          <w:tcPr>
            <w:tcW w:w="3891" w:type="pct"/>
            <w:shd w:val="clear" w:color="auto" w:fill="F2F2F2" w:themeFill="background1" w:themeFillShade="F2"/>
          </w:tcPr>
          <w:p w14:paraId="1CF5A05A" w14:textId="6EC37E56" w:rsidR="003E4DC6" w:rsidRDefault="003E4DC6" w:rsidP="003E4DC6">
            <w:pPr>
              <w:spacing w:after="0"/>
              <w:mirrorIndents/>
            </w:pPr>
            <w:r>
              <w:t>Q 3 2020</w:t>
            </w:r>
            <w:r w:rsidR="002E5E12">
              <w:t>:</w:t>
            </w:r>
            <w:r>
              <w:t xml:space="preserve"> Consult on draft reallocation recommendation to Minister</w:t>
            </w:r>
          </w:p>
        </w:tc>
      </w:tr>
      <w:tr w:rsidR="003E4DC6" w:rsidRPr="004804C7" w14:paraId="7070BC0D" w14:textId="77777777" w:rsidTr="00A436B1">
        <w:trPr>
          <w:trHeight w:val="189"/>
        </w:trPr>
        <w:tc>
          <w:tcPr>
            <w:tcW w:w="1109" w:type="pct"/>
            <w:tcBorders>
              <w:top w:val="single" w:sz="4" w:space="0" w:color="auto"/>
              <w:left w:val="single" w:sz="4" w:space="0" w:color="auto"/>
              <w:bottom w:val="single" w:sz="4" w:space="0" w:color="auto"/>
              <w:right w:val="single" w:sz="4" w:space="0" w:color="auto"/>
            </w:tcBorders>
            <w:shd w:val="clear" w:color="auto" w:fill="auto"/>
          </w:tcPr>
          <w:p w14:paraId="3EA815E5" w14:textId="34A8F3EE" w:rsidR="003E4DC6" w:rsidRPr="007E72B9" w:rsidRDefault="003E4DC6" w:rsidP="003E4DC6">
            <w:pPr>
              <w:spacing w:after="0"/>
              <w:mirrorIndents/>
              <w:rPr>
                <w:rFonts w:cs="Arial"/>
                <w:szCs w:val="20"/>
              </w:rPr>
            </w:pPr>
            <w:r w:rsidRPr="007E72B9" w:rsidDel="00102818">
              <w:t>3400–3575 MHz</w:t>
            </w:r>
          </w:p>
        </w:tc>
        <w:tc>
          <w:tcPr>
            <w:tcW w:w="3891" w:type="pct"/>
            <w:tcBorders>
              <w:top w:val="single" w:sz="4" w:space="0" w:color="auto"/>
              <w:left w:val="single" w:sz="4" w:space="0" w:color="auto"/>
              <w:bottom w:val="single" w:sz="4" w:space="0" w:color="auto"/>
              <w:right w:val="single" w:sz="4" w:space="0" w:color="auto"/>
            </w:tcBorders>
            <w:shd w:val="clear" w:color="auto" w:fill="auto"/>
          </w:tcPr>
          <w:p w14:paraId="24EBA9E5" w14:textId="0E23AB17" w:rsidR="003E4DC6" w:rsidRDefault="003E4DC6" w:rsidP="00513FDE">
            <w:pPr>
              <w:spacing w:after="120"/>
              <w:mirrorIndents/>
            </w:pPr>
            <w:r>
              <w:t>Q3</w:t>
            </w:r>
            <w:r w:rsidR="002E5E12">
              <w:t>–</w:t>
            </w:r>
            <w:r>
              <w:t>4 2020: Finalise restack of incumbent services</w:t>
            </w:r>
          </w:p>
          <w:p w14:paraId="515CCEA7" w14:textId="09675385" w:rsidR="003E4DC6" w:rsidRDefault="003E4DC6" w:rsidP="003E4DC6">
            <w:pPr>
              <w:spacing w:after="0"/>
              <w:mirrorIndents/>
            </w:pPr>
            <w:r>
              <w:t>Q4 2020</w:t>
            </w:r>
            <w:r w:rsidR="002E5E12">
              <w:t xml:space="preserve"> – </w:t>
            </w:r>
            <w:r>
              <w:t xml:space="preserve">Q2 2021: </w:t>
            </w:r>
            <w:r w:rsidR="00B50B67">
              <w:t>If</w:t>
            </w:r>
            <w:r>
              <w:t xml:space="preserve"> the Minister make</w:t>
            </w:r>
            <w:r w:rsidR="00B50B67">
              <w:t>s a decision to designate spectrum</w:t>
            </w:r>
            <w:r>
              <w:t>, conduct activities to convert NBN Co’s apparatus licences to spectrum licences</w:t>
            </w:r>
          </w:p>
        </w:tc>
      </w:tr>
    </w:tbl>
    <w:p w14:paraId="13AEF4BB" w14:textId="77777777" w:rsidR="00676612" w:rsidRDefault="00676612" w:rsidP="00276ECF">
      <w:pPr>
        <w:rPr>
          <w:b/>
          <w:bCs/>
        </w:rPr>
      </w:pPr>
    </w:p>
    <w:p w14:paraId="2FB83F4B" w14:textId="45E67B21" w:rsidR="00276ECF" w:rsidRPr="00276ECF" w:rsidRDefault="00276ECF" w:rsidP="00513FDE">
      <w:pPr>
        <w:pStyle w:val="ACMATableHeader"/>
        <w:keepNext/>
        <w:keepLines/>
        <w:rPr>
          <w:b w:val="0"/>
        </w:rPr>
      </w:pPr>
      <w:r w:rsidRPr="0099510B">
        <w:lastRenderedPageBreak/>
        <w:t xml:space="preserve">Licensing and licensing </w:t>
      </w:r>
      <w:r w:rsidRPr="002E5E12">
        <w:t>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Caption w:val="Table title to go here"/>
        <w:tblDescription w:val="Table description to go here"/>
      </w:tblPr>
      <w:tblGrid>
        <w:gridCol w:w="3256"/>
        <w:gridCol w:w="4405"/>
      </w:tblGrid>
      <w:tr w:rsidR="00276ECF" w:rsidRPr="004804C7" w14:paraId="3A398DCE" w14:textId="77777777" w:rsidTr="000650FB">
        <w:trPr>
          <w:tblHeader/>
        </w:trPr>
        <w:tc>
          <w:tcPr>
            <w:tcW w:w="2125" w:type="pct"/>
            <w:shd w:val="clear" w:color="auto" w:fill="404040"/>
          </w:tcPr>
          <w:p w14:paraId="4A60DD8A" w14:textId="77777777" w:rsidR="00276ECF" w:rsidRPr="004804C7" w:rsidRDefault="00276ECF" w:rsidP="00513FDE">
            <w:pPr>
              <w:keepNext/>
              <w:keepLines/>
              <w:spacing w:after="0"/>
              <w:rPr>
                <w:b/>
                <w:color w:val="FFFFFF"/>
              </w:rPr>
            </w:pPr>
            <w:r w:rsidRPr="004804C7">
              <w:rPr>
                <w:b/>
                <w:color w:val="FFFFFF"/>
              </w:rPr>
              <w:t>Project priorities</w:t>
            </w:r>
          </w:p>
        </w:tc>
        <w:tc>
          <w:tcPr>
            <w:tcW w:w="2875" w:type="pct"/>
            <w:shd w:val="clear" w:color="auto" w:fill="404040"/>
          </w:tcPr>
          <w:p w14:paraId="011FC0F1" w14:textId="77777777" w:rsidR="00276ECF" w:rsidRPr="004804C7" w:rsidRDefault="00276ECF" w:rsidP="00513FDE">
            <w:pPr>
              <w:keepNext/>
              <w:keepLines/>
              <w:spacing w:after="0"/>
              <w:rPr>
                <w:b/>
                <w:color w:val="FFFFFF"/>
              </w:rPr>
            </w:pPr>
            <w:r w:rsidRPr="004804C7">
              <w:rPr>
                <w:b/>
                <w:color w:val="FFFFFF"/>
              </w:rPr>
              <w:t>Proposed timelines</w:t>
            </w:r>
          </w:p>
        </w:tc>
      </w:tr>
      <w:tr w:rsidR="00276ECF" w:rsidRPr="004804C7" w:rsidDel="00434C07" w14:paraId="30564DE3" w14:textId="77777777" w:rsidTr="0010018E">
        <w:trPr>
          <w:trHeight w:val="653"/>
        </w:trPr>
        <w:tc>
          <w:tcPr>
            <w:tcW w:w="2125" w:type="pct"/>
            <w:shd w:val="clear" w:color="auto" w:fill="F2F2F2" w:themeFill="background1" w:themeFillShade="F2"/>
          </w:tcPr>
          <w:p w14:paraId="30662CF9" w14:textId="4E503F8D" w:rsidR="00276ECF" w:rsidRPr="004804C7" w:rsidDel="00434C07" w:rsidRDefault="00276ECF" w:rsidP="00513FDE">
            <w:pPr>
              <w:keepNext/>
              <w:keepLines/>
              <w:spacing w:after="0" w:line="240" w:lineRule="auto"/>
              <w:rPr>
                <w:rFonts w:cs="Arial"/>
              </w:rPr>
            </w:pPr>
            <w:r w:rsidRPr="004804C7">
              <w:rPr>
                <w:rFonts w:cs="Arial"/>
              </w:rPr>
              <w:t>Trial of mobile phone jammers at Goulburn Correctional Complex</w:t>
            </w:r>
          </w:p>
        </w:tc>
        <w:tc>
          <w:tcPr>
            <w:tcW w:w="2875" w:type="pct"/>
            <w:shd w:val="clear" w:color="auto" w:fill="F2F2F2" w:themeFill="background1" w:themeFillShade="F2"/>
          </w:tcPr>
          <w:p w14:paraId="5AD82027" w14:textId="080F311C" w:rsidR="00276ECF" w:rsidRPr="004804C7" w:rsidDel="00434C07" w:rsidRDefault="00AA41F1" w:rsidP="00513FDE">
            <w:pPr>
              <w:keepNext/>
              <w:keepLines/>
              <w:spacing w:after="0"/>
              <w:rPr>
                <w:rFonts w:cs="Arial"/>
              </w:rPr>
            </w:pPr>
            <w:r>
              <w:rPr>
                <w:rFonts w:cs="Arial"/>
              </w:rPr>
              <w:t>Ongoing:</w:t>
            </w:r>
            <w:bookmarkStart w:id="41" w:name="_Hlk36561423"/>
            <w:r w:rsidR="00C04AFD" w:rsidDel="007E79F8">
              <w:rPr>
                <w:rFonts w:cs="Arial"/>
              </w:rPr>
              <w:t xml:space="preserve"> </w:t>
            </w:r>
            <w:r w:rsidR="007E79F8">
              <w:rPr>
                <w:rFonts w:cs="Arial"/>
              </w:rPr>
              <w:t xml:space="preserve">Corrective Services NSW </w:t>
            </w:r>
            <w:r w:rsidR="00C04AFD">
              <w:rPr>
                <w:rFonts w:cs="Arial"/>
              </w:rPr>
              <w:t xml:space="preserve">commenced a two-year trial on </w:t>
            </w:r>
            <w:r w:rsidR="000A79B1">
              <w:rPr>
                <w:rFonts w:cs="Arial"/>
              </w:rPr>
              <w:t>13 December 2019</w:t>
            </w:r>
            <w:r w:rsidR="00C04AFD">
              <w:rPr>
                <w:rFonts w:cs="Arial"/>
              </w:rPr>
              <w:t xml:space="preserve"> under the exemption determination</w:t>
            </w:r>
            <w:bookmarkEnd w:id="41"/>
          </w:p>
        </w:tc>
      </w:tr>
      <w:tr w:rsidR="00276ECF" w:rsidRPr="004804C7" w14:paraId="4F10025A" w14:textId="77777777" w:rsidTr="000650FB">
        <w:tc>
          <w:tcPr>
            <w:tcW w:w="2125" w:type="pct"/>
            <w:shd w:val="clear" w:color="auto" w:fill="auto"/>
          </w:tcPr>
          <w:p w14:paraId="56838AC7" w14:textId="77777777" w:rsidR="00276ECF" w:rsidRPr="0016070B" w:rsidRDefault="00276ECF" w:rsidP="00513FDE">
            <w:pPr>
              <w:keepNext/>
              <w:keepLines/>
              <w:spacing w:after="0" w:line="240" w:lineRule="auto"/>
              <w:rPr>
                <w:rFonts w:cs="Arial"/>
                <w:highlight w:val="yellow"/>
              </w:rPr>
            </w:pPr>
            <w:r w:rsidRPr="00EC4BDA">
              <w:rPr>
                <w:rFonts w:cs="Arial"/>
              </w:rPr>
              <w:t xml:space="preserve">400 MHz band </w:t>
            </w:r>
          </w:p>
        </w:tc>
        <w:tc>
          <w:tcPr>
            <w:tcW w:w="2875" w:type="pct"/>
            <w:shd w:val="clear" w:color="auto" w:fill="auto"/>
          </w:tcPr>
          <w:p w14:paraId="0F6FCCC9" w14:textId="4DE1A7B6" w:rsidR="00276ECF" w:rsidRPr="00454323" w:rsidRDefault="00276ECF" w:rsidP="00513FDE">
            <w:pPr>
              <w:keepNext/>
              <w:keepLines/>
              <w:spacing w:after="0" w:line="240" w:lineRule="auto"/>
              <w:rPr>
                <w:rFonts w:cs="Arial"/>
                <w:highlight w:val="yellow"/>
              </w:rPr>
            </w:pPr>
            <w:r w:rsidRPr="00EC4BDA">
              <w:t>Final</w:t>
            </w:r>
            <w:r w:rsidR="0009170E" w:rsidRPr="00EC4BDA">
              <w:t>ise</w:t>
            </w:r>
            <w:r w:rsidRPr="00EC4BDA">
              <w:t xml:space="preserve"> the 400 MHz implementation project</w:t>
            </w:r>
          </w:p>
        </w:tc>
      </w:tr>
      <w:tr w:rsidR="00276ECF" w:rsidRPr="004804C7" w14:paraId="447C21D0" w14:textId="050FDF5E" w:rsidTr="0010018E">
        <w:trPr>
          <w:trHeight w:val="769"/>
        </w:trPr>
        <w:tc>
          <w:tcPr>
            <w:tcW w:w="2125" w:type="pct"/>
            <w:shd w:val="clear" w:color="auto" w:fill="F2F2F2" w:themeFill="background1" w:themeFillShade="F2"/>
          </w:tcPr>
          <w:p w14:paraId="34370D8A" w14:textId="43FC73B8" w:rsidR="00276ECF" w:rsidRPr="004804C7" w:rsidRDefault="00276ECF" w:rsidP="00513FDE">
            <w:pPr>
              <w:keepNext/>
              <w:keepLines/>
              <w:spacing w:after="0" w:line="240" w:lineRule="auto"/>
            </w:pPr>
            <w:bookmarkStart w:id="42" w:name="_Hlk36110943"/>
            <w:r w:rsidRPr="00424A14">
              <w:rPr>
                <w:rFonts w:cs="Arial"/>
              </w:rPr>
              <w:t>Review of prohibition declarations and exemption determinations</w:t>
            </w:r>
            <w:bookmarkEnd w:id="42"/>
          </w:p>
        </w:tc>
        <w:tc>
          <w:tcPr>
            <w:tcW w:w="2875" w:type="pct"/>
            <w:shd w:val="clear" w:color="auto" w:fill="F2F2F2" w:themeFill="background1" w:themeFillShade="F2"/>
          </w:tcPr>
          <w:p w14:paraId="3F0F2E9D" w14:textId="67024353" w:rsidR="00276ECF" w:rsidRPr="004804C7" w:rsidRDefault="002E5E12" w:rsidP="00513FDE">
            <w:pPr>
              <w:keepNext/>
              <w:keepLines/>
            </w:pPr>
            <w:bookmarkStart w:id="43" w:name="_Hlk36549183"/>
            <w:r>
              <w:t>Q2–3 2020:</w:t>
            </w:r>
            <w:r w:rsidRPr="00FC330D" w:rsidDel="00FE74C7">
              <w:t xml:space="preserve"> </w:t>
            </w:r>
            <w:r w:rsidR="005152CD">
              <w:t xml:space="preserve">Consult on issues paper </w:t>
            </w:r>
            <w:bookmarkEnd w:id="43"/>
          </w:p>
        </w:tc>
      </w:tr>
      <w:tr w:rsidR="005F1178" w:rsidRPr="004804C7" w14:paraId="53B59A82" w14:textId="77777777" w:rsidTr="000650FB">
        <w:trPr>
          <w:trHeight w:val="594"/>
        </w:trPr>
        <w:tc>
          <w:tcPr>
            <w:tcW w:w="2125" w:type="pct"/>
            <w:shd w:val="clear" w:color="auto" w:fill="auto"/>
          </w:tcPr>
          <w:p w14:paraId="5D8E6039" w14:textId="0BD2526D" w:rsidR="005F1178" w:rsidRPr="00424A14" w:rsidRDefault="00653DAA" w:rsidP="00513FDE">
            <w:pPr>
              <w:keepNext/>
              <w:keepLines/>
              <w:spacing w:after="0" w:line="240" w:lineRule="auto"/>
              <w:rPr>
                <w:rFonts w:cs="Arial"/>
              </w:rPr>
            </w:pPr>
            <w:r>
              <w:rPr>
                <w:rFonts w:cs="Arial"/>
              </w:rPr>
              <w:t>Consider</w:t>
            </w:r>
            <w:r w:rsidR="005F1178">
              <w:rPr>
                <w:rFonts w:cs="Arial"/>
              </w:rPr>
              <w:t xml:space="preserve"> facilitating trials of RNSS repeaters</w:t>
            </w:r>
          </w:p>
        </w:tc>
        <w:tc>
          <w:tcPr>
            <w:tcW w:w="2875" w:type="pct"/>
            <w:shd w:val="clear" w:color="auto" w:fill="auto"/>
          </w:tcPr>
          <w:p w14:paraId="3A0E5A93" w14:textId="70B7A1B8" w:rsidR="005F1178" w:rsidRPr="0029192A" w:rsidRDefault="008F50B8" w:rsidP="00513FDE">
            <w:pPr>
              <w:keepNext/>
              <w:keepLines/>
              <w:rPr>
                <w:rStyle w:val="CommentReference"/>
                <w:sz w:val="20"/>
                <w:szCs w:val="20"/>
              </w:rPr>
            </w:pPr>
            <w:r w:rsidRPr="0042464D">
              <w:rPr>
                <w:rStyle w:val="CommentReference"/>
                <w:sz w:val="20"/>
                <w:szCs w:val="20"/>
              </w:rPr>
              <w:t>Q2</w:t>
            </w:r>
            <w:r w:rsidR="002E5E12">
              <w:t>–</w:t>
            </w:r>
            <w:r w:rsidR="00FC330D" w:rsidRPr="0042464D">
              <w:rPr>
                <w:rStyle w:val="CommentReference"/>
                <w:sz w:val="20"/>
                <w:szCs w:val="20"/>
              </w:rPr>
              <w:t>3</w:t>
            </w:r>
            <w:r w:rsidR="005152CD" w:rsidRPr="0042464D">
              <w:rPr>
                <w:rStyle w:val="CommentReference"/>
                <w:sz w:val="20"/>
                <w:szCs w:val="20"/>
              </w:rPr>
              <w:t xml:space="preserve"> </w:t>
            </w:r>
            <w:r w:rsidRPr="0042464D">
              <w:rPr>
                <w:rStyle w:val="CommentReference"/>
                <w:sz w:val="20"/>
                <w:szCs w:val="20"/>
              </w:rPr>
              <w:t>2020</w:t>
            </w:r>
            <w:r w:rsidR="00653DAA">
              <w:rPr>
                <w:rStyle w:val="CommentReference"/>
                <w:sz w:val="20"/>
                <w:szCs w:val="20"/>
              </w:rPr>
              <w:t>: Consult</w:t>
            </w:r>
          </w:p>
        </w:tc>
      </w:tr>
      <w:tr w:rsidR="00276ECF" w:rsidRPr="004804C7" w14:paraId="5A9E6B94" w14:textId="77777777" w:rsidTr="0010018E">
        <w:trPr>
          <w:trHeight w:val="945"/>
        </w:trPr>
        <w:tc>
          <w:tcPr>
            <w:tcW w:w="2125" w:type="pct"/>
            <w:shd w:val="clear" w:color="auto" w:fill="F2F2F2" w:themeFill="background1" w:themeFillShade="F2"/>
          </w:tcPr>
          <w:p w14:paraId="692A0E2A" w14:textId="1EB0CB22" w:rsidR="00276ECF" w:rsidRPr="00454323" w:rsidRDefault="00653DAA" w:rsidP="00276ECF">
            <w:pPr>
              <w:spacing w:after="0" w:line="240" w:lineRule="auto"/>
              <w:rPr>
                <w:rFonts w:cs="Arial"/>
                <w:highlight w:val="yellow"/>
              </w:rPr>
            </w:pPr>
            <w:bookmarkStart w:id="44" w:name="_Hlk34215823"/>
            <w:r>
              <w:t>Consider</w:t>
            </w:r>
            <w:r w:rsidR="00276ECF" w:rsidRPr="006717B4">
              <w:t xml:space="preserve"> changes to regulatory arrangements for counter-drone equipment </w:t>
            </w:r>
            <w:bookmarkEnd w:id="44"/>
          </w:p>
        </w:tc>
        <w:tc>
          <w:tcPr>
            <w:tcW w:w="2875" w:type="pct"/>
            <w:shd w:val="clear" w:color="auto" w:fill="F2F2F2" w:themeFill="background1" w:themeFillShade="F2"/>
          </w:tcPr>
          <w:p w14:paraId="0D6E46CA" w14:textId="0D4A7587" w:rsidR="00276ECF" w:rsidRPr="0016070B" w:rsidRDefault="005152CD" w:rsidP="00276ECF">
            <w:pPr>
              <w:rPr>
                <w:rFonts w:ascii="Calibri" w:hAnsi="Calibri"/>
                <w:highlight w:val="yellow"/>
              </w:rPr>
            </w:pPr>
            <w:bookmarkStart w:id="45" w:name="_Hlk34215833"/>
            <w:r w:rsidRPr="006717B4">
              <w:t>Q2</w:t>
            </w:r>
            <w:r w:rsidR="002E5E12">
              <w:t>–</w:t>
            </w:r>
            <w:r w:rsidR="006717B4" w:rsidRPr="006717B4">
              <w:t>3</w:t>
            </w:r>
            <w:r w:rsidRPr="006717B4">
              <w:t xml:space="preserve"> 2020</w:t>
            </w:r>
            <w:bookmarkEnd w:id="45"/>
            <w:r w:rsidR="00653DAA">
              <w:t>: Consult</w:t>
            </w:r>
          </w:p>
        </w:tc>
      </w:tr>
      <w:tr w:rsidR="00276ECF" w:rsidRPr="004804C7" w14:paraId="43451D76" w14:textId="6A8B161D" w:rsidTr="000650FB">
        <w:trPr>
          <w:trHeight w:val="628"/>
        </w:trPr>
        <w:tc>
          <w:tcPr>
            <w:tcW w:w="2125" w:type="pct"/>
            <w:shd w:val="clear" w:color="auto" w:fill="auto"/>
          </w:tcPr>
          <w:p w14:paraId="621DCC8D" w14:textId="1397FD8E" w:rsidR="00276ECF" w:rsidRPr="004804C7" w:rsidRDefault="00653DAA" w:rsidP="00276ECF">
            <w:pPr>
              <w:spacing w:after="0" w:line="240" w:lineRule="auto"/>
            </w:pPr>
            <w:r>
              <w:rPr>
                <w:rFonts w:cs="Arial"/>
              </w:rPr>
              <w:t>Review</w:t>
            </w:r>
            <w:r w:rsidR="00AE0256">
              <w:rPr>
                <w:rFonts w:cs="Arial"/>
              </w:rPr>
              <w:t xml:space="preserve"> of </w:t>
            </w:r>
            <w:r w:rsidR="00276ECF" w:rsidRPr="004804C7">
              <w:rPr>
                <w:rFonts w:cs="Arial"/>
              </w:rPr>
              <w:t>non-assigned amateur and outpost licensing arrangements with a view to reform</w:t>
            </w:r>
            <w:r w:rsidR="00276ECF" w:rsidRPr="004804C7" w:rsidDel="00AE0256">
              <w:rPr>
                <w:rFonts w:cs="Arial"/>
              </w:rPr>
              <w:t xml:space="preserve"> </w:t>
            </w:r>
          </w:p>
        </w:tc>
        <w:tc>
          <w:tcPr>
            <w:tcW w:w="2875" w:type="pct"/>
            <w:shd w:val="clear" w:color="auto" w:fill="auto"/>
          </w:tcPr>
          <w:p w14:paraId="2C3D35C9" w14:textId="58A737AB" w:rsidR="00276ECF" w:rsidRPr="004804C7" w:rsidRDefault="00A47099" w:rsidP="00276ECF">
            <w:r>
              <w:t>Q2</w:t>
            </w:r>
            <w:r w:rsidR="002E5E12">
              <w:t>–</w:t>
            </w:r>
            <w:r>
              <w:t>3 2020</w:t>
            </w:r>
            <w:r w:rsidR="00653DAA">
              <w:t>: Consult</w:t>
            </w:r>
          </w:p>
        </w:tc>
      </w:tr>
      <w:tr w:rsidR="0041052B" w:rsidRPr="004804C7" w14:paraId="33E1FB12" w14:textId="77777777" w:rsidTr="0010018E">
        <w:trPr>
          <w:trHeight w:val="628"/>
        </w:trPr>
        <w:tc>
          <w:tcPr>
            <w:tcW w:w="2125" w:type="pct"/>
            <w:shd w:val="clear" w:color="auto" w:fill="F2F2F2" w:themeFill="background1" w:themeFillShade="F2"/>
          </w:tcPr>
          <w:p w14:paraId="1674B35B" w14:textId="6BAC470A" w:rsidR="0041052B" w:rsidRDefault="0041052B" w:rsidP="00276ECF">
            <w:pPr>
              <w:spacing w:after="0" w:line="240" w:lineRule="auto"/>
              <w:rPr>
                <w:rFonts w:cs="Arial"/>
              </w:rPr>
            </w:pPr>
            <w:r>
              <w:rPr>
                <w:rFonts w:cs="Arial"/>
              </w:rPr>
              <w:t xml:space="preserve">Review of the </w:t>
            </w:r>
            <w:r w:rsidR="00A7210B">
              <w:rPr>
                <w:rFonts w:cs="Arial"/>
              </w:rPr>
              <w:t>a</w:t>
            </w:r>
            <w:r>
              <w:rPr>
                <w:rFonts w:cs="Arial"/>
              </w:rPr>
              <w:t xml:space="preserve">ccredited </w:t>
            </w:r>
            <w:r w:rsidR="00A7210B">
              <w:rPr>
                <w:rFonts w:cs="Arial"/>
              </w:rPr>
              <w:t>p</w:t>
            </w:r>
            <w:r>
              <w:rPr>
                <w:rFonts w:cs="Arial"/>
              </w:rPr>
              <w:t>ersons scheme</w:t>
            </w:r>
          </w:p>
        </w:tc>
        <w:tc>
          <w:tcPr>
            <w:tcW w:w="2875" w:type="pct"/>
            <w:shd w:val="clear" w:color="auto" w:fill="F2F2F2" w:themeFill="background1" w:themeFillShade="F2"/>
          </w:tcPr>
          <w:p w14:paraId="5CBB2D54" w14:textId="76DB1AB9" w:rsidR="0041052B" w:rsidRDefault="0041052B" w:rsidP="00513FDE">
            <w:pPr>
              <w:spacing w:after="120" w:line="240" w:lineRule="auto"/>
              <w:rPr>
                <w:highlight w:val="yellow"/>
              </w:rPr>
            </w:pPr>
            <w:r w:rsidRPr="00FC330D">
              <w:t>Q2</w:t>
            </w:r>
            <w:r w:rsidR="002E5E12">
              <w:t>–</w:t>
            </w:r>
            <w:r w:rsidRPr="003B6370">
              <w:t>3 2020</w:t>
            </w:r>
            <w:r w:rsidR="002E5E12">
              <w:t>:</w:t>
            </w:r>
            <w:r w:rsidRPr="003B6370">
              <w:t xml:space="preserve"> Consult with accredited persons on the efficiency and effectiveness of the scheme</w:t>
            </w:r>
          </w:p>
          <w:p w14:paraId="161161CF" w14:textId="5EC467C2" w:rsidR="0041052B" w:rsidRPr="008A31E6" w:rsidRDefault="0041052B" w:rsidP="007366C8">
            <w:pPr>
              <w:spacing w:after="0" w:line="240" w:lineRule="auto"/>
              <w:rPr>
                <w:highlight w:val="yellow"/>
              </w:rPr>
            </w:pPr>
            <w:r w:rsidRPr="003B6370">
              <w:t>Q4</w:t>
            </w:r>
            <w:r w:rsidR="00EE296C">
              <w:t>:</w:t>
            </w:r>
            <w:r w:rsidRPr="003B6370">
              <w:t xml:space="preserve"> Where appropriate, consultation on operational and/or regulatory changes to the scheme</w:t>
            </w:r>
          </w:p>
        </w:tc>
      </w:tr>
    </w:tbl>
    <w:p w14:paraId="3D6D75DD" w14:textId="5C0710B3" w:rsidR="00276ECF" w:rsidRDefault="00276ECF" w:rsidP="00276ECF">
      <w:pPr>
        <w:rPr>
          <w:b/>
          <w:bCs/>
        </w:rPr>
      </w:pPr>
    </w:p>
    <w:p w14:paraId="7B15E801" w14:textId="5B00814E" w:rsidR="00276ECF" w:rsidRPr="00276ECF" w:rsidRDefault="00276ECF" w:rsidP="00513FDE">
      <w:pPr>
        <w:pStyle w:val="ACMATableHeader"/>
        <w:rPr>
          <w:b w:val="0"/>
        </w:rPr>
      </w:pPr>
      <w:r w:rsidRPr="00A436B1">
        <w:t>Pricing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Caption w:val="Table title to go here"/>
        <w:tblDescription w:val="Table description to go here"/>
      </w:tblPr>
      <w:tblGrid>
        <w:gridCol w:w="3256"/>
        <w:gridCol w:w="4405"/>
      </w:tblGrid>
      <w:tr w:rsidR="00276ECF" w:rsidRPr="004804C7" w14:paraId="5BFD49A5" w14:textId="77777777" w:rsidTr="000650FB">
        <w:trPr>
          <w:tblHeader/>
        </w:trPr>
        <w:tc>
          <w:tcPr>
            <w:tcW w:w="2125" w:type="pct"/>
            <w:shd w:val="clear" w:color="auto" w:fill="404040"/>
          </w:tcPr>
          <w:p w14:paraId="12725E16" w14:textId="77777777" w:rsidR="00276ECF" w:rsidRPr="004804C7" w:rsidRDefault="00276ECF" w:rsidP="00C96647">
            <w:pPr>
              <w:spacing w:after="0"/>
              <w:rPr>
                <w:b/>
                <w:color w:val="FFFFFF"/>
              </w:rPr>
            </w:pPr>
            <w:r w:rsidRPr="004804C7">
              <w:rPr>
                <w:b/>
                <w:color w:val="FFFFFF"/>
              </w:rPr>
              <w:t>Project priorities</w:t>
            </w:r>
          </w:p>
        </w:tc>
        <w:tc>
          <w:tcPr>
            <w:tcW w:w="2875" w:type="pct"/>
            <w:shd w:val="clear" w:color="auto" w:fill="404040"/>
          </w:tcPr>
          <w:p w14:paraId="48901EE0" w14:textId="77777777" w:rsidR="00276ECF" w:rsidRPr="004804C7" w:rsidRDefault="00276ECF" w:rsidP="00C96647">
            <w:pPr>
              <w:spacing w:after="0"/>
              <w:rPr>
                <w:b/>
                <w:color w:val="FFFFFF"/>
              </w:rPr>
            </w:pPr>
            <w:r w:rsidRPr="004804C7">
              <w:rPr>
                <w:b/>
                <w:color w:val="FFFFFF"/>
              </w:rPr>
              <w:t>Proposed timelines</w:t>
            </w:r>
          </w:p>
        </w:tc>
      </w:tr>
      <w:tr w:rsidR="00276ECF" w:rsidRPr="004804C7" w14:paraId="288E2360" w14:textId="2C9399D4" w:rsidTr="000650FB">
        <w:tc>
          <w:tcPr>
            <w:tcW w:w="2125" w:type="pct"/>
            <w:shd w:val="clear" w:color="auto" w:fill="auto"/>
          </w:tcPr>
          <w:p w14:paraId="1EFF29B7" w14:textId="5B421A07" w:rsidR="00276ECF" w:rsidRPr="004804C7" w:rsidRDefault="003C507E" w:rsidP="00276ECF">
            <w:pPr>
              <w:spacing w:after="0" w:line="240" w:lineRule="auto"/>
            </w:pPr>
            <w:r>
              <w:t>Pricing re</w:t>
            </w:r>
            <w:r w:rsidRPr="004804C7">
              <w:t>view</w:t>
            </w:r>
            <w:r w:rsidR="004A4191">
              <w:t xml:space="preserve"> implementation</w:t>
            </w:r>
          </w:p>
        </w:tc>
        <w:tc>
          <w:tcPr>
            <w:tcW w:w="2875" w:type="pct"/>
            <w:shd w:val="clear" w:color="auto" w:fill="auto"/>
          </w:tcPr>
          <w:p w14:paraId="72BBC554" w14:textId="2F535FE5" w:rsidR="00276ECF" w:rsidRPr="004804C7" w:rsidRDefault="00EE296C" w:rsidP="00276ECF">
            <w:pPr>
              <w:spacing w:after="0" w:line="240" w:lineRule="auto"/>
            </w:pPr>
            <w:r>
              <w:t>Q3 2020: Publish r</w:t>
            </w:r>
            <w:r w:rsidR="00E94DC0">
              <w:t>esponse to submissions paper. This paper will outline the</w:t>
            </w:r>
            <w:r w:rsidR="00276ECF">
              <w:t xml:space="preserve"> </w:t>
            </w:r>
            <w:r>
              <w:t>w</w:t>
            </w:r>
            <w:r w:rsidR="00276ECF" w:rsidRPr="0002359A">
              <w:t>ork program to implement the Spectrum Pricing Review</w:t>
            </w:r>
            <w:r w:rsidR="00E94DC0">
              <w:t xml:space="preserve"> over 2020 and 2021</w:t>
            </w:r>
          </w:p>
        </w:tc>
      </w:tr>
      <w:tr w:rsidR="00276ECF" w:rsidRPr="004804C7" w14:paraId="3BA00053" w14:textId="77777777" w:rsidTr="0010018E">
        <w:tc>
          <w:tcPr>
            <w:tcW w:w="2125" w:type="pct"/>
            <w:shd w:val="clear" w:color="auto" w:fill="F2F2F2" w:themeFill="background1" w:themeFillShade="F2"/>
          </w:tcPr>
          <w:p w14:paraId="6FEFD717" w14:textId="77777777" w:rsidR="00276ECF" w:rsidRPr="003C507E" w:rsidRDefault="00276ECF" w:rsidP="00276ECF">
            <w:pPr>
              <w:spacing w:after="0" w:line="240" w:lineRule="auto"/>
            </w:pPr>
            <w:r w:rsidRPr="003C507E">
              <w:t xml:space="preserve">Commercial broadcasting tax arrangements </w:t>
            </w:r>
          </w:p>
        </w:tc>
        <w:tc>
          <w:tcPr>
            <w:tcW w:w="2875" w:type="pct"/>
            <w:shd w:val="clear" w:color="auto" w:fill="F2F2F2" w:themeFill="background1" w:themeFillShade="F2"/>
          </w:tcPr>
          <w:p w14:paraId="5F1B768E" w14:textId="67D53701" w:rsidR="00276ECF" w:rsidRPr="003C507E" w:rsidRDefault="00276ECF" w:rsidP="00276ECF">
            <w:pPr>
              <w:spacing w:after="0" w:line="240" w:lineRule="auto"/>
            </w:pPr>
            <w:r w:rsidRPr="003C507E">
              <w:t>Ongoing assessment of taxes throughout 20</w:t>
            </w:r>
            <w:r w:rsidR="003C507E">
              <w:t>20</w:t>
            </w:r>
            <w:r w:rsidRPr="003C507E">
              <w:t>–2</w:t>
            </w:r>
            <w:r w:rsidR="003C507E">
              <w:t>1</w:t>
            </w:r>
          </w:p>
        </w:tc>
      </w:tr>
      <w:tr w:rsidR="00276ECF" w:rsidRPr="004804C7" w14:paraId="4A452329" w14:textId="77777777" w:rsidTr="000650FB">
        <w:tc>
          <w:tcPr>
            <w:tcW w:w="2125" w:type="pct"/>
            <w:shd w:val="clear" w:color="auto" w:fill="auto"/>
          </w:tcPr>
          <w:p w14:paraId="043948B9" w14:textId="77777777" w:rsidR="00276ECF" w:rsidRPr="004804C7" w:rsidRDefault="00276ECF" w:rsidP="00276ECF">
            <w:pPr>
              <w:spacing w:after="0" w:line="240" w:lineRule="auto"/>
            </w:pPr>
            <w:r w:rsidRPr="004804C7">
              <w:t xml:space="preserve">Preparation for review of </w:t>
            </w:r>
            <w:hyperlink r:id="rId39" w:history="1">
              <w:r w:rsidRPr="00513FDE">
                <w:rPr>
                  <w:i/>
                  <w:iCs/>
                  <w:color w:val="0000FF"/>
                  <w:u w:val="single"/>
                </w:rPr>
                <w:t>Commercial Broadcasting (Tax) Act 2017</w:t>
              </w:r>
            </w:hyperlink>
          </w:p>
        </w:tc>
        <w:tc>
          <w:tcPr>
            <w:tcW w:w="2875" w:type="pct"/>
            <w:shd w:val="clear" w:color="auto" w:fill="auto"/>
          </w:tcPr>
          <w:p w14:paraId="5F945A34" w14:textId="2766566A" w:rsidR="001A3E86" w:rsidRDefault="001A3E86" w:rsidP="00513FDE">
            <w:pPr>
              <w:spacing w:after="120" w:line="240" w:lineRule="auto"/>
            </w:pPr>
            <w:r>
              <w:t>Q3, 2020: R</w:t>
            </w:r>
            <w:r w:rsidR="00E94DC0">
              <w:t>elease of the consultation paper</w:t>
            </w:r>
            <w:r w:rsidR="00E94DC0" w:rsidDel="001A3E86">
              <w:t xml:space="preserve"> </w:t>
            </w:r>
          </w:p>
          <w:p w14:paraId="24A78925" w14:textId="1C0DE405" w:rsidR="00276ECF" w:rsidRPr="004804C7" w:rsidRDefault="00E94DC0" w:rsidP="00276ECF">
            <w:pPr>
              <w:spacing w:after="0" w:line="240" w:lineRule="auto"/>
            </w:pPr>
            <w:r>
              <w:t>Q1 2021</w:t>
            </w:r>
            <w:r w:rsidR="001A3E86">
              <w:t>: Report to the Minister</w:t>
            </w:r>
          </w:p>
        </w:tc>
      </w:tr>
      <w:tr w:rsidR="00276ECF" w:rsidRPr="004804C7" w14:paraId="00D5F2CA" w14:textId="77777777" w:rsidTr="0010018E">
        <w:tc>
          <w:tcPr>
            <w:tcW w:w="2125" w:type="pct"/>
            <w:shd w:val="clear" w:color="auto" w:fill="F2F2F2" w:themeFill="background1" w:themeFillShade="F2"/>
          </w:tcPr>
          <w:p w14:paraId="1AD7B19F" w14:textId="77777777" w:rsidR="00276ECF" w:rsidRPr="004804C7" w:rsidDel="000353BE" w:rsidRDefault="00276ECF" w:rsidP="00276ECF">
            <w:pPr>
              <w:spacing w:after="0" w:line="240" w:lineRule="auto"/>
            </w:pPr>
            <w:r w:rsidRPr="000353BE">
              <w:t>Ongoing maintenance of the current apparatus licence tax regime for matters like adjusting for inflation</w:t>
            </w:r>
          </w:p>
        </w:tc>
        <w:tc>
          <w:tcPr>
            <w:tcW w:w="2875" w:type="pct"/>
            <w:shd w:val="clear" w:color="auto" w:fill="F2F2F2" w:themeFill="background1" w:themeFillShade="F2"/>
          </w:tcPr>
          <w:p w14:paraId="5FC5D4E9" w14:textId="2C929202" w:rsidR="00276ECF" w:rsidRDefault="00525E16" w:rsidP="00276ECF">
            <w:pPr>
              <w:spacing w:after="0" w:line="240" w:lineRule="auto"/>
            </w:pPr>
            <w:r>
              <w:t>2020</w:t>
            </w:r>
            <w:r w:rsidR="001A3E86">
              <w:t>–</w:t>
            </w:r>
            <w:r>
              <w:t>21</w:t>
            </w:r>
          </w:p>
          <w:p w14:paraId="4385D8AB" w14:textId="77777777" w:rsidR="00276ECF" w:rsidRPr="000353BE" w:rsidDel="000353BE" w:rsidRDefault="00276ECF" w:rsidP="00276ECF">
            <w:pPr>
              <w:ind w:firstLine="720"/>
            </w:pPr>
          </w:p>
        </w:tc>
      </w:tr>
      <w:tr w:rsidR="00276ECF" w:rsidRPr="004804C7" w14:paraId="196CA324" w14:textId="77777777" w:rsidTr="000650FB">
        <w:tc>
          <w:tcPr>
            <w:tcW w:w="2125" w:type="pct"/>
            <w:shd w:val="clear" w:color="auto" w:fill="auto"/>
          </w:tcPr>
          <w:p w14:paraId="2ACFDA9E" w14:textId="4DE689D1" w:rsidR="00276ECF" w:rsidRPr="000353BE" w:rsidRDefault="000E3023" w:rsidP="00276ECF">
            <w:pPr>
              <w:spacing w:after="0" w:line="240" w:lineRule="auto"/>
            </w:pPr>
            <w:r>
              <w:lastRenderedPageBreak/>
              <w:t xml:space="preserve">If the </w:t>
            </w:r>
            <w:r w:rsidR="00276ECF" w:rsidRPr="000353BE">
              <w:t xml:space="preserve">Minister </w:t>
            </w:r>
            <w:r w:rsidRPr="000353BE">
              <w:t>direct</w:t>
            </w:r>
            <w:r>
              <w:t>s</w:t>
            </w:r>
            <w:r w:rsidRPr="000353BE">
              <w:t xml:space="preserve"> </w:t>
            </w:r>
            <w:r w:rsidR="00276ECF" w:rsidRPr="000353BE">
              <w:t>the ACMA about implementing new taxation arrangements so that industry can contribute to the funding of EME research</w:t>
            </w:r>
            <w:r w:rsidR="00BD1F65">
              <w:t>,</w:t>
            </w:r>
            <w:r w:rsidR="00525F6A">
              <w:t xml:space="preserve"> i</w:t>
            </w:r>
            <w:r w:rsidR="00525F6A" w:rsidRPr="00525F6A">
              <w:t>mplementation of new EME levy arrangements.</w:t>
            </w:r>
          </w:p>
        </w:tc>
        <w:tc>
          <w:tcPr>
            <w:tcW w:w="2875" w:type="pct"/>
            <w:shd w:val="clear" w:color="auto" w:fill="auto"/>
          </w:tcPr>
          <w:p w14:paraId="00C2EED5" w14:textId="0EE1E763" w:rsidR="00E94DC0" w:rsidRDefault="00276ECF" w:rsidP="00513FDE">
            <w:pPr>
              <w:pStyle w:val="Paragraphbeforelist"/>
              <w:keepNext/>
              <w:keepLines/>
            </w:pPr>
            <w:r w:rsidRPr="000353BE">
              <w:t>Q2</w:t>
            </w:r>
            <w:r w:rsidR="001A3E86">
              <w:t>–</w:t>
            </w:r>
            <w:r w:rsidRPr="000353BE">
              <w:t>3 2020</w:t>
            </w:r>
            <w:r w:rsidR="001A3E86">
              <w:t>:</w:t>
            </w:r>
            <w:r w:rsidR="00E94DC0">
              <w:t xml:space="preserve"> </w:t>
            </w:r>
            <w:r w:rsidR="001A3E86">
              <w:t xml:space="preserve">Implementation, </w:t>
            </w:r>
            <w:r w:rsidR="00E94DC0">
              <w:t>with:</w:t>
            </w:r>
          </w:p>
          <w:p w14:paraId="2AC247A0" w14:textId="3304E2A0" w:rsidR="00276ECF" w:rsidRDefault="00E94DC0" w:rsidP="00513FDE">
            <w:pPr>
              <w:pStyle w:val="Bulletlevel1"/>
              <w:keepNext/>
              <w:keepLines/>
            </w:pPr>
            <w:r>
              <w:t xml:space="preserve">amendment to apparatus licence tax determinations </w:t>
            </w:r>
          </w:p>
          <w:p w14:paraId="1B63C254" w14:textId="1D793879" w:rsidR="001477E8" w:rsidRDefault="001477E8" w:rsidP="00513FDE">
            <w:pPr>
              <w:pStyle w:val="Bulletlevel1"/>
              <w:keepNext/>
              <w:keepLines/>
            </w:pPr>
            <w:r>
              <w:t xml:space="preserve">consultation on changes to spectrum licence taxes </w:t>
            </w:r>
          </w:p>
          <w:p w14:paraId="0302B1D3" w14:textId="2CEF3F82" w:rsidR="00276ECF" w:rsidRDefault="001477E8" w:rsidP="00513FDE">
            <w:pPr>
              <w:pStyle w:val="Bulletlevel1"/>
              <w:spacing w:after="0"/>
            </w:pPr>
            <w:r>
              <w:t xml:space="preserve">making of amendments </w:t>
            </w:r>
          </w:p>
        </w:tc>
      </w:tr>
    </w:tbl>
    <w:p w14:paraId="48A2AAAE" w14:textId="77777777" w:rsidR="00276ECF" w:rsidRDefault="00276ECF" w:rsidP="00276ECF">
      <w:pPr>
        <w:rPr>
          <w:b/>
          <w:bCs/>
        </w:rPr>
      </w:pPr>
    </w:p>
    <w:p w14:paraId="67EF12EF" w14:textId="43EBD04B" w:rsidR="00276ECF" w:rsidRPr="00276ECF" w:rsidRDefault="00276ECF" w:rsidP="00513FDE">
      <w:pPr>
        <w:pStyle w:val="ACMATableHeader"/>
        <w:rPr>
          <w:b w:val="0"/>
        </w:rPr>
      </w:pPr>
      <w:r w:rsidRPr="001A3E86">
        <w:t>Compliance</w:t>
      </w:r>
      <w:r w:rsidRPr="0099510B">
        <w:t xml:space="preserve"> and enforcement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Caption w:val="Table title to go here"/>
        <w:tblDescription w:val="Table description to go here"/>
      </w:tblPr>
      <w:tblGrid>
        <w:gridCol w:w="3256"/>
        <w:gridCol w:w="4405"/>
      </w:tblGrid>
      <w:tr w:rsidR="00276ECF" w:rsidRPr="004804C7" w14:paraId="023BE140" w14:textId="77777777" w:rsidTr="000650FB">
        <w:trPr>
          <w:tblHeader/>
        </w:trPr>
        <w:tc>
          <w:tcPr>
            <w:tcW w:w="2125" w:type="pct"/>
            <w:shd w:val="clear" w:color="auto" w:fill="404040"/>
          </w:tcPr>
          <w:p w14:paraId="59B65A6D" w14:textId="77777777" w:rsidR="00276ECF" w:rsidRPr="004804C7" w:rsidRDefault="00276ECF" w:rsidP="00C96647">
            <w:pPr>
              <w:spacing w:after="0"/>
              <w:rPr>
                <w:b/>
                <w:color w:val="FFFFFF"/>
              </w:rPr>
            </w:pPr>
            <w:r w:rsidRPr="004804C7">
              <w:rPr>
                <w:b/>
                <w:color w:val="FFFFFF"/>
              </w:rPr>
              <w:t>Project priorities</w:t>
            </w:r>
          </w:p>
        </w:tc>
        <w:tc>
          <w:tcPr>
            <w:tcW w:w="2875" w:type="pct"/>
            <w:shd w:val="clear" w:color="auto" w:fill="404040"/>
          </w:tcPr>
          <w:p w14:paraId="43B7EE40" w14:textId="77777777" w:rsidR="00276ECF" w:rsidRPr="004804C7" w:rsidRDefault="00276ECF" w:rsidP="00C96647">
            <w:pPr>
              <w:spacing w:after="0"/>
              <w:rPr>
                <w:b/>
                <w:color w:val="FFFFFF"/>
              </w:rPr>
            </w:pPr>
            <w:r w:rsidRPr="004804C7">
              <w:rPr>
                <w:b/>
                <w:color w:val="FFFFFF"/>
              </w:rPr>
              <w:t>Proposed timelines</w:t>
            </w:r>
          </w:p>
        </w:tc>
      </w:tr>
      <w:tr w:rsidR="00276ECF" w:rsidRPr="004804C7" w:rsidDel="00A471FC" w14:paraId="439F4EEA" w14:textId="77777777" w:rsidTr="000650FB">
        <w:tc>
          <w:tcPr>
            <w:tcW w:w="2125" w:type="pct"/>
            <w:shd w:val="clear" w:color="auto" w:fill="auto"/>
          </w:tcPr>
          <w:p w14:paraId="4E3CF91D" w14:textId="1B603C48" w:rsidR="001B2850" w:rsidRPr="004804C7" w:rsidRDefault="001B2850" w:rsidP="003C44A3">
            <w:pPr>
              <w:spacing w:before="100" w:beforeAutospacing="1" w:after="100" w:afterAutospacing="1"/>
              <w:contextualSpacing/>
              <w:mirrorIndents/>
              <w:rPr>
                <w:szCs w:val="20"/>
              </w:rPr>
            </w:pPr>
            <w:r>
              <w:rPr>
                <w:szCs w:val="20"/>
              </w:rPr>
              <w:t>5G</w:t>
            </w:r>
            <w:r w:rsidR="004C0755">
              <w:rPr>
                <w:szCs w:val="20"/>
              </w:rPr>
              <w:t xml:space="preserve"> </w:t>
            </w:r>
            <w:r>
              <w:rPr>
                <w:szCs w:val="20"/>
              </w:rPr>
              <w:t xml:space="preserve">compliance program to ensure </w:t>
            </w:r>
            <w:r w:rsidR="004C0755">
              <w:rPr>
                <w:szCs w:val="20"/>
              </w:rPr>
              <w:t xml:space="preserve">carrier’s </w:t>
            </w:r>
            <w:r>
              <w:rPr>
                <w:szCs w:val="20"/>
              </w:rPr>
              <w:t xml:space="preserve">compliance with EME standards </w:t>
            </w:r>
            <w:r w:rsidR="004C0755">
              <w:rPr>
                <w:szCs w:val="20"/>
              </w:rPr>
              <w:t xml:space="preserve">under their licence conditions </w:t>
            </w:r>
            <w:r>
              <w:rPr>
                <w:szCs w:val="20"/>
              </w:rPr>
              <w:t xml:space="preserve">and </w:t>
            </w:r>
            <w:r w:rsidR="004C0755">
              <w:rPr>
                <w:szCs w:val="20"/>
              </w:rPr>
              <w:t>obligations under the</w:t>
            </w:r>
            <w:r>
              <w:rPr>
                <w:szCs w:val="20"/>
              </w:rPr>
              <w:t xml:space="preserve"> Mobile Base Station Deployment Code</w:t>
            </w:r>
          </w:p>
        </w:tc>
        <w:tc>
          <w:tcPr>
            <w:tcW w:w="2875" w:type="pct"/>
            <w:shd w:val="clear" w:color="auto" w:fill="auto"/>
          </w:tcPr>
          <w:p w14:paraId="142DB577" w14:textId="0B76696E" w:rsidR="001B2850" w:rsidRPr="004804C7" w:rsidRDefault="001B2850" w:rsidP="001A3E86">
            <w:pPr>
              <w:spacing w:before="100" w:beforeAutospacing="1" w:after="100" w:afterAutospacing="1"/>
              <w:contextualSpacing/>
              <w:mirrorIndents/>
            </w:pPr>
            <w:r>
              <w:t>2020</w:t>
            </w:r>
            <w:r w:rsidR="001A3E86">
              <w:t>–</w:t>
            </w:r>
            <w:r>
              <w:t>21</w:t>
            </w:r>
          </w:p>
        </w:tc>
      </w:tr>
      <w:tr w:rsidR="00276ECF" w:rsidRPr="004804C7" w:rsidDel="00A471FC" w14:paraId="007A2531" w14:textId="77777777" w:rsidTr="0010018E">
        <w:tc>
          <w:tcPr>
            <w:tcW w:w="2125" w:type="pct"/>
            <w:shd w:val="clear" w:color="auto" w:fill="F2F2F2" w:themeFill="background1" w:themeFillShade="F2"/>
          </w:tcPr>
          <w:p w14:paraId="3FE938C8" w14:textId="77777777" w:rsidR="001A3E86" w:rsidRDefault="001B2850" w:rsidP="00AD4192">
            <w:pPr>
              <w:pStyle w:val="Paragraphbeforelist"/>
            </w:pPr>
            <w:r w:rsidRPr="00AD4192">
              <w:t>Compliance activities</w:t>
            </w:r>
            <w:r>
              <w:t xml:space="preserve"> to manage the risk of interference in two key areas:</w:t>
            </w:r>
          </w:p>
          <w:p w14:paraId="7ECAC7E0" w14:textId="7AC6BBFF" w:rsidR="001A3E86" w:rsidRDefault="001B2850" w:rsidP="00AD4192">
            <w:pPr>
              <w:pStyle w:val="Bulletlevel1"/>
              <w:keepNext/>
              <w:keepLines/>
              <w:rPr>
                <w:szCs w:val="20"/>
              </w:rPr>
            </w:pPr>
            <w:r w:rsidRPr="001A3E86">
              <w:t>unauthorised</w:t>
            </w:r>
            <w:r>
              <w:rPr>
                <w:szCs w:val="20"/>
              </w:rPr>
              <w:t xml:space="preserve"> use of mobile phone repeaters </w:t>
            </w:r>
          </w:p>
          <w:p w14:paraId="220712FE" w14:textId="6F99EA9F" w:rsidR="001B2850" w:rsidRPr="004804C7" w:rsidRDefault="001B2850" w:rsidP="00AD4192">
            <w:pPr>
              <w:pStyle w:val="Bulletlevel1"/>
              <w:keepNext/>
              <w:keepLines/>
              <w:rPr>
                <w:szCs w:val="20"/>
              </w:rPr>
            </w:pPr>
            <w:r w:rsidRPr="00AD4192">
              <w:rPr>
                <w:szCs w:val="20"/>
              </w:rPr>
              <w:t>non-</w:t>
            </w:r>
            <w:r w:rsidRPr="00AD4192">
              <w:t>compliant</w:t>
            </w:r>
            <w:r w:rsidRPr="00AD4192">
              <w:rPr>
                <w:szCs w:val="20"/>
              </w:rPr>
              <w:t xml:space="preserve"> activity</w:t>
            </w:r>
            <w:r>
              <w:rPr>
                <w:szCs w:val="20"/>
              </w:rPr>
              <w:t xml:space="preserve"> in the construction/resources industry</w:t>
            </w:r>
          </w:p>
        </w:tc>
        <w:tc>
          <w:tcPr>
            <w:tcW w:w="2875" w:type="pct"/>
            <w:shd w:val="clear" w:color="auto" w:fill="F2F2F2" w:themeFill="background1" w:themeFillShade="F2"/>
          </w:tcPr>
          <w:p w14:paraId="04706308" w14:textId="58B757BB" w:rsidR="001B2850" w:rsidRPr="004804C7" w:rsidRDefault="001B2850" w:rsidP="003C44A3">
            <w:pPr>
              <w:spacing w:before="100" w:beforeAutospacing="1" w:after="100" w:afterAutospacing="1"/>
              <w:contextualSpacing/>
              <w:mirrorIndents/>
            </w:pPr>
            <w:r>
              <w:t>2020</w:t>
            </w:r>
            <w:r w:rsidR="001A3E86">
              <w:t>–</w:t>
            </w:r>
            <w:r>
              <w:t>21</w:t>
            </w:r>
          </w:p>
        </w:tc>
      </w:tr>
    </w:tbl>
    <w:p w14:paraId="138F08E9" w14:textId="0124730B" w:rsidR="00276ECF" w:rsidRPr="004804C7" w:rsidRDefault="00276ECF" w:rsidP="00E62F4C">
      <w:pPr>
        <w:pStyle w:val="ListBullet"/>
        <w:keepNext w:val="0"/>
        <w:keepLines w:val="0"/>
        <w:numPr>
          <w:ilvl w:val="0"/>
          <w:numId w:val="0"/>
        </w:numPr>
        <w:ind w:left="3273"/>
      </w:pPr>
    </w:p>
    <w:p w14:paraId="4E5D22CE" w14:textId="583C26EE" w:rsidR="000B1C9C" w:rsidRPr="001524AE" w:rsidRDefault="000B1C9C" w:rsidP="00513FDE">
      <w:pPr>
        <w:pStyle w:val="ACMATableHeader"/>
      </w:pPr>
      <w:r w:rsidRPr="0099510B">
        <w:t>International engagement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Caption w:val="Table title to go here"/>
        <w:tblDescription w:val="Table description to go here"/>
      </w:tblPr>
      <w:tblGrid>
        <w:gridCol w:w="3256"/>
        <w:gridCol w:w="4405"/>
      </w:tblGrid>
      <w:tr w:rsidR="000B1C9C" w:rsidRPr="004804C7" w14:paraId="597392A3" w14:textId="77777777" w:rsidTr="000650FB">
        <w:trPr>
          <w:tblHeader/>
        </w:trPr>
        <w:tc>
          <w:tcPr>
            <w:tcW w:w="2125" w:type="pct"/>
            <w:shd w:val="clear" w:color="auto" w:fill="404040"/>
          </w:tcPr>
          <w:p w14:paraId="660D0B2E" w14:textId="77777777" w:rsidR="000B1C9C" w:rsidRPr="004804C7" w:rsidRDefault="000B1C9C" w:rsidP="0071374F">
            <w:pPr>
              <w:spacing w:after="0"/>
              <w:rPr>
                <w:b/>
                <w:color w:val="FFFFFF"/>
              </w:rPr>
            </w:pPr>
            <w:r w:rsidRPr="004804C7">
              <w:rPr>
                <w:b/>
                <w:color w:val="FFFFFF"/>
              </w:rPr>
              <w:t>Project priorities</w:t>
            </w:r>
          </w:p>
        </w:tc>
        <w:tc>
          <w:tcPr>
            <w:tcW w:w="2875" w:type="pct"/>
            <w:shd w:val="clear" w:color="auto" w:fill="404040"/>
          </w:tcPr>
          <w:p w14:paraId="1D72D574" w14:textId="77777777" w:rsidR="000B1C9C" w:rsidRPr="004804C7" w:rsidRDefault="000B1C9C" w:rsidP="0071374F">
            <w:pPr>
              <w:spacing w:after="0"/>
              <w:rPr>
                <w:b/>
                <w:color w:val="FFFFFF"/>
              </w:rPr>
            </w:pPr>
            <w:r w:rsidRPr="004804C7">
              <w:rPr>
                <w:b/>
                <w:color w:val="FFFFFF"/>
              </w:rPr>
              <w:t>Proposed timelines</w:t>
            </w:r>
          </w:p>
        </w:tc>
      </w:tr>
      <w:tr w:rsidR="000B1C9C" w:rsidRPr="004804C7" w14:paraId="3E0C5BB2" w14:textId="77777777" w:rsidTr="000650FB">
        <w:tc>
          <w:tcPr>
            <w:tcW w:w="2125" w:type="pct"/>
            <w:shd w:val="clear" w:color="auto" w:fill="auto"/>
          </w:tcPr>
          <w:p w14:paraId="41CD6CB4" w14:textId="77777777" w:rsidR="000B1C9C" w:rsidRPr="004804C7" w:rsidRDefault="000B1C9C" w:rsidP="0071374F">
            <w:pPr>
              <w:spacing w:before="100" w:beforeAutospacing="1" w:after="100" w:afterAutospacing="1"/>
              <w:contextualSpacing/>
              <w:mirrorIndents/>
              <w:rPr>
                <w:rFonts w:cs="Arial"/>
                <w:szCs w:val="20"/>
              </w:rPr>
            </w:pPr>
            <w:r w:rsidRPr="004804C7">
              <w:rPr>
                <w:rFonts w:cs="Arial"/>
                <w:szCs w:val="20"/>
              </w:rPr>
              <w:t>ITU-R Study Group 4 block meetings</w:t>
            </w:r>
          </w:p>
        </w:tc>
        <w:tc>
          <w:tcPr>
            <w:tcW w:w="2875" w:type="pct"/>
            <w:shd w:val="clear" w:color="auto" w:fill="auto"/>
          </w:tcPr>
          <w:p w14:paraId="00D0080A" w14:textId="35272AB6" w:rsidR="000B1C9C" w:rsidRPr="004804C7" w:rsidRDefault="000B1C9C" w:rsidP="0071374F">
            <w:pPr>
              <w:spacing w:after="0" w:line="240" w:lineRule="auto"/>
            </w:pPr>
            <w:r>
              <w:t>Q4 2020</w:t>
            </w:r>
            <w:r w:rsidRPr="004804C7">
              <w:t xml:space="preserve"> (</w:t>
            </w:r>
            <w:r>
              <w:t>21 October</w:t>
            </w:r>
            <w:r w:rsidR="007E72B9">
              <w:t xml:space="preserve"> – </w:t>
            </w:r>
            <w:r>
              <w:t>6 November 2020</w:t>
            </w:r>
            <w:r w:rsidRPr="004804C7">
              <w:t>)</w:t>
            </w:r>
          </w:p>
          <w:p w14:paraId="47D12885" w14:textId="77777777" w:rsidR="000B1C9C" w:rsidRPr="004804C7" w:rsidRDefault="000B1C9C" w:rsidP="0071374F">
            <w:pPr>
              <w:spacing w:before="100" w:beforeAutospacing="1" w:after="100" w:afterAutospacing="1"/>
              <w:contextualSpacing/>
              <w:mirrorIndents/>
              <w:rPr>
                <w:rFonts w:cs="Arial"/>
                <w:szCs w:val="20"/>
              </w:rPr>
            </w:pPr>
          </w:p>
        </w:tc>
      </w:tr>
      <w:tr w:rsidR="000B1C9C" w:rsidRPr="004804C7" w14:paraId="7FFF94E0" w14:textId="77777777" w:rsidTr="0010018E">
        <w:trPr>
          <w:trHeight w:val="900"/>
        </w:trPr>
        <w:tc>
          <w:tcPr>
            <w:tcW w:w="2125" w:type="pct"/>
            <w:shd w:val="clear" w:color="auto" w:fill="F2F2F2" w:themeFill="background1" w:themeFillShade="F2"/>
          </w:tcPr>
          <w:p w14:paraId="01D4EE3E" w14:textId="77777777" w:rsidR="00580333" w:rsidRPr="00B74931" w:rsidRDefault="00580333" w:rsidP="0071374F">
            <w:pPr>
              <w:spacing w:before="100" w:beforeAutospacing="1" w:after="100" w:afterAutospacing="1"/>
              <w:contextualSpacing/>
              <w:mirrorIndents/>
              <w:rPr>
                <w:rFonts w:cs="Arial"/>
                <w:szCs w:val="20"/>
              </w:rPr>
            </w:pPr>
            <w:r w:rsidRPr="00B74931">
              <w:rPr>
                <w:rFonts w:cs="Arial"/>
                <w:szCs w:val="20"/>
              </w:rPr>
              <w:t>ITU-R Study Group 5 block meetings</w:t>
            </w:r>
          </w:p>
          <w:p w14:paraId="7B2697BF" w14:textId="73569937" w:rsidR="000B1C9C" w:rsidRPr="00B74931" w:rsidRDefault="000B1C9C" w:rsidP="0071374F">
            <w:pPr>
              <w:spacing w:before="100" w:beforeAutospacing="1" w:after="100" w:afterAutospacing="1"/>
              <w:contextualSpacing/>
              <w:mirrorIndents/>
              <w:rPr>
                <w:rFonts w:cs="Arial"/>
                <w:szCs w:val="20"/>
              </w:rPr>
            </w:pPr>
          </w:p>
        </w:tc>
        <w:tc>
          <w:tcPr>
            <w:tcW w:w="2875" w:type="pct"/>
            <w:shd w:val="clear" w:color="auto" w:fill="F2F2F2" w:themeFill="background1" w:themeFillShade="F2"/>
          </w:tcPr>
          <w:p w14:paraId="5F4181BC" w14:textId="310A20E9" w:rsidR="00580333" w:rsidRPr="00B74931" w:rsidRDefault="000B1C9C" w:rsidP="000650FB">
            <w:pPr>
              <w:spacing w:after="120"/>
              <w:mirrorIndents/>
              <w:rPr>
                <w:rFonts w:cs="Arial"/>
                <w:szCs w:val="20"/>
              </w:rPr>
            </w:pPr>
            <w:r w:rsidRPr="00B74931">
              <w:rPr>
                <w:rFonts w:cs="Arial"/>
                <w:szCs w:val="20"/>
              </w:rPr>
              <w:t>Q</w:t>
            </w:r>
            <w:r>
              <w:rPr>
                <w:rFonts w:cs="Arial"/>
                <w:szCs w:val="20"/>
              </w:rPr>
              <w:t>3</w:t>
            </w:r>
            <w:r w:rsidRPr="00B74931">
              <w:rPr>
                <w:rFonts w:cs="Arial"/>
                <w:szCs w:val="20"/>
              </w:rPr>
              <w:t xml:space="preserve"> 2020 </w:t>
            </w:r>
            <w:r>
              <w:rPr>
                <w:rFonts w:cs="Arial"/>
                <w:szCs w:val="20"/>
              </w:rPr>
              <w:t>(7–31 July)</w:t>
            </w:r>
          </w:p>
          <w:p w14:paraId="129883A9" w14:textId="793579AE" w:rsidR="000B1C9C" w:rsidRPr="00B74931" w:rsidRDefault="00580333" w:rsidP="000650FB">
            <w:pPr>
              <w:spacing w:after="0"/>
              <w:mirrorIndents/>
              <w:rPr>
                <w:rFonts w:cs="Arial"/>
                <w:szCs w:val="20"/>
              </w:rPr>
            </w:pPr>
            <w:r w:rsidRPr="00B74931">
              <w:rPr>
                <w:rFonts w:cs="Arial"/>
                <w:szCs w:val="20"/>
              </w:rPr>
              <w:t>Q4 2020 (4–</w:t>
            </w:r>
            <w:r w:rsidRPr="00B74931" w:rsidDel="007E72B9">
              <w:rPr>
                <w:rFonts w:cs="Arial"/>
                <w:szCs w:val="20"/>
              </w:rPr>
              <w:t>2</w:t>
            </w:r>
            <w:r w:rsidRPr="00B74931">
              <w:rPr>
                <w:rFonts w:cs="Arial"/>
                <w:szCs w:val="20"/>
              </w:rPr>
              <w:t xml:space="preserve">4 November 2020 includes </w:t>
            </w:r>
            <w:r>
              <w:rPr>
                <w:rFonts w:cs="Arial"/>
                <w:szCs w:val="20"/>
              </w:rPr>
              <w:t>working party</w:t>
            </w:r>
            <w:r w:rsidRPr="00B74931">
              <w:rPr>
                <w:rFonts w:cs="Arial"/>
                <w:szCs w:val="20"/>
              </w:rPr>
              <w:t xml:space="preserve"> 5D)</w:t>
            </w:r>
          </w:p>
        </w:tc>
      </w:tr>
      <w:tr w:rsidR="000B1C9C" w:rsidRPr="004804C7" w14:paraId="722A7B56" w14:textId="77777777" w:rsidTr="000650FB">
        <w:tc>
          <w:tcPr>
            <w:tcW w:w="2125" w:type="pct"/>
            <w:shd w:val="clear" w:color="auto" w:fill="auto"/>
          </w:tcPr>
          <w:p w14:paraId="4D10CA42" w14:textId="77777777" w:rsidR="000B1C9C" w:rsidRPr="004804C7" w:rsidRDefault="000B1C9C" w:rsidP="0071374F">
            <w:pPr>
              <w:spacing w:before="100" w:beforeAutospacing="1" w:after="100" w:afterAutospacing="1"/>
              <w:contextualSpacing/>
              <w:mirrorIndents/>
              <w:rPr>
                <w:rFonts w:cs="Arial"/>
                <w:szCs w:val="20"/>
              </w:rPr>
            </w:pPr>
            <w:r w:rsidRPr="00B74931">
              <w:rPr>
                <w:rFonts w:cs="Arial"/>
                <w:szCs w:val="20"/>
              </w:rPr>
              <w:t>ITU-R Working party 5D meetings</w:t>
            </w:r>
          </w:p>
        </w:tc>
        <w:tc>
          <w:tcPr>
            <w:tcW w:w="2875" w:type="pct"/>
            <w:shd w:val="clear" w:color="auto" w:fill="auto"/>
          </w:tcPr>
          <w:p w14:paraId="7435D9E6" w14:textId="5BFF618E" w:rsidR="000650FB" w:rsidRDefault="000B1C9C" w:rsidP="0010018E">
            <w:pPr>
              <w:spacing w:after="120"/>
              <w:mirrorIndents/>
              <w:rPr>
                <w:rFonts w:cs="Arial"/>
                <w:szCs w:val="20"/>
              </w:rPr>
            </w:pPr>
            <w:r>
              <w:rPr>
                <w:rFonts w:cs="Arial"/>
                <w:szCs w:val="20"/>
              </w:rPr>
              <w:t>Q2</w:t>
            </w:r>
            <w:r w:rsidR="007E72B9">
              <w:t>–</w:t>
            </w:r>
            <w:r>
              <w:rPr>
                <w:rFonts w:cs="Arial"/>
                <w:szCs w:val="20"/>
              </w:rPr>
              <w:t>3 2020</w:t>
            </w:r>
            <w:r w:rsidRPr="00B74931">
              <w:rPr>
                <w:rFonts w:cs="Arial"/>
                <w:szCs w:val="20"/>
              </w:rPr>
              <w:t xml:space="preserve"> (24 June – 1 August)</w:t>
            </w:r>
          </w:p>
          <w:p w14:paraId="182C2F97" w14:textId="2C9DE22F" w:rsidR="000B1C9C" w:rsidRPr="004804C7" w:rsidRDefault="000B1C9C" w:rsidP="0010018E">
            <w:pPr>
              <w:spacing w:after="0"/>
              <w:contextualSpacing/>
              <w:mirrorIndents/>
              <w:rPr>
                <w:rFonts w:cs="Arial"/>
                <w:szCs w:val="20"/>
              </w:rPr>
            </w:pPr>
            <w:r w:rsidRPr="00B74931">
              <w:rPr>
                <w:rFonts w:cs="Arial"/>
                <w:szCs w:val="20"/>
              </w:rPr>
              <w:t>Q</w:t>
            </w:r>
            <w:r>
              <w:rPr>
                <w:rFonts w:cs="Arial"/>
                <w:szCs w:val="20"/>
              </w:rPr>
              <w:t>4 2020</w:t>
            </w:r>
            <w:r w:rsidRPr="00B74931">
              <w:rPr>
                <w:rFonts w:cs="Arial"/>
                <w:szCs w:val="20"/>
              </w:rPr>
              <w:t xml:space="preserve"> (7–14 October and 17</w:t>
            </w:r>
            <w:r w:rsidR="007E72B9">
              <w:t>–</w:t>
            </w:r>
            <w:r w:rsidRPr="00B74931">
              <w:rPr>
                <w:rFonts w:cs="Arial"/>
                <w:szCs w:val="20"/>
              </w:rPr>
              <w:t>19 November)</w:t>
            </w:r>
          </w:p>
        </w:tc>
      </w:tr>
      <w:tr w:rsidR="000B1C9C" w:rsidRPr="004804C7" w14:paraId="49652E45" w14:textId="77777777" w:rsidTr="0010018E">
        <w:tc>
          <w:tcPr>
            <w:tcW w:w="2125" w:type="pct"/>
            <w:shd w:val="clear" w:color="auto" w:fill="F2F2F2" w:themeFill="background1" w:themeFillShade="F2"/>
          </w:tcPr>
          <w:p w14:paraId="62CA7705" w14:textId="77777777" w:rsidR="000B1C9C" w:rsidRPr="004804C7" w:rsidRDefault="000B1C9C" w:rsidP="0071374F">
            <w:pPr>
              <w:spacing w:before="100" w:beforeAutospacing="1" w:after="100" w:afterAutospacing="1"/>
              <w:contextualSpacing/>
              <w:mirrorIndents/>
              <w:rPr>
                <w:rFonts w:cs="Arial"/>
                <w:szCs w:val="20"/>
              </w:rPr>
            </w:pPr>
            <w:r w:rsidRPr="00B74931">
              <w:rPr>
                <w:rFonts w:cs="Arial"/>
                <w:szCs w:val="20"/>
              </w:rPr>
              <w:t>First meeting of the APT Conference Preparatory Group (Asia Pacific) for WRC-23 (APG23-1)</w:t>
            </w:r>
          </w:p>
        </w:tc>
        <w:tc>
          <w:tcPr>
            <w:tcW w:w="2875" w:type="pct"/>
            <w:shd w:val="clear" w:color="auto" w:fill="F2F2F2" w:themeFill="background1" w:themeFillShade="F2"/>
          </w:tcPr>
          <w:p w14:paraId="0C44E07F" w14:textId="77777777" w:rsidR="000B1C9C" w:rsidRPr="004804C7" w:rsidRDefault="000B1C9C" w:rsidP="0071374F">
            <w:pPr>
              <w:spacing w:before="100" w:beforeAutospacing="1" w:after="100" w:afterAutospacing="1"/>
              <w:contextualSpacing/>
              <w:mirrorIndents/>
              <w:rPr>
                <w:rFonts w:cs="Arial"/>
                <w:szCs w:val="20"/>
              </w:rPr>
            </w:pPr>
            <w:r w:rsidRPr="00B74931">
              <w:rPr>
                <w:rFonts w:cs="Arial"/>
                <w:szCs w:val="20"/>
              </w:rPr>
              <w:t>TBA (possibly August</w:t>
            </w:r>
            <w:r>
              <w:rPr>
                <w:rFonts w:cs="Arial"/>
                <w:szCs w:val="20"/>
              </w:rPr>
              <w:t xml:space="preserve"> 2020</w:t>
            </w:r>
            <w:r w:rsidRPr="00B74931">
              <w:rPr>
                <w:rFonts w:cs="Arial"/>
                <w:szCs w:val="20"/>
              </w:rPr>
              <w:t>)</w:t>
            </w:r>
          </w:p>
        </w:tc>
      </w:tr>
    </w:tbl>
    <w:p w14:paraId="5C55A9E4" w14:textId="79FE1831" w:rsidR="000B1C9C" w:rsidRPr="000B1C9C" w:rsidRDefault="000B1C9C" w:rsidP="00513FDE">
      <w:pPr>
        <w:pStyle w:val="ACMATableHeader"/>
        <w:numPr>
          <w:ilvl w:val="0"/>
          <w:numId w:val="0"/>
        </w:numPr>
        <w:rPr>
          <w:b w:val="0"/>
        </w:rPr>
      </w:pPr>
    </w:p>
    <w:p w14:paraId="20BAE2C9" w14:textId="174F5095" w:rsidR="00276ECF" w:rsidRDefault="00276ECF" w:rsidP="0010018E">
      <w:pPr>
        <w:pStyle w:val="ACMATableHeader"/>
        <w:keepNext/>
        <w:keepLines/>
        <w:spacing w:after="120"/>
        <w:rPr>
          <w:b w:val="0"/>
        </w:rPr>
      </w:pPr>
      <w:r w:rsidRPr="007E72B9">
        <w:lastRenderedPageBreak/>
        <w:t>Consultation</w:t>
      </w:r>
      <w:r w:rsidRPr="0099510B">
        <w:t xml:space="preserve"> plans</w:t>
      </w:r>
    </w:p>
    <w:p w14:paraId="4488A451" w14:textId="1735552C" w:rsidR="00276ECF" w:rsidRPr="00276ECF" w:rsidRDefault="00276ECF" w:rsidP="00513FDE">
      <w:pPr>
        <w:keepNext/>
        <w:keepLines/>
        <w:rPr>
          <w:b/>
          <w:bCs/>
        </w:rPr>
      </w:pPr>
      <w:r w:rsidRPr="004804C7">
        <w:t>This table summarises consultations flagged throughout the draft FYSO from July 20</w:t>
      </w:r>
      <w:r>
        <w:t>20</w:t>
      </w:r>
      <w:r w:rsidRPr="004804C7">
        <w:t xml:space="preserve"> onwards. </w:t>
      </w:r>
      <w:r w:rsidR="007E72B9" w:rsidRPr="004804C7">
        <w:t>Th</w:t>
      </w:r>
      <w:r w:rsidR="007E72B9">
        <w:t>is</w:t>
      </w:r>
      <w:r w:rsidR="007E72B9" w:rsidRPr="004804C7">
        <w:t xml:space="preserve"> </w:t>
      </w:r>
      <w:r w:rsidRPr="004804C7">
        <w:t>list of consultations is subject to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Caption w:val="Table title to go here"/>
        <w:tblDescription w:val="Table description to go here"/>
      </w:tblPr>
      <w:tblGrid>
        <w:gridCol w:w="3539"/>
        <w:gridCol w:w="4122"/>
      </w:tblGrid>
      <w:tr w:rsidR="00276ECF" w:rsidRPr="004804C7" w14:paraId="2F772C55" w14:textId="77777777" w:rsidTr="0010018E">
        <w:trPr>
          <w:cantSplit/>
          <w:tblHeader/>
        </w:trPr>
        <w:tc>
          <w:tcPr>
            <w:tcW w:w="2310" w:type="pct"/>
            <w:shd w:val="clear" w:color="auto" w:fill="404040"/>
          </w:tcPr>
          <w:p w14:paraId="491498C2" w14:textId="77777777" w:rsidR="00276ECF" w:rsidRPr="004804C7" w:rsidRDefault="00276ECF" w:rsidP="00513FDE">
            <w:pPr>
              <w:keepNext/>
              <w:keepLines/>
              <w:spacing w:after="0"/>
              <w:rPr>
                <w:b/>
                <w:color w:val="FFFFFF"/>
              </w:rPr>
            </w:pPr>
            <w:r w:rsidRPr="004804C7">
              <w:rPr>
                <w:b/>
                <w:color w:val="FFFFFF"/>
              </w:rPr>
              <w:t xml:space="preserve">Issue </w:t>
            </w:r>
          </w:p>
        </w:tc>
        <w:tc>
          <w:tcPr>
            <w:tcW w:w="2690" w:type="pct"/>
            <w:shd w:val="clear" w:color="auto" w:fill="404040"/>
          </w:tcPr>
          <w:p w14:paraId="36352271" w14:textId="77777777" w:rsidR="00276ECF" w:rsidRPr="004804C7" w:rsidRDefault="00276ECF" w:rsidP="00513FDE">
            <w:pPr>
              <w:keepNext/>
              <w:keepLines/>
              <w:spacing w:after="0"/>
              <w:rPr>
                <w:b/>
                <w:color w:val="FFFFFF"/>
              </w:rPr>
            </w:pPr>
            <w:r w:rsidRPr="004804C7">
              <w:rPr>
                <w:b/>
                <w:color w:val="FFFFFF"/>
              </w:rPr>
              <w:t>Proposed timelines</w:t>
            </w:r>
          </w:p>
        </w:tc>
      </w:tr>
      <w:tr w:rsidR="00276ECF" w:rsidRPr="004804C7" w14:paraId="45D1A8E8" w14:textId="77777777" w:rsidTr="0010018E">
        <w:trPr>
          <w:cantSplit/>
          <w:trHeight w:val="21"/>
        </w:trPr>
        <w:tc>
          <w:tcPr>
            <w:tcW w:w="2310" w:type="pct"/>
          </w:tcPr>
          <w:p w14:paraId="0865307F" w14:textId="4F8FE3D2" w:rsidR="00276ECF" w:rsidRPr="004804C7" w:rsidRDefault="00276ECF" w:rsidP="00513FDE">
            <w:pPr>
              <w:keepNext/>
              <w:keepLines/>
              <w:spacing w:after="0" w:line="240" w:lineRule="auto"/>
            </w:pPr>
            <w:r w:rsidRPr="00F83D42">
              <w:t>3400</w:t>
            </w:r>
            <w:r w:rsidR="007E72B9">
              <w:t>–</w:t>
            </w:r>
            <w:r w:rsidRPr="00F83D42">
              <w:t>3575 MHz</w:t>
            </w:r>
          </w:p>
        </w:tc>
        <w:tc>
          <w:tcPr>
            <w:tcW w:w="2690" w:type="pct"/>
          </w:tcPr>
          <w:p w14:paraId="1CD486A9" w14:textId="518D406B" w:rsidR="00FC6C32" w:rsidRDefault="00276ECF" w:rsidP="00513FDE">
            <w:pPr>
              <w:keepNext/>
              <w:keepLines/>
              <w:spacing w:after="120" w:line="240" w:lineRule="auto"/>
            </w:pPr>
            <w:r w:rsidRPr="00FC330D">
              <w:t>Q2</w:t>
            </w:r>
            <w:r w:rsidR="007E72B9">
              <w:t>–</w:t>
            </w:r>
            <w:r w:rsidRPr="00D13358">
              <w:t>3 2020</w:t>
            </w:r>
            <w:r w:rsidRPr="00F83D42">
              <w:t>: Consultation on point</w:t>
            </w:r>
            <w:r w:rsidR="001E6137">
              <w:t>-</w:t>
            </w:r>
            <w:r w:rsidRPr="00F83D42">
              <w:t>to</w:t>
            </w:r>
            <w:r w:rsidR="001E6137">
              <w:t>-</w:t>
            </w:r>
            <w:r w:rsidRPr="00F83D42">
              <w:t>multipoint apparatus licence arrangements in regional and remote areas</w:t>
            </w:r>
          </w:p>
          <w:p w14:paraId="4909C083" w14:textId="32ED2ACE" w:rsidR="00FC6C32" w:rsidRDefault="00FC6C32" w:rsidP="00513FDE">
            <w:pPr>
              <w:keepNext/>
              <w:keepLines/>
              <w:spacing w:after="120" w:line="240" w:lineRule="auto"/>
            </w:pPr>
            <w:r w:rsidRPr="00FC330D">
              <w:t>Q2</w:t>
            </w:r>
            <w:r w:rsidR="007E72B9">
              <w:t>–</w:t>
            </w:r>
            <w:r>
              <w:t>3 2020: TLG to develop arrangements for urban excise areas</w:t>
            </w:r>
          </w:p>
          <w:p w14:paraId="2D0221A6" w14:textId="79FA81B4" w:rsidR="00276ECF" w:rsidRPr="004804C7" w:rsidDel="00F83D42" w:rsidRDefault="00FC6C32" w:rsidP="00513FDE">
            <w:pPr>
              <w:keepNext/>
              <w:keepLines/>
              <w:spacing w:after="0" w:line="240" w:lineRule="auto"/>
            </w:pPr>
            <w:r>
              <w:t>Q4: Consultation on variation to 3.4 GHz technical framework</w:t>
            </w:r>
            <w:r w:rsidR="00F05FB5">
              <w:t xml:space="preserve"> to support </w:t>
            </w:r>
            <w:r w:rsidR="004D069F">
              <w:t xml:space="preserve">urban </w:t>
            </w:r>
            <w:r w:rsidR="004D069F" w:rsidRPr="00AD4192">
              <w:t>excis</w:t>
            </w:r>
            <w:r w:rsidR="00836180">
              <w:t>ion</w:t>
            </w:r>
          </w:p>
        </w:tc>
      </w:tr>
      <w:tr w:rsidR="00D13358" w:rsidRPr="004804C7" w14:paraId="782A8B36" w14:textId="77777777" w:rsidTr="0010018E">
        <w:trPr>
          <w:cantSplit/>
        </w:trPr>
        <w:tc>
          <w:tcPr>
            <w:tcW w:w="2310" w:type="pct"/>
            <w:shd w:val="clear" w:color="auto" w:fill="F2F2F2" w:themeFill="background1" w:themeFillShade="F2"/>
          </w:tcPr>
          <w:p w14:paraId="34816A39" w14:textId="4E782DA8" w:rsidR="00D13358" w:rsidRPr="004804C7" w:rsidRDefault="00D13358" w:rsidP="00276ECF">
            <w:pPr>
              <w:spacing w:after="0" w:line="240" w:lineRule="auto"/>
            </w:pPr>
            <w:r w:rsidRPr="00D13358">
              <w:t>Develop and consult on proposals for</w:t>
            </w:r>
            <w:r w:rsidR="00540A39">
              <w:t xml:space="preserve"> LAP</w:t>
            </w:r>
            <w:r w:rsidRPr="00D13358">
              <w:t xml:space="preserve"> variations in Brisbane</w:t>
            </w:r>
          </w:p>
        </w:tc>
        <w:tc>
          <w:tcPr>
            <w:tcW w:w="2690" w:type="pct"/>
            <w:shd w:val="clear" w:color="auto" w:fill="F2F2F2" w:themeFill="background1" w:themeFillShade="F2"/>
          </w:tcPr>
          <w:p w14:paraId="63D4DCE1" w14:textId="3736DDD8" w:rsidR="00D13358" w:rsidRPr="002642D6" w:rsidRDefault="00D13358" w:rsidP="00276ECF">
            <w:pPr>
              <w:spacing w:after="0" w:line="240" w:lineRule="auto"/>
              <w:rPr>
                <w:highlight w:val="yellow"/>
              </w:rPr>
            </w:pPr>
            <w:r w:rsidRPr="00D13358">
              <w:t>Q3 2020</w:t>
            </w:r>
          </w:p>
        </w:tc>
      </w:tr>
      <w:tr w:rsidR="00F503D3" w:rsidRPr="004804C7" w14:paraId="3FFE53D5" w14:textId="77777777" w:rsidTr="0010018E">
        <w:trPr>
          <w:cantSplit/>
        </w:trPr>
        <w:tc>
          <w:tcPr>
            <w:tcW w:w="2310" w:type="pct"/>
            <w:shd w:val="clear" w:color="auto" w:fill="auto"/>
          </w:tcPr>
          <w:p w14:paraId="0AFC3B9F" w14:textId="2CE22E59" w:rsidR="00F503D3" w:rsidRPr="00D13358" w:rsidRDefault="00F503D3" w:rsidP="00F503D3">
            <w:pPr>
              <w:spacing w:after="0" w:line="240" w:lineRule="auto"/>
            </w:pPr>
            <w:r>
              <w:t>Develop and consult on a proposal to vary the Deniliquin LAP</w:t>
            </w:r>
          </w:p>
        </w:tc>
        <w:tc>
          <w:tcPr>
            <w:tcW w:w="2690" w:type="pct"/>
            <w:shd w:val="clear" w:color="auto" w:fill="auto"/>
          </w:tcPr>
          <w:p w14:paraId="0987F63E" w14:textId="5941A75F" w:rsidR="00F503D3" w:rsidRPr="00D13358" w:rsidRDefault="00F503D3" w:rsidP="00F503D3">
            <w:pPr>
              <w:spacing w:after="0" w:line="240" w:lineRule="auto"/>
            </w:pPr>
            <w:r w:rsidRPr="0066605D">
              <w:t>Q3 2020</w:t>
            </w:r>
          </w:p>
        </w:tc>
      </w:tr>
      <w:tr w:rsidR="00F503D3" w:rsidRPr="004804C7" w14:paraId="61044EEE" w14:textId="77777777" w:rsidTr="0010018E">
        <w:trPr>
          <w:cantSplit/>
        </w:trPr>
        <w:tc>
          <w:tcPr>
            <w:tcW w:w="2310" w:type="pct"/>
            <w:shd w:val="clear" w:color="auto" w:fill="F2F2F2" w:themeFill="background1" w:themeFillShade="F2"/>
          </w:tcPr>
          <w:p w14:paraId="65A94A01" w14:textId="2F2A74AA" w:rsidR="00F503D3" w:rsidRPr="00D13358" w:rsidRDefault="00F503D3" w:rsidP="00F503D3">
            <w:pPr>
              <w:spacing w:after="0" w:line="240" w:lineRule="auto"/>
            </w:pPr>
            <w:r w:rsidRPr="00D13358">
              <w:t>Develop and consult on proposals for variations in a number of licence areas in NSW to enable AM</w:t>
            </w:r>
            <w:r w:rsidR="00BB23E5">
              <w:t>–</w:t>
            </w:r>
            <w:r w:rsidRPr="00D13358">
              <w:t>FM conversions</w:t>
            </w:r>
          </w:p>
        </w:tc>
        <w:tc>
          <w:tcPr>
            <w:tcW w:w="2690" w:type="pct"/>
            <w:shd w:val="clear" w:color="auto" w:fill="F2F2F2" w:themeFill="background1" w:themeFillShade="F2"/>
          </w:tcPr>
          <w:p w14:paraId="2A88E6A0" w14:textId="3B9C379E" w:rsidR="00F503D3" w:rsidRPr="00D13358" w:rsidRDefault="00F503D3" w:rsidP="00F503D3">
            <w:pPr>
              <w:spacing w:after="0" w:line="240" w:lineRule="auto"/>
            </w:pPr>
            <w:r>
              <w:t>Q3 2020</w:t>
            </w:r>
          </w:p>
        </w:tc>
      </w:tr>
      <w:tr w:rsidR="00F503D3" w:rsidRPr="004804C7" w14:paraId="73E0DC65" w14:textId="77777777" w:rsidTr="0010018E">
        <w:trPr>
          <w:cantSplit/>
        </w:trPr>
        <w:tc>
          <w:tcPr>
            <w:tcW w:w="2310" w:type="pct"/>
          </w:tcPr>
          <w:p w14:paraId="1AF5A39C" w14:textId="4AAAEF6A" w:rsidR="00F503D3" w:rsidRPr="00D13358" w:rsidRDefault="00F503D3" w:rsidP="00F503D3">
            <w:pPr>
              <w:spacing w:after="0" w:line="240" w:lineRule="auto"/>
            </w:pPr>
            <w:r>
              <w:t>1800 M</w:t>
            </w:r>
            <w:r w:rsidRPr="00B94EA5">
              <w:t xml:space="preserve">Hz </w:t>
            </w:r>
            <w:r w:rsidR="007E72B9">
              <w:t>s</w:t>
            </w:r>
            <w:r w:rsidRPr="00B53F89">
              <w:t xml:space="preserve">pectrum </w:t>
            </w:r>
            <w:r w:rsidR="007E72B9">
              <w:t>l</w:t>
            </w:r>
            <w:r w:rsidRPr="00B53F89">
              <w:t xml:space="preserve">icence </w:t>
            </w:r>
            <w:r w:rsidR="007E72B9">
              <w:t>t</w:t>
            </w:r>
            <w:r w:rsidRPr="00B53F89">
              <w:t xml:space="preserve">echnical </w:t>
            </w:r>
            <w:r w:rsidR="007E72B9">
              <w:t>f</w:t>
            </w:r>
            <w:r w:rsidRPr="00B53F89">
              <w:t>ramework review</w:t>
            </w:r>
          </w:p>
        </w:tc>
        <w:tc>
          <w:tcPr>
            <w:tcW w:w="2690" w:type="pct"/>
          </w:tcPr>
          <w:p w14:paraId="5C924EAB" w14:textId="5A88AD1C" w:rsidR="00F503D3" w:rsidRDefault="00F503D3" w:rsidP="00F503D3">
            <w:pPr>
              <w:spacing w:after="0" w:line="240" w:lineRule="auto"/>
            </w:pPr>
            <w:r w:rsidRPr="00B94EA5">
              <w:t>Q</w:t>
            </w:r>
            <w:r>
              <w:t>2</w:t>
            </w:r>
            <w:r w:rsidR="007E72B9">
              <w:t>–</w:t>
            </w:r>
            <w:r>
              <w:t>3</w:t>
            </w:r>
            <w:r w:rsidRPr="00B94EA5">
              <w:t xml:space="preserve"> 2020</w:t>
            </w:r>
            <w:r>
              <w:t xml:space="preserve">: Consultation on variation </w:t>
            </w:r>
          </w:p>
        </w:tc>
      </w:tr>
      <w:tr w:rsidR="00F503D3" w:rsidRPr="004804C7" w14:paraId="3248ED32" w14:textId="77777777" w:rsidTr="0010018E">
        <w:trPr>
          <w:cantSplit/>
        </w:trPr>
        <w:tc>
          <w:tcPr>
            <w:tcW w:w="2310" w:type="pct"/>
            <w:shd w:val="clear" w:color="auto" w:fill="F2F2F2" w:themeFill="background1" w:themeFillShade="F2"/>
          </w:tcPr>
          <w:p w14:paraId="52D97420" w14:textId="6EBA6F7F" w:rsidR="00F503D3" w:rsidRPr="004804C7" w:rsidRDefault="00F503D3" w:rsidP="00F503D3">
            <w:pPr>
              <w:spacing w:after="0" w:line="240" w:lineRule="auto"/>
            </w:pPr>
            <w:r w:rsidRPr="00B94EA5">
              <w:t xml:space="preserve">2.3 GHz </w:t>
            </w:r>
            <w:r w:rsidR="007E72B9">
              <w:t>s</w:t>
            </w:r>
            <w:r w:rsidRPr="00B53F89">
              <w:t xml:space="preserve">pectrum </w:t>
            </w:r>
            <w:r w:rsidR="007E72B9">
              <w:t>l</w:t>
            </w:r>
            <w:r w:rsidRPr="00B53F89">
              <w:t xml:space="preserve">icence </w:t>
            </w:r>
            <w:r w:rsidR="007E72B9">
              <w:t>t</w:t>
            </w:r>
            <w:r w:rsidRPr="00B53F89">
              <w:t xml:space="preserve">echnical </w:t>
            </w:r>
            <w:r w:rsidR="007E72B9">
              <w:t>f</w:t>
            </w:r>
            <w:r w:rsidRPr="00B53F89">
              <w:t>ramework review</w:t>
            </w:r>
          </w:p>
        </w:tc>
        <w:tc>
          <w:tcPr>
            <w:tcW w:w="2690" w:type="pct"/>
            <w:shd w:val="clear" w:color="auto" w:fill="F2F2F2" w:themeFill="background1" w:themeFillShade="F2"/>
          </w:tcPr>
          <w:p w14:paraId="7B48C8B6" w14:textId="1880D58D" w:rsidR="00F503D3" w:rsidRPr="002642D6" w:rsidRDefault="00F503D3" w:rsidP="00F503D3">
            <w:pPr>
              <w:spacing w:after="0" w:line="240" w:lineRule="auto"/>
              <w:rPr>
                <w:highlight w:val="yellow"/>
              </w:rPr>
            </w:pPr>
            <w:r w:rsidRPr="00B94EA5">
              <w:t>Q</w:t>
            </w:r>
            <w:r>
              <w:t>2</w:t>
            </w:r>
            <w:r w:rsidR="007E72B9">
              <w:t>–</w:t>
            </w:r>
            <w:r>
              <w:t>3</w:t>
            </w:r>
            <w:r w:rsidRPr="00B94EA5">
              <w:t xml:space="preserve"> 2020</w:t>
            </w:r>
            <w:r>
              <w:t xml:space="preserve">: Consultation on variation </w:t>
            </w:r>
          </w:p>
        </w:tc>
      </w:tr>
      <w:tr w:rsidR="00F503D3" w:rsidRPr="004804C7" w14:paraId="06ADBEFF" w14:textId="77777777" w:rsidTr="0010018E">
        <w:trPr>
          <w:cantSplit/>
        </w:trPr>
        <w:tc>
          <w:tcPr>
            <w:tcW w:w="2310" w:type="pct"/>
          </w:tcPr>
          <w:p w14:paraId="6CDA8E81" w14:textId="218D3793" w:rsidR="00F503D3" w:rsidRPr="004804C7" w:rsidRDefault="00F503D3" w:rsidP="00F503D3">
            <w:pPr>
              <w:spacing w:after="0" w:line="240" w:lineRule="auto"/>
            </w:pPr>
            <w:r w:rsidRPr="00DC0D4D">
              <w:t>Review of prohibition declarations and exemption determinations</w:t>
            </w:r>
          </w:p>
        </w:tc>
        <w:tc>
          <w:tcPr>
            <w:tcW w:w="2690" w:type="pct"/>
          </w:tcPr>
          <w:p w14:paraId="1799E9DF" w14:textId="4199CDF8" w:rsidR="00F503D3" w:rsidRDefault="00F503D3" w:rsidP="00F503D3">
            <w:pPr>
              <w:spacing w:after="0" w:line="240" w:lineRule="auto"/>
            </w:pPr>
            <w:r>
              <w:t>Q2</w:t>
            </w:r>
            <w:r w:rsidR="007E72B9">
              <w:t>–</w:t>
            </w:r>
            <w:r>
              <w:t>3 2020</w:t>
            </w:r>
            <w:r w:rsidR="007E72B9">
              <w:t>: Consultation paper</w:t>
            </w:r>
          </w:p>
        </w:tc>
      </w:tr>
      <w:tr w:rsidR="00F503D3" w:rsidRPr="004804C7" w14:paraId="5057A4D8" w14:textId="77777777" w:rsidTr="0010018E">
        <w:trPr>
          <w:cantSplit/>
        </w:trPr>
        <w:tc>
          <w:tcPr>
            <w:tcW w:w="2310" w:type="pct"/>
            <w:shd w:val="clear" w:color="auto" w:fill="F2F2F2" w:themeFill="background1" w:themeFillShade="F2"/>
          </w:tcPr>
          <w:p w14:paraId="4FDAEB94" w14:textId="30932935" w:rsidR="00F503D3" w:rsidRDefault="00F503D3" w:rsidP="00F503D3">
            <w:pPr>
              <w:spacing w:after="0" w:line="240" w:lineRule="auto"/>
              <w:rPr>
                <w:rFonts w:cs="Arial"/>
                <w:szCs w:val="20"/>
              </w:rPr>
            </w:pPr>
            <w:r>
              <w:rPr>
                <w:rFonts w:cs="Arial"/>
                <w:szCs w:val="20"/>
              </w:rPr>
              <w:t>26 GHz spectrum licences</w:t>
            </w:r>
          </w:p>
        </w:tc>
        <w:tc>
          <w:tcPr>
            <w:tcW w:w="2690" w:type="pct"/>
            <w:shd w:val="clear" w:color="auto" w:fill="F2F2F2" w:themeFill="background1" w:themeFillShade="F2"/>
          </w:tcPr>
          <w:p w14:paraId="1C8C6050" w14:textId="447F70D5" w:rsidR="00F503D3" w:rsidRDefault="00F503D3" w:rsidP="00F503D3">
            <w:pPr>
              <w:spacing w:after="0" w:line="240" w:lineRule="auto"/>
            </w:pPr>
            <w:r>
              <w:t>Q2</w:t>
            </w:r>
            <w:r w:rsidR="007E72B9">
              <w:t>–</w:t>
            </w:r>
            <w:r>
              <w:t>3 2020: Consultation on draft allocation instruments</w:t>
            </w:r>
          </w:p>
        </w:tc>
      </w:tr>
      <w:tr w:rsidR="007227D8" w:rsidRPr="004804C7" w14:paraId="428D1C22" w14:textId="77777777" w:rsidTr="0010018E">
        <w:trPr>
          <w:cantSplit/>
        </w:trPr>
        <w:tc>
          <w:tcPr>
            <w:tcW w:w="2310" w:type="pct"/>
          </w:tcPr>
          <w:p w14:paraId="63AA992F" w14:textId="64EF709F" w:rsidR="007227D8" w:rsidRDefault="007227D8" w:rsidP="00F503D3">
            <w:pPr>
              <w:spacing w:after="0" w:line="240" w:lineRule="auto"/>
              <w:rPr>
                <w:rFonts w:cs="Arial"/>
                <w:szCs w:val="20"/>
              </w:rPr>
            </w:pPr>
            <w:r>
              <w:rPr>
                <w:rFonts w:cs="Arial"/>
                <w:szCs w:val="20"/>
              </w:rPr>
              <w:t xml:space="preserve">Annual update to the </w:t>
            </w:r>
            <w:r w:rsidR="00AF4CD2">
              <w:rPr>
                <w:rFonts w:cs="Arial"/>
                <w:szCs w:val="20"/>
              </w:rPr>
              <w:t>LIPD</w:t>
            </w:r>
            <w:r>
              <w:rPr>
                <w:rFonts w:cs="Arial"/>
                <w:szCs w:val="20"/>
              </w:rPr>
              <w:t xml:space="preserve"> class licence </w:t>
            </w:r>
          </w:p>
        </w:tc>
        <w:tc>
          <w:tcPr>
            <w:tcW w:w="2690" w:type="pct"/>
          </w:tcPr>
          <w:p w14:paraId="22C389E0" w14:textId="5BC9C8FA" w:rsidR="007227D8" w:rsidRDefault="007227D8" w:rsidP="00F503D3">
            <w:pPr>
              <w:spacing w:after="0" w:line="240" w:lineRule="auto"/>
            </w:pPr>
            <w:r>
              <w:t>Q3 2020</w:t>
            </w:r>
          </w:p>
        </w:tc>
      </w:tr>
      <w:tr w:rsidR="00F503D3" w:rsidRPr="004804C7" w14:paraId="4A0B608B" w14:textId="77777777" w:rsidTr="0010018E">
        <w:trPr>
          <w:cantSplit/>
        </w:trPr>
        <w:tc>
          <w:tcPr>
            <w:tcW w:w="2310" w:type="pct"/>
            <w:shd w:val="clear" w:color="auto" w:fill="F2F2F2" w:themeFill="background1" w:themeFillShade="F2"/>
          </w:tcPr>
          <w:p w14:paraId="46A2B046" w14:textId="6AE7F43E" w:rsidR="00F503D3" w:rsidRPr="004804C7" w:rsidRDefault="00F503D3" w:rsidP="00F503D3">
            <w:pPr>
              <w:spacing w:after="0" w:line="240" w:lineRule="auto"/>
              <w:rPr>
                <w:rFonts w:cs="Arial"/>
                <w:szCs w:val="20"/>
              </w:rPr>
            </w:pPr>
            <w:r>
              <w:rPr>
                <w:rFonts w:cs="Arial"/>
                <w:szCs w:val="20"/>
              </w:rPr>
              <w:t xml:space="preserve">Area-wide apparatus licence (AWL) types in the 26 and 28 GHz bands – consult on </w:t>
            </w:r>
            <w:r w:rsidRPr="007366C8">
              <w:rPr>
                <w:rFonts w:cs="Arial"/>
                <w:szCs w:val="20"/>
              </w:rPr>
              <w:t>drafts of the technical framework instruments</w:t>
            </w:r>
            <w:r>
              <w:rPr>
                <w:rFonts w:cs="Arial"/>
                <w:szCs w:val="20"/>
              </w:rPr>
              <w:t xml:space="preserve">, </w:t>
            </w:r>
            <w:r w:rsidRPr="007366C8">
              <w:rPr>
                <w:rFonts w:cs="Arial"/>
                <w:szCs w:val="20"/>
              </w:rPr>
              <w:t>coordination arrangements</w:t>
            </w:r>
            <w:r>
              <w:rPr>
                <w:rFonts w:cs="Arial"/>
                <w:szCs w:val="20"/>
              </w:rPr>
              <w:t>, other relevant matters</w:t>
            </w:r>
          </w:p>
        </w:tc>
        <w:tc>
          <w:tcPr>
            <w:tcW w:w="2690" w:type="pct"/>
            <w:shd w:val="clear" w:color="auto" w:fill="F2F2F2" w:themeFill="background1" w:themeFillShade="F2"/>
          </w:tcPr>
          <w:p w14:paraId="6A513FD9" w14:textId="3F778DD0" w:rsidR="00F503D3" w:rsidRPr="00B35F17" w:rsidRDefault="00F503D3" w:rsidP="00F503D3">
            <w:pPr>
              <w:spacing w:after="0" w:line="240" w:lineRule="auto"/>
            </w:pPr>
            <w:r>
              <w:t xml:space="preserve">Q3 2020 </w:t>
            </w:r>
          </w:p>
        </w:tc>
      </w:tr>
      <w:tr w:rsidR="00F503D3" w:rsidRPr="004804C7" w14:paraId="6CC507A8" w14:textId="77777777" w:rsidTr="0010018E">
        <w:trPr>
          <w:cantSplit/>
        </w:trPr>
        <w:tc>
          <w:tcPr>
            <w:tcW w:w="2310" w:type="pct"/>
          </w:tcPr>
          <w:p w14:paraId="73636658" w14:textId="04291131" w:rsidR="00F503D3" w:rsidRDefault="00F503D3" w:rsidP="00F503D3">
            <w:pPr>
              <w:spacing w:after="0" w:line="240" w:lineRule="auto"/>
              <w:rPr>
                <w:rFonts w:cs="Arial"/>
                <w:szCs w:val="20"/>
              </w:rPr>
            </w:pPr>
            <w:r>
              <w:rPr>
                <w:rFonts w:cs="Arial"/>
                <w:szCs w:val="20"/>
              </w:rPr>
              <w:t xml:space="preserve">Review of efficiency and effectiveness of </w:t>
            </w:r>
            <w:r w:rsidR="007E72B9">
              <w:rPr>
                <w:rFonts w:cs="Arial"/>
                <w:szCs w:val="20"/>
              </w:rPr>
              <w:t>a</w:t>
            </w:r>
            <w:r>
              <w:rPr>
                <w:rFonts w:cs="Arial"/>
                <w:szCs w:val="20"/>
              </w:rPr>
              <w:t xml:space="preserve">ccredited </w:t>
            </w:r>
            <w:r w:rsidR="007E72B9">
              <w:rPr>
                <w:rFonts w:cs="Arial"/>
                <w:szCs w:val="20"/>
              </w:rPr>
              <w:t>p</w:t>
            </w:r>
            <w:r>
              <w:rPr>
                <w:rFonts w:cs="Arial"/>
                <w:szCs w:val="20"/>
              </w:rPr>
              <w:t>ersons scheme</w:t>
            </w:r>
          </w:p>
        </w:tc>
        <w:tc>
          <w:tcPr>
            <w:tcW w:w="2690" w:type="pct"/>
          </w:tcPr>
          <w:p w14:paraId="475A42E4" w14:textId="368536DB" w:rsidR="00F503D3" w:rsidRPr="008A31E6" w:rsidRDefault="00F503D3" w:rsidP="00F503D3">
            <w:pPr>
              <w:spacing w:after="0" w:line="240" w:lineRule="auto"/>
              <w:rPr>
                <w:highlight w:val="yellow"/>
              </w:rPr>
            </w:pPr>
            <w:r w:rsidRPr="00FC330D">
              <w:t>Q2</w:t>
            </w:r>
            <w:r w:rsidR="007E72B9">
              <w:t>–</w:t>
            </w:r>
            <w:r w:rsidRPr="00FC330D">
              <w:t>3 2020</w:t>
            </w:r>
          </w:p>
        </w:tc>
      </w:tr>
      <w:tr w:rsidR="00934BCB" w:rsidRPr="004804C7" w14:paraId="6CCA4E5F" w14:textId="77777777" w:rsidTr="0010018E">
        <w:trPr>
          <w:cantSplit/>
        </w:trPr>
        <w:tc>
          <w:tcPr>
            <w:tcW w:w="2310" w:type="pct"/>
            <w:shd w:val="clear" w:color="auto" w:fill="F2F2F2" w:themeFill="background1" w:themeFillShade="F2"/>
          </w:tcPr>
          <w:p w14:paraId="44608CBA" w14:textId="7299D922" w:rsidR="00934BCB" w:rsidRDefault="00934BCB" w:rsidP="00934BCB">
            <w:pPr>
              <w:spacing w:after="0" w:line="240" w:lineRule="auto"/>
              <w:rPr>
                <w:rFonts w:cs="Arial"/>
                <w:szCs w:val="20"/>
              </w:rPr>
            </w:pPr>
            <w:r>
              <w:t xml:space="preserve">Consult on the </w:t>
            </w:r>
            <w:r w:rsidR="007E72B9">
              <w:t>DRCP</w:t>
            </w:r>
            <w:r>
              <w:t xml:space="preserve"> </w:t>
            </w:r>
            <w:r w:rsidR="007E72B9">
              <w:t>for the</w:t>
            </w:r>
            <w:r>
              <w:t xml:space="preserve"> Gold Coast</w:t>
            </w:r>
            <w:r w:rsidR="007E72B9">
              <w:t>,</w:t>
            </w:r>
            <w:r>
              <w:t xml:space="preserve"> taking into account the completion of frequency allotment planning</w:t>
            </w:r>
          </w:p>
        </w:tc>
        <w:tc>
          <w:tcPr>
            <w:tcW w:w="2690" w:type="pct"/>
            <w:shd w:val="clear" w:color="auto" w:fill="F2F2F2" w:themeFill="background1" w:themeFillShade="F2"/>
          </w:tcPr>
          <w:p w14:paraId="47038320" w14:textId="737C6C9B" w:rsidR="00934BCB" w:rsidRPr="00FC330D" w:rsidRDefault="00934BCB" w:rsidP="00934BCB">
            <w:pPr>
              <w:spacing w:after="0" w:line="240" w:lineRule="auto"/>
            </w:pPr>
            <w:r>
              <w:t>Q</w:t>
            </w:r>
            <w:r w:rsidR="004C723D">
              <w:t>3</w:t>
            </w:r>
            <w:r>
              <w:t xml:space="preserve"> 2020 </w:t>
            </w:r>
          </w:p>
        </w:tc>
      </w:tr>
      <w:tr w:rsidR="00934BCB" w:rsidRPr="004804C7" w14:paraId="03A41A18" w14:textId="77777777" w:rsidTr="0010018E">
        <w:trPr>
          <w:cantSplit/>
        </w:trPr>
        <w:tc>
          <w:tcPr>
            <w:tcW w:w="2310" w:type="pct"/>
          </w:tcPr>
          <w:p w14:paraId="73B42241" w14:textId="2C94AA2F" w:rsidR="00934BCB" w:rsidRDefault="00934BCB" w:rsidP="00934BCB">
            <w:pPr>
              <w:spacing w:after="0" w:line="240" w:lineRule="auto"/>
              <w:rPr>
                <w:rFonts w:cs="Arial"/>
                <w:szCs w:val="20"/>
              </w:rPr>
            </w:pPr>
            <w:r w:rsidRPr="00F503D3">
              <w:t>Further consult</w:t>
            </w:r>
            <w:r w:rsidR="007E72B9">
              <w:t>ation</w:t>
            </w:r>
            <w:r w:rsidRPr="00F503D3">
              <w:t xml:space="preserve"> on whether variations to the </w:t>
            </w:r>
            <w:r w:rsidR="007E72B9">
              <w:t>DRCP</w:t>
            </w:r>
            <w:r w:rsidRPr="00F503D3">
              <w:t xml:space="preserve"> </w:t>
            </w:r>
            <w:r w:rsidR="007E72B9">
              <w:t>for</w:t>
            </w:r>
            <w:r w:rsidRPr="00F503D3">
              <w:t xml:space="preserve"> Brisbane are appropriate to improve digital coverage</w:t>
            </w:r>
          </w:p>
        </w:tc>
        <w:tc>
          <w:tcPr>
            <w:tcW w:w="2690" w:type="pct"/>
          </w:tcPr>
          <w:p w14:paraId="609307EE" w14:textId="075F69B4" w:rsidR="00934BCB" w:rsidRPr="00FC330D" w:rsidRDefault="00934BCB" w:rsidP="00934BCB">
            <w:pPr>
              <w:spacing w:after="0" w:line="240" w:lineRule="auto"/>
            </w:pPr>
            <w:r>
              <w:t>Q</w:t>
            </w:r>
            <w:r w:rsidR="004C723D">
              <w:t>3</w:t>
            </w:r>
            <w:r>
              <w:t xml:space="preserve"> 2020 </w:t>
            </w:r>
          </w:p>
        </w:tc>
      </w:tr>
      <w:tr w:rsidR="004C723D" w:rsidRPr="004804C7" w14:paraId="6CD31473" w14:textId="77777777" w:rsidTr="0010018E">
        <w:trPr>
          <w:cantSplit/>
        </w:trPr>
        <w:tc>
          <w:tcPr>
            <w:tcW w:w="2310" w:type="pct"/>
            <w:shd w:val="clear" w:color="auto" w:fill="F2F2F2" w:themeFill="background1" w:themeFillShade="F2"/>
          </w:tcPr>
          <w:p w14:paraId="106113C4" w14:textId="244B046E" w:rsidR="004C723D" w:rsidRPr="00F503D3" w:rsidRDefault="004C723D" w:rsidP="004C723D">
            <w:pPr>
              <w:spacing w:after="0" w:line="240" w:lineRule="auto"/>
            </w:pPr>
            <w:r w:rsidRPr="00934BCB">
              <w:rPr>
                <w:rFonts w:cs="Arial"/>
                <w:szCs w:val="20"/>
              </w:rPr>
              <w:lastRenderedPageBreak/>
              <w:t>Develop and consult on proposals for variations to the Remote Central and Eastern Australia Radio LAP</w:t>
            </w:r>
          </w:p>
        </w:tc>
        <w:tc>
          <w:tcPr>
            <w:tcW w:w="2690" w:type="pct"/>
            <w:shd w:val="clear" w:color="auto" w:fill="F2F2F2" w:themeFill="background1" w:themeFillShade="F2"/>
          </w:tcPr>
          <w:p w14:paraId="773FFCD3" w14:textId="6CF5C90D" w:rsidR="004C723D" w:rsidRDefault="004C723D" w:rsidP="004C723D">
            <w:pPr>
              <w:spacing w:after="0" w:line="240" w:lineRule="auto"/>
            </w:pPr>
            <w:r w:rsidRPr="00D13358">
              <w:t>Q4 2020</w:t>
            </w:r>
          </w:p>
        </w:tc>
      </w:tr>
      <w:tr w:rsidR="004C723D" w:rsidRPr="004804C7" w14:paraId="15C9E76A" w14:textId="77777777" w:rsidTr="0010018E">
        <w:trPr>
          <w:cantSplit/>
        </w:trPr>
        <w:tc>
          <w:tcPr>
            <w:tcW w:w="2310" w:type="pct"/>
          </w:tcPr>
          <w:p w14:paraId="3C9E26CA" w14:textId="5E5193BB" w:rsidR="004C723D" w:rsidRPr="00934BCB" w:rsidRDefault="004C723D" w:rsidP="004C723D">
            <w:pPr>
              <w:spacing w:after="0" w:line="240" w:lineRule="auto"/>
              <w:rPr>
                <w:rFonts w:cs="Arial"/>
                <w:szCs w:val="20"/>
              </w:rPr>
            </w:pPr>
            <w:r w:rsidRPr="004804C7">
              <w:t>Potential for replanning analog radio services in Perth, following the clearance of Band II television in Bunbury</w:t>
            </w:r>
          </w:p>
        </w:tc>
        <w:tc>
          <w:tcPr>
            <w:tcW w:w="2690" w:type="pct"/>
          </w:tcPr>
          <w:p w14:paraId="1A42F551" w14:textId="76F07861" w:rsidR="004C723D" w:rsidRPr="00D13358" w:rsidRDefault="004C723D" w:rsidP="004C723D">
            <w:pPr>
              <w:spacing w:after="0" w:line="240" w:lineRule="auto"/>
            </w:pPr>
            <w:r>
              <w:t>Q4 2020</w:t>
            </w:r>
            <w:r w:rsidR="00AF4CD2">
              <w:t>: C</w:t>
            </w:r>
            <w:r w:rsidR="00AF4CD2" w:rsidRPr="004804C7">
              <w:t>onsultation paper</w:t>
            </w:r>
          </w:p>
        </w:tc>
      </w:tr>
      <w:tr w:rsidR="00C80F98" w:rsidRPr="004804C7" w14:paraId="0AF2BDA4" w14:textId="77777777" w:rsidTr="0010018E">
        <w:trPr>
          <w:cantSplit/>
        </w:trPr>
        <w:tc>
          <w:tcPr>
            <w:tcW w:w="2310" w:type="pct"/>
            <w:shd w:val="clear" w:color="auto" w:fill="F2F2F2" w:themeFill="background1" w:themeFillShade="F2"/>
          </w:tcPr>
          <w:p w14:paraId="00E9B28D" w14:textId="00577898" w:rsidR="00C80F98" w:rsidRPr="004804C7" w:rsidRDefault="00AF4CD2" w:rsidP="004C723D">
            <w:pPr>
              <w:spacing w:after="0" w:line="240" w:lineRule="auto"/>
            </w:pPr>
            <w:r>
              <w:t>FYSO</w:t>
            </w:r>
            <w:r w:rsidR="00C80F98" w:rsidRPr="00C80F98">
              <w:t>/Annual work program</w:t>
            </w:r>
          </w:p>
        </w:tc>
        <w:tc>
          <w:tcPr>
            <w:tcW w:w="2690" w:type="pct"/>
            <w:shd w:val="clear" w:color="auto" w:fill="F2F2F2" w:themeFill="background1" w:themeFillShade="F2"/>
          </w:tcPr>
          <w:p w14:paraId="20738645" w14:textId="1DCB61D6" w:rsidR="00C80F98" w:rsidRDefault="00C80F98" w:rsidP="004C723D">
            <w:pPr>
              <w:spacing w:after="0" w:line="240" w:lineRule="auto"/>
            </w:pPr>
            <w:r w:rsidRPr="00C80F98">
              <w:t>Q2 2021</w:t>
            </w:r>
            <w:r w:rsidR="00AF4CD2">
              <w:t>: C</w:t>
            </w:r>
            <w:r w:rsidR="00AF4CD2" w:rsidRPr="00C80F98">
              <w:t>onsultation on draft</w:t>
            </w:r>
          </w:p>
        </w:tc>
      </w:tr>
    </w:tbl>
    <w:p w14:paraId="71632FE1" w14:textId="77777777" w:rsidR="00EA3CFC" w:rsidRPr="00B53F89" w:rsidRDefault="00EA3CFC" w:rsidP="00EA3CFC">
      <w:pPr>
        <w:pStyle w:val="ACMASpaceaftertable"/>
      </w:pPr>
    </w:p>
    <w:p w14:paraId="0DA991DE" w14:textId="77777777" w:rsidR="00366016" w:rsidRPr="00124D77" w:rsidRDefault="00366016" w:rsidP="00FC46BF">
      <w:pPr>
        <w:pStyle w:val="Heading2"/>
        <w:keepNext w:val="0"/>
      </w:pPr>
      <w:bookmarkStart w:id="46" w:name="_Toc31892771"/>
      <w:bookmarkStart w:id="47" w:name="_Toc36207392"/>
      <w:bookmarkStart w:id="48" w:name="_Toc38987146"/>
      <w:bookmarkEnd w:id="33"/>
      <w:r w:rsidRPr="00124D77">
        <w:t>FYSO 201</w:t>
      </w:r>
      <w:r w:rsidR="00375DA4" w:rsidRPr="00124D77">
        <w:t>9</w:t>
      </w:r>
      <w:r w:rsidRPr="00124D77">
        <w:t>–2</w:t>
      </w:r>
      <w:r w:rsidR="00375DA4" w:rsidRPr="00124D77">
        <w:t>3</w:t>
      </w:r>
      <w:r w:rsidRPr="00124D77">
        <w:t xml:space="preserve"> progress report</w:t>
      </w:r>
      <w:bookmarkEnd w:id="46"/>
      <w:bookmarkEnd w:id="47"/>
      <w:bookmarkEnd w:id="48"/>
    </w:p>
    <w:p w14:paraId="3D4DB8C2" w14:textId="4FBB4507" w:rsidR="00366016" w:rsidRPr="00124D77" w:rsidRDefault="00366016" w:rsidP="00FC46BF">
      <w:r w:rsidRPr="00124D77">
        <w:t xml:space="preserve">The </w:t>
      </w:r>
      <w:hyperlink r:id="rId40" w:history="1">
        <w:r w:rsidR="00946316" w:rsidRPr="00124D77">
          <w:rPr>
            <w:rStyle w:val="Hyperlink"/>
          </w:rPr>
          <w:t>FYSO 2019</w:t>
        </w:r>
        <w:r w:rsidR="00A7210B">
          <w:rPr>
            <w:rStyle w:val="Hyperlink"/>
          </w:rPr>
          <w:t>–</w:t>
        </w:r>
        <w:r w:rsidR="00946316" w:rsidRPr="00124D77">
          <w:rPr>
            <w:rStyle w:val="Hyperlink"/>
          </w:rPr>
          <w:t>23 six-monthly progress report</w:t>
        </w:r>
      </w:hyperlink>
      <w:r w:rsidR="00946316" w:rsidRPr="00124D77">
        <w:t xml:space="preserve"> </w:t>
      </w:r>
      <w:r w:rsidR="00D9015A" w:rsidRPr="00124D77">
        <w:t xml:space="preserve">was published in February 2020. It </w:t>
      </w:r>
      <w:r w:rsidR="00946316" w:rsidRPr="00124D77">
        <w:t xml:space="preserve">shows the status of activities in the most recent FYSO and how our </w:t>
      </w:r>
      <w:r w:rsidR="009659AF">
        <w:t xml:space="preserve">2019-20 </w:t>
      </w:r>
      <w:r w:rsidR="00946316" w:rsidRPr="00124D77">
        <w:t>work program is tracking</w:t>
      </w:r>
      <w:r w:rsidRPr="00124D77">
        <w:t>.</w:t>
      </w:r>
      <w:r w:rsidR="00D9015A" w:rsidRPr="00124D77">
        <w:t xml:space="preserve"> </w:t>
      </w:r>
    </w:p>
    <w:p w14:paraId="69B5AC69" w14:textId="6650CB2E" w:rsidR="00D9015A" w:rsidRPr="00B53F89" w:rsidRDefault="00D9015A" w:rsidP="00FC46BF">
      <w:r w:rsidRPr="00124D77">
        <w:t>A 12-month progress report will be published in Q3 2020, around the same time as the final FYSO for 2020</w:t>
      </w:r>
      <w:r w:rsidR="00124D77">
        <w:t>–</w:t>
      </w:r>
      <w:r w:rsidRPr="00124D77">
        <w:t>24</w:t>
      </w:r>
      <w:r w:rsidR="00124D77">
        <w:t>.</w:t>
      </w:r>
      <w:r>
        <w:t xml:space="preserve"> </w:t>
      </w:r>
    </w:p>
    <w:p w14:paraId="16063A02" w14:textId="52E9B833" w:rsidR="00366016" w:rsidRPr="00B53F89" w:rsidRDefault="00124D77" w:rsidP="00513FDE">
      <w:pPr>
        <w:rPr>
          <w:rFonts w:eastAsiaTheme="majorEastAsia"/>
        </w:rPr>
      </w:pPr>
      <w:r>
        <w:t xml:space="preserve">We’ll provide </w:t>
      </w:r>
      <w:r w:rsidR="00366016" w:rsidRPr="00B53F89">
        <w:t xml:space="preserve">regular updates on processes and explanations of changes to plans. </w:t>
      </w:r>
    </w:p>
    <w:p w14:paraId="528F1116" w14:textId="2D14275E" w:rsidR="000C4ED6" w:rsidRPr="0010018E" w:rsidRDefault="000C4ED6" w:rsidP="000650FB">
      <w:pPr>
        <w:pStyle w:val="ACMAExecSummaryHeading"/>
        <w:pageBreakBefore/>
        <w:rPr>
          <w:rStyle w:val="TitleChar"/>
          <w:rFonts w:ascii="Arial" w:hAnsi="Arial" w:cs="Times New Roman"/>
          <w:spacing w:val="-18"/>
          <w:kern w:val="0"/>
          <w:sz w:val="53"/>
          <w:szCs w:val="24"/>
          <w:lang w:eastAsia="en-AU"/>
        </w:rPr>
      </w:pPr>
      <w:bookmarkStart w:id="49" w:name="_Toc492369998"/>
      <w:bookmarkStart w:id="50" w:name="_Toc492371194"/>
      <w:bookmarkStart w:id="51" w:name="_Toc492371270"/>
      <w:bookmarkStart w:id="52" w:name="_Toc492371763"/>
      <w:bookmarkStart w:id="53" w:name="_Toc492374153"/>
      <w:bookmarkStart w:id="54" w:name="_Toc492374934"/>
      <w:bookmarkStart w:id="55" w:name="_Toc492383120"/>
      <w:bookmarkStart w:id="56" w:name="_Toc492385610"/>
      <w:bookmarkStart w:id="57" w:name="_Toc492388328"/>
      <w:bookmarkStart w:id="58" w:name="_Toc492390376"/>
      <w:bookmarkStart w:id="59" w:name="_Toc492554253"/>
      <w:bookmarkStart w:id="60" w:name="_Toc492557299"/>
      <w:bookmarkStart w:id="61" w:name="_Toc492557555"/>
      <w:bookmarkStart w:id="62" w:name="_Toc492557668"/>
      <w:bookmarkStart w:id="63" w:name="_Toc492558039"/>
      <w:bookmarkStart w:id="64" w:name="_Toc492558077"/>
      <w:bookmarkStart w:id="65" w:name="_Toc492564195"/>
      <w:bookmarkStart w:id="66" w:name="_Toc492566411"/>
      <w:bookmarkStart w:id="67" w:name="_Toc492625052"/>
      <w:bookmarkStart w:id="68" w:name="_Toc492625218"/>
      <w:bookmarkStart w:id="69" w:name="_Toc492626134"/>
      <w:bookmarkStart w:id="70" w:name="_Toc492626758"/>
      <w:bookmarkStart w:id="71" w:name="_Toc492630909"/>
      <w:bookmarkStart w:id="72" w:name="_Toc492632457"/>
      <w:bookmarkStart w:id="73" w:name="_Toc492632760"/>
      <w:bookmarkStart w:id="74" w:name="_Toc492632894"/>
      <w:bookmarkStart w:id="75" w:name="_Toc492633051"/>
      <w:bookmarkStart w:id="76" w:name="_Toc492635018"/>
      <w:bookmarkStart w:id="77" w:name="_Toc492639666"/>
      <w:bookmarkStart w:id="78" w:name="_Toc492639974"/>
      <w:bookmarkStart w:id="79" w:name="_Toc492640190"/>
      <w:bookmarkStart w:id="80" w:name="_Toc492640237"/>
      <w:bookmarkStart w:id="81" w:name="_Toc492640276"/>
      <w:bookmarkStart w:id="82" w:name="_Toc492640315"/>
      <w:bookmarkStart w:id="83" w:name="_Toc492641289"/>
      <w:bookmarkStart w:id="84" w:name="_Toc492641336"/>
      <w:bookmarkStart w:id="85" w:name="_Toc492641778"/>
      <w:bookmarkStart w:id="86" w:name="_Toc492641904"/>
      <w:bookmarkStart w:id="87" w:name="_Toc492645934"/>
      <w:bookmarkStart w:id="88" w:name="_Toc492646224"/>
      <w:bookmarkStart w:id="89" w:name="_Toc492646633"/>
      <w:bookmarkStart w:id="90" w:name="_Toc492647421"/>
      <w:bookmarkStart w:id="91" w:name="_Toc492647473"/>
      <w:bookmarkStart w:id="92" w:name="_Toc492885144"/>
      <w:bookmarkStart w:id="93" w:name="_Toc492885264"/>
      <w:bookmarkStart w:id="94" w:name="_Toc492885536"/>
      <w:bookmarkStart w:id="95" w:name="_Toc492885600"/>
      <w:bookmarkStart w:id="96" w:name="_Toc492886707"/>
      <w:bookmarkStart w:id="97" w:name="_Toc492887240"/>
      <w:bookmarkStart w:id="98" w:name="_Toc492890828"/>
      <w:bookmarkStart w:id="99" w:name="_Toc492891431"/>
      <w:bookmarkStart w:id="100" w:name="_Toc492892962"/>
      <w:bookmarkStart w:id="101" w:name="_Toc492893943"/>
      <w:bookmarkStart w:id="102" w:name="_Toc492894078"/>
      <w:bookmarkStart w:id="103" w:name="_Toc492894346"/>
      <w:bookmarkStart w:id="104" w:name="_Toc492894782"/>
      <w:bookmarkStart w:id="105" w:name="_Toc492896235"/>
      <w:bookmarkStart w:id="106" w:name="_Toc492896670"/>
      <w:bookmarkStart w:id="107" w:name="_Toc492897540"/>
      <w:bookmarkStart w:id="108" w:name="_Toc492898003"/>
      <w:bookmarkStart w:id="109" w:name="_Toc492902338"/>
      <w:bookmarkStart w:id="110" w:name="_Part_1—Five-year_spectrum"/>
      <w:bookmarkStart w:id="111" w:name="_Toc510104928"/>
      <w:bookmarkStart w:id="112" w:name="_Toc510105725"/>
      <w:bookmarkStart w:id="113" w:name="_Toc510795066"/>
      <w:bookmarkStart w:id="114" w:name="_Toc511716267"/>
      <w:bookmarkStart w:id="115" w:name="_Toc511719078"/>
      <w:bookmarkStart w:id="116" w:name="_Toc522794074"/>
      <w:bookmarkStart w:id="117" w:name="_Toc31892772"/>
      <w:bookmarkStart w:id="118" w:name="_Toc36207393"/>
      <w:bookmarkStart w:id="119" w:name="_Toc38987147"/>
      <w:bookmarkStart w:id="120" w:name="_Toc509581797"/>
      <w:bookmarkStart w:id="121" w:name="_Toc509585113"/>
      <w:bookmarkStart w:id="122" w:name="_Toc509585649"/>
      <w:bookmarkStart w:id="123" w:name="_Toc491854091"/>
      <w:bookmarkStart w:id="124" w:name="_Toc49411514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10018E">
        <w:rPr>
          <w:rStyle w:val="TitleChar"/>
          <w:rFonts w:ascii="Arial" w:hAnsi="Arial" w:cs="Times New Roman"/>
          <w:spacing w:val="-18"/>
          <w:kern w:val="0"/>
          <w:sz w:val="53"/>
          <w:szCs w:val="24"/>
          <w:lang w:eastAsia="en-AU"/>
        </w:rPr>
        <w:lastRenderedPageBreak/>
        <w:t>Part 1—Five-year spectrum outlook</w:t>
      </w:r>
      <w:bookmarkEnd w:id="111"/>
      <w:bookmarkEnd w:id="112"/>
      <w:bookmarkEnd w:id="113"/>
      <w:bookmarkEnd w:id="114"/>
      <w:bookmarkEnd w:id="115"/>
      <w:bookmarkEnd w:id="116"/>
      <w:bookmarkEnd w:id="117"/>
      <w:bookmarkEnd w:id="118"/>
      <w:bookmarkEnd w:id="119"/>
      <w:r w:rsidRPr="0010018E">
        <w:rPr>
          <w:rStyle w:val="TitleChar"/>
          <w:rFonts w:ascii="Arial" w:hAnsi="Arial" w:cs="Times New Roman"/>
          <w:spacing w:val="-18"/>
          <w:kern w:val="0"/>
          <w:sz w:val="53"/>
          <w:szCs w:val="24"/>
          <w:lang w:eastAsia="en-AU"/>
        </w:rPr>
        <w:t xml:space="preserve"> </w:t>
      </w:r>
    </w:p>
    <w:p w14:paraId="751EF5EC" w14:textId="5D90E37A" w:rsidR="00CF322E" w:rsidRPr="00B53F89" w:rsidRDefault="00CF322E" w:rsidP="00D7755E">
      <w:bookmarkStart w:id="125" w:name="_Toc491854093"/>
      <w:bookmarkEnd w:id="120"/>
      <w:bookmarkEnd w:id="121"/>
      <w:bookmarkEnd w:id="122"/>
      <w:bookmarkEnd w:id="123"/>
      <w:bookmarkEnd w:id="124"/>
      <w:r w:rsidRPr="00B53F89">
        <w:t xml:space="preserve">Part </w:t>
      </w:r>
      <w:r w:rsidR="0058077F" w:rsidRPr="00B53F89">
        <w:t>1</w:t>
      </w:r>
      <w:r w:rsidR="000F38B6" w:rsidRPr="00B53F89">
        <w:t xml:space="preserve"> </w:t>
      </w:r>
      <w:r w:rsidRPr="00B53F89">
        <w:t>take</w:t>
      </w:r>
      <w:r w:rsidR="0058077F" w:rsidRPr="00B53F89">
        <w:t>s</w:t>
      </w:r>
      <w:r w:rsidRPr="00B53F89">
        <w:t xml:space="preserve"> a broad view of trends in </w:t>
      </w:r>
      <w:r w:rsidR="00D9015A">
        <w:t xml:space="preserve">markets, </w:t>
      </w:r>
      <w:r w:rsidRPr="00B53F89">
        <w:t>technology and spectrum uses that inform the</w:t>
      </w:r>
      <w:r w:rsidR="00B269A2" w:rsidRPr="00B53F89">
        <w:t xml:space="preserve"> ACMA’s</w:t>
      </w:r>
      <w:r w:rsidRPr="00B53F89">
        <w:t xml:space="preserve"> medium</w:t>
      </w:r>
      <w:r w:rsidR="0058077F" w:rsidRPr="00B53F89">
        <w:t>-</w:t>
      </w:r>
      <w:r w:rsidRPr="00B53F89">
        <w:t xml:space="preserve">term planning, </w:t>
      </w:r>
      <w:r w:rsidR="00B269A2" w:rsidRPr="00B53F89">
        <w:t xml:space="preserve">allocation and </w:t>
      </w:r>
      <w:r w:rsidRPr="00B53F89">
        <w:t>reallocation activities.</w:t>
      </w:r>
      <w:r w:rsidR="00447762" w:rsidRPr="00B53F89">
        <w:t xml:space="preserve"> </w:t>
      </w:r>
    </w:p>
    <w:p w14:paraId="3FCD45B0" w14:textId="74E7066A" w:rsidR="003E6F65" w:rsidRDefault="003E6F65" w:rsidP="00D7755E">
      <w:r w:rsidRPr="00B53F89">
        <w:t>The ACMA takes account of a range of factors in planning its spectrum management work. We monitor developments in radiocommunications technology</w:t>
      </w:r>
      <w:r w:rsidR="0078767B" w:rsidRPr="00B53F89">
        <w:t>,</w:t>
      </w:r>
      <w:r w:rsidR="002064DB" w:rsidRPr="00B53F89">
        <w:t xml:space="preserve"> including equipment availability</w:t>
      </w:r>
      <w:r w:rsidRPr="00B53F89">
        <w:t xml:space="preserve">, </w:t>
      </w:r>
      <w:r w:rsidR="00E527A0">
        <w:t>that influence how</w:t>
      </w:r>
      <w:r w:rsidRPr="00B53F89">
        <w:t xml:space="preserve"> spectrum </w:t>
      </w:r>
      <w:r w:rsidR="00E527A0">
        <w:t>is used.</w:t>
      </w:r>
      <w:r w:rsidR="00E527A0" w:rsidDel="0078620C">
        <w:t xml:space="preserve"> </w:t>
      </w:r>
      <w:r w:rsidR="00E527A0">
        <w:t>We also consider</w:t>
      </w:r>
      <w:r w:rsidRPr="00B53F89">
        <w:t xml:space="preserve"> the broader policy environment</w:t>
      </w:r>
      <w:r w:rsidR="00377FEF" w:rsidRPr="00B53F89">
        <w:t>,</w:t>
      </w:r>
      <w:r w:rsidRPr="00B53F89">
        <w:t xml:space="preserve"> to inform </w:t>
      </w:r>
      <w:r w:rsidR="00E527A0">
        <w:t xml:space="preserve">the prioritisation of </w:t>
      </w:r>
      <w:r w:rsidRPr="00B53F89">
        <w:t xml:space="preserve">our </w:t>
      </w:r>
      <w:r w:rsidR="00E527A0">
        <w:t>spectrum work program</w:t>
      </w:r>
      <w:r w:rsidRPr="00B53F89">
        <w:t>.</w:t>
      </w:r>
    </w:p>
    <w:p w14:paraId="320F8F83" w14:textId="06B8D5A6" w:rsidR="00E33D37" w:rsidRDefault="00E33D37" w:rsidP="00374710">
      <w:pPr>
        <w:pStyle w:val="Heading2"/>
      </w:pPr>
      <w:bookmarkStart w:id="126" w:name="_Toc31892774"/>
      <w:bookmarkStart w:id="127" w:name="_Toc36207395"/>
      <w:bookmarkStart w:id="128" w:name="_Toc38987148"/>
      <w:r w:rsidRPr="00E33D37">
        <w:rPr>
          <w:rStyle w:val="Heading2Char"/>
          <w:b/>
          <w:bCs/>
          <w:iCs/>
        </w:rPr>
        <w:t>Overview of current industry landscape</w:t>
      </w:r>
      <w:bookmarkEnd w:id="126"/>
      <w:bookmarkEnd w:id="127"/>
      <w:bookmarkEnd w:id="128"/>
    </w:p>
    <w:p w14:paraId="55711439" w14:textId="79D9B306" w:rsidR="007F1A09" w:rsidRDefault="00E527A0" w:rsidP="00D7755E">
      <w:r>
        <w:t xml:space="preserve">With over 158,000 radiocommunications licences on issue, </w:t>
      </w:r>
      <w:r w:rsidR="00D52B7D">
        <w:t>representing a diverse range of spectrum uses</w:t>
      </w:r>
      <w:r w:rsidR="00C55387">
        <w:t xml:space="preserve">, </w:t>
      </w:r>
      <w:r>
        <w:t>d</w:t>
      </w:r>
      <w:r w:rsidR="007F1A09" w:rsidRPr="00B53F89">
        <w:t xml:space="preserve">emand for new spectrum </w:t>
      </w:r>
      <w:r w:rsidR="00D210EA" w:rsidRPr="00B53F89">
        <w:t xml:space="preserve">and </w:t>
      </w:r>
      <w:r w:rsidR="007F1A09" w:rsidRPr="00B53F89">
        <w:t xml:space="preserve">changes to existing arrangements </w:t>
      </w:r>
      <w:r>
        <w:t xml:space="preserve">for licensees </w:t>
      </w:r>
      <w:r w:rsidR="007F1A09" w:rsidRPr="00B53F89">
        <w:t>continue</w:t>
      </w:r>
      <w:r w:rsidR="00E17DAB" w:rsidRPr="00B53F89">
        <w:t>s</w:t>
      </w:r>
      <w:r w:rsidR="007F1A09" w:rsidRPr="00B53F89">
        <w:t xml:space="preserve"> to evolve quickly</w:t>
      </w:r>
      <w:r w:rsidR="005135A3" w:rsidRPr="00B53F89">
        <w:t xml:space="preserve">. </w:t>
      </w:r>
    </w:p>
    <w:p w14:paraId="6E21B31C" w14:textId="6B9749B0" w:rsidR="00C55387" w:rsidRPr="00B53F89" w:rsidRDefault="004469CE" w:rsidP="00D7755E">
      <w:r w:rsidRPr="0073424B">
        <w:t>Two important influences on future demand for spectrum are technology developments that create new use cases and have potential to improve spectrum utilisation and efficiency, and international cooperation on the use of scarce spectrum and orbital resources.</w:t>
      </w:r>
      <w:r w:rsidDel="004469CE">
        <w:t xml:space="preserve"> </w:t>
      </w:r>
    </w:p>
    <w:p w14:paraId="1DE1224C" w14:textId="6F3CAB34" w:rsidR="00B11728" w:rsidRDefault="007F1A09" w:rsidP="00D7755E">
      <w:r w:rsidRPr="00B53F89">
        <w:t xml:space="preserve">International trends </w:t>
      </w:r>
      <w:r w:rsidR="001C4306" w:rsidRPr="00B53F89">
        <w:t xml:space="preserve">driving demand for spectrum include the </w:t>
      </w:r>
      <w:r w:rsidR="004C23E1" w:rsidRPr="00B53F89">
        <w:t>appetite for</w:t>
      </w:r>
      <w:r w:rsidRPr="00B53F89" w:rsidDel="00FC6EF0">
        <w:t xml:space="preserve"> </w:t>
      </w:r>
      <w:r w:rsidR="00FC6EF0" w:rsidRPr="00B53F89">
        <w:t xml:space="preserve">wireless </w:t>
      </w:r>
      <w:r w:rsidRPr="00B53F89">
        <w:t>broadband</w:t>
      </w:r>
      <w:r w:rsidR="00FC6EF0" w:rsidRPr="00B53F89">
        <w:t>, particularly in the context of 5G services</w:t>
      </w:r>
      <w:r w:rsidRPr="00B53F89">
        <w:t xml:space="preserve">, </w:t>
      </w:r>
      <w:r w:rsidR="003A1DE5">
        <w:t xml:space="preserve">enterprise-based network developments, </w:t>
      </w:r>
      <w:r w:rsidR="004C23E1" w:rsidRPr="00B53F89">
        <w:t>ongoing commercialisation of I</w:t>
      </w:r>
      <w:r w:rsidR="00142C48" w:rsidRPr="00B53F89">
        <w:t xml:space="preserve">nternet </w:t>
      </w:r>
      <w:r w:rsidR="004C23E1" w:rsidRPr="00B53F89">
        <w:t>o</w:t>
      </w:r>
      <w:r w:rsidR="00142C48" w:rsidRPr="00B53F89">
        <w:t xml:space="preserve">f </w:t>
      </w:r>
      <w:r w:rsidR="004C23E1" w:rsidRPr="00B53F89">
        <w:t>T</w:t>
      </w:r>
      <w:r w:rsidR="00142C48" w:rsidRPr="00B53F89">
        <w:t>hings (</w:t>
      </w:r>
      <w:r w:rsidR="004C23E1" w:rsidRPr="00B53F89">
        <w:t>IoT</w:t>
      </w:r>
      <w:r w:rsidR="00142C48" w:rsidRPr="00B53F89">
        <w:t>)</w:t>
      </w:r>
      <w:r w:rsidR="004C23E1" w:rsidRPr="00B53F89">
        <w:t xml:space="preserve"> applications,</w:t>
      </w:r>
      <w:r w:rsidR="00FF77BB">
        <w:t xml:space="preserve"> </w:t>
      </w:r>
      <w:r w:rsidR="003A1DE5">
        <w:t>ad</w:t>
      </w:r>
      <w:r w:rsidR="004C23E1" w:rsidRPr="00B53F89">
        <w:t xml:space="preserve">vances in broadcasting technology, </w:t>
      </w:r>
      <w:r w:rsidR="003D3CF6">
        <w:t xml:space="preserve">and </w:t>
      </w:r>
      <w:r w:rsidRPr="00B53F89">
        <w:t>rapid innovations in satellite technologies</w:t>
      </w:r>
      <w:r w:rsidR="003D3CF6">
        <w:t xml:space="preserve"> and services</w:t>
      </w:r>
      <w:r w:rsidR="007A7BF4" w:rsidRPr="00B53F89">
        <w:t>.</w:t>
      </w:r>
      <w:r w:rsidR="00F14E81" w:rsidRPr="00B53F89">
        <w:t xml:space="preserve"> </w:t>
      </w:r>
      <w:r w:rsidR="00C55387">
        <w:t xml:space="preserve">We are also seeing </w:t>
      </w:r>
      <w:r w:rsidR="00E04770">
        <w:t xml:space="preserve">a </w:t>
      </w:r>
      <w:r w:rsidR="00C55387">
        <w:t xml:space="preserve">rapid evolution of </w:t>
      </w:r>
      <w:r w:rsidR="00E04770">
        <w:t>drones and remotely</w:t>
      </w:r>
      <w:r w:rsidR="00DA1C7E">
        <w:t>-</w:t>
      </w:r>
      <w:r w:rsidR="00E04770">
        <w:t>piloted aircraft being deployed across private, commercial and government uses.</w:t>
      </w:r>
    </w:p>
    <w:p w14:paraId="74897087" w14:textId="755DE302" w:rsidR="00B07AB4" w:rsidRPr="00B53F89" w:rsidRDefault="00B07AB4" w:rsidP="00D7755E">
      <w:r>
        <w:t>There</w:t>
      </w:r>
      <w:r w:rsidRPr="00B53F89">
        <w:t xml:space="preserve"> is </w:t>
      </w:r>
      <w:r>
        <w:t>also ongoing innovation in radiocommunications technologies that support more efficient spectrum use.</w:t>
      </w:r>
      <w:r w:rsidRPr="00B53F89">
        <w:t xml:space="preserve"> Examples include more efficient radiocommunications </w:t>
      </w:r>
      <w:r>
        <w:t>modulation</w:t>
      </w:r>
      <w:r w:rsidRPr="00B53F89">
        <w:t xml:space="preserve"> and coding techn</w:t>
      </w:r>
      <w:r>
        <w:t>iques</w:t>
      </w:r>
      <w:r w:rsidRPr="00B53F89">
        <w:t>, and improved antenna technology that provides greater options in the use of high frequency bands.</w:t>
      </w:r>
    </w:p>
    <w:p w14:paraId="60ED9174" w14:textId="3BC721E1" w:rsidR="002C5B10" w:rsidRDefault="002C5B10" w:rsidP="00D7755E">
      <w:r w:rsidRPr="00B53F89">
        <w:t>The ACMA</w:t>
      </w:r>
      <w:r w:rsidR="00124D77">
        <w:t>;</w:t>
      </w:r>
      <w:r w:rsidRPr="00B53F89">
        <w:t xml:space="preserve"> </w:t>
      </w:r>
      <w:bookmarkStart w:id="129" w:name="_Hlk38892089"/>
      <w:r>
        <w:t>the Department</w:t>
      </w:r>
      <w:r w:rsidR="0073424B">
        <w:t xml:space="preserve"> of Infrastructure, Transport, Regional Development and </w:t>
      </w:r>
      <w:r w:rsidR="00F15DAC">
        <w:t>Communications</w:t>
      </w:r>
      <w:r w:rsidR="0048118B">
        <w:t xml:space="preserve"> (the Department)</w:t>
      </w:r>
      <w:r w:rsidR="00124D77">
        <w:t>;</w:t>
      </w:r>
      <w:r w:rsidRPr="00B53F89">
        <w:t xml:space="preserve"> </w:t>
      </w:r>
      <w:bookmarkEnd w:id="129"/>
      <w:r w:rsidRPr="00B53F89">
        <w:t xml:space="preserve">Australian industry and government stakeholders participate in international radiocommunications forums to promote and protect Australian interests in spectrum management, including spectrum harmonisation and international frequency coordination. The peak international forum is the International Telecommunication Union’s (ITU) WRC, which reviews and revises the </w:t>
      </w:r>
      <w:r w:rsidR="00D52B7D">
        <w:t>Radio Regulations</w:t>
      </w:r>
      <w:r w:rsidRPr="00B53F89">
        <w:t>, the international treaty</w:t>
      </w:r>
      <w:r w:rsidR="00FB6979">
        <w:t>-</w:t>
      </w:r>
      <w:r w:rsidRPr="00B53F89">
        <w:t xml:space="preserve">level document regarding use of the spectrum and satellite orbits. </w:t>
      </w:r>
    </w:p>
    <w:p w14:paraId="0C42D5BD" w14:textId="616B917F" w:rsidR="007F1A09" w:rsidRPr="00B53F89" w:rsidRDefault="00B11728" w:rsidP="00D7755E">
      <w:r w:rsidRPr="00B53F89">
        <w:t>T</w:t>
      </w:r>
      <w:r w:rsidR="00F14E81" w:rsidRPr="00B53F89">
        <w:t xml:space="preserve">he </w:t>
      </w:r>
      <w:r w:rsidR="005E26D8">
        <w:t>last</w:t>
      </w:r>
      <w:r w:rsidR="00F14E81" w:rsidRPr="00B53F89">
        <w:t xml:space="preserve"> WRC</w:t>
      </w:r>
      <w:r w:rsidR="00037A1C" w:rsidRPr="00B53F89">
        <w:t xml:space="preserve"> </w:t>
      </w:r>
      <w:r w:rsidR="00F14E81" w:rsidRPr="00B53F89">
        <w:t xml:space="preserve">meeting </w:t>
      </w:r>
      <w:r w:rsidR="00496B24">
        <w:t>was</w:t>
      </w:r>
      <w:r w:rsidR="008279B2" w:rsidRPr="00B53F89">
        <w:t xml:space="preserve"> </w:t>
      </w:r>
      <w:r w:rsidR="00F15DAC">
        <w:t xml:space="preserve">last </w:t>
      </w:r>
      <w:r w:rsidR="008279B2" w:rsidRPr="00B53F89">
        <w:t>held</w:t>
      </w:r>
      <w:r w:rsidR="00037A1C" w:rsidRPr="00B53F89">
        <w:t xml:space="preserve"> </w:t>
      </w:r>
      <w:r w:rsidR="00F14E81" w:rsidRPr="00B53F89">
        <w:t>in October</w:t>
      </w:r>
      <w:r w:rsidR="00FB6979">
        <w:t xml:space="preserve"> to </w:t>
      </w:r>
      <w:r w:rsidR="009E14E5" w:rsidRPr="00B53F89">
        <w:t xml:space="preserve">November </w:t>
      </w:r>
      <w:r w:rsidR="009E14E5">
        <w:t>2019</w:t>
      </w:r>
      <w:r w:rsidR="009E14E5" w:rsidRPr="00B53F89">
        <w:t>.</w:t>
      </w:r>
      <w:r w:rsidR="00F14E81" w:rsidRPr="00B53F89">
        <w:t xml:space="preserve"> </w:t>
      </w:r>
      <w:r w:rsidR="003D3CF6">
        <w:t>O</w:t>
      </w:r>
      <w:r w:rsidR="00F14E81" w:rsidRPr="00B53F89">
        <w:t xml:space="preserve">utcomes of WRC-19 </w:t>
      </w:r>
      <w:r w:rsidR="003D3CF6">
        <w:t>will be an input into the ACMA’s domestic spectrum management work, in particular a likely update to the Australian Radiofrequency Spectrum Plan</w:t>
      </w:r>
      <w:r w:rsidR="00F14E81" w:rsidRPr="00B53F89">
        <w:t>.</w:t>
      </w:r>
      <w:r w:rsidR="00B3792E" w:rsidRPr="00B3792E" w:rsidDel="00EA01BB">
        <w:t xml:space="preserve"> </w:t>
      </w:r>
      <w:r w:rsidR="00B3792E" w:rsidRPr="00B53F89" w:rsidDel="00EA01BB">
        <w:t xml:space="preserve">The next WRC will be held </w:t>
      </w:r>
      <w:r w:rsidR="00B3792E">
        <w:t xml:space="preserve">in 2023 </w:t>
      </w:r>
      <w:r w:rsidR="00B3792E" w:rsidRPr="00B53F89" w:rsidDel="00EA01BB">
        <w:t>(WRC-</w:t>
      </w:r>
      <w:r w:rsidR="00B3792E">
        <w:t>23</w:t>
      </w:r>
      <w:r w:rsidR="00B3792E" w:rsidRPr="00B53F89">
        <w:t>)</w:t>
      </w:r>
      <w:r w:rsidR="00B3792E">
        <w:t xml:space="preserve"> and</w:t>
      </w:r>
      <w:r w:rsidR="00B3792E" w:rsidRPr="00B53F89" w:rsidDel="00EA01BB">
        <w:t xml:space="preserve"> will consider new frequency allocation and procedural matters</w:t>
      </w:r>
      <w:r w:rsidR="00B3792E">
        <w:t xml:space="preserve"> across a range of services</w:t>
      </w:r>
      <w:r w:rsidR="00374710">
        <w:t>.</w:t>
      </w:r>
      <w:bookmarkStart w:id="130" w:name="_Toc494115151"/>
      <w:bookmarkEnd w:id="125"/>
    </w:p>
    <w:p w14:paraId="51C4176B" w14:textId="77777777" w:rsidR="00AD38D9" w:rsidRPr="00B53F89" w:rsidDel="009A163F" w:rsidRDefault="00AD38D9" w:rsidP="00AD38D9">
      <w:r w:rsidRPr="006A2F04">
        <w:lastRenderedPageBreak/>
        <w:t>The ACMA’s spectrum planning work program support</w:t>
      </w:r>
      <w:r w:rsidRPr="00B53F89">
        <w:t>s the evolution of technical frameworks that support more efficient technologies within an existing use.</w:t>
      </w:r>
      <w:r>
        <w:t xml:space="preserve"> Over time, adjustments to technical frameworks have freed up additional spectrum for new uses or by new spectrum users. This year’s work program also identifies bands and frequencies where we are updating and optimising technical frameworks to support more efficient technologies and spectrum use.</w:t>
      </w:r>
    </w:p>
    <w:p w14:paraId="2A654F2D" w14:textId="77777777" w:rsidR="00D66739" w:rsidRDefault="00D66739" w:rsidP="00D66739">
      <w:r>
        <w:t>As a wholesale input, the value of spectrum for commercial uses comes from its use in downstream output markets to deliver services to end-users, such as consumers and businesses. Spectrum is a significant determinant of an operator’s competitive ability as it influences network capacity, quality of service as well as the geographic areas where an operator can offer services and entry into new markets. Accordingly, the state of competition in downstream markets can influence the demand for spectrum.</w:t>
      </w:r>
    </w:p>
    <w:p w14:paraId="5C13EAFA" w14:textId="7C92B477" w:rsidR="00D66739" w:rsidRDefault="00D66739" w:rsidP="00D66739">
      <w:r>
        <w:t xml:space="preserve">The management and allocation of scarce spectrum resources, including the timing of major spectrum allocations, can have a significant impact on the nature of competition in downstream markets that rely on spectrum. In order to promote competition and maximise the public benefit from spectrum, safeguard measures may be considered during the planning and allocation process for specific bands to prevent significant concentration and/or disparities in spectrum holdings between competitors in downstream markets. </w:t>
      </w:r>
      <w:r w:rsidRPr="00B53F89">
        <w:t xml:space="preserve">The ACMA will seek input from stakeholders as part of ensuring </w:t>
      </w:r>
      <w:r>
        <w:t xml:space="preserve">the consideration of </w:t>
      </w:r>
      <w:r w:rsidRPr="00B53F89">
        <w:t xml:space="preserve">competition is </w:t>
      </w:r>
      <w:r>
        <w:t>integrated</w:t>
      </w:r>
      <w:r w:rsidRPr="00B53F89">
        <w:t xml:space="preserve"> in the planning and management of spectrum.</w:t>
      </w:r>
    </w:p>
    <w:p w14:paraId="73221C96" w14:textId="618178A3" w:rsidR="006B0365" w:rsidRDefault="006B0365" w:rsidP="006B0365">
      <w:r>
        <w:t xml:space="preserve">The actual utility </w:t>
      </w:r>
      <w:r w:rsidR="003A1DE5">
        <w:t xml:space="preserve">of </w:t>
      </w:r>
      <w:r>
        <w:t>spectrum is also affected by the interference protection environment. That is why we have a strong continuing focus on compliance priorities directed towards 5G EME compliance and interference management, with a particular focus this year on mobile phone repeaters and interference in the construction and resources industry</w:t>
      </w:r>
      <w:r w:rsidR="00F15DAC">
        <w:t>.</w:t>
      </w:r>
    </w:p>
    <w:p w14:paraId="7EAFA62B" w14:textId="76B9B064" w:rsidR="00500299" w:rsidRPr="00B53F89" w:rsidRDefault="00CF322E" w:rsidP="00D7755E">
      <w:pPr>
        <w:rPr>
          <w:rFonts w:cs="Arial"/>
          <w:bCs/>
          <w:szCs w:val="26"/>
        </w:rPr>
      </w:pPr>
      <w:r w:rsidRPr="00B53F89">
        <w:rPr>
          <w:rFonts w:cs="Arial"/>
          <w:bCs/>
          <w:szCs w:val="26"/>
        </w:rPr>
        <w:t>The ACMA’s response to these demand pressures</w:t>
      </w:r>
      <w:r w:rsidR="003F2C91" w:rsidRPr="00B53F89">
        <w:rPr>
          <w:rFonts w:cs="Arial"/>
          <w:bCs/>
          <w:szCs w:val="26"/>
        </w:rPr>
        <w:t xml:space="preserve"> for </w:t>
      </w:r>
      <w:r w:rsidR="006B0365">
        <w:rPr>
          <w:rFonts w:cs="Arial"/>
          <w:bCs/>
          <w:szCs w:val="26"/>
        </w:rPr>
        <w:t>2020</w:t>
      </w:r>
      <w:r w:rsidR="00DA1C7E">
        <w:rPr>
          <w:rFonts w:cs="Arial"/>
          <w:bCs/>
          <w:szCs w:val="26"/>
        </w:rPr>
        <w:t>–</w:t>
      </w:r>
      <w:r w:rsidR="004F528B">
        <w:rPr>
          <w:rFonts w:cs="Arial"/>
          <w:bCs/>
          <w:szCs w:val="26"/>
        </w:rPr>
        <w:t>21</w:t>
      </w:r>
      <w:r w:rsidRPr="00B53F89">
        <w:rPr>
          <w:rFonts w:cs="Arial"/>
          <w:bCs/>
          <w:szCs w:val="26"/>
        </w:rPr>
        <w:t xml:space="preserve"> is outlined in </w:t>
      </w:r>
      <w:r w:rsidR="001C4306" w:rsidRPr="00B53F89">
        <w:rPr>
          <w:rFonts w:cs="Arial"/>
          <w:bCs/>
          <w:szCs w:val="26"/>
        </w:rPr>
        <w:t xml:space="preserve">more detail </w:t>
      </w:r>
      <w:r w:rsidRPr="00B53F89">
        <w:rPr>
          <w:rFonts w:cs="Arial"/>
          <w:bCs/>
          <w:szCs w:val="26"/>
        </w:rPr>
        <w:t>in the planning and allocation work stream activities</w:t>
      </w:r>
      <w:r w:rsidR="000D4B8E" w:rsidRPr="00B53F89">
        <w:rPr>
          <w:rFonts w:cs="Arial"/>
          <w:bCs/>
          <w:szCs w:val="26"/>
        </w:rPr>
        <w:t xml:space="preserve"> in</w:t>
      </w:r>
      <w:r w:rsidR="00500299" w:rsidRPr="00B53F89">
        <w:rPr>
          <w:rFonts w:cs="Arial"/>
          <w:bCs/>
          <w:szCs w:val="26"/>
        </w:rPr>
        <w:t xml:space="preserve"> </w:t>
      </w:r>
      <w:r w:rsidR="00037A1C" w:rsidRPr="00B53F89">
        <w:t>Part 2</w:t>
      </w:r>
      <w:r w:rsidR="00242E62" w:rsidRPr="00B53F89">
        <w:rPr>
          <w:rFonts w:cs="Arial"/>
          <w:bCs/>
          <w:szCs w:val="26"/>
        </w:rPr>
        <w:t>.</w:t>
      </w:r>
    </w:p>
    <w:p w14:paraId="7B0E7DB0" w14:textId="14B74859" w:rsidR="00E02ED8" w:rsidRDefault="00D96800" w:rsidP="00D7755E">
      <w:pPr>
        <w:rPr>
          <w:rFonts w:cs="Arial"/>
          <w:bCs/>
          <w:szCs w:val="26"/>
        </w:rPr>
      </w:pPr>
      <w:r>
        <w:rPr>
          <w:rFonts w:cs="Arial"/>
          <w:bCs/>
          <w:szCs w:val="26"/>
        </w:rPr>
        <w:t xml:space="preserve">In </w:t>
      </w:r>
      <w:r w:rsidR="00B5645B" w:rsidRPr="00B53F89">
        <w:rPr>
          <w:rFonts w:cs="Arial"/>
          <w:bCs/>
          <w:szCs w:val="26"/>
        </w:rPr>
        <w:t>Part 1 (t</w:t>
      </w:r>
      <w:r w:rsidR="00B269A2" w:rsidRPr="00B53F89">
        <w:rPr>
          <w:rFonts w:cs="Arial"/>
          <w:bCs/>
          <w:szCs w:val="26"/>
        </w:rPr>
        <w:t>he five</w:t>
      </w:r>
      <w:r w:rsidR="0058077F" w:rsidRPr="00B53F89">
        <w:rPr>
          <w:rFonts w:cs="Arial"/>
          <w:bCs/>
          <w:szCs w:val="26"/>
        </w:rPr>
        <w:t>-</w:t>
      </w:r>
      <w:r w:rsidR="00B269A2" w:rsidRPr="00B53F89">
        <w:rPr>
          <w:rFonts w:cs="Arial"/>
          <w:bCs/>
          <w:szCs w:val="26"/>
        </w:rPr>
        <w:t xml:space="preserve">year </w:t>
      </w:r>
      <w:r w:rsidR="00FD5CC7" w:rsidRPr="00B53F89">
        <w:rPr>
          <w:rFonts w:cs="Arial"/>
          <w:bCs/>
          <w:szCs w:val="26"/>
        </w:rPr>
        <w:t xml:space="preserve">spectrum </w:t>
      </w:r>
      <w:r w:rsidR="00B5645B" w:rsidRPr="00B53F89">
        <w:rPr>
          <w:rFonts w:cs="Arial"/>
          <w:bCs/>
          <w:szCs w:val="26"/>
        </w:rPr>
        <w:t>outlook)</w:t>
      </w:r>
      <w:r w:rsidR="00DA1C7E">
        <w:rPr>
          <w:rFonts w:cs="Arial"/>
          <w:bCs/>
          <w:szCs w:val="26"/>
        </w:rPr>
        <w:t>, where</w:t>
      </w:r>
      <w:r w:rsidR="00B269A2" w:rsidRPr="00B53F89" w:rsidDel="00B5645B">
        <w:rPr>
          <w:rFonts w:cs="Arial"/>
          <w:bCs/>
          <w:szCs w:val="26"/>
        </w:rPr>
        <w:t xml:space="preserve"> </w:t>
      </w:r>
      <w:r>
        <w:rPr>
          <w:rFonts w:cs="Arial"/>
          <w:bCs/>
          <w:szCs w:val="26"/>
        </w:rPr>
        <w:t xml:space="preserve">we </w:t>
      </w:r>
      <w:r w:rsidR="009A42F6" w:rsidRPr="00B53F89">
        <w:rPr>
          <w:rFonts w:cs="Arial"/>
          <w:bCs/>
          <w:szCs w:val="26"/>
        </w:rPr>
        <w:t>alert stakeholders to the</w:t>
      </w:r>
      <w:r w:rsidR="006E6B6B" w:rsidRPr="00B53F89">
        <w:rPr>
          <w:rFonts w:cs="Arial"/>
          <w:bCs/>
          <w:szCs w:val="26"/>
        </w:rPr>
        <w:t xml:space="preserve"> medium and</w:t>
      </w:r>
      <w:r w:rsidR="009A42F6" w:rsidRPr="00B53F89">
        <w:rPr>
          <w:rFonts w:cs="Arial"/>
          <w:bCs/>
          <w:szCs w:val="26"/>
        </w:rPr>
        <w:t xml:space="preserve"> </w:t>
      </w:r>
      <w:r w:rsidR="00B5645B" w:rsidRPr="00B53F89">
        <w:rPr>
          <w:rFonts w:cs="Arial"/>
          <w:bCs/>
          <w:szCs w:val="26"/>
        </w:rPr>
        <w:t>longer</w:t>
      </w:r>
      <w:r w:rsidR="00D50FE7" w:rsidRPr="00B53F89">
        <w:rPr>
          <w:rFonts w:cs="Arial"/>
          <w:bCs/>
          <w:szCs w:val="26"/>
        </w:rPr>
        <w:t>-term</w:t>
      </w:r>
      <w:r w:rsidR="00B5645B" w:rsidRPr="00B53F89">
        <w:rPr>
          <w:rFonts w:cs="Arial"/>
          <w:bCs/>
          <w:szCs w:val="26"/>
        </w:rPr>
        <w:t xml:space="preserve"> </w:t>
      </w:r>
      <w:r w:rsidR="009A42F6" w:rsidRPr="00B53F89">
        <w:rPr>
          <w:rFonts w:cs="Arial"/>
          <w:bCs/>
          <w:szCs w:val="26"/>
        </w:rPr>
        <w:t xml:space="preserve">pressures </w:t>
      </w:r>
      <w:r w:rsidR="00B5645B" w:rsidRPr="00B53F89">
        <w:rPr>
          <w:rFonts w:cs="Arial"/>
          <w:bCs/>
          <w:szCs w:val="26"/>
        </w:rPr>
        <w:t xml:space="preserve">shaping and </w:t>
      </w:r>
      <w:r w:rsidR="006F4C38" w:rsidRPr="00B53F89">
        <w:rPr>
          <w:rFonts w:cs="Arial"/>
          <w:bCs/>
          <w:szCs w:val="26"/>
        </w:rPr>
        <w:t xml:space="preserve">informing </w:t>
      </w:r>
      <w:r>
        <w:rPr>
          <w:rFonts w:cs="Arial"/>
          <w:bCs/>
          <w:szCs w:val="26"/>
        </w:rPr>
        <w:t>the overall demand environment for spectrum</w:t>
      </w:r>
      <w:r w:rsidR="00DA1C7E">
        <w:rPr>
          <w:rFonts w:cs="Arial"/>
          <w:bCs/>
          <w:szCs w:val="26"/>
        </w:rPr>
        <w:t>, we</w:t>
      </w:r>
      <w:r w:rsidR="00DA1C7E" w:rsidRPr="00B53F89">
        <w:rPr>
          <w:rFonts w:cs="Arial"/>
          <w:bCs/>
          <w:szCs w:val="26"/>
        </w:rPr>
        <w:t xml:space="preserve"> </w:t>
      </w:r>
      <w:r w:rsidR="00373558">
        <w:rPr>
          <w:rFonts w:cs="Arial"/>
          <w:bCs/>
          <w:szCs w:val="26"/>
        </w:rPr>
        <w:t>recognise that in the short term, the outlook is likely to be affected by significant uncertainty arising from the response to the COVID-19 pandemic.</w:t>
      </w:r>
    </w:p>
    <w:p w14:paraId="568843C4" w14:textId="7D38AB55" w:rsidR="00642E2A" w:rsidRPr="00B53F89" w:rsidRDefault="00E40423" w:rsidP="00D96800">
      <w:pPr>
        <w:pStyle w:val="Heading2"/>
      </w:pPr>
      <w:bookmarkStart w:id="131" w:name="_Toc31892776"/>
      <w:bookmarkStart w:id="132" w:name="_Toc36207396"/>
      <w:bookmarkStart w:id="133" w:name="_Toc38987149"/>
      <w:r w:rsidRPr="006B0365">
        <w:rPr>
          <w:rStyle w:val="TitleChar"/>
          <w:rFonts w:ascii="Arial" w:hAnsi="Arial" w:cs="Arial"/>
          <w:spacing w:val="0"/>
          <w:kern w:val="0"/>
          <w:sz w:val="28"/>
          <w:szCs w:val="28"/>
          <w:lang w:eastAsia="en-AU"/>
        </w:rPr>
        <w:t xml:space="preserve">Spectrum </w:t>
      </w:r>
      <w:r w:rsidR="004E2657">
        <w:rPr>
          <w:rStyle w:val="TitleChar"/>
          <w:rFonts w:ascii="Arial" w:hAnsi="Arial" w:cs="Arial"/>
          <w:spacing w:val="0"/>
          <w:kern w:val="0"/>
          <w:sz w:val="28"/>
          <w:szCs w:val="28"/>
          <w:lang w:eastAsia="en-AU"/>
        </w:rPr>
        <w:t>uses</w:t>
      </w:r>
      <w:bookmarkEnd w:id="131"/>
      <w:bookmarkEnd w:id="132"/>
      <w:bookmarkEnd w:id="133"/>
    </w:p>
    <w:p w14:paraId="26682908" w14:textId="5E18E4F5" w:rsidR="00311094" w:rsidRPr="00B53F89" w:rsidRDefault="00311094" w:rsidP="00D96800">
      <w:pPr>
        <w:spacing w:after="0"/>
      </w:pPr>
      <w:bookmarkStart w:id="134" w:name="_Toc510795069"/>
      <w:bookmarkStart w:id="135" w:name="_Toc511716270"/>
      <w:bookmarkStart w:id="136" w:name="_Toc511719081"/>
      <w:bookmarkStart w:id="137" w:name="_Toc522794077"/>
      <w:bookmarkEnd w:id="130"/>
      <w:r w:rsidRPr="006A2F04">
        <w:rPr>
          <w:noProof/>
        </w:rPr>
        <w:drawing>
          <wp:inline distT="0" distB="0" distL="0" distR="0" wp14:anchorId="385A81B3" wp14:editId="032E8A18">
            <wp:extent cx="342900" cy="361950"/>
            <wp:effectExtent l="0" t="0" r="0" b="0"/>
            <wp:docPr id="13" name="Picture 13"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7079FFF7" wp14:editId="135D9913">
            <wp:extent cx="342900" cy="361950"/>
            <wp:effectExtent l="0" t="0" r="0" b="0"/>
            <wp:docPr id="10" name="Picture 10" descr="Internet of Thing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nternet of Things ico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12E4F0FA" wp14:editId="73FD6E39">
            <wp:extent cx="342900" cy="361950"/>
            <wp:effectExtent l="0" t="0" r="0" b="0"/>
            <wp:docPr id="7" name="Picture 7" descr="Point to multi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int to multipoint ico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6124368C" wp14:editId="454D82E2">
            <wp:extent cx="342900" cy="361950"/>
            <wp:effectExtent l="0" t="0" r="0" b="0"/>
            <wp:docPr id="5" name="Picture 5"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465725" w:rsidRPr="006A2F04">
        <w:rPr>
          <w:noProof/>
        </w:rPr>
        <w:drawing>
          <wp:inline distT="0" distB="0" distL="0" distR="0" wp14:anchorId="746F7B0D" wp14:editId="73D0A2BF">
            <wp:extent cx="341630" cy="359410"/>
            <wp:effectExtent l="0" t="0" r="1270" b="2540"/>
            <wp:docPr id="108" name="Picture 108"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Pr="006A2F04">
        <w:rPr>
          <w:noProof/>
        </w:rPr>
        <w:drawing>
          <wp:inline distT="0" distB="0" distL="0" distR="0" wp14:anchorId="5CC997F5" wp14:editId="3CD76E51">
            <wp:extent cx="342900" cy="361950"/>
            <wp:effectExtent l="0" t="0" r="0" b="0"/>
            <wp:docPr id="11" name="Picture 11" descr="Class licens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ass licensing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75F8B475" w14:textId="1F3154AD" w:rsidR="001F3495" w:rsidRDefault="00B84965" w:rsidP="00D96800">
      <w:pPr>
        <w:pStyle w:val="Heading3"/>
        <w:keepNext w:val="0"/>
      </w:pPr>
      <w:bookmarkStart w:id="138" w:name="_Toc31892777"/>
      <w:bookmarkStart w:id="139" w:name="_Toc36207397"/>
      <w:bookmarkStart w:id="140" w:name="_Toc38987150"/>
      <w:r w:rsidRPr="00B53F89">
        <w:t>Wireless</w:t>
      </w:r>
      <w:r w:rsidR="004F528B">
        <w:t xml:space="preserve"> </w:t>
      </w:r>
      <w:r w:rsidR="006E13BF">
        <w:t>(fixed and mobile)</w:t>
      </w:r>
      <w:r w:rsidRPr="00B53F89">
        <w:t xml:space="preserve"> broadband, including 5G</w:t>
      </w:r>
      <w:bookmarkEnd w:id="134"/>
      <w:bookmarkEnd w:id="135"/>
      <w:bookmarkEnd w:id="136"/>
      <w:bookmarkEnd w:id="137"/>
      <w:bookmarkEnd w:id="138"/>
      <w:bookmarkEnd w:id="139"/>
      <w:bookmarkEnd w:id="140"/>
    </w:p>
    <w:p w14:paraId="189FDDE0" w14:textId="786D6A9C" w:rsidR="001E15CA" w:rsidRPr="006E13BF" w:rsidRDefault="001E15CA" w:rsidP="001E15CA">
      <w:r w:rsidRPr="006E13BF">
        <w:t xml:space="preserve">The wireless broadband markets are </w:t>
      </w:r>
      <w:r>
        <w:t>well</w:t>
      </w:r>
      <w:r w:rsidRPr="006E13BF">
        <w:t xml:space="preserve"> established</w:t>
      </w:r>
      <w:r w:rsidR="00413038">
        <w:t>,</w:t>
      </w:r>
      <w:r w:rsidRPr="006E13BF">
        <w:t xml:space="preserve"> </w:t>
      </w:r>
      <w:r>
        <w:t xml:space="preserve">with operators deploying networks </w:t>
      </w:r>
      <w:r w:rsidRPr="006E13BF">
        <w:t xml:space="preserve">in both the mobile and fixed wireless markets. </w:t>
      </w:r>
    </w:p>
    <w:p w14:paraId="480F8CF4" w14:textId="27CC08E4" w:rsidR="001E15CA" w:rsidRPr="00B53F89" w:rsidRDefault="001E15CA" w:rsidP="001E15CA">
      <w:r>
        <w:t>D</w:t>
      </w:r>
      <w:r w:rsidRPr="00B53F89">
        <w:t xml:space="preserve">emand for spectrum to support both mobile and fixed </w:t>
      </w:r>
      <w:r w:rsidR="00413038">
        <w:t xml:space="preserve">wireless broadband </w:t>
      </w:r>
      <w:r w:rsidRPr="00B53F89">
        <w:t xml:space="preserve">applications </w:t>
      </w:r>
      <w:r>
        <w:t>has been</w:t>
      </w:r>
      <w:r w:rsidRPr="00B53F89">
        <w:t xml:space="preserve"> a major driver for changes in highest-value spectrum use across</w:t>
      </w:r>
      <w:r>
        <w:t xml:space="preserve"> a range of</w:t>
      </w:r>
      <w:r w:rsidRPr="00B53F89">
        <w:t xml:space="preserve"> bands. </w:t>
      </w:r>
    </w:p>
    <w:p w14:paraId="179F376C" w14:textId="002DBD97" w:rsidR="001E15CA" w:rsidRDefault="001E15CA" w:rsidP="0056521A">
      <w:r w:rsidRPr="006E13BF">
        <w:t>The fixed wireless market generally provides coverage in locations where it is price competitive against alternatives such as mobile broadband or satellite services. The market comprises a combination of national providers (</w:t>
      </w:r>
      <w:r>
        <w:t>for example,</w:t>
      </w:r>
      <w:r w:rsidRPr="006E13BF">
        <w:t xml:space="preserve"> </w:t>
      </w:r>
      <w:r w:rsidRPr="00AD4192">
        <w:t>NBN</w:t>
      </w:r>
      <w:r w:rsidR="00DC33F7" w:rsidRPr="00AD4192">
        <w:t xml:space="preserve"> </w:t>
      </w:r>
      <w:r w:rsidRPr="00AD4192">
        <w:t>Co</w:t>
      </w:r>
      <w:r w:rsidRPr="006E13BF">
        <w:t>, Optus</w:t>
      </w:r>
      <w:r w:rsidR="00D51E46">
        <w:t xml:space="preserve"> and </w:t>
      </w:r>
      <w:r w:rsidRPr="006E13BF">
        <w:t xml:space="preserve">Uniti) </w:t>
      </w:r>
      <w:r w:rsidRPr="000C7D5A">
        <w:t xml:space="preserve">and </w:t>
      </w:r>
      <w:r w:rsidRPr="006E13BF">
        <w:t>regional and specialist providers (</w:t>
      </w:r>
      <w:r>
        <w:t>for example,</w:t>
      </w:r>
      <w:r w:rsidRPr="006E13BF">
        <w:t xml:space="preserve"> Countrytell, Beam Internet, Spirit Telecommunications</w:t>
      </w:r>
      <w:r w:rsidR="00D51E46">
        <w:t xml:space="preserve"> and </w:t>
      </w:r>
      <w:r w:rsidRPr="006E13BF">
        <w:t xml:space="preserve">Dreamtilt). </w:t>
      </w:r>
    </w:p>
    <w:p w14:paraId="521DE859" w14:textId="1CDA0E5B" w:rsidR="001E15CA" w:rsidRPr="006E13BF" w:rsidRDefault="001E15CA" w:rsidP="001E15CA">
      <w:r w:rsidRPr="006E13BF">
        <w:lastRenderedPageBreak/>
        <w:t xml:space="preserve">S&amp;P Global market intelligence estimates for the Australian market that </w:t>
      </w:r>
      <w:r>
        <w:t>fixed wireless broadband</w:t>
      </w:r>
      <w:r w:rsidRPr="006E13BF">
        <w:t xml:space="preserve"> comprises 2.7 per cent of </w:t>
      </w:r>
      <w:r w:rsidR="0095305D">
        <w:t xml:space="preserve">wireless broadband </w:t>
      </w:r>
      <w:r w:rsidRPr="006E13BF">
        <w:t>revenue (estimated revenues of $142 million in 2019) share</w:t>
      </w:r>
      <w:r w:rsidR="0095305D">
        <w:t>.</w:t>
      </w:r>
      <w:r w:rsidR="00406D55">
        <w:t xml:space="preserve"> S&amp;P</w:t>
      </w:r>
      <w:r w:rsidRPr="006E13BF" w:rsidDel="00406D55">
        <w:t xml:space="preserve"> </w:t>
      </w:r>
      <w:r w:rsidRPr="006E13BF">
        <w:t>projected</w:t>
      </w:r>
      <w:r w:rsidR="00406D55">
        <w:t>, prior to</w:t>
      </w:r>
      <w:r w:rsidR="00411A86">
        <w:t xml:space="preserve"> </w:t>
      </w:r>
      <w:r w:rsidR="00406D55">
        <w:t>COVID-19,</w:t>
      </w:r>
      <w:r w:rsidRPr="006E13BF">
        <w:t xml:space="preserve"> </w:t>
      </w:r>
      <w:r w:rsidR="003A1DE5">
        <w:t xml:space="preserve">revenues </w:t>
      </w:r>
      <w:r w:rsidRPr="006E13BF">
        <w:t>to remain steady at this percentage over the next 10 years (estimated revenues of $198 million in 2029).</w:t>
      </w:r>
      <w:r w:rsidRPr="006E13BF">
        <w:rPr>
          <w:vertAlign w:val="superscript"/>
        </w:rPr>
        <w:footnoteReference w:id="5"/>
      </w:r>
      <w:r w:rsidRPr="006E13BF">
        <w:t xml:space="preserve"> </w:t>
      </w:r>
    </w:p>
    <w:p w14:paraId="470D2D17" w14:textId="75CEE9FF" w:rsidR="00413038" w:rsidRDefault="001E15CA" w:rsidP="001E15CA">
      <w:r>
        <w:t>In contrast, t</w:t>
      </w:r>
      <w:r w:rsidRPr="006E13BF">
        <w:t>he mobile broadband market</w:t>
      </w:r>
      <w:r>
        <w:t xml:space="preserve"> has t</w:t>
      </w:r>
      <w:r w:rsidRPr="006E13BF">
        <w:t xml:space="preserve">hree operators accounting for over </w:t>
      </w:r>
      <w:r w:rsidR="002055BA" w:rsidRPr="006E13BF">
        <w:t>70</w:t>
      </w:r>
      <w:r w:rsidR="002055BA">
        <w:t> </w:t>
      </w:r>
      <w:r w:rsidRPr="006E13BF">
        <w:t>per cent of the telecommunications services market.</w:t>
      </w:r>
      <w:r w:rsidRPr="006E13BF">
        <w:rPr>
          <w:vertAlign w:val="superscript"/>
        </w:rPr>
        <w:footnoteReference w:id="6"/>
      </w:r>
      <w:r w:rsidRPr="006E13BF">
        <w:t xml:space="preserve"> </w:t>
      </w:r>
      <w:r w:rsidR="00413038">
        <w:t xml:space="preserve">In the past year, 5G services </w:t>
      </w:r>
      <w:r w:rsidR="00114B2D">
        <w:t>have been planned or deployed</w:t>
      </w:r>
      <w:r w:rsidR="00413038">
        <w:t xml:space="preserve"> in Australia by </w:t>
      </w:r>
      <w:r w:rsidR="00413038" w:rsidRPr="006E13BF">
        <w:t>Optus</w:t>
      </w:r>
      <w:r w:rsidR="00413038">
        <w:t>, Telstra and VHA</w:t>
      </w:r>
      <w:r w:rsidR="002509A8">
        <w:t>.</w:t>
      </w:r>
    </w:p>
    <w:p w14:paraId="7DE200D4" w14:textId="1DF3D8EC" w:rsidR="001E15CA" w:rsidRPr="00B53F89" w:rsidRDefault="003E723F" w:rsidP="001E15CA">
      <w:r>
        <w:t>IBIS World estimates industry revenues attributed to the mobile industry were $23.</w:t>
      </w:r>
      <w:r w:rsidR="002055BA">
        <w:t>9 </w:t>
      </w:r>
      <w:r>
        <w:t>billion in 2019</w:t>
      </w:r>
      <w:r w:rsidR="00A468C2">
        <w:t>.</w:t>
      </w:r>
      <w:r>
        <w:rPr>
          <w:rStyle w:val="FootnoteReference"/>
        </w:rPr>
        <w:footnoteReference w:id="7"/>
      </w:r>
      <w:r w:rsidR="00580549">
        <w:t xml:space="preserve"> </w:t>
      </w:r>
      <w:r w:rsidR="001E15CA" w:rsidRPr="006E13BF">
        <w:t xml:space="preserve">S&amp;P considers that the key </w:t>
      </w:r>
      <w:r w:rsidR="001E15CA">
        <w:t xml:space="preserve">market </w:t>
      </w:r>
      <w:r w:rsidR="001E15CA" w:rsidRPr="006E13BF">
        <w:t xml:space="preserve">growth area will be in rural Australia and 5G network deployments in key urban areas. It </w:t>
      </w:r>
      <w:r w:rsidR="00421E5B">
        <w:t xml:space="preserve">was </w:t>
      </w:r>
      <w:r w:rsidR="001E15CA" w:rsidRPr="006E13BF">
        <w:t>expect</w:t>
      </w:r>
      <w:r w:rsidR="00413038">
        <w:t>ed</w:t>
      </w:r>
      <w:r w:rsidR="005B1EFB">
        <w:t>, prior to COVID-19,</w:t>
      </w:r>
      <w:r w:rsidR="001E15CA" w:rsidRPr="006E13BF">
        <w:t xml:space="preserve"> </w:t>
      </w:r>
      <w:r w:rsidR="002055BA">
        <w:t xml:space="preserve">that </w:t>
      </w:r>
      <w:r w:rsidR="001E15CA" w:rsidRPr="006E13BF">
        <w:t xml:space="preserve">mobile subscription numbers </w:t>
      </w:r>
      <w:r w:rsidR="00421E5B">
        <w:t xml:space="preserve">would </w:t>
      </w:r>
      <w:r w:rsidR="001E15CA" w:rsidRPr="006E13BF">
        <w:t xml:space="preserve">grow at </w:t>
      </w:r>
      <w:r w:rsidR="001E15CA">
        <w:t xml:space="preserve">a </w:t>
      </w:r>
      <w:r w:rsidR="001E15CA" w:rsidRPr="006E13BF">
        <w:t>compound annual rate of 2.04 per cent from 2019 to 2029.</w:t>
      </w:r>
      <w:r w:rsidR="001E15CA" w:rsidRPr="006E13BF">
        <w:rPr>
          <w:vertAlign w:val="superscript"/>
        </w:rPr>
        <w:footnoteReference w:id="8"/>
      </w:r>
      <w:r w:rsidR="001E15CA">
        <w:t xml:space="preserve"> </w:t>
      </w:r>
    </w:p>
    <w:p w14:paraId="53FB7871" w14:textId="25FF4BD9" w:rsidR="00390FF2" w:rsidRDefault="00390FF2" w:rsidP="00513FDE">
      <w:pPr>
        <w:pStyle w:val="Paragraphbeforelist"/>
      </w:pPr>
      <w:r>
        <w:t>Wireless mobile broadband operators have responded to the impacts of the COVID-19 through various measures, such as:</w:t>
      </w:r>
    </w:p>
    <w:p w14:paraId="0E66DB10" w14:textId="3CC5C379" w:rsidR="00390FF2" w:rsidRDefault="00390FF2" w:rsidP="00261247">
      <w:pPr>
        <w:pStyle w:val="ListBullet"/>
        <w:keepNext w:val="0"/>
        <w:keepLines w:val="0"/>
      </w:pPr>
      <w:r>
        <w:t>offering bonus da</w:t>
      </w:r>
      <w:r w:rsidR="00BB362D">
        <w:t>t</w:t>
      </w:r>
      <w:r>
        <w:t>a on mobile plans for the month of April 2020</w:t>
      </w:r>
      <w:r>
        <w:rPr>
          <w:rStyle w:val="FootnoteReference"/>
        </w:rPr>
        <w:footnoteReference w:id="9"/>
      </w:r>
    </w:p>
    <w:p w14:paraId="2D6932E0" w14:textId="2ED58C35" w:rsidR="006E13BF" w:rsidRPr="006E13BF" w:rsidDel="00FC743B" w:rsidRDefault="00390FF2" w:rsidP="00376360">
      <w:pPr>
        <w:pStyle w:val="ListBulletLast"/>
        <w:numPr>
          <w:ilvl w:val="0"/>
          <w:numId w:val="248"/>
        </w:numPr>
        <w:ind w:left="284" w:hanging="284"/>
      </w:pPr>
      <w:r>
        <w:t xml:space="preserve">Telstra </w:t>
      </w:r>
      <w:r w:rsidRPr="00390FF2">
        <w:t>bringing</w:t>
      </w:r>
      <w:r>
        <w:t xml:space="preserve"> </w:t>
      </w:r>
      <w:r w:rsidRPr="00390FF2">
        <w:t>forward</w:t>
      </w:r>
      <w:r>
        <w:t xml:space="preserve"> $500 million of its capital expenditure program by </w:t>
      </w:r>
      <w:r w:rsidR="002055BA">
        <w:t>six </w:t>
      </w:r>
      <w:r>
        <w:t>months.</w:t>
      </w:r>
      <w:r>
        <w:rPr>
          <w:rStyle w:val="FootnoteReference"/>
        </w:rPr>
        <w:footnoteReference w:id="10"/>
      </w:r>
      <w:r w:rsidR="006F11CA">
        <w:t xml:space="preserve"> </w:t>
      </w:r>
    </w:p>
    <w:p w14:paraId="3B2C9047" w14:textId="3AD91598" w:rsidR="00413038" w:rsidRDefault="00413038" w:rsidP="00F26F04">
      <w:r w:rsidRPr="00B53F89">
        <w:t>We anticipate further spectrum will be needed to support the growth in broadband applications and mobile data</w:t>
      </w:r>
      <w:r w:rsidR="00421E5B">
        <w:t xml:space="preserve"> in the short and medium term</w:t>
      </w:r>
      <w:r w:rsidR="002055BA">
        <w:t>.</w:t>
      </w:r>
    </w:p>
    <w:p w14:paraId="17229683" w14:textId="675E53FC" w:rsidR="00C675FF" w:rsidRDefault="00C675FF" w:rsidP="00C675FF">
      <w:pPr>
        <w:pStyle w:val="Heading4"/>
      </w:pPr>
      <w:r>
        <w:t>Wireless broadband use cases</w:t>
      </w:r>
    </w:p>
    <w:p w14:paraId="6246BAF3" w14:textId="36B349CA" w:rsidR="00AE4753" w:rsidDel="00F26F04" w:rsidRDefault="00413038" w:rsidP="00F26F04">
      <w:r>
        <w:t xml:space="preserve">In planning for future spectrum demand, we </w:t>
      </w:r>
      <w:r w:rsidR="003E6CF6" w:rsidRPr="00B53F89">
        <w:t xml:space="preserve">recognise </w:t>
      </w:r>
      <w:r w:rsidR="00B337BB" w:rsidRPr="00B53F89">
        <w:t xml:space="preserve">three </w:t>
      </w:r>
      <w:r w:rsidR="003E6CF6" w:rsidRPr="00B53F89">
        <w:t>broad categories of</w:t>
      </w:r>
      <w:r w:rsidR="00EB414F" w:rsidRPr="00B53F89">
        <w:t xml:space="preserve"> wireless broadband</w:t>
      </w:r>
      <w:r w:rsidR="003E6CF6" w:rsidRPr="00B53F89">
        <w:t xml:space="preserve"> use </w:t>
      </w:r>
      <w:r w:rsidR="009F6A3B">
        <w:t xml:space="preserve">cases </w:t>
      </w:r>
      <w:r w:rsidR="00594766" w:rsidRPr="00B53F89">
        <w:t xml:space="preserve">and </w:t>
      </w:r>
      <w:r w:rsidR="003E6CF6" w:rsidRPr="00B53F89">
        <w:t xml:space="preserve">note that </w:t>
      </w:r>
      <w:r>
        <w:t xml:space="preserve">network </w:t>
      </w:r>
      <w:r w:rsidR="003E6CF6" w:rsidRPr="00B53F89">
        <w:t xml:space="preserve">deployments may </w:t>
      </w:r>
      <w:r w:rsidR="00947B86" w:rsidRPr="00B53F89">
        <w:t>reflect</w:t>
      </w:r>
      <w:r w:rsidR="002C75CA" w:rsidRPr="00B53F89">
        <w:t xml:space="preserve"> </w:t>
      </w:r>
      <w:r w:rsidR="003E6CF6" w:rsidRPr="00B53F89">
        <w:t>combination</w:t>
      </w:r>
      <w:r w:rsidR="002C75CA" w:rsidRPr="00B53F89">
        <w:t>s</w:t>
      </w:r>
      <w:r w:rsidR="003E6CF6" w:rsidRPr="00B53F89">
        <w:t xml:space="preserve"> of these categories. </w:t>
      </w:r>
    </w:p>
    <w:p w14:paraId="4E7EF8E2" w14:textId="5170A91E" w:rsidR="001E15CA" w:rsidRPr="00B53F89" w:rsidRDefault="001E15CA" w:rsidP="001E15CA">
      <w:r w:rsidRPr="00B53F89">
        <w:t xml:space="preserve">The first </w:t>
      </w:r>
      <w:r w:rsidR="00413038">
        <w:t xml:space="preserve">category </w:t>
      </w:r>
      <w:r w:rsidRPr="00B53F89">
        <w:t>is wide-area subscriber networks, served by ubiquitous base stations operated by one or more service providers—this category could be considered ‘conventional’ telecommunication carrier mobile broadband</w:t>
      </w:r>
      <w:r>
        <w:t>,</w:t>
      </w:r>
      <w:r w:rsidRPr="00B53F89">
        <w:t xml:space="preserve"> </w:t>
      </w:r>
      <w:r>
        <w:t>or in some cases fixed</w:t>
      </w:r>
      <w:r w:rsidRPr="00B53F89">
        <w:t xml:space="preserve"> operations. </w:t>
      </w:r>
    </w:p>
    <w:p w14:paraId="781ED28F" w14:textId="2AF14EE7" w:rsidR="001E15CA" w:rsidRDefault="001E15CA" w:rsidP="001E15CA">
      <w:r w:rsidRPr="00B53F89">
        <w:t xml:space="preserve">The second category reflects more limited market subscriber networks over smaller, localised areas, including, but not limited to, fixed wireless broadband and fleet-oriented services. Services provided by Wireless ISPs (WISPs) are a good example of this type of use. </w:t>
      </w:r>
    </w:p>
    <w:p w14:paraId="00D141AE" w14:textId="77777777" w:rsidR="00F17549" w:rsidRDefault="001E15CA" w:rsidP="001E15CA">
      <w:r w:rsidRPr="00B53F89">
        <w:t xml:space="preserve">Many of the bands that are suitable for </w:t>
      </w:r>
      <w:r w:rsidR="00413038">
        <w:t>fixed wireless access (</w:t>
      </w:r>
      <w:r w:rsidRPr="00B53F89">
        <w:t>FWA</w:t>
      </w:r>
      <w:r w:rsidR="00413038">
        <w:t>)</w:t>
      </w:r>
      <w:r w:rsidRPr="00B53F89">
        <w:t xml:space="preserve"> are subject to spectrum licensing in the relevant geographical areas. Spectrum licensing arrangements may not be ideal for small and medium enterprises (SME), and apparatus-licensed arrangements are often preferred. </w:t>
      </w:r>
      <w:r>
        <w:t xml:space="preserve">There are </w:t>
      </w:r>
      <w:r w:rsidRPr="00B53F89">
        <w:t xml:space="preserve">a number of possible bands and access arrangements at various stages of maturity that may provide </w:t>
      </w:r>
      <w:r w:rsidRPr="00B53F89">
        <w:lastRenderedPageBreak/>
        <w:t xml:space="preserve">options for SME FWA interests (recognising that not all bands, if implemented, will be suitable for all FWA deployment models). </w:t>
      </w:r>
    </w:p>
    <w:p w14:paraId="5180BDB2" w14:textId="2F8E4A9D" w:rsidR="001E15CA" w:rsidRPr="00B53F89" w:rsidRDefault="001E15CA" w:rsidP="00513FDE">
      <w:pPr>
        <w:pStyle w:val="Paragraphbeforelist"/>
        <w:keepNext/>
        <w:keepLines/>
      </w:pPr>
      <w:r w:rsidRPr="00B53F89">
        <w:t>Most notably, these bands are:</w:t>
      </w:r>
    </w:p>
    <w:p w14:paraId="52FA3858" w14:textId="1196723B" w:rsidR="00831199" w:rsidRDefault="00831199" w:rsidP="00513FDE">
      <w:pPr>
        <w:pStyle w:val="ListBullet"/>
        <w:tabs>
          <w:tab w:val="clear" w:pos="295"/>
          <w:tab w:val="num" w:pos="296"/>
        </w:tabs>
      </w:pPr>
      <w:r>
        <w:t>3.4 GHz: arrangements will be developed to make 35</w:t>
      </w:r>
      <w:r w:rsidR="00F17549">
        <w:t>–</w:t>
      </w:r>
      <w:r>
        <w:t>67.5 MHz of spectrum</w:t>
      </w:r>
      <w:r w:rsidR="0076275F">
        <w:t xml:space="preserve"> available</w:t>
      </w:r>
      <w:r>
        <w:t xml:space="preserve"> in regional areas and an extra 175 MHz in remote areas</w:t>
      </w:r>
    </w:p>
    <w:p w14:paraId="64506A46" w14:textId="53A8E9AB" w:rsidR="00AB5442" w:rsidRDefault="00E66711" w:rsidP="00513FDE">
      <w:pPr>
        <w:pStyle w:val="ListBullet"/>
        <w:tabs>
          <w:tab w:val="clear" w:pos="295"/>
          <w:tab w:val="num" w:pos="296"/>
        </w:tabs>
      </w:pPr>
      <w:r w:rsidRPr="00B53F89">
        <w:t>3700–4200 MHz</w:t>
      </w:r>
      <w:r w:rsidR="00831199">
        <w:t>: currently under review</w:t>
      </w:r>
    </w:p>
    <w:p w14:paraId="7C09E541" w14:textId="77777777" w:rsidR="00F26F04" w:rsidRPr="00B53F89" w:rsidRDefault="00F26F04" w:rsidP="00513FDE">
      <w:pPr>
        <w:pStyle w:val="ListBullet"/>
        <w:tabs>
          <w:tab w:val="clear" w:pos="295"/>
          <w:tab w:val="num" w:pos="296"/>
        </w:tabs>
      </w:pPr>
      <w:r w:rsidRPr="00B53F89">
        <w:t>5.6 GHz band (5600–5650 MHz)</w:t>
      </w:r>
      <w:r>
        <w:t>:</w:t>
      </w:r>
      <w:r w:rsidRPr="00B53F89">
        <w:t xml:space="preserve"> arrangements </w:t>
      </w:r>
      <w:r w:rsidR="009F6A3B">
        <w:t xml:space="preserve">in place </w:t>
      </w:r>
      <w:r w:rsidRPr="00B53F89">
        <w:t>shared with weather radar</w:t>
      </w:r>
    </w:p>
    <w:p w14:paraId="22ACE90C" w14:textId="6BE1D137" w:rsidR="001E15CA" w:rsidRDefault="00F26F04" w:rsidP="00513FDE">
      <w:pPr>
        <w:pStyle w:val="ListBullet"/>
        <w:numPr>
          <w:ilvl w:val="0"/>
          <w:numId w:val="1"/>
        </w:numPr>
        <w:tabs>
          <w:tab w:val="clear" w:pos="295"/>
          <w:tab w:val="num" w:pos="296"/>
        </w:tabs>
      </w:pPr>
      <w:r w:rsidRPr="00B53F89">
        <w:t>26 GHz (24.25–27.5 GHz)</w:t>
      </w:r>
      <w:r w:rsidR="00DF6F32">
        <w:t>: to be made available for apparatus licensing outside the geographic areas designated for spectrum licensing</w:t>
      </w:r>
    </w:p>
    <w:p w14:paraId="5E7543B4" w14:textId="77777777" w:rsidR="00F26F04" w:rsidDel="00F26F04" w:rsidRDefault="00F26F04" w:rsidP="00513FDE">
      <w:pPr>
        <w:pStyle w:val="ListBullet"/>
      </w:pPr>
      <w:r w:rsidRPr="00B53F89">
        <w:t>28 GHz (27.5–29.5 GHz)</w:t>
      </w:r>
      <w:r>
        <w:t>: arrangements currently under development</w:t>
      </w:r>
      <w:r w:rsidR="0076275F">
        <w:t>.</w:t>
      </w:r>
    </w:p>
    <w:p w14:paraId="53B34222" w14:textId="77777777" w:rsidR="001E15CA" w:rsidRPr="00B53F89" w:rsidRDefault="001E15CA" w:rsidP="001E15CA">
      <w:pPr>
        <w:pStyle w:val="ListBullet"/>
        <w:keepNext w:val="0"/>
        <w:keepLines w:val="0"/>
        <w:numPr>
          <w:ilvl w:val="0"/>
          <w:numId w:val="0"/>
        </w:numPr>
        <w:spacing w:before="240" w:after="240"/>
      </w:pPr>
      <w:r>
        <w:t xml:space="preserve">There are also </w:t>
      </w:r>
      <w:r w:rsidRPr="00B53F89">
        <w:t xml:space="preserve">a number of </w:t>
      </w:r>
      <w:r>
        <w:t xml:space="preserve">other </w:t>
      </w:r>
      <w:r w:rsidRPr="00B53F89">
        <w:t xml:space="preserve">bands </w:t>
      </w:r>
      <w:r>
        <w:t xml:space="preserve">being monitored or under review </w:t>
      </w:r>
      <w:r w:rsidRPr="00B53F89">
        <w:t>that may be candidates for new spectrum-sharing approaches.</w:t>
      </w:r>
      <w:r>
        <w:t xml:space="preserve"> </w:t>
      </w:r>
    </w:p>
    <w:p w14:paraId="1EFCE1DA" w14:textId="77777777" w:rsidR="003E6CF6" w:rsidRPr="00B53F89" w:rsidRDefault="001E15CA" w:rsidP="001E15CA">
      <w:pPr>
        <w:pStyle w:val="ListBullet"/>
        <w:keepNext w:val="0"/>
        <w:keepLines w:val="0"/>
        <w:numPr>
          <w:ilvl w:val="0"/>
          <w:numId w:val="0"/>
        </w:numPr>
        <w:spacing w:after="240"/>
      </w:pPr>
      <w:r w:rsidRPr="00B53F89">
        <w:t xml:space="preserve">The </w:t>
      </w:r>
      <w:r>
        <w:t>third</w:t>
      </w:r>
      <w:r w:rsidR="003E6CF6" w:rsidRPr="00B53F89">
        <w:t xml:space="preserve"> </w:t>
      </w:r>
      <w:r w:rsidR="00AB5442" w:rsidRPr="00B53F89">
        <w:t>category of wireless broadband</w:t>
      </w:r>
      <w:r w:rsidR="003E6CF6" w:rsidRPr="00B53F89">
        <w:t xml:space="preserve"> covers business enterprise services operated by private entities within the confines of their own premises or land estate</w:t>
      </w:r>
      <w:r w:rsidR="00607236" w:rsidRPr="00B53F89">
        <w:t>—</w:t>
      </w:r>
      <w:r w:rsidR="003E6CF6" w:rsidRPr="00B53F89">
        <w:t>for example</w:t>
      </w:r>
      <w:r w:rsidR="004F5E5F" w:rsidRPr="00B53F89">
        <w:t>,</w:t>
      </w:r>
      <w:r w:rsidR="003E6CF6" w:rsidRPr="00B53F89">
        <w:t xml:space="preserve"> a hospital, education precinct or an industrial </w:t>
      </w:r>
      <w:r w:rsidR="009F6A3B">
        <w:t>or transport</w:t>
      </w:r>
      <w:r w:rsidR="003E6CF6" w:rsidRPr="00B53F89">
        <w:t xml:space="preserve"> facility.</w:t>
      </w:r>
    </w:p>
    <w:p w14:paraId="66713751" w14:textId="77777777" w:rsidR="00B337BB" w:rsidRPr="00B53F89" w:rsidRDefault="00875AEB" w:rsidP="00513FDE">
      <w:pPr>
        <w:pStyle w:val="Paragraphbeforelist"/>
      </w:pPr>
      <w:r w:rsidRPr="00B53F89">
        <w:t xml:space="preserve">The rapid development of the next generation of wireless broadband technology, known as 5G, has emerged as </w:t>
      </w:r>
      <w:r w:rsidR="005629C8" w:rsidRPr="00B53F89">
        <w:t>a key</w:t>
      </w:r>
      <w:r w:rsidRPr="00B53F89">
        <w:t xml:space="preserve"> driver of </w:t>
      </w:r>
      <w:r w:rsidR="00BF7D9F" w:rsidRPr="00B53F89">
        <w:t xml:space="preserve">change to existing </w:t>
      </w:r>
      <w:r w:rsidRPr="00B53F89">
        <w:t xml:space="preserve">spectrum </w:t>
      </w:r>
      <w:r w:rsidR="00BF7D9F" w:rsidRPr="00B53F89">
        <w:t>arrangements</w:t>
      </w:r>
      <w:r w:rsidRPr="00B53F89">
        <w:t xml:space="preserve">. This is </w:t>
      </w:r>
      <w:r w:rsidR="00B337BB" w:rsidRPr="00B53F89">
        <w:t>due to:</w:t>
      </w:r>
    </w:p>
    <w:p w14:paraId="20641770" w14:textId="2BE4A0FC" w:rsidR="00B337BB" w:rsidRPr="00B53F89" w:rsidRDefault="001E15CA" w:rsidP="001E15CA">
      <w:pPr>
        <w:pStyle w:val="ListBullet"/>
        <w:keepNext w:val="0"/>
        <w:keepLines w:val="0"/>
        <w:ind w:left="284" w:hanging="289"/>
      </w:pPr>
      <w:r w:rsidRPr="00B53F89">
        <w:t>the potential for re</w:t>
      </w:r>
      <w:r>
        <w:t xml:space="preserve">planning </w:t>
      </w:r>
      <w:r w:rsidR="00BF7D9F" w:rsidRPr="00B53F89">
        <w:t>additional</w:t>
      </w:r>
      <w:r w:rsidR="00875AEB" w:rsidRPr="00B53F89">
        <w:t xml:space="preserve"> spectrum bands to support its deployment</w:t>
      </w:r>
    </w:p>
    <w:p w14:paraId="3AE3E493" w14:textId="77777777" w:rsidR="00B337BB" w:rsidRPr="00B53F89" w:rsidRDefault="00594766" w:rsidP="001E15CA">
      <w:pPr>
        <w:pStyle w:val="ListBullet"/>
        <w:keepNext w:val="0"/>
        <w:keepLines w:val="0"/>
        <w:ind w:left="284" w:hanging="289"/>
      </w:pPr>
      <w:r w:rsidRPr="00B53F89">
        <w:t xml:space="preserve">the </w:t>
      </w:r>
      <w:r w:rsidR="00BF7D9F" w:rsidRPr="00B53F89">
        <w:t>characteristics</w:t>
      </w:r>
      <w:r w:rsidRPr="00B53F89">
        <w:t xml:space="preserve"> of 5G</w:t>
      </w:r>
      <w:r w:rsidR="00F81C86" w:rsidRPr="00B53F89">
        <w:t xml:space="preserve"> (such as </w:t>
      </w:r>
      <w:r w:rsidR="009C65CB" w:rsidRPr="00B53F89">
        <w:t>the need to accommodate</w:t>
      </w:r>
      <w:r w:rsidR="00F81C86" w:rsidRPr="00B53F89">
        <w:t xml:space="preserve"> </w:t>
      </w:r>
      <w:r w:rsidR="007F068B" w:rsidRPr="00B53F89">
        <w:t>broader channel bandwidths</w:t>
      </w:r>
      <w:r w:rsidR="00F81C86" w:rsidRPr="00B53F89">
        <w:t>)</w:t>
      </w:r>
    </w:p>
    <w:p w14:paraId="53C4C0C8" w14:textId="2DBC09DF" w:rsidR="0084523B" w:rsidRPr="00B53F89" w:rsidRDefault="00167D74" w:rsidP="00772993">
      <w:pPr>
        <w:pStyle w:val="ListBulletLast"/>
        <w:ind w:left="284" w:hanging="289"/>
      </w:pPr>
      <w:r>
        <w:t xml:space="preserve">the fact that </w:t>
      </w:r>
      <w:r w:rsidR="00BF7D9F" w:rsidRPr="00B53F89">
        <w:t xml:space="preserve">some of the bands into which </w:t>
      </w:r>
      <w:r w:rsidR="00594766" w:rsidRPr="00B53F89">
        <w:t xml:space="preserve">5G </w:t>
      </w:r>
      <w:r w:rsidR="00BF7D9F" w:rsidRPr="00B53F89">
        <w:t>will be introduced</w:t>
      </w:r>
      <w:r w:rsidR="00B337BB" w:rsidRPr="00B53F89">
        <w:t xml:space="preserve"> </w:t>
      </w:r>
      <w:r w:rsidR="00BF7D9F" w:rsidRPr="00B53F89">
        <w:t>challenge us to consider new ways to</w:t>
      </w:r>
      <w:r w:rsidR="00875AEB" w:rsidRPr="00B53F89">
        <w:t xml:space="preserve"> plan and licen</w:t>
      </w:r>
      <w:r w:rsidR="00BF7D9F" w:rsidRPr="00B53F89">
        <w:t>se</w:t>
      </w:r>
      <w:r w:rsidR="00875AEB" w:rsidRPr="00B53F89">
        <w:t xml:space="preserve"> that spectrum.</w:t>
      </w:r>
    </w:p>
    <w:p w14:paraId="3E248948" w14:textId="77777777" w:rsidR="00B337BB" w:rsidRPr="00B53F89" w:rsidRDefault="00D26845" w:rsidP="00D7755E">
      <w:pPr>
        <w:rPr>
          <w:rFonts w:cs="Arial"/>
        </w:rPr>
      </w:pPr>
      <w:r w:rsidRPr="00B53F89">
        <w:rPr>
          <w:rFonts w:cs="Arial"/>
        </w:rPr>
        <w:t>Reviewing the arrangements in bands that are already licensed for wireless broadband is important to ensure existing allocations are efficient and can cater for new technology developments</w:t>
      </w:r>
      <w:r w:rsidR="00990D9B" w:rsidRPr="00B53F89">
        <w:rPr>
          <w:rFonts w:cs="Arial"/>
        </w:rPr>
        <w:t>,</w:t>
      </w:r>
      <w:r w:rsidRPr="00B53F89">
        <w:rPr>
          <w:rFonts w:cs="Arial"/>
        </w:rPr>
        <w:t xml:space="preserve"> such as 5G. </w:t>
      </w:r>
      <w:r w:rsidR="00727FEB" w:rsidRPr="00B53F89">
        <w:rPr>
          <w:rFonts w:cs="Arial"/>
        </w:rPr>
        <w:t>The ACMA’s work program includes a number of projects that consider optimising existing planning fr</w:t>
      </w:r>
      <w:r w:rsidR="0083252D" w:rsidRPr="00B53F89">
        <w:rPr>
          <w:rFonts w:cs="Arial"/>
        </w:rPr>
        <w:t>ame</w:t>
      </w:r>
      <w:r w:rsidR="00727FEB" w:rsidRPr="00B53F89">
        <w:rPr>
          <w:rFonts w:cs="Arial"/>
        </w:rPr>
        <w:t>works.</w:t>
      </w:r>
    </w:p>
    <w:p w14:paraId="1AB353B8" w14:textId="6F2FCEB8" w:rsidR="005629C8" w:rsidRPr="00B53F89" w:rsidRDefault="0084523B" w:rsidP="00D7755E">
      <w:r w:rsidRPr="00B53F89">
        <w:t xml:space="preserve">The definition of 5G </w:t>
      </w:r>
      <w:r w:rsidR="00491821" w:rsidRPr="00B53F89">
        <w:t>and</w:t>
      </w:r>
      <w:r w:rsidR="003E6CF6" w:rsidRPr="00B53F89">
        <w:t xml:space="preserve"> </w:t>
      </w:r>
      <w:r w:rsidR="006B7748" w:rsidRPr="00B53F89">
        <w:t xml:space="preserve">related </w:t>
      </w:r>
      <w:r w:rsidR="003E6CF6" w:rsidRPr="00B53F89">
        <w:t>spectrum harmonisation and technology specifications</w:t>
      </w:r>
      <w:r w:rsidR="006B7748" w:rsidRPr="00B53F89">
        <w:t xml:space="preserve"> and </w:t>
      </w:r>
      <w:r w:rsidR="003E6CF6" w:rsidRPr="00B53F89">
        <w:t xml:space="preserve">standards </w:t>
      </w:r>
      <w:r w:rsidR="00607236" w:rsidRPr="00B53F89">
        <w:t>ha</w:t>
      </w:r>
      <w:r w:rsidR="00491821" w:rsidRPr="00B53F89">
        <w:t>ve</w:t>
      </w:r>
      <w:r w:rsidR="00607236" w:rsidRPr="00B53F89">
        <w:t xml:space="preserve"> </w:t>
      </w:r>
      <w:r w:rsidR="003E6CF6" w:rsidRPr="00B53F89">
        <w:t>continued to</w:t>
      </w:r>
      <w:r w:rsidRPr="00B53F89">
        <w:t xml:space="preserve"> </w:t>
      </w:r>
      <w:r w:rsidR="00727FEB" w:rsidRPr="00B53F89">
        <w:t>mature</w:t>
      </w:r>
      <w:r w:rsidR="003E6CF6" w:rsidRPr="00B53F89">
        <w:t>.</w:t>
      </w:r>
      <w:r w:rsidRPr="00B53F89">
        <w:t xml:space="preserve"> </w:t>
      </w:r>
      <w:r w:rsidR="003E6CF6" w:rsidRPr="00B53F89">
        <w:t xml:space="preserve">Work has progressed in </w:t>
      </w:r>
      <w:r w:rsidRPr="00B53F89">
        <w:t xml:space="preserve">the </w:t>
      </w:r>
      <w:r w:rsidR="00F17549">
        <w:rPr>
          <w:rFonts w:cs="Arial"/>
          <w:szCs w:val="20"/>
        </w:rPr>
        <w:t>ITU</w:t>
      </w:r>
      <w:r w:rsidRPr="00B53F89">
        <w:rPr>
          <w:rFonts w:cs="Arial"/>
          <w:szCs w:val="20"/>
        </w:rPr>
        <w:t xml:space="preserve"> Radiocommunication Sector (ITU-R)</w:t>
      </w:r>
      <w:r w:rsidRPr="00B53F89">
        <w:t xml:space="preserve"> </w:t>
      </w:r>
      <w:r w:rsidR="00293704" w:rsidRPr="00B53F89">
        <w:t>to</w:t>
      </w:r>
      <w:r w:rsidRPr="00B53F89">
        <w:t xml:space="preserve"> defin</w:t>
      </w:r>
      <w:r w:rsidR="00293704" w:rsidRPr="00B53F89">
        <w:t>e</w:t>
      </w:r>
      <w:r w:rsidRPr="00B53F89">
        <w:t xml:space="preserve"> IMT-2020</w:t>
      </w:r>
      <w:r w:rsidRPr="00B53F89">
        <w:rPr>
          <w:rStyle w:val="FootnoteReference"/>
        </w:rPr>
        <w:footnoteReference w:id="11"/>
      </w:r>
      <w:r w:rsidR="00EE1182" w:rsidRPr="00B53F89">
        <w:t>,</w:t>
      </w:r>
      <w:r w:rsidRPr="00B53F89">
        <w:t xml:space="preserve"> </w:t>
      </w:r>
      <w:r w:rsidR="003E6CF6" w:rsidRPr="00B53F89">
        <w:t xml:space="preserve">and spectrum harmonisation considerations relating to </w:t>
      </w:r>
      <w:r w:rsidR="00BB396A">
        <w:t>bands that were studied and</w:t>
      </w:r>
      <w:r w:rsidR="00F17549">
        <w:t>,</w:t>
      </w:r>
      <w:r w:rsidR="00BB396A">
        <w:t xml:space="preserve"> in some cases identified, </w:t>
      </w:r>
      <w:r w:rsidR="001E15CA">
        <w:t>at</w:t>
      </w:r>
      <w:r w:rsidR="001E15CA" w:rsidRPr="00B53F89">
        <w:t xml:space="preserve"> WRC</w:t>
      </w:r>
      <w:r w:rsidR="00167D74">
        <w:t>-</w:t>
      </w:r>
      <w:r w:rsidR="001E15CA" w:rsidRPr="00B53F89">
        <w:t>19.</w:t>
      </w:r>
      <w:r w:rsidR="003E6CF6" w:rsidRPr="00B53F89">
        <w:t xml:space="preserve"> </w:t>
      </w:r>
      <w:r w:rsidR="00727FEB" w:rsidRPr="00B53F89">
        <w:t>T</w:t>
      </w:r>
      <w:r w:rsidR="00886BCC" w:rsidRPr="00B53F89">
        <w:t>he 3rd Generation Partnership Project (</w:t>
      </w:r>
      <w:r w:rsidRPr="00B53F89">
        <w:t>3GPP</w:t>
      </w:r>
      <w:r w:rsidR="00886BCC" w:rsidRPr="00B53F89">
        <w:t>)</w:t>
      </w:r>
      <w:r w:rsidR="003E6CF6" w:rsidRPr="00B53F89">
        <w:t xml:space="preserve"> </w:t>
      </w:r>
      <w:r w:rsidR="00727FEB" w:rsidRPr="00B53F89">
        <w:t xml:space="preserve">continues to develop </w:t>
      </w:r>
      <w:r w:rsidR="003E6CF6" w:rsidRPr="00B53F89">
        <w:t>5G-related specifications in</w:t>
      </w:r>
      <w:r w:rsidRPr="00B53F89">
        <w:t xml:space="preserve"> Release 15</w:t>
      </w:r>
      <w:r w:rsidR="00727FEB" w:rsidRPr="00B53F89">
        <w:t xml:space="preserve"> and </w:t>
      </w:r>
      <w:r w:rsidR="00491821" w:rsidRPr="00B53F89">
        <w:t>R</w:t>
      </w:r>
      <w:r w:rsidR="00727FEB" w:rsidRPr="00B53F89">
        <w:t>elease 16</w:t>
      </w:r>
      <w:r w:rsidRPr="00B53F89">
        <w:t xml:space="preserve">. </w:t>
      </w:r>
    </w:p>
    <w:p w14:paraId="395F38EC" w14:textId="06939A14" w:rsidR="00C675FF" w:rsidRDefault="00C675FF" w:rsidP="00C675FF">
      <w:pPr>
        <w:pStyle w:val="Heading4"/>
      </w:pPr>
      <w:r>
        <w:t>Spectrum bands supporting wireless broadband use</w:t>
      </w:r>
    </w:p>
    <w:p w14:paraId="6C9F7509" w14:textId="1936B0BF" w:rsidR="0047527A" w:rsidRPr="00B53F89" w:rsidRDefault="0084523B" w:rsidP="00513FDE">
      <w:pPr>
        <w:pStyle w:val="Paragraphbeforelist"/>
      </w:pPr>
      <w:r w:rsidRPr="00B53F89">
        <w:t xml:space="preserve">From a spectrum </w:t>
      </w:r>
      <w:r w:rsidR="00353B4E" w:rsidRPr="00B53F89">
        <w:t xml:space="preserve">management </w:t>
      </w:r>
      <w:r w:rsidRPr="00B53F89">
        <w:t xml:space="preserve">perspective, 5G </w:t>
      </w:r>
      <w:r w:rsidR="001E15CA">
        <w:t xml:space="preserve">uses </w:t>
      </w:r>
      <w:r w:rsidR="0075534E" w:rsidRPr="00B53F89">
        <w:t xml:space="preserve">spectrum </w:t>
      </w:r>
      <w:r w:rsidR="0047527A" w:rsidRPr="00B53F89">
        <w:t xml:space="preserve">across </w:t>
      </w:r>
      <w:r w:rsidR="00BF7D9F" w:rsidRPr="00B53F89">
        <w:t xml:space="preserve">a wide range of </w:t>
      </w:r>
      <w:r w:rsidR="0075534E" w:rsidRPr="00B53F89">
        <w:t>frequency bands. This will include</w:t>
      </w:r>
      <w:r w:rsidR="0047527A" w:rsidRPr="00B53F89">
        <w:t>:</w:t>
      </w:r>
    </w:p>
    <w:p w14:paraId="3C59C724" w14:textId="77777777" w:rsidR="0047527A" w:rsidRPr="00B53F89" w:rsidRDefault="0075534E" w:rsidP="001E15CA">
      <w:pPr>
        <w:pStyle w:val="ListBullet"/>
        <w:keepNext w:val="0"/>
        <w:keepLines w:val="0"/>
        <w:ind w:left="284" w:hanging="284"/>
      </w:pPr>
      <w:r w:rsidRPr="00B53F89">
        <w:t>‘low</w:t>
      </w:r>
      <w:r w:rsidR="00EE1182" w:rsidRPr="00B53F89">
        <w:t>-</w:t>
      </w:r>
      <w:r w:rsidRPr="00B53F89">
        <w:t>band’ spectrum below 1 GHz</w:t>
      </w:r>
      <w:r w:rsidR="00EE1182" w:rsidRPr="00B53F89">
        <w:t>,</w:t>
      </w:r>
      <w:r w:rsidR="0084523B" w:rsidRPr="00B53F89">
        <w:t xml:space="preserve"> </w:t>
      </w:r>
      <w:r w:rsidRPr="00B53F89">
        <w:t>much of which is already used for mobile broadband networks</w:t>
      </w:r>
    </w:p>
    <w:p w14:paraId="5B398712" w14:textId="77777777" w:rsidR="0047527A" w:rsidRPr="00B53F89" w:rsidRDefault="0075534E" w:rsidP="001E15CA">
      <w:pPr>
        <w:pStyle w:val="ListBullet"/>
        <w:keepNext w:val="0"/>
        <w:keepLines w:val="0"/>
        <w:ind w:left="284" w:hanging="284"/>
      </w:pPr>
      <w:r w:rsidRPr="00B53F89">
        <w:t>‘mid</w:t>
      </w:r>
      <w:r w:rsidR="00EE1182" w:rsidRPr="00B53F89">
        <w:t>-</w:t>
      </w:r>
      <w:r w:rsidRPr="00B53F89">
        <w:t>band’ spectrum between 1 and 6 GHz</w:t>
      </w:r>
      <w:r w:rsidR="00082995" w:rsidRPr="00B53F89">
        <w:t>, some of which is already used for wireless broadband</w:t>
      </w:r>
      <w:r w:rsidRPr="00B53F89">
        <w:t xml:space="preserve"> </w:t>
      </w:r>
    </w:p>
    <w:p w14:paraId="48FF92F5" w14:textId="5D697444" w:rsidR="0047527A" w:rsidRPr="00B53F89" w:rsidRDefault="0075534E" w:rsidP="00772993">
      <w:pPr>
        <w:pStyle w:val="ListBulletLast"/>
        <w:ind w:left="284" w:hanging="284"/>
      </w:pPr>
      <w:r w:rsidRPr="00B53F89">
        <w:t>’high</w:t>
      </w:r>
      <w:r w:rsidR="00E14A5D" w:rsidRPr="00B53F89">
        <w:t>-</w:t>
      </w:r>
      <w:r w:rsidRPr="00B53F89">
        <w:t>band’</w:t>
      </w:r>
      <w:r w:rsidR="00E14A5D" w:rsidRPr="00B53F89">
        <w:t xml:space="preserve"> spectrum</w:t>
      </w:r>
      <w:r w:rsidR="00EE1182" w:rsidRPr="00B53F89">
        <w:t>,</w:t>
      </w:r>
      <w:r w:rsidR="00082995" w:rsidRPr="00B53F89">
        <w:t xml:space="preserve"> above 6 GHz, specifically the</w:t>
      </w:r>
      <w:r w:rsidRPr="00B53F89">
        <w:t xml:space="preserve"> </w:t>
      </w:r>
      <w:r w:rsidR="005E180F" w:rsidRPr="00524EED">
        <w:rPr>
          <w:color w:val="000000"/>
        </w:rPr>
        <w:t>previously little-used millimetre wave (mmWave) bands</w:t>
      </w:r>
      <w:r w:rsidR="009D4A30">
        <w:rPr>
          <w:color w:val="000000"/>
        </w:rPr>
        <w:t>.</w:t>
      </w:r>
      <w:r w:rsidR="005E180F" w:rsidRPr="005C2495">
        <w:rPr>
          <w:color w:val="000000"/>
          <w:vertAlign w:val="superscript"/>
        </w:rPr>
        <w:footnoteReference w:id="12"/>
      </w:r>
    </w:p>
    <w:p w14:paraId="0FB59D8B" w14:textId="77777777" w:rsidR="00AE4753" w:rsidRPr="00B53F89" w:rsidRDefault="00AC7D4B">
      <w:r w:rsidRPr="00B53F89">
        <w:lastRenderedPageBreak/>
        <w:t>In addition to</w:t>
      </w:r>
      <w:r w:rsidR="00241986" w:rsidRPr="00B53F89">
        <w:t xml:space="preserve"> considering</w:t>
      </w:r>
      <w:r w:rsidRPr="00B53F89">
        <w:t xml:space="preserve"> the use of ‘new’ frequency bands</w:t>
      </w:r>
      <w:r w:rsidR="00241986" w:rsidRPr="00B53F89">
        <w:t xml:space="preserve"> (bands previously unused for wireless broadband)</w:t>
      </w:r>
      <w:r w:rsidRPr="00B53F89">
        <w:t xml:space="preserve">, we expect that many of the bands already available for broadband in Australia will be re-farmed over time by </w:t>
      </w:r>
      <w:r w:rsidR="0047527A" w:rsidRPr="00B53F89">
        <w:t xml:space="preserve">incumbent users </w:t>
      </w:r>
      <w:r w:rsidRPr="00B53F89">
        <w:t>for 5G technologies.</w:t>
      </w:r>
      <w:r w:rsidR="001B473D" w:rsidRPr="00B53F89">
        <w:t xml:space="preserve"> </w:t>
      </w:r>
    </w:p>
    <w:p w14:paraId="45699D7C" w14:textId="6661ED92" w:rsidR="00AC7D4B" w:rsidRPr="00B53F89" w:rsidRDefault="00B63D09" w:rsidP="00D7755E">
      <w:r>
        <w:t>The existing technical frameworks provide flexibility to allow licensees to re-</w:t>
      </w:r>
      <w:r w:rsidR="001E15CA">
        <w:t>use spectrum and adopt new technologies. However, where appropriate, the ACMA will</w:t>
      </w:r>
      <w:r w:rsidR="001E15CA" w:rsidDel="00F26F04">
        <w:t xml:space="preserve"> </w:t>
      </w:r>
      <w:r w:rsidR="001E15CA" w:rsidRPr="00B53F89">
        <w:t>revis</w:t>
      </w:r>
      <w:r w:rsidR="001E15CA">
        <w:t>e</w:t>
      </w:r>
      <w:r w:rsidR="001E15CA" w:rsidRPr="00B53F89">
        <w:t xml:space="preserve"> existing technical frameworks to ensure they are </w:t>
      </w:r>
      <w:r w:rsidR="001E15CA">
        <w:t>suitable for</w:t>
      </w:r>
      <w:r w:rsidR="001E15CA" w:rsidRPr="00B53F89">
        <w:t xml:space="preserve"> 5G</w:t>
      </w:r>
      <w:r w:rsidR="001E15CA">
        <w:t>—this work commenced in the 2019</w:t>
      </w:r>
      <w:r w:rsidR="00F17549">
        <w:t>–</w:t>
      </w:r>
      <w:r w:rsidR="001E15CA">
        <w:t>20 period</w:t>
      </w:r>
      <w:r w:rsidR="00817DF1">
        <w:t xml:space="preserve"> and will continue into 2020</w:t>
      </w:r>
      <w:r w:rsidR="00F17549">
        <w:t>–</w:t>
      </w:r>
      <w:r w:rsidR="00817DF1">
        <w:t>21</w:t>
      </w:r>
      <w:r w:rsidR="001E15CA">
        <w:t>. Of course, this has to be balanced with the need to manage interference with other licensed services.</w:t>
      </w:r>
      <w:r w:rsidR="001E15CA" w:rsidRPr="00B53F89">
        <w:t xml:space="preserve"> </w:t>
      </w:r>
    </w:p>
    <w:p w14:paraId="3C75491E" w14:textId="18079E55" w:rsidR="005629C8" w:rsidRPr="00B53F89" w:rsidRDefault="00835321" w:rsidP="00D7755E">
      <w:r w:rsidRPr="00B53F89">
        <w:t xml:space="preserve">The ACMA acknowledges the importance of </w:t>
      </w:r>
      <w:r w:rsidR="007269E8" w:rsidRPr="00B53F89">
        <w:t xml:space="preserve">addressing the </w:t>
      </w:r>
      <w:r w:rsidRPr="00B53F89">
        <w:t xml:space="preserve">5G spectrum </w:t>
      </w:r>
      <w:r w:rsidR="001F76E6" w:rsidRPr="00B53F89">
        <w:t xml:space="preserve">needs </w:t>
      </w:r>
      <w:r w:rsidRPr="00B53F89">
        <w:t>and is committed to ensuring that Australia is well placed to take advantage of the opportunities offered by 5G</w:t>
      </w:r>
      <w:r w:rsidR="003A1DE5">
        <w:t>, consistent with the government’s 5G strategy</w:t>
      </w:r>
      <w:r w:rsidRPr="00B53F89">
        <w:t>.</w:t>
      </w:r>
      <w:r w:rsidR="003A155C">
        <w:rPr>
          <w:rStyle w:val="FootnoteReference"/>
        </w:rPr>
        <w:footnoteReference w:id="13"/>
      </w:r>
      <w:r w:rsidR="005F2DB5" w:rsidRPr="00B53F89">
        <w:t xml:space="preserve"> The ACMA continues to implement arrangements to support the rollout of 5G services in Australia, across a number of bands.</w:t>
      </w:r>
      <w:r w:rsidR="001F76E6" w:rsidRPr="00B53F89">
        <w:t xml:space="preserve"> </w:t>
      </w:r>
    </w:p>
    <w:p w14:paraId="7A82EA52" w14:textId="3977EB59" w:rsidR="00440CC7" w:rsidRPr="00B53F89" w:rsidRDefault="00512E30" w:rsidP="00D7755E">
      <w:r w:rsidRPr="00B53F89">
        <w:t>Each of the broad bands identified for wireless broadband</w:t>
      </w:r>
      <w:r w:rsidR="0011749C" w:rsidRPr="00B53F89">
        <w:t xml:space="preserve"> (sub 1 GHz, 1–6 GHz, above 6 GHz)</w:t>
      </w:r>
      <w:r w:rsidR="004602C5" w:rsidRPr="00B53F89">
        <w:t xml:space="preserve"> </w:t>
      </w:r>
      <w:r w:rsidRPr="00B53F89">
        <w:t xml:space="preserve">requires a specific approach by the ACMA. This </w:t>
      </w:r>
      <w:r w:rsidR="00387B74" w:rsidRPr="00B53F89">
        <w:t>i</w:t>
      </w:r>
      <w:r w:rsidR="0002172A" w:rsidRPr="00B53F89">
        <w:t xml:space="preserve">s </w:t>
      </w:r>
      <w:r w:rsidRPr="00B53F89">
        <w:t xml:space="preserve">because different </w:t>
      </w:r>
      <w:r w:rsidR="00D82D08" w:rsidRPr="00B53F89">
        <w:t>considerations apply</w:t>
      </w:r>
      <w:r w:rsidR="002C6A94" w:rsidRPr="00B53F89">
        <w:t>,</w:t>
      </w:r>
      <w:r w:rsidR="00D82D08" w:rsidRPr="00B53F89">
        <w:t xml:space="preserve"> such as</w:t>
      </w:r>
      <w:r w:rsidR="004602C5" w:rsidRPr="00B53F89">
        <w:t xml:space="preserve"> intrinsic features of the band</w:t>
      </w:r>
      <w:r w:rsidR="001C3B42" w:rsidRPr="00B53F89">
        <w:t>—</w:t>
      </w:r>
      <w:r w:rsidR="00A2079D" w:rsidRPr="00B53F89">
        <w:t>for example,</w:t>
      </w:r>
      <w:r w:rsidR="004602C5" w:rsidRPr="00B53F89">
        <w:t xml:space="preserve"> propagation characteristics,</w:t>
      </w:r>
      <w:r w:rsidR="00D82D08" w:rsidRPr="00B53F89">
        <w:t xml:space="preserve"> </w:t>
      </w:r>
      <w:r w:rsidR="001C3B42" w:rsidRPr="00B53F89">
        <w:t xml:space="preserve">as well as </w:t>
      </w:r>
      <w:r w:rsidRPr="00B53F89">
        <w:t xml:space="preserve">international </w:t>
      </w:r>
      <w:r w:rsidR="009D4A30">
        <w:t>regulations</w:t>
      </w:r>
      <w:r w:rsidR="009D4A30" w:rsidRPr="00B53F89">
        <w:t xml:space="preserve"> </w:t>
      </w:r>
      <w:r w:rsidRPr="00B53F89">
        <w:t xml:space="preserve">and </w:t>
      </w:r>
      <w:r w:rsidR="009D4A30">
        <w:t>standards</w:t>
      </w:r>
      <w:r w:rsidRPr="00B53F89">
        <w:t>, domestic policy, legacy planning and allocation arrangements</w:t>
      </w:r>
      <w:r w:rsidR="002C6A94" w:rsidRPr="00B53F89">
        <w:t>,</w:t>
      </w:r>
      <w:r w:rsidRPr="00B53F89">
        <w:t xml:space="preserve"> and other </w:t>
      </w:r>
      <w:r w:rsidR="00D82D08" w:rsidRPr="00B53F89">
        <w:t xml:space="preserve">incumbency </w:t>
      </w:r>
      <w:r w:rsidRPr="00B53F89">
        <w:t>factors</w:t>
      </w:r>
      <w:r w:rsidR="00D82D08" w:rsidRPr="00B53F89">
        <w:t>.</w:t>
      </w:r>
    </w:p>
    <w:p w14:paraId="0B64579C" w14:textId="77777777" w:rsidR="001C7338" w:rsidRPr="00B53F89" w:rsidRDefault="00E14A5D" w:rsidP="00EB7555">
      <w:pPr>
        <w:pStyle w:val="Heading5"/>
        <w:keepNext w:val="0"/>
      </w:pPr>
      <w:r w:rsidRPr="00B53F89">
        <w:t>Low-band spectrum</w:t>
      </w:r>
    </w:p>
    <w:p w14:paraId="2381AD0D" w14:textId="77777777" w:rsidR="00D82D08" w:rsidRPr="00B53F89" w:rsidRDefault="00512E30" w:rsidP="00513FDE">
      <w:pPr>
        <w:pStyle w:val="Paragraphbeforelist"/>
      </w:pPr>
      <w:r w:rsidRPr="00B53F89">
        <w:t>In the bands below 1 GHz, the A</w:t>
      </w:r>
      <w:r w:rsidR="00361357" w:rsidRPr="00B53F89">
        <w:t>CMA</w:t>
      </w:r>
      <w:r w:rsidRPr="00B53F89">
        <w:t xml:space="preserve"> has two primary short</w:t>
      </w:r>
      <w:r w:rsidR="002C6A94" w:rsidRPr="00B53F89">
        <w:t>-</w:t>
      </w:r>
      <w:r w:rsidRPr="00B53F89">
        <w:t>to</w:t>
      </w:r>
      <w:r w:rsidR="00176275" w:rsidRPr="00B53F89">
        <w:t>-</w:t>
      </w:r>
      <w:r w:rsidRPr="00B53F89">
        <w:t>medium</w:t>
      </w:r>
      <w:r w:rsidR="002C6A94" w:rsidRPr="00B53F89">
        <w:t>-</w:t>
      </w:r>
      <w:r w:rsidRPr="00B53F89">
        <w:t>term objectives</w:t>
      </w:r>
      <w:r w:rsidR="00D82D08" w:rsidRPr="00B53F89">
        <w:t>:</w:t>
      </w:r>
    </w:p>
    <w:p w14:paraId="40D89A19" w14:textId="2D8DF4E8" w:rsidR="00D82D08" w:rsidRPr="00B53F89" w:rsidRDefault="00B6218E" w:rsidP="001E15CA">
      <w:pPr>
        <w:pStyle w:val="ListBullet"/>
        <w:keepNext w:val="0"/>
        <w:keepLines w:val="0"/>
        <w:ind w:left="284" w:hanging="284"/>
      </w:pPr>
      <w:r w:rsidRPr="00B53F89">
        <w:t xml:space="preserve">working with industry </w:t>
      </w:r>
      <w:r w:rsidR="00353F8B" w:rsidRPr="00B53F89">
        <w:t xml:space="preserve">to </w:t>
      </w:r>
      <w:r w:rsidR="00A25816" w:rsidRPr="00B53F89">
        <w:t>optimi</w:t>
      </w:r>
      <w:r w:rsidR="0025695C" w:rsidRPr="00B53F89">
        <w:t>s</w:t>
      </w:r>
      <w:r w:rsidR="00A25816" w:rsidRPr="00B53F89">
        <w:t>e</w:t>
      </w:r>
      <w:r w:rsidR="002C6A94" w:rsidRPr="00B53F89">
        <w:t xml:space="preserve"> </w:t>
      </w:r>
      <w:r w:rsidR="00512E30" w:rsidRPr="00B53F89">
        <w:t xml:space="preserve">the </w:t>
      </w:r>
      <w:r w:rsidR="00A25816" w:rsidRPr="00B53F89">
        <w:t xml:space="preserve">efficient configuration of </w:t>
      </w:r>
      <w:r w:rsidR="00512E30" w:rsidRPr="00B53F89">
        <w:t xml:space="preserve">the </w:t>
      </w:r>
      <w:r w:rsidR="004D0E46" w:rsidRPr="00B53F89">
        <w:t xml:space="preserve">existing </w:t>
      </w:r>
      <w:r w:rsidR="00A25816" w:rsidRPr="00B53F89">
        <w:t>850</w:t>
      </w:r>
      <w:r w:rsidR="004C59CC" w:rsidRPr="00B53F89">
        <w:t xml:space="preserve"> MHz (</w:t>
      </w:r>
      <w:r w:rsidR="00076479" w:rsidRPr="00B53F89">
        <w:t>825</w:t>
      </w:r>
      <w:r w:rsidR="003208A0" w:rsidRPr="00B53F89">
        <w:t>–</w:t>
      </w:r>
      <w:r w:rsidR="00076479" w:rsidRPr="00B53F89">
        <w:t>845</w:t>
      </w:r>
      <w:r w:rsidR="004C59CC" w:rsidRPr="00B53F89">
        <w:t xml:space="preserve"> MHz and </w:t>
      </w:r>
      <w:r w:rsidR="00076479" w:rsidRPr="00B53F89">
        <w:t>870</w:t>
      </w:r>
      <w:r w:rsidR="004C59CC" w:rsidRPr="00B53F89">
        <w:t>–8</w:t>
      </w:r>
      <w:r w:rsidR="00076479" w:rsidRPr="00B53F89">
        <w:t>90</w:t>
      </w:r>
      <w:r w:rsidR="004C59CC" w:rsidRPr="00B53F89">
        <w:t xml:space="preserve"> MHz)</w:t>
      </w:r>
      <w:r w:rsidR="00A25816" w:rsidRPr="00B53F89">
        <w:t xml:space="preserve"> and </w:t>
      </w:r>
      <w:r w:rsidR="00512E30" w:rsidRPr="00B53F89">
        <w:t>900 MHz</w:t>
      </w:r>
      <w:r w:rsidR="004C59CC" w:rsidRPr="00B53F89">
        <w:t xml:space="preserve"> (890–915 MHz and 935–960 MHz)</w:t>
      </w:r>
      <w:r w:rsidR="00512E30" w:rsidRPr="00B53F89">
        <w:t xml:space="preserve"> band</w:t>
      </w:r>
      <w:r w:rsidR="00A25816" w:rsidRPr="00B53F89">
        <w:t xml:space="preserve"> allocations</w:t>
      </w:r>
      <w:r w:rsidR="00D82D08" w:rsidRPr="00B53F89">
        <w:t>,</w:t>
      </w:r>
      <w:r w:rsidR="00512E30" w:rsidRPr="00B53F89">
        <w:t xml:space="preserve"> already </w:t>
      </w:r>
      <w:r w:rsidR="008A0B01" w:rsidRPr="00B53F89">
        <w:t xml:space="preserve">licensed </w:t>
      </w:r>
      <w:r w:rsidR="00512E30" w:rsidRPr="00B53F89">
        <w:t>for mobile broadband purposes</w:t>
      </w:r>
      <w:r w:rsidR="00D82D08" w:rsidRPr="00B53F89">
        <w:t>,</w:t>
      </w:r>
      <w:r w:rsidR="00512E30" w:rsidRPr="00B53F89">
        <w:t xml:space="preserve"> </w:t>
      </w:r>
      <w:r w:rsidRPr="00B53F89">
        <w:t xml:space="preserve">including by securing a </w:t>
      </w:r>
      <w:r w:rsidR="00A25816" w:rsidRPr="00B53F89">
        <w:t xml:space="preserve">1 MHz </w:t>
      </w:r>
      <w:r w:rsidRPr="00B53F89">
        <w:t xml:space="preserve">downshift of the </w:t>
      </w:r>
      <w:r w:rsidR="005E26D8">
        <w:t xml:space="preserve">existing </w:t>
      </w:r>
      <w:r w:rsidRPr="00B53F89">
        <w:t xml:space="preserve">850 MHz spectrum </w:t>
      </w:r>
      <w:r w:rsidR="00A25816" w:rsidRPr="00B53F89">
        <w:t>l</w:t>
      </w:r>
      <w:r w:rsidR="00CB2B01" w:rsidRPr="00B53F89">
        <w:t>icences</w:t>
      </w:r>
    </w:p>
    <w:p w14:paraId="509C8AC5" w14:textId="77777777" w:rsidR="00D82D08" w:rsidRPr="00B53F89" w:rsidRDefault="00512E30" w:rsidP="0005757D">
      <w:pPr>
        <w:pStyle w:val="ListBulletLast"/>
        <w:ind w:left="284" w:hanging="284"/>
      </w:pPr>
      <w:r w:rsidRPr="00B53F89">
        <w:t>implement</w:t>
      </w:r>
      <w:r w:rsidR="00A30790" w:rsidRPr="00B53F89">
        <w:t>ing</w:t>
      </w:r>
      <w:r w:rsidRPr="00B53F89">
        <w:t xml:space="preserve"> the </w:t>
      </w:r>
      <w:r w:rsidR="002C6A94" w:rsidRPr="00B53F89">
        <w:t>existing</w:t>
      </w:r>
      <w:r w:rsidRPr="00B53F89">
        <w:t xml:space="preserve"> planning decision to make additional spectrum available for mobile broadband in the 850 MHz expansion band</w:t>
      </w:r>
      <w:r w:rsidR="00BB4FBE" w:rsidRPr="00B53F89">
        <w:t xml:space="preserve"> (809–824 MHz and 854–869 MHz)</w:t>
      </w:r>
      <w:r w:rsidRPr="00B53F89">
        <w:t xml:space="preserve">. </w:t>
      </w:r>
    </w:p>
    <w:p w14:paraId="208491AB" w14:textId="77777777" w:rsidR="001C7338" w:rsidRPr="00B53F89" w:rsidRDefault="001C7338" w:rsidP="00EB7555">
      <w:pPr>
        <w:pStyle w:val="Heading5"/>
        <w:keepNext w:val="0"/>
      </w:pPr>
      <w:r w:rsidRPr="00B53F89">
        <w:t>Mid-band spectrum</w:t>
      </w:r>
    </w:p>
    <w:p w14:paraId="18D50864" w14:textId="22F8F13F" w:rsidR="00924191" w:rsidRPr="00B53F89" w:rsidRDefault="00512E30">
      <w:r w:rsidRPr="00B53F89">
        <w:t>The mid</w:t>
      </w:r>
      <w:r w:rsidR="002C6A94" w:rsidRPr="00B53F89">
        <w:t>-</w:t>
      </w:r>
      <w:r w:rsidRPr="00B53F89">
        <w:t xml:space="preserve">band between 1 and 6 GHz </w:t>
      </w:r>
      <w:r w:rsidR="00621AD3" w:rsidRPr="00B53F89">
        <w:t xml:space="preserve">is </w:t>
      </w:r>
      <w:r w:rsidRPr="00B53F89">
        <w:t>currently the focus of near</w:t>
      </w:r>
      <w:r w:rsidR="002C6A94" w:rsidRPr="00B53F89">
        <w:t>-</w:t>
      </w:r>
      <w:r w:rsidRPr="00B53F89">
        <w:t>term 5G deployments</w:t>
      </w:r>
      <w:r w:rsidR="000E7EAE">
        <w:t xml:space="preserve">. </w:t>
      </w:r>
      <w:r w:rsidR="001E15CA">
        <w:t>In Australia</w:t>
      </w:r>
      <w:r w:rsidR="00A97546">
        <w:t>,</w:t>
      </w:r>
      <w:r w:rsidR="001E15CA">
        <w:t xml:space="preserve"> the 3400</w:t>
      </w:r>
      <w:r w:rsidR="002A241C">
        <w:t>–</w:t>
      </w:r>
      <w:r w:rsidR="001E15CA">
        <w:t xml:space="preserve">3700 MHz band has been made available for </w:t>
      </w:r>
      <w:r w:rsidR="002A241C">
        <w:t xml:space="preserve">this </w:t>
      </w:r>
      <w:r w:rsidR="001E15CA">
        <w:t xml:space="preserve">use. </w:t>
      </w:r>
    </w:p>
    <w:p w14:paraId="3FAFB1CE" w14:textId="4A72A7DC" w:rsidR="00F850E7" w:rsidRPr="00B53F89" w:rsidRDefault="0094390D" w:rsidP="00D7755E">
      <w:r w:rsidRPr="00B53F89">
        <w:t>T</w:t>
      </w:r>
      <w:r w:rsidR="00512E30" w:rsidRPr="00B53F89">
        <w:t xml:space="preserve">he ACMA </w:t>
      </w:r>
      <w:r w:rsidR="00813809" w:rsidRPr="00B53F89">
        <w:t xml:space="preserve">also </w:t>
      </w:r>
      <w:r w:rsidR="00512E30" w:rsidRPr="00B53F89">
        <w:t xml:space="preserve">sees a major opportunity for efficiency gains through the defragmentation of the current </w:t>
      </w:r>
      <w:r w:rsidR="00EE3C7B" w:rsidRPr="00B53F89">
        <w:t>3400–3575 MHz</w:t>
      </w:r>
      <w:r w:rsidR="0026479C" w:rsidRPr="00B53F89">
        <w:t xml:space="preserve"> </w:t>
      </w:r>
      <w:r w:rsidR="00DA6A5B" w:rsidRPr="00B53F89">
        <w:t>frequency range</w:t>
      </w:r>
      <w:r w:rsidR="00512E30" w:rsidRPr="00B53F89">
        <w:t>.</w:t>
      </w:r>
      <w:r w:rsidR="000E7EAE">
        <w:t xml:space="preserve"> </w:t>
      </w:r>
      <w:r w:rsidR="001E15CA">
        <w:t>Work is underway to implement this</w:t>
      </w:r>
      <w:r w:rsidR="002A241C">
        <w:t>, which</w:t>
      </w:r>
      <w:r w:rsidR="00512E30" w:rsidRPr="00B53F89" w:rsidDel="000E7EAE">
        <w:t xml:space="preserve"> </w:t>
      </w:r>
      <w:r w:rsidR="00512E30" w:rsidRPr="00B53F89">
        <w:t xml:space="preserve">will require both industry commitment and ACMA assistance to achieve. </w:t>
      </w:r>
      <w:r w:rsidR="00273BF7" w:rsidRPr="00B53F89">
        <w:t xml:space="preserve">As well as </w:t>
      </w:r>
      <w:r w:rsidR="00863342" w:rsidRPr="00B53F89">
        <w:t>the 1.</w:t>
      </w:r>
      <w:r w:rsidR="002C6A94" w:rsidRPr="00B53F89">
        <w:t>5 </w:t>
      </w:r>
      <w:r w:rsidR="00863342" w:rsidRPr="00B53F89">
        <w:t>GHz band</w:t>
      </w:r>
      <w:r w:rsidR="0026479C" w:rsidRPr="00B53F89">
        <w:t xml:space="preserve"> (1427–1518 MHz),</w:t>
      </w:r>
      <w:r w:rsidR="00863342" w:rsidRPr="00B53F89">
        <w:t xml:space="preserve"> there are several other potential areas of investigation in the mid</w:t>
      </w:r>
      <w:r w:rsidR="002C6A94" w:rsidRPr="00B53F89">
        <w:t>-</w:t>
      </w:r>
      <w:r w:rsidR="00863342" w:rsidRPr="00B53F89">
        <w:t xml:space="preserve">bands. </w:t>
      </w:r>
      <w:r w:rsidR="005E1451" w:rsidRPr="00B53F89">
        <w:t>Some stakeholders have indicated interest in planning for private LTE networks in mid-band spectrum</w:t>
      </w:r>
      <w:r w:rsidR="00990D9B" w:rsidRPr="00B53F89">
        <w:t>,</w:t>
      </w:r>
      <w:r w:rsidR="005E1451" w:rsidRPr="00B53F89">
        <w:t xml:space="preserve"> such as 1.5 GHz.</w:t>
      </w:r>
    </w:p>
    <w:p w14:paraId="5244FEA2" w14:textId="1F99113F" w:rsidR="009D12BF" w:rsidRDefault="00231649" w:rsidP="001E15CA">
      <w:r w:rsidRPr="00B53F89">
        <w:t xml:space="preserve">Spectrum </w:t>
      </w:r>
      <w:r w:rsidR="00F850E7" w:rsidRPr="00B53F89">
        <w:t>in the 3</w:t>
      </w:r>
      <w:r w:rsidR="00EE3C7B" w:rsidRPr="00B53F89">
        <w:t>700–4200</w:t>
      </w:r>
      <w:r w:rsidR="00F850E7" w:rsidRPr="00B53F89">
        <w:t xml:space="preserve"> </w:t>
      </w:r>
      <w:r w:rsidR="00EE3C7B" w:rsidRPr="00B53F89">
        <w:t>M</w:t>
      </w:r>
      <w:r w:rsidR="00F850E7" w:rsidRPr="00B53F89">
        <w:t xml:space="preserve">Hz </w:t>
      </w:r>
      <w:r w:rsidR="00E66711" w:rsidRPr="00B53F89">
        <w:t>band</w:t>
      </w:r>
      <w:r w:rsidR="00F850E7" w:rsidRPr="00B53F89">
        <w:t xml:space="preserve"> </w:t>
      </w:r>
      <w:r w:rsidRPr="00B53F89">
        <w:t xml:space="preserve">has been the subject of considerable interest </w:t>
      </w:r>
      <w:r w:rsidR="00376D57" w:rsidRPr="00B53F89">
        <w:t xml:space="preserve">internationally as well as domestically from large </w:t>
      </w:r>
      <w:r w:rsidR="0010283C" w:rsidRPr="00B53F89">
        <w:t>mobile network operators (</w:t>
      </w:r>
      <w:r w:rsidR="00376D57" w:rsidRPr="00B53F89">
        <w:t>MNOs</w:t>
      </w:r>
      <w:r w:rsidR="0010283C" w:rsidRPr="00B53F89">
        <w:t>)</w:t>
      </w:r>
      <w:r w:rsidR="00376D57" w:rsidRPr="00B53F89">
        <w:t xml:space="preserve"> and </w:t>
      </w:r>
      <w:r w:rsidR="00AB5442" w:rsidRPr="00B53F89">
        <w:t xml:space="preserve">FWA operators (such as </w:t>
      </w:r>
      <w:r w:rsidR="00376D57" w:rsidRPr="00B53F89">
        <w:t>WISP</w:t>
      </w:r>
      <w:r w:rsidR="00E7016E" w:rsidRPr="00B53F89">
        <w:t>s</w:t>
      </w:r>
      <w:r w:rsidR="00AB5442" w:rsidRPr="00B53F89">
        <w:t>)</w:t>
      </w:r>
      <w:r w:rsidR="00DA7873" w:rsidRPr="00B53F89">
        <w:t>,</w:t>
      </w:r>
      <w:r w:rsidRPr="00B53F89">
        <w:t xml:space="preserve"> with </w:t>
      </w:r>
      <w:r w:rsidR="00924191" w:rsidRPr="00B53F89">
        <w:t>several</w:t>
      </w:r>
      <w:r w:rsidRPr="00B53F89">
        <w:t xml:space="preserve"> processes </w:t>
      </w:r>
      <w:r w:rsidR="00F850E7" w:rsidRPr="00B53F89">
        <w:t xml:space="preserve">underway considering arrangements in the band. </w:t>
      </w:r>
      <w:r w:rsidR="006E6FB1" w:rsidRPr="00B53F89">
        <w:t xml:space="preserve">The </w:t>
      </w:r>
      <w:r w:rsidR="00F850E7" w:rsidRPr="00B53F89">
        <w:t xml:space="preserve">ACMA </w:t>
      </w:r>
      <w:r w:rsidR="006E6FB1" w:rsidRPr="00B53F89">
        <w:t>is paying close attention to the g</w:t>
      </w:r>
      <w:r w:rsidR="00F850E7" w:rsidRPr="00B53F89">
        <w:t xml:space="preserve">lobal </w:t>
      </w:r>
      <w:r w:rsidR="006E6FB1" w:rsidRPr="00B53F89">
        <w:t xml:space="preserve">environment in this band </w:t>
      </w:r>
      <w:r w:rsidR="00F850E7" w:rsidRPr="00B53F89">
        <w:t xml:space="preserve">and </w:t>
      </w:r>
      <w:r w:rsidR="00CF189A" w:rsidRPr="00B53F89">
        <w:t>has release</w:t>
      </w:r>
      <w:r w:rsidR="00E022B4" w:rsidRPr="00B53F89">
        <w:t>d</w:t>
      </w:r>
      <w:r w:rsidR="0009789D" w:rsidRPr="00B53F89">
        <w:t xml:space="preserve"> </w:t>
      </w:r>
      <w:r w:rsidR="00737022">
        <w:t xml:space="preserve">an options </w:t>
      </w:r>
      <w:r w:rsidR="0009789D" w:rsidRPr="00B53F89">
        <w:t>paper to</w:t>
      </w:r>
      <w:r w:rsidR="00FD13E4" w:rsidRPr="00B53F89">
        <w:t xml:space="preserve"> </w:t>
      </w:r>
      <w:r w:rsidR="001A47A1" w:rsidRPr="00B53F89">
        <w:t xml:space="preserve">review </w:t>
      </w:r>
      <w:r w:rsidR="007C3770">
        <w:t>planning</w:t>
      </w:r>
      <w:r w:rsidR="001A47A1" w:rsidRPr="00B53F89">
        <w:t xml:space="preserve"> arrangements in the </w:t>
      </w:r>
      <w:r w:rsidR="004D1B59" w:rsidRPr="00B53F89">
        <w:t>3</w:t>
      </w:r>
      <w:r w:rsidR="00EE3C7B" w:rsidRPr="00B53F89">
        <w:t>700–4200</w:t>
      </w:r>
      <w:r w:rsidR="001A47A1" w:rsidRPr="00B53F89">
        <w:t xml:space="preserve"> </w:t>
      </w:r>
      <w:r w:rsidR="00EE3C7B" w:rsidRPr="00B53F89">
        <w:t>M</w:t>
      </w:r>
      <w:r w:rsidR="001A47A1" w:rsidRPr="00B53F89">
        <w:t>Hz band</w:t>
      </w:r>
      <w:r w:rsidR="00365525" w:rsidRPr="00B53F89">
        <w:t>,</w:t>
      </w:r>
      <w:r w:rsidR="001A47A1" w:rsidRPr="00B53F89">
        <w:t xml:space="preserve"> which is discussed </w:t>
      </w:r>
      <w:r w:rsidR="00D20753" w:rsidRPr="00B53F89">
        <w:t>in Part 2</w:t>
      </w:r>
      <w:r w:rsidR="00F850E7" w:rsidRPr="00B53F89">
        <w:t>.</w:t>
      </w:r>
    </w:p>
    <w:p w14:paraId="3BE95BAD" w14:textId="5744C87B" w:rsidR="00863342" w:rsidRPr="00B53F89" w:rsidRDefault="000E7EAE" w:rsidP="005C2495">
      <w:r w:rsidRPr="00B53F89">
        <w:lastRenderedPageBreak/>
        <w:t xml:space="preserve">In addition to the planning and allocation activities currently underway, the ACMA continues to monitor several other bands for possible replanning for 5G wireless </w:t>
      </w:r>
      <w:r w:rsidRPr="0075739E">
        <w:t xml:space="preserve">broadband services. The bands are identified in the </w:t>
      </w:r>
      <w:r w:rsidRPr="00513FDE">
        <w:rPr>
          <w:i/>
          <w:iCs/>
        </w:rPr>
        <w:t>Monitoring</w:t>
      </w:r>
      <w:r w:rsidR="0075739E">
        <w:rPr>
          <w:i/>
          <w:iCs/>
        </w:rPr>
        <w:t xml:space="preserve"> </w:t>
      </w:r>
      <w:r w:rsidRPr="0075739E">
        <w:t xml:space="preserve">section of Part 2 (see </w:t>
      </w:r>
      <w:r w:rsidRPr="00513FDE">
        <w:rPr>
          <w:i/>
          <w:iCs/>
        </w:rPr>
        <w:t>Bands being studied under WRC-</w:t>
      </w:r>
      <w:r w:rsidR="000C51E2" w:rsidRPr="00513FDE">
        <w:rPr>
          <w:i/>
          <w:iCs/>
        </w:rPr>
        <w:t>23</w:t>
      </w:r>
      <w:r w:rsidRPr="00513FDE">
        <w:rPr>
          <w:i/>
          <w:iCs/>
        </w:rPr>
        <w:t xml:space="preserve"> agenda item 1.2</w:t>
      </w:r>
      <w:r w:rsidRPr="0075739E">
        <w:t xml:space="preserve"> and </w:t>
      </w:r>
      <w:r w:rsidR="0075739E" w:rsidRPr="00513FDE">
        <w:rPr>
          <w:i/>
          <w:iCs/>
        </w:rPr>
        <w:t xml:space="preserve">Bands being studied under WRC-23 agenda item </w:t>
      </w:r>
      <w:r w:rsidRPr="00513FDE">
        <w:rPr>
          <w:i/>
          <w:iCs/>
        </w:rPr>
        <w:t>1.4</w:t>
      </w:r>
      <w:r w:rsidRPr="00B53F89">
        <w:t xml:space="preserve">). </w:t>
      </w:r>
    </w:p>
    <w:p w14:paraId="026ED8FD" w14:textId="77777777" w:rsidR="001E15CA" w:rsidRPr="00B53F89" w:rsidRDefault="001E15CA" w:rsidP="00EB7555">
      <w:pPr>
        <w:pStyle w:val="Heading5"/>
        <w:keepNext w:val="0"/>
      </w:pPr>
      <w:r w:rsidRPr="00B53F89">
        <w:t>High-band spectrum</w:t>
      </w:r>
    </w:p>
    <w:p w14:paraId="71870CEB" w14:textId="04CBF1F3" w:rsidR="001E15CA" w:rsidRPr="00B53F89" w:rsidRDefault="001E15CA" w:rsidP="001E15CA">
      <w:r w:rsidRPr="00B53F89">
        <w:t xml:space="preserve">The ACMA’s consideration of high-band spectrum for wireless broadband is focused on the mmWave in the bands above 24 GHz. </w:t>
      </w:r>
      <w:r>
        <w:t xml:space="preserve">The ACMA is developing arrangements for fixed and mobile wireless broadband in the </w:t>
      </w:r>
      <w:r w:rsidRPr="00B53F89">
        <w:t>26 and 28 GHz bands</w:t>
      </w:r>
      <w:r>
        <w:t>.</w:t>
      </w:r>
      <w:r w:rsidRPr="00B53F89">
        <w:t xml:space="preserve"> </w:t>
      </w:r>
    </w:p>
    <w:p w14:paraId="65077740" w14:textId="072D9213" w:rsidR="00697191" w:rsidRDefault="00697191" w:rsidP="00FA7446">
      <w:r>
        <w:t>T</w:t>
      </w:r>
      <w:r w:rsidR="00A2287E">
        <w:t xml:space="preserve">he ACMA </w:t>
      </w:r>
      <w:r w:rsidR="003469DC">
        <w:t xml:space="preserve">will also continue to monitor </w:t>
      </w:r>
      <w:r>
        <w:t xml:space="preserve">the following bands that </w:t>
      </w:r>
      <w:r w:rsidR="00A2287E">
        <w:t>were identified for IMT at WRC-19</w:t>
      </w:r>
      <w:r w:rsidR="002A241C">
        <w:t>—</w:t>
      </w:r>
      <w:r>
        <w:t xml:space="preserve">40 GHz, 46 GHz </w:t>
      </w:r>
      <w:r w:rsidR="008F2FD1">
        <w:t xml:space="preserve">(mainly in Region 1 countries) </w:t>
      </w:r>
      <w:r>
        <w:t xml:space="preserve">and 47 GHz. </w:t>
      </w:r>
      <w:r w:rsidR="003469DC">
        <w:t>Of these</w:t>
      </w:r>
      <w:r w:rsidR="002A241C">
        <w:t>,</w:t>
      </w:r>
      <w:r w:rsidR="003469DC">
        <w:t xml:space="preserve"> the </w:t>
      </w:r>
      <w:r w:rsidR="002A241C">
        <w:t>40 </w:t>
      </w:r>
      <w:r w:rsidR="003469DC">
        <w:t xml:space="preserve">GHz and 47 GHz bands are the most mature in terms of </w:t>
      </w:r>
      <w:r w:rsidR="003469DC" w:rsidRPr="00B53F89">
        <w:t xml:space="preserve">standardisation </w:t>
      </w:r>
      <w:r w:rsidR="003469DC">
        <w:t>and equipment availability</w:t>
      </w:r>
      <w:r w:rsidR="003469DC" w:rsidRPr="00B53F89">
        <w:t>.</w:t>
      </w:r>
      <w:r w:rsidR="003469DC">
        <w:t xml:space="preserve"> </w:t>
      </w:r>
    </w:p>
    <w:p w14:paraId="77009FCC" w14:textId="7DE8C3B4" w:rsidR="001E15CA" w:rsidRDefault="001E15CA" w:rsidP="006E13BF">
      <w:r>
        <w:t>T</w:t>
      </w:r>
      <w:r w:rsidRPr="00B53F89">
        <w:t xml:space="preserve">he ACMA acknowledges that </w:t>
      </w:r>
      <w:r>
        <w:t>the 40</w:t>
      </w:r>
      <w:r w:rsidRPr="00B53F89">
        <w:t xml:space="preserve"> GHz</w:t>
      </w:r>
      <w:r>
        <w:t xml:space="preserve"> and 47 GHz bands</w:t>
      </w:r>
      <w:r w:rsidRPr="00B53F89">
        <w:t xml:space="preserve"> </w:t>
      </w:r>
      <w:r>
        <w:t>are</w:t>
      </w:r>
      <w:r w:rsidRPr="00B53F89">
        <w:t xml:space="preserve"> of significant interest for both terrestrial 5G and satellite broadband services—the United States (</w:t>
      </w:r>
      <w:r w:rsidRPr="0075739E">
        <w:t>US</w:t>
      </w:r>
      <w:r w:rsidRPr="00B53F89">
        <w:t xml:space="preserve">), for example, has established arrangements supporting both services. The ACMA will consider global trends and local circumstances, including domestic and international take-up of mmWave 5G services, in determining whether replanning for possible 5G in the </w:t>
      </w:r>
      <w:r>
        <w:t>40 and 47</w:t>
      </w:r>
      <w:r w:rsidRPr="00B53F89">
        <w:t xml:space="preserve"> GHz band</w:t>
      </w:r>
      <w:r>
        <w:t>s</w:t>
      </w:r>
      <w:r w:rsidRPr="00B53F89">
        <w:t xml:space="preserve"> is appropriate. The ACMA notes that </w:t>
      </w:r>
      <w:r>
        <w:t>the best spectrum management outcomes are likely to be achieved when both bands are considered simultaneously</w:t>
      </w:r>
      <w:r w:rsidRPr="00B53F89">
        <w:t>.</w:t>
      </w:r>
    </w:p>
    <w:p w14:paraId="71D4D6EF" w14:textId="51F07D2B" w:rsidR="00B514B8" w:rsidRPr="00B53F89" w:rsidRDefault="00465725" w:rsidP="00EB7555">
      <w:pPr>
        <w:spacing w:before="60" w:after="0"/>
      </w:pPr>
      <w:bookmarkStart w:id="141" w:name="_Hlk36800418"/>
      <w:r w:rsidRPr="006A2F04">
        <w:rPr>
          <w:noProof/>
        </w:rPr>
        <w:drawing>
          <wp:inline distT="0" distB="0" distL="0" distR="0" wp14:anchorId="2546BDA2" wp14:editId="25E5B11E">
            <wp:extent cx="341630" cy="359410"/>
            <wp:effectExtent l="0" t="0" r="1270" b="2540"/>
            <wp:docPr id="109" name="Picture 109"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00311094" w:rsidRPr="006A2F04">
        <w:rPr>
          <w:noProof/>
        </w:rPr>
        <w:drawing>
          <wp:inline distT="0" distB="0" distL="0" distR="0" wp14:anchorId="532B6B0C" wp14:editId="43B69F20">
            <wp:extent cx="342900" cy="361950"/>
            <wp:effectExtent l="0" t="0" r="0" b="0"/>
            <wp:docPr id="8" name="Picture 8" descr="Class licens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ass licensing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311094" w:rsidRPr="006A2F04">
        <w:rPr>
          <w:noProof/>
        </w:rPr>
        <w:drawing>
          <wp:inline distT="0" distB="0" distL="0" distR="0" wp14:anchorId="6CEFB1E5" wp14:editId="42889F98">
            <wp:extent cx="342900" cy="361950"/>
            <wp:effectExtent l="0" t="0" r="0" b="0"/>
            <wp:docPr id="9" name="Picture 9" descr="Internet of Thing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nternet of Things ico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E17E82" w:rsidRPr="006A2F04">
        <w:rPr>
          <w:noProof/>
        </w:rPr>
        <w:drawing>
          <wp:inline distT="0" distB="0" distL="0" distR="0" wp14:anchorId="298251A0" wp14:editId="078224B8">
            <wp:extent cx="342900" cy="361950"/>
            <wp:effectExtent l="0" t="0" r="0" b="0"/>
            <wp:docPr id="16" name="Picture 16"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4A535AF7" w14:textId="1B85D6D9" w:rsidR="0047696E" w:rsidRDefault="00776BF2" w:rsidP="00EB7555">
      <w:pPr>
        <w:pStyle w:val="Heading3"/>
        <w:keepNext w:val="0"/>
      </w:pPr>
      <w:bookmarkStart w:id="142" w:name="_Toc31892778"/>
      <w:bookmarkStart w:id="143" w:name="_Toc36207398"/>
      <w:bookmarkStart w:id="144" w:name="_Toc38987151"/>
      <w:r>
        <w:t>Priv</w:t>
      </w:r>
      <w:r w:rsidR="00E90150">
        <w:t>at</w:t>
      </w:r>
      <w:r>
        <w:t>e/</w:t>
      </w:r>
      <w:r w:rsidR="00EB7555">
        <w:t xml:space="preserve">industry </w:t>
      </w:r>
      <w:r>
        <w:t>vertical networks</w:t>
      </w:r>
      <w:bookmarkEnd w:id="142"/>
      <w:bookmarkEnd w:id="143"/>
      <w:bookmarkEnd w:id="144"/>
    </w:p>
    <w:p w14:paraId="757E2F98" w14:textId="73EE169A" w:rsidR="003255DA" w:rsidRDefault="00321721" w:rsidP="00513FDE">
      <w:pPr>
        <w:pStyle w:val="Paragraphbeforelist"/>
      </w:pPr>
      <w:r w:rsidRPr="00776BF2">
        <w:t xml:space="preserve">Private or integrated networks are expected to become more popular with </w:t>
      </w:r>
      <w:r w:rsidR="00D153E0">
        <w:t xml:space="preserve">the increased availability of </w:t>
      </w:r>
      <w:r w:rsidR="003A3B70">
        <w:t>l</w:t>
      </w:r>
      <w:r w:rsidR="00EB7555">
        <w:t>ong</w:t>
      </w:r>
      <w:r w:rsidR="003A3B70">
        <w:t>-t</w:t>
      </w:r>
      <w:r w:rsidR="00EB7555">
        <w:t xml:space="preserve">erm </w:t>
      </w:r>
      <w:r w:rsidR="003A3B70">
        <w:t>e</w:t>
      </w:r>
      <w:r w:rsidR="00EB7555">
        <w:t>volution (</w:t>
      </w:r>
      <w:r w:rsidRPr="00776BF2">
        <w:t>LTE</w:t>
      </w:r>
      <w:r w:rsidR="00EB7555">
        <w:t>)</w:t>
      </w:r>
      <w:r w:rsidRPr="00776BF2">
        <w:t xml:space="preserve"> </w:t>
      </w:r>
      <w:r w:rsidR="003A3B70">
        <w:t>a</w:t>
      </w:r>
      <w:r w:rsidRPr="00776BF2">
        <w:t xml:space="preserve">dvanced </w:t>
      </w:r>
      <w:r w:rsidR="003A3B70">
        <w:t>p</w:t>
      </w:r>
      <w:r w:rsidRPr="00776BF2">
        <w:t xml:space="preserve">ro and 5G technologies. </w:t>
      </w:r>
      <w:r w:rsidR="003255DA">
        <w:t>SNS Telecom &amp; IT</w:t>
      </w:r>
      <w:r w:rsidR="003E723F">
        <w:rPr>
          <w:rStyle w:val="FootnoteReference"/>
        </w:rPr>
        <w:footnoteReference w:id="14"/>
      </w:r>
      <w:r w:rsidR="00D153E0">
        <w:t>:</w:t>
      </w:r>
    </w:p>
    <w:bookmarkEnd w:id="141"/>
    <w:p w14:paraId="04F4D6D4" w14:textId="565A2539" w:rsidR="003255DA" w:rsidRDefault="003255DA" w:rsidP="00EB7555">
      <w:pPr>
        <w:pStyle w:val="ListBullet"/>
        <w:keepNext w:val="0"/>
        <w:keepLines w:val="0"/>
        <w:ind w:left="284" w:hanging="284"/>
      </w:pPr>
      <w:r>
        <w:t xml:space="preserve">observes that the </w:t>
      </w:r>
      <w:r w:rsidRPr="00266D60">
        <w:t>private LTE network submarket is well-established with operational deployments across multiple segments of the critical communications and industrial IoT industr</w:t>
      </w:r>
      <w:r w:rsidR="002A241C">
        <w:t>ies</w:t>
      </w:r>
      <w:r w:rsidRPr="00266D60">
        <w:t>, as well as enterprise buildings, campuses and public venues</w:t>
      </w:r>
    </w:p>
    <w:p w14:paraId="3FE23930" w14:textId="2CC505AF" w:rsidR="003255DA" w:rsidRDefault="003255DA" w:rsidP="00EB7555">
      <w:pPr>
        <w:pStyle w:val="ListBullet"/>
        <w:keepNext w:val="0"/>
        <w:keepLines w:val="0"/>
        <w:ind w:left="284" w:hanging="284"/>
      </w:pPr>
      <w:r>
        <w:t>expe</w:t>
      </w:r>
      <w:r w:rsidR="002236BB">
        <w:t>c</w:t>
      </w:r>
      <w:r>
        <w:t>ts private networks</w:t>
      </w:r>
      <w:r w:rsidRPr="00266D60">
        <w:t xml:space="preserve"> to continue their upward trajectory beyond 2020, with a spate of ongoing and planned network rollouts</w:t>
      </w:r>
      <w:r w:rsidR="002A241C">
        <w:t>—</w:t>
      </w:r>
      <w:r w:rsidRPr="00266D60">
        <w:t xml:space="preserve">from nationwide public safety broadband networks to </w:t>
      </w:r>
      <w:r>
        <w:t xml:space="preserve">various </w:t>
      </w:r>
      <w:r w:rsidRPr="00266D60">
        <w:t>usage scenarios</w:t>
      </w:r>
    </w:p>
    <w:p w14:paraId="64B8CCCA" w14:textId="1D77D235" w:rsidR="003255DA" w:rsidRDefault="003255DA" w:rsidP="00EB7555">
      <w:pPr>
        <w:pStyle w:val="ListBullet"/>
        <w:keepNext w:val="0"/>
        <w:keepLines w:val="0"/>
        <w:ind w:left="284" w:hanging="284"/>
      </w:pPr>
      <w:r>
        <w:t>identifies several key challenges including the smaller cell sizes when compared with legacy networks (</w:t>
      </w:r>
      <w:r w:rsidR="002A241C">
        <w:t>for example,</w:t>
      </w:r>
      <w:r>
        <w:t xml:space="preserve"> L</w:t>
      </w:r>
      <w:r w:rsidR="00421E5B">
        <w:t>and Mobile Radio (</w:t>
      </w:r>
      <w:r>
        <w:t>LMR</w:t>
      </w:r>
      <w:r w:rsidR="00421E5B">
        <w:t>)</w:t>
      </w:r>
      <w:r>
        <w:t xml:space="preserve"> systems), funding </w:t>
      </w:r>
      <w:r w:rsidR="00474615">
        <w:t>uncertainties, competing technologies and evolving standards environment</w:t>
      </w:r>
    </w:p>
    <w:p w14:paraId="20953FDF" w14:textId="5B52E714" w:rsidR="003255DA" w:rsidRDefault="003255DA" w:rsidP="003255DA">
      <w:pPr>
        <w:pStyle w:val="ListBulletLast"/>
        <w:ind w:left="284" w:hanging="284"/>
      </w:pPr>
      <w:r>
        <w:t>made a pre-COVID-19 projection that private network revenues for the Asia</w:t>
      </w:r>
      <w:r w:rsidR="002A241C">
        <w:t>–</w:t>
      </w:r>
      <w:r>
        <w:t xml:space="preserve">Pacific </w:t>
      </w:r>
      <w:r w:rsidR="00474615">
        <w:t xml:space="preserve">would reach </w:t>
      </w:r>
      <w:r>
        <w:t>$12.2 billion in revenues by 2030.</w:t>
      </w:r>
      <w:r w:rsidRPr="00776BF2">
        <w:t xml:space="preserve"> </w:t>
      </w:r>
    </w:p>
    <w:p w14:paraId="78568DC4" w14:textId="2212C0E0" w:rsidR="00321721" w:rsidRDefault="00321721" w:rsidP="00321721">
      <w:r w:rsidRPr="00776BF2">
        <w:t xml:space="preserve">Other industries where standalone networks have been used include manufacturing, transportation, airports, utilities, primary </w:t>
      </w:r>
      <w:r w:rsidR="002A241C" w:rsidRPr="00776BF2">
        <w:t>industries,</w:t>
      </w:r>
      <w:r>
        <w:t xml:space="preserve"> and</w:t>
      </w:r>
      <w:r w:rsidRPr="00776BF2">
        <w:t xml:space="preserve"> stadiums. Ericsson identifies the two main drivers for growth in private networks as the need for modernising land </w:t>
      </w:r>
      <w:r w:rsidRPr="00776BF2">
        <w:lastRenderedPageBreak/>
        <w:t>mobile radio systems (</w:t>
      </w:r>
      <w:r>
        <w:t>for example,</w:t>
      </w:r>
      <w:r w:rsidRPr="00776BF2">
        <w:t xml:space="preserve"> taxis, trains, ambulances) and industry digit</w:t>
      </w:r>
      <w:r w:rsidR="00421E5B">
        <w:t>ali</w:t>
      </w:r>
      <w:r w:rsidRPr="00776BF2">
        <w:t>sation.</w:t>
      </w:r>
      <w:r w:rsidRPr="00776BF2">
        <w:rPr>
          <w:vertAlign w:val="superscript"/>
        </w:rPr>
        <w:footnoteReference w:id="15"/>
      </w:r>
      <w:r w:rsidRPr="00776BF2">
        <w:t xml:space="preserve"> </w:t>
      </w:r>
    </w:p>
    <w:p w14:paraId="2B897E2F" w14:textId="0A33E568" w:rsidR="00321721" w:rsidRPr="00776BF2" w:rsidRDefault="00321721" w:rsidP="0075739E">
      <w:pPr>
        <w:pStyle w:val="Paragraphbeforelist"/>
      </w:pPr>
      <w:r w:rsidRPr="00776BF2">
        <w:t xml:space="preserve">Presently, </w:t>
      </w:r>
      <w:r w:rsidR="001061B2">
        <w:t>several</w:t>
      </w:r>
      <w:r w:rsidR="001061B2" w:rsidRPr="00776BF2">
        <w:t xml:space="preserve"> </w:t>
      </w:r>
      <w:r w:rsidR="00EB7555">
        <w:t>network deployment models are in use</w:t>
      </w:r>
      <w:r w:rsidR="00EB7555" w:rsidDel="00D26AF2">
        <w:t xml:space="preserve"> </w:t>
      </w:r>
      <w:r w:rsidRPr="00776BF2">
        <w:t xml:space="preserve">by </w:t>
      </w:r>
      <w:r>
        <w:t>industry operators</w:t>
      </w:r>
      <w:r w:rsidRPr="00776BF2">
        <w:t>:</w:t>
      </w:r>
    </w:p>
    <w:p w14:paraId="54BA8CCB" w14:textId="4020916E" w:rsidR="00776BF2" w:rsidRPr="00776BF2" w:rsidRDefault="001061B2" w:rsidP="0075739E">
      <w:pPr>
        <w:pStyle w:val="ListNumber"/>
        <w:numPr>
          <w:ilvl w:val="0"/>
          <w:numId w:val="284"/>
        </w:numPr>
      </w:pPr>
      <w:r>
        <w:t>U</w:t>
      </w:r>
      <w:r w:rsidR="00266D60" w:rsidRPr="00776BF2">
        <w:t xml:space="preserve">sing </w:t>
      </w:r>
      <w:r w:rsidR="00776BF2" w:rsidRPr="00776BF2">
        <w:t>their own equipment and class licensed spectrum to operate.</w:t>
      </w:r>
    </w:p>
    <w:p w14:paraId="13B818AC" w14:textId="5A7F9C63" w:rsidR="00321721" w:rsidRPr="00776BF2" w:rsidRDefault="00321721" w:rsidP="0075739E">
      <w:pPr>
        <w:pStyle w:val="ListNumber"/>
        <w:numPr>
          <w:ilvl w:val="0"/>
          <w:numId w:val="284"/>
        </w:numPr>
      </w:pPr>
      <w:r w:rsidRPr="00776BF2">
        <w:t>Using their own equipment and spectrum to run their own network (</w:t>
      </w:r>
      <w:r>
        <w:t>for example,</w:t>
      </w:r>
      <w:r w:rsidRPr="00776BF2">
        <w:t xml:space="preserve"> </w:t>
      </w:r>
      <w:r w:rsidR="001061B2">
        <w:t>public safety</w:t>
      </w:r>
      <w:r w:rsidRPr="00776BF2">
        <w:t xml:space="preserve">). </w:t>
      </w:r>
    </w:p>
    <w:p w14:paraId="1897388E" w14:textId="1C5368BF" w:rsidR="00321721" w:rsidRDefault="00321721" w:rsidP="0075739E">
      <w:pPr>
        <w:pStyle w:val="ListNumberLast"/>
      </w:pPr>
      <w:r w:rsidRPr="00776BF2">
        <w:t xml:space="preserve">Having a private network built </w:t>
      </w:r>
      <w:r w:rsidR="001061B2">
        <w:t xml:space="preserve">and designed </w:t>
      </w:r>
      <w:r w:rsidRPr="00776BF2">
        <w:t xml:space="preserve">by a </w:t>
      </w:r>
      <w:r w:rsidR="001061B2">
        <w:t>third party (for example</w:t>
      </w:r>
      <w:r w:rsidR="002A241C">
        <w:t>,</w:t>
      </w:r>
      <w:r w:rsidR="001061B2">
        <w:t xml:space="preserve"> a telecommunications company or network design business) with equipment sourced from vendors (for example</w:t>
      </w:r>
      <w:r w:rsidR="002A241C">
        <w:t>,</w:t>
      </w:r>
      <w:r w:rsidR="001061B2">
        <w:t xml:space="preserve"> base stations and core network</w:t>
      </w:r>
      <w:r w:rsidR="002A241C">
        <w:t xml:space="preserve">), </w:t>
      </w:r>
      <w:r w:rsidRPr="00776BF2">
        <w:t>which is separate to other mobile networks (</w:t>
      </w:r>
      <w:r w:rsidR="001061B2">
        <w:t>for example</w:t>
      </w:r>
      <w:r w:rsidR="002A241C">
        <w:t>,</w:t>
      </w:r>
      <w:r w:rsidR="001061B2">
        <w:t xml:space="preserve"> mining companies</w:t>
      </w:r>
      <w:r w:rsidRPr="00776BF2">
        <w:t>).</w:t>
      </w:r>
    </w:p>
    <w:p w14:paraId="5DF0D005" w14:textId="46E623A1" w:rsidR="00660F86" w:rsidRDefault="00660F86" w:rsidP="00660F86">
      <w:pPr>
        <w:pStyle w:val="Heading3"/>
      </w:pPr>
      <w:bookmarkStart w:id="145" w:name="_Toc38987152"/>
      <w:bookmarkStart w:id="146" w:name="_Toc36207399"/>
      <w:r w:rsidRPr="00B53F89">
        <w:t xml:space="preserve">Machine-to-machine communications and the </w:t>
      </w:r>
      <w:r w:rsidR="002A241C">
        <w:t>I</w:t>
      </w:r>
      <w:r w:rsidR="004E2657">
        <w:t>nternet of Things</w:t>
      </w:r>
      <w:bookmarkEnd w:id="145"/>
      <w:r w:rsidRPr="00B53F89">
        <w:t xml:space="preserve"> </w:t>
      </w:r>
      <w:bookmarkEnd w:id="146"/>
    </w:p>
    <w:p w14:paraId="7A692CCD" w14:textId="7D31EFF3" w:rsidR="00776BF2" w:rsidRPr="00776BF2" w:rsidRDefault="00776BF2" w:rsidP="00776BF2">
      <w:r w:rsidRPr="00776BF2">
        <w:t>A key element in several private networks to enable automated processes (</w:t>
      </w:r>
      <w:r w:rsidR="0018164A">
        <w:t>for example,</w:t>
      </w:r>
      <w:r w:rsidRPr="00776BF2">
        <w:t xml:space="preserve"> factories) is machine-to-machine (M2M) communications</w:t>
      </w:r>
      <w:r w:rsidR="00C16949">
        <w:rPr>
          <w:rStyle w:val="FootnoteReference"/>
        </w:rPr>
        <w:footnoteReference w:id="16"/>
      </w:r>
      <w:r w:rsidRPr="00776BF2">
        <w:t xml:space="preserve"> and IoT</w:t>
      </w:r>
      <w:r w:rsidR="00030C7E">
        <w:t>.</w:t>
      </w:r>
      <w:r w:rsidR="00C16949">
        <w:rPr>
          <w:rStyle w:val="FootnoteReference"/>
        </w:rPr>
        <w:footnoteReference w:id="17"/>
      </w:r>
      <w:r w:rsidRPr="00776BF2">
        <w:t xml:space="preserve"> </w:t>
      </w:r>
    </w:p>
    <w:p w14:paraId="22C37466" w14:textId="1F5BCE3C" w:rsidR="00321721" w:rsidRDefault="00321721" w:rsidP="00321721">
      <w:r w:rsidRPr="0075739E">
        <w:t>The</w:t>
      </w:r>
      <w:r w:rsidRPr="00B53F89">
        <w:t xml:space="preserve"> IoT </w:t>
      </w:r>
      <w:r>
        <w:t xml:space="preserve">also </w:t>
      </w:r>
      <w:r w:rsidRPr="00B53F89">
        <w:t xml:space="preserve">involves unprecedented numbers of wireless and wired interconnections of personal, consumer and industrial devices supporting a range of applications. </w:t>
      </w:r>
      <w:r w:rsidR="00827819" w:rsidRPr="00776BF2">
        <w:t xml:space="preserve">Ovum forecasts that the number of M2M subscriptions associated with </w:t>
      </w:r>
      <w:r w:rsidR="00827819">
        <w:t>Australian</w:t>
      </w:r>
      <w:r w:rsidR="00827819" w:rsidRPr="00776BF2">
        <w:t xml:space="preserve"> mobile network operators will increase from 4.3</w:t>
      </w:r>
      <w:r w:rsidR="002A241C">
        <w:t xml:space="preserve"> million in 2019</w:t>
      </w:r>
      <w:r w:rsidR="00827819" w:rsidRPr="00776BF2">
        <w:t xml:space="preserve"> to 5.4 million </w:t>
      </w:r>
      <w:r w:rsidR="002A241C">
        <w:t>in</w:t>
      </w:r>
      <w:r w:rsidR="00827819" w:rsidRPr="00776BF2">
        <w:t xml:space="preserve"> 2024.</w:t>
      </w:r>
      <w:r w:rsidR="00827819" w:rsidRPr="00776BF2">
        <w:rPr>
          <w:vertAlign w:val="superscript"/>
        </w:rPr>
        <w:footnoteReference w:id="18"/>
      </w:r>
      <w:r w:rsidR="00827819" w:rsidRPr="00776BF2">
        <w:t xml:space="preserve"> </w:t>
      </w:r>
    </w:p>
    <w:p w14:paraId="367AF7AD" w14:textId="0216FD8D" w:rsidR="00321721" w:rsidRPr="00776BF2" w:rsidRDefault="00321721" w:rsidP="00321721">
      <w:r w:rsidRPr="0075739E">
        <w:t>IoT</w:t>
      </w:r>
      <w:r>
        <w:t xml:space="preserve"> is</w:t>
      </w:r>
      <w:r w:rsidRPr="00B53F89">
        <w:t xml:space="preserve"> not limited to any specific technology platform and is likely to use frequency allocations across the entire spectrum. For example, 4G and 5G standards have made—or are in the process of making</w:t>
      </w:r>
      <w:r w:rsidRPr="0075739E">
        <w:t xml:space="preserve">—specific provisions for dedicated IoT service delivery, </w:t>
      </w:r>
      <w:r w:rsidR="00540A65">
        <w:t xml:space="preserve">and </w:t>
      </w:r>
      <w:r w:rsidRPr="0075739E">
        <w:t>dedicated terrestrial IoT technologies have been developed and deployed that usually utilise class-licensed bands.</w:t>
      </w:r>
    </w:p>
    <w:p w14:paraId="267C7301" w14:textId="77777777" w:rsidR="00321721" w:rsidRPr="00B53F89" w:rsidRDefault="00321721" w:rsidP="00321721">
      <w:r w:rsidRPr="00B53F89">
        <w:t xml:space="preserve">Devices providing industrial metering, switching and/or control (including smart infrastructure) are a subset of IoT communications technologies that have </w:t>
      </w:r>
      <w:r>
        <w:t>seen substantial deployments in</w:t>
      </w:r>
      <w:r w:rsidRPr="00B53F89">
        <w:t xml:space="preserve"> recent years. They require very low data rates and/or very low duty cycles and operate in low-power wide-area (</w:t>
      </w:r>
      <w:r w:rsidRPr="0075739E">
        <w:t>LPWA</w:t>
      </w:r>
      <w:r w:rsidRPr="00B53F89">
        <w:t>) networks.</w:t>
      </w:r>
      <w:r w:rsidRPr="00B53F89">
        <w:rPr>
          <w:rStyle w:val="FootnoteReference"/>
        </w:rPr>
        <w:footnoteReference w:id="19"/>
      </w:r>
      <w:r w:rsidRPr="00B53F89">
        <w:t xml:space="preserve"> An international market has emerged for LPWA networks and devices that operate in the 900 MHz band. </w:t>
      </w:r>
    </w:p>
    <w:p w14:paraId="0F54A7F6" w14:textId="77777777" w:rsidR="00A96482" w:rsidRPr="00B53F89" w:rsidRDefault="00321721" w:rsidP="00D7755E">
      <w:r>
        <w:t>In Australia, m</w:t>
      </w:r>
      <w:r w:rsidRPr="00776BF2">
        <w:t>obile network operators have positioned themselves in the Australian market to offer IoT and M2M services to customers</w:t>
      </w:r>
      <w:r>
        <w:t>. MNOs</w:t>
      </w:r>
      <w:r w:rsidR="00D16385" w:rsidRPr="00B53F89">
        <w:t xml:space="preserve"> have been deploying IoT-specific variants of the 4G standard</w:t>
      </w:r>
      <w:r w:rsidR="002C6A94" w:rsidRPr="00B53F89">
        <w:t>,</w:t>
      </w:r>
      <w:r w:rsidR="00D16385" w:rsidRPr="00B53F89">
        <w:t xml:space="preserve"> such as Narrowband IoT</w:t>
      </w:r>
      <w:r w:rsidR="00D16385" w:rsidRPr="00B53F89" w:rsidDel="006F4C38">
        <w:t xml:space="preserve"> </w:t>
      </w:r>
      <w:r w:rsidR="00D16385" w:rsidRPr="00B53F89">
        <w:t xml:space="preserve">and </w:t>
      </w:r>
      <w:r w:rsidR="004C110B" w:rsidRPr="00B53F89">
        <w:t xml:space="preserve">Category </w:t>
      </w:r>
      <w:r w:rsidR="00D16385" w:rsidRPr="00B53F89">
        <w:t>M1</w:t>
      </w:r>
      <w:r w:rsidR="004C110B" w:rsidRPr="00B53F89">
        <w:t xml:space="preserve">, commonly known as </w:t>
      </w:r>
      <w:r w:rsidR="00D16385" w:rsidRPr="00B53F89">
        <w:t>Cat-M1</w:t>
      </w:r>
      <w:r w:rsidR="00381F16" w:rsidRPr="00B53F89">
        <w:t>.</w:t>
      </w:r>
      <w:bookmarkStart w:id="147" w:name="_Toc494115153"/>
      <w:bookmarkStart w:id="148" w:name="_Toc509581803"/>
      <w:bookmarkStart w:id="149" w:name="_Toc509585119"/>
      <w:bookmarkStart w:id="150" w:name="_Toc509585655"/>
      <w:r w:rsidR="00BE7AFE" w:rsidRPr="00B53F89">
        <w:t xml:space="preserve"> </w:t>
      </w:r>
      <w:r w:rsidR="00A96482" w:rsidRPr="00B53F89">
        <w:t xml:space="preserve">In both cases services are, or </w:t>
      </w:r>
      <w:r w:rsidR="00D90F28" w:rsidRPr="00B53F89">
        <w:t xml:space="preserve">are expected to </w:t>
      </w:r>
      <w:r w:rsidR="00A96482" w:rsidRPr="00B53F89">
        <w:t xml:space="preserve">be, largely deployed </w:t>
      </w:r>
      <w:r w:rsidR="00D90F28" w:rsidRPr="00B53F89">
        <w:t xml:space="preserve">using </w:t>
      </w:r>
      <w:r w:rsidR="00A96482" w:rsidRPr="00B53F89">
        <w:t>existing spectrum management framework</w:t>
      </w:r>
      <w:r w:rsidR="00D90F28" w:rsidRPr="00B53F89">
        <w:t>s</w:t>
      </w:r>
      <w:r w:rsidR="00A96482" w:rsidRPr="00B53F89">
        <w:t xml:space="preserve"> and established bands.</w:t>
      </w:r>
    </w:p>
    <w:p w14:paraId="3DBC3D7E" w14:textId="6438AA42" w:rsidR="00375635" w:rsidRPr="00B53F89" w:rsidRDefault="00A96482" w:rsidP="00D7755E">
      <w:r w:rsidRPr="00B53F89">
        <w:t>Given the unique capabilities of satellite systems, for example in terms of coverage, multiple companies are delivering or pursuing new space</w:t>
      </w:r>
      <w:r w:rsidR="004C110B" w:rsidRPr="00B53F89">
        <w:t>-</w:t>
      </w:r>
      <w:r w:rsidRPr="00B53F89">
        <w:t>based IoT services</w:t>
      </w:r>
      <w:r w:rsidR="00875697" w:rsidRPr="00B53F89">
        <w:t>—</w:t>
      </w:r>
      <w:r w:rsidRPr="00B53F89">
        <w:t xml:space="preserve">in some cases enabled </w:t>
      </w:r>
      <w:r w:rsidR="00AA6EE0" w:rsidRPr="00B53F89">
        <w:t xml:space="preserve">through </w:t>
      </w:r>
      <w:r w:rsidRPr="00B53F89">
        <w:t xml:space="preserve">new small satellite technology. Some of these services are being pursued or delivered within established satellite bands </w:t>
      </w:r>
      <w:r w:rsidR="00A02AE2" w:rsidRPr="00B53F89">
        <w:t xml:space="preserve">in </w:t>
      </w:r>
      <w:r w:rsidRPr="00B53F89">
        <w:t xml:space="preserve">the existing </w:t>
      </w:r>
      <w:r w:rsidRPr="00B53F89">
        <w:lastRenderedPageBreak/>
        <w:t>regulatory framework. However</w:t>
      </w:r>
      <w:r w:rsidRPr="00B53F89" w:rsidDel="00EA6BBC">
        <w:t xml:space="preserve">, </w:t>
      </w:r>
      <w:r w:rsidRPr="00B53F89">
        <w:t>in some cases</w:t>
      </w:r>
      <w:r w:rsidR="00F95170" w:rsidRPr="00B53F89">
        <w:t>,</w:t>
      </w:r>
      <w:r w:rsidRPr="00B53F89">
        <w:t xml:space="preserve"> enabling satellite IoT </w:t>
      </w:r>
      <w:r w:rsidR="00EA6BBC" w:rsidRPr="00B53F89">
        <w:t xml:space="preserve">may require </w:t>
      </w:r>
      <w:r w:rsidRPr="00B53F89">
        <w:t>specific changes to the regulatory regime</w:t>
      </w:r>
      <w:r w:rsidR="00321721" w:rsidRPr="00B53F89">
        <w:t xml:space="preserve">. </w:t>
      </w:r>
    </w:p>
    <w:p w14:paraId="408EB3F6" w14:textId="25CBC7BE" w:rsidR="001B4FA5" w:rsidRDefault="001B4FA5" w:rsidP="00513FDE">
      <w:pPr>
        <w:pStyle w:val="ACMATableHeader"/>
      </w:pPr>
      <w:r>
        <w:t xml:space="preserve">Bands listed </w:t>
      </w:r>
      <w:r w:rsidRPr="0056521A">
        <w:t>in</w:t>
      </w:r>
      <w:r>
        <w:t xml:space="preserve"> the LIPD </w:t>
      </w:r>
      <w:r w:rsidR="0056521A">
        <w:t>c</w:t>
      </w:r>
      <w:r>
        <w:t xml:space="preserve">lass </w:t>
      </w:r>
      <w:r w:rsidR="0056521A">
        <w:t>l</w:t>
      </w:r>
      <w:r>
        <w:t>icence that currently support IoT</w:t>
      </w:r>
      <w:r w:rsidR="0056521A">
        <w:t xml:space="preserve"> </w:t>
      </w:r>
      <w:r>
        <w:t>services</w:t>
      </w:r>
    </w:p>
    <w:tbl>
      <w:tblPr>
        <w:tblStyle w:val="GridTable4-Accent1"/>
        <w:tblW w:w="8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05"/>
        <w:gridCol w:w="6442"/>
      </w:tblGrid>
      <w:tr w:rsidR="001B4FA5" w14:paraId="2F2D210D" w14:textId="77777777" w:rsidTr="00856C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404040" w:themeFill="text1" w:themeFillTint="BF"/>
          </w:tcPr>
          <w:p w14:paraId="71C36D12" w14:textId="77777777" w:rsidR="001B4FA5" w:rsidRPr="002774E6" w:rsidRDefault="001B4FA5" w:rsidP="0056521A">
            <w:pPr>
              <w:spacing w:after="0"/>
              <w:rPr>
                <w:color w:val="FFFFFF"/>
              </w:rPr>
            </w:pPr>
            <w:r w:rsidRPr="002774E6">
              <w:rPr>
                <w:color w:val="FFFFFF"/>
              </w:rPr>
              <w:t>Frequency band (MHz)</w:t>
            </w:r>
          </w:p>
        </w:tc>
        <w:tc>
          <w:tcPr>
            <w:tcW w:w="6442" w:type="dxa"/>
            <w:tcBorders>
              <w:top w:val="none" w:sz="0" w:space="0" w:color="auto"/>
              <w:left w:val="none" w:sz="0" w:space="0" w:color="auto"/>
              <w:bottom w:val="none" w:sz="0" w:space="0" w:color="auto"/>
              <w:right w:val="none" w:sz="0" w:space="0" w:color="auto"/>
            </w:tcBorders>
            <w:shd w:val="clear" w:color="auto" w:fill="404040" w:themeFill="text1" w:themeFillTint="BF"/>
          </w:tcPr>
          <w:p w14:paraId="713C3E40" w14:textId="77777777" w:rsidR="001B4FA5" w:rsidRPr="002774E6" w:rsidRDefault="001B4FA5" w:rsidP="0056521A">
            <w:pPr>
              <w:spacing w:after="0"/>
              <w:cnfStyle w:val="100000000000" w:firstRow="1" w:lastRow="0" w:firstColumn="0" w:lastColumn="0" w:oddVBand="0" w:evenVBand="0" w:oddHBand="0" w:evenHBand="0" w:firstRowFirstColumn="0" w:firstRowLastColumn="0" w:lastRowFirstColumn="0" w:lastRowLastColumn="0"/>
              <w:rPr>
                <w:color w:val="FFFFFF"/>
              </w:rPr>
            </w:pPr>
            <w:r w:rsidRPr="002774E6">
              <w:rPr>
                <w:color w:val="FFFFFF"/>
              </w:rPr>
              <w:t>Description</w:t>
            </w:r>
          </w:p>
        </w:tc>
      </w:tr>
      <w:tr w:rsidR="001B4FA5" w14:paraId="4442E2A4" w14:textId="77777777" w:rsidTr="00856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7159B6AD" w14:textId="77777777" w:rsidR="001B4FA5" w:rsidRPr="000E2EA5" w:rsidRDefault="001B4FA5" w:rsidP="0056521A">
            <w:pPr>
              <w:spacing w:after="0"/>
              <w:rPr>
                <w:b w:val="0"/>
              </w:rPr>
            </w:pPr>
            <w:r w:rsidRPr="000E2EA5">
              <w:rPr>
                <w:rStyle w:val="charpartno"/>
                <w:b w:val="0"/>
                <w:sz w:val="19"/>
                <w:szCs w:val="19"/>
              </w:rPr>
              <w:t>472.0125–472.1125</w:t>
            </w:r>
          </w:p>
        </w:tc>
        <w:tc>
          <w:tcPr>
            <w:tcW w:w="6442" w:type="dxa"/>
            <w:shd w:val="clear" w:color="auto" w:fill="FFFFFF" w:themeFill="background1"/>
          </w:tcPr>
          <w:p w14:paraId="19C20B94" w14:textId="77777777" w:rsidR="001B4FA5" w:rsidRPr="000E2EA5" w:rsidRDefault="001B4FA5" w:rsidP="0056521A">
            <w:pPr>
              <w:spacing w:after="0"/>
              <w:cnfStyle w:val="000000100000" w:firstRow="0" w:lastRow="0" w:firstColumn="0" w:lastColumn="0" w:oddVBand="0" w:evenVBand="0" w:oddHBand="1" w:evenHBand="0" w:firstRowFirstColumn="0" w:firstRowLastColumn="0" w:lastRowFirstColumn="0" w:lastRowLastColumn="0"/>
            </w:pPr>
            <w:r w:rsidRPr="000E2EA5">
              <w:t>Telecommand or teleme</w:t>
            </w:r>
            <w:r>
              <w:t>try transmitters (max power 100 </w:t>
            </w:r>
            <w:r w:rsidRPr="000E2EA5">
              <w:t>mW</w:t>
            </w:r>
            <w:r>
              <w:t xml:space="preserve"> EIRP</w:t>
            </w:r>
            <w:r w:rsidRPr="000E2EA5">
              <w:t>)</w:t>
            </w:r>
          </w:p>
        </w:tc>
      </w:tr>
      <w:tr w:rsidR="001B4FA5" w14:paraId="0F50134E" w14:textId="77777777" w:rsidTr="00856C29">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54FD780E" w14:textId="77777777" w:rsidR="001B4FA5" w:rsidRPr="000E2EA5" w:rsidRDefault="001B4FA5" w:rsidP="0056521A">
            <w:pPr>
              <w:spacing w:after="0"/>
              <w:rPr>
                <w:b w:val="0"/>
              </w:rPr>
            </w:pPr>
            <w:r w:rsidRPr="000E2EA5">
              <w:rPr>
                <w:rStyle w:val="charpartno"/>
                <w:b w:val="0"/>
                <w:sz w:val="19"/>
                <w:szCs w:val="19"/>
              </w:rPr>
              <w:t>0.07–0.119</w:t>
            </w:r>
          </w:p>
        </w:tc>
        <w:tc>
          <w:tcPr>
            <w:tcW w:w="6442" w:type="dxa"/>
            <w:shd w:val="clear" w:color="auto" w:fill="FFFFFF" w:themeFill="background1"/>
          </w:tcPr>
          <w:p w14:paraId="1AF3A00F" w14:textId="77777777" w:rsidR="001B4FA5" w:rsidRPr="000E2EA5" w:rsidRDefault="001B4FA5" w:rsidP="0056521A">
            <w:pPr>
              <w:spacing w:after="0"/>
              <w:cnfStyle w:val="000000000000" w:firstRow="0" w:lastRow="0" w:firstColumn="0" w:lastColumn="0" w:oddVBand="0" w:evenVBand="0" w:oddHBand="0" w:evenHBand="0" w:firstRowFirstColumn="0" w:firstRowLastColumn="0" w:lastRowFirstColumn="0" w:lastRowLastColumn="0"/>
            </w:pPr>
            <w:r>
              <w:t>T</w:t>
            </w:r>
            <w:r w:rsidRPr="000E2EA5">
              <w:t>elecommand or telemetry transmitters (max power 10</w:t>
            </w:r>
            <w:r>
              <w:t> </w:t>
            </w:r>
            <w:r w:rsidRPr="000E2EA5">
              <w:t>mW</w:t>
            </w:r>
            <w:r>
              <w:t xml:space="preserve"> EIRP)</w:t>
            </w:r>
          </w:p>
        </w:tc>
      </w:tr>
      <w:tr w:rsidR="001B4FA5" w14:paraId="775B533D" w14:textId="77777777" w:rsidTr="00856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0E013F20" w14:textId="77777777" w:rsidR="001B4FA5" w:rsidRPr="000E2EA5" w:rsidRDefault="001B4FA5" w:rsidP="0056521A">
            <w:pPr>
              <w:spacing w:after="0"/>
              <w:rPr>
                <w:b w:val="0"/>
              </w:rPr>
            </w:pPr>
            <w:r w:rsidRPr="000E2EA5">
              <w:rPr>
                <w:rStyle w:val="charpartno"/>
                <w:b w:val="0"/>
                <w:sz w:val="14"/>
                <w:szCs w:val="14"/>
              </w:rPr>
              <w:t xml:space="preserve"> </w:t>
            </w:r>
            <w:r w:rsidRPr="000E2EA5">
              <w:rPr>
                <w:rStyle w:val="charpartno"/>
                <w:b w:val="0"/>
                <w:sz w:val="19"/>
                <w:szCs w:val="19"/>
              </w:rPr>
              <w:t>0.135–0.160</w:t>
            </w:r>
          </w:p>
        </w:tc>
        <w:tc>
          <w:tcPr>
            <w:tcW w:w="6442" w:type="dxa"/>
            <w:shd w:val="clear" w:color="auto" w:fill="FFFFFF" w:themeFill="background1"/>
          </w:tcPr>
          <w:p w14:paraId="60DF7368" w14:textId="77777777" w:rsidR="001B4FA5" w:rsidRPr="000E2EA5" w:rsidRDefault="001B4FA5" w:rsidP="0056521A">
            <w:pPr>
              <w:spacing w:after="0"/>
              <w:cnfStyle w:val="000000100000" w:firstRow="0" w:lastRow="0" w:firstColumn="0" w:lastColumn="0" w:oddVBand="0" w:evenVBand="0" w:oddHBand="1" w:evenHBand="0" w:firstRowFirstColumn="0" w:firstRowLastColumn="0" w:lastRowFirstColumn="0" w:lastRowLastColumn="0"/>
            </w:pPr>
            <w:r w:rsidRPr="000E2EA5">
              <w:t xml:space="preserve">Telecommand or telemetry transmitters (max power </w:t>
            </w:r>
            <w:r>
              <w:t>10 mW EIRP</w:t>
            </w:r>
            <w:r w:rsidRPr="000E2EA5">
              <w:t>)</w:t>
            </w:r>
          </w:p>
        </w:tc>
      </w:tr>
      <w:tr w:rsidR="001B4FA5" w14:paraId="528E3229" w14:textId="77777777" w:rsidTr="00856C29">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05955209" w14:textId="77777777" w:rsidR="001B4FA5" w:rsidRPr="000E2EA5" w:rsidRDefault="001B4FA5" w:rsidP="0056521A">
            <w:pPr>
              <w:spacing w:after="0"/>
              <w:rPr>
                <w:b w:val="0"/>
              </w:rPr>
            </w:pPr>
            <w:r w:rsidRPr="000E2EA5">
              <w:rPr>
                <w:rStyle w:val="charpartno"/>
                <w:b w:val="0"/>
                <w:sz w:val="19"/>
                <w:szCs w:val="19"/>
              </w:rPr>
              <w:t>0.119–0.135</w:t>
            </w:r>
          </w:p>
        </w:tc>
        <w:tc>
          <w:tcPr>
            <w:tcW w:w="6442" w:type="dxa"/>
            <w:shd w:val="clear" w:color="auto" w:fill="FFFFFF" w:themeFill="background1"/>
          </w:tcPr>
          <w:p w14:paraId="4C78D4F2" w14:textId="77777777" w:rsidR="001B4FA5" w:rsidRPr="000E2EA5" w:rsidRDefault="001B4FA5" w:rsidP="0056521A">
            <w:pPr>
              <w:spacing w:after="0"/>
              <w:cnfStyle w:val="000000000000" w:firstRow="0" w:lastRow="0" w:firstColumn="0" w:lastColumn="0" w:oddVBand="0" w:evenVBand="0" w:oddHBand="0" w:evenHBand="0" w:firstRowFirstColumn="0" w:firstRowLastColumn="0" w:lastRowFirstColumn="0" w:lastRowLastColumn="0"/>
            </w:pPr>
            <w:r>
              <w:t>T</w:t>
            </w:r>
            <w:r w:rsidRPr="000E2EA5">
              <w:t>elecommand or tele</w:t>
            </w:r>
            <w:r>
              <w:t>metry transmitters (max power 1.5 </w:t>
            </w:r>
            <w:r w:rsidRPr="000E2EA5">
              <w:t>W</w:t>
            </w:r>
            <w:r>
              <w:t xml:space="preserve"> EIRP)</w:t>
            </w:r>
          </w:p>
        </w:tc>
      </w:tr>
      <w:tr w:rsidR="001B4FA5" w14:paraId="2DAE48C7" w14:textId="77777777" w:rsidTr="00856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34273E77" w14:textId="77777777" w:rsidR="001B4FA5" w:rsidRPr="000E2EA5" w:rsidRDefault="001B4FA5" w:rsidP="0056521A">
            <w:pPr>
              <w:spacing w:after="0"/>
              <w:rPr>
                <w:b w:val="0"/>
              </w:rPr>
            </w:pPr>
            <w:r w:rsidRPr="000E2EA5">
              <w:rPr>
                <w:b w:val="0"/>
                <w:sz w:val="19"/>
                <w:szCs w:val="19"/>
              </w:rPr>
              <w:t>0.160</w:t>
            </w:r>
            <w:r w:rsidRPr="000E2EA5">
              <w:rPr>
                <w:rStyle w:val="charpartno"/>
                <w:b w:val="0"/>
                <w:sz w:val="19"/>
                <w:szCs w:val="19"/>
              </w:rPr>
              <w:t>–</w:t>
            </w:r>
            <w:r w:rsidRPr="000E2EA5">
              <w:rPr>
                <w:b w:val="0"/>
                <w:sz w:val="19"/>
                <w:szCs w:val="19"/>
              </w:rPr>
              <w:t>0.190</w:t>
            </w:r>
          </w:p>
        </w:tc>
        <w:tc>
          <w:tcPr>
            <w:tcW w:w="6442" w:type="dxa"/>
            <w:shd w:val="clear" w:color="auto" w:fill="FFFFFF" w:themeFill="background1"/>
          </w:tcPr>
          <w:p w14:paraId="60942076" w14:textId="39AB6D08" w:rsidR="001B4FA5" w:rsidRDefault="001B4FA5" w:rsidP="0056521A">
            <w:pPr>
              <w:spacing w:after="0"/>
              <w:cnfStyle w:val="000000100000" w:firstRow="0" w:lastRow="0" w:firstColumn="0" w:lastColumn="0" w:oddVBand="0" w:evenVBand="0" w:oddHBand="1" w:evenHBand="0" w:firstRowFirstColumn="0" w:firstRowLastColumn="0" w:lastRowFirstColumn="0" w:lastRowLastColumn="0"/>
            </w:pPr>
            <w:r w:rsidRPr="000E2EA5">
              <w:t>Telecommand or telemetry transmitters (</w:t>
            </w:r>
            <w:r>
              <w:t>see details for limitations</w:t>
            </w:r>
            <w:r w:rsidRPr="000E2EA5">
              <w:t>)</w:t>
            </w:r>
          </w:p>
        </w:tc>
      </w:tr>
      <w:tr w:rsidR="001B4FA5" w14:paraId="572685EB" w14:textId="77777777" w:rsidTr="00856C29">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122AC214" w14:textId="77777777" w:rsidR="001B4FA5" w:rsidRPr="000E2EA5" w:rsidRDefault="001B4FA5" w:rsidP="0056521A">
            <w:pPr>
              <w:spacing w:after="0"/>
              <w:rPr>
                <w:b w:val="0"/>
              </w:rPr>
            </w:pPr>
            <w:r w:rsidRPr="000E2EA5">
              <w:rPr>
                <w:rStyle w:val="charpartno"/>
                <w:b w:val="0"/>
                <w:sz w:val="19"/>
                <w:szCs w:val="19"/>
              </w:rPr>
              <w:t>2400–2450</w:t>
            </w:r>
          </w:p>
        </w:tc>
        <w:tc>
          <w:tcPr>
            <w:tcW w:w="6442" w:type="dxa"/>
            <w:shd w:val="clear" w:color="auto" w:fill="FFFFFF" w:themeFill="background1"/>
          </w:tcPr>
          <w:p w14:paraId="0D642D32" w14:textId="77777777" w:rsidR="001B4FA5" w:rsidRDefault="001B4FA5" w:rsidP="0056521A">
            <w:pPr>
              <w:spacing w:after="0"/>
              <w:cnfStyle w:val="000000000000" w:firstRow="0" w:lastRow="0" w:firstColumn="0" w:lastColumn="0" w:oddVBand="0" w:evenVBand="0" w:oddHBand="0" w:evenHBand="0" w:firstRowFirstColumn="0" w:firstRowLastColumn="0" w:lastRowFirstColumn="0" w:lastRowLastColumn="0"/>
            </w:pPr>
            <w:r>
              <w:t>T</w:t>
            </w:r>
            <w:r w:rsidRPr="000E2EA5">
              <w:t>elecommand or telemetry transmitters (max power 1</w:t>
            </w:r>
            <w:r>
              <w:t> </w:t>
            </w:r>
            <w:r w:rsidRPr="000E2EA5">
              <w:t>W</w:t>
            </w:r>
            <w:r>
              <w:t xml:space="preserve"> EIRP)</w:t>
            </w:r>
          </w:p>
        </w:tc>
      </w:tr>
      <w:tr w:rsidR="001B4FA5" w14:paraId="4BA2542E" w14:textId="77777777" w:rsidTr="00856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7BEC6F65" w14:textId="77777777" w:rsidR="001B4FA5" w:rsidRPr="000E2EA5" w:rsidRDefault="001B4FA5" w:rsidP="0056521A">
            <w:pPr>
              <w:spacing w:after="0"/>
              <w:rPr>
                <w:b w:val="0"/>
              </w:rPr>
            </w:pPr>
            <w:r w:rsidRPr="000E2EA5">
              <w:rPr>
                <w:rStyle w:val="charpartno"/>
                <w:b w:val="0"/>
                <w:sz w:val="19"/>
                <w:szCs w:val="19"/>
              </w:rPr>
              <w:t>5725–5795</w:t>
            </w:r>
          </w:p>
        </w:tc>
        <w:tc>
          <w:tcPr>
            <w:tcW w:w="6442" w:type="dxa"/>
            <w:shd w:val="clear" w:color="auto" w:fill="FFFFFF" w:themeFill="background1"/>
          </w:tcPr>
          <w:p w14:paraId="387A6C87" w14:textId="77777777" w:rsidR="001B4FA5" w:rsidRDefault="001B4FA5" w:rsidP="0056521A">
            <w:pPr>
              <w:spacing w:after="0"/>
              <w:cnfStyle w:val="000000100000" w:firstRow="0" w:lastRow="0" w:firstColumn="0" w:lastColumn="0" w:oddVBand="0" w:evenVBand="0" w:oddHBand="1" w:evenHBand="0" w:firstRowFirstColumn="0" w:firstRowLastColumn="0" w:lastRowFirstColumn="0" w:lastRowLastColumn="0"/>
            </w:pPr>
            <w:r w:rsidRPr="000E2EA5">
              <w:t>Telecommand or telemetry transmitters (max power 1</w:t>
            </w:r>
            <w:r>
              <w:t> </w:t>
            </w:r>
            <w:r w:rsidRPr="000E2EA5">
              <w:t>W</w:t>
            </w:r>
            <w:r>
              <w:t xml:space="preserve"> EIRP</w:t>
            </w:r>
            <w:r w:rsidRPr="000E2EA5">
              <w:t>)</w:t>
            </w:r>
          </w:p>
        </w:tc>
      </w:tr>
      <w:tr w:rsidR="001B4FA5" w14:paraId="72ED28EF" w14:textId="77777777" w:rsidTr="00856C29">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2D843A16" w14:textId="77777777" w:rsidR="001B4FA5" w:rsidRPr="000E2EA5" w:rsidRDefault="001B4FA5" w:rsidP="0056521A">
            <w:pPr>
              <w:spacing w:after="0"/>
              <w:rPr>
                <w:b w:val="0"/>
              </w:rPr>
            </w:pPr>
            <w:r w:rsidRPr="000E2EA5">
              <w:rPr>
                <w:rStyle w:val="charpartno"/>
                <w:b w:val="0"/>
                <w:sz w:val="19"/>
                <w:szCs w:val="19"/>
              </w:rPr>
              <w:t>5815–5875</w:t>
            </w:r>
          </w:p>
        </w:tc>
        <w:tc>
          <w:tcPr>
            <w:tcW w:w="6442" w:type="dxa"/>
            <w:shd w:val="clear" w:color="auto" w:fill="FFFFFF" w:themeFill="background1"/>
          </w:tcPr>
          <w:p w14:paraId="44B51B82" w14:textId="77777777" w:rsidR="001B4FA5" w:rsidRDefault="001B4FA5" w:rsidP="0056521A">
            <w:pPr>
              <w:spacing w:after="0"/>
              <w:cnfStyle w:val="000000000000" w:firstRow="0" w:lastRow="0" w:firstColumn="0" w:lastColumn="0" w:oddVBand="0" w:evenVBand="0" w:oddHBand="0" w:evenHBand="0" w:firstRowFirstColumn="0" w:firstRowLastColumn="0" w:lastRowFirstColumn="0" w:lastRowLastColumn="0"/>
            </w:pPr>
            <w:r>
              <w:t>T</w:t>
            </w:r>
            <w:r w:rsidRPr="000E2EA5">
              <w:t>elecommand or telemetry transmitters (max power 1</w:t>
            </w:r>
            <w:r>
              <w:t> </w:t>
            </w:r>
            <w:r w:rsidRPr="000E2EA5">
              <w:t>W</w:t>
            </w:r>
            <w:r>
              <w:t xml:space="preserve"> EIRP)</w:t>
            </w:r>
          </w:p>
        </w:tc>
      </w:tr>
      <w:tr w:rsidR="001B4FA5" w14:paraId="356274FC" w14:textId="77777777" w:rsidTr="00856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0F484972" w14:textId="77777777" w:rsidR="001B4FA5" w:rsidRPr="000E2EA5" w:rsidRDefault="001B4FA5" w:rsidP="0056521A">
            <w:pPr>
              <w:spacing w:after="0"/>
              <w:rPr>
                <w:b w:val="0"/>
              </w:rPr>
            </w:pPr>
            <w:r w:rsidRPr="000E2EA5">
              <w:rPr>
                <w:rStyle w:val="charpartno"/>
                <w:b w:val="0"/>
                <w:sz w:val="19"/>
                <w:szCs w:val="19"/>
              </w:rPr>
              <w:t>5795–5815</w:t>
            </w:r>
          </w:p>
        </w:tc>
        <w:tc>
          <w:tcPr>
            <w:tcW w:w="6442" w:type="dxa"/>
            <w:shd w:val="clear" w:color="auto" w:fill="FFFFFF" w:themeFill="background1"/>
          </w:tcPr>
          <w:p w14:paraId="63364E30" w14:textId="77777777" w:rsidR="001B4FA5" w:rsidRDefault="001B4FA5" w:rsidP="0056521A">
            <w:pPr>
              <w:spacing w:after="0"/>
              <w:cnfStyle w:val="000000100000" w:firstRow="0" w:lastRow="0" w:firstColumn="0" w:lastColumn="0" w:oddVBand="0" w:evenVBand="0" w:oddHBand="1" w:evenHBand="0" w:firstRowFirstColumn="0" w:firstRowLastColumn="0" w:lastRowFirstColumn="0" w:lastRowLastColumn="0"/>
            </w:pPr>
            <w:r w:rsidRPr="000E2EA5">
              <w:t>Telecommand or telemetry transmitters (max power 2</w:t>
            </w:r>
            <w:r>
              <w:t> </w:t>
            </w:r>
            <w:r w:rsidRPr="000E2EA5">
              <w:t>W</w:t>
            </w:r>
            <w:r>
              <w:t xml:space="preserve"> EIRP</w:t>
            </w:r>
            <w:r w:rsidRPr="000E2EA5">
              <w:t>)</w:t>
            </w:r>
          </w:p>
        </w:tc>
      </w:tr>
      <w:tr w:rsidR="001B4FA5" w14:paraId="2203FF51" w14:textId="77777777" w:rsidTr="00856C29">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1D2EB074" w14:textId="15BA8477" w:rsidR="001B4FA5" w:rsidRPr="000E2EA5" w:rsidRDefault="001B4FA5" w:rsidP="0056521A">
            <w:pPr>
              <w:spacing w:after="0"/>
              <w:rPr>
                <w:b w:val="0"/>
              </w:rPr>
            </w:pPr>
            <w:r>
              <w:rPr>
                <w:b w:val="0"/>
              </w:rPr>
              <w:t>915</w:t>
            </w:r>
            <w:r w:rsidR="0056521A" w:rsidRPr="000E2EA5">
              <w:rPr>
                <w:rStyle w:val="charpartno"/>
                <w:b w:val="0"/>
                <w:sz w:val="19"/>
                <w:szCs w:val="19"/>
              </w:rPr>
              <w:t>–</w:t>
            </w:r>
            <w:r>
              <w:rPr>
                <w:b w:val="0"/>
              </w:rPr>
              <w:t>928</w:t>
            </w:r>
          </w:p>
        </w:tc>
        <w:tc>
          <w:tcPr>
            <w:tcW w:w="6442" w:type="dxa"/>
            <w:shd w:val="clear" w:color="auto" w:fill="FFFFFF" w:themeFill="background1"/>
          </w:tcPr>
          <w:p w14:paraId="233421DE" w14:textId="77777777" w:rsidR="001B4FA5" w:rsidRDefault="001B4FA5" w:rsidP="0056521A">
            <w:pPr>
              <w:spacing w:after="0"/>
              <w:cnfStyle w:val="000000000000" w:firstRow="0" w:lastRow="0" w:firstColumn="0" w:lastColumn="0" w:oddVBand="0" w:evenVBand="0" w:oddHBand="0" w:evenHBand="0" w:firstRowFirstColumn="0" w:firstRowLastColumn="0" w:lastRowFirstColumn="0" w:lastRowLastColumn="0"/>
            </w:pPr>
            <w:r>
              <w:t>Frequency hopping transmitters (max power 1 W EIRP)</w:t>
            </w:r>
          </w:p>
        </w:tc>
      </w:tr>
      <w:tr w:rsidR="001B4FA5" w14:paraId="61ACA0CD" w14:textId="77777777" w:rsidTr="00856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0E668CB6" w14:textId="2F78904D" w:rsidR="001B4FA5" w:rsidRPr="000E2EA5" w:rsidRDefault="001B4FA5" w:rsidP="0056521A">
            <w:pPr>
              <w:spacing w:after="0"/>
              <w:rPr>
                <w:b w:val="0"/>
              </w:rPr>
            </w:pPr>
            <w:r>
              <w:rPr>
                <w:b w:val="0"/>
              </w:rPr>
              <w:t>2400</w:t>
            </w:r>
            <w:r w:rsidR="0056521A" w:rsidRPr="000E2EA5">
              <w:rPr>
                <w:rStyle w:val="charpartno"/>
                <w:b w:val="0"/>
                <w:sz w:val="19"/>
                <w:szCs w:val="19"/>
              </w:rPr>
              <w:t>–</w:t>
            </w:r>
            <w:r>
              <w:rPr>
                <w:b w:val="0"/>
              </w:rPr>
              <w:t>2483.5</w:t>
            </w:r>
          </w:p>
        </w:tc>
        <w:tc>
          <w:tcPr>
            <w:tcW w:w="6442" w:type="dxa"/>
            <w:shd w:val="clear" w:color="auto" w:fill="FFFFFF" w:themeFill="background1"/>
          </w:tcPr>
          <w:p w14:paraId="0F30E422" w14:textId="77777777" w:rsidR="001B4FA5" w:rsidRDefault="001B4FA5" w:rsidP="0056521A">
            <w:pPr>
              <w:spacing w:after="0"/>
              <w:cnfStyle w:val="000000100000" w:firstRow="0" w:lastRow="0" w:firstColumn="0" w:lastColumn="0" w:oddVBand="0" w:evenVBand="0" w:oddHBand="1" w:evenHBand="0" w:firstRowFirstColumn="0" w:firstRowLastColumn="0" w:lastRowFirstColumn="0" w:lastRowLastColumn="0"/>
            </w:pPr>
            <w:r>
              <w:t>Frequency hopping transmitters (max power 500 mW EIRP)</w:t>
            </w:r>
          </w:p>
        </w:tc>
      </w:tr>
      <w:tr w:rsidR="001B4FA5" w14:paraId="72060D60" w14:textId="77777777" w:rsidTr="00856C29">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36A1B802" w14:textId="3F44AB9B" w:rsidR="001B4FA5" w:rsidRPr="000E2EA5" w:rsidRDefault="001B4FA5" w:rsidP="0056521A">
            <w:pPr>
              <w:spacing w:after="0"/>
              <w:rPr>
                <w:b w:val="0"/>
              </w:rPr>
            </w:pPr>
            <w:r>
              <w:rPr>
                <w:b w:val="0"/>
              </w:rPr>
              <w:t>2400</w:t>
            </w:r>
            <w:r w:rsidR="0056521A" w:rsidRPr="000E2EA5">
              <w:rPr>
                <w:rStyle w:val="charpartno"/>
                <w:b w:val="0"/>
                <w:sz w:val="19"/>
                <w:szCs w:val="19"/>
              </w:rPr>
              <w:t>–</w:t>
            </w:r>
            <w:r>
              <w:rPr>
                <w:b w:val="0"/>
              </w:rPr>
              <w:t>2483.5</w:t>
            </w:r>
          </w:p>
        </w:tc>
        <w:tc>
          <w:tcPr>
            <w:tcW w:w="6442" w:type="dxa"/>
            <w:shd w:val="clear" w:color="auto" w:fill="FFFFFF" w:themeFill="background1"/>
          </w:tcPr>
          <w:p w14:paraId="751CEEE7" w14:textId="77777777" w:rsidR="001B4FA5" w:rsidRDefault="001B4FA5" w:rsidP="0056521A">
            <w:pPr>
              <w:spacing w:after="0"/>
              <w:cnfStyle w:val="000000000000" w:firstRow="0" w:lastRow="0" w:firstColumn="0" w:lastColumn="0" w:oddVBand="0" w:evenVBand="0" w:oddHBand="0" w:evenHBand="0" w:firstRowFirstColumn="0" w:firstRowLastColumn="0" w:lastRowFirstColumn="0" w:lastRowLastColumn="0"/>
            </w:pPr>
            <w:r>
              <w:t>Frequency hopping transmitters (max power 4 W EIRP)</w:t>
            </w:r>
          </w:p>
        </w:tc>
      </w:tr>
      <w:tr w:rsidR="001B4FA5" w14:paraId="1F05EFCC" w14:textId="77777777" w:rsidTr="00856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6D3C06A5" w14:textId="48784265" w:rsidR="001B4FA5" w:rsidRDefault="001B4FA5" w:rsidP="0056521A">
            <w:pPr>
              <w:spacing w:after="0"/>
            </w:pPr>
            <w:r>
              <w:rPr>
                <w:b w:val="0"/>
              </w:rPr>
              <w:t>5725</w:t>
            </w:r>
            <w:r w:rsidR="0056521A" w:rsidRPr="000E2EA5">
              <w:rPr>
                <w:rStyle w:val="charpartno"/>
                <w:b w:val="0"/>
                <w:sz w:val="19"/>
                <w:szCs w:val="19"/>
              </w:rPr>
              <w:t>–</w:t>
            </w:r>
            <w:r>
              <w:rPr>
                <w:b w:val="0"/>
              </w:rPr>
              <w:t>5850</w:t>
            </w:r>
          </w:p>
        </w:tc>
        <w:tc>
          <w:tcPr>
            <w:tcW w:w="6442" w:type="dxa"/>
            <w:shd w:val="clear" w:color="auto" w:fill="FFFFFF" w:themeFill="background1"/>
          </w:tcPr>
          <w:p w14:paraId="32D7E200" w14:textId="77777777" w:rsidR="001B4FA5" w:rsidRDefault="001B4FA5" w:rsidP="0056521A">
            <w:pPr>
              <w:spacing w:after="0"/>
              <w:cnfStyle w:val="000000100000" w:firstRow="0" w:lastRow="0" w:firstColumn="0" w:lastColumn="0" w:oddVBand="0" w:evenVBand="0" w:oddHBand="1" w:evenHBand="0" w:firstRowFirstColumn="0" w:firstRowLastColumn="0" w:lastRowFirstColumn="0" w:lastRowLastColumn="0"/>
            </w:pPr>
            <w:r>
              <w:t>Frequency hopping transmitters (max power 4 W EIRP)</w:t>
            </w:r>
          </w:p>
        </w:tc>
      </w:tr>
      <w:tr w:rsidR="001B4FA5" w14:paraId="73E70BD9" w14:textId="77777777" w:rsidTr="00856C29">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41CD17C3" w14:textId="48980032" w:rsidR="001B4FA5" w:rsidRPr="00811596" w:rsidRDefault="001B4FA5" w:rsidP="0056521A">
            <w:pPr>
              <w:spacing w:after="0"/>
              <w:rPr>
                <w:b w:val="0"/>
              </w:rPr>
            </w:pPr>
            <w:r w:rsidRPr="00811596">
              <w:rPr>
                <w:b w:val="0"/>
              </w:rPr>
              <w:t>915</w:t>
            </w:r>
            <w:r w:rsidR="0056521A" w:rsidRPr="000E2EA5">
              <w:rPr>
                <w:rStyle w:val="charpartno"/>
                <w:b w:val="0"/>
                <w:sz w:val="19"/>
                <w:szCs w:val="19"/>
              </w:rPr>
              <w:t>–</w:t>
            </w:r>
            <w:r w:rsidRPr="00811596">
              <w:rPr>
                <w:b w:val="0"/>
              </w:rPr>
              <w:t>928</w:t>
            </w:r>
          </w:p>
        </w:tc>
        <w:tc>
          <w:tcPr>
            <w:tcW w:w="6442" w:type="dxa"/>
            <w:shd w:val="clear" w:color="auto" w:fill="FFFFFF" w:themeFill="background1"/>
          </w:tcPr>
          <w:p w14:paraId="74156595" w14:textId="77777777" w:rsidR="001B4FA5" w:rsidRDefault="001B4FA5" w:rsidP="0056521A">
            <w:pPr>
              <w:spacing w:after="0"/>
              <w:cnfStyle w:val="000000000000" w:firstRow="0" w:lastRow="0" w:firstColumn="0" w:lastColumn="0" w:oddVBand="0" w:evenVBand="0" w:oddHBand="0" w:evenHBand="0" w:firstRowFirstColumn="0" w:firstRowLastColumn="0" w:lastRowFirstColumn="0" w:lastRowLastColumn="0"/>
            </w:pPr>
            <w:r>
              <w:t>Digital modulation transmitters (max power 1 W EIRP)</w:t>
            </w:r>
          </w:p>
        </w:tc>
      </w:tr>
      <w:tr w:rsidR="001B4FA5" w14:paraId="7268B38D" w14:textId="77777777" w:rsidTr="00856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01BE7474" w14:textId="0A4C6066" w:rsidR="001B4FA5" w:rsidRPr="00811596" w:rsidRDefault="001B4FA5" w:rsidP="0056521A">
            <w:pPr>
              <w:spacing w:after="0"/>
              <w:rPr>
                <w:b w:val="0"/>
              </w:rPr>
            </w:pPr>
            <w:r>
              <w:rPr>
                <w:b w:val="0"/>
              </w:rPr>
              <w:t>2400</w:t>
            </w:r>
            <w:r w:rsidR="0056521A" w:rsidRPr="000E2EA5">
              <w:rPr>
                <w:rStyle w:val="charpartno"/>
                <w:b w:val="0"/>
                <w:sz w:val="19"/>
                <w:szCs w:val="19"/>
              </w:rPr>
              <w:t>–</w:t>
            </w:r>
            <w:r>
              <w:rPr>
                <w:b w:val="0"/>
              </w:rPr>
              <w:t>2483.5</w:t>
            </w:r>
          </w:p>
        </w:tc>
        <w:tc>
          <w:tcPr>
            <w:tcW w:w="6442" w:type="dxa"/>
            <w:shd w:val="clear" w:color="auto" w:fill="FFFFFF" w:themeFill="background1"/>
          </w:tcPr>
          <w:p w14:paraId="028639EC" w14:textId="77777777" w:rsidR="001B4FA5" w:rsidRDefault="001B4FA5" w:rsidP="0056521A">
            <w:pPr>
              <w:spacing w:after="0"/>
              <w:cnfStyle w:val="000000100000" w:firstRow="0" w:lastRow="0" w:firstColumn="0" w:lastColumn="0" w:oddVBand="0" w:evenVBand="0" w:oddHBand="1" w:evenHBand="0" w:firstRowFirstColumn="0" w:firstRowLastColumn="0" w:lastRowFirstColumn="0" w:lastRowLastColumn="0"/>
            </w:pPr>
            <w:r>
              <w:t>Digital modulation transmitters (max power 4 W EIRP)</w:t>
            </w:r>
          </w:p>
        </w:tc>
      </w:tr>
      <w:tr w:rsidR="001B4FA5" w14:paraId="55ED13BF" w14:textId="77777777" w:rsidTr="00856C29">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35BD2E7E" w14:textId="2F1AE18D" w:rsidR="001B4FA5" w:rsidRPr="00811596" w:rsidRDefault="001B4FA5" w:rsidP="0056521A">
            <w:pPr>
              <w:spacing w:after="0"/>
              <w:rPr>
                <w:b w:val="0"/>
              </w:rPr>
            </w:pPr>
            <w:r>
              <w:rPr>
                <w:b w:val="0"/>
              </w:rPr>
              <w:t>5725</w:t>
            </w:r>
            <w:r w:rsidR="0056521A" w:rsidRPr="000E2EA5">
              <w:rPr>
                <w:rStyle w:val="charpartno"/>
                <w:b w:val="0"/>
                <w:sz w:val="19"/>
                <w:szCs w:val="19"/>
              </w:rPr>
              <w:t>–</w:t>
            </w:r>
            <w:r>
              <w:rPr>
                <w:b w:val="0"/>
              </w:rPr>
              <w:t>5850</w:t>
            </w:r>
          </w:p>
        </w:tc>
        <w:tc>
          <w:tcPr>
            <w:tcW w:w="6442" w:type="dxa"/>
            <w:shd w:val="clear" w:color="auto" w:fill="FFFFFF" w:themeFill="background1"/>
          </w:tcPr>
          <w:p w14:paraId="35AD56F0" w14:textId="77777777" w:rsidR="001B4FA5" w:rsidRDefault="001B4FA5" w:rsidP="0056521A">
            <w:pPr>
              <w:spacing w:after="0"/>
              <w:cnfStyle w:val="000000000000" w:firstRow="0" w:lastRow="0" w:firstColumn="0" w:lastColumn="0" w:oddVBand="0" w:evenVBand="0" w:oddHBand="0" w:evenHBand="0" w:firstRowFirstColumn="0" w:firstRowLastColumn="0" w:lastRowFirstColumn="0" w:lastRowLastColumn="0"/>
            </w:pPr>
            <w:r>
              <w:t>Digital modulation transmitters (max power 4 W EIRP)</w:t>
            </w:r>
          </w:p>
        </w:tc>
      </w:tr>
      <w:tr w:rsidR="001B4FA5" w14:paraId="3E18BB84" w14:textId="77777777" w:rsidTr="00856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031B6912" w14:textId="354BB66A" w:rsidR="001B4FA5" w:rsidRPr="00811596" w:rsidRDefault="001B4FA5" w:rsidP="0056521A">
            <w:pPr>
              <w:spacing w:after="0"/>
              <w:rPr>
                <w:b w:val="0"/>
              </w:rPr>
            </w:pPr>
            <w:r>
              <w:rPr>
                <w:b w:val="0"/>
              </w:rPr>
              <w:t>5150</w:t>
            </w:r>
            <w:r w:rsidR="0056521A" w:rsidRPr="000E2EA5">
              <w:rPr>
                <w:rStyle w:val="charpartno"/>
                <w:b w:val="0"/>
                <w:sz w:val="19"/>
                <w:szCs w:val="19"/>
              </w:rPr>
              <w:t>–</w:t>
            </w:r>
            <w:r>
              <w:rPr>
                <w:b w:val="0"/>
              </w:rPr>
              <w:t>5250</w:t>
            </w:r>
          </w:p>
        </w:tc>
        <w:tc>
          <w:tcPr>
            <w:tcW w:w="6442" w:type="dxa"/>
            <w:shd w:val="clear" w:color="auto" w:fill="FFFFFF" w:themeFill="background1"/>
          </w:tcPr>
          <w:p w14:paraId="4D9A937B" w14:textId="77777777" w:rsidR="001B4FA5" w:rsidRDefault="001B4FA5" w:rsidP="0056521A">
            <w:pPr>
              <w:spacing w:after="0"/>
              <w:cnfStyle w:val="000000100000" w:firstRow="0" w:lastRow="0" w:firstColumn="0" w:lastColumn="0" w:oddVBand="0" w:evenVBand="0" w:oddHBand="1" w:evenHBand="0" w:firstRowFirstColumn="0" w:firstRowLastColumn="0" w:lastRowFirstColumn="0" w:lastRowLastColumn="0"/>
            </w:pPr>
            <w:r>
              <w:t>Radio local area network transmitters (max power 200 mW EIRP)</w:t>
            </w:r>
          </w:p>
        </w:tc>
      </w:tr>
      <w:tr w:rsidR="001B4FA5" w14:paraId="175E7619" w14:textId="77777777" w:rsidTr="00856C29">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55DE7BA9" w14:textId="34A1D255" w:rsidR="001B4FA5" w:rsidRPr="00811596" w:rsidRDefault="001B4FA5" w:rsidP="0056521A">
            <w:pPr>
              <w:spacing w:after="0"/>
              <w:rPr>
                <w:b w:val="0"/>
              </w:rPr>
            </w:pPr>
            <w:r>
              <w:rPr>
                <w:b w:val="0"/>
              </w:rPr>
              <w:t>5250</w:t>
            </w:r>
            <w:r w:rsidR="0056521A" w:rsidRPr="000E2EA5">
              <w:rPr>
                <w:rStyle w:val="charpartno"/>
                <w:b w:val="0"/>
                <w:sz w:val="19"/>
                <w:szCs w:val="19"/>
              </w:rPr>
              <w:t>–</w:t>
            </w:r>
            <w:r>
              <w:rPr>
                <w:b w:val="0"/>
              </w:rPr>
              <w:t>5350</w:t>
            </w:r>
          </w:p>
        </w:tc>
        <w:tc>
          <w:tcPr>
            <w:tcW w:w="6442" w:type="dxa"/>
            <w:shd w:val="clear" w:color="auto" w:fill="FFFFFF" w:themeFill="background1"/>
          </w:tcPr>
          <w:p w14:paraId="533AF1E3" w14:textId="77777777" w:rsidR="001B4FA5" w:rsidRDefault="001B4FA5" w:rsidP="0056521A">
            <w:pPr>
              <w:spacing w:after="0"/>
              <w:cnfStyle w:val="000000000000" w:firstRow="0" w:lastRow="0" w:firstColumn="0" w:lastColumn="0" w:oddVBand="0" w:evenVBand="0" w:oddHBand="0" w:evenHBand="0" w:firstRowFirstColumn="0" w:firstRowLastColumn="0" w:lastRowFirstColumn="0" w:lastRowLastColumn="0"/>
            </w:pPr>
            <w:r>
              <w:t>Radio local area network transmitters (max power 200 mW EIRP)</w:t>
            </w:r>
          </w:p>
        </w:tc>
      </w:tr>
      <w:tr w:rsidR="001B4FA5" w14:paraId="03116153" w14:textId="77777777" w:rsidTr="00856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1DE54E63" w14:textId="3F0EC7D8" w:rsidR="001B4FA5" w:rsidRDefault="001B4FA5" w:rsidP="0056521A">
            <w:pPr>
              <w:spacing w:after="0"/>
              <w:rPr>
                <w:b w:val="0"/>
              </w:rPr>
            </w:pPr>
            <w:r>
              <w:rPr>
                <w:b w:val="0"/>
              </w:rPr>
              <w:t>5470</w:t>
            </w:r>
            <w:r w:rsidR="0056521A" w:rsidRPr="000E2EA5">
              <w:rPr>
                <w:rStyle w:val="charpartno"/>
                <w:b w:val="0"/>
                <w:sz w:val="19"/>
                <w:szCs w:val="19"/>
              </w:rPr>
              <w:t>–</w:t>
            </w:r>
            <w:r>
              <w:rPr>
                <w:b w:val="0"/>
              </w:rPr>
              <w:t>5600</w:t>
            </w:r>
          </w:p>
        </w:tc>
        <w:tc>
          <w:tcPr>
            <w:tcW w:w="6442" w:type="dxa"/>
            <w:shd w:val="clear" w:color="auto" w:fill="FFFFFF" w:themeFill="background1"/>
          </w:tcPr>
          <w:p w14:paraId="00FCF360" w14:textId="77777777" w:rsidR="001B4FA5" w:rsidRDefault="001B4FA5" w:rsidP="0056521A">
            <w:pPr>
              <w:spacing w:after="0"/>
              <w:cnfStyle w:val="000000100000" w:firstRow="0" w:lastRow="0" w:firstColumn="0" w:lastColumn="0" w:oddVBand="0" w:evenVBand="0" w:oddHBand="1" w:evenHBand="0" w:firstRowFirstColumn="0" w:firstRowLastColumn="0" w:lastRowFirstColumn="0" w:lastRowLastColumn="0"/>
            </w:pPr>
            <w:r>
              <w:t>Radio local area network transmitters (max power 1 W EIRP)</w:t>
            </w:r>
          </w:p>
        </w:tc>
      </w:tr>
      <w:tr w:rsidR="001B4FA5" w14:paraId="50261E49" w14:textId="77777777" w:rsidTr="00856C29">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4CCF7083" w14:textId="35156F74" w:rsidR="001B4FA5" w:rsidRDefault="001B4FA5" w:rsidP="0056521A">
            <w:pPr>
              <w:spacing w:after="0"/>
              <w:rPr>
                <w:b w:val="0"/>
              </w:rPr>
            </w:pPr>
            <w:r>
              <w:rPr>
                <w:b w:val="0"/>
              </w:rPr>
              <w:t>5650</w:t>
            </w:r>
            <w:r w:rsidR="0056521A" w:rsidRPr="000E2EA5">
              <w:rPr>
                <w:rStyle w:val="charpartno"/>
                <w:b w:val="0"/>
                <w:sz w:val="19"/>
                <w:szCs w:val="19"/>
              </w:rPr>
              <w:t>–</w:t>
            </w:r>
            <w:r>
              <w:rPr>
                <w:b w:val="0"/>
              </w:rPr>
              <w:t>5725</w:t>
            </w:r>
          </w:p>
        </w:tc>
        <w:tc>
          <w:tcPr>
            <w:tcW w:w="6442" w:type="dxa"/>
            <w:shd w:val="clear" w:color="auto" w:fill="FFFFFF" w:themeFill="background1"/>
          </w:tcPr>
          <w:p w14:paraId="4D1C423E" w14:textId="77777777" w:rsidR="001B4FA5" w:rsidRDefault="001B4FA5" w:rsidP="0056521A">
            <w:pPr>
              <w:spacing w:after="0"/>
              <w:cnfStyle w:val="000000000000" w:firstRow="0" w:lastRow="0" w:firstColumn="0" w:lastColumn="0" w:oddVBand="0" w:evenVBand="0" w:oddHBand="0" w:evenHBand="0" w:firstRowFirstColumn="0" w:firstRowLastColumn="0" w:lastRowFirstColumn="0" w:lastRowLastColumn="0"/>
            </w:pPr>
            <w:r>
              <w:t>Radio local area network transmitters (max power 1 W EIRP)</w:t>
            </w:r>
          </w:p>
        </w:tc>
      </w:tr>
      <w:tr w:rsidR="001B4FA5" w14:paraId="0DFF2B38" w14:textId="77777777" w:rsidTr="00856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6164C796" w14:textId="126181A5" w:rsidR="001B4FA5" w:rsidRDefault="001B4FA5" w:rsidP="0056521A">
            <w:pPr>
              <w:spacing w:after="0"/>
              <w:rPr>
                <w:b w:val="0"/>
              </w:rPr>
            </w:pPr>
            <w:r>
              <w:rPr>
                <w:b w:val="0"/>
              </w:rPr>
              <w:t>59000</w:t>
            </w:r>
            <w:r w:rsidR="0056521A" w:rsidRPr="000E2EA5">
              <w:rPr>
                <w:rStyle w:val="charpartno"/>
                <w:b w:val="0"/>
                <w:sz w:val="19"/>
                <w:szCs w:val="19"/>
              </w:rPr>
              <w:t>–</w:t>
            </w:r>
            <w:r>
              <w:rPr>
                <w:b w:val="0"/>
              </w:rPr>
              <w:t>63000</w:t>
            </w:r>
          </w:p>
        </w:tc>
        <w:tc>
          <w:tcPr>
            <w:tcW w:w="6442" w:type="dxa"/>
            <w:shd w:val="clear" w:color="auto" w:fill="FFFFFF" w:themeFill="background1"/>
          </w:tcPr>
          <w:p w14:paraId="7249A300" w14:textId="77777777" w:rsidR="001B4FA5" w:rsidRDefault="001B4FA5" w:rsidP="0056521A">
            <w:pPr>
              <w:spacing w:after="0"/>
              <w:cnfStyle w:val="000000100000" w:firstRow="0" w:lastRow="0" w:firstColumn="0" w:lastColumn="0" w:oddVBand="0" w:evenVBand="0" w:oddHBand="1" w:evenHBand="0" w:firstRowFirstColumn="0" w:firstRowLastColumn="0" w:lastRowFirstColumn="0" w:lastRowLastColumn="0"/>
            </w:pPr>
            <w:r>
              <w:t>Data communication transmitters outdoors (max power 150 W EIRP)</w:t>
            </w:r>
          </w:p>
        </w:tc>
      </w:tr>
      <w:tr w:rsidR="001B4FA5" w14:paraId="4DBA3910" w14:textId="77777777" w:rsidTr="00856C29">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1129AC55" w14:textId="41B75BE0" w:rsidR="001B4FA5" w:rsidRDefault="001B4FA5" w:rsidP="0056521A">
            <w:pPr>
              <w:spacing w:after="0"/>
              <w:rPr>
                <w:b w:val="0"/>
              </w:rPr>
            </w:pPr>
            <w:r>
              <w:rPr>
                <w:b w:val="0"/>
              </w:rPr>
              <w:t>57000</w:t>
            </w:r>
            <w:r w:rsidR="0056521A" w:rsidRPr="000E2EA5">
              <w:rPr>
                <w:rStyle w:val="charpartno"/>
                <w:b w:val="0"/>
                <w:sz w:val="19"/>
                <w:szCs w:val="19"/>
              </w:rPr>
              <w:t>–</w:t>
            </w:r>
            <w:r w:rsidR="00330DCE">
              <w:rPr>
                <w:b w:val="0"/>
              </w:rPr>
              <w:t>71000</w:t>
            </w:r>
          </w:p>
        </w:tc>
        <w:tc>
          <w:tcPr>
            <w:tcW w:w="6442" w:type="dxa"/>
            <w:shd w:val="clear" w:color="auto" w:fill="FFFFFF" w:themeFill="background1"/>
          </w:tcPr>
          <w:p w14:paraId="06C4FA12" w14:textId="77777777" w:rsidR="001B4FA5" w:rsidRDefault="001B4FA5" w:rsidP="0056521A">
            <w:pPr>
              <w:spacing w:after="0"/>
              <w:cnfStyle w:val="000000000000" w:firstRow="0" w:lastRow="0" w:firstColumn="0" w:lastColumn="0" w:oddVBand="0" w:evenVBand="0" w:oddHBand="0" w:evenHBand="0" w:firstRowFirstColumn="0" w:firstRowLastColumn="0" w:lastRowFirstColumn="0" w:lastRowLastColumn="0"/>
            </w:pPr>
            <w:r>
              <w:t>Data communication transmitters indoors (max power 20 W EIRP)</w:t>
            </w:r>
          </w:p>
        </w:tc>
      </w:tr>
    </w:tbl>
    <w:p w14:paraId="0F1FAF2B" w14:textId="2F6A3D92" w:rsidR="00E76085" w:rsidRPr="00B53F89" w:rsidRDefault="00E76085" w:rsidP="00D7755E"/>
    <w:p w14:paraId="0B9B2E06" w14:textId="4B01A740" w:rsidR="00776BF2" w:rsidRPr="00776BF2" w:rsidRDefault="001B5127" w:rsidP="00513FDE">
      <w:pPr>
        <w:pStyle w:val="Heading3"/>
        <w:keepLines/>
        <w:rPr>
          <w:b w:val="0"/>
        </w:rPr>
      </w:pPr>
      <w:bookmarkStart w:id="151" w:name="_Toc36207400"/>
      <w:bookmarkStart w:id="152" w:name="_Toc38987153"/>
      <w:bookmarkStart w:id="153" w:name="_Toc510104934"/>
      <w:bookmarkStart w:id="154" w:name="_Toc510105731"/>
      <w:bookmarkStart w:id="155" w:name="_Toc31892779"/>
      <w:r>
        <w:lastRenderedPageBreak/>
        <w:t>Broadcasting services</w:t>
      </w:r>
      <w:bookmarkEnd w:id="151"/>
      <w:bookmarkEnd w:id="152"/>
    </w:p>
    <w:p w14:paraId="4FF770ED" w14:textId="5C48D97D" w:rsidR="005137C1" w:rsidRDefault="005137C1" w:rsidP="00513FDE">
      <w:pPr>
        <w:keepNext/>
        <w:keepLines/>
      </w:pPr>
      <w:r>
        <w:t>Broadcasting services are delivered using radiocommunications spectrum, including</w:t>
      </w:r>
      <w:r w:rsidDel="00D357B4">
        <w:t xml:space="preserve"> </w:t>
      </w:r>
      <w:r>
        <w:t>AM and FM frequencies (for radio), UHF and satellite frequencies (for television)</w:t>
      </w:r>
      <w:r w:rsidDel="002A7E6D">
        <w:t xml:space="preserve"> and other parts of the spectrum deliver broadcasting services </w:t>
      </w:r>
      <w:r w:rsidR="00E36513">
        <w:t>(</w:t>
      </w:r>
      <w:r w:rsidDel="002A7E6D">
        <w:t xml:space="preserve">using </w:t>
      </w:r>
      <w:r>
        <w:t>mobile broadband and other wireless delivery systems</w:t>
      </w:r>
      <w:r w:rsidR="00E36513">
        <w:t>)</w:t>
      </w:r>
      <w:r>
        <w:t xml:space="preserve">. </w:t>
      </w:r>
    </w:p>
    <w:p w14:paraId="217B4198" w14:textId="6799AD9C" w:rsidR="00D91CDA" w:rsidRPr="00D91CDA" w:rsidRDefault="00D91CDA" w:rsidP="00513FDE">
      <w:pPr>
        <w:pStyle w:val="Heading4"/>
        <w:keepNext/>
        <w:keepLines/>
      </w:pPr>
      <w:r w:rsidRPr="00D91CDA">
        <w:t>Commercial radio broadcasting</w:t>
      </w:r>
    </w:p>
    <w:p w14:paraId="5A9C6424" w14:textId="1BA6F34E" w:rsidR="005B1A7A" w:rsidRPr="005B1A7A" w:rsidRDefault="00D91CDA" w:rsidP="00513FDE">
      <w:pPr>
        <w:keepNext/>
        <w:keepLines/>
      </w:pPr>
      <w:r w:rsidRPr="00D91CDA">
        <w:t xml:space="preserve">The commercial radio sector comprises an extensive infrastructure base of AM and FM transmitters servicing metropolitan, regional and remote communities via </w:t>
      </w:r>
      <w:r w:rsidR="005B1A7A">
        <w:t>613 transmitters—125 AM and 488 FM.</w:t>
      </w:r>
      <w:r w:rsidR="005B1A7A" w:rsidRPr="005B1A7A">
        <w:t xml:space="preserve"> In recent times, AM</w:t>
      </w:r>
      <w:r w:rsidR="00BB23E5">
        <w:t>–</w:t>
      </w:r>
      <w:r w:rsidR="005B1A7A" w:rsidRPr="005B1A7A">
        <w:t xml:space="preserve">FM conversions have been completed in </w:t>
      </w:r>
      <w:r w:rsidR="005B1A7A">
        <w:t>19</w:t>
      </w:r>
      <w:r w:rsidR="005B1A7A" w:rsidRPr="005B1A7A">
        <w:t xml:space="preserve"> </w:t>
      </w:r>
      <w:r w:rsidR="00E36513">
        <w:t>single-licensee</w:t>
      </w:r>
      <w:r w:rsidR="005B1A7A" w:rsidRPr="005B1A7A">
        <w:t xml:space="preserve"> markets.</w:t>
      </w:r>
    </w:p>
    <w:p w14:paraId="06BB2D5E" w14:textId="2AB5BBBF" w:rsidR="00D91CDA" w:rsidRPr="00D91CDA" w:rsidRDefault="00D91CDA" w:rsidP="00D91CDA">
      <w:r w:rsidRPr="00D91CDA">
        <w:t>Commercial digital radio is also delivered via a network of shared DAB+ digital radio multiplex transmitters in each capital city</w:t>
      </w:r>
      <w:r w:rsidR="005B1A7A">
        <w:t>, as well as in Mandurah, Western Australia.</w:t>
      </w:r>
      <w:r w:rsidR="00C97ADF">
        <w:t xml:space="preserve"> DAB+ uses spectrum in VHF television Band III.</w:t>
      </w:r>
    </w:p>
    <w:p w14:paraId="7C914704" w14:textId="77777777" w:rsidR="00D91CDA" w:rsidRPr="005B1A7A" w:rsidRDefault="00D91CDA" w:rsidP="006C024F">
      <w:pPr>
        <w:pStyle w:val="Heading4"/>
        <w:keepNext/>
      </w:pPr>
      <w:r w:rsidRPr="005B1A7A">
        <w:t>National broadcasting</w:t>
      </w:r>
    </w:p>
    <w:p w14:paraId="78F5790E" w14:textId="1419B221" w:rsidR="00D91CDA" w:rsidRPr="00D91CDA" w:rsidRDefault="00D91CDA" w:rsidP="00D91CDA">
      <w:r w:rsidRPr="00D91CDA">
        <w:t>The ABC and SBS operate an extensive high-power network of AM and FM transmitters, which covers metropolitan, regional and remote areas.</w:t>
      </w:r>
      <w:r w:rsidRPr="00D91CDA">
        <w:rPr>
          <w:vertAlign w:val="superscript"/>
        </w:rPr>
        <w:footnoteReference w:id="20"/>
      </w:r>
      <w:r w:rsidRPr="00D91CDA">
        <w:t xml:space="preserve"> SBS delivers most of its regional services </w:t>
      </w:r>
      <w:r w:rsidR="00C97ADF">
        <w:t xml:space="preserve">through </w:t>
      </w:r>
      <w:r w:rsidRPr="00D91CDA">
        <w:t>retransmission</w:t>
      </w:r>
      <w:r w:rsidR="00C97ADF">
        <w:t>s</w:t>
      </w:r>
      <w:r w:rsidRPr="00D91CDA">
        <w:t xml:space="preserve"> </w:t>
      </w:r>
      <w:r w:rsidR="00C97ADF">
        <w:t xml:space="preserve">licensed </w:t>
      </w:r>
      <w:r w:rsidRPr="00D91CDA">
        <w:t>by third parties such as local councils.</w:t>
      </w:r>
      <w:r w:rsidRPr="00D91CDA">
        <w:rPr>
          <w:vertAlign w:val="superscript"/>
        </w:rPr>
        <w:footnoteReference w:id="21"/>
      </w:r>
      <w:r w:rsidRPr="00D91CDA">
        <w:t xml:space="preserve"> The ABC and SBS share DAB+ digital transmitters in all capital cities. </w:t>
      </w:r>
    </w:p>
    <w:p w14:paraId="7C320D16" w14:textId="77777777" w:rsidR="00D91CDA" w:rsidRPr="00D91CDA" w:rsidRDefault="00D91CDA" w:rsidP="00D91CDA">
      <w:r w:rsidRPr="00D91CDA">
        <w:t>Compared with commercial radio, the national broadcasters’ radio services face different conditions on coverage and often have different coverage areas. While commercial and community services are restricted to their geographic licence areas in a way that national broadcasting services and radio streaming services are not, licence areas assist in delivering relevant local content and services to local communities. As they are restricted only by power, high-powered national AM services may serve much larger areas than commercial radio broadcasting services. The ABC’s highest power regional AM services provide unique and critical wide-area coverage to regional listeners, including listeners in cars outside of populated areas.</w:t>
      </w:r>
    </w:p>
    <w:p w14:paraId="272D00B3" w14:textId="77777777" w:rsidR="00D91CDA" w:rsidRPr="00D91CDA" w:rsidRDefault="00D91CDA" w:rsidP="003773F3">
      <w:pPr>
        <w:pStyle w:val="Heading4"/>
      </w:pPr>
      <w:r w:rsidRPr="00D91CDA">
        <w:t>Community radio broadcasting</w:t>
      </w:r>
    </w:p>
    <w:p w14:paraId="5BE9F5ED" w14:textId="4F3161D4" w:rsidR="001B3EF6" w:rsidRDefault="00D91CDA" w:rsidP="00D91CDA">
      <w:r w:rsidRPr="00D91CDA">
        <w:t>The community radio sector is diverse, providing local, community and niche services mainly via FM to metropolitan and regional audiences. Indigenous broadcasting transmissions serve remote communities as well as many regional and urban areas. In the capital cities, there are wide-area community services</w:t>
      </w:r>
      <w:r w:rsidR="002A7E6D">
        <w:t>,</w:t>
      </w:r>
      <w:r w:rsidRPr="00D91CDA">
        <w:t xml:space="preserve"> as well as more localised services covering sub-metropolitan regions of each city.</w:t>
      </w:r>
      <w:r w:rsidR="001B3EF6">
        <w:t xml:space="preserve"> </w:t>
      </w:r>
    </w:p>
    <w:p w14:paraId="56D39990" w14:textId="6E61A189" w:rsidR="00D91CDA" w:rsidRPr="00D91CDA" w:rsidRDefault="001B3EF6" w:rsidP="00D91CDA">
      <w:r>
        <w:t>T</w:t>
      </w:r>
      <w:r w:rsidRPr="001B3EF6">
        <w:t xml:space="preserve">he community sector </w:t>
      </w:r>
      <w:r>
        <w:t>t</w:t>
      </w:r>
      <w:r w:rsidRPr="001B3EF6">
        <w:t xml:space="preserve">ransmits </w:t>
      </w:r>
      <w:r>
        <w:t>through</w:t>
      </w:r>
      <w:r w:rsidRPr="001B3EF6">
        <w:t xml:space="preserve"> 415 transmitters, with 13 delivering AM services and 402 delivering FM services. </w:t>
      </w:r>
      <w:r>
        <w:t xml:space="preserve">A further </w:t>
      </w:r>
      <w:r w:rsidRPr="001B3EF6">
        <w:t>13</w:t>
      </w:r>
      <w:r>
        <w:t xml:space="preserve">3 </w:t>
      </w:r>
      <w:r w:rsidR="002A7E6D">
        <w:t xml:space="preserve">FM </w:t>
      </w:r>
      <w:r w:rsidRPr="001B3EF6">
        <w:t>transmitters</w:t>
      </w:r>
      <w:r>
        <w:t xml:space="preserve"> and 1 AM transmitter </w:t>
      </w:r>
      <w:r w:rsidR="00474615">
        <w:t>is</w:t>
      </w:r>
      <w:r>
        <w:t xml:space="preserve"> used for temporary community broadcasting.</w:t>
      </w:r>
    </w:p>
    <w:p w14:paraId="1F968009" w14:textId="7E158759" w:rsidR="00D91CDA" w:rsidRDefault="0085004E" w:rsidP="008731FB">
      <w:pPr>
        <w:pStyle w:val="Heading4"/>
      </w:pPr>
      <w:r>
        <w:t>Economic</w:t>
      </w:r>
      <w:r w:rsidR="00C97ADF">
        <w:t xml:space="preserve"> pressures</w:t>
      </w:r>
    </w:p>
    <w:p w14:paraId="56FD3E90" w14:textId="199E3618" w:rsidR="008410C6" w:rsidRDefault="008410C6" w:rsidP="001B5127">
      <w:r>
        <w:t>T</w:t>
      </w:r>
      <w:r w:rsidR="00673C7B">
        <w:t>he television and radio broadcasting environment is under pressure</w:t>
      </w:r>
      <w:r w:rsidR="00827819">
        <w:t>. Ongoing</w:t>
      </w:r>
      <w:r>
        <w:t xml:space="preserve"> technology developments and changing audience preferences </w:t>
      </w:r>
      <w:r w:rsidR="00827819">
        <w:t xml:space="preserve">are affecting </w:t>
      </w:r>
      <w:r>
        <w:t xml:space="preserve">future demand for spectrum. </w:t>
      </w:r>
      <w:r w:rsidR="005B3C74">
        <w:t>T</w:t>
      </w:r>
      <w:r w:rsidR="00827819">
        <w:t>he environment f</w:t>
      </w:r>
      <w:r>
        <w:t xml:space="preserve">or commercial broadcasters in </w:t>
      </w:r>
      <w:r w:rsidR="002A7E6D">
        <w:t>TV</w:t>
      </w:r>
      <w:r>
        <w:t xml:space="preserve"> and radio</w:t>
      </w:r>
      <w:r w:rsidR="00827819">
        <w:t xml:space="preserve"> has seen a marked</w:t>
      </w:r>
      <w:r>
        <w:t xml:space="preserve"> decline of advertising revenues</w:t>
      </w:r>
      <w:r w:rsidR="002A7E6D">
        <w:t>,</w:t>
      </w:r>
      <w:r>
        <w:t xml:space="preserve"> </w:t>
      </w:r>
      <w:r w:rsidR="00827819">
        <w:t xml:space="preserve">which is likely </w:t>
      </w:r>
      <w:r w:rsidR="00127CAB">
        <w:t>to constrain</w:t>
      </w:r>
      <w:r>
        <w:t xml:space="preserve"> the capacity for future network investment. </w:t>
      </w:r>
    </w:p>
    <w:p w14:paraId="2977A38C" w14:textId="2F8DEDA5" w:rsidR="005137C1" w:rsidRDefault="005B3C74" w:rsidP="00856C29">
      <w:pPr>
        <w:keepNext/>
        <w:keepLines/>
      </w:pPr>
      <w:bookmarkStart w:id="156" w:name="_Hlk36823607"/>
      <w:r>
        <w:lastRenderedPageBreak/>
        <w:t xml:space="preserve">Free TV has reported a decline in industry </w:t>
      </w:r>
      <w:r w:rsidRPr="004B3FAC">
        <w:t>revenue</w:t>
      </w:r>
      <w:r>
        <w:t xml:space="preserve"> of 9.2 per cent over 2013</w:t>
      </w:r>
      <w:r w:rsidR="002A7E6D">
        <w:t>–</w:t>
      </w:r>
      <w:r>
        <w:t xml:space="preserve">18 from $3.88 billion to $3.52 </w:t>
      </w:r>
      <w:r w:rsidRPr="001A7C2A">
        <w:t>billion</w:t>
      </w:r>
      <w:r w:rsidR="000B1F7D">
        <w:t>.</w:t>
      </w:r>
      <w:bookmarkStart w:id="157" w:name="_Hlk36823634"/>
      <w:bookmarkEnd w:id="156"/>
      <w:r w:rsidRPr="00435A9F">
        <w:t xml:space="preserve"> </w:t>
      </w:r>
      <w:r w:rsidR="00D20965" w:rsidRPr="008731FB">
        <w:t xml:space="preserve">The commercial radio industry </w:t>
      </w:r>
      <w:r w:rsidR="00D20965">
        <w:t>experienced a drop of 6.1 per cent in metropolitan advertising revenue ($760.899 million) for the 2019 calendar year, with revenue down 9</w:t>
      </w:r>
      <w:r w:rsidR="000C75ED">
        <w:t>.</w:t>
      </w:r>
      <w:r w:rsidR="00D20965">
        <w:t>4 per cent in the December quarter</w:t>
      </w:r>
      <w:r w:rsidR="00544D5D">
        <w:t xml:space="preserve"> from the </w:t>
      </w:r>
      <w:r w:rsidR="00544D5D" w:rsidRPr="00414D67">
        <w:t>same period in 2018</w:t>
      </w:r>
      <w:r w:rsidR="00D20965" w:rsidRPr="00414D67">
        <w:t>.</w:t>
      </w:r>
      <w:r w:rsidR="00030C7E" w:rsidRPr="00414D67">
        <w:rPr>
          <w:rStyle w:val="FootnoteReference"/>
        </w:rPr>
        <w:footnoteReference w:id="22"/>
      </w:r>
      <w:r w:rsidR="00030C7E" w:rsidRPr="00414D67">
        <w:t xml:space="preserve"> </w:t>
      </w:r>
      <w:r w:rsidR="00D22297" w:rsidRPr="00414D67">
        <w:t xml:space="preserve">In the quarter to </w:t>
      </w:r>
      <w:r w:rsidR="009B5A37" w:rsidRPr="00414D67">
        <w:t>March 2020</w:t>
      </w:r>
      <w:r w:rsidR="002A7E6D" w:rsidRPr="00414D67">
        <w:t>,</w:t>
      </w:r>
      <w:r w:rsidR="009B5A37" w:rsidRPr="00414D67">
        <w:t xml:space="preserve"> metropolitan radio advertising revenue was do</w:t>
      </w:r>
      <w:r w:rsidR="002A7E6D" w:rsidRPr="00414D67">
        <w:t>wn</w:t>
      </w:r>
      <w:r w:rsidR="009B5A37" w:rsidRPr="00414D67">
        <w:t xml:space="preserve"> 12.3 per cent on the same period last year.</w:t>
      </w:r>
      <w:r w:rsidR="009B5A37" w:rsidRPr="00414D67">
        <w:rPr>
          <w:rStyle w:val="FootnoteReference"/>
        </w:rPr>
        <w:footnoteReference w:id="23"/>
      </w:r>
    </w:p>
    <w:p w14:paraId="047EC514" w14:textId="0762034F" w:rsidR="009F2F47" w:rsidRDefault="005137C1" w:rsidP="009F2F47">
      <w:r>
        <w:t xml:space="preserve">The COVID-19 pandemic has </w:t>
      </w:r>
      <w:r w:rsidR="00987BA2">
        <w:t xml:space="preserve">resulted in </w:t>
      </w:r>
      <w:r>
        <w:t xml:space="preserve">a further </w:t>
      </w:r>
      <w:r w:rsidR="00BA72BD">
        <w:t>impact on</w:t>
      </w:r>
      <w:r>
        <w:t xml:space="preserve"> commercial radio </w:t>
      </w:r>
      <w:r w:rsidR="00BA72BD">
        <w:t>advertising revenue.</w:t>
      </w:r>
      <w:r>
        <w:t xml:space="preserve"> </w:t>
      </w:r>
      <w:r w:rsidR="00341272">
        <w:t>In April 2020</w:t>
      </w:r>
      <w:r w:rsidR="00987BA2">
        <w:t>,</w:t>
      </w:r>
      <w:r w:rsidR="00341272">
        <w:t xml:space="preserve"> several radio networks announced cost cutting</w:t>
      </w:r>
      <w:r>
        <w:t xml:space="preserve"> measures.</w:t>
      </w:r>
      <w:r w:rsidR="00B33E10">
        <w:rPr>
          <w:rStyle w:val="FootnoteReference"/>
        </w:rPr>
        <w:footnoteReference w:id="24"/>
      </w:r>
      <w:r w:rsidR="00341272">
        <w:t xml:space="preserve"> </w:t>
      </w:r>
      <w:r w:rsidR="009F2F47">
        <w:t xml:space="preserve">Similarly, commercial television has been affected by a decline in advertising revenue and </w:t>
      </w:r>
      <w:r w:rsidR="005A170A">
        <w:t xml:space="preserve">disruption to </w:t>
      </w:r>
      <w:r w:rsidR="009F2F47">
        <w:t xml:space="preserve">content </w:t>
      </w:r>
      <w:r w:rsidR="005A170A">
        <w:t xml:space="preserve">availability </w:t>
      </w:r>
      <w:r w:rsidR="009F2F47">
        <w:t xml:space="preserve">due to </w:t>
      </w:r>
      <w:r w:rsidR="00987BA2">
        <w:t>the shutdown</w:t>
      </w:r>
      <w:r w:rsidR="005A170A">
        <w:t xml:space="preserve"> of </w:t>
      </w:r>
      <w:r w:rsidR="009F2F47">
        <w:t>television production</w:t>
      </w:r>
      <w:r w:rsidR="005A170A">
        <w:t xml:space="preserve"> and suspension of major sporting events.</w:t>
      </w:r>
      <w:r w:rsidR="008A77A4">
        <w:t xml:space="preserve"> Citing these factors, i</w:t>
      </w:r>
      <w:r w:rsidR="00CE1CCF">
        <w:t>n March 2020</w:t>
      </w:r>
      <w:r w:rsidR="00987BA2">
        <w:t>,</w:t>
      </w:r>
      <w:r w:rsidR="00CE1CCF">
        <w:t xml:space="preserve"> Nine </w:t>
      </w:r>
      <w:r w:rsidR="008A77A4">
        <w:t>E</w:t>
      </w:r>
      <w:r w:rsidR="00CE1CCF">
        <w:t xml:space="preserve">ntertainment and </w:t>
      </w:r>
      <w:r w:rsidR="008A77A4">
        <w:t>Seven West Media each withdrew their profit guidance for the financial year.</w:t>
      </w:r>
      <w:r w:rsidR="00BA72BD">
        <w:rPr>
          <w:rStyle w:val="FootnoteReference"/>
        </w:rPr>
        <w:footnoteReference w:id="25"/>
      </w:r>
    </w:p>
    <w:p w14:paraId="19D9F253" w14:textId="434585B7" w:rsidR="009B5A37" w:rsidRDefault="009B5A37" w:rsidP="000B1F7D">
      <w:pPr>
        <w:rPr>
          <w:color w:val="000000"/>
          <w:shd w:val="clear" w:color="auto" w:fill="FFFFFF"/>
        </w:rPr>
      </w:pPr>
      <w:r>
        <w:t>In April 2020</w:t>
      </w:r>
      <w:r w:rsidR="00987BA2">
        <w:t xml:space="preserve">, </w:t>
      </w:r>
      <w:r>
        <w:t>in response to</w:t>
      </w:r>
      <w:r w:rsidRPr="009B5A37">
        <w:rPr>
          <w:color w:val="000000"/>
          <w:shd w:val="clear" w:color="auto" w:fill="FFFFFF"/>
        </w:rPr>
        <w:t xml:space="preserve"> </w:t>
      </w:r>
      <w:r>
        <w:rPr>
          <w:color w:val="000000"/>
          <w:shd w:val="clear" w:color="auto" w:fill="FFFFFF"/>
        </w:rPr>
        <w:t>representations from a number of affected</w:t>
      </w:r>
      <w:r w:rsidR="005A170A">
        <w:rPr>
          <w:color w:val="000000"/>
          <w:shd w:val="clear" w:color="auto" w:fill="FFFFFF"/>
        </w:rPr>
        <w:t xml:space="preserve"> commercial </w:t>
      </w:r>
      <w:r>
        <w:rPr>
          <w:color w:val="000000"/>
          <w:shd w:val="clear" w:color="auto" w:fill="FFFFFF"/>
        </w:rPr>
        <w:t xml:space="preserve">broadcasters seeking relief from transmitter licence taxes </w:t>
      </w:r>
      <w:r w:rsidR="00987BA2">
        <w:rPr>
          <w:color w:val="000000"/>
          <w:shd w:val="clear" w:color="auto" w:fill="FFFFFF"/>
        </w:rPr>
        <w:t>due to</w:t>
      </w:r>
      <w:r>
        <w:rPr>
          <w:color w:val="000000"/>
          <w:shd w:val="clear" w:color="auto" w:fill="FFFFFF"/>
        </w:rPr>
        <w:t xml:space="preserve"> the impacts of the COVID-19 pandemic</w:t>
      </w:r>
      <w:r w:rsidR="00987BA2">
        <w:rPr>
          <w:color w:val="000000"/>
          <w:shd w:val="clear" w:color="auto" w:fill="FFFFFF"/>
        </w:rPr>
        <w:t xml:space="preserve">, </w:t>
      </w:r>
      <w:r>
        <w:rPr>
          <w:color w:val="000000"/>
          <w:shd w:val="clear" w:color="auto" w:fill="FFFFFF"/>
        </w:rPr>
        <w:t xml:space="preserve">the </w:t>
      </w:r>
      <w:r w:rsidR="00987BA2">
        <w:rPr>
          <w:color w:val="000000"/>
          <w:shd w:val="clear" w:color="auto" w:fill="FFFFFF"/>
        </w:rPr>
        <w:t>g</w:t>
      </w:r>
      <w:r>
        <w:rPr>
          <w:color w:val="000000"/>
          <w:shd w:val="clear" w:color="auto" w:fill="FFFFFF"/>
        </w:rPr>
        <w:t>overnment made rules that provided a 100</w:t>
      </w:r>
      <w:r w:rsidR="00987BA2">
        <w:rPr>
          <w:color w:val="000000"/>
          <w:shd w:val="clear" w:color="auto" w:fill="FFFFFF"/>
        </w:rPr>
        <w:t xml:space="preserve"> per cent</w:t>
      </w:r>
      <w:r>
        <w:rPr>
          <w:color w:val="000000"/>
          <w:shd w:val="clear" w:color="auto" w:fill="FFFFFF"/>
        </w:rPr>
        <w:t xml:space="preserve"> rebate </w:t>
      </w:r>
      <w:r w:rsidR="009F2F47">
        <w:rPr>
          <w:color w:val="000000"/>
          <w:shd w:val="clear" w:color="auto" w:fill="FFFFFF"/>
        </w:rPr>
        <w:t>of the commercial</w:t>
      </w:r>
      <w:r>
        <w:rPr>
          <w:color w:val="000000"/>
          <w:shd w:val="clear" w:color="auto" w:fill="FFFFFF"/>
        </w:rPr>
        <w:t xml:space="preserve"> broadcasting tax</w:t>
      </w:r>
      <w:r w:rsidR="009F2F47">
        <w:rPr>
          <w:color w:val="000000"/>
          <w:shd w:val="clear" w:color="auto" w:fill="FFFFFF"/>
        </w:rPr>
        <w:t xml:space="preserve"> for the 12 months </w:t>
      </w:r>
      <w:r w:rsidR="009F2F47" w:rsidRPr="009F2F47">
        <w:rPr>
          <w:color w:val="000000"/>
          <w:shd w:val="clear" w:color="auto" w:fill="FFFFFF"/>
        </w:rPr>
        <w:t>beginning 14 February 2020 and ending 13 February 2021</w:t>
      </w:r>
      <w:r w:rsidR="009F2F47">
        <w:rPr>
          <w:color w:val="000000"/>
          <w:shd w:val="clear" w:color="auto" w:fill="FFFFFF"/>
        </w:rPr>
        <w:t>.</w:t>
      </w:r>
      <w:r w:rsidR="009F2F47">
        <w:rPr>
          <w:rStyle w:val="FootnoteReference"/>
          <w:color w:val="000000"/>
          <w:shd w:val="clear" w:color="auto" w:fill="FFFFFF"/>
        </w:rPr>
        <w:footnoteReference w:id="26"/>
      </w:r>
      <w:r>
        <w:rPr>
          <w:color w:val="000000"/>
          <w:shd w:val="clear" w:color="auto" w:fill="FFFFFF"/>
        </w:rPr>
        <w:t xml:space="preserve"> </w:t>
      </w:r>
      <w:r w:rsidR="009F2F47">
        <w:rPr>
          <w:color w:val="000000"/>
          <w:shd w:val="clear" w:color="auto" w:fill="FFFFFF"/>
        </w:rPr>
        <w:t xml:space="preserve">This is discussed further in the </w:t>
      </w:r>
      <w:hyperlink w:anchor="_Commercial_broadcasting_taxes" w:history="1">
        <w:r w:rsidR="009F2F47" w:rsidRPr="00513FDE">
          <w:rPr>
            <w:rStyle w:val="Hyperlink"/>
            <w:i/>
            <w:iCs/>
            <w:shd w:val="clear" w:color="auto" w:fill="FFFFFF"/>
          </w:rPr>
          <w:t>Pricing</w:t>
        </w:r>
      </w:hyperlink>
      <w:r w:rsidR="009F2F47">
        <w:rPr>
          <w:color w:val="000000"/>
          <w:shd w:val="clear" w:color="auto" w:fill="FFFFFF"/>
        </w:rPr>
        <w:t xml:space="preserve"> section.</w:t>
      </w:r>
    </w:p>
    <w:p w14:paraId="2CE914FC" w14:textId="78128A2D" w:rsidR="0085004E" w:rsidRDefault="0085004E" w:rsidP="008731FB">
      <w:pPr>
        <w:pStyle w:val="Heading4"/>
      </w:pPr>
      <w:r>
        <w:t xml:space="preserve">Spectrum </w:t>
      </w:r>
      <w:r w:rsidR="000E7B4F">
        <w:t>demand</w:t>
      </w:r>
    </w:p>
    <w:p w14:paraId="676AAE0C" w14:textId="582CC89A" w:rsidR="00FF71C0" w:rsidRDefault="00987BA2" w:rsidP="00FF71C0">
      <w:bookmarkStart w:id="158" w:name="_Hlk36823797"/>
      <w:bookmarkEnd w:id="157"/>
      <w:r>
        <w:t>C</w:t>
      </w:r>
      <w:r w:rsidR="0085004E">
        <w:t>hanging spectrum requirements</w:t>
      </w:r>
      <w:r>
        <w:t xml:space="preserve"> are</w:t>
      </w:r>
      <w:r w:rsidR="0085004E">
        <w:t xml:space="preserve"> needed to support the ongoing evolution of broadcasting services and their audiences. </w:t>
      </w:r>
      <w:r w:rsidR="00FF71C0">
        <w:t>Evolving digital transmission technology and changes in viewer and listener behaviour are altering the modes of delivery and consequently</w:t>
      </w:r>
      <w:r w:rsidR="00FF71C0" w:rsidDel="00C8052B">
        <w:t xml:space="preserve"> </w:t>
      </w:r>
      <w:r w:rsidR="00FF71C0">
        <w:t xml:space="preserve">changing the broadcasting demand for spectrum. </w:t>
      </w:r>
    </w:p>
    <w:p w14:paraId="02A3EDBC" w14:textId="1C2BA264" w:rsidR="00FF71C0" w:rsidRDefault="00FF71C0" w:rsidP="00FF71C0">
      <w:r w:rsidRPr="00E12E45">
        <w:t xml:space="preserve">In recognition of the technological evolution occurring in broadcasting, </w:t>
      </w:r>
      <w:r w:rsidR="004275BC">
        <w:t>we</w:t>
      </w:r>
      <w:r w:rsidR="004B3FAC">
        <w:t xml:space="preserve"> have</w:t>
      </w:r>
      <w:r w:rsidRPr="00E12E45">
        <w:t xml:space="preserve"> actively supported new technology trials, such as the DVB-T2 trials for television</w:t>
      </w:r>
      <w:r>
        <w:t>.</w:t>
      </w:r>
    </w:p>
    <w:p w14:paraId="65E403EF" w14:textId="2427DB92" w:rsidR="00FF71C0" w:rsidRDefault="00FF71C0" w:rsidP="00FF71C0">
      <w:r>
        <w:t xml:space="preserve">In radio, the work </w:t>
      </w:r>
      <w:r w:rsidR="004275BC">
        <w:t>we have</w:t>
      </w:r>
      <w:r>
        <w:t xml:space="preserve"> done with the radio industry through the </w:t>
      </w:r>
      <w:hyperlink r:id="rId42" w:history="1">
        <w:r w:rsidRPr="005137C1">
          <w:rPr>
            <w:rStyle w:val="Hyperlink"/>
            <w:i/>
            <w:iCs/>
          </w:rPr>
          <w:t>Future delivery of radio</w:t>
        </w:r>
      </w:hyperlink>
      <w:r>
        <w:t xml:space="preserve">, </w:t>
      </w:r>
      <w:r w:rsidR="00987BA2">
        <w:t xml:space="preserve">has provided </w:t>
      </w:r>
      <w:r>
        <w:t>an ongoing transition path for the radio industry to evolve in response to new technologies and changing audience preferences, with the prioritisation of frequency planning arrangements designed to support radio broadcasters in making the best choices about their future service delivery.</w:t>
      </w:r>
    </w:p>
    <w:p w14:paraId="0FB1088B" w14:textId="70D231A8" w:rsidR="00FF71C0" w:rsidRPr="00776BF2" w:rsidRDefault="00987BA2" w:rsidP="000B1F7D">
      <w:r>
        <w:t>Our</w:t>
      </w:r>
      <w:r w:rsidR="00FF71C0">
        <w:t xml:space="preserve"> priorities outlined in the report include the continued transitioning of commercial, community and national services in regional areas from AM to FM where spectrum is readily available, arrangements to allow further rollout of digital radio where this is feasible, coverage improvements for national, commercial and community broadcasting where spectrum is available and support for trials of new types of broadcasting technology.</w:t>
      </w:r>
      <w:r w:rsidR="00EA6D18">
        <w:t xml:space="preserve"> </w:t>
      </w:r>
    </w:p>
    <w:p w14:paraId="54BE0AE9" w14:textId="77777777" w:rsidR="00335C95" w:rsidRPr="00B53F89" w:rsidRDefault="00465725" w:rsidP="0010018E">
      <w:pPr>
        <w:keepNext/>
        <w:keepLines/>
        <w:spacing w:after="0"/>
      </w:pPr>
      <w:bookmarkStart w:id="159" w:name="_Toc494115154"/>
      <w:bookmarkStart w:id="160" w:name="_Toc510104935"/>
      <w:bookmarkStart w:id="161" w:name="_Toc510105732"/>
      <w:bookmarkStart w:id="162" w:name="_Toc511716273"/>
      <w:bookmarkStart w:id="163" w:name="_Toc511719084"/>
      <w:bookmarkStart w:id="164" w:name="_Toc522794080"/>
      <w:bookmarkStart w:id="165" w:name="_Toc509581804"/>
      <w:bookmarkStart w:id="166" w:name="_Toc509585120"/>
      <w:bookmarkStart w:id="167" w:name="_Toc509585656"/>
      <w:bookmarkStart w:id="168" w:name="_Toc510795072"/>
      <w:bookmarkStart w:id="169" w:name="_Hlk2582851"/>
      <w:bookmarkEnd w:id="147"/>
      <w:bookmarkEnd w:id="148"/>
      <w:bookmarkEnd w:id="149"/>
      <w:bookmarkEnd w:id="150"/>
      <w:bookmarkEnd w:id="153"/>
      <w:bookmarkEnd w:id="154"/>
      <w:bookmarkEnd w:id="155"/>
      <w:bookmarkEnd w:id="158"/>
      <w:r w:rsidRPr="006A2F04">
        <w:rPr>
          <w:noProof/>
        </w:rPr>
        <w:lastRenderedPageBreak/>
        <w:drawing>
          <wp:inline distT="0" distB="0" distL="0" distR="0" wp14:anchorId="7C749D18" wp14:editId="20BBA512">
            <wp:extent cx="341630" cy="359410"/>
            <wp:effectExtent l="0" t="0" r="1270" b="2540"/>
            <wp:docPr id="138" name="Picture 138"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p>
    <w:p w14:paraId="7152E04D" w14:textId="411E09C0" w:rsidR="005A2067" w:rsidRDefault="00835321" w:rsidP="0010018E">
      <w:pPr>
        <w:pStyle w:val="Heading3"/>
        <w:keepLines/>
      </w:pPr>
      <w:bookmarkStart w:id="170" w:name="_Toc31892780"/>
      <w:bookmarkStart w:id="171" w:name="_Toc36207403"/>
      <w:bookmarkStart w:id="172" w:name="_Toc38987154"/>
      <w:r w:rsidRPr="00B53F89">
        <w:t>Satellite communications</w:t>
      </w:r>
      <w:bookmarkEnd w:id="159"/>
      <w:bookmarkEnd w:id="160"/>
      <w:bookmarkEnd w:id="161"/>
      <w:bookmarkEnd w:id="162"/>
      <w:bookmarkEnd w:id="163"/>
      <w:bookmarkEnd w:id="164"/>
      <w:bookmarkEnd w:id="170"/>
      <w:bookmarkEnd w:id="171"/>
      <w:bookmarkEnd w:id="172"/>
      <w:r w:rsidR="00F45C16" w:rsidRPr="00B53F89">
        <w:t xml:space="preserve"> </w:t>
      </w:r>
      <w:bookmarkEnd w:id="165"/>
      <w:bookmarkEnd w:id="166"/>
      <w:bookmarkEnd w:id="167"/>
      <w:bookmarkEnd w:id="168"/>
    </w:p>
    <w:p w14:paraId="0EEEE7A0" w14:textId="7377BCCE" w:rsidR="00D24E23" w:rsidRDefault="00D24E23" w:rsidP="0010018E">
      <w:pPr>
        <w:keepNext/>
        <w:keepLines/>
      </w:pPr>
      <w:r>
        <w:t>Satellite communications are experiencing a significant period of technolog</w:t>
      </w:r>
      <w:r w:rsidR="00987BA2">
        <w:t>ical</w:t>
      </w:r>
      <w:r>
        <w:t xml:space="preserve"> innovation</w:t>
      </w:r>
      <w:r w:rsidR="00987BA2">
        <w:t>,</w:t>
      </w:r>
      <w:r>
        <w:t xml:space="preserve"> and disruption in the provision and delivery of communications and space-based science services.</w:t>
      </w:r>
      <w:r w:rsidR="00E34733">
        <w:t xml:space="preserve"> </w:t>
      </w:r>
    </w:p>
    <w:p w14:paraId="5A2BC870" w14:textId="4C0A2868" w:rsidR="00E34733" w:rsidRDefault="00776BF2">
      <w:r w:rsidRPr="00776BF2">
        <w:t xml:space="preserve">IBIS World estimates revenue for the industry at $5.6 billion in 2020, growing annually at </w:t>
      </w:r>
      <w:r w:rsidR="00987BA2">
        <w:t>eight</w:t>
      </w:r>
      <w:r w:rsidRPr="00776BF2">
        <w:t xml:space="preserve"> per cent over the past five years.</w:t>
      </w:r>
      <w:r w:rsidRPr="00776BF2">
        <w:rPr>
          <w:vertAlign w:val="superscript"/>
        </w:rPr>
        <w:footnoteReference w:id="27"/>
      </w:r>
      <w:r w:rsidR="00D24E23" w:rsidRPr="00776BF2">
        <w:t xml:space="preserve"> </w:t>
      </w:r>
      <w:r w:rsidR="007D15D8">
        <w:t>Globally though, some satellite operators are experiencing difficult financial conditions, that may constrain future network expansion plans and demand for spectrum.</w:t>
      </w:r>
    </w:p>
    <w:p w14:paraId="36349DF6" w14:textId="4DA6F7E2" w:rsidR="00E34733" w:rsidRDefault="001B07AF">
      <w:r w:rsidRPr="00776BF2">
        <w:t>The Australian space industry is projected to grow at 7.4 per cent annually over the next five years</w:t>
      </w:r>
      <w:r w:rsidR="00127CAB">
        <w:t>.</w:t>
      </w:r>
      <w:r w:rsidR="00E34733">
        <w:rPr>
          <w:rStyle w:val="FootnoteReference"/>
        </w:rPr>
        <w:footnoteReference w:id="28"/>
      </w:r>
      <w:r w:rsidR="00E34733" w:rsidRPr="00E34733">
        <w:t xml:space="preserve"> The Australian Civil Space Strategy 2019</w:t>
      </w:r>
      <w:r w:rsidR="00987BA2">
        <w:t>–</w:t>
      </w:r>
      <w:r w:rsidR="00E34733" w:rsidRPr="00E34733">
        <w:t>2028 sets a clear path to take the space sector into the next decade and beyond.</w:t>
      </w:r>
    </w:p>
    <w:p w14:paraId="7E389C32" w14:textId="5CB566C6" w:rsidR="00776BF2" w:rsidRPr="00776BF2" w:rsidRDefault="00776BF2" w:rsidP="00513FDE">
      <w:pPr>
        <w:pStyle w:val="Paragraphbeforelist"/>
      </w:pPr>
      <w:r w:rsidRPr="00776BF2">
        <w:t>Key market segments in Australia include:</w:t>
      </w:r>
    </w:p>
    <w:p w14:paraId="5CCD1768" w14:textId="19807B09" w:rsidR="00776BF2" w:rsidRPr="00776BF2" w:rsidRDefault="00987BA2" w:rsidP="00D24E23">
      <w:pPr>
        <w:pStyle w:val="ListBullet"/>
        <w:keepNext w:val="0"/>
        <w:keepLines w:val="0"/>
        <w:ind w:left="284" w:hanging="284"/>
      </w:pPr>
      <w:r>
        <w:t>s</w:t>
      </w:r>
      <w:r w:rsidR="00776BF2" w:rsidRPr="00776BF2">
        <w:t>atellite communications</w:t>
      </w:r>
      <w:r w:rsidR="0077670E">
        <w:t xml:space="preserve"> (including broadband)</w:t>
      </w:r>
    </w:p>
    <w:p w14:paraId="4307EAB1" w14:textId="70FCCB41" w:rsidR="00776BF2" w:rsidRPr="00776BF2" w:rsidRDefault="00987BA2" w:rsidP="00D24E23">
      <w:pPr>
        <w:pStyle w:val="ListBullet"/>
        <w:keepNext w:val="0"/>
        <w:keepLines w:val="0"/>
        <w:ind w:left="284" w:hanging="284"/>
      </w:pPr>
      <w:r>
        <w:t>p</w:t>
      </w:r>
      <w:r w:rsidR="00776BF2" w:rsidRPr="00776BF2">
        <w:t>ay television (</w:t>
      </w:r>
      <w:r w:rsidR="0018164A">
        <w:t>for example,</w:t>
      </w:r>
      <w:r w:rsidR="00776BF2" w:rsidRPr="00776BF2">
        <w:t xml:space="preserve"> Singtel Optus and Foxtel); otherwise known as direct to home (DTH) services </w:t>
      </w:r>
    </w:p>
    <w:p w14:paraId="21C35016" w14:textId="2D0E654A" w:rsidR="00776BF2" w:rsidRPr="00776BF2" w:rsidRDefault="00987BA2" w:rsidP="00D24E23">
      <w:pPr>
        <w:pStyle w:val="ListBullet"/>
        <w:keepNext w:val="0"/>
        <w:keepLines w:val="0"/>
        <w:ind w:left="284" w:hanging="284"/>
      </w:pPr>
      <w:r>
        <w:t>g</w:t>
      </w:r>
      <w:r w:rsidR="00776BF2" w:rsidRPr="00776BF2">
        <w:t>round station infrastructure which enables uplink, supports launch activities, satellite operation and tracking systems</w:t>
      </w:r>
    </w:p>
    <w:p w14:paraId="5CE40FEB" w14:textId="1C509849" w:rsidR="00776BF2" w:rsidRPr="00776BF2" w:rsidRDefault="00987BA2" w:rsidP="00D24E23">
      <w:pPr>
        <w:pStyle w:val="ListBullet"/>
        <w:keepNext w:val="0"/>
        <w:keepLines w:val="0"/>
        <w:ind w:left="284" w:hanging="284"/>
      </w:pPr>
      <w:r>
        <w:t>g</w:t>
      </w:r>
      <w:r w:rsidR="00776BF2" w:rsidRPr="00776BF2">
        <w:t>lobal navigation satellite services (GNSS)</w:t>
      </w:r>
    </w:p>
    <w:p w14:paraId="34437F7E" w14:textId="5AEED82C" w:rsidR="00776BF2" w:rsidRPr="00776BF2" w:rsidRDefault="00987BA2" w:rsidP="00D24E23">
      <w:pPr>
        <w:pStyle w:val="ListBullet"/>
        <w:keepNext w:val="0"/>
        <w:keepLines w:val="0"/>
        <w:ind w:left="284" w:hanging="284"/>
      </w:pPr>
      <w:r>
        <w:t>s</w:t>
      </w:r>
      <w:r w:rsidR="00776BF2" w:rsidRPr="00776BF2">
        <w:t>pace technology and manufacturing of high-tech components, nanosatellites, components</w:t>
      </w:r>
    </w:p>
    <w:p w14:paraId="1C7EC570" w14:textId="17E7FDE8" w:rsidR="00776BF2" w:rsidRPr="00776BF2" w:rsidRDefault="00987BA2" w:rsidP="00513FDE">
      <w:pPr>
        <w:pStyle w:val="ListBulletLast"/>
      </w:pPr>
      <w:r>
        <w:t>o</w:t>
      </w:r>
      <w:r w:rsidR="00776BF2" w:rsidRPr="00776BF2">
        <w:t>ther satellite services include space research.</w:t>
      </w:r>
    </w:p>
    <w:p w14:paraId="05CFF88A" w14:textId="689B988B" w:rsidR="00D24E23" w:rsidRPr="00776BF2" w:rsidRDefault="00D24E23" w:rsidP="00D24E23">
      <w:r w:rsidRPr="00776BF2">
        <w:t>Other new satellite business models</w:t>
      </w:r>
      <w:r w:rsidR="00CC3332">
        <w:t>,</w:t>
      </w:r>
      <w:r w:rsidRPr="00776BF2">
        <w:t xml:space="preserve"> which are largely considered emerging (</w:t>
      </w:r>
      <w:r>
        <w:t>that is,</w:t>
      </w:r>
      <w:r w:rsidRPr="00776BF2">
        <w:t xml:space="preserve"> currently not generating significant revenues) but do not have significant operations in Australia</w:t>
      </w:r>
      <w:r w:rsidR="00CC3332">
        <w:t>,</w:t>
      </w:r>
      <w:r w:rsidRPr="00776BF2">
        <w:t xml:space="preserve"> include satellite servicing, platforms, space mining/resource utilisation, situational awareness, in-space research and manufacturing. </w:t>
      </w:r>
      <w:r>
        <w:t>L</w:t>
      </w:r>
      <w:r w:rsidRPr="00776BF2">
        <w:t xml:space="preserve">ow-earth-orbit (LEO) satellites </w:t>
      </w:r>
      <w:r>
        <w:t xml:space="preserve">are also being trialled </w:t>
      </w:r>
      <w:r w:rsidRPr="00776BF2">
        <w:t xml:space="preserve">with the intention of </w:t>
      </w:r>
      <w:r>
        <w:t>using</w:t>
      </w:r>
      <w:r w:rsidRPr="00776BF2">
        <w:t xml:space="preserve"> thousands of small satellites to offer an alternative to fibre or towers in regional or rural areas. </w:t>
      </w:r>
      <w:r>
        <w:t xml:space="preserve">While trials have commenced, there are currently no </w:t>
      </w:r>
      <w:r w:rsidRPr="00776BF2">
        <w:t>commercial services</w:t>
      </w:r>
      <w:r>
        <w:t xml:space="preserve"> </w:t>
      </w:r>
      <w:r w:rsidRPr="00776BF2">
        <w:t xml:space="preserve">in Australia. </w:t>
      </w:r>
    </w:p>
    <w:p w14:paraId="167E8BE5" w14:textId="0D2E9B11" w:rsidR="00A96482" w:rsidRPr="00B53F89" w:rsidRDefault="00A96482" w:rsidP="00D7755E">
      <w:r w:rsidRPr="00B53F89">
        <w:t>The development of lower-cost, miniaturised space hardware (often referred to as nanosats, cubesats or smallsats) and reduced launch costs are supporting growth in the diversity and capability of services delivered by satellite. In some case</w:t>
      </w:r>
      <w:r w:rsidR="003360A4" w:rsidRPr="00B53F89">
        <w:t>s</w:t>
      </w:r>
      <w:r w:rsidR="00BC5180" w:rsidRPr="00B53F89">
        <w:t>,</w:t>
      </w:r>
      <w:r w:rsidRPr="00B53F89">
        <w:t xml:space="preserve"> smallsats are allowing commercial broadband business models and services requiring constellations of satellites in non-geostationary orbit that were once cost prohibitive to now be viable. Some proposed </w:t>
      </w:r>
      <w:r w:rsidR="00B84A97" w:rsidRPr="00B53F89">
        <w:t>non-geostationary orbit</w:t>
      </w:r>
      <w:r w:rsidRPr="00B53F89">
        <w:t xml:space="preserve"> broadband systems require the deployment of very large numbers</w:t>
      </w:r>
      <w:r w:rsidR="00990D9B" w:rsidRPr="00B53F89">
        <w:t>—for example,</w:t>
      </w:r>
      <w:r w:rsidR="00B53F89">
        <w:t xml:space="preserve"> </w:t>
      </w:r>
      <w:r w:rsidRPr="00B53F89">
        <w:t>hundreds or thousands</w:t>
      </w:r>
      <w:r w:rsidR="00990D9B" w:rsidRPr="00B53F89">
        <w:t>,</w:t>
      </w:r>
      <w:r w:rsidRPr="00B53F89" w:rsidDel="00126CB6">
        <w:t xml:space="preserve"> </w:t>
      </w:r>
      <w:r w:rsidRPr="00B53F89">
        <w:t xml:space="preserve">of satellites. </w:t>
      </w:r>
      <w:r w:rsidR="007764A2">
        <w:t>2019</w:t>
      </w:r>
      <w:r w:rsidR="00CC3332">
        <w:t>–</w:t>
      </w:r>
      <w:r w:rsidR="007764A2">
        <w:t xml:space="preserve">20 saw multiple launches of satellites supporting these constellations. </w:t>
      </w:r>
      <w:r w:rsidRPr="00B53F89">
        <w:t xml:space="preserve">This changed environment has also increased the opportunity for academic and scientific space missions, often of short duration. </w:t>
      </w:r>
    </w:p>
    <w:p w14:paraId="0FC987CB" w14:textId="7F09B46C" w:rsidR="00A96482" w:rsidRPr="00B53F89" w:rsidRDefault="00A96482" w:rsidP="00D7755E">
      <w:r w:rsidRPr="00B53F89">
        <w:t>Collectively</w:t>
      </w:r>
      <w:r w:rsidR="00CC3332">
        <w:t>,</w:t>
      </w:r>
      <w:r w:rsidRPr="00B53F89">
        <w:t xml:space="preserve"> these environmental changes are driving several spectrum management challenges</w:t>
      </w:r>
      <w:r w:rsidR="00A97E6D" w:rsidRPr="00B53F89">
        <w:t>.</w:t>
      </w:r>
      <w:r w:rsidRPr="00B53F89">
        <w:t xml:space="preserve"> </w:t>
      </w:r>
      <w:r w:rsidR="00A97E6D" w:rsidRPr="00B53F89">
        <w:rPr>
          <w:rStyle w:val="CommentReference"/>
          <w:sz w:val="20"/>
          <w:szCs w:val="20"/>
        </w:rPr>
        <w:t>M</w:t>
      </w:r>
      <w:r w:rsidRPr="00B53F89">
        <w:t>any of</w:t>
      </w:r>
      <w:r w:rsidRPr="00B53F89" w:rsidDel="00A97E6D">
        <w:t xml:space="preserve"> </w:t>
      </w:r>
      <w:r w:rsidR="00A97E6D" w:rsidRPr="00B53F89">
        <w:t xml:space="preserve">these </w:t>
      </w:r>
      <w:r w:rsidRPr="00B53F89">
        <w:t>are being addressed</w:t>
      </w:r>
      <w:r w:rsidR="00A97E6D" w:rsidRPr="00B53F89">
        <w:t>, to some extent,</w:t>
      </w:r>
      <w:r w:rsidRPr="00B53F89">
        <w:t xml:space="preserve"> on an international basis given the nature of satellite systems. For example, for reasons of economy and equipment availability, short duration smallsat missions often utilise systems operating </w:t>
      </w:r>
      <w:r w:rsidRPr="00B53F89">
        <w:lastRenderedPageBreak/>
        <w:t xml:space="preserve">in bands not allocated for space services </w:t>
      </w:r>
      <w:r w:rsidR="00EE1971" w:rsidRPr="00B53F89">
        <w:t>in the</w:t>
      </w:r>
      <w:r w:rsidR="008E6685" w:rsidRPr="00B53F89">
        <w:t xml:space="preserve"> </w:t>
      </w:r>
      <w:hyperlink r:id="rId43" w:history="1">
        <w:r w:rsidR="00D24E23" w:rsidRPr="00B53F89">
          <w:rPr>
            <w:rStyle w:val="Hyperlink"/>
            <w:rFonts w:cs="Arial"/>
            <w:i/>
          </w:rPr>
          <w:t xml:space="preserve">Australian Radiofrequency </w:t>
        </w:r>
        <w:r w:rsidR="00D24E23" w:rsidRPr="00B53F89">
          <w:rPr>
            <w:rStyle w:val="Hyperlink"/>
            <w:i/>
          </w:rPr>
          <w:t>Spectrum Plan 2017</w:t>
        </w:r>
      </w:hyperlink>
      <w:r w:rsidR="00D24E23" w:rsidRPr="00B53F89">
        <w:t xml:space="preserve"> (ARSP) and/or are not filed and coordinated internationally for interference management purposes. This creates practical challenges for national spectrum managers, such as the ACMA, which are generally eager to support these missions but need to ensure practical interference management considerations are addressed</w:t>
      </w:r>
      <w:r w:rsidRPr="00B53F89">
        <w:t xml:space="preserve">. </w:t>
      </w:r>
    </w:p>
    <w:p w14:paraId="416B21AE" w14:textId="77777777" w:rsidR="004C0AFC" w:rsidRPr="00B53F89" w:rsidRDefault="00D24E23">
      <w:r w:rsidRPr="00B53F89">
        <w:t>There has also</w:t>
      </w:r>
      <w:r w:rsidR="006A45A2" w:rsidRPr="00B53F89">
        <w:t xml:space="preserve"> been</w:t>
      </w:r>
      <w:r w:rsidR="009962F3" w:rsidRPr="00B53F89">
        <w:t xml:space="preserve"> </w:t>
      </w:r>
      <w:r w:rsidR="007764A2">
        <w:t xml:space="preserve">ongoing </w:t>
      </w:r>
      <w:r w:rsidR="009962F3" w:rsidRPr="00B53F89">
        <w:t xml:space="preserve">growth in satellite broadband high throughput systems (HTS) </w:t>
      </w:r>
      <w:r w:rsidR="007764A2">
        <w:t>and very high throughput systems (VHTS)</w:t>
      </w:r>
      <w:r w:rsidR="009962F3" w:rsidRPr="00B53F89">
        <w:t xml:space="preserve"> that increase the demand for spectrum arrangements to support ubiquitous earth stations for user terminals and </w:t>
      </w:r>
      <w:r w:rsidR="006A45A2" w:rsidRPr="00B53F89">
        <w:t xml:space="preserve">for </w:t>
      </w:r>
      <w:r w:rsidR="009962F3" w:rsidRPr="00B53F89">
        <w:t>supporting gateway earth stations</w:t>
      </w:r>
      <w:r w:rsidR="006A45A2" w:rsidRPr="00B53F89">
        <w:t xml:space="preserve">. </w:t>
      </w:r>
    </w:p>
    <w:p w14:paraId="069B2B14" w14:textId="77777777" w:rsidR="001B07AF" w:rsidRDefault="009962F3" w:rsidP="00FB4F24">
      <w:r w:rsidRPr="00B53F89">
        <w:t xml:space="preserve">The current Australian spectrum management framework already provides for ubiquitous, uncoordinated </w:t>
      </w:r>
      <w:r w:rsidR="005F5045" w:rsidRPr="00B53F89">
        <w:t>e</w:t>
      </w:r>
      <w:r w:rsidRPr="00B53F89">
        <w:t>arth stations suitable for broadband HTS</w:t>
      </w:r>
      <w:r w:rsidR="00FB4F24">
        <w:t>/VHTS</w:t>
      </w:r>
      <w:r w:rsidR="002713EE">
        <w:t xml:space="preserve">. </w:t>
      </w:r>
    </w:p>
    <w:p w14:paraId="45F7ED1F" w14:textId="7AA30D1D" w:rsidR="00FB4F24" w:rsidRPr="000D7E14" w:rsidRDefault="00FB4F24" w:rsidP="00FB4F24">
      <w:r>
        <w:t xml:space="preserve">Decisions </w:t>
      </w:r>
      <w:r w:rsidRPr="000D7E14">
        <w:t xml:space="preserve">by the </w:t>
      </w:r>
      <w:r w:rsidRPr="004B3FAC">
        <w:t>ACMA</w:t>
      </w:r>
      <w:r w:rsidRPr="000D7E14">
        <w:t xml:space="preserve"> in February 2020 </w:t>
      </w:r>
      <w:r>
        <w:t>have significantly</w:t>
      </w:r>
      <w:r w:rsidRPr="000D7E14">
        <w:t xml:space="preserve"> increased </w:t>
      </w:r>
      <w:r>
        <w:t xml:space="preserve">this </w:t>
      </w:r>
      <w:r w:rsidRPr="000D7E14">
        <w:t xml:space="preserve">spectrum access. Combined, an additional 2.6 GHz of spectrum has </w:t>
      </w:r>
      <w:r w:rsidR="00020E80">
        <w:t xml:space="preserve">been </w:t>
      </w:r>
      <w:r w:rsidRPr="000D7E14">
        <w:t>made available</w:t>
      </w:r>
      <w:r w:rsidR="00AD6ACE">
        <w:t>,</w:t>
      </w:r>
      <w:r w:rsidRPr="000D7E14">
        <w:t xml:space="preserve"> expanding the amount of continuous spectrum available for ubiquitous earth stations to 2.05 GHz in the 10.7</w:t>
      </w:r>
      <w:r w:rsidR="00CC3332">
        <w:t>–</w:t>
      </w:r>
      <w:r w:rsidRPr="000D7E14">
        <w:t>12.75 GHz band, 2.5 GHz in 17.7</w:t>
      </w:r>
      <w:r w:rsidR="00CC3332">
        <w:t>–</w:t>
      </w:r>
      <w:r w:rsidRPr="000D7E14">
        <w:t>20.2 GHz band and 1.</w:t>
      </w:r>
      <w:r w:rsidR="00CC3332" w:rsidRPr="000D7E14">
        <w:t>7</w:t>
      </w:r>
      <w:r w:rsidR="00CC3332">
        <w:t> </w:t>
      </w:r>
      <w:r w:rsidRPr="000D7E14">
        <w:t>GHz in the 28.3</w:t>
      </w:r>
      <w:r w:rsidR="00CC3332">
        <w:t>–</w:t>
      </w:r>
      <w:r w:rsidRPr="000D7E14">
        <w:t xml:space="preserve">30 GHz band. In </w:t>
      </w:r>
      <w:r w:rsidRPr="004B3FAC">
        <w:t>parallel</w:t>
      </w:r>
      <w:r w:rsidR="00CC3332" w:rsidRPr="004B3FAC">
        <w:t>,</w:t>
      </w:r>
      <w:r w:rsidRPr="004B3FAC">
        <w:t xml:space="preserve"> </w:t>
      </w:r>
      <w:r w:rsidR="004B3FAC">
        <w:t>we have</w:t>
      </w:r>
      <w:r w:rsidRPr="000D7E14">
        <w:t xml:space="preserve"> </w:t>
      </w:r>
      <w:r>
        <w:t xml:space="preserve">also </w:t>
      </w:r>
      <w:r w:rsidRPr="000D7E14">
        <w:t>decreased licence taxes for space licences in the 10.7</w:t>
      </w:r>
      <w:r w:rsidR="00CC3332">
        <w:t>–</w:t>
      </w:r>
      <w:r w:rsidRPr="000D7E14">
        <w:t>11.7 GHz, 18.2</w:t>
      </w:r>
      <w:r w:rsidR="00CC3332">
        <w:t>–</w:t>
      </w:r>
      <w:r w:rsidRPr="000D7E14">
        <w:t>18.8 GHz and 19.3</w:t>
      </w:r>
      <w:r w:rsidR="00CC3332">
        <w:t>–</w:t>
      </w:r>
      <w:r w:rsidRPr="000D7E14">
        <w:t>19.7 GHz bands (shared with terrestrial fixed services) to the minimum amount.</w:t>
      </w:r>
    </w:p>
    <w:p w14:paraId="153FE1C3" w14:textId="5E2363F6" w:rsidR="009962F3" w:rsidRPr="00B53F89" w:rsidRDefault="00D24E23" w:rsidP="00D7755E">
      <w:r w:rsidRPr="00B53F89">
        <w:t>One of the traditional strengths of satellite services is mobility. Recently, there has been increased interest in delivering broadband to moving earth stations from satellites. This</w:t>
      </w:r>
      <w:r w:rsidRPr="00B53F89" w:rsidDel="004E3739">
        <w:t xml:space="preserve"> </w:t>
      </w:r>
      <w:r w:rsidRPr="00B53F89">
        <w:t>innovation has resulted from technology developments that enable moving earth stations (also referred to as ‘earth stations in motion’ (ESIMs) communicating with space stations in the fixed satellite service bands (FSS)</w:t>
      </w:r>
      <w:r w:rsidR="00CC3332">
        <w:t>.</w:t>
      </w:r>
      <w:r w:rsidRPr="00B53F89">
        <w:rPr>
          <w:vertAlign w:val="superscript"/>
        </w:rPr>
        <w:footnoteReference w:id="29"/>
      </w:r>
      <w:r w:rsidRPr="00B53F89">
        <w:t xml:space="preserve"> The ACMA has, on two occasions</w:t>
      </w:r>
      <w:r w:rsidRPr="00B53F89">
        <w:rPr>
          <w:rStyle w:val="FootnoteReference"/>
        </w:rPr>
        <w:footnoteReference w:id="30"/>
      </w:r>
      <w:r w:rsidRPr="00B53F89">
        <w:t>,</w:t>
      </w:r>
      <w:r w:rsidRPr="00B53F89" w:rsidDel="000B0939">
        <w:t xml:space="preserve"> </w:t>
      </w:r>
      <w:r w:rsidRPr="00B53F89">
        <w:t xml:space="preserve">established interim arrangements supporting ESIMs in parts of the Ka band prior to international regulatory arrangements being established. </w:t>
      </w:r>
      <w:r>
        <w:t>A</w:t>
      </w:r>
      <w:r w:rsidRPr="00B53F89">
        <w:t xml:space="preserve">rrangements supporting ESIMs </w:t>
      </w:r>
      <w:r>
        <w:t xml:space="preserve">have also been developed </w:t>
      </w:r>
      <w:r w:rsidRPr="00B53F89">
        <w:t xml:space="preserve">in </w:t>
      </w:r>
      <w:r w:rsidR="00020E80">
        <w:t>the</w:t>
      </w:r>
      <w:r w:rsidRPr="00B53F89">
        <w:t xml:space="preserve"> Ku band</w:t>
      </w:r>
      <w:r w:rsidR="00FE3587">
        <w:t>,</w:t>
      </w:r>
      <w:r>
        <w:t xml:space="preserve"> which were expanded to include the 10.7</w:t>
      </w:r>
      <w:r w:rsidR="00FE3587">
        <w:t>–</w:t>
      </w:r>
      <w:r>
        <w:t xml:space="preserve">11.7 GHz band in </w:t>
      </w:r>
      <w:r w:rsidR="00974F2E">
        <w:t xml:space="preserve">February </w:t>
      </w:r>
      <w:r>
        <w:t>2020</w:t>
      </w:r>
      <w:r w:rsidRPr="00B53F89">
        <w:t>.</w:t>
      </w:r>
      <w:r w:rsidRPr="00B53F89">
        <w:rPr>
          <w:rStyle w:val="FootnoteReference"/>
        </w:rPr>
        <w:footnoteReference w:id="31"/>
      </w:r>
    </w:p>
    <w:p w14:paraId="28633F96" w14:textId="58E98423" w:rsidR="00D65A4D" w:rsidRPr="00B53F89" w:rsidRDefault="00D65A4D" w:rsidP="008F602F">
      <w:pPr>
        <w:spacing w:before="60" w:after="0"/>
      </w:pPr>
      <w:bookmarkStart w:id="173" w:name="_Toc510795073"/>
      <w:bookmarkStart w:id="174" w:name="_Toc509581805"/>
      <w:bookmarkStart w:id="175" w:name="_Toc509585121"/>
      <w:bookmarkStart w:id="176" w:name="_Toc509585657"/>
      <w:bookmarkStart w:id="177" w:name="_Toc510104937"/>
      <w:bookmarkStart w:id="178" w:name="_Toc510105734"/>
      <w:bookmarkStart w:id="179" w:name="_Toc511716274"/>
      <w:bookmarkStart w:id="180" w:name="_Toc511719085"/>
      <w:bookmarkStart w:id="181" w:name="_Toc522794081"/>
      <w:bookmarkStart w:id="182" w:name="_Toc491854101"/>
      <w:bookmarkStart w:id="183" w:name="_Toc494115155"/>
      <w:bookmarkEnd w:id="169"/>
      <w:r w:rsidRPr="006A2F04">
        <w:rPr>
          <w:noProof/>
        </w:rPr>
        <w:drawing>
          <wp:inline distT="0" distB="0" distL="0" distR="0" wp14:anchorId="5936F25F" wp14:editId="2BFD04D9">
            <wp:extent cx="342900" cy="361950"/>
            <wp:effectExtent l="0" t="0" r="0" b="0"/>
            <wp:docPr id="18" name="Picture 18" descr="Defen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fence icon"/>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4D830A52" wp14:editId="372FD4C4">
            <wp:extent cx="342900" cy="361950"/>
            <wp:effectExtent l="0" t="0" r="0" b="0"/>
            <wp:docPr id="19" name="Picture 19" descr="Avi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viation icon"/>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117F1BC4" wp14:editId="5458FB01">
            <wp:extent cx="342900" cy="361950"/>
            <wp:effectExtent l="0" t="0" r="0" b="0"/>
            <wp:docPr id="20" name="Picture 20" descr="Class licens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ass licensing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40025A72" w14:textId="2A100044" w:rsidR="00B14DB9" w:rsidRPr="00B53F89" w:rsidRDefault="00CF081A" w:rsidP="008F602F">
      <w:pPr>
        <w:pStyle w:val="Heading3"/>
        <w:keepNext w:val="0"/>
      </w:pPr>
      <w:bookmarkStart w:id="184" w:name="_Toc36207404"/>
      <w:bookmarkStart w:id="185" w:name="_Toc38987155"/>
      <w:r>
        <w:t>S</w:t>
      </w:r>
      <w:r w:rsidR="00F36B41" w:rsidRPr="00B53F89">
        <w:t>pectrum</w:t>
      </w:r>
      <w:bookmarkEnd w:id="173"/>
      <w:bookmarkEnd w:id="174"/>
      <w:bookmarkEnd w:id="175"/>
      <w:bookmarkEnd w:id="176"/>
      <w:bookmarkEnd w:id="177"/>
      <w:bookmarkEnd w:id="178"/>
      <w:bookmarkEnd w:id="179"/>
      <w:bookmarkEnd w:id="180"/>
      <w:bookmarkEnd w:id="181"/>
      <w:r>
        <w:t xml:space="preserve"> for government requirements</w:t>
      </w:r>
      <w:bookmarkEnd w:id="184"/>
      <w:bookmarkEnd w:id="185"/>
    </w:p>
    <w:bookmarkEnd w:id="182"/>
    <w:bookmarkEnd w:id="183"/>
    <w:p w14:paraId="2B199340" w14:textId="0EBECD74" w:rsidR="00C86BA1" w:rsidRPr="00B53F89" w:rsidRDefault="00776BF2" w:rsidP="00C86BA1">
      <w:r w:rsidRPr="00776BF2">
        <w:t xml:space="preserve">The Australian Government is a large user of spectrum for important public service provision. </w:t>
      </w:r>
      <w:r w:rsidR="00C86BA1" w:rsidRPr="00B53F89">
        <w:t xml:space="preserve">Government spectrum users primarily incorporate </w:t>
      </w:r>
      <w:r w:rsidR="004B3FAC">
        <w:t>C</w:t>
      </w:r>
      <w:r w:rsidR="00C86BA1" w:rsidRPr="004B3FAC">
        <w:t>ommonwealth</w:t>
      </w:r>
      <w:r w:rsidR="00C86BA1" w:rsidRPr="00B53F89">
        <w:t xml:space="preserve"> and state agencies responsible for the provision of defence, national security, law enforcement, and emergency services, as well as scientific, meteorological and transport services. </w:t>
      </w:r>
    </w:p>
    <w:p w14:paraId="0F32C8F5" w14:textId="77777777" w:rsidR="00C86BA1" w:rsidRDefault="003A5CF0" w:rsidP="00776BF2">
      <w:r w:rsidRPr="00B53F89">
        <w:t>Generally, government spectrum users operate within the same spectrum management framework as all other users. However, in recognising their unique needs and responsibilities, on some occasions government spectrum needs require specific consideration</w:t>
      </w:r>
      <w:r>
        <w:t xml:space="preserve"> and regulatory arrangements</w:t>
      </w:r>
      <w:r w:rsidRPr="00B53F89">
        <w:t>.</w:t>
      </w:r>
    </w:p>
    <w:p w14:paraId="0ECE842E" w14:textId="60D85576" w:rsidR="004E50BB" w:rsidRDefault="00D24E23" w:rsidP="00D24E23">
      <w:r w:rsidRPr="00776BF2">
        <w:lastRenderedPageBreak/>
        <w:t>As at April 2019, 32 Australian Government departments and agencies across seven different portfolios hold spectrum and/or apparatus licences.</w:t>
      </w:r>
      <w:r w:rsidRPr="00776BF2">
        <w:rPr>
          <w:vertAlign w:val="superscript"/>
        </w:rPr>
        <w:footnoteReference w:id="32"/>
      </w:r>
      <w:r w:rsidRPr="00776BF2">
        <w:t xml:space="preserve"> </w:t>
      </w:r>
      <w:r w:rsidR="00AD07D6">
        <w:t>T</w:t>
      </w:r>
      <w:r w:rsidRPr="00776BF2">
        <w:t xml:space="preserve">he three largest government spectrum users are the Department of Defence with 7,793 </w:t>
      </w:r>
      <w:r w:rsidR="00BA72BD">
        <w:t xml:space="preserve">frequency </w:t>
      </w:r>
      <w:r w:rsidRPr="00776BF2">
        <w:t>assignments, Airservices Australia</w:t>
      </w:r>
      <w:r w:rsidRPr="00776BF2">
        <w:rPr>
          <w:vertAlign w:val="superscript"/>
        </w:rPr>
        <w:footnoteReference w:id="33"/>
      </w:r>
      <w:r w:rsidRPr="00776BF2">
        <w:t xml:space="preserve"> with 2,603, and the Bureau of Meteorology with 1,310.</w:t>
      </w:r>
      <w:r w:rsidRPr="00776BF2">
        <w:rPr>
          <w:vertAlign w:val="superscript"/>
        </w:rPr>
        <w:footnoteReference w:id="34"/>
      </w:r>
      <w:r w:rsidRPr="00776BF2">
        <w:t xml:space="preserve"> </w:t>
      </w:r>
      <w:r w:rsidR="00A77F9A">
        <w:t>Government users’ access to spectrum can broadly be categorised as either ordinary licen</w:t>
      </w:r>
      <w:r w:rsidR="003B3FE8">
        <w:t>s</w:t>
      </w:r>
      <w:r w:rsidR="00A77F9A">
        <w:t>ed access, on equal footing with other non-government users, or access under purpose</w:t>
      </w:r>
      <w:r w:rsidR="003A1DC8">
        <w:t>-</w:t>
      </w:r>
      <w:r w:rsidR="00A77F9A">
        <w:t>specific planning arrangements.</w:t>
      </w:r>
      <w:r w:rsidR="004E50BB">
        <w:t xml:space="preserve"> </w:t>
      </w:r>
    </w:p>
    <w:p w14:paraId="2A541627" w14:textId="2A052B2D" w:rsidR="00D24E23" w:rsidRPr="00776BF2" w:rsidRDefault="00EA1EDC" w:rsidP="00D24E23">
      <w:r>
        <w:t>As an example of the latter</w:t>
      </w:r>
      <w:r w:rsidR="004E50BB">
        <w:t>, a significant portion of Defence spectrum access is authorised under the Defence apparatus licence, which can be issued in bands with certain footnotes ascribed in the Table of Allocations in the ARSP. Similarly, bands accessed by Airservices Australia for the provision of aeronautical communications, navigation and surveillance services, in particular VHF (108</w:t>
      </w:r>
      <w:r w:rsidR="00FE3587">
        <w:t>–</w:t>
      </w:r>
      <w:r w:rsidR="004E50BB">
        <w:t>137 MHz) and L-band (960</w:t>
      </w:r>
      <w:r w:rsidR="00FE3587">
        <w:t>–</w:t>
      </w:r>
      <w:r w:rsidR="004E50BB">
        <w:t>1215 MHz)</w:t>
      </w:r>
      <w:r>
        <w:t>, are set aside through ARSP footnotes.</w:t>
      </w:r>
    </w:p>
    <w:p w14:paraId="76E2A404" w14:textId="77777777" w:rsidR="00D24E23" w:rsidRPr="00776BF2" w:rsidRDefault="00D24E23" w:rsidP="00D24E23">
      <w:r w:rsidRPr="00776BF2">
        <w:t>Airservices Australia is currently going through a program of modernising its communications and safety systems.</w:t>
      </w:r>
      <w:r w:rsidRPr="00776BF2">
        <w:rPr>
          <w:vertAlign w:val="superscript"/>
        </w:rPr>
        <w:footnoteReference w:id="35"/>
      </w:r>
      <w:r w:rsidRPr="00776BF2">
        <w:t xml:space="preserve"> </w:t>
      </w:r>
      <w:r>
        <w:t>It</w:t>
      </w:r>
      <w:r w:rsidRPr="00776BF2">
        <w:t xml:space="preserve"> identifies the emergence of a more dense airspace </w:t>
      </w:r>
      <w:r>
        <w:t>as</w:t>
      </w:r>
      <w:r w:rsidRPr="00776BF2">
        <w:t xml:space="preserve"> point</w:t>
      </w:r>
      <w:r>
        <w:t>ing</w:t>
      </w:r>
      <w:r w:rsidRPr="00776BF2">
        <w:t xml:space="preserve"> to the need to invest in and upgrade systems, part of which will rely on wireless technologies to communicate with aircraft.</w:t>
      </w:r>
    </w:p>
    <w:p w14:paraId="6FBB2317" w14:textId="12A8AE38" w:rsidR="00D24E23" w:rsidRPr="00776BF2" w:rsidRDefault="00B4483C" w:rsidP="00D24E23">
      <w:r>
        <w:t>Other</w:t>
      </w:r>
      <w:r w:rsidR="00D24E23" w:rsidRPr="00776BF2">
        <w:t xml:space="preserve"> key spectrum user</w:t>
      </w:r>
      <w:r>
        <w:t>s</w:t>
      </w:r>
      <w:r w:rsidR="00D24E23" w:rsidRPr="00776BF2">
        <w:t xml:space="preserve"> </w:t>
      </w:r>
      <w:r w:rsidR="004B3FAC">
        <w:t>are</w:t>
      </w:r>
      <w:r w:rsidR="004B3FAC" w:rsidRPr="00776BF2">
        <w:t xml:space="preserve"> </w:t>
      </w:r>
      <w:r w:rsidR="004B3FAC">
        <w:t>p</w:t>
      </w:r>
      <w:r w:rsidR="00D24E23" w:rsidRPr="00776BF2">
        <w:t xml:space="preserve">ublic </w:t>
      </w:r>
      <w:r w:rsidR="004B3FAC">
        <w:t>s</w:t>
      </w:r>
      <w:r w:rsidR="00D24E23" w:rsidRPr="00776BF2">
        <w:t xml:space="preserve">afety </w:t>
      </w:r>
      <w:r w:rsidR="004B3FAC">
        <w:t>a</w:t>
      </w:r>
      <w:r w:rsidR="00D24E23" w:rsidRPr="00776BF2">
        <w:t>gencies (PSAs)</w:t>
      </w:r>
      <w:r w:rsidR="00D24E23">
        <w:t>.</w:t>
      </w:r>
      <w:r w:rsidR="00D24E23" w:rsidRPr="00776BF2">
        <w:t xml:space="preserve"> </w:t>
      </w:r>
      <w:r w:rsidR="00D24E23">
        <w:t>The</w:t>
      </w:r>
      <w:r w:rsidR="00D24E23" w:rsidRPr="00776BF2">
        <w:t xml:space="preserve"> Productivity Commission notes that greater use of mobile broadband could fundamentally change how PSAs deliver services.</w:t>
      </w:r>
      <w:r w:rsidR="006B4A65">
        <w:rPr>
          <w:rStyle w:val="FootnoteReference"/>
        </w:rPr>
        <w:footnoteReference w:id="36"/>
      </w:r>
    </w:p>
    <w:p w14:paraId="70F0209C" w14:textId="46D194A4" w:rsidR="00F9560D" w:rsidRPr="00B53F89" w:rsidRDefault="00F9560D" w:rsidP="00D7755E">
      <w:r w:rsidRPr="00B53F89">
        <w:t>The ACMA works closely with</w:t>
      </w:r>
      <w:r w:rsidR="00557853" w:rsidRPr="00B53F89">
        <w:t xml:space="preserve"> the Department of</w:t>
      </w:r>
      <w:r w:rsidRPr="00B53F89">
        <w:t xml:space="preserve"> Defence’s Chief Information Officer Group to </w:t>
      </w:r>
      <w:r w:rsidR="009D3560" w:rsidRPr="00B53F89">
        <w:t>en</w:t>
      </w:r>
      <w:r w:rsidRPr="00B53F89">
        <w:t xml:space="preserve">sure </w:t>
      </w:r>
      <w:r w:rsidR="00557853" w:rsidRPr="00B53F89">
        <w:t xml:space="preserve">its </w:t>
      </w:r>
      <w:r w:rsidRPr="00B53F89">
        <w:t>ongoing access to spectrum to support a range of key capabilities.</w:t>
      </w:r>
      <w:r w:rsidR="00B53F89">
        <w:t xml:space="preserve"> </w:t>
      </w:r>
      <w:r w:rsidR="00FE3587">
        <w:t>We</w:t>
      </w:r>
      <w:r w:rsidR="00661F34" w:rsidRPr="00B53F89">
        <w:t xml:space="preserve"> also work with </w:t>
      </w:r>
      <w:r w:rsidR="004B3FAC" w:rsidRPr="004B3FAC">
        <w:t>C</w:t>
      </w:r>
      <w:r w:rsidR="00661F34" w:rsidRPr="004B3FAC">
        <w:t>ommonwealth</w:t>
      </w:r>
      <w:r w:rsidR="00661F34" w:rsidRPr="00B53F89">
        <w:t xml:space="preserve"> and state-based law enforcement and emergency services bodies to accommodate their critical, and often unique spectrum needs.</w:t>
      </w:r>
      <w:r w:rsidRPr="00B53F89">
        <w:t xml:space="preserve"> </w:t>
      </w:r>
      <w:r w:rsidR="00FE3587">
        <w:t>We</w:t>
      </w:r>
      <w:r w:rsidR="00047473">
        <w:t xml:space="preserve"> also continue to work with Defence and </w:t>
      </w:r>
      <w:r w:rsidR="00047473" w:rsidRPr="0048118B">
        <w:t>the Department</w:t>
      </w:r>
      <w:r w:rsidR="00047473">
        <w:t xml:space="preserve"> to consider options </w:t>
      </w:r>
      <w:r w:rsidR="00FE3587">
        <w:t xml:space="preserve">to </w:t>
      </w:r>
      <w:r w:rsidR="00047473">
        <w:t xml:space="preserve">enable the ongoing operation of military </w:t>
      </w:r>
      <w:r w:rsidR="00047473" w:rsidRPr="004B3FAC">
        <w:t>Ka</w:t>
      </w:r>
      <w:r w:rsidR="004B3FAC">
        <w:t xml:space="preserve"> </w:t>
      </w:r>
      <w:r w:rsidR="00047473" w:rsidRPr="004B3FAC">
        <w:t>band</w:t>
      </w:r>
      <w:r w:rsidR="00047473">
        <w:t xml:space="preserve"> satellite services in anticipation of the expiry of the Defence 20/30 GHz spectrum licence in April 2021.</w:t>
      </w:r>
    </w:p>
    <w:p w14:paraId="4720067E" w14:textId="71402906" w:rsidR="00F9560D" w:rsidRPr="00B53F89" w:rsidRDefault="00D81EAB" w:rsidP="00D7755E">
      <w:bookmarkStart w:id="186" w:name="_Hlk37061503"/>
      <w:r w:rsidRPr="00B53F89">
        <w:t xml:space="preserve">The ACMA supports </w:t>
      </w:r>
      <w:r w:rsidR="00CA501F">
        <w:t xml:space="preserve">the </w:t>
      </w:r>
      <w:r w:rsidR="00CA501F" w:rsidRPr="0048118B">
        <w:t>Department</w:t>
      </w:r>
      <w:r w:rsidRPr="0048118B">
        <w:t>’s</w:t>
      </w:r>
      <w:r w:rsidRPr="00B53F89">
        <w:t xml:space="preserve"> leadership of the </w:t>
      </w:r>
      <w:bookmarkStart w:id="187" w:name="_Hlk37061460"/>
      <w:r w:rsidRPr="00B53F89">
        <w:t>Government Spectrum Steering Committee</w:t>
      </w:r>
      <w:bookmarkEnd w:id="187"/>
      <w:r w:rsidRPr="00B53F89">
        <w:t xml:space="preserve"> (GS</w:t>
      </w:r>
      <w:r w:rsidR="00F74B7B" w:rsidRPr="00B53F89">
        <w:t>S</w:t>
      </w:r>
      <w:r w:rsidRPr="00B53F89">
        <w:t>C) in a technical advisory capacity.</w:t>
      </w:r>
      <w:r w:rsidRPr="00B53F89" w:rsidDel="00D81EAB">
        <w:t xml:space="preserve"> </w:t>
      </w:r>
      <w:r w:rsidRPr="00B53F89">
        <w:t>The GS</w:t>
      </w:r>
      <w:r w:rsidR="00F74B7B" w:rsidRPr="00B53F89">
        <w:t>S</w:t>
      </w:r>
      <w:r w:rsidRPr="00B53F89">
        <w:t>C</w:t>
      </w:r>
      <w:r w:rsidR="00F9560D" w:rsidRPr="00B53F89">
        <w:t xml:space="preserve"> comprises </w:t>
      </w:r>
      <w:r w:rsidR="004B3FAC">
        <w:t>C</w:t>
      </w:r>
      <w:r w:rsidR="00F9560D" w:rsidRPr="004B3FAC">
        <w:t>ommonwealth</w:t>
      </w:r>
      <w:r w:rsidR="00F9560D" w:rsidRPr="00B53F89">
        <w:t xml:space="preserve"> agencies that rely on spectrum access to meet their business objectives. The GS</w:t>
      </w:r>
      <w:r w:rsidR="00F74B7B" w:rsidRPr="00B53F89">
        <w:t>S</w:t>
      </w:r>
      <w:r w:rsidR="00F9560D" w:rsidRPr="00B53F89">
        <w:t>C was set</w:t>
      </w:r>
      <w:r w:rsidR="009D3560" w:rsidRPr="00B53F89">
        <w:t xml:space="preserve"> </w:t>
      </w:r>
      <w:r w:rsidR="00F9560D" w:rsidRPr="00B53F89">
        <w:t>up to improve transparency around the nature and management of commonwealth-held spectrum</w:t>
      </w:r>
      <w:r w:rsidR="00F9560D" w:rsidRPr="00B53F89" w:rsidDel="0000676B">
        <w:t>.</w:t>
      </w:r>
    </w:p>
    <w:bookmarkEnd w:id="186"/>
    <w:p w14:paraId="32A5F980" w14:textId="7C9BE177" w:rsidR="00F9560D" w:rsidRPr="00B53F89" w:rsidRDefault="00F9560D" w:rsidP="00D7755E">
      <w:r w:rsidRPr="00B53F89">
        <w:t xml:space="preserve">We continue to work with law enforcement agencies to assist with operation under the </w:t>
      </w:r>
      <w:hyperlink r:id="rId44" w:history="1">
        <w:r w:rsidR="004D1C26" w:rsidRPr="006A2F04">
          <w:rPr>
            <w:rStyle w:val="Hyperlink"/>
          </w:rPr>
          <w:t>Radiocommunications (Prohibited Devices) (Use of Electronic Counter Measures for Bomb Disposal Activities) Exemption Determination 2010</w:t>
        </w:r>
      </w:hyperlink>
      <w:r w:rsidRPr="00B53F89">
        <w:t xml:space="preserve"> and are working with </w:t>
      </w:r>
      <w:r w:rsidR="00CA501F">
        <w:t>the Department</w:t>
      </w:r>
      <w:r w:rsidRPr="00B53F89">
        <w:t xml:space="preserve"> and the Department of Home Affairs </w:t>
      </w:r>
      <w:r w:rsidR="00303D34">
        <w:t xml:space="preserve">and law enforcement agencies to </w:t>
      </w:r>
      <w:r w:rsidRPr="00B53F89">
        <w:t>put in</w:t>
      </w:r>
      <w:r w:rsidR="003B7A71">
        <w:t>to</w:t>
      </w:r>
      <w:r w:rsidRPr="00B53F89">
        <w:t xml:space="preserve"> place similar </w:t>
      </w:r>
      <w:r w:rsidR="003B7A71">
        <w:t>arrangements</w:t>
      </w:r>
      <w:r w:rsidRPr="00B53F89">
        <w:t xml:space="preserve"> to support countermeasures against remote</w:t>
      </w:r>
      <w:r w:rsidR="003B7A71">
        <w:t>ly</w:t>
      </w:r>
      <w:r w:rsidRPr="00B53F89">
        <w:t xml:space="preserve"> piloted aircraft systems (RPAS, </w:t>
      </w:r>
      <w:r w:rsidR="00B14E2B">
        <w:t>also known as</w:t>
      </w:r>
      <w:r w:rsidR="00B14E2B" w:rsidRPr="00B53F89">
        <w:t xml:space="preserve"> </w:t>
      </w:r>
      <w:r w:rsidRPr="00B53F89">
        <w:t xml:space="preserve">drones). </w:t>
      </w:r>
    </w:p>
    <w:p w14:paraId="2461624B" w14:textId="56F64945" w:rsidR="00844615" w:rsidRPr="00B53F89" w:rsidRDefault="006D2D98" w:rsidP="00D7755E">
      <w:r w:rsidRPr="006D2D98">
        <w:lastRenderedPageBreak/>
        <w:t xml:space="preserve">The ACMA has also been engaged in a whole-of-government working group, led by the </w:t>
      </w:r>
      <w:r w:rsidRPr="0048118B">
        <w:t>Department</w:t>
      </w:r>
      <w:r w:rsidRPr="006D2D98">
        <w:t xml:space="preserve">, to develop the appropriate policy settings to support the growth of RPAS in Australia. As part of this work, </w:t>
      </w:r>
      <w:r w:rsidR="00FE3587">
        <w:t>we have</w:t>
      </w:r>
      <w:r w:rsidR="00F9560D" w:rsidRPr="00B53F89">
        <w:t xml:space="preserve"> been monitoring RPAS regulatory arrangements, both internationally and within the Civil Aviation Safety Authority (CASA), as a precursor to reviewing planning and licensing arrangements for RPAS command and control radiocommunications systems. </w:t>
      </w:r>
    </w:p>
    <w:p w14:paraId="470492F7" w14:textId="1100BDE9" w:rsidR="00F9560D" w:rsidRPr="00B53F89" w:rsidRDefault="00D24E23" w:rsidP="00D7755E">
      <w:r w:rsidRPr="00B53F89">
        <w:t xml:space="preserve">Currently, these </w:t>
      </w:r>
      <w:r w:rsidR="00B14E2B">
        <w:t xml:space="preserve">RPAS </w:t>
      </w:r>
      <w:r w:rsidRPr="00B53F89">
        <w:t>systems are generally authorised under the LIPD class licence, however</w:t>
      </w:r>
      <w:r w:rsidR="00F9560D" w:rsidRPr="00B53F89">
        <w:t xml:space="preserve"> </w:t>
      </w:r>
      <w:r w:rsidR="00FE3587">
        <w:t>we are</w:t>
      </w:r>
      <w:r w:rsidR="00CF081A">
        <w:t xml:space="preserve"> working towards</w:t>
      </w:r>
      <w:r w:rsidR="00F9560D" w:rsidRPr="00B53F89">
        <w:t xml:space="preserve"> creating new RPAS-specific planning and apparatus licen</w:t>
      </w:r>
      <w:r w:rsidR="001820EF" w:rsidRPr="00B53F89">
        <w:t>sing arrangements</w:t>
      </w:r>
      <w:r w:rsidR="00F9560D" w:rsidRPr="00B53F89">
        <w:t xml:space="preserve"> in bands allocated</w:t>
      </w:r>
      <w:r w:rsidR="008720AB" w:rsidRPr="00B53F89">
        <w:t xml:space="preserve"> in the </w:t>
      </w:r>
      <w:r w:rsidR="00FC5A44" w:rsidRPr="00B53F89">
        <w:t xml:space="preserve">ITU’s </w:t>
      </w:r>
      <w:r w:rsidR="00FC5A44" w:rsidRPr="0048118B">
        <w:t>Radio Regulation</w:t>
      </w:r>
      <w:r w:rsidR="00DB0ECD" w:rsidRPr="0048118B">
        <w:t>s</w:t>
      </w:r>
      <w:r w:rsidR="00FC5A44" w:rsidRPr="0048118B">
        <w:t xml:space="preserve"> (</w:t>
      </w:r>
      <w:r w:rsidR="008720AB" w:rsidRPr="0048118B">
        <w:t>RR</w:t>
      </w:r>
      <w:r w:rsidR="00DB0ECD" w:rsidRPr="0048118B">
        <w:t>s</w:t>
      </w:r>
      <w:r w:rsidR="00FC5A44" w:rsidRPr="00B53F89">
        <w:t>)</w:t>
      </w:r>
      <w:r w:rsidR="00F9560D" w:rsidRPr="00B53F89">
        <w:t xml:space="preserve"> to the </w:t>
      </w:r>
      <w:r w:rsidR="00FE3587">
        <w:t>a</w:t>
      </w:r>
      <w:r w:rsidR="00F9560D" w:rsidRPr="00B53F89">
        <w:t xml:space="preserve">eronautical </w:t>
      </w:r>
      <w:r w:rsidR="00FE3587">
        <w:t>m</w:t>
      </w:r>
      <w:r w:rsidR="00F9560D" w:rsidRPr="00B53F89">
        <w:t xml:space="preserve">obile </w:t>
      </w:r>
      <w:r w:rsidR="00FE3587">
        <w:t>s</w:t>
      </w:r>
      <w:r w:rsidR="00F9560D" w:rsidRPr="00B53F89">
        <w:t>ervices in the 5 GHz band (specifically in the range 5030</w:t>
      </w:r>
      <w:r w:rsidR="00004D7C" w:rsidRPr="00B53F89">
        <w:t>–</w:t>
      </w:r>
      <w:r w:rsidR="00F9560D" w:rsidRPr="00B53F89">
        <w:t>5091 MHz)</w:t>
      </w:r>
      <w:r w:rsidRPr="00B53F89">
        <w:t>.</w:t>
      </w:r>
      <w:r w:rsidR="00F9560D" w:rsidRPr="00B53F89">
        <w:t xml:space="preserve"> </w:t>
      </w:r>
      <w:r w:rsidR="00ED3C52" w:rsidRPr="0048118B">
        <w:t xml:space="preserve">In doing this, </w:t>
      </w:r>
      <w:r w:rsidR="0048118B">
        <w:t>we are</w:t>
      </w:r>
      <w:r w:rsidR="00ED3C52" w:rsidRPr="0048118B">
        <w:t xml:space="preserve"> working closely with international regulators.</w:t>
      </w:r>
      <w:r w:rsidR="00ED3C52">
        <w:t xml:space="preserve"> </w:t>
      </w:r>
    </w:p>
    <w:p w14:paraId="1586DEA8" w14:textId="788CD84A" w:rsidR="00F9560D" w:rsidRPr="00B53F89" w:rsidRDefault="00F9560D" w:rsidP="00D7755E">
      <w:r w:rsidRPr="00B53F89">
        <w:t>The necessity</w:t>
      </w:r>
      <w:r w:rsidR="00F722A0" w:rsidRPr="00B53F89">
        <w:t xml:space="preserve"> of,</w:t>
      </w:r>
      <w:r w:rsidRPr="00B53F89">
        <w:t xml:space="preserve"> and planning arrangements for</w:t>
      </w:r>
      <w:r w:rsidR="00F722A0" w:rsidRPr="00B53F89">
        <w:t>,</w:t>
      </w:r>
      <w:r w:rsidRPr="00B53F89">
        <w:t xml:space="preserve"> these licensing arrangements will be informed by CASA’s consideration of availability and protection requirements for these communications. It is likely that apparatus licensing would only be required for command and control of </w:t>
      </w:r>
      <w:r w:rsidRPr="0048118B">
        <w:t>certain</w:t>
      </w:r>
      <w:r w:rsidRPr="00B53F89">
        <w:t xml:space="preserve"> classes of RPAS operating in </w:t>
      </w:r>
      <w:r w:rsidR="0048118B">
        <w:t>particular</w:t>
      </w:r>
      <w:r w:rsidR="0048118B" w:rsidRPr="00B53F89">
        <w:t xml:space="preserve"> </w:t>
      </w:r>
      <w:r w:rsidRPr="00B53F89">
        <w:t>classes of airspace</w:t>
      </w:r>
      <w:r w:rsidR="009D3560" w:rsidRPr="00B53F89">
        <w:t>—</w:t>
      </w:r>
      <w:r w:rsidRPr="00B53F89">
        <w:t xml:space="preserve">other consumer RPAS would continue to operate </w:t>
      </w:r>
      <w:r w:rsidR="006E243C" w:rsidRPr="00B53F89">
        <w:t xml:space="preserve">under the LIPD class licence. </w:t>
      </w:r>
    </w:p>
    <w:p w14:paraId="797FCDD4" w14:textId="3872FF37" w:rsidR="00EE0BFC" w:rsidRPr="00B53F89" w:rsidRDefault="00EE0BFC" w:rsidP="00FA7446">
      <w:pPr>
        <w:keepNext/>
        <w:spacing w:before="60" w:after="0"/>
      </w:pPr>
      <w:bookmarkStart w:id="188" w:name="_New_approaches_to"/>
      <w:bookmarkStart w:id="189" w:name="_Toc511716275"/>
      <w:bookmarkStart w:id="190" w:name="_Toc511719086"/>
      <w:bookmarkStart w:id="191" w:name="_Toc522794082"/>
      <w:bookmarkEnd w:id="188"/>
      <w:r w:rsidRPr="006A2F04">
        <w:rPr>
          <w:noProof/>
        </w:rPr>
        <w:drawing>
          <wp:inline distT="0" distB="0" distL="0" distR="0" wp14:anchorId="77E55027" wp14:editId="3340D2A4">
            <wp:extent cx="342900" cy="361950"/>
            <wp:effectExtent l="0" t="0" r="0" b="0"/>
            <wp:docPr id="21" name="Picture 21"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465725" w:rsidRPr="006A2F04">
        <w:rPr>
          <w:noProof/>
        </w:rPr>
        <w:drawing>
          <wp:inline distT="0" distB="0" distL="0" distR="0" wp14:anchorId="42C49159" wp14:editId="0A08E797">
            <wp:extent cx="342900" cy="361950"/>
            <wp:effectExtent l="0" t="0" r="0" b="0"/>
            <wp:docPr id="45" name="Picture 45"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465725" w:rsidRPr="006A2F04">
        <w:rPr>
          <w:noProof/>
        </w:rPr>
        <w:drawing>
          <wp:inline distT="0" distB="0" distL="0" distR="0" wp14:anchorId="2EB5AADD" wp14:editId="0A68A2FA">
            <wp:extent cx="342900" cy="361950"/>
            <wp:effectExtent l="0" t="0" r="0" b="0"/>
            <wp:docPr id="101" name="Picture 101" descr="Internet of Thing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nternet of Things ico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17FB4D70" w14:textId="1D8BB44E" w:rsidR="001B763E" w:rsidRDefault="001B763E" w:rsidP="001B763E">
      <w:pPr>
        <w:pStyle w:val="Heading3"/>
      </w:pPr>
      <w:bookmarkStart w:id="192" w:name="_Toc36207405"/>
      <w:bookmarkStart w:id="193" w:name="_Toc38987156"/>
      <w:r>
        <w:t>Spectrum sharing</w:t>
      </w:r>
      <w:bookmarkEnd w:id="192"/>
      <w:bookmarkEnd w:id="193"/>
    </w:p>
    <w:p w14:paraId="4A2B9B17" w14:textId="09AEF50B" w:rsidR="0010188F" w:rsidRPr="00B53F89" w:rsidRDefault="00EA54D5">
      <w:r w:rsidRPr="00B53F89">
        <w:t xml:space="preserve">Spectrum sharing is fundamental to effective spectrum management and a key tool in maximising the benefits achieved through use of the spectrum resource. </w:t>
      </w:r>
    </w:p>
    <w:p w14:paraId="05E9B007" w14:textId="019C6E4E" w:rsidR="00EA54D5" w:rsidRPr="00B53F89" w:rsidRDefault="00EA54D5">
      <w:r w:rsidRPr="00B53F89">
        <w:rPr>
          <w:rFonts w:cs="Arial"/>
        </w:rPr>
        <w:t xml:space="preserve">The ACMA, like many national spectrum managers, </w:t>
      </w:r>
      <w:r w:rsidR="00CF5999" w:rsidRPr="00B53F89">
        <w:rPr>
          <w:rFonts w:cs="Arial"/>
        </w:rPr>
        <w:t xml:space="preserve">implements a range of spectrum </w:t>
      </w:r>
      <w:r w:rsidRPr="00B53F89">
        <w:rPr>
          <w:rFonts w:cs="Arial"/>
        </w:rPr>
        <w:t xml:space="preserve">sharing </w:t>
      </w:r>
      <w:r w:rsidR="00CF5999" w:rsidRPr="00B53F89">
        <w:rPr>
          <w:rFonts w:cs="Arial"/>
        </w:rPr>
        <w:t xml:space="preserve">approaches </w:t>
      </w:r>
      <w:r w:rsidRPr="00B53F89">
        <w:rPr>
          <w:rFonts w:cs="Arial"/>
        </w:rPr>
        <w:t>to maximise the overall public benefit</w:t>
      </w:r>
      <w:r w:rsidR="00CF5999" w:rsidRPr="00B53F89">
        <w:rPr>
          <w:rFonts w:cs="Arial"/>
        </w:rPr>
        <w:t xml:space="preserve"> derived from using spectrum</w:t>
      </w:r>
      <w:r w:rsidRPr="00B53F89">
        <w:rPr>
          <w:rFonts w:cs="Arial"/>
        </w:rPr>
        <w:t xml:space="preserve">. </w:t>
      </w:r>
      <w:r w:rsidRPr="00B53F89">
        <w:t xml:space="preserve">As with all forms of resource sharing, spectrum sharing requires some degree of compromise between multiple spectrum use services or applications </w:t>
      </w:r>
      <w:r w:rsidR="00CF5999" w:rsidRPr="00B53F89">
        <w:t xml:space="preserve">and </w:t>
      </w:r>
      <w:r w:rsidRPr="00B53F89">
        <w:t xml:space="preserve">users (individual licensees) accessing the shared spectrum. </w:t>
      </w:r>
    </w:p>
    <w:p w14:paraId="7112BAE1" w14:textId="77777777" w:rsidR="00EA54D5" w:rsidRPr="00B53F89" w:rsidRDefault="00EA54D5">
      <w:r w:rsidRPr="00B53F89">
        <w:t>Traditionally, spectrum sharing has largely focused on static approaches that establish coexistence arrangements defined through fixed geographic and spectral boundaries. More recently</w:t>
      </w:r>
      <w:r w:rsidR="00A56FF3" w:rsidRPr="00B53F89">
        <w:t>,</w:t>
      </w:r>
      <w:r w:rsidRPr="00B53F89">
        <w:t xml:space="preserve"> new technologies and techniques have been developed that mak</w:t>
      </w:r>
      <w:r w:rsidR="00CF5999" w:rsidRPr="00B53F89">
        <w:t>e</w:t>
      </w:r>
      <w:r w:rsidRPr="00B53F89">
        <w:t xml:space="preserve"> new approaches to spectrum sharing </w:t>
      </w:r>
      <w:r w:rsidR="00CF5999" w:rsidRPr="00B53F89">
        <w:t xml:space="preserve">more </w:t>
      </w:r>
      <w:r w:rsidRPr="00B53F89">
        <w:t>viable</w:t>
      </w:r>
      <w:r w:rsidR="00CF5999" w:rsidRPr="00B53F89">
        <w:t xml:space="preserve">. These include </w:t>
      </w:r>
      <w:r w:rsidRPr="00B53F89">
        <w:t xml:space="preserve">dynamic </w:t>
      </w:r>
      <w:r w:rsidR="00CF5999" w:rsidRPr="00B53F89">
        <w:t xml:space="preserve">sharing approaches </w:t>
      </w:r>
      <w:r w:rsidRPr="00B53F89">
        <w:t xml:space="preserve">sometimes referred to collectively as dynamic spectrum access (DSA) or dynamic spectrum management. These techniques typically take advantage of time-based changes in spectrum use by spectrum users—that is, some spectrum users may not use all the spectrum, in all geographic areas, all the time. </w:t>
      </w:r>
    </w:p>
    <w:p w14:paraId="76984EBC" w14:textId="69406A98" w:rsidR="00EA54D5" w:rsidRPr="00B53F89" w:rsidRDefault="00EA54D5">
      <w:r w:rsidRPr="00B53F89">
        <w:t xml:space="preserve">DSA </w:t>
      </w:r>
      <w:r w:rsidR="00B57D57" w:rsidRPr="00B53F89">
        <w:t xml:space="preserve">implementations to date have been limited, </w:t>
      </w:r>
      <w:r w:rsidRPr="00B53F89" w:rsidDel="00B57D57">
        <w:t xml:space="preserve">in </w:t>
      </w:r>
      <w:r w:rsidRPr="00B53F89">
        <w:t xml:space="preserve">part due to technological </w:t>
      </w:r>
      <w:r w:rsidR="00B57D57" w:rsidRPr="00B53F89">
        <w:t>constraints</w:t>
      </w:r>
      <w:r w:rsidRPr="00B53F89">
        <w:t xml:space="preserve">, spectrum availability factors and user expectations. </w:t>
      </w:r>
      <w:r w:rsidR="002263B2" w:rsidRPr="00B53F89">
        <w:t>To date, r</w:t>
      </w:r>
      <w:r w:rsidRPr="00B53F89">
        <w:t xml:space="preserve">egulatory </w:t>
      </w:r>
      <w:r w:rsidRPr="009906C8">
        <w:t>frameworks ha</w:t>
      </w:r>
      <w:r w:rsidR="002263B2" w:rsidRPr="009906C8">
        <w:t>ve</w:t>
      </w:r>
      <w:r w:rsidRPr="009906C8">
        <w:t xml:space="preserve"> not been widely developed to facilitate DSA</w:t>
      </w:r>
      <w:r w:rsidR="00050C4F" w:rsidRPr="009906C8">
        <w:t xml:space="preserve"> arrangements</w:t>
      </w:r>
      <w:r w:rsidRPr="009906C8">
        <w:t xml:space="preserve">. </w:t>
      </w:r>
      <w:r w:rsidR="00050C4F" w:rsidRPr="009906C8">
        <w:t>More recently, h</w:t>
      </w:r>
      <w:r w:rsidRPr="009906C8">
        <w:t xml:space="preserve">owever, </w:t>
      </w:r>
      <w:r w:rsidR="0010188F" w:rsidRPr="009906C8">
        <w:t>several</w:t>
      </w:r>
      <w:r w:rsidRPr="009906C8">
        <w:t xml:space="preserve"> DSA frameworks have been proposed or </w:t>
      </w:r>
      <w:r w:rsidR="00050C4F" w:rsidRPr="009906C8">
        <w:t xml:space="preserve">trialled </w:t>
      </w:r>
      <w:r w:rsidRPr="009906C8">
        <w:t>by overseas spectrum regulators</w:t>
      </w:r>
      <w:r w:rsidR="00326C3D" w:rsidRPr="009906C8">
        <w:t>—</w:t>
      </w:r>
      <w:r w:rsidR="007F7991" w:rsidRPr="009906C8">
        <w:t>for example</w:t>
      </w:r>
      <w:r w:rsidR="007C0B07" w:rsidRPr="009906C8">
        <w:t>,</w:t>
      </w:r>
      <w:r w:rsidR="007F7991" w:rsidRPr="009906C8">
        <w:t xml:space="preserve"> the F</w:t>
      </w:r>
      <w:r w:rsidR="00FF1179" w:rsidRPr="009906C8">
        <w:t>ederal Communications Commission</w:t>
      </w:r>
      <w:r w:rsidR="007F7991" w:rsidRPr="009906C8">
        <w:t xml:space="preserve"> </w:t>
      </w:r>
      <w:r w:rsidR="003E3FDF" w:rsidRPr="009906C8">
        <w:t>(FCC)</w:t>
      </w:r>
      <w:r w:rsidR="003072AC">
        <w:t xml:space="preserve"> </w:t>
      </w:r>
      <w:r w:rsidR="004A65AA">
        <w:t>in the US</w:t>
      </w:r>
      <w:r w:rsidR="003E3FDF" w:rsidRPr="009906C8">
        <w:t xml:space="preserve"> </w:t>
      </w:r>
      <w:r w:rsidR="007F7991" w:rsidRPr="009906C8">
        <w:t>and Ofcom</w:t>
      </w:r>
      <w:r w:rsidR="004A65AA">
        <w:t xml:space="preserve"> in the UK</w:t>
      </w:r>
      <w:r w:rsidRPr="009906C8">
        <w:t>.</w:t>
      </w:r>
      <w:r w:rsidRPr="00B53F89">
        <w:t xml:space="preserve"> </w:t>
      </w:r>
    </w:p>
    <w:p w14:paraId="5369E10B" w14:textId="0B76542A" w:rsidR="00D24E23" w:rsidRPr="00B53F89" w:rsidRDefault="004A65AA" w:rsidP="00D24E23">
      <w:r>
        <w:t>T</w:t>
      </w:r>
      <w:r w:rsidR="00EA54D5" w:rsidRPr="00B53F89">
        <w:t xml:space="preserve">o share ideas </w:t>
      </w:r>
      <w:r>
        <w:t xml:space="preserve">with industry </w:t>
      </w:r>
      <w:r w:rsidR="00EA54D5" w:rsidRPr="00B53F89">
        <w:t>and develop a common understanding on the issues and opportunities with new sharing approaches, the ACMA</w:t>
      </w:r>
      <w:r w:rsidR="00E47AFA" w:rsidRPr="00B53F89">
        <w:t xml:space="preserve"> host</w:t>
      </w:r>
      <w:r w:rsidR="008854C3" w:rsidRPr="00B53F89">
        <w:t>ed</w:t>
      </w:r>
      <w:r w:rsidR="00E47AFA" w:rsidRPr="00B53F89">
        <w:t xml:space="preserve"> a</w:t>
      </w:r>
      <w:r w:rsidR="00BA48AA" w:rsidRPr="00B53F89">
        <w:t xml:space="preserve"> </w:t>
      </w:r>
      <w:r w:rsidR="00397DC6" w:rsidRPr="00B53F89">
        <w:t>‘s</w:t>
      </w:r>
      <w:r w:rsidR="00EA54D5" w:rsidRPr="00B53F89">
        <w:t xml:space="preserve">pectrum </w:t>
      </w:r>
      <w:r w:rsidR="00397DC6" w:rsidRPr="00B53F89">
        <w:t>t</w:t>
      </w:r>
      <w:r w:rsidR="00EA54D5" w:rsidRPr="00B53F89">
        <w:t>une-up</w:t>
      </w:r>
      <w:r w:rsidR="00397DC6" w:rsidRPr="00B53F89">
        <w:t>’</w:t>
      </w:r>
      <w:r w:rsidR="00EA54D5" w:rsidRPr="00B53F89">
        <w:t xml:space="preserve"> on th</w:t>
      </w:r>
      <w:r w:rsidR="008854C3" w:rsidRPr="00B53F89">
        <w:t>is</w:t>
      </w:r>
      <w:r w:rsidR="00EA54D5" w:rsidRPr="00B53F89">
        <w:t xml:space="preserve"> issue</w:t>
      </w:r>
      <w:r w:rsidR="008854C3" w:rsidRPr="00B53F89">
        <w:t xml:space="preserve"> </w:t>
      </w:r>
      <w:r w:rsidR="00896E1C" w:rsidRPr="00B53F89">
        <w:t>in</w:t>
      </w:r>
      <w:r w:rsidR="008854C3" w:rsidRPr="00B53F89">
        <w:t xml:space="preserve"> August 2019</w:t>
      </w:r>
      <w:r w:rsidR="003A0E21">
        <w:t xml:space="preserve"> and release</w:t>
      </w:r>
      <w:r w:rsidR="003A1DC8">
        <w:t>d</w:t>
      </w:r>
      <w:r w:rsidR="003A0E21">
        <w:t xml:space="preserve"> an associated discussion paper</w:t>
      </w:r>
      <w:r w:rsidR="00D24E23" w:rsidRPr="00B53F89">
        <w:t xml:space="preserve">. </w:t>
      </w:r>
    </w:p>
    <w:p w14:paraId="06094E36" w14:textId="02C406EF" w:rsidR="003A0E21" w:rsidRDefault="004A65AA" w:rsidP="00513FDE">
      <w:pPr>
        <w:rPr>
          <w:rFonts w:eastAsiaTheme="minorHAnsi"/>
        </w:rPr>
      </w:pPr>
      <w:r>
        <w:rPr>
          <w:rFonts w:eastAsiaTheme="minorHAnsi"/>
        </w:rPr>
        <w:t>We</w:t>
      </w:r>
      <w:r w:rsidR="003A0E21">
        <w:rPr>
          <w:rFonts w:eastAsiaTheme="minorHAnsi"/>
        </w:rPr>
        <w:t xml:space="preserve"> </w:t>
      </w:r>
      <w:r w:rsidR="007C0935">
        <w:rPr>
          <w:rFonts w:eastAsiaTheme="minorHAnsi"/>
        </w:rPr>
        <w:t>note</w:t>
      </w:r>
      <w:r w:rsidR="003A0E21">
        <w:rPr>
          <w:rFonts w:eastAsiaTheme="minorHAnsi"/>
        </w:rPr>
        <w:t xml:space="preserve"> </w:t>
      </w:r>
      <w:r w:rsidR="00736B02">
        <w:rPr>
          <w:rFonts w:eastAsiaTheme="minorHAnsi"/>
        </w:rPr>
        <w:t xml:space="preserve">in </w:t>
      </w:r>
      <w:r>
        <w:rPr>
          <w:rFonts w:eastAsiaTheme="minorHAnsi"/>
        </w:rPr>
        <w:t xml:space="preserve">our </w:t>
      </w:r>
      <w:r w:rsidR="00736B02">
        <w:rPr>
          <w:rFonts w:eastAsiaTheme="minorHAnsi"/>
        </w:rPr>
        <w:t xml:space="preserve">forthcoming spectrum sharing paper </w:t>
      </w:r>
      <w:r w:rsidR="003A0E21">
        <w:rPr>
          <w:rFonts w:eastAsiaTheme="minorHAnsi"/>
        </w:rPr>
        <w:t>that while there is momentum in some international jurisdictions, and we recognise general interest in the Australian market, the ACMA has not received any detailed sharing proposals for consideration. Therefore, the development of a formal, ongoing DSA regime has not be</w:t>
      </w:r>
      <w:r w:rsidR="003A1DC8">
        <w:rPr>
          <w:rFonts w:eastAsiaTheme="minorHAnsi"/>
        </w:rPr>
        <w:t>en</w:t>
      </w:r>
      <w:r w:rsidR="003A0E21">
        <w:rPr>
          <w:rFonts w:eastAsiaTheme="minorHAnsi"/>
        </w:rPr>
        <w:t xml:space="preserve"> prioritised </w:t>
      </w:r>
      <w:r w:rsidR="003A0E21">
        <w:rPr>
          <w:rFonts w:eastAsiaTheme="minorHAnsi"/>
        </w:rPr>
        <w:lastRenderedPageBreak/>
        <w:t>by the ACMA at this time. Additional evidence and information from industry to inform the possible development of ongoing domestic DSA regulatory arrangements is welcomed as progress is made. Importantly, this approach will help Australia to best benefit from international experience (for example</w:t>
      </w:r>
      <w:r>
        <w:rPr>
          <w:rFonts w:eastAsiaTheme="minorHAnsi"/>
        </w:rPr>
        <w:t>,</w:t>
      </w:r>
      <w:r w:rsidR="003A0E21">
        <w:rPr>
          <w:rFonts w:eastAsiaTheme="minorHAnsi"/>
        </w:rPr>
        <w:t xml:space="preserve"> lessons learned from the US Citizens Broadband Radio Service (CBRS) rollout), and for domestic trials to be supported where possible. Both opportunities will help bridge the knowledge gap and inform future considerations. </w:t>
      </w:r>
    </w:p>
    <w:p w14:paraId="6037FBAD" w14:textId="7D558F52" w:rsidR="00EA54D5" w:rsidRPr="00B53F89" w:rsidRDefault="003A0E21" w:rsidP="000650FB">
      <w:r>
        <w:rPr>
          <w:rFonts w:eastAsiaTheme="minorHAnsi" w:cs="Arial"/>
        </w:rPr>
        <w:t>We remain open to considering proposals as they are developed by the industry. If feasible</w:t>
      </w:r>
      <w:r w:rsidR="00E51A3F">
        <w:rPr>
          <w:rFonts w:eastAsiaTheme="minorHAnsi" w:cs="Arial"/>
        </w:rPr>
        <w:t>,</w:t>
      </w:r>
      <w:r>
        <w:rPr>
          <w:rFonts w:eastAsiaTheme="minorHAnsi" w:cs="Arial"/>
        </w:rPr>
        <w:t xml:space="preserve"> the ACMA is prepared to both facilitate discussions between affected/interested operators and assist with licensing arrangements to help enable such </w:t>
      </w:r>
      <w:r w:rsidRPr="000650FB">
        <w:t>trials</w:t>
      </w:r>
      <w:r>
        <w:rPr>
          <w:rFonts w:eastAsiaTheme="minorHAnsi" w:cs="Arial"/>
        </w:rPr>
        <w:t>.</w:t>
      </w:r>
    </w:p>
    <w:p w14:paraId="3A489473" w14:textId="058860A3" w:rsidR="00EE0BFC" w:rsidRPr="00B53F89" w:rsidRDefault="00EE0BFC" w:rsidP="00FA7446">
      <w:pPr>
        <w:keepNext/>
        <w:spacing w:before="60" w:after="0"/>
      </w:pPr>
      <w:r w:rsidRPr="006A2F04">
        <w:rPr>
          <w:noProof/>
        </w:rPr>
        <w:drawing>
          <wp:inline distT="0" distB="0" distL="0" distR="0" wp14:anchorId="2BDE23A0" wp14:editId="04097397">
            <wp:extent cx="342900" cy="361950"/>
            <wp:effectExtent l="0" t="0" r="0" b="0"/>
            <wp:docPr id="22" name="Picture 22" descr="Class licens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ass licensing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3231928F" wp14:editId="32D04799">
            <wp:extent cx="342900" cy="361950"/>
            <wp:effectExtent l="0" t="0" r="0" b="0"/>
            <wp:docPr id="23" name="Picture 23"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465725" w:rsidRPr="006A2F04">
        <w:rPr>
          <w:noProof/>
        </w:rPr>
        <w:drawing>
          <wp:inline distT="0" distB="0" distL="0" distR="0" wp14:anchorId="1F0DA9A8" wp14:editId="6A3253AB">
            <wp:extent cx="341630" cy="359410"/>
            <wp:effectExtent l="0" t="0" r="1270" b="2540"/>
            <wp:docPr id="139" name="Picture 139"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Pr="006A2F04">
        <w:rPr>
          <w:noProof/>
        </w:rPr>
        <w:drawing>
          <wp:inline distT="0" distB="0" distL="0" distR="0" wp14:anchorId="5C556C94" wp14:editId="54334182">
            <wp:extent cx="342900" cy="361950"/>
            <wp:effectExtent l="0" t="0" r="0" b="0"/>
            <wp:docPr id="25" name="Picture 25"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5EBF0592" w14:textId="381C8C8B" w:rsidR="00EA54D5" w:rsidRPr="00B53F89" w:rsidRDefault="00EA54D5">
      <w:pPr>
        <w:pStyle w:val="Heading3"/>
        <w:rPr>
          <w:b w:val="0"/>
        </w:rPr>
      </w:pPr>
      <w:bookmarkStart w:id="194" w:name="_Toc31892783"/>
      <w:bookmarkStart w:id="195" w:name="_Toc36207406"/>
      <w:bookmarkStart w:id="196" w:name="_Toc38987157"/>
      <w:r w:rsidRPr="00B53F89">
        <w:t>Class licensing and the spectrum commons</w:t>
      </w:r>
      <w:bookmarkEnd w:id="194"/>
      <w:bookmarkEnd w:id="195"/>
      <w:bookmarkEnd w:id="196"/>
    </w:p>
    <w:p w14:paraId="450333DE" w14:textId="354AAA95" w:rsidR="00E50661" w:rsidRPr="00B53F89" w:rsidRDefault="00EA54D5">
      <w:r w:rsidRPr="00B53F89">
        <w:t xml:space="preserve">Class licensing is the approach used in Australia to implement </w:t>
      </w:r>
      <w:r w:rsidR="003D2F51" w:rsidRPr="00B53F89">
        <w:t>less closely managed spectrum arrangements, including</w:t>
      </w:r>
      <w:r w:rsidRPr="00B53F89">
        <w:t xml:space="preserve"> ‘spectrum commons</w:t>
      </w:r>
      <w:r w:rsidR="00B45DAB" w:rsidRPr="00B53F89">
        <w:t>’</w:t>
      </w:r>
      <w:r w:rsidR="003D2F51" w:rsidRPr="00B53F89">
        <w:t>.</w:t>
      </w:r>
      <w:r w:rsidRPr="00B53F89">
        <w:t xml:space="preserve"> </w:t>
      </w:r>
      <w:r w:rsidR="00E50661" w:rsidRPr="00B53F89">
        <w:t>The fundamental idea of a spectrum commons is that anyone can use commons spectrum, so long as they follow the set rules</w:t>
      </w:r>
      <w:r w:rsidR="005F6C41" w:rsidRPr="00B53F89">
        <w:rPr>
          <w:rStyle w:val="FootnoteReference"/>
        </w:rPr>
        <w:footnoteReference w:id="37"/>
      </w:r>
      <w:r w:rsidR="007C0B07" w:rsidRPr="00B53F89">
        <w:t>—</w:t>
      </w:r>
      <w:r w:rsidR="00E50661" w:rsidRPr="00B53F89">
        <w:t xml:space="preserve">in </w:t>
      </w:r>
      <w:r w:rsidR="004A65AA" w:rsidRPr="00B53F89">
        <w:t>Australia,</w:t>
      </w:r>
      <w:r w:rsidR="00E50661" w:rsidRPr="00B53F89">
        <w:t xml:space="preserve"> those r</w:t>
      </w:r>
      <w:r w:rsidR="0010188F" w:rsidRPr="00B53F89">
        <w:t>u</w:t>
      </w:r>
      <w:r w:rsidR="00E50661" w:rsidRPr="00B53F89">
        <w:t>les are set out in class licences.</w:t>
      </w:r>
    </w:p>
    <w:p w14:paraId="26E996CE" w14:textId="6B690302" w:rsidR="00CD61C3" w:rsidRPr="00B53F89" w:rsidRDefault="003D2F51">
      <w:r w:rsidRPr="00B53F89">
        <w:t>Class licences</w:t>
      </w:r>
      <w:r w:rsidR="00EA54D5" w:rsidRPr="00B53F89" w:rsidDel="003D2F51">
        <w:t xml:space="preserve"> </w:t>
      </w:r>
      <w:r w:rsidRPr="00B53F89">
        <w:t xml:space="preserve">make available </w:t>
      </w:r>
      <w:r w:rsidR="00EA54D5" w:rsidRPr="00B53F89">
        <w:t xml:space="preserve">spectrum used by services which </w:t>
      </w:r>
      <w:r w:rsidR="001D376C" w:rsidRPr="00B53F89">
        <w:t xml:space="preserve">operate on a </w:t>
      </w:r>
      <w:r w:rsidR="00EA54D5" w:rsidRPr="00B53F89">
        <w:t>limited set of common frequencies under a common set of conditions</w:t>
      </w:r>
      <w:r w:rsidR="001D376C" w:rsidRPr="00B53F89">
        <w:t xml:space="preserve"> and </w:t>
      </w:r>
      <w:r w:rsidR="00347EE1">
        <w:t xml:space="preserve">which must </w:t>
      </w:r>
      <w:r w:rsidR="00A64DB5" w:rsidRPr="00B53F89">
        <w:t xml:space="preserve">often comply with industry or legislative </w:t>
      </w:r>
      <w:r w:rsidR="001D376C" w:rsidRPr="00B53F89">
        <w:t>standards</w:t>
      </w:r>
      <w:r w:rsidR="00EA54D5" w:rsidRPr="00B53F89">
        <w:t xml:space="preserve">. Class licences authorise users of designated segments of spectrum to operate on a shared basis. </w:t>
      </w:r>
      <w:r w:rsidRPr="00B53F89">
        <w:t xml:space="preserve">Class licences do </w:t>
      </w:r>
      <w:r w:rsidR="00EA54D5" w:rsidRPr="00B53F89">
        <w:t xml:space="preserve">not involve licence fees, and there is minimal regulatory overhead </w:t>
      </w:r>
      <w:r w:rsidR="0090224F" w:rsidRPr="00B53F89">
        <w:t xml:space="preserve">for </w:t>
      </w:r>
      <w:r w:rsidR="00EA54D5" w:rsidRPr="00B53F89">
        <w:t xml:space="preserve">spectrum users. </w:t>
      </w:r>
      <w:r w:rsidR="007E18F0">
        <w:t>Most class licences authorise ubiquitous access to commons</w:t>
      </w:r>
      <w:r w:rsidR="00A35137">
        <w:t xml:space="preserve"> spectrum</w:t>
      </w:r>
      <w:r w:rsidR="007E18F0">
        <w:t>, although there are exceptions that limit access to certain classes of use/user (</w:t>
      </w:r>
      <w:r w:rsidR="003A1DC8">
        <w:t>for example,</w:t>
      </w:r>
      <w:r w:rsidR="007E18F0">
        <w:t xml:space="preserve"> the </w:t>
      </w:r>
      <w:r w:rsidR="00A35137">
        <w:t>Public safety and e</w:t>
      </w:r>
      <w:r w:rsidR="007E18F0">
        <w:t xml:space="preserve">mergency </w:t>
      </w:r>
      <w:r w:rsidR="00A35137">
        <w:t>response class licence</w:t>
      </w:r>
      <w:r w:rsidR="007E18F0">
        <w:t xml:space="preserve"> authorising PSA access to the 4.9 GHz band). Currently, there are 16 class licences in force, which authorise the use of:</w:t>
      </w:r>
    </w:p>
    <w:p w14:paraId="772B985E" w14:textId="77777777" w:rsidR="007E18F0" w:rsidRDefault="00D56172" w:rsidP="000650FB">
      <w:pPr>
        <w:pStyle w:val="Bulletlevel1"/>
      </w:pPr>
      <w:hyperlink r:id="rId45" w:history="1">
        <w:r w:rsidR="007E18F0" w:rsidRPr="003A1DC8">
          <w:rPr>
            <w:rStyle w:val="Hyperlink"/>
          </w:rPr>
          <w:t>27 MHz handphone stations</w:t>
        </w:r>
      </w:hyperlink>
    </w:p>
    <w:p w14:paraId="435D8E60" w14:textId="0C7EF2F9" w:rsidR="007E18F0" w:rsidRDefault="00D56172" w:rsidP="000650FB">
      <w:pPr>
        <w:pStyle w:val="Bulletlevel1"/>
      </w:pPr>
      <w:hyperlink r:id="rId46" w:history="1">
        <w:r w:rsidR="004A65AA">
          <w:rPr>
            <w:rStyle w:val="Hyperlink"/>
          </w:rPr>
          <w:t>a</w:t>
        </w:r>
        <w:r w:rsidR="007E18F0" w:rsidRPr="003A1DC8">
          <w:rPr>
            <w:rStyle w:val="Hyperlink"/>
          </w:rPr>
          <w:t>ircraft and aeronautical mobile stations</w:t>
        </w:r>
      </w:hyperlink>
      <w:r w:rsidR="007E18F0" w:rsidRPr="00A35137">
        <w:t> </w:t>
      </w:r>
    </w:p>
    <w:p w14:paraId="190D394A" w14:textId="7C89D814" w:rsidR="007E18F0" w:rsidRDefault="00D56172" w:rsidP="000650FB">
      <w:pPr>
        <w:pStyle w:val="Bulletlevel1"/>
      </w:pPr>
      <w:hyperlink r:id="rId47" w:history="1">
        <w:r w:rsidR="004A65AA">
          <w:rPr>
            <w:rStyle w:val="Hyperlink"/>
          </w:rPr>
          <w:t>b</w:t>
        </w:r>
        <w:r w:rsidR="007E18F0" w:rsidRPr="003A1DC8">
          <w:rPr>
            <w:rStyle w:val="Hyperlink"/>
          </w:rPr>
          <w:t>ody scanners</w:t>
        </w:r>
      </w:hyperlink>
      <w:r w:rsidR="007E18F0" w:rsidRPr="00A35137">
        <w:t> </w:t>
      </w:r>
    </w:p>
    <w:p w14:paraId="68016325" w14:textId="4F3383AE" w:rsidR="007E18F0" w:rsidRDefault="00D56172" w:rsidP="000650FB">
      <w:pPr>
        <w:pStyle w:val="Bulletlevel1"/>
      </w:pPr>
      <w:hyperlink r:id="rId48" w:history="1">
        <w:r w:rsidR="004A65AA">
          <w:rPr>
            <w:rStyle w:val="Hyperlink"/>
          </w:rPr>
          <w:t>c</w:t>
        </w:r>
        <w:r w:rsidR="007E18F0" w:rsidRPr="003A1DC8">
          <w:rPr>
            <w:rStyle w:val="Hyperlink"/>
          </w:rPr>
          <w:t>ellular mobile telecom devices</w:t>
        </w:r>
      </w:hyperlink>
      <w:r w:rsidR="007E18F0" w:rsidRPr="00A35137">
        <w:t> </w:t>
      </w:r>
    </w:p>
    <w:p w14:paraId="3C86A5FA" w14:textId="064F9357" w:rsidR="007E18F0" w:rsidRDefault="00D56172" w:rsidP="000650FB">
      <w:pPr>
        <w:pStyle w:val="Bulletlevel1"/>
      </w:pPr>
      <w:hyperlink r:id="rId49" w:history="1">
        <w:r w:rsidR="004A65AA">
          <w:rPr>
            <w:rStyle w:val="Hyperlink"/>
          </w:rPr>
          <w:t>c</w:t>
        </w:r>
        <w:r w:rsidR="007E18F0" w:rsidRPr="003A1DC8">
          <w:rPr>
            <w:rStyle w:val="Hyperlink"/>
          </w:rPr>
          <w:t>itizen band radio stations</w:t>
        </w:r>
      </w:hyperlink>
      <w:r w:rsidR="007E18F0" w:rsidRPr="00A35137">
        <w:t> </w:t>
      </w:r>
    </w:p>
    <w:p w14:paraId="690C261C" w14:textId="35D41E03" w:rsidR="007E18F0" w:rsidRDefault="004A65AA" w:rsidP="000650FB">
      <w:pPr>
        <w:pStyle w:val="Bulletlevel1"/>
      </w:pPr>
      <w:r>
        <w:t>e</w:t>
      </w:r>
      <w:r w:rsidR="007E18F0">
        <w:t xml:space="preserve">arth stations </w:t>
      </w:r>
      <w:hyperlink r:id="rId50" w:history="1">
        <w:r w:rsidR="007E18F0">
          <w:rPr>
            <w:rStyle w:val="Hyperlink"/>
          </w:rPr>
          <w:t>communication with a space object</w:t>
        </w:r>
      </w:hyperlink>
      <w:r w:rsidR="007E18F0" w:rsidRPr="00A35137">
        <w:t> </w:t>
      </w:r>
    </w:p>
    <w:p w14:paraId="5C230D2D" w14:textId="259035C7" w:rsidR="00A35137" w:rsidRDefault="00D56172" w:rsidP="000650FB">
      <w:pPr>
        <w:pStyle w:val="Bulletlevel1"/>
      </w:pPr>
      <w:hyperlink r:id="rId51" w:history="1">
        <w:r w:rsidR="004A65AA">
          <w:rPr>
            <w:rStyle w:val="Hyperlink"/>
          </w:rPr>
          <w:t>c</w:t>
        </w:r>
        <w:r w:rsidR="007E18F0" w:rsidRPr="003A1DC8">
          <w:rPr>
            <w:rStyle w:val="Hyperlink"/>
          </w:rPr>
          <w:t>ordless communications devices </w:t>
        </w:r>
      </w:hyperlink>
    </w:p>
    <w:p w14:paraId="3343CE66" w14:textId="286BE138" w:rsidR="00A35137" w:rsidRDefault="00D56172" w:rsidP="000650FB">
      <w:pPr>
        <w:pStyle w:val="Bulletlevel1"/>
      </w:pPr>
      <w:hyperlink r:id="rId52" w:history="1">
        <w:r w:rsidR="004A65AA">
          <w:rPr>
            <w:rStyle w:val="Hyperlink"/>
          </w:rPr>
          <w:t>e</w:t>
        </w:r>
        <w:r w:rsidR="007E18F0" w:rsidRPr="003A1DC8">
          <w:rPr>
            <w:rStyle w:val="Hyperlink"/>
          </w:rPr>
          <w:t>mergency locating devices</w:t>
        </w:r>
      </w:hyperlink>
      <w:r w:rsidR="007E18F0" w:rsidRPr="00A35137">
        <w:t> </w:t>
      </w:r>
    </w:p>
    <w:p w14:paraId="0D0EE504" w14:textId="4DABF796" w:rsidR="00A35137" w:rsidRDefault="00D56172" w:rsidP="000650FB">
      <w:pPr>
        <w:pStyle w:val="Bulletlevel1"/>
      </w:pPr>
      <w:hyperlink r:id="rId53" w:history="1">
        <w:r w:rsidR="004A65AA">
          <w:rPr>
            <w:rStyle w:val="Hyperlink"/>
          </w:rPr>
          <w:t>i</w:t>
        </w:r>
        <w:r w:rsidR="007E18F0" w:rsidRPr="003A1DC8">
          <w:rPr>
            <w:rStyle w:val="Hyperlink"/>
          </w:rPr>
          <w:t>ntelligent transport systems</w:t>
        </w:r>
      </w:hyperlink>
      <w:r w:rsidR="007E18F0" w:rsidRPr="00A35137">
        <w:t> </w:t>
      </w:r>
    </w:p>
    <w:p w14:paraId="44B6715B" w14:textId="594611F4" w:rsidR="00A35137" w:rsidRDefault="00D56172" w:rsidP="000650FB">
      <w:pPr>
        <w:pStyle w:val="Bulletlevel1"/>
      </w:pPr>
      <w:hyperlink r:id="rId54" w:history="1">
        <w:r w:rsidR="004A65AA">
          <w:rPr>
            <w:rStyle w:val="Hyperlink"/>
          </w:rPr>
          <w:t>l</w:t>
        </w:r>
        <w:r w:rsidR="007E18F0" w:rsidRPr="003A1DC8">
          <w:rPr>
            <w:rStyle w:val="Hyperlink"/>
          </w:rPr>
          <w:t>ow interference potential devices (LIPD) </w:t>
        </w:r>
      </w:hyperlink>
    </w:p>
    <w:p w14:paraId="32A7C84A" w14:textId="702B9D06" w:rsidR="00A35137" w:rsidRDefault="00D56172" w:rsidP="000650FB">
      <w:pPr>
        <w:pStyle w:val="Bulletlevel1"/>
      </w:pPr>
      <w:hyperlink r:id="rId55" w:history="1">
        <w:r w:rsidR="004A65AA">
          <w:rPr>
            <w:rStyle w:val="Hyperlink"/>
          </w:rPr>
          <w:t>m</w:t>
        </w:r>
        <w:r w:rsidR="007E18F0" w:rsidRPr="003A1DC8">
          <w:rPr>
            <w:rStyle w:val="Hyperlink"/>
          </w:rPr>
          <w:t>aritime ship station</w:t>
        </w:r>
        <w:r w:rsidR="00A35137">
          <w:rPr>
            <w:rStyle w:val="Hyperlink"/>
          </w:rPr>
          <w:t>s</w:t>
        </w:r>
        <w:r w:rsidR="007E18F0" w:rsidRPr="003A1DC8">
          <w:rPr>
            <w:rStyle w:val="Hyperlink"/>
          </w:rPr>
          <w:t xml:space="preserve"> – 27 MHz and VHF</w:t>
        </w:r>
      </w:hyperlink>
      <w:r w:rsidR="007E18F0" w:rsidRPr="00A35137">
        <w:t> </w:t>
      </w:r>
    </w:p>
    <w:p w14:paraId="5E746177" w14:textId="5433D1C9" w:rsidR="00A35137" w:rsidRDefault="004A65AA" w:rsidP="000650FB">
      <w:pPr>
        <w:pStyle w:val="Bulletlevel1"/>
      </w:pPr>
      <w:r>
        <w:t>e</w:t>
      </w:r>
      <w:r w:rsidR="00A35137">
        <w:t xml:space="preserve">quipment used by </w:t>
      </w:r>
      <w:hyperlink r:id="rId56" w:history="1">
        <w:r w:rsidR="00A35137">
          <w:rPr>
            <w:rStyle w:val="Hyperlink"/>
          </w:rPr>
          <w:t>o</w:t>
        </w:r>
        <w:r w:rsidR="007E18F0" w:rsidRPr="003A1DC8">
          <w:rPr>
            <w:rStyle w:val="Hyperlink"/>
          </w:rPr>
          <w:t>verseas amateur</w:t>
        </w:r>
        <w:r w:rsidR="00A35137">
          <w:rPr>
            <w:rStyle w:val="Hyperlink"/>
          </w:rPr>
          <w:t>s</w:t>
        </w:r>
        <w:r w:rsidR="007E18F0" w:rsidRPr="003A1DC8">
          <w:rPr>
            <w:rStyle w:val="Hyperlink"/>
          </w:rPr>
          <w:t xml:space="preserve"> visiting Australia</w:t>
        </w:r>
      </w:hyperlink>
      <w:r w:rsidR="007E18F0" w:rsidRPr="00A35137">
        <w:t> </w:t>
      </w:r>
    </w:p>
    <w:p w14:paraId="44C559F5" w14:textId="27CF7802" w:rsidR="00A35137" w:rsidRDefault="00D56172" w:rsidP="000650FB">
      <w:pPr>
        <w:pStyle w:val="Bulletlevel1"/>
      </w:pPr>
      <w:hyperlink r:id="rId57" w:history="1">
        <w:r w:rsidR="004A65AA">
          <w:rPr>
            <w:rStyle w:val="Hyperlink"/>
          </w:rPr>
          <w:t>p</w:t>
        </w:r>
        <w:r w:rsidR="007E18F0" w:rsidRPr="003A1DC8">
          <w:rPr>
            <w:rStyle w:val="Hyperlink"/>
          </w:rPr>
          <w:t>ublic safety and emergency response</w:t>
        </w:r>
      </w:hyperlink>
      <w:r w:rsidR="00A35137">
        <w:t xml:space="preserve"> communications in the 4.9 GHz (4.94-4.99 GHz) frequency band</w:t>
      </w:r>
    </w:p>
    <w:p w14:paraId="41D86E8B" w14:textId="5AE23DD1" w:rsidR="00A35137" w:rsidRDefault="00D56172" w:rsidP="000650FB">
      <w:pPr>
        <w:pStyle w:val="Bulletlevel1"/>
      </w:pPr>
      <w:hyperlink r:id="rId58" w:history="1">
        <w:r w:rsidR="004A65AA">
          <w:rPr>
            <w:rStyle w:val="Hyperlink"/>
          </w:rPr>
          <w:t>r</w:t>
        </w:r>
        <w:r w:rsidR="007E18F0" w:rsidRPr="003A1DC8">
          <w:rPr>
            <w:rStyle w:val="Hyperlink"/>
          </w:rPr>
          <w:t>adio-controlled models </w:t>
        </w:r>
      </w:hyperlink>
    </w:p>
    <w:p w14:paraId="012B2505" w14:textId="346A6EEA" w:rsidR="007E18F0" w:rsidRPr="00A35137" w:rsidRDefault="00D56172" w:rsidP="000650FB">
      <w:pPr>
        <w:pStyle w:val="Bulletlevel1last"/>
      </w:pPr>
      <w:hyperlink r:id="rId59" w:history="1">
        <w:r w:rsidR="004A65AA">
          <w:rPr>
            <w:rStyle w:val="Hyperlink"/>
          </w:rPr>
          <w:t>r</w:t>
        </w:r>
        <w:r w:rsidR="007E18F0" w:rsidRPr="003A1DC8">
          <w:rPr>
            <w:rStyle w:val="Hyperlink"/>
          </w:rPr>
          <w:t>adio navigation satellite service </w:t>
        </w:r>
      </w:hyperlink>
      <w:r w:rsidR="00A35137">
        <w:t>receivers (</w:t>
      </w:r>
      <w:r w:rsidR="00A35137" w:rsidRPr="000650FB">
        <w:t>including</w:t>
      </w:r>
      <w:r w:rsidR="00A35137">
        <w:t xml:space="preserve"> those embedded in mobile phones)</w:t>
      </w:r>
    </w:p>
    <w:p w14:paraId="6A4B176D" w14:textId="33F96B43" w:rsidR="00EA54D5" w:rsidRPr="00B53F89" w:rsidRDefault="00B136B3">
      <w:r w:rsidRPr="00B53F89">
        <w:lastRenderedPageBreak/>
        <w:t>In Australia, the</w:t>
      </w:r>
      <w:r w:rsidR="00A56FF3" w:rsidRPr="00B53F89">
        <w:t xml:space="preserve"> </w:t>
      </w:r>
      <w:r w:rsidR="00A35137">
        <w:t>most widely used class licences by everyday consumers are the LIPD, cellular mobile and RNSS class licences. T</w:t>
      </w:r>
      <w:r w:rsidRPr="00B53F89">
        <w:t>he</w:t>
      </w:r>
      <w:r w:rsidR="00A56FF3" w:rsidRPr="00B53F89">
        <w:t xml:space="preserve"> LIPD class licence</w:t>
      </w:r>
      <w:r w:rsidRPr="00B53F89">
        <w:t xml:space="preserve"> </w:t>
      </w:r>
      <w:r w:rsidR="00CC2FB3" w:rsidRPr="00B53F89">
        <w:t xml:space="preserve">authorises </w:t>
      </w:r>
      <w:r w:rsidR="00A35137">
        <w:t>the widest range of</w:t>
      </w:r>
      <w:r w:rsidR="00CC2FB3" w:rsidRPr="00B53F89">
        <w:t xml:space="preserve"> class</w:t>
      </w:r>
      <w:r w:rsidR="007C0B07" w:rsidRPr="00B53F89">
        <w:t>-</w:t>
      </w:r>
      <w:r w:rsidR="00CC2FB3" w:rsidRPr="00B53F89">
        <w:t>licen</w:t>
      </w:r>
      <w:r w:rsidR="00DF6126" w:rsidRPr="00B53F89">
        <w:t>s</w:t>
      </w:r>
      <w:r w:rsidR="00CC2FB3" w:rsidRPr="00B53F89">
        <w:t xml:space="preserve">ed devices, including </w:t>
      </w:r>
      <w:r w:rsidR="004A65AA">
        <w:t>w</w:t>
      </w:r>
      <w:r w:rsidR="00CC2FB3" w:rsidRPr="00B53F89">
        <w:t>i-</w:t>
      </w:r>
      <w:r w:rsidR="004A65AA">
        <w:t>f</w:t>
      </w:r>
      <w:r w:rsidR="00CC2FB3" w:rsidRPr="00B53F89">
        <w:t>i and Bluetooth services along with a range of other uses including certain spread spectrum and ultra-wideband transmitters.</w:t>
      </w:r>
      <w:r w:rsidR="00A35137">
        <w:t xml:space="preserve"> It is scheduled for </w:t>
      </w:r>
      <w:r w:rsidR="00347EE1">
        <w:t xml:space="preserve">review </w:t>
      </w:r>
      <w:r w:rsidR="00A35137">
        <w:t>in Q4 2020.</w:t>
      </w:r>
    </w:p>
    <w:p w14:paraId="5DCEB272" w14:textId="412B9DA0" w:rsidR="00281E49" w:rsidRPr="00B53F89" w:rsidRDefault="00CF505E">
      <w:r w:rsidRPr="00B53F89">
        <w:t>I</w:t>
      </w:r>
      <w:r w:rsidR="00281E49" w:rsidRPr="00B53F89">
        <w:t>n many class</w:t>
      </w:r>
      <w:r w:rsidR="007C0B07" w:rsidRPr="00B53F89">
        <w:t>-</w:t>
      </w:r>
      <w:r w:rsidR="00281E49" w:rsidRPr="00B53F89">
        <w:t xml:space="preserve">licensed bands, particularly those included in </w:t>
      </w:r>
      <w:r w:rsidR="00365C08" w:rsidRPr="00B53F89">
        <w:t xml:space="preserve">the </w:t>
      </w:r>
      <w:r w:rsidR="00281E49" w:rsidRPr="00B53F89">
        <w:t xml:space="preserve">LIPD class licence, use of the spectrum is on an uncoordinated basis </w:t>
      </w:r>
      <w:r w:rsidR="000D1444" w:rsidRPr="00B53F89">
        <w:t xml:space="preserve">and </w:t>
      </w:r>
      <w:r w:rsidR="00281E49" w:rsidRPr="00B53F89">
        <w:t>sharing mechanisms are implemented via technical and operational conditions on device usage</w:t>
      </w:r>
      <w:r w:rsidR="000D1444" w:rsidRPr="00B53F89">
        <w:t>, and, in some cases, network or system design considerations</w:t>
      </w:r>
      <w:r w:rsidR="00281E49" w:rsidRPr="00B53F89">
        <w:t xml:space="preserve">. In </w:t>
      </w:r>
      <w:r w:rsidR="009162AA" w:rsidRPr="00B53F89">
        <w:t>such bands</w:t>
      </w:r>
      <w:r w:rsidR="00281E49" w:rsidRPr="00B53F89">
        <w:t xml:space="preserve">, protection of individual devices from interference cannot be guaranteed. This </w:t>
      </w:r>
      <w:r w:rsidR="00365C08" w:rsidRPr="00B53F89">
        <w:t xml:space="preserve">relatively low </w:t>
      </w:r>
      <w:r w:rsidR="00281E49" w:rsidRPr="00B53F89">
        <w:t xml:space="preserve">level of interference protection means that these bands are </w:t>
      </w:r>
      <w:r w:rsidR="0049086C" w:rsidRPr="00B53F89">
        <w:t xml:space="preserve">not </w:t>
      </w:r>
      <w:r w:rsidR="00281E49" w:rsidRPr="00B53F89">
        <w:t xml:space="preserve">useful for </w:t>
      </w:r>
      <w:r w:rsidR="0049086C" w:rsidRPr="00B53F89">
        <w:t xml:space="preserve">all </w:t>
      </w:r>
      <w:r w:rsidR="00281E49" w:rsidRPr="00B53F89">
        <w:t>applications</w:t>
      </w:r>
      <w:r w:rsidR="004A65AA">
        <w:t>—</w:t>
      </w:r>
      <w:r w:rsidR="001A7C80">
        <w:t>though in some cases</w:t>
      </w:r>
      <w:r w:rsidR="004A65AA">
        <w:t>,</w:t>
      </w:r>
      <w:r w:rsidR="001A7C80">
        <w:t xml:space="preserve"> system engineering approaches can improve the utility of these bands for uses not immediately associated with a low interference protection environment</w:t>
      </w:r>
      <w:r w:rsidR="00281E49" w:rsidRPr="00B53F89">
        <w:t xml:space="preserve">. </w:t>
      </w:r>
      <w:r w:rsidRPr="00B53F89">
        <w:t>T</w:t>
      </w:r>
      <w:r w:rsidR="0049086C" w:rsidRPr="00B53F89">
        <w:t xml:space="preserve">his </w:t>
      </w:r>
      <w:r w:rsidR="00281E49" w:rsidRPr="00B53F89">
        <w:t xml:space="preserve">is balanced by </w:t>
      </w:r>
      <w:r w:rsidR="000D1444" w:rsidRPr="00B53F89">
        <w:t xml:space="preserve">the </w:t>
      </w:r>
      <w:r w:rsidR="00281E49" w:rsidRPr="00B53F89">
        <w:t xml:space="preserve">high degree of flexibility </w:t>
      </w:r>
      <w:r w:rsidR="000D1444" w:rsidRPr="00B53F89">
        <w:t xml:space="preserve">that is </w:t>
      </w:r>
      <w:r w:rsidR="00281E49" w:rsidRPr="00B53F89">
        <w:t xml:space="preserve">possible in </w:t>
      </w:r>
      <w:r w:rsidR="000D1444" w:rsidRPr="00B53F89">
        <w:t xml:space="preserve">the </w:t>
      </w:r>
      <w:r w:rsidR="00281E49" w:rsidRPr="00B53F89">
        <w:t xml:space="preserve">use of these </w:t>
      </w:r>
      <w:r w:rsidR="00281E49" w:rsidRPr="0048118B">
        <w:t>class</w:t>
      </w:r>
      <w:r w:rsidR="00D1527A" w:rsidRPr="0048118B">
        <w:t>-</w:t>
      </w:r>
      <w:r w:rsidR="00281E49" w:rsidRPr="0048118B">
        <w:t>licensed bands</w:t>
      </w:r>
      <w:r w:rsidR="00281E49" w:rsidRPr="00B53F89">
        <w:t xml:space="preserve">. </w:t>
      </w:r>
    </w:p>
    <w:p w14:paraId="5DA0B74C" w14:textId="0CA6AF5F" w:rsidR="00EA54D5" w:rsidRPr="00B53F89" w:rsidRDefault="00EA54D5">
      <w:r w:rsidRPr="00B53F89">
        <w:t>This flexibility</w:t>
      </w:r>
      <w:r w:rsidR="009228B8" w:rsidRPr="00B53F89">
        <w:t xml:space="preserve">, </w:t>
      </w:r>
      <w:r w:rsidRPr="00B53F89">
        <w:t>and</w:t>
      </w:r>
      <w:r w:rsidR="009228B8" w:rsidRPr="00B53F89">
        <w:t xml:space="preserve"> the absence of licensing fees, </w:t>
      </w:r>
      <w:r w:rsidRPr="00B53F89">
        <w:t xml:space="preserve">has </w:t>
      </w:r>
      <w:r w:rsidR="009228B8" w:rsidRPr="00B53F89">
        <w:t xml:space="preserve">enabled </w:t>
      </w:r>
      <w:r w:rsidRPr="00B53F89">
        <w:t>massive innovation both in technology use and deployment approaches</w:t>
      </w:r>
      <w:r w:rsidR="009228B8" w:rsidRPr="00B53F89">
        <w:t xml:space="preserve"> in some class</w:t>
      </w:r>
      <w:r w:rsidR="007C0B07" w:rsidRPr="00B53F89">
        <w:t>-</w:t>
      </w:r>
      <w:r w:rsidR="009228B8" w:rsidRPr="00B53F89">
        <w:t>licensed bands</w:t>
      </w:r>
      <w:r w:rsidRPr="00B53F89">
        <w:t>. There is no greater example of this than the 2.4</w:t>
      </w:r>
      <w:r w:rsidR="00801E32" w:rsidRPr="00B53F89">
        <w:t xml:space="preserve"> GHz (2400–2</w:t>
      </w:r>
      <w:r w:rsidR="00663E68" w:rsidRPr="00B53F89">
        <w:t>483.5</w:t>
      </w:r>
      <w:r w:rsidR="00801E32" w:rsidRPr="00B53F89">
        <w:t xml:space="preserve"> MHz) </w:t>
      </w:r>
      <w:r w:rsidRPr="00B53F89">
        <w:t>and 5</w:t>
      </w:r>
      <w:r w:rsidR="00801E32" w:rsidRPr="00B53F89">
        <w:t> </w:t>
      </w:r>
      <w:r w:rsidRPr="00B53F89">
        <w:t xml:space="preserve">GHz </w:t>
      </w:r>
      <w:r w:rsidR="00801E32" w:rsidRPr="00B53F89">
        <w:t>(</w:t>
      </w:r>
      <w:r w:rsidR="00DA07D2">
        <w:t>various parts of 5150</w:t>
      </w:r>
      <w:r w:rsidR="00801E32" w:rsidRPr="00B53F89">
        <w:t xml:space="preserve">–5875 MHz) </w:t>
      </w:r>
      <w:r w:rsidRPr="00B53F89">
        <w:t xml:space="preserve">bands </w:t>
      </w:r>
      <w:r w:rsidR="003360A4" w:rsidRPr="00B53F89">
        <w:t xml:space="preserve">that are </w:t>
      </w:r>
      <w:r w:rsidRPr="00B53F89">
        <w:t xml:space="preserve">class licensed </w:t>
      </w:r>
      <w:r w:rsidR="003360A4" w:rsidRPr="00B53F89">
        <w:t xml:space="preserve">and </w:t>
      </w:r>
      <w:r w:rsidRPr="00B53F89">
        <w:t>used for radio local area networks (RLANs)</w:t>
      </w:r>
      <w:r w:rsidR="007C0B07" w:rsidRPr="00B53F89">
        <w:t>—</w:t>
      </w:r>
      <w:r w:rsidRPr="00B53F89">
        <w:t xml:space="preserve">especially </w:t>
      </w:r>
      <w:r w:rsidR="004A65AA">
        <w:t>wi-fi</w:t>
      </w:r>
      <w:r w:rsidRPr="00B53F89">
        <w:t>.</w:t>
      </w:r>
    </w:p>
    <w:p w14:paraId="79A4D06C" w14:textId="4BDE3BB4" w:rsidR="00EA54D5" w:rsidRPr="00B53F89" w:rsidRDefault="00EA54D5" w:rsidP="00E26672">
      <w:r w:rsidRPr="00B53F89">
        <w:t>Wi-</w:t>
      </w:r>
      <w:r w:rsidR="004A65AA">
        <w:t>f</w:t>
      </w:r>
      <w:r w:rsidRPr="00B53F89">
        <w:t>i devices now carry approximately half of all global Internet Protocol (IP) traffic</w:t>
      </w:r>
      <w:r w:rsidRPr="00B53F89">
        <w:rPr>
          <w:rStyle w:val="FootnoteReference"/>
        </w:rPr>
        <w:footnoteReference w:id="38"/>
      </w:r>
      <w:r w:rsidR="004A65AA">
        <w:t>,</w:t>
      </w:r>
      <w:r w:rsidRPr="00B53F89">
        <w:t xml:space="preserve"> with </w:t>
      </w:r>
      <w:r w:rsidR="004A65AA">
        <w:t>wi-fi</w:t>
      </w:r>
      <w:r w:rsidRPr="00B53F89">
        <w:t xml:space="preserve"> networks almost ubiquitous in homes and business</w:t>
      </w:r>
      <w:r w:rsidR="00A23463" w:rsidRPr="00B53F89">
        <w:t>es</w:t>
      </w:r>
      <w:r w:rsidRPr="00B53F89">
        <w:t xml:space="preserve"> along with many public space</w:t>
      </w:r>
      <w:r w:rsidR="003B46D3" w:rsidRPr="00B53F89">
        <w:t>s</w:t>
      </w:r>
      <w:r w:rsidRPr="00B53F89">
        <w:t xml:space="preserve">. </w:t>
      </w:r>
      <w:r w:rsidR="003B46D3" w:rsidRPr="00B53F89">
        <w:t>W</w:t>
      </w:r>
      <w:r w:rsidRPr="00B53F89">
        <w:t>hile there are anecdotal reports of congestion events</w:t>
      </w:r>
      <w:r w:rsidR="00142A5B">
        <w:t xml:space="preserve"> (</w:t>
      </w:r>
      <w:r w:rsidR="00EA60DE" w:rsidRPr="00B53F89">
        <w:t>for example,</w:t>
      </w:r>
      <w:r w:rsidR="003B46D3" w:rsidRPr="00B53F89">
        <w:t xml:space="preserve"> poor </w:t>
      </w:r>
      <w:r w:rsidRPr="00B53F89">
        <w:t xml:space="preserve">or no </w:t>
      </w:r>
      <w:r w:rsidR="004A65AA">
        <w:t>wi-fi</w:t>
      </w:r>
      <w:r w:rsidRPr="00B53F89">
        <w:t xml:space="preserve"> coverage</w:t>
      </w:r>
      <w:r w:rsidR="00142A5B">
        <w:t>)</w:t>
      </w:r>
      <w:r w:rsidR="007C0B07" w:rsidRPr="00B53F89">
        <w:t>,</w:t>
      </w:r>
      <w:r w:rsidRPr="00B53F89">
        <w:t xml:space="preserve"> it is </w:t>
      </w:r>
      <w:r w:rsidR="003B46D3" w:rsidRPr="00B53F89">
        <w:t xml:space="preserve">difficult </w:t>
      </w:r>
      <w:r w:rsidRPr="00B53F89">
        <w:t>to determine the cause</w:t>
      </w:r>
      <w:r w:rsidR="003B46D3" w:rsidRPr="00B53F89">
        <w:t>, which could be</w:t>
      </w:r>
      <w:r w:rsidRPr="00B53F89">
        <w:t xml:space="preserve"> spectrum interference</w:t>
      </w:r>
      <w:r w:rsidR="007C0B07" w:rsidRPr="00B53F89">
        <w:t>,</w:t>
      </w:r>
      <w:r w:rsidR="003B46D3" w:rsidRPr="00B53F89">
        <w:t xml:space="preserve"> </w:t>
      </w:r>
      <w:r w:rsidRPr="00B53F89">
        <w:t>congestion</w:t>
      </w:r>
      <w:r w:rsidR="003B46D3" w:rsidRPr="00B53F89">
        <w:t xml:space="preserve"> </w:t>
      </w:r>
      <w:r w:rsidRPr="00B53F89">
        <w:t>or</w:t>
      </w:r>
      <w:r w:rsidR="0038436D" w:rsidRPr="00B53F89">
        <w:t xml:space="preserve"> a range of</w:t>
      </w:r>
      <w:r w:rsidRPr="00B53F89">
        <w:t xml:space="preserve"> other factors</w:t>
      </w:r>
      <w:r w:rsidR="001A7C80">
        <w:t xml:space="preserve"> </w:t>
      </w:r>
      <w:r w:rsidR="00142A5B">
        <w:t>including</w:t>
      </w:r>
      <w:r w:rsidR="001A7C80">
        <w:t xml:space="preserve"> infrastructure factors (</w:t>
      </w:r>
      <w:r w:rsidR="003A24C8">
        <w:t>for example,</w:t>
      </w:r>
      <w:r w:rsidR="001A7C80">
        <w:t xml:space="preserve"> insufficient or poorly engineer</w:t>
      </w:r>
      <w:r w:rsidR="003A24C8">
        <w:t>ed</w:t>
      </w:r>
      <w:r w:rsidR="001A7C80">
        <w:t xml:space="preserve"> access points)</w:t>
      </w:r>
      <w:r w:rsidR="003B46D3" w:rsidRPr="00B53F89">
        <w:t>.</w:t>
      </w:r>
      <w:r w:rsidRPr="00B53F89">
        <w:t xml:space="preserve"> </w:t>
      </w:r>
    </w:p>
    <w:p w14:paraId="42DCBC11" w14:textId="410589B3" w:rsidR="00CC78AD" w:rsidRPr="00B53F89" w:rsidRDefault="004A65AA" w:rsidP="00E26672">
      <w:r>
        <w:t>We</w:t>
      </w:r>
      <w:r w:rsidR="00EA54D5" w:rsidRPr="00B53F89">
        <w:t xml:space="preserve"> </w:t>
      </w:r>
      <w:r w:rsidR="00CC78AD" w:rsidRPr="00B53F89">
        <w:t>will continue to</w:t>
      </w:r>
      <w:r w:rsidR="00EA54D5" w:rsidRPr="00B53F89">
        <w:t xml:space="preserve"> review </w:t>
      </w:r>
      <w:r w:rsidR="00954440" w:rsidRPr="00B53F89">
        <w:t>class</w:t>
      </w:r>
      <w:r>
        <w:t>-</w:t>
      </w:r>
      <w:r w:rsidR="00954440" w:rsidRPr="00B53F89">
        <w:t xml:space="preserve">licensing </w:t>
      </w:r>
      <w:r w:rsidR="00EA54D5" w:rsidRPr="00B53F89">
        <w:t>arrangement</w:t>
      </w:r>
      <w:r w:rsidR="00954440" w:rsidRPr="00B53F89">
        <w:t>s</w:t>
      </w:r>
      <w:r w:rsidR="00EA54D5" w:rsidRPr="00B53F89">
        <w:t xml:space="preserve"> to assess whether regulatory settings can be changed to support RL</w:t>
      </w:r>
      <w:r w:rsidR="00890FAA">
        <w:t>A</w:t>
      </w:r>
      <w:r w:rsidR="00EA54D5" w:rsidRPr="00B53F89">
        <w:t xml:space="preserve">Ns and </w:t>
      </w:r>
      <w:r>
        <w:t>wi-fi</w:t>
      </w:r>
      <w:r w:rsidR="00EA54D5" w:rsidRPr="00B53F89">
        <w:t xml:space="preserve">. </w:t>
      </w:r>
      <w:r w:rsidR="00C61187" w:rsidRPr="00B53F89">
        <w:t>C</w:t>
      </w:r>
      <w:r w:rsidR="00CC78AD" w:rsidRPr="00B53F89">
        <w:t>onsider</w:t>
      </w:r>
      <w:r w:rsidR="00C61187" w:rsidRPr="00B53F89">
        <w:t>ations will include</w:t>
      </w:r>
      <w:r w:rsidR="00EA54D5" w:rsidRPr="00B53F89">
        <w:t xml:space="preserve"> whether more spectrum is required and </w:t>
      </w:r>
      <w:r w:rsidR="00CC78AD" w:rsidRPr="00B53F89">
        <w:t xml:space="preserve">if </w:t>
      </w:r>
      <w:r w:rsidR="00EA54D5" w:rsidRPr="00B53F89">
        <w:t xml:space="preserve">changes to existing arrangements are necessary. </w:t>
      </w:r>
      <w:r w:rsidR="00CC78AD" w:rsidRPr="00B53F89">
        <w:t xml:space="preserve">For example, </w:t>
      </w:r>
      <w:r w:rsidR="00107C45">
        <w:t>we</w:t>
      </w:r>
      <w:r w:rsidR="00400A7B" w:rsidRPr="00B53F89">
        <w:t xml:space="preserve"> can consider whether</w:t>
      </w:r>
      <w:r w:rsidR="00EA54D5" w:rsidRPr="00B53F89">
        <w:t xml:space="preserve"> existing class licence conditions</w:t>
      </w:r>
      <w:r w:rsidR="00BD28D6" w:rsidRPr="00B53F89">
        <w:t>,</w:t>
      </w:r>
      <w:r w:rsidR="00EA54D5" w:rsidRPr="00B53F89">
        <w:t xml:space="preserve"> such as power</w:t>
      </w:r>
      <w:r w:rsidR="003360A4" w:rsidRPr="00B53F89">
        <w:t xml:space="preserve"> level</w:t>
      </w:r>
      <w:r w:rsidR="00EA54D5" w:rsidRPr="00B53F89">
        <w:t>s and other operating conditions</w:t>
      </w:r>
      <w:r w:rsidR="006A69C3">
        <w:t xml:space="preserve"> (</w:t>
      </w:r>
      <w:r w:rsidR="00637B9F" w:rsidRPr="00B53F89">
        <w:t>for example,</w:t>
      </w:r>
      <w:r w:rsidR="00EA54D5" w:rsidRPr="00B53F89">
        <w:t xml:space="preserve"> indoor usage limitations in some frequency ranges</w:t>
      </w:r>
      <w:r w:rsidR="006A69C3">
        <w:t>)</w:t>
      </w:r>
      <w:r w:rsidR="001C3B42" w:rsidRPr="00B53F89">
        <w:t>,</w:t>
      </w:r>
      <w:r w:rsidR="00EA54D5" w:rsidRPr="00B53F89">
        <w:t xml:space="preserve"> </w:t>
      </w:r>
      <w:r w:rsidR="00C61187" w:rsidRPr="00B53F89">
        <w:t>should be reviewed.</w:t>
      </w:r>
    </w:p>
    <w:p w14:paraId="2927A355" w14:textId="22772E66" w:rsidR="00EA54D5" w:rsidRPr="00B53F89" w:rsidRDefault="00107C45" w:rsidP="006E0361">
      <w:r>
        <w:t>We</w:t>
      </w:r>
      <w:r w:rsidR="00EA54D5" w:rsidRPr="00B53F89">
        <w:t xml:space="preserve"> recently </w:t>
      </w:r>
      <w:r w:rsidR="00920D3D" w:rsidRPr="00B53F89">
        <w:t xml:space="preserve">made </w:t>
      </w:r>
      <w:r w:rsidR="00EA54D5" w:rsidRPr="00B53F89">
        <w:t>spectrum available via class licensing in the 66</w:t>
      </w:r>
      <w:r w:rsidR="004E64E0" w:rsidRPr="00B53F89">
        <w:t>–</w:t>
      </w:r>
      <w:r w:rsidR="00EA54D5" w:rsidRPr="00B53F89">
        <w:t>71 GHz frequency range expected to support wireless gigabit RLANs</w:t>
      </w:r>
      <w:r w:rsidR="001C3B42" w:rsidRPr="00B53F89">
        <w:t>—</w:t>
      </w:r>
      <w:r w:rsidR="00EA54D5" w:rsidRPr="00B53F89">
        <w:t>for exampl</w:t>
      </w:r>
      <w:r w:rsidR="003360A4" w:rsidRPr="00B53F89">
        <w:t>e,</w:t>
      </w:r>
      <w:r w:rsidR="00EA54D5" w:rsidRPr="00B53F89">
        <w:t xml:space="preserve"> utilising IEEE 802.11ad. </w:t>
      </w:r>
    </w:p>
    <w:p w14:paraId="70B1AE78" w14:textId="3410A0AE" w:rsidR="00EA54D5" w:rsidRPr="00B53F89" w:rsidRDefault="00C61187">
      <w:r w:rsidRPr="00B53F89">
        <w:t>There are</w:t>
      </w:r>
      <w:r w:rsidR="00EA54D5" w:rsidRPr="00B53F89">
        <w:t xml:space="preserve"> global developments in making more spectrum available for </w:t>
      </w:r>
      <w:r w:rsidR="00107C45">
        <w:t>w</w:t>
      </w:r>
      <w:r w:rsidR="003E3B37" w:rsidRPr="00B53F89">
        <w:t>i-</w:t>
      </w:r>
      <w:r w:rsidR="00107C45">
        <w:t>f</w:t>
      </w:r>
      <w:r w:rsidR="003E3B37" w:rsidRPr="00B53F89">
        <w:t>i</w:t>
      </w:r>
      <w:r w:rsidR="00EA54D5" w:rsidRPr="00B53F89">
        <w:t xml:space="preserve"> above the 5 GHz band already included in the LIPD</w:t>
      </w:r>
      <w:r w:rsidR="00A56FF3" w:rsidRPr="00B53F89">
        <w:t xml:space="preserve"> class licence</w:t>
      </w:r>
      <w:r w:rsidR="00EA54D5" w:rsidRPr="00B53F89">
        <w:t>. For example, in the US</w:t>
      </w:r>
      <w:r w:rsidR="00107C45">
        <w:t>,</w:t>
      </w:r>
      <w:r w:rsidR="00EA54D5" w:rsidRPr="00B53F89">
        <w:t xml:space="preserve"> the FCC has </w:t>
      </w:r>
      <w:r w:rsidR="00A57BD1">
        <w:t>recently made</w:t>
      </w:r>
      <w:r w:rsidR="00D24E23" w:rsidRPr="00B53F89">
        <w:t xml:space="preserve"> rules in the 5925–7125 MHz band that would support </w:t>
      </w:r>
      <w:r w:rsidR="00107C45">
        <w:t>w</w:t>
      </w:r>
      <w:r w:rsidR="00D24E23" w:rsidRPr="00B53F89">
        <w:t>i-</w:t>
      </w:r>
      <w:r w:rsidR="00107C45">
        <w:t>f</w:t>
      </w:r>
      <w:r w:rsidR="00D24E23" w:rsidRPr="00B53F89">
        <w:t>i use.</w:t>
      </w:r>
      <w:r w:rsidR="00D24E23" w:rsidRPr="00B53F89">
        <w:rPr>
          <w:rStyle w:val="FootnoteReference"/>
        </w:rPr>
        <w:footnoteReference w:id="39"/>
      </w:r>
      <w:r w:rsidR="00D24E23" w:rsidRPr="00B53F89">
        <w:t xml:space="preserve"> This would create another 1</w:t>
      </w:r>
      <w:r w:rsidR="00A57BD1">
        <w:t>.2</w:t>
      </w:r>
      <w:r w:rsidR="00D24E23" w:rsidRPr="00B53F89">
        <w:t xml:space="preserve"> GHz of spectrum available for </w:t>
      </w:r>
      <w:r w:rsidR="00107C45">
        <w:t>w</w:t>
      </w:r>
      <w:r w:rsidR="00D24E23" w:rsidRPr="00B53F89">
        <w:t>i-</w:t>
      </w:r>
      <w:r w:rsidR="00107C45">
        <w:t>f</w:t>
      </w:r>
      <w:r w:rsidR="00D24E23" w:rsidRPr="00B53F89">
        <w:t>i in this band</w:t>
      </w:r>
      <w:r w:rsidR="00A57BD1">
        <w:t xml:space="preserve">, </w:t>
      </w:r>
      <w:r w:rsidR="00107C45">
        <w:t xml:space="preserve">with </w:t>
      </w:r>
      <w:r w:rsidR="00A57BD1">
        <w:t>a range of indoor and outdoor arrangements and different power levels permitted in different segments of that band.</w:t>
      </w:r>
      <w:r w:rsidR="00D24E23" w:rsidRPr="00B53F89">
        <w:t xml:space="preserve"> However, internationally</w:t>
      </w:r>
      <w:r w:rsidR="00107C45">
        <w:t>,</w:t>
      </w:r>
      <w:r w:rsidR="00D24E23" w:rsidRPr="00B53F89">
        <w:t xml:space="preserve"> both the microwave fixed link and satellite industry have expressed concerns about these proposals. </w:t>
      </w:r>
      <w:r w:rsidR="00107C45">
        <w:t>We</w:t>
      </w:r>
      <w:r w:rsidR="00D24E23" w:rsidRPr="00B53F89">
        <w:t xml:space="preserve"> will monitor the progress of this issue—particularly the matter of coexistence between possible </w:t>
      </w:r>
      <w:r w:rsidR="00107C45">
        <w:t>w</w:t>
      </w:r>
      <w:r w:rsidR="00D24E23" w:rsidRPr="00B53F89">
        <w:t>i-</w:t>
      </w:r>
      <w:r w:rsidR="00107C45">
        <w:t>f</w:t>
      </w:r>
      <w:r w:rsidR="00D24E23" w:rsidRPr="00B53F89">
        <w:t>i and similar uses of the band with other uses, such as satellite uplinks and fixed links</w:t>
      </w:r>
      <w:r w:rsidR="00EA54D5" w:rsidRPr="00B53F89">
        <w:t xml:space="preserve">. </w:t>
      </w:r>
    </w:p>
    <w:p w14:paraId="6B7F3371" w14:textId="54D87C79" w:rsidR="00D24E23" w:rsidRPr="00B53F89" w:rsidRDefault="00D24E23" w:rsidP="00D24E23">
      <w:r w:rsidRPr="00B53F89">
        <w:lastRenderedPageBreak/>
        <w:t>The ACMA will monitor both domestic and international factors that inform consideration of future changes to class</w:t>
      </w:r>
      <w:r w:rsidR="00107C45">
        <w:t>-</w:t>
      </w:r>
      <w:r w:rsidRPr="00B53F89">
        <w:t xml:space="preserve">licensing arrangements in Australia. </w:t>
      </w:r>
    </w:p>
    <w:bookmarkEnd w:id="189"/>
    <w:bookmarkEnd w:id="190"/>
    <w:bookmarkEnd w:id="191"/>
    <w:p w14:paraId="12E408DF" w14:textId="746FF5C7" w:rsidR="00C27E21" w:rsidRPr="00B53F89" w:rsidRDefault="00C27E21" w:rsidP="00FA7446">
      <w:pPr>
        <w:keepNext/>
        <w:spacing w:before="60" w:after="0"/>
      </w:pPr>
      <w:r w:rsidRPr="006A2F04">
        <w:rPr>
          <w:noProof/>
        </w:rPr>
        <w:drawing>
          <wp:inline distT="0" distB="0" distL="0" distR="0" wp14:anchorId="0634D79F" wp14:editId="344099D9">
            <wp:extent cx="342900" cy="361950"/>
            <wp:effectExtent l="0" t="0" r="0" b="0"/>
            <wp:docPr id="26" name="Picture 26" descr="Amateur radi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mateur radio ico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6A6E171B" w14:textId="4B2B9B8F" w:rsidR="00082A09" w:rsidRPr="00B53F89" w:rsidRDefault="00082A09" w:rsidP="002111ED">
      <w:pPr>
        <w:pStyle w:val="Heading3"/>
      </w:pPr>
      <w:bookmarkStart w:id="197" w:name="_Toc31892784"/>
      <w:bookmarkStart w:id="198" w:name="_Toc36207407"/>
      <w:bookmarkStart w:id="199" w:name="_Toc38987158"/>
      <w:r w:rsidRPr="00B53F89">
        <w:t>Amateur radio</w:t>
      </w:r>
      <w:bookmarkEnd w:id="197"/>
      <w:bookmarkEnd w:id="198"/>
      <w:bookmarkEnd w:id="199"/>
    </w:p>
    <w:p w14:paraId="429A480B" w14:textId="77777777" w:rsidR="00082A09" w:rsidRPr="00B53F89" w:rsidRDefault="00082A09" w:rsidP="00DE694D">
      <w:r w:rsidRPr="00B53F89">
        <w:t xml:space="preserve">The amateur service is a longstanding user of radiofrequency spectrum, with a range of bands made available for qualified amateurs. The amateur service is designed primarily to facilitate hobby radiocommunications and technical experimentation. Amateur radio operators communicate using transmission modes including, but not limited to, Morse code, </w:t>
      </w:r>
      <w:r w:rsidR="006231E7" w:rsidRPr="00B53F89">
        <w:t>voice</w:t>
      </w:r>
      <w:r w:rsidRPr="00B53F89">
        <w:t xml:space="preserve"> and data.</w:t>
      </w:r>
    </w:p>
    <w:p w14:paraId="4492844A" w14:textId="24467934" w:rsidR="005B73BA" w:rsidRPr="004E509B" w:rsidRDefault="00961C0E" w:rsidP="00DE694D">
      <w:pPr>
        <w:rPr>
          <w:i/>
        </w:rPr>
      </w:pPr>
      <w:r>
        <w:t>Apparatus licences are issued authorising</w:t>
      </w:r>
      <w:r w:rsidRPr="00961C0E">
        <w:t xml:space="preserve"> </w:t>
      </w:r>
      <w:r>
        <w:t xml:space="preserve">the operation of amateur radio across a wide range of frequencies. Licence conditions applying to these licences are set under the </w:t>
      </w:r>
      <w:hyperlink r:id="rId60" w:history="1">
        <w:r w:rsidR="005B73BA" w:rsidRPr="005B73BA">
          <w:rPr>
            <w:rStyle w:val="Hyperlink"/>
          </w:rPr>
          <w:t>Radiocommunications Licence Condition</w:t>
        </w:r>
        <w:r w:rsidR="005B73BA">
          <w:rPr>
            <w:rStyle w:val="Hyperlink"/>
          </w:rPr>
          <w:t>s</w:t>
        </w:r>
        <w:r w:rsidR="005B73BA" w:rsidRPr="005B73BA">
          <w:rPr>
            <w:rStyle w:val="Hyperlink"/>
          </w:rPr>
          <w:t xml:space="preserve"> (Amateur Licence) Determination 2015</w:t>
        </w:r>
      </w:hyperlink>
      <w:r w:rsidRPr="00513FDE">
        <w:rPr>
          <w:rStyle w:val="Hyperlink"/>
          <w:color w:val="auto"/>
          <w:u w:val="none"/>
        </w:rPr>
        <w:t>,</w:t>
      </w:r>
      <w:r>
        <w:rPr>
          <w:rStyle w:val="Hyperlink"/>
        </w:rPr>
        <w:t xml:space="preserve"> </w:t>
      </w:r>
      <w:r w:rsidR="005B73BA">
        <w:t xml:space="preserve">depending on the level of qualification held and any applicable geographic limitations. </w:t>
      </w:r>
    </w:p>
    <w:p w14:paraId="33CAA98F" w14:textId="206E207B" w:rsidR="00C61187" w:rsidRPr="00B53F89" w:rsidRDefault="00082A09" w:rsidP="00DE694D">
      <w:r w:rsidRPr="00B53F89">
        <w:t>The ACMA</w:t>
      </w:r>
      <w:r w:rsidR="006231E7" w:rsidRPr="00B53F89">
        <w:t>’s amateur</w:t>
      </w:r>
      <w:r w:rsidR="004534D7" w:rsidRPr="00B53F89">
        <w:t>-</w:t>
      </w:r>
      <w:r w:rsidR="006231E7" w:rsidRPr="00B53F89">
        <w:t xml:space="preserve">related work program is multidimensional. </w:t>
      </w:r>
      <w:r w:rsidR="00107C45">
        <w:t>We</w:t>
      </w:r>
      <w:r w:rsidRPr="00B53F89">
        <w:t xml:space="preserve"> support the amateur service through planning arrangements </w:t>
      </w:r>
      <w:r w:rsidR="00107C45">
        <w:t>that</w:t>
      </w:r>
      <w:r w:rsidR="00107C45" w:rsidRPr="00B53F89">
        <w:t xml:space="preserve"> </w:t>
      </w:r>
      <w:r w:rsidR="006231E7" w:rsidRPr="00B53F89">
        <w:t xml:space="preserve">recognise the </w:t>
      </w:r>
      <w:r w:rsidR="00E56F45" w:rsidRPr="00B53F89">
        <w:t>request</w:t>
      </w:r>
      <w:r w:rsidR="006231E7" w:rsidRPr="00B53F89">
        <w:t xml:space="preserve">s of amateur radio operators to </w:t>
      </w:r>
      <w:r w:rsidR="004A29EC" w:rsidRPr="00B53F89">
        <w:t xml:space="preserve">access </w:t>
      </w:r>
      <w:r w:rsidR="006231E7" w:rsidRPr="00B53F89">
        <w:t>frequency bands,</w:t>
      </w:r>
      <w:r w:rsidRPr="00B53F89">
        <w:t xml:space="preserve"> while balancing other demands for spectrum.</w:t>
      </w:r>
      <w:r w:rsidR="006231E7" w:rsidRPr="00B53F89">
        <w:t xml:space="preserve"> For example, this year’s work</w:t>
      </w:r>
      <w:r w:rsidR="004534D7" w:rsidRPr="00B53F89">
        <w:t xml:space="preserve"> </w:t>
      </w:r>
      <w:r w:rsidR="006231E7" w:rsidRPr="00B53F89">
        <w:t xml:space="preserve">plan includes reviewing non-assigned amateur licensing </w:t>
      </w:r>
      <w:r w:rsidR="00127CAB" w:rsidRPr="00B53F89">
        <w:t>arrangements and</w:t>
      </w:r>
      <w:r w:rsidR="006231E7" w:rsidRPr="00B53F89">
        <w:t xml:space="preserve"> considering outcomes of WRC-15 in the 5351.5–5366.5 kHz band</w:t>
      </w:r>
      <w:r w:rsidR="00643CB6" w:rsidRPr="00B53F89">
        <w:t>.</w:t>
      </w:r>
    </w:p>
    <w:p w14:paraId="045CF0DD" w14:textId="606390D9" w:rsidR="00643CB6" w:rsidRDefault="00107C45" w:rsidP="00D24E23">
      <w:r>
        <w:t>We</w:t>
      </w:r>
      <w:r w:rsidR="00AE0256">
        <w:t xml:space="preserve"> </w:t>
      </w:r>
      <w:r w:rsidR="00A47099">
        <w:t xml:space="preserve">will </w:t>
      </w:r>
      <w:r w:rsidR="00AE0256">
        <w:t xml:space="preserve">also </w:t>
      </w:r>
      <w:r w:rsidR="00A47099">
        <w:t>consult on our</w:t>
      </w:r>
      <w:r w:rsidR="00AE0256">
        <w:t xml:space="preserve"> review of non-assigned amateur </w:t>
      </w:r>
      <w:r w:rsidR="008300F1">
        <w:t>licensing arrangements</w:t>
      </w:r>
      <w:r w:rsidR="00A47099">
        <w:t xml:space="preserve">. The consultation will include information about our assessment of </w:t>
      </w:r>
      <w:r w:rsidR="008300F1">
        <w:t xml:space="preserve">existing licensing options, whether they are fit-for-purpose and </w:t>
      </w:r>
      <w:r w:rsidR="00A47099">
        <w:t>proposed reforms</w:t>
      </w:r>
      <w:r w:rsidR="008300F1">
        <w:t xml:space="preserve"> to </w:t>
      </w:r>
      <w:r w:rsidR="00DB4374">
        <w:t xml:space="preserve">streamline and </w:t>
      </w:r>
      <w:r w:rsidR="008300F1">
        <w:t xml:space="preserve">reduce regulatory, </w:t>
      </w:r>
      <w:r>
        <w:t>administrative,</w:t>
      </w:r>
      <w:r w:rsidR="008300F1">
        <w:t xml:space="preserve"> and financial burdens on licensees and the ACMA.</w:t>
      </w:r>
    </w:p>
    <w:p w14:paraId="770EEF27" w14:textId="1419ACF0" w:rsidR="00B026E8" w:rsidRPr="0048118B" w:rsidRDefault="00B026E8" w:rsidP="0048118B">
      <w:pPr>
        <w:pStyle w:val="ACMAExecSummaryHeading"/>
        <w:pageBreakBefore/>
        <w:rPr>
          <w:rFonts w:eastAsiaTheme="majorEastAsia"/>
        </w:rPr>
      </w:pPr>
      <w:bookmarkStart w:id="200" w:name="_Part_2—Proposed_20189–1920"/>
      <w:bookmarkStart w:id="201" w:name="_Part_2—Proposed_2019–20"/>
      <w:bookmarkStart w:id="202" w:name="_Toc509581810"/>
      <w:bookmarkStart w:id="203" w:name="_Toc509585126"/>
      <w:bookmarkStart w:id="204" w:name="_Toc509585662"/>
      <w:bookmarkStart w:id="205" w:name="_Toc510104940"/>
      <w:bookmarkStart w:id="206" w:name="_Toc510105737"/>
      <w:bookmarkStart w:id="207" w:name="_Toc510795075"/>
      <w:bookmarkStart w:id="208" w:name="_Toc511716277"/>
      <w:bookmarkStart w:id="209" w:name="_Toc511719088"/>
      <w:bookmarkStart w:id="210" w:name="_Toc522794083"/>
      <w:bookmarkStart w:id="211" w:name="_Toc31892785"/>
      <w:bookmarkStart w:id="212" w:name="_Toc36207408"/>
      <w:bookmarkStart w:id="213" w:name="_Toc38987159"/>
      <w:bookmarkStart w:id="214" w:name="_Toc491854106"/>
      <w:bookmarkStart w:id="215" w:name="_Toc494115161"/>
      <w:bookmarkEnd w:id="200"/>
      <w:bookmarkEnd w:id="201"/>
      <w:r w:rsidRPr="0048118B">
        <w:rPr>
          <w:rFonts w:eastAsiaTheme="majorEastAsia"/>
        </w:rPr>
        <w:lastRenderedPageBreak/>
        <w:t>Part 2</w:t>
      </w:r>
      <w:r w:rsidR="007261F6" w:rsidRPr="0048118B">
        <w:rPr>
          <w:rFonts w:eastAsiaTheme="majorEastAsia"/>
        </w:rPr>
        <w:t>—</w:t>
      </w:r>
      <w:r w:rsidRPr="0048118B">
        <w:rPr>
          <w:rFonts w:eastAsiaTheme="majorEastAsia"/>
        </w:rPr>
        <w:t xml:space="preserve">Proposed </w:t>
      </w:r>
      <w:r w:rsidR="00C818C5" w:rsidRPr="0048118B">
        <w:rPr>
          <w:rFonts w:eastAsiaTheme="majorEastAsia"/>
        </w:rPr>
        <w:t>2020</w:t>
      </w:r>
      <w:r w:rsidRPr="0048118B">
        <w:rPr>
          <w:rFonts w:eastAsiaTheme="majorEastAsia"/>
        </w:rPr>
        <w:t>–</w:t>
      </w:r>
      <w:r w:rsidR="00C818C5" w:rsidRPr="0048118B">
        <w:rPr>
          <w:rFonts w:eastAsiaTheme="majorEastAsia"/>
        </w:rPr>
        <w:t xml:space="preserve">21 </w:t>
      </w:r>
      <w:r w:rsidR="00151518" w:rsidRPr="0048118B">
        <w:rPr>
          <w:rFonts w:eastAsiaTheme="majorEastAsia"/>
        </w:rPr>
        <w:t xml:space="preserve">annual </w:t>
      </w:r>
      <w:r w:rsidRPr="0048118B">
        <w:rPr>
          <w:rFonts w:eastAsiaTheme="majorEastAsia"/>
        </w:rPr>
        <w:t>spectrum</w:t>
      </w:r>
      <w:r w:rsidR="00151518" w:rsidRPr="0048118B">
        <w:rPr>
          <w:rFonts w:eastAsiaTheme="majorEastAsia"/>
        </w:rPr>
        <w:t xml:space="preserve"> management</w:t>
      </w:r>
      <w:r w:rsidRPr="0048118B">
        <w:rPr>
          <w:rFonts w:eastAsiaTheme="majorEastAsia"/>
        </w:rPr>
        <w:t xml:space="preserve"> work program</w:t>
      </w:r>
      <w:bookmarkEnd w:id="202"/>
      <w:bookmarkEnd w:id="203"/>
      <w:bookmarkEnd w:id="204"/>
      <w:bookmarkEnd w:id="205"/>
      <w:bookmarkEnd w:id="206"/>
      <w:bookmarkEnd w:id="207"/>
      <w:bookmarkEnd w:id="208"/>
      <w:bookmarkEnd w:id="209"/>
      <w:bookmarkEnd w:id="210"/>
      <w:bookmarkEnd w:id="211"/>
      <w:bookmarkEnd w:id="212"/>
      <w:bookmarkEnd w:id="213"/>
    </w:p>
    <w:bookmarkEnd w:id="214"/>
    <w:bookmarkEnd w:id="215"/>
    <w:p w14:paraId="1EB019BB" w14:textId="60DFDECB" w:rsidR="00500299" w:rsidRPr="00B53F89" w:rsidRDefault="00410CC1" w:rsidP="00D7755E">
      <w:r w:rsidRPr="00B53F89">
        <w:rPr>
          <w:rFonts w:cs="Arial"/>
          <w:szCs w:val="20"/>
        </w:rPr>
        <w:t>Part 2 provide</w:t>
      </w:r>
      <w:r w:rsidR="00876A2C" w:rsidRPr="00B53F89">
        <w:rPr>
          <w:rFonts w:cs="Arial"/>
          <w:szCs w:val="20"/>
        </w:rPr>
        <w:t>s</w:t>
      </w:r>
      <w:r w:rsidRPr="00B53F89">
        <w:rPr>
          <w:rFonts w:cs="Arial"/>
          <w:szCs w:val="20"/>
        </w:rPr>
        <w:t xml:space="preserve"> information about the work</w:t>
      </w:r>
      <w:r w:rsidR="00AD35B8" w:rsidRPr="00B53F89">
        <w:rPr>
          <w:rFonts w:cs="Arial"/>
          <w:szCs w:val="20"/>
        </w:rPr>
        <w:t xml:space="preserve"> </w:t>
      </w:r>
      <w:r w:rsidRPr="00B53F89">
        <w:rPr>
          <w:rFonts w:cs="Arial"/>
          <w:szCs w:val="20"/>
        </w:rPr>
        <w:t xml:space="preserve">streams and </w:t>
      </w:r>
      <w:r w:rsidR="004F595C" w:rsidRPr="00B53F89">
        <w:t xml:space="preserve">activities that the </w:t>
      </w:r>
      <w:r w:rsidR="00835321" w:rsidRPr="00B53F89">
        <w:t xml:space="preserve">ACMA is proposing to focus on over the </w:t>
      </w:r>
      <w:r w:rsidR="00C818C5" w:rsidRPr="00B53F89">
        <w:t>20</w:t>
      </w:r>
      <w:r w:rsidR="00C818C5">
        <w:t>20</w:t>
      </w:r>
      <w:r w:rsidR="007261F6" w:rsidRPr="00B53F89">
        <w:t>–</w:t>
      </w:r>
      <w:r w:rsidR="00C818C5">
        <w:t>21</w:t>
      </w:r>
      <w:r w:rsidR="00C818C5" w:rsidRPr="00B53F89">
        <w:t xml:space="preserve"> </w:t>
      </w:r>
      <w:r w:rsidR="00835321" w:rsidRPr="00B53F89">
        <w:t>financial year</w:t>
      </w:r>
      <w:r w:rsidRPr="00B53F89">
        <w:t xml:space="preserve">. </w:t>
      </w:r>
      <w:r w:rsidR="00BE2C02" w:rsidRPr="00B53F89">
        <w:t xml:space="preserve">The planning information also reflects expected developments over a </w:t>
      </w:r>
      <w:r w:rsidR="00BE2C02" w:rsidRPr="00B53F89" w:rsidDel="00AA40BB">
        <w:t>five</w:t>
      </w:r>
      <w:r w:rsidR="00BE2C02" w:rsidRPr="00B53F89">
        <w:t>-year time</w:t>
      </w:r>
      <w:r w:rsidR="00107C45">
        <w:t xml:space="preserve"> </w:t>
      </w:r>
      <w:r w:rsidR="00BE2C02" w:rsidRPr="00B53F89">
        <w:t>frame.</w:t>
      </w:r>
    </w:p>
    <w:p w14:paraId="12F9AF92" w14:textId="66B8BBC8" w:rsidR="009A117B" w:rsidRPr="00B53F89" w:rsidRDefault="00410CC1" w:rsidP="0048118B">
      <w:pPr>
        <w:pStyle w:val="Paragraphbeforelist"/>
      </w:pPr>
      <w:r w:rsidRPr="00B53F89">
        <w:t xml:space="preserve">Where elements of planning, </w:t>
      </w:r>
      <w:r w:rsidR="00107C45" w:rsidRPr="00B53F89">
        <w:t>allocation,</w:t>
      </w:r>
      <w:r w:rsidRPr="00B53F89">
        <w:t xml:space="preserve"> and </w:t>
      </w:r>
      <w:r w:rsidR="008A21A4" w:rsidRPr="00B53F89">
        <w:t>activities to improve</w:t>
      </w:r>
      <w:r w:rsidRPr="00B53F89">
        <w:t xml:space="preserve"> </w:t>
      </w:r>
      <w:r w:rsidR="00500299" w:rsidRPr="00B53F89">
        <w:t>spectrum</w:t>
      </w:r>
      <w:r w:rsidR="008A21A4" w:rsidRPr="00B53F89">
        <w:t xml:space="preserve"> management</w:t>
      </w:r>
      <w:r w:rsidR="00500299" w:rsidRPr="00B53F89">
        <w:t xml:space="preserve"> </w:t>
      </w:r>
      <w:r w:rsidRPr="00B53F89">
        <w:t>span multiple years, we have identified the relevant timing information. Activities</w:t>
      </w:r>
      <w:r w:rsidR="004F595C" w:rsidRPr="00B53F89">
        <w:t xml:space="preserve"> </w:t>
      </w:r>
      <w:r w:rsidR="00835321" w:rsidRPr="00B53F89">
        <w:t xml:space="preserve">are grouped </w:t>
      </w:r>
      <w:r w:rsidR="00D8781E">
        <w:t xml:space="preserve">under the following headings to </w:t>
      </w:r>
      <w:r w:rsidR="00835321" w:rsidRPr="00B53F89">
        <w:t>accord</w:t>
      </w:r>
      <w:r w:rsidR="00D8781E">
        <w:t xml:space="preserve"> with</w:t>
      </w:r>
      <w:r w:rsidR="00835321" w:rsidRPr="00B53F89">
        <w:t xml:space="preserve"> </w:t>
      </w:r>
      <w:r w:rsidRPr="00B53F89">
        <w:t xml:space="preserve">the ACMA’s </w:t>
      </w:r>
      <w:r w:rsidR="00835321" w:rsidRPr="00B53F89">
        <w:t>main spectrum management functions</w:t>
      </w:r>
      <w:r w:rsidR="009A117B" w:rsidRPr="00B53F89">
        <w:t>:</w:t>
      </w:r>
    </w:p>
    <w:p w14:paraId="0FD12605" w14:textId="77777777" w:rsidR="009A117B" w:rsidRPr="00B53F89" w:rsidRDefault="001A47A9" w:rsidP="0048118B">
      <w:pPr>
        <w:pStyle w:val="Bulletlevel1"/>
      </w:pPr>
      <w:bookmarkStart w:id="216" w:name="_Hlk34222167"/>
      <w:r w:rsidRPr="00B53F89">
        <w:t>p</w:t>
      </w:r>
      <w:r w:rsidR="009A117B" w:rsidRPr="00B53F89">
        <w:t>lanning</w:t>
      </w:r>
    </w:p>
    <w:p w14:paraId="65AC4736" w14:textId="3193A53B" w:rsidR="00CF322E" w:rsidRPr="00B53F89" w:rsidRDefault="0091072D" w:rsidP="0048118B">
      <w:pPr>
        <w:pStyle w:val="Bulletlevel1"/>
      </w:pPr>
      <w:r>
        <w:t xml:space="preserve">forward </w:t>
      </w:r>
      <w:r w:rsidR="00D8781E" w:rsidRPr="00B53F89">
        <w:t>allocation</w:t>
      </w:r>
      <w:r w:rsidR="00D8781E">
        <w:t xml:space="preserve"> work plan</w:t>
      </w:r>
      <w:r w:rsidR="00D8781E" w:rsidRPr="00B53F89">
        <w:t xml:space="preserve"> </w:t>
      </w:r>
    </w:p>
    <w:p w14:paraId="0BF7DD20" w14:textId="6CAD7755" w:rsidR="00A03B91" w:rsidRPr="00B53F89" w:rsidRDefault="001A47A9" w:rsidP="0048118B">
      <w:pPr>
        <w:pStyle w:val="Bulletlevel1"/>
      </w:pPr>
      <w:r w:rsidRPr="00B53F89">
        <w:t>l</w:t>
      </w:r>
      <w:r w:rsidR="00A03B91" w:rsidRPr="00B53F89">
        <w:t>icensing</w:t>
      </w:r>
      <w:r w:rsidR="0091072D">
        <w:t xml:space="preserve"> and licensing systems</w:t>
      </w:r>
    </w:p>
    <w:p w14:paraId="3EEADA15" w14:textId="77777777" w:rsidR="00A03B91" w:rsidRPr="00B53F89" w:rsidRDefault="001A47A9" w:rsidP="0048118B">
      <w:pPr>
        <w:pStyle w:val="Bulletlevel1"/>
      </w:pPr>
      <w:r w:rsidRPr="00B53F89">
        <w:t>p</w:t>
      </w:r>
      <w:r w:rsidR="00A03B91" w:rsidRPr="00B53F89">
        <w:t xml:space="preserve">ricing </w:t>
      </w:r>
    </w:p>
    <w:p w14:paraId="5C377235" w14:textId="77777777" w:rsidR="00C16893" w:rsidRDefault="001A47A9" w:rsidP="0048118B">
      <w:pPr>
        <w:pStyle w:val="Bulletlevel1"/>
      </w:pPr>
      <w:r w:rsidRPr="00B53F89">
        <w:t>c</w:t>
      </w:r>
      <w:r w:rsidR="009A117B" w:rsidRPr="00B53F89">
        <w:t>ompliance and enforcement</w:t>
      </w:r>
    </w:p>
    <w:p w14:paraId="7B769F05" w14:textId="62ECA542" w:rsidR="00C16893" w:rsidRDefault="00C16893" w:rsidP="0048118B">
      <w:pPr>
        <w:pStyle w:val="Bulletlevel1last"/>
      </w:pPr>
      <w:r>
        <w:t>international engagement</w:t>
      </w:r>
      <w:r w:rsidR="00CC5474">
        <w:t>.</w:t>
      </w:r>
    </w:p>
    <w:bookmarkEnd w:id="216"/>
    <w:p w14:paraId="5051FE8B" w14:textId="664110C9" w:rsidR="009414DF" w:rsidRPr="00B53F89" w:rsidRDefault="002C689F" w:rsidP="00D7755E">
      <w:r w:rsidRPr="00B53F89">
        <w:t>The planned milestones,</w:t>
      </w:r>
      <w:r w:rsidRPr="00B53F89" w:rsidDel="004F00F6">
        <w:t xml:space="preserve"> </w:t>
      </w:r>
      <w:r w:rsidR="004F00F6" w:rsidRPr="00B53F89">
        <w:t xml:space="preserve">including </w:t>
      </w:r>
      <w:r w:rsidRPr="00B53F89">
        <w:t xml:space="preserve">those relating to </w:t>
      </w:r>
      <w:r w:rsidR="00C818C5" w:rsidRPr="00B53F89">
        <w:t>20</w:t>
      </w:r>
      <w:r w:rsidR="00C818C5">
        <w:t>20</w:t>
      </w:r>
      <w:r w:rsidR="005435F9" w:rsidRPr="00B53F89">
        <w:t>–</w:t>
      </w:r>
      <w:r w:rsidR="00C818C5" w:rsidRPr="00B53F89">
        <w:t>2</w:t>
      </w:r>
      <w:r w:rsidR="00C818C5">
        <w:t>1</w:t>
      </w:r>
      <w:r w:rsidRPr="00B53F89">
        <w:t xml:space="preserve">, are subject to change. </w:t>
      </w:r>
      <w:r w:rsidR="00107C45">
        <w:t>We are</w:t>
      </w:r>
      <w:r w:rsidR="00BE2C02" w:rsidRPr="00B53F89">
        <w:t xml:space="preserve"> </w:t>
      </w:r>
      <w:r w:rsidR="009414DF" w:rsidRPr="00B53F89">
        <w:t>continually monitoring factors that may impact spectrum management including any</w:t>
      </w:r>
      <w:r w:rsidR="00BE2C02" w:rsidRPr="00B53F89">
        <w:t xml:space="preserve"> </w:t>
      </w:r>
      <w:r w:rsidR="009414DF" w:rsidRPr="00B53F89">
        <w:t>short-term</w:t>
      </w:r>
      <w:r w:rsidR="00BE2C02" w:rsidRPr="00B53F89">
        <w:t xml:space="preserve"> changes in spectr</w:t>
      </w:r>
      <w:r w:rsidR="009414DF" w:rsidRPr="00B53F89">
        <w:t xml:space="preserve">um demand, technological developments, government priorities and available resourcing. </w:t>
      </w:r>
    </w:p>
    <w:p w14:paraId="3A10A4C6" w14:textId="1ED556B2" w:rsidR="002C689F" w:rsidRPr="00B53F89" w:rsidRDefault="00107C45" w:rsidP="00D7755E">
      <w:r>
        <w:t>We are</w:t>
      </w:r>
      <w:r w:rsidR="003E4159" w:rsidRPr="00B53F89">
        <w:t xml:space="preserve"> also </w:t>
      </w:r>
      <w:r w:rsidR="00314A5B">
        <w:t xml:space="preserve">continuing to work </w:t>
      </w:r>
      <w:r w:rsidR="003E4159" w:rsidRPr="00B53F89">
        <w:t xml:space="preserve">with </w:t>
      </w:r>
      <w:r w:rsidR="00155A31">
        <w:t>the Department of Infrastructure, Transport, Regional Development and Communications (</w:t>
      </w:r>
      <w:r w:rsidR="00CA501F">
        <w:t xml:space="preserve">the </w:t>
      </w:r>
      <w:r w:rsidR="00CA501F" w:rsidRPr="00155A31">
        <w:t>Department</w:t>
      </w:r>
      <w:r w:rsidR="00155A31">
        <w:t>)</w:t>
      </w:r>
      <w:r w:rsidR="003E4159" w:rsidRPr="00B53F89">
        <w:t xml:space="preserve"> </w:t>
      </w:r>
      <w:r w:rsidR="00314A5B" w:rsidRPr="00314A5B">
        <w:t xml:space="preserve">on proposals for </w:t>
      </w:r>
      <w:r w:rsidR="000E7B4F">
        <w:t>graduated</w:t>
      </w:r>
      <w:r w:rsidR="00314A5B" w:rsidRPr="00314A5B">
        <w:t xml:space="preserve"> legislative reform.</w:t>
      </w:r>
      <w:r w:rsidR="00387C46" w:rsidRPr="00B53F89">
        <w:t xml:space="preserve"> </w:t>
      </w:r>
      <w:r w:rsidR="002C689F" w:rsidRPr="00B53F89">
        <w:t xml:space="preserve">As </w:t>
      </w:r>
      <w:r w:rsidR="00B523A3" w:rsidRPr="00B53F89">
        <w:t xml:space="preserve">any changes to </w:t>
      </w:r>
      <w:r w:rsidR="002C689F" w:rsidRPr="00B53F89">
        <w:t xml:space="preserve">legislation </w:t>
      </w:r>
      <w:r w:rsidR="00B523A3" w:rsidRPr="00B53F89">
        <w:t xml:space="preserve">are </w:t>
      </w:r>
      <w:r w:rsidR="002C689F" w:rsidRPr="00B53F89">
        <w:t>settled, the timing and nature of the ACMA’s responsibilities will become clearer and may affect other milestones.</w:t>
      </w:r>
    </w:p>
    <w:p w14:paraId="0BF42631" w14:textId="3DD7F167" w:rsidR="00BE2C02" w:rsidRPr="00B53F89" w:rsidRDefault="00BE2C02" w:rsidP="00DE694D">
      <w:pPr>
        <w:pStyle w:val="Heading2"/>
        <w:keepNext w:val="0"/>
      </w:pPr>
      <w:bookmarkStart w:id="217" w:name="_Toc31892786"/>
      <w:bookmarkStart w:id="218" w:name="_Toc36207409"/>
      <w:bookmarkStart w:id="219" w:name="_Toc38987160"/>
      <w:r w:rsidRPr="00B53F89">
        <w:t>Priorities and resources</w:t>
      </w:r>
      <w:bookmarkEnd w:id="217"/>
      <w:bookmarkEnd w:id="218"/>
      <w:bookmarkEnd w:id="219"/>
    </w:p>
    <w:p w14:paraId="2B8E0A7C" w14:textId="4B1BBABB" w:rsidR="00F029CD" w:rsidRPr="00B53F89" w:rsidRDefault="00051696" w:rsidP="00E26672">
      <w:r w:rsidRPr="00B53F89">
        <w:t>T</w:t>
      </w:r>
      <w:r w:rsidR="00F029CD" w:rsidRPr="00B53F89">
        <w:t>here</w:t>
      </w:r>
      <w:r w:rsidRPr="00B53F89">
        <w:t xml:space="preserve"> remains a continued</w:t>
      </w:r>
      <w:r w:rsidR="00F029CD" w:rsidRPr="00B53F89">
        <w:t xml:space="preserve"> demand for more activity from the ACMA than can be accommodated within our finite resources.</w:t>
      </w:r>
    </w:p>
    <w:p w14:paraId="033506A0" w14:textId="426FCB33" w:rsidR="00F029CD" w:rsidRPr="00B53F89" w:rsidRDefault="00F029CD" w:rsidP="00155A31">
      <w:pPr>
        <w:pStyle w:val="Paragraphbeforelist"/>
      </w:pPr>
      <w:r w:rsidRPr="00B53F89">
        <w:t xml:space="preserve">In responding to suggestions </w:t>
      </w:r>
      <w:r w:rsidR="007F5626" w:rsidRPr="00B53F89">
        <w:t xml:space="preserve">about revising </w:t>
      </w:r>
      <w:r w:rsidRPr="00B53F89">
        <w:t xml:space="preserve">our spectrum management priorities, </w:t>
      </w:r>
      <w:r w:rsidR="00107C45">
        <w:t>we</w:t>
      </w:r>
      <w:r w:rsidRPr="00B53F89">
        <w:t xml:space="preserve"> </w:t>
      </w:r>
      <w:r w:rsidR="00BE2C02" w:rsidRPr="00B53F89">
        <w:t>consider</w:t>
      </w:r>
      <w:r w:rsidRPr="00B53F89">
        <w:t xml:space="preserve"> a range of relevant considerations</w:t>
      </w:r>
      <w:r w:rsidR="00315B33" w:rsidRPr="00B53F89">
        <w:t>,</w:t>
      </w:r>
      <w:r w:rsidRPr="00B53F89">
        <w:t xml:space="preserve"> including:</w:t>
      </w:r>
    </w:p>
    <w:p w14:paraId="244BD7DB" w14:textId="77777777" w:rsidR="00585DA3" w:rsidRPr="00B53F89" w:rsidRDefault="00A76060" w:rsidP="002111ED">
      <w:pPr>
        <w:pStyle w:val="ListBullet"/>
        <w:keepNext w:val="0"/>
        <w:keepLines w:val="0"/>
        <w:ind w:left="284" w:hanging="284"/>
      </w:pPr>
      <w:r w:rsidRPr="00B53F89">
        <w:t xml:space="preserve">maximising the efficient allocation and use of </w:t>
      </w:r>
      <w:r w:rsidR="00585DA3" w:rsidRPr="00B53F89">
        <w:t>radiofrequency spectrum</w:t>
      </w:r>
    </w:p>
    <w:p w14:paraId="0CA4BB17" w14:textId="55D34083" w:rsidR="00F029CD" w:rsidRPr="00B53F89" w:rsidRDefault="00F029CD" w:rsidP="002111ED">
      <w:pPr>
        <w:pStyle w:val="ListBullet"/>
        <w:keepNext w:val="0"/>
        <w:keepLines w:val="0"/>
        <w:ind w:left="284" w:hanging="284"/>
      </w:pPr>
      <w:r w:rsidRPr="00B53F89">
        <w:t xml:space="preserve">changes in the development, </w:t>
      </w:r>
      <w:r w:rsidR="00107C45" w:rsidRPr="00B53F89">
        <w:t>availability,</w:t>
      </w:r>
      <w:r w:rsidRPr="00B53F89">
        <w:t xml:space="preserve"> and take-up of radiofrequency technologies</w:t>
      </w:r>
      <w:r w:rsidR="00585DA3" w:rsidRPr="00B53F89">
        <w:t>, both in Australia and internationally</w:t>
      </w:r>
    </w:p>
    <w:p w14:paraId="62EF9F79" w14:textId="451524A7" w:rsidR="009414DF" w:rsidRPr="00B53F89" w:rsidRDefault="00585DA3" w:rsidP="002111ED">
      <w:pPr>
        <w:pStyle w:val="ListBullet"/>
        <w:keepNext w:val="0"/>
        <w:keepLines w:val="0"/>
        <w:ind w:left="284" w:hanging="284"/>
      </w:pPr>
      <w:r w:rsidRPr="00B53F89">
        <w:t xml:space="preserve">spectrum management trends, including through the four-yearly </w:t>
      </w:r>
      <w:r w:rsidR="00AA45B0" w:rsidRPr="00B53F89">
        <w:t xml:space="preserve">ITU-R </w:t>
      </w:r>
      <w:r w:rsidR="001C517F" w:rsidRPr="00B53F89">
        <w:t xml:space="preserve">WRC </w:t>
      </w:r>
      <w:r w:rsidRPr="00B53F89">
        <w:t>process</w:t>
      </w:r>
    </w:p>
    <w:p w14:paraId="71A0972E" w14:textId="709D8FEF" w:rsidR="00961E3F" w:rsidRPr="00B53F89" w:rsidRDefault="00BD36DA" w:rsidP="00155A31">
      <w:pPr>
        <w:pStyle w:val="Bulletlevel1last"/>
      </w:pPr>
      <w:r w:rsidRPr="00B53F89">
        <w:t>the least cost and least restrictive approach to achieve policy objectives</w:t>
      </w:r>
      <w:r w:rsidR="00315B33" w:rsidRPr="00B53F89">
        <w:t>.</w:t>
      </w:r>
    </w:p>
    <w:p w14:paraId="6AE47968" w14:textId="6C3A9728" w:rsidR="00CF322E" w:rsidRPr="00B53F89" w:rsidRDefault="00CF322E" w:rsidP="00D7755E">
      <w:pPr>
        <w:pStyle w:val="Heading1"/>
      </w:pPr>
      <w:bookmarkStart w:id="220" w:name="_Toc510104942"/>
      <w:bookmarkStart w:id="221" w:name="_Toc510105739"/>
      <w:bookmarkStart w:id="222" w:name="_Toc510795076"/>
      <w:bookmarkStart w:id="223" w:name="_Toc511716278"/>
      <w:bookmarkStart w:id="224" w:name="_Toc511719089"/>
      <w:bookmarkStart w:id="225" w:name="_Toc522794084"/>
      <w:bookmarkStart w:id="226" w:name="_Toc31892790"/>
      <w:bookmarkStart w:id="227" w:name="_Toc36207410"/>
      <w:bookmarkStart w:id="228" w:name="_Toc38987161"/>
      <w:bookmarkStart w:id="229" w:name="_Toc491854085"/>
      <w:bookmarkStart w:id="230" w:name="_Toc494115131"/>
      <w:bookmarkStart w:id="231" w:name="_Toc496624990"/>
      <w:bookmarkStart w:id="232" w:name="_Toc509581812"/>
      <w:bookmarkStart w:id="233" w:name="_Toc509585128"/>
      <w:bookmarkStart w:id="234" w:name="_Toc509585664"/>
      <w:r w:rsidRPr="00B53F89">
        <w:lastRenderedPageBreak/>
        <w:t>Planning</w:t>
      </w:r>
      <w:bookmarkEnd w:id="220"/>
      <w:bookmarkEnd w:id="221"/>
      <w:bookmarkEnd w:id="222"/>
      <w:bookmarkEnd w:id="223"/>
      <w:bookmarkEnd w:id="224"/>
      <w:bookmarkEnd w:id="225"/>
      <w:bookmarkEnd w:id="226"/>
      <w:bookmarkEnd w:id="227"/>
      <w:bookmarkEnd w:id="228"/>
    </w:p>
    <w:p w14:paraId="02FA4223" w14:textId="168EA7B9" w:rsidR="00CC5C65" w:rsidRPr="00B53F89" w:rsidRDefault="00CC5C65" w:rsidP="00D7755E">
      <w:bookmarkStart w:id="235" w:name="_Hlk2352813"/>
      <w:r w:rsidRPr="00B53F89">
        <w:t>Planning is informed by</w:t>
      </w:r>
      <w:r w:rsidRPr="00B53F89" w:rsidDel="00A56174">
        <w:t xml:space="preserve"> </w:t>
      </w:r>
      <w:r w:rsidRPr="00B53F89">
        <w:t xml:space="preserve">domestic and international </w:t>
      </w:r>
      <w:r w:rsidR="00703070" w:rsidRPr="00B53F89">
        <w:t>trends in</w:t>
      </w:r>
      <w:r w:rsidRPr="00B53F89">
        <w:t xml:space="preserve"> spectrum uses, developments in international spectrum harmonisation and technology standardisation, and evolution of communications technology. </w:t>
      </w:r>
    </w:p>
    <w:bookmarkEnd w:id="235"/>
    <w:p w14:paraId="5F3B152E" w14:textId="1DAA6542" w:rsidR="00CC5C65" w:rsidRPr="00B53F89" w:rsidRDefault="008A199D" w:rsidP="00D7755E">
      <w:r w:rsidRPr="00B53F89">
        <w:t xml:space="preserve">The ACMA aims to optimise planning arrangements in each band for the use or uses that maximise the overall public benefit. </w:t>
      </w:r>
      <w:r w:rsidR="009079DD" w:rsidRPr="00B53F89">
        <w:t xml:space="preserve">These </w:t>
      </w:r>
      <w:r w:rsidRPr="00B53F89">
        <w:t xml:space="preserve">arrangements </w:t>
      </w:r>
      <w:r w:rsidR="009079DD" w:rsidRPr="00B53F89">
        <w:t>aim to allow</w:t>
      </w:r>
      <w:r w:rsidRPr="00B53F89">
        <w:t xml:space="preserve"> the allocation (or movement) of spectrum with no, or minimal, further regulatory intervention, and may remain stable over long periods of time. </w:t>
      </w:r>
    </w:p>
    <w:p w14:paraId="0DC0E55C" w14:textId="67A7C719" w:rsidR="009079DD" w:rsidRPr="00B53F89" w:rsidRDefault="009079DD" w:rsidP="00D7755E">
      <w:r w:rsidRPr="00B53F89">
        <w:t>However, w</w:t>
      </w:r>
      <w:r w:rsidR="008A199D" w:rsidRPr="00B53F89">
        <w:t xml:space="preserve">here there is evidence of </w:t>
      </w:r>
      <w:r w:rsidR="00FB2521" w:rsidRPr="00B53F89">
        <w:t xml:space="preserve">changing </w:t>
      </w:r>
      <w:r w:rsidR="008A199D" w:rsidRPr="00B53F89">
        <w:t xml:space="preserve">optimal use, </w:t>
      </w:r>
      <w:r w:rsidR="00107C45">
        <w:t>we</w:t>
      </w:r>
      <w:r w:rsidR="008A199D" w:rsidRPr="00B53F89">
        <w:t xml:space="preserve"> may identify a net public benefit in the band moving to a new or changed use</w:t>
      </w:r>
      <w:r w:rsidRPr="00B53F89">
        <w:t xml:space="preserve"> or</w:t>
      </w:r>
      <w:r w:rsidR="008A199D" w:rsidRPr="00B53F89">
        <w:t xml:space="preserve"> being reconfigured to better support an existing use. </w:t>
      </w:r>
    </w:p>
    <w:p w14:paraId="117F58EC" w14:textId="5A97600D" w:rsidR="008A199D" w:rsidRPr="00B53F89" w:rsidRDefault="00107C45" w:rsidP="00D7755E">
      <w:r>
        <w:t>After c</w:t>
      </w:r>
      <w:r w:rsidR="008A199D" w:rsidRPr="00B53F89">
        <w:t xml:space="preserve">onsulting where appropriate with existing and future users, </w:t>
      </w:r>
      <w:r>
        <w:t>we</w:t>
      </w:r>
      <w:r w:rsidR="008A199D" w:rsidRPr="00B53F89">
        <w:t xml:space="preserve"> will then consider how best to accommodate additional uses or users within the available spectrum.</w:t>
      </w:r>
      <w:r w:rsidR="00466A9E" w:rsidRPr="00B53F89">
        <w:t xml:space="preserve"> </w:t>
      </w:r>
      <w:r w:rsidR="00CC09F5" w:rsidRPr="00B53F89">
        <w:t xml:space="preserve">In considering replanning options, </w:t>
      </w:r>
      <w:r>
        <w:t>we</w:t>
      </w:r>
      <w:r w:rsidR="00CC09F5" w:rsidRPr="00B53F89">
        <w:t xml:space="preserve"> will </w:t>
      </w:r>
      <w:r w:rsidR="00466A9E" w:rsidRPr="00B53F89">
        <w:t xml:space="preserve">seek </w:t>
      </w:r>
      <w:r w:rsidR="00311BF8" w:rsidRPr="00B53F89">
        <w:t>to identify alternative</w:t>
      </w:r>
      <w:r w:rsidR="009520A3" w:rsidRPr="00B53F89">
        <w:t xml:space="preserve"> bands</w:t>
      </w:r>
      <w:r w:rsidR="00311BF8" w:rsidRPr="00B53F89">
        <w:t xml:space="preserve"> or alternative arrangements within the same band</w:t>
      </w:r>
      <w:r w:rsidR="00CC09F5" w:rsidRPr="00B53F89">
        <w:t xml:space="preserve"> </w:t>
      </w:r>
      <w:r w:rsidR="00466A9E" w:rsidRPr="00B53F89">
        <w:t>for incumbents</w:t>
      </w:r>
      <w:r w:rsidR="00FD5CC7" w:rsidRPr="00B53F89">
        <w:t>,</w:t>
      </w:r>
      <w:r w:rsidR="00466A9E" w:rsidRPr="00B53F89">
        <w:t xml:space="preserve"> </w:t>
      </w:r>
      <w:r w:rsidR="009520A3" w:rsidRPr="00B53F89">
        <w:t xml:space="preserve">as part of our responsibilities to ensure spectrum is used and managed to maximise overall public benefit. However, there </w:t>
      </w:r>
      <w:r w:rsidR="00AB5442" w:rsidRPr="00B53F89">
        <w:t>can be</w:t>
      </w:r>
      <w:r w:rsidR="009520A3" w:rsidRPr="00B53F89">
        <w:t xml:space="preserve"> no </w:t>
      </w:r>
      <w:r w:rsidR="00AB5442" w:rsidRPr="00B53F89">
        <w:t xml:space="preserve">guarantee </w:t>
      </w:r>
      <w:r w:rsidR="009520A3" w:rsidRPr="00B53F89">
        <w:t xml:space="preserve">that all incumbent users will have an alternative </w:t>
      </w:r>
      <w:r w:rsidR="00311BF8" w:rsidRPr="00B53F89">
        <w:t xml:space="preserve">arrangement </w:t>
      </w:r>
      <w:r w:rsidR="009520A3" w:rsidRPr="00B53F89">
        <w:t xml:space="preserve">following a necessary band clearance activity. </w:t>
      </w:r>
    </w:p>
    <w:p w14:paraId="5D830D08" w14:textId="77777777" w:rsidR="00C50635" w:rsidRPr="00B53F89" w:rsidRDefault="00C50635" w:rsidP="00513FDE">
      <w:pPr>
        <w:pStyle w:val="Paragraphbeforelist"/>
      </w:pPr>
      <w:r w:rsidRPr="00B53F89">
        <w:t>Planning activities are directed into two main streams:</w:t>
      </w:r>
    </w:p>
    <w:p w14:paraId="7DBDC1EE" w14:textId="009B9266" w:rsidR="00A45CCD" w:rsidRPr="00B53F89" w:rsidRDefault="00B43510" w:rsidP="00D33B10">
      <w:pPr>
        <w:pStyle w:val="ListBullet"/>
        <w:keepNext w:val="0"/>
        <w:keepLines w:val="0"/>
        <w:ind w:left="284" w:hanging="284"/>
      </w:pPr>
      <w:r w:rsidRPr="00B53F89">
        <w:t>m</w:t>
      </w:r>
      <w:r w:rsidR="008A199D" w:rsidRPr="00B53F89">
        <w:t xml:space="preserve">ajor </w:t>
      </w:r>
      <w:r w:rsidR="00C50635" w:rsidRPr="009F36F7">
        <w:t>band</w:t>
      </w:r>
      <w:r w:rsidR="00C50635" w:rsidRPr="00B53F89">
        <w:t xml:space="preserve"> planning</w:t>
      </w:r>
      <w:r w:rsidR="00C1270E" w:rsidRPr="00B53F89">
        <w:t xml:space="preserve"> and replanning</w:t>
      </w:r>
      <w:r w:rsidR="00C50635" w:rsidRPr="00B53F89">
        <w:t xml:space="preserve"> </w:t>
      </w:r>
      <w:r w:rsidR="009E2FED" w:rsidRPr="00B53F89">
        <w:t xml:space="preserve">activities </w:t>
      </w:r>
      <w:r w:rsidR="00C50635" w:rsidRPr="00B53F89">
        <w:t xml:space="preserve">to support the establishment of new </w:t>
      </w:r>
      <w:r w:rsidR="00E41275" w:rsidRPr="00B53F89">
        <w:t xml:space="preserve">spectrum </w:t>
      </w:r>
      <w:r w:rsidR="00C50635" w:rsidRPr="00B53F89">
        <w:t>uses</w:t>
      </w:r>
    </w:p>
    <w:p w14:paraId="20F67DBB" w14:textId="1BDB6412" w:rsidR="00CC5C65" w:rsidRPr="00B53F89" w:rsidRDefault="00B43510" w:rsidP="002111ED">
      <w:pPr>
        <w:pStyle w:val="ListBulletLast"/>
        <w:ind w:left="284" w:hanging="284"/>
      </w:pPr>
      <w:r w:rsidRPr="00B53F89">
        <w:t>o</w:t>
      </w:r>
      <w:r w:rsidR="00C50635" w:rsidRPr="00B53F89">
        <w:t>ptimising</w:t>
      </w:r>
      <w:r w:rsidR="00C50635" w:rsidRPr="00B53F89" w:rsidDel="008A199D">
        <w:t xml:space="preserve"> </w:t>
      </w:r>
      <w:r w:rsidR="008A199D" w:rsidRPr="00B53F89">
        <w:t xml:space="preserve">established </w:t>
      </w:r>
      <w:r w:rsidR="00E41275" w:rsidRPr="00B53F89">
        <w:t xml:space="preserve">planning </w:t>
      </w:r>
      <w:r w:rsidR="00C50635" w:rsidRPr="00B53F89">
        <w:t xml:space="preserve">frameworks </w:t>
      </w:r>
      <w:r w:rsidR="008A199D" w:rsidRPr="00B53F89">
        <w:t xml:space="preserve">for existing spectrum use </w:t>
      </w:r>
      <w:r w:rsidR="00C50635" w:rsidRPr="00B53F89">
        <w:t>through updating technical coordination arrangements</w:t>
      </w:r>
      <w:r w:rsidR="00E3328B" w:rsidRPr="00B53F89">
        <w:t xml:space="preserve">. </w:t>
      </w:r>
    </w:p>
    <w:p w14:paraId="648D6AE9" w14:textId="204B5852" w:rsidR="00783534" w:rsidRPr="00B53F89" w:rsidRDefault="00783534" w:rsidP="00D904DC">
      <w:pPr>
        <w:spacing w:before="240" w:after="0"/>
      </w:pPr>
      <w:r w:rsidRPr="006A2F04">
        <w:rPr>
          <w:noProof/>
        </w:rPr>
        <w:drawing>
          <wp:inline distT="0" distB="0" distL="0" distR="0" wp14:anchorId="0587F5F1" wp14:editId="4BF2E236">
            <wp:extent cx="342900" cy="361950"/>
            <wp:effectExtent l="0" t="0" r="0" b="0"/>
            <wp:docPr id="28" name="Picture 28"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4EC95F6B" w14:textId="488F46A0" w:rsidR="0059149F" w:rsidRPr="00B53F89" w:rsidRDefault="0059149F" w:rsidP="009F4093">
      <w:pPr>
        <w:pStyle w:val="Heading2"/>
        <w:keepNext w:val="0"/>
        <w:spacing w:before="60"/>
      </w:pPr>
      <w:bookmarkStart w:id="236" w:name="_Toc31892791"/>
      <w:bookmarkStart w:id="237" w:name="_Toc36207411"/>
      <w:bookmarkStart w:id="238" w:name="_Toc38987162"/>
      <w:bookmarkStart w:id="239" w:name="_Hlk17105203"/>
      <w:r w:rsidRPr="00B53F89">
        <w:t>Implementing outcomes of WRC-19</w:t>
      </w:r>
      <w:bookmarkEnd w:id="236"/>
      <w:bookmarkEnd w:id="237"/>
      <w:bookmarkEnd w:id="238"/>
    </w:p>
    <w:p w14:paraId="1586F101" w14:textId="41E00F7F" w:rsidR="0059149F" w:rsidRPr="00B53F89" w:rsidRDefault="0059149F" w:rsidP="00D7755E">
      <w:pPr>
        <w:rPr>
          <w:rFonts w:cs="Arial"/>
        </w:rPr>
      </w:pPr>
      <w:r w:rsidRPr="00B53F89">
        <w:rPr>
          <w:rFonts w:cs="Arial"/>
        </w:rPr>
        <w:t xml:space="preserve">The outcomes of WRC-19 will affect the ACMA’s future </w:t>
      </w:r>
      <w:r w:rsidR="00387C46" w:rsidRPr="00B53F89">
        <w:rPr>
          <w:rFonts w:cs="Arial"/>
        </w:rPr>
        <w:t>planning arrangements</w:t>
      </w:r>
      <w:r w:rsidR="00CC5C65" w:rsidRPr="00B53F89">
        <w:rPr>
          <w:rFonts w:cs="Arial"/>
        </w:rPr>
        <w:t>.</w:t>
      </w:r>
      <w:r w:rsidRPr="00B53F89">
        <w:rPr>
          <w:rFonts w:cs="Arial"/>
        </w:rPr>
        <w:t xml:space="preserve"> Australia’s spectrum </w:t>
      </w:r>
      <w:r w:rsidR="00761079" w:rsidRPr="00B53F89">
        <w:rPr>
          <w:rFonts w:cs="Arial"/>
        </w:rPr>
        <w:t xml:space="preserve">arrangements </w:t>
      </w:r>
      <w:r w:rsidR="00CC5C65" w:rsidRPr="00B53F89">
        <w:rPr>
          <w:rFonts w:cs="Arial"/>
        </w:rPr>
        <w:t>will be</w:t>
      </w:r>
      <w:r w:rsidR="00761079" w:rsidRPr="00B53F89">
        <w:rPr>
          <w:rFonts w:cs="Arial"/>
        </w:rPr>
        <w:t xml:space="preserve"> reviewed and </w:t>
      </w:r>
      <w:r w:rsidRPr="00B53F89">
        <w:rPr>
          <w:rFonts w:cs="Arial"/>
        </w:rPr>
        <w:t>updated to align with revision of the ITU</w:t>
      </w:r>
      <w:r w:rsidR="005F5DC8">
        <w:rPr>
          <w:rFonts w:cs="Arial"/>
        </w:rPr>
        <w:t>’s</w:t>
      </w:r>
      <w:r w:rsidRPr="00B53F89">
        <w:rPr>
          <w:rFonts w:cs="Arial"/>
        </w:rPr>
        <w:t xml:space="preserve"> </w:t>
      </w:r>
      <w:r w:rsidR="00E94F3E" w:rsidRPr="0048118B">
        <w:rPr>
          <w:rFonts w:cs="Arial"/>
        </w:rPr>
        <w:t>Radio Regulations (</w:t>
      </w:r>
      <w:r w:rsidR="00262A29" w:rsidRPr="0048118B">
        <w:rPr>
          <w:rFonts w:cs="Arial"/>
        </w:rPr>
        <w:t>RR</w:t>
      </w:r>
      <w:r w:rsidRPr="0048118B">
        <w:rPr>
          <w:rFonts w:cs="Arial"/>
        </w:rPr>
        <w:t>s</w:t>
      </w:r>
      <w:r w:rsidR="00E94F3E">
        <w:rPr>
          <w:rFonts w:cs="Arial"/>
        </w:rPr>
        <w:t>)</w:t>
      </w:r>
      <w:r w:rsidRPr="00B53F89">
        <w:rPr>
          <w:rFonts w:cs="Arial"/>
        </w:rPr>
        <w:t xml:space="preserve"> and their impact on global and regional spectrum allocations and regulatory requirements. </w:t>
      </w:r>
    </w:p>
    <w:p w14:paraId="03EAA0C9" w14:textId="30291C97" w:rsidR="00827ECA" w:rsidRPr="00B53F89" w:rsidRDefault="0059149F" w:rsidP="00D7755E">
      <w:r w:rsidRPr="00B53F89">
        <w:rPr>
          <w:rFonts w:cs="Arial"/>
        </w:rPr>
        <w:t xml:space="preserve">A key task in this work is </w:t>
      </w:r>
      <w:r w:rsidR="007D7271" w:rsidRPr="00B53F89">
        <w:rPr>
          <w:rFonts w:cs="Arial"/>
        </w:rPr>
        <w:t xml:space="preserve">making a new </w:t>
      </w:r>
      <w:r w:rsidR="00761079" w:rsidRPr="00B53F89">
        <w:t>ARSP</w:t>
      </w:r>
      <w:r w:rsidRPr="00B53F89">
        <w:t xml:space="preserve"> </w:t>
      </w:r>
      <w:r w:rsidR="007D7271" w:rsidRPr="00B53F89">
        <w:t xml:space="preserve">to ensure that Australian spectrum arrangements take account of changes arising from the ITU WRC-19. </w:t>
      </w:r>
    </w:p>
    <w:p w14:paraId="6A78C441" w14:textId="714753A4" w:rsidR="007D7271" w:rsidRPr="00B53F89" w:rsidRDefault="007D7271" w:rsidP="00D7755E">
      <w:bookmarkStart w:id="240" w:name="_Hlk17105036"/>
      <w:r w:rsidRPr="00B53F89">
        <w:t>While timing of such work depend</w:t>
      </w:r>
      <w:r w:rsidR="009906C8">
        <w:t>s</w:t>
      </w:r>
      <w:r w:rsidRPr="00B53F89">
        <w:t xml:space="preserve"> on when WRC changes come into effect (typically </w:t>
      </w:r>
      <w:r w:rsidR="00E44D4A" w:rsidRPr="00B53F89">
        <w:t xml:space="preserve">approximately </w:t>
      </w:r>
      <w:r w:rsidR="00827ECA" w:rsidRPr="00B53F89">
        <w:t>one</w:t>
      </w:r>
      <w:r w:rsidRPr="00B53F89">
        <w:t xml:space="preserve"> year after the WRC), it is expected that the ACMA will </w:t>
      </w:r>
      <w:r w:rsidR="00761079" w:rsidRPr="00B53F89">
        <w:t>commence</w:t>
      </w:r>
      <w:r w:rsidRPr="00B53F89">
        <w:t xml:space="preserve"> scoping this </w:t>
      </w:r>
      <w:r w:rsidRPr="009F4093">
        <w:t>work in</w:t>
      </w:r>
      <w:r w:rsidRPr="00B53F89">
        <w:t xml:space="preserve"> </w:t>
      </w:r>
      <w:r w:rsidRPr="004E509B">
        <w:t>Q</w:t>
      </w:r>
      <w:r w:rsidR="000B244F" w:rsidRPr="004E509B">
        <w:t>3</w:t>
      </w:r>
      <w:r w:rsidRPr="004E509B">
        <w:t xml:space="preserve"> 2020</w:t>
      </w:r>
      <w:r w:rsidRPr="00B53F89">
        <w:t xml:space="preserve">. </w:t>
      </w:r>
    </w:p>
    <w:bookmarkEnd w:id="239"/>
    <w:bookmarkEnd w:id="240"/>
    <w:p w14:paraId="4991CE71" w14:textId="4D44880E" w:rsidR="0059149F" w:rsidRPr="00B53F89" w:rsidRDefault="00262A29" w:rsidP="00D7755E">
      <w:r w:rsidRPr="00B53F89">
        <w:t xml:space="preserve">Amendments to the RRs </w:t>
      </w:r>
      <w:r w:rsidR="007D7271" w:rsidRPr="00B53F89">
        <w:t xml:space="preserve">agreed at WRC </w:t>
      </w:r>
      <w:r w:rsidRPr="00B53F89">
        <w:t xml:space="preserve">are subject to parliamentary review through the Joint Standing Committee on Treaties. </w:t>
      </w:r>
      <w:r w:rsidR="005A0A5C">
        <w:t>T</w:t>
      </w:r>
      <w:r w:rsidR="00CA501F">
        <w:t>he Department</w:t>
      </w:r>
      <w:r w:rsidRPr="00B53F89">
        <w:t xml:space="preserve"> administers this process of review.</w:t>
      </w:r>
      <w:r w:rsidR="007D7271" w:rsidRPr="00B53F89">
        <w:t xml:space="preserve"> </w:t>
      </w:r>
    </w:p>
    <w:p w14:paraId="38DE1CBE" w14:textId="06A5D50C" w:rsidR="00B3792E" w:rsidRPr="00B53F89" w:rsidDel="00EA01BB" w:rsidRDefault="00B3792E" w:rsidP="00B3792E">
      <w:r w:rsidRPr="00B53F89" w:rsidDel="00EA01BB">
        <w:t>The ACMA will continue to manage and provide technical expertise for Australian engagement in international spectrum management forums</w:t>
      </w:r>
      <w:r>
        <w:t>,</w:t>
      </w:r>
      <w:r w:rsidRPr="00B53F89" w:rsidDel="00EA01BB">
        <w:t xml:space="preserve"> through domestic and international consultative frameworks. </w:t>
      </w:r>
      <w:r>
        <w:t xml:space="preserve">This will include </w:t>
      </w:r>
      <w:r w:rsidRPr="00B53F89" w:rsidDel="00EA01BB">
        <w:t xml:space="preserve">input into development of Australian positions for key ITU and </w:t>
      </w:r>
      <w:r>
        <w:t>Asia-Pacific Telecommunity (</w:t>
      </w:r>
      <w:r w:rsidRPr="00B53F89" w:rsidDel="00EA01BB">
        <w:t>APT</w:t>
      </w:r>
      <w:r>
        <w:t>)</w:t>
      </w:r>
      <w:r w:rsidRPr="00B53F89" w:rsidDel="00EA01BB">
        <w:t xml:space="preserve"> radiocommunication meetings</w:t>
      </w:r>
      <w:r>
        <w:t>, including meetings of A</w:t>
      </w:r>
      <w:r w:rsidRPr="00D40D18">
        <w:t>PG</w:t>
      </w:r>
      <w:r>
        <w:t>23</w:t>
      </w:r>
      <w:r w:rsidRPr="00B53F89">
        <w:t xml:space="preserve"> </w:t>
      </w:r>
      <w:r>
        <w:t xml:space="preserve">as we </w:t>
      </w:r>
      <w:r w:rsidR="005A0A5C">
        <w:t xml:space="preserve">start </w:t>
      </w:r>
      <w:r>
        <w:t xml:space="preserve">the new </w:t>
      </w:r>
      <w:r>
        <w:lastRenderedPageBreak/>
        <w:t>WRC-23 study cycle. The Department</w:t>
      </w:r>
      <w:r w:rsidRPr="00B53F89" w:rsidDel="00EA01BB">
        <w:t xml:space="preserve"> will lead the delegation to these meetings with the ACMA closely involved in supporting Australian preparatory processes and providing technical expertise from </w:t>
      </w:r>
      <w:r w:rsidR="005A0A5C">
        <w:t>our</w:t>
      </w:r>
      <w:r w:rsidR="005A0A5C" w:rsidRPr="00B53F89" w:rsidDel="00EA01BB">
        <w:t xml:space="preserve"> </w:t>
      </w:r>
      <w:r w:rsidRPr="00B53F89" w:rsidDel="00EA01BB">
        <w:t>planning and engineering staff</w:t>
      </w:r>
      <w:r>
        <w:t>.</w:t>
      </w:r>
    </w:p>
    <w:p w14:paraId="6D532D1F" w14:textId="033BEF31" w:rsidR="00B3792E" w:rsidRPr="00B53F89" w:rsidRDefault="00B3792E" w:rsidP="00D7755E">
      <w:r>
        <w:t>The ACMA will also lead Australian engagement</w:t>
      </w:r>
      <w:r w:rsidRPr="00B53F89" w:rsidDel="00EA01BB">
        <w:t xml:space="preserve"> in other ITU-R and APT forums, including </w:t>
      </w:r>
      <w:r>
        <w:t>meetings of the AWG and ITU-R study groups 4 and 5 and their respective working parties.</w:t>
      </w:r>
    </w:p>
    <w:p w14:paraId="2ED836DC" w14:textId="54107EB3" w:rsidR="00783534" w:rsidRPr="00B53F89" w:rsidRDefault="00783534" w:rsidP="00FA7446">
      <w:pPr>
        <w:keepNext/>
        <w:spacing w:before="320" w:after="0"/>
      </w:pPr>
      <w:bookmarkStart w:id="241" w:name="_Toc522794087"/>
      <w:r w:rsidRPr="009F4093">
        <w:rPr>
          <w:noProof/>
        </w:rPr>
        <w:drawing>
          <wp:inline distT="0" distB="0" distL="0" distR="0" wp14:anchorId="24AB7B68" wp14:editId="61A9FA34">
            <wp:extent cx="342900" cy="361950"/>
            <wp:effectExtent l="0" t="0" r="0" b="0"/>
            <wp:docPr id="29" name="Picture 29"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9F4093">
        <w:rPr>
          <w:noProof/>
        </w:rPr>
        <w:drawing>
          <wp:inline distT="0" distB="0" distL="0" distR="0" wp14:anchorId="09F19818" wp14:editId="146494AF">
            <wp:extent cx="342900" cy="361950"/>
            <wp:effectExtent l="0" t="0" r="0" b="0"/>
            <wp:docPr id="30" name="Picture 30" descr="Point to multi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int to multipoint ico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9F4093">
        <w:rPr>
          <w:noProof/>
        </w:rPr>
        <w:drawing>
          <wp:inline distT="0" distB="0" distL="0" distR="0" wp14:anchorId="208C0994" wp14:editId="37582FE8">
            <wp:extent cx="342900" cy="361950"/>
            <wp:effectExtent l="0" t="0" r="0" b="0"/>
            <wp:docPr id="31" name="Picture 31"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465725" w:rsidRPr="009F4093">
        <w:rPr>
          <w:noProof/>
        </w:rPr>
        <w:drawing>
          <wp:inline distT="0" distB="0" distL="0" distR="0" wp14:anchorId="44E19AF0" wp14:editId="1E01C43A">
            <wp:extent cx="341630" cy="359410"/>
            <wp:effectExtent l="0" t="0" r="1270" b="2540"/>
            <wp:docPr id="140" name="Picture 140"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Pr="009F4093">
        <w:rPr>
          <w:noProof/>
        </w:rPr>
        <w:drawing>
          <wp:inline distT="0" distB="0" distL="0" distR="0" wp14:anchorId="32C0A638" wp14:editId="23B583DE">
            <wp:extent cx="342900" cy="361950"/>
            <wp:effectExtent l="0" t="0" r="0" b="0"/>
            <wp:docPr id="33" name="Picture 33" descr="Class licens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ass licensing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6BB62756" w14:textId="4D38DD84" w:rsidR="00516EAC" w:rsidRPr="006A2F04" w:rsidRDefault="00516EAC" w:rsidP="000650FB">
      <w:pPr>
        <w:pStyle w:val="Heading2"/>
        <w:spacing w:before="60"/>
        <w:rPr>
          <w:rStyle w:val="Heading2Char"/>
        </w:rPr>
      </w:pPr>
      <w:bookmarkStart w:id="242" w:name="_Toc31892793"/>
      <w:bookmarkStart w:id="243" w:name="_Toc36207412"/>
      <w:bookmarkStart w:id="244" w:name="_Toc38987163"/>
      <w:bookmarkStart w:id="245" w:name="_Hlk2180539"/>
      <w:bookmarkEnd w:id="241"/>
      <w:r w:rsidRPr="00B53F89">
        <w:rPr>
          <w:rStyle w:val="Heading2Char"/>
          <w:b/>
          <w:bCs/>
          <w:iCs/>
        </w:rPr>
        <w:t xml:space="preserve">Major band </w:t>
      </w:r>
      <w:r w:rsidR="0070084E" w:rsidRPr="00B53F89">
        <w:rPr>
          <w:rStyle w:val="Heading2Char"/>
          <w:b/>
          <w:bCs/>
          <w:iCs/>
        </w:rPr>
        <w:t xml:space="preserve">planning and </w:t>
      </w:r>
      <w:r w:rsidRPr="00B53F89">
        <w:rPr>
          <w:rStyle w:val="Heading2Char"/>
          <w:b/>
          <w:bCs/>
          <w:iCs/>
        </w:rPr>
        <w:t>replanning activities</w:t>
      </w:r>
      <w:bookmarkEnd w:id="242"/>
      <w:bookmarkEnd w:id="243"/>
      <w:bookmarkEnd w:id="244"/>
      <w:r w:rsidRPr="00B53F89">
        <w:rPr>
          <w:rStyle w:val="Heading2Char"/>
          <w:b/>
          <w:bCs/>
          <w:iCs/>
        </w:rPr>
        <w:t xml:space="preserve"> </w:t>
      </w:r>
    </w:p>
    <w:p w14:paraId="460FF6D8" w14:textId="4F751BD4" w:rsidR="00516EAC" w:rsidRPr="00B53F89" w:rsidRDefault="00516EAC" w:rsidP="00D7755E">
      <w:bookmarkStart w:id="246" w:name="_Hlk4141764"/>
      <w:bookmarkEnd w:id="245"/>
      <w:r w:rsidRPr="00B53F89">
        <w:t xml:space="preserve">This section provides an overview of the ACMA’s work in establishing new planning frameworks, including other major band </w:t>
      </w:r>
      <w:r w:rsidR="0070084E" w:rsidRPr="00B53F89">
        <w:t>re-farming and reallocation</w:t>
      </w:r>
      <w:r w:rsidRPr="00B53F89">
        <w:t xml:space="preserve"> activities.</w:t>
      </w:r>
      <w:bookmarkEnd w:id="246"/>
    </w:p>
    <w:p w14:paraId="6D7D85D2" w14:textId="2C5CAAE1" w:rsidR="00516EAC" w:rsidRPr="00B53F89" w:rsidRDefault="004B065E" w:rsidP="00D7755E">
      <w:r w:rsidRPr="00B53F89">
        <w:t xml:space="preserve">For </w:t>
      </w:r>
      <w:r w:rsidR="00516EAC" w:rsidRPr="00B53F89">
        <w:t>allocation of spectrum resulting from major band replanning activities</w:t>
      </w:r>
      <w:r w:rsidR="00446847" w:rsidRPr="00B53F89">
        <w:t>,</w:t>
      </w:r>
      <w:r w:rsidR="00516EAC" w:rsidRPr="00B53F89">
        <w:t xml:space="preserve"> </w:t>
      </w:r>
      <w:r w:rsidRPr="00B53F89">
        <w:t>see</w:t>
      </w:r>
      <w:r w:rsidR="00D25046" w:rsidRPr="00B53F89">
        <w:t xml:space="preserve"> </w:t>
      </w:r>
      <w:r w:rsidR="003C4953">
        <w:t xml:space="preserve">the </w:t>
      </w:r>
      <w:r w:rsidR="003C4953" w:rsidRPr="00513FDE">
        <w:rPr>
          <w:rStyle w:val="Hyperlink"/>
          <w:i/>
          <w:iCs/>
          <w:color w:val="auto"/>
          <w:u w:val="none"/>
        </w:rPr>
        <w:t>F</w:t>
      </w:r>
      <w:r w:rsidR="00E463B3" w:rsidRPr="00513FDE">
        <w:rPr>
          <w:rStyle w:val="Hyperlink"/>
          <w:i/>
          <w:iCs/>
          <w:color w:val="auto"/>
          <w:u w:val="none"/>
        </w:rPr>
        <w:t>orward allocation work plan</w:t>
      </w:r>
      <w:r w:rsidRPr="00B53F89">
        <w:t xml:space="preserve"> </w:t>
      </w:r>
      <w:r w:rsidR="003406B8">
        <w:t xml:space="preserve">section </w:t>
      </w:r>
      <w:r w:rsidRPr="00B53F89">
        <w:t>below</w:t>
      </w:r>
      <w:r w:rsidR="00516EAC" w:rsidRPr="00B53F89">
        <w:t xml:space="preserve">. </w:t>
      </w:r>
    </w:p>
    <w:p w14:paraId="2D560364" w14:textId="7A143707" w:rsidR="00FF0C2E" w:rsidRPr="00B53F89" w:rsidRDefault="00516EAC" w:rsidP="00D7755E">
      <w:bookmarkStart w:id="247" w:name="_Hlk2248565"/>
      <w:r w:rsidRPr="00B53F89">
        <w:t xml:space="preserve">Bands listed are categorised </w:t>
      </w:r>
      <w:r w:rsidR="00FF0C2E" w:rsidRPr="00B53F89">
        <w:t xml:space="preserve">into </w:t>
      </w:r>
      <w:r w:rsidR="005A0A5C">
        <w:t>our</w:t>
      </w:r>
      <w:r w:rsidR="00851C18" w:rsidRPr="00B53F89">
        <w:t xml:space="preserve"> </w:t>
      </w:r>
      <w:r w:rsidR="00FF0C2E" w:rsidRPr="00B53F89">
        <w:t xml:space="preserve">four </w:t>
      </w:r>
      <w:r w:rsidR="00851C18" w:rsidRPr="00B53F89">
        <w:t xml:space="preserve">planning </w:t>
      </w:r>
      <w:r w:rsidR="00FF0C2E" w:rsidRPr="00B53F89">
        <w:t>stages</w:t>
      </w:r>
      <w:r w:rsidR="00683A0C" w:rsidRPr="00B53F89">
        <w:t xml:space="preserve">, </w:t>
      </w:r>
      <w:r w:rsidR="00FF0C2E" w:rsidRPr="00B53F89">
        <w:t xml:space="preserve">shown </w:t>
      </w:r>
      <w:r w:rsidR="00683A0C" w:rsidRPr="00B53F89">
        <w:t>in Figure 1</w:t>
      </w:r>
      <w:r w:rsidR="00FF0C2E" w:rsidRPr="00B53F89">
        <w:t>.</w:t>
      </w:r>
    </w:p>
    <w:p w14:paraId="641DDAF5" w14:textId="4D3DA6D9" w:rsidR="00FF0C2E" w:rsidRPr="00B53F89" w:rsidRDefault="00FF0C2E" w:rsidP="00252163">
      <w:pPr>
        <w:pStyle w:val="ACMAFigureHeader"/>
        <w:keepNext/>
      </w:pPr>
      <w:r w:rsidRPr="00B53F89">
        <w:t>Four stages in spectrum management band planning</w:t>
      </w:r>
    </w:p>
    <w:p w14:paraId="7ED0EDFC" w14:textId="3D4A157F" w:rsidR="00C837A5" w:rsidRDefault="00FF0C2E">
      <w:pPr>
        <w:rPr>
          <w:b/>
          <w:bCs/>
        </w:rPr>
      </w:pPr>
      <w:r w:rsidRPr="006A2F04">
        <w:rPr>
          <w:noProof/>
        </w:rPr>
        <w:drawing>
          <wp:inline distT="0" distB="0" distL="0" distR="0" wp14:anchorId="5FAC452A" wp14:editId="4DB3752D">
            <wp:extent cx="5013761" cy="2924355"/>
            <wp:effectExtent l="0" t="0" r="0" b="0"/>
            <wp:docPr id="3" name="Picture 3" descr="Diagram showing the four stages in spectrum management band pl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038577" cy="2938829"/>
                    </a:xfrm>
                    <a:prstGeom prst="rect">
                      <a:avLst/>
                    </a:prstGeom>
                    <a:noFill/>
                  </pic:spPr>
                </pic:pic>
              </a:graphicData>
            </a:graphic>
          </wp:inline>
        </w:drawing>
      </w:r>
      <w:r w:rsidR="00516EAC" w:rsidRPr="00B53F89">
        <w:t xml:space="preserve"> </w:t>
      </w:r>
      <w:bookmarkEnd w:id="247"/>
    </w:p>
    <w:p w14:paraId="4433767D" w14:textId="209E42DB" w:rsidR="009009FD" w:rsidRDefault="00B977A2" w:rsidP="00513FDE">
      <w:pPr>
        <w:pStyle w:val="Heading2"/>
        <w:keepLines/>
      </w:pPr>
      <w:bookmarkStart w:id="248" w:name="_Toc38987164"/>
      <w:r>
        <w:lastRenderedPageBreak/>
        <w:t>Monitoring</w:t>
      </w:r>
      <w:bookmarkEnd w:id="248"/>
    </w:p>
    <w:p w14:paraId="5E6F62F0" w14:textId="77777777" w:rsidR="00B977A2" w:rsidRPr="00B53F89" w:rsidRDefault="00B977A2" w:rsidP="00513FDE">
      <w:pPr>
        <w:keepNext/>
        <w:keepLines/>
      </w:pPr>
      <w:r w:rsidRPr="00B53F89">
        <w:t xml:space="preserve">In the </w:t>
      </w:r>
      <w:r w:rsidRPr="00AB3EDB">
        <w:rPr>
          <w:i/>
          <w:iCs/>
        </w:rPr>
        <w:t>monitoring</w:t>
      </w:r>
      <w:r w:rsidRPr="00B53F89">
        <w:t xml:space="preserve"> stage, the ACMA maintains an awareness of developments and interest in potential changes to the use of the band that may require substantial planning activities. </w:t>
      </w:r>
    </w:p>
    <w:p w14:paraId="72338A1E" w14:textId="77777777" w:rsidR="00B977A2" w:rsidRPr="00B53F89" w:rsidRDefault="00B977A2" w:rsidP="00513FDE">
      <w:pPr>
        <w:keepNext/>
        <w:keepLines/>
      </w:pPr>
      <w:r w:rsidRPr="00B53F89">
        <w:t xml:space="preserve">There is no direct action required by stakeholders at this stage. However, there is an opportunity for stakeholders to keep the ACMA appraised of relevant developments and issues. </w:t>
      </w:r>
    </w:p>
    <w:p w14:paraId="72777C2F" w14:textId="7FE18502" w:rsidR="00B977A2" w:rsidRDefault="00B977A2" w:rsidP="00513FDE">
      <w:pPr>
        <w:keepNext/>
        <w:keepLines/>
      </w:pPr>
      <w:r w:rsidRPr="00B53F89">
        <w:t xml:space="preserve">In general, the ACMA sees bands and issues included at the </w:t>
      </w:r>
      <w:r w:rsidRPr="00AB3EDB">
        <w:rPr>
          <w:i/>
          <w:iCs/>
        </w:rPr>
        <w:t>monitoring</w:t>
      </w:r>
      <w:r w:rsidRPr="00B53F89">
        <w:t xml:space="preserve"> stage as representing potential work items beyond its immediate 12-month work program.</w:t>
      </w:r>
    </w:p>
    <w:p w14:paraId="09B899BD" w14:textId="3D0D014D" w:rsidR="00B977A2" w:rsidRDefault="00B977A2" w:rsidP="00513FDE">
      <w:pPr>
        <w:keepNext/>
        <w:keepLines/>
        <w:spacing w:after="0"/>
      </w:pPr>
      <w:r w:rsidRPr="006A2F04">
        <w:rPr>
          <w:noProof/>
        </w:rPr>
        <w:drawing>
          <wp:inline distT="0" distB="0" distL="0" distR="0" wp14:anchorId="782E6B88" wp14:editId="27E02F14">
            <wp:extent cx="342900" cy="361950"/>
            <wp:effectExtent l="0" t="0" r="0" b="0"/>
            <wp:docPr id="32" name="Picture 32" descr="Radio/TV broadcas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adio/TV broadcasting ic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1139768B" wp14:editId="64857D6C">
            <wp:extent cx="342900" cy="361950"/>
            <wp:effectExtent l="0" t="0" r="0" b="0"/>
            <wp:docPr id="49" name="Picture 49" descr="Class licens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ass licensing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2441E8BA" wp14:editId="0F89F460">
            <wp:extent cx="342900" cy="361950"/>
            <wp:effectExtent l="0" t="0" r="0" b="0"/>
            <wp:docPr id="50" name="Picture 50"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19FCB675" wp14:editId="0EF062AD">
            <wp:extent cx="342900" cy="361950"/>
            <wp:effectExtent l="0" t="0" r="0" b="0"/>
            <wp:docPr id="51" name="Picture 51"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36F7ABAF" w14:textId="17F87FC3" w:rsidR="00B977A2" w:rsidRPr="00B977A2" w:rsidRDefault="00B977A2" w:rsidP="00513FDE">
      <w:pPr>
        <w:pStyle w:val="Heading3"/>
        <w:keepLines/>
      </w:pPr>
      <w:bookmarkStart w:id="249" w:name="_Toc38987165"/>
      <w:bookmarkStart w:id="250" w:name="_Hlk38958347"/>
      <w:r w:rsidRPr="00B977A2">
        <w:t>600 MHz (617–698</w:t>
      </w:r>
      <w:r w:rsidRPr="00B977A2">
        <w:rPr>
          <w:rStyle w:val="FootnoteReference"/>
          <w:b w:val="0"/>
          <w:bCs w:val="0"/>
        </w:rPr>
        <w:footnoteReference w:id="40"/>
      </w:r>
      <w:r w:rsidRPr="00B977A2">
        <w:t xml:space="preserve"> MHz)</w:t>
      </w:r>
      <w:bookmarkEnd w:id="249"/>
    </w:p>
    <w:p w14:paraId="59118F69" w14:textId="716DFF49" w:rsidR="00B977A2" w:rsidRDefault="00B977A2" w:rsidP="00B977A2">
      <w:r w:rsidRPr="00B53F89">
        <w:t>The 600 MHz band is currently used by digital television services in Australia and is available for some services under the LIPD class licence.</w:t>
      </w:r>
    </w:p>
    <w:p w14:paraId="2FE6E8D6" w14:textId="00F74A69" w:rsidR="00B977A2" w:rsidRDefault="00B977A2" w:rsidP="00B977A2">
      <w:pPr>
        <w:pStyle w:val="BodySubHeader"/>
        <w:rPr>
          <w:b w:val="0"/>
          <w:i w:val="0"/>
        </w:rPr>
      </w:pPr>
      <w:r w:rsidRPr="004439B6">
        <w:rPr>
          <w:b w:val="0"/>
          <w:i w:val="0"/>
        </w:rPr>
        <w:t xml:space="preserve">Current television channel arrangements include spectrum both inside and outside of the 600 MHz band and would require a further restack (sometimes referred to as a ‘second digital dividend’) to yield a contiguous block of spectrum in the 600 MHz range. The sixth channel is currently available for trials of more advanced digital television technology. </w:t>
      </w:r>
      <w:r w:rsidR="00615D50">
        <w:rPr>
          <w:b w:val="0"/>
          <w:i w:val="0"/>
        </w:rPr>
        <w:t>While t</w:t>
      </w:r>
      <w:r w:rsidRPr="004439B6">
        <w:rPr>
          <w:b w:val="0"/>
          <w:i w:val="0"/>
        </w:rPr>
        <w:t>here are no current plans</w:t>
      </w:r>
      <w:r w:rsidR="00615D50">
        <w:rPr>
          <w:b w:val="0"/>
          <w:i w:val="0"/>
        </w:rPr>
        <w:t>,</w:t>
      </w:r>
      <w:r w:rsidRPr="004439B6">
        <w:rPr>
          <w:b w:val="0"/>
          <w:i w:val="0"/>
        </w:rPr>
        <w:t xml:space="preserve"> </w:t>
      </w:r>
      <w:r w:rsidR="00615D50">
        <w:rPr>
          <w:b w:val="0"/>
          <w:i w:val="0"/>
        </w:rPr>
        <w:t>t</w:t>
      </w:r>
      <w:r w:rsidRPr="004439B6">
        <w:rPr>
          <w:b w:val="0"/>
          <w:i w:val="0"/>
        </w:rPr>
        <w:t>he sixth channel could also support transition of television broadcasting services to DVB-T2/MPEG 4 transmission standards.</w:t>
      </w:r>
      <w:r w:rsidRPr="004439B6" w:rsidDel="00736B02">
        <w:rPr>
          <w:b w:val="0"/>
          <w:i w:val="0"/>
        </w:rPr>
        <w:t xml:space="preserve"> </w:t>
      </w:r>
      <w:r w:rsidR="00615D50" w:rsidRPr="00615D50">
        <w:rPr>
          <w:b w:val="0"/>
          <w:i w:val="0"/>
        </w:rPr>
        <w:t>We note previous trials of DVB-T2 technologies conducted in 2018 and 2019, and will continue to support industry-driven initiatives for trials of the new TV transmission technologies in the future.</w:t>
      </w:r>
    </w:p>
    <w:bookmarkEnd w:id="250"/>
    <w:p w14:paraId="7451329F" w14:textId="77777777" w:rsidR="00B977A2" w:rsidRPr="00B53F89" w:rsidRDefault="00B977A2" w:rsidP="00513FDE">
      <w:pPr>
        <w:pStyle w:val="Heading4"/>
      </w:pPr>
      <w:r w:rsidRPr="00B53F89">
        <w:t>Recent developments</w:t>
      </w:r>
    </w:p>
    <w:p w14:paraId="6A0FFD10" w14:textId="77777777" w:rsidR="00B977A2" w:rsidRDefault="00B977A2" w:rsidP="00B977A2">
      <w:r>
        <w:t>In 2017, an</w:t>
      </w:r>
      <w:r w:rsidRPr="00B53F89">
        <w:t xml:space="preserve"> FCC incentive auction </w:t>
      </w:r>
      <w:r>
        <w:t>in the 600 MHz band</w:t>
      </w:r>
      <w:r w:rsidRPr="00B53F89">
        <w:t xml:space="preserve"> resulted in a repurposing of 84 MHz of spectrum—70 MHz for licensed use and another 14 MHz for wireless microphones and unlicensed use.</w:t>
      </w:r>
      <w:r w:rsidRPr="00B53F89">
        <w:rPr>
          <w:rStyle w:val="FootnoteReference"/>
        </w:rPr>
        <w:footnoteReference w:id="41"/>
      </w:r>
      <w:r w:rsidRPr="00B53F89">
        <w:t xml:space="preserve"> </w:t>
      </w:r>
      <w:r>
        <w:t>In December 2019, an operator in the US was the first to deploy a 5G service in the band.</w:t>
      </w:r>
      <w:r>
        <w:rPr>
          <w:rStyle w:val="FootnoteReference"/>
        </w:rPr>
        <w:footnoteReference w:id="42"/>
      </w:r>
      <w:r>
        <w:t xml:space="preserve"> </w:t>
      </w:r>
    </w:p>
    <w:p w14:paraId="4FE6A75D" w14:textId="1EBE7B97" w:rsidR="00B977A2" w:rsidRPr="00B53F89" w:rsidRDefault="00B977A2" w:rsidP="00B977A2">
      <w:r>
        <w:t>In 2019, Canada issued licences for use of the 600 MHz band. In September 2019, Mexico announced it would auction spectrum in the 600 MHz band for use by mobile broadband including 5G.</w:t>
      </w:r>
      <w:r>
        <w:rPr>
          <w:rStyle w:val="FootnoteReference"/>
          <w:rFonts w:cs="Arial"/>
        </w:rPr>
        <w:footnoteReference w:id="43"/>
      </w:r>
    </w:p>
    <w:p w14:paraId="5EAF8050" w14:textId="06D740B0" w:rsidR="00B977A2" w:rsidRDefault="00B977A2" w:rsidP="00B977A2">
      <w:r w:rsidRPr="00B53F89">
        <w:t xml:space="preserve">In addition, the Radio Spectrum Policy Group (RSPG) of the European Commission (EC) has also provided a </w:t>
      </w:r>
      <w:hyperlink r:id="rId62" w:history="1">
        <w:r w:rsidRPr="00B53F89">
          <w:rPr>
            <w:rStyle w:val="Hyperlink"/>
            <w:rFonts w:eastAsiaTheme="majorEastAsia" w:cs="Arial"/>
          </w:rPr>
          <w:t>long-term strategy for the future of the UHF band</w:t>
        </w:r>
      </w:hyperlink>
      <w:r w:rsidRPr="00B53F89">
        <w:rPr>
          <w:rStyle w:val="Hyperlink"/>
          <w:rFonts w:eastAsiaTheme="majorEastAsia" w:cs="Arial"/>
        </w:rPr>
        <w:t>,</w:t>
      </w:r>
      <w:r w:rsidRPr="00B53F89">
        <w:t xml:space="preserve"> which suggests the band remain available for broadcasting services until at least 2030. It also recommends that the band should be available for downlink-only broadband services on a secondary basis. This outcome is reflected in the </w:t>
      </w:r>
      <w:hyperlink r:id="rId63" w:history="1">
        <w:r w:rsidRPr="00B53F89">
          <w:rPr>
            <w:rStyle w:val="Hyperlink"/>
            <w:rFonts w:eastAsiaTheme="majorEastAsia" w:cs="Arial"/>
          </w:rPr>
          <w:t>EC’s inception assessment</w:t>
        </w:r>
      </w:hyperlink>
      <w:r w:rsidRPr="00B53F89">
        <w:t>, but a final decision is still pending.</w:t>
      </w:r>
    </w:p>
    <w:p w14:paraId="720351B8" w14:textId="77777777" w:rsidR="00B977A2" w:rsidRPr="005E1990" w:rsidRDefault="00B977A2" w:rsidP="00B977A2">
      <w:r>
        <w:lastRenderedPageBreak/>
        <w:t xml:space="preserve">WRC-23 agenda item 1.5 will review spectrum use and spectrum needs of existing services in the frequency band 470-960 MHz in Region 1 and consider possible regulatory actions in the frequency band 470-694 MHz in Region 1 on the basis of the review in accordance with Resolution </w:t>
      </w:r>
      <w:r w:rsidRPr="009A435B">
        <w:rPr>
          <w:b/>
          <w:bCs/>
        </w:rPr>
        <w:t>235 (WRC-15)</w:t>
      </w:r>
      <w:r>
        <w:t>.</w:t>
      </w:r>
    </w:p>
    <w:p w14:paraId="04630106" w14:textId="6857079D" w:rsidR="00B977A2" w:rsidRDefault="00B977A2" w:rsidP="00B977A2">
      <w:r w:rsidRPr="00B53F89">
        <w:rPr>
          <w:rFonts w:eastAsia="SimSun"/>
          <w:lang w:eastAsia="zh-CN"/>
        </w:rPr>
        <w:t>Recommendation ITU-</w:t>
      </w:r>
      <w:r w:rsidRPr="00B53F89">
        <w:t xml:space="preserve">R M.1036 </w:t>
      </w:r>
      <w:r>
        <w:t xml:space="preserve">was recently amended to include </w:t>
      </w:r>
      <w:r w:rsidRPr="00B53F89">
        <w:t xml:space="preserve">frequency arrangements for </w:t>
      </w:r>
      <w:r>
        <w:t xml:space="preserve">the </w:t>
      </w:r>
      <w:r w:rsidRPr="00B53F89">
        <w:t xml:space="preserve">implementation of the terrestrial component of IMT in the </w:t>
      </w:r>
      <w:r w:rsidR="00A25629">
        <w:t>600 </w:t>
      </w:r>
      <w:r>
        <w:t xml:space="preserve">MHz </w:t>
      </w:r>
      <w:r w:rsidRPr="00B53F89">
        <w:t>band</w:t>
      </w:r>
      <w:r>
        <w:t xml:space="preserve">. </w:t>
      </w:r>
    </w:p>
    <w:p w14:paraId="03FCBF81" w14:textId="77777777" w:rsidR="00B977A2" w:rsidRPr="00B53F89" w:rsidRDefault="00B977A2" w:rsidP="00B977A2">
      <w:pPr>
        <w:pStyle w:val="BodySubHeader"/>
      </w:pPr>
      <w:r w:rsidRPr="00B53F89">
        <w:t>Next steps</w:t>
      </w:r>
    </w:p>
    <w:p w14:paraId="124B7409" w14:textId="77777777" w:rsidR="00B977A2" w:rsidRPr="00B53F89" w:rsidRDefault="00B977A2" w:rsidP="00B977A2">
      <w:r w:rsidRPr="00B53F89">
        <w:t xml:space="preserve">The ACMA will continue to monitor international developments. </w:t>
      </w:r>
    </w:p>
    <w:p w14:paraId="73AF2B46" w14:textId="6DCC0652" w:rsidR="00B977A2" w:rsidRPr="00B53F89" w:rsidRDefault="00A25629" w:rsidP="00B977A2">
      <w:bookmarkStart w:id="251" w:name="_Hlk16244594"/>
      <w:r>
        <w:t>We</w:t>
      </w:r>
      <w:r w:rsidR="00B977A2" w:rsidRPr="00B53F89">
        <w:t xml:space="preserve"> will continue to engage with industry and government as required on </w:t>
      </w:r>
      <w:r w:rsidR="00B977A2">
        <w:t>the technology transition path for</w:t>
      </w:r>
      <w:r w:rsidR="00B977A2" w:rsidRPr="00B53F89">
        <w:t xml:space="preserve"> terrestrial digital television, </w:t>
      </w:r>
      <w:r w:rsidR="00B977A2">
        <w:t>which may include options to migrate to newer</w:t>
      </w:r>
      <w:r w:rsidR="00B977A2" w:rsidRPr="00B53F89">
        <w:t xml:space="preserve"> DVB-T2 and HEVC standards. Adoption of these technologies is likely to be a prerequisite for any future reallocation of broadcasting spectrum for non-broadcasting uses, though it is also key to the more efficient use of spectrum by the television industry itself.</w:t>
      </w:r>
      <w:bookmarkEnd w:id="251"/>
    </w:p>
    <w:p w14:paraId="2938D7EC" w14:textId="60AF7CC0" w:rsidR="00B977A2" w:rsidRPr="00B53F89" w:rsidRDefault="00B977A2" w:rsidP="00D904DC">
      <w:pPr>
        <w:spacing w:after="0"/>
        <w:rPr>
          <w:rFonts w:eastAsia="SimSun"/>
          <w:lang w:eastAsia="zh-CN"/>
        </w:rPr>
      </w:pPr>
      <w:r w:rsidRPr="006A2F04">
        <w:rPr>
          <w:noProof/>
        </w:rPr>
        <w:drawing>
          <wp:inline distT="0" distB="0" distL="0" distR="0" wp14:anchorId="026D33BA" wp14:editId="32662AFB">
            <wp:extent cx="342900" cy="361950"/>
            <wp:effectExtent l="0" t="0" r="0" b="0"/>
            <wp:docPr id="52" name="Picture 52"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76C39D1D" wp14:editId="496F5560">
            <wp:extent cx="342900" cy="361950"/>
            <wp:effectExtent l="0" t="0" r="0" b="0"/>
            <wp:docPr id="53" name="Picture 53"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4751BF4C" wp14:editId="26248F84">
            <wp:extent cx="342900" cy="361950"/>
            <wp:effectExtent l="0" t="0" r="0" b="0"/>
            <wp:docPr id="54" name="Picture 54" descr="Point to multi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int to multipoint ico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5A98C8B2" w14:textId="77777777" w:rsidR="00B977A2" w:rsidRPr="00B53F89" w:rsidRDefault="00B977A2" w:rsidP="00B977A2">
      <w:pPr>
        <w:pStyle w:val="Heading3"/>
      </w:pPr>
      <w:bookmarkStart w:id="252" w:name="_Toc31892796"/>
      <w:bookmarkStart w:id="253" w:name="_Toc36207415"/>
      <w:bookmarkStart w:id="254" w:name="_Toc38987166"/>
      <w:r w:rsidRPr="00B53F89">
        <w:t>1900–1920 MHz</w:t>
      </w:r>
      <w:bookmarkEnd w:id="252"/>
      <w:bookmarkEnd w:id="253"/>
      <w:bookmarkEnd w:id="254"/>
    </w:p>
    <w:p w14:paraId="32583BEB" w14:textId="414D4E6C" w:rsidR="00B977A2" w:rsidRPr="00B53F89" w:rsidRDefault="00B977A2" w:rsidP="00B977A2">
      <w:pPr>
        <w:rPr>
          <w:rFonts w:ascii="Calibri" w:hAnsi="Calibri"/>
        </w:rPr>
      </w:pPr>
      <w:r w:rsidRPr="00B53F89">
        <w:t xml:space="preserve">The 1900–1920 MHz band is allocated in the ARSP to </w:t>
      </w:r>
      <w:r w:rsidR="00A25629">
        <w:t>f</w:t>
      </w:r>
      <w:r w:rsidRPr="00B53F89">
        <w:t xml:space="preserve">ixed and </w:t>
      </w:r>
      <w:r w:rsidR="00A25629">
        <w:t>m</w:t>
      </w:r>
      <w:r w:rsidRPr="00B53F89">
        <w:t xml:space="preserve">obile services on a primary basis. There are arrangements in place for point-to-point and point-to-multipoint licensing in the band in regional and remote areas. </w:t>
      </w:r>
    </w:p>
    <w:p w14:paraId="07D4AC4B" w14:textId="77777777" w:rsidR="00B977A2" w:rsidRPr="00B53F89" w:rsidRDefault="00B977A2" w:rsidP="00B977A2">
      <w:pPr>
        <w:pStyle w:val="BodySubHeader"/>
      </w:pPr>
      <w:r w:rsidRPr="00B53F89">
        <w:t>Recent developments</w:t>
      </w:r>
    </w:p>
    <w:p w14:paraId="04E27305" w14:textId="4DC663B9" w:rsidR="00B977A2" w:rsidRPr="00B53F89" w:rsidRDefault="00B977A2" w:rsidP="00B977A2">
      <w:pPr>
        <w:rPr>
          <w:lang w:eastAsia="zh-CN"/>
        </w:rPr>
      </w:pPr>
      <w:r w:rsidRPr="00B53F89">
        <w:t xml:space="preserve">Metropolitan areas of the 1900–1920 MHz band were previously subject to spectrum licensing. However, when licences expired in 2017, licensees did not seek to have them re-issued. While the band is identified internationally for IMT by the ITU, to date, </w:t>
      </w:r>
      <w:r w:rsidR="00A25629" w:rsidRPr="00B53F89">
        <w:t>domestic</w:t>
      </w:r>
      <w:r w:rsidR="00A25629">
        <w:t xml:space="preserve"> use</w:t>
      </w:r>
      <w:r w:rsidR="00A25629" w:rsidRPr="00B53F89">
        <w:t xml:space="preserve"> </w:t>
      </w:r>
      <w:r w:rsidRPr="00B53F89">
        <w:t xml:space="preserve">for wireless broadband services has been low in metropolitan, regional and remote areas. </w:t>
      </w:r>
    </w:p>
    <w:p w14:paraId="7E633C03" w14:textId="77777777" w:rsidR="00B977A2" w:rsidRPr="00B53F89" w:rsidRDefault="00B977A2" w:rsidP="00B977A2">
      <w:pPr>
        <w:pStyle w:val="BodySubHeader"/>
      </w:pPr>
      <w:r w:rsidRPr="00B53F89">
        <w:t>Next steps</w:t>
      </w:r>
    </w:p>
    <w:p w14:paraId="0AD94734" w14:textId="40023DF2" w:rsidR="00B977A2" w:rsidRDefault="00B977A2" w:rsidP="00B977A2">
      <w:r w:rsidRPr="00B53F89">
        <w:t xml:space="preserve">The ACMA will </w:t>
      </w:r>
      <w:r>
        <w:t xml:space="preserve">continue to </w:t>
      </w:r>
      <w:r w:rsidRPr="00B53F89">
        <w:t xml:space="preserve">monitor developments in </w:t>
      </w:r>
      <w:r>
        <w:t>this</w:t>
      </w:r>
      <w:r w:rsidRPr="00B53F89">
        <w:t xml:space="preserve"> band.</w:t>
      </w:r>
    </w:p>
    <w:p w14:paraId="0F0E365D" w14:textId="35CA1500" w:rsidR="00B977A2" w:rsidRDefault="00B977A2" w:rsidP="00D904DC">
      <w:pPr>
        <w:spacing w:after="0"/>
      </w:pPr>
      <w:r w:rsidRPr="006A2F04">
        <w:rPr>
          <w:noProof/>
        </w:rPr>
        <w:drawing>
          <wp:inline distT="0" distB="0" distL="0" distR="0" wp14:anchorId="1701C698" wp14:editId="3A2C7B2F">
            <wp:extent cx="342900" cy="361950"/>
            <wp:effectExtent l="0" t="0" r="0" b="0"/>
            <wp:docPr id="55" name="Picture 55" descr="Defen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fence icon"/>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2494675C" wp14:editId="6C4DFD66">
            <wp:extent cx="342900" cy="361950"/>
            <wp:effectExtent l="0" t="0" r="0" b="0"/>
            <wp:docPr id="56" name="Picture 56"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1E06DD3A" w14:textId="67E0C769" w:rsidR="00B977A2" w:rsidRDefault="00B977A2" w:rsidP="00513FDE">
      <w:pPr>
        <w:pStyle w:val="Heading3"/>
      </w:pPr>
      <w:bookmarkStart w:id="255" w:name="_Toc38987167"/>
      <w:r w:rsidRPr="00B53F89">
        <w:t>3.3 GHz (3300–3400 MHz)</w:t>
      </w:r>
      <w:bookmarkEnd w:id="255"/>
    </w:p>
    <w:p w14:paraId="7C99F937" w14:textId="77777777" w:rsidR="00B977A2" w:rsidRPr="00B53F89" w:rsidRDefault="00B977A2" w:rsidP="00B977A2">
      <w:pPr>
        <w:rPr>
          <w:rFonts w:cs="Arial"/>
        </w:rPr>
      </w:pPr>
      <w:r w:rsidRPr="00B53F89">
        <w:t xml:space="preserve">The 3.3 GHz band is currently allocated in the RRs on a primary basis to the radiolocation service worldwide. In Australia, this band is designated to be used principally for the purposes of defence and national security </w:t>
      </w:r>
      <w:r>
        <w:t>as described in</w:t>
      </w:r>
      <w:r w:rsidRPr="00B53F89">
        <w:t xml:space="preserve"> footnote AUS101A of the ARSP. The Department of Defence is normally consulted in considering non-defence use of this service. At WRC-15, the 3.3 GHz band was identified for IMT by several countries</w:t>
      </w:r>
      <w:r>
        <w:t xml:space="preserve"> and is the subject of a WRC-23 agenda item pertaining to Region 1 and 2 use of this band</w:t>
      </w:r>
      <w:r w:rsidRPr="00B53F89">
        <w:rPr>
          <w:rFonts w:cs="Arial"/>
        </w:rPr>
        <w:t xml:space="preserve">. </w:t>
      </w:r>
    </w:p>
    <w:p w14:paraId="39FAA579" w14:textId="77777777" w:rsidR="00B977A2" w:rsidRPr="00B53F89" w:rsidRDefault="00B977A2" w:rsidP="00B977A2">
      <w:pPr>
        <w:pStyle w:val="BodySubHeader"/>
      </w:pPr>
      <w:r w:rsidRPr="00B53F89">
        <w:t>Recent developments</w:t>
      </w:r>
    </w:p>
    <w:p w14:paraId="5FAADB69" w14:textId="5C5A44EA" w:rsidR="00B977A2" w:rsidRPr="00B53F89" w:rsidRDefault="00B977A2" w:rsidP="00B977A2">
      <w:r w:rsidRPr="00B53F89">
        <w:rPr>
          <w:rFonts w:eastAsia="SimSun"/>
          <w:lang w:eastAsia="zh-CN"/>
        </w:rPr>
        <w:t>Recommendation ITU-</w:t>
      </w:r>
      <w:r w:rsidRPr="00B53F89">
        <w:t xml:space="preserve">R M.1036 </w:t>
      </w:r>
      <w:r>
        <w:t xml:space="preserve">was recently amended to include </w:t>
      </w:r>
      <w:r w:rsidRPr="00B53F89">
        <w:t xml:space="preserve">frequency arrangements for </w:t>
      </w:r>
      <w:r>
        <w:t xml:space="preserve">the </w:t>
      </w:r>
      <w:r w:rsidRPr="00B53F89">
        <w:t xml:space="preserve">implementation of the terrestrial component of IMT in the </w:t>
      </w:r>
      <w:r>
        <w:t>3.</w:t>
      </w:r>
      <w:r w:rsidR="00AE2594">
        <w:t>3 </w:t>
      </w:r>
      <w:r>
        <w:t xml:space="preserve">GHz </w:t>
      </w:r>
      <w:r w:rsidRPr="00B53F89">
        <w:t>band</w:t>
      </w:r>
      <w:r>
        <w:t>.</w:t>
      </w:r>
      <w:r w:rsidRPr="00B53F89" w:rsidDel="00482FDF">
        <w:t xml:space="preserve"> </w:t>
      </w:r>
      <w:r w:rsidRPr="00B53F89">
        <w:t xml:space="preserve">Working Party 5D has also completed studies with incumbent radiolocation services in the 3100–3400 MHz band as called for in Resolution </w:t>
      </w:r>
      <w:r w:rsidRPr="00B53F89">
        <w:rPr>
          <w:b/>
        </w:rPr>
        <w:t>223 (Rev. WRC-15).</w:t>
      </w:r>
      <w:r w:rsidRPr="00B53F89">
        <w:t xml:space="preserve"> These are contained in new </w:t>
      </w:r>
      <w:hyperlink r:id="rId64" w:history="1">
        <w:r w:rsidRPr="00B93233">
          <w:rPr>
            <w:rStyle w:val="Hyperlink"/>
          </w:rPr>
          <w:t>Report ITU-R M.2481</w:t>
        </w:r>
      </w:hyperlink>
      <w:r>
        <w:t xml:space="preserve"> </w:t>
      </w:r>
      <w:r w:rsidRPr="00B90398">
        <w:rPr>
          <w:rFonts w:cs="Segoe UI"/>
          <w:i/>
          <w:iCs/>
          <w:color w:val="000000"/>
        </w:rPr>
        <w:t>In-band and adjacent band coexistence and compatibility studies between IMT systems in 3 300-3 400 MHz and radiolocation systems in 3 100-3 400 MHz</w:t>
      </w:r>
      <w:r w:rsidRPr="00B53F89">
        <w:t>.</w:t>
      </w:r>
      <w:r w:rsidRPr="00B53F89" w:rsidDel="00482FDF">
        <w:rPr>
          <w:rFonts w:eastAsia="SimSun"/>
        </w:rPr>
        <w:t xml:space="preserve"> </w:t>
      </w:r>
      <w:r w:rsidRPr="00B53F89">
        <w:t xml:space="preserve">Technology standardisation </w:t>
      </w:r>
      <w:r w:rsidRPr="00B53F89">
        <w:lastRenderedPageBreak/>
        <w:t xml:space="preserve">within the 3GPP is also developing, with two bands defined by the 3GPP in July 2017—the first band being 3.3–3.8 GHz and the second 3.3–4.2 GHz. </w:t>
      </w:r>
    </w:p>
    <w:p w14:paraId="18DC81A0" w14:textId="2F9DF5CA" w:rsidR="00B977A2" w:rsidRPr="00B53F89" w:rsidRDefault="00B977A2" w:rsidP="00B977A2">
      <w:pPr>
        <w:rPr>
          <w:rFonts w:eastAsia="SimSun"/>
          <w:lang w:eastAsia="zh-CN"/>
        </w:rPr>
      </w:pPr>
      <w:r w:rsidRPr="00B53F89">
        <w:rPr>
          <w:rFonts w:eastAsiaTheme="majorEastAsia"/>
        </w:rPr>
        <w:t>WISPs and other FWA operators have also expressed interest in accessing the band.</w:t>
      </w:r>
      <w:r>
        <w:rPr>
          <w:rFonts w:eastAsiaTheme="majorEastAsia"/>
        </w:rPr>
        <w:t xml:space="preserve"> This is due to the availability of equipment internationally allowing them to tap into economies of scale.</w:t>
      </w:r>
    </w:p>
    <w:p w14:paraId="5E658EDF" w14:textId="77777777" w:rsidR="00B977A2" w:rsidRPr="00B53F89" w:rsidRDefault="00B977A2" w:rsidP="00B977A2">
      <w:pPr>
        <w:pStyle w:val="BodySubHeader"/>
      </w:pPr>
      <w:r w:rsidRPr="00B53F89">
        <w:t>Next steps</w:t>
      </w:r>
    </w:p>
    <w:p w14:paraId="36427C4C" w14:textId="7926E03E" w:rsidR="00B977A2" w:rsidRPr="00B977A2" w:rsidRDefault="00B977A2" w:rsidP="00B977A2">
      <w:r w:rsidRPr="00B53F89">
        <w:t>The ACMA will continue to monitor developments in this band.</w:t>
      </w:r>
    </w:p>
    <w:p w14:paraId="34E97953" w14:textId="238ACDCB" w:rsidR="00B977A2" w:rsidRPr="00B977A2" w:rsidRDefault="00B977A2" w:rsidP="00D904DC">
      <w:pPr>
        <w:spacing w:after="0"/>
      </w:pPr>
      <w:r w:rsidRPr="006A2F04">
        <w:rPr>
          <w:noProof/>
        </w:rPr>
        <w:drawing>
          <wp:inline distT="0" distB="0" distL="0" distR="0" wp14:anchorId="7516FFA6" wp14:editId="0E5A7A25">
            <wp:extent cx="342900" cy="361950"/>
            <wp:effectExtent l="0" t="0" r="0" b="0"/>
            <wp:docPr id="57" name="Picture 57" descr="Defen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fence icon"/>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1A4ED6B6" wp14:editId="5D8FC24E">
            <wp:extent cx="342900" cy="361950"/>
            <wp:effectExtent l="0" t="0" r="0" b="0"/>
            <wp:docPr id="58" name="Picture 58"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1F05B4EC" wp14:editId="38FA82D9">
            <wp:extent cx="342900" cy="361950"/>
            <wp:effectExtent l="0" t="0" r="0" b="0"/>
            <wp:docPr id="59" name="Picture 59" descr="Avi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viation icon"/>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38BCF3DC" w14:textId="7FF24B0F" w:rsidR="00B977A2" w:rsidRPr="00B977A2" w:rsidRDefault="00B977A2" w:rsidP="00513FDE">
      <w:pPr>
        <w:pStyle w:val="Heading3"/>
      </w:pPr>
      <w:bookmarkStart w:id="256" w:name="_Toc38987168"/>
      <w:r w:rsidRPr="00B977A2">
        <w:t>4.5 GHz (4400–4500 MHz)</w:t>
      </w:r>
      <w:bookmarkEnd w:id="256"/>
    </w:p>
    <w:p w14:paraId="4DB7E99D" w14:textId="77777777" w:rsidR="00B977A2" w:rsidRPr="00B53F89" w:rsidRDefault="00B977A2" w:rsidP="00B977A2">
      <w:pPr>
        <w:rPr>
          <w:rFonts w:cs="Arial"/>
        </w:rPr>
      </w:pPr>
      <w:r w:rsidRPr="00B53F89">
        <w:t xml:space="preserve">The 4.5 GHz band is currently allocated in the RRs on a co-primary basis to fixed and mobile service worldwide. In Australia, the band is designated to be used principally for the purposes of defence and national security </w:t>
      </w:r>
      <w:r>
        <w:t>as described in</w:t>
      </w:r>
      <w:r w:rsidRPr="00B53F89">
        <w:t xml:space="preserve"> </w:t>
      </w:r>
      <w:r w:rsidRPr="00513FDE">
        <w:t>footnote</w:t>
      </w:r>
      <w:r w:rsidRPr="00B53F89">
        <w:t xml:space="preserve"> AUS101 of the ARSP. The Department of Defence is normally consulted in considering non-defence use of this service. Typical use is</w:t>
      </w:r>
      <w:r w:rsidRPr="00B53F89" w:rsidDel="005601C6">
        <w:t xml:space="preserve"> for </w:t>
      </w:r>
      <w:r w:rsidRPr="00B53F89">
        <w:t>aeronautical mobile telemetry for flight testing by aircraft stations.</w:t>
      </w:r>
    </w:p>
    <w:p w14:paraId="2389FC5C" w14:textId="45A606CB" w:rsidR="00B977A2" w:rsidRPr="00B53F89" w:rsidRDefault="00B977A2" w:rsidP="00B977A2">
      <w:r>
        <w:rPr>
          <w:rFonts w:cs="Arial"/>
        </w:rPr>
        <w:t>Over the past few years</w:t>
      </w:r>
      <w:r w:rsidRPr="00B53F89">
        <w:rPr>
          <w:rFonts w:cs="Arial"/>
        </w:rPr>
        <w:t xml:space="preserve"> there has been increasing interest in this band. Japan </w:t>
      </w:r>
      <w:r>
        <w:rPr>
          <w:rFonts w:cs="Arial"/>
        </w:rPr>
        <w:t>has made the 4400</w:t>
      </w:r>
      <w:r w:rsidR="00EC13FB">
        <w:rPr>
          <w:rFonts w:cs="Arial"/>
        </w:rPr>
        <w:t>–</w:t>
      </w:r>
      <w:r>
        <w:rPr>
          <w:rFonts w:cs="Arial"/>
        </w:rPr>
        <w:t>4900 MHz band available for 5G.</w:t>
      </w:r>
      <w:r>
        <w:rPr>
          <w:rStyle w:val="FootnoteReference"/>
          <w:rFonts w:cs="Arial"/>
        </w:rPr>
        <w:footnoteReference w:id="44"/>
      </w:r>
      <w:r>
        <w:rPr>
          <w:rFonts w:cs="Arial"/>
        </w:rPr>
        <w:t xml:space="preserve"> China is also considering use of the band</w:t>
      </w:r>
      <w:r w:rsidR="00EC13FB">
        <w:rPr>
          <w:rFonts w:cs="Arial"/>
        </w:rPr>
        <w:t>.</w:t>
      </w:r>
      <w:r>
        <w:rPr>
          <w:rStyle w:val="FootnoteReference"/>
          <w:rFonts w:cs="Arial"/>
        </w:rPr>
        <w:footnoteReference w:id="45"/>
      </w:r>
      <w:r>
        <w:rPr>
          <w:rFonts w:cs="Arial"/>
        </w:rPr>
        <w:t xml:space="preserve"> </w:t>
      </w:r>
      <w:r w:rsidRPr="00B53F89">
        <w:t xml:space="preserve">There is some interest from domestic fixed and mobile wireless broadband interests in pursuing this band for mobile broadband in Australia. </w:t>
      </w:r>
    </w:p>
    <w:p w14:paraId="7FA32478" w14:textId="77777777" w:rsidR="00B977A2" w:rsidRPr="00B53F89" w:rsidRDefault="00B977A2" w:rsidP="00B977A2">
      <w:pPr>
        <w:pStyle w:val="BodySubHeader"/>
        <w:keepNext/>
        <w:keepLines/>
      </w:pPr>
      <w:r w:rsidRPr="00B53F89">
        <w:t>Next steps</w:t>
      </w:r>
    </w:p>
    <w:p w14:paraId="0D367284" w14:textId="30BB01A3" w:rsidR="00B977A2" w:rsidRDefault="00B977A2" w:rsidP="00B977A2">
      <w:r w:rsidRPr="00B53F89">
        <w:t>The ACMA will continue to monitor developments in this band.</w:t>
      </w:r>
    </w:p>
    <w:p w14:paraId="0619E6E3" w14:textId="167BF551" w:rsidR="00B977A2" w:rsidRDefault="00B977A2" w:rsidP="00513FDE">
      <w:pPr>
        <w:spacing w:after="0"/>
      </w:pPr>
      <w:r w:rsidRPr="006A2F04">
        <w:rPr>
          <w:noProof/>
        </w:rPr>
        <w:drawing>
          <wp:inline distT="0" distB="0" distL="0" distR="0" wp14:anchorId="71D14291" wp14:editId="03F3B422">
            <wp:extent cx="342900" cy="361950"/>
            <wp:effectExtent l="0" t="0" r="0" b="0"/>
            <wp:docPr id="60" name="Picture 60" descr="Defen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fence icon"/>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405E581B" wp14:editId="7E66CFC8">
            <wp:extent cx="342900" cy="361950"/>
            <wp:effectExtent l="0" t="0" r="0" b="0"/>
            <wp:docPr id="62" name="Picture 62"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2C7ED4FB" wp14:editId="18BD6FA3">
            <wp:extent cx="342900" cy="361950"/>
            <wp:effectExtent l="0" t="0" r="0" b="0"/>
            <wp:docPr id="66" name="Picture 66" descr="Class licens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ass licensing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49CF70B2" w14:textId="42317FC3" w:rsidR="00B977A2" w:rsidRPr="00B977A2" w:rsidRDefault="00B977A2" w:rsidP="00513FDE">
      <w:pPr>
        <w:pStyle w:val="Heading3"/>
      </w:pPr>
      <w:bookmarkStart w:id="257" w:name="_Toc38987169"/>
      <w:r w:rsidRPr="00B977A2">
        <w:t>4.8 GHz (4800–4990 MHz)</w:t>
      </w:r>
      <w:bookmarkEnd w:id="257"/>
    </w:p>
    <w:p w14:paraId="03E285A9" w14:textId="0D5F8259" w:rsidR="00B977A2" w:rsidRDefault="00B977A2" w:rsidP="00B977A2">
      <w:r>
        <w:t>T</w:t>
      </w:r>
      <w:r w:rsidRPr="00B53F89">
        <w:t xml:space="preserve">he 4.8 GHz band </w:t>
      </w:r>
      <w:r>
        <w:t>i</w:t>
      </w:r>
      <w:r w:rsidRPr="00B53F89">
        <w:t>s identified for IMT by several countries, including Uruguay, Cambodia, Laos and Vietnam.</w:t>
      </w:r>
      <w:r>
        <w:t xml:space="preserve"> </w:t>
      </w:r>
      <w:r w:rsidRPr="00B53F89">
        <w:rPr>
          <w:rFonts w:cs="Arial"/>
        </w:rPr>
        <w:t xml:space="preserve">Japan </w:t>
      </w:r>
      <w:r>
        <w:rPr>
          <w:rFonts w:cs="Arial"/>
        </w:rPr>
        <w:t>has made the 4400</w:t>
      </w:r>
      <w:r w:rsidR="00EC13FB">
        <w:rPr>
          <w:rFonts w:cs="Arial"/>
        </w:rPr>
        <w:t>–</w:t>
      </w:r>
      <w:r>
        <w:rPr>
          <w:rFonts w:cs="Arial"/>
        </w:rPr>
        <w:t>4900 MHz band available for 5G.</w:t>
      </w:r>
      <w:r>
        <w:rPr>
          <w:rStyle w:val="FootnoteReference"/>
          <w:rFonts w:cs="Arial"/>
        </w:rPr>
        <w:footnoteReference w:id="46"/>
      </w:r>
      <w:r>
        <w:rPr>
          <w:rFonts w:cs="Arial"/>
        </w:rPr>
        <w:t xml:space="preserve"> China has also made the 4.8 GHz band available for 5G.</w:t>
      </w:r>
      <w:r>
        <w:rPr>
          <w:rStyle w:val="FootnoteReference"/>
          <w:rFonts w:cs="Arial"/>
        </w:rPr>
        <w:footnoteReference w:id="47"/>
      </w:r>
      <w:r>
        <w:rPr>
          <w:rFonts w:cs="Arial"/>
        </w:rPr>
        <w:t xml:space="preserve"> </w:t>
      </w:r>
    </w:p>
    <w:p w14:paraId="242E58C5" w14:textId="241859B0" w:rsidR="00B977A2" w:rsidRPr="00B53F89" w:rsidRDefault="00B977A2" w:rsidP="00B977A2">
      <w:r w:rsidRPr="00B53F89">
        <w:t xml:space="preserve">This suggests that a viable ecosystem could develop for mobile broadband systems in this band. The 4.8 GHz band is currently allocated in the RRs on a primary basis for fixed and mobile services in Australia. </w:t>
      </w:r>
    </w:p>
    <w:p w14:paraId="21105622" w14:textId="77777777" w:rsidR="00B977A2" w:rsidRPr="00B53F89" w:rsidRDefault="00B977A2" w:rsidP="00B977A2">
      <w:pPr>
        <w:rPr>
          <w:szCs w:val="20"/>
        </w:rPr>
      </w:pPr>
      <w:r w:rsidRPr="00B53F89">
        <w:rPr>
          <w:szCs w:val="20"/>
        </w:rPr>
        <w:t>In Australia, the fixed and mobile services in this band are designated to be used principally for defence and national security purposes, as defined in footnote AUS101A of the ARSP. The Department of Defence is normally consulted in considering non-defence use of these services. The 4950–4990 MHz part of the band is also allocated to the radio astronomy service on a primary basis under footnote 443 of the ARSP.</w:t>
      </w:r>
    </w:p>
    <w:p w14:paraId="0AC524A8" w14:textId="77777777" w:rsidR="00B977A2" w:rsidRPr="00B53F89" w:rsidRDefault="00B977A2" w:rsidP="00B977A2">
      <w:r w:rsidRPr="00B53F89">
        <w:lastRenderedPageBreak/>
        <w:t xml:space="preserve">At WRC-03, the </w:t>
      </w:r>
      <w:r w:rsidRPr="00B53F89">
        <w:rPr>
          <w:szCs w:val="20"/>
        </w:rPr>
        <w:t>4940–4990 MHz</w:t>
      </w:r>
      <w:r w:rsidRPr="00B53F89">
        <w:t xml:space="preserve"> band was identified to support public safety services in ITU Regions 2 and 3 for use by government agencies responsible for the provision of defence, national security, law enforcement and emergency services.</w:t>
      </w:r>
      <w:r w:rsidRPr="00B53F89">
        <w:rPr>
          <w:rStyle w:val="FootnoteReference"/>
        </w:rPr>
        <w:footnoteReference w:id="48"/>
      </w:r>
      <w:r w:rsidRPr="00B53F89">
        <w:rPr>
          <w:rStyle w:val="FootnoteReference"/>
        </w:rPr>
        <w:t xml:space="preserve"> </w:t>
      </w:r>
    </w:p>
    <w:p w14:paraId="481BED63" w14:textId="77777777" w:rsidR="00B977A2" w:rsidRPr="00B53F89" w:rsidRDefault="00B977A2" w:rsidP="00B977A2">
      <w:pPr>
        <w:rPr>
          <w:szCs w:val="20"/>
        </w:rPr>
      </w:pPr>
      <w:r w:rsidRPr="00B53F89">
        <w:t>There is some interest domestically from large MNOs as well as WISPs and other FWA operators in pursuing this band for wireless broadband in Australia.</w:t>
      </w:r>
      <w:r w:rsidRPr="00B53F89">
        <w:rPr>
          <w:szCs w:val="20"/>
        </w:rPr>
        <w:t xml:space="preserve"> However, the ACMA is not aware of any significant interest in this band by regional bodies, such as the European Conference of Postal and Telecommunications Administrations (CEPT), Inter-American Telecommunication Commission or APT. </w:t>
      </w:r>
    </w:p>
    <w:p w14:paraId="726EDD2E" w14:textId="77777777" w:rsidR="00B977A2" w:rsidRPr="00B53F89" w:rsidRDefault="00B977A2" w:rsidP="00B977A2">
      <w:r w:rsidRPr="00B53F89">
        <w:t xml:space="preserve">Several countries, including Australia, have implemented arrangements in the </w:t>
      </w:r>
      <w:r w:rsidRPr="00B53F89">
        <w:rPr>
          <w:szCs w:val="20"/>
        </w:rPr>
        <w:t>4940–4990 MHz</w:t>
      </w:r>
      <w:r w:rsidRPr="00B53F89">
        <w:t xml:space="preserve"> band for defence and national security purposes. This is principally to support high-speed localised coverage around an incident or event. The </w:t>
      </w:r>
      <w:hyperlink r:id="rId65" w:history="1">
        <w:r w:rsidRPr="006A2F04">
          <w:rPr>
            <w:rStyle w:val="Hyperlink"/>
            <w:rFonts w:eastAsiaTheme="majorEastAsia" w:cs="Arial"/>
          </w:rPr>
          <w:t>Radiocommunications (Public Safety and Emergency Response) Class Licence 2013</w:t>
        </w:r>
      </w:hyperlink>
      <w:r w:rsidRPr="00B53F89">
        <w:t xml:space="preserve"> (the PSER class licence) outlines arrangements for the use of this band, which allows public safety agencies to enhance their ability to perform public safety activities and provide significant flexibility in deployment during emergency response and disaster recovery activities. </w:t>
      </w:r>
    </w:p>
    <w:p w14:paraId="1BFA3965" w14:textId="77777777" w:rsidR="00B977A2" w:rsidRPr="00B53F89" w:rsidRDefault="00B977A2" w:rsidP="00B977A2">
      <w:pPr>
        <w:pStyle w:val="BodySubHeader"/>
        <w:keepNext/>
        <w:keepLines/>
      </w:pPr>
      <w:bookmarkStart w:id="258" w:name="_Hlk2163734"/>
      <w:r w:rsidRPr="00B53F89">
        <w:t>Recent developments</w:t>
      </w:r>
    </w:p>
    <w:p w14:paraId="6978ABC2" w14:textId="77777777" w:rsidR="00B977A2" w:rsidRPr="00B53F89" w:rsidRDefault="00B977A2" w:rsidP="00B977A2">
      <w:pPr>
        <w:keepNext/>
        <w:keepLines/>
        <w:rPr>
          <w:rFonts w:eastAsia="SimSun"/>
        </w:rPr>
      </w:pPr>
      <w:r w:rsidRPr="00B53F89">
        <w:rPr>
          <w:rFonts w:eastAsia="SimSun"/>
          <w:lang w:eastAsia="zh-CN"/>
        </w:rPr>
        <w:t>Recommendation ITU-</w:t>
      </w:r>
      <w:r w:rsidRPr="00B53F89">
        <w:t>R M.1036 on frequency arrangements for implementation of the terrestrial component of IMT in the bands identified for IMT in the RRs</w:t>
      </w:r>
      <w:r>
        <w:t xml:space="preserve"> was recently updated</w:t>
      </w:r>
      <w:r w:rsidRPr="00B53F89">
        <w:t xml:space="preserve">. </w:t>
      </w:r>
      <w:r>
        <w:t xml:space="preserve">It now includes </w:t>
      </w:r>
      <w:r w:rsidRPr="00B53F89">
        <w:t xml:space="preserve">arrangements for </w:t>
      </w:r>
      <w:r>
        <w:t xml:space="preserve">the </w:t>
      </w:r>
      <w:r w:rsidRPr="00B53F89">
        <w:t>4.</w:t>
      </w:r>
      <w:r>
        <w:t>8</w:t>
      </w:r>
      <w:r w:rsidRPr="00B53F89">
        <w:t xml:space="preserve"> GHz band. </w:t>
      </w:r>
    </w:p>
    <w:p w14:paraId="55622A09" w14:textId="03D8405A" w:rsidR="00B977A2" w:rsidRPr="00B53F89" w:rsidRDefault="00B977A2" w:rsidP="00B977A2">
      <w:r w:rsidRPr="00B53F89">
        <w:t>Separately, the 4940–4990 MHz band is included in IEEE standard 802.11y Public Safety Wireless Local Area Network (WLAN) but has also been included in 5G standards (3GPP band n79)</w:t>
      </w:r>
      <w:r w:rsidR="00EC13FB">
        <w:t>,</w:t>
      </w:r>
      <w:r w:rsidRPr="00B53F89">
        <w:t xml:space="preserve"> which may enable public safety agencies in Australia to deploy their own 5G capabilities under the PSER class licence. </w:t>
      </w:r>
    </w:p>
    <w:p w14:paraId="31F37F13" w14:textId="77777777" w:rsidR="00B977A2" w:rsidRPr="00B53F89" w:rsidRDefault="00B977A2" w:rsidP="00B977A2">
      <w:r>
        <w:t>Conditions for access to the band will be studied as part of WRC-23 agenda item 1.1.</w:t>
      </w:r>
    </w:p>
    <w:p w14:paraId="655ED3A4" w14:textId="77777777" w:rsidR="00B977A2" w:rsidRPr="00B53F89" w:rsidRDefault="00B977A2" w:rsidP="00B977A2">
      <w:pPr>
        <w:pStyle w:val="BodySubHeader"/>
      </w:pPr>
      <w:r w:rsidRPr="00B53F89">
        <w:t>Next steps</w:t>
      </w:r>
    </w:p>
    <w:p w14:paraId="01EA2F52" w14:textId="77777777" w:rsidR="00B977A2" w:rsidRDefault="00B977A2" w:rsidP="00B977A2">
      <w:r w:rsidRPr="00B53F89">
        <w:t xml:space="preserve">The ACMA will continue to monitor developments in this band. </w:t>
      </w:r>
      <w:bookmarkEnd w:id="258"/>
    </w:p>
    <w:p w14:paraId="7FFF3407" w14:textId="5C9003EB" w:rsidR="00B977A2" w:rsidRDefault="00B977A2" w:rsidP="00513FDE">
      <w:pPr>
        <w:spacing w:after="0"/>
      </w:pPr>
      <w:r w:rsidRPr="006A2F04">
        <w:rPr>
          <w:noProof/>
        </w:rPr>
        <w:drawing>
          <wp:inline distT="0" distB="0" distL="0" distR="0" wp14:anchorId="760BBFA2" wp14:editId="3BC3B37F">
            <wp:extent cx="342900" cy="361950"/>
            <wp:effectExtent l="0" t="0" r="0" b="0"/>
            <wp:docPr id="67" name="Picture 67"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6510EC1F" wp14:editId="553F5E2B">
            <wp:extent cx="342900" cy="361950"/>
            <wp:effectExtent l="0" t="0" r="0" b="0"/>
            <wp:docPr id="68" name="Picture 68" descr="Radio/TV broadcas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adio/TV broadcasting ic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1BF32810" wp14:editId="5A54B18C">
            <wp:extent cx="341630" cy="359410"/>
            <wp:effectExtent l="0" t="0" r="1270" b="2540"/>
            <wp:docPr id="71" name="Picture 7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p>
    <w:p w14:paraId="63ECC5C9" w14:textId="1F38304B" w:rsidR="00B977A2" w:rsidRDefault="00B977A2" w:rsidP="00B977A2">
      <w:pPr>
        <w:pStyle w:val="Heading3"/>
        <w:rPr>
          <w:b w:val="0"/>
          <w:bCs w:val="0"/>
        </w:rPr>
      </w:pPr>
      <w:bookmarkStart w:id="259" w:name="_Toc38987170"/>
      <w:r>
        <w:t>13 GHz (12.75</w:t>
      </w:r>
      <w:r w:rsidR="00EC13FB" w:rsidRPr="00B977A2">
        <w:t>–</w:t>
      </w:r>
      <w:r>
        <w:t>13.25 GHz)</w:t>
      </w:r>
      <w:bookmarkEnd w:id="259"/>
    </w:p>
    <w:p w14:paraId="0D6C97A6" w14:textId="4F47A808" w:rsidR="00B977A2" w:rsidRDefault="00B977A2" w:rsidP="00B977A2">
      <w:r w:rsidRPr="00B53F89">
        <w:t xml:space="preserve">The </w:t>
      </w:r>
      <w:r>
        <w:t>13</w:t>
      </w:r>
      <w:r w:rsidRPr="00B53F89">
        <w:t xml:space="preserve"> GHz band </w:t>
      </w:r>
      <w:r>
        <w:t xml:space="preserve">has primary </w:t>
      </w:r>
      <w:r w:rsidRPr="00B53F89">
        <w:t>allocat</w:t>
      </w:r>
      <w:r>
        <w:t>ions</w:t>
      </w:r>
      <w:r w:rsidRPr="00B53F89">
        <w:t xml:space="preserve"> in the RRs </w:t>
      </w:r>
      <w:r>
        <w:t>for fixed, fixed-satellite (</w:t>
      </w:r>
      <w:r w:rsidR="00EC13FB">
        <w:t>e</w:t>
      </w:r>
      <w:r>
        <w:t xml:space="preserve">arth-to-space) and mobile </w:t>
      </w:r>
      <w:r w:rsidRPr="00B53F89">
        <w:t>services in Australia.</w:t>
      </w:r>
      <w:r>
        <w:t xml:space="preserve"> In accordance with footnote 441, the use of this band by </w:t>
      </w:r>
      <w:r w:rsidRPr="00F54C2A">
        <w:t>geostationary-satellite systems in the fixed</w:t>
      </w:r>
      <w:r w:rsidR="00EC13FB">
        <w:t xml:space="preserve"> </w:t>
      </w:r>
      <w:r w:rsidRPr="00F54C2A">
        <w:t>satellite service shall be in accordance with the provisions of Appendix 30B.</w:t>
      </w:r>
      <w:r>
        <w:t xml:space="preserve"> </w:t>
      </w:r>
    </w:p>
    <w:p w14:paraId="1A0276CD" w14:textId="77777777" w:rsidR="00B977A2" w:rsidRPr="00675DBE" w:rsidRDefault="00B977A2" w:rsidP="00B977A2">
      <w:r>
        <w:t xml:space="preserve">In Australia, there are currently arrangements in place to support fixed point-to-point services and television outside broadcast (TOB) services in this band. There are over 2200 point-to-point links licensed in the band and four Australia-wide licences for TOB, as well as a single licence covering Western Australia. </w:t>
      </w:r>
    </w:p>
    <w:p w14:paraId="6B94527D" w14:textId="77777777" w:rsidR="00B977A2" w:rsidRPr="00B53F89" w:rsidRDefault="00B977A2" w:rsidP="00B977A2">
      <w:pPr>
        <w:pStyle w:val="BodySubHeader"/>
      </w:pPr>
      <w:r w:rsidRPr="00B53F89">
        <w:t>Recent developments</w:t>
      </w:r>
    </w:p>
    <w:p w14:paraId="342D7235" w14:textId="05745033" w:rsidR="00B977A2" w:rsidRDefault="00B977A2" w:rsidP="00B977A2">
      <w:r>
        <w:t>The Electronic Communications Committee (ECC) is currently investigating t</w:t>
      </w:r>
      <w:r w:rsidRPr="00CF53EA">
        <w:t xml:space="preserve">he </w:t>
      </w:r>
      <w:r>
        <w:t xml:space="preserve">use of </w:t>
      </w:r>
      <w:r w:rsidRPr="00CF53EA">
        <w:t xml:space="preserve">earth stations in-motion </w:t>
      </w:r>
      <w:r>
        <w:t xml:space="preserve">(ESIM) </w:t>
      </w:r>
      <w:r w:rsidRPr="00CF53EA">
        <w:t>installed on aircraft operating with GSO and NGSO FSS systems in the 12.75</w:t>
      </w:r>
      <w:r w:rsidR="00EC13FB">
        <w:t>–</w:t>
      </w:r>
      <w:r>
        <w:t>1</w:t>
      </w:r>
      <w:r w:rsidRPr="00CF53EA">
        <w:t>3.25 GHz band (</w:t>
      </w:r>
      <w:r w:rsidR="00EC13FB">
        <w:t>e</w:t>
      </w:r>
      <w:r w:rsidRPr="00CF53EA">
        <w:t>arth</w:t>
      </w:r>
      <w:r>
        <w:t>-</w:t>
      </w:r>
      <w:r w:rsidRPr="00CF53EA">
        <w:t>to</w:t>
      </w:r>
      <w:r>
        <w:t>-</w:t>
      </w:r>
      <w:r w:rsidRPr="00CF53EA">
        <w:t>space)</w:t>
      </w:r>
      <w:r w:rsidR="00EC13FB">
        <w:t>.</w:t>
      </w:r>
      <w:r>
        <w:rPr>
          <w:rStyle w:val="FootnoteReference"/>
        </w:rPr>
        <w:footnoteReference w:id="49"/>
      </w:r>
      <w:r>
        <w:t xml:space="preserve"> In submissions to </w:t>
      </w:r>
      <w:r>
        <w:lastRenderedPageBreak/>
        <w:t>consultations throughout 2019</w:t>
      </w:r>
      <w:r w:rsidR="00EC13FB">
        <w:t>–</w:t>
      </w:r>
      <w:r>
        <w:t xml:space="preserve">20, Intelsat expressed an interest in exploring potential arrangements for aeronautical ESIM in the 13 GHz band. </w:t>
      </w:r>
    </w:p>
    <w:p w14:paraId="4E832B34" w14:textId="77777777" w:rsidR="00B977A2" w:rsidRPr="00B53F89" w:rsidRDefault="00B977A2" w:rsidP="00B977A2">
      <w:pPr>
        <w:pStyle w:val="BodySubHeader"/>
      </w:pPr>
      <w:r w:rsidRPr="00B53F89">
        <w:t>Next steps</w:t>
      </w:r>
    </w:p>
    <w:p w14:paraId="191D3C77" w14:textId="77777777" w:rsidR="00B977A2" w:rsidRDefault="00B977A2" w:rsidP="00B977A2">
      <w:r w:rsidRPr="00B53F89">
        <w:t>The ACMA will continue to monitor developments in this band.</w:t>
      </w:r>
    </w:p>
    <w:p w14:paraId="71CBE5F9" w14:textId="3976249C" w:rsidR="00B977A2" w:rsidRDefault="00B977A2" w:rsidP="00513FDE">
      <w:pPr>
        <w:spacing w:after="0"/>
      </w:pPr>
      <w:r w:rsidRPr="006A2F04">
        <w:rPr>
          <w:noProof/>
        </w:rPr>
        <w:drawing>
          <wp:inline distT="0" distB="0" distL="0" distR="0" wp14:anchorId="35317A68" wp14:editId="4631B2A2">
            <wp:extent cx="342900" cy="361950"/>
            <wp:effectExtent l="0" t="0" r="0" b="0"/>
            <wp:docPr id="73" name="Picture 73"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4D902BBC" wp14:editId="2EEAA4B0">
            <wp:extent cx="341630" cy="359410"/>
            <wp:effectExtent l="0" t="0" r="1270" b="2540"/>
            <wp:docPr id="74" name="Picture 74"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Pr="006A2F04">
        <w:rPr>
          <w:noProof/>
        </w:rPr>
        <w:drawing>
          <wp:inline distT="0" distB="0" distL="0" distR="0" wp14:anchorId="5FF72569" wp14:editId="27630988">
            <wp:extent cx="342900" cy="361950"/>
            <wp:effectExtent l="0" t="0" r="0" b="0"/>
            <wp:docPr id="97" name="Picture 97"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046737A9" wp14:editId="06CF10B6">
            <wp:extent cx="342900" cy="361950"/>
            <wp:effectExtent l="0" t="0" r="0" b="0"/>
            <wp:docPr id="114" name="Picture 114" descr="Defen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fence icon"/>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0F7106F6" w14:textId="5A35635B" w:rsidR="00B977A2" w:rsidRDefault="00B977A2" w:rsidP="00B977A2">
      <w:pPr>
        <w:pStyle w:val="Heading3"/>
        <w:rPr>
          <w:b w:val="0"/>
          <w:bCs w:val="0"/>
        </w:rPr>
      </w:pPr>
      <w:bookmarkStart w:id="260" w:name="_Toc38987171"/>
      <w:r>
        <w:t xml:space="preserve">40 </w:t>
      </w:r>
      <w:r w:rsidRPr="00B977A2">
        <w:t>GHz (37</w:t>
      </w:r>
      <w:r w:rsidR="00EC13FB">
        <w:t>–</w:t>
      </w:r>
      <w:r w:rsidRPr="00B977A2">
        <w:t>43.5 GHz)</w:t>
      </w:r>
      <w:bookmarkEnd w:id="260"/>
    </w:p>
    <w:p w14:paraId="7E24CFD9" w14:textId="77777777" w:rsidR="00B977A2" w:rsidRDefault="00B977A2" w:rsidP="00513FDE">
      <w:pPr>
        <w:pStyle w:val="Paragraphbeforelist"/>
      </w:pPr>
      <w:r w:rsidRPr="00B53F89">
        <w:t>The 4</w:t>
      </w:r>
      <w:r>
        <w:t>0</w:t>
      </w:r>
      <w:r w:rsidRPr="00B53F89">
        <w:t xml:space="preserve"> GHz band </w:t>
      </w:r>
      <w:r>
        <w:t xml:space="preserve">has primary </w:t>
      </w:r>
      <w:r w:rsidRPr="00B53F89">
        <w:t>allocat</w:t>
      </w:r>
      <w:r>
        <w:t>ions</w:t>
      </w:r>
      <w:r w:rsidRPr="00B53F89">
        <w:t xml:space="preserve"> in the RRs </w:t>
      </w:r>
      <w:r>
        <w:t xml:space="preserve">for a range of services across different portions of the band. This includes space research, </w:t>
      </w:r>
      <w:r w:rsidRPr="00B53F89">
        <w:t>fixed</w:t>
      </w:r>
      <w:r>
        <w:t>,</w:t>
      </w:r>
      <w:r w:rsidRPr="00B53F89">
        <w:t xml:space="preserve"> mobile</w:t>
      </w:r>
      <w:r>
        <w:t>, mobile satellite and fixed satellite</w:t>
      </w:r>
      <w:r w:rsidRPr="00B53F89">
        <w:t xml:space="preserve"> services in Australia.</w:t>
      </w:r>
      <w:r>
        <w:t xml:space="preserve"> Some of the footnotes in the ARSP that apply to the 40 GHz band include: </w:t>
      </w:r>
    </w:p>
    <w:p w14:paraId="6546B8C8" w14:textId="67315DEF" w:rsidR="00B977A2" w:rsidRPr="00507460" w:rsidRDefault="00FF6587" w:rsidP="00B977A2">
      <w:pPr>
        <w:pStyle w:val="ListBullet"/>
        <w:ind w:left="284" w:hanging="284"/>
      </w:pPr>
      <w:r>
        <w:t>f</w:t>
      </w:r>
      <w:r w:rsidR="00B977A2">
        <w:t xml:space="preserve">ootnote 516B identifies different portions of the band in Regions 1, 2 and 3 for use by high-density fixed satellite service applications </w:t>
      </w:r>
    </w:p>
    <w:p w14:paraId="652BC1B9" w14:textId="128F8257" w:rsidR="00B977A2" w:rsidRPr="00675DBE" w:rsidRDefault="00FF6587" w:rsidP="00B977A2">
      <w:pPr>
        <w:pStyle w:val="ListBullet"/>
        <w:ind w:left="284" w:hanging="284"/>
      </w:pPr>
      <w:r>
        <w:t>f</w:t>
      </w:r>
      <w:r w:rsidR="00B977A2">
        <w:t>ootnote 547 identifies the 37</w:t>
      </w:r>
      <w:r>
        <w:t>–</w:t>
      </w:r>
      <w:r w:rsidR="00B977A2">
        <w:t>40 GHz and 40.5</w:t>
      </w:r>
      <w:r>
        <w:t>–</w:t>
      </w:r>
      <w:r w:rsidR="00B977A2">
        <w:t xml:space="preserve">43.5 GHz bands for use by high-density applications of the fixed service </w:t>
      </w:r>
    </w:p>
    <w:p w14:paraId="5AB3B3B7" w14:textId="4963AF32" w:rsidR="00B977A2" w:rsidRPr="00507460" w:rsidRDefault="00FF6587" w:rsidP="00B977A2">
      <w:pPr>
        <w:pStyle w:val="ListBullet"/>
        <w:ind w:left="284" w:hanging="284"/>
      </w:pPr>
      <w:r>
        <w:t>f</w:t>
      </w:r>
      <w:r w:rsidR="00B977A2">
        <w:t>ootnote AUS87 identifies several radio astronomy facilities that use the 40 GHz band to conduct passive observations</w:t>
      </w:r>
    </w:p>
    <w:p w14:paraId="3B0267B2" w14:textId="4153FBE0" w:rsidR="00B977A2" w:rsidRPr="00675DBE" w:rsidRDefault="00FF6587" w:rsidP="00513FDE">
      <w:pPr>
        <w:pStyle w:val="Bulletlevel1last"/>
      </w:pPr>
      <w:r>
        <w:t>f</w:t>
      </w:r>
      <w:r w:rsidR="00B977A2">
        <w:t>ootnote AUS101 states the 37</w:t>
      </w:r>
      <w:r>
        <w:t>–</w:t>
      </w:r>
      <w:r w:rsidR="00B977A2">
        <w:t xml:space="preserve">37.5 GHz band is </w:t>
      </w:r>
      <w:r w:rsidR="00B977A2" w:rsidRPr="00B53F89">
        <w:t>designat</w:t>
      </w:r>
      <w:r w:rsidR="00B977A2">
        <w:t>ed</w:t>
      </w:r>
      <w:r w:rsidR="00B977A2" w:rsidRPr="00B53F89">
        <w:t xml:space="preserve"> to be used principally for the purposes of defence and national security. The Department of Defence is normally consulted in considering non-defence use of this service.</w:t>
      </w:r>
    </w:p>
    <w:p w14:paraId="6650E6F0" w14:textId="4DF2AAB3" w:rsidR="00B977A2" w:rsidRPr="00675DBE" w:rsidRDefault="00B977A2" w:rsidP="00B977A2">
      <w:r>
        <w:t>In Australia, there are currently arrangements in place for point-to-point use of the 37.5</w:t>
      </w:r>
      <w:r w:rsidR="00FF6587">
        <w:t>–</w:t>
      </w:r>
      <w:r>
        <w:t xml:space="preserve">39.5 GHz band. </w:t>
      </w:r>
    </w:p>
    <w:p w14:paraId="3AF34A36" w14:textId="77777777" w:rsidR="00B977A2" w:rsidRPr="00B53F89" w:rsidRDefault="00B977A2" w:rsidP="00B977A2">
      <w:pPr>
        <w:pStyle w:val="BodySubHeader"/>
      </w:pPr>
      <w:r w:rsidRPr="00B53F89">
        <w:t>Recent developments</w:t>
      </w:r>
    </w:p>
    <w:p w14:paraId="2272CA78" w14:textId="3E65C9D2" w:rsidR="00B977A2" w:rsidRDefault="00B977A2" w:rsidP="00B977A2">
      <w:r>
        <w:t>At WRC-19, t</w:t>
      </w:r>
      <w:r w:rsidRPr="00B53F89">
        <w:t xml:space="preserve">he </w:t>
      </w:r>
      <w:r>
        <w:t>40 GHz band was identified globally for IMT. In December 2019, the US commenced an auction for licences in the 37.6</w:t>
      </w:r>
      <w:r w:rsidR="00FF6587">
        <w:t>–</w:t>
      </w:r>
      <w:r>
        <w:t>38.6 GHz, 38.6</w:t>
      </w:r>
      <w:r w:rsidR="00FF6587">
        <w:t>–</w:t>
      </w:r>
      <w:r>
        <w:t>40 GHz and 47.2</w:t>
      </w:r>
      <w:r w:rsidR="00FF6587">
        <w:t>–</w:t>
      </w:r>
      <w:r>
        <w:t>48.2 GHz frequency ranges to support 5G. Brazil has announced plans for the 37.6</w:t>
      </w:r>
      <w:r w:rsidR="00FF6587">
        <w:t>–</w:t>
      </w:r>
      <w:r>
        <w:t>40 GHz band and will consider the 37</w:t>
      </w:r>
      <w:r w:rsidR="00FF6587">
        <w:t>–</w:t>
      </w:r>
      <w:r>
        <w:t>37.6 GHz frequency range later in 2020.</w:t>
      </w:r>
      <w:r>
        <w:rPr>
          <w:rStyle w:val="FootnoteReference"/>
          <w:rFonts w:cs="Arial"/>
        </w:rPr>
        <w:footnoteReference w:id="50"/>
      </w:r>
    </w:p>
    <w:p w14:paraId="28CE10B2" w14:textId="77777777" w:rsidR="00B977A2" w:rsidRDefault="00B977A2" w:rsidP="00B977A2">
      <w:r>
        <w:t xml:space="preserve">As a result of these developments, it is likely </w:t>
      </w:r>
      <w:r w:rsidRPr="00B53F89">
        <w:t xml:space="preserve">a viable ecosystem could develop for </w:t>
      </w:r>
      <w:r>
        <w:t xml:space="preserve">fixed and </w:t>
      </w:r>
      <w:r w:rsidRPr="00B53F89">
        <w:t xml:space="preserve">mobile broadband systems in this band. </w:t>
      </w:r>
    </w:p>
    <w:p w14:paraId="046351DD" w14:textId="77777777" w:rsidR="00B977A2" w:rsidRDefault="00B977A2" w:rsidP="00B977A2">
      <w:r>
        <w:t xml:space="preserve">The ACMA is also aware of interest from the satellite industry for access to this band. This includes for uncoordinated class licence and coordinated earth station use. </w:t>
      </w:r>
    </w:p>
    <w:p w14:paraId="71482C8D" w14:textId="77777777" w:rsidR="00B977A2" w:rsidRPr="00B53F89" w:rsidRDefault="00B977A2" w:rsidP="00B977A2">
      <w:pPr>
        <w:pStyle w:val="BodySubHeader"/>
      </w:pPr>
      <w:r w:rsidRPr="00B53F89">
        <w:t>Next steps</w:t>
      </w:r>
    </w:p>
    <w:p w14:paraId="4B696FBB" w14:textId="78E20FEF" w:rsidR="00B977A2" w:rsidRDefault="00B977A2" w:rsidP="00B977A2">
      <w:r w:rsidRPr="00B53F89">
        <w:t>The ACMA will continue to monitor developments in this band.</w:t>
      </w:r>
    </w:p>
    <w:p w14:paraId="071299BE" w14:textId="5ED1B385" w:rsidR="00B977A2" w:rsidRDefault="00B977A2" w:rsidP="00513FDE">
      <w:pPr>
        <w:keepNext/>
        <w:keepLines/>
        <w:spacing w:after="0"/>
      </w:pPr>
      <w:r w:rsidRPr="006A2F04">
        <w:rPr>
          <w:noProof/>
        </w:rPr>
        <w:lastRenderedPageBreak/>
        <w:drawing>
          <wp:inline distT="0" distB="0" distL="0" distR="0" wp14:anchorId="5AA684C3" wp14:editId="4140227A">
            <wp:extent cx="341630" cy="359410"/>
            <wp:effectExtent l="0" t="0" r="1270" b="2540"/>
            <wp:docPr id="115" name="Picture 115"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Pr="006A2F04">
        <w:rPr>
          <w:noProof/>
        </w:rPr>
        <w:drawing>
          <wp:inline distT="0" distB="0" distL="0" distR="0" wp14:anchorId="69A42EF1" wp14:editId="5AA9C4D7">
            <wp:extent cx="342900" cy="361950"/>
            <wp:effectExtent l="0" t="0" r="0" b="0"/>
            <wp:docPr id="116" name="Picture 116"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2DE0E137" wp14:editId="272CC40A">
            <wp:extent cx="342900" cy="361950"/>
            <wp:effectExtent l="0" t="0" r="0" b="0"/>
            <wp:docPr id="117" name="Picture 117" descr="Defen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fence icon"/>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42B84841" w14:textId="63754E8E" w:rsidR="00B977A2" w:rsidRDefault="00B977A2" w:rsidP="00513FDE">
      <w:pPr>
        <w:pStyle w:val="Heading3"/>
        <w:keepLines/>
        <w:rPr>
          <w:b w:val="0"/>
          <w:bCs w:val="0"/>
        </w:rPr>
      </w:pPr>
      <w:bookmarkStart w:id="261" w:name="_Toc38987172"/>
      <w:r>
        <w:t>46 GHz (45.5</w:t>
      </w:r>
      <w:r w:rsidR="00E80AF4">
        <w:t>–</w:t>
      </w:r>
      <w:r>
        <w:t>47 GHz)</w:t>
      </w:r>
      <w:bookmarkEnd w:id="261"/>
    </w:p>
    <w:p w14:paraId="32B8C85F" w14:textId="77777777" w:rsidR="00B977A2" w:rsidRDefault="00B977A2" w:rsidP="00513FDE">
      <w:pPr>
        <w:pStyle w:val="Paragraphbeforelist"/>
        <w:keepNext/>
        <w:keepLines/>
      </w:pPr>
      <w:r w:rsidRPr="00B53F89">
        <w:t>The 4</w:t>
      </w:r>
      <w:r>
        <w:t>6</w:t>
      </w:r>
      <w:r w:rsidRPr="00B53F89">
        <w:t xml:space="preserve"> GHz band </w:t>
      </w:r>
      <w:r>
        <w:t xml:space="preserve">has primary </w:t>
      </w:r>
      <w:r w:rsidRPr="00B53F89">
        <w:t>allocat</w:t>
      </w:r>
      <w:r>
        <w:t>ions</w:t>
      </w:r>
      <w:r w:rsidRPr="00B53F89">
        <w:t xml:space="preserve"> in the RRs </w:t>
      </w:r>
      <w:r>
        <w:t xml:space="preserve">for </w:t>
      </w:r>
      <w:r w:rsidRPr="00B53F89">
        <w:t>mobile</w:t>
      </w:r>
      <w:r>
        <w:t>, mobile satellite, radionavigation and radionavigation satellite</w:t>
      </w:r>
      <w:r w:rsidRPr="00B53F89">
        <w:t xml:space="preserve"> services in Australia.</w:t>
      </w:r>
      <w:r>
        <w:t xml:space="preserve"> Some of the footnotes in the ARSP that apply to the 46 GHz band include: </w:t>
      </w:r>
    </w:p>
    <w:p w14:paraId="75EBA76B" w14:textId="3E57864F" w:rsidR="00B977A2" w:rsidRPr="009C7A14" w:rsidRDefault="00E80AF4" w:rsidP="00E80AF4">
      <w:pPr>
        <w:pStyle w:val="ListBullet"/>
        <w:ind w:left="284" w:hanging="284"/>
      </w:pPr>
      <w:r>
        <w:t>f</w:t>
      </w:r>
      <w:r w:rsidR="00B977A2">
        <w:t>ootnote 62</w:t>
      </w:r>
      <w:r>
        <w:t>,</w:t>
      </w:r>
      <w:r w:rsidR="00B977A2">
        <w:t xml:space="preserve"> which indicates that parts of the band might be used in the future for the purposes of defence.</w:t>
      </w:r>
    </w:p>
    <w:p w14:paraId="6C82BBF0" w14:textId="6F80F3B8" w:rsidR="00B977A2" w:rsidRPr="00507460" w:rsidRDefault="00E80AF4" w:rsidP="00513FDE">
      <w:pPr>
        <w:pStyle w:val="Bulletlevel1last"/>
      </w:pPr>
      <w:r>
        <w:t>f</w:t>
      </w:r>
      <w:r w:rsidR="00B977A2">
        <w:t>ootnote AUS87</w:t>
      </w:r>
      <w:r>
        <w:t>,</w:t>
      </w:r>
      <w:r w:rsidR="00B977A2">
        <w:t xml:space="preserve"> which identifies several radio astronomy facilities that use the </w:t>
      </w:r>
      <w:r>
        <w:t>46 </w:t>
      </w:r>
      <w:r w:rsidR="00B977A2">
        <w:t>GHz band to conduct passive observations.</w:t>
      </w:r>
    </w:p>
    <w:p w14:paraId="6E70E0FE" w14:textId="77777777" w:rsidR="00B977A2" w:rsidRPr="00675DBE" w:rsidRDefault="00B977A2" w:rsidP="00B977A2">
      <w:r>
        <w:t xml:space="preserve">In Australia, there are currently no formal arrangements for any services in the band. </w:t>
      </w:r>
    </w:p>
    <w:p w14:paraId="7B746562" w14:textId="77777777" w:rsidR="00B977A2" w:rsidRPr="00B53F89" w:rsidRDefault="00B977A2" w:rsidP="00B977A2">
      <w:pPr>
        <w:pStyle w:val="BodySubHeader"/>
      </w:pPr>
      <w:r w:rsidRPr="00B53F89">
        <w:t>Recent developments</w:t>
      </w:r>
    </w:p>
    <w:p w14:paraId="3B625D35" w14:textId="77777777" w:rsidR="00B977A2" w:rsidRDefault="00B977A2" w:rsidP="00B977A2">
      <w:r>
        <w:t>At WRC-19, more than 50 countries (mainly from Region 1) identified t</w:t>
      </w:r>
      <w:r w:rsidRPr="00B53F89">
        <w:t xml:space="preserve">he </w:t>
      </w:r>
      <w:r>
        <w:t xml:space="preserve">46 GHz band for IMT. </w:t>
      </w:r>
    </w:p>
    <w:p w14:paraId="479E96CA" w14:textId="77777777" w:rsidR="00B977A2" w:rsidRPr="00B53F89" w:rsidRDefault="00B977A2" w:rsidP="00B977A2">
      <w:pPr>
        <w:pStyle w:val="BodySubHeader"/>
      </w:pPr>
      <w:r w:rsidRPr="00B53F89">
        <w:t>Next steps</w:t>
      </w:r>
    </w:p>
    <w:p w14:paraId="77B8944E" w14:textId="651247E3" w:rsidR="00B977A2" w:rsidRDefault="00B977A2" w:rsidP="00B977A2">
      <w:r w:rsidRPr="00B53F89">
        <w:t>The ACMA will continue to monitor developments in this band.</w:t>
      </w:r>
    </w:p>
    <w:p w14:paraId="095CBE96" w14:textId="111FBD80" w:rsidR="00B977A2" w:rsidRDefault="00B977A2" w:rsidP="00513FDE">
      <w:pPr>
        <w:spacing w:after="0"/>
      </w:pPr>
      <w:r w:rsidRPr="006A2F04">
        <w:rPr>
          <w:noProof/>
        </w:rPr>
        <w:drawing>
          <wp:inline distT="0" distB="0" distL="0" distR="0" wp14:anchorId="0ED08703" wp14:editId="70D82AF8">
            <wp:extent cx="341630" cy="359410"/>
            <wp:effectExtent l="0" t="0" r="1270" b="2540"/>
            <wp:docPr id="119" name="Picture 119"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Pr="006A2F04">
        <w:rPr>
          <w:noProof/>
        </w:rPr>
        <w:drawing>
          <wp:inline distT="0" distB="0" distL="0" distR="0" wp14:anchorId="09B5825D" wp14:editId="1356D95E">
            <wp:extent cx="342900" cy="361950"/>
            <wp:effectExtent l="0" t="0" r="0" b="0"/>
            <wp:docPr id="121" name="Picture 121"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27197806" w14:textId="0D17C06C" w:rsidR="00A25629" w:rsidRDefault="00A25629" w:rsidP="00A25629">
      <w:pPr>
        <w:pStyle w:val="Heading3"/>
        <w:rPr>
          <w:b w:val="0"/>
          <w:bCs w:val="0"/>
        </w:rPr>
      </w:pPr>
      <w:bookmarkStart w:id="262" w:name="_Toc38987173"/>
      <w:r>
        <w:t>47 GHz (47.2</w:t>
      </w:r>
      <w:r w:rsidR="00EB7670">
        <w:t>–</w:t>
      </w:r>
      <w:r>
        <w:t>48.2 GHz)</w:t>
      </w:r>
      <w:bookmarkEnd w:id="262"/>
    </w:p>
    <w:p w14:paraId="00323FDE" w14:textId="6AF67C9F" w:rsidR="00A25629" w:rsidRPr="00507460" w:rsidRDefault="00A25629" w:rsidP="00513FDE">
      <w:r w:rsidRPr="00B53F89">
        <w:t>The 4</w:t>
      </w:r>
      <w:r>
        <w:t xml:space="preserve">7 </w:t>
      </w:r>
      <w:r w:rsidRPr="00B53F89">
        <w:t xml:space="preserve">GHz band </w:t>
      </w:r>
      <w:r>
        <w:t xml:space="preserve">has primary </w:t>
      </w:r>
      <w:r w:rsidRPr="00B53F89">
        <w:t>allocat</w:t>
      </w:r>
      <w:r>
        <w:t>ions</w:t>
      </w:r>
      <w:r w:rsidRPr="00B53F89">
        <w:t xml:space="preserve"> in the RRs </w:t>
      </w:r>
      <w:r>
        <w:t xml:space="preserve">for fixed, </w:t>
      </w:r>
      <w:r w:rsidRPr="00B53F89">
        <w:t>mobile</w:t>
      </w:r>
      <w:r>
        <w:t xml:space="preserve"> and fixed satellite, </w:t>
      </w:r>
      <w:r w:rsidRPr="00B53F89">
        <w:t>services in Australia.</w:t>
      </w:r>
      <w:r>
        <w:t xml:space="preserve"> Footnote AUS87 </w:t>
      </w:r>
      <w:r w:rsidR="001000CD">
        <w:t xml:space="preserve">in the ARSP </w:t>
      </w:r>
      <w:r>
        <w:t>identifies several radio astronomy facilities that use the 47 GHz band to conduct passive observations.</w:t>
      </w:r>
    </w:p>
    <w:p w14:paraId="22C8CAB8" w14:textId="77777777" w:rsidR="00A25629" w:rsidRPr="00675DBE" w:rsidRDefault="00A25629" w:rsidP="00A25629">
      <w:r>
        <w:t xml:space="preserve">In Australia, there are currently no formal arrangements for any services in the band. </w:t>
      </w:r>
    </w:p>
    <w:p w14:paraId="0C15A8A0" w14:textId="77777777" w:rsidR="00A25629" w:rsidRPr="00B53F89" w:rsidRDefault="00A25629" w:rsidP="00A25629">
      <w:pPr>
        <w:pStyle w:val="BodySubHeader"/>
      </w:pPr>
      <w:r w:rsidRPr="00B53F89">
        <w:t>Recent developments</w:t>
      </w:r>
    </w:p>
    <w:p w14:paraId="35F2B155" w14:textId="59861B37" w:rsidR="00A25629" w:rsidRDefault="00A25629" w:rsidP="00A25629">
      <w:r>
        <w:t xml:space="preserve">At WRC-19, </w:t>
      </w:r>
      <w:r>
        <w:rPr>
          <w:lang w:eastAsia="en-US"/>
        </w:rPr>
        <w:t>Region 2 and 68 other countries in Region</w:t>
      </w:r>
      <w:r w:rsidR="001000CD">
        <w:rPr>
          <w:lang w:eastAsia="en-US"/>
        </w:rPr>
        <w:t>s</w:t>
      </w:r>
      <w:r>
        <w:rPr>
          <w:lang w:eastAsia="en-US"/>
        </w:rPr>
        <w:t xml:space="preserve"> 1 and 3, including Australia,</w:t>
      </w:r>
      <w:r>
        <w:t xml:space="preserve"> identified t</w:t>
      </w:r>
      <w:r w:rsidRPr="00B53F89">
        <w:t xml:space="preserve">he </w:t>
      </w:r>
      <w:r>
        <w:t xml:space="preserve">47 GHz band for IMT. </w:t>
      </w:r>
    </w:p>
    <w:p w14:paraId="3A89CDFD" w14:textId="5B3F81D7" w:rsidR="00A25629" w:rsidRDefault="00A25629" w:rsidP="00A25629">
      <w:r>
        <w:t>In December 2019, the US commenced an auction for licences in the 37.6</w:t>
      </w:r>
      <w:r w:rsidR="001000CD">
        <w:t>–</w:t>
      </w:r>
      <w:r>
        <w:t>38.6 GHz, 38.6</w:t>
      </w:r>
      <w:r w:rsidR="001000CD">
        <w:t>–</w:t>
      </w:r>
      <w:r>
        <w:t>40 GHz and 47.2</w:t>
      </w:r>
      <w:r w:rsidR="001000CD">
        <w:t>–</w:t>
      </w:r>
      <w:r>
        <w:t>48.2 GHz frequency ranges to support 5G.</w:t>
      </w:r>
      <w:r>
        <w:rPr>
          <w:rStyle w:val="FootnoteReference"/>
          <w:rFonts w:cs="Arial"/>
        </w:rPr>
        <w:footnoteReference w:id="51"/>
      </w:r>
    </w:p>
    <w:p w14:paraId="53B04105" w14:textId="72E757CC" w:rsidR="00A25629" w:rsidRDefault="00422038" w:rsidP="00A25629">
      <w:r>
        <w:t>We are</w:t>
      </w:r>
      <w:r w:rsidR="00A25629">
        <w:t xml:space="preserve"> also aware of interest from the satellite industry for access to this and the adjacent 48.2</w:t>
      </w:r>
      <w:r w:rsidR="00D90558">
        <w:t>–</w:t>
      </w:r>
      <w:r w:rsidR="00A25629">
        <w:t xml:space="preserve">50.2 GHz band. This includes for uncoordinated class licence and coordinated earth station use. </w:t>
      </w:r>
    </w:p>
    <w:p w14:paraId="2A8E86DC" w14:textId="77777777" w:rsidR="00A25629" w:rsidRPr="00B53F89" w:rsidRDefault="00A25629" w:rsidP="00A25629">
      <w:pPr>
        <w:pStyle w:val="BodySubHeader"/>
      </w:pPr>
      <w:r w:rsidRPr="00B53F89">
        <w:t>Next steps</w:t>
      </w:r>
    </w:p>
    <w:p w14:paraId="38D86EE7" w14:textId="77777777" w:rsidR="00A25629" w:rsidRDefault="00A25629" w:rsidP="00A25629">
      <w:r w:rsidRPr="00B53F89">
        <w:t>The ACMA will continue to monitor developments in this band.</w:t>
      </w:r>
    </w:p>
    <w:p w14:paraId="469DDB77" w14:textId="651D7305" w:rsidR="00B977A2" w:rsidRDefault="00A25629" w:rsidP="00414D67">
      <w:pPr>
        <w:keepNext/>
        <w:keepLines/>
        <w:spacing w:after="0"/>
      </w:pPr>
      <w:r w:rsidRPr="006A2F04">
        <w:rPr>
          <w:noProof/>
        </w:rPr>
        <w:lastRenderedPageBreak/>
        <w:drawing>
          <wp:inline distT="0" distB="0" distL="0" distR="0" wp14:anchorId="207D8F32" wp14:editId="0BEB367A">
            <wp:extent cx="342900" cy="361950"/>
            <wp:effectExtent l="0" t="0" r="0" b="0"/>
            <wp:docPr id="123" name="Picture 123"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35D26860" wp14:editId="63FAF161">
            <wp:extent cx="342900" cy="361950"/>
            <wp:effectExtent l="0" t="0" r="0" b="0"/>
            <wp:docPr id="130" name="Picture 130" descr="Class licens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ass licensing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0CC3CB1B" w14:textId="4CB3EEBE" w:rsidR="00B977A2" w:rsidRPr="00A25629" w:rsidRDefault="00A25629" w:rsidP="00414D67">
      <w:pPr>
        <w:pStyle w:val="Heading3"/>
        <w:keepLines/>
      </w:pPr>
      <w:bookmarkStart w:id="263" w:name="_Toc31892800"/>
      <w:bookmarkStart w:id="264" w:name="_Toc36207419"/>
      <w:bookmarkStart w:id="265" w:name="_Toc38987174"/>
      <w:r w:rsidRPr="00A25629">
        <w:t>Bands studied under WRC-19 agenda item 1.16</w:t>
      </w:r>
      <w:bookmarkEnd w:id="263"/>
      <w:bookmarkEnd w:id="264"/>
      <w:bookmarkEnd w:id="265"/>
    </w:p>
    <w:p w14:paraId="1A3DF8C5" w14:textId="77777777" w:rsidR="00A25629" w:rsidRPr="00B53F89" w:rsidRDefault="00A25629" w:rsidP="0010018E">
      <w:pPr>
        <w:keepNext/>
        <w:keepLines/>
      </w:pPr>
      <w:r w:rsidRPr="00B53F89">
        <w:t>WRC-19 agenda item 1.16 consider</w:t>
      </w:r>
      <w:r>
        <w:t>ed</w:t>
      </w:r>
      <w:r w:rsidRPr="00B53F89">
        <w:t xml:space="preserve"> issues related to wireless access systems, including radio local area networks (WAS/RLAN), in the frequency bands 5150–5350 MHz (to enable outdoor usage), 5350–5470 MHz, 5725–5850 MHz and </w:t>
      </w:r>
      <w:r>
        <w:br/>
      </w:r>
      <w:r w:rsidRPr="00B53F89">
        <w:t xml:space="preserve">5850–5925 MHz, while ensuring the protection of incumbent services including their current and planned use. </w:t>
      </w:r>
    </w:p>
    <w:p w14:paraId="567D5649" w14:textId="478C75EA" w:rsidR="00A25629" w:rsidRPr="00B53F89" w:rsidRDefault="00A25629" w:rsidP="00A25629">
      <w:r w:rsidRPr="00B53F89">
        <w:t>There was initially strong interest from the US and the UK to investigate use of the 5350–5470 MHz band for RLANs but this appears to have eased. Europe has also indicated interest in investigating use of the 5725–5850 MHz band for RLANs. Arrangements already exist in Australia for RLANs in the 5150–5350 MHz band (low power indoor use only) and the 5725–5850 MHz band. The ACMA has also received requests to review existing Australian arrangements with a view to aligning them with US arrangements. The 5150–5350 MHz and 5725–5850 MHz bands are also included in the IEEE 802.11 series of standards for WLAN. There are no arrangements in place for RLANs in the 5350–5470 MHz and 5850–5925 MHz bands in Australia.</w:t>
      </w:r>
    </w:p>
    <w:p w14:paraId="21641B9E" w14:textId="77777777" w:rsidR="00A25629" w:rsidRPr="00B53F89" w:rsidRDefault="00A25629" w:rsidP="00A25629">
      <w:r w:rsidRPr="00B53F89">
        <w:t xml:space="preserve">Numerous countries around the world have identified or are considering identifying the 5850–5925 MHz band for Intelligent Transport Systems (ITS). </w:t>
      </w:r>
      <w:r w:rsidRPr="00B53F89">
        <w:rPr>
          <w:rFonts w:cs="Arial"/>
        </w:rPr>
        <w:t xml:space="preserve">In December 2018, the ACMA made the </w:t>
      </w:r>
      <w:hyperlink r:id="rId67" w:history="1">
        <w:r w:rsidRPr="00B53F89">
          <w:rPr>
            <w:rStyle w:val="Hyperlink"/>
            <w:rFonts w:cs="Arial"/>
          </w:rPr>
          <w:t>Radiocommunications (Intelligent Transport Systems) Standard 2018</w:t>
        </w:r>
      </w:hyperlink>
      <w:r w:rsidRPr="00B53F89">
        <w:rPr>
          <w:rFonts w:cs="Arial"/>
        </w:rPr>
        <w:t xml:space="preserve"> to support the use of complying wireless ITS technologies and devices in the frequency range 5855–5925 MHz.</w:t>
      </w:r>
    </w:p>
    <w:p w14:paraId="188441DC" w14:textId="77777777" w:rsidR="00A25629" w:rsidRPr="00B53F89" w:rsidRDefault="00A25629" w:rsidP="00A25629">
      <w:pPr>
        <w:pStyle w:val="BodySubHeader"/>
      </w:pPr>
      <w:r w:rsidRPr="00B53F89">
        <w:t>Recent developments</w:t>
      </w:r>
    </w:p>
    <w:p w14:paraId="24DF5703" w14:textId="5B9B99E5" w:rsidR="00A25629" w:rsidRPr="00E1361A" w:rsidRDefault="00A25629" w:rsidP="00A25629">
      <w:pPr>
        <w:rPr>
          <w:rFonts w:cs="Arial"/>
        </w:rPr>
      </w:pPr>
      <w:bookmarkStart w:id="266" w:name="_Hlk18333223"/>
      <w:r w:rsidRPr="00B53F89">
        <w:t xml:space="preserve">WRC-19 </w:t>
      </w:r>
      <w:r>
        <w:t xml:space="preserve">updated ITU Resolution </w:t>
      </w:r>
      <w:r w:rsidRPr="00513FDE">
        <w:rPr>
          <w:b/>
          <w:bCs/>
        </w:rPr>
        <w:t>229</w:t>
      </w:r>
      <w:r>
        <w:t xml:space="preserve"> to permit indoor and outdoor operation of stations in the 5250</w:t>
      </w:r>
      <w:r w:rsidRPr="00B53F89">
        <w:t>–</w:t>
      </w:r>
      <w:r>
        <w:t>5350 MHz and 5470</w:t>
      </w:r>
      <w:r w:rsidRPr="00B53F89">
        <w:t>–</w:t>
      </w:r>
      <w:r>
        <w:t xml:space="preserve">5725 MHz frequency bands under a range of operating conditions, including various combinations of </w:t>
      </w:r>
      <w:r w:rsidR="00513FDE">
        <w:t xml:space="preserve">EIRP </w:t>
      </w:r>
      <w:r>
        <w:t xml:space="preserve">limits and elevation-dependent </w:t>
      </w:r>
      <w:r w:rsidR="00513FDE">
        <w:t>EIRP</w:t>
      </w:r>
      <w:r>
        <w:t xml:space="preserve"> masks.</w:t>
      </w:r>
      <w:bookmarkEnd w:id="266"/>
    </w:p>
    <w:p w14:paraId="2719C983" w14:textId="77777777" w:rsidR="00A25629" w:rsidRPr="00B53F89" w:rsidRDefault="00A25629" w:rsidP="00A25629">
      <w:pPr>
        <w:pStyle w:val="BodySubHeader"/>
      </w:pPr>
      <w:r w:rsidRPr="00B53F89">
        <w:t>Next steps</w:t>
      </w:r>
    </w:p>
    <w:p w14:paraId="07A35327" w14:textId="3517EB59" w:rsidR="00B977A2" w:rsidRDefault="00A25629" w:rsidP="00A25629">
      <w:r w:rsidRPr="00B53F89">
        <w:t xml:space="preserve">The ACMA will continue to monitor </w:t>
      </w:r>
      <w:r>
        <w:t>developments in these bands.</w:t>
      </w:r>
    </w:p>
    <w:p w14:paraId="71AC83C7" w14:textId="68C2EA72" w:rsidR="00A25629" w:rsidRDefault="00A25629" w:rsidP="00513FDE">
      <w:pPr>
        <w:spacing w:after="0"/>
      </w:pPr>
      <w:r w:rsidRPr="006A2F04">
        <w:rPr>
          <w:noProof/>
        </w:rPr>
        <w:drawing>
          <wp:inline distT="0" distB="0" distL="0" distR="0" wp14:anchorId="676D0BC2" wp14:editId="5D6910A1">
            <wp:extent cx="342900" cy="361950"/>
            <wp:effectExtent l="0" t="0" r="0" b="0"/>
            <wp:docPr id="141" name="Picture 141"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1AB9A5FB" wp14:editId="5F214E2C">
            <wp:extent cx="342900" cy="361950"/>
            <wp:effectExtent l="0" t="0" r="0" b="0"/>
            <wp:docPr id="143" name="Picture 143"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31CB1DD2" wp14:editId="5843E0D2">
            <wp:extent cx="341630" cy="359410"/>
            <wp:effectExtent l="0" t="0" r="1270" b="2540"/>
            <wp:docPr id="144" name="Picture 144"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Pr="006A2F04">
        <w:rPr>
          <w:noProof/>
        </w:rPr>
        <w:drawing>
          <wp:inline distT="0" distB="0" distL="0" distR="0" wp14:anchorId="18A8F47A" wp14:editId="24B7B6BA">
            <wp:extent cx="342900" cy="361950"/>
            <wp:effectExtent l="0" t="0" r="0" b="0"/>
            <wp:docPr id="146" name="Picture 146"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5C5832D9" w14:textId="77777777" w:rsidR="00A25629" w:rsidRPr="00F32001" w:rsidRDefault="00A25629" w:rsidP="00F32001">
      <w:pPr>
        <w:pStyle w:val="Heading3"/>
      </w:pPr>
      <w:bookmarkStart w:id="267" w:name="_Toc38987175"/>
      <w:r w:rsidRPr="00F32001">
        <w:t>Bands being studied under WRC-</w:t>
      </w:r>
      <w:r w:rsidRPr="00513FDE">
        <w:t>23 agenda item 1.2</w:t>
      </w:r>
      <w:bookmarkEnd w:id="267"/>
    </w:p>
    <w:p w14:paraId="3EA3A54B" w14:textId="77777777" w:rsidR="00A25629" w:rsidRPr="00395A0D" w:rsidRDefault="00A25629" w:rsidP="00A25629">
      <w:r w:rsidRPr="00395A0D">
        <w:t>WRC-23 agenda item 1.2 considers identification of the frequency bands 3300</w:t>
      </w:r>
      <w:r w:rsidRPr="00B53F89">
        <w:t>–</w:t>
      </w:r>
      <w:r w:rsidRPr="00395A0D">
        <w:t>3400 MHz, 3600</w:t>
      </w:r>
      <w:r w:rsidRPr="00B53F89">
        <w:t>–</w:t>
      </w:r>
      <w:r w:rsidRPr="00395A0D">
        <w:t>3800 MHz, 6425</w:t>
      </w:r>
      <w:r w:rsidRPr="00B53F89">
        <w:t>–</w:t>
      </w:r>
      <w:r w:rsidRPr="00395A0D">
        <w:t>7025 MHz, 7025</w:t>
      </w:r>
      <w:r w:rsidRPr="00B53F89">
        <w:t>–</w:t>
      </w:r>
      <w:r w:rsidRPr="00395A0D">
        <w:t>7125 MHz and 10.0</w:t>
      </w:r>
      <w:r w:rsidRPr="00B53F89">
        <w:t>–</w:t>
      </w:r>
      <w:r w:rsidRPr="00395A0D">
        <w:t xml:space="preserve">10.5 GHz for IMT, including possible additional allocations in the RRs to the mobile service on a primary basis. This agenda item is widely acknowledged to be focusing on spectrum harmonisation requirements for 5G mobile broadband technologies. </w:t>
      </w:r>
    </w:p>
    <w:p w14:paraId="27090EC1" w14:textId="77777777" w:rsidR="00A25629" w:rsidRPr="00395A0D" w:rsidRDefault="00A25629" w:rsidP="00A25629">
      <w:pPr>
        <w:pStyle w:val="BodySubHeader"/>
      </w:pPr>
      <w:r w:rsidRPr="00395A0D">
        <w:t>Recent developments</w:t>
      </w:r>
    </w:p>
    <w:p w14:paraId="2187DA28" w14:textId="77777777" w:rsidR="00A25629" w:rsidRPr="00395A0D" w:rsidRDefault="00A25629" w:rsidP="00A25629">
      <w:r w:rsidRPr="00395A0D">
        <w:t xml:space="preserve">Working Party 5D has been identified as the responsible party for conducting work under this agenda item. </w:t>
      </w:r>
      <w:r>
        <w:t>Work on this issue has recently commenced</w:t>
      </w:r>
      <w:r w:rsidRPr="00395A0D">
        <w:t>.</w:t>
      </w:r>
    </w:p>
    <w:p w14:paraId="73C8F46A" w14:textId="77777777" w:rsidR="00A25629" w:rsidRPr="00395A0D" w:rsidRDefault="00A25629" w:rsidP="00A25629">
      <w:pPr>
        <w:pStyle w:val="BodySubHeader"/>
        <w:keepNext/>
        <w:keepLines/>
      </w:pPr>
      <w:r w:rsidRPr="00395A0D">
        <w:t>Next steps</w:t>
      </w:r>
    </w:p>
    <w:p w14:paraId="7E0F599C" w14:textId="7F557613" w:rsidR="00A25629" w:rsidRDefault="00A25629" w:rsidP="00A25629">
      <w:r w:rsidRPr="00395A0D">
        <w:t>The ACMA will continue to engage with stakeholders via the usual international preparatory process to develop Australian positions on WRC</w:t>
      </w:r>
      <w:r w:rsidRPr="00395A0D">
        <w:noBreakHyphen/>
        <w:t>23 agenda item 1.2</w:t>
      </w:r>
      <w:r w:rsidRPr="00395A0D">
        <w:rPr>
          <w:rFonts w:cs="Arial"/>
        </w:rPr>
        <w:t xml:space="preserve">. </w:t>
      </w:r>
      <w:r w:rsidRPr="00395A0D">
        <w:t>Developments in Europe and other regions and countries (such as the US) will be monitored.</w:t>
      </w:r>
    </w:p>
    <w:p w14:paraId="400024B4" w14:textId="3AB48F13" w:rsidR="00A25629" w:rsidRDefault="00A25629" w:rsidP="00513FDE">
      <w:pPr>
        <w:keepNext/>
        <w:keepLines/>
        <w:spacing w:after="0"/>
      </w:pPr>
      <w:r w:rsidRPr="006A2F04">
        <w:rPr>
          <w:noProof/>
        </w:rPr>
        <w:lastRenderedPageBreak/>
        <w:drawing>
          <wp:inline distT="0" distB="0" distL="0" distR="0" wp14:anchorId="69076F8D" wp14:editId="5D4F54CE">
            <wp:extent cx="342900" cy="361950"/>
            <wp:effectExtent l="0" t="0" r="0" b="0"/>
            <wp:docPr id="174" name="Picture 174"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3BE1AD62" wp14:editId="5BC56E81">
            <wp:extent cx="342900" cy="361950"/>
            <wp:effectExtent l="0" t="0" r="0" b="0"/>
            <wp:docPr id="175" name="Picture 175"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6DDAAA3E" w14:textId="3EFEC531" w:rsidR="00A25629" w:rsidRPr="00A25629" w:rsidRDefault="00A25629" w:rsidP="00513FDE">
      <w:pPr>
        <w:pStyle w:val="Heading3"/>
        <w:keepLines/>
      </w:pPr>
      <w:bookmarkStart w:id="268" w:name="_Toc38987176"/>
      <w:r w:rsidRPr="00A25629">
        <w:t>Bands being studied under WRC-23 agenda item 1.4</w:t>
      </w:r>
      <w:bookmarkEnd w:id="268"/>
    </w:p>
    <w:p w14:paraId="001502C1" w14:textId="77777777" w:rsidR="00A25629" w:rsidRPr="005950F3" w:rsidRDefault="00A25629" w:rsidP="00513FDE">
      <w:pPr>
        <w:keepNext/>
        <w:keepLines/>
        <w:rPr>
          <w:highlight w:val="yellow"/>
        </w:rPr>
      </w:pPr>
      <w:r w:rsidRPr="00395A0D">
        <w:t xml:space="preserve">WRC-23 </w:t>
      </w:r>
      <w:r w:rsidRPr="00513FDE">
        <w:t>agenda item 1.4 considers</w:t>
      </w:r>
      <w:r w:rsidRPr="00395A0D">
        <w:t xml:space="preserve"> the use of high-altitude platform stations as IMT base stations (HIBS)</w:t>
      </w:r>
      <w:r>
        <w:t xml:space="preserve"> in the mobile service in certain frequency bands below 2.7 GHz already identified for IMT, on a global or regional level.</w:t>
      </w:r>
    </w:p>
    <w:p w14:paraId="4117462F" w14:textId="77777777" w:rsidR="00A25629" w:rsidRPr="00395A0D" w:rsidRDefault="00A25629" w:rsidP="00513FDE">
      <w:pPr>
        <w:pStyle w:val="BodySubHeader"/>
        <w:keepNext/>
        <w:keepLines/>
      </w:pPr>
      <w:r w:rsidRPr="00395A0D">
        <w:t>Recent developments</w:t>
      </w:r>
    </w:p>
    <w:p w14:paraId="34EC4906" w14:textId="77777777" w:rsidR="00A25629" w:rsidRPr="00395A0D" w:rsidRDefault="00A25629" w:rsidP="00513FDE">
      <w:pPr>
        <w:keepNext/>
        <w:keepLines/>
      </w:pPr>
      <w:r w:rsidRPr="00395A0D">
        <w:t xml:space="preserve">Working Party 5D has been identified as the responsible party for conducting work under this agenda item. </w:t>
      </w:r>
      <w:r>
        <w:t>Work on this issue has recently commenced</w:t>
      </w:r>
      <w:r w:rsidRPr="00395A0D">
        <w:t>.</w:t>
      </w:r>
    </w:p>
    <w:p w14:paraId="67BA4B63" w14:textId="77777777" w:rsidR="00A25629" w:rsidRPr="00395A0D" w:rsidRDefault="00A25629" w:rsidP="00F32001">
      <w:pPr>
        <w:pStyle w:val="BodySubHeader"/>
        <w:keepNext/>
        <w:keepLines/>
      </w:pPr>
      <w:r w:rsidRPr="00395A0D">
        <w:t>Next steps</w:t>
      </w:r>
    </w:p>
    <w:p w14:paraId="7C32DB2C" w14:textId="70EAF77E" w:rsidR="00A25629" w:rsidRDefault="00A25629" w:rsidP="00513FDE">
      <w:pPr>
        <w:keepNext/>
        <w:keepLines/>
      </w:pPr>
      <w:r w:rsidRPr="00395A0D">
        <w:t>The ACMA will continue to engage with stakeholders via the usual international preparatory process to develop Australian positions on WRC</w:t>
      </w:r>
      <w:r w:rsidRPr="00395A0D">
        <w:noBreakHyphen/>
        <w:t>23 agenda item 1.</w:t>
      </w:r>
      <w:r>
        <w:t>4</w:t>
      </w:r>
      <w:r w:rsidRPr="00395A0D">
        <w:rPr>
          <w:rFonts w:cs="Arial"/>
        </w:rPr>
        <w:t xml:space="preserve">. </w:t>
      </w:r>
      <w:r w:rsidRPr="00395A0D">
        <w:t>Developments in Europe and other regions and countries (such as the US) will be monitored.</w:t>
      </w:r>
    </w:p>
    <w:p w14:paraId="6B829759" w14:textId="32D7E0EC" w:rsidR="00B977A2" w:rsidRDefault="00F32001" w:rsidP="00D904DC">
      <w:pPr>
        <w:pStyle w:val="Heading2"/>
        <w:keepLines/>
      </w:pPr>
      <w:bookmarkStart w:id="269" w:name="_Toc38987177"/>
      <w:r w:rsidRPr="00B53F89">
        <w:t xml:space="preserve">Initial </w:t>
      </w:r>
      <w:r>
        <w:t>i</w:t>
      </w:r>
      <w:r w:rsidRPr="00B53F89">
        <w:t>nvestigation</w:t>
      </w:r>
      <w:bookmarkEnd w:id="269"/>
    </w:p>
    <w:p w14:paraId="7C2DBD31" w14:textId="77777777" w:rsidR="00F32001" w:rsidRPr="00B53F89" w:rsidRDefault="00F32001" w:rsidP="00D904DC">
      <w:pPr>
        <w:keepNext/>
        <w:keepLines/>
      </w:pPr>
      <w:r w:rsidRPr="00B53F89">
        <w:t xml:space="preserve">The </w:t>
      </w:r>
      <w:r w:rsidRPr="006E0D63">
        <w:rPr>
          <w:i/>
          <w:iCs/>
        </w:rPr>
        <w:t>initial investigation</w:t>
      </w:r>
      <w:r w:rsidRPr="00B53F89">
        <w:t xml:space="preserve"> stage normally includes initial consideration of whether the new spectrum use contributes to maximising the overall public benefit derived from use of the spectrum, along with preliminary assessments on coexistence and other technical considerations. </w:t>
      </w:r>
    </w:p>
    <w:p w14:paraId="56764CA2" w14:textId="68B64189" w:rsidR="00B977A2" w:rsidRDefault="00F32001" w:rsidP="00D904DC">
      <w:pPr>
        <w:keepNext/>
        <w:keepLines/>
      </w:pPr>
      <w:r w:rsidRPr="00B53F89">
        <w:t xml:space="preserve">Formal public consultation may occur through mechanisms </w:t>
      </w:r>
      <w:r w:rsidR="00D35ECC">
        <w:t>including</w:t>
      </w:r>
      <w:r w:rsidRPr="00B53F89">
        <w:t xml:space="preserve"> public industry meetings (such as spectrum tune-ups) and/or discussion papers where general feedback on issues is sought</w:t>
      </w:r>
      <w:r w:rsidRPr="00B53F89" w:rsidDel="00F97D59">
        <w:t>.</w:t>
      </w:r>
    </w:p>
    <w:p w14:paraId="7BA2B1EF" w14:textId="18EA3E9D" w:rsidR="00B977A2" w:rsidRDefault="00F32001" w:rsidP="00F32001">
      <w:pPr>
        <w:spacing w:after="0"/>
      </w:pPr>
      <w:r w:rsidRPr="006A2F04">
        <w:rPr>
          <w:noProof/>
        </w:rPr>
        <w:drawing>
          <wp:inline distT="0" distB="0" distL="0" distR="0" wp14:anchorId="6D70D065" wp14:editId="1BF797D9">
            <wp:extent cx="341630" cy="359410"/>
            <wp:effectExtent l="0" t="0" r="1270" b="2540"/>
            <wp:docPr id="176" name="Picture 176"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p>
    <w:p w14:paraId="67150480" w14:textId="6518FE4B" w:rsidR="00B977A2" w:rsidRDefault="00F32001" w:rsidP="00F32001">
      <w:pPr>
        <w:pStyle w:val="Heading3"/>
      </w:pPr>
      <w:bookmarkStart w:id="270" w:name="_Toc38987178"/>
      <w:r w:rsidRPr="00B53F89">
        <w:t xml:space="preserve">‘Extended MSS L-band’ </w:t>
      </w:r>
      <w:r w:rsidRPr="00B53F89" w:rsidDel="00DA6C55">
        <w:t>(1518</w:t>
      </w:r>
      <w:r w:rsidRPr="00B53F89">
        <w:t>–</w:t>
      </w:r>
      <w:r w:rsidRPr="00B53F89" w:rsidDel="00DA6C55">
        <w:t>1525</w:t>
      </w:r>
      <w:r w:rsidRPr="00B53F89">
        <w:t xml:space="preserve"> MHz</w:t>
      </w:r>
      <w:r w:rsidRPr="00B53F89" w:rsidDel="00DA6C55">
        <w:t xml:space="preserve"> and 1668</w:t>
      </w:r>
      <w:r w:rsidRPr="00B53F89">
        <w:t>–</w:t>
      </w:r>
      <w:r w:rsidRPr="00B53F89" w:rsidDel="00DA6C55">
        <w:t>1675 MHz)</w:t>
      </w:r>
      <w:bookmarkEnd w:id="270"/>
    </w:p>
    <w:p w14:paraId="434AEB77" w14:textId="77777777" w:rsidR="00D35ECC" w:rsidRPr="00B53F89" w:rsidRDefault="00D35ECC" w:rsidP="00D35ECC">
      <w:r w:rsidRPr="00B53F89">
        <w:t xml:space="preserve">WRC-03 and WRC-07 allocated additional spectrum in the RRs to the mobile satellite service (MSS) to complement existing ‘L-band’ allocations used by numerous satellite operators. </w:t>
      </w:r>
    </w:p>
    <w:p w14:paraId="2C37FDF6" w14:textId="36C120F8" w:rsidR="00D35ECC" w:rsidRPr="00B53F89" w:rsidRDefault="00D35ECC" w:rsidP="00D35ECC">
      <w:r w:rsidRPr="00B53F89">
        <w:t xml:space="preserve">The upper and lower frequency ranges also have mobile and fixed allocations in the RR, while the upper band also has various meteorological, radioastronomy and space research service allocations. In Australia, channel planning arrangements are in place to support use of the band by fixed service </w:t>
      </w:r>
      <w:r>
        <w:t>d</w:t>
      </w:r>
      <w:r w:rsidRPr="00B53F89">
        <w:t xml:space="preserve">igital </w:t>
      </w:r>
      <w:r>
        <w:t>r</w:t>
      </w:r>
      <w:r w:rsidRPr="00B53F89">
        <w:t xml:space="preserve">adio </w:t>
      </w:r>
      <w:r>
        <w:t>c</w:t>
      </w:r>
      <w:r w:rsidRPr="00B53F89">
        <w:t xml:space="preserve">oncentrator </w:t>
      </w:r>
      <w:r>
        <w:t>s</w:t>
      </w:r>
      <w:r w:rsidRPr="00B53F89">
        <w:t>ystems.</w:t>
      </w:r>
    </w:p>
    <w:p w14:paraId="03D9898E" w14:textId="77777777" w:rsidR="00D35ECC" w:rsidRPr="00B53F89" w:rsidRDefault="00D35ECC" w:rsidP="00D35ECC">
      <w:pPr>
        <w:pStyle w:val="BodySubHeader"/>
        <w:keepNext/>
        <w:keepLines/>
      </w:pPr>
      <w:r w:rsidRPr="00B53F89">
        <w:t>Next steps</w:t>
      </w:r>
    </w:p>
    <w:p w14:paraId="4B7EB426" w14:textId="77777777" w:rsidR="00D35ECC" w:rsidRPr="00B53F89" w:rsidRDefault="00D35ECC" w:rsidP="00D35ECC">
      <w:pPr>
        <w:keepNext/>
        <w:keepLines/>
      </w:pPr>
      <w:r w:rsidRPr="00B53F89">
        <w:t xml:space="preserve">The ACMA recognises the need to review planning arrangements in these bands to identify the spectrum use or uses that would maximise the overall public benefit and, if appropriate, vary spectrum management arrangements to support this use. </w:t>
      </w:r>
    </w:p>
    <w:p w14:paraId="0AE0719E" w14:textId="56D1EC0C" w:rsidR="00F32001" w:rsidRDefault="00D35ECC" w:rsidP="00D35ECC">
      <w:r w:rsidRPr="00B53F89">
        <w:t xml:space="preserve">As the coexistence with potential broadband use below 1518 MHz is likely to be a substantial consideration, </w:t>
      </w:r>
      <w:r>
        <w:t>we are looking to undertake a</w:t>
      </w:r>
      <w:r w:rsidDel="00127CAB">
        <w:t xml:space="preserve"> </w:t>
      </w:r>
      <w:r w:rsidRPr="00B53F89">
        <w:t>simultaneous review of the extended MSS L-band and the 1.5 GHz bands</w:t>
      </w:r>
      <w:r w:rsidDel="00313AF6">
        <w:t>.</w:t>
      </w:r>
    </w:p>
    <w:p w14:paraId="5F6AC082" w14:textId="1BDAD407" w:rsidR="00F32001" w:rsidRDefault="00D35ECC" w:rsidP="00513FDE">
      <w:pPr>
        <w:keepNext/>
        <w:keepLines/>
        <w:spacing w:after="0"/>
      </w:pPr>
      <w:r w:rsidRPr="006A2F04">
        <w:rPr>
          <w:noProof/>
        </w:rPr>
        <w:lastRenderedPageBreak/>
        <w:drawing>
          <wp:inline distT="0" distB="0" distL="0" distR="0" wp14:anchorId="2F293A73" wp14:editId="5BB42C69">
            <wp:extent cx="342900" cy="361950"/>
            <wp:effectExtent l="0" t="0" r="0" b="0"/>
            <wp:docPr id="177" name="Picture 177" descr="Amateur radi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mateur radio ico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3504D315" wp14:editId="15228B7F">
            <wp:extent cx="342900" cy="361950"/>
            <wp:effectExtent l="0" t="0" r="0" b="0"/>
            <wp:docPr id="178" name="Picture 178"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02408EBB" w14:textId="77777777" w:rsidR="00D35ECC" w:rsidRPr="00B53F89" w:rsidRDefault="00D35ECC" w:rsidP="00D35ECC">
      <w:pPr>
        <w:pStyle w:val="Heading3"/>
        <w:keepLines/>
      </w:pPr>
      <w:bookmarkStart w:id="271" w:name="_Toc31892805"/>
      <w:bookmarkStart w:id="272" w:name="_Toc36207423"/>
      <w:bookmarkStart w:id="273" w:name="_Toc38987179"/>
      <w:r w:rsidRPr="00B53F89">
        <w:t>2300–</w:t>
      </w:r>
      <w:r w:rsidRPr="00D35ECC">
        <w:t>2302</w:t>
      </w:r>
      <w:r w:rsidRPr="00B53F89">
        <w:t xml:space="preserve"> MHz</w:t>
      </w:r>
      <w:bookmarkEnd w:id="271"/>
      <w:bookmarkEnd w:id="272"/>
      <w:bookmarkEnd w:id="273"/>
    </w:p>
    <w:p w14:paraId="01B04107" w14:textId="77777777" w:rsidR="00D35ECC" w:rsidRPr="00B53F89" w:rsidRDefault="00D35ECC" w:rsidP="00D35ECC">
      <w:pPr>
        <w:keepNext/>
        <w:keepLines/>
        <w:rPr>
          <w:rFonts w:ascii="Calibri" w:hAnsi="Calibri"/>
        </w:rPr>
      </w:pPr>
      <w:r w:rsidRPr="00B53F89">
        <w:t>The 2300–2302 MHz band is allocated in the ARSP to the fixed and mobile services on a primary basis and amateur services on a secondary basis. It is currently used by amateur services. The adjacent 2302–2400 MHz (2.3 GHz) frequency range has been subject to spectrum licensing since the year 2000.</w:t>
      </w:r>
    </w:p>
    <w:p w14:paraId="61BB59A6" w14:textId="77777777" w:rsidR="00D35ECC" w:rsidRPr="00B53F89" w:rsidRDefault="00D35ECC" w:rsidP="00D35ECC">
      <w:pPr>
        <w:pStyle w:val="BodySubHeader"/>
      </w:pPr>
      <w:r w:rsidRPr="00B53F89">
        <w:t>Recent developments</w:t>
      </w:r>
    </w:p>
    <w:p w14:paraId="6B6B174E" w14:textId="77777777" w:rsidR="00D35ECC" w:rsidRPr="00B53F89" w:rsidRDefault="00D35ECC" w:rsidP="00D35ECC">
      <w:pPr>
        <w:rPr>
          <w:lang w:eastAsia="zh-CN"/>
        </w:rPr>
      </w:pPr>
      <w:r w:rsidRPr="00B53F89">
        <w:t xml:space="preserve">The 2300–2400 MHz band was identified globally for IMT at WRC-07. The 2.3 GHz band is currently being used to provide wireless broadband services across Australia. The most spectrally efficient profile bandwidths for internationally standardised wireless broadband equipment are in multiples of 5 MHz. In addition to this, carrier aggregation and emerging 5G technologies will allow operators to deploy services in bandwidths up to 100 MHz. The current 98 MHz of spectrum available in the 2.3 GHz band is not optimised for such use. Consequently, there is interest from spectrum licensees in the 2.3 GHz band in making the 2300–2302 MHz band available for wireless broadband use. </w:t>
      </w:r>
    </w:p>
    <w:p w14:paraId="0669F404" w14:textId="77777777" w:rsidR="00D35ECC" w:rsidRPr="00B53F89" w:rsidRDefault="00D35ECC" w:rsidP="00D35ECC">
      <w:pPr>
        <w:pStyle w:val="BodySubHeader"/>
      </w:pPr>
      <w:r w:rsidRPr="00B53F89">
        <w:t>Next steps</w:t>
      </w:r>
    </w:p>
    <w:p w14:paraId="0FF377CA" w14:textId="412B5CEB" w:rsidR="00B977A2" w:rsidRPr="00B53F89" w:rsidRDefault="00D35ECC">
      <w:r w:rsidRPr="00B53F89">
        <w:t xml:space="preserve">Recognising competing interests for use of the 2300–2302 MHz band from incumbent and new services, </w:t>
      </w:r>
      <w:r>
        <w:t>we have</w:t>
      </w:r>
      <w:r w:rsidRPr="00B53F89">
        <w:t xml:space="preserve"> moved it to the </w:t>
      </w:r>
      <w:r w:rsidRPr="00AB3EDB">
        <w:rPr>
          <w:i/>
          <w:iCs/>
        </w:rPr>
        <w:t>initial investigation</w:t>
      </w:r>
      <w:r w:rsidRPr="00B53F89">
        <w:t xml:space="preserve"> stage. </w:t>
      </w:r>
      <w:r>
        <w:t>We</w:t>
      </w:r>
      <w:r w:rsidRPr="00B53F89">
        <w:t xml:space="preserve"> will consider the relative priority of performing this work in the next update to the FYSO. Any review will necessarily </w:t>
      </w:r>
      <w:r w:rsidR="00355A8B" w:rsidRPr="00B53F89">
        <w:t>consider</w:t>
      </w:r>
      <w:r w:rsidRPr="00B53F89">
        <w:t xml:space="preserve"> the interests of incumbent amateur services and the importance of the band for activities such as Earth-Moon-Earth operations</w:t>
      </w:r>
      <w:r w:rsidRPr="00B53F89">
        <w:rPr>
          <w:b/>
          <w:bCs/>
        </w:rPr>
        <w:t>.</w:t>
      </w:r>
    </w:p>
    <w:p w14:paraId="5195250B" w14:textId="6590E95F" w:rsidR="009009FD" w:rsidRDefault="00D35ECC" w:rsidP="00D35ECC">
      <w:pPr>
        <w:pStyle w:val="Heading2"/>
      </w:pPr>
      <w:bookmarkStart w:id="274" w:name="_Toc38987180"/>
      <w:r w:rsidRPr="00B53F89">
        <w:t>Preliminary replanning</w:t>
      </w:r>
      <w:bookmarkEnd w:id="274"/>
    </w:p>
    <w:p w14:paraId="192EF69B" w14:textId="77777777" w:rsidR="00D35ECC" w:rsidRPr="008238FA" w:rsidRDefault="00D35ECC" w:rsidP="00D35ECC">
      <w:r w:rsidRPr="008238FA">
        <w:t xml:space="preserve">The </w:t>
      </w:r>
      <w:r>
        <w:t>preliminary replanning</w:t>
      </w:r>
      <w:r w:rsidRPr="008238FA">
        <w:t xml:space="preserve"> stage </w:t>
      </w:r>
      <w:r>
        <w:t>involves</w:t>
      </w:r>
      <w:r w:rsidRPr="008238FA">
        <w:t xml:space="preserve"> </w:t>
      </w:r>
      <w:r w:rsidRPr="00FF6D27">
        <w:t>i</w:t>
      </w:r>
      <w:r w:rsidRPr="00FF6D27">
        <w:rPr>
          <w:rFonts w:cs="Arial"/>
        </w:rPr>
        <w:t>dentification</w:t>
      </w:r>
      <w:r>
        <w:rPr>
          <w:rFonts w:cs="Arial"/>
        </w:rPr>
        <w:t xml:space="preserve"> and analysis</w:t>
      </w:r>
      <w:r w:rsidRPr="00FF6D27">
        <w:rPr>
          <w:rFonts w:cs="Arial"/>
        </w:rPr>
        <w:t xml:space="preserve"> of </w:t>
      </w:r>
      <w:r>
        <w:rPr>
          <w:rFonts w:cs="Arial"/>
        </w:rPr>
        <w:t xml:space="preserve">planning options </w:t>
      </w:r>
      <w:r w:rsidRPr="00FF6D27">
        <w:rPr>
          <w:rFonts w:cs="Arial"/>
        </w:rPr>
        <w:t>including mechanisms to address incumbent issues</w:t>
      </w:r>
      <w:r>
        <w:rPr>
          <w:rFonts w:cs="Arial"/>
        </w:rPr>
        <w:t>.</w:t>
      </w:r>
      <w:r w:rsidRPr="00FF6D27">
        <w:rPr>
          <w:rFonts w:cs="Arial"/>
        </w:rPr>
        <w:t xml:space="preserve"> </w:t>
      </w:r>
      <w:r>
        <w:rPr>
          <w:rFonts w:cs="Arial"/>
        </w:rPr>
        <w:t xml:space="preserve">Responses to the consultation process undertaken in the </w:t>
      </w:r>
      <w:r w:rsidRPr="004C4BF4">
        <w:rPr>
          <w:rFonts w:cs="Arial"/>
          <w:i/>
        </w:rPr>
        <w:t>initial investigation</w:t>
      </w:r>
      <w:r>
        <w:rPr>
          <w:rFonts w:cs="Arial"/>
        </w:rPr>
        <w:t xml:space="preserve"> stage help to inform the development of options. </w:t>
      </w:r>
    </w:p>
    <w:p w14:paraId="39B74EA2" w14:textId="77777777" w:rsidR="00D35ECC" w:rsidRDefault="00D35ECC" w:rsidP="00D35ECC">
      <w:r w:rsidRPr="008238FA">
        <w:t>Formal public consultation may occur through mechanisms such as public industry meetings (such as spectrum tune-ups) and/or discussion papers where general feedback on issues is sought.</w:t>
      </w:r>
    </w:p>
    <w:p w14:paraId="0355D43B" w14:textId="15538455" w:rsidR="00D35ECC" w:rsidRDefault="00D35ECC" w:rsidP="00513FDE">
      <w:pPr>
        <w:spacing w:after="0"/>
      </w:pPr>
      <w:r w:rsidRPr="006A2F04">
        <w:rPr>
          <w:noProof/>
        </w:rPr>
        <w:drawing>
          <wp:inline distT="0" distB="0" distL="0" distR="0" wp14:anchorId="25B3D057" wp14:editId="7E4C5D90">
            <wp:extent cx="342900" cy="361950"/>
            <wp:effectExtent l="0" t="0" r="0" b="0"/>
            <wp:docPr id="188" name="Picture 188"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4C73197A" wp14:editId="76A538A8">
            <wp:extent cx="341630" cy="359410"/>
            <wp:effectExtent l="0" t="0" r="1270" b="2540"/>
            <wp:docPr id="190" name="Picture 190"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Pr="006A2F04">
        <w:rPr>
          <w:noProof/>
        </w:rPr>
        <w:drawing>
          <wp:inline distT="0" distB="0" distL="0" distR="0" wp14:anchorId="552613D1" wp14:editId="30D313BD">
            <wp:extent cx="342900" cy="361950"/>
            <wp:effectExtent l="0" t="0" r="0" b="0"/>
            <wp:docPr id="191" name="Picture 191" descr="Radio/TV broadcas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adio/TV broadcasting ic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76D9748B" wp14:editId="0F5902AB">
            <wp:extent cx="342900" cy="361950"/>
            <wp:effectExtent l="0" t="0" r="0" b="0"/>
            <wp:docPr id="193" name="Picture 193" descr="Avi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viation icon"/>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690BFF82" wp14:editId="0C56191D">
            <wp:extent cx="342900" cy="361950"/>
            <wp:effectExtent l="0" t="0" r="0" b="0"/>
            <wp:docPr id="201" name="Picture 201" descr="Point to multi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int to multipoint ico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6B659357" wp14:editId="32D2675E">
            <wp:extent cx="342900" cy="361950"/>
            <wp:effectExtent l="0" t="0" r="0" b="0"/>
            <wp:docPr id="202" name="Picture 202"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70837576" wp14:editId="7E3E237A">
            <wp:extent cx="342900" cy="361950"/>
            <wp:effectExtent l="0" t="0" r="0" b="0"/>
            <wp:docPr id="203" name="Picture 203" descr="Defen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fence icon"/>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40087224" wp14:editId="1F0FB0F0">
            <wp:extent cx="342900" cy="361950"/>
            <wp:effectExtent l="0" t="0" r="0" b="0"/>
            <wp:docPr id="204" name="Picture 204"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321A8AA6" w14:textId="6A18F0DB" w:rsidR="00D35ECC" w:rsidRDefault="00D35ECC" w:rsidP="00D35ECC">
      <w:pPr>
        <w:pStyle w:val="Heading3"/>
      </w:pPr>
      <w:bookmarkStart w:id="275" w:name="_Toc38987181"/>
      <w:r w:rsidRPr="00B53F89">
        <w:t>1.5 GHz (1427</w:t>
      </w:r>
      <w:r w:rsidRPr="00513FDE">
        <w:t>–</w:t>
      </w:r>
      <w:r w:rsidRPr="00B53F89">
        <w:t>1518 MHz)</w:t>
      </w:r>
      <w:bookmarkEnd w:id="275"/>
    </w:p>
    <w:p w14:paraId="32303AFF" w14:textId="77777777" w:rsidR="00D35ECC" w:rsidRPr="00B53F89" w:rsidRDefault="00D35ECC" w:rsidP="00D35ECC">
      <w:r w:rsidRPr="00B53F89">
        <w:t>At WRC-15, all of the 1.5 GHz band was harmonised for IMT within ITU Regions 2 and 3, while ITU Region 1 identified 1427–1452 MHz and 1492–1518 MHz via regional footnotes. In ITU Region 1, only African and Arab states identified the 1452–1492 MHz range (CEPT did not identify this band due to an ongoing dispute with Regional Commonwealth in the field of Communications countries over the protection of Aeronautical Mobile Telemetry services).</w:t>
      </w:r>
    </w:p>
    <w:p w14:paraId="7F54070C" w14:textId="6A76FFC1" w:rsidR="00D35ECC" w:rsidRPr="00B53F89" w:rsidRDefault="00D35ECC" w:rsidP="00D35ECC">
      <w:r w:rsidRPr="00B53F89">
        <w:t xml:space="preserve">Domestically, the impact on aeronautical telemetry services and fixed services, including the </w:t>
      </w:r>
      <w:r w:rsidR="00B2132C">
        <w:t>d</w:t>
      </w:r>
      <w:r w:rsidRPr="00B53F89">
        <w:t xml:space="preserve">igital </w:t>
      </w:r>
      <w:r w:rsidR="00B2132C">
        <w:t>r</w:t>
      </w:r>
      <w:r w:rsidRPr="00B53F89">
        <w:t xml:space="preserve">adio </w:t>
      </w:r>
      <w:r w:rsidR="00B2132C">
        <w:t>c</w:t>
      </w:r>
      <w:r w:rsidRPr="00B53F89">
        <w:t xml:space="preserve">oncentrator </w:t>
      </w:r>
      <w:r w:rsidR="00B2132C">
        <w:t>s</w:t>
      </w:r>
      <w:r w:rsidRPr="00B53F89">
        <w:t>ystem, will need to be considered in any replanning process.</w:t>
      </w:r>
    </w:p>
    <w:p w14:paraId="559F6353" w14:textId="77777777" w:rsidR="00D35ECC" w:rsidRPr="00B53F89" w:rsidRDefault="00D35ECC" w:rsidP="00D35ECC">
      <w:r w:rsidRPr="00B53F89">
        <w:t>As referred to in Resolution</w:t>
      </w:r>
      <w:r w:rsidRPr="00B53F89">
        <w:rPr>
          <w:b/>
        </w:rPr>
        <w:t xml:space="preserve"> 223 (Rev. WRC-15)</w:t>
      </w:r>
      <w:r w:rsidRPr="00B53F89">
        <w:t>, some satellite industry representatives have also pointed out that compatibility with MSS operating above 1518 MHz will need to be considered.</w:t>
      </w:r>
    </w:p>
    <w:p w14:paraId="5EB24CAE" w14:textId="669CF457" w:rsidR="00D35ECC" w:rsidRPr="00B53F89" w:rsidRDefault="00D35ECC" w:rsidP="00D35ECC">
      <w:pPr>
        <w:rPr>
          <w:rFonts w:cs="Arial"/>
        </w:rPr>
      </w:pPr>
      <w:r w:rsidRPr="00B53F89">
        <w:lastRenderedPageBreak/>
        <w:t>There is support domestically from mobile broadband representatives for progressing the re-farming of this band.</w:t>
      </w:r>
      <w:r w:rsidRPr="00B53F89">
        <w:rPr>
          <w:rFonts w:cs="Arial"/>
        </w:rPr>
        <w:t xml:space="preserve"> </w:t>
      </w:r>
      <w:r w:rsidR="00B2132C">
        <w:rPr>
          <w:rFonts w:cs="Arial"/>
        </w:rPr>
        <w:t>We</w:t>
      </w:r>
      <w:r w:rsidRPr="00B53F89">
        <w:rPr>
          <w:rFonts w:cs="Arial"/>
        </w:rPr>
        <w:t xml:space="preserve"> released the discussion paper, </w:t>
      </w:r>
      <w:hyperlink r:id="rId68" w:history="1">
        <w:r w:rsidRPr="00B53F89">
          <w:rPr>
            <w:rStyle w:val="Hyperlink"/>
            <w:rFonts w:eastAsiaTheme="majorEastAsia" w:cs="Arial"/>
            <w:i/>
            <w:szCs w:val="20"/>
          </w:rPr>
          <w:t>Future use of the 1.5 GHz and 3.6 GHz bands</w:t>
        </w:r>
      </w:hyperlink>
      <w:r w:rsidRPr="00B53F89">
        <w:rPr>
          <w:rFonts w:cs="Arial"/>
        </w:rPr>
        <w:t xml:space="preserve"> in October 2016, </w:t>
      </w:r>
      <w:r w:rsidR="00B2132C">
        <w:rPr>
          <w:rFonts w:cs="Arial"/>
        </w:rPr>
        <w:t>and received</w:t>
      </w:r>
      <w:r w:rsidR="00B2132C" w:rsidRPr="00B53F89">
        <w:rPr>
          <w:rFonts w:cs="Arial"/>
        </w:rPr>
        <w:t xml:space="preserve"> </w:t>
      </w:r>
      <w:r w:rsidRPr="00B53F89">
        <w:rPr>
          <w:rFonts w:cs="Arial"/>
        </w:rPr>
        <w:t>72 submissions from industry.</w:t>
      </w:r>
    </w:p>
    <w:p w14:paraId="79348DC4" w14:textId="22516B3D" w:rsidR="00D35ECC" w:rsidRPr="00B53F89" w:rsidRDefault="00D35ECC" w:rsidP="00D35ECC">
      <w:pPr>
        <w:rPr>
          <w:rFonts w:cs="Arial"/>
        </w:rPr>
      </w:pPr>
      <w:r w:rsidRPr="00B53F89">
        <w:rPr>
          <w:rFonts w:cs="Arial"/>
        </w:rPr>
        <w:t xml:space="preserve">In June 2017, </w:t>
      </w:r>
      <w:r w:rsidR="00B2132C">
        <w:rPr>
          <w:rFonts w:cs="Arial"/>
        </w:rPr>
        <w:t>we</w:t>
      </w:r>
      <w:r w:rsidRPr="00B53F89">
        <w:rPr>
          <w:rFonts w:cs="Arial"/>
        </w:rPr>
        <w:t xml:space="preserve"> released a </w:t>
      </w:r>
      <w:hyperlink r:id="rId69" w:history="1">
        <w:r w:rsidRPr="00B53F89">
          <w:rPr>
            <w:rStyle w:val="Hyperlink"/>
            <w:rFonts w:eastAsiaTheme="majorEastAsia" w:cs="Arial"/>
            <w:szCs w:val="20"/>
          </w:rPr>
          <w:t>consultation package</w:t>
        </w:r>
      </w:hyperlink>
      <w:r w:rsidRPr="00B53F89">
        <w:rPr>
          <w:rFonts w:cs="Arial"/>
        </w:rPr>
        <w:t xml:space="preserve"> including </w:t>
      </w:r>
      <w:hyperlink r:id="rId70" w:history="1">
        <w:r w:rsidRPr="00513FDE">
          <w:rPr>
            <w:rStyle w:val="Hyperlink"/>
            <w:i/>
            <w:iCs/>
          </w:rPr>
          <w:t>Future use of the 1.5 GHz and 3.6 GHz bands—Summary of and response to 3.6 GHz submissions</w:t>
        </w:r>
      </w:hyperlink>
      <w:r w:rsidRPr="00B53F89">
        <w:rPr>
          <w:rFonts w:cs="Arial"/>
        </w:rPr>
        <w:t xml:space="preserve">. This detailed </w:t>
      </w:r>
      <w:r w:rsidR="00B2132C">
        <w:rPr>
          <w:rFonts w:cs="Arial"/>
        </w:rPr>
        <w:t>our</w:t>
      </w:r>
      <w:r w:rsidRPr="00B53F89">
        <w:rPr>
          <w:rFonts w:cs="Arial"/>
        </w:rPr>
        <w:t xml:space="preserve"> decision to progress both the 1.5 GHz and 3.6 GHz bands to the </w:t>
      </w:r>
      <w:r w:rsidRPr="00B53F89">
        <w:rPr>
          <w:rFonts w:cs="Arial"/>
          <w:i/>
        </w:rPr>
        <w:t>preliminary replanning</w:t>
      </w:r>
      <w:r w:rsidRPr="00B53F89">
        <w:rPr>
          <w:rFonts w:cs="Arial"/>
        </w:rPr>
        <w:t xml:space="preserve"> stage for consideration of additional spectrum for mobile broadband services.</w:t>
      </w:r>
    </w:p>
    <w:p w14:paraId="72EFFD2C" w14:textId="77777777" w:rsidR="00D35ECC" w:rsidRPr="00B53F89" w:rsidRDefault="00D35ECC" w:rsidP="00D35ECC">
      <w:pPr>
        <w:pStyle w:val="BodySubHeader"/>
        <w:keepNext/>
        <w:keepLines/>
      </w:pPr>
      <w:r w:rsidRPr="00B53F89">
        <w:t>Recent developments</w:t>
      </w:r>
    </w:p>
    <w:p w14:paraId="7BD071E6" w14:textId="77777777" w:rsidR="00D35ECC" w:rsidRDefault="00D35ECC" w:rsidP="00D35ECC">
      <w:bookmarkStart w:id="276" w:name="_Hlk36212722"/>
      <w:r>
        <w:t>WRC-19 agenda item 9.1.1 considered the c</w:t>
      </w:r>
      <w:r w:rsidRPr="004F1FF1">
        <w:t>ompatibility of International Mobile Telecommunications and broadcasting-satellite service (sound) in the frequency band 1452</w:t>
      </w:r>
      <w:r w:rsidRPr="00B53F89">
        <w:t>–</w:t>
      </w:r>
      <w:r w:rsidRPr="004F1FF1">
        <w:t xml:space="preserve">1492 MHz in Regions 1 and </w:t>
      </w:r>
      <w:r>
        <w:t xml:space="preserve">3 as detailed in </w:t>
      </w:r>
      <w:r w:rsidRPr="00B53F89">
        <w:t xml:space="preserve">Resolution </w:t>
      </w:r>
      <w:r w:rsidRPr="00B53F89">
        <w:rPr>
          <w:b/>
        </w:rPr>
        <w:t>761 (WRC-15)</w:t>
      </w:r>
      <w:r w:rsidRPr="00B53F89">
        <w:t>. This resolution invite</w:t>
      </w:r>
      <w:r>
        <w:t>d</w:t>
      </w:r>
      <w:r w:rsidRPr="00B53F89">
        <w:t xml:space="preserve"> the ITU-R to conduct, in time for WRC-19, the appropriate regulatory and technical studies, with a view to ensuring the compatibility of IMT and the broadcasting-satellite service (BSS) (sound) in the frequency band 1452–1492 MHz in ITU Regions 1 and 3, considering IMT and BSS (sound) operational requirements.</w:t>
      </w:r>
    </w:p>
    <w:p w14:paraId="06AE7A92" w14:textId="77777777" w:rsidR="00D35ECC" w:rsidRPr="00683817" w:rsidRDefault="00D35ECC" w:rsidP="00D35ECC">
      <w:pPr>
        <w:rPr>
          <w:bCs/>
        </w:rPr>
      </w:pPr>
      <w:r>
        <w:t xml:space="preserve">At WRC-19, it was decided to retain and modify </w:t>
      </w:r>
      <w:r w:rsidRPr="00B53F89">
        <w:t xml:space="preserve">Resolution </w:t>
      </w:r>
      <w:r w:rsidRPr="00B53F89">
        <w:rPr>
          <w:b/>
        </w:rPr>
        <w:t>761 (WRC-1</w:t>
      </w:r>
      <w:r>
        <w:rPr>
          <w:b/>
        </w:rPr>
        <w:t>9</w:t>
      </w:r>
      <w:r w:rsidRPr="00B53F89">
        <w:rPr>
          <w:b/>
        </w:rPr>
        <w:t>)</w:t>
      </w:r>
      <w:r>
        <w:rPr>
          <w:b/>
        </w:rPr>
        <w:t xml:space="preserve"> </w:t>
      </w:r>
      <w:r>
        <w:rPr>
          <w:bCs/>
        </w:rPr>
        <w:t>to define restrictions and coordination triggers on BSS (sound) to protect IMT. Limits on IMT emissions from IMT near country borders were also introduced.</w:t>
      </w:r>
    </w:p>
    <w:p w14:paraId="6EA0E9CF" w14:textId="77777777" w:rsidR="00D35ECC" w:rsidRPr="00B53F89" w:rsidRDefault="00D35ECC" w:rsidP="00D35ECC">
      <w:pPr>
        <w:keepNext/>
        <w:keepLines/>
      </w:pPr>
      <w:r w:rsidRPr="00B53F89">
        <w:rPr>
          <w:rFonts w:eastAsia="SimSun"/>
          <w:lang w:eastAsia="zh-CN"/>
        </w:rPr>
        <w:t>Recommendation ITU-</w:t>
      </w:r>
      <w:r w:rsidRPr="00B53F89">
        <w:t xml:space="preserve">R M.1036 </w:t>
      </w:r>
      <w:r>
        <w:t>was updated to include</w:t>
      </w:r>
      <w:r w:rsidRPr="00B53F89">
        <w:t xml:space="preserve"> frequency arrangements for implementation of the terrestrial component of IMT in the </w:t>
      </w:r>
      <w:r>
        <w:t xml:space="preserve">1.5 GHz </w:t>
      </w:r>
      <w:r w:rsidRPr="00B53F89">
        <w:t>band</w:t>
      </w:r>
      <w:r>
        <w:t xml:space="preserve">. This includes a note to indicate studies are still being </w:t>
      </w:r>
      <w:r w:rsidRPr="00683817">
        <w:t xml:space="preserve">conducted in accordance with Resolution </w:t>
      </w:r>
      <w:r w:rsidRPr="00513FDE">
        <w:rPr>
          <w:b/>
          <w:bCs/>
        </w:rPr>
        <w:t>223</w:t>
      </w:r>
      <w:r w:rsidRPr="00683817">
        <w:t xml:space="preserve"> </w:t>
      </w:r>
      <w:r w:rsidRPr="002A1767">
        <w:rPr>
          <w:b/>
          <w:bCs/>
        </w:rPr>
        <w:t>(Rev.WRC-15)</w:t>
      </w:r>
      <w:r w:rsidRPr="00683817">
        <w:t xml:space="preserve"> to provide possible technical measures to facilitate adjacent band compatibility.</w:t>
      </w:r>
      <w:r>
        <w:t xml:space="preserve"> This work is underway in Working Party 5D and</w:t>
      </w:r>
      <w:r w:rsidDel="00486ABA">
        <w:t xml:space="preserve"> </w:t>
      </w:r>
      <w:r>
        <w:t xml:space="preserve">may result in a revision to the frequency arrangements contained in </w:t>
      </w:r>
      <w:r w:rsidRPr="00B53F89">
        <w:rPr>
          <w:rFonts w:eastAsia="SimSun"/>
          <w:lang w:eastAsia="zh-CN"/>
        </w:rPr>
        <w:t>Recommendation ITU-</w:t>
      </w:r>
      <w:r w:rsidRPr="00B53F89">
        <w:t>R M.1036</w:t>
      </w:r>
      <w:r>
        <w:t>.</w:t>
      </w:r>
    </w:p>
    <w:p w14:paraId="2E36A1F0" w14:textId="288BBEF4" w:rsidR="00D35ECC" w:rsidRPr="00B53F89" w:rsidRDefault="00D35ECC" w:rsidP="00D35ECC">
      <w:pPr>
        <w:rPr>
          <w:rFonts w:eastAsia="SimSun"/>
          <w:lang w:eastAsia="zh-CN"/>
        </w:rPr>
      </w:pPr>
      <w:r w:rsidRPr="00B53F89">
        <w:rPr>
          <w:rFonts w:eastAsia="SimSun"/>
          <w:lang w:eastAsia="zh-CN"/>
        </w:rPr>
        <w:t xml:space="preserve">The AWG has a work plan to develop a report on frequency arrangements for the </w:t>
      </w:r>
      <w:r w:rsidRPr="00B53F89">
        <w:rPr>
          <w:rFonts w:cs="Arial"/>
        </w:rPr>
        <w:t>1.</w:t>
      </w:r>
      <w:r w:rsidR="00B2132C" w:rsidRPr="00B53F89">
        <w:rPr>
          <w:rFonts w:cs="Arial"/>
        </w:rPr>
        <w:t>5</w:t>
      </w:r>
      <w:r w:rsidR="00B2132C">
        <w:rPr>
          <w:rFonts w:cs="Arial"/>
        </w:rPr>
        <w:t> </w:t>
      </w:r>
      <w:r w:rsidRPr="00B53F89">
        <w:rPr>
          <w:rFonts w:cs="Arial"/>
        </w:rPr>
        <w:t>GHz</w:t>
      </w:r>
      <w:r w:rsidRPr="00B53F89">
        <w:rPr>
          <w:rFonts w:eastAsia="SimSun"/>
          <w:lang w:eastAsia="zh-CN"/>
        </w:rPr>
        <w:t xml:space="preserve"> band. The proposal is to finalise the work at </w:t>
      </w:r>
      <w:r>
        <w:rPr>
          <w:rFonts w:eastAsia="SimSun"/>
          <w:lang w:eastAsia="zh-CN"/>
        </w:rPr>
        <w:t xml:space="preserve">the next </w:t>
      </w:r>
      <w:r w:rsidRPr="00B53F89">
        <w:rPr>
          <w:rFonts w:eastAsia="SimSun"/>
          <w:lang w:eastAsia="zh-CN"/>
        </w:rPr>
        <w:t xml:space="preserve">AWG-26 in </w:t>
      </w:r>
      <w:r w:rsidRPr="000C7A81">
        <w:rPr>
          <w:rFonts w:eastAsia="SimSun"/>
          <w:lang w:eastAsia="zh-CN"/>
        </w:rPr>
        <w:t>2020</w:t>
      </w:r>
      <w:r w:rsidR="00B2132C">
        <w:rPr>
          <w:rFonts w:eastAsia="SimSun"/>
          <w:lang w:eastAsia="zh-CN"/>
        </w:rPr>
        <w:t>,</w:t>
      </w:r>
      <w:r w:rsidRPr="00B53F89">
        <w:rPr>
          <w:rFonts w:eastAsia="SimSun"/>
          <w:lang w:eastAsia="zh-CN"/>
        </w:rPr>
        <w:t xml:space="preserve"> but this may be reviewed depending on progress.</w:t>
      </w:r>
    </w:p>
    <w:p w14:paraId="00EF31DC" w14:textId="77777777" w:rsidR="00D35ECC" w:rsidRPr="00B53F89" w:rsidRDefault="00D35ECC" w:rsidP="00D35ECC">
      <w:pPr>
        <w:pStyle w:val="BodySubHeader"/>
      </w:pPr>
      <w:r w:rsidRPr="00B53F89">
        <w:t>Next steps</w:t>
      </w:r>
    </w:p>
    <w:p w14:paraId="735864D7" w14:textId="6AF4C085" w:rsidR="00D35ECC" w:rsidRPr="00B53F89" w:rsidRDefault="00B2132C" w:rsidP="00D35ECC">
      <w:pPr>
        <w:rPr>
          <w:rFonts w:cs="Arial"/>
          <w:szCs w:val="20"/>
        </w:rPr>
      </w:pPr>
      <w:r>
        <w:t>We</w:t>
      </w:r>
      <w:r w:rsidR="00D35ECC" w:rsidRPr="00B53F89">
        <w:t xml:space="preserve"> will continue to monitor and engage with stakeholders via the usual international preparatory process to develop Australian positions on studies under </w:t>
      </w:r>
      <w:r w:rsidR="00D35ECC" w:rsidRPr="00B53F89">
        <w:rPr>
          <w:rFonts w:cs="Arial"/>
        </w:rPr>
        <w:t xml:space="preserve">Resolution </w:t>
      </w:r>
      <w:r w:rsidR="00D35ECC" w:rsidRPr="00B53F89">
        <w:rPr>
          <w:rFonts w:cs="Arial"/>
          <w:b/>
        </w:rPr>
        <w:t xml:space="preserve">223 (Rev. WRC-15) </w:t>
      </w:r>
      <w:r w:rsidR="00D35ECC" w:rsidRPr="00B53F89">
        <w:t>and Resolution</w:t>
      </w:r>
      <w:r w:rsidR="00D35ECC" w:rsidRPr="00B53F89">
        <w:rPr>
          <w:rFonts w:cs="Arial"/>
          <w:b/>
        </w:rPr>
        <w:t xml:space="preserve"> 761 (WRC-15),</w:t>
      </w:r>
      <w:r w:rsidR="00D35ECC" w:rsidRPr="00B53F89">
        <w:rPr>
          <w:rFonts w:cs="Arial"/>
        </w:rPr>
        <w:t xml:space="preserve"> </w:t>
      </w:r>
      <w:r w:rsidR="00D35ECC" w:rsidRPr="00B53F89">
        <w:t xml:space="preserve">and other international issues related to the 1.5 GHz band, such as possible new band plans. </w:t>
      </w:r>
      <w:r w:rsidR="00D35ECC" w:rsidRPr="00B53F89">
        <w:rPr>
          <w:rFonts w:cs="Arial"/>
          <w:szCs w:val="20"/>
        </w:rPr>
        <w:t>Stakeholders have also indicated interest in the band for private LTE networks, subject to equipment availability.</w:t>
      </w:r>
    </w:p>
    <w:p w14:paraId="2121747C" w14:textId="77777777" w:rsidR="00D35ECC" w:rsidRPr="00B53F89" w:rsidRDefault="00D35ECC" w:rsidP="00D35ECC">
      <w:r w:rsidRPr="00B53F89">
        <w:t>As the coexistence with possible MSS use above 1518 MHz is likely to be a substantial consideration, the simultaneous review of the extended MSS L-band and the 1.5 GHz bands is considered to be appropriate.</w:t>
      </w:r>
    </w:p>
    <w:p w14:paraId="50A1074D" w14:textId="1BF4CC7F" w:rsidR="00D35ECC" w:rsidRDefault="00D35ECC" w:rsidP="00D35ECC">
      <w:r w:rsidRPr="00B53F89">
        <w:t xml:space="preserve">See </w:t>
      </w:r>
      <w:r w:rsidR="003C4953" w:rsidRPr="003C4953">
        <w:t>t</w:t>
      </w:r>
      <w:r w:rsidRPr="003C4953">
        <w:t xml:space="preserve">he </w:t>
      </w:r>
      <w:r w:rsidRPr="00513FDE">
        <w:rPr>
          <w:i/>
          <w:iCs/>
        </w:rPr>
        <w:t>Forward allocation work plan</w:t>
      </w:r>
      <w:r w:rsidRPr="003C4953">
        <w:t xml:space="preserve"> </w:t>
      </w:r>
      <w:r w:rsidR="003406B8">
        <w:t xml:space="preserve">section </w:t>
      </w:r>
      <w:r w:rsidRPr="003C4953">
        <w:t>for</w:t>
      </w:r>
      <w:r w:rsidRPr="00B53F89">
        <w:t xml:space="preserve"> more information.</w:t>
      </w:r>
      <w:bookmarkEnd w:id="276"/>
    </w:p>
    <w:p w14:paraId="1CD51A1B" w14:textId="12AD9F87" w:rsidR="00D35ECC" w:rsidRDefault="00B2132C" w:rsidP="00513FDE">
      <w:pPr>
        <w:keepNext/>
        <w:keepLines/>
        <w:spacing w:after="0"/>
      </w:pPr>
      <w:r w:rsidRPr="006A2F04">
        <w:rPr>
          <w:noProof/>
        </w:rPr>
        <w:lastRenderedPageBreak/>
        <w:drawing>
          <wp:inline distT="0" distB="0" distL="0" distR="0" wp14:anchorId="5CACB786" wp14:editId="6909876A">
            <wp:extent cx="342900" cy="361950"/>
            <wp:effectExtent l="0" t="0" r="0" b="0"/>
            <wp:docPr id="205" name="Picture 205" descr="Radio/TV broadcas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adio/TV broadcasting ic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34727ED2" wp14:editId="277817AE">
            <wp:extent cx="341630" cy="359410"/>
            <wp:effectExtent l="0" t="0" r="1270" b="2540"/>
            <wp:docPr id="206" name="Picture 206"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Pr="006A2F04">
        <w:rPr>
          <w:noProof/>
        </w:rPr>
        <w:drawing>
          <wp:inline distT="0" distB="0" distL="0" distR="0" wp14:anchorId="0857CF02" wp14:editId="2BAD3DEB">
            <wp:extent cx="342900" cy="361950"/>
            <wp:effectExtent l="0" t="0" r="0" b="0"/>
            <wp:docPr id="207" name="Picture 207"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29CDBD82" wp14:editId="54EBF84C">
            <wp:extent cx="342900" cy="361950"/>
            <wp:effectExtent l="0" t="0" r="0" b="0"/>
            <wp:docPr id="208" name="Picture 208" descr="Avi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viation icon"/>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58A30A0D" w14:textId="0424DEE7" w:rsidR="00B2132C" w:rsidRPr="00B2132C" w:rsidRDefault="00B2132C" w:rsidP="00513FDE">
      <w:pPr>
        <w:pStyle w:val="Heading3"/>
        <w:keepLines/>
        <w:rPr>
          <w:b w:val="0"/>
        </w:rPr>
      </w:pPr>
      <w:bookmarkStart w:id="277" w:name="_Toc38987182"/>
      <w:r w:rsidRPr="000C7A81">
        <w:t>2 GHz (1980–2010 MHz and 2170–2200 MHz)</w:t>
      </w:r>
      <w:bookmarkEnd w:id="277"/>
    </w:p>
    <w:p w14:paraId="43D245A8" w14:textId="7B26B2B6" w:rsidR="00B2132C" w:rsidRPr="00B53F89" w:rsidRDefault="00B2132C" w:rsidP="00513FDE">
      <w:pPr>
        <w:keepNext/>
        <w:keepLines/>
      </w:pPr>
      <w:r w:rsidRPr="00B53F89">
        <w:rPr>
          <w:rFonts w:cs="Arial"/>
        </w:rPr>
        <w:t>T</w:t>
      </w:r>
      <w:r w:rsidRPr="00B53F89">
        <w:t xml:space="preserve">he 1980–2010 MHz and 2170–2200 MHz bands are currently used for television outside broadcast (TOB) services on a shared and non-exclusive basis for short-term applications, such as covering special events. TOB was introduced in the 2 GHz band in 2012 on an interim basis. </w:t>
      </w:r>
    </w:p>
    <w:p w14:paraId="74C70D14" w14:textId="77777777" w:rsidR="00B2132C" w:rsidRPr="00B53F89" w:rsidRDefault="00B2132C" w:rsidP="00513FDE">
      <w:pPr>
        <w:pStyle w:val="Paragraphbeforelist"/>
      </w:pPr>
      <w:r w:rsidRPr="00B53F89">
        <w:t xml:space="preserve">In Australia, policy arrangements are currently in place to support the following uses in various parts of the 2 GHz band: </w:t>
      </w:r>
    </w:p>
    <w:p w14:paraId="134DAA4F" w14:textId="77777777" w:rsidR="00B2132C" w:rsidRPr="00B53F89" w:rsidRDefault="00B2132C" w:rsidP="00B2132C">
      <w:pPr>
        <w:pStyle w:val="ListBullet"/>
        <w:ind w:left="284" w:hanging="284"/>
      </w:pPr>
      <w:r w:rsidRPr="009F36F7">
        <w:t>TOB</w:t>
      </w:r>
      <w:r w:rsidRPr="00B53F89">
        <w:t xml:space="preserve"> </w:t>
      </w:r>
      <w:r w:rsidRPr="009F36F7">
        <w:t>services</w:t>
      </w:r>
      <w:r w:rsidRPr="00B53F89">
        <w:t xml:space="preserve">—as detailed in </w:t>
      </w:r>
      <w:hyperlink r:id="rId71" w:history="1">
        <w:r w:rsidRPr="00B53F89">
          <w:rPr>
            <w:rStyle w:val="Hyperlink"/>
          </w:rPr>
          <w:t>RALI FX21</w:t>
        </w:r>
      </w:hyperlink>
    </w:p>
    <w:p w14:paraId="258B5DDC" w14:textId="77777777" w:rsidR="00B2132C" w:rsidRPr="00B53F89" w:rsidRDefault="00B2132C" w:rsidP="00B2132C">
      <w:pPr>
        <w:pStyle w:val="ListBullet"/>
        <w:ind w:left="284" w:hanging="284"/>
      </w:pPr>
      <w:r w:rsidRPr="00B53F89">
        <w:t>fixed point-to-point services that were licensed prior to the TOB band plan coming into effect</w:t>
      </w:r>
    </w:p>
    <w:p w14:paraId="6E9C8D7F" w14:textId="77777777" w:rsidR="00B2132C" w:rsidRPr="00B53F89" w:rsidRDefault="00B2132C" w:rsidP="00B2132C">
      <w:pPr>
        <w:pStyle w:val="ListBulletLast"/>
        <w:ind w:left="284" w:hanging="284"/>
      </w:pPr>
      <w:r w:rsidRPr="00B53F89">
        <w:t>short-term technology demonstrations or other short-term applications.</w:t>
      </w:r>
    </w:p>
    <w:p w14:paraId="06ED3368" w14:textId="77777777" w:rsidR="00B2132C" w:rsidRPr="00B53F89" w:rsidRDefault="00B2132C" w:rsidP="00B2132C">
      <w:pPr>
        <w:pStyle w:val="BodySubHeader"/>
        <w:keepNext/>
      </w:pPr>
      <w:r w:rsidRPr="00B53F89">
        <w:t>Recent developments</w:t>
      </w:r>
    </w:p>
    <w:p w14:paraId="54D9D068" w14:textId="77777777" w:rsidR="00B2132C" w:rsidRPr="00B53F89" w:rsidRDefault="00B2132C" w:rsidP="00513FDE">
      <w:pPr>
        <w:pStyle w:val="Paragraphbeforelist"/>
      </w:pPr>
      <w:r w:rsidRPr="00B53F89">
        <w:t xml:space="preserve">To assist future consideration of the </w:t>
      </w:r>
      <w:r w:rsidRPr="00B53F89">
        <w:rPr>
          <w:szCs w:val="26"/>
        </w:rPr>
        <w:t>2 GHz band</w:t>
      </w:r>
      <w:r w:rsidRPr="00B53F89">
        <w:t xml:space="preserve">, the ACMA released the discussion paper </w:t>
      </w:r>
      <w:hyperlink r:id="rId72" w:history="1">
        <w:r w:rsidRPr="006A2F04">
          <w:rPr>
            <w:rStyle w:val="Hyperlink"/>
            <w:i/>
            <w:iCs/>
          </w:rPr>
          <w:t>Planning of the 2 GHz band</w:t>
        </w:r>
      </w:hyperlink>
      <w:r w:rsidRPr="00B53F89">
        <w:t xml:space="preserve"> in August 2019 seeking industry views on what technologies should be supported and replanning considerations. Reflecting on international and domestic trends in the 2 GHz band, it appears one or a combination of the following four services could potentially make use of this spectrum in the future:</w:t>
      </w:r>
    </w:p>
    <w:p w14:paraId="5AEF4D45" w14:textId="0F1F221E" w:rsidR="003C4953" w:rsidRPr="00B53F89" w:rsidRDefault="003C4953" w:rsidP="00B2132C">
      <w:pPr>
        <w:pStyle w:val="ListBullet"/>
        <w:keepNext w:val="0"/>
        <w:keepLines w:val="0"/>
        <w:ind w:left="284" w:hanging="284"/>
        <w:rPr>
          <w:rFonts w:cs="Arial"/>
        </w:rPr>
      </w:pPr>
      <w:r>
        <w:t>TOB</w:t>
      </w:r>
    </w:p>
    <w:p w14:paraId="4B649E7A" w14:textId="77777777" w:rsidR="00B2132C" w:rsidRPr="00B53F89" w:rsidRDefault="00B2132C" w:rsidP="00B2132C">
      <w:pPr>
        <w:pStyle w:val="ListBullet"/>
        <w:keepNext w:val="0"/>
        <w:keepLines w:val="0"/>
        <w:tabs>
          <w:tab w:val="num" w:pos="397"/>
        </w:tabs>
        <w:ind w:left="284" w:hanging="284"/>
        <w:rPr>
          <w:rFonts w:cs="Arial"/>
        </w:rPr>
      </w:pPr>
      <w:r w:rsidRPr="00B53F89">
        <w:rPr>
          <w:rFonts w:cs="Arial"/>
        </w:rPr>
        <w:t xml:space="preserve">mobile-satellite </w:t>
      </w:r>
      <w:r w:rsidRPr="00B53F89">
        <w:t xml:space="preserve">services </w:t>
      </w:r>
      <w:r w:rsidRPr="00B53F89">
        <w:rPr>
          <w:rFonts w:cs="Arial"/>
        </w:rPr>
        <w:t>(</w:t>
      </w:r>
      <w:r w:rsidRPr="00B53F89">
        <w:t>with</w:t>
      </w:r>
      <w:r w:rsidRPr="00B53F89">
        <w:rPr>
          <w:rFonts w:cs="Arial"/>
        </w:rPr>
        <w:t xml:space="preserve"> or without Ancillary Terrestrial Component/Complementary Ground Component rules), including satellite IoT</w:t>
      </w:r>
    </w:p>
    <w:p w14:paraId="6E207D4B" w14:textId="77777777" w:rsidR="00B2132C" w:rsidRPr="00B53F89" w:rsidRDefault="00B2132C" w:rsidP="00B2132C">
      <w:pPr>
        <w:pStyle w:val="ListBullet"/>
        <w:keepNext w:val="0"/>
        <w:keepLines w:val="0"/>
        <w:ind w:left="284" w:hanging="284"/>
        <w:rPr>
          <w:rFonts w:cs="Arial"/>
        </w:rPr>
      </w:pPr>
      <w:r w:rsidRPr="00B53F89">
        <w:rPr>
          <w:rFonts w:cs="Arial"/>
        </w:rPr>
        <w:t xml:space="preserve">mobile broadband services </w:t>
      </w:r>
    </w:p>
    <w:p w14:paraId="6F739151" w14:textId="77777777" w:rsidR="00B2132C" w:rsidRDefault="00B2132C" w:rsidP="00B2132C">
      <w:pPr>
        <w:pStyle w:val="ListBulletLast"/>
        <w:ind w:left="284" w:hanging="284"/>
      </w:pPr>
      <w:r w:rsidRPr="00B53F89">
        <w:t xml:space="preserve">direct air-to-ground communications. </w:t>
      </w:r>
    </w:p>
    <w:p w14:paraId="3F9ABFFF" w14:textId="386C82DC" w:rsidR="00B2132C" w:rsidRPr="00B53F89" w:rsidRDefault="00B2132C" w:rsidP="00B2132C">
      <w:r>
        <w:t>The ACMA currently plans to consult on an options paper for potential future uses of the 2 GHz band in Q2</w:t>
      </w:r>
      <w:r w:rsidR="003C4953">
        <w:t>–</w:t>
      </w:r>
      <w:r>
        <w:t>3 2020.</w:t>
      </w:r>
    </w:p>
    <w:p w14:paraId="2EC45EF2" w14:textId="77777777" w:rsidR="00B2132C" w:rsidRPr="00B53F89" w:rsidRDefault="00B2132C" w:rsidP="00B2132C">
      <w:pPr>
        <w:pStyle w:val="BodySubHeader"/>
      </w:pPr>
      <w:r w:rsidRPr="00B53F89">
        <w:t>Next steps</w:t>
      </w:r>
    </w:p>
    <w:p w14:paraId="3E7B446E" w14:textId="2D631C23" w:rsidR="00B2132C" w:rsidRPr="00B53F89" w:rsidRDefault="003C4953" w:rsidP="00B2132C">
      <w:pPr>
        <w:pStyle w:val="ListBulletLast"/>
        <w:numPr>
          <w:ilvl w:val="0"/>
          <w:numId w:val="0"/>
        </w:numPr>
      </w:pPr>
      <w:r>
        <w:t>We</w:t>
      </w:r>
      <w:r w:rsidR="00B2132C" w:rsidRPr="00B53F89">
        <w:t xml:space="preserve"> plan to consider submissions to the </w:t>
      </w:r>
      <w:r w:rsidR="00B2132C">
        <w:t>options</w:t>
      </w:r>
      <w:r w:rsidR="00B2132C" w:rsidRPr="00B53F89">
        <w:t xml:space="preserve"> paper in Q</w:t>
      </w:r>
      <w:r w:rsidR="00B2132C">
        <w:t>3</w:t>
      </w:r>
      <w:r w:rsidR="00B2132C" w:rsidRPr="00B53F89">
        <w:t xml:space="preserve"> 20</w:t>
      </w:r>
      <w:r w:rsidR="00B2132C">
        <w:t>20</w:t>
      </w:r>
      <w:r w:rsidR="00B2132C" w:rsidRPr="00B53F89">
        <w:t xml:space="preserve">, with an aim to </w:t>
      </w:r>
      <w:r w:rsidR="00B2132C">
        <w:t>releasing</w:t>
      </w:r>
      <w:r w:rsidR="00B2132C" w:rsidRPr="00B53F89">
        <w:t>, if appropriate, a</w:t>
      </w:r>
      <w:r w:rsidR="00B2132C">
        <w:t xml:space="preserve"> decision </w:t>
      </w:r>
      <w:r w:rsidR="00B2132C" w:rsidRPr="00B53F89">
        <w:t>paper for future use of the 1980–2010 MHz and 2170–2200 MHz bands in Q</w:t>
      </w:r>
      <w:r w:rsidR="00B2132C">
        <w:t>4</w:t>
      </w:r>
      <w:r w:rsidR="00B2132C" w:rsidRPr="00B53F89">
        <w:t xml:space="preserve"> </w:t>
      </w:r>
      <w:r w:rsidR="00B2132C">
        <w:t>2020</w:t>
      </w:r>
    </w:p>
    <w:p w14:paraId="19FCF3A0" w14:textId="4FA2B136" w:rsidR="00B2132C" w:rsidRPr="00B53F89" w:rsidRDefault="003C4953" w:rsidP="00B2132C">
      <w:pPr>
        <w:pStyle w:val="ACMANormalTabbed"/>
      </w:pPr>
      <w:r>
        <w:t>We</w:t>
      </w:r>
      <w:r w:rsidR="00B2132C" w:rsidRPr="00B53F89">
        <w:t xml:space="preserve"> remain open to case-by-case consideration of licence applications for test and demonstration purposes in the frequency ranges 1980–1985 MHz and 2170–2175 MHz (the guard band between TOB </w:t>
      </w:r>
      <w:r w:rsidR="00B2132C" w:rsidRPr="002738F4">
        <w:t>and frequency adjacent spectrum licensing</w:t>
      </w:r>
      <w:r w:rsidR="00B2132C" w:rsidRPr="00B53F89">
        <w:t xml:space="preserve"> and apparatus-licensed public mobile telecommunications services) on a short-term basis, subject to appropriate interference management and resolution conditions where these applications will not impact on existing services.</w:t>
      </w:r>
    </w:p>
    <w:p w14:paraId="067BD62B" w14:textId="3F0F6A01" w:rsidR="00B2132C" w:rsidRDefault="00B2132C" w:rsidP="00B2132C">
      <w:r w:rsidRPr="00B53F89">
        <w:t xml:space="preserve">With TOB usage typically limited to capital city areas and regional areas for major events, </w:t>
      </w:r>
      <w:r w:rsidR="007A7511">
        <w:t>we</w:t>
      </w:r>
      <w:r w:rsidRPr="00B53F89">
        <w:t xml:space="preserve"> consider it is also possible to support licence applications for test and demonstration purposes in the wider 1980–2010 MHz and 2170–2200 MHz bands in remote-density and some low-density areas on a short-term basis, subject to appropriate interference management and resolution conditions.</w:t>
      </w:r>
    </w:p>
    <w:p w14:paraId="17EF33FD" w14:textId="1D0947FD" w:rsidR="00B2132C" w:rsidRDefault="00B2132C" w:rsidP="00513FDE">
      <w:pPr>
        <w:keepNext/>
        <w:keepLines/>
        <w:spacing w:after="0"/>
      </w:pPr>
      <w:r w:rsidRPr="006A2F04">
        <w:rPr>
          <w:noProof/>
        </w:rPr>
        <w:lastRenderedPageBreak/>
        <w:drawing>
          <wp:inline distT="0" distB="0" distL="0" distR="0" wp14:anchorId="6200CF9B" wp14:editId="5429583B">
            <wp:extent cx="342900" cy="361950"/>
            <wp:effectExtent l="0" t="0" r="0" b="0"/>
            <wp:docPr id="209" name="Picture 209"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70461359" wp14:editId="4B612781">
            <wp:extent cx="341630" cy="359410"/>
            <wp:effectExtent l="0" t="0" r="1270" b="2540"/>
            <wp:docPr id="210" name="Picture 210"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Pr="006A2F04">
        <w:rPr>
          <w:noProof/>
        </w:rPr>
        <w:drawing>
          <wp:inline distT="0" distB="0" distL="0" distR="0" wp14:anchorId="081B7FFE" wp14:editId="2209E6E7">
            <wp:extent cx="342900" cy="361950"/>
            <wp:effectExtent l="0" t="0" r="0" b="0"/>
            <wp:docPr id="211" name="Picture 211"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16217EF4" w14:textId="74784235" w:rsidR="00B2132C" w:rsidRDefault="00B2132C" w:rsidP="00513FDE">
      <w:pPr>
        <w:pStyle w:val="Heading3"/>
        <w:keepLines/>
      </w:pPr>
      <w:bookmarkStart w:id="278" w:name="_Toc38987183"/>
      <w:r w:rsidRPr="00B53F89">
        <w:t>3700–4200 MHz</w:t>
      </w:r>
      <w:bookmarkEnd w:id="278"/>
    </w:p>
    <w:p w14:paraId="2A8D16B7" w14:textId="77777777" w:rsidR="00B2132C" w:rsidRDefault="00B2132C" w:rsidP="00513FDE">
      <w:pPr>
        <w:keepNext/>
        <w:keepLines/>
      </w:pPr>
      <w:r w:rsidRPr="00B53F89">
        <w:t>The 3700–4200 MHz band is allocated on a co-primary basis in the ARSP to the fixed, fixed-satellite (space-to-earth) and mobile services.</w:t>
      </w:r>
    </w:p>
    <w:p w14:paraId="01AD254E" w14:textId="77777777" w:rsidR="00B2132C" w:rsidRPr="00B53F89" w:rsidRDefault="00B2132C" w:rsidP="00513FDE">
      <w:pPr>
        <w:keepNext/>
        <w:keepLines/>
      </w:pPr>
      <w:r>
        <w:t>U</w:t>
      </w:r>
      <w:r w:rsidRPr="00B53F89">
        <w:t xml:space="preserve">se of the 3700–4200 MHz band has been debated internationally for several years. Recently, there has been increasing interest in the lower and lower-adjacent parts of this band for 5G services, particularly given the large bandwidths potentially available in this range. </w:t>
      </w:r>
    </w:p>
    <w:p w14:paraId="6A7CC500" w14:textId="10EED66F" w:rsidR="00B2132C" w:rsidRPr="00B53F89" w:rsidRDefault="007A7511" w:rsidP="00B2132C">
      <w:r>
        <w:t>We are</w:t>
      </w:r>
      <w:r w:rsidR="00B2132C" w:rsidRPr="00B53F89">
        <w:t xml:space="preserve"> alert to the needs of existing fixed satellite and point-to-point uses of the band, as well as the potential for both wide</w:t>
      </w:r>
      <w:r>
        <w:t>-</w:t>
      </w:r>
      <w:r w:rsidR="00B2132C" w:rsidRPr="00B53F89">
        <w:t>area and site</w:t>
      </w:r>
      <w:r>
        <w:t>-</w:t>
      </w:r>
      <w:r w:rsidR="00B2132C" w:rsidRPr="00B53F89">
        <w:t>based—for example, FWA</w:t>
      </w:r>
      <w:r>
        <w:t>—</w:t>
      </w:r>
      <w:r w:rsidR="00B2132C" w:rsidRPr="00B53F89">
        <w:t>wireless broadband. Considering the whole band simultaneously will maximise the opportunity for balanced approaches that take appropriate account of all interests.</w:t>
      </w:r>
    </w:p>
    <w:p w14:paraId="4F9E7C86" w14:textId="77777777" w:rsidR="00B2132C" w:rsidRPr="00B53F89" w:rsidRDefault="00B2132C" w:rsidP="00B2132C">
      <w:pPr>
        <w:pStyle w:val="BodySubHeader"/>
        <w:keepNext/>
        <w:keepLines/>
      </w:pPr>
      <w:r w:rsidRPr="00B53F89">
        <w:t>Recent developments</w:t>
      </w:r>
    </w:p>
    <w:p w14:paraId="0E1C0443" w14:textId="77777777" w:rsidR="00B2132C" w:rsidRPr="00B53F89" w:rsidRDefault="00B2132C" w:rsidP="00B2132C">
      <w:pPr>
        <w:keepNext/>
        <w:keepLines/>
      </w:pPr>
      <w:r>
        <w:t>In February 2020, in the US, the FCC decided to auction</w:t>
      </w:r>
      <w:r>
        <w:rPr>
          <w:rStyle w:val="FootnoteReference"/>
        </w:rPr>
        <w:footnoteReference w:id="52"/>
      </w:r>
      <w:r>
        <w:t xml:space="preserve"> the 3700–3980 MHz segment of the band for 5G (that is, WBB) use, preserving only the 4000–4200 MHz segment for FSS.</w:t>
      </w:r>
    </w:p>
    <w:p w14:paraId="63DC412D" w14:textId="59928B5F" w:rsidR="00B2132C" w:rsidRPr="00B53F89" w:rsidRDefault="007A7511" w:rsidP="00B2132C">
      <w:r>
        <w:t>We</w:t>
      </w:r>
      <w:r w:rsidR="00B2132C">
        <w:t xml:space="preserve"> plan to consult on an options paper for potential future uses of the 3700–4200 MHz band in Q2</w:t>
      </w:r>
      <w:r>
        <w:t>–</w:t>
      </w:r>
      <w:r w:rsidR="00B2132C">
        <w:t>3 2020.</w:t>
      </w:r>
    </w:p>
    <w:p w14:paraId="13BD3617" w14:textId="77777777" w:rsidR="00B2132C" w:rsidRPr="00B53F89" w:rsidRDefault="00B2132C" w:rsidP="00B2132C">
      <w:pPr>
        <w:pStyle w:val="BodySubHeader"/>
        <w:keepNext/>
      </w:pPr>
      <w:r w:rsidRPr="00B53F89">
        <w:t>Next steps</w:t>
      </w:r>
    </w:p>
    <w:p w14:paraId="27FF049C" w14:textId="333C8B5C" w:rsidR="00B2132C" w:rsidRDefault="007A7511" w:rsidP="00B2132C">
      <w:bookmarkStart w:id="279" w:name="_Hlk33169185"/>
      <w:r>
        <w:t>We</w:t>
      </w:r>
      <w:r w:rsidR="00B2132C" w:rsidRPr="00B53F89">
        <w:t xml:space="preserve"> plan to consider submissions to the </w:t>
      </w:r>
      <w:r w:rsidR="00B2132C">
        <w:t>options</w:t>
      </w:r>
      <w:r w:rsidR="00B2132C" w:rsidRPr="00B53F89">
        <w:t xml:space="preserve"> paper in Q</w:t>
      </w:r>
      <w:r w:rsidR="00B2132C">
        <w:t>3</w:t>
      </w:r>
      <w:r w:rsidR="00B2132C" w:rsidRPr="00B53F89">
        <w:t xml:space="preserve"> 20</w:t>
      </w:r>
      <w:r w:rsidR="00B2132C">
        <w:t>20</w:t>
      </w:r>
      <w:r w:rsidR="00B2132C" w:rsidRPr="00B53F89">
        <w:t xml:space="preserve">, with an aim to </w:t>
      </w:r>
      <w:r w:rsidR="00B2132C">
        <w:t>releasing</w:t>
      </w:r>
      <w:r w:rsidR="00B2132C" w:rsidRPr="00B53F89">
        <w:t>, if appropriate, a</w:t>
      </w:r>
      <w:r w:rsidR="00B2132C">
        <w:t xml:space="preserve"> decision </w:t>
      </w:r>
      <w:r w:rsidR="00B2132C" w:rsidRPr="00B53F89">
        <w:t>paper for future use of the 3700–4200 MHz band in Q</w:t>
      </w:r>
      <w:r w:rsidR="00B2132C">
        <w:t>4</w:t>
      </w:r>
      <w:r w:rsidR="00B2132C" w:rsidRPr="00B53F89">
        <w:t xml:space="preserve"> </w:t>
      </w:r>
      <w:r w:rsidR="00B2132C">
        <w:t>2020</w:t>
      </w:r>
      <w:bookmarkEnd w:id="279"/>
      <w:r>
        <w:t>.</w:t>
      </w:r>
    </w:p>
    <w:p w14:paraId="0C6B4DEB" w14:textId="5C6A4476" w:rsidR="00B2132C" w:rsidRDefault="007A7511" w:rsidP="007A7511">
      <w:pPr>
        <w:pStyle w:val="Heading2"/>
      </w:pPr>
      <w:bookmarkStart w:id="280" w:name="_Toc38987184"/>
      <w:r w:rsidRPr="00B53F89">
        <w:t>Replanning</w:t>
      </w:r>
      <w:bookmarkEnd w:id="280"/>
    </w:p>
    <w:p w14:paraId="3FE446EF" w14:textId="77777777" w:rsidR="007A7511" w:rsidRPr="00B53F89" w:rsidRDefault="007A7511" w:rsidP="007A7511">
      <w:pPr>
        <w:rPr>
          <w:rFonts w:eastAsia="Calibri"/>
        </w:rPr>
      </w:pPr>
      <w:r w:rsidRPr="00B53F89">
        <w:t xml:space="preserve">The </w:t>
      </w:r>
      <w:r w:rsidRPr="00AB3EDB">
        <w:rPr>
          <w:i/>
          <w:iCs/>
        </w:rPr>
        <w:t>replanning</w:t>
      </w:r>
      <w:r w:rsidRPr="00B53F89">
        <w:t xml:space="preserve"> stage </w:t>
      </w:r>
      <w:r w:rsidRPr="00513FDE">
        <w:rPr>
          <w:bCs/>
        </w:rPr>
        <w:t>i</w:t>
      </w:r>
      <w:r w:rsidRPr="00B53F89">
        <w:rPr>
          <w:rFonts w:eastAsia="Calibri"/>
        </w:rPr>
        <w:t>ncludes further development of detailed technical planning frameworks (including further consultation where necessary). Depending on the nature of the existing use of the band, this stage could potentially lead to re</w:t>
      </w:r>
      <w:r w:rsidRPr="00B53F89">
        <w:rPr>
          <w:rFonts w:eastAsia="Calibri"/>
        </w:rPr>
        <w:noBreakHyphen/>
        <w:t xml:space="preserve">farming or reallocation activities. </w:t>
      </w:r>
    </w:p>
    <w:p w14:paraId="73D137E8" w14:textId="6B8F75C2" w:rsidR="007A7511" w:rsidRDefault="007A7511" w:rsidP="007A7511">
      <w:r w:rsidRPr="00B53F89">
        <w:rPr>
          <w:rFonts w:eastAsia="Calibri"/>
        </w:rPr>
        <w:t xml:space="preserve">Conclusions from </w:t>
      </w:r>
      <w:r w:rsidR="003406B8">
        <w:rPr>
          <w:rFonts w:eastAsia="Calibri"/>
        </w:rPr>
        <w:t>our</w:t>
      </w:r>
      <w:r w:rsidRPr="00B53F89">
        <w:rPr>
          <w:rFonts w:eastAsia="Calibri"/>
        </w:rPr>
        <w:t xml:space="preserve"> planning process are communicated in an outcomes (decision) paper that may include decisions on issues within </w:t>
      </w:r>
      <w:r w:rsidR="003406B8">
        <w:rPr>
          <w:rFonts w:eastAsia="Calibri"/>
        </w:rPr>
        <w:t>our</w:t>
      </w:r>
      <w:r w:rsidR="003406B8" w:rsidRPr="00B53F89">
        <w:rPr>
          <w:rFonts w:eastAsia="Calibri"/>
        </w:rPr>
        <w:t xml:space="preserve"> </w:t>
      </w:r>
      <w:r w:rsidRPr="00B53F89">
        <w:rPr>
          <w:rFonts w:eastAsia="Calibri"/>
        </w:rPr>
        <w:t xml:space="preserve">remit and/or identify preliminary dispositions on future activities subject to further legislative process—for example, decision or actions to be undertaken by the </w:t>
      </w:r>
      <w:r>
        <w:rPr>
          <w:rFonts w:eastAsia="Calibri"/>
        </w:rPr>
        <w:t>M</w:t>
      </w:r>
      <w:r w:rsidRPr="00B53F89">
        <w:rPr>
          <w:rFonts w:eastAsia="Calibri"/>
        </w:rPr>
        <w:t>inister.</w:t>
      </w:r>
    </w:p>
    <w:p w14:paraId="2E5945DD" w14:textId="75F177C2" w:rsidR="007A7511" w:rsidRDefault="007A7511" w:rsidP="00D904DC">
      <w:pPr>
        <w:spacing w:after="0"/>
      </w:pPr>
      <w:r w:rsidRPr="006A2F04">
        <w:rPr>
          <w:noProof/>
        </w:rPr>
        <w:drawing>
          <wp:inline distT="0" distB="0" distL="0" distR="0" wp14:anchorId="1F5FFC0A" wp14:editId="4054D7FC">
            <wp:extent cx="342900" cy="361950"/>
            <wp:effectExtent l="0" t="0" r="0" b="0"/>
            <wp:docPr id="212" name="Picture 212"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1DBBB252" wp14:editId="44B4BF8B">
            <wp:extent cx="342900" cy="361950"/>
            <wp:effectExtent l="0" t="0" r="0" b="0"/>
            <wp:docPr id="213" name="Picture 213" descr="Radio/TV broadcas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adio/TV broadcasting ic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17114966" wp14:editId="0D397B9D">
            <wp:extent cx="342900" cy="361950"/>
            <wp:effectExtent l="0" t="0" r="0" b="0"/>
            <wp:docPr id="214" name="Picture 214" descr="Point to multi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int to multipoint ico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1F6D9352" wp14:editId="49B96F34">
            <wp:extent cx="342900" cy="361950"/>
            <wp:effectExtent l="0" t="0" r="0" b="0"/>
            <wp:docPr id="215" name="Picture 215"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4B8C3600" wp14:editId="5D0086D3">
            <wp:extent cx="342900" cy="361950"/>
            <wp:effectExtent l="0" t="0" r="0" b="0"/>
            <wp:docPr id="216" name="Picture 216"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0C00A4DA" w14:textId="1A7A1391" w:rsidR="007A7511" w:rsidRDefault="007A7511" w:rsidP="007A7511">
      <w:pPr>
        <w:pStyle w:val="Heading3"/>
      </w:pPr>
      <w:bookmarkStart w:id="281" w:name="_Toc38987185"/>
      <w:r w:rsidRPr="00B53F89">
        <w:t>850 MHz expansion band (809–824 MHz and 854–869 MHz)</w:t>
      </w:r>
      <w:bookmarkEnd w:id="281"/>
    </w:p>
    <w:p w14:paraId="20E31E4A" w14:textId="5B6DC204" w:rsidR="007A7511" w:rsidRPr="00B53F89" w:rsidRDefault="007A7511" w:rsidP="007A7511">
      <w:r w:rsidRPr="00B53F89">
        <w:t xml:space="preserve">In November 2015, </w:t>
      </w:r>
      <w:r w:rsidR="003406B8">
        <w:t>we</w:t>
      </w:r>
      <w:r w:rsidRPr="00B53F89">
        <w:t xml:space="preserve"> released </w:t>
      </w:r>
      <w:r w:rsidR="003406B8">
        <w:t>our</w:t>
      </w:r>
      <w:r w:rsidR="003406B8" w:rsidRPr="00B53F89">
        <w:t xml:space="preserve"> </w:t>
      </w:r>
      <w:hyperlink r:id="rId73" w:history="1">
        <w:r w:rsidRPr="00B53F89">
          <w:rPr>
            <w:rStyle w:val="Hyperlink"/>
            <w:i/>
          </w:rPr>
          <w:t>Long-term strategy for the 803–960 MHz band</w:t>
        </w:r>
      </w:hyperlink>
      <w:r w:rsidRPr="00B53F89">
        <w:t xml:space="preserve"> decision paper, signalling an end to the review of this band and commencement of a long-term implementation plan to put those decisions into effect. One of the key decisions arising from the review was that 2 x 15 MHz of 4G-standardised spectrum will be made available for new mobile broadband services from 2024. This spectrum is known as the 850 MHz ‘expansion </w:t>
      </w:r>
      <w:r w:rsidRPr="002738F4">
        <w:t>band’, which is lower adjacent to the</w:t>
      </w:r>
      <w:r w:rsidRPr="00B53F89">
        <w:t xml:space="preserve"> current 850 MHz 3G band used by Telstra and Vodafone Hutchison Australia. </w:t>
      </w:r>
    </w:p>
    <w:p w14:paraId="440DC50A" w14:textId="77777777" w:rsidR="007A7511" w:rsidRPr="00B53F89" w:rsidRDefault="007A7511" w:rsidP="007A7511">
      <w:pPr>
        <w:pStyle w:val="BodySubHeader"/>
      </w:pPr>
      <w:r w:rsidRPr="00B53F89">
        <w:lastRenderedPageBreak/>
        <w:t>Recent developments</w:t>
      </w:r>
    </w:p>
    <w:p w14:paraId="5F4CE766" w14:textId="77777777" w:rsidR="007A7511" w:rsidRPr="00B53F89" w:rsidRDefault="007A7511" w:rsidP="007A7511">
      <w:r w:rsidRPr="00B53F89">
        <w:t xml:space="preserve">The project is now geared towards the clearance and/or relocation of incumbent services operating in the 850 MHz expansion band frequencies earmarked for mobile broadband. </w:t>
      </w:r>
    </w:p>
    <w:p w14:paraId="24561AEF" w14:textId="77777777" w:rsidR="007A7511" w:rsidRPr="00B53F89" w:rsidRDefault="007A7511" w:rsidP="007A7511">
      <w:r w:rsidRPr="00B53F89">
        <w:t>As part of this process, in July 2016, a new RALI (FX 22) was put in place to facilitate the transition of single frequency fixed links (SFFLs) and studio-to-transmitter links (STLs) to the new arrangements. Further incremental updates will be made to this and other instructions as the implementation stage progresses.</w:t>
      </w:r>
    </w:p>
    <w:p w14:paraId="1654055D" w14:textId="439A7A37" w:rsidR="007A7511" w:rsidRPr="00B53F89" w:rsidRDefault="007A7511" w:rsidP="007A7511">
      <w:r w:rsidRPr="00B53F89">
        <w:t xml:space="preserve">As per the </w:t>
      </w:r>
      <w:hyperlink r:id="rId74" w:history="1">
        <w:r w:rsidRPr="00B53F89">
          <w:rPr>
            <w:rStyle w:val="Hyperlink"/>
          </w:rPr>
          <w:t>Council of Australian Governments (COAG) communique of December 2018</w:t>
        </w:r>
      </w:hyperlink>
      <w:r w:rsidRPr="00B53F89">
        <w:t xml:space="preserve">, all jurisdictions agreed a </w:t>
      </w:r>
      <w:r w:rsidR="003406B8">
        <w:t>s</w:t>
      </w:r>
      <w:r w:rsidRPr="00B53F89">
        <w:t xml:space="preserve">trategic </w:t>
      </w:r>
      <w:r w:rsidR="003406B8">
        <w:t>r</w:t>
      </w:r>
      <w:r w:rsidRPr="00B53F89">
        <w:t>oadmap that sets out a plan to design, implement and operate a</w:t>
      </w:r>
      <w:r w:rsidRPr="00B53F89" w:rsidDel="00063F94">
        <w:t xml:space="preserve"> </w:t>
      </w:r>
      <w:r w:rsidRPr="00B53F89">
        <w:t>public safety mobile broadband (PSMB) service and to continue to work together to resolve the supporting spectrum arrangements in parallel with proof</w:t>
      </w:r>
      <w:r w:rsidR="003406B8">
        <w:t>-</w:t>
      </w:r>
      <w:r w:rsidRPr="00B53F89">
        <w:t>of</w:t>
      </w:r>
      <w:r w:rsidR="003406B8">
        <w:t>-</w:t>
      </w:r>
      <w:r w:rsidRPr="00B53F89">
        <w:t xml:space="preserve">concept trials. </w:t>
      </w:r>
      <w:r w:rsidR="003406B8">
        <w:t xml:space="preserve">We are </w:t>
      </w:r>
      <w:r w:rsidRPr="00B53F89">
        <w:t xml:space="preserve">working with </w:t>
      </w:r>
      <w:r>
        <w:t>the Department</w:t>
      </w:r>
      <w:r w:rsidRPr="00B53F89">
        <w:t xml:space="preserve"> to provide advice on allocation options and manage the impact of this work on the allocation of other parts of </w:t>
      </w:r>
      <w:r>
        <w:t>the</w:t>
      </w:r>
      <w:r w:rsidRPr="00B53F89">
        <w:t xml:space="preserve"> band for commercial wireless broadband services.</w:t>
      </w:r>
    </w:p>
    <w:p w14:paraId="305E7FA7" w14:textId="77777777" w:rsidR="007A7511" w:rsidRPr="00B53F89" w:rsidRDefault="007A7511" w:rsidP="007A7511">
      <w:pPr>
        <w:pStyle w:val="BodySubHeader"/>
        <w:keepNext/>
        <w:keepLines/>
      </w:pPr>
      <w:r w:rsidRPr="00B53F89">
        <w:t>Next steps</w:t>
      </w:r>
    </w:p>
    <w:p w14:paraId="584D5BE5" w14:textId="19B0643F" w:rsidR="007A7511" w:rsidRDefault="007A7511" w:rsidP="007A7511">
      <w:r w:rsidRPr="00B53F89">
        <w:t xml:space="preserve">The implementation plan contains milestones for the transition to long-term arrangements by incumbent services. </w:t>
      </w:r>
      <w:r>
        <w:t xml:space="preserve">As described in the </w:t>
      </w:r>
      <w:hyperlink r:id="rId75" w:history="1">
        <w:r w:rsidRPr="00C859C3">
          <w:rPr>
            <w:rStyle w:val="Hyperlink"/>
          </w:rPr>
          <w:t>decision paper</w:t>
        </w:r>
      </w:hyperlink>
      <w:r>
        <w:t xml:space="preserve"> released in December 2019, </w:t>
      </w:r>
      <w:r w:rsidR="003406B8">
        <w:t>we</w:t>
      </w:r>
      <w:r w:rsidRPr="00B53F89">
        <w:t xml:space="preserve"> intend to allocate </w:t>
      </w:r>
      <w:r>
        <w:t xml:space="preserve">the 850 MHz expansion band </w:t>
      </w:r>
      <w:r w:rsidRPr="00B53F89">
        <w:t xml:space="preserve">in combination with the 900 MHz band (see below). See </w:t>
      </w:r>
      <w:r>
        <w:t>t</w:t>
      </w:r>
      <w:r w:rsidRPr="00B53F89">
        <w:t xml:space="preserve">he </w:t>
      </w:r>
      <w:r w:rsidRPr="00513FDE">
        <w:rPr>
          <w:i/>
          <w:iCs/>
        </w:rPr>
        <w:t>Forward allocation work plan</w:t>
      </w:r>
      <w:r w:rsidRPr="00B53F89">
        <w:t xml:space="preserve"> </w:t>
      </w:r>
      <w:r w:rsidR="003406B8">
        <w:t xml:space="preserve">section </w:t>
      </w:r>
      <w:r w:rsidRPr="00B53F89">
        <w:t>for more information.</w:t>
      </w:r>
    </w:p>
    <w:p w14:paraId="381C3977" w14:textId="5377383D" w:rsidR="007A7511" w:rsidRDefault="007A7511" w:rsidP="002738F4">
      <w:pPr>
        <w:spacing w:after="0"/>
      </w:pPr>
      <w:r w:rsidRPr="006A2F04">
        <w:rPr>
          <w:noProof/>
        </w:rPr>
        <w:drawing>
          <wp:inline distT="0" distB="0" distL="0" distR="0" wp14:anchorId="396BB53E" wp14:editId="7414CE6E">
            <wp:extent cx="342900" cy="361950"/>
            <wp:effectExtent l="0" t="0" r="0" b="0"/>
            <wp:docPr id="217" name="Picture 217"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128EE2AE" wp14:editId="0E9AE077">
            <wp:extent cx="342900" cy="361950"/>
            <wp:effectExtent l="0" t="0" r="0" b="0"/>
            <wp:docPr id="218" name="Picture 218" descr="Radio/TV broadcas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adio/TV broadcasting ic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50C6BFC3" wp14:editId="73B774C7">
            <wp:extent cx="342900" cy="361950"/>
            <wp:effectExtent l="0" t="0" r="0" b="0"/>
            <wp:docPr id="219" name="Picture 219" descr="Point to multi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int to multipoint ico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503197F2" wp14:editId="199EF6F5">
            <wp:extent cx="342900" cy="361950"/>
            <wp:effectExtent l="0" t="0" r="0" b="0"/>
            <wp:docPr id="220" name="Picture 220"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1FB56763" wp14:editId="0D4BF1AC">
            <wp:extent cx="342900" cy="361950"/>
            <wp:effectExtent l="0" t="0" r="0" b="0"/>
            <wp:docPr id="221" name="Picture 221"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518E767E" w14:textId="0BE6EAAD" w:rsidR="007A7511" w:rsidRDefault="007A7511" w:rsidP="007A7511">
      <w:pPr>
        <w:pStyle w:val="Heading3"/>
      </w:pPr>
      <w:bookmarkStart w:id="282" w:name="_Toc38987186"/>
      <w:r w:rsidRPr="00B53F89">
        <w:t>900 MHz (890–915 MHz and 935–960 MHz)</w:t>
      </w:r>
      <w:bookmarkEnd w:id="282"/>
    </w:p>
    <w:p w14:paraId="6619BE4E" w14:textId="131F74F9" w:rsidR="007A7511" w:rsidRPr="00B53F89" w:rsidRDefault="007A7511" w:rsidP="007A7511">
      <w:r w:rsidRPr="00B53F89">
        <w:t xml:space="preserve">In October 2017, </w:t>
      </w:r>
      <w:r w:rsidR="003406B8">
        <w:t>we</w:t>
      </w:r>
      <w:r w:rsidRPr="00B53F89">
        <w:t xml:space="preserve"> released a </w:t>
      </w:r>
      <w:r w:rsidRPr="0002782F">
        <w:t>consultation paper</w:t>
      </w:r>
      <w:r w:rsidRPr="00B53F89">
        <w:t xml:space="preserve"> setting out </w:t>
      </w:r>
      <w:r w:rsidR="003406B8">
        <w:t>our</w:t>
      </w:r>
      <w:r w:rsidR="003406B8" w:rsidRPr="00B53F89">
        <w:t xml:space="preserve"> </w:t>
      </w:r>
      <w:r w:rsidRPr="00B53F89">
        <w:t xml:space="preserve">preferred reconfiguration option for the 900 MHz band to support transition from the current </w:t>
      </w:r>
      <w:r w:rsidR="003406B8" w:rsidRPr="00B53F89">
        <w:t>2</w:t>
      </w:r>
      <w:r w:rsidR="003406B8">
        <w:t> </w:t>
      </w:r>
      <w:r w:rsidR="003406B8" w:rsidRPr="00B53F89">
        <w:t>x</w:t>
      </w:r>
      <w:r w:rsidR="003406B8">
        <w:t> </w:t>
      </w:r>
      <w:r w:rsidRPr="00B53F89">
        <w:t xml:space="preserve">8.2 or 8.4 MHz frequency arrangements to multiples of 2 x 5 MHz to more efficiently accommodate mobile broadband. </w:t>
      </w:r>
      <w:r w:rsidR="003406B8">
        <w:t>We</w:t>
      </w:r>
      <w:r w:rsidRPr="00B53F89">
        <w:t xml:space="preserve"> also invited submissions about two related issues</w:t>
      </w:r>
      <w:r w:rsidR="003406B8">
        <w:t>—</w:t>
      </w:r>
      <w:r w:rsidRPr="00B53F89">
        <w:t xml:space="preserve">the appropriate treatment of the 2 x 1 MHz of spectrum immediately adjacent to and below the existing 850 MHz spectrum licences, and the duration of any spectrum licences issued in 900 MHz or the 850 MHz expansion band. </w:t>
      </w:r>
    </w:p>
    <w:p w14:paraId="04A6A8C1" w14:textId="77777777" w:rsidR="007A7511" w:rsidRPr="00B53F89" w:rsidRDefault="007A7511" w:rsidP="007A7511">
      <w:pPr>
        <w:pStyle w:val="BodySubHeader"/>
      </w:pPr>
      <w:r w:rsidRPr="00B53F89">
        <w:t>Recent developments</w:t>
      </w:r>
    </w:p>
    <w:p w14:paraId="08A4B59B" w14:textId="1E99B7E8" w:rsidR="007A7511" w:rsidRPr="00B53F89" w:rsidRDefault="003406B8" w:rsidP="007A7511">
      <w:pPr>
        <w:spacing w:after="120"/>
      </w:pPr>
      <w:r>
        <w:t>We</w:t>
      </w:r>
      <w:r w:rsidR="007A7511" w:rsidRPr="00B53F89">
        <w:t xml:space="preserve"> released the </w:t>
      </w:r>
      <w:hyperlink r:id="rId76" w:history="1">
        <w:r w:rsidR="007A7511" w:rsidRPr="00513FDE">
          <w:rPr>
            <w:rStyle w:val="Hyperlink"/>
            <w:i/>
            <w:iCs/>
          </w:rPr>
          <w:t>Reconfiguring the 900 MHz band</w:t>
        </w:r>
      </w:hyperlink>
      <w:r w:rsidR="007A7511" w:rsidRPr="00B53F89">
        <w:t xml:space="preserve"> consultation paper in Q2 2019 </w:t>
      </w:r>
      <w:r>
        <w:t>examining</w:t>
      </w:r>
      <w:r w:rsidRPr="00B53F89">
        <w:t xml:space="preserve"> </w:t>
      </w:r>
      <w:r w:rsidR="007A7511">
        <w:t>reconfiguration</w:t>
      </w:r>
      <w:r w:rsidR="007A7511" w:rsidRPr="00B53F89">
        <w:t xml:space="preserve"> options.</w:t>
      </w:r>
      <w:r w:rsidR="007A7511">
        <w:t xml:space="preserve"> Following consideration of submissions, </w:t>
      </w:r>
      <w:r>
        <w:t>we</w:t>
      </w:r>
      <w:r w:rsidR="007A7511">
        <w:t xml:space="preserve"> released a </w:t>
      </w:r>
      <w:hyperlink r:id="rId77" w:history="1">
        <w:r w:rsidR="007A7511" w:rsidRPr="00C859C3">
          <w:rPr>
            <w:rStyle w:val="Hyperlink"/>
          </w:rPr>
          <w:t>decision paper</w:t>
        </w:r>
      </w:hyperlink>
      <w:r w:rsidR="007A7511">
        <w:t xml:space="preserve"> </w:t>
      </w:r>
      <w:r w:rsidR="007A7511" w:rsidRPr="00C859C3">
        <w:t>in December 2019,</w:t>
      </w:r>
      <w:r w:rsidR="007A7511">
        <w:t xml:space="preserve"> outlining that </w:t>
      </w:r>
      <w:r>
        <w:t>we</w:t>
      </w:r>
      <w:r w:rsidR="007A7511" w:rsidRPr="00C859C3">
        <w:t xml:space="preserve"> </w:t>
      </w:r>
      <w:r w:rsidRPr="00C859C3">
        <w:t>remain</w:t>
      </w:r>
      <w:r>
        <w:t>ed</w:t>
      </w:r>
      <w:r w:rsidRPr="00C859C3">
        <w:t xml:space="preserve"> </w:t>
      </w:r>
      <w:r w:rsidR="007A7511" w:rsidRPr="00C859C3">
        <w:t>of the view that the best way to achieve reconfiguration of the 900 MHz band is to undertake a band clearance and price-based allocation</w:t>
      </w:r>
      <w:r>
        <w:t>,</w:t>
      </w:r>
      <w:r w:rsidR="007A7511" w:rsidRPr="00C859C3">
        <w:t xml:space="preserve"> in conjunction with an allocation of spectrum in the 850 MHz expansion band.</w:t>
      </w:r>
    </w:p>
    <w:p w14:paraId="31D7A558" w14:textId="77777777" w:rsidR="007A7511" w:rsidRPr="00B53F89" w:rsidRDefault="007A7511" w:rsidP="007A7511">
      <w:pPr>
        <w:pStyle w:val="BodySubHeader"/>
        <w:keepNext/>
        <w:keepLines/>
      </w:pPr>
      <w:r w:rsidRPr="00B53F89">
        <w:lastRenderedPageBreak/>
        <w:t>Next steps</w:t>
      </w:r>
    </w:p>
    <w:p w14:paraId="38EEF6FD" w14:textId="5E12F72D" w:rsidR="007A7511" w:rsidRDefault="003406B8" w:rsidP="007A7511">
      <w:pPr>
        <w:keepNext/>
        <w:keepLines/>
      </w:pPr>
      <w:r>
        <w:t>We</w:t>
      </w:r>
      <w:r w:rsidR="007A7511" w:rsidRPr="00C859C3">
        <w:t xml:space="preserve"> </w:t>
      </w:r>
      <w:r w:rsidR="007A7511">
        <w:t>ha</w:t>
      </w:r>
      <w:r>
        <w:t>ve</w:t>
      </w:r>
      <w:r w:rsidR="007A7511">
        <w:t xml:space="preserve"> </w:t>
      </w:r>
      <w:r w:rsidR="007A7511" w:rsidRPr="00C859C3">
        <w:t>commence</w:t>
      </w:r>
      <w:r w:rsidR="007A7511">
        <w:t>d</w:t>
      </w:r>
      <w:r w:rsidR="007A7511" w:rsidRPr="00C859C3">
        <w:t xml:space="preserve"> work on the reallocation of the 900 MHz band and the 850 MHz expansion band. This include</w:t>
      </w:r>
      <w:r w:rsidR="007A7511">
        <w:t>s</w:t>
      </w:r>
      <w:r w:rsidR="007A7511" w:rsidRPr="00C859C3">
        <w:t xml:space="preserve"> consultation on a draft reallocation recommendation to the Min</w:t>
      </w:r>
      <w:r w:rsidR="007A7511">
        <w:t>i</w:t>
      </w:r>
      <w:r w:rsidR="007A7511" w:rsidRPr="00C859C3">
        <w:t>ster.</w:t>
      </w:r>
      <w:r w:rsidR="007A7511" w:rsidRPr="00C859C3" w:rsidDel="00C859C3">
        <w:t xml:space="preserve"> </w:t>
      </w:r>
      <w:r w:rsidR="007A7511" w:rsidRPr="00B53F89">
        <w:t xml:space="preserve">See the </w:t>
      </w:r>
      <w:r w:rsidR="007A7511" w:rsidRPr="00513FDE">
        <w:rPr>
          <w:i/>
          <w:iCs/>
        </w:rPr>
        <w:t>Forward allocation work plan</w:t>
      </w:r>
      <w:r w:rsidR="007A7511" w:rsidRPr="00B53F89">
        <w:t xml:space="preserve"> </w:t>
      </w:r>
      <w:r>
        <w:t xml:space="preserve">section </w:t>
      </w:r>
      <w:r w:rsidR="007A7511" w:rsidRPr="00B53F89">
        <w:t>for more information.</w:t>
      </w:r>
    </w:p>
    <w:p w14:paraId="34C5ABC4" w14:textId="6F62FC0C" w:rsidR="007A7511" w:rsidRDefault="007A7511" w:rsidP="00D904DC">
      <w:pPr>
        <w:keepNext/>
        <w:keepLines/>
        <w:spacing w:after="0"/>
      </w:pPr>
      <w:r w:rsidRPr="006A2F04">
        <w:rPr>
          <w:noProof/>
        </w:rPr>
        <w:drawing>
          <wp:inline distT="0" distB="0" distL="0" distR="0" wp14:anchorId="037A826A" wp14:editId="0DE9DAED">
            <wp:extent cx="342900" cy="361950"/>
            <wp:effectExtent l="0" t="0" r="0" b="0"/>
            <wp:docPr id="222" name="Picture 222"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436C3BCA" wp14:editId="2A3E8FB9">
            <wp:extent cx="342900" cy="361950"/>
            <wp:effectExtent l="0" t="0" r="0" b="0"/>
            <wp:docPr id="223" name="Picture 223"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460C9AD4" w14:textId="77777777" w:rsidR="007A7511" w:rsidRPr="005A7943" w:rsidRDefault="007A7511" w:rsidP="00D904DC">
      <w:pPr>
        <w:pStyle w:val="Heading3"/>
        <w:keepLines/>
        <w:rPr>
          <w:b w:val="0"/>
          <w:bCs w:val="0"/>
        </w:rPr>
      </w:pPr>
      <w:bookmarkStart w:id="283" w:name="_Toc38987187"/>
      <w:r w:rsidRPr="005A7943">
        <w:t>1800 MHz (1710–1785 MHz and 1805–1880 MHz) in remote areas</w:t>
      </w:r>
      <w:bookmarkEnd w:id="283"/>
    </w:p>
    <w:p w14:paraId="4A762A1B" w14:textId="18A155D0" w:rsidR="007A7511" w:rsidRPr="00B53F89" w:rsidRDefault="007A7511" w:rsidP="00D904DC">
      <w:pPr>
        <w:keepNext/>
        <w:keepLines/>
        <w:spacing w:after="120"/>
        <w:rPr>
          <w:rFonts w:cs="Arial"/>
        </w:rPr>
      </w:pPr>
      <w:r w:rsidRPr="00B53F89">
        <w:t xml:space="preserve">In 2016, </w:t>
      </w:r>
      <w:r w:rsidR="003406B8">
        <w:t>we</w:t>
      </w:r>
      <w:r w:rsidRPr="00B53F89">
        <w:t xml:space="preserve"> released arrangements for use of the 1800 MHz band in remote areas for fixed and mobile wireless broadband services. To manage a potential surge in licence applications, a priority assignment model was adopted. An application window process was also adopted for the initial release of spectrum in the upper 2 x 30 MHz of the band to avoid conflicting assignments being made</w:t>
      </w:r>
      <w:r w:rsidRPr="00B53F89">
        <w:rPr>
          <w:rFonts w:cs="Arial"/>
        </w:rPr>
        <w:t xml:space="preserve">. </w:t>
      </w:r>
    </w:p>
    <w:p w14:paraId="323A2986" w14:textId="77777777" w:rsidR="007A7511" w:rsidRPr="00B53F89" w:rsidRDefault="007A7511" w:rsidP="007A7511">
      <w:pPr>
        <w:pStyle w:val="BodySubHeader"/>
        <w:keepNext/>
        <w:keepLines/>
      </w:pPr>
      <w:r w:rsidRPr="00B53F89">
        <w:t>Recent developments</w:t>
      </w:r>
    </w:p>
    <w:p w14:paraId="7C57B9BD" w14:textId="5B59C7BC" w:rsidR="007A7511" w:rsidRPr="00B53F89" w:rsidRDefault="003406B8" w:rsidP="007A7511">
      <w:pPr>
        <w:keepNext/>
        <w:keepLines/>
      </w:pPr>
      <w:r>
        <w:t>We</w:t>
      </w:r>
      <w:r w:rsidR="007A7511">
        <w:t xml:space="preserve"> plan to release a discussion paper in </w:t>
      </w:r>
      <w:r w:rsidR="007A7511" w:rsidRPr="00BA37AD">
        <w:t>Q3 2020</w:t>
      </w:r>
      <w:r w:rsidR="007A7511">
        <w:t xml:space="preserve"> to gather feedback on the future of the band</w:t>
      </w:r>
      <w:r w:rsidR="007A7511" w:rsidRPr="00B53F89">
        <w:t>.</w:t>
      </w:r>
    </w:p>
    <w:p w14:paraId="4C7D937A" w14:textId="77777777" w:rsidR="007A7511" w:rsidRPr="00B53F89" w:rsidRDefault="007A7511" w:rsidP="007A7511">
      <w:pPr>
        <w:pStyle w:val="BodySubHeader"/>
      </w:pPr>
      <w:r w:rsidRPr="00B53F89">
        <w:t>Next steps</w:t>
      </w:r>
    </w:p>
    <w:p w14:paraId="7EB3C6AA" w14:textId="0A7F0931" w:rsidR="007A7511" w:rsidRDefault="007A7511" w:rsidP="007A7511">
      <w:r>
        <w:t xml:space="preserve">Following receipt of feedback on the future of the band, </w:t>
      </w:r>
      <w:r w:rsidR="003406B8">
        <w:t>we</w:t>
      </w:r>
      <w:r>
        <w:t xml:space="preserve"> expect to implement decisions using appropriate changes to RALIs in Q4 2020</w:t>
      </w:r>
      <w:r w:rsidRPr="00B53F89">
        <w:t>.</w:t>
      </w:r>
    </w:p>
    <w:p w14:paraId="0D6DE26A" w14:textId="24B9DAB3" w:rsidR="007A7511" w:rsidRDefault="007A7511" w:rsidP="007A7511">
      <w:pPr>
        <w:spacing w:after="0"/>
      </w:pPr>
      <w:r w:rsidRPr="006A2F04">
        <w:rPr>
          <w:noProof/>
        </w:rPr>
        <w:drawing>
          <wp:inline distT="0" distB="0" distL="0" distR="0" wp14:anchorId="398291EE" wp14:editId="61252CCD">
            <wp:extent cx="342900" cy="361950"/>
            <wp:effectExtent l="0" t="0" r="0" b="0"/>
            <wp:docPr id="256" name="Picture 256" descr="Point to multi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int to multipoint ico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0907CF49" w14:textId="300FB3D8" w:rsidR="007A7511" w:rsidRDefault="007A7511" w:rsidP="007A7511">
      <w:pPr>
        <w:pStyle w:val="Heading3"/>
      </w:pPr>
      <w:bookmarkStart w:id="284" w:name="_Toc38987188"/>
      <w:r w:rsidRPr="00B53F89">
        <w:t>5.6 GHz (5600–5650 MHz</w:t>
      </w:r>
      <w:r>
        <w:t>)</w:t>
      </w:r>
      <w:bookmarkEnd w:id="284"/>
    </w:p>
    <w:p w14:paraId="07A897DB" w14:textId="2C389B96" w:rsidR="007A7511" w:rsidRPr="00B53F89" w:rsidRDefault="007A7511" w:rsidP="007A7511">
      <w:r w:rsidRPr="00B53F89">
        <w:t xml:space="preserve">One of the outcomes from the </w:t>
      </w:r>
      <w:hyperlink r:id="rId78" w:history="1">
        <w:r w:rsidRPr="006A2F04">
          <w:rPr>
            <w:rStyle w:val="Hyperlink"/>
            <w:i/>
            <w:iCs/>
          </w:rPr>
          <w:t>Future use of the 3.6 GHz band</w:t>
        </w:r>
      </w:hyperlink>
      <w:r w:rsidRPr="006A2F04">
        <w:rPr>
          <w:iCs/>
        </w:rPr>
        <w:t xml:space="preserve"> </w:t>
      </w:r>
      <w:r w:rsidRPr="00B53F89">
        <w:t xml:space="preserve">process was </w:t>
      </w:r>
      <w:r w:rsidR="003406B8">
        <w:t>our</w:t>
      </w:r>
      <w:r w:rsidRPr="00B53F89">
        <w:t xml:space="preserve"> commit</w:t>
      </w:r>
      <w:r w:rsidR="003406B8">
        <w:t>ment</w:t>
      </w:r>
      <w:r w:rsidRPr="00B53F89">
        <w:t xml:space="preserve"> to implementing</w:t>
      </w:r>
      <w:r w:rsidRPr="00B53F89">
        <w:rPr>
          <w:lang w:eastAsia="en-US"/>
        </w:rPr>
        <w:t xml:space="preserve"> point-to-multipoint apparatus licence arrangements in the 5.6 GHz band. </w:t>
      </w:r>
      <w:r w:rsidR="003406B8">
        <w:rPr>
          <w:lang w:eastAsia="en-US"/>
        </w:rPr>
        <w:t>We</w:t>
      </w:r>
      <w:r w:rsidRPr="00B53F89">
        <w:rPr>
          <w:lang w:eastAsia="en-US"/>
        </w:rPr>
        <w:t xml:space="preserve"> also implemented a policy that existing 3.6 GHz point-to-multipoint licensees, including FWA services affected by planning decisions made in the band</w:t>
      </w:r>
      <w:r w:rsidR="003406B8">
        <w:rPr>
          <w:lang w:eastAsia="en-US"/>
        </w:rPr>
        <w:t>,</w:t>
      </w:r>
      <w:r w:rsidRPr="00B53F89">
        <w:rPr>
          <w:lang w:eastAsia="en-US"/>
        </w:rPr>
        <w:t xml:space="preserve"> would, as far as possible, be given preference when assessing applications for apparatus licences in the 5.6 GHz band.</w:t>
      </w:r>
    </w:p>
    <w:p w14:paraId="69D6747D" w14:textId="591795CA" w:rsidR="007A7511" w:rsidRPr="00B53F89" w:rsidRDefault="007A7511" w:rsidP="007A7511">
      <w:pPr>
        <w:rPr>
          <w:rFonts w:cs="Arial"/>
        </w:rPr>
      </w:pPr>
      <w:bookmarkStart w:id="285" w:name="_Hlk16254958"/>
      <w:r w:rsidRPr="00B53F89">
        <w:rPr>
          <w:rFonts w:eastAsia="Calibri" w:cs="Arial"/>
          <w:lang w:eastAsia="en-US"/>
        </w:rPr>
        <w:t>In December 2018</w:t>
      </w:r>
      <w:r>
        <w:rPr>
          <w:rFonts w:eastAsia="Calibri" w:cs="Arial"/>
          <w:lang w:eastAsia="en-US"/>
        </w:rPr>
        <w:t>,</w:t>
      </w:r>
      <w:r w:rsidRPr="00B53F89">
        <w:rPr>
          <w:rFonts w:eastAsia="Calibri" w:cs="Arial"/>
          <w:lang w:eastAsia="en-US"/>
        </w:rPr>
        <w:t xml:space="preserve"> </w:t>
      </w:r>
      <w:r w:rsidR="003406B8">
        <w:rPr>
          <w:rFonts w:eastAsia="Calibri" w:cs="Arial"/>
          <w:lang w:eastAsia="en-US"/>
        </w:rPr>
        <w:t>we</w:t>
      </w:r>
      <w:r w:rsidRPr="00B53F89">
        <w:rPr>
          <w:rFonts w:eastAsia="Calibri" w:cs="Arial"/>
          <w:lang w:eastAsia="en-US"/>
        </w:rPr>
        <w:t xml:space="preserve"> published the </w:t>
      </w:r>
      <w:r w:rsidRPr="00B53F89">
        <w:rPr>
          <w:rFonts w:eastAsia="Calibri" w:cs="Arial"/>
          <w:iCs/>
          <w:lang w:eastAsia="en-US"/>
        </w:rPr>
        <w:t xml:space="preserve">RALI </w:t>
      </w:r>
      <w:r w:rsidRPr="00B53F89">
        <w:rPr>
          <w:rFonts w:eastAsia="Calibri" w:cs="Arial"/>
          <w:lang w:eastAsia="en-US"/>
        </w:rPr>
        <w:t xml:space="preserve">FX23. This RALI defines </w:t>
      </w:r>
      <w:r w:rsidRPr="00B53F89">
        <w:rPr>
          <w:rFonts w:cs="Arial"/>
        </w:rPr>
        <w:t>frequency coordination requirements for new point-to-multipoint apparatus licences in the 5.</w:t>
      </w:r>
      <w:r w:rsidR="003406B8" w:rsidRPr="00B53F89">
        <w:rPr>
          <w:rFonts w:cs="Arial"/>
        </w:rPr>
        <w:t>6</w:t>
      </w:r>
      <w:r w:rsidR="003406B8">
        <w:rPr>
          <w:rFonts w:cs="Arial"/>
        </w:rPr>
        <w:t> </w:t>
      </w:r>
      <w:r w:rsidRPr="00B53F89">
        <w:rPr>
          <w:rFonts w:cs="Arial"/>
        </w:rPr>
        <w:t xml:space="preserve">GHz band. Before a new point-to-multipoint licence is issued, prospective licensees should show they meet the defined protection criteria contained in RALI FX23. </w:t>
      </w:r>
    </w:p>
    <w:bookmarkEnd w:id="285"/>
    <w:p w14:paraId="633FC7A2" w14:textId="78DA4264" w:rsidR="007A7511" w:rsidRPr="00B53F89" w:rsidRDefault="007A7511" w:rsidP="007A7511">
      <w:r w:rsidRPr="00B53F89">
        <w:t xml:space="preserve">The 5.6 GHz band is currently available for licensing in areas that will not affect the possible transition of 3.6 GHz band </w:t>
      </w:r>
      <w:r w:rsidRPr="00B53F89">
        <w:rPr>
          <w:rFonts w:cs="Arial"/>
        </w:rPr>
        <w:t>point-to-multipoint</w:t>
      </w:r>
      <w:r w:rsidRPr="00B53F89">
        <w:t xml:space="preserve"> licences into the band. </w:t>
      </w:r>
      <w:r w:rsidR="003406B8">
        <w:t>We are</w:t>
      </w:r>
      <w:r w:rsidRPr="00B53F89">
        <w:t xml:space="preserve"> still considering the most appropriate process and timing for release of the band in other areas. </w:t>
      </w:r>
    </w:p>
    <w:p w14:paraId="20DA8518" w14:textId="77777777" w:rsidR="007A7511" w:rsidRPr="00B53F89" w:rsidRDefault="007A7511" w:rsidP="007A7511">
      <w:pPr>
        <w:pStyle w:val="BodySubHeader"/>
        <w:rPr>
          <w:rFonts w:cs="Arial"/>
          <w:szCs w:val="20"/>
        </w:rPr>
      </w:pPr>
      <w:r w:rsidRPr="00B53F89">
        <w:t>Next steps</w:t>
      </w:r>
    </w:p>
    <w:p w14:paraId="5A0B1DE3" w14:textId="601C0D88" w:rsidR="007A7511" w:rsidRDefault="007A7511" w:rsidP="007A7511">
      <w:r w:rsidRPr="00B53F89">
        <w:t xml:space="preserve">Further information </w:t>
      </w:r>
      <w:r w:rsidRPr="00B53F89">
        <w:rPr>
          <w:rFonts w:cs="Arial"/>
          <w:szCs w:val="20"/>
        </w:rPr>
        <w:t>about the mechanism to release spectrum in these areas</w:t>
      </w:r>
      <w:r w:rsidRPr="00B53F89">
        <w:t xml:space="preserve"> will be made available when options and arrangements have been developed. </w:t>
      </w:r>
      <w:r w:rsidR="003406B8">
        <w:rPr>
          <w:rFonts w:cs="Arial"/>
          <w:szCs w:val="20"/>
        </w:rPr>
        <w:t>We are</w:t>
      </w:r>
      <w:r w:rsidRPr="00B53F89">
        <w:rPr>
          <w:rFonts w:cs="Arial"/>
          <w:szCs w:val="20"/>
        </w:rPr>
        <w:t xml:space="preserve"> aiming to </w:t>
      </w:r>
      <w:r>
        <w:rPr>
          <w:rFonts w:cs="Arial"/>
          <w:szCs w:val="20"/>
        </w:rPr>
        <w:t xml:space="preserve">consult on this issue in </w:t>
      </w:r>
      <w:r w:rsidRPr="00756463">
        <w:rPr>
          <w:rFonts w:cs="Arial"/>
          <w:szCs w:val="20"/>
        </w:rPr>
        <w:t>Q2</w:t>
      </w:r>
      <w:r w:rsidR="003406B8">
        <w:rPr>
          <w:rFonts w:cs="Arial"/>
          <w:szCs w:val="20"/>
        </w:rPr>
        <w:t>–</w:t>
      </w:r>
      <w:r w:rsidRPr="00756463">
        <w:rPr>
          <w:rFonts w:cs="Arial"/>
          <w:szCs w:val="20"/>
        </w:rPr>
        <w:t>3 2020</w:t>
      </w:r>
      <w:r w:rsidRPr="00B53F89">
        <w:rPr>
          <w:rFonts w:cs="Arial"/>
          <w:szCs w:val="20"/>
        </w:rPr>
        <w:t>.</w:t>
      </w:r>
    </w:p>
    <w:p w14:paraId="23619B4A" w14:textId="4B87FE2D" w:rsidR="007A7511" w:rsidRDefault="007A7511" w:rsidP="00D904DC">
      <w:pPr>
        <w:keepNext/>
        <w:keepLines/>
        <w:spacing w:after="0"/>
      </w:pPr>
      <w:r w:rsidRPr="006A2F04">
        <w:rPr>
          <w:noProof/>
        </w:rPr>
        <w:lastRenderedPageBreak/>
        <w:drawing>
          <wp:inline distT="0" distB="0" distL="0" distR="0" wp14:anchorId="01458A7C" wp14:editId="63DE72B0">
            <wp:extent cx="342900" cy="361950"/>
            <wp:effectExtent l="0" t="0" r="0" b="0"/>
            <wp:docPr id="257" name="Picture 257"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18ABE8F8" wp14:editId="161535E8">
            <wp:extent cx="342900" cy="361950"/>
            <wp:effectExtent l="0" t="0" r="0" b="0"/>
            <wp:docPr id="258" name="Picture 258" descr="Class licens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ass licensing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135D0834" wp14:editId="73106936">
            <wp:extent cx="342900" cy="361950"/>
            <wp:effectExtent l="0" t="0" r="0" b="0"/>
            <wp:docPr id="259" name="Picture 259" descr="Point to multi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int to multipoint ico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0B7F0C59" wp14:editId="24096788">
            <wp:extent cx="342900" cy="361950"/>
            <wp:effectExtent l="0" t="0" r="0" b="0"/>
            <wp:docPr id="260" name="Picture 260"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0359F5B8" wp14:editId="2D34570E">
            <wp:extent cx="341630" cy="359410"/>
            <wp:effectExtent l="0" t="0" r="1270" b="2540"/>
            <wp:docPr id="261" name="Picture 26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Pr="006A2F04">
        <w:rPr>
          <w:noProof/>
        </w:rPr>
        <w:drawing>
          <wp:inline distT="0" distB="0" distL="0" distR="0" wp14:anchorId="3B2ED8CB" wp14:editId="0F3FB26D">
            <wp:extent cx="342900" cy="361950"/>
            <wp:effectExtent l="0" t="0" r="0" b="0"/>
            <wp:docPr id="262" name="Picture 262"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46866827" w14:textId="77777777" w:rsidR="007A7511" w:rsidRPr="00B53F89" w:rsidRDefault="007A7511" w:rsidP="00D904DC">
      <w:pPr>
        <w:pStyle w:val="Heading3"/>
        <w:keepLines/>
      </w:pPr>
      <w:bookmarkStart w:id="286" w:name="_Toc38987189"/>
      <w:r w:rsidRPr="00B53F89">
        <w:t>26 GHz (24.25–27.5 GHz)</w:t>
      </w:r>
      <w:bookmarkEnd w:id="286"/>
    </w:p>
    <w:p w14:paraId="444A473F" w14:textId="2455E2C3" w:rsidR="007A7511" w:rsidRPr="00B53F89" w:rsidRDefault="007A7511" w:rsidP="00D904DC">
      <w:pPr>
        <w:keepNext/>
        <w:keepLines/>
      </w:pPr>
      <w:r>
        <w:t>In 2018, f</w:t>
      </w:r>
      <w:r w:rsidRPr="00B53F89">
        <w:t xml:space="preserve">ollowing </w:t>
      </w:r>
      <w:r>
        <w:t>a spectrum</w:t>
      </w:r>
      <w:r w:rsidRPr="00B53F89">
        <w:t xml:space="preserve"> tune-up and consideration of feedback, </w:t>
      </w:r>
      <w:r w:rsidR="003406B8">
        <w:t>we</w:t>
      </w:r>
      <w:r w:rsidRPr="00B53F89">
        <w:t xml:space="preserve"> decided to move the 26 GHz band to the </w:t>
      </w:r>
      <w:r w:rsidRPr="00A5258F">
        <w:rPr>
          <w:i/>
        </w:rPr>
        <w:t>preliminary replanning</w:t>
      </w:r>
      <w:r w:rsidRPr="00B53F89">
        <w:t xml:space="preserve"> stage. </w:t>
      </w:r>
    </w:p>
    <w:p w14:paraId="709C23BC" w14:textId="77777777" w:rsidR="007A7511" w:rsidRPr="00B53F89" w:rsidRDefault="007A7511" w:rsidP="00D904DC">
      <w:pPr>
        <w:pStyle w:val="BodySubHeader"/>
        <w:keepNext/>
        <w:keepLines/>
      </w:pPr>
      <w:r w:rsidRPr="00B53F89">
        <w:t>Recent developments</w:t>
      </w:r>
    </w:p>
    <w:p w14:paraId="3113DA0F" w14:textId="0323B832" w:rsidR="007A7511" w:rsidRPr="00B53F89" w:rsidRDefault="007A7511" w:rsidP="00D904DC">
      <w:pPr>
        <w:keepNext/>
        <w:keepLines/>
      </w:pPr>
      <w:r w:rsidRPr="00B53F89">
        <w:t xml:space="preserve">In May 2019, </w:t>
      </w:r>
      <w:r w:rsidR="003406B8">
        <w:t>we</w:t>
      </w:r>
      <w:r w:rsidRPr="00B53F89">
        <w:t xml:space="preserve"> released a </w:t>
      </w:r>
      <w:hyperlink r:id="rId79" w:history="1">
        <w:r w:rsidRPr="00B53F89">
          <w:rPr>
            <w:rStyle w:val="Hyperlink"/>
          </w:rPr>
          <w:t>consultation paper</w:t>
        </w:r>
      </w:hyperlink>
      <w:r w:rsidRPr="00B53F89">
        <w:t xml:space="preserve"> outlining a draft reallocation recommendation to be made to the </w:t>
      </w:r>
      <w:r>
        <w:t>M</w:t>
      </w:r>
      <w:r w:rsidRPr="00B53F89">
        <w:t>inister to reallocate the band by issuing spectrum licences.</w:t>
      </w:r>
      <w:r>
        <w:t xml:space="preserve"> Following consideration of stakeholder comments, </w:t>
      </w:r>
      <w:r w:rsidR="003406B8">
        <w:t>we</w:t>
      </w:r>
      <w:r>
        <w:t xml:space="preserve"> made a reallocation recommendation to the Minister. In October 2019, the Minister declared the 25.1–27.</w:t>
      </w:r>
      <w:r w:rsidR="003406B8">
        <w:t>5 </w:t>
      </w:r>
      <w:r>
        <w:t>GHz frequency range for reallocation in 29 defined areas by spectrum licence.</w:t>
      </w:r>
    </w:p>
    <w:p w14:paraId="61A1478A" w14:textId="0C5E0945" w:rsidR="007A7511" w:rsidRPr="00B53F89" w:rsidRDefault="007A7511" w:rsidP="007A7511">
      <w:r>
        <w:t xml:space="preserve">In October/November 2019, the 26 GHz band was one of several </w:t>
      </w:r>
      <w:r w:rsidR="00AD4192">
        <w:t>mmW</w:t>
      </w:r>
      <w:r w:rsidRPr="00AD4192">
        <w:t>ave</w:t>
      </w:r>
      <w:r>
        <w:t xml:space="preserve"> bands considered for an IMT allocation at WRC-19 under agenda item 1.13. WRC-19 decided to provide an IMT allocation in the 26 GHz band</w:t>
      </w:r>
      <w:r w:rsidR="003406B8">
        <w:t>,</w:t>
      </w:r>
      <w:r>
        <w:t xml:space="preserve"> which is a significant milestone towards facilitating international harmonisation in the band for 5G wireless broadband technologies.</w:t>
      </w:r>
    </w:p>
    <w:p w14:paraId="03426E06" w14:textId="77777777" w:rsidR="007A7511" w:rsidRPr="00B53F89" w:rsidRDefault="007A7511" w:rsidP="007A7511">
      <w:pPr>
        <w:pStyle w:val="BodySubHeader"/>
      </w:pPr>
      <w:r w:rsidRPr="00B53F89">
        <w:t>Next steps</w:t>
      </w:r>
    </w:p>
    <w:p w14:paraId="26839D72" w14:textId="36C4382E" w:rsidR="007A7511" w:rsidRDefault="003406B8" w:rsidP="007A7511">
      <w:r>
        <w:t>We have</w:t>
      </w:r>
      <w:r w:rsidR="007A7511">
        <w:t xml:space="preserve"> convened a Technical Liaison Group (TLG) comprising interested stakeholders </w:t>
      </w:r>
      <w:r w:rsidR="00EC7211">
        <w:t>to</w:t>
      </w:r>
      <w:r w:rsidR="007A7511">
        <w:t xml:space="preserve"> inform the development of technical arrangements for 26 GHz band spectrum licences and apparatus licensed wireless broadband services in the 26 GHz band. </w:t>
      </w:r>
    </w:p>
    <w:p w14:paraId="223BD9E9" w14:textId="04FF7FF7" w:rsidR="007A7511" w:rsidRDefault="007A7511" w:rsidP="007A7511">
      <w:r>
        <w:t>The next step for the apparatus licensing arrangements is a public consultation on relevant instruments and RALI</w:t>
      </w:r>
      <w:r w:rsidR="00D87A2C">
        <w:t>, which</w:t>
      </w:r>
      <w:r>
        <w:t xml:space="preserve"> is planned for Q3 2020.</w:t>
      </w:r>
    </w:p>
    <w:p w14:paraId="6D2392AA" w14:textId="75D0A38B" w:rsidR="007A7511" w:rsidRDefault="007A7511" w:rsidP="007A7511">
      <w:r>
        <w:t>Class licensing in the 26 GHz band will be facilitated through the annu</w:t>
      </w:r>
      <w:r w:rsidR="00D87A2C">
        <w:t>a</w:t>
      </w:r>
      <w:r>
        <w:t>l update to the LIPD class licence</w:t>
      </w:r>
      <w:r w:rsidR="00D87A2C">
        <w:t>, which is</w:t>
      </w:r>
      <w:r>
        <w:t xml:space="preserve"> scheduled for consultation in Q3 2020. </w:t>
      </w:r>
    </w:p>
    <w:p w14:paraId="08BE677E" w14:textId="14E4D733" w:rsidR="007A7511" w:rsidRDefault="00D87A2C" w:rsidP="007A7511">
      <w:r>
        <w:t>We have</w:t>
      </w:r>
      <w:r w:rsidR="007A7511">
        <w:t xml:space="preserve"> </w:t>
      </w:r>
      <w:r w:rsidR="007A7511" w:rsidRPr="006E2A2C">
        <w:t>commence</w:t>
      </w:r>
      <w:r w:rsidR="007A7511">
        <w:t>d</w:t>
      </w:r>
      <w:r w:rsidR="007A7511" w:rsidRPr="006E2A2C">
        <w:t xml:space="preserve"> a process to allocate spectrum licences</w:t>
      </w:r>
      <w:r w:rsidR="007A7511">
        <w:t xml:space="preserve"> in the 25.1–27.5 GHz frequency range in 29 defined areas</w:t>
      </w:r>
      <w:r w:rsidR="007A7511" w:rsidRPr="006E2A2C">
        <w:t xml:space="preserve">. </w:t>
      </w:r>
      <w:r w:rsidR="007A7511">
        <w:t xml:space="preserve">The next step is to </w:t>
      </w:r>
      <w:r w:rsidR="007A7511" w:rsidRPr="006E2A2C">
        <w:t xml:space="preserve">consult on draft instruments to support the allocation. </w:t>
      </w:r>
      <w:r w:rsidR="007A7511" w:rsidRPr="00B53F89">
        <w:t xml:space="preserve">See </w:t>
      </w:r>
      <w:r w:rsidR="007A7511">
        <w:t>t</w:t>
      </w:r>
      <w:r w:rsidR="007A7511" w:rsidRPr="00B53F89">
        <w:t xml:space="preserve">he </w:t>
      </w:r>
      <w:r w:rsidR="007A7511" w:rsidRPr="00513FDE">
        <w:rPr>
          <w:i/>
          <w:iCs/>
        </w:rPr>
        <w:t>Forward allocation work plan</w:t>
      </w:r>
      <w:r w:rsidR="007A7511" w:rsidRPr="00B53F89">
        <w:t xml:space="preserve"> </w:t>
      </w:r>
      <w:r w:rsidR="003406B8">
        <w:t xml:space="preserve">section </w:t>
      </w:r>
      <w:r w:rsidR="007A7511" w:rsidRPr="00B53F89">
        <w:t>for more information.</w:t>
      </w:r>
    </w:p>
    <w:p w14:paraId="71FD3952" w14:textId="77777777" w:rsidR="001B42E1" w:rsidRPr="00B53F89" w:rsidRDefault="001B42E1" w:rsidP="001B42E1">
      <w:pPr>
        <w:keepNext/>
        <w:spacing w:before="60" w:after="0"/>
      </w:pPr>
      <w:r w:rsidRPr="006A2F04">
        <w:rPr>
          <w:noProof/>
        </w:rPr>
        <w:drawing>
          <wp:inline distT="0" distB="0" distL="0" distR="0" wp14:anchorId="1A8D007E" wp14:editId="2E58A56F">
            <wp:extent cx="341630" cy="359410"/>
            <wp:effectExtent l="0" t="0" r="1270" b="2540"/>
            <wp:docPr id="263" name="Picture 263"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Pr="006A2F04">
        <w:rPr>
          <w:noProof/>
        </w:rPr>
        <w:drawing>
          <wp:inline distT="0" distB="0" distL="0" distR="0" wp14:anchorId="19CF6DFD" wp14:editId="45BB5482">
            <wp:extent cx="342900" cy="361950"/>
            <wp:effectExtent l="0" t="0" r="0" b="0"/>
            <wp:docPr id="264" name="Picture 264" descr="Point to multi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int to multipoint ico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3EA5D1A6" wp14:editId="7A689FA6">
            <wp:extent cx="342900" cy="361950"/>
            <wp:effectExtent l="0" t="0" r="0" b="0"/>
            <wp:docPr id="265" name="Picture 265"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1AC1950C" wp14:editId="0F7FBD03">
            <wp:extent cx="342900" cy="361950"/>
            <wp:effectExtent l="0" t="0" r="0" b="0"/>
            <wp:docPr id="266" name="Picture 266"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3282D2CA" wp14:editId="5FDD59C9">
            <wp:extent cx="342900" cy="361950"/>
            <wp:effectExtent l="0" t="0" r="0" b="0"/>
            <wp:docPr id="267" name="Picture 267" descr="Class licens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ass licensing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49CA5C05" wp14:editId="73390A26">
            <wp:extent cx="342900" cy="361950"/>
            <wp:effectExtent l="0" t="0" r="0" b="0"/>
            <wp:docPr id="268" name="Picture 268"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7421A9E7" w14:textId="77777777" w:rsidR="001B42E1" w:rsidRPr="00B53F89" w:rsidRDefault="001B42E1" w:rsidP="001B42E1">
      <w:pPr>
        <w:pStyle w:val="Heading3"/>
      </w:pPr>
      <w:bookmarkStart w:id="287" w:name="_Toc36207432"/>
      <w:bookmarkStart w:id="288" w:name="_Toc38987190"/>
      <w:r w:rsidRPr="00B53F89">
        <w:t>2</w:t>
      </w:r>
      <w:r>
        <w:t>8</w:t>
      </w:r>
      <w:r w:rsidRPr="00B53F89">
        <w:t xml:space="preserve"> GHz (</w:t>
      </w:r>
      <w:r w:rsidRPr="00261F27">
        <w:t>27.5–29.5 GHz</w:t>
      </w:r>
      <w:r w:rsidRPr="00B53F89">
        <w:t>)</w:t>
      </w:r>
      <w:bookmarkEnd w:id="287"/>
      <w:bookmarkEnd w:id="288"/>
    </w:p>
    <w:p w14:paraId="4A8000A6" w14:textId="5D0F38F4" w:rsidR="001B42E1" w:rsidRPr="00B53F89" w:rsidRDefault="001B42E1" w:rsidP="001B42E1">
      <w:r w:rsidRPr="00B53F89">
        <w:t xml:space="preserve">In October 2017, </w:t>
      </w:r>
      <w:r w:rsidR="00D87A2C">
        <w:t>we</w:t>
      </w:r>
      <w:r w:rsidRPr="00B53F89">
        <w:t xml:space="preserve"> announced the preliminary views and outcomes of </w:t>
      </w:r>
      <w:r w:rsidR="00D87A2C">
        <w:t>our</w:t>
      </w:r>
      <w:r w:rsidR="00D87A2C" w:rsidRPr="00B53F89">
        <w:t xml:space="preserve"> </w:t>
      </w:r>
      <w:hyperlink r:id="rId80" w:history="1">
        <w:r w:rsidRPr="00B53F89">
          <w:rPr>
            <w:rStyle w:val="Hyperlink"/>
            <w:rFonts w:cs="Arial"/>
            <w:szCs w:val="20"/>
          </w:rPr>
          <w:t>3.6 GHz band review</w:t>
        </w:r>
      </w:hyperlink>
      <w:r w:rsidRPr="00B53F89">
        <w:t>. As part of the outcomes, there were several mitigation measures identified for affected incumbent point-to-multipoint licensees. Th</w:t>
      </w:r>
      <w:r>
        <w:t>ese</w:t>
      </w:r>
      <w:r w:rsidRPr="00B53F89">
        <w:t xml:space="preserve"> included a commitment to investigate the possibility of developing arrangements for the licensees as part the 28 GHz band planning activities.</w:t>
      </w:r>
    </w:p>
    <w:p w14:paraId="2BA5B25A" w14:textId="77777777" w:rsidR="001B42E1" w:rsidRPr="00B53F89" w:rsidRDefault="001B42E1" w:rsidP="001B42E1">
      <w:pPr>
        <w:pStyle w:val="BodySubHeader"/>
      </w:pPr>
      <w:r w:rsidRPr="00B53F89">
        <w:t>Recent developments</w:t>
      </w:r>
    </w:p>
    <w:p w14:paraId="0EB7FC91" w14:textId="3AFA4F86" w:rsidR="001B42E1" w:rsidRPr="00B53F89" w:rsidRDefault="00D87A2C" w:rsidP="001B42E1">
      <w:pPr>
        <w:rPr>
          <w:rFonts w:cs="Arial"/>
          <w:szCs w:val="20"/>
        </w:rPr>
      </w:pPr>
      <w:r>
        <w:t>We</w:t>
      </w:r>
      <w:r w:rsidR="001B42E1" w:rsidRPr="00B53F89">
        <w:rPr>
          <w:rFonts w:cs="Arial"/>
          <w:szCs w:val="20"/>
        </w:rPr>
        <w:t xml:space="preserve"> released a </w:t>
      </w:r>
      <w:hyperlink r:id="rId81" w:history="1">
        <w:r w:rsidR="001B42E1" w:rsidRPr="00B53F89">
          <w:rPr>
            <w:rStyle w:val="Hyperlink"/>
          </w:rPr>
          <w:t xml:space="preserve">discussion </w:t>
        </w:r>
        <w:r w:rsidR="001B42E1" w:rsidRPr="00B53F89">
          <w:rPr>
            <w:rStyle w:val="Hyperlink"/>
            <w:rFonts w:cs="Arial"/>
            <w:szCs w:val="20"/>
          </w:rPr>
          <w:t>paper</w:t>
        </w:r>
      </w:hyperlink>
      <w:r w:rsidR="001B42E1" w:rsidRPr="00B53F89">
        <w:rPr>
          <w:rFonts w:cs="Arial"/>
          <w:szCs w:val="20"/>
        </w:rPr>
        <w:t xml:space="preserve"> in September 2018 on the suitability of the 28 GHz band for a broad range of uses and service types</w:t>
      </w:r>
      <w:r w:rsidR="005C79D5">
        <w:rPr>
          <w:rFonts w:cs="Arial"/>
          <w:szCs w:val="20"/>
        </w:rPr>
        <w:t>,</w:t>
      </w:r>
      <w:r w:rsidR="001B42E1" w:rsidRPr="00B53F89">
        <w:rPr>
          <w:rFonts w:cs="Arial"/>
          <w:szCs w:val="20"/>
        </w:rPr>
        <w:t xml:space="preserve"> including various applications of FSS and wireless broadband services. </w:t>
      </w:r>
      <w:r w:rsidR="001B42E1">
        <w:rPr>
          <w:rFonts w:cs="Arial"/>
          <w:szCs w:val="20"/>
        </w:rPr>
        <w:t>Twenty-four</w:t>
      </w:r>
      <w:r w:rsidR="001B42E1" w:rsidRPr="00B53F89">
        <w:rPr>
          <w:rFonts w:cs="Arial"/>
          <w:szCs w:val="20"/>
        </w:rPr>
        <w:t xml:space="preserve"> </w:t>
      </w:r>
      <w:hyperlink r:id="rId82" w:history="1">
        <w:r w:rsidR="001B42E1" w:rsidRPr="00B53F89">
          <w:rPr>
            <w:rStyle w:val="Hyperlink"/>
            <w:rFonts w:cs="Arial"/>
            <w:szCs w:val="20"/>
          </w:rPr>
          <w:t>submissions</w:t>
        </w:r>
      </w:hyperlink>
      <w:r w:rsidR="001B42E1" w:rsidRPr="00B53F89">
        <w:rPr>
          <w:rFonts w:cs="Arial"/>
          <w:szCs w:val="20"/>
        </w:rPr>
        <w:t xml:space="preserve"> were received.</w:t>
      </w:r>
    </w:p>
    <w:p w14:paraId="4361004C" w14:textId="2FC9A843" w:rsidR="001B42E1" w:rsidRDefault="005C79D5" w:rsidP="001B42E1">
      <w:pPr>
        <w:rPr>
          <w:rFonts w:cs="Arial"/>
          <w:szCs w:val="20"/>
        </w:rPr>
      </w:pPr>
      <w:r>
        <w:rPr>
          <w:rFonts w:cs="Arial"/>
          <w:szCs w:val="20"/>
        </w:rPr>
        <w:t>We</w:t>
      </w:r>
      <w:r w:rsidR="001B42E1" w:rsidRPr="00B53F89">
        <w:rPr>
          <w:rFonts w:cs="Arial"/>
          <w:szCs w:val="20"/>
        </w:rPr>
        <w:t xml:space="preserve"> released an </w:t>
      </w:r>
      <w:hyperlink r:id="rId83" w:history="1">
        <w:r w:rsidR="001B42E1" w:rsidRPr="00B53F89">
          <w:rPr>
            <w:rStyle w:val="Hyperlink"/>
            <w:rFonts w:cs="Arial"/>
            <w:szCs w:val="20"/>
          </w:rPr>
          <w:t>options paper</w:t>
        </w:r>
      </w:hyperlink>
      <w:r w:rsidR="001B42E1" w:rsidRPr="00B53F89">
        <w:rPr>
          <w:rFonts w:cs="Arial"/>
          <w:szCs w:val="20"/>
        </w:rPr>
        <w:t xml:space="preserve"> in April 2019 seeking feedback on possible planning arrangement for the 28 GHz band. </w:t>
      </w:r>
      <w:r w:rsidR="001B42E1">
        <w:rPr>
          <w:rFonts w:cs="Arial"/>
          <w:szCs w:val="20"/>
        </w:rPr>
        <w:t>Twenty-five</w:t>
      </w:r>
      <w:r w:rsidR="001B42E1" w:rsidRPr="00B53F89">
        <w:rPr>
          <w:rFonts w:cs="Arial"/>
          <w:szCs w:val="20"/>
        </w:rPr>
        <w:t xml:space="preserve"> </w:t>
      </w:r>
      <w:hyperlink r:id="rId84" w:history="1">
        <w:r w:rsidR="001B42E1" w:rsidRPr="00B53F89">
          <w:rPr>
            <w:rStyle w:val="Hyperlink"/>
            <w:rFonts w:cs="Arial"/>
            <w:szCs w:val="20"/>
          </w:rPr>
          <w:t>submissions</w:t>
        </w:r>
      </w:hyperlink>
      <w:r w:rsidR="001B42E1" w:rsidRPr="00B53F89">
        <w:rPr>
          <w:rFonts w:cs="Arial"/>
          <w:szCs w:val="20"/>
        </w:rPr>
        <w:t xml:space="preserve"> were received. </w:t>
      </w:r>
    </w:p>
    <w:p w14:paraId="7B55313B" w14:textId="6648F159" w:rsidR="001B42E1" w:rsidRPr="00B53F89" w:rsidRDefault="001B42E1" w:rsidP="001B42E1">
      <w:r w:rsidRPr="00B53F89">
        <w:lastRenderedPageBreak/>
        <w:t xml:space="preserve">Using the information obtained from submissions to the options paper, </w:t>
      </w:r>
      <w:r w:rsidR="005C79D5">
        <w:t>we</w:t>
      </w:r>
      <w:r w:rsidRPr="00B53F89">
        <w:t xml:space="preserve"> released a </w:t>
      </w:r>
      <w:hyperlink r:id="rId85" w:history="1">
        <w:r w:rsidRPr="00B53F89">
          <w:rPr>
            <w:rStyle w:val="Hyperlink"/>
          </w:rPr>
          <w:t>decision paper</w:t>
        </w:r>
      </w:hyperlink>
      <w:r w:rsidRPr="00B53F89">
        <w:t xml:space="preserve"> in </w:t>
      </w:r>
      <w:r>
        <w:t>September</w:t>
      </w:r>
      <w:r w:rsidRPr="00B53F89">
        <w:t xml:space="preserve"> 2019 detailing decisions and preliminary views for the introduction of wireless broadband in the 2</w:t>
      </w:r>
      <w:r>
        <w:t>8</w:t>
      </w:r>
      <w:r w:rsidRPr="00B53F89">
        <w:t xml:space="preserve"> GHz band. </w:t>
      </w:r>
    </w:p>
    <w:p w14:paraId="0E4EAB88" w14:textId="77777777" w:rsidR="001B42E1" w:rsidRPr="00B53F89" w:rsidRDefault="001B42E1" w:rsidP="002738F4">
      <w:pPr>
        <w:pStyle w:val="BodySubHeader"/>
        <w:keepNext/>
        <w:keepLines/>
      </w:pPr>
      <w:r w:rsidRPr="00B53F89">
        <w:t>Next steps</w:t>
      </w:r>
    </w:p>
    <w:p w14:paraId="7B17470F" w14:textId="2A0959F1" w:rsidR="001B42E1" w:rsidRDefault="005C79D5" w:rsidP="002738F4">
      <w:pPr>
        <w:keepNext/>
        <w:keepLines/>
      </w:pPr>
      <w:r>
        <w:t>We have</w:t>
      </w:r>
      <w:r w:rsidR="001B42E1">
        <w:t xml:space="preserve"> implemented some of the new arrangements in the 28.3–29.5 GHz frequency range. This has included removing fixed point-to-point arrangements from RALI FX 3 and updating the </w:t>
      </w:r>
      <w:r w:rsidR="001B42E1" w:rsidRPr="008D08DB">
        <w:t>Radiocommunications (Communication with Space Object) Class Licence 2015</w:t>
      </w:r>
      <w:r w:rsidR="001B42E1">
        <w:t xml:space="preserve"> (CSO </w:t>
      </w:r>
      <w:r>
        <w:t>c</w:t>
      </w:r>
      <w:r w:rsidR="001B42E1">
        <w:t xml:space="preserve">lass </w:t>
      </w:r>
      <w:r>
        <w:t>l</w:t>
      </w:r>
      <w:r w:rsidR="001B42E1">
        <w:t>icence) to include the 28.3–29.5 GHz frequency range</w:t>
      </w:r>
      <w:r>
        <w:t>. S</w:t>
      </w:r>
      <w:r w:rsidR="001B42E1">
        <w:t xml:space="preserve">ee </w:t>
      </w:r>
      <w:r>
        <w:t xml:space="preserve">the </w:t>
      </w:r>
      <w:r w:rsidR="001B42E1" w:rsidRPr="00513FDE">
        <w:rPr>
          <w:i/>
          <w:iCs/>
        </w:rPr>
        <w:t xml:space="preserve">Satellite </w:t>
      </w:r>
      <w:r w:rsidRPr="00513FDE">
        <w:rPr>
          <w:i/>
          <w:iCs/>
        </w:rPr>
        <w:t>p</w:t>
      </w:r>
      <w:r w:rsidR="001B42E1" w:rsidRPr="00513FDE">
        <w:rPr>
          <w:i/>
          <w:iCs/>
        </w:rPr>
        <w:t>lanning</w:t>
      </w:r>
      <w:r w:rsidR="001B42E1">
        <w:t xml:space="preserve"> </w:t>
      </w:r>
      <w:r>
        <w:t xml:space="preserve">section </w:t>
      </w:r>
      <w:r w:rsidR="001B42E1">
        <w:t xml:space="preserve">for more CSO </w:t>
      </w:r>
      <w:r>
        <w:t>c</w:t>
      </w:r>
      <w:r w:rsidR="001B42E1">
        <w:t xml:space="preserve">lass </w:t>
      </w:r>
      <w:r>
        <w:t>l</w:t>
      </w:r>
      <w:r w:rsidR="001B42E1">
        <w:t xml:space="preserve">icence details. </w:t>
      </w:r>
    </w:p>
    <w:p w14:paraId="470E15AA" w14:textId="43CC3516" w:rsidR="001B42E1" w:rsidRDefault="005C79D5" w:rsidP="001B42E1">
      <w:r>
        <w:t>We have</w:t>
      </w:r>
      <w:r w:rsidR="001B42E1">
        <w:t xml:space="preserve"> </w:t>
      </w:r>
      <w:r w:rsidR="001B42E1" w:rsidRPr="00F56121">
        <w:t>commence</w:t>
      </w:r>
      <w:r w:rsidR="001B42E1">
        <w:t>d</w:t>
      </w:r>
      <w:r w:rsidR="001B42E1" w:rsidRPr="00F56121">
        <w:t xml:space="preserve"> work </w:t>
      </w:r>
      <w:r w:rsidR="001B42E1">
        <w:t>on the development of class licence arrangements for satellite services between 27.5 GHz and 28.3 GHz. This work is expected to conclude by Q4 2020.</w:t>
      </w:r>
      <w:r w:rsidR="001B42E1" w:rsidRPr="00261F27">
        <w:t xml:space="preserve"> </w:t>
      </w:r>
    </w:p>
    <w:p w14:paraId="0262077C" w14:textId="0C1D7239" w:rsidR="001B42E1" w:rsidRDefault="001B42E1" w:rsidP="001B42E1">
      <w:r>
        <w:t>Work is also underway to develop technical arrangements for fixed wireless broadband use of the 27.5</w:t>
      </w:r>
      <w:r w:rsidR="005C79D5">
        <w:t>–</w:t>
      </w:r>
      <w:r>
        <w:t xml:space="preserve">29.5 GHz band. This work is being conducted under the same TLG process as for the 26 GHz band. Public consultation on relevant technical arrangements </w:t>
      </w:r>
      <w:r w:rsidRPr="00D22D9F">
        <w:t>will occur in conjunction with consultation on associated allocation instruments</w:t>
      </w:r>
    </w:p>
    <w:p w14:paraId="011FC6F1" w14:textId="5F778295" w:rsidR="007A7511" w:rsidRPr="00D35ECC" w:rsidRDefault="001B42E1" w:rsidP="00D35ECC">
      <w:r w:rsidRPr="00261F27">
        <w:t xml:space="preserve">See </w:t>
      </w:r>
      <w:r>
        <w:t>t</w:t>
      </w:r>
      <w:r w:rsidRPr="00261F27">
        <w:t xml:space="preserve">he </w:t>
      </w:r>
      <w:r w:rsidRPr="00513FDE">
        <w:rPr>
          <w:i/>
          <w:iCs/>
        </w:rPr>
        <w:t>Forward allocation work plan</w:t>
      </w:r>
      <w:r w:rsidRPr="00261F27">
        <w:t xml:space="preserve"> </w:t>
      </w:r>
      <w:r w:rsidR="003406B8">
        <w:t xml:space="preserve">section </w:t>
      </w:r>
      <w:r w:rsidRPr="00261F27">
        <w:t>for more information</w:t>
      </w:r>
      <w:r>
        <w:t>.</w:t>
      </w:r>
    </w:p>
    <w:p w14:paraId="2A0AE75B" w14:textId="51438624" w:rsidR="00F46EA9" w:rsidRPr="00B53F89" w:rsidRDefault="00F46EA9" w:rsidP="009F4093">
      <w:pPr>
        <w:pStyle w:val="Heading1"/>
      </w:pPr>
      <w:bookmarkStart w:id="289" w:name="_Optimising_established_planning"/>
      <w:bookmarkStart w:id="290" w:name="_Toc510104951"/>
      <w:bookmarkStart w:id="291" w:name="_Toc510105748"/>
      <w:bookmarkStart w:id="292" w:name="_Toc510795080"/>
      <w:bookmarkStart w:id="293" w:name="_Toc511716282"/>
      <w:bookmarkStart w:id="294" w:name="_Toc511719093"/>
      <w:bookmarkStart w:id="295" w:name="_Toc522794088"/>
      <w:bookmarkStart w:id="296" w:name="_Toc31892817"/>
      <w:bookmarkStart w:id="297" w:name="_Toc36207433"/>
      <w:bookmarkStart w:id="298" w:name="_Toc38987191"/>
      <w:bookmarkEnd w:id="289"/>
      <w:r w:rsidRPr="00FA3BFB">
        <w:lastRenderedPageBreak/>
        <w:t>Optimising established planning frameworks</w:t>
      </w:r>
      <w:bookmarkEnd w:id="290"/>
      <w:bookmarkEnd w:id="291"/>
      <w:bookmarkEnd w:id="292"/>
      <w:bookmarkEnd w:id="293"/>
      <w:bookmarkEnd w:id="294"/>
      <w:bookmarkEnd w:id="295"/>
      <w:bookmarkEnd w:id="296"/>
      <w:bookmarkEnd w:id="297"/>
      <w:bookmarkEnd w:id="298"/>
    </w:p>
    <w:p w14:paraId="097EB5EC" w14:textId="0186F395" w:rsidR="00F24C8A" w:rsidRPr="00B53F89" w:rsidRDefault="00F22FDB" w:rsidP="007E1FBE">
      <w:r w:rsidRPr="00B53F89">
        <w:t>T</w:t>
      </w:r>
      <w:r w:rsidR="0066634A" w:rsidRPr="00B53F89">
        <w:t>he optimisation of e</w:t>
      </w:r>
      <w:r w:rsidR="00F64B58" w:rsidRPr="00B53F89">
        <w:t>xisting spectrum</w:t>
      </w:r>
      <w:r w:rsidR="00E64CF7" w:rsidRPr="00B53F89">
        <w:t xml:space="preserve"> </w:t>
      </w:r>
      <w:r w:rsidR="00F15BFE" w:rsidRPr="00B53F89">
        <w:t>planning arrangements</w:t>
      </w:r>
      <w:r w:rsidRPr="00B53F89">
        <w:t xml:space="preserve"> is also a significant planning priority for the ACMA</w:t>
      </w:r>
      <w:r w:rsidR="00F15BFE" w:rsidRPr="00B53F89">
        <w:t>.</w:t>
      </w:r>
      <w:r w:rsidRPr="00B53F89">
        <w:t xml:space="preserve"> </w:t>
      </w:r>
      <w:r w:rsidR="00F15BFE" w:rsidRPr="00B53F89">
        <w:t xml:space="preserve">This is typically </w:t>
      </w:r>
      <w:r w:rsidR="0066634A" w:rsidRPr="00B53F89">
        <w:t>achieved through updates to</w:t>
      </w:r>
      <w:r w:rsidR="00D42D90" w:rsidRPr="00B53F89">
        <w:t xml:space="preserve"> elements of</w:t>
      </w:r>
      <w:r w:rsidR="0066634A" w:rsidRPr="00B53F89">
        <w:t xml:space="preserve"> </w:t>
      </w:r>
      <w:r w:rsidR="00F15BFE" w:rsidRPr="00B53F89">
        <w:t>spectrum</w:t>
      </w:r>
      <w:r w:rsidR="00375FAA" w:rsidRPr="00B53F89">
        <w:t xml:space="preserve"> </w:t>
      </w:r>
      <w:r w:rsidR="00F15BFE" w:rsidRPr="00B53F89">
        <w:t>planning technical framework such as band plans (either administrative or legislative</w:t>
      </w:r>
      <w:r w:rsidR="002957B9" w:rsidRPr="00B53F89">
        <w:t>)</w:t>
      </w:r>
      <w:r w:rsidR="00F15BFE" w:rsidRPr="00B53F89">
        <w:t xml:space="preserve"> and RALIs. </w:t>
      </w:r>
    </w:p>
    <w:p w14:paraId="381E4DF6" w14:textId="698F6A7E" w:rsidR="006A3C62" w:rsidRDefault="00E706F9" w:rsidP="007E1FBE">
      <w:r w:rsidRPr="00B53F89">
        <w:t>T</w:t>
      </w:r>
      <w:r w:rsidR="00F15BFE" w:rsidRPr="00B53F89">
        <w:t xml:space="preserve">hese changes </w:t>
      </w:r>
      <w:r w:rsidRPr="00B53F89">
        <w:t xml:space="preserve">are intended </w:t>
      </w:r>
      <w:r w:rsidR="00F15BFE" w:rsidRPr="00B53F89">
        <w:t xml:space="preserve">to </w:t>
      </w:r>
      <w:r w:rsidR="0066634A" w:rsidRPr="00B53F89">
        <w:t>address band</w:t>
      </w:r>
      <w:r w:rsidR="00F15BFE" w:rsidRPr="00B53F89">
        <w:t xml:space="preserve"> and service</w:t>
      </w:r>
      <w:r w:rsidRPr="00B53F89">
        <w:t>-</w:t>
      </w:r>
      <w:r w:rsidR="0066634A" w:rsidRPr="00B53F89">
        <w:t xml:space="preserve">specific </w:t>
      </w:r>
      <w:r w:rsidR="00472F67" w:rsidRPr="00B53F89">
        <w:t>issues</w:t>
      </w:r>
      <w:r w:rsidR="00F15BFE" w:rsidRPr="00B53F89">
        <w:t xml:space="preserve"> identified within existing frameworks</w:t>
      </w:r>
      <w:r w:rsidRPr="00B53F89">
        <w:t>—</w:t>
      </w:r>
      <w:r w:rsidR="00F15BFE" w:rsidRPr="00B53F89">
        <w:t>for example</w:t>
      </w:r>
      <w:r w:rsidRPr="00B53F89">
        <w:t>,</w:t>
      </w:r>
      <w:r w:rsidR="00F15BFE" w:rsidRPr="00B53F89">
        <w:t xml:space="preserve"> by </w:t>
      </w:r>
      <w:r w:rsidR="00F64B58" w:rsidRPr="00B53F89">
        <w:t xml:space="preserve">addressing </w:t>
      </w:r>
      <w:r w:rsidR="00F15BFE" w:rsidRPr="00B53F89">
        <w:t>technology developments</w:t>
      </w:r>
      <w:r w:rsidR="005C79D5">
        <w:t xml:space="preserve"> and</w:t>
      </w:r>
      <w:r w:rsidR="00F15BFE" w:rsidRPr="00B53F89">
        <w:t xml:space="preserve"> enabling sharing opportunities and other changes to improve the efficient use of the spectrum</w:t>
      </w:r>
      <w:r w:rsidR="00F64B58" w:rsidRPr="00B53F89">
        <w:t>.</w:t>
      </w:r>
      <w:r w:rsidR="005B0878">
        <w:t xml:space="preserve"> </w:t>
      </w:r>
      <w:r w:rsidR="005C79D5">
        <w:t xml:space="preserve">Our </w:t>
      </w:r>
      <w:r w:rsidR="006A3C62" w:rsidRPr="00B53F89">
        <w:t>optimisation work across a range of different spectrum uses is outlined below.</w:t>
      </w:r>
    </w:p>
    <w:p w14:paraId="247C1990" w14:textId="77777777" w:rsidR="005C79D5" w:rsidRPr="00B53F89" w:rsidRDefault="005C79D5" w:rsidP="007E1FBE">
      <w:pPr>
        <w:keepNext/>
        <w:spacing w:before="60" w:after="0"/>
      </w:pPr>
      <w:r w:rsidRPr="006A2F04">
        <w:rPr>
          <w:noProof/>
        </w:rPr>
        <w:drawing>
          <wp:inline distT="0" distB="0" distL="0" distR="0" wp14:anchorId="47ED6914" wp14:editId="79E4EDD8">
            <wp:extent cx="342900" cy="361950"/>
            <wp:effectExtent l="0" t="0" r="0" b="0"/>
            <wp:docPr id="14" name="Picture 14"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5E855F8B" wp14:editId="3DAF3CE0">
            <wp:extent cx="342900" cy="361950"/>
            <wp:effectExtent l="0" t="0" r="0" b="0"/>
            <wp:docPr id="17" name="Picture 17" descr="Class licens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ass licensing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06BF2E00" wp14:editId="6F547A8F">
            <wp:extent cx="342900" cy="361950"/>
            <wp:effectExtent l="0" t="0" r="0" b="0"/>
            <wp:docPr id="27" name="Picture 27" descr="Point to multi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int to multipoint ico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16EEA182" wp14:editId="5BB6BEE2">
            <wp:extent cx="342900" cy="361950"/>
            <wp:effectExtent l="0" t="0" r="0" b="0"/>
            <wp:docPr id="235" name="Picture 235"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0CC5C8F5" wp14:editId="1ABB2537">
            <wp:extent cx="342900" cy="361950"/>
            <wp:effectExtent l="0" t="0" r="0" b="0"/>
            <wp:docPr id="236" name="Picture 236" descr="Amateur radi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mateur radio ico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188F6A07" wp14:editId="50E3471D">
            <wp:extent cx="341630" cy="359410"/>
            <wp:effectExtent l="0" t="0" r="1270" b="2540"/>
            <wp:docPr id="254" name="Picture 254"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Pr="006A2F04">
        <w:rPr>
          <w:noProof/>
        </w:rPr>
        <w:drawing>
          <wp:inline distT="0" distB="0" distL="0" distR="0" wp14:anchorId="3A2C02B2" wp14:editId="4570345D">
            <wp:extent cx="342900" cy="361950"/>
            <wp:effectExtent l="0" t="0" r="0" b="0"/>
            <wp:docPr id="255" name="Picture 255"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7CFB9435" w14:textId="77777777" w:rsidR="005C79D5" w:rsidRDefault="005C79D5" w:rsidP="00C371D2">
      <w:pPr>
        <w:pStyle w:val="Heading2"/>
        <w:spacing w:before="60"/>
      </w:pPr>
      <w:bookmarkStart w:id="299" w:name="_Toc38987192"/>
      <w:r w:rsidRPr="008F6DDD">
        <w:t>3400–3575 MHz</w:t>
      </w:r>
      <w:bookmarkEnd w:id="299"/>
      <w:r w:rsidRPr="008F6DDD">
        <w:t xml:space="preserve"> </w:t>
      </w:r>
    </w:p>
    <w:p w14:paraId="5A71B5AE" w14:textId="0554D5AF" w:rsidR="005C79D5" w:rsidRDefault="005C79D5" w:rsidP="007E1FBE">
      <w:r>
        <w:t>We</w:t>
      </w:r>
      <w:r w:rsidRPr="00B53F89">
        <w:t xml:space="preserve"> recognise that optimising spectrum and apparatus licence arrangements in the 3400–3575 MHz band, adjacent to the 3.6 GHz band auctioned in 2018, is an important priority. This is expected to result in more efficient use of spectrum and a reduction in deployment costs, supporting the implementation of 5G services in Australia.</w:t>
      </w:r>
    </w:p>
    <w:p w14:paraId="5753BAF0" w14:textId="77777777" w:rsidR="005C79D5" w:rsidRPr="00B53F89" w:rsidRDefault="005C79D5" w:rsidP="00C371D2">
      <w:pPr>
        <w:pStyle w:val="Heading3"/>
      </w:pPr>
      <w:bookmarkStart w:id="300" w:name="_Toc38987193"/>
      <w:r w:rsidRPr="00B53F89">
        <w:t>Recent developments</w:t>
      </w:r>
      <w:bookmarkEnd w:id="300"/>
    </w:p>
    <w:p w14:paraId="42376427" w14:textId="22964DFA" w:rsidR="005C79D5" w:rsidRDefault="005C79D5" w:rsidP="007E1FBE">
      <w:pPr>
        <w:rPr>
          <w:b/>
          <w:bCs/>
          <w:i/>
          <w:iCs/>
        </w:rPr>
      </w:pPr>
      <w:r>
        <w:t>We</w:t>
      </w:r>
      <w:r w:rsidRPr="005C79D5">
        <w:t xml:space="preserve"> consulted on </w:t>
      </w:r>
      <w:hyperlink r:id="rId86" w:history="1">
        <w:r w:rsidRPr="005C79D5">
          <w:rPr>
            <w:rStyle w:val="Hyperlink"/>
          </w:rPr>
          <w:t>options for optimising arrangements in the 3400–3575 MHz band</w:t>
        </w:r>
      </w:hyperlink>
      <w:r w:rsidRPr="005C79D5">
        <w:t xml:space="preserve"> in April 2019. The </w:t>
      </w:r>
      <w:hyperlink r:id="rId87" w:history="1">
        <w:r w:rsidRPr="005C79D5">
          <w:t>outcomes of this review</w:t>
        </w:r>
      </w:hyperlink>
      <w:r w:rsidRPr="005C79D5">
        <w:t xml:space="preserve"> were announced in November 2019.</w:t>
      </w:r>
      <w:r w:rsidRPr="008F6DDD">
        <w:rPr>
          <w:b/>
          <w:bCs/>
          <w:i/>
          <w:iCs/>
        </w:rPr>
        <w:t xml:space="preserve"> </w:t>
      </w:r>
    </w:p>
    <w:p w14:paraId="6209F346" w14:textId="77777777" w:rsidR="005C79D5" w:rsidRPr="008F6DDD" w:rsidRDefault="005C79D5" w:rsidP="00C371D2">
      <w:pPr>
        <w:pStyle w:val="Heading3"/>
        <w:rPr>
          <w:iCs/>
        </w:rPr>
      </w:pPr>
      <w:bookmarkStart w:id="301" w:name="_Toc38987194"/>
      <w:r w:rsidRPr="00CA5A4E">
        <w:t>Next steps</w:t>
      </w:r>
      <w:bookmarkEnd w:id="301"/>
    </w:p>
    <w:p w14:paraId="568029E2" w14:textId="33E44C2A" w:rsidR="005C79D5" w:rsidRPr="00B53F89" w:rsidRDefault="005C79D5" w:rsidP="007E1FBE">
      <w:r>
        <w:t xml:space="preserve">We are in the process of implementing the outcomes of our review of the 3400–3575 MHz band. </w:t>
      </w:r>
      <w:r w:rsidRPr="00B53F89">
        <w:t xml:space="preserve">See </w:t>
      </w:r>
      <w:r>
        <w:t>t</w:t>
      </w:r>
      <w:r w:rsidRPr="00B53F89">
        <w:t xml:space="preserve">he </w:t>
      </w:r>
      <w:r w:rsidRPr="00513FDE">
        <w:rPr>
          <w:i/>
          <w:iCs/>
        </w:rPr>
        <w:t>Forward allocation work plan</w:t>
      </w:r>
      <w:r w:rsidRPr="00B53F89">
        <w:t xml:space="preserve"> </w:t>
      </w:r>
      <w:r>
        <w:t xml:space="preserve">section </w:t>
      </w:r>
      <w:r w:rsidRPr="00B53F89">
        <w:t>for more information.</w:t>
      </w:r>
    </w:p>
    <w:p w14:paraId="0BA3CC30" w14:textId="7F88417F" w:rsidR="00011742" w:rsidRPr="00B53F89" w:rsidRDefault="00011742" w:rsidP="007E1FBE">
      <w:pPr>
        <w:pStyle w:val="Heading2"/>
      </w:pPr>
      <w:bookmarkStart w:id="302" w:name="_Toc31892818"/>
      <w:bookmarkStart w:id="303" w:name="_Toc36207434"/>
      <w:bookmarkStart w:id="304" w:name="_Toc38987195"/>
      <w:r w:rsidRPr="00B53F89">
        <w:t>Spectrum management advice and considering out-of-policy requests</w:t>
      </w:r>
      <w:bookmarkEnd w:id="302"/>
      <w:bookmarkEnd w:id="303"/>
      <w:bookmarkEnd w:id="304"/>
    </w:p>
    <w:p w14:paraId="25DD1705" w14:textId="65614C5D" w:rsidR="00011742" w:rsidRPr="00B53F89" w:rsidRDefault="005C79D5" w:rsidP="007E1FBE">
      <w:r>
        <w:t>We have</w:t>
      </w:r>
      <w:r w:rsidR="00011742" w:rsidRPr="00B53F89">
        <w:t xml:space="preserve"> an ongoing role </w:t>
      </w:r>
      <w:r>
        <w:t>to</w:t>
      </w:r>
      <w:r w:rsidRPr="00B53F89">
        <w:t xml:space="preserve"> provid</w:t>
      </w:r>
      <w:r>
        <w:t>e</w:t>
      </w:r>
      <w:r w:rsidRPr="00B53F89">
        <w:t xml:space="preserve"> </w:t>
      </w:r>
      <w:r w:rsidR="00011742" w:rsidRPr="00B53F89">
        <w:t>advice on spectrum arrangements, including advice on requests</w:t>
      </w:r>
      <w:r w:rsidR="006F0CF9">
        <w:t xml:space="preserve"> that involve departing from </w:t>
      </w:r>
      <w:r>
        <w:t>our</w:t>
      </w:r>
      <w:r w:rsidR="006F0CF9">
        <w:t xml:space="preserve"> published policies</w:t>
      </w:r>
      <w:r w:rsidR="00011742" w:rsidRPr="00B53F89">
        <w:t xml:space="preserve"> and considering applications for trial demonstration of new technologies.</w:t>
      </w:r>
    </w:p>
    <w:p w14:paraId="0C288C49" w14:textId="3A96D007" w:rsidR="00617A37" w:rsidRPr="00B53F89" w:rsidRDefault="00617A37" w:rsidP="00C371D2">
      <w:pPr>
        <w:pStyle w:val="Heading3"/>
      </w:pPr>
      <w:bookmarkStart w:id="305" w:name="_Hlk36535398"/>
      <w:bookmarkStart w:id="306" w:name="_Toc31892819"/>
      <w:bookmarkStart w:id="307" w:name="_Toc36207435"/>
      <w:bookmarkStart w:id="308" w:name="_Toc38987196"/>
      <w:bookmarkStart w:id="309" w:name="_Hlk16250852"/>
      <w:r w:rsidRPr="00B53F89">
        <w:t xml:space="preserve">Public </w:t>
      </w:r>
      <w:r w:rsidR="002738F4">
        <w:t>p</w:t>
      </w:r>
      <w:r w:rsidRPr="00B53F89">
        <w:t xml:space="preserve">rotection and </w:t>
      </w:r>
      <w:r w:rsidR="002738F4">
        <w:t>d</w:t>
      </w:r>
      <w:r w:rsidRPr="00B53F89">
        <w:t xml:space="preserve">isaster </w:t>
      </w:r>
      <w:r w:rsidR="002738F4">
        <w:t>r</w:t>
      </w:r>
      <w:r w:rsidRPr="00B53F89">
        <w:t xml:space="preserve">elief </w:t>
      </w:r>
      <w:bookmarkEnd w:id="305"/>
      <w:r w:rsidRPr="00B53F89">
        <w:t>(PPDR)</w:t>
      </w:r>
      <w:r w:rsidR="00BF77F7" w:rsidRPr="00B53F89">
        <w:t xml:space="preserve"> in the 4.9 GHz band</w:t>
      </w:r>
      <w:bookmarkEnd w:id="306"/>
      <w:bookmarkEnd w:id="307"/>
      <w:bookmarkEnd w:id="308"/>
    </w:p>
    <w:bookmarkEnd w:id="309"/>
    <w:p w14:paraId="28191070" w14:textId="6CCA7E58" w:rsidR="005B0878" w:rsidRDefault="005C79D5" w:rsidP="007E1FBE">
      <w:r>
        <w:t>We have</w:t>
      </w:r>
      <w:r w:rsidR="00FA6739">
        <w:t xml:space="preserve"> previously</w:t>
      </w:r>
      <w:r w:rsidR="00962925" w:rsidRPr="00B53F89">
        <w:t xml:space="preserve"> </w:t>
      </w:r>
      <w:r w:rsidR="00AF6C4C" w:rsidRPr="00B53F89">
        <w:t>work</w:t>
      </w:r>
      <w:r w:rsidR="00962925" w:rsidRPr="00B53F89">
        <w:t>ed</w:t>
      </w:r>
      <w:r w:rsidR="00AF6C4C" w:rsidRPr="00B53F89">
        <w:t xml:space="preserve"> within ITU-R Working Party 5A (responsible for recommendations and reports </w:t>
      </w:r>
      <w:r>
        <w:t>on</w:t>
      </w:r>
      <w:r w:rsidR="00AF6C4C" w:rsidRPr="00B53F89">
        <w:t xml:space="preserve"> PPDR communications, among other things) to include channelling arrangements for 5G N</w:t>
      </w:r>
      <w:r w:rsidR="00E64CF7" w:rsidRPr="00B53F89">
        <w:t xml:space="preserve">ew </w:t>
      </w:r>
      <w:r w:rsidR="00AF6C4C" w:rsidRPr="00B53F89">
        <w:t>R</w:t>
      </w:r>
      <w:r w:rsidR="00E64CF7" w:rsidRPr="00B53F89">
        <w:t>adio</w:t>
      </w:r>
      <w:r w:rsidR="00AF6C4C" w:rsidRPr="00B53F89">
        <w:t xml:space="preserve"> in documents relevant to 4.9 GHz PPDR arrangements. </w:t>
      </w:r>
      <w:r w:rsidR="001060AF">
        <w:t>This</w:t>
      </w:r>
      <w:r w:rsidR="00AF6C4C" w:rsidRPr="00B53F89">
        <w:t xml:space="preserve"> may help pave the way for public safety-grade 5G equipment that could operate under the 4.9 GHz</w:t>
      </w:r>
      <w:r w:rsidR="00D42D90" w:rsidRPr="00B53F89">
        <w:t xml:space="preserve"> emergency services</w:t>
      </w:r>
      <w:r w:rsidR="00AF6C4C" w:rsidRPr="00B53F89">
        <w:t xml:space="preserve"> class licence and could augment a future PSMB capability.</w:t>
      </w:r>
      <w:r w:rsidR="00D42D90" w:rsidRPr="00B53F89">
        <w:t xml:space="preserve"> </w:t>
      </w:r>
    </w:p>
    <w:p w14:paraId="474ED823" w14:textId="77777777" w:rsidR="005B0878" w:rsidRDefault="00542A94" w:rsidP="007E1FBE">
      <w:r>
        <w:t>T</w:t>
      </w:r>
      <w:r w:rsidR="00CA501F">
        <w:t>he Department</w:t>
      </w:r>
      <w:r w:rsidR="00D42D90" w:rsidRPr="00B53F89">
        <w:t xml:space="preserve"> is considering future PSMB arrangements, which are centred around a 4G capability using 4G frequencies, in consultation with states and territories. </w:t>
      </w:r>
    </w:p>
    <w:p w14:paraId="458752B3" w14:textId="2F5DEF34" w:rsidR="00AF6C4C" w:rsidRPr="00B53F89" w:rsidRDefault="001060AF" w:rsidP="007E1FBE">
      <w:r>
        <w:t>The</w:t>
      </w:r>
      <w:r w:rsidR="00D42D90" w:rsidRPr="00B53F89">
        <w:t xml:space="preserve"> pre-existence of the 4.9 GHz class licence might potentially represent a path from progression from 4G to 5G-based PSMB systems in the longer </w:t>
      </w:r>
      <w:r w:rsidR="00BA6B87" w:rsidRPr="00B53F89">
        <w:t>term if</w:t>
      </w:r>
      <w:r w:rsidR="00D42D90" w:rsidRPr="00B53F89">
        <w:t xml:space="preserve"> suitable </w:t>
      </w:r>
      <w:r w:rsidR="00D42D90" w:rsidRPr="00B53F89">
        <w:lastRenderedPageBreak/>
        <w:t xml:space="preserve">equipment and protocols are established. The work within </w:t>
      </w:r>
      <w:r w:rsidR="007A3BEE" w:rsidRPr="00B53F89">
        <w:t xml:space="preserve">Working Party </w:t>
      </w:r>
      <w:r w:rsidR="00D42D90" w:rsidRPr="00B53F89">
        <w:t xml:space="preserve">5A </w:t>
      </w:r>
      <w:r w:rsidR="005F4EFF" w:rsidRPr="00B53F89">
        <w:t>was</w:t>
      </w:r>
      <w:r w:rsidR="00D42D90" w:rsidRPr="00B53F89">
        <w:t xml:space="preserve"> a first step in this process.</w:t>
      </w:r>
    </w:p>
    <w:p w14:paraId="065081A3" w14:textId="7E2BB3D3" w:rsidR="00683BDD" w:rsidRPr="00B53F89" w:rsidRDefault="00683BDD" w:rsidP="007E1FBE">
      <w:pPr>
        <w:keepNext/>
        <w:spacing w:before="60" w:after="0"/>
      </w:pPr>
      <w:bookmarkStart w:id="310" w:name="_Toc510104952"/>
      <w:bookmarkStart w:id="311" w:name="_Toc510105749"/>
      <w:bookmarkStart w:id="312" w:name="_Toc510795081"/>
      <w:bookmarkStart w:id="313" w:name="_Toc511716284"/>
      <w:bookmarkStart w:id="314" w:name="_Toc511719095"/>
      <w:bookmarkStart w:id="315" w:name="_Toc522794090"/>
      <w:r w:rsidRPr="006A2F04">
        <w:rPr>
          <w:noProof/>
        </w:rPr>
        <w:drawing>
          <wp:inline distT="0" distB="0" distL="0" distR="0" wp14:anchorId="6D9EAF85" wp14:editId="7BC0638B">
            <wp:extent cx="342900" cy="361950"/>
            <wp:effectExtent l="0" t="0" r="0" b="0"/>
            <wp:docPr id="88" name="Picture 88" descr="Radio/TV broadcas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adio/TV broadcasting ic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147B6225" w14:textId="503B8851" w:rsidR="00472F67" w:rsidRPr="00B53F89" w:rsidRDefault="00F46EA9" w:rsidP="00C371D2">
      <w:pPr>
        <w:pStyle w:val="Heading2"/>
        <w:spacing w:before="60"/>
      </w:pPr>
      <w:bookmarkStart w:id="316" w:name="_Broadcasting"/>
      <w:bookmarkStart w:id="317" w:name="_Toc31892820"/>
      <w:bookmarkStart w:id="318" w:name="_Toc36207436"/>
      <w:bookmarkStart w:id="319" w:name="_Toc38987197"/>
      <w:bookmarkEnd w:id="316"/>
      <w:r w:rsidRPr="00B53F89">
        <w:t>Broadcasting</w:t>
      </w:r>
      <w:bookmarkEnd w:id="310"/>
      <w:bookmarkEnd w:id="311"/>
      <w:bookmarkEnd w:id="312"/>
      <w:bookmarkEnd w:id="313"/>
      <w:bookmarkEnd w:id="314"/>
      <w:bookmarkEnd w:id="315"/>
      <w:bookmarkEnd w:id="317"/>
      <w:bookmarkEnd w:id="318"/>
      <w:bookmarkEnd w:id="319"/>
    </w:p>
    <w:p w14:paraId="57F97212" w14:textId="4B6D1B62" w:rsidR="00CF69E3" w:rsidRDefault="00CF69E3" w:rsidP="007E1FBE">
      <w:bookmarkStart w:id="320" w:name="_Hlk2168169"/>
      <w:r>
        <w:t xml:space="preserve">Following the successful completion of the digital TV transition in 2014, the TV broadcast environment has been relatively stable. </w:t>
      </w:r>
      <w:r w:rsidR="00BA6B87">
        <w:t>We</w:t>
      </w:r>
      <w:r>
        <w:t xml:space="preserve"> continue to provide spectrum planning and licensing assistance to ad-hoc requests for optimisation of the existing TV transmission infrastructure.</w:t>
      </w:r>
    </w:p>
    <w:p w14:paraId="6FE8A949" w14:textId="603BA7C7" w:rsidR="00CF69E3" w:rsidRDefault="00BA6B87" w:rsidP="007E1FBE">
      <w:bookmarkStart w:id="321" w:name="_Hlk38960630"/>
      <w:r>
        <w:t>We</w:t>
      </w:r>
      <w:r w:rsidR="00CF69E3">
        <w:t xml:space="preserve"> support industry</w:t>
      </w:r>
      <w:r>
        <w:t>-</w:t>
      </w:r>
      <w:r w:rsidR="00CF69E3">
        <w:t>driven initiatives for trials of the new TV transmission technologies</w:t>
      </w:r>
      <w:r>
        <w:t xml:space="preserve">, including </w:t>
      </w:r>
      <w:r w:rsidR="00CF69E3">
        <w:t xml:space="preserve">the DVB-T2 run by industry in Sydney and </w:t>
      </w:r>
      <w:r>
        <w:t xml:space="preserve">the </w:t>
      </w:r>
      <w:r w:rsidR="00CF69E3">
        <w:t>Gold Coast between April 2018 and March/April 2019</w:t>
      </w:r>
      <w:r>
        <w:t>,</w:t>
      </w:r>
      <w:r w:rsidR="00CF69E3">
        <w:t xml:space="preserve"> and will continue to support similar trials in the future</w:t>
      </w:r>
      <w:bookmarkEnd w:id="321"/>
      <w:r w:rsidR="00CF69E3">
        <w:t>.</w:t>
      </w:r>
    </w:p>
    <w:p w14:paraId="6AAD5F92" w14:textId="25F85D92" w:rsidR="00CF69E3" w:rsidRDefault="00BA6B87" w:rsidP="007E1FBE">
      <w:r>
        <w:t>Our</w:t>
      </w:r>
      <w:r w:rsidR="00CF69E3">
        <w:t xml:space="preserve"> </w:t>
      </w:r>
      <w:r w:rsidR="003116EA">
        <w:t>website provides viewers with access to information about</w:t>
      </w:r>
      <w:r w:rsidR="00CF69E3">
        <w:t xml:space="preserve"> TV reception and interference</w:t>
      </w:r>
      <w:r>
        <w:t xml:space="preserve"> and we manage the </w:t>
      </w:r>
      <w:hyperlink r:id="rId88" w:history="1">
        <w:r w:rsidRPr="00CF69E3">
          <w:rPr>
            <w:rStyle w:val="Hyperlink"/>
          </w:rPr>
          <w:t>mySwitch</w:t>
        </w:r>
      </w:hyperlink>
      <w:r>
        <w:t xml:space="preserve"> website, a public TV coverage data portal with address</w:t>
      </w:r>
      <w:r w:rsidR="00210F14">
        <w:t>-</w:t>
      </w:r>
      <w:r>
        <w:t>specific information about the TV coverage and access to Viewer Access Satellite Television (VAST).</w:t>
      </w:r>
      <w:r w:rsidR="00CF69E3">
        <w:t xml:space="preserve"> </w:t>
      </w:r>
      <w:r>
        <w:t>We also</w:t>
      </w:r>
      <w:r w:rsidR="00CF69E3">
        <w:t xml:space="preserve"> provide interference diagnostic services </w:t>
      </w:r>
      <w:r w:rsidR="003116EA">
        <w:t xml:space="preserve">where </w:t>
      </w:r>
      <w:r w:rsidR="00CF69E3">
        <w:t>external interference is the cause.</w:t>
      </w:r>
    </w:p>
    <w:p w14:paraId="2686A544" w14:textId="1C36086E" w:rsidR="00191FBB" w:rsidRDefault="00191FBB" w:rsidP="007E1FBE">
      <w:r>
        <w:t xml:space="preserve">In 2019, </w:t>
      </w:r>
      <w:r w:rsidR="00BA6B87">
        <w:t>we</w:t>
      </w:r>
      <w:r>
        <w:t xml:space="preserve"> sought the views of industry on how the technological evolution and changing listener preferences were likely to impact the way radio </w:t>
      </w:r>
      <w:r w:rsidR="00AC22D2">
        <w:t>i</w:t>
      </w:r>
      <w:r>
        <w:t xml:space="preserve">s delivered into the future and how </w:t>
      </w:r>
      <w:r w:rsidR="00BA6B87">
        <w:t>we</w:t>
      </w:r>
      <w:r>
        <w:t xml:space="preserve"> can assist the industry in how it prioritises its planning work program. </w:t>
      </w:r>
    </w:p>
    <w:p w14:paraId="0F800012" w14:textId="440F5048" w:rsidR="0022282E" w:rsidRDefault="0022282E" w:rsidP="007E1FBE">
      <w:pPr>
        <w:rPr>
          <w:szCs w:val="20"/>
        </w:rPr>
      </w:pPr>
      <w:r>
        <w:rPr>
          <w:szCs w:val="20"/>
        </w:rPr>
        <w:t xml:space="preserve">Following </w:t>
      </w:r>
      <w:r w:rsidR="00010424">
        <w:rPr>
          <w:szCs w:val="20"/>
        </w:rPr>
        <w:t>i</w:t>
      </w:r>
      <w:r w:rsidR="00010424" w:rsidRPr="00091AC8">
        <w:rPr>
          <w:szCs w:val="20"/>
        </w:rPr>
        <w:t>ndustry</w:t>
      </w:r>
      <w:r w:rsidR="00191FBB" w:rsidRPr="00091AC8">
        <w:rPr>
          <w:szCs w:val="20"/>
        </w:rPr>
        <w:t xml:space="preserve"> feedback, </w:t>
      </w:r>
      <w:r w:rsidR="00BA6B87">
        <w:rPr>
          <w:szCs w:val="20"/>
        </w:rPr>
        <w:t>we</w:t>
      </w:r>
      <w:r w:rsidR="00191FBB" w:rsidRPr="00091AC8">
        <w:rPr>
          <w:szCs w:val="20"/>
        </w:rPr>
        <w:t xml:space="preserve"> </w:t>
      </w:r>
      <w:r>
        <w:rPr>
          <w:szCs w:val="20"/>
        </w:rPr>
        <w:t>published</w:t>
      </w:r>
      <w:r w:rsidDel="00BA6B87">
        <w:rPr>
          <w:szCs w:val="20"/>
        </w:rPr>
        <w:t xml:space="preserve"> </w:t>
      </w:r>
      <w:r w:rsidR="00BA6B87">
        <w:rPr>
          <w:szCs w:val="20"/>
        </w:rPr>
        <w:t xml:space="preserve">our </w:t>
      </w:r>
      <w:hyperlink r:id="rId89" w:history="1">
        <w:r w:rsidR="0058639E" w:rsidRPr="009E55F9">
          <w:rPr>
            <w:rStyle w:val="Hyperlink"/>
            <w:szCs w:val="20"/>
          </w:rPr>
          <w:t>report</w:t>
        </w:r>
      </w:hyperlink>
      <w:r>
        <w:rPr>
          <w:rStyle w:val="Hyperlink"/>
          <w:szCs w:val="20"/>
        </w:rPr>
        <w:t xml:space="preserve"> </w:t>
      </w:r>
      <w:r>
        <w:rPr>
          <w:szCs w:val="20"/>
        </w:rPr>
        <w:t>on the future delivery of radio services in Australia.</w:t>
      </w:r>
      <w:r w:rsidRPr="0022282E">
        <w:rPr>
          <w:rFonts w:ascii="Fira Sans" w:hAnsi="Fira Sans" w:cs="Segoe UI"/>
          <w:color w:val="353D3D"/>
          <w:lang w:val="en"/>
        </w:rPr>
        <w:t xml:space="preserve"> </w:t>
      </w:r>
      <w:r w:rsidR="004F558B" w:rsidRPr="0022282E">
        <w:rPr>
          <w:szCs w:val="20"/>
          <w:lang w:val="en"/>
        </w:rPr>
        <w:t>We found that live radio across different platforms is important to Australians</w:t>
      </w:r>
      <w:r w:rsidR="00BA6B87">
        <w:rPr>
          <w:szCs w:val="20"/>
          <w:lang w:val="en"/>
        </w:rPr>
        <w:t>,</w:t>
      </w:r>
      <w:r w:rsidR="004F558B" w:rsidRPr="0022282E">
        <w:rPr>
          <w:szCs w:val="20"/>
          <w:lang w:val="en"/>
        </w:rPr>
        <w:t xml:space="preserve"> especially </w:t>
      </w:r>
      <w:r w:rsidR="00BA6B87">
        <w:rPr>
          <w:szCs w:val="20"/>
          <w:lang w:val="en"/>
        </w:rPr>
        <w:t>so</w:t>
      </w:r>
      <w:r w:rsidR="00BA6B87" w:rsidRPr="0022282E">
        <w:rPr>
          <w:szCs w:val="20"/>
          <w:lang w:val="en"/>
        </w:rPr>
        <w:t xml:space="preserve"> </w:t>
      </w:r>
      <w:r w:rsidR="004F558B" w:rsidRPr="0022282E">
        <w:rPr>
          <w:szCs w:val="20"/>
          <w:lang w:val="en"/>
        </w:rPr>
        <w:t>during emergency situations such as the recent bushfires. We also determined that a mix of platforms is crucial to bringing radio to listeners.</w:t>
      </w:r>
    </w:p>
    <w:p w14:paraId="32015445" w14:textId="1714C6EB" w:rsidR="00191FBB" w:rsidRPr="00091AC8" w:rsidRDefault="004F558B" w:rsidP="007E1FBE">
      <w:pPr>
        <w:rPr>
          <w:rFonts w:cs="Arial"/>
          <w:szCs w:val="20"/>
        </w:rPr>
      </w:pPr>
      <w:r>
        <w:rPr>
          <w:szCs w:val="20"/>
        </w:rPr>
        <w:t xml:space="preserve">The report sets out a </w:t>
      </w:r>
      <w:r w:rsidR="00191FBB" w:rsidRPr="00091AC8">
        <w:rPr>
          <w:rFonts w:cs="Arial"/>
          <w:szCs w:val="20"/>
        </w:rPr>
        <w:t xml:space="preserve">new framework for </w:t>
      </w:r>
      <w:r w:rsidR="00ED5658">
        <w:rPr>
          <w:rFonts w:cs="Arial"/>
          <w:szCs w:val="20"/>
        </w:rPr>
        <w:t>our</w:t>
      </w:r>
      <w:r w:rsidR="00191FBB" w:rsidRPr="00091AC8">
        <w:rPr>
          <w:rFonts w:cs="Arial"/>
          <w:szCs w:val="20"/>
        </w:rPr>
        <w:t xml:space="preserve"> radio broadcast planning priority-setting and decision-making. </w:t>
      </w:r>
      <w:r w:rsidR="00ED5658">
        <w:rPr>
          <w:rFonts w:cs="Arial"/>
          <w:szCs w:val="20"/>
        </w:rPr>
        <w:t>T</w:t>
      </w:r>
      <w:r w:rsidR="00191FBB" w:rsidRPr="00091AC8">
        <w:rPr>
          <w:rFonts w:cs="Arial"/>
          <w:szCs w:val="20"/>
        </w:rPr>
        <w:t xml:space="preserve">his will provide greater certainty and transparency for industry and allow more efficient allocation of </w:t>
      </w:r>
      <w:r w:rsidR="00ED5658">
        <w:rPr>
          <w:rFonts w:cs="Arial"/>
          <w:szCs w:val="20"/>
        </w:rPr>
        <w:t>our</w:t>
      </w:r>
      <w:r w:rsidR="00191FBB" w:rsidRPr="00091AC8">
        <w:rPr>
          <w:rFonts w:cs="Arial"/>
          <w:szCs w:val="20"/>
        </w:rPr>
        <w:t xml:space="preserve"> broadcast planning resources.</w:t>
      </w:r>
    </w:p>
    <w:p w14:paraId="22C89228" w14:textId="4BA02288" w:rsidR="00AC22D2" w:rsidRDefault="00ED5658" w:rsidP="007E1FBE">
      <w:pPr>
        <w:pStyle w:val="Paragraphbeforelist"/>
        <w:rPr>
          <w:sz w:val="21"/>
          <w:szCs w:val="21"/>
        </w:rPr>
      </w:pPr>
      <w:r>
        <w:t>We have</w:t>
      </w:r>
      <w:r w:rsidR="00AC22D2" w:rsidRPr="00091AC8">
        <w:t xml:space="preserve"> set </w:t>
      </w:r>
      <w:r>
        <w:t>our</w:t>
      </w:r>
      <w:r w:rsidRPr="00091AC8">
        <w:t xml:space="preserve"> </w:t>
      </w:r>
      <w:r w:rsidR="00191FBB" w:rsidRPr="00091AC8">
        <w:t>current radio broadcasting planning priorities as:</w:t>
      </w:r>
    </w:p>
    <w:p w14:paraId="0E7856F1" w14:textId="3AD1B051" w:rsidR="00191FBB" w:rsidRPr="006C6463" w:rsidRDefault="00ED5658" w:rsidP="007E1FBE">
      <w:pPr>
        <w:pStyle w:val="Bulletlevel1"/>
      </w:pPr>
      <w:r>
        <w:t>c</w:t>
      </w:r>
      <w:r w:rsidRPr="006C6463">
        <w:t>onver</w:t>
      </w:r>
      <w:r>
        <w:t>ting</w:t>
      </w:r>
      <w:r w:rsidR="00191FBB" w:rsidRPr="006C6463">
        <w:t xml:space="preserve"> commercial, national and community services from AM to FM where FM spectrum is available</w:t>
      </w:r>
    </w:p>
    <w:p w14:paraId="178FFF50" w14:textId="3BF5B15C" w:rsidR="00191FBB" w:rsidRPr="006C6463" w:rsidRDefault="006C6463" w:rsidP="007E1FBE">
      <w:pPr>
        <w:pStyle w:val="Bulletlevel1"/>
      </w:pPr>
      <w:r>
        <w:t>e</w:t>
      </w:r>
      <w:r w:rsidR="00191FBB" w:rsidRPr="006C6463">
        <w:t>nhancing coverage of national, commercial and community broadcasting services where spectrum is readily available</w:t>
      </w:r>
    </w:p>
    <w:p w14:paraId="556F5327" w14:textId="766BB9F3" w:rsidR="00191FBB" w:rsidRPr="006C6463" w:rsidRDefault="006C6463" w:rsidP="007E1FBE">
      <w:pPr>
        <w:pStyle w:val="Bulletlevel1"/>
      </w:pPr>
      <w:r>
        <w:t>m</w:t>
      </w:r>
      <w:r w:rsidR="00191FBB" w:rsidRPr="006C6463">
        <w:t xml:space="preserve">aking </w:t>
      </w:r>
      <w:r w:rsidR="007E72B9">
        <w:t>DRCPs</w:t>
      </w:r>
      <w:r w:rsidR="00191FBB" w:rsidRPr="006C6463">
        <w:t xml:space="preserve"> for regional DAB+ where a commercial</w:t>
      </w:r>
      <w:r>
        <w:t xml:space="preserve"> </w:t>
      </w:r>
      <w:r w:rsidR="00191FBB" w:rsidRPr="006C6463">
        <w:t xml:space="preserve">licensee or national broadcaster has committed to a rollout </w:t>
      </w:r>
    </w:p>
    <w:p w14:paraId="68E4940B" w14:textId="08928DE9" w:rsidR="00191FBB" w:rsidRDefault="006C6463" w:rsidP="007E1FBE">
      <w:pPr>
        <w:pStyle w:val="Bulletlevel1last"/>
        <w:rPr>
          <w:sz w:val="21"/>
          <w:szCs w:val="21"/>
        </w:rPr>
      </w:pPr>
      <w:r>
        <w:t>s</w:t>
      </w:r>
      <w:r w:rsidR="00191FBB" w:rsidRPr="006C6463">
        <w:t>upporting trials of new broadcasting technology.</w:t>
      </w:r>
    </w:p>
    <w:p w14:paraId="0F18B330" w14:textId="04BD8B99" w:rsidR="00AC22D2" w:rsidRPr="00091AC8" w:rsidRDefault="00AC22D2" w:rsidP="007E1FBE">
      <w:r w:rsidRPr="00091AC8">
        <w:t>T</w:t>
      </w:r>
      <w:r w:rsidR="00191FBB" w:rsidRPr="00091AC8">
        <w:t xml:space="preserve">hese broad categories of activity will inform how individual requests for planning and allocation activity are prioritised within any year. </w:t>
      </w:r>
    </w:p>
    <w:p w14:paraId="0CAB9EEC" w14:textId="59DB7028" w:rsidR="00191FBB" w:rsidRPr="00B53F89" w:rsidRDefault="00AC22D2" w:rsidP="007E1FBE">
      <w:r w:rsidRPr="00091AC8">
        <w:t>Guided by the priority activities, w</w:t>
      </w:r>
      <w:r w:rsidR="00191FBB" w:rsidRPr="00091AC8">
        <w:t xml:space="preserve">e will </w:t>
      </w:r>
      <w:r w:rsidRPr="00091AC8">
        <w:t xml:space="preserve">continue to </w:t>
      </w:r>
      <w:r w:rsidR="00191FBB" w:rsidRPr="00091AC8">
        <w:t xml:space="preserve">consult on a work program each year through our </w:t>
      </w:r>
      <w:r w:rsidR="00ED5658">
        <w:t>FYSO</w:t>
      </w:r>
      <w:r w:rsidR="00191FBB" w:rsidRPr="00091AC8">
        <w:t>.</w:t>
      </w:r>
    </w:p>
    <w:p w14:paraId="61243765" w14:textId="5F936CED" w:rsidR="005F07AD" w:rsidRPr="00B53F89" w:rsidRDefault="005F07AD" w:rsidP="007E1FBE">
      <w:r w:rsidRPr="00B53F89">
        <w:t>Over the next few years,</w:t>
      </w:r>
      <w:r w:rsidRPr="00B53F89" w:rsidDel="00B04F39">
        <w:t xml:space="preserve"> </w:t>
      </w:r>
      <w:r w:rsidR="00ED5658">
        <w:t>we</w:t>
      </w:r>
      <w:r w:rsidRPr="00B53F89">
        <w:t xml:space="preserve"> will continue to plan for regional digital radio, where licensees commit to rolling out and</w:t>
      </w:r>
      <w:r w:rsidRPr="00B53F89" w:rsidDel="00474A22">
        <w:t xml:space="preserve"> </w:t>
      </w:r>
      <w:r w:rsidRPr="00B53F89">
        <w:t>provide for the AM</w:t>
      </w:r>
      <w:r w:rsidR="00BB23E5">
        <w:t>–</w:t>
      </w:r>
      <w:r w:rsidRPr="00B53F89">
        <w:t>FM conversions in</w:t>
      </w:r>
      <w:r w:rsidR="00B53F89">
        <w:t xml:space="preserve"> </w:t>
      </w:r>
      <w:r w:rsidRPr="00B53F89">
        <w:t xml:space="preserve">certain regional licence areas. </w:t>
      </w:r>
    </w:p>
    <w:p w14:paraId="3D7D9577" w14:textId="57987A6E" w:rsidR="00572CC5" w:rsidRPr="00B53F89" w:rsidRDefault="005F07AD" w:rsidP="007E1FBE">
      <w:r w:rsidRPr="00B53F89">
        <w:lastRenderedPageBreak/>
        <w:t xml:space="preserve">While we can plan spectrum for digital radio services in regional Australia, the establishment of digital radio services in any given market is a commercial decision of the relevant incumbent </w:t>
      </w:r>
      <w:r w:rsidR="00A72323" w:rsidRPr="00B53F89">
        <w:t xml:space="preserve">radio </w:t>
      </w:r>
      <w:r w:rsidRPr="00B53F89">
        <w:t>broadcasting licensees. Similarly, where and when the ABC and SBS will roll out digital radio services a</w:t>
      </w:r>
      <w:r w:rsidR="00374875" w:rsidRPr="00B53F89">
        <w:t>re</w:t>
      </w:r>
      <w:r w:rsidRPr="00B53F89">
        <w:t xml:space="preserve"> decision</w:t>
      </w:r>
      <w:r w:rsidR="00374875" w:rsidRPr="00B53F89">
        <w:t>s</w:t>
      </w:r>
      <w:r w:rsidRPr="00B53F89">
        <w:t xml:space="preserve"> for those broadcasters.</w:t>
      </w:r>
    </w:p>
    <w:p w14:paraId="3172F453" w14:textId="4ACB5C78" w:rsidR="00D50A45" w:rsidRPr="00B53F89" w:rsidRDefault="00745810" w:rsidP="00DC544A">
      <w:pPr>
        <w:pStyle w:val="Heading3"/>
      </w:pPr>
      <w:bookmarkStart w:id="322" w:name="_Toc38987198"/>
      <w:bookmarkStart w:id="323" w:name="_Hlk36801421"/>
      <w:r>
        <w:t>Recent developments</w:t>
      </w:r>
      <w:bookmarkEnd w:id="322"/>
    </w:p>
    <w:p w14:paraId="67892571" w14:textId="2BF83BF8" w:rsidR="00380760" w:rsidRPr="00BB23E5" w:rsidRDefault="000618C8" w:rsidP="007E1FBE">
      <w:pPr>
        <w:pStyle w:val="ListBulletLast"/>
        <w:spacing w:after="80"/>
        <w:ind w:left="284" w:hanging="284"/>
      </w:pPr>
      <w:bookmarkStart w:id="324" w:name="_Hlk2163342"/>
      <w:r w:rsidRPr="00BB23E5">
        <w:t>F</w:t>
      </w:r>
      <w:r w:rsidR="00380760" w:rsidRPr="00BB23E5">
        <w:t xml:space="preserve">inalised variations to </w:t>
      </w:r>
      <w:r w:rsidR="00BB23E5">
        <w:t>LAPs</w:t>
      </w:r>
      <w:r w:rsidR="00380760" w:rsidRPr="00BB23E5">
        <w:t xml:space="preserve"> to allow AM</w:t>
      </w:r>
      <w:r w:rsidR="00BB23E5">
        <w:t>–</w:t>
      </w:r>
      <w:r w:rsidR="00380760" w:rsidRPr="00BB23E5">
        <w:t xml:space="preserve">FM conversion for Riverland, Murray Bridge, Spencer Gulf North and Port Lincoln in South Australia, </w:t>
      </w:r>
      <w:r w:rsidR="00313220" w:rsidRPr="00BB23E5">
        <w:t xml:space="preserve">and </w:t>
      </w:r>
      <w:r w:rsidR="00380760" w:rsidRPr="00BB23E5">
        <w:t>Armidale</w:t>
      </w:r>
      <w:r w:rsidR="00313220" w:rsidRPr="00BB23E5">
        <w:t>.</w:t>
      </w:r>
      <w:r w:rsidR="00380760" w:rsidRPr="00BB23E5">
        <w:t xml:space="preserve"> </w:t>
      </w:r>
    </w:p>
    <w:bookmarkEnd w:id="323"/>
    <w:p w14:paraId="5AE3295D" w14:textId="04310F95" w:rsidR="000618C8" w:rsidRPr="00BB23E5" w:rsidRDefault="000618C8" w:rsidP="007E1FBE">
      <w:pPr>
        <w:pStyle w:val="ListBulletLast"/>
        <w:spacing w:after="80"/>
        <w:ind w:left="284" w:hanging="284"/>
      </w:pPr>
      <w:r w:rsidRPr="00BB23E5">
        <w:t xml:space="preserve">Varied </w:t>
      </w:r>
      <w:r w:rsidR="00BB23E5">
        <w:t>LAPs</w:t>
      </w:r>
      <w:r w:rsidRPr="00BB23E5">
        <w:t xml:space="preserve"> in Kingaroy, Emerald, Bundaberg, Toowoomba/Warwick and Townsville.</w:t>
      </w:r>
    </w:p>
    <w:bookmarkEnd w:id="324"/>
    <w:p w14:paraId="32AB59DA" w14:textId="7AB03698" w:rsidR="0077647C" w:rsidRPr="001A729D" w:rsidRDefault="000618C8" w:rsidP="007E1FBE">
      <w:pPr>
        <w:pStyle w:val="ListBullet"/>
        <w:keepNext w:val="0"/>
        <w:keepLines w:val="0"/>
        <w:ind w:left="284" w:hanging="289"/>
      </w:pPr>
      <w:r w:rsidRPr="00BB23E5">
        <w:t>I</w:t>
      </w:r>
      <w:r w:rsidR="009630BF" w:rsidRPr="00BB23E5">
        <w:t xml:space="preserve">ssued </w:t>
      </w:r>
      <w:r w:rsidR="009630BF" w:rsidRPr="001A729D">
        <w:t xml:space="preserve">digital radio multiplex transmitter licences for the commercial and community broadcasters in </w:t>
      </w:r>
      <w:r w:rsidRPr="001A729D">
        <w:t>Mandurah</w:t>
      </w:r>
      <w:r w:rsidR="005A322C" w:rsidRPr="001A729D">
        <w:t>.</w:t>
      </w:r>
      <w:r w:rsidR="003C714E" w:rsidRPr="001A729D">
        <w:t xml:space="preserve"> </w:t>
      </w:r>
    </w:p>
    <w:p w14:paraId="35DCC0C0" w14:textId="51AD33CE" w:rsidR="009630BF" w:rsidRPr="001A729D" w:rsidRDefault="000618C8" w:rsidP="007E1FBE">
      <w:pPr>
        <w:pStyle w:val="ListBullet"/>
        <w:keepNext w:val="0"/>
        <w:keepLines w:val="0"/>
        <w:ind w:left="284" w:hanging="289"/>
      </w:pPr>
      <w:r w:rsidRPr="001A729D">
        <w:t>D</w:t>
      </w:r>
      <w:r w:rsidR="008D7F7A" w:rsidRPr="001A729D">
        <w:t xml:space="preserve">eclared </w:t>
      </w:r>
      <w:r w:rsidR="00241747" w:rsidRPr="001A729D">
        <w:t>23 December 2019</w:t>
      </w:r>
      <w:r w:rsidR="00241747">
        <w:t xml:space="preserve"> to be t</w:t>
      </w:r>
      <w:r w:rsidR="008D7F7A" w:rsidRPr="001A729D">
        <w:t>he digital radio start-up day</w:t>
      </w:r>
      <w:r w:rsidR="0059434C" w:rsidRPr="001A729D">
        <w:t xml:space="preserve"> for </w:t>
      </w:r>
      <w:r w:rsidR="00380760" w:rsidRPr="001A729D">
        <w:t>Mandurah</w:t>
      </w:r>
      <w:r w:rsidR="0059434C" w:rsidRPr="001A729D">
        <w:t>.</w:t>
      </w:r>
      <w:r w:rsidR="00B548F2" w:rsidRPr="001A729D">
        <w:t xml:space="preserve"> </w:t>
      </w:r>
    </w:p>
    <w:p w14:paraId="0D72B410" w14:textId="37B13AAF" w:rsidR="00DD355D" w:rsidRPr="00BB23E5" w:rsidRDefault="000618C8" w:rsidP="002A179F">
      <w:pPr>
        <w:pStyle w:val="ListBullet"/>
        <w:keepNext w:val="0"/>
        <w:keepLines w:val="0"/>
        <w:spacing w:after="240"/>
        <w:ind w:left="284" w:hanging="289"/>
      </w:pPr>
      <w:r w:rsidRPr="00BB23E5">
        <w:t xml:space="preserve">Determined that the Hobart RA3 community radio licence area should be deemed to be the same as the Hobart RA1 commercial radio licence area </w:t>
      </w:r>
      <w:r w:rsidR="004A26DE" w:rsidRPr="00BB23E5">
        <w:t>to allow access to</w:t>
      </w:r>
      <w:r w:rsidRPr="00BB23E5">
        <w:t xml:space="preserve"> digital radio.</w:t>
      </w:r>
    </w:p>
    <w:p w14:paraId="71052F4D" w14:textId="1FE6EF87" w:rsidR="005F07AD" w:rsidRPr="00B53F89" w:rsidRDefault="005F07AD" w:rsidP="002A179F">
      <w:pPr>
        <w:pStyle w:val="Heading3"/>
      </w:pPr>
      <w:bookmarkStart w:id="325" w:name="_Toc38987199"/>
      <w:r w:rsidRPr="00B53F89">
        <w:t xml:space="preserve">Activities planned for </w:t>
      </w:r>
      <w:r w:rsidR="00EB22C2" w:rsidRPr="00B53F89">
        <w:t>20</w:t>
      </w:r>
      <w:r w:rsidR="00EB22C2">
        <w:t>20</w:t>
      </w:r>
      <w:r w:rsidRPr="00B53F89">
        <w:t>–</w:t>
      </w:r>
      <w:r w:rsidR="00EB22C2" w:rsidRPr="00B53F89">
        <w:t>2</w:t>
      </w:r>
      <w:r w:rsidR="00EB22C2">
        <w:t>1</w:t>
      </w:r>
      <w:bookmarkEnd w:id="325"/>
      <w:r w:rsidR="00EB22C2" w:rsidRPr="00B53F89">
        <w:t xml:space="preserve"> </w:t>
      </w:r>
    </w:p>
    <w:p w14:paraId="653C726F" w14:textId="7736577E" w:rsidR="005716DE" w:rsidRPr="00B53F89" w:rsidRDefault="001D727B" w:rsidP="007E1FBE">
      <w:pPr>
        <w:pStyle w:val="Paragraphbeforelist"/>
      </w:pPr>
      <w:r>
        <w:t>W</w:t>
      </w:r>
      <w:r w:rsidR="005716DE" w:rsidRPr="00B53F89">
        <w:t>e will:</w:t>
      </w:r>
    </w:p>
    <w:p w14:paraId="6888BA8B" w14:textId="2602A5BB" w:rsidR="00F22648" w:rsidRDefault="00F22648" w:rsidP="007E1FBE">
      <w:pPr>
        <w:pStyle w:val="ListBullet"/>
        <w:keepNext w:val="0"/>
        <w:keepLines w:val="0"/>
        <w:ind w:left="284" w:hanging="284"/>
      </w:pPr>
      <w:r>
        <w:t>Consult on proposals for LAP variations in Brisbane QLD</w:t>
      </w:r>
      <w:r w:rsidR="00D131B7">
        <w:t>,</w:t>
      </w:r>
      <w:r>
        <w:t xml:space="preserve"> Remote Central and Eastern Australia Radio LAP</w:t>
      </w:r>
      <w:r w:rsidR="00D131B7">
        <w:t>, and Deniliquin NSW.</w:t>
      </w:r>
    </w:p>
    <w:p w14:paraId="55FC3424" w14:textId="6E45FB07" w:rsidR="00F22648" w:rsidRDefault="00F22648" w:rsidP="007E1FBE">
      <w:pPr>
        <w:pStyle w:val="Bulletlevel1"/>
      </w:pPr>
      <w:r>
        <w:t>Consult on the variations to LAPs to enable AM</w:t>
      </w:r>
      <w:r w:rsidR="00BB23E5">
        <w:t>–</w:t>
      </w:r>
      <w:r>
        <w:t xml:space="preserve">FM conversions in </w:t>
      </w:r>
      <w:r w:rsidRPr="00B53F89">
        <w:t>single</w:t>
      </w:r>
      <w:r w:rsidR="00E36513">
        <w:t>-</w:t>
      </w:r>
      <w:r w:rsidRPr="00B53F89">
        <w:t>licensee markets whe</w:t>
      </w:r>
      <w:r>
        <w:t>re</w:t>
      </w:r>
      <w:r w:rsidRPr="00B53F89">
        <w:t xml:space="preserve"> engineering reports have been received from the licensees and approved by the ACMA</w:t>
      </w:r>
      <w:r>
        <w:t xml:space="preserve">. This includes </w:t>
      </w:r>
      <w:r w:rsidR="00E83041">
        <w:t>a</w:t>
      </w:r>
      <w:r>
        <w:t xml:space="preserve"> subset of the following areas: Taree, Inverell, Moree, Gunnedah, Tamworth, Lismore, Mudgee, Young and Parkes. The </w:t>
      </w:r>
      <w:r w:rsidR="00BB23E5">
        <w:t>We are</w:t>
      </w:r>
      <w:r>
        <w:t xml:space="preserve"> consulting with the licensees to determine indicative timelines and relative priorities. Proceeding with these variations is dependent on the relevant licensees making timely strategic business decisions on available implementation</w:t>
      </w:r>
      <w:r w:rsidRPr="00F22648">
        <w:t xml:space="preserve"> </w:t>
      </w:r>
      <w:r w:rsidR="00E83041">
        <w:t>options.</w:t>
      </w:r>
    </w:p>
    <w:p w14:paraId="5BBC2C12" w14:textId="3DD1A327" w:rsidR="00F22648" w:rsidRDefault="00F22648" w:rsidP="007E1FBE">
      <w:pPr>
        <w:pStyle w:val="Bulletlevel1"/>
      </w:pPr>
      <w:r>
        <w:t>C</w:t>
      </w:r>
      <w:r w:rsidRPr="00B53F89">
        <w:t xml:space="preserve">onsult on the </w:t>
      </w:r>
      <w:r w:rsidR="007E72B9">
        <w:t>DRCP</w:t>
      </w:r>
      <w:r w:rsidRPr="00B53F89">
        <w:t xml:space="preserve"> </w:t>
      </w:r>
      <w:r w:rsidR="007E72B9">
        <w:t>for the</w:t>
      </w:r>
      <w:r w:rsidRPr="00B53F89">
        <w:t xml:space="preserve"> Gold Coast</w:t>
      </w:r>
      <w:r w:rsidR="007E72B9">
        <w:t>,</w:t>
      </w:r>
      <w:r w:rsidRPr="00B53F89">
        <w:t xml:space="preserve"> taking into account the completion of frequency allotment planning</w:t>
      </w:r>
      <w:r>
        <w:t>.</w:t>
      </w:r>
      <w:r w:rsidRPr="000C0603">
        <w:t xml:space="preserve"> </w:t>
      </w:r>
    </w:p>
    <w:p w14:paraId="5CF39F61" w14:textId="2068039A" w:rsidR="00F22648" w:rsidRPr="00B53F89" w:rsidRDefault="00F22648" w:rsidP="007E1FBE">
      <w:pPr>
        <w:pStyle w:val="Bulletlevel1"/>
      </w:pPr>
      <w:r>
        <w:t>F</w:t>
      </w:r>
      <w:r w:rsidRPr="00B53F89">
        <w:t xml:space="preserve">urther consult on whether variations to the </w:t>
      </w:r>
      <w:r w:rsidR="007E72B9">
        <w:t>DRCP</w:t>
      </w:r>
      <w:r w:rsidRPr="00B53F89">
        <w:t xml:space="preserve"> </w:t>
      </w:r>
      <w:r w:rsidR="007E72B9">
        <w:t>for</w:t>
      </w:r>
      <w:r w:rsidRPr="00B53F89">
        <w:t xml:space="preserve"> Brisbane are appropriate to improve digital coverage</w:t>
      </w:r>
      <w:r>
        <w:t>.</w:t>
      </w:r>
    </w:p>
    <w:p w14:paraId="51EDCABA" w14:textId="43E2BAA4" w:rsidR="000F47BB" w:rsidRPr="00B53F89" w:rsidRDefault="000618C8" w:rsidP="007E1FBE">
      <w:pPr>
        <w:pStyle w:val="Bulletlevel1"/>
      </w:pPr>
      <w:r>
        <w:t>C</w:t>
      </w:r>
      <w:r w:rsidR="000F47BB" w:rsidRPr="00B53F89">
        <w:t xml:space="preserve">onsult on </w:t>
      </w:r>
      <w:r w:rsidR="001D5911" w:rsidRPr="00B53F89">
        <w:t>the principles to</w:t>
      </w:r>
      <w:r w:rsidR="000F47BB" w:rsidRPr="00B53F89">
        <w:t xml:space="preserve"> </w:t>
      </w:r>
      <w:r w:rsidR="008C0297" w:rsidRPr="00B53F89">
        <w:t xml:space="preserve">determine whether specified community radio licence areas should be deemed to be the same as specified commercial radio licence areas </w:t>
      </w:r>
      <w:r w:rsidR="004A26DE">
        <w:t>to allow access to</w:t>
      </w:r>
      <w:r w:rsidR="008C0297" w:rsidRPr="00B53F89">
        <w:t xml:space="preserve"> digital radio</w:t>
      </w:r>
      <w:r>
        <w:t>.</w:t>
      </w:r>
    </w:p>
    <w:p w14:paraId="634A14A5" w14:textId="0D8C1ED9" w:rsidR="00FB1D8C" w:rsidRDefault="000618C8" w:rsidP="007E1FBE">
      <w:pPr>
        <w:pStyle w:val="Bulletlevel1"/>
      </w:pPr>
      <w:r>
        <w:t>C</w:t>
      </w:r>
      <w:r w:rsidR="00C8006F" w:rsidRPr="00295F01">
        <w:t>onsult</w:t>
      </w:r>
      <w:r w:rsidR="00C8006F">
        <w:t xml:space="preserve"> on the potential to replan the Perth FM radio band, following the </w:t>
      </w:r>
      <w:r w:rsidR="002F3DE3" w:rsidRPr="00B53F89" w:rsidDel="004D1A73">
        <w:t>clearance of Band II television in Bunbury</w:t>
      </w:r>
      <w:r w:rsidR="000609CE" w:rsidRPr="00B53F89" w:rsidDel="00C8006F">
        <w:t>.</w:t>
      </w:r>
    </w:p>
    <w:p w14:paraId="36277093" w14:textId="12797B07" w:rsidR="009E641E" w:rsidRPr="00B53F89" w:rsidRDefault="000618C8" w:rsidP="007E1FBE">
      <w:pPr>
        <w:pStyle w:val="Bulletlevel1last"/>
      </w:pPr>
      <w:r>
        <w:t>E</w:t>
      </w:r>
      <w:r w:rsidRPr="00D22F25">
        <w:t>ngage further with industry on the ACMA’s finding</w:t>
      </w:r>
      <w:r w:rsidR="00F22648">
        <w:t>s</w:t>
      </w:r>
      <w:r w:rsidRPr="00D22F25">
        <w:t xml:space="preserve"> in its report to the Minister on the </w:t>
      </w:r>
      <w:r w:rsidR="00BB23E5">
        <w:t>f</w:t>
      </w:r>
      <w:r w:rsidRPr="00D22F25">
        <w:t xml:space="preserve">uture </w:t>
      </w:r>
      <w:r w:rsidR="00BB23E5">
        <w:t>d</w:t>
      </w:r>
      <w:r w:rsidRPr="00D22F25">
        <w:t xml:space="preserve">elivery of </w:t>
      </w:r>
      <w:r w:rsidR="00BB23E5">
        <w:t>r</w:t>
      </w:r>
      <w:r w:rsidRPr="00D22F25">
        <w:t>adio.</w:t>
      </w:r>
      <w:bookmarkStart w:id="326" w:name="_Hlk16256634"/>
    </w:p>
    <w:p w14:paraId="6E804EBE" w14:textId="4216FD33" w:rsidR="003C6F8E" w:rsidRPr="00B53F89" w:rsidRDefault="00D32654" w:rsidP="007E1FBE">
      <w:pPr>
        <w:keepNext/>
        <w:keepLines/>
        <w:spacing w:before="60" w:after="0"/>
      </w:pPr>
      <w:bookmarkStart w:id="327" w:name="_Toc510104953"/>
      <w:bookmarkStart w:id="328" w:name="_Toc510105750"/>
      <w:bookmarkStart w:id="329" w:name="_Toc510795082"/>
      <w:bookmarkStart w:id="330" w:name="_Toc511716285"/>
      <w:bookmarkStart w:id="331" w:name="_Toc511719096"/>
      <w:bookmarkStart w:id="332" w:name="_Toc522794091"/>
      <w:bookmarkEnd w:id="320"/>
      <w:bookmarkEnd w:id="326"/>
      <w:r w:rsidRPr="006A2F04">
        <w:rPr>
          <w:noProof/>
        </w:rPr>
        <w:drawing>
          <wp:inline distT="0" distB="0" distL="0" distR="0" wp14:anchorId="6545CD19" wp14:editId="41DA2314">
            <wp:extent cx="341630" cy="359410"/>
            <wp:effectExtent l="0" t="0" r="1270" b="2540"/>
            <wp:docPr id="179" name="Picture 179"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003C6F8E" w:rsidRPr="006A2F04">
        <w:rPr>
          <w:noProof/>
        </w:rPr>
        <w:drawing>
          <wp:inline distT="0" distB="0" distL="0" distR="0" wp14:anchorId="2615271D" wp14:editId="148A55BC">
            <wp:extent cx="342900" cy="361950"/>
            <wp:effectExtent l="0" t="0" r="0" b="0"/>
            <wp:docPr id="90" name="Picture 90" descr="Class licens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ass licensing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0A4137" w:rsidRPr="006A2F04">
        <w:rPr>
          <w:noProof/>
        </w:rPr>
        <w:drawing>
          <wp:inline distT="0" distB="0" distL="0" distR="0" wp14:anchorId="2CD92082" wp14:editId="20C0F837">
            <wp:extent cx="342900" cy="361950"/>
            <wp:effectExtent l="0" t="0" r="0" b="0"/>
            <wp:docPr id="91" name="Picture 91"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0A4137" w:rsidRPr="006A2F04">
        <w:rPr>
          <w:noProof/>
        </w:rPr>
        <w:drawing>
          <wp:inline distT="0" distB="0" distL="0" distR="0" wp14:anchorId="702778D6" wp14:editId="3553A1A1">
            <wp:extent cx="342900" cy="361950"/>
            <wp:effectExtent l="0" t="0" r="0" b="0"/>
            <wp:docPr id="92" name="Picture 92"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2C06E485" w14:textId="131550EC" w:rsidR="003D7FAC" w:rsidRPr="00B53F89" w:rsidRDefault="003D7FAC" w:rsidP="002A179F">
      <w:pPr>
        <w:pStyle w:val="Heading2"/>
        <w:spacing w:before="60"/>
      </w:pPr>
      <w:bookmarkStart w:id="333" w:name="_Toc31892821"/>
      <w:bookmarkStart w:id="334" w:name="_Toc36207437"/>
      <w:bookmarkStart w:id="335" w:name="_Toc38987200"/>
      <w:r w:rsidRPr="00B53F89">
        <w:t xml:space="preserve">Satellite </w:t>
      </w:r>
      <w:r w:rsidR="00161584" w:rsidRPr="00B53F89">
        <w:t>planning</w:t>
      </w:r>
      <w:bookmarkEnd w:id="327"/>
      <w:bookmarkEnd w:id="328"/>
      <w:bookmarkEnd w:id="329"/>
      <w:bookmarkEnd w:id="330"/>
      <w:bookmarkEnd w:id="331"/>
      <w:bookmarkEnd w:id="332"/>
      <w:bookmarkEnd w:id="333"/>
      <w:bookmarkEnd w:id="334"/>
      <w:bookmarkEnd w:id="335"/>
      <w:r w:rsidR="00161584" w:rsidRPr="00B53F89">
        <w:t xml:space="preserve"> </w:t>
      </w:r>
    </w:p>
    <w:p w14:paraId="0E21F900" w14:textId="26DD2C0C" w:rsidR="00401E19" w:rsidRPr="00B53F89" w:rsidRDefault="003D7FAC" w:rsidP="002A179F">
      <w:r w:rsidRPr="00B53F89">
        <w:t xml:space="preserve">The ACMA continues to engage internationally on the coordination, development and implementation of measures to enhance spectrum usage for satellite communications and space research services. </w:t>
      </w:r>
    </w:p>
    <w:p w14:paraId="45C5D7A1" w14:textId="61345336" w:rsidR="007F3368" w:rsidRPr="00B53F89" w:rsidRDefault="00310C78" w:rsidP="002A179F">
      <w:pPr>
        <w:pStyle w:val="Heading3"/>
      </w:pPr>
      <w:bookmarkStart w:id="336" w:name="_Toc38987201"/>
      <w:r>
        <w:lastRenderedPageBreak/>
        <w:t>Recent developments</w:t>
      </w:r>
      <w:bookmarkEnd w:id="336"/>
    </w:p>
    <w:p w14:paraId="454CE216" w14:textId="67FB1BED" w:rsidR="006E164C" w:rsidRPr="00191FBB" w:rsidRDefault="007F3368" w:rsidP="007E1FBE">
      <w:pPr>
        <w:keepNext/>
        <w:keepLines/>
      </w:pPr>
      <w:r w:rsidRPr="00B53F89">
        <w:t xml:space="preserve">In </w:t>
      </w:r>
      <w:r w:rsidR="00AD3F59">
        <w:t>20</w:t>
      </w:r>
      <w:r w:rsidR="006E164C" w:rsidRPr="00B53F89">
        <w:t>19</w:t>
      </w:r>
      <w:r w:rsidR="00EF0E76" w:rsidRPr="00B53F89">
        <w:t>–</w:t>
      </w:r>
      <w:r w:rsidR="00AD3F59">
        <w:t>20</w:t>
      </w:r>
      <w:r w:rsidRPr="00B53F89">
        <w:t xml:space="preserve">, </w:t>
      </w:r>
      <w:r w:rsidR="00FC3C76">
        <w:t>we</w:t>
      </w:r>
      <w:r w:rsidRPr="00B53F89">
        <w:t xml:space="preserve"> finalised consultation on </w:t>
      </w:r>
      <w:r w:rsidR="00F22FDB" w:rsidRPr="00B53F89">
        <w:t>several</w:t>
      </w:r>
      <w:r w:rsidRPr="00B53F89">
        <w:t xml:space="preserve"> issues to support developments in satellite communications</w:t>
      </w:r>
      <w:r w:rsidR="006E164C" w:rsidRPr="00B53F89">
        <w:t xml:space="preserve"> and in </w:t>
      </w:r>
      <w:r w:rsidR="0099617F">
        <w:t>March</w:t>
      </w:r>
      <w:r w:rsidR="00AD3F59">
        <w:t xml:space="preserve"> 2020 </w:t>
      </w:r>
      <w:r w:rsidR="00EC7F5D" w:rsidRPr="00B53F89">
        <w:t>varied</w:t>
      </w:r>
      <w:r w:rsidR="006E164C" w:rsidRPr="00B53F89">
        <w:t xml:space="preserve"> the</w:t>
      </w:r>
      <w:r w:rsidR="0099617F">
        <w:t xml:space="preserve"> </w:t>
      </w:r>
      <w:hyperlink r:id="rId90" w:history="1">
        <w:r w:rsidR="006E164C" w:rsidRPr="00B53F89">
          <w:rPr>
            <w:rStyle w:val="Hyperlink"/>
            <w:iCs/>
          </w:rPr>
          <w:t>Radiocommunications (Communication with Space Object) Class Licence</w:t>
        </w:r>
        <w:r w:rsidR="00B45FDA" w:rsidRPr="00B53F89">
          <w:rPr>
            <w:rStyle w:val="Hyperlink"/>
            <w:iCs/>
          </w:rPr>
          <w:t xml:space="preserve"> 2015</w:t>
        </w:r>
      </w:hyperlink>
      <w:r w:rsidR="0099617F">
        <w:t>. T</w:t>
      </w:r>
      <w:r w:rsidR="0099617F" w:rsidRPr="008A310E">
        <w:t>his followed a consultation process in December 2019 regarding the implementation of outcomes of the 10.7</w:t>
      </w:r>
      <w:r w:rsidR="00FC3C76">
        <w:t>–</w:t>
      </w:r>
      <w:r w:rsidR="0099617F" w:rsidRPr="008A310E">
        <w:t>11.7 GHz band (the 11 GHz band) and 27.5</w:t>
      </w:r>
      <w:r w:rsidR="00FC3C76">
        <w:t>–</w:t>
      </w:r>
      <w:r w:rsidR="0099617F" w:rsidRPr="008A310E">
        <w:t>29.5 GHz band (the 28 GHz band) reviews</w:t>
      </w:r>
      <w:r w:rsidR="00CB60AE">
        <w:rPr>
          <w:rStyle w:val="FootnoteReference"/>
        </w:rPr>
        <w:footnoteReference w:id="53"/>
      </w:r>
      <w:r w:rsidR="0099617F" w:rsidRPr="008A310E">
        <w:t>.</w:t>
      </w:r>
      <w:r w:rsidR="00DF0C7D">
        <w:t xml:space="preserve"> The variation facilitated the use of the 10.7–11.7 GHz, 18.2–18.8 GHz and 19.3–19.7 GHz bands for ubiquitous earth receivers and the </w:t>
      </w:r>
      <w:r w:rsidR="00DF0C7D" w:rsidRPr="00DF0C7D">
        <w:t xml:space="preserve">28.3–28.5 GHz and 29.1–29.5 GHz bands </w:t>
      </w:r>
      <w:r w:rsidR="00DF0C7D">
        <w:t>for ubiquitous earth transmitters. The amount of tax applicable in the</w:t>
      </w:r>
      <w:r w:rsidR="008A310E">
        <w:t xml:space="preserve"> </w:t>
      </w:r>
      <w:r w:rsidR="00DF0C7D">
        <w:t>1</w:t>
      </w:r>
      <w:r w:rsidR="00DF0C7D" w:rsidDel="008A310E">
        <w:t xml:space="preserve"> </w:t>
      </w:r>
      <w:r w:rsidR="00DF0C7D">
        <w:t xml:space="preserve">0.7–11.7 GHz, 18.2–18.8 GHz and 19.3–19.7 GHz bands was also reduced to the minimum annual amount via an amendment to the </w:t>
      </w:r>
      <w:hyperlink r:id="rId91" w:history="1">
        <w:r w:rsidR="00DF0C7D" w:rsidRPr="00DF0C7D">
          <w:rPr>
            <w:rStyle w:val="Hyperlink"/>
          </w:rPr>
          <w:t>Radiocommunications (Transmitter Licence Tax) Determination 2015</w:t>
        </w:r>
      </w:hyperlink>
      <w:r w:rsidR="00DF0C7D">
        <w:t>.</w:t>
      </w:r>
    </w:p>
    <w:p w14:paraId="0F7A3B67" w14:textId="5854E0B6" w:rsidR="005F59E2" w:rsidRPr="00AF06C8" w:rsidRDefault="005F59E2" w:rsidP="007E1FBE">
      <w:pPr>
        <w:rPr>
          <w:rFonts w:cs="Arial"/>
          <w:szCs w:val="22"/>
        </w:rPr>
      </w:pPr>
      <w:r>
        <w:t>In August 2019</w:t>
      </w:r>
      <w:r w:rsidR="008A310E">
        <w:t>,</w:t>
      </w:r>
      <w:r>
        <w:t xml:space="preserve"> f</w:t>
      </w:r>
      <w:r w:rsidRPr="005F59E2">
        <w:t xml:space="preserve">requency coordination requirements </w:t>
      </w:r>
      <w:r>
        <w:rPr>
          <w:szCs w:val="22"/>
        </w:rPr>
        <w:t>between earth station transmitters operating in the frequency range 5850</w:t>
      </w:r>
      <w:r w:rsidR="00FC3C76">
        <w:t>–</w:t>
      </w:r>
      <w:r>
        <w:rPr>
          <w:szCs w:val="22"/>
        </w:rPr>
        <w:t>7075 MHz and fixed point</w:t>
      </w:r>
      <w:r w:rsidR="001E6137">
        <w:rPr>
          <w:szCs w:val="22"/>
        </w:rPr>
        <w:t>-</w:t>
      </w:r>
      <w:r>
        <w:rPr>
          <w:szCs w:val="22"/>
        </w:rPr>
        <w:t>to</w:t>
      </w:r>
      <w:r w:rsidR="001E6137">
        <w:rPr>
          <w:szCs w:val="22"/>
        </w:rPr>
        <w:t>-</w:t>
      </w:r>
      <w:r>
        <w:rPr>
          <w:szCs w:val="22"/>
        </w:rPr>
        <w:t>point links operating in the 6 GHz (5925</w:t>
      </w:r>
      <w:r w:rsidR="00FC3C76">
        <w:t>–</w:t>
      </w:r>
      <w:r>
        <w:rPr>
          <w:szCs w:val="22"/>
        </w:rPr>
        <w:t>6425 MHz) and 6.7 GHz (6425</w:t>
      </w:r>
      <w:r w:rsidR="00FC3C76">
        <w:t>–</w:t>
      </w:r>
      <w:r>
        <w:rPr>
          <w:szCs w:val="22"/>
        </w:rPr>
        <w:t>7110 MHz) fixed link bands were released</w:t>
      </w:r>
      <w:r w:rsidR="00FC3C76">
        <w:rPr>
          <w:szCs w:val="22"/>
        </w:rPr>
        <w:t>.</w:t>
      </w:r>
      <w:r>
        <w:rPr>
          <w:rStyle w:val="FootnoteReference"/>
          <w:szCs w:val="22"/>
        </w:rPr>
        <w:footnoteReference w:id="54"/>
      </w:r>
    </w:p>
    <w:p w14:paraId="22A137A7" w14:textId="349AB56A" w:rsidR="007F3368" w:rsidRDefault="00EC7CEC" w:rsidP="007E1FBE">
      <w:r>
        <w:t>Phase 1 of the review of licensing procedures for space-based communications</w:t>
      </w:r>
      <w:r w:rsidR="00E562D8">
        <w:t xml:space="preserve"> was also completed</w:t>
      </w:r>
      <w:r w:rsidR="00FC3C76">
        <w:t>,</w:t>
      </w:r>
      <w:r w:rsidR="00E562D8">
        <w:t xml:space="preserve"> following the release of a discussion paper and draft new business operating procedures in November 2019</w:t>
      </w:r>
      <w:r w:rsidR="00FC3C76">
        <w:t>.</w:t>
      </w:r>
      <w:r w:rsidR="00E562D8">
        <w:rPr>
          <w:rStyle w:val="FootnoteReference"/>
        </w:rPr>
        <w:footnoteReference w:id="55"/>
      </w:r>
      <w:r>
        <w:t xml:space="preserve"> </w:t>
      </w:r>
      <w:r w:rsidR="00FC3C76">
        <w:t xml:space="preserve">The </w:t>
      </w:r>
      <w:r w:rsidR="009B14F7" w:rsidRPr="009B14F7">
        <w:t>procedures</w:t>
      </w:r>
      <w:r w:rsidR="009B14F7" w:rsidRPr="009B14F7" w:rsidDel="00FC3C76">
        <w:t xml:space="preserve"> </w:t>
      </w:r>
      <w:r w:rsidR="009B14F7">
        <w:t xml:space="preserve">were reviewed </w:t>
      </w:r>
      <w:r w:rsidR="009B14F7" w:rsidRPr="009B14F7">
        <w:t>to consider whether existing procedures are commensurate with the risk of interference, including consideration of the status of a satellite network in the ITU satellite coordination process</w:t>
      </w:r>
      <w:r w:rsidR="001E6137">
        <w:t>.</w:t>
      </w:r>
    </w:p>
    <w:p w14:paraId="332414F1" w14:textId="2E2E6A3E" w:rsidR="009B14F7" w:rsidRDefault="00FC3C76" w:rsidP="007E1FBE">
      <w:r>
        <w:t>We</w:t>
      </w:r>
      <w:r w:rsidR="009B14F7">
        <w:t xml:space="preserve"> also varied the </w:t>
      </w:r>
      <w:hyperlink r:id="rId92" w:history="1">
        <w:r w:rsidR="009B14F7" w:rsidRPr="00F60BF4">
          <w:rPr>
            <w:rStyle w:val="Hyperlink"/>
          </w:rPr>
          <w:t>Radiocommunications (Foreign Space Objects) Determinatio</w:t>
        </w:r>
        <w:r w:rsidR="00DF0C7D">
          <w:rPr>
            <w:rStyle w:val="Hyperlink"/>
          </w:rPr>
          <w:t>n 2014</w:t>
        </w:r>
      </w:hyperlink>
      <w:r w:rsidR="00F60BF4">
        <w:t xml:space="preserve"> to include </w:t>
      </w:r>
      <w:r w:rsidR="00F60BF4" w:rsidRPr="00F60BF4">
        <w:t>Kepler Communications (Canada), SpaceX Services (US) and Swarm Technologies (US)</w:t>
      </w:r>
      <w:r w:rsidR="00F60BF4">
        <w:t xml:space="preserve"> in Schedule 1 of the Determination. </w:t>
      </w:r>
    </w:p>
    <w:p w14:paraId="1DE0B9B7" w14:textId="719B9C2D" w:rsidR="009C2FFE" w:rsidRPr="00B53F89" w:rsidRDefault="009C2FFE" w:rsidP="002A179F">
      <w:pPr>
        <w:pStyle w:val="Heading3"/>
      </w:pPr>
      <w:bookmarkStart w:id="337" w:name="_Hlk17129610"/>
      <w:bookmarkStart w:id="338" w:name="_Toc38987202"/>
      <w:r w:rsidRPr="00B53F89">
        <w:t xml:space="preserve">Activities planned for </w:t>
      </w:r>
      <w:r w:rsidR="005F2AD5" w:rsidRPr="00B53F89">
        <w:t>20</w:t>
      </w:r>
      <w:r w:rsidR="005F2AD5">
        <w:t>20</w:t>
      </w:r>
      <w:r w:rsidR="002F10B6" w:rsidRPr="00B53F89">
        <w:t>–</w:t>
      </w:r>
      <w:bookmarkEnd w:id="337"/>
      <w:r w:rsidR="005F2AD5" w:rsidRPr="00B53F89">
        <w:t>2</w:t>
      </w:r>
      <w:r w:rsidR="005F2AD5">
        <w:t>1</w:t>
      </w:r>
      <w:bookmarkEnd w:id="338"/>
      <w:r w:rsidR="005F2AD5" w:rsidRPr="00B53F89">
        <w:t xml:space="preserve"> </w:t>
      </w:r>
    </w:p>
    <w:p w14:paraId="74589724" w14:textId="495B8646" w:rsidR="00EC0268" w:rsidRPr="00B53F89" w:rsidRDefault="00947EDD" w:rsidP="007E1FBE">
      <w:pPr>
        <w:pStyle w:val="Paragraphbeforelist"/>
        <w:keepNext/>
        <w:keepLines/>
      </w:pPr>
      <w:r>
        <w:t>O</w:t>
      </w:r>
      <w:r w:rsidR="00EC0268" w:rsidRPr="00B53F89">
        <w:t>ur key spectrum planning priorities over the next year</w:t>
      </w:r>
      <w:r w:rsidR="00EC0268" w:rsidRPr="00B53F89" w:rsidDel="001A3A21">
        <w:t xml:space="preserve"> </w:t>
      </w:r>
      <w:r w:rsidR="00EC0268" w:rsidRPr="00B53F89">
        <w:t>are to:</w:t>
      </w:r>
    </w:p>
    <w:p w14:paraId="05AB4036" w14:textId="77777777" w:rsidR="00EC0268" w:rsidRPr="00B53F89" w:rsidRDefault="00EC0268" w:rsidP="007E1FBE">
      <w:pPr>
        <w:pStyle w:val="ListBullet"/>
        <w:tabs>
          <w:tab w:val="num" w:pos="-260"/>
        </w:tabs>
        <w:ind w:left="284" w:hanging="284"/>
      </w:pPr>
      <w:r w:rsidRPr="00B53F89">
        <w:t>provide ongoing operational support for Australian-filed satellite networks</w:t>
      </w:r>
    </w:p>
    <w:p w14:paraId="15CAFC1C" w14:textId="573AFB87" w:rsidR="00EC0268" w:rsidRPr="00B53F89" w:rsidRDefault="00EC0268" w:rsidP="007E1FBE">
      <w:pPr>
        <w:pStyle w:val="ListBullet"/>
        <w:tabs>
          <w:tab w:val="num" w:pos="-260"/>
        </w:tabs>
        <w:ind w:left="284" w:hanging="284"/>
      </w:pPr>
      <w:r w:rsidRPr="00B53F89">
        <w:t xml:space="preserve">progress work commenced in </w:t>
      </w:r>
      <w:r w:rsidR="00AD3F59">
        <w:t>20</w:t>
      </w:r>
      <w:r w:rsidRPr="00B53F89">
        <w:t>19–</w:t>
      </w:r>
      <w:r w:rsidR="00AD3F59">
        <w:t>20</w:t>
      </w:r>
      <w:r w:rsidRPr="00B53F89">
        <w:t xml:space="preserve"> on:</w:t>
      </w:r>
    </w:p>
    <w:p w14:paraId="1D54A7F8" w14:textId="0CD04A8E" w:rsidR="005A170A" w:rsidRPr="00B34887" w:rsidRDefault="005A170A" w:rsidP="007E1FBE">
      <w:pPr>
        <w:pStyle w:val="ListBullet2"/>
        <w:keepNext/>
        <w:keepLines/>
        <w:ind w:left="851" w:hanging="494"/>
      </w:pPr>
      <w:bookmarkStart w:id="339" w:name="_Hlk38352499"/>
      <w:r>
        <w:t>the implementation of outcomes of the review of the 28 GHz band including expansion of fixed-satellite services (</w:t>
      </w:r>
      <w:r w:rsidRPr="000220F0">
        <w:t>FSS</w:t>
      </w:r>
      <w:r>
        <w:t>) use to ubiquitous FSS operating in the 27.5</w:t>
      </w:r>
      <w:r w:rsidR="00FC3C76">
        <w:t>–</w:t>
      </w:r>
      <w:r>
        <w:t>28.3 GHz band Australia-wide. How this is implemented is subject to further investigation of coexistence measures.</w:t>
      </w:r>
    </w:p>
    <w:bookmarkEnd w:id="339"/>
    <w:p w14:paraId="27368342" w14:textId="5D2E07E7" w:rsidR="00EC0268" w:rsidRPr="00B53F89" w:rsidRDefault="009B14F7" w:rsidP="007E1FBE">
      <w:pPr>
        <w:pStyle w:val="ListBullet2"/>
        <w:ind w:left="851" w:hanging="494"/>
      </w:pPr>
      <w:r>
        <w:t>improvements to</w:t>
      </w:r>
      <w:r w:rsidR="00EC0268" w:rsidRPr="00B53F89" w:rsidDel="00205514">
        <w:t xml:space="preserve"> </w:t>
      </w:r>
      <w:r w:rsidR="00EC0268" w:rsidRPr="00B53F89">
        <w:t xml:space="preserve">licensing procedures for space-based communications </w:t>
      </w:r>
      <w:r>
        <w:t>including consideration of the areas of improvement flagged in the November 2019 consultation</w:t>
      </w:r>
    </w:p>
    <w:p w14:paraId="3D83ADA0" w14:textId="49F21710" w:rsidR="006608EF" w:rsidRPr="00B53F89" w:rsidRDefault="00EC0268" w:rsidP="007E1FBE">
      <w:pPr>
        <w:pStyle w:val="ListBullet2"/>
        <w:ind w:left="851" w:hanging="494"/>
      </w:pPr>
      <w:r w:rsidRPr="00B53F89">
        <w:t>the use of small satellites focusing on short-duration satellite missions for experimental purposes</w:t>
      </w:r>
      <w:r w:rsidR="004E2641">
        <w:t>.</w:t>
      </w:r>
    </w:p>
    <w:p w14:paraId="69B5FFE3" w14:textId="351D4963" w:rsidR="001D063A" w:rsidRPr="00B53F89" w:rsidRDefault="00D47117" w:rsidP="007E1FBE">
      <w:pPr>
        <w:pStyle w:val="ListBullet2"/>
        <w:spacing w:after="240"/>
        <w:ind w:left="851" w:hanging="494"/>
      </w:pPr>
      <w:r w:rsidRPr="00B53F89">
        <w:t>e</w:t>
      </w:r>
      <w:r w:rsidR="001D063A" w:rsidRPr="00B53F89">
        <w:t>xpansion of RALI MS 45 on frequency coordination requirements between apparatus-licensed fixed point-to-point links and FSS earth stations communicating with geostationary orbit satellites to include other frequency bands and requirements for earth station receivers.</w:t>
      </w:r>
    </w:p>
    <w:p w14:paraId="311D666A" w14:textId="379FC284" w:rsidR="003D7FAC" w:rsidRPr="00B53F89" w:rsidRDefault="00016561" w:rsidP="002A179F">
      <w:pPr>
        <w:pStyle w:val="Heading3"/>
      </w:pPr>
      <w:bookmarkStart w:id="340" w:name="_Hlk17129621"/>
      <w:bookmarkStart w:id="341" w:name="_Toc38987203"/>
      <w:r w:rsidRPr="00B53F89">
        <w:lastRenderedPageBreak/>
        <w:t xml:space="preserve">Spectrum arrangements for </w:t>
      </w:r>
      <w:r w:rsidR="002F10B6" w:rsidRPr="00B53F89">
        <w:t>‘</w:t>
      </w:r>
      <w:r w:rsidRPr="00B53F89">
        <w:t>small satellites</w:t>
      </w:r>
      <w:r w:rsidR="002F10B6" w:rsidRPr="00B53F89">
        <w:t>’</w:t>
      </w:r>
      <w:bookmarkEnd w:id="340"/>
      <w:bookmarkEnd w:id="341"/>
    </w:p>
    <w:p w14:paraId="31E3359B" w14:textId="5A75AE1B" w:rsidR="00CF7C7A" w:rsidRPr="00B53F89" w:rsidRDefault="000220F0" w:rsidP="007E1FBE">
      <w:r>
        <w:t>We are</w:t>
      </w:r>
      <w:r w:rsidR="00CF7C7A" w:rsidRPr="00B53F89">
        <w:t xml:space="preserve"> continuing the work identified in the FYSO</w:t>
      </w:r>
      <w:r w:rsidR="00545902" w:rsidRPr="00B53F89">
        <w:t xml:space="preserve"> 201</w:t>
      </w:r>
      <w:r w:rsidR="00AD3F59">
        <w:t>9</w:t>
      </w:r>
      <w:r w:rsidR="00545902" w:rsidRPr="00B53F89">
        <w:t>–2</w:t>
      </w:r>
      <w:r w:rsidR="00AD3F59">
        <w:t>3</w:t>
      </w:r>
      <w:r w:rsidR="00CF7C7A" w:rsidRPr="00B53F89">
        <w:t xml:space="preserve"> in support</w:t>
      </w:r>
      <w:r w:rsidR="003A1F35" w:rsidRPr="00B53F89">
        <w:t xml:space="preserve"> of</w:t>
      </w:r>
      <w:r w:rsidR="00CF7C7A" w:rsidRPr="00B53F89">
        <w:t xml:space="preserve"> ‘small </w:t>
      </w:r>
      <w:r w:rsidR="001062C2" w:rsidRPr="00B53F89">
        <w:t>satellites’</w:t>
      </w:r>
      <w:r w:rsidR="00CF7C7A" w:rsidRPr="00B53F89">
        <w:t xml:space="preserve">. </w:t>
      </w:r>
    </w:p>
    <w:p w14:paraId="1433AA5D" w14:textId="45634F54" w:rsidR="00672016" w:rsidRPr="00B53F89" w:rsidRDefault="00067B76" w:rsidP="007E1FBE">
      <w:r>
        <w:t>We are focusing</w:t>
      </w:r>
      <w:r w:rsidR="00CF7C7A" w:rsidRPr="00B53F89">
        <w:t xml:space="preserve"> on supporting short-duration satellite missions for experimental </w:t>
      </w:r>
      <w:r w:rsidR="001062C2" w:rsidRPr="00B53F89">
        <w:t>purposes</w:t>
      </w:r>
      <w:r>
        <w:t>,</w:t>
      </w:r>
      <w:r w:rsidR="001062C2" w:rsidRPr="00B53F89">
        <w:t xml:space="preserve"> as</w:t>
      </w:r>
      <w:r w:rsidR="00CF7C7A" w:rsidRPr="00B53F89">
        <w:t xml:space="preserve"> well as seeking </w:t>
      </w:r>
      <w:r w:rsidR="004A3036" w:rsidRPr="00B53F89">
        <w:t xml:space="preserve">industry’s </w:t>
      </w:r>
      <w:r w:rsidR="008C7725" w:rsidRPr="00B53F89">
        <w:t xml:space="preserve">views </w:t>
      </w:r>
      <w:r w:rsidR="004A3036" w:rsidRPr="00B53F89">
        <w:t>on</w:t>
      </w:r>
      <w:r w:rsidR="008C7725" w:rsidRPr="00B53F89">
        <w:t xml:space="preserve"> what changes can be made to the existing spectrum management framework to support </w:t>
      </w:r>
      <w:r w:rsidR="003A1F35" w:rsidRPr="00B53F89">
        <w:t xml:space="preserve">the </w:t>
      </w:r>
      <w:r w:rsidR="00CF7C7A" w:rsidRPr="00B53F89">
        <w:t xml:space="preserve">broader </w:t>
      </w:r>
      <w:r w:rsidR="008C7725" w:rsidRPr="00B53F89">
        <w:t>needs</w:t>
      </w:r>
      <w:r w:rsidR="00CF7C7A" w:rsidRPr="00B53F89">
        <w:t xml:space="preserve"> of smallsat users</w:t>
      </w:r>
      <w:r w:rsidR="0037254E" w:rsidRPr="00B53F89">
        <w:t>,</w:t>
      </w:r>
      <w:r w:rsidR="008C7725" w:rsidRPr="00B53F89">
        <w:t xml:space="preserve"> </w:t>
      </w:r>
      <w:r w:rsidR="00B971FB" w:rsidRPr="00B53F89">
        <w:t xml:space="preserve">while ensuring a </w:t>
      </w:r>
      <w:r w:rsidR="0037254E" w:rsidRPr="00B53F89">
        <w:t xml:space="preserve">continuing, </w:t>
      </w:r>
      <w:r w:rsidR="00B971FB" w:rsidRPr="00B53F89">
        <w:t>stable regulatory environment for ‘traditional’ satellite use</w:t>
      </w:r>
      <w:r w:rsidR="0037254E" w:rsidRPr="00B53F89">
        <w:t>rs</w:t>
      </w:r>
      <w:r w:rsidR="00016561" w:rsidRPr="00B53F89">
        <w:t>.</w:t>
      </w:r>
      <w:r w:rsidR="00B971FB" w:rsidRPr="00B53F89">
        <w:t xml:space="preserve"> </w:t>
      </w:r>
    </w:p>
    <w:p w14:paraId="1D1B78BF" w14:textId="7F43CE23" w:rsidR="008C7725" w:rsidRPr="00B53F89" w:rsidRDefault="00067B76" w:rsidP="007E1FBE">
      <w:r>
        <w:t xml:space="preserve">We plan to </w:t>
      </w:r>
      <w:r w:rsidR="00CB4118" w:rsidRPr="00B53F89">
        <w:t>release</w:t>
      </w:r>
      <w:r w:rsidR="00CB4118" w:rsidRPr="00B53F89" w:rsidDel="008F3780">
        <w:t xml:space="preserve"> </w:t>
      </w:r>
      <w:r w:rsidR="00CB4118" w:rsidRPr="00B53F89">
        <w:t xml:space="preserve">a discussion paper </w:t>
      </w:r>
      <w:r w:rsidR="00FC330D">
        <w:t>in</w:t>
      </w:r>
      <w:r w:rsidR="00CB4118" w:rsidRPr="00B53F89">
        <w:t xml:space="preserve"> Q</w:t>
      </w:r>
      <w:r w:rsidR="00AD3F59">
        <w:t>2</w:t>
      </w:r>
      <w:r>
        <w:t>–</w:t>
      </w:r>
      <w:r w:rsidR="00FC330D" w:rsidRPr="00452E22">
        <w:t>3</w:t>
      </w:r>
      <w:r w:rsidR="00CB4118" w:rsidRPr="00452E22">
        <w:t xml:space="preserve"> 20</w:t>
      </w:r>
      <w:r w:rsidR="00C2204C" w:rsidRPr="00452E22">
        <w:t>20</w:t>
      </w:r>
      <w:r>
        <w:t>, review submissions and develop a way forward</w:t>
      </w:r>
      <w:r w:rsidR="008C7725" w:rsidRPr="00B53F89">
        <w:t>.</w:t>
      </w:r>
      <w:r w:rsidR="00CF7C7A" w:rsidRPr="00B53F89">
        <w:t xml:space="preserve"> </w:t>
      </w:r>
    </w:p>
    <w:p w14:paraId="41F3EB63" w14:textId="77777777" w:rsidR="00B971FB" w:rsidRPr="00B53F89" w:rsidRDefault="00992750" w:rsidP="002A179F">
      <w:pPr>
        <w:pStyle w:val="Heading3"/>
      </w:pPr>
      <w:bookmarkStart w:id="342" w:name="_Toc38987204"/>
      <w:r w:rsidRPr="00B53F89">
        <w:t>Updating regulatory arrangement</w:t>
      </w:r>
      <w:r w:rsidR="00985FA1" w:rsidRPr="00B53F89">
        <w:t>s</w:t>
      </w:r>
      <w:r w:rsidRPr="00B53F89">
        <w:t xml:space="preserve"> for space</w:t>
      </w:r>
      <w:r w:rsidR="000B35F0" w:rsidRPr="00B53F89">
        <w:t>-</w:t>
      </w:r>
      <w:r w:rsidRPr="00B53F89">
        <w:t>based communications systems</w:t>
      </w:r>
      <w:bookmarkEnd w:id="342"/>
      <w:r w:rsidRPr="00B53F89">
        <w:t xml:space="preserve"> </w:t>
      </w:r>
    </w:p>
    <w:p w14:paraId="5750FD06" w14:textId="67480F98" w:rsidR="00483DC5" w:rsidRPr="00B53F89" w:rsidRDefault="00067B76" w:rsidP="007E1FBE">
      <w:r>
        <w:t>We</w:t>
      </w:r>
      <w:r w:rsidR="00FB6B0A" w:rsidRPr="00B53F89">
        <w:t xml:space="preserve"> will continue to monitor trends in the spectrum needs of space-based communications systems, as well as developments in emerging space-based technologies and applications. </w:t>
      </w:r>
    </w:p>
    <w:p w14:paraId="428D02A1" w14:textId="41AC1A26" w:rsidR="00B514B8" w:rsidRPr="00B53F89" w:rsidRDefault="00FB6B0A" w:rsidP="007E1FBE">
      <w:r w:rsidRPr="00B53F89">
        <w:t xml:space="preserve">Organisations planning new satellite communication systems and intending to use existing systems are encouraged to contact </w:t>
      </w:r>
      <w:r w:rsidR="00067B76">
        <w:t>us</w:t>
      </w:r>
      <w:r w:rsidRPr="00B53F89">
        <w:t xml:space="preserve"> to discuss whether such updates are required and </w:t>
      </w:r>
      <w:r w:rsidR="004A3036" w:rsidRPr="00B53F89">
        <w:t xml:space="preserve">if so, </w:t>
      </w:r>
      <w:r w:rsidRPr="00B53F89">
        <w:t>the</w:t>
      </w:r>
      <w:r w:rsidR="004A3036" w:rsidRPr="00B53F89">
        <w:t>ir</w:t>
      </w:r>
      <w:r w:rsidRPr="00B53F89">
        <w:t xml:space="preserve"> timing.</w:t>
      </w:r>
      <w:r w:rsidR="001355CA" w:rsidRPr="00B53F89">
        <w:t xml:space="preserve"> Any future work will depend on stakeholder feedback, priority </w:t>
      </w:r>
      <w:r w:rsidR="00067B76">
        <w:t>compared</w:t>
      </w:r>
      <w:r w:rsidR="00067B76" w:rsidRPr="00B53F89">
        <w:t xml:space="preserve"> </w:t>
      </w:r>
      <w:r w:rsidR="001355CA" w:rsidRPr="00B53F89">
        <w:t xml:space="preserve">to other projects in the ACMA’s </w:t>
      </w:r>
      <w:r w:rsidR="00151518" w:rsidRPr="00B53F89">
        <w:t xml:space="preserve">annual </w:t>
      </w:r>
      <w:r w:rsidR="001355CA" w:rsidRPr="00B53F89">
        <w:t>work program</w:t>
      </w:r>
      <w:r w:rsidR="00067B76">
        <w:t>,</w:t>
      </w:r>
      <w:r w:rsidR="001355CA" w:rsidRPr="00B53F89">
        <w:t xml:space="preserve"> and technical viability</w:t>
      </w:r>
      <w:r w:rsidR="001C3B42" w:rsidRPr="00B53F89">
        <w:t>—</w:t>
      </w:r>
      <w:r w:rsidR="001355CA" w:rsidRPr="00B53F89">
        <w:t>for example</w:t>
      </w:r>
      <w:r w:rsidR="004A3036" w:rsidRPr="00B53F89">
        <w:t>,</w:t>
      </w:r>
      <w:r w:rsidR="001355CA" w:rsidRPr="00B53F89">
        <w:t xml:space="preserve"> consideration of </w:t>
      </w:r>
      <w:r w:rsidR="00B514B8" w:rsidRPr="00B53F89">
        <w:t xml:space="preserve">the potential impact on terrestrial services. </w:t>
      </w:r>
    </w:p>
    <w:p w14:paraId="4C7BDBB5" w14:textId="154DDF30" w:rsidR="00AF65F1" w:rsidRPr="00B53F89" w:rsidRDefault="00C61727" w:rsidP="002A179F">
      <w:pPr>
        <w:pStyle w:val="Heading3"/>
      </w:pPr>
      <w:bookmarkStart w:id="343" w:name="_Toc38987205"/>
      <w:bookmarkStart w:id="344" w:name="_Hlk33087236"/>
      <w:r>
        <w:t>Ongoing</w:t>
      </w:r>
      <w:r w:rsidRPr="00B53F89">
        <w:t xml:space="preserve"> </w:t>
      </w:r>
      <w:r w:rsidR="00AF65F1" w:rsidRPr="00B53F89">
        <w:t>review of space licensing procedures</w:t>
      </w:r>
      <w:bookmarkEnd w:id="343"/>
    </w:p>
    <w:p w14:paraId="4AFB39FF" w14:textId="2F55B58F" w:rsidR="00D34C68" w:rsidRPr="00B53F89" w:rsidRDefault="00067B76" w:rsidP="002A179F">
      <w:r>
        <w:t>We</w:t>
      </w:r>
      <w:r w:rsidR="00FB6B0A" w:rsidRPr="00B53F89">
        <w:t xml:space="preserve"> </w:t>
      </w:r>
      <w:r w:rsidR="00C61727">
        <w:t>will continue to</w:t>
      </w:r>
      <w:r w:rsidR="00822964" w:rsidRPr="00B53F89">
        <w:t xml:space="preserve"> </w:t>
      </w:r>
      <w:r w:rsidR="00C61727">
        <w:t xml:space="preserve">review </w:t>
      </w:r>
      <w:r>
        <w:t>our</w:t>
      </w:r>
      <w:r w:rsidRPr="00B53F89">
        <w:t xml:space="preserve"> </w:t>
      </w:r>
      <w:r w:rsidR="00822964" w:rsidRPr="00B53F89">
        <w:t>administrative assessment procedures for apparatus licensing of space</w:t>
      </w:r>
      <w:r w:rsidR="004A3036" w:rsidRPr="00B53F89">
        <w:t>-</w:t>
      </w:r>
      <w:r w:rsidR="00822964" w:rsidRPr="00B53F89">
        <w:t>based communications systems</w:t>
      </w:r>
      <w:r w:rsidR="00FB6B0A" w:rsidRPr="00B53F89">
        <w:t xml:space="preserve">. </w:t>
      </w:r>
      <w:r w:rsidR="00C61727">
        <w:t xml:space="preserve">Future work will </w:t>
      </w:r>
      <w:r>
        <w:t>use</w:t>
      </w:r>
      <w:r w:rsidR="00C61727">
        <w:t xml:space="preserve"> feedback received to Phase 1 of the review of licensing procedures for space-based communications. A suggested scope for further work was outlined in this phase</w:t>
      </w:r>
      <w:r>
        <w:t>,</w:t>
      </w:r>
      <w:r w:rsidR="00C61727">
        <w:t xml:space="preserve"> which received broad support in submissions. </w:t>
      </w:r>
      <w:r w:rsidR="00F86DFB">
        <w:t xml:space="preserve">The work will be appropriately timed, </w:t>
      </w:r>
      <w:r w:rsidR="00C61727">
        <w:t>in</w:t>
      </w:r>
      <w:r w:rsidR="00F60BF4">
        <w:t xml:space="preserve">cluding in connection with the implementation of outcomes of WRC-19. </w:t>
      </w:r>
      <w:bookmarkEnd w:id="344"/>
    </w:p>
    <w:p w14:paraId="1BFE7BD2" w14:textId="1BE005EE" w:rsidR="00A0073F" w:rsidRPr="00B53F89" w:rsidRDefault="00A0073F" w:rsidP="002A179F">
      <w:pPr>
        <w:pStyle w:val="Heading3"/>
      </w:pPr>
      <w:bookmarkStart w:id="345" w:name="_Toc38987206"/>
      <w:r w:rsidRPr="00B53F89">
        <w:t>Filing and coordination of Australian satellite systems</w:t>
      </w:r>
      <w:bookmarkEnd w:id="345"/>
      <w:r w:rsidRPr="00B53F89">
        <w:t xml:space="preserve"> </w:t>
      </w:r>
    </w:p>
    <w:p w14:paraId="0CE0EC74" w14:textId="05271767" w:rsidR="00A0073F" w:rsidRPr="00B53F89" w:rsidRDefault="00A0073F" w:rsidP="007E1FBE">
      <w:pPr>
        <w:pStyle w:val="Paragraphbeforelist"/>
        <w:keepNext/>
        <w:keepLines/>
        <w:rPr>
          <w:szCs w:val="20"/>
        </w:rPr>
      </w:pPr>
      <w:r w:rsidRPr="00B53F89">
        <w:t xml:space="preserve">In accordance with the </w:t>
      </w:r>
      <w:hyperlink r:id="rId93" w:tgtFrame="_top" w:history="1">
        <w:r w:rsidRPr="00B53F89">
          <w:rPr>
            <w:rStyle w:val="Hyperlink"/>
          </w:rPr>
          <w:t>Australian procedures for the coordination and notification of satellite systems</w:t>
        </w:r>
      </w:hyperlink>
      <w:r w:rsidR="00A312EF" w:rsidRPr="00B53F89">
        <w:rPr>
          <w:rStyle w:val="Hyperlink"/>
          <w:color w:val="auto"/>
          <w:u w:val="none"/>
        </w:rPr>
        <w:t>,</w:t>
      </w:r>
      <w:r w:rsidRPr="00B53F89">
        <w:t xml:space="preserve"> the ACMA has an ongoing role in the filing and coordination of </w:t>
      </w:r>
      <w:r w:rsidRPr="00B53F89">
        <w:rPr>
          <w:szCs w:val="20"/>
        </w:rPr>
        <w:t>Australian satellite systems with the ITU. This includes:</w:t>
      </w:r>
    </w:p>
    <w:p w14:paraId="2BDBC45B" w14:textId="77777777" w:rsidR="00A0073F" w:rsidRPr="00B53F89" w:rsidRDefault="00A0073F" w:rsidP="007E1FBE">
      <w:pPr>
        <w:pStyle w:val="ListBullet"/>
        <w:tabs>
          <w:tab w:val="num" w:pos="-260"/>
        </w:tabs>
        <w:ind w:left="284" w:hanging="284"/>
      </w:pPr>
      <w:r w:rsidRPr="00B53F89">
        <w:t>assisting Australian satellite operators with ongoing satellite coordination negotiations with other administrations</w:t>
      </w:r>
    </w:p>
    <w:p w14:paraId="2908A2F6" w14:textId="0607223C" w:rsidR="00A0073F" w:rsidRPr="00B53F89" w:rsidRDefault="00F86DFB" w:rsidP="007E1FBE">
      <w:pPr>
        <w:pStyle w:val="ListBullet"/>
        <w:tabs>
          <w:tab w:val="num" w:pos="-260"/>
        </w:tabs>
        <w:ind w:left="284" w:hanging="284"/>
      </w:pPr>
      <w:r w:rsidRPr="00B53F89">
        <w:t>assess</w:t>
      </w:r>
      <w:r>
        <w:t>ing</w:t>
      </w:r>
      <w:r w:rsidRPr="00B53F89">
        <w:t xml:space="preserve"> </w:t>
      </w:r>
      <w:r w:rsidR="00A0073F" w:rsidRPr="00B53F89">
        <w:t>new notices related to progress of existing Australian satellite networks</w:t>
      </w:r>
    </w:p>
    <w:p w14:paraId="4B609148" w14:textId="77777777" w:rsidR="00A0073F" w:rsidRPr="00B53F89" w:rsidRDefault="00A0073F" w:rsidP="007E1FBE">
      <w:pPr>
        <w:pStyle w:val="ListBullet"/>
        <w:keepNext w:val="0"/>
        <w:keepLines w:val="0"/>
        <w:tabs>
          <w:tab w:val="num" w:pos="-260"/>
        </w:tabs>
        <w:ind w:left="284" w:hanging="284"/>
      </w:pPr>
      <w:r w:rsidRPr="00B53F89">
        <w:t>filing of new Australian satellite networks</w:t>
      </w:r>
    </w:p>
    <w:p w14:paraId="52B24FCC" w14:textId="77777777" w:rsidR="00A0073F" w:rsidRPr="00B53F89" w:rsidRDefault="00A0073F" w:rsidP="007E1FBE">
      <w:pPr>
        <w:pStyle w:val="ListBulletLast"/>
        <w:ind w:left="284" w:hanging="284"/>
      </w:pPr>
      <w:r w:rsidRPr="00B53F89">
        <w:t xml:space="preserve">supporting international administration-level satellite coordination meetings with other </w:t>
      </w:r>
      <w:r w:rsidR="00A312EF" w:rsidRPr="00B53F89">
        <w:t>a</w:t>
      </w:r>
      <w:r w:rsidRPr="00B53F89">
        <w:t>dministrations</w:t>
      </w:r>
      <w:r w:rsidR="00A312EF" w:rsidRPr="00B53F89">
        <w:t>.</w:t>
      </w:r>
    </w:p>
    <w:p w14:paraId="1DAC1A61" w14:textId="13A3820A" w:rsidR="00AF65F1" w:rsidRPr="00B53F89" w:rsidRDefault="00D34C68" w:rsidP="002A179F">
      <w:pPr>
        <w:pStyle w:val="Heading3"/>
      </w:pPr>
      <w:bookmarkStart w:id="346" w:name="_Toc38987207"/>
      <w:bookmarkStart w:id="347" w:name="_Hlk33104932"/>
      <w:r w:rsidRPr="00B53F89">
        <w:t>Updating procedures for submission of Australian satellite networks to the ITU</w:t>
      </w:r>
      <w:bookmarkEnd w:id="346"/>
    </w:p>
    <w:p w14:paraId="30E0FA1C" w14:textId="1CE45977" w:rsidR="00D80F4A" w:rsidRDefault="00AF65F1" w:rsidP="007E1FBE">
      <w:pPr>
        <w:rPr>
          <w:rFonts w:cs="Arial"/>
        </w:rPr>
      </w:pPr>
      <w:r w:rsidRPr="00B53F89">
        <w:t xml:space="preserve">Australian procedures for the coordination and notification of satellite systems with the ITU were developed in 2012. </w:t>
      </w:r>
      <w:r w:rsidR="0076382A" w:rsidRPr="00B53F89">
        <w:t xml:space="preserve">Outcomes of WRC-19 </w:t>
      </w:r>
      <w:r w:rsidR="00C4094F">
        <w:t xml:space="preserve">will need to be considered for </w:t>
      </w:r>
      <w:r w:rsidR="00F00875">
        <w:t>inclusion</w:t>
      </w:r>
      <w:r w:rsidR="00C4094F">
        <w:t xml:space="preserve"> in </w:t>
      </w:r>
      <w:r w:rsidR="0076382A" w:rsidRPr="00B53F89">
        <w:t>possible updates</w:t>
      </w:r>
      <w:r w:rsidR="00194846" w:rsidRPr="00B53F89">
        <w:t xml:space="preserve"> to those procedures</w:t>
      </w:r>
      <w:r w:rsidR="0076382A" w:rsidRPr="00B53F89">
        <w:t xml:space="preserve">. </w:t>
      </w:r>
      <w:r w:rsidR="00D80F4A">
        <w:t xml:space="preserve">With the </w:t>
      </w:r>
      <w:r w:rsidR="00D80F4A" w:rsidRPr="00E45E03">
        <w:rPr>
          <w:rFonts w:cs="Arial"/>
        </w:rPr>
        <w:t>continuing growth and innovation in the provision of satellite-delivered telecommunications and in space science services</w:t>
      </w:r>
      <w:r w:rsidR="00F00875">
        <w:rPr>
          <w:rFonts w:cs="Arial"/>
        </w:rPr>
        <w:t>,</w:t>
      </w:r>
      <w:r w:rsidR="00D80F4A">
        <w:rPr>
          <w:rFonts w:cs="Arial"/>
        </w:rPr>
        <w:t xml:space="preserve"> </w:t>
      </w:r>
      <w:r w:rsidR="00F86DFB">
        <w:rPr>
          <w:rFonts w:cs="Arial"/>
        </w:rPr>
        <w:t>we</w:t>
      </w:r>
      <w:r w:rsidR="00D80F4A">
        <w:rPr>
          <w:rFonts w:cs="Arial"/>
        </w:rPr>
        <w:t xml:space="preserve"> also consider it timely to review the procedures to ensure they are fit</w:t>
      </w:r>
      <w:r w:rsidR="00F86DFB">
        <w:rPr>
          <w:rFonts w:cs="Arial"/>
        </w:rPr>
        <w:t>-</w:t>
      </w:r>
      <w:r w:rsidR="00D80F4A">
        <w:rPr>
          <w:rFonts w:cs="Arial"/>
        </w:rPr>
        <w:t>for</w:t>
      </w:r>
      <w:r w:rsidR="00F86DFB">
        <w:rPr>
          <w:rFonts w:cs="Arial"/>
        </w:rPr>
        <w:t>-</w:t>
      </w:r>
      <w:r w:rsidR="00D80F4A">
        <w:rPr>
          <w:rFonts w:cs="Arial"/>
        </w:rPr>
        <w:t>purpose.</w:t>
      </w:r>
    </w:p>
    <w:p w14:paraId="44580556" w14:textId="02C0719C" w:rsidR="00AF65F1" w:rsidRPr="000220F0" w:rsidRDefault="00147F0C" w:rsidP="007E1FBE">
      <w:r w:rsidRPr="000220F0">
        <w:lastRenderedPageBreak/>
        <w:t xml:space="preserve">Any future </w:t>
      </w:r>
      <w:r w:rsidR="00AF65F1" w:rsidRPr="000220F0">
        <w:t xml:space="preserve">update will consider whether </w:t>
      </w:r>
      <w:r w:rsidR="00A312EF" w:rsidRPr="000220F0">
        <w:t xml:space="preserve">providing </w:t>
      </w:r>
      <w:r w:rsidR="00AF65F1" w:rsidRPr="000220F0">
        <w:t>better support</w:t>
      </w:r>
      <w:r w:rsidR="00A312EF" w:rsidRPr="000220F0">
        <w:t xml:space="preserve"> to</w:t>
      </w:r>
      <w:r w:rsidR="00AF65F1" w:rsidRPr="000220F0">
        <w:t xml:space="preserve"> innovations such as the deployment of low-cost, miniaturised space hardware (often referred to as nanosats, cubesats or smallsats), changes in ITU requirements and general improvements,</w:t>
      </w:r>
      <w:r w:rsidR="00A312EF" w:rsidRPr="000220F0">
        <w:t xml:space="preserve"> is required.</w:t>
      </w:r>
    </w:p>
    <w:p w14:paraId="7FD191F9" w14:textId="0B791AE8" w:rsidR="00AF65F1" w:rsidRPr="000220F0" w:rsidRDefault="000220F0" w:rsidP="007E1FBE">
      <w:bookmarkStart w:id="348" w:name="_Hlk16254282"/>
      <w:r>
        <w:t>Our</w:t>
      </w:r>
      <w:r w:rsidR="00147F0C" w:rsidRPr="000220F0">
        <w:t xml:space="preserve"> </w:t>
      </w:r>
      <w:r w:rsidR="00D80F4A" w:rsidRPr="000220F0">
        <w:t xml:space="preserve">preliminary view is that </w:t>
      </w:r>
      <w:r w:rsidR="008B77BF" w:rsidRPr="000220F0">
        <w:t>there</w:t>
      </w:r>
      <w:r w:rsidR="00D80F4A" w:rsidRPr="000220F0">
        <w:t xml:space="preserve"> is benefit in focusing on targeted updates </w:t>
      </w:r>
      <w:r w:rsidR="008B77BF" w:rsidRPr="000220F0">
        <w:t>to</w:t>
      </w:r>
      <w:r w:rsidR="00D80F4A" w:rsidRPr="000220F0">
        <w:t xml:space="preserve"> key areas rather than undertak</w:t>
      </w:r>
      <w:r w:rsidR="008B77BF" w:rsidRPr="000220F0">
        <w:t>ing</w:t>
      </w:r>
      <w:r w:rsidR="00D80F4A" w:rsidRPr="000220F0">
        <w:t xml:space="preserve"> an entire review (which is likely to be a lengthy task). </w:t>
      </w:r>
      <w:r w:rsidR="00140F39" w:rsidRPr="000220F0">
        <w:t xml:space="preserve">For example, </w:t>
      </w:r>
      <w:r w:rsidR="002F450E" w:rsidRPr="000220F0" w:rsidDel="00140F39">
        <w:t>i</w:t>
      </w:r>
      <w:r w:rsidR="00E94117" w:rsidRPr="000220F0" w:rsidDel="00140F39">
        <w:t>t</w:t>
      </w:r>
      <w:r w:rsidR="00E94117" w:rsidRPr="000220F0">
        <w:t xml:space="preserve"> </w:t>
      </w:r>
      <w:r w:rsidR="00E94117" w:rsidRPr="000220F0" w:rsidDel="0097320E">
        <w:t xml:space="preserve">is </w:t>
      </w:r>
      <w:r w:rsidR="00140F39" w:rsidRPr="000220F0">
        <w:t xml:space="preserve">most likely </w:t>
      </w:r>
      <w:r w:rsidR="00E94117" w:rsidRPr="000220F0">
        <w:t xml:space="preserve">that work on spectrum for small satellites </w:t>
      </w:r>
      <w:r w:rsidR="00140F39" w:rsidRPr="000220F0">
        <w:t xml:space="preserve">will </w:t>
      </w:r>
      <w:r w:rsidR="00E94117" w:rsidRPr="000220F0">
        <w:t xml:space="preserve">result in </w:t>
      </w:r>
      <w:r w:rsidR="00147F0C" w:rsidRPr="000220F0">
        <w:t xml:space="preserve">the need </w:t>
      </w:r>
      <w:r w:rsidR="008B77BF" w:rsidRPr="000220F0">
        <w:t>for</w:t>
      </w:r>
      <w:r w:rsidR="00140F39" w:rsidRPr="000220F0">
        <w:t xml:space="preserve"> </w:t>
      </w:r>
      <w:r w:rsidR="008B77BF" w:rsidRPr="000220F0">
        <w:t xml:space="preserve">a </w:t>
      </w:r>
      <w:r w:rsidR="00140F39" w:rsidRPr="000220F0">
        <w:t>target</w:t>
      </w:r>
      <w:r w:rsidR="008B77BF" w:rsidRPr="000220F0">
        <w:t>ed</w:t>
      </w:r>
      <w:r w:rsidR="00140F39" w:rsidRPr="000220F0">
        <w:t xml:space="preserve"> </w:t>
      </w:r>
      <w:r w:rsidR="00E94117" w:rsidRPr="000220F0">
        <w:t>update.</w:t>
      </w:r>
    </w:p>
    <w:p w14:paraId="2B895CEB" w14:textId="442A76EA" w:rsidR="00140F39" w:rsidRDefault="00140F39" w:rsidP="007E1FBE">
      <w:r w:rsidRPr="000220F0">
        <w:t>It is also possible that the outcome of the Communications portfolio five-yearly Portfolio Charging Review</w:t>
      </w:r>
      <w:r w:rsidR="00C800C5" w:rsidRPr="000220F0">
        <w:rPr>
          <w:rStyle w:val="FootnoteReference"/>
        </w:rPr>
        <w:footnoteReference w:id="56"/>
      </w:r>
      <w:r w:rsidR="00C800C5" w:rsidRPr="000220F0">
        <w:t xml:space="preserve"> </w:t>
      </w:r>
      <w:r w:rsidRPr="000220F0">
        <w:t xml:space="preserve">will require a review of </w:t>
      </w:r>
      <w:r w:rsidR="000220F0">
        <w:t xml:space="preserve">our </w:t>
      </w:r>
      <w:r w:rsidRPr="000220F0">
        <w:t xml:space="preserve">satellite filing cost recovery process to ensure that practices are consistent </w:t>
      </w:r>
      <w:r w:rsidR="00C800C5" w:rsidRPr="000220F0">
        <w:t>with outcomes of that work.</w:t>
      </w:r>
      <w:r w:rsidR="001E2C64">
        <w:t xml:space="preserve"> </w:t>
      </w:r>
    </w:p>
    <w:p w14:paraId="4F1C0441" w14:textId="5673937E" w:rsidR="00140F39" w:rsidRPr="00B53F89" w:rsidRDefault="00F86DFB" w:rsidP="007E1FBE">
      <w:r>
        <w:t>We</w:t>
      </w:r>
      <w:r w:rsidR="001E2C64">
        <w:t xml:space="preserve"> will consider timing of this work in Q3 2020.</w:t>
      </w:r>
      <w:bookmarkEnd w:id="347"/>
    </w:p>
    <w:p w14:paraId="33259D72" w14:textId="27E49F62" w:rsidR="00770CB1" w:rsidRPr="00B53F89" w:rsidRDefault="00770CB1" w:rsidP="007E1FBE">
      <w:pPr>
        <w:keepNext/>
        <w:spacing w:before="60" w:after="0"/>
      </w:pPr>
      <w:bookmarkStart w:id="349" w:name="_Toc510795083"/>
      <w:bookmarkStart w:id="350" w:name="_Toc511716286"/>
      <w:bookmarkStart w:id="351" w:name="_Toc511719097"/>
      <w:bookmarkStart w:id="352" w:name="_Toc522794092"/>
      <w:bookmarkEnd w:id="348"/>
      <w:r w:rsidRPr="006A2F04">
        <w:rPr>
          <w:noProof/>
        </w:rPr>
        <w:drawing>
          <wp:inline distT="0" distB="0" distL="0" distR="0" wp14:anchorId="08C32FD2" wp14:editId="430E4E20">
            <wp:extent cx="342900" cy="361950"/>
            <wp:effectExtent l="0" t="0" r="0" b="0"/>
            <wp:docPr id="93" name="Picture 93" descr="Class licens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ass licensing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25DA0694" w14:textId="73B9B948" w:rsidR="00B830D0" w:rsidRPr="00B53F89" w:rsidRDefault="00B830D0" w:rsidP="002A179F">
      <w:pPr>
        <w:pStyle w:val="Heading2"/>
        <w:spacing w:before="60"/>
      </w:pPr>
      <w:bookmarkStart w:id="353" w:name="_Toc31892822"/>
      <w:bookmarkStart w:id="354" w:name="_Toc36207438"/>
      <w:bookmarkStart w:id="355" w:name="_Toc38987208"/>
      <w:r w:rsidRPr="00B53F89">
        <w:t>Low interference potential devices</w:t>
      </w:r>
      <w:bookmarkEnd w:id="349"/>
      <w:bookmarkEnd w:id="350"/>
      <w:bookmarkEnd w:id="351"/>
      <w:bookmarkEnd w:id="352"/>
      <w:bookmarkEnd w:id="353"/>
      <w:bookmarkEnd w:id="354"/>
      <w:bookmarkEnd w:id="355"/>
    </w:p>
    <w:p w14:paraId="7BDBA217" w14:textId="2AEE38F1" w:rsidR="00C568CD" w:rsidRPr="00B53F89" w:rsidRDefault="00A312EF" w:rsidP="003612AF">
      <w:pPr>
        <w:spacing w:after="80"/>
        <w:rPr>
          <w:rFonts w:cs="Arial"/>
        </w:rPr>
      </w:pPr>
      <w:r w:rsidRPr="00B53F89">
        <w:t>In</w:t>
      </w:r>
      <w:r w:rsidR="00B830D0" w:rsidRPr="00B53F89">
        <w:t xml:space="preserve"> </w:t>
      </w:r>
      <w:r w:rsidR="00E301E2" w:rsidRPr="00B53F89">
        <w:t xml:space="preserve">December </w:t>
      </w:r>
      <w:r w:rsidR="00B830D0" w:rsidRPr="00B53F89">
        <w:t>201</w:t>
      </w:r>
      <w:r w:rsidR="00E301E2" w:rsidRPr="00B53F89">
        <w:t>8</w:t>
      </w:r>
      <w:r w:rsidRPr="00B53F89">
        <w:t>,</w:t>
      </w:r>
      <w:r w:rsidR="00B830D0" w:rsidRPr="00B53F89">
        <w:t xml:space="preserve"> </w:t>
      </w:r>
      <w:r w:rsidR="00F86DFB">
        <w:t>we</w:t>
      </w:r>
      <w:r w:rsidR="00B830D0" w:rsidRPr="00B53F89">
        <w:t xml:space="preserve"> </w:t>
      </w:r>
      <w:r w:rsidR="00F11130" w:rsidRPr="00B53F89">
        <w:t xml:space="preserve">commenced consultation </w:t>
      </w:r>
      <w:r w:rsidR="00B830D0" w:rsidRPr="00B53F89">
        <w:t>on proposed update</w:t>
      </w:r>
      <w:r w:rsidR="00C33CDD" w:rsidRPr="00B53F89">
        <w:t>s</w:t>
      </w:r>
      <w:r w:rsidR="00B830D0" w:rsidRPr="00B53F89">
        <w:t xml:space="preserve"> to the </w:t>
      </w:r>
      <w:r w:rsidR="00A56FF3" w:rsidRPr="00B53F89">
        <w:t>LIPD class licence</w:t>
      </w:r>
      <w:r w:rsidR="00B830D0" w:rsidRPr="00B53F89">
        <w:t>.</w:t>
      </w:r>
      <w:r w:rsidR="00C568CD" w:rsidRPr="00B53F89">
        <w:t xml:space="preserve"> The proposed updates considered</w:t>
      </w:r>
      <w:r w:rsidR="00C568CD" w:rsidRPr="00B53F89">
        <w:rPr>
          <w:rFonts w:cs="Arial"/>
        </w:rPr>
        <w:t>:</w:t>
      </w:r>
    </w:p>
    <w:p w14:paraId="33E637E1" w14:textId="0F9A8950" w:rsidR="00C568CD" w:rsidRPr="00B53F89" w:rsidRDefault="00714BBD" w:rsidP="003612AF">
      <w:pPr>
        <w:pStyle w:val="ListBullet"/>
        <w:keepNext w:val="0"/>
        <w:keepLines w:val="0"/>
        <w:ind w:left="284" w:hanging="284"/>
      </w:pPr>
      <w:r w:rsidRPr="00B53F89">
        <w:t>u</w:t>
      </w:r>
      <w:r w:rsidR="00C568CD" w:rsidRPr="00B53F89">
        <w:t>pdating and expanding existing 60 GHz arrangements (57</w:t>
      </w:r>
      <w:r w:rsidRPr="00B53F89">
        <w:t>–</w:t>
      </w:r>
      <w:r w:rsidR="00C568CD" w:rsidRPr="00B53F89">
        <w:t>66 GHz) for data communication systems, including 5G. Specifically:</w:t>
      </w:r>
    </w:p>
    <w:p w14:paraId="24338789" w14:textId="018E4AD3" w:rsidR="00C568CD" w:rsidRPr="00B53F89" w:rsidRDefault="00714BBD" w:rsidP="003612AF">
      <w:pPr>
        <w:pStyle w:val="ListBullet2"/>
        <w:ind w:left="851" w:hanging="494"/>
      </w:pPr>
      <w:r w:rsidRPr="00B53F89">
        <w:t>a</w:t>
      </w:r>
      <w:r w:rsidR="00C568CD" w:rsidRPr="00B53F89">
        <w:t>dding 66–71 GHz</w:t>
      </w:r>
    </w:p>
    <w:p w14:paraId="2E8428E3" w14:textId="2A63AFF0" w:rsidR="00C568CD" w:rsidRPr="00B53F89" w:rsidRDefault="00714BBD" w:rsidP="003612AF">
      <w:pPr>
        <w:pStyle w:val="ListBullet2"/>
        <w:ind w:left="851" w:hanging="494"/>
      </w:pPr>
      <w:r w:rsidRPr="00B53F89">
        <w:t>u</w:t>
      </w:r>
      <w:r w:rsidR="00C568CD" w:rsidRPr="00B53F89">
        <w:t>pdating existing arrangements in 57–66 GHz regarding indoor and outdoor data communications systems</w:t>
      </w:r>
    </w:p>
    <w:p w14:paraId="73596451" w14:textId="785C699E" w:rsidR="00C568CD" w:rsidRPr="00B53F89" w:rsidRDefault="008E6685" w:rsidP="003612AF">
      <w:pPr>
        <w:pStyle w:val="ListBullet2"/>
        <w:ind w:left="851" w:hanging="494"/>
      </w:pPr>
      <w:r w:rsidRPr="00A12C5B">
        <w:t>a</w:t>
      </w:r>
      <w:r w:rsidR="00C568CD" w:rsidRPr="00A12C5B">
        <w:t>dding</w:t>
      </w:r>
      <w:r w:rsidR="00C568CD" w:rsidRPr="00B53F89">
        <w:t xml:space="preserve"> new arrangements for ‘</w:t>
      </w:r>
      <w:r w:rsidR="00446847" w:rsidRPr="00B53F89">
        <w:t>a</w:t>
      </w:r>
      <w:r w:rsidR="00C568CD" w:rsidRPr="00B53F89">
        <w:t>ll transmitters’ in 57–64 GHz</w:t>
      </w:r>
    </w:p>
    <w:p w14:paraId="476A76CE" w14:textId="485389B5" w:rsidR="00C568CD" w:rsidRPr="00B53F89" w:rsidRDefault="00714BBD" w:rsidP="003612AF">
      <w:pPr>
        <w:pStyle w:val="ListBullet2"/>
        <w:ind w:left="851" w:hanging="494"/>
      </w:pPr>
      <w:r w:rsidRPr="00B53F89">
        <w:t>r</w:t>
      </w:r>
      <w:r w:rsidR="00C568CD" w:rsidRPr="00B53F89">
        <w:t>evising arrangements for underground transmitters in certain bands supporting fixed and mobile services between 70–520 MHz</w:t>
      </w:r>
    </w:p>
    <w:p w14:paraId="5A5C8E95" w14:textId="0C4CDCB8" w:rsidR="00C568CD" w:rsidRPr="00B53F89" w:rsidRDefault="00714BBD" w:rsidP="003612AF">
      <w:pPr>
        <w:pStyle w:val="ListBullet2"/>
        <w:ind w:left="851" w:hanging="494"/>
      </w:pPr>
      <w:r w:rsidRPr="00B53F89">
        <w:t>a</w:t>
      </w:r>
      <w:r w:rsidR="00C568CD" w:rsidRPr="00B53F89">
        <w:t>dding support for higher power radiodetermination transmitters</w:t>
      </w:r>
      <w:r w:rsidR="000E208F" w:rsidRPr="00B53F89">
        <w:t>, that is,</w:t>
      </w:r>
      <w:r w:rsidR="00C568CD" w:rsidRPr="00B53F89">
        <w:t xml:space="preserve"> radars (76–77</w:t>
      </w:r>
      <w:r w:rsidR="00463A65" w:rsidRPr="00B53F89">
        <w:t> </w:t>
      </w:r>
      <w:r w:rsidR="00C568CD" w:rsidRPr="00B53F89">
        <w:t>GHz)</w:t>
      </w:r>
    </w:p>
    <w:p w14:paraId="2BD6CA7D" w14:textId="57B185A3" w:rsidR="00C568CD" w:rsidRPr="00B53F89" w:rsidRDefault="00714BBD" w:rsidP="003612AF">
      <w:pPr>
        <w:pStyle w:val="ListBullet2"/>
        <w:ind w:left="851" w:hanging="494"/>
      </w:pPr>
      <w:r w:rsidRPr="00B53F89">
        <w:t>a</w:t>
      </w:r>
      <w:r w:rsidR="00C568CD" w:rsidRPr="00B53F89">
        <w:t>dding support for ground and wall penetration radar as an adjunct to current apparatus licence arrangements (30–12400 MHz)</w:t>
      </w:r>
    </w:p>
    <w:p w14:paraId="39E5ABB3" w14:textId="5060A816" w:rsidR="00C568CD" w:rsidRPr="00B53F89" w:rsidRDefault="00714BBD" w:rsidP="003612AF">
      <w:pPr>
        <w:pStyle w:val="ListBullet2"/>
        <w:ind w:left="851" w:hanging="494"/>
      </w:pPr>
      <w:r w:rsidRPr="00B53F89">
        <w:t>a</w:t>
      </w:r>
      <w:r w:rsidR="00C568CD" w:rsidRPr="00B53F89">
        <w:t>ligning existing arrangements for ultra-wideband devices with US and European arrangements for generic (indoor and handheld) devices (3100–3400 MHz and 8500–9000 MHz) and aircraft applications (6000–8500 MHz).</w:t>
      </w:r>
    </w:p>
    <w:p w14:paraId="4F1A744B" w14:textId="77777777" w:rsidR="00AC2377" w:rsidRPr="00B53F89" w:rsidRDefault="00AC2377" w:rsidP="002A179F">
      <w:pPr>
        <w:pStyle w:val="Heading3"/>
      </w:pPr>
      <w:bookmarkStart w:id="356" w:name="_Toc38987209"/>
      <w:r w:rsidRPr="00B53F89">
        <w:t>Progress achieved</w:t>
      </w:r>
      <w:bookmarkEnd w:id="356"/>
      <w:r w:rsidRPr="00B53F89">
        <w:t xml:space="preserve"> </w:t>
      </w:r>
    </w:p>
    <w:p w14:paraId="44EC53D0" w14:textId="721AED17" w:rsidR="00B830D0" w:rsidRPr="00B53F89" w:rsidRDefault="008B2C3F" w:rsidP="003612AF">
      <w:pPr>
        <w:keepNext/>
        <w:keepLines/>
      </w:pPr>
      <w:r>
        <w:t>We finished</w:t>
      </w:r>
      <w:r w:rsidR="00213B58" w:rsidRPr="00B53F89">
        <w:t xml:space="preserve"> this review </w:t>
      </w:r>
      <w:r w:rsidR="000544B1" w:rsidRPr="00B53F89">
        <w:t>and varied the</w:t>
      </w:r>
      <w:r w:rsidR="00213B58" w:rsidRPr="00B53F89">
        <w:t xml:space="preserve"> LIPD </w:t>
      </w:r>
      <w:r w:rsidR="000544B1" w:rsidRPr="00B53F89">
        <w:t xml:space="preserve">class licence </w:t>
      </w:r>
      <w:r w:rsidR="00213B58" w:rsidRPr="00B53F89">
        <w:t xml:space="preserve">in </w:t>
      </w:r>
      <w:r w:rsidR="00EB11B8">
        <w:t>September</w:t>
      </w:r>
      <w:r w:rsidR="00EB11B8" w:rsidRPr="00B53F89">
        <w:t xml:space="preserve"> </w:t>
      </w:r>
      <w:r w:rsidR="00213B58" w:rsidRPr="00B53F89">
        <w:t>2019</w:t>
      </w:r>
      <w:r w:rsidR="00B830D0" w:rsidRPr="00B53F89">
        <w:t>.</w:t>
      </w:r>
    </w:p>
    <w:p w14:paraId="395821FD" w14:textId="0E066FD6" w:rsidR="00B830D0" w:rsidRPr="00B53F89" w:rsidRDefault="00B830D0" w:rsidP="002A179F">
      <w:pPr>
        <w:pStyle w:val="Heading3"/>
      </w:pPr>
      <w:bookmarkStart w:id="357" w:name="_Toc38987210"/>
      <w:r w:rsidRPr="00B53F89">
        <w:t xml:space="preserve">Activities planned for </w:t>
      </w:r>
      <w:r w:rsidR="00CD5AE7">
        <w:t>2020</w:t>
      </w:r>
      <w:r w:rsidR="008B2C3F">
        <w:t>–</w:t>
      </w:r>
      <w:r w:rsidR="00CD5AE7">
        <w:t>21</w:t>
      </w:r>
      <w:bookmarkEnd w:id="357"/>
      <w:r w:rsidRPr="00B53F89">
        <w:t xml:space="preserve"> </w:t>
      </w:r>
    </w:p>
    <w:p w14:paraId="1A5DDA4A" w14:textId="4607D11E" w:rsidR="00C568CD" w:rsidRPr="00B53F89" w:rsidRDefault="00403305" w:rsidP="007E1FBE">
      <w:bookmarkStart w:id="358" w:name="_Hlk3357645"/>
      <w:r>
        <w:rPr>
          <w:rFonts w:cs="Arial"/>
          <w:szCs w:val="20"/>
        </w:rPr>
        <w:t xml:space="preserve">The LIPD class licence is updated regularly. We are currently monitoring developments and plan to consult on the next </w:t>
      </w:r>
      <w:r w:rsidR="004B254B">
        <w:rPr>
          <w:rFonts w:cs="Arial"/>
          <w:szCs w:val="20"/>
        </w:rPr>
        <w:t xml:space="preserve">update </w:t>
      </w:r>
      <w:r>
        <w:rPr>
          <w:rFonts w:cs="Arial"/>
          <w:szCs w:val="20"/>
        </w:rPr>
        <w:t>of the LIPD class licence in Q3 2020</w:t>
      </w:r>
      <w:r w:rsidR="00C568CD" w:rsidRPr="00B53F89">
        <w:rPr>
          <w:rFonts w:cs="Arial"/>
          <w:szCs w:val="20"/>
        </w:rPr>
        <w:t>.</w:t>
      </w:r>
      <w:bookmarkEnd w:id="358"/>
    </w:p>
    <w:p w14:paraId="361E799D" w14:textId="1DBAAED2" w:rsidR="00770CB1" w:rsidRPr="00B53F89" w:rsidRDefault="00770CB1" w:rsidP="007E1FBE">
      <w:pPr>
        <w:keepNext/>
        <w:spacing w:before="60" w:after="0"/>
      </w:pPr>
      <w:bookmarkStart w:id="359" w:name="_Toc510795084"/>
      <w:bookmarkStart w:id="360" w:name="_Toc511716287"/>
      <w:bookmarkStart w:id="361" w:name="_Toc511719098"/>
      <w:bookmarkStart w:id="362" w:name="_Toc522794093"/>
      <w:r w:rsidRPr="006A2F04">
        <w:rPr>
          <w:noProof/>
        </w:rPr>
        <w:lastRenderedPageBreak/>
        <w:drawing>
          <wp:inline distT="0" distB="0" distL="0" distR="0" wp14:anchorId="1DD163A4" wp14:editId="04E84AA5">
            <wp:extent cx="342900" cy="361950"/>
            <wp:effectExtent l="0" t="0" r="0" b="0"/>
            <wp:docPr id="94" name="Picture 94" descr="Amateur radi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mateur radio ico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660B5404" w14:textId="245398ED" w:rsidR="00A91C26" w:rsidRPr="00B53F89" w:rsidRDefault="00B830D0" w:rsidP="002A179F">
      <w:pPr>
        <w:pStyle w:val="Heading2"/>
        <w:spacing w:before="60"/>
      </w:pPr>
      <w:bookmarkStart w:id="363" w:name="_Toc31892823"/>
      <w:bookmarkStart w:id="364" w:name="_Toc36207439"/>
      <w:bookmarkStart w:id="365" w:name="_Toc38987211"/>
      <w:r w:rsidRPr="00B53F89" w:rsidDel="007E55F4">
        <w:t>Amateur radio</w:t>
      </w:r>
      <w:bookmarkEnd w:id="359"/>
      <w:bookmarkEnd w:id="360"/>
      <w:bookmarkEnd w:id="361"/>
      <w:bookmarkEnd w:id="362"/>
      <w:bookmarkEnd w:id="363"/>
      <w:bookmarkEnd w:id="364"/>
      <w:bookmarkEnd w:id="365"/>
    </w:p>
    <w:p w14:paraId="7A4D37C2" w14:textId="358E62F8" w:rsidR="00431E8B" w:rsidRPr="00B53F89" w:rsidRDefault="001D3F8B" w:rsidP="003612AF">
      <w:r w:rsidRPr="00B53F89">
        <w:t xml:space="preserve">WRC-15 introduced a secondary allocation </w:t>
      </w:r>
      <w:r w:rsidR="00E20EBC" w:rsidRPr="00B53F89">
        <w:t xml:space="preserve">for </w:t>
      </w:r>
      <w:r w:rsidRPr="00B53F89">
        <w:t>the amateur service in the frequency band 5351.5–5366.5 kHz with a maximum radiated power of 15 W (</w:t>
      </w:r>
      <w:r w:rsidR="004C506A" w:rsidRPr="00B53F89">
        <w:t>EIRP</w:t>
      </w:r>
      <w:r w:rsidRPr="00B53F89">
        <w:t>)</w:t>
      </w:r>
      <w:r w:rsidR="008B2C3F">
        <w:t>.</w:t>
      </w:r>
      <w:r w:rsidR="00E20EBC" w:rsidRPr="00B53F89">
        <w:rPr>
          <w:rStyle w:val="FootnoteReference"/>
          <w:b/>
        </w:rPr>
        <w:footnoteReference w:id="57"/>
      </w:r>
      <w:r w:rsidRPr="00B53F89">
        <w:t xml:space="preserve"> </w:t>
      </w:r>
      <w:r w:rsidR="00E20EBC" w:rsidRPr="00B53F89">
        <w:t>While the spectrum allocation is in</w:t>
      </w:r>
      <w:r w:rsidR="002F450E" w:rsidRPr="00B53F89">
        <w:t>cluded</w:t>
      </w:r>
      <w:r w:rsidR="008E6685" w:rsidRPr="00B53F89">
        <w:t xml:space="preserve"> in</w:t>
      </w:r>
      <w:r w:rsidR="002F450E" w:rsidRPr="00B53F89">
        <w:t xml:space="preserve"> </w:t>
      </w:r>
      <w:r w:rsidR="00E20EBC" w:rsidRPr="00B53F89">
        <w:t xml:space="preserve">the ARSP, </w:t>
      </w:r>
      <w:r w:rsidR="00E20EBC" w:rsidRPr="00B53F89" w:rsidDel="008B2C3F">
        <w:t xml:space="preserve">the </w:t>
      </w:r>
      <w:r w:rsidR="00E20EBC" w:rsidRPr="00B53F89">
        <w:t>technical feasibility and associate</w:t>
      </w:r>
      <w:r w:rsidR="00236532" w:rsidRPr="00B53F89">
        <w:t>d</w:t>
      </w:r>
      <w:r w:rsidR="00E20EBC" w:rsidRPr="00B53F89">
        <w:t xml:space="preserve"> technical conditions that could support operation in Australia</w:t>
      </w:r>
      <w:r w:rsidR="008B2C3F">
        <w:t xml:space="preserve"> are yet to be considered</w:t>
      </w:r>
      <w:r w:rsidR="00E20EBC" w:rsidRPr="00B53F89">
        <w:t>.</w:t>
      </w:r>
    </w:p>
    <w:p w14:paraId="3DC5E468" w14:textId="327793BE" w:rsidR="00E20EBC" w:rsidRPr="00B53F89" w:rsidRDefault="00E20EBC" w:rsidP="003612AF">
      <w:r w:rsidRPr="00B53F89" w:rsidDel="007E55F4">
        <w:t>In</w:t>
      </w:r>
      <w:r w:rsidR="002F450E" w:rsidRPr="00B53F89">
        <w:t xml:space="preserve"> </w:t>
      </w:r>
      <w:r w:rsidR="002F450E" w:rsidRPr="00B53F89" w:rsidDel="007E55F4">
        <w:t>Australia</w:t>
      </w:r>
      <w:r w:rsidRPr="00B53F89" w:rsidDel="007E55F4">
        <w:t xml:space="preserve">, the band is currently used by some emergency service and law enforcement organisations for mobile operations. </w:t>
      </w:r>
      <w:r w:rsidR="0066184D" w:rsidRPr="00B53F89">
        <w:t xml:space="preserve">The Department of </w:t>
      </w:r>
      <w:r w:rsidRPr="00B53F89" w:rsidDel="007E55F4">
        <w:t xml:space="preserve">Defence also uses these frequencies in support of key capabilities. </w:t>
      </w:r>
      <w:r w:rsidR="008B2C3F">
        <w:t>We</w:t>
      </w:r>
      <w:r w:rsidRPr="00B53F89" w:rsidDel="007E55F4">
        <w:t xml:space="preserve"> consulted with local stakeholders on this potential allocation in the lead-up to WRC-15. Stakeholder views were varied, with opposition to the allocation from </w:t>
      </w:r>
      <w:r w:rsidR="0066184D" w:rsidRPr="00B53F89">
        <w:t xml:space="preserve">the Department of </w:t>
      </w:r>
      <w:r w:rsidRPr="00B53F89" w:rsidDel="007E55F4">
        <w:t>Defence, due to the potential for interference to its systems</w:t>
      </w:r>
      <w:r w:rsidR="00483DC5" w:rsidRPr="00B53F89">
        <w:t>.</w:t>
      </w:r>
    </w:p>
    <w:p w14:paraId="2D70AD70" w14:textId="306BBD16" w:rsidR="00D42D90" w:rsidRPr="00B53F89" w:rsidRDefault="00D42D90" w:rsidP="002A179F">
      <w:pPr>
        <w:pStyle w:val="Heading3"/>
      </w:pPr>
      <w:bookmarkStart w:id="366" w:name="_Toc38987212"/>
      <w:r w:rsidRPr="00B53F89">
        <w:t xml:space="preserve">Activities planned for </w:t>
      </w:r>
      <w:r w:rsidR="00CD5AE7">
        <w:t>2020</w:t>
      </w:r>
      <w:r w:rsidR="008B2C3F">
        <w:t>–</w:t>
      </w:r>
      <w:r w:rsidR="00CD5AE7">
        <w:t>21</w:t>
      </w:r>
      <w:bookmarkEnd w:id="366"/>
      <w:r w:rsidRPr="00B53F89">
        <w:t xml:space="preserve"> </w:t>
      </w:r>
    </w:p>
    <w:p w14:paraId="6731DE49" w14:textId="0C74FDA4" w:rsidR="001D3F8B" w:rsidRPr="00B53F89" w:rsidRDefault="00E20EBC" w:rsidP="007E1FBE">
      <w:r w:rsidRPr="00B53F89">
        <w:t>With a range of existing uses currently support</w:t>
      </w:r>
      <w:r w:rsidR="006728B9" w:rsidRPr="00B53F89">
        <w:t>ed</w:t>
      </w:r>
      <w:r w:rsidRPr="00B53F89">
        <w:t xml:space="preserve"> in the band, </w:t>
      </w:r>
      <w:r w:rsidR="008B2C3F">
        <w:t>we</w:t>
      </w:r>
      <w:r w:rsidRPr="00B53F89">
        <w:t xml:space="preserve"> intend to </w:t>
      </w:r>
      <w:r w:rsidR="00D42D90" w:rsidRPr="00B53F89">
        <w:t xml:space="preserve">publish </w:t>
      </w:r>
      <w:r w:rsidRPr="00B53F89">
        <w:t>a discussion paper</w:t>
      </w:r>
      <w:r w:rsidR="00D42D90" w:rsidRPr="00B53F89">
        <w:t xml:space="preserve"> in </w:t>
      </w:r>
      <w:r w:rsidR="00FA6739" w:rsidRPr="0007215C">
        <w:t>Q2</w:t>
      </w:r>
      <w:r w:rsidR="008B2C3F">
        <w:t>–</w:t>
      </w:r>
      <w:r w:rsidR="00FC330D" w:rsidRPr="0007215C">
        <w:t>3</w:t>
      </w:r>
      <w:r w:rsidR="00FA6739" w:rsidRPr="0007215C">
        <w:t xml:space="preserve"> </w:t>
      </w:r>
      <w:r w:rsidR="00D42D90" w:rsidRPr="0007215C">
        <w:t>2020</w:t>
      </w:r>
      <w:r w:rsidRPr="00B53F89">
        <w:t xml:space="preserve"> seeking views o</w:t>
      </w:r>
      <w:r w:rsidR="0008463B" w:rsidRPr="00B53F89">
        <w:t>n</w:t>
      </w:r>
      <w:r w:rsidRPr="00B53F89">
        <w:t xml:space="preserve"> </w:t>
      </w:r>
      <w:r w:rsidR="000D3BF0">
        <w:t>the feasibility and associated</w:t>
      </w:r>
      <w:r w:rsidRPr="00B53F89">
        <w:t xml:space="preserve"> implementation issues</w:t>
      </w:r>
      <w:r w:rsidR="00CB1255">
        <w:t xml:space="preserve"> of the potential allocation</w:t>
      </w:r>
      <w:r w:rsidRPr="00B53F89">
        <w:t xml:space="preserve">, </w:t>
      </w:r>
      <w:bookmarkStart w:id="367" w:name="_Hlk2680328"/>
      <w:r w:rsidRPr="00B53F89">
        <w:t xml:space="preserve">including appropriate technical conditions and </w:t>
      </w:r>
      <w:r w:rsidR="00932BC3" w:rsidRPr="00B53F89">
        <w:t xml:space="preserve">in </w:t>
      </w:r>
      <w:r w:rsidRPr="00B53F89">
        <w:t xml:space="preserve">which part of the band </w:t>
      </w:r>
      <w:r w:rsidR="00F11130" w:rsidRPr="00B53F89">
        <w:t xml:space="preserve">the </w:t>
      </w:r>
      <w:r w:rsidR="002F450E" w:rsidRPr="00B53F89">
        <w:t>amateur</w:t>
      </w:r>
      <w:r w:rsidRPr="00B53F89">
        <w:t xml:space="preserve"> </w:t>
      </w:r>
      <w:r w:rsidR="00F11130" w:rsidRPr="00B53F89">
        <w:t xml:space="preserve">service </w:t>
      </w:r>
      <w:r w:rsidR="00932BC3" w:rsidRPr="00B53F89">
        <w:t xml:space="preserve">could be </w:t>
      </w:r>
      <w:r w:rsidR="002F450E" w:rsidRPr="00B53F89">
        <w:t>s</w:t>
      </w:r>
      <w:r w:rsidRPr="00B53F89">
        <w:t>upported</w:t>
      </w:r>
      <w:bookmarkEnd w:id="367"/>
      <w:r w:rsidRPr="00B53F89">
        <w:t xml:space="preserve">. </w:t>
      </w:r>
    </w:p>
    <w:p w14:paraId="3A4A6944" w14:textId="06FC63EC" w:rsidR="00770CB1" w:rsidRPr="00B53F89" w:rsidRDefault="00FE7029" w:rsidP="007E1FBE">
      <w:pPr>
        <w:keepNext/>
        <w:spacing w:before="60" w:after="0"/>
      </w:pPr>
      <w:bookmarkStart w:id="368" w:name="_Toc510795085"/>
      <w:bookmarkStart w:id="369" w:name="_Toc511716288"/>
      <w:bookmarkStart w:id="370" w:name="_Toc511719099"/>
      <w:bookmarkStart w:id="371" w:name="_Toc522794094"/>
      <w:bookmarkStart w:id="372" w:name="_Hlk16255540"/>
      <w:r w:rsidRPr="006A2F04">
        <w:rPr>
          <w:noProof/>
        </w:rPr>
        <w:drawing>
          <wp:inline distT="0" distB="0" distL="0" distR="0" wp14:anchorId="119C84C2" wp14:editId="3C9DC98A">
            <wp:extent cx="341630" cy="359410"/>
            <wp:effectExtent l="0" t="0" r="1270" b="2540"/>
            <wp:docPr id="194" name="Picture 194"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00770CB1" w:rsidRPr="006A2F04">
        <w:rPr>
          <w:noProof/>
        </w:rPr>
        <w:drawing>
          <wp:inline distT="0" distB="0" distL="0" distR="0" wp14:anchorId="3C5C34D5" wp14:editId="38639AAF">
            <wp:extent cx="342900" cy="361950"/>
            <wp:effectExtent l="0" t="0" r="0" b="0"/>
            <wp:docPr id="96" name="Picture 96" descr="Defen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fence icon"/>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6B271CEA" w14:textId="047F6155" w:rsidR="00785F7B" w:rsidRPr="00B53F89" w:rsidRDefault="00785F7B" w:rsidP="00B92D2A">
      <w:pPr>
        <w:pStyle w:val="Heading2"/>
        <w:spacing w:before="60"/>
      </w:pPr>
      <w:bookmarkStart w:id="373" w:name="_Toc31892824"/>
      <w:bookmarkStart w:id="374" w:name="_Toc36207440"/>
      <w:bookmarkStart w:id="375" w:name="_Toc38987213"/>
      <w:bookmarkStart w:id="376" w:name="_Hlk36535657"/>
      <w:r w:rsidRPr="00B53F89">
        <w:t>Ongoing review of spectrum planning, assignment and coordination requirements</w:t>
      </w:r>
      <w:bookmarkEnd w:id="368"/>
      <w:bookmarkEnd w:id="369"/>
      <w:bookmarkEnd w:id="370"/>
      <w:bookmarkEnd w:id="371"/>
      <w:bookmarkEnd w:id="373"/>
      <w:bookmarkEnd w:id="374"/>
      <w:bookmarkEnd w:id="375"/>
    </w:p>
    <w:bookmarkEnd w:id="372"/>
    <w:bookmarkEnd w:id="376"/>
    <w:p w14:paraId="4FFA0FF5" w14:textId="2D53239D" w:rsidR="005B5690" w:rsidRPr="00B53F89" w:rsidRDefault="008B2C3F" w:rsidP="003612AF">
      <w:r>
        <w:t>We have</w:t>
      </w:r>
      <w:r w:rsidR="005B5690" w:rsidRPr="00B53F89">
        <w:t xml:space="preserve"> an ongoing program of review of the </w:t>
      </w:r>
      <w:r w:rsidR="00443B2B" w:rsidRPr="00443B2B">
        <w:t>spectrum planning</w:t>
      </w:r>
      <w:r w:rsidR="005B5690" w:rsidRPr="00B53F89">
        <w:t xml:space="preserve"> technical framework to ensure its currency and consistency with current technologies and operational practices. </w:t>
      </w:r>
    </w:p>
    <w:p w14:paraId="237414D9" w14:textId="7FAF30C4" w:rsidR="005B5690" w:rsidRPr="00B53F89" w:rsidRDefault="005B5690" w:rsidP="003612AF">
      <w:r w:rsidRPr="00B53F89">
        <w:t xml:space="preserve">This work is primarily focused on frequency coordination requirements for apparatus-licensed services. This material is predominately recorded in </w:t>
      </w:r>
      <w:r w:rsidR="00483DC5" w:rsidRPr="00B53F89">
        <w:t>RALIs</w:t>
      </w:r>
      <w:r w:rsidRPr="00B53F89">
        <w:t>. Consideration of spectrum-licensing technical frameworks and ensuring the continuing appropriateness of spectrum embargoes are additional elements of this work program.</w:t>
      </w:r>
    </w:p>
    <w:p w14:paraId="1BB8020A" w14:textId="6FA9DA02" w:rsidR="007677E6" w:rsidRPr="00B53F89" w:rsidRDefault="005B5690" w:rsidP="003612AF">
      <w:r w:rsidRPr="00B53F89">
        <w:t>In September 2018</w:t>
      </w:r>
      <w:r w:rsidR="00EB229F" w:rsidRPr="00B53F89">
        <w:t>,</w:t>
      </w:r>
      <w:r w:rsidRPr="00B53F89">
        <w:t xml:space="preserve"> following industry consultation</w:t>
      </w:r>
      <w:r w:rsidR="00EB229F" w:rsidRPr="00B53F89">
        <w:t>,</w:t>
      </w:r>
      <w:r w:rsidRPr="00B53F89">
        <w:t xml:space="preserve"> </w:t>
      </w:r>
      <w:r w:rsidR="008B2C3F">
        <w:t>we</w:t>
      </w:r>
      <w:r w:rsidRPr="00B53F89">
        <w:t xml:space="preserve"> released </w:t>
      </w:r>
      <w:r w:rsidR="008B2C3F">
        <w:t>our</w:t>
      </w:r>
      <w:r w:rsidR="008B2C3F" w:rsidRPr="00B53F89">
        <w:t xml:space="preserve"> </w:t>
      </w:r>
      <w:hyperlink r:id="rId94" w:history="1">
        <w:r w:rsidR="008B2C3F">
          <w:rPr>
            <w:rStyle w:val="Hyperlink"/>
          </w:rPr>
          <w:t>f</w:t>
        </w:r>
        <w:r w:rsidRPr="00B53F89">
          <w:rPr>
            <w:rStyle w:val="Hyperlink"/>
          </w:rPr>
          <w:t>requency coordination requirements review work program</w:t>
        </w:r>
      </w:hyperlink>
      <w:r w:rsidRPr="00B53F89">
        <w:t xml:space="preserve"> for 2018</w:t>
      </w:r>
      <w:r w:rsidR="001470A3" w:rsidRPr="00B53F89">
        <w:t>–</w:t>
      </w:r>
      <w:r w:rsidRPr="00B53F89">
        <w:t>19.</w:t>
      </w:r>
      <w:r w:rsidR="00A0146D">
        <w:t xml:space="preserve"> </w:t>
      </w:r>
      <w:r w:rsidRPr="00B53F89">
        <w:t>Th</w:t>
      </w:r>
      <w:r w:rsidR="00B65737" w:rsidRPr="00B53F89">
        <w:t>is</w:t>
      </w:r>
      <w:r w:rsidRPr="00B53F89">
        <w:t xml:space="preserve"> work program outlined updates to frequency coordination rules (</w:t>
      </w:r>
      <w:r w:rsidR="00624C6C" w:rsidRPr="00B53F89">
        <w:t xml:space="preserve">as </w:t>
      </w:r>
      <w:r w:rsidRPr="00B53F89">
        <w:t>recorded in</w:t>
      </w:r>
      <w:r w:rsidR="00624C6C" w:rsidRPr="00B53F89">
        <w:t xml:space="preserve"> RALIs)</w:t>
      </w:r>
      <w:r w:rsidR="005F64FB">
        <w:t>.</w:t>
      </w:r>
      <w:r w:rsidRPr="00B53F89">
        <w:t xml:space="preserve"> </w:t>
      </w:r>
    </w:p>
    <w:p w14:paraId="3516EBEA" w14:textId="77777777" w:rsidR="00AA099C" w:rsidRPr="00B53F89" w:rsidRDefault="005F07AD" w:rsidP="00B92D2A">
      <w:pPr>
        <w:pStyle w:val="Heading3"/>
      </w:pPr>
      <w:bookmarkStart w:id="377" w:name="_Toc38987214"/>
      <w:r w:rsidRPr="00B53F89">
        <w:t>Progress achieved</w:t>
      </w:r>
      <w:bookmarkEnd w:id="377"/>
    </w:p>
    <w:p w14:paraId="2496477C" w14:textId="2AA7E886" w:rsidR="00CA6ED9" w:rsidRPr="00B53F89" w:rsidRDefault="00CA6ED9" w:rsidP="003612AF">
      <w:r w:rsidRPr="00B53F89">
        <w:t xml:space="preserve">In July 2019, RALI FX01 was updated to include coordination arrangements between 400 MHz wideband fixed services and narrowband services. This was the subject of a </w:t>
      </w:r>
      <w:hyperlink r:id="rId95" w:history="1">
        <w:r w:rsidRPr="00B53F89">
          <w:rPr>
            <w:rStyle w:val="Hyperlink"/>
          </w:rPr>
          <w:t>consultation process</w:t>
        </w:r>
      </w:hyperlink>
      <w:r w:rsidRPr="00B53F89">
        <w:t xml:space="preserve"> in March 2019. </w:t>
      </w:r>
    </w:p>
    <w:p w14:paraId="3CDA22D6" w14:textId="621D72F0" w:rsidR="00444646" w:rsidRPr="00B53F89" w:rsidRDefault="00444646" w:rsidP="003612AF">
      <w:r w:rsidRPr="00B53F89">
        <w:t xml:space="preserve">Coordination requirements for </w:t>
      </w:r>
      <w:r w:rsidR="008B2C3F">
        <w:t>e</w:t>
      </w:r>
      <w:r w:rsidRPr="00B53F89">
        <w:t>arth station protection zones were updated in August 2019</w:t>
      </w:r>
      <w:r w:rsidR="008B2C3F">
        <w:t>,</w:t>
      </w:r>
      <w:r w:rsidRPr="00B53F89">
        <w:t xml:space="preserve"> following the </w:t>
      </w:r>
      <w:hyperlink r:id="rId96" w:history="1">
        <w:r w:rsidRPr="00B53F89">
          <w:rPr>
            <w:rStyle w:val="Hyperlink"/>
          </w:rPr>
          <w:t>December 2018 consultation</w:t>
        </w:r>
      </w:hyperlink>
      <w:r w:rsidRPr="00B53F89">
        <w:t xml:space="preserve"> on changes to RALI MS 44. </w:t>
      </w:r>
    </w:p>
    <w:p w14:paraId="0246A307" w14:textId="60A8D61D" w:rsidR="00F223BA" w:rsidRPr="00B53F89" w:rsidRDefault="00444646" w:rsidP="003612AF">
      <w:r w:rsidRPr="00B53F89">
        <w:t xml:space="preserve">Updates to several RALIs were provided for </w:t>
      </w:r>
      <w:hyperlink r:id="rId97" w:history="1">
        <w:r w:rsidRPr="00B53F89">
          <w:rPr>
            <w:rStyle w:val="Hyperlink"/>
          </w:rPr>
          <w:t>comment from industry</w:t>
        </w:r>
      </w:hyperlink>
      <w:r w:rsidRPr="00B53F89">
        <w:t xml:space="preserve"> in December 2018. In August 2019, RALI MS 33 and MS 34 were updated to support PTS operation in underground environments in the 1800 MHz and 2 GHz bands outside of spectrum licensing areas, and RALI MS 35 was updated to </w:t>
      </w:r>
      <w:r w:rsidR="004313FB" w:rsidRPr="00B53F89">
        <w:t>i</w:t>
      </w:r>
      <w:r w:rsidR="00F223BA" w:rsidRPr="00B53F89">
        <w:t xml:space="preserve">nclude additional radar sites for coordination between 2.5 GHz band </w:t>
      </w:r>
      <w:r w:rsidR="00452BAB" w:rsidRPr="00B53F89">
        <w:t>(2.5–2.69 GHz)</w:t>
      </w:r>
      <w:r w:rsidR="00F223BA" w:rsidRPr="00B53F89">
        <w:t xml:space="preserve"> spectrum</w:t>
      </w:r>
      <w:r w:rsidR="00D1527A" w:rsidRPr="00B53F89">
        <w:t>-</w:t>
      </w:r>
      <w:r w:rsidR="00F223BA" w:rsidRPr="00B53F89">
        <w:t xml:space="preserve">licensed transmitters </w:t>
      </w:r>
      <w:r w:rsidR="00F223BA" w:rsidRPr="00B53F89">
        <w:lastRenderedPageBreak/>
        <w:t xml:space="preserve">with radiodetermination stations operated by the </w:t>
      </w:r>
      <w:r w:rsidR="001D0A2E" w:rsidRPr="00B53F89">
        <w:t>D</w:t>
      </w:r>
      <w:r w:rsidR="00F223BA" w:rsidRPr="00B53F89">
        <w:t>epartment of Defence in the 2700</w:t>
      </w:r>
      <w:r w:rsidR="00243870" w:rsidRPr="00B53F89">
        <w:t>–</w:t>
      </w:r>
      <w:r w:rsidR="00F223BA" w:rsidRPr="00B53F89">
        <w:t>2900 MHz band</w:t>
      </w:r>
      <w:r w:rsidR="004313FB" w:rsidRPr="00B53F89">
        <w:t>.</w:t>
      </w:r>
      <w:r w:rsidR="00CA6ED9" w:rsidRPr="00B53F89">
        <w:t xml:space="preserve"> </w:t>
      </w:r>
    </w:p>
    <w:p w14:paraId="58F8AF87" w14:textId="1ECF56E7" w:rsidR="00F27C8F" w:rsidRPr="00B53F89" w:rsidRDefault="008B2C3F" w:rsidP="003612AF">
      <w:r>
        <w:t>We are</w:t>
      </w:r>
      <w:r w:rsidR="00F27C8F" w:rsidRPr="00B53F89">
        <w:t xml:space="preserve"> also considering a broader review of the spectrum planning framework. </w:t>
      </w:r>
      <w:r w:rsidR="00F27C8F" w:rsidRPr="00B53F89">
        <w:rPr>
          <w:bCs/>
        </w:rPr>
        <w:t>The framework is complex, made up of a large array of interlinking technical and policy documents. The content and interrelationships can be difficult to understand and interpret, even for experienced practitioners, with information on any one service or part of the spectrum contained over multiple documents. A number of broad areas for review have become apparent, including improving the transparency and clarity of the framework overall</w:t>
      </w:r>
      <w:r w:rsidR="00F27C8F" w:rsidRPr="00B53F89">
        <w:rPr>
          <w:b/>
          <w:bCs/>
        </w:rPr>
        <w:t>.</w:t>
      </w:r>
    </w:p>
    <w:p w14:paraId="796282AE" w14:textId="2CE9F7AF" w:rsidR="00785F7B" w:rsidRPr="00B53F89" w:rsidRDefault="00785F7B" w:rsidP="00B92D2A">
      <w:pPr>
        <w:pStyle w:val="Heading3"/>
      </w:pPr>
      <w:bookmarkStart w:id="378" w:name="_Toc38987215"/>
      <w:r w:rsidRPr="00B53F89">
        <w:t xml:space="preserve">Activities planned for </w:t>
      </w:r>
      <w:r w:rsidR="00CD5AE7">
        <w:t>2020</w:t>
      </w:r>
      <w:r w:rsidR="008B2C3F">
        <w:t>–</w:t>
      </w:r>
      <w:r w:rsidR="00CD5AE7">
        <w:t>21</w:t>
      </w:r>
      <w:bookmarkEnd w:id="378"/>
    </w:p>
    <w:p w14:paraId="3A1B141B" w14:textId="096E7561" w:rsidR="00824F96" w:rsidRPr="00B53F89" w:rsidRDefault="00824F96" w:rsidP="007E1FBE">
      <w:bookmarkStart w:id="379" w:name="_Hlk17104741"/>
      <w:bookmarkStart w:id="380" w:name="_Hlk17104573"/>
      <w:r w:rsidRPr="00B53F89">
        <w:t xml:space="preserve">In addition </w:t>
      </w:r>
      <w:r w:rsidR="00407F95" w:rsidRPr="00B53F89">
        <w:t xml:space="preserve">to </w:t>
      </w:r>
      <w:r w:rsidRPr="00B53F89">
        <w:t>progressing tasks already identified in the review work program</w:t>
      </w:r>
      <w:r w:rsidR="008B2C3F">
        <w:t>, we</w:t>
      </w:r>
      <w:r w:rsidRPr="00B53F89">
        <w:t xml:space="preserve"> intend to seek</w:t>
      </w:r>
      <w:r w:rsidR="00C33CDD" w:rsidRPr="00B53F89">
        <w:t xml:space="preserve"> industry</w:t>
      </w:r>
      <w:r w:rsidRPr="00B53F89">
        <w:t xml:space="preserve"> comment on a draft up</w:t>
      </w:r>
      <w:r w:rsidR="00B53F89">
        <w:t>d</w:t>
      </w:r>
      <w:r w:rsidRPr="00B53F89">
        <w:t>ate</w:t>
      </w:r>
      <w:r w:rsidR="00B53F89">
        <w:t>d</w:t>
      </w:r>
      <w:r w:rsidRPr="00B53F89">
        <w:t xml:space="preserve"> frequency coordination review work program in Q4 </w:t>
      </w:r>
      <w:r w:rsidR="00A0146D" w:rsidRPr="00B53F89">
        <w:t>20</w:t>
      </w:r>
      <w:r w:rsidR="00A0146D">
        <w:t>20</w:t>
      </w:r>
      <w:r w:rsidRPr="00B53F89">
        <w:t>.</w:t>
      </w:r>
    </w:p>
    <w:p w14:paraId="0A2147D2" w14:textId="5D6C4D68" w:rsidR="00407F95" w:rsidRPr="00B53F89" w:rsidRDefault="00AE31E2" w:rsidP="007E1FBE">
      <w:bookmarkStart w:id="381" w:name="_Hlk17104811"/>
      <w:bookmarkEnd w:id="379"/>
      <w:bookmarkEnd w:id="380"/>
      <w:r w:rsidRPr="00B53F89">
        <w:t>Work on the b</w:t>
      </w:r>
      <w:r w:rsidR="00295BE3" w:rsidRPr="00B53F89">
        <w:t>r</w:t>
      </w:r>
      <w:r w:rsidRPr="00B53F89">
        <w:t>oader review of the spectrum planning framework</w:t>
      </w:r>
      <w:r w:rsidR="00863E78" w:rsidRPr="00B53F89">
        <w:rPr>
          <w:bCs/>
        </w:rPr>
        <w:t xml:space="preserve">, which is flagged in the </w:t>
      </w:r>
      <w:r w:rsidR="00446847" w:rsidRPr="00513FDE">
        <w:rPr>
          <w:bCs/>
          <w:i/>
          <w:iCs/>
        </w:rPr>
        <w:t>S</w:t>
      </w:r>
      <w:r w:rsidR="00863E78" w:rsidRPr="00513FDE">
        <w:rPr>
          <w:bCs/>
          <w:i/>
          <w:iCs/>
        </w:rPr>
        <w:t>pectrum management</w:t>
      </w:r>
      <w:r w:rsidR="00446847" w:rsidRPr="00513FDE">
        <w:rPr>
          <w:bCs/>
          <w:i/>
          <w:iCs/>
        </w:rPr>
        <w:t xml:space="preserve"> practice</w:t>
      </w:r>
      <w:r w:rsidR="00863E78" w:rsidRPr="00513FDE">
        <w:rPr>
          <w:bCs/>
          <w:i/>
          <w:iCs/>
        </w:rPr>
        <w:t xml:space="preserve"> improvements </w:t>
      </w:r>
      <w:r w:rsidR="00863E78" w:rsidRPr="00B53F89">
        <w:rPr>
          <w:bCs/>
        </w:rPr>
        <w:t>section below,</w:t>
      </w:r>
      <w:r w:rsidRPr="00B53F89">
        <w:t xml:space="preserve"> is subject to further consideration of timelines and priorities</w:t>
      </w:r>
      <w:bookmarkEnd w:id="381"/>
      <w:r w:rsidRPr="00B53F89">
        <w:t xml:space="preserve">. </w:t>
      </w:r>
    </w:p>
    <w:p w14:paraId="17540A68" w14:textId="6467544F" w:rsidR="00215AD1" w:rsidRPr="00B53F89" w:rsidRDefault="00215AD1" w:rsidP="00B92D2A">
      <w:pPr>
        <w:pStyle w:val="Heading2"/>
      </w:pPr>
      <w:bookmarkStart w:id="382" w:name="_Toc31892825"/>
      <w:bookmarkStart w:id="383" w:name="_Toc36207441"/>
      <w:bookmarkStart w:id="384" w:name="_Toc38987216"/>
      <w:r w:rsidRPr="00B53F89">
        <w:t>Review of spectrum licen</w:t>
      </w:r>
      <w:r w:rsidR="00493062" w:rsidRPr="00B53F89">
        <w:t>c</w:t>
      </w:r>
      <w:r w:rsidRPr="00B53F89">
        <w:t>e technical frameworks</w:t>
      </w:r>
      <w:bookmarkEnd w:id="382"/>
      <w:bookmarkEnd w:id="383"/>
      <w:bookmarkEnd w:id="384"/>
    </w:p>
    <w:p w14:paraId="573620F7" w14:textId="2C82F839" w:rsidR="007845B1" w:rsidRPr="00AF4E02" w:rsidRDefault="00594CD7" w:rsidP="007E1FBE">
      <w:pPr>
        <w:rPr>
          <w:rFonts w:cs="Arial"/>
        </w:rPr>
      </w:pPr>
      <w:r>
        <w:t>In November 2019</w:t>
      </w:r>
      <w:r w:rsidR="008C34AD">
        <w:t>,</w:t>
      </w:r>
      <w:r>
        <w:t xml:space="preserve"> </w:t>
      </w:r>
      <w:r w:rsidR="008B2C3F">
        <w:t>we</w:t>
      </w:r>
      <w:r>
        <w:t xml:space="preserve"> consulted with spectrum licensees </w:t>
      </w:r>
      <w:r w:rsidR="00DA2894">
        <w:t>about</w:t>
      </w:r>
      <w:r w:rsidDel="00DA2894">
        <w:t xml:space="preserve"> </w:t>
      </w:r>
      <w:r w:rsidR="00DA2894">
        <w:t xml:space="preserve">a </w:t>
      </w:r>
      <w:r>
        <w:t xml:space="preserve">review of current arrangements </w:t>
      </w:r>
      <w:r w:rsidRPr="00B53F89">
        <w:rPr>
          <w:rFonts w:cs="Arial"/>
        </w:rPr>
        <w:t xml:space="preserve">in bands that are already licensed for wireless broadband </w:t>
      </w:r>
      <w:r w:rsidR="008C34AD">
        <w:rPr>
          <w:rFonts w:cs="Arial"/>
        </w:rPr>
        <w:t>to ensure</w:t>
      </w:r>
      <w:r w:rsidRPr="00B53F89">
        <w:rPr>
          <w:rFonts w:cs="Arial"/>
        </w:rPr>
        <w:t xml:space="preserve"> existing allocations are efficient and can cater for new technology developments such as 5G</w:t>
      </w:r>
      <w:r>
        <w:rPr>
          <w:rFonts w:cs="Arial"/>
        </w:rPr>
        <w:t>.</w:t>
      </w:r>
      <w:r w:rsidR="00C93BF6">
        <w:rPr>
          <w:rFonts w:cs="Arial"/>
        </w:rPr>
        <w:t xml:space="preserve"> </w:t>
      </w:r>
      <w:r>
        <w:rPr>
          <w:rFonts w:cs="Arial"/>
        </w:rPr>
        <w:t xml:space="preserve">The consultation identified </w:t>
      </w:r>
      <w:r w:rsidR="00E1361A">
        <w:rPr>
          <w:rFonts w:cs="Arial"/>
        </w:rPr>
        <w:t xml:space="preserve">interest in reviewing all technical frameworks below 4 GHz. </w:t>
      </w:r>
    </w:p>
    <w:p w14:paraId="60673A01" w14:textId="3470B2CE" w:rsidR="00215AD1" w:rsidRPr="00B53F89" w:rsidRDefault="00215AD1" w:rsidP="00B92D2A">
      <w:pPr>
        <w:pStyle w:val="Heading3"/>
      </w:pPr>
      <w:bookmarkStart w:id="385" w:name="_Toc38987217"/>
      <w:r w:rsidRPr="00B53F89">
        <w:t xml:space="preserve">Activities planned for </w:t>
      </w:r>
      <w:r w:rsidR="00B33CBB" w:rsidRPr="00B53F89">
        <w:t>20</w:t>
      </w:r>
      <w:r w:rsidR="00B33CBB">
        <w:t>20</w:t>
      </w:r>
      <w:r w:rsidRPr="00B53F89">
        <w:t>–2</w:t>
      </w:r>
      <w:r w:rsidR="00B33CBB">
        <w:t>1</w:t>
      </w:r>
      <w:bookmarkEnd w:id="385"/>
      <w:r w:rsidRPr="00B53F89">
        <w:t xml:space="preserve"> </w:t>
      </w:r>
    </w:p>
    <w:p w14:paraId="5C89AF4D" w14:textId="6FC27D75" w:rsidR="00E1361A" w:rsidRDefault="00E1361A" w:rsidP="007E1FBE">
      <w:r>
        <w:t>Based on feedback received from spectrum licensees, the ACMA has prioritised bands for review and developed an associated workplan.</w:t>
      </w:r>
    </w:p>
    <w:p w14:paraId="414BFE8B" w14:textId="377963C8" w:rsidR="00E1361A" w:rsidRDefault="00FC30B4" w:rsidP="007E1FBE">
      <w:r>
        <w:t xml:space="preserve">The </w:t>
      </w:r>
      <w:hyperlink r:id="rId98" w:history="1">
        <w:r w:rsidRPr="00DC33F7">
          <w:rPr>
            <w:rStyle w:val="Hyperlink"/>
          </w:rPr>
          <w:t>3.4 GHz band was the first band to be considered</w:t>
        </w:r>
      </w:hyperlink>
      <w:r>
        <w:t xml:space="preserve">, with the review of </w:t>
      </w:r>
      <w:r w:rsidR="00E1361A">
        <w:t xml:space="preserve">the </w:t>
      </w:r>
      <w:r>
        <w:t xml:space="preserve">core condition relating to unwanted emissions. This work is expected to be completed in </w:t>
      </w:r>
      <w:r w:rsidR="00E1361A" w:rsidRPr="00CD444C">
        <w:t>Q2</w:t>
      </w:r>
      <w:r w:rsidR="00DA2894">
        <w:t>–</w:t>
      </w:r>
      <w:r w:rsidR="00FC330D" w:rsidRPr="00CD444C">
        <w:t>3</w:t>
      </w:r>
      <w:r w:rsidRPr="00CD444C">
        <w:t xml:space="preserve"> 2020</w:t>
      </w:r>
      <w:r>
        <w:t xml:space="preserve">. </w:t>
      </w:r>
    </w:p>
    <w:p w14:paraId="2B7D25D5" w14:textId="5FB6FDE4" w:rsidR="00E1361A" w:rsidRDefault="003C429C" w:rsidP="007E1FBE">
      <w:r>
        <w:t xml:space="preserve">Work on the 2.3 GHz and 1.8 GHz bands </w:t>
      </w:r>
      <w:r w:rsidR="00DA2894">
        <w:t>started</w:t>
      </w:r>
      <w:r>
        <w:t xml:space="preserve"> in Q1 2020</w:t>
      </w:r>
      <w:r w:rsidR="00E1361A">
        <w:t xml:space="preserve">. It is planned that the review of these bands will be </w:t>
      </w:r>
      <w:r>
        <w:t>completed in Q4</w:t>
      </w:r>
      <w:r w:rsidR="0098016D">
        <w:t xml:space="preserve"> 2020</w:t>
      </w:r>
      <w:r w:rsidR="00E1361A">
        <w:t xml:space="preserve">, </w:t>
      </w:r>
      <w:r w:rsidR="007D659D">
        <w:t>following consultation in Q2</w:t>
      </w:r>
      <w:r w:rsidR="00DA2894">
        <w:t>–</w:t>
      </w:r>
      <w:r w:rsidR="007D659D">
        <w:t>3 2020</w:t>
      </w:r>
      <w:r>
        <w:t>.</w:t>
      </w:r>
      <w:r w:rsidR="00E1361A">
        <w:t xml:space="preserve"> </w:t>
      </w:r>
    </w:p>
    <w:p w14:paraId="359ED90F" w14:textId="7D561098" w:rsidR="00E1361A" w:rsidRDefault="00F14DED" w:rsidP="007E1FBE">
      <w:r>
        <w:t>The bands</w:t>
      </w:r>
      <w:r w:rsidR="00657077">
        <w:t xml:space="preserve"> 800 MHz, 900 MHz, 2.1 GHz and 2.6 GHz have been identified in the work program. </w:t>
      </w:r>
      <w:r w:rsidR="00596E60">
        <w:t>The 2.6 GHz band has been prioritised as the next band for consideration</w:t>
      </w:r>
      <w:r w:rsidR="00DA2894">
        <w:t>, with other bands to follow</w:t>
      </w:r>
      <w:r w:rsidR="00596E60">
        <w:t xml:space="preserve">. </w:t>
      </w:r>
    </w:p>
    <w:p w14:paraId="1C8670A5" w14:textId="6980203B" w:rsidR="00493EE3" w:rsidRPr="00B53F89" w:rsidRDefault="00493EE3" w:rsidP="00B92D2A">
      <w:pPr>
        <w:pStyle w:val="Heading2"/>
      </w:pPr>
      <w:bookmarkStart w:id="386" w:name="_Toc31892826"/>
      <w:bookmarkStart w:id="387" w:name="_Toc36207442"/>
      <w:bookmarkStart w:id="388" w:name="_Toc38987218"/>
      <w:r w:rsidRPr="00B53F89">
        <w:t>Spectrum</w:t>
      </w:r>
      <w:r w:rsidR="00DA2894">
        <w:t>-</w:t>
      </w:r>
      <w:r w:rsidRPr="00B53F89">
        <w:t>sharing approaches</w:t>
      </w:r>
      <w:bookmarkEnd w:id="386"/>
      <w:bookmarkEnd w:id="387"/>
      <w:bookmarkEnd w:id="388"/>
    </w:p>
    <w:p w14:paraId="19455BE9" w14:textId="3BF74BD6" w:rsidR="00436AC2" w:rsidRPr="00B53F89" w:rsidRDefault="00424B25" w:rsidP="003612AF">
      <w:r w:rsidRPr="00B53F89">
        <w:rPr>
          <w:rFonts w:cs="Arial"/>
        </w:rPr>
        <w:t xml:space="preserve">The ACMA </w:t>
      </w:r>
      <w:r w:rsidR="00622DBC" w:rsidRPr="00B53F89">
        <w:rPr>
          <w:rFonts w:cs="Arial"/>
        </w:rPr>
        <w:t>has commenced a</w:t>
      </w:r>
      <w:r w:rsidRPr="00B53F89">
        <w:rPr>
          <w:rFonts w:cs="Arial"/>
        </w:rPr>
        <w:t xml:space="preserve"> discussion </w:t>
      </w:r>
      <w:r w:rsidR="00622DBC" w:rsidRPr="00B53F89">
        <w:rPr>
          <w:rFonts w:cs="Arial"/>
        </w:rPr>
        <w:t xml:space="preserve">with stakeholders </w:t>
      </w:r>
      <w:r w:rsidRPr="00B53F89">
        <w:rPr>
          <w:rFonts w:cs="Arial"/>
        </w:rPr>
        <w:t xml:space="preserve">on how </w:t>
      </w:r>
      <w:r w:rsidR="00622DBC" w:rsidRPr="00B53F89">
        <w:rPr>
          <w:rFonts w:cs="Arial"/>
        </w:rPr>
        <w:t>new approaches to sharing</w:t>
      </w:r>
      <w:r w:rsidRPr="00B53F89">
        <w:rPr>
          <w:rFonts w:cs="Arial"/>
        </w:rPr>
        <w:t xml:space="preserve"> might improve the management of and access to spectrum.</w:t>
      </w:r>
      <w:r w:rsidR="00436AC2" w:rsidRPr="00B53F89">
        <w:t xml:space="preserve"> </w:t>
      </w:r>
    </w:p>
    <w:p w14:paraId="175170A9" w14:textId="274DB562" w:rsidR="00BC3396" w:rsidRPr="00B53F89" w:rsidRDefault="00F14DED" w:rsidP="00B92D2A">
      <w:pPr>
        <w:pStyle w:val="Heading3"/>
      </w:pPr>
      <w:bookmarkStart w:id="389" w:name="_Toc38987219"/>
      <w:r>
        <w:t>Progress achieved</w:t>
      </w:r>
      <w:bookmarkEnd w:id="389"/>
    </w:p>
    <w:p w14:paraId="6AD67BBD" w14:textId="1EDA1D65" w:rsidR="00493EE3" w:rsidRDefault="00DA2894" w:rsidP="003612AF">
      <w:r>
        <w:t>We</w:t>
      </w:r>
      <w:r w:rsidR="00493EE3" w:rsidRPr="00B53F89">
        <w:t xml:space="preserve"> held a tune-up event in </w:t>
      </w:r>
      <w:r w:rsidR="00AC7712" w:rsidRPr="00B53F89">
        <w:t>August 2019</w:t>
      </w:r>
      <w:r w:rsidR="00493EE3" w:rsidRPr="00B53F89">
        <w:t xml:space="preserve"> on new and emerging approaches to spectrum sharing. </w:t>
      </w:r>
      <w:r w:rsidR="002C2521" w:rsidRPr="00B53F89">
        <w:t xml:space="preserve">The tune-up was informed by a </w:t>
      </w:r>
      <w:hyperlink r:id="rId99" w:history="1">
        <w:r w:rsidR="002C2521" w:rsidRPr="00B53F89">
          <w:rPr>
            <w:rStyle w:val="Hyperlink"/>
          </w:rPr>
          <w:t>discussion paper</w:t>
        </w:r>
      </w:hyperlink>
      <w:r w:rsidR="002C2521" w:rsidRPr="00B53F89">
        <w:t xml:space="preserve"> released in early Aug</w:t>
      </w:r>
      <w:r w:rsidR="00CC24F8" w:rsidRPr="00B53F89">
        <w:t>u</w:t>
      </w:r>
      <w:r w:rsidR="002C2521" w:rsidRPr="00B53F89">
        <w:t xml:space="preserve">st. </w:t>
      </w:r>
      <w:r w:rsidR="00493EE3" w:rsidRPr="00B53F89">
        <w:t>Topics covered included approaches to spectrum sharing</w:t>
      </w:r>
      <w:r>
        <w:t xml:space="preserve"> and</w:t>
      </w:r>
      <w:r w:rsidR="00493EE3" w:rsidRPr="00B53F89">
        <w:t xml:space="preserve"> their applicability to the Australian environment</w:t>
      </w:r>
      <w:r>
        <w:t>,</w:t>
      </w:r>
      <w:r w:rsidR="00493EE3" w:rsidRPr="00B53F89">
        <w:t xml:space="preserve"> recent international developments and how and why similar arrang</w:t>
      </w:r>
      <w:r w:rsidR="00436AC2" w:rsidRPr="00B53F89">
        <w:t>e</w:t>
      </w:r>
      <w:r w:rsidR="00493EE3" w:rsidRPr="00B53F89">
        <w:t>ments might be adopted domestically</w:t>
      </w:r>
      <w:r>
        <w:t>,</w:t>
      </w:r>
      <w:r w:rsidRPr="00B53F89">
        <w:t xml:space="preserve"> </w:t>
      </w:r>
      <w:r w:rsidR="00493EE3" w:rsidRPr="00B53F89">
        <w:t xml:space="preserve">how sharing affects </w:t>
      </w:r>
      <w:r w:rsidR="00493EE3" w:rsidRPr="00B53F89">
        <w:lastRenderedPageBreak/>
        <w:t>incumbent users and how shared access can be managed by industry operators and third parties.</w:t>
      </w:r>
    </w:p>
    <w:p w14:paraId="5FA18D6E" w14:textId="6AE6223A" w:rsidR="00F14DED" w:rsidRPr="00B53F89" w:rsidRDefault="00F14DED" w:rsidP="00B92D2A">
      <w:pPr>
        <w:pStyle w:val="Heading3"/>
      </w:pPr>
      <w:bookmarkStart w:id="390" w:name="_Toc38987220"/>
      <w:r w:rsidRPr="00B53F89">
        <w:t xml:space="preserve">Activities planned for </w:t>
      </w:r>
      <w:r>
        <w:t>2020-21</w:t>
      </w:r>
      <w:bookmarkEnd w:id="390"/>
      <w:r w:rsidRPr="00B53F89">
        <w:t xml:space="preserve"> </w:t>
      </w:r>
    </w:p>
    <w:p w14:paraId="3B81C94C" w14:textId="2443B8E6" w:rsidR="000742FD" w:rsidRDefault="00FA6739" w:rsidP="007E1FBE">
      <w:r>
        <w:t>A follow</w:t>
      </w:r>
      <w:r w:rsidR="00DA2894">
        <w:t>-</w:t>
      </w:r>
      <w:r>
        <w:t xml:space="preserve">up paper setting out next steps </w:t>
      </w:r>
      <w:r w:rsidRPr="00CD444C">
        <w:t xml:space="preserve">will </w:t>
      </w:r>
      <w:r>
        <w:t>be released</w:t>
      </w:r>
      <w:r w:rsidR="00CD444C">
        <w:t xml:space="preserve"> in Q2</w:t>
      </w:r>
      <w:r w:rsidR="00DA2894">
        <w:t>–</w:t>
      </w:r>
      <w:r w:rsidR="00CD444C">
        <w:t>3 2020</w:t>
      </w:r>
      <w:r>
        <w:t>.</w:t>
      </w:r>
    </w:p>
    <w:p w14:paraId="3141686E" w14:textId="7C0883F8" w:rsidR="004924DC" w:rsidRPr="00B53F89" w:rsidRDefault="004924DC" w:rsidP="00B92D2A">
      <w:pPr>
        <w:pStyle w:val="Heading2"/>
      </w:pPr>
      <w:bookmarkStart w:id="391" w:name="_Toc36207443"/>
      <w:bookmarkStart w:id="392" w:name="_Toc38987221"/>
      <w:r>
        <w:t>Future band planning priorities</w:t>
      </w:r>
      <w:bookmarkEnd w:id="391"/>
      <w:bookmarkEnd w:id="392"/>
    </w:p>
    <w:p w14:paraId="7C46A2D0" w14:textId="71E99B0F" w:rsidR="00B0312B" w:rsidRDefault="004924DC" w:rsidP="007E1FBE">
      <w:pPr>
        <w:rPr>
          <w:rFonts w:cs="Arial"/>
        </w:rPr>
      </w:pPr>
      <w:r>
        <w:rPr>
          <w:rFonts w:cs="Arial"/>
        </w:rPr>
        <w:t>A majority of the band planning activities for 2020</w:t>
      </w:r>
      <w:r w:rsidR="00DA2894">
        <w:t>–</w:t>
      </w:r>
      <w:r>
        <w:rPr>
          <w:rFonts w:cs="Arial"/>
        </w:rPr>
        <w:t>21</w:t>
      </w:r>
      <w:r w:rsidDel="00DA2894">
        <w:rPr>
          <w:rFonts w:cs="Arial"/>
        </w:rPr>
        <w:t xml:space="preserve"> </w:t>
      </w:r>
      <w:r>
        <w:rPr>
          <w:rFonts w:cs="Arial"/>
        </w:rPr>
        <w:t xml:space="preserve">will be focused </w:t>
      </w:r>
      <w:r w:rsidR="00E1361A">
        <w:rPr>
          <w:rFonts w:cs="Arial"/>
        </w:rPr>
        <w:t xml:space="preserve">on </w:t>
      </w:r>
      <w:r w:rsidR="00DA2894">
        <w:rPr>
          <w:rFonts w:cs="Arial"/>
        </w:rPr>
        <w:t xml:space="preserve">prioritising, </w:t>
      </w:r>
      <w:r>
        <w:rPr>
          <w:rFonts w:cs="Arial"/>
        </w:rPr>
        <w:t xml:space="preserve">progressing and finalising </w:t>
      </w:r>
      <w:r w:rsidR="00E1361A">
        <w:rPr>
          <w:rFonts w:cs="Arial"/>
        </w:rPr>
        <w:t xml:space="preserve">the </w:t>
      </w:r>
      <w:r>
        <w:rPr>
          <w:rFonts w:cs="Arial"/>
        </w:rPr>
        <w:t xml:space="preserve">ongoing work for bands already identified in the </w:t>
      </w:r>
      <w:r w:rsidR="00DA2894">
        <w:rPr>
          <w:rFonts w:cs="Arial"/>
        </w:rPr>
        <w:t>i</w:t>
      </w:r>
      <w:r>
        <w:rPr>
          <w:rFonts w:cs="Arial"/>
        </w:rPr>
        <w:t xml:space="preserve">nitial </w:t>
      </w:r>
      <w:r w:rsidR="00DA2894">
        <w:rPr>
          <w:rFonts w:cs="Arial"/>
        </w:rPr>
        <w:t>i</w:t>
      </w:r>
      <w:r>
        <w:rPr>
          <w:rFonts w:cs="Arial"/>
        </w:rPr>
        <w:t xml:space="preserve">nvestigation, </w:t>
      </w:r>
      <w:r w:rsidR="00DA2894">
        <w:rPr>
          <w:rFonts w:cs="Arial"/>
        </w:rPr>
        <w:t>p</w:t>
      </w:r>
      <w:r>
        <w:rPr>
          <w:rFonts w:cs="Arial"/>
        </w:rPr>
        <w:t xml:space="preserve">reliminary </w:t>
      </w:r>
      <w:r w:rsidR="00DA2894">
        <w:rPr>
          <w:rFonts w:cs="Arial"/>
        </w:rPr>
        <w:t>r</w:t>
      </w:r>
      <w:r>
        <w:rPr>
          <w:rFonts w:cs="Arial"/>
        </w:rPr>
        <w:t xml:space="preserve">eplanning and </w:t>
      </w:r>
      <w:r w:rsidR="00DA2894">
        <w:rPr>
          <w:rFonts w:cs="Arial"/>
        </w:rPr>
        <w:t>r</w:t>
      </w:r>
      <w:r>
        <w:rPr>
          <w:rFonts w:cs="Arial"/>
        </w:rPr>
        <w:t xml:space="preserve">eplanning stages. </w:t>
      </w:r>
    </w:p>
    <w:p w14:paraId="22BE9BC9" w14:textId="69B38FC8" w:rsidR="00917AA5" w:rsidRDefault="004924DC" w:rsidP="007E1FBE">
      <w:pPr>
        <w:pStyle w:val="Paragraphbeforelist"/>
      </w:pPr>
      <w:r>
        <w:t>As discussed, t</w:t>
      </w:r>
      <w:r w:rsidRPr="00B53F89">
        <w:t>he ACMA</w:t>
      </w:r>
      <w:r>
        <w:t xml:space="preserve"> is aware there is interest </w:t>
      </w:r>
      <w:r w:rsidR="00917AA5">
        <w:t>in progressing work on the following bands:</w:t>
      </w:r>
    </w:p>
    <w:p w14:paraId="6E535F73" w14:textId="29CA8285" w:rsidR="00917AA5" w:rsidRPr="006C6463" w:rsidRDefault="00917AA5" w:rsidP="007E1FBE">
      <w:pPr>
        <w:pStyle w:val="ListBullet"/>
        <w:keepNext w:val="0"/>
        <w:keepLines w:val="0"/>
        <w:ind w:left="284" w:hanging="284"/>
        <w:rPr>
          <w:rFonts w:eastAsiaTheme="minorEastAsia"/>
        </w:rPr>
      </w:pPr>
      <w:r w:rsidRPr="006C6463">
        <w:rPr>
          <w:rFonts w:eastAsiaTheme="minorEastAsia"/>
        </w:rPr>
        <w:t>1.5 GHz: There is strong interest from the satellite industry in progressing consideration of the 1518</w:t>
      </w:r>
      <w:r w:rsidR="00DA2894">
        <w:t>–</w:t>
      </w:r>
      <w:r w:rsidR="00E679F2" w:rsidRPr="006C6463">
        <w:rPr>
          <w:rFonts w:eastAsiaTheme="minorEastAsia"/>
        </w:rPr>
        <w:t>1525 MHz and 1668</w:t>
      </w:r>
      <w:r w:rsidR="00DA2894">
        <w:t>–</w:t>
      </w:r>
      <w:r w:rsidR="00E679F2" w:rsidRPr="006C6463">
        <w:rPr>
          <w:rFonts w:eastAsiaTheme="minorEastAsia"/>
        </w:rPr>
        <w:t>1675 MHz</w:t>
      </w:r>
      <w:r w:rsidRPr="006C6463">
        <w:rPr>
          <w:rFonts w:eastAsiaTheme="minorEastAsia"/>
        </w:rPr>
        <w:t xml:space="preserve"> bands to support future satellite services. The adjacent 1427</w:t>
      </w:r>
      <w:r w:rsidR="00DA2894">
        <w:t>–</w:t>
      </w:r>
      <w:r w:rsidRPr="006C6463">
        <w:rPr>
          <w:rFonts w:eastAsiaTheme="minorEastAsia"/>
        </w:rPr>
        <w:t>1518 MHz band is also of interest for terrestrial 5G</w:t>
      </w:r>
      <w:r w:rsidR="00E679F2" w:rsidRPr="006C6463">
        <w:rPr>
          <w:rFonts w:eastAsiaTheme="minorEastAsia"/>
        </w:rPr>
        <w:t xml:space="preserve"> and private wireless broadband</w:t>
      </w:r>
      <w:r w:rsidRPr="006C6463">
        <w:rPr>
          <w:rFonts w:eastAsiaTheme="minorEastAsia"/>
        </w:rPr>
        <w:t xml:space="preserve"> use. However, submissions from wireless broadband operators to the </w:t>
      </w:r>
      <w:r w:rsidR="008B5168">
        <w:rPr>
          <w:rFonts w:eastAsiaTheme="minorEastAsia"/>
        </w:rPr>
        <w:t xml:space="preserve">draft </w:t>
      </w:r>
      <w:r w:rsidRPr="006C6463">
        <w:rPr>
          <w:rFonts w:eastAsiaTheme="minorEastAsia"/>
        </w:rPr>
        <w:t>2019</w:t>
      </w:r>
      <w:r w:rsidR="00DA2894">
        <w:t>–</w:t>
      </w:r>
      <w:r w:rsidRPr="006C6463">
        <w:rPr>
          <w:rFonts w:eastAsiaTheme="minorEastAsia"/>
        </w:rPr>
        <w:t>23 FYSO indicated that reviewing this band was not a high priority at that time.</w:t>
      </w:r>
      <w:r w:rsidR="0091633E" w:rsidRPr="006C6463">
        <w:rPr>
          <w:rFonts w:eastAsiaTheme="minorEastAsia"/>
        </w:rPr>
        <w:t xml:space="preserve"> </w:t>
      </w:r>
      <w:r w:rsidR="00DA2894">
        <w:rPr>
          <w:rFonts w:eastAsiaTheme="minorEastAsia"/>
        </w:rPr>
        <w:t>We</w:t>
      </w:r>
      <w:r w:rsidR="0091633E" w:rsidRPr="006C6463">
        <w:rPr>
          <w:rFonts w:eastAsiaTheme="minorEastAsia"/>
        </w:rPr>
        <w:t xml:space="preserve"> consider there is </w:t>
      </w:r>
      <w:r w:rsidRPr="006C6463">
        <w:rPr>
          <w:rFonts w:eastAsiaTheme="minorEastAsia"/>
        </w:rPr>
        <w:t xml:space="preserve">benefit in </w:t>
      </w:r>
      <w:r w:rsidR="0091633E" w:rsidRPr="006C6463">
        <w:rPr>
          <w:rFonts w:eastAsiaTheme="minorEastAsia"/>
        </w:rPr>
        <w:t>considering the 1427</w:t>
      </w:r>
      <w:r w:rsidR="00DA2894">
        <w:t>–</w:t>
      </w:r>
      <w:r w:rsidR="0091633E" w:rsidRPr="006C6463">
        <w:rPr>
          <w:rFonts w:eastAsiaTheme="minorEastAsia"/>
        </w:rPr>
        <w:t xml:space="preserve">1518 MHz, </w:t>
      </w:r>
      <w:r w:rsidR="000B4A57" w:rsidRPr="006C6463">
        <w:rPr>
          <w:rFonts w:eastAsiaTheme="minorEastAsia"/>
        </w:rPr>
        <w:t>1518</w:t>
      </w:r>
      <w:r w:rsidR="00DA2894">
        <w:t>–</w:t>
      </w:r>
      <w:r w:rsidR="000B4A57" w:rsidRPr="006C6463">
        <w:rPr>
          <w:rFonts w:eastAsiaTheme="minorEastAsia"/>
        </w:rPr>
        <w:t>1525 MHz and 1668</w:t>
      </w:r>
      <w:r w:rsidR="00DA2894">
        <w:t>–</w:t>
      </w:r>
      <w:r w:rsidR="000B4A57" w:rsidRPr="006C6463">
        <w:rPr>
          <w:rFonts w:eastAsiaTheme="minorEastAsia"/>
        </w:rPr>
        <w:t>1675 MHz bands</w:t>
      </w:r>
      <w:r w:rsidR="0091633E" w:rsidRPr="006C6463">
        <w:rPr>
          <w:rFonts w:eastAsiaTheme="minorEastAsia"/>
        </w:rPr>
        <w:t xml:space="preserve"> in one process. This is </w:t>
      </w:r>
      <w:r w:rsidR="00E679F2" w:rsidRPr="006C6463">
        <w:rPr>
          <w:rFonts w:eastAsiaTheme="minorEastAsia"/>
        </w:rPr>
        <w:t xml:space="preserve">due to </w:t>
      </w:r>
      <w:r w:rsidR="008B5168">
        <w:rPr>
          <w:rFonts w:eastAsiaTheme="minorEastAsia"/>
        </w:rPr>
        <w:t xml:space="preserve">a </w:t>
      </w:r>
      <w:r w:rsidR="00E679F2" w:rsidRPr="006C6463">
        <w:rPr>
          <w:rFonts w:eastAsiaTheme="minorEastAsia"/>
        </w:rPr>
        <w:t xml:space="preserve">potential coexistence issue at the </w:t>
      </w:r>
      <w:r w:rsidR="0091633E" w:rsidRPr="006C6463">
        <w:rPr>
          <w:rFonts w:eastAsiaTheme="minorEastAsia"/>
        </w:rPr>
        <w:t>common frequency boundary at 1518</w:t>
      </w:r>
      <w:r w:rsidR="00E679F2" w:rsidRPr="006C6463">
        <w:rPr>
          <w:rFonts w:eastAsiaTheme="minorEastAsia"/>
        </w:rPr>
        <w:t xml:space="preserve"> MHz. Consequently</w:t>
      </w:r>
      <w:r w:rsidR="00B0312B" w:rsidRPr="006C6463">
        <w:rPr>
          <w:rFonts w:eastAsiaTheme="minorEastAsia"/>
        </w:rPr>
        <w:t>,</w:t>
      </w:r>
      <w:r w:rsidR="0091633E" w:rsidRPr="006C6463">
        <w:rPr>
          <w:rFonts w:eastAsiaTheme="minorEastAsia"/>
        </w:rPr>
        <w:t xml:space="preserve"> decisions made for one band could impact decisions made for the other. </w:t>
      </w:r>
    </w:p>
    <w:p w14:paraId="0D8EC4D6" w14:textId="2A5FB428" w:rsidR="00917AA5" w:rsidRPr="00917AA5" w:rsidRDefault="00917AA5" w:rsidP="00B92D2A">
      <w:pPr>
        <w:pStyle w:val="Bulletlevel1last"/>
      </w:pPr>
      <w:r w:rsidRPr="006C6463">
        <w:rPr>
          <w:rFonts w:eastAsiaTheme="minorEastAsia"/>
        </w:rPr>
        <w:t>40 GHz and 47 GHz: These bands are of significant interest for both terrestrial 5G and satellite broadband services. They were recently identified for IMT at WRC-19 and the satellite industry have indicated an interest in using the bands for high-throughput satellite services. For the satellite industry</w:t>
      </w:r>
      <w:r w:rsidR="008B5168">
        <w:rPr>
          <w:rFonts w:eastAsiaTheme="minorEastAsia"/>
        </w:rPr>
        <w:t>,</w:t>
      </w:r>
      <w:r w:rsidRPr="006C6463">
        <w:rPr>
          <w:rFonts w:eastAsiaTheme="minorEastAsia"/>
        </w:rPr>
        <w:t xml:space="preserve"> the bands are linked </w:t>
      </w:r>
      <w:r w:rsidR="008B5168">
        <w:rPr>
          <w:rFonts w:eastAsiaTheme="minorEastAsia"/>
        </w:rPr>
        <w:t>because</w:t>
      </w:r>
      <w:r w:rsidRPr="006C6463">
        <w:rPr>
          <w:rFonts w:eastAsiaTheme="minorEastAsia"/>
        </w:rPr>
        <w:t xml:space="preserve"> the 40 GHz band is used for space-to-</w:t>
      </w:r>
      <w:r w:rsidR="00F61895">
        <w:rPr>
          <w:rFonts w:eastAsiaTheme="minorEastAsia"/>
        </w:rPr>
        <w:t>e</w:t>
      </w:r>
      <w:r w:rsidRPr="006C6463">
        <w:rPr>
          <w:rFonts w:eastAsiaTheme="minorEastAsia"/>
        </w:rPr>
        <w:t>arth link and the 47 GHz</w:t>
      </w:r>
      <w:r w:rsidR="00F61895">
        <w:rPr>
          <w:rFonts w:eastAsiaTheme="minorEastAsia"/>
        </w:rPr>
        <w:t>,</w:t>
      </w:r>
      <w:r w:rsidRPr="006C6463">
        <w:rPr>
          <w:rFonts w:eastAsiaTheme="minorEastAsia"/>
        </w:rPr>
        <w:t xml:space="preserve"> along with 48.2</w:t>
      </w:r>
      <w:r w:rsidR="00F61895">
        <w:t>–</w:t>
      </w:r>
      <w:r w:rsidRPr="006C6463">
        <w:rPr>
          <w:rFonts w:eastAsiaTheme="minorEastAsia"/>
        </w:rPr>
        <w:t>50.2 GHz</w:t>
      </w:r>
      <w:r w:rsidR="00F61895">
        <w:rPr>
          <w:rFonts w:eastAsiaTheme="minorEastAsia"/>
        </w:rPr>
        <w:t xml:space="preserve"> and </w:t>
      </w:r>
      <w:r w:rsidRPr="006C6463">
        <w:rPr>
          <w:rFonts w:eastAsiaTheme="minorEastAsia"/>
        </w:rPr>
        <w:t>50.4</w:t>
      </w:r>
      <w:r w:rsidR="00F61895">
        <w:t>–</w:t>
      </w:r>
      <w:r w:rsidRPr="006C6463">
        <w:rPr>
          <w:rFonts w:eastAsiaTheme="minorEastAsia"/>
        </w:rPr>
        <w:t>52.</w:t>
      </w:r>
      <w:r w:rsidR="00E06BE1" w:rsidRPr="006C6463">
        <w:rPr>
          <w:rFonts w:eastAsiaTheme="minorEastAsia"/>
        </w:rPr>
        <w:t>4</w:t>
      </w:r>
      <w:r w:rsidRPr="006C6463">
        <w:rPr>
          <w:rFonts w:eastAsiaTheme="minorEastAsia"/>
        </w:rPr>
        <w:t xml:space="preserve"> GHz bands</w:t>
      </w:r>
      <w:r w:rsidR="00F61895">
        <w:rPr>
          <w:rFonts w:eastAsiaTheme="minorEastAsia"/>
        </w:rPr>
        <w:t>,</w:t>
      </w:r>
      <w:r w:rsidRPr="006C6463">
        <w:rPr>
          <w:rFonts w:eastAsiaTheme="minorEastAsia"/>
        </w:rPr>
        <w:t xml:space="preserve"> are used for the associated </w:t>
      </w:r>
      <w:r w:rsidR="00F61895">
        <w:rPr>
          <w:rFonts w:eastAsiaTheme="minorEastAsia"/>
        </w:rPr>
        <w:t>e</w:t>
      </w:r>
      <w:r w:rsidRPr="006C6463">
        <w:rPr>
          <w:rFonts w:eastAsiaTheme="minorEastAsia"/>
        </w:rPr>
        <w:t xml:space="preserve">arth-to-space link. Consequently, there may be benefit in </w:t>
      </w:r>
      <w:r w:rsidR="0091633E" w:rsidRPr="006C6463">
        <w:rPr>
          <w:rFonts w:eastAsiaTheme="minorEastAsia"/>
        </w:rPr>
        <w:t>considering</w:t>
      </w:r>
      <w:r w:rsidRPr="006C6463">
        <w:rPr>
          <w:rFonts w:eastAsiaTheme="minorEastAsia"/>
        </w:rPr>
        <w:t xml:space="preserve"> the</w:t>
      </w:r>
      <w:r w:rsidR="00F61895">
        <w:rPr>
          <w:rFonts w:eastAsiaTheme="minorEastAsia"/>
        </w:rPr>
        <w:t>se</w:t>
      </w:r>
      <w:r w:rsidRPr="006C6463">
        <w:rPr>
          <w:rFonts w:eastAsiaTheme="minorEastAsia"/>
        </w:rPr>
        <w:t xml:space="preserve"> </w:t>
      </w:r>
      <w:r w:rsidR="00E06BE1" w:rsidRPr="006C6463">
        <w:rPr>
          <w:rFonts w:eastAsiaTheme="minorEastAsia"/>
        </w:rPr>
        <w:t xml:space="preserve">bands </w:t>
      </w:r>
      <w:r w:rsidRPr="006C6463">
        <w:rPr>
          <w:rFonts w:eastAsiaTheme="minorEastAsia"/>
        </w:rPr>
        <w:t xml:space="preserve">in one process. </w:t>
      </w:r>
      <w:r w:rsidR="00E06BE1" w:rsidRPr="006C6463">
        <w:rPr>
          <w:rFonts w:eastAsiaTheme="minorEastAsia"/>
        </w:rPr>
        <w:t>Due to proximity</w:t>
      </w:r>
      <w:r w:rsidR="00614D6F" w:rsidRPr="006C6463">
        <w:rPr>
          <w:rFonts w:eastAsiaTheme="minorEastAsia"/>
        </w:rPr>
        <w:t>,</w:t>
      </w:r>
      <w:r w:rsidR="00E06BE1" w:rsidRPr="006C6463">
        <w:rPr>
          <w:rFonts w:eastAsiaTheme="minorEastAsia"/>
        </w:rPr>
        <w:t xml:space="preserve"> </w:t>
      </w:r>
      <w:r w:rsidR="000B4A57" w:rsidRPr="006C6463">
        <w:rPr>
          <w:rFonts w:eastAsiaTheme="minorEastAsia"/>
        </w:rPr>
        <w:t xml:space="preserve">consideration </w:t>
      </w:r>
      <w:r w:rsidR="00E06BE1" w:rsidRPr="006C6463">
        <w:rPr>
          <w:rFonts w:eastAsiaTheme="minorEastAsia"/>
        </w:rPr>
        <w:t xml:space="preserve">could also </w:t>
      </w:r>
      <w:r w:rsidR="000B4A57" w:rsidRPr="006C6463">
        <w:rPr>
          <w:rFonts w:eastAsiaTheme="minorEastAsia"/>
        </w:rPr>
        <w:t>be given to</w:t>
      </w:r>
      <w:r w:rsidR="00E06BE1" w:rsidRPr="006C6463">
        <w:rPr>
          <w:rFonts w:eastAsiaTheme="minorEastAsia"/>
        </w:rPr>
        <w:t xml:space="preserve"> the </w:t>
      </w:r>
      <w:r w:rsidR="00614D6F" w:rsidRPr="006C6463">
        <w:rPr>
          <w:rFonts w:eastAsiaTheme="minorEastAsia"/>
        </w:rPr>
        <w:t>46</w:t>
      </w:r>
      <w:r w:rsidR="00E06BE1" w:rsidRPr="006C6463">
        <w:rPr>
          <w:rFonts w:eastAsiaTheme="minorEastAsia"/>
        </w:rPr>
        <w:t xml:space="preserve"> GHz band.</w:t>
      </w:r>
    </w:p>
    <w:p w14:paraId="5C18A437" w14:textId="30A67E30" w:rsidR="004924DC" w:rsidRPr="00B53F89" w:rsidRDefault="004924DC" w:rsidP="00B92D2A">
      <w:pPr>
        <w:pStyle w:val="Heading3"/>
      </w:pPr>
      <w:bookmarkStart w:id="393" w:name="_Toc38987222"/>
      <w:r w:rsidRPr="00B53F89">
        <w:t xml:space="preserve">Activities planned for </w:t>
      </w:r>
      <w:r w:rsidR="00F14DED">
        <w:t>2020</w:t>
      </w:r>
      <w:r w:rsidR="00F61895">
        <w:t>–</w:t>
      </w:r>
      <w:r w:rsidR="00F14DED">
        <w:t>21</w:t>
      </w:r>
      <w:bookmarkEnd w:id="393"/>
      <w:r w:rsidRPr="00B53F89">
        <w:t xml:space="preserve"> </w:t>
      </w:r>
    </w:p>
    <w:p w14:paraId="5AEB5A64" w14:textId="3A0851D9" w:rsidR="00200768" w:rsidRPr="00B53F89" w:rsidRDefault="00F61895" w:rsidP="004924DC">
      <w:r>
        <w:t>We are</w:t>
      </w:r>
      <w:r w:rsidR="008D04BA" w:rsidRPr="008D04BA">
        <w:t xml:space="preserve"> seeking industry feedback on what future band or bands </w:t>
      </w:r>
      <w:r>
        <w:t>we</w:t>
      </w:r>
      <w:r w:rsidRPr="008D04BA">
        <w:t xml:space="preserve"> </w:t>
      </w:r>
      <w:r w:rsidR="008D04BA" w:rsidRPr="008D04BA">
        <w:t>should prioritise reviewing. In particular, should the ACMA prioritise reviewing the 1.</w:t>
      </w:r>
      <w:r w:rsidR="008D04BA" w:rsidRPr="008D04BA" w:rsidDel="000220F0">
        <w:t>5</w:t>
      </w:r>
      <w:r w:rsidR="000220F0">
        <w:t> </w:t>
      </w:r>
      <w:r w:rsidR="008D04BA" w:rsidRPr="008D04BA">
        <w:t>GHz band or the 40 GHz, 47 GHz and 48.2-52.4 GHz bands. Are there any other bands that should be prioritised over these ones</w:t>
      </w:r>
      <w:r w:rsidR="008D04BA" w:rsidRPr="000220F0">
        <w:t xml:space="preserve">? </w:t>
      </w:r>
    </w:p>
    <w:p w14:paraId="52D28BA5" w14:textId="126B149E" w:rsidR="003F4B80" w:rsidRPr="00B53F89" w:rsidRDefault="003C4953" w:rsidP="00775B4A">
      <w:pPr>
        <w:pStyle w:val="Heading1"/>
      </w:pPr>
      <w:bookmarkStart w:id="394" w:name="_The_forward_allocation"/>
      <w:bookmarkStart w:id="395" w:name="_Toc510104961"/>
      <w:bookmarkStart w:id="396" w:name="_Toc510105758"/>
      <w:bookmarkStart w:id="397" w:name="_Toc510795090"/>
      <w:bookmarkStart w:id="398" w:name="_Toc511716291"/>
      <w:bookmarkStart w:id="399" w:name="_Toc511719102"/>
      <w:bookmarkStart w:id="400" w:name="_Toc522794095"/>
      <w:bookmarkStart w:id="401" w:name="_Toc31892827"/>
      <w:bookmarkStart w:id="402" w:name="_Toc36207444"/>
      <w:bookmarkStart w:id="403" w:name="_Toc38987223"/>
      <w:bookmarkEnd w:id="394"/>
      <w:r>
        <w:lastRenderedPageBreak/>
        <w:t>F</w:t>
      </w:r>
      <w:r w:rsidR="003F4B80" w:rsidRPr="00B53F89">
        <w:t>orward allocation work plan</w:t>
      </w:r>
      <w:bookmarkEnd w:id="395"/>
      <w:bookmarkEnd w:id="396"/>
      <w:bookmarkEnd w:id="397"/>
      <w:bookmarkEnd w:id="398"/>
      <w:bookmarkEnd w:id="399"/>
      <w:bookmarkEnd w:id="400"/>
      <w:bookmarkEnd w:id="401"/>
      <w:bookmarkEnd w:id="402"/>
      <w:bookmarkEnd w:id="403"/>
    </w:p>
    <w:p w14:paraId="72441613" w14:textId="1CC09874" w:rsidR="003F4B80" w:rsidRPr="00B53F89" w:rsidRDefault="003F4B80">
      <w:pPr>
        <w:pStyle w:val="Heading2"/>
        <w:rPr>
          <w:rFonts w:eastAsiaTheme="majorEastAsia"/>
        </w:rPr>
      </w:pPr>
      <w:bookmarkStart w:id="404" w:name="_Toc510104962"/>
      <w:bookmarkStart w:id="405" w:name="_Toc510105759"/>
      <w:bookmarkStart w:id="406" w:name="_Toc510795091"/>
      <w:bookmarkStart w:id="407" w:name="_Toc511716292"/>
      <w:bookmarkStart w:id="408" w:name="_Toc511719103"/>
      <w:bookmarkStart w:id="409" w:name="_Toc522794096"/>
      <w:bookmarkStart w:id="410" w:name="_Toc31892828"/>
      <w:bookmarkStart w:id="411" w:name="_Toc38987224"/>
      <w:bookmarkStart w:id="412" w:name="_Toc36207445"/>
      <w:r w:rsidRPr="00B53F89">
        <w:rPr>
          <w:rFonts w:eastAsiaTheme="majorEastAsia"/>
        </w:rPr>
        <w:t xml:space="preserve">Purpose of the </w:t>
      </w:r>
      <w:r w:rsidR="00327EA2" w:rsidRPr="00B53F89">
        <w:rPr>
          <w:rFonts w:eastAsiaTheme="majorEastAsia"/>
        </w:rPr>
        <w:t xml:space="preserve">forward </w:t>
      </w:r>
      <w:r w:rsidRPr="00B53F89">
        <w:rPr>
          <w:rFonts w:eastAsiaTheme="majorEastAsia"/>
        </w:rPr>
        <w:t xml:space="preserve">allocation </w:t>
      </w:r>
      <w:bookmarkEnd w:id="404"/>
      <w:bookmarkEnd w:id="405"/>
      <w:bookmarkEnd w:id="406"/>
      <w:r w:rsidR="00BA6010" w:rsidRPr="00B53F89">
        <w:rPr>
          <w:rFonts w:eastAsiaTheme="majorEastAsia"/>
        </w:rPr>
        <w:t>work plan</w:t>
      </w:r>
      <w:bookmarkEnd w:id="407"/>
      <w:bookmarkEnd w:id="408"/>
      <w:bookmarkEnd w:id="409"/>
      <w:bookmarkEnd w:id="410"/>
      <w:bookmarkEnd w:id="411"/>
      <w:r w:rsidRPr="00B53F89">
        <w:rPr>
          <w:rFonts w:eastAsiaTheme="majorEastAsia"/>
        </w:rPr>
        <w:t xml:space="preserve"> </w:t>
      </w:r>
      <w:bookmarkEnd w:id="412"/>
    </w:p>
    <w:p w14:paraId="390FCEA3" w14:textId="6CC2A453" w:rsidR="003F4B80" w:rsidRPr="00B53F89" w:rsidRDefault="003F4B80" w:rsidP="00513FDE">
      <w:pPr>
        <w:pStyle w:val="Paragraphbeforelist"/>
      </w:pPr>
      <w:r w:rsidRPr="00B53F89">
        <w:t xml:space="preserve">Timely access to spectrum is of increasing importance to an innovative and dynamic </w:t>
      </w:r>
      <w:r w:rsidR="003D4996" w:rsidRPr="00B53F89">
        <w:t>economy</w:t>
      </w:r>
      <w:r w:rsidRPr="00B53F89">
        <w:t>. For incumbent and prospective spectrum users, th</w:t>
      </w:r>
      <w:r w:rsidR="00D433F2" w:rsidRPr="00B53F89">
        <w:t>is forward</w:t>
      </w:r>
      <w:r w:rsidRPr="00B53F89">
        <w:t xml:space="preserve"> allocation work </w:t>
      </w:r>
      <w:r w:rsidR="0088477E" w:rsidRPr="00B53F89">
        <w:t xml:space="preserve">plan </w:t>
      </w:r>
      <w:r w:rsidRPr="00B53F89">
        <w:t>provide</w:t>
      </w:r>
      <w:r w:rsidR="00280702" w:rsidRPr="00B53F89">
        <w:t>s</w:t>
      </w:r>
      <w:r w:rsidRPr="00B53F89">
        <w:t xml:space="preserve"> information for stakeholders </w:t>
      </w:r>
      <w:r w:rsidR="0072754E" w:rsidRPr="00B53F89">
        <w:t xml:space="preserve">about </w:t>
      </w:r>
      <w:r w:rsidRPr="00B53F89">
        <w:t>the planning status and possible timing</w:t>
      </w:r>
      <w:r w:rsidR="003A1815" w:rsidRPr="00B53F89">
        <w:t xml:space="preserve"> and sequencing</w:t>
      </w:r>
      <w:r w:rsidRPr="00B53F89">
        <w:t xml:space="preserve"> of </w:t>
      </w:r>
      <w:r w:rsidR="00682BE8" w:rsidRPr="00B53F89">
        <w:t>major spectrum allocations</w:t>
      </w:r>
      <w:r w:rsidR="00280702" w:rsidRPr="00B53F89">
        <w:t>,</w:t>
      </w:r>
      <w:r w:rsidRPr="00B53F89">
        <w:t xml:space="preserve"> to better support:</w:t>
      </w:r>
    </w:p>
    <w:p w14:paraId="2E77273F" w14:textId="77777777" w:rsidR="003F4B80" w:rsidRPr="00B53F89" w:rsidRDefault="003F4B80" w:rsidP="0054588C">
      <w:pPr>
        <w:pStyle w:val="ListBullet"/>
        <w:keepNext w:val="0"/>
        <w:keepLines w:val="0"/>
        <w:ind w:left="284" w:hanging="284"/>
      </w:pPr>
      <w:r w:rsidRPr="00B53F89">
        <w:rPr>
          <w:rFonts w:eastAsiaTheme="minorEastAsia"/>
        </w:rPr>
        <w:t xml:space="preserve">strategic network planning by </w:t>
      </w:r>
      <w:r w:rsidRPr="00F0187E">
        <w:rPr>
          <w:rFonts w:eastAsiaTheme="minorEastAsia"/>
        </w:rPr>
        <w:t>spectrum</w:t>
      </w:r>
      <w:r w:rsidRPr="00B53F89">
        <w:rPr>
          <w:rFonts w:eastAsiaTheme="minorEastAsia"/>
        </w:rPr>
        <w:t xml:space="preserve"> users </w:t>
      </w:r>
    </w:p>
    <w:p w14:paraId="2C29622C" w14:textId="77777777" w:rsidR="003F4B80" w:rsidRPr="00B53F89" w:rsidRDefault="003F4B80" w:rsidP="0054588C">
      <w:pPr>
        <w:pStyle w:val="ListBullet"/>
        <w:keepNext w:val="0"/>
        <w:keepLines w:val="0"/>
        <w:ind w:left="284" w:hanging="284"/>
      </w:pPr>
      <w:r w:rsidRPr="00B53F89">
        <w:rPr>
          <w:rFonts w:eastAsiaTheme="minorEastAsia"/>
        </w:rPr>
        <w:t>technology deployment planning</w:t>
      </w:r>
    </w:p>
    <w:p w14:paraId="4AA7F3FF" w14:textId="03A1A43C" w:rsidR="003F4B80" w:rsidRPr="00B53F89" w:rsidRDefault="003F4B80" w:rsidP="00A10BF6">
      <w:pPr>
        <w:pStyle w:val="ListBulletLast"/>
        <w:ind w:left="284" w:hanging="284"/>
        <w:rPr>
          <w:rFonts w:eastAsiaTheme="minorEastAsia"/>
        </w:rPr>
      </w:pPr>
      <w:r w:rsidRPr="00B53F89">
        <w:rPr>
          <w:rFonts w:eastAsiaTheme="minorEastAsia"/>
        </w:rPr>
        <w:t>capital-raising.</w:t>
      </w:r>
    </w:p>
    <w:p w14:paraId="28485874" w14:textId="6B0BA4F6" w:rsidR="003F4B80" w:rsidRPr="00B53F89" w:rsidRDefault="001D0A2E">
      <w:r w:rsidRPr="00B53F89">
        <w:t>Under current law, s</w:t>
      </w:r>
      <w:r w:rsidR="003F4B80" w:rsidRPr="00B53F89">
        <w:t>pecific allocation</w:t>
      </w:r>
      <w:r w:rsidR="00D23F2E" w:rsidRPr="00B53F89">
        <w:t xml:space="preserve"> processe</w:t>
      </w:r>
      <w:r w:rsidR="003F4B80" w:rsidRPr="00B53F89">
        <w:t>s depend on ACMA and</w:t>
      </w:r>
      <w:r w:rsidR="00C61075" w:rsidRPr="00B53F89">
        <w:t xml:space="preserve">, in some cases, </w:t>
      </w:r>
      <w:r w:rsidR="00AA6D3C" w:rsidRPr="00B53F89">
        <w:t>M</w:t>
      </w:r>
      <w:r w:rsidR="003F4B80" w:rsidRPr="00B53F89">
        <w:t xml:space="preserve">inisterial decisions made during the planning </w:t>
      </w:r>
      <w:r w:rsidR="00D23EA9" w:rsidRPr="00B53F89">
        <w:t>and allocation stages</w:t>
      </w:r>
      <w:r w:rsidR="003F4B80" w:rsidRPr="00B53F89">
        <w:t>, and reflect other relevant government policy considerations about planning priorities. Information from incumbent and prospective spectrum users about the demand for access to specific bands and the timing of any possible allocation will also provide important input to allocation decisions.</w:t>
      </w:r>
    </w:p>
    <w:p w14:paraId="7A76134F" w14:textId="512ACCA1" w:rsidR="003F4B80" w:rsidRPr="00B53F89" w:rsidRDefault="003F4B80">
      <w:r w:rsidRPr="00B53F89">
        <w:t>There is no certainty that any band will move to</w:t>
      </w:r>
      <w:r w:rsidR="001D0A2E" w:rsidRPr="00B53F89">
        <w:t xml:space="preserve"> changed</w:t>
      </w:r>
      <w:r w:rsidRPr="00B53F89">
        <w:t xml:space="preserve"> allocation </w:t>
      </w:r>
      <w:r w:rsidR="001D0A2E" w:rsidRPr="00B53F89">
        <w:t xml:space="preserve">arrangements </w:t>
      </w:r>
      <w:r w:rsidRPr="00B53F89">
        <w:t xml:space="preserve">until </w:t>
      </w:r>
      <w:r w:rsidR="00A96CF8" w:rsidRPr="00B53F89">
        <w:t xml:space="preserve">the relevant </w:t>
      </w:r>
      <w:r w:rsidRPr="00B53F89">
        <w:t xml:space="preserve">formal decision has been made. </w:t>
      </w:r>
      <w:r w:rsidR="00F61895">
        <w:t>We</w:t>
      </w:r>
      <w:r w:rsidRPr="00B53F89">
        <w:t xml:space="preserve"> emphasise that the information presented here does not in any way pre-empt such formal decisions.</w:t>
      </w:r>
      <w:r w:rsidR="00447762" w:rsidRPr="00B53F89">
        <w:t xml:space="preserve"> </w:t>
      </w:r>
    </w:p>
    <w:p w14:paraId="1ECFAE3E" w14:textId="7A70367B" w:rsidR="003F4B80" w:rsidRPr="00B53F89" w:rsidRDefault="003F4B80">
      <w:r w:rsidRPr="00B53F89">
        <w:t>Even once a formal decision has been made to move towards a</w:t>
      </w:r>
      <w:r w:rsidR="001D0A2E" w:rsidRPr="00B53F89">
        <w:t xml:space="preserve"> changed</w:t>
      </w:r>
      <w:r w:rsidRPr="00B53F89">
        <w:t xml:space="preserve"> allocation</w:t>
      </w:r>
      <w:r w:rsidR="001D0A2E" w:rsidRPr="00B53F89">
        <w:t xml:space="preserve"> arrangement</w:t>
      </w:r>
      <w:r w:rsidRPr="00B53F89">
        <w:t xml:space="preserve">, the specific design of each </w:t>
      </w:r>
      <w:r w:rsidR="001D0A2E" w:rsidRPr="00B53F89">
        <w:t xml:space="preserve">arrangement is dependent on a range of planning </w:t>
      </w:r>
      <w:r w:rsidR="00352C46" w:rsidRPr="00B53F89">
        <w:t xml:space="preserve">and allocation </w:t>
      </w:r>
      <w:r w:rsidR="001D0A2E" w:rsidRPr="00B53F89">
        <w:t xml:space="preserve">decisions yet to be made. These considerations include, </w:t>
      </w:r>
      <w:r w:rsidRPr="00B53F89">
        <w:t>for example, allocation timing, methodology</w:t>
      </w:r>
      <w:r w:rsidR="001D0A2E" w:rsidRPr="00B53F89">
        <w:t xml:space="preserve"> (such as whether it involves an auction</w:t>
      </w:r>
      <w:r w:rsidR="00C33CDD" w:rsidRPr="00B53F89">
        <w:t>,</w:t>
      </w:r>
      <w:r w:rsidR="001D0A2E" w:rsidRPr="00B53F89">
        <w:t xml:space="preserve"> other price-based allocation or conversion of existing apparatus licences to spectrum licences, and whether it involves the issue of apparatus or spectrum licences, or a combination)</w:t>
      </w:r>
      <w:r w:rsidRPr="00B53F89">
        <w:t xml:space="preserve"> and lot configuration. </w:t>
      </w:r>
      <w:r w:rsidR="00F61895">
        <w:t>We</w:t>
      </w:r>
      <w:r w:rsidRPr="00B53F89">
        <w:t xml:space="preserve"> </w:t>
      </w:r>
      <w:r w:rsidR="003A1815" w:rsidRPr="00B53F89">
        <w:t>will</w:t>
      </w:r>
      <w:r w:rsidRPr="00B53F89">
        <w:t xml:space="preserve"> take account of feedback from industry about likely demand and their priorities for access to particular spectrum bands. </w:t>
      </w:r>
    </w:p>
    <w:p w14:paraId="6A9885C4" w14:textId="760434A6" w:rsidR="00F61895" w:rsidRDefault="00F61895" w:rsidP="00513FDE">
      <w:pPr>
        <w:pStyle w:val="Paragraphbeforelist"/>
      </w:pPr>
      <w:r>
        <w:t>We have</w:t>
      </w:r>
      <w:r w:rsidR="00C61075" w:rsidRPr="00B53F89">
        <w:t xml:space="preserve"> completed a number of allocation and re-issue processes in recent years, providing significant predictability regarding spectrum availability in a number of key bands including</w:t>
      </w:r>
      <w:r>
        <w:t>:</w:t>
      </w:r>
      <w:r w:rsidR="00C61075" w:rsidRPr="00B53F89">
        <w:t xml:space="preserve"> </w:t>
      </w:r>
    </w:p>
    <w:p w14:paraId="696A74EE" w14:textId="1A64CC74" w:rsidR="00F61895" w:rsidRDefault="00C61075" w:rsidP="00513FDE">
      <w:pPr>
        <w:pStyle w:val="Bulletlevel1"/>
      </w:pPr>
      <w:r w:rsidRPr="00B53F89">
        <w:t>700 MHz</w:t>
      </w:r>
      <w:r w:rsidR="009655EF" w:rsidRPr="00B53F89">
        <w:t xml:space="preserve"> (7</w:t>
      </w:r>
      <w:r w:rsidR="00015E27" w:rsidRPr="00B53F89">
        <w:t>0</w:t>
      </w:r>
      <w:r w:rsidR="009655EF" w:rsidRPr="00B53F89">
        <w:t>3</w:t>
      </w:r>
      <w:r w:rsidR="003208A0" w:rsidRPr="00B53F89">
        <w:rPr>
          <w:rFonts w:hint="eastAsia"/>
        </w:rPr>
        <w:t>–</w:t>
      </w:r>
      <w:r w:rsidR="009655EF" w:rsidRPr="00B53F89">
        <w:t>7</w:t>
      </w:r>
      <w:r w:rsidR="00015E27" w:rsidRPr="00B53F89">
        <w:t>4</w:t>
      </w:r>
      <w:r w:rsidR="009655EF" w:rsidRPr="00B53F89">
        <w:t>8 MHz and 7</w:t>
      </w:r>
      <w:r w:rsidR="00015E27" w:rsidRPr="00B53F89">
        <w:t>5</w:t>
      </w:r>
      <w:r w:rsidR="009655EF" w:rsidRPr="00B53F89">
        <w:t>8</w:t>
      </w:r>
      <w:r w:rsidR="003208A0" w:rsidRPr="00B53F89">
        <w:rPr>
          <w:rFonts w:hint="eastAsia"/>
        </w:rPr>
        <w:t>–</w:t>
      </w:r>
      <w:r w:rsidR="00015E27" w:rsidRPr="00B53F89">
        <w:t>803</w:t>
      </w:r>
      <w:r w:rsidR="009655EF" w:rsidRPr="00B53F89">
        <w:t xml:space="preserve"> MHz)</w:t>
      </w:r>
      <w:r w:rsidRPr="00B53F89">
        <w:t xml:space="preserve"> </w:t>
      </w:r>
    </w:p>
    <w:p w14:paraId="462144CE" w14:textId="442F893A" w:rsidR="00F61895" w:rsidRDefault="00C61075" w:rsidP="00513FDE">
      <w:pPr>
        <w:pStyle w:val="Bulletlevel1"/>
      </w:pPr>
      <w:r w:rsidRPr="00B53F89">
        <w:t>1800 MHz</w:t>
      </w:r>
      <w:r w:rsidR="009655EF" w:rsidRPr="00B53F89">
        <w:t xml:space="preserve"> (1725</w:t>
      </w:r>
      <w:r w:rsidR="009655EF" w:rsidRPr="00B53F89">
        <w:rPr>
          <w:rFonts w:hint="eastAsia"/>
        </w:rPr>
        <w:t>–</w:t>
      </w:r>
      <w:r w:rsidR="009655EF" w:rsidRPr="00B53F89">
        <w:t>1785 MHz and 1820</w:t>
      </w:r>
      <w:r w:rsidR="009655EF" w:rsidRPr="00B53F89">
        <w:rPr>
          <w:rFonts w:hint="eastAsia"/>
        </w:rPr>
        <w:t>–</w:t>
      </w:r>
      <w:r w:rsidR="009655EF" w:rsidRPr="00B53F89">
        <w:t>1880 MHz</w:t>
      </w:r>
      <w:bookmarkStart w:id="413" w:name="_Hlk16255418"/>
      <w:r w:rsidR="00F61895" w:rsidRPr="00B53F89">
        <w:t>)</w:t>
      </w:r>
    </w:p>
    <w:p w14:paraId="2EFB84D9" w14:textId="7ACE8825" w:rsidR="00F61895" w:rsidRDefault="00C61075" w:rsidP="00513FDE">
      <w:pPr>
        <w:pStyle w:val="Bulletlevel1"/>
      </w:pPr>
      <w:r w:rsidRPr="00B53F89">
        <w:t>2</w:t>
      </w:r>
      <w:r w:rsidR="00FD7182" w:rsidRPr="00B53F89">
        <w:t>.1</w:t>
      </w:r>
      <w:r w:rsidRPr="00B53F89">
        <w:t xml:space="preserve"> GHz</w:t>
      </w:r>
      <w:r w:rsidR="00FD7182" w:rsidRPr="00B53F89">
        <w:t xml:space="preserve"> apparatus PTS</w:t>
      </w:r>
      <w:r w:rsidR="003D632C" w:rsidRPr="00B53F89">
        <w:t xml:space="preserve"> (</w:t>
      </w:r>
      <w:r w:rsidR="00633E1E" w:rsidRPr="00B53F89">
        <w:t>1920</w:t>
      </w:r>
      <w:r w:rsidR="00243870" w:rsidRPr="00B53F89">
        <w:t>–</w:t>
      </w:r>
      <w:r w:rsidR="00633E1E" w:rsidRPr="00B53F89">
        <w:t>1980 and 2110</w:t>
      </w:r>
      <w:r w:rsidR="00243870" w:rsidRPr="00B53F89">
        <w:t>–</w:t>
      </w:r>
      <w:r w:rsidR="00633E1E" w:rsidRPr="00B53F89">
        <w:t>2170 MHz</w:t>
      </w:r>
      <w:bookmarkEnd w:id="413"/>
      <w:r w:rsidR="00F61895" w:rsidRPr="00B53F89">
        <w:t>)</w:t>
      </w:r>
    </w:p>
    <w:p w14:paraId="64F173C2" w14:textId="683B4E77" w:rsidR="00F61895" w:rsidRDefault="00C61075" w:rsidP="00513FDE">
      <w:pPr>
        <w:pStyle w:val="Bulletlevel1"/>
      </w:pPr>
      <w:r w:rsidRPr="00B53F89">
        <w:t>2.3 GHz</w:t>
      </w:r>
      <w:r w:rsidR="009655EF" w:rsidRPr="00B53F89">
        <w:t xml:space="preserve"> (2302</w:t>
      </w:r>
      <w:r w:rsidR="003208A0" w:rsidRPr="00B53F89">
        <w:rPr>
          <w:rFonts w:hint="eastAsia"/>
        </w:rPr>
        <w:t>–</w:t>
      </w:r>
      <w:r w:rsidR="009655EF" w:rsidRPr="00B53F89">
        <w:t>2400 MHz</w:t>
      </w:r>
      <w:r w:rsidR="00F61895" w:rsidRPr="00B53F89">
        <w:t>)</w:t>
      </w:r>
    </w:p>
    <w:p w14:paraId="7BDB9FD0" w14:textId="463E07FE" w:rsidR="00F61895" w:rsidRDefault="00C61075" w:rsidP="00513FDE">
      <w:pPr>
        <w:pStyle w:val="Bulletlevel1"/>
      </w:pPr>
      <w:r w:rsidRPr="00B53F89">
        <w:t>3.4 GHz</w:t>
      </w:r>
      <w:r w:rsidR="009655EF" w:rsidRPr="00B53F89">
        <w:t xml:space="preserve"> (3425</w:t>
      </w:r>
      <w:r w:rsidR="003208A0" w:rsidRPr="00B53F89">
        <w:rPr>
          <w:rFonts w:hint="eastAsia"/>
        </w:rPr>
        <w:t>–</w:t>
      </w:r>
      <w:r w:rsidR="009655EF" w:rsidRPr="00B53F89">
        <w:t>3492.5 MHz and 3542.5</w:t>
      </w:r>
      <w:r w:rsidR="003208A0" w:rsidRPr="00B53F89">
        <w:rPr>
          <w:rFonts w:hint="eastAsia"/>
        </w:rPr>
        <w:t>–</w:t>
      </w:r>
      <w:r w:rsidR="009655EF" w:rsidRPr="00B53F89">
        <w:t>3575 MHz)</w:t>
      </w:r>
    </w:p>
    <w:p w14:paraId="0C036E1F" w14:textId="77777777" w:rsidR="00F61895" w:rsidRDefault="00D23F2E" w:rsidP="00513FDE">
      <w:pPr>
        <w:pStyle w:val="Bulletlevel1last"/>
      </w:pPr>
      <w:r w:rsidRPr="00B53F89">
        <w:t>3.6 GHz</w:t>
      </w:r>
      <w:r w:rsidR="009655EF" w:rsidRPr="00B53F89">
        <w:t xml:space="preserve"> (3575</w:t>
      </w:r>
      <w:r w:rsidR="003208A0" w:rsidRPr="00B53F89">
        <w:rPr>
          <w:rFonts w:hint="eastAsia"/>
        </w:rPr>
        <w:t>–</w:t>
      </w:r>
      <w:r w:rsidR="009655EF" w:rsidRPr="00B53F89">
        <w:t>3700 MHz)</w:t>
      </w:r>
      <w:r w:rsidR="00C61075" w:rsidRPr="00B53F89">
        <w:t xml:space="preserve">. </w:t>
      </w:r>
    </w:p>
    <w:p w14:paraId="11067ED7" w14:textId="54C5702B" w:rsidR="00A61888" w:rsidRPr="00B53F89" w:rsidRDefault="00C61075" w:rsidP="00633E1E">
      <w:r w:rsidRPr="00B53F89">
        <w:t xml:space="preserve">This has set the stage </w:t>
      </w:r>
      <w:r w:rsidR="00A61888" w:rsidRPr="00B53F89">
        <w:t xml:space="preserve">not only </w:t>
      </w:r>
      <w:r w:rsidRPr="00B53F89">
        <w:t xml:space="preserve">for </w:t>
      </w:r>
      <w:r w:rsidR="00637513">
        <w:t>service quality enhancements</w:t>
      </w:r>
      <w:r w:rsidR="00A61888" w:rsidRPr="00B53F89">
        <w:t xml:space="preserve"> and greater </w:t>
      </w:r>
      <w:r w:rsidR="00637513">
        <w:t xml:space="preserve">service </w:t>
      </w:r>
      <w:r w:rsidR="00A61888" w:rsidRPr="00B53F89">
        <w:t>choice for consumers</w:t>
      </w:r>
      <w:r w:rsidR="00CD20C4" w:rsidRPr="00B53F89">
        <w:t xml:space="preserve">, </w:t>
      </w:r>
      <w:r w:rsidR="00F41CDB" w:rsidRPr="00B53F89">
        <w:t>bu</w:t>
      </w:r>
      <w:r w:rsidR="00A61888" w:rsidRPr="00B53F89">
        <w:t xml:space="preserve">t also </w:t>
      </w:r>
      <w:r w:rsidR="00F61895">
        <w:t xml:space="preserve">for </w:t>
      </w:r>
      <w:r w:rsidR="00A61888" w:rsidRPr="00B53F89">
        <w:t>increase</w:t>
      </w:r>
      <w:r w:rsidR="00637513">
        <w:t>d</w:t>
      </w:r>
      <w:r w:rsidR="00A61888" w:rsidRPr="00B53F89">
        <w:t xml:space="preserve"> opportunities for licensees to undertak</w:t>
      </w:r>
      <w:r w:rsidR="001C2180" w:rsidRPr="00B53F89">
        <w:t>e</w:t>
      </w:r>
      <w:r w:rsidR="00A61888" w:rsidRPr="00B53F89">
        <w:t xml:space="preserve"> trading and contribute to defragmentation in some bands, allowing more efficient use of spectrum.</w:t>
      </w:r>
    </w:p>
    <w:p w14:paraId="40BF17EC" w14:textId="356CF3BE" w:rsidR="000220F0" w:rsidRDefault="008F041B" w:rsidP="000220F0">
      <w:r w:rsidRPr="000220F0">
        <w:t xml:space="preserve">Following the proposed </w:t>
      </w:r>
      <w:r w:rsidR="003F4B80" w:rsidRPr="000220F0">
        <w:t>series of timing and sequencing options for allocations planned over the next few years</w:t>
      </w:r>
      <w:r w:rsidRPr="000220F0">
        <w:t xml:space="preserve"> that was published in the FYSO </w:t>
      </w:r>
      <w:r w:rsidR="00FD47C3" w:rsidRPr="000220F0">
        <w:t>2019</w:t>
      </w:r>
      <w:r w:rsidR="00F61895" w:rsidRPr="000220F0">
        <w:t>–</w:t>
      </w:r>
      <w:r w:rsidR="00FD47C3" w:rsidRPr="000220F0">
        <w:t>23</w:t>
      </w:r>
      <w:r w:rsidRPr="000220F0">
        <w:t xml:space="preserve">, we </w:t>
      </w:r>
      <w:r w:rsidR="00FD47C3" w:rsidRPr="000220F0">
        <w:t xml:space="preserve">have </w:t>
      </w:r>
      <w:r w:rsidRPr="000220F0">
        <w:t xml:space="preserve">updated the forward allocation </w:t>
      </w:r>
      <w:r w:rsidR="0088477E" w:rsidRPr="000220F0">
        <w:t xml:space="preserve">plan </w:t>
      </w:r>
      <w:r w:rsidR="00FD47C3" w:rsidRPr="000220F0">
        <w:t>and again seek stakeholder feedback on the identification of bands for allocation, and the timing and sequencing of those allocations</w:t>
      </w:r>
      <w:r w:rsidR="000220F0" w:rsidRPr="000220F0">
        <w:t>.</w:t>
      </w:r>
      <w:bookmarkStart w:id="414" w:name="_Toc510104964"/>
      <w:bookmarkStart w:id="415" w:name="_Toc510105761"/>
      <w:bookmarkStart w:id="416" w:name="_Toc510795093"/>
      <w:bookmarkStart w:id="417" w:name="_Toc511716294"/>
      <w:bookmarkStart w:id="418" w:name="_Toc511719105"/>
      <w:bookmarkStart w:id="419" w:name="_Toc522794098"/>
      <w:bookmarkStart w:id="420" w:name="_Toc31892829"/>
      <w:bookmarkStart w:id="421" w:name="_Toc36207446"/>
    </w:p>
    <w:p w14:paraId="5BFEF011" w14:textId="2E1D9A8E" w:rsidR="003F4B80" w:rsidRPr="00B53F89" w:rsidRDefault="003F4B80" w:rsidP="000220F0">
      <w:pPr>
        <w:pStyle w:val="Heading2"/>
      </w:pPr>
      <w:bookmarkStart w:id="422" w:name="_Toc38987225"/>
      <w:r w:rsidRPr="00B53F89">
        <w:lastRenderedPageBreak/>
        <w:t>What we</w:t>
      </w:r>
      <w:r w:rsidR="005D49BC">
        <w:t xml:space="preserve"> are</w:t>
      </w:r>
      <w:r w:rsidRPr="00B53F89">
        <w:t xml:space="preserve"> proposing</w:t>
      </w:r>
      <w:bookmarkEnd w:id="414"/>
      <w:bookmarkEnd w:id="415"/>
      <w:bookmarkEnd w:id="416"/>
      <w:bookmarkEnd w:id="417"/>
      <w:bookmarkEnd w:id="418"/>
      <w:bookmarkEnd w:id="419"/>
      <w:bookmarkEnd w:id="420"/>
      <w:bookmarkEnd w:id="421"/>
      <w:bookmarkEnd w:id="422"/>
    </w:p>
    <w:p w14:paraId="672AD33E" w14:textId="357657F7" w:rsidR="003F4B80" w:rsidRPr="00B53F89" w:rsidRDefault="005234FD" w:rsidP="0000565B">
      <w:pPr>
        <w:keepNext/>
      </w:pPr>
      <w:r w:rsidRPr="00B53F89">
        <w:t>T</w:t>
      </w:r>
      <w:r w:rsidR="003F4B80" w:rsidRPr="00B53F89">
        <w:t xml:space="preserve">he set of spectrum bands </w:t>
      </w:r>
      <w:r w:rsidR="002026C0" w:rsidRPr="00B53F89">
        <w:t xml:space="preserve">under consideration for potential </w:t>
      </w:r>
      <w:r w:rsidR="003F4B80" w:rsidRPr="00B53F89">
        <w:t xml:space="preserve">future </w:t>
      </w:r>
      <w:r w:rsidR="001B12D2" w:rsidRPr="00B53F89">
        <w:rPr>
          <w:rFonts w:cs="Arial"/>
        </w:rPr>
        <w:t>major allocations</w:t>
      </w:r>
      <w:r w:rsidR="001B12D2" w:rsidRPr="00B53F89" w:rsidDel="001B12D2">
        <w:t xml:space="preserve"> </w:t>
      </w:r>
      <w:r w:rsidR="003F4B80" w:rsidRPr="00B53F89">
        <w:t>is outlined in Table</w:t>
      </w:r>
      <w:r w:rsidR="00D71281" w:rsidRPr="00B53F89">
        <w:t xml:space="preserve"> </w:t>
      </w:r>
      <w:r w:rsidR="00196553" w:rsidRPr="00B53F89">
        <w:t>1</w:t>
      </w:r>
      <w:r w:rsidR="00D71281" w:rsidRPr="00B53F89">
        <w:t>0</w:t>
      </w:r>
      <w:r w:rsidR="004047DA" w:rsidRPr="00B53F89">
        <w:t>.</w:t>
      </w:r>
      <w:r w:rsidR="003F4B80" w:rsidRPr="00B53F89">
        <w:t xml:space="preserve"> </w:t>
      </w:r>
    </w:p>
    <w:p w14:paraId="70F6EA28" w14:textId="320213AC" w:rsidR="00585FB9" w:rsidRPr="00B53F89" w:rsidRDefault="00585FB9" w:rsidP="00A10BF6">
      <w:pPr>
        <w:pStyle w:val="ACMATableHeader"/>
      </w:pPr>
      <w:r w:rsidRPr="00B53F89">
        <w:t>Spectrum bands under consideration</w:t>
      </w:r>
      <w:r w:rsidR="0093278E" w:rsidRPr="00B53F89">
        <w:t xml:space="preserve"> for </w:t>
      </w:r>
      <w:r w:rsidR="00A13E17" w:rsidRPr="00B53F89">
        <w:t>potential future</w:t>
      </w:r>
      <w:r w:rsidR="0093278E" w:rsidRPr="00B53F89">
        <w:t xml:space="preserve"> allocations</w:t>
      </w:r>
    </w:p>
    <w:tbl>
      <w:tblPr>
        <w:tblW w:w="5000" w:type="pct"/>
        <w:tblCellMar>
          <w:top w:w="57" w:type="dxa"/>
          <w:left w:w="57" w:type="dxa"/>
          <w:bottom w:w="57" w:type="dxa"/>
          <w:right w:w="57" w:type="dxa"/>
        </w:tblCellMar>
        <w:tblLook w:val="04A0" w:firstRow="1" w:lastRow="0" w:firstColumn="1" w:lastColumn="0" w:noHBand="0" w:noVBand="1"/>
        <w:tblCaption w:val="Spectrum bands currently being considered for allocation"/>
        <w:tblDescription w:val="Table includes information about multi-band residual lots, 3.6 GHz band, 850 MHz band, 900 MHz band, mmWave band and 1.5 GHz band."/>
      </w:tblPr>
      <w:tblGrid>
        <w:gridCol w:w="1272"/>
        <w:gridCol w:w="1685"/>
        <w:gridCol w:w="1581"/>
        <w:gridCol w:w="3123"/>
      </w:tblGrid>
      <w:tr w:rsidR="00585FB9" w:rsidRPr="00B53F89" w14:paraId="44DE40DA" w14:textId="77777777" w:rsidTr="00DE694D">
        <w:trPr>
          <w:tblHeader/>
        </w:trPr>
        <w:tc>
          <w:tcPr>
            <w:tcW w:w="830" w:type="pct"/>
            <w:tcBorders>
              <w:top w:val="single" w:sz="4" w:space="0" w:color="auto"/>
              <w:left w:val="single" w:sz="4" w:space="0" w:color="auto"/>
              <w:bottom w:val="single" w:sz="4" w:space="0" w:color="auto"/>
              <w:right w:val="single" w:sz="4" w:space="0" w:color="auto"/>
            </w:tcBorders>
            <w:shd w:val="clear" w:color="auto" w:fill="404040" w:themeFill="text1" w:themeFillTint="BF"/>
          </w:tcPr>
          <w:p w14:paraId="4B81EB4E" w14:textId="77777777" w:rsidR="00585FB9" w:rsidRPr="00B53F89" w:rsidRDefault="00585FB9" w:rsidP="00B747E1">
            <w:pPr>
              <w:pStyle w:val="TableHeading"/>
            </w:pPr>
            <w:r w:rsidRPr="00B53F89">
              <w:t>Band name</w:t>
            </w:r>
          </w:p>
        </w:tc>
        <w:tc>
          <w:tcPr>
            <w:tcW w:w="1100" w:type="pct"/>
            <w:tcBorders>
              <w:top w:val="single" w:sz="4" w:space="0" w:color="auto"/>
              <w:left w:val="single" w:sz="4" w:space="0" w:color="auto"/>
              <w:bottom w:val="single" w:sz="4" w:space="0" w:color="auto"/>
              <w:right w:val="single" w:sz="4" w:space="0" w:color="auto"/>
            </w:tcBorders>
            <w:shd w:val="clear" w:color="auto" w:fill="404040" w:themeFill="text1" w:themeFillTint="BF"/>
          </w:tcPr>
          <w:p w14:paraId="522CE308" w14:textId="3476D809" w:rsidR="00585FB9" w:rsidRPr="00B53F89" w:rsidRDefault="00585FB9" w:rsidP="00B747E1">
            <w:pPr>
              <w:pStyle w:val="TableHeading"/>
            </w:pPr>
            <w:r w:rsidRPr="00B53F89">
              <w:t>Spectrum parameters</w:t>
            </w:r>
          </w:p>
        </w:tc>
        <w:tc>
          <w:tcPr>
            <w:tcW w:w="1032" w:type="pct"/>
            <w:tcBorders>
              <w:top w:val="single" w:sz="4" w:space="0" w:color="auto"/>
              <w:left w:val="single" w:sz="4" w:space="0" w:color="auto"/>
              <w:bottom w:val="single" w:sz="4" w:space="0" w:color="auto"/>
              <w:right w:val="single" w:sz="4" w:space="0" w:color="auto"/>
            </w:tcBorders>
            <w:shd w:val="clear" w:color="auto" w:fill="404040" w:themeFill="text1" w:themeFillTint="BF"/>
          </w:tcPr>
          <w:p w14:paraId="1F0E7FA0" w14:textId="77777777" w:rsidR="00585FB9" w:rsidRPr="00B53F89" w:rsidRDefault="00585FB9" w:rsidP="00B747E1">
            <w:pPr>
              <w:pStyle w:val="TableHeading"/>
            </w:pPr>
            <w:r w:rsidRPr="00B53F89">
              <w:t>Current use</w:t>
            </w:r>
          </w:p>
        </w:tc>
        <w:tc>
          <w:tcPr>
            <w:tcW w:w="2038" w:type="pct"/>
            <w:tcBorders>
              <w:top w:val="single" w:sz="4" w:space="0" w:color="auto"/>
              <w:left w:val="single" w:sz="4" w:space="0" w:color="auto"/>
              <w:bottom w:val="single" w:sz="4" w:space="0" w:color="auto"/>
              <w:right w:val="single" w:sz="4" w:space="0" w:color="auto"/>
            </w:tcBorders>
            <w:shd w:val="clear" w:color="auto" w:fill="404040" w:themeFill="text1" w:themeFillTint="BF"/>
          </w:tcPr>
          <w:p w14:paraId="0A42EF2D" w14:textId="77777777" w:rsidR="00585FB9" w:rsidRPr="00B53F89" w:rsidRDefault="00585FB9" w:rsidP="00B747E1">
            <w:pPr>
              <w:pStyle w:val="TableHeading"/>
            </w:pPr>
            <w:r w:rsidRPr="00B53F89">
              <w:t>Comments</w:t>
            </w:r>
          </w:p>
        </w:tc>
      </w:tr>
      <w:tr w:rsidR="00445F0B" w:rsidRPr="00B53F89" w14:paraId="36EAC64E" w14:textId="77777777" w:rsidTr="00DE694D">
        <w:tc>
          <w:tcPr>
            <w:tcW w:w="830" w:type="pct"/>
            <w:tcBorders>
              <w:top w:val="single" w:sz="4" w:space="0" w:color="auto"/>
              <w:left w:val="single" w:sz="4" w:space="0" w:color="auto"/>
              <w:bottom w:val="single" w:sz="4" w:space="0" w:color="auto"/>
              <w:right w:val="single" w:sz="4" w:space="0" w:color="auto"/>
            </w:tcBorders>
            <w:shd w:val="clear" w:color="auto" w:fill="FFFFFF" w:themeFill="background1"/>
          </w:tcPr>
          <w:p w14:paraId="1D6ACB2E" w14:textId="4AD5394B" w:rsidR="00445F0B" w:rsidRPr="00B53F89" w:rsidRDefault="00445F0B" w:rsidP="00445F0B">
            <w:pPr>
              <w:spacing w:after="0"/>
              <w:rPr>
                <w:szCs w:val="20"/>
              </w:rPr>
            </w:pPr>
            <w:r w:rsidRPr="00B53F89">
              <w:rPr>
                <w:szCs w:val="20"/>
              </w:rPr>
              <w:t xml:space="preserve">850 MHz </w:t>
            </w:r>
            <w:r w:rsidR="00545114" w:rsidRPr="00B53F89">
              <w:rPr>
                <w:szCs w:val="20"/>
              </w:rPr>
              <w:t xml:space="preserve">expansion </w:t>
            </w:r>
            <w:r w:rsidRPr="00B53F89">
              <w:rPr>
                <w:szCs w:val="20"/>
              </w:rPr>
              <w:t>band</w:t>
            </w:r>
          </w:p>
        </w:tc>
        <w:tc>
          <w:tcPr>
            <w:tcW w:w="1100" w:type="pct"/>
            <w:tcBorders>
              <w:top w:val="single" w:sz="4" w:space="0" w:color="auto"/>
              <w:left w:val="single" w:sz="4" w:space="0" w:color="auto"/>
              <w:bottom w:val="single" w:sz="4" w:space="0" w:color="auto"/>
              <w:right w:val="single" w:sz="4" w:space="0" w:color="auto"/>
            </w:tcBorders>
            <w:shd w:val="clear" w:color="auto" w:fill="FFFFFF" w:themeFill="background1"/>
          </w:tcPr>
          <w:p w14:paraId="25017157" w14:textId="2033F8C1" w:rsidR="00445F0B" w:rsidRPr="00B53F89" w:rsidRDefault="00445F0B" w:rsidP="00445F0B">
            <w:pPr>
              <w:spacing w:after="0"/>
              <w:rPr>
                <w:szCs w:val="20"/>
              </w:rPr>
            </w:pPr>
            <w:r w:rsidRPr="00B53F89">
              <w:rPr>
                <w:szCs w:val="20"/>
              </w:rPr>
              <w:t xml:space="preserve">809–824 MHz and </w:t>
            </w:r>
            <w:r w:rsidR="00FA7A83" w:rsidRPr="00B53F89">
              <w:rPr>
                <w:szCs w:val="20"/>
              </w:rPr>
              <w:br/>
            </w:r>
            <w:r w:rsidRPr="00B53F89">
              <w:rPr>
                <w:szCs w:val="20"/>
              </w:rPr>
              <w:t>85</w:t>
            </w:r>
            <w:r w:rsidR="000718EC" w:rsidRPr="00B53F89">
              <w:rPr>
                <w:szCs w:val="20"/>
              </w:rPr>
              <w:t>4</w:t>
            </w:r>
            <w:r w:rsidRPr="00B53F89">
              <w:rPr>
                <w:szCs w:val="20"/>
              </w:rPr>
              <w:t>–8</w:t>
            </w:r>
            <w:r w:rsidR="000718EC" w:rsidRPr="00B53F89">
              <w:rPr>
                <w:szCs w:val="20"/>
              </w:rPr>
              <w:t>69</w:t>
            </w:r>
            <w:r w:rsidRPr="00B53F89">
              <w:rPr>
                <w:szCs w:val="20"/>
              </w:rPr>
              <w:t xml:space="preserve"> MHz</w:t>
            </w:r>
          </w:p>
        </w:tc>
        <w:tc>
          <w:tcPr>
            <w:tcW w:w="1032" w:type="pct"/>
            <w:tcBorders>
              <w:top w:val="single" w:sz="4" w:space="0" w:color="auto"/>
              <w:left w:val="single" w:sz="4" w:space="0" w:color="auto"/>
              <w:bottom w:val="single" w:sz="4" w:space="0" w:color="auto"/>
              <w:right w:val="single" w:sz="4" w:space="0" w:color="auto"/>
            </w:tcBorders>
            <w:shd w:val="clear" w:color="auto" w:fill="FFFFFF" w:themeFill="background1"/>
          </w:tcPr>
          <w:p w14:paraId="4365D0FA" w14:textId="1BFA91C9" w:rsidR="00445F0B" w:rsidRPr="00B53F89" w:rsidRDefault="00445F0B" w:rsidP="00445F0B">
            <w:pPr>
              <w:spacing w:after="0"/>
              <w:rPr>
                <w:szCs w:val="20"/>
              </w:rPr>
            </w:pPr>
            <w:r w:rsidRPr="00B53F89">
              <w:rPr>
                <w:szCs w:val="20"/>
              </w:rPr>
              <w:t>Fixed links</w:t>
            </w:r>
            <w:r w:rsidR="005428EA" w:rsidRPr="00B53F89">
              <w:rPr>
                <w:szCs w:val="20"/>
              </w:rPr>
              <w:t xml:space="preserve"> point-to-point</w:t>
            </w:r>
            <w:r w:rsidRPr="00B53F89">
              <w:rPr>
                <w:szCs w:val="20"/>
              </w:rPr>
              <w:t>, point-to-multipoint, land mobile</w:t>
            </w:r>
          </w:p>
        </w:tc>
        <w:tc>
          <w:tcPr>
            <w:tcW w:w="2038" w:type="pct"/>
            <w:tcBorders>
              <w:top w:val="single" w:sz="4" w:space="0" w:color="auto"/>
              <w:left w:val="single" w:sz="4" w:space="0" w:color="auto"/>
              <w:bottom w:val="single" w:sz="4" w:space="0" w:color="auto"/>
              <w:right w:val="single" w:sz="4" w:space="0" w:color="auto"/>
            </w:tcBorders>
            <w:shd w:val="clear" w:color="auto" w:fill="FFFFFF" w:themeFill="background1"/>
          </w:tcPr>
          <w:p w14:paraId="340ECD67" w14:textId="5A120865" w:rsidR="00445F0B" w:rsidRPr="00B53F89" w:rsidRDefault="00445F0B" w:rsidP="00445F0B">
            <w:pPr>
              <w:spacing w:after="40"/>
              <w:rPr>
                <w:szCs w:val="20"/>
              </w:rPr>
            </w:pPr>
            <w:r w:rsidRPr="00B53F89">
              <w:rPr>
                <w:szCs w:val="20"/>
              </w:rPr>
              <w:t xml:space="preserve">Decision to re-farm </w:t>
            </w:r>
            <w:r w:rsidR="002616CF" w:rsidRPr="00B53F89">
              <w:rPr>
                <w:szCs w:val="20"/>
              </w:rPr>
              <w:t xml:space="preserve">optimised for </w:t>
            </w:r>
            <w:r w:rsidR="0072787A" w:rsidRPr="00B53F89">
              <w:rPr>
                <w:szCs w:val="20"/>
              </w:rPr>
              <w:t>wireless</w:t>
            </w:r>
            <w:r w:rsidR="002616CF" w:rsidRPr="00B53F89">
              <w:rPr>
                <w:szCs w:val="20"/>
              </w:rPr>
              <w:t xml:space="preserve"> broadband was </w:t>
            </w:r>
            <w:r w:rsidRPr="00B53F89">
              <w:rPr>
                <w:szCs w:val="20"/>
              </w:rPr>
              <w:t xml:space="preserve">made </w:t>
            </w:r>
            <w:r w:rsidR="00C107F5" w:rsidRPr="00B53F89">
              <w:rPr>
                <w:szCs w:val="20"/>
              </w:rPr>
              <w:t>in November 2015. C</w:t>
            </w:r>
            <w:r w:rsidRPr="00B53F89">
              <w:rPr>
                <w:szCs w:val="20"/>
              </w:rPr>
              <w:t xml:space="preserve">learance process </w:t>
            </w:r>
            <w:r w:rsidR="00C107F5" w:rsidRPr="00B53F89">
              <w:rPr>
                <w:szCs w:val="20"/>
              </w:rPr>
              <w:t xml:space="preserve">extends </w:t>
            </w:r>
            <w:r w:rsidRPr="00B53F89">
              <w:rPr>
                <w:szCs w:val="20"/>
              </w:rPr>
              <w:t>to 2024</w:t>
            </w:r>
            <w:r w:rsidR="00F61895">
              <w:rPr>
                <w:szCs w:val="20"/>
              </w:rPr>
              <w:t>.</w:t>
            </w:r>
          </w:p>
        </w:tc>
      </w:tr>
      <w:tr w:rsidR="00585FB9" w:rsidRPr="00B53F89" w14:paraId="41402908" w14:textId="77777777" w:rsidTr="0000565B">
        <w:tc>
          <w:tcPr>
            <w:tcW w:w="8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668AA" w14:textId="01B3AA0F" w:rsidR="00585FB9" w:rsidRPr="00B53F89" w:rsidRDefault="00585FB9" w:rsidP="00585FB9">
            <w:pPr>
              <w:spacing w:after="0"/>
              <w:rPr>
                <w:szCs w:val="20"/>
              </w:rPr>
            </w:pPr>
            <w:r w:rsidRPr="00B53F89">
              <w:rPr>
                <w:szCs w:val="20"/>
              </w:rPr>
              <w:t>900 MHz band</w:t>
            </w:r>
          </w:p>
        </w:tc>
        <w:tc>
          <w:tcPr>
            <w:tcW w:w="1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AA22CA" w14:textId="77777777" w:rsidR="00585FB9" w:rsidRPr="00B53F89" w:rsidRDefault="00585FB9" w:rsidP="00585FB9">
            <w:pPr>
              <w:spacing w:after="0"/>
              <w:rPr>
                <w:szCs w:val="20"/>
              </w:rPr>
            </w:pPr>
            <w:r w:rsidRPr="00B53F89">
              <w:rPr>
                <w:szCs w:val="20"/>
              </w:rPr>
              <w:t xml:space="preserve">890–915 MHz and </w:t>
            </w:r>
            <w:r w:rsidR="00FA7A83" w:rsidRPr="00B53F89">
              <w:rPr>
                <w:szCs w:val="20"/>
              </w:rPr>
              <w:br/>
            </w:r>
            <w:r w:rsidRPr="00B53F89">
              <w:rPr>
                <w:szCs w:val="20"/>
              </w:rPr>
              <w:t>935–960 MHz</w:t>
            </w:r>
          </w:p>
        </w:tc>
        <w:tc>
          <w:tcPr>
            <w:tcW w:w="103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581D7" w14:textId="45D6E755" w:rsidR="00585FB9" w:rsidRPr="00B53F89" w:rsidRDefault="00585FB9" w:rsidP="00585FB9">
            <w:pPr>
              <w:spacing w:after="0"/>
              <w:rPr>
                <w:szCs w:val="20"/>
              </w:rPr>
            </w:pPr>
            <w:r w:rsidRPr="00B53F89">
              <w:rPr>
                <w:szCs w:val="20"/>
              </w:rPr>
              <w:t>3G, 4G</w:t>
            </w:r>
          </w:p>
        </w:tc>
        <w:tc>
          <w:tcPr>
            <w:tcW w:w="20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8610E" w14:textId="5FC01095" w:rsidR="00585FB9" w:rsidRPr="00B53F89" w:rsidRDefault="00F61895" w:rsidP="00513FDE">
            <w:pPr>
              <w:spacing w:after="0"/>
              <w:rPr>
                <w:szCs w:val="20"/>
              </w:rPr>
            </w:pPr>
            <w:r>
              <w:rPr>
                <w:szCs w:val="20"/>
              </w:rPr>
              <w:t>I</w:t>
            </w:r>
            <w:r w:rsidR="008413A9">
              <w:rPr>
                <w:szCs w:val="20"/>
              </w:rPr>
              <w:t>n December 2019</w:t>
            </w:r>
            <w:r>
              <w:rPr>
                <w:szCs w:val="20"/>
              </w:rPr>
              <w:t>, we released</w:t>
            </w:r>
            <w:r w:rsidR="008413A9">
              <w:rPr>
                <w:szCs w:val="20"/>
              </w:rPr>
              <w:t xml:space="preserve"> a decision paper outlining </w:t>
            </w:r>
            <w:r>
              <w:rPr>
                <w:szCs w:val="20"/>
              </w:rPr>
              <w:t xml:space="preserve">our </w:t>
            </w:r>
            <w:r w:rsidR="008413A9">
              <w:rPr>
                <w:szCs w:val="20"/>
              </w:rPr>
              <w:t xml:space="preserve">view that the </w:t>
            </w:r>
            <w:r w:rsidR="008413A9" w:rsidRPr="008413A9">
              <w:rPr>
                <w:szCs w:val="20"/>
              </w:rPr>
              <w:t>best way to achieve reconfiguration of the 900 MHz band is to undertake a band clearance and price-based allocation in conjunction with an allocation of spectrum in the 850 MHz expansion band.</w:t>
            </w:r>
          </w:p>
        </w:tc>
      </w:tr>
      <w:tr w:rsidR="00BD5B2C" w:rsidRPr="00B53F89" w14:paraId="53CA9632" w14:textId="77777777" w:rsidTr="00DE694D">
        <w:tc>
          <w:tcPr>
            <w:tcW w:w="830" w:type="pct"/>
            <w:tcBorders>
              <w:top w:val="single" w:sz="4" w:space="0" w:color="auto"/>
              <w:left w:val="single" w:sz="4" w:space="0" w:color="auto"/>
              <w:bottom w:val="single" w:sz="4" w:space="0" w:color="auto"/>
              <w:right w:val="single" w:sz="4" w:space="0" w:color="auto"/>
            </w:tcBorders>
            <w:shd w:val="clear" w:color="auto" w:fill="auto"/>
          </w:tcPr>
          <w:p w14:paraId="5289C32F" w14:textId="77777777" w:rsidR="00BD5B2C" w:rsidRPr="00B53F89" w:rsidRDefault="00BD5B2C" w:rsidP="006F5B0F">
            <w:pPr>
              <w:spacing w:after="0"/>
              <w:rPr>
                <w:szCs w:val="20"/>
              </w:rPr>
            </w:pPr>
            <w:r w:rsidRPr="00B53F89">
              <w:rPr>
                <w:szCs w:val="20"/>
              </w:rPr>
              <w:t>1.5 GHz band</w:t>
            </w:r>
          </w:p>
        </w:tc>
        <w:tc>
          <w:tcPr>
            <w:tcW w:w="1100" w:type="pct"/>
            <w:tcBorders>
              <w:top w:val="single" w:sz="4" w:space="0" w:color="auto"/>
              <w:left w:val="single" w:sz="4" w:space="0" w:color="auto"/>
              <w:bottom w:val="single" w:sz="4" w:space="0" w:color="auto"/>
              <w:right w:val="single" w:sz="4" w:space="0" w:color="auto"/>
            </w:tcBorders>
            <w:shd w:val="clear" w:color="auto" w:fill="auto"/>
          </w:tcPr>
          <w:p w14:paraId="0A11C762" w14:textId="0B1D0476" w:rsidR="00BD5B2C" w:rsidRPr="00B53F89" w:rsidRDefault="00BD5B2C" w:rsidP="006F5B0F">
            <w:pPr>
              <w:spacing w:after="0"/>
              <w:rPr>
                <w:szCs w:val="20"/>
              </w:rPr>
            </w:pPr>
            <w:r w:rsidRPr="00B53F89">
              <w:rPr>
                <w:szCs w:val="20"/>
              </w:rPr>
              <w:t>1427–1518 MHz</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671A9DE4" w14:textId="55931258" w:rsidR="00BD5B2C" w:rsidRPr="00B53F89" w:rsidRDefault="005428EA" w:rsidP="006F5B0F">
            <w:pPr>
              <w:spacing w:after="0"/>
              <w:rPr>
                <w:szCs w:val="20"/>
              </w:rPr>
            </w:pPr>
            <w:r w:rsidRPr="00B53F89">
              <w:rPr>
                <w:szCs w:val="20"/>
              </w:rPr>
              <w:t>Fixed links</w:t>
            </w:r>
            <w:r w:rsidR="00BD5B2C" w:rsidRPr="00B53F89">
              <w:rPr>
                <w:szCs w:val="20"/>
              </w:rPr>
              <w:t xml:space="preserve">, some </w:t>
            </w:r>
            <w:r w:rsidR="00744060" w:rsidRPr="00B53F89">
              <w:rPr>
                <w:szCs w:val="20"/>
              </w:rPr>
              <w:t>point-to-</w:t>
            </w:r>
            <w:r w:rsidR="00BD5B2C" w:rsidRPr="00B53F89">
              <w:rPr>
                <w:szCs w:val="20"/>
              </w:rPr>
              <w:t xml:space="preserve">multipoint, </w:t>
            </w:r>
            <w:r w:rsidR="0066184D" w:rsidRPr="00B53F89">
              <w:rPr>
                <w:szCs w:val="20"/>
              </w:rPr>
              <w:t>d</w:t>
            </w:r>
            <w:r w:rsidR="00BD5B2C" w:rsidRPr="00B53F89">
              <w:rPr>
                <w:szCs w:val="20"/>
              </w:rPr>
              <w:t>efence</w:t>
            </w:r>
          </w:p>
        </w:tc>
        <w:tc>
          <w:tcPr>
            <w:tcW w:w="2038" w:type="pct"/>
            <w:tcBorders>
              <w:top w:val="single" w:sz="4" w:space="0" w:color="auto"/>
              <w:left w:val="single" w:sz="4" w:space="0" w:color="auto"/>
              <w:bottom w:val="single" w:sz="4" w:space="0" w:color="auto"/>
              <w:right w:val="single" w:sz="4" w:space="0" w:color="auto"/>
            </w:tcBorders>
            <w:shd w:val="clear" w:color="auto" w:fill="auto"/>
          </w:tcPr>
          <w:p w14:paraId="35CEA632" w14:textId="033B0FB5" w:rsidR="00BD5B2C" w:rsidRPr="00B53F89" w:rsidRDefault="00646AE3" w:rsidP="006F5B0F">
            <w:pPr>
              <w:spacing w:after="0"/>
              <w:rPr>
                <w:szCs w:val="20"/>
              </w:rPr>
            </w:pPr>
            <w:r>
              <w:rPr>
                <w:szCs w:val="20"/>
              </w:rPr>
              <w:t>The band has been flagged as candidate for review with the possibility of some spectrum being suitable for allocation for wireless broadband.</w:t>
            </w:r>
          </w:p>
        </w:tc>
      </w:tr>
      <w:tr w:rsidR="00BD5B2C" w:rsidRPr="00B53F89" w14:paraId="62A08E7A" w14:textId="77777777" w:rsidTr="0000565B">
        <w:tc>
          <w:tcPr>
            <w:tcW w:w="8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BC5F23" w14:textId="0633989B" w:rsidR="00BD5B2C" w:rsidRPr="00B53F89" w:rsidRDefault="00EE3C7B" w:rsidP="006F5B0F">
            <w:pPr>
              <w:spacing w:after="0"/>
              <w:rPr>
                <w:szCs w:val="20"/>
              </w:rPr>
            </w:pPr>
            <w:r w:rsidRPr="00B53F89">
              <w:t>3400–3575 MHz</w:t>
            </w:r>
            <w:r w:rsidR="00BD5B2C" w:rsidRPr="00B53F89">
              <w:rPr>
                <w:szCs w:val="20"/>
              </w:rPr>
              <w:t xml:space="preserve"> band</w:t>
            </w:r>
          </w:p>
        </w:tc>
        <w:tc>
          <w:tcPr>
            <w:tcW w:w="1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A9902" w14:textId="7F51F693" w:rsidR="00BD5B2C" w:rsidRPr="00B53F89" w:rsidRDefault="00BD5B2C" w:rsidP="006F5B0F">
            <w:pPr>
              <w:spacing w:after="0"/>
              <w:rPr>
                <w:szCs w:val="20"/>
              </w:rPr>
            </w:pPr>
            <w:r w:rsidRPr="00B53F89">
              <w:rPr>
                <w:szCs w:val="20"/>
              </w:rPr>
              <w:t>3400–3575 MHz</w:t>
            </w:r>
          </w:p>
        </w:tc>
        <w:tc>
          <w:tcPr>
            <w:tcW w:w="103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CACA9" w14:textId="434E16DA" w:rsidR="00BD5B2C" w:rsidRPr="00B53F89" w:rsidRDefault="00BD5B2C" w:rsidP="006F5B0F">
            <w:pPr>
              <w:spacing w:after="0"/>
              <w:rPr>
                <w:szCs w:val="20"/>
              </w:rPr>
            </w:pPr>
            <w:r w:rsidRPr="00B53F89">
              <w:rPr>
                <w:szCs w:val="20"/>
              </w:rPr>
              <w:t xml:space="preserve">Fixed </w:t>
            </w:r>
            <w:r w:rsidR="00942A48">
              <w:rPr>
                <w:szCs w:val="20"/>
              </w:rPr>
              <w:t>w</w:t>
            </w:r>
            <w:r w:rsidRPr="00B53F89">
              <w:rPr>
                <w:szCs w:val="20"/>
              </w:rPr>
              <w:t>ireless</w:t>
            </w:r>
            <w:r w:rsidR="005428EA" w:rsidRPr="00B53F89">
              <w:rPr>
                <w:szCs w:val="20"/>
              </w:rPr>
              <w:t xml:space="preserve">, </w:t>
            </w:r>
            <w:r w:rsidR="00744060" w:rsidRPr="00B53F89">
              <w:rPr>
                <w:szCs w:val="20"/>
              </w:rPr>
              <w:t xml:space="preserve">point-to-multipoint, </w:t>
            </w:r>
            <w:r w:rsidR="005428EA" w:rsidRPr="00B53F89">
              <w:rPr>
                <w:szCs w:val="20"/>
              </w:rPr>
              <w:t>5G</w:t>
            </w:r>
            <w:r w:rsidRPr="00B53F89">
              <w:rPr>
                <w:szCs w:val="20"/>
              </w:rPr>
              <w:t xml:space="preserve"> </w:t>
            </w:r>
          </w:p>
        </w:tc>
        <w:tc>
          <w:tcPr>
            <w:tcW w:w="20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87516" w14:textId="703BDACE" w:rsidR="00BD5B2C" w:rsidRPr="00B53F89" w:rsidRDefault="0015761A" w:rsidP="00513FDE">
            <w:pPr>
              <w:spacing w:after="0"/>
              <w:rPr>
                <w:szCs w:val="20"/>
              </w:rPr>
            </w:pPr>
            <w:r>
              <w:rPr>
                <w:szCs w:val="20"/>
              </w:rPr>
              <w:t>We</w:t>
            </w:r>
            <w:r w:rsidR="000052BF">
              <w:rPr>
                <w:szCs w:val="20"/>
              </w:rPr>
              <w:t xml:space="preserve"> announced the outcomes of </w:t>
            </w:r>
            <w:r>
              <w:rPr>
                <w:szCs w:val="20"/>
              </w:rPr>
              <w:t xml:space="preserve">our </w:t>
            </w:r>
            <w:r w:rsidR="000052BF">
              <w:rPr>
                <w:szCs w:val="20"/>
              </w:rPr>
              <w:t xml:space="preserve">review in November 2019. Work has commenced to restack incumbent services in the band. After this is </w:t>
            </w:r>
            <w:r w:rsidR="009A0A4D">
              <w:rPr>
                <w:szCs w:val="20"/>
              </w:rPr>
              <w:t>achieved</w:t>
            </w:r>
            <w:r w:rsidR="004C0B22">
              <w:rPr>
                <w:szCs w:val="20"/>
              </w:rPr>
              <w:t>,</w:t>
            </w:r>
            <w:r w:rsidR="000052BF">
              <w:rPr>
                <w:szCs w:val="20"/>
              </w:rPr>
              <w:t xml:space="preserve"> and </w:t>
            </w:r>
            <w:r w:rsidR="00475EDE">
              <w:t>if the</w:t>
            </w:r>
            <w:r w:rsidR="00105E63">
              <w:t xml:space="preserve"> Minister </w:t>
            </w:r>
            <w:r w:rsidR="00E807D5">
              <w:t>makes a decision</w:t>
            </w:r>
            <w:r w:rsidR="00475EDE">
              <w:t xml:space="preserve"> to designate</w:t>
            </w:r>
            <w:r w:rsidR="00105E63">
              <w:t xml:space="preserve"> spectrum for spectrum licensing</w:t>
            </w:r>
            <w:r w:rsidR="000052BF">
              <w:rPr>
                <w:szCs w:val="20"/>
              </w:rPr>
              <w:t>, work will commence to convert NBN Co’s apparatus licences to spectrum licences and allocate 25</w:t>
            </w:r>
            <w:r>
              <w:t>–</w:t>
            </w:r>
            <w:r w:rsidR="000052BF">
              <w:rPr>
                <w:szCs w:val="20"/>
              </w:rPr>
              <w:t>42.5 MHz of additional spectrum for spectrum licences</w:t>
            </w:r>
            <w:r w:rsidR="00E12491">
              <w:rPr>
                <w:szCs w:val="20"/>
              </w:rPr>
              <w:t xml:space="preserve"> in regional areas</w:t>
            </w:r>
            <w:r w:rsidR="000052BF">
              <w:rPr>
                <w:szCs w:val="20"/>
              </w:rPr>
              <w:t>.</w:t>
            </w:r>
            <w:r w:rsidR="00E12491">
              <w:rPr>
                <w:szCs w:val="20"/>
              </w:rPr>
              <w:t xml:space="preserve"> 75 MHz of spectrum may also be made available in urban areas excised from NBN Co’s converted licences; however, this is pending the development of interference management criteria and an assessment of the appropriate licensing type to use.</w:t>
            </w:r>
          </w:p>
        </w:tc>
      </w:tr>
      <w:tr w:rsidR="002A00FC" w:rsidRPr="00B53F89" w14:paraId="74DC19EB" w14:textId="77777777" w:rsidTr="00DE694D">
        <w:tc>
          <w:tcPr>
            <w:tcW w:w="830" w:type="pct"/>
            <w:tcBorders>
              <w:top w:val="single" w:sz="4" w:space="0" w:color="auto"/>
              <w:left w:val="single" w:sz="4" w:space="0" w:color="auto"/>
              <w:bottom w:val="single" w:sz="4" w:space="0" w:color="auto"/>
              <w:right w:val="single" w:sz="4" w:space="0" w:color="auto"/>
            </w:tcBorders>
            <w:shd w:val="clear" w:color="auto" w:fill="FFFFFF" w:themeFill="background1"/>
          </w:tcPr>
          <w:p w14:paraId="5572F4AB" w14:textId="07D12600" w:rsidR="002A00FC" w:rsidRPr="00B53F89" w:rsidRDefault="002A00FC" w:rsidP="002A00FC">
            <w:pPr>
              <w:spacing w:after="0"/>
              <w:rPr>
                <w:szCs w:val="20"/>
              </w:rPr>
            </w:pPr>
            <w:r>
              <w:t>3700-4200 MHz</w:t>
            </w:r>
          </w:p>
        </w:tc>
        <w:tc>
          <w:tcPr>
            <w:tcW w:w="1100" w:type="pct"/>
            <w:tcBorders>
              <w:top w:val="single" w:sz="4" w:space="0" w:color="auto"/>
              <w:left w:val="single" w:sz="4" w:space="0" w:color="auto"/>
              <w:bottom w:val="single" w:sz="4" w:space="0" w:color="auto"/>
              <w:right w:val="single" w:sz="4" w:space="0" w:color="auto"/>
            </w:tcBorders>
            <w:shd w:val="clear" w:color="auto" w:fill="FFFFFF" w:themeFill="background1"/>
          </w:tcPr>
          <w:p w14:paraId="36211904" w14:textId="1769BEC4" w:rsidR="002A00FC" w:rsidRPr="00B53F89" w:rsidRDefault="002A00FC" w:rsidP="002A00FC">
            <w:pPr>
              <w:spacing w:after="0"/>
              <w:rPr>
                <w:szCs w:val="20"/>
              </w:rPr>
            </w:pPr>
            <w:r>
              <w:rPr>
                <w:szCs w:val="20"/>
              </w:rPr>
              <w:t>3700</w:t>
            </w:r>
            <w:r w:rsidR="00761B08" w:rsidRPr="00B53F89">
              <w:rPr>
                <w:szCs w:val="20"/>
              </w:rPr>
              <w:t>–</w:t>
            </w:r>
            <w:r>
              <w:rPr>
                <w:szCs w:val="20"/>
              </w:rPr>
              <w:t>4200 MHz</w:t>
            </w:r>
            <w:r w:rsidRPr="00B53F89">
              <w:rPr>
                <w:szCs w:val="20"/>
              </w:rPr>
              <w:t xml:space="preserve"> </w:t>
            </w:r>
          </w:p>
        </w:tc>
        <w:tc>
          <w:tcPr>
            <w:tcW w:w="1032" w:type="pct"/>
            <w:tcBorders>
              <w:top w:val="single" w:sz="4" w:space="0" w:color="auto"/>
              <w:left w:val="single" w:sz="4" w:space="0" w:color="auto"/>
              <w:bottom w:val="single" w:sz="4" w:space="0" w:color="auto"/>
              <w:right w:val="single" w:sz="4" w:space="0" w:color="auto"/>
            </w:tcBorders>
            <w:shd w:val="clear" w:color="auto" w:fill="FFFFFF" w:themeFill="background1"/>
          </w:tcPr>
          <w:p w14:paraId="2EC98093" w14:textId="39E1AC6B" w:rsidR="002A00FC" w:rsidRPr="00B53F89" w:rsidRDefault="002A00FC" w:rsidP="002A00FC">
            <w:pPr>
              <w:spacing w:after="0"/>
              <w:rPr>
                <w:szCs w:val="20"/>
              </w:rPr>
            </w:pPr>
            <w:r>
              <w:rPr>
                <w:szCs w:val="20"/>
              </w:rPr>
              <w:t>Fixed links, satellite earth stations</w:t>
            </w:r>
          </w:p>
        </w:tc>
        <w:tc>
          <w:tcPr>
            <w:tcW w:w="2038" w:type="pct"/>
            <w:tcBorders>
              <w:top w:val="single" w:sz="4" w:space="0" w:color="auto"/>
              <w:left w:val="single" w:sz="4" w:space="0" w:color="auto"/>
              <w:bottom w:val="single" w:sz="4" w:space="0" w:color="auto"/>
              <w:right w:val="single" w:sz="4" w:space="0" w:color="auto"/>
            </w:tcBorders>
            <w:shd w:val="clear" w:color="auto" w:fill="FFFFFF" w:themeFill="background1"/>
          </w:tcPr>
          <w:p w14:paraId="38B4382E" w14:textId="7A227939" w:rsidR="002A00FC" w:rsidRPr="00B53F89" w:rsidRDefault="002A00FC" w:rsidP="00513FDE">
            <w:pPr>
              <w:spacing w:after="0"/>
              <w:rPr>
                <w:szCs w:val="20"/>
              </w:rPr>
            </w:pPr>
            <w:r>
              <w:rPr>
                <w:szCs w:val="20"/>
              </w:rPr>
              <w:t>The band has been flagged as candidate for review with the possibility of some spectrum being suitable for allocation for wireless broadband.</w:t>
            </w:r>
          </w:p>
        </w:tc>
      </w:tr>
      <w:tr w:rsidR="004141FE" w:rsidRPr="00B53F89" w14:paraId="00986F15" w14:textId="77777777" w:rsidTr="0000565B">
        <w:tc>
          <w:tcPr>
            <w:tcW w:w="8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3F041" w14:textId="332099A0" w:rsidR="004141FE" w:rsidRPr="00B53F89" w:rsidRDefault="004141FE" w:rsidP="002A00FC">
            <w:pPr>
              <w:spacing w:after="0"/>
              <w:rPr>
                <w:szCs w:val="20"/>
              </w:rPr>
            </w:pPr>
            <w:bookmarkStart w:id="423" w:name="_Hlk38281217"/>
            <w:r>
              <w:rPr>
                <w:szCs w:val="20"/>
              </w:rPr>
              <w:lastRenderedPageBreak/>
              <w:t>26 GHz band</w:t>
            </w:r>
          </w:p>
        </w:tc>
        <w:tc>
          <w:tcPr>
            <w:tcW w:w="1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4A343" w14:textId="55D1678D" w:rsidR="004141FE" w:rsidRPr="00B53F89" w:rsidRDefault="00761B08" w:rsidP="002A00FC">
            <w:pPr>
              <w:spacing w:after="0"/>
            </w:pPr>
            <w:r>
              <w:t>24.25</w:t>
            </w:r>
            <w:r w:rsidRPr="00B53F89">
              <w:rPr>
                <w:szCs w:val="20"/>
              </w:rPr>
              <w:t>–</w:t>
            </w:r>
            <w:r w:rsidR="001907E3">
              <w:t>27.5</w:t>
            </w:r>
          </w:p>
        </w:tc>
        <w:tc>
          <w:tcPr>
            <w:tcW w:w="103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D81D46" w14:textId="0B4F8CE0" w:rsidR="004141FE" w:rsidRPr="00B53F89" w:rsidRDefault="00395980" w:rsidP="002A00FC">
            <w:pPr>
              <w:spacing w:after="0"/>
              <w:rPr>
                <w:szCs w:val="20"/>
              </w:rPr>
            </w:pPr>
            <w:r>
              <w:rPr>
                <w:szCs w:val="20"/>
              </w:rPr>
              <w:t>N/A</w:t>
            </w:r>
          </w:p>
        </w:tc>
        <w:tc>
          <w:tcPr>
            <w:tcW w:w="20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E801C4" w14:textId="0AAB70E3" w:rsidR="004141FE" w:rsidRPr="00B53F89" w:rsidRDefault="00465CFA" w:rsidP="00513FDE">
            <w:pPr>
              <w:spacing w:after="0"/>
              <w:rPr>
                <w:szCs w:val="20"/>
              </w:rPr>
            </w:pPr>
            <w:r>
              <w:rPr>
                <w:szCs w:val="20"/>
              </w:rPr>
              <w:t xml:space="preserve">In addition to class licensing, </w:t>
            </w:r>
            <w:r w:rsidR="00F40BC9">
              <w:rPr>
                <w:szCs w:val="20"/>
              </w:rPr>
              <w:t>we have</w:t>
            </w:r>
            <w:r w:rsidR="00761B08" w:rsidRPr="00761B08">
              <w:rPr>
                <w:szCs w:val="20"/>
              </w:rPr>
              <w:t xml:space="preserve"> proposed three distinct approaches in the 26 GHz band</w:t>
            </w:r>
            <w:r w:rsidR="00761B08">
              <w:rPr>
                <w:szCs w:val="20"/>
              </w:rPr>
              <w:t xml:space="preserve"> to allocate spectrum and apparatus licences</w:t>
            </w:r>
            <w:r w:rsidR="00F40BC9">
              <w:rPr>
                <w:szCs w:val="20"/>
              </w:rPr>
              <w:t>.</w:t>
            </w:r>
          </w:p>
        </w:tc>
      </w:tr>
      <w:bookmarkEnd w:id="423"/>
      <w:tr w:rsidR="002A00FC" w:rsidRPr="00B53F89" w14:paraId="6062CF8A" w14:textId="77777777" w:rsidTr="00DE694D">
        <w:tc>
          <w:tcPr>
            <w:tcW w:w="830" w:type="pct"/>
            <w:tcBorders>
              <w:top w:val="single" w:sz="4" w:space="0" w:color="auto"/>
              <w:left w:val="single" w:sz="4" w:space="0" w:color="auto"/>
              <w:bottom w:val="single" w:sz="4" w:space="0" w:color="auto"/>
              <w:right w:val="single" w:sz="4" w:space="0" w:color="auto"/>
            </w:tcBorders>
            <w:shd w:val="clear" w:color="auto" w:fill="auto"/>
          </w:tcPr>
          <w:p w14:paraId="60AA4F4A" w14:textId="0B7CF7CF" w:rsidR="002A00FC" w:rsidRPr="00B53F89" w:rsidRDefault="002A00FC" w:rsidP="002A00FC">
            <w:pPr>
              <w:spacing w:after="0"/>
              <w:rPr>
                <w:szCs w:val="20"/>
              </w:rPr>
            </w:pPr>
            <w:r w:rsidRPr="00B53F89">
              <w:rPr>
                <w:szCs w:val="20"/>
              </w:rPr>
              <w:t>28 GHz band</w:t>
            </w:r>
          </w:p>
        </w:tc>
        <w:tc>
          <w:tcPr>
            <w:tcW w:w="1100" w:type="pct"/>
            <w:tcBorders>
              <w:top w:val="single" w:sz="4" w:space="0" w:color="auto"/>
              <w:left w:val="single" w:sz="4" w:space="0" w:color="auto"/>
              <w:bottom w:val="single" w:sz="4" w:space="0" w:color="auto"/>
              <w:right w:val="single" w:sz="4" w:space="0" w:color="auto"/>
            </w:tcBorders>
            <w:shd w:val="clear" w:color="auto" w:fill="auto"/>
          </w:tcPr>
          <w:p w14:paraId="00B0B4A9" w14:textId="5D6913B9" w:rsidR="002A00FC" w:rsidRPr="00B53F89" w:rsidRDefault="002A00FC" w:rsidP="002A00FC">
            <w:pPr>
              <w:spacing w:after="0"/>
              <w:rPr>
                <w:szCs w:val="20"/>
              </w:rPr>
            </w:pPr>
            <w:r w:rsidRPr="00B53F89">
              <w:t>27.5–29.5 GHz</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160F64A7" w14:textId="25C3207A" w:rsidR="002A00FC" w:rsidRPr="00B53F89" w:rsidRDefault="002A00FC" w:rsidP="002A00FC">
            <w:pPr>
              <w:spacing w:after="0"/>
              <w:rPr>
                <w:szCs w:val="20"/>
              </w:rPr>
            </w:pPr>
            <w:r w:rsidRPr="00B53F89">
              <w:rPr>
                <w:szCs w:val="20"/>
              </w:rPr>
              <w:t xml:space="preserve">FSS, </w:t>
            </w:r>
            <w:r>
              <w:rPr>
                <w:szCs w:val="20"/>
              </w:rPr>
              <w:t>f</w:t>
            </w:r>
            <w:r w:rsidRPr="00B53F89">
              <w:rPr>
                <w:szCs w:val="20"/>
              </w:rPr>
              <w:t>ixed point-to-</w:t>
            </w:r>
            <w:r>
              <w:rPr>
                <w:szCs w:val="20"/>
              </w:rPr>
              <w:t>multi</w:t>
            </w:r>
            <w:r w:rsidRPr="00B53F89">
              <w:rPr>
                <w:szCs w:val="20"/>
              </w:rPr>
              <w:t>point, body scanners</w:t>
            </w:r>
          </w:p>
        </w:tc>
        <w:tc>
          <w:tcPr>
            <w:tcW w:w="2038" w:type="pct"/>
            <w:tcBorders>
              <w:top w:val="single" w:sz="4" w:space="0" w:color="auto"/>
              <w:left w:val="single" w:sz="4" w:space="0" w:color="auto"/>
              <w:bottom w:val="single" w:sz="4" w:space="0" w:color="auto"/>
              <w:right w:val="single" w:sz="4" w:space="0" w:color="auto"/>
            </w:tcBorders>
            <w:shd w:val="clear" w:color="auto" w:fill="auto"/>
          </w:tcPr>
          <w:p w14:paraId="6795296B" w14:textId="6E1662C5" w:rsidR="002A00FC" w:rsidRPr="00B53F89" w:rsidRDefault="00F40BC9" w:rsidP="002A00FC">
            <w:pPr>
              <w:spacing w:after="120"/>
              <w:rPr>
                <w:szCs w:val="20"/>
              </w:rPr>
            </w:pPr>
            <w:r>
              <w:rPr>
                <w:szCs w:val="20"/>
              </w:rPr>
              <w:t>We</w:t>
            </w:r>
            <w:r w:rsidR="002C65C9" w:rsidRPr="002C65C9">
              <w:rPr>
                <w:szCs w:val="20"/>
              </w:rPr>
              <w:t xml:space="preserve"> will consult on proposed arrangements in </w:t>
            </w:r>
            <w:r w:rsidR="00EF3F72">
              <w:rPr>
                <w:szCs w:val="20"/>
              </w:rPr>
              <w:t xml:space="preserve">Q3 </w:t>
            </w:r>
            <w:r w:rsidR="002C65C9" w:rsidRPr="002C65C9">
              <w:rPr>
                <w:szCs w:val="20"/>
              </w:rPr>
              <w:t>2020</w:t>
            </w:r>
            <w:r>
              <w:rPr>
                <w:szCs w:val="20"/>
              </w:rPr>
              <w:t>.</w:t>
            </w:r>
          </w:p>
        </w:tc>
      </w:tr>
    </w:tbl>
    <w:p w14:paraId="2ED2FA9B" w14:textId="4B5AB7AC" w:rsidR="00770CB1" w:rsidRDefault="00770CB1" w:rsidP="0054588C">
      <w:pPr>
        <w:spacing w:before="60" w:after="0"/>
      </w:pPr>
    </w:p>
    <w:p w14:paraId="12D0BD86" w14:textId="188FB265" w:rsidR="003612AF" w:rsidRPr="00B53F89" w:rsidRDefault="003612AF" w:rsidP="00856C29">
      <w:pPr>
        <w:spacing w:after="0"/>
      </w:pPr>
      <w:r w:rsidRPr="006A2F04">
        <w:rPr>
          <w:noProof/>
        </w:rPr>
        <w:drawing>
          <wp:inline distT="0" distB="0" distL="0" distR="0" wp14:anchorId="5BBB8EC7" wp14:editId="45614A13">
            <wp:extent cx="342900" cy="361950"/>
            <wp:effectExtent l="0" t="0" r="0" b="0"/>
            <wp:docPr id="24" name="Picture 24"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3FC3576A" w14:textId="740CEC52" w:rsidR="00C12F50" w:rsidRPr="00B53F89" w:rsidRDefault="003F4B80" w:rsidP="0054588C">
      <w:pPr>
        <w:pStyle w:val="Heading3"/>
        <w:keepNext w:val="0"/>
      </w:pPr>
      <w:bookmarkStart w:id="424" w:name="_Toc31892830"/>
      <w:bookmarkStart w:id="425" w:name="_Toc36207447"/>
      <w:bookmarkStart w:id="426" w:name="_Toc38987226"/>
      <w:r w:rsidRPr="00B53F89">
        <w:t>850 MHz</w:t>
      </w:r>
      <w:r w:rsidR="00F640C7" w:rsidRPr="00B53F89">
        <w:t xml:space="preserve"> expansion band</w:t>
      </w:r>
      <w:bookmarkEnd w:id="424"/>
      <w:bookmarkEnd w:id="425"/>
      <w:bookmarkEnd w:id="426"/>
    </w:p>
    <w:p w14:paraId="43FD41C4" w14:textId="269E1318" w:rsidR="005B397B" w:rsidRPr="00B53F89" w:rsidRDefault="003F4B80">
      <w:r w:rsidRPr="00B53F89">
        <w:t xml:space="preserve">In late 2015, </w:t>
      </w:r>
      <w:r w:rsidR="00F40BC9">
        <w:t>we</w:t>
      </w:r>
      <w:r w:rsidRPr="00B53F89">
        <w:t xml:space="preserve"> finalised a review of the 803–960 MHz band, deciding to reallocate</w:t>
      </w:r>
      <w:r w:rsidR="002A6185" w:rsidRPr="00B53F89">
        <w:t xml:space="preserve"> </w:t>
      </w:r>
      <w:r w:rsidR="002A6185" w:rsidRPr="00B53F89" w:rsidDel="00F40BC9">
        <w:t>2</w:t>
      </w:r>
      <w:r w:rsidR="00F40BC9">
        <w:t> </w:t>
      </w:r>
      <w:r w:rsidR="002A6185" w:rsidRPr="00B53F89">
        <w:t>x 15 MHz in</w:t>
      </w:r>
      <w:r w:rsidRPr="00B53F89">
        <w:t xml:space="preserve"> the 850 MHz expansion band for spectrum licences configured for wireless broadband. The band is being cleared progressively, and is expected to be fully cleared by 2024, although a significant portion of the band will be available for use from mid-2021. </w:t>
      </w:r>
    </w:p>
    <w:p w14:paraId="65D0E83F" w14:textId="08F41588" w:rsidR="005B397B" w:rsidRPr="00B53F89" w:rsidRDefault="005B397B">
      <w:r w:rsidRPr="00B53F89" w:rsidDel="00C232CA">
        <w:t xml:space="preserve">The </w:t>
      </w:r>
      <w:r w:rsidRPr="00B53F89">
        <w:t xml:space="preserve">850 MHz expansion band </w:t>
      </w:r>
      <w:r w:rsidR="00C232CA" w:rsidRPr="00B53F89">
        <w:t xml:space="preserve">has </w:t>
      </w:r>
      <w:r w:rsidRPr="00B53F89">
        <w:t>value as a substitute for wireless broadband licences in the 900 MHz band</w:t>
      </w:r>
      <w:r w:rsidR="00810445" w:rsidRPr="00B53F89">
        <w:t xml:space="preserve">. </w:t>
      </w:r>
    </w:p>
    <w:p w14:paraId="6687AF35" w14:textId="77777777" w:rsidR="00EB1009" w:rsidRDefault="005B397B" w:rsidP="002E3C54">
      <w:r w:rsidRPr="00B53F89">
        <w:t xml:space="preserve">The addition of a 1 MHz guard band between the 850 MHz band base-transmit segment and the </w:t>
      </w:r>
      <w:r w:rsidR="00E03672" w:rsidRPr="00B53F89">
        <w:t>900</w:t>
      </w:r>
      <w:r w:rsidRPr="00B53F89">
        <w:t xml:space="preserve"> MHz</w:t>
      </w:r>
      <w:r w:rsidR="00E03672" w:rsidRPr="00B53F89">
        <w:t xml:space="preserve"> band</w:t>
      </w:r>
      <w:r w:rsidRPr="00B53F89">
        <w:t xml:space="preserve"> base-receive segment </w:t>
      </w:r>
      <w:r w:rsidR="00252ACF" w:rsidRPr="00B53F89">
        <w:t xml:space="preserve">is necessary to </w:t>
      </w:r>
      <w:r w:rsidRPr="00B53F89">
        <w:t xml:space="preserve">optimise the utility of the lower segment in the </w:t>
      </w:r>
      <w:r w:rsidR="00E03672" w:rsidRPr="00B53F89">
        <w:t>900</w:t>
      </w:r>
      <w:r w:rsidRPr="00B53F89">
        <w:t xml:space="preserve"> MHz band</w:t>
      </w:r>
      <w:r w:rsidR="00252ACF" w:rsidRPr="00B53F89">
        <w:t xml:space="preserve"> for wireless broadband</w:t>
      </w:r>
      <w:r w:rsidRPr="00B53F89">
        <w:t xml:space="preserve">. Prior to expiration of the current spectrum licences in 2028, this can only be achieved via a voluntary (negotiated) downshift of the existing 850 MHz band spectrum licences, which are held by VHA and Telstra. The availability of the </w:t>
      </w:r>
      <w:r w:rsidR="00AF675B" w:rsidRPr="00B53F89">
        <w:t>1 </w:t>
      </w:r>
      <w:r w:rsidRPr="00B53F89">
        <w:t>MHz of spectrum immediately below the 850 MHz base</w:t>
      </w:r>
      <w:r w:rsidR="00AF675B" w:rsidRPr="00B53F89">
        <w:t>-</w:t>
      </w:r>
      <w:r w:rsidRPr="00B53F89">
        <w:t xml:space="preserve">transmit segment </w:t>
      </w:r>
      <w:r w:rsidR="00252ACF" w:rsidRPr="00B53F89">
        <w:t xml:space="preserve">to accommodate the downshift </w:t>
      </w:r>
      <w:r w:rsidRPr="00B53F89">
        <w:t xml:space="preserve">will be critical to </w:t>
      </w:r>
      <w:r w:rsidR="00252ACF" w:rsidRPr="00B53F89">
        <w:t>these negotiations</w:t>
      </w:r>
      <w:r w:rsidRPr="00B53F89">
        <w:t xml:space="preserve">. </w:t>
      </w:r>
    </w:p>
    <w:p w14:paraId="01F322E8" w14:textId="06112FE2" w:rsidR="00CE04A3" w:rsidRPr="00B53F89" w:rsidRDefault="00F40BC9" w:rsidP="002E3C54">
      <w:r>
        <w:t>We have</w:t>
      </w:r>
      <w:r w:rsidR="00EB1009" w:rsidRPr="00B53F89">
        <w:t xml:space="preserve"> </w:t>
      </w:r>
      <w:r w:rsidR="00DF43B1" w:rsidRPr="00B53F89">
        <w:t>consider</w:t>
      </w:r>
      <w:r w:rsidR="00D936EF">
        <w:t>ed</w:t>
      </w:r>
      <w:r w:rsidR="00DF43B1" w:rsidRPr="00B53F89">
        <w:t xml:space="preserve"> </w:t>
      </w:r>
      <w:r w:rsidR="001B76CC" w:rsidRPr="00B53F89">
        <w:t>optimisation options for the 900 MHz and 850 MHz expansion band</w:t>
      </w:r>
      <w:r w:rsidR="00BC0C4A" w:rsidRPr="00B53F89">
        <w:t>s</w:t>
      </w:r>
      <w:r w:rsidR="00EB1009">
        <w:t xml:space="preserve"> and released a decision paper for the reconfiguration of the 900 MHz band and allocation of the 850 MHz expansion band</w:t>
      </w:r>
      <w:r>
        <w:t xml:space="preserve"> in December 2019</w:t>
      </w:r>
      <w:r w:rsidR="001B76CC" w:rsidRPr="00B53F89">
        <w:t>.</w:t>
      </w:r>
      <w:r w:rsidR="00EB1009">
        <w:t xml:space="preserve"> </w:t>
      </w:r>
      <w:r>
        <w:t>T</w:t>
      </w:r>
      <w:r w:rsidR="00EB1009">
        <w:t>he paper</w:t>
      </w:r>
      <w:r w:rsidR="00EB1009" w:rsidRPr="00EB1009" w:rsidDel="00F40BC9">
        <w:t xml:space="preserve"> </w:t>
      </w:r>
      <w:r>
        <w:t xml:space="preserve">stated our view </w:t>
      </w:r>
      <w:r w:rsidR="00EB1009" w:rsidRPr="00EB1009">
        <w:t>that the best way to achieve reconfiguration of the 900 MHz band is to undertake a band clearance and price-based allocation in conjunction with an allocation of spectrum in the 850 MHz expansion band.</w:t>
      </w:r>
    </w:p>
    <w:p w14:paraId="7890ACB8" w14:textId="1652111D" w:rsidR="00EB1009" w:rsidRPr="00B53F89" w:rsidRDefault="00B73252" w:rsidP="002E3C54">
      <w:bookmarkStart w:id="427" w:name="_Hlk2859258"/>
      <w:bookmarkStart w:id="428" w:name="_Hlk38962180"/>
      <w:r w:rsidRPr="00B53F89">
        <w:t xml:space="preserve">The Australian Government has agreed to set aside 2 x 5 MHz of spectrum in the </w:t>
      </w:r>
      <w:r w:rsidRPr="00B53F89" w:rsidDel="00F40BC9">
        <w:t>850</w:t>
      </w:r>
      <w:r w:rsidR="00F40BC9">
        <w:t> </w:t>
      </w:r>
      <w:r w:rsidRPr="00B53F89">
        <w:t xml:space="preserve">MHz expansion band for </w:t>
      </w:r>
      <w:r w:rsidR="002A6185" w:rsidRPr="00B53F89">
        <w:t xml:space="preserve">a public safety mobile broadband (PSMB) </w:t>
      </w:r>
      <w:r w:rsidRPr="00B53F89" w:rsidDel="002A6185">
        <w:t>capability</w:t>
      </w:r>
      <w:r w:rsidRPr="00B53F89">
        <w:t xml:space="preserve">. </w:t>
      </w:r>
      <w:bookmarkEnd w:id="427"/>
      <w:r w:rsidR="00F40BC9">
        <w:t>We are</w:t>
      </w:r>
      <w:r w:rsidR="00F82C7C" w:rsidRPr="00B53F89">
        <w:t xml:space="preserve"> working with </w:t>
      </w:r>
      <w:r w:rsidR="00CA501F">
        <w:t>the Department</w:t>
      </w:r>
      <w:r w:rsidR="00F82C7C" w:rsidRPr="00B53F89">
        <w:t xml:space="preserve"> to provide advice on allocation options and manage the impact of this work on allocation of other parts of the 850 MHz expansion band for commercial wireless broadband services.</w:t>
      </w:r>
    </w:p>
    <w:p w14:paraId="6EE64FAE" w14:textId="7C0C0B9C" w:rsidR="001C2BF4" w:rsidRPr="00B53F89" w:rsidRDefault="001C2BF4" w:rsidP="00EC7994">
      <w:pPr>
        <w:spacing w:after="0"/>
      </w:pPr>
      <w:bookmarkStart w:id="429" w:name="_Toc522794099"/>
      <w:bookmarkStart w:id="430" w:name="_Toc510104965"/>
      <w:bookmarkStart w:id="431" w:name="_Toc510105762"/>
      <w:bookmarkStart w:id="432" w:name="_Toc510795094"/>
      <w:bookmarkStart w:id="433" w:name="_Toc511716295"/>
      <w:bookmarkStart w:id="434" w:name="_Toc511719106"/>
      <w:bookmarkEnd w:id="428"/>
      <w:r w:rsidRPr="006A2F04">
        <w:rPr>
          <w:noProof/>
        </w:rPr>
        <w:drawing>
          <wp:inline distT="0" distB="0" distL="0" distR="0" wp14:anchorId="4C905892" wp14:editId="58A2BDE4">
            <wp:extent cx="342900" cy="361950"/>
            <wp:effectExtent l="0" t="0" r="0" b="0"/>
            <wp:docPr id="161" name="Picture 161"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603853" w:rsidRPr="006A2F04">
        <w:rPr>
          <w:noProof/>
        </w:rPr>
        <w:drawing>
          <wp:inline distT="0" distB="0" distL="0" distR="0" wp14:anchorId="7DA82289" wp14:editId="3641D47C">
            <wp:extent cx="342900" cy="361950"/>
            <wp:effectExtent l="0" t="0" r="0" b="0"/>
            <wp:docPr id="171" name="Picture 171" descr="Radio/TV broadcas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adio/TV broadcasting ic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603853" w:rsidRPr="006A2F04">
        <w:rPr>
          <w:noProof/>
        </w:rPr>
        <w:drawing>
          <wp:inline distT="0" distB="0" distL="0" distR="0" wp14:anchorId="21D5F8D9" wp14:editId="28B8624B">
            <wp:extent cx="342900" cy="361950"/>
            <wp:effectExtent l="0" t="0" r="0" b="0"/>
            <wp:docPr id="172" name="Picture 172" descr="Point to multi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int to multipoint ico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603853" w:rsidRPr="006A2F04">
        <w:rPr>
          <w:noProof/>
        </w:rPr>
        <w:drawing>
          <wp:inline distT="0" distB="0" distL="0" distR="0" wp14:anchorId="7526686A" wp14:editId="5D809761">
            <wp:extent cx="342900" cy="361950"/>
            <wp:effectExtent l="0" t="0" r="0" b="0"/>
            <wp:docPr id="173" name="Picture 173"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603853" w:rsidRPr="006A2F04">
        <w:rPr>
          <w:noProof/>
        </w:rPr>
        <w:drawing>
          <wp:inline distT="0" distB="0" distL="0" distR="0" wp14:anchorId="6DD958A9" wp14:editId="462B465B">
            <wp:extent cx="342900" cy="361950"/>
            <wp:effectExtent l="0" t="0" r="0" b="0"/>
            <wp:docPr id="170" name="Picture 170"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4ED05E9C" w14:textId="41E59162" w:rsidR="001F03F1" w:rsidRPr="00B53F89" w:rsidRDefault="001F03F1" w:rsidP="0054588C">
      <w:pPr>
        <w:pStyle w:val="Heading3"/>
        <w:keepNext w:val="0"/>
      </w:pPr>
      <w:bookmarkStart w:id="435" w:name="_Toc31892831"/>
      <w:bookmarkStart w:id="436" w:name="_Toc36207448"/>
      <w:bookmarkStart w:id="437" w:name="_Toc38987227"/>
      <w:r w:rsidRPr="00B53F89">
        <w:t>900 MHz</w:t>
      </w:r>
      <w:bookmarkEnd w:id="435"/>
      <w:bookmarkEnd w:id="436"/>
      <w:bookmarkEnd w:id="437"/>
    </w:p>
    <w:p w14:paraId="3426EDC2" w14:textId="5E5A44C7" w:rsidR="001F03F1" w:rsidRPr="00B53F89" w:rsidRDefault="001F03F1" w:rsidP="001F03F1">
      <w:r w:rsidRPr="00B53F89">
        <w:t xml:space="preserve">In October 2017, </w:t>
      </w:r>
      <w:r w:rsidR="00F40BC9">
        <w:t>we</w:t>
      </w:r>
      <w:r w:rsidRPr="00B53F89">
        <w:t xml:space="preserve"> published</w:t>
      </w:r>
      <w:r w:rsidRPr="00B53F89" w:rsidDel="00F40BC9">
        <w:t xml:space="preserve"> </w:t>
      </w:r>
      <w:r w:rsidR="00F40BC9">
        <w:t>our</w:t>
      </w:r>
      <w:r w:rsidR="00F40BC9" w:rsidRPr="00B53F89">
        <w:t xml:space="preserve"> </w:t>
      </w:r>
      <w:r w:rsidRPr="00B53F89">
        <w:t xml:space="preserve">planning decision on the 900 MHz band, and consulted on specific configuration arrangements for the band in </w:t>
      </w:r>
      <w:hyperlink r:id="rId100" w:history="1">
        <w:r w:rsidRPr="006A2F04">
          <w:rPr>
            <w:rStyle w:val="Hyperlink"/>
            <w:i/>
            <w:iCs/>
          </w:rPr>
          <w:t>Reconfiguring the 890−915/935−960 MHz band: Way forward</w:t>
        </w:r>
      </w:hyperlink>
      <w:r w:rsidRPr="00B53F89">
        <w:t xml:space="preserve">. Submitters to the 900 MHz reconfiguration consultations raised concerns about the spectrum available for </w:t>
      </w:r>
      <w:r w:rsidRPr="00B53F89">
        <w:lastRenderedPageBreak/>
        <w:t>reallocation, including the role of 900 MHz in 3G regional coverage, and mitigations for consumers migrating from 2G to 3G and 4G technologies.</w:t>
      </w:r>
    </w:p>
    <w:p w14:paraId="10677AB3" w14:textId="480D5F15" w:rsidR="00D936EF" w:rsidRDefault="001F03F1" w:rsidP="001F03F1">
      <w:r w:rsidRPr="00B53F89">
        <w:t xml:space="preserve">Further consultation on configuration options for the 900 MHz band </w:t>
      </w:r>
      <w:r w:rsidR="00125B1C" w:rsidRPr="00B53F89">
        <w:t xml:space="preserve">was </w:t>
      </w:r>
      <w:r w:rsidRPr="00B53F89">
        <w:t>conducted in Q</w:t>
      </w:r>
      <w:r w:rsidR="00E00B33" w:rsidRPr="00B53F89">
        <w:t>2</w:t>
      </w:r>
      <w:r w:rsidRPr="00B53F89">
        <w:t xml:space="preserve"> 2019</w:t>
      </w:r>
      <w:r w:rsidR="00C0070D" w:rsidRPr="00B53F89">
        <w:t xml:space="preserve"> (see </w:t>
      </w:r>
      <w:hyperlink r:id="rId101" w:history="1">
        <w:r w:rsidR="00C0070D" w:rsidRPr="006A2F04">
          <w:rPr>
            <w:rStyle w:val="Hyperlink"/>
            <w:i/>
            <w:iCs/>
          </w:rPr>
          <w:t>Reconfiguring the 900 MHz band</w:t>
        </w:r>
      </w:hyperlink>
      <w:r w:rsidR="00C0070D" w:rsidRPr="00B53F89">
        <w:t>)</w:t>
      </w:r>
      <w:r w:rsidRPr="00B53F89">
        <w:t>.</w:t>
      </w:r>
      <w:r w:rsidR="008C0480" w:rsidRPr="00B53F89">
        <w:t xml:space="preserve"> </w:t>
      </w:r>
      <w:r w:rsidR="00F40BC9">
        <w:t>Our</w:t>
      </w:r>
      <w:r w:rsidR="007E4B7B" w:rsidRPr="00B53F89">
        <w:t xml:space="preserve"> approach include</w:t>
      </w:r>
      <w:r w:rsidR="00D936EF">
        <w:t>d</w:t>
      </w:r>
      <w:r w:rsidR="007E4B7B" w:rsidRPr="00B53F89">
        <w:t xml:space="preserve"> </w:t>
      </w:r>
      <w:r w:rsidR="007E4B7B" w:rsidRPr="00B53F89">
        <w:rPr>
          <w:szCs w:val="20"/>
        </w:rPr>
        <w:t xml:space="preserve">a focus on optimising the band for </w:t>
      </w:r>
      <w:r w:rsidR="00B3622F" w:rsidRPr="00B53F89">
        <w:rPr>
          <w:szCs w:val="20"/>
        </w:rPr>
        <w:t xml:space="preserve">4G (and in the </w:t>
      </w:r>
      <w:r w:rsidR="007E4B7B" w:rsidRPr="00B53F89">
        <w:rPr>
          <w:szCs w:val="20"/>
        </w:rPr>
        <w:t>longer term 5G</w:t>
      </w:r>
      <w:r w:rsidR="00B3622F" w:rsidRPr="00B53F89">
        <w:rPr>
          <w:szCs w:val="20"/>
        </w:rPr>
        <w:t>)</w:t>
      </w:r>
      <w:r w:rsidR="007E4B7B" w:rsidRPr="00B53F89">
        <w:rPr>
          <w:szCs w:val="20"/>
        </w:rPr>
        <w:t>, providing flexibility for licensees to negotiate a downshift in the 850 MHz band, conversion to longer term licence tenure</w:t>
      </w:r>
      <w:r w:rsidR="00B64CCC" w:rsidRPr="00B53F89">
        <w:rPr>
          <w:szCs w:val="20"/>
        </w:rPr>
        <w:t>, and enabling licensees to mitigate risks to consumer services</w:t>
      </w:r>
      <w:r w:rsidR="007E4B7B" w:rsidRPr="00B53F89">
        <w:t>.</w:t>
      </w:r>
    </w:p>
    <w:p w14:paraId="5D15E95E" w14:textId="23FB55CC" w:rsidR="00D936EF" w:rsidRDefault="00D936EF" w:rsidP="001F03F1">
      <w:r w:rsidRPr="00D936EF">
        <w:t xml:space="preserve">A key issue raised in the consultation concerned the risk to continuity of service provision to consumers that could arise should an operator not be successful in gaining access to spectrum. </w:t>
      </w:r>
    </w:p>
    <w:p w14:paraId="33F350F6" w14:textId="3D61B14A" w:rsidR="001F03F1" w:rsidRDefault="00D936EF" w:rsidP="001F03F1">
      <w:r>
        <w:t>I</w:t>
      </w:r>
      <w:r w:rsidRPr="00D936EF">
        <w:t>n December 2019</w:t>
      </w:r>
      <w:r>
        <w:t xml:space="preserve">, </w:t>
      </w:r>
      <w:r w:rsidR="001F694F">
        <w:t>we</w:t>
      </w:r>
      <w:r>
        <w:t xml:space="preserve"> released</w:t>
      </w:r>
      <w:r w:rsidRPr="00D936EF">
        <w:t xml:space="preserve"> a decisions paper for the reconfiguration of the 900 MHz band and allocation of the 850 MHz expansion band. In the paper, </w:t>
      </w:r>
      <w:r w:rsidR="001F694F">
        <w:t>we</w:t>
      </w:r>
      <w:r w:rsidRPr="00D936EF">
        <w:t xml:space="preserve"> indicated </w:t>
      </w:r>
      <w:r w:rsidR="001F694F">
        <w:t>we</w:t>
      </w:r>
      <w:r w:rsidR="001F694F" w:rsidRPr="00D936EF">
        <w:t xml:space="preserve"> </w:t>
      </w:r>
      <w:r w:rsidRPr="00D936EF">
        <w:t>remain</w:t>
      </w:r>
      <w:r w:rsidR="001F694F">
        <w:t>ed</w:t>
      </w:r>
      <w:r w:rsidRPr="00D936EF">
        <w:t xml:space="preserve"> of the view that the best way to achieve reconfiguration of the 900 MHz band is to undertake a band clearance and price-based allocation in conjunction with an allocation of spectrum in the 850 MHz expansion </w:t>
      </w:r>
      <w:r w:rsidRPr="00D936EF" w:rsidDel="004C0B22">
        <w:t>band</w:t>
      </w:r>
      <w:r w:rsidR="004C0B22" w:rsidRPr="00D936EF">
        <w:t>.</w:t>
      </w:r>
    </w:p>
    <w:p w14:paraId="53328A12" w14:textId="67DB43CA" w:rsidR="00F56121" w:rsidRPr="00B53F89" w:rsidRDefault="00F56121" w:rsidP="00D04000">
      <w:r w:rsidRPr="00F56121">
        <w:t xml:space="preserve">To give effect to the decisions and preliminary views outlined </w:t>
      </w:r>
      <w:r>
        <w:t>in the decisions paper</w:t>
      </w:r>
      <w:r w:rsidRPr="00F56121">
        <w:t xml:space="preserve">, </w:t>
      </w:r>
      <w:r w:rsidR="001F694F">
        <w:t>we</w:t>
      </w:r>
      <w:r w:rsidRPr="00F56121">
        <w:t xml:space="preserve"> </w:t>
      </w:r>
      <w:r w:rsidR="0044430C">
        <w:t>will</w:t>
      </w:r>
      <w:r w:rsidRPr="00F56121">
        <w:t xml:space="preserve"> commence work on the reallocation of the 900 MHz band and the 850 MHz expansion band. This will include consultation on a draft reallocation recommendation to the Minster.</w:t>
      </w:r>
    </w:p>
    <w:p w14:paraId="10567B69" w14:textId="1B9218C6" w:rsidR="00770CB1" w:rsidRPr="00B53F89" w:rsidRDefault="00770CB1" w:rsidP="0054588C">
      <w:pPr>
        <w:spacing w:before="60" w:after="0"/>
      </w:pPr>
      <w:r w:rsidRPr="006A2F04">
        <w:rPr>
          <w:noProof/>
        </w:rPr>
        <w:drawing>
          <wp:inline distT="0" distB="0" distL="0" distR="0" wp14:anchorId="3DEB3B3F" wp14:editId="044CC305">
            <wp:extent cx="342900" cy="361950"/>
            <wp:effectExtent l="0" t="0" r="0" b="0"/>
            <wp:docPr id="99" name="Picture 99"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FE7029" w:rsidRPr="006A2F04">
        <w:rPr>
          <w:noProof/>
        </w:rPr>
        <w:drawing>
          <wp:inline distT="0" distB="0" distL="0" distR="0" wp14:anchorId="0A81FC91" wp14:editId="37C2F61B">
            <wp:extent cx="341630" cy="359410"/>
            <wp:effectExtent l="0" t="0" r="1270" b="2540"/>
            <wp:docPr id="195" name="Picture 195"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00051029" w:rsidRPr="006A2F04">
        <w:rPr>
          <w:noProof/>
        </w:rPr>
        <w:drawing>
          <wp:inline distT="0" distB="0" distL="0" distR="0" wp14:anchorId="0AC6C27B" wp14:editId="061F9C3D">
            <wp:extent cx="342900" cy="361950"/>
            <wp:effectExtent l="0" t="0" r="0" b="0"/>
            <wp:docPr id="181" name="Picture 181" descr="Radio/TV broadcas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adio/TV broadcasting ic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DF1BA4" w:rsidRPr="006A2F04">
        <w:rPr>
          <w:noProof/>
        </w:rPr>
        <w:drawing>
          <wp:inline distT="0" distB="0" distL="0" distR="0" wp14:anchorId="762933A2" wp14:editId="25AEB2DB">
            <wp:extent cx="342900" cy="361950"/>
            <wp:effectExtent l="0" t="0" r="0" b="0"/>
            <wp:docPr id="180" name="Picture 180" descr="Avi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viation icon"/>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B43FB0" w:rsidRPr="006A2F04">
        <w:rPr>
          <w:noProof/>
        </w:rPr>
        <w:drawing>
          <wp:inline distT="0" distB="0" distL="0" distR="0" wp14:anchorId="47B9726C" wp14:editId="3067649D">
            <wp:extent cx="342900" cy="361950"/>
            <wp:effectExtent l="0" t="0" r="0" b="0"/>
            <wp:docPr id="182" name="Picture 182" descr="Point to multi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int to multipoint ico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B43FB0" w:rsidRPr="006A2F04">
        <w:rPr>
          <w:noProof/>
        </w:rPr>
        <w:drawing>
          <wp:inline distT="0" distB="0" distL="0" distR="0" wp14:anchorId="48DBA1C9" wp14:editId="2CDA897E">
            <wp:extent cx="342900" cy="361950"/>
            <wp:effectExtent l="0" t="0" r="0" b="0"/>
            <wp:docPr id="183" name="Picture 183"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B43FB0" w:rsidRPr="006A2F04">
        <w:rPr>
          <w:noProof/>
        </w:rPr>
        <w:drawing>
          <wp:inline distT="0" distB="0" distL="0" distR="0" wp14:anchorId="7873C140" wp14:editId="0BC9AAB7">
            <wp:extent cx="342900" cy="361950"/>
            <wp:effectExtent l="0" t="0" r="0" b="0"/>
            <wp:docPr id="184" name="Picture 184" descr="Defen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fence icon"/>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29D1B2A3" wp14:editId="29C6C435">
            <wp:extent cx="342900" cy="361950"/>
            <wp:effectExtent l="0" t="0" r="0" b="0"/>
            <wp:docPr id="100" name="Picture 100"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3D39851D" w14:textId="706799C0" w:rsidR="001F03F1" w:rsidRPr="00B53F89" w:rsidRDefault="001F03F1" w:rsidP="0054588C">
      <w:pPr>
        <w:pStyle w:val="Heading3"/>
        <w:keepNext w:val="0"/>
      </w:pPr>
      <w:bookmarkStart w:id="438" w:name="_Toc31892832"/>
      <w:bookmarkStart w:id="439" w:name="_Toc36207449"/>
      <w:bookmarkStart w:id="440" w:name="_Toc38987228"/>
      <w:r w:rsidRPr="00B53F89">
        <w:t>1.5 GHz</w:t>
      </w:r>
      <w:bookmarkEnd w:id="438"/>
      <w:bookmarkEnd w:id="439"/>
      <w:bookmarkEnd w:id="440"/>
    </w:p>
    <w:p w14:paraId="596BA6B7" w14:textId="59C120B2" w:rsidR="00002B03" w:rsidRPr="00B53F89" w:rsidRDefault="00002B03" w:rsidP="00513FDE">
      <w:r w:rsidRPr="00B53F89">
        <w:t xml:space="preserve">In June 2017, </w:t>
      </w:r>
      <w:r w:rsidR="001F694F">
        <w:t>we</w:t>
      </w:r>
      <w:r w:rsidRPr="00B53F89">
        <w:t xml:space="preserve"> released a </w:t>
      </w:r>
      <w:r w:rsidR="001077CF" w:rsidRPr="001077CF">
        <w:rPr>
          <w:rFonts w:eastAsiaTheme="majorEastAsia"/>
        </w:rPr>
        <w:t>consultation package</w:t>
      </w:r>
      <w:r w:rsidRPr="00B53F89">
        <w:t xml:space="preserve"> including </w:t>
      </w:r>
      <w:hyperlink r:id="rId102" w:history="1">
        <w:r w:rsidRPr="00B53F89">
          <w:rPr>
            <w:rStyle w:val="Hyperlink"/>
            <w:rFonts w:cs="Arial"/>
            <w:i/>
            <w:szCs w:val="20"/>
          </w:rPr>
          <w:t>Future use of the 1.5 GHz and 3.6 GHz bands—Summary of and response to 3.6 GHz submissions</w:t>
        </w:r>
      </w:hyperlink>
      <w:r w:rsidRPr="00B53F89">
        <w:t xml:space="preserve">. This detailed the ACMA’s decision to progress the 1.5 GHz band to the </w:t>
      </w:r>
      <w:r w:rsidRPr="00B53F89">
        <w:rPr>
          <w:i/>
        </w:rPr>
        <w:t>preliminary replanning</w:t>
      </w:r>
      <w:r w:rsidRPr="00B53F89">
        <w:t xml:space="preserve"> stage of the ACMA’s process for consideration of additional spectrum for </w:t>
      </w:r>
      <w:r w:rsidR="008C0480" w:rsidRPr="00B53F89">
        <w:t>mobile broadband</w:t>
      </w:r>
      <w:r w:rsidRPr="00B53F89">
        <w:t xml:space="preserve"> services.</w:t>
      </w:r>
    </w:p>
    <w:p w14:paraId="6CF67C42" w14:textId="5D3D6036" w:rsidR="00EA1B63" w:rsidRPr="00B53F89" w:rsidRDefault="000908EE" w:rsidP="00513FDE">
      <w:pPr>
        <w:rPr>
          <w:rFonts w:cs="Arial"/>
          <w:szCs w:val="20"/>
        </w:rPr>
      </w:pPr>
      <w:r w:rsidRPr="00B53F89">
        <w:rPr>
          <w:rFonts w:eastAsiaTheme="majorEastAsia"/>
        </w:rPr>
        <w:t>Ongoing work in international spectrum harmonisation, technology standardisation and coexistence with other services will clarify the amount of spectrum that could be made available for allocation</w:t>
      </w:r>
      <w:r w:rsidRPr="00B53F89" w:rsidDel="001F694F">
        <w:rPr>
          <w:rFonts w:eastAsiaTheme="majorEastAsia"/>
        </w:rPr>
        <w:t>.</w:t>
      </w:r>
      <w:r w:rsidRPr="00B53F89" w:rsidDel="001F694F">
        <w:rPr>
          <w:rFonts w:eastAsiaTheme="majorEastAsia" w:cs="Arial"/>
          <w:szCs w:val="20"/>
        </w:rPr>
        <w:t xml:space="preserve"> </w:t>
      </w:r>
      <w:r w:rsidR="00925362" w:rsidRPr="00B53F89">
        <w:rPr>
          <w:rFonts w:cs="Arial"/>
          <w:szCs w:val="20"/>
        </w:rPr>
        <w:t xml:space="preserve">This and other </w:t>
      </w:r>
      <w:r w:rsidR="00EE6E9B" w:rsidRPr="00B53F89">
        <w:rPr>
          <w:rFonts w:cs="Arial"/>
          <w:szCs w:val="20"/>
        </w:rPr>
        <w:t>considerations</w:t>
      </w:r>
      <w:r w:rsidR="00925362" w:rsidRPr="00B53F89">
        <w:rPr>
          <w:rFonts w:cs="Arial"/>
          <w:szCs w:val="20"/>
        </w:rPr>
        <w:t xml:space="preserve"> would be determined in further replanning activities that would be undertaken together with co</w:t>
      </w:r>
      <w:r w:rsidR="00EE6E9B" w:rsidRPr="00B53F89">
        <w:rPr>
          <w:rFonts w:cs="Arial"/>
          <w:szCs w:val="20"/>
        </w:rPr>
        <w:t>nsid</w:t>
      </w:r>
      <w:r w:rsidR="00925362" w:rsidRPr="00B53F89">
        <w:rPr>
          <w:rFonts w:cs="Arial"/>
          <w:szCs w:val="20"/>
        </w:rPr>
        <w:t>er</w:t>
      </w:r>
      <w:r w:rsidR="001D6F68" w:rsidRPr="00B53F89">
        <w:rPr>
          <w:rFonts w:cs="Arial"/>
          <w:szCs w:val="20"/>
        </w:rPr>
        <w:t>ation of</w:t>
      </w:r>
      <w:r w:rsidR="00925362" w:rsidRPr="00B53F89">
        <w:rPr>
          <w:rFonts w:cs="Arial"/>
          <w:szCs w:val="20"/>
        </w:rPr>
        <w:t xml:space="preserve"> the upper adjacent band that is of interest for L</w:t>
      </w:r>
      <w:r w:rsidR="008B211A" w:rsidRPr="00B53F89">
        <w:rPr>
          <w:rFonts w:cs="Arial"/>
          <w:szCs w:val="20"/>
        </w:rPr>
        <w:t>-</w:t>
      </w:r>
      <w:r w:rsidR="00925362" w:rsidRPr="00B53F89">
        <w:rPr>
          <w:rFonts w:cs="Arial"/>
          <w:szCs w:val="20"/>
        </w:rPr>
        <w:t>band MSS services.</w:t>
      </w:r>
    </w:p>
    <w:p w14:paraId="37134929" w14:textId="0229650E" w:rsidR="00F05FB5" w:rsidRPr="00F05FB5" w:rsidRDefault="006F5B0F" w:rsidP="00D04000">
      <w:r w:rsidRPr="00B53F89">
        <w:t xml:space="preserve">Feedback to the </w:t>
      </w:r>
      <w:r w:rsidR="005548E6" w:rsidRPr="00B53F89">
        <w:t xml:space="preserve">draft </w:t>
      </w:r>
      <w:r w:rsidRPr="00B53F89">
        <w:t>FYSO 201</w:t>
      </w:r>
      <w:r w:rsidR="005548E6" w:rsidRPr="00B53F89">
        <w:t>9</w:t>
      </w:r>
      <w:r w:rsidR="00243870" w:rsidRPr="00B53F89">
        <w:t>–</w:t>
      </w:r>
      <w:r w:rsidRPr="00B53F89">
        <w:t>2</w:t>
      </w:r>
      <w:r w:rsidR="005548E6" w:rsidRPr="00B53F89">
        <w:t>3</w:t>
      </w:r>
      <w:r w:rsidRPr="00B53F89">
        <w:t xml:space="preserve"> </w:t>
      </w:r>
      <w:r w:rsidR="00F05FB5">
        <w:t>indicated there was</w:t>
      </w:r>
      <w:r w:rsidR="00F05FB5" w:rsidRPr="00B53F89">
        <w:t xml:space="preserve"> </w:t>
      </w:r>
      <w:r w:rsidRPr="00B53F89">
        <w:t>a lower level of near-term domestic interest</w:t>
      </w:r>
      <w:r w:rsidR="005548E6" w:rsidRPr="00B53F89">
        <w:t xml:space="preserve"> in the reallocation of this band</w:t>
      </w:r>
      <w:r w:rsidRPr="00B53F89">
        <w:t>, compared to other potential wireless broadband bands</w:t>
      </w:r>
      <w:r w:rsidR="005548E6" w:rsidRPr="00B53F89">
        <w:t xml:space="preserve">. </w:t>
      </w:r>
      <w:r w:rsidR="00F05FB5">
        <w:t xml:space="preserve">However, there is interest in using the band for private LTE as well as progressing a review of the adjacent </w:t>
      </w:r>
      <w:r w:rsidR="00F05FB5" w:rsidRPr="00B53F89">
        <w:t xml:space="preserve">MSS </w:t>
      </w:r>
      <w:r w:rsidR="00F05FB5">
        <w:t xml:space="preserve">bands </w:t>
      </w:r>
      <w:r w:rsidR="00F05FB5" w:rsidRPr="00B53F89">
        <w:t>above 1518 MHz</w:t>
      </w:r>
      <w:r w:rsidR="00F05FB5">
        <w:t xml:space="preserve">. Since a decision in one band affects </w:t>
      </w:r>
      <w:r w:rsidR="00F05FB5" w:rsidRPr="00B53F89">
        <w:t xml:space="preserve">the </w:t>
      </w:r>
      <w:r w:rsidR="00F05FB5">
        <w:t xml:space="preserve">other, a </w:t>
      </w:r>
      <w:r w:rsidR="00F05FB5" w:rsidRPr="00B53F89">
        <w:t xml:space="preserve">simultaneous review of the extended MSS L-band and the 1.5 GHz bands </w:t>
      </w:r>
      <w:r w:rsidR="00F05FB5">
        <w:t xml:space="preserve">would seem </w:t>
      </w:r>
      <w:r w:rsidR="00F05FB5" w:rsidRPr="00B53F89">
        <w:t>appropriate.</w:t>
      </w:r>
      <w:r w:rsidR="00F05FB5">
        <w:t xml:space="preserve"> The priority to place on such a review is considered in the </w:t>
      </w:r>
      <w:r w:rsidR="00F05FB5">
        <w:rPr>
          <w:i/>
          <w:iCs/>
        </w:rPr>
        <w:t xml:space="preserve">Future band planning </w:t>
      </w:r>
      <w:r w:rsidR="00F05FB5">
        <w:t>section.</w:t>
      </w:r>
    </w:p>
    <w:p w14:paraId="5F83E7E8" w14:textId="538383EC" w:rsidR="00AD2FEE" w:rsidRPr="00B53F89" w:rsidRDefault="00B7374B" w:rsidP="0054588C">
      <w:pPr>
        <w:spacing w:before="60" w:after="0"/>
      </w:pPr>
      <w:r w:rsidRPr="006A2F04">
        <w:rPr>
          <w:noProof/>
        </w:rPr>
        <w:drawing>
          <wp:inline distT="0" distB="0" distL="0" distR="0" wp14:anchorId="4711AEB3" wp14:editId="0C67E69E">
            <wp:extent cx="342900" cy="361950"/>
            <wp:effectExtent l="0" t="0" r="0" b="0"/>
            <wp:docPr id="165" name="Picture 165"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21381F" w:rsidRPr="006A2F04">
        <w:rPr>
          <w:noProof/>
        </w:rPr>
        <w:drawing>
          <wp:inline distT="0" distB="0" distL="0" distR="0" wp14:anchorId="596EDD62" wp14:editId="0D2FD225">
            <wp:extent cx="342900" cy="361950"/>
            <wp:effectExtent l="0" t="0" r="0" b="0"/>
            <wp:docPr id="6" name="Picture 6" descr="Radio/TV broadcas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adio/TV broadcasting ic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21C12DA6" wp14:editId="0B01109A">
            <wp:extent cx="342900" cy="361950"/>
            <wp:effectExtent l="0" t="0" r="0" b="0"/>
            <wp:docPr id="166" name="Picture 166" descr="Class licens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ass licensing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17421ABE" wp14:editId="5E08AA7C">
            <wp:extent cx="342900" cy="361950"/>
            <wp:effectExtent l="0" t="0" r="0" b="0"/>
            <wp:docPr id="167" name="Picture 167" descr="Point to multi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int to multipoint ico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21381F" w:rsidRPr="006A2F04">
        <w:rPr>
          <w:noProof/>
        </w:rPr>
        <w:drawing>
          <wp:inline distT="0" distB="0" distL="0" distR="0" wp14:anchorId="24181ACC" wp14:editId="4BC8BF87">
            <wp:extent cx="342900" cy="361950"/>
            <wp:effectExtent l="0" t="0" r="0" b="0"/>
            <wp:docPr id="12" name="Picture 12"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7D8D13F2" wp14:editId="28432F77">
            <wp:extent cx="342900" cy="361950"/>
            <wp:effectExtent l="0" t="0" r="0" b="0"/>
            <wp:docPr id="168" name="Picture 168" descr="Amateur radi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mateur radio ico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FE7029" w:rsidRPr="006A2F04">
        <w:rPr>
          <w:noProof/>
        </w:rPr>
        <w:drawing>
          <wp:inline distT="0" distB="0" distL="0" distR="0" wp14:anchorId="7F60DC4E" wp14:editId="41F0A621">
            <wp:extent cx="341630" cy="359410"/>
            <wp:effectExtent l="0" t="0" r="1270" b="2540"/>
            <wp:docPr id="196" name="Picture 196"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0021381F" w:rsidRPr="006A2F04">
        <w:rPr>
          <w:noProof/>
        </w:rPr>
        <w:drawing>
          <wp:inline distT="0" distB="0" distL="0" distR="0" wp14:anchorId="7768E74C" wp14:editId="0E7E4466">
            <wp:extent cx="342900" cy="361950"/>
            <wp:effectExtent l="0" t="0" r="0" b="0"/>
            <wp:docPr id="15" name="Picture 15"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70A0A7B9" w14:textId="0DAF196F" w:rsidR="00953D65" w:rsidRPr="00B53F89" w:rsidRDefault="00953D65" w:rsidP="0054588C">
      <w:pPr>
        <w:pStyle w:val="Heading3"/>
        <w:keepNext w:val="0"/>
        <w:rPr>
          <w:rFonts w:eastAsiaTheme="majorEastAsia"/>
        </w:rPr>
      </w:pPr>
      <w:bookmarkStart w:id="441" w:name="_Toc31892833"/>
      <w:bookmarkStart w:id="442" w:name="_Toc36207450"/>
      <w:bookmarkStart w:id="443" w:name="_Toc38987229"/>
      <w:r w:rsidRPr="00B53F89">
        <w:t>34</w:t>
      </w:r>
      <w:r w:rsidR="00EE3C7B" w:rsidRPr="00B53F89">
        <w:t>00</w:t>
      </w:r>
      <w:r w:rsidRPr="00B53F89">
        <w:t xml:space="preserve">–3575 </w:t>
      </w:r>
      <w:r w:rsidR="00EE3C7B" w:rsidRPr="00B53F89">
        <w:rPr>
          <w:rFonts w:eastAsiaTheme="majorEastAsia"/>
        </w:rPr>
        <w:t>M</w:t>
      </w:r>
      <w:r w:rsidRPr="00B53F89">
        <w:rPr>
          <w:rFonts w:eastAsiaTheme="majorEastAsia"/>
        </w:rPr>
        <w:t>Hz</w:t>
      </w:r>
      <w:bookmarkEnd w:id="441"/>
      <w:bookmarkEnd w:id="442"/>
      <w:bookmarkEnd w:id="443"/>
    </w:p>
    <w:p w14:paraId="76A9CDB2" w14:textId="3575E5D0" w:rsidR="008C0480" w:rsidRPr="00B53F89" w:rsidRDefault="00953D65" w:rsidP="0054588C">
      <w:r w:rsidRPr="00B53F89">
        <w:t>Stakeholder engagement in the lead</w:t>
      </w:r>
      <w:r w:rsidR="00C171A0" w:rsidRPr="00B53F89">
        <w:t>-</w:t>
      </w:r>
      <w:r w:rsidRPr="00B53F89">
        <w:t xml:space="preserve">up to the 3.6 GHz auction in 2018 identified optimising spectrum </w:t>
      </w:r>
      <w:r w:rsidR="00181D78" w:rsidRPr="00B53F89">
        <w:t>and apparatus licence arrangements</w:t>
      </w:r>
      <w:r w:rsidRPr="00B53F89" w:rsidDel="00181D78">
        <w:t xml:space="preserve"> </w:t>
      </w:r>
      <w:r w:rsidRPr="00B53F89">
        <w:t xml:space="preserve">in the adjacent </w:t>
      </w:r>
      <w:r w:rsidR="00EE3C7B" w:rsidRPr="00B53F89">
        <w:t>3400–3575 MHz</w:t>
      </w:r>
      <w:r w:rsidRPr="00B53F89">
        <w:t xml:space="preserve"> band as an important priority. This </w:t>
      </w:r>
      <w:r w:rsidR="00181D78" w:rsidRPr="00B53F89">
        <w:t>is</w:t>
      </w:r>
      <w:r w:rsidRPr="00B53F89">
        <w:t xml:space="preserve"> expected to </w:t>
      </w:r>
      <w:r w:rsidR="00181D78" w:rsidRPr="00B53F89">
        <w:t xml:space="preserve">result in more efficient use of spectrum and a reduction in deployment costs. </w:t>
      </w:r>
    </w:p>
    <w:p w14:paraId="3C08BE0B" w14:textId="4F1AACDA" w:rsidR="00176D22" w:rsidRPr="00B53F89" w:rsidRDefault="001F694F" w:rsidP="004D24AA">
      <w:pPr>
        <w:pStyle w:val="Paragraphbeforelist"/>
        <w:keepNext/>
        <w:keepLines/>
      </w:pPr>
      <w:r>
        <w:lastRenderedPageBreak/>
        <w:t>We</w:t>
      </w:r>
      <w:r w:rsidR="00814452" w:rsidRPr="00B53F89">
        <w:t xml:space="preserve"> </w:t>
      </w:r>
      <w:r w:rsidR="005E47C6" w:rsidRPr="00B53F89">
        <w:t>release</w:t>
      </w:r>
      <w:r>
        <w:t>d</w:t>
      </w:r>
      <w:r w:rsidR="00953D65" w:rsidRPr="00B53F89" w:rsidDel="001F694F">
        <w:t xml:space="preserve"> </w:t>
      </w:r>
      <w:r w:rsidR="00953D65" w:rsidRPr="00B53F89">
        <w:t xml:space="preserve">an </w:t>
      </w:r>
      <w:hyperlink r:id="rId103" w:history="1">
        <w:r w:rsidR="00953D65" w:rsidRPr="00B53F89">
          <w:rPr>
            <w:rStyle w:val="Hyperlink"/>
          </w:rPr>
          <w:t>options paper</w:t>
        </w:r>
      </w:hyperlink>
      <w:r w:rsidR="00953D65" w:rsidRPr="00B53F89">
        <w:t xml:space="preserve"> </w:t>
      </w:r>
      <w:r w:rsidR="00150635" w:rsidRPr="00B53F89">
        <w:t xml:space="preserve">in </w:t>
      </w:r>
      <w:r w:rsidR="005E47C6" w:rsidRPr="00B53F89">
        <w:t>April 2019</w:t>
      </w:r>
      <w:r>
        <w:t xml:space="preserve"> and</w:t>
      </w:r>
      <w:r w:rsidR="002A1669">
        <w:t xml:space="preserve"> announced the outcomes of this review in November 2019. This included:</w:t>
      </w:r>
      <w:r w:rsidR="00814452" w:rsidRPr="00B53F89">
        <w:t xml:space="preserve"> </w:t>
      </w:r>
    </w:p>
    <w:p w14:paraId="6BF1607B" w14:textId="6BD92856" w:rsidR="00105E63" w:rsidRDefault="00105E63" w:rsidP="004D24AA">
      <w:pPr>
        <w:pStyle w:val="Bulletlevel1"/>
        <w:keepNext/>
        <w:keepLines/>
      </w:pPr>
      <w:r>
        <w:t>restacking incumbent services to consolidated arrangements</w:t>
      </w:r>
    </w:p>
    <w:p w14:paraId="2CD422EF" w14:textId="7410B929" w:rsidR="00105E63" w:rsidRDefault="00F25F7B" w:rsidP="004D24AA">
      <w:pPr>
        <w:pStyle w:val="Bulletlevel1"/>
        <w:keepNext/>
        <w:keepLines/>
      </w:pPr>
      <w:r>
        <w:t>if</w:t>
      </w:r>
      <w:r w:rsidR="00105E63">
        <w:t xml:space="preserve"> the Minister </w:t>
      </w:r>
      <w:r>
        <w:t xml:space="preserve">makes a decision </w:t>
      </w:r>
      <w:r w:rsidR="00105E63">
        <w:t>to designate spectrum, converting NBN Co’s apparatus licences to spectrum licences</w:t>
      </w:r>
    </w:p>
    <w:p w14:paraId="749CC441" w14:textId="725CC4A8" w:rsidR="00105E63" w:rsidRDefault="00105E63" w:rsidP="00513FDE">
      <w:pPr>
        <w:pStyle w:val="Bulletlevel1"/>
      </w:pPr>
      <w:r>
        <w:t>making more spectrum available for point-to-multipoint apparatus licensing in regional and remote areas</w:t>
      </w:r>
    </w:p>
    <w:p w14:paraId="363A0FC0" w14:textId="409C4A83" w:rsidR="00105E63" w:rsidRDefault="00022ECA" w:rsidP="00513FDE">
      <w:pPr>
        <w:pStyle w:val="Bulletlevel1"/>
      </w:pPr>
      <w:r>
        <w:t>if</w:t>
      </w:r>
      <w:r w:rsidR="00105E63">
        <w:t xml:space="preserve"> the Minister </w:t>
      </w:r>
      <w:r>
        <w:t xml:space="preserve">makes a decision </w:t>
      </w:r>
      <w:r w:rsidR="00105E63">
        <w:t xml:space="preserve">to designate spectrum, making more spectrum available </w:t>
      </w:r>
      <w:r w:rsidR="001570CA">
        <w:t xml:space="preserve">for </w:t>
      </w:r>
      <w:r w:rsidR="00105E63">
        <w:t>spectrum licensing in regional areas</w:t>
      </w:r>
    </w:p>
    <w:p w14:paraId="17C838B8" w14:textId="2FA477E1" w:rsidR="00105E63" w:rsidRDefault="00105E63" w:rsidP="00513FDE">
      <w:pPr>
        <w:pStyle w:val="Bulletlevel1last"/>
      </w:pPr>
      <w:r>
        <w:t>excising unused urban areas of NBN Co’s licences in the band and making them available for use by other wireless broadband operators.</w:t>
      </w:r>
    </w:p>
    <w:p w14:paraId="3D64763E" w14:textId="4242708C" w:rsidR="000052BF" w:rsidRDefault="001F694F" w:rsidP="0054588C">
      <w:pPr>
        <w:rPr>
          <w:szCs w:val="20"/>
        </w:rPr>
      </w:pPr>
      <w:r>
        <w:t>We are</w:t>
      </w:r>
      <w:r w:rsidR="002A1669">
        <w:t xml:space="preserve"> </w:t>
      </w:r>
      <w:r w:rsidR="000052BF">
        <w:t>in the process</w:t>
      </w:r>
      <w:r>
        <w:t xml:space="preserve"> of</w:t>
      </w:r>
      <w:r w:rsidR="000052BF">
        <w:t xml:space="preserve"> implementing the outcomes of </w:t>
      </w:r>
      <w:r>
        <w:t xml:space="preserve">our </w:t>
      </w:r>
      <w:r w:rsidR="000052BF">
        <w:t>review of the 3400</w:t>
      </w:r>
      <w:r>
        <w:t>–</w:t>
      </w:r>
      <w:r w:rsidR="000052BF">
        <w:t xml:space="preserve">3575 MHz band. </w:t>
      </w:r>
      <w:r w:rsidR="002A1669">
        <w:rPr>
          <w:szCs w:val="20"/>
        </w:rPr>
        <w:t>Initially</w:t>
      </w:r>
      <w:r>
        <w:rPr>
          <w:szCs w:val="20"/>
        </w:rPr>
        <w:t>,</w:t>
      </w:r>
      <w:r w:rsidR="002A1669">
        <w:rPr>
          <w:szCs w:val="20"/>
        </w:rPr>
        <w:t xml:space="preserve"> this involves restacking incumbent services in the band. </w:t>
      </w:r>
      <w:r w:rsidR="000052BF">
        <w:rPr>
          <w:szCs w:val="20"/>
        </w:rPr>
        <w:t>This is expected to be completed on or before 30 November 2020. Once this is done</w:t>
      </w:r>
      <w:r w:rsidR="00475EDE">
        <w:rPr>
          <w:szCs w:val="20"/>
        </w:rPr>
        <w:t>,</w:t>
      </w:r>
      <w:r w:rsidR="000052BF">
        <w:rPr>
          <w:szCs w:val="20"/>
        </w:rPr>
        <w:t xml:space="preserve"> and</w:t>
      </w:r>
      <w:r w:rsidR="002A1669">
        <w:rPr>
          <w:szCs w:val="20"/>
        </w:rPr>
        <w:t xml:space="preserve"> </w:t>
      </w:r>
      <w:r w:rsidR="00475EDE">
        <w:rPr>
          <w:szCs w:val="20"/>
        </w:rPr>
        <w:t>if</w:t>
      </w:r>
      <w:r w:rsidR="002A1669">
        <w:rPr>
          <w:szCs w:val="20"/>
        </w:rPr>
        <w:t xml:space="preserve"> the Minister </w:t>
      </w:r>
      <w:r w:rsidR="00F25F7B">
        <w:rPr>
          <w:szCs w:val="20"/>
        </w:rPr>
        <w:t xml:space="preserve">makes a </w:t>
      </w:r>
      <w:r w:rsidR="00475EDE">
        <w:rPr>
          <w:szCs w:val="20"/>
        </w:rPr>
        <w:t>deci</w:t>
      </w:r>
      <w:r w:rsidR="00F25F7B">
        <w:rPr>
          <w:szCs w:val="20"/>
        </w:rPr>
        <w:t>sion</w:t>
      </w:r>
      <w:r w:rsidR="00475EDE">
        <w:rPr>
          <w:szCs w:val="20"/>
        </w:rPr>
        <w:t xml:space="preserve"> </w:t>
      </w:r>
      <w:r w:rsidR="002A1669">
        <w:rPr>
          <w:szCs w:val="20"/>
        </w:rPr>
        <w:t xml:space="preserve">to designate spectrum for spectrum licensing, </w:t>
      </w:r>
      <w:r w:rsidR="000052BF">
        <w:rPr>
          <w:szCs w:val="20"/>
        </w:rPr>
        <w:t xml:space="preserve">the process to </w:t>
      </w:r>
      <w:r w:rsidR="002A1669">
        <w:rPr>
          <w:szCs w:val="20"/>
        </w:rPr>
        <w:t>convert NBN Co’s apparatus licences to spectrum licences</w:t>
      </w:r>
      <w:r w:rsidR="000052BF">
        <w:rPr>
          <w:szCs w:val="20"/>
        </w:rPr>
        <w:t xml:space="preserve"> will commence</w:t>
      </w:r>
      <w:r w:rsidR="002A1669">
        <w:rPr>
          <w:szCs w:val="20"/>
        </w:rPr>
        <w:t>.</w:t>
      </w:r>
      <w:r w:rsidR="000052BF">
        <w:rPr>
          <w:szCs w:val="20"/>
        </w:rPr>
        <w:t xml:space="preserve"> Notionally</w:t>
      </w:r>
      <w:r>
        <w:rPr>
          <w:szCs w:val="20"/>
        </w:rPr>
        <w:t>,</w:t>
      </w:r>
      <w:r w:rsidR="000052BF">
        <w:rPr>
          <w:szCs w:val="20"/>
        </w:rPr>
        <w:t xml:space="preserve"> this will commence in Q3</w:t>
      </w:r>
      <w:r>
        <w:t>–</w:t>
      </w:r>
      <w:r w:rsidR="000052BF">
        <w:rPr>
          <w:szCs w:val="20"/>
        </w:rPr>
        <w:t>4 2020 and finish in Q2 2021.</w:t>
      </w:r>
      <w:r w:rsidR="002A1669">
        <w:rPr>
          <w:szCs w:val="20"/>
        </w:rPr>
        <w:t xml:space="preserve"> </w:t>
      </w:r>
    </w:p>
    <w:p w14:paraId="39A4F53D" w14:textId="2662669F" w:rsidR="00953D65" w:rsidRDefault="000052BF" w:rsidP="0054588C">
      <w:pPr>
        <w:rPr>
          <w:szCs w:val="20"/>
        </w:rPr>
      </w:pPr>
      <w:r>
        <w:rPr>
          <w:szCs w:val="20"/>
        </w:rPr>
        <w:t>Work on the allocation process for the</w:t>
      </w:r>
      <w:r w:rsidR="005C1983">
        <w:rPr>
          <w:szCs w:val="20"/>
        </w:rPr>
        <w:t xml:space="preserve"> anticipated</w:t>
      </w:r>
      <w:r>
        <w:rPr>
          <w:szCs w:val="20"/>
        </w:rPr>
        <w:t xml:space="preserve"> 25</w:t>
      </w:r>
      <w:r w:rsidR="001F694F">
        <w:t>–</w:t>
      </w:r>
      <w:r>
        <w:rPr>
          <w:szCs w:val="20"/>
        </w:rPr>
        <w:t>42.5 MHz of remaining spectrum covered in any Minister</w:t>
      </w:r>
      <w:r w:rsidR="001570CA">
        <w:rPr>
          <w:szCs w:val="20"/>
        </w:rPr>
        <w:t>ial</w:t>
      </w:r>
      <w:r>
        <w:rPr>
          <w:szCs w:val="20"/>
        </w:rPr>
        <w:t xml:space="preserve"> designation will commence after the conversions of NBN Co’s licences is comp</w:t>
      </w:r>
      <w:r w:rsidR="001570CA">
        <w:rPr>
          <w:szCs w:val="20"/>
        </w:rPr>
        <w:t>l</w:t>
      </w:r>
      <w:r>
        <w:rPr>
          <w:szCs w:val="20"/>
        </w:rPr>
        <w:t>eted</w:t>
      </w:r>
      <w:r w:rsidR="00105E63">
        <w:rPr>
          <w:szCs w:val="20"/>
        </w:rPr>
        <w:t xml:space="preserve"> and unused urban areas have been excised from their licence holdings</w:t>
      </w:r>
      <w:r>
        <w:rPr>
          <w:szCs w:val="20"/>
        </w:rPr>
        <w:t>. Notionally</w:t>
      </w:r>
      <w:r w:rsidR="001F694F">
        <w:rPr>
          <w:szCs w:val="20"/>
        </w:rPr>
        <w:t>,</w:t>
      </w:r>
      <w:r>
        <w:rPr>
          <w:szCs w:val="20"/>
        </w:rPr>
        <w:t xml:space="preserve"> an allocation </w:t>
      </w:r>
      <w:r w:rsidR="00FF1B88">
        <w:rPr>
          <w:szCs w:val="20"/>
        </w:rPr>
        <w:t>could o</w:t>
      </w:r>
      <w:r>
        <w:rPr>
          <w:szCs w:val="20"/>
        </w:rPr>
        <w:t xml:space="preserve">ccur in </w:t>
      </w:r>
      <w:r w:rsidR="00105E63">
        <w:rPr>
          <w:szCs w:val="20"/>
        </w:rPr>
        <w:t>Q3</w:t>
      </w:r>
      <w:r w:rsidR="001F694F">
        <w:t>–</w:t>
      </w:r>
      <w:r>
        <w:rPr>
          <w:szCs w:val="20"/>
        </w:rPr>
        <w:t>4 2022.</w:t>
      </w:r>
      <w:r w:rsidR="00E12491">
        <w:rPr>
          <w:szCs w:val="20"/>
        </w:rPr>
        <w:t xml:space="preserve"> </w:t>
      </w:r>
      <w:r w:rsidR="00E12491" w:rsidRPr="00E12491">
        <w:rPr>
          <w:szCs w:val="20"/>
        </w:rPr>
        <w:t xml:space="preserve">This may </w:t>
      </w:r>
      <w:r w:rsidR="00E12491">
        <w:rPr>
          <w:szCs w:val="20"/>
        </w:rPr>
        <w:t xml:space="preserve">also </w:t>
      </w:r>
      <w:r w:rsidR="00E12491" w:rsidRPr="00E12491">
        <w:rPr>
          <w:szCs w:val="20"/>
        </w:rPr>
        <w:t xml:space="preserve">include </w:t>
      </w:r>
      <w:r w:rsidR="00E12491">
        <w:rPr>
          <w:szCs w:val="20"/>
        </w:rPr>
        <w:t>75 MHz of spectrum excised from NBN Co’s spectrum licences</w:t>
      </w:r>
      <w:r w:rsidR="00E12491" w:rsidRPr="00E12491">
        <w:rPr>
          <w:szCs w:val="20"/>
        </w:rPr>
        <w:t>. If it does not, these areas will be made available via other appropriate means.</w:t>
      </w:r>
    </w:p>
    <w:p w14:paraId="6D0403B8" w14:textId="2807AF17" w:rsidR="00D624D1" w:rsidRPr="00B53F89" w:rsidRDefault="00D624D1" w:rsidP="0054588C">
      <w:pPr>
        <w:pStyle w:val="Heading3"/>
        <w:keepNext w:val="0"/>
        <w:rPr>
          <w:rFonts w:eastAsiaTheme="majorEastAsia"/>
        </w:rPr>
      </w:pPr>
      <w:bookmarkStart w:id="444" w:name="_Toc38987230"/>
      <w:r>
        <w:t>3700</w:t>
      </w:r>
      <w:r w:rsidR="001F694F">
        <w:t>–</w:t>
      </w:r>
      <w:r>
        <w:t>4200</w:t>
      </w:r>
      <w:r w:rsidRPr="00B53F89">
        <w:t xml:space="preserve"> </w:t>
      </w:r>
      <w:r w:rsidRPr="00B53F89">
        <w:rPr>
          <w:rFonts w:eastAsiaTheme="majorEastAsia"/>
        </w:rPr>
        <w:t>MHz</w:t>
      </w:r>
      <w:bookmarkEnd w:id="444"/>
    </w:p>
    <w:p w14:paraId="7D7570AB" w14:textId="417A207E" w:rsidR="00D624D1" w:rsidRPr="00B53F89" w:rsidRDefault="00D624D1" w:rsidP="0054588C">
      <w:r>
        <w:t>The 3700-4200 MHz band is currently being reviewed</w:t>
      </w:r>
      <w:r w:rsidR="001F694F">
        <w:t xml:space="preserve">, </w:t>
      </w:r>
      <w:r>
        <w:t xml:space="preserve">with a discussion paper released in 2019. That paper identified a number of trends that suggest there is the potential case for wireless broadband arrangements to be established in some of the band. </w:t>
      </w:r>
      <w:r w:rsidR="00E6270F">
        <w:t xml:space="preserve">No decisions have been made on the future of the band, including if and how spectrum would be allocated for wireless broadband services. </w:t>
      </w:r>
    </w:p>
    <w:p w14:paraId="03EDE66C" w14:textId="2CA0471C" w:rsidR="00AD2FEE" w:rsidRPr="00B53F89" w:rsidRDefault="00AD2FEE" w:rsidP="0054588C">
      <w:pPr>
        <w:spacing w:before="60" w:after="0"/>
      </w:pPr>
      <w:r w:rsidRPr="006A2F04">
        <w:rPr>
          <w:noProof/>
        </w:rPr>
        <w:drawing>
          <wp:inline distT="0" distB="0" distL="0" distR="0" wp14:anchorId="2F193333" wp14:editId="74CDF9AD">
            <wp:extent cx="342900" cy="361950"/>
            <wp:effectExtent l="0" t="0" r="0" b="0"/>
            <wp:docPr id="102" name="Picture 102"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399E35F6" wp14:editId="0588F045">
            <wp:extent cx="342900" cy="361950"/>
            <wp:effectExtent l="0" t="0" r="0" b="0"/>
            <wp:docPr id="103" name="Picture 103" descr="Class licens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ass licensing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50B5A2B5" wp14:editId="632FD670">
            <wp:extent cx="342900" cy="361950"/>
            <wp:effectExtent l="0" t="0" r="0" b="0"/>
            <wp:docPr id="105" name="Picture 105" descr="Point to multi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int to multipoint ico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5EFDFFC3" wp14:editId="5149D1B4">
            <wp:extent cx="342900" cy="361950"/>
            <wp:effectExtent l="0" t="0" r="0" b="0"/>
            <wp:docPr id="106" name="Picture 106"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FE7029" w:rsidRPr="006A2F04">
        <w:rPr>
          <w:noProof/>
        </w:rPr>
        <w:drawing>
          <wp:inline distT="0" distB="0" distL="0" distR="0" wp14:anchorId="30ED9EA8" wp14:editId="26EC654E">
            <wp:extent cx="341630" cy="359410"/>
            <wp:effectExtent l="0" t="0" r="1270" b="2540"/>
            <wp:docPr id="197" name="Picture 19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Pr="006A2F04">
        <w:rPr>
          <w:noProof/>
        </w:rPr>
        <w:drawing>
          <wp:inline distT="0" distB="0" distL="0" distR="0" wp14:anchorId="3ECF2082" wp14:editId="2B1EFD4F">
            <wp:extent cx="342900" cy="361950"/>
            <wp:effectExtent l="0" t="0" r="0" b="0"/>
            <wp:docPr id="107" name="Picture 107"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37FA7B9C" w14:textId="116F63D6" w:rsidR="001F03F1" w:rsidRPr="00B53F89" w:rsidRDefault="001F03F1" w:rsidP="0054588C">
      <w:pPr>
        <w:pStyle w:val="Heading3"/>
        <w:keepNext w:val="0"/>
        <w:rPr>
          <w:rFonts w:asciiTheme="majorHAnsi" w:eastAsiaTheme="majorEastAsia" w:hAnsiTheme="majorHAnsi"/>
          <w:sz w:val="26"/>
        </w:rPr>
      </w:pPr>
      <w:bookmarkStart w:id="445" w:name="_Toc31892834"/>
      <w:bookmarkStart w:id="446" w:name="_Toc36207451"/>
      <w:bookmarkStart w:id="447" w:name="_Toc38987231"/>
      <w:r w:rsidRPr="00B53F89">
        <w:t>26 GHz</w:t>
      </w:r>
      <w:bookmarkEnd w:id="445"/>
      <w:bookmarkEnd w:id="446"/>
      <w:bookmarkEnd w:id="447"/>
    </w:p>
    <w:p w14:paraId="3CF4D4E9" w14:textId="053D4909" w:rsidR="007C610F" w:rsidRPr="00B53F89" w:rsidRDefault="001F03F1" w:rsidP="001F03F1">
      <w:r w:rsidRPr="00B53F89">
        <w:t>In September 2018</w:t>
      </w:r>
      <w:r w:rsidR="001570CA">
        <w:t>,</w:t>
      </w:r>
      <w:r w:rsidRPr="00B53F89">
        <w:t xml:space="preserve"> </w:t>
      </w:r>
      <w:r w:rsidR="001F694F">
        <w:t>we</w:t>
      </w:r>
      <w:r w:rsidRPr="00B53F89">
        <w:t xml:space="preserve"> released an </w:t>
      </w:r>
      <w:hyperlink r:id="rId104" w:history="1">
        <w:r w:rsidRPr="00B53F89">
          <w:rPr>
            <w:rStyle w:val="Hyperlink"/>
          </w:rPr>
          <w:t>options paper</w:t>
        </w:r>
      </w:hyperlink>
      <w:r w:rsidRPr="00B53F89">
        <w:t xml:space="preserve"> outlining the various planning and configuration options for the 26 GHz band, and seek</w:t>
      </w:r>
      <w:r w:rsidR="00DD59F3" w:rsidRPr="00B53F89">
        <w:t>ing</w:t>
      </w:r>
      <w:r w:rsidRPr="00B53F89">
        <w:t xml:space="preserve"> views on</w:t>
      </w:r>
      <w:r w:rsidR="006923AF" w:rsidRPr="00B53F89">
        <w:t xml:space="preserve"> the</w:t>
      </w:r>
      <w:r w:rsidRPr="00B53F89">
        <w:t xml:space="preserve"> proposal that the band proceeds to allocation. </w:t>
      </w:r>
    </w:p>
    <w:p w14:paraId="39077D90" w14:textId="2597A15D" w:rsidR="001F03F1" w:rsidRPr="00B53F89" w:rsidRDefault="001F694F" w:rsidP="001F03F1">
      <w:r>
        <w:t>After considering</w:t>
      </w:r>
      <w:r w:rsidR="001F03F1" w:rsidRPr="00B53F89">
        <w:t xml:space="preserve"> submissions </w:t>
      </w:r>
      <w:r w:rsidR="007C610F" w:rsidRPr="00B53F89">
        <w:t>to the options paper</w:t>
      </w:r>
      <w:r>
        <w:t xml:space="preserve">, we </w:t>
      </w:r>
      <w:r w:rsidR="007C610F" w:rsidRPr="00B53F89">
        <w:t>releas</w:t>
      </w:r>
      <w:r w:rsidR="00914760" w:rsidRPr="00B53F89">
        <w:t>ed</w:t>
      </w:r>
      <w:r w:rsidR="001F03F1" w:rsidRPr="00B53F89">
        <w:t xml:space="preserve"> a </w:t>
      </w:r>
      <w:hyperlink r:id="rId105" w:history="1">
        <w:r w:rsidR="0076534E" w:rsidRPr="00B53F89">
          <w:rPr>
            <w:rStyle w:val="Hyperlink"/>
          </w:rPr>
          <w:t xml:space="preserve">decision </w:t>
        </w:r>
        <w:r w:rsidR="001F03F1" w:rsidRPr="00B53F89">
          <w:rPr>
            <w:rStyle w:val="Hyperlink"/>
          </w:rPr>
          <w:t>paper</w:t>
        </w:r>
      </w:hyperlink>
      <w:r w:rsidR="001F03F1" w:rsidRPr="00B53F89">
        <w:t xml:space="preserve"> </w:t>
      </w:r>
      <w:r w:rsidR="00963F43" w:rsidRPr="00B53F89">
        <w:t xml:space="preserve">in </w:t>
      </w:r>
      <w:r w:rsidR="00332E1A" w:rsidRPr="00B53F89">
        <w:t>April 2019</w:t>
      </w:r>
      <w:r w:rsidR="00963F43" w:rsidRPr="00B53F89">
        <w:t xml:space="preserve"> </w:t>
      </w:r>
      <w:r w:rsidR="001F03F1" w:rsidRPr="00B53F89">
        <w:t>detailing decisions and preliminary views for the introduction of wireless broadband in the 26 GHz band.</w:t>
      </w:r>
      <w:r w:rsidR="007C610F" w:rsidRPr="00B53F89">
        <w:t xml:space="preserve"> That paper describe</w:t>
      </w:r>
      <w:r w:rsidR="006923AF" w:rsidRPr="00B53F89">
        <w:t>d</w:t>
      </w:r>
      <w:r w:rsidR="007C610F" w:rsidRPr="00B53F89">
        <w:t xml:space="preserve"> </w:t>
      </w:r>
      <w:r w:rsidR="00365B45" w:rsidRPr="00B53F89">
        <w:t>proposed</w:t>
      </w:r>
      <w:r w:rsidR="007C610F" w:rsidRPr="00B53F89">
        <w:t xml:space="preserve"> arrangements for </w:t>
      </w:r>
      <w:r w:rsidR="00694CE2" w:rsidRPr="00B53F89">
        <w:t xml:space="preserve">spectrum, </w:t>
      </w:r>
      <w:r w:rsidR="007C610F" w:rsidRPr="00B53F89">
        <w:t>apparatus and class licensing in parts of the band.</w:t>
      </w:r>
    </w:p>
    <w:p w14:paraId="2C99F576" w14:textId="02621DCC" w:rsidR="00AA7A03" w:rsidRPr="00B53F89" w:rsidRDefault="00A4216F" w:rsidP="00513FDE">
      <w:pPr>
        <w:pStyle w:val="Paragraphbeforelist"/>
      </w:pPr>
      <w:r w:rsidRPr="00B53F89">
        <w:t>In addition to class licensing from 24.25–</w:t>
      </w:r>
      <w:r w:rsidR="00F16497" w:rsidRPr="00B53F89">
        <w:t>25.1</w:t>
      </w:r>
      <w:r w:rsidRPr="00B53F89">
        <w:t xml:space="preserve"> GHz, </w:t>
      </w:r>
      <w:r w:rsidR="001F694F">
        <w:t>we have</w:t>
      </w:r>
      <w:r w:rsidR="00AA7A03" w:rsidRPr="00B53F89">
        <w:t xml:space="preserve"> proposed </w:t>
      </w:r>
      <w:r w:rsidR="00365B45" w:rsidRPr="00B53F89">
        <w:t xml:space="preserve">three distinct approaches in </w:t>
      </w:r>
      <w:r w:rsidR="00AA7A03" w:rsidRPr="00B53F89">
        <w:t>the 26 GHz band:</w:t>
      </w:r>
    </w:p>
    <w:p w14:paraId="78AC323E" w14:textId="5C465606" w:rsidR="00AA7A03" w:rsidRPr="00B53F89" w:rsidRDefault="00AA7A03" w:rsidP="0054588C">
      <w:pPr>
        <w:pStyle w:val="ListBullet"/>
        <w:keepNext w:val="0"/>
        <w:keepLines w:val="0"/>
        <w:ind w:left="284" w:hanging="284"/>
      </w:pPr>
      <w:bookmarkStart w:id="448" w:name="_Hlk38281368"/>
      <w:r w:rsidRPr="00B53F89">
        <w:t>25.1–27.</w:t>
      </w:r>
      <w:r w:rsidR="00A4216F" w:rsidRPr="00B53F89">
        <w:t>5</w:t>
      </w:r>
      <w:r w:rsidRPr="00B53F89">
        <w:t xml:space="preserve"> GHz in defined areas (metropolitan and regional centres): spectrum licences allocated via auction</w:t>
      </w:r>
    </w:p>
    <w:p w14:paraId="73BE497A" w14:textId="07A230B2" w:rsidR="00AA7A03" w:rsidRPr="00B53F89" w:rsidRDefault="00AA7A03" w:rsidP="0054588C">
      <w:pPr>
        <w:pStyle w:val="ListBullet"/>
        <w:keepNext w:val="0"/>
        <w:keepLines w:val="0"/>
        <w:ind w:left="284" w:hanging="284"/>
      </w:pPr>
      <w:r w:rsidRPr="00B53F89">
        <w:t>25.1–27.</w:t>
      </w:r>
      <w:r w:rsidR="00A4216F" w:rsidRPr="00B53F89">
        <w:t>5</w:t>
      </w:r>
      <w:r w:rsidRPr="00B53F89">
        <w:t xml:space="preserve"> GHz in all other areas: apparatus licences</w:t>
      </w:r>
    </w:p>
    <w:p w14:paraId="6A69CBC0" w14:textId="06B2167B" w:rsidR="00AA7A03" w:rsidRPr="00B53F89" w:rsidRDefault="00AA7A03" w:rsidP="000C609A">
      <w:pPr>
        <w:pStyle w:val="ListBulletLast"/>
        <w:ind w:left="284" w:hanging="284"/>
      </w:pPr>
      <w:r w:rsidRPr="00B53F89">
        <w:t>24.7–25.1 GHz Australia-wide: apparatus licences</w:t>
      </w:r>
      <w:r w:rsidR="00DC674A" w:rsidRPr="00B53F89">
        <w:t>.</w:t>
      </w:r>
    </w:p>
    <w:p w14:paraId="6D20A2F3" w14:textId="57C1BFB5" w:rsidR="003A1EE4" w:rsidRPr="00D904DC" w:rsidRDefault="003D6916" w:rsidP="001F03F1">
      <w:bookmarkStart w:id="449" w:name="_Hlk16242189"/>
      <w:bookmarkEnd w:id="448"/>
      <w:r w:rsidRPr="00B53F89">
        <w:lastRenderedPageBreak/>
        <w:t xml:space="preserve">In May 2019, </w:t>
      </w:r>
      <w:r w:rsidR="001F694F">
        <w:t>we</w:t>
      </w:r>
      <w:r w:rsidRPr="00B53F89">
        <w:t xml:space="preserve"> released a </w:t>
      </w:r>
      <w:hyperlink r:id="rId106" w:history="1">
        <w:r w:rsidRPr="00B53F89">
          <w:rPr>
            <w:rStyle w:val="Hyperlink"/>
          </w:rPr>
          <w:t>consultation paper</w:t>
        </w:r>
      </w:hyperlink>
      <w:r w:rsidRPr="00B53F89">
        <w:t xml:space="preserve"> outlining a draft spectrum reallocation recommendation for the 26 GHz band. The paper sought views on the terms of a </w:t>
      </w:r>
      <w:r w:rsidR="00365B45" w:rsidRPr="00B53F89">
        <w:t>spectrum reallocation</w:t>
      </w:r>
      <w:r w:rsidRPr="00B53F89">
        <w:t xml:space="preserve"> recommendation </w:t>
      </w:r>
      <w:r w:rsidR="00365B45" w:rsidRPr="00B53F89">
        <w:t>for the 26 GHz band</w:t>
      </w:r>
      <w:r w:rsidRPr="00B53F89">
        <w:t xml:space="preserve"> </w:t>
      </w:r>
      <w:r w:rsidR="00365B45" w:rsidRPr="00B53F89">
        <w:t xml:space="preserve">that </w:t>
      </w:r>
      <w:r w:rsidRPr="00B53F89">
        <w:t xml:space="preserve">the ACMA </w:t>
      </w:r>
      <w:r w:rsidR="0033037C" w:rsidRPr="00B53F89">
        <w:t xml:space="preserve">proposed to </w:t>
      </w:r>
      <w:r w:rsidR="00365B45" w:rsidRPr="00B53F89">
        <w:t>give</w:t>
      </w:r>
      <w:r w:rsidRPr="00B53F89">
        <w:t xml:space="preserve"> the </w:t>
      </w:r>
      <w:r w:rsidR="00216EAE" w:rsidRPr="00B53F89">
        <w:t>Minister for Communications</w:t>
      </w:r>
      <w:r w:rsidR="008B57CC" w:rsidRPr="00B53F89">
        <w:t>, Cyber Safety and the Arts</w:t>
      </w:r>
      <w:r w:rsidR="00216EAE" w:rsidRPr="00B53F89">
        <w:t xml:space="preserve"> </w:t>
      </w:r>
      <w:r w:rsidR="00365B45" w:rsidRPr="00B53F89">
        <w:t xml:space="preserve">under section 153F of </w:t>
      </w:r>
      <w:r w:rsidRPr="00D904DC">
        <w:t xml:space="preserve">the </w:t>
      </w:r>
      <w:hyperlink r:id="rId107" w:history="1">
        <w:r w:rsidRPr="00D904DC">
          <w:rPr>
            <w:rStyle w:val="Hyperlink"/>
            <w:i/>
          </w:rPr>
          <w:t>Radiocommunications Act 1992</w:t>
        </w:r>
      </w:hyperlink>
      <w:r w:rsidRPr="00D904DC">
        <w:t xml:space="preserve">. </w:t>
      </w:r>
      <w:r w:rsidR="001F694F" w:rsidRPr="00D904DC">
        <w:t>W</w:t>
      </w:r>
      <w:r w:rsidRPr="00D904DC">
        <w:t xml:space="preserve">e </w:t>
      </w:r>
      <w:r w:rsidR="00BA7A2D" w:rsidRPr="00D904DC">
        <w:t>ma</w:t>
      </w:r>
      <w:r w:rsidR="003A1EE4" w:rsidRPr="00D904DC">
        <w:t>de</w:t>
      </w:r>
      <w:r w:rsidR="00BA7A2D" w:rsidRPr="00D904DC">
        <w:t xml:space="preserve"> a recommendation to the </w:t>
      </w:r>
      <w:r w:rsidR="002C0804" w:rsidRPr="00D904DC">
        <w:t xml:space="preserve">Minister </w:t>
      </w:r>
      <w:r w:rsidR="00BA7A2D" w:rsidRPr="00D904DC">
        <w:t>regarding the allocation of spectrum licences in the 26 GHz band in Q3 2019</w:t>
      </w:r>
      <w:r w:rsidRPr="00D904DC">
        <w:t>.</w:t>
      </w:r>
      <w:bookmarkEnd w:id="449"/>
      <w:r w:rsidR="003A1EE4" w:rsidRPr="00D904DC">
        <w:t xml:space="preserve"> </w:t>
      </w:r>
    </w:p>
    <w:p w14:paraId="76339C5E" w14:textId="3EE47190" w:rsidR="0044430C" w:rsidRPr="00D904DC" w:rsidRDefault="003A1EE4" w:rsidP="001F03F1">
      <w:r w:rsidRPr="00D904DC">
        <w:t>In October 2019, the Minister declared the 25.1</w:t>
      </w:r>
      <w:r w:rsidR="001F694F" w:rsidRPr="00D904DC">
        <w:t>–</w:t>
      </w:r>
      <w:r w:rsidRPr="00D904DC">
        <w:t xml:space="preserve">27.5 GHz frequency range for reallocation by issue of spectrum licence in 29 specified areas. </w:t>
      </w:r>
    </w:p>
    <w:p w14:paraId="4E5596C5" w14:textId="5CE584AA" w:rsidR="00A96A07" w:rsidRPr="00D904DC" w:rsidRDefault="001F694F" w:rsidP="00A96A07">
      <w:r w:rsidRPr="00D904DC">
        <w:t>We are</w:t>
      </w:r>
      <w:r w:rsidR="0044430C" w:rsidRPr="00D904DC">
        <w:t xml:space="preserve"> now preparing </w:t>
      </w:r>
      <w:r w:rsidR="001570CA" w:rsidRPr="00D904DC">
        <w:t>to</w:t>
      </w:r>
      <w:r w:rsidR="0044430C" w:rsidRPr="00D904DC">
        <w:t xml:space="preserve"> allocate the declared spectrum by auction, expected to occur in Q1 2021. The next step in the process is to consult on draft instruments to support the allocation.</w:t>
      </w:r>
      <w:r w:rsidR="00A96A07" w:rsidRPr="00D904DC">
        <w:t xml:space="preserve"> </w:t>
      </w:r>
    </w:p>
    <w:p w14:paraId="128F2D27" w14:textId="6A7CCD3A" w:rsidR="003D6916" w:rsidRDefault="001F694F" w:rsidP="001F03F1">
      <w:r w:rsidRPr="00D904DC">
        <w:t>We have</w:t>
      </w:r>
      <w:r w:rsidR="00A96A07" w:rsidRPr="00D904DC">
        <w:t xml:space="preserve"> convened a Technical Liaison Group (TLG) comprising</w:t>
      </w:r>
      <w:r w:rsidR="00A96A07">
        <w:t xml:space="preserve"> interested stakeholders </w:t>
      </w:r>
      <w:r>
        <w:t>to</w:t>
      </w:r>
      <w:r w:rsidR="00367428">
        <w:t xml:space="preserve"> inform the</w:t>
      </w:r>
      <w:r w:rsidR="00A96A07">
        <w:t xml:space="preserve"> development of technical arrangements for 26 GHz band spectrum licences and apparatus</w:t>
      </w:r>
      <w:r>
        <w:t>-</w:t>
      </w:r>
      <w:r w:rsidR="00A96A07">
        <w:t xml:space="preserve">licensed wireless broadband services in the 26 GHz band. </w:t>
      </w:r>
    </w:p>
    <w:p w14:paraId="556722BB" w14:textId="50DA12AB" w:rsidR="00CC2FD5" w:rsidRDefault="00367428" w:rsidP="001F03F1">
      <w:bookmarkStart w:id="450" w:name="_Hlk37160550"/>
      <w:r>
        <w:t>Final decisions on the technical framework, pricing and allocation policy for apparatus licences in the 26 GHz band</w:t>
      </w:r>
      <w:bookmarkEnd w:id="450"/>
      <w:r>
        <w:t>, are expected to be made in Q3</w:t>
      </w:r>
      <w:r w:rsidR="001F694F">
        <w:t>–</w:t>
      </w:r>
      <w:r>
        <w:t xml:space="preserve">4 2020. </w:t>
      </w:r>
    </w:p>
    <w:p w14:paraId="04B1463C" w14:textId="19EB2047" w:rsidR="00367428" w:rsidRPr="00B53F89" w:rsidRDefault="009B2F27" w:rsidP="00D04000">
      <w:r>
        <w:t>We</w:t>
      </w:r>
      <w:r w:rsidR="00367428">
        <w:t xml:space="preserve"> expect to make apparatus licences available</w:t>
      </w:r>
      <w:r w:rsidR="00B61EEF">
        <w:t xml:space="preserve"> in the 26 GHz band</w:t>
      </w:r>
      <w:r w:rsidR="00C33B66">
        <w:t xml:space="preserve"> </w:t>
      </w:r>
      <w:r w:rsidR="00AC201C">
        <w:t>from Q</w:t>
      </w:r>
      <w:r w:rsidR="00EF3F72">
        <w:t>4</w:t>
      </w:r>
      <w:r w:rsidR="00AC201C">
        <w:t xml:space="preserve"> 2020</w:t>
      </w:r>
      <w:r w:rsidR="00367428">
        <w:t xml:space="preserve">. </w:t>
      </w:r>
    </w:p>
    <w:p w14:paraId="0D79F3C5" w14:textId="1BD4D178" w:rsidR="007C49B5" w:rsidRPr="00B53F89" w:rsidRDefault="00FE7029" w:rsidP="0054588C">
      <w:pPr>
        <w:spacing w:before="60" w:after="0"/>
      </w:pPr>
      <w:r w:rsidRPr="006A2F04">
        <w:rPr>
          <w:noProof/>
        </w:rPr>
        <w:drawing>
          <wp:inline distT="0" distB="0" distL="0" distR="0" wp14:anchorId="77BD7226" wp14:editId="39D125C0">
            <wp:extent cx="341630" cy="359410"/>
            <wp:effectExtent l="0" t="0" r="1270" b="2540"/>
            <wp:docPr id="198" name="Picture 198"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007C49B5" w:rsidRPr="006A2F04">
        <w:rPr>
          <w:noProof/>
        </w:rPr>
        <w:drawing>
          <wp:inline distT="0" distB="0" distL="0" distR="0" wp14:anchorId="6BAE36E8" wp14:editId="157D651C">
            <wp:extent cx="342900" cy="361950"/>
            <wp:effectExtent l="0" t="0" r="0" b="0"/>
            <wp:docPr id="111" name="Picture 111" descr="Point to multi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int to multipoint ico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7C49B5" w:rsidRPr="006A2F04">
        <w:rPr>
          <w:noProof/>
        </w:rPr>
        <w:drawing>
          <wp:inline distT="0" distB="0" distL="0" distR="0" wp14:anchorId="58F61EDF" wp14:editId="750B4359">
            <wp:extent cx="342900" cy="361950"/>
            <wp:effectExtent l="0" t="0" r="0" b="0"/>
            <wp:docPr id="112" name="Picture 112" descr="Point to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int to point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285CA6" w:rsidRPr="006A2F04">
        <w:rPr>
          <w:noProof/>
        </w:rPr>
        <w:drawing>
          <wp:inline distT="0" distB="0" distL="0" distR="0" wp14:anchorId="52B9B53D" wp14:editId="396AB735">
            <wp:extent cx="342900" cy="361950"/>
            <wp:effectExtent l="0" t="0" r="0" b="0"/>
            <wp:docPr id="189" name="Picture 189"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B64EBB" w:rsidRPr="006A2F04">
        <w:rPr>
          <w:noProof/>
        </w:rPr>
        <w:drawing>
          <wp:inline distT="0" distB="0" distL="0" distR="0" wp14:anchorId="046D5D00" wp14:editId="72957AC0">
            <wp:extent cx="342900" cy="361950"/>
            <wp:effectExtent l="0" t="0" r="0" b="0"/>
            <wp:docPr id="192" name="Picture 192" descr="Class licens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ass licensing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7C49B5" w:rsidRPr="006A2F04">
        <w:rPr>
          <w:noProof/>
        </w:rPr>
        <w:drawing>
          <wp:inline distT="0" distB="0" distL="0" distR="0" wp14:anchorId="6B7C37FB" wp14:editId="177C759F">
            <wp:extent cx="342900" cy="361950"/>
            <wp:effectExtent l="0" t="0" r="0" b="0"/>
            <wp:docPr id="113" name="Picture 113"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55653107" w14:textId="688748FF" w:rsidR="00EB5146" w:rsidRPr="00B53F89" w:rsidRDefault="00EB5146" w:rsidP="0054588C">
      <w:pPr>
        <w:pStyle w:val="Heading3"/>
        <w:keepNext w:val="0"/>
        <w:rPr>
          <w:rFonts w:eastAsiaTheme="majorEastAsia"/>
        </w:rPr>
      </w:pPr>
      <w:bookmarkStart w:id="451" w:name="_Toc31892835"/>
      <w:bookmarkStart w:id="452" w:name="_Toc36207452"/>
      <w:bookmarkStart w:id="453" w:name="_Toc38987232"/>
      <w:r w:rsidRPr="00B53F89">
        <w:t xml:space="preserve">28 </w:t>
      </w:r>
      <w:r w:rsidRPr="00B53F89">
        <w:rPr>
          <w:rFonts w:eastAsiaTheme="majorEastAsia"/>
        </w:rPr>
        <w:t>GHz</w:t>
      </w:r>
      <w:bookmarkEnd w:id="451"/>
      <w:bookmarkEnd w:id="452"/>
      <w:bookmarkEnd w:id="453"/>
    </w:p>
    <w:p w14:paraId="74018BD7" w14:textId="4B97785F" w:rsidR="00D14434" w:rsidRPr="00B53F89" w:rsidRDefault="00D14434" w:rsidP="0054588C">
      <w:pPr>
        <w:rPr>
          <w:rFonts w:eastAsiaTheme="majorEastAsia"/>
        </w:rPr>
      </w:pPr>
      <w:r w:rsidRPr="00B53F89">
        <w:rPr>
          <w:rFonts w:eastAsiaTheme="majorEastAsia"/>
        </w:rPr>
        <w:t xml:space="preserve">The ACMA has previously </w:t>
      </w:r>
      <w:r w:rsidR="00014090" w:rsidRPr="00B53F89">
        <w:rPr>
          <w:rFonts w:eastAsiaTheme="majorEastAsia"/>
        </w:rPr>
        <w:t xml:space="preserve">committed to </w:t>
      </w:r>
      <w:r w:rsidRPr="00B53F89">
        <w:rPr>
          <w:rFonts w:eastAsiaTheme="majorEastAsia"/>
        </w:rPr>
        <w:t>investigat</w:t>
      </w:r>
      <w:r w:rsidR="00014090" w:rsidRPr="00B53F89">
        <w:rPr>
          <w:rFonts w:eastAsiaTheme="majorEastAsia"/>
        </w:rPr>
        <w:t>ing</w:t>
      </w:r>
      <w:r w:rsidRPr="00B53F89">
        <w:rPr>
          <w:rFonts w:eastAsiaTheme="majorEastAsia"/>
        </w:rPr>
        <w:t xml:space="preserve"> the possibility of establishing new apparatus-licensed point-to-multipoint arrangements for wireless broadband in part of the </w:t>
      </w:r>
      <w:r w:rsidR="00D051C8" w:rsidRPr="00B53F89">
        <w:rPr>
          <w:rFonts w:eastAsiaTheme="majorEastAsia"/>
        </w:rPr>
        <w:t xml:space="preserve">28 GHz </w:t>
      </w:r>
      <w:r w:rsidRPr="00B53F89">
        <w:rPr>
          <w:rFonts w:eastAsiaTheme="majorEastAsia"/>
        </w:rPr>
        <w:t>band.</w:t>
      </w:r>
      <w:r w:rsidR="003335E7" w:rsidRPr="00B53F89">
        <w:rPr>
          <w:rStyle w:val="FootnoteReference"/>
        </w:rPr>
        <w:footnoteReference w:id="58"/>
      </w:r>
      <w:r w:rsidRPr="00B53F89">
        <w:rPr>
          <w:rFonts w:eastAsiaTheme="majorEastAsia"/>
        </w:rPr>
        <w:t xml:space="preserve"> </w:t>
      </w:r>
      <w:r w:rsidR="00014090" w:rsidRPr="00B53F89">
        <w:rPr>
          <w:rFonts w:eastAsiaTheme="majorEastAsia"/>
        </w:rPr>
        <w:t>In September 2018</w:t>
      </w:r>
      <w:r w:rsidR="003509A9">
        <w:rPr>
          <w:rFonts w:eastAsiaTheme="majorEastAsia"/>
        </w:rPr>
        <w:t>,</w:t>
      </w:r>
      <w:r w:rsidR="00014090" w:rsidRPr="00B53F89">
        <w:rPr>
          <w:rFonts w:eastAsiaTheme="majorEastAsia"/>
        </w:rPr>
        <w:t xml:space="preserve"> </w:t>
      </w:r>
      <w:r w:rsidR="009B2F27">
        <w:rPr>
          <w:rFonts w:eastAsiaTheme="majorEastAsia"/>
        </w:rPr>
        <w:t>we</w:t>
      </w:r>
      <w:r w:rsidR="00014090" w:rsidRPr="00B53F89">
        <w:rPr>
          <w:rFonts w:eastAsiaTheme="majorEastAsia"/>
        </w:rPr>
        <w:t xml:space="preserve"> released a </w:t>
      </w:r>
      <w:hyperlink r:id="rId108" w:history="1">
        <w:r w:rsidR="00014090" w:rsidRPr="00B53F89">
          <w:rPr>
            <w:rStyle w:val="Hyperlink"/>
            <w:rFonts w:eastAsiaTheme="majorEastAsia"/>
          </w:rPr>
          <w:t>discussion paper</w:t>
        </w:r>
      </w:hyperlink>
      <w:r w:rsidR="00014090" w:rsidRPr="00B53F89">
        <w:rPr>
          <w:rFonts w:eastAsiaTheme="majorEastAsia"/>
        </w:rPr>
        <w:t xml:space="preserve"> commencing a review of</w:t>
      </w:r>
      <w:r w:rsidRPr="00B53F89">
        <w:rPr>
          <w:rFonts w:eastAsiaTheme="majorEastAsia"/>
        </w:rPr>
        <w:t xml:space="preserve"> all potential uses of the band</w:t>
      </w:r>
      <w:r w:rsidR="00014090" w:rsidRPr="00B53F89">
        <w:rPr>
          <w:rFonts w:eastAsiaTheme="majorEastAsia"/>
        </w:rPr>
        <w:t>.</w:t>
      </w:r>
      <w:r w:rsidRPr="00B53F89">
        <w:rPr>
          <w:rFonts w:eastAsiaTheme="majorEastAsia"/>
        </w:rPr>
        <w:t xml:space="preserve"> </w:t>
      </w:r>
    </w:p>
    <w:p w14:paraId="1FBC373D" w14:textId="3F3F9838" w:rsidR="00D14434" w:rsidRPr="00B53F89" w:rsidRDefault="00D14434" w:rsidP="00D14434">
      <w:pPr>
        <w:rPr>
          <w:rFonts w:eastAsiaTheme="majorEastAsia"/>
        </w:rPr>
      </w:pPr>
      <w:r w:rsidRPr="00B53F89">
        <w:rPr>
          <w:rFonts w:eastAsiaTheme="majorEastAsia"/>
        </w:rPr>
        <w:t>Currently, the 28 GHz band is used by the FSS for both apparatus-licensed, coordinated earth stations and, in part of the band, for ubiquitously deployed, uncoordinated, class-licensed earth stations</w:t>
      </w:r>
      <w:r w:rsidR="00D53E9B" w:rsidRPr="00B53F89">
        <w:rPr>
          <w:rFonts w:eastAsiaTheme="majorEastAsia"/>
        </w:rPr>
        <w:t xml:space="preserve"> (both fixed and mobile applications)</w:t>
      </w:r>
      <w:r w:rsidRPr="00B53F89">
        <w:rPr>
          <w:rFonts w:eastAsiaTheme="majorEastAsia"/>
        </w:rPr>
        <w:t xml:space="preserve">. Both FSS uses of the band are expected to continue and require ongoing regulatory support. In addition to FSS uses, part of the 28 GHz band is also currently planned for fixed point-to-point links. </w:t>
      </w:r>
    </w:p>
    <w:p w14:paraId="42680F3A" w14:textId="5CFD33D2" w:rsidR="00C86924" w:rsidRPr="00B53F89" w:rsidRDefault="00D53E9B" w:rsidP="00D14434">
      <w:pPr>
        <w:rPr>
          <w:rFonts w:eastAsiaTheme="majorEastAsia"/>
        </w:rPr>
      </w:pPr>
      <w:r w:rsidRPr="00B53F89">
        <w:rPr>
          <w:rFonts w:eastAsiaTheme="majorEastAsia"/>
        </w:rPr>
        <w:t>There has been growing interest internationally and domestically in making more of the band available for ubiquitous earth station deployments</w:t>
      </w:r>
      <w:r w:rsidR="00C86924" w:rsidRPr="00B53F89">
        <w:rPr>
          <w:rFonts w:eastAsiaTheme="majorEastAsia"/>
        </w:rPr>
        <w:t>. A number of satellite operat</w:t>
      </w:r>
      <w:r w:rsidR="00B53F89">
        <w:rPr>
          <w:rFonts w:eastAsiaTheme="majorEastAsia"/>
        </w:rPr>
        <w:t>o</w:t>
      </w:r>
      <w:r w:rsidR="00C86924" w:rsidRPr="00B53F89">
        <w:rPr>
          <w:rFonts w:eastAsiaTheme="majorEastAsia"/>
        </w:rPr>
        <w:t xml:space="preserve">rs are considering or </w:t>
      </w:r>
      <w:r w:rsidR="009719CB" w:rsidRPr="00B53F89">
        <w:rPr>
          <w:rFonts w:eastAsiaTheme="majorEastAsia"/>
        </w:rPr>
        <w:t xml:space="preserve">are </w:t>
      </w:r>
      <w:r w:rsidR="00C86924" w:rsidRPr="00B53F89">
        <w:rPr>
          <w:rFonts w:eastAsiaTheme="majorEastAsia"/>
        </w:rPr>
        <w:t>in the process of launching satellite networks that can take advantage of this</w:t>
      </w:r>
      <w:r w:rsidRPr="00B53F89">
        <w:rPr>
          <w:rFonts w:eastAsiaTheme="majorEastAsia"/>
        </w:rPr>
        <w:t>. I</w:t>
      </w:r>
      <w:r w:rsidR="00D14434" w:rsidRPr="00B53F89">
        <w:rPr>
          <w:rFonts w:eastAsiaTheme="majorEastAsia"/>
        </w:rPr>
        <w:t xml:space="preserve">n the </w:t>
      </w:r>
      <w:r w:rsidR="00E463B3" w:rsidRPr="00B53F89">
        <w:rPr>
          <w:rFonts w:eastAsiaTheme="majorEastAsia"/>
        </w:rPr>
        <w:t>US</w:t>
      </w:r>
      <w:r w:rsidR="00D14434" w:rsidRPr="00B53F89">
        <w:rPr>
          <w:rFonts w:eastAsiaTheme="majorEastAsia"/>
        </w:rPr>
        <w:t xml:space="preserve"> and other major markets</w:t>
      </w:r>
      <w:r w:rsidRPr="00B53F89">
        <w:rPr>
          <w:rFonts w:eastAsiaTheme="majorEastAsia"/>
        </w:rPr>
        <w:t>, there ha</w:t>
      </w:r>
      <w:r w:rsidR="00F41CDB" w:rsidRPr="00B53F89">
        <w:rPr>
          <w:rFonts w:eastAsiaTheme="majorEastAsia"/>
        </w:rPr>
        <w:t>ve</w:t>
      </w:r>
      <w:r w:rsidRPr="00B53F89">
        <w:rPr>
          <w:rFonts w:eastAsiaTheme="majorEastAsia"/>
        </w:rPr>
        <w:t xml:space="preserve"> also been moves to make </w:t>
      </w:r>
      <w:r w:rsidR="00D14434" w:rsidRPr="00B53F89">
        <w:rPr>
          <w:rFonts w:eastAsiaTheme="majorEastAsia"/>
        </w:rPr>
        <w:t xml:space="preserve">some or all of the band </w:t>
      </w:r>
      <w:r w:rsidRPr="00B53F89">
        <w:rPr>
          <w:rFonts w:eastAsiaTheme="majorEastAsia"/>
        </w:rPr>
        <w:t xml:space="preserve">available </w:t>
      </w:r>
      <w:r w:rsidR="00D14434" w:rsidRPr="00B53F89">
        <w:rPr>
          <w:rFonts w:eastAsiaTheme="majorEastAsia"/>
        </w:rPr>
        <w:t>for wide area wireless broadband</w:t>
      </w:r>
      <w:r w:rsidRPr="00B53F89">
        <w:rPr>
          <w:rFonts w:eastAsiaTheme="majorEastAsia"/>
        </w:rPr>
        <w:t xml:space="preserve"> use</w:t>
      </w:r>
      <w:r w:rsidR="00D14434" w:rsidRPr="00B53F89">
        <w:rPr>
          <w:rFonts w:eastAsiaTheme="majorEastAsia"/>
        </w:rPr>
        <w:t xml:space="preserve"> </w:t>
      </w:r>
      <w:r w:rsidRPr="00B53F89">
        <w:rPr>
          <w:rFonts w:eastAsiaTheme="majorEastAsia"/>
        </w:rPr>
        <w:t>(</w:t>
      </w:r>
      <w:r w:rsidR="00D14434" w:rsidRPr="00B53F89">
        <w:rPr>
          <w:rFonts w:eastAsiaTheme="majorEastAsia"/>
        </w:rPr>
        <w:t>both fixed and mobile applications</w:t>
      </w:r>
      <w:r w:rsidRPr="00B53F89">
        <w:rPr>
          <w:rFonts w:eastAsiaTheme="majorEastAsia"/>
        </w:rPr>
        <w:t>)</w:t>
      </w:r>
      <w:r w:rsidR="00D14434" w:rsidRPr="00B53F89">
        <w:rPr>
          <w:rFonts w:eastAsiaTheme="majorEastAsia"/>
        </w:rPr>
        <w:t>. This international interest is part of broader momentum in support of mmWave bands for 5G wireless broadband services.</w:t>
      </w:r>
      <w:r w:rsidR="00E875FC" w:rsidRPr="00B53F89">
        <w:rPr>
          <w:rFonts w:eastAsiaTheme="majorEastAsia"/>
        </w:rPr>
        <w:t xml:space="preserve"> </w:t>
      </w:r>
      <w:r w:rsidR="00E24427" w:rsidRPr="00B53F89">
        <w:rPr>
          <w:rFonts w:eastAsiaTheme="majorEastAsia"/>
        </w:rPr>
        <w:t xml:space="preserve">This is expected to create a viable equipment ecosystem for both wide-area wireless broadband services as well as localised fixed and mobile wireless broadband services (typically deployed by WISPs, miners and other FWA operators). </w:t>
      </w:r>
    </w:p>
    <w:p w14:paraId="21FFF17F" w14:textId="321DE237" w:rsidR="00D73C5A" w:rsidRDefault="00C86924" w:rsidP="0038729C">
      <w:r w:rsidRPr="00B53F89">
        <w:rPr>
          <w:rFonts w:eastAsiaTheme="majorEastAsia"/>
        </w:rPr>
        <w:t>Due to these competing interests, t</w:t>
      </w:r>
      <w:r w:rsidR="00E24427" w:rsidRPr="00B53F89">
        <w:rPr>
          <w:rFonts w:eastAsiaTheme="majorEastAsia"/>
        </w:rPr>
        <w:t xml:space="preserve">he ACMA </w:t>
      </w:r>
      <w:r w:rsidR="00D73C5A">
        <w:rPr>
          <w:rFonts w:eastAsiaTheme="majorEastAsia"/>
        </w:rPr>
        <w:t>considered</w:t>
      </w:r>
      <w:r w:rsidR="00E24427" w:rsidRPr="00B53F89">
        <w:rPr>
          <w:rFonts w:eastAsiaTheme="majorEastAsia"/>
        </w:rPr>
        <w:t xml:space="preserve"> planning options in the 28 GHz band</w:t>
      </w:r>
      <w:r w:rsidRPr="00B53F89">
        <w:rPr>
          <w:rFonts w:eastAsiaTheme="majorEastAsia"/>
        </w:rPr>
        <w:t xml:space="preserve">. </w:t>
      </w:r>
      <w:r w:rsidRPr="00B53F89">
        <w:t>A</w:t>
      </w:r>
      <w:r w:rsidR="00360774" w:rsidRPr="00B53F89">
        <w:t xml:space="preserve">n </w:t>
      </w:r>
      <w:hyperlink r:id="rId109" w:history="1">
        <w:r w:rsidR="00360774" w:rsidRPr="00B53F89">
          <w:rPr>
            <w:rStyle w:val="Hyperlink"/>
          </w:rPr>
          <w:t>options paper</w:t>
        </w:r>
      </w:hyperlink>
      <w:r w:rsidR="00360774" w:rsidRPr="00B53F89">
        <w:t xml:space="preserve"> </w:t>
      </w:r>
      <w:r w:rsidRPr="00B53F89">
        <w:t xml:space="preserve">presenting different </w:t>
      </w:r>
      <w:r w:rsidR="00360774" w:rsidRPr="00B53F89">
        <w:t>band planning arrangements</w:t>
      </w:r>
      <w:r w:rsidRPr="00B53F89">
        <w:t xml:space="preserve"> was re</w:t>
      </w:r>
      <w:r w:rsidR="00B53F89">
        <w:t>le</w:t>
      </w:r>
      <w:r w:rsidRPr="00B53F89">
        <w:t>a</w:t>
      </w:r>
      <w:r w:rsidR="00B53F89">
        <w:t>s</w:t>
      </w:r>
      <w:r w:rsidRPr="00B53F89">
        <w:t>ed</w:t>
      </w:r>
      <w:r w:rsidR="00360774" w:rsidRPr="00B53F89">
        <w:t xml:space="preserve"> in Q</w:t>
      </w:r>
      <w:r w:rsidR="00E00B33" w:rsidRPr="00B53F89">
        <w:t>2</w:t>
      </w:r>
      <w:r w:rsidR="00360774" w:rsidRPr="00B53F89">
        <w:t xml:space="preserve"> 2019.</w:t>
      </w:r>
      <w:r w:rsidR="00A30730" w:rsidRPr="00B53F89">
        <w:t xml:space="preserve"> </w:t>
      </w:r>
      <w:r w:rsidR="009B2F27">
        <w:t>We</w:t>
      </w:r>
      <w:r w:rsidR="00D73C5A" w:rsidRPr="00B53F89">
        <w:t xml:space="preserve"> considered submissions to the options paper and released a </w:t>
      </w:r>
      <w:hyperlink r:id="rId110" w:history="1">
        <w:r w:rsidR="00D73C5A" w:rsidRPr="00B53F89">
          <w:rPr>
            <w:rStyle w:val="Hyperlink"/>
          </w:rPr>
          <w:t>paper</w:t>
        </w:r>
      </w:hyperlink>
      <w:r w:rsidR="00D73C5A" w:rsidRPr="00B53F89">
        <w:t xml:space="preserve"> in </w:t>
      </w:r>
      <w:r w:rsidR="00D73C5A">
        <w:t>September</w:t>
      </w:r>
      <w:r w:rsidR="00D73C5A" w:rsidRPr="00B53F89">
        <w:t xml:space="preserve"> 2019 detailing decisions and preliminary views for the </w:t>
      </w:r>
      <w:r w:rsidR="00D73C5A">
        <w:t>proposed services</w:t>
      </w:r>
      <w:r w:rsidR="00D73C5A" w:rsidRPr="00B53F89">
        <w:t xml:space="preserve"> in the 2</w:t>
      </w:r>
      <w:r w:rsidR="00D73C5A">
        <w:t>8</w:t>
      </w:r>
      <w:r w:rsidR="00D73C5A" w:rsidRPr="00B53F89">
        <w:t xml:space="preserve"> GHz band.</w:t>
      </w:r>
    </w:p>
    <w:p w14:paraId="167EF7A2" w14:textId="427CBE97" w:rsidR="004F76C4" w:rsidRDefault="00C4176F" w:rsidP="00B62C6B">
      <w:r w:rsidRPr="00F56121">
        <w:t xml:space="preserve">To give effect to the decisions and preliminary views outlined </w:t>
      </w:r>
      <w:r>
        <w:t>in the decisions paper</w:t>
      </w:r>
      <w:r w:rsidRPr="00F56121">
        <w:t xml:space="preserve">, </w:t>
      </w:r>
      <w:r w:rsidR="009B2F27">
        <w:t>we</w:t>
      </w:r>
      <w:r w:rsidRPr="00F56121">
        <w:t xml:space="preserve"> </w:t>
      </w:r>
      <w:r w:rsidR="006C0153">
        <w:t xml:space="preserve">updated the CSO </w:t>
      </w:r>
      <w:r w:rsidR="009B2F27">
        <w:t>c</w:t>
      </w:r>
      <w:r w:rsidR="006C0153">
        <w:t xml:space="preserve">lass </w:t>
      </w:r>
      <w:r w:rsidR="009B2F27">
        <w:t>l</w:t>
      </w:r>
      <w:r w:rsidR="006C0153">
        <w:t>icence to include the 28.3</w:t>
      </w:r>
      <w:r w:rsidR="009B2F27">
        <w:t>–</w:t>
      </w:r>
      <w:r w:rsidR="006C0153">
        <w:t xml:space="preserve">29.5 GHz frequency range. </w:t>
      </w:r>
      <w:r w:rsidR="00A96A07">
        <w:t xml:space="preserve">The </w:t>
      </w:r>
      <w:r w:rsidR="009B2F27">
        <w:t>We have</w:t>
      </w:r>
      <w:r w:rsidR="00F05FB5">
        <w:t xml:space="preserve"> </w:t>
      </w:r>
      <w:r w:rsidRPr="00F56121">
        <w:t>commence</w:t>
      </w:r>
      <w:r w:rsidR="00F05FB5">
        <w:t>d</w:t>
      </w:r>
      <w:r w:rsidRPr="00F56121">
        <w:t xml:space="preserve"> work </w:t>
      </w:r>
      <w:r w:rsidR="006C0153">
        <w:t xml:space="preserve">on analysis </w:t>
      </w:r>
      <w:r w:rsidR="00231F13">
        <w:t>of</w:t>
      </w:r>
      <w:r w:rsidR="006C0153">
        <w:t xml:space="preserve"> the technical considerations for the possible inclusion of frequencies below 28.3 GHz</w:t>
      </w:r>
      <w:r w:rsidR="009B2F27">
        <w:t xml:space="preserve"> and</w:t>
      </w:r>
      <w:r w:rsidR="00A96A07">
        <w:t xml:space="preserve"> </w:t>
      </w:r>
      <w:r w:rsidR="006C0153">
        <w:t>will consult</w:t>
      </w:r>
      <w:r w:rsidR="00F05FB5">
        <w:t xml:space="preserve"> on proposed</w:t>
      </w:r>
      <w:r w:rsidR="00A96A07">
        <w:t xml:space="preserve"> arrangements in </w:t>
      </w:r>
      <w:r w:rsidR="00EF3F72">
        <w:t xml:space="preserve">Q3 </w:t>
      </w:r>
      <w:r w:rsidR="00A96A07">
        <w:t>2020</w:t>
      </w:r>
      <w:r w:rsidR="004F76C4">
        <w:t xml:space="preserve">. </w:t>
      </w:r>
    </w:p>
    <w:p w14:paraId="1250B56D" w14:textId="77777777" w:rsidR="00B62C6B" w:rsidRDefault="004F76C4" w:rsidP="00A15C44">
      <w:r>
        <w:t>Final decisions on the technical framework, pricing and allocation policy and availability of apparatus licences will follow the timetable for the 26 GHz band.</w:t>
      </w:r>
      <w:bookmarkStart w:id="455" w:name="_Toc31892836"/>
      <w:bookmarkStart w:id="456" w:name="_Toc36207453"/>
    </w:p>
    <w:p w14:paraId="5F7DE958" w14:textId="758BE157" w:rsidR="00561BBD" w:rsidRPr="00B53F89" w:rsidRDefault="003F4B80" w:rsidP="00A15C44">
      <w:pPr>
        <w:pStyle w:val="Heading2"/>
        <w:keepNext w:val="0"/>
        <w:rPr>
          <w:rFonts w:eastAsiaTheme="majorEastAsia"/>
        </w:rPr>
      </w:pPr>
      <w:bookmarkStart w:id="457" w:name="_Toc38987233"/>
      <w:r w:rsidRPr="00B53F89">
        <w:rPr>
          <w:rFonts w:eastAsiaTheme="majorEastAsia"/>
        </w:rPr>
        <w:t xml:space="preserve">Allocation </w:t>
      </w:r>
      <w:r w:rsidR="00561BBD" w:rsidRPr="00B53F89">
        <w:rPr>
          <w:rFonts w:eastAsiaTheme="majorEastAsia"/>
        </w:rPr>
        <w:t>priorities and sequencing</w:t>
      </w:r>
      <w:bookmarkEnd w:id="429"/>
      <w:bookmarkEnd w:id="455"/>
      <w:bookmarkEnd w:id="456"/>
      <w:bookmarkEnd w:id="457"/>
    </w:p>
    <w:bookmarkEnd w:id="430"/>
    <w:bookmarkEnd w:id="431"/>
    <w:bookmarkEnd w:id="432"/>
    <w:bookmarkEnd w:id="433"/>
    <w:bookmarkEnd w:id="434"/>
    <w:p w14:paraId="3BA85740" w14:textId="6EED8D16" w:rsidR="000A216C" w:rsidRPr="00B53F89" w:rsidRDefault="000A216C" w:rsidP="00A15C44">
      <w:r w:rsidRPr="00B53F89">
        <w:t xml:space="preserve">The </w:t>
      </w:r>
      <w:r w:rsidR="00A43F6E" w:rsidRPr="00C03A0C">
        <w:t>Radiocommunications Act</w:t>
      </w:r>
      <w:r w:rsidR="00A43F6E" w:rsidRPr="00A43F6E">
        <w:rPr>
          <w:i/>
        </w:rPr>
        <w:t xml:space="preserve"> </w:t>
      </w:r>
      <w:r w:rsidRPr="00B53F89">
        <w:t xml:space="preserve">establishes a set of mandatory processes for allocating spectrum. In </w:t>
      </w:r>
      <w:r w:rsidR="009B2F27">
        <w:t>our</w:t>
      </w:r>
      <w:r w:rsidRPr="00B53F89">
        <w:t xml:space="preserve"> experience</w:t>
      </w:r>
      <w:r w:rsidR="00D57DA8" w:rsidRPr="00B53F89">
        <w:t xml:space="preserve">, this process </w:t>
      </w:r>
      <w:r w:rsidR="00167BA4" w:rsidRPr="00B53F89">
        <w:t>can be</w:t>
      </w:r>
      <w:r w:rsidR="00D57DA8" w:rsidRPr="00B53F89">
        <w:t xml:space="preserve"> expected to take at least 16 to 18 months from confirmation of the planning decision to the commencement of an auction</w:t>
      </w:r>
      <w:r w:rsidR="00706222" w:rsidRPr="00B53F89">
        <w:t xml:space="preserve"> for a price-based allocation of spectrum licences</w:t>
      </w:r>
      <w:r w:rsidR="009719CB" w:rsidRPr="00B53F89">
        <w:t xml:space="preserve"> of the bands under consideration</w:t>
      </w:r>
      <w:r w:rsidR="00D57DA8" w:rsidRPr="00B53F89">
        <w:t>.</w:t>
      </w:r>
      <w:r w:rsidRPr="00B53F89">
        <w:t xml:space="preserve"> This process will take longer where there is uncertainty</w:t>
      </w:r>
      <w:r w:rsidR="001C3B42" w:rsidRPr="00B53F89">
        <w:t>—</w:t>
      </w:r>
      <w:r w:rsidRPr="00B53F89">
        <w:t>for example</w:t>
      </w:r>
      <w:r w:rsidR="009B2F27">
        <w:t>,</w:t>
      </w:r>
      <w:r w:rsidRPr="00B53F89">
        <w:t xml:space="preserve"> if there is optionality around how the spectrum can be configured because further consultation and engagement with potential bidders will be necessary and important. The process can also be expected to be longer if there is a need to acquire new auction tools. </w:t>
      </w:r>
    </w:p>
    <w:p w14:paraId="10826337" w14:textId="04470A8F" w:rsidR="008E3660" w:rsidRPr="00B53F89" w:rsidRDefault="008E3660" w:rsidP="00A15C44">
      <w:r w:rsidRPr="00B53F89">
        <w:t xml:space="preserve">Following publication of the forward allocation </w:t>
      </w:r>
      <w:r w:rsidR="0088477E" w:rsidRPr="00B53F89">
        <w:t xml:space="preserve">plan </w:t>
      </w:r>
      <w:r w:rsidRPr="00B53F89">
        <w:t xml:space="preserve">in the </w:t>
      </w:r>
      <w:r w:rsidR="00243870" w:rsidRPr="00B53F89">
        <w:t xml:space="preserve">FYSO </w:t>
      </w:r>
      <w:r w:rsidRPr="00B53F89">
        <w:t>201</w:t>
      </w:r>
      <w:r w:rsidR="005A63F9" w:rsidRPr="00B53F89">
        <w:t>9</w:t>
      </w:r>
      <w:r w:rsidR="004E64E0" w:rsidRPr="00B53F89">
        <w:t>–</w:t>
      </w:r>
      <w:r w:rsidRPr="00B53F89">
        <w:t>2</w:t>
      </w:r>
      <w:r w:rsidR="005A63F9" w:rsidRPr="00B53F89">
        <w:t>3</w:t>
      </w:r>
      <w:r w:rsidRPr="00B53F89">
        <w:t xml:space="preserve">, </w:t>
      </w:r>
      <w:r w:rsidR="009B2F27">
        <w:t>we</w:t>
      </w:r>
      <w:r w:rsidRPr="00B53F89">
        <w:t xml:space="preserve"> ha</w:t>
      </w:r>
      <w:r w:rsidR="009B2F27">
        <w:t>ve</w:t>
      </w:r>
      <w:r w:rsidRPr="00B53F89">
        <w:t xml:space="preserve"> </w:t>
      </w:r>
      <w:r w:rsidR="000A7566" w:rsidRPr="000A7566">
        <w:t>further considered the interest in each of the identified bands</w:t>
      </w:r>
      <w:r w:rsidR="00B90D53" w:rsidRPr="00B53F89">
        <w:t>.</w:t>
      </w:r>
      <w:r w:rsidR="00697F31" w:rsidRPr="00B53F89">
        <w:t xml:space="preserve"> </w:t>
      </w:r>
    </w:p>
    <w:p w14:paraId="2B6B836F" w14:textId="63BA351C" w:rsidR="0075215F" w:rsidRPr="00B53F89" w:rsidRDefault="0075215F" w:rsidP="00A15C44">
      <w:pPr>
        <w:pStyle w:val="Heading3"/>
        <w:keepNext w:val="0"/>
      </w:pPr>
      <w:bookmarkStart w:id="458" w:name="_Toc522794100"/>
      <w:bookmarkStart w:id="459" w:name="_Toc31892837"/>
      <w:bookmarkStart w:id="460" w:name="_Toc36207454"/>
      <w:bookmarkStart w:id="461" w:name="_Toc38987234"/>
      <w:r w:rsidRPr="00B53F89">
        <w:t>Timing considerations</w:t>
      </w:r>
      <w:bookmarkEnd w:id="458"/>
      <w:bookmarkEnd w:id="459"/>
      <w:bookmarkEnd w:id="460"/>
      <w:bookmarkEnd w:id="461"/>
    </w:p>
    <w:p w14:paraId="131FDA77" w14:textId="3EFF95E8" w:rsidR="00AA7A03" w:rsidRPr="00B53F89" w:rsidRDefault="009B2F27" w:rsidP="00A15C44">
      <w:r>
        <w:t>We</w:t>
      </w:r>
      <w:r w:rsidR="00AA7A03" w:rsidRPr="00B53F89" w:rsidDel="004F1842">
        <w:t xml:space="preserve"> </w:t>
      </w:r>
      <w:r w:rsidR="00AA7A03" w:rsidRPr="00B53F89">
        <w:t>recognise</w:t>
      </w:r>
      <w:r w:rsidR="00AA7A03" w:rsidRPr="00B53F89" w:rsidDel="004F1842">
        <w:t xml:space="preserve"> that </w:t>
      </w:r>
      <w:r w:rsidR="00AA7A03" w:rsidRPr="00B53F89">
        <w:t xml:space="preserve">while there may be timing, administrative and potentially efficiency benefits </w:t>
      </w:r>
      <w:r w:rsidR="0080603B" w:rsidRPr="00B53F89">
        <w:t xml:space="preserve">in </w:t>
      </w:r>
      <w:r w:rsidR="00AA7A03" w:rsidRPr="00B53F89">
        <w:t>running an allocation of multiple bands concurrently, there may also be an additional burden on auction participants</w:t>
      </w:r>
      <w:r w:rsidR="00AA7A03" w:rsidRPr="00B53F89" w:rsidDel="00937D6F">
        <w:t xml:space="preserve"> </w:t>
      </w:r>
      <w:r w:rsidR="00AA7A03" w:rsidRPr="00B53F89">
        <w:t>associated with capital funding, as well as potential auction complexity considerations. Taking</w:t>
      </w:r>
      <w:r w:rsidR="00AA7A03" w:rsidRPr="00B53F89" w:rsidDel="008530D3">
        <w:t xml:space="preserve"> </w:t>
      </w:r>
      <w:r w:rsidR="008530D3">
        <w:t>previous</w:t>
      </w:r>
      <w:r w:rsidR="00AA7A03" w:rsidRPr="00B53F89">
        <w:t xml:space="preserve"> feedback into account, </w:t>
      </w:r>
      <w:r>
        <w:t>we</w:t>
      </w:r>
      <w:r w:rsidR="00AA7A03" w:rsidRPr="00B53F89">
        <w:t xml:space="preserve"> will plan for a spacing of at least six months between major spectrum licence a</w:t>
      </w:r>
      <w:r w:rsidR="00176BB4" w:rsidRPr="00B53F89">
        <w:t>llocations</w:t>
      </w:r>
      <w:r w:rsidR="00B71AFE" w:rsidRPr="00B53F89">
        <w:t>, unless there are clear reasons to auction bands together</w:t>
      </w:r>
      <w:r>
        <w:t>,</w:t>
      </w:r>
      <w:r w:rsidR="00B71AFE" w:rsidRPr="00B53F89">
        <w:t xml:space="preserve"> such as </w:t>
      </w:r>
      <w:r w:rsidR="00260547" w:rsidRPr="00B53F89">
        <w:t>that the characteristics of the bands complement each other or where one band can be a substitute for the other</w:t>
      </w:r>
      <w:r w:rsidR="00AA7A03" w:rsidRPr="00B53F89">
        <w:t>.</w:t>
      </w:r>
    </w:p>
    <w:p w14:paraId="413B683A" w14:textId="6E26ABC9" w:rsidR="00065477" w:rsidRPr="00B53F89" w:rsidRDefault="00065477" w:rsidP="00A15C44">
      <w:r w:rsidRPr="00B53F89">
        <w:t>The 26 GHz and 28 GHz bands are both included in intern</w:t>
      </w:r>
      <w:r w:rsidR="00F83901" w:rsidRPr="00B53F89">
        <w:t>a</w:t>
      </w:r>
      <w:r w:rsidRPr="00B53F89">
        <w:t>tional consideration of possible 5G wireless broadband spectrum</w:t>
      </w:r>
      <w:r w:rsidR="00AF4C03" w:rsidRPr="00B53F89">
        <w:t>, as well as currently or potentially supporting a range of other services</w:t>
      </w:r>
      <w:r w:rsidRPr="00B53F89">
        <w:t>. Both the planning, and the timing and sequencing</w:t>
      </w:r>
      <w:r w:rsidR="00F41CDB" w:rsidRPr="00B53F89">
        <w:t>,</w:t>
      </w:r>
      <w:r w:rsidRPr="00B53F89">
        <w:t xml:space="preserve"> of the allocation of licences in these bands, needs to be considered together as much as possible. </w:t>
      </w:r>
      <w:r w:rsidR="009B2F27">
        <w:t>We</w:t>
      </w:r>
      <w:r w:rsidR="004A41AA" w:rsidRPr="00B53F89">
        <w:t xml:space="preserve"> will endeavour to ensure that the timing of allocation processes for both bands (whether price-based processes such as auctions, or administrative processes)</w:t>
      </w:r>
      <w:r w:rsidR="0026211E" w:rsidRPr="00B53F89">
        <w:t xml:space="preserve"> will be coordinated to reflect the close connection between the bands.</w:t>
      </w:r>
    </w:p>
    <w:p w14:paraId="388318A2" w14:textId="39A30E34" w:rsidR="00D23EA9" w:rsidRPr="00B53F89" w:rsidRDefault="00F15C88" w:rsidP="00D23EA9">
      <w:r w:rsidRPr="00B53F89">
        <w:t xml:space="preserve">Table 11 below outlines </w:t>
      </w:r>
      <w:r w:rsidR="009B2F27">
        <w:t>our</w:t>
      </w:r>
      <w:r w:rsidRPr="00B53F89">
        <w:t xml:space="preserve"> current timing expectations </w:t>
      </w:r>
      <w:r w:rsidR="009B2F27">
        <w:t>for</w:t>
      </w:r>
      <w:r w:rsidRPr="00B53F89">
        <w:t xml:space="preserve"> future allocations, under current law.</w:t>
      </w:r>
      <w:r w:rsidR="00D23EA9" w:rsidRPr="00B53F89">
        <w:t xml:space="preserve"> Please note that specific allocation processes depend on ACMA and, in some cases, </w:t>
      </w:r>
      <w:r w:rsidR="00AA6D3C" w:rsidRPr="00B53F89">
        <w:t>M</w:t>
      </w:r>
      <w:r w:rsidR="00D23EA9" w:rsidRPr="00B53F89">
        <w:t xml:space="preserve">inisterial decisions made during the planning and allocation stages, as well as the outcomes of consultation processes, including the views of incumbent and prospective spectrum users. As a result, </w:t>
      </w:r>
      <w:r w:rsidR="009B2F27" w:rsidRPr="00B53F89">
        <w:t>timing expectations</w:t>
      </w:r>
      <w:r w:rsidR="009B2F27" w:rsidRPr="00B53F89" w:rsidDel="009B2F27">
        <w:t xml:space="preserve"> </w:t>
      </w:r>
      <w:r w:rsidR="00D23EA9" w:rsidRPr="00B53F89">
        <w:t>cannot be definitive.</w:t>
      </w:r>
    </w:p>
    <w:p w14:paraId="673F76A9" w14:textId="3F64C632" w:rsidR="003F4B80" w:rsidRPr="00B53F89" w:rsidRDefault="00EC2F66" w:rsidP="000C609A">
      <w:pPr>
        <w:pStyle w:val="ACMATableHeader"/>
        <w:keepNext/>
      </w:pPr>
      <w:r w:rsidRPr="00B53F89">
        <w:lastRenderedPageBreak/>
        <w:t xml:space="preserve">Potential timing of </w:t>
      </w:r>
      <w:r w:rsidR="004959E5" w:rsidRPr="00B53F89">
        <w:t>allocations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Caption w:val="Scenario 2—3.6 GHz prioritised, with mmWave next"/>
        <w:tblDescription w:val="Shows planning decision and auction timeframes."/>
      </w:tblPr>
      <w:tblGrid>
        <w:gridCol w:w="1004"/>
        <w:gridCol w:w="1604"/>
        <w:gridCol w:w="1821"/>
        <w:gridCol w:w="1628"/>
        <w:gridCol w:w="1604"/>
      </w:tblGrid>
      <w:tr w:rsidR="003D1B6F" w:rsidRPr="00B53F89" w14:paraId="54C5905E" w14:textId="77777777" w:rsidTr="00B92D2A">
        <w:trPr>
          <w:cantSplit/>
          <w:tblHeader/>
        </w:trPr>
        <w:tc>
          <w:tcPr>
            <w:tcW w:w="1004" w:type="dxa"/>
            <w:shd w:val="clear" w:color="auto" w:fill="404040" w:themeFill="text1" w:themeFillTint="BF"/>
          </w:tcPr>
          <w:p w14:paraId="08B831C0" w14:textId="77777777" w:rsidR="0001077C" w:rsidRPr="00B53F89" w:rsidRDefault="00575163" w:rsidP="00B747E1">
            <w:pPr>
              <w:pStyle w:val="TableHeading"/>
            </w:pPr>
            <w:bookmarkStart w:id="462" w:name="_Hlk522785298"/>
            <w:r w:rsidRPr="00B53F89">
              <w:t>Band</w:t>
            </w:r>
          </w:p>
          <w:p w14:paraId="1D594BFF" w14:textId="77777777" w:rsidR="003F4B80" w:rsidRPr="00B53F89" w:rsidRDefault="003F4B80" w:rsidP="0001077C">
            <w:pPr>
              <w:tabs>
                <w:tab w:val="left" w:pos="538"/>
              </w:tabs>
              <w:rPr>
                <w:color w:val="FFFFFF" w:themeColor="background1"/>
              </w:rPr>
            </w:pPr>
          </w:p>
        </w:tc>
        <w:tc>
          <w:tcPr>
            <w:tcW w:w="1604" w:type="dxa"/>
            <w:shd w:val="clear" w:color="auto" w:fill="404040" w:themeFill="text1" w:themeFillTint="BF"/>
          </w:tcPr>
          <w:p w14:paraId="05C546CA" w14:textId="33AB2872" w:rsidR="003F4B80" w:rsidRPr="00B53F89" w:rsidRDefault="003F4B80" w:rsidP="00B747E1">
            <w:pPr>
              <w:pStyle w:val="TableHeading"/>
            </w:pPr>
            <w:r w:rsidRPr="00B53F89">
              <w:t xml:space="preserve">ACMA </w:t>
            </w:r>
            <w:r w:rsidR="00966DE2" w:rsidRPr="00B53F89">
              <w:t>next steps</w:t>
            </w:r>
          </w:p>
        </w:tc>
        <w:tc>
          <w:tcPr>
            <w:tcW w:w="1821" w:type="dxa"/>
            <w:shd w:val="clear" w:color="auto" w:fill="404040" w:themeFill="text1" w:themeFillTint="BF"/>
          </w:tcPr>
          <w:p w14:paraId="7C395BFE" w14:textId="33677F3F" w:rsidR="003F4B80" w:rsidRPr="00B53F89" w:rsidRDefault="0009395C" w:rsidP="00B747E1">
            <w:pPr>
              <w:pStyle w:val="TableHeading"/>
            </w:pPr>
            <w:r w:rsidRPr="00B53F89">
              <w:t xml:space="preserve">ACMA recommendation to </w:t>
            </w:r>
            <w:r w:rsidR="002C0804">
              <w:t>M</w:t>
            </w:r>
            <w:r w:rsidR="003F4B80" w:rsidRPr="00B53F89">
              <w:t>in</w:t>
            </w:r>
            <w:r w:rsidR="00715BB9" w:rsidRPr="00B53F89">
              <w:t>ister</w:t>
            </w:r>
            <w:r w:rsidR="003F4B80" w:rsidRPr="00B53F89">
              <w:t xml:space="preserve"> </w:t>
            </w:r>
            <w:r w:rsidR="00715BB9" w:rsidRPr="00B53F89">
              <w:t>where applicable</w:t>
            </w:r>
          </w:p>
        </w:tc>
        <w:tc>
          <w:tcPr>
            <w:tcW w:w="1628" w:type="dxa"/>
            <w:shd w:val="clear" w:color="auto" w:fill="404040" w:themeFill="text1" w:themeFillTint="BF"/>
          </w:tcPr>
          <w:p w14:paraId="3F8B0A59" w14:textId="64B3E846" w:rsidR="003F4B80" w:rsidRPr="00B53F89" w:rsidRDefault="00B37A05" w:rsidP="00B747E1">
            <w:pPr>
              <w:pStyle w:val="TableHeading"/>
            </w:pPr>
            <w:r w:rsidRPr="00B53F89">
              <w:t>Proposed a</w:t>
            </w:r>
            <w:r w:rsidR="00BE2203" w:rsidRPr="00B53F89">
              <w:t xml:space="preserve">llocation </w:t>
            </w:r>
            <w:r w:rsidRPr="00B53F89">
              <w:t>timi</w:t>
            </w:r>
            <w:r w:rsidR="00567FAB" w:rsidRPr="00B53F89">
              <w:t>n</w:t>
            </w:r>
            <w:r w:rsidRPr="00B53F89">
              <w:t>g</w:t>
            </w:r>
          </w:p>
        </w:tc>
        <w:tc>
          <w:tcPr>
            <w:tcW w:w="1604" w:type="dxa"/>
            <w:shd w:val="clear" w:color="auto" w:fill="404040" w:themeFill="text1" w:themeFillTint="BF"/>
          </w:tcPr>
          <w:p w14:paraId="5418C189" w14:textId="77777777" w:rsidR="003F4B80" w:rsidRPr="00B53F89" w:rsidRDefault="003F4B80" w:rsidP="00B747E1">
            <w:pPr>
              <w:pStyle w:val="TableHeading"/>
            </w:pPr>
            <w:r w:rsidRPr="00B53F89">
              <w:t>Notes</w:t>
            </w:r>
          </w:p>
        </w:tc>
      </w:tr>
      <w:tr w:rsidR="00F26EB2" w:rsidRPr="00B53F89" w14:paraId="6FFED097" w14:textId="77777777" w:rsidTr="00B92D2A">
        <w:trPr>
          <w:cantSplit/>
        </w:trPr>
        <w:tc>
          <w:tcPr>
            <w:tcW w:w="1004" w:type="dxa"/>
            <w:shd w:val="clear" w:color="auto" w:fill="FFFFFF" w:themeFill="background1"/>
          </w:tcPr>
          <w:p w14:paraId="5AA1AFEC" w14:textId="6E906F3A" w:rsidR="00F26EB2" w:rsidRPr="00B53F89" w:rsidRDefault="00F26EB2" w:rsidP="00DE694D">
            <w:pPr>
              <w:pStyle w:val="TableBody"/>
            </w:pPr>
            <w:r w:rsidRPr="00B53F89">
              <w:t>26 GHz</w:t>
            </w:r>
            <w:r w:rsidR="00085615">
              <w:t xml:space="preserve"> </w:t>
            </w:r>
            <w:r w:rsidRPr="00B53F89">
              <w:t>spectrum licences</w:t>
            </w:r>
          </w:p>
        </w:tc>
        <w:tc>
          <w:tcPr>
            <w:tcW w:w="1604" w:type="dxa"/>
            <w:shd w:val="clear" w:color="auto" w:fill="FFFFFF" w:themeFill="background1"/>
          </w:tcPr>
          <w:p w14:paraId="1FBBE643" w14:textId="77777777" w:rsidR="00F26EB2" w:rsidRDefault="00F26EB2" w:rsidP="00513FDE">
            <w:pPr>
              <w:pStyle w:val="TableBody"/>
              <w:spacing w:after="120"/>
            </w:pPr>
            <w:r>
              <w:t xml:space="preserve">Consult on </w:t>
            </w:r>
            <w:r w:rsidRPr="00FA3867">
              <w:t>draft allocation instruments</w:t>
            </w:r>
          </w:p>
          <w:p w14:paraId="07E6E687" w14:textId="5FE436D3" w:rsidR="00AF4D4E" w:rsidRDefault="00AF4D4E" w:rsidP="00DE694D">
            <w:pPr>
              <w:pStyle w:val="TableBody"/>
            </w:pPr>
            <w:r>
              <w:t>Auction of Spectrum licences</w:t>
            </w:r>
          </w:p>
        </w:tc>
        <w:tc>
          <w:tcPr>
            <w:tcW w:w="1821" w:type="dxa"/>
            <w:shd w:val="clear" w:color="auto" w:fill="FFFFFF" w:themeFill="background1"/>
          </w:tcPr>
          <w:p w14:paraId="402681D7" w14:textId="77777777" w:rsidR="00F26EB2" w:rsidRPr="00E2262A" w:rsidRDefault="00F26EB2" w:rsidP="00F2797B">
            <w:pPr>
              <w:pStyle w:val="TableBody"/>
            </w:pPr>
          </w:p>
        </w:tc>
        <w:tc>
          <w:tcPr>
            <w:tcW w:w="1628" w:type="dxa"/>
            <w:shd w:val="clear" w:color="auto" w:fill="FFFFFF" w:themeFill="background1"/>
          </w:tcPr>
          <w:p w14:paraId="28DDDB00" w14:textId="057704A8" w:rsidR="00F26EB2" w:rsidRDefault="00F26EB2" w:rsidP="00DE694D">
            <w:pPr>
              <w:pStyle w:val="TableBody"/>
            </w:pPr>
            <w:r>
              <w:t>Q2</w:t>
            </w:r>
            <w:r w:rsidR="009B2F27">
              <w:t>–</w:t>
            </w:r>
            <w:r>
              <w:t>3 2020</w:t>
            </w:r>
          </w:p>
          <w:p w14:paraId="1B92016E" w14:textId="77777777" w:rsidR="00AF4D4E" w:rsidRDefault="00AF4D4E" w:rsidP="00DE694D">
            <w:pPr>
              <w:pStyle w:val="TableBody"/>
            </w:pPr>
          </w:p>
          <w:p w14:paraId="78FD5743" w14:textId="77777777" w:rsidR="00AF4D4E" w:rsidRDefault="00AF4D4E" w:rsidP="00DE694D">
            <w:pPr>
              <w:pStyle w:val="TableBody"/>
            </w:pPr>
          </w:p>
          <w:p w14:paraId="4DA24885" w14:textId="77777777" w:rsidR="00AF4D4E" w:rsidRDefault="00AF4D4E" w:rsidP="00DE694D">
            <w:pPr>
              <w:pStyle w:val="TableBody"/>
            </w:pPr>
          </w:p>
          <w:p w14:paraId="204FE2CF" w14:textId="51F81F94" w:rsidR="00AF4D4E" w:rsidRPr="00B53F89" w:rsidRDefault="00AF4D4E" w:rsidP="00DE694D">
            <w:pPr>
              <w:pStyle w:val="TableBody"/>
            </w:pPr>
            <w:r>
              <w:t>Q1 2021</w:t>
            </w:r>
          </w:p>
        </w:tc>
        <w:tc>
          <w:tcPr>
            <w:tcW w:w="1604" w:type="dxa"/>
            <w:shd w:val="clear" w:color="auto" w:fill="FFFFFF" w:themeFill="background1"/>
          </w:tcPr>
          <w:p w14:paraId="33BCE08A" w14:textId="77777777" w:rsidR="00F26EB2" w:rsidRDefault="00F26EB2" w:rsidP="00DE694D">
            <w:pPr>
              <w:pStyle w:val="TableBody"/>
            </w:pPr>
          </w:p>
        </w:tc>
      </w:tr>
      <w:tr w:rsidR="00F26EB2" w:rsidRPr="00B53F89" w14:paraId="36ADDB56" w14:textId="77777777" w:rsidTr="00B92D2A">
        <w:trPr>
          <w:cantSplit/>
        </w:trPr>
        <w:tc>
          <w:tcPr>
            <w:tcW w:w="1004" w:type="dxa"/>
            <w:shd w:val="clear" w:color="auto" w:fill="F2F2F2" w:themeFill="background1" w:themeFillShade="F2"/>
          </w:tcPr>
          <w:p w14:paraId="1D95357B" w14:textId="5354B87C" w:rsidR="00F26EB2" w:rsidRPr="00B53F89" w:rsidRDefault="00F26EB2" w:rsidP="00DE694D">
            <w:pPr>
              <w:pStyle w:val="TableBody"/>
            </w:pPr>
            <w:r>
              <w:rPr>
                <w:szCs w:val="20"/>
              </w:rPr>
              <w:t>26 GHz apparatus licences</w:t>
            </w:r>
          </w:p>
        </w:tc>
        <w:tc>
          <w:tcPr>
            <w:tcW w:w="1604" w:type="dxa"/>
            <w:shd w:val="clear" w:color="auto" w:fill="F2F2F2" w:themeFill="background1" w:themeFillShade="F2"/>
          </w:tcPr>
          <w:p w14:paraId="56054932" w14:textId="3957A682" w:rsidR="00AF4D4E" w:rsidRDefault="00F26EB2" w:rsidP="00513FDE">
            <w:pPr>
              <w:pStyle w:val="TableBody"/>
              <w:spacing w:after="120"/>
            </w:pPr>
            <w:r>
              <w:t xml:space="preserve">Consult on technical framework </w:t>
            </w:r>
          </w:p>
          <w:p w14:paraId="5EA06021" w14:textId="7B29DB23" w:rsidR="00AF4D4E" w:rsidRDefault="00AF4D4E" w:rsidP="00F26EB2">
            <w:pPr>
              <w:pStyle w:val="TableBody"/>
            </w:pPr>
            <w:r>
              <w:t>Availability of apparatus licences</w:t>
            </w:r>
          </w:p>
          <w:p w14:paraId="003176A5" w14:textId="77777777" w:rsidR="00F26EB2" w:rsidRDefault="00F26EB2" w:rsidP="00DE694D">
            <w:pPr>
              <w:pStyle w:val="TableBody"/>
            </w:pPr>
          </w:p>
        </w:tc>
        <w:tc>
          <w:tcPr>
            <w:tcW w:w="1821" w:type="dxa"/>
            <w:shd w:val="clear" w:color="auto" w:fill="F2F2F2" w:themeFill="background1" w:themeFillShade="F2"/>
          </w:tcPr>
          <w:p w14:paraId="04A14BF2" w14:textId="77777777" w:rsidR="00F26EB2" w:rsidRPr="00E2262A" w:rsidRDefault="00F26EB2" w:rsidP="00F2797B">
            <w:pPr>
              <w:pStyle w:val="TableBody"/>
            </w:pPr>
          </w:p>
        </w:tc>
        <w:tc>
          <w:tcPr>
            <w:tcW w:w="1628" w:type="dxa"/>
            <w:shd w:val="clear" w:color="auto" w:fill="F2F2F2" w:themeFill="background1" w:themeFillShade="F2"/>
          </w:tcPr>
          <w:p w14:paraId="24AA8C77" w14:textId="226F5D76" w:rsidR="00F26EB2" w:rsidRDefault="00F26EB2" w:rsidP="00DE694D">
            <w:pPr>
              <w:pStyle w:val="TableBody"/>
            </w:pPr>
            <w:r>
              <w:t>Q2</w:t>
            </w:r>
            <w:r w:rsidR="009B2F27">
              <w:t>–</w:t>
            </w:r>
            <w:r>
              <w:t>3 2020</w:t>
            </w:r>
          </w:p>
          <w:p w14:paraId="291732DC" w14:textId="77777777" w:rsidR="00AF4D4E" w:rsidRDefault="00AF4D4E" w:rsidP="00DE694D">
            <w:pPr>
              <w:pStyle w:val="TableBody"/>
            </w:pPr>
          </w:p>
          <w:p w14:paraId="78E11A6A" w14:textId="77777777" w:rsidR="00AF4D4E" w:rsidRDefault="00AF4D4E" w:rsidP="00DE694D">
            <w:pPr>
              <w:pStyle w:val="TableBody"/>
            </w:pPr>
          </w:p>
          <w:p w14:paraId="3BA62CF0" w14:textId="77777777" w:rsidR="00AF4D4E" w:rsidRDefault="00AF4D4E" w:rsidP="00DE694D">
            <w:pPr>
              <w:pStyle w:val="TableBody"/>
            </w:pPr>
          </w:p>
          <w:p w14:paraId="3AEB38A4" w14:textId="088EEDCD" w:rsidR="00AF4D4E" w:rsidRPr="00B53F89" w:rsidRDefault="00AC201C" w:rsidP="00DE694D">
            <w:pPr>
              <w:pStyle w:val="TableBody"/>
            </w:pPr>
            <w:r>
              <w:t xml:space="preserve">From </w:t>
            </w:r>
            <w:r w:rsidR="00AF4D4E">
              <w:t>Q</w:t>
            </w:r>
            <w:r>
              <w:t>4</w:t>
            </w:r>
            <w:r w:rsidR="00AF4D4E">
              <w:t xml:space="preserve"> 202</w:t>
            </w:r>
            <w:r>
              <w:t>0</w:t>
            </w:r>
          </w:p>
        </w:tc>
        <w:tc>
          <w:tcPr>
            <w:tcW w:w="1604" w:type="dxa"/>
            <w:shd w:val="clear" w:color="auto" w:fill="F2F2F2" w:themeFill="background1" w:themeFillShade="F2"/>
          </w:tcPr>
          <w:p w14:paraId="6CE8B67D" w14:textId="77777777" w:rsidR="00F26EB2" w:rsidRDefault="00F26EB2" w:rsidP="00DE694D">
            <w:pPr>
              <w:pStyle w:val="TableBody"/>
            </w:pPr>
          </w:p>
        </w:tc>
      </w:tr>
      <w:tr w:rsidR="00F26EB2" w:rsidRPr="00B53F89" w14:paraId="7C1E0BD5" w14:textId="77777777" w:rsidTr="00B92D2A">
        <w:trPr>
          <w:cantSplit/>
        </w:trPr>
        <w:tc>
          <w:tcPr>
            <w:tcW w:w="1004" w:type="dxa"/>
            <w:shd w:val="clear" w:color="auto" w:fill="FFFFFF" w:themeFill="background1"/>
          </w:tcPr>
          <w:p w14:paraId="46C44AE2" w14:textId="02D75E56" w:rsidR="00F26EB2" w:rsidRPr="00B53F89" w:rsidRDefault="00F26EB2" w:rsidP="00DE694D">
            <w:pPr>
              <w:pStyle w:val="TableBody"/>
            </w:pPr>
            <w:r w:rsidRPr="00B53F89">
              <w:rPr>
                <w:szCs w:val="20"/>
              </w:rPr>
              <w:t xml:space="preserve">28 GHz </w:t>
            </w:r>
          </w:p>
        </w:tc>
        <w:tc>
          <w:tcPr>
            <w:tcW w:w="1604" w:type="dxa"/>
            <w:shd w:val="clear" w:color="auto" w:fill="FFFFFF" w:themeFill="background1"/>
          </w:tcPr>
          <w:p w14:paraId="5BACE4D0" w14:textId="77777777" w:rsidR="00AC201C" w:rsidRDefault="00AC201C" w:rsidP="00AC201C">
            <w:pPr>
              <w:pStyle w:val="TableBody"/>
            </w:pPr>
            <w:r>
              <w:t>Availability of apparatus licences</w:t>
            </w:r>
          </w:p>
          <w:p w14:paraId="7379955E" w14:textId="2661E398" w:rsidR="00F26EB2" w:rsidRDefault="00F26EB2" w:rsidP="00F26EB2">
            <w:pPr>
              <w:pStyle w:val="TableBody"/>
            </w:pPr>
          </w:p>
        </w:tc>
        <w:tc>
          <w:tcPr>
            <w:tcW w:w="1821" w:type="dxa"/>
            <w:shd w:val="clear" w:color="auto" w:fill="FFFFFF" w:themeFill="background1"/>
          </w:tcPr>
          <w:p w14:paraId="1A642C1D" w14:textId="77777777" w:rsidR="00F26EB2" w:rsidRPr="00E2262A" w:rsidRDefault="00F26EB2" w:rsidP="00F2797B">
            <w:pPr>
              <w:pStyle w:val="TableBody"/>
            </w:pPr>
          </w:p>
        </w:tc>
        <w:tc>
          <w:tcPr>
            <w:tcW w:w="1628" w:type="dxa"/>
            <w:shd w:val="clear" w:color="auto" w:fill="FFFFFF" w:themeFill="background1"/>
          </w:tcPr>
          <w:p w14:paraId="0FFD1CD8" w14:textId="146511EB" w:rsidR="00F26EB2" w:rsidRPr="00B53F89" w:rsidRDefault="00AC201C" w:rsidP="00DE694D">
            <w:pPr>
              <w:pStyle w:val="TableBody"/>
            </w:pPr>
            <w:r>
              <w:t>From Q4 2020</w:t>
            </w:r>
          </w:p>
        </w:tc>
        <w:tc>
          <w:tcPr>
            <w:tcW w:w="1604" w:type="dxa"/>
            <w:shd w:val="clear" w:color="auto" w:fill="FFFFFF" w:themeFill="background1"/>
          </w:tcPr>
          <w:p w14:paraId="7C4848CE" w14:textId="5BA20551" w:rsidR="00F26EB2" w:rsidRDefault="00F26EB2" w:rsidP="00DE694D">
            <w:pPr>
              <w:pStyle w:val="TableBody"/>
            </w:pPr>
            <w:r w:rsidRPr="00F26EB2">
              <w:t xml:space="preserve">Timing of availability of allocations to align with 26 GHz band </w:t>
            </w:r>
            <w:r w:rsidR="00AF4D4E">
              <w:t>apparatus licence</w:t>
            </w:r>
            <w:r w:rsidRPr="00F26EB2">
              <w:t>s where feasible and appropriate</w:t>
            </w:r>
            <w:r w:rsidR="009B2F27">
              <w:t>.</w:t>
            </w:r>
          </w:p>
        </w:tc>
      </w:tr>
      <w:tr w:rsidR="003D1B6F" w:rsidRPr="00B53F89" w14:paraId="79054976" w14:textId="77777777" w:rsidTr="00B92D2A">
        <w:trPr>
          <w:cantSplit/>
        </w:trPr>
        <w:tc>
          <w:tcPr>
            <w:tcW w:w="1004" w:type="dxa"/>
            <w:shd w:val="clear" w:color="auto" w:fill="F2F2F2" w:themeFill="background1" w:themeFillShade="F2"/>
          </w:tcPr>
          <w:p w14:paraId="03645700" w14:textId="1780D29A" w:rsidR="00283D92" w:rsidRPr="00B53F89" w:rsidRDefault="00283D92" w:rsidP="00DE694D">
            <w:pPr>
              <w:pStyle w:val="TableBody"/>
            </w:pPr>
            <w:r w:rsidRPr="00B53F89">
              <w:t xml:space="preserve">850/900 </w:t>
            </w:r>
            <w:r w:rsidR="00552064" w:rsidRPr="00B53F89">
              <w:t>MHz</w:t>
            </w:r>
          </w:p>
        </w:tc>
        <w:tc>
          <w:tcPr>
            <w:tcW w:w="1604" w:type="dxa"/>
            <w:shd w:val="clear" w:color="auto" w:fill="F2F2F2" w:themeFill="background1" w:themeFillShade="F2"/>
          </w:tcPr>
          <w:p w14:paraId="3B6A4496" w14:textId="555B78AA" w:rsidR="00283D92" w:rsidRPr="00B53F89" w:rsidRDefault="003D1B6F" w:rsidP="00DE694D">
            <w:pPr>
              <w:pStyle w:val="TableBody"/>
            </w:pPr>
            <w:r>
              <w:t xml:space="preserve">Consult on draft recommendation to </w:t>
            </w:r>
            <w:r w:rsidR="002C0804">
              <w:t>M</w:t>
            </w:r>
            <w:r>
              <w:t>inister</w:t>
            </w:r>
          </w:p>
        </w:tc>
        <w:tc>
          <w:tcPr>
            <w:tcW w:w="1821" w:type="dxa"/>
            <w:shd w:val="clear" w:color="auto" w:fill="F2F2F2" w:themeFill="background1" w:themeFillShade="F2"/>
          </w:tcPr>
          <w:p w14:paraId="76D6010F" w14:textId="066DAD04" w:rsidR="00283D92" w:rsidRPr="00B53F89" w:rsidRDefault="00673277" w:rsidP="00F2797B">
            <w:pPr>
              <w:pStyle w:val="TableBody"/>
            </w:pPr>
            <w:r w:rsidRPr="00E2262A">
              <w:t>Q</w:t>
            </w:r>
            <w:r w:rsidR="0063625D" w:rsidRPr="00E2262A">
              <w:t>3</w:t>
            </w:r>
            <w:r w:rsidR="00F2797B" w:rsidRPr="00E2262A">
              <w:t xml:space="preserve"> 2020</w:t>
            </w:r>
          </w:p>
        </w:tc>
        <w:tc>
          <w:tcPr>
            <w:tcW w:w="1628" w:type="dxa"/>
            <w:shd w:val="clear" w:color="auto" w:fill="F2F2F2" w:themeFill="background1" w:themeFillShade="F2"/>
          </w:tcPr>
          <w:p w14:paraId="0AF3A319" w14:textId="2C05F09A" w:rsidR="00283D92" w:rsidRPr="00B53F89" w:rsidRDefault="00F2797B" w:rsidP="00DE694D">
            <w:pPr>
              <w:pStyle w:val="TableBody"/>
            </w:pPr>
            <w:r w:rsidRPr="00B53F89">
              <w:t>Q</w:t>
            </w:r>
            <w:r w:rsidR="001D2120" w:rsidRPr="00B53F89">
              <w:t>4</w:t>
            </w:r>
            <w:r w:rsidRPr="00B53F89">
              <w:t xml:space="preserve"> 202</w:t>
            </w:r>
            <w:r w:rsidR="00560241" w:rsidRPr="00B53F89">
              <w:t>1</w:t>
            </w:r>
          </w:p>
        </w:tc>
        <w:tc>
          <w:tcPr>
            <w:tcW w:w="1604" w:type="dxa"/>
            <w:shd w:val="clear" w:color="auto" w:fill="F2F2F2" w:themeFill="background1" w:themeFillShade="F2"/>
          </w:tcPr>
          <w:p w14:paraId="133AC10D" w14:textId="729BA563" w:rsidR="0063625D" w:rsidRDefault="0063625D" w:rsidP="00513FDE">
            <w:pPr>
              <w:pStyle w:val="TableBody"/>
              <w:spacing w:after="120"/>
            </w:pPr>
            <w:r>
              <w:t>To allow additional time</w:t>
            </w:r>
            <w:r w:rsidR="009E0B62">
              <w:t>,</w:t>
            </w:r>
            <w:r>
              <w:t xml:space="preserve"> </w:t>
            </w:r>
            <w:r w:rsidR="009E0B62">
              <w:t xml:space="preserve">if required, </w:t>
            </w:r>
            <w:r>
              <w:t>for consultation on draft recommendation to Minister</w:t>
            </w:r>
            <w:r w:rsidDel="009B2F27">
              <w:t>.</w:t>
            </w:r>
          </w:p>
          <w:p w14:paraId="3FC4B94B" w14:textId="5EAADB0A" w:rsidR="00283D92" w:rsidRPr="00B53F89" w:rsidRDefault="00E66D57" w:rsidP="00DE694D">
            <w:pPr>
              <w:pStyle w:val="TableBody"/>
            </w:pPr>
            <w:r w:rsidRPr="00B53F89">
              <w:t xml:space="preserve">Auction 6 months after </w:t>
            </w:r>
            <w:r w:rsidRPr="00B53F89" w:rsidDel="003D1B6F">
              <w:t>26</w:t>
            </w:r>
            <w:r w:rsidR="003D1B6F">
              <w:t> </w:t>
            </w:r>
            <w:r w:rsidRPr="00B53F89">
              <w:t xml:space="preserve">GHz </w:t>
            </w:r>
            <w:r w:rsidR="009D335A" w:rsidRPr="00B53F89">
              <w:t xml:space="preserve">SL </w:t>
            </w:r>
            <w:r w:rsidRPr="00B53F89">
              <w:t>auction</w:t>
            </w:r>
            <w:r w:rsidR="009B2F27">
              <w:t>.</w:t>
            </w:r>
          </w:p>
        </w:tc>
      </w:tr>
      <w:tr w:rsidR="003D1B6F" w:rsidRPr="00B53F89" w14:paraId="5AF7B771" w14:textId="77777777" w:rsidTr="00B92D2A">
        <w:trPr>
          <w:cantSplit/>
        </w:trPr>
        <w:tc>
          <w:tcPr>
            <w:tcW w:w="1004" w:type="dxa"/>
            <w:shd w:val="clear" w:color="auto" w:fill="FFFFFF" w:themeFill="background1"/>
          </w:tcPr>
          <w:p w14:paraId="1C76E7D0" w14:textId="5CBB9F72" w:rsidR="00C02759" w:rsidRPr="00B53F89" w:rsidDel="00D205F9" w:rsidRDefault="00EE3C7B" w:rsidP="00DE694D">
            <w:pPr>
              <w:pStyle w:val="TableBody"/>
            </w:pPr>
            <w:r w:rsidRPr="00B53F89">
              <w:lastRenderedPageBreak/>
              <w:t>3400–3575 MHz</w:t>
            </w:r>
            <w:r w:rsidR="00B53F89">
              <w:t xml:space="preserve"> </w:t>
            </w:r>
          </w:p>
        </w:tc>
        <w:tc>
          <w:tcPr>
            <w:tcW w:w="1604" w:type="dxa"/>
            <w:shd w:val="clear" w:color="auto" w:fill="FFFFFF" w:themeFill="background1"/>
          </w:tcPr>
          <w:p w14:paraId="345851E2" w14:textId="5D5DF442" w:rsidR="00C02759" w:rsidRPr="00B53F89" w:rsidRDefault="00B642AC">
            <w:pPr>
              <w:pStyle w:val="TableBody"/>
            </w:pPr>
            <w:r>
              <w:t>I</w:t>
            </w:r>
            <w:r w:rsidR="002A1669">
              <w:t xml:space="preserve">mplementing </w:t>
            </w:r>
            <w:r w:rsidR="003F2430" w:rsidRPr="00B53F89">
              <w:t>planning decision</w:t>
            </w:r>
          </w:p>
        </w:tc>
        <w:tc>
          <w:tcPr>
            <w:tcW w:w="1821" w:type="dxa"/>
            <w:shd w:val="clear" w:color="auto" w:fill="FFFFFF" w:themeFill="background1"/>
          </w:tcPr>
          <w:p w14:paraId="3B4A2325" w14:textId="046D13BB" w:rsidR="00C02759" w:rsidRPr="00B53F89" w:rsidRDefault="00444455" w:rsidP="00DE694D">
            <w:pPr>
              <w:pStyle w:val="TableBody"/>
            </w:pPr>
            <w:r>
              <w:t>Not required. Under section 36 of the Act the Minister may, after consulting with the ACMA, choose to issue a notice designating specified frequencies and areas for the issue of spectrum licences. This</w:t>
            </w:r>
            <w:r w:rsidR="00F05FB5">
              <w:t xml:space="preserve"> </w:t>
            </w:r>
            <w:r w:rsidR="00FB2846">
              <w:t>may</w:t>
            </w:r>
            <w:r>
              <w:t xml:space="preserve"> occur in Q4 2020 after restack is completed.</w:t>
            </w:r>
          </w:p>
        </w:tc>
        <w:tc>
          <w:tcPr>
            <w:tcW w:w="1628" w:type="dxa"/>
            <w:shd w:val="clear" w:color="auto" w:fill="FFFFFF" w:themeFill="background1"/>
          </w:tcPr>
          <w:p w14:paraId="13DD89C6" w14:textId="43E04917" w:rsidR="00444455" w:rsidRDefault="00F25F7B" w:rsidP="00513FDE">
            <w:pPr>
              <w:pStyle w:val="TableBody"/>
              <w:spacing w:after="120"/>
            </w:pPr>
            <w:r>
              <w:rPr>
                <w:szCs w:val="20"/>
              </w:rPr>
              <w:t>If</w:t>
            </w:r>
            <w:r w:rsidR="00444455">
              <w:rPr>
                <w:szCs w:val="20"/>
              </w:rPr>
              <w:t xml:space="preserve"> the Minister </w:t>
            </w:r>
            <w:r>
              <w:rPr>
                <w:szCs w:val="20"/>
              </w:rPr>
              <w:t xml:space="preserve">makes a decision to </w:t>
            </w:r>
            <w:r w:rsidR="00444455">
              <w:rPr>
                <w:szCs w:val="20"/>
              </w:rPr>
              <w:t>designate spectrum for spectrum licensing, the conversion of NBN Co’s apparatus licences would commence in Q4 2020.</w:t>
            </w:r>
          </w:p>
          <w:p w14:paraId="26330654" w14:textId="6D501031" w:rsidR="00C02759" w:rsidRPr="00B53F89" w:rsidDel="00D205F9" w:rsidRDefault="00444455" w:rsidP="00DE694D">
            <w:pPr>
              <w:pStyle w:val="TableBody"/>
            </w:pPr>
            <w:r>
              <w:rPr>
                <w:szCs w:val="20"/>
              </w:rPr>
              <w:t>The allocation of any addition frequencies and areas designat</w:t>
            </w:r>
            <w:r w:rsidR="00F05FB5">
              <w:rPr>
                <w:szCs w:val="20"/>
              </w:rPr>
              <w:t>ed</w:t>
            </w:r>
            <w:r>
              <w:rPr>
                <w:szCs w:val="20"/>
              </w:rPr>
              <w:t xml:space="preserve"> for spectrum licensing could occur in </w:t>
            </w:r>
            <w:r w:rsidR="00F05FB5">
              <w:rPr>
                <w:szCs w:val="20"/>
              </w:rPr>
              <w:t>first half of</w:t>
            </w:r>
            <w:r>
              <w:rPr>
                <w:szCs w:val="20"/>
              </w:rPr>
              <w:t xml:space="preserve"> 202</w:t>
            </w:r>
            <w:r w:rsidR="00F05FB5">
              <w:rPr>
                <w:szCs w:val="20"/>
              </w:rPr>
              <w:t>3</w:t>
            </w:r>
            <w:r>
              <w:rPr>
                <w:szCs w:val="20"/>
              </w:rPr>
              <w:t>.</w:t>
            </w:r>
          </w:p>
        </w:tc>
        <w:tc>
          <w:tcPr>
            <w:tcW w:w="1604" w:type="dxa"/>
            <w:shd w:val="clear" w:color="auto" w:fill="FFFFFF" w:themeFill="background1"/>
          </w:tcPr>
          <w:p w14:paraId="0E868DB9" w14:textId="13BF89E0" w:rsidR="00444455" w:rsidRPr="00B53F89" w:rsidDel="00D205F9" w:rsidRDefault="00444455" w:rsidP="00444455">
            <w:pPr>
              <w:pStyle w:val="TableBody"/>
            </w:pPr>
          </w:p>
        </w:tc>
      </w:tr>
      <w:tr w:rsidR="00286E1A" w:rsidRPr="00B53F89" w14:paraId="7EBF9758" w14:textId="77777777" w:rsidTr="00B92D2A">
        <w:trPr>
          <w:cantSplit/>
        </w:trPr>
        <w:tc>
          <w:tcPr>
            <w:tcW w:w="1004" w:type="dxa"/>
            <w:shd w:val="clear" w:color="auto" w:fill="F2F2F2" w:themeFill="background1" w:themeFillShade="F2"/>
          </w:tcPr>
          <w:p w14:paraId="72E0A6AE" w14:textId="5E68925B" w:rsidR="00286E1A" w:rsidRPr="00B53F89" w:rsidRDefault="00286E1A" w:rsidP="00DE694D">
            <w:pPr>
              <w:pStyle w:val="TableBody"/>
            </w:pPr>
            <w:r>
              <w:t>3700-4200 MHz</w:t>
            </w:r>
          </w:p>
        </w:tc>
        <w:tc>
          <w:tcPr>
            <w:tcW w:w="1604" w:type="dxa"/>
            <w:shd w:val="clear" w:color="auto" w:fill="F2F2F2" w:themeFill="background1" w:themeFillShade="F2"/>
          </w:tcPr>
          <w:p w14:paraId="2F675C52" w14:textId="725C3BCD" w:rsidR="00286E1A" w:rsidRPr="00B53F89" w:rsidRDefault="00286E1A">
            <w:pPr>
              <w:pStyle w:val="TableBody"/>
            </w:pPr>
            <w:r>
              <w:t>Q2 2020</w:t>
            </w:r>
            <w:r w:rsidR="009B2F27">
              <w:t>: o</w:t>
            </w:r>
            <w:r>
              <w:t>ptions paper</w:t>
            </w:r>
          </w:p>
        </w:tc>
        <w:tc>
          <w:tcPr>
            <w:tcW w:w="1821" w:type="dxa"/>
            <w:shd w:val="clear" w:color="auto" w:fill="F2F2F2" w:themeFill="background1" w:themeFillShade="F2"/>
          </w:tcPr>
          <w:p w14:paraId="2B4D7A0D" w14:textId="77777777" w:rsidR="00286E1A" w:rsidRDefault="00286E1A" w:rsidP="00DE694D">
            <w:pPr>
              <w:pStyle w:val="TableBody"/>
            </w:pPr>
          </w:p>
        </w:tc>
        <w:tc>
          <w:tcPr>
            <w:tcW w:w="1628" w:type="dxa"/>
            <w:shd w:val="clear" w:color="auto" w:fill="F2F2F2" w:themeFill="background1" w:themeFillShade="F2"/>
          </w:tcPr>
          <w:p w14:paraId="56500A68" w14:textId="77777777" w:rsidR="00286E1A" w:rsidRDefault="00286E1A" w:rsidP="00DE694D">
            <w:pPr>
              <w:pStyle w:val="TableBody"/>
              <w:rPr>
                <w:szCs w:val="20"/>
              </w:rPr>
            </w:pPr>
          </w:p>
        </w:tc>
        <w:tc>
          <w:tcPr>
            <w:tcW w:w="1604" w:type="dxa"/>
            <w:shd w:val="clear" w:color="auto" w:fill="F2F2F2" w:themeFill="background1" w:themeFillShade="F2"/>
          </w:tcPr>
          <w:p w14:paraId="3A26BF84" w14:textId="77777777" w:rsidR="00286E1A" w:rsidRDefault="00286E1A" w:rsidP="00286E1A">
            <w:pPr>
              <w:pStyle w:val="TableBody"/>
            </w:pPr>
            <w:r>
              <w:t>No decisions made.</w:t>
            </w:r>
          </w:p>
          <w:p w14:paraId="57AC0EC6" w14:textId="7B8E0098" w:rsidR="00286E1A" w:rsidRPr="00B53F89" w:rsidDel="00D205F9" w:rsidRDefault="00286E1A" w:rsidP="00286E1A">
            <w:pPr>
              <w:pStyle w:val="TableBody"/>
            </w:pPr>
            <w:r>
              <w:t>Possible allocation.</w:t>
            </w:r>
          </w:p>
        </w:tc>
      </w:tr>
      <w:tr w:rsidR="00286E1A" w:rsidRPr="00B53F89" w14:paraId="6CFB7176" w14:textId="77777777" w:rsidTr="00B92D2A">
        <w:trPr>
          <w:cantSplit/>
        </w:trPr>
        <w:tc>
          <w:tcPr>
            <w:tcW w:w="1004" w:type="dxa"/>
            <w:shd w:val="clear" w:color="auto" w:fill="FFFFFF" w:themeFill="background1"/>
          </w:tcPr>
          <w:p w14:paraId="02C7F608" w14:textId="79393FBD" w:rsidR="00286E1A" w:rsidRDefault="00286E1A" w:rsidP="00286E1A">
            <w:pPr>
              <w:pStyle w:val="TableBody"/>
            </w:pPr>
            <w:r w:rsidRPr="00B53F89" w:rsidDel="00D205F9">
              <w:t>1.5 GHz</w:t>
            </w:r>
          </w:p>
        </w:tc>
        <w:tc>
          <w:tcPr>
            <w:tcW w:w="1604" w:type="dxa"/>
            <w:shd w:val="clear" w:color="auto" w:fill="FFFFFF" w:themeFill="background1"/>
          </w:tcPr>
          <w:p w14:paraId="3005209E" w14:textId="576F16BD" w:rsidR="00286E1A" w:rsidRPr="00B53F89" w:rsidRDefault="00286E1A" w:rsidP="00286E1A">
            <w:pPr>
              <w:pStyle w:val="TableBody"/>
            </w:pPr>
            <w:r w:rsidRPr="00B53F89">
              <w:t xml:space="preserve">TBC </w:t>
            </w:r>
            <w:r w:rsidR="009B2F27">
              <w:t>o</w:t>
            </w:r>
            <w:r w:rsidRPr="00B53F89">
              <w:t>ptions paper</w:t>
            </w:r>
          </w:p>
          <w:p w14:paraId="4FC10C43" w14:textId="77777777" w:rsidR="00286E1A" w:rsidRPr="00B53F89" w:rsidRDefault="00286E1A" w:rsidP="00286E1A">
            <w:pPr>
              <w:pStyle w:val="TableBody"/>
            </w:pPr>
          </w:p>
          <w:p w14:paraId="4C365311" w14:textId="5BC846D2" w:rsidR="00286E1A" w:rsidRDefault="00286E1A" w:rsidP="00286E1A">
            <w:pPr>
              <w:pStyle w:val="TableBody"/>
            </w:pPr>
            <w:r w:rsidRPr="00B53F89">
              <w:t xml:space="preserve">TBC </w:t>
            </w:r>
            <w:r w:rsidR="009B2F27">
              <w:t>p</w:t>
            </w:r>
            <w:r w:rsidRPr="00B53F89">
              <w:t>lanning decision</w:t>
            </w:r>
          </w:p>
        </w:tc>
        <w:tc>
          <w:tcPr>
            <w:tcW w:w="1821" w:type="dxa"/>
            <w:shd w:val="clear" w:color="auto" w:fill="FFFFFF" w:themeFill="background1"/>
          </w:tcPr>
          <w:p w14:paraId="5B1D9BED" w14:textId="77777777" w:rsidR="00286E1A" w:rsidRDefault="00286E1A" w:rsidP="00286E1A">
            <w:pPr>
              <w:pStyle w:val="TableBody"/>
            </w:pPr>
          </w:p>
        </w:tc>
        <w:tc>
          <w:tcPr>
            <w:tcW w:w="1628" w:type="dxa"/>
            <w:shd w:val="clear" w:color="auto" w:fill="FFFFFF" w:themeFill="background1"/>
          </w:tcPr>
          <w:p w14:paraId="19F3C165" w14:textId="77777777" w:rsidR="00286E1A" w:rsidRDefault="00286E1A" w:rsidP="00286E1A">
            <w:pPr>
              <w:pStyle w:val="TableBody"/>
              <w:rPr>
                <w:szCs w:val="20"/>
              </w:rPr>
            </w:pPr>
          </w:p>
        </w:tc>
        <w:tc>
          <w:tcPr>
            <w:tcW w:w="1604" w:type="dxa"/>
            <w:shd w:val="clear" w:color="auto" w:fill="FFFFFF" w:themeFill="background1"/>
          </w:tcPr>
          <w:p w14:paraId="49659FE6" w14:textId="77777777" w:rsidR="00286E1A" w:rsidRDefault="00286E1A" w:rsidP="00286E1A">
            <w:pPr>
              <w:pStyle w:val="TableBody"/>
            </w:pPr>
            <w:r>
              <w:t>No decisions made.</w:t>
            </w:r>
          </w:p>
          <w:p w14:paraId="374F018E" w14:textId="35697752" w:rsidR="00286E1A" w:rsidRDefault="00286E1A" w:rsidP="00286E1A">
            <w:pPr>
              <w:pStyle w:val="TableBody"/>
            </w:pPr>
            <w:r>
              <w:t>Possible l</w:t>
            </w:r>
            <w:r w:rsidRPr="00B53F89">
              <w:t>ower priority</w:t>
            </w:r>
            <w:r>
              <w:t xml:space="preserve"> allocation</w:t>
            </w:r>
            <w:r w:rsidR="009B2F27">
              <w:t>.</w:t>
            </w:r>
          </w:p>
        </w:tc>
      </w:tr>
      <w:bookmarkEnd w:id="462"/>
    </w:tbl>
    <w:p w14:paraId="51CE9257" w14:textId="77777777" w:rsidR="00200768" w:rsidRDefault="00200768" w:rsidP="00D7755E">
      <w:pPr>
        <w:rPr>
          <w:highlight w:val="cyan"/>
        </w:rPr>
      </w:pPr>
    </w:p>
    <w:p w14:paraId="53484414" w14:textId="32A5ECDA" w:rsidR="00E00B33" w:rsidRPr="00B53F89" w:rsidRDefault="00B92D2A" w:rsidP="008A3150">
      <w:bookmarkStart w:id="463" w:name="_Spectrum_management_enhancements"/>
      <w:bookmarkStart w:id="464" w:name="_Spectrum_management_practice"/>
      <w:bookmarkEnd w:id="229"/>
      <w:bookmarkEnd w:id="230"/>
      <w:bookmarkEnd w:id="231"/>
      <w:bookmarkEnd w:id="232"/>
      <w:bookmarkEnd w:id="233"/>
      <w:bookmarkEnd w:id="234"/>
      <w:bookmarkEnd w:id="463"/>
      <w:bookmarkEnd w:id="464"/>
      <w:r>
        <w:t>We are</w:t>
      </w:r>
      <w:r w:rsidR="00560A47">
        <w:t xml:space="preserve"> interested in industry feedback on the proposed </w:t>
      </w:r>
      <w:r w:rsidR="000415FD">
        <w:t xml:space="preserve">timing and </w:t>
      </w:r>
      <w:r w:rsidR="00560A47">
        <w:t xml:space="preserve">sequencing of the allocations and whether </w:t>
      </w:r>
      <w:r w:rsidR="00560A47" w:rsidRPr="00560A47">
        <w:t xml:space="preserve">the COVID-19 pandemic has significantly changed </w:t>
      </w:r>
      <w:r w:rsidR="00560A47" w:rsidRPr="00560A47" w:rsidDel="00F553B1">
        <w:t xml:space="preserve">industry views on the timing and sequencing of the planned </w:t>
      </w:r>
      <w:r w:rsidR="00560A47" w:rsidRPr="00560A47">
        <w:t>allocations</w:t>
      </w:r>
      <w:r w:rsidR="004E2657">
        <w:t>.</w:t>
      </w:r>
      <w:r>
        <w:t xml:space="preserve"> We are</w:t>
      </w:r>
      <w:r w:rsidR="000415FD">
        <w:t xml:space="preserve"> also interested in </w:t>
      </w:r>
      <w:r w:rsidR="00560A47">
        <w:t xml:space="preserve">whether stakeholders identify </w:t>
      </w:r>
      <w:r w:rsidR="00560A47" w:rsidRPr="00560A47">
        <w:t xml:space="preserve">additional bands </w:t>
      </w:r>
      <w:r w:rsidR="000415FD">
        <w:t xml:space="preserve">as suitable </w:t>
      </w:r>
      <w:r w:rsidR="00560A47" w:rsidRPr="00560A47">
        <w:t>for inclusion in the allocation work program</w:t>
      </w:r>
      <w:r w:rsidR="00560A47">
        <w:t xml:space="preserve">. </w:t>
      </w:r>
    </w:p>
    <w:p w14:paraId="08341B30" w14:textId="60FCA0AB" w:rsidR="00286D6B" w:rsidRPr="00B53F89" w:rsidRDefault="00286D6B">
      <w:pPr>
        <w:pStyle w:val="Heading1"/>
      </w:pPr>
      <w:bookmarkStart w:id="465" w:name="_Toc510104978"/>
      <w:bookmarkStart w:id="466" w:name="_Toc510105775"/>
      <w:bookmarkStart w:id="467" w:name="_Toc510795107"/>
      <w:bookmarkStart w:id="468" w:name="_Toc511716310"/>
      <w:bookmarkStart w:id="469" w:name="_Toc511719121"/>
      <w:bookmarkStart w:id="470" w:name="_Toc522794113"/>
      <w:bookmarkStart w:id="471" w:name="_Toc31892841"/>
      <w:bookmarkStart w:id="472" w:name="_Toc36207458"/>
      <w:bookmarkStart w:id="473" w:name="_Toc38987235"/>
      <w:bookmarkStart w:id="474" w:name="_Hlk36456301"/>
      <w:r w:rsidRPr="00B53F89">
        <w:lastRenderedPageBreak/>
        <w:t>Licensing</w:t>
      </w:r>
      <w:r w:rsidR="008B4A81" w:rsidRPr="00B53F89">
        <w:t xml:space="preserve"> and licensing systems</w:t>
      </w:r>
      <w:bookmarkEnd w:id="465"/>
      <w:bookmarkEnd w:id="466"/>
      <w:bookmarkEnd w:id="467"/>
      <w:bookmarkEnd w:id="468"/>
      <w:bookmarkEnd w:id="469"/>
      <w:bookmarkEnd w:id="470"/>
      <w:bookmarkEnd w:id="471"/>
      <w:bookmarkEnd w:id="472"/>
      <w:bookmarkEnd w:id="473"/>
    </w:p>
    <w:p w14:paraId="5203BF14" w14:textId="17E0181F" w:rsidR="008B4A81" w:rsidRPr="00B53F89" w:rsidRDefault="00517B2B">
      <w:pPr>
        <w:pStyle w:val="Heading2"/>
      </w:pPr>
      <w:bookmarkStart w:id="475" w:name="_Toc36207459"/>
      <w:bookmarkStart w:id="476" w:name="_Toc38987236"/>
      <w:bookmarkEnd w:id="474"/>
      <w:r>
        <w:t>Recent developments</w:t>
      </w:r>
      <w:bookmarkEnd w:id="475"/>
      <w:bookmarkEnd w:id="476"/>
    </w:p>
    <w:p w14:paraId="2332BB77" w14:textId="18EE038F" w:rsidR="00156B40" w:rsidRPr="00B53F89" w:rsidRDefault="00987B06" w:rsidP="0042464D">
      <w:pPr>
        <w:spacing w:before="60" w:after="0"/>
      </w:pPr>
      <w:r w:rsidRPr="006A2F04">
        <w:rPr>
          <w:noProof/>
        </w:rPr>
        <w:drawing>
          <wp:inline distT="0" distB="0" distL="0" distR="0" wp14:anchorId="7E0B4862" wp14:editId="11E4C3BA">
            <wp:extent cx="342900" cy="361950"/>
            <wp:effectExtent l="0" t="0" r="0" b="0"/>
            <wp:docPr id="118" name="Picture 118"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14A49B0B" w14:textId="577B3524" w:rsidR="008D47CE" w:rsidRPr="00B53F89" w:rsidRDefault="007C0ABA">
      <w:pPr>
        <w:pStyle w:val="Heading3"/>
        <w:keepNext w:val="0"/>
      </w:pPr>
      <w:bookmarkStart w:id="477" w:name="_Toc31892844"/>
      <w:bookmarkStart w:id="478" w:name="_Toc36207460"/>
      <w:bookmarkStart w:id="479" w:name="_Toc38987237"/>
      <w:r w:rsidRPr="00B53F89">
        <w:t>M</w:t>
      </w:r>
      <w:r w:rsidR="008D47CE" w:rsidRPr="00B53F89">
        <w:t>obile phone jammers in prisons</w:t>
      </w:r>
      <w:bookmarkEnd w:id="477"/>
      <w:bookmarkEnd w:id="478"/>
      <w:bookmarkEnd w:id="479"/>
    </w:p>
    <w:p w14:paraId="55CBEA8A" w14:textId="0EA4FA12" w:rsidR="00295F01" w:rsidRDefault="00295F01" w:rsidP="008713AA">
      <w:r w:rsidRPr="00B53F89">
        <w:t>Corrective Services NSW</w:t>
      </w:r>
      <w:r>
        <w:t xml:space="preserve"> began a trial of </w:t>
      </w:r>
      <w:r w:rsidRPr="00B53F89">
        <w:t>mobile phone jamm</w:t>
      </w:r>
      <w:r>
        <w:t xml:space="preserve">ing at the </w:t>
      </w:r>
      <w:r w:rsidRPr="00295F01">
        <w:t>Goulburn Correctional Centre</w:t>
      </w:r>
      <w:r>
        <w:t xml:space="preserve">, as </w:t>
      </w:r>
      <w:r w:rsidRPr="00295F01">
        <w:t xml:space="preserve">authorised </w:t>
      </w:r>
      <w:r>
        <w:t xml:space="preserve">by </w:t>
      </w:r>
      <w:bookmarkStart w:id="480" w:name="Citation"/>
      <w:r>
        <w:fldChar w:fldCharType="begin"/>
      </w:r>
      <w:r>
        <w:instrText xml:space="preserve"> HYPERLINK "https://www.legislation.gov.au/Details/F2016L01286" </w:instrText>
      </w:r>
      <w:r>
        <w:fldChar w:fldCharType="separate"/>
      </w:r>
      <w:r w:rsidRPr="00C555C5">
        <w:rPr>
          <w:rStyle w:val="Hyperlink"/>
        </w:rPr>
        <w:t>Radiocommunications (Testing and Field Trial by Corrective Services NSW of PMTS Jamming Devices at Goulburn Correctional Complex) Exemption Determination </w:t>
      </w:r>
      <w:bookmarkEnd w:id="480"/>
      <w:r w:rsidRPr="00C555C5">
        <w:rPr>
          <w:rStyle w:val="Hyperlink"/>
        </w:rPr>
        <w:t>2016</w:t>
      </w:r>
      <w:r>
        <w:fldChar w:fldCharType="end"/>
      </w:r>
      <w:r>
        <w:t xml:space="preserve">. </w:t>
      </w:r>
      <w:r w:rsidRPr="00295F01">
        <w:t xml:space="preserve">This trial </w:t>
      </w:r>
      <w:r w:rsidR="0026662D">
        <w:t>enables the examination of</w:t>
      </w:r>
      <w:r w:rsidRPr="00295F01">
        <w:t xml:space="preserve"> the risks of using a mobile phone jammer at a prison located closer to where large numbers of people live.</w:t>
      </w:r>
    </w:p>
    <w:p w14:paraId="591D38BD" w14:textId="304A262B" w:rsidR="003C55C0" w:rsidRPr="00C555C5" w:rsidRDefault="00765046" w:rsidP="008713AA">
      <w:pPr>
        <w:rPr>
          <w:color w:val="0000FF"/>
          <w:u w:val="single"/>
        </w:rPr>
      </w:pPr>
      <w:r w:rsidRPr="00B53F89">
        <w:t xml:space="preserve">Corrective Services NSW </w:t>
      </w:r>
      <w:r>
        <w:t xml:space="preserve">is also operating a mobile phone jammer at the </w:t>
      </w:r>
      <w:r w:rsidRPr="00B53F89">
        <w:t>Lithgow Correctional Centre on an ongoing basis, subject to certain conditions and safeguards</w:t>
      </w:r>
      <w:r>
        <w:t xml:space="preserve">. The use and operation of this mobile phone jammer is authorised by the ACMA’s </w:t>
      </w:r>
      <w:hyperlink r:id="rId111" w:history="1">
        <w:r w:rsidRPr="00B53F89">
          <w:rPr>
            <w:rStyle w:val="Hyperlink"/>
          </w:rPr>
          <w:t>Radiocommunications (Use by Corrective Services NSW of PMTS Jamming Devices at Lithgow Correctional Centre) Exemption Determination 2018</w:t>
        </w:r>
      </w:hyperlink>
      <w:r>
        <w:t>.</w:t>
      </w:r>
    </w:p>
    <w:p w14:paraId="5E6A61D6" w14:textId="77777777" w:rsidR="00C82C7D" w:rsidRPr="00B53F89" w:rsidRDefault="00C82C7D" w:rsidP="0042464D">
      <w:pPr>
        <w:spacing w:before="60" w:after="0"/>
      </w:pPr>
      <w:r w:rsidRPr="006A2F04">
        <w:rPr>
          <w:noProof/>
        </w:rPr>
        <w:drawing>
          <wp:inline distT="0" distB="0" distL="0" distR="0" wp14:anchorId="3238497A" wp14:editId="34679507">
            <wp:extent cx="342900" cy="361950"/>
            <wp:effectExtent l="0" t="0" r="0" b="0"/>
            <wp:docPr id="69" name="Picture 69" descr="Avi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viation icon"/>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04CD00DE" wp14:editId="47A6F786">
            <wp:extent cx="342900" cy="361950"/>
            <wp:effectExtent l="0" t="0" r="0" b="0"/>
            <wp:docPr id="70" name="Picture 70"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44EF42D1" w14:textId="2AC65F4E" w:rsidR="004375FE" w:rsidRDefault="00F4438E" w:rsidP="0042464D">
      <w:pPr>
        <w:pStyle w:val="Heading3"/>
        <w:keepNext w:val="0"/>
      </w:pPr>
      <w:bookmarkStart w:id="481" w:name="_Toc36207461"/>
      <w:bookmarkStart w:id="482" w:name="_Toc38987238"/>
      <w:r>
        <w:t>Drone jamming exemption arrangements</w:t>
      </w:r>
      <w:bookmarkEnd w:id="481"/>
      <w:bookmarkEnd w:id="482"/>
    </w:p>
    <w:p w14:paraId="68019256" w14:textId="05C732D9" w:rsidR="00C82C7D" w:rsidRPr="00B53F89" w:rsidRDefault="00C82C7D" w:rsidP="00C82C7D">
      <w:r w:rsidRPr="00B53F89">
        <w:t xml:space="preserve">In </w:t>
      </w:r>
      <w:r w:rsidR="00F4438E">
        <w:t>April</w:t>
      </w:r>
      <w:r w:rsidRPr="00B53F89">
        <w:t xml:space="preserve"> 2019, the ACMA </w:t>
      </w:r>
      <w:r w:rsidR="00F4438E">
        <w:t xml:space="preserve">determined an </w:t>
      </w:r>
      <w:r w:rsidRPr="00B53F89">
        <w:t>exemption that allow</w:t>
      </w:r>
      <w:r w:rsidR="00F4438E">
        <w:t>s</w:t>
      </w:r>
      <w:r w:rsidRPr="00B53F89">
        <w:t xml:space="preserve"> the Australian Federal Police to deploy drone jamming equipment over a two-year period. In </w:t>
      </w:r>
      <w:r w:rsidR="008855C2" w:rsidRPr="00387176">
        <w:t>Q</w:t>
      </w:r>
      <w:r w:rsidR="005F0B8C" w:rsidRPr="00387176">
        <w:t>2</w:t>
      </w:r>
      <w:r w:rsidR="00F553B1">
        <w:t>–</w:t>
      </w:r>
      <w:r w:rsidR="00FC330D" w:rsidRPr="00387176">
        <w:t>3</w:t>
      </w:r>
      <w:r w:rsidR="008855C2" w:rsidRPr="00387176">
        <w:t xml:space="preserve"> </w:t>
      </w:r>
      <w:r w:rsidR="008855C2" w:rsidRPr="00641A5E">
        <w:t>2020</w:t>
      </w:r>
      <w:r w:rsidRPr="00B53F89">
        <w:t xml:space="preserve">, the ACMA </w:t>
      </w:r>
      <w:r w:rsidR="00FC330D">
        <w:t>will consult</w:t>
      </w:r>
      <w:r w:rsidR="00FC330D" w:rsidRPr="00B53F89">
        <w:t xml:space="preserve"> </w:t>
      </w:r>
      <w:r w:rsidRPr="00B53F89">
        <w:t xml:space="preserve">on </w:t>
      </w:r>
      <w:r w:rsidR="008855C2">
        <w:t xml:space="preserve">the national rollout </w:t>
      </w:r>
      <w:r w:rsidR="00F25DAD">
        <w:t xml:space="preserve">of </w:t>
      </w:r>
      <w:r w:rsidR="008855C2">
        <w:t xml:space="preserve">this capability, which would allow state and territory police agencies to deploy </w:t>
      </w:r>
      <w:r w:rsidRPr="00B53F89">
        <w:t>counter-drone equipment.</w:t>
      </w:r>
    </w:p>
    <w:p w14:paraId="360A015A" w14:textId="14AFB7C5" w:rsidR="00266584" w:rsidRPr="00B53F89" w:rsidRDefault="00517B2B" w:rsidP="0042464D">
      <w:pPr>
        <w:pStyle w:val="Heading2"/>
        <w:keepNext w:val="0"/>
      </w:pPr>
      <w:bookmarkStart w:id="483" w:name="_Toc31892847"/>
      <w:bookmarkStart w:id="484" w:name="_Toc36207462"/>
      <w:bookmarkStart w:id="485" w:name="_Toc38987239"/>
      <w:bookmarkStart w:id="486" w:name="_Toc510104982"/>
      <w:bookmarkStart w:id="487" w:name="_Toc510105779"/>
      <w:bookmarkStart w:id="488" w:name="_Toc510795111"/>
      <w:bookmarkStart w:id="489" w:name="_Toc511716314"/>
      <w:bookmarkStart w:id="490" w:name="_Toc511719125"/>
      <w:bookmarkStart w:id="491" w:name="_Toc522794117"/>
      <w:r>
        <w:t>A</w:t>
      </w:r>
      <w:r w:rsidR="008B4A81" w:rsidRPr="00B53F89">
        <w:t xml:space="preserve">ctivities planned for </w:t>
      </w:r>
      <w:r w:rsidR="004A6CDE" w:rsidRPr="00B53F89">
        <w:t>20</w:t>
      </w:r>
      <w:r w:rsidR="00217852">
        <w:t>20</w:t>
      </w:r>
      <w:r w:rsidR="004A6CDE" w:rsidRPr="00B53F89">
        <w:t>–</w:t>
      </w:r>
      <w:r w:rsidR="00B76F6D" w:rsidRPr="00B53F89">
        <w:t>2</w:t>
      </w:r>
      <w:r w:rsidR="00217852">
        <w:t>1</w:t>
      </w:r>
      <w:bookmarkEnd w:id="483"/>
      <w:bookmarkEnd w:id="484"/>
      <w:bookmarkEnd w:id="485"/>
      <w:r w:rsidR="008B4A81" w:rsidRPr="00B53F89">
        <w:t xml:space="preserve"> </w:t>
      </w:r>
      <w:bookmarkEnd w:id="486"/>
      <w:bookmarkEnd w:id="487"/>
      <w:bookmarkEnd w:id="488"/>
      <w:bookmarkEnd w:id="489"/>
      <w:bookmarkEnd w:id="490"/>
      <w:bookmarkEnd w:id="491"/>
    </w:p>
    <w:p w14:paraId="563126DF" w14:textId="36AD2D60" w:rsidR="00987B06" w:rsidRPr="00B53F89" w:rsidRDefault="00987B06" w:rsidP="0042464D">
      <w:pPr>
        <w:spacing w:before="60" w:after="0"/>
      </w:pPr>
      <w:bookmarkStart w:id="492" w:name="_Reforming_arrangements_for"/>
      <w:bookmarkStart w:id="493" w:name="_Toc510104983"/>
      <w:bookmarkStart w:id="494" w:name="_Toc510105780"/>
      <w:bookmarkStart w:id="495" w:name="_Toc510795112"/>
      <w:bookmarkStart w:id="496" w:name="_Toc511716315"/>
      <w:bookmarkStart w:id="497" w:name="_Toc511719126"/>
      <w:bookmarkStart w:id="498" w:name="_Toc522794118"/>
      <w:bookmarkEnd w:id="492"/>
      <w:r w:rsidRPr="006A2F04">
        <w:rPr>
          <w:noProof/>
        </w:rPr>
        <w:drawing>
          <wp:inline distT="0" distB="0" distL="0" distR="0" wp14:anchorId="2CB29916" wp14:editId="5AA7B955">
            <wp:extent cx="342900" cy="361950"/>
            <wp:effectExtent l="0" t="0" r="0" b="0"/>
            <wp:docPr id="120" name="Picture 120" descr="Amateur radi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mateur radio ico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38E2B269" w14:textId="1A709F19" w:rsidR="008B4A81" w:rsidRPr="00B53F89" w:rsidRDefault="005E0AAD" w:rsidP="0042464D">
      <w:pPr>
        <w:pStyle w:val="Heading3"/>
        <w:keepNext w:val="0"/>
      </w:pPr>
      <w:bookmarkStart w:id="499" w:name="_Toc31892848"/>
      <w:bookmarkStart w:id="500" w:name="_Toc36207463"/>
      <w:bookmarkStart w:id="501" w:name="_Toc38987240"/>
      <w:bookmarkStart w:id="502" w:name="_Hlk36456326"/>
      <w:r w:rsidRPr="00B53F89">
        <w:t>A</w:t>
      </w:r>
      <w:r w:rsidR="00266584" w:rsidRPr="00B53F89">
        <w:t>mateur certificates of proficiency</w:t>
      </w:r>
      <w:bookmarkEnd w:id="493"/>
      <w:bookmarkEnd w:id="494"/>
      <w:bookmarkEnd w:id="495"/>
      <w:bookmarkEnd w:id="496"/>
      <w:bookmarkEnd w:id="497"/>
      <w:bookmarkEnd w:id="498"/>
      <w:bookmarkEnd w:id="499"/>
      <w:bookmarkEnd w:id="500"/>
      <w:bookmarkEnd w:id="501"/>
    </w:p>
    <w:p w14:paraId="07F33794" w14:textId="09F52DDD" w:rsidR="00922A00" w:rsidRDefault="00BB6DB5" w:rsidP="00922A00">
      <w:bookmarkStart w:id="503" w:name="_Hlk10809423"/>
      <w:bookmarkEnd w:id="502"/>
      <w:r w:rsidRPr="00B53F89">
        <w:t>In Q4 2019</w:t>
      </w:r>
      <w:r w:rsidR="00922A00">
        <w:t>,</w:t>
      </w:r>
      <w:r w:rsidR="0078681D" w:rsidRPr="00B53F89">
        <w:t xml:space="preserve"> </w:t>
      </w:r>
      <w:r w:rsidR="00922A00">
        <w:t xml:space="preserve">the Amateur Radio Syllabus Review Panel (the Panel) was established to ensure the amateur radio syllabus reflects the necessary knowledge and skills needed to operate an amateur station, consistent with the </w:t>
      </w:r>
      <w:r w:rsidR="0026662D">
        <w:t xml:space="preserve">qualified operator arrangements administered by the Australian Maritime Collage under a </w:t>
      </w:r>
      <w:r w:rsidR="00922A00">
        <w:t xml:space="preserve">Deed of Agreement with the </w:t>
      </w:r>
      <w:r w:rsidR="0026662D">
        <w:t>ACMA</w:t>
      </w:r>
      <w:r w:rsidR="00922A00">
        <w:t>.</w:t>
      </w:r>
    </w:p>
    <w:p w14:paraId="5658C428" w14:textId="2172A274" w:rsidR="00922A00" w:rsidRDefault="00922A00" w:rsidP="00922A00">
      <w:r>
        <w:t xml:space="preserve">The Panel has met to discuss changes to the </w:t>
      </w:r>
      <w:r w:rsidR="00F553B1">
        <w:t>a</w:t>
      </w:r>
      <w:r>
        <w:t xml:space="preserve">mateur </w:t>
      </w:r>
      <w:r w:rsidR="00F553B1">
        <w:t>s</w:t>
      </w:r>
      <w:r>
        <w:t>yllabus to ensure it aligns with recent changes to the Radiocommunications Licence Conditions (Amateur Licence) Determination 2015</w:t>
      </w:r>
      <w:r w:rsidR="00E00813">
        <w:t xml:space="preserve"> and address any other urgent matters. </w:t>
      </w:r>
      <w:r w:rsidR="00F553B1">
        <w:t>We</w:t>
      </w:r>
      <w:r w:rsidR="00E00813">
        <w:t xml:space="preserve"> released the draft version of the updated </w:t>
      </w:r>
      <w:r w:rsidR="00F553B1">
        <w:t>f</w:t>
      </w:r>
      <w:r w:rsidR="00E00813">
        <w:t xml:space="preserve">oundation syllabus on </w:t>
      </w:r>
      <w:r w:rsidR="00F553B1">
        <w:t>our</w:t>
      </w:r>
      <w:r w:rsidR="00E00813">
        <w:t xml:space="preserve"> website for broader review</w:t>
      </w:r>
      <w:r>
        <w:t xml:space="preserve">. </w:t>
      </w:r>
    </w:p>
    <w:p w14:paraId="4AA0F59B" w14:textId="46E5C980" w:rsidR="00EB293C" w:rsidRPr="00B53F89" w:rsidRDefault="00E00813" w:rsidP="00922A00">
      <w:r>
        <w:t xml:space="preserve">In </w:t>
      </w:r>
      <w:r w:rsidRPr="00CD444C">
        <w:t>Q2</w:t>
      </w:r>
      <w:r w:rsidR="00F553B1">
        <w:t>–</w:t>
      </w:r>
      <w:r w:rsidR="00FC330D" w:rsidRPr="00CD444C">
        <w:t>3</w:t>
      </w:r>
      <w:r w:rsidRPr="00CD444C">
        <w:t xml:space="preserve"> 2020</w:t>
      </w:r>
      <w:r>
        <w:t xml:space="preserve">, </w:t>
      </w:r>
      <w:r w:rsidR="00F553B1">
        <w:t>we</w:t>
      </w:r>
      <w:r>
        <w:t xml:space="preserve"> will finalise the updated </w:t>
      </w:r>
      <w:r w:rsidR="00F553B1">
        <w:t>f</w:t>
      </w:r>
      <w:r>
        <w:t xml:space="preserve">oundation syllabus and instruct the Australian Maritime College to update training and examinations to align with </w:t>
      </w:r>
      <w:r w:rsidR="00F553B1">
        <w:t xml:space="preserve">the </w:t>
      </w:r>
      <w:r>
        <w:t xml:space="preserve">updated </w:t>
      </w:r>
      <w:r w:rsidR="00A83A48">
        <w:t>Amateur Licence Conditions Determination</w:t>
      </w:r>
      <w:r>
        <w:t>.</w:t>
      </w:r>
    </w:p>
    <w:p w14:paraId="704796E5" w14:textId="513AF32B" w:rsidR="00F054F9" w:rsidRPr="00B53F89" w:rsidRDefault="00F054F9" w:rsidP="00513FDE">
      <w:pPr>
        <w:keepNext/>
        <w:keepLines/>
        <w:spacing w:before="60" w:after="0"/>
      </w:pPr>
      <w:bookmarkStart w:id="504" w:name="_Toc510104984"/>
      <w:bookmarkStart w:id="505" w:name="_Toc510105781"/>
      <w:bookmarkStart w:id="506" w:name="_Toc510795113"/>
      <w:bookmarkStart w:id="507" w:name="_Toc511716316"/>
      <w:bookmarkStart w:id="508" w:name="_Toc511719127"/>
      <w:bookmarkStart w:id="509" w:name="_Toc522794120"/>
      <w:bookmarkEnd w:id="503"/>
      <w:r w:rsidRPr="006A2F04">
        <w:rPr>
          <w:noProof/>
        </w:rPr>
        <w:lastRenderedPageBreak/>
        <w:drawing>
          <wp:inline distT="0" distB="0" distL="0" distR="0" wp14:anchorId="5D8F97B4" wp14:editId="68BBC17C">
            <wp:extent cx="342900" cy="361950"/>
            <wp:effectExtent l="0" t="0" r="0" b="0"/>
            <wp:docPr id="122" name="Picture 122"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3BE795D8" w14:textId="12DAD085" w:rsidR="00266584" w:rsidRPr="00B53F89" w:rsidRDefault="000D7266" w:rsidP="00513FDE">
      <w:pPr>
        <w:pStyle w:val="Heading3"/>
        <w:keepLines/>
      </w:pPr>
      <w:bookmarkStart w:id="510" w:name="_Toc31892850"/>
      <w:bookmarkStart w:id="511" w:name="_Toc36207464"/>
      <w:bookmarkStart w:id="512" w:name="_Toc38987241"/>
      <w:r w:rsidRPr="00B53F89">
        <w:t xml:space="preserve">Enabling trials of </w:t>
      </w:r>
      <w:r w:rsidR="00266584" w:rsidRPr="00B53F89">
        <w:t xml:space="preserve">mobile phone jammers </w:t>
      </w:r>
      <w:bookmarkEnd w:id="504"/>
      <w:bookmarkEnd w:id="505"/>
      <w:r w:rsidRPr="00B53F89">
        <w:t>in prisons</w:t>
      </w:r>
      <w:bookmarkEnd w:id="506"/>
      <w:bookmarkEnd w:id="507"/>
      <w:bookmarkEnd w:id="508"/>
      <w:bookmarkEnd w:id="509"/>
      <w:bookmarkEnd w:id="510"/>
      <w:bookmarkEnd w:id="511"/>
      <w:bookmarkEnd w:id="512"/>
    </w:p>
    <w:p w14:paraId="6027592B" w14:textId="6B029FD5" w:rsidR="00110722" w:rsidRPr="00B53F89" w:rsidRDefault="00F553B1" w:rsidP="00513FDE">
      <w:pPr>
        <w:keepNext/>
        <w:keepLines/>
      </w:pPr>
      <w:r>
        <w:t>We</w:t>
      </w:r>
      <w:r w:rsidR="00797B41" w:rsidRPr="00B53F89">
        <w:t xml:space="preserve"> continue to facilitate trials of mobile phone jammers and ha</w:t>
      </w:r>
      <w:r>
        <w:t>ve</w:t>
      </w:r>
      <w:r w:rsidR="00797B41" w:rsidRPr="00B53F89">
        <w:t xml:space="preserve"> approached </w:t>
      </w:r>
      <w:r w:rsidR="0011236B">
        <w:t xml:space="preserve">relevant authorities in the </w:t>
      </w:r>
      <w:r>
        <w:t>s</w:t>
      </w:r>
      <w:r w:rsidR="00797B41" w:rsidRPr="00B53F89">
        <w:t xml:space="preserve">tates and </w:t>
      </w:r>
      <w:r>
        <w:t>t</w:t>
      </w:r>
      <w:r w:rsidR="00797B41" w:rsidRPr="00B53F89">
        <w:t xml:space="preserve">erritories to gauge their interest in conducting trials. </w:t>
      </w:r>
      <w:r>
        <w:t>We</w:t>
      </w:r>
      <w:r w:rsidR="002939EE" w:rsidRPr="00B53F89">
        <w:t xml:space="preserve"> will consider request</w:t>
      </w:r>
      <w:r>
        <w:t>s</w:t>
      </w:r>
      <w:r w:rsidR="002939EE" w:rsidRPr="00B53F89">
        <w:t xml:space="preserve"> from other jurisdictions on a case</w:t>
      </w:r>
      <w:r>
        <w:t>-</w:t>
      </w:r>
      <w:r w:rsidR="002939EE" w:rsidRPr="00B53F89">
        <w:t>by</w:t>
      </w:r>
      <w:r>
        <w:t>-</w:t>
      </w:r>
      <w:r w:rsidR="002939EE" w:rsidRPr="00B53F89">
        <w:t>case basis.</w:t>
      </w:r>
      <w:r w:rsidR="00E202E2">
        <w:t xml:space="preserve"> </w:t>
      </w:r>
    </w:p>
    <w:p w14:paraId="54D2B862" w14:textId="5C19F929" w:rsidR="0076347E" w:rsidRDefault="0076347E" w:rsidP="00513FDE">
      <w:pPr>
        <w:spacing w:after="0"/>
      </w:pPr>
      <w:r w:rsidRPr="006A2F04">
        <w:rPr>
          <w:noProof/>
        </w:rPr>
        <w:drawing>
          <wp:inline distT="0" distB="0" distL="0" distR="0" wp14:anchorId="5AD5BA85" wp14:editId="54615702">
            <wp:extent cx="341630" cy="359410"/>
            <wp:effectExtent l="0" t="0" r="1270" b="2540"/>
            <wp:docPr id="87" name="Picture 8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Pr="006A2F04">
        <w:rPr>
          <w:noProof/>
        </w:rPr>
        <w:drawing>
          <wp:inline distT="0" distB="0" distL="0" distR="0" wp14:anchorId="3553C7A3" wp14:editId="6A1E7EDF">
            <wp:extent cx="342900" cy="361950"/>
            <wp:effectExtent l="0" t="0" r="0" b="0"/>
            <wp:docPr id="132" name="Picture 132" descr="Radio/TV broadcas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adio/TV broadcasting ic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39BD459C" w14:textId="3A59E774" w:rsidR="0076347E" w:rsidRDefault="00E77DF6" w:rsidP="0076347E">
      <w:pPr>
        <w:pStyle w:val="Heading3"/>
      </w:pPr>
      <w:bookmarkStart w:id="513" w:name="_Toc36207466"/>
      <w:bookmarkStart w:id="514" w:name="_Toc38987242"/>
      <w:r>
        <w:t>RNS</w:t>
      </w:r>
      <w:r w:rsidR="0076347E">
        <w:t>S repeater trials</w:t>
      </w:r>
      <w:bookmarkEnd w:id="513"/>
      <w:bookmarkEnd w:id="514"/>
    </w:p>
    <w:p w14:paraId="07F6D93A" w14:textId="59FD1D9B" w:rsidR="0076347E" w:rsidRDefault="00F553B1" w:rsidP="00D04000">
      <w:pPr>
        <w:rPr>
          <w:rStyle w:val="normaltextrun"/>
          <w:color w:val="000000"/>
          <w:szCs w:val="22"/>
          <w:shd w:val="clear" w:color="auto" w:fill="FFFFFF"/>
        </w:rPr>
      </w:pPr>
      <w:r>
        <w:t>We have</w:t>
      </w:r>
      <w:r w:rsidR="0076347E">
        <w:t xml:space="preserve"> </w:t>
      </w:r>
      <w:r w:rsidR="0076347E" w:rsidRPr="0076347E">
        <w:t>been collaborating with a range of</w:t>
      </w:r>
      <w:r w:rsidR="00D04000">
        <w:t xml:space="preserve"> </w:t>
      </w:r>
      <w:r w:rsidR="0076347E" w:rsidRPr="0076347E">
        <w:t xml:space="preserve">emergency </w:t>
      </w:r>
      <w:r w:rsidR="0076347E" w:rsidRPr="0076347E" w:rsidDel="00D04000">
        <w:t>services</w:t>
      </w:r>
      <w:r w:rsidR="00D04000">
        <w:t xml:space="preserve"> </w:t>
      </w:r>
      <w:r w:rsidR="0076347E" w:rsidRPr="0076347E">
        <w:t>and</w:t>
      </w:r>
      <w:r w:rsidR="00D04000">
        <w:t xml:space="preserve"> </w:t>
      </w:r>
      <w:r w:rsidR="0076347E" w:rsidRPr="0076347E">
        <w:t>road</w:t>
      </w:r>
      <w:r w:rsidR="00D04000">
        <w:t xml:space="preserve"> </w:t>
      </w:r>
      <w:r w:rsidR="0076347E" w:rsidRPr="0076347E">
        <w:t>transport</w:t>
      </w:r>
      <w:r w:rsidR="00D04000">
        <w:t xml:space="preserve"> </w:t>
      </w:r>
      <w:r w:rsidR="0076347E" w:rsidRPr="0076347E">
        <w:t>stakeholders</w:t>
      </w:r>
      <w:r w:rsidR="00D04000">
        <w:rPr>
          <w:rStyle w:val="normaltextrun"/>
          <w:color w:val="000000"/>
          <w:szCs w:val="22"/>
          <w:shd w:val="clear" w:color="auto" w:fill="FFFFFF"/>
        </w:rPr>
        <w:t xml:space="preserve"> </w:t>
      </w:r>
      <w:r w:rsidR="0076347E" w:rsidRPr="0076347E">
        <w:t>on proposals to facilitate trials and small-scale deployments of radionavigation-satellite service (RNSS,</w:t>
      </w:r>
      <w:r w:rsidR="00D04000">
        <w:t xml:space="preserve"> </w:t>
      </w:r>
      <w:r w:rsidR="00E77DF6">
        <w:t>which encompasses a number of ubiquitous systems including</w:t>
      </w:r>
      <w:r w:rsidR="00D04000">
        <w:t xml:space="preserve"> </w:t>
      </w:r>
      <w:r w:rsidR="0076347E" w:rsidRPr="0076347E">
        <w:t>GPS</w:t>
      </w:r>
      <w:r w:rsidR="00E77DF6">
        <w:t xml:space="preserve"> and GLONASS</w:t>
      </w:r>
      <w:r w:rsidR="0076347E" w:rsidRPr="0076347E">
        <w:t>) repeaters in road tunnels.</w:t>
      </w:r>
      <w:r w:rsidR="0076347E">
        <w:t xml:space="preserve"> </w:t>
      </w:r>
      <w:r w:rsidR="0076347E">
        <w:rPr>
          <w:rStyle w:val="normaltextrun"/>
          <w:color w:val="000000"/>
          <w:szCs w:val="22"/>
          <w:shd w:val="clear" w:color="auto" w:fill="FFFFFF"/>
        </w:rPr>
        <w:t>Loss of RNSS coverage in complex road tunnels can</w:t>
      </w:r>
      <w:r w:rsidR="00D04000">
        <w:rPr>
          <w:rStyle w:val="normaltextrun"/>
          <w:color w:val="000000"/>
          <w:szCs w:val="22"/>
          <w:shd w:val="clear" w:color="auto" w:fill="FFFFFF"/>
        </w:rPr>
        <w:t xml:space="preserve"> </w:t>
      </w:r>
      <w:r w:rsidR="0076347E">
        <w:rPr>
          <w:rStyle w:val="normaltextrun"/>
          <w:color w:val="000000"/>
          <w:szCs w:val="22"/>
          <w:shd w:val="clear" w:color="auto" w:fill="FFFFFF"/>
        </w:rPr>
        <w:t>inconvenience</w:t>
      </w:r>
      <w:r w:rsidR="00D04000">
        <w:rPr>
          <w:rStyle w:val="normaltextrun"/>
          <w:color w:val="000000"/>
          <w:szCs w:val="22"/>
          <w:shd w:val="clear" w:color="auto" w:fill="FFFFFF"/>
        </w:rPr>
        <w:t xml:space="preserve"> </w:t>
      </w:r>
      <w:r w:rsidR="0076347E">
        <w:rPr>
          <w:rStyle w:val="normaltextrun"/>
          <w:color w:val="000000"/>
          <w:szCs w:val="22"/>
          <w:shd w:val="clear" w:color="auto" w:fill="FFFFFF"/>
        </w:rPr>
        <w:t>motorists</w:t>
      </w:r>
      <w:r w:rsidR="00D04000">
        <w:rPr>
          <w:rStyle w:val="normaltextrun"/>
          <w:color w:val="000000"/>
          <w:szCs w:val="22"/>
          <w:shd w:val="clear" w:color="auto" w:fill="FFFFFF"/>
        </w:rPr>
        <w:t xml:space="preserve"> </w:t>
      </w:r>
      <w:r w:rsidR="0076347E">
        <w:rPr>
          <w:rStyle w:val="normaltextrun"/>
          <w:color w:val="000000"/>
          <w:szCs w:val="22"/>
          <w:shd w:val="clear" w:color="auto" w:fill="FFFFFF"/>
        </w:rPr>
        <w:t>and</w:t>
      </w:r>
      <w:r w:rsidR="00D04000">
        <w:rPr>
          <w:rStyle w:val="normaltextrun"/>
          <w:color w:val="000000"/>
          <w:szCs w:val="22"/>
          <w:shd w:val="clear" w:color="auto" w:fill="FFFFFF"/>
        </w:rPr>
        <w:t xml:space="preserve"> </w:t>
      </w:r>
      <w:r w:rsidR="0076347E">
        <w:rPr>
          <w:rStyle w:val="normaltextrun"/>
          <w:color w:val="000000"/>
          <w:szCs w:val="22"/>
          <w:shd w:val="clear" w:color="auto" w:fill="FFFFFF"/>
        </w:rPr>
        <w:t>compromise the ability of</w:t>
      </w:r>
      <w:r w:rsidR="00D04000">
        <w:rPr>
          <w:rStyle w:val="normaltextrun"/>
          <w:color w:val="000000"/>
          <w:szCs w:val="22"/>
          <w:shd w:val="clear" w:color="auto" w:fill="FFFFFF"/>
        </w:rPr>
        <w:t xml:space="preserve"> </w:t>
      </w:r>
      <w:r w:rsidR="0076347E">
        <w:rPr>
          <w:rStyle w:val="normaltextrun"/>
          <w:color w:val="000000"/>
          <w:szCs w:val="22"/>
          <w:shd w:val="clear" w:color="auto" w:fill="FFFFFF"/>
        </w:rPr>
        <w:t>emergency service</w:t>
      </w:r>
      <w:r w:rsidR="00D04000">
        <w:rPr>
          <w:rStyle w:val="normaltextrun"/>
          <w:color w:val="000000"/>
          <w:szCs w:val="22"/>
          <w:shd w:val="clear" w:color="auto" w:fill="FFFFFF"/>
        </w:rPr>
        <w:t xml:space="preserve"> </w:t>
      </w:r>
      <w:r w:rsidR="0076347E">
        <w:rPr>
          <w:rStyle w:val="normaltextrun"/>
          <w:color w:val="000000"/>
          <w:szCs w:val="22"/>
          <w:shd w:val="clear" w:color="auto" w:fill="FFFFFF"/>
        </w:rPr>
        <w:t>organisations</w:t>
      </w:r>
      <w:r w:rsidR="00D04000">
        <w:rPr>
          <w:rStyle w:val="normaltextrun"/>
          <w:color w:val="000000"/>
          <w:szCs w:val="22"/>
          <w:shd w:val="clear" w:color="auto" w:fill="FFFFFF"/>
        </w:rPr>
        <w:t xml:space="preserve"> </w:t>
      </w:r>
      <w:r w:rsidR="0076347E">
        <w:rPr>
          <w:rStyle w:val="normaltextrun"/>
          <w:color w:val="000000"/>
          <w:szCs w:val="22"/>
          <w:shd w:val="clear" w:color="auto" w:fill="FFFFFF"/>
        </w:rPr>
        <w:t>to detect and deploy assets in response to emergencies.</w:t>
      </w:r>
    </w:p>
    <w:p w14:paraId="7681FBA7" w14:textId="08152FAC" w:rsidR="00F054F9" w:rsidRDefault="00D04000" w:rsidP="00B27D78">
      <w:pPr>
        <w:rPr>
          <w:rStyle w:val="normaltextrun"/>
          <w:color w:val="000000"/>
          <w:szCs w:val="22"/>
          <w:shd w:val="clear" w:color="auto" w:fill="FFFFFF"/>
        </w:rPr>
      </w:pPr>
      <w:r>
        <w:rPr>
          <w:rStyle w:val="normaltextrun"/>
          <w:color w:val="000000"/>
          <w:szCs w:val="22"/>
          <w:shd w:val="clear" w:color="auto" w:fill="FFFFFF"/>
        </w:rPr>
        <w:t>We</w:t>
      </w:r>
      <w:r w:rsidR="00E55A66">
        <w:rPr>
          <w:rStyle w:val="normaltextrun"/>
          <w:color w:val="000000"/>
          <w:szCs w:val="22"/>
          <w:shd w:val="clear" w:color="auto" w:fill="FFFFFF"/>
        </w:rPr>
        <w:t xml:space="preserve"> initiated consultation on a proposed approach for facilitating the trial in </w:t>
      </w:r>
      <w:r w:rsidR="007A2861" w:rsidRPr="00484E48">
        <w:rPr>
          <w:rStyle w:val="normaltextrun"/>
          <w:color w:val="000000"/>
          <w:szCs w:val="22"/>
          <w:shd w:val="clear" w:color="auto" w:fill="FFFFFF"/>
        </w:rPr>
        <w:t>Q2</w:t>
      </w:r>
      <w:r>
        <w:rPr>
          <w:rStyle w:val="normaltextrun"/>
          <w:color w:val="000000"/>
          <w:szCs w:val="22"/>
          <w:shd w:val="clear" w:color="auto" w:fill="FFFFFF"/>
        </w:rPr>
        <w:t>–</w:t>
      </w:r>
      <w:r w:rsidR="007A2861">
        <w:rPr>
          <w:rStyle w:val="normaltextrun"/>
          <w:color w:val="000000"/>
          <w:szCs w:val="22"/>
          <w:shd w:val="clear" w:color="auto" w:fill="FFFFFF"/>
        </w:rPr>
        <w:t>3</w:t>
      </w:r>
      <w:r w:rsidR="00E55A66">
        <w:rPr>
          <w:rStyle w:val="normaltextrun"/>
          <w:color w:val="000000"/>
          <w:szCs w:val="22"/>
          <w:shd w:val="clear" w:color="auto" w:fill="FFFFFF"/>
        </w:rPr>
        <w:t xml:space="preserve"> 2020</w:t>
      </w:r>
      <w:r w:rsidR="002B2448">
        <w:rPr>
          <w:rStyle w:val="normaltextrun"/>
          <w:color w:val="000000"/>
          <w:szCs w:val="22"/>
          <w:shd w:val="clear" w:color="auto" w:fill="FFFFFF"/>
        </w:rPr>
        <w:t xml:space="preserve"> and intend to consult on more permanent arrangements in the </w:t>
      </w:r>
      <w:r w:rsidR="00517B2B">
        <w:rPr>
          <w:rStyle w:val="normaltextrun"/>
          <w:color w:val="000000"/>
          <w:szCs w:val="22"/>
          <w:shd w:val="clear" w:color="auto" w:fill="FFFFFF"/>
        </w:rPr>
        <w:t>2020</w:t>
      </w:r>
      <w:r>
        <w:rPr>
          <w:rStyle w:val="normaltextrun"/>
          <w:color w:val="000000"/>
          <w:szCs w:val="22"/>
          <w:shd w:val="clear" w:color="auto" w:fill="FFFFFF"/>
        </w:rPr>
        <w:t>–</w:t>
      </w:r>
      <w:r w:rsidR="00517B2B">
        <w:rPr>
          <w:rStyle w:val="normaltextrun"/>
          <w:color w:val="000000"/>
          <w:szCs w:val="22"/>
          <w:shd w:val="clear" w:color="auto" w:fill="FFFFFF"/>
        </w:rPr>
        <w:t>21</w:t>
      </w:r>
      <w:r w:rsidR="002B2448">
        <w:rPr>
          <w:rStyle w:val="normaltextrun"/>
          <w:color w:val="000000"/>
          <w:szCs w:val="22"/>
          <w:shd w:val="clear" w:color="auto" w:fill="FFFFFF"/>
        </w:rPr>
        <w:t xml:space="preserve"> </w:t>
      </w:r>
      <w:r w:rsidR="00204FD4">
        <w:rPr>
          <w:rStyle w:val="normaltextrun"/>
          <w:color w:val="000000"/>
          <w:szCs w:val="22"/>
          <w:shd w:val="clear" w:color="auto" w:fill="FFFFFF"/>
        </w:rPr>
        <w:t>financ</w:t>
      </w:r>
      <w:r w:rsidR="00695FC2">
        <w:rPr>
          <w:rStyle w:val="normaltextrun"/>
          <w:color w:val="000000"/>
          <w:szCs w:val="22"/>
          <w:shd w:val="clear" w:color="auto" w:fill="FFFFFF"/>
        </w:rPr>
        <w:t>ial year.</w:t>
      </w:r>
      <w:bookmarkStart w:id="515" w:name="_Toc510795115"/>
      <w:bookmarkStart w:id="516" w:name="_Toc511716318"/>
      <w:bookmarkStart w:id="517" w:name="_Toc511719129"/>
      <w:bookmarkStart w:id="518" w:name="_Toc522794122"/>
    </w:p>
    <w:p w14:paraId="2795D94C" w14:textId="63AD42EC" w:rsidR="00F054F9" w:rsidRPr="00B53F89" w:rsidRDefault="00F054F9" w:rsidP="001B5B7C">
      <w:pPr>
        <w:spacing w:before="60" w:after="0"/>
      </w:pPr>
      <w:r w:rsidRPr="006A2F04">
        <w:rPr>
          <w:noProof/>
        </w:rPr>
        <w:drawing>
          <wp:inline distT="0" distB="0" distL="0" distR="0" wp14:anchorId="03209463" wp14:editId="13E93F48">
            <wp:extent cx="342900" cy="361950"/>
            <wp:effectExtent l="0" t="0" r="0" b="0"/>
            <wp:docPr id="124" name="Picture 124" descr="Point to multi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int to multipoint ico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3DD5E6BC" w14:textId="6008D645" w:rsidR="002717D0" w:rsidRPr="00B53F89" w:rsidRDefault="002717D0" w:rsidP="001B5B7C">
      <w:pPr>
        <w:pStyle w:val="Heading3"/>
        <w:keepNext w:val="0"/>
      </w:pPr>
      <w:bookmarkStart w:id="519" w:name="_Toc31892852"/>
      <w:bookmarkStart w:id="520" w:name="_Toc36207467"/>
      <w:bookmarkStart w:id="521" w:name="_Toc38987243"/>
      <w:bookmarkStart w:id="522" w:name="_Hlk36456346"/>
      <w:r w:rsidRPr="00B53F89">
        <w:t>400 MHz band</w:t>
      </w:r>
      <w:bookmarkEnd w:id="515"/>
      <w:bookmarkEnd w:id="516"/>
      <w:bookmarkEnd w:id="517"/>
      <w:bookmarkEnd w:id="518"/>
      <w:bookmarkEnd w:id="519"/>
      <w:bookmarkEnd w:id="520"/>
      <w:bookmarkEnd w:id="521"/>
    </w:p>
    <w:p w14:paraId="52018214" w14:textId="50F3BF12" w:rsidR="00B514B8" w:rsidRPr="00B53F89" w:rsidRDefault="00D04000">
      <w:pPr>
        <w:rPr>
          <w:rFonts w:cs="Arial"/>
          <w:szCs w:val="20"/>
        </w:rPr>
      </w:pPr>
      <w:bookmarkStart w:id="523" w:name="_Hlk16245481"/>
      <w:bookmarkEnd w:id="522"/>
      <w:r>
        <w:t>We are</w:t>
      </w:r>
      <w:r w:rsidR="002717D0" w:rsidRPr="00B53F89">
        <w:t xml:space="preserve"> </w:t>
      </w:r>
      <w:bookmarkEnd w:id="523"/>
      <w:r w:rsidR="00E00813">
        <w:t>finalising</w:t>
      </w:r>
      <w:r w:rsidR="002717D0" w:rsidRPr="00B53F89">
        <w:t xml:space="preserve"> the 400 MHz </w:t>
      </w:r>
      <w:r w:rsidR="00B91108" w:rsidRPr="00B53F89">
        <w:t>i</w:t>
      </w:r>
      <w:r w:rsidR="002717D0" w:rsidRPr="00B53F89">
        <w:t>mplementation projec</w:t>
      </w:r>
      <w:r w:rsidR="002717D0" w:rsidRPr="00FE05EF">
        <w:t>t</w:t>
      </w:r>
      <w:r w:rsidRPr="00513FDE">
        <w:t>, which</w:t>
      </w:r>
      <w:r w:rsidR="002717D0" w:rsidRPr="00FE05EF">
        <w:t xml:space="preserve"> </w:t>
      </w:r>
      <w:r w:rsidR="002717D0" w:rsidRPr="00B53F89">
        <w:t xml:space="preserve">will complete the necessary transition of licences to appropriate segments of the 400 MHz band. </w:t>
      </w:r>
      <w:r>
        <w:t>We</w:t>
      </w:r>
      <w:r w:rsidR="00E00813">
        <w:t xml:space="preserve"> will</w:t>
      </w:r>
      <w:r w:rsidR="002717D0" w:rsidRPr="00B53F89">
        <w:t xml:space="preserve"> continue to work closely with state and territory governments</w:t>
      </w:r>
      <w:r w:rsidR="00B91108" w:rsidRPr="00B53F89">
        <w:t>,</w:t>
      </w:r>
      <w:r w:rsidR="002717D0" w:rsidRPr="00B53F89">
        <w:t xml:space="preserve"> as well as industry participants and representative organisations.</w:t>
      </w:r>
    </w:p>
    <w:p w14:paraId="4E17DB06" w14:textId="4E74A955" w:rsidR="00F054F9" w:rsidRPr="00B53F89" w:rsidRDefault="00F054F9" w:rsidP="001B5B7C">
      <w:pPr>
        <w:spacing w:before="60" w:after="0"/>
      </w:pPr>
      <w:bookmarkStart w:id="524" w:name="_Toc510795116"/>
      <w:bookmarkStart w:id="525" w:name="_Toc511716319"/>
      <w:bookmarkStart w:id="526" w:name="_Toc511719130"/>
      <w:bookmarkStart w:id="527" w:name="_Toc522794123"/>
      <w:r w:rsidRPr="006A2F04">
        <w:rPr>
          <w:noProof/>
        </w:rPr>
        <w:drawing>
          <wp:inline distT="0" distB="0" distL="0" distR="0" wp14:anchorId="4B90B86F" wp14:editId="0A005477">
            <wp:extent cx="342900" cy="361950"/>
            <wp:effectExtent l="0" t="0" r="0" b="0"/>
            <wp:docPr id="125" name="Picture 125"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FE7029" w:rsidRPr="006A2F04">
        <w:rPr>
          <w:noProof/>
        </w:rPr>
        <w:drawing>
          <wp:inline distT="0" distB="0" distL="0" distR="0" wp14:anchorId="6B86D2F8" wp14:editId="2E586F21">
            <wp:extent cx="341630" cy="359410"/>
            <wp:effectExtent l="0" t="0" r="1270" b="2540"/>
            <wp:docPr id="199" name="Picture 199"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p>
    <w:p w14:paraId="0969CAAF" w14:textId="3B29CFDB" w:rsidR="00B72261" w:rsidRPr="00B53F89" w:rsidRDefault="00B72261" w:rsidP="001B5B7C">
      <w:pPr>
        <w:pStyle w:val="Heading3"/>
        <w:keepNext w:val="0"/>
      </w:pPr>
      <w:bookmarkStart w:id="528" w:name="_Toc31892853"/>
      <w:bookmarkStart w:id="529" w:name="_Toc36207468"/>
      <w:bookmarkStart w:id="530" w:name="_Toc38987244"/>
      <w:r w:rsidRPr="00B53F89">
        <w:t>Review of prohibition declarations and exemption determinations</w:t>
      </w:r>
      <w:bookmarkEnd w:id="528"/>
      <w:bookmarkEnd w:id="529"/>
      <w:bookmarkEnd w:id="530"/>
    </w:p>
    <w:p w14:paraId="7C8EA98D" w14:textId="60D7A6D5" w:rsidR="0082214D" w:rsidRPr="00B53F89" w:rsidRDefault="00490734">
      <w:r w:rsidRPr="00B53F89">
        <w:t xml:space="preserve">Under the </w:t>
      </w:r>
      <w:r w:rsidR="00A43F6E" w:rsidRPr="00782356">
        <w:t>Radiocommunications Act</w:t>
      </w:r>
      <w:r w:rsidR="00A9407E" w:rsidRPr="00A43F6E">
        <w:rPr>
          <w:iCs/>
        </w:rPr>
        <w:t>,</w:t>
      </w:r>
      <w:r w:rsidR="00FE2E4B" w:rsidRPr="00B53F89">
        <w:t xml:space="preserve"> </w:t>
      </w:r>
      <w:r w:rsidRPr="00B53F89">
        <w:t>t</w:t>
      </w:r>
      <w:r w:rsidR="00B72261" w:rsidRPr="00B53F89">
        <w:t xml:space="preserve">he ACMA has prohibited two </w:t>
      </w:r>
      <w:r w:rsidR="0082214D" w:rsidRPr="00B53F89">
        <w:t xml:space="preserve">kinds of </w:t>
      </w:r>
      <w:r w:rsidR="00B72261" w:rsidRPr="00B53F89">
        <w:t>devices: mobile phone jammers (</w:t>
      </w:r>
      <w:r w:rsidR="0082214D" w:rsidRPr="00B53F89">
        <w:t>public mobile telecommunications service jamming devices</w:t>
      </w:r>
      <w:r w:rsidR="00B72261" w:rsidRPr="00B53F89">
        <w:t>) and radionavigation-satellite service jammers</w:t>
      </w:r>
      <w:r w:rsidR="0082214D" w:rsidRPr="00B53F89">
        <w:t>, which include GPS jamming devices</w:t>
      </w:r>
      <w:r w:rsidR="00B72261" w:rsidRPr="00B53F89">
        <w:t>.</w:t>
      </w:r>
      <w:r w:rsidR="000810FF" w:rsidRPr="00B53F89">
        <w:t xml:space="preserve"> The ACMA may determine exemptions from the prohibition determinations</w:t>
      </w:r>
      <w:r w:rsidR="006615ED" w:rsidRPr="00B53F89">
        <w:t>,</w:t>
      </w:r>
      <w:r w:rsidR="000810FF" w:rsidRPr="00B53F89">
        <w:t xml:space="preserve"> and from other parts of the </w:t>
      </w:r>
      <w:r w:rsidR="00A43F6E" w:rsidRPr="00782356">
        <w:t>Radiocommunications Act</w:t>
      </w:r>
      <w:r w:rsidR="006615ED" w:rsidRPr="00B53F89">
        <w:t>,</w:t>
      </w:r>
      <w:r w:rsidR="000810FF" w:rsidRPr="00B53F89">
        <w:t xml:space="preserve"> </w:t>
      </w:r>
      <w:r w:rsidR="00D04000">
        <w:t>for</w:t>
      </w:r>
      <w:r w:rsidR="000810FF" w:rsidRPr="00B53F89">
        <w:t xml:space="preserve"> a narrow range o</w:t>
      </w:r>
      <w:r w:rsidR="00B6778B" w:rsidRPr="00B53F89">
        <w:t>f</w:t>
      </w:r>
      <w:r w:rsidR="000810FF" w:rsidRPr="00B53F89">
        <w:t xml:space="preserve"> persons.</w:t>
      </w:r>
    </w:p>
    <w:p w14:paraId="5F808F52" w14:textId="3C55D066" w:rsidR="0011236B" w:rsidRDefault="0011236B">
      <w:r>
        <w:t>In 2020</w:t>
      </w:r>
      <w:r w:rsidR="007B1D63">
        <w:t>,</w:t>
      </w:r>
      <w:r w:rsidR="0094284E">
        <w:t xml:space="preserve"> </w:t>
      </w:r>
      <w:r w:rsidR="00D04000">
        <w:t>we</w:t>
      </w:r>
      <w:r w:rsidR="0094284E">
        <w:t xml:space="preserve"> </w:t>
      </w:r>
      <w:r w:rsidR="005152CD">
        <w:t>will</w:t>
      </w:r>
      <w:r w:rsidR="0094284E">
        <w:t xml:space="preserve"> release an issues paper </w:t>
      </w:r>
      <w:r w:rsidR="00F25DAD">
        <w:t>seeking</w:t>
      </w:r>
      <w:r w:rsidR="0094284E">
        <w:t xml:space="preserve"> comments from stakeholders about the operation of the prohibitions declarations</w:t>
      </w:r>
      <w:r w:rsidR="00152516">
        <w:t>,</w:t>
      </w:r>
      <w:r w:rsidR="0094284E">
        <w:t xml:space="preserve"> and </w:t>
      </w:r>
      <w:r w:rsidR="00152516">
        <w:t xml:space="preserve">appropriateness of </w:t>
      </w:r>
      <w:r w:rsidR="00D04000">
        <w:t xml:space="preserve">our </w:t>
      </w:r>
      <w:r w:rsidR="00152516">
        <w:t xml:space="preserve">approach to </w:t>
      </w:r>
      <w:r w:rsidR="0094284E">
        <w:t>exemption determinations.</w:t>
      </w:r>
    </w:p>
    <w:p w14:paraId="69E0D2A8" w14:textId="6E5F35A4" w:rsidR="00F054F9" w:rsidRPr="00B53F89" w:rsidRDefault="00F054F9" w:rsidP="001B5B7C">
      <w:pPr>
        <w:spacing w:before="60" w:after="0"/>
      </w:pPr>
      <w:r w:rsidRPr="006A2F04">
        <w:rPr>
          <w:noProof/>
        </w:rPr>
        <w:drawing>
          <wp:inline distT="0" distB="0" distL="0" distR="0" wp14:anchorId="55F1131F" wp14:editId="1C777563">
            <wp:extent cx="342900" cy="361950"/>
            <wp:effectExtent l="0" t="0" r="0" b="0"/>
            <wp:docPr id="127" name="Picture 127" descr="Avi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viation icon"/>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5599D0BC" wp14:editId="08E99564">
            <wp:extent cx="342900" cy="361950"/>
            <wp:effectExtent l="0" t="0" r="0" b="0"/>
            <wp:docPr id="128" name="Picture 128"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1EE8138E" w14:textId="5F969284" w:rsidR="00B96C20" w:rsidRPr="00B53F89" w:rsidRDefault="00B96C20" w:rsidP="001B5B7C">
      <w:pPr>
        <w:pStyle w:val="Heading3"/>
        <w:keepNext w:val="0"/>
      </w:pPr>
      <w:bookmarkStart w:id="531" w:name="_Toc31892854"/>
      <w:bookmarkStart w:id="532" w:name="_Toc36207469"/>
      <w:bookmarkStart w:id="533" w:name="_Toc38987245"/>
      <w:r w:rsidRPr="00B53F89">
        <w:t>Drone regulation</w:t>
      </w:r>
      <w:bookmarkEnd w:id="524"/>
      <w:bookmarkEnd w:id="525"/>
      <w:bookmarkEnd w:id="526"/>
      <w:bookmarkEnd w:id="527"/>
      <w:bookmarkEnd w:id="531"/>
      <w:bookmarkEnd w:id="532"/>
      <w:bookmarkEnd w:id="533"/>
    </w:p>
    <w:p w14:paraId="045C9E5C" w14:textId="0AF971A7" w:rsidR="00E22A5B" w:rsidRPr="00B53F89" w:rsidRDefault="00600239">
      <w:r w:rsidRPr="00B53F89">
        <w:t xml:space="preserve">Unmanned </w:t>
      </w:r>
      <w:r w:rsidR="00D04000">
        <w:t>a</w:t>
      </w:r>
      <w:r w:rsidRPr="00B53F89">
        <w:t xml:space="preserve">ircraft </w:t>
      </w:r>
      <w:r w:rsidR="00D04000">
        <w:t>s</w:t>
      </w:r>
      <w:r w:rsidRPr="00B53F89">
        <w:t>ystems</w:t>
      </w:r>
      <w:r w:rsidR="00163513" w:rsidRPr="00B53F89">
        <w:t xml:space="preserve">, also known as </w:t>
      </w:r>
      <w:r w:rsidR="00AE7619" w:rsidRPr="00B53F89">
        <w:t>RPAS</w:t>
      </w:r>
      <w:r w:rsidR="00163513" w:rsidRPr="00B53F89">
        <w:t xml:space="preserve">, and </w:t>
      </w:r>
      <w:r w:rsidR="00B96C20" w:rsidRPr="00B53F89">
        <w:t>commonly known as drones, have become increasingly popular with hobbyists and commercial users. Drones rely on radiocommunications for remote piloting and other uses</w:t>
      </w:r>
      <w:r w:rsidR="00990D9B" w:rsidRPr="00B53F89">
        <w:t>,</w:t>
      </w:r>
      <w:r w:rsidR="00B96C20" w:rsidRPr="00B53F89">
        <w:t xml:space="preserve"> such as video and sensing. </w:t>
      </w:r>
    </w:p>
    <w:p w14:paraId="562981E4" w14:textId="6F1FCAE4" w:rsidR="00163513" w:rsidRPr="00B53F89" w:rsidRDefault="00D04000">
      <w:r>
        <w:t>We have</w:t>
      </w:r>
      <w:r w:rsidR="00B96C20" w:rsidRPr="00B53F89">
        <w:t xml:space="preserve"> engaged with an inter-departmental contact network</w:t>
      </w:r>
      <w:r w:rsidR="00B91108" w:rsidRPr="00B53F89">
        <w:t>,</w:t>
      </w:r>
      <w:r w:rsidR="00B96C20" w:rsidRPr="00B53F89">
        <w:t xml:space="preserve"> which is considering management of drones from a range of </w:t>
      </w:r>
      <w:r w:rsidR="005932F3" w:rsidRPr="00B53F89">
        <w:t xml:space="preserve">policy </w:t>
      </w:r>
      <w:r w:rsidR="00B96C20" w:rsidRPr="00B53F89">
        <w:t>perspectives. During 20</w:t>
      </w:r>
      <w:r w:rsidR="00C82C7D">
        <w:t>20</w:t>
      </w:r>
      <w:r w:rsidR="00B91108" w:rsidRPr="00B53F89">
        <w:t>–</w:t>
      </w:r>
      <w:r w:rsidR="00163513" w:rsidRPr="00B53F89">
        <w:t>2</w:t>
      </w:r>
      <w:r w:rsidR="00C82C7D">
        <w:t>1</w:t>
      </w:r>
      <w:r w:rsidR="00B96C20" w:rsidRPr="00B53F89">
        <w:t xml:space="preserve">, </w:t>
      </w:r>
      <w:r>
        <w:t xml:space="preserve">we </w:t>
      </w:r>
      <w:r w:rsidR="00163513" w:rsidRPr="00B53F89">
        <w:t xml:space="preserve">will </w:t>
      </w:r>
      <w:r w:rsidR="00163513" w:rsidRPr="00B53F89">
        <w:lastRenderedPageBreak/>
        <w:t>continue to</w:t>
      </w:r>
      <w:r w:rsidR="00784268" w:rsidRPr="00B53F89">
        <w:t xml:space="preserve"> contribute to this network, and continue to </w:t>
      </w:r>
      <w:r w:rsidR="00163513" w:rsidRPr="00B53F89">
        <w:t>monitor the licensing requirements for drones with reference to international developments in spectrum management.</w:t>
      </w:r>
      <w:r w:rsidR="005152CD">
        <w:t xml:space="preserve"> We are also working with aviation stakeholders to monitor spectrum and licensing requirements internationally and domestically</w:t>
      </w:r>
      <w:r w:rsidR="0061738F">
        <w:t xml:space="preserve"> (see also </w:t>
      </w:r>
      <w:r w:rsidRPr="00513FDE">
        <w:rPr>
          <w:i/>
          <w:iCs/>
        </w:rPr>
        <w:t>S</w:t>
      </w:r>
      <w:r w:rsidR="0061738F" w:rsidRPr="00513FDE">
        <w:rPr>
          <w:i/>
          <w:iCs/>
        </w:rPr>
        <w:t>pectrum for government requirements</w:t>
      </w:r>
      <w:r w:rsidR="0061738F">
        <w:t xml:space="preserve"> section)</w:t>
      </w:r>
      <w:r w:rsidR="005152CD">
        <w:t>.</w:t>
      </w:r>
    </w:p>
    <w:p w14:paraId="2AC9AEE0" w14:textId="68C447FF" w:rsidR="00C82C7D" w:rsidRDefault="00163513" w:rsidP="00FE05EF">
      <w:r w:rsidRPr="00B53F89">
        <w:t xml:space="preserve">As drones are becoming increasingly widespread, </w:t>
      </w:r>
      <w:r w:rsidR="00452901" w:rsidRPr="00B53F89">
        <w:t xml:space="preserve">so too are concerns about their use. </w:t>
      </w:r>
      <w:r w:rsidR="00D04000">
        <w:t>We are</w:t>
      </w:r>
      <w:r w:rsidR="003D01E3" w:rsidRPr="00B53F89">
        <w:t xml:space="preserve"> currently </w:t>
      </w:r>
      <w:r w:rsidR="002C64E4" w:rsidRPr="00B53F89">
        <w:t xml:space="preserve">working </w:t>
      </w:r>
      <w:r w:rsidR="003D01E3" w:rsidRPr="00B53F89">
        <w:t>with aviation</w:t>
      </w:r>
      <w:r w:rsidR="006E161E" w:rsidRPr="00B53F89">
        <w:t xml:space="preserve"> safety</w:t>
      </w:r>
      <w:r w:rsidR="003D01E3" w:rsidRPr="00B53F89">
        <w:t xml:space="preserve"> regulators</w:t>
      </w:r>
      <w:r w:rsidR="00E16D5C" w:rsidRPr="00B53F89">
        <w:t>,</w:t>
      </w:r>
      <w:r w:rsidR="003D01E3" w:rsidRPr="00B53F89">
        <w:t xml:space="preserve"> law enforcement and security agencie</w:t>
      </w:r>
      <w:r w:rsidR="002C64E4" w:rsidRPr="00B53F89">
        <w:t xml:space="preserve">s, and </w:t>
      </w:r>
      <w:r w:rsidR="00D04000">
        <w:t>are</w:t>
      </w:r>
      <w:r w:rsidR="00D04000" w:rsidRPr="00B53F89">
        <w:t xml:space="preserve"> </w:t>
      </w:r>
      <w:r w:rsidR="002C64E4" w:rsidRPr="00B53F89">
        <w:t>monitoring international approaches to detecting and responding to incidents where drones could pose a risk to safety and security.</w:t>
      </w:r>
      <w:r w:rsidR="00D861D9" w:rsidRPr="00B53F89">
        <w:t xml:space="preserve"> </w:t>
      </w:r>
    </w:p>
    <w:p w14:paraId="455CA9E5" w14:textId="312BD70B" w:rsidR="00C35ED7" w:rsidRPr="00C35ED7" w:rsidRDefault="00C35ED7" w:rsidP="00C35ED7">
      <w:pPr>
        <w:rPr>
          <w:b/>
        </w:rPr>
      </w:pPr>
      <w:r>
        <w:t xml:space="preserve">In April 2019, the ACMA made the </w:t>
      </w:r>
      <w:r w:rsidRPr="00513FDE">
        <w:rPr>
          <w:bCs/>
        </w:rPr>
        <w:t>Radiocommunications (Unmanned Aircraft and Unmanned Aircraft Systems) Exemption Determination 2019</w:t>
      </w:r>
      <w:r>
        <w:rPr>
          <w:bCs/>
        </w:rPr>
        <w:t xml:space="preserve">, which </w:t>
      </w:r>
      <w:r w:rsidRPr="00C35ED7">
        <w:rPr>
          <w:bCs/>
        </w:rPr>
        <w:t>allow</w:t>
      </w:r>
      <w:r>
        <w:rPr>
          <w:bCs/>
        </w:rPr>
        <w:t>s</w:t>
      </w:r>
      <w:r w:rsidRPr="00C35ED7">
        <w:rPr>
          <w:bCs/>
        </w:rPr>
        <w:t xml:space="preserve"> the Australian Federal Police to deploy drone jamming equipment over a two-year period</w:t>
      </w:r>
      <w:r>
        <w:rPr>
          <w:bCs/>
        </w:rPr>
        <w:t xml:space="preserve">. </w:t>
      </w:r>
    </w:p>
    <w:p w14:paraId="07BF5E7F" w14:textId="288283FF" w:rsidR="007412CD" w:rsidRPr="00B53F89" w:rsidRDefault="007B1D63" w:rsidP="0042464D">
      <w:pPr>
        <w:pStyle w:val="Heading3"/>
        <w:keepNext w:val="0"/>
      </w:pPr>
      <w:bookmarkStart w:id="534" w:name="_Developing_a_spectrum-space"/>
      <w:bookmarkStart w:id="535" w:name="_Toc31892855"/>
      <w:bookmarkStart w:id="536" w:name="_Toc36207470"/>
      <w:bookmarkStart w:id="537" w:name="_Toc38987246"/>
      <w:bookmarkEnd w:id="534"/>
      <w:r>
        <w:t>A</w:t>
      </w:r>
      <w:r w:rsidR="00BF3437" w:rsidRPr="00B53F89">
        <w:t xml:space="preserve">rea-wide </w:t>
      </w:r>
      <w:r w:rsidR="007412CD" w:rsidRPr="00B53F89">
        <w:t>apparatus licence</w:t>
      </w:r>
      <w:bookmarkEnd w:id="535"/>
      <w:bookmarkEnd w:id="536"/>
      <w:bookmarkEnd w:id="537"/>
    </w:p>
    <w:p w14:paraId="6CECF6B4" w14:textId="2C20D6C9" w:rsidR="00964E90" w:rsidRPr="001077CF" w:rsidRDefault="00D04000">
      <w:pPr>
        <w:rPr>
          <w:szCs w:val="20"/>
        </w:rPr>
      </w:pPr>
      <w:r>
        <w:rPr>
          <w:szCs w:val="20"/>
        </w:rPr>
        <w:t>We</w:t>
      </w:r>
      <w:r w:rsidR="00FD64D4" w:rsidRPr="001077CF" w:rsidDel="0048204D">
        <w:rPr>
          <w:szCs w:val="20"/>
        </w:rPr>
        <w:t xml:space="preserve"> </w:t>
      </w:r>
      <w:r w:rsidR="0048204D" w:rsidRPr="001077CF">
        <w:rPr>
          <w:szCs w:val="20"/>
        </w:rPr>
        <w:t>consulted</w:t>
      </w:r>
      <w:r w:rsidR="00461ED8" w:rsidRPr="001077CF">
        <w:rPr>
          <w:szCs w:val="20"/>
        </w:rPr>
        <w:t xml:space="preserve"> with stakeholders</w:t>
      </w:r>
      <w:r w:rsidR="00DC26B6" w:rsidRPr="001077CF">
        <w:rPr>
          <w:szCs w:val="20"/>
        </w:rPr>
        <w:t xml:space="preserve"> </w:t>
      </w:r>
      <w:r w:rsidR="0048204D" w:rsidRPr="001077CF">
        <w:rPr>
          <w:szCs w:val="20"/>
        </w:rPr>
        <w:t>on</w:t>
      </w:r>
      <w:r w:rsidR="00461ED8" w:rsidRPr="001077CF">
        <w:rPr>
          <w:szCs w:val="20"/>
        </w:rPr>
        <w:t xml:space="preserve"> the design of </w:t>
      </w:r>
      <w:r w:rsidR="002F012C" w:rsidRPr="001077CF">
        <w:rPr>
          <w:szCs w:val="20"/>
        </w:rPr>
        <w:t>the</w:t>
      </w:r>
      <w:r w:rsidR="00BF3437" w:rsidRPr="001077CF">
        <w:rPr>
          <w:szCs w:val="20"/>
        </w:rPr>
        <w:t xml:space="preserve"> area-wide </w:t>
      </w:r>
      <w:r w:rsidR="00DC26B6" w:rsidRPr="001077CF">
        <w:rPr>
          <w:szCs w:val="20"/>
        </w:rPr>
        <w:t>licence type</w:t>
      </w:r>
      <w:r w:rsidR="00D35B2C">
        <w:rPr>
          <w:szCs w:val="20"/>
        </w:rPr>
        <w:t>s</w:t>
      </w:r>
      <w:r w:rsidR="00DC26B6" w:rsidRPr="001077CF">
        <w:rPr>
          <w:szCs w:val="20"/>
        </w:rPr>
        <w:t xml:space="preserve"> in Q</w:t>
      </w:r>
      <w:r w:rsidR="00E00B33" w:rsidRPr="001077CF">
        <w:rPr>
          <w:szCs w:val="20"/>
        </w:rPr>
        <w:t>2</w:t>
      </w:r>
      <w:r>
        <w:rPr>
          <w:szCs w:val="20"/>
        </w:rPr>
        <w:t>–</w:t>
      </w:r>
      <w:r w:rsidR="001809A1" w:rsidRPr="001077CF">
        <w:rPr>
          <w:szCs w:val="20"/>
        </w:rPr>
        <w:t>3</w:t>
      </w:r>
      <w:r w:rsidR="00DC26B6" w:rsidRPr="001077CF">
        <w:rPr>
          <w:szCs w:val="20"/>
        </w:rPr>
        <w:t xml:space="preserve"> </w:t>
      </w:r>
      <w:r w:rsidR="00583DF2" w:rsidRPr="001077CF">
        <w:rPr>
          <w:szCs w:val="20"/>
        </w:rPr>
        <w:t>2019</w:t>
      </w:r>
      <w:r w:rsidR="00DC26B6" w:rsidRPr="001077CF">
        <w:rPr>
          <w:szCs w:val="20"/>
        </w:rPr>
        <w:t xml:space="preserve">. </w:t>
      </w:r>
      <w:r w:rsidR="008A13E2" w:rsidRPr="001077CF">
        <w:rPr>
          <w:szCs w:val="20"/>
        </w:rPr>
        <w:t xml:space="preserve">In </w:t>
      </w:r>
      <w:r w:rsidR="0048204D" w:rsidRPr="001077CF">
        <w:rPr>
          <w:szCs w:val="20"/>
        </w:rPr>
        <w:t>Q1</w:t>
      </w:r>
      <w:r w:rsidR="008A13E2" w:rsidRPr="001077CF">
        <w:rPr>
          <w:szCs w:val="20"/>
        </w:rPr>
        <w:t xml:space="preserve"> 2020, following consideration of stakeholder feedback, </w:t>
      </w:r>
      <w:r w:rsidR="008A13E2" w:rsidRPr="001077CF">
        <w:rPr>
          <w:rFonts w:eastAsia="ArialMT" w:cs="Arial"/>
          <w:color w:val="000000"/>
          <w:szCs w:val="20"/>
        </w:rPr>
        <w:t xml:space="preserve">the ACMA made the </w:t>
      </w:r>
      <w:hyperlink r:id="rId112" w:history="1">
        <w:r w:rsidR="001E3787" w:rsidRPr="001077CF">
          <w:rPr>
            <w:rStyle w:val="Hyperlink"/>
            <w:rFonts w:eastAsia="ArialMT" w:cs="Arial"/>
            <w:szCs w:val="20"/>
          </w:rPr>
          <w:t>Radiocommunications Legislation (2020 Measures No. 1) Instrument 2020</w:t>
        </w:r>
      </w:hyperlink>
      <w:r w:rsidR="001E3787" w:rsidRPr="001077CF">
        <w:rPr>
          <w:rFonts w:eastAsia="ArialMT" w:cs="Arial"/>
          <w:color w:val="000000"/>
          <w:szCs w:val="20"/>
        </w:rPr>
        <w:t xml:space="preserve"> and the </w:t>
      </w:r>
      <w:hyperlink r:id="rId113" w:history="1">
        <w:r w:rsidR="001E3787" w:rsidRPr="001077CF">
          <w:rPr>
            <w:rStyle w:val="Hyperlink"/>
            <w:rFonts w:eastAsia="ArialMT" w:cs="Arial"/>
            <w:szCs w:val="20"/>
          </w:rPr>
          <w:t>Radiocommunications Licence Conditions (Area-Wide Licence) Determination 2020 (AWL LCD)</w:t>
        </w:r>
      </w:hyperlink>
      <w:r w:rsidR="001E3787" w:rsidRPr="001077CF">
        <w:rPr>
          <w:rFonts w:eastAsia="ArialMT" w:cs="Arial"/>
          <w:color w:val="000000"/>
          <w:szCs w:val="20"/>
        </w:rPr>
        <w:t>, which together make up the regulatory framework for AWLs.</w:t>
      </w:r>
      <w:r w:rsidR="00780790" w:rsidRPr="001077CF">
        <w:rPr>
          <w:rFonts w:eastAsia="ArialMT" w:cs="Arial"/>
          <w:color w:val="000000"/>
          <w:szCs w:val="20"/>
        </w:rPr>
        <w:t xml:space="preserve"> </w:t>
      </w:r>
      <w:r>
        <w:rPr>
          <w:rFonts w:eastAsia="ArialMT" w:cs="Arial"/>
          <w:color w:val="000000"/>
          <w:szCs w:val="20"/>
        </w:rPr>
        <w:t>We</w:t>
      </w:r>
      <w:r w:rsidR="00D35B2C" w:rsidRPr="001077CF">
        <w:rPr>
          <w:rFonts w:eastAsia="ArialMT" w:cs="Arial"/>
          <w:color w:val="000000"/>
          <w:szCs w:val="20"/>
        </w:rPr>
        <w:t xml:space="preserve"> </w:t>
      </w:r>
      <w:r w:rsidR="00780790" w:rsidRPr="001077CF">
        <w:rPr>
          <w:rFonts w:eastAsia="ArialMT" w:cs="Arial"/>
          <w:color w:val="000000"/>
          <w:szCs w:val="20"/>
        </w:rPr>
        <w:t xml:space="preserve">also released a </w:t>
      </w:r>
      <w:hyperlink r:id="rId114" w:history="1">
        <w:r w:rsidR="00780790" w:rsidRPr="001077CF">
          <w:rPr>
            <w:rStyle w:val="Hyperlink"/>
            <w:rFonts w:eastAsia="ArialMT" w:cs="Arial"/>
            <w:szCs w:val="20"/>
          </w:rPr>
          <w:t>summary and response to the submissions</w:t>
        </w:r>
      </w:hyperlink>
      <w:r w:rsidR="00780790" w:rsidRPr="001077CF">
        <w:rPr>
          <w:rFonts w:eastAsia="ArialMT" w:cs="Arial"/>
          <w:color w:val="000000"/>
          <w:szCs w:val="20"/>
        </w:rPr>
        <w:t xml:space="preserve"> it received. </w:t>
      </w:r>
    </w:p>
    <w:p w14:paraId="5F141CCD" w14:textId="2409E870" w:rsidR="0048204D" w:rsidRDefault="0048204D">
      <w:r w:rsidRPr="0048204D">
        <w:t xml:space="preserve">An area-wide licence may be used to authorise a variety of different services and could allow the licensee to operate multiple radiocommunications devices at a specified frequency or frequencies in a specified geographic area, subject to any conditions on the licence that the ACMA considers appropriate. Such an area-wide apparatus licence would provide analogous technical and operational flexibility to a spectrum licence. The area-wide licence </w:t>
      </w:r>
      <w:r>
        <w:t>may</w:t>
      </w:r>
      <w:r w:rsidRPr="0048204D">
        <w:t xml:space="preserve"> assist </w:t>
      </w:r>
      <w:r w:rsidR="00FE05EF">
        <w:t>us to</w:t>
      </w:r>
      <w:r w:rsidRPr="0048204D">
        <w:t xml:space="preserve"> authoris</w:t>
      </w:r>
      <w:r w:rsidR="00FE05EF">
        <w:t>e</w:t>
      </w:r>
      <w:r w:rsidRPr="0048204D">
        <w:t xml:space="preserve"> new and emerging technologies in use-cases where spectrum licensing may be inappropriate.</w:t>
      </w:r>
    </w:p>
    <w:p w14:paraId="1B32A580" w14:textId="26DD592D" w:rsidR="0048204D" w:rsidRPr="00B53F89" w:rsidRDefault="00FE05EF" w:rsidP="00513FDE">
      <w:r>
        <w:t>We have</w:t>
      </w:r>
      <w:r w:rsidR="0048204D">
        <w:t xml:space="preserve"> </w:t>
      </w:r>
      <w:r w:rsidR="0048204D" w:rsidRPr="0048204D">
        <w:t xml:space="preserve">published </w:t>
      </w:r>
      <w:r>
        <w:rPr>
          <w:rFonts w:eastAsia="ArialMT"/>
        </w:rPr>
        <w:t>our</w:t>
      </w:r>
      <w:r w:rsidRPr="001E3787">
        <w:rPr>
          <w:rFonts w:eastAsia="ArialMT"/>
        </w:rPr>
        <w:t xml:space="preserve"> </w:t>
      </w:r>
      <w:hyperlink r:id="rId115" w:history="1">
        <w:r w:rsidR="001E3787" w:rsidRPr="00FE05EF">
          <w:rPr>
            <w:rStyle w:val="Hyperlink"/>
            <w:rFonts w:eastAsia="ArialMT" w:cs="Arial"/>
          </w:rPr>
          <w:t>approach to introducing AWLs into bands</w:t>
        </w:r>
      </w:hyperlink>
      <w:r w:rsidR="001E3787" w:rsidRPr="001E3787">
        <w:rPr>
          <w:rFonts w:eastAsia="ArialMT"/>
        </w:rPr>
        <w:t>.</w:t>
      </w:r>
      <w:r w:rsidR="001E3787">
        <w:rPr>
          <w:rFonts w:eastAsia="ArialMT"/>
        </w:rPr>
        <w:t xml:space="preserve"> </w:t>
      </w:r>
      <w:r>
        <w:rPr>
          <w:rFonts w:eastAsia="ArialMT"/>
        </w:rPr>
        <w:t>We</w:t>
      </w:r>
      <w:r w:rsidR="00780790">
        <w:rPr>
          <w:rFonts w:eastAsia="ArialMT"/>
        </w:rPr>
        <w:t xml:space="preserve"> anticipate that</w:t>
      </w:r>
      <w:r w:rsidR="00780790" w:rsidDel="00FE05EF">
        <w:rPr>
          <w:rFonts w:eastAsia="ArialMT"/>
        </w:rPr>
        <w:t xml:space="preserve"> </w:t>
      </w:r>
      <w:r>
        <w:rPr>
          <w:rFonts w:eastAsia="ArialMT"/>
        </w:rPr>
        <w:t xml:space="preserve">we </w:t>
      </w:r>
      <w:r w:rsidR="00780790">
        <w:rPr>
          <w:rFonts w:eastAsia="ArialMT"/>
        </w:rPr>
        <w:t xml:space="preserve">will issue AWLs </w:t>
      </w:r>
      <w:r w:rsidR="003D28D9">
        <w:rPr>
          <w:rFonts w:eastAsia="ArialMT"/>
        </w:rPr>
        <w:t xml:space="preserve">from </w:t>
      </w:r>
      <w:r w:rsidR="00780790">
        <w:rPr>
          <w:rFonts w:eastAsia="ArialMT"/>
        </w:rPr>
        <w:t>Q</w:t>
      </w:r>
      <w:r w:rsidR="00E202E2">
        <w:rPr>
          <w:rFonts w:eastAsia="ArialMT"/>
        </w:rPr>
        <w:t>4 2020</w:t>
      </w:r>
      <w:r>
        <w:rPr>
          <w:rFonts w:eastAsia="ArialMT"/>
        </w:rPr>
        <w:t xml:space="preserve"> </w:t>
      </w:r>
      <w:r w:rsidR="001E3787">
        <w:rPr>
          <w:szCs w:val="20"/>
        </w:rPr>
        <w:t>in the 26 GHz and 28 GHz bands. These are the first bands to be considered for AWLs</w:t>
      </w:r>
      <w:r w:rsidR="00780790">
        <w:rPr>
          <w:szCs w:val="20"/>
        </w:rPr>
        <w:t xml:space="preserve">. </w:t>
      </w:r>
      <w:r w:rsidR="001E3787">
        <w:rPr>
          <w:szCs w:val="20"/>
        </w:rPr>
        <w:t xml:space="preserve">Following the review of the 26 GHz and 28 GHz bands, consideration will be given, where appropriate, to developing and consulting on implementation arrangements for AWLs in other bands. </w:t>
      </w:r>
    </w:p>
    <w:p w14:paraId="272FE75E" w14:textId="42B337FB" w:rsidR="007C5FBA" w:rsidRPr="00B53F89" w:rsidRDefault="007C5FBA" w:rsidP="0042464D">
      <w:pPr>
        <w:spacing w:before="60" w:after="0"/>
      </w:pPr>
      <w:r w:rsidRPr="006A2F04">
        <w:rPr>
          <w:noProof/>
        </w:rPr>
        <w:drawing>
          <wp:inline distT="0" distB="0" distL="0" distR="0" wp14:anchorId="04A97195" wp14:editId="737720F7">
            <wp:extent cx="342900" cy="361950"/>
            <wp:effectExtent l="0" t="0" r="0" b="0"/>
            <wp:docPr id="129" name="Picture 129" descr="Amateur radi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mateur radio ico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5AA8CDCD" w14:textId="77D2E7AE" w:rsidR="007412CD" w:rsidRPr="00B53F89" w:rsidRDefault="00BB5498" w:rsidP="0042464D">
      <w:pPr>
        <w:pStyle w:val="Heading3"/>
        <w:keepNext w:val="0"/>
      </w:pPr>
      <w:bookmarkStart w:id="538" w:name="_Toc36207471"/>
      <w:bookmarkStart w:id="539" w:name="_Toc38987247"/>
      <w:bookmarkStart w:id="540" w:name="_Toc31892856"/>
      <w:r w:rsidRPr="00B53F89">
        <w:t xml:space="preserve">Review </w:t>
      </w:r>
      <w:r w:rsidR="003F77BF" w:rsidRPr="00B53F89">
        <w:t xml:space="preserve">of </w:t>
      </w:r>
      <w:r w:rsidR="00E0549C" w:rsidRPr="00B53F89">
        <w:t xml:space="preserve">non-assigned </w:t>
      </w:r>
      <w:r w:rsidRPr="00B53F89">
        <w:t>amateur and outpost licensing arrangements</w:t>
      </w:r>
      <w:bookmarkEnd w:id="538"/>
      <w:bookmarkEnd w:id="539"/>
      <w:r w:rsidRPr="00B53F89">
        <w:t xml:space="preserve"> </w:t>
      </w:r>
      <w:bookmarkEnd w:id="540"/>
    </w:p>
    <w:p w14:paraId="0FBC0D8E" w14:textId="2B26DBEB" w:rsidR="00862B0E" w:rsidRPr="00B53F89" w:rsidRDefault="00FE05EF">
      <w:r>
        <w:t>We are</w:t>
      </w:r>
      <w:r w:rsidR="003008C8" w:rsidRPr="00B53F89">
        <w:t xml:space="preserve"> </w:t>
      </w:r>
      <w:r w:rsidR="00DE65F3" w:rsidRPr="00B53F89">
        <w:t>considering</w:t>
      </w:r>
      <w:r w:rsidR="00E74EE6" w:rsidRPr="00B53F89">
        <w:t xml:space="preserve"> </w:t>
      </w:r>
      <w:r w:rsidR="001700A7" w:rsidRPr="00B53F89">
        <w:t xml:space="preserve">the </w:t>
      </w:r>
      <w:r w:rsidR="003F5050" w:rsidRPr="00B53F89">
        <w:t xml:space="preserve">best licensing mechanisms and conditions </w:t>
      </w:r>
      <w:r w:rsidR="00E0549C" w:rsidRPr="00B53F89">
        <w:t>for</w:t>
      </w:r>
      <w:r w:rsidR="00A919EC" w:rsidRPr="00B53F89" w:rsidDel="000E352E">
        <w:t xml:space="preserve"> </w:t>
      </w:r>
      <w:r w:rsidR="00A919EC" w:rsidRPr="00B53F89">
        <w:t>non-assigned amateur and outpost licences</w:t>
      </w:r>
      <w:r w:rsidR="003008C8" w:rsidRPr="00B53F89">
        <w:t xml:space="preserve">. </w:t>
      </w:r>
      <w:r w:rsidR="003B7ABD" w:rsidRPr="00B53F89">
        <w:t>Non-assigned licences are apparatus licences that authorise the operations of a radiocommunications device, but do not include a specific frequency</w:t>
      </w:r>
      <w:r w:rsidR="003008C8" w:rsidRPr="00B53F89">
        <w:t xml:space="preserve"> and </w:t>
      </w:r>
      <w:r w:rsidR="00BA183E" w:rsidRPr="00B53F89">
        <w:t xml:space="preserve">instead </w:t>
      </w:r>
      <w:r w:rsidR="006F012B">
        <w:t>authorise operation</w:t>
      </w:r>
      <w:r w:rsidR="006F012B" w:rsidRPr="00B53F89">
        <w:t xml:space="preserve"> </w:t>
      </w:r>
      <w:r w:rsidR="00BA183E" w:rsidRPr="00B53F89">
        <w:t>within a general part of the spectrum identified for similar activities</w:t>
      </w:r>
      <w:r w:rsidR="001B450C" w:rsidRPr="00B53F89">
        <w:t xml:space="preserve"> as specified</w:t>
      </w:r>
      <w:r w:rsidR="00BA183E" w:rsidRPr="00B53F89">
        <w:t xml:space="preserve"> in the relevant licence condition determination</w:t>
      </w:r>
      <w:r w:rsidR="003008C8" w:rsidRPr="00B53F89">
        <w:t>. Non-assigned licences are currently issued as part of the amateur, maritime, scientific and outpost licence types</w:t>
      </w:r>
      <w:r w:rsidR="003B7ABD" w:rsidRPr="00B53F89">
        <w:t>.</w:t>
      </w:r>
      <w:r w:rsidR="00BA183E" w:rsidRPr="00B53F89">
        <w:t xml:space="preserve"> </w:t>
      </w:r>
    </w:p>
    <w:p w14:paraId="7C283A91" w14:textId="3A4A3840" w:rsidR="00DD43C0" w:rsidRDefault="00FE05EF">
      <w:r>
        <w:t>We are</w:t>
      </w:r>
      <w:r w:rsidR="000E352E" w:rsidRPr="00B53F89">
        <w:t xml:space="preserve"> keen to ensure that </w:t>
      </w:r>
      <w:r w:rsidR="00B50E67" w:rsidRPr="00B53F89">
        <w:t xml:space="preserve">any </w:t>
      </w:r>
      <w:r w:rsidR="000E352E" w:rsidRPr="00B53F89">
        <w:t>transaction cost</w:t>
      </w:r>
      <w:r w:rsidR="001418A5" w:rsidRPr="00B53F89">
        <w:t>s</w:t>
      </w:r>
      <w:r w:rsidR="000E352E" w:rsidRPr="00B53F89">
        <w:t xml:space="preserve"> faced by licen</w:t>
      </w:r>
      <w:r w:rsidR="00FF193F" w:rsidRPr="00B53F89">
        <w:t>s</w:t>
      </w:r>
      <w:r w:rsidR="000E352E" w:rsidRPr="00B53F89">
        <w:t xml:space="preserve">ees </w:t>
      </w:r>
      <w:r w:rsidR="006E161E" w:rsidRPr="00B53F89">
        <w:t xml:space="preserve">and the ACMA </w:t>
      </w:r>
      <w:r w:rsidR="000E352E" w:rsidRPr="00B53F89">
        <w:t xml:space="preserve">are </w:t>
      </w:r>
      <w:r w:rsidR="00B50E67" w:rsidRPr="00B53F89">
        <w:t>minimal</w:t>
      </w:r>
      <w:r w:rsidR="001E3005" w:rsidRPr="00B53F89">
        <w:t>,</w:t>
      </w:r>
      <w:r w:rsidR="000E352E" w:rsidRPr="00B53F89">
        <w:t xml:space="preserve"> and that opportunities for </w:t>
      </w:r>
      <w:r w:rsidR="007A1CF3" w:rsidRPr="00B53F89">
        <w:t>appro</w:t>
      </w:r>
      <w:r w:rsidR="00A35596" w:rsidRPr="00B53F89">
        <w:t>pr</w:t>
      </w:r>
      <w:r w:rsidR="007A1CF3" w:rsidRPr="00B53F89">
        <w:t xml:space="preserve">iate </w:t>
      </w:r>
      <w:r w:rsidR="000E352E" w:rsidRPr="00B53F89">
        <w:t>self</w:t>
      </w:r>
      <w:r w:rsidR="007A1CF3" w:rsidRPr="00B53F89">
        <w:t>-</w:t>
      </w:r>
      <w:r w:rsidR="000E352E" w:rsidRPr="00B53F89">
        <w:t xml:space="preserve">regulation </w:t>
      </w:r>
      <w:r w:rsidR="007A1CF3" w:rsidRPr="00B53F89">
        <w:t>are realised</w:t>
      </w:r>
      <w:r w:rsidR="001E3005" w:rsidRPr="00B53F89">
        <w:t>, while recognising the continuing need for callsigns and</w:t>
      </w:r>
      <w:r w:rsidR="00B2469C" w:rsidRPr="00B53F89">
        <w:t>—</w:t>
      </w:r>
      <w:r w:rsidR="001E3005" w:rsidRPr="00B53F89">
        <w:t>in the case of amateur licensees</w:t>
      </w:r>
      <w:r w:rsidR="00B2469C" w:rsidRPr="00B53F89">
        <w:t>—</w:t>
      </w:r>
      <w:r w:rsidR="001E3005" w:rsidRPr="00B53F89">
        <w:t>appropriate qualifications</w:t>
      </w:r>
      <w:r w:rsidR="007A1CF3" w:rsidRPr="00B53F89">
        <w:t>.</w:t>
      </w:r>
      <w:r w:rsidR="00521B03">
        <w:t xml:space="preserve"> The review is also </w:t>
      </w:r>
      <w:r>
        <w:t>considering</w:t>
      </w:r>
      <w:r w:rsidR="00521B03">
        <w:t xml:space="preserve"> feedback received </w:t>
      </w:r>
      <w:r w:rsidR="00D81A45">
        <w:t>by</w:t>
      </w:r>
      <w:r w:rsidR="00521B03">
        <w:t xml:space="preserve"> stakeholder</w:t>
      </w:r>
      <w:r w:rsidR="00D81A45">
        <w:t>s</w:t>
      </w:r>
      <w:r w:rsidR="00521B03">
        <w:t xml:space="preserve"> during consultation on proposed changes to amateur licence conditions in 2019.</w:t>
      </w:r>
      <w:r>
        <w:t xml:space="preserve"> We</w:t>
      </w:r>
      <w:r w:rsidR="00AA7077" w:rsidRPr="00AA7077">
        <w:t xml:space="preserve"> expect to consult on potential changes to the non-assigned amateur and outpost licence frameworks in </w:t>
      </w:r>
      <w:r w:rsidR="00AA7077" w:rsidRPr="00484E48">
        <w:t>Q2</w:t>
      </w:r>
      <w:r>
        <w:t>–</w:t>
      </w:r>
      <w:r w:rsidR="00FC330D" w:rsidRPr="00484E48">
        <w:t>3</w:t>
      </w:r>
      <w:r w:rsidR="00AA7077" w:rsidRPr="00484E48">
        <w:t xml:space="preserve"> 2020</w:t>
      </w:r>
      <w:r w:rsidR="00383FEF" w:rsidRPr="00B53F89">
        <w:t xml:space="preserve">. </w:t>
      </w:r>
    </w:p>
    <w:p w14:paraId="141ABA41" w14:textId="0550E5F3" w:rsidR="00AA7077" w:rsidRDefault="00AA7077" w:rsidP="0042464D">
      <w:pPr>
        <w:pStyle w:val="Heading3"/>
        <w:keepNext w:val="0"/>
      </w:pPr>
      <w:bookmarkStart w:id="541" w:name="_Toc36207472"/>
      <w:bookmarkStart w:id="542" w:name="_Toc38987248"/>
      <w:r>
        <w:lastRenderedPageBreak/>
        <w:t>R</w:t>
      </w:r>
      <w:r w:rsidRPr="00AA7077">
        <w:t xml:space="preserve">eview </w:t>
      </w:r>
      <w:r>
        <w:t>of</w:t>
      </w:r>
      <w:r w:rsidRPr="00AA7077">
        <w:t xml:space="preserve"> scientific assigned and non-assigned apparatus licensing arrangements</w:t>
      </w:r>
      <w:bookmarkEnd w:id="541"/>
      <w:bookmarkEnd w:id="542"/>
    </w:p>
    <w:p w14:paraId="1C80739D" w14:textId="28D66236" w:rsidR="00AA7077" w:rsidRDefault="00AA7077">
      <w:r w:rsidRPr="00AA7077">
        <w:t xml:space="preserve">The broad objective of the review </w:t>
      </w:r>
      <w:r>
        <w:t>is</w:t>
      </w:r>
      <w:r w:rsidRPr="00AA7077">
        <w:t xml:space="preserve"> to ensure that suitable, low-cost licensing arrangements are available for spectrum users to trial and assess new and innovative radiocommunications technologies. </w:t>
      </w:r>
      <w:r w:rsidR="00FE05EF">
        <w:t xml:space="preserve">We </w:t>
      </w:r>
      <w:r w:rsidRPr="00AA7077">
        <w:t xml:space="preserve">intend to commence this review in </w:t>
      </w:r>
      <w:r w:rsidR="004D6CBB">
        <w:t>Q3</w:t>
      </w:r>
      <w:r w:rsidRPr="00AA7077">
        <w:t xml:space="preserve"> 2020.</w:t>
      </w:r>
    </w:p>
    <w:p w14:paraId="14EF7462" w14:textId="75E8BC7D" w:rsidR="001C4808" w:rsidRDefault="001C4808" w:rsidP="0042464D">
      <w:pPr>
        <w:pStyle w:val="Heading3"/>
        <w:keepNext w:val="0"/>
      </w:pPr>
      <w:bookmarkStart w:id="543" w:name="_Toc38987249"/>
      <w:r>
        <w:t>Review of efficiency and effectiveness of Accredited Persons scheme</w:t>
      </w:r>
      <w:bookmarkEnd w:id="543"/>
    </w:p>
    <w:p w14:paraId="7C941000" w14:textId="0B1F6AD4" w:rsidR="001C4808" w:rsidRPr="001C4808" w:rsidRDefault="00FE05EF" w:rsidP="001C4808">
      <w:r>
        <w:t>T</w:t>
      </w:r>
      <w:r w:rsidR="001C4808">
        <w:t>o identify</w:t>
      </w:r>
      <w:r w:rsidR="001C4808" w:rsidRPr="001C4808">
        <w:t xml:space="preserve"> areas for improvement </w:t>
      </w:r>
      <w:r w:rsidR="001C4808" w:rsidRPr="001C4808" w:rsidDel="00FE05EF">
        <w:t xml:space="preserve">of </w:t>
      </w:r>
      <w:r>
        <w:t>the</w:t>
      </w:r>
      <w:r w:rsidRPr="001C4808">
        <w:t xml:space="preserve"> </w:t>
      </w:r>
      <w:r>
        <w:t>a</w:t>
      </w:r>
      <w:r w:rsidR="001C4808" w:rsidRPr="001C4808">
        <w:t xml:space="preserve">ccredited </w:t>
      </w:r>
      <w:r>
        <w:t>p</w:t>
      </w:r>
      <w:r w:rsidR="001C4808" w:rsidRPr="001C4808">
        <w:t>ersons scheme, including changes to operational practices and/or regulatory instruments</w:t>
      </w:r>
      <w:r>
        <w:t>, we</w:t>
      </w:r>
      <w:r w:rsidR="001C4808">
        <w:t xml:space="preserve"> intend to c</w:t>
      </w:r>
      <w:r w:rsidR="001C4808" w:rsidRPr="001C4808">
        <w:t xml:space="preserve">onsult </w:t>
      </w:r>
      <w:r w:rsidR="001C4808">
        <w:t>in Q2</w:t>
      </w:r>
      <w:r>
        <w:t>–</w:t>
      </w:r>
      <w:r w:rsidR="001C4808">
        <w:t>3 2020.</w:t>
      </w:r>
    </w:p>
    <w:p w14:paraId="5E8A0382" w14:textId="77777777" w:rsidR="006C29E6" w:rsidRDefault="006C29E6">
      <w:pPr>
        <w:spacing w:after="0" w:line="240" w:lineRule="auto"/>
      </w:pPr>
      <w:r>
        <w:br w:type="page"/>
      </w:r>
    </w:p>
    <w:p w14:paraId="1DE46AD9" w14:textId="6C90F951" w:rsidR="003F17EB" w:rsidRPr="00B53F89" w:rsidRDefault="003F17EB" w:rsidP="00D33B10">
      <w:pPr>
        <w:spacing w:after="60"/>
      </w:pPr>
      <w:bookmarkStart w:id="544" w:name="_Reforming_the_apparatus"/>
      <w:bookmarkStart w:id="545" w:name="_Pricing"/>
      <w:bookmarkStart w:id="546" w:name="_Toc510104987"/>
      <w:bookmarkStart w:id="547" w:name="_Toc510105784"/>
      <w:bookmarkStart w:id="548" w:name="_Toc510795118"/>
      <w:bookmarkStart w:id="549" w:name="_Toc511716320"/>
      <w:bookmarkStart w:id="550" w:name="_Toc511719131"/>
      <w:bookmarkStart w:id="551" w:name="_Toc522794124"/>
      <w:bookmarkEnd w:id="544"/>
      <w:bookmarkEnd w:id="545"/>
      <w:r w:rsidRPr="006A2F04">
        <w:rPr>
          <w:noProof/>
        </w:rPr>
        <w:lastRenderedPageBreak/>
        <w:drawing>
          <wp:inline distT="0" distB="0" distL="0" distR="0" wp14:anchorId="109C8B9B" wp14:editId="60A477A6">
            <wp:extent cx="342900" cy="361950"/>
            <wp:effectExtent l="0" t="0" r="0" b="0"/>
            <wp:docPr id="131" name="Picture 131" descr="Pric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ricing icon"/>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FE7029" w:rsidRPr="006A2F04">
        <w:rPr>
          <w:noProof/>
        </w:rPr>
        <w:drawing>
          <wp:inline distT="0" distB="0" distL="0" distR="0" wp14:anchorId="7A92D252" wp14:editId="6D9B7F4F">
            <wp:extent cx="341630" cy="359410"/>
            <wp:effectExtent l="0" t="0" r="1270" b="2540"/>
            <wp:docPr id="200" name="Picture 200"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630" cy="359410"/>
                    </a:xfrm>
                    <a:prstGeom prst="rect">
                      <a:avLst/>
                    </a:prstGeom>
                  </pic:spPr>
                </pic:pic>
              </a:graphicData>
            </a:graphic>
          </wp:inline>
        </w:drawing>
      </w:r>
      <w:r w:rsidRPr="006A2F04">
        <w:rPr>
          <w:noProof/>
        </w:rPr>
        <w:drawing>
          <wp:inline distT="0" distB="0" distL="0" distR="0" wp14:anchorId="3F402660" wp14:editId="1B0D1A01">
            <wp:extent cx="342900" cy="361950"/>
            <wp:effectExtent l="0" t="0" r="0" b="0"/>
            <wp:docPr id="133" name="Picture 133" descr="Radio/TV broadcas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adio/TV broadcasting ic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56AD9458" w14:textId="51A76542" w:rsidR="00286D6B" w:rsidRPr="00B53F89" w:rsidRDefault="00286D6B" w:rsidP="00D33B10">
      <w:pPr>
        <w:pStyle w:val="Heading1"/>
        <w:keepNext w:val="0"/>
        <w:pageBreakBefore w:val="0"/>
      </w:pPr>
      <w:bookmarkStart w:id="552" w:name="_Toc31892858"/>
      <w:bookmarkStart w:id="553" w:name="_Toc36207473"/>
      <w:bookmarkStart w:id="554" w:name="_Toc38987250"/>
      <w:r w:rsidRPr="00B53F89">
        <w:t>Pricing</w:t>
      </w:r>
      <w:bookmarkEnd w:id="546"/>
      <w:bookmarkEnd w:id="547"/>
      <w:bookmarkEnd w:id="548"/>
      <w:bookmarkEnd w:id="549"/>
      <w:bookmarkEnd w:id="550"/>
      <w:bookmarkEnd w:id="551"/>
      <w:bookmarkEnd w:id="552"/>
      <w:bookmarkEnd w:id="553"/>
      <w:bookmarkEnd w:id="554"/>
    </w:p>
    <w:p w14:paraId="5C20D0F4" w14:textId="78FC7AB7" w:rsidR="0058733B" w:rsidRPr="00B53F89" w:rsidRDefault="00B340C4" w:rsidP="00D33B10">
      <w:pPr>
        <w:pStyle w:val="Heading2"/>
        <w:keepNext w:val="0"/>
      </w:pPr>
      <w:bookmarkStart w:id="555" w:name="_Toc36207474"/>
      <w:bookmarkStart w:id="556" w:name="_Toc38987251"/>
      <w:r>
        <w:t>Recent developments</w:t>
      </w:r>
      <w:bookmarkEnd w:id="555"/>
      <w:bookmarkEnd w:id="556"/>
    </w:p>
    <w:p w14:paraId="7F9DE599" w14:textId="6EC96059" w:rsidR="0058733B" w:rsidRPr="00B53F89" w:rsidRDefault="0058733B" w:rsidP="00D33B10">
      <w:pPr>
        <w:pStyle w:val="Heading3"/>
        <w:keepNext w:val="0"/>
      </w:pPr>
      <w:bookmarkStart w:id="557" w:name="_Toc510104991"/>
      <w:bookmarkStart w:id="558" w:name="_Toc510105788"/>
      <w:bookmarkStart w:id="559" w:name="_Toc510795122"/>
      <w:bookmarkStart w:id="560" w:name="_Toc511716324"/>
      <w:bookmarkStart w:id="561" w:name="_Toc511719135"/>
      <w:bookmarkStart w:id="562" w:name="_Toc522794128"/>
      <w:bookmarkStart w:id="563" w:name="_Toc31892861"/>
      <w:bookmarkStart w:id="564" w:name="_Toc36207475"/>
      <w:bookmarkStart w:id="565" w:name="_Toc38987252"/>
      <w:r w:rsidRPr="00B53F89">
        <w:t>Apparatus licence taxes</w:t>
      </w:r>
      <w:bookmarkEnd w:id="557"/>
      <w:bookmarkEnd w:id="558"/>
      <w:bookmarkEnd w:id="559"/>
      <w:bookmarkEnd w:id="560"/>
      <w:bookmarkEnd w:id="561"/>
      <w:bookmarkEnd w:id="562"/>
      <w:bookmarkEnd w:id="563"/>
      <w:bookmarkEnd w:id="564"/>
      <w:bookmarkEnd w:id="565"/>
    </w:p>
    <w:p w14:paraId="1AF9402E" w14:textId="236AF2E7" w:rsidR="00F07591" w:rsidRPr="00243170" w:rsidRDefault="00F07591" w:rsidP="00F07591">
      <w:r w:rsidRPr="00AE31ED">
        <w:t>In Q1 2020</w:t>
      </w:r>
      <w:r w:rsidR="0046779D" w:rsidRPr="00AE31ED">
        <w:t>,</w:t>
      </w:r>
      <w:r w:rsidRPr="00AE31ED">
        <w:t xml:space="preserve"> </w:t>
      </w:r>
      <w:r w:rsidR="00FE05EF">
        <w:t>we</w:t>
      </w:r>
      <w:r w:rsidRPr="00AE31ED">
        <w:t xml:space="preserve"> </w:t>
      </w:r>
      <w:r w:rsidR="00FE05EF">
        <w:t xml:space="preserve">made </w:t>
      </w:r>
      <w:r w:rsidRPr="00AE31ED">
        <w:t xml:space="preserve">adjustments to apparatus licence taxes to update </w:t>
      </w:r>
      <w:r w:rsidR="00FE05EF">
        <w:t>them</w:t>
      </w:r>
      <w:r w:rsidR="00FE05EF" w:rsidRPr="00AE31ED">
        <w:t xml:space="preserve"> </w:t>
      </w:r>
      <w:r w:rsidRPr="00AE31ED">
        <w:t xml:space="preserve">for inflation, </w:t>
      </w:r>
      <w:r w:rsidR="00CA3054" w:rsidRPr="00AE31ED">
        <w:t>including remov</w:t>
      </w:r>
      <w:r w:rsidR="00FE05EF">
        <w:t>ing</w:t>
      </w:r>
      <w:r w:rsidR="00CA3054" w:rsidRPr="00AE31ED" w:rsidDel="00FE05EF">
        <w:t xml:space="preserve"> </w:t>
      </w:r>
      <w:r w:rsidR="00CA3054" w:rsidRPr="00AE31ED">
        <w:t>the freeze on taxes for fixed service below 960 MHz in remote density areas and</w:t>
      </w:r>
      <w:r w:rsidR="00286D6B" w:rsidRPr="00AE31ED">
        <w:t xml:space="preserve"> </w:t>
      </w:r>
      <w:r w:rsidR="000F764A" w:rsidRPr="00AE31ED">
        <w:t>extend</w:t>
      </w:r>
      <w:r w:rsidR="00FE05EF">
        <w:t>ing</w:t>
      </w:r>
      <w:r w:rsidR="000F764A" w:rsidRPr="00AE31ED">
        <w:t xml:space="preserve"> the frequency range upon which the taxes for PMTS Class B licences in the 3.5 GHz band applie</w:t>
      </w:r>
      <w:r w:rsidRPr="00AE31ED">
        <w:t>d</w:t>
      </w:r>
      <w:r w:rsidR="00B636E4">
        <w:t>,</w:t>
      </w:r>
      <w:r w:rsidR="000F764A" w:rsidRPr="00AE31ED">
        <w:t xml:space="preserve"> to support the defrag process in the 3400 MHz to 3575 M</w:t>
      </w:r>
      <w:r w:rsidR="00CA3054" w:rsidRPr="00AE31ED">
        <w:t>H</w:t>
      </w:r>
      <w:r w:rsidR="000F764A" w:rsidRPr="00AE31ED">
        <w:t>z range</w:t>
      </w:r>
      <w:r w:rsidR="00CA3054" w:rsidRPr="00AE31ED">
        <w:t xml:space="preserve">. In addition, new taxes for space licences were introduced to </w:t>
      </w:r>
      <w:r w:rsidRPr="00AE31ED">
        <w:t xml:space="preserve">complement </w:t>
      </w:r>
      <w:r w:rsidR="00CA3054" w:rsidRPr="00AE31ED">
        <w:t>the use of the 10.7</w:t>
      </w:r>
      <w:r w:rsidR="00B636E4">
        <w:t>–</w:t>
      </w:r>
      <w:r w:rsidR="00CA3054" w:rsidRPr="00AE31ED">
        <w:t>11.7 GHz, 18.2</w:t>
      </w:r>
      <w:r w:rsidR="00B636E4">
        <w:t>–</w:t>
      </w:r>
      <w:r w:rsidR="00CA3054" w:rsidRPr="00AE31ED">
        <w:t>18.8 GHz and 19.3</w:t>
      </w:r>
      <w:r w:rsidR="00B636E4">
        <w:t>–</w:t>
      </w:r>
      <w:r w:rsidR="00CA3054" w:rsidRPr="00AE31ED">
        <w:t>19.7 GHz bands by uncoordinated, unprotected earth station receivers. As these services will not result in any spectrum denial</w:t>
      </w:r>
      <w:r w:rsidRPr="00AE31ED">
        <w:t>,</w:t>
      </w:r>
      <w:r w:rsidR="00CA3054" w:rsidRPr="00AE31ED">
        <w:t xml:space="preserve"> the taxes for these bands were amended to the minimum annual tax. </w:t>
      </w:r>
      <w:r w:rsidRPr="00AE31ED">
        <w:t xml:space="preserve">Some minor consequential changes were also made to confirm that the low power discount applied to </w:t>
      </w:r>
      <w:r w:rsidR="00243170" w:rsidRPr="00AE31ED">
        <w:t>scientific assigned licence taxes.</w:t>
      </w:r>
      <w:r w:rsidR="0046779D" w:rsidRPr="00AE31ED">
        <w:t xml:space="preserve"> </w:t>
      </w:r>
      <w:r w:rsidR="00286D6B" w:rsidRPr="00AE31ED">
        <w:t>The adjustments</w:t>
      </w:r>
      <w:r w:rsidR="00060315" w:rsidRPr="00AE31ED">
        <w:t xml:space="preserve"> c</w:t>
      </w:r>
      <w:r w:rsidR="00DB2964" w:rsidRPr="00AE31ED">
        <w:t>a</w:t>
      </w:r>
      <w:r w:rsidR="00060315" w:rsidRPr="00AE31ED">
        <w:t>me</w:t>
      </w:r>
      <w:r w:rsidR="00286D6B" w:rsidRPr="00AE31ED">
        <w:t xml:space="preserve"> into effect </w:t>
      </w:r>
      <w:r w:rsidR="00C15BA7" w:rsidRPr="00AE31ED">
        <w:t>in</w:t>
      </w:r>
      <w:r w:rsidR="00286D6B" w:rsidRPr="00AE31ED">
        <w:t xml:space="preserve"> April </w:t>
      </w:r>
      <w:r w:rsidR="00067DAF" w:rsidRPr="00AE31ED">
        <w:t>2020.</w:t>
      </w:r>
    </w:p>
    <w:p w14:paraId="7B38F3E9" w14:textId="5C419555" w:rsidR="009432FD" w:rsidRPr="00B53F89" w:rsidRDefault="009432FD" w:rsidP="00D33B10">
      <w:pPr>
        <w:pStyle w:val="Heading3"/>
        <w:keepNext w:val="0"/>
      </w:pPr>
      <w:bookmarkStart w:id="566" w:name="_Commercial_broadcasting_taxes"/>
      <w:bookmarkStart w:id="567" w:name="_Toc31892862"/>
      <w:bookmarkStart w:id="568" w:name="_Toc36207476"/>
      <w:bookmarkStart w:id="569" w:name="_Toc38987253"/>
      <w:bookmarkEnd w:id="566"/>
      <w:r w:rsidRPr="00B53F89">
        <w:t>Commercial broadcasting taxes</w:t>
      </w:r>
      <w:bookmarkEnd w:id="567"/>
      <w:bookmarkEnd w:id="568"/>
      <w:bookmarkEnd w:id="569"/>
    </w:p>
    <w:p w14:paraId="2E9016A5" w14:textId="4F327C32" w:rsidR="009432FD" w:rsidRDefault="00DE6730" w:rsidP="00B636E4">
      <w:r w:rsidRPr="00B53F89">
        <w:t>In 2018</w:t>
      </w:r>
      <w:r w:rsidR="004E64E0" w:rsidRPr="00B53F89">
        <w:t>–</w:t>
      </w:r>
      <w:r w:rsidRPr="00B53F89">
        <w:t xml:space="preserve">19, </w:t>
      </w:r>
      <w:r w:rsidR="00B636E4">
        <w:t>we</w:t>
      </w:r>
      <w:r w:rsidR="009432FD" w:rsidRPr="00B53F89">
        <w:t xml:space="preserve"> </w:t>
      </w:r>
      <w:r w:rsidR="009477C8" w:rsidRPr="00B53F89">
        <w:t xml:space="preserve">commenced </w:t>
      </w:r>
      <w:r w:rsidRPr="00B53F89">
        <w:t xml:space="preserve">the assessment of </w:t>
      </w:r>
      <w:r w:rsidR="009477C8" w:rsidRPr="00B53F89">
        <w:t xml:space="preserve">the taxes </w:t>
      </w:r>
      <w:r w:rsidRPr="00B53F89">
        <w:t xml:space="preserve">due </w:t>
      </w:r>
      <w:r w:rsidR="009432FD" w:rsidRPr="00B53F89">
        <w:t xml:space="preserve">for apparatus licences associated with the transmitters used by commercial radio and television broadcasters in the </w:t>
      </w:r>
      <w:r w:rsidR="0020287F" w:rsidRPr="00B53F89">
        <w:t>b</w:t>
      </w:r>
      <w:r w:rsidR="009432FD" w:rsidRPr="00B53F89">
        <w:t xml:space="preserve">roadcasting </w:t>
      </w:r>
      <w:r w:rsidR="0020287F" w:rsidRPr="00B53F89">
        <w:t>s</w:t>
      </w:r>
      <w:r w:rsidR="009432FD" w:rsidRPr="00B53F89">
        <w:t xml:space="preserve">ervices </w:t>
      </w:r>
      <w:r w:rsidR="0020287F" w:rsidRPr="00B53F89">
        <w:t>b</w:t>
      </w:r>
      <w:r w:rsidR="009432FD" w:rsidRPr="00B53F89">
        <w:t xml:space="preserve">ands. </w:t>
      </w:r>
      <w:r w:rsidR="009477C8" w:rsidRPr="00B53F89">
        <w:t xml:space="preserve">These assessments </w:t>
      </w:r>
      <w:r w:rsidR="009432FD" w:rsidRPr="00B53F89">
        <w:t>result</w:t>
      </w:r>
      <w:r w:rsidR="00142772" w:rsidRPr="00B53F89">
        <w:t>ed</w:t>
      </w:r>
      <w:r w:rsidR="009432FD" w:rsidRPr="00B53F89">
        <w:t xml:space="preserve"> from the media reform package passed by Parliament in 2017. </w:t>
      </w:r>
    </w:p>
    <w:p w14:paraId="37330FD3" w14:textId="2FD25326" w:rsidR="0008658A" w:rsidRPr="0008658A" w:rsidRDefault="0008658A" w:rsidP="0008658A">
      <w:r w:rsidRPr="0008658A">
        <w:t>On 14 April</w:t>
      </w:r>
      <w:r w:rsidR="009F2B5C">
        <w:t>,</w:t>
      </w:r>
      <w:r w:rsidRPr="0008658A">
        <w:t xml:space="preserve"> the Minister made the </w:t>
      </w:r>
      <w:hyperlink r:id="rId116" w:history="1">
        <w:r w:rsidRPr="0008658A">
          <w:rPr>
            <w:rStyle w:val="Hyperlink"/>
          </w:rPr>
          <w:t xml:space="preserve">Commercial Broadcasting </w:t>
        </w:r>
        <w:r w:rsidR="00D22297">
          <w:rPr>
            <w:rStyle w:val="Hyperlink"/>
          </w:rPr>
          <w:t>(</w:t>
        </w:r>
        <w:r w:rsidRPr="0008658A">
          <w:rPr>
            <w:rStyle w:val="Hyperlink"/>
          </w:rPr>
          <w:t>Tax</w:t>
        </w:r>
        <w:r w:rsidR="00D22297">
          <w:rPr>
            <w:rStyle w:val="Hyperlink"/>
          </w:rPr>
          <w:t>)</w:t>
        </w:r>
        <w:r w:rsidRPr="0008658A">
          <w:rPr>
            <w:rStyle w:val="Hyperlink"/>
          </w:rPr>
          <w:t xml:space="preserve"> (Transmitter Licence Tax Rebate) Rules 2020</w:t>
        </w:r>
      </w:hyperlink>
      <w:r w:rsidRPr="0008658A">
        <w:t xml:space="preserve"> (the Rebate Rules). The Rebate Rules provide fee relief via rebates to commercial broadcasters throughout the rebate period of </w:t>
      </w:r>
      <w:r w:rsidRPr="0008658A" w:rsidDel="00B636E4">
        <w:t>14</w:t>
      </w:r>
      <w:r w:rsidR="00B636E4">
        <w:t> </w:t>
      </w:r>
      <w:r w:rsidRPr="0008658A">
        <w:t>February 2020 to 13 February 202</w:t>
      </w:r>
      <w:r w:rsidR="009F2B5C">
        <w:t>1</w:t>
      </w:r>
      <w:r w:rsidRPr="0008658A">
        <w:t xml:space="preserve">. The practical intent of the rebates is to reduce broadcasting licensees’ net transmitter licence tax liabilities to $0 for the duration of the rebate period. The majority of broadcasters will receive a 100 per cent rebate of tax imposed during the rebate period. A small number of broadcasters who receive transitional support payments under the </w:t>
      </w:r>
      <w:r w:rsidRPr="00513FDE">
        <w:rPr>
          <w:i/>
          <w:iCs/>
        </w:rPr>
        <w:t>Broadcasting Legislation Amendment (Broadcasting Reform) Act 2017</w:t>
      </w:r>
      <w:r w:rsidRPr="0008658A">
        <w:t xml:space="preserve"> will receive a rebate of an amount equivalent to the difference between the amount of tax imposed and the transitional support payment amount the licensee receives in the same financial year.</w:t>
      </w:r>
    </w:p>
    <w:p w14:paraId="47BAA261" w14:textId="131F87A1" w:rsidR="0008658A" w:rsidRPr="00B53F89" w:rsidRDefault="0008658A">
      <w:r w:rsidRPr="0008658A">
        <w:t>Throughout the rebate period</w:t>
      </w:r>
      <w:r w:rsidR="009F2B5C">
        <w:t>,</w:t>
      </w:r>
      <w:r w:rsidRPr="0008658A">
        <w:t xml:space="preserve"> </w:t>
      </w:r>
      <w:r w:rsidR="00B636E4">
        <w:t>we</w:t>
      </w:r>
      <w:r w:rsidRPr="0008658A">
        <w:t xml:space="preserve"> will continue to make assessments of commercial broadcasting taxes. However, because of the rebates, the majority of commercial broadcasters will not receive invoices for payment of taxes during the rebate period. For those commercial broadcasters receiving transition support payments, assessments </w:t>
      </w:r>
      <w:r w:rsidR="00B636E4">
        <w:t>will be</w:t>
      </w:r>
      <w:r w:rsidR="00B636E4" w:rsidRPr="0008658A">
        <w:t xml:space="preserve"> </w:t>
      </w:r>
      <w:r w:rsidRPr="0008658A">
        <w:t>made</w:t>
      </w:r>
      <w:r w:rsidR="00B636E4">
        <w:t xml:space="preserve"> and</w:t>
      </w:r>
      <w:r w:rsidRPr="0008658A">
        <w:t xml:space="preserve"> invoices for amounts up to the transitional support payment will be distributed.</w:t>
      </w:r>
    </w:p>
    <w:p w14:paraId="2EDD38BD" w14:textId="7C347B28" w:rsidR="00286D6B" w:rsidRPr="00B53F89" w:rsidRDefault="00B340C4" w:rsidP="00D33B10">
      <w:pPr>
        <w:pStyle w:val="Heading2"/>
        <w:keepNext w:val="0"/>
      </w:pPr>
      <w:bookmarkStart w:id="570" w:name="_Toc522794130"/>
      <w:bookmarkStart w:id="571" w:name="_Toc31892863"/>
      <w:bookmarkStart w:id="572" w:name="_Toc510104993"/>
      <w:bookmarkStart w:id="573" w:name="_Toc510105790"/>
      <w:bookmarkStart w:id="574" w:name="_Toc510795124"/>
      <w:bookmarkStart w:id="575" w:name="_Toc511716326"/>
      <w:bookmarkStart w:id="576" w:name="_Toc511719137"/>
      <w:bookmarkStart w:id="577" w:name="_Toc38987254"/>
      <w:bookmarkStart w:id="578" w:name="_Toc36207477"/>
      <w:r>
        <w:t>A</w:t>
      </w:r>
      <w:r w:rsidR="0020287F" w:rsidRPr="00B53F89">
        <w:t xml:space="preserve">ctivities planned for </w:t>
      </w:r>
      <w:r w:rsidR="006F15F8" w:rsidRPr="00B53F89">
        <w:t>20</w:t>
      </w:r>
      <w:r w:rsidR="006F15F8">
        <w:t>20</w:t>
      </w:r>
      <w:r w:rsidR="0020287F" w:rsidRPr="00B53F89">
        <w:t>–</w:t>
      </w:r>
      <w:bookmarkEnd w:id="570"/>
      <w:bookmarkEnd w:id="571"/>
      <w:bookmarkEnd w:id="572"/>
      <w:bookmarkEnd w:id="573"/>
      <w:bookmarkEnd w:id="574"/>
      <w:bookmarkEnd w:id="575"/>
      <w:bookmarkEnd w:id="576"/>
      <w:r w:rsidR="005D15BB" w:rsidRPr="00B53F89">
        <w:t>2</w:t>
      </w:r>
      <w:r w:rsidR="005D15BB">
        <w:t>1</w:t>
      </w:r>
      <w:bookmarkEnd w:id="577"/>
      <w:r w:rsidR="005D15BB" w:rsidRPr="00B53F89">
        <w:t xml:space="preserve"> </w:t>
      </w:r>
    </w:p>
    <w:p w14:paraId="52EC8579" w14:textId="5E121DD1" w:rsidR="00385D4D" w:rsidRPr="00B53F89" w:rsidRDefault="00385D4D" w:rsidP="00D33B10">
      <w:pPr>
        <w:pStyle w:val="Heading3"/>
        <w:keepNext w:val="0"/>
      </w:pPr>
      <w:bookmarkStart w:id="579" w:name="_Implementation_of_Government’s"/>
      <w:bookmarkStart w:id="580" w:name="_Toc31892864"/>
      <w:bookmarkStart w:id="581" w:name="_Toc36207478"/>
      <w:bookmarkStart w:id="582" w:name="_Toc38987255"/>
      <w:bookmarkEnd w:id="578"/>
      <w:bookmarkEnd w:id="579"/>
      <w:r w:rsidRPr="00B53F89">
        <w:t xml:space="preserve">Implementation of </w:t>
      </w:r>
      <w:r w:rsidR="008540E9" w:rsidRPr="00B53F89">
        <w:t>the g</w:t>
      </w:r>
      <w:r w:rsidRPr="00B53F89">
        <w:t>overnment’s Spectrum Pricing Review</w:t>
      </w:r>
      <w:bookmarkEnd w:id="580"/>
      <w:bookmarkEnd w:id="581"/>
      <w:bookmarkEnd w:id="582"/>
    </w:p>
    <w:p w14:paraId="5176E5A9" w14:textId="2E6C929A" w:rsidR="00AB57E5" w:rsidRPr="00B53F89" w:rsidRDefault="006108AA" w:rsidP="00C83864">
      <w:r w:rsidRPr="00B53F89">
        <w:rPr>
          <w:rFonts w:cs="Arial"/>
        </w:rPr>
        <w:t>Some of t</w:t>
      </w:r>
      <w:r w:rsidR="00AB57E5" w:rsidRPr="00B53F89">
        <w:rPr>
          <w:rFonts w:cs="Arial"/>
        </w:rPr>
        <w:t xml:space="preserve">he recommendations of </w:t>
      </w:r>
      <w:r w:rsidRPr="00B53F89">
        <w:t xml:space="preserve">the </w:t>
      </w:r>
      <w:r w:rsidR="008540E9" w:rsidRPr="00B53F89">
        <w:t>g</w:t>
      </w:r>
      <w:r w:rsidRPr="00B53F89">
        <w:t xml:space="preserve">overnment’s </w:t>
      </w:r>
      <w:r w:rsidR="00AB57E5" w:rsidRPr="00B53F89">
        <w:rPr>
          <w:rFonts w:cs="Arial"/>
        </w:rPr>
        <w:t>Spectrum Pricing Review anticipated a new legislative framework</w:t>
      </w:r>
      <w:r w:rsidRPr="00B53F89">
        <w:rPr>
          <w:rFonts w:cs="Arial"/>
        </w:rPr>
        <w:t xml:space="preserve"> and a single licensing framework. However</w:t>
      </w:r>
      <w:r w:rsidR="00AB57E5" w:rsidRPr="00B53F89">
        <w:rPr>
          <w:rFonts w:cs="Arial"/>
        </w:rPr>
        <w:t xml:space="preserve">, </w:t>
      </w:r>
      <w:r w:rsidR="00B636E4">
        <w:rPr>
          <w:rFonts w:cs="Arial"/>
        </w:rPr>
        <w:t>we</w:t>
      </w:r>
      <w:r w:rsidR="00AB57E5" w:rsidRPr="00B53F89">
        <w:rPr>
          <w:rFonts w:cs="Arial"/>
        </w:rPr>
        <w:t xml:space="preserve"> consider that </w:t>
      </w:r>
      <w:r w:rsidR="00CD553F" w:rsidRPr="00B53F89">
        <w:rPr>
          <w:rFonts w:cs="Arial"/>
        </w:rPr>
        <w:t xml:space="preserve">much of </w:t>
      </w:r>
      <w:r w:rsidR="00AB57E5" w:rsidRPr="00B53F89">
        <w:rPr>
          <w:rFonts w:cs="Arial"/>
        </w:rPr>
        <w:t xml:space="preserve">the policy intent </w:t>
      </w:r>
      <w:r w:rsidRPr="00B53F89">
        <w:rPr>
          <w:rFonts w:cs="Arial"/>
        </w:rPr>
        <w:t xml:space="preserve">of the recommendations </w:t>
      </w:r>
      <w:r w:rsidR="00AB57E5" w:rsidRPr="00B53F89">
        <w:rPr>
          <w:rFonts w:cs="Arial"/>
        </w:rPr>
        <w:t xml:space="preserve">can also be implemented under existing legislation, and later transitioned to new </w:t>
      </w:r>
      <w:r w:rsidR="00B31EC3" w:rsidRPr="00B53F89">
        <w:rPr>
          <w:rFonts w:cs="Arial"/>
        </w:rPr>
        <w:t>legislative arrangements if required</w:t>
      </w:r>
      <w:r w:rsidRPr="00B53F89">
        <w:rPr>
          <w:rFonts w:cs="Arial"/>
        </w:rPr>
        <w:t>.</w:t>
      </w:r>
    </w:p>
    <w:p w14:paraId="1B689763" w14:textId="19817EC2" w:rsidR="00110E5C" w:rsidRPr="00B53F89" w:rsidRDefault="00110E5C" w:rsidP="00513FDE">
      <w:pPr>
        <w:pStyle w:val="Paragraphbeforelist"/>
      </w:pPr>
      <w:r w:rsidRPr="00B53F89">
        <w:lastRenderedPageBreak/>
        <w:t xml:space="preserve">To implement </w:t>
      </w:r>
      <w:r w:rsidR="006108AA" w:rsidRPr="00B53F89">
        <w:t xml:space="preserve">the </w:t>
      </w:r>
      <w:r w:rsidRPr="00B53F89">
        <w:t xml:space="preserve">recommendations of Spectrum Pricing Review, the ACMA </w:t>
      </w:r>
      <w:r w:rsidR="006F15F8">
        <w:t xml:space="preserve">is undertaking three </w:t>
      </w:r>
      <w:r w:rsidRPr="00B53F89">
        <w:t>substantive programs of work:</w:t>
      </w:r>
    </w:p>
    <w:p w14:paraId="16847B85" w14:textId="2CDB2D30" w:rsidR="00110E5C" w:rsidRPr="00B53F89" w:rsidRDefault="00110E5C" w:rsidP="00513FDE">
      <w:pPr>
        <w:pStyle w:val="Bulletlevel1"/>
      </w:pPr>
      <w:r w:rsidRPr="00B53F89">
        <w:t xml:space="preserve">further identify bands to transition from administratively set charges to competitive market-based allocation in </w:t>
      </w:r>
      <w:r w:rsidR="00B636E4">
        <w:t>our</w:t>
      </w:r>
      <w:r w:rsidR="00B636E4" w:rsidRPr="00B53F89">
        <w:t xml:space="preserve"> </w:t>
      </w:r>
      <w:r w:rsidRPr="00B53F89">
        <w:t>annual work program</w:t>
      </w:r>
      <w:r w:rsidR="00FF7E28" w:rsidRPr="00B53F89">
        <w:t xml:space="preserve"> </w:t>
      </w:r>
      <w:r w:rsidRPr="00B53F89">
        <w:t>(recommendation 4)</w:t>
      </w:r>
      <w:r w:rsidR="00066B73" w:rsidRPr="00B53F89">
        <w:t xml:space="preserve">. For more information on timing of these initiatives, see the </w:t>
      </w:r>
      <w:r w:rsidR="00066B73" w:rsidRPr="00513FDE">
        <w:rPr>
          <w:i/>
          <w:iCs/>
        </w:rPr>
        <w:t xml:space="preserve">Forward </w:t>
      </w:r>
      <w:r w:rsidR="00B636E4" w:rsidRPr="00513FDE">
        <w:rPr>
          <w:i/>
          <w:iCs/>
        </w:rPr>
        <w:t>a</w:t>
      </w:r>
      <w:r w:rsidR="00066B73" w:rsidRPr="00513FDE">
        <w:rPr>
          <w:i/>
          <w:iCs/>
        </w:rPr>
        <w:t xml:space="preserve">llocation </w:t>
      </w:r>
      <w:r w:rsidR="00B636E4" w:rsidRPr="00513FDE">
        <w:rPr>
          <w:i/>
          <w:iCs/>
        </w:rPr>
        <w:t>w</w:t>
      </w:r>
      <w:r w:rsidR="00066B73" w:rsidRPr="00513FDE">
        <w:rPr>
          <w:i/>
          <w:iCs/>
        </w:rPr>
        <w:t xml:space="preserve">ork </w:t>
      </w:r>
      <w:r w:rsidR="00B636E4" w:rsidRPr="00513FDE">
        <w:rPr>
          <w:i/>
          <w:iCs/>
        </w:rPr>
        <w:t>p</w:t>
      </w:r>
      <w:r w:rsidR="00066B73" w:rsidRPr="00513FDE">
        <w:rPr>
          <w:i/>
          <w:iCs/>
        </w:rPr>
        <w:t>lan</w:t>
      </w:r>
      <w:r w:rsidR="00066B73" w:rsidRPr="00B53F89" w:rsidDel="00B636E4">
        <w:t xml:space="preserve"> </w:t>
      </w:r>
      <w:r w:rsidR="00B636E4">
        <w:t>section</w:t>
      </w:r>
      <w:r w:rsidR="00B636E4" w:rsidRPr="00B53F89">
        <w:t xml:space="preserve"> </w:t>
      </w:r>
      <w:r w:rsidR="00066B73" w:rsidRPr="00B53F89">
        <w:t>in this FYSO.</w:t>
      </w:r>
    </w:p>
    <w:p w14:paraId="73836CE3" w14:textId="7A8DD0CD" w:rsidR="00110E5C" w:rsidRPr="00B53F89" w:rsidRDefault="00110E5C" w:rsidP="00513FDE">
      <w:pPr>
        <w:pStyle w:val="Bulletlevel1"/>
      </w:pPr>
      <w:r w:rsidRPr="00B53F89">
        <w:t>develop</w:t>
      </w:r>
      <w:r w:rsidR="007E055A" w:rsidRPr="00B53F89">
        <w:t xml:space="preserve"> and publi</w:t>
      </w:r>
      <w:r w:rsidR="00CD0046" w:rsidRPr="00B53F89">
        <w:t>sh</w:t>
      </w:r>
      <w:r w:rsidRPr="00B53F89">
        <w:t xml:space="preserve"> </w:t>
      </w:r>
      <w:r w:rsidR="00B636E4">
        <w:t>s</w:t>
      </w:r>
      <w:r w:rsidRPr="00B53F89">
        <w:t xml:space="preserve">pectrum </w:t>
      </w:r>
      <w:r w:rsidR="00B636E4">
        <w:t>p</w:t>
      </w:r>
      <w:r w:rsidRPr="00B53F89">
        <w:t xml:space="preserve">ricing </w:t>
      </w:r>
      <w:r w:rsidR="00B636E4">
        <w:t>g</w:t>
      </w:r>
      <w:r w:rsidRPr="00B53F89">
        <w:t xml:space="preserve">uidelines to provide better transparency and help licensees better understand how </w:t>
      </w:r>
      <w:r w:rsidR="00B636E4">
        <w:t>we</w:t>
      </w:r>
      <w:r w:rsidRPr="00B53F89">
        <w:t xml:space="preserve"> approach spectrum pricing (recommendation 1)</w:t>
      </w:r>
      <w:r w:rsidR="00EB7076" w:rsidRPr="00B53F89">
        <w:t xml:space="preserve">. </w:t>
      </w:r>
    </w:p>
    <w:p w14:paraId="47145CB9" w14:textId="5B425F74" w:rsidR="006F15F8" w:rsidRDefault="00110E5C" w:rsidP="00513FDE">
      <w:pPr>
        <w:pStyle w:val="Bulletlevel1last"/>
      </w:pPr>
      <w:r w:rsidRPr="00B53F89">
        <w:t xml:space="preserve">review how </w:t>
      </w:r>
      <w:r w:rsidR="00B636E4">
        <w:t>we</w:t>
      </w:r>
      <w:r w:rsidRPr="00B53F89">
        <w:t xml:space="preserve"> administratively price spectrum and the formula used to set many of the current apparatus licence taxes. There is potential to improve the administrative pricing of spectrum </w:t>
      </w:r>
      <w:r w:rsidR="00CD0046" w:rsidRPr="00B53F89">
        <w:t>to</w:t>
      </w:r>
      <w:r w:rsidRPr="00B53F89">
        <w:t xml:space="preserve"> more closely reflect market value through approaches</w:t>
      </w:r>
      <w:r w:rsidR="00990D9B" w:rsidRPr="00B53F89">
        <w:t>,</w:t>
      </w:r>
      <w:r w:rsidRPr="00B53F89">
        <w:t xml:space="preserve"> such as opportunity-cost</w:t>
      </w:r>
      <w:r w:rsidR="00CD0046" w:rsidRPr="00B53F89">
        <w:t>-</w:t>
      </w:r>
      <w:r w:rsidRPr="00B53F89">
        <w:t>based pricing (recommendations 7 and 8)</w:t>
      </w:r>
      <w:r w:rsidR="00F01781">
        <w:t xml:space="preserve"> and cost recovery initiatives</w:t>
      </w:r>
      <w:r w:rsidR="00F74C20" w:rsidRPr="00B53F89">
        <w:t>. Th</w:t>
      </w:r>
      <w:r w:rsidR="00FB4044" w:rsidRPr="00B53F89">
        <w:t>e</w:t>
      </w:r>
      <w:r w:rsidR="00F74C20" w:rsidRPr="00B53F89">
        <w:t xml:space="preserve"> </w:t>
      </w:r>
      <w:r w:rsidR="00D61EDE" w:rsidRPr="00B53F89">
        <w:t xml:space="preserve">principles guiding this review </w:t>
      </w:r>
      <w:r w:rsidR="00F74C20" w:rsidRPr="00B53F89">
        <w:t xml:space="preserve">will be part of the </w:t>
      </w:r>
      <w:r w:rsidR="00B636E4">
        <w:t>s</w:t>
      </w:r>
      <w:r w:rsidR="00F74C20" w:rsidRPr="00B53F89">
        <w:t xml:space="preserve">pectrum </w:t>
      </w:r>
      <w:r w:rsidR="00B636E4">
        <w:t>p</w:t>
      </w:r>
      <w:r w:rsidR="00F74C20" w:rsidRPr="00B53F89">
        <w:t xml:space="preserve">ricing </w:t>
      </w:r>
      <w:r w:rsidR="00B636E4">
        <w:t>g</w:t>
      </w:r>
      <w:r w:rsidR="00F74C20" w:rsidRPr="00B53F89">
        <w:t>uidelines</w:t>
      </w:r>
      <w:r w:rsidR="00901F9A" w:rsidRPr="00B53F89">
        <w:t>.</w:t>
      </w:r>
    </w:p>
    <w:p w14:paraId="6990AB85" w14:textId="2CC7FCC6" w:rsidR="00385D4D" w:rsidRPr="00B53F89" w:rsidRDefault="00B636E4" w:rsidP="00513FDE">
      <w:r>
        <w:t>We</w:t>
      </w:r>
      <w:r w:rsidR="006F15F8">
        <w:t xml:space="preserve"> commenced consultation on the</w:t>
      </w:r>
      <w:r w:rsidR="00901F9A" w:rsidRPr="00B53F89">
        <w:t xml:space="preserve"> proposed</w:t>
      </w:r>
      <w:r w:rsidR="00901F9A" w:rsidRPr="00B53F89" w:rsidDel="0046779D">
        <w:t xml:space="preserve"> </w:t>
      </w:r>
      <w:r w:rsidR="00B31EC3" w:rsidRPr="00B53F89">
        <w:t>draft</w:t>
      </w:r>
      <w:r w:rsidR="00901F9A" w:rsidRPr="00B53F89">
        <w:t xml:space="preserve"> </w:t>
      </w:r>
      <w:r w:rsidR="00066B73" w:rsidRPr="00B53F89">
        <w:t>guidelines</w:t>
      </w:r>
      <w:r w:rsidR="00901F9A" w:rsidRPr="00B53F89">
        <w:t xml:space="preserve"> and </w:t>
      </w:r>
      <w:r>
        <w:t>our</w:t>
      </w:r>
      <w:r w:rsidR="00901F9A" w:rsidRPr="00B53F89">
        <w:t xml:space="preserve"> proposed approach to implementing the Spectrum Pricing Review </w:t>
      </w:r>
      <w:bookmarkStart w:id="583" w:name="_Hlk3287758"/>
      <w:r w:rsidR="006F15F8">
        <w:t>in March 2020</w:t>
      </w:r>
      <w:r w:rsidR="00F74C20" w:rsidRPr="00B53F89">
        <w:t>.</w:t>
      </w:r>
      <w:bookmarkEnd w:id="583"/>
      <w:r w:rsidR="00D61EDE" w:rsidRPr="00B53F89">
        <w:t xml:space="preserve"> </w:t>
      </w:r>
      <w:r w:rsidR="006F15F8">
        <w:t>It is expected that in Q3 2020</w:t>
      </w:r>
      <w:r w:rsidR="00B31EC3" w:rsidRPr="00B53F89">
        <w:t xml:space="preserve">, </w:t>
      </w:r>
      <w:r>
        <w:t>we</w:t>
      </w:r>
      <w:r w:rsidR="00D61EDE" w:rsidRPr="00B53F89">
        <w:t xml:space="preserve"> will </w:t>
      </w:r>
      <w:r w:rsidR="006F15F8">
        <w:t xml:space="preserve">commence implementing a work program to consider changes to apparatus licence taxes. Part of this work program may include considering new </w:t>
      </w:r>
      <w:r w:rsidR="006F15F8" w:rsidRPr="00B53F89">
        <w:t>spectrum management cost recovery arrangements</w:t>
      </w:r>
      <w:r w:rsidR="00D61EDE" w:rsidRPr="00B53F89">
        <w:t xml:space="preserve">. </w:t>
      </w:r>
      <w:r w:rsidR="006F15F8">
        <w:t xml:space="preserve">The work program will be implemented </w:t>
      </w:r>
      <w:r w:rsidR="00385D4D" w:rsidRPr="00B53F89" w:rsidDel="006F15F8">
        <w:t>o</w:t>
      </w:r>
      <w:r w:rsidR="00385D4D" w:rsidRPr="00B53F89">
        <w:t xml:space="preserve">ver the course of </w:t>
      </w:r>
      <w:r w:rsidR="00CD7B72">
        <w:t xml:space="preserve">Q3 and Q4 </w:t>
      </w:r>
      <w:r w:rsidR="00385D4D" w:rsidRPr="00B53F89">
        <w:t>2020</w:t>
      </w:r>
      <w:r w:rsidR="000E3CE7" w:rsidRPr="00B53F89">
        <w:t xml:space="preserve"> and 2021</w:t>
      </w:r>
      <w:r w:rsidR="00385D4D" w:rsidRPr="00B53F89">
        <w:t xml:space="preserve">. </w:t>
      </w:r>
      <w:bookmarkStart w:id="584" w:name="_Hlk1405093"/>
      <w:bookmarkStart w:id="585" w:name="_Hlk16243830"/>
    </w:p>
    <w:p w14:paraId="79E9DA4C" w14:textId="1DE323D2" w:rsidR="00110E5C" w:rsidRPr="00B53F89" w:rsidRDefault="00110E5C" w:rsidP="00D33B10">
      <w:pPr>
        <w:pStyle w:val="Heading3"/>
        <w:keepNext w:val="0"/>
      </w:pPr>
      <w:bookmarkStart w:id="586" w:name="_Toc31892865"/>
      <w:bookmarkStart w:id="587" w:name="_Toc36207479"/>
      <w:bookmarkStart w:id="588" w:name="_Toc38987256"/>
      <w:bookmarkEnd w:id="584"/>
      <w:bookmarkEnd w:id="585"/>
      <w:r w:rsidRPr="00B53F89">
        <w:t>Commercial broadcast</w:t>
      </w:r>
      <w:r w:rsidR="00943FF9" w:rsidRPr="00B53F89">
        <w:t>ing</w:t>
      </w:r>
      <w:r w:rsidRPr="00B53F89">
        <w:t xml:space="preserve"> taxes</w:t>
      </w:r>
      <w:bookmarkEnd w:id="586"/>
      <w:bookmarkEnd w:id="587"/>
      <w:bookmarkEnd w:id="588"/>
    </w:p>
    <w:p w14:paraId="77D6700A" w14:textId="24B3FB7E" w:rsidR="00F342D2" w:rsidRPr="00B53F89" w:rsidRDefault="00B636E4">
      <w:r>
        <w:t>We</w:t>
      </w:r>
      <w:r w:rsidR="0094669F" w:rsidRPr="00B53F89">
        <w:t xml:space="preserve"> </w:t>
      </w:r>
      <w:r w:rsidR="009477C8" w:rsidRPr="00B53F89">
        <w:t xml:space="preserve">will continue assessing commercial broadcast taxes </w:t>
      </w:r>
      <w:r w:rsidR="00362799" w:rsidRPr="00B53F89">
        <w:t>on an ongoing basis</w:t>
      </w:r>
      <w:r>
        <w:t>,</w:t>
      </w:r>
      <w:r w:rsidR="00362799" w:rsidRPr="00B53F89">
        <w:t xml:space="preserve"> as apparatus licences associated with a commercial broadcast service</w:t>
      </w:r>
      <w:r w:rsidR="000E3CE7" w:rsidRPr="00B53F89">
        <w:t>s</w:t>
      </w:r>
      <w:r w:rsidR="00362799" w:rsidRPr="00B53F89">
        <w:t xml:space="preserve"> pass </w:t>
      </w:r>
      <w:r w:rsidR="005A09C8" w:rsidRPr="00B53F89">
        <w:t>their</w:t>
      </w:r>
      <w:r w:rsidR="00362799" w:rsidRPr="00B53F89">
        <w:t xml:space="preserve"> anniversary date</w:t>
      </w:r>
      <w:r w:rsidR="005A09C8" w:rsidRPr="00B53F89">
        <w:t>s</w:t>
      </w:r>
      <w:r w:rsidR="00F342D2" w:rsidRPr="00B53F89">
        <w:t>.</w:t>
      </w:r>
      <w:r w:rsidR="007E08F4" w:rsidRPr="00B53F89">
        <w:t xml:space="preserve"> To assist with planning of payments of tax assessments, early in Q3 20</w:t>
      </w:r>
      <w:r w:rsidR="006F15F8">
        <w:t>20</w:t>
      </w:r>
      <w:r>
        <w:t xml:space="preserve">, we </w:t>
      </w:r>
      <w:r w:rsidR="006F15F8">
        <w:t xml:space="preserve">will </w:t>
      </w:r>
      <w:r w:rsidR="007E08F4" w:rsidRPr="00B53F89">
        <w:t>provide all commercial broadcasters with estimates of their tax assessments for the financial year</w:t>
      </w:r>
      <w:r w:rsidR="00CC2196">
        <w:t>, and information on how the rebate will apply for the rebate period.</w:t>
      </w:r>
    </w:p>
    <w:p w14:paraId="7895377A" w14:textId="1D665040" w:rsidR="00F342D2" w:rsidRPr="00B53F89" w:rsidRDefault="00F342D2">
      <w:r w:rsidRPr="00B53F89">
        <w:t>After 30 June 2019, the ACMA must conduct a review of</w:t>
      </w:r>
      <w:r w:rsidR="00943FF9" w:rsidRPr="00B53F89">
        <w:t xml:space="preserve"> matters relating to</w:t>
      </w:r>
      <w:r w:rsidRPr="00B53F89">
        <w:t xml:space="preserve"> the </w:t>
      </w:r>
      <w:hyperlink r:id="rId117" w:history="1">
        <w:r w:rsidRPr="00B53F89">
          <w:rPr>
            <w:rStyle w:val="Hyperlink"/>
            <w:i/>
          </w:rPr>
          <w:t>Commercial Broadcasting (Tax) Act 2017</w:t>
        </w:r>
      </w:hyperlink>
      <w:r w:rsidRPr="00B53F89">
        <w:rPr>
          <w:i/>
        </w:rPr>
        <w:t>.</w:t>
      </w:r>
      <w:r w:rsidRPr="00B53F89">
        <w:t xml:space="preserve"> </w:t>
      </w:r>
      <w:bookmarkStart w:id="589" w:name="_Hlk2682401"/>
      <w:bookmarkStart w:id="590" w:name="_Hlk16243927"/>
      <w:r w:rsidR="007E08F4" w:rsidRPr="00B53F89">
        <w:t>The scope of the review is being considered</w:t>
      </w:r>
      <w:r w:rsidR="00B636E4">
        <w:t xml:space="preserve"> and we</w:t>
      </w:r>
      <w:r w:rsidR="007E08F4" w:rsidRPr="00B53F89">
        <w:t xml:space="preserve"> expect to </w:t>
      </w:r>
      <w:r w:rsidRPr="00B53F89">
        <w:t xml:space="preserve">make announcements </w:t>
      </w:r>
      <w:r w:rsidR="00A713EB" w:rsidRPr="00B53F89">
        <w:t xml:space="preserve">in </w:t>
      </w:r>
      <w:r w:rsidR="00F01781" w:rsidRPr="00D265A5">
        <w:t>Q3</w:t>
      </w:r>
      <w:r w:rsidR="00A713EB" w:rsidRPr="00D265A5">
        <w:t xml:space="preserve"> 20</w:t>
      </w:r>
      <w:r w:rsidR="006F15F8" w:rsidRPr="00D265A5">
        <w:t>20</w:t>
      </w:r>
      <w:r w:rsidRPr="00B53F89">
        <w:t>.</w:t>
      </w:r>
      <w:r w:rsidR="00362799" w:rsidRPr="00B53F89">
        <w:t xml:space="preserve"> </w:t>
      </w:r>
      <w:bookmarkEnd w:id="589"/>
      <w:bookmarkEnd w:id="590"/>
    </w:p>
    <w:p w14:paraId="0F93EBF6" w14:textId="77777777" w:rsidR="000A0667" w:rsidRDefault="000A0667" w:rsidP="006C29E6">
      <w:pPr>
        <w:pStyle w:val="Heading3"/>
        <w:keepNext w:val="0"/>
      </w:pPr>
      <w:bookmarkStart w:id="591" w:name="_Toc36207480"/>
      <w:bookmarkStart w:id="592" w:name="_Toc38987257"/>
      <w:bookmarkStart w:id="593" w:name="_Toc31892866"/>
      <w:r>
        <w:t>N</w:t>
      </w:r>
      <w:r w:rsidRPr="000353BE">
        <w:t>ew EME levy arrangements.</w:t>
      </w:r>
      <w:bookmarkEnd w:id="591"/>
      <w:bookmarkEnd w:id="592"/>
      <w:r w:rsidRPr="000353BE">
        <w:t xml:space="preserve"> </w:t>
      </w:r>
    </w:p>
    <w:p w14:paraId="68348073" w14:textId="2927D987" w:rsidR="000A0667" w:rsidRPr="000A0667" w:rsidRDefault="000E3023" w:rsidP="00717CE2">
      <w:r>
        <w:t>If the</w:t>
      </w:r>
      <w:r w:rsidR="000A0667" w:rsidRPr="00825B70">
        <w:t xml:space="preserve"> Minister direct</w:t>
      </w:r>
      <w:r>
        <w:t>s</w:t>
      </w:r>
      <w:r w:rsidR="000A0667" w:rsidRPr="00825B70">
        <w:t xml:space="preserve"> the ACMA </w:t>
      </w:r>
      <w:r w:rsidR="00D60261">
        <w:t>to</w:t>
      </w:r>
      <w:r w:rsidR="00D60261" w:rsidRPr="00825B70">
        <w:t xml:space="preserve"> </w:t>
      </w:r>
      <w:r w:rsidR="000A0667" w:rsidRPr="00825B70">
        <w:t>implement new taxation arrangements so that industry can contribute to the funding of EME research</w:t>
      </w:r>
      <w:r w:rsidR="00B02262">
        <w:t xml:space="preserve">, </w:t>
      </w:r>
      <w:r w:rsidR="00D60261">
        <w:t>we</w:t>
      </w:r>
      <w:r w:rsidR="000A0667" w:rsidRPr="00825B70">
        <w:t xml:space="preserve"> expect to consult on the tax arrangements in </w:t>
      </w:r>
      <w:r w:rsidR="000A0667" w:rsidRPr="00A15C44">
        <w:t>Q2</w:t>
      </w:r>
      <w:r w:rsidR="000A0667" w:rsidRPr="00825B70">
        <w:t xml:space="preserve"> and Q3 2020.</w:t>
      </w:r>
    </w:p>
    <w:p w14:paraId="05A2765C" w14:textId="04E0A84C" w:rsidR="00385D4D" w:rsidRPr="00B53F89" w:rsidRDefault="00385D4D" w:rsidP="006C29E6">
      <w:pPr>
        <w:pStyle w:val="Heading3"/>
        <w:keepNext w:val="0"/>
      </w:pPr>
      <w:bookmarkStart w:id="594" w:name="_Toc36207481"/>
      <w:bookmarkStart w:id="595" w:name="_Toc38987258"/>
      <w:r w:rsidRPr="00B53F89">
        <w:t>Other pricing updates</w:t>
      </w:r>
      <w:bookmarkEnd w:id="593"/>
      <w:bookmarkEnd w:id="594"/>
      <w:bookmarkEnd w:id="595"/>
    </w:p>
    <w:p w14:paraId="72899938" w14:textId="3D091C26" w:rsidR="00D3495C" w:rsidRPr="00B53F89" w:rsidRDefault="00D60261">
      <w:r>
        <w:t>We</w:t>
      </w:r>
      <w:r w:rsidR="00E41300" w:rsidRPr="00B53F89">
        <w:t xml:space="preserve"> will continue to </w:t>
      </w:r>
      <w:r w:rsidR="00E30A83" w:rsidRPr="00B53F89">
        <w:t xml:space="preserve">consider </w:t>
      </w:r>
      <w:r w:rsidR="00E41300" w:rsidRPr="00B53F89">
        <w:t xml:space="preserve">changes to the apparatus licence tax regime to account for </w:t>
      </w:r>
      <w:r w:rsidR="0069057D" w:rsidRPr="00B53F89">
        <w:t xml:space="preserve">routine </w:t>
      </w:r>
      <w:r w:rsidR="00E41300" w:rsidRPr="00B53F89">
        <w:t xml:space="preserve">matters including adjusting taxes for </w:t>
      </w:r>
      <w:r w:rsidR="00E41300" w:rsidRPr="00B53F89" w:rsidDel="00243182">
        <w:t>inflation.</w:t>
      </w:r>
      <w:r w:rsidR="006C6342" w:rsidRPr="00B53F89" w:rsidDel="00243182">
        <w:t xml:space="preserve"> </w:t>
      </w:r>
      <w:r>
        <w:t>We are also</w:t>
      </w:r>
      <w:r w:rsidR="00717CE2">
        <w:t xml:space="preserve"> seeking feedback as part of the implementation of the Spectrum Pricing Review on alternatives to adjusting taxes for inflation.</w:t>
      </w:r>
    </w:p>
    <w:p w14:paraId="3952E714" w14:textId="01D30807" w:rsidR="00624407" w:rsidRPr="00B53F89" w:rsidRDefault="00624407" w:rsidP="00CF66CF">
      <w:pPr>
        <w:pageBreakBefore/>
        <w:spacing w:after="60"/>
      </w:pPr>
      <w:bookmarkStart w:id="596" w:name="_Toc510104994"/>
      <w:bookmarkStart w:id="597" w:name="_Toc510105791"/>
      <w:bookmarkStart w:id="598" w:name="_Toc510795125"/>
      <w:bookmarkStart w:id="599" w:name="_Toc511716327"/>
      <w:bookmarkStart w:id="600" w:name="_Toc511719138"/>
      <w:bookmarkStart w:id="601" w:name="_Toc522794131"/>
      <w:r w:rsidRPr="006A2F04">
        <w:rPr>
          <w:noProof/>
        </w:rPr>
        <w:lastRenderedPageBreak/>
        <w:drawing>
          <wp:inline distT="0" distB="0" distL="0" distR="0" wp14:anchorId="7F3942C6" wp14:editId="52C3A72E">
            <wp:extent cx="342900" cy="361950"/>
            <wp:effectExtent l="0" t="0" r="0" b="0"/>
            <wp:docPr id="134" name="Picture 134" descr="Wireless broadb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ireless broadband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6A2F04">
        <w:rPr>
          <w:noProof/>
        </w:rPr>
        <w:drawing>
          <wp:inline distT="0" distB="0" distL="0" distR="0" wp14:anchorId="17E79584" wp14:editId="2A5F9970">
            <wp:extent cx="342900" cy="361950"/>
            <wp:effectExtent l="0" t="0" r="0" b="0"/>
            <wp:docPr id="135" name="Picture 135" descr="Class licens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ass licensing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1567FC23" w14:textId="60265334" w:rsidR="00286D6B" w:rsidRPr="00B53F89" w:rsidRDefault="00286D6B" w:rsidP="00CF66CF">
      <w:pPr>
        <w:pStyle w:val="Heading1"/>
        <w:pageBreakBefore w:val="0"/>
      </w:pPr>
      <w:bookmarkStart w:id="602" w:name="_Toc31892867"/>
      <w:bookmarkStart w:id="603" w:name="_Toc36207482"/>
      <w:bookmarkStart w:id="604" w:name="_Toc38987259"/>
      <w:r w:rsidRPr="00B53F89">
        <w:t>Compliance and enforcement</w:t>
      </w:r>
      <w:bookmarkEnd w:id="596"/>
      <w:bookmarkEnd w:id="597"/>
      <w:bookmarkEnd w:id="598"/>
      <w:bookmarkEnd w:id="599"/>
      <w:bookmarkEnd w:id="600"/>
      <w:bookmarkEnd w:id="601"/>
      <w:bookmarkEnd w:id="602"/>
      <w:bookmarkEnd w:id="603"/>
      <w:bookmarkEnd w:id="604"/>
    </w:p>
    <w:p w14:paraId="4ABA363A" w14:textId="35BDE576" w:rsidR="001F307F" w:rsidRPr="00B53F89" w:rsidRDefault="00CE3083" w:rsidP="006C29E6">
      <w:pPr>
        <w:pStyle w:val="Heading2"/>
        <w:keepNext w:val="0"/>
      </w:pPr>
      <w:bookmarkStart w:id="605" w:name="_Toc511716328"/>
      <w:bookmarkStart w:id="606" w:name="_Toc511719139"/>
      <w:bookmarkStart w:id="607" w:name="_Toc522794132"/>
      <w:bookmarkStart w:id="608" w:name="_Toc31892868"/>
      <w:bookmarkStart w:id="609" w:name="_Toc36207483"/>
      <w:bookmarkStart w:id="610" w:name="_Toc38987260"/>
      <w:bookmarkStart w:id="611" w:name="_Toc510104995"/>
      <w:bookmarkStart w:id="612" w:name="_Toc510105792"/>
      <w:bookmarkStart w:id="613" w:name="_Toc510795126"/>
      <w:r w:rsidRPr="00B53F89">
        <w:t>C</w:t>
      </w:r>
      <w:r w:rsidR="001F307F" w:rsidRPr="00B53F89">
        <w:t xml:space="preserve">ompliance </w:t>
      </w:r>
      <w:r w:rsidRPr="00B53F89">
        <w:t>priorities</w:t>
      </w:r>
      <w:bookmarkEnd w:id="605"/>
      <w:bookmarkEnd w:id="606"/>
      <w:bookmarkEnd w:id="607"/>
      <w:bookmarkEnd w:id="608"/>
      <w:bookmarkEnd w:id="609"/>
      <w:bookmarkEnd w:id="610"/>
    </w:p>
    <w:p w14:paraId="222EBEB6" w14:textId="435D618D" w:rsidR="00E467E4" w:rsidRDefault="00D60261" w:rsidP="0063734A">
      <w:r>
        <w:t>Our</w:t>
      </w:r>
      <w:r w:rsidR="00E467E4">
        <w:t xml:space="preserve"> compliance priorities aim to systematically identify and address high-risk </w:t>
      </w:r>
      <w:r w:rsidR="00595B34">
        <w:t xml:space="preserve">compliance issues or issues of greatest concern to the community or industry, by maximising </w:t>
      </w:r>
      <w:r w:rsidR="00F72A72">
        <w:t xml:space="preserve">our </w:t>
      </w:r>
      <w:r w:rsidR="00595B34">
        <w:t xml:space="preserve">regulatory reach in a strategic and resource-efficient manner. </w:t>
      </w:r>
      <w:r w:rsidR="00FF147C">
        <w:t xml:space="preserve">In </w:t>
      </w:r>
      <w:r w:rsidR="00FF147C" w:rsidRPr="00B53F89">
        <w:t>20</w:t>
      </w:r>
      <w:r w:rsidR="00FF147C">
        <w:t>19</w:t>
      </w:r>
      <w:r w:rsidR="00FF147C" w:rsidRPr="00B53F89">
        <w:t>–2</w:t>
      </w:r>
      <w:r w:rsidR="00FF147C">
        <w:t>0</w:t>
      </w:r>
      <w:r w:rsidR="00FF147C" w:rsidRPr="00B53F89">
        <w:t xml:space="preserve">, </w:t>
      </w:r>
      <w:r w:rsidR="00F72A72">
        <w:t>we</w:t>
      </w:r>
      <w:r w:rsidR="00FF147C" w:rsidRPr="00B53F89">
        <w:t xml:space="preserve"> </w:t>
      </w:r>
      <w:r w:rsidR="00FF147C">
        <w:t>adopted</w:t>
      </w:r>
      <w:r w:rsidR="00FF147C" w:rsidRPr="00B53F89">
        <w:t xml:space="preserve"> a whole-of-agency approach to setting priorities to guide </w:t>
      </w:r>
      <w:r w:rsidR="00F72A72">
        <w:t>our</w:t>
      </w:r>
      <w:r w:rsidR="00F72A72" w:rsidRPr="00B53F89">
        <w:t xml:space="preserve"> </w:t>
      </w:r>
      <w:r w:rsidR="00FF147C" w:rsidRPr="00B53F89">
        <w:t>compliance and enforcement activities.</w:t>
      </w:r>
    </w:p>
    <w:p w14:paraId="79D20B6D" w14:textId="7EA97D78" w:rsidR="006B6F6E" w:rsidRPr="00B53F89" w:rsidRDefault="00B340C4" w:rsidP="006C29E6">
      <w:pPr>
        <w:pStyle w:val="Heading2"/>
        <w:keepNext w:val="0"/>
      </w:pPr>
      <w:bookmarkStart w:id="614" w:name="_Toc36207484"/>
      <w:bookmarkStart w:id="615" w:name="_Toc38987261"/>
      <w:r>
        <w:t>Recent developments</w:t>
      </w:r>
      <w:bookmarkEnd w:id="611"/>
      <w:bookmarkEnd w:id="612"/>
      <w:bookmarkEnd w:id="613"/>
      <w:bookmarkEnd w:id="614"/>
      <w:bookmarkEnd w:id="615"/>
    </w:p>
    <w:p w14:paraId="677C14BE" w14:textId="6617AE89" w:rsidR="004F7193" w:rsidRDefault="004F7193" w:rsidP="006C29E6">
      <w:pPr>
        <w:pStyle w:val="Heading3"/>
        <w:keepNext w:val="0"/>
      </w:pPr>
      <w:bookmarkStart w:id="616" w:name="_Toc36207485"/>
      <w:bookmarkStart w:id="617" w:name="_Toc38987262"/>
      <w:bookmarkStart w:id="618" w:name="_Toc31892870"/>
      <w:r>
        <w:t xml:space="preserve">Audit of small cell </w:t>
      </w:r>
      <w:r w:rsidR="00737F97">
        <w:t>base stations</w:t>
      </w:r>
      <w:bookmarkEnd w:id="616"/>
      <w:bookmarkEnd w:id="617"/>
      <w:r w:rsidR="00737F97">
        <w:t xml:space="preserve"> </w:t>
      </w:r>
    </w:p>
    <w:p w14:paraId="48B508B3" w14:textId="60BC401D" w:rsidR="00D420AD" w:rsidRDefault="00737F97" w:rsidP="00513FDE">
      <w:pPr>
        <w:pStyle w:val="Paragraphbeforelist"/>
      </w:pPr>
      <w:r w:rsidRPr="00B53F89">
        <w:t xml:space="preserve">With the expected increase in small cell deployments as 5G technology is implemented, </w:t>
      </w:r>
      <w:r w:rsidR="00F72A72">
        <w:t>we</w:t>
      </w:r>
      <w:r w:rsidRPr="00B53F89">
        <w:t xml:space="preserve"> </w:t>
      </w:r>
      <w:r w:rsidR="00D420AD">
        <w:t>undertook a</w:t>
      </w:r>
      <w:r w:rsidRPr="00B53F89">
        <w:t xml:space="preserve"> program of compliance audits </w:t>
      </w:r>
      <w:r w:rsidR="00F72A72">
        <w:t xml:space="preserve">in 2019–20 </w:t>
      </w:r>
      <w:r w:rsidR="00D420AD">
        <w:t xml:space="preserve">to test </w:t>
      </w:r>
      <w:r w:rsidR="00A1670B">
        <w:t>carrier</w:t>
      </w:r>
      <w:r w:rsidR="00D420AD">
        <w:t xml:space="preserve"> compliance with their</w:t>
      </w:r>
      <w:r w:rsidR="00A1670B">
        <w:t xml:space="preserve"> obligations under the Mobile Phone Base Station Deployment Code and the</w:t>
      </w:r>
      <w:r w:rsidR="00D420AD">
        <w:t xml:space="preserve"> EME exposure </w:t>
      </w:r>
      <w:r w:rsidR="00F72A72">
        <w:t>rules</w:t>
      </w:r>
      <w:r w:rsidR="00D420AD">
        <w:t xml:space="preserve">. </w:t>
      </w:r>
      <w:r w:rsidR="003E62F3">
        <w:t xml:space="preserve">The key components </w:t>
      </w:r>
      <w:r w:rsidR="00F72A72">
        <w:t xml:space="preserve">of </w:t>
      </w:r>
      <w:r w:rsidR="003E62F3">
        <w:t xml:space="preserve">this compliance program </w:t>
      </w:r>
      <w:r w:rsidR="00C42DD8">
        <w:t>were</w:t>
      </w:r>
      <w:r w:rsidR="003E62F3">
        <w:t>:</w:t>
      </w:r>
      <w:r w:rsidRPr="00B53F89">
        <w:t xml:space="preserve"> </w:t>
      </w:r>
    </w:p>
    <w:p w14:paraId="79BF313E" w14:textId="65EA63EA" w:rsidR="00862900" w:rsidRPr="00D277F3" w:rsidRDefault="0041766B" w:rsidP="00513FDE">
      <w:pPr>
        <w:pStyle w:val="Bulletlevel1"/>
      </w:pPr>
      <w:r>
        <w:t>c</w:t>
      </w:r>
      <w:r w:rsidR="00862900" w:rsidRPr="00D277F3">
        <w:t xml:space="preserve">ompliance audits to </w:t>
      </w:r>
      <w:r w:rsidR="00F72A72">
        <w:t>gauge</w:t>
      </w:r>
      <w:r w:rsidR="00F72A72" w:rsidRPr="00D277F3">
        <w:t xml:space="preserve"> </w:t>
      </w:r>
      <w:r w:rsidR="00862900" w:rsidRPr="00D277F3">
        <w:t>carrier’s compliance with their obligations under C564:</w:t>
      </w:r>
      <w:r w:rsidR="00F72A72">
        <w:t xml:space="preserve"> </w:t>
      </w:r>
      <w:r w:rsidR="00862900" w:rsidRPr="00D277F3">
        <w:t>Mobile Phone Base Station Deployment</w:t>
      </w:r>
    </w:p>
    <w:p w14:paraId="4D2B9585" w14:textId="7742CBCA" w:rsidR="003E62F3" w:rsidRPr="0016197A" w:rsidRDefault="0041766B" w:rsidP="00513FDE">
      <w:pPr>
        <w:pStyle w:val="Bulletlevel1"/>
      </w:pPr>
      <w:r>
        <w:t>c</w:t>
      </w:r>
      <w:r w:rsidR="00A12FE8" w:rsidRPr="00D277F3">
        <w:t>ompliance r</w:t>
      </w:r>
      <w:r w:rsidR="003E62F3" w:rsidRPr="00D277F3">
        <w:t>ecord</w:t>
      </w:r>
      <w:r w:rsidR="003E62F3" w:rsidRPr="00D277F3" w:rsidDel="00F72A72">
        <w:t>s</w:t>
      </w:r>
      <w:r w:rsidR="003E62F3" w:rsidRPr="00D277F3">
        <w:t xml:space="preserve"> audits </w:t>
      </w:r>
      <w:r w:rsidR="00862900" w:rsidRPr="00D277F3">
        <w:t xml:space="preserve">to ascertain </w:t>
      </w:r>
      <w:r w:rsidR="00A12FE8" w:rsidRPr="00D277F3">
        <w:t>carrier’s</w:t>
      </w:r>
      <w:r w:rsidR="003E62F3" w:rsidRPr="00D277F3" w:rsidDel="00A12FE8">
        <w:t xml:space="preserve"> </w:t>
      </w:r>
      <w:r w:rsidR="003E62F3" w:rsidRPr="00D277F3">
        <w:t>compliance with</w:t>
      </w:r>
      <w:r w:rsidR="003E62F3" w:rsidRPr="00F118C1">
        <w:t xml:space="preserve"> </w:t>
      </w:r>
      <w:r w:rsidR="00A12FE8" w:rsidRPr="00F118C1">
        <w:t xml:space="preserve">the EME </w:t>
      </w:r>
      <w:r w:rsidR="003E62F3" w:rsidRPr="00F118C1">
        <w:t xml:space="preserve">licence conditions </w:t>
      </w:r>
      <w:r w:rsidR="00A12FE8" w:rsidRPr="000B3F46">
        <w:t xml:space="preserve">and </w:t>
      </w:r>
      <w:r w:rsidR="00CF7A9D" w:rsidRPr="0018795D">
        <w:t>EME</w:t>
      </w:r>
      <w:r w:rsidR="003E62F3" w:rsidRPr="0018795D">
        <w:t xml:space="preserve"> human exposure limits</w:t>
      </w:r>
      <w:r w:rsidR="003E62F3" w:rsidRPr="00614982">
        <w:t xml:space="preserve"> </w:t>
      </w:r>
      <w:r w:rsidR="00A12FE8" w:rsidRPr="00614982">
        <w:t>set by</w:t>
      </w:r>
      <w:r w:rsidR="006F012B">
        <w:t xml:space="preserve"> the ACMA, incorporating</w:t>
      </w:r>
      <w:r w:rsidR="00F72A72">
        <w:t xml:space="preserve"> the</w:t>
      </w:r>
      <w:r w:rsidR="006F012B">
        <w:t xml:space="preserve"> </w:t>
      </w:r>
      <w:r w:rsidR="006F012B" w:rsidRPr="00614982">
        <w:t>ARPANSA</w:t>
      </w:r>
      <w:r w:rsidR="006F012B">
        <w:t xml:space="preserve"> standard</w:t>
      </w:r>
    </w:p>
    <w:p w14:paraId="4A50547D" w14:textId="5B9649E0" w:rsidR="007C38DB" w:rsidRPr="00D277F3" w:rsidRDefault="0041766B" w:rsidP="00513FDE">
      <w:pPr>
        <w:pStyle w:val="Bulletlevel1last"/>
      </w:pPr>
      <w:r>
        <w:t>a</w:t>
      </w:r>
      <w:r w:rsidR="007C38DB">
        <w:t xml:space="preserve"> </w:t>
      </w:r>
      <w:r w:rsidR="007C38DB" w:rsidRPr="00D277F3">
        <w:t xml:space="preserve">spot measurement program </w:t>
      </w:r>
      <w:r w:rsidR="00862900" w:rsidRPr="00D277F3">
        <w:t xml:space="preserve">to </w:t>
      </w:r>
      <w:r w:rsidR="00F72A72">
        <w:t>assess</w:t>
      </w:r>
      <w:r w:rsidR="00F72A72" w:rsidRPr="00D277F3">
        <w:t xml:space="preserve"> </w:t>
      </w:r>
      <w:r w:rsidR="007C38DB" w:rsidRPr="00D277F3">
        <w:t xml:space="preserve">EME exposure levels near randomly selected small cell sites nationally. </w:t>
      </w:r>
    </w:p>
    <w:p w14:paraId="2128479E" w14:textId="2F9D03EC" w:rsidR="00737F97" w:rsidRPr="004F7193" w:rsidRDefault="00862900" w:rsidP="00D420AD">
      <w:r>
        <w:t xml:space="preserve">The </w:t>
      </w:r>
      <w:r w:rsidR="00C60ADF">
        <w:t>findings from</w:t>
      </w:r>
      <w:r w:rsidR="007C38DB">
        <w:t xml:space="preserve"> the </w:t>
      </w:r>
      <w:r>
        <w:t xml:space="preserve">compliance records </w:t>
      </w:r>
      <w:r w:rsidR="007C38DB">
        <w:t>audit</w:t>
      </w:r>
      <w:r>
        <w:t xml:space="preserve">s and EME measurement program </w:t>
      </w:r>
      <w:r w:rsidR="00C60ADF">
        <w:t xml:space="preserve">are expected to </w:t>
      </w:r>
      <w:r w:rsidR="007C38DB">
        <w:t xml:space="preserve">be </w:t>
      </w:r>
      <w:r>
        <w:t xml:space="preserve">published in </w:t>
      </w:r>
      <w:r w:rsidR="00E17616" w:rsidRPr="00E17616">
        <w:t>Q2</w:t>
      </w:r>
      <w:r w:rsidR="00F72A72">
        <w:t>–</w:t>
      </w:r>
      <w:r w:rsidR="00E17616" w:rsidRPr="00E17616">
        <w:t>3</w:t>
      </w:r>
      <w:r w:rsidRPr="00E17616">
        <w:t xml:space="preserve"> </w:t>
      </w:r>
      <w:r w:rsidR="00C60ADF" w:rsidRPr="00E17616">
        <w:t>2020</w:t>
      </w:r>
      <w:r w:rsidR="00C60ADF">
        <w:t>.</w:t>
      </w:r>
    </w:p>
    <w:p w14:paraId="0EE1D940" w14:textId="21919A65" w:rsidR="00DD7452" w:rsidRPr="00B53F89" w:rsidRDefault="00DD7452" w:rsidP="006C29E6">
      <w:pPr>
        <w:pStyle w:val="Heading3"/>
        <w:keepNext w:val="0"/>
      </w:pPr>
      <w:bookmarkStart w:id="619" w:name="_Toc36207486"/>
      <w:bookmarkStart w:id="620" w:name="_Toc38987263"/>
      <w:r w:rsidRPr="00B53F89">
        <w:t>Licen</w:t>
      </w:r>
      <w:r w:rsidR="008D4926" w:rsidRPr="00B53F89">
        <w:t>s</w:t>
      </w:r>
      <w:r w:rsidRPr="00B53F89">
        <w:t xml:space="preserve">ing </w:t>
      </w:r>
      <w:r w:rsidR="00E73975" w:rsidRPr="00B53F89">
        <w:t>i</w:t>
      </w:r>
      <w:r w:rsidRPr="00B53F89">
        <w:t>ntegrity</w:t>
      </w:r>
      <w:bookmarkEnd w:id="618"/>
      <w:bookmarkEnd w:id="619"/>
      <w:bookmarkEnd w:id="620"/>
      <w:r w:rsidRPr="00B53F89">
        <w:t xml:space="preserve"> </w:t>
      </w:r>
    </w:p>
    <w:p w14:paraId="139E65B7" w14:textId="207166FA" w:rsidR="00DD7452" w:rsidRPr="00B53F89" w:rsidRDefault="00862900" w:rsidP="002E3C54">
      <w:r>
        <w:rPr>
          <w:rFonts w:cs="Arial"/>
        </w:rPr>
        <w:t>In 2019</w:t>
      </w:r>
      <w:r w:rsidR="00F72A72">
        <w:t>–</w:t>
      </w:r>
      <w:r>
        <w:rPr>
          <w:rFonts w:cs="Arial"/>
        </w:rPr>
        <w:t xml:space="preserve">20, </w:t>
      </w:r>
      <w:r w:rsidR="00F72A72">
        <w:rPr>
          <w:rFonts w:cs="Arial"/>
        </w:rPr>
        <w:t>our</w:t>
      </w:r>
      <w:r w:rsidR="00737F97" w:rsidRPr="00B53F89">
        <w:rPr>
          <w:rFonts w:cs="Arial"/>
        </w:rPr>
        <w:t xml:space="preserve"> </w:t>
      </w:r>
      <w:r w:rsidR="0041766B">
        <w:rPr>
          <w:rFonts w:cs="Arial"/>
        </w:rPr>
        <w:t>l</w:t>
      </w:r>
      <w:r w:rsidR="00737F97" w:rsidRPr="00B53F89">
        <w:rPr>
          <w:rFonts w:cs="Arial"/>
        </w:rPr>
        <w:t xml:space="preserve">icensing </w:t>
      </w:r>
      <w:r w:rsidR="0041766B">
        <w:rPr>
          <w:rFonts w:cs="Arial"/>
        </w:rPr>
        <w:t>i</w:t>
      </w:r>
      <w:r w:rsidR="00737F97" w:rsidRPr="00B53F89">
        <w:rPr>
          <w:rFonts w:cs="Arial"/>
        </w:rPr>
        <w:t xml:space="preserve">ntegrity </w:t>
      </w:r>
      <w:r w:rsidR="00C60ADF">
        <w:rPr>
          <w:rFonts w:cs="Arial"/>
        </w:rPr>
        <w:t>co</w:t>
      </w:r>
      <w:r w:rsidR="003A61F9">
        <w:rPr>
          <w:rFonts w:cs="Arial"/>
        </w:rPr>
        <w:t>mpliance program f</w:t>
      </w:r>
      <w:r w:rsidR="00737F97" w:rsidRPr="00B53F89">
        <w:rPr>
          <w:rFonts w:cs="Arial"/>
        </w:rPr>
        <w:t>ocus</w:t>
      </w:r>
      <w:r w:rsidR="003A61F9">
        <w:rPr>
          <w:rFonts w:cs="Arial"/>
        </w:rPr>
        <w:t>ed</w:t>
      </w:r>
      <w:r w:rsidR="00737F97" w:rsidRPr="00B53F89">
        <w:rPr>
          <w:rFonts w:cs="Arial"/>
        </w:rPr>
        <w:t xml:space="preserve"> on services operating unlawfully in the 5.6 GHz band and the operation of non-compliant devices in the 400 MHz band.</w:t>
      </w:r>
      <w:r w:rsidR="003A61F9">
        <w:rPr>
          <w:rFonts w:cs="Arial"/>
        </w:rPr>
        <w:t xml:space="preserve"> This</w:t>
      </w:r>
      <w:r w:rsidR="003A61F9" w:rsidDel="00C42DD8">
        <w:rPr>
          <w:rFonts w:cs="Arial"/>
        </w:rPr>
        <w:t xml:space="preserve"> </w:t>
      </w:r>
      <w:r w:rsidR="00C42DD8">
        <w:rPr>
          <w:rFonts w:cs="Arial"/>
        </w:rPr>
        <w:t>complemented</w:t>
      </w:r>
      <w:r w:rsidR="003A61F9">
        <w:rPr>
          <w:rFonts w:cs="Arial"/>
        </w:rPr>
        <w:t xml:space="preserve"> </w:t>
      </w:r>
      <w:r w:rsidR="00F72A72">
        <w:rPr>
          <w:rFonts w:cs="Arial"/>
        </w:rPr>
        <w:t xml:space="preserve">previous </w:t>
      </w:r>
      <w:r w:rsidR="003A61F9">
        <w:rPr>
          <w:rFonts w:cs="Arial"/>
        </w:rPr>
        <w:t xml:space="preserve">work </w:t>
      </w:r>
      <w:r w:rsidR="00DD7452" w:rsidRPr="00B53F89">
        <w:t xml:space="preserve">relating to non-renewal of lapsed apparatus licences and the importation </w:t>
      </w:r>
      <w:r w:rsidR="00A1670B">
        <w:t xml:space="preserve">and operation </w:t>
      </w:r>
      <w:r w:rsidR="00DD7452" w:rsidRPr="00B53F89">
        <w:t xml:space="preserve">of </w:t>
      </w:r>
      <w:r w:rsidR="00A1670B">
        <w:t>unlicensed,</w:t>
      </w:r>
      <w:r w:rsidR="00DD7452" w:rsidRPr="00B53F89">
        <w:t xml:space="preserve"> pre-programmed two-way radios</w:t>
      </w:r>
      <w:r w:rsidR="00DD7452" w:rsidRPr="00B53F89" w:rsidDel="00A1670B">
        <w:t xml:space="preserve"> </w:t>
      </w:r>
      <w:r w:rsidR="00A549A1" w:rsidRPr="00B53F89">
        <w:t>operating in land mobile spectrum.</w:t>
      </w:r>
    </w:p>
    <w:p w14:paraId="56005685" w14:textId="2C0B1EF2" w:rsidR="00614686" w:rsidRPr="00B53F89" w:rsidRDefault="00614686" w:rsidP="002E3C54">
      <w:r w:rsidRPr="00B53F89">
        <w:t xml:space="preserve">Spectrum </w:t>
      </w:r>
      <w:r w:rsidR="00461BD6" w:rsidRPr="00B53F89">
        <w:t>m</w:t>
      </w:r>
      <w:r w:rsidRPr="00B53F89">
        <w:t xml:space="preserve">onitoring </w:t>
      </w:r>
      <w:r w:rsidR="00401A0E">
        <w:t xml:space="preserve">and </w:t>
      </w:r>
      <w:r w:rsidR="006F012B">
        <w:t>on-the-</w:t>
      </w:r>
      <w:r w:rsidR="00401A0E">
        <w:t xml:space="preserve">ground intelligence gathering to identify non-compliance </w:t>
      </w:r>
      <w:r w:rsidR="00461BD6" w:rsidRPr="00B53F89">
        <w:t xml:space="preserve">in the 5.6 GHz band has been </w:t>
      </w:r>
      <w:r w:rsidR="00401A0E">
        <w:t>conducted</w:t>
      </w:r>
      <w:r w:rsidR="00461BD6" w:rsidRPr="00B53F89">
        <w:t xml:space="preserve"> in </w:t>
      </w:r>
      <w:r w:rsidR="00301B46" w:rsidRPr="00B53F89">
        <w:t>w</w:t>
      </w:r>
      <w:r w:rsidR="00461BD6" w:rsidRPr="00B53F89">
        <w:t>estern Victoria, South Australia</w:t>
      </w:r>
      <w:r w:rsidR="00401A0E">
        <w:t xml:space="preserve">, </w:t>
      </w:r>
      <w:r w:rsidR="0041766B">
        <w:t>n</w:t>
      </w:r>
      <w:r w:rsidR="00401A0E">
        <w:t>orthern New South Wales</w:t>
      </w:r>
      <w:r w:rsidR="00461BD6" w:rsidRPr="00B53F89">
        <w:t xml:space="preserve"> and the Sunshine </w:t>
      </w:r>
      <w:r w:rsidR="002368B2" w:rsidRPr="00B53F89">
        <w:t>C</w:t>
      </w:r>
      <w:r w:rsidR="00461BD6" w:rsidRPr="00B53F89">
        <w:t>oast in Queensland</w:t>
      </w:r>
      <w:r w:rsidR="00757389" w:rsidRPr="00B53F89">
        <w:t>.</w:t>
      </w:r>
    </w:p>
    <w:p w14:paraId="1528B471" w14:textId="4557FFD8" w:rsidR="00757389" w:rsidRPr="00B53F89" w:rsidRDefault="005A465E" w:rsidP="002E3C54">
      <w:r>
        <w:t>A</w:t>
      </w:r>
      <w:r w:rsidR="00757389" w:rsidRPr="00B53F89">
        <w:t xml:space="preserve"> 400 MHz monitoring program </w:t>
      </w:r>
      <w:r w:rsidR="00ED6027" w:rsidRPr="00B53F89">
        <w:t xml:space="preserve">has been </w:t>
      </w:r>
      <w:r>
        <w:t>conducted</w:t>
      </w:r>
      <w:r w:rsidR="00757389" w:rsidRPr="00B53F89">
        <w:t xml:space="preserve"> in </w:t>
      </w:r>
      <w:r>
        <w:t>Adelaide,</w:t>
      </w:r>
      <w:r w:rsidR="00A1670B">
        <w:t xml:space="preserve"> </w:t>
      </w:r>
      <w:r>
        <w:t>Perth,</w:t>
      </w:r>
      <w:r w:rsidRPr="00B53F89">
        <w:t xml:space="preserve"> </w:t>
      </w:r>
      <w:r w:rsidR="00757389" w:rsidRPr="00B53F89">
        <w:t>Brisbane, Sydney and Melbourne</w:t>
      </w:r>
      <w:bookmarkStart w:id="621" w:name="_Hlk16176637"/>
      <w:r w:rsidR="00F72A72">
        <w:t>, and</w:t>
      </w:r>
      <w:r w:rsidR="00757389" w:rsidRPr="00B53F89">
        <w:t xml:space="preserve"> results </w:t>
      </w:r>
      <w:r w:rsidR="0041766B">
        <w:t>are</w:t>
      </w:r>
      <w:r w:rsidR="00ED6027" w:rsidRPr="00B53F89">
        <w:t xml:space="preserve"> being </w:t>
      </w:r>
      <w:r w:rsidR="00757389" w:rsidRPr="00B53F89">
        <w:t xml:space="preserve">used </w:t>
      </w:r>
      <w:r w:rsidR="00ED6027" w:rsidRPr="00B53F89">
        <w:t xml:space="preserve">to </w:t>
      </w:r>
      <w:r>
        <w:t>inform</w:t>
      </w:r>
      <w:r w:rsidR="00757389" w:rsidRPr="00B53F89">
        <w:t xml:space="preserve"> </w:t>
      </w:r>
      <w:r w:rsidR="00A1670B">
        <w:t>future</w:t>
      </w:r>
      <w:r w:rsidR="00757389" w:rsidRPr="00B53F89">
        <w:t xml:space="preserve"> compliance activities</w:t>
      </w:r>
      <w:r w:rsidR="00ED6027" w:rsidRPr="00B53F89">
        <w:t>.</w:t>
      </w:r>
      <w:bookmarkEnd w:id="621"/>
    </w:p>
    <w:p w14:paraId="5E4A1708" w14:textId="5D919BF4" w:rsidR="00737F97" w:rsidRPr="00D420AD" w:rsidRDefault="00737F97" w:rsidP="00513FDE">
      <w:pPr>
        <w:pStyle w:val="Heading3"/>
      </w:pPr>
      <w:bookmarkStart w:id="622" w:name="_Toc38987264"/>
      <w:r w:rsidRPr="00D420AD">
        <w:t xml:space="preserve">Solar </w:t>
      </w:r>
      <w:r w:rsidR="00F72A72">
        <w:t>i</w:t>
      </w:r>
      <w:r w:rsidRPr="00D420AD">
        <w:t>nverter</w:t>
      </w:r>
      <w:r w:rsidR="00D420AD">
        <w:t xml:space="preserve"> </w:t>
      </w:r>
      <w:r w:rsidR="00F72A72">
        <w:t>s</w:t>
      </w:r>
      <w:r w:rsidR="00D420AD">
        <w:t>uppliers</w:t>
      </w:r>
      <w:bookmarkEnd w:id="622"/>
    </w:p>
    <w:p w14:paraId="685EF389" w14:textId="6ECCA721" w:rsidR="00A84037" w:rsidRDefault="00F72A72" w:rsidP="00513FDE">
      <w:pPr>
        <w:pStyle w:val="Paragraphbeforelist"/>
      </w:pPr>
      <w:r>
        <w:t>We have</w:t>
      </w:r>
      <w:r w:rsidR="00C42DD8">
        <w:t xml:space="preserve"> been </w:t>
      </w:r>
      <w:r w:rsidR="00737F97" w:rsidRPr="00484E48">
        <w:t>audit</w:t>
      </w:r>
      <w:r w:rsidR="005A465E" w:rsidRPr="00484E48">
        <w:t>ing</w:t>
      </w:r>
      <w:r w:rsidR="00737F97" w:rsidRPr="00B53F89">
        <w:t xml:space="preserve"> suppliers of solar inverters for compliance with </w:t>
      </w:r>
      <w:r w:rsidR="00A84037">
        <w:t xml:space="preserve">the </w:t>
      </w:r>
      <w:r w:rsidR="005A465E">
        <w:t>labelling rule</w:t>
      </w:r>
      <w:r w:rsidR="00A84037">
        <w:t>s. This includes</w:t>
      </w:r>
      <w:r>
        <w:t>:</w:t>
      </w:r>
      <w:r w:rsidR="00A84037">
        <w:t xml:space="preserve"> </w:t>
      </w:r>
    </w:p>
    <w:p w14:paraId="04FE7F4C" w14:textId="23117E68" w:rsidR="00737F97" w:rsidRPr="00D277F3" w:rsidRDefault="00A84037" w:rsidP="00513FDE">
      <w:pPr>
        <w:pStyle w:val="Bulletlevel1"/>
      </w:pPr>
      <w:r w:rsidRPr="00D277F3">
        <w:t>confirming the products meet the</w:t>
      </w:r>
      <w:r w:rsidR="00737F97" w:rsidRPr="00D277F3">
        <w:t xml:space="preserve"> requirements of </w:t>
      </w:r>
      <w:r w:rsidR="00F72A72">
        <w:t>our</w:t>
      </w:r>
      <w:r w:rsidR="00737F97" w:rsidRPr="00D277F3">
        <w:t xml:space="preserve"> electromagnetic compatibility arrangements</w:t>
      </w:r>
      <w:r w:rsidR="00F72A72">
        <w:t xml:space="preserve">, </w:t>
      </w:r>
      <w:r w:rsidR="00737F97" w:rsidRPr="00D277F3">
        <w:t xml:space="preserve">to minimise the risk of interference </w:t>
      </w:r>
    </w:p>
    <w:p w14:paraId="5DE58707" w14:textId="24467583" w:rsidR="00A84037" w:rsidRPr="0016197A" w:rsidRDefault="00B32491" w:rsidP="00513FDE">
      <w:pPr>
        <w:pStyle w:val="Bulletlevel1last"/>
      </w:pPr>
      <w:r>
        <w:lastRenderedPageBreak/>
        <w:t>confirming</w:t>
      </w:r>
      <w:r w:rsidR="00F72A72" w:rsidRPr="00614982">
        <w:t xml:space="preserve"> compliance with EME emission requirements and </w:t>
      </w:r>
      <w:r w:rsidR="00F72A72" w:rsidRPr="0016197A">
        <w:t>technical performance limits</w:t>
      </w:r>
      <w:r w:rsidR="00F72A72" w:rsidRPr="00F118C1">
        <w:t xml:space="preserve"> </w:t>
      </w:r>
      <w:r w:rsidR="00A84037" w:rsidRPr="00F118C1">
        <w:t xml:space="preserve">for devices that contain radiocommunications and/or </w:t>
      </w:r>
      <w:r w:rsidR="00A84037" w:rsidRPr="000B3F46">
        <w:t>telecommunications capability (such as</w:t>
      </w:r>
      <w:r w:rsidR="00A84037" w:rsidRPr="0018795D">
        <w:t xml:space="preserve"> wi-fi capability)</w:t>
      </w:r>
      <w:r w:rsidR="00A84037" w:rsidRPr="0016197A">
        <w:t>.</w:t>
      </w:r>
    </w:p>
    <w:p w14:paraId="53126D78" w14:textId="7EDBD72B" w:rsidR="00737F97" w:rsidRPr="00B53F89" w:rsidRDefault="004E2657" w:rsidP="00D277F3">
      <w:pPr>
        <w:spacing w:line="254" w:lineRule="auto"/>
      </w:pPr>
      <w:r>
        <w:rPr>
          <w:rFonts w:cs="Arial"/>
        </w:rPr>
        <w:t xml:space="preserve">Our interest is </w:t>
      </w:r>
      <w:r w:rsidR="00B4483C">
        <w:rPr>
          <w:rFonts w:cs="Arial"/>
        </w:rPr>
        <w:t xml:space="preserve">that </w:t>
      </w:r>
      <w:r w:rsidR="00B4483C" w:rsidRPr="00B53F89">
        <w:rPr>
          <w:rFonts w:cs="Arial"/>
        </w:rPr>
        <w:t>compliant</w:t>
      </w:r>
      <w:r w:rsidR="00737F97" w:rsidRPr="00B53F89">
        <w:rPr>
          <w:rFonts w:cs="Arial"/>
        </w:rPr>
        <w:t xml:space="preserve"> product</w:t>
      </w:r>
      <w:r w:rsidR="00F72A72">
        <w:rPr>
          <w:rFonts w:cs="Arial"/>
        </w:rPr>
        <w:t>s</w:t>
      </w:r>
      <w:r w:rsidR="00737F97" w:rsidRPr="00B53F89">
        <w:rPr>
          <w:rFonts w:cs="Arial"/>
        </w:rPr>
        <w:t xml:space="preserve"> </w:t>
      </w:r>
      <w:r w:rsidR="00F72A72">
        <w:rPr>
          <w:rFonts w:cs="Arial"/>
        </w:rPr>
        <w:t>are</w:t>
      </w:r>
      <w:r w:rsidR="00F72A72" w:rsidRPr="00B53F89">
        <w:rPr>
          <w:rFonts w:cs="Arial"/>
        </w:rPr>
        <w:t xml:space="preserve"> </w:t>
      </w:r>
      <w:r w:rsidR="00737F97" w:rsidRPr="00B53F89">
        <w:rPr>
          <w:rFonts w:cs="Arial"/>
        </w:rPr>
        <w:t xml:space="preserve">supplied to the Australian market </w:t>
      </w:r>
      <w:r>
        <w:rPr>
          <w:rFonts w:cs="Arial"/>
        </w:rPr>
        <w:t xml:space="preserve">in a period </w:t>
      </w:r>
      <w:r w:rsidR="00B4483C">
        <w:rPr>
          <w:rFonts w:cs="Arial"/>
        </w:rPr>
        <w:t xml:space="preserve">where </w:t>
      </w:r>
      <w:r w:rsidR="00B4483C" w:rsidRPr="00B53F89">
        <w:rPr>
          <w:rFonts w:cs="Arial"/>
        </w:rPr>
        <w:t>solar</w:t>
      </w:r>
      <w:r w:rsidR="00737F97" w:rsidRPr="00B53F89">
        <w:rPr>
          <w:rFonts w:cs="Arial"/>
        </w:rPr>
        <w:t xml:space="preserve"> rebate schemes are being reinvigorated.</w:t>
      </w:r>
      <w:r w:rsidR="00CE2733">
        <w:rPr>
          <w:rFonts w:cs="Arial"/>
        </w:rPr>
        <w:t xml:space="preserve"> The findings are expected to be published in </w:t>
      </w:r>
      <w:r w:rsidR="00484E48" w:rsidRPr="00484E48">
        <w:rPr>
          <w:rFonts w:cs="Arial"/>
        </w:rPr>
        <w:t>Q2</w:t>
      </w:r>
      <w:r w:rsidR="00F72A72">
        <w:rPr>
          <w:rFonts w:cs="Arial"/>
        </w:rPr>
        <w:t>–</w:t>
      </w:r>
      <w:r w:rsidR="00484E48" w:rsidRPr="00484E48">
        <w:rPr>
          <w:rFonts w:cs="Arial"/>
        </w:rPr>
        <w:t>3</w:t>
      </w:r>
      <w:r w:rsidR="00CE2733" w:rsidRPr="00484E48">
        <w:rPr>
          <w:rFonts w:cs="Arial"/>
        </w:rPr>
        <w:t xml:space="preserve"> 2020</w:t>
      </w:r>
      <w:r w:rsidR="00CE2733">
        <w:rPr>
          <w:rFonts w:cs="Arial"/>
        </w:rPr>
        <w:t>.</w:t>
      </w:r>
    </w:p>
    <w:p w14:paraId="53D83BD7" w14:textId="27AE9215" w:rsidR="006B6F6E" w:rsidRPr="00B53F89" w:rsidRDefault="00B340C4" w:rsidP="00494D12">
      <w:pPr>
        <w:pStyle w:val="Heading2"/>
        <w:keepLines/>
      </w:pPr>
      <w:bookmarkStart w:id="623" w:name="_Toc522794136"/>
      <w:bookmarkStart w:id="624" w:name="_Toc31892874"/>
      <w:bookmarkStart w:id="625" w:name="_Toc36207487"/>
      <w:bookmarkStart w:id="626" w:name="_Toc38987265"/>
      <w:bookmarkStart w:id="627" w:name="_Toc510104998"/>
      <w:bookmarkStart w:id="628" w:name="_Toc510105795"/>
      <w:bookmarkStart w:id="629" w:name="_Toc510795129"/>
      <w:bookmarkStart w:id="630" w:name="_Toc511716332"/>
      <w:bookmarkStart w:id="631" w:name="_Toc511719143"/>
      <w:bookmarkStart w:id="632" w:name="_Hlk4584854"/>
      <w:r>
        <w:t>A</w:t>
      </w:r>
      <w:r w:rsidR="006B6F6E" w:rsidRPr="00B53F89">
        <w:t xml:space="preserve">ctivities planned for </w:t>
      </w:r>
      <w:r w:rsidR="006A26C9" w:rsidRPr="00B53F89">
        <w:t>20</w:t>
      </w:r>
      <w:r w:rsidR="0005522E">
        <w:t>20</w:t>
      </w:r>
      <w:r w:rsidR="006A26C9" w:rsidRPr="00B53F89">
        <w:t>–</w:t>
      </w:r>
      <w:bookmarkEnd w:id="623"/>
      <w:r w:rsidR="00B52324" w:rsidRPr="00B53F89">
        <w:t>2</w:t>
      </w:r>
      <w:r w:rsidR="0005522E">
        <w:t>1</w:t>
      </w:r>
      <w:bookmarkEnd w:id="624"/>
      <w:bookmarkEnd w:id="625"/>
      <w:bookmarkEnd w:id="626"/>
      <w:r w:rsidR="006B6F6E" w:rsidRPr="00B53F89">
        <w:t xml:space="preserve"> </w:t>
      </w:r>
      <w:bookmarkEnd w:id="627"/>
      <w:bookmarkEnd w:id="628"/>
      <w:bookmarkEnd w:id="629"/>
      <w:bookmarkEnd w:id="630"/>
      <w:bookmarkEnd w:id="631"/>
    </w:p>
    <w:p w14:paraId="6E7530D6" w14:textId="6404F5F7" w:rsidR="00625830" w:rsidRDefault="00F72A72" w:rsidP="00DB102A">
      <w:bookmarkStart w:id="633" w:name="_Toc510104999"/>
      <w:bookmarkStart w:id="634" w:name="_Toc510105796"/>
      <w:bookmarkStart w:id="635" w:name="_Toc510795130"/>
      <w:bookmarkStart w:id="636" w:name="_Toc511716333"/>
      <w:bookmarkStart w:id="637" w:name="_Toc511719144"/>
      <w:bookmarkStart w:id="638" w:name="_Toc522794137"/>
      <w:r>
        <w:t>In</w:t>
      </w:r>
      <w:r w:rsidR="00CE2733">
        <w:t xml:space="preserve"> 2020-21, there are two </w:t>
      </w:r>
      <w:r w:rsidR="00625830">
        <w:t>compliance priorities</w:t>
      </w:r>
      <w:r w:rsidR="00CE2733">
        <w:t xml:space="preserve"> identified in relation</w:t>
      </w:r>
      <w:r w:rsidR="00625830" w:rsidDel="00CE2733">
        <w:t xml:space="preserve"> </w:t>
      </w:r>
      <w:r w:rsidR="00625830">
        <w:t xml:space="preserve">to </w:t>
      </w:r>
      <w:r w:rsidR="00CE2733">
        <w:t xml:space="preserve">the ACMA’s </w:t>
      </w:r>
      <w:r w:rsidR="00625830">
        <w:t>spectrum functions</w:t>
      </w:r>
      <w:r w:rsidR="0041766B">
        <w:t>.</w:t>
      </w:r>
      <w:r w:rsidR="00625830">
        <w:t xml:space="preserve"> </w:t>
      </w:r>
    </w:p>
    <w:p w14:paraId="5DA6C06D" w14:textId="2D5D01A3" w:rsidR="00625830" w:rsidRPr="00E10BEF" w:rsidRDefault="00625830" w:rsidP="00513FDE">
      <w:pPr>
        <w:pStyle w:val="Heading3"/>
      </w:pPr>
      <w:bookmarkStart w:id="639" w:name="_Toc38987266"/>
      <w:r w:rsidRPr="00E10BEF">
        <w:t xml:space="preserve">5G EME </w:t>
      </w:r>
      <w:r w:rsidR="00F72A72">
        <w:t>c</w:t>
      </w:r>
      <w:r w:rsidRPr="00E10BEF">
        <w:t>ompliance</w:t>
      </w:r>
      <w:bookmarkEnd w:id="639"/>
    </w:p>
    <w:p w14:paraId="474008D3" w14:textId="3967995F" w:rsidR="00625830" w:rsidRDefault="00BD2FD1" w:rsidP="00625830">
      <w:pPr>
        <w:rPr>
          <w:rFonts w:cstheme="minorHAnsi"/>
          <w:szCs w:val="20"/>
        </w:rPr>
      </w:pPr>
      <w:r>
        <w:rPr>
          <w:rFonts w:cstheme="minorHAnsi"/>
          <w:szCs w:val="20"/>
        </w:rPr>
        <w:t xml:space="preserve">The planned deployment of 5G technology has raised considerable community interest in the new technology and heightened concern about potential harmful effects from EME emissions. </w:t>
      </w:r>
      <w:r w:rsidR="00625830">
        <w:rPr>
          <w:rFonts w:cstheme="minorHAnsi"/>
          <w:szCs w:val="20"/>
        </w:rPr>
        <w:t xml:space="preserve">With a more expansive 5G rollout imminent, </w:t>
      </w:r>
      <w:r w:rsidR="00F72A72">
        <w:rPr>
          <w:rFonts w:cstheme="minorHAnsi"/>
          <w:szCs w:val="20"/>
        </w:rPr>
        <w:t>we</w:t>
      </w:r>
      <w:r w:rsidR="00625830">
        <w:rPr>
          <w:rFonts w:cstheme="minorHAnsi"/>
          <w:szCs w:val="20"/>
        </w:rPr>
        <w:t xml:space="preserve"> will prioritise compliance activity to ensure compliance with EME standards and </w:t>
      </w:r>
      <w:r w:rsidR="00F72A72">
        <w:rPr>
          <w:rFonts w:cstheme="minorHAnsi"/>
          <w:szCs w:val="20"/>
        </w:rPr>
        <w:t>d</w:t>
      </w:r>
      <w:r w:rsidR="00525FE6">
        <w:rPr>
          <w:rFonts w:cstheme="minorHAnsi"/>
          <w:szCs w:val="20"/>
        </w:rPr>
        <w:t xml:space="preserve">eployment </w:t>
      </w:r>
      <w:r w:rsidR="00F72A72">
        <w:rPr>
          <w:rFonts w:cstheme="minorHAnsi"/>
          <w:szCs w:val="20"/>
        </w:rPr>
        <w:t>c</w:t>
      </w:r>
      <w:r w:rsidR="00625830">
        <w:rPr>
          <w:rFonts w:cstheme="minorHAnsi"/>
          <w:szCs w:val="20"/>
        </w:rPr>
        <w:t>ode obligations</w:t>
      </w:r>
      <w:r w:rsidR="00F72A72">
        <w:rPr>
          <w:rFonts w:cstheme="minorHAnsi"/>
          <w:szCs w:val="20"/>
        </w:rPr>
        <w:t>,</w:t>
      </w:r>
      <w:r w:rsidR="00625830">
        <w:rPr>
          <w:rFonts w:cstheme="minorHAnsi"/>
          <w:szCs w:val="20"/>
        </w:rPr>
        <w:t xml:space="preserve"> as well as the provision of accurate information on mobile phone base stations.</w:t>
      </w:r>
    </w:p>
    <w:p w14:paraId="283795ED" w14:textId="2CACE273" w:rsidR="00BD2FD1" w:rsidRDefault="00BD2FD1" w:rsidP="00BD2FD1">
      <w:pPr>
        <w:rPr>
          <w:rFonts w:cstheme="minorHAnsi"/>
          <w:szCs w:val="20"/>
        </w:rPr>
      </w:pPr>
      <w:r>
        <w:rPr>
          <w:rFonts w:cstheme="minorHAnsi"/>
          <w:szCs w:val="20"/>
        </w:rPr>
        <w:t>This program compl</w:t>
      </w:r>
      <w:r w:rsidR="00406BA4">
        <w:rPr>
          <w:rFonts w:cstheme="minorHAnsi"/>
          <w:szCs w:val="20"/>
        </w:rPr>
        <w:t>e</w:t>
      </w:r>
      <w:r>
        <w:rPr>
          <w:rFonts w:cstheme="minorHAnsi"/>
          <w:szCs w:val="20"/>
        </w:rPr>
        <w:t>ments and continues the small cell base station audit program conducted in 2019</w:t>
      </w:r>
      <w:r w:rsidR="00F72A72">
        <w:rPr>
          <w:rFonts w:cstheme="minorHAnsi"/>
          <w:szCs w:val="20"/>
        </w:rPr>
        <w:t>–</w:t>
      </w:r>
      <w:r>
        <w:rPr>
          <w:rFonts w:cstheme="minorHAnsi"/>
          <w:szCs w:val="20"/>
        </w:rPr>
        <w:t>20.</w:t>
      </w:r>
      <w:r w:rsidR="00240367">
        <w:rPr>
          <w:rFonts w:cstheme="minorHAnsi"/>
          <w:szCs w:val="20"/>
        </w:rPr>
        <w:t xml:space="preserve"> Similarly, it will </w:t>
      </w:r>
      <w:r w:rsidR="007C370C">
        <w:rPr>
          <w:rFonts w:cstheme="minorHAnsi"/>
          <w:szCs w:val="20"/>
        </w:rPr>
        <w:t>use</w:t>
      </w:r>
      <w:r w:rsidR="00240367">
        <w:rPr>
          <w:rFonts w:cstheme="minorHAnsi"/>
          <w:szCs w:val="20"/>
        </w:rPr>
        <w:t xml:space="preserve"> records audits to ascertain carrier’s compliance with </w:t>
      </w:r>
      <w:r w:rsidR="006F012B">
        <w:rPr>
          <w:rFonts w:cstheme="minorHAnsi"/>
          <w:szCs w:val="20"/>
        </w:rPr>
        <w:t xml:space="preserve">the mobile base station deployment </w:t>
      </w:r>
      <w:r w:rsidR="00240367">
        <w:rPr>
          <w:rFonts w:cstheme="minorHAnsi"/>
          <w:szCs w:val="20"/>
        </w:rPr>
        <w:t xml:space="preserve">consultation requirements and EME licence conditions, as well as an EME measurement program. </w:t>
      </w:r>
    </w:p>
    <w:p w14:paraId="6BBE2695" w14:textId="426206E5" w:rsidR="00625830" w:rsidRDefault="00625830" w:rsidP="00513FDE">
      <w:pPr>
        <w:pStyle w:val="Heading3"/>
      </w:pPr>
      <w:bookmarkStart w:id="640" w:name="_Toc38987267"/>
      <w:r>
        <w:t>Interference</w:t>
      </w:r>
      <w:bookmarkEnd w:id="640"/>
      <w:r>
        <w:t xml:space="preserve"> </w:t>
      </w:r>
    </w:p>
    <w:p w14:paraId="5362BA01" w14:textId="5205869E" w:rsidR="00625830" w:rsidRDefault="00625830" w:rsidP="006C29E6">
      <w:r>
        <w:t xml:space="preserve">A core activity for the ACMA is to manage the allocation and use of radiocommunications spectrum to minimise interference between one use of spectrum and another. </w:t>
      </w:r>
      <w:r w:rsidR="00BD2FD1">
        <w:t>In recent years</w:t>
      </w:r>
      <w:r>
        <w:t xml:space="preserve">, complaints of interference have declined as a result of advances in technology and improved methods to diagnose and resolve interference. </w:t>
      </w:r>
    </w:p>
    <w:p w14:paraId="3CD37CC5" w14:textId="7F781C5B" w:rsidR="00625830" w:rsidRDefault="007C370C" w:rsidP="00513FDE">
      <w:pPr>
        <w:pStyle w:val="Paragraphbeforelist"/>
      </w:pPr>
      <w:r>
        <w:t>We have</w:t>
      </w:r>
      <w:r w:rsidR="00625830">
        <w:t xml:space="preserve"> identified two areas often associated with complaints and risk of interference </w:t>
      </w:r>
      <w:r w:rsidR="00486CE1">
        <w:t>for particular focus</w:t>
      </w:r>
      <w:r w:rsidR="00145FA4">
        <w:t xml:space="preserve"> under the ‘Interference’ compliance priority</w:t>
      </w:r>
      <w:r>
        <w:t>:</w:t>
      </w:r>
      <w:r w:rsidR="00145FA4">
        <w:t xml:space="preserve"> </w:t>
      </w:r>
    </w:p>
    <w:p w14:paraId="186660C5" w14:textId="3DE4D34F" w:rsidR="00625830" w:rsidRPr="000B3F46" w:rsidRDefault="00625830" w:rsidP="00F118C1">
      <w:pPr>
        <w:pStyle w:val="ListBullet"/>
        <w:keepNext w:val="0"/>
        <w:keepLines w:val="0"/>
        <w:numPr>
          <w:ilvl w:val="0"/>
          <w:numId w:val="1"/>
        </w:numPr>
        <w:ind w:left="284" w:hanging="284"/>
      </w:pPr>
      <w:r w:rsidRPr="00513FDE">
        <w:rPr>
          <w:bCs/>
        </w:rPr>
        <w:t>Unlicensed mobile phone repeaters</w:t>
      </w:r>
      <w:r w:rsidRPr="007C370C">
        <w:rPr>
          <w:bCs/>
        </w:rPr>
        <w:t>:</w:t>
      </w:r>
      <w:r w:rsidRPr="00F118C1">
        <w:t xml:space="preserve"> advances in the use of licenced mobile phone repeaters have reduced the incidence of interference complaints. However, unlicensed mobile phone repeaters </w:t>
      </w:r>
      <w:r w:rsidR="007C370C">
        <w:t>(</w:t>
      </w:r>
      <w:r w:rsidRPr="00F118C1">
        <w:t>often purchased online</w:t>
      </w:r>
      <w:r w:rsidR="007C370C">
        <w:t>)</w:t>
      </w:r>
      <w:r w:rsidRPr="00F118C1">
        <w:t xml:space="preserve"> continue to result in interference of mobile networks and have been identified as a source of poor performance in mobile networks with significant inconvenience to network operators and the public. </w:t>
      </w:r>
    </w:p>
    <w:p w14:paraId="2A9B18D2" w14:textId="1059F573" w:rsidR="00625830" w:rsidRPr="00F118C1" w:rsidRDefault="00625830" w:rsidP="00F118C1">
      <w:pPr>
        <w:pStyle w:val="ListBullet"/>
        <w:keepNext w:val="0"/>
        <w:keepLines w:val="0"/>
        <w:numPr>
          <w:ilvl w:val="0"/>
          <w:numId w:val="1"/>
        </w:numPr>
        <w:ind w:left="284" w:hanging="284"/>
      </w:pPr>
      <w:r w:rsidRPr="00513FDE">
        <w:rPr>
          <w:bCs/>
        </w:rPr>
        <w:t>Construction and resources industry</w:t>
      </w:r>
      <w:r w:rsidRPr="007C370C">
        <w:rPr>
          <w:bCs/>
        </w:rPr>
        <w:t>:</w:t>
      </w:r>
      <w:r w:rsidRPr="0018795D">
        <w:t xml:space="preserve"> </w:t>
      </w:r>
      <w:r w:rsidR="007C370C">
        <w:t>we have</w:t>
      </w:r>
      <w:r w:rsidRPr="0018795D">
        <w:t xml:space="preserve"> identified the construction and resources industries as a potential area of increased</w:t>
      </w:r>
      <w:r w:rsidRPr="00614982">
        <w:t xml:space="preserve"> non-compliant activity leading to interference. Non-compliant activities in these sectors can pose major risks </w:t>
      </w:r>
      <w:r w:rsidR="00261818">
        <w:t>to</w:t>
      </w:r>
      <w:r w:rsidRPr="00F118C1">
        <w:t xml:space="preserve"> activities that rely on effective radiocommunications to mitigate OH&amp;S risks. </w:t>
      </w:r>
    </w:p>
    <w:p w14:paraId="1B13ED0F" w14:textId="77777777" w:rsidR="00625830" w:rsidRDefault="00625830" w:rsidP="00625830">
      <w:pPr>
        <w:pStyle w:val="ListParagraph"/>
        <w:ind w:left="0"/>
        <w:rPr>
          <w:rFonts w:cstheme="minorHAnsi"/>
          <w:szCs w:val="20"/>
        </w:rPr>
      </w:pPr>
    </w:p>
    <w:p w14:paraId="6F810D8F" w14:textId="729F3786" w:rsidR="00625830" w:rsidRPr="00E10BEF" w:rsidRDefault="00625830" w:rsidP="00A15C44">
      <w:pPr>
        <w:pStyle w:val="ListParagraph"/>
        <w:ind w:left="0"/>
        <w:rPr>
          <w:b/>
          <w:sz w:val="22"/>
        </w:rPr>
      </w:pPr>
      <w:r>
        <w:rPr>
          <w:rFonts w:cstheme="minorHAnsi"/>
          <w:szCs w:val="20"/>
        </w:rPr>
        <w:t xml:space="preserve">These specific </w:t>
      </w:r>
      <w:r w:rsidR="007C370C">
        <w:rPr>
          <w:rFonts w:cstheme="minorHAnsi"/>
          <w:szCs w:val="20"/>
        </w:rPr>
        <w:t>c</w:t>
      </w:r>
      <w:r>
        <w:rPr>
          <w:rFonts w:cstheme="minorHAnsi"/>
          <w:szCs w:val="20"/>
        </w:rPr>
        <w:t xml:space="preserve">ompliance </w:t>
      </w:r>
      <w:r w:rsidR="007C370C">
        <w:rPr>
          <w:rFonts w:cstheme="minorHAnsi"/>
          <w:szCs w:val="20"/>
        </w:rPr>
        <w:t>p</w:t>
      </w:r>
      <w:r>
        <w:rPr>
          <w:rFonts w:cstheme="minorHAnsi"/>
          <w:szCs w:val="20"/>
        </w:rPr>
        <w:t xml:space="preserve">riority areas will combine with the ACMA’s ongoing priorities in interference management. </w:t>
      </w:r>
    </w:p>
    <w:bookmarkEnd w:id="632"/>
    <w:p w14:paraId="4762292B" w14:textId="16098149" w:rsidR="00FE49E2" w:rsidRPr="00B53F89" w:rsidRDefault="00FE49E2" w:rsidP="00FE49E2">
      <w:pPr>
        <w:pageBreakBefore/>
        <w:spacing w:after="60"/>
      </w:pPr>
      <w:r w:rsidRPr="006A2F04">
        <w:rPr>
          <w:noProof/>
        </w:rPr>
        <w:lastRenderedPageBreak/>
        <w:drawing>
          <wp:inline distT="0" distB="0" distL="0" distR="0" wp14:anchorId="3FEF0473" wp14:editId="05B178D5">
            <wp:extent cx="342900" cy="361950"/>
            <wp:effectExtent l="0" t="0" r="0" b="0"/>
            <wp:docPr id="228" name="Picture 228" descr="International spectrum interes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ternational spectrum interests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53AF14F8" w14:textId="04753669" w:rsidR="006C29E6" w:rsidRDefault="006C29E6" w:rsidP="00FE49E2">
      <w:pPr>
        <w:pStyle w:val="Heading1"/>
        <w:pageBreakBefore w:val="0"/>
      </w:pPr>
      <w:bookmarkStart w:id="641" w:name="_Toc38987268"/>
      <w:r>
        <w:t>International engagement</w:t>
      </w:r>
      <w:bookmarkEnd w:id="641"/>
    </w:p>
    <w:p w14:paraId="2EC38ACF" w14:textId="77777777" w:rsidR="0071374F" w:rsidRPr="00B53F89" w:rsidDel="002C5B10" w:rsidRDefault="0071374F" w:rsidP="0071374F">
      <w:r w:rsidRPr="00B53F89" w:rsidDel="002C5B10">
        <w:t xml:space="preserve">The ACMA, </w:t>
      </w:r>
      <w:r w:rsidDel="002C5B10">
        <w:t>the Department</w:t>
      </w:r>
      <w:r w:rsidRPr="00B53F89" w:rsidDel="002C5B10">
        <w:t xml:space="preserve">, Australian industry and government stakeholders participate in international radiocommunications forums to promote and protect Australian interests in spectrum management, including spectrum harmonisation and international frequency coordination. </w:t>
      </w:r>
    </w:p>
    <w:p w14:paraId="1EB10250" w14:textId="0CE0A83A" w:rsidR="0071374F" w:rsidRPr="00B53F89" w:rsidDel="002C5B10" w:rsidRDefault="0071374F" w:rsidP="007C370C">
      <w:bookmarkStart w:id="642" w:name="_Hlk2352723"/>
      <w:r w:rsidRPr="00B53F89" w:rsidDel="002C5B10">
        <w:t>The peak international forum is the ITU</w:t>
      </w:r>
      <w:r w:rsidR="007C370C">
        <w:t>’s</w:t>
      </w:r>
      <w:r w:rsidRPr="00B53F89" w:rsidDel="002C5B10">
        <w:t xml:space="preserve"> WRC, which reviews and revises the RRs, the international treaty level document regarding use of the spectrum and satellite orbits</w:t>
      </w:r>
      <w:bookmarkEnd w:id="642"/>
      <w:r w:rsidRPr="00B53F89" w:rsidDel="002C5B10">
        <w:t xml:space="preserve">. </w:t>
      </w:r>
    </w:p>
    <w:p w14:paraId="2B1496A4" w14:textId="38A06A99" w:rsidR="00E56C90" w:rsidRPr="00B53F89" w:rsidRDefault="00E56C90" w:rsidP="00E56C90">
      <w:r w:rsidRPr="00B53F89">
        <w:t xml:space="preserve">The next WRC will be held </w:t>
      </w:r>
      <w:r>
        <w:t xml:space="preserve">in 2023 </w:t>
      </w:r>
      <w:r w:rsidRPr="00B53F89">
        <w:t>(WRC-</w:t>
      </w:r>
      <w:r>
        <w:t>23</w:t>
      </w:r>
      <w:r w:rsidR="003836D4" w:rsidRPr="00B53F89">
        <w:t>)</w:t>
      </w:r>
      <w:r w:rsidR="003836D4">
        <w:t xml:space="preserve"> and</w:t>
      </w:r>
      <w:r w:rsidRPr="00B53F89">
        <w:t xml:space="preserve"> will consider a large agenda concerning new frequency allocation and procedural matters</w:t>
      </w:r>
      <w:r>
        <w:t xml:space="preserve"> across a range of services. </w:t>
      </w:r>
      <w:r w:rsidR="007C370C">
        <w:t>T</w:t>
      </w:r>
      <w:r>
        <w:t>he Department</w:t>
      </w:r>
      <w:r w:rsidRPr="00B53F89">
        <w:t xml:space="preserve"> will lead the Australian preparatory processes and </w:t>
      </w:r>
      <w:r>
        <w:t xml:space="preserve">the </w:t>
      </w:r>
      <w:r w:rsidRPr="00B53F89">
        <w:t>Australian delegation to this meeting, including Asia</w:t>
      </w:r>
      <w:r w:rsidR="007C370C">
        <w:t>–</w:t>
      </w:r>
      <w:r w:rsidRPr="00B53F89">
        <w:t>Pacific region and international preparation meetings, with the ACMA providing technical expertise.</w:t>
      </w:r>
    </w:p>
    <w:p w14:paraId="4FE3E353" w14:textId="46BE72EE" w:rsidR="00E56C90" w:rsidRPr="00B53F89" w:rsidRDefault="00E56C90" w:rsidP="00E56C90">
      <w:r w:rsidRPr="00B53F89">
        <w:t xml:space="preserve">Other forums within the ITU and regionally within the Asia-Pacific Telecommunity (APT) consider issues with a technical focus that are </w:t>
      </w:r>
      <w:r>
        <w:t xml:space="preserve">also </w:t>
      </w:r>
      <w:r w:rsidRPr="00B53F89">
        <w:t>of significance to Australian spectrum management</w:t>
      </w:r>
      <w:r>
        <w:t>. These forums include</w:t>
      </w:r>
      <w:r w:rsidRPr="00B53F89">
        <w:t xml:space="preserve"> ITU-R study groups and working parties, and the APT Wireless Group (AWG). </w:t>
      </w:r>
      <w:r w:rsidR="007C370C">
        <w:t>We</w:t>
      </w:r>
      <w:r w:rsidRPr="00B53F89">
        <w:t xml:space="preserve"> manage Australian input and participation in these </w:t>
      </w:r>
      <w:r>
        <w:t>forums</w:t>
      </w:r>
      <w:r w:rsidRPr="00B53F89">
        <w:t xml:space="preserve"> in consultation with </w:t>
      </w:r>
      <w:r>
        <w:t>the Department</w:t>
      </w:r>
      <w:r w:rsidRPr="00B53F89">
        <w:t xml:space="preserve"> and industry.</w:t>
      </w:r>
      <w:r>
        <w:t xml:space="preserve"> ITU-R study groups and working parties also undertake studies relevant to WRC agenda items. </w:t>
      </w:r>
      <w:r w:rsidR="007F1017">
        <w:t>We</w:t>
      </w:r>
      <w:r>
        <w:t xml:space="preserve"> work in consultation with the Department to manage engagement in these processes. </w:t>
      </w:r>
    </w:p>
    <w:p w14:paraId="7494C782" w14:textId="63638D3F" w:rsidR="00E56C90" w:rsidRPr="00B53F89" w:rsidRDefault="007C370C" w:rsidP="00E56C90">
      <w:r>
        <w:t>We</w:t>
      </w:r>
      <w:r w:rsidR="00E56C90" w:rsidRPr="00B53F89">
        <w:t xml:space="preserve"> also undertake informal bilateral and multilateral engagement with peer regulators from around the world. This engagement is invaluable in coordinating international activities and sharing information from other spectrum managers on issues of common interest. </w:t>
      </w:r>
    </w:p>
    <w:p w14:paraId="67968DF2" w14:textId="77777777" w:rsidR="00E56C90" w:rsidRPr="00B53F89" w:rsidRDefault="00E56C90" w:rsidP="00E56C90">
      <w:pPr>
        <w:pStyle w:val="Heading2"/>
        <w:tabs>
          <w:tab w:val="num" w:pos="720"/>
        </w:tabs>
      </w:pPr>
      <w:bookmarkStart w:id="643" w:name="_Toc31892788"/>
      <w:bookmarkStart w:id="644" w:name="_Toc38987269"/>
      <w:r w:rsidRPr="00B53F89">
        <w:t>International meetings 20</w:t>
      </w:r>
      <w:r>
        <w:t>19</w:t>
      </w:r>
      <w:r w:rsidRPr="00B53F89">
        <w:t>–</w:t>
      </w:r>
      <w:r>
        <w:t>20</w:t>
      </w:r>
      <w:bookmarkEnd w:id="643"/>
      <w:bookmarkEnd w:id="644"/>
    </w:p>
    <w:p w14:paraId="76940526" w14:textId="7E6EB1FF" w:rsidR="00E56C90" w:rsidRPr="00B53F89" w:rsidRDefault="007C370C" w:rsidP="00E56C90">
      <w:bookmarkStart w:id="645" w:name="_Hlk18394144"/>
      <w:bookmarkStart w:id="646" w:name="_Hlk16254818"/>
      <w:r>
        <w:t>We</w:t>
      </w:r>
      <w:r w:rsidR="00E56C90" w:rsidRPr="00B53F89">
        <w:t xml:space="preserve"> supported </w:t>
      </w:r>
      <w:r w:rsidR="00E56C90">
        <w:t>the Department</w:t>
      </w:r>
      <w:r w:rsidR="00E56C90" w:rsidRPr="00B53F89">
        <w:t xml:space="preserve"> by providing the Deputy Head of Delegation (and other delegates with subject matter expertise) to the fifth meeting of the </w:t>
      </w:r>
      <w:r w:rsidR="00E56C90" w:rsidRPr="00B53F89">
        <w:rPr>
          <w:rFonts w:cs="Arial"/>
          <w:szCs w:val="20"/>
        </w:rPr>
        <w:t>APT Conference Preparatory Group (Asia Pacific) (</w:t>
      </w:r>
      <w:r w:rsidR="00E56C90" w:rsidRPr="00B53F89">
        <w:t>APG19</w:t>
      </w:r>
      <w:r w:rsidR="00E56C90">
        <w:t>-5</w:t>
      </w:r>
      <w:r w:rsidR="00E56C90" w:rsidRPr="00B53F89">
        <w:t>) held from 31 July</w:t>
      </w:r>
      <w:r w:rsidR="00E56C90">
        <w:t>–</w:t>
      </w:r>
      <w:r w:rsidR="00E56C90" w:rsidRPr="00B53F89">
        <w:t xml:space="preserve">6 August 2019 in Tokyo, Japan. </w:t>
      </w:r>
      <w:bookmarkEnd w:id="645"/>
      <w:bookmarkEnd w:id="646"/>
    </w:p>
    <w:p w14:paraId="27968A47" w14:textId="476D6FED" w:rsidR="00E56C90" w:rsidRPr="00B53F89" w:rsidRDefault="00E56C90" w:rsidP="00E56C90">
      <w:r w:rsidRPr="00B53F89">
        <w:t xml:space="preserve">The ACMA provided staff and the Deputy Head of Delegation </w:t>
      </w:r>
      <w:r>
        <w:t>to</w:t>
      </w:r>
      <w:r w:rsidRPr="00B53F89">
        <w:t xml:space="preserve"> </w:t>
      </w:r>
      <w:r>
        <w:t>the ITU-R Radiocommunications Assembly 2019 (RA-19), WRC-19 and the 1</w:t>
      </w:r>
      <w:r w:rsidRPr="0039311A">
        <w:rPr>
          <w:vertAlign w:val="superscript"/>
        </w:rPr>
        <w:t>st</w:t>
      </w:r>
      <w:r>
        <w:t xml:space="preserve"> Conference Preparatory Meeting for the WRC-23 cycle (CPM-23/1), which were held sequentially in Sharm-El-Sheikh, Egypt, across October and November 2019.</w:t>
      </w:r>
    </w:p>
    <w:p w14:paraId="554388DA" w14:textId="77AF7141" w:rsidR="00E56C90" w:rsidRPr="00B53F89" w:rsidRDefault="00E56C90" w:rsidP="00E56C90">
      <w:pPr>
        <w:pStyle w:val="Heading2"/>
      </w:pPr>
      <w:bookmarkStart w:id="647" w:name="_Toc31892789"/>
      <w:bookmarkStart w:id="648" w:name="_Toc38987270"/>
      <w:r w:rsidRPr="00B53F89">
        <w:t xml:space="preserve">New and ongoing activities planned for </w:t>
      </w:r>
      <w:r>
        <w:t>2020</w:t>
      </w:r>
      <w:r w:rsidR="007C370C">
        <w:t>–</w:t>
      </w:r>
      <w:r>
        <w:t>21</w:t>
      </w:r>
      <w:bookmarkEnd w:id="647"/>
      <w:bookmarkEnd w:id="648"/>
    </w:p>
    <w:p w14:paraId="1AE602D7" w14:textId="5CB58C36" w:rsidR="00E56C90" w:rsidRPr="00B53F89" w:rsidRDefault="007C370C" w:rsidP="00E56C90">
      <w:r>
        <w:t>We</w:t>
      </w:r>
      <w:r w:rsidR="00E56C90" w:rsidRPr="00B53F89">
        <w:t xml:space="preserve"> will continue to manage and provide technical expertise for Australian engagement in international spectrum management forums through the domestic and international consultative frameworks. </w:t>
      </w:r>
    </w:p>
    <w:p w14:paraId="29CA8402" w14:textId="558EE5DB" w:rsidR="003836D4" w:rsidRDefault="007C370C" w:rsidP="003836D4">
      <w:r>
        <w:t>We</w:t>
      </w:r>
      <w:r w:rsidR="00E56C90" w:rsidRPr="00B53F89">
        <w:t xml:space="preserve"> will provide input into development of Australian positions for key ITU and APT radiocommunication meetings, </w:t>
      </w:r>
      <w:r w:rsidR="003836D4">
        <w:t xml:space="preserve">including </w:t>
      </w:r>
      <w:r w:rsidR="003836D4" w:rsidRPr="003836D4">
        <w:t>ITU-R Study Group block meetings</w:t>
      </w:r>
      <w:r w:rsidR="003836D4">
        <w:t xml:space="preserve"> and the first</w:t>
      </w:r>
      <w:r w:rsidR="003836D4" w:rsidRPr="003836D4">
        <w:t xml:space="preserve"> meeting of the APT Conference Preparatory Group (Asia Pacific) for WRC-23 (APG23-1)</w:t>
      </w:r>
      <w:r w:rsidR="003836D4">
        <w:t>.</w:t>
      </w:r>
    </w:p>
    <w:p w14:paraId="1BDF0D6A" w14:textId="77777777" w:rsidR="00DF369F" w:rsidRPr="00DF369F" w:rsidRDefault="00DF369F" w:rsidP="00DF369F">
      <w:pPr>
        <w:keepNext/>
        <w:pageBreakBefore/>
        <w:widowControl w:val="0"/>
        <w:spacing w:after="360" w:line="550" w:lineRule="exact"/>
        <w:outlineLvl w:val="0"/>
        <w:rPr>
          <w:rFonts w:cs="Arial"/>
          <w:bCs/>
          <w:color w:val="323232"/>
          <w:kern w:val="32"/>
          <w:sz w:val="53"/>
          <w:szCs w:val="32"/>
        </w:rPr>
      </w:pPr>
      <w:bookmarkStart w:id="649" w:name="_Toc5025751"/>
      <w:bookmarkStart w:id="650" w:name="_Toc463351358"/>
      <w:bookmarkStart w:id="651" w:name="_Toc491854141"/>
      <w:bookmarkStart w:id="652" w:name="_Toc494115206"/>
      <w:bookmarkStart w:id="653" w:name="_Toc509581840"/>
      <w:bookmarkStart w:id="654" w:name="_Toc509585156"/>
      <w:bookmarkStart w:id="655" w:name="_Toc509585692"/>
      <w:bookmarkStart w:id="656" w:name="_Toc510105012"/>
      <w:bookmarkStart w:id="657" w:name="_Toc510105809"/>
      <w:bookmarkStart w:id="658" w:name="_Toc510795139"/>
      <w:bookmarkStart w:id="659" w:name="_Toc511716342"/>
      <w:bookmarkStart w:id="660" w:name="_Toc511719153"/>
      <w:bookmarkStart w:id="661" w:name="_Toc514156760"/>
      <w:r w:rsidRPr="00DF369F">
        <w:rPr>
          <w:rFonts w:cs="Arial"/>
          <w:bCs/>
          <w:color w:val="323232"/>
          <w:kern w:val="32"/>
          <w:sz w:val="53"/>
          <w:szCs w:val="32"/>
        </w:rPr>
        <w:lastRenderedPageBreak/>
        <w:t>Invitation to comment</w:t>
      </w:r>
      <w:bookmarkEnd w:id="649"/>
    </w:p>
    <w:p w14:paraId="086EE4AE" w14:textId="77777777" w:rsidR="002C632D" w:rsidRDefault="002C632D" w:rsidP="002C632D">
      <w:pPr>
        <w:spacing w:after="80"/>
      </w:pPr>
      <w:bookmarkStart w:id="662" w:name="_Toc348105638"/>
      <w:bookmarkStart w:id="663" w:name="_Toc300909557"/>
      <w:bookmarkStart w:id="664" w:name="_Toc298924674"/>
      <w:bookmarkStart w:id="665" w:name="_Toc274296357"/>
      <w:r>
        <w:t>The ACMA invites comments on the draft FYSO 2020-–24 and on the following specific questions:</w:t>
      </w:r>
    </w:p>
    <w:p w14:paraId="21479AC4" w14:textId="77777777" w:rsidR="002C632D" w:rsidRPr="002C632D" w:rsidRDefault="002C632D" w:rsidP="00513FDE">
      <w:pPr>
        <w:pStyle w:val="ListNumber"/>
        <w:numPr>
          <w:ilvl w:val="0"/>
          <w:numId w:val="285"/>
        </w:numPr>
        <w:rPr>
          <w:bCs/>
        </w:rPr>
      </w:pPr>
      <w:r w:rsidRPr="002C632D">
        <w:rPr>
          <w:bCs/>
        </w:rPr>
        <w:t xml:space="preserve">What are the expected impacts of the COVID-19 pandemic on the short- and </w:t>
      </w:r>
      <w:r w:rsidRPr="002C632D" w:rsidDel="00127CAB">
        <w:rPr>
          <w:bCs/>
        </w:rPr>
        <w:t>medium</w:t>
      </w:r>
      <w:r w:rsidRPr="002C632D">
        <w:rPr>
          <w:bCs/>
        </w:rPr>
        <w:t xml:space="preserve">-term capacity of your industry? </w:t>
      </w:r>
    </w:p>
    <w:p w14:paraId="5309037B" w14:textId="77777777" w:rsidR="002C632D" w:rsidRPr="002C632D" w:rsidRDefault="002C632D" w:rsidP="00513FDE">
      <w:pPr>
        <w:pStyle w:val="ListNumber"/>
        <w:numPr>
          <w:ilvl w:val="0"/>
          <w:numId w:val="285"/>
        </w:numPr>
        <w:rPr>
          <w:rFonts w:eastAsiaTheme="majorEastAsia"/>
          <w:bCs/>
        </w:rPr>
      </w:pPr>
      <w:r w:rsidRPr="002C632D">
        <w:rPr>
          <w:bCs/>
        </w:rPr>
        <w:t>Do you have any feedback on the ACMA’s approach to its spectrum work program in the current environment? Do you have alternative proposals or priorities?</w:t>
      </w:r>
    </w:p>
    <w:p w14:paraId="1BD75AF4" w14:textId="77777777" w:rsidR="002C632D" w:rsidRPr="002C632D" w:rsidRDefault="002C632D" w:rsidP="00513FDE">
      <w:pPr>
        <w:pStyle w:val="ListNumber"/>
        <w:numPr>
          <w:ilvl w:val="0"/>
          <w:numId w:val="285"/>
        </w:numPr>
        <w:rPr>
          <w:rFonts w:eastAsiaTheme="majorEastAsia"/>
          <w:bCs/>
        </w:rPr>
      </w:pPr>
      <w:r w:rsidRPr="002C632D">
        <w:rPr>
          <w:bCs/>
        </w:rPr>
        <w:t>Are there other technology developments or sources of spectrum demand</w:t>
      </w:r>
      <w:r w:rsidRPr="002C632D" w:rsidDel="009D6C54">
        <w:rPr>
          <w:bCs/>
        </w:rPr>
        <w:t xml:space="preserve"> </w:t>
      </w:r>
      <w:r w:rsidRPr="002C632D">
        <w:rPr>
          <w:bCs/>
        </w:rPr>
        <w:t>that the ACMA should be aware of in considering spectrum management over the next five years?</w:t>
      </w:r>
    </w:p>
    <w:p w14:paraId="2FC9113E" w14:textId="77777777" w:rsidR="002C632D" w:rsidRPr="002C632D" w:rsidRDefault="002C632D" w:rsidP="00513FDE">
      <w:pPr>
        <w:pStyle w:val="ListNumber"/>
        <w:numPr>
          <w:ilvl w:val="0"/>
          <w:numId w:val="285"/>
        </w:numPr>
        <w:rPr>
          <w:rFonts w:eastAsiaTheme="majorEastAsia"/>
          <w:bCs/>
        </w:rPr>
      </w:pPr>
      <w:r w:rsidRPr="002C632D">
        <w:rPr>
          <w:bCs/>
        </w:rPr>
        <w:t xml:space="preserve">Do you have any other feedback on the ACMA’s plans for monitoring, initial investigation, preliminary replanning or replanning of bands? </w:t>
      </w:r>
    </w:p>
    <w:p w14:paraId="4FA73FC1" w14:textId="77777777" w:rsidR="002C632D" w:rsidRPr="002C632D" w:rsidRDefault="002C632D" w:rsidP="00513FDE">
      <w:pPr>
        <w:pStyle w:val="ListNumber"/>
        <w:numPr>
          <w:ilvl w:val="0"/>
          <w:numId w:val="285"/>
        </w:numPr>
        <w:rPr>
          <w:rFonts w:eastAsiaTheme="majorEastAsia"/>
          <w:bCs/>
        </w:rPr>
      </w:pPr>
      <w:r w:rsidRPr="002C632D">
        <w:rPr>
          <w:bCs/>
        </w:rPr>
        <w:t>Do you have any comments about the ACMA’s approach to forward allocations?</w:t>
      </w:r>
    </w:p>
    <w:p w14:paraId="3F95A1CF" w14:textId="41078016" w:rsidR="002C632D" w:rsidRPr="00DF369F" w:rsidRDefault="002C632D" w:rsidP="002C632D">
      <w:pPr>
        <w:keepNext/>
        <w:spacing w:before="320" w:after="60"/>
        <w:outlineLvl w:val="1"/>
      </w:pPr>
      <w:r w:rsidRPr="00DF369F">
        <w:rPr>
          <w:rFonts w:cs="Arial"/>
          <w:b/>
          <w:bCs/>
          <w:iCs/>
          <w:sz w:val="28"/>
          <w:szCs w:val="28"/>
        </w:rPr>
        <w:t>Making a submission</w:t>
      </w:r>
    </w:p>
    <w:p w14:paraId="2A9F88E3" w14:textId="77777777" w:rsidR="00DF369F" w:rsidRPr="00DF369F" w:rsidRDefault="00D56172" w:rsidP="00DF369F">
      <w:pPr>
        <w:keepNext/>
        <w:keepLines/>
        <w:numPr>
          <w:ilvl w:val="0"/>
          <w:numId w:val="1"/>
        </w:numPr>
        <w:tabs>
          <w:tab w:val="num" w:pos="-261"/>
          <w:tab w:val="num" w:pos="1854"/>
        </w:tabs>
        <w:spacing w:after="80"/>
      </w:pPr>
      <w:hyperlink r:id="rId118" w:history="1">
        <w:r w:rsidR="00DF369F" w:rsidRPr="00DF369F">
          <w:rPr>
            <w:color w:val="0000FF"/>
            <w:u w:val="single"/>
          </w:rPr>
          <w:t>Online submissions</w:t>
        </w:r>
      </w:hyperlink>
      <w:r w:rsidR="00DF369F" w:rsidRPr="00DF369F">
        <w:t xml:space="preserve"> can be made via the comment function or by uploading a document. Submissions in Microsoft Word or Rich Text Format are preferred.</w:t>
      </w:r>
    </w:p>
    <w:p w14:paraId="45532E07" w14:textId="77777777" w:rsidR="00DF369F" w:rsidRPr="00DF369F" w:rsidRDefault="00DF369F" w:rsidP="00DF369F">
      <w:pPr>
        <w:keepNext/>
        <w:keepLines/>
        <w:numPr>
          <w:ilvl w:val="0"/>
          <w:numId w:val="1"/>
        </w:numPr>
        <w:tabs>
          <w:tab w:val="num" w:pos="-261"/>
          <w:tab w:val="num" w:pos="1854"/>
        </w:tabs>
        <w:spacing w:after="80"/>
      </w:pPr>
      <w:r w:rsidRPr="00DF369F">
        <w:t xml:space="preserve">Submissions by post can be sent to: </w:t>
      </w:r>
    </w:p>
    <w:p w14:paraId="231999E9" w14:textId="77777777" w:rsidR="00DF369F" w:rsidRPr="00DF369F" w:rsidRDefault="00DF369F" w:rsidP="00DF369F">
      <w:pPr>
        <w:tabs>
          <w:tab w:val="num" w:pos="295"/>
          <w:tab w:val="left" w:pos="1134"/>
        </w:tabs>
        <w:spacing w:after="0"/>
        <w:ind w:left="295"/>
      </w:pPr>
      <w:r w:rsidRPr="00DF369F">
        <w:t>The Manager</w:t>
      </w:r>
    </w:p>
    <w:p w14:paraId="2832518B" w14:textId="7A0C26AF" w:rsidR="00DF369F" w:rsidRPr="00DF369F" w:rsidRDefault="00DF369F" w:rsidP="00DF369F">
      <w:pPr>
        <w:tabs>
          <w:tab w:val="left" w:pos="1134"/>
        </w:tabs>
        <w:spacing w:after="0"/>
        <w:ind w:left="295"/>
      </w:pPr>
      <w:r>
        <w:t>Spectrum Management Outlook and Strategy</w:t>
      </w:r>
      <w:r w:rsidRPr="00DF369F">
        <w:t xml:space="preserve"> Section</w:t>
      </w:r>
    </w:p>
    <w:p w14:paraId="2D6F096E" w14:textId="5325FEEE" w:rsidR="00DF369F" w:rsidRPr="00DF369F" w:rsidRDefault="00DF369F" w:rsidP="00DF369F">
      <w:pPr>
        <w:tabs>
          <w:tab w:val="left" w:pos="1134"/>
        </w:tabs>
        <w:spacing w:after="0"/>
        <w:ind w:left="295"/>
      </w:pPr>
      <w:r w:rsidRPr="00DF369F">
        <w:t xml:space="preserve">Spectrum </w:t>
      </w:r>
      <w:r>
        <w:t>Allocations</w:t>
      </w:r>
      <w:r w:rsidRPr="00DF369F">
        <w:t xml:space="preserve"> Branch</w:t>
      </w:r>
    </w:p>
    <w:p w14:paraId="17C982D3" w14:textId="77777777" w:rsidR="00DF369F" w:rsidRPr="00DF369F" w:rsidRDefault="00DF369F" w:rsidP="00DF369F">
      <w:pPr>
        <w:tabs>
          <w:tab w:val="left" w:pos="1134"/>
        </w:tabs>
        <w:spacing w:after="0"/>
        <w:ind w:left="295"/>
      </w:pPr>
      <w:r w:rsidRPr="00DF369F">
        <w:t>Australian Communications and Media Authority</w:t>
      </w:r>
    </w:p>
    <w:p w14:paraId="28ACA588" w14:textId="77777777" w:rsidR="00DF369F" w:rsidRPr="00DF369F" w:rsidRDefault="00DF369F" w:rsidP="00DF369F">
      <w:pPr>
        <w:tabs>
          <w:tab w:val="left" w:pos="1134"/>
        </w:tabs>
        <w:spacing w:after="0"/>
        <w:ind w:left="295"/>
      </w:pPr>
      <w:r w:rsidRPr="00DF369F">
        <w:t>PO Box Q500</w:t>
      </w:r>
    </w:p>
    <w:p w14:paraId="025713D3" w14:textId="77777777" w:rsidR="00DF369F" w:rsidRPr="00DF369F" w:rsidRDefault="00DF369F" w:rsidP="00DF369F">
      <w:pPr>
        <w:tabs>
          <w:tab w:val="left" w:pos="1134"/>
        </w:tabs>
        <w:ind w:left="295"/>
      </w:pPr>
      <w:r w:rsidRPr="00DF369F">
        <w:t>Queen Victoria Building NSW 1230</w:t>
      </w:r>
    </w:p>
    <w:p w14:paraId="61A028B8" w14:textId="2B30FA6C" w:rsidR="00DF369F" w:rsidRPr="00DF369F" w:rsidRDefault="00DF369F" w:rsidP="00DF369F">
      <w:pPr>
        <w:rPr>
          <w:b/>
          <w:bCs/>
        </w:rPr>
      </w:pPr>
      <w:r w:rsidRPr="00DF369F">
        <w:rPr>
          <w:b/>
          <w:bCs/>
        </w:rPr>
        <w:t xml:space="preserve">The closing date for submissions is COB, </w:t>
      </w:r>
      <w:r w:rsidR="002A7225" w:rsidRPr="00422648">
        <w:rPr>
          <w:b/>
          <w:bCs/>
        </w:rPr>
        <w:t>Wednesday 24 June 2020</w:t>
      </w:r>
      <w:r w:rsidRPr="00422648">
        <w:rPr>
          <w:b/>
          <w:bCs/>
        </w:rPr>
        <w:t>.</w:t>
      </w:r>
    </w:p>
    <w:p w14:paraId="5846F4FC" w14:textId="77777777" w:rsidR="00DF369F" w:rsidRPr="00DF369F" w:rsidRDefault="00DF369F" w:rsidP="00DF369F">
      <w:pPr>
        <w:rPr>
          <w:szCs w:val="20"/>
        </w:rPr>
      </w:pPr>
      <w:r w:rsidRPr="00DF369F">
        <w:t xml:space="preserve">Consultation enquiries can be emailed </w:t>
      </w:r>
      <w:r w:rsidRPr="00DF369F">
        <w:rPr>
          <w:szCs w:val="20"/>
        </w:rPr>
        <w:t xml:space="preserve">to </w:t>
      </w:r>
      <w:bookmarkStart w:id="666" w:name="_Hlk37153418"/>
      <w:r w:rsidRPr="00DF369F">
        <w:fldChar w:fldCharType="begin"/>
      </w:r>
      <w:r w:rsidRPr="00DF369F">
        <w:instrText xml:space="preserve"> HYPERLINK "mailto:spectrumworkprogram@acma.gov.au" </w:instrText>
      </w:r>
      <w:r w:rsidRPr="00DF369F">
        <w:fldChar w:fldCharType="separate"/>
      </w:r>
      <w:r w:rsidRPr="00DF369F">
        <w:rPr>
          <w:color w:val="0000FF"/>
          <w:u w:val="single"/>
        </w:rPr>
        <w:t>spectrumworkprogram@acma.gov.au</w:t>
      </w:r>
      <w:r w:rsidRPr="00DF369F">
        <w:rPr>
          <w:color w:val="0000FF"/>
          <w:u w:val="single"/>
        </w:rPr>
        <w:fldChar w:fldCharType="end"/>
      </w:r>
      <w:r w:rsidRPr="00DF369F">
        <w:rPr>
          <w:szCs w:val="20"/>
        </w:rPr>
        <w:t>.</w:t>
      </w:r>
      <w:bookmarkEnd w:id="666"/>
    </w:p>
    <w:bookmarkEnd w:id="662"/>
    <w:bookmarkEnd w:id="663"/>
    <w:p w14:paraId="353145BC" w14:textId="77777777" w:rsidR="00DF369F" w:rsidRPr="00DF369F" w:rsidRDefault="00DF369F" w:rsidP="00DF369F">
      <w:pPr>
        <w:spacing w:before="240" w:after="0"/>
        <w:rPr>
          <w:b/>
          <w:i/>
        </w:rPr>
      </w:pPr>
      <w:r w:rsidRPr="00DF369F">
        <w:rPr>
          <w:b/>
          <w:i/>
        </w:rPr>
        <w:t>Publication of submissions</w:t>
      </w:r>
      <w:bookmarkEnd w:id="664"/>
      <w:bookmarkEnd w:id="665"/>
    </w:p>
    <w:p w14:paraId="3E4CFD23" w14:textId="77777777" w:rsidR="00DF369F" w:rsidRPr="00DF369F" w:rsidRDefault="00DF369F" w:rsidP="00DF369F">
      <w:r w:rsidRPr="00DF369F">
        <w:t>The ACMA publishes submissions on our website</w:t>
      </w:r>
      <w:r w:rsidRPr="00DF369F">
        <w:rPr>
          <w:rFonts w:cs="Arial"/>
        </w:rPr>
        <w:t>, including personal information (such as names and contact details)</w:t>
      </w:r>
      <w:r w:rsidRPr="00DF369F">
        <w:t xml:space="preserve">, except for information that you have claimed (and we have accepted) is confidential. </w:t>
      </w:r>
    </w:p>
    <w:p w14:paraId="2A97F844" w14:textId="77777777" w:rsidR="00DF369F" w:rsidRPr="00DF369F" w:rsidRDefault="00DF369F" w:rsidP="00DF369F">
      <w:r w:rsidRPr="00DF369F">
        <w:t>Confidential information will not be published or otherwise released unless required or authorised by law.</w:t>
      </w:r>
    </w:p>
    <w:p w14:paraId="231C064C" w14:textId="77777777" w:rsidR="00DF369F" w:rsidRPr="00DF369F" w:rsidRDefault="00DF369F" w:rsidP="00DF369F">
      <w:pPr>
        <w:spacing w:before="240" w:after="0"/>
        <w:rPr>
          <w:b/>
          <w:i/>
        </w:rPr>
      </w:pPr>
      <w:r w:rsidRPr="00DF369F">
        <w:rPr>
          <w:b/>
          <w:i/>
        </w:rPr>
        <w:t>Privacy</w:t>
      </w:r>
    </w:p>
    <w:p w14:paraId="052A50ED" w14:textId="77777777" w:rsidR="00DF369F" w:rsidRPr="00DF369F" w:rsidRDefault="00D56172" w:rsidP="00DF369F">
      <w:hyperlink r:id="rId119" w:history="1">
        <w:r w:rsidR="00DF369F" w:rsidRPr="00DF369F">
          <w:rPr>
            <w:i/>
            <w:color w:val="0000FF"/>
            <w:u w:val="single"/>
          </w:rPr>
          <w:t>Privacy and consultation</w:t>
        </w:r>
      </w:hyperlink>
      <w:r w:rsidR="00DF369F" w:rsidRPr="00DF369F">
        <w:t xml:space="preserve"> provides information about the ACMA’s collection of personal information during consultation and how we handle that information.</w:t>
      </w:r>
    </w:p>
    <w:p w14:paraId="5E096FF4" w14:textId="066CD696" w:rsidR="00DF369F" w:rsidRPr="00B53F89" w:rsidRDefault="00DF369F" w:rsidP="00252163">
      <w:pPr>
        <w:rPr>
          <w:rFonts w:cs="Arial"/>
          <w:szCs w:val="20"/>
        </w:rPr>
      </w:pPr>
      <w:r w:rsidRPr="00DF369F">
        <w:t xml:space="preserve">Information on the </w:t>
      </w:r>
      <w:r w:rsidRPr="00DF369F">
        <w:rPr>
          <w:i/>
        </w:rPr>
        <w:t xml:space="preserve">Privacy Act 1988 </w:t>
      </w:r>
      <w:r w:rsidRPr="00DF369F">
        <w:t xml:space="preserve">and the ACMA’s privacy policy (including how to access or correct personal information, how to make a privacy complaint and how we will deal with the complaint) is available at </w:t>
      </w:r>
      <w:hyperlink r:id="rId120" w:tooltip="ACMA Privacy Policy" w:history="1">
        <w:r w:rsidRPr="00DF369F">
          <w:rPr>
            <w:color w:val="0000FF"/>
            <w:u w:val="single"/>
          </w:rPr>
          <w:t>acma.gov.au/privacypolicy</w:t>
        </w:r>
      </w:hyperlink>
      <w:r w:rsidRPr="00DF369F">
        <w:t xml:space="preserve">. </w:t>
      </w:r>
      <w:bookmarkEnd w:id="650"/>
      <w:bookmarkEnd w:id="651"/>
      <w:bookmarkEnd w:id="652"/>
      <w:bookmarkEnd w:id="653"/>
      <w:bookmarkEnd w:id="654"/>
      <w:bookmarkEnd w:id="655"/>
      <w:bookmarkEnd w:id="656"/>
      <w:bookmarkEnd w:id="657"/>
      <w:bookmarkEnd w:id="658"/>
      <w:bookmarkEnd w:id="659"/>
      <w:bookmarkEnd w:id="660"/>
      <w:bookmarkEnd w:id="661"/>
    </w:p>
    <w:p w14:paraId="2F2FF33B" w14:textId="72B12E2F" w:rsidR="00197E92" w:rsidRPr="00B53F89" w:rsidRDefault="00197E92" w:rsidP="00197E92">
      <w:pPr>
        <w:pStyle w:val="Heading1"/>
      </w:pPr>
      <w:bookmarkStart w:id="667" w:name="_Making_a_submission"/>
      <w:bookmarkStart w:id="668" w:name="_Toc522794142"/>
      <w:bookmarkStart w:id="669" w:name="_Toc31892875"/>
      <w:bookmarkStart w:id="670" w:name="_Toc36207488"/>
      <w:bookmarkStart w:id="671" w:name="_Toc38987271"/>
      <w:bookmarkEnd w:id="633"/>
      <w:bookmarkEnd w:id="634"/>
      <w:bookmarkEnd w:id="635"/>
      <w:bookmarkEnd w:id="636"/>
      <w:bookmarkEnd w:id="637"/>
      <w:bookmarkEnd w:id="638"/>
      <w:bookmarkEnd w:id="667"/>
      <w:r w:rsidRPr="00B53F89">
        <w:lastRenderedPageBreak/>
        <w:t>Appendix A—Sunsetting instruments</w:t>
      </w:r>
      <w:bookmarkEnd w:id="668"/>
      <w:bookmarkEnd w:id="669"/>
      <w:bookmarkEnd w:id="670"/>
      <w:bookmarkEnd w:id="671"/>
    </w:p>
    <w:p w14:paraId="7D096E1D" w14:textId="7CF2579E" w:rsidR="006D3D21" w:rsidRPr="00B53F89" w:rsidRDefault="000F3660" w:rsidP="00FE49E2">
      <w:r>
        <w:t>There are no radiocommunications</w:t>
      </w:r>
      <w:r w:rsidR="007F1017">
        <w:t>-</w:t>
      </w:r>
      <w:r w:rsidR="00DD201B" w:rsidRPr="00B53F89" w:rsidDel="00F639FA">
        <w:t>related i</w:t>
      </w:r>
      <w:r w:rsidR="00197E92" w:rsidRPr="00B53F89" w:rsidDel="00F639FA">
        <w:t xml:space="preserve">nstruments due to sunset </w:t>
      </w:r>
      <w:r w:rsidR="00C15BB6" w:rsidRPr="00B53F89" w:rsidDel="00F639FA">
        <w:t>in 20</w:t>
      </w:r>
      <w:r w:rsidR="00E83041" w:rsidDel="00F639FA">
        <w:t>20</w:t>
      </w:r>
      <w:r w:rsidR="009C0761" w:rsidRPr="00B53F89" w:rsidDel="00F639FA">
        <w:t>–</w:t>
      </w:r>
      <w:r w:rsidR="00C15BB6" w:rsidRPr="00B53F89" w:rsidDel="00F639FA">
        <w:t>2</w:t>
      </w:r>
      <w:r w:rsidR="00E83041" w:rsidDel="00F639FA">
        <w:t>1</w:t>
      </w:r>
      <w:r>
        <w:t>.</w:t>
      </w:r>
    </w:p>
    <w:sectPr w:rsidR="006D3D21" w:rsidRPr="00B53F89" w:rsidSect="00E97880">
      <w:headerReference w:type="even" r:id="rId121"/>
      <w:headerReference w:type="default" r:id="rId122"/>
      <w:footerReference w:type="even" r:id="rId123"/>
      <w:footerReference w:type="default" r:id="rId124"/>
      <w:pgSz w:w="11906" w:h="16838" w:code="9"/>
      <w:pgMar w:top="1945" w:right="3101" w:bottom="1134" w:left="1134"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4D2FC" w14:textId="77777777" w:rsidR="00D56172" w:rsidRDefault="00D56172">
      <w:r>
        <w:separator/>
      </w:r>
    </w:p>
    <w:p w14:paraId="325F1252" w14:textId="77777777" w:rsidR="00D56172" w:rsidRDefault="00D56172"/>
  </w:endnote>
  <w:endnote w:type="continuationSeparator" w:id="0">
    <w:p w14:paraId="58A453F4" w14:textId="77777777" w:rsidR="00D56172" w:rsidRDefault="00D56172">
      <w:r>
        <w:continuationSeparator/>
      </w:r>
    </w:p>
    <w:p w14:paraId="33359CB8" w14:textId="77777777" w:rsidR="00D56172" w:rsidRDefault="00D56172"/>
  </w:endnote>
  <w:endnote w:type="continuationNotice" w:id="1">
    <w:p w14:paraId="2652A10D" w14:textId="77777777" w:rsidR="00D56172" w:rsidRDefault="00D56172">
      <w:pPr>
        <w:spacing w:after="0" w:line="240" w:lineRule="auto"/>
      </w:pPr>
    </w:p>
    <w:p w14:paraId="4AF9296B" w14:textId="77777777" w:rsidR="00D56172" w:rsidRDefault="00D56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FUIText">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ira Sans">
    <w:altName w:val="Calibri"/>
    <w:charset w:val="00"/>
    <w:family w:val="auto"/>
    <w:pitch w:val="default"/>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BCC74" w14:textId="77777777" w:rsidR="00D82061" w:rsidRDefault="00D82061">
    <w:pPr>
      <w:pStyle w:val="Footer"/>
    </w:pPr>
    <w:r>
      <w:rPr>
        <w:noProof/>
      </w:rPr>
      <w:drawing>
        <wp:inline distT="0" distB="0" distL="0" distR="0" wp14:anchorId="73800B89" wp14:editId="124789D3">
          <wp:extent cx="3483864" cy="249613"/>
          <wp:effectExtent l="0" t="0" r="0" b="0"/>
          <wp:docPr id="4" name="Picture 4" title="Australian communications and Media Authority tagline – communicating, facilitating, regul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M_A4Letterhead_Strapline.jpg"/>
                  <pic:cNvPicPr/>
                </pic:nvPicPr>
                <pic:blipFill>
                  <a:blip r:embed="rId1">
                    <a:extLst>
                      <a:ext uri="{28A0092B-C50C-407E-A947-70E740481C1C}">
                        <a14:useLocalDpi xmlns:a14="http://schemas.microsoft.com/office/drawing/2010/main" val="0"/>
                      </a:ext>
                    </a:extLst>
                  </a:blip>
                  <a:stretch>
                    <a:fillRect/>
                  </a:stretch>
                </pic:blipFill>
                <pic:spPr>
                  <a:xfrm>
                    <a:off x="0" y="0"/>
                    <a:ext cx="3483864" cy="249613"/>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FEE80" w14:textId="77777777" w:rsidR="00D82061" w:rsidRDefault="00D82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D81D" w14:textId="77777777" w:rsidR="00D82061" w:rsidRDefault="00D820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14286" w14:textId="77777777" w:rsidR="00D82061" w:rsidRPr="00622A3B" w:rsidRDefault="00D82061"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iv</w:t>
    </w:r>
    <w:r w:rsidRPr="002E4DDC">
      <w:rPr>
        <w:color w:val="505050"/>
      </w:rPr>
      <w:fldChar w:fldCharType="end"/>
    </w:r>
  </w:p>
  <w:p w14:paraId="0D11E6E0" w14:textId="77777777" w:rsidR="00D82061" w:rsidRPr="00A5474E" w:rsidRDefault="00D82061"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C34B4" w14:textId="77777777" w:rsidR="00D82061" w:rsidRPr="00622A3B" w:rsidRDefault="00D82061"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v</w:t>
    </w:r>
    <w:r w:rsidRPr="002E4DDC">
      <w:rPr>
        <w:color w:val="505050"/>
      </w:rPr>
      <w:fldChar w:fldCharType="end"/>
    </w:r>
  </w:p>
  <w:p w14:paraId="2E3EC9BE" w14:textId="77777777" w:rsidR="00D82061" w:rsidRPr="00A5474E" w:rsidRDefault="00D82061"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37C5C" w14:textId="77777777" w:rsidR="00D82061" w:rsidRPr="00622A3B" w:rsidRDefault="00D82061"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iii</w:t>
    </w:r>
    <w:r w:rsidRPr="002E4DDC">
      <w:rPr>
        <w:color w:val="505050"/>
      </w:rPr>
      <w:fldChar w:fldCharType="end"/>
    </w:r>
  </w:p>
  <w:p w14:paraId="6186B029" w14:textId="77777777" w:rsidR="00D82061" w:rsidRPr="00A5474E" w:rsidRDefault="00D82061"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A104" w14:textId="77777777" w:rsidR="00D82061" w:rsidRPr="00622A3B" w:rsidRDefault="00D82061"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Pr>
        <w:noProof/>
      </w:rPr>
      <w:t>74</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5B04D850" w14:textId="77777777" w:rsidR="00D82061" w:rsidRPr="00A5474E" w:rsidRDefault="00D82061" w:rsidP="00A5474E">
    <w:pPr>
      <w:pStyle w:val="Footer"/>
    </w:pPr>
  </w:p>
  <w:p w14:paraId="63EB684D" w14:textId="77777777" w:rsidR="00D82061" w:rsidRDefault="00D8206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442D" w14:textId="77777777" w:rsidR="00D82061" w:rsidRPr="00622A3B" w:rsidRDefault="00D82061"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Pr>
        <w:noProof/>
        <w:color w:val="505050"/>
      </w:rPr>
      <w:t>75</w:t>
    </w:r>
    <w:r w:rsidRPr="00575AC5">
      <w:rPr>
        <w:color w:val="505050"/>
      </w:rPr>
      <w:fldChar w:fldCharType="end"/>
    </w:r>
  </w:p>
  <w:p w14:paraId="59DD72D9" w14:textId="77777777" w:rsidR="00D82061" w:rsidRPr="00A5474E" w:rsidRDefault="00D82061" w:rsidP="00A5474E">
    <w:pPr>
      <w:pStyle w:val="Footer"/>
    </w:pPr>
  </w:p>
  <w:p w14:paraId="1F8BDC74" w14:textId="77777777" w:rsidR="00D82061" w:rsidRDefault="00D820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94C91" w14:textId="77777777" w:rsidR="00D56172" w:rsidRDefault="00D56172" w:rsidP="00856C29">
      <w:pPr>
        <w:spacing w:after="0"/>
      </w:pPr>
      <w:r>
        <w:separator/>
      </w:r>
    </w:p>
  </w:footnote>
  <w:footnote w:type="continuationSeparator" w:id="0">
    <w:p w14:paraId="143F542D" w14:textId="77777777" w:rsidR="00D56172" w:rsidRDefault="00D56172">
      <w:r>
        <w:continuationSeparator/>
      </w:r>
    </w:p>
  </w:footnote>
  <w:footnote w:type="continuationNotice" w:id="1">
    <w:p w14:paraId="28A53B78" w14:textId="77777777" w:rsidR="00D56172" w:rsidRPr="00716DE9" w:rsidRDefault="00D56172" w:rsidP="00716DE9">
      <w:pPr>
        <w:pStyle w:val="Footer"/>
      </w:pPr>
    </w:p>
  </w:footnote>
  <w:footnote w:id="2">
    <w:p w14:paraId="1743C499" w14:textId="041D6E19" w:rsidR="00D82061" w:rsidRPr="00513FDE" w:rsidRDefault="00D82061" w:rsidP="003C0831">
      <w:pPr>
        <w:pStyle w:val="FootnoteText"/>
        <w:rPr>
          <w:rFonts w:ascii="Calibri" w:hAnsi="Calibri"/>
        </w:rPr>
      </w:pPr>
      <w:r>
        <w:rPr>
          <w:rStyle w:val="FootnoteReference"/>
        </w:rPr>
        <w:footnoteRef/>
      </w:r>
      <w:r>
        <w:t xml:space="preserve"> ACMA, 2019, accessed 23 April, &lt;</w:t>
      </w:r>
      <w:hyperlink r:id="rId1" w:history="1">
        <w:r w:rsidRPr="00030C7E">
          <w:rPr>
            <w:rStyle w:val="Hyperlink"/>
          </w:rPr>
          <w:t>https://www.acma.gov.au/publications/2019-08/report/corporate-plan-2019-20</w:t>
        </w:r>
      </w:hyperlink>
      <w:r>
        <w:t>&gt;.</w:t>
      </w:r>
    </w:p>
  </w:footnote>
  <w:footnote w:id="3">
    <w:p w14:paraId="5E1B16CD" w14:textId="6D9530C8" w:rsidR="00D82061" w:rsidRDefault="00D82061">
      <w:pPr>
        <w:pStyle w:val="FootnoteText"/>
      </w:pPr>
      <w:r>
        <w:rPr>
          <w:rStyle w:val="FootnoteReference"/>
        </w:rPr>
        <w:footnoteRef/>
      </w:r>
      <w:r>
        <w:t xml:space="preserve"> ITU, 2020, accessed 27 April 2020, &lt;</w:t>
      </w:r>
      <w:hyperlink r:id="rId2" w:history="1">
        <w:r w:rsidRPr="00030C7E">
          <w:rPr>
            <w:rStyle w:val="Hyperlink"/>
          </w:rPr>
          <w:t>https://www.itu.int/en/Pages/covid-19.aspx</w:t>
        </w:r>
      </w:hyperlink>
      <w:r w:rsidRPr="003504D7">
        <w:rPr>
          <w:rStyle w:val="Hyperlink"/>
          <w:color w:val="auto"/>
          <w:u w:val="none"/>
        </w:rPr>
        <w:t>&gt;.</w:t>
      </w:r>
    </w:p>
  </w:footnote>
  <w:footnote w:id="4">
    <w:p w14:paraId="7DF4D38A" w14:textId="2B22A168" w:rsidR="00D82061" w:rsidRDefault="00D82061" w:rsidP="00513FDE">
      <w:pPr>
        <w:spacing w:after="0"/>
      </w:pPr>
      <w:r>
        <w:rPr>
          <w:rStyle w:val="FootnoteReference"/>
        </w:rPr>
        <w:footnoteRef/>
      </w:r>
      <w:r>
        <w:t xml:space="preserve"> </w:t>
      </w:r>
      <w:r w:rsidRPr="00A96B14">
        <w:rPr>
          <w:sz w:val="16"/>
          <w:szCs w:val="16"/>
        </w:rPr>
        <w:t xml:space="preserve">This may include a subset of the following areas: Grafton, Taree, Inverell, Moree, Gunnedah, Tamworth, Lismore, Mudgee, Young and Parkes. </w:t>
      </w:r>
      <w:r>
        <w:rPr>
          <w:sz w:val="16"/>
          <w:szCs w:val="16"/>
        </w:rPr>
        <w:t>We are</w:t>
      </w:r>
      <w:r w:rsidRPr="00A96B14">
        <w:rPr>
          <w:sz w:val="16"/>
          <w:szCs w:val="16"/>
        </w:rPr>
        <w:t xml:space="preserve"> consulting with the licensees to determine indicative timelines and relative priorities. Proceeding with these variations depend</w:t>
      </w:r>
      <w:r>
        <w:rPr>
          <w:sz w:val="16"/>
          <w:szCs w:val="16"/>
        </w:rPr>
        <w:t xml:space="preserve">s </w:t>
      </w:r>
      <w:r w:rsidRPr="00A96B14">
        <w:rPr>
          <w:sz w:val="16"/>
          <w:szCs w:val="16"/>
        </w:rPr>
        <w:t>on the relevant licensees making timely strategic business decisions on available implementation options.</w:t>
      </w:r>
    </w:p>
  </w:footnote>
  <w:footnote w:id="5">
    <w:p w14:paraId="1934F259" w14:textId="77777777" w:rsidR="00D82061" w:rsidRPr="00E61061" w:rsidRDefault="00D82061" w:rsidP="001E15CA">
      <w:pPr>
        <w:pStyle w:val="FootnoteText"/>
      </w:pPr>
      <w:r>
        <w:rPr>
          <w:rStyle w:val="FootnoteReference"/>
        </w:rPr>
        <w:footnoteRef/>
      </w:r>
      <w:r>
        <w:t xml:space="preserve"> S&amp;P Global market intelligence, </w:t>
      </w:r>
      <w:r w:rsidRPr="00E61061">
        <w:t>Australian fiber set for long-term gains</w:t>
      </w:r>
      <w:r>
        <w:t xml:space="preserve">, </w:t>
      </w:r>
      <w:r>
        <w:rPr>
          <w:i/>
          <w:iCs/>
        </w:rPr>
        <w:t>Kagan Research – S&amp;P Global Market Intelligence platform</w:t>
      </w:r>
      <w:r>
        <w:t>.</w:t>
      </w:r>
    </w:p>
  </w:footnote>
  <w:footnote w:id="6">
    <w:p w14:paraId="39843AF3" w14:textId="77777777" w:rsidR="00D82061" w:rsidRDefault="00D82061" w:rsidP="001E15CA">
      <w:pPr>
        <w:pStyle w:val="FootnoteText"/>
      </w:pPr>
      <w:r>
        <w:rPr>
          <w:rStyle w:val="FootnoteReference"/>
        </w:rPr>
        <w:footnoteRef/>
      </w:r>
      <w:r>
        <w:t xml:space="preserve"> </w:t>
      </w:r>
      <w:r w:rsidRPr="00E237C5">
        <w:t>IBISWorld, Telecommunications Services in Australia, June 2019, p. 1</w:t>
      </w:r>
      <w:r>
        <w:t>9</w:t>
      </w:r>
      <w:r w:rsidRPr="00E237C5">
        <w:t>.</w:t>
      </w:r>
    </w:p>
  </w:footnote>
  <w:footnote w:id="7">
    <w:p w14:paraId="19CF25A4" w14:textId="59A68404" w:rsidR="00D82061" w:rsidRDefault="00D82061">
      <w:pPr>
        <w:pStyle w:val="FootnoteText"/>
      </w:pPr>
      <w:r>
        <w:rPr>
          <w:rStyle w:val="FootnoteReference"/>
        </w:rPr>
        <w:footnoteRef/>
      </w:r>
      <w:r>
        <w:t xml:space="preserve"> $37.6 billion multiplied by 63.6%. IBISWorld, </w:t>
      </w:r>
      <w:r w:rsidRPr="003E723F">
        <w:t>Telecommunications Services in Australia</w:t>
      </w:r>
      <w:r>
        <w:t xml:space="preserve">, June 2019, p. 7. </w:t>
      </w:r>
    </w:p>
  </w:footnote>
  <w:footnote w:id="8">
    <w:p w14:paraId="40B1982E" w14:textId="77777777" w:rsidR="00D82061" w:rsidRDefault="00D82061" w:rsidP="001E15CA">
      <w:pPr>
        <w:pStyle w:val="FootnoteText"/>
      </w:pPr>
      <w:r>
        <w:rPr>
          <w:rStyle w:val="FootnoteReference"/>
        </w:rPr>
        <w:footnoteRef/>
      </w:r>
      <w:r>
        <w:t xml:space="preserve"> S&amp;P Global market intelligence, </w:t>
      </w:r>
      <w:r w:rsidRPr="00E61061">
        <w:t>Australian fiber set for long-term gains</w:t>
      </w:r>
      <w:r>
        <w:t xml:space="preserve">, </w:t>
      </w:r>
      <w:r>
        <w:rPr>
          <w:i/>
          <w:iCs/>
        </w:rPr>
        <w:t>Kagan Research – S&amp;P Global Market Intelligence platform</w:t>
      </w:r>
      <w:r>
        <w:t>.</w:t>
      </w:r>
    </w:p>
  </w:footnote>
  <w:footnote w:id="9">
    <w:p w14:paraId="2ECA06CC" w14:textId="758CBC3A" w:rsidR="00D82061" w:rsidRDefault="00D82061">
      <w:pPr>
        <w:pStyle w:val="FootnoteText"/>
      </w:pPr>
      <w:r>
        <w:rPr>
          <w:rStyle w:val="FootnoteReference"/>
        </w:rPr>
        <w:footnoteRef/>
      </w:r>
      <w:r>
        <w:t xml:space="preserve"> WhistleOut, 2020, accessed 23 March 2020, &lt;</w:t>
      </w:r>
      <w:hyperlink r:id="rId3" w:history="1">
        <w:r w:rsidRPr="00A22166">
          <w:rPr>
            <w:rStyle w:val="Hyperlink"/>
          </w:rPr>
          <w:t>https://www.whistleout.com.au/Broadband/</w:t>
        </w:r>
        <w:r w:rsidRPr="00A22166">
          <w:rPr>
            <w:rStyle w:val="Hyperlink"/>
          </w:rPr>
          <w:br/>
          <w:t>Guides/every-telco-COVID-19-coronavirus-assistance-package</w:t>
        </w:r>
      </w:hyperlink>
      <w:r>
        <w:t xml:space="preserve">&gt;. </w:t>
      </w:r>
    </w:p>
  </w:footnote>
  <w:footnote w:id="10">
    <w:p w14:paraId="7EB810B1" w14:textId="20C69563" w:rsidR="00D82061" w:rsidRDefault="00D82061">
      <w:pPr>
        <w:pStyle w:val="FootnoteText"/>
      </w:pPr>
      <w:r>
        <w:rPr>
          <w:rStyle w:val="FootnoteReference"/>
        </w:rPr>
        <w:footnoteRef/>
      </w:r>
      <w:r>
        <w:t xml:space="preserve"> Telstra, 2020, accessed 23 March 2020, &lt;</w:t>
      </w:r>
      <w:hyperlink r:id="rId4" w:history="1">
        <w:r w:rsidRPr="00030C7E">
          <w:rPr>
            <w:rStyle w:val="Hyperlink"/>
          </w:rPr>
          <w:t>https://exchange.telstra.com.au/getting-through-covid-19-together/</w:t>
        </w:r>
      </w:hyperlink>
      <w:r>
        <w:t>&gt;</w:t>
      </w:r>
      <w:r w:rsidRPr="0010018E">
        <w:t>.</w:t>
      </w:r>
    </w:p>
  </w:footnote>
  <w:footnote w:id="11">
    <w:p w14:paraId="78280096" w14:textId="6EDFAE18" w:rsidR="00D82061" w:rsidRPr="007342CC" w:rsidRDefault="00D82061" w:rsidP="00AD4192">
      <w:pPr>
        <w:pStyle w:val="FootnoteText"/>
      </w:pPr>
      <w:r w:rsidRPr="007342CC">
        <w:rPr>
          <w:rStyle w:val="FootnoteReference"/>
          <w:rFonts w:cs="Arial"/>
        </w:rPr>
        <w:footnoteRef/>
      </w:r>
      <w:r w:rsidRPr="007342CC">
        <w:t xml:space="preserve"> </w:t>
      </w:r>
      <w:r>
        <w:t>ITU, 2017, accessed 27 April 2020, &lt;</w:t>
      </w:r>
      <w:hyperlink r:id="rId5" w:history="1">
        <w:r w:rsidRPr="00030C7E">
          <w:rPr>
            <w:rStyle w:val="Hyperlink"/>
          </w:rPr>
          <w:t>https://www.itu.int/pub/R-REP-M.2410-2017</w:t>
        </w:r>
      </w:hyperlink>
      <w:r>
        <w:t>&gt;.</w:t>
      </w:r>
    </w:p>
  </w:footnote>
  <w:footnote w:id="12">
    <w:p w14:paraId="31AB7F91" w14:textId="77777777" w:rsidR="00D82061" w:rsidRDefault="00D82061" w:rsidP="005E180F">
      <w:pPr>
        <w:pStyle w:val="FootnoteText"/>
      </w:pPr>
      <w:r>
        <w:rPr>
          <w:rStyle w:val="FootnoteReference"/>
        </w:rPr>
        <w:footnoteRef/>
      </w:r>
      <w:r>
        <w:t xml:space="preserve"> </w:t>
      </w:r>
      <w:r w:rsidRPr="006F542F">
        <w:t>mmWaves span 30</w:t>
      </w:r>
      <w:r>
        <w:t xml:space="preserve"> GHz</w:t>
      </w:r>
      <w:r w:rsidRPr="006F542F">
        <w:t xml:space="preserve"> to 300 GHz (</w:t>
      </w:r>
      <w:r>
        <w:t>that is,</w:t>
      </w:r>
      <w:r w:rsidRPr="006F542F">
        <w:t xml:space="preserve"> a wavelength of 1 cm to 1 mm), however</w:t>
      </w:r>
      <w:r>
        <w:t>,</w:t>
      </w:r>
      <w:r w:rsidRPr="006F542F">
        <w:t xml:space="preserve"> in the current 5G context, mmWave bands in consideration span from around 24 GHz up to 86 GHz.</w:t>
      </w:r>
    </w:p>
  </w:footnote>
  <w:footnote w:id="13">
    <w:p w14:paraId="7751D155" w14:textId="542CE7B3" w:rsidR="00D82061" w:rsidRDefault="00D82061">
      <w:pPr>
        <w:pStyle w:val="FootnoteText"/>
      </w:pPr>
      <w:r>
        <w:rPr>
          <w:rStyle w:val="FootnoteReference"/>
        </w:rPr>
        <w:footnoteRef/>
      </w:r>
      <w:r>
        <w:t xml:space="preserve"> Department of Infrastructure, Transport, Regional Development and Communications, 2017, accessed 27 April 2020, &lt;</w:t>
      </w:r>
      <w:hyperlink r:id="rId6" w:history="1">
        <w:r w:rsidRPr="00030C7E">
          <w:rPr>
            <w:rStyle w:val="Hyperlink"/>
          </w:rPr>
          <w:t>https://www.communications.gov.au/departmental-news/5g-enabling-future-economy</w:t>
        </w:r>
      </w:hyperlink>
      <w:r w:rsidRPr="00BF527D">
        <w:rPr>
          <w:rStyle w:val="Hyperlink"/>
          <w:color w:val="auto"/>
          <w:u w:val="none"/>
        </w:rPr>
        <w:t>&gt;.</w:t>
      </w:r>
    </w:p>
  </w:footnote>
  <w:footnote w:id="14">
    <w:p w14:paraId="7C1CD1B5" w14:textId="53B00092" w:rsidR="00D82061" w:rsidRDefault="00D82061" w:rsidP="003E723F">
      <w:pPr>
        <w:pStyle w:val="FootnoteText"/>
      </w:pPr>
      <w:r>
        <w:rPr>
          <w:rStyle w:val="FootnoteReference"/>
        </w:rPr>
        <w:footnoteRef/>
      </w:r>
      <w:r>
        <w:t xml:space="preserve"> SNS Telecom &amp; IT, </w:t>
      </w:r>
      <w:r w:rsidRPr="00A362EB">
        <w:t>The Private LTE &amp; 5G Network Ecosystem: 2020 – 2030 – Opportunities, Challenges, Strategies, Industry Verticals &amp; Forecasts</w:t>
      </w:r>
      <w:r>
        <w:t xml:space="preserve">: Regional forecasts, report, 20 October 2019, pp. 53, 96–99; and SNS Telecom &amp; IT, </w:t>
      </w:r>
      <w:r w:rsidRPr="00A362EB">
        <w:t>The Private LTE &amp; 5G Network Ecosystem: 2020 – 2030 – Opportunities, Challenges, Strategies, Industry Verticals &amp; Forecasts</w:t>
      </w:r>
      <w:r>
        <w:t>: Regional forecasts, spreadsheet, 20 October 2019.</w:t>
      </w:r>
    </w:p>
  </w:footnote>
  <w:footnote w:id="15">
    <w:p w14:paraId="19EAFAE1" w14:textId="111B7A38" w:rsidR="00D82061" w:rsidRDefault="00D82061" w:rsidP="00321721">
      <w:pPr>
        <w:pStyle w:val="FootnoteText"/>
      </w:pPr>
      <w:r>
        <w:rPr>
          <w:rStyle w:val="FootnoteReference"/>
        </w:rPr>
        <w:footnoteRef/>
      </w:r>
      <w:r>
        <w:t xml:space="preserve"> Ericsson, 2019, accessed 27 April 2020, &lt;</w:t>
      </w:r>
      <w:hyperlink r:id="rId7" w:history="1">
        <w:r w:rsidRPr="00030C7E">
          <w:rPr>
            <w:rStyle w:val="Hyperlink"/>
          </w:rPr>
          <w:t>https://www.ericsson.com/49d1d9/assets/local/mobility-report/documents/2019/ericsson-mobility-report-june-2019.pdf</w:t>
        </w:r>
      </w:hyperlink>
      <w:r>
        <w:t>&gt;, p. 19.</w:t>
      </w:r>
    </w:p>
  </w:footnote>
  <w:footnote w:id="16">
    <w:p w14:paraId="147CA770" w14:textId="77777777" w:rsidR="00D82061" w:rsidRDefault="00D82061" w:rsidP="00C16949">
      <w:pPr>
        <w:pStyle w:val="FootnoteText"/>
      </w:pPr>
      <w:r>
        <w:rPr>
          <w:rStyle w:val="FootnoteReference"/>
        </w:rPr>
        <w:footnoteRef/>
      </w:r>
      <w:r>
        <w:t xml:space="preserve"> M2M communications are used for automated data transmission and measurement between</w:t>
      </w:r>
    </w:p>
    <w:p w14:paraId="0D303ED8" w14:textId="77777777" w:rsidR="00D82061" w:rsidRDefault="00D82061" w:rsidP="00C16949">
      <w:pPr>
        <w:pStyle w:val="FootnoteText"/>
      </w:pPr>
      <w:r>
        <w:t>mechanical or electronic devices using wired and wireless networks. Much of the M2M</w:t>
      </w:r>
    </w:p>
    <w:p w14:paraId="0EE79F11" w14:textId="77777777" w:rsidR="00D82061" w:rsidRDefault="00D82061" w:rsidP="00C16949">
      <w:pPr>
        <w:pStyle w:val="FootnoteText"/>
      </w:pPr>
      <w:r>
        <w:t>information is delivered in the form of sparse data, which can come from sensors and other</w:t>
      </w:r>
    </w:p>
    <w:p w14:paraId="157390FD" w14:textId="66CE044C" w:rsidR="00D82061" w:rsidRDefault="00D82061" w:rsidP="00C16949">
      <w:pPr>
        <w:pStyle w:val="FootnoteText"/>
      </w:pPr>
      <w:r>
        <w:t>non-IT devices.</w:t>
      </w:r>
    </w:p>
  </w:footnote>
  <w:footnote w:id="17">
    <w:p w14:paraId="10DBBFCE" w14:textId="77777777" w:rsidR="00D82061" w:rsidRDefault="00D82061" w:rsidP="00C16949">
      <w:pPr>
        <w:pStyle w:val="FootnoteText"/>
      </w:pPr>
      <w:r>
        <w:rPr>
          <w:rStyle w:val="FootnoteReference"/>
        </w:rPr>
        <w:footnoteRef/>
      </w:r>
      <w:r>
        <w:t xml:space="preserve"> The interconnection of many devices and objects utilising internet protocols, with or without the</w:t>
      </w:r>
    </w:p>
    <w:p w14:paraId="5959EF3E" w14:textId="77777777" w:rsidR="00D82061" w:rsidRDefault="00D82061" w:rsidP="00C16949">
      <w:pPr>
        <w:pStyle w:val="FootnoteText"/>
      </w:pPr>
      <w:r>
        <w:t>active involvement of individuals. This may include laptops, routers, tablets and smartphones,</w:t>
      </w:r>
    </w:p>
    <w:p w14:paraId="5D300697" w14:textId="6A3BFA35" w:rsidR="00D82061" w:rsidRDefault="00D82061" w:rsidP="00C16949">
      <w:pPr>
        <w:pStyle w:val="FootnoteText"/>
      </w:pPr>
      <w:r>
        <w:t>which are integral to operating, reading and analysing the state of IoT devices.</w:t>
      </w:r>
    </w:p>
  </w:footnote>
  <w:footnote w:id="18">
    <w:p w14:paraId="00BB5AEB" w14:textId="5D2E4064" w:rsidR="00D82061" w:rsidRDefault="00D82061" w:rsidP="00827819">
      <w:pPr>
        <w:pStyle w:val="FootnoteText"/>
      </w:pPr>
      <w:r>
        <w:rPr>
          <w:rStyle w:val="FootnoteReference"/>
        </w:rPr>
        <w:footnoteRef/>
      </w:r>
      <w:r>
        <w:t xml:space="preserve"> </w:t>
      </w:r>
      <w:r w:rsidRPr="001A7C2A">
        <w:t>Ovum, Ovum Forecaster Service, subscriber-only database, Mobile connectivity – M2M subscriptions, accessed 13 February 2020.</w:t>
      </w:r>
      <w:r>
        <w:t xml:space="preserve"> </w:t>
      </w:r>
    </w:p>
  </w:footnote>
  <w:footnote w:id="19">
    <w:p w14:paraId="72213403" w14:textId="393D7DFA" w:rsidR="00D82061" w:rsidRDefault="00D82061" w:rsidP="00321721">
      <w:pPr>
        <w:pStyle w:val="FootnoteText"/>
      </w:pPr>
      <w:r>
        <w:rPr>
          <w:rStyle w:val="FootnoteReference"/>
        </w:rPr>
        <w:footnoteRef/>
      </w:r>
      <w:r>
        <w:t xml:space="preserve"> IoT Alliance Australia, </w:t>
      </w:r>
      <w:r w:rsidRPr="006A2F04">
        <w:rPr>
          <w:rStyle w:val="Hyperlink"/>
          <w:color w:val="auto"/>
          <w:u w:val="none"/>
        </w:rPr>
        <w:t>2018</w:t>
      </w:r>
      <w:r>
        <w:t>, accessed 27 April 2020, &lt;</w:t>
      </w:r>
      <w:hyperlink r:id="rId8" w:history="1">
        <w:r w:rsidRPr="00030C7E">
          <w:rPr>
            <w:rStyle w:val="Hyperlink"/>
          </w:rPr>
          <w:t>http://www.iot.org.au/wp/wp-content/uploads/2016/12/IoTAA_IoT-Platform-Selection-Guideline-V1.1-July-2018.pdf</w:t>
        </w:r>
      </w:hyperlink>
      <w:r>
        <w:t>&gt;.</w:t>
      </w:r>
    </w:p>
  </w:footnote>
  <w:footnote w:id="20">
    <w:p w14:paraId="782A32AC" w14:textId="77777777" w:rsidR="00D82061" w:rsidRDefault="00D82061" w:rsidP="00D91CDA">
      <w:pPr>
        <w:pStyle w:val="FootnoteText"/>
      </w:pPr>
      <w:r>
        <w:rPr>
          <w:rStyle w:val="FootnoteReference"/>
        </w:rPr>
        <w:footnoteRef/>
      </w:r>
      <w:r>
        <w:t xml:space="preserve"> The ABC’s services are delivered via 707 radio transmitters, 110 providing AM services and 597 providing FM services.</w:t>
      </w:r>
    </w:p>
  </w:footnote>
  <w:footnote w:id="21">
    <w:p w14:paraId="05E6D5F1" w14:textId="77777777" w:rsidR="00D82061" w:rsidRDefault="00D82061" w:rsidP="00D91CDA">
      <w:pPr>
        <w:pStyle w:val="FootnoteText"/>
      </w:pPr>
      <w:r>
        <w:rPr>
          <w:rStyle w:val="FootnoteReference"/>
        </w:rPr>
        <w:footnoteRef/>
      </w:r>
      <w:r>
        <w:t xml:space="preserve"> Retransmission services do no more than retransmit programs that are transmitted by a national,</w:t>
      </w:r>
    </w:p>
    <w:p w14:paraId="03AA2FEF" w14:textId="77777777" w:rsidR="00D82061" w:rsidRDefault="00D82061" w:rsidP="00D91CDA">
      <w:pPr>
        <w:pStyle w:val="FootnoteText"/>
      </w:pPr>
      <w:r>
        <w:t>commercial or community broadcasting service.</w:t>
      </w:r>
    </w:p>
  </w:footnote>
  <w:footnote w:id="22">
    <w:p w14:paraId="5511B6EE" w14:textId="0F08C4FD" w:rsidR="00D82061" w:rsidRDefault="00D82061">
      <w:pPr>
        <w:pStyle w:val="FootnoteText"/>
      </w:pPr>
      <w:r>
        <w:rPr>
          <w:rStyle w:val="FootnoteReference"/>
        </w:rPr>
        <w:footnoteRef/>
      </w:r>
      <w:r>
        <w:t xml:space="preserve"> Commercial Radio Australia, 2020, accessed 27 April 2020, &lt;</w:t>
      </w:r>
      <w:hyperlink r:id="rId9" w:history="1">
        <w:r w:rsidRPr="00AD38A0">
          <w:rPr>
            <w:rStyle w:val="Hyperlink"/>
          </w:rPr>
          <w:t>http://www.commercialradio.com.au/content/mediareleases/2020/2020-01-20-commercial-radio-metro-ad-revenue-for-2#</w:t>
        </w:r>
      </w:hyperlink>
      <w:r>
        <w:t>&gt;.</w:t>
      </w:r>
    </w:p>
  </w:footnote>
  <w:footnote w:id="23">
    <w:p w14:paraId="63D40BFD" w14:textId="29F242F7" w:rsidR="00D82061" w:rsidRDefault="00D82061">
      <w:pPr>
        <w:pStyle w:val="FootnoteText"/>
      </w:pPr>
      <w:r>
        <w:rPr>
          <w:rStyle w:val="FootnoteReference"/>
        </w:rPr>
        <w:footnoteRef/>
      </w:r>
      <w:r>
        <w:t xml:space="preserve"> Commercial Radio Australia, 2020, accessed 27 April 2020, &lt;</w:t>
      </w:r>
      <w:hyperlink r:id="rId10" w:anchor=".Xp4wkcgzZaQ&gt; " w:history="1">
        <w:r w:rsidRPr="00DC0E9A">
          <w:rPr>
            <w:rStyle w:val="Hyperlink"/>
          </w:rPr>
          <w:t>http://www.commercialradio.com.au/content/mediareleases/2020/commercial-radio-ad-revenue-for-march-quarter#.Xp4wkcgzZaQ</w:t>
        </w:r>
        <w:r w:rsidRPr="004275BC">
          <w:rPr>
            <w:rStyle w:val="Hyperlink"/>
            <w:color w:val="auto"/>
            <w:u w:val="none"/>
          </w:rPr>
          <w:t>&gt;</w:t>
        </w:r>
        <w:r w:rsidRPr="004275BC">
          <w:t xml:space="preserve"> </w:t>
        </w:r>
      </w:hyperlink>
      <w:r>
        <w:t>.</w:t>
      </w:r>
    </w:p>
  </w:footnote>
  <w:footnote w:id="24">
    <w:p w14:paraId="5C1F7C2E" w14:textId="6A571536" w:rsidR="00D82061" w:rsidRDefault="00D82061">
      <w:pPr>
        <w:pStyle w:val="FootnoteText"/>
      </w:pPr>
      <w:r>
        <w:rPr>
          <w:rStyle w:val="FootnoteReference"/>
        </w:rPr>
        <w:footnoteRef/>
      </w:r>
      <w:r>
        <w:t xml:space="preserve"> Radio Today, 2020, accessed 27 April 2020, &lt;</w:t>
      </w:r>
      <w:hyperlink r:id="rId11" w:history="1">
        <w:r w:rsidRPr="004E77F0">
          <w:rPr>
            <w:rStyle w:val="Hyperlink"/>
          </w:rPr>
          <w:t>https://www.radiotoday.com.au/arn-coronavirus-response/</w:t>
        </w:r>
      </w:hyperlink>
      <w:r>
        <w:t xml:space="preserve">&gt;. </w:t>
      </w:r>
    </w:p>
  </w:footnote>
  <w:footnote w:id="25">
    <w:p w14:paraId="06F76C6D" w14:textId="29D59ADA" w:rsidR="00D82061" w:rsidRDefault="00D82061">
      <w:pPr>
        <w:pStyle w:val="FootnoteText"/>
      </w:pPr>
      <w:r>
        <w:rPr>
          <w:rStyle w:val="FootnoteReference"/>
        </w:rPr>
        <w:footnoteRef/>
      </w:r>
      <w:r>
        <w:t xml:space="preserve"> Source: ASX Announcements from Seven West and Nine Entertainment.</w:t>
      </w:r>
    </w:p>
  </w:footnote>
  <w:footnote w:id="26">
    <w:p w14:paraId="5E95BBEC" w14:textId="512C7F46" w:rsidR="00D82061" w:rsidRDefault="00D82061">
      <w:pPr>
        <w:pStyle w:val="FootnoteText"/>
      </w:pPr>
      <w:r>
        <w:rPr>
          <w:rStyle w:val="FootnoteReference"/>
        </w:rPr>
        <w:footnoteRef/>
      </w:r>
      <w:r>
        <w:t xml:space="preserve"> Federal Register of Legislation, 2020, accessed 27 April 2020, &lt;</w:t>
      </w:r>
      <w:hyperlink r:id="rId12" w:history="1">
        <w:r w:rsidRPr="004E77F0">
          <w:rPr>
            <w:rStyle w:val="Hyperlink"/>
          </w:rPr>
          <w:t>https://www.legislation.gov.au/Details/F2020L00426/Explanatory%20Statement/Text</w:t>
        </w:r>
      </w:hyperlink>
      <w:r>
        <w:t>&gt;.</w:t>
      </w:r>
    </w:p>
  </w:footnote>
  <w:footnote w:id="27">
    <w:p w14:paraId="74D5BC4F" w14:textId="39BD00FC" w:rsidR="00D82061" w:rsidRDefault="00D82061" w:rsidP="00776BF2">
      <w:pPr>
        <w:pStyle w:val="FootnoteText"/>
      </w:pPr>
      <w:r>
        <w:rPr>
          <w:rStyle w:val="FootnoteReference"/>
        </w:rPr>
        <w:footnoteRef/>
      </w:r>
      <w:r>
        <w:t xml:space="preserve"> IBISWorld, </w:t>
      </w:r>
      <w:r w:rsidRPr="00E41E39">
        <w:t>Shoot</w:t>
      </w:r>
      <w:r>
        <w:t xml:space="preserve"> </w:t>
      </w:r>
      <w:r w:rsidRPr="00E41E39">
        <w:t>for</w:t>
      </w:r>
      <w:r>
        <w:t xml:space="preserve"> </w:t>
      </w:r>
      <w:r w:rsidRPr="00E41E39">
        <w:t>the</w:t>
      </w:r>
      <w:r>
        <w:t xml:space="preserve"> </w:t>
      </w:r>
      <w:r w:rsidRPr="00E41E39">
        <w:t>stars:</w:t>
      </w:r>
      <w:r>
        <w:t xml:space="preserve"> </w:t>
      </w:r>
      <w:r w:rsidRPr="00E41E39">
        <w:t>Industry</w:t>
      </w:r>
      <w:r>
        <w:t xml:space="preserve"> </w:t>
      </w:r>
      <w:r w:rsidRPr="00E41E39">
        <w:t>revenue</w:t>
      </w:r>
      <w:r>
        <w:t xml:space="preserve"> </w:t>
      </w:r>
      <w:r w:rsidRPr="00E41E39">
        <w:t>lifts</w:t>
      </w:r>
      <w:r>
        <w:t xml:space="preserve"> </w:t>
      </w:r>
      <w:r w:rsidRPr="00E41E39">
        <w:t>off</w:t>
      </w:r>
      <w:r>
        <w:t xml:space="preserve"> </w:t>
      </w:r>
      <w:r w:rsidRPr="00E41E39">
        <w:t>as</w:t>
      </w:r>
      <w:r>
        <w:t xml:space="preserve"> </w:t>
      </w:r>
      <w:r w:rsidRPr="00E41E39">
        <w:t>rising</w:t>
      </w:r>
      <w:r>
        <w:t xml:space="preserve"> </w:t>
      </w:r>
      <w:r w:rsidRPr="00E41E39">
        <w:t>demand</w:t>
      </w:r>
      <w:r>
        <w:t xml:space="preserve"> </w:t>
      </w:r>
      <w:r w:rsidRPr="00E41E39">
        <w:t>creates</w:t>
      </w:r>
      <w:r>
        <w:t xml:space="preserve"> </w:t>
      </w:r>
      <w:r w:rsidRPr="00E41E39">
        <w:t>space</w:t>
      </w:r>
      <w:r>
        <w:t xml:space="preserve"> </w:t>
      </w:r>
      <w:r w:rsidRPr="00E41E39">
        <w:t>for</w:t>
      </w:r>
      <w:r>
        <w:t xml:space="preserve"> </w:t>
      </w:r>
      <w:r w:rsidRPr="00E41E39">
        <w:t>new firms</w:t>
      </w:r>
      <w:r>
        <w:t xml:space="preserve">, </w:t>
      </w:r>
      <w:r w:rsidRPr="00E01EF1">
        <w:rPr>
          <w:i/>
          <w:iCs/>
        </w:rPr>
        <w:t>IBISWorld Industry Report J5</w:t>
      </w:r>
      <w:r>
        <w:rPr>
          <w:i/>
          <w:iCs/>
        </w:rPr>
        <w:t>545</w:t>
      </w:r>
      <w:r>
        <w:t>, January 2020, p. 5.</w:t>
      </w:r>
    </w:p>
  </w:footnote>
  <w:footnote w:id="28">
    <w:p w14:paraId="0EFDE23E" w14:textId="2E64A9AA" w:rsidR="00D82061" w:rsidRDefault="00D82061">
      <w:pPr>
        <w:pStyle w:val="FootnoteText"/>
      </w:pPr>
      <w:r>
        <w:rPr>
          <w:rStyle w:val="FootnoteReference"/>
        </w:rPr>
        <w:footnoteRef/>
      </w:r>
      <w:r>
        <w:t xml:space="preserve"> Department of Industry, Science, Energy and Resources, 2019, accessed 24 March 2020, &lt;</w:t>
      </w:r>
      <w:hyperlink r:id="rId13" w:history="1">
        <w:r>
          <w:rPr>
            <w:rStyle w:val="Hyperlink"/>
          </w:rPr>
          <w:t>https://www.industry.gov.au/data-and-publications/australian-civil-space-strategy-2019-2028</w:t>
        </w:r>
      </w:hyperlink>
      <w:r>
        <w:t>&gt;, p. III.</w:t>
      </w:r>
    </w:p>
  </w:footnote>
  <w:footnote w:id="29">
    <w:p w14:paraId="46A61484" w14:textId="77777777" w:rsidR="00D82061" w:rsidRDefault="00D82061" w:rsidP="00D24E23">
      <w:pPr>
        <w:pStyle w:val="FootnoteText"/>
      </w:pPr>
      <w:r>
        <w:rPr>
          <w:rStyle w:val="FootnoteReference"/>
          <w:rFonts w:eastAsiaTheme="majorEastAsia"/>
        </w:rPr>
        <w:footnoteRef/>
      </w:r>
      <w:r>
        <w:t xml:space="preserve"> FSS earth stations (as the name suggests) are intended to be at fixed locations on land. Spectrum planning, coordination and regulatory arrangements for FSS are designed on the principle that earth stations are at a fixed location and as such, moving earth stations are not typically supported by existing FSS arrangements.</w:t>
      </w:r>
    </w:p>
  </w:footnote>
  <w:footnote w:id="30">
    <w:p w14:paraId="6C6DE27E" w14:textId="08FDAF31" w:rsidR="00D82061" w:rsidRDefault="00D82061" w:rsidP="00D24E23">
      <w:pPr>
        <w:pStyle w:val="FootnoteText"/>
      </w:pPr>
      <w:r>
        <w:rPr>
          <w:rStyle w:val="FootnoteReference"/>
        </w:rPr>
        <w:footnoteRef/>
      </w:r>
      <w:r>
        <w:t xml:space="preserve"> ACMA, 2017, accessed 27 April 2020, &lt;</w:t>
      </w:r>
      <w:hyperlink r:id="rId14" w:history="1">
        <w:r>
          <w:rPr>
            <w:rStyle w:val="Hyperlink"/>
          </w:rPr>
          <w:t>https://www.acma.gov.au/publications/2017-10/report/regulatory-arrangements-gso-and-ngso-esims-response</w:t>
        </w:r>
      </w:hyperlink>
      <w:r>
        <w:t>&gt;.</w:t>
      </w:r>
    </w:p>
  </w:footnote>
  <w:footnote w:id="31">
    <w:p w14:paraId="4E96F41C" w14:textId="44531BD4" w:rsidR="00D82061" w:rsidRDefault="00D82061" w:rsidP="00D24E23">
      <w:pPr>
        <w:pStyle w:val="FootnoteText"/>
      </w:pPr>
      <w:r>
        <w:rPr>
          <w:rStyle w:val="FootnoteReference"/>
        </w:rPr>
        <w:footnoteRef/>
      </w:r>
      <w:r>
        <w:t xml:space="preserve"> ACMA, 2019, accessed 27 April 2020, &lt;</w:t>
      </w:r>
      <w:hyperlink r:id="rId15" w:history="1">
        <w:r w:rsidRPr="004E77F0">
          <w:rPr>
            <w:rStyle w:val="Hyperlink"/>
          </w:rPr>
          <w:t>https://www.acma.gov.au/consultations/2019-12/improved-spectrum-access-and-pricing-satellite-services-consultation-402019</w:t>
        </w:r>
      </w:hyperlink>
      <w:r>
        <w:t>&gt;.</w:t>
      </w:r>
    </w:p>
  </w:footnote>
  <w:footnote w:id="32">
    <w:p w14:paraId="58F39387" w14:textId="75A9A3F2" w:rsidR="00D82061" w:rsidRDefault="00D82061" w:rsidP="00D24E23">
      <w:pPr>
        <w:pStyle w:val="FootnoteText"/>
      </w:pPr>
      <w:r>
        <w:rPr>
          <w:rStyle w:val="FootnoteReference"/>
        </w:rPr>
        <w:footnoteRef/>
      </w:r>
      <w:r>
        <w:t xml:space="preserve"> Department of Infrastructure, Transport, Regional Development and Communications, 2019, accessed </w:t>
      </w:r>
      <w:r w:rsidDel="002C1FCC">
        <w:t>11 February 2020</w:t>
      </w:r>
      <w:r>
        <w:t xml:space="preserve">, </w:t>
      </w:r>
      <w:hyperlink r:id="rId16" w:history="1">
        <w:r w:rsidRPr="004E77F0">
          <w:rPr>
            <w:rStyle w:val="Hyperlink"/>
          </w:rPr>
          <w:t>https://www.communications.gov.au/documents/australian-government-held-spectrum-report</w:t>
        </w:r>
      </w:hyperlink>
      <w:r>
        <w:t>&gt;</w:t>
      </w:r>
      <w:r w:rsidDel="002C1FCC">
        <w:t xml:space="preserve">, </w:t>
      </w:r>
      <w:r>
        <w:t>p. 7.</w:t>
      </w:r>
    </w:p>
  </w:footnote>
  <w:footnote w:id="33">
    <w:p w14:paraId="136F8746" w14:textId="77777777" w:rsidR="00D82061" w:rsidRDefault="00D82061" w:rsidP="00D24E23">
      <w:pPr>
        <w:pStyle w:val="FootnoteText"/>
      </w:pPr>
      <w:r>
        <w:rPr>
          <w:rStyle w:val="FootnoteReference"/>
        </w:rPr>
        <w:footnoteRef/>
      </w:r>
      <w:r>
        <w:t xml:space="preserve"> </w:t>
      </w:r>
      <w:r w:rsidRPr="008469A4">
        <w:t>Airservices is responsible for the Aeronautical Radiofrequency Spectrum within Australia and its Territories. Airservices is able to provide a frequency assignment service as a first step to obtaining a radio communication apparatus licence to operate a radio transmitter within the Aeronautical bands.</w:t>
      </w:r>
    </w:p>
  </w:footnote>
  <w:footnote w:id="34">
    <w:p w14:paraId="38A54B1E" w14:textId="29E960F1" w:rsidR="00D82061" w:rsidRDefault="00D82061" w:rsidP="00D24E23">
      <w:pPr>
        <w:pStyle w:val="FootnoteText"/>
      </w:pPr>
      <w:r>
        <w:rPr>
          <w:rStyle w:val="FootnoteReference"/>
        </w:rPr>
        <w:footnoteRef/>
      </w:r>
      <w:r>
        <w:t xml:space="preserve"> Department of Infrastructure, Transport, Regional Development and Communications, 2019, accessed </w:t>
      </w:r>
      <w:r w:rsidDel="002C1FCC">
        <w:t>11 February 2020</w:t>
      </w:r>
      <w:r>
        <w:t xml:space="preserve">, </w:t>
      </w:r>
      <w:hyperlink r:id="rId17" w:history="1">
        <w:r w:rsidRPr="004E77F0">
          <w:rPr>
            <w:rStyle w:val="Hyperlink"/>
          </w:rPr>
          <w:t>https://www.communications.gov.au/documents/australian-government-held-spectrum-report</w:t>
        </w:r>
      </w:hyperlink>
      <w:r>
        <w:t>&gt;</w:t>
      </w:r>
      <w:r w:rsidDel="002C1FCC">
        <w:t xml:space="preserve">, </w:t>
      </w:r>
      <w:r>
        <w:t>p. 11.</w:t>
      </w:r>
    </w:p>
  </w:footnote>
  <w:footnote w:id="35">
    <w:p w14:paraId="383F8AB3" w14:textId="6FE3C48E" w:rsidR="00D82061" w:rsidRDefault="00D82061" w:rsidP="00D24E23">
      <w:pPr>
        <w:pStyle w:val="FootnoteText"/>
      </w:pPr>
      <w:r>
        <w:rPr>
          <w:rStyle w:val="FootnoteReference"/>
        </w:rPr>
        <w:footnoteRef/>
      </w:r>
      <w:r>
        <w:t xml:space="preserve"> Air Services Australia, 2015, accessed 27 April 2020, &lt;</w:t>
      </w:r>
      <w:hyperlink r:id="rId18" w:history="1">
        <w:r w:rsidRPr="00C36CF6">
          <w:rPr>
            <w:rStyle w:val="Hyperlink"/>
          </w:rPr>
          <w:t>http://www.airservicesaustralia.com/wp-content/uploads/15-190BKT_ATM-services-five-year-plan-2015-2020_WEB.pdf</w:t>
        </w:r>
      </w:hyperlink>
      <w:r>
        <w:t>&gt;.</w:t>
      </w:r>
    </w:p>
  </w:footnote>
  <w:footnote w:id="36">
    <w:p w14:paraId="2414EFC5" w14:textId="4802C4F7" w:rsidR="00D82061" w:rsidRDefault="00D82061">
      <w:pPr>
        <w:pStyle w:val="FootnoteText"/>
      </w:pPr>
      <w:r>
        <w:rPr>
          <w:rStyle w:val="FootnoteReference"/>
        </w:rPr>
        <w:footnoteRef/>
      </w:r>
      <w:r>
        <w:t xml:space="preserve"> Productivity Commission, 2015, accessed 27 April 2020, &lt;</w:t>
      </w:r>
      <w:hyperlink r:id="rId19" w:history="1">
        <w:r w:rsidRPr="00C36CF6">
          <w:rPr>
            <w:rStyle w:val="Hyperlink"/>
          </w:rPr>
          <w:t>https://www.pc.gov.au/inquiries/completed/public-safety-mobile-broadband</w:t>
        </w:r>
      </w:hyperlink>
      <w:r>
        <w:rPr>
          <w:rStyle w:val="Hyperlink"/>
        </w:rPr>
        <w:t>&gt;.</w:t>
      </w:r>
      <w:r>
        <w:t xml:space="preserve"> </w:t>
      </w:r>
    </w:p>
  </w:footnote>
  <w:footnote w:id="37">
    <w:p w14:paraId="2FD5B3EB" w14:textId="6303E75B" w:rsidR="00D82061" w:rsidRPr="00AC568A" w:rsidRDefault="00D82061">
      <w:pPr>
        <w:pStyle w:val="FootnoteText"/>
      </w:pPr>
      <w:r>
        <w:rPr>
          <w:rStyle w:val="FootnoteReference"/>
        </w:rPr>
        <w:footnoteRef/>
      </w:r>
      <w:r>
        <w:t xml:space="preserve"> M Cave and W Webb, </w:t>
      </w:r>
      <w:r>
        <w:rPr>
          <w:i/>
        </w:rPr>
        <w:t>Spectrum Management</w:t>
      </w:r>
      <w:r>
        <w:t>, Cambridge University Press, Cambridge, 2015, p. 5 and Chapter 8.</w:t>
      </w:r>
    </w:p>
  </w:footnote>
  <w:footnote w:id="38">
    <w:p w14:paraId="34640C4C" w14:textId="65503B72" w:rsidR="00D82061" w:rsidRDefault="00D82061" w:rsidP="00EA54D5">
      <w:pPr>
        <w:pStyle w:val="FootnoteText"/>
      </w:pPr>
      <w:r>
        <w:rPr>
          <w:rStyle w:val="FootnoteReference"/>
        </w:rPr>
        <w:footnoteRef/>
      </w:r>
      <w:r>
        <w:t xml:space="preserve"> </w:t>
      </w:r>
      <w:r w:rsidRPr="003072AC">
        <w:t>Cisco</w:t>
      </w:r>
      <w:r w:rsidRPr="00856C29">
        <w:t>, 2016, accessed 27 April 2020,</w:t>
      </w:r>
      <w:r>
        <w:rPr>
          <w:i/>
          <w:iCs/>
        </w:rPr>
        <w:t xml:space="preserve"> </w:t>
      </w:r>
      <w:r>
        <w:t>&lt;</w:t>
      </w:r>
      <w:hyperlink r:id="rId20" w:history="1">
        <w:r w:rsidRPr="000B76DA">
          <w:rPr>
            <w:rStyle w:val="Hyperlink"/>
          </w:rPr>
          <w:t>http://www.cisco.com/c/en/us/solutions/collateral/service-provider/visual-networking-index-vni/mobile-white-paper-c11-520862.pdf</w:t>
        </w:r>
      </w:hyperlink>
      <w:r>
        <w:t>&gt;, pp. 24–25.</w:t>
      </w:r>
    </w:p>
  </w:footnote>
  <w:footnote w:id="39">
    <w:p w14:paraId="7D3895D9" w14:textId="2CD0AE23" w:rsidR="00D82061" w:rsidRDefault="00D82061" w:rsidP="00D24E23">
      <w:pPr>
        <w:pStyle w:val="FootnoteText"/>
      </w:pPr>
      <w:r>
        <w:rPr>
          <w:rStyle w:val="FootnoteReference"/>
        </w:rPr>
        <w:footnoteRef/>
      </w:r>
      <w:r>
        <w:t xml:space="preserve"> FCC, 2020, accessed 27 April 2020, &lt;</w:t>
      </w:r>
      <w:hyperlink r:id="rId21" w:history="1">
        <w:r w:rsidRPr="000B76DA">
          <w:rPr>
            <w:rStyle w:val="Hyperlink"/>
          </w:rPr>
          <w:t>https://docs.fcc.gov/public/attachments/DOC-363490A1.pdf</w:t>
        </w:r>
      </w:hyperlink>
      <w:r>
        <w:rPr>
          <w:rStyle w:val="Hyperlink"/>
        </w:rPr>
        <w:t>&gt;</w:t>
      </w:r>
      <w:r>
        <w:t>.</w:t>
      </w:r>
    </w:p>
  </w:footnote>
  <w:footnote w:id="40">
    <w:p w14:paraId="334A2ABE" w14:textId="77777777" w:rsidR="00D82061" w:rsidRDefault="00D82061" w:rsidP="00B977A2">
      <w:pPr>
        <w:pStyle w:val="FootnoteText"/>
      </w:pPr>
      <w:r>
        <w:rPr>
          <w:rStyle w:val="FootnoteReference"/>
        </w:rPr>
        <w:footnoteRef/>
      </w:r>
      <w:r>
        <w:t xml:space="preserve"> This lower boundary (617 MHz) is based on the bottom edge of the 2 x 35 MHz plan identified for the US 600 MHz band. The size of any guard band between the bottom of possible 600 MHz arrangements and the upper edge of ongoing broadcasting would need to be considered as part of any review of the band. The upper boundary aligns with the top edge of the US 600 MHz band plan, noting that the top edge of the highest channel used for broadcasting in Australia ceases at 694 MHz.</w:t>
      </w:r>
    </w:p>
  </w:footnote>
  <w:footnote w:id="41">
    <w:p w14:paraId="026C4009" w14:textId="01AEA99F" w:rsidR="00D82061" w:rsidRDefault="00D82061" w:rsidP="00B977A2">
      <w:pPr>
        <w:pStyle w:val="FootnoteText"/>
      </w:pPr>
      <w:r>
        <w:rPr>
          <w:rStyle w:val="FootnoteReference"/>
        </w:rPr>
        <w:footnoteRef/>
      </w:r>
      <w:r>
        <w:t xml:space="preserve"> FCC, 2017, accessed 27 April 2020, &lt;</w:t>
      </w:r>
      <w:hyperlink r:id="rId22" w:anchor="block-menu-block-4" w:history="1">
        <w:r w:rsidRPr="009D5DC9">
          <w:rPr>
            <w:rStyle w:val="Hyperlink"/>
          </w:rPr>
          <w:t>https://www.fcc.gov/about-fcc/fcc-initiatives/incentive-auctions#block-menu-block-4</w:t>
        </w:r>
      </w:hyperlink>
      <w:r>
        <w:t xml:space="preserve">&gt;. </w:t>
      </w:r>
    </w:p>
  </w:footnote>
  <w:footnote w:id="42">
    <w:p w14:paraId="0DE137FE" w14:textId="53658A93" w:rsidR="00D82061" w:rsidRDefault="00D82061" w:rsidP="00B977A2">
      <w:pPr>
        <w:pStyle w:val="FootnoteText"/>
      </w:pPr>
      <w:r>
        <w:rPr>
          <w:rStyle w:val="FootnoteReference"/>
        </w:rPr>
        <w:footnoteRef/>
      </w:r>
      <w:r>
        <w:t xml:space="preserve"> T-Mobile, 2019, accessed 27 April 2020, &lt;</w:t>
      </w:r>
      <w:hyperlink r:id="rId23" w:history="1">
        <w:r w:rsidRPr="00647402">
          <w:rPr>
            <w:rStyle w:val="Hyperlink"/>
          </w:rPr>
          <w:t>https://www.t-mobile.com/news/americas-first-nationwide-5g-network</w:t>
        </w:r>
      </w:hyperlink>
      <w:r>
        <w:t xml:space="preserve">&gt;. </w:t>
      </w:r>
    </w:p>
  </w:footnote>
  <w:footnote w:id="43">
    <w:p w14:paraId="0DDA5BA0" w14:textId="64388BC6" w:rsidR="00D82061" w:rsidRDefault="00D82061" w:rsidP="00B977A2">
      <w:pPr>
        <w:pStyle w:val="FootnoteText"/>
      </w:pPr>
      <w:r>
        <w:rPr>
          <w:rStyle w:val="FootnoteReference"/>
        </w:rPr>
        <w:footnoteRef/>
      </w:r>
      <w:r>
        <w:t xml:space="preserve"> Global mobile Suppliers Association, 2020, accessed 27 April 2020, &lt;</w:t>
      </w:r>
      <w:hyperlink r:id="rId24" w:history="1">
        <w:r w:rsidRPr="00647402">
          <w:rPr>
            <w:rStyle w:val="Hyperlink"/>
          </w:rPr>
          <w:t>https://gsacom.com/paper/5g-spectrum-report-february-2020/</w:t>
        </w:r>
      </w:hyperlink>
      <w:r>
        <w:t>&gt;.</w:t>
      </w:r>
    </w:p>
  </w:footnote>
  <w:footnote w:id="44">
    <w:p w14:paraId="113A8F60" w14:textId="01B3657B" w:rsidR="00D82061" w:rsidRDefault="00D82061" w:rsidP="00B977A2">
      <w:pPr>
        <w:pStyle w:val="FootnoteText"/>
      </w:pPr>
      <w:r>
        <w:rPr>
          <w:rStyle w:val="FootnoteReference"/>
        </w:rPr>
        <w:footnoteRef/>
      </w:r>
      <w:r>
        <w:t xml:space="preserve"> 5G WorldPro, 2019, accessed 27 April 2020, </w:t>
      </w:r>
      <w:hyperlink r:id="rId25" w:history="1">
        <w:r w:rsidRPr="004F67A0">
          <w:rPr>
            <w:rStyle w:val="Hyperlink"/>
          </w:rPr>
          <w:t>https://www.5gworldpro.com/5g-news/110-5g-auctions-around-the-world.html</w:t>
        </w:r>
      </w:hyperlink>
      <w:r>
        <w:t xml:space="preserve">&gt;. </w:t>
      </w:r>
    </w:p>
  </w:footnote>
  <w:footnote w:id="45">
    <w:p w14:paraId="0E9B2274" w14:textId="53F52753" w:rsidR="00D82061" w:rsidRDefault="00D82061" w:rsidP="00B977A2">
      <w:pPr>
        <w:pStyle w:val="FootnoteText"/>
      </w:pPr>
      <w:r>
        <w:rPr>
          <w:rStyle w:val="FootnoteReference"/>
        </w:rPr>
        <w:footnoteRef/>
      </w:r>
      <w:r>
        <w:t xml:space="preserve"> Global mobile Suppliers Association, 2020, accessed 27 April 2020, &lt;</w:t>
      </w:r>
      <w:hyperlink r:id="rId26" w:history="1">
        <w:r w:rsidRPr="00647402">
          <w:rPr>
            <w:rStyle w:val="Hyperlink"/>
          </w:rPr>
          <w:t>https://gsacom.com/paper/5g-spectrum-report-february-2020/</w:t>
        </w:r>
      </w:hyperlink>
      <w:r>
        <w:t>&gt;.</w:t>
      </w:r>
    </w:p>
  </w:footnote>
  <w:footnote w:id="46">
    <w:p w14:paraId="22283555" w14:textId="7CF55CE5" w:rsidR="00D82061" w:rsidRDefault="00D82061" w:rsidP="00B977A2">
      <w:pPr>
        <w:pStyle w:val="FootnoteText"/>
      </w:pPr>
      <w:r>
        <w:rPr>
          <w:rStyle w:val="FootnoteReference"/>
        </w:rPr>
        <w:footnoteRef/>
      </w:r>
      <w:r>
        <w:t xml:space="preserve"> 5G WorldPro, 2019, accessed 27 April 2020, </w:t>
      </w:r>
      <w:hyperlink r:id="rId27" w:history="1">
        <w:r w:rsidRPr="004F67A0">
          <w:rPr>
            <w:rStyle w:val="Hyperlink"/>
          </w:rPr>
          <w:t>https://www.5gworldpro.com/5g-news/110-5g-auctions-around-the-world.html</w:t>
        </w:r>
      </w:hyperlink>
      <w:r>
        <w:t>&gt;.</w:t>
      </w:r>
    </w:p>
  </w:footnote>
  <w:footnote w:id="47">
    <w:p w14:paraId="7B92CF06" w14:textId="29A44D5A" w:rsidR="00D82061" w:rsidRDefault="00D82061" w:rsidP="00B977A2">
      <w:pPr>
        <w:pStyle w:val="FootnoteText"/>
      </w:pPr>
      <w:r>
        <w:rPr>
          <w:rStyle w:val="FootnoteReference"/>
        </w:rPr>
        <w:footnoteRef/>
      </w:r>
      <w:r>
        <w:t xml:space="preserve"> Global mobile Suppliers Association, 2020, accessed 27 April 2020, &lt;</w:t>
      </w:r>
      <w:hyperlink r:id="rId28" w:history="1">
        <w:r w:rsidRPr="00647402">
          <w:rPr>
            <w:rStyle w:val="Hyperlink"/>
          </w:rPr>
          <w:t>https://gsacom.com/paper/5g-spectrum-report-february-2020/</w:t>
        </w:r>
      </w:hyperlink>
      <w:r>
        <w:t>&gt;.</w:t>
      </w:r>
    </w:p>
  </w:footnote>
  <w:footnote w:id="48">
    <w:p w14:paraId="4A1D0E84" w14:textId="77777777" w:rsidR="00D82061" w:rsidRDefault="00D82061" w:rsidP="00B977A2">
      <w:pPr>
        <w:pStyle w:val="FootnoteText"/>
        <w:rPr>
          <w:rFonts w:cs="Arial"/>
        </w:rPr>
      </w:pPr>
      <w:r>
        <w:rPr>
          <w:rStyle w:val="FootnoteReference"/>
        </w:rPr>
        <w:footnoteRef/>
      </w:r>
      <w:r>
        <w:rPr>
          <w:rFonts w:cs="Arial"/>
        </w:rPr>
        <w:t xml:space="preserve"> In accordance with ITU-R Resolution </w:t>
      </w:r>
      <w:r>
        <w:rPr>
          <w:rFonts w:cs="Arial"/>
          <w:b/>
        </w:rPr>
        <w:t>646</w:t>
      </w:r>
      <w:r>
        <w:rPr>
          <w:rFonts w:cs="Arial"/>
        </w:rPr>
        <w:t>.</w:t>
      </w:r>
    </w:p>
  </w:footnote>
  <w:footnote w:id="49">
    <w:p w14:paraId="11A55B27" w14:textId="21DF0FF8" w:rsidR="00D82061" w:rsidRDefault="00D82061" w:rsidP="00B977A2">
      <w:pPr>
        <w:pStyle w:val="FootnoteText"/>
      </w:pPr>
      <w:r>
        <w:rPr>
          <w:rStyle w:val="FootnoteReference"/>
        </w:rPr>
        <w:footnoteRef/>
      </w:r>
      <w:r>
        <w:t xml:space="preserve"> European Communications Office, 2019, accessed 27 April 2020, &lt;</w:t>
      </w:r>
      <w:hyperlink r:id="rId29" w:history="1">
        <w:r w:rsidRPr="00E70708">
          <w:rPr>
            <w:rStyle w:val="Hyperlink"/>
          </w:rPr>
          <w:t>https://eccwp.cept.org/WI_Detail.aspx?wiid=667</w:t>
        </w:r>
      </w:hyperlink>
      <w:r>
        <w:t xml:space="preserve">&gt;. </w:t>
      </w:r>
    </w:p>
  </w:footnote>
  <w:footnote w:id="50">
    <w:p w14:paraId="138A47A0" w14:textId="2416E772" w:rsidR="00D82061" w:rsidRDefault="00D82061" w:rsidP="00B977A2">
      <w:pPr>
        <w:pStyle w:val="FootnoteText"/>
      </w:pPr>
      <w:r>
        <w:rPr>
          <w:rStyle w:val="FootnoteReference"/>
        </w:rPr>
        <w:footnoteRef/>
      </w:r>
      <w:r>
        <w:t xml:space="preserve"> Global mobile Suppliers Association, 2020, accessed 27 April 2020, &lt;</w:t>
      </w:r>
      <w:hyperlink r:id="rId30" w:history="1">
        <w:r w:rsidRPr="00647402">
          <w:rPr>
            <w:rStyle w:val="Hyperlink"/>
          </w:rPr>
          <w:t>https://gsacom.com/paper/5g-spectrum-report-february-2020/</w:t>
        </w:r>
      </w:hyperlink>
      <w:r>
        <w:t>&gt;.</w:t>
      </w:r>
    </w:p>
  </w:footnote>
  <w:footnote w:id="51">
    <w:p w14:paraId="2BBB3C0D" w14:textId="1A453778" w:rsidR="00D82061" w:rsidRDefault="00D82061" w:rsidP="00A25629">
      <w:pPr>
        <w:pStyle w:val="FootnoteText"/>
      </w:pPr>
      <w:r>
        <w:rPr>
          <w:rStyle w:val="FootnoteReference"/>
        </w:rPr>
        <w:footnoteRef/>
      </w:r>
      <w:r>
        <w:t xml:space="preserve"> ibid.</w:t>
      </w:r>
    </w:p>
  </w:footnote>
  <w:footnote w:id="52">
    <w:p w14:paraId="4FC4B640" w14:textId="44410FEC" w:rsidR="00D82061" w:rsidRDefault="00D82061" w:rsidP="00B2132C">
      <w:pPr>
        <w:pStyle w:val="FootnoteText"/>
      </w:pPr>
      <w:r>
        <w:rPr>
          <w:rStyle w:val="FootnoteReference"/>
        </w:rPr>
        <w:footnoteRef/>
      </w:r>
      <w:r>
        <w:t xml:space="preserve"> FCC, 2020, accessed 27 April 2020, &lt;</w:t>
      </w:r>
      <w:hyperlink r:id="rId31" w:history="1">
        <w:r w:rsidRPr="003E4DCF">
          <w:rPr>
            <w:rStyle w:val="Hyperlink"/>
          </w:rPr>
          <w:t>https://www.fcc.gov/document/summary-chairman-pais-c-band-proposal</w:t>
        </w:r>
      </w:hyperlink>
      <w:r>
        <w:t>&gt;.</w:t>
      </w:r>
    </w:p>
    <w:p w14:paraId="68F6C421" w14:textId="77777777" w:rsidR="00D82061" w:rsidRDefault="00D82061" w:rsidP="00B2132C">
      <w:pPr>
        <w:pStyle w:val="FootnoteText"/>
      </w:pPr>
    </w:p>
  </w:footnote>
  <w:footnote w:id="53">
    <w:p w14:paraId="28827FFB" w14:textId="5895AAEE" w:rsidR="00D82061" w:rsidRDefault="00D82061">
      <w:pPr>
        <w:pStyle w:val="FootnoteText"/>
      </w:pPr>
      <w:r>
        <w:rPr>
          <w:rStyle w:val="FootnoteReference"/>
        </w:rPr>
        <w:footnoteRef/>
      </w:r>
      <w:r>
        <w:t xml:space="preserve"> ACMA, 2019, accessed 27 April 2020, &lt;</w:t>
      </w:r>
      <w:hyperlink r:id="rId32" w:history="1">
        <w:r w:rsidRPr="003E4DCF">
          <w:rPr>
            <w:rStyle w:val="Hyperlink"/>
          </w:rPr>
          <w:t>https://www.acma.gov.au/consultations/2019-12/improved-spectrum-access-and-pricing-satellite-services-consultation-402019</w:t>
        </w:r>
      </w:hyperlink>
      <w:r>
        <w:t>&gt;.</w:t>
      </w:r>
    </w:p>
  </w:footnote>
  <w:footnote w:id="54">
    <w:p w14:paraId="3340C897" w14:textId="62F6FD8A" w:rsidR="00D82061" w:rsidRDefault="00D82061">
      <w:pPr>
        <w:pStyle w:val="FootnoteText"/>
      </w:pPr>
      <w:r>
        <w:rPr>
          <w:rStyle w:val="FootnoteReference"/>
        </w:rPr>
        <w:footnoteRef/>
      </w:r>
      <w:r>
        <w:t xml:space="preserve"> ACMA, 2019, accessed 27 April 2020, &lt;</w:t>
      </w:r>
      <w:hyperlink r:id="rId33" w:history="1">
        <w:r w:rsidRPr="003E4DCF">
          <w:rPr>
            <w:rStyle w:val="Hyperlink"/>
          </w:rPr>
          <w:t>https://www.acma.gov.au/publications/2019-08/publication/frequency-coordination-requirements-between-microwave-fixed-point-point-links-and-fss-earth-stations</w:t>
        </w:r>
      </w:hyperlink>
      <w:r>
        <w:t xml:space="preserve">&gt;. </w:t>
      </w:r>
    </w:p>
  </w:footnote>
  <w:footnote w:id="55">
    <w:p w14:paraId="3B02E9ED" w14:textId="6C79187E" w:rsidR="00D82061" w:rsidRDefault="00D82061">
      <w:pPr>
        <w:pStyle w:val="FootnoteText"/>
      </w:pPr>
      <w:r>
        <w:rPr>
          <w:rStyle w:val="FootnoteReference"/>
        </w:rPr>
        <w:footnoteRef/>
      </w:r>
      <w:r>
        <w:t xml:space="preserve"> ACMA, 2019, accessed 27 April 2020, &lt;</w:t>
      </w:r>
      <w:hyperlink r:id="rId34" w:history="1">
        <w:r w:rsidRPr="003E4DCF">
          <w:rPr>
            <w:rStyle w:val="Hyperlink"/>
          </w:rPr>
          <w:t>https://www.acma.gov.au/consultations/2019-11/review-space-licensing-procedures-consultation-382019</w:t>
        </w:r>
      </w:hyperlink>
      <w:r>
        <w:t xml:space="preserve">&gt;. </w:t>
      </w:r>
    </w:p>
  </w:footnote>
  <w:footnote w:id="56">
    <w:p w14:paraId="1A74B339" w14:textId="2A218416" w:rsidR="00D82061" w:rsidRDefault="00D82061">
      <w:pPr>
        <w:pStyle w:val="FootnoteText"/>
      </w:pPr>
      <w:r>
        <w:rPr>
          <w:rStyle w:val="FootnoteReference"/>
        </w:rPr>
        <w:footnoteRef/>
      </w:r>
      <w:r>
        <w:t xml:space="preserve"> </w:t>
      </w:r>
      <w:r>
        <w:rPr>
          <w:rFonts w:eastAsia="Calibri"/>
        </w:rPr>
        <w:t xml:space="preserve">The ACMA component of the </w:t>
      </w:r>
      <w:r>
        <w:t>Portfolio Charging Review process will review all existing and potential charging activities, evaluate the performance of charging activities, identify opportunities to amend or discontinue specific charging activities and assess the effectiveness of stakeholder engagement strategies and opportunities for improvement. Like all current charges, ACMA satellite filing charges will be reviewed in that process.</w:t>
      </w:r>
    </w:p>
  </w:footnote>
  <w:footnote w:id="57">
    <w:p w14:paraId="3F6F3427" w14:textId="3794F1E4" w:rsidR="00D82061" w:rsidRDefault="00D82061">
      <w:pPr>
        <w:pStyle w:val="FootnoteText"/>
      </w:pPr>
      <w:r>
        <w:rPr>
          <w:rStyle w:val="FootnoteReference"/>
        </w:rPr>
        <w:footnoteRef/>
      </w:r>
      <w:r>
        <w:t xml:space="preserve"> Refer ITU Radio Regulation 5.133B. Note</w:t>
      </w:r>
      <w:r w:rsidDel="00F11130">
        <w:t xml:space="preserve"> </w:t>
      </w:r>
      <w:r>
        <w:t>in some ITU Region 2 countries alternative limits of 20 or 25 watts apply.</w:t>
      </w:r>
    </w:p>
  </w:footnote>
  <w:footnote w:id="58">
    <w:p w14:paraId="792FE0FF" w14:textId="3728C517" w:rsidR="00D82061" w:rsidRDefault="00D82061" w:rsidP="003335E7">
      <w:pPr>
        <w:pStyle w:val="FootnoteText"/>
      </w:pPr>
      <w:r>
        <w:rPr>
          <w:rStyle w:val="FootnoteReference"/>
        </w:rPr>
        <w:footnoteRef/>
      </w:r>
      <w:r>
        <w:t xml:space="preserve"> </w:t>
      </w:r>
      <w:bookmarkStart w:id="454" w:name="_Hlk524341942"/>
      <w:r>
        <w:t>ACMA, 2017, accessed 27 April 2020, &lt;</w:t>
      </w:r>
      <w:hyperlink r:id="rId35" w:history="1">
        <w:r w:rsidRPr="003E4DCF">
          <w:rPr>
            <w:rStyle w:val="Hyperlink"/>
          </w:rPr>
          <w:t>https://www.acma.gov.au/future-approach-36-ghz-band</w:t>
        </w:r>
      </w:hyperlink>
      <w:r>
        <w:t>&gt;.</w:t>
      </w:r>
      <w:bookmarkEnd w:id="45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7B60C" w14:textId="77777777" w:rsidR="00D82061" w:rsidRPr="00A5474E" w:rsidRDefault="00D82061" w:rsidP="00A5474E">
    <w:pPr>
      <w:pStyle w:val="Header"/>
    </w:pPr>
    <w:r>
      <w:rPr>
        <w:noProof/>
      </w:rPr>
      <w:drawing>
        <wp:inline distT="0" distB="0" distL="0" distR="0" wp14:anchorId="05253C7E" wp14:editId="008E708A">
          <wp:extent cx="6388100" cy="520700"/>
          <wp:effectExtent l="0" t="0" r="0" b="12700"/>
          <wp:docPr id="2" name="Picture 2" title="Australian Communications and Media Authority logo and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extLst>
                      <a:ext uri="{28A0092B-C50C-407E-A947-70E740481C1C}">
                        <a14:useLocalDpi xmlns:a14="http://schemas.microsoft.com/office/drawing/2010/main" val="0"/>
                      </a:ext>
                    </a:extLst>
                  </a:blip>
                  <a:stretch>
                    <a:fillRect/>
                  </a:stretch>
                </pic:blipFill>
                <pic:spPr>
                  <a:xfrm>
                    <a:off x="0" y="0"/>
                    <a:ext cx="6388100" cy="5207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CF73C" w14:textId="77777777" w:rsidR="00D82061" w:rsidRDefault="00D82061" w:rsidP="005759E7">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9E870" w14:textId="77777777" w:rsidR="00D82061" w:rsidRDefault="00D820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4FF63" w14:textId="77777777" w:rsidR="00D82061" w:rsidRDefault="00D820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78" w:type="dxa"/>
      <w:tblLayout w:type="fixed"/>
      <w:tblCellMar>
        <w:left w:w="0" w:type="dxa"/>
        <w:right w:w="0" w:type="dxa"/>
      </w:tblCellMar>
      <w:tblLook w:val="01E0" w:firstRow="1" w:lastRow="1" w:firstColumn="1" w:lastColumn="1" w:noHBand="0" w:noVBand="0"/>
    </w:tblPr>
    <w:tblGrid>
      <w:gridCol w:w="7678"/>
    </w:tblGrid>
    <w:tr w:rsidR="00D82061" w14:paraId="1318C046" w14:textId="77777777" w:rsidTr="005435F9">
      <w:trPr>
        <w:trHeight w:hRule="exact" w:val="988"/>
      </w:trPr>
      <w:tc>
        <w:tcPr>
          <w:tcW w:w="7678" w:type="dxa"/>
          <w:shd w:val="clear" w:color="auto" w:fill="auto"/>
        </w:tcPr>
        <w:p w14:paraId="0F24D554" w14:textId="77777777" w:rsidR="00D82061" w:rsidRDefault="00D82061" w:rsidP="005435F9">
          <w:pPr>
            <w:pStyle w:val="Header"/>
          </w:pPr>
        </w:p>
      </w:tc>
    </w:tr>
    <w:tr w:rsidR="00D82061" w14:paraId="6A0FCD40" w14:textId="77777777" w:rsidTr="005435F9">
      <w:tc>
        <w:tcPr>
          <w:tcW w:w="7678" w:type="dxa"/>
          <w:shd w:val="clear" w:color="auto" w:fill="auto"/>
        </w:tcPr>
        <w:p w14:paraId="3794FF38" w14:textId="77777777" w:rsidR="00D82061" w:rsidRDefault="00D82061" w:rsidP="005435F9">
          <w:pPr>
            <w:pStyle w:val="GridTable31"/>
          </w:pPr>
          <w:r>
            <w:t xml:space="preserve">Contents </w:t>
          </w:r>
          <w:r w:rsidRPr="00915B1C">
            <w:rPr>
              <w:b w:val="0"/>
              <w:spacing w:val="0"/>
              <w:sz w:val="28"/>
              <w:szCs w:val="28"/>
            </w:rPr>
            <w:t>(Continued)</w:t>
          </w:r>
        </w:p>
      </w:tc>
    </w:tr>
    <w:tr w:rsidR="00D82061" w14:paraId="2D7306DC" w14:textId="77777777" w:rsidTr="005435F9">
      <w:trPr>
        <w:trHeight w:val="1220"/>
      </w:trPr>
      <w:tc>
        <w:tcPr>
          <w:tcW w:w="7678" w:type="dxa"/>
          <w:shd w:val="clear" w:color="auto" w:fill="auto"/>
        </w:tcPr>
        <w:p w14:paraId="7B41FC25" w14:textId="77777777" w:rsidR="00D82061" w:rsidRDefault="00D82061" w:rsidP="005435F9"/>
      </w:tc>
    </w:tr>
  </w:tbl>
  <w:p w14:paraId="30DB03A9" w14:textId="77777777" w:rsidR="00D82061" w:rsidRPr="00652FC3" w:rsidRDefault="00D82061" w:rsidP="004C4F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78" w:type="dxa"/>
      <w:tblLayout w:type="fixed"/>
      <w:tblCellMar>
        <w:left w:w="0" w:type="dxa"/>
        <w:right w:w="0" w:type="dxa"/>
      </w:tblCellMar>
      <w:tblLook w:val="01E0" w:firstRow="1" w:lastRow="1" w:firstColumn="1" w:lastColumn="1" w:noHBand="0" w:noVBand="0"/>
    </w:tblPr>
    <w:tblGrid>
      <w:gridCol w:w="7678"/>
    </w:tblGrid>
    <w:tr w:rsidR="00D82061" w14:paraId="7F7DDCF3" w14:textId="77777777" w:rsidTr="00F16F31">
      <w:trPr>
        <w:trHeight w:hRule="exact" w:val="988"/>
      </w:trPr>
      <w:tc>
        <w:tcPr>
          <w:tcW w:w="7678" w:type="dxa"/>
          <w:shd w:val="clear" w:color="auto" w:fill="auto"/>
        </w:tcPr>
        <w:p w14:paraId="6864D64B" w14:textId="77777777" w:rsidR="00D82061" w:rsidRDefault="00D82061" w:rsidP="00F16F31">
          <w:pPr>
            <w:pStyle w:val="Header"/>
          </w:pPr>
        </w:p>
      </w:tc>
    </w:tr>
    <w:tr w:rsidR="00D82061" w14:paraId="7A3D87BD" w14:textId="77777777" w:rsidTr="00F16F31">
      <w:tc>
        <w:tcPr>
          <w:tcW w:w="7678" w:type="dxa"/>
          <w:shd w:val="clear" w:color="auto" w:fill="auto"/>
        </w:tcPr>
        <w:p w14:paraId="1A925116" w14:textId="77777777" w:rsidR="00D82061" w:rsidRDefault="00D82061" w:rsidP="00F16F31">
          <w:pPr>
            <w:pStyle w:val="GridTable31"/>
          </w:pPr>
          <w:r>
            <w:t xml:space="preserve">Contents </w:t>
          </w:r>
          <w:r w:rsidRPr="00915B1C">
            <w:rPr>
              <w:b w:val="0"/>
              <w:spacing w:val="0"/>
              <w:sz w:val="28"/>
              <w:szCs w:val="28"/>
            </w:rPr>
            <w:t>(Continued)</w:t>
          </w:r>
        </w:p>
      </w:tc>
    </w:tr>
    <w:tr w:rsidR="00D82061" w14:paraId="3AC9DF72" w14:textId="77777777" w:rsidTr="00F16F31">
      <w:trPr>
        <w:trHeight w:val="1220"/>
      </w:trPr>
      <w:tc>
        <w:tcPr>
          <w:tcW w:w="7678" w:type="dxa"/>
          <w:shd w:val="clear" w:color="auto" w:fill="auto"/>
        </w:tcPr>
        <w:p w14:paraId="258D5A31" w14:textId="77777777" w:rsidR="00D82061" w:rsidRDefault="00D82061" w:rsidP="00F16F31"/>
      </w:tc>
    </w:tr>
  </w:tbl>
  <w:p w14:paraId="6D8DE37D" w14:textId="77777777" w:rsidR="00D82061" w:rsidRPr="00A5474E" w:rsidRDefault="00D82061" w:rsidP="005435F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1F228" w14:textId="77777777" w:rsidR="00D82061" w:rsidRPr="006F542F" w:rsidRDefault="00D82061" w:rsidP="00704E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8F57" w14:textId="77777777" w:rsidR="00D82061" w:rsidRPr="00A5474E" w:rsidRDefault="00D82061" w:rsidP="00543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A picture containing clipart&#10;&#10;Description automatically generated" style="width:21.75pt;height:12.75pt;visibility:visible" o:bullet="t">
        <v:imagedata r:id="rId1" o:title="A picture containing clipart&#10;&#10;Description automatically generated"/>
      </v:shape>
    </w:pict>
  </w:numPicBullet>
  <w:numPicBullet w:numPicBulletId="1">
    <w:pict>
      <v:shape id="_x0000_i1057" type="#_x0000_t75" alt="A close up of a sign&#10;&#10;Description automatically generated" style="width:19.5pt;height:12pt;visibility:visible" o:bullet="t">
        <v:imagedata r:id="rId2" o:title="A close up of a sign&#10;&#10;Description automatically generated"/>
      </v:shape>
    </w:pict>
  </w:numPicBullet>
  <w:numPicBullet w:numPicBulletId="2">
    <w:pict>
      <v:shape id="_x0000_i1058" type="#_x0000_t75" alt="International spectrum interests icon" style="width:31.5pt;height:31.5pt;visibility:visible;mso-wrap-style:square" o:bullet="t">
        <v:imagedata r:id="rId3" o:title="International spectrum interests icon"/>
      </v:shape>
    </w:pict>
  </w:numPicBullet>
  <w:abstractNum w:abstractNumId="0" w15:restartNumberingAfterBreak="0">
    <w:nsid w:val="FFFFFF7C"/>
    <w:multiLevelType w:val="singleLevel"/>
    <w:tmpl w:val="F91C3EC0"/>
    <w:lvl w:ilvl="0">
      <w:start w:val="1"/>
      <w:numFmt w:val="decimal"/>
      <w:lvlText w:val="%1."/>
      <w:lvlJc w:val="left"/>
      <w:pPr>
        <w:tabs>
          <w:tab w:val="num" w:pos="8787"/>
        </w:tabs>
        <w:ind w:left="8787" w:hanging="360"/>
      </w:pPr>
    </w:lvl>
  </w:abstractNum>
  <w:abstractNum w:abstractNumId="1"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2"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3" w15:restartNumberingAfterBreak="0">
    <w:nsid w:val="FFFFFF88"/>
    <w:multiLevelType w:val="singleLevel"/>
    <w:tmpl w:val="51B60EB2"/>
    <w:lvl w:ilvl="0">
      <w:start w:val="1"/>
      <w:numFmt w:val="decimal"/>
      <w:pStyle w:val="ListNumber"/>
      <w:lvlText w:val="%1."/>
      <w:lvlJc w:val="left"/>
      <w:pPr>
        <w:ind w:left="360" w:hanging="360"/>
      </w:pPr>
      <w:rPr>
        <w:rFonts w:hint="default"/>
        <w:b w:val="0"/>
        <w:bCs/>
        <w:caps/>
        <w:sz w:val="20"/>
      </w:rPr>
    </w:lvl>
  </w:abstractNum>
  <w:abstractNum w:abstractNumId="4"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5" w15:restartNumberingAfterBreak="0">
    <w:nsid w:val="009F7489"/>
    <w:multiLevelType w:val="hybridMultilevel"/>
    <w:tmpl w:val="FC5E4E4C"/>
    <w:lvl w:ilvl="0" w:tplc="44EEC084">
      <w:start w:val="1"/>
      <w:numFmt w:val="bullet"/>
      <w:lvlText w:val="&gt;"/>
      <w:lvlJc w:val="left"/>
      <w:pPr>
        <w:ind w:left="360" w:hanging="360"/>
      </w:pPr>
      <w:rPr>
        <w:rFonts w:ascii="HelveticaNeueLT Std" w:hAnsi="HelveticaNeueLT Std"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0D05142"/>
    <w:multiLevelType w:val="hybridMultilevel"/>
    <w:tmpl w:val="1E0AE4B4"/>
    <w:lvl w:ilvl="0" w:tplc="70D07034">
      <w:start w:val="1"/>
      <w:numFmt w:val="bullet"/>
      <w:lvlText w:val=""/>
      <w:lvlPicBulletId w:val="1"/>
      <w:lvlJc w:val="left"/>
      <w:pPr>
        <w:tabs>
          <w:tab w:val="num" w:pos="720"/>
        </w:tabs>
        <w:ind w:left="720" w:hanging="360"/>
      </w:pPr>
      <w:rPr>
        <w:rFonts w:ascii="Symbol" w:hAnsi="Symbol" w:hint="default"/>
      </w:rPr>
    </w:lvl>
    <w:lvl w:ilvl="1" w:tplc="E19E26B8" w:tentative="1">
      <w:start w:val="1"/>
      <w:numFmt w:val="bullet"/>
      <w:lvlText w:val=""/>
      <w:lvlJc w:val="left"/>
      <w:pPr>
        <w:tabs>
          <w:tab w:val="num" w:pos="1440"/>
        </w:tabs>
        <w:ind w:left="1440" w:hanging="360"/>
      </w:pPr>
      <w:rPr>
        <w:rFonts w:ascii="Symbol" w:hAnsi="Symbol" w:hint="default"/>
      </w:rPr>
    </w:lvl>
    <w:lvl w:ilvl="2" w:tplc="ED2419CC" w:tentative="1">
      <w:start w:val="1"/>
      <w:numFmt w:val="bullet"/>
      <w:lvlText w:val=""/>
      <w:lvlJc w:val="left"/>
      <w:pPr>
        <w:tabs>
          <w:tab w:val="num" w:pos="2160"/>
        </w:tabs>
        <w:ind w:left="2160" w:hanging="360"/>
      </w:pPr>
      <w:rPr>
        <w:rFonts w:ascii="Symbol" w:hAnsi="Symbol" w:hint="default"/>
      </w:rPr>
    </w:lvl>
    <w:lvl w:ilvl="3" w:tplc="EA4ACF4A" w:tentative="1">
      <w:start w:val="1"/>
      <w:numFmt w:val="bullet"/>
      <w:lvlText w:val=""/>
      <w:lvlJc w:val="left"/>
      <w:pPr>
        <w:tabs>
          <w:tab w:val="num" w:pos="2880"/>
        </w:tabs>
        <w:ind w:left="2880" w:hanging="360"/>
      </w:pPr>
      <w:rPr>
        <w:rFonts w:ascii="Symbol" w:hAnsi="Symbol" w:hint="default"/>
      </w:rPr>
    </w:lvl>
    <w:lvl w:ilvl="4" w:tplc="C5D29754" w:tentative="1">
      <w:start w:val="1"/>
      <w:numFmt w:val="bullet"/>
      <w:lvlText w:val=""/>
      <w:lvlJc w:val="left"/>
      <w:pPr>
        <w:tabs>
          <w:tab w:val="num" w:pos="3600"/>
        </w:tabs>
        <w:ind w:left="3600" w:hanging="360"/>
      </w:pPr>
      <w:rPr>
        <w:rFonts w:ascii="Symbol" w:hAnsi="Symbol" w:hint="default"/>
      </w:rPr>
    </w:lvl>
    <w:lvl w:ilvl="5" w:tplc="F1726096" w:tentative="1">
      <w:start w:val="1"/>
      <w:numFmt w:val="bullet"/>
      <w:lvlText w:val=""/>
      <w:lvlJc w:val="left"/>
      <w:pPr>
        <w:tabs>
          <w:tab w:val="num" w:pos="4320"/>
        </w:tabs>
        <w:ind w:left="4320" w:hanging="360"/>
      </w:pPr>
      <w:rPr>
        <w:rFonts w:ascii="Symbol" w:hAnsi="Symbol" w:hint="default"/>
      </w:rPr>
    </w:lvl>
    <w:lvl w:ilvl="6" w:tplc="C2280BA6" w:tentative="1">
      <w:start w:val="1"/>
      <w:numFmt w:val="bullet"/>
      <w:lvlText w:val=""/>
      <w:lvlJc w:val="left"/>
      <w:pPr>
        <w:tabs>
          <w:tab w:val="num" w:pos="5040"/>
        </w:tabs>
        <w:ind w:left="5040" w:hanging="360"/>
      </w:pPr>
      <w:rPr>
        <w:rFonts w:ascii="Symbol" w:hAnsi="Symbol" w:hint="default"/>
      </w:rPr>
    </w:lvl>
    <w:lvl w:ilvl="7" w:tplc="2CE48400" w:tentative="1">
      <w:start w:val="1"/>
      <w:numFmt w:val="bullet"/>
      <w:lvlText w:val=""/>
      <w:lvlJc w:val="left"/>
      <w:pPr>
        <w:tabs>
          <w:tab w:val="num" w:pos="5760"/>
        </w:tabs>
        <w:ind w:left="5760" w:hanging="360"/>
      </w:pPr>
      <w:rPr>
        <w:rFonts w:ascii="Symbol" w:hAnsi="Symbol" w:hint="default"/>
      </w:rPr>
    </w:lvl>
    <w:lvl w:ilvl="8" w:tplc="5B5AF5C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10D0D9F"/>
    <w:multiLevelType w:val="hybridMultilevel"/>
    <w:tmpl w:val="5C382AE8"/>
    <w:lvl w:ilvl="0" w:tplc="820C6D68">
      <w:start w:val="1"/>
      <w:numFmt w:val="bullet"/>
      <w:lvlText w:val=""/>
      <w:lvlPicBulletId w:val="1"/>
      <w:lvlJc w:val="left"/>
      <w:pPr>
        <w:tabs>
          <w:tab w:val="num" w:pos="720"/>
        </w:tabs>
        <w:ind w:left="720" w:hanging="360"/>
      </w:pPr>
      <w:rPr>
        <w:rFonts w:ascii="Symbol" w:hAnsi="Symbol" w:hint="default"/>
      </w:rPr>
    </w:lvl>
    <w:lvl w:ilvl="1" w:tplc="B184C518" w:tentative="1">
      <w:start w:val="1"/>
      <w:numFmt w:val="bullet"/>
      <w:lvlText w:val=""/>
      <w:lvlJc w:val="left"/>
      <w:pPr>
        <w:tabs>
          <w:tab w:val="num" w:pos="1440"/>
        </w:tabs>
        <w:ind w:left="1440" w:hanging="360"/>
      </w:pPr>
      <w:rPr>
        <w:rFonts w:ascii="Symbol" w:hAnsi="Symbol" w:hint="default"/>
      </w:rPr>
    </w:lvl>
    <w:lvl w:ilvl="2" w:tplc="CF64CB78" w:tentative="1">
      <w:start w:val="1"/>
      <w:numFmt w:val="bullet"/>
      <w:lvlText w:val=""/>
      <w:lvlJc w:val="left"/>
      <w:pPr>
        <w:tabs>
          <w:tab w:val="num" w:pos="2160"/>
        </w:tabs>
        <w:ind w:left="2160" w:hanging="360"/>
      </w:pPr>
      <w:rPr>
        <w:rFonts w:ascii="Symbol" w:hAnsi="Symbol" w:hint="default"/>
      </w:rPr>
    </w:lvl>
    <w:lvl w:ilvl="3" w:tplc="3DAAF80A" w:tentative="1">
      <w:start w:val="1"/>
      <w:numFmt w:val="bullet"/>
      <w:lvlText w:val=""/>
      <w:lvlJc w:val="left"/>
      <w:pPr>
        <w:tabs>
          <w:tab w:val="num" w:pos="2880"/>
        </w:tabs>
        <w:ind w:left="2880" w:hanging="360"/>
      </w:pPr>
      <w:rPr>
        <w:rFonts w:ascii="Symbol" w:hAnsi="Symbol" w:hint="default"/>
      </w:rPr>
    </w:lvl>
    <w:lvl w:ilvl="4" w:tplc="56543818" w:tentative="1">
      <w:start w:val="1"/>
      <w:numFmt w:val="bullet"/>
      <w:lvlText w:val=""/>
      <w:lvlJc w:val="left"/>
      <w:pPr>
        <w:tabs>
          <w:tab w:val="num" w:pos="3600"/>
        </w:tabs>
        <w:ind w:left="3600" w:hanging="360"/>
      </w:pPr>
      <w:rPr>
        <w:rFonts w:ascii="Symbol" w:hAnsi="Symbol" w:hint="default"/>
      </w:rPr>
    </w:lvl>
    <w:lvl w:ilvl="5" w:tplc="4686FC5A" w:tentative="1">
      <w:start w:val="1"/>
      <w:numFmt w:val="bullet"/>
      <w:lvlText w:val=""/>
      <w:lvlJc w:val="left"/>
      <w:pPr>
        <w:tabs>
          <w:tab w:val="num" w:pos="4320"/>
        </w:tabs>
        <w:ind w:left="4320" w:hanging="360"/>
      </w:pPr>
      <w:rPr>
        <w:rFonts w:ascii="Symbol" w:hAnsi="Symbol" w:hint="default"/>
      </w:rPr>
    </w:lvl>
    <w:lvl w:ilvl="6" w:tplc="BBBE0AF4" w:tentative="1">
      <w:start w:val="1"/>
      <w:numFmt w:val="bullet"/>
      <w:lvlText w:val=""/>
      <w:lvlJc w:val="left"/>
      <w:pPr>
        <w:tabs>
          <w:tab w:val="num" w:pos="5040"/>
        </w:tabs>
        <w:ind w:left="5040" w:hanging="360"/>
      </w:pPr>
      <w:rPr>
        <w:rFonts w:ascii="Symbol" w:hAnsi="Symbol" w:hint="default"/>
      </w:rPr>
    </w:lvl>
    <w:lvl w:ilvl="7" w:tplc="9E2EBDDE" w:tentative="1">
      <w:start w:val="1"/>
      <w:numFmt w:val="bullet"/>
      <w:lvlText w:val=""/>
      <w:lvlJc w:val="left"/>
      <w:pPr>
        <w:tabs>
          <w:tab w:val="num" w:pos="5760"/>
        </w:tabs>
        <w:ind w:left="5760" w:hanging="360"/>
      </w:pPr>
      <w:rPr>
        <w:rFonts w:ascii="Symbol" w:hAnsi="Symbol" w:hint="default"/>
      </w:rPr>
    </w:lvl>
    <w:lvl w:ilvl="8" w:tplc="9B245F1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1106B66"/>
    <w:multiLevelType w:val="hybridMultilevel"/>
    <w:tmpl w:val="D3C61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1C77057"/>
    <w:multiLevelType w:val="hybridMultilevel"/>
    <w:tmpl w:val="3086ECFE"/>
    <w:lvl w:ilvl="0" w:tplc="08D2AB58">
      <w:start w:val="1"/>
      <w:numFmt w:val="bullet"/>
      <w:lvlText w:val="&gt;"/>
      <w:lvlJc w:val="left"/>
      <w:pPr>
        <w:ind w:left="1800" w:hanging="360"/>
      </w:pPr>
      <w:rPr>
        <w:rFonts w:ascii="HelveticaNeueLT Std Lt" w:hAnsi="HelveticaNeueLT Std Lt" w:hint="default"/>
        <w:sz w:val="20"/>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01D040EB"/>
    <w:multiLevelType w:val="hybridMultilevel"/>
    <w:tmpl w:val="814A6C72"/>
    <w:lvl w:ilvl="0" w:tplc="44EEC084">
      <w:start w:val="1"/>
      <w:numFmt w:val="bullet"/>
      <w:lvlText w:val="&gt;"/>
      <w:lvlJc w:val="left"/>
      <w:pPr>
        <w:ind w:left="360" w:hanging="360"/>
      </w:pPr>
      <w:rPr>
        <w:rFonts w:ascii="HelveticaNeueLT Std" w:hAnsi="HelveticaNeueLT Std"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4BC483B"/>
    <w:multiLevelType w:val="hybridMultilevel"/>
    <w:tmpl w:val="9A703D54"/>
    <w:lvl w:ilvl="0" w:tplc="0BC843DC">
      <w:start w:val="1"/>
      <w:numFmt w:val="bullet"/>
      <w:lvlText w:val=""/>
      <w:lvlPicBulletId w:val="1"/>
      <w:lvlJc w:val="left"/>
      <w:pPr>
        <w:tabs>
          <w:tab w:val="num" w:pos="720"/>
        </w:tabs>
        <w:ind w:left="720" w:hanging="360"/>
      </w:pPr>
      <w:rPr>
        <w:rFonts w:ascii="Symbol" w:hAnsi="Symbol" w:hint="default"/>
      </w:rPr>
    </w:lvl>
    <w:lvl w:ilvl="1" w:tplc="C59C669E" w:tentative="1">
      <w:start w:val="1"/>
      <w:numFmt w:val="bullet"/>
      <w:lvlText w:val=""/>
      <w:lvlJc w:val="left"/>
      <w:pPr>
        <w:tabs>
          <w:tab w:val="num" w:pos="1440"/>
        </w:tabs>
        <w:ind w:left="1440" w:hanging="360"/>
      </w:pPr>
      <w:rPr>
        <w:rFonts w:ascii="Symbol" w:hAnsi="Symbol" w:hint="default"/>
      </w:rPr>
    </w:lvl>
    <w:lvl w:ilvl="2" w:tplc="1974FE60" w:tentative="1">
      <w:start w:val="1"/>
      <w:numFmt w:val="bullet"/>
      <w:lvlText w:val=""/>
      <w:lvlJc w:val="left"/>
      <w:pPr>
        <w:tabs>
          <w:tab w:val="num" w:pos="2160"/>
        </w:tabs>
        <w:ind w:left="2160" w:hanging="360"/>
      </w:pPr>
      <w:rPr>
        <w:rFonts w:ascii="Symbol" w:hAnsi="Symbol" w:hint="default"/>
      </w:rPr>
    </w:lvl>
    <w:lvl w:ilvl="3" w:tplc="7278DBA2" w:tentative="1">
      <w:start w:val="1"/>
      <w:numFmt w:val="bullet"/>
      <w:lvlText w:val=""/>
      <w:lvlJc w:val="left"/>
      <w:pPr>
        <w:tabs>
          <w:tab w:val="num" w:pos="2880"/>
        </w:tabs>
        <w:ind w:left="2880" w:hanging="360"/>
      </w:pPr>
      <w:rPr>
        <w:rFonts w:ascii="Symbol" w:hAnsi="Symbol" w:hint="default"/>
      </w:rPr>
    </w:lvl>
    <w:lvl w:ilvl="4" w:tplc="9104A892" w:tentative="1">
      <w:start w:val="1"/>
      <w:numFmt w:val="bullet"/>
      <w:lvlText w:val=""/>
      <w:lvlJc w:val="left"/>
      <w:pPr>
        <w:tabs>
          <w:tab w:val="num" w:pos="3600"/>
        </w:tabs>
        <w:ind w:left="3600" w:hanging="360"/>
      </w:pPr>
      <w:rPr>
        <w:rFonts w:ascii="Symbol" w:hAnsi="Symbol" w:hint="default"/>
      </w:rPr>
    </w:lvl>
    <w:lvl w:ilvl="5" w:tplc="999426F8" w:tentative="1">
      <w:start w:val="1"/>
      <w:numFmt w:val="bullet"/>
      <w:lvlText w:val=""/>
      <w:lvlJc w:val="left"/>
      <w:pPr>
        <w:tabs>
          <w:tab w:val="num" w:pos="4320"/>
        </w:tabs>
        <w:ind w:left="4320" w:hanging="360"/>
      </w:pPr>
      <w:rPr>
        <w:rFonts w:ascii="Symbol" w:hAnsi="Symbol" w:hint="default"/>
      </w:rPr>
    </w:lvl>
    <w:lvl w:ilvl="6" w:tplc="4D0C2738" w:tentative="1">
      <w:start w:val="1"/>
      <w:numFmt w:val="bullet"/>
      <w:lvlText w:val=""/>
      <w:lvlJc w:val="left"/>
      <w:pPr>
        <w:tabs>
          <w:tab w:val="num" w:pos="5040"/>
        </w:tabs>
        <w:ind w:left="5040" w:hanging="360"/>
      </w:pPr>
      <w:rPr>
        <w:rFonts w:ascii="Symbol" w:hAnsi="Symbol" w:hint="default"/>
      </w:rPr>
    </w:lvl>
    <w:lvl w:ilvl="7" w:tplc="15D635EA" w:tentative="1">
      <w:start w:val="1"/>
      <w:numFmt w:val="bullet"/>
      <w:lvlText w:val=""/>
      <w:lvlJc w:val="left"/>
      <w:pPr>
        <w:tabs>
          <w:tab w:val="num" w:pos="5760"/>
        </w:tabs>
        <w:ind w:left="5760" w:hanging="360"/>
      </w:pPr>
      <w:rPr>
        <w:rFonts w:ascii="Symbol" w:hAnsi="Symbol" w:hint="default"/>
      </w:rPr>
    </w:lvl>
    <w:lvl w:ilvl="8" w:tplc="AF68AE4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5D9092E"/>
    <w:multiLevelType w:val="hybridMultilevel"/>
    <w:tmpl w:val="A67EDA80"/>
    <w:lvl w:ilvl="0" w:tplc="D99E2784">
      <w:start w:val="1"/>
      <w:numFmt w:val="bullet"/>
      <w:lvlText w:val=""/>
      <w:lvlPicBulletId w:val="0"/>
      <w:lvlJc w:val="left"/>
      <w:pPr>
        <w:tabs>
          <w:tab w:val="num" w:pos="720"/>
        </w:tabs>
        <w:ind w:left="720" w:hanging="360"/>
      </w:pPr>
      <w:rPr>
        <w:rFonts w:ascii="Symbol" w:hAnsi="Symbol" w:hint="default"/>
      </w:rPr>
    </w:lvl>
    <w:lvl w:ilvl="1" w:tplc="81865FBE" w:tentative="1">
      <w:start w:val="1"/>
      <w:numFmt w:val="bullet"/>
      <w:lvlText w:val=""/>
      <w:lvlJc w:val="left"/>
      <w:pPr>
        <w:tabs>
          <w:tab w:val="num" w:pos="1440"/>
        </w:tabs>
        <w:ind w:left="1440" w:hanging="360"/>
      </w:pPr>
      <w:rPr>
        <w:rFonts w:ascii="Symbol" w:hAnsi="Symbol" w:hint="default"/>
      </w:rPr>
    </w:lvl>
    <w:lvl w:ilvl="2" w:tplc="8CE0E7E4" w:tentative="1">
      <w:start w:val="1"/>
      <w:numFmt w:val="bullet"/>
      <w:lvlText w:val=""/>
      <w:lvlJc w:val="left"/>
      <w:pPr>
        <w:tabs>
          <w:tab w:val="num" w:pos="2160"/>
        </w:tabs>
        <w:ind w:left="2160" w:hanging="360"/>
      </w:pPr>
      <w:rPr>
        <w:rFonts w:ascii="Symbol" w:hAnsi="Symbol" w:hint="default"/>
      </w:rPr>
    </w:lvl>
    <w:lvl w:ilvl="3" w:tplc="CB7036E2" w:tentative="1">
      <w:start w:val="1"/>
      <w:numFmt w:val="bullet"/>
      <w:lvlText w:val=""/>
      <w:lvlJc w:val="left"/>
      <w:pPr>
        <w:tabs>
          <w:tab w:val="num" w:pos="2880"/>
        </w:tabs>
        <w:ind w:left="2880" w:hanging="360"/>
      </w:pPr>
      <w:rPr>
        <w:rFonts w:ascii="Symbol" w:hAnsi="Symbol" w:hint="default"/>
      </w:rPr>
    </w:lvl>
    <w:lvl w:ilvl="4" w:tplc="D2627976" w:tentative="1">
      <w:start w:val="1"/>
      <w:numFmt w:val="bullet"/>
      <w:lvlText w:val=""/>
      <w:lvlJc w:val="left"/>
      <w:pPr>
        <w:tabs>
          <w:tab w:val="num" w:pos="3600"/>
        </w:tabs>
        <w:ind w:left="3600" w:hanging="360"/>
      </w:pPr>
      <w:rPr>
        <w:rFonts w:ascii="Symbol" w:hAnsi="Symbol" w:hint="default"/>
      </w:rPr>
    </w:lvl>
    <w:lvl w:ilvl="5" w:tplc="36527726" w:tentative="1">
      <w:start w:val="1"/>
      <w:numFmt w:val="bullet"/>
      <w:lvlText w:val=""/>
      <w:lvlJc w:val="left"/>
      <w:pPr>
        <w:tabs>
          <w:tab w:val="num" w:pos="4320"/>
        </w:tabs>
        <w:ind w:left="4320" w:hanging="360"/>
      </w:pPr>
      <w:rPr>
        <w:rFonts w:ascii="Symbol" w:hAnsi="Symbol" w:hint="default"/>
      </w:rPr>
    </w:lvl>
    <w:lvl w:ilvl="6" w:tplc="6ECC03F4" w:tentative="1">
      <w:start w:val="1"/>
      <w:numFmt w:val="bullet"/>
      <w:lvlText w:val=""/>
      <w:lvlJc w:val="left"/>
      <w:pPr>
        <w:tabs>
          <w:tab w:val="num" w:pos="5040"/>
        </w:tabs>
        <w:ind w:left="5040" w:hanging="360"/>
      </w:pPr>
      <w:rPr>
        <w:rFonts w:ascii="Symbol" w:hAnsi="Symbol" w:hint="default"/>
      </w:rPr>
    </w:lvl>
    <w:lvl w:ilvl="7" w:tplc="1EFC0104" w:tentative="1">
      <w:start w:val="1"/>
      <w:numFmt w:val="bullet"/>
      <w:lvlText w:val=""/>
      <w:lvlJc w:val="left"/>
      <w:pPr>
        <w:tabs>
          <w:tab w:val="num" w:pos="5760"/>
        </w:tabs>
        <w:ind w:left="5760" w:hanging="360"/>
      </w:pPr>
      <w:rPr>
        <w:rFonts w:ascii="Symbol" w:hAnsi="Symbol" w:hint="default"/>
      </w:rPr>
    </w:lvl>
    <w:lvl w:ilvl="8" w:tplc="75747FC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07DB7B85"/>
    <w:multiLevelType w:val="hybridMultilevel"/>
    <w:tmpl w:val="E2CC5B14"/>
    <w:lvl w:ilvl="0" w:tplc="A34665A0">
      <w:start w:val="1"/>
      <w:numFmt w:val="bullet"/>
      <w:lvlText w:val=""/>
      <w:lvlPicBulletId w:val="1"/>
      <w:lvlJc w:val="left"/>
      <w:pPr>
        <w:tabs>
          <w:tab w:val="num" w:pos="720"/>
        </w:tabs>
        <w:ind w:left="720" w:hanging="360"/>
      </w:pPr>
      <w:rPr>
        <w:rFonts w:ascii="Symbol" w:hAnsi="Symbol" w:hint="default"/>
      </w:rPr>
    </w:lvl>
    <w:lvl w:ilvl="1" w:tplc="2A508D10" w:tentative="1">
      <w:start w:val="1"/>
      <w:numFmt w:val="bullet"/>
      <w:lvlText w:val=""/>
      <w:lvlJc w:val="left"/>
      <w:pPr>
        <w:tabs>
          <w:tab w:val="num" w:pos="1440"/>
        </w:tabs>
        <w:ind w:left="1440" w:hanging="360"/>
      </w:pPr>
      <w:rPr>
        <w:rFonts w:ascii="Symbol" w:hAnsi="Symbol" w:hint="default"/>
      </w:rPr>
    </w:lvl>
    <w:lvl w:ilvl="2" w:tplc="05F029A8" w:tentative="1">
      <w:start w:val="1"/>
      <w:numFmt w:val="bullet"/>
      <w:lvlText w:val=""/>
      <w:lvlJc w:val="left"/>
      <w:pPr>
        <w:tabs>
          <w:tab w:val="num" w:pos="2160"/>
        </w:tabs>
        <w:ind w:left="2160" w:hanging="360"/>
      </w:pPr>
      <w:rPr>
        <w:rFonts w:ascii="Symbol" w:hAnsi="Symbol" w:hint="default"/>
      </w:rPr>
    </w:lvl>
    <w:lvl w:ilvl="3" w:tplc="961EA4CE" w:tentative="1">
      <w:start w:val="1"/>
      <w:numFmt w:val="bullet"/>
      <w:lvlText w:val=""/>
      <w:lvlJc w:val="left"/>
      <w:pPr>
        <w:tabs>
          <w:tab w:val="num" w:pos="2880"/>
        </w:tabs>
        <w:ind w:left="2880" w:hanging="360"/>
      </w:pPr>
      <w:rPr>
        <w:rFonts w:ascii="Symbol" w:hAnsi="Symbol" w:hint="default"/>
      </w:rPr>
    </w:lvl>
    <w:lvl w:ilvl="4" w:tplc="F6360F82" w:tentative="1">
      <w:start w:val="1"/>
      <w:numFmt w:val="bullet"/>
      <w:lvlText w:val=""/>
      <w:lvlJc w:val="left"/>
      <w:pPr>
        <w:tabs>
          <w:tab w:val="num" w:pos="3600"/>
        </w:tabs>
        <w:ind w:left="3600" w:hanging="360"/>
      </w:pPr>
      <w:rPr>
        <w:rFonts w:ascii="Symbol" w:hAnsi="Symbol" w:hint="default"/>
      </w:rPr>
    </w:lvl>
    <w:lvl w:ilvl="5" w:tplc="31A04440" w:tentative="1">
      <w:start w:val="1"/>
      <w:numFmt w:val="bullet"/>
      <w:lvlText w:val=""/>
      <w:lvlJc w:val="left"/>
      <w:pPr>
        <w:tabs>
          <w:tab w:val="num" w:pos="4320"/>
        </w:tabs>
        <w:ind w:left="4320" w:hanging="360"/>
      </w:pPr>
      <w:rPr>
        <w:rFonts w:ascii="Symbol" w:hAnsi="Symbol" w:hint="default"/>
      </w:rPr>
    </w:lvl>
    <w:lvl w:ilvl="6" w:tplc="B0FEA136" w:tentative="1">
      <w:start w:val="1"/>
      <w:numFmt w:val="bullet"/>
      <w:lvlText w:val=""/>
      <w:lvlJc w:val="left"/>
      <w:pPr>
        <w:tabs>
          <w:tab w:val="num" w:pos="5040"/>
        </w:tabs>
        <w:ind w:left="5040" w:hanging="360"/>
      </w:pPr>
      <w:rPr>
        <w:rFonts w:ascii="Symbol" w:hAnsi="Symbol" w:hint="default"/>
      </w:rPr>
    </w:lvl>
    <w:lvl w:ilvl="7" w:tplc="1E586882" w:tentative="1">
      <w:start w:val="1"/>
      <w:numFmt w:val="bullet"/>
      <w:lvlText w:val=""/>
      <w:lvlJc w:val="left"/>
      <w:pPr>
        <w:tabs>
          <w:tab w:val="num" w:pos="5760"/>
        </w:tabs>
        <w:ind w:left="5760" w:hanging="360"/>
      </w:pPr>
      <w:rPr>
        <w:rFonts w:ascii="Symbol" w:hAnsi="Symbol" w:hint="default"/>
      </w:rPr>
    </w:lvl>
    <w:lvl w:ilvl="8" w:tplc="ACAA88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081B15D5"/>
    <w:multiLevelType w:val="hybridMultilevel"/>
    <w:tmpl w:val="91C00568"/>
    <w:lvl w:ilvl="0" w:tplc="AAFC161A">
      <w:start w:val="1"/>
      <w:numFmt w:val="bullet"/>
      <w:lvlText w:val=""/>
      <w:lvlPicBulletId w:val="1"/>
      <w:lvlJc w:val="left"/>
      <w:pPr>
        <w:tabs>
          <w:tab w:val="num" w:pos="720"/>
        </w:tabs>
        <w:ind w:left="720" w:hanging="360"/>
      </w:pPr>
      <w:rPr>
        <w:rFonts w:ascii="Symbol" w:hAnsi="Symbol" w:hint="default"/>
      </w:rPr>
    </w:lvl>
    <w:lvl w:ilvl="1" w:tplc="4252B07C" w:tentative="1">
      <w:start w:val="1"/>
      <w:numFmt w:val="bullet"/>
      <w:lvlText w:val=""/>
      <w:lvlJc w:val="left"/>
      <w:pPr>
        <w:tabs>
          <w:tab w:val="num" w:pos="1440"/>
        </w:tabs>
        <w:ind w:left="1440" w:hanging="360"/>
      </w:pPr>
      <w:rPr>
        <w:rFonts w:ascii="Symbol" w:hAnsi="Symbol" w:hint="default"/>
      </w:rPr>
    </w:lvl>
    <w:lvl w:ilvl="2" w:tplc="148812E2" w:tentative="1">
      <w:start w:val="1"/>
      <w:numFmt w:val="bullet"/>
      <w:lvlText w:val=""/>
      <w:lvlJc w:val="left"/>
      <w:pPr>
        <w:tabs>
          <w:tab w:val="num" w:pos="2160"/>
        </w:tabs>
        <w:ind w:left="2160" w:hanging="360"/>
      </w:pPr>
      <w:rPr>
        <w:rFonts w:ascii="Symbol" w:hAnsi="Symbol" w:hint="default"/>
      </w:rPr>
    </w:lvl>
    <w:lvl w:ilvl="3" w:tplc="D818C014" w:tentative="1">
      <w:start w:val="1"/>
      <w:numFmt w:val="bullet"/>
      <w:lvlText w:val=""/>
      <w:lvlJc w:val="left"/>
      <w:pPr>
        <w:tabs>
          <w:tab w:val="num" w:pos="2880"/>
        </w:tabs>
        <w:ind w:left="2880" w:hanging="360"/>
      </w:pPr>
      <w:rPr>
        <w:rFonts w:ascii="Symbol" w:hAnsi="Symbol" w:hint="default"/>
      </w:rPr>
    </w:lvl>
    <w:lvl w:ilvl="4" w:tplc="6930C2EE" w:tentative="1">
      <w:start w:val="1"/>
      <w:numFmt w:val="bullet"/>
      <w:lvlText w:val=""/>
      <w:lvlJc w:val="left"/>
      <w:pPr>
        <w:tabs>
          <w:tab w:val="num" w:pos="3600"/>
        </w:tabs>
        <w:ind w:left="3600" w:hanging="360"/>
      </w:pPr>
      <w:rPr>
        <w:rFonts w:ascii="Symbol" w:hAnsi="Symbol" w:hint="default"/>
      </w:rPr>
    </w:lvl>
    <w:lvl w:ilvl="5" w:tplc="CE4CCFFA" w:tentative="1">
      <w:start w:val="1"/>
      <w:numFmt w:val="bullet"/>
      <w:lvlText w:val=""/>
      <w:lvlJc w:val="left"/>
      <w:pPr>
        <w:tabs>
          <w:tab w:val="num" w:pos="4320"/>
        </w:tabs>
        <w:ind w:left="4320" w:hanging="360"/>
      </w:pPr>
      <w:rPr>
        <w:rFonts w:ascii="Symbol" w:hAnsi="Symbol" w:hint="default"/>
      </w:rPr>
    </w:lvl>
    <w:lvl w:ilvl="6" w:tplc="43DA86F8" w:tentative="1">
      <w:start w:val="1"/>
      <w:numFmt w:val="bullet"/>
      <w:lvlText w:val=""/>
      <w:lvlJc w:val="left"/>
      <w:pPr>
        <w:tabs>
          <w:tab w:val="num" w:pos="5040"/>
        </w:tabs>
        <w:ind w:left="5040" w:hanging="360"/>
      </w:pPr>
      <w:rPr>
        <w:rFonts w:ascii="Symbol" w:hAnsi="Symbol" w:hint="default"/>
      </w:rPr>
    </w:lvl>
    <w:lvl w:ilvl="7" w:tplc="656A168E" w:tentative="1">
      <w:start w:val="1"/>
      <w:numFmt w:val="bullet"/>
      <w:lvlText w:val=""/>
      <w:lvlJc w:val="left"/>
      <w:pPr>
        <w:tabs>
          <w:tab w:val="num" w:pos="5760"/>
        </w:tabs>
        <w:ind w:left="5760" w:hanging="360"/>
      </w:pPr>
      <w:rPr>
        <w:rFonts w:ascii="Symbol" w:hAnsi="Symbol" w:hint="default"/>
      </w:rPr>
    </w:lvl>
    <w:lvl w:ilvl="8" w:tplc="84E8377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09EC57DB"/>
    <w:multiLevelType w:val="hybridMultilevel"/>
    <w:tmpl w:val="710EA874"/>
    <w:lvl w:ilvl="0" w:tplc="08D2AB58">
      <w:start w:val="1"/>
      <w:numFmt w:val="bullet"/>
      <w:lvlText w:val="&gt;"/>
      <w:lvlJc w:val="left"/>
      <w:pPr>
        <w:ind w:left="928" w:hanging="360"/>
      </w:pPr>
      <w:rPr>
        <w:rFonts w:ascii="HelveticaNeueLT Std Lt" w:hAnsi="HelveticaNeueLT Std Lt" w:hint="default"/>
        <w:sz w:val="20"/>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6" w15:restartNumberingAfterBreak="0">
    <w:nsid w:val="0A03458B"/>
    <w:multiLevelType w:val="hybridMultilevel"/>
    <w:tmpl w:val="5E681AF4"/>
    <w:lvl w:ilvl="0" w:tplc="44EEC084">
      <w:start w:val="1"/>
      <w:numFmt w:val="bullet"/>
      <w:lvlText w:val="&gt;"/>
      <w:lvlJc w:val="left"/>
      <w:pPr>
        <w:ind w:left="1015" w:hanging="360"/>
      </w:pPr>
      <w:rPr>
        <w:rFonts w:ascii="HelveticaNeueLT Std" w:hAnsi="HelveticaNeueLT Std" w:hint="default"/>
      </w:rPr>
    </w:lvl>
    <w:lvl w:ilvl="1" w:tplc="0C090003" w:tentative="1">
      <w:start w:val="1"/>
      <w:numFmt w:val="bullet"/>
      <w:lvlText w:val="o"/>
      <w:lvlJc w:val="left"/>
      <w:pPr>
        <w:ind w:left="1735" w:hanging="360"/>
      </w:pPr>
      <w:rPr>
        <w:rFonts w:ascii="Courier New" w:hAnsi="Courier New" w:cs="Courier New" w:hint="default"/>
      </w:rPr>
    </w:lvl>
    <w:lvl w:ilvl="2" w:tplc="0C090005" w:tentative="1">
      <w:start w:val="1"/>
      <w:numFmt w:val="bullet"/>
      <w:lvlText w:val=""/>
      <w:lvlJc w:val="left"/>
      <w:pPr>
        <w:ind w:left="2455" w:hanging="360"/>
      </w:pPr>
      <w:rPr>
        <w:rFonts w:ascii="Wingdings" w:hAnsi="Wingdings" w:hint="default"/>
      </w:rPr>
    </w:lvl>
    <w:lvl w:ilvl="3" w:tplc="0C090001" w:tentative="1">
      <w:start w:val="1"/>
      <w:numFmt w:val="bullet"/>
      <w:lvlText w:val=""/>
      <w:lvlJc w:val="left"/>
      <w:pPr>
        <w:ind w:left="3175" w:hanging="360"/>
      </w:pPr>
      <w:rPr>
        <w:rFonts w:ascii="Symbol" w:hAnsi="Symbol" w:hint="default"/>
      </w:rPr>
    </w:lvl>
    <w:lvl w:ilvl="4" w:tplc="0C090003" w:tentative="1">
      <w:start w:val="1"/>
      <w:numFmt w:val="bullet"/>
      <w:lvlText w:val="o"/>
      <w:lvlJc w:val="left"/>
      <w:pPr>
        <w:ind w:left="3895" w:hanging="360"/>
      </w:pPr>
      <w:rPr>
        <w:rFonts w:ascii="Courier New" w:hAnsi="Courier New" w:cs="Courier New" w:hint="default"/>
      </w:rPr>
    </w:lvl>
    <w:lvl w:ilvl="5" w:tplc="0C090005" w:tentative="1">
      <w:start w:val="1"/>
      <w:numFmt w:val="bullet"/>
      <w:lvlText w:val=""/>
      <w:lvlJc w:val="left"/>
      <w:pPr>
        <w:ind w:left="4615" w:hanging="360"/>
      </w:pPr>
      <w:rPr>
        <w:rFonts w:ascii="Wingdings" w:hAnsi="Wingdings" w:hint="default"/>
      </w:rPr>
    </w:lvl>
    <w:lvl w:ilvl="6" w:tplc="0C090001" w:tentative="1">
      <w:start w:val="1"/>
      <w:numFmt w:val="bullet"/>
      <w:lvlText w:val=""/>
      <w:lvlJc w:val="left"/>
      <w:pPr>
        <w:ind w:left="5335" w:hanging="360"/>
      </w:pPr>
      <w:rPr>
        <w:rFonts w:ascii="Symbol" w:hAnsi="Symbol" w:hint="default"/>
      </w:rPr>
    </w:lvl>
    <w:lvl w:ilvl="7" w:tplc="0C090003" w:tentative="1">
      <w:start w:val="1"/>
      <w:numFmt w:val="bullet"/>
      <w:lvlText w:val="o"/>
      <w:lvlJc w:val="left"/>
      <w:pPr>
        <w:ind w:left="6055" w:hanging="360"/>
      </w:pPr>
      <w:rPr>
        <w:rFonts w:ascii="Courier New" w:hAnsi="Courier New" w:cs="Courier New" w:hint="default"/>
      </w:rPr>
    </w:lvl>
    <w:lvl w:ilvl="8" w:tplc="0C090005" w:tentative="1">
      <w:start w:val="1"/>
      <w:numFmt w:val="bullet"/>
      <w:lvlText w:val=""/>
      <w:lvlJc w:val="left"/>
      <w:pPr>
        <w:ind w:left="6775" w:hanging="360"/>
      </w:pPr>
      <w:rPr>
        <w:rFonts w:ascii="Wingdings" w:hAnsi="Wingdings" w:hint="default"/>
      </w:rPr>
    </w:lvl>
  </w:abstractNum>
  <w:abstractNum w:abstractNumId="17" w15:restartNumberingAfterBreak="0">
    <w:nsid w:val="0A41123D"/>
    <w:multiLevelType w:val="hybridMultilevel"/>
    <w:tmpl w:val="C1403184"/>
    <w:lvl w:ilvl="0" w:tplc="063463FE">
      <w:start w:val="1"/>
      <w:numFmt w:val="bullet"/>
      <w:lvlText w:val=""/>
      <w:lvlPicBulletId w:val="1"/>
      <w:lvlJc w:val="left"/>
      <w:pPr>
        <w:tabs>
          <w:tab w:val="num" w:pos="720"/>
        </w:tabs>
        <w:ind w:left="720" w:hanging="360"/>
      </w:pPr>
      <w:rPr>
        <w:rFonts w:ascii="Symbol" w:hAnsi="Symbol" w:hint="default"/>
      </w:rPr>
    </w:lvl>
    <w:lvl w:ilvl="1" w:tplc="8CC604F4" w:tentative="1">
      <w:start w:val="1"/>
      <w:numFmt w:val="bullet"/>
      <w:lvlText w:val=""/>
      <w:lvlJc w:val="left"/>
      <w:pPr>
        <w:tabs>
          <w:tab w:val="num" w:pos="1440"/>
        </w:tabs>
        <w:ind w:left="1440" w:hanging="360"/>
      </w:pPr>
      <w:rPr>
        <w:rFonts w:ascii="Symbol" w:hAnsi="Symbol" w:hint="default"/>
      </w:rPr>
    </w:lvl>
    <w:lvl w:ilvl="2" w:tplc="6FD2248E" w:tentative="1">
      <w:start w:val="1"/>
      <w:numFmt w:val="bullet"/>
      <w:lvlText w:val=""/>
      <w:lvlJc w:val="left"/>
      <w:pPr>
        <w:tabs>
          <w:tab w:val="num" w:pos="2160"/>
        </w:tabs>
        <w:ind w:left="2160" w:hanging="360"/>
      </w:pPr>
      <w:rPr>
        <w:rFonts w:ascii="Symbol" w:hAnsi="Symbol" w:hint="default"/>
      </w:rPr>
    </w:lvl>
    <w:lvl w:ilvl="3" w:tplc="9DEE3DBE" w:tentative="1">
      <w:start w:val="1"/>
      <w:numFmt w:val="bullet"/>
      <w:lvlText w:val=""/>
      <w:lvlJc w:val="left"/>
      <w:pPr>
        <w:tabs>
          <w:tab w:val="num" w:pos="2880"/>
        </w:tabs>
        <w:ind w:left="2880" w:hanging="360"/>
      </w:pPr>
      <w:rPr>
        <w:rFonts w:ascii="Symbol" w:hAnsi="Symbol" w:hint="default"/>
      </w:rPr>
    </w:lvl>
    <w:lvl w:ilvl="4" w:tplc="34E8389C" w:tentative="1">
      <w:start w:val="1"/>
      <w:numFmt w:val="bullet"/>
      <w:lvlText w:val=""/>
      <w:lvlJc w:val="left"/>
      <w:pPr>
        <w:tabs>
          <w:tab w:val="num" w:pos="3600"/>
        </w:tabs>
        <w:ind w:left="3600" w:hanging="360"/>
      </w:pPr>
      <w:rPr>
        <w:rFonts w:ascii="Symbol" w:hAnsi="Symbol" w:hint="default"/>
      </w:rPr>
    </w:lvl>
    <w:lvl w:ilvl="5" w:tplc="18082DA6" w:tentative="1">
      <w:start w:val="1"/>
      <w:numFmt w:val="bullet"/>
      <w:lvlText w:val=""/>
      <w:lvlJc w:val="left"/>
      <w:pPr>
        <w:tabs>
          <w:tab w:val="num" w:pos="4320"/>
        </w:tabs>
        <w:ind w:left="4320" w:hanging="360"/>
      </w:pPr>
      <w:rPr>
        <w:rFonts w:ascii="Symbol" w:hAnsi="Symbol" w:hint="default"/>
      </w:rPr>
    </w:lvl>
    <w:lvl w:ilvl="6" w:tplc="B9FC7D42" w:tentative="1">
      <w:start w:val="1"/>
      <w:numFmt w:val="bullet"/>
      <w:lvlText w:val=""/>
      <w:lvlJc w:val="left"/>
      <w:pPr>
        <w:tabs>
          <w:tab w:val="num" w:pos="5040"/>
        </w:tabs>
        <w:ind w:left="5040" w:hanging="360"/>
      </w:pPr>
      <w:rPr>
        <w:rFonts w:ascii="Symbol" w:hAnsi="Symbol" w:hint="default"/>
      </w:rPr>
    </w:lvl>
    <w:lvl w:ilvl="7" w:tplc="C5AC0C28" w:tentative="1">
      <w:start w:val="1"/>
      <w:numFmt w:val="bullet"/>
      <w:lvlText w:val=""/>
      <w:lvlJc w:val="left"/>
      <w:pPr>
        <w:tabs>
          <w:tab w:val="num" w:pos="5760"/>
        </w:tabs>
        <w:ind w:left="5760" w:hanging="360"/>
      </w:pPr>
      <w:rPr>
        <w:rFonts w:ascii="Symbol" w:hAnsi="Symbol" w:hint="default"/>
      </w:rPr>
    </w:lvl>
    <w:lvl w:ilvl="8" w:tplc="B77C9D8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0AF63B30"/>
    <w:multiLevelType w:val="hybridMultilevel"/>
    <w:tmpl w:val="DA3CC630"/>
    <w:lvl w:ilvl="0" w:tplc="CC8A5050">
      <w:start w:val="1"/>
      <w:numFmt w:val="bullet"/>
      <w:lvlText w:val=""/>
      <w:lvlPicBulletId w:val="0"/>
      <w:lvlJc w:val="left"/>
      <w:pPr>
        <w:tabs>
          <w:tab w:val="num" w:pos="720"/>
        </w:tabs>
        <w:ind w:left="720" w:hanging="360"/>
      </w:pPr>
      <w:rPr>
        <w:rFonts w:ascii="Symbol" w:hAnsi="Symbol" w:hint="default"/>
      </w:rPr>
    </w:lvl>
    <w:lvl w:ilvl="1" w:tplc="8C1A2908" w:tentative="1">
      <w:start w:val="1"/>
      <w:numFmt w:val="bullet"/>
      <w:lvlText w:val=""/>
      <w:lvlJc w:val="left"/>
      <w:pPr>
        <w:tabs>
          <w:tab w:val="num" w:pos="1440"/>
        </w:tabs>
        <w:ind w:left="1440" w:hanging="360"/>
      </w:pPr>
      <w:rPr>
        <w:rFonts w:ascii="Symbol" w:hAnsi="Symbol" w:hint="default"/>
      </w:rPr>
    </w:lvl>
    <w:lvl w:ilvl="2" w:tplc="8FC64C40" w:tentative="1">
      <w:start w:val="1"/>
      <w:numFmt w:val="bullet"/>
      <w:lvlText w:val=""/>
      <w:lvlJc w:val="left"/>
      <w:pPr>
        <w:tabs>
          <w:tab w:val="num" w:pos="2160"/>
        </w:tabs>
        <w:ind w:left="2160" w:hanging="360"/>
      </w:pPr>
      <w:rPr>
        <w:rFonts w:ascii="Symbol" w:hAnsi="Symbol" w:hint="default"/>
      </w:rPr>
    </w:lvl>
    <w:lvl w:ilvl="3" w:tplc="8FE48846" w:tentative="1">
      <w:start w:val="1"/>
      <w:numFmt w:val="bullet"/>
      <w:lvlText w:val=""/>
      <w:lvlJc w:val="left"/>
      <w:pPr>
        <w:tabs>
          <w:tab w:val="num" w:pos="2880"/>
        </w:tabs>
        <w:ind w:left="2880" w:hanging="360"/>
      </w:pPr>
      <w:rPr>
        <w:rFonts w:ascii="Symbol" w:hAnsi="Symbol" w:hint="default"/>
      </w:rPr>
    </w:lvl>
    <w:lvl w:ilvl="4" w:tplc="5CC46900" w:tentative="1">
      <w:start w:val="1"/>
      <w:numFmt w:val="bullet"/>
      <w:lvlText w:val=""/>
      <w:lvlJc w:val="left"/>
      <w:pPr>
        <w:tabs>
          <w:tab w:val="num" w:pos="3600"/>
        </w:tabs>
        <w:ind w:left="3600" w:hanging="360"/>
      </w:pPr>
      <w:rPr>
        <w:rFonts w:ascii="Symbol" w:hAnsi="Symbol" w:hint="default"/>
      </w:rPr>
    </w:lvl>
    <w:lvl w:ilvl="5" w:tplc="924625EE" w:tentative="1">
      <w:start w:val="1"/>
      <w:numFmt w:val="bullet"/>
      <w:lvlText w:val=""/>
      <w:lvlJc w:val="left"/>
      <w:pPr>
        <w:tabs>
          <w:tab w:val="num" w:pos="4320"/>
        </w:tabs>
        <w:ind w:left="4320" w:hanging="360"/>
      </w:pPr>
      <w:rPr>
        <w:rFonts w:ascii="Symbol" w:hAnsi="Symbol" w:hint="default"/>
      </w:rPr>
    </w:lvl>
    <w:lvl w:ilvl="6" w:tplc="7AA22276" w:tentative="1">
      <w:start w:val="1"/>
      <w:numFmt w:val="bullet"/>
      <w:lvlText w:val=""/>
      <w:lvlJc w:val="left"/>
      <w:pPr>
        <w:tabs>
          <w:tab w:val="num" w:pos="5040"/>
        </w:tabs>
        <w:ind w:left="5040" w:hanging="360"/>
      </w:pPr>
      <w:rPr>
        <w:rFonts w:ascii="Symbol" w:hAnsi="Symbol" w:hint="default"/>
      </w:rPr>
    </w:lvl>
    <w:lvl w:ilvl="7" w:tplc="4C8ABB32" w:tentative="1">
      <w:start w:val="1"/>
      <w:numFmt w:val="bullet"/>
      <w:lvlText w:val=""/>
      <w:lvlJc w:val="left"/>
      <w:pPr>
        <w:tabs>
          <w:tab w:val="num" w:pos="5760"/>
        </w:tabs>
        <w:ind w:left="5760" w:hanging="360"/>
      </w:pPr>
      <w:rPr>
        <w:rFonts w:ascii="Symbol" w:hAnsi="Symbol" w:hint="default"/>
      </w:rPr>
    </w:lvl>
    <w:lvl w:ilvl="8" w:tplc="EEA49C2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0B5318A0"/>
    <w:multiLevelType w:val="hybridMultilevel"/>
    <w:tmpl w:val="DA64DB24"/>
    <w:lvl w:ilvl="0" w:tplc="907ECC92">
      <w:start w:val="1"/>
      <w:numFmt w:val="bullet"/>
      <w:lvlText w:val=""/>
      <w:lvlPicBulletId w:val="0"/>
      <w:lvlJc w:val="left"/>
      <w:pPr>
        <w:tabs>
          <w:tab w:val="num" w:pos="720"/>
        </w:tabs>
        <w:ind w:left="720" w:hanging="360"/>
      </w:pPr>
      <w:rPr>
        <w:rFonts w:ascii="Symbol" w:hAnsi="Symbol" w:hint="default"/>
      </w:rPr>
    </w:lvl>
    <w:lvl w:ilvl="1" w:tplc="B69272B6" w:tentative="1">
      <w:start w:val="1"/>
      <w:numFmt w:val="bullet"/>
      <w:lvlText w:val=""/>
      <w:lvlJc w:val="left"/>
      <w:pPr>
        <w:tabs>
          <w:tab w:val="num" w:pos="1440"/>
        </w:tabs>
        <w:ind w:left="1440" w:hanging="360"/>
      </w:pPr>
      <w:rPr>
        <w:rFonts w:ascii="Symbol" w:hAnsi="Symbol" w:hint="default"/>
      </w:rPr>
    </w:lvl>
    <w:lvl w:ilvl="2" w:tplc="2DD6D536" w:tentative="1">
      <w:start w:val="1"/>
      <w:numFmt w:val="bullet"/>
      <w:lvlText w:val=""/>
      <w:lvlJc w:val="left"/>
      <w:pPr>
        <w:tabs>
          <w:tab w:val="num" w:pos="2160"/>
        </w:tabs>
        <w:ind w:left="2160" w:hanging="360"/>
      </w:pPr>
      <w:rPr>
        <w:rFonts w:ascii="Symbol" w:hAnsi="Symbol" w:hint="default"/>
      </w:rPr>
    </w:lvl>
    <w:lvl w:ilvl="3" w:tplc="03EE125E" w:tentative="1">
      <w:start w:val="1"/>
      <w:numFmt w:val="bullet"/>
      <w:lvlText w:val=""/>
      <w:lvlJc w:val="left"/>
      <w:pPr>
        <w:tabs>
          <w:tab w:val="num" w:pos="2880"/>
        </w:tabs>
        <w:ind w:left="2880" w:hanging="360"/>
      </w:pPr>
      <w:rPr>
        <w:rFonts w:ascii="Symbol" w:hAnsi="Symbol" w:hint="default"/>
      </w:rPr>
    </w:lvl>
    <w:lvl w:ilvl="4" w:tplc="E5E4E7EC" w:tentative="1">
      <w:start w:val="1"/>
      <w:numFmt w:val="bullet"/>
      <w:lvlText w:val=""/>
      <w:lvlJc w:val="left"/>
      <w:pPr>
        <w:tabs>
          <w:tab w:val="num" w:pos="3600"/>
        </w:tabs>
        <w:ind w:left="3600" w:hanging="360"/>
      </w:pPr>
      <w:rPr>
        <w:rFonts w:ascii="Symbol" w:hAnsi="Symbol" w:hint="default"/>
      </w:rPr>
    </w:lvl>
    <w:lvl w:ilvl="5" w:tplc="014C1672" w:tentative="1">
      <w:start w:val="1"/>
      <w:numFmt w:val="bullet"/>
      <w:lvlText w:val=""/>
      <w:lvlJc w:val="left"/>
      <w:pPr>
        <w:tabs>
          <w:tab w:val="num" w:pos="4320"/>
        </w:tabs>
        <w:ind w:left="4320" w:hanging="360"/>
      </w:pPr>
      <w:rPr>
        <w:rFonts w:ascii="Symbol" w:hAnsi="Symbol" w:hint="default"/>
      </w:rPr>
    </w:lvl>
    <w:lvl w:ilvl="6" w:tplc="967EDA02" w:tentative="1">
      <w:start w:val="1"/>
      <w:numFmt w:val="bullet"/>
      <w:lvlText w:val=""/>
      <w:lvlJc w:val="left"/>
      <w:pPr>
        <w:tabs>
          <w:tab w:val="num" w:pos="5040"/>
        </w:tabs>
        <w:ind w:left="5040" w:hanging="360"/>
      </w:pPr>
      <w:rPr>
        <w:rFonts w:ascii="Symbol" w:hAnsi="Symbol" w:hint="default"/>
      </w:rPr>
    </w:lvl>
    <w:lvl w:ilvl="7" w:tplc="294CB098" w:tentative="1">
      <w:start w:val="1"/>
      <w:numFmt w:val="bullet"/>
      <w:lvlText w:val=""/>
      <w:lvlJc w:val="left"/>
      <w:pPr>
        <w:tabs>
          <w:tab w:val="num" w:pos="5760"/>
        </w:tabs>
        <w:ind w:left="5760" w:hanging="360"/>
      </w:pPr>
      <w:rPr>
        <w:rFonts w:ascii="Symbol" w:hAnsi="Symbol" w:hint="default"/>
      </w:rPr>
    </w:lvl>
    <w:lvl w:ilvl="8" w:tplc="4B7C57F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0BFD1E10"/>
    <w:multiLevelType w:val="hybridMultilevel"/>
    <w:tmpl w:val="E98C1E42"/>
    <w:lvl w:ilvl="0" w:tplc="4B78D01C">
      <w:start w:val="1"/>
      <w:numFmt w:val="bullet"/>
      <w:lvlText w:val=""/>
      <w:lvlPicBulletId w:val="1"/>
      <w:lvlJc w:val="left"/>
      <w:pPr>
        <w:tabs>
          <w:tab w:val="num" w:pos="720"/>
        </w:tabs>
        <w:ind w:left="720" w:hanging="360"/>
      </w:pPr>
      <w:rPr>
        <w:rFonts w:ascii="Symbol" w:hAnsi="Symbol" w:hint="default"/>
      </w:rPr>
    </w:lvl>
    <w:lvl w:ilvl="1" w:tplc="73E80492" w:tentative="1">
      <w:start w:val="1"/>
      <w:numFmt w:val="bullet"/>
      <w:lvlText w:val=""/>
      <w:lvlJc w:val="left"/>
      <w:pPr>
        <w:tabs>
          <w:tab w:val="num" w:pos="1440"/>
        </w:tabs>
        <w:ind w:left="1440" w:hanging="360"/>
      </w:pPr>
      <w:rPr>
        <w:rFonts w:ascii="Symbol" w:hAnsi="Symbol" w:hint="default"/>
      </w:rPr>
    </w:lvl>
    <w:lvl w:ilvl="2" w:tplc="D5F8470C" w:tentative="1">
      <w:start w:val="1"/>
      <w:numFmt w:val="bullet"/>
      <w:lvlText w:val=""/>
      <w:lvlJc w:val="left"/>
      <w:pPr>
        <w:tabs>
          <w:tab w:val="num" w:pos="2160"/>
        </w:tabs>
        <w:ind w:left="2160" w:hanging="360"/>
      </w:pPr>
      <w:rPr>
        <w:rFonts w:ascii="Symbol" w:hAnsi="Symbol" w:hint="default"/>
      </w:rPr>
    </w:lvl>
    <w:lvl w:ilvl="3" w:tplc="F53EF144" w:tentative="1">
      <w:start w:val="1"/>
      <w:numFmt w:val="bullet"/>
      <w:lvlText w:val=""/>
      <w:lvlJc w:val="left"/>
      <w:pPr>
        <w:tabs>
          <w:tab w:val="num" w:pos="2880"/>
        </w:tabs>
        <w:ind w:left="2880" w:hanging="360"/>
      </w:pPr>
      <w:rPr>
        <w:rFonts w:ascii="Symbol" w:hAnsi="Symbol" w:hint="default"/>
      </w:rPr>
    </w:lvl>
    <w:lvl w:ilvl="4" w:tplc="46E899E2" w:tentative="1">
      <w:start w:val="1"/>
      <w:numFmt w:val="bullet"/>
      <w:lvlText w:val=""/>
      <w:lvlJc w:val="left"/>
      <w:pPr>
        <w:tabs>
          <w:tab w:val="num" w:pos="3600"/>
        </w:tabs>
        <w:ind w:left="3600" w:hanging="360"/>
      </w:pPr>
      <w:rPr>
        <w:rFonts w:ascii="Symbol" w:hAnsi="Symbol" w:hint="default"/>
      </w:rPr>
    </w:lvl>
    <w:lvl w:ilvl="5" w:tplc="22FA511E" w:tentative="1">
      <w:start w:val="1"/>
      <w:numFmt w:val="bullet"/>
      <w:lvlText w:val=""/>
      <w:lvlJc w:val="left"/>
      <w:pPr>
        <w:tabs>
          <w:tab w:val="num" w:pos="4320"/>
        </w:tabs>
        <w:ind w:left="4320" w:hanging="360"/>
      </w:pPr>
      <w:rPr>
        <w:rFonts w:ascii="Symbol" w:hAnsi="Symbol" w:hint="default"/>
      </w:rPr>
    </w:lvl>
    <w:lvl w:ilvl="6" w:tplc="46CEBD08" w:tentative="1">
      <w:start w:val="1"/>
      <w:numFmt w:val="bullet"/>
      <w:lvlText w:val=""/>
      <w:lvlJc w:val="left"/>
      <w:pPr>
        <w:tabs>
          <w:tab w:val="num" w:pos="5040"/>
        </w:tabs>
        <w:ind w:left="5040" w:hanging="360"/>
      </w:pPr>
      <w:rPr>
        <w:rFonts w:ascii="Symbol" w:hAnsi="Symbol" w:hint="default"/>
      </w:rPr>
    </w:lvl>
    <w:lvl w:ilvl="7" w:tplc="8662DFEE" w:tentative="1">
      <w:start w:val="1"/>
      <w:numFmt w:val="bullet"/>
      <w:lvlText w:val=""/>
      <w:lvlJc w:val="left"/>
      <w:pPr>
        <w:tabs>
          <w:tab w:val="num" w:pos="5760"/>
        </w:tabs>
        <w:ind w:left="5760" w:hanging="360"/>
      </w:pPr>
      <w:rPr>
        <w:rFonts w:ascii="Symbol" w:hAnsi="Symbol" w:hint="default"/>
      </w:rPr>
    </w:lvl>
    <w:lvl w:ilvl="8" w:tplc="5E10EDB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0CD85BFB"/>
    <w:multiLevelType w:val="hybridMultilevel"/>
    <w:tmpl w:val="CA803712"/>
    <w:lvl w:ilvl="0" w:tplc="3C9CAA56">
      <w:start w:val="1"/>
      <w:numFmt w:val="bullet"/>
      <w:lvlText w:val=""/>
      <w:lvlPicBulletId w:val="0"/>
      <w:lvlJc w:val="left"/>
      <w:pPr>
        <w:tabs>
          <w:tab w:val="num" w:pos="720"/>
        </w:tabs>
        <w:ind w:left="720" w:hanging="360"/>
      </w:pPr>
      <w:rPr>
        <w:rFonts w:ascii="Symbol" w:hAnsi="Symbol" w:hint="default"/>
      </w:rPr>
    </w:lvl>
    <w:lvl w:ilvl="1" w:tplc="145EC6F0" w:tentative="1">
      <w:start w:val="1"/>
      <w:numFmt w:val="bullet"/>
      <w:lvlText w:val=""/>
      <w:lvlJc w:val="left"/>
      <w:pPr>
        <w:tabs>
          <w:tab w:val="num" w:pos="1440"/>
        </w:tabs>
        <w:ind w:left="1440" w:hanging="360"/>
      </w:pPr>
      <w:rPr>
        <w:rFonts w:ascii="Symbol" w:hAnsi="Symbol" w:hint="default"/>
      </w:rPr>
    </w:lvl>
    <w:lvl w:ilvl="2" w:tplc="8BE2FBBE" w:tentative="1">
      <w:start w:val="1"/>
      <w:numFmt w:val="bullet"/>
      <w:lvlText w:val=""/>
      <w:lvlJc w:val="left"/>
      <w:pPr>
        <w:tabs>
          <w:tab w:val="num" w:pos="2160"/>
        </w:tabs>
        <w:ind w:left="2160" w:hanging="360"/>
      </w:pPr>
      <w:rPr>
        <w:rFonts w:ascii="Symbol" w:hAnsi="Symbol" w:hint="default"/>
      </w:rPr>
    </w:lvl>
    <w:lvl w:ilvl="3" w:tplc="31DEA2B4" w:tentative="1">
      <w:start w:val="1"/>
      <w:numFmt w:val="bullet"/>
      <w:lvlText w:val=""/>
      <w:lvlJc w:val="left"/>
      <w:pPr>
        <w:tabs>
          <w:tab w:val="num" w:pos="2880"/>
        </w:tabs>
        <w:ind w:left="2880" w:hanging="360"/>
      </w:pPr>
      <w:rPr>
        <w:rFonts w:ascii="Symbol" w:hAnsi="Symbol" w:hint="default"/>
      </w:rPr>
    </w:lvl>
    <w:lvl w:ilvl="4" w:tplc="69461F2A" w:tentative="1">
      <w:start w:val="1"/>
      <w:numFmt w:val="bullet"/>
      <w:lvlText w:val=""/>
      <w:lvlJc w:val="left"/>
      <w:pPr>
        <w:tabs>
          <w:tab w:val="num" w:pos="3600"/>
        </w:tabs>
        <w:ind w:left="3600" w:hanging="360"/>
      </w:pPr>
      <w:rPr>
        <w:rFonts w:ascii="Symbol" w:hAnsi="Symbol" w:hint="default"/>
      </w:rPr>
    </w:lvl>
    <w:lvl w:ilvl="5" w:tplc="E698F456" w:tentative="1">
      <w:start w:val="1"/>
      <w:numFmt w:val="bullet"/>
      <w:lvlText w:val=""/>
      <w:lvlJc w:val="left"/>
      <w:pPr>
        <w:tabs>
          <w:tab w:val="num" w:pos="4320"/>
        </w:tabs>
        <w:ind w:left="4320" w:hanging="360"/>
      </w:pPr>
      <w:rPr>
        <w:rFonts w:ascii="Symbol" w:hAnsi="Symbol" w:hint="default"/>
      </w:rPr>
    </w:lvl>
    <w:lvl w:ilvl="6" w:tplc="4880BEBE" w:tentative="1">
      <w:start w:val="1"/>
      <w:numFmt w:val="bullet"/>
      <w:lvlText w:val=""/>
      <w:lvlJc w:val="left"/>
      <w:pPr>
        <w:tabs>
          <w:tab w:val="num" w:pos="5040"/>
        </w:tabs>
        <w:ind w:left="5040" w:hanging="360"/>
      </w:pPr>
      <w:rPr>
        <w:rFonts w:ascii="Symbol" w:hAnsi="Symbol" w:hint="default"/>
      </w:rPr>
    </w:lvl>
    <w:lvl w:ilvl="7" w:tplc="2C8A05B8" w:tentative="1">
      <w:start w:val="1"/>
      <w:numFmt w:val="bullet"/>
      <w:lvlText w:val=""/>
      <w:lvlJc w:val="left"/>
      <w:pPr>
        <w:tabs>
          <w:tab w:val="num" w:pos="5760"/>
        </w:tabs>
        <w:ind w:left="5760" w:hanging="360"/>
      </w:pPr>
      <w:rPr>
        <w:rFonts w:ascii="Symbol" w:hAnsi="Symbol" w:hint="default"/>
      </w:rPr>
    </w:lvl>
    <w:lvl w:ilvl="8" w:tplc="C49C1D7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0E382321"/>
    <w:multiLevelType w:val="hybridMultilevel"/>
    <w:tmpl w:val="B39CF6AE"/>
    <w:lvl w:ilvl="0" w:tplc="235AAC98">
      <w:start w:val="1"/>
      <w:numFmt w:val="bullet"/>
      <w:lvlText w:val=""/>
      <w:lvlPicBulletId w:val="1"/>
      <w:lvlJc w:val="left"/>
      <w:pPr>
        <w:tabs>
          <w:tab w:val="num" w:pos="720"/>
        </w:tabs>
        <w:ind w:left="720" w:hanging="360"/>
      </w:pPr>
      <w:rPr>
        <w:rFonts w:ascii="Symbol" w:hAnsi="Symbol" w:hint="default"/>
      </w:rPr>
    </w:lvl>
    <w:lvl w:ilvl="1" w:tplc="EB12AAE8" w:tentative="1">
      <w:start w:val="1"/>
      <w:numFmt w:val="bullet"/>
      <w:lvlText w:val=""/>
      <w:lvlJc w:val="left"/>
      <w:pPr>
        <w:tabs>
          <w:tab w:val="num" w:pos="1440"/>
        </w:tabs>
        <w:ind w:left="1440" w:hanging="360"/>
      </w:pPr>
      <w:rPr>
        <w:rFonts w:ascii="Symbol" w:hAnsi="Symbol" w:hint="default"/>
      </w:rPr>
    </w:lvl>
    <w:lvl w:ilvl="2" w:tplc="0A18A044" w:tentative="1">
      <w:start w:val="1"/>
      <w:numFmt w:val="bullet"/>
      <w:lvlText w:val=""/>
      <w:lvlJc w:val="left"/>
      <w:pPr>
        <w:tabs>
          <w:tab w:val="num" w:pos="2160"/>
        </w:tabs>
        <w:ind w:left="2160" w:hanging="360"/>
      </w:pPr>
      <w:rPr>
        <w:rFonts w:ascii="Symbol" w:hAnsi="Symbol" w:hint="default"/>
      </w:rPr>
    </w:lvl>
    <w:lvl w:ilvl="3" w:tplc="C5B68834" w:tentative="1">
      <w:start w:val="1"/>
      <w:numFmt w:val="bullet"/>
      <w:lvlText w:val=""/>
      <w:lvlJc w:val="left"/>
      <w:pPr>
        <w:tabs>
          <w:tab w:val="num" w:pos="2880"/>
        </w:tabs>
        <w:ind w:left="2880" w:hanging="360"/>
      </w:pPr>
      <w:rPr>
        <w:rFonts w:ascii="Symbol" w:hAnsi="Symbol" w:hint="default"/>
      </w:rPr>
    </w:lvl>
    <w:lvl w:ilvl="4" w:tplc="997815A4" w:tentative="1">
      <w:start w:val="1"/>
      <w:numFmt w:val="bullet"/>
      <w:lvlText w:val=""/>
      <w:lvlJc w:val="left"/>
      <w:pPr>
        <w:tabs>
          <w:tab w:val="num" w:pos="3600"/>
        </w:tabs>
        <w:ind w:left="3600" w:hanging="360"/>
      </w:pPr>
      <w:rPr>
        <w:rFonts w:ascii="Symbol" w:hAnsi="Symbol" w:hint="default"/>
      </w:rPr>
    </w:lvl>
    <w:lvl w:ilvl="5" w:tplc="809EA1C2" w:tentative="1">
      <w:start w:val="1"/>
      <w:numFmt w:val="bullet"/>
      <w:lvlText w:val=""/>
      <w:lvlJc w:val="left"/>
      <w:pPr>
        <w:tabs>
          <w:tab w:val="num" w:pos="4320"/>
        </w:tabs>
        <w:ind w:left="4320" w:hanging="360"/>
      </w:pPr>
      <w:rPr>
        <w:rFonts w:ascii="Symbol" w:hAnsi="Symbol" w:hint="default"/>
      </w:rPr>
    </w:lvl>
    <w:lvl w:ilvl="6" w:tplc="41A84C14" w:tentative="1">
      <w:start w:val="1"/>
      <w:numFmt w:val="bullet"/>
      <w:lvlText w:val=""/>
      <w:lvlJc w:val="left"/>
      <w:pPr>
        <w:tabs>
          <w:tab w:val="num" w:pos="5040"/>
        </w:tabs>
        <w:ind w:left="5040" w:hanging="360"/>
      </w:pPr>
      <w:rPr>
        <w:rFonts w:ascii="Symbol" w:hAnsi="Symbol" w:hint="default"/>
      </w:rPr>
    </w:lvl>
    <w:lvl w:ilvl="7" w:tplc="EFCC2D2E" w:tentative="1">
      <w:start w:val="1"/>
      <w:numFmt w:val="bullet"/>
      <w:lvlText w:val=""/>
      <w:lvlJc w:val="left"/>
      <w:pPr>
        <w:tabs>
          <w:tab w:val="num" w:pos="5760"/>
        </w:tabs>
        <w:ind w:left="5760" w:hanging="360"/>
      </w:pPr>
      <w:rPr>
        <w:rFonts w:ascii="Symbol" w:hAnsi="Symbol" w:hint="default"/>
      </w:rPr>
    </w:lvl>
    <w:lvl w:ilvl="8" w:tplc="C6763D0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0E3E0B52"/>
    <w:multiLevelType w:val="hybridMultilevel"/>
    <w:tmpl w:val="1958A464"/>
    <w:lvl w:ilvl="0" w:tplc="FE5E0A54">
      <w:start w:val="1"/>
      <w:numFmt w:val="bullet"/>
      <w:lvlText w:val=""/>
      <w:lvlPicBulletId w:val="1"/>
      <w:lvlJc w:val="left"/>
      <w:pPr>
        <w:tabs>
          <w:tab w:val="num" w:pos="720"/>
        </w:tabs>
        <w:ind w:left="720" w:hanging="360"/>
      </w:pPr>
      <w:rPr>
        <w:rFonts w:ascii="Symbol" w:hAnsi="Symbol" w:hint="default"/>
      </w:rPr>
    </w:lvl>
    <w:lvl w:ilvl="1" w:tplc="8E142052" w:tentative="1">
      <w:start w:val="1"/>
      <w:numFmt w:val="bullet"/>
      <w:lvlText w:val=""/>
      <w:lvlJc w:val="left"/>
      <w:pPr>
        <w:tabs>
          <w:tab w:val="num" w:pos="1440"/>
        </w:tabs>
        <w:ind w:left="1440" w:hanging="360"/>
      </w:pPr>
      <w:rPr>
        <w:rFonts w:ascii="Symbol" w:hAnsi="Symbol" w:hint="default"/>
      </w:rPr>
    </w:lvl>
    <w:lvl w:ilvl="2" w:tplc="3C2CB720" w:tentative="1">
      <w:start w:val="1"/>
      <w:numFmt w:val="bullet"/>
      <w:lvlText w:val=""/>
      <w:lvlJc w:val="left"/>
      <w:pPr>
        <w:tabs>
          <w:tab w:val="num" w:pos="2160"/>
        </w:tabs>
        <w:ind w:left="2160" w:hanging="360"/>
      </w:pPr>
      <w:rPr>
        <w:rFonts w:ascii="Symbol" w:hAnsi="Symbol" w:hint="default"/>
      </w:rPr>
    </w:lvl>
    <w:lvl w:ilvl="3" w:tplc="BE6E16D2" w:tentative="1">
      <w:start w:val="1"/>
      <w:numFmt w:val="bullet"/>
      <w:lvlText w:val=""/>
      <w:lvlJc w:val="left"/>
      <w:pPr>
        <w:tabs>
          <w:tab w:val="num" w:pos="2880"/>
        </w:tabs>
        <w:ind w:left="2880" w:hanging="360"/>
      </w:pPr>
      <w:rPr>
        <w:rFonts w:ascii="Symbol" w:hAnsi="Symbol" w:hint="default"/>
      </w:rPr>
    </w:lvl>
    <w:lvl w:ilvl="4" w:tplc="DB3ADCBC" w:tentative="1">
      <w:start w:val="1"/>
      <w:numFmt w:val="bullet"/>
      <w:lvlText w:val=""/>
      <w:lvlJc w:val="left"/>
      <w:pPr>
        <w:tabs>
          <w:tab w:val="num" w:pos="3600"/>
        </w:tabs>
        <w:ind w:left="3600" w:hanging="360"/>
      </w:pPr>
      <w:rPr>
        <w:rFonts w:ascii="Symbol" w:hAnsi="Symbol" w:hint="default"/>
      </w:rPr>
    </w:lvl>
    <w:lvl w:ilvl="5" w:tplc="BEAEB692" w:tentative="1">
      <w:start w:val="1"/>
      <w:numFmt w:val="bullet"/>
      <w:lvlText w:val=""/>
      <w:lvlJc w:val="left"/>
      <w:pPr>
        <w:tabs>
          <w:tab w:val="num" w:pos="4320"/>
        </w:tabs>
        <w:ind w:left="4320" w:hanging="360"/>
      </w:pPr>
      <w:rPr>
        <w:rFonts w:ascii="Symbol" w:hAnsi="Symbol" w:hint="default"/>
      </w:rPr>
    </w:lvl>
    <w:lvl w:ilvl="6" w:tplc="97C29012" w:tentative="1">
      <w:start w:val="1"/>
      <w:numFmt w:val="bullet"/>
      <w:lvlText w:val=""/>
      <w:lvlJc w:val="left"/>
      <w:pPr>
        <w:tabs>
          <w:tab w:val="num" w:pos="5040"/>
        </w:tabs>
        <w:ind w:left="5040" w:hanging="360"/>
      </w:pPr>
      <w:rPr>
        <w:rFonts w:ascii="Symbol" w:hAnsi="Symbol" w:hint="default"/>
      </w:rPr>
    </w:lvl>
    <w:lvl w:ilvl="7" w:tplc="89D41788" w:tentative="1">
      <w:start w:val="1"/>
      <w:numFmt w:val="bullet"/>
      <w:lvlText w:val=""/>
      <w:lvlJc w:val="left"/>
      <w:pPr>
        <w:tabs>
          <w:tab w:val="num" w:pos="5760"/>
        </w:tabs>
        <w:ind w:left="5760" w:hanging="360"/>
      </w:pPr>
      <w:rPr>
        <w:rFonts w:ascii="Symbol" w:hAnsi="Symbol" w:hint="default"/>
      </w:rPr>
    </w:lvl>
    <w:lvl w:ilvl="8" w:tplc="3D8A47CC"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0ED36DE4"/>
    <w:multiLevelType w:val="hybridMultilevel"/>
    <w:tmpl w:val="04F21F78"/>
    <w:lvl w:ilvl="0" w:tplc="999EC3D2">
      <w:start w:val="1"/>
      <w:numFmt w:val="bullet"/>
      <w:lvlText w:val=""/>
      <w:lvlPicBulletId w:val="1"/>
      <w:lvlJc w:val="left"/>
      <w:pPr>
        <w:tabs>
          <w:tab w:val="num" w:pos="720"/>
        </w:tabs>
        <w:ind w:left="720" w:hanging="360"/>
      </w:pPr>
      <w:rPr>
        <w:rFonts w:ascii="Symbol" w:hAnsi="Symbol" w:hint="default"/>
      </w:rPr>
    </w:lvl>
    <w:lvl w:ilvl="1" w:tplc="EB604E1C" w:tentative="1">
      <w:start w:val="1"/>
      <w:numFmt w:val="bullet"/>
      <w:lvlText w:val=""/>
      <w:lvlJc w:val="left"/>
      <w:pPr>
        <w:tabs>
          <w:tab w:val="num" w:pos="1440"/>
        </w:tabs>
        <w:ind w:left="1440" w:hanging="360"/>
      </w:pPr>
      <w:rPr>
        <w:rFonts w:ascii="Symbol" w:hAnsi="Symbol" w:hint="default"/>
      </w:rPr>
    </w:lvl>
    <w:lvl w:ilvl="2" w:tplc="FA4A6EB8" w:tentative="1">
      <w:start w:val="1"/>
      <w:numFmt w:val="bullet"/>
      <w:lvlText w:val=""/>
      <w:lvlJc w:val="left"/>
      <w:pPr>
        <w:tabs>
          <w:tab w:val="num" w:pos="2160"/>
        </w:tabs>
        <w:ind w:left="2160" w:hanging="360"/>
      </w:pPr>
      <w:rPr>
        <w:rFonts w:ascii="Symbol" w:hAnsi="Symbol" w:hint="default"/>
      </w:rPr>
    </w:lvl>
    <w:lvl w:ilvl="3" w:tplc="F66AE854" w:tentative="1">
      <w:start w:val="1"/>
      <w:numFmt w:val="bullet"/>
      <w:lvlText w:val=""/>
      <w:lvlJc w:val="left"/>
      <w:pPr>
        <w:tabs>
          <w:tab w:val="num" w:pos="2880"/>
        </w:tabs>
        <w:ind w:left="2880" w:hanging="360"/>
      </w:pPr>
      <w:rPr>
        <w:rFonts w:ascii="Symbol" w:hAnsi="Symbol" w:hint="default"/>
      </w:rPr>
    </w:lvl>
    <w:lvl w:ilvl="4" w:tplc="6068CE12" w:tentative="1">
      <w:start w:val="1"/>
      <w:numFmt w:val="bullet"/>
      <w:lvlText w:val=""/>
      <w:lvlJc w:val="left"/>
      <w:pPr>
        <w:tabs>
          <w:tab w:val="num" w:pos="3600"/>
        </w:tabs>
        <w:ind w:left="3600" w:hanging="360"/>
      </w:pPr>
      <w:rPr>
        <w:rFonts w:ascii="Symbol" w:hAnsi="Symbol" w:hint="default"/>
      </w:rPr>
    </w:lvl>
    <w:lvl w:ilvl="5" w:tplc="088E8BA0" w:tentative="1">
      <w:start w:val="1"/>
      <w:numFmt w:val="bullet"/>
      <w:lvlText w:val=""/>
      <w:lvlJc w:val="left"/>
      <w:pPr>
        <w:tabs>
          <w:tab w:val="num" w:pos="4320"/>
        </w:tabs>
        <w:ind w:left="4320" w:hanging="360"/>
      </w:pPr>
      <w:rPr>
        <w:rFonts w:ascii="Symbol" w:hAnsi="Symbol" w:hint="default"/>
      </w:rPr>
    </w:lvl>
    <w:lvl w:ilvl="6" w:tplc="0E90F644" w:tentative="1">
      <w:start w:val="1"/>
      <w:numFmt w:val="bullet"/>
      <w:lvlText w:val=""/>
      <w:lvlJc w:val="left"/>
      <w:pPr>
        <w:tabs>
          <w:tab w:val="num" w:pos="5040"/>
        </w:tabs>
        <w:ind w:left="5040" w:hanging="360"/>
      </w:pPr>
      <w:rPr>
        <w:rFonts w:ascii="Symbol" w:hAnsi="Symbol" w:hint="default"/>
      </w:rPr>
    </w:lvl>
    <w:lvl w:ilvl="7" w:tplc="455432FA" w:tentative="1">
      <w:start w:val="1"/>
      <w:numFmt w:val="bullet"/>
      <w:lvlText w:val=""/>
      <w:lvlJc w:val="left"/>
      <w:pPr>
        <w:tabs>
          <w:tab w:val="num" w:pos="5760"/>
        </w:tabs>
        <w:ind w:left="5760" w:hanging="360"/>
      </w:pPr>
      <w:rPr>
        <w:rFonts w:ascii="Symbol" w:hAnsi="Symbol" w:hint="default"/>
      </w:rPr>
    </w:lvl>
    <w:lvl w:ilvl="8" w:tplc="21480DC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0EF91340"/>
    <w:multiLevelType w:val="hybridMultilevel"/>
    <w:tmpl w:val="811C92C2"/>
    <w:lvl w:ilvl="0" w:tplc="8EE696D6">
      <w:start w:val="1"/>
      <w:numFmt w:val="decimal"/>
      <w:lvlText w:val="Table %1."/>
      <w:lvlJc w:val="lef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0FE86CD1"/>
    <w:multiLevelType w:val="hybridMultilevel"/>
    <w:tmpl w:val="2AB6CF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0815B5A"/>
    <w:multiLevelType w:val="hybridMultilevel"/>
    <w:tmpl w:val="B4F6CF3C"/>
    <w:lvl w:ilvl="0" w:tplc="D4B6E4CC">
      <w:start w:val="1"/>
      <w:numFmt w:val="bullet"/>
      <w:lvlText w:val=""/>
      <w:lvlPicBulletId w:val="1"/>
      <w:lvlJc w:val="left"/>
      <w:pPr>
        <w:tabs>
          <w:tab w:val="num" w:pos="720"/>
        </w:tabs>
        <w:ind w:left="720" w:hanging="360"/>
      </w:pPr>
      <w:rPr>
        <w:rFonts w:ascii="Symbol" w:hAnsi="Symbol" w:hint="default"/>
      </w:rPr>
    </w:lvl>
    <w:lvl w:ilvl="1" w:tplc="067886BA" w:tentative="1">
      <w:start w:val="1"/>
      <w:numFmt w:val="bullet"/>
      <w:lvlText w:val=""/>
      <w:lvlJc w:val="left"/>
      <w:pPr>
        <w:tabs>
          <w:tab w:val="num" w:pos="1440"/>
        </w:tabs>
        <w:ind w:left="1440" w:hanging="360"/>
      </w:pPr>
      <w:rPr>
        <w:rFonts w:ascii="Symbol" w:hAnsi="Symbol" w:hint="default"/>
      </w:rPr>
    </w:lvl>
    <w:lvl w:ilvl="2" w:tplc="04B0365A" w:tentative="1">
      <w:start w:val="1"/>
      <w:numFmt w:val="bullet"/>
      <w:lvlText w:val=""/>
      <w:lvlJc w:val="left"/>
      <w:pPr>
        <w:tabs>
          <w:tab w:val="num" w:pos="2160"/>
        </w:tabs>
        <w:ind w:left="2160" w:hanging="360"/>
      </w:pPr>
      <w:rPr>
        <w:rFonts w:ascii="Symbol" w:hAnsi="Symbol" w:hint="default"/>
      </w:rPr>
    </w:lvl>
    <w:lvl w:ilvl="3" w:tplc="A504F9EC" w:tentative="1">
      <w:start w:val="1"/>
      <w:numFmt w:val="bullet"/>
      <w:lvlText w:val=""/>
      <w:lvlJc w:val="left"/>
      <w:pPr>
        <w:tabs>
          <w:tab w:val="num" w:pos="2880"/>
        </w:tabs>
        <w:ind w:left="2880" w:hanging="360"/>
      </w:pPr>
      <w:rPr>
        <w:rFonts w:ascii="Symbol" w:hAnsi="Symbol" w:hint="default"/>
      </w:rPr>
    </w:lvl>
    <w:lvl w:ilvl="4" w:tplc="639001BA" w:tentative="1">
      <w:start w:val="1"/>
      <w:numFmt w:val="bullet"/>
      <w:lvlText w:val=""/>
      <w:lvlJc w:val="left"/>
      <w:pPr>
        <w:tabs>
          <w:tab w:val="num" w:pos="3600"/>
        </w:tabs>
        <w:ind w:left="3600" w:hanging="360"/>
      </w:pPr>
      <w:rPr>
        <w:rFonts w:ascii="Symbol" w:hAnsi="Symbol" w:hint="default"/>
      </w:rPr>
    </w:lvl>
    <w:lvl w:ilvl="5" w:tplc="7714C64E" w:tentative="1">
      <w:start w:val="1"/>
      <w:numFmt w:val="bullet"/>
      <w:lvlText w:val=""/>
      <w:lvlJc w:val="left"/>
      <w:pPr>
        <w:tabs>
          <w:tab w:val="num" w:pos="4320"/>
        </w:tabs>
        <w:ind w:left="4320" w:hanging="360"/>
      </w:pPr>
      <w:rPr>
        <w:rFonts w:ascii="Symbol" w:hAnsi="Symbol" w:hint="default"/>
      </w:rPr>
    </w:lvl>
    <w:lvl w:ilvl="6" w:tplc="1520EFBC" w:tentative="1">
      <w:start w:val="1"/>
      <w:numFmt w:val="bullet"/>
      <w:lvlText w:val=""/>
      <w:lvlJc w:val="left"/>
      <w:pPr>
        <w:tabs>
          <w:tab w:val="num" w:pos="5040"/>
        </w:tabs>
        <w:ind w:left="5040" w:hanging="360"/>
      </w:pPr>
      <w:rPr>
        <w:rFonts w:ascii="Symbol" w:hAnsi="Symbol" w:hint="default"/>
      </w:rPr>
    </w:lvl>
    <w:lvl w:ilvl="7" w:tplc="C6540E5E" w:tentative="1">
      <w:start w:val="1"/>
      <w:numFmt w:val="bullet"/>
      <w:lvlText w:val=""/>
      <w:lvlJc w:val="left"/>
      <w:pPr>
        <w:tabs>
          <w:tab w:val="num" w:pos="5760"/>
        </w:tabs>
        <w:ind w:left="5760" w:hanging="360"/>
      </w:pPr>
      <w:rPr>
        <w:rFonts w:ascii="Symbol" w:hAnsi="Symbol" w:hint="default"/>
      </w:rPr>
    </w:lvl>
    <w:lvl w:ilvl="8" w:tplc="9EDA9A20"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10C912F4"/>
    <w:multiLevelType w:val="hybridMultilevel"/>
    <w:tmpl w:val="BF826F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124645FB"/>
    <w:multiLevelType w:val="hybridMultilevel"/>
    <w:tmpl w:val="FD76232A"/>
    <w:lvl w:ilvl="0" w:tplc="63BCB244">
      <w:start w:val="1"/>
      <w:numFmt w:val="bullet"/>
      <w:lvlText w:val=""/>
      <w:lvlPicBulletId w:val="1"/>
      <w:lvlJc w:val="left"/>
      <w:pPr>
        <w:tabs>
          <w:tab w:val="num" w:pos="720"/>
        </w:tabs>
        <w:ind w:left="720" w:hanging="360"/>
      </w:pPr>
      <w:rPr>
        <w:rFonts w:ascii="Symbol" w:hAnsi="Symbol" w:hint="default"/>
      </w:rPr>
    </w:lvl>
    <w:lvl w:ilvl="1" w:tplc="54E8A570" w:tentative="1">
      <w:start w:val="1"/>
      <w:numFmt w:val="bullet"/>
      <w:lvlText w:val=""/>
      <w:lvlJc w:val="left"/>
      <w:pPr>
        <w:tabs>
          <w:tab w:val="num" w:pos="1440"/>
        </w:tabs>
        <w:ind w:left="1440" w:hanging="360"/>
      </w:pPr>
      <w:rPr>
        <w:rFonts w:ascii="Symbol" w:hAnsi="Symbol" w:hint="default"/>
      </w:rPr>
    </w:lvl>
    <w:lvl w:ilvl="2" w:tplc="3B34BFD4" w:tentative="1">
      <w:start w:val="1"/>
      <w:numFmt w:val="bullet"/>
      <w:lvlText w:val=""/>
      <w:lvlJc w:val="left"/>
      <w:pPr>
        <w:tabs>
          <w:tab w:val="num" w:pos="2160"/>
        </w:tabs>
        <w:ind w:left="2160" w:hanging="360"/>
      </w:pPr>
      <w:rPr>
        <w:rFonts w:ascii="Symbol" w:hAnsi="Symbol" w:hint="default"/>
      </w:rPr>
    </w:lvl>
    <w:lvl w:ilvl="3" w:tplc="C09E1C64" w:tentative="1">
      <w:start w:val="1"/>
      <w:numFmt w:val="bullet"/>
      <w:lvlText w:val=""/>
      <w:lvlJc w:val="left"/>
      <w:pPr>
        <w:tabs>
          <w:tab w:val="num" w:pos="2880"/>
        </w:tabs>
        <w:ind w:left="2880" w:hanging="360"/>
      </w:pPr>
      <w:rPr>
        <w:rFonts w:ascii="Symbol" w:hAnsi="Symbol" w:hint="default"/>
      </w:rPr>
    </w:lvl>
    <w:lvl w:ilvl="4" w:tplc="9B5EECFC" w:tentative="1">
      <w:start w:val="1"/>
      <w:numFmt w:val="bullet"/>
      <w:lvlText w:val=""/>
      <w:lvlJc w:val="left"/>
      <w:pPr>
        <w:tabs>
          <w:tab w:val="num" w:pos="3600"/>
        </w:tabs>
        <w:ind w:left="3600" w:hanging="360"/>
      </w:pPr>
      <w:rPr>
        <w:rFonts w:ascii="Symbol" w:hAnsi="Symbol" w:hint="default"/>
      </w:rPr>
    </w:lvl>
    <w:lvl w:ilvl="5" w:tplc="0330888E" w:tentative="1">
      <w:start w:val="1"/>
      <w:numFmt w:val="bullet"/>
      <w:lvlText w:val=""/>
      <w:lvlJc w:val="left"/>
      <w:pPr>
        <w:tabs>
          <w:tab w:val="num" w:pos="4320"/>
        </w:tabs>
        <w:ind w:left="4320" w:hanging="360"/>
      </w:pPr>
      <w:rPr>
        <w:rFonts w:ascii="Symbol" w:hAnsi="Symbol" w:hint="default"/>
      </w:rPr>
    </w:lvl>
    <w:lvl w:ilvl="6" w:tplc="1658B406" w:tentative="1">
      <w:start w:val="1"/>
      <w:numFmt w:val="bullet"/>
      <w:lvlText w:val=""/>
      <w:lvlJc w:val="left"/>
      <w:pPr>
        <w:tabs>
          <w:tab w:val="num" w:pos="5040"/>
        </w:tabs>
        <w:ind w:left="5040" w:hanging="360"/>
      </w:pPr>
      <w:rPr>
        <w:rFonts w:ascii="Symbol" w:hAnsi="Symbol" w:hint="default"/>
      </w:rPr>
    </w:lvl>
    <w:lvl w:ilvl="7" w:tplc="DF08E0A2" w:tentative="1">
      <w:start w:val="1"/>
      <w:numFmt w:val="bullet"/>
      <w:lvlText w:val=""/>
      <w:lvlJc w:val="left"/>
      <w:pPr>
        <w:tabs>
          <w:tab w:val="num" w:pos="5760"/>
        </w:tabs>
        <w:ind w:left="5760" w:hanging="360"/>
      </w:pPr>
      <w:rPr>
        <w:rFonts w:ascii="Symbol" w:hAnsi="Symbol" w:hint="default"/>
      </w:rPr>
    </w:lvl>
    <w:lvl w:ilvl="8" w:tplc="32BA719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12797208"/>
    <w:multiLevelType w:val="hybridMultilevel"/>
    <w:tmpl w:val="CF662D16"/>
    <w:lvl w:ilvl="0" w:tplc="44EEC084">
      <w:start w:val="1"/>
      <w:numFmt w:val="bullet"/>
      <w:lvlText w:val="&gt;"/>
      <w:lvlJc w:val="left"/>
      <w:pPr>
        <w:ind w:left="1015" w:hanging="360"/>
      </w:pPr>
      <w:rPr>
        <w:rFonts w:ascii="HelveticaNeueLT Std" w:hAnsi="HelveticaNeueLT Std" w:hint="default"/>
      </w:rPr>
    </w:lvl>
    <w:lvl w:ilvl="1" w:tplc="0C090003" w:tentative="1">
      <w:start w:val="1"/>
      <w:numFmt w:val="bullet"/>
      <w:lvlText w:val="o"/>
      <w:lvlJc w:val="left"/>
      <w:pPr>
        <w:ind w:left="1735" w:hanging="360"/>
      </w:pPr>
      <w:rPr>
        <w:rFonts w:ascii="Courier New" w:hAnsi="Courier New" w:cs="Courier New" w:hint="default"/>
      </w:rPr>
    </w:lvl>
    <w:lvl w:ilvl="2" w:tplc="0C090005" w:tentative="1">
      <w:start w:val="1"/>
      <w:numFmt w:val="bullet"/>
      <w:lvlText w:val=""/>
      <w:lvlJc w:val="left"/>
      <w:pPr>
        <w:ind w:left="2455" w:hanging="360"/>
      </w:pPr>
      <w:rPr>
        <w:rFonts w:ascii="Wingdings" w:hAnsi="Wingdings" w:hint="default"/>
      </w:rPr>
    </w:lvl>
    <w:lvl w:ilvl="3" w:tplc="0C090001" w:tentative="1">
      <w:start w:val="1"/>
      <w:numFmt w:val="bullet"/>
      <w:lvlText w:val=""/>
      <w:lvlJc w:val="left"/>
      <w:pPr>
        <w:ind w:left="3175" w:hanging="360"/>
      </w:pPr>
      <w:rPr>
        <w:rFonts w:ascii="Symbol" w:hAnsi="Symbol" w:hint="default"/>
      </w:rPr>
    </w:lvl>
    <w:lvl w:ilvl="4" w:tplc="0C090003" w:tentative="1">
      <w:start w:val="1"/>
      <w:numFmt w:val="bullet"/>
      <w:lvlText w:val="o"/>
      <w:lvlJc w:val="left"/>
      <w:pPr>
        <w:ind w:left="3895" w:hanging="360"/>
      </w:pPr>
      <w:rPr>
        <w:rFonts w:ascii="Courier New" w:hAnsi="Courier New" w:cs="Courier New" w:hint="default"/>
      </w:rPr>
    </w:lvl>
    <w:lvl w:ilvl="5" w:tplc="0C090005" w:tentative="1">
      <w:start w:val="1"/>
      <w:numFmt w:val="bullet"/>
      <w:lvlText w:val=""/>
      <w:lvlJc w:val="left"/>
      <w:pPr>
        <w:ind w:left="4615" w:hanging="360"/>
      </w:pPr>
      <w:rPr>
        <w:rFonts w:ascii="Wingdings" w:hAnsi="Wingdings" w:hint="default"/>
      </w:rPr>
    </w:lvl>
    <w:lvl w:ilvl="6" w:tplc="0C090001" w:tentative="1">
      <w:start w:val="1"/>
      <w:numFmt w:val="bullet"/>
      <w:lvlText w:val=""/>
      <w:lvlJc w:val="left"/>
      <w:pPr>
        <w:ind w:left="5335" w:hanging="360"/>
      </w:pPr>
      <w:rPr>
        <w:rFonts w:ascii="Symbol" w:hAnsi="Symbol" w:hint="default"/>
      </w:rPr>
    </w:lvl>
    <w:lvl w:ilvl="7" w:tplc="0C090003" w:tentative="1">
      <w:start w:val="1"/>
      <w:numFmt w:val="bullet"/>
      <w:lvlText w:val="o"/>
      <w:lvlJc w:val="left"/>
      <w:pPr>
        <w:ind w:left="6055" w:hanging="360"/>
      </w:pPr>
      <w:rPr>
        <w:rFonts w:ascii="Courier New" w:hAnsi="Courier New" w:cs="Courier New" w:hint="default"/>
      </w:rPr>
    </w:lvl>
    <w:lvl w:ilvl="8" w:tplc="0C090005" w:tentative="1">
      <w:start w:val="1"/>
      <w:numFmt w:val="bullet"/>
      <w:lvlText w:val=""/>
      <w:lvlJc w:val="left"/>
      <w:pPr>
        <w:ind w:left="6775" w:hanging="360"/>
      </w:pPr>
      <w:rPr>
        <w:rFonts w:ascii="Wingdings" w:hAnsi="Wingdings" w:hint="default"/>
      </w:rPr>
    </w:lvl>
  </w:abstractNum>
  <w:abstractNum w:abstractNumId="31" w15:restartNumberingAfterBreak="0">
    <w:nsid w:val="133917F8"/>
    <w:multiLevelType w:val="hybridMultilevel"/>
    <w:tmpl w:val="5ADE4C14"/>
    <w:lvl w:ilvl="0" w:tplc="06D6BC52">
      <w:start w:val="1"/>
      <w:numFmt w:val="bullet"/>
      <w:lvlText w:val=""/>
      <w:lvlPicBulletId w:val="1"/>
      <w:lvlJc w:val="left"/>
      <w:pPr>
        <w:tabs>
          <w:tab w:val="num" w:pos="720"/>
        </w:tabs>
        <w:ind w:left="720" w:hanging="360"/>
      </w:pPr>
      <w:rPr>
        <w:rFonts w:ascii="Symbol" w:hAnsi="Symbol" w:hint="default"/>
      </w:rPr>
    </w:lvl>
    <w:lvl w:ilvl="1" w:tplc="4D925C3A" w:tentative="1">
      <w:start w:val="1"/>
      <w:numFmt w:val="bullet"/>
      <w:lvlText w:val=""/>
      <w:lvlJc w:val="left"/>
      <w:pPr>
        <w:tabs>
          <w:tab w:val="num" w:pos="1440"/>
        </w:tabs>
        <w:ind w:left="1440" w:hanging="360"/>
      </w:pPr>
      <w:rPr>
        <w:rFonts w:ascii="Symbol" w:hAnsi="Symbol" w:hint="default"/>
      </w:rPr>
    </w:lvl>
    <w:lvl w:ilvl="2" w:tplc="B186F95A" w:tentative="1">
      <w:start w:val="1"/>
      <w:numFmt w:val="bullet"/>
      <w:lvlText w:val=""/>
      <w:lvlJc w:val="left"/>
      <w:pPr>
        <w:tabs>
          <w:tab w:val="num" w:pos="2160"/>
        </w:tabs>
        <w:ind w:left="2160" w:hanging="360"/>
      </w:pPr>
      <w:rPr>
        <w:rFonts w:ascii="Symbol" w:hAnsi="Symbol" w:hint="default"/>
      </w:rPr>
    </w:lvl>
    <w:lvl w:ilvl="3" w:tplc="96D61ECA" w:tentative="1">
      <w:start w:val="1"/>
      <w:numFmt w:val="bullet"/>
      <w:lvlText w:val=""/>
      <w:lvlJc w:val="left"/>
      <w:pPr>
        <w:tabs>
          <w:tab w:val="num" w:pos="2880"/>
        </w:tabs>
        <w:ind w:left="2880" w:hanging="360"/>
      </w:pPr>
      <w:rPr>
        <w:rFonts w:ascii="Symbol" w:hAnsi="Symbol" w:hint="default"/>
      </w:rPr>
    </w:lvl>
    <w:lvl w:ilvl="4" w:tplc="94949B74" w:tentative="1">
      <w:start w:val="1"/>
      <w:numFmt w:val="bullet"/>
      <w:lvlText w:val=""/>
      <w:lvlJc w:val="left"/>
      <w:pPr>
        <w:tabs>
          <w:tab w:val="num" w:pos="3600"/>
        </w:tabs>
        <w:ind w:left="3600" w:hanging="360"/>
      </w:pPr>
      <w:rPr>
        <w:rFonts w:ascii="Symbol" w:hAnsi="Symbol" w:hint="default"/>
      </w:rPr>
    </w:lvl>
    <w:lvl w:ilvl="5" w:tplc="3DCC2FBC" w:tentative="1">
      <w:start w:val="1"/>
      <w:numFmt w:val="bullet"/>
      <w:lvlText w:val=""/>
      <w:lvlJc w:val="left"/>
      <w:pPr>
        <w:tabs>
          <w:tab w:val="num" w:pos="4320"/>
        </w:tabs>
        <w:ind w:left="4320" w:hanging="360"/>
      </w:pPr>
      <w:rPr>
        <w:rFonts w:ascii="Symbol" w:hAnsi="Symbol" w:hint="default"/>
      </w:rPr>
    </w:lvl>
    <w:lvl w:ilvl="6" w:tplc="B12C7198" w:tentative="1">
      <w:start w:val="1"/>
      <w:numFmt w:val="bullet"/>
      <w:lvlText w:val=""/>
      <w:lvlJc w:val="left"/>
      <w:pPr>
        <w:tabs>
          <w:tab w:val="num" w:pos="5040"/>
        </w:tabs>
        <w:ind w:left="5040" w:hanging="360"/>
      </w:pPr>
      <w:rPr>
        <w:rFonts w:ascii="Symbol" w:hAnsi="Symbol" w:hint="default"/>
      </w:rPr>
    </w:lvl>
    <w:lvl w:ilvl="7" w:tplc="402437B2" w:tentative="1">
      <w:start w:val="1"/>
      <w:numFmt w:val="bullet"/>
      <w:lvlText w:val=""/>
      <w:lvlJc w:val="left"/>
      <w:pPr>
        <w:tabs>
          <w:tab w:val="num" w:pos="5760"/>
        </w:tabs>
        <w:ind w:left="5760" w:hanging="360"/>
      </w:pPr>
      <w:rPr>
        <w:rFonts w:ascii="Symbol" w:hAnsi="Symbol" w:hint="default"/>
      </w:rPr>
    </w:lvl>
    <w:lvl w:ilvl="8" w:tplc="0608E17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135B3C99"/>
    <w:multiLevelType w:val="hybridMultilevel"/>
    <w:tmpl w:val="FD88E4CC"/>
    <w:lvl w:ilvl="0" w:tplc="07547296">
      <w:start w:val="1"/>
      <w:numFmt w:val="bullet"/>
      <w:lvlText w:val=""/>
      <w:lvlPicBulletId w:val="1"/>
      <w:lvlJc w:val="left"/>
      <w:pPr>
        <w:tabs>
          <w:tab w:val="num" w:pos="720"/>
        </w:tabs>
        <w:ind w:left="720" w:hanging="360"/>
      </w:pPr>
      <w:rPr>
        <w:rFonts w:ascii="Symbol" w:hAnsi="Symbol" w:hint="default"/>
      </w:rPr>
    </w:lvl>
    <w:lvl w:ilvl="1" w:tplc="71A2EB4C" w:tentative="1">
      <w:start w:val="1"/>
      <w:numFmt w:val="bullet"/>
      <w:lvlText w:val=""/>
      <w:lvlJc w:val="left"/>
      <w:pPr>
        <w:tabs>
          <w:tab w:val="num" w:pos="1440"/>
        </w:tabs>
        <w:ind w:left="1440" w:hanging="360"/>
      </w:pPr>
      <w:rPr>
        <w:rFonts w:ascii="Symbol" w:hAnsi="Symbol" w:hint="default"/>
      </w:rPr>
    </w:lvl>
    <w:lvl w:ilvl="2" w:tplc="6A92CAFE" w:tentative="1">
      <w:start w:val="1"/>
      <w:numFmt w:val="bullet"/>
      <w:lvlText w:val=""/>
      <w:lvlJc w:val="left"/>
      <w:pPr>
        <w:tabs>
          <w:tab w:val="num" w:pos="2160"/>
        </w:tabs>
        <w:ind w:left="2160" w:hanging="360"/>
      </w:pPr>
      <w:rPr>
        <w:rFonts w:ascii="Symbol" w:hAnsi="Symbol" w:hint="default"/>
      </w:rPr>
    </w:lvl>
    <w:lvl w:ilvl="3" w:tplc="F21CBBFC" w:tentative="1">
      <w:start w:val="1"/>
      <w:numFmt w:val="bullet"/>
      <w:lvlText w:val=""/>
      <w:lvlJc w:val="left"/>
      <w:pPr>
        <w:tabs>
          <w:tab w:val="num" w:pos="2880"/>
        </w:tabs>
        <w:ind w:left="2880" w:hanging="360"/>
      </w:pPr>
      <w:rPr>
        <w:rFonts w:ascii="Symbol" w:hAnsi="Symbol" w:hint="default"/>
      </w:rPr>
    </w:lvl>
    <w:lvl w:ilvl="4" w:tplc="2EEC63E4" w:tentative="1">
      <w:start w:val="1"/>
      <w:numFmt w:val="bullet"/>
      <w:lvlText w:val=""/>
      <w:lvlJc w:val="left"/>
      <w:pPr>
        <w:tabs>
          <w:tab w:val="num" w:pos="3600"/>
        </w:tabs>
        <w:ind w:left="3600" w:hanging="360"/>
      </w:pPr>
      <w:rPr>
        <w:rFonts w:ascii="Symbol" w:hAnsi="Symbol" w:hint="default"/>
      </w:rPr>
    </w:lvl>
    <w:lvl w:ilvl="5" w:tplc="A0B81B46" w:tentative="1">
      <w:start w:val="1"/>
      <w:numFmt w:val="bullet"/>
      <w:lvlText w:val=""/>
      <w:lvlJc w:val="left"/>
      <w:pPr>
        <w:tabs>
          <w:tab w:val="num" w:pos="4320"/>
        </w:tabs>
        <w:ind w:left="4320" w:hanging="360"/>
      </w:pPr>
      <w:rPr>
        <w:rFonts w:ascii="Symbol" w:hAnsi="Symbol" w:hint="default"/>
      </w:rPr>
    </w:lvl>
    <w:lvl w:ilvl="6" w:tplc="9FDC27F8" w:tentative="1">
      <w:start w:val="1"/>
      <w:numFmt w:val="bullet"/>
      <w:lvlText w:val=""/>
      <w:lvlJc w:val="left"/>
      <w:pPr>
        <w:tabs>
          <w:tab w:val="num" w:pos="5040"/>
        </w:tabs>
        <w:ind w:left="5040" w:hanging="360"/>
      </w:pPr>
      <w:rPr>
        <w:rFonts w:ascii="Symbol" w:hAnsi="Symbol" w:hint="default"/>
      </w:rPr>
    </w:lvl>
    <w:lvl w:ilvl="7" w:tplc="C3FE599A" w:tentative="1">
      <w:start w:val="1"/>
      <w:numFmt w:val="bullet"/>
      <w:lvlText w:val=""/>
      <w:lvlJc w:val="left"/>
      <w:pPr>
        <w:tabs>
          <w:tab w:val="num" w:pos="5760"/>
        </w:tabs>
        <w:ind w:left="5760" w:hanging="360"/>
      </w:pPr>
      <w:rPr>
        <w:rFonts w:ascii="Symbol" w:hAnsi="Symbol" w:hint="default"/>
      </w:rPr>
    </w:lvl>
    <w:lvl w:ilvl="8" w:tplc="DA441BD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13AD7D10"/>
    <w:multiLevelType w:val="hybridMultilevel"/>
    <w:tmpl w:val="63B0C9AA"/>
    <w:lvl w:ilvl="0" w:tplc="1B2AA3CE">
      <w:start w:val="1"/>
      <w:numFmt w:val="bullet"/>
      <w:lvlText w:val=""/>
      <w:lvlPicBulletId w:val="1"/>
      <w:lvlJc w:val="left"/>
      <w:pPr>
        <w:tabs>
          <w:tab w:val="num" w:pos="720"/>
        </w:tabs>
        <w:ind w:left="720" w:hanging="360"/>
      </w:pPr>
      <w:rPr>
        <w:rFonts w:ascii="Symbol" w:hAnsi="Symbol" w:hint="default"/>
      </w:rPr>
    </w:lvl>
    <w:lvl w:ilvl="1" w:tplc="94F86678" w:tentative="1">
      <w:start w:val="1"/>
      <w:numFmt w:val="bullet"/>
      <w:lvlText w:val=""/>
      <w:lvlJc w:val="left"/>
      <w:pPr>
        <w:tabs>
          <w:tab w:val="num" w:pos="1440"/>
        </w:tabs>
        <w:ind w:left="1440" w:hanging="360"/>
      </w:pPr>
      <w:rPr>
        <w:rFonts w:ascii="Symbol" w:hAnsi="Symbol" w:hint="default"/>
      </w:rPr>
    </w:lvl>
    <w:lvl w:ilvl="2" w:tplc="AA88D392" w:tentative="1">
      <w:start w:val="1"/>
      <w:numFmt w:val="bullet"/>
      <w:lvlText w:val=""/>
      <w:lvlJc w:val="left"/>
      <w:pPr>
        <w:tabs>
          <w:tab w:val="num" w:pos="2160"/>
        </w:tabs>
        <w:ind w:left="2160" w:hanging="360"/>
      </w:pPr>
      <w:rPr>
        <w:rFonts w:ascii="Symbol" w:hAnsi="Symbol" w:hint="default"/>
      </w:rPr>
    </w:lvl>
    <w:lvl w:ilvl="3" w:tplc="31AC07F6" w:tentative="1">
      <w:start w:val="1"/>
      <w:numFmt w:val="bullet"/>
      <w:lvlText w:val=""/>
      <w:lvlJc w:val="left"/>
      <w:pPr>
        <w:tabs>
          <w:tab w:val="num" w:pos="2880"/>
        </w:tabs>
        <w:ind w:left="2880" w:hanging="360"/>
      </w:pPr>
      <w:rPr>
        <w:rFonts w:ascii="Symbol" w:hAnsi="Symbol" w:hint="default"/>
      </w:rPr>
    </w:lvl>
    <w:lvl w:ilvl="4" w:tplc="C9E255C6" w:tentative="1">
      <w:start w:val="1"/>
      <w:numFmt w:val="bullet"/>
      <w:lvlText w:val=""/>
      <w:lvlJc w:val="left"/>
      <w:pPr>
        <w:tabs>
          <w:tab w:val="num" w:pos="3600"/>
        </w:tabs>
        <w:ind w:left="3600" w:hanging="360"/>
      </w:pPr>
      <w:rPr>
        <w:rFonts w:ascii="Symbol" w:hAnsi="Symbol" w:hint="default"/>
      </w:rPr>
    </w:lvl>
    <w:lvl w:ilvl="5" w:tplc="113A379E" w:tentative="1">
      <w:start w:val="1"/>
      <w:numFmt w:val="bullet"/>
      <w:lvlText w:val=""/>
      <w:lvlJc w:val="left"/>
      <w:pPr>
        <w:tabs>
          <w:tab w:val="num" w:pos="4320"/>
        </w:tabs>
        <w:ind w:left="4320" w:hanging="360"/>
      </w:pPr>
      <w:rPr>
        <w:rFonts w:ascii="Symbol" w:hAnsi="Symbol" w:hint="default"/>
      </w:rPr>
    </w:lvl>
    <w:lvl w:ilvl="6" w:tplc="3AD0A904" w:tentative="1">
      <w:start w:val="1"/>
      <w:numFmt w:val="bullet"/>
      <w:lvlText w:val=""/>
      <w:lvlJc w:val="left"/>
      <w:pPr>
        <w:tabs>
          <w:tab w:val="num" w:pos="5040"/>
        </w:tabs>
        <w:ind w:left="5040" w:hanging="360"/>
      </w:pPr>
      <w:rPr>
        <w:rFonts w:ascii="Symbol" w:hAnsi="Symbol" w:hint="default"/>
      </w:rPr>
    </w:lvl>
    <w:lvl w:ilvl="7" w:tplc="687CFC70" w:tentative="1">
      <w:start w:val="1"/>
      <w:numFmt w:val="bullet"/>
      <w:lvlText w:val=""/>
      <w:lvlJc w:val="left"/>
      <w:pPr>
        <w:tabs>
          <w:tab w:val="num" w:pos="5760"/>
        </w:tabs>
        <w:ind w:left="5760" w:hanging="360"/>
      </w:pPr>
      <w:rPr>
        <w:rFonts w:ascii="Symbol" w:hAnsi="Symbol" w:hint="default"/>
      </w:rPr>
    </w:lvl>
    <w:lvl w:ilvl="8" w:tplc="1EBA2590"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13CC1D8B"/>
    <w:multiLevelType w:val="hybridMultilevel"/>
    <w:tmpl w:val="05AC0BAA"/>
    <w:lvl w:ilvl="0" w:tplc="B434B076">
      <w:start w:val="1"/>
      <w:numFmt w:val="bullet"/>
      <w:lvlText w:val=""/>
      <w:lvlPicBulletId w:val="1"/>
      <w:lvlJc w:val="left"/>
      <w:pPr>
        <w:tabs>
          <w:tab w:val="num" w:pos="720"/>
        </w:tabs>
        <w:ind w:left="720" w:hanging="360"/>
      </w:pPr>
      <w:rPr>
        <w:rFonts w:ascii="Symbol" w:hAnsi="Symbol" w:hint="default"/>
      </w:rPr>
    </w:lvl>
    <w:lvl w:ilvl="1" w:tplc="38A2FCF6" w:tentative="1">
      <w:start w:val="1"/>
      <w:numFmt w:val="bullet"/>
      <w:lvlText w:val=""/>
      <w:lvlJc w:val="left"/>
      <w:pPr>
        <w:tabs>
          <w:tab w:val="num" w:pos="1440"/>
        </w:tabs>
        <w:ind w:left="1440" w:hanging="360"/>
      </w:pPr>
      <w:rPr>
        <w:rFonts w:ascii="Symbol" w:hAnsi="Symbol" w:hint="default"/>
      </w:rPr>
    </w:lvl>
    <w:lvl w:ilvl="2" w:tplc="0DFCC06E" w:tentative="1">
      <w:start w:val="1"/>
      <w:numFmt w:val="bullet"/>
      <w:lvlText w:val=""/>
      <w:lvlJc w:val="left"/>
      <w:pPr>
        <w:tabs>
          <w:tab w:val="num" w:pos="2160"/>
        </w:tabs>
        <w:ind w:left="2160" w:hanging="360"/>
      </w:pPr>
      <w:rPr>
        <w:rFonts w:ascii="Symbol" w:hAnsi="Symbol" w:hint="default"/>
      </w:rPr>
    </w:lvl>
    <w:lvl w:ilvl="3" w:tplc="DB6AFB00" w:tentative="1">
      <w:start w:val="1"/>
      <w:numFmt w:val="bullet"/>
      <w:lvlText w:val=""/>
      <w:lvlJc w:val="left"/>
      <w:pPr>
        <w:tabs>
          <w:tab w:val="num" w:pos="2880"/>
        </w:tabs>
        <w:ind w:left="2880" w:hanging="360"/>
      </w:pPr>
      <w:rPr>
        <w:rFonts w:ascii="Symbol" w:hAnsi="Symbol" w:hint="default"/>
      </w:rPr>
    </w:lvl>
    <w:lvl w:ilvl="4" w:tplc="F056B91C" w:tentative="1">
      <w:start w:val="1"/>
      <w:numFmt w:val="bullet"/>
      <w:lvlText w:val=""/>
      <w:lvlJc w:val="left"/>
      <w:pPr>
        <w:tabs>
          <w:tab w:val="num" w:pos="3600"/>
        </w:tabs>
        <w:ind w:left="3600" w:hanging="360"/>
      </w:pPr>
      <w:rPr>
        <w:rFonts w:ascii="Symbol" w:hAnsi="Symbol" w:hint="default"/>
      </w:rPr>
    </w:lvl>
    <w:lvl w:ilvl="5" w:tplc="F648E62E" w:tentative="1">
      <w:start w:val="1"/>
      <w:numFmt w:val="bullet"/>
      <w:lvlText w:val=""/>
      <w:lvlJc w:val="left"/>
      <w:pPr>
        <w:tabs>
          <w:tab w:val="num" w:pos="4320"/>
        </w:tabs>
        <w:ind w:left="4320" w:hanging="360"/>
      </w:pPr>
      <w:rPr>
        <w:rFonts w:ascii="Symbol" w:hAnsi="Symbol" w:hint="default"/>
      </w:rPr>
    </w:lvl>
    <w:lvl w:ilvl="6" w:tplc="F8A2FAA6" w:tentative="1">
      <w:start w:val="1"/>
      <w:numFmt w:val="bullet"/>
      <w:lvlText w:val=""/>
      <w:lvlJc w:val="left"/>
      <w:pPr>
        <w:tabs>
          <w:tab w:val="num" w:pos="5040"/>
        </w:tabs>
        <w:ind w:left="5040" w:hanging="360"/>
      </w:pPr>
      <w:rPr>
        <w:rFonts w:ascii="Symbol" w:hAnsi="Symbol" w:hint="default"/>
      </w:rPr>
    </w:lvl>
    <w:lvl w:ilvl="7" w:tplc="4E883CE2" w:tentative="1">
      <w:start w:val="1"/>
      <w:numFmt w:val="bullet"/>
      <w:lvlText w:val=""/>
      <w:lvlJc w:val="left"/>
      <w:pPr>
        <w:tabs>
          <w:tab w:val="num" w:pos="5760"/>
        </w:tabs>
        <w:ind w:left="5760" w:hanging="360"/>
      </w:pPr>
      <w:rPr>
        <w:rFonts w:ascii="Symbol" w:hAnsi="Symbol" w:hint="default"/>
      </w:rPr>
    </w:lvl>
    <w:lvl w:ilvl="8" w:tplc="35E03472"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14287245"/>
    <w:multiLevelType w:val="hybridMultilevel"/>
    <w:tmpl w:val="811C92C2"/>
    <w:lvl w:ilvl="0" w:tplc="8EE696D6">
      <w:start w:val="1"/>
      <w:numFmt w:val="decimal"/>
      <w:lvlText w:val="Table %1."/>
      <w:lvlJc w:val="lef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4F81E5C"/>
    <w:multiLevelType w:val="hybridMultilevel"/>
    <w:tmpl w:val="A586AC2C"/>
    <w:lvl w:ilvl="0" w:tplc="ABB0ED9C">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58956B3"/>
    <w:multiLevelType w:val="hybridMultilevel"/>
    <w:tmpl w:val="A0488A1E"/>
    <w:lvl w:ilvl="0" w:tplc="2AD45928">
      <w:start w:val="1"/>
      <w:numFmt w:val="bullet"/>
      <w:lvlText w:val=""/>
      <w:lvlPicBulletId w:val="1"/>
      <w:lvlJc w:val="left"/>
      <w:pPr>
        <w:tabs>
          <w:tab w:val="num" w:pos="720"/>
        </w:tabs>
        <w:ind w:left="720" w:hanging="360"/>
      </w:pPr>
      <w:rPr>
        <w:rFonts w:ascii="Symbol" w:hAnsi="Symbol" w:hint="default"/>
      </w:rPr>
    </w:lvl>
    <w:lvl w:ilvl="1" w:tplc="DA5A70C8" w:tentative="1">
      <w:start w:val="1"/>
      <w:numFmt w:val="bullet"/>
      <w:lvlText w:val=""/>
      <w:lvlJc w:val="left"/>
      <w:pPr>
        <w:tabs>
          <w:tab w:val="num" w:pos="1440"/>
        </w:tabs>
        <w:ind w:left="1440" w:hanging="360"/>
      </w:pPr>
      <w:rPr>
        <w:rFonts w:ascii="Symbol" w:hAnsi="Symbol" w:hint="default"/>
      </w:rPr>
    </w:lvl>
    <w:lvl w:ilvl="2" w:tplc="3D229C54" w:tentative="1">
      <w:start w:val="1"/>
      <w:numFmt w:val="bullet"/>
      <w:lvlText w:val=""/>
      <w:lvlJc w:val="left"/>
      <w:pPr>
        <w:tabs>
          <w:tab w:val="num" w:pos="2160"/>
        </w:tabs>
        <w:ind w:left="2160" w:hanging="360"/>
      </w:pPr>
      <w:rPr>
        <w:rFonts w:ascii="Symbol" w:hAnsi="Symbol" w:hint="default"/>
      </w:rPr>
    </w:lvl>
    <w:lvl w:ilvl="3" w:tplc="D9447E38" w:tentative="1">
      <w:start w:val="1"/>
      <w:numFmt w:val="bullet"/>
      <w:lvlText w:val=""/>
      <w:lvlJc w:val="left"/>
      <w:pPr>
        <w:tabs>
          <w:tab w:val="num" w:pos="2880"/>
        </w:tabs>
        <w:ind w:left="2880" w:hanging="360"/>
      </w:pPr>
      <w:rPr>
        <w:rFonts w:ascii="Symbol" w:hAnsi="Symbol" w:hint="default"/>
      </w:rPr>
    </w:lvl>
    <w:lvl w:ilvl="4" w:tplc="B35A01A6" w:tentative="1">
      <w:start w:val="1"/>
      <w:numFmt w:val="bullet"/>
      <w:lvlText w:val=""/>
      <w:lvlJc w:val="left"/>
      <w:pPr>
        <w:tabs>
          <w:tab w:val="num" w:pos="3600"/>
        </w:tabs>
        <w:ind w:left="3600" w:hanging="360"/>
      </w:pPr>
      <w:rPr>
        <w:rFonts w:ascii="Symbol" w:hAnsi="Symbol" w:hint="default"/>
      </w:rPr>
    </w:lvl>
    <w:lvl w:ilvl="5" w:tplc="ABBA80C4" w:tentative="1">
      <w:start w:val="1"/>
      <w:numFmt w:val="bullet"/>
      <w:lvlText w:val=""/>
      <w:lvlJc w:val="left"/>
      <w:pPr>
        <w:tabs>
          <w:tab w:val="num" w:pos="4320"/>
        </w:tabs>
        <w:ind w:left="4320" w:hanging="360"/>
      </w:pPr>
      <w:rPr>
        <w:rFonts w:ascii="Symbol" w:hAnsi="Symbol" w:hint="default"/>
      </w:rPr>
    </w:lvl>
    <w:lvl w:ilvl="6" w:tplc="5E3E027E" w:tentative="1">
      <w:start w:val="1"/>
      <w:numFmt w:val="bullet"/>
      <w:lvlText w:val=""/>
      <w:lvlJc w:val="left"/>
      <w:pPr>
        <w:tabs>
          <w:tab w:val="num" w:pos="5040"/>
        </w:tabs>
        <w:ind w:left="5040" w:hanging="360"/>
      </w:pPr>
      <w:rPr>
        <w:rFonts w:ascii="Symbol" w:hAnsi="Symbol" w:hint="default"/>
      </w:rPr>
    </w:lvl>
    <w:lvl w:ilvl="7" w:tplc="D41825FA" w:tentative="1">
      <w:start w:val="1"/>
      <w:numFmt w:val="bullet"/>
      <w:lvlText w:val=""/>
      <w:lvlJc w:val="left"/>
      <w:pPr>
        <w:tabs>
          <w:tab w:val="num" w:pos="5760"/>
        </w:tabs>
        <w:ind w:left="5760" w:hanging="360"/>
      </w:pPr>
      <w:rPr>
        <w:rFonts w:ascii="Symbol" w:hAnsi="Symbol" w:hint="default"/>
      </w:rPr>
    </w:lvl>
    <w:lvl w:ilvl="8" w:tplc="526EDA96"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162419FA"/>
    <w:multiLevelType w:val="hybridMultilevel"/>
    <w:tmpl w:val="92622542"/>
    <w:lvl w:ilvl="0" w:tplc="BFDE6244">
      <w:start w:val="1"/>
      <w:numFmt w:val="bullet"/>
      <w:lvlText w:val=""/>
      <w:lvlPicBulletId w:val="0"/>
      <w:lvlJc w:val="left"/>
      <w:pPr>
        <w:tabs>
          <w:tab w:val="num" w:pos="720"/>
        </w:tabs>
        <w:ind w:left="720" w:hanging="360"/>
      </w:pPr>
      <w:rPr>
        <w:rFonts w:ascii="Symbol" w:hAnsi="Symbol" w:hint="default"/>
      </w:rPr>
    </w:lvl>
    <w:lvl w:ilvl="1" w:tplc="37006F52" w:tentative="1">
      <w:start w:val="1"/>
      <w:numFmt w:val="bullet"/>
      <w:lvlText w:val=""/>
      <w:lvlJc w:val="left"/>
      <w:pPr>
        <w:tabs>
          <w:tab w:val="num" w:pos="1440"/>
        </w:tabs>
        <w:ind w:left="1440" w:hanging="360"/>
      </w:pPr>
      <w:rPr>
        <w:rFonts w:ascii="Symbol" w:hAnsi="Symbol" w:hint="default"/>
      </w:rPr>
    </w:lvl>
    <w:lvl w:ilvl="2" w:tplc="3B1E6C3A" w:tentative="1">
      <w:start w:val="1"/>
      <w:numFmt w:val="bullet"/>
      <w:lvlText w:val=""/>
      <w:lvlJc w:val="left"/>
      <w:pPr>
        <w:tabs>
          <w:tab w:val="num" w:pos="2160"/>
        </w:tabs>
        <w:ind w:left="2160" w:hanging="360"/>
      </w:pPr>
      <w:rPr>
        <w:rFonts w:ascii="Symbol" w:hAnsi="Symbol" w:hint="default"/>
      </w:rPr>
    </w:lvl>
    <w:lvl w:ilvl="3" w:tplc="51EE9912" w:tentative="1">
      <w:start w:val="1"/>
      <w:numFmt w:val="bullet"/>
      <w:lvlText w:val=""/>
      <w:lvlJc w:val="left"/>
      <w:pPr>
        <w:tabs>
          <w:tab w:val="num" w:pos="2880"/>
        </w:tabs>
        <w:ind w:left="2880" w:hanging="360"/>
      </w:pPr>
      <w:rPr>
        <w:rFonts w:ascii="Symbol" w:hAnsi="Symbol" w:hint="default"/>
      </w:rPr>
    </w:lvl>
    <w:lvl w:ilvl="4" w:tplc="B3E4E654" w:tentative="1">
      <w:start w:val="1"/>
      <w:numFmt w:val="bullet"/>
      <w:lvlText w:val=""/>
      <w:lvlJc w:val="left"/>
      <w:pPr>
        <w:tabs>
          <w:tab w:val="num" w:pos="3600"/>
        </w:tabs>
        <w:ind w:left="3600" w:hanging="360"/>
      </w:pPr>
      <w:rPr>
        <w:rFonts w:ascii="Symbol" w:hAnsi="Symbol" w:hint="default"/>
      </w:rPr>
    </w:lvl>
    <w:lvl w:ilvl="5" w:tplc="ADB0EAFE" w:tentative="1">
      <w:start w:val="1"/>
      <w:numFmt w:val="bullet"/>
      <w:lvlText w:val=""/>
      <w:lvlJc w:val="left"/>
      <w:pPr>
        <w:tabs>
          <w:tab w:val="num" w:pos="4320"/>
        </w:tabs>
        <w:ind w:left="4320" w:hanging="360"/>
      </w:pPr>
      <w:rPr>
        <w:rFonts w:ascii="Symbol" w:hAnsi="Symbol" w:hint="default"/>
      </w:rPr>
    </w:lvl>
    <w:lvl w:ilvl="6" w:tplc="CA1C4162" w:tentative="1">
      <w:start w:val="1"/>
      <w:numFmt w:val="bullet"/>
      <w:lvlText w:val=""/>
      <w:lvlJc w:val="left"/>
      <w:pPr>
        <w:tabs>
          <w:tab w:val="num" w:pos="5040"/>
        </w:tabs>
        <w:ind w:left="5040" w:hanging="360"/>
      </w:pPr>
      <w:rPr>
        <w:rFonts w:ascii="Symbol" w:hAnsi="Symbol" w:hint="default"/>
      </w:rPr>
    </w:lvl>
    <w:lvl w:ilvl="7" w:tplc="DD4899DA" w:tentative="1">
      <w:start w:val="1"/>
      <w:numFmt w:val="bullet"/>
      <w:lvlText w:val=""/>
      <w:lvlJc w:val="left"/>
      <w:pPr>
        <w:tabs>
          <w:tab w:val="num" w:pos="5760"/>
        </w:tabs>
        <w:ind w:left="5760" w:hanging="360"/>
      </w:pPr>
      <w:rPr>
        <w:rFonts w:ascii="Symbol" w:hAnsi="Symbol" w:hint="default"/>
      </w:rPr>
    </w:lvl>
    <w:lvl w:ilvl="8" w:tplc="D50CA5BC"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18D900C9"/>
    <w:multiLevelType w:val="hybridMultilevel"/>
    <w:tmpl w:val="84B8EA6C"/>
    <w:lvl w:ilvl="0" w:tplc="F94C76B0">
      <w:start w:val="1"/>
      <w:numFmt w:val="bullet"/>
      <w:lvlText w:val=""/>
      <w:lvlPicBulletId w:val="1"/>
      <w:lvlJc w:val="left"/>
      <w:pPr>
        <w:tabs>
          <w:tab w:val="num" w:pos="720"/>
        </w:tabs>
        <w:ind w:left="720" w:hanging="360"/>
      </w:pPr>
      <w:rPr>
        <w:rFonts w:ascii="Symbol" w:hAnsi="Symbol" w:hint="default"/>
      </w:rPr>
    </w:lvl>
    <w:lvl w:ilvl="1" w:tplc="C106B4C2" w:tentative="1">
      <w:start w:val="1"/>
      <w:numFmt w:val="bullet"/>
      <w:lvlText w:val=""/>
      <w:lvlJc w:val="left"/>
      <w:pPr>
        <w:tabs>
          <w:tab w:val="num" w:pos="1440"/>
        </w:tabs>
        <w:ind w:left="1440" w:hanging="360"/>
      </w:pPr>
      <w:rPr>
        <w:rFonts w:ascii="Symbol" w:hAnsi="Symbol" w:hint="default"/>
      </w:rPr>
    </w:lvl>
    <w:lvl w:ilvl="2" w:tplc="163C7F00" w:tentative="1">
      <w:start w:val="1"/>
      <w:numFmt w:val="bullet"/>
      <w:lvlText w:val=""/>
      <w:lvlJc w:val="left"/>
      <w:pPr>
        <w:tabs>
          <w:tab w:val="num" w:pos="2160"/>
        </w:tabs>
        <w:ind w:left="2160" w:hanging="360"/>
      </w:pPr>
      <w:rPr>
        <w:rFonts w:ascii="Symbol" w:hAnsi="Symbol" w:hint="default"/>
      </w:rPr>
    </w:lvl>
    <w:lvl w:ilvl="3" w:tplc="93FE1246" w:tentative="1">
      <w:start w:val="1"/>
      <w:numFmt w:val="bullet"/>
      <w:lvlText w:val=""/>
      <w:lvlJc w:val="left"/>
      <w:pPr>
        <w:tabs>
          <w:tab w:val="num" w:pos="2880"/>
        </w:tabs>
        <w:ind w:left="2880" w:hanging="360"/>
      </w:pPr>
      <w:rPr>
        <w:rFonts w:ascii="Symbol" w:hAnsi="Symbol" w:hint="default"/>
      </w:rPr>
    </w:lvl>
    <w:lvl w:ilvl="4" w:tplc="7A2A04CA" w:tentative="1">
      <w:start w:val="1"/>
      <w:numFmt w:val="bullet"/>
      <w:lvlText w:val=""/>
      <w:lvlJc w:val="left"/>
      <w:pPr>
        <w:tabs>
          <w:tab w:val="num" w:pos="3600"/>
        </w:tabs>
        <w:ind w:left="3600" w:hanging="360"/>
      </w:pPr>
      <w:rPr>
        <w:rFonts w:ascii="Symbol" w:hAnsi="Symbol" w:hint="default"/>
      </w:rPr>
    </w:lvl>
    <w:lvl w:ilvl="5" w:tplc="2CF4D496" w:tentative="1">
      <w:start w:val="1"/>
      <w:numFmt w:val="bullet"/>
      <w:lvlText w:val=""/>
      <w:lvlJc w:val="left"/>
      <w:pPr>
        <w:tabs>
          <w:tab w:val="num" w:pos="4320"/>
        </w:tabs>
        <w:ind w:left="4320" w:hanging="360"/>
      </w:pPr>
      <w:rPr>
        <w:rFonts w:ascii="Symbol" w:hAnsi="Symbol" w:hint="default"/>
      </w:rPr>
    </w:lvl>
    <w:lvl w:ilvl="6" w:tplc="2DD24E88" w:tentative="1">
      <w:start w:val="1"/>
      <w:numFmt w:val="bullet"/>
      <w:lvlText w:val=""/>
      <w:lvlJc w:val="left"/>
      <w:pPr>
        <w:tabs>
          <w:tab w:val="num" w:pos="5040"/>
        </w:tabs>
        <w:ind w:left="5040" w:hanging="360"/>
      </w:pPr>
      <w:rPr>
        <w:rFonts w:ascii="Symbol" w:hAnsi="Symbol" w:hint="default"/>
      </w:rPr>
    </w:lvl>
    <w:lvl w:ilvl="7" w:tplc="1CEE3D1A" w:tentative="1">
      <w:start w:val="1"/>
      <w:numFmt w:val="bullet"/>
      <w:lvlText w:val=""/>
      <w:lvlJc w:val="left"/>
      <w:pPr>
        <w:tabs>
          <w:tab w:val="num" w:pos="5760"/>
        </w:tabs>
        <w:ind w:left="5760" w:hanging="360"/>
      </w:pPr>
      <w:rPr>
        <w:rFonts w:ascii="Symbol" w:hAnsi="Symbol" w:hint="default"/>
      </w:rPr>
    </w:lvl>
    <w:lvl w:ilvl="8" w:tplc="5FBAF050"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18D971CE"/>
    <w:multiLevelType w:val="hybridMultilevel"/>
    <w:tmpl w:val="5BC2768A"/>
    <w:lvl w:ilvl="0" w:tplc="4A286DEE">
      <w:start w:val="1"/>
      <w:numFmt w:val="bullet"/>
      <w:lvlText w:val="&gt;"/>
      <w:lvlJc w:val="left"/>
      <w:pPr>
        <w:ind w:left="1080" w:hanging="360"/>
      </w:pPr>
      <w:rPr>
        <w:rFonts w:ascii="HelveticaNeueLT Std Lt" w:hAnsi="HelveticaNeueLT Std Lt" w:hint="default"/>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18F17A3F"/>
    <w:multiLevelType w:val="hybridMultilevel"/>
    <w:tmpl w:val="11EA8CA6"/>
    <w:lvl w:ilvl="0" w:tplc="39583AF8">
      <w:start w:val="1"/>
      <w:numFmt w:val="bullet"/>
      <w:lvlText w:val=""/>
      <w:lvlPicBulletId w:val="1"/>
      <w:lvlJc w:val="left"/>
      <w:pPr>
        <w:tabs>
          <w:tab w:val="num" w:pos="720"/>
        </w:tabs>
        <w:ind w:left="720" w:hanging="360"/>
      </w:pPr>
      <w:rPr>
        <w:rFonts w:ascii="Symbol" w:hAnsi="Symbol" w:hint="default"/>
      </w:rPr>
    </w:lvl>
    <w:lvl w:ilvl="1" w:tplc="840C6768" w:tentative="1">
      <w:start w:val="1"/>
      <w:numFmt w:val="bullet"/>
      <w:lvlText w:val=""/>
      <w:lvlJc w:val="left"/>
      <w:pPr>
        <w:tabs>
          <w:tab w:val="num" w:pos="1440"/>
        </w:tabs>
        <w:ind w:left="1440" w:hanging="360"/>
      </w:pPr>
      <w:rPr>
        <w:rFonts w:ascii="Symbol" w:hAnsi="Symbol" w:hint="default"/>
      </w:rPr>
    </w:lvl>
    <w:lvl w:ilvl="2" w:tplc="9A703686" w:tentative="1">
      <w:start w:val="1"/>
      <w:numFmt w:val="bullet"/>
      <w:lvlText w:val=""/>
      <w:lvlJc w:val="left"/>
      <w:pPr>
        <w:tabs>
          <w:tab w:val="num" w:pos="2160"/>
        </w:tabs>
        <w:ind w:left="2160" w:hanging="360"/>
      </w:pPr>
      <w:rPr>
        <w:rFonts w:ascii="Symbol" w:hAnsi="Symbol" w:hint="default"/>
      </w:rPr>
    </w:lvl>
    <w:lvl w:ilvl="3" w:tplc="13CE1B74" w:tentative="1">
      <w:start w:val="1"/>
      <w:numFmt w:val="bullet"/>
      <w:lvlText w:val=""/>
      <w:lvlJc w:val="left"/>
      <w:pPr>
        <w:tabs>
          <w:tab w:val="num" w:pos="2880"/>
        </w:tabs>
        <w:ind w:left="2880" w:hanging="360"/>
      </w:pPr>
      <w:rPr>
        <w:rFonts w:ascii="Symbol" w:hAnsi="Symbol" w:hint="default"/>
      </w:rPr>
    </w:lvl>
    <w:lvl w:ilvl="4" w:tplc="8B802744" w:tentative="1">
      <w:start w:val="1"/>
      <w:numFmt w:val="bullet"/>
      <w:lvlText w:val=""/>
      <w:lvlJc w:val="left"/>
      <w:pPr>
        <w:tabs>
          <w:tab w:val="num" w:pos="3600"/>
        </w:tabs>
        <w:ind w:left="3600" w:hanging="360"/>
      </w:pPr>
      <w:rPr>
        <w:rFonts w:ascii="Symbol" w:hAnsi="Symbol" w:hint="default"/>
      </w:rPr>
    </w:lvl>
    <w:lvl w:ilvl="5" w:tplc="E7D44C52" w:tentative="1">
      <w:start w:val="1"/>
      <w:numFmt w:val="bullet"/>
      <w:lvlText w:val=""/>
      <w:lvlJc w:val="left"/>
      <w:pPr>
        <w:tabs>
          <w:tab w:val="num" w:pos="4320"/>
        </w:tabs>
        <w:ind w:left="4320" w:hanging="360"/>
      </w:pPr>
      <w:rPr>
        <w:rFonts w:ascii="Symbol" w:hAnsi="Symbol" w:hint="default"/>
      </w:rPr>
    </w:lvl>
    <w:lvl w:ilvl="6" w:tplc="429485EA" w:tentative="1">
      <w:start w:val="1"/>
      <w:numFmt w:val="bullet"/>
      <w:lvlText w:val=""/>
      <w:lvlJc w:val="left"/>
      <w:pPr>
        <w:tabs>
          <w:tab w:val="num" w:pos="5040"/>
        </w:tabs>
        <w:ind w:left="5040" w:hanging="360"/>
      </w:pPr>
      <w:rPr>
        <w:rFonts w:ascii="Symbol" w:hAnsi="Symbol" w:hint="default"/>
      </w:rPr>
    </w:lvl>
    <w:lvl w:ilvl="7" w:tplc="FE603DBE" w:tentative="1">
      <w:start w:val="1"/>
      <w:numFmt w:val="bullet"/>
      <w:lvlText w:val=""/>
      <w:lvlJc w:val="left"/>
      <w:pPr>
        <w:tabs>
          <w:tab w:val="num" w:pos="5760"/>
        </w:tabs>
        <w:ind w:left="5760" w:hanging="360"/>
      </w:pPr>
      <w:rPr>
        <w:rFonts w:ascii="Symbol" w:hAnsi="Symbol" w:hint="default"/>
      </w:rPr>
    </w:lvl>
    <w:lvl w:ilvl="8" w:tplc="0E02A868"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195760DD"/>
    <w:multiLevelType w:val="hybridMultilevel"/>
    <w:tmpl w:val="86FE2652"/>
    <w:lvl w:ilvl="0" w:tplc="7C22A95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1ADF1905"/>
    <w:multiLevelType w:val="hybridMultilevel"/>
    <w:tmpl w:val="26BA2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1B414604"/>
    <w:multiLevelType w:val="hybridMultilevel"/>
    <w:tmpl w:val="72B89E06"/>
    <w:lvl w:ilvl="0" w:tplc="D61C8EA0">
      <w:start w:val="1"/>
      <w:numFmt w:val="bullet"/>
      <w:lvlText w:val=""/>
      <w:lvlPicBulletId w:val="1"/>
      <w:lvlJc w:val="left"/>
      <w:pPr>
        <w:tabs>
          <w:tab w:val="num" w:pos="720"/>
        </w:tabs>
        <w:ind w:left="720" w:hanging="360"/>
      </w:pPr>
      <w:rPr>
        <w:rFonts w:ascii="Symbol" w:hAnsi="Symbol" w:hint="default"/>
      </w:rPr>
    </w:lvl>
    <w:lvl w:ilvl="1" w:tplc="F3269712" w:tentative="1">
      <w:start w:val="1"/>
      <w:numFmt w:val="bullet"/>
      <w:lvlText w:val=""/>
      <w:lvlJc w:val="left"/>
      <w:pPr>
        <w:tabs>
          <w:tab w:val="num" w:pos="1440"/>
        </w:tabs>
        <w:ind w:left="1440" w:hanging="360"/>
      </w:pPr>
      <w:rPr>
        <w:rFonts w:ascii="Symbol" w:hAnsi="Symbol" w:hint="default"/>
      </w:rPr>
    </w:lvl>
    <w:lvl w:ilvl="2" w:tplc="00C008C2" w:tentative="1">
      <w:start w:val="1"/>
      <w:numFmt w:val="bullet"/>
      <w:lvlText w:val=""/>
      <w:lvlJc w:val="left"/>
      <w:pPr>
        <w:tabs>
          <w:tab w:val="num" w:pos="2160"/>
        </w:tabs>
        <w:ind w:left="2160" w:hanging="360"/>
      </w:pPr>
      <w:rPr>
        <w:rFonts w:ascii="Symbol" w:hAnsi="Symbol" w:hint="default"/>
      </w:rPr>
    </w:lvl>
    <w:lvl w:ilvl="3" w:tplc="37447474" w:tentative="1">
      <w:start w:val="1"/>
      <w:numFmt w:val="bullet"/>
      <w:lvlText w:val=""/>
      <w:lvlJc w:val="left"/>
      <w:pPr>
        <w:tabs>
          <w:tab w:val="num" w:pos="2880"/>
        </w:tabs>
        <w:ind w:left="2880" w:hanging="360"/>
      </w:pPr>
      <w:rPr>
        <w:rFonts w:ascii="Symbol" w:hAnsi="Symbol" w:hint="default"/>
      </w:rPr>
    </w:lvl>
    <w:lvl w:ilvl="4" w:tplc="0C9AB4A2" w:tentative="1">
      <w:start w:val="1"/>
      <w:numFmt w:val="bullet"/>
      <w:lvlText w:val=""/>
      <w:lvlJc w:val="left"/>
      <w:pPr>
        <w:tabs>
          <w:tab w:val="num" w:pos="3600"/>
        </w:tabs>
        <w:ind w:left="3600" w:hanging="360"/>
      </w:pPr>
      <w:rPr>
        <w:rFonts w:ascii="Symbol" w:hAnsi="Symbol" w:hint="default"/>
      </w:rPr>
    </w:lvl>
    <w:lvl w:ilvl="5" w:tplc="4B242070" w:tentative="1">
      <w:start w:val="1"/>
      <w:numFmt w:val="bullet"/>
      <w:lvlText w:val=""/>
      <w:lvlJc w:val="left"/>
      <w:pPr>
        <w:tabs>
          <w:tab w:val="num" w:pos="4320"/>
        </w:tabs>
        <w:ind w:left="4320" w:hanging="360"/>
      </w:pPr>
      <w:rPr>
        <w:rFonts w:ascii="Symbol" w:hAnsi="Symbol" w:hint="default"/>
      </w:rPr>
    </w:lvl>
    <w:lvl w:ilvl="6" w:tplc="C948844C" w:tentative="1">
      <w:start w:val="1"/>
      <w:numFmt w:val="bullet"/>
      <w:lvlText w:val=""/>
      <w:lvlJc w:val="left"/>
      <w:pPr>
        <w:tabs>
          <w:tab w:val="num" w:pos="5040"/>
        </w:tabs>
        <w:ind w:left="5040" w:hanging="360"/>
      </w:pPr>
      <w:rPr>
        <w:rFonts w:ascii="Symbol" w:hAnsi="Symbol" w:hint="default"/>
      </w:rPr>
    </w:lvl>
    <w:lvl w:ilvl="7" w:tplc="DF86998A" w:tentative="1">
      <w:start w:val="1"/>
      <w:numFmt w:val="bullet"/>
      <w:lvlText w:val=""/>
      <w:lvlJc w:val="left"/>
      <w:pPr>
        <w:tabs>
          <w:tab w:val="num" w:pos="5760"/>
        </w:tabs>
        <w:ind w:left="5760" w:hanging="360"/>
      </w:pPr>
      <w:rPr>
        <w:rFonts w:ascii="Symbol" w:hAnsi="Symbol" w:hint="default"/>
      </w:rPr>
    </w:lvl>
    <w:lvl w:ilvl="8" w:tplc="C8AE4F38"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1B553A82"/>
    <w:multiLevelType w:val="hybridMultilevel"/>
    <w:tmpl w:val="915AA9F4"/>
    <w:lvl w:ilvl="0" w:tplc="5EB81A90">
      <w:start w:val="1"/>
      <w:numFmt w:val="bullet"/>
      <w:lvlText w:val=""/>
      <w:lvlPicBulletId w:val="1"/>
      <w:lvlJc w:val="left"/>
      <w:pPr>
        <w:tabs>
          <w:tab w:val="num" w:pos="720"/>
        </w:tabs>
        <w:ind w:left="720" w:hanging="360"/>
      </w:pPr>
      <w:rPr>
        <w:rFonts w:ascii="Symbol" w:hAnsi="Symbol" w:hint="default"/>
      </w:rPr>
    </w:lvl>
    <w:lvl w:ilvl="1" w:tplc="5A1E9DAE" w:tentative="1">
      <w:start w:val="1"/>
      <w:numFmt w:val="bullet"/>
      <w:lvlText w:val=""/>
      <w:lvlJc w:val="left"/>
      <w:pPr>
        <w:tabs>
          <w:tab w:val="num" w:pos="1440"/>
        </w:tabs>
        <w:ind w:left="1440" w:hanging="360"/>
      </w:pPr>
      <w:rPr>
        <w:rFonts w:ascii="Symbol" w:hAnsi="Symbol" w:hint="default"/>
      </w:rPr>
    </w:lvl>
    <w:lvl w:ilvl="2" w:tplc="8DA8D87A" w:tentative="1">
      <w:start w:val="1"/>
      <w:numFmt w:val="bullet"/>
      <w:lvlText w:val=""/>
      <w:lvlJc w:val="left"/>
      <w:pPr>
        <w:tabs>
          <w:tab w:val="num" w:pos="2160"/>
        </w:tabs>
        <w:ind w:left="2160" w:hanging="360"/>
      </w:pPr>
      <w:rPr>
        <w:rFonts w:ascii="Symbol" w:hAnsi="Symbol" w:hint="default"/>
      </w:rPr>
    </w:lvl>
    <w:lvl w:ilvl="3" w:tplc="40D47C6A" w:tentative="1">
      <w:start w:val="1"/>
      <w:numFmt w:val="bullet"/>
      <w:lvlText w:val=""/>
      <w:lvlJc w:val="left"/>
      <w:pPr>
        <w:tabs>
          <w:tab w:val="num" w:pos="2880"/>
        </w:tabs>
        <w:ind w:left="2880" w:hanging="360"/>
      </w:pPr>
      <w:rPr>
        <w:rFonts w:ascii="Symbol" w:hAnsi="Symbol" w:hint="default"/>
      </w:rPr>
    </w:lvl>
    <w:lvl w:ilvl="4" w:tplc="68E48598" w:tentative="1">
      <w:start w:val="1"/>
      <w:numFmt w:val="bullet"/>
      <w:lvlText w:val=""/>
      <w:lvlJc w:val="left"/>
      <w:pPr>
        <w:tabs>
          <w:tab w:val="num" w:pos="3600"/>
        </w:tabs>
        <w:ind w:left="3600" w:hanging="360"/>
      </w:pPr>
      <w:rPr>
        <w:rFonts w:ascii="Symbol" w:hAnsi="Symbol" w:hint="default"/>
      </w:rPr>
    </w:lvl>
    <w:lvl w:ilvl="5" w:tplc="97865A60" w:tentative="1">
      <w:start w:val="1"/>
      <w:numFmt w:val="bullet"/>
      <w:lvlText w:val=""/>
      <w:lvlJc w:val="left"/>
      <w:pPr>
        <w:tabs>
          <w:tab w:val="num" w:pos="4320"/>
        </w:tabs>
        <w:ind w:left="4320" w:hanging="360"/>
      </w:pPr>
      <w:rPr>
        <w:rFonts w:ascii="Symbol" w:hAnsi="Symbol" w:hint="default"/>
      </w:rPr>
    </w:lvl>
    <w:lvl w:ilvl="6" w:tplc="A9387998" w:tentative="1">
      <w:start w:val="1"/>
      <w:numFmt w:val="bullet"/>
      <w:lvlText w:val=""/>
      <w:lvlJc w:val="left"/>
      <w:pPr>
        <w:tabs>
          <w:tab w:val="num" w:pos="5040"/>
        </w:tabs>
        <w:ind w:left="5040" w:hanging="360"/>
      </w:pPr>
      <w:rPr>
        <w:rFonts w:ascii="Symbol" w:hAnsi="Symbol" w:hint="default"/>
      </w:rPr>
    </w:lvl>
    <w:lvl w:ilvl="7" w:tplc="56B4A0BA" w:tentative="1">
      <w:start w:val="1"/>
      <w:numFmt w:val="bullet"/>
      <w:lvlText w:val=""/>
      <w:lvlJc w:val="left"/>
      <w:pPr>
        <w:tabs>
          <w:tab w:val="num" w:pos="5760"/>
        </w:tabs>
        <w:ind w:left="5760" w:hanging="360"/>
      </w:pPr>
      <w:rPr>
        <w:rFonts w:ascii="Symbol" w:hAnsi="Symbol" w:hint="default"/>
      </w:rPr>
    </w:lvl>
    <w:lvl w:ilvl="8" w:tplc="8408984A"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1D3C3546"/>
    <w:multiLevelType w:val="hybridMultilevel"/>
    <w:tmpl w:val="DBB683C4"/>
    <w:lvl w:ilvl="0" w:tplc="77D473FC">
      <w:start w:val="1"/>
      <w:numFmt w:val="bullet"/>
      <w:lvlText w:val=""/>
      <w:lvlPicBulletId w:val="1"/>
      <w:lvlJc w:val="left"/>
      <w:pPr>
        <w:tabs>
          <w:tab w:val="num" w:pos="720"/>
        </w:tabs>
        <w:ind w:left="720" w:hanging="360"/>
      </w:pPr>
      <w:rPr>
        <w:rFonts w:ascii="Symbol" w:hAnsi="Symbol" w:hint="default"/>
      </w:rPr>
    </w:lvl>
    <w:lvl w:ilvl="1" w:tplc="E8DE4356" w:tentative="1">
      <w:start w:val="1"/>
      <w:numFmt w:val="bullet"/>
      <w:lvlText w:val=""/>
      <w:lvlJc w:val="left"/>
      <w:pPr>
        <w:tabs>
          <w:tab w:val="num" w:pos="1440"/>
        </w:tabs>
        <w:ind w:left="1440" w:hanging="360"/>
      </w:pPr>
      <w:rPr>
        <w:rFonts w:ascii="Symbol" w:hAnsi="Symbol" w:hint="default"/>
      </w:rPr>
    </w:lvl>
    <w:lvl w:ilvl="2" w:tplc="9A4029D8" w:tentative="1">
      <w:start w:val="1"/>
      <w:numFmt w:val="bullet"/>
      <w:lvlText w:val=""/>
      <w:lvlJc w:val="left"/>
      <w:pPr>
        <w:tabs>
          <w:tab w:val="num" w:pos="2160"/>
        </w:tabs>
        <w:ind w:left="2160" w:hanging="360"/>
      </w:pPr>
      <w:rPr>
        <w:rFonts w:ascii="Symbol" w:hAnsi="Symbol" w:hint="default"/>
      </w:rPr>
    </w:lvl>
    <w:lvl w:ilvl="3" w:tplc="C49E8B24" w:tentative="1">
      <w:start w:val="1"/>
      <w:numFmt w:val="bullet"/>
      <w:lvlText w:val=""/>
      <w:lvlJc w:val="left"/>
      <w:pPr>
        <w:tabs>
          <w:tab w:val="num" w:pos="2880"/>
        </w:tabs>
        <w:ind w:left="2880" w:hanging="360"/>
      </w:pPr>
      <w:rPr>
        <w:rFonts w:ascii="Symbol" w:hAnsi="Symbol" w:hint="default"/>
      </w:rPr>
    </w:lvl>
    <w:lvl w:ilvl="4" w:tplc="5B6A8E3A" w:tentative="1">
      <w:start w:val="1"/>
      <w:numFmt w:val="bullet"/>
      <w:lvlText w:val=""/>
      <w:lvlJc w:val="left"/>
      <w:pPr>
        <w:tabs>
          <w:tab w:val="num" w:pos="3600"/>
        </w:tabs>
        <w:ind w:left="3600" w:hanging="360"/>
      </w:pPr>
      <w:rPr>
        <w:rFonts w:ascii="Symbol" w:hAnsi="Symbol" w:hint="default"/>
      </w:rPr>
    </w:lvl>
    <w:lvl w:ilvl="5" w:tplc="B634928C" w:tentative="1">
      <w:start w:val="1"/>
      <w:numFmt w:val="bullet"/>
      <w:lvlText w:val=""/>
      <w:lvlJc w:val="left"/>
      <w:pPr>
        <w:tabs>
          <w:tab w:val="num" w:pos="4320"/>
        </w:tabs>
        <w:ind w:left="4320" w:hanging="360"/>
      </w:pPr>
      <w:rPr>
        <w:rFonts w:ascii="Symbol" w:hAnsi="Symbol" w:hint="default"/>
      </w:rPr>
    </w:lvl>
    <w:lvl w:ilvl="6" w:tplc="ADD8A3C8" w:tentative="1">
      <w:start w:val="1"/>
      <w:numFmt w:val="bullet"/>
      <w:lvlText w:val=""/>
      <w:lvlJc w:val="left"/>
      <w:pPr>
        <w:tabs>
          <w:tab w:val="num" w:pos="5040"/>
        </w:tabs>
        <w:ind w:left="5040" w:hanging="360"/>
      </w:pPr>
      <w:rPr>
        <w:rFonts w:ascii="Symbol" w:hAnsi="Symbol" w:hint="default"/>
      </w:rPr>
    </w:lvl>
    <w:lvl w:ilvl="7" w:tplc="E2F6B2EE" w:tentative="1">
      <w:start w:val="1"/>
      <w:numFmt w:val="bullet"/>
      <w:lvlText w:val=""/>
      <w:lvlJc w:val="left"/>
      <w:pPr>
        <w:tabs>
          <w:tab w:val="num" w:pos="5760"/>
        </w:tabs>
        <w:ind w:left="5760" w:hanging="360"/>
      </w:pPr>
      <w:rPr>
        <w:rFonts w:ascii="Symbol" w:hAnsi="Symbol" w:hint="default"/>
      </w:rPr>
    </w:lvl>
    <w:lvl w:ilvl="8" w:tplc="023610CC"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1D7B248D"/>
    <w:multiLevelType w:val="hybridMultilevel"/>
    <w:tmpl w:val="811C92C2"/>
    <w:lvl w:ilvl="0" w:tplc="8EE696D6">
      <w:start w:val="1"/>
      <w:numFmt w:val="decimal"/>
      <w:lvlText w:val="Table %1."/>
      <w:lvlJc w:val="lef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1DB14715"/>
    <w:multiLevelType w:val="hybridMultilevel"/>
    <w:tmpl w:val="865CF41E"/>
    <w:lvl w:ilvl="0" w:tplc="ABB0ED9C">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1E6F4938"/>
    <w:multiLevelType w:val="hybridMultilevel"/>
    <w:tmpl w:val="7EE49170"/>
    <w:lvl w:ilvl="0" w:tplc="1306239C">
      <w:start w:val="1"/>
      <w:numFmt w:val="bullet"/>
      <w:lvlText w:val=""/>
      <w:lvlPicBulletId w:val="0"/>
      <w:lvlJc w:val="left"/>
      <w:pPr>
        <w:tabs>
          <w:tab w:val="num" w:pos="720"/>
        </w:tabs>
        <w:ind w:left="720" w:hanging="360"/>
      </w:pPr>
      <w:rPr>
        <w:rFonts w:ascii="Symbol" w:hAnsi="Symbol" w:hint="default"/>
      </w:rPr>
    </w:lvl>
    <w:lvl w:ilvl="1" w:tplc="675A7D36" w:tentative="1">
      <w:start w:val="1"/>
      <w:numFmt w:val="bullet"/>
      <w:lvlText w:val=""/>
      <w:lvlJc w:val="left"/>
      <w:pPr>
        <w:tabs>
          <w:tab w:val="num" w:pos="1440"/>
        </w:tabs>
        <w:ind w:left="1440" w:hanging="360"/>
      </w:pPr>
      <w:rPr>
        <w:rFonts w:ascii="Symbol" w:hAnsi="Symbol" w:hint="default"/>
      </w:rPr>
    </w:lvl>
    <w:lvl w:ilvl="2" w:tplc="07DE1F30" w:tentative="1">
      <w:start w:val="1"/>
      <w:numFmt w:val="bullet"/>
      <w:lvlText w:val=""/>
      <w:lvlJc w:val="left"/>
      <w:pPr>
        <w:tabs>
          <w:tab w:val="num" w:pos="2160"/>
        </w:tabs>
        <w:ind w:left="2160" w:hanging="360"/>
      </w:pPr>
      <w:rPr>
        <w:rFonts w:ascii="Symbol" w:hAnsi="Symbol" w:hint="default"/>
      </w:rPr>
    </w:lvl>
    <w:lvl w:ilvl="3" w:tplc="C77A15D6" w:tentative="1">
      <w:start w:val="1"/>
      <w:numFmt w:val="bullet"/>
      <w:lvlText w:val=""/>
      <w:lvlJc w:val="left"/>
      <w:pPr>
        <w:tabs>
          <w:tab w:val="num" w:pos="2880"/>
        </w:tabs>
        <w:ind w:left="2880" w:hanging="360"/>
      </w:pPr>
      <w:rPr>
        <w:rFonts w:ascii="Symbol" w:hAnsi="Symbol" w:hint="default"/>
      </w:rPr>
    </w:lvl>
    <w:lvl w:ilvl="4" w:tplc="26C4A72A" w:tentative="1">
      <w:start w:val="1"/>
      <w:numFmt w:val="bullet"/>
      <w:lvlText w:val=""/>
      <w:lvlJc w:val="left"/>
      <w:pPr>
        <w:tabs>
          <w:tab w:val="num" w:pos="3600"/>
        </w:tabs>
        <w:ind w:left="3600" w:hanging="360"/>
      </w:pPr>
      <w:rPr>
        <w:rFonts w:ascii="Symbol" w:hAnsi="Symbol" w:hint="default"/>
      </w:rPr>
    </w:lvl>
    <w:lvl w:ilvl="5" w:tplc="A6E65A78" w:tentative="1">
      <w:start w:val="1"/>
      <w:numFmt w:val="bullet"/>
      <w:lvlText w:val=""/>
      <w:lvlJc w:val="left"/>
      <w:pPr>
        <w:tabs>
          <w:tab w:val="num" w:pos="4320"/>
        </w:tabs>
        <w:ind w:left="4320" w:hanging="360"/>
      </w:pPr>
      <w:rPr>
        <w:rFonts w:ascii="Symbol" w:hAnsi="Symbol" w:hint="default"/>
      </w:rPr>
    </w:lvl>
    <w:lvl w:ilvl="6" w:tplc="1CBA7D2E" w:tentative="1">
      <w:start w:val="1"/>
      <w:numFmt w:val="bullet"/>
      <w:lvlText w:val=""/>
      <w:lvlJc w:val="left"/>
      <w:pPr>
        <w:tabs>
          <w:tab w:val="num" w:pos="5040"/>
        </w:tabs>
        <w:ind w:left="5040" w:hanging="360"/>
      </w:pPr>
      <w:rPr>
        <w:rFonts w:ascii="Symbol" w:hAnsi="Symbol" w:hint="default"/>
      </w:rPr>
    </w:lvl>
    <w:lvl w:ilvl="7" w:tplc="BDFC044C" w:tentative="1">
      <w:start w:val="1"/>
      <w:numFmt w:val="bullet"/>
      <w:lvlText w:val=""/>
      <w:lvlJc w:val="left"/>
      <w:pPr>
        <w:tabs>
          <w:tab w:val="num" w:pos="5760"/>
        </w:tabs>
        <w:ind w:left="5760" w:hanging="360"/>
      </w:pPr>
      <w:rPr>
        <w:rFonts w:ascii="Symbol" w:hAnsi="Symbol" w:hint="default"/>
      </w:rPr>
    </w:lvl>
    <w:lvl w:ilvl="8" w:tplc="3FF63AE4" w:tentative="1">
      <w:start w:val="1"/>
      <w:numFmt w:val="bullet"/>
      <w:lvlText w:val=""/>
      <w:lvlJc w:val="left"/>
      <w:pPr>
        <w:tabs>
          <w:tab w:val="num" w:pos="6480"/>
        </w:tabs>
        <w:ind w:left="6480" w:hanging="360"/>
      </w:pPr>
      <w:rPr>
        <w:rFonts w:ascii="Symbol" w:hAnsi="Symbol" w:hint="default"/>
      </w:rPr>
    </w:lvl>
  </w:abstractNum>
  <w:abstractNum w:abstractNumId="50" w15:restartNumberingAfterBreak="0">
    <w:nsid w:val="1F0957BC"/>
    <w:multiLevelType w:val="hybridMultilevel"/>
    <w:tmpl w:val="0F56C5D8"/>
    <w:lvl w:ilvl="0" w:tplc="91BE940A">
      <w:start w:val="1"/>
      <w:numFmt w:val="bullet"/>
      <w:lvlText w:val=""/>
      <w:lvlPicBulletId w:val="1"/>
      <w:lvlJc w:val="left"/>
      <w:pPr>
        <w:tabs>
          <w:tab w:val="num" w:pos="720"/>
        </w:tabs>
        <w:ind w:left="720" w:hanging="360"/>
      </w:pPr>
      <w:rPr>
        <w:rFonts w:ascii="Symbol" w:hAnsi="Symbol" w:hint="default"/>
      </w:rPr>
    </w:lvl>
    <w:lvl w:ilvl="1" w:tplc="D79E58D2" w:tentative="1">
      <w:start w:val="1"/>
      <w:numFmt w:val="bullet"/>
      <w:lvlText w:val=""/>
      <w:lvlJc w:val="left"/>
      <w:pPr>
        <w:tabs>
          <w:tab w:val="num" w:pos="1440"/>
        </w:tabs>
        <w:ind w:left="1440" w:hanging="360"/>
      </w:pPr>
      <w:rPr>
        <w:rFonts w:ascii="Symbol" w:hAnsi="Symbol" w:hint="default"/>
      </w:rPr>
    </w:lvl>
    <w:lvl w:ilvl="2" w:tplc="F6920AE8" w:tentative="1">
      <w:start w:val="1"/>
      <w:numFmt w:val="bullet"/>
      <w:lvlText w:val=""/>
      <w:lvlJc w:val="left"/>
      <w:pPr>
        <w:tabs>
          <w:tab w:val="num" w:pos="2160"/>
        </w:tabs>
        <w:ind w:left="2160" w:hanging="360"/>
      </w:pPr>
      <w:rPr>
        <w:rFonts w:ascii="Symbol" w:hAnsi="Symbol" w:hint="default"/>
      </w:rPr>
    </w:lvl>
    <w:lvl w:ilvl="3" w:tplc="DDE2A4E8" w:tentative="1">
      <w:start w:val="1"/>
      <w:numFmt w:val="bullet"/>
      <w:lvlText w:val=""/>
      <w:lvlJc w:val="left"/>
      <w:pPr>
        <w:tabs>
          <w:tab w:val="num" w:pos="2880"/>
        </w:tabs>
        <w:ind w:left="2880" w:hanging="360"/>
      </w:pPr>
      <w:rPr>
        <w:rFonts w:ascii="Symbol" w:hAnsi="Symbol" w:hint="default"/>
      </w:rPr>
    </w:lvl>
    <w:lvl w:ilvl="4" w:tplc="EEA869F2" w:tentative="1">
      <w:start w:val="1"/>
      <w:numFmt w:val="bullet"/>
      <w:lvlText w:val=""/>
      <w:lvlJc w:val="left"/>
      <w:pPr>
        <w:tabs>
          <w:tab w:val="num" w:pos="3600"/>
        </w:tabs>
        <w:ind w:left="3600" w:hanging="360"/>
      </w:pPr>
      <w:rPr>
        <w:rFonts w:ascii="Symbol" w:hAnsi="Symbol" w:hint="default"/>
      </w:rPr>
    </w:lvl>
    <w:lvl w:ilvl="5" w:tplc="BED8E53A" w:tentative="1">
      <w:start w:val="1"/>
      <w:numFmt w:val="bullet"/>
      <w:lvlText w:val=""/>
      <w:lvlJc w:val="left"/>
      <w:pPr>
        <w:tabs>
          <w:tab w:val="num" w:pos="4320"/>
        </w:tabs>
        <w:ind w:left="4320" w:hanging="360"/>
      </w:pPr>
      <w:rPr>
        <w:rFonts w:ascii="Symbol" w:hAnsi="Symbol" w:hint="default"/>
      </w:rPr>
    </w:lvl>
    <w:lvl w:ilvl="6" w:tplc="766A1D78" w:tentative="1">
      <w:start w:val="1"/>
      <w:numFmt w:val="bullet"/>
      <w:lvlText w:val=""/>
      <w:lvlJc w:val="left"/>
      <w:pPr>
        <w:tabs>
          <w:tab w:val="num" w:pos="5040"/>
        </w:tabs>
        <w:ind w:left="5040" w:hanging="360"/>
      </w:pPr>
      <w:rPr>
        <w:rFonts w:ascii="Symbol" w:hAnsi="Symbol" w:hint="default"/>
      </w:rPr>
    </w:lvl>
    <w:lvl w:ilvl="7" w:tplc="F8A2FDF4" w:tentative="1">
      <w:start w:val="1"/>
      <w:numFmt w:val="bullet"/>
      <w:lvlText w:val=""/>
      <w:lvlJc w:val="left"/>
      <w:pPr>
        <w:tabs>
          <w:tab w:val="num" w:pos="5760"/>
        </w:tabs>
        <w:ind w:left="5760" w:hanging="360"/>
      </w:pPr>
      <w:rPr>
        <w:rFonts w:ascii="Symbol" w:hAnsi="Symbol" w:hint="default"/>
      </w:rPr>
    </w:lvl>
    <w:lvl w:ilvl="8" w:tplc="1DD271AE"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1FA415CB"/>
    <w:multiLevelType w:val="hybridMultilevel"/>
    <w:tmpl w:val="9E78EA12"/>
    <w:lvl w:ilvl="0" w:tplc="4976AA08">
      <w:start w:val="1"/>
      <w:numFmt w:val="bullet"/>
      <w:lvlText w:val=""/>
      <w:lvlPicBulletId w:val="1"/>
      <w:lvlJc w:val="left"/>
      <w:pPr>
        <w:tabs>
          <w:tab w:val="num" w:pos="720"/>
        </w:tabs>
        <w:ind w:left="720" w:hanging="360"/>
      </w:pPr>
      <w:rPr>
        <w:rFonts w:ascii="Symbol" w:hAnsi="Symbol" w:hint="default"/>
      </w:rPr>
    </w:lvl>
    <w:lvl w:ilvl="1" w:tplc="A8EE64BA" w:tentative="1">
      <w:start w:val="1"/>
      <w:numFmt w:val="bullet"/>
      <w:lvlText w:val=""/>
      <w:lvlJc w:val="left"/>
      <w:pPr>
        <w:tabs>
          <w:tab w:val="num" w:pos="1440"/>
        </w:tabs>
        <w:ind w:left="1440" w:hanging="360"/>
      </w:pPr>
      <w:rPr>
        <w:rFonts w:ascii="Symbol" w:hAnsi="Symbol" w:hint="default"/>
      </w:rPr>
    </w:lvl>
    <w:lvl w:ilvl="2" w:tplc="AB0A5338" w:tentative="1">
      <w:start w:val="1"/>
      <w:numFmt w:val="bullet"/>
      <w:lvlText w:val=""/>
      <w:lvlJc w:val="left"/>
      <w:pPr>
        <w:tabs>
          <w:tab w:val="num" w:pos="2160"/>
        </w:tabs>
        <w:ind w:left="2160" w:hanging="360"/>
      </w:pPr>
      <w:rPr>
        <w:rFonts w:ascii="Symbol" w:hAnsi="Symbol" w:hint="default"/>
      </w:rPr>
    </w:lvl>
    <w:lvl w:ilvl="3" w:tplc="FA2E841E" w:tentative="1">
      <w:start w:val="1"/>
      <w:numFmt w:val="bullet"/>
      <w:lvlText w:val=""/>
      <w:lvlJc w:val="left"/>
      <w:pPr>
        <w:tabs>
          <w:tab w:val="num" w:pos="2880"/>
        </w:tabs>
        <w:ind w:left="2880" w:hanging="360"/>
      </w:pPr>
      <w:rPr>
        <w:rFonts w:ascii="Symbol" w:hAnsi="Symbol" w:hint="default"/>
      </w:rPr>
    </w:lvl>
    <w:lvl w:ilvl="4" w:tplc="01B26764" w:tentative="1">
      <w:start w:val="1"/>
      <w:numFmt w:val="bullet"/>
      <w:lvlText w:val=""/>
      <w:lvlJc w:val="left"/>
      <w:pPr>
        <w:tabs>
          <w:tab w:val="num" w:pos="3600"/>
        </w:tabs>
        <w:ind w:left="3600" w:hanging="360"/>
      </w:pPr>
      <w:rPr>
        <w:rFonts w:ascii="Symbol" w:hAnsi="Symbol" w:hint="default"/>
      </w:rPr>
    </w:lvl>
    <w:lvl w:ilvl="5" w:tplc="FD0EB20A" w:tentative="1">
      <w:start w:val="1"/>
      <w:numFmt w:val="bullet"/>
      <w:lvlText w:val=""/>
      <w:lvlJc w:val="left"/>
      <w:pPr>
        <w:tabs>
          <w:tab w:val="num" w:pos="4320"/>
        </w:tabs>
        <w:ind w:left="4320" w:hanging="360"/>
      </w:pPr>
      <w:rPr>
        <w:rFonts w:ascii="Symbol" w:hAnsi="Symbol" w:hint="default"/>
      </w:rPr>
    </w:lvl>
    <w:lvl w:ilvl="6" w:tplc="BE64B108" w:tentative="1">
      <w:start w:val="1"/>
      <w:numFmt w:val="bullet"/>
      <w:lvlText w:val=""/>
      <w:lvlJc w:val="left"/>
      <w:pPr>
        <w:tabs>
          <w:tab w:val="num" w:pos="5040"/>
        </w:tabs>
        <w:ind w:left="5040" w:hanging="360"/>
      </w:pPr>
      <w:rPr>
        <w:rFonts w:ascii="Symbol" w:hAnsi="Symbol" w:hint="default"/>
      </w:rPr>
    </w:lvl>
    <w:lvl w:ilvl="7" w:tplc="285C98D6" w:tentative="1">
      <w:start w:val="1"/>
      <w:numFmt w:val="bullet"/>
      <w:lvlText w:val=""/>
      <w:lvlJc w:val="left"/>
      <w:pPr>
        <w:tabs>
          <w:tab w:val="num" w:pos="5760"/>
        </w:tabs>
        <w:ind w:left="5760" w:hanging="360"/>
      </w:pPr>
      <w:rPr>
        <w:rFonts w:ascii="Symbol" w:hAnsi="Symbol" w:hint="default"/>
      </w:rPr>
    </w:lvl>
    <w:lvl w:ilvl="8" w:tplc="E5DCDCA0"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1FEC502E"/>
    <w:multiLevelType w:val="hybridMultilevel"/>
    <w:tmpl w:val="77BCD3A0"/>
    <w:lvl w:ilvl="0" w:tplc="3B546040">
      <w:start w:val="1"/>
      <w:numFmt w:val="bullet"/>
      <w:lvlText w:val=""/>
      <w:lvlPicBulletId w:val="1"/>
      <w:lvlJc w:val="left"/>
      <w:pPr>
        <w:tabs>
          <w:tab w:val="num" w:pos="720"/>
        </w:tabs>
        <w:ind w:left="720" w:hanging="360"/>
      </w:pPr>
      <w:rPr>
        <w:rFonts w:ascii="Symbol" w:hAnsi="Symbol" w:hint="default"/>
      </w:rPr>
    </w:lvl>
    <w:lvl w:ilvl="1" w:tplc="D29C5A2E" w:tentative="1">
      <w:start w:val="1"/>
      <w:numFmt w:val="bullet"/>
      <w:lvlText w:val=""/>
      <w:lvlJc w:val="left"/>
      <w:pPr>
        <w:tabs>
          <w:tab w:val="num" w:pos="1440"/>
        </w:tabs>
        <w:ind w:left="1440" w:hanging="360"/>
      </w:pPr>
      <w:rPr>
        <w:rFonts w:ascii="Symbol" w:hAnsi="Symbol" w:hint="default"/>
      </w:rPr>
    </w:lvl>
    <w:lvl w:ilvl="2" w:tplc="2B907DAE" w:tentative="1">
      <w:start w:val="1"/>
      <w:numFmt w:val="bullet"/>
      <w:lvlText w:val=""/>
      <w:lvlJc w:val="left"/>
      <w:pPr>
        <w:tabs>
          <w:tab w:val="num" w:pos="2160"/>
        </w:tabs>
        <w:ind w:left="2160" w:hanging="360"/>
      </w:pPr>
      <w:rPr>
        <w:rFonts w:ascii="Symbol" w:hAnsi="Symbol" w:hint="default"/>
      </w:rPr>
    </w:lvl>
    <w:lvl w:ilvl="3" w:tplc="E4FE9FEC" w:tentative="1">
      <w:start w:val="1"/>
      <w:numFmt w:val="bullet"/>
      <w:lvlText w:val=""/>
      <w:lvlJc w:val="left"/>
      <w:pPr>
        <w:tabs>
          <w:tab w:val="num" w:pos="2880"/>
        </w:tabs>
        <w:ind w:left="2880" w:hanging="360"/>
      </w:pPr>
      <w:rPr>
        <w:rFonts w:ascii="Symbol" w:hAnsi="Symbol" w:hint="default"/>
      </w:rPr>
    </w:lvl>
    <w:lvl w:ilvl="4" w:tplc="B30A3966" w:tentative="1">
      <w:start w:val="1"/>
      <w:numFmt w:val="bullet"/>
      <w:lvlText w:val=""/>
      <w:lvlJc w:val="left"/>
      <w:pPr>
        <w:tabs>
          <w:tab w:val="num" w:pos="3600"/>
        </w:tabs>
        <w:ind w:left="3600" w:hanging="360"/>
      </w:pPr>
      <w:rPr>
        <w:rFonts w:ascii="Symbol" w:hAnsi="Symbol" w:hint="default"/>
      </w:rPr>
    </w:lvl>
    <w:lvl w:ilvl="5" w:tplc="4FE8DFBA" w:tentative="1">
      <w:start w:val="1"/>
      <w:numFmt w:val="bullet"/>
      <w:lvlText w:val=""/>
      <w:lvlJc w:val="left"/>
      <w:pPr>
        <w:tabs>
          <w:tab w:val="num" w:pos="4320"/>
        </w:tabs>
        <w:ind w:left="4320" w:hanging="360"/>
      </w:pPr>
      <w:rPr>
        <w:rFonts w:ascii="Symbol" w:hAnsi="Symbol" w:hint="default"/>
      </w:rPr>
    </w:lvl>
    <w:lvl w:ilvl="6" w:tplc="782CC7F2" w:tentative="1">
      <w:start w:val="1"/>
      <w:numFmt w:val="bullet"/>
      <w:lvlText w:val=""/>
      <w:lvlJc w:val="left"/>
      <w:pPr>
        <w:tabs>
          <w:tab w:val="num" w:pos="5040"/>
        </w:tabs>
        <w:ind w:left="5040" w:hanging="360"/>
      </w:pPr>
      <w:rPr>
        <w:rFonts w:ascii="Symbol" w:hAnsi="Symbol" w:hint="default"/>
      </w:rPr>
    </w:lvl>
    <w:lvl w:ilvl="7" w:tplc="190416DE" w:tentative="1">
      <w:start w:val="1"/>
      <w:numFmt w:val="bullet"/>
      <w:lvlText w:val=""/>
      <w:lvlJc w:val="left"/>
      <w:pPr>
        <w:tabs>
          <w:tab w:val="num" w:pos="5760"/>
        </w:tabs>
        <w:ind w:left="5760" w:hanging="360"/>
      </w:pPr>
      <w:rPr>
        <w:rFonts w:ascii="Symbol" w:hAnsi="Symbol" w:hint="default"/>
      </w:rPr>
    </w:lvl>
    <w:lvl w:ilvl="8" w:tplc="C1F6817C" w:tentative="1">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20337540"/>
    <w:multiLevelType w:val="hybridMultilevel"/>
    <w:tmpl w:val="D8C244BE"/>
    <w:lvl w:ilvl="0" w:tplc="8B26B774">
      <w:start w:val="1"/>
      <w:numFmt w:val="bullet"/>
      <w:lvlText w:val=""/>
      <w:lvlPicBulletId w:val="1"/>
      <w:lvlJc w:val="left"/>
      <w:pPr>
        <w:tabs>
          <w:tab w:val="num" w:pos="720"/>
        </w:tabs>
        <w:ind w:left="720" w:hanging="360"/>
      </w:pPr>
      <w:rPr>
        <w:rFonts w:ascii="Symbol" w:hAnsi="Symbol" w:hint="default"/>
      </w:rPr>
    </w:lvl>
    <w:lvl w:ilvl="1" w:tplc="6204B2BE" w:tentative="1">
      <w:start w:val="1"/>
      <w:numFmt w:val="bullet"/>
      <w:lvlText w:val=""/>
      <w:lvlJc w:val="left"/>
      <w:pPr>
        <w:tabs>
          <w:tab w:val="num" w:pos="1440"/>
        </w:tabs>
        <w:ind w:left="1440" w:hanging="360"/>
      </w:pPr>
      <w:rPr>
        <w:rFonts w:ascii="Symbol" w:hAnsi="Symbol" w:hint="default"/>
      </w:rPr>
    </w:lvl>
    <w:lvl w:ilvl="2" w:tplc="A64431BA" w:tentative="1">
      <w:start w:val="1"/>
      <w:numFmt w:val="bullet"/>
      <w:lvlText w:val=""/>
      <w:lvlJc w:val="left"/>
      <w:pPr>
        <w:tabs>
          <w:tab w:val="num" w:pos="2160"/>
        </w:tabs>
        <w:ind w:left="2160" w:hanging="360"/>
      </w:pPr>
      <w:rPr>
        <w:rFonts w:ascii="Symbol" w:hAnsi="Symbol" w:hint="default"/>
      </w:rPr>
    </w:lvl>
    <w:lvl w:ilvl="3" w:tplc="FB9879F6" w:tentative="1">
      <w:start w:val="1"/>
      <w:numFmt w:val="bullet"/>
      <w:lvlText w:val=""/>
      <w:lvlJc w:val="left"/>
      <w:pPr>
        <w:tabs>
          <w:tab w:val="num" w:pos="2880"/>
        </w:tabs>
        <w:ind w:left="2880" w:hanging="360"/>
      </w:pPr>
      <w:rPr>
        <w:rFonts w:ascii="Symbol" w:hAnsi="Symbol" w:hint="default"/>
      </w:rPr>
    </w:lvl>
    <w:lvl w:ilvl="4" w:tplc="3D7E825A" w:tentative="1">
      <w:start w:val="1"/>
      <w:numFmt w:val="bullet"/>
      <w:lvlText w:val=""/>
      <w:lvlJc w:val="left"/>
      <w:pPr>
        <w:tabs>
          <w:tab w:val="num" w:pos="3600"/>
        </w:tabs>
        <w:ind w:left="3600" w:hanging="360"/>
      </w:pPr>
      <w:rPr>
        <w:rFonts w:ascii="Symbol" w:hAnsi="Symbol" w:hint="default"/>
      </w:rPr>
    </w:lvl>
    <w:lvl w:ilvl="5" w:tplc="514419B0" w:tentative="1">
      <w:start w:val="1"/>
      <w:numFmt w:val="bullet"/>
      <w:lvlText w:val=""/>
      <w:lvlJc w:val="left"/>
      <w:pPr>
        <w:tabs>
          <w:tab w:val="num" w:pos="4320"/>
        </w:tabs>
        <w:ind w:left="4320" w:hanging="360"/>
      </w:pPr>
      <w:rPr>
        <w:rFonts w:ascii="Symbol" w:hAnsi="Symbol" w:hint="default"/>
      </w:rPr>
    </w:lvl>
    <w:lvl w:ilvl="6" w:tplc="F70E906A" w:tentative="1">
      <w:start w:val="1"/>
      <w:numFmt w:val="bullet"/>
      <w:lvlText w:val=""/>
      <w:lvlJc w:val="left"/>
      <w:pPr>
        <w:tabs>
          <w:tab w:val="num" w:pos="5040"/>
        </w:tabs>
        <w:ind w:left="5040" w:hanging="360"/>
      </w:pPr>
      <w:rPr>
        <w:rFonts w:ascii="Symbol" w:hAnsi="Symbol" w:hint="default"/>
      </w:rPr>
    </w:lvl>
    <w:lvl w:ilvl="7" w:tplc="9B28BF24" w:tentative="1">
      <w:start w:val="1"/>
      <w:numFmt w:val="bullet"/>
      <w:lvlText w:val=""/>
      <w:lvlJc w:val="left"/>
      <w:pPr>
        <w:tabs>
          <w:tab w:val="num" w:pos="5760"/>
        </w:tabs>
        <w:ind w:left="5760" w:hanging="360"/>
      </w:pPr>
      <w:rPr>
        <w:rFonts w:ascii="Symbol" w:hAnsi="Symbol" w:hint="default"/>
      </w:rPr>
    </w:lvl>
    <w:lvl w:ilvl="8" w:tplc="77BAA4D8"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20B85FF1"/>
    <w:multiLevelType w:val="hybridMultilevel"/>
    <w:tmpl w:val="BA247A8E"/>
    <w:lvl w:ilvl="0" w:tplc="29646AD6">
      <w:start w:val="1"/>
      <w:numFmt w:val="bullet"/>
      <w:lvlText w:val=""/>
      <w:lvlPicBulletId w:val="1"/>
      <w:lvlJc w:val="left"/>
      <w:pPr>
        <w:tabs>
          <w:tab w:val="num" w:pos="720"/>
        </w:tabs>
        <w:ind w:left="720" w:hanging="360"/>
      </w:pPr>
      <w:rPr>
        <w:rFonts w:ascii="Symbol" w:hAnsi="Symbol" w:hint="default"/>
      </w:rPr>
    </w:lvl>
    <w:lvl w:ilvl="1" w:tplc="287680CA" w:tentative="1">
      <w:start w:val="1"/>
      <w:numFmt w:val="bullet"/>
      <w:lvlText w:val=""/>
      <w:lvlJc w:val="left"/>
      <w:pPr>
        <w:tabs>
          <w:tab w:val="num" w:pos="1440"/>
        </w:tabs>
        <w:ind w:left="1440" w:hanging="360"/>
      </w:pPr>
      <w:rPr>
        <w:rFonts w:ascii="Symbol" w:hAnsi="Symbol" w:hint="default"/>
      </w:rPr>
    </w:lvl>
    <w:lvl w:ilvl="2" w:tplc="35FEBCCE" w:tentative="1">
      <w:start w:val="1"/>
      <w:numFmt w:val="bullet"/>
      <w:lvlText w:val=""/>
      <w:lvlJc w:val="left"/>
      <w:pPr>
        <w:tabs>
          <w:tab w:val="num" w:pos="2160"/>
        </w:tabs>
        <w:ind w:left="2160" w:hanging="360"/>
      </w:pPr>
      <w:rPr>
        <w:rFonts w:ascii="Symbol" w:hAnsi="Symbol" w:hint="default"/>
      </w:rPr>
    </w:lvl>
    <w:lvl w:ilvl="3" w:tplc="C532A71C" w:tentative="1">
      <w:start w:val="1"/>
      <w:numFmt w:val="bullet"/>
      <w:lvlText w:val=""/>
      <w:lvlJc w:val="left"/>
      <w:pPr>
        <w:tabs>
          <w:tab w:val="num" w:pos="2880"/>
        </w:tabs>
        <w:ind w:left="2880" w:hanging="360"/>
      </w:pPr>
      <w:rPr>
        <w:rFonts w:ascii="Symbol" w:hAnsi="Symbol" w:hint="default"/>
      </w:rPr>
    </w:lvl>
    <w:lvl w:ilvl="4" w:tplc="79FC235A" w:tentative="1">
      <w:start w:val="1"/>
      <w:numFmt w:val="bullet"/>
      <w:lvlText w:val=""/>
      <w:lvlJc w:val="left"/>
      <w:pPr>
        <w:tabs>
          <w:tab w:val="num" w:pos="3600"/>
        </w:tabs>
        <w:ind w:left="3600" w:hanging="360"/>
      </w:pPr>
      <w:rPr>
        <w:rFonts w:ascii="Symbol" w:hAnsi="Symbol" w:hint="default"/>
      </w:rPr>
    </w:lvl>
    <w:lvl w:ilvl="5" w:tplc="74AC849A" w:tentative="1">
      <w:start w:val="1"/>
      <w:numFmt w:val="bullet"/>
      <w:lvlText w:val=""/>
      <w:lvlJc w:val="left"/>
      <w:pPr>
        <w:tabs>
          <w:tab w:val="num" w:pos="4320"/>
        </w:tabs>
        <w:ind w:left="4320" w:hanging="360"/>
      </w:pPr>
      <w:rPr>
        <w:rFonts w:ascii="Symbol" w:hAnsi="Symbol" w:hint="default"/>
      </w:rPr>
    </w:lvl>
    <w:lvl w:ilvl="6" w:tplc="83469FF2" w:tentative="1">
      <w:start w:val="1"/>
      <w:numFmt w:val="bullet"/>
      <w:lvlText w:val=""/>
      <w:lvlJc w:val="left"/>
      <w:pPr>
        <w:tabs>
          <w:tab w:val="num" w:pos="5040"/>
        </w:tabs>
        <w:ind w:left="5040" w:hanging="360"/>
      </w:pPr>
      <w:rPr>
        <w:rFonts w:ascii="Symbol" w:hAnsi="Symbol" w:hint="default"/>
      </w:rPr>
    </w:lvl>
    <w:lvl w:ilvl="7" w:tplc="B1C21672" w:tentative="1">
      <w:start w:val="1"/>
      <w:numFmt w:val="bullet"/>
      <w:lvlText w:val=""/>
      <w:lvlJc w:val="left"/>
      <w:pPr>
        <w:tabs>
          <w:tab w:val="num" w:pos="5760"/>
        </w:tabs>
        <w:ind w:left="5760" w:hanging="360"/>
      </w:pPr>
      <w:rPr>
        <w:rFonts w:ascii="Symbol" w:hAnsi="Symbol" w:hint="default"/>
      </w:rPr>
    </w:lvl>
    <w:lvl w:ilvl="8" w:tplc="86304BA4" w:tentative="1">
      <w:start w:val="1"/>
      <w:numFmt w:val="bullet"/>
      <w:lvlText w:val=""/>
      <w:lvlJc w:val="left"/>
      <w:pPr>
        <w:tabs>
          <w:tab w:val="num" w:pos="6480"/>
        </w:tabs>
        <w:ind w:left="6480" w:hanging="360"/>
      </w:pPr>
      <w:rPr>
        <w:rFonts w:ascii="Symbol" w:hAnsi="Symbol" w:hint="default"/>
      </w:rPr>
    </w:lvl>
  </w:abstractNum>
  <w:abstractNum w:abstractNumId="55" w15:restartNumberingAfterBreak="0">
    <w:nsid w:val="217133DA"/>
    <w:multiLevelType w:val="hybridMultilevel"/>
    <w:tmpl w:val="02A6DB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6" w15:restartNumberingAfterBreak="0">
    <w:nsid w:val="21894241"/>
    <w:multiLevelType w:val="hybridMultilevel"/>
    <w:tmpl w:val="10AE569E"/>
    <w:lvl w:ilvl="0" w:tplc="7E1A12FC">
      <w:start w:val="1"/>
      <w:numFmt w:val="bullet"/>
      <w:lvlText w:val=""/>
      <w:lvlPicBulletId w:val="1"/>
      <w:lvlJc w:val="left"/>
      <w:pPr>
        <w:tabs>
          <w:tab w:val="num" w:pos="720"/>
        </w:tabs>
        <w:ind w:left="720" w:hanging="360"/>
      </w:pPr>
      <w:rPr>
        <w:rFonts w:ascii="Symbol" w:hAnsi="Symbol" w:hint="default"/>
      </w:rPr>
    </w:lvl>
    <w:lvl w:ilvl="1" w:tplc="C8EE0B6E" w:tentative="1">
      <w:start w:val="1"/>
      <w:numFmt w:val="bullet"/>
      <w:lvlText w:val=""/>
      <w:lvlJc w:val="left"/>
      <w:pPr>
        <w:tabs>
          <w:tab w:val="num" w:pos="1440"/>
        </w:tabs>
        <w:ind w:left="1440" w:hanging="360"/>
      </w:pPr>
      <w:rPr>
        <w:rFonts w:ascii="Symbol" w:hAnsi="Symbol" w:hint="default"/>
      </w:rPr>
    </w:lvl>
    <w:lvl w:ilvl="2" w:tplc="F77023D2" w:tentative="1">
      <w:start w:val="1"/>
      <w:numFmt w:val="bullet"/>
      <w:lvlText w:val=""/>
      <w:lvlJc w:val="left"/>
      <w:pPr>
        <w:tabs>
          <w:tab w:val="num" w:pos="2160"/>
        </w:tabs>
        <w:ind w:left="2160" w:hanging="360"/>
      </w:pPr>
      <w:rPr>
        <w:rFonts w:ascii="Symbol" w:hAnsi="Symbol" w:hint="default"/>
      </w:rPr>
    </w:lvl>
    <w:lvl w:ilvl="3" w:tplc="92680724" w:tentative="1">
      <w:start w:val="1"/>
      <w:numFmt w:val="bullet"/>
      <w:lvlText w:val=""/>
      <w:lvlJc w:val="left"/>
      <w:pPr>
        <w:tabs>
          <w:tab w:val="num" w:pos="2880"/>
        </w:tabs>
        <w:ind w:left="2880" w:hanging="360"/>
      </w:pPr>
      <w:rPr>
        <w:rFonts w:ascii="Symbol" w:hAnsi="Symbol" w:hint="default"/>
      </w:rPr>
    </w:lvl>
    <w:lvl w:ilvl="4" w:tplc="2B885A54" w:tentative="1">
      <w:start w:val="1"/>
      <w:numFmt w:val="bullet"/>
      <w:lvlText w:val=""/>
      <w:lvlJc w:val="left"/>
      <w:pPr>
        <w:tabs>
          <w:tab w:val="num" w:pos="3600"/>
        </w:tabs>
        <w:ind w:left="3600" w:hanging="360"/>
      </w:pPr>
      <w:rPr>
        <w:rFonts w:ascii="Symbol" w:hAnsi="Symbol" w:hint="default"/>
      </w:rPr>
    </w:lvl>
    <w:lvl w:ilvl="5" w:tplc="CB588A96" w:tentative="1">
      <w:start w:val="1"/>
      <w:numFmt w:val="bullet"/>
      <w:lvlText w:val=""/>
      <w:lvlJc w:val="left"/>
      <w:pPr>
        <w:tabs>
          <w:tab w:val="num" w:pos="4320"/>
        </w:tabs>
        <w:ind w:left="4320" w:hanging="360"/>
      </w:pPr>
      <w:rPr>
        <w:rFonts w:ascii="Symbol" w:hAnsi="Symbol" w:hint="default"/>
      </w:rPr>
    </w:lvl>
    <w:lvl w:ilvl="6" w:tplc="FF0404BA" w:tentative="1">
      <w:start w:val="1"/>
      <w:numFmt w:val="bullet"/>
      <w:lvlText w:val=""/>
      <w:lvlJc w:val="left"/>
      <w:pPr>
        <w:tabs>
          <w:tab w:val="num" w:pos="5040"/>
        </w:tabs>
        <w:ind w:left="5040" w:hanging="360"/>
      </w:pPr>
      <w:rPr>
        <w:rFonts w:ascii="Symbol" w:hAnsi="Symbol" w:hint="default"/>
      </w:rPr>
    </w:lvl>
    <w:lvl w:ilvl="7" w:tplc="A1DAC3B8" w:tentative="1">
      <w:start w:val="1"/>
      <w:numFmt w:val="bullet"/>
      <w:lvlText w:val=""/>
      <w:lvlJc w:val="left"/>
      <w:pPr>
        <w:tabs>
          <w:tab w:val="num" w:pos="5760"/>
        </w:tabs>
        <w:ind w:left="5760" w:hanging="360"/>
      </w:pPr>
      <w:rPr>
        <w:rFonts w:ascii="Symbol" w:hAnsi="Symbol" w:hint="default"/>
      </w:rPr>
    </w:lvl>
    <w:lvl w:ilvl="8" w:tplc="E320E798" w:tentative="1">
      <w:start w:val="1"/>
      <w:numFmt w:val="bullet"/>
      <w:lvlText w:val=""/>
      <w:lvlJc w:val="left"/>
      <w:pPr>
        <w:tabs>
          <w:tab w:val="num" w:pos="6480"/>
        </w:tabs>
        <w:ind w:left="6480" w:hanging="360"/>
      </w:pPr>
      <w:rPr>
        <w:rFonts w:ascii="Symbol" w:hAnsi="Symbol" w:hint="default"/>
      </w:rPr>
    </w:lvl>
  </w:abstractNum>
  <w:abstractNum w:abstractNumId="57" w15:restartNumberingAfterBreak="0">
    <w:nsid w:val="22C05A96"/>
    <w:multiLevelType w:val="hybridMultilevel"/>
    <w:tmpl w:val="CE32E20A"/>
    <w:lvl w:ilvl="0" w:tplc="08D2AB58">
      <w:start w:val="1"/>
      <w:numFmt w:val="bullet"/>
      <w:lvlText w:val="&gt;"/>
      <w:lvlJc w:val="left"/>
      <w:pPr>
        <w:ind w:left="1211" w:hanging="360"/>
      </w:pPr>
      <w:rPr>
        <w:rFonts w:ascii="HelveticaNeueLT Std Lt" w:hAnsi="HelveticaNeueLT Std Lt" w:hint="default"/>
        <w:sz w:val="20"/>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58" w15:restartNumberingAfterBreak="0">
    <w:nsid w:val="231F078C"/>
    <w:multiLevelType w:val="hybridMultilevel"/>
    <w:tmpl w:val="6AF82188"/>
    <w:lvl w:ilvl="0" w:tplc="D74C2ECA">
      <w:start w:val="1"/>
      <w:numFmt w:val="bullet"/>
      <w:lvlText w:val=""/>
      <w:lvlPicBulletId w:val="1"/>
      <w:lvlJc w:val="left"/>
      <w:pPr>
        <w:tabs>
          <w:tab w:val="num" w:pos="720"/>
        </w:tabs>
        <w:ind w:left="720" w:hanging="360"/>
      </w:pPr>
      <w:rPr>
        <w:rFonts w:ascii="Symbol" w:hAnsi="Symbol" w:hint="default"/>
      </w:rPr>
    </w:lvl>
    <w:lvl w:ilvl="1" w:tplc="5E2E93A0" w:tentative="1">
      <w:start w:val="1"/>
      <w:numFmt w:val="bullet"/>
      <w:lvlText w:val=""/>
      <w:lvlJc w:val="left"/>
      <w:pPr>
        <w:tabs>
          <w:tab w:val="num" w:pos="1440"/>
        </w:tabs>
        <w:ind w:left="1440" w:hanging="360"/>
      </w:pPr>
      <w:rPr>
        <w:rFonts w:ascii="Symbol" w:hAnsi="Symbol" w:hint="default"/>
      </w:rPr>
    </w:lvl>
    <w:lvl w:ilvl="2" w:tplc="FD4E3A28" w:tentative="1">
      <w:start w:val="1"/>
      <w:numFmt w:val="bullet"/>
      <w:lvlText w:val=""/>
      <w:lvlJc w:val="left"/>
      <w:pPr>
        <w:tabs>
          <w:tab w:val="num" w:pos="2160"/>
        </w:tabs>
        <w:ind w:left="2160" w:hanging="360"/>
      </w:pPr>
      <w:rPr>
        <w:rFonts w:ascii="Symbol" w:hAnsi="Symbol" w:hint="default"/>
      </w:rPr>
    </w:lvl>
    <w:lvl w:ilvl="3" w:tplc="9B94FE1C" w:tentative="1">
      <w:start w:val="1"/>
      <w:numFmt w:val="bullet"/>
      <w:lvlText w:val=""/>
      <w:lvlJc w:val="left"/>
      <w:pPr>
        <w:tabs>
          <w:tab w:val="num" w:pos="2880"/>
        </w:tabs>
        <w:ind w:left="2880" w:hanging="360"/>
      </w:pPr>
      <w:rPr>
        <w:rFonts w:ascii="Symbol" w:hAnsi="Symbol" w:hint="default"/>
      </w:rPr>
    </w:lvl>
    <w:lvl w:ilvl="4" w:tplc="2EA022CC" w:tentative="1">
      <w:start w:val="1"/>
      <w:numFmt w:val="bullet"/>
      <w:lvlText w:val=""/>
      <w:lvlJc w:val="left"/>
      <w:pPr>
        <w:tabs>
          <w:tab w:val="num" w:pos="3600"/>
        </w:tabs>
        <w:ind w:left="3600" w:hanging="360"/>
      </w:pPr>
      <w:rPr>
        <w:rFonts w:ascii="Symbol" w:hAnsi="Symbol" w:hint="default"/>
      </w:rPr>
    </w:lvl>
    <w:lvl w:ilvl="5" w:tplc="7866532C" w:tentative="1">
      <w:start w:val="1"/>
      <w:numFmt w:val="bullet"/>
      <w:lvlText w:val=""/>
      <w:lvlJc w:val="left"/>
      <w:pPr>
        <w:tabs>
          <w:tab w:val="num" w:pos="4320"/>
        </w:tabs>
        <w:ind w:left="4320" w:hanging="360"/>
      </w:pPr>
      <w:rPr>
        <w:rFonts w:ascii="Symbol" w:hAnsi="Symbol" w:hint="default"/>
      </w:rPr>
    </w:lvl>
    <w:lvl w:ilvl="6" w:tplc="182EE440" w:tentative="1">
      <w:start w:val="1"/>
      <w:numFmt w:val="bullet"/>
      <w:lvlText w:val=""/>
      <w:lvlJc w:val="left"/>
      <w:pPr>
        <w:tabs>
          <w:tab w:val="num" w:pos="5040"/>
        </w:tabs>
        <w:ind w:left="5040" w:hanging="360"/>
      </w:pPr>
      <w:rPr>
        <w:rFonts w:ascii="Symbol" w:hAnsi="Symbol" w:hint="default"/>
      </w:rPr>
    </w:lvl>
    <w:lvl w:ilvl="7" w:tplc="FB7433BE" w:tentative="1">
      <w:start w:val="1"/>
      <w:numFmt w:val="bullet"/>
      <w:lvlText w:val=""/>
      <w:lvlJc w:val="left"/>
      <w:pPr>
        <w:tabs>
          <w:tab w:val="num" w:pos="5760"/>
        </w:tabs>
        <w:ind w:left="5760" w:hanging="360"/>
      </w:pPr>
      <w:rPr>
        <w:rFonts w:ascii="Symbol" w:hAnsi="Symbol" w:hint="default"/>
      </w:rPr>
    </w:lvl>
    <w:lvl w:ilvl="8" w:tplc="8DD0E8B8" w:tentative="1">
      <w:start w:val="1"/>
      <w:numFmt w:val="bullet"/>
      <w:lvlText w:val=""/>
      <w:lvlJc w:val="left"/>
      <w:pPr>
        <w:tabs>
          <w:tab w:val="num" w:pos="6480"/>
        </w:tabs>
        <w:ind w:left="6480" w:hanging="360"/>
      </w:pPr>
      <w:rPr>
        <w:rFonts w:ascii="Symbol" w:hAnsi="Symbol" w:hint="default"/>
      </w:rPr>
    </w:lvl>
  </w:abstractNum>
  <w:abstractNum w:abstractNumId="59" w15:restartNumberingAfterBreak="0">
    <w:nsid w:val="235768EA"/>
    <w:multiLevelType w:val="hybridMultilevel"/>
    <w:tmpl w:val="5A4EE660"/>
    <w:lvl w:ilvl="0" w:tplc="33BE7B98">
      <w:start w:val="1"/>
      <w:numFmt w:val="bullet"/>
      <w:lvlText w:val="&gt;"/>
      <w:lvlJc w:val="left"/>
      <w:pPr>
        <w:ind w:left="720" w:hanging="360"/>
      </w:pPr>
      <w:rPr>
        <w:rFonts w:ascii="HelveticaNeueLT Std Lt" w:hAnsi="HelveticaNeueLT Std Lt"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248F4178"/>
    <w:multiLevelType w:val="hybridMultilevel"/>
    <w:tmpl w:val="C068F2BC"/>
    <w:lvl w:ilvl="0" w:tplc="C8B69472">
      <w:start w:val="1"/>
      <w:numFmt w:val="bullet"/>
      <w:lvlText w:val=""/>
      <w:lvlPicBulletId w:val="1"/>
      <w:lvlJc w:val="left"/>
      <w:pPr>
        <w:tabs>
          <w:tab w:val="num" w:pos="720"/>
        </w:tabs>
        <w:ind w:left="720" w:hanging="360"/>
      </w:pPr>
      <w:rPr>
        <w:rFonts w:ascii="Symbol" w:hAnsi="Symbol" w:hint="default"/>
      </w:rPr>
    </w:lvl>
    <w:lvl w:ilvl="1" w:tplc="8680605A" w:tentative="1">
      <w:start w:val="1"/>
      <w:numFmt w:val="bullet"/>
      <w:lvlText w:val=""/>
      <w:lvlJc w:val="left"/>
      <w:pPr>
        <w:tabs>
          <w:tab w:val="num" w:pos="1440"/>
        </w:tabs>
        <w:ind w:left="1440" w:hanging="360"/>
      </w:pPr>
      <w:rPr>
        <w:rFonts w:ascii="Symbol" w:hAnsi="Symbol" w:hint="default"/>
      </w:rPr>
    </w:lvl>
    <w:lvl w:ilvl="2" w:tplc="BF4C5D18" w:tentative="1">
      <w:start w:val="1"/>
      <w:numFmt w:val="bullet"/>
      <w:lvlText w:val=""/>
      <w:lvlJc w:val="left"/>
      <w:pPr>
        <w:tabs>
          <w:tab w:val="num" w:pos="2160"/>
        </w:tabs>
        <w:ind w:left="2160" w:hanging="360"/>
      </w:pPr>
      <w:rPr>
        <w:rFonts w:ascii="Symbol" w:hAnsi="Symbol" w:hint="default"/>
      </w:rPr>
    </w:lvl>
    <w:lvl w:ilvl="3" w:tplc="C2085A9C" w:tentative="1">
      <w:start w:val="1"/>
      <w:numFmt w:val="bullet"/>
      <w:lvlText w:val=""/>
      <w:lvlJc w:val="left"/>
      <w:pPr>
        <w:tabs>
          <w:tab w:val="num" w:pos="2880"/>
        </w:tabs>
        <w:ind w:left="2880" w:hanging="360"/>
      </w:pPr>
      <w:rPr>
        <w:rFonts w:ascii="Symbol" w:hAnsi="Symbol" w:hint="default"/>
      </w:rPr>
    </w:lvl>
    <w:lvl w:ilvl="4" w:tplc="6EB8F83E" w:tentative="1">
      <w:start w:val="1"/>
      <w:numFmt w:val="bullet"/>
      <w:lvlText w:val=""/>
      <w:lvlJc w:val="left"/>
      <w:pPr>
        <w:tabs>
          <w:tab w:val="num" w:pos="3600"/>
        </w:tabs>
        <w:ind w:left="3600" w:hanging="360"/>
      </w:pPr>
      <w:rPr>
        <w:rFonts w:ascii="Symbol" w:hAnsi="Symbol" w:hint="default"/>
      </w:rPr>
    </w:lvl>
    <w:lvl w:ilvl="5" w:tplc="E8604A02" w:tentative="1">
      <w:start w:val="1"/>
      <w:numFmt w:val="bullet"/>
      <w:lvlText w:val=""/>
      <w:lvlJc w:val="left"/>
      <w:pPr>
        <w:tabs>
          <w:tab w:val="num" w:pos="4320"/>
        </w:tabs>
        <w:ind w:left="4320" w:hanging="360"/>
      </w:pPr>
      <w:rPr>
        <w:rFonts w:ascii="Symbol" w:hAnsi="Symbol" w:hint="default"/>
      </w:rPr>
    </w:lvl>
    <w:lvl w:ilvl="6" w:tplc="AB0ECE40" w:tentative="1">
      <w:start w:val="1"/>
      <w:numFmt w:val="bullet"/>
      <w:lvlText w:val=""/>
      <w:lvlJc w:val="left"/>
      <w:pPr>
        <w:tabs>
          <w:tab w:val="num" w:pos="5040"/>
        </w:tabs>
        <w:ind w:left="5040" w:hanging="360"/>
      </w:pPr>
      <w:rPr>
        <w:rFonts w:ascii="Symbol" w:hAnsi="Symbol" w:hint="default"/>
      </w:rPr>
    </w:lvl>
    <w:lvl w:ilvl="7" w:tplc="14E29910" w:tentative="1">
      <w:start w:val="1"/>
      <w:numFmt w:val="bullet"/>
      <w:lvlText w:val=""/>
      <w:lvlJc w:val="left"/>
      <w:pPr>
        <w:tabs>
          <w:tab w:val="num" w:pos="5760"/>
        </w:tabs>
        <w:ind w:left="5760" w:hanging="360"/>
      </w:pPr>
      <w:rPr>
        <w:rFonts w:ascii="Symbol" w:hAnsi="Symbol" w:hint="default"/>
      </w:rPr>
    </w:lvl>
    <w:lvl w:ilvl="8" w:tplc="69AC47C8" w:tentative="1">
      <w:start w:val="1"/>
      <w:numFmt w:val="bullet"/>
      <w:lvlText w:val=""/>
      <w:lvlJc w:val="left"/>
      <w:pPr>
        <w:tabs>
          <w:tab w:val="num" w:pos="6480"/>
        </w:tabs>
        <w:ind w:left="6480" w:hanging="360"/>
      </w:pPr>
      <w:rPr>
        <w:rFonts w:ascii="Symbol" w:hAnsi="Symbol" w:hint="default"/>
      </w:rPr>
    </w:lvl>
  </w:abstractNum>
  <w:abstractNum w:abstractNumId="61" w15:restartNumberingAfterBreak="0">
    <w:nsid w:val="24F8661C"/>
    <w:multiLevelType w:val="hybridMultilevel"/>
    <w:tmpl w:val="F404CBB8"/>
    <w:lvl w:ilvl="0" w:tplc="E2E277DE">
      <w:start w:val="1"/>
      <w:numFmt w:val="bullet"/>
      <w:lvlText w:val=""/>
      <w:lvlPicBulletId w:val="1"/>
      <w:lvlJc w:val="left"/>
      <w:pPr>
        <w:tabs>
          <w:tab w:val="num" w:pos="720"/>
        </w:tabs>
        <w:ind w:left="720" w:hanging="360"/>
      </w:pPr>
      <w:rPr>
        <w:rFonts w:ascii="Symbol" w:hAnsi="Symbol" w:hint="default"/>
      </w:rPr>
    </w:lvl>
    <w:lvl w:ilvl="1" w:tplc="0BB0C680" w:tentative="1">
      <w:start w:val="1"/>
      <w:numFmt w:val="bullet"/>
      <w:lvlText w:val=""/>
      <w:lvlJc w:val="left"/>
      <w:pPr>
        <w:tabs>
          <w:tab w:val="num" w:pos="1440"/>
        </w:tabs>
        <w:ind w:left="1440" w:hanging="360"/>
      </w:pPr>
      <w:rPr>
        <w:rFonts w:ascii="Symbol" w:hAnsi="Symbol" w:hint="default"/>
      </w:rPr>
    </w:lvl>
    <w:lvl w:ilvl="2" w:tplc="A34868DA" w:tentative="1">
      <w:start w:val="1"/>
      <w:numFmt w:val="bullet"/>
      <w:lvlText w:val=""/>
      <w:lvlJc w:val="left"/>
      <w:pPr>
        <w:tabs>
          <w:tab w:val="num" w:pos="2160"/>
        </w:tabs>
        <w:ind w:left="2160" w:hanging="360"/>
      </w:pPr>
      <w:rPr>
        <w:rFonts w:ascii="Symbol" w:hAnsi="Symbol" w:hint="default"/>
      </w:rPr>
    </w:lvl>
    <w:lvl w:ilvl="3" w:tplc="143468A2" w:tentative="1">
      <w:start w:val="1"/>
      <w:numFmt w:val="bullet"/>
      <w:lvlText w:val=""/>
      <w:lvlJc w:val="left"/>
      <w:pPr>
        <w:tabs>
          <w:tab w:val="num" w:pos="2880"/>
        </w:tabs>
        <w:ind w:left="2880" w:hanging="360"/>
      </w:pPr>
      <w:rPr>
        <w:rFonts w:ascii="Symbol" w:hAnsi="Symbol" w:hint="default"/>
      </w:rPr>
    </w:lvl>
    <w:lvl w:ilvl="4" w:tplc="A8008C46" w:tentative="1">
      <w:start w:val="1"/>
      <w:numFmt w:val="bullet"/>
      <w:lvlText w:val=""/>
      <w:lvlJc w:val="left"/>
      <w:pPr>
        <w:tabs>
          <w:tab w:val="num" w:pos="3600"/>
        </w:tabs>
        <w:ind w:left="3600" w:hanging="360"/>
      </w:pPr>
      <w:rPr>
        <w:rFonts w:ascii="Symbol" w:hAnsi="Symbol" w:hint="default"/>
      </w:rPr>
    </w:lvl>
    <w:lvl w:ilvl="5" w:tplc="FDAAF500" w:tentative="1">
      <w:start w:val="1"/>
      <w:numFmt w:val="bullet"/>
      <w:lvlText w:val=""/>
      <w:lvlJc w:val="left"/>
      <w:pPr>
        <w:tabs>
          <w:tab w:val="num" w:pos="4320"/>
        </w:tabs>
        <w:ind w:left="4320" w:hanging="360"/>
      </w:pPr>
      <w:rPr>
        <w:rFonts w:ascii="Symbol" w:hAnsi="Symbol" w:hint="default"/>
      </w:rPr>
    </w:lvl>
    <w:lvl w:ilvl="6" w:tplc="B84A93B8" w:tentative="1">
      <w:start w:val="1"/>
      <w:numFmt w:val="bullet"/>
      <w:lvlText w:val=""/>
      <w:lvlJc w:val="left"/>
      <w:pPr>
        <w:tabs>
          <w:tab w:val="num" w:pos="5040"/>
        </w:tabs>
        <w:ind w:left="5040" w:hanging="360"/>
      </w:pPr>
      <w:rPr>
        <w:rFonts w:ascii="Symbol" w:hAnsi="Symbol" w:hint="default"/>
      </w:rPr>
    </w:lvl>
    <w:lvl w:ilvl="7" w:tplc="8188C2BE" w:tentative="1">
      <w:start w:val="1"/>
      <w:numFmt w:val="bullet"/>
      <w:lvlText w:val=""/>
      <w:lvlJc w:val="left"/>
      <w:pPr>
        <w:tabs>
          <w:tab w:val="num" w:pos="5760"/>
        </w:tabs>
        <w:ind w:left="5760" w:hanging="360"/>
      </w:pPr>
      <w:rPr>
        <w:rFonts w:ascii="Symbol" w:hAnsi="Symbol" w:hint="default"/>
      </w:rPr>
    </w:lvl>
    <w:lvl w:ilvl="8" w:tplc="95323A1E" w:tentative="1">
      <w:start w:val="1"/>
      <w:numFmt w:val="bullet"/>
      <w:lvlText w:val=""/>
      <w:lvlJc w:val="left"/>
      <w:pPr>
        <w:tabs>
          <w:tab w:val="num" w:pos="6480"/>
        </w:tabs>
        <w:ind w:left="6480" w:hanging="360"/>
      </w:pPr>
      <w:rPr>
        <w:rFonts w:ascii="Symbol" w:hAnsi="Symbol" w:hint="default"/>
      </w:rPr>
    </w:lvl>
  </w:abstractNum>
  <w:abstractNum w:abstractNumId="62" w15:restartNumberingAfterBreak="0">
    <w:nsid w:val="264973D1"/>
    <w:multiLevelType w:val="hybridMultilevel"/>
    <w:tmpl w:val="811C92C2"/>
    <w:lvl w:ilvl="0" w:tplc="8EE696D6">
      <w:start w:val="1"/>
      <w:numFmt w:val="decimal"/>
      <w:lvlText w:val="Table %1."/>
      <w:lvlJc w:val="lef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268D1D6A"/>
    <w:multiLevelType w:val="hybridMultilevel"/>
    <w:tmpl w:val="F0C2F788"/>
    <w:lvl w:ilvl="0" w:tplc="8EE696D6">
      <w:start w:val="1"/>
      <w:numFmt w:val="decimal"/>
      <w:lvlText w:val="Table %1."/>
      <w:lvlJc w:val="lef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26937F86"/>
    <w:multiLevelType w:val="hybridMultilevel"/>
    <w:tmpl w:val="2F0AF8E8"/>
    <w:lvl w:ilvl="0" w:tplc="08D2AB58">
      <w:start w:val="1"/>
      <w:numFmt w:val="bullet"/>
      <w:lvlText w:val="&gt;"/>
      <w:lvlJc w:val="left"/>
      <w:pPr>
        <w:ind w:left="360" w:hanging="360"/>
      </w:pPr>
      <w:rPr>
        <w:rFonts w:ascii="HelveticaNeueLT Std Lt" w:hAnsi="HelveticaNeueLT Std Lt"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272F0102"/>
    <w:multiLevelType w:val="hybridMultilevel"/>
    <w:tmpl w:val="D14A7CFE"/>
    <w:lvl w:ilvl="0" w:tplc="B386C3BA">
      <w:start w:val="1"/>
      <w:numFmt w:val="bullet"/>
      <w:lvlText w:val=""/>
      <w:lvlPicBulletId w:val="0"/>
      <w:lvlJc w:val="left"/>
      <w:pPr>
        <w:tabs>
          <w:tab w:val="num" w:pos="720"/>
        </w:tabs>
        <w:ind w:left="720" w:hanging="360"/>
      </w:pPr>
      <w:rPr>
        <w:rFonts w:ascii="Symbol" w:hAnsi="Symbol" w:hint="default"/>
      </w:rPr>
    </w:lvl>
    <w:lvl w:ilvl="1" w:tplc="46A48058" w:tentative="1">
      <w:start w:val="1"/>
      <w:numFmt w:val="bullet"/>
      <w:lvlText w:val=""/>
      <w:lvlJc w:val="left"/>
      <w:pPr>
        <w:tabs>
          <w:tab w:val="num" w:pos="1440"/>
        </w:tabs>
        <w:ind w:left="1440" w:hanging="360"/>
      </w:pPr>
      <w:rPr>
        <w:rFonts w:ascii="Symbol" w:hAnsi="Symbol" w:hint="default"/>
      </w:rPr>
    </w:lvl>
    <w:lvl w:ilvl="2" w:tplc="35F0C16C" w:tentative="1">
      <w:start w:val="1"/>
      <w:numFmt w:val="bullet"/>
      <w:lvlText w:val=""/>
      <w:lvlJc w:val="left"/>
      <w:pPr>
        <w:tabs>
          <w:tab w:val="num" w:pos="2160"/>
        </w:tabs>
        <w:ind w:left="2160" w:hanging="360"/>
      </w:pPr>
      <w:rPr>
        <w:rFonts w:ascii="Symbol" w:hAnsi="Symbol" w:hint="default"/>
      </w:rPr>
    </w:lvl>
    <w:lvl w:ilvl="3" w:tplc="E392099A" w:tentative="1">
      <w:start w:val="1"/>
      <w:numFmt w:val="bullet"/>
      <w:lvlText w:val=""/>
      <w:lvlJc w:val="left"/>
      <w:pPr>
        <w:tabs>
          <w:tab w:val="num" w:pos="2880"/>
        </w:tabs>
        <w:ind w:left="2880" w:hanging="360"/>
      </w:pPr>
      <w:rPr>
        <w:rFonts w:ascii="Symbol" w:hAnsi="Symbol" w:hint="default"/>
      </w:rPr>
    </w:lvl>
    <w:lvl w:ilvl="4" w:tplc="A022E740" w:tentative="1">
      <w:start w:val="1"/>
      <w:numFmt w:val="bullet"/>
      <w:lvlText w:val=""/>
      <w:lvlJc w:val="left"/>
      <w:pPr>
        <w:tabs>
          <w:tab w:val="num" w:pos="3600"/>
        </w:tabs>
        <w:ind w:left="3600" w:hanging="360"/>
      </w:pPr>
      <w:rPr>
        <w:rFonts w:ascii="Symbol" w:hAnsi="Symbol" w:hint="default"/>
      </w:rPr>
    </w:lvl>
    <w:lvl w:ilvl="5" w:tplc="49A0D264" w:tentative="1">
      <w:start w:val="1"/>
      <w:numFmt w:val="bullet"/>
      <w:lvlText w:val=""/>
      <w:lvlJc w:val="left"/>
      <w:pPr>
        <w:tabs>
          <w:tab w:val="num" w:pos="4320"/>
        </w:tabs>
        <w:ind w:left="4320" w:hanging="360"/>
      </w:pPr>
      <w:rPr>
        <w:rFonts w:ascii="Symbol" w:hAnsi="Symbol" w:hint="default"/>
      </w:rPr>
    </w:lvl>
    <w:lvl w:ilvl="6" w:tplc="F52EA284" w:tentative="1">
      <w:start w:val="1"/>
      <w:numFmt w:val="bullet"/>
      <w:lvlText w:val=""/>
      <w:lvlJc w:val="left"/>
      <w:pPr>
        <w:tabs>
          <w:tab w:val="num" w:pos="5040"/>
        </w:tabs>
        <w:ind w:left="5040" w:hanging="360"/>
      </w:pPr>
      <w:rPr>
        <w:rFonts w:ascii="Symbol" w:hAnsi="Symbol" w:hint="default"/>
      </w:rPr>
    </w:lvl>
    <w:lvl w:ilvl="7" w:tplc="35F438CE" w:tentative="1">
      <w:start w:val="1"/>
      <w:numFmt w:val="bullet"/>
      <w:lvlText w:val=""/>
      <w:lvlJc w:val="left"/>
      <w:pPr>
        <w:tabs>
          <w:tab w:val="num" w:pos="5760"/>
        </w:tabs>
        <w:ind w:left="5760" w:hanging="360"/>
      </w:pPr>
      <w:rPr>
        <w:rFonts w:ascii="Symbol" w:hAnsi="Symbol" w:hint="default"/>
      </w:rPr>
    </w:lvl>
    <w:lvl w:ilvl="8" w:tplc="BB4AAD1C"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27FE6A93"/>
    <w:multiLevelType w:val="hybridMultilevel"/>
    <w:tmpl w:val="99DE517C"/>
    <w:lvl w:ilvl="0" w:tplc="566CDF56">
      <w:start w:val="1"/>
      <w:numFmt w:val="bullet"/>
      <w:lvlText w:val=""/>
      <w:lvlPicBulletId w:val="1"/>
      <w:lvlJc w:val="left"/>
      <w:pPr>
        <w:tabs>
          <w:tab w:val="num" w:pos="720"/>
        </w:tabs>
        <w:ind w:left="720" w:hanging="360"/>
      </w:pPr>
      <w:rPr>
        <w:rFonts w:ascii="Symbol" w:hAnsi="Symbol" w:hint="default"/>
      </w:rPr>
    </w:lvl>
    <w:lvl w:ilvl="1" w:tplc="91CE3148" w:tentative="1">
      <w:start w:val="1"/>
      <w:numFmt w:val="bullet"/>
      <w:lvlText w:val=""/>
      <w:lvlJc w:val="left"/>
      <w:pPr>
        <w:tabs>
          <w:tab w:val="num" w:pos="1440"/>
        </w:tabs>
        <w:ind w:left="1440" w:hanging="360"/>
      </w:pPr>
      <w:rPr>
        <w:rFonts w:ascii="Symbol" w:hAnsi="Symbol" w:hint="default"/>
      </w:rPr>
    </w:lvl>
    <w:lvl w:ilvl="2" w:tplc="1B6A1ECC" w:tentative="1">
      <w:start w:val="1"/>
      <w:numFmt w:val="bullet"/>
      <w:lvlText w:val=""/>
      <w:lvlJc w:val="left"/>
      <w:pPr>
        <w:tabs>
          <w:tab w:val="num" w:pos="2160"/>
        </w:tabs>
        <w:ind w:left="2160" w:hanging="360"/>
      </w:pPr>
      <w:rPr>
        <w:rFonts w:ascii="Symbol" w:hAnsi="Symbol" w:hint="default"/>
      </w:rPr>
    </w:lvl>
    <w:lvl w:ilvl="3" w:tplc="F26CA75C" w:tentative="1">
      <w:start w:val="1"/>
      <w:numFmt w:val="bullet"/>
      <w:lvlText w:val=""/>
      <w:lvlJc w:val="left"/>
      <w:pPr>
        <w:tabs>
          <w:tab w:val="num" w:pos="2880"/>
        </w:tabs>
        <w:ind w:left="2880" w:hanging="360"/>
      </w:pPr>
      <w:rPr>
        <w:rFonts w:ascii="Symbol" w:hAnsi="Symbol" w:hint="default"/>
      </w:rPr>
    </w:lvl>
    <w:lvl w:ilvl="4" w:tplc="FE56BA84" w:tentative="1">
      <w:start w:val="1"/>
      <w:numFmt w:val="bullet"/>
      <w:lvlText w:val=""/>
      <w:lvlJc w:val="left"/>
      <w:pPr>
        <w:tabs>
          <w:tab w:val="num" w:pos="3600"/>
        </w:tabs>
        <w:ind w:left="3600" w:hanging="360"/>
      </w:pPr>
      <w:rPr>
        <w:rFonts w:ascii="Symbol" w:hAnsi="Symbol" w:hint="default"/>
      </w:rPr>
    </w:lvl>
    <w:lvl w:ilvl="5" w:tplc="D00AA07E" w:tentative="1">
      <w:start w:val="1"/>
      <w:numFmt w:val="bullet"/>
      <w:lvlText w:val=""/>
      <w:lvlJc w:val="left"/>
      <w:pPr>
        <w:tabs>
          <w:tab w:val="num" w:pos="4320"/>
        </w:tabs>
        <w:ind w:left="4320" w:hanging="360"/>
      </w:pPr>
      <w:rPr>
        <w:rFonts w:ascii="Symbol" w:hAnsi="Symbol" w:hint="default"/>
      </w:rPr>
    </w:lvl>
    <w:lvl w:ilvl="6" w:tplc="9198EA24" w:tentative="1">
      <w:start w:val="1"/>
      <w:numFmt w:val="bullet"/>
      <w:lvlText w:val=""/>
      <w:lvlJc w:val="left"/>
      <w:pPr>
        <w:tabs>
          <w:tab w:val="num" w:pos="5040"/>
        </w:tabs>
        <w:ind w:left="5040" w:hanging="360"/>
      </w:pPr>
      <w:rPr>
        <w:rFonts w:ascii="Symbol" w:hAnsi="Symbol" w:hint="default"/>
      </w:rPr>
    </w:lvl>
    <w:lvl w:ilvl="7" w:tplc="F152A1A8" w:tentative="1">
      <w:start w:val="1"/>
      <w:numFmt w:val="bullet"/>
      <w:lvlText w:val=""/>
      <w:lvlJc w:val="left"/>
      <w:pPr>
        <w:tabs>
          <w:tab w:val="num" w:pos="5760"/>
        </w:tabs>
        <w:ind w:left="5760" w:hanging="360"/>
      </w:pPr>
      <w:rPr>
        <w:rFonts w:ascii="Symbol" w:hAnsi="Symbol" w:hint="default"/>
      </w:rPr>
    </w:lvl>
    <w:lvl w:ilvl="8" w:tplc="43A2F828" w:tentative="1">
      <w:start w:val="1"/>
      <w:numFmt w:val="bullet"/>
      <w:lvlText w:val=""/>
      <w:lvlJc w:val="left"/>
      <w:pPr>
        <w:tabs>
          <w:tab w:val="num" w:pos="6480"/>
        </w:tabs>
        <w:ind w:left="6480" w:hanging="360"/>
      </w:pPr>
      <w:rPr>
        <w:rFonts w:ascii="Symbol" w:hAnsi="Symbol" w:hint="default"/>
      </w:rPr>
    </w:lvl>
  </w:abstractNum>
  <w:abstractNum w:abstractNumId="67" w15:restartNumberingAfterBreak="0">
    <w:nsid w:val="290D16ED"/>
    <w:multiLevelType w:val="hybridMultilevel"/>
    <w:tmpl w:val="5E9C2322"/>
    <w:lvl w:ilvl="0" w:tplc="36166560">
      <w:start w:val="1"/>
      <w:numFmt w:val="bullet"/>
      <w:lvlText w:val=""/>
      <w:lvlPicBulletId w:val="0"/>
      <w:lvlJc w:val="left"/>
      <w:pPr>
        <w:tabs>
          <w:tab w:val="num" w:pos="720"/>
        </w:tabs>
        <w:ind w:left="720" w:hanging="360"/>
      </w:pPr>
      <w:rPr>
        <w:rFonts w:ascii="Symbol" w:hAnsi="Symbol" w:hint="default"/>
      </w:rPr>
    </w:lvl>
    <w:lvl w:ilvl="1" w:tplc="A8987714" w:tentative="1">
      <w:start w:val="1"/>
      <w:numFmt w:val="bullet"/>
      <w:lvlText w:val=""/>
      <w:lvlJc w:val="left"/>
      <w:pPr>
        <w:tabs>
          <w:tab w:val="num" w:pos="1440"/>
        </w:tabs>
        <w:ind w:left="1440" w:hanging="360"/>
      </w:pPr>
      <w:rPr>
        <w:rFonts w:ascii="Symbol" w:hAnsi="Symbol" w:hint="default"/>
      </w:rPr>
    </w:lvl>
    <w:lvl w:ilvl="2" w:tplc="ABC8955E" w:tentative="1">
      <w:start w:val="1"/>
      <w:numFmt w:val="bullet"/>
      <w:lvlText w:val=""/>
      <w:lvlJc w:val="left"/>
      <w:pPr>
        <w:tabs>
          <w:tab w:val="num" w:pos="2160"/>
        </w:tabs>
        <w:ind w:left="2160" w:hanging="360"/>
      </w:pPr>
      <w:rPr>
        <w:rFonts w:ascii="Symbol" w:hAnsi="Symbol" w:hint="default"/>
      </w:rPr>
    </w:lvl>
    <w:lvl w:ilvl="3" w:tplc="AB323C76" w:tentative="1">
      <w:start w:val="1"/>
      <w:numFmt w:val="bullet"/>
      <w:lvlText w:val=""/>
      <w:lvlJc w:val="left"/>
      <w:pPr>
        <w:tabs>
          <w:tab w:val="num" w:pos="2880"/>
        </w:tabs>
        <w:ind w:left="2880" w:hanging="360"/>
      </w:pPr>
      <w:rPr>
        <w:rFonts w:ascii="Symbol" w:hAnsi="Symbol" w:hint="default"/>
      </w:rPr>
    </w:lvl>
    <w:lvl w:ilvl="4" w:tplc="DD6C1E68" w:tentative="1">
      <w:start w:val="1"/>
      <w:numFmt w:val="bullet"/>
      <w:lvlText w:val=""/>
      <w:lvlJc w:val="left"/>
      <w:pPr>
        <w:tabs>
          <w:tab w:val="num" w:pos="3600"/>
        </w:tabs>
        <w:ind w:left="3600" w:hanging="360"/>
      </w:pPr>
      <w:rPr>
        <w:rFonts w:ascii="Symbol" w:hAnsi="Symbol" w:hint="default"/>
      </w:rPr>
    </w:lvl>
    <w:lvl w:ilvl="5" w:tplc="E5EC1E34" w:tentative="1">
      <w:start w:val="1"/>
      <w:numFmt w:val="bullet"/>
      <w:lvlText w:val=""/>
      <w:lvlJc w:val="left"/>
      <w:pPr>
        <w:tabs>
          <w:tab w:val="num" w:pos="4320"/>
        </w:tabs>
        <w:ind w:left="4320" w:hanging="360"/>
      </w:pPr>
      <w:rPr>
        <w:rFonts w:ascii="Symbol" w:hAnsi="Symbol" w:hint="default"/>
      </w:rPr>
    </w:lvl>
    <w:lvl w:ilvl="6" w:tplc="205A68DC" w:tentative="1">
      <w:start w:val="1"/>
      <w:numFmt w:val="bullet"/>
      <w:lvlText w:val=""/>
      <w:lvlJc w:val="left"/>
      <w:pPr>
        <w:tabs>
          <w:tab w:val="num" w:pos="5040"/>
        </w:tabs>
        <w:ind w:left="5040" w:hanging="360"/>
      </w:pPr>
      <w:rPr>
        <w:rFonts w:ascii="Symbol" w:hAnsi="Symbol" w:hint="default"/>
      </w:rPr>
    </w:lvl>
    <w:lvl w:ilvl="7" w:tplc="5E44E77A" w:tentative="1">
      <w:start w:val="1"/>
      <w:numFmt w:val="bullet"/>
      <w:lvlText w:val=""/>
      <w:lvlJc w:val="left"/>
      <w:pPr>
        <w:tabs>
          <w:tab w:val="num" w:pos="5760"/>
        </w:tabs>
        <w:ind w:left="5760" w:hanging="360"/>
      </w:pPr>
      <w:rPr>
        <w:rFonts w:ascii="Symbol" w:hAnsi="Symbol" w:hint="default"/>
      </w:rPr>
    </w:lvl>
    <w:lvl w:ilvl="8" w:tplc="F8B016A0" w:tentative="1">
      <w:start w:val="1"/>
      <w:numFmt w:val="bullet"/>
      <w:lvlText w:val=""/>
      <w:lvlJc w:val="left"/>
      <w:pPr>
        <w:tabs>
          <w:tab w:val="num" w:pos="6480"/>
        </w:tabs>
        <w:ind w:left="6480" w:hanging="360"/>
      </w:pPr>
      <w:rPr>
        <w:rFonts w:ascii="Symbol" w:hAnsi="Symbol" w:hint="default"/>
      </w:rPr>
    </w:lvl>
  </w:abstractNum>
  <w:abstractNum w:abstractNumId="68" w15:restartNumberingAfterBreak="0">
    <w:nsid w:val="29D86F20"/>
    <w:multiLevelType w:val="hybridMultilevel"/>
    <w:tmpl w:val="EC724F10"/>
    <w:lvl w:ilvl="0" w:tplc="97DC6D4A">
      <w:start w:val="1"/>
      <w:numFmt w:val="bullet"/>
      <w:lvlText w:val=""/>
      <w:lvlPicBulletId w:val="0"/>
      <w:lvlJc w:val="left"/>
      <w:pPr>
        <w:tabs>
          <w:tab w:val="num" w:pos="720"/>
        </w:tabs>
        <w:ind w:left="720" w:hanging="360"/>
      </w:pPr>
      <w:rPr>
        <w:rFonts w:ascii="Symbol" w:hAnsi="Symbol" w:hint="default"/>
      </w:rPr>
    </w:lvl>
    <w:lvl w:ilvl="1" w:tplc="4508D434" w:tentative="1">
      <w:start w:val="1"/>
      <w:numFmt w:val="bullet"/>
      <w:lvlText w:val=""/>
      <w:lvlJc w:val="left"/>
      <w:pPr>
        <w:tabs>
          <w:tab w:val="num" w:pos="1440"/>
        </w:tabs>
        <w:ind w:left="1440" w:hanging="360"/>
      </w:pPr>
      <w:rPr>
        <w:rFonts w:ascii="Symbol" w:hAnsi="Symbol" w:hint="default"/>
      </w:rPr>
    </w:lvl>
    <w:lvl w:ilvl="2" w:tplc="6E760146" w:tentative="1">
      <w:start w:val="1"/>
      <w:numFmt w:val="bullet"/>
      <w:lvlText w:val=""/>
      <w:lvlJc w:val="left"/>
      <w:pPr>
        <w:tabs>
          <w:tab w:val="num" w:pos="2160"/>
        </w:tabs>
        <w:ind w:left="2160" w:hanging="360"/>
      </w:pPr>
      <w:rPr>
        <w:rFonts w:ascii="Symbol" w:hAnsi="Symbol" w:hint="default"/>
      </w:rPr>
    </w:lvl>
    <w:lvl w:ilvl="3" w:tplc="4F004B1A" w:tentative="1">
      <w:start w:val="1"/>
      <w:numFmt w:val="bullet"/>
      <w:lvlText w:val=""/>
      <w:lvlJc w:val="left"/>
      <w:pPr>
        <w:tabs>
          <w:tab w:val="num" w:pos="2880"/>
        </w:tabs>
        <w:ind w:left="2880" w:hanging="360"/>
      </w:pPr>
      <w:rPr>
        <w:rFonts w:ascii="Symbol" w:hAnsi="Symbol" w:hint="default"/>
      </w:rPr>
    </w:lvl>
    <w:lvl w:ilvl="4" w:tplc="AEE89042" w:tentative="1">
      <w:start w:val="1"/>
      <w:numFmt w:val="bullet"/>
      <w:lvlText w:val=""/>
      <w:lvlJc w:val="left"/>
      <w:pPr>
        <w:tabs>
          <w:tab w:val="num" w:pos="3600"/>
        </w:tabs>
        <w:ind w:left="3600" w:hanging="360"/>
      </w:pPr>
      <w:rPr>
        <w:rFonts w:ascii="Symbol" w:hAnsi="Symbol" w:hint="default"/>
      </w:rPr>
    </w:lvl>
    <w:lvl w:ilvl="5" w:tplc="B494FE4E" w:tentative="1">
      <w:start w:val="1"/>
      <w:numFmt w:val="bullet"/>
      <w:lvlText w:val=""/>
      <w:lvlJc w:val="left"/>
      <w:pPr>
        <w:tabs>
          <w:tab w:val="num" w:pos="4320"/>
        </w:tabs>
        <w:ind w:left="4320" w:hanging="360"/>
      </w:pPr>
      <w:rPr>
        <w:rFonts w:ascii="Symbol" w:hAnsi="Symbol" w:hint="default"/>
      </w:rPr>
    </w:lvl>
    <w:lvl w:ilvl="6" w:tplc="BFDE4252" w:tentative="1">
      <w:start w:val="1"/>
      <w:numFmt w:val="bullet"/>
      <w:lvlText w:val=""/>
      <w:lvlJc w:val="left"/>
      <w:pPr>
        <w:tabs>
          <w:tab w:val="num" w:pos="5040"/>
        </w:tabs>
        <w:ind w:left="5040" w:hanging="360"/>
      </w:pPr>
      <w:rPr>
        <w:rFonts w:ascii="Symbol" w:hAnsi="Symbol" w:hint="default"/>
      </w:rPr>
    </w:lvl>
    <w:lvl w:ilvl="7" w:tplc="9DC66350" w:tentative="1">
      <w:start w:val="1"/>
      <w:numFmt w:val="bullet"/>
      <w:lvlText w:val=""/>
      <w:lvlJc w:val="left"/>
      <w:pPr>
        <w:tabs>
          <w:tab w:val="num" w:pos="5760"/>
        </w:tabs>
        <w:ind w:left="5760" w:hanging="360"/>
      </w:pPr>
      <w:rPr>
        <w:rFonts w:ascii="Symbol" w:hAnsi="Symbol" w:hint="default"/>
      </w:rPr>
    </w:lvl>
    <w:lvl w:ilvl="8" w:tplc="53401BD6" w:tentative="1">
      <w:start w:val="1"/>
      <w:numFmt w:val="bullet"/>
      <w:lvlText w:val=""/>
      <w:lvlJc w:val="left"/>
      <w:pPr>
        <w:tabs>
          <w:tab w:val="num" w:pos="6480"/>
        </w:tabs>
        <w:ind w:left="6480" w:hanging="360"/>
      </w:pPr>
      <w:rPr>
        <w:rFonts w:ascii="Symbol" w:hAnsi="Symbol" w:hint="default"/>
      </w:rPr>
    </w:lvl>
  </w:abstractNum>
  <w:abstractNum w:abstractNumId="69" w15:restartNumberingAfterBreak="0">
    <w:nsid w:val="2A6A60E4"/>
    <w:multiLevelType w:val="hybridMultilevel"/>
    <w:tmpl w:val="C4A8E1EE"/>
    <w:lvl w:ilvl="0" w:tplc="08D2AB58">
      <w:start w:val="1"/>
      <w:numFmt w:val="bullet"/>
      <w:lvlText w:val="&gt;"/>
      <w:lvlJc w:val="left"/>
      <w:pPr>
        <w:ind w:left="720" w:hanging="360"/>
      </w:pPr>
      <w:rPr>
        <w:rFonts w:ascii="HelveticaNeueLT Std Lt" w:hAnsi="HelveticaNeueLT Std Lt"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2AB525FB"/>
    <w:multiLevelType w:val="hybridMultilevel"/>
    <w:tmpl w:val="D0922840"/>
    <w:lvl w:ilvl="0" w:tplc="5746A350">
      <w:numFmt w:val="bullet"/>
      <w:lvlText w:val=""/>
      <w:lvlJc w:val="left"/>
      <w:pPr>
        <w:ind w:left="655" w:hanging="360"/>
      </w:pPr>
      <w:rPr>
        <w:rFonts w:ascii="Wingdings" w:eastAsia="Times New Roman" w:hAnsi="Wingdings" w:cs="Arial" w:hint="default"/>
        <w:b/>
      </w:rPr>
    </w:lvl>
    <w:lvl w:ilvl="1" w:tplc="0C090003" w:tentative="1">
      <w:start w:val="1"/>
      <w:numFmt w:val="bullet"/>
      <w:lvlText w:val="o"/>
      <w:lvlJc w:val="left"/>
      <w:pPr>
        <w:ind w:left="1375" w:hanging="360"/>
      </w:pPr>
      <w:rPr>
        <w:rFonts w:ascii="Courier New" w:hAnsi="Courier New" w:cs="Courier New" w:hint="default"/>
      </w:rPr>
    </w:lvl>
    <w:lvl w:ilvl="2" w:tplc="0C090005" w:tentative="1">
      <w:start w:val="1"/>
      <w:numFmt w:val="bullet"/>
      <w:lvlText w:val=""/>
      <w:lvlJc w:val="left"/>
      <w:pPr>
        <w:ind w:left="2095" w:hanging="360"/>
      </w:pPr>
      <w:rPr>
        <w:rFonts w:ascii="Wingdings" w:hAnsi="Wingdings" w:hint="default"/>
      </w:rPr>
    </w:lvl>
    <w:lvl w:ilvl="3" w:tplc="0C090001" w:tentative="1">
      <w:start w:val="1"/>
      <w:numFmt w:val="bullet"/>
      <w:lvlText w:val=""/>
      <w:lvlJc w:val="left"/>
      <w:pPr>
        <w:ind w:left="2815" w:hanging="360"/>
      </w:pPr>
      <w:rPr>
        <w:rFonts w:ascii="Symbol" w:hAnsi="Symbol" w:hint="default"/>
      </w:rPr>
    </w:lvl>
    <w:lvl w:ilvl="4" w:tplc="0C090003" w:tentative="1">
      <w:start w:val="1"/>
      <w:numFmt w:val="bullet"/>
      <w:lvlText w:val="o"/>
      <w:lvlJc w:val="left"/>
      <w:pPr>
        <w:ind w:left="3535" w:hanging="360"/>
      </w:pPr>
      <w:rPr>
        <w:rFonts w:ascii="Courier New" w:hAnsi="Courier New" w:cs="Courier New" w:hint="default"/>
      </w:rPr>
    </w:lvl>
    <w:lvl w:ilvl="5" w:tplc="0C090005" w:tentative="1">
      <w:start w:val="1"/>
      <w:numFmt w:val="bullet"/>
      <w:lvlText w:val=""/>
      <w:lvlJc w:val="left"/>
      <w:pPr>
        <w:ind w:left="4255" w:hanging="360"/>
      </w:pPr>
      <w:rPr>
        <w:rFonts w:ascii="Wingdings" w:hAnsi="Wingdings" w:hint="default"/>
      </w:rPr>
    </w:lvl>
    <w:lvl w:ilvl="6" w:tplc="0C090001" w:tentative="1">
      <w:start w:val="1"/>
      <w:numFmt w:val="bullet"/>
      <w:lvlText w:val=""/>
      <w:lvlJc w:val="left"/>
      <w:pPr>
        <w:ind w:left="4975" w:hanging="360"/>
      </w:pPr>
      <w:rPr>
        <w:rFonts w:ascii="Symbol" w:hAnsi="Symbol" w:hint="default"/>
      </w:rPr>
    </w:lvl>
    <w:lvl w:ilvl="7" w:tplc="0C090003" w:tentative="1">
      <w:start w:val="1"/>
      <w:numFmt w:val="bullet"/>
      <w:lvlText w:val="o"/>
      <w:lvlJc w:val="left"/>
      <w:pPr>
        <w:ind w:left="5695" w:hanging="360"/>
      </w:pPr>
      <w:rPr>
        <w:rFonts w:ascii="Courier New" w:hAnsi="Courier New" w:cs="Courier New" w:hint="default"/>
      </w:rPr>
    </w:lvl>
    <w:lvl w:ilvl="8" w:tplc="0C090005" w:tentative="1">
      <w:start w:val="1"/>
      <w:numFmt w:val="bullet"/>
      <w:lvlText w:val=""/>
      <w:lvlJc w:val="left"/>
      <w:pPr>
        <w:ind w:left="6415" w:hanging="360"/>
      </w:pPr>
      <w:rPr>
        <w:rFonts w:ascii="Wingdings" w:hAnsi="Wingdings" w:hint="default"/>
      </w:rPr>
    </w:lvl>
  </w:abstractNum>
  <w:abstractNum w:abstractNumId="71" w15:restartNumberingAfterBreak="0">
    <w:nsid w:val="2ADB526F"/>
    <w:multiLevelType w:val="hybridMultilevel"/>
    <w:tmpl w:val="44F4ADCA"/>
    <w:lvl w:ilvl="0" w:tplc="A1E2F840">
      <w:start w:val="1"/>
      <w:numFmt w:val="bullet"/>
      <w:lvlText w:val=""/>
      <w:lvlPicBulletId w:val="1"/>
      <w:lvlJc w:val="left"/>
      <w:pPr>
        <w:tabs>
          <w:tab w:val="num" w:pos="720"/>
        </w:tabs>
        <w:ind w:left="720" w:hanging="360"/>
      </w:pPr>
      <w:rPr>
        <w:rFonts w:ascii="Symbol" w:hAnsi="Symbol" w:hint="default"/>
      </w:rPr>
    </w:lvl>
    <w:lvl w:ilvl="1" w:tplc="3A704626" w:tentative="1">
      <w:start w:val="1"/>
      <w:numFmt w:val="bullet"/>
      <w:lvlText w:val=""/>
      <w:lvlJc w:val="left"/>
      <w:pPr>
        <w:tabs>
          <w:tab w:val="num" w:pos="1440"/>
        </w:tabs>
        <w:ind w:left="1440" w:hanging="360"/>
      </w:pPr>
      <w:rPr>
        <w:rFonts w:ascii="Symbol" w:hAnsi="Symbol" w:hint="default"/>
      </w:rPr>
    </w:lvl>
    <w:lvl w:ilvl="2" w:tplc="83C45534" w:tentative="1">
      <w:start w:val="1"/>
      <w:numFmt w:val="bullet"/>
      <w:lvlText w:val=""/>
      <w:lvlJc w:val="left"/>
      <w:pPr>
        <w:tabs>
          <w:tab w:val="num" w:pos="2160"/>
        </w:tabs>
        <w:ind w:left="2160" w:hanging="360"/>
      </w:pPr>
      <w:rPr>
        <w:rFonts w:ascii="Symbol" w:hAnsi="Symbol" w:hint="default"/>
      </w:rPr>
    </w:lvl>
    <w:lvl w:ilvl="3" w:tplc="3FFC35DC" w:tentative="1">
      <w:start w:val="1"/>
      <w:numFmt w:val="bullet"/>
      <w:lvlText w:val=""/>
      <w:lvlJc w:val="left"/>
      <w:pPr>
        <w:tabs>
          <w:tab w:val="num" w:pos="2880"/>
        </w:tabs>
        <w:ind w:left="2880" w:hanging="360"/>
      </w:pPr>
      <w:rPr>
        <w:rFonts w:ascii="Symbol" w:hAnsi="Symbol" w:hint="default"/>
      </w:rPr>
    </w:lvl>
    <w:lvl w:ilvl="4" w:tplc="BE22D64E" w:tentative="1">
      <w:start w:val="1"/>
      <w:numFmt w:val="bullet"/>
      <w:lvlText w:val=""/>
      <w:lvlJc w:val="left"/>
      <w:pPr>
        <w:tabs>
          <w:tab w:val="num" w:pos="3600"/>
        </w:tabs>
        <w:ind w:left="3600" w:hanging="360"/>
      </w:pPr>
      <w:rPr>
        <w:rFonts w:ascii="Symbol" w:hAnsi="Symbol" w:hint="default"/>
      </w:rPr>
    </w:lvl>
    <w:lvl w:ilvl="5" w:tplc="E892B09C" w:tentative="1">
      <w:start w:val="1"/>
      <w:numFmt w:val="bullet"/>
      <w:lvlText w:val=""/>
      <w:lvlJc w:val="left"/>
      <w:pPr>
        <w:tabs>
          <w:tab w:val="num" w:pos="4320"/>
        </w:tabs>
        <w:ind w:left="4320" w:hanging="360"/>
      </w:pPr>
      <w:rPr>
        <w:rFonts w:ascii="Symbol" w:hAnsi="Symbol" w:hint="default"/>
      </w:rPr>
    </w:lvl>
    <w:lvl w:ilvl="6" w:tplc="C04EFDDE" w:tentative="1">
      <w:start w:val="1"/>
      <w:numFmt w:val="bullet"/>
      <w:lvlText w:val=""/>
      <w:lvlJc w:val="left"/>
      <w:pPr>
        <w:tabs>
          <w:tab w:val="num" w:pos="5040"/>
        </w:tabs>
        <w:ind w:left="5040" w:hanging="360"/>
      </w:pPr>
      <w:rPr>
        <w:rFonts w:ascii="Symbol" w:hAnsi="Symbol" w:hint="default"/>
      </w:rPr>
    </w:lvl>
    <w:lvl w:ilvl="7" w:tplc="D06A031E" w:tentative="1">
      <w:start w:val="1"/>
      <w:numFmt w:val="bullet"/>
      <w:lvlText w:val=""/>
      <w:lvlJc w:val="left"/>
      <w:pPr>
        <w:tabs>
          <w:tab w:val="num" w:pos="5760"/>
        </w:tabs>
        <w:ind w:left="5760" w:hanging="360"/>
      </w:pPr>
      <w:rPr>
        <w:rFonts w:ascii="Symbol" w:hAnsi="Symbol" w:hint="default"/>
      </w:rPr>
    </w:lvl>
    <w:lvl w:ilvl="8" w:tplc="EF262790" w:tentative="1">
      <w:start w:val="1"/>
      <w:numFmt w:val="bullet"/>
      <w:lvlText w:val=""/>
      <w:lvlJc w:val="left"/>
      <w:pPr>
        <w:tabs>
          <w:tab w:val="num" w:pos="6480"/>
        </w:tabs>
        <w:ind w:left="6480" w:hanging="360"/>
      </w:pPr>
      <w:rPr>
        <w:rFonts w:ascii="Symbol" w:hAnsi="Symbol" w:hint="default"/>
      </w:rPr>
    </w:lvl>
  </w:abstractNum>
  <w:abstractNum w:abstractNumId="72" w15:restartNumberingAfterBreak="0">
    <w:nsid w:val="2B6A30D5"/>
    <w:multiLevelType w:val="hybridMultilevel"/>
    <w:tmpl w:val="4ED49D50"/>
    <w:lvl w:ilvl="0" w:tplc="8C229846">
      <w:start w:val="1"/>
      <w:numFmt w:val="bullet"/>
      <w:lvlText w:val=""/>
      <w:lvlPicBulletId w:val="1"/>
      <w:lvlJc w:val="left"/>
      <w:pPr>
        <w:tabs>
          <w:tab w:val="num" w:pos="720"/>
        </w:tabs>
        <w:ind w:left="720" w:hanging="360"/>
      </w:pPr>
      <w:rPr>
        <w:rFonts w:ascii="Symbol" w:hAnsi="Symbol" w:hint="default"/>
      </w:rPr>
    </w:lvl>
    <w:lvl w:ilvl="1" w:tplc="237A8510" w:tentative="1">
      <w:start w:val="1"/>
      <w:numFmt w:val="bullet"/>
      <w:lvlText w:val=""/>
      <w:lvlJc w:val="left"/>
      <w:pPr>
        <w:tabs>
          <w:tab w:val="num" w:pos="1440"/>
        </w:tabs>
        <w:ind w:left="1440" w:hanging="360"/>
      </w:pPr>
      <w:rPr>
        <w:rFonts w:ascii="Symbol" w:hAnsi="Symbol" w:hint="default"/>
      </w:rPr>
    </w:lvl>
    <w:lvl w:ilvl="2" w:tplc="1A78CD40" w:tentative="1">
      <w:start w:val="1"/>
      <w:numFmt w:val="bullet"/>
      <w:lvlText w:val=""/>
      <w:lvlJc w:val="left"/>
      <w:pPr>
        <w:tabs>
          <w:tab w:val="num" w:pos="2160"/>
        </w:tabs>
        <w:ind w:left="2160" w:hanging="360"/>
      </w:pPr>
      <w:rPr>
        <w:rFonts w:ascii="Symbol" w:hAnsi="Symbol" w:hint="default"/>
      </w:rPr>
    </w:lvl>
    <w:lvl w:ilvl="3" w:tplc="CE762CA6" w:tentative="1">
      <w:start w:val="1"/>
      <w:numFmt w:val="bullet"/>
      <w:lvlText w:val=""/>
      <w:lvlJc w:val="left"/>
      <w:pPr>
        <w:tabs>
          <w:tab w:val="num" w:pos="2880"/>
        </w:tabs>
        <w:ind w:left="2880" w:hanging="360"/>
      </w:pPr>
      <w:rPr>
        <w:rFonts w:ascii="Symbol" w:hAnsi="Symbol" w:hint="default"/>
      </w:rPr>
    </w:lvl>
    <w:lvl w:ilvl="4" w:tplc="56B23D0E" w:tentative="1">
      <w:start w:val="1"/>
      <w:numFmt w:val="bullet"/>
      <w:lvlText w:val=""/>
      <w:lvlJc w:val="left"/>
      <w:pPr>
        <w:tabs>
          <w:tab w:val="num" w:pos="3600"/>
        </w:tabs>
        <w:ind w:left="3600" w:hanging="360"/>
      </w:pPr>
      <w:rPr>
        <w:rFonts w:ascii="Symbol" w:hAnsi="Symbol" w:hint="default"/>
      </w:rPr>
    </w:lvl>
    <w:lvl w:ilvl="5" w:tplc="BF408B44" w:tentative="1">
      <w:start w:val="1"/>
      <w:numFmt w:val="bullet"/>
      <w:lvlText w:val=""/>
      <w:lvlJc w:val="left"/>
      <w:pPr>
        <w:tabs>
          <w:tab w:val="num" w:pos="4320"/>
        </w:tabs>
        <w:ind w:left="4320" w:hanging="360"/>
      </w:pPr>
      <w:rPr>
        <w:rFonts w:ascii="Symbol" w:hAnsi="Symbol" w:hint="default"/>
      </w:rPr>
    </w:lvl>
    <w:lvl w:ilvl="6" w:tplc="5BE286DC" w:tentative="1">
      <w:start w:val="1"/>
      <w:numFmt w:val="bullet"/>
      <w:lvlText w:val=""/>
      <w:lvlJc w:val="left"/>
      <w:pPr>
        <w:tabs>
          <w:tab w:val="num" w:pos="5040"/>
        </w:tabs>
        <w:ind w:left="5040" w:hanging="360"/>
      </w:pPr>
      <w:rPr>
        <w:rFonts w:ascii="Symbol" w:hAnsi="Symbol" w:hint="default"/>
      </w:rPr>
    </w:lvl>
    <w:lvl w:ilvl="7" w:tplc="2CCA9DD0" w:tentative="1">
      <w:start w:val="1"/>
      <w:numFmt w:val="bullet"/>
      <w:lvlText w:val=""/>
      <w:lvlJc w:val="left"/>
      <w:pPr>
        <w:tabs>
          <w:tab w:val="num" w:pos="5760"/>
        </w:tabs>
        <w:ind w:left="5760" w:hanging="360"/>
      </w:pPr>
      <w:rPr>
        <w:rFonts w:ascii="Symbol" w:hAnsi="Symbol" w:hint="default"/>
      </w:rPr>
    </w:lvl>
    <w:lvl w:ilvl="8" w:tplc="E07EE958" w:tentative="1">
      <w:start w:val="1"/>
      <w:numFmt w:val="bullet"/>
      <w:lvlText w:val=""/>
      <w:lvlJc w:val="left"/>
      <w:pPr>
        <w:tabs>
          <w:tab w:val="num" w:pos="6480"/>
        </w:tabs>
        <w:ind w:left="6480" w:hanging="360"/>
      </w:pPr>
      <w:rPr>
        <w:rFonts w:ascii="Symbol" w:hAnsi="Symbol" w:hint="default"/>
      </w:rPr>
    </w:lvl>
  </w:abstractNum>
  <w:abstractNum w:abstractNumId="73" w15:restartNumberingAfterBreak="0">
    <w:nsid w:val="2B6E468E"/>
    <w:multiLevelType w:val="hybridMultilevel"/>
    <w:tmpl w:val="04548724"/>
    <w:lvl w:ilvl="0" w:tplc="102E1484">
      <w:start w:val="1"/>
      <w:numFmt w:val="bullet"/>
      <w:lvlText w:val=""/>
      <w:lvlPicBulletId w:val="0"/>
      <w:lvlJc w:val="left"/>
      <w:pPr>
        <w:tabs>
          <w:tab w:val="num" w:pos="720"/>
        </w:tabs>
        <w:ind w:left="720" w:hanging="360"/>
      </w:pPr>
      <w:rPr>
        <w:rFonts w:ascii="Symbol" w:hAnsi="Symbol" w:hint="default"/>
      </w:rPr>
    </w:lvl>
    <w:lvl w:ilvl="1" w:tplc="655A99F0" w:tentative="1">
      <w:start w:val="1"/>
      <w:numFmt w:val="bullet"/>
      <w:lvlText w:val=""/>
      <w:lvlJc w:val="left"/>
      <w:pPr>
        <w:tabs>
          <w:tab w:val="num" w:pos="1440"/>
        </w:tabs>
        <w:ind w:left="1440" w:hanging="360"/>
      </w:pPr>
      <w:rPr>
        <w:rFonts w:ascii="Symbol" w:hAnsi="Symbol" w:hint="default"/>
      </w:rPr>
    </w:lvl>
    <w:lvl w:ilvl="2" w:tplc="201E7032" w:tentative="1">
      <w:start w:val="1"/>
      <w:numFmt w:val="bullet"/>
      <w:lvlText w:val=""/>
      <w:lvlJc w:val="left"/>
      <w:pPr>
        <w:tabs>
          <w:tab w:val="num" w:pos="2160"/>
        </w:tabs>
        <w:ind w:left="2160" w:hanging="360"/>
      </w:pPr>
      <w:rPr>
        <w:rFonts w:ascii="Symbol" w:hAnsi="Symbol" w:hint="default"/>
      </w:rPr>
    </w:lvl>
    <w:lvl w:ilvl="3" w:tplc="D15EBD1A" w:tentative="1">
      <w:start w:val="1"/>
      <w:numFmt w:val="bullet"/>
      <w:lvlText w:val=""/>
      <w:lvlJc w:val="left"/>
      <w:pPr>
        <w:tabs>
          <w:tab w:val="num" w:pos="2880"/>
        </w:tabs>
        <w:ind w:left="2880" w:hanging="360"/>
      </w:pPr>
      <w:rPr>
        <w:rFonts w:ascii="Symbol" w:hAnsi="Symbol" w:hint="default"/>
      </w:rPr>
    </w:lvl>
    <w:lvl w:ilvl="4" w:tplc="3766BFAC" w:tentative="1">
      <w:start w:val="1"/>
      <w:numFmt w:val="bullet"/>
      <w:lvlText w:val=""/>
      <w:lvlJc w:val="left"/>
      <w:pPr>
        <w:tabs>
          <w:tab w:val="num" w:pos="3600"/>
        </w:tabs>
        <w:ind w:left="3600" w:hanging="360"/>
      </w:pPr>
      <w:rPr>
        <w:rFonts w:ascii="Symbol" w:hAnsi="Symbol" w:hint="default"/>
      </w:rPr>
    </w:lvl>
    <w:lvl w:ilvl="5" w:tplc="C49AFF3C" w:tentative="1">
      <w:start w:val="1"/>
      <w:numFmt w:val="bullet"/>
      <w:lvlText w:val=""/>
      <w:lvlJc w:val="left"/>
      <w:pPr>
        <w:tabs>
          <w:tab w:val="num" w:pos="4320"/>
        </w:tabs>
        <w:ind w:left="4320" w:hanging="360"/>
      </w:pPr>
      <w:rPr>
        <w:rFonts w:ascii="Symbol" w:hAnsi="Symbol" w:hint="default"/>
      </w:rPr>
    </w:lvl>
    <w:lvl w:ilvl="6" w:tplc="471202BA" w:tentative="1">
      <w:start w:val="1"/>
      <w:numFmt w:val="bullet"/>
      <w:lvlText w:val=""/>
      <w:lvlJc w:val="left"/>
      <w:pPr>
        <w:tabs>
          <w:tab w:val="num" w:pos="5040"/>
        </w:tabs>
        <w:ind w:left="5040" w:hanging="360"/>
      </w:pPr>
      <w:rPr>
        <w:rFonts w:ascii="Symbol" w:hAnsi="Symbol" w:hint="default"/>
      </w:rPr>
    </w:lvl>
    <w:lvl w:ilvl="7" w:tplc="FF1EE1B0" w:tentative="1">
      <w:start w:val="1"/>
      <w:numFmt w:val="bullet"/>
      <w:lvlText w:val=""/>
      <w:lvlJc w:val="left"/>
      <w:pPr>
        <w:tabs>
          <w:tab w:val="num" w:pos="5760"/>
        </w:tabs>
        <w:ind w:left="5760" w:hanging="360"/>
      </w:pPr>
      <w:rPr>
        <w:rFonts w:ascii="Symbol" w:hAnsi="Symbol" w:hint="default"/>
      </w:rPr>
    </w:lvl>
    <w:lvl w:ilvl="8" w:tplc="D338948C" w:tentative="1">
      <w:start w:val="1"/>
      <w:numFmt w:val="bullet"/>
      <w:lvlText w:val=""/>
      <w:lvlJc w:val="left"/>
      <w:pPr>
        <w:tabs>
          <w:tab w:val="num" w:pos="6480"/>
        </w:tabs>
        <w:ind w:left="6480" w:hanging="360"/>
      </w:pPr>
      <w:rPr>
        <w:rFonts w:ascii="Symbol" w:hAnsi="Symbol" w:hint="default"/>
      </w:rPr>
    </w:lvl>
  </w:abstractNum>
  <w:abstractNum w:abstractNumId="74" w15:restartNumberingAfterBreak="0">
    <w:nsid w:val="2B940C89"/>
    <w:multiLevelType w:val="hybridMultilevel"/>
    <w:tmpl w:val="0C22B6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2CAC02DE"/>
    <w:multiLevelType w:val="hybridMultilevel"/>
    <w:tmpl w:val="85989592"/>
    <w:lvl w:ilvl="0" w:tplc="08D2AB58">
      <w:start w:val="1"/>
      <w:numFmt w:val="bullet"/>
      <w:lvlText w:val="&gt;"/>
      <w:lvlJc w:val="left"/>
      <w:pPr>
        <w:ind w:left="1015" w:hanging="360"/>
      </w:pPr>
      <w:rPr>
        <w:rFonts w:ascii="HelveticaNeueLT Std Lt" w:hAnsi="HelveticaNeueLT Std Lt" w:hint="default"/>
        <w:sz w:val="20"/>
      </w:rPr>
    </w:lvl>
    <w:lvl w:ilvl="1" w:tplc="08D2AB58">
      <w:start w:val="1"/>
      <w:numFmt w:val="bullet"/>
      <w:lvlText w:val="&gt;"/>
      <w:lvlJc w:val="left"/>
      <w:pPr>
        <w:ind w:left="1735" w:hanging="360"/>
      </w:pPr>
      <w:rPr>
        <w:rFonts w:ascii="HelveticaNeueLT Std Lt" w:hAnsi="HelveticaNeueLT Std Lt" w:hint="default"/>
        <w:sz w:val="20"/>
      </w:rPr>
    </w:lvl>
    <w:lvl w:ilvl="2" w:tplc="0C090005" w:tentative="1">
      <w:start w:val="1"/>
      <w:numFmt w:val="bullet"/>
      <w:lvlText w:val=""/>
      <w:lvlJc w:val="left"/>
      <w:pPr>
        <w:ind w:left="2455" w:hanging="360"/>
      </w:pPr>
      <w:rPr>
        <w:rFonts w:ascii="Wingdings" w:hAnsi="Wingdings" w:hint="default"/>
      </w:rPr>
    </w:lvl>
    <w:lvl w:ilvl="3" w:tplc="0C090001" w:tentative="1">
      <w:start w:val="1"/>
      <w:numFmt w:val="bullet"/>
      <w:lvlText w:val=""/>
      <w:lvlJc w:val="left"/>
      <w:pPr>
        <w:ind w:left="3175" w:hanging="360"/>
      </w:pPr>
      <w:rPr>
        <w:rFonts w:ascii="Symbol" w:hAnsi="Symbol" w:hint="default"/>
      </w:rPr>
    </w:lvl>
    <w:lvl w:ilvl="4" w:tplc="0C090003" w:tentative="1">
      <w:start w:val="1"/>
      <w:numFmt w:val="bullet"/>
      <w:lvlText w:val="o"/>
      <w:lvlJc w:val="left"/>
      <w:pPr>
        <w:ind w:left="3895" w:hanging="360"/>
      </w:pPr>
      <w:rPr>
        <w:rFonts w:ascii="Courier New" w:hAnsi="Courier New" w:cs="Courier New" w:hint="default"/>
      </w:rPr>
    </w:lvl>
    <w:lvl w:ilvl="5" w:tplc="0C090005" w:tentative="1">
      <w:start w:val="1"/>
      <w:numFmt w:val="bullet"/>
      <w:lvlText w:val=""/>
      <w:lvlJc w:val="left"/>
      <w:pPr>
        <w:ind w:left="4615" w:hanging="360"/>
      </w:pPr>
      <w:rPr>
        <w:rFonts w:ascii="Wingdings" w:hAnsi="Wingdings" w:hint="default"/>
      </w:rPr>
    </w:lvl>
    <w:lvl w:ilvl="6" w:tplc="0C090001" w:tentative="1">
      <w:start w:val="1"/>
      <w:numFmt w:val="bullet"/>
      <w:lvlText w:val=""/>
      <w:lvlJc w:val="left"/>
      <w:pPr>
        <w:ind w:left="5335" w:hanging="360"/>
      </w:pPr>
      <w:rPr>
        <w:rFonts w:ascii="Symbol" w:hAnsi="Symbol" w:hint="default"/>
      </w:rPr>
    </w:lvl>
    <w:lvl w:ilvl="7" w:tplc="0C090003" w:tentative="1">
      <w:start w:val="1"/>
      <w:numFmt w:val="bullet"/>
      <w:lvlText w:val="o"/>
      <w:lvlJc w:val="left"/>
      <w:pPr>
        <w:ind w:left="6055" w:hanging="360"/>
      </w:pPr>
      <w:rPr>
        <w:rFonts w:ascii="Courier New" w:hAnsi="Courier New" w:cs="Courier New" w:hint="default"/>
      </w:rPr>
    </w:lvl>
    <w:lvl w:ilvl="8" w:tplc="0C090005" w:tentative="1">
      <w:start w:val="1"/>
      <w:numFmt w:val="bullet"/>
      <w:lvlText w:val=""/>
      <w:lvlJc w:val="left"/>
      <w:pPr>
        <w:ind w:left="6775" w:hanging="360"/>
      </w:pPr>
      <w:rPr>
        <w:rFonts w:ascii="Wingdings" w:hAnsi="Wingdings" w:hint="default"/>
      </w:rPr>
    </w:lvl>
  </w:abstractNum>
  <w:abstractNum w:abstractNumId="76" w15:restartNumberingAfterBreak="0">
    <w:nsid w:val="2CBD1A11"/>
    <w:multiLevelType w:val="hybridMultilevel"/>
    <w:tmpl w:val="58C858FA"/>
    <w:lvl w:ilvl="0" w:tplc="08D2AB58">
      <w:start w:val="1"/>
      <w:numFmt w:val="bullet"/>
      <w:lvlText w:val="&gt;"/>
      <w:lvlJc w:val="left"/>
      <w:pPr>
        <w:ind w:left="720" w:hanging="360"/>
      </w:pPr>
      <w:rPr>
        <w:rFonts w:ascii="HelveticaNeueLT Std Lt" w:hAnsi="HelveticaNeueLT Std Lt"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2D3F10F3"/>
    <w:multiLevelType w:val="hybridMultilevel"/>
    <w:tmpl w:val="FBAEFEA0"/>
    <w:lvl w:ilvl="0" w:tplc="08D2AB58">
      <w:start w:val="1"/>
      <w:numFmt w:val="bullet"/>
      <w:lvlText w:val="&gt;"/>
      <w:lvlJc w:val="left"/>
      <w:pPr>
        <w:ind w:left="1469" w:hanging="360"/>
      </w:pPr>
      <w:rPr>
        <w:rFonts w:ascii="HelveticaNeueLT Std Lt" w:hAnsi="HelveticaNeueLT Std Lt" w:hint="default"/>
        <w:sz w:val="20"/>
      </w:rPr>
    </w:lvl>
    <w:lvl w:ilvl="1" w:tplc="0C090003">
      <w:start w:val="1"/>
      <w:numFmt w:val="bullet"/>
      <w:lvlText w:val="o"/>
      <w:lvlJc w:val="left"/>
      <w:pPr>
        <w:ind w:left="2189" w:hanging="360"/>
      </w:pPr>
      <w:rPr>
        <w:rFonts w:ascii="Courier New" w:hAnsi="Courier New" w:cs="Courier New" w:hint="default"/>
      </w:rPr>
    </w:lvl>
    <w:lvl w:ilvl="2" w:tplc="0C090005" w:tentative="1">
      <w:start w:val="1"/>
      <w:numFmt w:val="bullet"/>
      <w:lvlText w:val=""/>
      <w:lvlJc w:val="left"/>
      <w:pPr>
        <w:ind w:left="2909" w:hanging="360"/>
      </w:pPr>
      <w:rPr>
        <w:rFonts w:ascii="Wingdings" w:hAnsi="Wingdings" w:hint="default"/>
      </w:rPr>
    </w:lvl>
    <w:lvl w:ilvl="3" w:tplc="0C090001" w:tentative="1">
      <w:start w:val="1"/>
      <w:numFmt w:val="bullet"/>
      <w:lvlText w:val=""/>
      <w:lvlJc w:val="left"/>
      <w:pPr>
        <w:ind w:left="3629" w:hanging="360"/>
      </w:pPr>
      <w:rPr>
        <w:rFonts w:ascii="Symbol" w:hAnsi="Symbol" w:hint="default"/>
      </w:rPr>
    </w:lvl>
    <w:lvl w:ilvl="4" w:tplc="0C090003" w:tentative="1">
      <w:start w:val="1"/>
      <w:numFmt w:val="bullet"/>
      <w:lvlText w:val="o"/>
      <w:lvlJc w:val="left"/>
      <w:pPr>
        <w:ind w:left="4349" w:hanging="360"/>
      </w:pPr>
      <w:rPr>
        <w:rFonts w:ascii="Courier New" w:hAnsi="Courier New" w:cs="Courier New" w:hint="default"/>
      </w:rPr>
    </w:lvl>
    <w:lvl w:ilvl="5" w:tplc="0C090005" w:tentative="1">
      <w:start w:val="1"/>
      <w:numFmt w:val="bullet"/>
      <w:lvlText w:val=""/>
      <w:lvlJc w:val="left"/>
      <w:pPr>
        <w:ind w:left="5069" w:hanging="360"/>
      </w:pPr>
      <w:rPr>
        <w:rFonts w:ascii="Wingdings" w:hAnsi="Wingdings" w:hint="default"/>
      </w:rPr>
    </w:lvl>
    <w:lvl w:ilvl="6" w:tplc="0C090001" w:tentative="1">
      <w:start w:val="1"/>
      <w:numFmt w:val="bullet"/>
      <w:lvlText w:val=""/>
      <w:lvlJc w:val="left"/>
      <w:pPr>
        <w:ind w:left="5789" w:hanging="360"/>
      </w:pPr>
      <w:rPr>
        <w:rFonts w:ascii="Symbol" w:hAnsi="Symbol" w:hint="default"/>
      </w:rPr>
    </w:lvl>
    <w:lvl w:ilvl="7" w:tplc="0C090003" w:tentative="1">
      <w:start w:val="1"/>
      <w:numFmt w:val="bullet"/>
      <w:lvlText w:val="o"/>
      <w:lvlJc w:val="left"/>
      <w:pPr>
        <w:ind w:left="6509" w:hanging="360"/>
      </w:pPr>
      <w:rPr>
        <w:rFonts w:ascii="Courier New" w:hAnsi="Courier New" w:cs="Courier New" w:hint="default"/>
      </w:rPr>
    </w:lvl>
    <w:lvl w:ilvl="8" w:tplc="0C090005" w:tentative="1">
      <w:start w:val="1"/>
      <w:numFmt w:val="bullet"/>
      <w:lvlText w:val=""/>
      <w:lvlJc w:val="left"/>
      <w:pPr>
        <w:ind w:left="7229" w:hanging="360"/>
      </w:pPr>
      <w:rPr>
        <w:rFonts w:ascii="Wingdings" w:hAnsi="Wingdings" w:hint="default"/>
      </w:rPr>
    </w:lvl>
  </w:abstractNum>
  <w:abstractNum w:abstractNumId="78" w15:restartNumberingAfterBreak="0">
    <w:nsid w:val="2E3D187B"/>
    <w:multiLevelType w:val="hybridMultilevel"/>
    <w:tmpl w:val="A3768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2E9C4DD8"/>
    <w:multiLevelType w:val="hybridMultilevel"/>
    <w:tmpl w:val="40D0BD20"/>
    <w:lvl w:ilvl="0" w:tplc="25B4EB1E">
      <w:start w:val="1"/>
      <w:numFmt w:val="bullet"/>
      <w:lvlText w:val=""/>
      <w:lvlPicBulletId w:val="0"/>
      <w:lvlJc w:val="left"/>
      <w:pPr>
        <w:tabs>
          <w:tab w:val="num" w:pos="720"/>
        </w:tabs>
        <w:ind w:left="720" w:hanging="360"/>
      </w:pPr>
      <w:rPr>
        <w:rFonts w:ascii="Symbol" w:hAnsi="Symbol" w:hint="default"/>
      </w:rPr>
    </w:lvl>
    <w:lvl w:ilvl="1" w:tplc="93DE1D86" w:tentative="1">
      <w:start w:val="1"/>
      <w:numFmt w:val="bullet"/>
      <w:lvlText w:val=""/>
      <w:lvlJc w:val="left"/>
      <w:pPr>
        <w:tabs>
          <w:tab w:val="num" w:pos="1440"/>
        </w:tabs>
        <w:ind w:left="1440" w:hanging="360"/>
      </w:pPr>
      <w:rPr>
        <w:rFonts w:ascii="Symbol" w:hAnsi="Symbol" w:hint="default"/>
      </w:rPr>
    </w:lvl>
    <w:lvl w:ilvl="2" w:tplc="E918C3D8" w:tentative="1">
      <w:start w:val="1"/>
      <w:numFmt w:val="bullet"/>
      <w:lvlText w:val=""/>
      <w:lvlJc w:val="left"/>
      <w:pPr>
        <w:tabs>
          <w:tab w:val="num" w:pos="2160"/>
        </w:tabs>
        <w:ind w:left="2160" w:hanging="360"/>
      </w:pPr>
      <w:rPr>
        <w:rFonts w:ascii="Symbol" w:hAnsi="Symbol" w:hint="default"/>
      </w:rPr>
    </w:lvl>
    <w:lvl w:ilvl="3" w:tplc="D8B05DB4" w:tentative="1">
      <w:start w:val="1"/>
      <w:numFmt w:val="bullet"/>
      <w:lvlText w:val=""/>
      <w:lvlJc w:val="left"/>
      <w:pPr>
        <w:tabs>
          <w:tab w:val="num" w:pos="2880"/>
        </w:tabs>
        <w:ind w:left="2880" w:hanging="360"/>
      </w:pPr>
      <w:rPr>
        <w:rFonts w:ascii="Symbol" w:hAnsi="Symbol" w:hint="default"/>
      </w:rPr>
    </w:lvl>
    <w:lvl w:ilvl="4" w:tplc="26120274" w:tentative="1">
      <w:start w:val="1"/>
      <w:numFmt w:val="bullet"/>
      <w:lvlText w:val=""/>
      <w:lvlJc w:val="left"/>
      <w:pPr>
        <w:tabs>
          <w:tab w:val="num" w:pos="3600"/>
        </w:tabs>
        <w:ind w:left="3600" w:hanging="360"/>
      </w:pPr>
      <w:rPr>
        <w:rFonts w:ascii="Symbol" w:hAnsi="Symbol" w:hint="default"/>
      </w:rPr>
    </w:lvl>
    <w:lvl w:ilvl="5" w:tplc="9B2C6CC4" w:tentative="1">
      <w:start w:val="1"/>
      <w:numFmt w:val="bullet"/>
      <w:lvlText w:val=""/>
      <w:lvlJc w:val="left"/>
      <w:pPr>
        <w:tabs>
          <w:tab w:val="num" w:pos="4320"/>
        </w:tabs>
        <w:ind w:left="4320" w:hanging="360"/>
      </w:pPr>
      <w:rPr>
        <w:rFonts w:ascii="Symbol" w:hAnsi="Symbol" w:hint="default"/>
      </w:rPr>
    </w:lvl>
    <w:lvl w:ilvl="6" w:tplc="16AAD7C0" w:tentative="1">
      <w:start w:val="1"/>
      <w:numFmt w:val="bullet"/>
      <w:lvlText w:val=""/>
      <w:lvlJc w:val="left"/>
      <w:pPr>
        <w:tabs>
          <w:tab w:val="num" w:pos="5040"/>
        </w:tabs>
        <w:ind w:left="5040" w:hanging="360"/>
      </w:pPr>
      <w:rPr>
        <w:rFonts w:ascii="Symbol" w:hAnsi="Symbol" w:hint="default"/>
      </w:rPr>
    </w:lvl>
    <w:lvl w:ilvl="7" w:tplc="6FC427A8" w:tentative="1">
      <w:start w:val="1"/>
      <w:numFmt w:val="bullet"/>
      <w:lvlText w:val=""/>
      <w:lvlJc w:val="left"/>
      <w:pPr>
        <w:tabs>
          <w:tab w:val="num" w:pos="5760"/>
        </w:tabs>
        <w:ind w:left="5760" w:hanging="360"/>
      </w:pPr>
      <w:rPr>
        <w:rFonts w:ascii="Symbol" w:hAnsi="Symbol" w:hint="default"/>
      </w:rPr>
    </w:lvl>
    <w:lvl w:ilvl="8" w:tplc="A21E073A" w:tentative="1">
      <w:start w:val="1"/>
      <w:numFmt w:val="bullet"/>
      <w:lvlText w:val=""/>
      <w:lvlJc w:val="left"/>
      <w:pPr>
        <w:tabs>
          <w:tab w:val="num" w:pos="6480"/>
        </w:tabs>
        <w:ind w:left="6480" w:hanging="360"/>
      </w:pPr>
      <w:rPr>
        <w:rFonts w:ascii="Symbol" w:hAnsi="Symbol" w:hint="default"/>
      </w:rPr>
    </w:lvl>
  </w:abstractNum>
  <w:abstractNum w:abstractNumId="80" w15:restartNumberingAfterBreak="0">
    <w:nsid w:val="2ECF6AC0"/>
    <w:multiLevelType w:val="hybridMultilevel"/>
    <w:tmpl w:val="397A5874"/>
    <w:lvl w:ilvl="0" w:tplc="D88610F4">
      <w:start w:val="1"/>
      <w:numFmt w:val="bullet"/>
      <w:lvlText w:val=""/>
      <w:lvlPicBulletId w:val="1"/>
      <w:lvlJc w:val="left"/>
      <w:pPr>
        <w:tabs>
          <w:tab w:val="num" w:pos="720"/>
        </w:tabs>
        <w:ind w:left="720" w:hanging="360"/>
      </w:pPr>
      <w:rPr>
        <w:rFonts w:ascii="Symbol" w:hAnsi="Symbol" w:hint="default"/>
      </w:rPr>
    </w:lvl>
    <w:lvl w:ilvl="1" w:tplc="D5B287DE" w:tentative="1">
      <w:start w:val="1"/>
      <w:numFmt w:val="bullet"/>
      <w:lvlText w:val=""/>
      <w:lvlJc w:val="left"/>
      <w:pPr>
        <w:tabs>
          <w:tab w:val="num" w:pos="1440"/>
        </w:tabs>
        <w:ind w:left="1440" w:hanging="360"/>
      </w:pPr>
      <w:rPr>
        <w:rFonts w:ascii="Symbol" w:hAnsi="Symbol" w:hint="default"/>
      </w:rPr>
    </w:lvl>
    <w:lvl w:ilvl="2" w:tplc="F9A02250" w:tentative="1">
      <w:start w:val="1"/>
      <w:numFmt w:val="bullet"/>
      <w:lvlText w:val=""/>
      <w:lvlJc w:val="left"/>
      <w:pPr>
        <w:tabs>
          <w:tab w:val="num" w:pos="2160"/>
        </w:tabs>
        <w:ind w:left="2160" w:hanging="360"/>
      </w:pPr>
      <w:rPr>
        <w:rFonts w:ascii="Symbol" w:hAnsi="Symbol" w:hint="default"/>
      </w:rPr>
    </w:lvl>
    <w:lvl w:ilvl="3" w:tplc="CD54896E" w:tentative="1">
      <w:start w:val="1"/>
      <w:numFmt w:val="bullet"/>
      <w:lvlText w:val=""/>
      <w:lvlJc w:val="left"/>
      <w:pPr>
        <w:tabs>
          <w:tab w:val="num" w:pos="2880"/>
        </w:tabs>
        <w:ind w:left="2880" w:hanging="360"/>
      </w:pPr>
      <w:rPr>
        <w:rFonts w:ascii="Symbol" w:hAnsi="Symbol" w:hint="default"/>
      </w:rPr>
    </w:lvl>
    <w:lvl w:ilvl="4" w:tplc="C2D62CC6" w:tentative="1">
      <w:start w:val="1"/>
      <w:numFmt w:val="bullet"/>
      <w:lvlText w:val=""/>
      <w:lvlJc w:val="left"/>
      <w:pPr>
        <w:tabs>
          <w:tab w:val="num" w:pos="3600"/>
        </w:tabs>
        <w:ind w:left="3600" w:hanging="360"/>
      </w:pPr>
      <w:rPr>
        <w:rFonts w:ascii="Symbol" w:hAnsi="Symbol" w:hint="default"/>
      </w:rPr>
    </w:lvl>
    <w:lvl w:ilvl="5" w:tplc="2CF41092" w:tentative="1">
      <w:start w:val="1"/>
      <w:numFmt w:val="bullet"/>
      <w:lvlText w:val=""/>
      <w:lvlJc w:val="left"/>
      <w:pPr>
        <w:tabs>
          <w:tab w:val="num" w:pos="4320"/>
        </w:tabs>
        <w:ind w:left="4320" w:hanging="360"/>
      </w:pPr>
      <w:rPr>
        <w:rFonts w:ascii="Symbol" w:hAnsi="Symbol" w:hint="default"/>
      </w:rPr>
    </w:lvl>
    <w:lvl w:ilvl="6" w:tplc="28EAED3E" w:tentative="1">
      <w:start w:val="1"/>
      <w:numFmt w:val="bullet"/>
      <w:lvlText w:val=""/>
      <w:lvlJc w:val="left"/>
      <w:pPr>
        <w:tabs>
          <w:tab w:val="num" w:pos="5040"/>
        </w:tabs>
        <w:ind w:left="5040" w:hanging="360"/>
      </w:pPr>
      <w:rPr>
        <w:rFonts w:ascii="Symbol" w:hAnsi="Symbol" w:hint="default"/>
      </w:rPr>
    </w:lvl>
    <w:lvl w:ilvl="7" w:tplc="0F08EA06" w:tentative="1">
      <w:start w:val="1"/>
      <w:numFmt w:val="bullet"/>
      <w:lvlText w:val=""/>
      <w:lvlJc w:val="left"/>
      <w:pPr>
        <w:tabs>
          <w:tab w:val="num" w:pos="5760"/>
        </w:tabs>
        <w:ind w:left="5760" w:hanging="360"/>
      </w:pPr>
      <w:rPr>
        <w:rFonts w:ascii="Symbol" w:hAnsi="Symbol" w:hint="default"/>
      </w:rPr>
    </w:lvl>
    <w:lvl w:ilvl="8" w:tplc="946EEA9E" w:tentative="1">
      <w:start w:val="1"/>
      <w:numFmt w:val="bullet"/>
      <w:lvlText w:val=""/>
      <w:lvlJc w:val="left"/>
      <w:pPr>
        <w:tabs>
          <w:tab w:val="num" w:pos="6480"/>
        </w:tabs>
        <w:ind w:left="6480" w:hanging="360"/>
      </w:pPr>
      <w:rPr>
        <w:rFonts w:ascii="Symbol" w:hAnsi="Symbol" w:hint="default"/>
      </w:rPr>
    </w:lvl>
  </w:abstractNum>
  <w:abstractNum w:abstractNumId="81" w15:restartNumberingAfterBreak="0">
    <w:nsid w:val="2EF401C6"/>
    <w:multiLevelType w:val="hybridMultilevel"/>
    <w:tmpl w:val="939C58CC"/>
    <w:lvl w:ilvl="0" w:tplc="F9F0121E">
      <w:start w:val="1"/>
      <w:numFmt w:val="bullet"/>
      <w:lvlText w:val=""/>
      <w:lvlPicBulletId w:val="1"/>
      <w:lvlJc w:val="left"/>
      <w:pPr>
        <w:tabs>
          <w:tab w:val="num" w:pos="720"/>
        </w:tabs>
        <w:ind w:left="720" w:hanging="360"/>
      </w:pPr>
      <w:rPr>
        <w:rFonts w:ascii="Symbol" w:hAnsi="Symbol" w:hint="default"/>
      </w:rPr>
    </w:lvl>
    <w:lvl w:ilvl="1" w:tplc="461E7402" w:tentative="1">
      <w:start w:val="1"/>
      <w:numFmt w:val="bullet"/>
      <w:lvlText w:val=""/>
      <w:lvlJc w:val="left"/>
      <w:pPr>
        <w:tabs>
          <w:tab w:val="num" w:pos="1440"/>
        </w:tabs>
        <w:ind w:left="1440" w:hanging="360"/>
      </w:pPr>
      <w:rPr>
        <w:rFonts w:ascii="Symbol" w:hAnsi="Symbol" w:hint="default"/>
      </w:rPr>
    </w:lvl>
    <w:lvl w:ilvl="2" w:tplc="12E68166" w:tentative="1">
      <w:start w:val="1"/>
      <w:numFmt w:val="bullet"/>
      <w:lvlText w:val=""/>
      <w:lvlJc w:val="left"/>
      <w:pPr>
        <w:tabs>
          <w:tab w:val="num" w:pos="2160"/>
        </w:tabs>
        <w:ind w:left="2160" w:hanging="360"/>
      </w:pPr>
      <w:rPr>
        <w:rFonts w:ascii="Symbol" w:hAnsi="Symbol" w:hint="default"/>
      </w:rPr>
    </w:lvl>
    <w:lvl w:ilvl="3" w:tplc="A9B073C8" w:tentative="1">
      <w:start w:val="1"/>
      <w:numFmt w:val="bullet"/>
      <w:lvlText w:val=""/>
      <w:lvlJc w:val="left"/>
      <w:pPr>
        <w:tabs>
          <w:tab w:val="num" w:pos="2880"/>
        </w:tabs>
        <w:ind w:left="2880" w:hanging="360"/>
      </w:pPr>
      <w:rPr>
        <w:rFonts w:ascii="Symbol" w:hAnsi="Symbol" w:hint="default"/>
      </w:rPr>
    </w:lvl>
    <w:lvl w:ilvl="4" w:tplc="2542AAA8" w:tentative="1">
      <w:start w:val="1"/>
      <w:numFmt w:val="bullet"/>
      <w:lvlText w:val=""/>
      <w:lvlJc w:val="left"/>
      <w:pPr>
        <w:tabs>
          <w:tab w:val="num" w:pos="3600"/>
        </w:tabs>
        <w:ind w:left="3600" w:hanging="360"/>
      </w:pPr>
      <w:rPr>
        <w:rFonts w:ascii="Symbol" w:hAnsi="Symbol" w:hint="default"/>
      </w:rPr>
    </w:lvl>
    <w:lvl w:ilvl="5" w:tplc="7996FB1E" w:tentative="1">
      <w:start w:val="1"/>
      <w:numFmt w:val="bullet"/>
      <w:lvlText w:val=""/>
      <w:lvlJc w:val="left"/>
      <w:pPr>
        <w:tabs>
          <w:tab w:val="num" w:pos="4320"/>
        </w:tabs>
        <w:ind w:left="4320" w:hanging="360"/>
      </w:pPr>
      <w:rPr>
        <w:rFonts w:ascii="Symbol" w:hAnsi="Symbol" w:hint="default"/>
      </w:rPr>
    </w:lvl>
    <w:lvl w:ilvl="6" w:tplc="64D82B36" w:tentative="1">
      <w:start w:val="1"/>
      <w:numFmt w:val="bullet"/>
      <w:lvlText w:val=""/>
      <w:lvlJc w:val="left"/>
      <w:pPr>
        <w:tabs>
          <w:tab w:val="num" w:pos="5040"/>
        </w:tabs>
        <w:ind w:left="5040" w:hanging="360"/>
      </w:pPr>
      <w:rPr>
        <w:rFonts w:ascii="Symbol" w:hAnsi="Symbol" w:hint="default"/>
      </w:rPr>
    </w:lvl>
    <w:lvl w:ilvl="7" w:tplc="2632C1EC" w:tentative="1">
      <w:start w:val="1"/>
      <w:numFmt w:val="bullet"/>
      <w:lvlText w:val=""/>
      <w:lvlJc w:val="left"/>
      <w:pPr>
        <w:tabs>
          <w:tab w:val="num" w:pos="5760"/>
        </w:tabs>
        <w:ind w:left="5760" w:hanging="360"/>
      </w:pPr>
      <w:rPr>
        <w:rFonts w:ascii="Symbol" w:hAnsi="Symbol" w:hint="default"/>
      </w:rPr>
    </w:lvl>
    <w:lvl w:ilvl="8" w:tplc="F6828CCE" w:tentative="1">
      <w:start w:val="1"/>
      <w:numFmt w:val="bullet"/>
      <w:lvlText w:val=""/>
      <w:lvlJc w:val="left"/>
      <w:pPr>
        <w:tabs>
          <w:tab w:val="num" w:pos="6480"/>
        </w:tabs>
        <w:ind w:left="6480" w:hanging="360"/>
      </w:pPr>
      <w:rPr>
        <w:rFonts w:ascii="Symbol" w:hAnsi="Symbol" w:hint="default"/>
      </w:rPr>
    </w:lvl>
  </w:abstractNum>
  <w:abstractNum w:abstractNumId="82" w15:restartNumberingAfterBreak="0">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3" w15:restartNumberingAfterBreak="0">
    <w:nsid w:val="2FF33F37"/>
    <w:multiLevelType w:val="hybridMultilevel"/>
    <w:tmpl w:val="BE64AB4C"/>
    <w:lvl w:ilvl="0" w:tplc="04F8DAF6">
      <w:start w:val="1"/>
      <w:numFmt w:val="bullet"/>
      <w:lvlText w:val=""/>
      <w:lvlPicBulletId w:val="1"/>
      <w:lvlJc w:val="left"/>
      <w:pPr>
        <w:tabs>
          <w:tab w:val="num" w:pos="720"/>
        </w:tabs>
        <w:ind w:left="720" w:hanging="360"/>
      </w:pPr>
      <w:rPr>
        <w:rFonts w:ascii="Symbol" w:hAnsi="Symbol" w:hint="default"/>
      </w:rPr>
    </w:lvl>
    <w:lvl w:ilvl="1" w:tplc="9D542FB6" w:tentative="1">
      <w:start w:val="1"/>
      <w:numFmt w:val="bullet"/>
      <w:lvlText w:val=""/>
      <w:lvlJc w:val="left"/>
      <w:pPr>
        <w:tabs>
          <w:tab w:val="num" w:pos="1440"/>
        </w:tabs>
        <w:ind w:left="1440" w:hanging="360"/>
      </w:pPr>
      <w:rPr>
        <w:rFonts w:ascii="Symbol" w:hAnsi="Symbol" w:hint="default"/>
      </w:rPr>
    </w:lvl>
    <w:lvl w:ilvl="2" w:tplc="DC8A2BF2" w:tentative="1">
      <w:start w:val="1"/>
      <w:numFmt w:val="bullet"/>
      <w:lvlText w:val=""/>
      <w:lvlJc w:val="left"/>
      <w:pPr>
        <w:tabs>
          <w:tab w:val="num" w:pos="2160"/>
        </w:tabs>
        <w:ind w:left="2160" w:hanging="360"/>
      </w:pPr>
      <w:rPr>
        <w:rFonts w:ascii="Symbol" w:hAnsi="Symbol" w:hint="default"/>
      </w:rPr>
    </w:lvl>
    <w:lvl w:ilvl="3" w:tplc="3F4EF312" w:tentative="1">
      <w:start w:val="1"/>
      <w:numFmt w:val="bullet"/>
      <w:lvlText w:val=""/>
      <w:lvlJc w:val="left"/>
      <w:pPr>
        <w:tabs>
          <w:tab w:val="num" w:pos="2880"/>
        </w:tabs>
        <w:ind w:left="2880" w:hanging="360"/>
      </w:pPr>
      <w:rPr>
        <w:rFonts w:ascii="Symbol" w:hAnsi="Symbol" w:hint="default"/>
      </w:rPr>
    </w:lvl>
    <w:lvl w:ilvl="4" w:tplc="95264C0E" w:tentative="1">
      <w:start w:val="1"/>
      <w:numFmt w:val="bullet"/>
      <w:lvlText w:val=""/>
      <w:lvlJc w:val="left"/>
      <w:pPr>
        <w:tabs>
          <w:tab w:val="num" w:pos="3600"/>
        </w:tabs>
        <w:ind w:left="3600" w:hanging="360"/>
      </w:pPr>
      <w:rPr>
        <w:rFonts w:ascii="Symbol" w:hAnsi="Symbol" w:hint="default"/>
      </w:rPr>
    </w:lvl>
    <w:lvl w:ilvl="5" w:tplc="2460CB66" w:tentative="1">
      <w:start w:val="1"/>
      <w:numFmt w:val="bullet"/>
      <w:lvlText w:val=""/>
      <w:lvlJc w:val="left"/>
      <w:pPr>
        <w:tabs>
          <w:tab w:val="num" w:pos="4320"/>
        </w:tabs>
        <w:ind w:left="4320" w:hanging="360"/>
      </w:pPr>
      <w:rPr>
        <w:rFonts w:ascii="Symbol" w:hAnsi="Symbol" w:hint="default"/>
      </w:rPr>
    </w:lvl>
    <w:lvl w:ilvl="6" w:tplc="9F68E70C" w:tentative="1">
      <w:start w:val="1"/>
      <w:numFmt w:val="bullet"/>
      <w:lvlText w:val=""/>
      <w:lvlJc w:val="left"/>
      <w:pPr>
        <w:tabs>
          <w:tab w:val="num" w:pos="5040"/>
        </w:tabs>
        <w:ind w:left="5040" w:hanging="360"/>
      </w:pPr>
      <w:rPr>
        <w:rFonts w:ascii="Symbol" w:hAnsi="Symbol" w:hint="default"/>
      </w:rPr>
    </w:lvl>
    <w:lvl w:ilvl="7" w:tplc="78AE3788" w:tentative="1">
      <w:start w:val="1"/>
      <w:numFmt w:val="bullet"/>
      <w:lvlText w:val=""/>
      <w:lvlJc w:val="left"/>
      <w:pPr>
        <w:tabs>
          <w:tab w:val="num" w:pos="5760"/>
        </w:tabs>
        <w:ind w:left="5760" w:hanging="360"/>
      </w:pPr>
      <w:rPr>
        <w:rFonts w:ascii="Symbol" w:hAnsi="Symbol" w:hint="default"/>
      </w:rPr>
    </w:lvl>
    <w:lvl w:ilvl="8" w:tplc="BDA4EA36" w:tentative="1">
      <w:start w:val="1"/>
      <w:numFmt w:val="bullet"/>
      <w:lvlText w:val=""/>
      <w:lvlJc w:val="left"/>
      <w:pPr>
        <w:tabs>
          <w:tab w:val="num" w:pos="6480"/>
        </w:tabs>
        <w:ind w:left="6480" w:hanging="360"/>
      </w:pPr>
      <w:rPr>
        <w:rFonts w:ascii="Symbol" w:hAnsi="Symbol" w:hint="default"/>
      </w:rPr>
    </w:lvl>
  </w:abstractNum>
  <w:abstractNum w:abstractNumId="84" w15:restartNumberingAfterBreak="0">
    <w:nsid w:val="30530E9F"/>
    <w:multiLevelType w:val="hybridMultilevel"/>
    <w:tmpl w:val="3D94D9FC"/>
    <w:lvl w:ilvl="0" w:tplc="08D2AB58">
      <w:start w:val="1"/>
      <w:numFmt w:val="bullet"/>
      <w:lvlText w:val="&gt;"/>
      <w:lvlJc w:val="left"/>
      <w:pPr>
        <w:ind w:left="360" w:hanging="360"/>
      </w:pPr>
      <w:rPr>
        <w:rFonts w:ascii="HelveticaNeueLT Std Lt" w:hAnsi="HelveticaNeueLT Std Lt"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31A2413F"/>
    <w:multiLevelType w:val="hybridMultilevel"/>
    <w:tmpl w:val="09FA3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31FF50AE"/>
    <w:multiLevelType w:val="hybridMultilevel"/>
    <w:tmpl w:val="DC8C9312"/>
    <w:lvl w:ilvl="0" w:tplc="08D2AB58">
      <w:start w:val="1"/>
      <w:numFmt w:val="bullet"/>
      <w:lvlText w:val="&gt;"/>
      <w:lvlJc w:val="left"/>
      <w:pPr>
        <w:ind w:left="360" w:hanging="360"/>
      </w:pPr>
      <w:rPr>
        <w:rFonts w:ascii="HelveticaNeueLT Std Lt" w:hAnsi="HelveticaNeueLT Std Lt"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32337E1E"/>
    <w:multiLevelType w:val="hybridMultilevel"/>
    <w:tmpl w:val="91DADEC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8" w15:restartNumberingAfterBreak="0">
    <w:nsid w:val="32F81F4F"/>
    <w:multiLevelType w:val="hybridMultilevel"/>
    <w:tmpl w:val="C5FA9E9A"/>
    <w:lvl w:ilvl="0" w:tplc="E63C1E18">
      <w:start w:val="1"/>
      <w:numFmt w:val="bullet"/>
      <w:lvlText w:val=""/>
      <w:lvlPicBulletId w:val="1"/>
      <w:lvlJc w:val="left"/>
      <w:pPr>
        <w:tabs>
          <w:tab w:val="num" w:pos="720"/>
        </w:tabs>
        <w:ind w:left="720" w:hanging="360"/>
      </w:pPr>
      <w:rPr>
        <w:rFonts w:ascii="Symbol" w:hAnsi="Symbol" w:hint="default"/>
      </w:rPr>
    </w:lvl>
    <w:lvl w:ilvl="1" w:tplc="E778A32C" w:tentative="1">
      <w:start w:val="1"/>
      <w:numFmt w:val="bullet"/>
      <w:lvlText w:val=""/>
      <w:lvlJc w:val="left"/>
      <w:pPr>
        <w:tabs>
          <w:tab w:val="num" w:pos="1440"/>
        </w:tabs>
        <w:ind w:left="1440" w:hanging="360"/>
      </w:pPr>
      <w:rPr>
        <w:rFonts w:ascii="Symbol" w:hAnsi="Symbol" w:hint="default"/>
      </w:rPr>
    </w:lvl>
    <w:lvl w:ilvl="2" w:tplc="61EAC4B8" w:tentative="1">
      <w:start w:val="1"/>
      <w:numFmt w:val="bullet"/>
      <w:lvlText w:val=""/>
      <w:lvlJc w:val="left"/>
      <w:pPr>
        <w:tabs>
          <w:tab w:val="num" w:pos="2160"/>
        </w:tabs>
        <w:ind w:left="2160" w:hanging="360"/>
      </w:pPr>
      <w:rPr>
        <w:rFonts w:ascii="Symbol" w:hAnsi="Symbol" w:hint="default"/>
      </w:rPr>
    </w:lvl>
    <w:lvl w:ilvl="3" w:tplc="40B00E3E" w:tentative="1">
      <w:start w:val="1"/>
      <w:numFmt w:val="bullet"/>
      <w:lvlText w:val=""/>
      <w:lvlJc w:val="left"/>
      <w:pPr>
        <w:tabs>
          <w:tab w:val="num" w:pos="2880"/>
        </w:tabs>
        <w:ind w:left="2880" w:hanging="360"/>
      </w:pPr>
      <w:rPr>
        <w:rFonts w:ascii="Symbol" w:hAnsi="Symbol" w:hint="default"/>
      </w:rPr>
    </w:lvl>
    <w:lvl w:ilvl="4" w:tplc="E2CE9F3A" w:tentative="1">
      <w:start w:val="1"/>
      <w:numFmt w:val="bullet"/>
      <w:lvlText w:val=""/>
      <w:lvlJc w:val="left"/>
      <w:pPr>
        <w:tabs>
          <w:tab w:val="num" w:pos="3600"/>
        </w:tabs>
        <w:ind w:left="3600" w:hanging="360"/>
      </w:pPr>
      <w:rPr>
        <w:rFonts w:ascii="Symbol" w:hAnsi="Symbol" w:hint="default"/>
      </w:rPr>
    </w:lvl>
    <w:lvl w:ilvl="5" w:tplc="1612132C" w:tentative="1">
      <w:start w:val="1"/>
      <w:numFmt w:val="bullet"/>
      <w:lvlText w:val=""/>
      <w:lvlJc w:val="left"/>
      <w:pPr>
        <w:tabs>
          <w:tab w:val="num" w:pos="4320"/>
        </w:tabs>
        <w:ind w:left="4320" w:hanging="360"/>
      </w:pPr>
      <w:rPr>
        <w:rFonts w:ascii="Symbol" w:hAnsi="Symbol" w:hint="default"/>
      </w:rPr>
    </w:lvl>
    <w:lvl w:ilvl="6" w:tplc="F95603A8" w:tentative="1">
      <w:start w:val="1"/>
      <w:numFmt w:val="bullet"/>
      <w:lvlText w:val=""/>
      <w:lvlJc w:val="left"/>
      <w:pPr>
        <w:tabs>
          <w:tab w:val="num" w:pos="5040"/>
        </w:tabs>
        <w:ind w:left="5040" w:hanging="360"/>
      </w:pPr>
      <w:rPr>
        <w:rFonts w:ascii="Symbol" w:hAnsi="Symbol" w:hint="default"/>
      </w:rPr>
    </w:lvl>
    <w:lvl w:ilvl="7" w:tplc="9B06A126" w:tentative="1">
      <w:start w:val="1"/>
      <w:numFmt w:val="bullet"/>
      <w:lvlText w:val=""/>
      <w:lvlJc w:val="left"/>
      <w:pPr>
        <w:tabs>
          <w:tab w:val="num" w:pos="5760"/>
        </w:tabs>
        <w:ind w:left="5760" w:hanging="360"/>
      </w:pPr>
      <w:rPr>
        <w:rFonts w:ascii="Symbol" w:hAnsi="Symbol" w:hint="default"/>
      </w:rPr>
    </w:lvl>
    <w:lvl w:ilvl="8" w:tplc="D4F68FDA" w:tentative="1">
      <w:start w:val="1"/>
      <w:numFmt w:val="bullet"/>
      <w:lvlText w:val=""/>
      <w:lvlJc w:val="left"/>
      <w:pPr>
        <w:tabs>
          <w:tab w:val="num" w:pos="6480"/>
        </w:tabs>
        <w:ind w:left="6480" w:hanging="360"/>
      </w:pPr>
      <w:rPr>
        <w:rFonts w:ascii="Symbol" w:hAnsi="Symbol" w:hint="default"/>
      </w:rPr>
    </w:lvl>
  </w:abstractNum>
  <w:abstractNum w:abstractNumId="89" w15:restartNumberingAfterBreak="0">
    <w:nsid w:val="33782DC7"/>
    <w:multiLevelType w:val="hybridMultilevel"/>
    <w:tmpl w:val="CE3C6BEA"/>
    <w:lvl w:ilvl="0" w:tplc="47446D9E">
      <w:start w:val="1"/>
      <w:numFmt w:val="bullet"/>
      <w:lvlText w:val=""/>
      <w:lvlPicBulletId w:val="1"/>
      <w:lvlJc w:val="left"/>
      <w:pPr>
        <w:tabs>
          <w:tab w:val="num" w:pos="720"/>
        </w:tabs>
        <w:ind w:left="720" w:hanging="360"/>
      </w:pPr>
      <w:rPr>
        <w:rFonts w:ascii="Symbol" w:hAnsi="Symbol" w:hint="default"/>
      </w:rPr>
    </w:lvl>
    <w:lvl w:ilvl="1" w:tplc="CA9A2988" w:tentative="1">
      <w:start w:val="1"/>
      <w:numFmt w:val="bullet"/>
      <w:lvlText w:val=""/>
      <w:lvlJc w:val="left"/>
      <w:pPr>
        <w:tabs>
          <w:tab w:val="num" w:pos="1440"/>
        </w:tabs>
        <w:ind w:left="1440" w:hanging="360"/>
      </w:pPr>
      <w:rPr>
        <w:rFonts w:ascii="Symbol" w:hAnsi="Symbol" w:hint="default"/>
      </w:rPr>
    </w:lvl>
    <w:lvl w:ilvl="2" w:tplc="AD96EF02" w:tentative="1">
      <w:start w:val="1"/>
      <w:numFmt w:val="bullet"/>
      <w:lvlText w:val=""/>
      <w:lvlJc w:val="left"/>
      <w:pPr>
        <w:tabs>
          <w:tab w:val="num" w:pos="2160"/>
        </w:tabs>
        <w:ind w:left="2160" w:hanging="360"/>
      </w:pPr>
      <w:rPr>
        <w:rFonts w:ascii="Symbol" w:hAnsi="Symbol" w:hint="default"/>
      </w:rPr>
    </w:lvl>
    <w:lvl w:ilvl="3" w:tplc="A2D6809A" w:tentative="1">
      <w:start w:val="1"/>
      <w:numFmt w:val="bullet"/>
      <w:lvlText w:val=""/>
      <w:lvlJc w:val="left"/>
      <w:pPr>
        <w:tabs>
          <w:tab w:val="num" w:pos="2880"/>
        </w:tabs>
        <w:ind w:left="2880" w:hanging="360"/>
      </w:pPr>
      <w:rPr>
        <w:rFonts w:ascii="Symbol" w:hAnsi="Symbol" w:hint="default"/>
      </w:rPr>
    </w:lvl>
    <w:lvl w:ilvl="4" w:tplc="3AE49788" w:tentative="1">
      <w:start w:val="1"/>
      <w:numFmt w:val="bullet"/>
      <w:lvlText w:val=""/>
      <w:lvlJc w:val="left"/>
      <w:pPr>
        <w:tabs>
          <w:tab w:val="num" w:pos="3600"/>
        </w:tabs>
        <w:ind w:left="3600" w:hanging="360"/>
      </w:pPr>
      <w:rPr>
        <w:rFonts w:ascii="Symbol" w:hAnsi="Symbol" w:hint="default"/>
      </w:rPr>
    </w:lvl>
    <w:lvl w:ilvl="5" w:tplc="C9D0BBE0" w:tentative="1">
      <w:start w:val="1"/>
      <w:numFmt w:val="bullet"/>
      <w:lvlText w:val=""/>
      <w:lvlJc w:val="left"/>
      <w:pPr>
        <w:tabs>
          <w:tab w:val="num" w:pos="4320"/>
        </w:tabs>
        <w:ind w:left="4320" w:hanging="360"/>
      </w:pPr>
      <w:rPr>
        <w:rFonts w:ascii="Symbol" w:hAnsi="Symbol" w:hint="default"/>
      </w:rPr>
    </w:lvl>
    <w:lvl w:ilvl="6" w:tplc="08D08950" w:tentative="1">
      <w:start w:val="1"/>
      <w:numFmt w:val="bullet"/>
      <w:lvlText w:val=""/>
      <w:lvlJc w:val="left"/>
      <w:pPr>
        <w:tabs>
          <w:tab w:val="num" w:pos="5040"/>
        </w:tabs>
        <w:ind w:left="5040" w:hanging="360"/>
      </w:pPr>
      <w:rPr>
        <w:rFonts w:ascii="Symbol" w:hAnsi="Symbol" w:hint="default"/>
      </w:rPr>
    </w:lvl>
    <w:lvl w:ilvl="7" w:tplc="480E947A" w:tentative="1">
      <w:start w:val="1"/>
      <w:numFmt w:val="bullet"/>
      <w:lvlText w:val=""/>
      <w:lvlJc w:val="left"/>
      <w:pPr>
        <w:tabs>
          <w:tab w:val="num" w:pos="5760"/>
        </w:tabs>
        <w:ind w:left="5760" w:hanging="360"/>
      </w:pPr>
      <w:rPr>
        <w:rFonts w:ascii="Symbol" w:hAnsi="Symbol" w:hint="default"/>
      </w:rPr>
    </w:lvl>
    <w:lvl w:ilvl="8" w:tplc="7FDA7568" w:tentative="1">
      <w:start w:val="1"/>
      <w:numFmt w:val="bullet"/>
      <w:lvlText w:val=""/>
      <w:lvlJc w:val="left"/>
      <w:pPr>
        <w:tabs>
          <w:tab w:val="num" w:pos="6480"/>
        </w:tabs>
        <w:ind w:left="6480" w:hanging="360"/>
      </w:pPr>
      <w:rPr>
        <w:rFonts w:ascii="Symbol" w:hAnsi="Symbol" w:hint="default"/>
      </w:rPr>
    </w:lvl>
  </w:abstractNum>
  <w:abstractNum w:abstractNumId="90" w15:restartNumberingAfterBreak="0">
    <w:nsid w:val="347828CE"/>
    <w:multiLevelType w:val="hybridMultilevel"/>
    <w:tmpl w:val="DE202FCA"/>
    <w:lvl w:ilvl="0" w:tplc="0C09000B">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35640D42"/>
    <w:multiLevelType w:val="hybridMultilevel"/>
    <w:tmpl w:val="9CB663A2"/>
    <w:lvl w:ilvl="0" w:tplc="C9427EEE">
      <w:start w:val="1"/>
      <w:numFmt w:val="bullet"/>
      <w:lvlText w:val=""/>
      <w:lvlPicBulletId w:val="1"/>
      <w:lvlJc w:val="left"/>
      <w:pPr>
        <w:tabs>
          <w:tab w:val="num" w:pos="720"/>
        </w:tabs>
        <w:ind w:left="720" w:hanging="360"/>
      </w:pPr>
      <w:rPr>
        <w:rFonts w:ascii="Symbol" w:hAnsi="Symbol" w:hint="default"/>
      </w:rPr>
    </w:lvl>
    <w:lvl w:ilvl="1" w:tplc="DB6442EA" w:tentative="1">
      <w:start w:val="1"/>
      <w:numFmt w:val="bullet"/>
      <w:lvlText w:val=""/>
      <w:lvlJc w:val="left"/>
      <w:pPr>
        <w:tabs>
          <w:tab w:val="num" w:pos="1440"/>
        </w:tabs>
        <w:ind w:left="1440" w:hanging="360"/>
      </w:pPr>
      <w:rPr>
        <w:rFonts w:ascii="Symbol" w:hAnsi="Symbol" w:hint="default"/>
      </w:rPr>
    </w:lvl>
    <w:lvl w:ilvl="2" w:tplc="72908920" w:tentative="1">
      <w:start w:val="1"/>
      <w:numFmt w:val="bullet"/>
      <w:lvlText w:val=""/>
      <w:lvlJc w:val="left"/>
      <w:pPr>
        <w:tabs>
          <w:tab w:val="num" w:pos="2160"/>
        </w:tabs>
        <w:ind w:left="2160" w:hanging="360"/>
      </w:pPr>
      <w:rPr>
        <w:rFonts w:ascii="Symbol" w:hAnsi="Symbol" w:hint="default"/>
      </w:rPr>
    </w:lvl>
    <w:lvl w:ilvl="3" w:tplc="0C4C18AA" w:tentative="1">
      <w:start w:val="1"/>
      <w:numFmt w:val="bullet"/>
      <w:lvlText w:val=""/>
      <w:lvlJc w:val="left"/>
      <w:pPr>
        <w:tabs>
          <w:tab w:val="num" w:pos="2880"/>
        </w:tabs>
        <w:ind w:left="2880" w:hanging="360"/>
      </w:pPr>
      <w:rPr>
        <w:rFonts w:ascii="Symbol" w:hAnsi="Symbol" w:hint="default"/>
      </w:rPr>
    </w:lvl>
    <w:lvl w:ilvl="4" w:tplc="81CE4292" w:tentative="1">
      <w:start w:val="1"/>
      <w:numFmt w:val="bullet"/>
      <w:lvlText w:val=""/>
      <w:lvlJc w:val="left"/>
      <w:pPr>
        <w:tabs>
          <w:tab w:val="num" w:pos="3600"/>
        </w:tabs>
        <w:ind w:left="3600" w:hanging="360"/>
      </w:pPr>
      <w:rPr>
        <w:rFonts w:ascii="Symbol" w:hAnsi="Symbol" w:hint="default"/>
      </w:rPr>
    </w:lvl>
    <w:lvl w:ilvl="5" w:tplc="5F466EBA" w:tentative="1">
      <w:start w:val="1"/>
      <w:numFmt w:val="bullet"/>
      <w:lvlText w:val=""/>
      <w:lvlJc w:val="left"/>
      <w:pPr>
        <w:tabs>
          <w:tab w:val="num" w:pos="4320"/>
        </w:tabs>
        <w:ind w:left="4320" w:hanging="360"/>
      </w:pPr>
      <w:rPr>
        <w:rFonts w:ascii="Symbol" w:hAnsi="Symbol" w:hint="default"/>
      </w:rPr>
    </w:lvl>
    <w:lvl w:ilvl="6" w:tplc="3F089894" w:tentative="1">
      <w:start w:val="1"/>
      <w:numFmt w:val="bullet"/>
      <w:lvlText w:val=""/>
      <w:lvlJc w:val="left"/>
      <w:pPr>
        <w:tabs>
          <w:tab w:val="num" w:pos="5040"/>
        </w:tabs>
        <w:ind w:left="5040" w:hanging="360"/>
      </w:pPr>
      <w:rPr>
        <w:rFonts w:ascii="Symbol" w:hAnsi="Symbol" w:hint="default"/>
      </w:rPr>
    </w:lvl>
    <w:lvl w:ilvl="7" w:tplc="E48461C6" w:tentative="1">
      <w:start w:val="1"/>
      <w:numFmt w:val="bullet"/>
      <w:lvlText w:val=""/>
      <w:lvlJc w:val="left"/>
      <w:pPr>
        <w:tabs>
          <w:tab w:val="num" w:pos="5760"/>
        </w:tabs>
        <w:ind w:left="5760" w:hanging="360"/>
      </w:pPr>
      <w:rPr>
        <w:rFonts w:ascii="Symbol" w:hAnsi="Symbol" w:hint="default"/>
      </w:rPr>
    </w:lvl>
    <w:lvl w:ilvl="8" w:tplc="603089BA" w:tentative="1">
      <w:start w:val="1"/>
      <w:numFmt w:val="bullet"/>
      <w:lvlText w:val=""/>
      <w:lvlJc w:val="left"/>
      <w:pPr>
        <w:tabs>
          <w:tab w:val="num" w:pos="6480"/>
        </w:tabs>
        <w:ind w:left="6480" w:hanging="360"/>
      </w:pPr>
      <w:rPr>
        <w:rFonts w:ascii="Symbol" w:hAnsi="Symbol" w:hint="default"/>
      </w:rPr>
    </w:lvl>
  </w:abstractNum>
  <w:abstractNum w:abstractNumId="92" w15:restartNumberingAfterBreak="0">
    <w:nsid w:val="35843D54"/>
    <w:multiLevelType w:val="hybridMultilevel"/>
    <w:tmpl w:val="EA72D684"/>
    <w:lvl w:ilvl="0" w:tplc="ABB0ED9C">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35884D83"/>
    <w:multiLevelType w:val="hybridMultilevel"/>
    <w:tmpl w:val="F53471AE"/>
    <w:lvl w:ilvl="0" w:tplc="4A20005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36A876A2"/>
    <w:multiLevelType w:val="hybridMultilevel"/>
    <w:tmpl w:val="FFCCE360"/>
    <w:lvl w:ilvl="0" w:tplc="5738805C">
      <w:start w:val="1"/>
      <w:numFmt w:val="bullet"/>
      <w:lvlText w:val=""/>
      <w:lvlPicBulletId w:val="1"/>
      <w:lvlJc w:val="left"/>
      <w:pPr>
        <w:tabs>
          <w:tab w:val="num" w:pos="720"/>
        </w:tabs>
        <w:ind w:left="720" w:hanging="360"/>
      </w:pPr>
      <w:rPr>
        <w:rFonts w:ascii="Symbol" w:hAnsi="Symbol" w:hint="default"/>
      </w:rPr>
    </w:lvl>
    <w:lvl w:ilvl="1" w:tplc="ABC091AA" w:tentative="1">
      <w:start w:val="1"/>
      <w:numFmt w:val="bullet"/>
      <w:lvlText w:val=""/>
      <w:lvlJc w:val="left"/>
      <w:pPr>
        <w:tabs>
          <w:tab w:val="num" w:pos="1440"/>
        </w:tabs>
        <w:ind w:left="1440" w:hanging="360"/>
      </w:pPr>
      <w:rPr>
        <w:rFonts w:ascii="Symbol" w:hAnsi="Symbol" w:hint="default"/>
      </w:rPr>
    </w:lvl>
    <w:lvl w:ilvl="2" w:tplc="B958DBEE" w:tentative="1">
      <w:start w:val="1"/>
      <w:numFmt w:val="bullet"/>
      <w:lvlText w:val=""/>
      <w:lvlJc w:val="left"/>
      <w:pPr>
        <w:tabs>
          <w:tab w:val="num" w:pos="2160"/>
        </w:tabs>
        <w:ind w:left="2160" w:hanging="360"/>
      </w:pPr>
      <w:rPr>
        <w:rFonts w:ascii="Symbol" w:hAnsi="Symbol" w:hint="default"/>
      </w:rPr>
    </w:lvl>
    <w:lvl w:ilvl="3" w:tplc="F1AE4748" w:tentative="1">
      <w:start w:val="1"/>
      <w:numFmt w:val="bullet"/>
      <w:lvlText w:val=""/>
      <w:lvlJc w:val="left"/>
      <w:pPr>
        <w:tabs>
          <w:tab w:val="num" w:pos="2880"/>
        </w:tabs>
        <w:ind w:left="2880" w:hanging="360"/>
      </w:pPr>
      <w:rPr>
        <w:rFonts w:ascii="Symbol" w:hAnsi="Symbol" w:hint="default"/>
      </w:rPr>
    </w:lvl>
    <w:lvl w:ilvl="4" w:tplc="2AC67648" w:tentative="1">
      <w:start w:val="1"/>
      <w:numFmt w:val="bullet"/>
      <w:lvlText w:val=""/>
      <w:lvlJc w:val="left"/>
      <w:pPr>
        <w:tabs>
          <w:tab w:val="num" w:pos="3600"/>
        </w:tabs>
        <w:ind w:left="3600" w:hanging="360"/>
      </w:pPr>
      <w:rPr>
        <w:rFonts w:ascii="Symbol" w:hAnsi="Symbol" w:hint="default"/>
      </w:rPr>
    </w:lvl>
    <w:lvl w:ilvl="5" w:tplc="17520EB6" w:tentative="1">
      <w:start w:val="1"/>
      <w:numFmt w:val="bullet"/>
      <w:lvlText w:val=""/>
      <w:lvlJc w:val="left"/>
      <w:pPr>
        <w:tabs>
          <w:tab w:val="num" w:pos="4320"/>
        </w:tabs>
        <w:ind w:left="4320" w:hanging="360"/>
      </w:pPr>
      <w:rPr>
        <w:rFonts w:ascii="Symbol" w:hAnsi="Symbol" w:hint="default"/>
      </w:rPr>
    </w:lvl>
    <w:lvl w:ilvl="6" w:tplc="BAAAB8D8" w:tentative="1">
      <w:start w:val="1"/>
      <w:numFmt w:val="bullet"/>
      <w:lvlText w:val=""/>
      <w:lvlJc w:val="left"/>
      <w:pPr>
        <w:tabs>
          <w:tab w:val="num" w:pos="5040"/>
        </w:tabs>
        <w:ind w:left="5040" w:hanging="360"/>
      </w:pPr>
      <w:rPr>
        <w:rFonts w:ascii="Symbol" w:hAnsi="Symbol" w:hint="default"/>
      </w:rPr>
    </w:lvl>
    <w:lvl w:ilvl="7" w:tplc="B61846FA" w:tentative="1">
      <w:start w:val="1"/>
      <w:numFmt w:val="bullet"/>
      <w:lvlText w:val=""/>
      <w:lvlJc w:val="left"/>
      <w:pPr>
        <w:tabs>
          <w:tab w:val="num" w:pos="5760"/>
        </w:tabs>
        <w:ind w:left="5760" w:hanging="360"/>
      </w:pPr>
      <w:rPr>
        <w:rFonts w:ascii="Symbol" w:hAnsi="Symbol" w:hint="default"/>
      </w:rPr>
    </w:lvl>
    <w:lvl w:ilvl="8" w:tplc="40BA87A4" w:tentative="1">
      <w:start w:val="1"/>
      <w:numFmt w:val="bullet"/>
      <w:lvlText w:val=""/>
      <w:lvlJc w:val="left"/>
      <w:pPr>
        <w:tabs>
          <w:tab w:val="num" w:pos="6480"/>
        </w:tabs>
        <w:ind w:left="6480" w:hanging="360"/>
      </w:pPr>
      <w:rPr>
        <w:rFonts w:ascii="Symbol" w:hAnsi="Symbol" w:hint="default"/>
      </w:rPr>
    </w:lvl>
  </w:abstractNum>
  <w:abstractNum w:abstractNumId="95" w15:restartNumberingAfterBreak="0">
    <w:nsid w:val="36D41108"/>
    <w:multiLevelType w:val="hybridMultilevel"/>
    <w:tmpl w:val="46DE0C00"/>
    <w:lvl w:ilvl="0" w:tplc="BCC8CE22">
      <w:start w:val="1"/>
      <w:numFmt w:val="bullet"/>
      <w:lvlText w:val=""/>
      <w:lvlPicBulletId w:val="1"/>
      <w:lvlJc w:val="left"/>
      <w:pPr>
        <w:tabs>
          <w:tab w:val="num" w:pos="720"/>
        </w:tabs>
        <w:ind w:left="720" w:hanging="360"/>
      </w:pPr>
      <w:rPr>
        <w:rFonts w:ascii="Symbol" w:hAnsi="Symbol" w:hint="default"/>
      </w:rPr>
    </w:lvl>
    <w:lvl w:ilvl="1" w:tplc="67908E1A" w:tentative="1">
      <w:start w:val="1"/>
      <w:numFmt w:val="bullet"/>
      <w:lvlText w:val=""/>
      <w:lvlJc w:val="left"/>
      <w:pPr>
        <w:tabs>
          <w:tab w:val="num" w:pos="1440"/>
        </w:tabs>
        <w:ind w:left="1440" w:hanging="360"/>
      </w:pPr>
      <w:rPr>
        <w:rFonts w:ascii="Symbol" w:hAnsi="Symbol" w:hint="default"/>
      </w:rPr>
    </w:lvl>
    <w:lvl w:ilvl="2" w:tplc="16A884C4" w:tentative="1">
      <w:start w:val="1"/>
      <w:numFmt w:val="bullet"/>
      <w:lvlText w:val=""/>
      <w:lvlJc w:val="left"/>
      <w:pPr>
        <w:tabs>
          <w:tab w:val="num" w:pos="2160"/>
        </w:tabs>
        <w:ind w:left="2160" w:hanging="360"/>
      </w:pPr>
      <w:rPr>
        <w:rFonts w:ascii="Symbol" w:hAnsi="Symbol" w:hint="default"/>
      </w:rPr>
    </w:lvl>
    <w:lvl w:ilvl="3" w:tplc="C14ADA46" w:tentative="1">
      <w:start w:val="1"/>
      <w:numFmt w:val="bullet"/>
      <w:lvlText w:val=""/>
      <w:lvlJc w:val="left"/>
      <w:pPr>
        <w:tabs>
          <w:tab w:val="num" w:pos="2880"/>
        </w:tabs>
        <w:ind w:left="2880" w:hanging="360"/>
      </w:pPr>
      <w:rPr>
        <w:rFonts w:ascii="Symbol" w:hAnsi="Symbol" w:hint="default"/>
      </w:rPr>
    </w:lvl>
    <w:lvl w:ilvl="4" w:tplc="3A4033D8" w:tentative="1">
      <w:start w:val="1"/>
      <w:numFmt w:val="bullet"/>
      <w:lvlText w:val=""/>
      <w:lvlJc w:val="left"/>
      <w:pPr>
        <w:tabs>
          <w:tab w:val="num" w:pos="3600"/>
        </w:tabs>
        <w:ind w:left="3600" w:hanging="360"/>
      </w:pPr>
      <w:rPr>
        <w:rFonts w:ascii="Symbol" w:hAnsi="Symbol" w:hint="default"/>
      </w:rPr>
    </w:lvl>
    <w:lvl w:ilvl="5" w:tplc="303A6B06" w:tentative="1">
      <w:start w:val="1"/>
      <w:numFmt w:val="bullet"/>
      <w:lvlText w:val=""/>
      <w:lvlJc w:val="left"/>
      <w:pPr>
        <w:tabs>
          <w:tab w:val="num" w:pos="4320"/>
        </w:tabs>
        <w:ind w:left="4320" w:hanging="360"/>
      </w:pPr>
      <w:rPr>
        <w:rFonts w:ascii="Symbol" w:hAnsi="Symbol" w:hint="default"/>
      </w:rPr>
    </w:lvl>
    <w:lvl w:ilvl="6" w:tplc="48BCB9AE" w:tentative="1">
      <w:start w:val="1"/>
      <w:numFmt w:val="bullet"/>
      <w:lvlText w:val=""/>
      <w:lvlJc w:val="left"/>
      <w:pPr>
        <w:tabs>
          <w:tab w:val="num" w:pos="5040"/>
        </w:tabs>
        <w:ind w:left="5040" w:hanging="360"/>
      </w:pPr>
      <w:rPr>
        <w:rFonts w:ascii="Symbol" w:hAnsi="Symbol" w:hint="default"/>
      </w:rPr>
    </w:lvl>
    <w:lvl w:ilvl="7" w:tplc="D70A2870" w:tentative="1">
      <w:start w:val="1"/>
      <w:numFmt w:val="bullet"/>
      <w:lvlText w:val=""/>
      <w:lvlJc w:val="left"/>
      <w:pPr>
        <w:tabs>
          <w:tab w:val="num" w:pos="5760"/>
        </w:tabs>
        <w:ind w:left="5760" w:hanging="360"/>
      </w:pPr>
      <w:rPr>
        <w:rFonts w:ascii="Symbol" w:hAnsi="Symbol" w:hint="default"/>
      </w:rPr>
    </w:lvl>
    <w:lvl w:ilvl="8" w:tplc="A468A6B8" w:tentative="1">
      <w:start w:val="1"/>
      <w:numFmt w:val="bullet"/>
      <w:lvlText w:val=""/>
      <w:lvlJc w:val="left"/>
      <w:pPr>
        <w:tabs>
          <w:tab w:val="num" w:pos="6480"/>
        </w:tabs>
        <w:ind w:left="6480" w:hanging="360"/>
      </w:pPr>
      <w:rPr>
        <w:rFonts w:ascii="Symbol" w:hAnsi="Symbol" w:hint="default"/>
      </w:rPr>
    </w:lvl>
  </w:abstractNum>
  <w:abstractNum w:abstractNumId="96" w15:restartNumberingAfterBreak="0">
    <w:nsid w:val="3731102D"/>
    <w:multiLevelType w:val="hybridMultilevel"/>
    <w:tmpl w:val="95CAD8B2"/>
    <w:lvl w:ilvl="0" w:tplc="08D2AB58">
      <w:start w:val="1"/>
      <w:numFmt w:val="bullet"/>
      <w:lvlText w:val="&gt;"/>
      <w:lvlJc w:val="left"/>
      <w:pPr>
        <w:ind w:left="720" w:hanging="360"/>
      </w:pPr>
      <w:rPr>
        <w:rFonts w:ascii="HelveticaNeueLT Std Lt" w:hAnsi="HelveticaNeueLT Std Lt"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37DD6398"/>
    <w:multiLevelType w:val="hybridMultilevel"/>
    <w:tmpl w:val="0FE87A82"/>
    <w:lvl w:ilvl="0" w:tplc="08D2AB58">
      <w:start w:val="1"/>
      <w:numFmt w:val="bullet"/>
      <w:lvlText w:val="&gt;"/>
      <w:lvlJc w:val="left"/>
      <w:pPr>
        <w:ind w:left="928" w:hanging="360"/>
      </w:pPr>
      <w:rPr>
        <w:rFonts w:ascii="HelveticaNeueLT Std Lt" w:hAnsi="HelveticaNeueLT Std Lt" w:hint="default"/>
        <w:sz w:val="20"/>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98" w15:restartNumberingAfterBreak="0">
    <w:nsid w:val="38A41992"/>
    <w:multiLevelType w:val="hybridMultilevel"/>
    <w:tmpl w:val="593A8AAA"/>
    <w:lvl w:ilvl="0" w:tplc="26F264B2">
      <w:start w:val="1"/>
      <w:numFmt w:val="bullet"/>
      <w:lvlText w:val=""/>
      <w:lvlPicBulletId w:val="0"/>
      <w:lvlJc w:val="left"/>
      <w:pPr>
        <w:tabs>
          <w:tab w:val="num" w:pos="720"/>
        </w:tabs>
        <w:ind w:left="720" w:hanging="360"/>
      </w:pPr>
      <w:rPr>
        <w:rFonts w:ascii="Symbol" w:hAnsi="Symbol" w:hint="default"/>
      </w:rPr>
    </w:lvl>
    <w:lvl w:ilvl="1" w:tplc="5F3E55FA" w:tentative="1">
      <w:start w:val="1"/>
      <w:numFmt w:val="bullet"/>
      <w:lvlText w:val=""/>
      <w:lvlJc w:val="left"/>
      <w:pPr>
        <w:tabs>
          <w:tab w:val="num" w:pos="1440"/>
        </w:tabs>
        <w:ind w:left="1440" w:hanging="360"/>
      </w:pPr>
      <w:rPr>
        <w:rFonts w:ascii="Symbol" w:hAnsi="Symbol" w:hint="default"/>
      </w:rPr>
    </w:lvl>
    <w:lvl w:ilvl="2" w:tplc="B48CF6F0" w:tentative="1">
      <w:start w:val="1"/>
      <w:numFmt w:val="bullet"/>
      <w:lvlText w:val=""/>
      <w:lvlJc w:val="left"/>
      <w:pPr>
        <w:tabs>
          <w:tab w:val="num" w:pos="2160"/>
        </w:tabs>
        <w:ind w:left="2160" w:hanging="360"/>
      </w:pPr>
      <w:rPr>
        <w:rFonts w:ascii="Symbol" w:hAnsi="Symbol" w:hint="default"/>
      </w:rPr>
    </w:lvl>
    <w:lvl w:ilvl="3" w:tplc="21E0EC36" w:tentative="1">
      <w:start w:val="1"/>
      <w:numFmt w:val="bullet"/>
      <w:lvlText w:val=""/>
      <w:lvlJc w:val="left"/>
      <w:pPr>
        <w:tabs>
          <w:tab w:val="num" w:pos="2880"/>
        </w:tabs>
        <w:ind w:left="2880" w:hanging="360"/>
      </w:pPr>
      <w:rPr>
        <w:rFonts w:ascii="Symbol" w:hAnsi="Symbol" w:hint="default"/>
      </w:rPr>
    </w:lvl>
    <w:lvl w:ilvl="4" w:tplc="92A40348" w:tentative="1">
      <w:start w:val="1"/>
      <w:numFmt w:val="bullet"/>
      <w:lvlText w:val=""/>
      <w:lvlJc w:val="left"/>
      <w:pPr>
        <w:tabs>
          <w:tab w:val="num" w:pos="3600"/>
        </w:tabs>
        <w:ind w:left="3600" w:hanging="360"/>
      </w:pPr>
      <w:rPr>
        <w:rFonts w:ascii="Symbol" w:hAnsi="Symbol" w:hint="default"/>
      </w:rPr>
    </w:lvl>
    <w:lvl w:ilvl="5" w:tplc="5A48E17A" w:tentative="1">
      <w:start w:val="1"/>
      <w:numFmt w:val="bullet"/>
      <w:lvlText w:val=""/>
      <w:lvlJc w:val="left"/>
      <w:pPr>
        <w:tabs>
          <w:tab w:val="num" w:pos="4320"/>
        </w:tabs>
        <w:ind w:left="4320" w:hanging="360"/>
      </w:pPr>
      <w:rPr>
        <w:rFonts w:ascii="Symbol" w:hAnsi="Symbol" w:hint="default"/>
      </w:rPr>
    </w:lvl>
    <w:lvl w:ilvl="6" w:tplc="CA3E44C2" w:tentative="1">
      <w:start w:val="1"/>
      <w:numFmt w:val="bullet"/>
      <w:lvlText w:val=""/>
      <w:lvlJc w:val="left"/>
      <w:pPr>
        <w:tabs>
          <w:tab w:val="num" w:pos="5040"/>
        </w:tabs>
        <w:ind w:left="5040" w:hanging="360"/>
      </w:pPr>
      <w:rPr>
        <w:rFonts w:ascii="Symbol" w:hAnsi="Symbol" w:hint="default"/>
      </w:rPr>
    </w:lvl>
    <w:lvl w:ilvl="7" w:tplc="5688F148" w:tentative="1">
      <w:start w:val="1"/>
      <w:numFmt w:val="bullet"/>
      <w:lvlText w:val=""/>
      <w:lvlJc w:val="left"/>
      <w:pPr>
        <w:tabs>
          <w:tab w:val="num" w:pos="5760"/>
        </w:tabs>
        <w:ind w:left="5760" w:hanging="360"/>
      </w:pPr>
      <w:rPr>
        <w:rFonts w:ascii="Symbol" w:hAnsi="Symbol" w:hint="default"/>
      </w:rPr>
    </w:lvl>
    <w:lvl w:ilvl="8" w:tplc="008EBF56" w:tentative="1">
      <w:start w:val="1"/>
      <w:numFmt w:val="bullet"/>
      <w:lvlText w:val=""/>
      <w:lvlJc w:val="left"/>
      <w:pPr>
        <w:tabs>
          <w:tab w:val="num" w:pos="6480"/>
        </w:tabs>
        <w:ind w:left="6480" w:hanging="360"/>
      </w:pPr>
      <w:rPr>
        <w:rFonts w:ascii="Symbol" w:hAnsi="Symbol" w:hint="default"/>
      </w:rPr>
    </w:lvl>
  </w:abstractNum>
  <w:abstractNum w:abstractNumId="99" w15:restartNumberingAfterBreak="0">
    <w:nsid w:val="38F55BFD"/>
    <w:multiLevelType w:val="hybridMultilevel"/>
    <w:tmpl w:val="8A7C5670"/>
    <w:lvl w:ilvl="0" w:tplc="69DA2B86">
      <w:start w:val="1"/>
      <w:numFmt w:val="bullet"/>
      <w:lvlText w:val=""/>
      <w:lvlPicBulletId w:val="1"/>
      <w:lvlJc w:val="left"/>
      <w:pPr>
        <w:tabs>
          <w:tab w:val="num" w:pos="720"/>
        </w:tabs>
        <w:ind w:left="720" w:hanging="360"/>
      </w:pPr>
      <w:rPr>
        <w:rFonts w:ascii="Symbol" w:hAnsi="Symbol" w:hint="default"/>
      </w:rPr>
    </w:lvl>
    <w:lvl w:ilvl="1" w:tplc="0EF2A5CE" w:tentative="1">
      <w:start w:val="1"/>
      <w:numFmt w:val="bullet"/>
      <w:lvlText w:val=""/>
      <w:lvlJc w:val="left"/>
      <w:pPr>
        <w:tabs>
          <w:tab w:val="num" w:pos="1440"/>
        </w:tabs>
        <w:ind w:left="1440" w:hanging="360"/>
      </w:pPr>
      <w:rPr>
        <w:rFonts w:ascii="Symbol" w:hAnsi="Symbol" w:hint="default"/>
      </w:rPr>
    </w:lvl>
    <w:lvl w:ilvl="2" w:tplc="7DD6E996" w:tentative="1">
      <w:start w:val="1"/>
      <w:numFmt w:val="bullet"/>
      <w:lvlText w:val=""/>
      <w:lvlJc w:val="left"/>
      <w:pPr>
        <w:tabs>
          <w:tab w:val="num" w:pos="2160"/>
        </w:tabs>
        <w:ind w:left="2160" w:hanging="360"/>
      </w:pPr>
      <w:rPr>
        <w:rFonts w:ascii="Symbol" w:hAnsi="Symbol" w:hint="default"/>
      </w:rPr>
    </w:lvl>
    <w:lvl w:ilvl="3" w:tplc="B46E5EFA" w:tentative="1">
      <w:start w:val="1"/>
      <w:numFmt w:val="bullet"/>
      <w:lvlText w:val=""/>
      <w:lvlJc w:val="left"/>
      <w:pPr>
        <w:tabs>
          <w:tab w:val="num" w:pos="2880"/>
        </w:tabs>
        <w:ind w:left="2880" w:hanging="360"/>
      </w:pPr>
      <w:rPr>
        <w:rFonts w:ascii="Symbol" w:hAnsi="Symbol" w:hint="default"/>
      </w:rPr>
    </w:lvl>
    <w:lvl w:ilvl="4" w:tplc="02282EC4" w:tentative="1">
      <w:start w:val="1"/>
      <w:numFmt w:val="bullet"/>
      <w:lvlText w:val=""/>
      <w:lvlJc w:val="left"/>
      <w:pPr>
        <w:tabs>
          <w:tab w:val="num" w:pos="3600"/>
        </w:tabs>
        <w:ind w:left="3600" w:hanging="360"/>
      </w:pPr>
      <w:rPr>
        <w:rFonts w:ascii="Symbol" w:hAnsi="Symbol" w:hint="default"/>
      </w:rPr>
    </w:lvl>
    <w:lvl w:ilvl="5" w:tplc="6C185224" w:tentative="1">
      <w:start w:val="1"/>
      <w:numFmt w:val="bullet"/>
      <w:lvlText w:val=""/>
      <w:lvlJc w:val="left"/>
      <w:pPr>
        <w:tabs>
          <w:tab w:val="num" w:pos="4320"/>
        </w:tabs>
        <w:ind w:left="4320" w:hanging="360"/>
      </w:pPr>
      <w:rPr>
        <w:rFonts w:ascii="Symbol" w:hAnsi="Symbol" w:hint="default"/>
      </w:rPr>
    </w:lvl>
    <w:lvl w:ilvl="6" w:tplc="85DCD1CC" w:tentative="1">
      <w:start w:val="1"/>
      <w:numFmt w:val="bullet"/>
      <w:lvlText w:val=""/>
      <w:lvlJc w:val="left"/>
      <w:pPr>
        <w:tabs>
          <w:tab w:val="num" w:pos="5040"/>
        </w:tabs>
        <w:ind w:left="5040" w:hanging="360"/>
      </w:pPr>
      <w:rPr>
        <w:rFonts w:ascii="Symbol" w:hAnsi="Symbol" w:hint="default"/>
      </w:rPr>
    </w:lvl>
    <w:lvl w:ilvl="7" w:tplc="2B26C376" w:tentative="1">
      <w:start w:val="1"/>
      <w:numFmt w:val="bullet"/>
      <w:lvlText w:val=""/>
      <w:lvlJc w:val="left"/>
      <w:pPr>
        <w:tabs>
          <w:tab w:val="num" w:pos="5760"/>
        </w:tabs>
        <w:ind w:left="5760" w:hanging="360"/>
      </w:pPr>
      <w:rPr>
        <w:rFonts w:ascii="Symbol" w:hAnsi="Symbol" w:hint="default"/>
      </w:rPr>
    </w:lvl>
    <w:lvl w:ilvl="8" w:tplc="08B67350" w:tentative="1">
      <w:start w:val="1"/>
      <w:numFmt w:val="bullet"/>
      <w:lvlText w:val=""/>
      <w:lvlJc w:val="left"/>
      <w:pPr>
        <w:tabs>
          <w:tab w:val="num" w:pos="6480"/>
        </w:tabs>
        <w:ind w:left="6480" w:hanging="360"/>
      </w:pPr>
      <w:rPr>
        <w:rFonts w:ascii="Symbol" w:hAnsi="Symbol" w:hint="default"/>
      </w:rPr>
    </w:lvl>
  </w:abstractNum>
  <w:abstractNum w:abstractNumId="100" w15:restartNumberingAfterBreak="0">
    <w:nsid w:val="390251C4"/>
    <w:multiLevelType w:val="hybridMultilevel"/>
    <w:tmpl w:val="4096073C"/>
    <w:lvl w:ilvl="0" w:tplc="EE724686">
      <w:start w:val="1"/>
      <w:numFmt w:val="bullet"/>
      <w:lvlText w:val=""/>
      <w:lvlPicBulletId w:val="1"/>
      <w:lvlJc w:val="left"/>
      <w:pPr>
        <w:tabs>
          <w:tab w:val="num" w:pos="720"/>
        </w:tabs>
        <w:ind w:left="720" w:hanging="360"/>
      </w:pPr>
      <w:rPr>
        <w:rFonts w:ascii="Symbol" w:hAnsi="Symbol" w:hint="default"/>
      </w:rPr>
    </w:lvl>
    <w:lvl w:ilvl="1" w:tplc="DC509B4E" w:tentative="1">
      <w:start w:val="1"/>
      <w:numFmt w:val="bullet"/>
      <w:lvlText w:val=""/>
      <w:lvlJc w:val="left"/>
      <w:pPr>
        <w:tabs>
          <w:tab w:val="num" w:pos="1440"/>
        </w:tabs>
        <w:ind w:left="1440" w:hanging="360"/>
      </w:pPr>
      <w:rPr>
        <w:rFonts w:ascii="Symbol" w:hAnsi="Symbol" w:hint="default"/>
      </w:rPr>
    </w:lvl>
    <w:lvl w:ilvl="2" w:tplc="81A6634A" w:tentative="1">
      <w:start w:val="1"/>
      <w:numFmt w:val="bullet"/>
      <w:lvlText w:val=""/>
      <w:lvlJc w:val="left"/>
      <w:pPr>
        <w:tabs>
          <w:tab w:val="num" w:pos="2160"/>
        </w:tabs>
        <w:ind w:left="2160" w:hanging="360"/>
      </w:pPr>
      <w:rPr>
        <w:rFonts w:ascii="Symbol" w:hAnsi="Symbol" w:hint="default"/>
      </w:rPr>
    </w:lvl>
    <w:lvl w:ilvl="3" w:tplc="6B3C5618" w:tentative="1">
      <w:start w:val="1"/>
      <w:numFmt w:val="bullet"/>
      <w:lvlText w:val=""/>
      <w:lvlJc w:val="left"/>
      <w:pPr>
        <w:tabs>
          <w:tab w:val="num" w:pos="2880"/>
        </w:tabs>
        <w:ind w:left="2880" w:hanging="360"/>
      </w:pPr>
      <w:rPr>
        <w:rFonts w:ascii="Symbol" w:hAnsi="Symbol" w:hint="default"/>
      </w:rPr>
    </w:lvl>
    <w:lvl w:ilvl="4" w:tplc="55C254A4" w:tentative="1">
      <w:start w:val="1"/>
      <w:numFmt w:val="bullet"/>
      <w:lvlText w:val=""/>
      <w:lvlJc w:val="left"/>
      <w:pPr>
        <w:tabs>
          <w:tab w:val="num" w:pos="3600"/>
        </w:tabs>
        <w:ind w:left="3600" w:hanging="360"/>
      </w:pPr>
      <w:rPr>
        <w:rFonts w:ascii="Symbol" w:hAnsi="Symbol" w:hint="default"/>
      </w:rPr>
    </w:lvl>
    <w:lvl w:ilvl="5" w:tplc="875A1E04" w:tentative="1">
      <w:start w:val="1"/>
      <w:numFmt w:val="bullet"/>
      <w:lvlText w:val=""/>
      <w:lvlJc w:val="left"/>
      <w:pPr>
        <w:tabs>
          <w:tab w:val="num" w:pos="4320"/>
        </w:tabs>
        <w:ind w:left="4320" w:hanging="360"/>
      </w:pPr>
      <w:rPr>
        <w:rFonts w:ascii="Symbol" w:hAnsi="Symbol" w:hint="default"/>
      </w:rPr>
    </w:lvl>
    <w:lvl w:ilvl="6" w:tplc="FAAAD450" w:tentative="1">
      <w:start w:val="1"/>
      <w:numFmt w:val="bullet"/>
      <w:lvlText w:val=""/>
      <w:lvlJc w:val="left"/>
      <w:pPr>
        <w:tabs>
          <w:tab w:val="num" w:pos="5040"/>
        </w:tabs>
        <w:ind w:left="5040" w:hanging="360"/>
      </w:pPr>
      <w:rPr>
        <w:rFonts w:ascii="Symbol" w:hAnsi="Symbol" w:hint="default"/>
      </w:rPr>
    </w:lvl>
    <w:lvl w:ilvl="7" w:tplc="8BD014CE" w:tentative="1">
      <w:start w:val="1"/>
      <w:numFmt w:val="bullet"/>
      <w:lvlText w:val=""/>
      <w:lvlJc w:val="left"/>
      <w:pPr>
        <w:tabs>
          <w:tab w:val="num" w:pos="5760"/>
        </w:tabs>
        <w:ind w:left="5760" w:hanging="360"/>
      </w:pPr>
      <w:rPr>
        <w:rFonts w:ascii="Symbol" w:hAnsi="Symbol" w:hint="default"/>
      </w:rPr>
    </w:lvl>
    <w:lvl w:ilvl="8" w:tplc="6E784B0A" w:tentative="1">
      <w:start w:val="1"/>
      <w:numFmt w:val="bullet"/>
      <w:lvlText w:val=""/>
      <w:lvlJc w:val="left"/>
      <w:pPr>
        <w:tabs>
          <w:tab w:val="num" w:pos="6480"/>
        </w:tabs>
        <w:ind w:left="6480" w:hanging="360"/>
      </w:pPr>
      <w:rPr>
        <w:rFonts w:ascii="Symbol" w:hAnsi="Symbol" w:hint="default"/>
      </w:rPr>
    </w:lvl>
  </w:abstractNum>
  <w:abstractNum w:abstractNumId="101" w15:restartNumberingAfterBreak="0">
    <w:nsid w:val="39955711"/>
    <w:multiLevelType w:val="hybridMultilevel"/>
    <w:tmpl w:val="F2CC05CC"/>
    <w:lvl w:ilvl="0" w:tplc="DE3AD130">
      <w:start w:val="1"/>
      <w:numFmt w:val="bullet"/>
      <w:lvlText w:val=""/>
      <w:lvlPicBulletId w:val="1"/>
      <w:lvlJc w:val="left"/>
      <w:pPr>
        <w:tabs>
          <w:tab w:val="num" w:pos="720"/>
        </w:tabs>
        <w:ind w:left="720" w:hanging="360"/>
      </w:pPr>
      <w:rPr>
        <w:rFonts w:ascii="Symbol" w:hAnsi="Symbol" w:hint="default"/>
      </w:rPr>
    </w:lvl>
    <w:lvl w:ilvl="1" w:tplc="BF2ED716" w:tentative="1">
      <w:start w:val="1"/>
      <w:numFmt w:val="bullet"/>
      <w:lvlText w:val=""/>
      <w:lvlJc w:val="left"/>
      <w:pPr>
        <w:tabs>
          <w:tab w:val="num" w:pos="1440"/>
        </w:tabs>
        <w:ind w:left="1440" w:hanging="360"/>
      </w:pPr>
      <w:rPr>
        <w:rFonts w:ascii="Symbol" w:hAnsi="Symbol" w:hint="default"/>
      </w:rPr>
    </w:lvl>
    <w:lvl w:ilvl="2" w:tplc="24C4BB82" w:tentative="1">
      <w:start w:val="1"/>
      <w:numFmt w:val="bullet"/>
      <w:lvlText w:val=""/>
      <w:lvlJc w:val="left"/>
      <w:pPr>
        <w:tabs>
          <w:tab w:val="num" w:pos="2160"/>
        </w:tabs>
        <w:ind w:left="2160" w:hanging="360"/>
      </w:pPr>
      <w:rPr>
        <w:rFonts w:ascii="Symbol" w:hAnsi="Symbol" w:hint="default"/>
      </w:rPr>
    </w:lvl>
    <w:lvl w:ilvl="3" w:tplc="0582D064" w:tentative="1">
      <w:start w:val="1"/>
      <w:numFmt w:val="bullet"/>
      <w:lvlText w:val=""/>
      <w:lvlJc w:val="left"/>
      <w:pPr>
        <w:tabs>
          <w:tab w:val="num" w:pos="2880"/>
        </w:tabs>
        <w:ind w:left="2880" w:hanging="360"/>
      </w:pPr>
      <w:rPr>
        <w:rFonts w:ascii="Symbol" w:hAnsi="Symbol" w:hint="default"/>
      </w:rPr>
    </w:lvl>
    <w:lvl w:ilvl="4" w:tplc="2B40C178" w:tentative="1">
      <w:start w:val="1"/>
      <w:numFmt w:val="bullet"/>
      <w:lvlText w:val=""/>
      <w:lvlJc w:val="left"/>
      <w:pPr>
        <w:tabs>
          <w:tab w:val="num" w:pos="3600"/>
        </w:tabs>
        <w:ind w:left="3600" w:hanging="360"/>
      </w:pPr>
      <w:rPr>
        <w:rFonts w:ascii="Symbol" w:hAnsi="Symbol" w:hint="default"/>
      </w:rPr>
    </w:lvl>
    <w:lvl w:ilvl="5" w:tplc="D3B2EBB8" w:tentative="1">
      <w:start w:val="1"/>
      <w:numFmt w:val="bullet"/>
      <w:lvlText w:val=""/>
      <w:lvlJc w:val="left"/>
      <w:pPr>
        <w:tabs>
          <w:tab w:val="num" w:pos="4320"/>
        </w:tabs>
        <w:ind w:left="4320" w:hanging="360"/>
      </w:pPr>
      <w:rPr>
        <w:rFonts w:ascii="Symbol" w:hAnsi="Symbol" w:hint="default"/>
      </w:rPr>
    </w:lvl>
    <w:lvl w:ilvl="6" w:tplc="A000C9C6" w:tentative="1">
      <w:start w:val="1"/>
      <w:numFmt w:val="bullet"/>
      <w:lvlText w:val=""/>
      <w:lvlJc w:val="left"/>
      <w:pPr>
        <w:tabs>
          <w:tab w:val="num" w:pos="5040"/>
        </w:tabs>
        <w:ind w:left="5040" w:hanging="360"/>
      </w:pPr>
      <w:rPr>
        <w:rFonts w:ascii="Symbol" w:hAnsi="Symbol" w:hint="default"/>
      </w:rPr>
    </w:lvl>
    <w:lvl w:ilvl="7" w:tplc="2B62BD5C" w:tentative="1">
      <w:start w:val="1"/>
      <w:numFmt w:val="bullet"/>
      <w:lvlText w:val=""/>
      <w:lvlJc w:val="left"/>
      <w:pPr>
        <w:tabs>
          <w:tab w:val="num" w:pos="5760"/>
        </w:tabs>
        <w:ind w:left="5760" w:hanging="360"/>
      </w:pPr>
      <w:rPr>
        <w:rFonts w:ascii="Symbol" w:hAnsi="Symbol" w:hint="default"/>
      </w:rPr>
    </w:lvl>
    <w:lvl w:ilvl="8" w:tplc="F3B88342" w:tentative="1">
      <w:start w:val="1"/>
      <w:numFmt w:val="bullet"/>
      <w:lvlText w:val=""/>
      <w:lvlJc w:val="left"/>
      <w:pPr>
        <w:tabs>
          <w:tab w:val="num" w:pos="6480"/>
        </w:tabs>
        <w:ind w:left="6480" w:hanging="360"/>
      </w:pPr>
      <w:rPr>
        <w:rFonts w:ascii="Symbol" w:hAnsi="Symbol" w:hint="default"/>
      </w:rPr>
    </w:lvl>
  </w:abstractNum>
  <w:abstractNum w:abstractNumId="102" w15:restartNumberingAfterBreak="0">
    <w:nsid w:val="3AF800D4"/>
    <w:multiLevelType w:val="hybridMultilevel"/>
    <w:tmpl w:val="C8FACD32"/>
    <w:lvl w:ilvl="0" w:tplc="76900CFA">
      <w:start w:val="1"/>
      <w:numFmt w:val="bullet"/>
      <w:lvlText w:val=""/>
      <w:lvlPicBulletId w:val="1"/>
      <w:lvlJc w:val="left"/>
      <w:pPr>
        <w:tabs>
          <w:tab w:val="num" w:pos="720"/>
        </w:tabs>
        <w:ind w:left="720" w:hanging="360"/>
      </w:pPr>
      <w:rPr>
        <w:rFonts w:ascii="Symbol" w:hAnsi="Symbol" w:hint="default"/>
      </w:rPr>
    </w:lvl>
    <w:lvl w:ilvl="1" w:tplc="3414534E" w:tentative="1">
      <w:start w:val="1"/>
      <w:numFmt w:val="bullet"/>
      <w:lvlText w:val=""/>
      <w:lvlJc w:val="left"/>
      <w:pPr>
        <w:tabs>
          <w:tab w:val="num" w:pos="1440"/>
        </w:tabs>
        <w:ind w:left="1440" w:hanging="360"/>
      </w:pPr>
      <w:rPr>
        <w:rFonts w:ascii="Symbol" w:hAnsi="Symbol" w:hint="default"/>
      </w:rPr>
    </w:lvl>
    <w:lvl w:ilvl="2" w:tplc="6688CC0A" w:tentative="1">
      <w:start w:val="1"/>
      <w:numFmt w:val="bullet"/>
      <w:lvlText w:val=""/>
      <w:lvlJc w:val="left"/>
      <w:pPr>
        <w:tabs>
          <w:tab w:val="num" w:pos="2160"/>
        </w:tabs>
        <w:ind w:left="2160" w:hanging="360"/>
      </w:pPr>
      <w:rPr>
        <w:rFonts w:ascii="Symbol" w:hAnsi="Symbol" w:hint="default"/>
      </w:rPr>
    </w:lvl>
    <w:lvl w:ilvl="3" w:tplc="44749CA8" w:tentative="1">
      <w:start w:val="1"/>
      <w:numFmt w:val="bullet"/>
      <w:lvlText w:val=""/>
      <w:lvlJc w:val="left"/>
      <w:pPr>
        <w:tabs>
          <w:tab w:val="num" w:pos="2880"/>
        </w:tabs>
        <w:ind w:left="2880" w:hanging="360"/>
      </w:pPr>
      <w:rPr>
        <w:rFonts w:ascii="Symbol" w:hAnsi="Symbol" w:hint="default"/>
      </w:rPr>
    </w:lvl>
    <w:lvl w:ilvl="4" w:tplc="5ED0AFFC" w:tentative="1">
      <w:start w:val="1"/>
      <w:numFmt w:val="bullet"/>
      <w:lvlText w:val=""/>
      <w:lvlJc w:val="left"/>
      <w:pPr>
        <w:tabs>
          <w:tab w:val="num" w:pos="3600"/>
        </w:tabs>
        <w:ind w:left="3600" w:hanging="360"/>
      </w:pPr>
      <w:rPr>
        <w:rFonts w:ascii="Symbol" w:hAnsi="Symbol" w:hint="default"/>
      </w:rPr>
    </w:lvl>
    <w:lvl w:ilvl="5" w:tplc="C87268F4" w:tentative="1">
      <w:start w:val="1"/>
      <w:numFmt w:val="bullet"/>
      <w:lvlText w:val=""/>
      <w:lvlJc w:val="left"/>
      <w:pPr>
        <w:tabs>
          <w:tab w:val="num" w:pos="4320"/>
        </w:tabs>
        <w:ind w:left="4320" w:hanging="360"/>
      </w:pPr>
      <w:rPr>
        <w:rFonts w:ascii="Symbol" w:hAnsi="Symbol" w:hint="default"/>
      </w:rPr>
    </w:lvl>
    <w:lvl w:ilvl="6" w:tplc="B17A41EE" w:tentative="1">
      <w:start w:val="1"/>
      <w:numFmt w:val="bullet"/>
      <w:lvlText w:val=""/>
      <w:lvlJc w:val="left"/>
      <w:pPr>
        <w:tabs>
          <w:tab w:val="num" w:pos="5040"/>
        </w:tabs>
        <w:ind w:left="5040" w:hanging="360"/>
      </w:pPr>
      <w:rPr>
        <w:rFonts w:ascii="Symbol" w:hAnsi="Symbol" w:hint="default"/>
      </w:rPr>
    </w:lvl>
    <w:lvl w:ilvl="7" w:tplc="D772E0B6" w:tentative="1">
      <w:start w:val="1"/>
      <w:numFmt w:val="bullet"/>
      <w:lvlText w:val=""/>
      <w:lvlJc w:val="left"/>
      <w:pPr>
        <w:tabs>
          <w:tab w:val="num" w:pos="5760"/>
        </w:tabs>
        <w:ind w:left="5760" w:hanging="360"/>
      </w:pPr>
      <w:rPr>
        <w:rFonts w:ascii="Symbol" w:hAnsi="Symbol" w:hint="default"/>
      </w:rPr>
    </w:lvl>
    <w:lvl w:ilvl="8" w:tplc="2BD62C32" w:tentative="1">
      <w:start w:val="1"/>
      <w:numFmt w:val="bullet"/>
      <w:lvlText w:val=""/>
      <w:lvlJc w:val="left"/>
      <w:pPr>
        <w:tabs>
          <w:tab w:val="num" w:pos="6480"/>
        </w:tabs>
        <w:ind w:left="6480" w:hanging="360"/>
      </w:pPr>
      <w:rPr>
        <w:rFonts w:ascii="Symbol" w:hAnsi="Symbol" w:hint="default"/>
      </w:rPr>
    </w:lvl>
  </w:abstractNum>
  <w:abstractNum w:abstractNumId="103" w15:restartNumberingAfterBreak="0">
    <w:nsid w:val="3B3F2119"/>
    <w:multiLevelType w:val="hybridMultilevel"/>
    <w:tmpl w:val="D3AACBB6"/>
    <w:lvl w:ilvl="0" w:tplc="9C9CB2C6">
      <w:start w:val="1"/>
      <w:numFmt w:val="bullet"/>
      <w:lvlText w:val=""/>
      <w:lvlPicBulletId w:val="1"/>
      <w:lvlJc w:val="left"/>
      <w:pPr>
        <w:tabs>
          <w:tab w:val="num" w:pos="720"/>
        </w:tabs>
        <w:ind w:left="720" w:hanging="360"/>
      </w:pPr>
      <w:rPr>
        <w:rFonts w:ascii="Symbol" w:hAnsi="Symbol" w:hint="default"/>
      </w:rPr>
    </w:lvl>
    <w:lvl w:ilvl="1" w:tplc="E8E89AF6" w:tentative="1">
      <w:start w:val="1"/>
      <w:numFmt w:val="bullet"/>
      <w:lvlText w:val=""/>
      <w:lvlJc w:val="left"/>
      <w:pPr>
        <w:tabs>
          <w:tab w:val="num" w:pos="1440"/>
        </w:tabs>
        <w:ind w:left="1440" w:hanging="360"/>
      </w:pPr>
      <w:rPr>
        <w:rFonts w:ascii="Symbol" w:hAnsi="Symbol" w:hint="default"/>
      </w:rPr>
    </w:lvl>
    <w:lvl w:ilvl="2" w:tplc="5AD87530" w:tentative="1">
      <w:start w:val="1"/>
      <w:numFmt w:val="bullet"/>
      <w:lvlText w:val=""/>
      <w:lvlJc w:val="left"/>
      <w:pPr>
        <w:tabs>
          <w:tab w:val="num" w:pos="2160"/>
        </w:tabs>
        <w:ind w:left="2160" w:hanging="360"/>
      </w:pPr>
      <w:rPr>
        <w:rFonts w:ascii="Symbol" w:hAnsi="Symbol" w:hint="default"/>
      </w:rPr>
    </w:lvl>
    <w:lvl w:ilvl="3" w:tplc="196E0A1C" w:tentative="1">
      <w:start w:val="1"/>
      <w:numFmt w:val="bullet"/>
      <w:lvlText w:val=""/>
      <w:lvlJc w:val="left"/>
      <w:pPr>
        <w:tabs>
          <w:tab w:val="num" w:pos="2880"/>
        </w:tabs>
        <w:ind w:left="2880" w:hanging="360"/>
      </w:pPr>
      <w:rPr>
        <w:rFonts w:ascii="Symbol" w:hAnsi="Symbol" w:hint="default"/>
      </w:rPr>
    </w:lvl>
    <w:lvl w:ilvl="4" w:tplc="23469EF8" w:tentative="1">
      <w:start w:val="1"/>
      <w:numFmt w:val="bullet"/>
      <w:lvlText w:val=""/>
      <w:lvlJc w:val="left"/>
      <w:pPr>
        <w:tabs>
          <w:tab w:val="num" w:pos="3600"/>
        </w:tabs>
        <w:ind w:left="3600" w:hanging="360"/>
      </w:pPr>
      <w:rPr>
        <w:rFonts w:ascii="Symbol" w:hAnsi="Symbol" w:hint="default"/>
      </w:rPr>
    </w:lvl>
    <w:lvl w:ilvl="5" w:tplc="3920051E" w:tentative="1">
      <w:start w:val="1"/>
      <w:numFmt w:val="bullet"/>
      <w:lvlText w:val=""/>
      <w:lvlJc w:val="left"/>
      <w:pPr>
        <w:tabs>
          <w:tab w:val="num" w:pos="4320"/>
        </w:tabs>
        <w:ind w:left="4320" w:hanging="360"/>
      </w:pPr>
      <w:rPr>
        <w:rFonts w:ascii="Symbol" w:hAnsi="Symbol" w:hint="default"/>
      </w:rPr>
    </w:lvl>
    <w:lvl w:ilvl="6" w:tplc="BE2C3AAA" w:tentative="1">
      <w:start w:val="1"/>
      <w:numFmt w:val="bullet"/>
      <w:lvlText w:val=""/>
      <w:lvlJc w:val="left"/>
      <w:pPr>
        <w:tabs>
          <w:tab w:val="num" w:pos="5040"/>
        </w:tabs>
        <w:ind w:left="5040" w:hanging="360"/>
      </w:pPr>
      <w:rPr>
        <w:rFonts w:ascii="Symbol" w:hAnsi="Symbol" w:hint="default"/>
      </w:rPr>
    </w:lvl>
    <w:lvl w:ilvl="7" w:tplc="1A00E3A8" w:tentative="1">
      <w:start w:val="1"/>
      <w:numFmt w:val="bullet"/>
      <w:lvlText w:val=""/>
      <w:lvlJc w:val="left"/>
      <w:pPr>
        <w:tabs>
          <w:tab w:val="num" w:pos="5760"/>
        </w:tabs>
        <w:ind w:left="5760" w:hanging="360"/>
      </w:pPr>
      <w:rPr>
        <w:rFonts w:ascii="Symbol" w:hAnsi="Symbol" w:hint="default"/>
      </w:rPr>
    </w:lvl>
    <w:lvl w:ilvl="8" w:tplc="5E008CBE" w:tentative="1">
      <w:start w:val="1"/>
      <w:numFmt w:val="bullet"/>
      <w:lvlText w:val=""/>
      <w:lvlJc w:val="left"/>
      <w:pPr>
        <w:tabs>
          <w:tab w:val="num" w:pos="6480"/>
        </w:tabs>
        <w:ind w:left="6480" w:hanging="360"/>
      </w:pPr>
      <w:rPr>
        <w:rFonts w:ascii="Symbol" w:hAnsi="Symbol" w:hint="default"/>
      </w:rPr>
    </w:lvl>
  </w:abstractNum>
  <w:abstractNum w:abstractNumId="104" w15:restartNumberingAfterBreak="0">
    <w:nsid w:val="3BEE669C"/>
    <w:multiLevelType w:val="hybridMultilevel"/>
    <w:tmpl w:val="5B32F1F8"/>
    <w:lvl w:ilvl="0" w:tplc="4520569A">
      <w:start w:val="1"/>
      <w:numFmt w:val="bullet"/>
      <w:lvlText w:val=""/>
      <w:lvlPicBulletId w:val="0"/>
      <w:lvlJc w:val="left"/>
      <w:pPr>
        <w:tabs>
          <w:tab w:val="num" w:pos="720"/>
        </w:tabs>
        <w:ind w:left="720" w:hanging="360"/>
      </w:pPr>
      <w:rPr>
        <w:rFonts w:ascii="Symbol" w:hAnsi="Symbol" w:hint="default"/>
      </w:rPr>
    </w:lvl>
    <w:lvl w:ilvl="1" w:tplc="CBD437FC" w:tentative="1">
      <w:start w:val="1"/>
      <w:numFmt w:val="bullet"/>
      <w:lvlText w:val=""/>
      <w:lvlJc w:val="left"/>
      <w:pPr>
        <w:tabs>
          <w:tab w:val="num" w:pos="1440"/>
        </w:tabs>
        <w:ind w:left="1440" w:hanging="360"/>
      </w:pPr>
      <w:rPr>
        <w:rFonts w:ascii="Symbol" w:hAnsi="Symbol" w:hint="default"/>
      </w:rPr>
    </w:lvl>
    <w:lvl w:ilvl="2" w:tplc="2820BEFC" w:tentative="1">
      <w:start w:val="1"/>
      <w:numFmt w:val="bullet"/>
      <w:lvlText w:val=""/>
      <w:lvlJc w:val="left"/>
      <w:pPr>
        <w:tabs>
          <w:tab w:val="num" w:pos="2160"/>
        </w:tabs>
        <w:ind w:left="2160" w:hanging="360"/>
      </w:pPr>
      <w:rPr>
        <w:rFonts w:ascii="Symbol" w:hAnsi="Symbol" w:hint="default"/>
      </w:rPr>
    </w:lvl>
    <w:lvl w:ilvl="3" w:tplc="5C360056" w:tentative="1">
      <w:start w:val="1"/>
      <w:numFmt w:val="bullet"/>
      <w:lvlText w:val=""/>
      <w:lvlJc w:val="left"/>
      <w:pPr>
        <w:tabs>
          <w:tab w:val="num" w:pos="2880"/>
        </w:tabs>
        <w:ind w:left="2880" w:hanging="360"/>
      </w:pPr>
      <w:rPr>
        <w:rFonts w:ascii="Symbol" w:hAnsi="Symbol" w:hint="default"/>
      </w:rPr>
    </w:lvl>
    <w:lvl w:ilvl="4" w:tplc="440E338C" w:tentative="1">
      <w:start w:val="1"/>
      <w:numFmt w:val="bullet"/>
      <w:lvlText w:val=""/>
      <w:lvlJc w:val="left"/>
      <w:pPr>
        <w:tabs>
          <w:tab w:val="num" w:pos="3600"/>
        </w:tabs>
        <w:ind w:left="3600" w:hanging="360"/>
      </w:pPr>
      <w:rPr>
        <w:rFonts w:ascii="Symbol" w:hAnsi="Symbol" w:hint="default"/>
      </w:rPr>
    </w:lvl>
    <w:lvl w:ilvl="5" w:tplc="D5629ACA" w:tentative="1">
      <w:start w:val="1"/>
      <w:numFmt w:val="bullet"/>
      <w:lvlText w:val=""/>
      <w:lvlJc w:val="left"/>
      <w:pPr>
        <w:tabs>
          <w:tab w:val="num" w:pos="4320"/>
        </w:tabs>
        <w:ind w:left="4320" w:hanging="360"/>
      </w:pPr>
      <w:rPr>
        <w:rFonts w:ascii="Symbol" w:hAnsi="Symbol" w:hint="default"/>
      </w:rPr>
    </w:lvl>
    <w:lvl w:ilvl="6" w:tplc="CD362C1E" w:tentative="1">
      <w:start w:val="1"/>
      <w:numFmt w:val="bullet"/>
      <w:lvlText w:val=""/>
      <w:lvlJc w:val="left"/>
      <w:pPr>
        <w:tabs>
          <w:tab w:val="num" w:pos="5040"/>
        </w:tabs>
        <w:ind w:left="5040" w:hanging="360"/>
      </w:pPr>
      <w:rPr>
        <w:rFonts w:ascii="Symbol" w:hAnsi="Symbol" w:hint="default"/>
      </w:rPr>
    </w:lvl>
    <w:lvl w:ilvl="7" w:tplc="04546A6E" w:tentative="1">
      <w:start w:val="1"/>
      <w:numFmt w:val="bullet"/>
      <w:lvlText w:val=""/>
      <w:lvlJc w:val="left"/>
      <w:pPr>
        <w:tabs>
          <w:tab w:val="num" w:pos="5760"/>
        </w:tabs>
        <w:ind w:left="5760" w:hanging="360"/>
      </w:pPr>
      <w:rPr>
        <w:rFonts w:ascii="Symbol" w:hAnsi="Symbol" w:hint="default"/>
      </w:rPr>
    </w:lvl>
    <w:lvl w:ilvl="8" w:tplc="9A2E5C7E" w:tentative="1">
      <w:start w:val="1"/>
      <w:numFmt w:val="bullet"/>
      <w:lvlText w:val=""/>
      <w:lvlJc w:val="left"/>
      <w:pPr>
        <w:tabs>
          <w:tab w:val="num" w:pos="6480"/>
        </w:tabs>
        <w:ind w:left="6480" w:hanging="360"/>
      </w:pPr>
      <w:rPr>
        <w:rFonts w:ascii="Symbol" w:hAnsi="Symbol" w:hint="default"/>
      </w:rPr>
    </w:lvl>
  </w:abstractNum>
  <w:abstractNum w:abstractNumId="105" w15:restartNumberingAfterBreak="0">
    <w:nsid w:val="3CF71AA1"/>
    <w:multiLevelType w:val="hybridMultilevel"/>
    <w:tmpl w:val="A40280BC"/>
    <w:lvl w:ilvl="0" w:tplc="473648DC">
      <w:start w:val="1"/>
      <w:numFmt w:val="bullet"/>
      <w:lvlText w:val=""/>
      <w:lvlPicBulletId w:val="0"/>
      <w:lvlJc w:val="left"/>
      <w:pPr>
        <w:tabs>
          <w:tab w:val="num" w:pos="720"/>
        </w:tabs>
        <w:ind w:left="720" w:hanging="360"/>
      </w:pPr>
      <w:rPr>
        <w:rFonts w:ascii="Symbol" w:hAnsi="Symbol" w:hint="default"/>
      </w:rPr>
    </w:lvl>
    <w:lvl w:ilvl="1" w:tplc="6BFC31B0" w:tentative="1">
      <w:start w:val="1"/>
      <w:numFmt w:val="bullet"/>
      <w:lvlText w:val=""/>
      <w:lvlJc w:val="left"/>
      <w:pPr>
        <w:tabs>
          <w:tab w:val="num" w:pos="1440"/>
        </w:tabs>
        <w:ind w:left="1440" w:hanging="360"/>
      </w:pPr>
      <w:rPr>
        <w:rFonts w:ascii="Symbol" w:hAnsi="Symbol" w:hint="default"/>
      </w:rPr>
    </w:lvl>
    <w:lvl w:ilvl="2" w:tplc="9012767C" w:tentative="1">
      <w:start w:val="1"/>
      <w:numFmt w:val="bullet"/>
      <w:lvlText w:val=""/>
      <w:lvlJc w:val="left"/>
      <w:pPr>
        <w:tabs>
          <w:tab w:val="num" w:pos="2160"/>
        </w:tabs>
        <w:ind w:left="2160" w:hanging="360"/>
      </w:pPr>
      <w:rPr>
        <w:rFonts w:ascii="Symbol" w:hAnsi="Symbol" w:hint="default"/>
      </w:rPr>
    </w:lvl>
    <w:lvl w:ilvl="3" w:tplc="FC5882DA" w:tentative="1">
      <w:start w:val="1"/>
      <w:numFmt w:val="bullet"/>
      <w:lvlText w:val=""/>
      <w:lvlJc w:val="left"/>
      <w:pPr>
        <w:tabs>
          <w:tab w:val="num" w:pos="2880"/>
        </w:tabs>
        <w:ind w:left="2880" w:hanging="360"/>
      </w:pPr>
      <w:rPr>
        <w:rFonts w:ascii="Symbol" w:hAnsi="Symbol" w:hint="default"/>
      </w:rPr>
    </w:lvl>
    <w:lvl w:ilvl="4" w:tplc="8CF87874" w:tentative="1">
      <w:start w:val="1"/>
      <w:numFmt w:val="bullet"/>
      <w:lvlText w:val=""/>
      <w:lvlJc w:val="left"/>
      <w:pPr>
        <w:tabs>
          <w:tab w:val="num" w:pos="3600"/>
        </w:tabs>
        <w:ind w:left="3600" w:hanging="360"/>
      </w:pPr>
      <w:rPr>
        <w:rFonts w:ascii="Symbol" w:hAnsi="Symbol" w:hint="default"/>
      </w:rPr>
    </w:lvl>
    <w:lvl w:ilvl="5" w:tplc="7EE802D8" w:tentative="1">
      <w:start w:val="1"/>
      <w:numFmt w:val="bullet"/>
      <w:lvlText w:val=""/>
      <w:lvlJc w:val="left"/>
      <w:pPr>
        <w:tabs>
          <w:tab w:val="num" w:pos="4320"/>
        </w:tabs>
        <w:ind w:left="4320" w:hanging="360"/>
      </w:pPr>
      <w:rPr>
        <w:rFonts w:ascii="Symbol" w:hAnsi="Symbol" w:hint="default"/>
      </w:rPr>
    </w:lvl>
    <w:lvl w:ilvl="6" w:tplc="8D8A928A" w:tentative="1">
      <w:start w:val="1"/>
      <w:numFmt w:val="bullet"/>
      <w:lvlText w:val=""/>
      <w:lvlJc w:val="left"/>
      <w:pPr>
        <w:tabs>
          <w:tab w:val="num" w:pos="5040"/>
        </w:tabs>
        <w:ind w:left="5040" w:hanging="360"/>
      </w:pPr>
      <w:rPr>
        <w:rFonts w:ascii="Symbol" w:hAnsi="Symbol" w:hint="default"/>
      </w:rPr>
    </w:lvl>
    <w:lvl w:ilvl="7" w:tplc="3740E0EE" w:tentative="1">
      <w:start w:val="1"/>
      <w:numFmt w:val="bullet"/>
      <w:lvlText w:val=""/>
      <w:lvlJc w:val="left"/>
      <w:pPr>
        <w:tabs>
          <w:tab w:val="num" w:pos="5760"/>
        </w:tabs>
        <w:ind w:left="5760" w:hanging="360"/>
      </w:pPr>
      <w:rPr>
        <w:rFonts w:ascii="Symbol" w:hAnsi="Symbol" w:hint="default"/>
      </w:rPr>
    </w:lvl>
    <w:lvl w:ilvl="8" w:tplc="8FC8761A" w:tentative="1">
      <w:start w:val="1"/>
      <w:numFmt w:val="bullet"/>
      <w:lvlText w:val=""/>
      <w:lvlJc w:val="left"/>
      <w:pPr>
        <w:tabs>
          <w:tab w:val="num" w:pos="6480"/>
        </w:tabs>
        <w:ind w:left="6480" w:hanging="360"/>
      </w:pPr>
      <w:rPr>
        <w:rFonts w:ascii="Symbol" w:hAnsi="Symbol" w:hint="default"/>
      </w:rPr>
    </w:lvl>
  </w:abstractNum>
  <w:abstractNum w:abstractNumId="106" w15:restartNumberingAfterBreak="0">
    <w:nsid w:val="3E550F12"/>
    <w:multiLevelType w:val="hybridMultilevel"/>
    <w:tmpl w:val="C002C394"/>
    <w:lvl w:ilvl="0" w:tplc="A548430C">
      <w:start w:val="1"/>
      <w:numFmt w:val="bullet"/>
      <w:lvlText w:val=""/>
      <w:lvlPicBulletId w:val="1"/>
      <w:lvlJc w:val="left"/>
      <w:pPr>
        <w:tabs>
          <w:tab w:val="num" w:pos="720"/>
        </w:tabs>
        <w:ind w:left="720" w:hanging="360"/>
      </w:pPr>
      <w:rPr>
        <w:rFonts w:ascii="Symbol" w:hAnsi="Symbol" w:hint="default"/>
      </w:rPr>
    </w:lvl>
    <w:lvl w:ilvl="1" w:tplc="9BE04A2C" w:tentative="1">
      <w:start w:val="1"/>
      <w:numFmt w:val="bullet"/>
      <w:lvlText w:val=""/>
      <w:lvlJc w:val="left"/>
      <w:pPr>
        <w:tabs>
          <w:tab w:val="num" w:pos="1440"/>
        </w:tabs>
        <w:ind w:left="1440" w:hanging="360"/>
      </w:pPr>
      <w:rPr>
        <w:rFonts w:ascii="Symbol" w:hAnsi="Symbol" w:hint="default"/>
      </w:rPr>
    </w:lvl>
    <w:lvl w:ilvl="2" w:tplc="CDE6AF4A" w:tentative="1">
      <w:start w:val="1"/>
      <w:numFmt w:val="bullet"/>
      <w:lvlText w:val=""/>
      <w:lvlJc w:val="left"/>
      <w:pPr>
        <w:tabs>
          <w:tab w:val="num" w:pos="2160"/>
        </w:tabs>
        <w:ind w:left="2160" w:hanging="360"/>
      </w:pPr>
      <w:rPr>
        <w:rFonts w:ascii="Symbol" w:hAnsi="Symbol" w:hint="default"/>
      </w:rPr>
    </w:lvl>
    <w:lvl w:ilvl="3" w:tplc="544AFC46" w:tentative="1">
      <w:start w:val="1"/>
      <w:numFmt w:val="bullet"/>
      <w:lvlText w:val=""/>
      <w:lvlJc w:val="left"/>
      <w:pPr>
        <w:tabs>
          <w:tab w:val="num" w:pos="2880"/>
        </w:tabs>
        <w:ind w:left="2880" w:hanging="360"/>
      </w:pPr>
      <w:rPr>
        <w:rFonts w:ascii="Symbol" w:hAnsi="Symbol" w:hint="default"/>
      </w:rPr>
    </w:lvl>
    <w:lvl w:ilvl="4" w:tplc="CF1E2C7C" w:tentative="1">
      <w:start w:val="1"/>
      <w:numFmt w:val="bullet"/>
      <w:lvlText w:val=""/>
      <w:lvlJc w:val="left"/>
      <w:pPr>
        <w:tabs>
          <w:tab w:val="num" w:pos="3600"/>
        </w:tabs>
        <w:ind w:left="3600" w:hanging="360"/>
      </w:pPr>
      <w:rPr>
        <w:rFonts w:ascii="Symbol" w:hAnsi="Symbol" w:hint="default"/>
      </w:rPr>
    </w:lvl>
    <w:lvl w:ilvl="5" w:tplc="0A9A3A56" w:tentative="1">
      <w:start w:val="1"/>
      <w:numFmt w:val="bullet"/>
      <w:lvlText w:val=""/>
      <w:lvlJc w:val="left"/>
      <w:pPr>
        <w:tabs>
          <w:tab w:val="num" w:pos="4320"/>
        </w:tabs>
        <w:ind w:left="4320" w:hanging="360"/>
      </w:pPr>
      <w:rPr>
        <w:rFonts w:ascii="Symbol" w:hAnsi="Symbol" w:hint="default"/>
      </w:rPr>
    </w:lvl>
    <w:lvl w:ilvl="6" w:tplc="3D3A4A96" w:tentative="1">
      <w:start w:val="1"/>
      <w:numFmt w:val="bullet"/>
      <w:lvlText w:val=""/>
      <w:lvlJc w:val="left"/>
      <w:pPr>
        <w:tabs>
          <w:tab w:val="num" w:pos="5040"/>
        </w:tabs>
        <w:ind w:left="5040" w:hanging="360"/>
      </w:pPr>
      <w:rPr>
        <w:rFonts w:ascii="Symbol" w:hAnsi="Symbol" w:hint="default"/>
      </w:rPr>
    </w:lvl>
    <w:lvl w:ilvl="7" w:tplc="D55E1456" w:tentative="1">
      <w:start w:val="1"/>
      <w:numFmt w:val="bullet"/>
      <w:lvlText w:val=""/>
      <w:lvlJc w:val="left"/>
      <w:pPr>
        <w:tabs>
          <w:tab w:val="num" w:pos="5760"/>
        </w:tabs>
        <w:ind w:left="5760" w:hanging="360"/>
      </w:pPr>
      <w:rPr>
        <w:rFonts w:ascii="Symbol" w:hAnsi="Symbol" w:hint="default"/>
      </w:rPr>
    </w:lvl>
    <w:lvl w:ilvl="8" w:tplc="7730DDDA" w:tentative="1">
      <w:start w:val="1"/>
      <w:numFmt w:val="bullet"/>
      <w:lvlText w:val=""/>
      <w:lvlJc w:val="left"/>
      <w:pPr>
        <w:tabs>
          <w:tab w:val="num" w:pos="6480"/>
        </w:tabs>
        <w:ind w:left="6480" w:hanging="360"/>
      </w:pPr>
      <w:rPr>
        <w:rFonts w:ascii="Symbol" w:hAnsi="Symbol" w:hint="default"/>
      </w:rPr>
    </w:lvl>
  </w:abstractNum>
  <w:abstractNum w:abstractNumId="107" w15:restartNumberingAfterBreak="0">
    <w:nsid w:val="3EC5446E"/>
    <w:multiLevelType w:val="hybridMultilevel"/>
    <w:tmpl w:val="D5A6FE70"/>
    <w:lvl w:ilvl="0" w:tplc="BD2E0AF0">
      <w:start w:val="1"/>
      <w:numFmt w:val="bullet"/>
      <w:lvlText w:val=""/>
      <w:lvlPicBulletId w:val="0"/>
      <w:lvlJc w:val="left"/>
      <w:pPr>
        <w:tabs>
          <w:tab w:val="num" w:pos="720"/>
        </w:tabs>
        <w:ind w:left="720" w:hanging="360"/>
      </w:pPr>
      <w:rPr>
        <w:rFonts w:ascii="Symbol" w:hAnsi="Symbol" w:hint="default"/>
      </w:rPr>
    </w:lvl>
    <w:lvl w:ilvl="1" w:tplc="EFE86080" w:tentative="1">
      <w:start w:val="1"/>
      <w:numFmt w:val="bullet"/>
      <w:lvlText w:val=""/>
      <w:lvlJc w:val="left"/>
      <w:pPr>
        <w:tabs>
          <w:tab w:val="num" w:pos="1440"/>
        </w:tabs>
        <w:ind w:left="1440" w:hanging="360"/>
      </w:pPr>
      <w:rPr>
        <w:rFonts w:ascii="Symbol" w:hAnsi="Symbol" w:hint="default"/>
      </w:rPr>
    </w:lvl>
    <w:lvl w:ilvl="2" w:tplc="63204244" w:tentative="1">
      <w:start w:val="1"/>
      <w:numFmt w:val="bullet"/>
      <w:lvlText w:val=""/>
      <w:lvlJc w:val="left"/>
      <w:pPr>
        <w:tabs>
          <w:tab w:val="num" w:pos="2160"/>
        </w:tabs>
        <w:ind w:left="2160" w:hanging="360"/>
      </w:pPr>
      <w:rPr>
        <w:rFonts w:ascii="Symbol" w:hAnsi="Symbol" w:hint="default"/>
      </w:rPr>
    </w:lvl>
    <w:lvl w:ilvl="3" w:tplc="C04CA9EE" w:tentative="1">
      <w:start w:val="1"/>
      <w:numFmt w:val="bullet"/>
      <w:lvlText w:val=""/>
      <w:lvlJc w:val="left"/>
      <w:pPr>
        <w:tabs>
          <w:tab w:val="num" w:pos="2880"/>
        </w:tabs>
        <w:ind w:left="2880" w:hanging="360"/>
      </w:pPr>
      <w:rPr>
        <w:rFonts w:ascii="Symbol" w:hAnsi="Symbol" w:hint="default"/>
      </w:rPr>
    </w:lvl>
    <w:lvl w:ilvl="4" w:tplc="B622EDC2" w:tentative="1">
      <w:start w:val="1"/>
      <w:numFmt w:val="bullet"/>
      <w:lvlText w:val=""/>
      <w:lvlJc w:val="left"/>
      <w:pPr>
        <w:tabs>
          <w:tab w:val="num" w:pos="3600"/>
        </w:tabs>
        <w:ind w:left="3600" w:hanging="360"/>
      </w:pPr>
      <w:rPr>
        <w:rFonts w:ascii="Symbol" w:hAnsi="Symbol" w:hint="default"/>
      </w:rPr>
    </w:lvl>
    <w:lvl w:ilvl="5" w:tplc="B50076A8" w:tentative="1">
      <w:start w:val="1"/>
      <w:numFmt w:val="bullet"/>
      <w:lvlText w:val=""/>
      <w:lvlJc w:val="left"/>
      <w:pPr>
        <w:tabs>
          <w:tab w:val="num" w:pos="4320"/>
        </w:tabs>
        <w:ind w:left="4320" w:hanging="360"/>
      </w:pPr>
      <w:rPr>
        <w:rFonts w:ascii="Symbol" w:hAnsi="Symbol" w:hint="default"/>
      </w:rPr>
    </w:lvl>
    <w:lvl w:ilvl="6" w:tplc="6C8811BA" w:tentative="1">
      <w:start w:val="1"/>
      <w:numFmt w:val="bullet"/>
      <w:lvlText w:val=""/>
      <w:lvlJc w:val="left"/>
      <w:pPr>
        <w:tabs>
          <w:tab w:val="num" w:pos="5040"/>
        </w:tabs>
        <w:ind w:left="5040" w:hanging="360"/>
      </w:pPr>
      <w:rPr>
        <w:rFonts w:ascii="Symbol" w:hAnsi="Symbol" w:hint="default"/>
      </w:rPr>
    </w:lvl>
    <w:lvl w:ilvl="7" w:tplc="63FA06A6" w:tentative="1">
      <w:start w:val="1"/>
      <w:numFmt w:val="bullet"/>
      <w:lvlText w:val=""/>
      <w:lvlJc w:val="left"/>
      <w:pPr>
        <w:tabs>
          <w:tab w:val="num" w:pos="5760"/>
        </w:tabs>
        <w:ind w:left="5760" w:hanging="360"/>
      </w:pPr>
      <w:rPr>
        <w:rFonts w:ascii="Symbol" w:hAnsi="Symbol" w:hint="default"/>
      </w:rPr>
    </w:lvl>
    <w:lvl w:ilvl="8" w:tplc="5F2C7FB8" w:tentative="1">
      <w:start w:val="1"/>
      <w:numFmt w:val="bullet"/>
      <w:lvlText w:val=""/>
      <w:lvlJc w:val="left"/>
      <w:pPr>
        <w:tabs>
          <w:tab w:val="num" w:pos="6480"/>
        </w:tabs>
        <w:ind w:left="6480" w:hanging="360"/>
      </w:pPr>
      <w:rPr>
        <w:rFonts w:ascii="Symbol" w:hAnsi="Symbol" w:hint="default"/>
      </w:rPr>
    </w:lvl>
  </w:abstractNum>
  <w:abstractNum w:abstractNumId="108" w15:restartNumberingAfterBreak="0">
    <w:nsid w:val="3FA8491F"/>
    <w:multiLevelType w:val="hybridMultilevel"/>
    <w:tmpl w:val="B9DEF47C"/>
    <w:lvl w:ilvl="0" w:tplc="FCE8DC14">
      <w:start w:val="1"/>
      <w:numFmt w:val="bullet"/>
      <w:lvlText w:val=""/>
      <w:lvlPicBulletId w:val="0"/>
      <w:lvlJc w:val="left"/>
      <w:pPr>
        <w:tabs>
          <w:tab w:val="num" w:pos="720"/>
        </w:tabs>
        <w:ind w:left="720" w:hanging="360"/>
      </w:pPr>
      <w:rPr>
        <w:rFonts w:ascii="Symbol" w:hAnsi="Symbol" w:hint="default"/>
      </w:rPr>
    </w:lvl>
    <w:lvl w:ilvl="1" w:tplc="77B83BCA" w:tentative="1">
      <w:start w:val="1"/>
      <w:numFmt w:val="bullet"/>
      <w:lvlText w:val=""/>
      <w:lvlJc w:val="left"/>
      <w:pPr>
        <w:tabs>
          <w:tab w:val="num" w:pos="1440"/>
        </w:tabs>
        <w:ind w:left="1440" w:hanging="360"/>
      </w:pPr>
      <w:rPr>
        <w:rFonts w:ascii="Symbol" w:hAnsi="Symbol" w:hint="default"/>
      </w:rPr>
    </w:lvl>
    <w:lvl w:ilvl="2" w:tplc="31E0E844" w:tentative="1">
      <w:start w:val="1"/>
      <w:numFmt w:val="bullet"/>
      <w:lvlText w:val=""/>
      <w:lvlJc w:val="left"/>
      <w:pPr>
        <w:tabs>
          <w:tab w:val="num" w:pos="2160"/>
        </w:tabs>
        <w:ind w:left="2160" w:hanging="360"/>
      </w:pPr>
      <w:rPr>
        <w:rFonts w:ascii="Symbol" w:hAnsi="Symbol" w:hint="default"/>
      </w:rPr>
    </w:lvl>
    <w:lvl w:ilvl="3" w:tplc="31D05DEA" w:tentative="1">
      <w:start w:val="1"/>
      <w:numFmt w:val="bullet"/>
      <w:lvlText w:val=""/>
      <w:lvlJc w:val="left"/>
      <w:pPr>
        <w:tabs>
          <w:tab w:val="num" w:pos="2880"/>
        </w:tabs>
        <w:ind w:left="2880" w:hanging="360"/>
      </w:pPr>
      <w:rPr>
        <w:rFonts w:ascii="Symbol" w:hAnsi="Symbol" w:hint="default"/>
      </w:rPr>
    </w:lvl>
    <w:lvl w:ilvl="4" w:tplc="6CE4D316" w:tentative="1">
      <w:start w:val="1"/>
      <w:numFmt w:val="bullet"/>
      <w:lvlText w:val=""/>
      <w:lvlJc w:val="left"/>
      <w:pPr>
        <w:tabs>
          <w:tab w:val="num" w:pos="3600"/>
        </w:tabs>
        <w:ind w:left="3600" w:hanging="360"/>
      </w:pPr>
      <w:rPr>
        <w:rFonts w:ascii="Symbol" w:hAnsi="Symbol" w:hint="default"/>
      </w:rPr>
    </w:lvl>
    <w:lvl w:ilvl="5" w:tplc="7D6AC414" w:tentative="1">
      <w:start w:val="1"/>
      <w:numFmt w:val="bullet"/>
      <w:lvlText w:val=""/>
      <w:lvlJc w:val="left"/>
      <w:pPr>
        <w:tabs>
          <w:tab w:val="num" w:pos="4320"/>
        </w:tabs>
        <w:ind w:left="4320" w:hanging="360"/>
      </w:pPr>
      <w:rPr>
        <w:rFonts w:ascii="Symbol" w:hAnsi="Symbol" w:hint="default"/>
      </w:rPr>
    </w:lvl>
    <w:lvl w:ilvl="6" w:tplc="A8AAFE7E" w:tentative="1">
      <w:start w:val="1"/>
      <w:numFmt w:val="bullet"/>
      <w:lvlText w:val=""/>
      <w:lvlJc w:val="left"/>
      <w:pPr>
        <w:tabs>
          <w:tab w:val="num" w:pos="5040"/>
        </w:tabs>
        <w:ind w:left="5040" w:hanging="360"/>
      </w:pPr>
      <w:rPr>
        <w:rFonts w:ascii="Symbol" w:hAnsi="Symbol" w:hint="default"/>
      </w:rPr>
    </w:lvl>
    <w:lvl w:ilvl="7" w:tplc="B4EE9F26" w:tentative="1">
      <w:start w:val="1"/>
      <w:numFmt w:val="bullet"/>
      <w:lvlText w:val=""/>
      <w:lvlJc w:val="left"/>
      <w:pPr>
        <w:tabs>
          <w:tab w:val="num" w:pos="5760"/>
        </w:tabs>
        <w:ind w:left="5760" w:hanging="360"/>
      </w:pPr>
      <w:rPr>
        <w:rFonts w:ascii="Symbol" w:hAnsi="Symbol" w:hint="default"/>
      </w:rPr>
    </w:lvl>
    <w:lvl w:ilvl="8" w:tplc="DF64A9C2" w:tentative="1">
      <w:start w:val="1"/>
      <w:numFmt w:val="bullet"/>
      <w:lvlText w:val=""/>
      <w:lvlJc w:val="left"/>
      <w:pPr>
        <w:tabs>
          <w:tab w:val="num" w:pos="6480"/>
        </w:tabs>
        <w:ind w:left="6480" w:hanging="360"/>
      </w:pPr>
      <w:rPr>
        <w:rFonts w:ascii="Symbol" w:hAnsi="Symbol" w:hint="default"/>
      </w:rPr>
    </w:lvl>
  </w:abstractNum>
  <w:abstractNum w:abstractNumId="109" w15:restartNumberingAfterBreak="0">
    <w:nsid w:val="401E0F29"/>
    <w:multiLevelType w:val="hybridMultilevel"/>
    <w:tmpl w:val="700262EE"/>
    <w:lvl w:ilvl="0" w:tplc="44EEC084">
      <w:start w:val="1"/>
      <w:numFmt w:val="bullet"/>
      <w:lvlText w:val="&gt;"/>
      <w:lvlJc w:val="left"/>
      <w:pPr>
        <w:ind w:left="1015" w:hanging="360"/>
      </w:pPr>
      <w:rPr>
        <w:rFonts w:ascii="HelveticaNeueLT Std" w:hAnsi="HelveticaNeueLT Std" w:hint="default"/>
      </w:rPr>
    </w:lvl>
    <w:lvl w:ilvl="1" w:tplc="0C090003" w:tentative="1">
      <w:start w:val="1"/>
      <w:numFmt w:val="bullet"/>
      <w:lvlText w:val="o"/>
      <w:lvlJc w:val="left"/>
      <w:pPr>
        <w:ind w:left="1735" w:hanging="360"/>
      </w:pPr>
      <w:rPr>
        <w:rFonts w:ascii="Courier New" w:hAnsi="Courier New" w:cs="Courier New" w:hint="default"/>
      </w:rPr>
    </w:lvl>
    <w:lvl w:ilvl="2" w:tplc="0C090005" w:tentative="1">
      <w:start w:val="1"/>
      <w:numFmt w:val="bullet"/>
      <w:lvlText w:val=""/>
      <w:lvlJc w:val="left"/>
      <w:pPr>
        <w:ind w:left="2455" w:hanging="360"/>
      </w:pPr>
      <w:rPr>
        <w:rFonts w:ascii="Wingdings" w:hAnsi="Wingdings" w:hint="default"/>
      </w:rPr>
    </w:lvl>
    <w:lvl w:ilvl="3" w:tplc="0C090001" w:tentative="1">
      <w:start w:val="1"/>
      <w:numFmt w:val="bullet"/>
      <w:lvlText w:val=""/>
      <w:lvlJc w:val="left"/>
      <w:pPr>
        <w:ind w:left="3175" w:hanging="360"/>
      </w:pPr>
      <w:rPr>
        <w:rFonts w:ascii="Symbol" w:hAnsi="Symbol" w:hint="default"/>
      </w:rPr>
    </w:lvl>
    <w:lvl w:ilvl="4" w:tplc="0C090003" w:tentative="1">
      <w:start w:val="1"/>
      <w:numFmt w:val="bullet"/>
      <w:lvlText w:val="o"/>
      <w:lvlJc w:val="left"/>
      <w:pPr>
        <w:ind w:left="3895" w:hanging="360"/>
      </w:pPr>
      <w:rPr>
        <w:rFonts w:ascii="Courier New" w:hAnsi="Courier New" w:cs="Courier New" w:hint="default"/>
      </w:rPr>
    </w:lvl>
    <w:lvl w:ilvl="5" w:tplc="0C090005" w:tentative="1">
      <w:start w:val="1"/>
      <w:numFmt w:val="bullet"/>
      <w:lvlText w:val=""/>
      <w:lvlJc w:val="left"/>
      <w:pPr>
        <w:ind w:left="4615" w:hanging="360"/>
      </w:pPr>
      <w:rPr>
        <w:rFonts w:ascii="Wingdings" w:hAnsi="Wingdings" w:hint="default"/>
      </w:rPr>
    </w:lvl>
    <w:lvl w:ilvl="6" w:tplc="0C090001" w:tentative="1">
      <w:start w:val="1"/>
      <w:numFmt w:val="bullet"/>
      <w:lvlText w:val=""/>
      <w:lvlJc w:val="left"/>
      <w:pPr>
        <w:ind w:left="5335" w:hanging="360"/>
      </w:pPr>
      <w:rPr>
        <w:rFonts w:ascii="Symbol" w:hAnsi="Symbol" w:hint="default"/>
      </w:rPr>
    </w:lvl>
    <w:lvl w:ilvl="7" w:tplc="0C090003" w:tentative="1">
      <w:start w:val="1"/>
      <w:numFmt w:val="bullet"/>
      <w:lvlText w:val="o"/>
      <w:lvlJc w:val="left"/>
      <w:pPr>
        <w:ind w:left="6055" w:hanging="360"/>
      </w:pPr>
      <w:rPr>
        <w:rFonts w:ascii="Courier New" w:hAnsi="Courier New" w:cs="Courier New" w:hint="default"/>
      </w:rPr>
    </w:lvl>
    <w:lvl w:ilvl="8" w:tplc="0C090005" w:tentative="1">
      <w:start w:val="1"/>
      <w:numFmt w:val="bullet"/>
      <w:lvlText w:val=""/>
      <w:lvlJc w:val="left"/>
      <w:pPr>
        <w:ind w:left="6775" w:hanging="360"/>
      </w:pPr>
      <w:rPr>
        <w:rFonts w:ascii="Wingdings" w:hAnsi="Wingdings" w:hint="default"/>
      </w:rPr>
    </w:lvl>
  </w:abstractNum>
  <w:abstractNum w:abstractNumId="110" w15:restartNumberingAfterBreak="0">
    <w:nsid w:val="40CD36C9"/>
    <w:multiLevelType w:val="hybridMultilevel"/>
    <w:tmpl w:val="917AA308"/>
    <w:lvl w:ilvl="0" w:tplc="44EEC084">
      <w:start w:val="1"/>
      <w:numFmt w:val="bullet"/>
      <w:lvlText w:val="&gt;"/>
      <w:lvlJc w:val="left"/>
      <w:pPr>
        <w:ind w:left="360" w:hanging="360"/>
      </w:pPr>
      <w:rPr>
        <w:rFonts w:ascii="HelveticaNeueLT Std" w:hAnsi="HelveticaNeueLT Std"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1" w15:restartNumberingAfterBreak="0">
    <w:nsid w:val="414422AC"/>
    <w:multiLevelType w:val="hybridMultilevel"/>
    <w:tmpl w:val="98B01C98"/>
    <w:lvl w:ilvl="0" w:tplc="44EEC084">
      <w:start w:val="1"/>
      <w:numFmt w:val="bullet"/>
      <w:lvlText w:val="&gt;"/>
      <w:lvlJc w:val="left"/>
      <w:pPr>
        <w:ind w:left="360" w:hanging="360"/>
      </w:pPr>
      <w:rPr>
        <w:rFonts w:ascii="HelveticaNeueLT Std" w:hAnsi="HelveticaNeueLT Std"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2" w15:restartNumberingAfterBreak="0">
    <w:nsid w:val="41680419"/>
    <w:multiLevelType w:val="hybridMultilevel"/>
    <w:tmpl w:val="76F2A8B2"/>
    <w:lvl w:ilvl="0" w:tplc="B3463CB6">
      <w:start w:val="2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41E70333"/>
    <w:multiLevelType w:val="hybridMultilevel"/>
    <w:tmpl w:val="E13A221E"/>
    <w:lvl w:ilvl="0" w:tplc="1A3020EC">
      <w:start w:val="1"/>
      <w:numFmt w:val="bullet"/>
      <w:lvlText w:val=""/>
      <w:lvlPicBulletId w:val="1"/>
      <w:lvlJc w:val="left"/>
      <w:pPr>
        <w:tabs>
          <w:tab w:val="num" w:pos="720"/>
        </w:tabs>
        <w:ind w:left="720" w:hanging="360"/>
      </w:pPr>
      <w:rPr>
        <w:rFonts w:ascii="Symbol" w:hAnsi="Symbol" w:hint="default"/>
      </w:rPr>
    </w:lvl>
    <w:lvl w:ilvl="1" w:tplc="777AF68E" w:tentative="1">
      <w:start w:val="1"/>
      <w:numFmt w:val="bullet"/>
      <w:lvlText w:val=""/>
      <w:lvlJc w:val="left"/>
      <w:pPr>
        <w:tabs>
          <w:tab w:val="num" w:pos="1440"/>
        </w:tabs>
        <w:ind w:left="1440" w:hanging="360"/>
      </w:pPr>
      <w:rPr>
        <w:rFonts w:ascii="Symbol" w:hAnsi="Symbol" w:hint="default"/>
      </w:rPr>
    </w:lvl>
    <w:lvl w:ilvl="2" w:tplc="67520C24" w:tentative="1">
      <w:start w:val="1"/>
      <w:numFmt w:val="bullet"/>
      <w:lvlText w:val=""/>
      <w:lvlJc w:val="left"/>
      <w:pPr>
        <w:tabs>
          <w:tab w:val="num" w:pos="2160"/>
        </w:tabs>
        <w:ind w:left="2160" w:hanging="360"/>
      </w:pPr>
      <w:rPr>
        <w:rFonts w:ascii="Symbol" w:hAnsi="Symbol" w:hint="default"/>
      </w:rPr>
    </w:lvl>
    <w:lvl w:ilvl="3" w:tplc="02C203D4" w:tentative="1">
      <w:start w:val="1"/>
      <w:numFmt w:val="bullet"/>
      <w:lvlText w:val=""/>
      <w:lvlJc w:val="left"/>
      <w:pPr>
        <w:tabs>
          <w:tab w:val="num" w:pos="2880"/>
        </w:tabs>
        <w:ind w:left="2880" w:hanging="360"/>
      </w:pPr>
      <w:rPr>
        <w:rFonts w:ascii="Symbol" w:hAnsi="Symbol" w:hint="default"/>
      </w:rPr>
    </w:lvl>
    <w:lvl w:ilvl="4" w:tplc="4E50A3F8" w:tentative="1">
      <w:start w:val="1"/>
      <w:numFmt w:val="bullet"/>
      <w:lvlText w:val=""/>
      <w:lvlJc w:val="left"/>
      <w:pPr>
        <w:tabs>
          <w:tab w:val="num" w:pos="3600"/>
        </w:tabs>
        <w:ind w:left="3600" w:hanging="360"/>
      </w:pPr>
      <w:rPr>
        <w:rFonts w:ascii="Symbol" w:hAnsi="Symbol" w:hint="default"/>
      </w:rPr>
    </w:lvl>
    <w:lvl w:ilvl="5" w:tplc="EE548E36" w:tentative="1">
      <w:start w:val="1"/>
      <w:numFmt w:val="bullet"/>
      <w:lvlText w:val=""/>
      <w:lvlJc w:val="left"/>
      <w:pPr>
        <w:tabs>
          <w:tab w:val="num" w:pos="4320"/>
        </w:tabs>
        <w:ind w:left="4320" w:hanging="360"/>
      </w:pPr>
      <w:rPr>
        <w:rFonts w:ascii="Symbol" w:hAnsi="Symbol" w:hint="default"/>
      </w:rPr>
    </w:lvl>
    <w:lvl w:ilvl="6" w:tplc="2C88E95C" w:tentative="1">
      <w:start w:val="1"/>
      <w:numFmt w:val="bullet"/>
      <w:lvlText w:val=""/>
      <w:lvlJc w:val="left"/>
      <w:pPr>
        <w:tabs>
          <w:tab w:val="num" w:pos="5040"/>
        </w:tabs>
        <w:ind w:left="5040" w:hanging="360"/>
      </w:pPr>
      <w:rPr>
        <w:rFonts w:ascii="Symbol" w:hAnsi="Symbol" w:hint="default"/>
      </w:rPr>
    </w:lvl>
    <w:lvl w:ilvl="7" w:tplc="10529120" w:tentative="1">
      <w:start w:val="1"/>
      <w:numFmt w:val="bullet"/>
      <w:lvlText w:val=""/>
      <w:lvlJc w:val="left"/>
      <w:pPr>
        <w:tabs>
          <w:tab w:val="num" w:pos="5760"/>
        </w:tabs>
        <w:ind w:left="5760" w:hanging="360"/>
      </w:pPr>
      <w:rPr>
        <w:rFonts w:ascii="Symbol" w:hAnsi="Symbol" w:hint="default"/>
      </w:rPr>
    </w:lvl>
    <w:lvl w:ilvl="8" w:tplc="DDB064F2" w:tentative="1">
      <w:start w:val="1"/>
      <w:numFmt w:val="bullet"/>
      <w:lvlText w:val=""/>
      <w:lvlJc w:val="left"/>
      <w:pPr>
        <w:tabs>
          <w:tab w:val="num" w:pos="6480"/>
        </w:tabs>
        <w:ind w:left="6480" w:hanging="360"/>
      </w:pPr>
      <w:rPr>
        <w:rFonts w:ascii="Symbol" w:hAnsi="Symbol" w:hint="default"/>
      </w:rPr>
    </w:lvl>
  </w:abstractNum>
  <w:abstractNum w:abstractNumId="114" w15:restartNumberingAfterBreak="0">
    <w:nsid w:val="427E1B66"/>
    <w:multiLevelType w:val="hybridMultilevel"/>
    <w:tmpl w:val="B246DCB0"/>
    <w:lvl w:ilvl="0" w:tplc="E89ADF34">
      <w:start w:val="1"/>
      <w:numFmt w:val="bullet"/>
      <w:lvlText w:val=""/>
      <w:lvlPicBulletId w:val="0"/>
      <w:lvlJc w:val="left"/>
      <w:pPr>
        <w:tabs>
          <w:tab w:val="num" w:pos="720"/>
        </w:tabs>
        <w:ind w:left="720" w:hanging="360"/>
      </w:pPr>
      <w:rPr>
        <w:rFonts w:ascii="Symbol" w:hAnsi="Symbol" w:hint="default"/>
      </w:rPr>
    </w:lvl>
    <w:lvl w:ilvl="1" w:tplc="8182F6A4" w:tentative="1">
      <w:start w:val="1"/>
      <w:numFmt w:val="bullet"/>
      <w:lvlText w:val=""/>
      <w:lvlJc w:val="left"/>
      <w:pPr>
        <w:tabs>
          <w:tab w:val="num" w:pos="1440"/>
        </w:tabs>
        <w:ind w:left="1440" w:hanging="360"/>
      </w:pPr>
      <w:rPr>
        <w:rFonts w:ascii="Symbol" w:hAnsi="Symbol" w:hint="default"/>
      </w:rPr>
    </w:lvl>
    <w:lvl w:ilvl="2" w:tplc="950EC966" w:tentative="1">
      <w:start w:val="1"/>
      <w:numFmt w:val="bullet"/>
      <w:lvlText w:val=""/>
      <w:lvlJc w:val="left"/>
      <w:pPr>
        <w:tabs>
          <w:tab w:val="num" w:pos="2160"/>
        </w:tabs>
        <w:ind w:left="2160" w:hanging="360"/>
      </w:pPr>
      <w:rPr>
        <w:rFonts w:ascii="Symbol" w:hAnsi="Symbol" w:hint="default"/>
      </w:rPr>
    </w:lvl>
    <w:lvl w:ilvl="3" w:tplc="C14E5792" w:tentative="1">
      <w:start w:val="1"/>
      <w:numFmt w:val="bullet"/>
      <w:lvlText w:val=""/>
      <w:lvlJc w:val="left"/>
      <w:pPr>
        <w:tabs>
          <w:tab w:val="num" w:pos="2880"/>
        </w:tabs>
        <w:ind w:left="2880" w:hanging="360"/>
      </w:pPr>
      <w:rPr>
        <w:rFonts w:ascii="Symbol" w:hAnsi="Symbol" w:hint="default"/>
      </w:rPr>
    </w:lvl>
    <w:lvl w:ilvl="4" w:tplc="FD4E3D04" w:tentative="1">
      <w:start w:val="1"/>
      <w:numFmt w:val="bullet"/>
      <w:lvlText w:val=""/>
      <w:lvlJc w:val="left"/>
      <w:pPr>
        <w:tabs>
          <w:tab w:val="num" w:pos="3600"/>
        </w:tabs>
        <w:ind w:left="3600" w:hanging="360"/>
      </w:pPr>
      <w:rPr>
        <w:rFonts w:ascii="Symbol" w:hAnsi="Symbol" w:hint="default"/>
      </w:rPr>
    </w:lvl>
    <w:lvl w:ilvl="5" w:tplc="2FEE44A8" w:tentative="1">
      <w:start w:val="1"/>
      <w:numFmt w:val="bullet"/>
      <w:lvlText w:val=""/>
      <w:lvlJc w:val="left"/>
      <w:pPr>
        <w:tabs>
          <w:tab w:val="num" w:pos="4320"/>
        </w:tabs>
        <w:ind w:left="4320" w:hanging="360"/>
      </w:pPr>
      <w:rPr>
        <w:rFonts w:ascii="Symbol" w:hAnsi="Symbol" w:hint="default"/>
      </w:rPr>
    </w:lvl>
    <w:lvl w:ilvl="6" w:tplc="5EC4F84A" w:tentative="1">
      <w:start w:val="1"/>
      <w:numFmt w:val="bullet"/>
      <w:lvlText w:val=""/>
      <w:lvlJc w:val="left"/>
      <w:pPr>
        <w:tabs>
          <w:tab w:val="num" w:pos="5040"/>
        </w:tabs>
        <w:ind w:left="5040" w:hanging="360"/>
      </w:pPr>
      <w:rPr>
        <w:rFonts w:ascii="Symbol" w:hAnsi="Symbol" w:hint="default"/>
      </w:rPr>
    </w:lvl>
    <w:lvl w:ilvl="7" w:tplc="CBC4CBB0" w:tentative="1">
      <w:start w:val="1"/>
      <w:numFmt w:val="bullet"/>
      <w:lvlText w:val=""/>
      <w:lvlJc w:val="left"/>
      <w:pPr>
        <w:tabs>
          <w:tab w:val="num" w:pos="5760"/>
        </w:tabs>
        <w:ind w:left="5760" w:hanging="360"/>
      </w:pPr>
      <w:rPr>
        <w:rFonts w:ascii="Symbol" w:hAnsi="Symbol" w:hint="default"/>
      </w:rPr>
    </w:lvl>
    <w:lvl w:ilvl="8" w:tplc="B3A2FAE4" w:tentative="1">
      <w:start w:val="1"/>
      <w:numFmt w:val="bullet"/>
      <w:lvlText w:val=""/>
      <w:lvlJc w:val="left"/>
      <w:pPr>
        <w:tabs>
          <w:tab w:val="num" w:pos="6480"/>
        </w:tabs>
        <w:ind w:left="6480" w:hanging="360"/>
      </w:pPr>
      <w:rPr>
        <w:rFonts w:ascii="Symbol" w:hAnsi="Symbol" w:hint="default"/>
      </w:rPr>
    </w:lvl>
  </w:abstractNum>
  <w:abstractNum w:abstractNumId="115" w15:restartNumberingAfterBreak="0">
    <w:nsid w:val="42D056CD"/>
    <w:multiLevelType w:val="hybridMultilevel"/>
    <w:tmpl w:val="365E40A0"/>
    <w:lvl w:ilvl="0" w:tplc="CB1C8CB0">
      <w:start w:val="1"/>
      <w:numFmt w:val="bullet"/>
      <w:lvlText w:val="&gt;"/>
      <w:lvlJc w:val="left"/>
      <w:pPr>
        <w:tabs>
          <w:tab w:val="num" w:pos="644"/>
        </w:tabs>
        <w:ind w:left="644" w:hanging="360"/>
      </w:pPr>
      <w:rPr>
        <w:rFonts w:ascii="Arial" w:hAnsi="Arial" w:cs="Times New Roman" w:hint="default"/>
      </w:rPr>
    </w:lvl>
    <w:lvl w:ilvl="1" w:tplc="C8C0F1DE">
      <w:start w:val="124"/>
      <w:numFmt w:val="bullet"/>
      <w:lvlText w:val="&gt;"/>
      <w:lvlJc w:val="left"/>
      <w:pPr>
        <w:tabs>
          <w:tab w:val="num" w:pos="1364"/>
        </w:tabs>
        <w:ind w:left="1364" w:hanging="360"/>
      </w:pPr>
      <w:rPr>
        <w:rFonts w:ascii="Arial" w:hAnsi="Arial" w:cs="Times New Roman" w:hint="default"/>
      </w:rPr>
    </w:lvl>
    <w:lvl w:ilvl="2" w:tplc="60CCFA52">
      <w:start w:val="1"/>
      <w:numFmt w:val="bullet"/>
      <w:lvlText w:val="&gt;"/>
      <w:lvlJc w:val="left"/>
      <w:pPr>
        <w:tabs>
          <w:tab w:val="num" w:pos="2084"/>
        </w:tabs>
        <w:ind w:left="2084" w:hanging="360"/>
      </w:pPr>
      <w:rPr>
        <w:rFonts w:ascii="Arial" w:hAnsi="Arial" w:cs="Times New Roman" w:hint="default"/>
      </w:rPr>
    </w:lvl>
    <w:lvl w:ilvl="3" w:tplc="D7D6CD62">
      <w:start w:val="124"/>
      <w:numFmt w:val="bullet"/>
      <w:lvlText w:val="&gt;"/>
      <w:lvlJc w:val="left"/>
      <w:pPr>
        <w:tabs>
          <w:tab w:val="num" w:pos="2804"/>
        </w:tabs>
        <w:ind w:left="2804" w:hanging="360"/>
      </w:pPr>
      <w:rPr>
        <w:rFonts w:ascii="Arial" w:hAnsi="Arial" w:cs="Times New Roman" w:hint="default"/>
      </w:rPr>
    </w:lvl>
    <w:lvl w:ilvl="4" w:tplc="DD6E8A12">
      <w:start w:val="124"/>
      <w:numFmt w:val="bullet"/>
      <w:lvlText w:val="&gt;"/>
      <w:lvlJc w:val="left"/>
      <w:pPr>
        <w:tabs>
          <w:tab w:val="num" w:pos="3524"/>
        </w:tabs>
        <w:ind w:left="3524" w:hanging="360"/>
      </w:pPr>
      <w:rPr>
        <w:rFonts w:ascii="Arial" w:hAnsi="Arial" w:cs="Times New Roman" w:hint="default"/>
      </w:rPr>
    </w:lvl>
    <w:lvl w:ilvl="5" w:tplc="595477D8">
      <w:start w:val="1"/>
      <w:numFmt w:val="bullet"/>
      <w:lvlText w:val="&gt;"/>
      <w:lvlJc w:val="left"/>
      <w:pPr>
        <w:tabs>
          <w:tab w:val="num" w:pos="4244"/>
        </w:tabs>
        <w:ind w:left="4244" w:hanging="360"/>
      </w:pPr>
      <w:rPr>
        <w:rFonts w:ascii="Arial" w:hAnsi="Arial" w:cs="Times New Roman" w:hint="default"/>
      </w:rPr>
    </w:lvl>
    <w:lvl w:ilvl="6" w:tplc="18524E36">
      <w:start w:val="1"/>
      <w:numFmt w:val="bullet"/>
      <w:lvlText w:val="&gt;"/>
      <w:lvlJc w:val="left"/>
      <w:pPr>
        <w:tabs>
          <w:tab w:val="num" w:pos="4964"/>
        </w:tabs>
        <w:ind w:left="4964" w:hanging="360"/>
      </w:pPr>
      <w:rPr>
        <w:rFonts w:ascii="Arial" w:hAnsi="Arial" w:cs="Times New Roman" w:hint="default"/>
      </w:rPr>
    </w:lvl>
    <w:lvl w:ilvl="7" w:tplc="E82A51DE">
      <w:start w:val="1"/>
      <w:numFmt w:val="bullet"/>
      <w:lvlText w:val="&gt;"/>
      <w:lvlJc w:val="left"/>
      <w:pPr>
        <w:tabs>
          <w:tab w:val="num" w:pos="5684"/>
        </w:tabs>
        <w:ind w:left="5684" w:hanging="360"/>
      </w:pPr>
      <w:rPr>
        <w:rFonts w:ascii="Arial" w:hAnsi="Arial" w:cs="Times New Roman" w:hint="default"/>
      </w:rPr>
    </w:lvl>
    <w:lvl w:ilvl="8" w:tplc="3BE8B854">
      <w:start w:val="1"/>
      <w:numFmt w:val="bullet"/>
      <w:lvlText w:val="&gt;"/>
      <w:lvlJc w:val="left"/>
      <w:pPr>
        <w:tabs>
          <w:tab w:val="num" w:pos="6404"/>
        </w:tabs>
        <w:ind w:left="6404" w:hanging="360"/>
      </w:pPr>
      <w:rPr>
        <w:rFonts w:ascii="Arial" w:hAnsi="Arial" w:cs="Times New Roman" w:hint="default"/>
      </w:rPr>
    </w:lvl>
  </w:abstractNum>
  <w:abstractNum w:abstractNumId="116" w15:restartNumberingAfterBreak="0">
    <w:nsid w:val="44651863"/>
    <w:multiLevelType w:val="hybridMultilevel"/>
    <w:tmpl w:val="73B2FCE8"/>
    <w:lvl w:ilvl="0" w:tplc="FD92578E">
      <w:start w:val="1"/>
      <w:numFmt w:val="bullet"/>
      <w:lvlText w:val=""/>
      <w:lvlPicBulletId w:val="1"/>
      <w:lvlJc w:val="left"/>
      <w:pPr>
        <w:tabs>
          <w:tab w:val="num" w:pos="720"/>
        </w:tabs>
        <w:ind w:left="720" w:hanging="360"/>
      </w:pPr>
      <w:rPr>
        <w:rFonts w:ascii="Symbol" w:hAnsi="Symbol" w:hint="default"/>
      </w:rPr>
    </w:lvl>
    <w:lvl w:ilvl="1" w:tplc="5136153E" w:tentative="1">
      <w:start w:val="1"/>
      <w:numFmt w:val="bullet"/>
      <w:lvlText w:val=""/>
      <w:lvlJc w:val="left"/>
      <w:pPr>
        <w:tabs>
          <w:tab w:val="num" w:pos="1440"/>
        </w:tabs>
        <w:ind w:left="1440" w:hanging="360"/>
      </w:pPr>
      <w:rPr>
        <w:rFonts w:ascii="Symbol" w:hAnsi="Symbol" w:hint="default"/>
      </w:rPr>
    </w:lvl>
    <w:lvl w:ilvl="2" w:tplc="4802E5A2" w:tentative="1">
      <w:start w:val="1"/>
      <w:numFmt w:val="bullet"/>
      <w:lvlText w:val=""/>
      <w:lvlJc w:val="left"/>
      <w:pPr>
        <w:tabs>
          <w:tab w:val="num" w:pos="2160"/>
        </w:tabs>
        <w:ind w:left="2160" w:hanging="360"/>
      </w:pPr>
      <w:rPr>
        <w:rFonts w:ascii="Symbol" w:hAnsi="Symbol" w:hint="default"/>
      </w:rPr>
    </w:lvl>
    <w:lvl w:ilvl="3" w:tplc="324872B2" w:tentative="1">
      <w:start w:val="1"/>
      <w:numFmt w:val="bullet"/>
      <w:lvlText w:val=""/>
      <w:lvlJc w:val="left"/>
      <w:pPr>
        <w:tabs>
          <w:tab w:val="num" w:pos="2880"/>
        </w:tabs>
        <w:ind w:left="2880" w:hanging="360"/>
      </w:pPr>
      <w:rPr>
        <w:rFonts w:ascii="Symbol" w:hAnsi="Symbol" w:hint="default"/>
      </w:rPr>
    </w:lvl>
    <w:lvl w:ilvl="4" w:tplc="9F3AE9C8" w:tentative="1">
      <w:start w:val="1"/>
      <w:numFmt w:val="bullet"/>
      <w:lvlText w:val=""/>
      <w:lvlJc w:val="left"/>
      <w:pPr>
        <w:tabs>
          <w:tab w:val="num" w:pos="3600"/>
        </w:tabs>
        <w:ind w:left="3600" w:hanging="360"/>
      </w:pPr>
      <w:rPr>
        <w:rFonts w:ascii="Symbol" w:hAnsi="Symbol" w:hint="default"/>
      </w:rPr>
    </w:lvl>
    <w:lvl w:ilvl="5" w:tplc="412ED276" w:tentative="1">
      <w:start w:val="1"/>
      <w:numFmt w:val="bullet"/>
      <w:lvlText w:val=""/>
      <w:lvlJc w:val="left"/>
      <w:pPr>
        <w:tabs>
          <w:tab w:val="num" w:pos="4320"/>
        </w:tabs>
        <w:ind w:left="4320" w:hanging="360"/>
      </w:pPr>
      <w:rPr>
        <w:rFonts w:ascii="Symbol" w:hAnsi="Symbol" w:hint="default"/>
      </w:rPr>
    </w:lvl>
    <w:lvl w:ilvl="6" w:tplc="A98C07E8" w:tentative="1">
      <w:start w:val="1"/>
      <w:numFmt w:val="bullet"/>
      <w:lvlText w:val=""/>
      <w:lvlJc w:val="left"/>
      <w:pPr>
        <w:tabs>
          <w:tab w:val="num" w:pos="5040"/>
        </w:tabs>
        <w:ind w:left="5040" w:hanging="360"/>
      </w:pPr>
      <w:rPr>
        <w:rFonts w:ascii="Symbol" w:hAnsi="Symbol" w:hint="default"/>
      </w:rPr>
    </w:lvl>
    <w:lvl w:ilvl="7" w:tplc="C35E8908" w:tentative="1">
      <w:start w:val="1"/>
      <w:numFmt w:val="bullet"/>
      <w:lvlText w:val=""/>
      <w:lvlJc w:val="left"/>
      <w:pPr>
        <w:tabs>
          <w:tab w:val="num" w:pos="5760"/>
        </w:tabs>
        <w:ind w:left="5760" w:hanging="360"/>
      </w:pPr>
      <w:rPr>
        <w:rFonts w:ascii="Symbol" w:hAnsi="Symbol" w:hint="default"/>
      </w:rPr>
    </w:lvl>
    <w:lvl w:ilvl="8" w:tplc="5FFA674A" w:tentative="1">
      <w:start w:val="1"/>
      <w:numFmt w:val="bullet"/>
      <w:lvlText w:val=""/>
      <w:lvlJc w:val="left"/>
      <w:pPr>
        <w:tabs>
          <w:tab w:val="num" w:pos="6480"/>
        </w:tabs>
        <w:ind w:left="6480" w:hanging="360"/>
      </w:pPr>
      <w:rPr>
        <w:rFonts w:ascii="Symbol" w:hAnsi="Symbol" w:hint="default"/>
      </w:rPr>
    </w:lvl>
  </w:abstractNum>
  <w:abstractNum w:abstractNumId="117" w15:restartNumberingAfterBreak="0">
    <w:nsid w:val="448446BB"/>
    <w:multiLevelType w:val="hybridMultilevel"/>
    <w:tmpl w:val="7B2CC474"/>
    <w:lvl w:ilvl="0" w:tplc="498878BA">
      <w:start w:val="1"/>
      <w:numFmt w:val="bullet"/>
      <w:lvlText w:val=""/>
      <w:lvlPicBulletId w:val="1"/>
      <w:lvlJc w:val="left"/>
      <w:pPr>
        <w:tabs>
          <w:tab w:val="num" w:pos="720"/>
        </w:tabs>
        <w:ind w:left="720" w:hanging="360"/>
      </w:pPr>
      <w:rPr>
        <w:rFonts w:ascii="Symbol" w:hAnsi="Symbol" w:hint="default"/>
      </w:rPr>
    </w:lvl>
    <w:lvl w:ilvl="1" w:tplc="0DACFCE4" w:tentative="1">
      <w:start w:val="1"/>
      <w:numFmt w:val="bullet"/>
      <w:lvlText w:val=""/>
      <w:lvlJc w:val="left"/>
      <w:pPr>
        <w:tabs>
          <w:tab w:val="num" w:pos="1440"/>
        </w:tabs>
        <w:ind w:left="1440" w:hanging="360"/>
      </w:pPr>
      <w:rPr>
        <w:rFonts w:ascii="Symbol" w:hAnsi="Symbol" w:hint="default"/>
      </w:rPr>
    </w:lvl>
    <w:lvl w:ilvl="2" w:tplc="4B28D05E" w:tentative="1">
      <w:start w:val="1"/>
      <w:numFmt w:val="bullet"/>
      <w:lvlText w:val=""/>
      <w:lvlJc w:val="left"/>
      <w:pPr>
        <w:tabs>
          <w:tab w:val="num" w:pos="2160"/>
        </w:tabs>
        <w:ind w:left="2160" w:hanging="360"/>
      </w:pPr>
      <w:rPr>
        <w:rFonts w:ascii="Symbol" w:hAnsi="Symbol" w:hint="default"/>
      </w:rPr>
    </w:lvl>
    <w:lvl w:ilvl="3" w:tplc="3FCA7634" w:tentative="1">
      <w:start w:val="1"/>
      <w:numFmt w:val="bullet"/>
      <w:lvlText w:val=""/>
      <w:lvlJc w:val="left"/>
      <w:pPr>
        <w:tabs>
          <w:tab w:val="num" w:pos="2880"/>
        </w:tabs>
        <w:ind w:left="2880" w:hanging="360"/>
      </w:pPr>
      <w:rPr>
        <w:rFonts w:ascii="Symbol" w:hAnsi="Symbol" w:hint="default"/>
      </w:rPr>
    </w:lvl>
    <w:lvl w:ilvl="4" w:tplc="4290EADA" w:tentative="1">
      <w:start w:val="1"/>
      <w:numFmt w:val="bullet"/>
      <w:lvlText w:val=""/>
      <w:lvlJc w:val="left"/>
      <w:pPr>
        <w:tabs>
          <w:tab w:val="num" w:pos="3600"/>
        </w:tabs>
        <w:ind w:left="3600" w:hanging="360"/>
      </w:pPr>
      <w:rPr>
        <w:rFonts w:ascii="Symbol" w:hAnsi="Symbol" w:hint="default"/>
      </w:rPr>
    </w:lvl>
    <w:lvl w:ilvl="5" w:tplc="6E5E6F50" w:tentative="1">
      <w:start w:val="1"/>
      <w:numFmt w:val="bullet"/>
      <w:lvlText w:val=""/>
      <w:lvlJc w:val="left"/>
      <w:pPr>
        <w:tabs>
          <w:tab w:val="num" w:pos="4320"/>
        </w:tabs>
        <w:ind w:left="4320" w:hanging="360"/>
      </w:pPr>
      <w:rPr>
        <w:rFonts w:ascii="Symbol" w:hAnsi="Symbol" w:hint="default"/>
      </w:rPr>
    </w:lvl>
    <w:lvl w:ilvl="6" w:tplc="C2280C66" w:tentative="1">
      <w:start w:val="1"/>
      <w:numFmt w:val="bullet"/>
      <w:lvlText w:val=""/>
      <w:lvlJc w:val="left"/>
      <w:pPr>
        <w:tabs>
          <w:tab w:val="num" w:pos="5040"/>
        </w:tabs>
        <w:ind w:left="5040" w:hanging="360"/>
      </w:pPr>
      <w:rPr>
        <w:rFonts w:ascii="Symbol" w:hAnsi="Symbol" w:hint="default"/>
      </w:rPr>
    </w:lvl>
    <w:lvl w:ilvl="7" w:tplc="11AAEF54" w:tentative="1">
      <w:start w:val="1"/>
      <w:numFmt w:val="bullet"/>
      <w:lvlText w:val=""/>
      <w:lvlJc w:val="left"/>
      <w:pPr>
        <w:tabs>
          <w:tab w:val="num" w:pos="5760"/>
        </w:tabs>
        <w:ind w:left="5760" w:hanging="360"/>
      </w:pPr>
      <w:rPr>
        <w:rFonts w:ascii="Symbol" w:hAnsi="Symbol" w:hint="default"/>
      </w:rPr>
    </w:lvl>
    <w:lvl w:ilvl="8" w:tplc="29F02556" w:tentative="1">
      <w:start w:val="1"/>
      <w:numFmt w:val="bullet"/>
      <w:lvlText w:val=""/>
      <w:lvlJc w:val="left"/>
      <w:pPr>
        <w:tabs>
          <w:tab w:val="num" w:pos="6480"/>
        </w:tabs>
        <w:ind w:left="6480" w:hanging="360"/>
      </w:pPr>
      <w:rPr>
        <w:rFonts w:ascii="Symbol" w:hAnsi="Symbol" w:hint="default"/>
      </w:rPr>
    </w:lvl>
  </w:abstractNum>
  <w:abstractNum w:abstractNumId="118" w15:restartNumberingAfterBreak="0">
    <w:nsid w:val="44A5262F"/>
    <w:multiLevelType w:val="hybridMultilevel"/>
    <w:tmpl w:val="2C96ECD8"/>
    <w:lvl w:ilvl="0" w:tplc="08D2AB58">
      <w:start w:val="1"/>
      <w:numFmt w:val="bullet"/>
      <w:lvlText w:val="&gt;"/>
      <w:lvlJc w:val="left"/>
      <w:pPr>
        <w:ind w:left="2279" w:hanging="360"/>
      </w:pPr>
      <w:rPr>
        <w:rFonts w:ascii="HelveticaNeueLT Std Lt" w:hAnsi="HelveticaNeueLT Std Lt" w:hint="default"/>
        <w:sz w:val="20"/>
      </w:rPr>
    </w:lvl>
    <w:lvl w:ilvl="1" w:tplc="0C090003" w:tentative="1">
      <w:start w:val="1"/>
      <w:numFmt w:val="bullet"/>
      <w:lvlText w:val="o"/>
      <w:lvlJc w:val="left"/>
      <w:pPr>
        <w:ind w:left="2999" w:hanging="360"/>
      </w:pPr>
      <w:rPr>
        <w:rFonts w:ascii="Courier New" w:hAnsi="Courier New" w:cs="Courier New" w:hint="default"/>
      </w:rPr>
    </w:lvl>
    <w:lvl w:ilvl="2" w:tplc="0C090005" w:tentative="1">
      <w:start w:val="1"/>
      <w:numFmt w:val="bullet"/>
      <w:lvlText w:val=""/>
      <w:lvlJc w:val="left"/>
      <w:pPr>
        <w:ind w:left="3719" w:hanging="360"/>
      </w:pPr>
      <w:rPr>
        <w:rFonts w:ascii="Wingdings" w:hAnsi="Wingdings" w:hint="default"/>
      </w:rPr>
    </w:lvl>
    <w:lvl w:ilvl="3" w:tplc="0C090001" w:tentative="1">
      <w:start w:val="1"/>
      <w:numFmt w:val="bullet"/>
      <w:lvlText w:val=""/>
      <w:lvlJc w:val="left"/>
      <w:pPr>
        <w:ind w:left="4439" w:hanging="360"/>
      </w:pPr>
      <w:rPr>
        <w:rFonts w:ascii="Symbol" w:hAnsi="Symbol" w:hint="default"/>
      </w:rPr>
    </w:lvl>
    <w:lvl w:ilvl="4" w:tplc="0C090003" w:tentative="1">
      <w:start w:val="1"/>
      <w:numFmt w:val="bullet"/>
      <w:lvlText w:val="o"/>
      <w:lvlJc w:val="left"/>
      <w:pPr>
        <w:ind w:left="5159" w:hanging="360"/>
      </w:pPr>
      <w:rPr>
        <w:rFonts w:ascii="Courier New" w:hAnsi="Courier New" w:cs="Courier New" w:hint="default"/>
      </w:rPr>
    </w:lvl>
    <w:lvl w:ilvl="5" w:tplc="0C090005" w:tentative="1">
      <w:start w:val="1"/>
      <w:numFmt w:val="bullet"/>
      <w:lvlText w:val=""/>
      <w:lvlJc w:val="left"/>
      <w:pPr>
        <w:ind w:left="5879" w:hanging="360"/>
      </w:pPr>
      <w:rPr>
        <w:rFonts w:ascii="Wingdings" w:hAnsi="Wingdings" w:hint="default"/>
      </w:rPr>
    </w:lvl>
    <w:lvl w:ilvl="6" w:tplc="0C090001" w:tentative="1">
      <w:start w:val="1"/>
      <w:numFmt w:val="bullet"/>
      <w:lvlText w:val=""/>
      <w:lvlJc w:val="left"/>
      <w:pPr>
        <w:ind w:left="6599" w:hanging="360"/>
      </w:pPr>
      <w:rPr>
        <w:rFonts w:ascii="Symbol" w:hAnsi="Symbol" w:hint="default"/>
      </w:rPr>
    </w:lvl>
    <w:lvl w:ilvl="7" w:tplc="0C090003" w:tentative="1">
      <w:start w:val="1"/>
      <w:numFmt w:val="bullet"/>
      <w:lvlText w:val="o"/>
      <w:lvlJc w:val="left"/>
      <w:pPr>
        <w:ind w:left="7319" w:hanging="360"/>
      </w:pPr>
      <w:rPr>
        <w:rFonts w:ascii="Courier New" w:hAnsi="Courier New" w:cs="Courier New" w:hint="default"/>
      </w:rPr>
    </w:lvl>
    <w:lvl w:ilvl="8" w:tplc="0C090005" w:tentative="1">
      <w:start w:val="1"/>
      <w:numFmt w:val="bullet"/>
      <w:lvlText w:val=""/>
      <w:lvlJc w:val="left"/>
      <w:pPr>
        <w:ind w:left="8039" w:hanging="360"/>
      </w:pPr>
      <w:rPr>
        <w:rFonts w:ascii="Wingdings" w:hAnsi="Wingdings" w:hint="default"/>
      </w:rPr>
    </w:lvl>
  </w:abstractNum>
  <w:abstractNum w:abstractNumId="119" w15:restartNumberingAfterBreak="0">
    <w:nsid w:val="44A53387"/>
    <w:multiLevelType w:val="hybridMultilevel"/>
    <w:tmpl w:val="7960C05C"/>
    <w:lvl w:ilvl="0" w:tplc="A4EA357E">
      <w:start w:val="1"/>
      <w:numFmt w:val="bullet"/>
      <w:lvlText w:val="&gt;"/>
      <w:lvlJc w:val="left"/>
      <w:pPr>
        <w:ind w:left="720" w:hanging="360"/>
      </w:pPr>
      <w:rPr>
        <w:rFonts w:ascii="HelveticaNeueLT Std Lt" w:hAnsi="HelveticaNeueLT Std Lt"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457B4CDB"/>
    <w:multiLevelType w:val="hybridMultilevel"/>
    <w:tmpl w:val="71DC702E"/>
    <w:lvl w:ilvl="0" w:tplc="15FE0DB2">
      <w:start w:val="1"/>
      <w:numFmt w:val="bullet"/>
      <w:lvlText w:val=""/>
      <w:lvlPicBulletId w:val="0"/>
      <w:lvlJc w:val="left"/>
      <w:pPr>
        <w:tabs>
          <w:tab w:val="num" w:pos="720"/>
        </w:tabs>
        <w:ind w:left="720" w:hanging="360"/>
      </w:pPr>
      <w:rPr>
        <w:rFonts w:ascii="Symbol" w:hAnsi="Symbol" w:hint="default"/>
      </w:rPr>
    </w:lvl>
    <w:lvl w:ilvl="1" w:tplc="B85E6E14" w:tentative="1">
      <w:start w:val="1"/>
      <w:numFmt w:val="bullet"/>
      <w:lvlText w:val=""/>
      <w:lvlJc w:val="left"/>
      <w:pPr>
        <w:tabs>
          <w:tab w:val="num" w:pos="1440"/>
        </w:tabs>
        <w:ind w:left="1440" w:hanging="360"/>
      </w:pPr>
      <w:rPr>
        <w:rFonts w:ascii="Symbol" w:hAnsi="Symbol" w:hint="default"/>
      </w:rPr>
    </w:lvl>
    <w:lvl w:ilvl="2" w:tplc="61B244F8" w:tentative="1">
      <w:start w:val="1"/>
      <w:numFmt w:val="bullet"/>
      <w:lvlText w:val=""/>
      <w:lvlJc w:val="left"/>
      <w:pPr>
        <w:tabs>
          <w:tab w:val="num" w:pos="2160"/>
        </w:tabs>
        <w:ind w:left="2160" w:hanging="360"/>
      </w:pPr>
      <w:rPr>
        <w:rFonts w:ascii="Symbol" w:hAnsi="Symbol" w:hint="default"/>
      </w:rPr>
    </w:lvl>
    <w:lvl w:ilvl="3" w:tplc="40A69D38" w:tentative="1">
      <w:start w:val="1"/>
      <w:numFmt w:val="bullet"/>
      <w:lvlText w:val=""/>
      <w:lvlJc w:val="left"/>
      <w:pPr>
        <w:tabs>
          <w:tab w:val="num" w:pos="2880"/>
        </w:tabs>
        <w:ind w:left="2880" w:hanging="360"/>
      </w:pPr>
      <w:rPr>
        <w:rFonts w:ascii="Symbol" w:hAnsi="Symbol" w:hint="default"/>
      </w:rPr>
    </w:lvl>
    <w:lvl w:ilvl="4" w:tplc="01EC0914" w:tentative="1">
      <w:start w:val="1"/>
      <w:numFmt w:val="bullet"/>
      <w:lvlText w:val=""/>
      <w:lvlJc w:val="left"/>
      <w:pPr>
        <w:tabs>
          <w:tab w:val="num" w:pos="3600"/>
        </w:tabs>
        <w:ind w:left="3600" w:hanging="360"/>
      </w:pPr>
      <w:rPr>
        <w:rFonts w:ascii="Symbol" w:hAnsi="Symbol" w:hint="default"/>
      </w:rPr>
    </w:lvl>
    <w:lvl w:ilvl="5" w:tplc="9F46C4B6" w:tentative="1">
      <w:start w:val="1"/>
      <w:numFmt w:val="bullet"/>
      <w:lvlText w:val=""/>
      <w:lvlJc w:val="left"/>
      <w:pPr>
        <w:tabs>
          <w:tab w:val="num" w:pos="4320"/>
        </w:tabs>
        <w:ind w:left="4320" w:hanging="360"/>
      </w:pPr>
      <w:rPr>
        <w:rFonts w:ascii="Symbol" w:hAnsi="Symbol" w:hint="default"/>
      </w:rPr>
    </w:lvl>
    <w:lvl w:ilvl="6" w:tplc="F6F4B426" w:tentative="1">
      <w:start w:val="1"/>
      <w:numFmt w:val="bullet"/>
      <w:lvlText w:val=""/>
      <w:lvlJc w:val="left"/>
      <w:pPr>
        <w:tabs>
          <w:tab w:val="num" w:pos="5040"/>
        </w:tabs>
        <w:ind w:left="5040" w:hanging="360"/>
      </w:pPr>
      <w:rPr>
        <w:rFonts w:ascii="Symbol" w:hAnsi="Symbol" w:hint="default"/>
      </w:rPr>
    </w:lvl>
    <w:lvl w:ilvl="7" w:tplc="8D20AFC8" w:tentative="1">
      <w:start w:val="1"/>
      <w:numFmt w:val="bullet"/>
      <w:lvlText w:val=""/>
      <w:lvlJc w:val="left"/>
      <w:pPr>
        <w:tabs>
          <w:tab w:val="num" w:pos="5760"/>
        </w:tabs>
        <w:ind w:left="5760" w:hanging="360"/>
      </w:pPr>
      <w:rPr>
        <w:rFonts w:ascii="Symbol" w:hAnsi="Symbol" w:hint="default"/>
      </w:rPr>
    </w:lvl>
    <w:lvl w:ilvl="8" w:tplc="3E165CB8" w:tentative="1">
      <w:start w:val="1"/>
      <w:numFmt w:val="bullet"/>
      <w:lvlText w:val=""/>
      <w:lvlJc w:val="left"/>
      <w:pPr>
        <w:tabs>
          <w:tab w:val="num" w:pos="6480"/>
        </w:tabs>
        <w:ind w:left="6480" w:hanging="360"/>
      </w:pPr>
      <w:rPr>
        <w:rFonts w:ascii="Symbol" w:hAnsi="Symbol" w:hint="default"/>
      </w:rPr>
    </w:lvl>
  </w:abstractNum>
  <w:abstractNum w:abstractNumId="121" w15:restartNumberingAfterBreak="0">
    <w:nsid w:val="46043BFA"/>
    <w:multiLevelType w:val="hybridMultilevel"/>
    <w:tmpl w:val="2AFC7C70"/>
    <w:lvl w:ilvl="0" w:tplc="612C60A8">
      <w:start w:val="1"/>
      <w:numFmt w:val="bullet"/>
      <w:lvlText w:val=""/>
      <w:lvlPicBulletId w:val="0"/>
      <w:lvlJc w:val="left"/>
      <w:pPr>
        <w:tabs>
          <w:tab w:val="num" w:pos="720"/>
        </w:tabs>
        <w:ind w:left="720" w:hanging="360"/>
      </w:pPr>
      <w:rPr>
        <w:rFonts w:ascii="Symbol" w:hAnsi="Symbol" w:hint="default"/>
      </w:rPr>
    </w:lvl>
    <w:lvl w:ilvl="1" w:tplc="71C037D6" w:tentative="1">
      <w:start w:val="1"/>
      <w:numFmt w:val="bullet"/>
      <w:lvlText w:val=""/>
      <w:lvlJc w:val="left"/>
      <w:pPr>
        <w:tabs>
          <w:tab w:val="num" w:pos="1440"/>
        </w:tabs>
        <w:ind w:left="1440" w:hanging="360"/>
      </w:pPr>
      <w:rPr>
        <w:rFonts w:ascii="Symbol" w:hAnsi="Symbol" w:hint="default"/>
      </w:rPr>
    </w:lvl>
    <w:lvl w:ilvl="2" w:tplc="6C686168" w:tentative="1">
      <w:start w:val="1"/>
      <w:numFmt w:val="bullet"/>
      <w:lvlText w:val=""/>
      <w:lvlJc w:val="left"/>
      <w:pPr>
        <w:tabs>
          <w:tab w:val="num" w:pos="2160"/>
        </w:tabs>
        <w:ind w:left="2160" w:hanging="360"/>
      </w:pPr>
      <w:rPr>
        <w:rFonts w:ascii="Symbol" w:hAnsi="Symbol" w:hint="default"/>
      </w:rPr>
    </w:lvl>
    <w:lvl w:ilvl="3" w:tplc="59BAB688" w:tentative="1">
      <w:start w:val="1"/>
      <w:numFmt w:val="bullet"/>
      <w:lvlText w:val=""/>
      <w:lvlJc w:val="left"/>
      <w:pPr>
        <w:tabs>
          <w:tab w:val="num" w:pos="2880"/>
        </w:tabs>
        <w:ind w:left="2880" w:hanging="360"/>
      </w:pPr>
      <w:rPr>
        <w:rFonts w:ascii="Symbol" w:hAnsi="Symbol" w:hint="default"/>
      </w:rPr>
    </w:lvl>
    <w:lvl w:ilvl="4" w:tplc="F3640D94" w:tentative="1">
      <w:start w:val="1"/>
      <w:numFmt w:val="bullet"/>
      <w:lvlText w:val=""/>
      <w:lvlJc w:val="left"/>
      <w:pPr>
        <w:tabs>
          <w:tab w:val="num" w:pos="3600"/>
        </w:tabs>
        <w:ind w:left="3600" w:hanging="360"/>
      </w:pPr>
      <w:rPr>
        <w:rFonts w:ascii="Symbol" w:hAnsi="Symbol" w:hint="default"/>
      </w:rPr>
    </w:lvl>
    <w:lvl w:ilvl="5" w:tplc="638A1C5A" w:tentative="1">
      <w:start w:val="1"/>
      <w:numFmt w:val="bullet"/>
      <w:lvlText w:val=""/>
      <w:lvlJc w:val="left"/>
      <w:pPr>
        <w:tabs>
          <w:tab w:val="num" w:pos="4320"/>
        </w:tabs>
        <w:ind w:left="4320" w:hanging="360"/>
      </w:pPr>
      <w:rPr>
        <w:rFonts w:ascii="Symbol" w:hAnsi="Symbol" w:hint="default"/>
      </w:rPr>
    </w:lvl>
    <w:lvl w:ilvl="6" w:tplc="1BBC66CA" w:tentative="1">
      <w:start w:val="1"/>
      <w:numFmt w:val="bullet"/>
      <w:lvlText w:val=""/>
      <w:lvlJc w:val="left"/>
      <w:pPr>
        <w:tabs>
          <w:tab w:val="num" w:pos="5040"/>
        </w:tabs>
        <w:ind w:left="5040" w:hanging="360"/>
      </w:pPr>
      <w:rPr>
        <w:rFonts w:ascii="Symbol" w:hAnsi="Symbol" w:hint="default"/>
      </w:rPr>
    </w:lvl>
    <w:lvl w:ilvl="7" w:tplc="F4C0F5FC" w:tentative="1">
      <w:start w:val="1"/>
      <w:numFmt w:val="bullet"/>
      <w:lvlText w:val=""/>
      <w:lvlJc w:val="left"/>
      <w:pPr>
        <w:tabs>
          <w:tab w:val="num" w:pos="5760"/>
        </w:tabs>
        <w:ind w:left="5760" w:hanging="360"/>
      </w:pPr>
      <w:rPr>
        <w:rFonts w:ascii="Symbol" w:hAnsi="Symbol" w:hint="default"/>
      </w:rPr>
    </w:lvl>
    <w:lvl w:ilvl="8" w:tplc="5B46E64E" w:tentative="1">
      <w:start w:val="1"/>
      <w:numFmt w:val="bullet"/>
      <w:lvlText w:val=""/>
      <w:lvlJc w:val="left"/>
      <w:pPr>
        <w:tabs>
          <w:tab w:val="num" w:pos="6480"/>
        </w:tabs>
        <w:ind w:left="6480" w:hanging="360"/>
      </w:pPr>
      <w:rPr>
        <w:rFonts w:ascii="Symbol" w:hAnsi="Symbol" w:hint="default"/>
      </w:rPr>
    </w:lvl>
  </w:abstractNum>
  <w:abstractNum w:abstractNumId="122" w15:restartNumberingAfterBreak="0">
    <w:nsid w:val="462F33EB"/>
    <w:multiLevelType w:val="hybridMultilevel"/>
    <w:tmpl w:val="00DE8C88"/>
    <w:lvl w:ilvl="0" w:tplc="9F6ED5AC">
      <w:start w:val="1"/>
      <w:numFmt w:val="bullet"/>
      <w:lvlText w:val=""/>
      <w:lvlPicBulletId w:val="0"/>
      <w:lvlJc w:val="left"/>
      <w:pPr>
        <w:tabs>
          <w:tab w:val="num" w:pos="720"/>
        </w:tabs>
        <w:ind w:left="720" w:hanging="360"/>
      </w:pPr>
      <w:rPr>
        <w:rFonts w:ascii="Symbol" w:hAnsi="Symbol" w:hint="default"/>
      </w:rPr>
    </w:lvl>
    <w:lvl w:ilvl="1" w:tplc="D58A88D8" w:tentative="1">
      <w:start w:val="1"/>
      <w:numFmt w:val="bullet"/>
      <w:lvlText w:val=""/>
      <w:lvlJc w:val="left"/>
      <w:pPr>
        <w:tabs>
          <w:tab w:val="num" w:pos="1440"/>
        </w:tabs>
        <w:ind w:left="1440" w:hanging="360"/>
      </w:pPr>
      <w:rPr>
        <w:rFonts w:ascii="Symbol" w:hAnsi="Symbol" w:hint="default"/>
      </w:rPr>
    </w:lvl>
    <w:lvl w:ilvl="2" w:tplc="42645502" w:tentative="1">
      <w:start w:val="1"/>
      <w:numFmt w:val="bullet"/>
      <w:lvlText w:val=""/>
      <w:lvlJc w:val="left"/>
      <w:pPr>
        <w:tabs>
          <w:tab w:val="num" w:pos="2160"/>
        </w:tabs>
        <w:ind w:left="2160" w:hanging="360"/>
      </w:pPr>
      <w:rPr>
        <w:rFonts w:ascii="Symbol" w:hAnsi="Symbol" w:hint="default"/>
      </w:rPr>
    </w:lvl>
    <w:lvl w:ilvl="3" w:tplc="C22C9850" w:tentative="1">
      <w:start w:val="1"/>
      <w:numFmt w:val="bullet"/>
      <w:lvlText w:val=""/>
      <w:lvlJc w:val="left"/>
      <w:pPr>
        <w:tabs>
          <w:tab w:val="num" w:pos="2880"/>
        </w:tabs>
        <w:ind w:left="2880" w:hanging="360"/>
      </w:pPr>
      <w:rPr>
        <w:rFonts w:ascii="Symbol" w:hAnsi="Symbol" w:hint="default"/>
      </w:rPr>
    </w:lvl>
    <w:lvl w:ilvl="4" w:tplc="C658C298" w:tentative="1">
      <w:start w:val="1"/>
      <w:numFmt w:val="bullet"/>
      <w:lvlText w:val=""/>
      <w:lvlJc w:val="left"/>
      <w:pPr>
        <w:tabs>
          <w:tab w:val="num" w:pos="3600"/>
        </w:tabs>
        <w:ind w:left="3600" w:hanging="360"/>
      </w:pPr>
      <w:rPr>
        <w:rFonts w:ascii="Symbol" w:hAnsi="Symbol" w:hint="default"/>
      </w:rPr>
    </w:lvl>
    <w:lvl w:ilvl="5" w:tplc="D9E84B3A" w:tentative="1">
      <w:start w:val="1"/>
      <w:numFmt w:val="bullet"/>
      <w:lvlText w:val=""/>
      <w:lvlJc w:val="left"/>
      <w:pPr>
        <w:tabs>
          <w:tab w:val="num" w:pos="4320"/>
        </w:tabs>
        <w:ind w:left="4320" w:hanging="360"/>
      </w:pPr>
      <w:rPr>
        <w:rFonts w:ascii="Symbol" w:hAnsi="Symbol" w:hint="default"/>
      </w:rPr>
    </w:lvl>
    <w:lvl w:ilvl="6" w:tplc="4BEACC0A" w:tentative="1">
      <w:start w:val="1"/>
      <w:numFmt w:val="bullet"/>
      <w:lvlText w:val=""/>
      <w:lvlJc w:val="left"/>
      <w:pPr>
        <w:tabs>
          <w:tab w:val="num" w:pos="5040"/>
        </w:tabs>
        <w:ind w:left="5040" w:hanging="360"/>
      </w:pPr>
      <w:rPr>
        <w:rFonts w:ascii="Symbol" w:hAnsi="Symbol" w:hint="default"/>
      </w:rPr>
    </w:lvl>
    <w:lvl w:ilvl="7" w:tplc="321CED3C" w:tentative="1">
      <w:start w:val="1"/>
      <w:numFmt w:val="bullet"/>
      <w:lvlText w:val=""/>
      <w:lvlJc w:val="left"/>
      <w:pPr>
        <w:tabs>
          <w:tab w:val="num" w:pos="5760"/>
        </w:tabs>
        <w:ind w:left="5760" w:hanging="360"/>
      </w:pPr>
      <w:rPr>
        <w:rFonts w:ascii="Symbol" w:hAnsi="Symbol" w:hint="default"/>
      </w:rPr>
    </w:lvl>
    <w:lvl w:ilvl="8" w:tplc="94E22CFA" w:tentative="1">
      <w:start w:val="1"/>
      <w:numFmt w:val="bullet"/>
      <w:lvlText w:val=""/>
      <w:lvlJc w:val="left"/>
      <w:pPr>
        <w:tabs>
          <w:tab w:val="num" w:pos="6480"/>
        </w:tabs>
        <w:ind w:left="6480" w:hanging="360"/>
      </w:pPr>
      <w:rPr>
        <w:rFonts w:ascii="Symbol" w:hAnsi="Symbol" w:hint="default"/>
      </w:rPr>
    </w:lvl>
  </w:abstractNum>
  <w:abstractNum w:abstractNumId="123" w15:restartNumberingAfterBreak="0">
    <w:nsid w:val="4750135E"/>
    <w:multiLevelType w:val="hybridMultilevel"/>
    <w:tmpl w:val="457E65B8"/>
    <w:lvl w:ilvl="0" w:tplc="0C090001">
      <w:start w:val="1"/>
      <w:numFmt w:val="bullet"/>
      <w:lvlText w:val=""/>
      <w:lvlJc w:val="left"/>
      <w:pPr>
        <w:ind w:left="577" w:hanging="360"/>
      </w:pPr>
      <w:rPr>
        <w:rFonts w:ascii="Symbol" w:hAnsi="Symbol" w:hint="default"/>
      </w:rPr>
    </w:lvl>
    <w:lvl w:ilvl="1" w:tplc="44EEC084">
      <w:start w:val="1"/>
      <w:numFmt w:val="bullet"/>
      <w:lvlText w:val="&gt;"/>
      <w:lvlJc w:val="left"/>
      <w:pPr>
        <w:ind w:left="1297" w:hanging="360"/>
      </w:pPr>
      <w:rPr>
        <w:rFonts w:ascii="HelveticaNeueLT Std" w:hAnsi="HelveticaNeueLT Std" w:hint="default"/>
      </w:rPr>
    </w:lvl>
    <w:lvl w:ilvl="2" w:tplc="0C090005">
      <w:start w:val="1"/>
      <w:numFmt w:val="bullet"/>
      <w:lvlText w:val=""/>
      <w:lvlJc w:val="left"/>
      <w:pPr>
        <w:ind w:left="2017" w:hanging="360"/>
      </w:pPr>
      <w:rPr>
        <w:rFonts w:ascii="Wingdings" w:hAnsi="Wingdings" w:hint="default"/>
      </w:rPr>
    </w:lvl>
    <w:lvl w:ilvl="3" w:tplc="0C090001" w:tentative="1">
      <w:start w:val="1"/>
      <w:numFmt w:val="bullet"/>
      <w:lvlText w:val=""/>
      <w:lvlJc w:val="left"/>
      <w:pPr>
        <w:ind w:left="2737" w:hanging="360"/>
      </w:pPr>
      <w:rPr>
        <w:rFonts w:ascii="Symbol" w:hAnsi="Symbol" w:hint="default"/>
      </w:rPr>
    </w:lvl>
    <w:lvl w:ilvl="4" w:tplc="0C090003" w:tentative="1">
      <w:start w:val="1"/>
      <w:numFmt w:val="bullet"/>
      <w:lvlText w:val="o"/>
      <w:lvlJc w:val="left"/>
      <w:pPr>
        <w:ind w:left="3457" w:hanging="360"/>
      </w:pPr>
      <w:rPr>
        <w:rFonts w:ascii="Courier New" w:hAnsi="Courier New" w:cs="Courier New" w:hint="default"/>
      </w:rPr>
    </w:lvl>
    <w:lvl w:ilvl="5" w:tplc="0C090005" w:tentative="1">
      <w:start w:val="1"/>
      <w:numFmt w:val="bullet"/>
      <w:lvlText w:val=""/>
      <w:lvlJc w:val="left"/>
      <w:pPr>
        <w:ind w:left="4177" w:hanging="360"/>
      </w:pPr>
      <w:rPr>
        <w:rFonts w:ascii="Wingdings" w:hAnsi="Wingdings" w:hint="default"/>
      </w:rPr>
    </w:lvl>
    <w:lvl w:ilvl="6" w:tplc="0C090001" w:tentative="1">
      <w:start w:val="1"/>
      <w:numFmt w:val="bullet"/>
      <w:lvlText w:val=""/>
      <w:lvlJc w:val="left"/>
      <w:pPr>
        <w:ind w:left="4897" w:hanging="360"/>
      </w:pPr>
      <w:rPr>
        <w:rFonts w:ascii="Symbol" w:hAnsi="Symbol" w:hint="default"/>
      </w:rPr>
    </w:lvl>
    <w:lvl w:ilvl="7" w:tplc="0C090003" w:tentative="1">
      <w:start w:val="1"/>
      <w:numFmt w:val="bullet"/>
      <w:lvlText w:val="o"/>
      <w:lvlJc w:val="left"/>
      <w:pPr>
        <w:ind w:left="5617" w:hanging="360"/>
      </w:pPr>
      <w:rPr>
        <w:rFonts w:ascii="Courier New" w:hAnsi="Courier New" w:cs="Courier New" w:hint="default"/>
      </w:rPr>
    </w:lvl>
    <w:lvl w:ilvl="8" w:tplc="0C090005" w:tentative="1">
      <w:start w:val="1"/>
      <w:numFmt w:val="bullet"/>
      <w:lvlText w:val=""/>
      <w:lvlJc w:val="left"/>
      <w:pPr>
        <w:ind w:left="6337" w:hanging="360"/>
      </w:pPr>
      <w:rPr>
        <w:rFonts w:ascii="Wingdings" w:hAnsi="Wingdings" w:hint="default"/>
      </w:rPr>
    </w:lvl>
  </w:abstractNum>
  <w:abstractNum w:abstractNumId="124" w15:restartNumberingAfterBreak="0">
    <w:nsid w:val="47D441B5"/>
    <w:multiLevelType w:val="hybridMultilevel"/>
    <w:tmpl w:val="F6F81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48C03B11"/>
    <w:multiLevelType w:val="hybridMultilevel"/>
    <w:tmpl w:val="552CDC46"/>
    <w:lvl w:ilvl="0" w:tplc="ABB0ED9C">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4978463F"/>
    <w:multiLevelType w:val="hybridMultilevel"/>
    <w:tmpl w:val="24CAB0AA"/>
    <w:lvl w:ilvl="0" w:tplc="F8D2479E">
      <w:start w:val="1"/>
      <w:numFmt w:val="bullet"/>
      <w:lvlText w:val=""/>
      <w:lvlPicBulletId w:val="1"/>
      <w:lvlJc w:val="left"/>
      <w:pPr>
        <w:tabs>
          <w:tab w:val="num" w:pos="720"/>
        </w:tabs>
        <w:ind w:left="720" w:hanging="360"/>
      </w:pPr>
      <w:rPr>
        <w:rFonts w:ascii="Symbol" w:hAnsi="Symbol" w:hint="default"/>
      </w:rPr>
    </w:lvl>
    <w:lvl w:ilvl="1" w:tplc="C54A53E8" w:tentative="1">
      <w:start w:val="1"/>
      <w:numFmt w:val="bullet"/>
      <w:lvlText w:val=""/>
      <w:lvlJc w:val="left"/>
      <w:pPr>
        <w:tabs>
          <w:tab w:val="num" w:pos="1440"/>
        </w:tabs>
        <w:ind w:left="1440" w:hanging="360"/>
      </w:pPr>
      <w:rPr>
        <w:rFonts w:ascii="Symbol" w:hAnsi="Symbol" w:hint="default"/>
      </w:rPr>
    </w:lvl>
    <w:lvl w:ilvl="2" w:tplc="7FE03280" w:tentative="1">
      <w:start w:val="1"/>
      <w:numFmt w:val="bullet"/>
      <w:lvlText w:val=""/>
      <w:lvlJc w:val="left"/>
      <w:pPr>
        <w:tabs>
          <w:tab w:val="num" w:pos="2160"/>
        </w:tabs>
        <w:ind w:left="2160" w:hanging="360"/>
      </w:pPr>
      <w:rPr>
        <w:rFonts w:ascii="Symbol" w:hAnsi="Symbol" w:hint="default"/>
      </w:rPr>
    </w:lvl>
    <w:lvl w:ilvl="3" w:tplc="CE369EEC" w:tentative="1">
      <w:start w:val="1"/>
      <w:numFmt w:val="bullet"/>
      <w:lvlText w:val=""/>
      <w:lvlJc w:val="left"/>
      <w:pPr>
        <w:tabs>
          <w:tab w:val="num" w:pos="2880"/>
        </w:tabs>
        <w:ind w:left="2880" w:hanging="360"/>
      </w:pPr>
      <w:rPr>
        <w:rFonts w:ascii="Symbol" w:hAnsi="Symbol" w:hint="default"/>
      </w:rPr>
    </w:lvl>
    <w:lvl w:ilvl="4" w:tplc="5C9AE1C2" w:tentative="1">
      <w:start w:val="1"/>
      <w:numFmt w:val="bullet"/>
      <w:lvlText w:val=""/>
      <w:lvlJc w:val="left"/>
      <w:pPr>
        <w:tabs>
          <w:tab w:val="num" w:pos="3600"/>
        </w:tabs>
        <w:ind w:left="3600" w:hanging="360"/>
      </w:pPr>
      <w:rPr>
        <w:rFonts w:ascii="Symbol" w:hAnsi="Symbol" w:hint="default"/>
      </w:rPr>
    </w:lvl>
    <w:lvl w:ilvl="5" w:tplc="933E4FBE" w:tentative="1">
      <w:start w:val="1"/>
      <w:numFmt w:val="bullet"/>
      <w:lvlText w:val=""/>
      <w:lvlJc w:val="left"/>
      <w:pPr>
        <w:tabs>
          <w:tab w:val="num" w:pos="4320"/>
        </w:tabs>
        <w:ind w:left="4320" w:hanging="360"/>
      </w:pPr>
      <w:rPr>
        <w:rFonts w:ascii="Symbol" w:hAnsi="Symbol" w:hint="default"/>
      </w:rPr>
    </w:lvl>
    <w:lvl w:ilvl="6" w:tplc="9F54FABC" w:tentative="1">
      <w:start w:val="1"/>
      <w:numFmt w:val="bullet"/>
      <w:lvlText w:val=""/>
      <w:lvlJc w:val="left"/>
      <w:pPr>
        <w:tabs>
          <w:tab w:val="num" w:pos="5040"/>
        </w:tabs>
        <w:ind w:left="5040" w:hanging="360"/>
      </w:pPr>
      <w:rPr>
        <w:rFonts w:ascii="Symbol" w:hAnsi="Symbol" w:hint="default"/>
      </w:rPr>
    </w:lvl>
    <w:lvl w:ilvl="7" w:tplc="C4AEF006" w:tentative="1">
      <w:start w:val="1"/>
      <w:numFmt w:val="bullet"/>
      <w:lvlText w:val=""/>
      <w:lvlJc w:val="left"/>
      <w:pPr>
        <w:tabs>
          <w:tab w:val="num" w:pos="5760"/>
        </w:tabs>
        <w:ind w:left="5760" w:hanging="360"/>
      </w:pPr>
      <w:rPr>
        <w:rFonts w:ascii="Symbol" w:hAnsi="Symbol" w:hint="default"/>
      </w:rPr>
    </w:lvl>
    <w:lvl w:ilvl="8" w:tplc="AA527836" w:tentative="1">
      <w:start w:val="1"/>
      <w:numFmt w:val="bullet"/>
      <w:lvlText w:val=""/>
      <w:lvlJc w:val="left"/>
      <w:pPr>
        <w:tabs>
          <w:tab w:val="num" w:pos="6480"/>
        </w:tabs>
        <w:ind w:left="6480" w:hanging="360"/>
      </w:pPr>
      <w:rPr>
        <w:rFonts w:ascii="Symbol" w:hAnsi="Symbol" w:hint="default"/>
      </w:rPr>
    </w:lvl>
  </w:abstractNum>
  <w:abstractNum w:abstractNumId="127" w15:restartNumberingAfterBreak="0">
    <w:nsid w:val="49870DDE"/>
    <w:multiLevelType w:val="hybridMultilevel"/>
    <w:tmpl w:val="86B083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8" w15:restartNumberingAfterBreak="0">
    <w:nsid w:val="49D11D7D"/>
    <w:multiLevelType w:val="hybridMultilevel"/>
    <w:tmpl w:val="DAEC4232"/>
    <w:lvl w:ilvl="0" w:tplc="08D2AB58">
      <w:start w:val="1"/>
      <w:numFmt w:val="bullet"/>
      <w:lvlText w:val="&gt;"/>
      <w:lvlJc w:val="left"/>
      <w:pPr>
        <w:ind w:left="1583" w:hanging="360"/>
      </w:pPr>
      <w:rPr>
        <w:rFonts w:ascii="HelveticaNeueLT Std Lt" w:hAnsi="HelveticaNeueLT Std Lt" w:hint="default"/>
        <w:sz w:val="20"/>
      </w:rPr>
    </w:lvl>
    <w:lvl w:ilvl="1" w:tplc="0C090003" w:tentative="1">
      <w:start w:val="1"/>
      <w:numFmt w:val="bullet"/>
      <w:lvlText w:val="o"/>
      <w:lvlJc w:val="left"/>
      <w:pPr>
        <w:ind w:left="2303" w:hanging="360"/>
      </w:pPr>
      <w:rPr>
        <w:rFonts w:ascii="Courier New" w:hAnsi="Courier New" w:cs="Courier New" w:hint="default"/>
      </w:rPr>
    </w:lvl>
    <w:lvl w:ilvl="2" w:tplc="0C090005" w:tentative="1">
      <w:start w:val="1"/>
      <w:numFmt w:val="bullet"/>
      <w:lvlText w:val=""/>
      <w:lvlJc w:val="left"/>
      <w:pPr>
        <w:ind w:left="3023" w:hanging="360"/>
      </w:pPr>
      <w:rPr>
        <w:rFonts w:ascii="Wingdings" w:hAnsi="Wingdings" w:hint="default"/>
      </w:rPr>
    </w:lvl>
    <w:lvl w:ilvl="3" w:tplc="0C090001" w:tentative="1">
      <w:start w:val="1"/>
      <w:numFmt w:val="bullet"/>
      <w:lvlText w:val=""/>
      <w:lvlJc w:val="left"/>
      <w:pPr>
        <w:ind w:left="3743" w:hanging="360"/>
      </w:pPr>
      <w:rPr>
        <w:rFonts w:ascii="Symbol" w:hAnsi="Symbol" w:hint="default"/>
      </w:rPr>
    </w:lvl>
    <w:lvl w:ilvl="4" w:tplc="0C090003" w:tentative="1">
      <w:start w:val="1"/>
      <w:numFmt w:val="bullet"/>
      <w:lvlText w:val="o"/>
      <w:lvlJc w:val="left"/>
      <w:pPr>
        <w:ind w:left="4463" w:hanging="360"/>
      </w:pPr>
      <w:rPr>
        <w:rFonts w:ascii="Courier New" w:hAnsi="Courier New" w:cs="Courier New" w:hint="default"/>
      </w:rPr>
    </w:lvl>
    <w:lvl w:ilvl="5" w:tplc="0C090005" w:tentative="1">
      <w:start w:val="1"/>
      <w:numFmt w:val="bullet"/>
      <w:lvlText w:val=""/>
      <w:lvlJc w:val="left"/>
      <w:pPr>
        <w:ind w:left="5183" w:hanging="360"/>
      </w:pPr>
      <w:rPr>
        <w:rFonts w:ascii="Wingdings" w:hAnsi="Wingdings" w:hint="default"/>
      </w:rPr>
    </w:lvl>
    <w:lvl w:ilvl="6" w:tplc="0C090001" w:tentative="1">
      <w:start w:val="1"/>
      <w:numFmt w:val="bullet"/>
      <w:lvlText w:val=""/>
      <w:lvlJc w:val="left"/>
      <w:pPr>
        <w:ind w:left="5903" w:hanging="360"/>
      </w:pPr>
      <w:rPr>
        <w:rFonts w:ascii="Symbol" w:hAnsi="Symbol" w:hint="default"/>
      </w:rPr>
    </w:lvl>
    <w:lvl w:ilvl="7" w:tplc="0C090003" w:tentative="1">
      <w:start w:val="1"/>
      <w:numFmt w:val="bullet"/>
      <w:lvlText w:val="o"/>
      <w:lvlJc w:val="left"/>
      <w:pPr>
        <w:ind w:left="6623" w:hanging="360"/>
      </w:pPr>
      <w:rPr>
        <w:rFonts w:ascii="Courier New" w:hAnsi="Courier New" w:cs="Courier New" w:hint="default"/>
      </w:rPr>
    </w:lvl>
    <w:lvl w:ilvl="8" w:tplc="0C090005" w:tentative="1">
      <w:start w:val="1"/>
      <w:numFmt w:val="bullet"/>
      <w:lvlText w:val=""/>
      <w:lvlJc w:val="left"/>
      <w:pPr>
        <w:ind w:left="7343" w:hanging="360"/>
      </w:pPr>
      <w:rPr>
        <w:rFonts w:ascii="Wingdings" w:hAnsi="Wingdings" w:hint="default"/>
      </w:rPr>
    </w:lvl>
  </w:abstractNum>
  <w:abstractNum w:abstractNumId="129" w15:restartNumberingAfterBreak="0">
    <w:nsid w:val="4B234F6C"/>
    <w:multiLevelType w:val="hybridMultilevel"/>
    <w:tmpl w:val="31B09C4C"/>
    <w:lvl w:ilvl="0" w:tplc="BCD4AFB8">
      <w:start w:val="1"/>
      <w:numFmt w:val="bullet"/>
      <w:lvlText w:val=""/>
      <w:lvlPicBulletId w:val="1"/>
      <w:lvlJc w:val="left"/>
      <w:pPr>
        <w:tabs>
          <w:tab w:val="num" w:pos="720"/>
        </w:tabs>
        <w:ind w:left="720" w:hanging="360"/>
      </w:pPr>
      <w:rPr>
        <w:rFonts w:ascii="Symbol" w:hAnsi="Symbol" w:hint="default"/>
      </w:rPr>
    </w:lvl>
    <w:lvl w:ilvl="1" w:tplc="9FC6DD78" w:tentative="1">
      <w:start w:val="1"/>
      <w:numFmt w:val="bullet"/>
      <w:lvlText w:val=""/>
      <w:lvlJc w:val="left"/>
      <w:pPr>
        <w:tabs>
          <w:tab w:val="num" w:pos="1440"/>
        </w:tabs>
        <w:ind w:left="1440" w:hanging="360"/>
      </w:pPr>
      <w:rPr>
        <w:rFonts w:ascii="Symbol" w:hAnsi="Symbol" w:hint="default"/>
      </w:rPr>
    </w:lvl>
    <w:lvl w:ilvl="2" w:tplc="BDF61D16" w:tentative="1">
      <w:start w:val="1"/>
      <w:numFmt w:val="bullet"/>
      <w:lvlText w:val=""/>
      <w:lvlJc w:val="left"/>
      <w:pPr>
        <w:tabs>
          <w:tab w:val="num" w:pos="2160"/>
        </w:tabs>
        <w:ind w:left="2160" w:hanging="360"/>
      </w:pPr>
      <w:rPr>
        <w:rFonts w:ascii="Symbol" w:hAnsi="Symbol" w:hint="default"/>
      </w:rPr>
    </w:lvl>
    <w:lvl w:ilvl="3" w:tplc="576667CE" w:tentative="1">
      <w:start w:val="1"/>
      <w:numFmt w:val="bullet"/>
      <w:lvlText w:val=""/>
      <w:lvlJc w:val="left"/>
      <w:pPr>
        <w:tabs>
          <w:tab w:val="num" w:pos="2880"/>
        </w:tabs>
        <w:ind w:left="2880" w:hanging="360"/>
      </w:pPr>
      <w:rPr>
        <w:rFonts w:ascii="Symbol" w:hAnsi="Symbol" w:hint="default"/>
      </w:rPr>
    </w:lvl>
    <w:lvl w:ilvl="4" w:tplc="DB98E346" w:tentative="1">
      <w:start w:val="1"/>
      <w:numFmt w:val="bullet"/>
      <w:lvlText w:val=""/>
      <w:lvlJc w:val="left"/>
      <w:pPr>
        <w:tabs>
          <w:tab w:val="num" w:pos="3600"/>
        </w:tabs>
        <w:ind w:left="3600" w:hanging="360"/>
      </w:pPr>
      <w:rPr>
        <w:rFonts w:ascii="Symbol" w:hAnsi="Symbol" w:hint="default"/>
      </w:rPr>
    </w:lvl>
    <w:lvl w:ilvl="5" w:tplc="831C6270" w:tentative="1">
      <w:start w:val="1"/>
      <w:numFmt w:val="bullet"/>
      <w:lvlText w:val=""/>
      <w:lvlJc w:val="left"/>
      <w:pPr>
        <w:tabs>
          <w:tab w:val="num" w:pos="4320"/>
        </w:tabs>
        <w:ind w:left="4320" w:hanging="360"/>
      </w:pPr>
      <w:rPr>
        <w:rFonts w:ascii="Symbol" w:hAnsi="Symbol" w:hint="default"/>
      </w:rPr>
    </w:lvl>
    <w:lvl w:ilvl="6" w:tplc="C2C8243E" w:tentative="1">
      <w:start w:val="1"/>
      <w:numFmt w:val="bullet"/>
      <w:lvlText w:val=""/>
      <w:lvlJc w:val="left"/>
      <w:pPr>
        <w:tabs>
          <w:tab w:val="num" w:pos="5040"/>
        </w:tabs>
        <w:ind w:left="5040" w:hanging="360"/>
      </w:pPr>
      <w:rPr>
        <w:rFonts w:ascii="Symbol" w:hAnsi="Symbol" w:hint="default"/>
      </w:rPr>
    </w:lvl>
    <w:lvl w:ilvl="7" w:tplc="A6AA40FC" w:tentative="1">
      <w:start w:val="1"/>
      <w:numFmt w:val="bullet"/>
      <w:lvlText w:val=""/>
      <w:lvlJc w:val="left"/>
      <w:pPr>
        <w:tabs>
          <w:tab w:val="num" w:pos="5760"/>
        </w:tabs>
        <w:ind w:left="5760" w:hanging="360"/>
      </w:pPr>
      <w:rPr>
        <w:rFonts w:ascii="Symbol" w:hAnsi="Symbol" w:hint="default"/>
      </w:rPr>
    </w:lvl>
    <w:lvl w:ilvl="8" w:tplc="92380D70" w:tentative="1">
      <w:start w:val="1"/>
      <w:numFmt w:val="bullet"/>
      <w:lvlText w:val=""/>
      <w:lvlJc w:val="left"/>
      <w:pPr>
        <w:tabs>
          <w:tab w:val="num" w:pos="6480"/>
        </w:tabs>
        <w:ind w:left="6480" w:hanging="360"/>
      </w:pPr>
      <w:rPr>
        <w:rFonts w:ascii="Symbol" w:hAnsi="Symbol" w:hint="default"/>
      </w:rPr>
    </w:lvl>
  </w:abstractNum>
  <w:abstractNum w:abstractNumId="130" w15:restartNumberingAfterBreak="0">
    <w:nsid w:val="4B4C6168"/>
    <w:multiLevelType w:val="hybridMultilevel"/>
    <w:tmpl w:val="247633D0"/>
    <w:lvl w:ilvl="0" w:tplc="32AC69CE">
      <w:start w:val="1"/>
      <w:numFmt w:val="bullet"/>
      <w:lvlText w:val=""/>
      <w:lvlPicBulletId w:val="1"/>
      <w:lvlJc w:val="left"/>
      <w:pPr>
        <w:tabs>
          <w:tab w:val="num" w:pos="720"/>
        </w:tabs>
        <w:ind w:left="720" w:hanging="360"/>
      </w:pPr>
      <w:rPr>
        <w:rFonts w:ascii="Symbol" w:hAnsi="Symbol" w:hint="default"/>
      </w:rPr>
    </w:lvl>
    <w:lvl w:ilvl="1" w:tplc="866C7756" w:tentative="1">
      <w:start w:val="1"/>
      <w:numFmt w:val="bullet"/>
      <w:lvlText w:val=""/>
      <w:lvlJc w:val="left"/>
      <w:pPr>
        <w:tabs>
          <w:tab w:val="num" w:pos="1440"/>
        </w:tabs>
        <w:ind w:left="1440" w:hanging="360"/>
      </w:pPr>
      <w:rPr>
        <w:rFonts w:ascii="Symbol" w:hAnsi="Symbol" w:hint="default"/>
      </w:rPr>
    </w:lvl>
    <w:lvl w:ilvl="2" w:tplc="9704F71C" w:tentative="1">
      <w:start w:val="1"/>
      <w:numFmt w:val="bullet"/>
      <w:lvlText w:val=""/>
      <w:lvlJc w:val="left"/>
      <w:pPr>
        <w:tabs>
          <w:tab w:val="num" w:pos="2160"/>
        </w:tabs>
        <w:ind w:left="2160" w:hanging="360"/>
      </w:pPr>
      <w:rPr>
        <w:rFonts w:ascii="Symbol" w:hAnsi="Symbol" w:hint="default"/>
      </w:rPr>
    </w:lvl>
    <w:lvl w:ilvl="3" w:tplc="6FBAC7C8" w:tentative="1">
      <w:start w:val="1"/>
      <w:numFmt w:val="bullet"/>
      <w:lvlText w:val=""/>
      <w:lvlJc w:val="left"/>
      <w:pPr>
        <w:tabs>
          <w:tab w:val="num" w:pos="2880"/>
        </w:tabs>
        <w:ind w:left="2880" w:hanging="360"/>
      </w:pPr>
      <w:rPr>
        <w:rFonts w:ascii="Symbol" w:hAnsi="Symbol" w:hint="default"/>
      </w:rPr>
    </w:lvl>
    <w:lvl w:ilvl="4" w:tplc="E3E2D4BA" w:tentative="1">
      <w:start w:val="1"/>
      <w:numFmt w:val="bullet"/>
      <w:lvlText w:val=""/>
      <w:lvlJc w:val="left"/>
      <w:pPr>
        <w:tabs>
          <w:tab w:val="num" w:pos="3600"/>
        </w:tabs>
        <w:ind w:left="3600" w:hanging="360"/>
      </w:pPr>
      <w:rPr>
        <w:rFonts w:ascii="Symbol" w:hAnsi="Symbol" w:hint="default"/>
      </w:rPr>
    </w:lvl>
    <w:lvl w:ilvl="5" w:tplc="9948ED84" w:tentative="1">
      <w:start w:val="1"/>
      <w:numFmt w:val="bullet"/>
      <w:lvlText w:val=""/>
      <w:lvlJc w:val="left"/>
      <w:pPr>
        <w:tabs>
          <w:tab w:val="num" w:pos="4320"/>
        </w:tabs>
        <w:ind w:left="4320" w:hanging="360"/>
      </w:pPr>
      <w:rPr>
        <w:rFonts w:ascii="Symbol" w:hAnsi="Symbol" w:hint="default"/>
      </w:rPr>
    </w:lvl>
    <w:lvl w:ilvl="6" w:tplc="87D0D6B2" w:tentative="1">
      <w:start w:val="1"/>
      <w:numFmt w:val="bullet"/>
      <w:lvlText w:val=""/>
      <w:lvlJc w:val="left"/>
      <w:pPr>
        <w:tabs>
          <w:tab w:val="num" w:pos="5040"/>
        </w:tabs>
        <w:ind w:left="5040" w:hanging="360"/>
      </w:pPr>
      <w:rPr>
        <w:rFonts w:ascii="Symbol" w:hAnsi="Symbol" w:hint="default"/>
      </w:rPr>
    </w:lvl>
    <w:lvl w:ilvl="7" w:tplc="E8AEF402" w:tentative="1">
      <w:start w:val="1"/>
      <w:numFmt w:val="bullet"/>
      <w:lvlText w:val=""/>
      <w:lvlJc w:val="left"/>
      <w:pPr>
        <w:tabs>
          <w:tab w:val="num" w:pos="5760"/>
        </w:tabs>
        <w:ind w:left="5760" w:hanging="360"/>
      </w:pPr>
      <w:rPr>
        <w:rFonts w:ascii="Symbol" w:hAnsi="Symbol" w:hint="default"/>
      </w:rPr>
    </w:lvl>
    <w:lvl w:ilvl="8" w:tplc="ABA43F1C" w:tentative="1">
      <w:start w:val="1"/>
      <w:numFmt w:val="bullet"/>
      <w:lvlText w:val=""/>
      <w:lvlJc w:val="left"/>
      <w:pPr>
        <w:tabs>
          <w:tab w:val="num" w:pos="6480"/>
        </w:tabs>
        <w:ind w:left="6480" w:hanging="360"/>
      </w:pPr>
      <w:rPr>
        <w:rFonts w:ascii="Symbol" w:hAnsi="Symbol" w:hint="default"/>
      </w:rPr>
    </w:lvl>
  </w:abstractNum>
  <w:abstractNum w:abstractNumId="131" w15:restartNumberingAfterBreak="0">
    <w:nsid w:val="4BD02AF8"/>
    <w:multiLevelType w:val="hybridMultilevel"/>
    <w:tmpl w:val="43C42348"/>
    <w:lvl w:ilvl="0" w:tplc="E2742A14">
      <w:start w:val="1"/>
      <w:numFmt w:val="bullet"/>
      <w:lvlText w:val=""/>
      <w:lvlPicBulletId w:val="1"/>
      <w:lvlJc w:val="left"/>
      <w:pPr>
        <w:tabs>
          <w:tab w:val="num" w:pos="720"/>
        </w:tabs>
        <w:ind w:left="720" w:hanging="360"/>
      </w:pPr>
      <w:rPr>
        <w:rFonts w:ascii="Symbol" w:hAnsi="Symbol" w:hint="default"/>
      </w:rPr>
    </w:lvl>
    <w:lvl w:ilvl="1" w:tplc="8B9E91B6" w:tentative="1">
      <w:start w:val="1"/>
      <w:numFmt w:val="bullet"/>
      <w:lvlText w:val=""/>
      <w:lvlJc w:val="left"/>
      <w:pPr>
        <w:tabs>
          <w:tab w:val="num" w:pos="1440"/>
        </w:tabs>
        <w:ind w:left="1440" w:hanging="360"/>
      </w:pPr>
      <w:rPr>
        <w:rFonts w:ascii="Symbol" w:hAnsi="Symbol" w:hint="default"/>
      </w:rPr>
    </w:lvl>
    <w:lvl w:ilvl="2" w:tplc="645C8A94" w:tentative="1">
      <w:start w:val="1"/>
      <w:numFmt w:val="bullet"/>
      <w:lvlText w:val=""/>
      <w:lvlJc w:val="left"/>
      <w:pPr>
        <w:tabs>
          <w:tab w:val="num" w:pos="2160"/>
        </w:tabs>
        <w:ind w:left="2160" w:hanging="360"/>
      </w:pPr>
      <w:rPr>
        <w:rFonts w:ascii="Symbol" w:hAnsi="Symbol" w:hint="default"/>
      </w:rPr>
    </w:lvl>
    <w:lvl w:ilvl="3" w:tplc="ECA4FF68" w:tentative="1">
      <w:start w:val="1"/>
      <w:numFmt w:val="bullet"/>
      <w:lvlText w:val=""/>
      <w:lvlJc w:val="left"/>
      <w:pPr>
        <w:tabs>
          <w:tab w:val="num" w:pos="2880"/>
        </w:tabs>
        <w:ind w:left="2880" w:hanging="360"/>
      </w:pPr>
      <w:rPr>
        <w:rFonts w:ascii="Symbol" w:hAnsi="Symbol" w:hint="default"/>
      </w:rPr>
    </w:lvl>
    <w:lvl w:ilvl="4" w:tplc="011CFC30" w:tentative="1">
      <w:start w:val="1"/>
      <w:numFmt w:val="bullet"/>
      <w:lvlText w:val=""/>
      <w:lvlJc w:val="left"/>
      <w:pPr>
        <w:tabs>
          <w:tab w:val="num" w:pos="3600"/>
        </w:tabs>
        <w:ind w:left="3600" w:hanging="360"/>
      </w:pPr>
      <w:rPr>
        <w:rFonts w:ascii="Symbol" w:hAnsi="Symbol" w:hint="default"/>
      </w:rPr>
    </w:lvl>
    <w:lvl w:ilvl="5" w:tplc="87181514" w:tentative="1">
      <w:start w:val="1"/>
      <w:numFmt w:val="bullet"/>
      <w:lvlText w:val=""/>
      <w:lvlJc w:val="left"/>
      <w:pPr>
        <w:tabs>
          <w:tab w:val="num" w:pos="4320"/>
        </w:tabs>
        <w:ind w:left="4320" w:hanging="360"/>
      </w:pPr>
      <w:rPr>
        <w:rFonts w:ascii="Symbol" w:hAnsi="Symbol" w:hint="default"/>
      </w:rPr>
    </w:lvl>
    <w:lvl w:ilvl="6" w:tplc="02946644" w:tentative="1">
      <w:start w:val="1"/>
      <w:numFmt w:val="bullet"/>
      <w:lvlText w:val=""/>
      <w:lvlJc w:val="left"/>
      <w:pPr>
        <w:tabs>
          <w:tab w:val="num" w:pos="5040"/>
        </w:tabs>
        <w:ind w:left="5040" w:hanging="360"/>
      </w:pPr>
      <w:rPr>
        <w:rFonts w:ascii="Symbol" w:hAnsi="Symbol" w:hint="default"/>
      </w:rPr>
    </w:lvl>
    <w:lvl w:ilvl="7" w:tplc="D0FCFBFE" w:tentative="1">
      <w:start w:val="1"/>
      <w:numFmt w:val="bullet"/>
      <w:lvlText w:val=""/>
      <w:lvlJc w:val="left"/>
      <w:pPr>
        <w:tabs>
          <w:tab w:val="num" w:pos="5760"/>
        </w:tabs>
        <w:ind w:left="5760" w:hanging="360"/>
      </w:pPr>
      <w:rPr>
        <w:rFonts w:ascii="Symbol" w:hAnsi="Symbol" w:hint="default"/>
      </w:rPr>
    </w:lvl>
    <w:lvl w:ilvl="8" w:tplc="E3FA8558" w:tentative="1">
      <w:start w:val="1"/>
      <w:numFmt w:val="bullet"/>
      <w:lvlText w:val=""/>
      <w:lvlJc w:val="left"/>
      <w:pPr>
        <w:tabs>
          <w:tab w:val="num" w:pos="6480"/>
        </w:tabs>
        <w:ind w:left="6480" w:hanging="360"/>
      </w:pPr>
      <w:rPr>
        <w:rFonts w:ascii="Symbol" w:hAnsi="Symbol" w:hint="default"/>
      </w:rPr>
    </w:lvl>
  </w:abstractNum>
  <w:abstractNum w:abstractNumId="132" w15:restartNumberingAfterBreak="0">
    <w:nsid w:val="4C18763C"/>
    <w:multiLevelType w:val="hybridMultilevel"/>
    <w:tmpl w:val="4482AB10"/>
    <w:lvl w:ilvl="0" w:tplc="0A466FE0">
      <w:start w:val="1"/>
      <w:numFmt w:val="bullet"/>
      <w:lvlText w:val=""/>
      <w:lvlPicBulletId w:val="1"/>
      <w:lvlJc w:val="left"/>
      <w:pPr>
        <w:tabs>
          <w:tab w:val="num" w:pos="720"/>
        </w:tabs>
        <w:ind w:left="720" w:hanging="360"/>
      </w:pPr>
      <w:rPr>
        <w:rFonts w:ascii="Symbol" w:hAnsi="Symbol" w:hint="default"/>
      </w:rPr>
    </w:lvl>
    <w:lvl w:ilvl="1" w:tplc="52D89B10" w:tentative="1">
      <w:start w:val="1"/>
      <w:numFmt w:val="bullet"/>
      <w:lvlText w:val=""/>
      <w:lvlJc w:val="left"/>
      <w:pPr>
        <w:tabs>
          <w:tab w:val="num" w:pos="1440"/>
        </w:tabs>
        <w:ind w:left="1440" w:hanging="360"/>
      </w:pPr>
      <w:rPr>
        <w:rFonts w:ascii="Symbol" w:hAnsi="Symbol" w:hint="default"/>
      </w:rPr>
    </w:lvl>
    <w:lvl w:ilvl="2" w:tplc="503CA018" w:tentative="1">
      <w:start w:val="1"/>
      <w:numFmt w:val="bullet"/>
      <w:lvlText w:val=""/>
      <w:lvlJc w:val="left"/>
      <w:pPr>
        <w:tabs>
          <w:tab w:val="num" w:pos="2160"/>
        </w:tabs>
        <w:ind w:left="2160" w:hanging="360"/>
      </w:pPr>
      <w:rPr>
        <w:rFonts w:ascii="Symbol" w:hAnsi="Symbol" w:hint="default"/>
      </w:rPr>
    </w:lvl>
    <w:lvl w:ilvl="3" w:tplc="3A0C36F8" w:tentative="1">
      <w:start w:val="1"/>
      <w:numFmt w:val="bullet"/>
      <w:lvlText w:val=""/>
      <w:lvlJc w:val="left"/>
      <w:pPr>
        <w:tabs>
          <w:tab w:val="num" w:pos="2880"/>
        </w:tabs>
        <w:ind w:left="2880" w:hanging="360"/>
      </w:pPr>
      <w:rPr>
        <w:rFonts w:ascii="Symbol" w:hAnsi="Symbol" w:hint="default"/>
      </w:rPr>
    </w:lvl>
    <w:lvl w:ilvl="4" w:tplc="3F9A86D0" w:tentative="1">
      <w:start w:val="1"/>
      <w:numFmt w:val="bullet"/>
      <w:lvlText w:val=""/>
      <w:lvlJc w:val="left"/>
      <w:pPr>
        <w:tabs>
          <w:tab w:val="num" w:pos="3600"/>
        </w:tabs>
        <w:ind w:left="3600" w:hanging="360"/>
      </w:pPr>
      <w:rPr>
        <w:rFonts w:ascii="Symbol" w:hAnsi="Symbol" w:hint="default"/>
      </w:rPr>
    </w:lvl>
    <w:lvl w:ilvl="5" w:tplc="577224CC" w:tentative="1">
      <w:start w:val="1"/>
      <w:numFmt w:val="bullet"/>
      <w:lvlText w:val=""/>
      <w:lvlJc w:val="left"/>
      <w:pPr>
        <w:tabs>
          <w:tab w:val="num" w:pos="4320"/>
        </w:tabs>
        <w:ind w:left="4320" w:hanging="360"/>
      </w:pPr>
      <w:rPr>
        <w:rFonts w:ascii="Symbol" w:hAnsi="Symbol" w:hint="default"/>
      </w:rPr>
    </w:lvl>
    <w:lvl w:ilvl="6" w:tplc="20A00518" w:tentative="1">
      <w:start w:val="1"/>
      <w:numFmt w:val="bullet"/>
      <w:lvlText w:val=""/>
      <w:lvlJc w:val="left"/>
      <w:pPr>
        <w:tabs>
          <w:tab w:val="num" w:pos="5040"/>
        </w:tabs>
        <w:ind w:left="5040" w:hanging="360"/>
      </w:pPr>
      <w:rPr>
        <w:rFonts w:ascii="Symbol" w:hAnsi="Symbol" w:hint="default"/>
      </w:rPr>
    </w:lvl>
    <w:lvl w:ilvl="7" w:tplc="D9EE2846" w:tentative="1">
      <w:start w:val="1"/>
      <w:numFmt w:val="bullet"/>
      <w:lvlText w:val=""/>
      <w:lvlJc w:val="left"/>
      <w:pPr>
        <w:tabs>
          <w:tab w:val="num" w:pos="5760"/>
        </w:tabs>
        <w:ind w:left="5760" w:hanging="360"/>
      </w:pPr>
      <w:rPr>
        <w:rFonts w:ascii="Symbol" w:hAnsi="Symbol" w:hint="default"/>
      </w:rPr>
    </w:lvl>
    <w:lvl w:ilvl="8" w:tplc="718EAD10" w:tentative="1">
      <w:start w:val="1"/>
      <w:numFmt w:val="bullet"/>
      <w:lvlText w:val=""/>
      <w:lvlJc w:val="left"/>
      <w:pPr>
        <w:tabs>
          <w:tab w:val="num" w:pos="6480"/>
        </w:tabs>
        <w:ind w:left="6480" w:hanging="360"/>
      </w:pPr>
      <w:rPr>
        <w:rFonts w:ascii="Symbol" w:hAnsi="Symbol" w:hint="default"/>
      </w:rPr>
    </w:lvl>
  </w:abstractNum>
  <w:abstractNum w:abstractNumId="133" w15:restartNumberingAfterBreak="0">
    <w:nsid w:val="4C743A43"/>
    <w:multiLevelType w:val="hybridMultilevel"/>
    <w:tmpl w:val="D21AC3B0"/>
    <w:lvl w:ilvl="0" w:tplc="C688E3F2">
      <w:start w:val="1"/>
      <w:numFmt w:val="bullet"/>
      <w:lvlText w:val=""/>
      <w:lvlPicBulletId w:val="0"/>
      <w:lvlJc w:val="left"/>
      <w:pPr>
        <w:tabs>
          <w:tab w:val="num" w:pos="720"/>
        </w:tabs>
        <w:ind w:left="720" w:hanging="360"/>
      </w:pPr>
      <w:rPr>
        <w:rFonts w:ascii="Symbol" w:hAnsi="Symbol" w:hint="default"/>
      </w:rPr>
    </w:lvl>
    <w:lvl w:ilvl="1" w:tplc="4E00A43E" w:tentative="1">
      <w:start w:val="1"/>
      <w:numFmt w:val="bullet"/>
      <w:lvlText w:val=""/>
      <w:lvlJc w:val="left"/>
      <w:pPr>
        <w:tabs>
          <w:tab w:val="num" w:pos="1440"/>
        </w:tabs>
        <w:ind w:left="1440" w:hanging="360"/>
      </w:pPr>
      <w:rPr>
        <w:rFonts w:ascii="Symbol" w:hAnsi="Symbol" w:hint="default"/>
      </w:rPr>
    </w:lvl>
    <w:lvl w:ilvl="2" w:tplc="632AB378" w:tentative="1">
      <w:start w:val="1"/>
      <w:numFmt w:val="bullet"/>
      <w:lvlText w:val=""/>
      <w:lvlJc w:val="left"/>
      <w:pPr>
        <w:tabs>
          <w:tab w:val="num" w:pos="2160"/>
        </w:tabs>
        <w:ind w:left="2160" w:hanging="360"/>
      </w:pPr>
      <w:rPr>
        <w:rFonts w:ascii="Symbol" w:hAnsi="Symbol" w:hint="default"/>
      </w:rPr>
    </w:lvl>
    <w:lvl w:ilvl="3" w:tplc="707C9FC2" w:tentative="1">
      <w:start w:val="1"/>
      <w:numFmt w:val="bullet"/>
      <w:lvlText w:val=""/>
      <w:lvlJc w:val="left"/>
      <w:pPr>
        <w:tabs>
          <w:tab w:val="num" w:pos="2880"/>
        </w:tabs>
        <w:ind w:left="2880" w:hanging="360"/>
      </w:pPr>
      <w:rPr>
        <w:rFonts w:ascii="Symbol" w:hAnsi="Symbol" w:hint="default"/>
      </w:rPr>
    </w:lvl>
    <w:lvl w:ilvl="4" w:tplc="5E901564" w:tentative="1">
      <w:start w:val="1"/>
      <w:numFmt w:val="bullet"/>
      <w:lvlText w:val=""/>
      <w:lvlJc w:val="left"/>
      <w:pPr>
        <w:tabs>
          <w:tab w:val="num" w:pos="3600"/>
        </w:tabs>
        <w:ind w:left="3600" w:hanging="360"/>
      </w:pPr>
      <w:rPr>
        <w:rFonts w:ascii="Symbol" w:hAnsi="Symbol" w:hint="default"/>
      </w:rPr>
    </w:lvl>
    <w:lvl w:ilvl="5" w:tplc="040CBA38" w:tentative="1">
      <w:start w:val="1"/>
      <w:numFmt w:val="bullet"/>
      <w:lvlText w:val=""/>
      <w:lvlJc w:val="left"/>
      <w:pPr>
        <w:tabs>
          <w:tab w:val="num" w:pos="4320"/>
        </w:tabs>
        <w:ind w:left="4320" w:hanging="360"/>
      </w:pPr>
      <w:rPr>
        <w:rFonts w:ascii="Symbol" w:hAnsi="Symbol" w:hint="default"/>
      </w:rPr>
    </w:lvl>
    <w:lvl w:ilvl="6" w:tplc="939AFC98" w:tentative="1">
      <w:start w:val="1"/>
      <w:numFmt w:val="bullet"/>
      <w:lvlText w:val=""/>
      <w:lvlJc w:val="left"/>
      <w:pPr>
        <w:tabs>
          <w:tab w:val="num" w:pos="5040"/>
        </w:tabs>
        <w:ind w:left="5040" w:hanging="360"/>
      </w:pPr>
      <w:rPr>
        <w:rFonts w:ascii="Symbol" w:hAnsi="Symbol" w:hint="default"/>
      </w:rPr>
    </w:lvl>
    <w:lvl w:ilvl="7" w:tplc="162C0160" w:tentative="1">
      <w:start w:val="1"/>
      <w:numFmt w:val="bullet"/>
      <w:lvlText w:val=""/>
      <w:lvlJc w:val="left"/>
      <w:pPr>
        <w:tabs>
          <w:tab w:val="num" w:pos="5760"/>
        </w:tabs>
        <w:ind w:left="5760" w:hanging="360"/>
      </w:pPr>
      <w:rPr>
        <w:rFonts w:ascii="Symbol" w:hAnsi="Symbol" w:hint="default"/>
      </w:rPr>
    </w:lvl>
    <w:lvl w:ilvl="8" w:tplc="04EC2F28" w:tentative="1">
      <w:start w:val="1"/>
      <w:numFmt w:val="bullet"/>
      <w:lvlText w:val=""/>
      <w:lvlJc w:val="left"/>
      <w:pPr>
        <w:tabs>
          <w:tab w:val="num" w:pos="6480"/>
        </w:tabs>
        <w:ind w:left="6480" w:hanging="360"/>
      </w:pPr>
      <w:rPr>
        <w:rFonts w:ascii="Symbol" w:hAnsi="Symbol" w:hint="default"/>
      </w:rPr>
    </w:lvl>
  </w:abstractNum>
  <w:abstractNum w:abstractNumId="134" w15:restartNumberingAfterBreak="0">
    <w:nsid w:val="4CAC1D44"/>
    <w:multiLevelType w:val="hybridMultilevel"/>
    <w:tmpl w:val="BD26F38E"/>
    <w:lvl w:ilvl="0" w:tplc="4A480F80">
      <w:start w:val="1"/>
      <w:numFmt w:val="bullet"/>
      <w:lvlText w:val=""/>
      <w:lvlPicBulletId w:val="1"/>
      <w:lvlJc w:val="left"/>
      <w:pPr>
        <w:tabs>
          <w:tab w:val="num" w:pos="720"/>
        </w:tabs>
        <w:ind w:left="720" w:hanging="360"/>
      </w:pPr>
      <w:rPr>
        <w:rFonts w:ascii="Symbol" w:hAnsi="Symbol" w:hint="default"/>
      </w:rPr>
    </w:lvl>
    <w:lvl w:ilvl="1" w:tplc="F0907246" w:tentative="1">
      <w:start w:val="1"/>
      <w:numFmt w:val="bullet"/>
      <w:lvlText w:val=""/>
      <w:lvlJc w:val="left"/>
      <w:pPr>
        <w:tabs>
          <w:tab w:val="num" w:pos="1440"/>
        </w:tabs>
        <w:ind w:left="1440" w:hanging="360"/>
      </w:pPr>
      <w:rPr>
        <w:rFonts w:ascii="Symbol" w:hAnsi="Symbol" w:hint="default"/>
      </w:rPr>
    </w:lvl>
    <w:lvl w:ilvl="2" w:tplc="5608D6B8" w:tentative="1">
      <w:start w:val="1"/>
      <w:numFmt w:val="bullet"/>
      <w:lvlText w:val=""/>
      <w:lvlJc w:val="left"/>
      <w:pPr>
        <w:tabs>
          <w:tab w:val="num" w:pos="2160"/>
        </w:tabs>
        <w:ind w:left="2160" w:hanging="360"/>
      </w:pPr>
      <w:rPr>
        <w:rFonts w:ascii="Symbol" w:hAnsi="Symbol" w:hint="default"/>
      </w:rPr>
    </w:lvl>
    <w:lvl w:ilvl="3" w:tplc="DE80867A" w:tentative="1">
      <w:start w:val="1"/>
      <w:numFmt w:val="bullet"/>
      <w:lvlText w:val=""/>
      <w:lvlJc w:val="left"/>
      <w:pPr>
        <w:tabs>
          <w:tab w:val="num" w:pos="2880"/>
        </w:tabs>
        <w:ind w:left="2880" w:hanging="360"/>
      </w:pPr>
      <w:rPr>
        <w:rFonts w:ascii="Symbol" w:hAnsi="Symbol" w:hint="default"/>
      </w:rPr>
    </w:lvl>
    <w:lvl w:ilvl="4" w:tplc="93C0BB9A" w:tentative="1">
      <w:start w:val="1"/>
      <w:numFmt w:val="bullet"/>
      <w:lvlText w:val=""/>
      <w:lvlJc w:val="left"/>
      <w:pPr>
        <w:tabs>
          <w:tab w:val="num" w:pos="3600"/>
        </w:tabs>
        <w:ind w:left="3600" w:hanging="360"/>
      </w:pPr>
      <w:rPr>
        <w:rFonts w:ascii="Symbol" w:hAnsi="Symbol" w:hint="default"/>
      </w:rPr>
    </w:lvl>
    <w:lvl w:ilvl="5" w:tplc="A0C8B620" w:tentative="1">
      <w:start w:val="1"/>
      <w:numFmt w:val="bullet"/>
      <w:lvlText w:val=""/>
      <w:lvlJc w:val="left"/>
      <w:pPr>
        <w:tabs>
          <w:tab w:val="num" w:pos="4320"/>
        </w:tabs>
        <w:ind w:left="4320" w:hanging="360"/>
      </w:pPr>
      <w:rPr>
        <w:rFonts w:ascii="Symbol" w:hAnsi="Symbol" w:hint="default"/>
      </w:rPr>
    </w:lvl>
    <w:lvl w:ilvl="6" w:tplc="6E1A77A0" w:tentative="1">
      <w:start w:val="1"/>
      <w:numFmt w:val="bullet"/>
      <w:lvlText w:val=""/>
      <w:lvlJc w:val="left"/>
      <w:pPr>
        <w:tabs>
          <w:tab w:val="num" w:pos="5040"/>
        </w:tabs>
        <w:ind w:left="5040" w:hanging="360"/>
      </w:pPr>
      <w:rPr>
        <w:rFonts w:ascii="Symbol" w:hAnsi="Symbol" w:hint="default"/>
      </w:rPr>
    </w:lvl>
    <w:lvl w:ilvl="7" w:tplc="D534C1CE" w:tentative="1">
      <w:start w:val="1"/>
      <w:numFmt w:val="bullet"/>
      <w:lvlText w:val=""/>
      <w:lvlJc w:val="left"/>
      <w:pPr>
        <w:tabs>
          <w:tab w:val="num" w:pos="5760"/>
        </w:tabs>
        <w:ind w:left="5760" w:hanging="360"/>
      </w:pPr>
      <w:rPr>
        <w:rFonts w:ascii="Symbol" w:hAnsi="Symbol" w:hint="default"/>
      </w:rPr>
    </w:lvl>
    <w:lvl w:ilvl="8" w:tplc="980A541A" w:tentative="1">
      <w:start w:val="1"/>
      <w:numFmt w:val="bullet"/>
      <w:lvlText w:val=""/>
      <w:lvlJc w:val="left"/>
      <w:pPr>
        <w:tabs>
          <w:tab w:val="num" w:pos="6480"/>
        </w:tabs>
        <w:ind w:left="6480" w:hanging="360"/>
      </w:pPr>
      <w:rPr>
        <w:rFonts w:ascii="Symbol" w:hAnsi="Symbol" w:hint="default"/>
      </w:rPr>
    </w:lvl>
  </w:abstractNum>
  <w:abstractNum w:abstractNumId="135" w15:restartNumberingAfterBreak="0">
    <w:nsid w:val="4CE36CE1"/>
    <w:multiLevelType w:val="hybridMultilevel"/>
    <w:tmpl w:val="E89EAA62"/>
    <w:lvl w:ilvl="0" w:tplc="3CD2D188">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4E3A484D"/>
    <w:multiLevelType w:val="hybridMultilevel"/>
    <w:tmpl w:val="FD0092D4"/>
    <w:lvl w:ilvl="0" w:tplc="ABB0ED9C">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4E3D4EC8"/>
    <w:multiLevelType w:val="hybridMultilevel"/>
    <w:tmpl w:val="3F6698FA"/>
    <w:lvl w:ilvl="0" w:tplc="5BA06FD0">
      <w:start w:val="1"/>
      <w:numFmt w:val="bullet"/>
      <w:lvlText w:val=""/>
      <w:lvlPicBulletId w:val="0"/>
      <w:lvlJc w:val="left"/>
      <w:pPr>
        <w:tabs>
          <w:tab w:val="num" w:pos="720"/>
        </w:tabs>
        <w:ind w:left="720" w:hanging="360"/>
      </w:pPr>
      <w:rPr>
        <w:rFonts w:ascii="Symbol" w:hAnsi="Symbol" w:hint="default"/>
      </w:rPr>
    </w:lvl>
    <w:lvl w:ilvl="1" w:tplc="1DEA1F26" w:tentative="1">
      <w:start w:val="1"/>
      <w:numFmt w:val="bullet"/>
      <w:lvlText w:val=""/>
      <w:lvlJc w:val="left"/>
      <w:pPr>
        <w:tabs>
          <w:tab w:val="num" w:pos="1440"/>
        </w:tabs>
        <w:ind w:left="1440" w:hanging="360"/>
      </w:pPr>
      <w:rPr>
        <w:rFonts w:ascii="Symbol" w:hAnsi="Symbol" w:hint="default"/>
      </w:rPr>
    </w:lvl>
    <w:lvl w:ilvl="2" w:tplc="5900E5B8" w:tentative="1">
      <w:start w:val="1"/>
      <w:numFmt w:val="bullet"/>
      <w:lvlText w:val=""/>
      <w:lvlJc w:val="left"/>
      <w:pPr>
        <w:tabs>
          <w:tab w:val="num" w:pos="2160"/>
        </w:tabs>
        <w:ind w:left="2160" w:hanging="360"/>
      </w:pPr>
      <w:rPr>
        <w:rFonts w:ascii="Symbol" w:hAnsi="Symbol" w:hint="default"/>
      </w:rPr>
    </w:lvl>
    <w:lvl w:ilvl="3" w:tplc="5FBE6BE8" w:tentative="1">
      <w:start w:val="1"/>
      <w:numFmt w:val="bullet"/>
      <w:lvlText w:val=""/>
      <w:lvlJc w:val="left"/>
      <w:pPr>
        <w:tabs>
          <w:tab w:val="num" w:pos="2880"/>
        </w:tabs>
        <w:ind w:left="2880" w:hanging="360"/>
      </w:pPr>
      <w:rPr>
        <w:rFonts w:ascii="Symbol" w:hAnsi="Symbol" w:hint="default"/>
      </w:rPr>
    </w:lvl>
    <w:lvl w:ilvl="4" w:tplc="FD5C4F7C" w:tentative="1">
      <w:start w:val="1"/>
      <w:numFmt w:val="bullet"/>
      <w:lvlText w:val=""/>
      <w:lvlJc w:val="left"/>
      <w:pPr>
        <w:tabs>
          <w:tab w:val="num" w:pos="3600"/>
        </w:tabs>
        <w:ind w:left="3600" w:hanging="360"/>
      </w:pPr>
      <w:rPr>
        <w:rFonts w:ascii="Symbol" w:hAnsi="Symbol" w:hint="default"/>
      </w:rPr>
    </w:lvl>
    <w:lvl w:ilvl="5" w:tplc="B4DCF126" w:tentative="1">
      <w:start w:val="1"/>
      <w:numFmt w:val="bullet"/>
      <w:lvlText w:val=""/>
      <w:lvlJc w:val="left"/>
      <w:pPr>
        <w:tabs>
          <w:tab w:val="num" w:pos="4320"/>
        </w:tabs>
        <w:ind w:left="4320" w:hanging="360"/>
      </w:pPr>
      <w:rPr>
        <w:rFonts w:ascii="Symbol" w:hAnsi="Symbol" w:hint="default"/>
      </w:rPr>
    </w:lvl>
    <w:lvl w:ilvl="6" w:tplc="EDF0968C" w:tentative="1">
      <w:start w:val="1"/>
      <w:numFmt w:val="bullet"/>
      <w:lvlText w:val=""/>
      <w:lvlJc w:val="left"/>
      <w:pPr>
        <w:tabs>
          <w:tab w:val="num" w:pos="5040"/>
        </w:tabs>
        <w:ind w:left="5040" w:hanging="360"/>
      </w:pPr>
      <w:rPr>
        <w:rFonts w:ascii="Symbol" w:hAnsi="Symbol" w:hint="default"/>
      </w:rPr>
    </w:lvl>
    <w:lvl w:ilvl="7" w:tplc="E3C0FB12" w:tentative="1">
      <w:start w:val="1"/>
      <w:numFmt w:val="bullet"/>
      <w:lvlText w:val=""/>
      <w:lvlJc w:val="left"/>
      <w:pPr>
        <w:tabs>
          <w:tab w:val="num" w:pos="5760"/>
        </w:tabs>
        <w:ind w:left="5760" w:hanging="360"/>
      </w:pPr>
      <w:rPr>
        <w:rFonts w:ascii="Symbol" w:hAnsi="Symbol" w:hint="default"/>
      </w:rPr>
    </w:lvl>
    <w:lvl w:ilvl="8" w:tplc="6436F326" w:tentative="1">
      <w:start w:val="1"/>
      <w:numFmt w:val="bullet"/>
      <w:lvlText w:val=""/>
      <w:lvlJc w:val="left"/>
      <w:pPr>
        <w:tabs>
          <w:tab w:val="num" w:pos="6480"/>
        </w:tabs>
        <w:ind w:left="6480" w:hanging="360"/>
      </w:pPr>
      <w:rPr>
        <w:rFonts w:ascii="Symbol" w:hAnsi="Symbol" w:hint="default"/>
      </w:rPr>
    </w:lvl>
  </w:abstractNum>
  <w:abstractNum w:abstractNumId="138" w15:restartNumberingAfterBreak="0">
    <w:nsid w:val="4F42593D"/>
    <w:multiLevelType w:val="hybridMultilevel"/>
    <w:tmpl w:val="66400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4FA41DD3"/>
    <w:multiLevelType w:val="hybridMultilevel"/>
    <w:tmpl w:val="D6DA212A"/>
    <w:lvl w:ilvl="0" w:tplc="968AB68A">
      <w:start w:val="1"/>
      <w:numFmt w:val="bullet"/>
      <w:lvlText w:val=""/>
      <w:lvlPicBulletId w:val="1"/>
      <w:lvlJc w:val="left"/>
      <w:pPr>
        <w:tabs>
          <w:tab w:val="num" w:pos="720"/>
        </w:tabs>
        <w:ind w:left="720" w:hanging="360"/>
      </w:pPr>
      <w:rPr>
        <w:rFonts w:ascii="Symbol" w:hAnsi="Symbol" w:hint="default"/>
      </w:rPr>
    </w:lvl>
    <w:lvl w:ilvl="1" w:tplc="762285D6" w:tentative="1">
      <w:start w:val="1"/>
      <w:numFmt w:val="bullet"/>
      <w:lvlText w:val=""/>
      <w:lvlJc w:val="left"/>
      <w:pPr>
        <w:tabs>
          <w:tab w:val="num" w:pos="1440"/>
        </w:tabs>
        <w:ind w:left="1440" w:hanging="360"/>
      </w:pPr>
      <w:rPr>
        <w:rFonts w:ascii="Symbol" w:hAnsi="Symbol" w:hint="default"/>
      </w:rPr>
    </w:lvl>
    <w:lvl w:ilvl="2" w:tplc="E29CFAE0" w:tentative="1">
      <w:start w:val="1"/>
      <w:numFmt w:val="bullet"/>
      <w:lvlText w:val=""/>
      <w:lvlJc w:val="left"/>
      <w:pPr>
        <w:tabs>
          <w:tab w:val="num" w:pos="2160"/>
        </w:tabs>
        <w:ind w:left="2160" w:hanging="360"/>
      </w:pPr>
      <w:rPr>
        <w:rFonts w:ascii="Symbol" w:hAnsi="Symbol" w:hint="default"/>
      </w:rPr>
    </w:lvl>
    <w:lvl w:ilvl="3" w:tplc="00E6B500" w:tentative="1">
      <w:start w:val="1"/>
      <w:numFmt w:val="bullet"/>
      <w:lvlText w:val=""/>
      <w:lvlJc w:val="left"/>
      <w:pPr>
        <w:tabs>
          <w:tab w:val="num" w:pos="2880"/>
        </w:tabs>
        <w:ind w:left="2880" w:hanging="360"/>
      </w:pPr>
      <w:rPr>
        <w:rFonts w:ascii="Symbol" w:hAnsi="Symbol" w:hint="default"/>
      </w:rPr>
    </w:lvl>
    <w:lvl w:ilvl="4" w:tplc="2E7CA23C" w:tentative="1">
      <w:start w:val="1"/>
      <w:numFmt w:val="bullet"/>
      <w:lvlText w:val=""/>
      <w:lvlJc w:val="left"/>
      <w:pPr>
        <w:tabs>
          <w:tab w:val="num" w:pos="3600"/>
        </w:tabs>
        <w:ind w:left="3600" w:hanging="360"/>
      </w:pPr>
      <w:rPr>
        <w:rFonts w:ascii="Symbol" w:hAnsi="Symbol" w:hint="default"/>
      </w:rPr>
    </w:lvl>
    <w:lvl w:ilvl="5" w:tplc="7DB615BC" w:tentative="1">
      <w:start w:val="1"/>
      <w:numFmt w:val="bullet"/>
      <w:lvlText w:val=""/>
      <w:lvlJc w:val="left"/>
      <w:pPr>
        <w:tabs>
          <w:tab w:val="num" w:pos="4320"/>
        </w:tabs>
        <w:ind w:left="4320" w:hanging="360"/>
      </w:pPr>
      <w:rPr>
        <w:rFonts w:ascii="Symbol" w:hAnsi="Symbol" w:hint="default"/>
      </w:rPr>
    </w:lvl>
    <w:lvl w:ilvl="6" w:tplc="1C729D5E" w:tentative="1">
      <w:start w:val="1"/>
      <w:numFmt w:val="bullet"/>
      <w:lvlText w:val=""/>
      <w:lvlJc w:val="left"/>
      <w:pPr>
        <w:tabs>
          <w:tab w:val="num" w:pos="5040"/>
        </w:tabs>
        <w:ind w:left="5040" w:hanging="360"/>
      </w:pPr>
      <w:rPr>
        <w:rFonts w:ascii="Symbol" w:hAnsi="Symbol" w:hint="default"/>
      </w:rPr>
    </w:lvl>
    <w:lvl w:ilvl="7" w:tplc="B2DC5944" w:tentative="1">
      <w:start w:val="1"/>
      <w:numFmt w:val="bullet"/>
      <w:lvlText w:val=""/>
      <w:lvlJc w:val="left"/>
      <w:pPr>
        <w:tabs>
          <w:tab w:val="num" w:pos="5760"/>
        </w:tabs>
        <w:ind w:left="5760" w:hanging="360"/>
      </w:pPr>
      <w:rPr>
        <w:rFonts w:ascii="Symbol" w:hAnsi="Symbol" w:hint="default"/>
      </w:rPr>
    </w:lvl>
    <w:lvl w:ilvl="8" w:tplc="E842EFCA" w:tentative="1">
      <w:start w:val="1"/>
      <w:numFmt w:val="bullet"/>
      <w:lvlText w:val=""/>
      <w:lvlJc w:val="left"/>
      <w:pPr>
        <w:tabs>
          <w:tab w:val="num" w:pos="6480"/>
        </w:tabs>
        <w:ind w:left="6480" w:hanging="360"/>
      </w:pPr>
      <w:rPr>
        <w:rFonts w:ascii="Symbol" w:hAnsi="Symbol" w:hint="default"/>
      </w:rPr>
    </w:lvl>
  </w:abstractNum>
  <w:abstractNum w:abstractNumId="140" w15:restartNumberingAfterBreak="0">
    <w:nsid w:val="50910883"/>
    <w:multiLevelType w:val="hybridMultilevel"/>
    <w:tmpl w:val="974237DA"/>
    <w:lvl w:ilvl="0" w:tplc="088648B8">
      <w:start w:val="1"/>
      <w:numFmt w:val="bullet"/>
      <w:lvlText w:val=""/>
      <w:lvlPicBulletId w:val="1"/>
      <w:lvlJc w:val="left"/>
      <w:pPr>
        <w:tabs>
          <w:tab w:val="num" w:pos="720"/>
        </w:tabs>
        <w:ind w:left="720" w:hanging="360"/>
      </w:pPr>
      <w:rPr>
        <w:rFonts w:ascii="Symbol" w:hAnsi="Symbol" w:hint="default"/>
      </w:rPr>
    </w:lvl>
    <w:lvl w:ilvl="1" w:tplc="21A633CE" w:tentative="1">
      <w:start w:val="1"/>
      <w:numFmt w:val="bullet"/>
      <w:lvlText w:val=""/>
      <w:lvlJc w:val="left"/>
      <w:pPr>
        <w:tabs>
          <w:tab w:val="num" w:pos="1440"/>
        </w:tabs>
        <w:ind w:left="1440" w:hanging="360"/>
      </w:pPr>
      <w:rPr>
        <w:rFonts w:ascii="Symbol" w:hAnsi="Symbol" w:hint="default"/>
      </w:rPr>
    </w:lvl>
    <w:lvl w:ilvl="2" w:tplc="F47A7C10" w:tentative="1">
      <w:start w:val="1"/>
      <w:numFmt w:val="bullet"/>
      <w:lvlText w:val=""/>
      <w:lvlJc w:val="left"/>
      <w:pPr>
        <w:tabs>
          <w:tab w:val="num" w:pos="2160"/>
        </w:tabs>
        <w:ind w:left="2160" w:hanging="360"/>
      </w:pPr>
      <w:rPr>
        <w:rFonts w:ascii="Symbol" w:hAnsi="Symbol" w:hint="default"/>
      </w:rPr>
    </w:lvl>
    <w:lvl w:ilvl="3" w:tplc="E2B4A71C" w:tentative="1">
      <w:start w:val="1"/>
      <w:numFmt w:val="bullet"/>
      <w:lvlText w:val=""/>
      <w:lvlJc w:val="left"/>
      <w:pPr>
        <w:tabs>
          <w:tab w:val="num" w:pos="2880"/>
        </w:tabs>
        <w:ind w:left="2880" w:hanging="360"/>
      </w:pPr>
      <w:rPr>
        <w:rFonts w:ascii="Symbol" w:hAnsi="Symbol" w:hint="default"/>
      </w:rPr>
    </w:lvl>
    <w:lvl w:ilvl="4" w:tplc="57B64504" w:tentative="1">
      <w:start w:val="1"/>
      <w:numFmt w:val="bullet"/>
      <w:lvlText w:val=""/>
      <w:lvlJc w:val="left"/>
      <w:pPr>
        <w:tabs>
          <w:tab w:val="num" w:pos="3600"/>
        </w:tabs>
        <w:ind w:left="3600" w:hanging="360"/>
      </w:pPr>
      <w:rPr>
        <w:rFonts w:ascii="Symbol" w:hAnsi="Symbol" w:hint="default"/>
      </w:rPr>
    </w:lvl>
    <w:lvl w:ilvl="5" w:tplc="22CEB8CE" w:tentative="1">
      <w:start w:val="1"/>
      <w:numFmt w:val="bullet"/>
      <w:lvlText w:val=""/>
      <w:lvlJc w:val="left"/>
      <w:pPr>
        <w:tabs>
          <w:tab w:val="num" w:pos="4320"/>
        </w:tabs>
        <w:ind w:left="4320" w:hanging="360"/>
      </w:pPr>
      <w:rPr>
        <w:rFonts w:ascii="Symbol" w:hAnsi="Symbol" w:hint="default"/>
      </w:rPr>
    </w:lvl>
    <w:lvl w:ilvl="6" w:tplc="4DAAD138" w:tentative="1">
      <w:start w:val="1"/>
      <w:numFmt w:val="bullet"/>
      <w:lvlText w:val=""/>
      <w:lvlJc w:val="left"/>
      <w:pPr>
        <w:tabs>
          <w:tab w:val="num" w:pos="5040"/>
        </w:tabs>
        <w:ind w:left="5040" w:hanging="360"/>
      </w:pPr>
      <w:rPr>
        <w:rFonts w:ascii="Symbol" w:hAnsi="Symbol" w:hint="default"/>
      </w:rPr>
    </w:lvl>
    <w:lvl w:ilvl="7" w:tplc="068EC958" w:tentative="1">
      <w:start w:val="1"/>
      <w:numFmt w:val="bullet"/>
      <w:lvlText w:val=""/>
      <w:lvlJc w:val="left"/>
      <w:pPr>
        <w:tabs>
          <w:tab w:val="num" w:pos="5760"/>
        </w:tabs>
        <w:ind w:left="5760" w:hanging="360"/>
      </w:pPr>
      <w:rPr>
        <w:rFonts w:ascii="Symbol" w:hAnsi="Symbol" w:hint="default"/>
      </w:rPr>
    </w:lvl>
    <w:lvl w:ilvl="8" w:tplc="CB1A49BA" w:tentative="1">
      <w:start w:val="1"/>
      <w:numFmt w:val="bullet"/>
      <w:lvlText w:val=""/>
      <w:lvlJc w:val="left"/>
      <w:pPr>
        <w:tabs>
          <w:tab w:val="num" w:pos="6480"/>
        </w:tabs>
        <w:ind w:left="6480" w:hanging="360"/>
      </w:pPr>
      <w:rPr>
        <w:rFonts w:ascii="Symbol" w:hAnsi="Symbol" w:hint="default"/>
      </w:rPr>
    </w:lvl>
  </w:abstractNum>
  <w:abstractNum w:abstractNumId="141" w15:restartNumberingAfterBreak="0">
    <w:nsid w:val="50AE5825"/>
    <w:multiLevelType w:val="hybridMultilevel"/>
    <w:tmpl w:val="B306974E"/>
    <w:lvl w:ilvl="0" w:tplc="3976DF80">
      <w:start w:val="1"/>
      <w:numFmt w:val="bullet"/>
      <w:lvlText w:val=""/>
      <w:lvlPicBulletId w:val="1"/>
      <w:lvlJc w:val="left"/>
      <w:pPr>
        <w:tabs>
          <w:tab w:val="num" w:pos="720"/>
        </w:tabs>
        <w:ind w:left="720" w:hanging="360"/>
      </w:pPr>
      <w:rPr>
        <w:rFonts w:ascii="Symbol" w:hAnsi="Symbol" w:hint="default"/>
      </w:rPr>
    </w:lvl>
    <w:lvl w:ilvl="1" w:tplc="B1103D74" w:tentative="1">
      <w:start w:val="1"/>
      <w:numFmt w:val="bullet"/>
      <w:lvlText w:val=""/>
      <w:lvlJc w:val="left"/>
      <w:pPr>
        <w:tabs>
          <w:tab w:val="num" w:pos="1440"/>
        </w:tabs>
        <w:ind w:left="1440" w:hanging="360"/>
      </w:pPr>
      <w:rPr>
        <w:rFonts w:ascii="Symbol" w:hAnsi="Symbol" w:hint="default"/>
      </w:rPr>
    </w:lvl>
    <w:lvl w:ilvl="2" w:tplc="D876B0FA" w:tentative="1">
      <w:start w:val="1"/>
      <w:numFmt w:val="bullet"/>
      <w:lvlText w:val=""/>
      <w:lvlJc w:val="left"/>
      <w:pPr>
        <w:tabs>
          <w:tab w:val="num" w:pos="2160"/>
        </w:tabs>
        <w:ind w:left="2160" w:hanging="360"/>
      </w:pPr>
      <w:rPr>
        <w:rFonts w:ascii="Symbol" w:hAnsi="Symbol" w:hint="default"/>
      </w:rPr>
    </w:lvl>
    <w:lvl w:ilvl="3" w:tplc="1E90EF40" w:tentative="1">
      <w:start w:val="1"/>
      <w:numFmt w:val="bullet"/>
      <w:lvlText w:val=""/>
      <w:lvlJc w:val="left"/>
      <w:pPr>
        <w:tabs>
          <w:tab w:val="num" w:pos="2880"/>
        </w:tabs>
        <w:ind w:left="2880" w:hanging="360"/>
      </w:pPr>
      <w:rPr>
        <w:rFonts w:ascii="Symbol" w:hAnsi="Symbol" w:hint="default"/>
      </w:rPr>
    </w:lvl>
    <w:lvl w:ilvl="4" w:tplc="02C8EFE8" w:tentative="1">
      <w:start w:val="1"/>
      <w:numFmt w:val="bullet"/>
      <w:lvlText w:val=""/>
      <w:lvlJc w:val="left"/>
      <w:pPr>
        <w:tabs>
          <w:tab w:val="num" w:pos="3600"/>
        </w:tabs>
        <w:ind w:left="3600" w:hanging="360"/>
      </w:pPr>
      <w:rPr>
        <w:rFonts w:ascii="Symbol" w:hAnsi="Symbol" w:hint="default"/>
      </w:rPr>
    </w:lvl>
    <w:lvl w:ilvl="5" w:tplc="4AFC287E" w:tentative="1">
      <w:start w:val="1"/>
      <w:numFmt w:val="bullet"/>
      <w:lvlText w:val=""/>
      <w:lvlJc w:val="left"/>
      <w:pPr>
        <w:tabs>
          <w:tab w:val="num" w:pos="4320"/>
        </w:tabs>
        <w:ind w:left="4320" w:hanging="360"/>
      </w:pPr>
      <w:rPr>
        <w:rFonts w:ascii="Symbol" w:hAnsi="Symbol" w:hint="default"/>
      </w:rPr>
    </w:lvl>
    <w:lvl w:ilvl="6" w:tplc="B1547FAA" w:tentative="1">
      <w:start w:val="1"/>
      <w:numFmt w:val="bullet"/>
      <w:lvlText w:val=""/>
      <w:lvlJc w:val="left"/>
      <w:pPr>
        <w:tabs>
          <w:tab w:val="num" w:pos="5040"/>
        </w:tabs>
        <w:ind w:left="5040" w:hanging="360"/>
      </w:pPr>
      <w:rPr>
        <w:rFonts w:ascii="Symbol" w:hAnsi="Symbol" w:hint="default"/>
      </w:rPr>
    </w:lvl>
    <w:lvl w:ilvl="7" w:tplc="24D8D41E" w:tentative="1">
      <w:start w:val="1"/>
      <w:numFmt w:val="bullet"/>
      <w:lvlText w:val=""/>
      <w:lvlJc w:val="left"/>
      <w:pPr>
        <w:tabs>
          <w:tab w:val="num" w:pos="5760"/>
        </w:tabs>
        <w:ind w:left="5760" w:hanging="360"/>
      </w:pPr>
      <w:rPr>
        <w:rFonts w:ascii="Symbol" w:hAnsi="Symbol" w:hint="default"/>
      </w:rPr>
    </w:lvl>
    <w:lvl w:ilvl="8" w:tplc="256C2134" w:tentative="1">
      <w:start w:val="1"/>
      <w:numFmt w:val="bullet"/>
      <w:lvlText w:val=""/>
      <w:lvlJc w:val="left"/>
      <w:pPr>
        <w:tabs>
          <w:tab w:val="num" w:pos="6480"/>
        </w:tabs>
        <w:ind w:left="6480" w:hanging="360"/>
      </w:pPr>
      <w:rPr>
        <w:rFonts w:ascii="Symbol" w:hAnsi="Symbol" w:hint="default"/>
      </w:rPr>
    </w:lvl>
  </w:abstractNum>
  <w:abstractNum w:abstractNumId="142" w15:restartNumberingAfterBreak="0">
    <w:nsid w:val="518B114C"/>
    <w:multiLevelType w:val="hybridMultilevel"/>
    <w:tmpl w:val="97A400C0"/>
    <w:lvl w:ilvl="0" w:tplc="1C3EDED2">
      <w:start w:val="1"/>
      <w:numFmt w:val="bullet"/>
      <w:lvlText w:val=""/>
      <w:lvlPicBulletId w:val="1"/>
      <w:lvlJc w:val="left"/>
      <w:pPr>
        <w:tabs>
          <w:tab w:val="num" w:pos="720"/>
        </w:tabs>
        <w:ind w:left="720" w:hanging="360"/>
      </w:pPr>
      <w:rPr>
        <w:rFonts w:ascii="Symbol" w:hAnsi="Symbol" w:hint="default"/>
      </w:rPr>
    </w:lvl>
    <w:lvl w:ilvl="1" w:tplc="B4D27A52" w:tentative="1">
      <w:start w:val="1"/>
      <w:numFmt w:val="bullet"/>
      <w:lvlText w:val=""/>
      <w:lvlJc w:val="left"/>
      <w:pPr>
        <w:tabs>
          <w:tab w:val="num" w:pos="1440"/>
        </w:tabs>
        <w:ind w:left="1440" w:hanging="360"/>
      </w:pPr>
      <w:rPr>
        <w:rFonts w:ascii="Symbol" w:hAnsi="Symbol" w:hint="default"/>
      </w:rPr>
    </w:lvl>
    <w:lvl w:ilvl="2" w:tplc="25F80F02" w:tentative="1">
      <w:start w:val="1"/>
      <w:numFmt w:val="bullet"/>
      <w:lvlText w:val=""/>
      <w:lvlJc w:val="left"/>
      <w:pPr>
        <w:tabs>
          <w:tab w:val="num" w:pos="2160"/>
        </w:tabs>
        <w:ind w:left="2160" w:hanging="360"/>
      </w:pPr>
      <w:rPr>
        <w:rFonts w:ascii="Symbol" w:hAnsi="Symbol" w:hint="default"/>
      </w:rPr>
    </w:lvl>
    <w:lvl w:ilvl="3" w:tplc="2A6E48CC" w:tentative="1">
      <w:start w:val="1"/>
      <w:numFmt w:val="bullet"/>
      <w:lvlText w:val=""/>
      <w:lvlJc w:val="left"/>
      <w:pPr>
        <w:tabs>
          <w:tab w:val="num" w:pos="2880"/>
        </w:tabs>
        <w:ind w:left="2880" w:hanging="360"/>
      </w:pPr>
      <w:rPr>
        <w:rFonts w:ascii="Symbol" w:hAnsi="Symbol" w:hint="default"/>
      </w:rPr>
    </w:lvl>
    <w:lvl w:ilvl="4" w:tplc="397EE55A" w:tentative="1">
      <w:start w:val="1"/>
      <w:numFmt w:val="bullet"/>
      <w:lvlText w:val=""/>
      <w:lvlJc w:val="left"/>
      <w:pPr>
        <w:tabs>
          <w:tab w:val="num" w:pos="3600"/>
        </w:tabs>
        <w:ind w:left="3600" w:hanging="360"/>
      </w:pPr>
      <w:rPr>
        <w:rFonts w:ascii="Symbol" w:hAnsi="Symbol" w:hint="default"/>
      </w:rPr>
    </w:lvl>
    <w:lvl w:ilvl="5" w:tplc="4B72D64C" w:tentative="1">
      <w:start w:val="1"/>
      <w:numFmt w:val="bullet"/>
      <w:lvlText w:val=""/>
      <w:lvlJc w:val="left"/>
      <w:pPr>
        <w:tabs>
          <w:tab w:val="num" w:pos="4320"/>
        </w:tabs>
        <w:ind w:left="4320" w:hanging="360"/>
      </w:pPr>
      <w:rPr>
        <w:rFonts w:ascii="Symbol" w:hAnsi="Symbol" w:hint="default"/>
      </w:rPr>
    </w:lvl>
    <w:lvl w:ilvl="6" w:tplc="A4ACC85A" w:tentative="1">
      <w:start w:val="1"/>
      <w:numFmt w:val="bullet"/>
      <w:lvlText w:val=""/>
      <w:lvlJc w:val="left"/>
      <w:pPr>
        <w:tabs>
          <w:tab w:val="num" w:pos="5040"/>
        </w:tabs>
        <w:ind w:left="5040" w:hanging="360"/>
      </w:pPr>
      <w:rPr>
        <w:rFonts w:ascii="Symbol" w:hAnsi="Symbol" w:hint="default"/>
      </w:rPr>
    </w:lvl>
    <w:lvl w:ilvl="7" w:tplc="B72A3FE6" w:tentative="1">
      <w:start w:val="1"/>
      <w:numFmt w:val="bullet"/>
      <w:lvlText w:val=""/>
      <w:lvlJc w:val="left"/>
      <w:pPr>
        <w:tabs>
          <w:tab w:val="num" w:pos="5760"/>
        </w:tabs>
        <w:ind w:left="5760" w:hanging="360"/>
      </w:pPr>
      <w:rPr>
        <w:rFonts w:ascii="Symbol" w:hAnsi="Symbol" w:hint="default"/>
      </w:rPr>
    </w:lvl>
    <w:lvl w:ilvl="8" w:tplc="CC2C4D64" w:tentative="1">
      <w:start w:val="1"/>
      <w:numFmt w:val="bullet"/>
      <w:lvlText w:val=""/>
      <w:lvlJc w:val="left"/>
      <w:pPr>
        <w:tabs>
          <w:tab w:val="num" w:pos="6480"/>
        </w:tabs>
        <w:ind w:left="6480" w:hanging="360"/>
      </w:pPr>
      <w:rPr>
        <w:rFonts w:ascii="Symbol" w:hAnsi="Symbol" w:hint="default"/>
      </w:rPr>
    </w:lvl>
  </w:abstractNum>
  <w:abstractNum w:abstractNumId="143" w15:restartNumberingAfterBreak="0">
    <w:nsid w:val="524E38F0"/>
    <w:multiLevelType w:val="hybridMultilevel"/>
    <w:tmpl w:val="70A04D4C"/>
    <w:lvl w:ilvl="0" w:tplc="44EEC084">
      <w:start w:val="1"/>
      <w:numFmt w:val="bullet"/>
      <w:lvlText w:val="&gt;"/>
      <w:lvlJc w:val="left"/>
      <w:pPr>
        <w:ind w:left="720" w:hanging="360"/>
      </w:pPr>
      <w:rPr>
        <w:rFonts w:ascii="HelveticaNeueLT Std" w:hAnsi="HelveticaNeueLT Std"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52B812D2"/>
    <w:multiLevelType w:val="hybridMultilevel"/>
    <w:tmpl w:val="52946A6E"/>
    <w:lvl w:ilvl="0" w:tplc="0C090001">
      <w:start w:val="1"/>
      <w:numFmt w:val="bullet"/>
      <w:lvlText w:val=""/>
      <w:lvlJc w:val="left"/>
      <w:pPr>
        <w:ind w:left="577" w:hanging="360"/>
      </w:pPr>
      <w:rPr>
        <w:rFonts w:ascii="Symbol" w:hAnsi="Symbol" w:hint="default"/>
      </w:rPr>
    </w:lvl>
    <w:lvl w:ilvl="1" w:tplc="0C090003">
      <w:start w:val="1"/>
      <w:numFmt w:val="bullet"/>
      <w:lvlText w:val="o"/>
      <w:lvlJc w:val="left"/>
      <w:pPr>
        <w:ind w:left="1297" w:hanging="360"/>
      </w:pPr>
      <w:rPr>
        <w:rFonts w:ascii="Courier New" w:hAnsi="Courier New" w:cs="Courier New" w:hint="default"/>
      </w:rPr>
    </w:lvl>
    <w:lvl w:ilvl="2" w:tplc="0C090005">
      <w:start w:val="1"/>
      <w:numFmt w:val="bullet"/>
      <w:lvlText w:val=""/>
      <w:lvlJc w:val="left"/>
      <w:pPr>
        <w:ind w:left="2017" w:hanging="360"/>
      </w:pPr>
      <w:rPr>
        <w:rFonts w:ascii="Wingdings" w:hAnsi="Wingdings" w:hint="default"/>
      </w:rPr>
    </w:lvl>
    <w:lvl w:ilvl="3" w:tplc="0C090001" w:tentative="1">
      <w:start w:val="1"/>
      <w:numFmt w:val="bullet"/>
      <w:lvlText w:val=""/>
      <w:lvlJc w:val="left"/>
      <w:pPr>
        <w:ind w:left="2737" w:hanging="360"/>
      </w:pPr>
      <w:rPr>
        <w:rFonts w:ascii="Symbol" w:hAnsi="Symbol" w:hint="default"/>
      </w:rPr>
    </w:lvl>
    <w:lvl w:ilvl="4" w:tplc="0C090003" w:tentative="1">
      <w:start w:val="1"/>
      <w:numFmt w:val="bullet"/>
      <w:lvlText w:val="o"/>
      <w:lvlJc w:val="left"/>
      <w:pPr>
        <w:ind w:left="3457" w:hanging="360"/>
      </w:pPr>
      <w:rPr>
        <w:rFonts w:ascii="Courier New" w:hAnsi="Courier New" w:cs="Courier New" w:hint="default"/>
      </w:rPr>
    </w:lvl>
    <w:lvl w:ilvl="5" w:tplc="0C090005" w:tentative="1">
      <w:start w:val="1"/>
      <w:numFmt w:val="bullet"/>
      <w:lvlText w:val=""/>
      <w:lvlJc w:val="left"/>
      <w:pPr>
        <w:ind w:left="4177" w:hanging="360"/>
      </w:pPr>
      <w:rPr>
        <w:rFonts w:ascii="Wingdings" w:hAnsi="Wingdings" w:hint="default"/>
      </w:rPr>
    </w:lvl>
    <w:lvl w:ilvl="6" w:tplc="0C090001" w:tentative="1">
      <w:start w:val="1"/>
      <w:numFmt w:val="bullet"/>
      <w:lvlText w:val=""/>
      <w:lvlJc w:val="left"/>
      <w:pPr>
        <w:ind w:left="4897" w:hanging="360"/>
      </w:pPr>
      <w:rPr>
        <w:rFonts w:ascii="Symbol" w:hAnsi="Symbol" w:hint="default"/>
      </w:rPr>
    </w:lvl>
    <w:lvl w:ilvl="7" w:tplc="0C090003" w:tentative="1">
      <w:start w:val="1"/>
      <w:numFmt w:val="bullet"/>
      <w:lvlText w:val="o"/>
      <w:lvlJc w:val="left"/>
      <w:pPr>
        <w:ind w:left="5617" w:hanging="360"/>
      </w:pPr>
      <w:rPr>
        <w:rFonts w:ascii="Courier New" w:hAnsi="Courier New" w:cs="Courier New" w:hint="default"/>
      </w:rPr>
    </w:lvl>
    <w:lvl w:ilvl="8" w:tplc="0C090005" w:tentative="1">
      <w:start w:val="1"/>
      <w:numFmt w:val="bullet"/>
      <w:lvlText w:val=""/>
      <w:lvlJc w:val="left"/>
      <w:pPr>
        <w:ind w:left="6337" w:hanging="360"/>
      </w:pPr>
      <w:rPr>
        <w:rFonts w:ascii="Wingdings" w:hAnsi="Wingdings" w:hint="default"/>
      </w:rPr>
    </w:lvl>
  </w:abstractNum>
  <w:abstractNum w:abstractNumId="145" w15:restartNumberingAfterBreak="0">
    <w:nsid w:val="52D56CDF"/>
    <w:multiLevelType w:val="hybridMultilevel"/>
    <w:tmpl w:val="008C419C"/>
    <w:lvl w:ilvl="0" w:tplc="08D2AB58">
      <w:start w:val="1"/>
      <w:numFmt w:val="bullet"/>
      <w:lvlText w:val="&gt;"/>
      <w:lvlJc w:val="left"/>
      <w:pPr>
        <w:ind w:left="1211" w:hanging="360"/>
      </w:pPr>
      <w:rPr>
        <w:rFonts w:ascii="HelveticaNeueLT Std Lt" w:hAnsi="HelveticaNeueLT Std Lt" w:hint="default"/>
        <w:sz w:val="20"/>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46" w15:restartNumberingAfterBreak="0">
    <w:nsid w:val="53F650F1"/>
    <w:multiLevelType w:val="hybridMultilevel"/>
    <w:tmpl w:val="0A12CBDC"/>
    <w:lvl w:ilvl="0" w:tplc="08D2AB58">
      <w:start w:val="1"/>
      <w:numFmt w:val="bullet"/>
      <w:lvlText w:val="&gt;"/>
      <w:lvlJc w:val="left"/>
      <w:pPr>
        <w:ind w:left="644" w:hanging="360"/>
      </w:pPr>
      <w:rPr>
        <w:rFonts w:ascii="HelveticaNeueLT Std Lt" w:hAnsi="HelveticaNeueLT Std Lt" w:hint="default"/>
        <w:sz w:val="20"/>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7" w15:restartNumberingAfterBreak="0">
    <w:nsid w:val="55AA21F0"/>
    <w:multiLevelType w:val="hybridMultilevel"/>
    <w:tmpl w:val="6EC4DF9C"/>
    <w:lvl w:ilvl="0" w:tplc="F17CD896">
      <w:start w:val="1"/>
      <w:numFmt w:val="decimal"/>
      <w:pStyle w:val="ACMATableHeader"/>
      <w:lvlText w:val="Table %1:"/>
      <w:lvlJc w:val="left"/>
      <w:pPr>
        <w:tabs>
          <w:tab w:val="num" w:pos="964"/>
        </w:tabs>
        <w:ind w:left="964" w:hanging="964"/>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6647441"/>
    <w:multiLevelType w:val="hybridMultilevel"/>
    <w:tmpl w:val="870AE99E"/>
    <w:lvl w:ilvl="0" w:tplc="ABB0ED9C">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578671A8"/>
    <w:multiLevelType w:val="hybridMultilevel"/>
    <w:tmpl w:val="CC6A9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0" w15:restartNumberingAfterBreak="0">
    <w:nsid w:val="57B50135"/>
    <w:multiLevelType w:val="hybridMultilevel"/>
    <w:tmpl w:val="D7D0ECCC"/>
    <w:lvl w:ilvl="0" w:tplc="06D0C9EC">
      <w:start w:val="1"/>
      <w:numFmt w:val="bullet"/>
      <w:lvlText w:val=""/>
      <w:lvlPicBulletId w:val="0"/>
      <w:lvlJc w:val="left"/>
      <w:pPr>
        <w:tabs>
          <w:tab w:val="num" w:pos="720"/>
        </w:tabs>
        <w:ind w:left="720" w:hanging="360"/>
      </w:pPr>
      <w:rPr>
        <w:rFonts w:ascii="Symbol" w:hAnsi="Symbol" w:hint="default"/>
      </w:rPr>
    </w:lvl>
    <w:lvl w:ilvl="1" w:tplc="FF8AFE8C" w:tentative="1">
      <w:start w:val="1"/>
      <w:numFmt w:val="bullet"/>
      <w:lvlText w:val=""/>
      <w:lvlJc w:val="left"/>
      <w:pPr>
        <w:tabs>
          <w:tab w:val="num" w:pos="1440"/>
        </w:tabs>
        <w:ind w:left="1440" w:hanging="360"/>
      </w:pPr>
      <w:rPr>
        <w:rFonts w:ascii="Symbol" w:hAnsi="Symbol" w:hint="default"/>
      </w:rPr>
    </w:lvl>
    <w:lvl w:ilvl="2" w:tplc="F3300826" w:tentative="1">
      <w:start w:val="1"/>
      <w:numFmt w:val="bullet"/>
      <w:lvlText w:val=""/>
      <w:lvlJc w:val="left"/>
      <w:pPr>
        <w:tabs>
          <w:tab w:val="num" w:pos="2160"/>
        </w:tabs>
        <w:ind w:left="2160" w:hanging="360"/>
      </w:pPr>
      <w:rPr>
        <w:rFonts w:ascii="Symbol" w:hAnsi="Symbol" w:hint="default"/>
      </w:rPr>
    </w:lvl>
    <w:lvl w:ilvl="3" w:tplc="0CF461EC" w:tentative="1">
      <w:start w:val="1"/>
      <w:numFmt w:val="bullet"/>
      <w:lvlText w:val=""/>
      <w:lvlJc w:val="left"/>
      <w:pPr>
        <w:tabs>
          <w:tab w:val="num" w:pos="2880"/>
        </w:tabs>
        <w:ind w:left="2880" w:hanging="360"/>
      </w:pPr>
      <w:rPr>
        <w:rFonts w:ascii="Symbol" w:hAnsi="Symbol" w:hint="default"/>
      </w:rPr>
    </w:lvl>
    <w:lvl w:ilvl="4" w:tplc="F8463CCE" w:tentative="1">
      <w:start w:val="1"/>
      <w:numFmt w:val="bullet"/>
      <w:lvlText w:val=""/>
      <w:lvlJc w:val="left"/>
      <w:pPr>
        <w:tabs>
          <w:tab w:val="num" w:pos="3600"/>
        </w:tabs>
        <w:ind w:left="3600" w:hanging="360"/>
      </w:pPr>
      <w:rPr>
        <w:rFonts w:ascii="Symbol" w:hAnsi="Symbol" w:hint="default"/>
      </w:rPr>
    </w:lvl>
    <w:lvl w:ilvl="5" w:tplc="F35E0F5A" w:tentative="1">
      <w:start w:val="1"/>
      <w:numFmt w:val="bullet"/>
      <w:lvlText w:val=""/>
      <w:lvlJc w:val="left"/>
      <w:pPr>
        <w:tabs>
          <w:tab w:val="num" w:pos="4320"/>
        </w:tabs>
        <w:ind w:left="4320" w:hanging="360"/>
      </w:pPr>
      <w:rPr>
        <w:rFonts w:ascii="Symbol" w:hAnsi="Symbol" w:hint="default"/>
      </w:rPr>
    </w:lvl>
    <w:lvl w:ilvl="6" w:tplc="5B5A1608" w:tentative="1">
      <w:start w:val="1"/>
      <w:numFmt w:val="bullet"/>
      <w:lvlText w:val=""/>
      <w:lvlJc w:val="left"/>
      <w:pPr>
        <w:tabs>
          <w:tab w:val="num" w:pos="5040"/>
        </w:tabs>
        <w:ind w:left="5040" w:hanging="360"/>
      </w:pPr>
      <w:rPr>
        <w:rFonts w:ascii="Symbol" w:hAnsi="Symbol" w:hint="default"/>
      </w:rPr>
    </w:lvl>
    <w:lvl w:ilvl="7" w:tplc="B5421826" w:tentative="1">
      <w:start w:val="1"/>
      <w:numFmt w:val="bullet"/>
      <w:lvlText w:val=""/>
      <w:lvlJc w:val="left"/>
      <w:pPr>
        <w:tabs>
          <w:tab w:val="num" w:pos="5760"/>
        </w:tabs>
        <w:ind w:left="5760" w:hanging="360"/>
      </w:pPr>
      <w:rPr>
        <w:rFonts w:ascii="Symbol" w:hAnsi="Symbol" w:hint="default"/>
      </w:rPr>
    </w:lvl>
    <w:lvl w:ilvl="8" w:tplc="C01ECDD2" w:tentative="1">
      <w:start w:val="1"/>
      <w:numFmt w:val="bullet"/>
      <w:lvlText w:val=""/>
      <w:lvlJc w:val="left"/>
      <w:pPr>
        <w:tabs>
          <w:tab w:val="num" w:pos="6480"/>
        </w:tabs>
        <w:ind w:left="6480" w:hanging="360"/>
      </w:pPr>
      <w:rPr>
        <w:rFonts w:ascii="Symbol" w:hAnsi="Symbol" w:hint="default"/>
      </w:rPr>
    </w:lvl>
  </w:abstractNum>
  <w:abstractNum w:abstractNumId="151" w15:restartNumberingAfterBreak="0">
    <w:nsid w:val="57D8486C"/>
    <w:multiLevelType w:val="hybridMultilevel"/>
    <w:tmpl w:val="13FE5372"/>
    <w:lvl w:ilvl="0" w:tplc="B2F041CE">
      <w:start w:val="1"/>
      <w:numFmt w:val="bullet"/>
      <w:lvlText w:val=""/>
      <w:lvlPicBulletId w:val="1"/>
      <w:lvlJc w:val="left"/>
      <w:pPr>
        <w:tabs>
          <w:tab w:val="num" w:pos="720"/>
        </w:tabs>
        <w:ind w:left="720" w:hanging="360"/>
      </w:pPr>
      <w:rPr>
        <w:rFonts w:ascii="Symbol" w:hAnsi="Symbol" w:hint="default"/>
      </w:rPr>
    </w:lvl>
    <w:lvl w:ilvl="1" w:tplc="C7BE78DE" w:tentative="1">
      <w:start w:val="1"/>
      <w:numFmt w:val="bullet"/>
      <w:lvlText w:val=""/>
      <w:lvlJc w:val="left"/>
      <w:pPr>
        <w:tabs>
          <w:tab w:val="num" w:pos="1440"/>
        </w:tabs>
        <w:ind w:left="1440" w:hanging="360"/>
      </w:pPr>
      <w:rPr>
        <w:rFonts w:ascii="Symbol" w:hAnsi="Symbol" w:hint="default"/>
      </w:rPr>
    </w:lvl>
    <w:lvl w:ilvl="2" w:tplc="568CA9B2" w:tentative="1">
      <w:start w:val="1"/>
      <w:numFmt w:val="bullet"/>
      <w:lvlText w:val=""/>
      <w:lvlJc w:val="left"/>
      <w:pPr>
        <w:tabs>
          <w:tab w:val="num" w:pos="2160"/>
        </w:tabs>
        <w:ind w:left="2160" w:hanging="360"/>
      </w:pPr>
      <w:rPr>
        <w:rFonts w:ascii="Symbol" w:hAnsi="Symbol" w:hint="default"/>
      </w:rPr>
    </w:lvl>
    <w:lvl w:ilvl="3" w:tplc="A610204A" w:tentative="1">
      <w:start w:val="1"/>
      <w:numFmt w:val="bullet"/>
      <w:lvlText w:val=""/>
      <w:lvlJc w:val="left"/>
      <w:pPr>
        <w:tabs>
          <w:tab w:val="num" w:pos="2880"/>
        </w:tabs>
        <w:ind w:left="2880" w:hanging="360"/>
      </w:pPr>
      <w:rPr>
        <w:rFonts w:ascii="Symbol" w:hAnsi="Symbol" w:hint="default"/>
      </w:rPr>
    </w:lvl>
    <w:lvl w:ilvl="4" w:tplc="136ED802" w:tentative="1">
      <w:start w:val="1"/>
      <w:numFmt w:val="bullet"/>
      <w:lvlText w:val=""/>
      <w:lvlJc w:val="left"/>
      <w:pPr>
        <w:tabs>
          <w:tab w:val="num" w:pos="3600"/>
        </w:tabs>
        <w:ind w:left="3600" w:hanging="360"/>
      </w:pPr>
      <w:rPr>
        <w:rFonts w:ascii="Symbol" w:hAnsi="Symbol" w:hint="default"/>
      </w:rPr>
    </w:lvl>
    <w:lvl w:ilvl="5" w:tplc="56CC4F10" w:tentative="1">
      <w:start w:val="1"/>
      <w:numFmt w:val="bullet"/>
      <w:lvlText w:val=""/>
      <w:lvlJc w:val="left"/>
      <w:pPr>
        <w:tabs>
          <w:tab w:val="num" w:pos="4320"/>
        </w:tabs>
        <w:ind w:left="4320" w:hanging="360"/>
      </w:pPr>
      <w:rPr>
        <w:rFonts w:ascii="Symbol" w:hAnsi="Symbol" w:hint="default"/>
      </w:rPr>
    </w:lvl>
    <w:lvl w:ilvl="6" w:tplc="966C1134" w:tentative="1">
      <w:start w:val="1"/>
      <w:numFmt w:val="bullet"/>
      <w:lvlText w:val=""/>
      <w:lvlJc w:val="left"/>
      <w:pPr>
        <w:tabs>
          <w:tab w:val="num" w:pos="5040"/>
        </w:tabs>
        <w:ind w:left="5040" w:hanging="360"/>
      </w:pPr>
      <w:rPr>
        <w:rFonts w:ascii="Symbol" w:hAnsi="Symbol" w:hint="default"/>
      </w:rPr>
    </w:lvl>
    <w:lvl w:ilvl="7" w:tplc="61763F9E" w:tentative="1">
      <w:start w:val="1"/>
      <w:numFmt w:val="bullet"/>
      <w:lvlText w:val=""/>
      <w:lvlJc w:val="left"/>
      <w:pPr>
        <w:tabs>
          <w:tab w:val="num" w:pos="5760"/>
        </w:tabs>
        <w:ind w:left="5760" w:hanging="360"/>
      </w:pPr>
      <w:rPr>
        <w:rFonts w:ascii="Symbol" w:hAnsi="Symbol" w:hint="default"/>
      </w:rPr>
    </w:lvl>
    <w:lvl w:ilvl="8" w:tplc="106EBF3E" w:tentative="1">
      <w:start w:val="1"/>
      <w:numFmt w:val="bullet"/>
      <w:lvlText w:val=""/>
      <w:lvlJc w:val="left"/>
      <w:pPr>
        <w:tabs>
          <w:tab w:val="num" w:pos="6480"/>
        </w:tabs>
        <w:ind w:left="6480" w:hanging="360"/>
      </w:pPr>
      <w:rPr>
        <w:rFonts w:ascii="Symbol" w:hAnsi="Symbol" w:hint="default"/>
      </w:rPr>
    </w:lvl>
  </w:abstractNum>
  <w:abstractNum w:abstractNumId="152" w15:restartNumberingAfterBreak="0">
    <w:nsid w:val="58157623"/>
    <w:multiLevelType w:val="hybridMultilevel"/>
    <w:tmpl w:val="811C92C2"/>
    <w:lvl w:ilvl="0" w:tplc="8EE696D6">
      <w:start w:val="1"/>
      <w:numFmt w:val="decimal"/>
      <w:lvlText w:val="Table %1."/>
      <w:lvlJc w:val="lef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15:restartNumberingAfterBreak="0">
    <w:nsid w:val="589D384C"/>
    <w:multiLevelType w:val="hybridMultilevel"/>
    <w:tmpl w:val="124C3FFC"/>
    <w:lvl w:ilvl="0" w:tplc="020A713E">
      <w:start w:val="1"/>
      <w:numFmt w:val="bullet"/>
      <w:lvlText w:val=""/>
      <w:lvlPicBulletId w:val="0"/>
      <w:lvlJc w:val="left"/>
      <w:pPr>
        <w:tabs>
          <w:tab w:val="num" w:pos="720"/>
        </w:tabs>
        <w:ind w:left="720" w:hanging="360"/>
      </w:pPr>
      <w:rPr>
        <w:rFonts w:ascii="Symbol" w:hAnsi="Symbol" w:hint="default"/>
      </w:rPr>
    </w:lvl>
    <w:lvl w:ilvl="1" w:tplc="C47EC968" w:tentative="1">
      <w:start w:val="1"/>
      <w:numFmt w:val="bullet"/>
      <w:lvlText w:val=""/>
      <w:lvlJc w:val="left"/>
      <w:pPr>
        <w:tabs>
          <w:tab w:val="num" w:pos="1440"/>
        </w:tabs>
        <w:ind w:left="1440" w:hanging="360"/>
      </w:pPr>
      <w:rPr>
        <w:rFonts w:ascii="Symbol" w:hAnsi="Symbol" w:hint="default"/>
      </w:rPr>
    </w:lvl>
    <w:lvl w:ilvl="2" w:tplc="50E492B8" w:tentative="1">
      <w:start w:val="1"/>
      <w:numFmt w:val="bullet"/>
      <w:lvlText w:val=""/>
      <w:lvlJc w:val="left"/>
      <w:pPr>
        <w:tabs>
          <w:tab w:val="num" w:pos="2160"/>
        </w:tabs>
        <w:ind w:left="2160" w:hanging="360"/>
      </w:pPr>
      <w:rPr>
        <w:rFonts w:ascii="Symbol" w:hAnsi="Symbol" w:hint="default"/>
      </w:rPr>
    </w:lvl>
    <w:lvl w:ilvl="3" w:tplc="2312D004" w:tentative="1">
      <w:start w:val="1"/>
      <w:numFmt w:val="bullet"/>
      <w:lvlText w:val=""/>
      <w:lvlJc w:val="left"/>
      <w:pPr>
        <w:tabs>
          <w:tab w:val="num" w:pos="2880"/>
        </w:tabs>
        <w:ind w:left="2880" w:hanging="360"/>
      </w:pPr>
      <w:rPr>
        <w:rFonts w:ascii="Symbol" w:hAnsi="Symbol" w:hint="default"/>
      </w:rPr>
    </w:lvl>
    <w:lvl w:ilvl="4" w:tplc="B34CE324" w:tentative="1">
      <w:start w:val="1"/>
      <w:numFmt w:val="bullet"/>
      <w:lvlText w:val=""/>
      <w:lvlJc w:val="left"/>
      <w:pPr>
        <w:tabs>
          <w:tab w:val="num" w:pos="3600"/>
        </w:tabs>
        <w:ind w:left="3600" w:hanging="360"/>
      </w:pPr>
      <w:rPr>
        <w:rFonts w:ascii="Symbol" w:hAnsi="Symbol" w:hint="default"/>
      </w:rPr>
    </w:lvl>
    <w:lvl w:ilvl="5" w:tplc="75E2BA28" w:tentative="1">
      <w:start w:val="1"/>
      <w:numFmt w:val="bullet"/>
      <w:lvlText w:val=""/>
      <w:lvlJc w:val="left"/>
      <w:pPr>
        <w:tabs>
          <w:tab w:val="num" w:pos="4320"/>
        </w:tabs>
        <w:ind w:left="4320" w:hanging="360"/>
      </w:pPr>
      <w:rPr>
        <w:rFonts w:ascii="Symbol" w:hAnsi="Symbol" w:hint="default"/>
      </w:rPr>
    </w:lvl>
    <w:lvl w:ilvl="6" w:tplc="3A08CC3E" w:tentative="1">
      <w:start w:val="1"/>
      <w:numFmt w:val="bullet"/>
      <w:lvlText w:val=""/>
      <w:lvlJc w:val="left"/>
      <w:pPr>
        <w:tabs>
          <w:tab w:val="num" w:pos="5040"/>
        </w:tabs>
        <w:ind w:left="5040" w:hanging="360"/>
      </w:pPr>
      <w:rPr>
        <w:rFonts w:ascii="Symbol" w:hAnsi="Symbol" w:hint="default"/>
      </w:rPr>
    </w:lvl>
    <w:lvl w:ilvl="7" w:tplc="219E04B2" w:tentative="1">
      <w:start w:val="1"/>
      <w:numFmt w:val="bullet"/>
      <w:lvlText w:val=""/>
      <w:lvlJc w:val="left"/>
      <w:pPr>
        <w:tabs>
          <w:tab w:val="num" w:pos="5760"/>
        </w:tabs>
        <w:ind w:left="5760" w:hanging="360"/>
      </w:pPr>
      <w:rPr>
        <w:rFonts w:ascii="Symbol" w:hAnsi="Symbol" w:hint="default"/>
      </w:rPr>
    </w:lvl>
    <w:lvl w:ilvl="8" w:tplc="815E58AC" w:tentative="1">
      <w:start w:val="1"/>
      <w:numFmt w:val="bullet"/>
      <w:lvlText w:val=""/>
      <w:lvlJc w:val="left"/>
      <w:pPr>
        <w:tabs>
          <w:tab w:val="num" w:pos="6480"/>
        </w:tabs>
        <w:ind w:left="6480" w:hanging="360"/>
      </w:pPr>
      <w:rPr>
        <w:rFonts w:ascii="Symbol" w:hAnsi="Symbol" w:hint="default"/>
      </w:rPr>
    </w:lvl>
  </w:abstractNum>
  <w:abstractNum w:abstractNumId="154" w15:restartNumberingAfterBreak="0">
    <w:nsid w:val="58A90DBB"/>
    <w:multiLevelType w:val="hybridMultilevel"/>
    <w:tmpl w:val="ED1CF3C4"/>
    <w:lvl w:ilvl="0" w:tplc="3ADC5518">
      <w:start w:val="1"/>
      <w:numFmt w:val="bullet"/>
      <w:lvlText w:val=""/>
      <w:lvlPicBulletId w:val="0"/>
      <w:lvlJc w:val="left"/>
      <w:pPr>
        <w:tabs>
          <w:tab w:val="num" w:pos="720"/>
        </w:tabs>
        <w:ind w:left="720" w:hanging="360"/>
      </w:pPr>
      <w:rPr>
        <w:rFonts w:ascii="Symbol" w:hAnsi="Symbol" w:hint="default"/>
      </w:rPr>
    </w:lvl>
    <w:lvl w:ilvl="1" w:tplc="0968512E" w:tentative="1">
      <w:start w:val="1"/>
      <w:numFmt w:val="bullet"/>
      <w:lvlText w:val=""/>
      <w:lvlJc w:val="left"/>
      <w:pPr>
        <w:tabs>
          <w:tab w:val="num" w:pos="1440"/>
        </w:tabs>
        <w:ind w:left="1440" w:hanging="360"/>
      </w:pPr>
      <w:rPr>
        <w:rFonts w:ascii="Symbol" w:hAnsi="Symbol" w:hint="default"/>
      </w:rPr>
    </w:lvl>
    <w:lvl w:ilvl="2" w:tplc="D89A0390" w:tentative="1">
      <w:start w:val="1"/>
      <w:numFmt w:val="bullet"/>
      <w:lvlText w:val=""/>
      <w:lvlJc w:val="left"/>
      <w:pPr>
        <w:tabs>
          <w:tab w:val="num" w:pos="2160"/>
        </w:tabs>
        <w:ind w:left="2160" w:hanging="360"/>
      </w:pPr>
      <w:rPr>
        <w:rFonts w:ascii="Symbol" w:hAnsi="Symbol" w:hint="default"/>
      </w:rPr>
    </w:lvl>
    <w:lvl w:ilvl="3" w:tplc="F4505CBE" w:tentative="1">
      <w:start w:val="1"/>
      <w:numFmt w:val="bullet"/>
      <w:lvlText w:val=""/>
      <w:lvlJc w:val="left"/>
      <w:pPr>
        <w:tabs>
          <w:tab w:val="num" w:pos="2880"/>
        </w:tabs>
        <w:ind w:left="2880" w:hanging="360"/>
      </w:pPr>
      <w:rPr>
        <w:rFonts w:ascii="Symbol" w:hAnsi="Symbol" w:hint="default"/>
      </w:rPr>
    </w:lvl>
    <w:lvl w:ilvl="4" w:tplc="4EEE5102" w:tentative="1">
      <w:start w:val="1"/>
      <w:numFmt w:val="bullet"/>
      <w:lvlText w:val=""/>
      <w:lvlJc w:val="left"/>
      <w:pPr>
        <w:tabs>
          <w:tab w:val="num" w:pos="3600"/>
        </w:tabs>
        <w:ind w:left="3600" w:hanging="360"/>
      </w:pPr>
      <w:rPr>
        <w:rFonts w:ascii="Symbol" w:hAnsi="Symbol" w:hint="default"/>
      </w:rPr>
    </w:lvl>
    <w:lvl w:ilvl="5" w:tplc="11D0B36C" w:tentative="1">
      <w:start w:val="1"/>
      <w:numFmt w:val="bullet"/>
      <w:lvlText w:val=""/>
      <w:lvlJc w:val="left"/>
      <w:pPr>
        <w:tabs>
          <w:tab w:val="num" w:pos="4320"/>
        </w:tabs>
        <w:ind w:left="4320" w:hanging="360"/>
      </w:pPr>
      <w:rPr>
        <w:rFonts w:ascii="Symbol" w:hAnsi="Symbol" w:hint="default"/>
      </w:rPr>
    </w:lvl>
    <w:lvl w:ilvl="6" w:tplc="B5B2F2BE" w:tentative="1">
      <w:start w:val="1"/>
      <w:numFmt w:val="bullet"/>
      <w:lvlText w:val=""/>
      <w:lvlJc w:val="left"/>
      <w:pPr>
        <w:tabs>
          <w:tab w:val="num" w:pos="5040"/>
        </w:tabs>
        <w:ind w:left="5040" w:hanging="360"/>
      </w:pPr>
      <w:rPr>
        <w:rFonts w:ascii="Symbol" w:hAnsi="Symbol" w:hint="default"/>
      </w:rPr>
    </w:lvl>
    <w:lvl w:ilvl="7" w:tplc="1EA02196" w:tentative="1">
      <w:start w:val="1"/>
      <w:numFmt w:val="bullet"/>
      <w:lvlText w:val=""/>
      <w:lvlJc w:val="left"/>
      <w:pPr>
        <w:tabs>
          <w:tab w:val="num" w:pos="5760"/>
        </w:tabs>
        <w:ind w:left="5760" w:hanging="360"/>
      </w:pPr>
      <w:rPr>
        <w:rFonts w:ascii="Symbol" w:hAnsi="Symbol" w:hint="default"/>
      </w:rPr>
    </w:lvl>
    <w:lvl w:ilvl="8" w:tplc="C492D14A" w:tentative="1">
      <w:start w:val="1"/>
      <w:numFmt w:val="bullet"/>
      <w:lvlText w:val=""/>
      <w:lvlJc w:val="left"/>
      <w:pPr>
        <w:tabs>
          <w:tab w:val="num" w:pos="6480"/>
        </w:tabs>
        <w:ind w:left="6480" w:hanging="360"/>
      </w:pPr>
      <w:rPr>
        <w:rFonts w:ascii="Symbol" w:hAnsi="Symbol" w:hint="default"/>
      </w:rPr>
    </w:lvl>
  </w:abstractNum>
  <w:abstractNum w:abstractNumId="155" w15:restartNumberingAfterBreak="0">
    <w:nsid w:val="58CE1432"/>
    <w:multiLevelType w:val="hybridMultilevel"/>
    <w:tmpl w:val="074A1894"/>
    <w:lvl w:ilvl="0" w:tplc="3440E3FC">
      <w:start w:val="1"/>
      <w:numFmt w:val="bullet"/>
      <w:lvlText w:val=""/>
      <w:lvlPicBulletId w:val="1"/>
      <w:lvlJc w:val="left"/>
      <w:pPr>
        <w:tabs>
          <w:tab w:val="num" w:pos="720"/>
        </w:tabs>
        <w:ind w:left="720" w:hanging="360"/>
      </w:pPr>
      <w:rPr>
        <w:rFonts w:ascii="Symbol" w:hAnsi="Symbol" w:hint="default"/>
      </w:rPr>
    </w:lvl>
    <w:lvl w:ilvl="1" w:tplc="B51C6480" w:tentative="1">
      <w:start w:val="1"/>
      <w:numFmt w:val="bullet"/>
      <w:lvlText w:val=""/>
      <w:lvlJc w:val="left"/>
      <w:pPr>
        <w:tabs>
          <w:tab w:val="num" w:pos="1440"/>
        </w:tabs>
        <w:ind w:left="1440" w:hanging="360"/>
      </w:pPr>
      <w:rPr>
        <w:rFonts w:ascii="Symbol" w:hAnsi="Symbol" w:hint="default"/>
      </w:rPr>
    </w:lvl>
    <w:lvl w:ilvl="2" w:tplc="22C2EBC8" w:tentative="1">
      <w:start w:val="1"/>
      <w:numFmt w:val="bullet"/>
      <w:lvlText w:val=""/>
      <w:lvlJc w:val="left"/>
      <w:pPr>
        <w:tabs>
          <w:tab w:val="num" w:pos="2160"/>
        </w:tabs>
        <w:ind w:left="2160" w:hanging="360"/>
      </w:pPr>
      <w:rPr>
        <w:rFonts w:ascii="Symbol" w:hAnsi="Symbol" w:hint="default"/>
      </w:rPr>
    </w:lvl>
    <w:lvl w:ilvl="3" w:tplc="EEEEAB00" w:tentative="1">
      <w:start w:val="1"/>
      <w:numFmt w:val="bullet"/>
      <w:lvlText w:val=""/>
      <w:lvlJc w:val="left"/>
      <w:pPr>
        <w:tabs>
          <w:tab w:val="num" w:pos="2880"/>
        </w:tabs>
        <w:ind w:left="2880" w:hanging="360"/>
      </w:pPr>
      <w:rPr>
        <w:rFonts w:ascii="Symbol" w:hAnsi="Symbol" w:hint="default"/>
      </w:rPr>
    </w:lvl>
    <w:lvl w:ilvl="4" w:tplc="D45678E8" w:tentative="1">
      <w:start w:val="1"/>
      <w:numFmt w:val="bullet"/>
      <w:lvlText w:val=""/>
      <w:lvlJc w:val="left"/>
      <w:pPr>
        <w:tabs>
          <w:tab w:val="num" w:pos="3600"/>
        </w:tabs>
        <w:ind w:left="3600" w:hanging="360"/>
      </w:pPr>
      <w:rPr>
        <w:rFonts w:ascii="Symbol" w:hAnsi="Symbol" w:hint="default"/>
      </w:rPr>
    </w:lvl>
    <w:lvl w:ilvl="5" w:tplc="B83A1CDE" w:tentative="1">
      <w:start w:val="1"/>
      <w:numFmt w:val="bullet"/>
      <w:lvlText w:val=""/>
      <w:lvlJc w:val="left"/>
      <w:pPr>
        <w:tabs>
          <w:tab w:val="num" w:pos="4320"/>
        </w:tabs>
        <w:ind w:left="4320" w:hanging="360"/>
      </w:pPr>
      <w:rPr>
        <w:rFonts w:ascii="Symbol" w:hAnsi="Symbol" w:hint="default"/>
      </w:rPr>
    </w:lvl>
    <w:lvl w:ilvl="6" w:tplc="F60CEDC6" w:tentative="1">
      <w:start w:val="1"/>
      <w:numFmt w:val="bullet"/>
      <w:lvlText w:val=""/>
      <w:lvlJc w:val="left"/>
      <w:pPr>
        <w:tabs>
          <w:tab w:val="num" w:pos="5040"/>
        </w:tabs>
        <w:ind w:left="5040" w:hanging="360"/>
      </w:pPr>
      <w:rPr>
        <w:rFonts w:ascii="Symbol" w:hAnsi="Symbol" w:hint="default"/>
      </w:rPr>
    </w:lvl>
    <w:lvl w:ilvl="7" w:tplc="745A0CF4" w:tentative="1">
      <w:start w:val="1"/>
      <w:numFmt w:val="bullet"/>
      <w:lvlText w:val=""/>
      <w:lvlJc w:val="left"/>
      <w:pPr>
        <w:tabs>
          <w:tab w:val="num" w:pos="5760"/>
        </w:tabs>
        <w:ind w:left="5760" w:hanging="360"/>
      </w:pPr>
      <w:rPr>
        <w:rFonts w:ascii="Symbol" w:hAnsi="Symbol" w:hint="default"/>
      </w:rPr>
    </w:lvl>
    <w:lvl w:ilvl="8" w:tplc="68D4E49C" w:tentative="1">
      <w:start w:val="1"/>
      <w:numFmt w:val="bullet"/>
      <w:lvlText w:val=""/>
      <w:lvlJc w:val="left"/>
      <w:pPr>
        <w:tabs>
          <w:tab w:val="num" w:pos="6480"/>
        </w:tabs>
        <w:ind w:left="6480" w:hanging="360"/>
      </w:pPr>
      <w:rPr>
        <w:rFonts w:ascii="Symbol" w:hAnsi="Symbol" w:hint="default"/>
      </w:rPr>
    </w:lvl>
  </w:abstractNum>
  <w:abstractNum w:abstractNumId="156" w15:restartNumberingAfterBreak="0">
    <w:nsid w:val="58EA4E26"/>
    <w:multiLevelType w:val="hybridMultilevel"/>
    <w:tmpl w:val="B1DA945E"/>
    <w:lvl w:ilvl="0" w:tplc="8098ED12">
      <w:start w:val="1"/>
      <w:numFmt w:val="bullet"/>
      <w:lvlText w:val=""/>
      <w:lvlPicBulletId w:val="1"/>
      <w:lvlJc w:val="left"/>
      <w:pPr>
        <w:tabs>
          <w:tab w:val="num" w:pos="720"/>
        </w:tabs>
        <w:ind w:left="720" w:hanging="360"/>
      </w:pPr>
      <w:rPr>
        <w:rFonts w:ascii="Symbol" w:hAnsi="Symbol" w:hint="default"/>
      </w:rPr>
    </w:lvl>
    <w:lvl w:ilvl="1" w:tplc="6DE8D002" w:tentative="1">
      <w:start w:val="1"/>
      <w:numFmt w:val="bullet"/>
      <w:lvlText w:val=""/>
      <w:lvlJc w:val="left"/>
      <w:pPr>
        <w:tabs>
          <w:tab w:val="num" w:pos="1440"/>
        </w:tabs>
        <w:ind w:left="1440" w:hanging="360"/>
      </w:pPr>
      <w:rPr>
        <w:rFonts w:ascii="Symbol" w:hAnsi="Symbol" w:hint="default"/>
      </w:rPr>
    </w:lvl>
    <w:lvl w:ilvl="2" w:tplc="751883E0" w:tentative="1">
      <w:start w:val="1"/>
      <w:numFmt w:val="bullet"/>
      <w:lvlText w:val=""/>
      <w:lvlJc w:val="left"/>
      <w:pPr>
        <w:tabs>
          <w:tab w:val="num" w:pos="2160"/>
        </w:tabs>
        <w:ind w:left="2160" w:hanging="360"/>
      </w:pPr>
      <w:rPr>
        <w:rFonts w:ascii="Symbol" w:hAnsi="Symbol" w:hint="default"/>
      </w:rPr>
    </w:lvl>
    <w:lvl w:ilvl="3" w:tplc="D15EAA22" w:tentative="1">
      <w:start w:val="1"/>
      <w:numFmt w:val="bullet"/>
      <w:lvlText w:val=""/>
      <w:lvlJc w:val="left"/>
      <w:pPr>
        <w:tabs>
          <w:tab w:val="num" w:pos="2880"/>
        </w:tabs>
        <w:ind w:left="2880" w:hanging="360"/>
      </w:pPr>
      <w:rPr>
        <w:rFonts w:ascii="Symbol" w:hAnsi="Symbol" w:hint="default"/>
      </w:rPr>
    </w:lvl>
    <w:lvl w:ilvl="4" w:tplc="5A34DCFC" w:tentative="1">
      <w:start w:val="1"/>
      <w:numFmt w:val="bullet"/>
      <w:lvlText w:val=""/>
      <w:lvlJc w:val="left"/>
      <w:pPr>
        <w:tabs>
          <w:tab w:val="num" w:pos="3600"/>
        </w:tabs>
        <w:ind w:left="3600" w:hanging="360"/>
      </w:pPr>
      <w:rPr>
        <w:rFonts w:ascii="Symbol" w:hAnsi="Symbol" w:hint="default"/>
      </w:rPr>
    </w:lvl>
    <w:lvl w:ilvl="5" w:tplc="50D802AA" w:tentative="1">
      <w:start w:val="1"/>
      <w:numFmt w:val="bullet"/>
      <w:lvlText w:val=""/>
      <w:lvlJc w:val="left"/>
      <w:pPr>
        <w:tabs>
          <w:tab w:val="num" w:pos="4320"/>
        </w:tabs>
        <w:ind w:left="4320" w:hanging="360"/>
      </w:pPr>
      <w:rPr>
        <w:rFonts w:ascii="Symbol" w:hAnsi="Symbol" w:hint="default"/>
      </w:rPr>
    </w:lvl>
    <w:lvl w:ilvl="6" w:tplc="B5C257AA" w:tentative="1">
      <w:start w:val="1"/>
      <w:numFmt w:val="bullet"/>
      <w:lvlText w:val=""/>
      <w:lvlJc w:val="left"/>
      <w:pPr>
        <w:tabs>
          <w:tab w:val="num" w:pos="5040"/>
        </w:tabs>
        <w:ind w:left="5040" w:hanging="360"/>
      </w:pPr>
      <w:rPr>
        <w:rFonts w:ascii="Symbol" w:hAnsi="Symbol" w:hint="default"/>
      </w:rPr>
    </w:lvl>
    <w:lvl w:ilvl="7" w:tplc="6C5CA19C" w:tentative="1">
      <w:start w:val="1"/>
      <w:numFmt w:val="bullet"/>
      <w:lvlText w:val=""/>
      <w:lvlJc w:val="left"/>
      <w:pPr>
        <w:tabs>
          <w:tab w:val="num" w:pos="5760"/>
        </w:tabs>
        <w:ind w:left="5760" w:hanging="360"/>
      </w:pPr>
      <w:rPr>
        <w:rFonts w:ascii="Symbol" w:hAnsi="Symbol" w:hint="default"/>
      </w:rPr>
    </w:lvl>
    <w:lvl w:ilvl="8" w:tplc="86B8DC4C" w:tentative="1">
      <w:start w:val="1"/>
      <w:numFmt w:val="bullet"/>
      <w:lvlText w:val=""/>
      <w:lvlJc w:val="left"/>
      <w:pPr>
        <w:tabs>
          <w:tab w:val="num" w:pos="6480"/>
        </w:tabs>
        <w:ind w:left="6480" w:hanging="360"/>
      </w:pPr>
      <w:rPr>
        <w:rFonts w:ascii="Symbol" w:hAnsi="Symbol" w:hint="default"/>
      </w:rPr>
    </w:lvl>
  </w:abstractNum>
  <w:abstractNum w:abstractNumId="157" w15:restartNumberingAfterBreak="0">
    <w:nsid w:val="59C764BC"/>
    <w:multiLevelType w:val="hybridMultilevel"/>
    <w:tmpl w:val="90128A4E"/>
    <w:lvl w:ilvl="0" w:tplc="397CAAC2">
      <w:start w:val="1"/>
      <w:numFmt w:val="bullet"/>
      <w:lvlText w:val=""/>
      <w:lvlPicBulletId w:val="1"/>
      <w:lvlJc w:val="left"/>
      <w:pPr>
        <w:tabs>
          <w:tab w:val="num" w:pos="720"/>
        </w:tabs>
        <w:ind w:left="720" w:hanging="360"/>
      </w:pPr>
      <w:rPr>
        <w:rFonts w:ascii="Symbol" w:hAnsi="Symbol" w:hint="default"/>
      </w:rPr>
    </w:lvl>
    <w:lvl w:ilvl="1" w:tplc="4C38912C" w:tentative="1">
      <w:start w:val="1"/>
      <w:numFmt w:val="bullet"/>
      <w:lvlText w:val=""/>
      <w:lvlJc w:val="left"/>
      <w:pPr>
        <w:tabs>
          <w:tab w:val="num" w:pos="1440"/>
        </w:tabs>
        <w:ind w:left="1440" w:hanging="360"/>
      </w:pPr>
      <w:rPr>
        <w:rFonts w:ascii="Symbol" w:hAnsi="Symbol" w:hint="default"/>
      </w:rPr>
    </w:lvl>
    <w:lvl w:ilvl="2" w:tplc="EEDC0F6A" w:tentative="1">
      <w:start w:val="1"/>
      <w:numFmt w:val="bullet"/>
      <w:lvlText w:val=""/>
      <w:lvlJc w:val="left"/>
      <w:pPr>
        <w:tabs>
          <w:tab w:val="num" w:pos="2160"/>
        </w:tabs>
        <w:ind w:left="2160" w:hanging="360"/>
      </w:pPr>
      <w:rPr>
        <w:rFonts w:ascii="Symbol" w:hAnsi="Symbol" w:hint="default"/>
      </w:rPr>
    </w:lvl>
    <w:lvl w:ilvl="3" w:tplc="98D6C598" w:tentative="1">
      <w:start w:val="1"/>
      <w:numFmt w:val="bullet"/>
      <w:lvlText w:val=""/>
      <w:lvlJc w:val="left"/>
      <w:pPr>
        <w:tabs>
          <w:tab w:val="num" w:pos="2880"/>
        </w:tabs>
        <w:ind w:left="2880" w:hanging="360"/>
      </w:pPr>
      <w:rPr>
        <w:rFonts w:ascii="Symbol" w:hAnsi="Symbol" w:hint="default"/>
      </w:rPr>
    </w:lvl>
    <w:lvl w:ilvl="4" w:tplc="D5F22328" w:tentative="1">
      <w:start w:val="1"/>
      <w:numFmt w:val="bullet"/>
      <w:lvlText w:val=""/>
      <w:lvlJc w:val="left"/>
      <w:pPr>
        <w:tabs>
          <w:tab w:val="num" w:pos="3600"/>
        </w:tabs>
        <w:ind w:left="3600" w:hanging="360"/>
      </w:pPr>
      <w:rPr>
        <w:rFonts w:ascii="Symbol" w:hAnsi="Symbol" w:hint="default"/>
      </w:rPr>
    </w:lvl>
    <w:lvl w:ilvl="5" w:tplc="2A2662BC" w:tentative="1">
      <w:start w:val="1"/>
      <w:numFmt w:val="bullet"/>
      <w:lvlText w:val=""/>
      <w:lvlJc w:val="left"/>
      <w:pPr>
        <w:tabs>
          <w:tab w:val="num" w:pos="4320"/>
        </w:tabs>
        <w:ind w:left="4320" w:hanging="360"/>
      </w:pPr>
      <w:rPr>
        <w:rFonts w:ascii="Symbol" w:hAnsi="Symbol" w:hint="default"/>
      </w:rPr>
    </w:lvl>
    <w:lvl w:ilvl="6" w:tplc="1C9E18F2" w:tentative="1">
      <w:start w:val="1"/>
      <w:numFmt w:val="bullet"/>
      <w:lvlText w:val=""/>
      <w:lvlJc w:val="left"/>
      <w:pPr>
        <w:tabs>
          <w:tab w:val="num" w:pos="5040"/>
        </w:tabs>
        <w:ind w:left="5040" w:hanging="360"/>
      </w:pPr>
      <w:rPr>
        <w:rFonts w:ascii="Symbol" w:hAnsi="Symbol" w:hint="default"/>
      </w:rPr>
    </w:lvl>
    <w:lvl w:ilvl="7" w:tplc="638C5976" w:tentative="1">
      <w:start w:val="1"/>
      <w:numFmt w:val="bullet"/>
      <w:lvlText w:val=""/>
      <w:lvlJc w:val="left"/>
      <w:pPr>
        <w:tabs>
          <w:tab w:val="num" w:pos="5760"/>
        </w:tabs>
        <w:ind w:left="5760" w:hanging="360"/>
      </w:pPr>
      <w:rPr>
        <w:rFonts w:ascii="Symbol" w:hAnsi="Symbol" w:hint="default"/>
      </w:rPr>
    </w:lvl>
    <w:lvl w:ilvl="8" w:tplc="6ED2FC0A" w:tentative="1">
      <w:start w:val="1"/>
      <w:numFmt w:val="bullet"/>
      <w:lvlText w:val=""/>
      <w:lvlJc w:val="left"/>
      <w:pPr>
        <w:tabs>
          <w:tab w:val="num" w:pos="6480"/>
        </w:tabs>
        <w:ind w:left="6480" w:hanging="360"/>
      </w:pPr>
      <w:rPr>
        <w:rFonts w:ascii="Symbol" w:hAnsi="Symbol" w:hint="default"/>
      </w:rPr>
    </w:lvl>
  </w:abstractNum>
  <w:abstractNum w:abstractNumId="158" w15:restartNumberingAfterBreak="0">
    <w:nsid w:val="5B230A0E"/>
    <w:multiLevelType w:val="hybridMultilevel"/>
    <w:tmpl w:val="F5C0853C"/>
    <w:lvl w:ilvl="0" w:tplc="CC8A3DB4">
      <w:start w:val="1"/>
      <w:numFmt w:val="bullet"/>
      <w:lvlText w:val=""/>
      <w:lvlPicBulletId w:val="1"/>
      <w:lvlJc w:val="left"/>
      <w:pPr>
        <w:tabs>
          <w:tab w:val="num" w:pos="720"/>
        </w:tabs>
        <w:ind w:left="720" w:hanging="360"/>
      </w:pPr>
      <w:rPr>
        <w:rFonts w:ascii="Symbol" w:hAnsi="Symbol" w:hint="default"/>
      </w:rPr>
    </w:lvl>
    <w:lvl w:ilvl="1" w:tplc="99EEA63E" w:tentative="1">
      <w:start w:val="1"/>
      <w:numFmt w:val="bullet"/>
      <w:lvlText w:val=""/>
      <w:lvlJc w:val="left"/>
      <w:pPr>
        <w:tabs>
          <w:tab w:val="num" w:pos="1440"/>
        </w:tabs>
        <w:ind w:left="1440" w:hanging="360"/>
      </w:pPr>
      <w:rPr>
        <w:rFonts w:ascii="Symbol" w:hAnsi="Symbol" w:hint="default"/>
      </w:rPr>
    </w:lvl>
    <w:lvl w:ilvl="2" w:tplc="34BA477A" w:tentative="1">
      <w:start w:val="1"/>
      <w:numFmt w:val="bullet"/>
      <w:lvlText w:val=""/>
      <w:lvlJc w:val="left"/>
      <w:pPr>
        <w:tabs>
          <w:tab w:val="num" w:pos="2160"/>
        </w:tabs>
        <w:ind w:left="2160" w:hanging="360"/>
      </w:pPr>
      <w:rPr>
        <w:rFonts w:ascii="Symbol" w:hAnsi="Symbol" w:hint="default"/>
      </w:rPr>
    </w:lvl>
    <w:lvl w:ilvl="3" w:tplc="62B8AE3A" w:tentative="1">
      <w:start w:val="1"/>
      <w:numFmt w:val="bullet"/>
      <w:lvlText w:val=""/>
      <w:lvlJc w:val="left"/>
      <w:pPr>
        <w:tabs>
          <w:tab w:val="num" w:pos="2880"/>
        </w:tabs>
        <w:ind w:left="2880" w:hanging="360"/>
      </w:pPr>
      <w:rPr>
        <w:rFonts w:ascii="Symbol" w:hAnsi="Symbol" w:hint="default"/>
      </w:rPr>
    </w:lvl>
    <w:lvl w:ilvl="4" w:tplc="884C6C1E" w:tentative="1">
      <w:start w:val="1"/>
      <w:numFmt w:val="bullet"/>
      <w:lvlText w:val=""/>
      <w:lvlJc w:val="left"/>
      <w:pPr>
        <w:tabs>
          <w:tab w:val="num" w:pos="3600"/>
        </w:tabs>
        <w:ind w:left="3600" w:hanging="360"/>
      </w:pPr>
      <w:rPr>
        <w:rFonts w:ascii="Symbol" w:hAnsi="Symbol" w:hint="default"/>
      </w:rPr>
    </w:lvl>
    <w:lvl w:ilvl="5" w:tplc="5A34F182" w:tentative="1">
      <w:start w:val="1"/>
      <w:numFmt w:val="bullet"/>
      <w:lvlText w:val=""/>
      <w:lvlJc w:val="left"/>
      <w:pPr>
        <w:tabs>
          <w:tab w:val="num" w:pos="4320"/>
        </w:tabs>
        <w:ind w:left="4320" w:hanging="360"/>
      </w:pPr>
      <w:rPr>
        <w:rFonts w:ascii="Symbol" w:hAnsi="Symbol" w:hint="default"/>
      </w:rPr>
    </w:lvl>
    <w:lvl w:ilvl="6" w:tplc="C1021D26" w:tentative="1">
      <w:start w:val="1"/>
      <w:numFmt w:val="bullet"/>
      <w:lvlText w:val=""/>
      <w:lvlJc w:val="left"/>
      <w:pPr>
        <w:tabs>
          <w:tab w:val="num" w:pos="5040"/>
        </w:tabs>
        <w:ind w:left="5040" w:hanging="360"/>
      </w:pPr>
      <w:rPr>
        <w:rFonts w:ascii="Symbol" w:hAnsi="Symbol" w:hint="default"/>
      </w:rPr>
    </w:lvl>
    <w:lvl w:ilvl="7" w:tplc="9CA85712" w:tentative="1">
      <w:start w:val="1"/>
      <w:numFmt w:val="bullet"/>
      <w:lvlText w:val=""/>
      <w:lvlJc w:val="left"/>
      <w:pPr>
        <w:tabs>
          <w:tab w:val="num" w:pos="5760"/>
        </w:tabs>
        <w:ind w:left="5760" w:hanging="360"/>
      </w:pPr>
      <w:rPr>
        <w:rFonts w:ascii="Symbol" w:hAnsi="Symbol" w:hint="default"/>
      </w:rPr>
    </w:lvl>
    <w:lvl w:ilvl="8" w:tplc="D3DC4F42" w:tentative="1">
      <w:start w:val="1"/>
      <w:numFmt w:val="bullet"/>
      <w:lvlText w:val=""/>
      <w:lvlJc w:val="left"/>
      <w:pPr>
        <w:tabs>
          <w:tab w:val="num" w:pos="6480"/>
        </w:tabs>
        <w:ind w:left="6480" w:hanging="360"/>
      </w:pPr>
      <w:rPr>
        <w:rFonts w:ascii="Symbol" w:hAnsi="Symbol" w:hint="default"/>
      </w:rPr>
    </w:lvl>
  </w:abstractNum>
  <w:abstractNum w:abstractNumId="159" w15:restartNumberingAfterBreak="0">
    <w:nsid w:val="5C44724B"/>
    <w:multiLevelType w:val="hybridMultilevel"/>
    <w:tmpl w:val="CF5CB2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0" w15:restartNumberingAfterBreak="0">
    <w:nsid w:val="5C5576C5"/>
    <w:multiLevelType w:val="hybridMultilevel"/>
    <w:tmpl w:val="550ACB2C"/>
    <w:lvl w:ilvl="0" w:tplc="D7A8F566">
      <w:start w:val="1"/>
      <w:numFmt w:val="bullet"/>
      <w:lvlText w:val=""/>
      <w:lvlPicBulletId w:val="0"/>
      <w:lvlJc w:val="left"/>
      <w:pPr>
        <w:tabs>
          <w:tab w:val="num" w:pos="720"/>
        </w:tabs>
        <w:ind w:left="720" w:hanging="360"/>
      </w:pPr>
      <w:rPr>
        <w:rFonts w:ascii="Symbol" w:hAnsi="Symbol" w:hint="default"/>
      </w:rPr>
    </w:lvl>
    <w:lvl w:ilvl="1" w:tplc="EDD22F16" w:tentative="1">
      <w:start w:val="1"/>
      <w:numFmt w:val="bullet"/>
      <w:lvlText w:val=""/>
      <w:lvlJc w:val="left"/>
      <w:pPr>
        <w:tabs>
          <w:tab w:val="num" w:pos="1440"/>
        </w:tabs>
        <w:ind w:left="1440" w:hanging="360"/>
      </w:pPr>
      <w:rPr>
        <w:rFonts w:ascii="Symbol" w:hAnsi="Symbol" w:hint="default"/>
      </w:rPr>
    </w:lvl>
    <w:lvl w:ilvl="2" w:tplc="A70E5FB2" w:tentative="1">
      <w:start w:val="1"/>
      <w:numFmt w:val="bullet"/>
      <w:lvlText w:val=""/>
      <w:lvlJc w:val="left"/>
      <w:pPr>
        <w:tabs>
          <w:tab w:val="num" w:pos="2160"/>
        </w:tabs>
        <w:ind w:left="2160" w:hanging="360"/>
      </w:pPr>
      <w:rPr>
        <w:rFonts w:ascii="Symbol" w:hAnsi="Symbol" w:hint="default"/>
      </w:rPr>
    </w:lvl>
    <w:lvl w:ilvl="3" w:tplc="B3B6ECDE" w:tentative="1">
      <w:start w:val="1"/>
      <w:numFmt w:val="bullet"/>
      <w:lvlText w:val=""/>
      <w:lvlJc w:val="left"/>
      <w:pPr>
        <w:tabs>
          <w:tab w:val="num" w:pos="2880"/>
        </w:tabs>
        <w:ind w:left="2880" w:hanging="360"/>
      </w:pPr>
      <w:rPr>
        <w:rFonts w:ascii="Symbol" w:hAnsi="Symbol" w:hint="default"/>
      </w:rPr>
    </w:lvl>
    <w:lvl w:ilvl="4" w:tplc="A85A3186" w:tentative="1">
      <w:start w:val="1"/>
      <w:numFmt w:val="bullet"/>
      <w:lvlText w:val=""/>
      <w:lvlJc w:val="left"/>
      <w:pPr>
        <w:tabs>
          <w:tab w:val="num" w:pos="3600"/>
        </w:tabs>
        <w:ind w:left="3600" w:hanging="360"/>
      </w:pPr>
      <w:rPr>
        <w:rFonts w:ascii="Symbol" w:hAnsi="Symbol" w:hint="default"/>
      </w:rPr>
    </w:lvl>
    <w:lvl w:ilvl="5" w:tplc="3DB6D014" w:tentative="1">
      <w:start w:val="1"/>
      <w:numFmt w:val="bullet"/>
      <w:lvlText w:val=""/>
      <w:lvlJc w:val="left"/>
      <w:pPr>
        <w:tabs>
          <w:tab w:val="num" w:pos="4320"/>
        </w:tabs>
        <w:ind w:left="4320" w:hanging="360"/>
      </w:pPr>
      <w:rPr>
        <w:rFonts w:ascii="Symbol" w:hAnsi="Symbol" w:hint="default"/>
      </w:rPr>
    </w:lvl>
    <w:lvl w:ilvl="6" w:tplc="2A5A43E0" w:tentative="1">
      <w:start w:val="1"/>
      <w:numFmt w:val="bullet"/>
      <w:lvlText w:val=""/>
      <w:lvlJc w:val="left"/>
      <w:pPr>
        <w:tabs>
          <w:tab w:val="num" w:pos="5040"/>
        </w:tabs>
        <w:ind w:left="5040" w:hanging="360"/>
      </w:pPr>
      <w:rPr>
        <w:rFonts w:ascii="Symbol" w:hAnsi="Symbol" w:hint="default"/>
      </w:rPr>
    </w:lvl>
    <w:lvl w:ilvl="7" w:tplc="57829D48" w:tentative="1">
      <w:start w:val="1"/>
      <w:numFmt w:val="bullet"/>
      <w:lvlText w:val=""/>
      <w:lvlJc w:val="left"/>
      <w:pPr>
        <w:tabs>
          <w:tab w:val="num" w:pos="5760"/>
        </w:tabs>
        <w:ind w:left="5760" w:hanging="360"/>
      </w:pPr>
      <w:rPr>
        <w:rFonts w:ascii="Symbol" w:hAnsi="Symbol" w:hint="default"/>
      </w:rPr>
    </w:lvl>
    <w:lvl w:ilvl="8" w:tplc="4E5E0592" w:tentative="1">
      <w:start w:val="1"/>
      <w:numFmt w:val="bullet"/>
      <w:lvlText w:val=""/>
      <w:lvlJc w:val="left"/>
      <w:pPr>
        <w:tabs>
          <w:tab w:val="num" w:pos="6480"/>
        </w:tabs>
        <w:ind w:left="6480" w:hanging="360"/>
      </w:pPr>
      <w:rPr>
        <w:rFonts w:ascii="Symbol" w:hAnsi="Symbol" w:hint="default"/>
      </w:rPr>
    </w:lvl>
  </w:abstractNum>
  <w:abstractNum w:abstractNumId="161" w15:restartNumberingAfterBreak="0">
    <w:nsid w:val="5D5D7685"/>
    <w:multiLevelType w:val="hybridMultilevel"/>
    <w:tmpl w:val="488A4690"/>
    <w:lvl w:ilvl="0" w:tplc="80026084">
      <w:start w:val="1"/>
      <w:numFmt w:val="bullet"/>
      <w:lvlText w:val=""/>
      <w:lvlPicBulletId w:val="1"/>
      <w:lvlJc w:val="left"/>
      <w:pPr>
        <w:tabs>
          <w:tab w:val="num" w:pos="720"/>
        </w:tabs>
        <w:ind w:left="720" w:hanging="360"/>
      </w:pPr>
      <w:rPr>
        <w:rFonts w:ascii="Symbol" w:hAnsi="Symbol" w:hint="default"/>
      </w:rPr>
    </w:lvl>
    <w:lvl w:ilvl="1" w:tplc="0CCA0B52" w:tentative="1">
      <w:start w:val="1"/>
      <w:numFmt w:val="bullet"/>
      <w:lvlText w:val=""/>
      <w:lvlJc w:val="left"/>
      <w:pPr>
        <w:tabs>
          <w:tab w:val="num" w:pos="1440"/>
        </w:tabs>
        <w:ind w:left="1440" w:hanging="360"/>
      </w:pPr>
      <w:rPr>
        <w:rFonts w:ascii="Symbol" w:hAnsi="Symbol" w:hint="default"/>
      </w:rPr>
    </w:lvl>
    <w:lvl w:ilvl="2" w:tplc="9EF0D952" w:tentative="1">
      <w:start w:val="1"/>
      <w:numFmt w:val="bullet"/>
      <w:lvlText w:val=""/>
      <w:lvlJc w:val="left"/>
      <w:pPr>
        <w:tabs>
          <w:tab w:val="num" w:pos="2160"/>
        </w:tabs>
        <w:ind w:left="2160" w:hanging="360"/>
      </w:pPr>
      <w:rPr>
        <w:rFonts w:ascii="Symbol" w:hAnsi="Symbol" w:hint="default"/>
      </w:rPr>
    </w:lvl>
    <w:lvl w:ilvl="3" w:tplc="D1E61F46" w:tentative="1">
      <w:start w:val="1"/>
      <w:numFmt w:val="bullet"/>
      <w:lvlText w:val=""/>
      <w:lvlJc w:val="left"/>
      <w:pPr>
        <w:tabs>
          <w:tab w:val="num" w:pos="2880"/>
        </w:tabs>
        <w:ind w:left="2880" w:hanging="360"/>
      </w:pPr>
      <w:rPr>
        <w:rFonts w:ascii="Symbol" w:hAnsi="Symbol" w:hint="default"/>
      </w:rPr>
    </w:lvl>
    <w:lvl w:ilvl="4" w:tplc="11A67B96" w:tentative="1">
      <w:start w:val="1"/>
      <w:numFmt w:val="bullet"/>
      <w:lvlText w:val=""/>
      <w:lvlJc w:val="left"/>
      <w:pPr>
        <w:tabs>
          <w:tab w:val="num" w:pos="3600"/>
        </w:tabs>
        <w:ind w:left="3600" w:hanging="360"/>
      </w:pPr>
      <w:rPr>
        <w:rFonts w:ascii="Symbol" w:hAnsi="Symbol" w:hint="default"/>
      </w:rPr>
    </w:lvl>
    <w:lvl w:ilvl="5" w:tplc="89588E20" w:tentative="1">
      <w:start w:val="1"/>
      <w:numFmt w:val="bullet"/>
      <w:lvlText w:val=""/>
      <w:lvlJc w:val="left"/>
      <w:pPr>
        <w:tabs>
          <w:tab w:val="num" w:pos="4320"/>
        </w:tabs>
        <w:ind w:left="4320" w:hanging="360"/>
      </w:pPr>
      <w:rPr>
        <w:rFonts w:ascii="Symbol" w:hAnsi="Symbol" w:hint="default"/>
      </w:rPr>
    </w:lvl>
    <w:lvl w:ilvl="6" w:tplc="0DEA04AE" w:tentative="1">
      <w:start w:val="1"/>
      <w:numFmt w:val="bullet"/>
      <w:lvlText w:val=""/>
      <w:lvlJc w:val="left"/>
      <w:pPr>
        <w:tabs>
          <w:tab w:val="num" w:pos="5040"/>
        </w:tabs>
        <w:ind w:left="5040" w:hanging="360"/>
      </w:pPr>
      <w:rPr>
        <w:rFonts w:ascii="Symbol" w:hAnsi="Symbol" w:hint="default"/>
      </w:rPr>
    </w:lvl>
    <w:lvl w:ilvl="7" w:tplc="D2A0D472" w:tentative="1">
      <w:start w:val="1"/>
      <w:numFmt w:val="bullet"/>
      <w:lvlText w:val=""/>
      <w:lvlJc w:val="left"/>
      <w:pPr>
        <w:tabs>
          <w:tab w:val="num" w:pos="5760"/>
        </w:tabs>
        <w:ind w:left="5760" w:hanging="360"/>
      </w:pPr>
      <w:rPr>
        <w:rFonts w:ascii="Symbol" w:hAnsi="Symbol" w:hint="default"/>
      </w:rPr>
    </w:lvl>
    <w:lvl w:ilvl="8" w:tplc="BE38E6E6" w:tentative="1">
      <w:start w:val="1"/>
      <w:numFmt w:val="bullet"/>
      <w:lvlText w:val=""/>
      <w:lvlJc w:val="left"/>
      <w:pPr>
        <w:tabs>
          <w:tab w:val="num" w:pos="6480"/>
        </w:tabs>
        <w:ind w:left="6480" w:hanging="360"/>
      </w:pPr>
      <w:rPr>
        <w:rFonts w:ascii="Symbol" w:hAnsi="Symbol" w:hint="default"/>
      </w:rPr>
    </w:lvl>
  </w:abstractNum>
  <w:abstractNum w:abstractNumId="162" w15:restartNumberingAfterBreak="0">
    <w:nsid w:val="5DA00D8E"/>
    <w:multiLevelType w:val="hybridMultilevel"/>
    <w:tmpl w:val="783063AE"/>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3" w15:restartNumberingAfterBreak="0">
    <w:nsid w:val="5E48489E"/>
    <w:multiLevelType w:val="hybridMultilevel"/>
    <w:tmpl w:val="811C92C2"/>
    <w:lvl w:ilvl="0" w:tplc="8EE696D6">
      <w:start w:val="1"/>
      <w:numFmt w:val="decimal"/>
      <w:lvlText w:val="Table %1."/>
      <w:lvlJc w:val="lef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4" w15:restartNumberingAfterBreak="0">
    <w:nsid w:val="603F170F"/>
    <w:multiLevelType w:val="hybridMultilevel"/>
    <w:tmpl w:val="8BDCDBEA"/>
    <w:lvl w:ilvl="0" w:tplc="08D2AB58">
      <w:start w:val="1"/>
      <w:numFmt w:val="bullet"/>
      <w:lvlText w:val="&gt;"/>
      <w:lvlJc w:val="left"/>
      <w:pPr>
        <w:ind w:left="720" w:hanging="360"/>
      </w:pPr>
      <w:rPr>
        <w:rFonts w:ascii="HelveticaNeueLT Std Lt" w:hAnsi="HelveticaNeueLT Std Lt"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60974EF3"/>
    <w:multiLevelType w:val="hybridMultilevel"/>
    <w:tmpl w:val="0C3CB4DE"/>
    <w:lvl w:ilvl="0" w:tplc="16A2CD1A">
      <w:start w:val="1"/>
      <w:numFmt w:val="bullet"/>
      <w:lvlText w:val=""/>
      <w:lvlPicBulletId w:val="1"/>
      <w:lvlJc w:val="left"/>
      <w:pPr>
        <w:tabs>
          <w:tab w:val="num" w:pos="720"/>
        </w:tabs>
        <w:ind w:left="720" w:hanging="360"/>
      </w:pPr>
      <w:rPr>
        <w:rFonts w:ascii="Symbol" w:hAnsi="Symbol" w:hint="default"/>
      </w:rPr>
    </w:lvl>
    <w:lvl w:ilvl="1" w:tplc="DEFCEA40" w:tentative="1">
      <w:start w:val="1"/>
      <w:numFmt w:val="bullet"/>
      <w:lvlText w:val=""/>
      <w:lvlJc w:val="left"/>
      <w:pPr>
        <w:tabs>
          <w:tab w:val="num" w:pos="1440"/>
        </w:tabs>
        <w:ind w:left="1440" w:hanging="360"/>
      </w:pPr>
      <w:rPr>
        <w:rFonts w:ascii="Symbol" w:hAnsi="Symbol" w:hint="default"/>
      </w:rPr>
    </w:lvl>
    <w:lvl w:ilvl="2" w:tplc="4E06B438" w:tentative="1">
      <w:start w:val="1"/>
      <w:numFmt w:val="bullet"/>
      <w:lvlText w:val=""/>
      <w:lvlJc w:val="left"/>
      <w:pPr>
        <w:tabs>
          <w:tab w:val="num" w:pos="2160"/>
        </w:tabs>
        <w:ind w:left="2160" w:hanging="360"/>
      </w:pPr>
      <w:rPr>
        <w:rFonts w:ascii="Symbol" w:hAnsi="Symbol" w:hint="default"/>
      </w:rPr>
    </w:lvl>
    <w:lvl w:ilvl="3" w:tplc="65608EC8" w:tentative="1">
      <w:start w:val="1"/>
      <w:numFmt w:val="bullet"/>
      <w:lvlText w:val=""/>
      <w:lvlJc w:val="left"/>
      <w:pPr>
        <w:tabs>
          <w:tab w:val="num" w:pos="2880"/>
        </w:tabs>
        <w:ind w:left="2880" w:hanging="360"/>
      </w:pPr>
      <w:rPr>
        <w:rFonts w:ascii="Symbol" w:hAnsi="Symbol" w:hint="default"/>
      </w:rPr>
    </w:lvl>
    <w:lvl w:ilvl="4" w:tplc="FA96E72C" w:tentative="1">
      <w:start w:val="1"/>
      <w:numFmt w:val="bullet"/>
      <w:lvlText w:val=""/>
      <w:lvlJc w:val="left"/>
      <w:pPr>
        <w:tabs>
          <w:tab w:val="num" w:pos="3600"/>
        </w:tabs>
        <w:ind w:left="3600" w:hanging="360"/>
      </w:pPr>
      <w:rPr>
        <w:rFonts w:ascii="Symbol" w:hAnsi="Symbol" w:hint="default"/>
      </w:rPr>
    </w:lvl>
    <w:lvl w:ilvl="5" w:tplc="352C50E8" w:tentative="1">
      <w:start w:val="1"/>
      <w:numFmt w:val="bullet"/>
      <w:lvlText w:val=""/>
      <w:lvlJc w:val="left"/>
      <w:pPr>
        <w:tabs>
          <w:tab w:val="num" w:pos="4320"/>
        </w:tabs>
        <w:ind w:left="4320" w:hanging="360"/>
      </w:pPr>
      <w:rPr>
        <w:rFonts w:ascii="Symbol" w:hAnsi="Symbol" w:hint="default"/>
      </w:rPr>
    </w:lvl>
    <w:lvl w:ilvl="6" w:tplc="6284C796" w:tentative="1">
      <w:start w:val="1"/>
      <w:numFmt w:val="bullet"/>
      <w:lvlText w:val=""/>
      <w:lvlJc w:val="left"/>
      <w:pPr>
        <w:tabs>
          <w:tab w:val="num" w:pos="5040"/>
        </w:tabs>
        <w:ind w:left="5040" w:hanging="360"/>
      </w:pPr>
      <w:rPr>
        <w:rFonts w:ascii="Symbol" w:hAnsi="Symbol" w:hint="default"/>
      </w:rPr>
    </w:lvl>
    <w:lvl w:ilvl="7" w:tplc="7F30D330" w:tentative="1">
      <w:start w:val="1"/>
      <w:numFmt w:val="bullet"/>
      <w:lvlText w:val=""/>
      <w:lvlJc w:val="left"/>
      <w:pPr>
        <w:tabs>
          <w:tab w:val="num" w:pos="5760"/>
        </w:tabs>
        <w:ind w:left="5760" w:hanging="360"/>
      </w:pPr>
      <w:rPr>
        <w:rFonts w:ascii="Symbol" w:hAnsi="Symbol" w:hint="default"/>
      </w:rPr>
    </w:lvl>
    <w:lvl w:ilvl="8" w:tplc="69B6C9FC" w:tentative="1">
      <w:start w:val="1"/>
      <w:numFmt w:val="bullet"/>
      <w:lvlText w:val=""/>
      <w:lvlJc w:val="left"/>
      <w:pPr>
        <w:tabs>
          <w:tab w:val="num" w:pos="6480"/>
        </w:tabs>
        <w:ind w:left="6480" w:hanging="360"/>
      </w:pPr>
      <w:rPr>
        <w:rFonts w:ascii="Symbol" w:hAnsi="Symbol" w:hint="default"/>
      </w:rPr>
    </w:lvl>
  </w:abstractNum>
  <w:abstractNum w:abstractNumId="166" w15:restartNumberingAfterBreak="0">
    <w:nsid w:val="60E5059D"/>
    <w:multiLevelType w:val="hybridMultilevel"/>
    <w:tmpl w:val="2F2E7C9E"/>
    <w:lvl w:ilvl="0" w:tplc="2C04FC66">
      <w:start w:val="1"/>
      <w:numFmt w:val="bullet"/>
      <w:lvlText w:val=""/>
      <w:lvlPicBulletId w:val="1"/>
      <w:lvlJc w:val="left"/>
      <w:pPr>
        <w:tabs>
          <w:tab w:val="num" w:pos="720"/>
        </w:tabs>
        <w:ind w:left="720" w:hanging="360"/>
      </w:pPr>
      <w:rPr>
        <w:rFonts w:ascii="Symbol" w:hAnsi="Symbol" w:hint="default"/>
      </w:rPr>
    </w:lvl>
    <w:lvl w:ilvl="1" w:tplc="5DF4E266" w:tentative="1">
      <w:start w:val="1"/>
      <w:numFmt w:val="bullet"/>
      <w:lvlText w:val=""/>
      <w:lvlJc w:val="left"/>
      <w:pPr>
        <w:tabs>
          <w:tab w:val="num" w:pos="1440"/>
        </w:tabs>
        <w:ind w:left="1440" w:hanging="360"/>
      </w:pPr>
      <w:rPr>
        <w:rFonts w:ascii="Symbol" w:hAnsi="Symbol" w:hint="default"/>
      </w:rPr>
    </w:lvl>
    <w:lvl w:ilvl="2" w:tplc="0E88F5C4" w:tentative="1">
      <w:start w:val="1"/>
      <w:numFmt w:val="bullet"/>
      <w:lvlText w:val=""/>
      <w:lvlJc w:val="left"/>
      <w:pPr>
        <w:tabs>
          <w:tab w:val="num" w:pos="2160"/>
        </w:tabs>
        <w:ind w:left="2160" w:hanging="360"/>
      </w:pPr>
      <w:rPr>
        <w:rFonts w:ascii="Symbol" w:hAnsi="Symbol" w:hint="default"/>
      </w:rPr>
    </w:lvl>
    <w:lvl w:ilvl="3" w:tplc="F6E8B522" w:tentative="1">
      <w:start w:val="1"/>
      <w:numFmt w:val="bullet"/>
      <w:lvlText w:val=""/>
      <w:lvlJc w:val="left"/>
      <w:pPr>
        <w:tabs>
          <w:tab w:val="num" w:pos="2880"/>
        </w:tabs>
        <w:ind w:left="2880" w:hanging="360"/>
      </w:pPr>
      <w:rPr>
        <w:rFonts w:ascii="Symbol" w:hAnsi="Symbol" w:hint="default"/>
      </w:rPr>
    </w:lvl>
    <w:lvl w:ilvl="4" w:tplc="46AED27E" w:tentative="1">
      <w:start w:val="1"/>
      <w:numFmt w:val="bullet"/>
      <w:lvlText w:val=""/>
      <w:lvlJc w:val="left"/>
      <w:pPr>
        <w:tabs>
          <w:tab w:val="num" w:pos="3600"/>
        </w:tabs>
        <w:ind w:left="3600" w:hanging="360"/>
      </w:pPr>
      <w:rPr>
        <w:rFonts w:ascii="Symbol" w:hAnsi="Symbol" w:hint="default"/>
      </w:rPr>
    </w:lvl>
    <w:lvl w:ilvl="5" w:tplc="D0609D26" w:tentative="1">
      <w:start w:val="1"/>
      <w:numFmt w:val="bullet"/>
      <w:lvlText w:val=""/>
      <w:lvlJc w:val="left"/>
      <w:pPr>
        <w:tabs>
          <w:tab w:val="num" w:pos="4320"/>
        </w:tabs>
        <w:ind w:left="4320" w:hanging="360"/>
      </w:pPr>
      <w:rPr>
        <w:rFonts w:ascii="Symbol" w:hAnsi="Symbol" w:hint="default"/>
      </w:rPr>
    </w:lvl>
    <w:lvl w:ilvl="6" w:tplc="2C1C92BC" w:tentative="1">
      <w:start w:val="1"/>
      <w:numFmt w:val="bullet"/>
      <w:lvlText w:val=""/>
      <w:lvlJc w:val="left"/>
      <w:pPr>
        <w:tabs>
          <w:tab w:val="num" w:pos="5040"/>
        </w:tabs>
        <w:ind w:left="5040" w:hanging="360"/>
      </w:pPr>
      <w:rPr>
        <w:rFonts w:ascii="Symbol" w:hAnsi="Symbol" w:hint="default"/>
      </w:rPr>
    </w:lvl>
    <w:lvl w:ilvl="7" w:tplc="B734CD60" w:tentative="1">
      <w:start w:val="1"/>
      <w:numFmt w:val="bullet"/>
      <w:lvlText w:val=""/>
      <w:lvlJc w:val="left"/>
      <w:pPr>
        <w:tabs>
          <w:tab w:val="num" w:pos="5760"/>
        </w:tabs>
        <w:ind w:left="5760" w:hanging="360"/>
      </w:pPr>
      <w:rPr>
        <w:rFonts w:ascii="Symbol" w:hAnsi="Symbol" w:hint="default"/>
      </w:rPr>
    </w:lvl>
    <w:lvl w:ilvl="8" w:tplc="686C94E6" w:tentative="1">
      <w:start w:val="1"/>
      <w:numFmt w:val="bullet"/>
      <w:lvlText w:val=""/>
      <w:lvlJc w:val="left"/>
      <w:pPr>
        <w:tabs>
          <w:tab w:val="num" w:pos="6480"/>
        </w:tabs>
        <w:ind w:left="6480" w:hanging="360"/>
      </w:pPr>
      <w:rPr>
        <w:rFonts w:ascii="Symbol" w:hAnsi="Symbol" w:hint="default"/>
      </w:rPr>
    </w:lvl>
  </w:abstractNum>
  <w:abstractNum w:abstractNumId="167" w15:restartNumberingAfterBreak="0">
    <w:nsid w:val="625F3496"/>
    <w:multiLevelType w:val="multilevel"/>
    <w:tmpl w:val="4A143F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8" w15:restartNumberingAfterBreak="0">
    <w:nsid w:val="62616F16"/>
    <w:multiLevelType w:val="hybridMultilevel"/>
    <w:tmpl w:val="BBFC5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9" w15:restartNumberingAfterBreak="0">
    <w:nsid w:val="62F94169"/>
    <w:multiLevelType w:val="hybridMultilevel"/>
    <w:tmpl w:val="34CAACA8"/>
    <w:lvl w:ilvl="0" w:tplc="08D2AB58">
      <w:start w:val="1"/>
      <w:numFmt w:val="bullet"/>
      <w:lvlText w:val="&gt;"/>
      <w:lvlJc w:val="left"/>
      <w:pPr>
        <w:ind w:left="1004" w:hanging="360"/>
      </w:pPr>
      <w:rPr>
        <w:rFonts w:ascii="HelveticaNeueLT Std Lt" w:hAnsi="HelveticaNeueLT Std Lt" w:hint="default"/>
        <w:sz w:val="2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0" w15:restartNumberingAfterBreak="0">
    <w:nsid w:val="63284871"/>
    <w:multiLevelType w:val="hybridMultilevel"/>
    <w:tmpl w:val="D422C484"/>
    <w:lvl w:ilvl="0" w:tplc="7BDAF3B8">
      <w:start w:val="1"/>
      <w:numFmt w:val="bullet"/>
      <w:lvlText w:val=""/>
      <w:lvlPicBulletId w:val="1"/>
      <w:lvlJc w:val="left"/>
      <w:pPr>
        <w:tabs>
          <w:tab w:val="num" w:pos="720"/>
        </w:tabs>
        <w:ind w:left="720" w:hanging="360"/>
      </w:pPr>
      <w:rPr>
        <w:rFonts w:ascii="Symbol" w:hAnsi="Symbol" w:hint="default"/>
      </w:rPr>
    </w:lvl>
    <w:lvl w:ilvl="1" w:tplc="8C901334" w:tentative="1">
      <w:start w:val="1"/>
      <w:numFmt w:val="bullet"/>
      <w:lvlText w:val=""/>
      <w:lvlJc w:val="left"/>
      <w:pPr>
        <w:tabs>
          <w:tab w:val="num" w:pos="1440"/>
        </w:tabs>
        <w:ind w:left="1440" w:hanging="360"/>
      </w:pPr>
      <w:rPr>
        <w:rFonts w:ascii="Symbol" w:hAnsi="Symbol" w:hint="default"/>
      </w:rPr>
    </w:lvl>
    <w:lvl w:ilvl="2" w:tplc="134EEC66" w:tentative="1">
      <w:start w:val="1"/>
      <w:numFmt w:val="bullet"/>
      <w:lvlText w:val=""/>
      <w:lvlJc w:val="left"/>
      <w:pPr>
        <w:tabs>
          <w:tab w:val="num" w:pos="2160"/>
        </w:tabs>
        <w:ind w:left="2160" w:hanging="360"/>
      </w:pPr>
      <w:rPr>
        <w:rFonts w:ascii="Symbol" w:hAnsi="Symbol" w:hint="default"/>
      </w:rPr>
    </w:lvl>
    <w:lvl w:ilvl="3" w:tplc="CADCF0BC" w:tentative="1">
      <w:start w:val="1"/>
      <w:numFmt w:val="bullet"/>
      <w:lvlText w:val=""/>
      <w:lvlJc w:val="left"/>
      <w:pPr>
        <w:tabs>
          <w:tab w:val="num" w:pos="2880"/>
        </w:tabs>
        <w:ind w:left="2880" w:hanging="360"/>
      </w:pPr>
      <w:rPr>
        <w:rFonts w:ascii="Symbol" w:hAnsi="Symbol" w:hint="default"/>
      </w:rPr>
    </w:lvl>
    <w:lvl w:ilvl="4" w:tplc="E72AC182" w:tentative="1">
      <w:start w:val="1"/>
      <w:numFmt w:val="bullet"/>
      <w:lvlText w:val=""/>
      <w:lvlJc w:val="left"/>
      <w:pPr>
        <w:tabs>
          <w:tab w:val="num" w:pos="3600"/>
        </w:tabs>
        <w:ind w:left="3600" w:hanging="360"/>
      </w:pPr>
      <w:rPr>
        <w:rFonts w:ascii="Symbol" w:hAnsi="Symbol" w:hint="default"/>
      </w:rPr>
    </w:lvl>
    <w:lvl w:ilvl="5" w:tplc="09B00D46" w:tentative="1">
      <w:start w:val="1"/>
      <w:numFmt w:val="bullet"/>
      <w:lvlText w:val=""/>
      <w:lvlJc w:val="left"/>
      <w:pPr>
        <w:tabs>
          <w:tab w:val="num" w:pos="4320"/>
        </w:tabs>
        <w:ind w:left="4320" w:hanging="360"/>
      </w:pPr>
      <w:rPr>
        <w:rFonts w:ascii="Symbol" w:hAnsi="Symbol" w:hint="default"/>
      </w:rPr>
    </w:lvl>
    <w:lvl w:ilvl="6" w:tplc="AF4C8006" w:tentative="1">
      <w:start w:val="1"/>
      <w:numFmt w:val="bullet"/>
      <w:lvlText w:val=""/>
      <w:lvlJc w:val="left"/>
      <w:pPr>
        <w:tabs>
          <w:tab w:val="num" w:pos="5040"/>
        </w:tabs>
        <w:ind w:left="5040" w:hanging="360"/>
      </w:pPr>
      <w:rPr>
        <w:rFonts w:ascii="Symbol" w:hAnsi="Symbol" w:hint="default"/>
      </w:rPr>
    </w:lvl>
    <w:lvl w:ilvl="7" w:tplc="CCD0E7AE" w:tentative="1">
      <w:start w:val="1"/>
      <w:numFmt w:val="bullet"/>
      <w:lvlText w:val=""/>
      <w:lvlJc w:val="left"/>
      <w:pPr>
        <w:tabs>
          <w:tab w:val="num" w:pos="5760"/>
        </w:tabs>
        <w:ind w:left="5760" w:hanging="360"/>
      </w:pPr>
      <w:rPr>
        <w:rFonts w:ascii="Symbol" w:hAnsi="Symbol" w:hint="default"/>
      </w:rPr>
    </w:lvl>
    <w:lvl w:ilvl="8" w:tplc="9B7EBFE2" w:tentative="1">
      <w:start w:val="1"/>
      <w:numFmt w:val="bullet"/>
      <w:lvlText w:val=""/>
      <w:lvlJc w:val="left"/>
      <w:pPr>
        <w:tabs>
          <w:tab w:val="num" w:pos="6480"/>
        </w:tabs>
        <w:ind w:left="6480" w:hanging="360"/>
      </w:pPr>
      <w:rPr>
        <w:rFonts w:ascii="Symbol" w:hAnsi="Symbol" w:hint="default"/>
      </w:rPr>
    </w:lvl>
  </w:abstractNum>
  <w:abstractNum w:abstractNumId="171" w15:restartNumberingAfterBreak="0">
    <w:nsid w:val="63AA41DB"/>
    <w:multiLevelType w:val="hybridMultilevel"/>
    <w:tmpl w:val="A4085218"/>
    <w:lvl w:ilvl="0" w:tplc="DE3062E0">
      <w:start w:val="1"/>
      <w:numFmt w:val="decimal"/>
      <w:lvlText w:val="%1."/>
      <w:lvlJc w:val="left"/>
      <w:pPr>
        <w:ind w:left="360" w:hanging="360"/>
      </w:pPr>
      <w:rPr>
        <w:rFonts w:eastAsia="Times New Roman" w:hint="default"/>
        <w:b w:val="0"/>
      </w:rPr>
    </w:lvl>
    <w:lvl w:ilvl="1" w:tplc="0C090019">
      <w:start w:val="1"/>
      <w:numFmt w:val="lowerLetter"/>
      <w:lvlText w:val="%2."/>
      <w:lvlJc w:val="left"/>
      <w:pPr>
        <w:ind w:left="-3314" w:hanging="360"/>
      </w:pPr>
    </w:lvl>
    <w:lvl w:ilvl="2" w:tplc="0C09001B">
      <w:start w:val="1"/>
      <w:numFmt w:val="lowerRoman"/>
      <w:lvlText w:val="%3."/>
      <w:lvlJc w:val="right"/>
      <w:pPr>
        <w:ind w:left="-2594" w:hanging="180"/>
      </w:pPr>
    </w:lvl>
    <w:lvl w:ilvl="3" w:tplc="0C09000F">
      <w:start w:val="1"/>
      <w:numFmt w:val="decimal"/>
      <w:lvlText w:val="%4."/>
      <w:lvlJc w:val="left"/>
      <w:pPr>
        <w:ind w:left="-1874" w:hanging="360"/>
      </w:pPr>
    </w:lvl>
    <w:lvl w:ilvl="4" w:tplc="0C090019">
      <w:start w:val="1"/>
      <w:numFmt w:val="lowerLetter"/>
      <w:lvlText w:val="%5."/>
      <w:lvlJc w:val="left"/>
      <w:pPr>
        <w:ind w:left="-1154" w:hanging="360"/>
      </w:pPr>
    </w:lvl>
    <w:lvl w:ilvl="5" w:tplc="0C09001B">
      <w:start w:val="1"/>
      <w:numFmt w:val="lowerRoman"/>
      <w:lvlText w:val="%6."/>
      <w:lvlJc w:val="right"/>
      <w:pPr>
        <w:ind w:left="-434" w:hanging="180"/>
      </w:pPr>
    </w:lvl>
    <w:lvl w:ilvl="6" w:tplc="6FE4F18C">
      <w:start w:val="2"/>
      <w:numFmt w:val="decimal"/>
      <w:lvlText w:val="%7."/>
      <w:lvlJc w:val="left"/>
      <w:pPr>
        <w:ind w:left="286" w:hanging="360"/>
      </w:pPr>
      <w:rPr>
        <w:rFonts w:hint="default"/>
      </w:rPr>
    </w:lvl>
    <w:lvl w:ilvl="7" w:tplc="0C090019">
      <w:start w:val="1"/>
      <w:numFmt w:val="lowerLetter"/>
      <w:lvlText w:val="%8."/>
      <w:lvlJc w:val="left"/>
      <w:pPr>
        <w:ind w:left="1006" w:hanging="360"/>
      </w:pPr>
    </w:lvl>
    <w:lvl w:ilvl="8" w:tplc="0C09001B" w:tentative="1">
      <w:start w:val="1"/>
      <w:numFmt w:val="lowerRoman"/>
      <w:lvlText w:val="%9."/>
      <w:lvlJc w:val="right"/>
      <w:pPr>
        <w:ind w:left="1726" w:hanging="180"/>
      </w:pPr>
    </w:lvl>
  </w:abstractNum>
  <w:abstractNum w:abstractNumId="172"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4027B94"/>
    <w:multiLevelType w:val="hybridMultilevel"/>
    <w:tmpl w:val="78364460"/>
    <w:lvl w:ilvl="0" w:tplc="A3F0D726">
      <w:start w:val="1"/>
      <w:numFmt w:val="bullet"/>
      <w:lvlText w:val=""/>
      <w:lvlPicBulletId w:val="1"/>
      <w:lvlJc w:val="left"/>
      <w:pPr>
        <w:tabs>
          <w:tab w:val="num" w:pos="720"/>
        </w:tabs>
        <w:ind w:left="720" w:hanging="360"/>
      </w:pPr>
      <w:rPr>
        <w:rFonts w:ascii="Symbol" w:hAnsi="Symbol" w:hint="default"/>
      </w:rPr>
    </w:lvl>
    <w:lvl w:ilvl="1" w:tplc="7DA81A42" w:tentative="1">
      <w:start w:val="1"/>
      <w:numFmt w:val="bullet"/>
      <w:lvlText w:val=""/>
      <w:lvlJc w:val="left"/>
      <w:pPr>
        <w:tabs>
          <w:tab w:val="num" w:pos="1440"/>
        </w:tabs>
        <w:ind w:left="1440" w:hanging="360"/>
      </w:pPr>
      <w:rPr>
        <w:rFonts w:ascii="Symbol" w:hAnsi="Symbol" w:hint="default"/>
      </w:rPr>
    </w:lvl>
    <w:lvl w:ilvl="2" w:tplc="AA24CEF8" w:tentative="1">
      <w:start w:val="1"/>
      <w:numFmt w:val="bullet"/>
      <w:lvlText w:val=""/>
      <w:lvlJc w:val="left"/>
      <w:pPr>
        <w:tabs>
          <w:tab w:val="num" w:pos="2160"/>
        </w:tabs>
        <w:ind w:left="2160" w:hanging="360"/>
      </w:pPr>
      <w:rPr>
        <w:rFonts w:ascii="Symbol" w:hAnsi="Symbol" w:hint="default"/>
      </w:rPr>
    </w:lvl>
    <w:lvl w:ilvl="3" w:tplc="ACF494CA" w:tentative="1">
      <w:start w:val="1"/>
      <w:numFmt w:val="bullet"/>
      <w:lvlText w:val=""/>
      <w:lvlJc w:val="left"/>
      <w:pPr>
        <w:tabs>
          <w:tab w:val="num" w:pos="2880"/>
        </w:tabs>
        <w:ind w:left="2880" w:hanging="360"/>
      </w:pPr>
      <w:rPr>
        <w:rFonts w:ascii="Symbol" w:hAnsi="Symbol" w:hint="default"/>
      </w:rPr>
    </w:lvl>
    <w:lvl w:ilvl="4" w:tplc="7BE20484" w:tentative="1">
      <w:start w:val="1"/>
      <w:numFmt w:val="bullet"/>
      <w:lvlText w:val=""/>
      <w:lvlJc w:val="left"/>
      <w:pPr>
        <w:tabs>
          <w:tab w:val="num" w:pos="3600"/>
        </w:tabs>
        <w:ind w:left="3600" w:hanging="360"/>
      </w:pPr>
      <w:rPr>
        <w:rFonts w:ascii="Symbol" w:hAnsi="Symbol" w:hint="default"/>
      </w:rPr>
    </w:lvl>
    <w:lvl w:ilvl="5" w:tplc="79A2B4CE" w:tentative="1">
      <w:start w:val="1"/>
      <w:numFmt w:val="bullet"/>
      <w:lvlText w:val=""/>
      <w:lvlJc w:val="left"/>
      <w:pPr>
        <w:tabs>
          <w:tab w:val="num" w:pos="4320"/>
        </w:tabs>
        <w:ind w:left="4320" w:hanging="360"/>
      </w:pPr>
      <w:rPr>
        <w:rFonts w:ascii="Symbol" w:hAnsi="Symbol" w:hint="default"/>
      </w:rPr>
    </w:lvl>
    <w:lvl w:ilvl="6" w:tplc="DA3E32E2" w:tentative="1">
      <w:start w:val="1"/>
      <w:numFmt w:val="bullet"/>
      <w:lvlText w:val=""/>
      <w:lvlJc w:val="left"/>
      <w:pPr>
        <w:tabs>
          <w:tab w:val="num" w:pos="5040"/>
        </w:tabs>
        <w:ind w:left="5040" w:hanging="360"/>
      </w:pPr>
      <w:rPr>
        <w:rFonts w:ascii="Symbol" w:hAnsi="Symbol" w:hint="default"/>
      </w:rPr>
    </w:lvl>
    <w:lvl w:ilvl="7" w:tplc="4E00D64E" w:tentative="1">
      <w:start w:val="1"/>
      <w:numFmt w:val="bullet"/>
      <w:lvlText w:val=""/>
      <w:lvlJc w:val="left"/>
      <w:pPr>
        <w:tabs>
          <w:tab w:val="num" w:pos="5760"/>
        </w:tabs>
        <w:ind w:left="5760" w:hanging="360"/>
      </w:pPr>
      <w:rPr>
        <w:rFonts w:ascii="Symbol" w:hAnsi="Symbol" w:hint="default"/>
      </w:rPr>
    </w:lvl>
    <w:lvl w:ilvl="8" w:tplc="160E813C" w:tentative="1">
      <w:start w:val="1"/>
      <w:numFmt w:val="bullet"/>
      <w:lvlText w:val=""/>
      <w:lvlJc w:val="left"/>
      <w:pPr>
        <w:tabs>
          <w:tab w:val="num" w:pos="6480"/>
        </w:tabs>
        <w:ind w:left="6480" w:hanging="360"/>
      </w:pPr>
      <w:rPr>
        <w:rFonts w:ascii="Symbol" w:hAnsi="Symbol" w:hint="default"/>
      </w:rPr>
    </w:lvl>
  </w:abstractNum>
  <w:abstractNum w:abstractNumId="174" w15:restartNumberingAfterBreak="0">
    <w:nsid w:val="641A0F1F"/>
    <w:multiLevelType w:val="hybridMultilevel"/>
    <w:tmpl w:val="9BEC337A"/>
    <w:lvl w:ilvl="0" w:tplc="ABB0ED9C">
      <w:start w:val="1"/>
      <w:numFmt w:val="bullet"/>
      <w:lvlText w:val="&gt;"/>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5" w15:restartNumberingAfterBreak="0">
    <w:nsid w:val="64AA1E32"/>
    <w:multiLevelType w:val="hybridMultilevel"/>
    <w:tmpl w:val="276CDE04"/>
    <w:lvl w:ilvl="0" w:tplc="F76C896E">
      <w:start w:val="1"/>
      <w:numFmt w:val="bullet"/>
      <w:lvlText w:val=""/>
      <w:lvlPicBulletId w:val="1"/>
      <w:lvlJc w:val="left"/>
      <w:pPr>
        <w:tabs>
          <w:tab w:val="num" w:pos="720"/>
        </w:tabs>
        <w:ind w:left="720" w:hanging="360"/>
      </w:pPr>
      <w:rPr>
        <w:rFonts w:ascii="Symbol" w:hAnsi="Symbol" w:hint="default"/>
      </w:rPr>
    </w:lvl>
    <w:lvl w:ilvl="1" w:tplc="BC602F00" w:tentative="1">
      <w:start w:val="1"/>
      <w:numFmt w:val="bullet"/>
      <w:lvlText w:val=""/>
      <w:lvlJc w:val="left"/>
      <w:pPr>
        <w:tabs>
          <w:tab w:val="num" w:pos="1440"/>
        </w:tabs>
        <w:ind w:left="1440" w:hanging="360"/>
      </w:pPr>
      <w:rPr>
        <w:rFonts w:ascii="Symbol" w:hAnsi="Symbol" w:hint="default"/>
      </w:rPr>
    </w:lvl>
    <w:lvl w:ilvl="2" w:tplc="691A9D8C" w:tentative="1">
      <w:start w:val="1"/>
      <w:numFmt w:val="bullet"/>
      <w:lvlText w:val=""/>
      <w:lvlJc w:val="left"/>
      <w:pPr>
        <w:tabs>
          <w:tab w:val="num" w:pos="2160"/>
        </w:tabs>
        <w:ind w:left="2160" w:hanging="360"/>
      </w:pPr>
      <w:rPr>
        <w:rFonts w:ascii="Symbol" w:hAnsi="Symbol" w:hint="default"/>
      </w:rPr>
    </w:lvl>
    <w:lvl w:ilvl="3" w:tplc="8DE0682E" w:tentative="1">
      <w:start w:val="1"/>
      <w:numFmt w:val="bullet"/>
      <w:lvlText w:val=""/>
      <w:lvlJc w:val="left"/>
      <w:pPr>
        <w:tabs>
          <w:tab w:val="num" w:pos="2880"/>
        </w:tabs>
        <w:ind w:left="2880" w:hanging="360"/>
      </w:pPr>
      <w:rPr>
        <w:rFonts w:ascii="Symbol" w:hAnsi="Symbol" w:hint="default"/>
      </w:rPr>
    </w:lvl>
    <w:lvl w:ilvl="4" w:tplc="4B78BF12" w:tentative="1">
      <w:start w:val="1"/>
      <w:numFmt w:val="bullet"/>
      <w:lvlText w:val=""/>
      <w:lvlJc w:val="left"/>
      <w:pPr>
        <w:tabs>
          <w:tab w:val="num" w:pos="3600"/>
        </w:tabs>
        <w:ind w:left="3600" w:hanging="360"/>
      </w:pPr>
      <w:rPr>
        <w:rFonts w:ascii="Symbol" w:hAnsi="Symbol" w:hint="default"/>
      </w:rPr>
    </w:lvl>
    <w:lvl w:ilvl="5" w:tplc="A5202F52" w:tentative="1">
      <w:start w:val="1"/>
      <w:numFmt w:val="bullet"/>
      <w:lvlText w:val=""/>
      <w:lvlJc w:val="left"/>
      <w:pPr>
        <w:tabs>
          <w:tab w:val="num" w:pos="4320"/>
        </w:tabs>
        <w:ind w:left="4320" w:hanging="360"/>
      </w:pPr>
      <w:rPr>
        <w:rFonts w:ascii="Symbol" w:hAnsi="Symbol" w:hint="default"/>
      </w:rPr>
    </w:lvl>
    <w:lvl w:ilvl="6" w:tplc="A22E6D92" w:tentative="1">
      <w:start w:val="1"/>
      <w:numFmt w:val="bullet"/>
      <w:lvlText w:val=""/>
      <w:lvlJc w:val="left"/>
      <w:pPr>
        <w:tabs>
          <w:tab w:val="num" w:pos="5040"/>
        </w:tabs>
        <w:ind w:left="5040" w:hanging="360"/>
      </w:pPr>
      <w:rPr>
        <w:rFonts w:ascii="Symbol" w:hAnsi="Symbol" w:hint="default"/>
      </w:rPr>
    </w:lvl>
    <w:lvl w:ilvl="7" w:tplc="1982E59E" w:tentative="1">
      <w:start w:val="1"/>
      <w:numFmt w:val="bullet"/>
      <w:lvlText w:val=""/>
      <w:lvlJc w:val="left"/>
      <w:pPr>
        <w:tabs>
          <w:tab w:val="num" w:pos="5760"/>
        </w:tabs>
        <w:ind w:left="5760" w:hanging="360"/>
      </w:pPr>
      <w:rPr>
        <w:rFonts w:ascii="Symbol" w:hAnsi="Symbol" w:hint="default"/>
      </w:rPr>
    </w:lvl>
    <w:lvl w:ilvl="8" w:tplc="80ACD81E" w:tentative="1">
      <w:start w:val="1"/>
      <w:numFmt w:val="bullet"/>
      <w:lvlText w:val=""/>
      <w:lvlJc w:val="left"/>
      <w:pPr>
        <w:tabs>
          <w:tab w:val="num" w:pos="6480"/>
        </w:tabs>
        <w:ind w:left="6480" w:hanging="360"/>
      </w:pPr>
      <w:rPr>
        <w:rFonts w:ascii="Symbol" w:hAnsi="Symbol" w:hint="default"/>
      </w:rPr>
    </w:lvl>
  </w:abstractNum>
  <w:abstractNum w:abstractNumId="176" w15:restartNumberingAfterBreak="0">
    <w:nsid w:val="64E868CE"/>
    <w:multiLevelType w:val="hybridMultilevel"/>
    <w:tmpl w:val="FC52923A"/>
    <w:lvl w:ilvl="0" w:tplc="462ED28E">
      <w:start w:val="1"/>
      <w:numFmt w:val="bullet"/>
      <w:lvlText w:val=""/>
      <w:lvlPicBulletId w:val="1"/>
      <w:lvlJc w:val="left"/>
      <w:pPr>
        <w:tabs>
          <w:tab w:val="num" w:pos="720"/>
        </w:tabs>
        <w:ind w:left="720" w:hanging="360"/>
      </w:pPr>
      <w:rPr>
        <w:rFonts w:ascii="Symbol" w:hAnsi="Symbol" w:hint="default"/>
      </w:rPr>
    </w:lvl>
    <w:lvl w:ilvl="1" w:tplc="462ED36A" w:tentative="1">
      <w:start w:val="1"/>
      <w:numFmt w:val="bullet"/>
      <w:lvlText w:val=""/>
      <w:lvlJc w:val="left"/>
      <w:pPr>
        <w:tabs>
          <w:tab w:val="num" w:pos="1440"/>
        </w:tabs>
        <w:ind w:left="1440" w:hanging="360"/>
      </w:pPr>
      <w:rPr>
        <w:rFonts w:ascii="Symbol" w:hAnsi="Symbol" w:hint="default"/>
      </w:rPr>
    </w:lvl>
    <w:lvl w:ilvl="2" w:tplc="26C0E7A4" w:tentative="1">
      <w:start w:val="1"/>
      <w:numFmt w:val="bullet"/>
      <w:lvlText w:val=""/>
      <w:lvlJc w:val="left"/>
      <w:pPr>
        <w:tabs>
          <w:tab w:val="num" w:pos="2160"/>
        </w:tabs>
        <w:ind w:left="2160" w:hanging="360"/>
      </w:pPr>
      <w:rPr>
        <w:rFonts w:ascii="Symbol" w:hAnsi="Symbol" w:hint="default"/>
      </w:rPr>
    </w:lvl>
    <w:lvl w:ilvl="3" w:tplc="0942A170" w:tentative="1">
      <w:start w:val="1"/>
      <w:numFmt w:val="bullet"/>
      <w:lvlText w:val=""/>
      <w:lvlJc w:val="left"/>
      <w:pPr>
        <w:tabs>
          <w:tab w:val="num" w:pos="2880"/>
        </w:tabs>
        <w:ind w:left="2880" w:hanging="360"/>
      </w:pPr>
      <w:rPr>
        <w:rFonts w:ascii="Symbol" w:hAnsi="Symbol" w:hint="default"/>
      </w:rPr>
    </w:lvl>
    <w:lvl w:ilvl="4" w:tplc="C81EC014" w:tentative="1">
      <w:start w:val="1"/>
      <w:numFmt w:val="bullet"/>
      <w:lvlText w:val=""/>
      <w:lvlJc w:val="left"/>
      <w:pPr>
        <w:tabs>
          <w:tab w:val="num" w:pos="3600"/>
        </w:tabs>
        <w:ind w:left="3600" w:hanging="360"/>
      </w:pPr>
      <w:rPr>
        <w:rFonts w:ascii="Symbol" w:hAnsi="Symbol" w:hint="default"/>
      </w:rPr>
    </w:lvl>
    <w:lvl w:ilvl="5" w:tplc="44C0D68C" w:tentative="1">
      <w:start w:val="1"/>
      <w:numFmt w:val="bullet"/>
      <w:lvlText w:val=""/>
      <w:lvlJc w:val="left"/>
      <w:pPr>
        <w:tabs>
          <w:tab w:val="num" w:pos="4320"/>
        </w:tabs>
        <w:ind w:left="4320" w:hanging="360"/>
      </w:pPr>
      <w:rPr>
        <w:rFonts w:ascii="Symbol" w:hAnsi="Symbol" w:hint="default"/>
      </w:rPr>
    </w:lvl>
    <w:lvl w:ilvl="6" w:tplc="5112A644" w:tentative="1">
      <w:start w:val="1"/>
      <w:numFmt w:val="bullet"/>
      <w:lvlText w:val=""/>
      <w:lvlJc w:val="left"/>
      <w:pPr>
        <w:tabs>
          <w:tab w:val="num" w:pos="5040"/>
        </w:tabs>
        <w:ind w:left="5040" w:hanging="360"/>
      </w:pPr>
      <w:rPr>
        <w:rFonts w:ascii="Symbol" w:hAnsi="Symbol" w:hint="default"/>
      </w:rPr>
    </w:lvl>
    <w:lvl w:ilvl="7" w:tplc="F7F65AE4" w:tentative="1">
      <w:start w:val="1"/>
      <w:numFmt w:val="bullet"/>
      <w:lvlText w:val=""/>
      <w:lvlJc w:val="left"/>
      <w:pPr>
        <w:tabs>
          <w:tab w:val="num" w:pos="5760"/>
        </w:tabs>
        <w:ind w:left="5760" w:hanging="360"/>
      </w:pPr>
      <w:rPr>
        <w:rFonts w:ascii="Symbol" w:hAnsi="Symbol" w:hint="default"/>
      </w:rPr>
    </w:lvl>
    <w:lvl w:ilvl="8" w:tplc="336633A4" w:tentative="1">
      <w:start w:val="1"/>
      <w:numFmt w:val="bullet"/>
      <w:lvlText w:val=""/>
      <w:lvlJc w:val="left"/>
      <w:pPr>
        <w:tabs>
          <w:tab w:val="num" w:pos="6480"/>
        </w:tabs>
        <w:ind w:left="6480" w:hanging="360"/>
      </w:pPr>
      <w:rPr>
        <w:rFonts w:ascii="Symbol" w:hAnsi="Symbol" w:hint="default"/>
      </w:rPr>
    </w:lvl>
  </w:abstractNum>
  <w:abstractNum w:abstractNumId="177" w15:restartNumberingAfterBreak="0">
    <w:nsid w:val="65071478"/>
    <w:multiLevelType w:val="hybridMultilevel"/>
    <w:tmpl w:val="16D2B96E"/>
    <w:lvl w:ilvl="0" w:tplc="01D2533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538506B"/>
    <w:multiLevelType w:val="hybridMultilevel"/>
    <w:tmpl w:val="BB10D06C"/>
    <w:lvl w:ilvl="0" w:tplc="7B5CFE80">
      <w:start w:val="1"/>
      <w:numFmt w:val="bullet"/>
      <w:lvlText w:val=""/>
      <w:lvlPicBulletId w:val="1"/>
      <w:lvlJc w:val="left"/>
      <w:pPr>
        <w:tabs>
          <w:tab w:val="num" w:pos="720"/>
        </w:tabs>
        <w:ind w:left="720" w:hanging="360"/>
      </w:pPr>
      <w:rPr>
        <w:rFonts w:ascii="Symbol" w:hAnsi="Symbol" w:hint="default"/>
      </w:rPr>
    </w:lvl>
    <w:lvl w:ilvl="1" w:tplc="0012EC8E" w:tentative="1">
      <w:start w:val="1"/>
      <w:numFmt w:val="bullet"/>
      <w:lvlText w:val=""/>
      <w:lvlJc w:val="left"/>
      <w:pPr>
        <w:tabs>
          <w:tab w:val="num" w:pos="1440"/>
        </w:tabs>
        <w:ind w:left="1440" w:hanging="360"/>
      </w:pPr>
      <w:rPr>
        <w:rFonts w:ascii="Symbol" w:hAnsi="Symbol" w:hint="default"/>
      </w:rPr>
    </w:lvl>
    <w:lvl w:ilvl="2" w:tplc="B7361A74" w:tentative="1">
      <w:start w:val="1"/>
      <w:numFmt w:val="bullet"/>
      <w:lvlText w:val=""/>
      <w:lvlJc w:val="left"/>
      <w:pPr>
        <w:tabs>
          <w:tab w:val="num" w:pos="2160"/>
        </w:tabs>
        <w:ind w:left="2160" w:hanging="360"/>
      </w:pPr>
      <w:rPr>
        <w:rFonts w:ascii="Symbol" w:hAnsi="Symbol" w:hint="default"/>
      </w:rPr>
    </w:lvl>
    <w:lvl w:ilvl="3" w:tplc="4E3CADFA" w:tentative="1">
      <w:start w:val="1"/>
      <w:numFmt w:val="bullet"/>
      <w:lvlText w:val=""/>
      <w:lvlJc w:val="left"/>
      <w:pPr>
        <w:tabs>
          <w:tab w:val="num" w:pos="2880"/>
        </w:tabs>
        <w:ind w:left="2880" w:hanging="360"/>
      </w:pPr>
      <w:rPr>
        <w:rFonts w:ascii="Symbol" w:hAnsi="Symbol" w:hint="default"/>
      </w:rPr>
    </w:lvl>
    <w:lvl w:ilvl="4" w:tplc="C6483C66" w:tentative="1">
      <w:start w:val="1"/>
      <w:numFmt w:val="bullet"/>
      <w:lvlText w:val=""/>
      <w:lvlJc w:val="left"/>
      <w:pPr>
        <w:tabs>
          <w:tab w:val="num" w:pos="3600"/>
        </w:tabs>
        <w:ind w:left="3600" w:hanging="360"/>
      </w:pPr>
      <w:rPr>
        <w:rFonts w:ascii="Symbol" w:hAnsi="Symbol" w:hint="default"/>
      </w:rPr>
    </w:lvl>
    <w:lvl w:ilvl="5" w:tplc="A98E4908" w:tentative="1">
      <w:start w:val="1"/>
      <w:numFmt w:val="bullet"/>
      <w:lvlText w:val=""/>
      <w:lvlJc w:val="left"/>
      <w:pPr>
        <w:tabs>
          <w:tab w:val="num" w:pos="4320"/>
        </w:tabs>
        <w:ind w:left="4320" w:hanging="360"/>
      </w:pPr>
      <w:rPr>
        <w:rFonts w:ascii="Symbol" w:hAnsi="Symbol" w:hint="default"/>
      </w:rPr>
    </w:lvl>
    <w:lvl w:ilvl="6" w:tplc="39828328" w:tentative="1">
      <w:start w:val="1"/>
      <w:numFmt w:val="bullet"/>
      <w:lvlText w:val=""/>
      <w:lvlJc w:val="left"/>
      <w:pPr>
        <w:tabs>
          <w:tab w:val="num" w:pos="5040"/>
        </w:tabs>
        <w:ind w:left="5040" w:hanging="360"/>
      </w:pPr>
      <w:rPr>
        <w:rFonts w:ascii="Symbol" w:hAnsi="Symbol" w:hint="default"/>
      </w:rPr>
    </w:lvl>
    <w:lvl w:ilvl="7" w:tplc="F766A9D0" w:tentative="1">
      <w:start w:val="1"/>
      <w:numFmt w:val="bullet"/>
      <w:lvlText w:val=""/>
      <w:lvlJc w:val="left"/>
      <w:pPr>
        <w:tabs>
          <w:tab w:val="num" w:pos="5760"/>
        </w:tabs>
        <w:ind w:left="5760" w:hanging="360"/>
      </w:pPr>
      <w:rPr>
        <w:rFonts w:ascii="Symbol" w:hAnsi="Symbol" w:hint="default"/>
      </w:rPr>
    </w:lvl>
    <w:lvl w:ilvl="8" w:tplc="35EC0968" w:tentative="1">
      <w:start w:val="1"/>
      <w:numFmt w:val="bullet"/>
      <w:lvlText w:val=""/>
      <w:lvlJc w:val="left"/>
      <w:pPr>
        <w:tabs>
          <w:tab w:val="num" w:pos="6480"/>
        </w:tabs>
        <w:ind w:left="6480" w:hanging="360"/>
      </w:pPr>
      <w:rPr>
        <w:rFonts w:ascii="Symbol" w:hAnsi="Symbol" w:hint="default"/>
      </w:rPr>
    </w:lvl>
  </w:abstractNum>
  <w:abstractNum w:abstractNumId="179" w15:restartNumberingAfterBreak="0">
    <w:nsid w:val="667D248B"/>
    <w:multiLevelType w:val="hybridMultilevel"/>
    <w:tmpl w:val="25B87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0" w15:restartNumberingAfterBreak="0">
    <w:nsid w:val="66D13201"/>
    <w:multiLevelType w:val="multilevel"/>
    <w:tmpl w:val="005C2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1" w15:restartNumberingAfterBreak="0">
    <w:nsid w:val="67271270"/>
    <w:multiLevelType w:val="hybridMultilevel"/>
    <w:tmpl w:val="1E82E400"/>
    <w:lvl w:ilvl="0" w:tplc="ABB0ED9C">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2" w15:restartNumberingAfterBreak="0">
    <w:nsid w:val="682657A2"/>
    <w:multiLevelType w:val="hybridMultilevel"/>
    <w:tmpl w:val="4ABA3CE8"/>
    <w:lvl w:ilvl="0" w:tplc="055CDDFE">
      <w:start w:val="1"/>
      <w:numFmt w:val="bullet"/>
      <w:lvlText w:val=""/>
      <w:lvlPicBulletId w:val="0"/>
      <w:lvlJc w:val="left"/>
      <w:pPr>
        <w:tabs>
          <w:tab w:val="num" w:pos="720"/>
        </w:tabs>
        <w:ind w:left="720" w:hanging="360"/>
      </w:pPr>
      <w:rPr>
        <w:rFonts w:ascii="Symbol" w:hAnsi="Symbol" w:hint="default"/>
      </w:rPr>
    </w:lvl>
    <w:lvl w:ilvl="1" w:tplc="FD949AF2" w:tentative="1">
      <w:start w:val="1"/>
      <w:numFmt w:val="bullet"/>
      <w:lvlText w:val=""/>
      <w:lvlJc w:val="left"/>
      <w:pPr>
        <w:tabs>
          <w:tab w:val="num" w:pos="1440"/>
        </w:tabs>
        <w:ind w:left="1440" w:hanging="360"/>
      </w:pPr>
      <w:rPr>
        <w:rFonts w:ascii="Symbol" w:hAnsi="Symbol" w:hint="default"/>
      </w:rPr>
    </w:lvl>
    <w:lvl w:ilvl="2" w:tplc="C6A8D59C" w:tentative="1">
      <w:start w:val="1"/>
      <w:numFmt w:val="bullet"/>
      <w:lvlText w:val=""/>
      <w:lvlJc w:val="left"/>
      <w:pPr>
        <w:tabs>
          <w:tab w:val="num" w:pos="2160"/>
        </w:tabs>
        <w:ind w:left="2160" w:hanging="360"/>
      </w:pPr>
      <w:rPr>
        <w:rFonts w:ascii="Symbol" w:hAnsi="Symbol" w:hint="default"/>
      </w:rPr>
    </w:lvl>
    <w:lvl w:ilvl="3" w:tplc="3BAC7F5E" w:tentative="1">
      <w:start w:val="1"/>
      <w:numFmt w:val="bullet"/>
      <w:lvlText w:val=""/>
      <w:lvlJc w:val="left"/>
      <w:pPr>
        <w:tabs>
          <w:tab w:val="num" w:pos="2880"/>
        </w:tabs>
        <w:ind w:left="2880" w:hanging="360"/>
      </w:pPr>
      <w:rPr>
        <w:rFonts w:ascii="Symbol" w:hAnsi="Symbol" w:hint="default"/>
      </w:rPr>
    </w:lvl>
    <w:lvl w:ilvl="4" w:tplc="98E4E242" w:tentative="1">
      <w:start w:val="1"/>
      <w:numFmt w:val="bullet"/>
      <w:lvlText w:val=""/>
      <w:lvlJc w:val="left"/>
      <w:pPr>
        <w:tabs>
          <w:tab w:val="num" w:pos="3600"/>
        </w:tabs>
        <w:ind w:left="3600" w:hanging="360"/>
      </w:pPr>
      <w:rPr>
        <w:rFonts w:ascii="Symbol" w:hAnsi="Symbol" w:hint="default"/>
      </w:rPr>
    </w:lvl>
    <w:lvl w:ilvl="5" w:tplc="A9B29664" w:tentative="1">
      <w:start w:val="1"/>
      <w:numFmt w:val="bullet"/>
      <w:lvlText w:val=""/>
      <w:lvlJc w:val="left"/>
      <w:pPr>
        <w:tabs>
          <w:tab w:val="num" w:pos="4320"/>
        </w:tabs>
        <w:ind w:left="4320" w:hanging="360"/>
      </w:pPr>
      <w:rPr>
        <w:rFonts w:ascii="Symbol" w:hAnsi="Symbol" w:hint="default"/>
      </w:rPr>
    </w:lvl>
    <w:lvl w:ilvl="6" w:tplc="F25EB9A2" w:tentative="1">
      <w:start w:val="1"/>
      <w:numFmt w:val="bullet"/>
      <w:lvlText w:val=""/>
      <w:lvlJc w:val="left"/>
      <w:pPr>
        <w:tabs>
          <w:tab w:val="num" w:pos="5040"/>
        </w:tabs>
        <w:ind w:left="5040" w:hanging="360"/>
      </w:pPr>
      <w:rPr>
        <w:rFonts w:ascii="Symbol" w:hAnsi="Symbol" w:hint="default"/>
      </w:rPr>
    </w:lvl>
    <w:lvl w:ilvl="7" w:tplc="F59886BC" w:tentative="1">
      <w:start w:val="1"/>
      <w:numFmt w:val="bullet"/>
      <w:lvlText w:val=""/>
      <w:lvlJc w:val="left"/>
      <w:pPr>
        <w:tabs>
          <w:tab w:val="num" w:pos="5760"/>
        </w:tabs>
        <w:ind w:left="5760" w:hanging="360"/>
      </w:pPr>
      <w:rPr>
        <w:rFonts w:ascii="Symbol" w:hAnsi="Symbol" w:hint="default"/>
      </w:rPr>
    </w:lvl>
    <w:lvl w:ilvl="8" w:tplc="66D4512C" w:tentative="1">
      <w:start w:val="1"/>
      <w:numFmt w:val="bullet"/>
      <w:lvlText w:val=""/>
      <w:lvlJc w:val="left"/>
      <w:pPr>
        <w:tabs>
          <w:tab w:val="num" w:pos="6480"/>
        </w:tabs>
        <w:ind w:left="6480" w:hanging="360"/>
      </w:pPr>
      <w:rPr>
        <w:rFonts w:ascii="Symbol" w:hAnsi="Symbol" w:hint="default"/>
      </w:rPr>
    </w:lvl>
  </w:abstractNum>
  <w:abstractNum w:abstractNumId="183" w15:restartNumberingAfterBreak="0">
    <w:nsid w:val="68BE0D26"/>
    <w:multiLevelType w:val="hybridMultilevel"/>
    <w:tmpl w:val="44443A5E"/>
    <w:lvl w:ilvl="0" w:tplc="9B72D15E">
      <w:start w:val="1"/>
      <w:numFmt w:val="bullet"/>
      <w:lvlText w:val=""/>
      <w:lvlPicBulletId w:val="1"/>
      <w:lvlJc w:val="left"/>
      <w:pPr>
        <w:tabs>
          <w:tab w:val="num" w:pos="720"/>
        </w:tabs>
        <w:ind w:left="720" w:hanging="360"/>
      </w:pPr>
      <w:rPr>
        <w:rFonts w:ascii="Symbol" w:hAnsi="Symbol" w:hint="default"/>
      </w:rPr>
    </w:lvl>
    <w:lvl w:ilvl="1" w:tplc="C1FEDC16" w:tentative="1">
      <w:start w:val="1"/>
      <w:numFmt w:val="bullet"/>
      <w:lvlText w:val=""/>
      <w:lvlJc w:val="left"/>
      <w:pPr>
        <w:tabs>
          <w:tab w:val="num" w:pos="1440"/>
        </w:tabs>
        <w:ind w:left="1440" w:hanging="360"/>
      </w:pPr>
      <w:rPr>
        <w:rFonts w:ascii="Symbol" w:hAnsi="Symbol" w:hint="default"/>
      </w:rPr>
    </w:lvl>
    <w:lvl w:ilvl="2" w:tplc="EEB074DC" w:tentative="1">
      <w:start w:val="1"/>
      <w:numFmt w:val="bullet"/>
      <w:lvlText w:val=""/>
      <w:lvlJc w:val="left"/>
      <w:pPr>
        <w:tabs>
          <w:tab w:val="num" w:pos="2160"/>
        </w:tabs>
        <w:ind w:left="2160" w:hanging="360"/>
      </w:pPr>
      <w:rPr>
        <w:rFonts w:ascii="Symbol" w:hAnsi="Symbol" w:hint="default"/>
      </w:rPr>
    </w:lvl>
    <w:lvl w:ilvl="3" w:tplc="9E8CCD9E" w:tentative="1">
      <w:start w:val="1"/>
      <w:numFmt w:val="bullet"/>
      <w:lvlText w:val=""/>
      <w:lvlJc w:val="left"/>
      <w:pPr>
        <w:tabs>
          <w:tab w:val="num" w:pos="2880"/>
        </w:tabs>
        <w:ind w:left="2880" w:hanging="360"/>
      </w:pPr>
      <w:rPr>
        <w:rFonts w:ascii="Symbol" w:hAnsi="Symbol" w:hint="default"/>
      </w:rPr>
    </w:lvl>
    <w:lvl w:ilvl="4" w:tplc="BD18C4A8" w:tentative="1">
      <w:start w:val="1"/>
      <w:numFmt w:val="bullet"/>
      <w:lvlText w:val=""/>
      <w:lvlJc w:val="left"/>
      <w:pPr>
        <w:tabs>
          <w:tab w:val="num" w:pos="3600"/>
        </w:tabs>
        <w:ind w:left="3600" w:hanging="360"/>
      </w:pPr>
      <w:rPr>
        <w:rFonts w:ascii="Symbol" w:hAnsi="Symbol" w:hint="default"/>
      </w:rPr>
    </w:lvl>
    <w:lvl w:ilvl="5" w:tplc="04B4BF08" w:tentative="1">
      <w:start w:val="1"/>
      <w:numFmt w:val="bullet"/>
      <w:lvlText w:val=""/>
      <w:lvlJc w:val="left"/>
      <w:pPr>
        <w:tabs>
          <w:tab w:val="num" w:pos="4320"/>
        </w:tabs>
        <w:ind w:left="4320" w:hanging="360"/>
      </w:pPr>
      <w:rPr>
        <w:rFonts w:ascii="Symbol" w:hAnsi="Symbol" w:hint="default"/>
      </w:rPr>
    </w:lvl>
    <w:lvl w:ilvl="6" w:tplc="381880CC" w:tentative="1">
      <w:start w:val="1"/>
      <w:numFmt w:val="bullet"/>
      <w:lvlText w:val=""/>
      <w:lvlJc w:val="left"/>
      <w:pPr>
        <w:tabs>
          <w:tab w:val="num" w:pos="5040"/>
        </w:tabs>
        <w:ind w:left="5040" w:hanging="360"/>
      </w:pPr>
      <w:rPr>
        <w:rFonts w:ascii="Symbol" w:hAnsi="Symbol" w:hint="default"/>
      </w:rPr>
    </w:lvl>
    <w:lvl w:ilvl="7" w:tplc="844E4B6E" w:tentative="1">
      <w:start w:val="1"/>
      <w:numFmt w:val="bullet"/>
      <w:lvlText w:val=""/>
      <w:lvlJc w:val="left"/>
      <w:pPr>
        <w:tabs>
          <w:tab w:val="num" w:pos="5760"/>
        </w:tabs>
        <w:ind w:left="5760" w:hanging="360"/>
      </w:pPr>
      <w:rPr>
        <w:rFonts w:ascii="Symbol" w:hAnsi="Symbol" w:hint="default"/>
      </w:rPr>
    </w:lvl>
    <w:lvl w:ilvl="8" w:tplc="318298A0" w:tentative="1">
      <w:start w:val="1"/>
      <w:numFmt w:val="bullet"/>
      <w:lvlText w:val=""/>
      <w:lvlJc w:val="left"/>
      <w:pPr>
        <w:tabs>
          <w:tab w:val="num" w:pos="6480"/>
        </w:tabs>
        <w:ind w:left="6480" w:hanging="360"/>
      </w:pPr>
      <w:rPr>
        <w:rFonts w:ascii="Symbol" w:hAnsi="Symbol" w:hint="default"/>
      </w:rPr>
    </w:lvl>
  </w:abstractNum>
  <w:abstractNum w:abstractNumId="184" w15:restartNumberingAfterBreak="0">
    <w:nsid w:val="69484F84"/>
    <w:multiLevelType w:val="hybridMultilevel"/>
    <w:tmpl w:val="8678523A"/>
    <w:lvl w:ilvl="0" w:tplc="E0165290">
      <w:start w:val="1"/>
      <w:numFmt w:val="bullet"/>
      <w:lvlText w:val=""/>
      <w:lvlPicBulletId w:val="1"/>
      <w:lvlJc w:val="left"/>
      <w:pPr>
        <w:tabs>
          <w:tab w:val="num" w:pos="720"/>
        </w:tabs>
        <w:ind w:left="720" w:hanging="360"/>
      </w:pPr>
      <w:rPr>
        <w:rFonts w:ascii="Symbol" w:hAnsi="Symbol" w:hint="default"/>
      </w:rPr>
    </w:lvl>
    <w:lvl w:ilvl="1" w:tplc="E940C110" w:tentative="1">
      <w:start w:val="1"/>
      <w:numFmt w:val="bullet"/>
      <w:lvlText w:val=""/>
      <w:lvlJc w:val="left"/>
      <w:pPr>
        <w:tabs>
          <w:tab w:val="num" w:pos="1440"/>
        </w:tabs>
        <w:ind w:left="1440" w:hanging="360"/>
      </w:pPr>
      <w:rPr>
        <w:rFonts w:ascii="Symbol" w:hAnsi="Symbol" w:hint="default"/>
      </w:rPr>
    </w:lvl>
    <w:lvl w:ilvl="2" w:tplc="2CAE6A32" w:tentative="1">
      <w:start w:val="1"/>
      <w:numFmt w:val="bullet"/>
      <w:lvlText w:val=""/>
      <w:lvlJc w:val="left"/>
      <w:pPr>
        <w:tabs>
          <w:tab w:val="num" w:pos="2160"/>
        </w:tabs>
        <w:ind w:left="2160" w:hanging="360"/>
      </w:pPr>
      <w:rPr>
        <w:rFonts w:ascii="Symbol" w:hAnsi="Symbol" w:hint="default"/>
      </w:rPr>
    </w:lvl>
    <w:lvl w:ilvl="3" w:tplc="81CAAE04" w:tentative="1">
      <w:start w:val="1"/>
      <w:numFmt w:val="bullet"/>
      <w:lvlText w:val=""/>
      <w:lvlJc w:val="left"/>
      <w:pPr>
        <w:tabs>
          <w:tab w:val="num" w:pos="2880"/>
        </w:tabs>
        <w:ind w:left="2880" w:hanging="360"/>
      </w:pPr>
      <w:rPr>
        <w:rFonts w:ascii="Symbol" w:hAnsi="Symbol" w:hint="default"/>
      </w:rPr>
    </w:lvl>
    <w:lvl w:ilvl="4" w:tplc="64D6CD86" w:tentative="1">
      <w:start w:val="1"/>
      <w:numFmt w:val="bullet"/>
      <w:lvlText w:val=""/>
      <w:lvlJc w:val="left"/>
      <w:pPr>
        <w:tabs>
          <w:tab w:val="num" w:pos="3600"/>
        </w:tabs>
        <w:ind w:left="3600" w:hanging="360"/>
      </w:pPr>
      <w:rPr>
        <w:rFonts w:ascii="Symbol" w:hAnsi="Symbol" w:hint="default"/>
      </w:rPr>
    </w:lvl>
    <w:lvl w:ilvl="5" w:tplc="4A8434A6" w:tentative="1">
      <w:start w:val="1"/>
      <w:numFmt w:val="bullet"/>
      <w:lvlText w:val=""/>
      <w:lvlJc w:val="left"/>
      <w:pPr>
        <w:tabs>
          <w:tab w:val="num" w:pos="4320"/>
        </w:tabs>
        <w:ind w:left="4320" w:hanging="360"/>
      </w:pPr>
      <w:rPr>
        <w:rFonts w:ascii="Symbol" w:hAnsi="Symbol" w:hint="default"/>
      </w:rPr>
    </w:lvl>
    <w:lvl w:ilvl="6" w:tplc="1C845B66" w:tentative="1">
      <w:start w:val="1"/>
      <w:numFmt w:val="bullet"/>
      <w:lvlText w:val=""/>
      <w:lvlJc w:val="left"/>
      <w:pPr>
        <w:tabs>
          <w:tab w:val="num" w:pos="5040"/>
        </w:tabs>
        <w:ind w:left="5040" w:hanging="360"/>
      </w:pPr>
      <w:rPr>
        <w:rFonts w:ascii="Symbol" w:hAnsi="Symbol" w:hint="default"/>
      </w:rPr>
    </w:lvl>
    <w:lvl w:ilvl="7" w:tplc="CC14C13E" w:tentative="1">
      <w:start w:val="1"/>
      <w:numFmt w:val="bullet"/>
      <w:lvlText w:val=""/>
      <w:lvlJc w:val="left"/>
      <w:pPr>
        <w:tabs>
          <w:tab w:val="num" w:pos="5760"/>
        </w:tabs>
        <w:ind w:left="5760" w:hanging="360"/>
      </w:pPr>
      <w:rPr>
        <w:rFonts w:ascii="Symbol" w:hAnsi="Symbol" w:hint="default"/>
      </w:rPr>
    </w:lvl>
    <w:lvl w:ilvl="8" w:tplc="18EC9594" w:tentative="1">
      <w:start w:val="1"/>
      <w:numFmt w:val="bullet"/>
      <w:lvlText w:val=""/>
      <w:lvlJc w:val="left"/>
      <w:pPr>
        <w:tabs>
          <w:tab w:val="num" w:pos="6480"/>
        </w:tabs>
        <w:ind w:left="6480" w:hanging="360"/>
      </w:pPr>
      <w:rPr>
        <w:rFonts w:ascii="Symbol" w:hAnsi="Symbol" w:hint="default"/>
      </w:rPr>
    </w:lvl>
  </w:abstractNum>
  <w:abstractNum w:abstractNumId="185" w15:restartNumberingAfterBreak="0">
    <w:nsid w:val="6A410329"/>
    <w:multiLevelType w:val="hybridMultilevel"/>
    <w:tmpl w:val="26A86292"/>
    <w:lvl w:ilvl="0" w:tplc="E578D830">
      <w:start w:val="201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6" w15:restartNumberingAfterBreak="0">
    <w:nsid w:val="6B393739"/>
    <w:multiLevelType w:val="hybridMultilevel"/>
    <w:tmpl w:val="7F92AA04"/>
    <w:lvl w:ilvl="0" w:tplc="DF7086B8">
      <w:start w:val="1"/>
      <w:numFmt w:val="bullet"/>
      <w:lvlText w:val=""/>
      <w:lvlPicBulletId w:val="1"/>
      <w:lvlJc w:val="left"/>
      <w:pPr>
        <w:tabs>
          <w:tab w:val="num" w:pos="720"/>
        </w:tabs>
        <w:ind w:left="720" w:hanging="360"/>
      </w:pPr>
      <w:rPr>
        <w:rFonts w:ascii="Symbol" w:hAnsi="Symbol" w:hint="default"/>
      </w:rPr>
    </w:lvl>
    <w:lvl w:ilvl="1" w:tplc="E446E4FA" w:tentative="1">
      <w:start w:val="1"/>
      <w:numFmt w:val="bullet"/>
      <w:lvlText w:val=""/>
      <w:lvlJc w:val="left"/>
      <w:pPr>
        <w:tabs>
          <w:tab w:val="num" w:pos="1440"/>
        </w:tabs>
        <w:ind w:left="1440" w:hanging="360"/>
      </w:pPr>
      <w:rPr>
        <w:rFonts w:ascii="Symbol" w:hAnsi="Symbol" w:hint="default"/>
      </w:rPr>
    </w:lvl>
    <w:lvl w:ilvl="2" w:tplc="C870F378" w:tentative="1">
      <w:start w:val="1"/>
      <w:numFmt w:val="bullet"/>
      <w:lvlText w:val=""/>
      <w:lvlJc w:val="left"/>
      <w:pPr>
        <w:tabs>
          <w:tab w:val="num" w:pos="2160"/>
        </w:tabs>
        <w:ind w:left="2160" w:hanging="360"/>
      </w:pPr>
      <w:rPr>
        <w:rFonts w:ascii="Symbol" w:hAnsi="Symbol" w:hint="default"/>
      </w:rPr>
    </w:lvl>
    <w:lvl w:ilvl="3" w:tplc="F5820B66" w:tentative="1">
      <w:start w:val="1"/>
      <w:numFmt w:val="bullet"/>
      <w:lvlText w:val=""/>
      <w:lvlJc w:val="left"/>
      <w:pPr>
        <w:tabs>
          <w:tab w:val="num" w:pos="2880"/>
        </w:tabs>
        <w:ind w:left="2880" w:hanging="360"/>
      </w:pPr>
      <w:rPr>
        <w:rFonts w:ascii="Symbol" w:hAnsi="Symbol" w:hint="default"/>
      </w:rPr>
    </w:lvl>
    <w:lvl w:ilvl="4" w:tplc="B66E0B7C" w:tentative="1">
      <w:start w:val="1"/>
      <w:numFmt w:val="bullet"/>
      <w:lvlText w:val=""/>
      <w:lvlJc w:val="left"/>
      <w:pPr>
        <w:tabs>
          <w:tab w:val="num" w:pos="3600"/>
        </w:tabs>
        <w:ind w:left="3600" w:hanging="360"/>
      </w:pPr>
      <w:rPr>
        <w:rFonts w:ascii="Symbol" w:hAnsi="Symbol" w:hint="default"/>
      </w:rPr>
    </w:lvl>
    <w:lvl w:ilvl="5" w:tplc="11A2E05E" w:tentative="1">
      <w:start w:val="1"/>
      <w:numFmt w:val="bullet"/>
      <w:lvlText w:val=""/>
      <w:lvlJc w:val="left"/>
      <w:pPr>
        <w:tabs>
          <w:tab w:val="num" w:pos="4320"/>
        </w:tabs>
        <w:ind w:left="4320" w:hanging="360"/>
      </w:pPr>
      <w:rPr>
        <w:rFonts w:ascii="Symbol" w:hAnsi="Symbol" w:hint="default"/>
      </w:rPr>
    </w:lvl>
    <w:lvl w:ilvl="6" w:tplc="0E923DEA" w:tentative="1">
      <w:start w:val="1"/>
      <w:numFmt w:val="bullet"/>
      <w:lvlText w:val=""/>
      <w:lvlJc w:val="left"/>
      <w:pPr>
        <w:tabs>
          <w:tab w:val="num" w:pos="5040"/>
        </w:tabs>
        <w:ind w:left="5040" w:hanging="360"/>
      </w:pPr>
      <w:rPr>
        <w:rFonts w:ascii="Symbol" w:hAnsi="Symbol" w:hint="default"/>
      </w:rPr>
    </w:lvl>
    <w:lvl w:ilvl="7" w:tplc="C352A5D4" w:tentative="1">
      <w:start w:val="1"/>
      <w:numFmt w:val="bullet"/>
      <w:lvlText w:val=""/>
      <w:lvlJc w:val="left"/>
      <w:pPr>
        <w:tabs>
          <w:tab w:val="num" w:pos="5760"/>
        </w:tabs>
        <w:ind w:left="5760" w:hanging="360"/>
      </w:pPr>
      <w:rPr>
        <w:rFonts w:ascii="Symbol" w:hAnsi="Symbol" w:hint="default"/>
      </w:rPr>
    </w:lvl>
    <w:lvl w:ilvl="8" w:tplc="30160F08" w:tentative="1">
      <w:start w:val="1"/>
      <w:numFmt w:val="bullet"/>
      <w:lvlText w:val=""/>
      <w:lvlJc w:val="left"/>
      <w:pPr>
        <w:tabs>
          <w:tab w:val="num" w:pos="6480"/>
        </w:tabs>
        <w:ind w:left="6480" w:hanging="360"/>
      </w:pPr>
      <w:rPr>
        <w:rFonts w:ascii="Symbol" w:hAnsi="Symbol" w:hint="default"/>
      </w:rPr>
    </w:lvl>
  </w:abstractNum>
  <w:abstractNum w:abstractNumId="187" w15:restartNumberingAfterBreak="0">
    <w:nsid w:val="6B421EA2"/>
    <w:multiLevelType w:val="hybridMultilevel"/>
    <w:tmpl w:val="A838F516"/>
    <w:lvl w:ilvl="0" w:tplc="0AC20602">
      <w:start w:val="1"/>
      <w:numFmt w:val="bullet"/>
      <w:lvlText w:val=""/>
      <w:lvlPicBulletId w:val="0"/>
      <w:lvlJc w:val="left"/>
      <w:pPr>
        <w:tabs>
          <w:tab w:val="num" w:pos="720"/>
        </w:tabs>
        <w:ind w:left="720" w:hanging="360"/>
      </w:pPr>
      <w:rPr>
        <w:rFonts w:ascii="Symbol" w:hAnsi="Symbol" w:hint="default"/>
      </w:rPr>
    </w:lvl>
    <w:lvl w:ilvl="1" w:tplc="DDE2DA38" w:tentative="1">
      <w:start w:val="1"/>
      <w:numFmt w:val="bullet"/>
      <w:lvlText w:val=""/>
      <w:lvlJc w:val="left"/>
      <w:pPr>
        <w:tabs>
          <w:tab w:val="num" w:pos="1440"/>
        </w:tabs>
        <w:ind w:left="1440" w:hanging="360"/>
      </w:pPr>
      <w:rPr>
        <w:rFonts w:ascii="Symbol" w:hAnsi="Symbol" w:hint="default"/>
      </w:rPr>
    </w:lvl>
    <w:lvl w:ilvl="2" w:tplc="480074D4" w:tentative="1">
      <w:start w:val="1"/>
      <w:numFmt w:val="bullet"/>
      <w:lvlText w:val=""/>
      <w:lvlJc w:val="left"/>
      <w:pPr>
        <w:tabs>
          <w:tab w:val="num" w:pos="2160"/>
        </w:tabs>
        <w:ind w:left="2160" w:hanging="360"/>
      </w:pPr>
      <w:rPr>
        <w:rFonts w:ascii="Symbol" w:hAnsi="Symbol" w:hint="default"/>
      </w:rPr>
    </w:lvl>
    <w:lvl w:ilvl="3" w:tplc="44664E4C" w:tentative="1">
      <w:start w:val="1"/>
      <w:numFmt w:val="bullet"/>
      <w:lvlText w:val=""/>
      <w:lvlJc w:val="left"/>
      <w:pPr>
        <w:tabs>
          <w:tab w:val="num" w:pos="2880"/>
        </w:tabs>
        <w:ind w:left="2880" w:hanging="360"/>
      </w:pPr>
      <w:rPr>
        <w:rFonts w:ascii="Symbol" w:hAnsi="Symbol" w:hint="default"/>
      </w:rPr>
    </w:lvl>
    <w:lvl w:ilvl="4" w:tplc="23B2C6B0" w:tentative="1">
      <w:start w:val="1"/>
      <w:numFmt w:val="bullet"/>
      <w:lvlText w:val=""/>
      <w:lvlJc w:val="left"/>
      <w:pPr>
        <w:tabs>
          <w:tab w:val="num" w:pos="3600"/>
        </w:tabs>
        <w:ind w:left="3600" w:hanging="360"/>
      </w:pPr>
      <w:rPr>
        <w:rFonts w:ascii="Symbol" w:hAnsi="Symbol" w:hint="default"/>
      </w:rPr>
    </w:lvl>
    <w:lvl w:ilvl="5" w:tplc="06CC056C" w:tentative="1">
      <w:start w:val="1"/>
      <w:numFmt w:val="bullet"/>
      <w:lvlText w:val=""/>
      <w:lvlJc w:val="left"/>
      <w:pPr>
        <w:tabs>
          <w:tab w:val="num" w:pos="4320"/>
        </w:tabs>
        <w:ind w:left="4320" w:hanging="360"/>
      </w:pPr>
      <w:rPr>
        <w:rFonts w:ascii="Symbol" w:hAnsi="Symbol" w:hint="default"/>
      </w:rPr>
    </w:lvl>
    <w:lvl w:ilvl="6" w:tplc="7C4C079C" w:tentative="1">
      <w:start w:val="1"/>
      <w:numFmt w:val="bullet"/>
      <w:lvlText w:val=""/>
      <w:lvlJc w:val="left"/>
      <w:pPr>
        <w:tabs>
          <w:tab w:val="num" w:pos="5040"/>
        </w:tabs>
        <w:ind w:left="5040" w:hanging="360"/>
      </w:pPr>
      <w:rPr>
        <w:rFonts w:ascii="Symbol" w:hAnsi="Symbol" w:hint="default"/>
      </w:rPr>
    </w:lvl>
    <w:lvl w:ilvl="7" w:tplc="47F03D18" w:tentative="1">
      <w:start w:val="1"/>
      <w:numFmt w:val="bullet"/>
      <w:lvlText w:val=""/>
      <w:lvlJc w:val="left"/>
      <w:pPr>
        <w:tabs>
          <w:tab w:val="num" w:pos="5760"/>
        </w:tabs>
        <w:ind w:left="5760" w:hanging="360"/>
      </w:pPr>
      <w:rPr>
        <w:rFonts w:ascii="Symbol" w:hAnsi="Symbol" w:hint="default"/>
      </w:rPr>
    </w:lvl>
    <w:lvl w:ilvl="8" w:tplc="10FAA980" w:tentative="1">
      <w:start w:val="1"/>
      <w:numFmt w:val="bullet"/>
      <w:lvlText w:val=""/>
      <w:lvlJc w:val="left"/>
      <w:pPr>
        <w:tabs>
          <w:tab w:val="num" w:pos="6480"/>
        </w:tabs>
        <w:ind w:left="6480" w:hanging="360"/>
      </w:pPr>
      <w:rPr>
        <w:rFonts w:ascii="Symbol" w:hAnsi="Symbol" w:hint="default"/>
      </w:rPr>
    </w:lvl>
  </w:abstractNum>
  <w:abstractNum w:abstractNumId="188" w15:restartNumberingAfterBreak="0">
    <w:nsid w:val="6B7C4288"/>
    <w:multiLevelType w:val="hybridMultilevel"/>
    <w:tmpl w:val="5DC6EF9A"/>
    <w:lvl w:ilvl="0" w:tplc="AA589B04">
      <w:start w:val="1"/>
      <w:numFmt w:val="bullet"/>
      <w:lvlText w:val=""/>
      <w:lvlPicBulletId w:val="0"/>
      <w:lvlJc w:val="left"/>
      <w:pPr>
        <w:tabs>
          <w:tab w:val="num" w:pos="720"/>
        </w:tabs>
        <w:ind w:left="720" w:hanging="360"/>
      </w:pPr>
      <w:rPr>
        <w:rFonts w:ascii="Symbol" w:hAnsi="Symbol" w:hint="default"/>
      </w:rPr>
    </w:lvl>
    <w:lvl w:ilvl="1" w:tplc="65980A0C" w:tentative="1">
      <w:start w:val="1"/>
      <w:numFmt w:val="bullet"/>
      <w:lvlText w:val=""/>
      <w:lvlJc w:val="left"/>
      <w:pPr>
        <w:tabs>
          <w:tab w:val="num" w:pos="1440"/>
        </w:tabs>
        <w:ind w:left="1440" w:hanging="360"/>
      </w:pPr>
      <w:rPr>
        <w:rFonts w:ascii="Symbol" w:hAnsi="Symbol" w:hint="default"/>
      </w:rPr>
    </w:lvl>
    <w:lvl w:ilvl="2" w:tplc="C6E60924" w:tentative="1">
      <w:start w:val="1"/>
      <w:numFmt w:val="bullet"/>
      <w:lvlText w:val=""/>
      <w:lvlJc w:val="left"/>
      <w:pPr>
        <w:tabs>
          <w:tab w:val="num" w:pos="2160"/>
        </w:tabs>
        <w:ind w:left="2160" w:hanging="360"/>
      </w:pPr>
      <w:rPr>
        <w:rFonts w:ascii="Symbol" w:hAnsi="Symbol" w:hint="default"/>
      </w:rPr>
    </w:lvl>
    <w:lvl w:ilvl="3" w:tplc="E6E46AB4" w:tentative="1">
      <w:start w:val="1"/>
      <w:numFmt w:val="bullet"/>
      <w:lvlText w:val=""/>
      <w:lvlJc w:val="left"/>
      <w:pPr>
        <w:tabs>
          <w:tab w:val="num" w:pos="2880"/>
        </w:tabs>
        <w:ind w:left="2880" w:hanging="360"/>
      </w:pPr>
      <w:rPr>
        <w:rFonts w:ascii="Symbol" w:hAnsi="Symbol" w:hint="default"/>
      </w:rPr>
    </w:lvl>
    <w:lvl w:ilvl="4" w:tplc="03D8EA3A" w:tentative="1">
      <w:start w:val="1"/>
      <w:numFmt w:val="bullet"/>
      <w:lvlText w:val=""/>
      <w:lvlJc w:val="left"/>
      <w:pPr>
        <w:tabs>
          <w:tab w:val="num" w:pos="3600"/>
        </w:tabs>
        <w:ind w:left="3600" w:hanging="360"/>
      </w:pPr>
      <w:rPr>
        <w:rFonts w:ascii="Symbol" w:hAnsi="Symbol" w:hint="default"/>
      </w:rPr>
    </w:lvl>
    <w:lvl w:ilvl="5" w:tplc="34DE8924" w:tentative="1">
      <w:start w:val="1"/>
      <w:numFmt w:val="bullet"/>
      <w:lvlText w:val=""/>
      <w:lvlJc w:val="left"/>
      <w:pPr>
        <w:tabs>
          <w:tab w:val="num" w:pos="4320"/>
        </w:tabs>
        <w:ind w:left="4320" w:hanging="360"/>
      </w:pPr>
      <w:rPr>
        <w:rFonts w:ascii="Symbol" w:hAnsi="Symbol" w:hint="default"/>
      </w:rPr>
    </w:lvl>
    <w:lvl w:ilvl="6" w:tplc="9FE244D8" w:tentative="1">
      <w:start w:val="1"/>
      <w:numFmt w:val="bullet"/>
      <w:lvlText w:val=""/>
      <w:lvlJc w:val="left"/>
      <w:pPr>
        <w:tabs>
          <w:tab w:val="num" w:pos="5040"/>
        </w:tabs>
        <w:ind w:left="5040" w:hanging="360"/>
      </w:pPr>
      <w:rPr>
        <w:rFonts w:ascii="Symbol" w:hAnsi="Symbol" w:hint="default"/>
      </w:rPr>
    </w:lvl>
    <w:lvl w:ilvl="7" w:tplc="6F5A6F0E" w:tentative="1">
      <w:start w:val="1"/>
      <w:numFmt w:val="bullet"/>
      <w:lvlText w:val=""/>
      <w:lvlJc w:val="left"/>
      <w:pPr>
        <w:tabs>
          <w:tab w:val="num" w:pos="5760"/>
        </w:tabs>
        <w:ind w:left="5760" w:hanging="360"/>
      </w:pPr>
      <w:rPr>
        <w:rFonts w:ascii="Symbol" w:hAnsi="Symbol" w:hint="default"/>
      </w:rPr>
    </w:lvl>
    <w:lvl w:ilvl="8" w:tplc="04544600" w:tentative="1">
      <w:start w:val="1"/>
      <w:numFmt w:val="bullet"/>
      <w:lvlText w:val=""/>
      <w:lvlJc w:val="left"/>
      <w:pPr>
        <w:tabs>
          <w:tab w:val="num" w:pos="6480"/>
        </w:tabs>
        <w:ind w:left="6480" w:hanging="360"/>
      </w:pPr>
      <w:rPr>
        <w:rFonts w:ascii="Symbol" w:hAnsi="Symbol" w:hint="default"/>
      </w:rPr>
    </w:lvl>
  </w:abstractNum>
  <w:abstractNum w:abstractNumId="189" w15:restartNumberingAfterBreak="0">
    <w:nsid w:val="6BC0799E"/>
    <w:multiLevelType w:val="hybridMultilevel"/>
    <w:tmpl w:val="DB62E6B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90" w15:restartNumberingAfterBreak="0">
    <w:nsid w:val="6D285801"/>
    <w:multiLevelType w:val="hybridMultilevel"/>
    <w:tmpl w:val="B7B4F964"/>
    <w:lvl w:ilvl="0" w:tplc="3E0A63DC">
      <w:start w:val="1"/>
      <w:numFmt w:val="bullet"/>
      <w:lvlText w:val=""/>
      <w:lvlPicBulletId w:val="1"/>
      <w:lvlJc w:val="left"/>
      <w:pPr>
        <w:tabs>
          <w:tab w:val="num" w:pos="720"/>
        </w:tabs>
        <w:ind w:left="720" w:hanging="360"/>
      </w:pPr>
      <w:rPr>
        <w:rFonts w:ascii="Symbol" w:hAnsi="Symbol" w:hint="default"/>
      </w:rPr>
    </w:lvl>
    <w:lvl w:ilvl="1" w:tplc="82D45E98" w:tentative="1">
      <w:start w:val="1"/>
      <w:numFmt w:val="bullet"/>
      <w:lvlText w:val=""/>
      <w:lvlJc w:val="left"/>
      <w:pPr>
        <w:tabs>
          <w:tab w:val="num" w:pos="1440"/>
        </w:tabs>
        <w:ind w:left="1440" w:hanging="360"/>
      </w:pPr>
      <w:rPr>
        <w:rFonts w:ascii="Symbol" w:hAnsi="Symbol" w:hint="default"/>
      </w:rPr>
    </w:lvl>
    <w:lvl w:ilvl="2" w:tplc="7242D2EE" w:tentative="1">
      <w:start w:val="1"/>
      <w:numFmt w:val="bullet"/>
      <w:lvlText w:val=""/>
      <w:lvlJc w:val="left"/>
      <w:pPr>
        <w:tabs>
          <w:tab w:val="num" w:pos="2160"/>
        </w:tabs>
        <w:ind w:left="2160" w:hanging="360"/>
      </w:pPr>
      <w:rPr>
        <w:rFonts w:ascii="Symbol" w:hAnsi="Symbol" w:hint="default"/>
      </w:rPr>
    </w:lvl>
    <w:lvl w:ilvl="3" w:tplc="9E3256F0" w:tentative="1">
      <w:start w:val="1"/>
      <w:numFmt w:val="bullet"/>
      <w:lvlText w:val=""/>
      <w:lvlJc w:val="left"/>
      <w:pPr>
        <w:tabs>
          <w:tab w:val="num" w:pos="2880"/>
        </w:tabs>
        <w:ind w:left="2880" w:hanging="360"/>
      </w:pPr>
      <w:rPr>
        <w:rFonts w:ascii="Symbol" w:hAnsi="Symbol" w:hint="default"/>
      </w:rPr>
    </w:lvl>
    <w:lvl w:ilvl="4" w:tplc="9E664F4A" w:tentative="1">
      <w:start w:val="1"/>
      <w:numFmt w:val="bullet"/>
      <w:lvlText w:val=""/>
      <w:lvlJc w:val="left"/>
      <w:pPr>
        <w:tabs>
          <w:tab w:val="num" w:pos="3600"/>
        </w:tabs>
        <w:ind w:left="3600" w:hanging="360"/>
      </w:pPr>
      <w:rPr>
        <w:rFonts w:ascii="Symbol" w:hAnsi="Symbol" w:hint="default"/>
      </w:rPr>
    </w:lvl>
    <w:lvl w:ilvl="5" w:tplc="1DD28794" w:tentative="1">
      <w:start w:val="1"/>
      <w:numFmt w:val="bullet"/>
      <w:lvlText w:val=""/>
      <w:lvlJc w:val="left"/>
      <w:pPr>
        <w:tabs>
          <w:tab w:val="num" w:pos="4320"/>
        </w:tabs>
        <w:ind w:left="4320" w:hanging="360"/>
      </w:pPr>
      <w:rPr>
        <w:rFonts w:ascii="Symbol" w:hAnsi="Symbol" w:hint="default"/>
      </w:rPr>
    </w:lvl>
    <w:lvl w:ilvl="6" w:tplc="9D7E8FF4" w:tentative="1">
      <w:start w:val="1"/>
      <w:numFmt w:val="bullet"/>
      <w:lvlText w:val=""/>
      <w:lvlJc w:val="left"/>
      <w:pPr>
        <w:tabs>
          <w:tab w:val="num" w:pos="5040"/>
        </w:tabs>
        <w:ind w:left="5040" w:hanging="360"/>
      </w:pPr>
      <w:rPr>
        <w:rFonts w:ascii="Symbol" w:hAnsi="Symbol" w:hint="default"/>
      </w:rPr>
    </w:lvl>
    <w:lvl w:ilvl="7" w:tplc="2CBCB0D6" w:tentative="1">
      <w:start w:val="1"/>
      <w:numFmt w:val="bullet"/>
      <w:lvlText w:val=""/>
      <w:lvlJc w:val="left"/>
      <w:pPr>
        <w:tabs>
          <w:tab w:val="num" w:pos="5760"/>
        </w:tabs>
        <w:ind w:left="5760" w:hanging="360"/>
      </w:pPr>
      <w:rPr>
        <w:rFonts w:ascii="Symbol" w:hAnsi="Symbol" w:hint="default"/>
      </w:rPr>
    </w:lvl>
    <w:lvl w:ilvl="8" w:tplc="6E2E4596" w:tentative="1">
      <w:start w:val="1"/>
      <w:numFmt w:val="bullet"/>
      <w:lvlText w:val=""/>
      <w:lvlJc w:val="left"/>
      <w:pPr>
        <w:tabs>
          <w:tab w:val="num" w:pos="6480"/>
        </w:tabs>
        <w:ind w:left="6480" w:hanging="360"/>
      </w:pPr>
      <w:rPr>
        <w:rFonts w:ascii="Symbol" w:hAnsi="Symbol" w:hint="default"/>
      </w:rPr>
    </w:lvl>
  </w:abstractNum>
  <w:abstractNum w:abstractNumId="191"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DEE10FC"/>
    <w:multiLevelType w:val="hybridMultilevel"/>
    <w:tmpl w:val="6F245794"/>
    <w:lvl w:ilvl="0" w:tplc="426C8AB4">
      <w:start w:val="1"/>
      <w:numFmt w:val="bullet"/>
      <w:lvlText w:val=""/>
      <w:lvlPicBulletId w:val="0"/>
      <w:lvlJc w:val="left"/>
      <w:pPr>
        <w:tabs>
          <w:tab w:val="num" w:pos="720"/>
        </w:tabs>
        <w:ind w:left="720" w:hanging="360"/>
      </w:pPr>
      <w:rPr>
        <w:rFonts w:ascii="Symbol" w:hAnsi="Symbol" w:hint="default"/>
      </w:rPr>
    </w:lvl>
    <w:lvl w:ilvl="1" w:tplc="9ACE80CE" w:tentative="1">
      <w:start w:val="1"/>
      <w:numFmt w:val="bullet"/>
      <w:lvlText w:val=""/>
      <w:lvlJc w:val="left"/>
      <w:pPr>
        <w:tabs>
          <w:tab w:val="num" w:pos="1440"/>
        </w:tabs>
        <w:ind w:left="1440" w:hanging="360"/>
      </w:pPr>
      <w:rPr>
        <w:rFonts w:ascii="Symbol" w:hAnsi="Symbol" w:hint="default"/>
      </w:rPr>
    </w:lvl>
    <w:lvl w:ilvl="2" w:tplc="D88ADC0C" w:tentative="1">
      <w:start w:val="1"/>
      <w:numFmt w:val="bullet"/>
      <w:lvlText w:val=""/>
      <w:lvlJc w:val="left"/>
      <w:pPr>
        <w:tabs>
          <w:tab w:val="num" w:pos="2160"/>
        </w:tabs>
        <w:ind w:left="2160" w:hanging="360"/>
      </w:pPr>
      <w:rPr>
        <w:rFonts w:ascii="Symbol" w:hAnsi="Symbol" w:hint="default"/>
      </w:rPr>
    </w:lvl>
    <w:lvl w:ilvl="3" w:tplc="4A8896F4" w:tentative="1">
      <w:start w:val="1"/>
      <w:numFmt w:val="bullet"/>
      <w:lvlText w:val=""/>
      <w:lvlJc w:val="left"/>
      <w:pPr>
        <w:tabs>
          <w:tab w:val="num" w:pos="2880"/>
        </w:tabs>
        <w:ind w:left="2880" w:hanging="360"/>
      </w:pPr>
      <w:rPr>
        <w:rFonts w:ascii="Symbol" w:hAnsi="Symbol" w:hint="default"/>
      </w:rPr>
    </w:lvl>
    <w:lvl w:ilvl="4" w:tplc="98D0E22C" w:tentative="1">
      <w:start w:val="1"/>
      <w:numFmt w:val="bullet"/>
      <w:lvlText w:val=""/>
      <w:lvlJc w:val="left"/>
      <w:pPr>
        <w:tabs>
          <w:tab w:val="num" w:pos="3600"/>
        </w:tabs>
        <w:ind w:left="3600" w:hanging="360"/>
      </w:pPr>
      <w:rPr>
        <w:rFonts w:ascii="Symbol" w:hAnsi="Symbol" w:hint="default"/>
      </w:rPr>
    </w:lvl>
    <w:lvl w:ilvl="5" w:tplc="6848163C" w:tentative="1">
      <w:start w:val="1"/>
      <w:numFmt w:val="bullet"/>
      <w:lvlText w:val=""/>
      <w:lvlJc w:val="left"/>
      <w:pPr>
        <w:tabs>
          <w:tab w:val="num" w:pos="4320"/>
        </w:tabs>
        <w:ind w:left="4320" w:hanging="360"/>
      </w:pPr>
      <w:rPr>
        <w:rFonts w:ascii="Symbol" w:hAnsi="Symbol" w:hint="default"/>
      </w:rPr>
    </w:lvl>
    <w:lvl w:ilvl="6" w:tplc="7524645C" w:tentative="1">
      <w:start w:val="1"/>
      <w:numFmt w:val="bullet"/>
      <w:lvlText w:val=""/>
      <w:lvlJc w:val="left"/>
      <w:pPr>
        <w:tabs>
          <w:tab w:val="num" w:pos="5040"/>
        </w:tabs>
        <w:ind w:left="5040" w:hanging="360"/>
      </w:pPr>
      <w:rPr>
        <w:rFonts w:ascii="Symbol" w:hAnsi="Symbol" w:hint="default"/>
      </w:rPr>
    </w:lvl>
    <w:lvl w:ilvl="7" w:tplc="9E1E7822" w:tentative="1">
      <w:start w:val="1"/>
      <w:numFmt w:val="bullet"/>
      <w:lvlText w:val=""/>
      <w:lvlJc w:val="left"/>
      <w:pPr>
        <w:tabs>
          <w:tab w:val="num" w:pos="5760"/>
        </w:tabs>
        <w:ind w:left="5760" w:hanging="360"/>
      </w:pPr>
      <w:rPr>
        <w:rFonts w:ascii="Symbol" w:hAnsi="Symbol" w:hint="default"/>
      </w:rPr>
    </w:lvl>
    <w:lvl w:ilvl="8" w:tplc="3A08AC4C" w:tentative="1">
      <w:start w:val="1"/>
      <w:numFmt w:val="bullet"/>
      <w:lvlText w:val=""/>
      <w:lvlJc w:val="left"/>
      <w:pPr>
        <w:tabs>
          <w:tab w:val="num" w:pos="6480"/>
        </w:tabs>
        <w:ind w:left="6480" w:hanging="360"/>
      </w:pPr>
      <w:rPr>
        <w:rFonts w:ascii="Symbol" w:hAnsi="Symbol" w:hint="default"/>
      </w:rPr>
    </w:lvl>
  </w:abstractNum>
  <w:abstractNum w:abstractNumId="193" w15:restartNumberingAfterBreak="0">
    <w:nsid w:val="6E475D7B"/>
    <w:multiLevelType w:val="hybridMultilevel"/>
    <w:tmpl w:val="FC143ED6"/>
    <w:lvl w:ilvl="0" w:tplc="ED02EC92">
      <w:start w:val="1"/>
      <w:numFmt w:val="bullet"/>
      <w:lvlText w:val=""/>
      <w:lvlPicBulletId w:val="0"/>
      <w:lvlJc w:val="left"/>
      <w:pPr>
        <w:tabs>
          <w:tab w:val="num" w:pos="720"/>
        </w:tabs>
        <w:ind w:left="720" w:hanging="360"/>
      </w:pPr>
      <w:rPr>
        <w:rFonts w:ascii="Symbol" w:hAnsi="Symbol" w:hint="default"/>
      </w:rPr>
    </w:lvl>
    <w:lvl w:ilvl="1" w:tplc="36F6CAE2" w:tentative="1">
      <w:start w:val="1"/>
      <w:numFmt w:val="bullet"/>
      <w:lvlText w:val=""/>
      <w:lvlJc w:val="left"/>
      <w:pPr>
        <w:tabs>
          <w:tab w:val="num" w:pos="1440"/>
        </w:tabs>
        <w:ind w:left="1440" w:hanging="360"/>
      </w:pPr>
      <w:rPr>
        <w:rFonts w:ascii="Symbol" w:hAnsi="Symbol" w:hint="default"/>
      </w:rPr>
    </w:lvl>
    <w:lvl w:ilvl="2" w:tplc="C2DADFB0" w:tentative="1">
      <w:start w:val="1"/>
      <w:numFmt w:val="bullet"/>
      <w:lvlText w:val=""/>
      <w:lvlJc w:val="left"/>
      <w:pPr>
        <w:tabs>
          <w:tab w:val="num" w:pos="2160"/>
        </w:tabs>
        <w:ind w:left="2160" w:hanging="360"/>
      </w:pPr>
      <w:rPr>
        <w:rFonts w:ascii="Symbol" w:hAnsi="Symbol" w:hint="default"/>
      </w:rPr>
    </w:lvl>
    <w:lvl w:ilvl="3" w:tplc="E74022BE" w:tentative="1">
      <w:start w:val="1"/>
      <w:numFmt w:val="bullet"/>
      <w:lvlText w:val=""/>
      <w:lvlJc w:val="left"/>
      <w:pPr>
        <w:tabs>
          <w:tab w:val="num" w:pos="2880"/>
        </w:tabs>
        <w:ind w:left="2880" w:hanging="360"/>
      </w:pPr>
      <w:rPr>
        <w:rFonts w:ascii="Symbol" w:hAnsi="Symbol" w:hint="default"/>
      </w:rPr>
    </w:lvl>
    <w:lvl w:ilvl="4" w:tplc="150CDC48" w:tentative="1">
      <w:start w:val="1"/>
      <w:numFmt w:val="bullet"/>
      <w:lvlText w:val=""/>
      <w:lvlJc w:val="left"/>
      <w:pPr>
        <w:tabs>
          <w:tab w:val="num" w:pos="3600"/>
        </w:tabs>
        <w:ind w:left="3600" w:hanging="360"/>
      </w:pPr>
      <w:rPr>
        <w:rFonts w:ascii="Symbol" w:hAnsi="Symbol" w:hint="default"/>
      </w:rPr>
    </w:lvl>
    <w:lvl w:ilvl="5" w:tplc="365849AC" w:tentative="1">
      <w:start w:val="1"/>
      <w:numFmt w:val="bullet"/>
      <w:lvlText w:val=""/>
      <w:lvlJc w:val="left"/>
      <w:pPr>
        <w:tabs>
          <w:tab w:val="num" w:pos="4320"/>
        </w:tabs>
        <w:ind w:left="4320" w:hanging="360"/>
      </w:pPr>
      <w:rPr>
        <w:rFonts w:ascii="Symbol" w:hAnsi="Symbol" w:hint="default"/>
      </w:rPr>
    </w:lvl>
    <w:lvl w:ilvl="6" w:tplc="B60A36BE" w:tentative="1">
      <w:start w:val="1"/>
      <w:numFmt w:val="bullet"/>
      <w:lvlText w:val=""/>
      <w:lvlJc w:val="left"/>
      <w:pPr>
        <w:tabs>
          <w:tab w:val="num" w:pos="5040"/>
        </w:tabs>
        <w:ind w:left="5040" w:hanging="360"/>
      </w:pPr>
      <w:rPr>
        <w:rFonts w:ascii="Symbol" w:hAnsi="Symbol" w:hint="default"/>
      </w:rPr>
    </w:lvl>
    <w:lvl w:ilvl="7" w:tplc="6DF6EC90" w:tentative="1">
      <w:start w:val="1"/>
      <w:numFmt w:val="bullet"/>
      <w:lvlText w:val=""/>
      <w:lvlJc w:val="left"/>
      <w:pPr>
        <w:tabs>
          <w:tab w:val="num" w:pos="5760"/>
        </w:tabs>
        <w:ind w:left="5760" w:hanging="360"/>
      </w:pPr>
      <w:rPr>
        <w:rFonts w:ascii="Symbol" w:hAnsi="Symbol" w:hint="default"/>
      </w:rPr>
    </w:lvl>
    <w:lvl w:ilvl="8" w:tplc="CE589686" w:tentative="1">
      <w:start w:val="1"/>
      <w:numFmt w:val="bullet"/>
      <w:lvlText w:val=""/>
      <w:lvlJc w:val="left"/>
      <w:pPr>
        <w:tabs>
          <w:tab w:val="num" w:pos="6480"/>
        </w:tabs>
        <w:ind w:left="6480" w:hanging="360"/>
      </w:pPr>
      <w:rPr>
        <w:rFonts w:ascii="Symbol" w:hAnsi="Symbol" w:hint="default"/>
      </w:rPr>
    </w:lvl>
  </w:abstractNum>
  <w:abstractNum w:abstractNumId="194" w15:restartNumberingAfterBreak="0">
    <w:nsid w:val="6E701039"/>
    <w:multiLevelType w:val="hybridMultilevel"/>
    <w:tmpl w:val="1D92B77E"/>
    <w:lvl w:ilvl="0" w:tplc="E9FADA58">
      <w:start w:val="1"/>
      <w:numFmt w:val="bullet"/>
      <w:lvlText w:val=""/>
      <w:lvlPicBulletId w:val="0"/>
      <w:lvlJc w:val="left"/>
      <w:pPr>
        <w:tabs>
          <w:tab w:val="num" w:pos="720"/>
        </w:tabs>
        <w:ind w:left="720" w:hanging="360"/>
      </w:pPr>
      <w:rPr>
        <w:rFonts w:ascii="Symbol" w:hAnsi="Symbol" w:hint="default"/>
      </w:rPr>
    </w:lvl>
    <w:lvl w:ilvl="1" w:tplc="185A7FA6" w:tentative="1">
      <w:start w:val="1"/>
      <w:numFmt w:val="bullet"/>
      <w:lvlText w:val=""/>
      <w:lvlJc w:val="left"/>
      <w:pPr>
        <w:tabs>
          <w:tab w:val="num" w:pos="1440"/>
        </w:tabs>
        <w:ind w:left="1440" w:hanging="360"/>
      </w:pPr>
      <w:rPr>
        <w:rFonts w:ascii="Symbol" w:hAnsi="Symbol" w:hint="default"/>
      </w:rPr>
    </w:lvl>
    <w:lvl w:ilvl="2" w:tplc="9D346500" w:tentative="1">
      <w:start w:val="1"/>
      <w:numFmt w:val="bullet"/>
      <w:lvlText w:val=""/>
      <w:lvlJc w:val="left"/>
      <w:pPr>
        <w:tabs>
          <w:tab w:val="num" w:pos="2160"/>
        </w:tabs>
        <w:ind w:left="2160" w:hanging="360"/>
      </w:pPr>
      <w:rPr>
        <w:rFonts w:ascii="Symbol" w:hAnsi="Symbol" w:hint="default"/>
      </w:rPr>
    </w:lvl>
    <w:lvl w:ilvl="3" w:tplc="26804AF0" w:tentative="1">
      <w:start w:val="1"/>
      <w:numFmt w:val="bullet"/>
      <w:lvlText w:val=""/>
      <w:lvlJc w:val="left"/>
      <w:pPr>
        <w:tabs>
          <w:tab w:val="num" w:pos="2880"/>
        </w:tabs>
        <w:ind w:left="2880" w:hanging="360"/>
      </w:pPr>
      <w:rPr>
        <w:rFonts w:ascii="Symbol" w:hAnsi="Symbol" w:hint="default"/>
      </w:rPr>
    </w:lvl>
    <w:lvl w:ilvl="4" w:tplc="34C2432C" w:tentative="1">
      <w:start w:val="1"/>
      <w:numFmt w:val="bullet"/>
      <w:lvlText w:val=""/>
      <w:lvlJc w:val="left"/>
      <w:pPr>
        <w:tabs>
          <w:tab w:val="num" w:pos="3600"/>
        </w:tabs>
        <w:ind w:left="3600" w:hanging="360"/>
      </w:pPr>
      <w:rPr>
        <w:rFonts w:ascii="Symbol" w:hAnsi="Symbol" w:hint="default"/>
      </w:rPr>
    </w:lvl>
    <w:lvl w:ilvl="5" w:tplc="66C06E22" w:tentative="1">
      <w:start w:val="1"/>
      <w:numFmt w:val="bullet"/>
      <w:lvlText w:val=""/>
      <w:lvlJc w:val="left"/>
      <w:pPr>
        <w:tabs>
          <w:tab w:val="num" w:pos="4320"/>
        </w:tabs>
        <w:ind w:left="4320" w:hanging="360"/>
      </w:pPr>
      <w:rPr>
        <w:rFonts w:ascii="Symbol" w:hAnsi="Symbol" w:hint="default"/>
      </w:rPr>
    </w:lvl>
    <w:lvl w:ilvl="6" w:tplc="7D52325C" w:tentative="1">
      <w:start w:val="1"/>
      <w:numFmt w:val="bullet"/>
      <w:lvlText w:val=""/>
      <w:lvlJc w:val="left"/>
      <w:pPr>
        <w:tabs>
          <w:tab w:val="num" w:pos="5040"/>
        </w:tabs>
        <w:ind w:left="5040" w:hanging="360"/>
      </w:pPr>
      <w:rPr>
        <w:rFonts w:ascii="Symbol" w:hAnsi="Symbol" w:hint="default"/>
      </w:rPr>
    </w:lvl>
    <w:lvl w:ilvl="7" w:tplc="54E2C856" w:tentative="1">
      <w:start w:val="1"/>
      <w:numFmt w:val="bullet"/>
      <w:lvlText w:val=""/>
      <w:lvlJc w:val="left"/>
      <w:pPr>
        <w:tabs>
          <w:tab w:val="num" w:pos="5760"/>
        </w:tabs>
        <w:ind w:left="5760" w:hanging="360"/>
      </w:pPr>
      <w:rPr>
        <w:rFonts w:ascii="Symbol" w:hAnsi="Symbol" w:hint="default"/>
      </w:rPr>
    </w:lvl>
    <w:lvl w:ilvl="8" w:tplc="181C5DF0" w:tentative="1">
      <w:start w:val="1"/>
      <w:numFmt w:val="bullet"/>
      <w:lvlText w:val=""/>
      <w:lvlJc w:val="left"/>
      <w:pPr>
        <w:tabs>
          <w:tab w:val="num" w:pos="6480"/>
        </w:tabs>
        <w:ind w:left="6480" w:hanging="360"/>
      </w:pPr>
      <w:rPr>
        <w:rFonts w:ascii="Symbol" w:hAnsi="Symbol" w:hint="default"/>
      </w:rPr>
    </w:lvl>
  </w:abstractNum>
  <w:abstractNum w:abstractNumId="195" w15:restartNumberingAfterBreak="0">
    <w:nsid w:val="6E766668"/>
    <w:multiLevelType w:val="hybridMultilevel"/>
    <w:tmpl w:val="D556DCD2"/>
    <w:lvl w:ilvl="0" w:tplc="FC6ECCDA">
      <w:start w:val="1"/>
      <w:numFmt w:val="bullet"/>
      <w:lvlText w:val=""/>
      <w:lvlPicBulletId w:val="1"/>
      <w:lvlJc w:val="left"/>
      <w:pPr>
        <w:tabs>
          <w:tab w:val="num" w:pos="720"/>
        </w:tabs>
        <w:ind w:left="720" w:hanging="360"/>
      </w:pPr>
      <w:rPr>
        <w:rFonts w:ascii="Symbol" w:hAnsi="Symbol" w:hint="default"/>
      </w:rPr>
    </w:lvl>
    <w:lvl w:ilvl="1" w:tplc="7AC8CF4C" w:tentative="1">
      <w:start w:val="1"/>
      <w:numFmt w:val="bullet"/>
      <w:lvlText w:val=""/>
      <w:lvlJc w:val="left"/>
      <w:pPr>
        <w:tabs>
          <w:tab w:val="num" w:pos="1440"/>
        </w:tabs>
        <w:ind w:left="1440" w:hanging="360"/>
      </w:pPr>
      <w:rPr>
        <w:rFonts w:ascii="Symbol" w:hAnsi="Symbol" w:hint="default"/>
      </w:rPr>
    </w:lvl>
    <w:lvl w:ilvl="2" w:tplc="4C00074E" w:tentative="1">
      <w:start w:val="1"/>
      <w:numFmt w:val="bullet"/>
      <w:lvlText w:val=""/>
      <w:lvlJc w:val="left"/>
      <w:pPr>
        <w:tabs>
          <w:tab w:val="num" w:pos="2160"/>
        </w:tabs>
        <w:ind w:left="2160" w:hanging="360"/>
      </w:pPr>
      <w:rPr>
        <w:rFonts w:ascii="Symbol" w:hAnsi="Symbol" w:hint="default"/>
      </w:rPr>
    </w:lvl>
    <w:lvl w:ilvl="3" w:tplc="867A8B46" w:tentative="1">
      <w:start w:val="1"/>
      <w:numFmt w:val="bullet"/>
      <w:lvlText w:val=""/>
      <w:lvlJc w:val="left"/>
      <w:pPr>
        <w:tabs>
          <w:tab w:val="num" w:pos="2880"/>
        </w:tabs>
        <w:ind w:left="2880" w:hanging="360"/>
      </w:pPr>
      <w:rPr>
        <w:rFonts w:ascii="Symbol" w:hAnsi="Symbol" w:hint="default"/>
      </w:rPr>
    </w:lvl>
    <w:lvl w:ilvl="4" w:tplc="6260878C" w:tentative="1">
      <w:start w:val="1"/>
      <w:numFmt w:val="bullet"/>
      <w:lvlText w:val=""/>
      <w:lvlJc w:val="left"/>
      <w:pPr>
        <w:tabs>
          <w:tab w:val="num" w:pos="3600"/>
        </w:tabs>
        <w:ind w:left="3600" w:hanging="360"/>
      </w:pPr>
      <w:rPr>
        <w:rFonts w:ascii="Symbol" w:hAnsi="Symbol" w:hint="default"/>
      </w:rPr>
    </w:lvl>
    <w:lvl w:ilvl="5" w:tplc="72D02068" w:tentative="1">
      <w:start w:val="1"/>
      <w:numFmt w:val="bullet"/>
      <w:lvlText w:val=""/>
      <w:lvlJc w:val="left"/>
      <w:pPr>
        <w:tabs>
          <w:tab w:val="num" w:pos="4320"/>
        </w:tabs>
        <w:ind w:left="4320" w:hanging="360"/>
      </w:pPr>
      <w:rPr>
        <w:rFonts w:ascii="Symbol" w:hAnsi="Symbol" w:hint="default"/>
      </w:rPr>
    </w:lvl>
    <w:lvl w:ilvl="6" w:tplc="7E8E7920" w:tentative="1">
      <w:start w:val="1"/>
      <w:numFmt w:val="bullet"/>
      <w:lvlText w:val=""/>
      <w:lvlJc w:val="left"/>
      <w:pPr>
        <w:tabs>
          <w:tab w:val="num" w:pos="5040"/>
        </w:tabs>
        <w:ind w:left="5040" w:hanging="360"/>
      </w:pPr>
      <w:rPr>
        <w:rFonts w:ascii="Symbol" w:hAnsi="Symbol" w:hint="default"/>
      </w:rPr>
    </w:lvl>
    <w:lvl w:ilvl="7" w:tplc="32B6D2BE" w:tentative="1">
      <w:start w:val="1"/>
      <w:numFmt w:val="bullet"/>
      <w:lvlText w:val=""/>
      <w:lvlJc w:val="left"/>
      <w:pPr>
        <w:tabs>
          <w:tab w:val="num" w:pos="5760"/>
        </w:tabs>
        <w:ind w:left="5760" w:hanging="360"/>
      </w:pPr>
      <w:rPr>
        <w:rFonts w:ascii="Symbol" w:hAnsi="Symbol" w:hint="default"/>
      </w:rPr>
    </w:lvl>
    <w:lvl w:ilvl="8" w:tplc="792C1C14" w:tentative="1">
      <w:start w:val="1"/>
      <w:numFmt w:val="bullet"/>
      <w:lvlText w:val=""/>
      <w:lvlJc w:val="left"/>
      <w:pPr>
        <w:tabs>
          <w:tab w:val="num" w:pos="6480"/>
        </w:tabs>
        <w:ind w:left="6480" w:hanging="360"/>
      </w:pPr>
      <w:rPr>
        <w:rFonts w:ascii="Symbol" w:hAnsi="Symbol" w:hint="default"/>
      </w:rPr>
    </w:lvl>
  </w:abstractNum>
  <w:abstractNum w:abstractNumId="196" w15:restartNumberingAfterBreak="0">
    <w:nsid w:val="6E795E49"/>
    <w:multiLevelType w:val="hybridMultilevel"/>
    <w:tmpl w:val="DFEE6A1A"/>
    <w:lvl w:ilvl="0" w:tplc="EB4208DE">
      <w:start w:val="1"/>
      <w:numFmt w:val="bullet"/>
      <w:lvlText w:val=""/>
      <w:lvlPicBulletId w:val="1"/>
      <w:lvlJc w:val="left"/>
      <w:pPr>
        <w:tabs>
          <w:tab w:val="num" w:pos="720"/>
        </w:tabs>
        <w:ind w:left="720" w:hanging="360"/>
      </w:pPr>
      <w:rPr>
        <w:rFonts w:ascii="Symbol" w:hAnsi="Symbol" w:hint="default"/>
      </w:rPr>
    </w:lvl>
    <w:lvl w:ilvl="1" w:tplc="81A647C2" w:tentative="1">
      <w:start w:val="1"/>
      <w:numFmt w:val="bullet"/>
      <w:lvlText w:val=""/>
      <w:lvlJc w:val="left"/>
      <w:pPr>
        <w:tabs>
          <w:tab w:val="num" w:pos="1440"/>
        </w:tabs>
        <w:ind w:left="1440" w:hanging="360"/>
      </w:pPr>
      <w:rPr>
        <w:rFonts w:ascii="Symbol" w:hAnsi="Symbol" w:hint="default"/>
      </w:rPr>
    </w:lvl>
    <w:lvl w:ilvl="2" w:tplc="328EF210" w:tentative="1">
      <w:start w:val="1"/>
      <w:numFmt w:val="bullet"/>
      <w:lvlText w:val=""/>
      <w:lvlJc w:val="left"/>
      <w:pPr>
        <w:tabs>
          <w:tab w:val="num" w:pos="2160"/>
        </w:tabs>
        <w:ind w:left="2160" w:hanging="360"/>
      </w:pPr>
      <w:rPr>
        <w:rFonts w:ascii="Symbol" w:hAnsi="Symbol" w:hint="default"/>
      </w:rPr>
    </w:lvl>
    <w:lvl w:ilvl="3" w:tplc="DBB2EB2E" w:tentative="1">
      <w:start w:val="1"/>
      <w:numFmt w:val="bullet"/>
      <w:lvlText w:val=""/>
      <w:lvlJc w:val="left"/>
      <w:pPr>
        <w:tabs>
          <w:tab w:val="num" w:pos="2880"/>
        </w:tabs>
        <w:ind w:left="2880" w:hanging="360"/>
      </w:pPr>
      <w:rPr>
        <w:rFonts w:ascii="Symbol" w:hAnsi="Symbol" w:hint="default"/>
      </w:rPr>
    </w:lvl>
    <w:lvl w:ilvl="4" w:tplc="C2F00918" w:tentative="1">
      <w:start w:val="1"/>
      <w:numFmt w:val="bullet"/>
      <w:lvlText w:val=""/>
      <w:lvlJc w:val="left"/>
      <w:pPr>
        <w:tabs>
          <w:tab w:val="num" w:pos="3600"/>
        </w:tabs>
        <w:ind w:left="3600" w:hanging="360"/>
      </w:pPr>
      <w:rPr>
        <w:rFonts w:ascii="Symbol" w:hAnsi="Symbol" w:hint="default"/>
      </w:rPr>
    </w:lvl>
    <w:lvl w:ilvl="5" w:tplc="419A2812" w:tentative="1">
      <w:start w:val="1"/>
      <w:numFmt w:val="bullet"/>
      <w:lvlText w:val=""/>
      <w:lvlJc w:val="left"/>
      <w:pPr>
        <w:tabs>
          <w:tab w:val="num" w:pos="4320"/>
        </w:tabs>
        <w:ind w:left="4320" w:hanging="360"/>
      </w:pPr>
      <w:rPr>
        <w:rFonts w:ascii="Symbol" w:hAnsi="Symbol" w:hint="default"/>
      </w:rPr>
    </w:lvl>
    <w:lvl w:ilvl="6" w:tplc="92961210" w:tentative="1">
      <w:start w:val="1"/>
      <w:numFmt w:val="bullet"/>
      <w:lvlText w:val=""/>
      <w:lvlJc w:val="left"/>
      <w:pPr>
        <w:tabs>
          <w:tab w:val="num" w:pos="5040"/>
        </w:tabs>
        <w:ind w:left="5040" w:hanging="360"/>
      </w:pPr>
      <w:rPr>
        <w:rFonts w:ascii="Symbol" w:hAnsi="Symbol" w:hint="default"/>
      </w:rPr>
    </w:lvl>
    <w:lvl w:ilvl="7" w:tplc="51AEFA2E" w:tentative="1">
      <w:start w:val="1"/>
      <w:numFmt w:val="bullet"/>
      <w:lvlText w:val=""/>
      <w:lvlJc w:val="left"/>
      <w:pPr>
        <w:tabs>
          <w:tab w:val="num" w:pos="5760"/>
        </w:tabs>
        <w:ind w:left="5760" w:hanging="360"/>
      </w:pPr>
      <w:rPr>
        <w:rFonts w:ascii="Symbol" w:hAnsi="Symbol" w:hint="default"/>
      </w:rPr>
    </w:lvl>
    <w:lvl w:ilvl="8" w:tplc="47BECE32" w:tentative="1">
      <w:start w:val="1"/>
      <w:numFmt w:val="bullet"/>
      <w:lvlText w:val=""/>
      <w:lvlJc w:val="left"/>
      <w:pPr>
        <w:tabs>
          <w:tab w:val="num" w:pos="6480"/>
        </w:tabs>
        <w:ind w:left="6480" w:hanging="360"/>
      </w:pPr>
      <w:rPr>
        <w:rFonts w:ascii="Symbol" w:hAnsi="Symbol" w:hint="default"/>
      </w:rPr>
    </w:lvl>
  </w:abstractNum>
  <w:abstractNum w:abstractNumId="197" w15:restartNumberingAfterBreak="0">
    <w:nsid w:val="6F596A34"/>
    <w:multiLevelType w:val="hybridMultilevel"/>
    <w:tmpl w:val="D1E24E2C"/>
    <w:lvl w:ilvl="0" w:tplc="08D2AB58">
      <w:start w:val="1"/>
      <w:numFmt w:val="bullet"/>
      <w:lvlText w:val="&gt;"/>
      <w:lvlJc w:val="left"/>
      <w:pPr>
        <w:ind w:left="360" w:hanging="360"/>
      </w:pPr>
      <w:rPr>
        <w:rFonts w:ascii="HelveticaNeueLT Std Lt" w:hAnsi="HelveticaNeueLT Std Lt"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8" w15:restartNumberingAfterBreak="0">
    <w:nsid w:val="6FAE27D1"/>
    <w:multiLevelType w:val="hybridMultilevel"/>
    <w:tmpl w:val="88C46060"/>
    <w:lvl w:ilvl="0" w:tplc="C72EA978">
      <w:start w:val="1"/>
      <w:numFmt w:val="bullet"/>
      <w:lvlText w:val=""/>
      <w:lvlPicBulletId w:val="0"/>
      <w:lvlJc w:val="left"/>
      <w:pPr>
        <w:tabs>
          <w:tab w:val="num" w:pos="720"/>
        </w:tabs>
        <w:ind w:left="720" w:hanging="360"/>
      </w:pPr>
      <w:rPr>
        <w:rFonts w:ascii="Symbol" w:hAnsi="Symbol" w:hint="default"/>
      </w:rPr>
    </w:lvl>
    <w:lvl w:ilvl="1" w:tplc="006444E6" w:tentative="1">
      <w:start w:val="1"/>
      <w:numFmt w:val="bullet"/>
      <w:lvlText w:val=""/>
      <w:lvlJc w:val="left"/>
      <w:pPr>
        <w:tabs>
          <w:tab w:val="num" w:pos="1440"/>
        </w:tabs>
        <w:ind w:left="1440" w:hanging="360"/>
      </w:pPr>
      <w:rPr>
        <w:rFonts w:ascii="Symbol" w:hAnsi="Symbol" w:hint="default"/>
      </w:rPr>
    </w:lvl>
    <w:lvl w:ilvl="2" w:tplc="84B0F906" w:tentative="1">
      <w:start w:val="1"/>
      <w:numFmt w:val="bullet"/>
      <w:lvlText w:val=""/>
      <w:lvlJc w:val="left"/>
      <w:pPr>
        <w:tabs>
          <w:tab w:val="num" w:pos="2160"/>
        </w:tabs>
        <w:ind w:left="2160" w:hanging="360"/>
      </w:pPr>
      <w:rPr>
        <w:rFonts w:ascii="Symbol" w:hAnsi="Symbol" w:hint="default"/>
      </w:rPr>
    </w:lvl>
    <w:lvl w:ilvl="3" w:tplc="1C16DE1A" w:tentative="1">
      <w:start w:val="1"/>
      <w:numFmt w:val="bullet"/>
      <w:lvlText w:val=""/>
      <w:lvlJc w:val="left"/>
      <w:pPr>
        <w:tabs>
          <w:tab w:val="num" w:pos="2880"/>
        </w:tabs>
        <w:ind w:left="2880" w:hanging="360"/>
      </w:pPr>
      <w:rPr>
        <w:rFonts w:ascii="Symbol" w:hAnsi="Symbol" w:hint="default"/>
      </w:rPr>
    </w:lvl>
    <w:lvl w:ilvl="4" w:tplc="367CB52C" w:tentative="1">
      <w:start w:val="1"/>
      <w:numFmt w:val="bullet"/>
      <w:lvlText w:val=""/>
      <w:lvlJc w:val="left"/>
      <w:pPr>
        <w:tabs>
          <w:tab w:val="num" w:pos="3600"/>
        </w:tabs>
        <w:ind w:left="3600" w:hanging="360"/>
      </w:pPr>
      <w:rPr>
        <w:rFonts w:ascii="Symbol" w:hAnsi="Symbol" w:hint="default"/>
      </w:rPr>
    </w:lvl>
    <w:lvl w:ilvl="5" w:tplc="E1EA57AA" w:tentative="1">
      <w:start w:val="1"/>
      <w:numFmt w:val="bullet"/>
      <w:lvlText w:val=""/>
      <w:lvlJc w:val="left"/>
      <w:pPr>
        <w:tabs>
          <w:tab w:val="num" w:pos="4320"/>
        </w:tabs>
        <w:ind w:left="4320" w:hanging="360"/>
      </w:pPr>
      <w:rPr>
        <w:rFonts w:ascii="Symbol" w:hAnsi="Symbol" w:hint="default"/>
      </w:rPr>
    </w:lvl>
    <w:lvl w:ilvl="6" w:tplc="6628A0EC" w:tentative="1">
      <w:start w:val="1"/>
      <w:numFmt w:val="bullet"/>
      <w:lvlText w:val=""/>
      <w:lvlJc w:val="left"/>
      <w:pPr>
        <w:tabs>
          <w:tab w:val="num" w:pos="5040"/>
        </w:tabs>
        <w:ind w:left="5040" w:hanging="360"/>
      </w:pPr>
      <w:rPr>
        <w:rFonts w:ascii="Symbol" w:hAnsi="Symbol" w:hint="default"/>
      </w:rPr>
    </w:lvl>
    <w:lvl w:ilvl="7" w:tplc="094E53EA" w:tentative="1">
      <w:start w:val="1"/>
      <w:numFmt w:val="bullet"/>
      <w:lvlText w:val=""/>
      <w:lvlJc w:val="left"/>
      <w:pPr>
        <w:tabs>
          <w:tab w:val="num" w:pos="5760"/>
        </w:tabs>
        <w:ind w:left="5760" w:hanging="360"/>
      </w:pPr>
      <w:rPr>
        <w:rFonts w:ascii="Symbol" w:hAnsi="Symbol" w:hint="default"/>
      </w:rPr>
    </w:lvl>
    <w:lvl w:ilvl="8" w:tplc="D2DE3EB0" w:tentative="1">
      <w:start w:val="1"/>
      <w:numFmt w:val="bullet"/>
      <w:lvlText w:val=""/>
      <w:lvlJc w:val="left"/>
      <w:pPr>
        <w:tabs>
          <w:tab w:val="num" w:pos="6480"/>
        </w:tabs>
        <w:ind w:left="6480" w:hanging="360"/>
      </w:pPr>
      <w:rPr>
        <w:rFonts w:ascii="Symbol" w:hAnsi="Symbol" w:hint="default"/>
      </w:rPr>
    </w:lvl>
  </w:abstractNum>
  <w:abstractNum w:abstractNumId="199" w15:restartNumberingAfterBreak="0">
    <w:nsid w:val="71BF72E1"/>
    <w:multiLevelType w:val="hybridMultilevel"/>
    <w:tmpl w:val="D190F7D8"/>
    <w:lvl w:ilvl="0" w:tplc="ED266384">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0" w15:restartNumberingAfterBreak="0">
    <w:nsid w:val="72DE0DEA"/>
    <w:multiLevelType w:val="hybridMultilevel"/>
    <w:tmpl w:val="E82C8002"/>
    <w:lvl w:ilvl="0" w:tplc="688E8B26">
      <w:start w:val="1"/>
      <w:numFmt w:val="bullet"/>
      <w:lvlText w:val=""/>
      <w:lvlPicBulletId w:val="1"/>
      <w:lvlJc w:val="left"/>
      <w:pPr>
        <w:tabs>
          <w:tab w:val="num" w:pos="720"/>
        </w:tabs>
        <w:ind w:left="720" w:hanging="360"/>
      </w:pPr>
      <w:rPr>
        <w:rFonts w:ascii="Symbol" w:hAnsi="Symbol" w:hint="default"/>
      </w:rPr>
    </w:lvl>
    <w:lvl w:ilvl="1" w:tplc="CFA22772" w:tentative="1">
      <w:start w:val="1"/>
      <w:numFmt w:val="bullet"/>
      <w:lvlText w:val=""/>
      <w:lvlJc w:val="left"/>
      <w:pPr>
        <w:tabs>
          <w:tab w:val="num" w:pos="1440"/>
        </w:tabs>
        <w:ind w:left="1440" w:hanging="360"/>
      </w:pPr>
      <w:rPr>
        <w:rFonts w:ascii="Symbol" w:hAnsi="Symbol" w:hint="default"/>
      </w:rPr>
    </w:lvl>
    <w:lvl w:ilvl="2" w:tplc="8670FBE6" w:tentative="1">
      <w:start w:val="1"/>
      <w:numFmt w:val="bullet"/>
      <w:lvlText w:val=""/>
      <w:lvlJc w:val="left"/>
      <w:pPr>
        <w:tabs>
          <w:tab w:val="num" w:pos="2160"/>
        </w:tabs>
        <w:ind w:left="2160" w:hanging="360"/>
      </w:pPr>
      <w:rPr>
        <w:rFonts w:ascii="Symbol" w:hAnsi="Symbol" w:hint="default"/>
      </w:rPr>
    </w:lvl>
    <w:lvl w:ilvl="3" w:tplc="3CEA4480" w:tentative="1">
      <w:start w:val="1"/>
      <w:numFmt w:val="bullet"/>
      <w:lvlText w:val=""/>
      <w:lvlJc w:val="left"/>
      <w:pPr>
        <w:tabs>
          <w:tab w:val="num" w:pos="2880"/>
        </w:tabs>
        <w:ind w:left="2880" w:hanging="360"/>
      </w:pPr>
      <w:rPr>
        <w:rFonts w:ascii="Symbol" w:hAnsi="Symbol" w:hint="default"/>
      </w:rPr>
    </w:lvl>
    <w:lvl w:ilvl="4" w:tplc="798C6E0A" w:tentative="1">
      <w:start w:val="1"/>
      <w:numFmt w:val="bullet"/>
      <w:lvlText w:val=""/>
      <w:lvlJc w:val="left"/>
      <w:pPr>
        <w:tabs>
          <w:tab w:val="num" w:pos="3600"/>
        </w:tabs>
        <w:ind w:left="3600" w:hanging="360"/>
      </w:pPr>
      <w:rPr>
        <w:rFonts w:ascii="Symbol" w:hAnsi="Symbol" w:hint="default"/>
      </w:rPr>
    </w:lvl>
    <w:lvl w:ilvl="5" w:tplc="F7B6C6BC" w:tentative="1">
      <w:start w:val="1"/>
      <w:numFmt w:val="bullet"/>
      <w:lvlText w:val=""/>
      <w:lvlJc w:val="left"/>
      <w:pPr>
        <w:tabs>
          <w:tab w:val="num" w:pos="4320"/>
        </w:tabs>
        <w:ind w:left="4320" w:hanging="360"/>
      </w:pPr>
      <w:rPr>
        <w:rFonts w:ascii="Symbol" w:hAnsi="Symbol" w:hint="default"/>
      </w:rPr>
    </w:lvl>
    <w:lvl w:ilvl="6" w:tplc="D3305296" w:tentative="1">
      <w:start w:val="1"/>
      <w:numFmt w:val="bullet"/>
      <w:lvlText w:val=""/>
      <w:lvlJc w:val="left"/>
      <w:pPr>
        <w:tabs>
          <w:tab w:val="num" w:pos="5040"/>
        </w:tabs>
        <w:ind w:left="5040" w:hanging="360"/>
      </w:pPr>
      <w:rPr>
        <w:rFonts w:ascii="Symbol" w:hAnsi="Symbol" w:hint="default"/>
      </w:rPr>
    </w:lvl>
    <w:lvl w:ilvl="7" w:tplc="9CB0A5E4" w:tentative="1">
      <w:start w:val="1"/>
      <w:numFmt w:val="bullet"/>
      <w:lvlText w:val=""/>
      <w:lvlJc w:val="left"/>
      <w:pPr>
        <w:tabs>
          <w:tab w:val="num" w:pos="5760"/>
        </w:tabs>
        <w:ind w:left="5760" w:hanging="360"/>
      </w:pPr>
      <w:rPr>
        <w:rFonts w:ascii="Symbol" w:hAnsi="Symbol" w:hint="default"/>
      </w:rPr>
    </w:lvl>
    <w:lvl w:ilvl="8" w:tplc="A814A536" w:tentative="1">
      <w:start w:val="1"/>
      <w:numFmt w:val="bullet"/>
      <w:lvlText w:val=""/>
      <w:lvlJc w:val="left"/>
      <w:pPr>
        <w:tabs>
          <w:tab w:val="num" w:pos="6480"/>
        </w:tabs>
        <w:ind w:left="6480" w:hanging="360"/>
      </w:pPr>
      <w:rPr>
        <w:rFonts w:ascii="Symbol" w:hAnsi="Symbol" w:hint="default"/>
      </w:rPr>
    </w:lvl>
  </w:abstractNum>
  <w:abstractNum w:abstractNumId="201" w15:restartNumberingAfterBreak="0">
    <w:nsid w:val="731B1F98"/>
    <w:multiLevelType w:val="hybridMultilevel"/>
    <w:tmpl w:val="9F6681F6"/>
    <w:lvl w:ilvl="0" w:tplc="7C22A9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2" w15:restartNumberingAfterBreak="0">
    <w:nsid w:val="743854EE"/>
    <w:multiLevelType w:val="hybridMultilevel"/>
    <w:tmpl w:val="D29054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3" w15:restartNumberingAfterBreak="0">
    <w:nsid w:val="74482F6F"/>
    <w:multiLevelType w:val="hybridMultilevel"/>
    <w:tmpl w:val="CF2C7284"/>
    <w:lvl w:ilvl="0" w:tplc="C3E00D6E">
      <w:start w:val="1"/>
      <w:numFmt w:val="bullet"/>
      <w:lvlText w:val=""/>
      <w:lvlPicBulletId w:val="1"/>
      <w:lvlJc w:val="left"/>
      <w:pPr>
        <w:tabs>
          <w:tab w:val="num" w:pos="720"/>
        </w:tabs>
        <w:ind w:left="720" w:hanging="360"/>
      </w:pPr>
      <w:rPr>
        <w:rFonts w:ascii="Symbol" w:hAnsi="Symbol" w:hint="default"/>
      </w:rPr>
    </w:lvl>
    <w:lvl w:ilvl="1" w:tplc="7DC69652" w:tentative="1">
      <w:start w:val="1"/>
      <w:numFmt w:val="bullet"/>
      <w:lvlText w:val=""/>
      <w:lvlJc w:val="left"/>
      <w:pPr>
        <w:tabs>
          <w:tab w:val="num" w:pos="1440"/>
        </w:tabs>
        <w:ind w:left="1440" w:hanging="360"/>
      </w:pPr>
      <w:rPr>
        <w:rFonts w:ascii="Symbol" w:hAnsi="Symbol" w:hint="default"/>
      </w:rPr>
    </w:lvl>
    <w:lvl w:ilvl="2" w:tplc="308CFB96" w:tentative="1">
      <w:start w:val="1"/>
      <w:numFmt w:val="bullet"/>
      <w:lvlText w:val=""/>
      <w:lvlJc w:val="left"/>
      <w:pPr>
        <w:tabs>
          <w:tab w:val="num" w:pos="2160"/>
        </w:tabs>
        <w:ind w:left="2160" w:hanging="360"/>
      </w:pPr>
      <w:rPr>
        <w:rFonts w:ascii="Symbol" w:hAnsi="Symbol" w:hint="default"/>
      </w:rPr>
    </w:lvl>
    <w:lvl w:ilvl="3" w:tplc="5068FAE6" w:tentative="1">
      <w:start w:val="1"/>
      <w:numFmt w:val="bullet"/>
      <w:lvlText w:val=""/>
      <w:lvlJc w:val="left"/>
      <w:pPr>
        <w:tabs>
          <w:tab w:val="num" w:pos="2880"/>
        </w:tabs>
        <w:ind w:left="2880" w:hanging="360"/>
      </w:pPr>
      <w:rPr>
        <w:rFonts w:ascii="Symbol" w:hAnsi="Symbol" w:hint="default"/>
      </w:rPr>
    </w:lvl>
    <w:lvl w:ilvl="4" w:tplc="F606DA12" w:tentative="1">
      <w:start w:val="1"/>
      <w:numFmt w:val="bullet"/>
      <w:lvlText w:val=""/>
      <w:lvlJc w:val="left"/>
      <w:pPr>
        <w:tabs>
          <w:tab w:val="num" w:pos="3600"/>
        </w:tabs>
        <w:ind w:left="3600" w:hanging="360"/>
      </w:pPr>
      <w:rPr>
        <w:rFonts w:ascii="Symbol" w:hAnsi="Symbol" w:hint="default"/>
      </w:rPr>
    </w:lvl>
    <w:lvl w:ilvl="5" w:tplc="698A7560" w:tentative="1">
      <w:start w:val="1"/>
      <w:numFmt w:val="bullet"/>
      <w:lvlText w:val=""/>
      <w:lvlJc w:val="left"/>
      <w:pPr>
        <w:tabs>
          <w:tab w:val="num" w:pos="4320"/>
        </w:tabs>
        <w:ind w:left="4320" w:hanging="360"/>
      </w:pPr>
      <w:rPr>
        <w:rFonts w:ascii="Symbol" w:hAnsi="Symbol" w:hint="default"/>
      </w:rPr>
    </w:lvl>
    <w:lvl w:ilvl="6" w:tplc="5B7886B0" w:tentative="1">
      <w:start w:val="1"/>
      <w:numFmt w:val="bullet"/>
      <w:lvlText w:val=""/>
      <w:lvlJc w:val="left"/>
      <w:pPr>
        <w:tabs>
          <w:tab w:val="num" w:pos="5040"/>
        </w:tabs>
        <w:ind w:left="5040" w:hanging="360"/>
      </w:pPr>
      <w:rPr>
        <w:rFonts w:ascii="Symbol" w:hAnsi="Symbol" w:hint="default"/>
      </w:rPr>
    </w:lvl>
    <w:lvl w:ilvl="7" w:tplc="757C9D58" w:tentative="1">
      <w:start w:val="1"/>
      <w:numFmt w:val="bullet"/>
      <w:lvlText w:val=""/>
      <w:lvlJc w:val="left"/>
      <w:pPr>
        <w:tabs>
          <w:tab w:val="num" w:pos="5760"/>
        </w:tabs>
        <w:ind w:left="5760" w:hanging="360"/>
      </w:pPr>
      <w:rPr>
        <w:rFonts w:ascii="Symbol" w:hAnsi="Symbol" w:hint="default"/>
      </w:rPr>
    </w:lvl>
    <w:lvl w:ilvl="8" w:tplc="D5A00718" w:tentative="1">
      <w:start w:val="1"/>
      <w:numFmt w:val="bullet"/>
      <w:lvlText w:val=""/>
      <w:lvlJc w:val="left"/>
      <w:pPr>
        <w:tabs>
          <w:tab w:val="num" w:pos="6480"/>
        </w:tabs>
        <w:ind w:left="6480" w:hanging="360"/>
      </w:pPr>
      <w:rPr>
        <w:rFonts w:ascii="Symbol" w:hAnsi="Symbol" w:hint="default"/>
      </w:rPr>
    </w:lvl>
  </w:abstractNum>
  <w:abstractNum w:abstractNumId="204" w15:restartNumberingAfterBreak="0">
    <w:nsid w:val="74C16C0B"/>
    <w:multiLevelType w:val="hybridMultilevel"/>
    <w:tmpl w:val="60088398"/>
    <w:lvl w:ilvl="0" w:tplc="080865CC">
      <w:start w:val="1"/>
      <w:numFmt w:val="bullet"/>
      <w:lvlText w:val=""/>
      <w:lvlPicBulletId w:val="1"/>
      <w:lvlJc w:val="left"/>
      <w:pPr>
        <w:tabs>
          <w:tab w:val="num" w:pos="720"/>
        </w:tabs>
        <w:ind w:left="720" w:hanging="360"/>
      </w:pPr>
      <w:rPr>
        <w:rFonts w:ascii="Symbol" w:hAnsi="Symbol" w:hint="default"/>
      </w:rPr>
    </w:lvl>
    <w:lvl w:ilvl="1" w:tplc="A3AC82EA" w:tentative="1">
      <w:start w:val="1"/>
      <w:numFmt w:val="bullet"/>
      <w:lvlText w:val=""/>
      <w:lvlJc w:val="left"/>
      <w:pPr>
        <w:tabs>
          <w:tab w:val="num" w:pos="1440"/>
        </w:tabs>
        <w:ind w:left="1440" w:hanging="360"/>
      </w:pPr>
      <w:rPr>
        <w:rFonts w:ascii="Symbol" w:hAnsi="Symbol" w:hint="default"/>
      </w:rPr>
    </w:lvl>
    <w:lvl w:ilvl="2" w:tplc="C7965D18" w:tentative="1">
      <w:start w:val="1"/>
      <w:numFmt w:val="bullet"/>
      <w:lvlText w:val=""/>
      <w:lvlJc w:val="left"/>
      <w:pPr>
        <w:tabs>
          <w:tab w:val="num" w:pos="2160"/>
        </w:tabs>
        <w:ind w:left="2160" w:hanging="360"/>
      </w:pPr>
      <w:rPr>
        <w:rFonts w:ascii="Symbol" w:hAnsi="Symbol" w:hint="default"/>
      </w:rPr>
    </w:lvl>
    <w:lvl w:ilvl="3" w:tplc="D8501D82" w:tentative="1">
      <w:start w:val="1"/>
      <w:numFmt w:val="bullet"/>
      <w:lvlText w:val=""/>
      <w:lvlJc w:val="left"/>
      <w:pPr>
        <w:tabs>
          <w:tab w:val="num" w:pos="2880"/>
        </w:tabs>
        <w:ind w:left="2880" w:hanging="360"/>
      </w:pPr>
      <w:rPr>
        <w:rFonts w:ascii="Symbol" w:hAnsi="Symbol" w:hint="default"/>
      </w:rPr>
    </w:lvl>
    <w:lvl w:ilvl="4" w:tplc="53346BF8" w:tentative="1">
      <w:start w:val="1"/>
      <w:numFmt w:val="bullet"/>
      <w:lvlText w:val=""/>
      <w:lvlJc w:val="left"/>
      <w:pPr>
        <w:tabs>
          <w:tab w:val="num" w:pos="3600"/>
        </w:tabs>
        <w:ind w:left="3600" w:hanging="360"/>
      </w:pPr>
      <w:rPr>
        <w:rFonts w:ascii="Symbol" w:hAnsi="Symbol" w:hint="default"/>
      </w:rPr>
    </w:lvl>
    <w:lvl w:ilvl="5" w:tplc="66AC2E38" w:tentative="1">
      <w:start w:val="1"/>
      <w:numFmt w:val="bullet"/>
      <w:lvlText w:val=""/>
      <w:lvlJc w:val="left"/>
      <w:pPr>
        <w:tabs>
          <w:tab w:val="num" w:pos="4320"/>
        </w:tabs>
        <w:ind w:left="4320" w:hanging="360"/>
      </w:pPr>
      <w:rPr>
        <w:rFonts w:ascii="Symbol" w:hAnsi="Symbol" w:hint="default"/>
      </w:rPr>
    </w:lvl>
    <w:lvl w:ilvl="6" w:tplc="A55C2EE4" w:tentative="1">
      <w:start w:val="1"/>
      <w:numFmt w:val="bullet"/>
      <w:lvlText w:val=""/>
      <w:lvlJc w:val="left"/>
      <w:pPr>
        <w:tabs>
          <w:tab w:val="num" w:pos="5040"/>
        </w:tabs>
        <w:ind w:left="5040" w:hanging="360"/>
      </w:pPr>
      <w:rPr>
        <w:rFonts w:ascii="Symbol" w:hAnsi="Symbol" w:hint="default"/>
      </w:rPr>
    </w:lvl>
    <w:lvl w:ilvl="7" w:tplc="596CEA00" w:tentative="1">
      <w:start w:val="1"/>
      <w:numFmt w:val="bullet"/>
      <w:lvlText w:val=""/>
      <w:lvlJc w:val="left"/>
      <w:pPr>
        <w:tabs>
          <w:tab w:val="num" w:pos="5760"/>
        </w:tabs>
        <w:ind w:left="5760" w:hanging="360"/>
      </w:pPr>
      <w:rPr>
        <w:rFonts w:ascii="Symbol" w:hAnsi="Symbol" w:hint="default"/>
      </w:rPr>
    </w:lvl>
    <w:lvl w:ilvl="8" w:tplc="C598DB9A" w:tentative="1">
      <w:start w:val="1"/>
      <w:numFmt w:val="bullet"/>
      <w:lvlText w:val=""/>
      <w:lvlJc w:val="left"/>
      <w:pPr>
        <w:tabs>
          <w:tab w:val="num" w:pos="6480"/>
        </w:tabs>
        <w:ind w:left="6480" w:hanging="360"/>
      </w:pPr>
      <w:rPr>
        <w:rFonts w:ascii="Symbol" w:hAnsi="Symbol" w:hint="default"/>
      </w:rPr>
    </w:lvl>
  </w:abstractNum>
  <w:abstractNum w:abstractNumId="205" w15:restartNumberingAfterBreak="0">
    <w:nsid w:val="753366E2"/>
    <w:multiLevelType w:val="hybridMultilevel"/>
    <w:tmpl w:val="650AC10A"/>
    <w:lvl w:ilvl="0" w:tplc="25B05ACE">
      <w:start w:val="1"/>
      <w:numFmt w:val="bullet"/>
      <w:lvlText w:val=""/>
      <w:lvlPicBulletId w:val="1"/>
      <w:lvlJc w:val="left"/>
      <w:pPr>
        <w:tabs>
          <w:tab w:val="num" w:pos="720"/>
        </w:tabs>
        <w:ind w:left="720" w:hanging="360"/>
      </w:pPr>
      <w:rPr>
        <w:rFonts w:ascii="Symbol" w:hAnsi="Symbol" w:hint="default"/>
      </w:rPr>
    </w:lvl>
    <w:lvl w:ilvl="1" w:tplc="E2906A40" w:tentative="1">
      <w:start w:val="1"/>
      <w:numFmt w:val="bullet"/>
      <w:lvlText w:val=""/>
      <w:lvlJc w:val="left"/>
      <w:pPr>
        <w:tabs>
          <w:tab w:val="num" w:pos="1440"/>
        </w:tabs>
        <w:ind w:left="1440" w:hanging="360"/>
      </w:pPr>
      <w:rPr>
        <w:rFonts w:ascii="Symbol" w:hAnsi="Symbol" w:hint="default"/>
      </w:rPr>
    </w:lvl>
    <w:lvl w:ilvl="2" w:tplc="746026D4" w:tentative="1">
      <w:start w:val="1"/>
      <w:numFmt w:val="bullet"/>
      <w:lvlText w:val=""/>
      <w:lvlJc w:val="left"/>
      <w:pPr>
        <w:tabs>
          <w:tab w:val="num" w:pos="2160"/>
        </w:tabs>
        <w:ind w:left="2160" w:hanging="360"/>
      </w:pPr>
      <w:rPr>
        <w:rFonts w:ascii="Symbol" w:hAnsi="Symbol" w:hint="default"/>
      </w:rPr>
    </w:lvl>
    <w:lvl w:ilvl="3" w:tplc="DB82CB72" w:tentative="1">
      <w:start w:val="1"/>
      <w:numFmt w:val="bullet"/>
      <w:lvlText w:val=""/>
      <w:lvlJc w:val="left"/>
      <w:pPr>
        <w:tabs>
          <w:tab w:val="num" w:pos="2880"/>
        </w:tabs>
        <w:ind w:left="2880" w:hanging="360"/>
      </w:pPr>
      <w:rPr>
        <w:rFonts w:ascii="Symbol" w:hAnsi="Symbol" w:hint="default"/>
      </w:rPr>
    </w:lvl>
    <w:lvl w:ilvl="4" w:tplc="9006A0E6" w:tentative="1">
      <w:start w:val="1"/>
      <w:numFmt w:val="bullet"/>
      <w:lvlText w:val=""/>
      <w:lvlJc w:val="left"/>
      <w:pPr>
        <w:tabs>
          <w:tab w:val="num" w:pos="3600"/>
        </w:tabs>
        <w:ind w:left="3600" w:hanging="360"/>
      </w:pPr>
      <w:rPr>
        <w:rFonts w:ascii="Symbol" w:hAnsi="Symbol" w:hint="default"/>
      </w:rPr>
    </w:lvl>
    <w:lvl w:ilvl="5" w:tplc="1256AC1E" w:tentative="1">
      <w:start w:val="1"/>
      <w:numFmt w:val="bullet"/>
      <w:lvlText w:val=""/>
      <w:lvlJc w:val="left"/>
      <w:pPr>
        <w:tabs>
          <w:tab w:val="num" w:pos="4320"/>
        </w:tabs>
        <w:ind w:left="4320" w:hanging="360"/>
      </w:pPr>
      <w:rPr>
        <w:rFonts w:ascii="Symbol" w:hAnsi="Symbol" w:hint="default"/>
      </w:rPr>
    </w:lvl>
    <w:lvl w:ilvl="6" w:tplc="79287BDC" w:tentative="1">
      <w:start w:val="1"/>
      <w:numFmt w:val="bullet"/>
      <w:lvlText w:val=""/>
      <w:lvlJc w:val="left"/>
      <w:pPr>
        <w:tabs>
          <w:tab w:val="num" w:pos="5040"/>
        </w:tabs>
        <w:ind w:left="5040" w:hanging="360"/>
      </w:pPr>
      <w:rPr>
        <w:rFonts w:ascii="Symbol" w:hAnsi="Symbol" w:hint="default"/>
      </w:rPr>
    </w:lvl>
    <w:lvl w:ilvl="7" w:tplc="277659D0" w:tentative="1">
      <w:start w:val="1"/>
      <w:numFmt w:val="bullet"/>
      <w:lvlText w:val=""/>
      <w:lvlJc w:val="left"/>
      <w:pPr>
        <w:tabs>
          <w:tab w:val="num" w:pos="5760"/>
        </w:tabs>
        <w:ind w:left="5760" w:hanging="360"/>
      </w:pPr>
      <w:rPr>
        <w:rFonts w:ascii="Symbol" w:hAnsi="Symbol" w:hint="default"/>
      </w:rPr>
    </w:lvl>
    <w:lvl w:ilvl="8" w:tplc="FD1A8E4A" w:tentative="1">
      <w:start w:val="1"/>
      <w:numFmt w:val="bullet"/>
      <w:lvlText w:val=""/>
      <w:lvlJc w:val="left"/>
      <w:pPr>
        <w:tabs>
          <w:tab w:val="num" w:pos="6480"/>
        </w:tabs>
        <w:ind w:left="6480" w:hanging="360"/>
      </w:pPr>
      <w:rPr>
        <w:rFonts w:ascii="Symbol" w:hAnsi="Symbol" w:hint="default"/>
      </w:rPr>
    </w:lvl>
  </w:abstractNum>
  <w:abstractNum w:abstractNumId="206" w15:restartNumberingAfterBreak="0">
    <w:nsid w:val="758954A5"/>
    <w:multiLevelType w:val="hybridMultilevel"/>
    <w:tmpl w:val="001C7306"/>
    <w:lvl w:ilvl="0" w:tplc="500C517C">
      <w:start w:val="1"/>
      <w:numFmt w:val="bullet"/>
      <w:lvlText w:val=""/>
      <w:lvlPicBulletId w:val="0"/>
      <w:lvlJc w:val="left"/>
      <w:pPr>
        <w:tabs>
          <w:tab w:val="num" w:pos="720"/>
        </w:tabs>
        <w:ind w:left="720" w:hanging="360"/>
      </w:pPr>
      <w:rPr>
        <w:rFonts w:ascii="Symbol" w:hAnsi="Symbol" w:hint="default"/>
      </w:rPr>
    </w:lvl>
    <w:lvl w:ilvl="1" w:tplc="6D34BBC0" w:tentative="1">
      <w:start w:val="1"/>
      <w:numFmt w:val="bullet"/>
      <w:lvlText w:val=""/>
      <w:lvlJc w:val="left"/>
      <w:pPr>
        <w:tabs>
          <w:tab w:val="num" w:pos="1440"/>
        </w:tabs>
        <w:ind w:left="1440" w:hanging="360"/>
      </w:pPr>
      <w:rPr>
        <w:rFonts w:ascii="Symbol" w:hAnsi="Symbol" w:hint="default"/>
      </w:rPr>
    </w:lvl>
    <w:lvl w:ilvl="2" w:tplc="53E4B5E4" w:tentative="1">
      <w:start w:val="1"/>
      <w:numFmt w:val="bullet"/>
      <w:lvlText w:val=""/>
      <w:lvlJc w:val="left"/>
      <w:pPr>
        <w:tabs>
          <w:tab w:val="num" w:pos="2160"/>
        </w:tabs>
        <w:ind w:left="2160" w:hanging="360"/>
      </w:pPr>
      <w:rPr>
        <w:rFonts w:ascii="Symbol" w:hAnsi="Symbol" w:hint="default"/>
      </w:rPr>
    </w:lvl>
    <w:lvl w:ilvl="3" w:tplc="74289A6C" w:tentative="1">
      <w:start w:val="1"/>
      <w:numFmt w:val="bullet"/>
      <w:lvlText w:val=""/>
      <w:lvlJc w:val="left"/>
      <w:pPr>
        <w:tabs>
          <w:tab w:val="num" w:pos="2880"/>
        </w:tabs>
        <w:ind w:left="2880" w:hanging="360"/>
      </w:pPr>
      <w:rPr>
        <w:rFonts w:ascii="Symbol" w:hAnsi="Symbol" w:hint="default"/>
      </w:rPr>
    </w:lvl>
    <w:lvl w:ilvl="4" w:tplc="B9B04B0E" w:tentative="1">
      <w:start w:val="1"/>
      <w:numFmt w:val="bullet"/>
      <w:lvlText w:val=""/>
      <w:lvlJc w:val="left"/>
      <w:pPr>
        <w:tabs>
          <w:tab w:val="num" w:pos="3600"/>
        </w:tabs>
        <w:ind w:left="3600" w:hanging="360"/>
      </w:pPr>
      <w:rPr>
        <w:rFonts w:ascii="Symbol" w:hAnsi="Symbol" w:hint="default"/>
      </w:rPr>
    </w:lvl>
    <w:lvl w:ilvl="5" w:tplc="E88E15E8" w:tentative="1">
      <w:start w:val="1"/>
      <w:numFmt w:val="bullet"/>
      <w:lvlText w:val=""/>
      <w:lvlJc w:val="left"/>
      <w:pPr>
        <w:tabs>
          <w:tab w:val="num" w:pos="4320"/>
        </w:tabs>
        <w:ind w:left="4320" w:hanging="360"/>
      </w:pPr>
      <w:rPr>
        <w:rFonts w:ascii="Symbol" w:hAnsi="Symbol" w:hint="default"/>
      </w:rPr>
    </w:lvl>
    <w:lvl w:ilvl="6" w:tplc="E5D268F8" w:tentative="1">
      <w:start w:val="1"/>
      <w:numFmt w:val="bullet"/>
      <w:lvlText w:val=""/>
      <w:lvlJc w:val="left"/>
      <w:pPr>
        <w:tabs>
          <w:tab w:val="num" w:pos="5040"/>
        </w:tabs>
        <w:ind w:left="5040" w:hanging="360"/>
      </w:pPr>
      <w:rPr>
        <w:rFonts w:ascii="Symbol" w:hAnsi="Symbol" w:hint="default"/>
      </w:rPr>
    </w:lvl>
    <w:lvl w:ilvl="7" w:tplc="608C4624" w:tentative="1">
      <w:start w:val="1"/>
      <w:numFmt w:val="bullet"/>
      <w:lvlText w:val=""/>
      <w:lvlJc w:val="left"/>
      <w:pPr>
        <w:tabs>
          <w:tab w:val="num" w:pos="5760"/>
        </w:tabs>
        <w:ind w:left="5760" w:hanging="360"/>
      </w:pPr>
      <w:rPr>
        <w:rFonts w:ascii="Symbol" w:hAnsi="Symbol" w:hint="default"/>
      </w:rPr>
    </w:lvl>
    <w:lvl w:ilvl="8" w:tplc="477E2E82" w:tentative="1">
      <w:start w:val="1"/>
      <w:numFmt w:val="bullet"/>
      <w:lvlText w:val=""/>
      <w:lvlJc w:val="left"/>
      <w:pPr>
        <w:tabs>
          <w:tab w:val="num" w:pos="6480"/>
        </w:tabs>
        <w:ind w:left="6480" w:hanging="360"/>
      </w:pPr>
      <w:rPr>
        <w:rFonts w:ascii="Symbol" w:hAnsi="Symbol" w:hint="default"/>
      </w:rPr>
    </w:lvl>
  </w:abstractNum>
  <w:abstractNum w:abstractNumId="207" w15:restartNumberingAfterBreak="0">
    <w:nsid w:val="76DA573C"/>
    <w:multiLevelType w:val="hybridMultilevel"/>
    <w:tmpl w:val="DF86ADB8"/>
    <w:lvl w:ilvl="0" w:tplc="ABB0ED9C">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8" w15:restartNumberingAfterBreak="0">
    <w:nsid w:val="78BE507A"/>
    <w:multiLevelType w:val="hybridMultilevel"/>
    <w:tmpl w:val="48CE8846"/>
    <w:lvl w:ilvl="0" w:tplc="797E748A">
      <w:start w:val="1"/>
      <w:numFmt w:val="bullet"/>
      <w:lvlText w:val=""/>
      <w:lvlPicBulletId w:val="1"/>
      <w:lvlJc w:val="left"/>
      <w:pPr>
        <w:tabs>
          <w:tab w:val="num" w:pos="720"/>
        </w:tabs>
        <w:ind w:left="720" w:hanging="360"/>
      </w:pPr>
      <w:rPr>
        <w:rFonts w:ascii="Symbol" w:hAnsi="Symbol" w:hint="default"/>
      </w:rPr>
    </w:lvl>
    <w:lvl w:ilvl="1" w:tplc="2D7437B8" w:tentative="1">
      <w:start w:val="1"/>
      <w:numFmt w:val="bullet"/>
      <w:lvlText w:val=""/>
      <w:lvlJc w:val="left"/>
      <w:pPr>
        <w:tabs>
          <w:tab w:val="num" w:pos="1440"/>
        </w:tabs>
        <w:ind w:left="1440" w:hanging="360"/>
      </w:pPr>
      <w:rPr>
        <w:rFonts w:ascii="Symbol" w:hAnsi="Symbol" w:hint="default"/>
      </w:rPr>
    </w:lvl>
    <w:lvl w:ilvl="2" w:tplc="07E43912" w:tentative="1">
      <w:start w:val="1"/>
      <w:numFmt w:val="bullet"/>
      <w:lvlText w:val=""/>
      <w:lvlJc w:val="left"/>
      <w:pPr>
        <w:tabs>
          <w:tab w:val="num" w:pos="2160"/>
        </w:tabs>
        <w:ind w:left="2160" w:hanging="360"/>
      </w:pPr>
      <w:rPr>
        <w:rFonts w:ascii="Symbol" w:hAnsi="Symbol" w:hint="default"/>
      </w:rPr>
    </w:lvl>
    <w:lvl w:ilvl="3" w:tplc="F5926750" w:tentative="1">
      <w:start w:val="1"/>
      <w:numFmt w:val="bullet"/>
      <w:lvlText w:val=""/>
      <w:lvlJc w:val="left"/>
      <w:pPr>
        <w:tabs>
          <w:tab w:val="num" w:pos="2880"/>
        </w:tabs>
        <w:ind w:left="2880" w:hanging="360"/>
      </w:pPr>
      <w:rPr>
        <w:rFonts w:ascii="Symbol" w:hAnsi="Symbol" w:hint="default"/>
      </w:rPr>
    </w:lvl>
    <w:lvl w:ilvl="4" w:tplc="D80AB024" w:tentative="1">
      <w:start w:val="1"/>
      <w:numFmt w:val="bullet"/>
      <w:lvlText w:val=""/>
      <w:lvlJc w:val="left"/>
      <w:pPr>
        <w:tabs>
          <w:tab w:val="num" w:pos="3600"/>
        </w:tabs>
        <w:ind w:left="3600" w:hanging="360"/>
      </w:pPr>
      <w:rPr>
        <w:rFonts w:ascii="Symbol" w:hAnsi="Symbol" w:hint="default"/>
      </w:rPr>
    </w:lvl>
    <w:lvl w:ilvl="5" w:tplc="D8585F9E" w:tentative="1">
      <w:start w:val="1"/>
      <w:numFmt w:val="bullet"/>
      <w:lvlText w:val=""/>
      <w:lvlJc w:val="left"/>
      <w:pPr>
        <w:tabs>
          <w:tab w:val="num" w:pos="4320"/>
        </w:tabs>
        <w:ind w:left="4320" w:hanging="360"/>
      </w:pPr>
      <w:rPr>
        <w:rFonts w:ascii="Symbol" w:hAnsi="Symbol" w:hint="default"/>
      </w:rPr>
    </w:lvl>
    <w:lvl w:ilvl="6" w:tplc="B680CE1E" w:tentative="1">
      <w:start w:val="1"/>
      <w:numFmt w:val="bullet"/>
      <w:lvlText w:val=""/>
      <w:lvlJc w:val="left"/>
      <w:pPr>
        <w:tabs>
          <w:tab w:val="num" w:pos="5040"/>
        </w:tabs>
        <w:ind w:left="5040" w:hanging="360"/>
      </w:pPr>
      <w:rPr>
        <w:rFonts w:ascii="Symbol" w:hAnsi="Symbol" w:hint="default"/>
      </w:rPr>
    </w:lvl>
    <w:lvl w:ilvl="7" w:tplc="E8BE4FFC" w:tentative="1">
      <w:start w:val="1"/>
      <w:numFmt w:val="bullet"/>
      <w:lvlText w:val=""/>
      <w:lvlJc w:val="left"/>
      <w:pPr>
        <w:tabs>
          <w:tab w:val="num" w:pos="5760"/>
        </w:tabs>
        <w:ind w:left="5760" w:hanging="360"/>
      </w:pPr>
      <w:rPr>
        <w:rFonts w:ascii="Symbol" w:hAnsi="Symbol" w:hint="default"/>
      </w:rPr>
    </w:lvl>
    <w:lvl w:ilvl="8" w:tplc="DE3638EE" w:tentative="1">
      <w:start w:val="1"/>
      <w:numFmt w:val="bullet"/>
      <w:lvlText w:val=""/>
      <w:lvlJc w:val="left"/>
      <w:pPr>
        <w:tabs>
          <w:tab w:val="num" w:pos="6480"/>
        </w:tabs>
        <w:ind w:left="6480" w:hanging="360"/>
      </w:pPr>
      <w:rPr>
        <w:rFonts w:ascii="Symbol" w:hAnsi="Symbol" w:hint="default"/>
      </w:rPr>
    </w:lvl>
  </w:abstractNum>
  <w:abstractNum w:abstractNumId="209" w15:restartNumberingAfterBreak="0">
    <w:nsid w:val="78C446A0"/>
    <w:multiLevelType w:val="hybridMultilevel"/>
    <w:tmpl w:val="75E8C310"/>
    <w:lvl w:ilvl="0" w:tplc="D3D092D2">
      <w:start w:val="1"/>
      <w:numFmt w:val="bullet"/>
      <w:lvlText w:val=""/>
      <w:lvlPicBulletId w:val="1"/>
      <w:lvlJc w:val="left"/>
      <w:pPr>
        <w:tabs>
          <w:tab w:val="num" w:pos="720"/>
        </w:tabs>
        <w:ind w:left="720" w:hanging="360"/>
      </w:pPr>
      <w:rPr>
        <w:rFonts w:ascii="Symbol" w:hAnsi="Symbol" w:hint="default"/>
      </w:rPr>
    </w:lvl>
    <w:lvl w:ilvl="1" w:tplc="2A50A8DC" w:tentative="1">
      <w:start w:val="1"/>
      <w:numFmt w:val="bullet"/>
      <w:lvlText w:val=""/>
      <w:lvlJc w:val="left"/>
      <w:pPr>
        <w:tabs>
          <w:tab w:val="num" w:pos="1440"/>
        </w:tabs>
        <w:ind w:left="1440" w:hanging="360"/>
      </w:pPr>
      <w:rPr>
        <w:rFonts w:ascii="Symbol" w:hAnsi="Symbol" w:hint="default"/>
      </w:rPr>
    </w:lvl>
    <w:lvl w:ilvl="2" w:tplc="94DA140A" w:tentative="1">
      <w:start w:val="1"/>
      <w:numFmt w:val="bullet"/>
      <w:lvlText w:val=""/>
      <w:lvlJc w:val="left"/>
      <w:pPr>
        <w:tabs>
          <w:tab w:val="num" w:pos="2160"/>
        </w:tabs>
        <w:ind w:left="2160" w:hanging="360"/>
      </w:pPr>
      <w:rPr>
        <w:rFonts w:ascii="Symbol" w:hAnsi="Symbol" w:hint="default"/>
      </w:rPr>
    </w:lvl>
    <w:lvl w:ilvl="3" w:tplc="45B803C0" w:tentative="1">
      <w:start w:val="1"/>
      <w:numFmt w:val="bullet"/>
      <w:lvlText w:val=""/>
      <w:lvlJc w:val="left"/>
      <w:pPr>
        <w:tabs>
          <w:tab w:val="num" w:pos="2880"/>
        </w:tabs>
        <w:ind w:left="2880" w:hanging="360"/>
      </w:pPr>
      <w:rPr>
        <w:rFonts w:ascii="Symbol" w:hAnsi="Symbol" w:hint="default"/>
      </w:rPr>
    </w:lvl>
    <w:lvl w:ilvl="4" w:tplc="30EC2AFE" w:tentative="1">
      <w:start w:val="1"/>
      <w:numFmt w:val="bullet"/>
      <w:lvlText w:val=""/>
      <w:lvlJc w:val="left"/>
      <w:pPr>
        <w:tabs>
          <w:tab w:val="num" w:pos="3600"/>
        </w:tabs>
        <w:ind w:left="3600" w:hanging="360"/>
      </w:pPr>
      <w:rPr>
        <w:rFonts w:ascii="Symbol" w:hAnsi="Symbol" w:hint="default"/>
      </w:rPr>
    </w:lvl>
    <w:lvl w:ilvl="5" w:tplc="CB925300" w:tentative="1">
      <w:start w:val="1"/>
      <w:numFmt w:val="bullet"/>
      <w:lvlText w:val=""/>
      <w:lvlJc w:val="left"/>
      <w:pPr>
        <w:tabs>
          <w:tab w:val="num" w:pos="4320"/>
        </w:tabs>
        <w:ind w:left="4320" w:hanging="360"/>
      </w:pPr>
      <w:rPr>
        <w:rFonts w:ascii="Symbol" w:hAnsi="Symbol" w:hint="default"/>
      </w:rPr>
    </w:lvl>
    <w:lvl w:ilvl="6" w:tplc="7B46B524" w:tentative="1">
      <w:start w:val="1"/>
      <w:numFmt w:val="bullet"/>
      <w:lvlText w:val=""/>
      <w:lvlJc w:val="left"/>
      <w:pPr>
        <w:tabs>
          <w:tab w:val="num" w:pos="5040"/>
        </w:tabs>
        <w:ind w:left="5040" w:hanging="360"/>
      </w:pPr>
      <w:rPr>
        <w:rFonts w:ascii="Symbol" w:hAnsi="Symbol" w:hint="default"/>
      </w:rPr>
    </w:lvl>
    <w:lvl w:ilvl="7" w:tplc="D5D00BB6" w:tentative="1">
      <w:start w:val="1"/>
      <w:numFmt w:val="bullet"/>
      <w:lvlText w:val=""/>
      <w:lvlJc w:val="left"/>
      <w:pPr>
        <w:tabs>
          <w:tab w:val="num" w:pos="5760"/>
        </w:tabs>
        <w:ind w:left="5760" w:hanging="360"/>
      </w:pPr>
      <w:rPr>
        <w:rFonts w:ascii="Symbol" w:hAnsi="Symbol" w:hint="default"/>
      </w:rPr>
    </w:lvl>
    <w:lvl w:ilvl="8" w:tplc="94089FFA" w:tentative="1">
      <w:start w:val="1"/>
      <w:numFmt w:val="bullet"/>
      <w:lvlText w:val=""/>
      <w:lvlJc w:val="left"/>
      <w:pPr>
        <w:tabs>
          <w:tab w:val="num" w:pos="6480"/>
        </w:tabs>
        <w:ind w:left="6480" w:hanging="360"/>
      </w:pPr>
      <w:rPr>
        <w:rFonts w:ascii="Symbol" w:hAnsi="Symbol" w:hint="default"/>
      </w:rPr>
    </w:lvl>
  </w:abstractNum>
  <w:abstractNum w:abstractNumId="210" w15:restartNumberingAfterBreak="0">
    <w:nsid w:val="7A38056D"/>
    <w:multiLevelType w:val="hybridMultilevel"/>
    <w:tmpl w:val="9A32F9E8"/>
    <w:lvl w:ilvl="0" w:tplc="08D2AB58">
      <w:start w:val="1"/>
      <w:numFmt w:val="bullet"/>
      <w:lvlText w:val="&gt;"/>
      <w:lvlJc w:val="left"/>
      <w:pPr>
        <w:ind w:left="720" w:hanging="360"/>
      </w:pPr>
      <w:rPr>
        <w:rFonts w:ascii="HelveticaNeueLT Std Lt" w:hAnsi="HelveticaNeueLT Std Lt"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1" w15:restartNumberingAfterBreak="0">
    <w:nsid w:val="7A8A4413"/>
    <w:multiLevelType w:val="multilevel"/>
    <w:tmpl w:val="8D2A1B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2" w15:restartNumberingAfterBreak="0">
    <w:nsid w:val="7BCD3E0A"/>
    <w:multiLevelType w:val="hybridMultilevel"/>
    <w:tmpl w:val="892CDE82"/>
    <w:lvl w:ilvl="0" w:tplc="A75ACB68">
      <w:start w:val="1"/>
      <w:numFmt w:val="bullet"/>
      <w:lvlText w:val=""/>
      <w:lvlPicBulletId w:val="0"/>
      <w:lvlJc w:val="left"/>
      <w:pPr>
        <w:tabs>
          <w:tab w:val="num" w:pos="720"/>
        </w:tabs>
        <w:ind w:left="720" w:hanging="360"/>
      </w:pPr>
      <w:rPr>
        <w:rFonts w:ascii="Symbol" w:hAnsi="Symbol" w:hint="default"/>
      </w:rPr>
    </w:lvl>
    <w:lvl w:ilvl="1" w:tplc="ECDEB8BA" w:tentative="1">
      <w:start w:val="1"/>
      <w:numFmt w:val="bullet"/>
      <w:lvlText w:val=""/>
      <w:lvlJc w:val="left"/>
      <w:pPr>
        <w:tabs>
          <w:tab w:val="num" w:pos="1440"/>
        </w:tabs>
        <w:ind w:left="1440" w:hanging="360"/>
      </w:pPr>
      <w:rPr>
        <w:rFonts w:ascii="Symbol" w:hAnsi="Symbol" w:hint="default"/>
      </w:rPr>
    </w:lvl>
    <w:lvl w:ilvl="2" w:tplc="313C2420" w:tentative="1">
      <w:start w:val="1"/>
      <w:numFmt w:val="bullet"/>
      <w:lvlText w:val=""/>
      <w:lvlJc w:val="left"/>
      <w:pPr>
        <w:tabs>
          <w:tab w:val="num" w:pos="2160"/>
        </w:tabs>
        <w:ind w:left="2160" w:hanging="360"/>
      </w:pPr>
      <w:rPr>
        <w:rFonts w:ascii="Symbol" w:hAnsi="Symbol" w:hint="default"/>
      </w:rPr>
    </w:lvl>
    <w:lvl w:ilvl="3" w:tplc="4894CB9C" w:tentative="1">
      <w:start w:val="1"/>
      <w:numFmt w:val="bullet"/>
      <w:lvlText w:val=""/>
      <w:lvlJc w:val="left"/>
      <w:pPr>
        <w:tabs>
          <w:tab w:val="num" w:pos="2880"/>
        </w:tabs>
        <w:ind w:left="2880" w:hanging="360"/>
      </w:pPr>
      <w:rPr>
        <w:rFonts w:ascii="Symbol" w:hAnsi="Symbol" w:hint="default"/>
      </w:rPr>
    </w:lvl>
    <w:lvl w:ilvl="4" w:tplc="D64CA0A6" w:tentative="1">
      <w:start w:val="1"/>
      <w:numFmt w:val="bullet"/>
      <w:lvlText w:val=""/>
      <w:lvlJc w:val="left"/>
      <w:pPr>
        <w:tabs>
          <w:tab w:val="num" w:pos="3600"/>
        </w:tabs>
        <w:ind w:left="3600" w:hanging="360"/>
      </w:pPr>
      <w:rPr>
        <w:rFonts w:ascii="Symbol" w:hAnsi="Symbol" w:hint="default"/>
      </w:rPr>
    </w:lvl>
    <w:lvl w:ilvl="5" w:tplc="9FBEA9D0" w:tentative="1">
      <w:start w:val="1"/>
      <w:numFmt w:val="bullet"/>
      <w:lvlText w:val=""/>
      <w:lvlJc w:val="left"/>
      <w:pPr>
        <w:tabs>
          <w:tab w:val="num" w:pos="4320"/>
        </w:tabs>
        <w:ind w:left="4320" w:hanging="360"/>
      </w:pPr>
      <w:rPr>
        <w:rFonts w:ascii="Symbol" w:hAnsi="Symbol" w:hint="default"/>
      </w:rPr>
    </w:lvl>
    <w:lvl w:ilvl="6" w:tplc="27BA7348" w:tentative="1">
      <w:start w:val="1"/>
      <w:numFmt w:val="bullet"/>
      <w:lvlText w:val=""/>
      <w:lvlJc w:val="left"/>
      <w:pPr>
        <w:tabs>
          <w:tab w:val="num" w:pos="5040"/>
        </w:tabs>
        <w:ind w:left="5040" w:hanging="360"/>
      </w:pPr>
      <w:rPr>
        <w:rFonts w:ascii="Symbol" w:hAnsi="Symbol" w:hint="default"/>
      </w:rPr>
    </w:lvl>
    <w:lvl w:ilvl="7" w:tplc="10CA8B9E" w:tentative="1">
      <w:start w:val="1"/>
      <w:numFmt w:val="bullet"/>
      <w:lvlText w:val=""/>
      <w:lvlJc w:val="left"/>
      <w:pPr>
        <w:tabs>
          <w:tab w:val="num" w:pos="5760"/>
        </w:tabs>
        <w:ind w:left="5760" w:hanging="360"/>
      </w:pPr>
      <w:rPr>
        <w:rFonts w:ascii="Symbol" w:hAnsi="Symbol" w:hint="default"/>
      </w:rPr>
    </w:lvl>
    <w:lvl w:ilvl="8" w:tplc="B70CFB4A" w:tentative="1">
      <w:start w:val="1"/>
      <w:numFmt w:val="bullet"/>
      <w:lvlText w:val=""/>
      <w:lvlJc w:val="left"/>
      <w:pPr>
        <w:tabs>
          <w:tab w:val="num" w:pos="6480"/>
        </w:tabs>
        <w:ind w:left="6480" w:hanging="360"/>
      </w:pPr>
      <w:rPr>
        <w:rFonts w:ascii="Symbol" w:hAnsi="Symbol" w:hint="default"/>
      </w:rPr>
    </w:lvl>
  </w:abstractNum>
  <w:abstractNum w:abstractNumId="213" w15:restartNumberingAfterBreak="0">
    <w:nsid w:val="7BDF7731"/>
    <w:multiLevelType w:val="hybridMultilevel"/>
    <w:tmpl w:val="AD5C1412"/>
    <w:lvl w:ilvl="0" w:tplc="60145BE6">
      <w:start w:val="1"/>
      <w:numFmt w:val="bullet"/>
      <w:lvlText w:val=""/>
      <w:lvlPicBulletId w:val="0"/>
      <w:lvlJc w:val="left"/>
      <w:pPr>
        <w:tabs>
          <w:tab w:val="num" w:pos="720"/>
        </w:tabs>
        <w:ind w:left="720" w:hanging="360"/>
      </w:pPr>
      <w:rPr>
        <w:rFonts w:ascii="Symbol" w:hAnsi="Symbol" w:hint="default"/>
      </w:rPr>
    </w:lvl>
    <w:lvl w:ilvl="1" w:tplc="F2322DEE" w:tentative="1">
      <w:start w:val="1"/>
      <w:numFmt w:val="bullet"/>
      <w:lvlText w:val=""/>
      <w:lvlJc w:val="left"/>
      <w:pPr>
        <w:tabs>
          <w:tab w:val="num" w:pos="1440"/>
        </w:tabs>
        <w:ind w:left="1440" w:hanging="360"/>
      </w:pPr>
      <w:rPr>
        <w:rFonts w:ascii="Symbol" w:hAnsi="Symbol" w:hint="default"/>
      </w:rPr>
    </w:lvl>
    <w:lvl w:ilvl="2" w:tplc="60B20830" w:tentative="1">
      <w:start w:val="1"/>
      <w:numFmt w:val="bullet"/>
      <w:lvlText w:val=""/>
      <w:lvlJc w:val="left"/>
      <w:pPr>
        <w:tabs>
          <w:tab w:val="num" w:pos="2160"/>
        </w:tabs>
        <w:ind w:left="2160" w:hanging="360"/>
      </w:pPr>
      <w:rPr>
        <w:rFonts w:ascii="Symbol" w:hAnsi="Symbol" w:hint="default"/>
      </w:rPr>
    </w:lvl>
    <w:lvl w:ilvl="3" w:tplc="7902CD06" w:tentative="1">
      <w:start w:val="1"/>
      <w:numFmt w:val="bullet"/>
      <w:lvlText w:val=""/>
      <w:lvlJc w:val="left"/>
      <w:pPr>
        <w:tabs>
          <w:tab w:val="num" w:pos="2880"/>
        </w:tabs>
        <w:ind w:left="2880" w:hanging="360"/>
      </w:pPr>
      <w:rPr>
        <w:rFonts w:ascii="Symbol" w:hAnsi="Symbol" w:hint="default"/>
      </w:rPr>
    </w:lvl>
    <w:lvl w:ilvl="4" w:tplc="D77EA770" w:tentative="1">
      <w:start w:val="1"/>
      <w:numFmt w:val="bullet"/>
      <w:lvlText w:val=""/>
      <w:lvlJc w:val="left"/>
      <w:pPr>
        <w:tabs>
          <w:tab w:val="num" w:pos="3600"/>
        </w:tabs>
        <w:ind w:left="3600" w:hanging="360"/>
      </w:pPr>
      <w:rPr>
        <w:rFonts w:ascii="Symbol" w:hAnsi="Symbol" w:hint="default"/>
      </w:rPr>
    </w:lvl>
    <w:lvl w:ilvl="5" w:tplc="DDFA796E" w:tentative="1">
      <w:start w:val="1"/>
      <w:numFmt w:val="bullet"/>
      <w:lvlText w:val=""/>
      <w:lvlJc w:val="left"/>
      <w:pPr>
        <w:tabs>
          <w:tab w:val="num" w:pos="4320"/>
        </w:tabs>
        <w:ind w:left="4320" w:hanging="360"/>
      </w:pPr>
      <w:rPr>
        <w:rFonts w:ascii="Symbol" w:hAnsi="Symbol" w:hint="default"/>
      </w:rPr>
    </w:lvl>
    <w:lvl w:ilvl="6" w:tplc="F4367DA0" w:tentative="1">
      <w:start w:val="1"/>
      <w:numFmt w:val="bullet"/>
      <w:lvlText w:val=""/>
      <w:lvlJc w:val="left"/>
      <w:pPr>
        <w:tabs>
          <w:tab w:val="num" w:pos="5040"/>
        </w:tabs>
        <w:ind w:left="5040" w:hanging="360"/>
      </w:pPr>
      <w:rPr>
        <w:rFonts w:ascii="Symbol" w:hAnsi="Symbol" w:hint="default"/>
      </w:rPr>
    </w:lvl>
    <w:lvl w:ilvl="7" w:tplc="D3AABA90" w:tentative="1">
      <w:start w:val="1"/>
      <w:numFmt w:val="bullet"/>
      <w:lvlText w:val=""/>
      <w:lvlJc w:val="left"/>
      <w:pPr>
        <w:tabs>
          <w:tab w:val="num" w:pos="5760"/>
        </w:tabs>
        <w:ind w:left="5760" w:hanging="360"/>
      </w:pPr>
      <w:rPr>
        <w:rFonts w:ascii="Symbol" w:hAnsi="Symbol" w:hint="default"/>
      </w:rPr>
    </w:lvl>
    <w:lvl w:ilvl="8" w:tplc="A35EF582" w:tentative="1">
      <w:start w:val="1"/>
      <w:numFmt w:val="bullet"/>
      <w:lvlText w:val=""/>
      <w:lvlJc w:val="left"/>
      <w:pPr>
        <w:tabs>
          <w:tab w:val="num" w:pos="6480"/>
        </w:tabs>
        <w:ind w:left="6480" w:hanging="360"/>
      </w:pPr>
      <w:rPr>
        <w:rFonts w:ascii="Symbol" w:hAnsi="Symbol" w:hint="default"/>
      </w:rPr>
    </w:lvl>
  </w:abstractNum>
  <w:abstractNum w:abstractNumId="214" w15:restartNumberingAfterBreak="0">
    <w:nsid w:val="7C5A5333"/>
    <w:multiLevelType w:val="hybridMultilevel"/>
    <w:tmpl w:val="39F85096"/>
    <w:lvl w:ilvl="0" w:tplc="7C22A95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5" w15:restartNumberingAfterBreak="0">
    <w:nsid w:val="7D0A4315"/>
    <w:multiLevelType w:val="hybridMultilevel"/>
    <w:tmpl w:val="9F142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6" w15:restartNumberingAfterBreak="0">
    <w:nsid w:val="7ED92877"/>
    <w:multiLevelType w:val="hybridMultilevel"/>
    <w:tmpl w:val="D8AE3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7" w15:restartNumberingAfterBreak="0">
    <w:nsid w:val="7F94149F"/>
    <w:multiLevelType w:val="hybridMultilevel"/>
    <w:tmpl w:val="AA98FDCE"/>
    <w:lvl w:ilvl="0" w:tplc="53E61188">
      <w:start w:val="1"/>
      <w:numFmt w:val="bullet"/>
      <w:lvlText w:val=""/>
      <w:lvlPicBulletId w:val="1"/>
      <w:lvlJc w:val="left"/>
      <w:pPr>
        <w:tabs>
          <w:tab w:val="num" w:pos="720"/>
        </w:tabs>
        <w:ind w:left="720" w:hanging="360"/>
      </w:pPr>
      <w:rPr>
        <w:rFonts w:ascii="Symbol" w:hAnsi="Symbol" w:hint="default"/>
      </w:rPr>
    </w:lvl>
    <w:lvl w:ilvl="1" w:tplc="070A603C" w:tentative="1">
      <w:start w:val="1"/>
      <w:numFmt w:val="bullet"/>
      <w:lvlText w:val=""/>
      <w:lvlJc w:val="left"/>
      <w:pPr>
        <w:tabs>
          <w:tab w:val="num" w:pos="1440"/>
        </w:tabs>
        <w:ind w:left="1440" w:hanging="360"/>
      </w:pPr>
      <w:rPr>
        <w:rFonts w:ascii="Symbol" w:hAnsi="Symbol" w:hint="default"/>
      </w:rPr>
    </w:lvl>
    <w:lvl w:ilvl="2" w:tplc="70307D14" w:tentative="1">
      <w:start w:val="1"/>
      <w:numFmt w:val="bullet"/>
      <w:lvlText w:val=""/>
      <w:lvlJc w:val="left"/>
      <w:pPr>
        <w:tabs>
          <w:tab w:val="num" w:pos="2160"/>
        </w:tabs>
        <w:ind w:left="2160" w:hanging="360"/>
      </w:pPr>
      <w:rPr>
        <w:rFonts w:ascii="Symbol" w:hAnsi="Symbol" w:hint="default"/>
      </w:rPr>
    </w:lvl>
    <w:lvl w:ilvl="3" w:tplc="D982E7DA" w:tentative="1">
      <w:start w:val="1"/>
      <w:numFmt w:val="bullet"/>
      <w:lvlText w:val=""/>
      <w:lvlJc w:val="left"/>
      <w:pPr>
        <w:tabs>
          <w:tab w:val="num" w:pos="2880"/>
        </w:tabs>
        <w:ind w:left="2880" w:hanging="360"/>
      </w:pPr>
      <w:rPr>
        <w:rFonts w:ascii="Symbol" w:hAnsi="Symbol" w:hint="default"/>
      </w:rPr>
    </w:lvl>
    <w:lvl w:ilvl="4" w:tplc="19BCB296" w:tentative="1">
      <w:start w:val="1"/>
      <w:numFmt w:val="bullet"/>
      <w:lvlText w:val=""/>
      <w:lvlJc w:val="left"/>
      <w:pPr>
        <w:tabs>
          <w:tab w:val="num" w:pos="3600"/>
        </w:tabs>
        <w:ind w:left="3600" w:hanging="360"/>
      </w:pPr>
      <w:rPr>
        <w:rFonts w:ascii="Symbol" w:hAnsi="Symbol" w:hint="default"/>
      </w:rPr>
    </w:lvl>
    <w:lvl w:ilvl="5" w:tplc="B7E2D23A" w:tentative="1">
      <w:start w:val="1"/>
      <w:numFmt w:val="bullet"/>
      <w:lvlText w:val=""/>
      <w:lvlJc w:val="left"/>
      <w:pPr>
        <w:tabs>
          <w:tab w:val="num" w:pos="4320"/>
        </w:tabs>
        <w:ind w:left="4320" w:hanging="360"/>
      </w:pPr>
      <w:rPr>
        <w:rFonts w:ascii="Symbol" w:hAnsi="Symbol" w:hint="default"/>
      </w:rPr>
    </w:lvl>
    <w:lvl w:ilvl="6" w:tplc="87180916" w:tentative="1">
      <w:start w:val="1"/>
      <w:numFmt w:val="bullet"/>
      <w:lvlText w:val=""/>
      <w:lvlJc w:val="left"/>
      <w:pPr>
        <w:tabs>
          <w:tab w:val="num" w:pos="5040"/>
        </w:tabs>
        <w:ind w:left="5040" w:hanging="360"/>
      </w:pPr>
      <w:rPr>
        <w:rFonts w:ascii="Symbol" w:hAnsi="Symbol" w:hint="default"/>
      </w:rPr>
    </w:lvl>
    <w:lvl w:ilvl="7" w:tplc="0E4A9BB8" w:tentative="1">
      <w:start w:val="1"/>
      <w:numFmt w:val="bullet"/>
      <w:lvlText w:val=""/>
      <w:lvlJc w:val="left"/>
      <w:pPr>
        <w:tabs>
          <w:tab w:val="num" w:pos="5760"/>
        </w:tabs>
        <w:ind w:left="5760" w:hanging="360"/>
      </w:pPr>
      <w:rPr>
        <w:rFonts w:ascii="Symbol" w:hAnsi="Symbol" w:hint="default"/>
      </w:rPr>
    </w:lvl>
    <w:lvl w:ilvl="8" w:tplc="6212AA54"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1"/>
  </w:num>
  <w:num w:numId="3">
    <w:abstractNumId w:val="172"/>
  </w:num>
  <w:num w:numId="4">
    <w:abstractNumId w:val="191"/>
  </w:num>
  <w:num w:numId="5">
    <w:abstractNumId w:val="82"/>
  </w:num>
  <w:num w:numId="6">
    <w:abstractNumId w:val="197"/>
  </w:num>
  <w:num w:numId="7">
    <w:abstractNumId w:val="84"/>
  </w:num>
  <w:num w:numId="8">
    <w:abstractNumId w:val="177"/>
  </w:num>
  <w:num w:numId="9">
    <w:abstractNumId w:val="147"/>
  </w:num>
  <w:num w:numId="10">
    <w:abstractNumId w:val="171"/>
  </w:num>
  <w:num w:numId="11">
    <w:abstractNumId w:val="9"/>
  </w:num>
  <w:num w:numId="12">
    <w:abstractNumId w:val="171"/>
  </w:num>
  <w:num w:numId="13">
    <w:abstractNumId w:val="69"/>
  </w:num>
  <w:num w:numId="14">
    <w:abstractNumId w:val="110"/>
  </w:num>
  <w:num w:numId="15">
    <w:abstractNumId w:val="59"/>
  </w:num>
  <w:num w:numId="16">
    <w:abstractNumId w:val="55"/>
  </w:num>
  <w:num w:numId="17">
    <w:abstractNumId w:val="43"/>
  </w:num>
  <w:num w:numId="18">
    <w:abstractNumId w:val="135"/>
  </w:num>
  <w:num w:numId="19">
    <w:abstractNumId w:val="202"/>
  </w:num>
  <w:num w:numId="20">
    <w:abstractNumId w:val="202"/>
  </w:num>
  <w:num w:numId="21">
    <w:abstractNumId w:val="97"/>
  </w:num>
  <w:num w:numId="22">
    <w:abstractNumId w:val="169"/>
  </w:num>
  <w:num w:numId="23">
    <w:abstractNumId w:val="15"/>
  </w:num>
  <w:num w:numId="24">
    <w:abstractNumId w:val="145"/>
  </w:num>
  <w:num w:numId="25">
    <w:abstractNumId w:val="57"/>
  </w:num>
  <w:num w:numId="26">
    <w:abstractNumId w:val="167"/>
  </w:num>
  <w:num w:numId="27">
    <w:abstractNumId w:val="146"/>
  </w:num>
  <w:num w:numId="28">
    <w:abstractNumId w:val="4"/>
  </w:num>
  <w:num w:numId="29">
    <w:abstractNumId w:val="0"/>
  </w:num>
  <w:num w:numId="30">
    <w:abstractNumId w:val="86"/>
  </w:num>
  <w:num w:numId="31">
    <w:abstractNumId w:val="4"/>
  </w:num>
  <w:num w:numId="32">
    <w:abstractNumId w:val="4"/>
  </w:num>
  <w:num w:numId="33">
    <w:abstractNumId w:val="127"/>
  </w:num>
  <w:num w:numId="34">
    <w:abstractNumId w:val="127"/>
  </w:num>
  <w:num w:numId="35">
    <w:abstractNumId w:val="171"/>
    <w:lvlOverride w:ilvl="0">
      <w:startOverride w:val="1"/>
    </w:lvlOverride>
  </w:num>
  <w:num w:numId="36">
    <w:abstractNumId w:val="4"/>
  </w:num>
  <w:num w:numId="37">
    <w:abstractNumId w:val="4"/>
  </w:num>
  <w:num w:numId="38">
    <w:abstractNumId w:val="211"/>
  </w:num>
  <w:num w:numId="39">
    <w:abstractNumId w:val="2"/>
  </w:num>
  <w:num w:numId="40">
    <w:abstractNumId w:val="138"/>
  </w:num>
  <w:num w:numId="41">
    <w:abstractNumId w:val="162"/>
  </w:num>
  <w:num w:numId="42">
    <w:abstractNumId w:val="109"/>
  </w:num>
  <w:num w:numId="43">
    <w:abstractNumId w:val="30"/>
  </w:num>
  <w:num w:numId="44">
    <w:abstractNumId w:val="70"/>
  </w:num>
  <w:num w:numId="45">
    <w:abstractNumId w:val="16"/>
  </w:num>
  <w:num w:numId="46">
    <w:abstractNumId w:val="75"/>
  </w:num>
  <w:num w:numId="47">
    <w:abstractNumId w:val="96"/>
  </w:num>
  <w:num w:numId="48">
    <w:abstractNumId w:val="77"/>
  </w:num>
  <w:num w:numId="49">
    <w:abstractNumId w:val="4"/>
  </w:num>
  <w:num w:numId="50">
    <w:abstractNumId w:val="4"/>
  </w:num>
  <w:num w:numId="51">
    <w:abstractNumId w:val="4"/>
  </w:num>
  <w:num w:numId="52">
    <w:abstractNumId w:val="128"/>
  </w:num>
  <w:num w:numId="53">
    <w:abstractNumId w:val="4"/>
  </w:num>
  <w:num w:numId="54">
    <w:abstractNumId w:val="26"/>
  </w:num>
  <w:num w:numId="55">
    <w:abstractNumId w:val="93"/>
  </w:num>
  <w:num w:numId="56">
    <w:abstractNumId w:val="162"/>
  </w:num>
  <w:num w:numId="57">
    <w:abstractNumId w:val="171"/>
    <w:lvlOverride w:ilvl="0">
      <w:startOverride w:val="3"/>
    </w:lvlOverride>
  </w:num>
  <w:num w:numId="58">
    <w:abstractNumId w:val="118"/>
  </w:num>
  <w:num w:numId="59">
    <w:abstractNumId w:val="171"/>
  </w:num>
  <w:num w:numId="60">
    <w:abstractNumId w:val="74"/>
  </w:num>
  <w:num w:numId="61">
    <w:abstractNumId w:val="64"/>
  </w:num>
  <w:num w:numId="62">
    <w:abstractNumId w:val="164"/>
  </w:num>
  <w:num w:numId="6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6"/>
  </w:num>
  <w:num w:numId="65">
    <w:abstractNumId w:val="216"/>
  </w:num>
  <w:num w:numId="66">
    <w:abstractNumId w:val="144"/>
  </w:num>
  <w:num w:numId="67">
    <w:abstractNumId w:val="5"/>
  </w:num>
  <w:num w:numId="68">
    <w:abstractNumId w:val="111"/>
  </w:num>
  <w:num w:numId="69">
    <w:abstractNumId w:val="123"/>
  </w:num>
  <w:num w:numId="70">
    <w:abstractNumId w:val="10"/>
  </w:num>
  <w:num w:numId="71">
    <w:abstractNumId w:val="8"/>
  </w:num>
  <w:num w:numId="72">
    <w:abstractNumId w:val="112"/>
  </w:num>
  <w:num w:numId="73">
    <w:abstractNumId w:val="207"/>
  </w:num>
  <w:num w:numId="74">
    <w:abstractNumId w:val="90"/>
  </w:num>
  <w:num w:numId="75">
    <w:abstractNumId w:val="143"/>
  </w:num>
  <w:num w:numId="76">
    <w:abstractNumId w:val="92"/>
  </w:num>
  <w:num w:numId="77">
    <w:abstractNumId w:val="148"/>
  </w:num>
  <w:num w:numId="78">
    <w:abstractNumId w:val="210"/>
  </w:num>
  <w:num w:numId="79">
    <w:abstractNumId w:val="115"/>
  </w:num>
  <w:num w:numId="80">
    <w:abstractNumId w:val="136"/>
  </w:num>
  <w:num w:numId="81">
    <w:abstractNumId w:val="68"/>
  </w:num>
  <w:num w:numId="82">
    <w:abstractNumId w:val="160"/>
  </w:num>
  <w:num w:numId="83">
    <w:abstractNumId w:val="7"/>
  </w:num>
  <w:num w:numId="84">
    <w:abstractNumId w:val="88"/>
  </w:num>
  <w:num w:numId="85">
    <w:abstractNumId w:val="139"/>
  </w:num>
  <w:num w:numId="86">
    <w:abstractNumId w:val="34"/>
  </w:num>
  <w:num w:numId="87">
    <w:abstractNumId w:val="175"/>
  </w:num>
  <w:num w:numId="88">
    <w:abstractNumId w:val="208"/>
  </w:num>
  <w:num w:numId="89">
    <w:abstractNumId w:val="46"/>
  </w:num>
  <w:num w:numId="90">
    <w:abstractNumId w:val="101"/>
  </w:num>
  <w:num w:numId="91">
    <w:abstractNumId w:val="83"/>
  </w:num>
  <w:num w:numId="92">
    <w:abstractNumId w:val="56"/>
  </w:num>
  <w:num w:numId="93">
    <w:abstractNumId w:val="209"/>
  </w:num>
  <w:num w:numId="94">
    <w:abstractNumId w:val="158"/>
  </w:num>
  <w:num w:numId="95">
    <w:abstractNumId w:val="81"/>
  </w:num>
  <w:num w:numId="96">
    <w:abstractNumId w:val="66"/>
  </w:num>
  <w:num w:numId="97">
    <w:abstractNumId w:val="52"/>
  </w:num>
  <w:num w:numId="98">
    <w:abstractNumId w:val="24"/>
  </w:num>
  <w:num w:numId="99">
    <w:abstractNumId w:val="173"/>
  </w:num>
  <w:num w:numId="100">
    <w:abstractNumId w:val="99"/>
  </w:num>
  <w:num w:numId="101">
    <w:abstractNumId w:val="137"/>
  </w:num>
  <w:num w:numId="102">
    <w:abstractNumId w:val="79"/>
  </w:num>
  <w:num w:numId="103">
    <w:abstractNumId w:val="190"/>
  </w:num>
  <w:num w:numId="104">
    <w:abstractNumId w:val="33"/>
  </w:num>
  <w:num w:numId="105">
    <w:abstractNumId w:val="53"/>
  </w:num>
  <w:num w:numId="106">
    <w:abstractNumId w:val="100"/>
  </w:num>
  <w:num w:numId="107">
    <w:abstractNumId w:val="166"/>
  </w:num>
  <w:num w:numId="108">
    <w:abstractNumId w:val="200"/>
  </w:num>
  <w:num w:numId="109">
    <w:abstractNumId w:val="182"/>
  </w:num>
  <w:num w:numId="110">
    <w:abstractNumId w:val="94"/>
  </w:num>
  <w:num w:numId="111">
    <w:abstractNumId w:val="54"/>
  </w:num>
  <w:num w:numId="112">
    <w:abstractNumId w:val="157"/>
  </w:num>
  <w:num w:numId="113">
    <w:abstractNumId w:val="204"/>
  </w:num>
  <w:num w:numId="114">
    <w:abstractNumId w:val="176"/>
  </w:num>
  <w:num w:numId="115">
    <w:abstractNumId w:val="150"/>
  </w:num>
  <w:num w:numId="116">
    <w:abstractNumId w:val="192"/>
  </w:num>
  <w:num w:numId="117">
    <w:abstractNumId w:val="217"/>
  </w:num>
  <w:num w:numId="118">
    <w:abstractNumId w:val="133"/>
  </w:num>
  <w:num w:numId="119">
    <w:abstractNumId w:val="187"/>
  </w:num>
  <w:num w:numId="120">
    <w:abstractNumId w:val="154"/>
  </w:num>
  <w:num w:numId="121">
    <w:abstractNumId w:val="105"/>
  </w:num>
  <w:num w:numId="122">
    <w:abstractNumId w:val="18"/>
  </w:num>
  <w:num w:numId="123">
    <w:abstractNumId w:val="80"/>
  </w:num>
  <w:num w:numId="124">
    <w:abstractNumId w:val="58"/>
  </w:num>
  <w:num w:numId="125">
    <w:abstractNumId w:val="122"/>
  </w:num>
  <w:num w:numId="126">
    <w:abstractNumId w:val="60"/>
  </w:num>
  <w:num w:numId="127">
    <w:abstractNumId w:val="113"/>
  </w:num>
  <w:num w:numId="128">
    <w:abstractNumId w:val="61"/>
  </w:num>
  <w:num w:numId="129">
    <w:abstractNumId w:val="107"/>
  </w:num>
  <w:num w:numId="130">
    <w:abstractNumId w:val="212"/>
  </w:num>
  <w:num w:numId="131">
    <w:abstractNumId w:val="67"/>
  </w:num>
  <w:num w:numId="132">
    <w:abstractNumId w:val="188"/>
  </w:num>
  <w:num w:numId="133">
    <w:abstractNumId w:val="165"/>
  </w:num>
  <w:num w:numId="134">
    <w:abstractNumId w:val="17"/>
  </w:num>
  <w:num w:numId="135">
    <w:abstractNumId w:val="22"/>
  </w:num>
  <w:num w:numId="136">
    <w:abstractNumId w:val="50"/>
  </w:num>
  <w:num w:numId="137">
    <w:abstractNumId w:val="91"/>
  </w:num>
  <w:num w:numId="138">
    <w:abstractNumId w:val="170"/>
  </w:num>
  <w:num w:numId="139">
    <w:abstractNumId w:val="114"/>
  </w:num>
  <w:num w:numId="140">
    <w:abstractNumId w:val="71"/>
  </w:num>
  <w:num w:numId="141">
    <w:abstractNumId w:val="32"/>
  </w:num>
  <w:num w:numId="142">
    <w:abstractNumId w:val="21"/>
  </w:num>
  <w:num w:numId="143">
    <w:abstractNumId w:val="72"/>
  </w:num>
  <w:num w:numId="144">
    <w:abstractNumId w:val="206"/>
  </w:num>
  <w:num w:numId="145">
    <w:abstractNumId w:val="29"/>
  </w:num>
  <w:num w:numId="146">
    <w:abstractNumId w:val="132"/>
  </w:num>
  <w:num w:numId="147">
    <w:abstractNumId w:val="37"/>
  </w:num>
  <w:num w:numId="148">
    <w:abstractNumId w:val="121"/>
  </w:num>
  <w:num w:numId="149">
    <w:abstractNumId w:val="20"/>
  </w:num>
  <w:num w:numId="150">
    <w:abstractNumId w:val="65"/>
  </w:num>
  <w:num w:numId="151">
    <w:abstractNumId w:val="156"/>
  </w:num>
  <w:num w:numId="152">
    <w:abstractNumId w:val="23"/>
  </w:num>
  <w:num w:numId="153">
    <w:abstractNumId w:val="184"/>
  </w:num>
  <w:num w:numId="154">
    <w:abstractNumId w:val="161"/>
  </w:num>
  <w:num w:numId="155">
    <w:abstractNumId w:val="103"/>
  </w:num>
  <w:num w:numId="156">
    <w:abstractNumId w:val="186"/>
  </w:num>
  <w:num w:numId="157">
    <w:abstractNumId w:val="12"/>
  </w:num>
  <w:num w:numId="158">
    <w:abstractNumId w:val="131"/>
  </w:num>
  <w:num w:numId="159">
    <w:abstractNumId w:val="89"/>
  </w:num>
  <w:num w:numId="160">
    <w:abstractNumId w:val="155"/>
  </w:num>
  <w:num w:numId="161">
    <w:abstractNumId w:val="120"/>
  </w:num>
  <w:num w:numId="162">
    <w:abstractNumId w:val="13"/>
  </w:num>
  <w:num w:numId="163">
    <w:abstractNumId w:val="102"/>
  </w:num>
  <w:num w:numId="164">
    <w:abstractNumId w:val="141"/>
  </w:num>
  <w:num w:numId="165">
    <w:abstractNumId w:val="11"/>
  </w:num>
  <w:num w:numId="166">
    <w:abstractNumId w:val="130"/>
  </w:num>
  <w:num w:numId="167">
    <w:abstractNumId w:val="45"/>
  </w:num>
  <w:num w:numId="168">
    <w:abstractNumId w:val="151"/>
  </w:num>
  <w:num w:numId="169">
    <w:abstractNumId w:val="140"/>
  </w:num>
  <w:num w:numId="170">
    <w:abstractNumId w:val="198"/>
  </w:num>
  <w:num w:numId="171">
    <w:abstractNumId w:val="126"/>
  </w:num>
  <w:num w:numId="172">
    <w:abstractNumId w:val="95"/>
  </w:num>
  <w:num w:numId="173">
    <w:abstractNumId w:val="116"/>
  </w:num>
  <w:num w:numId="174">
    <w:abstractNumId w:val="39"/>
  </w:num>
  <w:num w:numId="175">
    <w:abstractNumId w:val="44"/>
  </w:num>
  <w:num w:numId="176">
    <w:abstractNumId w:val="193"/>
  </w:num>
  <w:num w:numId="177">
    <w:abstractNumId w:val="196"/>
  </w:num>
  <w:num w:numId="178">
    <w:abstractNumId w:val="49"/>
  </w:num>
  <w:num w:numId="179">
    <w:abstractNumId w:val="14"/>
  </w:num>
  <w:num w:numId="180">
    <w:abstractNumId w:val="6"/>
  </w:num>
  <w:num w:numId="181">
    <w:abstractNumId w:val="106"/>
  </w:num>
  <w:num w:numId="182">
    <w:abstractNumId w:val="134"/>
  </w:num>
  <w:num w:numId="183">
    <w:abstractNumId w:val="27"/>
  </w:num>
  <w:num w:numId="184">
    <w:abstractNumId w:val="51"/>
  </w:num>
  <w:num w:numId="185">
    <w:abstractNumId w:val="199"/>
  </w:num>
  <w:num w:numId="186">
    <w:abstractNumId w:val="195"/>
  </w:num>
  <w:num w:numId="187">
    <w:abstractNumId w:val="203"/>
  </w:num>
  <w:num w:numId="188">
    <w:abstractNumId w:val="31"/>
  </w:num>
  <w:num w:numId="189">
    <w:abstractNumId w:val="147"/>
    <w:lvlOverride w:ilvl="0">
      <w:startOverride w:val="12"/>
    </w:lvlOverride>
  </w:num>
  <w:num w:numId="190">
    <w:abstractNumId w:val="178"/>
  </w:num>
  <w:num w:numId="191">
    <w:abstractNumId w:val="129"/>
  </w:num>
  <w:num w:numId="192">
    <w:abstractNumId w:val="183"/>
  </w:num>
  <w:num w:numId="193">
    <w:abstractNumId w:val="117"/>
  </w:num>
  <w:num w:numId="194">
    <w:abstractNumId w:val="41"/>
  </w:num>
  <w:num w:numId="195">
    <w:abstractNumId w:val="104"/>
  </w:num>
  <w:num w:numId="196">
    <w:abstractNumId w:val="19"/>
  </w:num>
  <w:num w:numId="197">
    <w:abstractNumId w:val="153"/>
  </w:num>
  <w:num w:numId="198">
    <w:abstractNumId w:val="205"/>
  </w:num>
  <w:num w:numId="199">
    <w:abstractNumId w:val="38"/>
  </w:num>
  <w:num w:numId="200">
    <w:abstractNumId w:val="73"/>
  </w:num>
  <w:num w:numId="201">
    <w:abstractNumId w:val="213"/>
  </w:num>
  <w:num w:numId="202">
    <w:abstractNumId w:val="108"/>
  </w:num>
  <w:num w:numId="203">
    <w:abstractNumId w:val="142"/>
  </w:num>
  <w:num w:numId="204">
    <w:abstractNumId w:val="98"/>
  </w:num>
  <w:num w:numId="205">
    <w:abstractNumId w:val="194"/>
  </w:num>
  <w:num w:numId="206">
    <w:abstractNumId w:val="181"/>
  </w:num>
  <w:num w:numId="207">
    <w:abstractNumId w:val="4"/>
  </w:num>
  <w:num w:numId="208">
    <w:abstractNumId w:val="214"/>
  </w:num>
  <w:num w:numId="209">
    <w:abstractNumId w:val="4"/>
  </w:num>
  <w:num w:numId="210">
    <w:abstractNumId w:val="4"/>
  </w:num>
  <w:num w:numId="211">
    <w:abstractNumId w:val="201"/>
  </w:num>
  <w:num w:numId="212">
    <w:abstractNumId w:val="42"/>
  </w:num>
  <w:num w:numId="213">
    <w:abstractNumId w:val="4"/>
  </w:num>
  <w:num w:numId="214">
    <w:abstractNumId w:val="124"/>
  </w:num>
  <w:num w:numId="215">
    <w:abstractNumId w:val="85"/>
  </w:num>
  <w:num w:numId="216">
    <w:abstractNumId w:val="149"/>
  </w:num>
  <w:num w:numId="217">
    <w:abstractNumId w:val="180"/>
  </w:num>
  <w:num w:numId="218">
    <w:abstractNumId w:val="4"/>
  </w:num>
  <w:num w:numId="219">
    <w:abstractNumId w:val="185"/>
  </w:num>
  <w:num w:numId="220">
    <w:abstractNumId w:val="4"/>
  </w:num>
  <w:num w:numId="221">
    <w:abstractNumId w:val="4"/>
  </w:num>
  <w:num w:numId="222">
    <w:abstractNumId w:val="25"/>
  </w:num>
  <w:num w:numId="223">
    <w:abstractNumId w:val="4"/>
  </w:num>
  <w:num w:numId="224">
    <w:abstractNumId w:val="4"/>
  </w:num>
  <w:num w:numId="225">
    <w:abstractNumId w:val="4"/>
  </w:num>
  <w:num w:numId="226">
    <w:abstractNumId w:val="3"/>
  </w:num>
  <w:num w:numId="227">
    <w:abstractNumId w:val="3"/>
    <w:lvlOverride w:ilvl="0">
      <w:startOverride w:val="1"/>
    </w:lvlOverride>
  </w:num>
  <w:num w:numId="228">
    <w:abstractNumId w:val="168"/>
  </w:num>
  <w:num w:numId="229">
    <w:abstractNumId w:val="172"/>
    <w:lvlOverride w:ilvl="0">
      <w:startOverride w:val="1"/>
    </w:lvlOverride>
  </w:num>
  <w:num w:numId="230">
    <w:abstractNumId w:val="4"/>
  </w:num>
  <w:num w:numId="231">
    <w:abstractNumId w:val="4"/>
  </w:num>
  <w:num w:numId="232">
    <w:abstractNumId w:val="4"/>
  </w:num>
  <w:num w:numId="233">
    <w:abstractNumId w:val="4"/>
  </w:num>
  <w:num w:numId="234">
    <w:abstractNumId w:val="4"/>
  </w:num>
  <w:num w:numId="235">
    <w:abstractNumId w:val="119"/>
  </w:num>
  <w:num w:numId="236">
    <w:abstractNumId w:val="119"/>
  </w:num>
  <w:num w:numId="237">
    <w:abstractNumId w:val="119"/>
  </w:num>
  <w:num w:numId="238">
    <w:abstractNumId w:val="119"/>
  </w:num>
  <w:num w:numId="239">
    <w:abstractNumId w:val="119"/>
  </w:num>
  <w:num w:numId="240">
    <w:abstractNumId w:val="119"/>
  </w:num>
  <w:num w:numId="241">
    <w:abstractNumId w:val="119"/>
  </w:num>
  <w:num w:numId="242">
    <w:abstractNumId w:val="119"/>
  </w:num>
  <w:num w:numId="243">
    <w:abstractNumId w:val="119"/>
  </w:num>
  <w:num w:numId="244">
    <w:abstractNumId w:val="119"/>
  </w:num>
  <w:num w:numId="245">
    <w:abstractNumId w:val="119"/>
  </w:num>
  <w:num w:numId="246">
    <w:abstractNumId w:val="119"/>
  </w:num>
  <w:num w:numId="247">
    <w:abstractNumId w:val="119"/>
  </w:num>
  <w:num w:numId="248">
    <w:abstractNumId w:val="40"/>
  </w:num>
  <w:num w:numId="249">
    <w:abstractNumId w:val="36"/>
  </w:num>
  <w:num w:numId="250">
    <w:abstractNumId w:val="125"/>
  </w:num>
  <w:num w:numId="251">
    <w:abstractNumId w:val="174"/>
  </w:num>
  <w:num w:numId="252">
    <w:abstractNumId w:val="48"/>
  </w:num>
  <w:num w:numId="253">
    <w:abstractNumId w:val="28"/>
  </w:num>
  <w:num w:numId="254">
    <w:abstractNumId w:val="8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9"/>
  </w:num>
  <w:num w:numId="256">
    <w:abstractNumId w:val="78"/>
  </w:num>
  <w:num w:numId="257">
    <w:abstractNumId w:val="215"/>
  </w:num>
  <w:num w:numId="258">
    <w:abstractNumId w:val="179"/>
  </w:num>
  <w:num w:numId="259">
    <w:abstractNumId w:val="35"/>
  </w:num>
  <w:num w:numId="260">
    <w:abstractNumId w:val="152"/>
  </w:num>
  <w:num w:numId="261">
    <w:abstractNumId w:val="62"/>
  </w:num>
  <w:num w:numId="262">
    <w:abstractNumId w:val="163"/>
  </w:num>
  <w:num w:numId="263">
    <w:abstractNumId w:val="47"/>
  </w:num>
  <w:num w:numId="264">
    <w:abstractNumId w:val="63"/>
  </w:num>
  <w:num w:numId="265">
    <w:abstractNumId w:val="119"/>
  </w:num>
  <w:num w:numId="266">
    <w:abstractNumId w:val="119"/>
  </w:num>
  <w:num w:numId="267">
    <w:abstractNumId w:val="177"/>
  </w:num>
  <w:num w:numId="268">
    <w:abstractNumId w:val="147"/>
  </w:num>
  <w:num w:numId="269">
    <w:abstractNumId w:val="4"/>
  </w:num>
  <w:num w:numId="270">
    <w:abstractNumId w:val="4"/>
  </w:num>
  <w:num w:numId="271">
    <w:abstractNumId w:val="2"/>
  </w:num>
  <w:num w:numId="272">
    <w:abstractNumId w:val="2"/>
  </w:num>
  <w:num w:numId="273">
    <w:abstractNumId w:val="4"/>
  </w:num>
  <w:num w:numId="274">
    <w:abstractNumId w:val="2"/>
  </w:num>
  <w:num w:numId="275">
    <w:abstractNumId w:val="2"/>
  </w:num>
  <w:num w:numId="276">
    <w:abstractNumId w:val="2"/>
  </w:num>
  <w:num w:numId="277">
    <w:abstractNumId w:val="4"/>
  </w:num>
  <w:num w:numId="278">
    <w:abstractNumId w:val="3"/>
  </w:num>
  <w:num w:numId="279">
    <w:abstractNumId w:val="1"/>
  </w:num>
  <w:num w:numId="280">
    <w:abstractNumId w:val="1"/>
  </w:num>
  <w:num w:numId="281">
    <w:abstractNumId w:val="3"/>
  </w:num>
  <w:num w:numId="282">
    <w:abstractNumId w:val="4"/>
  </w:num>
  <w:num w:numId="283">
    <w:abstractNumId w:val="4"/>
  </w:num>
  <w:num w:numId="284">
    <w:abstractNumId w:val="3"/>
    <w:lvlOverride w:ilvl="0">
      <w:startOverride w:val="1"/>
    </w:lvlOverride>
  </w:num>
  <w:num w:numId="285">
    <w:abstractNumId w:val="3"/>
    <w:lvlOverride w:ilvl="0">
      <w:startOverride w:val="1"/>
    </w:lvlOverride>
  </w:num>
  <w:numIdMacAtCleanup w:val="2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397"/>
  <w:evenAndOddHeaders/>
  <w:drawingGridHorizontalSpacing w:val="100"/>
  <w:displayHorizontalDrawingGridEvery w:val="2"/>
  <w:characterSpacingControl w:val="doNotCompress"/>
  <w:hdrShapeDefaults>
    <o:shapedefaults v:ext="edit" spidmax="2049">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wNTQ1MzW2MLMwNjNV0lEKTi0uzszPAykwsqwFAJqGJjotAAAA"/>
  </w:docVars>
  <w:rsids>
    <w:rsidRoot w:val="00835321"/>
    <w:rsid w:val="00000432"/>
    <w:rsid w:val="00000A63"/>
    <w:rsid w:val="00000C59"/>
    <w:rsid w:val="00001046"/>
    <w:rsid w:val="000010A8"/>
    <w:rsid w:val="00001230"/>
    <w:rsid w:val="00001253"/>
    <w:rsid w:val="000013AB"/>
    <w:rsid w:val="000017BB"/>
    <w:rsid w:val="000018BA"/>
    <w:rsid w:val="0000190B"/>
    <w:rsid w:val="00001C6C"/>
    <w:rsid w:val="00001D27"/>
    <w:rsid w:val="00001D42"/>
    <w:rsid w:val="000020A8"/>
    <w:rsid w:val="000023A9"/>
    <w:rsid w:val="00002633"/>
    <w:rsid w:val="0000263D"/>
    <w:rsid w:val="000028BD"/>
    <w:rsid w:val="00002B03"/>
    <w:rsid w:val="00002BAF"/>
    <w:rsid w:val="00002E62"/>
    <w:rsid w:val="00002FBA"/>
    <w:rsid w:val="000032B9"/>
    <w:rsid w:val="00003B1B"/>
    <w:rsid w:val="00003CFD"/>
    <w:rsid w:val="00003E8D"/>
    <w:rsid w:val="00004C01"/>
    <w:rsid w:val="00004D7C"/>
    <w:rsid w:val="00004E6F"/>
    <w:rsid w:val="000051E0"/>
    <w:rsid w:val="00005275"/>
    <w:rsid w:val="000052BF"/>
    <w:rsid w:val="0000565B"/>
    <w:rsid w:val="0000569D"/>
    <w:rsid w:val="00005734"/>
    <w:rsid w:val="00005D66"/>
    <w:rsid w:val="000063D7"/>
    <w:rsid w:val="000066D7"/>
    <w:rsid w:val="0000676B"/>
    <w:rsid w:val="00006D8C"/>
    <w:rsid w:val="00007308"/>
    <w:rsid w:val="00007385"/>
    <w:rsid w:val="00007BD1"/>
    <w:rsid w:val="00007E63"/>
    <w:rsid w:val="00007F9C"/>
    <w:rsid w:val="0001012F"/>
    <w:rsid w:val="000101C6"/>
    <w:rsid w:val="000103FF"/>
    <w:rsid w:val="00010424"/>
    <w:rsid w:val="00010667"/>
    <w:rsid w:val="0001077C"/>
    <w:rsid w:val="00010941"/>
    <w:rsid w:val="000109DF"/>
    <w:rsid w:val="00010A46"/>
    <w:rsid w:val="00010FC1"/>
    <w:rsid w:val="000111F4"/>
    <w:rsid w:val="000113B7"/>
    <w:rsid w:val="00011742"/>
    <w:rsid w:val="00011B67"/>
    <w:rsid w:val="00011BDD"/>
    <w:rsid w:val="00011E1E"/>
    <w:rsid w:val="00011FC0"/>
    <w:rsid w:val="00011FE3"/>
    <w:rsid w:val="0001205D"/>
    <w:rsid w:val="0001229F"/>
    <w:rsid w:val="000127CC"/>
    <w:rsid w:val="000129D5"/>
    <w:rsid w:val="00012A70"/>
    <w:rsid w:val="000130D4"/>
    <w:rsid w:val="00013233"/>
    <w:rsid w:val="0001323E"/>
    <w:rsid w:val="0001327C"/>
    <w:rsid w:val="0001389F"/>
    <w:rsid w:val="00013AC3"/>
    <w:rsid w:val="00013FAB"/>
    <w:rsid w:val="00014090"/>
    <w:rsid w:val="0001442B"/>
    <w:rsid w:val="000148CE"/>
    <w:rsid w:val="00014AF5"/>
    <w:rsid w:val="00014B15"/>
    <w:rsid w:val="0001563E"/>
    <w:rsid w:val="00015AD4"/>
    <w:rsid w:val="00015AE7"/>
    <w:rsid w:val="00015C87"/>
    <w:rsid w:val="00015E27"/>
    <w:rsid w:val="0001610A"/>
    <w:rsid w:val="00016127"/>
    <w:rsid w:val="000163AE"/>
    <w:rsid w:val="000163DF"/>
    <w:rsid w:val="00016561"/>
    <w:rsid w:val="000165A6"/>
    <w:rsid w:val="00016A25"/>
    <w:rsid w:val="00016E21"/>
    <w:rsid w:val="0001719C"/>
    <w:rsid w:val="00017411"/>
    <w:rsid w:val="00017561"/>
    <w:rsid w:val="000175A7"/>
    <w:rsid w:val="00017D3B"/>
    <w:rsid w:val="00017F53"/>
    <w:rsid w:val="0002060C"/>
    <w:rsid w:val="000206D5"/>
    <w:rsid w:val="00020C3E"/>
    <w:rsid w:val="00020CC6"/>
    <w:rsid w:val="00020DBC"/>
    <w:rsid w:val="00020E4A"/>
    <w:rsid w:val="00020E80"/>
    <w:rsid w:val="0002172A"/>
    <w:rsid w:val="00021AB8"/>
    <w:rsid w:val="00021D6C"/>
    <w:rsid w:val="00021FCC"/>
    <w:rsid w:val="000220F0"/>
    <w:rsid w:val="0002224D"/>
    <w:rsid w:val="0002224E"/>
    <w:rsid w:val="0002229B"/>
    <w:rsid w:val="000222DF"/>
    <w:rsid w:val="00022946"/>
    <w:rsid w:val="000229F7"/>
    <w:rsid w:val="00022ECA"/>
    <w:rsid w:val="000230C5"/>
    <w:rsid w:val="00023468"/>
    <w:rsid w:val="0002368B"/>
    <w:rsid w:val="00023A5C"/>
    <w:rsid w:val="00023B7B"/>
    <w:rsid w:val="0002402B"/>
    <w:rsid w:val="000242D7"/>
    <w:rsid w:val="0002443B"/>
    <w:rsid w:val="00024681"/>
    <w:rsid w:val="000246DF"/>
    <w:rsid w:val="00024E7D"/>
    <w:rsid w:val="00024F5C"/>
    <w:rsid w:val="00024FA5"/>
    <w:rsid w:val="000251C5"/>
    <w:rsid w:val="0002523C"/>
    <w:rsid w:val="000254B8"/>
    <w:rsid w:val="00025E4A"/>
    <w:rsid w:val="00025F2D"/>
    <w:rsid w:val="0002601D"/>
    <w:rsid w:val="000260EB"/>
    <w:rsid w:val="0002661A"/>
    <w:rsid w:val="00026F91"/>
    <w:rsid w:val="000270BE"/>
    <w:rsid w:val="00027123"/>
    <w:rsid w:val="0002782F"/>
    <w:rsid w:val="00027F41"/>
    <w:rsid w:val="00027FB8"/>
    <w:rsid w:val="000301A7"/>
    <w:rsid w:val="000301E8"/>
    <w:rsid w:val="0003043A"/>
    <w:rsid w:val="00030C7E"/>
    <w:rsid w:val="00031164"/>
    <w:rsid w:val="00031269"/>
    <w:rsid w:val="0003195F"/>
    <w:rsid w:val="00031CC2"/>
    <w:rsid w:val="000320C9"/>
    <w:rsid w:val="00032439"/>
    <w:rsid w:val="00032946"/>
    <w:rsid w:val="00033A65"/>
    <w:rsid w:val="00033EF9"/>
    <w:rsid w:val="00033F3C"/>
    <w:rsid w:val="00034106"/>
    <w:rsid w:val="0003411E"/>
    <w:rsid w:val="0003417C"/>
    <w:rsid w:val="00034324"/>
    <w:rsid w:val="000345D2"/>
    <w:rsid w:val="00034F62"/>
    <w:rsid w:val="0003548E"/>
    <w:rsid w:val="00035631"/>
    <w:rsid w:val="00035ECB"/>
    <w:rsid w:val="00035F11"/>
    <w:rsid w:val="000361CE"/>
    <w:rsid w:val="00036358"/>
    <w:rsid w:val="000366A5"/>
    <w:rsid w:val="00036C8A"/>
    <w:rsid w:val="00036D0C"/>
    <w:rsid w:val="00036E61"/>
    <w:rsid w:val="0003712D"/>
    <w:rsid w:val="000374D8"/>
    <w:rsid w:val="0003791B"/>
    <w:rsid w:val="00037A1C"/>
    <w:rsid w:val="00037CCC"/>
    <w:rsid w:val="00037D46"/>
    <w:rsid w:val="00037D60"/>
    <w:rsid w:val="0004000E"/>
    <w:rsid w:val="000403CD"/>
    <w:rsid w:val="00040548"/>
    <w:rsid w:val="000405FA"/>
    <w:rsid w:val="00040782"/>
    <w:rsid w:val="000409DA"/>
    <w:rsid w:val="00040AD7"/>
    <w:rsid w:val="00040D68"/>
    <w:rsid w:val="00040EE8"/>
    <w:rsid w:val="00040F5C"/>
    <w:rsid w:val="00040F6A"/>
    <w:rsid w:val="000415FD"/>
    <w:rsid w:val="00041640"/>
    <w:rsid w:val="000419BF"/>
    <w:rsid w:val="000419D1"/>
    <w:rsid w:val="00041A60"/>
    <w:rsid w:val="00041CA4"/>
    <w:rsid w:val="00041D50"/>
    <w:rsid w:val="00041FC9"/>
    <w:rsid w:val="00042002"/>
    <w:rsid w:val="00042376"/>
    <w:rsid w:val="00042640"/>
    <w:rsid w:val="00042A3E"/>
    <w:rsid w:val="00042C68"/>
    <w:rsid w:val="00042D2D"/>
    <w:rsid w:val="00043310"/>
    <w:rsid w:val="000433FA"/>
    <w:rsid w:val="00043B7C"/>
    <w:rsid w:val="00043C65"/>
    <w:rsid w:val="00043E19"/>
    <w:rsid w:val="00043F7E"/>
    <w:rsid w:val="00044002"/>
    <w:rsid w:val="000443F1"/>
    <w:rsid w:val="000445B5"/>
    <w:rsid w:val="0004462A"/>
    <w:rsid w:val="00044639"/>
    <w:rsid w:val="000449F2"/>
    <w:rsid w:val="00045407"/>
    <w:rsid w:val="000454CA"/>
    <w:rsid w:val="000458E6"/>
    <w:rsid w:val="00045F5A"/>
    <w:rsid w:val="00045FA7"/>
    <w:rsid w:val="000469EF"/>
    <w:rsid w:val="00046E2E"/>
    <w:rsid w:val="00046F64"/>
    <w:rsid w:val="0004735B"/>
    <w:rsid w:val="00047473"/>
    <w:rsid w:val="00047539"/>
    <w:rsid w:val="0004764C"/>
    <w:rsid w:val="00047667"/>
    <w:rsid w:val="000476A7"/>
    <w:rsid w:val="000478C7"/>
    <w:rsid w:val="00047C45"/>
    <w:rsid w:val="00047EA2"/>
    <w:rsid w:val="000500E9"/>
    <w:rsid w:val="0005011A"/>
    <w:rsid w:val="00050196"/>
    <w:rsid w:val="0005045A"/>
    <w:rsid w:val="00050C4F"/>
    <w:rsid w:val="00050DB6"/>
    <w:rsid w:val="00051029"/>
    <w:rsid w:val="000510EB"/>
    <w:rsid w:val="00051208"/>
    <w:rsid w:val="00051696"/>
    <w:rsid w:val="00051B3B"/>
    <w:rsid w:val="00051BCF"/>
    <w:rsid w:val="00051C1E"/>
    <w:rsid w:val="00051C37"/>
    <w:rsid w:val="00051DF7"/>
    <w:rsid w:val="00051EBE"/>
    <w:rsid w:val="00052715"/>
    <w:rsid w:val="00052E1E"/>
    <w:rsid w:val="0005357D"/>
    <w:rsid w:val="000535A6"/>
    <w:rsid w:val="00053876"/>
    <w:rsid w:val="000539F9"/>
    <w:rsid w:val="00053BAC"/>
    <w:rsid w:val="00053BAF"/>
    <w:rsid w:val="0005411F"/>
    <w:rsid w:val="00054212"/>
    <w:rsid w:val="000542B9"/>
    <w:rsid w:val="0005440C"/>
    <w:rsid w:val="0005445D"/>
    <w:rsid w:val="000544B1"/>
    <w:rsid w:val="0005463D"/>
    <w:rsid w:val="0005496D"/>
    <w:rsid w:val="00054AEF"/>
    <w:rsid w:val="00054C27"/>
    <w:rsid w:val="0005522E"/>
    <w:rsid w:val="00055989"/>
    <w:rsid w:val="00055CFE"/>
    <w:rsid w:val="00055D50"/>
    <w:rsid w:val="00055DE0"/>
    <w:rsid w:val="00055EB2"/>
    <w:rsid w:val="00055EC3"/>
    <w:rsid w:val="000563CE"/>
    <w:rsid w:val="00056B5B"/>
    <w:rsid w:val="00056B79"/>
    <w:rsid w:val="00056FC2"/>
    <w:rsid w:val="0005707A"/>
    <w:rsid w:val="0005707C"/>
    <w:rsid w:val="0005708D"/>
    <w:rsid w:val="000570E4"/>
    <w:rsid w:val="00057119"/>
    <w:rsid w:val="0005757D"/>
    <w:rsid w:val="000576F0"/>
    <w:rsid w:val="00057C54"/>
    <w:rsid w:val="00057F1C"/>
    <w:rsid w:val="00057F49"/>
    <w:rsid w:val="00057FA4"/>
    <w:rsid w:val="00060315"/>
    <w:rsid w:val="00060551"/>
    <w:rsid w:val="00060686"/>
    <w:rsid w:val="000609CE"/>
    <w:rsid w:val="00060CC9"/>
    <w:rsid w:val="000610B1"/>
    <w:rsid w:val="000610F4"/>
    <w:rsid w:val="00061255"/>
    <w:rsid w:val="000618C8"/>
    <w:rsid w:val="0006198B"/>
    <w:rsid w:val="00061A3C"/>
    <w:rsid w:val="00061DEE"/>
    <w:rsid w:val="000626E0"/>
    <w:rsid w:val="000629D9"/>
    <w:rsid w:val="000629FB"/>
    <w:rsid w:val="00062A2A"/>
    <w:rsid w:val="00062A60"/>
    <w:rsid w:val="00062A94"/>
    <w:rsid w:val="00062EF9"/>
    <w:rsid w:val="000632B1"/>
    <w:rsid w:val="0006345E"/>
    <w:rsid w:val="00063E7C"/>
    <w:rsid w:val="00063E83"/>
    <w:rsid w:val="00063F57"/>
    <w:rsid w:val="00063F94"/>
    <w:rsid w:val="00064052"/>
    <w:rsid w:val="00064057"/>
    <w:rsid w:val="000643CB"/>
    <w:rsid w:val="000646AA"/>
    <w:rsid w:val="000646F0"/>
    <w:rsid w:val="000647FF"/>
    <w:rsid w:val="00064A98"/>
    <w:rsid w:val="00064AEA"/>
    <w:rsid w:val="00064C61"/>
    <w:rsid w:val="00064DC4"/>
    <w:rsid w:val="00064F89"/>
    <w:rsid w:val="000650F2"/>
    <w:rsid w:val="000650FB"/>
    <w:rsid w:val="000651E8"/>
    <w:rsid w:val="00065477"/>
    <w:rsid w:val="000654CA"/>
    <w:rsid w:val="00065568"/>
    <w:rsid w:val="00065580"/>
    <w:rsid w:val="000655FE"/>
    <w:rsid w:val="000656BD"/>
    <w:rsid w:val="000659B6"/>
    <w:rsid w:val="00065CC4"/>
    <w:rsid w:val="00065DA9"/>
    <w:rsid w:val="00065DE2"/>
    <w:rsid w:val="000661FE"/>
    <w:rsid w:val="00066375"/>
    <w:rsid w:val="0006686F"/>
    <w:rsid w:val="00066AA0"/>
    <w:rsid w:val="00066B56"/>
    <w:rsid w:val="00066B73"/>
    <w:rsid w:val="00066DD0"/>
    <w:rsid w:val="0006722A"/>
    <w:rsid w:val="00067332"/>
    <w:rsid w:val="000673C8"/>
    <w:rsid w:val="000674DA"/>
    <w:rsid w:val="000677E8"/>
    <w:rsid w:val="00067AA1"/>
    <w:rsid w:val="00067AE6"/>
    <w:rsid w:val="00067B76"/>
    <w:rsid w:val="00067CE0"/>
    <w:rsid w:val="00067DAF"/>
    <w:rsid w:val="0007025A"/>
    <w:rsid w:val="00070357"/>
    <w:rsid w:val="00070934"/>
    <w:rsid w:val="00070ABF"/>
    <w:rsid w:val="00070C1F"/>
    <w:rsid w:val="000710D5"/>
    <w:rsid w:val="00071108"/>
    <w:rsid w:val="00071368"/>
    <w:rsid w:val="000718EC"/>
    <w:rsid w:val="00071C18"/>
    <w:rsid w:val="00071C2E"/>
    <w:rsid w:val="00071E33"/>
    <w:rsid w:val="00071FEB"/>
    <w:rsid w:val="0007215C"/>
    <w:rsid w:val="000724A6"/>
    <w:rsid w:val="00072815"/>
    <w:rsid w:val="000729C4"/>
    <w:rsid w:val="00072BF8"/>
    <w:rsid w:val="00072C10"/>
    <w:rsid w:val="00072D47"/>
    <w:rsid w:val="000732CF"/>
    <w:rsid w:val="000737DC"/>
    <w:rsid w:val="00073827"/>
    <w:rsid w:val="00073B1E"/>
    <w:rsid w:val="00073F2F"/>
    <w:rsid w:val="00074165"/>
    <w:rsid w:val="000742FD"/>
    <w:rsid w:val="00074AA8"/>
    <w:rsid w:val="00074B4A"/>
    <w:rsid w:val="00074CE7"/>
    <w:rsid w:val="00074D4A"/>
    <w:rsid w:val="00074F39"/>
    <w:rsid w:val="0007505D"/>
    <w:rsid w:val="000752EF"/>
    <w:rsid w:val="00075336"/>
    <w:rsid w:val="000755F7"/>
    <w:rsid w:val="0007580F"/>
    <w:rsid w:val="00075B96"/>
    <w:rsid w:val="0007620C"/>
    <w:rsid w:val="00076479"/>
    <w:rsid w:val="0007649C"/>
    <w:rsid w:val="000767CC"/>
    <w:rsid w:val="000769AB"/>
    <w:rsid w:val="00076A6C"/>
    <w:rsid w:val="000774DC"/>
    <w:rsid w:val="00077B95"/>
    <w:rsid w:val="00077C5D"/>
    <w:rsid w:val="00077DAC"/>
    <w:rsid w:val="00077EE8"/>
    <w:rsid w:val="0008031D"/>
    <w:rsid w:val="00080B2A"/>
    <w:rsid w:val="00080B90"/>
    <w:rsid w:val="00080DA2"/>
    <w:rsid w:val="00080E40"/>
    <w:rsid w:val="000810FF"/>
    <w:rsid w:val="0008121B"/>
    <w:rsid w:val="000818BF"/>
    <w:rsid w:val="0008196A"/>
    <w:rsid w:val="00081979"/>
    <w:rsid w:val="00082070"/>
    <w:rsid w:val="00082247"/>
    <w:rsid w:val="00082995"/>
    <w:rsid w:val="00082A09"/>
    <w:rsid w:val="00082B03"/>
    <w:rsid w:val="0008306B"/>
    <w:rsid w:val="000834A6"/>
    <w:rsid w:val="000836B5"/>
    <w:rsid w:val="00083D03"/>
    <w:rsid w:val="00083D0E"/>
    <w:rsid w:val="0008424E"/>
    <w:rsid w:val="00084498"/>
    <w:rsid w:val="0008463B"/>
    <w:rsid w:val="00084C98"/>
    <w:rsid w:val="00084E0E"/>
    <w:rsid w:val="00085615"/>
    <w:rsid w:val="00085711"/>
    <w:rsid w:val="00085DC0"/>
    <w:rsid w:val="00085E8D"/>
    <w:rsid w:val="00085F83"/>
    <w:rsid w:val="00086185"/>
    <w:rsid w:val="00086467"/>
    <w:rsid w:val="0008658A"/>
    <w:rsid w:val="00086611"/>
    <w:rsid w:val="00086D27"/>
    <w:rsid w:val="00087E14"/>
    <w:rsid w:val="00087F58"/>
    <w:rsid w:val="00087F74"/>
    <w:rsid w:val="000901C6"/>
    <w:rsid w:val="000904DC"/>
    <w:rsid w:val="00090794"/>
    <w:rsid w:val="000908EE"/>
    <w:rsid w:val="000915ED"/>
    <w:rsid w:val="0009170E"/>
    <w:rsid w:val="0009177C"/>
    <w:rsid w:val="00091AC8"/>
    <w:rsid w:val="00091E8B"/>
    <w:rsid w:val="0009209D"/>
    <w:rsid w:val="00092298"/>
    <w:rsid w:val="000922AB"/>
    <w:rsid w:val="0009247A"/>
    <w:rsid w:val="000927B9"/>
    <w:rsid w:val="0009281A"/>
    <w:rsid w:val="00092847"/>
    <w:rsid w:val="00092D6A"/>
    <w:rsid w:val="00092F8F"/>
    <w:rsid w:val="000934C7"/>
    <w:rsid w:val="000934ED"/>
    <w:rsid w:val="000936D7"/>
    <w:rsid w:val="0009395C"/>
    <w:rsid w:val="00093E88"/>
    <w:rsid w:val="000942DA"/>
    <w:rsid w:val="000946DD"/>
    <w:rsid w:val="000947E8"/>
    <w:rsid w:val="0009498C"/>
    <w:rsid w:val="00095039"/>
    <w:rsid w:val="00095194"/>
    <w:rsid w:val="00095457"/>
    <w:rsid w:val="00095482"/>
    <w:rsid w:val="000955A7"/>
    <w:rsid w:val="00095B3B"/>
    <w:rsid w:val="00095D76"/>
    <w:rsid w:val="0009600F"/>
    <w:rsid w:val="0009633A"/>
    <w:rsid w:val="000963FF"/>
    <w:rsid w:val="000969BD"/>
    <w:rsid w:val="000969BF"/>
    <w:rsid w:val="00096C02"/>
    <w:rsid w:val="00096D17"/>
    <w:rsid w:val="000973CA"/>
    <w:rsid w:val="00097539"/>
    <w:rsid w:val="0009761F"/>
    <w:rsid w:val="000976F2"/>
    <w:rsid w:val="000977F0"/>
    <w:rsid w:val="0009789D"/>
    <w:rsid w:val="000A04B1"/>
    <w:rsid w:val="000A0667"/>
    <w:rsid w:val="000A0BEB"/>
    <w:rsid w:val="000A0C22"/>
    <w:rsid w:val="000A1113"/>
    <w:rsid w:val="000A11B5"/>
    <w:rsid w:val="000A11E4"/>
    <w:rsid w:val="000A13BB"/>
    <w:rsid w:val="000A1400"/>
    <w:rsid w:val="000A216C"/>
    <w:rsid w:val="000A243C"/>
    <w:rsid w:val="000A258E"/>
    <w:rsid w:val="000A27F5"/>
    <w:rsid w:val="000A2A58"/>
    <w:rsid w:val="000A2BE0"/>
    <w:rsid w:val="000A2E04"/>
    <w:rsid w:val="000A2E74"/>
    <w:rsid w:val="000A2E85"/>
    <w:rsid w:val="000A30D4"/>
    <w:rsid w:val="000A34CE"/>
    <w:rsid w:val="000A38F5"/>
    <w:rsid w:val="000A39D5"/>
    <w:rsid w:val="000A3C43"/>
    <w:rsid w:val="000A4137"/>
    <w:rsid w:val="000A4138"/>
    <w:rsid w:val="000A440D"/>
    <w:rsid w:val="000A4894"/>
    <w:rsid w:val="000A4A51"/>
    <w:rsid w:val="000A4B84"/>
    <w:rsid w:val="000A4CA2"/>
    <w:rsid w:val="000A4F28"/>
    <w:rsid w:val="000A52AC"/>
    <w:rsid w:val="000A52BA"/>
    <w:rsid w:val="000A5336"/>
    <w:rsid w:val="000A5A3C"/>
    <w:rsid w:val="000A5B13"/>
    <w:rsid w:val="000A5B1C"/>
    <w:rsid w:val="000A5B2C"/>
    <w:rsid w:val="000A5D2B"/>
    <w:rsid w:val="000A5DBC"/>
    <w:rsid w:val="000A5DD6"/>
    <w:rsid w:val="000A641D"/>
    <w:rsid w:val="000A66DA"/>
    <w:rsid w:val="000A6CA9"/>
    <w:rsid w:val="000A6CFA"/>
    <w:rsid w:val="000A6F02"/>
    <w:rsid w:val="000A709F"/>
    <w:rsid w:val="000A726A"/>
    <w:rsid w:val="000A7566"/>
    <w:rsid w:val="000A786D"/>
    <w:rsid w:val="000A7916"/>
    <w:rsid w:val="000A79B1"/>
    <w:rsid w:val="000A7C27"/>
    <w:rsid w:val="000A7C32"/>
    <w:rsid w:val="000B0939"/>
    <w:rsid w:val="000B09DA"/>
    <w:rsid w:val="000B0F65"/>
    <w:rsid w:val="000B121E"/>
    <w:rsid w:val="000B195C"/>
    <w:rsid w:val="000B1C9C"/>
    <w:rsid w:val="000B1EB2"/>
    <w:rsid w:val="000B1F7D"/>
    <w:rsid w:val="000B21A8"/>
    <w:rsid w:val="000B244F"/>
    <w:rsid w:val="000B286C"/>
    <w:rsid w:val="000B28E5"/>
    <w:rsid w:val="000B2E24"/>
    <w:rsid w:val="000B3167"/>
    <w:rsid w:val="000B31AA"/>
    <w:rsid w:val="000B35E5"/>
    <w:rsid w:val="000B35F0"/>
    <w:rsid w:val="000B36B8"/>
    <w:rsid w:val="000B392C"/>
    <w:rsid w:val="000B3A6E"/>
    <w:rsid w:val="000B3AE7"/>
    <w:rsid w:val="000B3F46"/>
    <w:rsid w:val="000B4149"/>
    <w:rsid w:val="000B45A1"/>
    <w:rsid w:val="000B490E"/>
    <w:rsid w:val="000B4A3B"/>
    <w:rsid w:val="000B4A57"/>
    <w:rsid w:val="000B4D0B"/>
    <w:rsid w:val="000B53C9"/>
    <w:rsid w:val="000B5550"/>
    <w:rsid w:val="000B56A7"/>
    <w:rsid w:val="000B5D91"/>
    <w:rsid w:val="000B5DE3"/>
    <w:rsid w:val="000B6534"/>
    <w:rsid w:val="000B664A"/>
    <w:rsid w:val="000B6880"/>
    <w:rsid w:val="000B6C9B"/>
    <w:rsid w:val="000B7554"/>
    <w:rsid w:val="000B76DA"/>
    <w:rsid w:val="000B7781"/>
    <w:rsid w:val="000B7B73"/>
    <w:rsid w:val="000B7D7D"/>
    <w:rsid w:val="000B7EE9"/>
    <w:rsid w:val="000C0603"/>
    <w:rsid w:val="000C06F7"/>
    <w:rsid w:val="000C080F"/>
    <w:rsid w:val="000C0A57"/>
    <w:rsid w:val="000C0BD4"/>
    <w:rsid w:val="000C0CA1"/>
    <w:rsid w:val="000C0D3C"/>
    <w:rsid w:val="000C10CF"/>
    <w:rsid w:val="000C1A29"/>
    <w:rsid w:val="000C230C"/>
    <w:rsid w:val="000C2325"/>
    <w:rsid w:val="000C23F6"/>
    <w:rsid w:val="000C24A6"/>
    <w:rsid w:val="000C2A2F"/>
    <w:rsid w:val="000C2BEB"/>
    <w:rsid w:val="000C2F4B"/>
    <w:rsid w:val="000C3113"/>
    <w:rsid w:val="000C32FB"/>
    <w:rsid w:val="000C353A"/>
    <w:rsid w:val="000C3771"/>
    <w:rsid w:val="000C3803"/>
    <w:rsid w:val="000C39C1"/>
    <w:rsid w:val="000C40D0"/>
    <w:rsid w:val="000C4B19"/>
    <w:rsid w:val="000C4D88"/>
    <w:rsid w:val="000C4ED6"/>
    <w:rsid w:val="000C50A2"/>
    <w:rsid w:val="000C51E2"/>
    <w:rsid w:val="000C52BE"/>
    <w:rsid w:val="000C5345"/>
    <w:rsid w:val="000C5674"/>
    <w:rsid w:val="000C56AF"/>
    <w:rsid w:val="000C5AA3"/>
    <w:rsid w:val="000C5D75"/>
    <w:rsid w:val="000C5F00"/>
    <w:rsid w:val="000C600D"/>
    <w:rsid w:val="000C609A"/>
    <w:rsid w:val="000C6254"/>
    <w:rsid w:val="000C6AB4"/>
    <w:rsid w:val="000C6B74"/>
    <w:rsid w:val="000C6C5B"/>
    <w:rsid w:val="000C6CCF"/>
    <w:rsid w:val="000C6CE5"/>
    <w:rsid w:val="000C6DAD"/>
    <w:rsid w:val="000C70F6"/>
    <w:rsid w:val="000C7185"/>
    <w:rsid w:val="000C7371"/>
    <w:rsid w:val="000C75ED"/>
    <w:rsid w:val="000C76E0"/>
    <w:rsid w:val="000C7761"/>
    <w:rsid w:val="000C7A81"/>
    <w:rsid w:val="000C7D5A"/>
    <w:rsid w:val="000C7EBD"/>
    <w:rsid w:val="000D00D0"/>
    <w:rsid w:val="000D016D"/>
    <w:rsid w:val="000D0B29"/>
    <w:rsid w:val="000D1444"/>
    <w:rsid w:val="000D16D6"/>
    <w:rsid w:val="000D183B"/>
    <w:rsid w:val="000D218D"/>
    <w:rsid w:val="000D2253"/>
    <w:rsid w:val="000D2635"/>
    <w:rsid w:val="000D27B0"/>
    <w:rsid w:val="000D28CB"/>
    <w:rsid w:val="000D292F"/>
    <w:rsid w:val="000D2B61"/>
    <w:rsid w:val="000D2F88"/>
    <w:rsid w:val="000D3200"/>
    <w:rsid w:val="000D337E"/>
    <w:rsid w:val="000D3399"/>
    <w:rsid w:val="000D38C1"/>
    <w:rsid w:val="000D396A"/>
    <w:rsid w:val="000D39EB"/>
    <w:rsid w:val="000D3B21"/>
    <w:rsid w:val="000D3BF0"/>
    <w:rsid w:val="000D40F0"/>
    <w:rsid w:val="000D44DC"/>
    <w:rsid w:val="000D45BB"/>
    <w:rsid w:val="000D4773"/>
    <w:rsid w:val="000D4A26"/>
    <w:rsid w:val="000D4B8E"/>
    <w:rsid w:val="000D4C24"/>
    <w:rsid w:val="000D4E4E"/>
    <w:rsid w:val="000D4EE2"/>
    <w:rsid w:val="000D4F5C"/>
    <w:rsid w:val="000D54D1"/>
    <w:rsid w:val="000D55E8"/>
    <w:rsid w:val="000D56E7"/>
    <w:rsid w:val="000D5AAB"/>
    <w:rsid w:val="000D5FEC"/>
    <w:rsid w:val="000D61D5"/>
    <w:rsid w:val="000D6211"/>
    <w:rsid w:val="000D68D4"/>
    <w:rsid w:val="000D68E0"/>
    <w:rsid w:val="000D6B90"/>
    <w:rsid w:val="000D6CC7"/>
    <w:rsid w:val="000D7086"/>
    <w:rsid w:val="000D71D9"/>
    <w:rsid w:val="000D7266"/>
    <w:rsid w:val="000D731A"/>
    <w:rsid w:val="000D7466"/>
    <w:rsid w:val="000D76E0"/>
    <w:rsid w:val="000D7969"/>
    <w:rsid w:val="000D7E14"/>
    <w:rsid w:val="000D7E8B"/>
    <w:rsid w:val="000D7F96"/>
    <w:rsid w:val="000E0051"/>
    <w:rsid w:val="000E050A"/>
    <w:rsid w:val="000E0A3D"/>
    <w:rsid w:val="000E0A8D"/>
    <w:rsid w:val="000E0CE6"/>
    <w:rsid w:val="000E0FDE"/>
    <w:rsid w:val="000E123C"/>
    <w:rsid w:val="000E1325"/>
    <w:rsid w:val="000E14B3"/>
    <w:rsid w:val="000E1D41"/>
    <w:rsid w:val="000E2009"/>
    <w:rsid w:val="000E2019"/>
    <w:rsid w:val="000E208F"/>
    <w:rsid w:val="000E22E4"/>
    <w:rsid w:val="000E25E6"/>
    <w:rsid w:val="000E2B10"/>
    <w:rsid w:val="000E2C12"/>
    <w:rsid w:val="000E2E02"/>
    <w:rsid w:val="000E2E62"/>
    <w:rsid w:val="000E3023"/>
    <w:rsid w:val="000E352E"/>
    <w:rsid w:val="000E3A0F"/>
    <w:rsid w:val="000E3CCA"/>
    <w:rsid w:val="000E3CE7"/>
    <w:rsid w:val="000E4449"/>
    <w:rsid w:val="000E454E"/>
    <w:rsid w:val="000E4E55"/>
    <w:rsid w:val="000E5119"/>
    <w:rsid w:val="000E5141"/>
    <w:rsid w:val="000E522F"/>
    <w:rsid w:val="000E5244"/>
    <w:rsid w:val="000E53B8"/>
    <w:rsid w:val="000E53C6"/>
    <w:rsid w:val="000E55BB"/>
    <w:rsid w:val="000E575E"/>
    <w:rsid w:val="000E57E5"/>
    <w:rsid w:val="000E5C03"/>
    <w:rsid w:val="000E5C5B"/>
    <w:rsid w:val="000E5C87"/>
    <w:rsid w:val="000E5CA5"/>
    <w:rsid w:val="000E5DBC"/>
    <w:rsid w:val="000E5DDE"/>
    <w:rsid w:val="000E6097"/>
    <w:rsid w:val="000E61F0"/>
    <w:rsid w:val="000E6BD6"/>
    <w:rsid w:val="000E6C22"/>
    <w:rsid w:val="000E6CF1"/>
    <w:rsid w:val="000E7317"/>
    <w:rsid w:val="000E7525"/>
    <w:rsid w:val="000E7862"/>
    <w:rsid w:val="000E7AFE"/>
    <w:rsid w:val="000E7B4F"/>
    <w:rsid w:val="000E7BB8"/>
    <w:rsid w:val="000E7EAE"/>
    <w:rsid w:val="000E7F56"/>
    <w:rsid w:val="000F0837"/>
    <w:rsid w:val="000F0A31"/>
    <w:rsid w:val="000F0A4C"/>
    <w:rsid w:val="000F0CCD"/>
    <w:rsid w:val="000F12F1"/>
    <w:rsid w:val="000F15C3"/>
    <w:rsid w:val="000F1900"/>
    <w:rsid w:val="000F19E9"/>
    <w:rsid w:val="000F1BD7"/>
    <w:rsid w:val="000F25D8"/>
    <w:rsid w:val="000F2E79"/>
    <w:rsid w:val="000F3336"/>
    <w:rsid w:val="000F3357"/>
    <w:rsid w:val="000F3660"/>
    <w:rsid w:val="000F38B6"/>
    <w:rsid w:val="000F39D4"/>
    <w:rsid w:val="000F3E26"/>
    <w:rsid w:val="000F403A"/>
    <w:rsid w:val="000F41F5"/>
    <w:rsid w:val="000F46E5"/>
    <w:rsid w:val="000F47BB"/>
    <w:rsid w:val="000F4877"/>
    <w:rsid w:val="000F48E2"/>
    <w:rsid w:val="000F4B2A"/>
    <w:rsid w:val="000F4B2C"/>
    <w:rsid w:val="000F4C3F"/>
    <w:rsid w:val="000F4F50"/>
    <w:rsid w:val="000F51E4"/>
    <w:rsid w:val="000F52C2"/>
    <w:rsid w:val="000F54A6"/>
    <w:rsid w:val="000F5B9F"/>
    <w:rsid w:val="000F5D4D"/>
    <w:rsid w:val="000F5DB3"/>
    <w:rsid w:val="000F6611"/>
    <w:rsid w:val="000F6619"/>
    <w:rsid w:val="000F66C8"/>
    <w:rsid w:val="000F6CAC"/>
    <w:rsid w:val="000F6E21"/>
    <w:rsid w:val="000F73F4"/>
    <w:rsid w:val="000F764A"/>
    <w:rsid w:val="000F77D1"/>
    <w:rsid w:val="000F7D31"/>
    <w:rsid w:val="000F7DE0"/>
    <w:rsid w:val="001000CD"/>
    <w:rsid w:val="0010018E"/>
    <w:rsid w:val="0010057E"/>
    <w:rsid w:val="00100E33"/>
    <w:rsid w:val="00101103"/>
    <w:rsid w:val="001011D4"/>
    <w:rsid w:val="0010123C"/>
    <w:rsid w:val="001014C5"/>
    <w:rsid w:val="00101757"/>
    <w:rsid w:val="0010179A"/>
    <w:rsid w:val="001017C7"/>
    <w:rsid w:val="0010188F"/>
    <w:rsid w:val="001019D0"/>
    <w:rsid w:val="00101B55"/>
    <w:rsid w:val="00101C69"/>
    <w:rsid w:val="0010212A"/>
    <w:rsid w:val="001021BD"/>
    <w:rsid w:val="00102592"/>
    <w:rsid w:val="001025B8"/>
    <w:rsid w:val="00102818"/>
    <w:rsid w:val="0010283C"/>
    <w:rsid w:val="00102A84"/>
    <w:rsid w:val="00102B3D"/>
    <w:rsid w:val="00103829"/>
    <w:rsid w:val="00103AC9"/>
    <w:rsid w:val="00103E2B"/>
    <w:rsid w:val="00104625"/>
    <w:rsid w:val="00104629"/>
    <w:rsid w:val="00104A88"/>
    <w:rsid w:val="00104B93"/>
    <w:rsid w:val="001052F1"/>
    <w:rsid w:val="00105E63"/>
    <w:rsid w:val="001060AF"/>
    <w:rsid w:val="0010610D"/>
    <w:rsid w:val="001061B2"/>
    <w:rsid w:val="001062C2"/>
    <w:rsid w:val="00107190"/>
    <w:rsid w:val="001073FE"/>
    <w:rsid w:val="0010768C"/>
    <w:rsid w:val="001076A8"/>
    <w:rsid w:val="001077CF"/>
    <w:rsid w:val="0010781B"/>
    <w:rsid w:val="00107C45"/>
    <w:rsid w:val="00107C5A"/>
    <w:rsid w:val="00107CDC"/>
    <w:rsid w:val="00110097"/>
    <w:rsid w:val="00110126"/>
    <w:rsid w:val="00110428"/>
    <w:rsid w:val="0011071A"/>
    <w:rsid w:val="00110722"/>
    <w:rsid w:val="00110B67"/>
    <w:rsid w:val="00110D15"/>
    <w:rsid w:val="00110E5C"/>
    <w:rsid w:val="00110EDA"/>
    <w:rsid w:val="00111052"/>
    <w:rsid w:val="001110F9"/>
    <w:rsid w:val="0011115D"/>
    <w:rsid w:val="00111428"/>
    <w:rsid w:val="001116B1"/>
    <w:rsid w:val="001118FC"/>
    <w:rsid w:val="00111B96"/>
    <w:rsid w:val="00111C5E"/>
    <w:rsid w:val="00111FCE"/>
    <w:rsid w:val="00112234"/>
    <w:rsid w:val="0011236B"/>
    <w:rsid w:val="00112875"/>
    <w:rsid w:val="00112888"/>
    <w:rsid w:val="00112936"/>
    <w:rsid w:val="00112ACC"/>
    <w:rsid w:val="00112AED"/>
    <w:rsid w:val="00112FC6"/>
    <w:rsid w:val="00113435"/>
    <w:rsid w:val="00113576"/>
    <w:rsid w:val="001137C1"/>
    <w:rsid w:val="00113806"/>
    <w:rsid w:val="001138CC"/>
    <w:rsid w:val="00113D8C"/>
    <w:rsid w:val="00113F70"/>
    <w:rsid w:val="00113FF3"/>
    <w:rsid w:val="00114405"/>
    <w:rsid w:val="00114864"/>
    <w:rsid w:val="00114905"/>
    <w:rsid w:val="00114B2D"/>
    <w:rsid w:val="00114CE4"/>
    <w:rsid w:val="00114D15"/>
    <w:rsid w:val="00115118"/>
    <w:rsid w:val="0011568E"/>
    <w:rsid w:val="00115791"/>
    <w:rsid w:val="00115A68"/>
    <w:rsid w:val="00115ABB"/>
    <w:rsid w:val="00115B07"/>
    <w:rsid w:val="00115B0E"/>
    <w:rsid w:val="00115D43"/>
    <w:rsid w:val="00115E84"/>
    <w:rsid w:val="00115EA0"/>
    <w:rsid w:val="001161D8"/>
    <w:rsid w:val="0011628D"/>
    <w:rsid w:val="001164EA"/>
    <w:rsid w:val="0011666A"/>
    <w:rsid w:val="0011739B"/>
    <w:rsid w:val="0011749C"/>
    <w:rsid w:val="00117728"/>
    <w:rsid w:val="001178EE"/>
    <w:rsid w:val="00117ADD"/>
    <w:rsid w:val="00117D3F"/>
    <w:rsid w:val="00117DF8"/>
    <w:rsid w:val="001206D7"/>
    <w:rsid w:val="0012081C"/>
    <w:rsid w:val="001209FC"/>
    <w:rsid w:val="00120A77"/>
    <w:rsid w:val="00121583"/>
    <w:rsid w:val="001215A2"/>
    <w:rsid w:val="0012165E"/>
    <w:rsid w:val="001216FB"/>
    <w:rsid w:val="001217C7"/>
    <w:rsid w:val="00121983"/>
    <w:rsid w:val="00121A03"/>
    <w:rsid w:val="00121A9B"/>
    <w:rsid w:val="00121F70"/>
    <w:rsid w:val="0012201B"/>
    <w:rsid w:val="001221BA"/>
    <w:rsid w:val="00122240"/>
    <w:rsid w:val="00122802"/>
    <w:rsid w:val="001229A5"/>
    <w:rsid w:val="00122F87"/>
    <w:rsid w:val="001230DA"/>
    <w:rsid w:val="001231D3"/>
    <w:rsid w:val="00123505"/>
    <w:rsid w:val="0012357B"/>
    <w:rsid w:val="0012381C"/>
    <w:rsid w:val="00123A51"/>
    <w:rsid w:val="00123AE2"/>
    <w:rsid w:val="00123BA8"/>
    <w:rsid w:val="00123BF1"/>
    <w:rsid w:val="00123C05"/>
    <w:rsid w:val="00123F1D"/>
    <w:rsid w:val="00124080"/>
    <w:rsid w:val="0012409C"/>
    <w:rsid w:val="00124128"/>
    <w:rsid w:val="00124141"/>
    <w:rsid w:val="0012414E"/>
    <w:rsid w:val="00124167"/>
    <w:rsid w:val="00124232"/>
    <w:rsid w:val="00124454"/>
    <w:rsid w:val="001246F8"/>
    <w:rsid w:val="0012489B"/>
    <w:rsid w:val="00124D77"/>
    <w:rsid w:val="00124DE4"/>
    <w:rsid w:val="00125067"/>
    <w:rsid w:val="0012548D"/>
    <w:rsid w:val="00125B1C"/>
    <w:rsid w:val="00125C80"/>
    <w:rsid w:val="00125E68"/>
    <w:rsid w:val="00125FC9"/>
    <w:rsid w:val="00126056"/>
    <w:rsid w:val="00126264"/>
    <w:rsid w:val="00126776"/>
    <w:rsid w:val="00126BB5"/>
    <w:rsid w:val="00126CB6"/>
    <w:rsid w:val="00126E4C"/>
    <w:rsid w:val="00127496"/>
    <w:rsid w:val="0012749A"/>
    <w:rsid w:val="001278FC"/>
    <w:rsid w:val="00127B59"/>
    <w:rsid w:val="00127CAB"/>
    <w:rsid w:val="00130017"/>
    <w:rsid w:val="001308D1"/>
    <w:rsid w:val="001308EB"/>
    <w:rsid w:val="00130A3A"/>
    <w:rsid w:val="00130AFC"/>
    <w:rsid w:val="00130CCA"/>
    <w:rsid w:val="00130F91"/>
    <w:rsid w:val="00131002"/>
    <w:rsid w:val="0013101D"/>
    <w:rsid w:val="00131041"/>
    <w:rsid w:val="001311FF"/>
    <w:rsid w:val="0013128A"/>
    <w:rsid w:val="00131661"/>
    <w:rsid w:val="00131F40"/>
    <w:rsid w:val="0013210C"/>
    <w:rsid w:val="00132A3A"/>
    <w:rsid w:val="00132B09"/>
    <w:rsid w:val="00132B84"/>
    <w:rsid w:val="00132BC6"/>
    <w:rsid w:val="00132D65"/>
    <w:rsid w:val="00133204"/>
    <w:rsid w:val="0013345D"/>
    <w:rsid w:val="001337E3"/>
    <w:rsid w:val="00133E30"/>
    <w:rsid w:val="00133FB3"/>
    <w:rsid w:val="00133FC5"/>
    <w:rsid w:val="00133FE5"/>
    <w:rsid w:val="00134131"/>
    <w:rsid w:val="0013440A"/>
    <w:rsid w:val="001349ED"/>
    <w:rsid w:val="00134BC0"/>
    <w:rsid w:val="00134FFB"/>
    <w:rsid w:val="0013513C"/>
    <w:rsid w:val="001352AC"/>
    <w:rsid w:val="00135353"/>
    <w:rsid w:val="001355CA"/>
    <w:rsid w:val="001356EE"/>
    <w:rsid w:val="001357EF"/>
    <w:rsid w:val="0013592F"/>
    <w:rsid w:val="00135D39"/>
    <w:rsid w:val="00135DC3"/>
    <w:rsid w:val="0013606C"/>
    <w:rsid w:val="00136B80"/>
    <w:rsid w:val="00136E32"/>
    <w:rsid w:val="00137279"/>
    <w:rsid w:val="00137424"/>
    <w:rsid w:val="001376E5"/>
    <w:rsid w:val="001400D4"/>
    <w:rsid w:val="00140240"/>
    <w:rsid w:val="00140318"/>
    <w:rsid w:val="00140589"/>
    <w:rsid w:val="001407B1"/>
    <w:rsid w:val="00140DA9"/>
    <w:rsid w:val="00140F39"/>
    <w:rsid w:val="0014181C"/>
    <w:rsid w:val="001418A5"/>
    <w:rsid w:val="00141AD9"/>
    <w:rsid w:val="001426D7"/>
    <w:rsid w:val="001426F8"/>
    <w:rsid w:val="00142708"/>
    <w:rsid w:val="00142772"/>
    <w:rsid w:val="00142A5B"/>
    <w:rsid w:val="00142A89"/>
    <w:rsid w:val="00142C48"/>
    <w:rsid w:val="00143312"/>
    <w:rsid w:val="001438A9"/>
    <w:rsid w:val="00143993"/>
    <w:rsid w:val="00143DFE"/>
    <w:rsid w:val="00144072"/>
    <w:rsid w:val="001441D6"/>
    <w:rsid w:val="00144235"/>
    <w:rsid w:val="001443A5"/>
    <w:rsid w:val="001444BE"/>
    <w:rsid w:val="00144811"/>
    <w:rsid w:val="00144B13"/>
    <w:rsid w:val="00144EF8"/>
    <w:rsid w:val="00145096"/>
    <w:rsid w:val="00145942"/>
    <w:rsid w:val="00145D28"/>
    <w:rsid w:val="00145FA4"/>
    <w:rsid w:val="00145FD5"/>
    <w:rsid w:val="0014623C"/>
    <w:rsid w:val="00146421"/>
    <w:rsid w:val="0014662D"/>
    <w:rsid w:val="00146B1A"/>
    <w:rsid w:val="00146CE6"/>
    <w:rsid w:val="00146FB5"/>
    <w:rsid w:val="001470A3"/>
    <w:rsid w:val="0014735E"/>
    <w:rsid w:val="001473AC"/>
    <w:rsid w:val="001473C7"/>
    <w:rsid w:val="0014757A"/>
    <w:rsid w:val="001477E8"/>
    <w:rsid w:val="001477F2"/>
    <w:rsid w:val="001478D2"/>
    <w:rsid w:val="00147B0D"/>
    <w:rsid w:val="00147F0C"/>
    <w:rsid w:val="001501F4"/>
    <w:rsid w:val="00150635"/>
    <w:rsid w:val="00150B67"/>
    <w:rsid w:val="00150E32"/>
    <w:rsid w:val="00150EB2"/>
    <w:rsid w:val="001511DE"/>
    <w:rsid w:val="00151263"/>
    <w:rsid w:val="00151518"/>
    <w:rsid w:val="00151DC8"/>
    <w:rsid w:val="00151E83"/>
    <w:rsid w:val="00151E99"/>
    <w:rsid w:val="001524AE"/>
    <w:rsid w:val="00152516"/>
    <w:rsid w:val="001525AB"/>
    <w:rsid w:val="001525CC"/>
    <w:rsid w:val="00152903"/>
    <w:rsid w:val="00152B4F"/>
    <w:rsid w:val="00153344"/>
    <w:rsid w:val="001537F1"/>
    <w:rsid w:val="00153945"/>
    <w:rsid w:val="00153E80"/>
    <w:rsid w:val="00153F2E"/>
    <w:rsid w:val="00153FD5"/>
    <w:rsid w:val="001540D8"/>
    <w:rsid w:val="001543E4"/>
    <w:rsid w:val="00154804"/>
    <w:rsid w:val="0015481B"/>
    <w:rsid w:val="00154BE1"/>
    <w:rsid w:val="00154D22"/>
    <w:rsid w:val="00154EB9"/>
    <w:rsid w:val="00155290"/>
    <w:rsid w:val="00155386"/>
    <w:rsid w:val="001556CE"/>
    <w:rsid w:val="0015597B"/>
    <w:rsid w:val="001559D4"/>
    <w:rsid w:val="00155A31"/>
    <w:rsid w:val="00155D31"/>
    <w:rsid w:val="00155FA4"/>
    <w:rsid w:val="0015614F"/>
    <w:rsid w:val="001567F7"/>
    <w:rsid w:val="00156A44"/>
    <w:rsid w:val="00156B40"/>
    <w:rsid w:val="00156F2F"/>
    <w:rsid w:val="001570CA"/>
    <w:rsid w:val="0015716C"/>
    <w:rsid w:val="001573B8"/>
    <w:rsid w:val="00157553"/>
    <w:rsid w:val="0015761A"/>
    <w:rsid w:val="001577C2"/>
    <w:rsid w:val="001577D8"/>
    <w:rsid w:val="00157F7F"/>
    <w:rsid w:val="001605F3"/>
    <w:rsid w:val="0016070B"/>
    <w:rsid w:val="001608C5"/>
    <w:rsid w:val="00160A4C"/>
    <w:rsid w:val="00160A93"/>
    <w:rsid w:val="00161027"/>
    <w:rsid w:val="00161177"/>
    <w:rsid w:val="00161584"/>
    <w:rsid w:val="001616BA"/>
    <w:rsid w:val="00161941"/>
    <w:rsid w:val="0016197A"/>
    <w:rsid w:val="00162093"/>
    <w:rsid w:val="0016228E"/>
    <w:rsid w:val="001623B2"/>
    <w:rsid w:val="0016250F"/>
    <w:rsid w:val="00163338"/>
    <w:rsid w:val="001633C4"/>
    <w:rsid w:val="0016342C"/>
    <w:rsid w:val="00163513"/>
    <w:rsid w:val="001635D5"/>
    <w:rsid w:val="00163608"/>
    <w:rsid w:val="001636C7"/>
    <w:rsid w:val="001639FB"/>
    <w:rsid w:val="00163EA5"/>
    <w:rsid w:val="001640BD"/>
    <w:rsid w:val="001644F5"/>
    <w:rsid w:val="00164C38"/>
    <w:rsid w:val="00165015"/>
    <w:rsid w:val="001656D0"/>
    <w:rsid w:val="00165F48"/>
    <w:rsid w:val="00165F73"/>
    <w:rsid w:val="001664C4"/>
    <w:rsid w:val="00166575"/>
    <w:rsid w:val="00166850"/>
    <w:rsid w:val="00166FA5"/>
    <w:rsid w:val="00167099"/>
    <w:rsid w:val="001670BD"/>
    <w:rsid w:val="00167133"/>
    <w:rsid w:val="00167289"/>
    <w:rsid w:val="001673E9"/>
    <w:rsid w:val="001675ED"/>
    <w:rsid w:val="00167BA4"/>
    <w:rsid w:val="00167D74"/>
    <w:rsid w:val="001700A7"/>
    <w:rsid w:val="0017064E"/>
    <w:rsid w:val="00170871"/>
    <w:rsid w:val="00170EE1"/>
    <w:rsid w:val="00171473"/>
    <w:rsid w:val="00171591"/>
    <w:rsid w:val="001715D1"/>
    <w:rsid w:val="00171986"/>
    <w:rsid w:val="00171C01"/>
    <w:rsid w:val="00171C4F"/>
    <w:rsid w:val="00172279"/>
    <w:rsid w:val="001724E2"/>
    <w:rsid w:val="00172695"/>
    <w:rsid w:val="0017298B"/>
    <w:rsid w:val="00172A0F"/>
    <w:rsid w:val="00172B26"/>
    <w:rsid w:val="00172B54"/>
    <w:rsid w:val="00172EB0"/>
    <w:rsid w:val="00173888"/>
    <w:rsid w:val="00173981"/>
    <w:rsid w:val="00173991"/>
    <w:rsid w:val="00173EC1"/>
    <w:rsid w:val="00173F24"/>
    <w:rsid w:val="00173F87"/>
    <w:rsid w:val="001757D9"/>
    <w:rsid w:val="00175F4A"/>
    <w:rsid w:val="00176275"/>
    <w:rsid w:val="001764D3"/>
    <w:rsid w:val="00176583"/>
    <w:rsid w:val="001765FC"/>
    <w:rsid w:val="00176BB4"/>
    <w:rsid w:val="00176C26"/>
    <w:rsid w:val="00176D22"/>
    <w:rsid w:val="00176E22"/>
    <w:rsid w:val="0017719D"/>
    <w:rsid w:val="001773D5"/>
    <w:rsid w:val="00177473"/>
    <w:rsid w:val="00177523"/>
    <w:rsid w:val="001777DA"/>
    <w:rsid w:val="001779E4"/>
    <w:rsid w:val="00177A40"/>
    <w:rsid w:val="00177FC0"/>
    <w:rsid w:val="00177FDF"/>
    <w:rsid w:val="00180017"/>
    <w:rsid w:val="001801F4"/>
    <w:rsid w:val="0018044B"/>
    <w:rsid w:val="001805D0"/>
    <w:rsid w:val="001809A1"/>
    <w:rsid w:val="001809E0"/>
    <w:rsid w:val="00180CBE"/>
    <w:rsid w:val="00180CD4"/>
    <w:rsid w:val="00181063"/>
    <w:rsid w:val="0018164A"/>
    <w:rsid w:val="00181690"/>
    <w:rsid w:val="001818EC"/>
    <w:rsid w:val="00181C9E"/>
    <w:rsid w:val="00181D78"/>
    <w:rsid w:val="001820EF"/>
    <w:rsid w:val="0018271D"/>
    <w:rsid w:val="00182B2D"/>
    <w:rsid w:val="00183300"/>
    <w:rsid w:val="001833D8"/>
    <w:rsid w:val="0018396F"/>
    <w:rsid w:val="00183D00"/>
    <w:rsid w:val="00183E47"/>
    <w:rsid w:val="00183EDF"/>
    <w:rsid w:val="00183FD7"/>
    <w:rsid w:val="00184D1B"/>
    <w:rsid w:val="00185173"/>
    <w:rsid w:val="00185619"/>
    <w:rsid w:val="00185CAB"/>
    <w:rsid w:val="00185D43"/>
    <w:rsid w:val="001860B9"/>
    <w:rsid w:val="00186911"/>
    <w:rsid w:val="0018698C"/>
    <w:rsid w:val="00186B43"/>
    <w:rsid w:val="00186B66"/>
    <w:rsid w:val="00186F06"/>
    <w:rsid w:val="001871AB"/>
    <w:rsid w:val="0018757E"/>
    <w:rsid w:val="001875B7"/>
    <w:rsid w:val="001878B2"/>
    <w:rsid w:val="001878E8"/>
    <w:rsid w:val="0018795D"/>
    <w:rsid w:val="00187AA5"/>
    <w:rsid w:val="00187CB3"/>
    <w:rsid w:val="00187F5C"/>
    <w:rsid w:val="00190008"/>
    <w:rsid w:val="00190041"/>
    <w:rsid w:val="001901FF"/>
    <w:rsid w:val="00190408"/>
    <w:rsid w:val="0019050A"/>
    <w:rsid w:val="001907E3"/>
    <w:rsid w:val="00190BD2"/>
    <w:rsid w:val="00190C3F"/>
    <w:rsid w:val="00191034"/>
    <w:rsid w:val="00191085"/>
    <w:rsid w:val="001910D4"/>
    <w:rsid w:val="00191164"/>
    <w:rsid w:val="00191724"/>
    <w:rsid w:val="001918E1"/>
    <w:rsid w:val="00191A25"/>
    <w:rsid w:val="00191B48"/>
    <w:rsid w:val="00191BC3"/>
    <w:rsid w:val="00191FBB"/>
    <w:rsid w:val="00192392"/>
    <w:rsid w:val="0019258A"/>
    <w:rsid w:val="001928EB"/>
    <w:rsid w:val="001936FE"/>
    <w:rsid w:val="00193828"/>
    <w:rsid w:val="00193844"/>
    <w:rsid w:val="00193A70"/>
    <w:rsid w:val="00193CCF"/>
    <w:rsid w:val="0019432F"/>
    <w:rsid w:val="0019469D"/>
    <w:rsid w:val="00194846"/>
    <w:rsid w:val="0019484B"/>
    <w:rsid w:val="001948DF"/>
    <w:rsid w:val="001949D3"/>
    <w:rsid w:val="00194B63"/>
    <w:rsid w:val="00195041"/>
    <w:rsid w:val="001950E3"/>
    <w:rsid w:val="00195534"/>
    <w:rsid w:val="0019557B"/>
    <w:rsid w:val="00195AB7"/>
    <w:rsid w:val="00195C0E"/>
    <w:rsid w:val="001962B2"/>
    <w:rsid w:val="00196553"/>
    <w:rsid w:val="00196768"/>
    <w:rsid w:val="00196BAF"/>
    <w:rsid w:val="001971EA"/>
    <w:rsid w:val="00197216"/>
    <w:rsid w:val="001974D5"/>
    <w:rsid w:val="001976E3"/>
    <w:rsid w:val="00197B39"/>
    <w:rsid w:val="00197E92"/>
    <w:rsid w:val="001A0068"/>
    <w:rsid w:val="001A05F1"/>
    <w:rsid w:val="001A0782"/>
    <w:rsid w:val="001A0B63"/>
    <w:rsid w:val="001A0B85"/>
    <w:rsid w:val="001A143F"/>
    <w:rsid w:val="001A1552"/>
    <w:rsid w:val="001A1B11"/>
    <w:rsid w:val="001A1C72"/>
    <w:rsid w:val="001A1CCF"/>
    <w:rsid w:val="001A2292"/>
    <w:rsid w:val="001A25C7"/>
    <w:rsid w:val="001A2904"/>
    <w:rsid w:val="001A2A2F"/>
    <w:rsid w:val="001A30F0"/>
    <w:rsid w:val="001A359E"/>
    <w:rsid w:val="001A3814"/>
    <w:rsid w:val="001A3E86"/>
    <w:rsid w:val="001A3EC1"/>
    <w:rsid w:val="001A3F7F"/>
    <w:rsid w:val="001A42E7"/>
    <w:rsid w:val="001A4307"/>
    <w:rsid w:val="001A44EA"/>
    <w:rsid w:val="001A44EC"/>
    <w:rsid w:val="001A469C"/>
    <w:rsid w:val="001A47A1"/>
    <w:rsid w:val="001A47A9"/>
    <w:rsid w:val="001A4D89"/>
    <w:rsid w:val="001A4FC2"/>
    <w:rsid w:val="001A5088"/>
    <w:rsid w:val="001A52A3"/>
    <w:rsid w:val="001A5433"/>
    <w:rsid w:val="001A543F"/>
    <w:rsid w:val="001A5B1D"/>
    <w:rsid w:val="001A5DAA"/>
    <w:rsid w:val="001A6339"/>
    <w:rsid w:val="001A6422"/>
    <w:rsid w:val="001A6937"/>
    <w:rsid w:val="001A6A34"/>
    <w:rsid w:val="001A6AC3"/>
    <w:rsid w:val="001A6E38"/>
    <w:rsid w:val="001A729D"/>
    <w:rsid w:val="001A75B2"/>
    <w:rsid w:val="001A76DB"/>
    <w:rsid w:val="001A7901"/>
    <w:rsid w:val="001A7C2A"/>
    <w:rsid w:val="001A7C80"/>
    <w:rsid w:val="001A7D52"/>
    <w:rsid w:val="001B035B"/>
    <w:rsid w:val="001B0437"/>
    <w:rsid w:val="001B05AC"/>
    <w:rsid w:val="001B0687"/>
    <w:rsid w:val="001B07AF"/>
    <w:rsid w:val="001B081A"/>
    <w:rsid w:val="001B0951"/>
    <w:rsid w:val="001B09F8"/>
    <w:rsid w:val="001B0F77"/>
    <w:rsid w:val="001B1102"/>
    <w:rsid w:val="001B12D2"/>
    <w:rsid w:val="001B1673"/>
    <w:rsid w:val="001B170D"/>
    <w:rsid w:val="001B1A0B"/>
    <w:rsid w:val="001B1B53"/>
    <w:rsid w:val="001B1B7A"/>
    <w:rsid w:val="001B1CA4"/>
    <w:rsid w:val="001B1D18"/>
    <w:rsid w:val="001B272D"/>
    <w:rsid w:val="001B2850"/>
    <w:rsid w:val="001B2889"/>
    <w:rsid w:val="001B2DB3"/>
    <w:rsid w:val="001B310F"/>
    <w:rsid w:val="001B31CF"/>
    <w:rsid w:val="001B3404"/>
    <w:rsid w:val="001B378A"/>
    <w:rsid w:val="001B3EF6"/>
    <w:rsid w:val="001B3FA1"/>
    <w:rsid w:val="001B3FE4"/>
    <w:rsid w:val="001B420E"/>
    <w:rsid w:val="001B42E1"/>
    <w:rsid w:val="001B450C"/>
    <w:rsid w:val="001B46D5"/>
    <w:rsid w:val="001B473D"/>
    <w:rsid w:val="001B4850"/>
    <w:rsid w:val="001B4CF7"/>
    <w:rsid w:val="001B4ED4"/>
    <w:rsid w:val="001B4FA5"/>
    <w:rsid w:val="001B501C"/>
    <w:rsid w:val="001B50D7"/>
    <w:rsid w:val="001B5127"/>
    <w:rsid w:val="001B58AA"/>
    <w:rsid w:val="001B5A63"/>
    <w:rsid w:val="001B5B22"/>
    <w:rsid w:val="001B5B7C"/>
    <w:rsid w:val="001B5EA2"/>
    <w:rsid w:val="001B6223"/>
    <w:rsid w:val="001B64BF"/>
    <w:rsid w:val="001B6590"/>
    <w:rsid w:val="001B6712"/>
    <w:rsid w:val="001B696E"/>
    <w:rsid w:val="001B6C04"/>
    <w:rsid w:val="001B6D1A"/>
    <w:rsid w:val="001B6E03"/>
    <w:rsid w:val="001B75F1"/>
    <w:rsid w:val="001B7611"/>
    <w:rsid w:val="001B763E"/>
    <w:rsid w:val="001B76B6"/>
    <w:rsid w:val="001B76CC"/>
    <w:rsid w:val="001B7A71"/>
    <w:rsid w:val="001B7AEF"/>
    <w:rsid w:val="001B7E48"/>
    <w:rsid w:val="001C0300"/>
    <w:rsid w:val="001C0B58"/>
    <w:rsid w:val="001C0CBB"/>
    <w:rsid w:val="001C0D0E"/>
    <w:rsid w:val="001C0E03"/>
    <w:rsid w:val="001C0F1C"/>
    <w:rsid w:val="001C17CE"/>
    <w:rsid w:val="001C18FF"/>
    <w:rsid w:val="001C2180"/>
    <w:rsid w:val="001C221D"/>
    <w:rsid w:val="001C23FF"/>
    <w:rsid w:val="001C2636"/>
    <w:rsid w:val="001C28AF"/>
    <w:rsid w:val="001C2BF4"/>
    <w:rsid w:val="001C3132"/>
    <w:rsid w:val="001C353C"/>
    <w:rsid w:val="001C36CA"/>
    <w:rsid w:val="001C37A7"/>
    <w:rsid w:val="001C37A8"/>
    <w:rsid w:val="001C37D8"/>
    <w:rsid w:val="001C39C8"/>
    <w:rsid w:val="001C3B42"/>
    <w:rsid w:val="001C414C"/>
    <w:rsid w:val="001C4163"/>
    <w:rsid w:val="001C427D"/>
    <w:rsid w:val="001C4306"/>
    <w:rsid w:val="001C44D1"/>
    <w:rsid w:val="001C478A"/>
    <w:rsid w:val="001C4808"/>
    <w:rsid w:val="001C4B76"/>
    <w:rsid w:val="001C4C83"/>
    <w:rsid w:val="001C4D7E"/>
    <w:rsid w:val="001C4DDC"/>
    <w:rsid w:val="001C4E21"/>
    <w:rsid w:val="001C4FFD"/>
    <w:rsid w:val="001C517F"/>
    <w:rsid w:val="001C597B"/>
    <w:rsid w:val="001C5E46"/>
    <w:rsid w:val="001C6117"/>
    <w:rsid w:val="001C6177"/>
    <w:rsid w:val="001C61F0"/>
    <w:rsid w:val="001C643F"/>
    <w:rsid w:val="001C6582"/>
    <w:rsid w:val="001C6A7E"/>
    <w:rsid w:val="001C6AEE"/>
    <w:rsid w:val="001C7338"/>
    <w:rsid w:val="001C754C"/>
    <w:rsid w:val="001C7630"/>
    <w:rsid w:val="001C777D"/>
    <w:rsid w:val="001C7BF2"/>
    <w:rsid w:val="001C7D99"/>
    <w:rsid w:val="001D02A7"/>
    <w:rsid w:val="001D063A"/>
    <w:rsid w:val="001D09EB"/>
    <w:rsid w:val="001D0A2E"/>
    <w:rsid w:val="001D0BEF"/>
    <w:rsid w:val="001D0CFD"/>
    <w:rsid w:val="001D19BE"/>
    <w:rsid w:val="001D1F26"/>
    <w:rsid w:val="001D20A4"/>
    <w:rsid w:val="001D2120"/>
    <w:rsid w:val="001D2969"/>
    <w:rsid w:val="001D2B02"/>
    <w:rsid w:val="001D2BC9"/>
    <w:rsid w:val="001D3119"/>
    <w:rsid w:val="001D349B"/>
    <w:rsid w:val="001D376C"/>
    <w:rsid w:val="001D3B96"/>
    <w:rsid w:val="001D3E52"/>
    <w:rsid w:val="001D3F8B"/>
    <w:rsid w:val="001D3FAD"/>
    <w:rsid w:val="001D4358"/>
    <w:rsid w:val="001D4362"/>
    <w:rsid w:val="001D4884"/>
    <w:rsid w:val="001D494F"/>
    <w:rsid w:val="001D4CF9"/>
    <w:rsid w:val="001D51CB"/>
    <w:rsid w:val="001D52B8"/>
    <w:rsid w:val="001D53BE"/>
    <w:rsid w:val="001D5911"/>
    <w:rsid w:val="001D59F8"/>
    <w:rsid w:val="001D5AFF"/>
    <w:rsid w:val="001D5FA8"/>
    <w:rsid w:val="001D61B4"/>
    <w:rsid w:val="001D61D7"/>
    <w:rsid w:val="001D63BA"/>
    <w:rsid w:val="001D63C7"/>
    <w:rsid w:val="001D66A7"/>
    <w:rsid w:val="001D6D15"/>
    <w:rsid w:val="001D6F68"/>
    <w:rsid w:val="001D6F6E"/>
    <w:rsid w:val="001D727B"/>
    <w:rsid w:val="001D72BA"/>
    <w:rsid w:val="001D766D"/>
    <w:rsid w:val="001D76E6"/>
    <w:rsid w:val="001D7C04"/>
    <w:rsid w:val="001E0016"/>
    <w:rsid w:val="001E0B0C"/>
    <w:rsid w:val="001E0DF4"/>
    <w:rsid w:val="001E1270"/>
    <w:rsid w:val="001E15CA"/>
    <w:rsid w:val="001E15E1"/>
    <w:rsid w:val="001E1833"/>
    <w:rsid w:val="001E1B65"/>
    <w:rsid w:val="001E2468"/>
    <w:rsid w:val="001E2583"/>
    <w:rsid w:val="001E2C33"/>
    <w:rsid w:val="001E2C64"/>
    <w:rsid w:val="001E3005"/>
    <w:rsid w:val="001E3125"/>
    <w:rsid w:val="001E3172"/>
    <w:rsid w:val="001E3228"/>
    <w:rsid w:val="001E333A"/>
    <w:rsid w:val="001E3372"/>
    <w:rsid w:val="001E374D"/>
    <w:rsid w:val="001E3787"/>
    <w:rsid w:val="001E3956"/>
    <w:rsid w:val="001E3A8F"/>
    <w:rsid w:val="001E3A98"/>
    <w:rsid w:val="001E3C7A"/>
    <w:rsid w:val="001E40DD"/>
    <w:rsid w:val="001E40F9"/>
    <w:rsid w:val="001E41D5"/>
    <w:rsid w:val="001E44D2"/>
    <w:rsid w:val="001E48DE"/>
    <w:rsid w:val="001E4C2C"/>
    <w:rsid w:val="001E5274"/>
    <w:rsid w:val="001E530C"/>
    <w:rsid w:val="001E5449"/>
    <w:rsid w:val="001E5885"/>
    <w:rsid w:val="001E59D9"/>
    <w:rsid w:val="001E5A4A"/>
    <w:rsid w:val="001E5AB1"/>
    <w:rsid w:val="001E5C04"/>
    <w:rsid w:val="001E6137"/>
    <w:rsid w:val="001E6669"/>
    <w:rsid w:val="001E67A0"/>
    <w:rsid w:val="001E6AF5"/>
    <w:rsid w:val="001E6D41"/>
    <w:rsid w:val="001E6FEA"/>
    <w:rsid w:val="001E70D8"/>
    <w:rsid w:val="001E7166"/>
    <w:rsid w:val="001E7B95"/>
    <w:rsid w:val="001E7C05"/>
    <w:rsid w:val="001F0040"/>
    <w:rsid w:val="001F03F1"/>
    <w:rsid w:val="001F0531"/>
    <w:rsid w:val="001F181A"/>
    <w:rsid w:val="001F1E22"/>
    <w:rsid w:val="001F1F4F"/>
    <w:rsid w:val="001F20C3"/>
    <w:rsid w:val="001F20F5"/>
    <w:rsid w:val="001F2399"/>
    <w:rsid w:val="001F25DE"/>
    <w:rsid w:val="001F2792"/>
    <w:rsid w:val="001F2D19"/>
    <w:rsid w:val="001F2ECD"/>
    <w:rsid w:val="001F307F"/>
    <w:rsid w:val="001F3495"/>
    <w:rsid w:val="001F3CAC"/>
    <w:rsid w:val="001F3E7B"/>
    <w:rsid w:val="001F4382"/>
    <w:rsid w:val="001F4473"/>
    <w:rsid w:val="001F4791"/>
    <w:rsid w:val="001F4890"/>
    <w:rsid w:val="001F4E3F"/>
    <w:rsid w:val="001F51FF"/>
    <w:rsid w:val="001F52CA"/>
    <w:rsid w:val="001F53C6"/>
    <w:rsid w:val="001F55C9"/>
    <w:rsid w:val="001F565B"/>
    <w:rsid w:val="001F5787"/>
    <w:rsid w:val="001F5BED"/>
    <w:rsid w:val="001F5C40"/>
    <w:rsid w:val="001F5DCD"/>
    <w:rsid w:val="001F5E1C"/>
    <w:rsid w:val="001F5EA0"/>
    <w:rsid w:val="001F5F10"/>
    <w:rsid w:val="001F634F"/>
    <w:rsid w:val="001F63F9"/>
    <w:rsid w:val="001F68F7"/>
    <w:rsid w:val="001F694F"/>
    <w:rsid w:val="001F6A12"/>
    <w:rsid w:val="001F6C3D"/>
    <w:rsid w:val="001F7558"/>
    <w:rsid w:val="001F7577"/>
    <w:rsid w:val="001F75A5"/>
    <w:rsid w:val="001F7645"/>
    <w:rsid w:val="001F76E6"/>
    <w:rsid w:val="001F7E22"/>
    <w:rsid w:val="00200105"/>
    <w:rsid w:val="0020014B"/>
    <w:rsid w:val="002001E9"/>
    <w:rsid w:val="0020049B"/>
    <w:rsid w:val="0020051D"/>
    <w:rsid w:val="0020051E"/>
    <w:rsid w:val="00200768"/>
    <w:rsid w:val="002008E9"/>
    <w:rsid w:val="00200924"/>
    <w:rsid w:val="00200AE7"/>
    <w:rsid w:val="00200CFE"/>
    <w:rsid w:val="00200F25"/>
    <w:rsid w:val="002013BD"/>
    <w:rsid w:val="00201AF1"/>
    <w:rsid w:val="00201DB8"/>
    <w:rsid w:val="00201DE5"/>
    <w:rsid w:val="00201FB7"/>
    <w:rsid w:val="00201FC7"/>
    <w:rsid w:val="002024CD"/>
    <w:rsid w:val="002025FC"/>
    <w:rsid w:val="002026BE"/>
    <w:rsid w:val="002026C0"/>
    <w:rsid w:val="0020286E"/>
    <w:rsid w:val="0020287F"/>
    <w:rsid w:val="0020289D"/>
    <w:rsid w:val="00202F16"/>
    <w:rsid w:val="002038D0"/>
    <w:rsid w:val="00203F63"/>
    <w:rsid w:val="0020408F"/>
    <w:rsid w:val="002041BD"/>
    <w:rsid w:val="0020445B"/>
    <w:rsid w:val="0020488C"/>
    <w:rsid w:val="0020491D"/>
    <w:rsid w:val="00204FD4"/>
    <w:rsid w:val="0020501E"/>
    <w:rsid w:val="00205514"/>
    <w:rsid w:val="002055BA"/>
    <w:rsid w:val="00205768"/>
    <w:rsid w:val="002058AE"/>
    <w:rsid w:val="00205997"/>
    <w:rsid w:val="00205B57"/>
    <w:rsid w:val="00205E5A"/>
    <w:rsid w:val="00205F0B"/>
    <w:rsid w:val="00205F38"/>
    <w:rsid w:val="00205F9D"/>
    <w:rsid w:val="002062EB"/>
    <w:rsid w:val="00206336"/>
    <w:rsid w:val="002064DB"/>
    <w:rsid w:val="00206922"/>
    <w:rsid w:val="00206A1E"/>
    <w:rsid w:val="00206EC6"/>
    <w:rsid w:val="00206F27"/>
    <w:rsid w:val="00207199"/>
    <w:rsid w:val="0020740B"/>
    <w:rsid w:val="0020762C"/>
    <w:rsid w:val="00207915"/>
    <w:rsid w:val="00207B11"/>
    <w:rsid w:val="002104A1"/>
    <w:rsid w:val="00210857"/>
    <w:rsid w:val="00210980"/>
    <w:rsid w:val="00210EE0"/>
    <w:rsid w:val="00210F14"/>
    <w:rsid w:val="00211031"/>
    <w:rsid w:val="002111ED"/>
    <w:rsid w:val="00211AFF"/>
    <w:rsid w:val="00211D44"/>
    <w:rsid w:val="00212268"/>
    <w:rsid w:val="0021241B"/>
    <w:rsid w:val="002127EF"/>
    <w:rsid w:val="0021280A"/>
    <w:rsid w:val="00212DF8"/>
    <w:rsid w:val="00213104"/>
    <w:rsid w:val="002133A1"/>
    <w:rsid w:val="00213486"/>
    <w:rsid w:val="0021381F"/>
    <w:rsid w:val="002139BD"/>
    <w:rsid w:val="00213B58"/>
    <w:rsid w:val="00213C1A"/>
    <w:rsid w:val="0021404A"/>
    <w:rsid w:val="00214171"/>
    <w:rsid w:val="00214465"/>
    <w:rsid w:val="00214700"/>
    <w:rsid w:val="00214A2B"/>
    <w:rsid w:val="00214D93"/>
    <w:rsid w:val="00214E77"/>
    <w:rsid w:val="00215006"/>
    <w:rsid w:val="002152E1"/>
    <w:rsid w:val="002157E0"/>
    <w:rsid w:val="002157E7"/>
    <w:rsid w:val="00215AD1"/>
    <w:rsid w:val="002160B3"/>
    <w:rsid w:val="00216A57"/>
    <w:rsid w:val="00216A86"/>
    <w:rsid w:val="00216EAE"/>
    <w:rsid w:val="00216F58"/>
    <w:rsid w:val="00216FFC"/>
    <w:rsid w:val="0021703C"/>
    <w:rsid w:val="002175AB"/>
    <w:rsid w:val="00217852"/>
    <w:rsid w:val="00217C7C"/>
    <w:rsid w:val="00217D43"/>
    <w:rsid w:val="0022063D"/>
    <w:rsid w:val="0022070E"/>
    <w:rsid w:val="00220775"/>
    <w:rsid w:val="00220C13"/>
    <w:rsid w:val="00220FF6"/>
    <w:rsid w:val="002210D9"/>
    <w:rsid w:val="00221421"/>
    <w:rsid w:val="00221A0F"/>
    <w:rsid w:val="002225DD"/>
    <w:rsid w:val="002225E4"/>
    <w:rsid w:val="0022278D"/>
    <w:rsid w:val="0022282E"/>
    <w:rsid w:val="0022303A"/>
    <w:rsid w:val="00223132"/>
    <w:rsid w:val="0022334F"/>
    <w:rsid w:val="00223691"/>
    <w:rsid w:val="002236BB"/>
    <w:rsid w:val="00223C73"/>
    <w:rsid w:val="00223D30"/>
    <w:rsid w:val="00223D9D"/>
    <w:rsid w:val="0022429D"/>
    <w:rsid w:val="00224596"/>
    <w:rsid w:val="00224F2C"/>
    <w:rsid w:val="00225351"/>
    <w:rsid w:val="0022541D"/>
    <w:rsid w:val="0022547B"/>
    <w:rsid w:val="002254DB"/>
    <w:rsid w:val="0022550C"/>
    <w:rsid w:val="0022551C"/>
    <w:rsid w:val="002256FC"/>
    <w:rsid w:val="00225774"/>
    <w:rsid w:val="00225799"/>
    <w:rsid w:val="002258BF"/>
    <w:rsid w:val="00225AFF"/>
    <w:rsid w:val="00225B46"/>
    <w:rsid w:val="00225E2F"/>
    <w:rsid w:val="00225FC8"/>
    <w:rsid w:val="0022609D"/>
    <w:rsid w:val="002263B2"/>
    <w:rsid w:val="00226819"/>
    <w:rsid w:val="00226BDF"/>
    <w:rsid w:val="00226C2F"/>
    <w:rsid w:val="00226D46"/>
    <w:rsid w:val="00226E18"/>
    <w:rsid w:val="0022739C"/>
    <w:rsid w:val="00227C89"/>
    <w:rsid w:val="0023020D"/>
    <w:rsid w:val="00230367"/>
    <w:rsid w:val="0023072A"/>
    <w:rsid w:val="00230F28"/>
    <w:rsid w:val="00230FEC"/>
    <w:rsid w:val="00231075"/>
    <w:rsid w:val="00231221"/>
    <w:rsid w:val="002312D5"/>
    <w:rsid w:val="00231397"/>
    <w:rsid w:val="00231649"/>
    <w:rsid w:val="002319FC"/>
    <w:rsid w:val="00231D4A"/>
    <w:rsid w:val="00231F13"/>
    <w:rsid w:val="0023233B"/>
    <w:rsid w:val="002323D0"/>
    <w:rsid w:val="0023248A"/>
    <w:rsid w:val="00233053"/>
    <w:rsid w:val="00233101"/>
    <w:rsid w:val="0023319A"/>
    <w:rsid w:val="0023347D"/>
    <w:rsid w:val="00233575"/>
    <w:rsid w:val="002336EF"/>
    <w:rsid w:val="00233817"/>
    <w:rsid w:val="00233921"/>
    <w:rsid w:val="00233BF2"/>
    <w:rsid w:val="00233C52"/>
    <w:rsid w:val="00233CC3"/>
    <w:rsid w:val="00233E05"/>
    <w:rsid w:val="00233E65"/>
    <w:rsid w:val="002340E3"/>
    <w:rsid w:val="002342AE"/>
    <w:rsid w:val="0023446C"/>
    <w:rsid w:val="00234509"/>
    <w:rsid w:val="00234516"/>
    <w:rsid w:val="002345FB"/>
    <w:rsid w:val="0023477F"/>
    <w:rsid w:val="00234C5A"/>
    <w:rsid w:val="002350CC"/>
    <w:rsid w:val="00235261"/>
    <w:rsid w:val="00235579"/>
    <w:rsid w:val="00235F31"/>
    <w:rsid w:val="002364FC"/>
    <w:rsid w:val="00236532"/>
    <w:rsid w:val="00236678"/>
    <w:rsid w:val="002367D4"/>
    <w:rsid w:val="002367FF"/>
    <w:rsid w:val="002368B2"/>
    <w:rsid w:val="00236E8C"/>
    <w:rsid w:val="002370F2"/>
    <w:rsid w:val="00237373"/>
    <w:rsid w:val="00237A13"/>
    <w:rsid w:val="00237EBB"/>
    <w:rsid w:val="002400EF"/>
    <w:rsid w:val="0024022B"/>
    <w:rsid w:val="00240367"/>
    <w:rsid w:val="002409C9"/>
    <w:rsid w:val="00240CB1"/>
    <w:rsid w:val="00240CE9"/>
    <w:rsid w:val="00241191"/>
    <w:rsid w:val="00241747"/>
    <w:rsid w:val="00241986"/>
    <w:rsid w:val="00242011"/>
    <w:rsid w:val="00242238"/>
    <w:rsid w:val="00242304"/>
    <w:rsid w:val="00242754"/>
    <w:rsid w:val="00242CFC"/>
    <w:rsid w:val="00242E62"/>
    <w:rsid w:val="00242F3B"/>
    <w:rsid w:val="0024313C"/>
    <w:rsid w:val="00243170"/>
    <w:rsid w:val="00243182"/>
    <w:rsid w:val="00243330"/>
    <w:rsid w:val="002434BA"/>
    <w:rsid w:val="00243680"/>
    <w:rsid w:val="00243870"/>
    <w:rsid w:val="00243966"/>
    <w:rsid w:val="00243C8F"/>
    <w:rsid w:val="00243F7D"/>
    <w:rsid w:val="0024450C"/>
    <w:rsid w:val="00244F54"/>
    <w:rsid w:val="00245069"/>
    <w:rsid w:val="0024527A"/>
    <w:rsid w:val="0024566B"/>
    <w:rsid w:val="0024592D"/>
    <w:rsid w:val="00245C0E"/>
    <w:rsid w:val="00246089"/>
    <w:rsid w:val="00246093"/>
    <w:rsid w:val="002460B3"/>
    <w:rsid w:val="002460EB"/>
    <w:rsid w:val="00246702"/>
    <w:rsid w:val="00246BA1"/>
    <w:rsid w:val="00246C58"/>
    <w:rsid w:val="00246D11"/>
    <w:rsid w:val="00246FEC"/>
    <w:rsid w:val="002472CF"/>
    <w:rsid w:val="002474DE"/>
    <w:rsid w:val="002474DF"/>
    <w:rsid w:val="002474F6"/>
    <w:rsid w:val="0024755B"/>
    <w:rsid w:val="002475D2"/>
    <w:rsid w:val="002476A8"/>
    <w:rsid w:val="00247C59"/>
    <w:rsid w:val="00247E63"/>
    <w:rsid w:val="00247F2E"/>
    <w:rsid w:val="00247F97"/>
    <w:rsid w:val="00247FE4"/>
    <w:rsid w:val="0025006A"/>
    <w:rsid w:val="00250766"/>
    <w:rsid w:val="00250818"/>
    <w:rsid w:val="0025081F"/>
    <w:rsid w:val="002509A8"/>
    <w:rsid w:val="00250ADC"/>
    <w:rsid w:val="00250B07"/>
    <w:rsid w:val="002512ED"/>
    <w:rsid w:val="002516E5"/>
    <w:rsid w:val="00251A03"/>
    <w:rsid w:val="00251C73"/>
    <w:rsid w:val="00252163"/>
    <w:rsid w:val="00252285"/>
    <w:rsid w:val="00252604"/>
    <w:rsid w:val="00252ACF"/>
    <w:rsid w:val="00252CF8"/>
    <w:rsid w:val="0025307D"/>
    <w:rsid w:val="002530BD"/>
    <w:rsid w:val="002532BF"/>
    <w:rsid w:val="00253744"/>
    <w:rsid w:val="0025399C"/>
    <w:rsid w:val="00253B7B"/>
    <w:rsid w:val="002547D3"/>
    <w:rsid w:val="00254D72"/>
    <w:rsid w:val="002552D6"/>
    <w:rsid w:val="00255402"/>
    <w:rsid w:val="00256127"/>
    <w:rsid w:val="002561FB"/>
    <w:rsid w:val="002566B6"/>
    <w:rsid w:val="0025695C"/>
    <w:rsid w:val="00257553"/>
    <w:rsid w:val="00257818"/>
    <w:rsid w:val="002579A8"/>
    <w:rsid w:val="00257D00"/>
    <w:rsid w:val="00257E98"/>
    <w:rsid w:val="002601BE"/>
    <w:rsid w:val="00260547"/>
    <w:rsid w:val="0026070D"/>
    <w:rsid w:val="00260B3F"/>
    <w:rsid w:val="00260C3E"/>
    <w:rsid w:val="00260FB2"/>
    <w:rsid w:val="0026109A"/>
    <w:rsid w:val="0026122E"/>
    <w:rsid w:val="00261247"/>
    <w:rsid w:val="002612B1"/>
    <w:rsid w:val="002616CF"/>
    <w:rsid w:val="00261818"/>
    <w:rsid w:val="00261865"/>
    <w:rsid w:val="00261C53"/>
    <w:rsid w:val="00261CA8"/>
    <w:rsid w:val="00261F27"/>
    <w:rsid w:val="00261FCD"/>
    <w:rsid w:val="0026211E"/>
    <w:rsid w:val="00262128"/>
    <w:rsid w:val="00262139"/>
    <w:rsid w:val="002624A6"/>
    <w:rsid w:val="00262770"/>
    <w:rsid w:val="002628AE"/>
    <w:rsid w:val="00262A29"/>
    <w:rsid w:val="00263489"/>
    <w:rsid w:val="00263623"/>
    <w:rsid w:val="0026368B"/>
    <w:rsid w:val="00263ADD"/>
    <w:rsid w:val="002642D6"/>
    <w:rsid w:val="00264555"/>
    <w:rsid w:val="0026479C"/>
    <w:rsid w:val="002648FD"/>
    <w:rsid w:val="00264E46"/>
    <w:rsid w:val="002651E4"/>
    <w:rsid w:val="002654B5"/>
    <w:rsid w:val="00265523"/>
    <w:rsid w:val="002657D9"/>
    <w:rsid w:val="002657E9"/>
    <w:rsid w:val="002658B9"/>
    <w:rsid w:val="002659DF"/>
    <w:rsid w:val="00265AC6"/>
    <w:rsid w:val="00265C73"/>
    <w:rsid w:val="00265E8F"/>
    <w:rsid w:val="00265FB6"/>
    <w:rsid w:val="00265FDD"/>
    <w:rsid w:val="00266297"/>
    <w:rsid w:val="002662DC"/>
    <w:rsid w:val="002664B9"/>
    <w:rsid w:val="00266584"/>
    <w:rsid w:val="0026662D"/>
    <w:rsid w:val="002667D4"/>
    <w:rsid w:val="00266A63"/>
    <w:rsid w:val="00266AD8"/>
    <w:rsid w:val="00266D60"/>
    <w:rsid w:val="00266F11"/>
    <w:rsid w:val="0026758E"/>
    <w:rsid w:val="00267652"/>
    <w:rsid w:val="002678C6"/>
    <w:rsid w:val="00267A6F"/>
    <w:rsid w:val="0027021C"/>
    <w:rsid w:val="0027091F"/>
    <w:rsid w:val="00270D8B"/>
    <w:rsid w:val="00271262"/>
    <w:rsid w:val="0027128C"/>
    <w:rsid w:val="002713EE"/>
    <w:rsid w:val="002714B8"/>
    <w:rsid w:val="0027165D"/>
    <w:rsid w:val="00271764"/>
    <w:rsid w:val="002717D0"/>
    <w:rsid w:val="00272088"/>
    <w:rsid w:val="002720A6"/>
    <w:rsid w:val="00272309"/>
    <w:rsid w:val="00272D44"/>
    <w:rsid w:val="002732D6"/>
    <w:rsid w:val="002733C0"/>
    <w:rsid w:val="00273580"/>
    <w:rsid w:val="002738F4"/>
    <w:rsid w:val="00273BF7"/>
    <w:rsid w:val="00273CEB"/>
    <w:rsid w:val="00273DAF"/>
    <w:rsid w:val="00273DB5"/>
    <w:rsid w:val="002740ED"/>
    <w:rsid w:val="00274E15"/>
    <w:rsid w:val="002752F8"/>
    <w:rsid w:val="00275DD1"/>
    <w:rsid w:val="00275EDA"/>
    <w:rsid w:val="00276546"/>
    <w:rsid w:val="002766EE"/>
    <w:rsid w:val="00276B85"/>
    <w:rsid w:val="00276BE6"/>
    <w:rsid w:val="00276C5E"/>
    <w:rsid w:val="00276DA4"/>
    <w:rsid w:val="00276ECF"/>
    <w:rsid w:val="00276F7F"/>
    <w:rsid w:val="002771D8"/>
    <w:rsid w:val="00277229"/>
    <w:rsid w:val="00277366"/>
    <w:rsid w:val="002774E6"/>
    <w:rsid w:val="002776F4"/>
    <w:rsid w:val="002803A9"/>
    <w:rsid w:val="0028045F"/>
    <w:rsid w:val="00280702"/>
    <w:rsid w:val="00280AD1"/>
    <w:rsid w:val="002813BF"/>
    <w:rsid w:val="00281521"/>
    <w:rsid w:val="002819C9"/>
    <w:rsid w:val="00281C89"/>
    <w:rsid w:val="00281E49"/>
    <w:rsid w:val="00281F41"/>
    <w:rsid w:val="0028222D"/>
    <w:rsid w:val="00282488"/>
    <w:rsid w:val="0028282F"/>
    <w:rsid w:val="002828D5"/>
    <w:rsid w:val="00282A60"/>
    <w:rsid w:val="00282E96"/>
    <w:rsid w:val="0028306F"/>
    <w:rsid w:val="002838AB"/>
    <w:rsid w:val="00283C63"/>
    <w:rsid w:val="00283D92"/>
    <w:rsid w:val="002840E1"/>
    <w:rsid w:val="0028445F"/>
    <w:rsid w:val="00284612"/>
    <w:rsid w:val="0028468E"/>
    <w:rsid w:val="002849CF"/>
    <w:rsid w:val="00284A0C"/>
    <w:rsid w:val="00284BC8"/>
    <w:rsid w:val="00284DD7"/>
    <w:rsid w:val="00285549"/>
    <w:rsid w:val="00285554"/>
    <w:rsid w:val="002856E7"/>
    <w:rsid w:val="00285C5D"/>
    <w:rsid w:val="00285CA6"/>
    <w:rsid w:val="00286214"/>
    <w:rsid w:val="00286401"/>
    <w:rsid w:val="002864B6"/>
    <w:rsid w:val="0028658C"/>
    <w:rsid w:val="00286D6B"/>
    <w:rsid w:val="00286E1A"/>
    <w:rsid w:val="00287253"/>
    <w:rsid w:val="00287335"/>
    <w:rsid w:val="00287537"/>
    <w:rsid w:val="0028782C"/>
    <w:rsid w:val="0028791A"/>
    <w:rsid w:val="00287A1C"/>
    <w:rsid w:val="002900E2"/>
    <w:rsid w:val="00290182"/>
    <w:rsid w:val="00290235"/>
    <w:rsid w:val="0029047E"/>
    <w:rsid w:val="00290D0F"/>
    <w:rsid w:val="00290D71"/>
    <w:rsid w:val="00290E92"/>
    <w:rsid w:val="00290F8A"/>
    <w:rsid w:val="0029103D"/>
    <w:rsid w:val="00291371"/>
    <w:rsid w:val="00291714"/>
    <w:rsid w:val="0029192A"/>
    <w:rsid w:val="00291B27"/>
    <w:rsid w:val="00291BB8"/>
    <w:rsid w:val="00292191"/>
    <w:rsid w:val="002926FF"/>
    <w:rsid w:val="00292911"/>
    <w:rsid w:val="00292BAD"/>
    <w:rsid w:val="00292F1A"/>
    <w:rsid w:val="002931EA"/>
    <w:rsid w:val="00293207"/>
    <w:rsid w:val="00293633"/>
    <w:rsid w:val="00293704"/>
    <w:rsid w:val="00293937"/>
    <w:rsid w:val="002939EE"/>
    <w:rsid w:val="00293B01"/>
    <w:rsid w:val="00293D5E"/>
    <w:rsid w:val="00293E0E"/>
    <w:rsid w:val="00294236"/>
    <w:rsid w:val="00294266"/>
    <w:rsid w:val="002942F7"/>
    <w:rsid w:val="00294601"/>
    <w:rsid w:val="00294691"/>
    <w:rsid w:val="00294B52"/>
    <w:rsid w:val="00294C5C"/>
    <w:rsid w:val="0029522E"/>
    <w:rsid w:val="002957B9"/>
    <w:rsid w:val="0029593B"/>
    <w:rsid w:val="002959D4"/>
    <w:rsid w:val="00295A18"/>
    <w:rsid w:val="00295B3F"/>
    <w:rsid w:val="00295BE3"/>
    <w:rsid w:val="00295E74"/>
    <w:rsid w:val="00295F01"/>
    <w:rsid w:val="00296065"/>
    <w:rsid w:val="00296167"/>
    <w:rsid w:val="00296187"/>
    <w:rsid w:val="002964BD"/>
    <w:rsid w:val="0029667D"/>
    <w:rsid w:val="0029692C"/>
    <w:rsid w:val="002969FC"/>
    <w:rsid w:val="00296D54"/>
    <w:rsid w:val="00296E5E"/>
    <w:rsid w:val="00296EFA"/>
    <w:rsid w:val="0029703F"/>
    <w:rsid w:val="00297400"/>
    <w:rsid w:val="00297691"/>
    <w:rsid w:val="00297736"/>
    <w:rsid w:val="00297CE0"/>
    <w:rsid w:val="00297FC5"/>
    <w:rsid w:val="002A00FC"/>
    <w:rsid w:val="002A029F"/>
    <w:rsid w:val="002A0417"/>
    <w:rsid w:val="002A06CC"/>
    <w:rsid w:val="002A071F"/>
    <w:rsid w:val="002A0B4E"/>
    <w:rsid w:val="002A0B90"/>
    <w:rsid w:val="002A11ED"/>
    <w:rsid w:val="002A1669"/>
    <w:rsid w:val="002A16D8"/>
    <w:rsid w:val="002A170C"/>
    <w:rsid w:val="002A1767"/>
    <w:rsid w:val="002A179F"/>
    <w:rsid w:val="002A1BB6"/>
    <w:rsid w:val="002A1BC8"/>
    <w:rsid w:val="002A2055"/>
    <w:rsid w:val="002A2220"/>
    <w:rsid w:val="002A241C"/>
    <w:rsid w:val="002A24EE"/>
    <w:rsid w:val="002A2886"/>
    <w:rsid w:val="002A3139"/>
    <w:rsid w:val="002A31A0"/>
    <w:rsid w:val="002A31E7"/>
    <w:rsid w:val="002A33DC"/>
    <w:rsid w:val="002A3EF2"/>
    <w:rsid w:val="002A4101"/>
    <w:rsid w:val="002A4293"/>
    <w:rsid w:val="002A4542"/>
    <w:rsid w:val="002A4693"/>
    <w:rsid w:val="002A4CBA"/>
    <w:rsid w:val="002A4D38"/>
    <w:rsid w:val="002A4FCA"/>
    <w:rsid w:val="002A539A"/>
    <w:rsid w:val="002A5506"/>
    <w:rsid w:val="002A572D"/>
    <w:rsid w:val="002A5AA7"/>
    <w:rsid w:val="002A5B2D"/>
    <w:rsid w:val="002A5E66"/>
    <w:rsid w:val="002A5ED1"/>
    <w:rsid w:val="002A612D"/>
    <w:rsid w:val="002A6185"/>
    <w:rsid w:val="002A6188"/>
    <w:rsid w:val="002A61D2"/>
    <w:rsid w:val="002A6CC7"/>
    <w:rsid w:val="002A6EBA"/>
    <w:rsid w:val="002A6FFA"/>
    <w:rsid w:val="002A70FF"/>
    <w:rsid w:val="002A7116"/>
    <w:rsid w:val="002A7167"/>
    <w:rsid w:val="002A7225"/>
    <w:rsid w:val="002A77C4"/>
    <w:rsid w:val="002A7AB5"/>
    <w:rsid w:val="002A7BDB"/>
    <w:rsid w:val="002A7C96"/>
    <w:rsid w:val="002A7E6D"/>
    <w:rsid w:val="002B0541"/>
    <w:rsid w:val="002B074B"/>
    <w:rsid w:val="002B0AAD"/>
    <w:rsid w:val="002B0DED"/>
    <w:rsid w:val="002B0EF6"/>
    <w:rsid w:val="002B1081"/>
    <w:rsid w:val="002B1116"/>
    <w:rsid w:val="002B131A"/>
    <w:rsid w:val="002B1952"/>
    <w:rsid w:val="002B19A2"/>
    <w:rsid w:val="002B1D8F"/>
    <w:rsid w:val="002B1F12"/>
    <w:rsid w:val="002B2257"/>
    <w:rsid w:val="002B2448"/>
    <w:rsid w:val="002B291E"/>
    <w:rsid w:val="002B2BED"/>
    <w:rsid w:val="002B2F2E"/>
    <w:rsid w:val="002B2FF3"/>
    <w:rsid w:val="002B369B"/>
    <w:rsid w:val="002B380A"/>
    <w:rsid w:val="002B381A"/>
    <w:rsid w:val="002B3D33"/>
    <w:rsid w:val="002B3DEC"/>
    <w:rsid w:val="002B3F96"/>
    <w:rsid w:val="002B40C1"/>
    <w:rsid w:val="002B44DC"/>
    <w:rsid w:val="002B4826"/>
    <w:rsid w:val="002B494D"/>
    <w:rsid w:val="002B4A0A"/>
    <w:rsid w:val="002B4C0F"/>
    <w:rsid w:val="002B4DE7"/>
    <w:rsid w:val="002B4EA9"/>
    <w:rsid w:val="002B4FCC"/>
    <w:rsid w:val="002B54C3"/>
    <w:rsid w:val="002B5905"/>
    <w:rsid w:val="002B619D"/>
    <w:rsid w:val="002B6256"/>
    <w:rsid w:val="002B6444"/>
    <w:rsid w:val="002B6A59"/>
    <w:rsid w:val="002B70FA"/>
    <w:rsid w:val="002B7290"/>
    <w:rsid w:val="002B7408"/>
    <w:rsid w:val="002B7588"/>
    <w:rsid w:val="002B7CFD"/>
    <w:rsid w:val="002B7DE5"/>
    <w:rsid w:val="002B7F07"/>
    <w:rsid w:val="002C015E"/>
    <w:rsid w:val="002C0328"/>
    <w:rsid w:val="002C04AC"/>
    <w:rsid w:val="002C0657"/>
    <w:rsid w:val="002C0804"/>
    <w:rsid w:val="002C14E7"/>
    <w:rsid w:val="002C1562"/>
    <w:rsid w:val="002C1C12"/>
    <w:rsid w:val="002C1EC5"/>
    <w:rsid w:val="002C1FCC"/>
    <w:rsid w:val="002C210F"/>
    <w:rsid w:val="002C22BB"/>
    <w:rsid w:val="002C2521"/>
    <w:rsid w:val="002C253A"/>
    <w:rsid w:val="002C2569"/>
    <w:rsid w:val="002C2F95"/>
    <w:rsid w:val="002C32DE"/>
    <w:rsid w:val="002C32FA"/>
    <w:rsid w:val="002C334C"/>
    <w:rsid w:val="002C3401"/>
    <w:rsid w:val="002C3414"/>
    <w:rsid w:val="002C360F"/>
    <w:rsid w:val="002C3747"/>
    <w:rsid w:val="002C37B1"/>
    <w:rsid w:val="002C3994"/>
    <w:rsid w:val="002C3EA9"/>
    <w:rsid w:val="002C40B9"/>
    <w:rsid w:val="002C44EF"/>
    <w:rsid w:val="002C4520"/>
    <w:rsid w:val="002C4865"/>
    <w:rsid w:val="002C4B55"/>
    <w:rsid w:val="002C4ED3"/>
    <w:rsid w:val="002C5352"/>
    <w:rsid w:val="002C53EE"/>
    <w:rsid w:val="002C57BD"/>
    <w:rsid w:val="002C58C3"/>
    <w:rsid w:val="002C58DB"/>
    <w:rsid w:val="002C5948"/>
    <w:rsid w:val="002C59A5"/>
    <w:rsid w:val="002C5B10"/>
    <w:rsid w:val="002C5DB5"/>
    <w:rsid w:val="002C61DA"/>
    <w:rsid w:val="002C632D"/>
    <w:rsid w:val="002C64E4"/>
    <w:rsid w:val="002C65C9"/>
    <w:rsid w:val="002C689F"/>
    <w:rsid w:val="002C68BD"/>
    <w:rsid w:val="002C6981"/>
    <w:rsid w:val="002C6A30"/>
    <w:rsid w:val="002C6A94"/>
    <w:rsid w:val="002C6CB2"/>
    <w:rsid w:val="002C6DC8"/>
    <w:rsid w:val="002C6F1C"/>
    <w:rsid w:val="002C7355"/>
    <w:rsid w:val="002C7440"/>
    <w:rsid w:val="002C74C6"/>
    <w:rsid w:val="002C75CA"/>
    <w:rsid w:val="002C75FC"/>
    <w:rsid w:val="002C765A"/>
    <w:rsid w:val="002C78DE"/>
    <w:rsid w:val="002C7A0E"/>
    <w:rsid w:val="002C7C8A"/>
    <w:rsid w:val="002C7CB4"/>
    <w:rsid w:val="002C7D06"/>
    <w:rsid w:val="002C7F1F"/>
    <w:rsid w:val="002D0188"/>
    <w:rsid w:val="002D02BD"/>
    <w:rsid w:val="002D048A"/>
    <w:rsid w:val="002D05FC"/>
    <w:rsid w:val="002D0853"/>
    <w:rsid w:val="002D0916"/>
    <w:rsid w:val="002D1215"/>
    <w:rsid w:val="002D19DF"/>
    <w:rsid w:val="002D1D48"/>
    <w:rsid w:val="002D2017"/>
    <w:rsid w:val="002D2528"/>
    <w:rsid w:val="002D2642"/>
    <w:rsid w:val="002D2E47"/>
    <w:rsid w:val="002D3219"/>
    <w:rsid w:val="002D3600"/>
    <w:rsid w:val="002D3ADB"/>
    <w:rsid w:val="002D3BF9"/>
    <w:rsid w:val="002D3E68"/>
    <w:rsid w:val="002D3FE3"/>
    <w:rsid w:val="002D4491"/>
    <w:rsid w:val="002D4532"/>
    <w:rsid w:val="002D4C7D"/>
    <w:rsid w:val="002D51A6"/>
    <w:rsid w:val="002D570C"/>
    <w:rsid w:val="002D574A"/>
    <w:rsid w:val="002D5995"/>
    <w:rsid w:val="002D5A23"/>
    <w:rsid w:val="002D5F09"/>
    <w:rsid w:val="002D62C3"/>
    <w:rsid w:val="002D631C"/>
    <w:rsid w:val="002D639E"/>
    <w:rsid w:val="002D644A"/>
    <w:rsid w:val="002D64A5"/>
    <w:rsid w:val="002D69D6"/>
    <w:rsid w:val="002D6A60"/>
    <w:rsid w:val="002D769B"/>
    <w:rsid w:val="002D76D7"/>
    <w:rsid w:val="002D7804"/>
    <w:rsid w:val="002D7978"/>
    <w:rsid w:val="002D7AB2"/>
    <w:rsid w:val="002E03C7"/>
    <w:rsid w:val="002E0B37"/>
    <w:rsid w:val="002E0D8A"/>
    <w:rsid w:val="002E0DAD"/>
    <w:rsid w:val="002E156E"/>
    <w:rsid w:val="002E1793"/>
    <w:rsid w:val="002E1796"/>
    <w:rsid w:val="002E1886"/>
    <w:rsid w:val="002E1C52"/>
    <w:rsid w:val="002E1E92"/>
    <w:rsid w:val="002E1FCB"/>
    <w:rsid w:val="002E213B"/>
    <w:rsid w:val="002E21B8"/>
    <w:rsid w:val="002E2200"/>
    <w:rsid w:val="002E2230"/>
    <w:rsid w:val="002E2907"/>
    <w:rsid w:val="002E2A6E"/>
    <w:rsid w:val="002E2A92"/>
    <w:rsid w:val="002E2CFC"/>
    <w:rsid w:val="002E2DD6"/>
    <w:rsid w:val="002E32BA"/>
    <w:rsid w:val="002E3623"/>
    <w:rsid w:val="002E3A88"/>
    <w:rsid w:val="002E3B22"/>
    <w:rsid w:val="002E3C54"/>
    <w:rsid w:val="002E4AEA"/>
    <w:rsid w:val="002E4DDC"/>
    <w:rsid w:val="002E4EAA"/>
    <w:rsid w:val="002E4ECF"/>
    <w:rsid w:val="002E57FA"/>
    <w:rsid w:val="002E5AB0"/>
    <w:rsid w:val="002E5C95"/>
    <w:rsid w:val="002E5E12"/>
    <w:rsid w:val="002E6284"/>
    <w:rsid w:val="002E68E6"/>
    <w:rsid w:val="002E6F8F"/>
    <w:rsid w:val="002E7447"/>
    <w:rsid w:val="002E757B"/>
    <w:rsid w:val="002E7C17"/>
    <w:rsid w:val="002E7E6D"/>
    <w:rsid w:val="002F012C"/>
    <w:rsid w:val="002F0136"/>
    <w:rsid w:val="002F072F"/>
    <w:rsid w:val="002F088B"/>
    <w:rsid w:val="002F0A8C"/>
    <w:rsid w:val="002F0B06"/>
    <w:rsid w:val="002F0BB4"/>
    <w:rsid w:val="002F0C55"/>
    <w:rsid w:val="002F10B6"/>
    <w:rsid w:val="002F128B"/>
    <w:rsid w:val="002F1422"/>
    <w:rsid w:val="002F166B"/>
    <w:rsid w:val="002F175F"/>
    <w:rsid w:val="002F1CB5"/>
    <w:rsid w:val="002F2106"/>
    <w:rsid w:val="002F2777"/>
    <w:rsid w:val="002F2A6E"/>
    <w:rsid w:val="002F2D75"/>
    <w:rsid w:val="002F3686"/>
    <w:rsid w:val="002F3DE3"/>
    <w:rsid w:val="002F4211"/>
    <w:rsid w:val="002F450E"/>
    <w:rsid w:val="002F47B9"/>
    <w:rsid w:val="002F4948"/>
    <w:rsid w:val="002F4D94"/>
    <w:rsid w:val="002F4F7A"/>
    <w:rsid w:val="002F5087"/>
    <w:rsid w:val="002F56CC"/>
    <w:rsid w:val="002F5B33"/>
    <w:rsid w:val="002F5D1F"/>
    <w:rsid w:val="002F5D25"/>
    <w:rsid w:val="002F5E58"/>
    <w:rsid w:val="002F643C"/>
    <w:rsid w:val="002F6454"/>
    <w:rsid w:val="002F78D2"/>
    <w:rsid w:val="002F7981"/>
    <w:rsid w:val="002F7C02"/>
    <w:rsid w:val="002F7C36"/>
    <w:rsid w:val="002F7DB7"/>
    <w:rsid w:val="002F7E5C"/>
    <w:rsid w:val="002F7E5E"/>
    <w:rsid w:val="003003EF"/>
    <w:rsid w:val="003005AD"/>
    <w:rsid w:val="003006F0"/>
    <w:rsid w:val="0030075C"/>
    <w:rsid w:val="003008C8"/>
    <w:rsid w:val="00300D96"/>
    <w:rsid w:val="00301280"/>
    <w:rsid w:val="00301313"/>
    <w:rsid w:val="003016DF"/>
    <w:rsid w:val="00301B2C"/>
    <w:rsid w:val="00301B46"/>
    <w:rsid w:val="00301CA0"/>
    <w:rsid w:val="00302145"/>
    <w:rsid w:val="003021AE"/>
    <w:rsid w:val="00302480"/>
    <w:rsid w:val="00302EE2"/>
    <w:rsid w:val="00303048"/>
    <w:rsid w:val="0030320F"/>
    <w:rsid w:val="00303368"/>
    <w:rsid w:val="003038DD"/>
    <w:rsid w:val="003039C5"/>
    <w:rsid w:val="00303A12"/>
    <w:rsid w:val="00303C65"/>
    <w:rsid w:val="00303D34"/>
    <w:rsid w:val="00303F02"/>
    <w:rsid w:val="003045D4"/>
    <w:rsid w:val="00304666"/>
    <w:rsid w:val="00304909"/>
    <w:rsid w:val="00304A26"/>
    <w:rsid w:val="0030502E"/>
    <w:rsid w:val="0030614C"/>
    <w:rsid w:val="0030671F"/>
    <w:rsid w:val="003072AC"/>
    <w:rsid w:val="00307323"/>
    <w:rsid w:val="00307332"/>
    <w:rsid w:val="0030745A"/>
    <w:rsid w:val="00307607"/>
    <w:rsid w:val="003078CD"/>
    <w:rsid w:val="00307CD7"/>
    <w:rsid w:val="00310511"/>
    <w:rsid w:val="00310564"/>
    <w:rsid w:val="0031093F"/>
    <w:rsid w:val="00310B0C"/>
    <w:rsid w:val="00310BE3"/>
    <w:rsid w:val="00310BF1"/>
    <w:rsid w:val="00310C78"/>
    <w:rsid w:val="00310D69"/>
    <w:rsid w:val="00310D99"/>
    <w:rsid w:val="00311094"/>
    <w:rsid w:val="0031134E"/>
    <w:rsid w:val="003116EA"/>
    <w:rsid w:val="003117A7"/>
    <w:rsid w:val="00311BF8"/>
    <w:rsid w:val="00311C13"/>
    <w:rsid w:val="00312011"/>
    <w:rsid w:val="0031223E"/>
    <w:rsid w:val="00312848"/>
    <w:rsid w:val="0031296E"/>
    <w:rsid w:val="00312AD8"/>
    <w:rsid w:val="00312F8D"/>
    <w:rsid w:val="00313157"/>
    <w:rsid w:val="00313163"/>
    <w:rsid w:val="00313220"/>
    <w:rsid w:val="0031384A"/>
    <w:rsid w:val="00313AF6"/>
    <w:rsid w:val="00313B89"/>
    <w:rsid w:val="00313F8D"/>
    <w:rsid w:val="00314676"/>
    <w:rsid w:val="00314997"/>
    <w:rsid w:val="00314A5B"/>
    <w:rsid w:val="00314CAF"/>
    <w:rsid w:val="00314DF7"/>
    <w:rsid w:val="0031549A"/>
    <w:rsid w:val="003155C7"/>
    <w:rsid w:val="003155CA"/>
    <w:rsid w:val="00315B33"/>
    <w:rsid w:val="00315B96"/>
    <w:rsid w:val="003165E6"/>
    <w:rsid w:val="00316C24"/>
    <w:rsid w:val="00316C42"/>
    <w:rsid w:val="0031717B"/>
    <w:rsid w:val="00317235"/>
    <w:rsid w:val="0031727F"/>
    <w:rsid w:val="00317442"/>
    <w:rsid w:val="0031744D"/>
    <w:rsid w:val="003176C8"/>
    <w:rsid w:val="00317BCD"/>
    <w:rsid w:val="00317D67"/>
    <w:rsid w:val="003208A0"/>
    <w:rsid w:val="00320B36"/>
    <w:rsid w:val="00320D78"/>
    <w:rsid w:val="00320EE9"/>
    <w:rsid w:val="00321075"/>
    <w:rsid w:val="003215B5"/>
    <w:rsid w:val="00321721"/>
    <w:rsid w:val="003218BF"/>
    <w:rsid w:val="003221CF"/>
    <w:rsid w:val="00322642"/>
    <w:rsid w:val="00322801"/>
    <w:rsid w:val="00322A00"/>
    <w:rsid w:val="003233ED"/>
    <w:rsid w:val="003234BC"/>
    <w:rsid w:val="003237EC"/>
    <w:rsid w:val="00323CF9"/>
    <w:rsid w:val="003240F9"/>
    <w:rsid w:val="003242CC"/>
    <w:rsid w:val="003247D4"/>
    <w:rsid w:val="003247FC"/>
    <w:rsid w:val="00324848"/>
    <w:rsid w:val="00324911"/>
    <w:rsid w:val="003249A9"/>
    <w:rsid w:val="00324D9F"/>
    <w:rsid w:val="00325016"/>
    <w:rsid w:val="00325068"/>
    <w:rsid w:val="00325545"/>
    <w:rsid w:val="003255DA"/>
    <w:rsid w:val="00325684"/>
    <w:rsid w:val="00325AC5"/>
    <w:rsid w:val="00325B09"/>
    <w:rsid w:val="00325B74"/>
    <w:rsid w:val="00326380"/>
    <w:rsid w:val="00326C3D"/>
    <w:rsid w:val="00326D62"/>
    <w:rsid w:val="003274E6"/>
    <w:rsid w:val="0032791E"/>
    <w:rsid w:val="00327948"/>
    <w:rsid w:val="00327990"/>
    <w:rsid w:val="00327EA2"/>
    <w:rsid w:val="00327F18"/>
    <w:rsid w:val="00327F58"/>
    <w:rsid w:val="0033000F"/>
    <w:rsid w:val="00330303"/>
    <w:rsid w:val="0033037C"/>
    <w:rsid w:val="003304B3"/>
    <w:rsid w:val="0033081E"/>
    <w:rsid w:val="00330DCE"/>
    <w:rsid w:val="00331544"/>
    <w:rsid w:val="00331AE9"/>
    <w:rsid w:val="00331FCF"/>
    <w:rsid w:val="00332011"/>
    <w:rsid w:val="003321B7"/>
    <w:rsid w:val="003321FF"/>
    <w:rsid w:val="00332315"/>
    <w:rsid w:val="00332518"/>
    <w:rsid w:val="00332744"/>
    <w:rsid w:val="0033274B"/>
    <w:rsid w:val="00332925"/>
    <w:rsid w:val="00332E1A"/>
    <w:rsid w:val="003332ED"/>
    <w:rsid w:val="003333A7"/>
    <w:rsid w:val="003334D3"/>
    <w:rsid w:val="003335E7"/>
    <w:rsid w:val="00333AEA"/>
    <w:rsid w:val="00333FFA"/>
    <w:rsid w:val="00334701"/>
    <w:rsid w:val="003348B9"/>
    <w:rsid w:val="00334BEE"/>
    <w:rsid w:val="00334F90"/>
    <w:rsid w:val="003350FD"/>
    <w:rsid w:val="00335336"/>
    <w:rsid w:val="0033591B"/>
    <w:rsid w:val="0033592D"/>
    <w:rsid w:val="003359AE"/>
    <w:rsid w:val="00335A60"/>
    <w:rsid w:val="00335C95"/>
    <w:rsid w:val="00335E58"/>
    <w:rsid w:val="003360A4"/>
    <w:rsid w:val="003363AA"/>
    <w:rsid w:val="003366B9"/>
    <w:rsid w:val="003366FC"/>
    <w:rsid w:val="00336830"/>
    <w:rsid w:val="003368DC"/>
    <w:rsid w:val="00336F9E"/>
    <w:rsid w:val="0033713B"/>
    <w:rsid w:val="00337259"/>
    <w:rsid w:val="003372F6"/>
    <w:rsid w:val="00337338"/>
    <w:rsid w:val="003378AD"/>
    <w:rsid w:val="00337DA8"/>
    <w:rsid w:val="00337E08"/>
    <w:rsid w:val="00337EE1"/>
    <w:rsid w:val="003404D2"/>
    <w:rsid w:val="003406B8"/>
    <w:rsid w:val="00340753"/>
    <w:rsid w:val="00340AD7"/>
    <w:rsid w:val="00341214"/>
    <w:rsid w:val="00341272"/>
    <w:rsid w:val="003413AA"/>
    <w:rsid w:val="00341676"/>
    <w:rsid w:val="003416E7"/>
    <w:rsid w:val="00341B15"/>
    <w:rsid w:val="00341CA5"/>
    <w:rsid w:val="00341F65"/>
    <w:rsid w:val="0034236B"/>
    <w:rsid w:val="0034277E"/>
    <w:rsid w:val="003428B2"/>
    <w:rsid w:val="00342961"/>
    <w:rsid w:val="00342CDC"/>
    <w:rsid w:val="00342E92"/>
    <w:rsid w:val="003431B1"/>
    <w:rsid w:val="00343248"/>
    <w:rsid w:val="00343471"/>
    <w:rsid w:val="003434BF"/>
    <w:rsid w:val="0034354F"/>
    <w:rsid w:val="00343737"/>
    <w:rsid w:val="00343CFF"/>
    <w:rsid w:val="00343D23"/>
    <w:rsid w:val="00343FBC"/>
    <w:rsid w:val="0034408A"/>
    <w:rsid w:val="00344590"/>
    <w:rsid w:val="003447F5"/>
    <w:rsid w:val="00344DC3"/>
    <w:rsid w:val="00344EAC"/>
    <w:rsid w:val="003453AB"/>
    <w:rsid w:val="0034554A"/>
    <w:rsid w:val="003455D4"/>
    <w:rsid w:val="003458F3"/>
    <w:rsid w:val="00345927"/>
    <w:rsid w:val="00345C92"/>
    <w:rsid w:val="00345E2E"/>
    <w:rsid w:val="003469DC"/>
    <w:rsid w:val="00346E6E"/>
    <w:rsid w:val="003475BE"/>
    <w:rsid w:val="00347844"/>
    <w:rsid w:val="00347D7F"/>
    <w:rsid w:val="00347EE1"/>
    <w:rsid w:val="003504D7"/>
    <w:rsid w:val="00350584"/>
    <w:rsid w:val="003509A9"/>
    <w:rsid w:val="00350A37"/>
    <w:rsid w:val="00350C45"/>
    <w:rsid w:val="00350C72"/>
    <w:rsid w:val="00350CCF"/>
    <w:rsid w:val="00350EA3"/>
    <w:rsid w:val="00350F88"/>
    <w:rsid w:val="0035126D"/>
    <w:rsid w:val="003513C6"/>
    <w:rsid w:val="003515BA"/>
    <w:rsid w:val="00351778"/>
    <w:rsid w:val="00351857"/>
    <w:rsid w:val="00351CA6"/>
    <w:rsid w:val="00351E90"/>
    <w:rsid w:val="0035288E"/>
    <w:rsid w:val="00352C46"/>
    <w:rsid w:val="0035302B"/>
    <w:rsid w:val="00353064"/>
    <w:rsid w:val="00353B4E"/>
    <w:rsid w:val="00353DAA"/>
    <w:rsid w:val="00353F8B"/>
    <w:rsid w:val="003542EB"/>
    <w:rsid w:val="003545E8"/>
    <w:rsid w:val="0035466F"/>
    <w:rsid w:val="00354E2B"/>
    <w:rsid w:val="00355A8B"/>
    <w:rsid w:val="00355B27"/>
    <w:rsid w:val="00355E96"/>
    <w:rsid w:val="00355F21"/>
    <w:rsid w:val="003561BF"/>
    <w:rsid w:val="003563A0"/>
    <w:rsid w:val="003566F0"/>
    <w:rsid w:val="00356BE5"/>
    <w:rsid w:val="00356D5C"/>
    <w:rsid w:val="0035722E"/>
    <w:rsid w:val="00357812"/>
    <w:rsid w:val="00357B3C"/>
    <w:rsid w:val="00357DDA"/>
    <w:rsid w:val="00357F30"/>
    <w:rsid w:val="003600AC"/>
    <w:rsid w:val="003600B5"/>
    <w:rsid w:val="003602BB"/>
    <w:rsid w:val="003603EA"/>
    <w:rsid w:val="00360739"/>
    <w:rsid w:val="00360774"/>
    <w:rsid w:val="0036087D"/>
    <w:rsid w:val="00360933"/>
    <w:rsid w:val="00360B31"/>
    <w:rsid w:val="00360DA2"/>
    <w:rsid w:val="00360F88"/>
    <w:rsid w:val="0036107F"/>
    <w:rsid w:val="003610E1"/>
    <w:rsid w:val="003612AF"/>
    <w:rsid w:val="00361357"/>
    <w:rsid w:val="003618A0"/>
    <w:rsid w:val="00361A93"/>
    <w:rsid w:val="00361CE3"/>
    <w:rsid w:val="00361F94"/>
    <w:rsid w:val="00361F9B"/>
    <w:rsid w:val="003620E7"/>
    <w:rsid w:val="00362296"/>
    <w:rsid w:val="00362445"/>
    <w:rsid w:val="00362531"/>
    <w:rsid w:val="00362799"/>
    <w:rsid w:val="00362FA4"/>
    <w:rsid w:val="00363123"/>
    <w:rsid w:val="003634D3"/>
    <w:rsid w:val="003637E5"/>
    <w:rsid w:val="00363C53"/>
    <w:rsid w:val="00363FF5"/>
    <w:rsid w:val="003644BF"/>
    <w:rsid w:val="00364AB0"/>
    <w:rsid w:val="0036513E"/>
    <w:rsid w:val="00365525"/>
    <w:rsid w:val="0036561C"/>
    <w:rsid w:val="00365B45"/>
    <w:rsid w:val="00365C08"/>
    <w:rsid w:val="00366016"/>
    <w:rsid w:val="00366149"/>
    <w:rsid w:val="00366580"/>
    <w:rsid w:val="0036690F"/>
    <w:rsid w:val="00366B44"/>
    <w:rsid w:val="00366D94"/>
    <w:rsid w:val="00366EA5"/>
    <w:rsid w:val="00366F24"/>
    <w:rsid w:val="003670C0"/>
    <w:rsid w:val="003671BE"/>
    <w:rsid w:val="003673CB"/>
    <w:rsid w:val="00367428"/>
    <w:rsid w:val="00367A92"/>
    <w:rsid w:val="00367B3E"/>
    <w:rsid w:val="00367D83"/>
    <w:rsid w:val="00367DA0"/>
    <w:rsid w:val="00367F41"/>
    <w:rsid w:val="0037036F"/>
    <w:rsid w:val="0037046B"/>
    <w:rsid w:val="0037061F"/>
    <w:rsid w:val="003708F3"/>
    <w:rsid w:val="00371082"/>
    <w:rsid w:val="003713DD"/>
    <w:rsid w:val="00371E74"/>
    <w:rsid w:val="00372485"/>
    <w:rsid w:val="0037254E"/>
    <w:rsid w:val="00372B2A"/>
    <w:rsid w:val="00372C59"/>
    <w:rsid w:val="00372F10"/>
    <w:rsid w:val="00373200"/>
    <w:rsid w:val="00373242"/>
    <w:rsid w:val="00373558"/>
    <w:rsid w:val="00373613"/>
    <w:rsid w:val="00373B64"/>
    <w:rsid w:val="0037419F"/>
    <w:rsid w:val="00374322"/>
    <w:rsid w:val="003746B5"/>
    <w:rsid w:val="00374710"/>
    <w:rsid w:val="00374875"/>
    <w:rsid w:val="00374986"/>
    <w:rsid w:val="003750B4"/>
    <w:rsid w:val="003752C8"/>
    <w:rsid w:val="00375635"/>
    <w:rsid w:val="003757AA"/>
    <w:rsid w:val="00375DA4"/>
    <w:rsid w:val="00375EF5"/>
    <w:rsid w:val="00375FAA"/>
    <w:rsid w:val="003762E0"/>
    <w:rsid w:val="00376360"/>
    <w:rsid w:val="00376387"/>
    <w:rsid w:val="003765AC"/>
    <w:rsid w:val="003767A5"/>
    <w:rsid w:val="0037690E"/>
    <w:rsid w:val="00376969"/>
    <w:rsid w:val="00376C30"/>
    <w:rsid w:val="00376D57"/>
    <w:rsid w:val="0037720C"/>
    <w:rsid w:val="0037728F"/>
    <w:rsid w:val="003773F3"/>
    <w:rsid w:val="0037746A"/>
    <w:rsid w:val="00377715"/>
    <w:rsid w:val="00377FEF"/>
    <w:rsid w:val="003802BB"/>
    <w:rsid w:val="0038034D"/>
    <w:rsid w:val="003803BB"/>
    <w:rsid w:val="00380438"/>
    <w:rsid w:val="003804B3"/>
    <w:rsid w:val="00380760"/>
    <w:rsid w:val="00380B56"/>
    <w:rsid w:val="00380D3D"/>
    <w:rsid w:val="00381A31"/>
    <w:rsid w:val="00381CAB"/>
    <w:rsid w:val="00381D15"/>
    <w:rsid w:val="00381F16"/>
    <w:rsid w:val="003821B5"/>
    <w:rsid w:val="003825B3"/>
    <w:rsid w:val="00382643"/>
    <w:rsid w:val="003826E0"/>
    <w:rsid w:val="00382C83"/>
    <w:rsid w:val="00382D2B"/>
    <w:rsid w:val="003835C0"/>
    <w:rsid w:val="003836D4"/>
    <w:rsid w:val="00383AD8"/>
    <w:rsid w:val="00383ADA"/>
    <w:rsid w:val="00383B34"/>
    <w:rsid w:val="00383CC6"/>
    <w:rsid w:val="00383FEF"/>
    <w:rsid w:val="0038436D"/>
    <w:rsid w:val="00384455"/>
    <w:rsid w:val="00384509"/>
    <w:rsid w:val="003845CA"/>
    <w:rsid w:val="0038466D"/>
    <w:rsid w:val="00384778"/>
    <w:rsid w:val="0038490C"/>
    <w:rsid w:val="00384BE2"/>
    <w:rsid w:val="00384C98"/>
    <w:rsid w:val="003850DD"/>
    <w:rsid w:val="00385254"/>
    <w:rsid w:val="003852AF"/>
    <w:rsid w:val="0038566C"/>
    <w:rsid w:val="0038595F"/>
    <w:rsid w:val="003859BE"/>
    <w:rsid w:val="00385D4D"/>
    <w:rsid w:val="00386514"/>
    <w:rsid w:val="003865B1"/>
    <w:rsid w:val="00386982"/>
    <w:rsid w:val="00386E56"/>
    <w:rsid w:val="00387000"/>
    <w:rsid w:val="00387113"/>
    <w:rsid w:val="00387121"/>
    <w:rsid w:val="00387176"/>
    <w:rsid w:val="0038729C"/>
    <w:rsid w:val="0038731A"/>
    <w:rsid w:val="00387B74"/>
    <w:rsid w:val="00387C28"/>
    <w:rsid w:val="00387C46"/>
    <w:rsid w:val="00390189"/>
    <w:rsid w:val="00390ABF"/>
    <w:rsid w:val="00390C80"/>
    <w:rsid w:val="00390D04"/>
    <w:rsid w:val="00390DCE"/>
    <w:rsid w:val="00390F03"/>
    <w:rsid w:val="00390F23"/>
    <w:rsid w:val="00390FF2"/>
    <w:rsid w:val="00391210"/>
    <w:rsid w:val="00391C81"/>
    <w:rsid w:val="00392576"/>
    <w:rsid w:val="0039272D"/>
    <w:rsid w:val="00392ECB"/>
    <w:rsid w:val="0039311A"/>
    <w:rsid w:val="00393139"/>
    <w:rsid w:val="003932CE"/>
    <w:rsid w:val="003934B8"/>
    <w:rsid w:val="003934CA"/>
    <w:rsid w:val="00393941"/>
    <w:rsid w:val="00393AC9"/>
    <w:rsid w:val="00394164"/>
    <w:rsid w:val="00394290"/>
    <w:rsid w:val="00394811"/>
    <w:rsid w:val="00394934"/>
    <w:rsid w:val="00394BE5"/>
    <w:rsid w:val="00395196"/>
    <w:rsid w:val="00395685"/>
    <w:rsid w:val="00395980"/>
    <w:rsid w:val="00395A0D"/>
    <w:rsid w:val="00395E35"/>
    <w:rsid w:val="0039652B"/>
    <w:rsid w:val="00396ABB"/>
    <w:rsid w:val="00396FC4"/>
    <w:rsid w:val="00397054"/>
    <w:rsid w:val="00397236"/>
    <w:rsid w:val="003973A4"/>
    <w:rsid w:val="003973CB"/>
    <w:rsid w:val="00397BA8"/>
    <w:rsid w:val="00397DC6"/>
    <w:rsid w:val="003A010B"/>
    <w:rsid w:val="003A04DB"/>
    <w:rsid w:val="003A06EE"/>
    <w:rsid w:val="003A09D8"/>
    <w:rsid w:val="003A0C6D"/>
    <w:rsid w:val="003A0DB8"/>
    <w:rsid w:val="003A0E21"/>
    <w:rsid w:val="003A125E"/>
    <w:rsid w:val="003A130A"/>
    <w:rsid w:val="003A155C"/>
    <w:rsid w:val="003A1815"/>
    <w:rsid w:val="003A18E1"/>
    <w:rsid w:val="003A1ABC"/>
    <w:rsid w:val="003A1D80"/>
    <w:rsid w:val="003A1DC8"/>
    <w:rsid w:val="003A1DE5"/>
    <w:rsid w:val="003A1DEA"/>
    <w:rsid w:val="003A1E74"/>
    <w:rsid w:val="003A1EE4"/>
    <w:rsid w:val="003A1F35"/>
    <w:rsid w:val="003A216A"/>
    <w:rsid w:val="003A2294"/>
    <w:rsid w:val="003A24C8"/>
    <w:rsid w:val="003A2873"/>
    <w:rsid w:val="003A28DC"/>
    <w:rsid w:val="003A292F"/>
    <w:rsid w:val="003A2A8A"/>
    <w:rsid w:val="003A34F3"/>
    <w:rsid w:val="003A3B70"/>
    <w:rsid w:val="003A4236"/>
    <w:rsid w:val="003A4386"/>
    <w:rsid w:val="003A43C0"/>
    <w:rsid w:val="003A4841"/>
    <w:rsid w:val="003A4986"/>
    <w:rsid w:val="003A4CBB"/>
    <w:rsid w:val="003A53AD"/>
    <w:rsid w:val="003A549A"/>
    <w:rsid w:val="003A571C"/>
    <w:rsid w:val="003A5828"/>
    <w:rsid w:val="003A5947"/>
    <w:rsid w:val="003A59ED"/>
    <w:rsid w:val="003A5CF0"/>
    <w:rsid w:val="003A5F5B"/>
    <w:rsid w:val="003A61F9"/>
    <w:rsid w:val="003A626E"/>
    <w:rsid w:val="003A645A"/>
    <w:rsid w:val="003A68CB"/>
    <w:rsid w:val="003A6AB5"/>
    <w:rsid w:val="003A6ADB"/>
    <w:rsid w:val="003A7063"/>
    <w:rsid w:val="003A7120"/>
    <w:rsid w:val="003A728A"/>
    <w:rsid w:val="003A760C"/>
    <w:rsid w:val="003A77CC"/>
    <w:rsid w:val="003A789A"/>
    <w:rsid w:val="003A7BAF"/>
    <w:rsid w:val="003A7C74"/>
    <w:rsid w:val="003B04E0"/>
    <w:rsid w:val="003B05CD"/>
    <w:rsid w:val="003B0B32"/>
    <w:rsid w:val="003B0B57"/>
    <w:rsid w:val="003B0C9D"/>
    <w:rsid w:val="003B0FDC"/>
    <w:rsid w:val="003B1074"/>
    <w:rsid w:val="003B115E"/>
    <w:rsid w:val="003B12EC"/>
    <w:rsid w:val="003B1361"/>
    <w:rsid w:val="003B191B"/>
    <w:rsid w:val="003B1CAA"/>
    <w:rsid w:val="003B1D14"/>
    <w:rsid w:val="003B1F5F"/>
    <w:rsid w:val="003B23E1"/>
    <w:rsid w:val="003B26AE"/>
    <w:rsid w:val="003B26FE"/>
    <w:rsid w:val="003B2801"/>
    <w:rsid w:val="003B2D24"/>
    <w:rsid w:val="003B3063"/>
    <w:rsid w:val="003B30B8"/>
    <w:rsid w:val="003B319F"/>
    <w:rsid w:val="003B374B"/>
    <w:rsid w:val="003B3D67"/>
    <w:rsid w:val="003B3FE8"/>
    <w:rsid w:val="003B4268"/>
    <w:rsid w:val="003B44DE"/>
    <w:rsid w:val="003B46D3"/>
    <w:rsid w:val="003B471E"/>
    <w:rsid w:val="003B4CCE"/>
    <w:rsid w:val="003B5126"/>
    <w:rsid w:val="003B520F"/>
    <w:rsid w:val="003B5304"/>
    <w:rsid w:val="003B5368"/>
    <w:rsid w:val="003B53D5"/>
    <w:rsid w:val="003B5717"/>
    <w:rsid w:val="003B5AA6"/>
    <w:rsid w:val="003B5CA8"/>
    <w:rsid w:val="003B6370"/>
    <w:rsid w:val="003B6566"/>
    <w:rsid w:val="003B65A2"/>
    <w:rsid w:val="003B6A4D"/>
    <w:rsid w:val="003B6D5F"/>
    <w:rsid w:val="003B730F"/>
    <w:rsid w:val="003B7673"/>
    <w:rsid w:val="003B7852"/>
    <w:rsid w:val="003B7A71"/>
    <w:rsid w:val="003B7A98"/>
    <w:rsid w:val="003B7ABD"/>
    <w:rsid w:val="003B7D2A"/>
    <w:rsid w:val="003C0132"/>
    <w:rsid w:val="003C03A2"/>
    <w:rsid w:val="003C0831"/>
    <w:rsid w:val="003C0970"/>
    <w:rsid w:val="003C0DBC"/>
    <w:rsid w:val="003C0F17"/>
    <w:rsid w:val="003C1253"/>
    <w:rsid w:val="003C125C"/>
    <w:rsid w:val="003C13ED"/>
    <w:rsid w:val="003C1919"/>
    <w:rsid w:val="003C19DC"/>
    <w:rsid w:val="003C1D9C"/>
    <w:rsid w:val="003C1DEA"/>
    <w:rsid w:val="003C297E"/>
    <w:rsid w:val="003C32A6"/>
    <w:rsid w:val="003C35C4"/>
    <w:rsid w:val="003C3B05"/>
    <w:rsid w:val="003C410E"/>
    <w:rsid w:val="003C429C"/>
    <w:rsid w:val="003C43A9"/>
    <w:rsid w:val="003C44A3"/>
    <w:rsid w:val="003C4953"/>
    <w:rsid w:val="003C4B23"/>
    <w:rsid w:val="003C4C25"/>
    <w:rsid w:val="003C4EF6"/>
    <w:rsid w:val="003C507E"/>
    <w:rsid w:val="003C5202"/>
    <w:rsid w:val="003C531B"/>
    <w:rsid w:val="003C55C0"/>
    <w:rsid w:val="003C618F"/>
    <w:rsid w:val="003C6272"/>
    <w:rsid w:val="003C64AD"/>
    <w:rsid w:val="003C68A2"/>
    <w:rsid w:val="003C69B2"/>
    <w:rsid w:val="003C6C9E"/>
    <w:rsid w:val="003C6F8E"/>
    <w:rsid w:val="003C714E"/>
    <w:rsid w:val="003C77C9"/>
    <w:rsid w:val="003C77E0"/>
    <w:rsid w:val="003C78EA"/>
    <w:rsid w:val="003C7D74"/>
    <w:rsid w:val="003D01E3"/>
    <w:rsid w:val="003D0257"/>
    <w:rsid w:val="003D0433"/>
    <w:rsid w:val="003D07FB"/>
    <w:rsid w:val="003D08DC"/>
    <w:rsid w:val="003D0A3D"/>
    <w:rsid w:val="003D0DAE"/>
    <w:rsid w:val="003D0EF2"/>
    <w:rsid w:val="003D0F3F"/>
    <w:rsid w:val="003D17D7"/>
    <w:rsid w:val="003D183A"/>
    <w:rsid w:val="003D19DD"/>
    <w:rsid w:val="003D1B07"/>
    <w:rsid w:val="003D1B6F"/>
    <w:rsid w:val="003D1BCE"/>
    <w:rsid w:val="003D23FF"/>
    <w:rsid w:val="003D2678"/>
    <w:rsid w:val="003D28D9"/>
    <w:rsid w:val="003D2F51"/>
    <w:rsid w:val="003D2F75"/>
    <w:rsid w:val="003D3044"/>
    <w:rsid w:val="003D30EF"/>
    <w:rsid w:val="003D3259"/>
    <w:rsid w:val="003D32E8"/>
    <w:rsid w:val="003D3608"/>
    <w:rsid w:val="003D379E"/>
    <w:rsid w:val="003D37C6"/>
    <w:rsid w:val="003D38B9"/>
    <w:rsid w:val="003D39CF"/>
    <w:rsid w:val="003D3A85"/>
    <w:rsid w:val="003D3CF6"/>
    <w:rsid w:val="003D3F6E"/>
    <w:rsid w:val="003D4016"/>
    <w:rsid w:val="003D4443"/>
    <w:rsid w:val="003D4448"/>
    <w:rsid w:val="003D4996"/>
    <w:rsid w:val="003D49A6"/>
    <w:rsid w:val="003D4A3D"/>
    <w:rsid w:val="003D4CC1"/>
    <w:rsid w:val="003D5254"/>
    <w:rsid w:val="003D5370"/>
    <w:rsid w:val="003D55C1"/>
    <w:rsid w:val="003D55D5"/>
    <w:rsid w:val="003D5A22"/>
    <w:rsid w:val="003D632C"/>
    <w:rsid w:val="003D660F"/>
    <w:rsid w:val="003D68C2"/>
    <w:rsid w:val="003D68F1"/>
    <w:rsid w:val="003D6916"/>
    <w:rsid w:val="003D6EA9"/>
    <w:rsid w:val="003D71A3"/>
    <w:rsid w:val="003D7286"/>
    <w:rsid w:val="003D7BE8"/>
    <w:rsid w:val="003D7C6E"/>
    <w:rsid w:val="003D7E71"/>
    <w:rsid w:val="003D7F68"/>
    <w:rsid w:val="003D7FAC"/>
    <w:rsid w:val="003E00A6"/>
    <w:rsid w:val="003E00B0"/>
    <w:rsid w:val="003E0226"/>
    <w:rsid w:val="003E02FC"/>
    <w:rsid w:val="003E0400"/>
    <w:rsid w:val="003E08D6"/>
    <w:rsid w:val="003E0A99"/>
    <w:rsid w:val="003E1101"/>
    <w:rsid w:val="003E149A"/>
    <w:rsid w:val="003E1695"/>
    <w:rsid w:val="003E19B7"/>
    <w:rsid w:val="003E206B"/>
    <w:rsid w:val="003E22C5"/>
    <w:rsid w:val="003E230B"/>
    <w:rsid w:val="003E2342"/>
    <w:rsid w:val="003E27C2"/>
    <w:rsid w:val="003E2B8A"/>
    <w:rsid w:val="003E2DAE"/>
    <w:rsid w:val="003E3559"/>
    <w:rsid w:val="003E36B6"/>
    <w:rsid w:val="003E3B37"/>
    <w:rsid w:val="003E3FBA"/>
    <w:rsid w:val="003E3FDF"/>
    <w:rsid w:val="003E413E"/>
    <w:rsid w:val="003E4159"/>
    <w:rsid w:val="003E4246"/>
    <w:rsid w:val="003E49F3"/>
    <w:rsid w:val="003E4A13"/>
    <w:rsid w:val="003E4DC6"/>
    <w:rsid w:val="003E4DCF"/>
    <w:rsid w:val="003E4FD4"/>
    <w:rsid w:val="003E5705"/>
    <w:rsid w:val="003E5DE1"/>
    <w:rsid w:val="003E5FDA"/>
    <w:rsid w:val="003E62F3"/>
    <w:rsid w:val="003E6473"/>
    <w:rsid w:val="003E6710"/>
    <w:rsid w:val="003E6765"/>
    <w:rsid w:val="003E69A6"/>
    <w:rsid w:val="003E6A22"/>
    <w:rsid w:val="003E6CCC"/>
    <w:rsid w:val="003E6CF6"/>
    <w:rsid w:val="003E6D58"/>
    <w:rsid w:val="003E6F65"/>
    <w:rsid w:val="003E723F"/>
    <w:rsid w:val="003E7410"/>
    <w:rsid w:val="003E7566"/>
    <w:rsid w:val="003E7BA2"/>
    <w:rsid w:val="003E7EB0"/>
    <w:rsid w:val="003F04B7"/>
    <w:rsid w:val="003F0682"/>
    <w:rsid w:val="003F0C5A"/>
    <w:rsid w:val="003F0C92"/>
    <w:rsid w:val="003F10EE"/>
    <w:rsid w:val="003F14F4"/>
    <w:rsid w:val="003F16F6"/>
    <w:rsid w:val="003F17EB"/>
    <w:rsid w:val="003F1A30"/>
    <w:rsid w:val="003F1F82"/>
    <w:rsid w:val="003F218E"/>
    <w:rsid w:val="003F2430"/>
    <w:rsid w:val="003F2472"/>
    <w:rsid w:val="003F2482"/>
    <w:rsid w:val="003F248B"/>
    <w:rsid w:val="003F259F"/>
    <w:rsid w:val="003F265F"/>
    <w:rsid w:val="003F2699"/>
    <w:rsid w:val="003F2C91"/>
    <w:rsid w:val="003F2CA7"/>
    <w:rsid w:val="003F2CC8"/>
    <w:rsid w:val="003F3244"/>
    <w:rsid w:val="003F3297"/>
    <w:rsid w:val="003F3507"/>
    <w:rsid w:val="003F37A1"/>
    <w:rsid w:val="003F3841"/>
    <w:rsid w:val="003F3B7E"/>
    <w:rsid w:val="003F43DE"/>
    <w:rsid w:val="003F46FC"/>
    <w:rsid w:val="003F4869"/>
    <w:rsid w:val="003F4B5E"/>
    <w:rsid w:val="003F4B80"/>
    <w:rsid w:val="003F4DC7"/>
    <w:rsid w:val="003F4ECF"/>
    <w:rsid w:val="003F5050"/>
    <w:rsid w:val="003F5235"/>
    <w:rsid w:val="003F5274"/>
    <w:rsid w:val="003F5663"/>
    <w:rsid w:val="003F6122"/>
    <w:rsid w:val="003F628D"/>
    <w:rsid w:val="003F692F"/>
    <w:rsid w:val="003F70EC"/>
    <w:rsid w:val="003F7378"/>
    <w:rsid w:val="003F77BF"/>
    <w:rsid w:val="003F7A6E"/>
    <w:rsid w:val="003F7C76"/>
    <w:rsid w:val="003F7E3C"/>
    <w:rsid w:val="00400211"/>
    <w:rsid w:val="004004F2"/>
    <w:rsid w:val="00400943"/>
    <w:rsid w:val="00400A16"/>
    <w:rsid w:val="00400A7B"/>
    <w:rsid w:val="00400B15"/>
    <w:rsid w:val="00400B64"/>
    <w:rsid w:val="00400C75"/>
    <w:rsid w:val="00400EE9"/>
    <w:rsid w:val="004012D8"/>
    <w:rsid w:val="00401A0E"/>
    <w:rsid w:val="00401E19"/>
    <w:rsid w:val="0040202F"/>
    <w:rsid w:val="00402133"/>
    <w:rsid w:val="00402652"/>
    <w:rsid w:val="004027E4"/>
    <w:rsid w:val="00403070"/>
    <w:rsid w:val="004032E4"/>
    <w:rsid w:val="00403305"/>
    <w:rsid w:val="0040331B"/>
    <w:rsid w:val="00403A15"/>
    <w:rsid w:val="00403D2A"/>
    <w:rsid w:val="004041C1"/>
    <w:rsid w:val="00404460"/>
    <w:rsid w:val="004044E4"/>
    <w:rsid w:val="00404753"/>
    <w:rsid w:val="004047DA"/>
    <w:rsid w:val="004048FE"/>
    <w:rsid w:val="00404ADB"/>
    <w:rsid w:val="00404BA5"/>
    <w:rsid w:val="00404D68"/>
    <w:rsid w:val="0040544A"/>
    <w:rsid w:val="0040569F"/>
    <w:rsid w:val="00405702"/>
    <w:rsid w:val="00405CE3"/>
    <w:rsid w:val="00405EBA"/>
    <w:rsid w:val="0040602E"/>
    <w:rsid w:val="004065B5"/>
    <w:rsid w:val="004067C1"/>
    <w:rsid w:val="00406874"/>
    <w:rsid w:val="00406ADF"/>
    <w:rsid w:val="00406BA4"/>
    <w:rsid w:val="00406D55"/>
    <w:rsid w:val="00406F08"/>
    <w:rsid w:val="004074FA"/>
    <w:rsid w:val="004078EC"/>
    <w:rsid w:val="00407B32"/>
    <w:rsid w:val="00407E51"/>
    <w:rsid w:val="00407F95"/>
    <w:rsid w:val="004100EF"/>
    <w:rsid w:val="004102B3"/>
    <w:rsid w:val="0041052B"/>
    <w:rsid w:val="004105AD"/>
    <w:rsid w:val="0041071D"/>
    <w:rsid w:val="004107D7"/>
    <w:rsid w:val="004108B0"/>
    <w:rsid w:val="00410A6D"/>
    <w:rsid w:val="00410CA4"/>
    <w:rsid w:val="00410CC1"/>
    <w:rsid w:val="00410E40"/>
    <w:rsid w:val="00411137"/>
    <w:rsid w:val="00411294"/>
    <w:rsid w:val="0041133C"/>
    <w:rsid w:val="00411405"/>
    <w:rsid w:val="00411825"/>
    <w:rsid w:val="004118DD"/>
    <w:rsid w:val="00411A86"/>
    <w:rsid w:val="00412132"/>
    <w:rsid w:val="00412768"/>
    <w:rsid w:val="00412E4D"/>
    <w:rsid w:val="00413038"/>
    <w:rsid w:val="00413772"/>
    <w:rsid w:val="00413BFB"/>
    <w:rsid w:val="00413C65"/>
    <w:rsid w:val="00413D0C"/>
    <w:rsid w:val="004141FE"/>
    <w:rsid w:val="00414494"/>
    <w:rsid w:val="00414AFC"/>
    <w:rsid w:val="00414C78"/>
    <w:rsid w:val="00414D67"/>
    <w:rsid w:val="00414F57"/>
    <w:rsid w:val="00414FFF"/>
    <w:rsid w:val="004151A7"/>
    <w:rsid w:val="00415299"/>
    <w:rsid w:val="00415310"/>
    <w:rsid w:val="004153E4"/>
    <w:rsid w:val="00415451"/>
    <w:rsid w:val="00415500"/>
    <w:rsid w:val="0041567B"/>
    <w:rsid w:val="00415C9A"/>
    <w:rsid w:val="00415D85"/>
    <w:rsid w:val="00415DFD"/>
    <w:rsid w:val="004163C0"/>
    <w:rsid w:val="004165B4"/>
    <w:rsid w:val="00416849"/>
    <w:rsid w:val="004169A4"/>
    <w:rsid w:val="0041766B"/>
    <w:rsid w:val="004177A2"/>
    <w:rsid w:val="004179D9"/>
    <w:rsid w:val="00417C26"/>
    <w:rsid w:val="00420166"/>
    <w:rsid w:val="00420515"/>
    <w:rsid w:val="00420F38"/>
    <w:rsid w:val="00421158"/>
    <w:rsid w:val="00421661"/>
    <w:rsid w:val="00421709"/>
    <w:rsid w:val="00421ACA"/>
    <w:rsid w:val="00421C2D"/>
    <w:rsid w:val="00421E5B"/>
    <w:rsid w:val="00421FAA"/>
    <w:rsid w:val="00422038"/>
    <w:rsid w:val="004221D5"/>
    <w:rsid w:val="00422290"/>
    <w:rsid w:val="00422648"/>
    <w:rsid w:val="00422718"/>
    <w:rsid w:val="004234AE"/>
    <w:rsid w:val="004235E7"/>
    <w:rsid w:val="00423763"/>
    <w:rsid w:val="00423AB7"/>
    <w:rsid w:val="00423F00"/>
    <w:rsid w:val="004240D9"/>
    <w:rsid w:val="00424200"/>
    <w:rsid w:val="0042464D"/>
    <w:rsid w:val="00424A6A"/>
    <w:rsid w:val="00424A6F"/>
    <w:rsid w:val="00424B25"/>
    <w:rsid w:val="00424B56"/>
    <w:rsid w:val="00424B7F"/>
    <w:rsid w:val="00424F77"/>
    <w:rsid w:val="00425E89"/>
    <w:rsid w:val="00425FAB"/>
    <w:rsid w:val="00426A17"/>
    <w:rsid w:val="00426CFA"/>
    <w:rsid w:val="00427375"/>
    <w:rsid w:val="004275BC"/>
    <w:rsid w:val="0042762F"/>
    <w:rsid w:val="00427680"/>
    <w:rsid w:val="00427CCF"/>
    <w:rsid w:val="00427DC7"/>
    <w:rsid w:val="004300C9"/>
    <w:rsid w:val="004301E7"/>
    <w:rsid w:val="0043055C"/>
    <w:rsid w:val="00430A47"/>
    <w:rsid w:val="00430C5E"/>
    <w:rsid w:val="00430DE0"/>
    <w:rsid w:val="004313FB"/>
    <w:rsid w:val="00431613"/>
    <w:rsid w:val="00431792"/>
    <w:rsid w:val="00431DCA"/>
    <w:rsid w:val="00431E35"/>
    <w:rsid w:val="00431E8B"/>
    <w:rsid w:val="00432196"/>
    <w:rsid w:val="0043226D"/>
    <w:rsid w:val="0043231A"/>
    <w:rsid w:val="0043247C"/>
    <w:rsid w:val="00432840"/>
    <w:rsid w:val="0043297A"/>
    <w:rsid w:val="00432CA1"/>
    <w:rsid w:val="00432D7E"/>
    <w:rsid w:val="00432EB2"/>
    <w:rsid w:val="0043332F"/>
    <w:rsid w:val="00433B27"/>
    <w:rsid w:val="00434876"/>
    <w:rsid w:val="00434C07"/>
    <w:rsid w:val="00434EA3"/>
    <w:rsid w:val="004352EC"/>
    <w:rsid w:val="004353F2"/>
    <w:rsid w:val="0043599E"/>
    <w:rsid w:val="00435A9F"/>
    <w:rsid w:val="004368C6"/>
    <w:rsid w:val="0043697A"/>
    <w:rsid w:val="00436AC2"/>
    <w:rsid w:val="00436CE8"/>
    <w:rsid w:val="0043714F"/>
    <w:rsid w:val="004373DC"/>
    <w:rsid w:val="004375D9"/>
    <w:rsid w:val="004375FE"/>
    <w:rsid w:val="0044006D"/>
    <w:rsid w:val="0044010E"/>
    <w:rsid w:val="004401E6"/>
    <w:rsid w:val="00440C88"/>
    <w:rsid w:val="00440CC7"/>
    <w:rsid w:val="00440EAF"/>
    <w:rsid w:val="00440FA3"/>
    <w:rsid w:val="004411CF"/>
    <w:rsid w:val="004418D5"/>
    <w:rsid w:val="00442798"/>
    <w:rsid w:val="0044286A"/>
    <w:rsid w:val="00443189"/>
    <w:rsid w:val="00443291"/>
    <w:rsid w:val="00443370"/>
    <w:rsid w:val="0044380E"/>
    <w:rsid w:val="004438B5"/>
    <w:rsid w:val="0044394D"/>
    <w:rsid w:val="004439B6"/>
    <w:rsid w:val="00443B2B"/>
    <w:rsid w:val="00443D35"/>
    <w:rsid w:val="00443D9E"/>
    <w:rsid w:val="0044408E"/>
    <w:rsid w:val="0044430C"/>
    <w:rsid w:val="00444455"/>
    <w:rsid w:val="0044447C"/>
    <w:rsid w:val="00444646"/>
    <w:rsid w:val="00444B04"/>
    <w:rsid w:val="00444F9E"/>
    <w:rsid w:val="0044524E"/>
    <w:rsid w:val="004452CB"/>
    <w:rsid w:val="00445302"/>
    <w:rsid w:val="004458F1"/>
    <w:rsid w:val="00445CFF"/>
    <w:rsid w:val="00445F0B"/>
    <w:rsid w:val="0044612A"/>
    <w:rsid w:val="00446847"/>
    <w:rsid w:val="004469CE"/>
    <w:rsid w:val="00446D9B"/>
    <w:rsid w:val="00447037"/>
    <w:rsid w:val="00447155"/>
    <w:rsid w:val="004471FF"/>
    <w:rsid w:val="00447762"/>
    <w:rsid w:val="0044794E"/>
    <w:rsid w:val="00447A37"/>
    <w:rsid w:val="00447C74"/>
    <w:rsid w:val="00447E52"/>
    <w:rsid w:val="00447FF9"/>
    <w:rsid w:val="00450041"/>
    <w:rsid w:val="004501A0"/>
    <w:rsid w:val="00450215"/>
    <w:rsid w:val="004502A2"/>
    <w:rsid w:val="004503FC"/>
    <w:rsid w:val="0045051C"/>
    <w:rsid w:val="00450643"/>
    <w:rsid w:val="0045097E"/>
    <w:rsid w:val="00450DCC"/>
    <w:rsid w:val="00450E6D"/>
    <w:rsid w:val="00450FFE"/>
    <w:rsid w:val="0045124D"/>
    <w:rsid w:val="0045160D"/>
    <w:rsid w:val="004518F9"/>
    <w:rsid w:val="00451DF7"/>
    <w:rsid w:val="00451EDE"/>
    <w:rsid w:val="0045205E"/>
    <w:rsid w:val="00452091"/>
    <w:rsid w:val="0045211A"/>
    <w:rsid w:val="004521A1"/>
    <w:rsid w:val="0045228F"/>
    <w:rsid w:val="00452901"/>
    <w:rsid w:val="00452BAB"/>
    <w:rsid w:val="00452E22"/>
    <w:rsid w:val="0045310D"/>
    <w:rsid w:val="004534D7"/>
    <w:rsid w:val="004542E5"/>
    <w:rsid w:val="00454323"/>
    <w:rsid w:val="004544CA"/>
    <w:rsid w:val="00454596"/>
    <w:rsid w:val="00454877"/>
    <w:rsid w:val="004549FE"/>
    <w:rsid w:val="00454A70"/>
    <w:rsid w:val="004551E7"/>
    <w:rsid w:val="004555EC"/>
    <w:rsid w:val="0045598D"/>
    <w:rsid w:val="00455A05"/>
    <w:rsid w:val="00455D60"/>
    <w:rsid w:val="00455E70"/>
    <w:rsid w:val="00455E7F"/>
    <w:rsid w:val="0045604F"/>
    <w:rsid w:val="0045605D"/>
    <w:rsid w:val="00456433"/>
    <w:rsid w:val="0045662B"/>
    <w:rsid w:val="00456635"/>
    <w:rsid w:val="004567ED"/>
    <w:rsid w:val="0045687F"/>
    <w:rsid w:val="00456E13"/>
    <w:rsid w:val="00457502"/>
    <w:rsid w:val="00457766"/>
    <w:rsid w:val="00457862"/>
    <w:rsid w:val="0045799F"/>
    <w:rsid w:val="00457A4D"/>
    <w:rsid w:val="00457B99"/>
    <w:rsid w:val="00457C5C"/>
    <w:rsid w:val="00457EAA"/>
    <w:rsid w:val="00457F04"/>
    <w:rsid w:val="004602C5"/>
    <w:rsid w:val="0046088C"/>
    <w:rsid w:val="00460C66"/>
    <w:rsid w:val="00460DAE"/>
    <w:rsid w:val="0046119E"/>
    <w:rsid w:val="0046135B"/>
    <w:rsid w:val="004615B7"/>
    <w:rsid w:val="0046168D"/>
    <w:rsid w:val="004617B5"/>
    <w:rsid w:val="00461BD6"/>
    <w:rsid w:val="00461D47"/>
    <w:rsid w:val="00461D92"/>
    <w:rsid w:val="00461ED8"/>
    <w:rsid w:val="004624AA"/>
    <w:rsid w:val="004629B4"/>
    <w:rsid w:val="004636BD"/>
    <w:rsid w:val="004636FC"/>
    <w:rsid w:val="00463A65"/>
    <w:rsid w:val="00463F04"/>
    <w:rsid w:val="004646DB"/>
    <w:rsid w:val="004651B1"/>
    <w:rsid w:val="00465408"/>
    <w:rsid w:val="00465574"/>
    <w:rsid w:val="00465725"/>
    <w:rsid w:val="004659C4"/>
    <w:rsid w:val="00465CFA"/>
    <w:rsid w:val="00466184"/>
    <w:rsid w:val="0046660F"/>
    <w:rsid w:val="00466A9E"/>
    <w:rsid w:val="00466DD3"/>
    <w:rsid w:val="00466DDA"/>
    <w:rsid w:val="00466E9A"/>
    <w:rsid w:val="004673D3"/>
    <w:rsid w:val="00467507"/>
    <w:rsid w:val="00467651"/>
    <w:rsid w:val="0046779D"/>
    <w:rsid w:val="00467AAA"/>
    <w:rsid w:val="00467DB8"/>
    <w:rsid w:val="00467DE4"/>
    <w:rsid w:val="004700C5"/>
    <w:rsid w:val="00470792"/>
    <w:rsid w:val="004711FE"/>
    <w:rsid w:val="004714A2"/>
    <w:rsid w:val="00471595"/>
    <w:rsid w:val="004718CC"/>
    <w:rsid w:val="00471E36"/>
    <w:rsid w:val="00472101"/>
    <w:rsid w:val="00472ECC"/>
    <w:rsid w:val="00472F67"/>
    <w:rsid w:val="0047313F"/>
    <w:rsid w:val="004732CE"/>
    <w:rsid w:val="00473475"/>
    <w:rsid w:val="0047383B"/>
    <w:rsid w:val="00473991"/>
    <w:rsid w:val="00473B52"/>
    <w:rsid w:val="00473F72"/>
    <w:rsid w:val="00473F85"/>
    <w:rsid w:val="00474019"/>
    <w:rsid w:val="0047410E"/>
    <w:rsid w:val="00474454"/>
    <w:rsid w:val="0047451F"/>
    <w:rsid w:val="0047459A"/>
    <w:rsid w:val="00474615"/>
    <w:rsid w:val="004746FE"/>
    <w:rsid w:val="00474A22"/>
    <w:rsid w:val="00474A73"/>
    <w:rsid w:val="0047508A"/>
    <w:rsid w:val="0047527A"/>
    <w:rsid w:val="004754EF"/>
    <w:rsid w:val="00475875"/>
    <w:rsid w:val="00475A51"/>
    <w:rsid w:val="00475ADB"/>
    <w:rsid w:val="00475EDE"/>
    <w:rsid w:val="00476195"/>
    <w:rsid w:val="00476411"/>
    <w:rsid w:val="0047696E"/>
    <w:rsid w:val="0047698B"/>
    <w:rsid w:val="00476A53"/>
    <w:rsid w:val="00476DB9"/>
    <w:rsid w:val="00476DDF"/>
    <w:rsid w:val="00476F3D"/>
    <w:rsid w:val="00477123"/>
    <w:rsid w:val="00477154"/>
    <w:rsid w:val="004771C3"/>
    <w:rsid w:val="0047723C"/>
    <w:rsid w:val="00477381"/>
    <w:rsid w:val="004776F6"/>
    <w:rsid w:val="0048005A"/>
    <w:rsid w:val="004802B8"/>
    <w:rsid w:val="00480A08"/>
    <w:rsid w:val="00480A48"/>
    <w:rsid w:val="00480CED"/>
    <w:rsid w:val="00481187"/>
    <w:rsid w:val="0048118B"/>
    <w:rsid w:val="00481695"/>
    <w:rsid w:val="00481B3F"/>
    <w:rsid w:val="00481BE5"/>
    <w:rsid w:val="0048204D"/>
    <w:rsid w:val="00482158"/>
    <w:rsid w:val="00482233"/>
    <w:rsid w:val="00482B64"/>
    <w:rsid w:val="00482C0E"/>
    <w:rsid w:val="00482C23"/>
    <w:rsid w:val="00482FDF"/>
    <w:rsid w:val="004834FC"/>
    <w:rsid w:val="00483883"/>
    <w:rsid w:val="00483DC5"/>
    <w:rsid w:val="00483E07"/>
    <w:rsid w:val="00483F4A"/>
    <w:rsid w:val="00484699"/>
    <w:rsid w:val="00484E48"/>
    <w:rsid w:val="00485287"/>
    <w:rsid w:val="0048534A"/>
    <w:rsid w:val="0048575E"/>
    <w:rsid w:val="00485BA8"/>
    <w:rsid w:val="00485CBC"/>
    <w:rsid w:val="00485EAF"/>
    <w:rsid w:val="004860D2"/>
    <w:rsid w:val="004860E8"/>
    <w:rsid w:val="0048634F"/>
    <w:rsid w:val="004869C3"/>
    <w:rsid w:val="00486ABA"/>
    <w:rsid w:val="00486CE1"/>
    <w:rsid w:val="00486CE4"/>
    <w:rsid w:val="00486DA2"/>
    <w:rsid w:val="00486FD3"/>
    <w:rsid w:val="004871BD"/>
    <w:rsid w:val="00487258"/>
    <w:rsid w:val="0048737F"/>
    <w:rsid w:val="004876D4"/>
    <w:rsid w:val="004878C5"/>
    <w:rsid w:val="00490734"/>
    <w:rsid w:val="0049086C"/>
    <w:rsid w:val="00490C3B"/>
    <w:rsid w:val="004912DC"/>
    <w:rsid w:val="00491821"/>
    <w:rsid w:val="0049198C"/>
    <w:rsid w:val="004919C5"/>
    <w:rsid w:val="00491C3C"/>
    <w:rsid w:val="00491C6D"/>
    <w:rsid w:val="00491C9C"/>
    <w:rsid w:val="00491DC5"/>
    <w:rsid w:val="00491EF7"/>
    <w:rsid w:val="00492012"/>
    <w:rsid w:val="004924DC"/>
    <w:rsid w:val="004924F3"/>
    <w:rsid w:val="0049283D"/>
    <w:rsid w:val="0049287B"/>
    <w:rsid w:val="004929F9"/>
    <w:rsid w:val="00492D9F"/>
    <w:rsid w:val="00493062"/>
    <w:rsid w:val="00493098"/>
    <w:rsid w:val="00493441"/>
    <w:rsid w:val="00493811"/>
    <w:rsid w:val="00493B5D"/>
    <w:rsid w:val="00493DEA"/>
    <w:rsid w:val="00493E2E"/>
    <w:rsid w:val="00493EE3"/>
    <w:rsid w:val="0049480D"/>
    <w:rsid w:val="00494BB9"/>
    <w:rsid w:val="00494C76"/>
    <w:rsid w:val="00494D12"/>
    <w:rsid w:val="00494FA8"/>
    <w:rsid w:val="0049500A"/>
    <w:rsid w:val="00495210"/>
    <w:rsid w:val="004952AE"/>
    <w:rsid w:val="00495390"/>
    <w:rsid w:val="00495639"/>
    <w:rsid w:val="004959E5"/>
    <w:rsid w:val="00495A96"/>
    <w:rsid w:val="00495AEC"/>
    <w:rsid w:val="00495BB3"/>
    <w:rsid w:val="00495BFE"/>
    <w:rsid w:val="00495FCA"/>
    <w:rsid w:val="00496125"/>
    <w:rsid w:val="00496338"/>
    <w:rsid w:val="00496766"/>
    <w:rsid w:val="00496B24"/>
    <w:rsid w:val="00496BAE"/>
    <w:rsid w:val="00497051"/>
    <w:rsid w:val="00497349"/>
    <w:rsid w:val="00497741"/>
    <w:rsid w:val="00497771"/>
    <w:rsid w:val="004978DD"/>
    <w:rsid w:val="00497A4A"/>
    <w:rsid w:val="00497F93"/>
    <w:rsid w:val="004A053F"/>
    <w:rsid w:val="004A05BC"/>
    <w:rsid w:val="004A0728"/>
    <w:rsid w:val="004A0A10"/>
    <w:rsid w:val="004A0AB3"/>
    <w:rsid w:val="004A0BF8"/>
    <w:rsid w:val="004A0DA8"/>
    <w:rsid w:val="004A0EC1"/>
    <w:rsid w:val="004A0F9E"/>
    <w:rsid w:val="004A10FB"/>
    <w:rsid w:val="004A12E3"/>
    <w:rsid w:val="004A1496"/>
    <w:rsid w:val="004A1597"/>
    <w:rsid w:val="004A15B9"/>
    <w:rsid w:val="004A1659"/>
    <w:rsid w:val="004A1690"/>
    <w:rsid w:val="004A18AB"/>
    <w:rsid w:val="004A18F4"/>
    <w:rsid w:val="004A21ED"/>
    <w:rsid w:val="004A23F6"/>
    <w:rsid w:val="004A24E4"/>
    <w:rsid w:val="004A26DE"/>
    <w:rsid w:val="004A29A2"/>
    <w:rsid w:val="004A29EC"/>
    <w:rsid w:val="004A2BF5"/>
    <w:rsid w:val="004A2E17"/>
    <w:rsid w:val="004A2F78"/>
    <w:rsid w:val="004A2F93"/>
    <w:rsid w:val="004A3036"/>
    <w:rsid w:val="004A36BB"/>
    <w:rsid w:val="004A4153"/>
    <w:rsid w:val="004A4191"/>
    <w:rsid w:val="004A41AA"/>
    <w:rsid w:val="004A49FD"/>
    <w:rsid w:val="004A4C77"/>
    <w:rsid w:val="004A4E4E"/>
    <w:rsid w:val="004A4E78"/>
    <w:rsid w:val="004A4FF8"/>
    <w:rsid w:val="004A504A"/>
    <w:rsid w:val="004A50A3"/>
    <w:rsid w:val="004A5499"/>
    <w:rsid w:val="004A56BB"/>
    <w:rsid w:val="004A5862"/>
    <w:rsid w:val="004A5A1E"/>
    <w:rsid w:val="004A5E00"/>
    <w:rsid w:val="004A5FD6"/>
    <w:rsid w:val="004A5FDD"/>
    <w:rsid w:val="004A63A5"/>
    <w:rsid w:val="004A63B5"/>
    <w:rsid w:val="004A63C8"/>
    <w:rsid w:val="004A65AA"/>
    <w:rsid w:val="004A68BF"/>
    <w:rsid w:val="004A68D1"/>
    <w:rsid w:val="004A6929"/>
    <w:rsid w:val="004A6CDE"/>
    <w:rsid w:val="004A6E4C"/>
    <w:rsid w:val="004A6EBD"/>
    <w:rsid w:val="004A6EEF"/>
    <w:rsid w:val="004A7341"/>
    <w:rsid w:val="004A7EB2"/>
    <w:rsid w:val="004B02AD"/>
    <w:rsid w:val="004B063F"/>
    <w:rsid w:val="004B065E"/>
    <w:rsid w:val="004B0F1D"/>
    <w:rsid w:val="004B0F73"/>
    <w:rsid w:val="004B0F79"/>
    <w:rsid w:val="004B0FE3"/>
    <w:rsid w:val="004B1052"/>
    <w:rsid w:val="004B14A5"/>
    <w:rsid w:val="004B1751"/>
    <w:rsid w:val="004B1990"/>
    <w:rsid w:val="004B1DFC"/>
    <w:rsid w:val="004B1FC5"/>
    <w:rsid w:val="004B214B"/>
    <w:rsid w:val="004B254B"/>
    <w:rsid w:val="004B261F"/>
    <w:rsid w:val="004B3010"/>
    <w:rsid w:val="004B3099"/>
    <w:rsid w:val="004B334B"/>
    <w:rsid w:val="004B35BB"/>
    <w:rsid w:val="004B37A3"/>
    <w:rsid w:val="004B393F"/>
    <w:rsid w:val="004B3A24"/>
    <w:rsid w:val="004B3B8D"/>
    <w:rsid w:val="004B3D09"/>
    <w:rsid w:val="004B3E09"/>
    <w:rsid w:val="004B3F53"/>
    <w:rsid w:val="004B3FAC"/>
    <w:rsid w:val="004B446D"/>
    <w:rsid w:val="004B448A"/>
    <w:rsid w:val="004B4993"/>
    <w:rsid w:val="004B4CC8"/>
    <w:rsid w:val="004B5029"/>
    <w:rsid w:val="004B516D"/>
    <w:rsid w:val="004B519E"/>
    <w:rsid w:val="004B51A0"/>
    <w:rsid w:val="004B51BE"/>
    <w:rsid w:val="004B54E9"/>
    <w:rsid w:val="004B5603"/>
    <w:rsid w:val="004B56FD"/>
    <w:rsid w:val="004B6199"/>
    <w:rsid w:val="004B6295"/>
    <w:rsid w:val="004B64B7"/>
    <w:rsid w:val="004B65A9"/>
    <w:rsid w:val="004B69D2"/>
    <w:rsid w:val="004B6F6F"/>
    <w:rsid w:val="004B6FD2"/>
    <w:rsid w:val="004B70B4"/>
    <w:rsid w:val="004B71C9"/>
    <w:rsid w:val="004B71E8"/>
    <w:rsid w:val="004B72C3"/>
    <w:rsid w:val="004B7531"/>
    <w:rsid w:val="004B75C7"/>
    <w:rsid w:val="004B78A1"/>
    <w:rsid w:val="004B79C2"/>
    <w:rsid w:val="004C01BE"/>
    <w:rsid w:val="004C0225"/>
    <w:rsid w:val="004C0253"/>
    <w:rsid w:val="004C03AD"/>
    <w:rsid w:val="004C05E2"/>
    <w:rsid w:val="004C0755"/>
    <w:rsid w:val="004C0AFC"/>
    <w:rsid w:val="004C0B22"/>
    <w:rsid w:val="004C0CF8"/>
    <w:rsid w:val="004C110B"/>
    <w:rsid w:val="004C1638"/>
    <w:rsid w:val="004C180A"/>
    <w:rsid w:val="004C1B53"/>
    <w:rsid w:val="004C1C4F"/>
    <w:rsid w:val="004C22D2"/>
    <w:rsid w:val="004C23E1"/>
    <w:rsid w:val="004C281E"/>
    <w:rsid w:val="004C283C"/>
    <w:rsid w:val="004C297B"/>
    <w:rsid w:val="004C2A8B"/>
    <w:rsid w:val="004C2AB9"/>
    <w:rsid w:val="004C2B05"/>
    <w:rsid w:val="004C2D31"/>
    <w:rsid w:val="004C3210"/>
    <w:rsid w:val="004C3351"/>
    <w:rsid w:val="004C336E"/>
    <w:rsid w:val="004C386A"/>
    <w:rsid w:val="004C3EDC"/>
    <w:rsid w:val="004C3FE3"/>
    <w:rsid w:val="004C4046"/>
    <w:rsid w:val="004C41E5"/>
    <w:rsid w:val="004C4A36"/>
    <w:rsid w:val="004C4F33"/>
    <w:rsid w:val="004C4FDE"/>
    <w:rsid w:val="004C506A"/>
    <w:rsid w:val="004C59CC"/>
    <w:rsid w:val="004C5C77"/>
    <w:rsid w:val="004C636D"/>
    <w:rsid w:val="004C6570"/>
    <w:rsid w:val="004C667B"/>
    <w:rsid w:val="004C6BFF"/>
    <w:rsid w:val="004C723D"/>
    <w:rsid w:val="004C73EF"/>
    <w:rsid w:val="004C7505"/>
    <w:rsid w:val="004C765C"/>
    <w:rsid w:val="004C7804"/>
    <w:rsid w:val="004C7C15"/>
    <w:rsid w:val="004C7E04"/>
    <w:rsid w:val="004D01EE"/>
    <w:rsid w:val="004D05C7"/>
    <w:rsid w:val="004D069F"/>
    <w:rsid w:val="004D0737"/>
    <w:rsid w:val="004D08DB"/>
    <w:rsid w:val="004D0DA5"/>
    <w:rsid w:val="004D0E46"/>
    <w:rsid w:val="004D0ED5"/>
    <w:rsid w:val="004D0F4E"/>
    <w:rsid w:val="004D129C"/>
    <w:rsid w:val="004D14B4"/>
    <w:rsid w:val="004D1A17"/>
    <w:rsid w:val="004D1A73"/>
    <w:rsid w:val="004D1B59"/>
    <w:rsid w:val="004D1C26"/>
    <w:rsid w:val="004D23E6"/>
    <w:rsid w:val="004D24AA"/>
    <w:rsid w:val="004D2846"/>
    <w:rsid w:val="004D2936"/>
    <w:rsid w:val="004D2D68"/>
    <w:rsid w:val="004D2E2A"/>
    <w:rsid w:val="004D3133"/>
    <w:rsid w:val="004D3396"/>
    <w:rsid w:val="004D36F4"/>
    <w:rsid w:val="004D4BF1"/>
    <w:rsid w:val="004D4F46"/>
    <w:rsid w:val="004D5544"/>
    <w:rsid w:val="004D56FF"/>
    <w:rsid w:val="004D5AD9"/>
    <w:rsid w:val="004D61EB"/>
    <w:rsid w:val="004D65BE"/>
    <w:rsid w:val="004D65E4"/>
    <w:rsid w:val="004D6B6B"/>
    <w:rsid w:val="004D6C18"/>
    <w:rsid w:val="004D6CBB"/>
    <w:rsid w:val="004D6E6C"/>
    <w:rsid w:val="004D6F14"/>
    <w:rsid w:val="004D6FB7"/>
    <w:rsid w:val="004D7341"/>
    <w:rsid w:val="004D76D9"/>
    <w:rsid w:val="004D7A79"/>
    <w:rsid w:val="004D7CF1"/>
    <w:rsid w:val="004E03E6"/>
    <w:rsid w:val="004E064B"/>
    <w:rsid w:val="004E0ABA"/>
    <w:rsid w:val="004E10B8"/>
    <w:rsid w:val="004E17E0"/>
    <w:rsid w:val="004E1958"/>
    <w:rsid w:val="004E2641"/>
    <w:rsid w:val="004E2657"/>
    <w:rsid w:val="004E2782"/>
    <w:rsid w:val="004E27F1"/>
    <w:rsid w:val="004E2B83"/>
    <w:rsid w:val="004E2BFF"/>
    <w:rsid w:val="004E2D53"/>
    <w:rsid w:val="004E3397"/>
    <w:rsid w:val="004E3525"/>
    <w:rsid w:val="004E3739"/>
    <w:rsid w:val="004E39D3"/>
    <w:rsid w:val="004E3E5F"/>
    <w:rsid w:val="004E3FFB"/>
    <w:rsid w:val="004E4195"/>
    <w:rsid w:val="004E442B"/>
    <w:rsid w:val="004E46B1"/>
    <w:rsid w:val="004E4739"/>
    <w:rsid w:val="004E48D7"/>
    <w:rsid w:val="004E4B02"/>
    <w:rsid w:val="004E4DF6"/>
    <w:rsid w:val="004E508A"/>
    <w:rsid w:val="004E509B"/>
    <w:rsid w:val="004E50BB"/>
    <w:rsid w:val="004E51C6"/>
    <w:rsid w:val="004E58D9"/>
    <w:rsid w:val="004E59BE"/>
    <w:rsid w:val="004E616D"/>
    <w:rsid w:val="004E64E0"/>
    <w:rsid w:val="004E66A1"/>
    <w:rsid w:val="004E6C77"/>
    <w:rsid w:val="004E77F0"/>
    <w:rsid w:val="004E7CB9"/>
    <w:rsid w:val="004E7EC0"/>
    <w:rsid w:val="004F00F6"/>
    <w:rsid w:val="004F0100"/>
    <w:rsid w:val="004F0107"/>
    <w:rsid w:val="004F030C"/>
    <w:rsid w:val="004F0511"/>
    <w:rsid w:val="004F0826"/>
    <w:rsid w:val="004F1353"/>
    <w:rsid w:val="004F145A"/>
    <w:rsid w:val="004F1842"/>
    <w:rsid w:val="004F18BC"/>
    <w:rsid w:val="004F1BDE"/>
    <w:rsid w:val="004F1F06"/>
    <w:rsid w:val="004F1FF1"/>
    <w:rsid w:val="004F244D"/>
    <w:rsid w:val="004F2570"/>
    <w:rsid w:val="004F2763"/>
    <w:rsid w:val="004F2CEE"/>
    <w:rsid w:val="004F3663"/>
    <w:rsid w:val="004F3A19"/>
    <w:rsid w:val="004F3B1F"/>
    <w:rsid w:val="004F3D3C"/>
    <w:rsid w:val="004F3E4E"/>
    <w:rsid w:val="004F3F62"/>
    <w:rsid w:val="004F476E"/>
    <w:rsid w:val="004F48A6"/>
    <w:rsid w:val="004F4A6F"/>
    <w:rsid w:val="004F4D40"/>
    <w:rsid w:val="004F4F05"/>
    <w:rsid w:val="004F50C4"/>
    <w:rsid w:val="004F51BB"/>
    <w:rsid w:val="004F51FA"/>
    <w:rsid w:val="004F528B"/>
    <w:rsid w:val="004F52E7"/>
    <w:rsid w:val="004F556E"/>
    <w:rsid w:val="004F558B"/>
    <w:rsid w:val="004F591C"/>
    <w:rsid w:val="004F5923"/>
    <w:rsid w:val="004F595C"/>
    <w:rsid w:val="004F5E5F"/>
    <w:rsid w:val="004F5F9A"/>
    <w:rsid w:val="004F60E4"/>
    <w:rsid w:val="004F6836"/>
    <w:rsid w:val="004F6AEE"/>
    <w:rsid w:val="004F6DDC"/>
    <w:rsid w:val="004F7156"/>
    <w:rsid w:val="004F7193"/>
    <w:rsid w:val="004F7277"/>
    <w:rsid w:val="004F7284"/>
    <w:rsid w:val="004F74D5"/>
    <w:rsid w:val="004F76C4"/>
    <w:rsid w:val="004F77FA"/>
    <w:rsid w:val="004F7885"/>
    <w:rsid w:val="004F7A4E"/>
    <w:rsid w:val="004F7F44"/>
    <w:rsid w:val="00500299"/>
    <w:rsid w:val="0050035E"/>
    <w:rsid w:val="00500964"/>
    <w:rsid w:val="00500D12"/>
    <w:rsid w:val="00500F2E"/>
    <w:rsid w:val="00501215"/>
    <w:rsid w:val="005012D4"/>
    <w:rsid w:val="00501624"/>
    <w:rsid w:val="0050169B"/>
    <w:rsid w:val="00501947"/>
    <w:rsid w:val="00501BC1"/>
    <w:rsid w:val="0050203C"/>
    <w:rsid w:val="00502797"/>
    <w:rsid w:val="005027FF"/>
    <w:rsid w:val="00502B1C"/>
    <w:rsid w:val="0050301C"/>
    <w:rsid w:val="005032D8"/>
    <w:rsid w:val="0050338D"/>
    <w:rsid w:val="005037B4"/>
    <w:rsid w:val="00503DAE"/>
    <w:rsid w:val="00503E21"/>
    <w:rsid w:val="00504281"/>
    <w:rsid w:val="005047B5"/>
    <w:rsid w:val="00504DDF"/>
    <w:rsid w:val="00504EF8"/>
    <w:rsid w:val="00505154"/>
    <w:rsid w:val="0050528B"/>
    <w:rsid w:val="0050639D"/>
    <w:rsid w:val="005064F4"/>
    <w:rsid w:val="00506EFA"/>
    <w:rsid w:val="00507460"/>
    <w:rsid w:val="005078A4"/>
    <w:rsid w:val="00507947"/>
    <w:rsid w:val="005079BF"/>
    <w:rsid w:val="00507AEB"/>
    <w:rsid w:val="00507E08"/>
    <w:rsid w:val="005103C7"/>
    <w:rsid w:val="005110C2"/>
    <w:rsid w:val="00511801"/>
    <w:rsid w:val="00512009"/>
    <w:rsid w:val="0051230C"/>
    <w:rsid w:val="0051233A"/>
    <w:rsid w:val="0051269A"/>
    <w:rsid w:val="00512E30"/>
    <w:rsid w:val="005134C5"/>
    <w:rsid w:val="005135A3"/>
    <w:rsid w:val="00513713"/>
    <w:rsid w:val="005137C1"/>
    <w:rsid w:val="00513A68"/>
    <w:rsid w:val="00513AFA"/>
    <w:rsid w:val="00513DE0"/>
    <w:rsid w:val="00513E96"/>
    <w:rsid w:val="00513FDE"/>
    <w:rsid w:val="0051523E"/>
    <w:rsid w:val="005152CD"/>
    <w:rsid w:val="00515533"/>
    <w:rsid w:val="00515878"/>
    <w:rsid w:val="0051589F"/>
    <w:rsid w:val="00515ACB"/>
    <w:rsid w:val="00515AE6"/>
    <w:rsid w:val="00515C93"/>
    <w:rsid w:val="00515EC0"/>
    <w:rsid w:val="005161F6"/>
    <w:rsid w:val="00516237"/>
    <w:rsid w:val="00516EAC"/>
    <w:rsid w:val="00517297"/>
    <w:rsid w:val="00517B2B"/>
    <w:rsid w:val="00517E82"/>
    <w:rsid w:val="0052019B"/>
    <w:rsid w:val="005201B5"/>
    <w:rsid w:val="005202B1"/>
    <w:rsid w:val="00520508"/>
    <w:rsid w:val="00520728"/>
    <w:rsid w:val="00520BA6"/>
    <w:rsid w:val="00520E51"/>
    <w:rsid w:val="005218A1"/>
    <w:rsid w:val="005219A3"/>
    <w:rsid w:val="005219E7"/>
    <w:rsid w:val="00521B03"/>
    <w:rsid w:val="00521F6F"/>
    <w:rsid w:val="00522650"/>
    <w:rsid w:val="00522D84"/>
    <w:rsid w:val="00523341"/>
    <w:rsid w:val="005234FD"/>
    <w:rsid w:val="00523791"/>
    <w:rsid w:val="0052380D"/>
    <w:rsid w:val="00523AA1"/>
    <w:rsid w:val="00523C81"/>
    <w:rsid w:val="00523F56"/>
    <w:rsid w:val="005244A5"/>
    <w:rsid w:val="00524C66"/>
    <w:rsid w:val="0052504D"/>
    <w:rsid w:val="005255AE"/>
    <w:rsid w:val="00525E16"/>
    <w:rsid w:val="00525F04"/>
    <w:rsid w:val="00525F6A"/>
    <w:rsid w:val="00525FE6"/>
    <w:rsid w:val="0052650D"/>
    <w:rsid w:val="00526EA5"/>
    <w:rsid w:val="00526F1E"/>
    <w:rsid w:val="005270FE"/>
    <w:rsid w:val="005274D2"/>
    <w:rsid w:val="00527787"/>
    <w:rsid w:val="00527DE1"/>
    <w:rsid w:val="00527E06"/>
    <w:rsid w:val="00527EC6"/>
    <w:rsid w:val="00527F5E"/>
    <w:rsid w:val="00527F68"/>
    <w:rsid w:val="0053070A"/>
    <w:rsid w:val="00530731"/>
    <w:rsid w:val="00530A2E"/>
    <w:rsid w:val="00530AD8"/>
    <w:rsid w:val="00530F0B"/>
    <w:rsid w:val="0053110A"/>
    <w:rsid w:val="0053110F"/>
    <w:rsid w:val="0053127A"/>
    <w:rsid w:val="0053149E"/>
    <w:rsid w:val="005315A6"/>
    <w:rsid w:val="005316EB"/>
    <w:rsid w:val="0053178C"/>
    <w:rsid w:val="00531947"/>
    <w:rsid w:val="005319A0"/>
    <w:rsid w:val="005319E7"/>
    <w:rsid w:val="00531AE0"/>
    <w:rsid w:val="00531B9A"/>
    <w:rsid w:val="00531CF7"/>
    <w:rsid w:val="00531D15"/>
    <w:rsid w:val="00531E5D"/>
    <w:rsid w:val="005321B8"/>
    <w:rsid w:val="0053231D"/>
    <w:rsid w:val="00532359"/>
    <w:rsid w:val="0053295D"/>
    <w:rsid w:val="00532F65"/>
    <w:rsid w:val="0053302C"/>
    <w:rsid w:val="005331DB"/>
    <w:rsid w:val="00533216"/>
    <w:rsid w:val="005332BB"/>
    <w:rsid w:val="005338F9"/>
    <w:rsid w:val="00533ABB"/>
    <w:rsid w:val="00533DCD"/>
    <w:rsid w:val="00534289"/>
    <w:rsid w:val="00534720"/>
    <w:rsid w:val="005348E4"/>
    <w:rsid w:val="00534C7D"/>
    <w:rsid w:val="00534F27"/>
    <w:rsid w:val="00534FD4"/>
    <w:rsid w:val="005351C1"/>
    <w:rsid w:val="00535224"/>
    <w:rsid w:val="00535244"/>
    <w:rsid w:val="005352A5"/>
    <w:rsid w:val="00535380"/>
    <w:rsid w:val="005356A3"/>
    <w:rsid w:val="00535AA9"/>
    <w:rsid w:val="00535B51"/>
    <w:rsid w:val="00535B5D"/>
    <w:rsid w:val="00535FF6"/>
    <w:rsid w:val="00535FFB"/>
    <w:rsid w:val="00536055"/>
    <w:rsid w:val="0053618B"/>
    <w:rsid w:val="00536827"/>
    <w:rsid w:val="00536BC4"/>
    <w:rsid w:val="0053705F"/>
    <w:rsid w:val="00537604"/>
    <w:rsid w:val="0053771D"/>
    <w:rsid w:val="0053795B"/>
    <w:rsid w:val="00537FCA"/>
    <w:rsid w:val="00540324"/>
    <w:rsid w:val="00540666"/>
    <w:rsid w:val="00540A39"/>
    <w:rsid w:val="00540A65"/>
    <w:rsid w:val="00540EFB"/>
    <w:rsid w:val="00540FD9"/>
    <w:rsid w:val="0054121C"/>
    <w:rsid w:val="0054174B"/>
    <w:rsid w:val="00541947"/>
    <w:rsid w:val="00541965"/>
    <w:rsid w:val="00541C40"/>
    <w:rsid w:val="00541FA7"/>
    <w:rsid w:val="00542175"/>
    <w:rsid w:val="00542377"/>
    <w:rsid w:val="005423CD"/>
    <w:rsid w:val="005428EA"/>
    <w:rsid w:val="005429FE"/>
    <w:rsid w:val="00542A94"/>
    <w:rsid w:val="00542CBA"/>
    <w:rsid w:val="00542D4C"/>
    <w:rsid w:val="0054358A"/>
    <w:rsid w:val="005435F9"/>
    <w:rsid w:val="005437F5"/>
    <w:rsid w:val="00543919"/>
    <w:rsid w:val="00543ACE"/>
    <w:rsid w:val="00543ED7"/>
    <w:rsid w:val="00544035"/>
    <w:rsid w:val="0054421A"/>
    <w:rsid w:val="00544373"/>
    <w:rsid w:val="00544D5D"/>
    <w:rsid w:val="00544E93"/>
    <w:rsid w:val="00544F73"/>
    <w:rsid w:val="00545114"/>
    <w:rsid w:val="0054532C"/>
    <w:rsid w:val="005455E1"/>
    <w:rsid w:val="0054588C"/>
    <w:rsid w:val="00545902"/>
    <w:rsid w:val="00545D9E"/>
    <w:rsid w:val="00545DF8"/>
    <w:rsid w:val="00545E0B"/>
    <w:rsid w:val="005460FB"/>
    <w:rsid w:val="005467AD"/>
    <w:rsid w:val="00546A56"/>
    <w:rsid w:val="00546BC1"/>
    <w:rsid w:val="00546CB8"/>
    <w:rsid w:val="00547324"/>
    <w:rsid w:val="005474F5"/>
    <w:rsid w:val="00547560"/>
    <w:rsid w:val="005476EB"/>
    <w:rsid w:val="00547999"/>
    <w:rsid w:val="005479B8"/>
    <w:rsid w:val="0055003A"/>
    <w:rsid w:val="005500AB"/>
    <w:rsid w:val="0055018B"/>
    <w:rsid w:val="0055026C"/>
    <w:rsid w:val="00551105"/>
    <w:rsid w:val="00551384"/>
    <w:rsid w:val="005514D8"/>
    <w:rsid w:val="00551782"/>
    <w:rsid w:val="00551873"/>
    <w:rsid w:val="00551987"/>
    <w:rsid w:val="00552064"/>
    <w:rsid w:val="00552A41"/>
    <w:rsid w:val="00552B68"/>
    <w:rsid w:val="005533CC"/>
    <w:rsid w:val="00553755"/>
    <w:rsid w:val="00553779"/>
    <w:rsid w:val="00553BF9"/>
    <w:rsid w:val="00553E6A"/>
    <w:rsid w:val="005540A2"/>
    <w:rsid w:val="00554165"/>
    <w:rsid w:val="00554504"/>
    <w:rsid w:val="00554654"/>
    <w:rsid w:val="0055465C"/>
    <w:rsid w:val="00554698"/>
    <w:rsid w:val="005548E6"/>
    <w:rsid w:val="00554B0F"/>
    <w:rsid w:val="00554CA1"/>
    <w:rsid w:val="00554E86"/>
    <w:rsid w:val="00555117"/>
    <w:rsid w:val="005552DB"/>
    <w:rsid w:val="005555D3"/>
    <w:rsid w:val="00555B32"/>
    <w:rsid w:val="00555CE4"/>
    <w:rsid w:val="00555F8C"/>
    <w:rsid w:val="005561A5"/>
    <w:rsid w:val="005569E1"/>
    <w:rsid w:val="00556CBD"/>
    <w:rsid w:val="00556EE5"/>
    <w:rsid w:val="005572B5"/>
    <w:rsid w:val="00557853"/>
    <w:rsid w:val="005579F1"/>
    <w:rsid w:val="00557B67"/>
    <w:rsid w:val="00557D3A"/>
    <w:rsid w:val="00557F77"/>
    <w:rsid w:val="00560241"/>
    <w:rsid w:val="00560597"/>
    <w:rsid w:val="005605BB"/>
    <w:rsid w:val="005608A9"/>
    <w:rsid w:val="00560A47"/>
    <w:rsid w:val="00560F03"/>
    <w:rsid w:val="00561515"/>
    <w:rsid w:val="00561BBD"/>
    <w:rsid w:val="00561CF6"/>
    <w:rsid w:val="00561D76"/>
    <w:rsid w:val="00561FEC"/>
    <w:rsid w:val="00562078"/>
    <w:rsid w:val="00562562"/>
    <w:rsid w:val="0056297F"/>
    <w:rsid w:val="005629C8"/>
    <w:rsid w:val="00562CD5"/>
    <w:rsid w:val="00562D77"/>
    <w:rsid w:val="005630C4"/>
    <w:rsid w:val="005631DB"/>
    <w:rsid w:val="00563246"/>
    <w:rsid w:val="0056373A"/>
    <w:rsid w:val="00563955"/>
    <w:rsid w:val="00563A04"/>
    <w:rsid w:val="00563AC8"/>
    <w:rsid w:val="00563EF1"/>
    <w:rsid w:val="00563EF9"/>
    <w:rsid w:val="005641E5"/>
    <w:rsid w:val="0056454C"/>
    <w:rsid w:val="0056460C"/>
    <w:rsid w:val="00564B2F"/>
    <w:rsid w:val="00564F70"/>
    <w:rsid w:val="00565137"/>
    <w:rsid w:val="0056521A"/>
    <w:rsid w:val="0056544C"/>
    <w:rsid w:val="005654DC"/>
    <w:rsid w:val="00565C2D"/>
    <w:rsid w:val="00566544"/>
    <w:rsid w:val="00566897"/>
    <w:rsid w:val="00566AB4"/>
    <w:rsid w:val="00566C7E"/>
    <w:rsid w:val="00566F8A"/>
    <w:rsid w:val="005673AB"/>
    <w:rsid w:val="0056784A"/>
    <w:rsid w:val="00567BD1"/>
    <w:rsid w:val="00567FAB"/>
    <w:rsid w:val="00570220"/>
    <w:rsid w:val="0057039D"/>
    <w:rsid w:val="005716DE"/>
    <w:rsid w:val="005719DD"/>
    <w:rsid w:val="00571A36"/>
    <w:rsid w:val="00571BC2"/>
    <w:rsid w:val="005725C6"/>
    <w:rsid w:val="00572615"/>
    <w:rsid w:val="00572AD3"/>
    <w:rsid w:val="00572CC5"/>
    <w:rsid w:val="00572E30"/>
    <w:rsid w:val="0057302D"/>
    <w:rsid w:val="005732B0"/>
    <w:rsid w:val="005735C7"/>
    <w:rsid w:val="005735FC"/>
    <w:rsid w:val="00573638"/>
    <w:rsid w:val="005737ED"/>
    <w:rsid w:val="00573D6D"/>
    <w:rsid w:val="00573F27"/>
    <w:rsid w:val="00574860"/>
    <w:rsid w:val="00575163"/>
    <w:rsid w:val="005751E6"/>
    <w:rsid w:val="00575398"/>
    <w:rsid w:val="0057542F"/>
    <w:rsid w:val="005759E7"/>
    <w:rsid w:val="00575AC5"/>
    <w:rsid w:val="00575B1E"/>
    <w:rsid w:val="00575BE0"/>
    <w:rsid w:val="00575C13"/>
    <w:rsid w:val="0057605D"/>
    <w:rsid w:val="005762FE"/>
    <w:rsid w:val="00576372"/>
    <w:rsid w:val="00576859"/>
    <w:rsid w:val="005770AF"/>
    <w:rsid w:val="005770DA"/>
    <w:rsid w:val="00577600"/>
    <w:rsid w:val="0057772C"/>
    <w:rsid w:val="005778B6"/>
    <w:rsid w:val="00577C8A"/>
    <w:rsid w:val="00580333"/>
    <w:rsid w:val="005803C1"/>
    <w:rsid w:val="00580549"/>
    <w:rsid w:val="005805A6"/>
    <w:rsid w:val="0058077F"/>
    <w:rsid w:val="00580796"/>
    <w:rsid w:val="00580869"/>
    <w:rsid w:val="00580FBF"/>
    <w:rsid w:val="005811D3"/>
    <w:rsid w:val="00581347"/>
    <w:rsid w:val="00581522"/>
    <w:rsid w:val="0058182C"/>
    <w:rsid w:val="00581A5B"/>
    <w:rsid w:val="00581AC9"/>
    <w:rsid w:val="00581C6A"/>
    <w:rsid w:val="00581CBA"/>
    <w:rsid w:val="0058212B"/>
    <w:rsid w:val="00583155"/>
    <w:rsid w:val="00583363"/>
    <w:rsid w:val="00583DF2"/>
    <w:rsid w:val="00583FEF"/>
    <w:rsid w:val="00584466"/>
    <w:rsid w:val="0058450A"/>
    <w:rsid w:val="005849F8"/>
    <w:rsid w:val="00584ED5"/>
    <w:rsid w:val="0058537D"/>
    <w:rsid w:val="005857AB"/>
    <w:rsid w:val="00585DA3"/>
    <w:rsid w:val="00585DB1"/>
    <w:rsid w:val="00585FB9"/>
    <w:rsid w:val="0058639E"/>
    <w:rsid w:val="0058653F"/>
    <w:rsid w:val="005865CD"/>
    <w:rsid w:val="00586644"/>
    <w:rsid w:val="00586ACB"/>
    <w:rsid w:val="0058733B"/>
    <w:rsid w:val="00587458"/>
    <w:rsid w:val="005874BA"/>
    <w:rsid w:val="00587BE3"/>
    <w:rsid w:val="00587D4A"/>
    <w:rsid w:val="00587F2B"/>
    <w:rsid w:val="00590278"/>
    <w:rsid w:val="00590298"/>
    <w:rsid w:val="00590573"/>
    <w:rsid w:val="00590886"/>
    <w:rsid w:val="00590B7F"/>
    <w:rsid w:val="00590BC6"/>
    <w:rsid w:val="00590EB5"/>
    <w:rsid w:val="00591073"/>
    <w:rsid w:val="005910F5"/>
    <w:rsid w:val="0059149F"/>
    <w:rsid w:val="00591D22"/>
    <w:rsid w:val="0059263D"/>
    <w:rsid w:val="00592C2D"/>
    <w:rsid w:val="00592F64"/>
    <w:rsid w:val="0059314C"/>
    <w:rsid w:val="00593172"/>
    <w:rsid w:val="005932F3"/>
    <w:rsid w:val="0059341B"/>
    <w:rsid w:val="005934EF"/>
    <w:rsid w:val="00593787"/>
    <w:rsid w:val="005938DF"/>
    <w:rsid w:val="00593DA0"/>
    <w:rsid w:val="00593ECC"/>
    <w:rsid w:val="0059434C"/>
    <w:rsid w:val="00594674"/>
    <w:rsid w:val="00594766"/>
    <w:rsid w:val="005947C1"/>
    <w:rsid w:val="00594855"/>
    <w:rsid w:val="00594A12"/>
    <w:rsid w:val="00594CD7"/>
    <w:rsid w:val="00594E79"/>
    <w:rsid w:val="00594E9C"/>
    <w:rsid w:val="005952FE"/>
    <w:rsid w:val="0059537B"/>
    <w:rsid w:val="005954B5"/>
    <w:rsid w:val="00595874"/>
    <w:rsid w:val="00595B34"/>
    <w:rsid w:val="00595B85"/>
    <w:rsid w:val="00595C33"/>
    <w:rsid w:val="00595C7D"/>
    <w:rsid w:val="00595D76"/>
    <w:rsid w:val="00595FE5"/>
    <w:rsid w:val="00596209"/>
    <w:rsid w:val="005962BE"/>
    <w:rsid w:val="00596487"/>
    <w:rsid w:val="00596594"/>
    <w:rsid w:val="005968EC"/>
    <w:rsid w:val="00596931"/>
    <w:rsid w:val="00596AEF"/>
    <w:rsid w:val="00596E60"/>
    <w:rsid w:val="00596E84"/>
    <w:rsid w:val="00596F36"/>
    <w:rsid w:val="005974C0"/>
    <w:rsid w:val="005975E4"/>
    <w:rsid w:val="00597B49"/>
    <w:rsid w:val="005A005D"/>
    <w:rsid w:val="005A012B"/>
    <w:rsid w:val="005A099B"/>
    <w:rsid w:val="005A09C8"/>
    <w:rsid w:val="005A0A5C"/>
    <w:rsid w:val="005A0BC5"/>
    <w:rsid w:val="005A0BCE"/>
    <w:rsid w:val="005A10E6"/>
    <w:rsid w:val="005A123C"/>
    <w:rsid w:val="005A1283"/>
    <w:rsid w:val="005A128D"/>
    <w:rsid w:val="005A12BC"/>
    <w:rsid w:val="005A15C2"/>
    <w:rsid w:val="005A16BD"/>
    <w:rsid w:val="005A170A"/>
    <w:rsid w:val="005A1939"/>
    <w:rsid w:val="005A199F"/>
    <w:rsid w:val="005A19C7"/>
    <w:rsid w:val="005A1BE3"/>
    <w:rsid w:val="005A2067"/>
    <w:rsid w:val="005A283D"/>
    <w:rsid w:val="005A2C0D"/>
    <w:rsid w:val="005A2CE2"/>
    <w:rsid w:val="005A2D0B"/>
    <w:rsid w:val="005A2D9C"/>
    <w:rsid w:val="005A2E7D"/>
    <w:rsid w:val="005A322C"/>
    <w:rsid w:val="005A3409"/>
    <w:rsid w:val="005A343A"/>
    <w:rsid w:val="005A3620"/>
    <w:rsid w:val="005A36DB"/>
    <w:rsid w:val="005A3A19"/>
    <w:rsid w:val="005A406C"/>
    <w:rsid w:val="005A465E"/>
    <w:rsid w:val="005A4939"/>
    <w:rsid w:val="005A4D59"/>
    <w:rsid w:val="005A4DAE"/>
    <w:rsid w:val="005A55FE"/>
    <w:rsid w:val="005A57BD"/>
    <w:rsid w:val="005A58BB"/>
    <w:rsid w:val="005A5969"/>
    <w:rsid w:val="005A6168"/>
    <w:rsid w:val="005A63F9"/>
    <w:rsid w:val="005A649D"/>
    <w:rsid w:val="005A67D7"/>
    <w:rsid w:val="005A6987"/>
    <w:rsid w:val="005A6A11"/>
    <w:rsid w:val="005A6AC4"/>
    <w:rsid w:val="005A6ACF"/>
    <w:rsid w:val="005A6B90"/>
    <w:rsid w:val="005A6EAB"/>
    <w:rsid w:val="005A6EB2"/>
    <w:rsid w:val="005A77B8"/>
    <w:rsid w:val="005A7943"/>
    <w:rsid w:val="005A79E4"/>
    <w:rsid w:val="005A7B5C"/>
    <w:rsid w:val="005A7B76"/>
    <w:rsid w:val="005A7B79"/>
    <w:rsid w:val="005A7DAB"/>
    <w:rsid w:val="005B009C"/>
    <w:rsid w:val="005B0403"/>
    <w:rsid w:val="005B0878"/>
    <w:rsid w:val="005B0DCF"/>
    <w:rsid w:val="005B0E99"/>
    <w:rsid w:val="005B1064"/>
    <w:rsid w:val="005B10F5"/>
    <w:rsid w:val="005B169C"/>
    <w:rsid w:val="005B1A7A"/>
    <w:rsid w:val="005B1CAC"/>
    <w:rsid w:val="005B1E62"/>
    <w:rsid w:val="005B1EFB"/>
    <w:rsid w:val="005B1F89"/>
    <w:rsid w:val="005B218E"/>
    <w:rsid w:val="005B254C"/>
    <w:rsid w:val="005B2A6D"/>
    <w:rsid w:val="005B2ED3"/>
    <w:rsid w:val="005B32FB"/>
    <w:rsid w:val="005B33D3"/>
    <w:rsid w:val="005B347B"/>
    <w:rsid w:val="005B359B"/>
    <w:rsid w:val="005B36E2"/>
    <w:rsid w:val="005B397B"/>
    <w:rsid w:val="005B3C0B"/>
    <w:rsid w:val="005B3C74"/>
    <w:rsid w:val="005B3CE3"/>
    <w:rsid w:val="005B3CF7"/>
    <w:rsid w:val="005B419F"/>
    <w:rsid w:val="005B42D6"/>
    <w:rsid w:val="005B4710"/>
    <w:rsid w:val="005B4845"/>
    <w:rsid w:val="005B4B88"/>
    <w:rsid w:val="005B4BF4"/>
    <w:rsid w:val="005B4D78"/>
    <w:rsid w:val="005B4DD1"/>
    <w:rsid w:val="005B4E5F"/>
    <w:rsid w:val="005B4F0F"/>
    <w:rsid w:val="005B52CC"/>
    <w:rsid w:val="005B5334"/>
    <w:rsid w:val="005B5628"/>
    <w:rsid w:val="005B5690"/>
    <w:rsid w:val="005B57C4"/>
    <w:rsid w:val="005B64B6"/>
    <w:rsid w:val="005B6910"/>
    <w:rsid w:val="005B6AE5"/>
    <w:rsid w:val="005B6BF0"/>
    <w:rsid w:val="005B6EC1"/>
    <w:rsid w:val="005B6EDB"/>
    <w:rsid w:val="005B7218"/>
    <w:rsid w:val="005B72CC"/>
    <w:rsid w:val="005B73BA"/>
    <w:rsid w:val="005B7455"/>
    <w:rsid w:val="005B7C2B"/>
    <w:rsid w:val="005C04DA"/>
    <w:rsid w:val="005C09C8"/>
    <w:rsid w:val="005C0D56"/>
    <w:rsid w:val="005C0EB4"/>
    <w:rsid w:val="005C14E8"/>
    <w:rsid w:val="005C1691"/>
    <w:rsid w:val="005C188F"/>
    <w:rsid w:val="005C193D"/>
    <w:rsid w:val="005C1983"/>
    <w:rsid w:val="005C2026"/>
    <w:rsid w:val="005C2495"/>
    <w:rsid w:val="005C3347"/>
    <w:rsid w:val="005C3429"/>
    <w:rsid w:val="005C363F"/>
    <w:rsid w:val="005C36FC"/>
    <w:rsid w:val="005C3CDA"/>
    <w:rsid w:val="005C4002"/>
    <w:rsid w:val="005C4341"/>
    <w:rsid w:val="005C4545"/>
    <w:rsid w:val="005C4A64"/>
    <w:rsid w:val="005C4D86"/>
    <w:rsid w:val="005C5102"/>
    <w:rsid w:val="005C5242"/>
    <w:rsid w:val="005C588A"/>
    <w:rsid w:val="005C5CE1"/>
    <w:rsid w:val="005C5D01"/>
    <w:rsid w:val="005C5E04"/>
    <w:rsid w:val="005C6303"/>
    <w:rsid w:val="005C646B"/>
    <w:rsid w:val="005C6890"/>
    <w:rsid w:val="005C69D4"/>
    <w:rsid w:val="005C6E0F"/>
    <w:rsid w:val="005C7720"/>
    <w:rsid w:val="005C79D5"/>
    <w:rsid w:val="005C7A3B"/>
    <w:rsid w:val="005C7BDE"/>
    <w:rsid w:val="005C7DDB"/>
    <w:rsid w:val="005D00A1"/>
    <w:rsid w:val="005D0274"/>
    <w:rsid w:val="005D02D5"/>
    <w:rsid w:val="005D0424"/>
    <w:rsid w:val="005D055C"/>
    <w:rsid w:val="005D06D9"/>
    <w:rsid w:val="005D139D"/>
    <w:rsid w:val="005D15BB"/>
    <w:rsid w:val="005D161D"/>
    <w:rsid w:val="005D1745"/>
    <w:rsid w:val="005D17B8"/>
    <w:rsid w:val="005D1819"/>
    <w:rsid w:val="005D1833"/>
    <w:rsid w:val="005D212B"/>
    <w:rsid w:val="005D2191"/>
    <w:rsid w:val="005D2502"/>
    <w:rsid w:val="005D29BD"/>
    <w:rsid w:val="005D2B43"/>
    <w:rsid w:val="005D2EE9"/>
    <w:rsid w:val="005D3500"/>
    <w:rsid w:val="005D37A7"/>
    <w:rsid w:val="005D3B4A"/>
    <w:rsid w:val="005D3E49"/>
    <w:rsid w:val="005D40BB"/>
    <w:rsid w:val="005D45F8"/>
    <w:rsid w:val="005D47C2"/>
    <w:rsid w:val="005D47F3"/>
    <w:rsid w:val="005D49BC"/>
    <w:rsid w:val="005D49BF"/>
    <w:rsid w:val="005D4A25"/>
    <w:rsid w:val="005D4AA5"/>
    <w:rsid w:val="005D530F"/>
    <w:rsid w:val="005D54AB"/>
    <w:rsid w:val="005D554E"/>
    <w:rsid w:val="005D585F"/>
    <w:rsid w:val="005D5C36"/>
    <w:rsid w:val="005D5C5B"/>
    <w:rsid w:val="005D5E24"/>
    <w:rsid w:val="005D5E78"/>
    <w:rsid w:val="005D6250"/>
    <w:rsid w:val="005D62AC"/>
    <w:rsid w:val="005D6357"/>
    <w:rsid w:val="005D6A73"/>
    <w:rsid w:val="005D6D7F"/>
    <w:rsid w:val="005D6EF8"/>
    <w:rsid w:val="005D6F4E"/>
    <w:rsid w:val="005D745B"/>
    <w:rsid w:val="005D75EE"/>
    <w:rsid w:val="005D78F5"/>
    <w:rsid w:val="005D7C73"/>
    <w:rsid w:val="005D7E27"/>
    <w:rsid w:val="005E045F"/>
    <w:rsid w:val="005E0AAD"/>
    <w:rsid w:val="005E1451"/>
    <w:rsid w:val="005E14A6"/>
    <w:rsid w:val="005E1578"/>
    <w:rsid w:val="005E180F"/>
    <w:rsid w:val="005E1990"/>
    <w:rsid w:val="005E1AFF"/>
    <w:rsid w:val="005E257E"/>
    <w:rsid w:val="005E26CF"/>
    <w:rsid w:val="005E26D8"/>
    <w:rsid w:val="005E2CC1"/>
    <w:rsid w:val="005E2EA0"/>
    <w:rsid w:val="005E2F04"/>
    <w:rsid w:val="005E2F24"/>
    <w:rsid w:val="005E398B"/>
    <w:rsid w:val="005E39B2"/>
    <w:rsid w:val="005E3ACD"/>
    <w:rsid w:val="005E3D56"/>
    <w:rsid w:val="005E41B6"/>
    <w:rsid w:val="005E4559"/>
    <w:rsid w:val="005E47C6"/>
    <w:rsid w:val="005E55D5"/>
    <w:rsid w:val="005E5905"/>
    <w:rsid w:val="005E5A71"/>
    <w:rsid w:val="005E5F10"/>
    <w:rsid w:val="005E626F"/>
    <w:rsid w:val="005E64E4"/>
    <w:rsid w:val="005E6B3C"/>
    <w:rsid w:val="005E7226"/>
    <w:rsid w:val="005E75FE"/>
    <w:rsid w:val="005E7A57"/>
    <w:rsid w:val="005E7D53"/>
    <w:rsid w:val="005E7F54"/>
    <w:rsid w:val="005F0005"/>
    <w:rsid w:val="005F030B"/>
    <w:rsid w:val="005F064E"/>
    <w:rsid w:val="005F07AD"/>
    <w:rsid w:val="005F07EC"/>
    <w:rsid w:val="005F0B8C"/>
    <w:rsid w:val="005F1178"/>
    <w:rsid w:val="005F124F"/>
    <w:rsid w:val="005F12F8"/>
    <w:rsid w:val="005F18BE"/>
    <w:rsid w:val="005F18E5"/>
    <w:rsid w:val="005F1ECE"/>
    <w:rsid w:val="005F2001"/>
    <w:rsid w:val="005F21F1"/>
    <w:rsid w:val="005F24B0"/>
    <w:rsid w:val="005F25BB"/>
    <w:rsid w:val="005F27D7"/>
    <w:rsid w:val="005F2AD5"/>
    <w:rsid w:val="005F2CEF"/>
    <w:rsid w:val="005F2D55"/>
    <w:rsid w:val="005F2DB5"/>
    <w:rsid w:val="005F3411"/>
    <w:rsid w:val="005F35D8"/>
    <w:rsid w:val="005F38CA"/>
    <w:rsid w:val="005F3D42"/>
    <w:rsid w:val="005F3D9F"/>
    <w:rsid w:val="005F405D"/>
    <w:rsid w:val="005F4236"/>
    <w:rsid w:val="005F4561"/>
    <w:rsid w:val="005F4566"/>
    <w:rsid w:val="005F465A"/>
    <w:rsid w:val="005F4969"/>
    <w:rsid w:val="005F4C3E"/>
    <w:rsid w:val="005F4DD6"/>
    <w:rsid w:val="005F4EFF"/>
    <w:rsid w:val="005F5045"/>
    <w:rsid w:val="005F51CD"/>
    <w:rsid w:val="005F533C"/>
    <w:rsid w:val="005F540B"/>
    <w:rsid w:val="005F561E"/>
    <w:rsid w:val="005F569A"/>
    <w:rsid w:val="005F59E2"/>
    <w:rsid w:val="005F5BD7"/>
    <w:rsid w:val="005F5DC8"/>
    <w:rsid w:val="005F5FD4"/>
    <w:rsid w:val="005F607D"/>
    <w:rsid w:val="005F639F"/>
    <w:rsid w:val="005F64FB"/>
    <w:rsid w:val="005F667E"/>
    <w:rsid w:val="005F669A"/>
    <w:rsid w:val="005F6A25"/>
    <w:rsid w:val="005F6C41"/>
    <w:rsid w:val="005F6CAB"/>
    <w:rsid w:val="005F6DD5"/>
    <w:rsid w:val="005F7153"/>
    <w:rsid w:val="005F7321"/>
    <w:rsid w:val="005F7400"/>
    <w:rsid w:val="005F7D28"/>
    <w:rsid w:val="005F7D98"/>
    <w:rsid w:val="00600239"/>
    <w:rsid w:val="00600431"/>
    <w:rsid w:val="00600432"/>
    <w:rsid w:val="00600B0B"/>
    <w:rsid w:val="00601133"/>
    <w:rsid w:val="00601162"/>
    <w:rsid w:val="006016D8"/>
    <w:rsid w:val="00601786"/>
    <w:rsid w:val="00601B91"/>
    <w:rsid w:val="006022BA"/>
    <w:rsid w:val="006024CB"/>
    <w:rsid w:val="0060260E"/>
    <w:rsid w:val="0060293D"/>
    <w:rsid w:val="00602EAF"/>
    <w:rsid w:val="006030FE"/>
    <w:rsid w:val="006031EF"/>
    <w:rsid w:val="00603853"/>
    <w:rsid w:val="006038C6"/>
    <w:rsid w:val="00603CC4"/>
    <w:rsid w:val="00603D64"/>
    <w:rsid w:val="00603FB5"/>
    <w:rsid w:val="00604269"/>
    <w:rsid w:val="00604315"/>
    <w:rsid w:val="0060463F"/>
    <w:rsid w:val="00604E26"/>
    <w:rsid w:val="00604FA2"/>
    <w:rsid w:val="00604FFC"/>
    <w:rsid w:val="006050A5"/>
    <w:rsid w:val="006052CF"/>
    <w:rsid w:val="00605838"/>
    <w:rsid w:val="00605919"/>
    <w:rsid w:val="006059F6"/>
    <w:rsid w:val="00605A87"/>
    <w:rsid w:val="00605B89"/>
    <w:rsid w:val="00605CA9"/>
    <w:rsid w:val="00606B89"/>
    <w:rsid w:val="0060700B"/>
    <w:rsid w:val="0060720E"/>
    <w:rsid w:val="00607236"/>
    <w:rsid w:val="0060746E"/>
    <w:rsid w:val="00607582"/>
    <w:rsid w:val="006075D7"/>
    <w:rsid w:val="00607A56"/>
    <w:rsid w:val="00607ABC"/>
    <w:rsid w:val="00607B8D"/>
    <w:rsid w:val="00607F18"/>
    <w:rsid w:val="0061002C"/>
    <w:rsid w:val="0061043D"/>
    <w:rsid w:val="006108AA"/>
    <w:rsid w:val="0061187E"/>
    <w:rsid w:val="00611B77"/>
    <w:rsid w:val="00611DDE"/>
    <w:rsid w:val="00611E0B"/>
    <w:rsid w:val="00611F5C"/>
    <w:rsid w:val="006126F4"/>
    <w:rsid w:val="006127C2"/>
    <w:rsid w:val="00612905"/>
    <w:rsid w:val="00612A14"/>
    <w:rsid w:val="00612C16"/>
    <w:rsid w:val="006130B3"/>
    <w:rsid w:val="0061462B"/>
    <w:rsid w:val="0061464D"/>
    <w:rsid w:val="00614686"/>
    <w:rsid w:val="00614982"/>
    <w:rsid w:val="00614BE9"/>
    <w:rsid w:val="00614D6F"/>
    <w:rsid w:val="0061575D"/>
    <w:rsid w:val="00615D50"/>
    <w:rsid w:val="00615E26"/>
    <w:rsid w:val="00615E62"/>
    <w:rsid w:val="00616789"/>
    <w:rsid w:val="006167B4"/>
    <w:rsid w:val="00616AF9"/>
    <w:rsid w:val="00616E09"/>
    <w:rsid w:val="006170D6"/>
    <w:rsid w:val="00617206"/>
    <w:rsid w:val="0061738F"/>
    <w:rsid w:val="00617754"/>
    <w:rsid w:val="00617A37"/>
    <w:rsid w:val="00617CD5"/>
    <w:rsid w:val="00617E77"/>
    <w:rsid w:val="00617EAC"/>
    <w:rsid w:val="006204A2"/>
    <w:rsid w:val="006204F6"/>
    <w:rsid w:val="006206FE"/>
    <w:rsid w:val="00620A65"/>
    <w:rsid w:val="006210F6"/>
    <w:rsid w:val="00621279"/>
    <w:rsid w:val="00621401"/>
    <w:rsid w:val="006218D9"/>
    <w:rsid w:val="00621956"/>
    <w:rsid w:val="00621AB8"/>
    <w:rsid w:val="00621AD3"/>
    <w:rsid w:val="00621B92"/>
    <w:rsid w:val="00622416"/>
    <w:rsid w:val="006225A4"/>
    <w:rsid w:val="006229F6"/>
    <w:rsid w:val="00622A3B"/>
    <w:rsid w:val="00622DBC"/>
    <w:rsid w:val="00622EEA"/>
    <w:rsid w:val="006231E7"/>
    <w:rsid w:val="00623219"/>
    <w:rsid w:val="00623742"/>
    <w:rsid w:val="0062396C"/>
    <w:rsid w:val="00623C2E"/>
    <w:rsid w:val="00623D7E"/>
    <w:rsid w:val="00623FF9"/>
    <w:rsid w:val="00624035"/>
    <w:rsid w:val="00624407"/>
    <w:rsid w:val="00624C6C"/>
    <w:rsid w:val="00624CF2"/>
    <w:rsid w:val="00624ECC"/>
    <w:rsid w:val="00624F54"/>
    <w:rsid w:val="006252A4"/>
    <w:rsid w:val="0062569F"/>
    <w:rsid w:val="00625830"/>
    <w:rsid w:val="006259D2"/>
    <w:rsid w:val="006259E4"/>
    <w:rsid w:val="00625C8F"/>
    <w:rsid w:val="00625C95"/>
    <w:rsid w:val="00625D7A"/>
    <w:rsid w:val="00625DC7"/>
    <w:rsid w:val="00626B25"/>
    <w:rsid w:val="00626BC8"/>
    <w:rsid w:val="00626C59"/>
    <w:rsid w:val="00626F16"/>
    <w:rsid w:val="006272D7"/>
    <w:rsid w:val="0062732F"/>
    <w:rsid w:val="00627522"/>
    <w:rsid w:val="00627752"/>
    <w:rsid w:val="0062777E"/>
    <w:rsid w:val="00627CDC"/>
    <w:rsid w:val="00627D1D"/>
    <w:rsid w:val="00627D4E"/>
    <w:rsid w:val="00627D5C"/>
    <w:rsid w:val="00627DB4"/>
    <w:rsid w:val="0063011F"/>
    <w:rsid w:val="0063024B"/>
    <w:rsid w:val="006306F7"/>
    <w:rsid w:val="00630AA2"/>
    <w:rsid w:val="00630E71"/>
    <w:rsid w:val="0063153E"/>
    <w:rsid w:val="0063175E"/>
    <w:rsid w:val="00631B83"/>
    <w:rsid w:val="00631C21"/>
    <w:rsid w:val="00631D8F"/>
    <w:rsid w:val="00632045"/>
    <w:rsid w:val="00632425"/>
    <w:rsid w:val="0063259B"/>
    <w:rsid w:val="00632661"/>
    <w:rsid w:val="00632A48"/>
    <w:rsid w:val="00632B89"/>
    <w:rsid w:val="00632B97"/>
    <w:rsid w:val="00632F8B"/>
    <w:rsid w:val="00633005"/>
    <w:rsid w:val="00633323"/>
    <w:rsid w:val="0063338B"/>
    <w:rsid w:val="006335F7"/>
    <w:rsid w:val="00633721"/>
    <w:rsid w:val="00633AA2"/>
    <w:rsid w:val="00633B1E"/>
    <w:rsid w:val="00633B20"/>
    <w:rsid w:val="00633C83"/>
    <w:rsid w:val="00633E1E"/>
    <w:rsid w:val="0063429C"/>
    <w:rsid w:val="00634478"/>
    <w:rsid w:val="00634767"/>
    <w:rsid w:val="00634AA9"/>
    <w:rsid w:val="00634ACD"/>
    <w:rsid w:val="00634BCB"/>
    <w:rsid w:val="00634C7D"/>
    <w:rsid w:val="00634F43"/>
    <w:rsid w:val="0063544C"/>
    <w:rsid w:val="00635DBD"/>
    <w:rsid w:val="00636019"/>
    <w:rsid w:val="0063625D"/>
    <w:rsid w:val="006362C0"/>
    <w:rsid w:val="006362D6"/>
    <w:rsid w:val="00636724"/>
    <w:rsid w:val="0063695E"/>
    <w:rsid w:val="00636D0D"/>
    <w:rsid w:val="006370A2"/>
    <w:rsid w:val="006372FF"/>
    <w:rsid w:val="0063734A"/>
    <w:rsid w:val="00637513"/>
    <w:rsid w:val="0063784A"/>
    <w:rsid w:val="00637B3E"/>
    <w:rsid w:val="00637B9F"/>
    <w:rsid w:val="0064092A"/>
    <w:rsid w:val="00640BB1"/>
    <w:rsid w:val="00640C3A"/>
    <w:rsid w:val="006411B5"/>
    <w:rsid w:val="00641342"/>
    <w:rsid w:val="006415DC"/>
    <w:rsid w:val="00641610"/>
    <w:rsid w:val="0064165F"/>
    <w:rsid w:val="0064167E"/>
    <w:rsid w:val="00641A5E"/>
    <w:rsid w:val="00641B78"/>
    <w:rsid w:val="00641FCF"/>
    <w:rsid w:val="0064200C"/>
    <w:rsid w:val="006421E3"/>
    <w:rsid w:val="00642449"/>
    <w:rsid w:val="00642A7D"/>
    <w:rsid w:val="00642D45"/>
    <w:rsid w:val="00642DDA"/>
    <w:rsid w:val="00642E2A"/>
    <w:rsid w:val="006435B1"/>
    <w:rsid w:val="006438B5"/>
    <w:rsid w:val="00643CB6"/>
    <w:rsid w:val="00643F29"/>
    <w:rsid w:val="00644373"/>
    <w:rsid w:val="006445C6"/>
    <w:rsid w:val="006448BD"/>
    <w:rsid w:val="006449C9"/>
    <w:rsid w:val="00644B95"/>
    <w:rsid w:val="00645039"/>
    <w:rsid w:val="0064524B"/>
    <w:rsid w:val="00645565"/>
    <w:rsid w:val="006458E9"/>
    <w:rsid w:val="00645915"/>
    <w:rsid w:val="0064598B"/>
    <w:rsid w:val="00645C2C"/>
    <w:rsid w:val="00645DAC"/>
    <w:rsid w:val="00645DFD"/>
    <w:rsid w:val="006462AC"/>
    <w:rsid w:val="006463F6"/>
    <w:rsid w:val="006466D2"/>
    <w:rsid w:val="006468BB"/>
    <w:rsid w:val="00646973"/>
    <w:rsid w:val="00646AE3"/>
    <w:rsid w:val="00646DF3"/>
    <w:rsid w:val="006470D3"/>
    <w:rsid w:val="00647402"/>
    <w:rsid w:val="00647687"/>
    <w:rsid w:val="00647A4D"/>
    <w:rsid w:val="00647B1D"/>
    <w:rsid w:val="00647CF9"/>
    <w:rsid w:val="00647F32"/>
    <w:rsid w:val="006500AF"/>
    <w:rsid w:val="00651157"/>
    <w:rsid w:val="00651248"/>
    <w:rsid w:val="0065139B"/>
    <w:rsid w:val="006516E6"/>
    <w:rsid w:val="006518CF"/>
    <w:rsid w:val="006519C3"/>
    <w:rsid w:val="00651B22"/>
    <w:rsid w:val="006521B4"/>
    <w:rsid w:val="006522E7"/>
    <w:rsid w:val="00652429"/>
    <w:rsid w:val="00652503"/>
    <w:rsid w:val="0065256F"/>
    <w:rsid w:val="00652777"/>
    <w:rsid w:val="00652838"/>
    <w:rsid w:val="0065283C"/>
    <w:rsid w:val="00652AD2"/>
    <w:rsid w:val="00652B30"/>
    <w:rsid w:val="00652C1E"/>
    <w:rsid w:val="00652DB3"/>
    <w:rsid w:val="00652F67"/>
    <w:rsid w:val="00652FC3"/>
    <w:rsid w:val="0065304E"/>
    <w:rsid w:val="006531C6"/>
    <w:rsid w:val="0065335D"/>
    <w:rsid w:val="00653DAA"/>
    <w:rsid w:val="00653E16"/>
    <w:rsid w:val="00653E5E"/>
    <w:rsid w:val="0065435D"/>
    <w:rsid w:val="00654428"/>
    <w:rsid w:val="00654A48"/>
    <w:rsid w:val="00654B11"/>
    <w:rsid w:val="00655264"/>
    <w:rsid w:val="0065554B"/>
    <w:rsid w:val="00655585"/>
    <w:rsid w:val="00655767"/>
    <w:rsid w:val="00655786"/>
    <w:rsid w:val="00655825"/>
    <w:rsid w:val="0065583E"/>
    <w:rsid w:val="00655C94"/>
    <w:rsid w:val="00655CCF"/>
    <w:rsid w:val="00655DA8"/>
    <w:rsid w:val="00656345"/>
    <w:rsid w:val="00656589"/>
    <w:rsid w:val="00656805"/>
    <w:rsid w:val="00656C9A"/>
    <w:rsid w:val="00656DC6"/>
    <w:rsid w:val="00657077"/>
    <w:rsid w:val="006577A0"/>
    <w:rsid w:val="006603EC"/>
    <w:rsid w:val="0066082F"/>
    <w:rsid w:val="00660866"/>
    <w:rsid w:val="006608EF"/>
    <w:rsid w:val="00660B27"/>
    <w:rsid w:val="00660EC6"/>
    <w:rsid w:val="00660F86"/>
    <w:rsid w:val="006611DE"/>
    <w:rsid w:val="00661498"/>
    <w:rsid w:val="006615ED"/>
    <w:rsid w:val="00661694"/>
    <w:rsid w:val="00661753"/>
    <w:rsid w:val="0066184D"/>
    <w:rsid w:val="006618AB"/>
    <w:rsid w:val="00661DC7"/>
    <w:rsid w:val="00661F34"/>
    <w:rsid w:val="006624CE"/>
    <w:rsid w:val="00662552"/>
    <w:rsid w:val="006626AE"/>
    <w:rsid w:val="0066279E"/>
    <w:rsid w:val="006628B2"/>
    <w:rsid w:val="0066295F"/>
    <w:rsid w:val="00662E8F"/>
    <w:rsid w:val="00663370"/>
    <w:rsid w:val="0066347C"/>
    <w:rsid w:val="00663676"/>
    <w:rsid w:val="006636D8"/>
    <w:rsid w:val="00663793"/>
    <w:rsid w:val="0066388E"/>
    <w:rsid w:val="0066390A"/>
    <w:rsid w:val="00663A93"/>
    <w:rsid w:val="00663E68"/>
    <w:rsid w:val="006640D3"/>
    <w:rsid w:val="00664110"/>
    <w:rsid w:val="006644B6"/>
    <w:rsid w:val="0066453F"/>
    <w:rsid w:val="00664617"/>
    <w:rsid w:val="00664937"/>
    <w:rsid w:val="00664C5B"/>
    <w:rsid w:val="00664D17"/>
    <w:rsid w:val="00665286"/>
    <w:rsid w:val="00665820"/>
    <w:rsid w:val="00665AFB"/>
    <w:rsid w:val="00665B86"/>
    <w:rsid w:val="00665F9E"/>
    <w:rsid w:val="0066634A"/>
    <w:rsid w:val="006664BD"/>
    <w:rsid w:val="00666520"/>
    <w:rsid w:val="0066666D"/>
    <w:rsid w:val="00666AE0"/>
    <w:rsid w:val="00666C3A"/>
    <w:rsid w:val="00667020"/>
    <w:rsid w:val="0066732A"/>
    <w:rsid w:val="00667538"/>
    <w:rsid w:val="0066784F"/>
    <w:rsid w:val="00667ABF"/>
    <w:rsid w:val="00667C5B"/>
    <w:rsid w:val="00667E14"/>
    <w:rsid w:val="006701CA"/>
    <w:rsid w:val="00670264"/>
    <w:rsid w:val="00670324"/>
    <w:rsid w:val="00670822"/>
    <w:rsid w:val="00670B86"/>
    <w:rsid w:val="00671273"/>
    <w:rsid w:val="00671274"/>
    <w:rsid w:val="006714C4"/>
    <w:rsid w:val="006714FD"/>
    <w:rsid w:val="006717B4"/>
    <w:rsid w:val="00671D80"/>
    <w:rsid w:val="00672016"/>
    <w:rsid w:val="00672455"/>
    <w:rsid w:val="0067261D"/>
    <w:rsid w:val="0067276C"/>
    <w:rsid w:val="00672770"/>
    <w:rsid w:val="006728B9"/>
    <w:rsid w:val="006729FD"/>
    <w:rsid w:val="00672DEB"/>
    <w:rsid w:val="00672FF4"/>
    <w:rsid w:val="00673277"/>
    <w:rsid w:val="006732DE"/>
    <w:rsid w:val="00673940"/>
    <w:rsid w:val="00673C7B"/>
    <w:rsid w:val="00674062"/>
    <w:rsid w:val="0067422B"/>
    <w:rsid w:val="006748B0"/>
    <w:rsid w:val="00674925"/>
    <w:rsid w:val="006750EC"/>
    <w:rsid w:val="00675553"/>
    <w:rsid w:val="0067566E"/>
    <w:rsid w:val="00675B90"/>
    <w:rsid w:val="00675DBE"/>
    <w:rsid w:val="00676443"/>
    <w:rsid w:val="00676612"/>
    <w:rsid w:val="00676637"/>
    <w:rsid w:val="00676909"/>
    <w:rsid w:val="00676B72"/>
    <w:rsid w:val="00677451"/>
    <w:rsid w:val="0067774B"/>
    <w:rsid w:val="00677A44"/>
    <w:rsid w:val="00680125"/>
    <w:rsid w:val="006803F9"/>
    <w:rsid w:val="00680A31"/>
    <w:rsid w:val="00680A3F"/>
    <w:rsid w:val="00680E12"/>
    <w:rsid w:val="006812C2"/>
    <w:rsid w:val="00681BED"/>
    <w:rsid w:val="00681EF8"/>
    <w:rsid w:val="00681F3C"/>
    <w:rsid w:val="0068223A"/>
    <w:rsid w:val="00682BE8"/>
    <w:rsid w:val="00682D4A"/>
    <w:rsid w:val="00682E19"/>
    <w:rsid w:val="00682E43"/>
    <w:rsid w:val="00682FBB"/>
    <w:rsid w:val="00682FD9"/>
    <w:rsid w:val="006830C9"/>
    <w:rsid w:val="006835AF"/>
    <w:rsid w:val="006836E4"/>
    <w:rsid w:val="00683817"/>
    <w:rsid w:val="0068398F"/>
    <w:rsid w:val="00683A0C"/>
    <w:rsid w:val="00683BDD"/>
    <w:rsid w:val="00683FA3"/>
    <w:rsid w:val="0068411D"/>
    <w:rsid w:val="006842E9"/>
    <w:rsid w:val="00684715"/>
    <w:rsid w:val="006853FF"/>
    <w:rsid w:val="006854EF"/>
    <w:rsid w:val="006856BD"/>
    <w:rsid w:val="006863EE"/>
    <w:rsid w:val="0068668D"/>
    <w:rsid w:val="00686D72"/>
    <w:rsid w:val="00686F3A"/>
    <w:rsid w:val="00686FAF"/>
    <w:rsid w:val="00687376"/>
    <w:rsid w:val="006874C7"/>
    <w:rsid w:val="0068779F"/>
    <w:rsid w:val="00687958"/>
    <w:rsid w:val="0069057D"/>
    <w:rsid w:val="00690704"/>
    <w:rsid w:val="00690922"/>
    <w:rsid w:val="00690A43"/>
    <w:rsid w:val="00690AF0"/>
    <w:rsid w:val="00690C4F"/>
    <w:rsid w:val="00690D19"/>
    <w:rsid w:val="0069108A"/>
    <w:rsid w:val="00691135"/>
    <w:rsid w:val="0069136C"/>
    <w:rsid w:val="00691466"/>
    <w:rsid w:val="0069167F"/>
    <w:rsid w:val="00691896"/>
    <w:rsid w:val="00691EB8"/>
    <w:rsid w:val="006921C5"/>
    <w:rsid w:val="006923AF"/>
    <w:rsid w:val="006925BF"/>
    <w:rsid w:val="00692645"/>
    <w:rsid w:val="00692CDB"/>
    <w:rsid w:val="00692CDE"/>
    <w:rsid w:val="00692D0A"/>
    <w:rsid w:val="00693073"/>
    <w:rsid w:val="00693BFD"/>
    <w:rsid w:val="00693FD6"/>
    <w:rsid w:val="006940D4"/>
    <w:rsid w:val="00694256"/>
    <w:rsid w:val="00694CE2"/>
    <w:rsid w:val="00695362"/>
    <w:rsid w:val="00695AEF"/>
    <w:rsid w:val="00695E27"/>
    <w:rsid w:val="00695FC2"/>
    <w:rsid w:val="006960A5"/>
    <w:rsid w:val="0069613F"/>
    <w:rsid w:val="006961DD"/>
    <w:rsid w:val="00696268"/>
    <w:rsid w:val="0069634B"/>
    <w:rsid w:val="00696371"/>
    <w:rsid w:val="00696632"/>
    <w:rsid w:val="00696986"/>
    <w:rsid w:val="00697191"/>
    <w:rsid w:val="0069723C"/>
    <w:rsid w:val="00697552"/>
    <w:rsid w:val="006975FE"/>
    <w:rsid w:val="00697651"/>
    <w:rsid w:val="0069777C"/>
    <w:rsid w:val="006977FF"/>
    <w:rsid w:val="00697859"/>
    <w:rsid w:val="00697ACE"/>
    <w:rsid w:val="00697D25"/>
    <w:rsid w:val="00697F31"/>
    <w:rsid w:val="006A01FA"/>
    <w:rsid w:val="006A0210"/>
    <w:rsid w:val="006A043B"/>
    <w:rsid w:val="006A0504"/>
    <w:rsid w:val="006A0750"/>
    <w:rsid w:val="006A0B3A"/>
    <w:rsid w:val="006A0CF1"/>
    <w:rsid w:val="006A0D17"/>
    <w:rsid w:val="006A0DED"/>
    <w:rsid w:val="006A0E9E"/>
    <w:rsid w:val="006A1250"/>
    <w:rsid w:val="006A13DE"/>
    <w:rsid w:val="006A22CC"/>
    <w:rsid w:val="006A2512"/>
    <w:rsid w:val="006A25C7"/>
    <w:rsid w:val="006A25F2"/>
    <w:rsid w:val="006A26C9"/>
    <w:rsid w:val="006A2F04"/>
    <w:rsid w:val="006A30C3"/>
    <w:rsid w:val="006A3694"/>
    <w:rsid w:val="006A3C1E"/>
    <w:rsid w:val="006A3C62"/>
    <w:rsid w:val="006A3D48"/>
    <w:rsid w:val="006A3D96"/>
    <w:rsid w:val="006A45A2"/>
    <w:rsid w:val="006A49D6"/>
    <w:rsid w:val="006A4AAD"/>
    <w:rsid w:val="006A4BEC"/>
    <w:rsid w:val="006A4BF3"/>
    <w:rsid w:val="006A4E67"/>
    <w:rsid w:val="006A515F"/>
    <w:rsid w:val="006A532A"/>
    <w:rsid w:val="006A5DF1"/>
    <w:rsid w:val="006A5E8A"/>
    <w:rsid w:val="006A63EE"/>
    <w:rsid w:val="006A69C3"/>
    <w:rsid w:val="006A6BAF"/>
    <w:rsid w:val="006A6DA2"/>
    <w:rsid w:val="006A731B"/>
    <w:rsid w:val="006A7982"/>
    <w:rsid w:val="006A7AB2"/>
    <w:rsid w:val="006A7C57"/>
    <w:rsid w:val="006A7EB2"/>
    <w:rsid w:val="006A7EFB"/>
    <w:rsid w:val="006B02C2"/>
    <w:rsid w:val="006B0365"/>
    <w:rsid w:val="006B038D"/>
    <w:rsid w:val="006B061F"/>
    <w:rsid w:val="006B08F6"/>
    <w:rsid w:val="006B0E75"/>
    <w:rsid w:val="006B1713"/>
    <w:rsid w:val="006B1A31"/>
    <w:rsid w:val="006B236A"/>
    <w:rsid w:val="006B2814"/>
    <w:rsid w:val="006B2893"/>
    <w:rsid w:val="006B2A2D"/>
    <w:rsid w:val="006B2CC3"/>
    <w:rsid w:val="006B2DB6"/>
    <w:rsid w:val="006B2EEC"/>
    <w:rsid w:val="006B2F53"/>
    <w:rsid w:val="006B2FAC"/>
    <w:rsid w:val="006B301B"/>
    <w:rsid w:val="006B3797"/>
    <w:rsid w:val="006B397D"/>
    <w:rsid w:val="006B39BE"/>
    <w:rsid w:val="006B40E4"/>
    <w:rsid w:val="006B41C5"/>
    <w:rsid w:val="006B4333"/>
    <w:rsid w:val="006B4719"/>
    <w:rsid w:val="006B4A65"/>
    <w:rsid w:val="006B50AC"/>
    <w:rsid w:val="006B5401"/>
    <w:rsid w:val="006B5607"/>
    <w:rsid w:val="006B5717"/>
    <w:rsid w:val="006B582F"/>
    <w:rsid w:val="006B5EA6"/>
    <w:rsid w:val="006B6016"/>
    <w:rsid w:val="006B6309"/>
    <w:rsid w:val="006B6460"/>
    <w:rsid w:val="006B6711"/>
    <w:rsid w:val="006B69DB"/>
    <w:rsid w:val="006B6CC2"/>
    <w:rsid w:val="006B6E36"/>
    <w:rsid w:val="006B6F6E"/>
    <w:rsid w:val="006B7506"/>
    <w:rsid w:val="006B7748"/>
    <w:rsid w:val="006B791A"/>
    <w:rsid w:val="006B7A24"/>
    <w:rsid w:val="006B7CFF"/>
    <w:rsid w:val="006C005C"/>
    <w:rsid w:val="006C0153"/>
    <w:rsid w:val="006C024F"/>
    <w:rsid w:val="006C06C5"/>
    <w:rsid w:val="006C0817"/>
    <w:rsid w:val="006C0A86"/>
    <w:rsid w:val="006C0CEB"/>
    <w:rsid w:val="006C0D96"/>
    <w:rsid w:val="006C1849"/>
    <w:rsid w:val="006C1C5C"/>
    <w:rsid w:val="006C1D26"/>
    <w:rsid w:val="006C20D8"/>
    <w:rsid w:val="006C2247"/>
    <w:rsid w:val="006C25E5"/>
    <w:rsid w:val="006C2938"/>
    <w:rsid w:val="006C29E6"/>
    <w:rsid w:val="006C2D6B"/>
    <w:rsid w:val="006C2E47"/>
    <w:rsid w:val="006C2F18"/>
    <w:rsid w:val="006C3061"/>
    <w:rsid w:val="006C3167"/>
    <w:rsid w:val="006C35F3"/>
    <w:rsid w:val="006C3666"/>
    <w:rsid w:val="006C398E"/>
    <w:rsid w:val="006C3A84"/>
    <w:rsid w:val="006C3AEF"/>
    <w:rsid w:val="006C3B1E"/>
    <w:rsid w:val="006C3CD8"/>
    <w:rsid w:val="006C4303"/>
    <w:rsid w:val="006C44EA"/>
    <w:rsid w:val="006C47FD"/>
    <w:rsid w:val="006C48EA"/>
    <w:rsid w:val="006C4D48"/>
    <w:rsid w:val="006C504A"/>
    <w:rsid w:val="006C51B7"/>
    <w:rsid w:val="006C53EF"/>
    <w:rsid w:val="006C54F7"/>
    <w:rsid w:val="006C5C19"/>
    <w:rsid w:val="006C5E36"/>
    <w:rsid w:val="006C6342"/>
    <w:rsid w:val="006C6463"/>
    <w:rsid w:val="006C67CC"/>
    <w:rsid w:val="006C6A60"/>
    <w:rsid w:val="006C70A0"/>
    <w:rsid w:val="006C720E"/>
    <w:rsid w:val="006C74C5"/>
    <w:rsid w:val="006C7754"/>
    <w:rsid w:val="006C78FB"/>
    <w:rsid w:val="006C7AC1"/>
    <w:rsid w:val="006C7D36"/>
    <w:rsid w:val="006C7E9F"/>
    <w:rsid w:val="006C7F26"/>
    <w:rsid w:val="006D04DC"/>
    <w:rsid w:val="006D0576"/>
    <w:rsid w:val="006D0635"/>
    <w:rsid w:val="006D06A5"/>
    <w:rsid w:val="006D07A6"/>
    <w:rsid w:val="006D0AAF"/>
    <w:rsid w:val="006D0B5D"/>
    <w:rsid w:val="006D0ED7"/>
    <w:rsid w:val="006D0EF8"/>
    <w:rsid w:val="006D1162"/>
    <w:rsid w:val="006D1187"/>
    <w:rsid w:val="006D134F"/>
    <w:rsid w:val="006D178E"/>
    <w:rsid w:val="006D18E9"/>
    <w:rsid w:val="006D1943"/>
    <w:rsid w:val="006D19B5"/>
    <w:rsid w:val="006D1B7A"/>
    <w:rsid w:val="006D1C82"/>
    <w:rsid w:val="006D1E6A"/>
    <w:rsid w:val="006D2370"/>
    <w:rsid w:val="006D274E"/>
    <w:rsid w:val="006D27CB"/>
    <w:rsid w:val="006D2A0E"/>
    <w:rsid w:val="006D2D98"/>
    <w:rsid w:val="006D2F08"/>
    <w:rsid w:val="006D2F43"/>
    <w:rsid w:val="006D32FD"/>
    <w:rsid w:val="006D344A"/>
    <w:rsid w:val="006D3D21"/>
    <w:rsid w:val="006D3DD2"/>
    <w:rsid w:val="006D47C0"/>
    <w:rsid w:val="006D4871"/>
    <w:rsid w:val="006D4ABC"/>
    <w:rsid w:val="006D4CE8"/>
    <w:rsid w:val="006D5321"/>
    <w:rsid w:val="006D576C"/>
    <w:rsid w:val="006D5865"/>
    <w:rsid w:val="006D59EB"/>
    <w:rsid w:val="006D5A4F"/>
    <w:rsid w:val="006D5D04"/>
    <w:rsid w:val="006D5DFE"/>
    <w:rsid w:val="006D5FC0"/>
    <w:rsid w:val="006D64BD"/>
    <w:rsid w:val="006D6594"/>
    <w:rsid w:val="006D6657"/>
    <w:rsid w:val="006D6D2F"/>
    <w:rsid w:val="006D718C"/>
    <w:rsid w:val="006D72FA"/>
    <w:rsid w:val="006D7A3D"/>
    <w:rsid w:val="006D7BFC"/>
    <w:rsid w:val="006D7D65"/>
    <w:rsid w:val="006D7FCE"/>
    <w:rsid w:val="006E0234"/>
    <w:rsid w:val="006E0361"/>
    <w:rsid w:val="006E03E0"/>
    <w:rsid w:val="006E048F"/>
    <w:rsid w:val="006E0C19"/>
    <w:rsid w:val="006E0D63"/>
    <w:rsid w:val="006E0E7C"/>
    <w:rsid w:val="006E113A"/>
    <w:rsid w:val="006E13BF"/>
    <w:rsid w:val="006E1486"/>
    <w:rsid w:val="006E161E"/>
    <w:rsid w:val="006E164C"/>
    <w:rsid w:val="006E1876"/>
    <w:rsid w:val="006E190F"/>
    <w:rsid w:val="006E1B4D"/>
    <w:rsid w:val="006E224B"/>
    <w:rsid w:val="006E243C"/>
    <w:rsid w:val="006E29B3"/>
    <w:rsid w:val="006E2A2C"/>
    <w:rsid w:val="006E3445"/>
    <w:rsid w:val="006E3A31"/>
    <w:rsid w:val="006E3B5B"/>
    <w:rsid w:val="006E3E6C"/>
    <w:rsid w:val="006E4114"/>
    <w:rsid w:val="006E447B"/>
    <w:rsid w:val="006E4918"/>
    <w:rsid w:val="006E4B1B"/>
    <w:rsid w:val="006E4BE6"/>
    <w:rsid w:val="006E4D43"/>
    <w:rsid w:val="006E50FF"/>
    <w:rsid w:val="006E5115"/>
    <w:rsid w:val="006E520F"/>
    <w:rsid w:val="006E532D"/>
    <w:rsid w:val="006E5445"/>
    <w:rsid w:val="006E5A5E"/>
    <w:rsid w:val="006E5E42"/>
    <w:rsid w:val="006E61AA"/>
    <w:rsid w:val="006E61C3"/>
    <w:rsid w:val="006E622E"/>
    <w:rsid w:val="006E63D6"/>
    <w:rsid w:val="006E63FE"/>
    <w:rsid w:val="006E655A"/>
    <w:rsid w:val="006E6586"/>
    <w:rsid w:val="006E659B"/>
    <w:rsid w:val="006E6B6B"/>
    <w:rsid w:val="006E6BA8"/>
    <w:rsid w:val="006E6F28"/>
    <w:rsid w:val="006E6FB1"/>
    <w:rsid w:val="006E727B"/>
    <w:rsid w:val="006E72F3"/>
    <w:rsid w:val="006E75C7"/>
    <w:rsid w:val="006E7737"/>
    <w:rsid w:val="006E7B70"/>
    <w:rsid w:val="006E7D15"/>
    <w:rsid w:val="006E7D93"/>
    <w:rsid w:val="006F012B"/>
    <w:rsid w:val="006F030F"/>
    <w:rsid w:val="006F0584"/>
    <w:rsid w:val="006F0649"/>
    <w:rsid w:val="006F0795"/>
    <w:rsid w:val="006F0930"/>
    <w:rsid w:val="006F09F6"/>
    <w:rsid w:val="006F0CF9"/>
    <w:rsid w:val="006F1051"/>
    <w:rsid w:val="006F11CA"/>
    <w:rsid w:val="006F149D"/>
    <w:rsid w:val="006F15F8"/>
    <w:rsid w:val="006F1CB1"/>
    <w:rsid w:val="006F29E6"/>
    <w:rsid w:val="006F2B02"/>
    <w:rsid w:val="006F2BAF"/>
    <w:rsid w:val="006F2EE1"/>
    <w:rsid w:val="006F31F5"/>
    <w:rsid w:val="006F3207"/>
    <w:rsid w:val="006F378F"/>
    <w:rsid w:val="006F3F88"/>
    <w:rsid w:val="006F41DF"/>
    <w:rsid w:val="006F43A3"/>
    <w:rsid w:val="006F4C38"/>
    <w:rsid w:val="006F4F4C"/>
    <w:rsid w:val="006F542F"/>
    <w:rsid w:val="006F54B0"/>
    <w:rsid w:val="006F5B0F"/>
    <w:rsid w:val="006F61A3"/>
    <w:rsid w:val="006F6CD2"/>
    <w:rsid w:val="006F7426"/>
    <w:rsid w:val="006F799C"/>
    <w:rsid w:val="006F7E0C"/>
    <w:rsid w:val="007000CD"/>
    <w:rsid w:val="00700221"/>
    <w:rsid w:val="0070084E"/>
    <w:rsid w:val="00700D18"/>
    <w:rsid w:val="007013A2"/>
    <w:rsid w:val="007015A8"/>
    <w:rsid w:val="00701676"/>
    <w:rsid w:val="007016FF"/>
    <w:rsid w:val="0070191A"/>
    <w:rsid w:val="00701F67"/>
    <w:rsid w:val="007024E3"/>
    <w:rsid w:val="0070256F"/>
    <w:rsid w:val="007029A3"/>
    <w:rsid w:val="00703070"/>
    <w:rsid w:val="00703DA1"/>
    <w:rsid w:val="00704992"/>
    <w:rsid w:val="00704CB6"/>
    <w:rsid w:val="00704E91"/>
    <w:rsid w:val="00704F39"/>
    <w:rsid w:val="00704F47"/>
    <w:rsid w:val="007053C8"/>
    <w:rsid w:val="007054DB"/>
    <w:rsid w:val="0070568B"/>
    <w:rsid w:val="007058B2"/>
    <w:rsid w:val="00705AC6"/>
    <w:rsid w:val="00705B0E"/>
    <w:rsid w:val="00705D55"/>
    <w:rsid w:val="00706004"/>
    <w:rsid w:val="007061DC"/>
    <w:rsid w:val="00706222"/>
    <w:rsid w:val="007066CF"/>
    <w:rsid w:val="0070673D"/>
    <w:rsid w:val="0070682A"/>
    <w:rsid w:val="007069F4"/>
    <w:rsid w:val="00706E4E"/>
    <w:rsid w:val="00707413"/>
    <w:rsid w:val="0070791C"/>
    <w:rsid w:val="00707D94"/>
    <w:rsid w:val="00710160"/>
    <w:rsid w:val="00710244"/>
    <w:rsid w:val="007103D3"/>
    <w:rsid w:val="0071080F"/>
    <w:rsid w:val="00710B9D"/>
    <w:rsid w:val="00710F7C"/>
    <w:rsid w:val="00711019"/>
    <w:rsid w:val="00711139"/>
    <w:rsid w:val="007115EB"/>
    <w:rsid w:val="007115F4"/>
    <w:rsid w:val="0071176C"/>
    <w:rsid w:val="00711ED5"/>
    <w:rsid w:val="00712192"/>
    <w:rsid w:val="007121CF"/>
    <w:rsid w:val="00712283"/>
    <w:rsid w:val="00712B57"/>
    <w:rsid w:val="00712CCF"/>
    <w:rsid w:val="00712D96"/>
    <w:rsid w:val="00712F74"/>
    <w:rsid w:val="007132A4"/>
    <w:rsid w:val="0071372D"/>
    <w:rsid w:val="0071374F"/>
    <w:rsid w:val="0071383C"/>
    <w:rsid w:val="00713D9D"/>
    <w:rsid w:val="007141A7"/>
    <w:rsid w:val="007143B8"/>
    <w:rsid w:val="00714539"/>
    <w:rsid w:val="007148BE"/>
    <w:rsid w:val="0071499E"/>
    <w:rsid w:val="00714AD0"/>
    <w:rsid w:val="00714BBD"/>
    <w:rsid w:val="00714FD8"/>
    <w:rsid w:val="00715722"/>
    <w:rsid w:val="00715BB9"/>
    <w:rsid w:val="00715C79"/>
    <w:rsid w:val="0071684C"/>
    <w:rsid w:val="00716DE9"/>
    <w:rsid w:val="00716EBD"/>
    <w:rsid w:val="007170BC"/>
    <w:rsid w:val="007171FF"/>
    <w:rsid w:val="007175E7"/>
    <w:rsid w:val="0071796B"/>
    <w:rsid w:val="00717CE2"/>
    <w:rsid w:val="00717DDD"/>
    <w:rsid w:val="007200C5"/>
    <w:rsid w:val="0072016A"/>
    <w:rsid w:val="0072031C"/>
    <w:rsid w:val="007206FF"/>
    <w:rsid w:val="007208AE"/>
    <w:rsid w:val="007208D8"/>
    <w:rsid w:val="00720CC8"/>
    <w:rsid w:val="00720FC4"/>
    <w:rsid w:val="00721032"/>
    <w:rsid w:val="0072140C"/>
    <w:rsid w:val="0072144A"/>
    <w:rsid w:val="00721B55"/>
    <w:rsid w:val="00721D72"/>
    <w:rsid w:val="00721FB7"/>
    <w:rsid w:val="00722618"/>
    <w:rsid w:val="0072262E"/>
    <w:rsid w:val="007227D8"/>
    <w:rsid w:val="007229D3"/>
    <w:rsid w:val="00722CA9"/>
    <w:rsid w:val="00723205"/>
    <w:rsid w:val="007235CB"/>
    <w:rsid w:val="00723FFE"/>
    <w:rsid w:val="00724119"/>
    <w:rsid w:val="007242CB"/>
    <w:rsid w:val="007244B2"/>
    <w:rsid w:val="007246E7"/>
    <w:rsid w:val="0072518B"/>
    <w:rsid w:val="007251F1"/>
    <w:rsid w:val="00725322"/>
    <w:rsid w:val="00725675"/>
    <w:rsid w:val="00725FE8"/>
    <w:rsid w:val="007261F6"/>
    <w:rsid w:val="00726357"/>
    <w:rsid w:val="00726465"/>
    <w:rsid w:val="0072685A"/>
    <w:rsid w:val="007269A3"/>
    <w:rsid w:val="007269E8"/>
    <w:rsid w:val="00726CE4"/>
    <w:rsid w:val="00726D3C"/>
    <w:rsid w:val="00726DEC"/>
    <w:rsid w:val="00726F45"/>
    <w:rsid w:val="00727040"/>
    <w:rsid w:val="0072724B"/>
    <w:rsid w:val="007272E2"/>
    <w:rsid w:val="0072754E"/>
    <w:rsid w:val="00727699"/>
    <w:rsid w:val="0072787A"/>
    <w:rsid w:val="00727B57"/>
    <w:rsid w:val="00727C16"/>
    <w:rsid w:val="00727CBC"/>
    <w:rsid w:val="00727DD8"/>
    <w:rsid w:val="00727FEB"/>
    <w:rsid w:val="007300A5"/>
    <w:rsid w:val="00730291"/>
    <w:rsid w:val="007306A2"/>
    <w:rsid w:val="00730994"/>
    <w:rsid w:val="00730A1C"/>
    <w:rsid w:val="00730E6E"/>
    <w:rsid w:val="00731991"/>
    <w:rsid w:val="00731E1C"/>
    <w:rsid w:val="007323E0"/>
    <w:rsid w:val="00732438"/>
    <w:rsid w:val="00732A3E"/>
    <w:rsid w:val="00732B30"/>
    <w:rsid w:val="007333AE"/>
    <w:rsid w:val="007333B9"/>
    <w:rsid w:val="0073352B"/>
    <w:rsid w:val="00733547"/>
    <w:rsid w:val="007335E1"/>
    <w:rsid w:val="007338FA"/>
    <w:rsid w:val="0073394E"/>
    <w:rsid w:val="00733B77"/>
    <w:rsid w:val="00734143"/>
    <w:rsid w:val="00734169"/>
    <w:rsid w:val="0073424B"/>
    <w:rsid w:val="007342CC"/>
    <w:rsid w:val="007344C4"/>
    <w:rsid w:val="00734EF8"/>
    <w:rsid w:val="00735161"/>
    <w:rsid w:val="007351C3"/>
    <w:rsid w:val="007355D4"/>
    <w:rsid w:val="007356DC"/>
    <w:rsid w:val="00735745"/>
    <w:rsid w:val="007357DD"/>
    <w:rsid w:val="00735AFD"/>
    <w:rsid w:val="00735B1B"/>
    <w:rsid w:val="00735CFC"/>
    <w:rsid w:val="00735E3C"/>
    <w:rsid w:val="00736258"/>
    <w:rsid w:val="007365BD"/>
    <w:rsid w:val="007366C8"/>
    <w:rsid w:val="00736757"/>
    <w:rsid w:val="00736A89"/>
    <w:rsid w:val="00736B02"/>
    <w:rsid w:val="00736CD8"/>
    <w:rsid w:val="00736F91"/>
    <w:rsid w:val="00737022"/>
    <w:rsid w:val="007370FE"/>
    <w:rsid w:val="00737694"/>
    <w:rsid w:val="007378B1"/>
    <w:rsid w:val="00737E47"/>
    <w:rsid w:val="00737F97"/>
    <w:rsid w:val="007404E8"/>
    <w:rsid w:val="007408DB"/>
    <w:rsid w:val="00740EAC"/>
    <w:rsid w:val="00741182"/>
    <w:rsid w:val="007412CD"/>
    <w:rsid w:val="0074162F"/>
    <w:rsid w:val="00741C2B"/>
    <w:rsid w:val="007422A4"/>
    <w:rsid w:val="00742671"/>
    <w:rsid w:val="00742870"/>
    <w:rsid w:val="00742AFC"/>
    <w:rsid w:val="00742B4C"/>
    <w:rsid w:val="00742CF1"/>
    <w:rsid w:val="00742E37"/>
    <w:rsid w:val="00742F3E"/>
    <w:rsid w:val="0074305A"/>
    <w:rsid w:val="0074394E"/>
    <w:rsid w:val="00743BEF"/>
    <w:rsid w:val="00744060"/>
    <w:rsid w:val="007441EB"/>
    <w:rsid w:val="00744365"/>
    <w:rsid w:val="00744418"/>
    <w:rsid w:val="00744956"/>
    <w:rsid w:val="007449D0"/>
    <w:rsid w:val="00744A5E"/>
    <w:rsid w:val="00744F18"/>
    <w:rsid w:val="007450D4"/>
    <w:rsid w:val="00745710"/>
    <w:rsid w:val="00745810"/>
    <w:rsid w:val="00745A5C"/>
    <w:rsid w:val="00745A6F"/>
    <w:rsid w:val="00745A90"/>
    <w:rsid w:val="00745CC0"/>
    <w:rsid w:val="0074605F"/>
    <w:rsid w:val="00746463"/>
    <w:rsid w:val="007467F0"/>
    <w:rsid w:val="0074685D"/>
    <w:rsid w:val="007469FE"/>
    <w:rsid w:val="00746A75"/>
    <w:rsid w:val="00746CAB"/>
    <w:rsid w:val="00746F0C"/>
    <w:rsid w:val="00746F94"/>
    <w:rsid w:val="0074736F"/>
    <w:rsid w:val="00747BD8"/>
    <w:rsid w:val="00747E94"/>
    <w:rsid w:val="0075013D"/>
    <w:rsid w:val="00750502"/>
    <w:rsid w:val="00750613"/>
    <w:rsid w:val="00750719"/>
    <w:rsid w:val="00750CEC"/>
    <w:rsid w:val="00750F05"/>
    <w:rsid w:val="007510CE"/>
    <w:rsid w:val="00751342"/>
    <w:rsid w:val="00751534"/>
    <w:rsid w:val="007515BD"/>
    <w:rsid w:val="00751602"/>
    <w:rsid w:val="00751AEC"/>
    <w:rsid w:val="00751DC1"/>
    <w:rsid w:val="00751E5B"/>
    <w:rsid w:val="0075215F"/>
    <w:rsid w:val="0075246E"/>
    <w:rsid w:val="0075253B"/>
    <w:rsid w:val="007525E8"/>
    <w:rsid w:val="0075276B"/>
    <w:rsid w:val="007527BE"/>
    <w:rsid w:val="00752857"/>
    <w:rsid w:val="00752AA8"/>
    <w:rsid w:val="00752AB6"/>
    <w:rsid w:val="00752AD3"/>
    <w:rsid w:val="00752B03"/>
    <w:rsid w:val="00752F62"/>
    <w:rsid w:val="00752F6D"/>
    <w:rsid w:val="0075300A"/>
    <w:rsid w:val="0075302B"/>
    <w:rsid w:val="007534CC"/>
    <w:rsid w:val="007538FB"/>
    <w:rsid w:val="00753AEC"/>
    <w:rsid w:val="00753AFB"/>
    <w:rsid w:val="00753D44"/>
    <w:rsid w:val="00753E8C"/>
    <w:rsid w:val="00754111"/>
    <w:rsid w:val="007542A3"/>
    <w:rsid w:val="0075460D"/>
    <w:rsid w:val="007548BB"/>
    <w:rsid w:val="00754C83"/>
    <w:rsid w:val="0075534E"/>
    <w:rsid w:val="00755459"/>
    <w:rsid w:val="00755BCE"/>
    <w:rsid w:val="00755E71"/>
    <w:rsid w:val="00756048"/>
    <w:rsid w:val="0075627F"/>
    <w:rsid w:val="00756463"/>
    <w:rsid w:val="00756566"/>
    <w:rsid w:val="007567E5"/>
    <w:rsid w:val="0075693F"/>
    <w:rsid w:val="00756974"/>
    <w:rsid w:val="0075730F"/>
    <w:rsid w:val="00757389"/>
    <w:rsid w:val="0075739E"/>
    <w:rsid w:val="00757885"/>
    <w:rsid w:val="00760066"/>
    <w:rsid w:val="00760440"/>
    <w:rsid w:val="007609C9"/>
    <w:rsid w:val="00760C0F"/>
    <w:rsid w:val="00760D15"/>
    <w:rsid w:val="00761079"/>
    <w:rsid w:val="0076117F"/>
    <w:rsid w:val="00761B08"/>
    <w:rsid w:val="00761E91"/>
    <w:rsid w:val="0076275F"/>
    <w:rsid w:val="00762FBD"/>
    <w:rsid w:val="00763477"/>
    <w:rsid w:val="0076347E"/>
    <w:rsid w:val="007634D6"/>
    <w:rsid w:val="0076358B"/>
    <w:rsid w:val="0076373B"/>
    <w:rsid w:val="0076382A"/>
    <w:rsid w:val="00763BC3"/>
    <w:rsid w:val="00764154"/>
    <w:rsid w:val="007641B3"/>
    <w:rsid w:val="0076446D"/>
    <w:rsid w:val="00764684"/>
    <w:rsid w:val="00764915"/>
    <w:rsid w:val="00764E40"/>
    <w:rsid w:val="00765046"/>
    <w:rsid w:val="0076505D"/>
    <w:rsid w:val="007652CF"/>
    <w:rsid w:val="0076534E"/>
    <w:rsid w:val="00765A9D"/>
    <w:rsid w:val="00765BF1"/>
    <w:rsid w:val="00765C17"/>
    <w:rsid w:val="00765DF8"/>
    <w:rsid w:val="00765E77"/>
    <w:rsid w:val="00765F2B"/>
    <w:rsid w:val="00766243"/>
    <w:rsid w:val="00766391"/>
    <w:rsid w:val="00766504"/>
    <w:rsid w:val="0076664C"/>
    <w:rsid w:val="00766749"/>
    <w:rsid w:val="00766C33"/>
    <w:rsid w:val="00766D28"/>
    <w:rsid w:val="00767163"/>
    <w:rsid w:val="007677E6"/>
    <w:rsid w:val="007678D0"/>
    <w:rsid w:val="007678D1"/>
    <w:rsid w:val="007679AD"/>
    <w:rsid w:val="00767C1B"/>
    <w:rsid w:val="00767CAC"/>
    <w:rsid w:val="00767CEE"/>
    <w:rsid w:val="00767D09"/>
    <w:rsid w:val="00767DF9"/>
    <w:rsid w:val="00767E9E"/>
    <w:rsid w:val="0077013B"/>
    <w:rsid w:val="007701B8"/>
    <w:rsid w:val="00770CB1"/>
    <w:rsid w:val="00771226"/>
    <w:rsid w:val="007714A9"/>
    <w:rsid w:val="007716AB"/>
    <w:rsid w:val="0077191D"/>
    <w:rsid w:val="00771F76"/>
    <w:rsid w:val="00772021"/>
    <w:rsid w:val="00772085"/>
    <w:rsid w:val="00772126"/>
    <w:rsid w:val="0077221D"/>
    <w:rsid w:val="007722B7"/>
    <w:rsid w:val="00772993"/>
    <w:rsid w:val="00772E93"/>
    <w:rsid w:val="00773D92"/>
    <w:rsid w:val="00773EC1"/>
    <w:rsid w:val="00773F01"/>
    <w:rsid w:val="00773FB7"/>
    <w:rsid w:val="00774216"/>
    <w:rsid w:val="0077443F"/>
    <w:rsid w:val="00774BB2"/>
    <w:rsid w:val="00774F5A"/>
    <w:rsid w:val="00774F88"/>
    <w:rsid w:val="00774FDB"/>
    <w:rsid w:val="007752B5"/>
    <w:rsid w:val="0077533E"/>
    <w:rsid w:val="00775560"/>
    <w:rsid w:val="0077559E"/>
    <w:rsid w:val="007756B4"/>
    <w:rsid w:val="00775A60"/>
    <w:rsid w:val="00775B4A"/>
    <w:rsid w:val="0077609B"/>
    <w:rsid w:val="0077647C"/>
    <w:rsid w:val="007764A2"/>
    <w:rsid w:val="007764EF"/>
    <w:rsid w:val="0077670E"/>
    <w:rsid w:val="00776862"/>
    <w:rsid w:val="00776AB0"/>
    <w:rsid w:val="00776BF2"/>
    <w:rsid w:val="00776C86"/>
    <w:rsid w:val="00776E08"/>
    <w:rsid w:val="0077778E"/>
    <w:rsid w:val="007777FF"/>
    <w:rsid w:val="0077795D"/>
    <w:rsid w:val="0077797D"/>
    <w:rsid w:val="00777B6A"/>
    <w:rsid w:val="00777BA2"/>
    <w:rsid w:val="00777BBB"/>
    <w:rsid w:val="00777FDE"/>
    <w:rsid w:val="007800F2"/>
    <w:rsid w:val="00780118"/>
    <w:rsid w:val="00780282"/>
    <w:rsid w:val="007803BD"/>
    <w:rsid w:val="00780790"/>
    <w:rsid w:val="00780803"/>
    <w:rsid w:val="00780AA5"/>
    <w:rsid w:val="00781408"/>
    <w:rsid w:val="0078141C"/>
    <w:rsid w:val="00781BEF"/>
    <w:rsid w:val="00781E49"/>
    <w:rsid w:val="00781FD0"/>
    <w:rsid w:val="007820EA"/>
    <w:rsid w:val="00782356"/>
    <w:rsid w:val="007825EB"/>
    <w:rsid w:val="007826D5"/>
    <w:rsid w:val="00782C1A"/>
    <w:rsid w:val="00782EA7"/>
    <w:rsid w:val="00782EB5"/>
    <w:rsid w:val="00782EFC"/>
    <w:rsid w:val="00783131"/>
    <w:rsid w:val="00783142"/>
    <w:rsid w:val="007834C7"/>
    <w:rsid w:val="00783534"/>
    <w:rsid w:val="007835D5"/>
    <w:rsid w:val="00783FDC"/>
    <w:rsid w:val="00784268"/>
    <w:rsid w:val="007845B1"/>
    <w:rsid w:val="007846E9"/>
    <w:rsid w:val="00784C93"/>
    <w:rsid w:val="00784CCE"/>
    <w:rsid w:val="00784D29"/>
    <w:rsid w:val="00784DA7"/>
    <w:rsid w:val="00784F7F"/>
    <w:rsid w:val="007853DD"/>
    <w:rsid w:val="0078544D"/>
    <w:rsid w:val="0078563E"/>
    <w:rsid w:val="007856A9"/>
    <w:rsid w:val="00785757"/>
    <w:rsid w:val="00785935"/>
    <w:rsid w:val="00785CFB"/>
    <w:rsid w:val="00785D4C"/>
    <w:rsid w:val="00785F7B"/>
    <w:rsid w:val="0078620C"/>
    <w:rsid w:val="0078681D"/>
    <w:rsid w:val="00786A4A"/>
    <w:rsid w:val="00786F04"/>
    <w:rsid w:val="0078767B"/>
    <w:rsid w:val="00787743"/>
    <w:rsid w:val="00787894"/>
    <w:rsid w:val="007878BD"/>
    <w:rsid w:val="00787C86"/>
    <w:rsid w:val="00787FBE"/>
    <w:rsid w:val="00790056"/>
    <w:rsid w:val="007903BD"/>
    <w:rsid w:val="00790752"/>
    <w:rsid w:val="0079085E"/>
    <w:rsid w:val="00790EDC"/>
    <w:rsid w:val="0079115B"/>
    <w:rsid w:val="0079118B"/>
    <w:rsid w:val="007912CB"/>
    <w:rsid w:val="007916F4"/>
    <w:rsid w:val="00791838"/>
    <w:rsid w:val="007918F7"/>
    <w:rsid w:val="007919E4"/>
    <w:rsid w:val="00791A35"/>
    <w:rsid w:val="00791C7D"/>
    <w:rsid w:val="00791F9A"/>
    <w:rsid w:val="007921CB"/>
    <w:rsid w:val="007921FB"/>
    <w:rsid w:val="007929AB"/>
    <w:rsid w:val="00792F51"/>
    <w:rsid w:val="00793A9D"/>
    <w:rsid w:val="00793D8C"/>
    <w:rsid w:val="00793DFD"/>
    <w:rsid w:val="0079442E"/>
    <w:rsid w:val="00794490"/>
    <w:rsid w:val="007944CA"/>
    <w:rsid w:val="00794608"/>
    <w:rsid w:val="00794D0A"/>
    <w:rsid w:val="00794D1F"/>
    <w:rsid w:val="007951F8"/>
    <w:rsid w:val="00795A19"/>
    <w:rsid w:val="00795AFC"/>
    <w:rsid w:val="007961C4"/>
    <w:rsid w:val="007965E1"/>
    <w:rsid w:val="00796833"/>
    <w:rsid w:val="00796A02"/>
    <w:rsid w:val="00796C4C"/>
    <w:rsid w:val="00796F25"/>
    <w:rsid w:val="00797676"/>
    <w:rsid w:val="007976D2"/>
    <w:rsid w:val="00797B41"/>
    <w:rsid w:val="00797DFB"/>
    <w:rsid w:val="00797F18"/>
    <w:rsid w:val="007A00F3"/>
    <w:rsid w:val="007A0A16"/>
    <w:rsid w:val="007A0BBD"/>
    <w:rsid w:val="007A0EDE"/>
    <w:rsid w:val="007A102F"/>
    <w:rsid w:val="007A1074"/>
    <w:rsid w:val="007A124C"/>
    <w:rsid w:val="007A17FB"/>
    <w:rsid w:val="007A1856"/>
    <w:rsid w:val="007A1AA8"/>
    <w:rsid w:val="007A1CF3"/>
    <w:rsid w:val="007A2098"/>
    <w:rsid w:val="007A23B5"/>
    <w:rsid w:val="007A241B"/>
    <w:rsid w:val="007A2435"/>
    <w:rsid w:val="007A2565"/>
    <w:rsid w:val="007A27BB"/>
    <w:rsid w:val="007A2861"/>
    <w:rsid w:val="007A2A4C"/>
    <w:rsid w:val="007A2ADC"/>
    <w:rsid w:val="007A2B62"/>
    <w:rsid w:val="007A2E98"/>
    <w:rsid w:val="007A3263"/>
    <w:rsid w:val="007A3312"/>
    <w:rsid w:val="007A35DB"/>
    <w:rsid w:val="007A3772"/>
    <w:rsid w:val="007A3796"/>
    <w:rsid w:val="007A3BA3"/>
    <w:rsid w:val="007A3BEE"/>
    <w:rsid w:val="007A4188"/>
    <w:rsid w:val="007A443D"/>
    <w:rsid w:val="007A4F06"/>
    <w:rsid w:val="007A516D"/>
    <w:rsid w:val="007A51D1"/>
    <w:rsid w:val="007A52DC"/>
    <w:rsid w:val="007A53D4"/>
    <w:rsid w:val="007A556D"/>
    <w:rsid w:val="007A55F0"/>
    <w:rsid w:val="007A58D2"/>
    <w:rsid w:val="007A591B"/>
    <w:rsid w:val="007A6023"/>
    <w:rsid w:val="007A6268"/>
    <w:rsid w:val="007A635D"/>
    <w:rsid w:val="007A65E9"/>
    <w:rsid w:val="007A66F5"/>
    <w:rsid w:val="007A6CC0"/>
    <w:rsid w:val="007A6E64"/>
    <w:rsid w:val="007A7511"/>
    <w:rsid w:val="007A78A6"/>
    <w:rsid w:val="007A7B25"/>
    <w:rsid w:val="007A7B2A"/>
    <w:rsid w:val="007A7B97"/>
    <w:rsid w:val="007A7BF4"/>
    <w:rsid w:val="007A7FEC"/>
    <w:rsid w:val="007B0284"/>
    <w:rsid w:val="007B036D"/>
    <w:rsid w:val="007B0663"/>
    <w:rsid w:val="007B0700"/>
    <w:rsid w:val="007B0928"/>
    <w:rsid w:val="007B0B47"/>
    <w:rsid w:val="007B0BCC"/>
    <w:rsid w:val="007B111C"/>
    <w:rsid w:val="007B1159"/>
    <w:rsid w:val="007B1499"/>
    <w:rsid w:val="007B1654"/>
    <w:rsid w:val="007B1BBF"/>
    <w:rsid w:val="007B1BE0"/>
    <w:rsid w:val="007B1C64"/>
    <w:rsid w:val="007B1D63"/>
    <w:rsid w:val="007B1F1B"/>
    <w:rsid w:val="007B245B"/>
    <w:rsid w:val="007B258D"/>
    <w:rsid w:val="007B2960"/>
    <w:rsid w:val="007B2A05"/>
    <w:rsid w:val="007B2D5A"/>
    <w:rsid w:val="007B2F4F"/>
    <w:rsid w:val="007B300B"/>
    <w:rsid w:val="007B33EF"/>
    <w:rsid w:val="007B355D"/>
    <w:rsid w:val="007B38D6"/>
    <w:rsid w:val="007B3992"/>
    <w:rsid w:val="007B3BC2"/>
    <w:rsid w:val="007B3CFE"/>
    <w:rsid w:val="007B4644"/>
    <w:rsid w:val="007B477C"/>
    <w:rsid w:val="007B4798"/>
    <w:rsid w:val="007B49F7"/>
    <w:rsid w:val="007B516E"/>
    <w:rsid w:val="007B579C"/>
    <w:rsid w:val="007B5B9C"/>
    <w:rsid w:val="007B5D20"/>
    <w:rsid w:val="007B6741"/>
    <w:rsid w:val="007B6BA8"/>
    <w:rsid w:val="007B6E82"/>
    <w:rsid w:val="007B6FDC"/>
    <w:rsid w:val="007B7180"/>
    <w:rsid w:val="007B72A8"/>
    <w:rsid w:val="007B788C"/>
    <w:rsid w:val="007B792C"/>
    <w:rsid w:val="007B7980"/>
    <w:rsid w:val="007B79A3"/>
    <w:rsid w:val="007B79CC"/>
    <w:rsid w:val="007B7A0F"/>
    <w:rsid w:val="007B7B81"/>
    <w:rsid w:val="007C00B9"/>
    <w:rsid w:val="007C062C"/>
    <w:rsid w:val="007C0658"/>
    <w:rsid w:val="007C0715"/>
    <w:rsid w:val="007C0935"/>
    <w:rsid w:val="007C0ABA"/>
    <w:rsid w:val="007C0B07"/>
    <w:rsid w:val="007C0DEF"/>
    <w:rsid w:val="007C1251"/>
    <w:rsid w:val="007C1AD3"/>
    <w:rsid w:val="007C1B20"/>
    <w:rsid w:val="007C297B"/>
    <w:rsid w:val="007C334C"/>
    <w:rsid w:val="007C370C"/>
    <w:rsid w:val="007C3770"/>
    <w:rsid w:val="007C38DB"/>
    <w:rsid w:val="007C3ACA"/>
    <w:rsid w:val="007C3B13"/>
    <w:rsid w:val="007C3B76"/>
    <w:rsid w:val="007C3E9D"/>
    <w:rsid w:val="007C473A"/>
    <w:rsid w:val="007C47C1"/>
    <w:rsid w:val="007C49B5"/>
    <w:rsid w:val="007C4C45"/>
    <w:rsid w:val="007C528A"/>
    <w:rsid w:val="007C534F"/>
    <w:rsid w:val="007C5683"/>
    <w:rsid w:val="007C56B6"/>
    <w:rsid w:val="007C584F"/>
    <w:rsid w:val="007C58F2"/>
    <w:rsid w:val="007C5A32"/>
    <w:rsid w:val="007C5D5A"/>
    <w:rsid w:val="007C5FBA"/>
    <w:rsid w:val="007C607F"/>
    <w:rsid w:val="007C610F"/>
    <w:rsid w:val="007C613D"/>
    <w:rsid w:val="007C6141"/>
    <w:rsid w:val="007C62A7"/>
    <w:rsid w:val="007C633E"/>
    <w:rsid w:val="007C658E"/>
    <w:rsid w:val="007C6819"/>
    <w:rsid w:val="007C6885"/>
    <w:rsid w:val="007C711B"/>
    <w:rsid w:val="007C7777"/>
    <w:rsid w:val="007C77FF"/>
    <w:rsid w:val="007C788A"/>
    <w:rsid w:val="007C79DD"/>
    <w:rsid w:val="007C7CA0"/>
    <w:rsid w:val="007C7CD4"/>
    <w:rsid w:val="007C7D28"/>
    <w:rsid w:val="007D027A"/>
    <w:rsid w:val="007D05C3"/>
    <w:rsid w:val="007D0DFE"/>
    <w:rsid w:val="007D1128"/>
    <w:rsid w:val="007D12F2"/>
    <w:rsid w:val="007D14FA"/>
    <w:rsid w:val="007D15D8"/>
    <w:rsid w:val="007D1A97"/>
    <w:rsid w:val="007D1FB0"/>
    <w:rsid w:val="007D207C"/>
    <w:rsid w:val="007D22A2"/>
    <w:rsid w:val="007D243C"/>
    <w:rsid w:val="007D2582"/>
    <w:rsid w:val="007D26B6"/>
    <w:rsid w:val="007D2800"/>
    <w:rsid w:val="007D2CD4"/>
    <w:rsid w:val="007D2CD6"/>
    <w:rsid w:val="007D2F77"/>
    <w:rsid w:val="007D3063"/>
    <w:rsid w:val="007D381B"/>
    <w:rsid w:val="007D3CEB"/>
    <w:rsid w:val="007D4113"/>
    <w:rsid w:val="007D47D9"/>
    <w:rsid w:val="007D47F8"/>
    <w:rsid w:val="007D485C"/>
    <w:rsid w:val="007D4950"/>
    <w:rsid w:val="007D4AC7"/>
    <w:rsid w:val="007D4DAC"/>
    <w:rsid w:val="007D5127"/>
    <w:rsid w:val="007D5765"/>
    <w:rsid w:val="007D57F6"/>
    <w:rsid w:val="007D5C4C"/>
    <w:rsid w:val="007D5CB6"/>
    <w:rsid w:val="007D5F04"/>
    <w:rsid w:val="007D5F3E"/>
    <w:rsid w:val="007D602D"/>
    <w:rsid w:val="007D659D"/>
    <w:rsid w:val="007D6628"/>
    <w:rsid w:val="007D6822"/>
    <w:rsid w:val="007D68B7"/>
    <w:rsid w:val="007D7172"/>
    <w:rsid w:val="007D7271"/>
    <w:rsid w:val="007D7A42"/>
    <w:rsid w:val="007D7B0F"/>
    <w:rsid w:val="007D7B61"/>
    <w:rsid w:val="007D7C29"/>
    <w:rsid w:val="007E005E"/>
    <w:rsid w:val="007E03EE"/>
    <w:rsid w:val="007E055A"/>
    <w:rsid w:val="007E06EA"/>
    <w:rsid w:val="007E08F4"/>
    <w:rsid w:val="007E0BAD"/>
    <w:rsid w:val="007E0D19"/>
    <w:rsid w:val="007E0F6C"/>
    <w:rsid w:val="007E12BE"/>
    <w:rsid w:val="007E12C2"/>
    <w:rsid w:val="007E12CE"/>
    <w:rsid w:val="007E1423"/>
    <w:rsid w:val="007E1431"/>
    <w:rsid w:val="007E1448"/>
    <w:rsid w:val="007E1478"/>
    <w:rsid w:val="007E175F"/>
    <w:rsid w:val="007E1860"/>
    <w:rsid w:val="007E18F0"/>
    <w:rsid w:val="007E1AEE"/>
    <w:rsid w:val="007E1FBE"/>
    <w:rsid w:val="007E2523"/>
    <w:rsid w:val="007E253F"/>
    <w:rsid w:val="007E268B"/>
    <w:rsid w:val="007E28B3"/>
    <w:rsid w:val="007E28C7"/>
    <w:rsid w:val="007E2F91"/>
    <w:rsid w:val="007E311E"/>
    <w:rsid w:val="007E3413"/>
    <w:rsid w:val="007E38A4"/>
    <w:rsid w:val="007E42B2"/>
    <w:rsid w:val="007E4378"/>
    <w:rsid w:val="007E43E1"/>
    <w:rsid w:val="007E4700"/>
    <w:rsid w:val="007E4B7B"/>
    <w:rsid w:val="007E4BBD"/>
    <w:rsid w:val="007E4E6A"/>
    <w:rsid w:val="007E50A5"/>
    <w:rsid w:val="007E55F4"/>
    <w:rsid w:val="007E5605"/>
    <w:rsid w:val="007E5D97"/>
    <w:rsid w:val="007E6189"/>
    <w:rsid w:val="007E65C0"/>
    <w:rsid w:val="007E6806"/>
    <w:rsid w:val="007E69B3"/>
    <w:rsid w:val="007E6B17"/>
    <w:rsid w:val="007E6EB1"/>
    <w:rsid w:val="007E7092"/>
    <w:rsid w:val="007E70A6"/>
    <w:rsid w:val="007E72B9"/>
    <w:rsid w:val="007E72FE"/>
    <w:rsid w:val="007E7683"/>
    <w:rsid w:val="007E79F8"/>
    <w:rsid w:val="007E7A0B"/>
    <w:rsid w:val="007E7ACE"/>
    <w:rsid w:val="007F003B"/>
    <w:rsid w:val="007F02F8"/>
    <w:rsid w:val="007F05B5"/>
    <w:rsid w:val="007F068B"/>
    <w:rsid w:val="007F1017"/>
    <w:rsid w:val="007F10AD"/>
    <w:rsid w:val="007F1132"/>
    <w:rsid w:val="007F123E"/>
    <w:rsid w:val="007F19E5"/>
    <w:rsid w:val="007F1A09"/>
    <w:rsid w:val="007F1AE9"/>
    <w:rsid w:val="007F1E93"/>
    <w:rsid w:val="007F28AE"/>
    <w:rsid w:val="007F3132"/>
    <w:rsid w:val="007F3368"/>
    <w:rsid w:val="007F3405"/>
    <w:rsid w:val="007F3687"/>
    <w:rsid w:val="007F3BE2"/>
    <w:rsid w:val="007F3F8C"/>
    <w:rsid w:val="007F42FF"/>
    <w:rsid w:val="007F450D"/>
    <w:rsid w:val="007F4754"/>
    <w:rsid w:val="007F496B"/>
    <w:rsid w:val="007F49FA"/>
    <w:rsid w:val="007F4F3F"/>
    <w:rsid w:val="007F54C4"/>
    <w:rsid w:val="007F5539"/>
    <w:rsid w:val="007F5626"/>
    <w:rsid w:val="007F5823"/>
    <w:rsid w:val="007F5DB8"/>
    <w:rsid w:val="007F5F84"/>
    <w:rsid w:val="007F5FF6"/>
    <w:rsid w:val="007F63F9"/>
    <w:rsid w:val="007F6C4F"/>
    <w:rsid w:val="007F6E9A"/>
    <w:rsid w:val="007F70EB"/>
    <w:rsid w:val="007F7122"/>
    <w:rsid w:val="007F750B"/>
    <w:rsid w:val="007F77A0"/>
    <w:rsid w:val="007F7991"/>
    <w:rsid w:val="007F799A"/>
    <w:rsid w:val="007F7F3A"/>
    <w:rsid w:val="00800647"/>
    <w:rsid w:val="00800A7F"/>
    <w:rsid w:val="008010CB"/>
    <w:rsid w:val="00801207"/>
    <w:rsid w:val="008012DB"/>
    <w:rsid w:val="00801E32"/>
    <w:rsid w:val="0080223C"/>
    <w:rsid w:val="00802241"/>
    <w:rsid w:val="008023C1"/>
    <w:rsid w:val="008023EB"/>
    <w:rsid w:val="00802497"/>
    <w:rsid w:val="0080282C"/>
    <w:rsid w:val="00802DC1"/>
    <w:rsid w:val="00802E81"/>
    <w:rsid w:val="00803392"/>
    <w:rsid w:val="0080351D"/>
    <w:rsid w:val="008035F7"/>
    <w:rsid w:val="0080370A"/>
    <w:rsid w:val="00803C2F"/>
    <w:rsid w:val="0080400A"/>
    <w:rsid w:val="008041DB"/>
    <w:rsid w:val="008044B0"/>
    <w:rsid w:val="008044D4"/>
    <w:rsid w:val="008045DC"/>
    <w:rsid w:val="0080461D"/>
    <w:rsid w:val="00804833"/>
    <w:rsid w:val="00804971"/>
    <w:rsid w:val="008049C5"/>
    <w:rsid w:val="00804B67"/>
    <w:rsid w:val="00804C21"/>
    <w:rsid w:val="00804DA8"/>
    <w:rsid w:val="0080506C"/>
    <w:rsid w:val="008050E4"/>
    <w:rsid w:val="008058BF"/>
    <w:rsid w:val="0080603B"/>
    <w:rsid w:val="00806686"/>
    <w:rsid w:val="00806835"/>
    <w:rsid w:val="00806B2F"/>
    <w:rsid w:val="00807059"/>
    <w:rsid w:val="00807620"/>
    <w:rsid w:val="0080767F"/>
    <w:rsid w:val="00807B75"/>
    <w:rsid w:val="00807CB9"/>
    <w:rsid w:val="00807DE2"/>
    <w:rsid w:val="00807ED2"/>
    <w:rsid w:val="00810445"/>
    <w:rsid w:val="00810525"/>
    <w:rsid w:val="00810AB4"/>
    <w:rsid w:val="00810CDA"/>
    <w:rsid w:val="008111D8"/>
    <w:rsid w:val="0081172E"/>
    <w:rsid w:val="00811ADF"/>
    <w:rsid w:val="00812140"/>
    <w:rsid w:val="008121E9"/>
    <w:rsid w:val="0081299A"/>
    <w:rsid w:val="00812CB3"/>
    <w:rsid w:val="008131EB"/>
    <w:rsid w:val="008135E0"/>
    <w:rsid w:val="00813712"/>
    <w:rsid w:val="00813809"/>
    <w:rsid w:val="00813CCB"/>
    <w:rsid w:val="00813DA8"/>
    <w:rsid w:val="008140F7"/>
    <w:rsid w:val="00814272"/>
    <w:rsid w:val="0081444A"/>
    <w:rsid w:val="00814452"/>
    <w:rsid w:val="0081474A"/>
    <w:rsid w:val="00814B62"/>
    <w:rsid w:val="00814CF1"/>
    <w:rsid w:val="00814D40"/>
    <w:rsid w:val="00814D4D"/>
    <w:rsid w:val="00814DA0"/>
    <w:rsid w:val="00815112"/>
    <w:rsid w:val="00815463"/>
    <w:rsid w:val="00815878"/>
    <w:rsid w:val="00815CD2"/>
    <w:rsid w:val="00815D46"/>
    <w:rsid w:val="00815E58"/>
    <w:rsid w:val="008161DE"/>
    <w:rsid w:val="008163AE"/>
    <w:rsid w:val="00816703"/>
    <w:rsid w:val="00816923"/>
    <w:rsid w:val="00817176"/>
    <w:rsid w:val="008171A2"/>
    <w:rsid w:val="0081737B"/>
    <w:rsid w:val="00817862"/>
    <w:rsid w:val="00817B56"/>
    <w:rsid w:val="00817DB8"/>
    <w:rsid w:val="00817DF1"/>
    <w:rsid w:val="00820B1D"/>
    <w:rsid w:val="00820EA0"/>
    <w:rsid w:val="00821645"/>
    <w:rsid w:val="00821994"/>
    <w:rsid w:val="00821A88"/>
    <w:rsid w:val="0082214D"/>
    <w:rsid w:val="00822330"/>
    <w:rsid w:val="0082264C"/>
    <w:rsid w:val="00822711"/>
    <w:rsid w:val="00822830"/>
    <w:rsid w:val="00822915"/>
    <w:rsid w:val="00822964"/>
    <w:rsid w:val="00822EEA"/>
    <w:rsid w:val="008233A7"/>
    <w:rsid w:val="008234B1"/>
    <w:rsid w:val="008238FA"/>
    <w:rsid w:val="008239E7"/>
    <w:rsid w:val="00823AF4"/>
    <w:rsid w:val="00823C1E"/>
    <w:rsid w:val="00823FB3"/>
    <w:rsid w:val="00824291"/>
    <w:rsid w:val="0082440C"/>
    <w:rsid w:val="00824744"/>
    <w:rsid w:val="0082495D"/>
    <w:rsid w:val="00824E79"/>
    <w:rsid w:val="00824F96"/>
    <w:rsid w:val="008255EA"/>
    <w:rsid w:val="00825AAC"/>
    <w:rsid w:val="00825B70"/>
    <w:rsid w:val="00825C58"/>
    <w:rsid w:val="00825C69"/>
    <w:rsid w:val="00825F78"/>
    <w:rsid w:val="00825F8D"/>
    <w:rsid w:val="00825FA5"/>
    <w:rsid w:val="00826240"/>
    <w:rsid w:val="00826641"/>
    <w:rsid w:val="00826875"/>
    <w:rsid w:val="00826B12"/>
    <w:rsid w:val="00826B48"/>
    <w:rsid w:val="008271C5"/>
    <w:rsid w:val="00827819"/>
    <w:rsid w:val="008278FE"/>
    <w:rsid w:val="008279B2"/>
    <w:rsid w:val="00827CCE"/>
    <w:rsid w:val="00827ECA"/>
    <w:rsid w:val="00827F49"/>
    <w:rsid w:val="008300DC"/>
    <w:rsid w:val="008300F1"/>
    <w:rsid w:val="00830163"/>
    <w:rsid w:val="008303E9"/>
    <w:rsid w:val="008305CA"/>
    <w:rsid w:val="00830B72"/>
    <w:rsid w:val="00830C1C"/>
    <w:rsid w:val="00831133"/>
    <w:rsid w:val="00831199"/>
    <w:rsid w:val="008316D0"/>
    <w:rsid w:val="00831AC3"/>
    <w:rsid w:val="008320A3"/>
    <w:rsid w:val="008321DA"/>
    <w:rsid w:val="00832283"/>
    <w:rsid w:val="0083252D"/>
    <w:rsid w:val="008327B5"/>
    <w:rsid w:val="00832943"/>
    <w:rsid w:val="00832CC8"/>
    <w:rsid w:val="00832F27"/>
    <w:rsid w:val="008333AE"/>
    <w:rsid w:val="008333F6"/>
    <w:rsid w:val="00833401"/>
    <w:rsid w:val="00833486"/>
    <w:rsid w:val="008334DF"/>
    <w:rsid w:val="008334F7"/>
    <w:rsid w:val="0083362E"/>
    <w:rsid w:val="00833A64"/>
    <w:rsid w:val="008343CD"/>
    <w:rsid w:val="00834714"/>
    <w:rsid w:val="00834858"/>
    <w:rsid w:val="00834A60"/>
    <w:rsid w:val="008350AA"/>
    <w:rsid w:val="008351BE"/>
    <w:rsid w:val="00835321"/>
    <w:rsid w:val="008357C1"/>
    <w:rsid w:val="0083582F"/>
    <w:rsid w:val="008358AF"/>
    <w:rsid w:val="00835B1B"/>
    <w:rsid w:val="00835E98"/>
    <w:rsid w:val="008360E3"/>
    <w:rsid w:val="0083614A"/>
    <w:rsid w:val="00836180"/>
    <w:rsid w:val="00836444"/>
    <w:rsid w:val="0083652C"/>
    <w:rsid w:val="00836917"/>
    <w:rsid w:val="00836BD4"/>
    <w:rsid w:val="00836BEE"/>
    <w:rsid w:val="00836D7C"/>
    <w:rsid w:val="00836F0E"/>
    <w:rsid w:val="00836F27"/>
    <w:rsid w:val="008370E8"/>
    <w:rsid w:val="008371CC"/>
    <w:rsid w:val="0083739F"/>
    <w:rsid w:val="00837E8A"/>
    <w:rsid w:val="008402D6"/>
    <w:rsid w:val="00840579"/>
    <w:rsid w:val="008408FF"/>
    <w:rsid w:val="00840966"/>
    <w:rsid w:val="00840A6D"/>
    <w:rsid w:val="00840E03"/>
    <w:rsid w:val="008410C6"/>
    <w:rsid w:val="0084138C"/>
    <w:rsid w:val="008413A9"/>
    <w:rsid w:val="00841827"/>
    <w:rsid w:val="00841D41"/>
    <w:rsid w:val="00841EE3"/>
    <w:rsid w:val="00842071"/>
    <w:rsid w:val="0084242D"/>
    <w:rsid w:val="008424FA"/>
    <w:rsid w:val="0084259A"/>
    <w:rsid w:val="008428E0"/>
    <w:rsid w:val="00842CA1"/>
    <w:rsid w:val="00843027"/>
    <w:rsid w:val="00843160"/>
    <w:rsid w:val="008434D7"/>
    <w:rsid w:val="00843C96"/>
    <w:rsid w:val="00843E8B"/>
    <w:rsid w:val="00843EC1"/>
    <w:rsid w:val="0084401C"/>
    <w:rsid w:val="008441D8"/>
    <w:rsid w:val="008444AE"/>
    <w:rsid w:val="008444F6"/>
    <w:rsid w:val="008445FB"/>
    <w:rsid w:val="00844615"/>
    <w:rsid w:val="008446E0"/>
    <w:rsid w:val="00844848"/>
    <w:rsid w:val="00844869"/>
    <w:rsid w:val="00844B52"/>
    <w:rsid w:val="00844FAD"/>
    <w:rsid w:val="0084523B"/>
    <w:rsid w:val="0084530D"/>
    <w:rsid w:val="00845ABE"/>
    <w:rsid w:val="00845BC5"/>
    <w:rsid w:val="008460FB"/>
    <w:rsid w:val="008464F0"/>
    <w:rsid w:val="00846B03"/>
    <w:rsid w:val="00846B14"/>
    <w:rsid w:val="00846BC3"/>
    <w:rsid w:val="00846D44"/>
    <w:rsid w:val="0084740B"/>
    <w:rsid w:val="008474E3"/>
    <w:rsid w:val="0084769C"/>
    <w:rsid w:val="008477CF"/>
    <w:rsid w:val="0084784C"/>
    <w:rsid w:val="008478B4"/>
    <w:rsid w:val="00847C59"/>
    <w:rsid w:val="00847DBE"/>
    <w:rsid w:val="00847DCA"/>
    <w:rsid w:val="0085004E"/>
    <w:rsid w:val="008504DB"/>
    <w:rsid w:val="008506FD"/>
    <w:rsid w:val="008507E2"/>
    <w:rsid w:val="00850A15"/>
    <w:rsid w:val="00850A4B"/>
    <w:rsid w:val="00850AAB"/>
    <w:rsid w:val="00850D5F"/>
    <w:rsid w:val="00851C18"/>
    <w:rsid w:val="00851F3F"/>
    <w:rsid w:val="00851F6D"/>
    <w:rsid w:val="00852337"/>
    <w:rsid w:val="008523B8"/>
    <w:rsid w:val="00852665"/>
    <w:rsid w:val="00852E08"/>
    <w:rsid w:val="0085303F"/>
    <w:rsid w:val="008530D3"/>
    <w:rsid w:val="00853E3C"/>
    <w:rsid w:val="00853E51"/>
    <w:rsid w:val="00853FE1"/>
    <w:rsid w:val="008540E9"/>
    <w:rsid w:val="00854387"/>
    <w:rsid w:val="008543DB"/>
    <w:rsid w:val="00854677"/>
    <w:rsid w:val="00854CE2"/>
    <w:rsid w:val="00854D88"/>
    <w:rsid w:val="00854F23"/>
    <w:rsid w:val="0085542A"/>
    <w:rsid w:val="00855E0A"/>
    <w:rsid w:val="00855F83"/>
    <w:rsid w:val="00856119"/>
    <w:rsid w:val="0085663C"/>
    <w:rsid w:val="00856665"/>
    <w:rsid w:val="00856A0D"/>
    <w:rsid w:val="00856C29"/>
    <w:rsid w:val="00856CF1"/>
    <w:rsid w:val="00856E1C"/>
    <w:rsid w:val="00856EDC"/>
    <w:rsid w:val="00857723"/>
    <w:rsid w:val="008579AB"/>
    <w:rsid w:val="008600BF"/>
    <w:rsid w:val="008600FC"/>
    <w:rsid w:val="008602F8"/>
    <w:rsid w:val="008606C8"/>
    <w:rsid w:val="00860A5A"/>
    <w:rsid w:val="00860AE2"/>
    <w:rsid w:val="00860C31"/>
    <w:rsid w:val="00860DF2"/>
    <w:rsid w:val="00860E95"/>
    <w:rsid w:val="00860F70"/>
    <w:rsid w:val="00860FE8"/>
    <w:rsid w:val="008610D7"/>
    <w:rsid w:val="008614FE"/>
    <w:rsid w:val="008616F7"/>
    <w:rsid w:val="008618A9"/>
    <w:rsid w:val="00861CD2"/>
    <w:rsid w:val="008623B5"/>
    <w:rsid w:val="008624E0"/>
    <w:rsid w:val="00862758"/>
    <w:rsid w:val="00862900"/>
    <w:rsid w:val="0086290F"/>
    <w:rsid w:val="00862B0E"/>
    <w:rsid w:val="00862B6F"/>
    <w:rsid w:val="00862DF4"/>
    <w:rsid w:val="00863251"/>
    <w:rsid w:val="00863342"/>
    <w:rsid w:val="0086351E"/>
    <w:rsid w:val="00863A8A"/>
    <w:rsid w:val="00863B49"/>
    <w:rsid w:val="00863CB0"/>
    <w:rsid w:val="00863CCC"/>
    <w:rsid w:val="00863D68"/>
    <w:rsid w:val="00863DCF"/>
    <w:rsid w:val="00863E31"/>
    <w:rsid w:val="00863E78"/>
    <w:rsid w:val="00863F47"/>
    <w:rsid w:val="008641A5"/>
    <w:rsid w:val="008643C3"/>
    <w:rsid w:val="0086445B"/>
    <w:rsid w:val="00864A2F"/>
    <w:rsid w:val="00864CAA"/>
    <w:rsid w:val="00864FEF"/>
    <w:rsid w:val="00865143"/>
    <w:rsid w:val="00865494"/>
    <w:rsid w:val="008656CF"/>
    <w:rsid w:val="008656D6"/>
    <w:rsid w:val="0086582B"/>
    <w:rsid w:val="00865B39"/>
    <w:rsid w:val="00866D3B"/>
    <w:rsid w:val="0086702B"/>
    <w:rsid w:val="008677DE"/>
    <w:rsid w:val="00867C96"/>
    <w:rsid w:val="00867EE8"/>
    <w:rsid w:val="00870937"/>
    <w:rsid w:val="00870ABA"/>
    <w:rsid w:val="00870C2D"/>
    <w:rsid w:val="00870E53"/>
    <w:rsid w:val="00870F63"/>
    <w:rsid w:val="00870FA6"/>
    <w:rsid w:val="0087107B"/>
    <w:rsid w:val="008710E1"/>
    <w:rsid w:val="008712BC"/>
    <w:rsid w:val="008713AA"/>
    <w:rsid w:val="008716E5"/>
    <w:rsid w:val="008717CB"/>
    <w:rsid w:val="008720AB"/>
    <w:rsid w:val="008720FB"/>
    <w:rsid w:val="00872284"/>
    <w:rsid w:val="0087232C"/>
    <w:rsid w:val="00872A8A"/>
    <w:rsid w:val="00872AFA"/>
    <w:rsid w:val="00872F04"/>
    <w:rsid w:val="008731FB"/>
    <w:rsid w:val="00873BC3"/>
    <w:rsid w:val="008743BE"/>
    <w:rsid w:val="008749FA"/>
    <w:rsid w:val="00874FEB"/>
    <w:rsid w:val="00875115"/>
    <w:rsid w:val="008752B3"/>
    <w:rsid w:val="0087540E"/>
    <w:rsid w:val="008754C7"/>
    <w:rsid w:val="00875697"/>
    <w:rsid w:val="00875861"/>
    <w:rsid w:val="0087589C"/>
    <w:rsid w:val="00875938"/>
    <w:rsid w:val="00875A0C"/>
    <w:rsid w:val="00875AEB"/>
    <w:rsid w:val="00875C5D"/>
    <w:rsid w:val="008765F6"/>
    <w:rsid w:val="00876A2C"/>
    <w:rsid w:val="00876BF5"/>
    <w:rsid w:val="00876CC0"/>
    <w:rsid w:val="008773B4"/>
    <w:rsid w:val="00877515"/>
    <w:rsid w:val="008775B2"/>
    <w:rsid w:val="00877627"/>
    <w:rsid w:val="00877807"/>
    <w:rsid w:val="008778A6"/>
    <w:rsid w:val="008779D5"/>
    <w:rsid w:val="00877A7D"/>
    <w:rsid w:val="00877FF2"/>
    <w:rsid w:val="008800F9"/>
    <w:rsid w:val="00880180"/>
    <w:rsid w:val="00880204"/>
    <w:rsid w:val="00880248"/>
    <w:rsid w:val="008803FE"/>
    <w:rsid w:val="00880DF5"/>
    <w:rsid w:val="00880F09"/>
    <w:rsid w:val="00881094"/>
    <w:rsid w:val="008812E7"/>
    <w:rsid w:val="008818A6"/>
    <w:rsid w:val="00881CA9"/>
    <w:rsid w:val="00881E4A"/>
    <w:rsid w:val="008822D5"/>
    <w:rsid w:val="008823DA"/>
    <w:rsid w:val="00882C33"/>
    <w:rsid w:val="00882E17"/>
    <w:rsid w:val="00883441"/>
    <w:rsid w:val="0088347D"/>
    <w:rsid w:val="00883511"/>
    <w:rsid w:val="00883628"/>
    <w:rsid w:val="00883A72"/>
    <w:rsid w:val="00883B95"/>
    <w:rsid w:val="00883E7F"/>
    <w:rsid w:val="00884089"/>
    <w:rsid w:val="008841D0"/>
    <w:rsid w:val="0088444E"/>
    <w:rsid w:val="008846EB"/>
    <w:rsid w:val="0088477E"/>
    <w:rsid w:val="00884DC9"/>
    <w:rsid w:val="00884DF1"/>
    <w:rsid w:val="008854C3"/>
    <w:rsid w:val="00885544"/>
    <w:rsid w:val="008855C2"/>
    <w:rsid w:val="00886039"/>
    <w:rsid w:val="008862A9"/>
    <w:rsid w:val="0088634E"/>
    <w:rsid w:val="008863B5"/>
    <w:rsid w:val="008863B6"/>
    <w:rsid w:val="008867A7"/>
    <w:rsid w:val="00886BCC"/>
    <w:rsid w:val="008873B7"/>
    <w:rsid w:val="008874EC"/>
    <w:rsid w:val="00887644"/>
    <w:rsid w:val="0088767A"/>
    <w:rsid w:val="00887717"/>
    <w:rsid w:val="008877B6"/>
    <w:rsid w:val="00887A04"/>
    <w:rsid w:val="00887A6A"/>
    <w:rsid w:val="00887AC2"/>
    <w:rsid w:val="00887B0F"/>
    <w:rsid w:val="00887C01"/>
    <w:rsid w:val="00887EB0"/>
    <w:rsid w:val="00890124"/>
    <w:rsid w:val="0089037B"/>
    <w:rsid w:val="00890A25"/>
    <w:rsid w:val="00890AD1"/>
    <w:rsid w:val="00890D09"/>
    <w:rsid w:val="00890D68"/>
    <w:rsid w:val="00890D6F"/>
    <w:rsid w:val="00890F31"/>
    <w:rsid w:val="00890FAA"/>
    <w:rsid w:val="00891108"/>
    <w:rsid w:val="008911CF"/>
    <w:rsid w:val="00891269"/>
    <w:rsid w:val="0089137E"/>
    <w:rsid w:val="00891392"/>
    <w:rsid w:val="00891BA1"/>
    <w:rsid w:val="00892441"/>
    <w:rsid w:val="00892897"/>
    <w:rsid w:val="00892B79"/>
    <w:rsid w:val="00893AB8"/>
    <w:rsid w:val="00893DA2"/>
    <w:rsid w:val="00894245"/>
    <w:rsid w:val="00894562"/>
    <w:rsid w:val="0089456D"/>
    <w:rsid w:val="00894B28"/>
    <w:rsid w:val="00894D74"/>
    <w:rsid w:val="00895439"/>
    <w:rsid w:val="008959AD"/>
    <w:rsid w:val="00895B92"/>
    <w:rsid w:val="00895D37"/>
    <w:rsid w:val="00895D88"/>
    <w:rsid w:val="008964D6"/>
    <w:rsid w:val="0089696A"/>
    <w:rsid w:val="00896BAC"/>
    <w:rsid w:val="00896CB6"/>
    <w:rsid w:val="00896E1C"/>
    <w:rsid w:val="0089706B"/>
    <w:rsid w:val="00897427"/>
    <w:rsid w:val="0089742B"/>
    <w:rsid w:val="00897D25"/>
    <w:rsid w:val="00897E53"/>
    <w:rsid w:val="00897EBE"/>
    <w:rsid w:val="008A01A0"/>
    <w:rsid w:val="008A04C8"/>
    <w:rsid w:val="008A08D8"/>
    <w:rsid w:val="008A0B01"/>
    <w:rsid w:val="008A0FFB"/>
    <w:rsid w:val="008A11E4"/>
    <w:rsid w:val="008A13E2"/>
    <w:rsid w:val="008A1478"/>
    <w:rsid w:val="008A1527"/>
    <w:rsid w:val="008A1555"/>
    <w:rsid w:val="008A1838"/>
    <w:rsid w:val="008A199D"/>
    <w:rsid w:val="008A1A2A"/>
    <w:rsid w:val="008A1D3E"/>
    <w:rsid w:val="008A1D8B"/>
    <w:rsid w:val="008A1FCC"/>
    <w:rsid w:val="008A2164"/>
    <w:rsid w:val="008A21A4"/>
    <w:rsid w:val="008A2282"/>
    <w:rsid w:val="008A2387"/>
    <w:rsid w:val="008A2417"/>
    <w:rsid w:val="008A2740"/>
    <w:rsid w:val="008A29E2"/>
    <w:rsid w:val="008A310E"/>
    <w:rsid w:val="008A3150"/>
    <w:rsid w:val="008A3189"/>
    <w:rsid w:val="008A31E6"/>
    <w:rsid w:val="008A36DA"/>
    <w:rsid w:val="008A3933"/>
    <w:rsid w:val="008A3954"/>
    <w:rsid w:val="008A3C29"/>
    <w:rsid w:val="008A3C75"/>
    <w:rsid w:val="008A3F77"/>
    <w:rsid w:val="008A40B1"/>
    <w:rsid w:val="008A40B8"/>
    <w:rsid w:val="008A497B"/>
    <w:rsid w:val="008A4A0E"/>
    <w:rsid w:val="008A4A5F"/>
    <w:rsid w:val="008A4C36"/>
    <w:rsid w:val="008A508A"/>
    <w:rsid w:val="008A5560"/>
    <w:rsid w:val="008A5654"/>
    <w:rsid w:val="008A5A14"/>
    <w:rsid w:val="008A5BD0"/>
    <w:rsid w:val="008A5BE7"/>
    <w:rsid w:val="008A5CE5"/>
    <w:rsid w:val="008A6603"/>
    <w:rsid w:val="008A6913"/>
    <w:rsid w:val="008A69FA"/>
    <w:rsid w:val="008A6A03"/>
    <w:rsid w:val="008A6B8A"/>
    <w:rsid w:val="008A6F3D"/>
    <w:rsid w:val="008A766D"/>
    <w:rsid w:val="008A77A4"/>
    <w:rsid w:val="008A7B76"/>
    <w:rsid w:val="008A7D92"/>
    <w:rsid w:val="008B0279"/>
    <w:rsid w:val="008B0328"/>
    <w:rsid w:val="008B03FE"/>
    <w:rsid w:val="008B0AC9"/>
    <w:rsid w:val="008B0DEE"/>
    <w:rsid w:val="008B0F44"/>
    <w:rsid w:val="008B12DF"/>
    <w:rsid w:val="008B1311"/>
    <w:rsid w:val="008B1BC2"/>
    <w:rsid w:val="008B1CA4"/>
    <w:rsid w:val="008B1F99"/>
    <w:rsid w:val="008B1FCC"/>
    <w:rsid w:val="008B211A"/>
    <w:rsid w:val="008B22C5"/>
    <w:rsid w:val="008B24C3"/>
    <w:rsid w:val="008B257B"/>
    <w:rsid w:val="008B28B0"/>
    <w:rsid w:val="008B2B2F"/>
    <w:rsid w:val="008B2C3F"/>
    <w:rsid w:val="008B3020"/>
    <w:rsid w:val="008B303A"/>
    <w:rsid w:val="008B31C6"/>
    <w:rsid w:val="008B3773"/>
    <w:rsid w:val="008B3780"/>
    <w:rsid w:val="008B37E3"/>
    <w:rsid w:val="008B39CC"/>
    <w:rsid w:val="008B3EEB"/>
    <w:rsid w:val="008B4559"/>
    <w:rsid w:val="008B48CC"/>
    <w:rsid w:val="008B4921"/>
    <w:rsid w:val="008B4A81"/>
    <w:rsid w:val="008B500B"/>
    <w:rsid w:val="008B50ED"/>
    <w:rsid w:val="008B5136"/>
    <w:rsid w:val="008B5168"/>
    <w:rsid w:val="008B5679"/>
    <w:rsid w:val="008B57CC"/>
    <w:rsid w:val="008B58B1"/>
    <w:rsid w:val="008B5BEB"/>
    <w:rsid w:val="008B5BF8"/>
    <w:rsid w:val="008B5C1E"/>
    <w:rsid w:val="008B6C32"/>
    <w:rsid w:val="008B6ECD"/>
    <w:rsid w:val="008B6F4A"/>
    <w:rsid w:val="008B7078"/>
    <w:rsid w:val="008B70F3"/>
    <w:rsid w:val="008B71C4"/>
    <w:rsid w:val="008B76DF"/>
    <w:rsid w:val="008B77BF"/>
    <w:rsid w:val="008B78D9"/>
    <w:rsid w:val="008C0086"/>
    <w:rsid w:val="008C0297"/>
    <w:rsid w:val="008C034E"/>
    <w:rsid w:val="008C0480"/>
    <w:rsid w:val="008C05BE"/>
    <w:rsid w:val="008C07D0"/>
    <w:rsid w:val="008C089F"/>
    <w:rsid w:val="008C0D15"/>
    <w:rsid w:val="008C0F1F"/>
    <w:rsid w:val="008C10F4"/>
    <w:rsid w:val="008C1211"/>
    <w:rsid w:val="008C12B3"/>
    <w:rsid w:val="008C1435"/>
    <w:rsid w:val="008C1E54"/>
    <w:rsid w:val="008C20BC"/>
    <w:rsid w:val="008C2207"/>
    <w:rsid w:val="008C226E"/>
    <w:rsid w:val="008C29CE"/>
    <w:rsid w:val="008C2ACA"/>
    <w:rsid w:val="008C2E1D"/>
    <w:rsid w:val="008C2FB9"/>
    <w:rsid w:val="008C3242"/>
    <w:rsid w:val="008C34AD"/>
    <w:rsid w:val="008C390E"/>
    <w:rsid w:val="008C3BCF"/>
    <w:rsid w:val="008C3C62"/>
    <w:rsid w:val="008C4219"/>
    <w:rsid w:val="008C44DD"/>
    <w:rsid w:val="008C4634"/>
    <w:rsid w:val="008C4757"/>
    <w:rsid w:val="008C490A"/>
    <w:rsid w:val="008C5122"/>
    <w:rsid w:val="008C5833"/>
    <w:rsid w:val="008C61B7"/>
    <w:rsid w:val="008C640E"/>
    <w:rsid w:val="008C65F7"/>
    <w:rsid w:val="008C6674"/>
    <w:rsid w:val="008C66C2"/>
    <w:rsid w:val="008C6D61"/>
    <w:rsid w:val="008C6FCE"/>
    <w:rsid w:val="008C717C"/>
    <w:rsid w:val="008C731A"/>
    <w:rsid w:val="008C74A4"/>
    <w:rsid w:val="008C752F"/>
    <w:rsid w:val="008C76B5"/>
    <w:rsid w:val="008C7725"/>
    <w:rsid w:val="008C7C77"/>
    <w:rsid w:val="008C7ECA"/>
    <w:rsid w:val="008D0125"/>
    <w:rsid w:val="008D0389"/>
    <w:rsid w:val="008D04BA"/>
    <w:rsid w:val="008D08DB"/>
    <w:rsid w:val="008D094F"/>
    <w:rsid w:val="008D0C09"/>
    <w:rsid w:val="008D0C2F"/>
    <w:rsid w:val="008D10FA"/>
    <w:rsid w:val="008D148B"/>
    <w:rsid w:val="008D14A9"/>
    <w:rsid w:val="008D15BC"/>
    <w:rsid w:val="008D1B09"/>
    <w:rsid w:val="008D1CD6"/>
    <w:rsid w:val="008D1E9D"/>
    <w:rsid w:val="008D1F40"/>
    <w:rsid w:val="008D1FE9"/>
    <w:rsid w:val="008D21FC"/>
    <w:rsid w:val="008D2306"/>
    <w:rsid w:val="008D2392"/>
    <w:rsid w:val="008D2883"/>
    <w:rsid w:val="008D2C91"/>
    <w:rsid w:val="008D2ECB"/>
    <w:rsid w:val="008D2F9F"/>
    <w:rsid w:val="008D3021"/>
    <w:rsid w:val="008D3118"/>
    <w:rsid w:val="008D319F"/>
    <w:rsid w:val="008D31BB"/>
    <w:rsid w:val="008D331E"/>
    <w:rsid w:val="008D375E"/>
    <w:rsid w:val="008D3E7B"/>
    <w:rsid w:val="008D3FDC"/>
    <w:rsid w:val="008D4183"/>
    <w:rsid w:val="008D47CE"/>
    <w:rsid w:val="008D4884"/>
    <w:rsid w:val="008D4926"/>
    <w:rsid w:val="008D5491"/>
    <w:rsid w:val="008D54A0"/>
    <w:rsid w:val="008D58AC"/>
    <w:rsid w:val="008D596D"/>
    <w:rsid w:val="008D6027"/>
    <w:rsid w:val="008D6184"/>
    <w:rsid w:val="008D65A3"/>
    <w:rsid w:val="008D6620"/>
    <w:rsid w:val="008D664E"/>
    <w:rsid w:val="008D6737"/>
    <w:rsid w:val="008D67AD"/>
    <w:rsid w:val="008D6A3E"/>
    <w:rsid w:val="008D6AAC"/>
    <w:rsid w:val="008D7241"/>
    <w:rsid w:val="008D7450"/>
    <w:rsid w:val="008D74BE"/>
    <w:rsid w:val="008D78B9"/>
    <w:rsid w:val="008D7F7A"/>
    <w:rsid w:val="008E072E"/>
    <w:rsid w:val="008E0D94"/>
    <w:rsid w:val="008E0FD5"/>
    <w:rsid w:val="008E0FDB"/>
    <w:rsid w:val="008E1145"/>
    <w:rsid w:val="008E1BC4"/>
    <w:rsid w:val="008E1EE8"/>
    <w:rsid w:val="008E20C3"/>
    <w:rsid w:val="008E2269"/>
    <w:rsid w:val="008E2B0A"/>
    <w:rsid w:val="008E2B10"/>
    <w:rsid w:val="008E2D22"/>
    <w:rsid w:val="008E2D5A"/>
    <w:rsid w:val="008E3089"/>
    <w:rsid w:val="008E3578"/>
    <w:rsid w:val="008E3660"/>
    <w:rsid w:val="008E3D4E"/>
    <w:rsid w:val="008E4106"/>
    <w:rsid w:val="008E418E"/>
    <w:rsid w:val="008E4500"/>
    <w:rsid w:val="008E4767"/>
    <w:rsid w:val="008E4A5B"/>
    <w:rsid w:val="008E546C"/>
    <w:rsid w:val="008E62B5"/>
    <w:rsid w:val="008E6685"/>
    <w:rsid w:val="008E6A97"/>
    <w:rsid w:val="008E6D05"/>
    <w:rsid w:val="008E7142"/>
    <w:rsid w:val="008E7319"/>
    <w:rsid w:val="008E7585"/>
    <w:rsid w:val="008E77B0"/>
    <w:rsid w:val="008E78DC"/>
    <w:rsid w:val="008E7A8C"/>
    <w:rsid w:val="008E7F61"/>
    <w:rsid w:val="008F03F4"/>
    <w:rsid w:val="008F041B"/>
    <w:rsid w:val="008F089F"/>
    <w:rsid w:val="008F0D2F"/>
    <w:rsid w:val="008F0DA6"/>
    <w:rsid w:val="008F1305"/>
    <w:rsid w:val="008F1416"/>
    <w:rsid w:val="008F1982"/>
    <w:rsid w:val="008F1D98"/>
    <w:rsid w:val="008F1F5D"/>
    <w:rsid w:val="008F2155"/>
    <w:rsid w:val="008F243E"/>
    <w:rsid w:val="008F2A30"/>
    <w:rsid w:val="008F2CBC"/>
    <w:rsid w:val="008F2D70"/>
    <w:rsid w:val="008F2FD1"/>
    <w:rsid w:val="008F3280"/>
    <w:rsid w:val="008F3780"/>
    <w:rsid w:val="008F3A62"/>
    <w:rsid w:val="008F401E"/>
    <w:rsid w:val="008F43EF"/>
    <w:rsid w:val="008F44F6"/>
    <w:rsid w:val="008F4D8E"/>
    <w:rsid w:val="008F50B8"/>
    <w:rsid w:val="008F512F"/>
    <w:rsid w:val="008F52D9"/>
    <w:rsid w:val="008F571A"/>
    <w:rsid w:val="008F5A7C"/>
    <w:rsid w:val="008F5DFB"/>
    <w:rsid w:val="008F601F"/>
    <w:rsid w:val="008F602F"/>
    <w:rsid w:val="008F64F4"/>
    <w:rsid w:val="008F664E"/>
    <w:rsid w:val="008F68F5"/>
    <w:rsid w:val="008F6D6E"/>
    <w:rsid w:val="008F6DDD"/>
    <w:rsid w:val="008F6FE8"/>
    <w:rsid w:val="008F73D8"/>
    <w:rsid w:val="008F7686"/>
    <w:rsid w:val="008F7E77"/>
    <w:rsid w:val="00900648"/>
    <w:rsid w:val="00900992"/>
    <w:rsid w:val="009009FD"/>
    <w:rsid w:val="00900FB6"/>
    <w:rsid w:val="00901039"/>
    <w:rsid w:val="00901101"/>
    <w:rsid w:val="0090124D"/>
    <w:rsid w:val="009015DE"/>
    <w:rsid w:val="0090176D"/>
    <w:rsid w:val="00901BE1"/>
    <w:rsid w:val="00901C26"/>
    <w:rsid w:val="00901C9D"/>
    <w:rsid w:val="00901F9A"/>
    <w:rsid w:val="0090224F"/>
    <w:rsid w:val="00902596"/>
    <w:rsid w:val="00902989"/>
    <w:rsid w:val="00902D9B"/>
    <w:rsid w:val="00903166"/>
    <w:rsid w:val="00903285"/>
    <w:rsid w:val="009034B0"/>
    <w:rsid w:val="00903660"/>
    <w:rsid w:val="00903CE5"/>
    <w:rsid w:val="00904191"/>
    <w:rsid w:val="009043F0"/>
    <w:rsid w:val="009045F4"/>
    <w:rsid w:val="0090467E"/>
    <w:rsid w:val="009047D5"/>
    <w:rsid w:val="0090492F"/>
    <w:rsid w:val="00904E3E"/>
    <w:rsid w:val="00904E55"/>
    <w:rsid w:val="0090505F"/>
    <w:rsid w:val="00905603"/>
    <w:rsid w:val="00905604"/>
    <w:rsid w:val="009059E2"/>
    <w:rsid w:val="00905AAE"/>
    <w:rsid w:val="00905CBE"/>
    <w:rsid w:val="00905E00"/>
    <w:rsid w:val="00906717"/>
    <w:rsid w:val="00906975"/>
    <w:rsid w:val="00906B00"/>
    <w:rsid w:val="00906B66"/>
    <w:rsid w:val="00906BAB"/>
    <w:rsid w:val="00906F40"/>
    <w:rsid w:val="009070D9"/>
    <w:rsid w:val="0090731E"/>
    <w:rsid w:val="009073F3"/>
    <w:rsid w:val="009076CC"/>
    <w:rsid w:val="009078A6"/>
    <w:rsid w:val="009079DD"/>
    <w:rsid w:val="00907BD5"/>
    <w:rsid w:val="00907DBE"/>
    <w:rsid w:val="00910044"/>
    <w:rsid w:val="009101B5"/>
    <w:rsid w:val="009104A8"/>
    <w:rsid w:val="0091072D"/>
    <w:rsid w:val="00910738"/>
    <w:rsid w:val="0091099A"/>
    <w:rsid w:val="00910B21"/>
    <w:rsid w:val="00910BAB"/>
    <w:rsid w:val="009116B7"/>
    <w:rsid w:val="00911DA3"/>
    <w:rsid w:val="009123A3"/>
    <w:rsid w:val="009126B7"/>
    <w:rsid w:val="0091279C"/>
    <w:rsid w:val="009127C7"/>
    <w:rsid w:val="00912927"/>
    <w:rsid w:val="00912CC4"/>
    <w:rsid w:val="00912F9C"/>
    <w:rsid w:val="00912FC2"/>
    <w:rsid w:val="0091315D"/>
    <w:rsid w:val="009132D6"/>
    <w:rsid w:val="009133F7"/>
    <w:rsid w:val="00913845"/>
    <w:rsid w:val="00913A6C"/>
    <w:rsid w:val="00913C2B"/>
    <w:rsid w:val="00913DC4"/>
    <w:rsid w:val="00913F55"/>
    <w:rsid w:val="00914114"/>
    <w:rsid w:val="009142E5"/>
    <w:rsid w:val="009143D1"/>
    <w:rsid w:val="00914760"/>
    <w:rsid w:val="00914AA3"/>
    <w:rsid w:val="00914AC2"/>
    <w:rsid w:val="00914F4F"/>
    <w:rsid w:val="009151E8"/>
    <w:rsid w:val="0091583D"/>
    <w:rsid w:val="00915A32"/>
    <w:rsid w:val="00915B1C"/>
    <w:rsid w:val="009162AA"/>
    <w:rsid w:val="009162DA"/>
    <w:rsid w:val="0091633E"/>
    <w:rsid w:val="0091652D"/>
    <w:rsid w:val="00916556"/>
    <w:rsid w:val="009167F1"/>
    <w:rsid w:val="0091696A"/>
    <w:rsid w:val="00916C98"/>
    <w:rsid w:val="009171B9"/>
    <w:rsid w:val="0091732B"/>
    <w:rsid w:val="009174F3"/>
    <w:rsid w:val="009178A6"/>
    <w:rsid w:val="0091797D"/>
    <w:rsid w:val="00917AA5"/>
    <w:rsid w:val="00917D06"/>
    <w:rsid w:val="0092021D"/>
    <w:rsid w:val="00920839"/>
    <w:rsid w:val="00920BE9"/>
    <w:rsid w:val="00920D3D"/>
    <w:rsid w:val="0092114B"/>
    <w:rsid w:val="009212C7"/>
    <w:rsid w:val="00921643"/>
    <w:rsid w:val="00921980"/>
    <w:rsid w:val="00921A28"/>
    <w:rsid w:val="00922434"/>
    <w:rsid w:val="009227D4"/>
    <w:rsid w:val="009228A1"/>
    <w:rsid w:val="009228B8"/>
    <w:rsid w:val="009228E1"/>
    <w:rsid w:val="009228EF"/>
    <w:rsid w:val="00922A00"/>
    <w:rsid w:val="00922B08"/>
    <w:rsid w:val="00922BC2"/>
    <w:rsid w:val="00922CF5"/>
    <w:rsid w:val="00922DF3"/>
    <w:rsid w:val="009232F1"/>
    <w:rsid w:val="009235F5"/>
    <w:rsid w:val="009238EF"/>
    <w:rsid w:val="00923CBA"/>
    <w:rsid w:val="00923DDC"/>
    <w:rsid w:val="00924191"/>
    <w:rsid w:val="009246FC"/>
    <w:rsid w:val="00924CC4"/>
    <w:rsid w:val="00924DDE"/>
    <w:rsid w:val="00924E88"/>
    <w:rsid w:val="00924F1E"/>
    <w:rsid w:val="00925362"/>
    <w:rsid w:val="0092557D"/>
    <w:rsid w:val="00925599"/>
    <w:rsid w:val="009255AB"/>
    <w:rsid w:val="00925884"/>
    <w:rsid w:val="00925F16"/>
    <w:rsid w:val="00925F78"/>
    <w:rsid w:val="00926054"/>
    <w:rsid w:val="0092618A"/>
    <w:rsid w:val="009261CD"/>
    <w:rsid w:val="00926339"/>
    <w:rsid w:val="009263D1"/>
    <w:rsid w:val="00926565"/>
    <w:rsid w:val="00926581"/>
    <w:rsid w:val="00926703"/>
    <w:rsid w:val="0092692C"/>
    <w:rsid w:val="00926F8E"/>
    <w:rsid w:val="0092703B"/>
    <w:rsid w:val="00927166"/>
    <w:rsid w:val="00927334"/>
    <w:rsid w:val="0092762A"/>
    <w:rsid w:val="00927691"/>
    <w:rsid w:val="00927734"/>
    <w:rsid w:val="0092792D"/>
    <w:rsid w:val="00927A5F"/>
    <w:rsid w:val="0093015A"/>
    <w:rsid w:val="0093015F"/>
    <w:rsid w:val="009301E9"/>
    <w:rsid w:val="009305E4"/>
    <w:rsid w:val="009307F1"/>
    <w:rsid w:val="00930A61"/>
    <w:rsid w:val="00930A6A"/>
    <w:rsid w:val="00930C9A"/>
    <w:rsid w:val="00931371"/>
    <w:rsid w:val="009316F9"/>
    <w:rsid w:val="00931921"/>
    <w:rsid w:val="00932058"/>
    <w:rsid w:val="0093226E"/>
    <w:rsid w:val="009324FE"/>
    <w:rsid w:val="00932575"/>
    <w:rsid w:val="0093278E"/>
    <w:rsid w:val="00932854"/>
    <w:rsid w:val="0093285F"/>
    <w:rsid w:val="00932BC3"/>
    <w:rsid w:val="00932E4E"/>
    <w:rsid w:val="00933248"/>
    <w:rsid w:val="00933517"/>
    <w:rsid w:val="009337DA"/>
    <w:rsid w:val="00934302"/>
    <w:rsid w:val="00934761"/>
    <w:rsid w:val="0093483E"/>
    <w:rsid w:val="00934BCB"/>
    <w:rsid w:val="00934D96"/>
    <w:rsid w:val="00935007"/>
    <w:rsid w:val="00935160"/>
    <w:rsid w:val="009352D4"/>
    <w:rsid w:val="009352E6"/>
    <w:rsid w:val="009352F7"/>
    <w:rsid w:val="009354DF"/>
    <w:rsid w:val="00935B63"/>
    <w:rsid w:val="00935DE8"/>
    <w:rsid w:val="00935E4D"/>
    <w:rsid w:val="00935F0E"/>
    <w:rsid w:val="00935FCB"/>
    <w:rsid w:val="009361C2"/>
    <w:rsid w:val="009364D7"/>
    <w:rsid w:val="00936F87"/>
    <w:rsid w:val="0093732A"/>
    <w:rsid w:val="00937554"/>
    <w:rsid w:val="0093767E"/>
    <w:rsid w:val="00937D6F"/>
    <w:rsid w:val="00937E7C"/>
    <w:rsid w:val="009401E2"/>
    <w:rsid w:val="0094024C"/>
    <w:rsid w:val="00940326"/>
    <w:rsid w:val="009404B8"/>
    <w:rsid w:val="0094078F"/>
    <w:rsid w:val="00940D6C"/>
    <w:rsid w:val="00940DB8"/>
    <w:rsid w:val="00940FA3"/>
    <w:rsid w:val="00941188"/>
    <w:rsid w:val="009414CE"/>
    <w:rsid w:val="009414DF"/>
    <w:rsid w:val="0094186B"/>
    <w:rsid w:val="00941E22"/>
    <w:rsid w:val="00941FB0"/>
    <w:rsid w:val="0094229E"/>
    <w:rsid w:val="009425F5"/>
    <w:rsid w:val="00942667"/>
    <w:rsid w:val="009426D4"/>
    <w:rsid w:val="009426E9"/>
    <w:rsid w:val="00942743"/>
    <w:rsid w:val="0094284E"/>
    <w:rsid w:val="0094288A"/>
    <w:rsid w:val="00942A48"/>
    <w:rsid w:val="00942C13"/>
    <w:rsid w:val="00942EE3"/>
    <w:rsid w:val="009432FD"/>
    <w:rsid w:val="00943890"/>
    <w:rsid w:val="0094390D"/>
    <w:rsid w:val="00943A97"/>
    <w:rsid w:val="00943ABA"/>
    <w:rsid w:val="00943B09"/>
    <w:rsid w:val="00943B31"/>
    <w:rsid w:val="00943C4E"/>
    <w:rsid w:val="00943E03"/>
    <w:rsid w:val="00943FF9"/>
    <w:rsid w:val="00944118"/>
    <w:rsid w:val="0094426F"/>
    <w:rsid w:val="009444E6"/>
    <w:rsid w:val="00944618"/>
    <w:rsid w:val="00944E21"/>
    <w:rsid w:val="00944E5D"/>
    <w:rsid w:val="00944F0F"/>
    <w:rsid w:val="00944F3F"/>
    <w:rsid w:val="00944F44"/>
    <w:rsid w:val="00944FEE"/>
    <w:rsid w:val="00945637"/>
    <w:rsid w:val="00945686"/>
    <w:rsid w:val="00945A0F"/>
    <w:rsid w:val="00945C4D"/>
    <w:rsid w:val="00945C4F"/>
    <w:rsid w:val="00945D0C"/>
    <w:rsid w:val="00946316"/>
    <w:rsid w:val="0094638E"/>
    <w:rsid w:val="009465F5"/>
    <w:rsid w:val="0094669F"/>
    <w:rsid w:val="0094696C"/>
    <w:rsid w:val="00946A6B"/>
    <w:rsid w:val="00947319"/>
    <w:rsid w:val="00947754"/>
    <w:rsid w:val="009477C8"/>
    <w:rsid w:val="00947A8E"/>
    <w:rsid w:val="00947B86"/>
    <w:rsid w:val="00947E20"/>
    <w:rsid w:val="00947EDD"/>
    <w:rsid w:val="00947F25"/>
    <w:rsid w:val="00947F88"/>
    <w:rsid w:val="00950159"/>
    <w:rsid w:val="009506D3"/>
    <w:rsid w:val="009509EF"/>
    <w:rsid w:val="00950ACD"/>
    <w:rsid w:val="0095141C"/>
    <w:rsid w:val="00951B3B"/>
    <w:rsid w:val="009520A3"/>
    <w:rsid w:val="009521F5"/>
    <w:rsid w:val="00952B30"/>
    <w:rsid w:val="00952DF0"/>
    <w:rsid w:val="0095305D"/>
    <w:rsid w:val="0095317E"/>
    <w:rsid w:val="00953ACE"/>
    <w:rsid w:val="00953B3A"/>
    <w:rsid w:val="00953BB8"/>
    <w:rsid w:val="00953D65"/>
    <w:rsid w:val="009542FF"/>
    <w:rsid w:val="00954362"/>
    <w:rsid w:val="009543F7"/>
    <w:rsid w:val="00954440"/>
    <w:rsid w:val="00954615"/>
    <w:rsid w:val="0095465F"/>
    <w:rsid w:val="00954816"/>
    <w:rsid w:val="00954847"/>
    <w:rsid w:val="0095490B"/>
    <w:rsid w:val="00954969"/>
    <w:rsid w:val="00954EBA"/>
    <w:rsid w:val="009554F2"/>
    <w:rsid w:val="00955709"/>
    <w:rsid w:val="0095594D"/>
    <w:rsid w:val="009566CB"/>
    <w:rsid w:val="00956756"/>
    <w:rsid w:val="0095686A"/>
    <w:rsid w:val="009568E7"/>
    <w:rsid w:val="00956914"/>
    <w:rsid w:val="009570E7"/>
    <w:rsid w:val="009572F0"/>
    <w:rsid w:val="00957BB1"/>
    <w:rsid w:val="00960667"/>
    <w:rsid w:val="00960783"/>
    <w:rsid w:val="00960A33"/>
    <w:rsid w:val="00960D1B"/>
    <w:rsid w:val="00960DF3"/>
    <w:rsid w:val="00960E40"/>
    <w:rsid w:val="009618D8"/>
    <w:rsid w:val="00961BC8"/>
    <w:rsid w:val="00961C0E"/>
    <w:rsid w:val="00961C8B"/>
    <w:rsid w:val="00961E3F"/>
    <w:rsid w:val="009622AB"/>
    <w:rsid w:val="00962912"/>
    <w:rsid w:val="00962925"/>
    <w:rsid w:val="00962DF3"/>
    <w:rsid w:val="009630BF"/>
    <w:rsid w:val="00963781"/>
    <w:rsid w:val="009637AD"/>
    <w:rsid w:val="00963CDA"/>
    <w:rsid w:val="00963DBC"/>
    <w:rsid w:val="00963F43"/>
    <w:rsid w:val="0096499A"/>
    <w:rsid w:val="00964E90"/>
    <w:rsid w:val="00964F02"/>
    <w:rsid w:val="00965056"/>
    <w:rsid w:val="0096506E"/>
    <w:rsid w:val="009655EF"/>
    <w:rsid w:val="009658BD"/>
    <w:rsid w:val="009659AF"/>
    <w:rsid w:val="00965CE1"/>
    <w:rsid w:val="00965D44"/>
    <w:rsid w:val="00966009"/>
    <w:rsid w:val="00966517"/>
    <w:rsid w:val="009667DB"/>
    <w:rsid w:val="009669DE"/>
    <w:rsid w:val="00966A3B"/>
    <w:rsid w:val="00966B90"/>
    <w:rsid w:val="00966DE2"/>
    <w:rsid w:val="00966F98"/>
    <w:rsid w:val="00967519"/>
    <w:rsid w:val="0096774F"/>
    <w:rsid w:val="00967E70"/>
    <w:rsid w:val="009704FD"/>
    <w:rsid w:val="00970B23"/>
    <w:rsid w:val="00970C4E"/>
    <w:rsid w:val="0097116F"/>
    <w:rsid w:val="00971403"/>
    <w:rsid w:val="00971432"/>
    <w:rsid w:val="00971914"/>
    <w:rsid w:val="009719CB"/>
    <w:rsid w:val="00971B69"/>
    <w:rsid w:val="00971DA8"/>
    <w:rsid w:val="00972052"/>
    <w:rsid w:val="00972098"/>
    <w:rsid w:val="009720EA"/>
    <w:rsid w:val="0097259E"/>
    <w:rsid w:val="009726F9"/>
    <w:rsid w:val="009726FD"/>
    <w:rsid w:val="00972721"/>
    <w:rsid w:val="00972BE4"/>
    <w:rsid w:val="0097320E"/>
    <w:rsid w:val="0097336E"/>
    <w:rsid w:val="0097337E"/>
    <w:rsid w:val="00973A12"/>
    <w:rsid w:val="00973B6F"/>
    <w:rsid w:val="00973F64"/>
    <w:rsid w:val="00973FBC"/>
    <w:rsid w:val="00974363"/>
    <w:rsid w:val="009745F7"/>
    <w:rsid w:val="0097464D"/>
    <w:rsid w:val="00974A79"/>
    <w:rsid w:val="00974CE6"/>
    <w:rsid w:val="00974F2E"/>
    <w:rsid w:val="0097528A"/>
    <w:rsid w:val="0097543D"/>
    <w:rsid w:val="009759F5"/>
    <w:rsid w:val="00975A78"/>
    <w:rsid w:val="009761D7"/>
    <w:rsid w:val="009764C4"/>
    <w:rsid w:val="00976AD3"/>
    <w:rsid w:val="00976D51"/>
    <w:rsid w:val="00976F86"/>
    <w:rsid w:val="009776EC"/>
    <w:rsid w:val="0098016D"/>
    <w:rsid w:val="0098032D"/>
    <w:rsid w:val="00980ACD"/>
    <w:rsid w:val="00980B1A"/>
    <w:rsid w:val="00980C5E"/>
    <w:rsid w:val="00980EE9"/>
    <w:rsid w:val="00981306"/>
    <w:rsid w:val="0098140B"/>
    <w:rsid w:val="009814FB"/>
    <w:rsid w:val="0098167E"/>
    <w:rsid w:val="00981898"/>
    <w:rsid w:val="00981A66"/>
    <w:rsid w:val="00981AED"/>
    <w:rsid w:val="00981B4A"/>
    <w:rsid w:val="00981E05"/>
    <w:rsid w:val="00981F3A"/>
    <w:rsid w:val="0098204B"/>
    <w:rsid w:val="0098207E"/>
    <w:rsid w:val="00982A6F"/>
    <w:rsid w:val="00982A9F"/>
    <w:rsid w:val="00982C10"/>
    <w:rsid w:val="00982E91"/>
    <w:rsid w:val="00982F6C"/>
    <w:rsid w:val="00982FB7"/>
    <w:rsid w:val="00983301"/>
    <w:rsid w:val="00983391"/>
    <w:rsid w:val="009842B9"/>
    <w:rsid w:val="00984382"/>
    <w:rsid w:val="00984515"/>
    <w:rsid w:val="0098453B"/>
    <w:rsid w:val="0098489D"/>
    <w:rsid w:val="009850D5"/>
    <w:rsid w:val="009853BF"/>
    <w:rsid w:val="0098544E"/>
    <w:rsid w:val="00985560"/>
    <w:rsid w:val="00985684"/>
    <w:rsid w:val="0098569B"/>
    <w:rsid w:val="00985817"/>
    <w:rsid w:val="00985FA1"/>
    <w:rsid w:val="00986663"/>
    <w:rsid w:val="009868D1"/>
    <w:rsid w:val="00986B07"/>
    <w:rsid w:val="00986CF2"/>
    <w:rsid w:val="00986FD5"/>
    <w:rsid w:val="009870C5"/>
    <w:rsid w:val="009870FD"/>
    <w:rsid w:val="00987287"/>
    <w:rsid w:val="00987648"/>
    <w:rsid w:val="00987995"/>
    <w:rsid w:val="00987B06"/>
    <w:rsid w:val="00987B99"/>
    <w:rsid w:val="00987BA2"/>
    <w:rsid w:val="009906C8"/>
    <w:rsid w:val="009909CD"/>
    <w:rsid w:val="00990A0A"/>
    <w:rsid w:val="00990A4A"/>
    <w:rsid w:val="00990BB9"/>
    <w:rsid w:val="00990D9B"/>
    <w:rsid w:val="0099123E"/>
    <w:rsid w:val="009914A7"/>
    <w:rsid w:val="009914B8"/>
    <w:rsid w:val="00991742"/>
    <w:rsid w:val="00991C4F"/>
    <w:rsid w:val="00991CD9"/>
    <w:rsid w:val="00991F0F"/>
    <w:rsid w:val="00992750"/>
    <w:rsid w:val="00992ECD"/>
    <w:rsid w:val="00992F7E"/>
    <w:rsid w:val="00993051"/>
    <w:rsid w:val="0099362C"/>
    <w:rsid w:val="0099383D"/>
    <w:rsid w:val="00993B23"/>
    <w:rsid w:val="00993C5C"/>
    <w:rsid w:val="00993D61"/>
    <w:rsid w:val="00993DCA"/>
    <w:rsid w:val="00993F1D"/>
    <w:rsid w:val="00994722"/>
    <w:rsid w:val="0099491D"/>
    <w:rsid w:val="009950DC"/>
    <w:rsid w:val="0099510B"/>
    <w:rsid w:val="0099545C"/>
    <w:rsid w:val="009955CD"/>
    <w:rsid w:val="0099577C"/>
    <w:rsid w:val="009958D5"/>
    <w:rsid w:val="0099617F"/>
    <w:rsid w:val="009962F3"/>
    <w:rsid w:val="0099663C"/>
    <w:rsid w:val="00996688"/>
    <w:rsid w:val="00996912"/>
    <w:rsid w:val="00996BEC"/>
    <w:rsid w:val="009970C6"/>
    <w:rsid w:val="009977B2"/>
    <w:rsid w:val="009978E7"/>
    <w:rsid w:val="00997BF0"/>
    <w:rsid w:val="009A0A4D"/>
    <w:rsid w:val="009A0C7E"/>
    <w:rsid w:val="009A117B"/>
    <w:rsid w:val="009A1484"/>
    <w:rsid w:val="009A163F"/>
    <w:rsid w:val="009A27C4"/>
    <w:rsid w:val="009A2C23"/>
    <w:rsid w:val="009A3217"/>
    <w:rsid w:val="009A3403"/>
    <w:rsid w:val="009A3544"/>
    <w:rsid w:val="009A36A6"/>
    <w:rsid w:val="009A37C8"/>
    <w:rsid w:val="009A384B"/>
    <w:rsid w:val="009A3876"/>
    <w:rsid w:val="009A3A7A"/>
    <w:rsid w:val="009A41EC"/>
    <w:rsid w:val="009A42F6"/>
    <w:rsid w:val="009A435B"/>
    <w:rsid w:val="009A488C"/>
    <w:rsid w:val="009A4920"/>
    <w:rsid w:val="009A499C"/>
    <w:rsid w:val="009A4B8D"/>
    <w:rsid w:val="009A4B99"/>
    <w:rsid w:val="009A5993"/>
    <w:rsid w:val="009A59A0"/>
    <w:rsid w:val="009A5F1B"/>
    <w:rsid w:val="009A6025"/>
    <w:rsid w:val="009A62E1"/>
    <w:rsid w:val="009A685F"/>
    <w:rsid w:val="009A71B9"/>
    <w:rsid w:val="009A743D"/>
    <w:rsid w:val="009A7729"/>
    <w:rsid w:val="009A7FC8"/>
    <w:rsid w:val="009A7FE9"/>
    <w:rsid w:val="009B0419"/>
    <w:rsid w:val="009B06CA"/>
    <w:rsid w:val="009B08C1"/>
    <w:rsid w:val="009B0C98"/>
    <w:rsid w:val="009B1481"/>
    <w:rsid w:val="009B14F7"/>
    <w:rsid w:val="009B1B22"/>
    <w:rsid w:val="009B1CDB"/>
    <w:rsid w:val="009B1D79"/>
    <w:rsid w:val="009B2601"/>
    <w:rsid w:val="009B2F27"/>
    <w:rsid w:val="009B332A"/>
    <w:rsid w:val="009B3395"/>
    <w:rsid w:val="009B3A56"/>
    <w:rsid w:val="009B3A86"/>
    <w:rsid w:val="009B3B19"/>
    <w:rsid w:val="009B3DEB"/>
    <w:rsid w:val="009B44A6"/>
    <w:rsid w:val="009B4511"/>
    <w:rsid w:val="009B488B"/>
    <w:rsid w:val="009B4E9E"/>
    <w:rsid w:val="009B539A"/>
    <w:rsid w:val="009B5490"/>
    <w:rsid w:val="009B587A"/>
    <w:rsid w:val="009B5885"/>
    <w:rsid w:val="009B5A37"/>
    <w:rsid w:val="009B5F4A"/>
    <w:rsid w:val="009B60A1"/>
    <w:rsid w:val="009B61E7"/>
    <w:rsid w:val="009B6273"/>
    <w:rsid w:val="009B637F"/>
    <w:rsid w:val="009B647E"/>
    <w:rsid w:val="009B6BA4"/>
    <w:rsid w:val="009B6BFD"/>
    <w:rsid w:val="009B6DFA"/>
    <w:rsid w:val="009B70AB"/>
    <w:rsid w:val="009B723E"/>
    <w:rsid w:val="009B7745"/>
    <w:rsid w:val="009B7D14"/>
    <w:rsid w:val="009B7D58"/>
    <w:rsid w:val="009C042B"/>
    <w:rsid w:val="009C0645"/>
    <w:rsid w:val="009C0761"/>
    <w:rsid w:val="009C098B"/>
    <w:rsid w:val="009C0AAF"/>
    <w:rsid w:val="009C0BE6"/>
    <w:rsid w:val="009C0EA1"/>
    <w:rsid w:val="009C11AA"/>
    <w:rsid w:val="009C1338"/>
    <w:rsid w:val="009C1423"/>
    <w:rsid w:val="009C14DD"/>
    <w:rsid w:val="009C1690"/>
    <w:rsid w:val="009C194E"/>
    <w:rsid w:val="009C1F69"/>
    <w:rsid w:val="009C1F7A"/>
    <w:rsid w:val="009C2639"/>
    <w:rsid w:val="009C264A"/>
    <w:rsid w:val="009C2F7B"/>
    <w:rsid w:val="009C2FFE"/>
    <w:rsid w:val="009C32EB"/>
    <w:rsid w:val="009C3A09"/>
    <w:rsid w:val="009C3A74"/>
    <w:rsid w:val="009C3FA7"/>
    <w:rsid w:val="009C42E1"/>
    <w:rsid w:val="009C49F0"/>
    <w:rsid w:val="009C4FBA"/>
    <w:rsid w:val="009C4FBB"/>
    <w:rsid w:val="009C52A0"/>
    <w:rsid w:val="009C57BD"/>
    <w:rsid w:val="009C5A1C"/>
    <w:rsid w:val="009C60F1"/>
    <w:rsid w:val="009C6275"/>
    <w:rsid w:val="009C653D"/>
    <w:rsid w:val="009C65CB"/>
    <w:rsid w:val="009C6881"/>
    <w:rsid w:val="009C7446"/>
    <w:rsid w:val="009C76CD"/>
    <w:rsid w:val="009C7759"/>
    <w:rsid w:val="009C7876"/>
    <w:rsid w:val="009C78CE"/>
    <w:rsid w:val="009C7A14"/>
    <w:rsid w:val="009D0090"/>
    <w:rsid w:val="009D030A"/>
    <w:rsid w:val="009D043D"/>
    <w:rsid w:val="009D07A8"/>
    <w:rsid w:val="009D07C8"/>
    <w:rsid w:val="009D0AFB"/>
    <w:rsid w:val="009D0C21"/>
    <w:rsid w:val="009D0E13"/>
    <w:rsid w:val="009D0EB7"/>
    <w:rsid w:val="009D12BF"/>
    <w:rsid w:val="009D1602"/>
    <w:rsid w:val="009D2498"/>
    <w:rsid w:val="009D25D7"/>
    <w:rsid w:val="009D29A1"/>
    <w:rsid w:val="009D2DE8"/>
    <w:rsid w:val="009D335A"/>
    <w:rsid w:val="009D3517"/>
    <w:rsid w:val="009D3560"/>
    <w:rsid w:val="009D383C"/>
    <w:rsid w:val="009D3A67"/>
    <w:rsid w:val="009D3B58"/>
    <w:rsid w:val="009D3C45"/>
    <w:rsid w:val="009D43AD"/>
    <w:rsid w:val="009D46AD"/>
    <w:rsid w:val="009D4777"/>
    <w:rsid w:val="009D4A30"/>
    <w:rsid w:val="009D4C5C"/>
    <w:rsid w:val="009D4FAA"/>
    <w:rsid w:val="009D526D"/>
    <w:rsid w:val="009D54DB"/>
    <w:rsid w:val="009D564A"/>
    <w:rsid w:val="009D5DC9"/>
    <w:rsid w:val="009D5E37"/>
    <w:rsid w:val="009D60A9"/>
    <w:rsid w:val="009D61B0"/>
    <w:rsid w:val="009D643B"/>
    <w:rsid w:val="009D6A9B"/>
    <w:rsid w:val="009D6C54"/>
    <w:rsid w:val="009D6C71"/>
    <w:rsid w:val="009D6DCE"/>
    <w:rsid w:val="009D6E1D"/>
    <w:rsid w:val="009D6EE8"/>
    <w:rsid w:val="009D7A2A"/>
    <w:rsid w:val="009D7F3D"/>
    <w:rsid w:val="009E0370"/>
    <w:rsid w:val="009E0485"/>
    <w:rsid w:val="009E0577"/>
    <w:rsid w:val="009E0631"/>
    <w:rsid w:val="009E08B9"/>
    <w:rsid w:val="009E0B62"/>
    <w:rsid w:val="009E0CB3"/>
    <w:rsid w:val="009E0CDB"/>
    <w:rsid w:val="009E0F3F"/>
    <w:rsid w:val="009E0F86"/>
    <w:rsid w:val="009E12DE"/>
    <w:rsid w:val="009E13B7"/>
    <w:rsid w:val="009E14E5"/>
    <w:rsid w:val="009E16D0"/>
    <w:rsid w:val="009E17C0"/>
    <w:rsid w:val="009E1864"/>
    <w:rsid w:val="009E1A61"/>
    <w:rsid w:val="009E1B6F"/>
    <w:rsid w:val="009E2173"/>
    <w:rsid w:val="009E21B6"/>
    <w:rsid w:val="009E2590"/>
    <w:rsid w:val="009E2FED"/>
    <w:rsid w:val="009E3063"/>
    <w:rsid w:val="009E31E5"/>
    <w:rsid w:val="009E330B"/>
    <w:rsid w:val="009E3520"/>
    <w:rsid w:val="009E355E"/>
    <w:rsid w:val="009E38FD"/>
    <w:rsid w:val="009E4046"/>
    <w:rsid w:val="009E41C8"/>
    <w:rsid w:val="009E4543"/>
    <w:rsid w:val="009E461B"/>
    <w:rsid w:val="009E49C4"/>
    <w:rsid w:val="009E4B23"/>
    <w:rsid w:val="009E5037"/>
    <w:rsid w:val="009E53C9"/>
    <w:rsid w:val="009E55F9"/>
    <w:rsid w:val="009E566A"/>
    <w:rsid w:val="009E5713"/>
    <w:rsid w:val="009E5E53"/>
    <w:rsid w:val="009E641E"/>
    <w:rsid w:val="009E66E1"/>
    <w:rsid w:val="009E6B9E"/>
    <w:rsid w:val="009E7038"/>
    <w:rsid w:val="009E7AFD"/>
    <w:rsid w:val="009E7DDF"/>
    <w:rsid w:val="009E7F80"/>
    <w:rsid w:val="009F00C9"/>
    <w:rsid w:val="009F0108"/>
    <w:rsid w:val="009F02BC"/>
    <w:rsid w:val="009F05D1"/>
    <w:rsid w:val="009F07F5"/>
    <w:rsid w:val="009F0A1B"/>
    <w:rsid w:val="009F0DB3"/>
    <w:rsid w:val="009F0E82"/>
    <w:rsid w:val="009F0FF1"/>
    <w:rsid w:val="009F13D6"/>
    <w:rsid w:val="009F1456"/>
    <w:rsid w:val="009F1571"/>
    <w:rsid w:val="009F15B3"/>
    <w:rsid w:val="009F1673"/>
    <w:rsid w:val="009F2013"/>
    <w:rsid w:val="009F231F"/>
    <w:rsid w:val="009F249A"/>
    <w:rsid w:val="009F2884"/>
    <w:rsid w:val="009F2B5C"/>
    <w:rsid w:val="009F2F47"/>
    <w:rsid w:val="009F310D"/>
    <w:rsid w:val="009F3174"/>
    <w:rsid w:val="009F36F7"/>
    <w:rsid w:val="009F3BBB"/>
    <w:rsid w:val="009F4093"/>
    <w:rsid w:val="009F419A"/>
    <w:rsid w:val="009F4536"/>
    <w:rsid w:val="009F49A2"/>
    <w:rsid w:val="009F4A9E"/>
    <w:rsid w:val="009F4BAA"/>
    <w:rsid w:val="009F4C6B"/>
    <w:rsid w:val="009F5585"/>
    <w:rsid w:val="009F572F"/>
    <w:rsid w:val="009F5E07"/>
    <w:rsid w:val="009F6560"/>
    <w:rsid w:val="009F658E"/>
    <w:rsid w:val="009F6A3B"/>
    <w:rsid w:val="009F774E"/>
    <w:rsid w:val="009F78A8"/>
    <w:rsid w:val="009F794D"/>
    <w:rsid w:val="009F7B5D"/>
    <w:rsid w:val="009F7EB4"/>
    <w:rsid w:val="00A000D0"/>
    <w:rsid w:val="00A0010E"/>
    <w:rsid w:val="00A0013F"/>
    <w:rsid w:val="00A001ED"/>
    <w:rsid w:val="00A00203"/>
    <w:rsid w:val="00A0073F"/>
    <w:rsid w:val="00A0082E"/>
    <w:rsid w:val="00A00930"/>
    <w:rsid w:val="00A009BA"/>
    <w:rsid w:val="00A00D1A"/>
    <w:rsid w:val="00A00E05"/>
    <w:rsid w:val="00A0146D"/>
    <w:rsid w:val="00A01611"/>
    <w:rsid w:val="00A01828"/>
    <w:rsid w:val="00A018EF"/>
    <w:rsid w:val="00A01A2B"/>
    <w:rsid w:val="00A01C5A"/>
    <w:rsid w:val="00A01EB5"/>
    <w:rsid w:val="00A02017"/>
    <w:rsid w:val="00A02176"/>
    <w:rsid w:val="00A02356"/>
    <w:rsid w:val="00A0288F"/>
    <w:rsid w:val="00A02AD6"/>
    <w:rsid w:val="00A02AE2"/>
    <w:rsid w:val="00A02D08"/>
    <w:rsid w:val="00A02E95"/>
    <w:rsid w:val="00A02F8C"/>
    <w:rsid w:val="00A02FE9"/>
    <w:rsid w:val="00A0369A"/>
    <w:rsid w:val="00A03B16"/>
    <w:rsid w:val="00A03B91"/>
    <w:rsid w:val="00A03DDA"/>
    <w:rsid w:val="00A03F53"/>
    <w:rsid w:val="00A04370"/>
    <w:rsid w:val="00A04572"/>
    <w:rsid w:val="00A045E5"/>
    <w:rsid w:val="00A04782"/>
    <w:rsid w:val="00A04A60"/>
    <w:rsid w:val="00A04E32"/>
    <w:rsid w:val="00A0514D"/>
    <w:rsid w:val="00A061D5"/>
    <w:rsid w:val="00A06649"/>
    <w:rsid w:val="00A0668C"/>
    <w:rsid w:val="00A066FC"/>
    <w:rsid w:val="00A0686A"/>
    <w:rsid w:val="00A068F5"/>
    <w:rsid w:val="00A06C5D"/>
    <w:rsid w:val="00A06EF0"/>
    <w:rsid w:val="00A06F34"/>
    <w:rsid w:val="00A07096"/>
    <w:rsid w:val="00A07137"/>
    <w:rsid w:val="00A0713E"/>
    <w:rsid w:val="00A07318"/>
    <w:rsid w:val="00A07743"/>
    <w:rsid w:val="00A07C39"/>
    <w:rsid w:val="00A101B6"/>
    <w:rsid w:val="00A10505"/>
    <w:rsid w:val="00A106A7"/>
    <w:rsid w:val="00A106C6"/>
    <w:rsid w:val="00A106EC"/>
    <w:rsid w:val="00A10824"/>
    <w:rsid w:val="00A10BF6"/>
    <w:rsid w:val="00A10EED"/>
    <w:rsid w:val="00A11196"/>
    <w:rsid w:val="00A11370"/>
    <w:rsid w:val="00A11969"/>
    <w:rsid w:val="00A11D08"/>
    <w:rsid w:val="00A11FAB"/>
    <w:rsid w:val="00A12C5B"/>
    <w:rsid w:val="00A12FE8"/>
    <w:rsid w:val="00A13290"/>
    <w:rsid w:val="00A1346C"/>
    <w:rsid w:val="00A1347C"/>
    <w:rsid w:val="00A138EE"/>
    <w:rsid w:val="00A13A98"/>
    <w:rsid w:val="00A13E17"/>
    <w:rsid w:val="00A14003"/>
    <w:rsid w:val="00A140B6"/>
    <w:rsid w:val="00A1460F"/>
    <w:rsid w:val="00A14BB7"/>
    <w:rsid w:val="00A15042"/>
    <w:rsid w:val="00A1557E"/>
    <w:rsid w:val="00A155FB"/>
    <w:rsid w:val="00A15BCE"/>
    <w:rsid w:val="00A15C39"/>
    <w:rsid w:val="00A15C44"/>
    <w:rsid w:val="00A15D52"/>
    <w:rsid w:val="00A16104"/>
    <w:rsid w:val="00A161DE"/>
    <w:rsid w:val="00A16630"/>
    <w:rsid w:val="00A1670B"/>
    <w:rsid w:val="00A16C15"/>
    <w:rsid w:val="00A16D29"/>
    <w:rsid w:val="00A16FF9"/>
    <w:rsid w:val="00A1714A"/>
    <w:rsid w:val="00A172C0"/>
    <w:rsid w:val="00A1733A"/>
    <w:rsid w:val="00A1766B"/>
    <w:rsid w:val="00A176D4"/>
    <w:rsid w:val="00A179D2"/>
    <w:rsid w:val="00A17AAE"/>
    <w:rsid w:val="00A2003F"/>
    <w:rsid w:val="00A20302"/>
    <w:rsid w:val="00A2079D"/>
    <w:rsid w:val="00A209E1"/>
    <w:rsid w:val="00A20F3A"/>
    <w:rsid w:val="00A21435"/>
    <w:rsid w:val="00A21694"/>
    <w:rsid w:val="00A21814"/>
    <w:rsid w:val="00A21C8E"/>
    <w:rsid w:val="00A21DD1"/>
    <w:rsid w:val="00A21F95"/>
    <w:rsid w:val="00A2215F"/>
    <w:rsid w:val="00A22166"/>
    <w:rsid w:val="00A224CE"/>
    <w:rsid w:val="00A22522"/>
    <w:rsid w:val="00A22809"/>
    <w:rsid w:val="00A2287E"/>
    <w:rsid w:val="00A22CB0"/>
    <w:rsid w:val="00A22F70"/>
    <w:rsid w:val="00A23463"/>
    <w:rsid w:val="00A23941"/>
    <w:rsid w:val="00A23A67"/>
    <w:rsid w:val="00A23B40"/>
    <w:rsid w:val="00A23FB5"/>
    <w:rsid w:val="00A24446"/>
    <w:rsid w:val="00A24472"/>
    <w:rsid w:val="00A24AFD"/>
    <w:rsid w:val="00A24CFC"/>
    <w:rsid w:val="00A24DD5"/>
    <w:rsid w:val="00A24F5C"/>
    <w:rsid w:val="00A2525C"/>
    <w:rsid w:val="00A252E5"/>
    <w:rsid w:val="00A2540C"/>
    <w:rsid w:val="00A25629"/>
    <w:rsid w:val="00A257F5"/>
    <w:rsid w:val="00A25816"/>
    <w:rsid w:val="00A259CA"/>
    <w:rsid w:val="00A25D99"/>
    <w:rsid w:val="00A2616B"/>
    <w:rsid w:val="00A2631D"/>
    <w:rsid w:val="00A264F3"/>
    <w:rsid w:val="00A267A8"/>
    <w:rsid w:val="00A26F89"/>
    <w:rsid w:val="00A275D9"/>
    <w:rsid w:val="00A27602"/>
    <w:rsid w:val="00A27742"/>
    <w:rsid w:val="00A277D5"/>
    <w:rsid w:val="00A27D30"/>
    <w:rsid w:val="00A30159"/>
    <w:rsid w:val="00A30730"/>
    <w:rsid w:val="00A30790"/>
    <w:rsid w:val="00A3090E"/>
    <w:rsid w:val="00A30B5B"/>
    <w:rsid w:val="00A30C58"/>
    <w:rsid w:val="00A30CFC"/>
    <w:rsid w:val="00A30DB7"/>
    <w:rsid w:val="00A312EF"/>
    <w:rsid w:val="00A315E1"/>
    <w:rsid w:val="00A31926"/>
    <w:rsid w:val="00A323F5"/>
    <w:rsid w:val="00A32DD7"/>
    <w:rsid w:val="00A32F96"/>
    <w:rsid w:val="00A33429"/>
    <w:rsid w:val="00A33B4C"/>
    <w:rsid w:val="00A33F90"/>
    <w:rsid w:val="00A341E4"/>
    <w:rsid w:val="00A3433F"/>
    <w:rsid w:val="00A3456F"/>
    <w:rsid w:val="00A34769"/>
    <w:rsid w:val="00A35100"/>
    <w:rsid w:val="00A35137"/>
    <w:rsid w:val="00A35507"/>
    <w:rsid w:val="00A35596"/>
    <w:rsid w:val="00A35AB2"/>
    <w:rsid w:val="00A35B03"/>
    <w:rsid w:val="00A35BE9"/>
    <w:rsid w:val="00A35E74"/>
    <w:rsid w:val="00A35F83"/>
    <w:rsid w:val="00A36118"/>
    <w:rsid w:val="00A36272"/>
    <w:rsid w:val="00A362EB"/>
    <w:rsid w:val="00A36B17"/>
    <w:rsid w:val="00A36B60"/>
    <w:rsid w:val="00A37B4E"/>
    <w:rsid w:val="00A37CC8"/>
    <w:rsid w:val="00A37F49"/>
    <w:rsid w:val="00A37F8D"/>
    <w:rsid w:val="00A403B2"/>
    <w:rsid w:val="00A407A1"/>
    <w:rsid w:val="00A40871"/>
    <w:rsid w:val="00A40D2F"/>
    <w:rsid w:val="00A412AB"/>
    <w:rsid w:val="00A41307"/>
    <w:rsid w:val="00A417D6"/>
    <w:rsid w:val="00A4193E"/>
    <w:rsid w:val="00A41F11"/>
    <w:rsid w:val="00A41F77"/>
    <w:rsid w:val="00A42082"/>
    <w:rsid w:val="00A4216F"/>
    <w:rsid w:val="00A42544"/>
    <w:rsid w:val="00A42BFF"/>
    <w:rsid w:val="00A42EE9"/>
    <w:rsid w:val="00A43006"/>
    <w:rsid w:val="00A43062"/>
    <w:rsid w:val="00A43223"/>
    <w:rsid w:val="00A43459"/>
    <w:rsid w:val="00A435A4"/>
    <w:rsid w:val="00A436B1"/>
    <w:rsid w:val="00A43918"/>
    <w:rsid w:val="00A43F41"/>
    <w:rsid w:val="00A43F6E"/>
    <w:rsid w:val="00A440E0"/>
    <w:rsid w:val="00A442EF"/>
    <w:rsid w:val="00A4437B"/>
    <w:rsid w:val="00A4569B"/>
    <w:rsid w:val="00A45CCD"/>
    <w:rsid w:val="00A45F9A"/>
    <w:rsid w:val="00A465B9"/>
    <w:rsid w:val="00A466DC"/>
    <w:rsid w:val="00A46777"/>
    <w:rsid w:val="00A468C2"/>
    <w:rsid w:val="00A46ABC"/>
    <w:rsid w:val="00A46D09"/>
    <w:rsid w:val="00A46E95"/>
    <w:rsid w:val="00A47099"/>
    <w:rsid w:val="00A47182"/>
    <w:rsid w:val="00A471FC"/>
    <w:rsid w:val="00A4733D"/>
    <w:rsid w:val="00A47A2E"/>
    <w:rsid w:val="00A47B4A"/>
    <w:rsid w:val="00A47CA1"/>
    <w:rsid w:val="00A47CB3"/>
    <w:rsid w:val="00A47F34"/>
    <w:rsid w:val="00A50C01"/>
    <w:rsid w:val="00A50C0F"/>
    <w:rsid w:val="00A50F3C"/>
    <w:rsid w:val="00A513C2"/>
    <w:rsid w:val="00A514D0"/>
    <w:rsid w:val="00A5154C"/>
    <w:rsid w:val="00A51948"/>
    <w:rsid w:val="00A51D1A"/>
    <w:rsid w:val="00A52012"/>
    <w:rsid w:val="00A52046"/>
    <w:rsid w:val="00A523DD"/>
    <w:rsid w:val="00A5258F"/>
    <w:rsid w:val="00A52BEA"/>
    <w:rsid w:val="00A52C26"/>
    <w:rsid w:val="00A52E0D"/>
    <w:rsid w:val="00A53364"/>
    <w:rsid w:val="00A533DA"/>
    <w:rsid w:val="00A5378E"/>
    <w:rsid w:val="00A53871"/>
    <w:rsid w:val="00A53BF8"/>
    <w:rsid w:val="00A5418D"/>
    <w:rsid w:val="00A54553"/>
    <w:rsid w:val="00A5474E"/>
    <w:rsid w:val="00A549A1"/>
    <w:rsid w:val="00A54AA9"/>
    <w:rsid w:val="00A54D1F"/>
    <w:rsid w:val="00A54E97"/>
    <w:rsid w:val="00A5503E"/>
    <w:rsid w:val="00A55071"/>
    <w:rsid w:val="00A550A7"/>
    <w:rsid w:val="00A5541A"/>
    <w:rsid w:val="00A55B38"/>
    <w:rsid w:val="00A55BE8"/>
    <w:rsid w:val="00A563AF"/>
    <w:rsid w:val="00A564F0"/>
    <w:rsid w:val="00A566E0"/>
    <w:rsid w:val="00A56C27"/>
    <w:rsid w:val="00A56D57"/>
    <w:rsid w:val="00A56FF3"/>
    <w:rsid w:val="00A5710E"/>
    <w:rsid w:val="00A57494"/>
    <w:rsid w:val="00A5770A"/>
    <w:rsid w:val="00A57817"/>
    <w:rsid w:val="00A578BC"/>
    <w:rsid w:val="00A57BD1"/>
    <w:rsid w:val="00A57C83"/>
    <w:rsid w:val="00A57D79"/>
    <w:rsid w:val="00A57DBC"/>
    <w:rsid w:val="00A57FD3"/>
    <w:rsid w:val="00A60109"/>
    <w:rsid w:val="00A60139"/>
    <w:rsid w:val="00A60217"/>
    <w:rsid w:val="00A6055C"/>
    <w:rsid w:val="00A6115C"/>
    <w:rsid w:val="00A6123C"/>
    <w:rsid w:val="00A6130D"/>
    <w:rsid w:val="00A616C4"/>
    <w:rsid w:val="00A61702"/>
    <w:rsid w:val="00A61888"/>
    <w:rsid w:val="00A61B50"/>
    <w:rsid w:val="00A61BF0"/>
    <w:rsid w:val="00A61DC3"/>
    <w:rsid w:val="00A621A4"/>
    <w:rsid w:val="00A62767"/>
    <w:rsid w:val="00A627EC"/>
    <w:rsid w:val="00A62FE0"/>
    <w:rsid w:val="00A636A8"/>
    <w:rsid w:val="00A63ABB"/>
    <w:rsid w:val="00A63C99"/>
    <w:rsid w:val="00A63D04"/>
    <w:rsid w:val="00A63F2A"/>
    <w:rsid w:val="00A64015"/>
    <w:rsid w:val="00A6415F"/>
    <w:rsid w:val="00A641F6"/>
    <w:rsid w:val="00A64234"/>
    <w:rsid w:val="00A642AF"/>
    <w:rsid w:val="00A6444F"/>
    <w:rsid w:val="00A648DF"/>
    <w:rsid w:val="00A64A14"/>
    <w:rsid w:val="00A64DB5"/>
    <w:rsid w:val="00A64DF0"/>
    <w:rsid w:val="00A6505D"/>
    <w:rsid w:val="00A6506C"/>
    <w:rsid w:val="00A650D6"/>
    <w:rsid w:val="00A650FF"/>
    <w:rsid w:val="00A65C7B"/>
    <w:rsid w:val="00A65ED8"/>
    <w:rsid w:val="00A661F0"/>
    <w:rsid w:val="00A664D1"/>
    <w:rsid w:val="00A66631"/>
    <w:rsid w:val="00A666B6"/>
    <w:rsid w:val="00A66C3A"/>
    <w:rsid w:val="00A66D2F"/>
    <w:rsid w:val="00A66E8D"/>
    <w:rsid w:val="00A66F9E"/>
    <w:rsid w:val="00A66FFA"/>
    <w:rsid w:val="00A6709A"/>
    <w:rsid w:val="00A67202"/>
    <w:rsid w:val="00A674A0"/>
    <w:rsid w:val="00A674DB"/>
    <w:rsid w:val="00A67865"/>
    <w:rsid w:val="00A6797B"/>
    <w:rsid w:val="00A679F9"/>
    <w:rsid w:val="00A704DE"/>
    <w:rsid w:val="00A705CE"/>
    <w:rsid w:val="00A705DE"/>
    <w:rsid w:val="00A7095E"/>
    <w:rsid w:val="00A70ADF"/>
    <w:rsid w:val="00A70E19"/>
    <w:rsid w:val="00A70F47"/>
    <w:rsid w:val="00A713EB"/>
    <w:rsid w:val="00A7142C"/>
    <w:rsid w:val="00A71466"/>
    <w:rsid w:val="00A716B7"/>
    <w:rsid w:val="00A716C2"/>
    <w:rsid w:val="00A7188C"/>
    <w:rsid w:val="00A71B72"/>
    <w:rsid w:val="00A71B9E"/>
    <w:rsid w:val="00A71C8E"/>
    <w:rsid w:val="00A71F20"/>
    <w:rsid w:val="00A71F80"/>
    <w:rsid w:val="00A7210B"/>
    <w:rsid w:val="00A72323"/>
    <w:rsid w:val="00A724E7"/>
    <w:rsid w:val="00A7265D"/>
    <w:rsid w:val="00A729C8"/>
    <w:rsid w:val="00A72CCF"/>
    <w:rsid w:val="00A72E2C"/>
    <w:rsid w:val="00A72FCA"/>
    <w:rsid w:val="00A7326F"/>
    <w:rsid w:val="00A734CE"/>
    <w:rsid w:val="00A736D2"/>
    <w:rsid w:val="00A73B27"/>
    <w:rsid w:val="00A73B50"/>
    <w:rsid w:val="00A7403A"/>
    <w:rsid w:val="00A743A9"/>
    <w:rsid w:val="00A74AB4"/>
    <w:rsid w:val="00A74B5E"/>
    <w:rsid w:val="00A751E5"/>
    <w:rsid w:val="00A751F7"/>
    <w:rsid w:val="00A75AAF"/>
    <w:rsid w:val="00A75C9A"/>
    <w:rsid w:val="00A76060"/>
    <w:rsid w:val="00A7610E"/>
    <w:rsid w:val="00A763AF"/>
    <w:rsid w:val="00A767B7"/>
    <w:rsid w:val="00A76A7A"/>
    <w:rsid w:val="00A770EF"/>
    <w:rsid w:val="00A77F9A"/>
    <w:rsid w:val="00A8003C"/>
    <w:rsid w:val="00A80046"/>
    <w:rsid w:val="00A801C0"/>
    <w:rsid w:val="00A802B9"/>
    <w:rsid w:val="00A804CD"/>
    <w:rsid w:val="00A805ED"/>
    <w:rsid w:val="00A80825"/>
    <w:rsid w:val="00A808E3"/>
    <w:rsid w:val="00A8114F"/>
    <w:rsid w:val="00A81687"/>
    <w:rsid w:val="00A817AC"/>
    <w:rsid w:val="00A81BBE"/>
    <w:rsid w:val="00A81BED"/>
    <w:rsid w:val="00A81EC4"/>
    <w:rsid w:val="00A81FA7"/>
    <w:rsid w:val="00A82080"/>
    <w:rsid w:val="00A82114"/>
    <w:rsid w:val="00A82359"/>
    <w:rsid w:val="00A82792"/>
    <w:rsid w:val="00A82C91"/>
    <w:rsid w:val="00A82CB9"/>
    <w:rsid w:val="00A82D58"/>
    <w:rsid w:val="00A82D6F"/>
    <w:rsid w:val="00A82F70"/>
    <w:rsid w:val="00A83045"/>
    <w:rsid w:val="00A83A48"/>
    <w:rsid w:val="00A83EC0"/>
    <w:rsid w:val="00A84037"/>
    <w:rsid w:val="00A840B3"/>
    <w:rsid w:val="00A843A1"/>
    <w:rsid w:val="00A848D1"/>
    <w:rsid w:val="00A84AF8"/>
    <w:rsid w:val="00A84B8B"/>
    <w:rsid w:val="00A84EFB"/>
    <w:rsid w:val="00A8581E"/>
    <w:rsid w:val="00A85C73"/>
    <w:rsid w:val="00A8617E"/>
    <w:rsid w:val="00A8645B"/>
    <w:rsid w:val="00A86859"/>
    <w:rsid w:val="00A86898"/>
    <w:rsid w:val="00A86FF1"/>
    <w:rsid w:val="00A874CF"/>
    <w:rsid w:val="00A874FA"/>
    <w:rsid w:val="00A8766A"/>
    <w:rsid w:val="00A87823"/>
    <w:rsid w:val="00A87915"/>
    <w:rsid w:val="00A901C5"/>
    <w:rsid w:val="00A9043E"/>
    <w:rsid w:val="00A907B4"/>
    <w:rsid w:val="00A90818"/>
    <w:rsid w:val="00A9095D"/>
    <w:rsid w:val="00A90ABF"/>
    <w:rsid w:val="00A90BBD"/>
    <w:rsid w:val="00A90E25"/>
    <w:rsid w:val="00A90E9D"/>
    <w:rsid w:val="00A9171C"/>
    <w:rsid w:val="00A91783"/>
    <w:rsid w:val="00A9185A"/>
    <w:rsid w:val="00A918E9"/>
    <w:rsid w:val="00A919EC"/>
    <w:rsid w:val="00A91C26"/>
    <w:rsid w:val="00A91D86"/>
    <w:rsid w:val="00A92511"/>
    <w:rsid w:val="00A927C4"/>
    <w:rsid w:val="00A928C3"/>
    <w:rsid w:val="00A928DE"/>
    <w:rsid w:val="00A92E12"/>
    <w:rsid w:val="00A9310F"/>
    <w:rsid w:val="00A9339E"/>
    <w:rsid w:val="00A93743"/>
    <w:rsid w:val="00A9407E"/>
    <w:rsid w:val="00A9438F"/>
    <w:rsid w:val="00A94B1A"/>
    <w:rsid w:val="00A94BBB"/>
    <w:rsid w:val="00A9506F"/>
    <w:rsid w:val="00A95558"/>
    <w:rsid w:val="00A955CA"/>
    <w:rsid w:val="00A9571E"/>
    <w:rsid w:val="00A9579B"/>
    <w:rsid w:val="00A95A30"/>
    <w:rsid w:val="00A95A97"/>
    <w:rsid w:val="00A96482"/>
    <w:rsid w:val="00A967FD"/>
    <w:rsid w:val="00A96A07"/>
    <w:rsid w:val="00A96B14"/>
    <w:rsid w:val="00A96B2C"/>
    <w:rsid w:val="00A96CF8"/>
    <w:rsid w:val="00A9736E"/>
    <w:rsid w:val="00A97546"/>
    <w:rsid w:val="00A97701"/>
    <w:rsid w:val="00A97CE3"/>
    <w:rsid w:val="00A97E6D"/>
    <w:rsid w:val="00AA0262"/>
    <w:rsid w:val="00AA043F"/>
    <w:rsid w:val="00AA048F"/>
    <w:rsid w:val="00AA099C"/>
    <w:rsid w:val="00AA0B53"/>
    <w:rsid w:val="00AA0BDC"/>
    <w:rsid w:val="00AA1507"/>
    <w:rsid w:val="00AA1577"/>
    <w:rsid w:val="00AA15BC"/>
    <w:rsid w:val="00AA15F2"/>
    <w:rsid w:val="00AA1709"/>
    <w:rsid w:val="00AA1CF5"/>
    <w:rsid w:val="00AA2525"/>
    <w:rsid w:val="00AA26B9"/>
    <w:rsid w:val="00AA275D"/>
    <w:rsid w:val="00AA2798"/>
    <w:rsid w:val="00AA2A9B"/>
    <w:rsid w:val="00AA2C1F"/>
    <w:rsid w:val="00AA2C3D"/>
    <w:rsid w:val="00AA2F83"/>
    <w:rsid w:val="00AA322C"/>
    <w:rsid w:val="00AA3298"/>
    <w:rsid w:val="00AA4184"/>
    <w:rsid w:val="00AA41F1"/>
    <w:rsid w:val="00AA43F2"/>
    <w:rsid w:val="00AA45B0"/>
    <w:rsid w:val="00AA48A0"/>
    <w:rsid w:val="00AA4917"/>
    <w:rsid w:val="00AA52DE"/>
    <w:rsid w:val="00AA5321"/>
    <w:rsid w:val="00AA595B"/>
    <w:rsid w:val="00AA5F3D"/>
    <w:rsid w:val="00AA60B1"/>
    <w:rsid w:val="00AA619E"/>
    <w:rsid w:val="00AA64AA"/>
    <w:rsid w:val="00AA64B0"/>
    <w:rsid w:val="00AA67CA"/>
    <w:rsid w:val="00AA6963"/>
    <w:rsid w:val="00AA6D3C"/>
    <w:rsid w:val="00AA6E3B"/>
    <w:rsid w:val="00AA6EE0"/>
    <w:rsid w:val="00AA7077"/>
    <w:rsid w:val="00AA746A"/>
    <w:rsid w:val="00AA7770"/>
    <w:rsid w:val="00AA7A03"/>
    <w:rsid w:val="00AA7D4C"/>
    <w:rsid w:val="00AB00AD"/>
    <w:rsid w:val="00AB0175"/>
    <w:rsid w:val="00AB0340"/>
    <w:rsid w:val="00AB044A"/>
    <w:rsid w:val="00AB0F5A"/>
    <w:rsid w:val="00AB156C"/>
    <w:rsid w:val="00AB15A7"/>
    <w:rsid w:val="00AB1A67"/>
    <w:rsid w:val="00AB1C92"/>
    <w:rsid w:val="00AB1F7F"/>
    <w:rsid w:val="00AB1FE2"/>
    <w:rsid w:val="00AB2100"/>
    <w:rsid w:val="00AB2A15"/>
    <w:rsid w:val="00AB2C20"/>
    <w:rsid w:val="00AB2C7D"/>
    <w:rsid w:val="00AB3938"/>
    <w:rsid w:val="00AB3BD2"/>
    <w:rsid w:val="00AB3EDB"/>
    <w:rsid w:val="00AB4A4F"/>
    <w:rsid w:val="00AB4CCA"/>
    <w:rsid w:val="00AB4E9B"/>
    <w:rsid w:val="00AB52F0"/>
    <w:rsid w:val="00AB5442"/>
    <w:rsid w:val="00AB55F3"/>
    <w:rsid w:val="00AB57E5"/>
    <w:rsid w:val="00AB5B44"/>
    <w:rsid w:val="00AB5B9A"/>
    <w:rsid w:val="00AB5DA2"/>
    <w:rsid w:val="00AB6735"/>
    <w:rsid w:val="00AB6814"/>
    <w:rsid w:val="00AB734B"/>
    <w:rsid w:val="00AB77C0"/>
    <w:rsid w:val="00AB7813"/>
    <w:rsid w:val="00AC004B"/>
    <w:rsid w:val="00AC03A7"/>
    <w:rsid w:val="00AC0444"/>
    <w:rsid w:val="00AC04BA"/>
    <w:rsid w:val="00AC06CC"/>
    <w:rsid w:val="00AC074A"/>
    <w:rsid w:val="00AC0BDE"/>
    <w:rsid w:val="00AC0CB4"/>
    <w:rsid w:val="00AC0D30"/>
    <w:rsid w:val="00AC0E39"/>
    <w:rsid w:val="00AC12C6"/>
    <w:rsid w:val="00AC15AB"/>
    <w:rsid w:val="00AC18A9"/>
    <w:rsid w:val="00AC1BD7"/>
    <w:rsid w:val="00AC201C"/>
    <w:rsid w:val="00AC20B4"/>
    <w:rsid w:val="00AC22D2"/>
    <w:rsid w:val="00AC2377"/>
    <w:rsid w:val="00AC2382"/>
    <w:rsid w:val="00AC24F7"/>
    <w:rsid w:val="00AC2500"/>
    <w:rsid w:val="00AC2AED"/>
    <w:rsid w:val="00AC2DE1"/>
    <w:rsid w:val="00AC2E21"/>
    <w:rsid w:val="00AC30C8"/>
    <w:rsid w:val="00AC35F5"/>
    <w:rsid w:val="00AC3804"/>
    <w:rsid w:val="00AC3945"/>
    <w:rsid w:val="00AC3D61"/>
    <w:rsid w:val="00AC3D96"/>
    <w:rsid w:val="00AC4159"/>
    <w:rsid w:val="00AC4205"/>
    <w:rsid w:val="00AC437D"/>
    <w:rsid w:val="00AC4812"/>
    <w:rsid w:val="00AC4A08"/>
    <w:rsid w:val="00AC5133"/>
    <w:rsid w:val="00AC560D"/>
    <w:rsid w:val="00AC5626"/>
    <w:rsid w:val="00AC568A"/>
    <w:rsid w:val="00AC56CC"/>
    <w:rsid w:val="00AC5716"/>
    <w:rsid w:val="00AC58B8"/>
    <w:rsid w:val="00AC5D88"/>
    <w:rsid w:val="00AC631A"/>
    <w:rsid w:val="00AC65C6"/>
    <w:rsid w:val="00AC691E"/>
    <w:rsid w:val="00AC69B8"/>
    <w:rsid w:val="00AC6A99"/>
    <w:rsid w:val="00AC7336"/>
    <w:rsid w:val="00AC7578"/>
    <w:rsid w:val="00AC7712"/>
    <w:rsid w:val="00AC7A62"/>
    <w:rsid w:val="00AC7D4B"/>
    <w:rsid w:val="00AC7EE0"/>
    <w:rsid w:val="00AD0355"/>
    <w:rsid w:val="00AD035B"/>
    <w:rsid w:val="00AD0483"/>
    <w:rsid w:val="00AD07D6"/>
    <w:rsid w:val="00AD0BC6"/>
    <w:rsid w:val="00AD0EEB"/>
    <w:rsid w:val="00AD1671"/>
    <w:rsid w:val="00AD1AAE"/>
    <w:rsid w:val="00AD1C00"/>
    <w:rsid w:val="00AD1C50"/>
    <w:rsid w:val="00AD21B3"/>
    <w:rsid w:val="00AD277F"/>
    <w:rsid w:val="00AD27F0"/>
    <w:rsid w:val="00AD283A"/>
    <w:rsid w:val="00AD2D42"/>
    <w:rsid w:val="00AD2FEE"/>
    <w:rsid w:val="00AD3082"/>
    <w:rsid w:val="00AD3213"/>
    <w:rsid w:val="00AD32B4"/>
    <w:rsid w:val="00AD32C9"/>
    <w:rsid w:val="00AD35B8"/>
    <w:rsid w:val="00AD36FA"/>
    <w:rsid w:val="00AD38A0"/>
    <w:rsid w:val="00AD38D9"/>
    <w:rsid w:val="00AD3ABC"/>
    <w:rsid w:val="00AD3D79"/>
    <w:rsid w:val="00AD3F59"/>
    <w:rsid w:val="00AD3F86"/>
    <w:rsid w:val="00AD4192"/>
    <w:rsid w:val="00AD45CD"/>
    <w:rsid w:val="00AD4835"/>
    <w:rsid w:val="00AD4AD0"/>
    <w:rsid w:val="00AD4C4E"/>
    <w:rsid w:val="00AD52B7"/>
    <w:rsid w:val="00AD5347"/>
    <w:rsid w:val="00AD5379"/>
    <w:rsid w:val="00AD5436"/>
    <w:rsid w:val="00AD563A"/>
    <w:rsid w:val="00AD5DBF"/>
    <w:rsid w:val="00AD60CD"/>
    <w:rsid w:val="00AD63FA"/>
    <w:rsid w:val="00AD650E"/>
    <w:rsid w:val="00AD6ACE"/>
    <w:rsid w:val="00AD6AD3"/>
    <w:rsid w:val="00AD6C8C"/>
    <w:rsid w:val="00AD70A7"/>
    <w:rsid w:val="00AD733D"/>
    <w:rsid w:val="00AD789E"/>
    <w:rsid w:val="00AD7E5A"/>
    <w:rsid w:val="00AD7F28"/>
    <w:rsid w:val="00AD7F8F"/>
    <w:rsid w:val="00AE0256"/>
    <w:rsid w:val="00AE048E"/>
    <w:rsid w:val="00AE04D3"/>
    <w:rsid w:val="00AE091D"/>
    <w:rsid w:val="00AE0C82"/>
    <w:rsid w:val="00AE0C89"/>
    <w:rsid w:val="00AE0FC6"/>
    <w:rsid w:val="00AE19C9"/>
    <w:rsid w:val="00AE1FBF"/>
    <w:rsid w:val="00AE2594"/>
    <w:rsid w:val="00AE271C"/>
    <w:rsid w:val="00AE28C1"/>
    <w:rsid w:val="00AE2ABA"/>
    <w:rsid w:val="00AE2C61"/>
    <w:rsid w:val="00AE2C7C"/>
    <w:rsid w:val="00AE2CB0"/>
    <w:rsid w:val="00AE31E2"/>
    <w:rsid w:val="00AE31ED"/>
    <w:rsid w:val="00AE3B60"/>
    <w:rsid w:val="00AE3BF5"/>
    <w:rsid w:val="00AE3CA3"/>
    <w:rsid w:val="00AE3E97"/>
    <w:rsid w:val="00AE3EEF"/>
    <w:rsid w:val="00AE42E2"/>
    <w:rsid w:val="00AE4753"/>
    <w:rsid w:val="00AE48E5"/>
    <w:rsid w:val="00AE4965"/>
    <w:rsid w:val="00AE4BCA"/>
    <w:rsid w:val="00AE4D67"/>
    <w:rsid w:val="00AE4EFA"/>
    <w:rsid w:val="00AE5049"/>
    <w:rsid w:val="00AE5160"/>
    <w:rsid w:val="00AE53A1"/>
    <w:rsid w:val="00AE5657"/>
    <w:rsid w:val="00AE5744"/>
    <w:rsid w:val="00AE5A22"/>
    <w:rsid w:val="00AE5C53"/>
    <w:rsid w:val="00AE5DFA"/>
    <w:rsid w:val="00AE5E25"/>
    <w:rsid w:val="00AE63A3"/>
    <w:rsid w:val="00AE6453"/>
    <w:rsid w:val="00AE71F5"/>
    <w:rsid w:val="00AE74CF"/>
    <w:rsid w:val="00AE7615"/>
    <w:rsid w:val="00AE7619"/>
    <w:rsid w:val="00AE778C"/>
    <w:rsid w:val="00AE7FD8"/>
    <w:rsid w:val="00AF01AF"/>
    <w:rsid w:val="00AF01BC"/>
    <w:rsid w:val="00AF01C0"/>
    <w:rsid w:val="00AF0880"/>
    <w:rsid w:val="00AF1090"/>
    <w:rsid w:val="00AF110B"/>
    <w:rsid w:val="00AF12B6"/>
    <w:rsid w:val="00AF1598"/>
    <w:rsid w:val="00AF19BE"/>
    <w:rsid w:val="00AF242D"/>
    <w:rsid w:val="00AF2462"/>
    <w:rsid w:val="00AF2484"/>
    <w:rsid w:val="00AF2E71"/>
    <w:rsid w:val="00AF3168"/>
    <w:rsid w:val="00AF316F"/>
    <w:rsid w:val="00AF3299"/>
    <w:rsid w:val="00AF32E1"/>
    <w:rsid w:val="00AF3348"/>
    <w:rsid w:val="00AF3361"/>
    <w:rsid w:val="00AF39F2"/>
    <w:rsid w:val="00AF3B68"/>
    <w:rsid w:val="00AF3F8B"/>
    <w:rsid w:val="00AF41BF"/>
    <w:rsid w:val="00AF4AFD"/>
    <w:rsid w:val="00AF4B4F"/>
    <w:rsid w:val="00AF4C03"/>
    <w:rsid w:val="00AF4CD2"/>
    <w:rsid w:val="00AF4D09"/>
    <w:rsid w:val="00AF4D4E"/>
    <w:rsid w:val="00AF4E02"/>
    <w:rsid w:val="00AF5350"/>
    <w:rsid w:val="00AF5601"/>
    <w:rsid w:val="00AF6067"/>
    <w:rsid w:val="00AF637E"/>
    <w:rsid w:val="00AF63E7"/>
    <w:rsid w:val="00AF65F1"/>
    <w:rsid w:val="00AF668D"/>
    <w:rsid w:val="00AF675B"/>
    <w:rsid w:val="00AF6C4C"/>
    <w:rsid w:val="00AF6DCC"/>
    <w:rsid w:val="00AF6DFE"/>
    <w:rsid w:val="00AF6E17"/>
    <w:rsid w:val="00AF6F78"/>
    <w:rsid w:val="00AF78CE"/>
    <w:rsid w:val="00AF798F"/>
    <w:rsid w:val="00AF7C6C"/>
    <w:rsid w:val="00AF7DDA"/>
    <w:rsid w:val="00AF7F33"/>
    <w:rsid w:val="00B00C17"/>
    <w:rsid w:val="00B010BE"/>
    <w:rsid w:val="00B0118C"/>
    <w:rsid w:val="00B0165D"/>
    <w:rsid w:val="00B01AA6"/>
    <w:rsid w:val="00B01AAE"/>
    <w:rsid w:val="00B01B60"/>
    <w:rsid w:val="00B01B7A"/>
    <w:rsid w:val="00B02062"/>
    <w:rsid w:val="00B02225"/>
    <w:rsid w:val="00B02262"/>
    <w:rsid w:val="00B02631"/>
    <w:rsid w:val="00B026E8"/>
    <w:rsid w:val="00B02919"/>
    <w:rsid w:val="00B02C86"/>
    <w:rsid w:val="00B02D7B"/>
    <w:rsid w:val="00B0312B"/>
    <w:rsid w:val="00B03167"/>
    <w:rsid w:val="00B031F3"/>
    <w:rsid w:val="00B03387"/>
    <w:rsid w:val="00B034B7"/>
    <w:rsid w:val="00B03F03"/>
    <w:rsid w:val="00B041D6"/>
    <w:rsid w:val="00B042D3"/>
    <w:rsid w:val="00B04876"/>
    <w:rsid w:val="00B048F0"/>
    <w:rsid w:val="00B04C47"/>
    <w:rsid w:val="00B04C52"/>
    <w:rsid w:val="00B04F39"/>
    <w:rsid w:val="00B05171"/>
    <w:rsid w:val="00B051DA"/>
    <w:rsid w:val="00B052A4"/>
    <w:rsid w:val="00B053C9"/>
    <w:rsid w:val="00B06799"/>
    <w:rsid w:val="00B073B2"/>
    <w:rsid w:val="00B07AB4"/>
    <w:rsid w:val="00B07FB5"/>
    <w:rsid w:val="00B100D4"/>
    <w:rsid w:val="00B103E5"/>
    <w:rsid w:val="00B108F7"/>
    <w:rsid w:val="00B10C91"/>
    <w:rsid w:val="00B10D7E"/>
    <w:rsid w:val="00B10E52"/>
    <w:rsid w:val="00B10EA1"/>
    <w:rsid w:val="00B11728"/>
    <w:rsid w:val="00B125DE"/>
    <w:rsid w:val="00B12C6F"/>
    <w:rsid w:val="00B13426"/>
    <w:rsid w:val="00B1350D"/>
    <w:rsid w:val="00B13695"/>
    <w:rsid w:val="00B136B3"/>
    <w:rsid w:val="00B138EF"/>
    <w:rsid w:val="00B13A1C"/>
    <w:rsid w:val="00B13EB7"/>
    <w:rsid w:val="00B13FDD"/>
    <w:rsid w:val="00B14903"/>
    <w:rsid w:val="00B14A59"/>
    <w:rsid w:val="00B14BFD"/>
    <w:rsid w:val="00B14D15"/>
    <w:rsid w:val="00B14DB9"/>
    <w:rsid w:val="00B14E2B"/>
    <w:rsid w:val="00B15496"/>
    <w:rsid w:val="00B15596"/>
    <w:rsid w:val="00B1578F"/>
    <w:rsid w:val="00B15AC3"/>
    <w:rsid w:val="00B15CB0"/>
    <w:rsid w:val="00B160DF"/>
    <w:rsid w:val="00B16411"/>
    <w:rsid w:val="00B16F68"/>
    <w:rsid w:val="00B171E2"/>
    <w:rsid w:val="00B172A2"/>
    <w:rsid w:val="00B172CE"/>
    <w:rsid w:val="00B17745"/>
    <w:rsid w:val="00B17B8B"/>
    <w:rsid w:val="00B17DC7"/>
    <w:rsid w:val="00B17E46"/>
    <w:rsid w:val="00B2030F"/>
    <w:rsid w:val="00B20AFA"/>
    <w:rsid w:val="00B20CDD"/>
    <w:rsid w:val="00B20DBD"/>
    <w:rsid w:val="00B20F51"/>
    <w:rsid w:val="00B211D1"/>
    <w:rsid w:val="00B21312"/>
    <w:rsid w:val="00B2132C"/>
    <w:rsid w:val="00B213F2"/>
    <w:rsid w:val="00B2171A"/>
    <w:rsid w:val="00B21CBE"/>
    <w:rsid w:val="00B22392"/>
    <w:rsid w:val="00B225AD"/>
    <w:rsid w:val="00B227BB"/>
    <w:rsid w:val="00B228E5"/>
    <w:rsid w:val="00B22921"/>
    <w:rsid w:val="00B22D6C"/>
    <w:rsid w:val="00B22EB2"/>
    <w:rsid w:val="00B2318D"/>
    <w:rsid w:val="00B23326"/>
    <w:rsid w:val="00B2342D"/>
    <w:rsid w:val="00B2366E"/>
    <w:rsid w:val="00B236A8"/>
    <w:rsid w:val="00B23C44"/>
    <w:rsid w:val="00B245F5"/>
    <w:rsid w:val="00B2469C"/>
    <w:rsid w:val="00B24775"/>
    <w:rsid w:val="00B247A2"/>
    <w:rsid w:val="00B24A60"/>
    <w:rsid w:val="00B24BBE"/>
    <w:rsid w:val="00B24CB5"/>
    <w:rsid w:val="00B252AE"/>
    <w:rsid w:val="00B252FB"/>
    <w:rsid w:val="00B25372"/>
    <w:rsid w:val="00B2551A"/>
    <w:rsid w:val="00B2598A"/>
    <w:rsid w:val="00B259A7"/>
    <w:rsid w:val="00B26561"/>
    <w:rsid w:val="00B269A2"/>
    <w:rsid w:val="00B26C75"/>
    <w:rsid w:val="00B26F66"/>
    <w:rsid w:val="00B272EA"/>
    <w:rsid w:val="00B27442"/>
    <w:rsid w:val="00B27564"/>
    <w:rsid w:val="00B27749"/>
    <w:rsid w:val="00B27758"/>
    <w:rsid w:val="00B277BF"/>
    <w:rsid w:val="00B277CB"/>
    <w:rsid w:val="00B27A4D"/>
    <w:rsid w:val="00B27D78"/>
    <w:rsid w:val="00B304E3"/>
    <w:rsid w:val="00B3091D"/>
    <w:rsid w:val="00B30C47"/>
    <w:rsid w:val="00B30DBE"/>
    <w:rsid w:val="00B310DE"/>
    <w:rsid w:val="00B31167"/>
    <w:rsid w:val="00B31195"/>
    <w:rsid w:val="00B3132A"/>
    <w:rsid w:val="00B31453"/>
    <w:rsid w:val="00B31AB7"/>
    <w:rsid w:val="00B31DB9"/>
    <w:rsid w:val="00B31EC3"/>
    <w:rsid w:val="00B32491"/>
    <w:rsid w:val="00B329D8"/>
    <w:rsid w:val="00B32BB9"/>
    <w:rsid w:val="00B32E98"/>
    <w:rsid w:val="00B3343F"/>
    <w:rsid w:val="00B33497"/>
    <w:rsid w:val="00B337BB"/>
    <w:rsid w:val="00B3388E"/>
    <w:rsid w:val="00B339D1"/>
    <w:rsid w:val="00B33AE1"/>
    <w:rsid w:val="00B33B81"/>
    <w:rsid w:val="00B33CBB"/>
    <w:rsid w:val="00B33E10"/>
    <w:rsid w:val="00B33F5C"/>
    <w:rsid w:val="00B3401B"/>
    <w:rsid w:val="00B340C4"/>
    <w:rsid w:val="00B3413E"/>
    <w:rsid w:val="00B34298"/>
    <w:rsid w:val="00B34424"/>
    <w:rsid w:val="00B34887"/>
    <w:rsid w:val="00B34BDB"/>
    <w:rsid w:val="00B35476"/>
    <w:rsid w:val="00B35517"/>
    <w:rsid w:val="00B35588"/>
    <w:rsid w:val="00B3571E"/>
    <w:rsid w:val="00B35C92"/>
    <w:rsid w:val="00B35EE1"/>
    <w:rsid w:val="00B35F17"/>
    <w:rsid w:val="00B3611C"/>
    <w:rsid w:val="00B3622F"/>
    <w:rsid w:val="00B362E3"/>
    <w:rsid w:val="00B36417"/>
    <w:rsid w:val="00B365F8"/>
    <w:rsid w:val="00B36722"/>
    <w:rsid w:val="00B3792E"/>
    <w:rsid w:val="00B379AE"/>
    <w:rsid w:val="00B37A05"/>
    <w:rsid w:val="00B37C38"/>
    <w:rsid w:val="00B37E82"/>
    <w:rsid w:val="00B400BC"/>
    <w:rsid w:val="00B40400"/>
    <w:rsid w:val="00B40807"/>
    <w:rsid w:val="00B40967"/>
    <w:rsid w:val="00B40C53"/>
    <w:rsid w:val="00B40D1E"/>
    <w:rsid w:val="00B40D3B"/>
    <w:rsid w:val="00B40EBB"/>
    <w:rsid w:val="00B41517"/>
    <w:rsid w:val="00B416A9"/>
    <w:rsid w:val="00B417A7"/>
    <w:rsid w:val="00B41819"/>
    <w:rsid w:val="00B41FC9"/>
    <w:rsid w:val="00B4219C"/>
    <w:rsid w:val="00B426B6"/>
    <w:rsid w:val="00B42751"/>
    <w:rsid w:val="00B427E2"/>
    <w:rsid w:val="00B4288C"/>
    <w:rsid w:val="00B42A32"/>
    <w:rsid w:val="00B42C41"/>
    <w:rsid w:val="00B42DE9"/>
    <w:rsid w:val="00B42EF1"/>
    <w:rsid w:val="00B430A1"/>
    <w:rsid w:val="00B43262"/>
    <w:rsid w:val="00B43510"/>
    <w:rsid w:val="00B43D42"/>
    <w:rsid w:val="00B43D9D"/>
    <w:rsid w:val="00B43FB0"/>
    <w:rsid w:val="00B44100"/>
    <w:rsid w:val="00B44378"/>
    <w:rsid w:val="00B446A2"/>
    <w:rsid w:val="00B4480C"/>
    <w:rsid w:val="00B4483C"/>
    <w:rsid w:val="00B4487F"/>
    <w:rsid w:val="00B4490D"/>
    <w:rsid w:val="00B457D3"/>
    <w:rsid w:val="00B45C75"/>
    <w:rsid w:val="00B45D94"/>
    <w:rsid w:val="00B45DAB"/>
    <w:rsid w:val="00B45DDC"/>
    <w:rsid w:val="00B45FDA"/>
    <w:rsid w:val="00B465C9"/>
    <w:rsid w:val="00B466BB"/>
    <w:rsid w:val="00B468E4"/>
    <w:rsid w:val="00B46CBA"/>
    <w:rsid w:val="00B46F94"/>
    <w:rsid w:val="00B47664"/>
    <w:rsid w:val="00B47C14"/>
    <w:rsid w:val="00B47E30"/>
    <w:rsid w:val="00B500A3"/>
    <w:rsid w:val="00B500E7"/>
    <w:rsid w:val="00B50415"/>
    <w:rsid w:val="00B50B67"/>
    <w:rsid w:val="00B50C3D"/>
    <w:rsid w:val="00B50E67"/>
    <w:rsid w:val="00B514B8"/>
    <w:rsid w:val="00B51774"/>
    <w:rsid w:val="00B519AC"/>
    <w:rsid w:val="00B520AA"/>
    <w:rsid w:val="00B521E5"/>
    <w:rsid w:val="00B522E5"/>
    <w:rsid w:val="00B52324"/>
    <w:rsid w:val="00B523A3"/>
    <w:rsid w:val="00B52691"/>
    <w:rsid w:val="00B52756"/>
    <w:rsid w:val="00B52B51"/>
    <w:rsid w:val="00B52BCF"/>
    <w:rsid w:val="00B52D8F"/>
    <w:rsid w:val="00B532A0"/>
    <w:rsid w:val="00B538B0"/>
    <w:rsid w:val="00B53F89"/>
    <w:rsid w:val="00B54015"/>
    <w:rsid w:val="00B5403D"/>
    <w:rsid w:val="00B541B7"/>
    <w:rsid w:val="00B5473E"/>
    <w:rsid w:val="00B54889"/>
    <w:rsid w:val="00B548F2"/>
    <w:rsid w:val="00B55256"/>
    <w:rsid w:val="00B55387"/>
    <w:rsid w:val="00B55977"/>
    <w:rsid w:val="00B55BED"/>
    <w:rsid w:val="00B55C13"/>
    <w:rsid w:val="00B56445"/>
    <w:rsid w:val="00B5645B"/>
    <w:rsid w:val="00B56580"/>
    <w:rsid w:val="00B565D4"/>
    <w:rsid w:val="00B56938"/>
    <w:rsid w:val="00B56FA4"/>
    <w:rsid w:val="00B571FB"/>
    <w:rsid w:val="00B57277"/>
    <w:rsid w:val="00B572AE"/>
    <w:rsid w:val="00B5738F"/>
    <w:rsid w:val="00B573F3"/>
    <w:rsid w:val="00B574FA"/>
    <w:rsid w:val="00B57D57"/>
    <w:rsid w:val="00B57DC3"/>
    <w:rsid w:val="00B6003C"/>
    <w:rsid w:val="00B600C3"/>
    <w:rsid w:val="00B609F1"/>
    <w:rsid w:val="00B60A66"/>
    <w:rsid w:val="00B60B11"/>
    <w:rsid w:val="00B60BFA"/>
    <w:rsid w:val="00B60C30"/>
    <w:rsid w:val="00B61158"/>
    <w:rsid w:val="00B616D9"/>
    <w:rsid w:val="00B617A0"/>
    <w:rsid w:val="00B61BC7"/>
    <w:rsid w:val="00B61E9E"/>
    <w:rsid w:val="00B61EEF"/>
    <w:rsid w:val="00B61F03"/>
    <w:rsid w:val="00B61FC1"/>
    <w:rsid w:val="00B6218E"/>
    <w:rsid w:val="00B62247"/>
    <w:rsid w:val="00B626E4"/>
    <w:rsid w:val="00B6279C"/>
    <w:rsid w:val="00B62C35"/>
    <w:rsid w:val="00B62C6B"/>
    <w:rsid w:val="00B62FA6"/>
    <w:rsid w:val="00B634AC"/>
    <w:rsid w:val="00B636E4"/>
    <w:rsid w:val="00B637A2"/>
    <w:rsid w:val="00B63BC6"/>
    <w:rsid w:val="00B63D09"/>
    <w:rsid w:val="00B63F44"/>
    <w:rsid w:val="00B64157"/>
    <w:rsid w:val="00B642AC"/>
    <w:rsid w:val="00B643C0"/>
    <w:rsid w:val="00B64428"/>
    <w:rsid w:val="00B64B87"/>
    <w:rsid w:val="00B64C88"/>
    <w:rsid w:val="00B64CCC"/>
    <w:rsid w:val="00B64D3E"/>
    <w:rsid w:val="00B64EBB"/>
    <w:rsid w:val="00B65068"/>
    <w:rsid w:val="00B65231"/>
    <w:rsid w:val="00B65737"/>
    <w:rsid w:val="00B6601F"/>
    <w:rsid w:val="00B6657D"/>
    <w:rsid w:val="00B667FE"/>
    <w:rsid w:val="00B66BF5"/>
    <w:rsid w:val="00B67426"/>
    <w:rsid w:val="00B6778B"/>
    <w:rsid w:val="00B67A08"/>
    <w:rsid w:val="00B67A39"/>
    <w:rsid w:val="00B67B75"/>
    <w:rsid w:val="00B67C99"/>
    <w:rsid w:val="00B709BF"/>
    <w:rsid w:val="00B70F87"/>
    <w:rsid w:val="00B7106E"/>
    <w:rsid w:val="00B712AC"/>
    <w:rsid w:val="00B7138A"/>
    <w:rsid w:val="00B713D4"/>
    <w:rsid w:val="00B71550"/>
    <w:rsid w:val="00B717B0"/>
    <w:rsid w:val="00B717E0"/>
    <w:rsid w:val="00B71932"/>
    <w:rsid w:val="00B71A37"/>
    <w:rsid w:val="00B71AFE"/>
    <w:rsid w:val="00B72000"/>
    <w:rsid w:val="00B72261"/>
    <w:rsid w:val="00B727E9"/>
    <w:rsid w:val="00B72C4A"/>
    <w:rsid w:val="00B72DB2"/>
    <w:rsid w:val="00B72F4A"/>
    <w:rsid w:val="00B73252"/>
    <w:rsid w:val="00B7330F"/>
    <w:rsid w:val="00B73366"/>
    <w:rsid w:val="00B735F5"/>
    <w:rsid w:val="00B7372D"/>
    <w:rsid w:val="00B7374B"/>
    <w:rsid w:val="00B73957"/>
    <w:rsid w:val="00B73A3F"/>
    <w:rsid w:val="00B73CFE"/>
    <w:rsid w:val="00B73D8C"/>
    <w:rsid w:val="00B7404B"/>
    <w:rsid w:val="00B747E1"/>
    <w:rsid w:val="00B74C92"/>
    <w:rsid w:val="00B74E7A"/>
    <w:rsid w:val="00B74EC3"/>
    <w:rsid w:val="00B74F45"/>
    <w:rsid w:val="00B75087"/>
    <w:rsid w:val="00B751E9"/>
    <w:rsid w:val="00B755AE"/>
    <w:rsid w:val="00B75618"/>
    <w:rsid w:val="00B75775"/>
    <w:rsid w:val="00B75A6C"/>
    <w:rsid w:val="00B75AC2"/>
    <w:rsid w:val="00B760AC"/>
    <w:rsid w:val="00B767BF"/>
    <w:rsid w:val="00B7681C"/>
    <w:rsid w:val="00B7699E"/>
    <w:rsid w:val="00B76F6D"/>
    <w:rsid w:val="00B7707C"/>
    <w:rsid w:val="00B771EC"/>
    <w:rsid w:val="00B77201"/>
    <w:rsid w:val="00B77341"/>
    <w:rsid w:val="00B773C4"/>
    <w:rsid w:val="00B77544"/>
    <w:rsid w:val="00B77611"/>
    <w:rsid w:val="00B777C0"/>
    <w:rsid w:val="00B77EFD"/>
    <w:rsid w:val="00B77FC2"/>
    <w:rsid w:val="00B801AB"/>
    <w:rsid w:val="00B80390"/>
    <w:rsid w:val="00B80555"/>
    <w:rsid w:val="00B80595"/>
    <w:rsid w:val="00B810A2"/>
    <w:rsid w:val="00B81138"/>
    <w:rsid w:val="00B81565"/>
    <w:rsid w:val="00B815D9"/>
    <w:rsid w:val="00B819BE"/>
    <w:rsid w:val="00B81A45"/>
    <w:rsid w:val="00B81A4B"/>
    <w:rsid w:val="00B81E1C"/>
    <w:rsid w:val="00B81E7C"/>
    <w:rsid w:val="00B82069"/>
    <w:rsid w:val="00B82340"/>
    <w:rsid w:val="00B82D2E"/>
    <w:rsid w:val="00B82F05"/>
    <w:rsid w:val="00B830D0"/>
    <w:rsid w:val="00B8339F"/>
    <w:rsid w:val="00B83559"/>
    <w:rsid w:val="00B83A2D"/>
    <w:rsid w:val="00B83C27"/>
    <w:rsid w:val="00B83CC4"/>
    <w:rsid w:val="00B83EE3"/>
    <w:rsid w:val="00B83F8F"/>
    <w:rsid w:val="00B842B0"/>
    <w:rsid w:val="00B843DB"/>
    <w:rsid w:val="00B8446F"/>
    <w:rsid w:val="00B84700"/>
    <w:rsid w:val="00B84904"/>
    <w:rsid w:val="00B84965"/>
    <w:rsid w:val="00B84A97"/>
    <w:rsid w:val="00B84BC3"/>
    <w:rsid w:val="00B84BDD"/>
    <w:rsid w:val="00B84DB2"/>
    <w:rsid w:val="00B851E3"/>
    <w:rsid w:val="00B85367"/>
    <w:rsid w:val="00B864BB"/>
    <w:rsid w:val="00B86678"/>
    <w:rsid w:val="00B86739"/>
    <w:rsid w:val="00B86855"/>
    <w:rsid w:val="00B868CB"/>
    <w:rsid w:val="00B86C35"/>
    <w:rsid w:val="00B870EF"/>
    <w:rsid w:val="00B872B3"/>
    <w:rsid w:val="00B87646"/>
    <w:rsid w:val="00B8783C"/>
    <w:rsid w:val="00B8785F"/>
    <w:rsid w:val="00B87E7C"/>
    <w:rsid w:val="00B90022"/>
    <w:rsid w:val="00B90133"/>
    <w:rsid w:val="00B9014C"/>
    <w:rsid w:val="00B90398"/>
    <w:rsid w:val="00B9054D"/>
    <w:rsid w:val="00B90D53"/>
    <w:rsid w:val="00B91085"/>
    <w:rsid w:val="00B91108"/>
    <w:rsid w:val="00B911D6"/>
    <w:rsid w:val="00B91314"/>
    <w:rsid w:val="00B913A1"/>
    <w:rsid w:val="00B91637"/>
    <w:rsid w:val="00B91765"/>
    <w:rsid w:val="00B91958"/>
    <w:rsid w:val="00B9195F"/>
    <w:rsid w:val="00B91BFC"/>
    <w:rsid w:val="00B91DFA"/>
    <w:rsid w:val="00B91E6C"/>
    <w:rsid w:val="00B92022"/>
    <w:rsid w:val="00B92141"/>
    <w:rsid w:val="00B9217D"/>
    <w:rsid w:val="00B926A1"/>
    <w:rsid w:val="00B92812"/>
    <w:rsid w:val="00B929B9"/>
    <w:rsid w:val="00B92D2A"/>
    <w:rsid w:val="00B93233"/>
    <w:rsid w:val="00B932A5"/>
    <w:rsid w:val="00B93616"/>
    <w:rsid w:val="00B937C5"/>
    <w:rsid w:val="00B93ED6"/>
    <w:rsid w:val="00B9470D"/>
    <w:rsid w:val="00B94C86"/>
    <w:rsid w:val="00B94EA5"/>
    <w:rsid w:val="00B9500F"/>
    <w:rsid w:val="00B95841"/>
    <w:rsid w:val="00B959D2"/>
    <w:rsid w:val="00B959EB"/>
    <w:rsid w:val="00B95A41"/>
    <w:rsid w:val="00B95AAA"/>
    <w:rsid w:val="00B962CD"/>
    <w:rsid w:val="00B96762"/>
    <w:rsid w:val="00B969FE"/>
    <w:rsid w:val="00B96C20"/>
    <w:rsid w:val="00B96DBC"/>
    <w:rsid w:val="00B96DFD"/>
    <w:rsid w:val="00B97161"/>
    <w:rsid w:val="00B971FB"/>
    <w:rsid w:val="00B972B4"/>
    <w:rsid w:val="00B97667"/>
    <w:rsid w:val="00B977A2"/>
    <w:rsid w:val="00BA00C6"/>
    <w:rsid w:val="00BA046F"/>
    <w:rsid w:val="00BA0673"/>
    <w:rsid w:val="00BA0749"/>
    <w:rsid w:val="00BA09A8"/>
    <w:rsid w:val="00BA1324"/>
    <w:rsid w:val="00BA1590"/>
    <w:rsid w:val="00BA181B"/>
    <w:rsid w:val="00BA183E"/>
    <w:rsid w:val="00BA1E66"/>
    <w:rsid w:val="00BA1E87"/>
    <w:rsid w:val="00BA2178"/>
    <w:rsid w:val="00BA2395"/>
    <w:rsid w:val="00BA2490"/>
    <w:rsid w:val="00BA25B3"/>
    <w:rsid w:val="00BA25DD"/>
    <w:rsid w:val="00BA2679"/>
    <w:rsid w:val="00BA26FE"/>
    <w:rsid w:val="00BA2D2E"/>
    <w:rsid w:val="00BA2D4A"/>
    <w:rsid w:val="00BA2F81"/>
    <w:rsid w:val="00BA34A4"/>
    <w:rsid w:val="00BA37AD"/>
    <w:rsid w:val="00BA3A28"/>
    <w:rsid w:val="00BA3D87"/>
    <w:rsid w:val="00BA4032"/>
    <w:rsid w:val="00BA446C"/>
    <w:rsid w:val="00BA48AA"/>
    <w:rsid w:val="00BA498C"/>
    <w:rsid w:val="00BA49E4"/>
    <w:rsid w:val="00BA5226"/>
    <w:rsid w:val="00BA5537"/>
    <w:rsid w:val="00BA5740"/>
    <w:rsid w:val="00BA5945"/>
    <w:rsid w:val="00BA5A20"/>
    <w:rsid w:val="00BA5DA7"/>
    <w:rsid w:val="00BA5EB0"/>
    <w:rsid w:val="00BA6010"/>
    <w:rsid w:val="00BA6711"/>
    <w:rsid w:val="00BA6B87"/>
    <w:rsid w:val="00BA72BD"/>
    <w:rsid w:val="00BA7A2D"/>
    <w:rsid w:val="00BA7AE9"/>
    <w:rsid w:val="00BB02F7"/>
    <w:rsid w:val="00BB048E"/>
    <w:rsid w:val="00BB06BC"/>
    <w:rsid w:val="00BB08FD"/>
    <w:rsid w:val="00BB0B09"/>
    <w:rsid w:val="00BB111D"/>
    <w:rsid w:val="00BB1239"/>
    <w:rsid w:val="00BB1258"/>
    <w:rsid w:val="00BB1416"/>
    <w:rsid w:val="00BB14AB"/>
    <w:rsid w:val="00BB14F7"/>
    <w:rsid w:val="00BB1511"/>
    <w:rsid w:val="00BB1907"/>
    <w:rsid w:val="00BB1CDE"/>
    <w:rsid w:val="00BB23E5"/>
    <w:rsid w:val="00BB2944"/>
    <w:rsid w:val="00BB2A90"/>
    <w:rsid w:val="00BB303E"/>
    <w:rsid w:val="00BB362D"/>
    <w:rsid w:val="00BB38F9"/>
    <w:rsid w:val="00BB396A"/>
    <w:rsid w:val="00BB3B22"/>
    <w:rsid w:val="00BB44EF"/>
    <w:rsid w:val="00BB4594"/>
    <w:rsid w:val="00BB45A1"/>
    <w:rsid w:val="00BB46A4"/>
    <w:rsid w:val="00BB4B2C"/>
    <w:rsid w:val="00BB4EA4"/>
    <w:rsid w:val="00BB4FBE"/>
    <w:rsid w:val="00BB4FD9"/>
    <w:rsid w:val="00BB5233"/>
    <w:rsid w:val="00BB5301"/>
    <w:rsid w:val="00BB5498"/>
    <w:rsid w:val="00BB5904"/>
    <w:rsid w:val="00BB5DB1"/>
    <w:rsid w:val="00BB6070"/>
    <w:rsid w:val="00BB6309"/>
    <w:rsid w:val="00BB63CE"/>
    <w:rsid w:val="00BB6428"/>
    <w:rsid w:val="00BB6634"/>
    <w:rsid w:val="00BB66B6"/>
    <w:rsid w:val="00BB6D81"/>
    <w:rsid w:val="00BB6DB5"/>
    <w:rsid w:val="00BB7187"/>
    <w:rsid w:val="00BB7328"/>
    <w:rsid w:val="00BB7686"/>
    <w:rsid w:val="00BB788D"/>
    <w:rsid w:val="00BB7908"/>
    <w:rsid w:val="00BB7915"/>
    <w:rsid w:val="00BB7C04"/>
    <w:rsid w:val="00BC015C"/>
    <w:rsid w:val="00BC096C"/>
    <w:rsid w:val="00BC0B6C"/>
    <w:rsid w:val="00BC0C4A"/>
    <w:rsid w:val="00BC0D00"/>
    <w:rsid w:val="00BC0D50"/>
    <w:rsid w:val="00BC0E4C"/>
    <w:rsid w:val="00BC0FAE"/>
    <w:rsid w:val="00BC119F"/>
    <w:rsid w:val="00BC1967"/>
    <w:rsid w:val="00BC1B76"/>
    <w:rsid w:val="00BC1FF2"/>
    <w:rsid w:val="00BC23F9"/>
    <w:rsid w:val="00BC29AF"/>
    <w:rsid w:val="00BC324A"/>
    <w:rsid w:val="00BC3396"/>
    <w:rsid w:val="00BC33FD"/>
    <w:rsid w:val="00BC3421"/>
    <w:rsid w:val="00BC38F8"/>
    <w:rsid w:val="00BC4222"/>
    <w:rsid w:val="00BC429C"/>
    <w:rsid w:val="00BC4376"/>
    <w:rsid w:val="00BC496E"/>
    <w:rsid w:val="00BC5180"/>
    <w:rsid w:val="00BC545E"/>
    <w:rsid w:val="00BC55D6"/>
    <w:rsid w:val="00BC5942"/>
    <w:rsid w:val="00BC5CC2"/>
    <w:rsid w:val="00BC629D"/>
    <w:rsid w:val="00BC673B"/>
    <w:rsid w:val="00BC6798"/>
    <w:rsid w:val="00BC67AF"/>
    <w:rsid w:val="00BC6B8C"/>
    <w:rsid w:val="00BC6DDD"/>
    <w:rsid w:val="00BC6E0F"/>
    <w:rsid w:val="00BC732C"/>
    <w:rsid w:val="00BC738B"/>
    <w:rsid w:val="00BC7702"/>
    <w:rsid w:val="00BC7708"/>
    <w:rsid w:val="00BC79B9"/>
    <w:rsid w:val="00BC7F0B"/>
    <w:rsid w:val="00BD058E"/>
    <w:rsid w:val="00BD0C06"/>
    <w:rsid w:val="00BD12F0"/>
    <w:rsid w:val="00BD1600"/>
    <w:rsid w:val="00BD186B"/>
    <w:rsid w:val="00BD189F"/>
    <w:rsid w:val="00BD18A5"/>
    <w:rsid w:val="00BD1F65"/>
    <w:rsid w:val="00BD2194"/>
    <w:rsid w:val="00BD21CB"/>
    <w:rsid w:val="00BD2593"/>
    <w:rsid w:val="00BD28D6"/>
    <w:rsid w:val="00BD2B64"/>
    <w:rsid w:val="00BD2EEB"/>
    <w:rsid w:val="00BD2FD1"/>
    <w:rsid w:val="00BD34F1"/>
    <w:rsid w:val="00BD36DA"/>
    <w:rsid w:val="00BD3820"/>
    <w:rsid w:val="00BD3CF9"/>
    <w:rsid w:val="00BD3F2B"/>
    <w:rsid w:val="00BD4301"/>
    <w:rsid w:val="00BD4D2A"/>
    <w:rsid w:val="00BD4D90"/>
    <w:rsid w:val="00BD4E1C"/>
    <w:rsid w:val="00BD528D"/>
    <w:rsid w:val="00BD54CD"/>
    <w:rsid w:val="00BD5862"/>
    <w:rsid w:val="00BD5B28"/>
    <w:rsid w:val="00BD5B2C"/>
    <w:rsid w:val="00BD60E3"/>
    <w:rsid w:val="00BD6168"/>
    <w:rsid w:val="00BD6AED"/>
    <w:rsid w:val="00BD6BEB"/>
    <w:rsid w:val="00BD6CAB"/>
    <w:rsid w:val="00BD726D"/>
    <w:rsid w:val="00BD734F"/>
    <w:rsid w:val="00BD73C0"/>
    <w:rsid w:val="00BD7424"/>
    <w:rsid w:val="00BD7F04"/>
    <w:rsid w:val="00BE0423"/>
    <w:rsid w:val="00BE0482"/>
    <w:rsid w:val="00BE07A9"/>
    <w:rsid w:val="00BE0B4F"/>
    <w:rsid w:val="00BE0BC1"/>
    <w:rsid w:val="00BE13F4"/>
    <w:rsid w:val="00BE17DB"/>
    <w:rsid w:val="00BE194D"/>
    <w:rsid w:val="00BE1B55"/>
    <w:rsid w:val="00BE1C25"/>
    <w:rsid w:val="00BE1E1D"/>
    <w:rsid w:val="00BE2203"/>
    <w:rsid w:val="00BE2580"/>
    <w:rsid w:val="00BE266D"/>
    <w:rsid w:val="00BE291C"/>
    <w:rsid w:val="00BE2C02"/>
    <w:rsid w:val="00BE2CC9"/>
    <w:rsid w:val="00BE2DC0"/>
    <w:rsid w:val="00BE38BD"/>
    <w:rsid w:val="00BE3938"/>
    <w:rsid w:val="00BE3A32"/>
    <w:rsid w:val="00BE3A94"/>
    <w:rsid w:val="00BE43B6"/>
    <w:rsid w:val="00BE4890"/>
    <w:rsid w:val="00BE4C11"/>
    <w:rsid w:val="00BE4D67"/>
    <w:rsid w:val="00BE4FB5"/>
    <w:rsid w:val="00BE514A"/>
    <w:rsid w:val="00BE5676"/>
    <w:rsid w:val="00BE5811"/>
    <w:rsid w:val="00BE59BE"/>
    <w:rsid w:val="00BE6916"/>
    <w:rsid w:val="00BE6AAD"/>
    <w:rsid w:val="00BE71C0"/>
    <w:rsid w:val="00BE7323"/>
    <w:rsid w:val="00BE74D5"/>
    <w:rsid w:val="00BE75A7"/>
    <w:rsid w:val="00BE79EE"/>
    <w:rsid w:val="00BE7AFE"/>
    <w:rsid w:val="00BF0252"/>
    <w:rsid w:val="00BF0ED1"/>
    <w:rsid w:val="00BF1606"/>
    <w:rsid w:val="00BF1D21"/>
    <w:rsid w:val="00BF2007"/>
    <w:rsid w:val="00BF204E"/>
    <w:rsid w:val="00BF25CB"/>
    <w:rsid w:val="00BF26C5"/>
    <w:rsid w:val="00BF30C2"/>
    <w:rsid w:val="00BF3437"/>
    <w:rsid w:val="00BF346D"/>
    <w:rsid w:val="00BF3786"/>
    <w:rsid w:val="00BF3D4A"/>
    <w:rsid w:val="00BF3EC0"/>
    <w:rsid w:val="00BF42A0"/>
    <w:rsid w:val="00BF456C"/>
    <w:rsid w:val="00BF4BFF"/>
    <w:rsid w:val="00BF4E58"/>
    <w:rsid w:val="00BF527D"/>
    <w:rsid w:val="00BF546C"/>
    <w:rsid w:val="00BF5593"/>
    <w:rsid w:val="00BF5FD2"/>
    <w:rsid w:val="00BF610C"/>
    <w:rsid w:val="00BF6675"/>
    <w:rsid w:val="00BF674C"/>
    <w:rsid w:val="00BF6B26"/>
    <w:rsid w:val="00BF6CEA"/>
    <w:rsid w:val="00BF728D"/>
    <w:rsid w:val="00BF7348"/>
    <w:rsid w:val="00BF76BC"/>
    <w:rsid w:val="00BF77F7"/>
    <w:rsid w:val="00BF78ED"/>
    <w:rsid w:val="00BF7A33"/>
    <w:rsid w:val="00BF7D9F"/>
    <w:rsid w:val="00C00396"/>
    <w:rsid w:val="00C0060B"/>
    <w:rsid w:val="00C0067C"/>
    <w:rsid w:val="00C0070D"/>
    <w:rsid w:val="00C013BE"/>
    <w:rsid w:val="00C01A27"/>
    <w:rsid w:val="00C01A6A"/>
    <w:rsid w:val="00C01CCB"/>
    <w:rsid w:val="00C01D18"/>
    <w:rsid w:val="00C0236C"/>
    <w:rsid w:val="00C02759"/>
    <w:rsid w:val="00C0277D"/>
    <w:rsid w:val="00C02BF4"/>
    <w:rsid w:val="00C02C2A"/>
    <w:rsid w:val="00C02CD4"/>
    <w:rsid w:val="00C02DED"/>
    <w:rsid w:val="00C02F47"/>
    <w:rsid w:val="00C03302"/>
    <w:rsid w:val="00C0336E"/>
    <w:rsid w:val="00C03871"/>
    <w:rsid w:val="00C03A0C"/>
    <w:rsid w:val="00C03BF4"/>
    <w:rsid w:val="00C03C27"/>
    <w:rsid w:val="00C0442E"/>
    <w:rsid w:val="00C0454F"/>
    <w:rsid w:val="00C046FB"/>
    <w:rsid w:val="00C0487A"/>
    <w:rsid w:val="00C0488E"/>
    <w:rsid w:val="00C04A62"/>
    <w:rsid w:val="00C04AFD"/>
    <w:rsid w:val="00C04CE8"/>
    <w:rsid w:val="00C04FC0"/>
    <w:rsid w:val="00C05267"/>
    <w:rsid w:val="00C0526F"/>
    <w:rsid w:val="00C0539D"/>
    <w:rsid w:val="00C053A1"/>
    <w:rsid w:val="00C05934"/>
    <w:rsid w:val="00C05D37"/>
    <w:rsid w:val="00C05DF9"/>
    <w:rsid w:val="00C05FB9"/>
    <w:rsid w:val="00C0647F"/>
    <w:rsid w:val="00C06614"/>
    <w:rsid w:val="00C0685A"/>
    <w:rsid w:val="00C06C24"/>
    <w:rsid w:val="00C06D75"/>
    <w:rsid w:val="00C06F98"/>
    <w:rsid w:val="00C070D8"/>
    <w:rsid w:val="00C073D9"/>
    <w:rsid w:val="00C07B39"/>
    <w:rsid w:val="00C10118"/>
    <w:rsid w:val="00C10368"/>
    <w:rsid w:val="00C107F5"/>
    <w:rsid w:val="00C1097D"/>
    <w:rsid w:val="00C10A83"/>
    <w:rsid w:val="00C10B00"/>
    <w:rsid w:val="00C10DEF"/>
    <w:rsid w:val="00C10EF3"/>
    <w:rsid w:val="00C10FF3"/>
    <w:rsid w:val="00C1152D"/>
    <w:rsid w:val="00C11B58"/>
    <w:rsid w:val="00C11E22"/>
    <w:rsid w:val="00C11FCB"/>
    <w:rsid w:val="00C12084"/>
    <w:rsid w:val="00C12183"/>
    <w:rsid w:val="00C12207"/>
    <w:rsid w:val="00C12545"/>
    <w:rsid w:val="00C1270E"/>
    <w:rsid w:val="00C12720"/>
    <w:rsid w:val="00C12737"/>
    <w:rsid w:val="00C12F50"/>
    <w:rsid w:val="00C12F75"/>
    <w:rsid w:val="00C1325F"/>
    <w:rsid w:val="00C132A1"/>
    <w:rsid w:val="00C13349"/>
    <w:rsid w:val="00C137B9"/>
    <w:rsid w:val="00C13DD6"/>
    <w:rsid w:val="00C1475E"/>
    <w:rsid w:val="00C14ABE"/>
    <w:rsid w:val="00C14AD3"/>
    <w:rsid w:val="00C14DAE"/>
    <w:rsid w:val="00C14F95"/>
    <w:rsid w:val="00C1500C"/>
    <w:rsid w:val="00C1531A"/>
    <w:rsid w:val="00C1569B"/>
    <w:rsid w:val="00C156C6"/>
    <w:rsid w:val="00C1576A"/>
    <w:rsid w:val="00C15BA7"/>
    <w:rsid w:val="00C15BB6"/>
    <w:rsid w:val="00C15CC6"/>
    <w:rsid w:val="00C15D07"/>
    <w:rsid w:val="00C15D46"/>
    <w:rsid w:val="00C15FC3"/>
    <w:rsid w:val="00C16198"/>
    <w:rsid w:val="00C16893"/>
    <w:rsid w:val="00C16949"/>
    <w:rsid w:val="00C16D34"/>
    <w:rsid w:val="00C16F12"/>
    <w:rsid w:val="00C171A0"/>
    <w:rsid w:val="00C17368"/>
    <w:rsid w:val="00C174A4"/>
    <w:rsid w:val="00C17DA2"/>
    <w:rsid w:val="00C17E8C"/>
    <w:rsid w:val="00C200E3"/>
    <w:rsid w:val="00C20270"/>
    <w:rsid w:val="00C203C1"/>
    <w:rsid w:val="00C206D9"/>
    <w:rsid w:val="00C2083D"/>
    <w:rsid w:val="00C208C3"/>
    <w:rsid w:val="00C20C9A"/>
    <w:rsid w:val="00C21030"/>
    <w:rsid w:val="00C213F2"/>
    <w:rsid w:val="00C21909"/>
    <w:rsid w:val="00C21912"/>
    <w:rsid w:val="00C21AD3"/>
    <w:rsid w:val="00C21B53"/>
    <w:rsid w:val="00C21C92"/>
    <w:rsid w:val="00C21F4C"/>
    <w:rsid w:val="00C2204C"/>
    <w:rsid w:val="00C22313"/>
    <w:rsid w:val="00C228CB"/>
    <w:rsid w:val="00C22ED2"/>
    <w:rsid w:val="00C232CA"/>
    <w:rsid w:val="00C23651"/>
    <w:rsid w:val="00C23659"/>
    <w:rsid w:val="00C2367E"/>
    <w:rsid w:val="00C23C75"/>
    <w:rsid w:val="00C23E35"/>
    <w:rsid w:val="00C23F9E"/>
    <w:rsid w:val="00C242FE"/>
    <w:rsid w:val="00C24A53"/>
    <w:rsid w:val="00C25658"/>
    <w:rsid w:val="00C25A23"/>
    <w:rsid w:val="00C260DF"/>
    <w:rsid w:val="00C260F5"/>
    <w:rsid w:val="00C26173"/>
    <w:rsid w:val="00C2668B"/>
    <w:rsid w:val="00C26F3C"/>
    <w:rsid w:val="00C27140"/>
    <w:rsid w:val="00C2734E"/>
    <w:rsid w:val="00C27695"/>
    <w:rsid w:val="00C27E21"/>
    <w:rsid w:val="00C30372"/>
    <w:rsid w:val="00C3071A"/>
    <w:rsid w:val="00C30939"/>
    <w:rsid w:val="00C30B26"/>
    <w:rsid w:val="00C30FEE"/>
    <w:rsid w:val="00C3158F"/>
    <w:rsid w:val="00C31685"/>
    <w:rsid w:val="00C3186E"/>
    <w:rsid w:val="00C319E5"/>
    <w:rsid w:val="00C32064"/>
    <w:rsid w:val="00C32455"/>
    <w:rsid w:val="00C327A6"/>
    <w:rsid w:val="00C32A63"/>
    <w:rsid w:val="00C32B3F"/>
    <w:rsid w:val="00C32FE4"/>
    <w:rsid w:val="00C33021"/>
    <w:rsid w:val="00C33176"/>
    <w:rsid w:val="00C33447"/>
    <w:rsid w:val="00C33A37"/>
    <w:rsid w:val="00C33B66"/>
    <w:rsid w:val="00C33CDD"/>
    <w:rsid w:val="00C34362"/>
    <w:rsid w:val="00C345B7"/>
    <w:rsid w:val="00C347F6"/>
    <w:rsid w:val="00C34A05"/>
    <w:rsid w:val="00C34F65"/>
    <w:rsid w:val="00C355ED"/>
    <w:rsid w:val="00C35611"/>
    <w:rsid w:val="00C3564A"/>
    <w:rsid w:val="00C35901"/>
    <w:rsid w:val="00C35920"/>
    <w:rsid w:val="00C3593B"/>
    <w:rsid w:val="00C35A25"/>
    <w:rsid w:val="00C35ABF"/>
    <w:rsid w:val="00C35D99"/>
    <w:rsid w:val="00C35ED7"/>
    <w:rsid w:val="00C3604C"/>
    <w:rsid w:val="00C364F1"/>
    <w:rsid w:val="00C36639"/>
    <w:rsid w:val="00C3665E"/>
    <w:rsid w:val="00C367FC"/>
    <w:rsid w:val="00C36C96"/>
    <w:rsid w:val="00C36CF6"/>
    <w:rsid w:val="00C371D2"/>
    <w:rsid w:val="00C374D1"/>
    <w:rsid w:val="00C37768"/>
    <w:rsid w:val="00C37AE0"/>
    <w:rsid w:val="00C37F80"/>
    <w:rsid w:val="00C37FDF"/>
    <w:rsid w:val="00C400F4"/>
    <w:rsid w:val="00C401A8"/>
    <w:rsid w:val="00C4032F"/>
    <w:rsid w:val="00C404E9"/>
    <w:rsid w:val="00C40619"/>
    <w:rsid w:val="00C40717"/>
    <w:rsid w:val="00C407B7"/>
    <w:rsid w:val="00C4094F"/>
    <w:rsid w:val="00C40966"/>
    <w:rsid w:val="00C409CA"/>
    <w:rsid w:val="00C40E65"/>
    <w:rsid w:val="00C4176F"/>
    <w:rsid w:val="00C41F76"/>
    <w:rsid w:val="00C42025"/>
    <w:rsid w:val="00C42276"/>
    <w:rsid w:val="00C42991"/>
    <w:rsid w:val="00C429D4"/>
    <w:rsid w:val="00C42A48"/>
    <w:rsid w:val="00C42BCF"/>
    <w:rsid w:val="00C42C15"/>
    <w:rsid w:val="00C42C28"/>
    <w:rsid w:val="00C42D6A"/>
    <w:rsid w:val="00C42DD8"/>
    <w:rsid w:val="00C43153"/>
    <w:rsid w:val="00C432D7"/>
    <w:rsid w:val="00C433AB"/>
    <w:rsid w:val="00C434D5"/>
    <w:rsid w:val="00C43A99"/>
    <w:rsid w:val="00C43CE0"/>
    <w:rsid w:val="00C43D45"/>
    <w:rsid w:val="00C43DE9"/>
    <w:rsid w:val="00C43E52"/>
    <w:rsid w:val="00C4400B"/>
    <w:rsid w:val="00C44047"/>
    <w:rsid w:val="00C443C7"/>
    <w:rsid w:val="00C4441C"/>
    <w:rsid w:val="00C44770"/>
    <w:rsid w:val="00C44903"/>
    <w:rsid w:val="00C44A78"/>
    <w:rsid w:val="00C44E73"/>
    <w:rsid w:val="00C45155"/>
    <w:rsid w:val="00C45395"/>
    <w:rsid w:val="00C458EA"/>
    <w:rsid w:val="00C45AA4"/>
    <w:rsid w:val="00C4637D"/>
    <w:rsid w:val="00C4678B"/>
    <w:rsid w:val="00C4694C"/>
    <w:rsid w:val="00C469C7"/>
    <w:rsid w:val="00C46BF3"/>
    <w:rsid w:val="00C4797E"/>
    <w:rsid w:val="00C47FC4"/>
    <w:rsid w:val="00C50103"/>
    <w:rsid w:val="00C502AA"/>
    <w:rsid w:val="00C50635"/>
    <w:rsid w:val="00C50A4C"/>
    <w:rsid w:val="00C50B4E"/>
    <w:rsid w:val="00C50CD1"/>
    <w:rsid w:val="00C5109E"/>
    <w:rsid w:val="00C51923"/>
    <w:rsid w:val="00C5192A"/>
    <w:rsid w:val="00C52030"/>
    <w:rsid w:val="00C52474"/>
    <w:rsid w:val="00C52619"/>
    <w:rsid w:val="00C5294F"/>
    <w:rsid w:val="00C52964"/>
    <w:rsid w:val="00C52A58"/>
    <w:rsid w:val="00C52A8F"/>
    <w:rsid w:val="00C52C07"/>
    <w:rsid w:val="00C52C11"/>
    <w:rsid w:val="00C53047"/>
    <w:rsid w:val="00C53383"/>
    <w:rsid w:val="00C533F4"/>
    <w:rsid w:val="00C5369F"/>
    <w:rsid w:val="00C53C74"/>
    <w:rsid w:val="00C543D2"/>
    <w:rsid w:val="00C5498F"/>
    <w:rsid w:val="00C54BEA"/>
    <w:rsid w:val="00C54DE0"/>
    <w:rsid w:val="00C550F4"/>
    <w:rsid w:val="00C55235"/>
    <w:rsid w:val="00C55263"/>
    <w:rsid w:val="00C55361"/>
    <w:rsid w:val="00C55387"/>
    <w:rsid w:val="00C555C5"/>
    <w:rsid w:val="00C55690"/>
    <w:rsid w:val="00C55D1D"/>
    <w:rsid w:val="00C55D45"/>
    <w:rsid w:val="00C55DF6"/>
    <w:rsid w:val="00C55E57"/>
    <w:rsid w:val="00C56000"/>
    <w:rsid w:val="00C564E1"/>
    <w:rsid w:val="00C565B9"/>
    <w:rsid w:val="00C565BB"/>
    <w:rsid w:val="00C567B9"/>
    <w:rsid w:val="00C568CD"/>
    <w:rsid w:val="00C569F1"/>
    <w:rsid w:val="00C56B65"/>
    <w:rsid w:val="00C56B71"/>
    <w:rsid w:val="00C56E61"/>
    <w:rsid w:val="00C56F4D"/>
    <w:rsid w:val="00C57226"/>
    <w:rsid w:val="00C57519"/>
    <w:rsid w:val="00C5782B"/>
    <w:rsid w:val="00C57888"/>
    <w:rsid w:val="00C5788B"/>
    <w:rsid w:val="00C57BF6"/>
    <w:rsid w:val="00C57EFE"/>
    <w:rsid w:val="00C57F57"/>
    <w:rsid w:val="00C603C6"/>
    <w:rsid w:val="00C603FF"/>
    <w:rsid w:val="00C607F4"/>
    <w:rsid w:val="00C60ADF"/>
    <w:rsid w:val="00C60F01"/>
    <w:rsid w:val="00C61075"/>
    <w:rsid w:val="00C61187"/>
    <w:rsid w:val="00C613A3"/>
    <w:rsid w:val="00C61717"/>
    <w:rsid w:val="00C61727"/>
    <w:rsid w:val="00C61B31"/>
    <w:rsid w:val="00C61F6B"/>
    <w:rsid w:val="00C61FD4"/>
    <w:rsid w:val="00C62009"/>
    <w:rsid w:val="00C620A6"/>
    <w:rsid w:val="00C62E0B"/>
    <w:rsid w:val="00C63BD8"/>
    <w:rsid w:val="00C63BEC"/>
    <w:rsid w:val="00C64561"/>
    <w:rsid w:val="00C6464C"/>
    <w:rsid w:val="00C648D6"/>
    <w:rsid w:val="00C64CD0"/>
    <w:rsid w:val="00C64E1C"/>
    <w:rsid w:val="00C6573A"/>
    <w:rsid w:val="00C6595A"/>
    <w:rsid w:val="00C65B01"/>
    <w:rsid w:val="00C65E88"/>
    <w:rsid w:val="00C66453"/>
    <w:rsid w:val="00C664E9"/>
    <w:rsid w:val="00C6684F"/>
    <w:rsid w:val="00C66850"/>
    <w:rsid w:val="00C66ADD"/>
    <w:rsid w:val="00C66FA9"/>
    <w:rsid w:val="00C671A6"/>
    <w:rsid w:val="00C67429"/>
    <w:rsid w:val="00C675FF"/>
    <w:rsid w:val="00C67AF6"/>
    <w:rsid w:val="00C67BC0"/>
    <w:rsid w:val="00C67DDB"/>
    <w:rsid w:val="00C67E91"/>
    <w:rsid w:val="00C70630"/>
    <w:rsid w:val="00C70674"/>
    <w:rsid w:val="00C7077C"/>
    <w:rsid w:val="00C7089C"/>
    <w:rsid w:val="00C70997"/>
    <w:rsid w:val="00C70E70"/>
    <w:rsid w:val="00C70FBF"/>
    <w:rsid w:val="00C7153A"/>
    <w:rsid w:val="00C72148"/>
    <w:rsid w:val="00C72265"/>
    <w:rsid w:val="00C7245A"/>
    <w:rsid w:val="00C72A4C"/>
    <w:rsid w:val="00C72BF9"/>
    <w:rsid w:val="00C73416"/>
    <w:rsid w:val="00C737A9"/>
    <w:rsid w:val="00C73D17"/>
    <w:rsid w:val="00C73FDD"/>
    <w:rsid w:val="00C74ACC"/>
    <w:rsid w:val="00C74ADE"/>
    <w:rsid w:val="00C74B41"/>
    <w:rsid w:val="00C74CA1"/>
    <w:rsid w:val="00C74D77"/>
    <w:rsid w:val="00C75BFD"/>
    <w:rsid w:val="00C75EC8"/>
    <w:rsid w:val="00C75F8D"/>
    <w:rsid w:val="00C76383"/>
    <w:rsid w:val="00C765F9"/>
    <w:rsid w:val="00C7660A"/>
    <w:rsid w:val="00C76C17"/>
    <w:rsid w:val="00C76C36"/>
    <w:rsid w:val="00C76DB6"/>
    <w:rsid w:val="00C76E06"/>
    <w:rsid w:val="00C7711E"/>
    <w:rsid w:val="00C77380"/>
    <w:rsid w:val="00C775FE"/>
    <w:rsid w:val="00C77641"/>
    <w:rsid w:val="00C7787A"/>
    <w:rsid w:val="00C77B91"/>
    <w:rsid w:val="00C77D22"/>
    <w:rsid w:val="00C80011"/>
    <w:rsid w:val="00C8006F"/>
    <w:rsid w:val="00C800C5"/>
    <w:rsid w:val="00C8016E"/>
    <w:rsid w:val="00C8052B"/>
    <w:rsid w:val="00C8072E"/>
    <w:rsid w:val="00C808DB"/>
    <w:rsid w:val="00C80B90"/>
    <w:rsid w:val="00C80BAC"/>
    <w:rsid w:val="00C80F98"/>
    <w:rsid w:val="00C81327"/>
    <w:rsid w:val="00C8181C"/>
    <w:rsid w:val="00C818C5"/>
    <w:rsid w:val="00C81934"/>
    <w:rsid w:val="00C81AB6"/>
    <w:rsid w:val="00C81B09"/>
    <w:rsid w:val="00C81DDB"/>
    <w:rsid w:val="00C8209A"/>
    <w:rsid w:val="00C82255"/>
    <w:rsid w:val="00C82472"/>
    <w:rsid w:val="00C82984"/>
    <w:rsid w:val="00C82C7D"/>
    <w:rsid w:val="00C82D02"/>
    <w:rsid w:val="00C83799"/>
    <w:rsid w:val="00C837A5"/>
    <w:rsid w:val="00C83864"/>
    <w:rsid w:val="00C83887"/>
    <w:rsid w:val="00C83A57"/>
    <w:rsid w:val="00C83B47"/>
    <w:rsid w:val="00C83C71"/>
    <w:rsid w:val="00C84162"/>
    <w:rsid w:val="00C84314"/>
    <w:rsid w:val="00C84323"/>
    <w:rsid w:val="00C84495"/>
    <w:rsid w:val="00C85003"/>
    <w:rsid w:val="00C8570C"/>
    <w:rsid w:val="00C85767"/>
    <w:rsid w:val="00C859C3"/>
    <w:rsid w:val="00C86356"/>
    <w:rsid w:val="00C86924"/>
    <w:rsid w:val="00C86A25"/>
    <w:rsid w:val="00C86A3B"/>
    <w:rsid w:val="00C86BA1"/>
    <w:rsid w:val="00C86BE9"/>
    <w:rsid w:val="00C8721B"/>
    <w:rsid w:val="00C87342"/>
    <w:rsid w:val="00C87936"/>
    <w:rsid w:val="00C879B4"/>
    <w:rsid w:val="00C87EF3"/>
    <w:rsid w:val="00C901EF"/>
    <w:rsid w:val="00C90475"/>
    <w:rsid w:val="00C90A45"/>
    <w:rsid w:val="00C90D8B"/>
    <w:rsid w:val="00C90E70"/>
    <w:rsid w:val="00C910E5"/>
    <w:rsid w:val="00C91243"/>
    <w:rsid w:val="00C91793"/>
    <w:rsid w:val="00C917A7"/>
    <w:rsid w:val="00C918FF"/>
    <w:rsid w:val="00C919C5"/>
    <w:rsid w:val="00C91C17"/>
    <w:rsid w:val="00C92115"/>
    <w:rsid w:val="00C92124"/>
    <w:rsid w:val="00C9230E"/>
    <w:rsid w:val="00C92594"/>
    <w:rsid w:val="00C9302C"/>
    <w:rsid w:val="00C93139"/>
    <w:rsid w:val="00C932C4"/>
    <w:rsid w:val="00C9390F"/>
    <w:rsid w:val="00C939D5"/>
    <w:rsid w:val="00C93AF7"/>
    <w:rsid w:val="00C93BF6"/>
    <w:rsid w:val="00C93C1C"/>
    <w:rsid w:val="00C93D35"/>
    <w:rsid w:val="00C93E03"/>
    <w:rsid w:val="00C94409"/>
    <w:rsid w:val="00C94652"/>
    <w:rsid w:val="00C948F5"/>
    <w:rsid w:val="00C94AA8"/>
    <w:rsid w:val="00C94AE9"/>
    <w:rsid w:val="00C94B42"/>
    <w:rsid w:val="00C9538A"/>
    <w:rsid w:val="00C95B03"/>
    <w:rsid w:val="00C96325"/>
    <w:rsid w:val="00C96647"/>
    <w:rsid w:val="00C9672C"/>
    <w:rsid w:val="00C96A25"/>
    <w:rsid w:val="00C96C3D"/>
    <w:rsid w:val="00C96CB4"/>
    <w:rsid w:val="00C96D02"/>
    <w:rsid w:val="00C97182"/>
    <w:rsid w:val="00C97736"/>
    <w:rsid w:val="00C9783C"/>
    <w:rsid w:val="00C979DB"/>
    <w:rsid w:val="00C97ADF"/>
    <w:rsid w:val="00C97D22"/>
    <w:rsid w:val="00CA01D5"/>
    <w:rsid w:val="00CA0245"/>
    <w:rsid w:val="00CA03C3"/>
    <w:rsid w:val="00CA049A"/>
    <w:rsid w:val="00CA0DFC"/>
    <w:rsid w:val="00CA109C"/>
    <w:rsid w:val="00CA1319"/>
    <w:rsid w:val="00CA13F7"/>
    <w:rsid w:val="00CA17F1"/>
    <w:rsid w:val="00CA1C47"/>
    <w:rsid w:val="00CA26C9"/>
    <w:rsid w:val="00CA289D"/>
    <w:rsid w:val="00CA29A1"/>
    <w:rsid w:val="00CA2E02"/>
    <w:rsid w:val="00CA3025"/>
    <w:rsid w:val="00CA3054"/>
    <w:rsid w:val="00CA32F1"/>
    <w:rsid w:val="00CA3436"/>
    <w:rsid w:val="00CA345A"/>
    <w:rsid w:val="00CA3C2B"/>
    <w:rsid w:val="00CA3CCA"/>
    <w:rsid w:val="00CA3D5A"/>
    <w:rsid w:val="00CA3DBE"/>
    <w:rsid w:val="00CA3FF4"/>
    <w:rsid w:val="00CA4108"/>
    <w:rsid w:val="00CA45D7"/>
    <w:rsid w:val="00CA46C1"/>
    <w:rsid w:val="00CA4858"/>
    <w:rsid w:val="00CA4931"/>
    <w:rsid w:val="00CA4F05"/>
    <w:rsid w:val="00CA501F"/>
    <w:rsid w:val="00CA524D"/>
    <w:rsid w:val="00CA55D8"/>
    <w:rsid w:val="00CA55FB"/>
    <w:rsid w:val="00CA57F5"/>
    <w:rsid w:val="00CA5A31"/>
    <w:rsid w:val="00CA5A4E"/>
    <w:rsid w:val="00CA5E24"/>
    <w:rsid w:val="00CA5FD2"/>
    <w:rsid w:val="00CA61E2"/>
    <w:rsid w:val="00CA6207"/>
    <w:rsid w:val="00CA636C"/>
    <w:rsid w:val="00CA668C"/>
    <w:rsid w:val="00CA6804"/>
    <w:rsid w:val="00CA6AA5"/>
    <w:rsid w:val="00CA6DC3"/>
    <w:rsid w:val="00CA6ED9"/>
    <w:rsid w:val="00CA71C5"/>
    <w:rsid w:val="00CA76C8"/>
    <w:rsid w:val="00CA7B45"/>
    <w:rsid w:val="00CB0040"/>
    <w:rsid w:val="00CB011E"/>
    <w:rsid w:val="00CB0353"/>
    <w:rsid w:val="00CB050D"/>
    <w:rsid w:val="00CB074E"/>
    <w:rsid w:val="00CB087E"/>
    <w:rsid w:val="00CB0963"/>
    <w:rsid w:val="00CB0E53"/>
    <w:rsid w:val="00CB0ED4"/>
    <w:rsid w:val="00CB1255"/>
    <w:rsid w:val="00CB14D5"/>
    <w:rsid w:val="00CB1AA5"/>
    <w:rsid w:val="00CB1D22"/>
    <w:rsid w:val="00CB1DCC"/>
    <w:rsid w:val="00CB1E82"/>
    <w:rsid w:val="00CB2223"/>
    <w:rsid w:val="00CB2374"/>
    <w:rsid w:val="00CB24A1"/>
    <w:rsid w:val="00CB2B01"/>
    <w:rsid w:val="00CB2CC1"/>
    <w:rsid w:val="00CB368F"/>
    <w:rsid w:val="00CB373C"/>
    <w:rsid w:val="00CB40F1"/>
    <w:rsid w:val="00CB4118"/>
    <w:rsid w:val="00CB42C1"/>
    <w:rsid w:val="00CB4BA8"/>
    <w:rsid w:val="00CB4C45"/>
    <w:rsid w:val="00CB4E08"/>
    <w:rsid w:val="00CB52D7"/>
    <w:rsid w:val="00CB5716"/>
    <w:rsid w:val="00CB5884"/>
    <w:rsid w:val="00CB60AE"/>
    <w:rsid w:val="00CB6389"/>
    <w:rsid w:val="00CB64EC"/>
    <w:rsid w:val="00CB6776"/>
    <w:rsid w:val="00CB687F"/>
    <w:rsid w:val="00CB6E97"/>
    <w:rsid w:val="00CB7381"/>
    <w:rsid w:val="00CB7CF7"/>
    <w:rsid w:val="00CB7FDA"/>
    <w:rsid w:val="00CC0069"/>
    <w:rsid w:val="00CC0240"/>
    <w:rsid w:val="00CC0445"/>
    <w:rsid w:val="00CC06D8"/>
    <w:rsid w:val="00CC06DD"/>
    <w:rsid w:val="00CC09F5"/>
    <w:rsid w:val="00CC0A68"/>
    <w:rsid w:val="00CC0B2B"/>
    <w:rsid w:val="00CC108B"/>
    <w:rsid w:val="00CC10E9"/>
    <w:rsid w:val="00CC1371"/>
    <w:rsid w:val="00CC15B2"/>
    <w:rsid w:val="00CC17B7"/>
    <w:rsid w:val="00CC18D6"/>
    <w:rsid w:val="00CC1E13"/>
    <w:rsid w:val="00CC1E17"/>
    <w:rsid w:val="00CC1F37"/>
    <w:rsid w:val="00CC2196"/>
    <w:rsid w:val="00CC24F8"/>
    <w:rsid w:val="00CC2508"/>
    <w:rsid w:val="00CC296A"/>
    <w:rsid w:val="00CC29F0"/>
    <w:rsid w:val="00CC2EFB"/>
    <w:rsid w:val="00CC2FB3"/>
    <w:rsid w:val="00CC2FD5"/>
    <w:rsid w:val="00CC3332"/>
    <w:rsid w:val="00CC342E"/>
    <w:rsid w:val="00CC36C2"/>
    <w:rsid w:val="00CC38CA"/>
    <w:rsid w:val="00CC3CBB"/>
    <w:rsid w:val="00CC3FC1"/>
    <w:rsid w:val="00CC4931"/>
    <w:rsid w:val="00CC4D1B"/>
    <w:rsid w:val="00CC4D60"/>
    <w:rsid w:val="00CC4D77"/>
    <w:rsid w:val="00CC5191"/>
    <w:rsid w:val="00CC5474"/>
    <w:rsid w:val="00CC5B35"/>
    <w:rsid w:val="00CC5B97"/>
    <w:rsid w:val="00CC5BEB"/>
    <w:rsid w:val="00CC5C65"/>
    <w:rsid w:val="00CC61D5"/>
    <w:rsid w:val="00CC6732"/>
    <w:rsid w:val="00CC6950"/>
    <w:rsid w:val="00CC6D4C"/>
    <w:rsid w:val="00CC6E47"/>
    <w:rsid w:val="00CC7472"/>
    <w:rsid w:val="00CC78AD"/>
    <w:rsid w:val="00CD0046"/>
    <w:rsid w:val="00CD05C2"/>
    <w:rsid w:val="00CD06CC"/>
    <w:rsid w:val="00CD0952"/>
    <w:rsid w:val="00CD12F0"/>
    <w:rsid w:val="00CD1463"/>
    <w:rsid w:val="00CD14E2"/>
    <w:rsid w:val="00CD16DE"/>
    <w:rsid w:val="00CD16E1"/>
    <w:rsid w:val="00CD17DD"/>
    <w:rsid w:val="00CD1E47"/>
    <w:rsid w:val="00CD20C4"/>
    <w:rsid w:val="00CD32BA"/>
    <w:rsid w:val="00CD35A7"/>
    <w:rsid w:val="00CD3A81"/>
    <w:rsid w:val="00CD3AA6"/>
    <w:rsid w:val="00CD3AD4"/>
    <w:rsid w:val="00CD3B55"/>
    <w:rsid w:val="00CD3BDA"/>
    <w:rsid w:val="00CD3EAA"/>
    <w:rsid w:val="00CD4145"/>
    <w:rsid w:val="00CD444C"/>
    <w:rsid w:val="00CD4566"/>
    <w:rsid w:val="00CD459E"/>
    <w:rsid w:val="00CD47B3"/>
    <w:rsid w:val="00CD494A"/>
    <w:rsid w:val="00CD4A5B"/>
    <w:rsid w:val="00CD5270"/>
    <w:rsid w:val="00CD553F"/>
    <w:rsid w:val="00CD5625"/>
    <w:rsid w:val="00CD56D5"/>
    <w:rsid w:val="00CD598A"/>
    <w:rsid w:val="00CD5A8C"/>
    <w:rsid w:val="00CD5AE7"/>
    <w:rsid w:val="00CD5C5B"/>
    <w:rsid w:val="00CD6124"/>
    <w:rsid w:val="00CD61C3"/>
    <w:rsid w:val="00CD69F5"/>
    <w:rsid w:val="00CD6F0A"/>
    <w:rsid w:val="00CD6F92"/>
    <w:rsid w:val="00CD7056"/>
    <w:rsid w:val="00CD70A3"/>
    <w:rsid w:val="00CD7244"/>
    <w:rsid w:val="00CD72D5"/>
    <w:rsid w:val="00CD732D"/>
    <w:rsid w:val="00CD77BB"/>
    <w:rsid w:val="00CD7A87"/>
    <w:rsid w:val="00CD7B72"/>
    <w:rsid w:val="00CD7B9F"/>
    <w:rsid w:val="00CE00C9"/>
    <w:rsid w:val="00CE04A3"/>
    <w:rsid w:val="00CE09FE"/>
    <w:rsid w:val="00CE0B46"/>
    <w:rsid w:val="00CE1123"/>
    <w:rsid w:val="00CE1133"/>
    <w:rsid w:val="00CE14EB"/>
    <w:rsid w:val="00CE193C"/>
    <w:rsid w:val="00CE1CCF"/>
    <w:rsid w:val="00CE1D8A"/>
    <w:rsid w:val="00CE22BC"/>
    <w:rsid w:val="00CE2733"/>
    <w:rsid w:val="00CE27B4"/>
    <w:rsid w:val="00CE2B49"/>
    <w:rsid w:val="00CE2D6C"/>
    <w:rsid w:val="00CE2E9C"/>
    <w:rsid w:val="00CE3083"/>
    <w:rsid w:val="00CE315E"/>
    <w:rsid w:val="00CE33EA"/>
    <w:rsid w:val="00CE36AE"/>
    <w:rsid w:val="00CE38E8"/>
    <w:rsid w:val="00CE3A28"/>
    <w:rsid w:val="00CE3C15"/>
    <w:rsid w:val="00CE3C2E"/>
    <w:rsid w:val="00CE3C4D"/>
    <w:rsid w:val="00CE3C96"/>
    <w:rsid w:val="00CE3CC3"/>
    <w:rsid w:val="00CE3EF0"/>
    <w:rsid w:val="00CE4127"/>
    <w:rsid w:val="00CE42A2"/>
    <w:rsid w:val="00CE45B3"/>
    <w:rsid w:val="00CE46BA"/>
    <w:rsid w:val="00CE4E75"/>
    <w:rsid w:val="00CE51A8"/>
    <w:rsid w:val="00CE54A7"/>
    <w:rsid w:val="00CE5571"/>
    <w:rsid w:val="00CE5C85"/>
    <w:rsid w:val="00CE6032"/>
    <w:rsid w:val="00CE60C9"/>
    <w:rsid w:val="00CE63EC"/>
    <w:rsid w:val="00CE6D4A"/>
    <w:rsid w:val="00CE7637"/>
    <w:rsid w:val="00CE7AC8"/>
    <w:rsid w:val="00CE7E15"/>
    <w:rsid w:val="00CE7E46"/>
    <w:rsid w:val="00CF081A"/>
    <w:rsid w:val="00CF0C7C"/>
    <w:rsid w:val="00CF12B2"/>
    <w:rsid w:val="00CF14DF"/>
    <w:rsid w:val="00CF189A"/>
    <w:rsid w:val="00CF193D"/>
    <w:rsid w:val="00CF1A20"/>
    <w:rsid w:val="00CF1BE6"/>
    <w:rsid w:val="00CF1EC4"/>
    <w:rsid w:val="00CF1EEC"/>
    <w:rsid w:val="00CF1FEF"/>
    <w:rsid w:val="00CF22C7"/>
    <w:rsid w:val="00CF26B7"/>
    <w:rsid w:val="00CF29B2"/>
    <w:rsid w:val="00CF322E"/>
    <w:rsid w:val="00CF369B"/>
    <w:rsid w:val="00CF3D41"/>
    <w:rsid w:val="00CF4F74"/>
    <w:rsid w:val="00CF505E"/>
    <w:rsid w:val="00CF5365"/>
    <w:rsid w:val="00CF53EA"/>
    <w:rsid w:val="00CF55DE"/>
    <w:rsid w:val="00CF58FB"/>
    <w:rsid w:val="00CF5999"/>
    <w:rsid w:val="00CF5CBA"/>
    <w:rsid w:val="00CF66CF"/>
    <w:rsid w:val="00CF69E3"/>
    <w:rsid w:val="00CF6ED1"/>
    <w:rsid w:val="00CF7198"/>
    <w:rsid w:val="00CF75B8"/>
    <w:rsid w:val="00CF78E4"/>
    <w:rsid w:val="00CF7A91"/>
    <w:rsid w:val="00CF7A9D"/>
    <w:rsid w:val="00CF7B42"/>
    <w:rsid w:val="00CF7C7A"/>
    <w:rsid w:val="00CF7DA3"/>
    <w:rsid w:val="00CF7EF4"/>
    <w:rsid w:val="00D00412"/>
    <w:rsid w:val="00D004A3"/>
    <w:rsid w:val="00D00BC3"/>
    <w:rsid w:val="00D00E28"/>
    <w:rsid w:val="00D00FCC"/>
    <w:rsid w:val="00D012B1"/>
    <w:rsid w:val="00D01D55"/>
    <w:rsid w:val="00D01DA7"/>
    <w:rsid w:val="00D01E2E"/>
    <w:rsid w:val="00D02159"/>
    <w:rsid w:val="00D0227D"/>
    <w:rsid w:val="00D02662"/>
    <w:rsid w:val="00D0269E"/>
    <w:rsid w:val="00D028F7"/>
    <w:rsid w:val="00D02B2C"/>
    <w:rsid w:val="00D032A4"/>
    <w:rsid w:val="00D034B2"/>
    <w:rsid w:val="00D038FC"/>
    <w:rsid w:val="00D04000"/>
    <w:rsid w:val="00D045E1"/>
    <w:rsid w:val="00D045F3"/>
    <w:rsid w:val="00D046EC"/>
    <w:rsid w:val="00D04970"/>
    <w:rsid w:val="00D04A40"/>
    <w:rsid w:val="00D04A5A"/>
    <w:rsid w:val="00D04F2B"/>
    <w:rsid w:val="00D0518C"/>
    <w:rsid w:val="00D051C8"/>
    <w:rsid w:val="00D0536D"/>
    <w:rsid w:val="00D05932"/>
    <w:rsid w:val="00D05A8D"/>
    <w:rsid w:val="00D05D6C"/>
    <w:rsid w:val="00D05F1A"/>
    <w:rsid w:val="00D06279"/>
    <w:rsid w:val="00D0698A"/>
    <w:rsid w:val="00D06996"/>
    <w:rsid w:val="00D06A5D"/>
    <w:rsid w:val="00D06C1E"/>
    <w:rsid w:val="00D0707E"/>
    <w:rsid w:val="00D07167"/>
    <w:rsid w:val="00D07192"/>
    <w:rsid w:val="00D0778B"/>
    <w:rsid w:val="00D07A20"/>
    <w:rsid w:val="00D10280"/>
    <w:rsid w:val="00D104E9"/>
    <w:rsid w:val="00D109C3"/>
    <w:rsid w:val="00D110FC"/>
    <w:rsid w:val="00D11182"/>
    <w:rsid w:val="00D111DE"/>
    <w:rsid w:val="00D1134B"/>
    <w:rsid w:val="00D11951"/>
    <w:rsid w:val="00D11D4B"/>
    <w:rsid w:val="00D123E8"/>
    <w:rsid w:val="00D127FC"/>
    <w:rsid w:val="00D12899"/>
    <w:rsid w:val="00D12BB1"/>
    <w:rsid w:val="00D12C70"/>
    <w:rsid w:val="00D131B7"/>
    <w:rsid w:val="00D13358"/>
    <w:rsid w:val="00D13BC8"/>
    <w:rsid w:val="00D13C95"/>
    <w:rsid w:val="00D13EA3"/>
    <w:rsid w:val="00D13FC5"/>
    <w:rsid w:val="00D143F0"/>
    <w:rsid w:val="00D14434"/>
    <w:rsid w:val="00D147AD"/>
    <w:rsid w:val="00D1493B"/>
    <w:rsid w:val="00D15191"/>
    <w:rsid w:val="00D15256"/>
    <w:rsid w:val="00D1527A"/>
    <w:rsid w:val="00D153E0"/>
    <w:rsid w:val="00D15810"/>
    <w:rsid w:val="00D158D6"/>
    <w:rsid w:val="00D159D8"/>
    <w:rsid w:val="00D15CCF"/>
    <w:rsid w:val="00D161DF"/>
    <w:rsid w:val="00D162CB"/>
    <w:rsid w:val="00D16385"/>
    <w:rsid w:val="00D1638A"/>
    <w:rsid w:val="00D16411"/>
    <w:rsid w:val="00D169BA"/>
    <w:rsid w:val="00D169D9"/>
    <w:rsid w:val="00D16A11"/>
    <w:rsid w:val="00D16BEB"/>
    <w:rsid w:val="00D16D4E"/>
    <w:rsid w:val="00D16FE3"/>
    <w:rsid w:val="00D170B9"/>
    <w:rsid w:val="00D17557"/>
    <w:rsid w:val="00D17AA1"/>
    <w:rsid w:val="00D200FA"/>
    <w:rsid w:val="00D20753"/>
    <w:rsid w:val="00D208F2"/>
    <w:rsid w:val="00D20965"/>
    <w:rsid w:val="00D210EA"/>
    <w:rsid w:val="00D2115C"/>
    <w:rsid w:val="00D21C04"/>
    <w:rsid w:val="00D21E49"/>
    <w:rsid w:val="00D22297"/>
    <w:rsid w:val="00D22AFB"/>
    <w:rsid w:val="00D22CAE"/>
    <w:rsid w:val="00D22D9F"/>
    <w:rsid w:val="00D2321C"/>
    <w:rsid w:val="00D232C0"/>
    <w:rsid w:val="00D23863"/>
    <w:rsid w:val="00D23871"/>
    <w:rsid w:val="00D23B04"/>
    <w:rsid w:val="00D23EA9"/>
    <w:rsid w:val="00D23F2E"/>
    <w:rsid w:val="00D2475C"/>
    <w:rsid w:val="00D24A52"/>
    <w:rsid w:val="00D24E0D"/>
    <w:rsid w:val="00D24E23"/>
    <w:rsid w:val="00D24EC9"/>
    <w:rsid w:val="00D24ECA"/>
    <w:rsid w:val="00D25046"/>
    <w:rsid w:val="00D25492"/>
    <w:rsid w:val="00D254CD"/>
    <w:rsid w:val="00D2553A"/>
    <w:rsid w:val="00D2594A"/>
    <w:rsid w:val="00D25B7C"/>
    <w:rsid w:val="00D25F9B"/>
    <w:rsid w:val="00D26163"/>
    <w:rsid w:val="00D263A8"/>
    <w:rsid w:val="00D265A5"/>
    <w:rsid w:val="00D267CF"/>
    <w:rsid w:val="00D26845"/>
    <w:rsid w:val="00D2689B"/>
    <w:rsid w:val="00D268FF"/>
    <w:rsid w:val="00D26AF2"/>
    <w:rsid w:val="00D27095"/>
    <w:rsid w:val="00D2732D"/>
    <w:rsid w:val="00D27770"/>
    <w:rsid w:val="00D277F3"/>
    <w:rsid w:val="00D27EE4"/>
    <w:rsid w:val="00D27F25"/>
    <w:rsid w:val="00D27F41"/>
    <w:rsid w:val="00D27F67"/>
    <w:rsid w:val="00D3059D"/>
    <w:rsid w:val="00D306D3"/>
    <w:rsid w:val="00D30865"/>
    <w:rsid w:val="00D30AEF"/>
    <w:rsid w:val="00D31129"/>
    <w:rsid w:val="00D311B2"/>
    <w:rsid w:val="00D31322"/>
    <w:rsid w:val="00D315CE"/>
    <w:rsid w:val="00D3165D"/>
    <w:rsid w:val="00D320C0"/>
    <w:rsid w:val="00D322AE"/>
    <w:rsid w:val="00D325B2"/>
    <w:rsid w:val="00D32654"/>
    <w:rsid w:val="00D327FD"/>
    <w:rsid w:val="00D32DC0"/>
    <w:rsid w:val="00D32E04"/>
    <w:rsid w:val="00D33077"/>
    <w:rsid w:val="00D33644"/>
    <w:rsid w:val="00D336BB"/>
    <w:rsid w:val="00D336F8"/>
    <w:rsid w:val="00D33813"/>
    <w:rsid w:val="00D339FD"/>
    <w:rsid w:val="00D33B10"/>
    <w:rsid w:val="00D34107"/>
    <w:rsid w:val="00D34140"/>
    <w:rsid w:val="00D344FD"/>
    <w:rsid w:val="00D34760"/>
    <w:rsid w:val="00D34788"/>
    <w:rsid w:val="00D34806"/>
    <w:rsid w:val="00D3495C"/>
    <w:rsid w:val="00D34C68"/>
    <w:rsid w:val="00D34C8B"/>
    <w:rsid w:val="00D357B4"/>
    <w:rsid w:val="00D35A66"/>
    <w:rsid w:val="00D35B2C"/>
    <w:rsid w:val="00D35B32"/>
    <w:rsid w:val="00D35C27"/>
    <w:rsid w:val="00D35ECC"/>
    <w:rsid w:val="00D36085"/>
    <w:rsid w:val="00D36441"/>
    <w:rsid w:val="00D365CA"/>
    <w:rsid w:val="00D36DCE"/>
    <w:rsid w:val="00D37548"/>
    <w:rsid w:val="00D37927"/>
    <w:rsid w:val="00D37C78"/>
    <w:rsid w:val="00D37DC6"/>
    <w:rsid w:val="00D4014B"/>
    <w:rsid w:val="00D4064E"/>
    <w:rsid w:val="00D40975"/>
    <w:rsid w:val="00D409F6"/>
    <w:rsid w:val="00D40D18"/>
    <w:rsid w:val="00D4102A"/>
    <w:rsid w:val="00D411B9"/>
    <w:rsid w:val="00D41227"/>
    <w:rsid w:val="00D4180B"/>
    <w:rsid w:val="00D420AD"/>
    <w:rsid w:val="00D423BA"/>
    <w:rsid w:val="00D42441"/>
    <w:rsid w:val="00D4263E"/>
    <w:rsid w:val="00D42788"/>
    <w:rsid w:val="00D42D90"/>
    <w:rsid w:val="00D42F3A"/>
    <w:rsid w:val="00D431CC"/>
    <w:rsid w:val="00D4327C"/>
    <w:rsid w:val="00D433F2"/>
    <w:rsid w:val="00D4390B"/>
    <w:rsid w:val="00D440E8"/>
    <w:rsid w:val="00D44420"/>
    <w:rsid w:val="00D4447A"/>
    <w:rsid w:val="00D447F5"/>
    <w:rsid w:val="00D4486A"/>
    <w:rsid w:val="00D4494E"/>
    <w:rsid w:val="00D44A3B"/>
    <w:rsid w:val="00D44CDE"/>
    <w:rsid w:val="00D44E9B"/>
    <w:rsid w:val="00D45071"/>
    <w:rsid w:val="00D455AB"/>
    <w:rsid w:val="00D456EC"/>
    <w:rsid w:val="00D45FDA"/>
    <w:rsid w:val="00D46295"/>
    <w:rsid w:val="00D46D0F"/>
    <w:rsid w:val="00D46D79"/>
    <w:rsid w:val="00D46F26"/>
    <w:rsid w:val="00D47117"/>
    <w:rsid w:val="00D47205"/>
    <w:rsid w:val="00D4726B"/>
    <w:rsid w:val="00D47533"/>
    <w:rsid w:val="00D475C7"/>
    <w:rsid w:val="00D47775"/>
    <w:rsid w:val="00D4786E"/>
    <w:rsid w:val="00D47AEB"/>
    <w:rsid w:val="00D47C89"/>
    <w:rsid w:val="00D47E9D"/>
    <w:rsid w:val="00D47F6A"/>
    <w:rsid w:val="00D501D0"/>
    <w:rsid w:val="00D504C5"/>
    <w:rsid w:val="00D50A45"/>
    <w:rsid w:val="00D50DB9"/>
    <w:rsid w:val="00D50E8A"/>
    <w:rsid w:val="00D50FE7"/>
    <w:rsid w:val="00D51062"/>
    <w:rsid w:val="00D512E8"/>
    <w:rsid w:val="00D51302"/>
    <w:rsid w:val="00D5156F"/>
    <w:rsid w:val="00D515B5"/>
    <w:rsid w:val="00D5184E"/>
    <w:rsid w:val="00D51B44"/>
    <w:rsid w:val="00D51E35"/>
    <w:rsid w:val="00D51E46"/>
    <w:rsid w:val="00D51FFF"/>
    <w:rsid w:val="00D520B3"/>
    <w:rsid w:val="00D52B7D"/>
    <w:rsid w:val="00D52C43"/>
    <w:rsid w:val="00D52F13"/>
    <w:rsid w:val="00D5330A"/>
    <w:rsid w:val="00D53B9A"/>
    <w:rsid w:val="00D53E9B"/>
    <w:rsid w:val="00D53F9B"/>
    <w:rsid w:val="00D54277"/>
    <w:rsid w:val="00D544D7"/>
    <w:rsid w:val="00D54969"/>
    <w:rsid w:val="00D55052"/>
    <w:rsid w:val="00D55B26"/>
    <w:rsid w:val="00D55D49"/>
    <w:rsid w:val="00D56126"/>
    <w:rsid w:val="00D56172"/>
    <w:rsid w:val="00D56202"/>
    <w:rsid w:val="00D562D1"/>
    <w:rsid w:val="00D562EB"/>
    <w:rsid w:val="00D56A3C"/>
    <w:rsid w:val="00D579BF"/>
    <w:rsid w:val="00D57BEF"/>
    <w:rsid w:val="00D57DA8"/>
    <w:rsid w:val="00D60261"/>
    <w:rsid w:val="00D618B4"/>
    <w:rsid w:val="00D61EDE"/>
    <w:rsid w:val="00D624D1"/>
    <w:rsid w:val="00D6253E"/>
    <w:rsid w:val="00D625D0"/>
    <w:rsid w:val="00D62868"/>
    <w:rsid w:val="00D62ABE"/>
    <w:rsid w:val="00D6330F"/>
    <w:rsid w:val="00D63526"/>
    <w:rsid w:val="00D6403B"/>
    <w:rsid w:val="00D640FA"/>
    <w:rsid w:val="00D64ACF"/>
    <w:rsid w:val="00D6507F"/>
    <w:rsid w:val="00D651D6"/>
    <w:rsid w:val="00D652F0"/>
    <w:rsid w:val="00D6546E"/>
    <w:rsid w:val="00D6580E"/>
    <w:rsid w:val="00D659EA"/>
    <w:rsid w:val="00D65A4D"/>
    <w:rsid w:val="00D65B4A"/>
    <w:rsid w:val="00D66004"/>
    <w:rsid w:val="00D6667D"/>
    <w:rsid w:val="00D66739"/>
    <w:rsid w:val="00D6681F"/>
    <w:rsid w:val="00D66846"/>
    <w:rsid w:val="00D67A77"/>
    <w:rsid w:val="00D70590"/>
    <w:rsid w:val="00D70C57"/>
    <w:rsid w:val="00D70DE0"/>
    <w:rsid w:val="00D7100B"/>
    <w:rsid w:val="00D71068"/>
    <w:rsid w:val="00D71281"/>
    <w:rsid w:val="00D71607"/>
    <w:rsid w:val="00D718B3"/>
    <w:rsid w:val="00D71E3B"/>
    <w:rsid w:val="00D71EFA"/>
    <w:rsid w:val="00D72626"/>
    <w:rsid w:val="00D72881"/>
    <w:rsid w:val="00D72CD2"/>
    <w:rsid w:val="00D72E39"/>
    <w:rsid w:val="00D730BC"/>
    <w:rsid w:val="00D731AB"/>
    <w:rsid w:val="00D735FC"/>
    <w:rsid w:val="00D73786"/>
    <w:rsid w:val="00D73912"/>
    <w:rsid w:val="00D739BA"/>
    <w:rsid w:val="00D73C5A"/>
    <w:rsid w:val="00D73FDF"/>
    <w:rsid w:val="00D741F2"/>
    <w:rsid w:val="00D74381"/>
    <w:rsid w:val="00D745DF"/>
    <w:rsid w:val="00D74D64"/>
    <w:rsid w:val="00D74DF0"/>
    <w:rsid w:val="00D74E8E"/>
    <w:rsid w:val="00D7505C"/>
    <w:rsid w:val="00D75274"/>
    <w:rsid w:val="00D754D4"/>
    <w:rsid w:val="00D7587C"/>
    <w:rsid w:val="00D759BB"/>
    <w:rsid w:val="00D75C57"/>
    <w:rsid w:val="00D75DF6"/>
    <w:rsid w:val="00D7615C"/>
    <w:rsid w:val="00D7642D"/>
    <w:rsid w:val="00D76607"/>
    <w:rsid w:val="00D76885"/>
    <w:rsid w:val="00D76EC8"/>
    <w:rsid w:val="00D7755E"/>
    <w:rsid w:val="00D775E8"/>
    <w:rsid w:val="00D7794C"/>
    <w:rsid w:val="00D77E51"/>
    <w:rsid w:val="00D8013A"/>
    <w:rsid w:val="00D8016D"/>
    <w:rsid w:val="00D80390"/>
    <w:rsid w:val="00D806CB"/>
    <w:rsid w:val="00D80A22"/>
    <w:rsid w:val="00D80CCD"/>
    <w:rsid w:val="00D80F4A"/>
    <w:rsid w:val="00D811F1"/>
    <w:rsid w:val="00D81850"/>
    <w:rsid w:val="00D818E9"/>
    <w:rsid w:val="00D81A45"/>
    <w:rsid w:val="00D81EAB"/>
    <w:rsid w:val="00D82061"/>
    <w:rsid w:val="00D8220E"/>
    <w:rsid w:val="00D823F5"/>
    <w:rsid w:val="00D82C96"/>
    <w:rsid w:val="00D82D08"/>
    <w:rsid w:val="00D8349B"/>
    <w:rsid w:val="00D83A9B"/>
    <w:rsid w:val="00D83DFE"/>
    <w:rsid w:val="00D83FF7"/>
    <w:rsid w:val="00D842C8"/>
    <w:rsid w:val="00D8460D"/>
    <w:rsid w:val="00D84904"/>
    <w:rsid w:val="00D84CFA"/>
    <w:rsid w:val="00D84DCC"/>
    <w:rsid w:val="00D8506D"/>
    <w:rsid w:val="00D85226"/>
    <w:rsid w:val="00D8596E"/>
    <w:rsid w:val="00D85B20"/>
    <w:rsid w:val="00D85BE8"/>
    <w:rsid w:val="00D861D9"/>
    <w:rsid w:val="00D862E3"/>
    <w:rsid w:val="00D866EF"/>
    <w:rsid w:val="00D868F4"/>
    <w:rsid w:val="00D86AAD"/>
    <w:rsid w:val="00D872D3"/>
    <w:rsid w:val="00D8757A"/>
    <w:rsid w:val="00D8773B"/>
    <w:rsid w:val="00D877B7"/>
    <w:rsid w:val="00D8781E"/>
    <w:rsid w:val="00D87A2C"/>
    <w:rsid w:val="00D87B94"/>
    <w:rsid w:val="00D87D34"/>
    <w:rsid w:val="00D87DF5"/>
    <w:rsid w:val="00D87E10"/>
    <w:rsid w:val="00D900BB"/>
    <w:rsid w:val="00D9015A"/>
    <w:rsid w:val="00D90255"/>
    <w:rsid w:val="00D904DC"/>
    <w:rsid w:val="00D90558"/>
    <w:rsid w:val="00D9088B"/>
    <w:rsid w:val="00D90A85"/>
    <w:rsid w:val="00D90D77"/>
    <w:rsid w:val="00D90F28"/>
    <w:rsid w:val="00D90F94"/>
    <w:rsid w:val="00D9128F"/>
    <w:rsid w:val="00D9140A"/>
    <w:rsid w:val="00D91A40"/>
    <w:rsid w:val="00D91A77"/>
    <w:rsid w:val="00D91CDA"/>
    <w:rsid w:val="00D91DB4"/>
    <w:rsid w:val="00D921A6"/>
    <w:rsid w:val="00D928A1"/>
    <w:rsid w:val="00D92954"/>
    <w:rsid w:val="00D92D49"/>
    <w:rsid w:val="00D92E3D"/>
    <w:rsid w:val="00D92EC1"/>
    <w:rsid w:val="00D9313A"/>
    <w:rsid w:val="00D9316E"/>
    <w:rsid w:val="00D9352E"/>
    <w:rsid w:val="00D93549"/>
    <w:rsid w:val="00D936EF"/>
    <w:rsid w:val="00D93CDF"/>
    <w:rsid w:val="00D94717"/>
    <w:rsid w:val="00D9474C"/>
    <w:rsid w:val="00D94CDD"/>
    <w:rsid w:val="00D94F8A"/>
    <w:rsid w:val="00D94F91"/>
    <w:rsid w:val="00D9539D"/>
    <w:rsid w:val="00D95467"/>
    <w:rsid w:val="00D954EC"/>
    <w:rsid w:val="00D95C8C"/>
    <w:rsid w:val="00D96081"/>
    <w:rsid w:val="00D9633D"/>
    <w:rsid w:val="00D96800"/>
    <w:rsid w:val="00D96DEA"/>
    <w:rsid w:val="00D96EDA"/>
    <w:rsid w:val="00D96F8C"/>
    <w:rsid w:val="00D970E3"/>
    <w:rsid w:val="00D9739D"/>
    <w:rsid w:val="00D973E8"/>
    <w:rsid w:val="00D97440"/>
    <w:rsid w:val="00D97808"/>
    <w:rsid w:val="00D978B1"/>
    <w:rsid w:val="00D97A62"/>
    <w:rsid w:val="00D97C2D"/>
    <w:rsid w:val="00D97C3D"/>
    <w:rsid w:val="00DA046D"/>
    <w:rsid w:val="00DA05E7"/>
    <w:rsid w:val="00DA075E"/>
    <w:rsid w:val="00DA07D2"/>
    <w:rsid w:val="00DA0918"/>
    <w:rsid w:val="00DA0DC2"/>
    <w:rsid w:val="00DA0E52"/>
    <w:rsid w:val="00DA1499"/>
    <w:rsid w:val="00DA170E"/>
    <w:rsid w:val="00DA1731"/>
    <w:rsid w:val="00DA191A"/>
    <w:rsid w:val="00DA1C7E"/>
    <w:rsid w:val="00DA2077"/>
    <w:rsid w:val="00DA2132"/>
    <w:rsid w:val="00DA221E"/>
    <w:rsid w:val="00DA279E"/>
    <w:rsid w:val="00DA2894"/>
    <w:rsid w:val="00DA29A6"/>
    <w:rsid w:val="00DA2A39"/>
    <w:rsid w:val="00DA33AA"/>
    <w:rsid w:val="00DA33AD"/>
    <w:rsid w:val="00DA3629"/>
    <w:rsid w:val="00DA3731"/>
    <w:rsid w:val="00DA3C27"/>
    <w:rsid w:val="00DA3CE7"/>
    <w:rsid w:val="00DA3DB4"/>
    <w:rsid w:val="00DA41D4"/>
    <w:rsid w:val="00DA4290"/>
    <w:rsid w:val="00DA4309"/>
    <w:rsid w:val="00DA4557"/>
    <w:rsid w:val="00DA45F0"/>
    <w:rsid w:val="00DA460E"/>
    <w:rsid w:val="00DA49BF"/>
    <w:rsid w:val="00DA4A50"/>
    <w:rsid w:val="00DA4B21"/>
    <w:rsid w:val="00DA4CD9"/>
    <w:rsid w:val="00DA4E41"/>
    <w:rsid w:val="00DA5144"/>
    <w:rsid w:val="00DA5353"/>
    <w:rsid w:val="00DA54E0"/>
    <w:rsid w:val="00DA5600"/>
    <w:rsid w:val="00DA5870"/>
    <w:rsid w:val="00DA5F73"/>
    <w:rsid w:val="00DA681F"/>
    <w:rsid w:val="00DA6A5B"/>
    <w:rsid w:val="00DA6C00"/>
    <w:rsid w:val="00DA6E73"/>
    <w:rsid w:val="00DA747B"/>
    <w:rsid w:val="00DA7873"/>
    <w:rsid w:val="00DA7D88"/>
    <w:rsid w:val="00DB04B9"/>
    <w:rsid w:val="00DB0695"/>
    <w:rsid w:val="00DB084D"/>
    <w:rsid w:val="00DB0A03"/>
    <w:rsid w:val="00DB0CFD"/>
    <w:rsid w:val="00DB0E22"/>
    <w:rsid w:val="00DB0ECD"/>
    <w:rsid w:val="00DB102A"/>
    <w:rsid w:val="00DB1151"/>
    <w:rsid w:val="00DB117A"/>
    <w:rsid w:val="00DB1A38"/>
    <w:rsid w:val="00DB1A48"/>
    <w:rsid w:val="00DB1B52"/>
    <w:rsid w:val="00DB1B8C"/>
    <w:rsid w:val="00DB1C0F"/>
    <w:rsid w:val="00DB1EF9"/>
    <w:rsid w:val="00DB2320"/>
    <w:rsid w:val="00DB28D7"/>
    <w:rsid w:val="00DB2964"/>
    <w:rsid w:val="00DB299E"/>
    <w:rsid w:val="00DB2AE8"/>
    <w:rsid w:val="00DB2AF9"/>
    <w:rsid w:val="00DB2C5A"/>
    <w:rsid w:val="00DB2D6B"/>
    <w:rsid w:val="00DB2DD5"/>
    <w:rsid w:val="00DB317A"/>
    <w:rsid w:val="00DB34DD"/>
    <w:rsid w:val="00DB357F"/>
    <w:rsid w:val="00DB3896"/>
    <w:rsid w:val="00DB3B87"/>
    <w:rsid w:val="00DB3C7E"/>
    <w:rsid w:val="00DB4374"/>
    <w:rsid w:val="00DB478B"/>
    <w:rsid w:val="00DB48D7"/>
    <w:rsid w:val="00DB4EE6"/>
    <w:rsid w:val="00DB5173"/>
    <w:rsid w:val="00DB534D"/>
    <w:rsid w:val="00DB5A42"/>
    <w:rsid w:val="00DB5EAA"/>
    <w:rsid w:val="00DB6391"/>
    <w:rsid w:val="00DB69B8"/>
    <w:rsid w:val="00DB6D24"/>
    <w:rsid w:val="00DB72D8"/>
    <w:rsid w:val="00DB770E"/>
    <w:rsid w:val="00DB7873"/>
    <w:rsid w:val="00DB78F2"/>
    <w:rsid w:val="00DB7A77"/>
    <w:rsid w:val="00DC032C"/>
    <w:rsid w:val="00DC0D4D"/>
    <w:rsid w:val="00DC0E27"/>
    <w:rsid w:val="00DC0E9A"/>
    <w:rsid w:val="00DC1046"/>
    <w:rsid w:val="00DC107D"/>
    <w:rsid w:val="00DC151C"/>
    <w:rsid w:val="00DC187B"/>
    <w:rsid w:val="00DC1B29"/>
    <w:rsid w:val="00DC1CA2"/>
    <w:rsid w:val="00DC1E11"/>
    <w:rsid w:val="00DC21BD"/>
    <w:rsid w:val="00DC2627"/>
    <w:rsid w:val="00DC26B6"/>
    <w:rsid w:val="00DC2776"/>
    <w:rsid w:val="00DC281E"/>
    <w:rsid w:val="00DC2994"/>
    <w:rsid w:val="00DC2FCE"/>
    <w:rsid w:val="00DC33F7"/>
    <w:rsid w:val="00DC3548"/>
    <w:rsid w:val="00DC3581"/>
    <w:rsid w:val="00DC41D9"/>
    <w:rsid w:val="00DC46A6"/>
    <w:rsid w:val="00DC4C97"/>
    <w:rsid w:val="00DC4EB3"/>
    <w:rsid w:val="00DC544A"/>
    <w:rsid w:val="00DC54D4"/>
    <w:rsid w:val="00DC5583"/>
    <w:rsid w:val="00DC57CF"/>
    <w:rsid w:val="00DC5A3F"/>
    <w:rsid w:val="00DC5E3C"/>
    <w:rsid w:val="00DC61D7"/>
    <w:rsid w:val="00DC6691"/>
    <w:rsid w:val="00DC670C"/>
    <w:rsid w:val="00DC674A"/>
    <w:rsid w:val="00DC6BF8"/>
    <w:rsid w:val="00DC6EA0"/>
    <w:rsid w:val="00DC72D4"/>
    <w:rsid w:val="00DC7457"/>
    <w:rsid w:val="00DC77F5"/>
    <w:rsid w:val="00DC7966"/>
    <w:rsid w:val="00DC7DC2"/>
    <w:rsid w:val="00DD0555"/>
    <w:rsid w:val="00DD058F"/>
    <w:rsid w:val="00DD0AA7"/>
    <w:rsid w:val="00DD0E1A"/>
    <w:rsid w:val="00DD1124"/>
    <w:rsid w:val="00DD1130"/>
    <w:rsid w:val="00DD12BD"/>
    <w:rsid w:val="00DD1649"/>
    <w:rsid w:val="00DD201B"/>
    <w:rsid w:val="00DD21A7"/>
    <w:rsid w:val="00DD2667"/>
    <w:rsid w:val="00DD279F"/>
    <w:rsid w:val="00DD27BF"/>
    <w:rsid w:val="00DD28E0"/>
    <w:rsid w:val="00DD2959"/>
    <w:rsid w:val="00DD2E57"/>
    <w:rsid w:val="00DD3044"/>
    <w:rsid w:val="00DD3350"/>
    <w:rsid w:val="00DD355D"/>
    <w:rsid w:val="00DD3658"/>
    <w:rsid w:val="00DD3FC5"/>
    <w:rsid w:val="00DD4079"/>
    <w:rsid w:val="00DD43C0"/>
    <w:rsid w:val="00DD43DE"/>
    <w:rsid w:val="00DD457C"/>
    <w:rsid w:val="00DD45D7"/>
    <w:rsid w:val="00DD489A"/>
    <w:rsid w:val="00DD4AA4"/>
    <w:rsid w:val="00DD4E64"/>
    <w:rsid w:val="00DD50F2"/>
    <w:rsid w:val="00DD54C6"/>
    <w:rsid w:val="00DD59F3"/>
    <w:rsid w:val="00DD639C"/>
    <w:rsid w:val="00DD642F"/>
    <w:rsid w:val="00DD6A6F"/>
    <w:rsid w:val="00DD6E02"/>
    <w:rsid w:val="00DD6EF5"/>
    <w:rsid w:val="00DD71D5"/>
    <w:rsid w:val="00DD73C2"/>
    <w:rsid w:val="00DD7452"/>
    <w:rsid w:val="00DD7D6F"/>
    <w:rsid w:val="00DE05DB"/>
    <w:rsid w:val="00DE073E"/>
    <w:rsid w:val="00DE0802"/>
    <w:rsid w:val="00DE0828"/>
    <w:rsid w:val="00DE09E8"/>
    <w:rsid w:val="00DE0DA3"/>
    <w:rsid w:val="00DE0F39"/>
    <w:rsid w:val="00DE1229"/>
    <w:rsid w:val="00DE1330"/>
    <w:rsid w:val="00DE14D6"/>
    <w:rsid w:val="00DE19AA"/>
    <w:rsid w:val="00DE2074"/>
    <w:rsid w:val="00DE2961"/>
    <w:rsid w:val="00DE2DE9"/>
    <w:rsid w:val="00DE3004"/>
    <w:rsid w:val="00DE319B"/>
    <w:rsid w:val="00DE3A1A"/>
    <w:rsid w:val="00DE3DC4"/>
    <w:rsid w:val="00DE3DD4"/>
    <w:rsid w:val="00DE3EAD"/>
    <w:rsid w:val="00DE4017"/>
    <w:rsid w:val="00DE4575"/>
    <w:rsid w:val="00DE464B"/>
    <w:rsid w:val="00DE479E"/>
    <w:rsid w:val="00DE4A93"/>
    <w:rsid w:val="00DE501B"/>
    <w:rsid w:val="00DE5413"/>
    <w:rsid w:val="00DE585C"/>
    <w:rsid w:val="00DE5C10"/>
    <w:rsid w:val="00DE5C44"/>
    <w:rsid w:val="00DE5CBC"/>
    <w:rsid w:val="00DE5F26"/>
    <w:rsid w:val="00DE646F"/>
    <w:rsid w:val="00DE65F3"/>
    <w:rsid w:val="00DE6730"/>
    <w:rsid w:val="00DE6912"/>
    <w:rsid w:val="00DE694D"/>
    <w:rsid w:val="00DE69A6"/>
    <w:rsid w:val="00DE69E5"/>
    <w:rsid w:val="00DE6C8C"/>
    <w:rsid w:val="00DE71E0"/>
    <w:rsid w:val="00DE74D8"/>
    <w:rsid w:val="00DE760F"/>
    <w:rsid w:val="00DE780F"/>
    <w:rsid w:val="00DE7F23"/>
    <w:rsid w:val="00DF0031"/>
    <w:rsid w:val="00DF0112"/>
    <w:rsid w:val="00DF02C9"/>
    <w:rsid w:val="00DF085D"/>
    <w:rsid w:val="00DF088E"/>
    <w:rsid w:val="00DF0C7D"/>
    <w:rsid w:val="00DF0E0A"/>
    <w:rsid w:val="00DF0E95"/>
    <w:rsid w:val="00DF17EE"/>
    <w:rsid w:val="00DF1842"/>
    <w:rsid w:val="00DF1AC1"/>
    <w:rsid w:val="00DF1BA4"/>
    <w:rsid w:val="00DF1E33"/>
    <w:rsid w:val="00DF2022"/>
    <w:rsid w:val="00DF26F8"/>
    <w:rsid w:val="00DF28CE"/>
    <w:rsid w:val="00DF30FE"/>
    <w:rsid w:val="00DF32B7"/>
    <w:rsid w:val="00DF34FE"/>
    <w:rsid w:val="00DF369F"/>
    <w:rsid w:val="00DF3812"/>
    <w:rsid w:val="00DF3972"/>
    <w:rsid w:val="00DF3A88"/>
    <w:rsid w:val="00DF3BE0"/>
    <w:rsid w:val="00DF40FA"/>
    <w:rsid w:val="00DF43B1"/>
    <w:rsid w:val="00DF4DEE"/>
    <w:rsid w:val="00DF56AA"/>
    <w:rsid w:val="00DF56AF"/>
    <w:rsid w:val="00DF5C0F"/>
    <w:rsid w:val="00DF5CB9"/>
    <w:rsid w:val="00DF5DFF"/>
    <w:rsid w:val="00DF6126"/>
    <w:rsid w:val="00DF61E8"/>
    <w:rsid w:val="00DF6334"/>
    <w:rsid w:val="00DF6336"/>
    <w:rsid w:val="00DF6388"/>
    <w:rsid w:val="00DF6416"/>
    <w:rsid w:val="00DF6CB3"/>
    <w:rsid w:val="00DF6CE2"/>
    <w:rsid w:val="00DF6DAB"/>
    <w:rsid w:val="00DF6DDF"/>
    <w:rsid w:val="00DF6E45"/>
    <w:rsid w:val="00DF6F32"/>
    <w:rsid w:val="00DF706E"/>
    <w:rsid w:val="00DF78E7"/>
    <w:rsid w:val="00DF7D0E"/>
    <w:rsid w:val="00DF7F0C"/>
    <w:rsid w:val="00E004B6"/>
    <w:rsid w:val="00E00578"/>
    <w:rsid w:val="00E00813"/>
    <w:rsid w:val="00E00864"/>
    <w:rsid w:val="00E00889"/>
    <w:rsid w:val="00E00A7B"/>
    <w:rsid w:val="00E00B33"/>
    <w:rsid w:val="00E0141F"/>
    <w:rsid w:val="00E0178A"/>
    <w:rsid w:val="00E01F54"/>
    <w:rsid w:val="00E02187"/>
    <w:rsid w:val="00E022B4"/>
    <w:rsid w:val="00E027D3"/>
    <w:rsid w:val="00E029D8"/>
    <w:rsid w:val="00E02D46"/>
    <w:rsid w:val="00E02D62"/>
    <w:rsid w:val="00E02ED8"/>
    <w:rsid w:val="00E03185"/>
    <w:rsid w:val="00E03470"/>
    <w:rsid w:val="00E03672"/>
    <w:rsid w:val="00E037C5"/>
    <w:rsid w:val="00E03BAF"/>
    <w:rsid w:val="00E043D9"/>
    <w:rsid w:val="00E04770"/>
    <w:rsid w:val="00E04E4D"/>
    <w:rsid w:val="00E04EC9"/>
    <w:rsid w:val="00E0549C"/>
    <w:rsid w:val="00E0570C"/>
    <w:rsid w:val="00E05718"/>
    <w:rsid w:val="00E05A35"/>
    <w:rsid w:val="00E05B96"/>
    <w:rsid w:val="00E05C48"/>
    <w:rsid w:val="00E05D14"/>
    <w:rsid w:val="00E064B5"/>
    <w:rsid w:val="00E0663D"/>
    <w:rsid w:val="00E06763"/>
    <w:rsid w:val="00E06849"/>
    <w:rsid w:val="00E06919"/>
    <w:rsid w:val="00E06BE1"/>
    <w:rsid w:val="00E06C1C"/>
    <w:rsid w:val="00E0708F"/>
    <w:rsid w:val="00E071B6"/>
    <w:rsid w:val="00E0724C"/>
    <w:rsid w:val="00E07819"/>
    <w:rsid w:val="00E07A0B"/>
    <w:rsid w:val="00E07BBD"/>
    <w:rsid w:val="00E07CF7"/>
    <w:rsid w:val="00E07FB1"/>
    <w:rsid w:val="00E07FBF"/>
    <w:rsid w:val="00E10160"/>
    <w:rsid w:val="00E10A1D"/>
    <w:rsid w:val="00E10A3B"/>
    <w:rsid w:val="00E10BEF"/>
    <w:rsid w:val="00E10FE3"/>
    <w:rsid w:val="00E110E0"/>
    <w:rsid w:val="00E1198A"/>
    <w:rsid w:val="00E11CEA"/>
    <w:rsid w:val="00E11E5E"/>
    <w:rsid w:val="00E12399"/>
    <w:rsid w:val="00E123A9"/>
    <w:rsid w:val="00E12457"/>
    <w:rsid w:val="00E12491"/>
    <w:rsid w:val="00E1249B"/>
    <w:rsid w:val="00E1258A"/>
    <w:rsid w:val="00E129A4"/>
    <w:rsid w:val="00E12AB7"/>
    <w:rsid w:val="00E12E28"/>
    <w:rsid w:val="00E12E45"/>
    <w:rsid w:val="00E12E64"/>
    <w:rsid w:val="00E131EB"/>
    <w:rsid w:val="00E1361A"/>
    <w:rsid w:val="00E13A22"/>
    <w:rsid w:val="00E14131"/>
    <w:rsid w:val="00E14206"/>
    <w:rsid w:val="00E14287"/>
    <w:rsid w:val="00E14596"/>
    <w:rsid w:val="00E14A5D"/>
    <w:rsid w:val="00E14D67"/>
    <w:rsid w:val="00E15179"/>
    <w:rsid w:val="00E15371"/>
    <w:rsid w:val="00E1591D"/>
    <w:rsid w:val="00E15A42"/>
    <w:rsid w:val="00E15B72"/>
    <w:rsid w:val="00E1639D"/>
    <w:rsid w:val="00E1661D"/>
    <w:rsid w:val="00E16D5C"/>
    <w:rsid w:val="00E17616"/>
    <w:rsid w:val="00E17CE7"/>
    <w:rsid w:val="00E17DAB"/>
    <w:rsid w:val="00E17E82"/>
    <w:rsid w:val="00E202E2"/>
    <w:rsid w:val="00E207F6"/>
    <w:rsid w:val="00E20815"/>
    <w:rsid w:val="00E209A7"/>
    <w:rsid w:val="00E209FC"/>
    <w:rsid w:val="00E20A7E"/>
    <w:rsid w:val="00E20ACF"/>
    <w:rsid w:val="00E20AFE"/>
    <w:rsid w:val="00E20C6B"/>
    <w:rsid w:val="00E20CB7"/>
    <w:rsid w:val="00E20EBC"/>
    <w:rsid w:val="00E21672"/>
    <w:rsid w:val="00E21698"/>
    <w:rsid w:val="00E217F2"/>
    <w:rsid w:val="00E219BE"/>
    <w:rsid w:val="00E21B3C"/>
    <w:rsid w:val="00E21D73"/>
    <w:rsid w:val="00E2210B"/>
    <w:rsid w:val="00E222FC"/>
    <w:rsid w:val="00E2262A"/>
    <w:rsid w:val="00E22757"/>
    <w:rsid w:val="00E22A5B"/>
    <w:rsid w:val="00E22D9C"/>
    <w:rsid w:val="00E23074"/>
    <w:rsid w:val="00E23C08"/>
    <w:rsid w:val="00E24104"/>
    <w:rsid w:val="00E24427"/>
    <w:rsid w:val="00E246E6"/>
    <w:rsid w:val="00E25156"/>
    <w:rsid w:val="00E25275"/>
    <w:rsid w:val="00E25277"/>
    <w:rsid w:val="00E256A1"/>
    <w:rsid w:val="00E257A9"/>
    <w:rsid w:val="00E2592E"/>
    <w:rsid w:val="00E259DA"/>
    <w:rsid w:val="00E25D3F"/>
    <w:rsid w:val="00E261B2"/>
    <w:rsid w:val="00E26672"/>
    <w:rsid w:val="00E266AD"/>
    <w:rsid w:val="00E27627"/>
    <w:rsid w:val="00E301E2"/>
    <w:rsid w:val="00E302D0"/>
    <w:rsid w:val="00E305B5"/>
    <w:rsid w:val="00E305BF"/>
    <w:rsid w:val="00E30764"/>
    <w:rsid w:val="00E309B2"/>
    <w:rsid w:val="00E309DB"/>
    <w:rsid w:val="00E30A83"/>
    <w:rsid w:val="00E30B1D"/>
    <w:rsid w:val="00E30D4B"/>
    <w:rsid w:val="00E31793"/>
    <w:rsid w:val="00E31F05"/>
    <w:rsid w:val="00E3200E"/>
    <w:rsid w:val="00E32217"/>
    <w:rsid w:val="00E325A7"/>
    <w:rsid w:val="00E329DE"/>
    <w:rsid w:val="00E32F31"/>
    <w:rsid w:val="00E3328B"/>
    <w:rsid w:val="00E335C3"/>
    <w:rsid w:val="00E337A4"/>
    <w:rsid w:val="00E33885"/>
    <w:rsid w:val="00E33D37"/>
    <w:rsid w:val="00E33F33"/>
    <w:rsid w:val="00E341CA"/>
    <w:rsid w:val="00E34315"/>
    <w:rsid w:val="00E343C5"/>
    <w:rsid w:val="00E34733"/>
    <w:rsid w:val="00E351F4"/>
    <w:rsid w:val="00E35707"/>
    <w:rsid w:val="00E357D0"/>
    <w:rsid w:val="00E35E3C"/>
    <w:rsid w:val="00E363C0"/>
    <w:rsid w:val="00E36449"/>
    <w:rsid w:val="00E364F0"/>
    <w:rsid w:val="00E36513"/>
    <w:rsid w:val="00E36754"/>
    <w:rsid w:val="00E36872"/>
    <w:rsid w:val="00E36AA1"/>
    <w:rsid w:val="00E37007"/>
    <w:rsid w:val="00E375A5"/>
    <w:rsid w:val="00E375DA"/>
    <w:rsid w:val="00E377FF"/>
    <w:rsid w:val="00E37A68"/>
    <w:rsid w:val="00E37CCA"/>
    <w:rsid w:val="00E402DA"/>
    <w:rsid w:val="00E4040D"/>
    <w:rsid w:val="00E40423"/>
    <w:rsid w:val="00E40D12"/>
    <w:rsid w:val="00E40FDF"/>
    <w:rsid w:val="00E41124"/>
    <w:rsid w:val="00E41275"/>
    <w:rsid w:val="00E412B1"/>
    <w:rsid w:val="00E41300"/>
    <w:rsid w:val="00E41328"/>
    <w:rsid w:val="00E41464"/>
    <w:rsid w:val="00E4159B"/>
    <w:rsid w:val="00E416C3"/>
    <w:rsid w:val="00E41902"/>
    <w:rsid w:val="00E41A5D"/>
    <w:rsid w:val="00E41ECB"/>
    <w:rsid w:val="00E41F03"/>
    <w:rsid w:val="00E420D8"/>
    <w:rsid w:val="00E4210C"/>
    <w:rsid w:val="00E42A87"/>
    <w:rsid w:val="00E42F71"/>
    <w:rsid w:val="00E43225"/>
    <w:rsid w:val="00E433C2"/>
    <w:rsid w:val="00E43565"/>
    <w:rsid w:val="00E437ED"/>
    <w:rsid w:val="00E43978"/>
    <w:rsid w:val="00E43AB2"/>
    <w:rsid w:val="00E43B6A"/>
    <w:rsid w:val="00E43CB7"/>
    <w:rsid w:val="00E4400D"/>
    <w:rsid w:val="00E445B2"/>
    <w:rsid w:val="00E44D04"/>
    <w:rsid w:val="00E44D4A"/>
    <w:rsid w:val="00E450FA"/>
    <w:rsid w:val="00E45387"/>
    <w:rsid w:val="00E45424"/>
    <w:rsid w:val="00E4595A"/>
    <w:rsid w:val="00E45CF3"/>
    <w:rsid w:val="00E45DC4"/>
    <w:rsid w:val="00E460CF"/>
    <w:rsid w:val="00E463B3"/>
    <w:rsid w:val="00E467E4"/>
    <w:rsid w:val="00E4682B"/>
    <w:rsid w:val="00E46B0D"/>
    <w:rsid w:val="00E46F7B"/>
    <w:rsid w:val="00E47212"/>
    <w:rsid w:val="00E478C4"/>
    <w:rsid w:val="00E47AFA"/>
    <w:rsid w:val="00E47BC0"/>
    <w:rsid w:val="00E47E3F"/>
    <w:rsid w:val="00E50079"/>
    <w:rsid w:val="00E504AE"/>
    <w:rsid w:val="00E50661"/>
    <w:rsid w:val="00E51489"/>
    <w:rsid w:val="00E5180E"/>
    <w:rsid w:val="00E519D9"/>
    <w:rsid w:val="00E51A3F"/>
    <w:rsid w:val="00E5220E"/>
    <w:rsid w:val="00E5227B"/>
    <w:rsid w:val="00E52414"/>
    <w:rsid w:val="00E52616"/>
    <w:rsid w:val="00E527A0"/>
    <w:rsid w:val="00E529C4"/>
    <w:rsid w:val="00E52C08"/>
    <w:rsid w:val="00E5300F"/>
    <w:rsid w:val="00E53030"/>
    <w:rsid w:val="00E5304E"/>
    <w:rsid w:val="00E5311C"/>
    <w:rsid w:val="00E534DE"/>
    <w:rsid w:val="00E5351E"/>
    <w:rsid w:val="00E53A2F"/>
    <w:rsid w:val="00E53A96"/>
    <w:rsid w:val="00E53CF1"/>
    <w:rsid w:val="00E54808"/>
    <w:rsid w:val="00E54C54"/>
    <w:rsid w:val="00E54D6D"/>
    <w:rsid w:val="00E54F03"/>
    <w:rsid w:val="00E54FDB"/>
    <w:rsid w:val="00E55A66"/>
    <w:rsid w:val="00E55A86"/>
    <w:rsid w:val="00E55DD6"/>
    <w:rsid w:val="00E5617D"/>
    <w:rsid w:val="00E562D8"/>
    <w:rsid w:val="00E5638E"/>
    <w:rsid w:val="00E563D7"/>
    <w:rsid w:val="00E5686D"/>
    <w:rsid w:val="00E56874"/>
    <w:rsid w:val="00E569FA"/>
    <w:rsid w:val="00E56C90"/>
    <w:rsid w:val="00E56F45"/>
    <w:rsid w:val="00E57108"/>
    <w:rsid w:val="00E57489"/>
    <w:rsid w:val="00E576D3"/>
    <w:rsid w:val="00E57965"/>
    <w:rsid w:val="00E57BD4"/>
    <w:rsid w:val="00E57E43"/>
    <w:rsid w:val="00E57E5C"/>
    <w:rsid w:val="00E602B1"/>
    <w:rsid w:val="00E602CB"/>
    <w:rsid w:val="00E605E5"/>
    <w:rsid w:val="00E60636"/>
    <w:rsid w:val="00E6078C"/>
    <w:rsid w:val="00E608AD"/>
    <w:rsid w:val="00E60C05"/>
    <w:rsid w:val="00E617C3"/>
    <w:rsid w:val="00E61F35"/>
    <w:rsid w:val="00E62342"/>
    <w:rsid w:val="00E62380"/>
    <w:rsid w:val="00E623B5"/>
    <w:rsid w:val="00E62627"/>
    <w:rsid w:val="00E6270F"/>
    <w:rsid w:val="00E628D4"/>
    <w:rsid w:val="00E62E57"/>
    <w:rsid w:val="00E62F4C"/>
    <w:rsid w:val="00E62FA4"/>
    <w:rsid w:val="00E631AF"/>
    <w:rsid w:val="00E6324D"/>
    <w:rsid w:val="00E6326B"/>
    <w:rsid w:val="00E63300"/>
    <w:rsid w:val="00E6355E"/>
    <w:rsid w:val="00E6359C"/>
    <w:rsid w:val="00E6363D"/>
    <w:rsid w:val="00E63741"/>
    <w:rsid w:val="00E63BF5"/>
    <w:rsid w:val="00E643CE"/>
    <w:rsid w:val="00E64C55"/>
    <w:rsid w:val="00E64CF7"/>
    <w:rsid w:val="00E64F42"/>
    <w:rsid w:val="00E64F8E"/>
    <w:rsid w:val="00E655B6"/>
    <w:rsid w:val="00E662CD"/>
    <w:rsid w:val="00E66335"/>
    <w:rsid w:val="00E663F4"/>
    <w:rsid w:val="00E66578"/>
    <w:rsid w:val="00E666F2"/>
    <w:rsid w:val="00E66711"/>
    <w:rsid w:val="00E6674F"/>
    <w:rsid w:val="00E6685A"/>
    <w:rsid w:val="00E66CD5"/>
    <w:rsid w:val="00E66D57"/>
    <w:rsid w:val="00E66DD4"/>
    <w:rsid w:val="00E66F03"/>
    <w:rsid w:val="00E66FDC"/>
    <w:rsid w:val="00E6710B"/>
    <w:rsid w:val="00E674CE"/>
    <w:rsid w:val="00E67726"/>
    <w:rsid w:val="00E679F2"/>
    <w:rsid w:val="00E67DB8"/>
    <w:rsid w:val="00E70110"/>
    <w:rsid w:val="00E7016E"/>
    <w:rsid w:val="00E703CA"/>
    <w:rsid w:val="00E704A4"/>
    <w:rsid w:val="00E706F9"/>
    <w:rsid w:val="00E70708"/>
    <w:rsid w:val="00E709AF"/>
    <w:rsid w:val="00E70C08"/>
    <w:rsid w:val="00E70F23"/>
    <w:rsid w:val="00E71067"/>
    <w:rsid w:val="00E71503"/>
    <w:rsid w:val="00E7150A"/>
    <w:rsid w:val="00E71617"/>
    <w:rsid w:val="00E7194A"/>
    <w:rsid w:val="00E71992"/>
    <w:rsid w:val="00E71C54"/>
    <w:rsid w:val="00E71CA9"/>
    <w:rsid w:val="00E71DBC"/>
    <w:rsid w:val="00E72334"/>
    <w:rsid w:val="00E72675"/>
    <w:rsid w:val="00E7272E"/>
    <w:rsid w:val="00E730C8"/>
    <w:rsid w:val="00E734FC"/>
    <w:rsid w:val="00E7355E"/>
    <w:rsid w:val="00E736A5"/>
    <w:rsid w:val="00E737FD"/>
    <w:rsid w:val="00E73908"/>
    <w:rsid w:val="00E73975"/>
    <w:rsid w:val="00E739FB"/>
    <w:rsid w:val="00E73C74"/>
    <w:rsid w:val="00E7417D"/>
    <w:rsid w:val="00E743C9"/>
    <w:rsid w:val="00E744C2"/>
    <w:rsid w:val="00E748CC"/>
    <w:rsid w:val="00E74917"/>
    <w:rsid w:val="00E74B57"/>
    <w:rsid w:val="00E74C98"/>
    <w:rsid w:val="00E74E18"/>
    <w:rsid w:val="00E74EE6"/>
    <w:rsid w:val="00E74F77"/>
    <w:rsid w:val="00E74FFE"/>
    <w:rsid w:val="00E750AD"/>
    <w:rsid w:val="00E751B8"/>
    <w:rsid w:val="00E75415"/>
    <w:rsid w:val="00E75468"/>
    <w:rsid w:val="00E758E0"/>
    <w:rsid w:val="00E76074"/>
    <w:rsid w:val="00E76085"/>
    <w:rsid w:val="00E768BB"/>
    <w:rsid w:val="00E76BBB"/>
    <w:rsid w:val="00E76FC5"/>
    <w:rsid w:val="00E77352"/>
    <w:rsid w:val="00E773DF"/>
    <w:rsid w:val="00E774C9"/>
    <w:rsid w:val="00E775B1"/>
    <w:rsid w:val="00E775F9"/>
    <w:rsid w:val="00E77A5E"/>
    <w:rsid w:val="00E77C71"/>
    <w:rsid w:val="00E77DF6"/>
    <w:rsid w:val="00E77F3C"/>
    <w:rsid w:val="00E80126"/>
    <w:rsid w:val="00E803B3"/>
    <w:rsid w:val="00E804A8"/>
    <w:rsid w:val="00E807D5"/>
    <w:rsid w:val="00E80AF4"/>
    <w:rsid w:val="00E80BF9"/>
    <w:rsid w:val="00E8112A"/>
    <w:rsid w:val="00E81431"/>
    <w:rsid w:val="00E8152A"/>
    <w:rsid w:val="00E81806"/>
    <w:rsid w:val="00E81D00"/>
    <w:rsid w:val="00E8232F"/>
    <w:rsid w:val="00E827C8"/>
    <w:rsid w:val="00E82CDB"/>
    <w:rsid w:val="00E82D2F"/>
    <w:rsid w:val="00E82F73"/>
    <w:rsid w:val="00E83041"/>
    <w:rsid w:val="00E830BA"/>
    <w:rsid w:val="00E8328C"/>
    <w:rsid w:val="00E83BC7"/>
    <w:rsid w:val="00E83BF0"/>
    <w:rsid w:val="00E83FCF"/>
    <w:rsid w:val="00E83FE1"/>
    <w:rsid w:val="00E8426B"/>
    <w:rsid w:val="00E845F2"/>
    <w:rsid w:val="00E8467A"/>
    <w:rsid w:val="00E848EB"/>
    <w:rsid w:val="00E849D5"/>
    <w:rsid w:val="00E84AB7"/>
    <w:rsid w:val="00E84B24"/>
    <w:rsid w:val="00E85270"/>
    <w:rsid w:val="00E854AC"/>
    <w:rsid w:val="00E865D5"/>
    <w:rsid w:val="00E86613"/>
    <w:rsid w:val="00E86884"/>
    <w:rsid w:val="00E86CCE"/>
    <w:rsid w:val="00E86F46"/>
    <w:rsid w:val="00E87316"/>
    <w:rsid w:val="00E87379"/>
    <w:rsid w:val="00E874F1"/>
    <w:rsid w:val="00E875FC"/>
    <w:rsid w:val="00E87C0B"/>
    <w:rsid w:val="00E87F7D"/>
    <w:rsid w:val="00E87F90"/>
    <w:rsid w:val="00E9008E"/>
    <w:rsid w:val="00E90150"/>
    <w:rsid w:val="00E902FF"/>
    <w:rsid w:val="00E905AE"/>
    <w:rsid w:val="00E90748"/>
    <w:rsid w:val="00E91061"/>
    <w:rsid w:val="00E91165"/>
    <w:rsid w:val="00E911A8"/>
    <w:rsid w:val="00E914BC"/>
    <w:rsid w:val="00E91567"/>
    <w:rsid w:val="00E91F7A"/>
    <w:rsid w:val="00E920EB"/>
    <w:rsid w:val="00E92115"/>
    <w:rsid w:val="00E92242"/>
    <w:rsid w:val="00E92458"/>
    <w:rsid w:val="00E92791"/>
    <w:rsid w:val="00E92C0F"/>
    <w:rsid w:val="00E92C6D"/>
    <w:rsid w:val="00E92E20"/>
    <w:rsid w:val="00E9320C"/>
    <w:rsid w:val="00E933E2"/>
    <w:rsid w:val="00E93629"/>
    <w:rsid w:val="00E936AC"/>
    <w:rsid w:val="00E937D1"/>
    <w:rsid w:val="00E93A04"/>
    <w:rsid w:val="00E93B5C"/>
    <w:rsid w:val="00E93BD6"/>
    <w:rsid w:val="00E94117"/>
    <w:rsid w:val="00E9436B"/>
    <w:rsid w:val="00E94604"/>
    <w:rsid w:val="00E94CEC"/>
    <w:rsid w:val="00E94DC0"/>
    <w:rsid w:val="00E94F3E"/>
    <w:rsid w:val="00E95720"/>
    <w:rsid w:val="00E95880"/>
    <w:rsid w:val="00E9596A"/>
    <w:rsid w:val="00E95B07"/>
    <w:rsid w:val="00E95C4C"/>
    <w:rsid w:val="00E96017"/>
    <w:rsid w:val="00E96900"/>
    <w:rsid w:val="00E96A64"/>
    <w:rsid w:val="00E96B09"/>
    <w:rsid w:val="00E96BE7"/>
    <w:rsid w:val="00E972C7"/>
    <w:rsid w:val="00E9739F"/>
    <w:rsid w:val="00E97423"/>
    <w:rsid w:val="00E9785C"/>
    <w:rsid w:val="00E97880"/>
    <w:rsid w:val="00E9794E"/>
    <w:rsid w:val="00E97BE0"/>
    <w:rsid w:val="00EA01BB"/>
    <w:rsid w:val="00EA04EF"/>
    <w:rsid w:val="00EA0641"/>
    <w:rsid w:val="00EA0960"/>
    <w:rsid w:val="00EA0B8B"/>
    <w:rsid w:val="00EA0BF5"/>
    <w:rsid w:val="00EA1059"/>
    <w:rsid w:val="00EA1182"/>
    <w:rsid w:val="00EA135C"/>
    <w:rsid w:val="00EA18CC"/>
    <w:rsid w:val="00EA1A65"/>
    <w:rsid w:val="00EA1B63"/>
    <w:rsid w:val="00EA1B89"/>
    <w:rsid w:val="00EA1EDC"/>
    <w:rsid w:val="00EA28B4"/>
    <w:rsid w:val="00EA2941"/>
    <w:rsid w:val="00EA2A36"/>
    <w:rsid w:val="00EA2F63"/>
    <w:rsid w:val="00EA300A"/>
    <w:rsid w:val="00EA31AB"/>
    <w:rsid w:val="00EA3953"/>
    <w:rsid w:val="00EA3999"/>
    <w:rsid w:val="00EA3CFC"/>
    <w:rsid w:val="00EA3F9E"/>
    <w:rsid w:val="00EA418C"/>
    <w:rsid w:val="00EA41DD"/>
    <w:rsid w:val="00EA52A2"/>
    <w:rsid w:val="00EA52D5"/>
    <w:rsid w:val="00EA54D5"/>
    <w:rsid w:val="00EA56AB"/>
    <w:rsid w:val="00EA59BF"/>
    <w:rsid w:val="00EA5B17"/>
    <w:rsid w:val="00EA5FAC"/>
    <w:rsid w:val="00EA60DE"/>
    <w:rsid w:val="00EA62D2"/>
    <w:rsid w:val="00EA6495"/>
    <w:rsid w:val="00EA64AB"/>
    <w:rsid w:val="00EA687B"/>
    <w:rsid w:val="00EA6BBC"/>
    <w:rsid w:val="00EA6D18"/>
    <w:rsid w:val="00EA6DEF"/>
    <w:rsid w:val="00EA6F19"/>
    <w:rsid w:val="00EA73F4"/>
    <w:rsid w:val="00EA7A6D"/>
    <w:rsid w:val="00EA7FD9"/>
    <w:rsid w:val="00EB067A"/>
    <w:rsid w:val="00EB0B5E"/>
    <w:rsid w:val="00EB0B92"/>
    <w:rsid w:val="00EB0CCD"/>
    <w:rsid w:val="00EB0F5A"/>
    <w:rsid w:val="00EB1009"/>
    <w:rsid w:val="00EB11B8"/>
    <w:rsid w:val="00EB14A1"/>
    <w:rsid w:val="00EB167D"/>
    <w:rsid w:val="00EB16DB"/>
    <w:rsid w:val="00EB1A90"/>
    <w:rsid w:val="00EB1FDB"/>
    <w:rsid w:val="00EB229F"/>
    <w:rsid w:val="00EB22C2"/>
    <w:rsid w:val="00EB2600"/>
    <w:rsid w:val="00EB293C"/>
    <w:rsid w:val="00EB2A56"/>
    <w:rsid w:val="00EB2F1B"/>
    <w:rsid w:val="00EB338D"/>
    <w:rsid w:val="00EB3509"/>
    <w:rsid w:val="00EB3C47"/>
    <w:rsid w:val="00EB3C74"/>
    <w:rsid w:val="00EB3D99"/>
    <w:rsid w:val="00EB3E8B"/>
    <w:rsid w:val="00EB414F"/>
    <w:rsid w:val="00EB4153"/>
    <w:rsid w:val="00EB452E"/>
    <w:rsid w:val="00EB5146"/>
    <w:rsid w:val="00EB53BC"/>
    <w:rsid w:val="00EB5605"/>
    <w:rsid w:val="00EB57F6"/>
    <w:rsid w:val="00EB5CC9"/>
    <w:rsid w:val="00EB60F5"/>
    <w:rsid w:val="00EB6507"/>
    <w:rsid w:val="00EB66D1"/>
    <w:rsid w:val="00EB67FF"/>
    <w:rsid w:val="00EB697A"/>
    <w:rsid w:val="00EB6C22"/>
    <w:rsid w:val="00EB6D74"/>
    <w:rsid w:val="00EB7076"/>
    <w:rsid w:val="00EB7090"/>
    <w:rsid w:val="00EB7167"/>
    <w:rsid w:val="00EB7535"/>
    <w:rsid w:val="00EB7555"/>
    <w:rsid w:val="00EB7670"/>
    <w:rsid w:val="00EB78D9"/>
    <w:rsid w:val="00EB7C3D"/>
    <w:rsid w:val="00EC0268"/>
    <w:rsid w:val="00EC0405"/>
    <w:rsid w:val="00EC0565"/>
    <w:rsid w:val="00EC06A3"/>
    <w:rsid w:val="00EC06F4"/>
    <w:rsid w:val="00EC0A4D"/>
    <w:rsid w:val="00EC10F9"/>
    <w:rsid w:val="00EC13FB"/>
    <w:rsid w:val="00EC1474"/>
    <w:rsid w:val="00EC147F"/>
    <w:rsid w:val="00EC1B8E"/>
    <w:rsid w:val="00EC1BBE"/>
    <w:rsid w:val="00EC22DC"/>
    <w:rsid w:val="00EC279C"/>
    <w:rsid w:val="00EC2A5C"/>
    <w:rsid w:val="00EC2CF8"/>
    <w:rsid w:val="00EC2F66"/>
    <w:rsid w:val="00EC396D"/>
    <w:rsid w:val="00EC3E4D"/>
    <w:rsid w:val="00EC42B6"/>
    <w:rsid w:val="00EC46D9"/>
    <w:rsid w:val="00EC46E7"/>
    <w:rsid w:val="00EC4994"/>
    <w:rsid w:val="00EC4B07"/>
    <w:rsid w:val="00EC4BDA"/>
    <w:rsid w:val="00EC4D23"/>
    <w:rsid w:val="00EC4DC7"/>
    <w:rsid w:val="00EC5388"/>
    <w:rsid w:val="00EC564D"/>
    <w:rsid w:val="00EC58F7"/>
    <w:rsid w:val="00EC5982"/>
    <w:rsid w:val="00EC59C9"/>
    <w:rsid w:val="00EC5C76"/>
    <w:rsid w:val="00EC5CD7"/>
    <w:rsid w:val="00EC5D59"/>
    <w:rsid w:val="00EC6499"/>
    <w:rsid w:val="00EC656B"/>
    <w:rsid w:val="00EC71E9"/>
    <w:rsid w:val="00EC7211"/>
    <w:rsid w:val="00EC7994"/>
    <w:rsid w:val="00EC7BC6"/>
    <w:rsid w:val="00EC7CC4"/>
    <w:rsid w:val="00EC7CEC"/>
    <w:rsid w:val="00EC7E9E"/>
    <w:rsid w:val="00EC7F5D"/>
    <w:rsid w:val="00EC7FE5"/>
    <w:rsid w:val="00ED028C"/>
    <w:rsid w:val="00ED02B0"/>
    <w:rsid w:val="00ED05A4"/>
    <w:rsid w:val="00ED0624"/>
    <w:rsid w:val="00ED1160"/>
    <w:rsid w:val="00ED1542"/>
    <w:rsid w:val="00ED163C"/>
    <w:rsid w:val="00ED1A8E"/>
    <w:rsid w:val="00ED1B7A"/>
    <w:rsid w:val="00ED1CCA"/>
    <w:rsid w:val="00ED201B"/>
    <w:rsid w:val="00ED28B7"/>
    <w:rsid w:val="00ED3944"/>
    <w:rsid w:val="00ED3A77"/>
    <w:rsid w:val="00ED3C52"/>
    <w:rsid w:val="00ED4005"/>
    <w:rsid w:val="00ED4281"/>
    <w:rsid w:val="00ED468C"/>
    <w:rsid w:val="00ED477B"/>
    <w:rsid w:val="00ED4A2B"/>
    <w:rsid w:val="00ED4AC9"/>
    <w:rsid w:val="00ED4B30"/>
    <w:rsid w:val="00ED4C1D"/>
    <w:rsid w:val="00ED4C8A"/>
    <w:rsid w:val="00ED4E90"/>
    <w:rsid w:val="00ED4FE2"/>
    <w:rsid w:val="00ED5001"/>
    <w:rsid w:val="00ED52AD"/>
    <w:rsid w:val="00ED53EC"/>
    <w:rsid w:val="00ED5406"/>
    <w:rsid w:val="00ED5658"/>
    <w:rsid w:val="00ED59E3"/>
    <w:rsid w:val="00ED5F43"/>
    <w:rsid w:val="00ED6027"/>
    <w:rsid w:val="00ED61F8"/>
    <w:rsid w:val="00ED6272"/>
    <w:rsid w:val="00ED67AC"/>
    <w:rsid w:val="00ED67AD"/>
    <w:rsid w:val="00ED6893"/>
    <w:rsid w:val="00ED6B0D"/>
    <w:rsid w:val="00ED7ADE"/>
    <w:rsid w:val="00EE00C9"/>
    <w:rsid w:val="00EE022E"/>
    <w:rsid w:val="00EE0258"/>
    <w:rsid w:val="00EE0639"/>
    <w:rsid w:val="00EE08CA"/>
    <w:rsid w:val="00EE08DD"/>
    <w:rsid w:val="00EE0BFC"/>
    <w:rsid w:val="00EE1182"/>
    <w:rsid w:val="00EE12B1"/>
    <w:rsid w:val="00EE153D"/>
    <w:rsid w:val="00EE170F"/>
    <w:rsid w:val="00EE175A"/>
    <w:rsid w:val="00EE1971"/>
    <w:rsid w:val="00EE1BBE"/>
    <w:rsid w:val="00EE296C"/>
    <w:rsid w:val="00EE298A"/>
    <w:rsid w:val="00EE2FDD"/>
    <w:rsid w:val="00EE318C"/>
    <w:rsid w:val="00EE35DA"/>
    <w:rsid w:val="00EE37A3"/>
    <w:rsid w:val="00EE3C7B"/>
    <w:rsid w:val="00EE3D90"/>
    <w:rsid w:val="00EE3EFE"/>
    <w:rsid w:val="00EE4410"/>
    <w:rsid w:val="00EE47F5"/>
    <w:rsid w:val="00EE49BB"/>
    <w:rsid w:val="00EE49F6"/>
    <w:rsid w:val="00EE4CA0"/>
    <w:rsid w:val="00EE53DD"/>
    <w:rsid w:val="00EE57A6"/>
    <w:rsid w:val="00EE58EA"/>
    <w:rsid w:val="00EE5EF8"/>
    <w:rsid w:val="00EE5FB3"/>
    <w:rsid w:val="00EE6079"/>
    <w:rsid w:val="00EE6120"/>
    <w:rsid w:val="00EE627A"/>
    <w:rsid w:val="00EE6863"/>
    <w:rsid w:val="00EE6E57"/>
    <w:rsid w:val="00EE6E9B"/>
    <w:rsid w:val="00EE70EA"/>
    <w:rsid w:val="00EE710F"/>
    <w:rsid w:val="00EE7514"/>
    <w:rsid w:val="00EE7591"/>
    <w:rsid w:val="00EE7718"/>
    <w:rsid w:val="00EE7A0D"/>
    <w:rsid w:val="00EE7AE9"/>
    <w:rsid w:val="00EE7E08"/>
    <w:rsid w:val="00EE7F79"/>
    <w:rsid w:val="00EE7FAC"/>
    <w:rsid w:val="00EF0223"/>
    <w:rsid w:val="00EF0431"/>
    <w:rsid w:val="00EF06DC"/>
    <w:rsid w:val="00EF095F"/>
    <w:rsid w:val="00EF0E54"/>
    <w:rsid w:val="00EF0E76"/>
    <w:rsid w:val="00EF0F26"/>
    <w:rsid w:val="00EF0F5D"/>
    <w:rsid w:val="00EF1004"/>
    <w:rsid w:val="00EF1162"/>
    <w:rsid w:val="00EF15F5"/>
    <w:rsid w:val="00EF1999"/>
    <w:rsid w:val="00EF1B0A"/>
    <w:rsid w:val="00EF1BC8"/>
    <w:rsid w:val="00EF1E20"/>
    <w:rsid w:val="00EF1F2C"/>
    <w:rsid w:val="00EF20BA"/>
    <w:rsid w:val="00EF20E4"/>
    <w:rsid w:val="00EF2595"/>
    <w:rsid w:val="00EF2D3F"/>
    <w:rsid w:val="00EF3174"/>
    <w:rsid w:val="00EF31DA"/>
    <w:rsid w:val="00EF334B"/>
    <w:rsid w:val="00EF3808"/>
    <w:rsid w:val="00EF3A10"/>
    <w:rsid w:val="00EF3D1A"/>
    <w:rsid w:val="00EF3F72"/>
    <w:rsid w:val="00EF4037"/>
    <w:rsid w:val="00EF404A"/>
    <w:rsid w:val="00EF48AB"/>
    <w:rsid w:val="00EF4987"/>
    <w:rsid w:val="00EF4C9E"/>
    <w:rsid w:val="00EF5C96"/>
    <w:rsid w:val="00EF5F9E"/>
    <w:rsid w:val="00EF6022"/>
    <w:rsid w:val="00EF622A"/>
    <w:rsid w:val="00EF62E5"/>
    <w:rsid w:val="00EF65D2"/>
    <w:rsid w:val="00EF6BBE"/>
    <w:rsid w:val="00EF6C63"/>
    <w:rsid w:val="00EF6CD9"/>
    <w:rsid w:val="00EF6F9B"/>
    <w:rsid w:val="00EF6FD5"/>
    <w:rsid w:val="00EF715A"/>
    <w:rsid w:val="00EF716D"/>
    <w:rsid w:val="00EF7904"/>
    <w:rsid w:val="00EF7BD9"/>
    <w:rsid w:val="00EF7FAE"/>
    <w:rsid w:val="00F00490"/>
    <w:rsid w:val="00F0061D"/>
    <w:rsid w:val="00F00875"/>
    <w:rsid w:val="00F0087E"/>
    <w:rsid w:val="00F00E00"/>
    <w:rsid w:val="00F00F18"/>
    <w:rsid w:val="00F012F0"/>
    <w:rsid w:val="00F0151A"/>
    <w:rsid w:val="00F015D2"/>
    <w:rsid w:val="00F01663"/>
    <w:rsid w:val="00F01781"/>
    <w:rsid w:val="00F017EC"/>
    <w:rsid w:val="00F0187E"/>
    <w:rsid w:val="00F01A56"/>
    <w:rsid w:val="00F01CB1"/>
    <w:rsid w:val="00F01E2C"/>
    <w:rsid w:val="00F021A4"/>
    <w:rsid w:val="00F024BE"/>
    <w:rsid w:val="00F025B7"/>
    <w:rsid w:val="00F029CD"/>
    <w:rsid w:val="00F030F1"/>
    <w:rsid w:val="00F03207"/>
    <w:rsid w:val="00F03699"/>
    <w:rsid w:val="00F037E5"/>
    <w:rsid w:val="00F039A1"/>
    <w:rsid w:val="00F03A14"/>
    <w:rsid w:val="00F03D7F"/>
    <w:rsid w:val="00F03DE8"/>
    <w:rsid w:val="00F042EC"/>
    <w:rsid w:val="00F04402"/>
    <w:rsid w:val="00F044E1"/>
    <w:rsid w:val="00F048AB"/>
    <w:rsid w:val="00F04C10"/>
    <w:rsid w:val="00F04CE6"/>
    <w:rsid w:val="00F04FB3"/>
    <w:rsid w:val="00F051AD"/>
    <w:rsid w:val="00F0544F"/>
    <w:rsid w:val="00F054F9"/>
    <w:rsid w:val="00F05912"/>
    <w:rsid w:val="00F05E18"/>
    <w:rsid w:val="00F05FB5"/>
    <w:rsid w:val="00F06154"/>
    <w:rsid w:val="00F063CB"/>
    <w:rsid w:val="00F06540"/>
    <w:rsid w:val="00F066BB"/>
    <w:rsid w:val="00F06A84"/>
    <w:rsid w:val="00F06E14"/>
    <w:rsid w:val="00F06FD6"/>
    <w:rsid w:val="00F072DF"/>
    <w:rsid w:val="00F07402"/>
    <w:rsid w:val="00F07591"/>
    <w:rsid w:val="00F07755"/>
    <w:rsid w:val="00F07D72"/>
    <w:rsid w:val="00F104EE"/>
    <w:rsid w:val="00F10540"/>
    <w:rsid w:val="00F10CE5"/>
    <w:rsid w:val="00F11121"/>
    <w:rsid w:val="00F11130"/>
    <w:rsid w:val="00F11148"/>
    <w:rsid w:val="00F11660"/>
    <w:rsid w:val="00F116D3"/>
    <w:rsid w:val="00F11809"/>
    <w:rsid w:val="00F1180D"/>
    <w:rsid w:val="00F118C1"/>
    <w:rsid w:val="00F11F65"/>
    <w:rsid w:val="00F13068"/>
    <w:rsid w:val="00F13186"/>
    <w:rsid w:val="00F131C4"/>
    <w:rsid w:val="00F13664"/>
    <w:rsid w:val="00F146BD"/>
    <w:rsid w:val="00F14910"/>
    <w:rsid w:val="00F14C74"/>
    <w:rsid w:val="00F14DED"/>
    <w:rsid w:val="00F14E81"/>
    <w:rsid w:val="00F1556F"/>
    <w:rsid w:val="00F157C9"/>
    <w:rsid w:val="00F15806"/>
    <w:rsid w:val="00F15BFE"/>
    <w:rsid w:val="00F15C88"/>
    <w:rsid w:val="00F15DAC"/>
    <w:rsid w:val="00F15EAF"/>
    <w:rsid w:val="00F15FDF"/>
    <w:rsid w:val="00F16026"/>
    <w:rsid w:val="00F163A2"/>
    <w:rsid w:val="00F16497"/>
    <w:rsid w:val="00F16D44"/>
    <w:rsid w:val="00F16F31"/>
    <w:rsid w:val="00F173B6"/>
    <w:rsid w:val="00F17532"/>
    <w:rsid w:val="00F17549"/>
    <w:rsid w:val="00F179D4"/>
    <w:rsid w:val="00F17D97"/>
    <w:rsid w:val="00F20448"/>
    <w:rsid w:val="00F205E5"/>
    <w:rsid w:val="00F20650"/>
    <w:rsid w:val="00F208C7"/>
    <w:rsid w:val="00F20A70"/>
    <w:rsid w:val="00F20D2E"/>
    <w:rsid w:val="00F210C0"/>
    <w:rsid w:val="00F21574"/>
    <w:rsid w:val="00F215BB"/>
    <w:rsid w:val="00F218C5"/>
    <w:rsid w:val="00F21914"/>
    <w:rsid w:val="00F21F53"/>
    <w:rsid w:val="00F223BA"/>
    <w:rsid w:val="00F22648"/>
    <w:rsid w:val="00F22681"/>
    <w:rsid w:val="00F2271D"/>
    <w:rsid w:val="00F22FDB"/>
    <w:rsid w:val="00F23170"/>
    <w:rsid w:val="00F23532"/>
    <w:rsid w:val="00F23BAE"/>
    <w:rsid w:val="00F23C27"/>
    <w:rsid w:val="00F23C47"/>
    <w:rsid w:val="00F23FE4"/>
    <w:rsid w:val="00F2455D"/>
    <w:rsid w:val="00F24C85"/>
    <w:rsid w:val="00F24C8A"/>
    <w:rsid w:val="00F24CC6"/>
    <w:rsid w:val="00F24DE9"/>
    <w:rsid w:val="00F255D8"/>
    <w:rsid w:val="00F25634"/>
    <w:rsid w:val="00F25AAF"/>
    <w:rsid w:val="00F25D66"/>
    <w:rsid w:val="00F25DAD"/>
    <w:rsid w:val="00F25EBB"/>
    <w:rsid w:val="00F25F7B"/>
    <w:rsid w:val="00F26154"/>
    <w:rsid w:val="00F268C4"/>
    <w:rsid w:val="00F2691D"/>
    <w:rsid w:val="00F26959"/>
    <w:rsid w:val="00F26BE1"/>
    <w:rsid w:val="00F26CF0"/>
    <w:rsid w:val="00F26EB2"/>
    <w:rsid w:val="00F26F04"/>
    <w:rsid w:val="00F2704B"/>
    <w:rsid w:val="00F27541"/>
    <w:rsid w:val="00F27917"/>
    <w:rsid w:val="00F2797B"/>
    <w:rsid w:val="00F27C8F"/>
    <w:rsid w:val="00F27C9F"/>
    <w:rsid w:val="00F303CF"/>
    <w:rsid w:val="00F30B2D"/>
    <w:rsid w:val="00F30CA2"/>
    <w:rsid w:val="00F30CA4"/>
    <w:rsid w:val="00F30CCA"/>
    <w:rsid w:val="00F30F2C"/>
    <w:rsid w:val="00F31F27"/>
    <w:rsid w:val="00F32001"/>
    <w:rsid w:val="00F3212E"/>
    <w:rsid w:val="00F32235"/>
    <w:rsid w:val="00F327DE"/>
    <w:rsid w:val="00F32A93"/>
    <w:rsid w:val="00F32B0B"/>
    <w:rsid w:val="00F32B25"/>
    <w:rsid w:val="00F32B5C"/>
    <w:rsid w:val="00F33071"/>
    <w:rsid w:val="00F336EB"/>
    <w:rsid w:val="00F33B1D"/>
    <w:rsid w:val="00F33B85"/>
    <w:rsid w:val="00F33C56"/>
    <w:rsid w:val="00F33C6F"/>
    <w:rsid w:val="00F33C89"/>
    <w:rsid w:val="00F33D0F"/>
    <w:rsid w:val="00F33E86"/>
    <w:rsid w:val="00F342D2"/>
    <w:rsid w:val="00F3437F"/>
    <w:rsid w:val="00F344F9"/>
    <w:rsid w:val="00F346D9"/>
    <w:rsid w:val="00F347C7"/>
    <w:rsid w:val="00F347D6"/>
    <w:rsid w:val="00F347E5"/>
    <w:rsid w:val="00F34848"/>
    <w:rsid w:val="00F34880"/>
    <w:rsid w:val="00F349AA"/>
    <w:rsid w:val="00F349E0"/>
    <w:rsid w:val="00F34A96"/>
    <w:rsid w:val="00F35B00"/>
    <w:rsid w:val="00F35D15"/>
    <w:rsid w:val="00F35DEF"/>
    <w:rsid w:val="00F3621E"/>
    <w:rsid w:val="00F362C0"/>
    <w:rsid w:val="00F36893"/>
    <w:rsid w:val="00F3696E"/>
    <w:rsid w:val="00F369CE"/>
    <w:rsid w:val="00F36B41"/>
    <w:rsid w:val="00F375E4"/>
    <w:rsid w:val="00F40063"/>
    <w:rsid w:val="00F4057E"/>
    <w:rsid w:val="00F407AD"/>
    <w:rsid w:val="00F407B0"/>
    <w:rsid w:val="00F40BC9"/>
    <w:rsid w:val="00F40F62"/>
    <w:rsid w:val="00F413C8"/>
    <w:rsid w:val="00F41648"/>
    <w:rsid w:val="00F41680"/>
    <w:rsid w:val="00F419EC"/>
    <w:rsid w:val="00F41A04"/>
    <w:rsid w:val="00F41C31"/>
    <w:rsid w:val="00F41CDB"/>
    <w:rsid w:val="00F41E17"/>
    <w:rsid w:val="00F41F3B"/>
    <w:rsid w:val="00F41F89"/>
    <w:rsid w:val="00F4202B"/>
    <w:rsid w:val="00F42222"/>
    <w:rsid w:val="00F42585"/>
    <w:rsid w:val="00F427AE"/>
    <w:rsid w:val="00F42AB8"/>
    <w:rsid w:val="00F42B63"/>
    <w:rsid w:val="00F42C38"/>
    <w:rsid w:val="00F42D46"/>
    <w:rsid w:val="00F42D7C"/>
    <w:rsid w:val="00F42E07"/>
    <w:rsid w:val="00F4360B"/>
    <w:rsid w:val="00F43889"/>
    <w:rsid w:val="00F4438E"/>
    <w:rsid w:val="00F4496C"/>
    <w:rsid w:val="00F449B0"/>
    <w:rsid w:val="00F44BA3"/>
    <w:rsid w:val="00F44C24"/>
    <w:rsid w:val="00F44F3A"/>
    <w:rsid w:val="00F44F65"/>
    <w:rsid w:val="00F45196"/>
    <w:rsid w:val="00F45B50"/>
    <w:rsid w:val="00F45C16"/>
    <w:rsid w:val="00F45DF9"/>
    <w:rsid w:val="00F4620B"/>
    <w:rsid w:val="00F462A5"/>
    <w:rsid w:val="00F465B8"/>
    <w:rsid w:val="00F46B37"/>
    <w:rsid w:val="00F46C9A"/>
    <w:rsid w:val="00F46E49"/>
    <w:rsid w:val="00F46EA9"/>
    <w:rsid w:val="00F46FC9"/>
    <w:rsid w:val="00F473CD"/>
    <w:rsid w:val="00F47A45"/>
    <w:rsid w:val="00F502CE"/>
    <w:rsid w:val="00F503AE"/>
    <w:rsid w:val="00F503D3"/>
    <w:rsid w:val="00F50437"/>
    <w:rsid w:val="00F5063F"/>
    <w:rsid w:val="00F50D32"/>
    <w:rsid w:val="00F5133E"/>
    <w:rsid w:val="00F514AC"/>
    <w:rsid w:val="00F51C53"/>
    <w:rsid w:val="00F51F10"/>
    <w:rsid w:val="00F522DC"/>
    <w:rsid w:val="00F524E9"/>
    <w:rsid w:val="00F5271E"/>
    <w:rsid w:val="00F529A5"/>
    <w:rsid w:val="00F52F12"/>
    <w:rsid w:val="00F53773"/>
    <w:rsid w:val="00F53FEE"/>
    <w:rsid w:val="00F54608"/>
    <w:rsid w:val="00F546AF"/>
    <w:rsid w:val="00F54C2A"/>
    <w:rsid w:val="00F553B1"/>
    <w:rsid w:val="00F5577A"/>
    <w:rsid w:val="00F55837"/>
    <w:rsid w:val="00F55892"/>
    <w:rsid w:val="00F5589A"/>
    <w:rsid w:val="00F55B3C"/>
    <w:rsid w:val="00F55CD9"/>
    <w:rsid w:val="00F55CE1"/>
    <w:rsid w:val="00F56121"/>
    <w:rsid w:val="00F56B00"/>
    <w:rsid w:val="00F56D4C"/>
    <w:rsid w:val="00F56EE6"/>
    <w:rsid w:val="00F57206"/>
    <w:rsid w:val="00F57787"/>
    <w:rsid w:val="00F579F9"/>
    <w:rsid w:val="00F60020"/>
    <w:rsid w:val="00F60027"/>
    <w:rsid w:val="00F602BF"/>
    <w:rsid w:val="00F60352"/>
    <w:rsid w:val="00F603AA"/>
    <w:rsid w:val="00F60BF4"/>
    <w:rsid w:val="00F60DD9"/>
    <w:rsid w:val="00F60F00"/>
    <w:rsid w:val="00F610C4"/>
    <w:rsid w:val="00F6121B"/>
    <w:rsid w:val="00F614C0"/>
    <w:rsid w:val="00F61895"/>
    <w:rsid w:val="00F61B33"/>
    <w:rsid w:val="00F61BE2"/>
    <w:rsid w:val="00F62040"/>
    <w:rsid w:val="00F6223E"/>
    <w:rsid w:val="00F62361"/>
    <w:rsid w:val="00F62C05"/>
    <w:rsid w:val="00F63016"/>
    <w:rsid w:val="00F63049"/>
    <w:rsid w:val="00F6321A"/>
    <w:rsid w:val="00F633E0"/>
    <w:rsid w:val="00F6369F"/>
    <w:rsid w:val="00F636A9"/>
    <w:rsid w:val="00F639FA"/>
    <w:rsid w:val="00F63A10"/>
    <w:rsid w:val="00F63A99"/>
    <w:rsid w:val="00F640C7"/>
    <w:rsid w:val="00F64116"/>
    <w:rsid w:val="00F64144"/>
    <w:rsid w:val="00F64215"/>
    <w:rsid w:val="00F642DB"/>
    <w:rsid w:val="00F64528"/>
    <w:rsid w:val="00F646F2"/>
    <w:rsid w:val="00F648AD"/>
    <w:rsid w:val="00F64AFA"/>
    <w:rsid w:val="00F64B58"/>
    <w:rsid w:val="00F64F79"/>
    <w:rsid w:val="00F65481"/>
    <w:rsid w:val="00F656B5"/>
    <w:rsid w:val="00F65810"/>
    <w:rsid w:val="00F659B2"/>
    <w:rsid w:val="00F65D31"/>
    <w:rsid w:val="00F65DA1"/>
    <w:rsid w:val="00F65DE1"/>
    <w:rsid w:val="00F65E8D"/>
    <w:rsid w:val="00F65F83"/>
    <w:rsid w:val="00F66522"/>
    <w:rsid w:val="00F6692E"/>
    <w:rsid w:val="00F66E28"/>
    <w:rsid w:val="00F67B0F"/>
    <w:rsid w:val="00F67B2D"/>
    <w:rsid w:val="00F67C41"/>
    <w:rsid w:val="00F67D15"/>
    <w:rsid w:val="00F67E85"/>
    <w:rsid w:val="00F70009"/>
    <w:rsid w:val="00F70039"/>
    <w:rsid w:val="00F70900"/>
    <w:rsid w:val="00F70A22"/>
    <w:rsid w:val="00F70B3D"/>
    <w:rsid w:val="00F70F09"/>
    <w:rsid w:val="00F716FB"/>
    <w:rsid w:val="00F71D33"/>
    <w:rsid w:val="00F720EE"/>
    <w:rsid w:val="00F722A0"/>
    <w:rsid w:val="00F7244F"/>
    <w:rsid w:val="00F72652"/>
    <w:rsid w:val="00F72A72"/>
    <w:rsid w:val="00F72E39"/>
    <w:rsid w:val="00F72F31"/>
    <w:rsid w:val="00F72FE9"/>
    <w:rsid w:val="00F7333F"/>
    <w:rsid w:val="00F73393"/>
    <w:rsid w:val="00F73809"/>
    <w:rsid w:val="00F74066"/>
    <w:rsid w:val="00F7439E"/>
    <w:rsid w:val="00F74531"/>
    <w:rsid w:val="00F74A08"/>
    <w:rsid w:val="00F74B7B"/>
    <w:rsid w:val="00F74C20"/>
    <w:rsid w:val="00F74E38"/>
    <w:rsid w:val="00F74E41"/>
    <w:rsid w:val="00F74E46"/>
    <w:rsid w:val="00F74ED6"/>
    <w:rsid w:val="00F7514C"/>
    <w:rsid w:val="00F75211"/>
    <w:rsid w:val="00F75E23"/>
    <w:rsid w:val="00F76422"/>
    <w:rsid w:val="00F76785"/>
    <w:rsid w:val="00F7696C"/>
    <w:rsid w:val="00F76FC6"/>
    <w:rsid w:val="00F7709E"/>
    <w:rsid w:val="00F775E0"/>
    <w:rsid w:val="00F776B0"/>
    <w:rsid w:val="00F776CD"/>
    <w:rsid w:val="00F77764"/>
    <w:rsid w:val="00F778D5"/>
    <w:rsid w:val="00F779D8"/>
    <w:rsid w:val="00F77D56"/>
    <w:rsid w:val="00F77EAE"/>
    <w:rsid w:val="00F77FA7"/>
    <w:rsid w:val="00F801A6"/>
    <w:rsid w:val="00F807DE"/>
    <w:rsid w:val="00F808AA"/>
    <w:rsid w:val="00F809F7"/>
    <w:rsid w:val="00F80BB1"/>
    <w:rsid w:val="00F80D9D"/>
    <w:rsid w:val="00F80E09"/>
    <w:rsid w:val="00F80EBC"/>
    <w:rsid w:val="00F80FB1"/>
    <w:rsid w:val="00F81204"/>
    <w:rsid w:val="00F81829"/>
    <w:rsid w:val="00F81889"/>
    <w:rsid w:val="00F81975"/>
    <w:rsid w:val="00F81C86"/>
    <w:rsid w:val="00F81DC1"/>
    <w:rsid w:val="00F829BB"/>
    <w:rsid w:val="00F82C7C"/>
    <w:rsid w:val="00F831CE"/>
    <w:rsid w:val="00F83240"/>
    <w:rsid w:val="00F83848"/>
    <w:rsid w:val="00F83901"/>
    <w:rsid w:val="00F83914"/>
    <w:rsid w:val="00F83EBA"/>
    <w:rsid w:val="00F83FE6"/>
    <w:rsid w:val="00F844CF"/>
    <w:rsid w:val="00F84899"/>
    <w:rsid w:val="00F84A8F"/>
    <w:rsid w:val="00F84D70"/>
    <w:rsid w:val="00F84DD4"/>
    <w:rsid w:val="00F850E7"/>
    <w:rsid w:val="00F85181"/>
    <w:rsid w:val="00F85529"/>
    <w:rsid w:val="00F85642"/>
    <w:rsid w:val="00F85852"/>
    <w:rsid w:val="00F85992"/>
    <w:rsid w:val="00F85D01"/>
    <w:rsid w:val="00F86111"/>
    <w:rsid w:val="00F866D7"/>
    <w:rsid w:val="00F868F2"/>
    <w:rsid w:val="00F86A10"/>
    <w:rsid w:val="00F86BE2"/>
    <w:rsid w:val="00F86C22"/>
    <w:rsid w:val="00F86D67"/>
    <w:rsid w:val="00F86DFB"/>
    <w:rsid w:val="00F871E4"/>
    <w:rsid w:val="00F8748A"/>
    <w:rsid w:val="00F87685"/>
    <w:rsid w:val="00F87691"/>
    <w:rsid w:val="00F87DDA"/>
    <w:rsid w:val="00F87F42"/>
    <w:rsid w:val="00F9002B"/>
    <w:rsid w:val="00F9032D"/>
    <w:rsid w:val="00F90BA2"/>
    <w:rsid w:val="00F90D3F"/>
    <w:rsid w:val="00F9107A"/>
    <w:rsid w:val="00F91327"/>
    <w:rsid w:val="00F91902"/>
    <w:rsid w:val="00F91A30"/>
    <w:rsid w:val="00F91E56"/>
    <w:rsid w:val="00F9206E"/>
    <w:rsid w:val="00F92394"/>
    <w:rsid w:val="00F92620"/>
    <w:rsid w:val="00F9289F"/>
    <w:rsid w:val="00F92AB7"/>
    <w:rsid w:val="00F932A0"/>
    <w:rsid w:val="00F933F7"/>
    <w:rsid w:val="00F935DC"/>
    <w:rsid w:val="00F93787"/>
    <w:rsid w:val="00F938A7"/>
    <w:rsid w:val="00F9397B"/>
    <w:rsid w:val="00F93C6E"/>
    <w:rsid w:val="00F93E07"/>
    <w:rsid w:val="00F94E92"/>
    <w:rsid w:val="00F95170"/>
    <w:rsid w:val="00F95552"/>
    <w:rsid w:val="00F9560D"/>
    <w:rsid w:val="00F956C9"/>
    <w:rsid w:val="00F95E53"/>
    <w:rsid w:val="00F95F64"/>
    <w:rsid w:val="00F96BE2"/>
    <w:rsid w:val="00F9709B"/>
    <w:rsid w:val="00F97173"/>
    <w:rsid w:val="00F97496"/>
    <w:rsid w:val="00F975E9"/>
    <w:rsid w:val="00F9779D"/>
    <w:rsid w:val="00F97D59"/>
    <w:rsid w:val="00FA0355"/>
    <w:rsid w:val="00FA0B97"/>
    <w:rsid w:val="00FA0C87"/>
    <w:rsid w:val="00FA1030"/>
    <w:rsid w:val="00FA13BB"/>
    <w:rsid w:val="00FA1B7D"/>
    <w:rsid w:val="00FA1E97"/>
    <w:rsid w:val="00FA20BF"/>
    <w:rsid w:val="00FA21FD"/>
    <w:rsid w:val="00FA230E"/>
    <w:rsid w:val="00FA25A8"/>
    <w:rsid w:val="00FA268B"/>
    <w:rsid w:val="00FA2957"/>
    <w:rsid w:val="00FA29D1"/>
    <w:rsid w:val="00FA2AD7"/>
    <w:rsid w:val="00FA2EAB"/>
    <w:rsid w:val="00FA350F"/>
    <w:rsid w:val="00FA3867"/>
    <w:rsid w:val="00FA3993"/>
    <w:rsid w:val="00FA3ABA"/>
    <w:rsid w:val="00FA3BFB"/>
    <w:rsid w:val="00FA3E71"/>
    <w:rsid w:val="00FA44DA"/>
    <w:rsid w:val="00FA47F2"/>
    <w:rsid w:val="00FA484C"/>
    <w:rsid w:val="00FA5669"/>
    <w:rsid w:val="00FA581F"/>
    <w:rsid w:val="00FA5ADE"/>
    <w:rsid w:val="00FA5B45"/>
    <w:rsid w:val="00FA5C7E"/>
    <w:rsid w:val="00FA620C"/>
    <w:rsid w:val="00FA6324"/>
    <w:rsid w:val="00FA6739"/>
    <w:rsid w:val="00FA6800"/>
    <w:rsid w:val="00FA6837"/>
    <w:rsid w:val="00FA6981"/>
    <w:rsid w:val="00FA6B5B"/>
    <w:rsid w:val="00FA6BEC"/>
    <w:rsid w:val="00FA6FE0"/>
    <w:rsid w:val="00FA7157"/>
    <w:rsid w:val="00FA73CF"/>
    <w:rsid w:val="00FA7446"/>
    <w:rsid w:val="00FA7A83"/>
    <w:rsid w:val="00FA7B20"/>
    <w:rsid w:val="00FA7BA9"/>
    <w:rsid w:val="00FA7F13"/>
    <w:rsid w:val="00FB0028"/>
    <w:rsid w:val="00FB0083"/>
    <w:rsid w:val="00FB034F"/>
    <w:rsid w:val="00FB0427"/>
    <w:rsid w:val="00FB05C9"/>
    <w:rsid w:val="00FB090E"/>
    <w:rsid w:val="00FB0E4A"/>
    <w:rsid w:val="00FB0E88"/>
    <w:rsid w:val="00FB1204"/>
    <w:rsid w:val="00FB14AF"/>
    <w:rsid w:val="00FB1D8C"/>
    <w:rsid w:val="00FB22D2"/>
    <w:rsid w:val="00FB22F6"/>
    <w:rsid w:val="00FB2521"/>
    <w:rsid w:val="00FB25A4"/>
    <w:rsid w:val="00FB2845"/>
    <w:rsid w:val="00FB2846"/>
    <w:rsid w:val="00FB338B"/>
    <w:rsid w:val="00FB3DD3"/>
    <w:rsid w:val="00FB4044"/>
    <w:rsid w:val="00FB4BAF"/>
    <w:rsid w:val="00FB4E4D"/>
    <w:rsid w:val="00FB4F24"/>
    <w:rsid w:val="00FB5096"/>
    <w:rsid w:val="00FB53DF"/>
    <w:rsid w:val="00FB5756"/>
    <w:rsid w:val="00FB5888"/>
    <w:rsid w:val="00FB5947"/>
    <w:rsid w:val="00FB5D27"/>
    <w:rsid w:val="00FB68CB"/>
    <w:rsid w:val="00FB6979"/>
    <w:rsid w:val="00FB6AD1"/>
    <w:rsid w:val="00FB6B0A"/>
    <w:rsid w:val="00FB6D20"/>
    <w:rsid w:val="00FB6D24"/>
    <w:rsid w:val="00FB6E7E"/>
    <w:rsid w:val="00FB70A5"/>
    <w:rsid w:val="00FB73BB"/>
    <w:rsid w:val="00FB741A"/>
    <w:rsid w:val="00FB742D"/>
    <w:rsid w:val="00FB75A6"/>
    <w:rsid w:val="00FB7724"/>
    <w:rsid w:val="00FB7790"/>
    <w:rsid w:val="00FB7A73"/>
    <w:rsid w:val="00FB7B9D"/>
    <w:rsid w:val="00FB7E3E"/>
    <w:rsid w:val="00FC06E0"/>
    <w:rsid w:val="00FC07B9"/>
    <w:rsid w:val="00FC0F56"/>
    <w:rsid w:val="00FC0F78"/>
    <w:rsid w:val="00FC1306"/>
    <w:rsid w:val="00FC15A7"/>
    <w:rsid w:val="00FC18FA"/>
    <w:rsid w:val="00FC1D23"/>
    <w:rsid w:val="00FC1E04"/>
    <w:rsid w:val="00FC205F"/>
    <w:rsid w:val="00FC20F1"/>
    <w:rsid w:val="00FC268E"/>
    <w:rsid w:val="00FC2C04"/>
    <w:rsid w:val="00FC2DE9"/>
    <w:rsid w:val="00FC2E4A"/>
    <w:rsid w:val="00FC2E86"/>
    <w:rsid w:val="00FC30B4"/>
    <w:rsid w:val="00FC315A"/>
    <w:rsid w:val="00FC31D7"/>
    <w:rsid w:val="00FC330D"/>
    <w:rsid w:val="00FC37E2"/>
    <w:rsid w:val="00FC384C"/>
    <w:rsid w:val="00FC3C76"/>
    <w:rsid w:val="00FC3FEC"/>
    <w:rsid w:val="00FC42EE"/>
    <w:rsid w:val="00FC4487"/>
    <w:rsid w:val="00FC44D3"/>
    <w:rsid w:val="00FC4512"/>
    <w:rsid w:val="00FC46BF"/>
    <w:rsid w:val="00FC48EA"/>
    <w:rsid w:val="00FC4E21"/>
    <w:rsid w:val="00FC5A44"/>
    <w:rsid w:val="00FC5CF7"/>
    <w:rsid w:val="00FC5D2F"/>
    <w:rsid w:val="00FC5F1B"/>
    <w:rsid w:val="00FC5F6D"/>
    <w:rsid w:val="00FC6008"/>
    <w:rsid w:val="00FC601E"/>
    <w:rsid w:val="00FC654E"/>
    <w:rsid w:val="00FC6AAE"/>
    <w:rsid w:val="00FC6AD2"/>
    <w:rsid w:val="00FC6C32"/>
    <w:rsid w:val="00FC6EF0"/>
    <w:rsid w:val="00FC7423"/>
    <w:rsid w:val="00FC743B"/>
    <w:rsid w:val="00FC7663"/>
    <w:rsid w:val="00FD0107"/>
    <w:rsid w:val="00FD05B5"/>
    <w:rsid w:val="00FD0666"/>
    <w:rsid w:val="00FD07DC"/>
    <w:rsid w:val="00FD0856"/>
    <w:rsid w:val="00FD0986"/>
    <w:rsid w:val="00FD12BA"/>
    <w:rsid w:val="00FD13E4"/>
    <w:rsid w:val="00FD147A"/>
    <w:rsid w:val="00FD15C4"/>
    <w:rsid w:val="00FD182C"/>
    <w:rsid w:val="00FD1F2A"/>
    <w:rsid w:val="00FD214F"/>
    <w:rsid w:val="00FD218A"/>
    <w:rsid w:val="00FD2362"/>
    <w:rsid w:val="00FD25FD"/>
    <w:rsid w:val="00FD2C2F"/>
    <w:rsid w:val="00FD3A80"/>
    <w:rsid w:val="00FD3B31"/>
    <w:rsid w:val="00FD3D58"/>
    <w:rsid w:val="00FD3EA3"/>
    <w:rsid w:val="00FD47C3"/>
    <w:rsid w:val="00FD4AB6"/>
    <w:rsid w:val="00FD4AB9"/>
    <w:rsid w:val="00FD52F9"/>
    <w:rsid w:val="00FD5A69"/>
    <w:rsid w:val="00FD5CC7"/>
    <w:rsid w:val="00FD62FA"/>
    <w:rsid w:val="00FD6356"/>
    <w:rsid w:val="00FD64D4"/>
    <w:rsid w:val="00FD6502"/>
    <w:rsid w:val="00FD665A"/>
    <w:rsid w:val="00FD67B3"/>
    <w:rsid w:val="00FD67D3"/>
    <w:rsid w:val="00FD6949"/>
    <w:rsid w:val="00FD6F03"/>
    <w:rsid w:val="00FD6F84"/>
    <w:rsid w:val="00FD7182"/>
    <w:rsid w:val="00FD7639"/>
    <w:rsid w:val="00FD79AD"/>
    <w:rsid w:val="00FD7A51"/>
    <w:rsid w:val="00FD7FDC"/>
    <w:rsid w:val="00FE0089"/>
    <w:rsid w:val="00FE00F0"/>
    <w:rsid w:val="00FE010A"/>
    <w:rsid w:val="00FE0565"/>
    <w:rsid w:val="00FE059D"/>
    <w:rsid w:val="00FE05B7"/>
    <w:rsid w:val="00FE05EF"/>
    <w:rsid w:val="00FE086D"/>
    <w:rsid w:val="00FE0D39"/>
    <w:rsid w:val="00FE15F4"/>
    <w:rsid w:val="00FE1823"/>
    <w:rsid w:val="00FE1A99"/>
    <w:rsid w:val="00FE2525"/>
    <w:rsid w:val="00FE2566"/>
    <w:rsid w:val="00FE2593"/>
    <w:rsid w:val="00FE2BE0"/>
    <w:rsid w:val="00FE2E4B"/>
    <w:rsid w:val="00FE2F73"/>
    <w:rsid w:val="00FE2F8A"/>
    <w:rsid w:val="00FE31F4"/>
    <w:rsid w:val="00FE34CB"/>
    <w:rsid w:val="00FE3587"/>
    <w:rsid w:val="00FE36EC"/>
    <w:rsid w:val="00FE36FA"/>
    <w:rsid w:val="00FE38BE"/>
    <w:rsid w:val="00FE3F76"/>
    <w:rsid w:val="00FE4003"/>
    <w:rsid w:val="00FE459E"/>
    <w:rsid w:val="00FE465D"/>
    <w:rsid w:val="00FE4764"/>
    <w:rsid w:val="00FE487A"/>
    <w:rsid w:val="00FE49E2"/>
    <w:rsid w:val="00FE4E15"/>
    <w:rsid w:val="00FE4E90"/>
    <w:rsid w:val="00FE5A5D"/>
    <w:rsid w:val="00FE5EF5"/>
    <w:rsid w:val="00FE5F71"/>
    <w:rsid w:val="00FE6142"/>
    <w:rsid w:val="00FE66E0"/>
    <w:rsid w:val="00FE6935"/>
    <w:rsid w:val="00FE6972"/>
    <w:rsid w:val="00FE7029"/>
    <w:rsid w:val="00FE74C7"/>
    <w:rsid w:val="00FE75BB"/>
    <w:rsid w:val="00FE77BD"/>
    <w:rsid w:val="00FE7C23"/>
    <w:rsid w:val="00FE7F9D"/>
    <w:rsid w:val="00FF01E8"/>
    <w:rsid w:val="00FF050F"/>
    <w:rsid w:val="00FF0569"/>
    <w:rsid w:val="00FF0A45"/>
    <w:rsid w:val="00FF0C2E"/>
    <w:rsid w:val="00FF1179"/>
    <w:rsid w:val="00FF131C"/>
    <w:rsid w:val="00FF147C"/>
    <w:rsid w:val="00FF193F"/>
    <w:rsid w:val="00FF1B88"/>
    <w:rsid w:val="00FF1D35"/>
    <w:rsid w:val="00FF206E"/>
    <w:rsid w:val="00FF21B8"/>
    <w:rsid w:val="00FF2485"/>
    <w:rsid w:val="00FF2671"/>
    <w:rsid w:val="00FF289F"/>
    <w:rsid w:val="00FF28DD"/>
    <w:rsid w:val="00FF2943"/>
    <w:rsid w:val="00FF2CF2"/>
    <w:rsid w:val="00FF2E22"/>
    <w:rsid w:val="00FF308E"/>
    <w:rsid w:val="00FF3332"/>
    <w:rsid w:val="00FF33D5"/>
    <w:rsid w:val="00FF3492"/>
    <w:rsid w:val="00FF3B1A"/>
    <w:rsid w:val="00FF3B30"/>
    <w:rsid w:val="00FF3C69"/>
    <w:rsid w:val="00FF3CA0"/>
    <w:rsid w:val="00FF3EFD"/>
    <w:rsid w:val="00FF4080"/>
    <w:rsid w:val="00FF40A8"/>
    <w:rsid w:val="00FF4136"/>
    <w:rsid w:val="00FF4735"/>
    <w:rsid w:val="00FF4B9C"/>
    <w:rsid w:val="00FF4EF2"/>
    <w:rsid w:val="00FF53B4"/>
    <w:rsid w:val="00FF5819"/>
    <w:rsid w:val="00FF5949"/>
    <w:rsid w:val="00FF5C07"/>
    <w:rsid w:val="00FF5DDF"/>
    <w:rsid w:val="00FF6214"/>
    <w:rsid w:val="00FF64D7"/>
    <w:rsid w:val="00FF6587"/>
    <w:rsid w:val="00FF6747"/>
    <w:rsid w:val="00FF6B75"/>
    <w:rsid w:val="00FF6BAF"/>
    <w:rsid w:val="00FF6E0A"/>
    <w:rsid w:val="00FF6E2D"/>
    <w:rsid w:val="00FF71C0"/>
    <w:rsid w:val="00FF77BB"/>
    <w:rsid w:val="00FF78AC"/>
    <w:rsid w:val="00FF7AA0"/>
    <w:rsid w:val="00FF7BA8"/>
    <w:rsid w:val="00FF7E28"/>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red,#4d4d4f"/>
    </o:shapedefaults>
    <o:shapelayout v:ext="edit">
      <o:idmap v:ext="edit" data="1"/>
    </o:shapelayout>
  </w:shapeDefaults>
  <w:decimalSymbol w:val="."/>
  <w:listSeparator w:val=","/>
  <w14:docId w14:val="290B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uiPriority="67"/>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Bibliography" w:semiHidden="1"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107"/>
    <w:pPr>
      <w:spacing w:after="240" w:line="240" w:lineRule="atLeast"/>
    </w:pPr>
    <w:rPr>
      <w:rFonts w:ascii="Arial" w:hAnsi="Arial"/>
      <w:sz w:val="20"/>
    </w:rPr>
  </w:style>
  <w:style w:type="paragraph" w:styleId="Heading1">
    <w:name w:val="heading 1"/>
    <w:basedOn w:val="Normal"/>
    <w:next w:val="Normal"/>
    <w:link w:val="Heading1Char"/>
    <w:uiPriority w:val="9"/>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Normal"/>
    <w:link w:val="Heading2Char"/>
    <w:qFormat/>
    <w:rsid w:val="00C55235"/>
    <w:pPr>
      <w:keepNext/>
      <w:spacing w:before="320" w:after="60"/>
      <w:outlineLvl w:val="1"/>
    </w:pPr>
    <w:rPr>
      <w:rFonts w:cs="Arial"/>
      <w:b/>
      <w:bCs/>
      <w:iCs/>
      <w:sz w:val="28"/>
      <w:szCs w:val="28"/>
    </w:rPr>
  </w:style>
  <w:style w:type="paragraph" w:styleId="Heading3">
    <w:name w:val="heading 3"/>
    <w:basedOn w:val="Normal"/>
    <w:next w:val="Normal"/>
    <w:link w:val="Heading3Char"/>
    <w:qFormat/>
    <w:rsid w:val="00E25277"/>
    <w:pPr>
      <w:keepNext/>
      <w:spacing w:before="60" w:after="60"/>
      <w:outlineLvl w:val="2"/>
    </w:pPr>
    <w:rPr>
      <w:rFonts w:cs="Arial"/>
      <w:b/>
      <w:bCs/>
      <w:sz w:val="22"/>
      <w:szCs w:val="26"/>
    </w:rPr>
  </w:style>
  <w:style w:type="paragraph" w:styleId="Heading4">
    <w:name w:val="heading 4"/>
    <w:basedOn w:val="BodySubHeader"/>
    <w:next w:val="Normal"/>
    <w:link w:val="Heading4Char"/>
    <w:qFormat/>
    <w:rsid w:val="007E311E"/>
    <w:pPr>
      <w:outlineLvl w:val="3"/>
    </w:pPr>
  </w:style>
  <w:style w:type="paragraph" w:styleId="Heading5">
    <w:name w:val="heading 5"/>
    <w:basedOn w:val="Normal"/>
    <w:next w:val="Normal"/>
    <w:link w:val="Heading5Char"/>
    <w:qFormat/>
    <w:rsid w:val="00E25277"/>
    <w:pPr>
      <w:keepNext/>
      <w:spacing w:before="240" w:after="60"/>
      <w:outlineLvl w:val="4"/>
    </w:pPr>
    <w:rPr>
      <w:b/>
      <w:bCs/>
      <w:iCs/>
      <w:szCs w:val="18"/>
    </w:rPr>
  </w:style>
  <w:style w:type="paragraph" w:styleId="Heading6">
    <w:name w:val="heading 6"/>
    <w:basedOn w:val="Normal"/>
    <w:next w:val="Normal"/>
    <w:link w:val="Heading6Char"/>
    <w:qFormat/>
    <w:rsid w:val="00AD5436"/>
    <w:pPr>
      <w:spacing w:before="240" w:after="60"/>
      <w:ind w:left="1152" w:hanging="432"/>
      <w:outlineLvl w:val="5"/>
    </w:pPr>
    <w:rPr>
      <w:rFonts w:ascii="Times New Roman" w:hAnsi="Times New Roman"/>
      <w:b/>
      <w:bCs/>
      <w:sz w:val="22"/>
      <w:szCs w:val="22"/>
    </w:rPr>
  </w:style>
  <w:style w:type="paragraph" w:styleId="Heading7">
    <w:name w:val="heading 7"/>
    <w:basedOn w:val="Normal"/>
    <w:next w:val="Normal"/>
    <w:link w:val="Heading7Char"/>
    <w:qFormat/>
    <w:rsid w:val="00AD5436"/>
    <w:pPr>
      <w:spacing w:before="240" w:after="60"/>
      <w:ind w:left="1296" w:hanging="288"/>
      <w:outlineLvl w:val="6"/>
    </w:pPr>
    <w:rPr>
      <w:rFonts w:ascii="Times New Roman" w:hAnsi="Times New Roman"/>
      <w:sz w:val="24"/>
    </w:rPr>
  </w:style>
  <w:style w:type="paragraph" w:styleId="Heading8">
    <w:name w:val="heading 8"/>
    <w:basedOn w:val="Normal"/>
    <w:next w:val="Normal"/>
    <w:semiHidden/>
    <w:qFormat/>
    <w:rsid w:val="00AD5436"/>
    <w:pPr>
      <w:spacing w:before="240" w:after="60"/>
      <w:ind w:left="1440" w:hanging="432"/>
      <w:outlineLvl w:val="7"/>
    </w:pPr>
    <w:rPr>
      <w:rFonts w:ascii="Times New Roman" w:hAnsi="Times New Roman"/>
      <w:i/>
      <w:iCs/>
      <w:sz w:val="24"/>
    </w:rPr>
  </w:style>
  <w:style w:type="paragraph" w:styleId="Heading9">
    <w:name w:val="heading 9"/>
    <w:basedOn w:val="Normal"/>
    <w:next w:val="Normal"/>
    <w:semiHidden/>
    <w:qFormat/>
    <w:rsid w:val="00AD5436"/>
    <w:pPr>
      <w:spacing w:before="240" w:after="60"/>
      <w:ind w:left="1584" w:hanging="14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321"/>
    <w:rPr>
      <w:rFonts w:ascii="Arial" w:hAnsi="Arial" w:cs="Arial"/>
      <w:bCs/>
      <w:color w:val="323232"/>
      <w:kern w:val="32"/>
      <w:sz w:val="53"/>
      <w:szCs w:val="32"/>
    </w:rPr>
  </w:style>
  <w:style w:type="character" w:customStyle="1" w:styleId="Heading2Char">
    <w:name w:val="Heading 2 Char"/>
    <w:basedOn w:val="DefaultParagraphFont"/>
    <w:link w:val="Heading2"/>
    <w:rsid w:val="00835321"/>
    <w:rPr>
      <w:rFonts w:ascii="Arial" w:hAnsi="Arial" w:cs="Arial"/>
      <w:b/>
      <w:bCs/>
      <w:iCs/>
      <w:sz w:val="28"/>
      <w:szCs w:val="28"/>
    </w:rPr>
  </w:style>
  <w:style w:type="character" w:customStyle="1" w:styleId="Heading3Char">
    <w:name w:val="Heading 3 Char"/>
    <w:basedOn w:val="DefaultParagraphFont"/>
    <w:link w:val="Heading3"/>
    <w:rsid w:val="00E25277"/>
    <w:rPr>
      <w:rFonts w:ascii="Arial" w:hAnsi="Arial" w:cs="Arial"/>
      <w:b/>
      <w:bCs/>
      <w:sz w:val="22"/>
      <w:szCs w:val="26"/>
    </w:rPr>
  </w:style>
  <w:style w:type="paragraph" w:customStyle="1" w:styleId="BodySubHeader">
    <w:name w:val="BodySubHeader"/>
    <w:basedOn w:val="Normal"/>
    <w:next w:val="Normal"/>
    <w:qFormat/>
    <w:rsid w:val="00146CE6"/>
    <w:pPr>
      <w:spacing w:before="240" w:after="0"/>
    </w:pPr>
    <w:rPr>
      <w:b/>
      <w:i/>
    </w:rPr>
  </w:style>
  <w:style w:type="character" w:customStyle="1" w:styleId="Heading4Char">
    <w:name w:val="Heading 4 Char"/>
    <w:basedOn w:val="DefaultParagraphFont"/>
    <w:link w:val="Heading4"/>
    <w:rsid w:val="007E311E"/>
    <w:rPr>
      <w:rFonts w:ascii="Arial" w:hAnsi="Arial"/>
      <w:b/>
      <w:i/>
      <w:sz w:val="20"/>
    </w:rPr>
  </w:style>
  <w:style w:type="character" w:customStyle="1" w:styleId="Heading5Char">
    <w:name w:val="Heading 5 Char"/>
    <w:basedOn w:val="DefaultParagraphFont"/>
    <w:link w:val="Heading5"/>
    <w:rsid w:val="00E25277"/>
    <w:rPr>
      <w:rFonts w:ascii="Arial" w:hAnsi="Arial"/>
      <w:b/>
      <w:bCs/>
      <w:iCs/>
      <w:sz w:val="20"/>
      <w:szCs w:val="18"/>
    </w:rPr>
  </w:style>
  <w:style w:type="character" w:customStyle="1" w:styleId="Heading6Char">
    <w:name w:val="Heading 6 Char"/>
    <w:basedOn w:val="DefaultParagraphFont"/>
    <w:link w:val="Heading6"/>
    <w:rsid w:val="00B94C86"/>
    <w:rPr>
      <w:b/>
      <w:bCs/>
      <w:sz w:val="22"/>
      <w:szCs w:val="22"/>
    </w:rPr>
  </w:style>
  <w:style w:type="character" w:customStyle="1" w:styleId="Heading7Char">
    <w:name w:val="Heading 7 Char"/>
    <w:basedOn w:val="DefaultParagraphFont"/>
    <w:link w:val="Heading7"/>
    <w:rsid w:val="00B94C86"/>
  </w:style>
  <w:style w:type="paragraph" w:styleId="Header">
    <w:name w:val="header"/>
    <w:basedOn w:val="Normal"/>
    <w:link w:val="HeaderChar"/>
    <w:uiPriority w:val="99"/>
    <w:rsid w:val="0070791C"/>
    <w:pPr>
      <w:tabs>
        <w:tab w:val="center" w:pos="4153"/>
        <w:tab w:val="right" w:pos="8306"/>
      </w:tabs>
      <w:spacing w:line="240" w:lineRule="auto"/>
    </w:pPr>
    <w:rPr>
      <w:sz w:val="16"/>
    </w:rPr>
  </w:style>
  <w:style w:type="character" w:customStyle="1" w:styleId="HeaderChar">
    <w:name w:val="Header Char"/>
    <w:link w:val="Header"/>
    <w:uiPriority w:val="99"/>
    <w:rsid w:val="00971914"/>
    <w:rPr>
      <w:rFonts w:ascii="Arial" w:hAnsi="Arial"/>
      <w:sz w:val="16"/>
    </w:rPr>
  </w:style>
  <w:style w:type="paragraph" w:styleId="Footer">
    <w:name w:val="footer"/>
    <w:basedOn w:val="Normal"/>
    <w:link w:val="FooterChar"/>
    <w:uiPriority w:val="99"/>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uiPriority w:val="99"/>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3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950159"/>
    <w:pPr>
      <w:spacing w:after="1200" w:line="240" w:lineRule="auto"/>
    </w:pPr>
    <w:rPr>
      <w:caps/>
      <w:spacing w:val="-10"/>
      <w:sz w:val="20"/>
    </w:rPr>
  </w:style>
  <w:style w:type="paragraph" w:customStyle="1" w:styleId="TableHeading">
    <w:name w:val="Table Heading"/>
    <w:basedOn w:val="Normal"/>
    <w:qFormat/>
    <w:rsid w:val="00B747E1"/>
    <w:pPr>
      <w:keepNext/>
      <w:keepLines/>
      <w:spacing w:after="0"/>
    </w:pPr>
    <w:rPr>
      <w:b/>
      <w:color w:val="FFFFFF" w:themeColor="background1"/>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uiPriority w:val="39"/>
    <w:qFormat/>
    <w:rsid w:val="00950159"/>
    <w:pPr>
      <w:spacing w:before="1200" w:line="240" w:lineRule="auto"/>
    </w:pPr>
    <w:rPr>
      <w:b/>
      <w:color w:val="323232"/>
      <w:spacing w:val="-28"/>
      <w:sz w:val="53"/>
    </w:rPr>
  </w:style>
  <w:style w:type="paragraph" w:styleId="Caption">
    <w:name w:val="caption"/>
    <w:aliases w:val="Caption table"/>
    <w:basedOn w:val="Normal"/>
    <w:next w:val="Normal"/>
    <w:link w:val="CaptionChar"/>
    <w:qFormat/>
    <w:rsid w:val="00E8152A"/>
    <w:pPr>
      <w:numPr>
        <w:numId w:val="4"/>
      </w:numPr>
      <w:spacing w:after="0"/>
    </w:pPr>
    <w:rPr>
      <w:b/>
      <w:bCs/>
      <w:color w:val="323232"/>
      <w:szCs w:val="20"/>
    </w:rPr>
  </w:style>
  <w:style w:type="character" w:customStyle="1" w:styleId="CaptionChar">
    <w:name w:val="Caption Char"/>
    <w:aliases w:val="Caption table Char"/>
    <w:basedOn w:val="DefaultParagraphFont"/>
    <w:link w:val="Caption"/>
    <w:rsid w:val="00B94C86"/>
    <w:rPr>
      <w:rFonts w:ascii="Arial" w:hAnsi="Arial"/>
      <w:b/>
      <w:bCs/>
      <w:color w:val="323232"/>
      <w:sz w:val="20"/>
      <w:szCs w:val="20"/>
    </w:rPr>
  </w:style>
  <w:style w:type="paragraph" w:styleId="ListBullet">
    <w:name w:val="List Bullet"/>
    <w:aliases w:val="List Bullet 1"/>
    <w:basedOn w:val="Normal"/>
    <w:link w:val="ListBulletChar"/>
    <w:uiPriority w:val="99"/>
    <w:qFormat/>
    <w:rsid w:val="004F0100"/>
    <w:pPr>
      <w:keepNext/>
      <w:keepLines/>
      <w:numPr>
        <w:numId w:val="277"/>
      </w:numPr>
      <w:spacing w:after="80"/>
    </w:pPr>
  </w:style>
  <w:style w:type="character" w:customStyle="1" w:styleId="ListBulletChar">
    <w:name w:val="List Bullet Char"/>
    <w:aliases w:val="List Bullet 1 Char"/>
    <w:basedOn w:val="DefaultParagraphFont"/>
    <w:link w:val="ListBullet"/>
    <w:rsid w:val="004F0100"/>
    <w:rPr>
      <w:rFonts w:ascii="Arial" w:hAnsi="Arial"/>
      <w:sz w:val="20"/>
    </w:rPr>
  </w:style>
  <w:style w:type="paragraph" w:styleId="ListBullet2">
    <w:name w:val="List Bullet 2"/>
    <w:basedOn w:val="Normal"/>
    <w:qFormat/>
    <w:rsid w:val="002E5E12"/>
    <w:pPr>
      <w:numPr>
        <w:numId w:val="276"/>
      </w:numPr>
      <w:spacing w:after="80"/>
    </w:pPr>
  </w:style>
  <w:style w:type="paragraph" w:styleId="ListNumber">
    <w:name w:val="List Number"/>
    <w:basedOn w:val="Normal"/>
    <w:qFormat/>
    <w:rsid w:val="002E5E12"/>
    <w:pPr>
      <w:numPr>
        <w:numId w:val="281"/>
      </w:numPr>
      <w:spacing w:after="80"/>
    </w:pPr>
  </w:style>
  <w:style w:type="paragraph" w:styleId="ListNumber2">
    <w:name w:val="List Number 2"/>
    <w:basedOn w:val="Normal"/>
    <w:qFormat/>
    <w:rsid w:val="002E5E12"/>
    <w:pPr>
      <w:numPr>
        <w:numId w:val="280"/>
      </w:numPr>
      <w:spacing w:after="80"/>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aliases w:val="CEO_Hyperlink"/>
    <w:basedOn w:val="DefaultParagraphFont"/>
    <w:uiPriority w:val="99"/>
    <w:qFormat/>
    <w:rsid w:val="003A5F5B"/>
    <w:rPr>
      <w:color w:val="0000FF"/>
      <w:u w:val="single"/>
    </w:rPr>
  </w:style>
  <w:style w:type="character" w:styleId="FootnoteReference">
    <w:name w:val="footnote reference"/>
    <w:aliases w:val="Appel note de bas de p,Appel note de bas de p + 11 pt,Italic,Appel note de bas de p1,Appel note de bas de p2,Appel note de bas de p3,Footnote Reference/,Footnote,Style 12,(NECG) Footnote Reference,Style 124,o,fr,Style 3,Style 13,FR"/>
    <w:basedOn w:val="DefaultParagraphFont"/>
    <w:qFormat/>
    <w:rsid w:val="00566AB4"/>
    <w:rPr>
      <w:rFonts w:ascii="Arial" w:hAnsi="Arial"/>
      <w:vertAlign w:val="superscript"/>
    </w:rPr>
  </w:style>
  <w:style w:type="paragraph" w:styleId="FootnoteText">
    <w:name w:val="footnote text"/>
    <w:aliases w:val="ACMA Footnote Text,footnote text,Footnote Text Char1,Footnote Text Char Char,Footnote Text Char1 Char Char,Footnote Text Char Char Char Char,Footnote Text Char1 Char Char Char Char,Footnote Text Char Char Char Char Char Char,ALTS FOOTNOTE"/>
    <w:basedOn w:val="Normal"/>
    <w:link w:val="FootnoteTextChar"/>
    <w:qFormat/>
    <w:rsid w:val="0037046B"/>
    <w:pPr>
      <w:spacing w:after="0" w:line="200" w:lineRule="atLeast"/>
    </w:pPr>
    <w:rPr>
      <w:sz w:val="16"/>
      <w:szCs w:val="16"/>
    </w:rPr>
  </w:style>
  <w:style w:type="character" w:customStyle="1" w:styleId="FootnoteTextChar">
    <w:name w:val="Footnote Text Char"/>
    <w:aliases w:val="ACMA Footnote Text Char,footnote text Char,Footnote Text Char1 Char,Footnote Text Char Char Char,Footnote Text Char1 Char Char Char,Footnote Text Char Char Char Char Char,Footnote Text Char1 Char Char Char Char Char,ALTS FOOTNOTE Char"/>
    <w:basedOn w:val="DefaultParagraphFont"/>
    <w:link w:val="FootnoteText"/>
    <w:qFormat/>
    <w:rsid w:val="0037046B"/>
    <w:rPr>
      <w:rFonts w:ascii="Arial" w:hAnsi="Arial"/>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uiPriority w:val="99"/>
    <w:rsid w:val="00EE7F79"/>
    <w:rPr>
      <w:sz w:val="16"/>
      <w:szCs w:val="16"/>
    </w:rPr>
  </w:style>
  <w:style w:type="paragraph" w:styleId="CommentText">
    <w:name w:val="annotation text"/>
    <w:basedOn w:val="Normal"/>
    <w:link w:val="CommentTextChar"/>
    <w:uiPriority w:val="99"/>
    <w:rsid w:val="00EE7F79"/>
    <w:pPr>
      <w:spacing w:line="240" w:lineRule="auto"/>
    </w:pPr>
    <w:rPr>
      <w:szCs w:val="20"/>
    </w:rPr>
  </w:style>
  <w:style w:type="character" w:customStyle="1" w:styleId="CommentTextChar">
    <w:name w:val="Comment Text Char"/>
    <w:basedOn w:val="DefaultParagraphFont"/>
    <w:link w:val="CommentText"/>
    <w:uiPriority w:val="99"/>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2E5E12"/>
    <w:pPr>
      <w:keepNext w:val="0"/>
      <w:keepLines w:val="0"/>
      <w:spacing w:after="240"/>
    </w:pPr>
    <w:rPr>
      <w:rFonts w:cs="Arial"/>
    </w:rPr>
  </w:style>
  <w:style w:type="paragraph" w:customStyle="1" w:styleId="ListNumberLast">
    <w:name w:val="List Number Last"/>
    <w:basedOn w:val="ListNumber"/>
    <w:qFormat/>
    <w:rsid w:val="002E5E12"/>
    <w:pPr>
      <w:spacing w:after="240"/>
      <w:ind w:left="357" w:hanging="357"/>
    </w:pPr>
    <w:rPr>
      <w:rFonts w:cs="Arial"/>
    </w:rPr>
  </w:style>
  <w:style w:type="paragraph" w:customStyle="1" w:styleId="ACMATableHeader">
    <w:name w:val="ACMA_TableHeader"/>
    <w:qFormat/>
    <w:rsid w:val="002E5E12"/>
    <w:pPr>
      <w:numPr>
        <w:numId w:val="268"/>
      </w:numPr>
      <w:tabs>
        <w:tab w:val="clear" w:pos="964"/>
        <w:tab w:val="num" w:pos="1390"/>
      </w:tabs>
      <w:spacing w:after="160"/>
    </w:pPr>
    <w:rPr>
      <w:rFonts w:ascii="Arial" w:hAnsi="Arial"/>
      <w:b/>
      <w:bCs/>
      <w:color w:val="323232"/>
      <w:sz w:val="20"/>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uiPriority w:val="20"/>
    <w:qFormat/>
    <w:rsid w:val="006D576C"/>
    <w:rPr>
      <w:i/>
      <w:iCs/>
    </w:rPr>
  </w:style>
  <w:style w:type="paragraph" w:customStyle="1" w:styleId="ListNumber2Last">
    <w:name w:val="List Number 2 Last"/>
    <w:basedOn w:val="ListNumber2"/>
    <w:qFormat/>
    <w:rsid w:val="002E5E12"/>
    <w:pPr>
      <w:spacing w:after="240"/>
      <w:ind w:left="907" w:hanging="35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2E5E12"/>
    <w:pPr>
      <w:numPr>
        <w:numId w:val="267"/>
      </w:numPr>
      <w:spacing w:after="160"/>
    </w:pPr>
    <w:rPr>
      <w:rFonts w:ascii="Arial" w:hAnsi="Arial"/>
      <w:b/>
      <w:bCs/>
      <w:color w:val="323232"/>
      <w:sz w:val="20"/>
      <w:szCs w:val="20"/>
    </w:rPr>
  </w:style>
  <w:style w:type="paragraph" w:customStyle="1" w:styleId="Captionfigure">
    <w:name w:val="Caption figure"/>
    <w:basedOn w:val="Caption"/>
    <w:qFormat/>
    <w:rsid w:val="00E8152A"/>
    <w:pPr>
      <w:keepNext/>
      <w:numPr>
        <w:numId w:val="3"/>
      </w:numPr>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paragraph" w:styleId="Title">
    <w:name w:val="Title"/>
    <w:basedOn w:val="Normal"/>
    <w:next w:val="Normal"/>
    <w:link w:val="TitleChar"/>
    <w:uiPriority w:val="10"/>
    <w:qFormat/>
    <w:rsid w:val="00835321"/>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835321"/>
    <w:rPr>
      <w:rFonts w:asciiTheme="majorHAnsi" w:eastAsiaTheme="majorEastAsia" w:hAnsiTheme="majorHAnsi" w:cstheme="majorBidi"/>
      <w:spacing w:val="-10"/>
      <w:kern w:val="28"/>
      <w:sz w:val="56"/>
      <w:szCs w:val="56"/>
      <w:lang w:eastAsia="en-US"/>
    </w:rPr>
  </w:style>
  <w:style w:type="paragraph" w:styleId="ListParagraph">
    <w:name w:val="List Paragraph"/>
    <w:aliases w:val="List Paragraph1,List Paragraph11,Recommendation,bullet point list,L,CV text,Dot pt,F5 List Paragraph,No Spacing1,List Paragraph Char Char Char,Indicator Text,Numbered Para 1,List Paragraph12,Bullet Points,MAIN CONTENT,ACMA_ListParagraph"/>
    <w:basedOn w:val="Normal"/>
    <w:link w:val="ListParagraphChar"/>
    <w:uiPriority w:val="34"/>
    <w:qFormat/>
    <w:rsid w:val="00E07819"/>
    <w:pPr>
      <w:spacing w:after="160" w:line="259" w:lineRule="auto"/>
      <w:ind w:left="720"/>
      <w:contextualSpacing/>
    </w:pPr>
    <w:rPr>
      <w:rFonts w:eastAsiaTheme="minorHAnsi" w:cstheme="minorBidi"/>
      <w:szCs w:val="22"/>
      <w:lang w:eastAsia="en-US"/>
    </w:rPr>
  </w:style>
  <w:style w:type="character" w:customStyle="1" w:styleId="ListParagraphChar">
    <w:name w:val="List Paragraph Char"/>
    <w:aliases w:val="List Paragraph1 Char,List Paragraph11 Char,Recommendation Char,bullet point list Char,L Char,CV text Char,Dot pt Char,F5 List Paragraph Char,No Spacing1 Char,List Paragraph Char Char Char Char,Indicator Text Char,Numbered Para 1 Char"/>
    <w:basedOn w:val="DefaultParagraphFont"/>
    <w:link w:val="ListParagraph"/>
    <w:uiPriority w:val="34"/>
    <w:rsid w:val="00835321"/>
    <w:rPr>
      <w:rFonts w:ascii="Arial" w:eastAsiaTheme="minorHAnsi" w:hAnsi="Arial" w:cstheme="minorBidi"/>
      <w:sz w:val="20"/>
      <w:szCs w:val="22"/>
      <w:lang w:eastAsia="en-US"/>
    </w:rPr>
  </w:style>
  <w:style w:type="character" w:customStyle="1" w:styleId="s1">
    <w:name w:val="s1"/>
    <w:basedOn w:val="DefaultParagraphFont"/>
    <w:rsid w:val="00835321"/>
    <w:rPr>
      <w:rFonts w:ascii=".SFUIText" w:hAnsi=".SFUIText" w:hint="default"/>
      <w:b w:val="0"/>
      <w:bCs w:val="0"/>
      <w:i w:val="0"/>
      <w:iCs w:val="0"/>
    </w:rPr>
  </w:style>
  <w:style w:type="character" w:customStyle="1" w:styleId="tgc">
    <w:name w:val="_tgc"/>
    <w:basedOn w:val="DefaultParagraphFont"/>
    <w:rsid w:val="00835321"/>
  </w:style>
  <w:style w:type="character" w:customStyle="1" w:styleId="s2">
    <w:name w:val="s2"/>
    <w:basedOn w:val="DefaultParagraphFont"/>
    <w:rsid w:val="00835321"/>
    <w:rPr>
      <w:color w:val="3789BD"/>
      <w:u w:val="single"/>
    </w:rPr>
  </w:style>
  <w:style w:type="character" w:styleId="IntenseEmphasis">
    <w:name w:val="Intense Emphasis"/>
    <w:basedOn w:val="DefaultParagraphFont"/>
    <w:uiPriority w:val="21"/>
    <w:qFormat/>
    <w:rsid w:val="00B94C86"/>
    <w:rPr>
      <w:i/>
      <w:iCs/>
      <w:color w:val="4F81BD" w:themeColor="accent1"/>
    </w:rPr>
  </w:style>
  <w:style w:type="table" w:customStyle="1" w:styleId="TableGrid2">
    <w:name w:val="Table Grid2"/>
    <w:basedOn w:val="TableNormal"/>
    <w:next w:val="TableGrid"/>
    <w:uiPriority w:val="59"/>
    <w:rsid w:val="00B94C86"/>
    <w:pPr>
      <w:spacing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NumberedList">
    <w:name w:val="ACMA Numbered List"/>
    <w:rsid w:val="00B94C86"/>
    <w:pPr>
      <w:spacing w:before="20" w:after="20"/>
    </w:pPr>
    <w:rPr>
      <w:szCs w:val="20"/>
      <w:lang w:eastAsia="en-US"/>
    </w:rPr>
  </w:style>
  <w:style w:type="paragraph" w:customStyle="1" w:styleId="Default">
    <w:name w:val="Default"/>
    <w:rsid w:val="00B94C86"/>
    <w:pPr>
      <w:autoSpaceDE w:val="0"/>
      <w:autoSpaceDN w:val="0"/>
      <w:adjustRightInd w:val="0"/>
    </w:pPr>
    <w:rPr>
      <w:rFonts w:ascii="Arial" w:eastAsiaTheme="minorHAnsi" w:hAnsi="Arial" w:cs="Arial"/>
      <w:color w:val="000000"/>
      <w:lang w:eastAsia="en-US"/>
    </w:rPr>
  </w:style>
  <w:style w:type="paragraph" w:styleId="PlainText">
    <w:name w:val="Plain Text"/>
    <w:basedOn w:val="Normal"/>
    <w:link w:val="PlainTextChar"/>
    <w:uiPriority w:val="99"/>
    <w:semiHidden/>
    <w:unhideWhenUsed/>
    <w:rsid w:val="00B94C86"/>
    <w:pPr>
      <w:spacing w:after="0"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B94C86"/>
    <w:rPr>
      <w:rFonts w:ascii="Calibri" w:eastAsiaTheme="minorHAnsi" w:hAnsi="Calibri" w:cstheme="minorBidi"/>
      <w:sz w:val="22"/>
      <w:szCs w:val="21"/>
      <w:lang w:eastAsia="en-US"/>
    </w:rPr>
  </w:style>
  <w:style w:type="paragraph" w:customStyle="1" w:styleId="p1">
    <w:name w:val="p1"/>
    <w:basedOn w:val="Normal"/>
    <w:rsid w:val="00B94C86"/>
    <w:pPr>
      <w:spacing w:after="0" w:line="240" w:lineRule="auto"/>
    </w:pPr>
    <w:rPr>
      <w:rFonts w:ascii=".SF UI Text" w:eastAsiaTheme="minorHAnsi" w:hAnsi=".SF UI Text"/>
      <w:color w:val="454545"/>
      <w:sz w:val="26"/>
      <w:szCs w:val="26"/>
    </w:rPr>
  </w:style>
  <w:style w:type="paragraph" w:customStyle="1" w:styleId="p2">
    <w:name w:val="p2"/>
    <w:basedOn w:val="Normal"/>
    <w:rsid w:val="00B94C86"/>
    <w:pPr>
      <w:spacing w:after="0" w:line="240" w:lineRule="auto"/>
    </w:pPr>
    <w:rPr>
      <w:rFonts w:ascii=".SF UI Text" w:eastAsiaTheme="minorHAnsi" w:hAnsi=".SF UI Text"/>
      <w:color w:val="454545"/>
      <w:sz w:val="26"/>
      <w:szCs w:val="26"/>
    </w:rPr>
  </w:style>
  <w:style w:type="character" w:customStyle="1" w:styleId="apple-converted-space">
    <w:name w:val="apple-converted-space"/>
    <w:basedOn w:val="DefaultParagraphFont"/>
    <w:rsid w:val="00B94C86"/>
  </w:style>
  <w:style w:type="paragraph" w:customStyle="1" w:styleId="Bullet1">
    <w:name w:val="Bullet 1"/>
    <w:basedOn w:val="ListBullet2"/>
    <w:qFormat/>
    <w:rsid w:val="00B94C86"/>
    <w:pPr>
      <w:spacing w:after="240" w:line="240" w:lineRule="auto"/>
      <w:ind w:left="567" w:hanging="567"/>
      <w:contextualSpacing/>
    </w:pPr>
    <w:rPr>
      <w:rFonts w:ascii="Calibri" w:eastAsia="Calibri" w:hAnsi="Calibri" w:cs="Calibri"/>
      <w:w w:val="105"/>
      <w:kern w:val="40"/>
      <w:sz w:val="22"/>
      <w:szCs w:val="22"/>
      <w:lang w:eastAsia="en-US"/>
    </w:rPr>
  </w:style>
  <w:style w:type="paragraph" w:styleId="NormalWeb">
    <w:name w:val="Normal (Web)"/>
    <w:basedOn w:val="Normal"/>
    <w:uiPriority w:val="99"/>
    <w:unhideWhenUsed/>
    <w:rsid w:val="00B94C86"/>
    <w:pPr>
      <w:spacing w:line="240" w:lineRule="auto"/>
    </w:pPr>
    <w:rPr>
      <w:rFonts w:ascii="Times New Roman" w:hAnsi="Times New Roman"/>
      <w:sz w:val="24"/>
    </w:rPr>
  </w:style>
  <w:style w:type="paragraph" w:customStyle="1" w:styleId="ACMABulletLevel1">
    <w:name w:val="ACMA Bullet Level 1"/>
    <w:rsid w:val="00B94C86"/>
    <w:pPr>
      <w:numPr>
        <w:numId w:val="5"/>
      </w:numPr>
      <w:spacing w:after="120"/>
    </w:pPr>
    <w:rPr>
      <w:szCs w:val="20"/>
      <w:lang w:eastAsia="en-US"/>
    </w:rPr>
  </w:style>
  <w:style w:type="table" w:customStyle="1" w:styleId="TableGrid1">
    <w:name w:val="Table Grid1"/>
    <w:basedOn w:val="TableNormal"/>
    <w:next w:val="TableGrid"/>
    <w:uiPriority w:val="59"/>
    <w:rsid w:val="00B94C86"/>
    <w:pPr>
      <w:spacing w:before="80" w:after="120"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4C86"/>
    <w:rPr>
      <w:rFonts w:asciiTheme="minorHAnsi" w:eastAsiaTheme="minorHAnsi" w:hAnsiTheme="minorHAnsi" w:cstheme="minorBidi"/>
      <w:sz w:val="22"/>
      <w:szCs w:val="22"/>
      <w:lang w:eastAsia="en-US"/>
    </w:rPr>
  </w:style>
  <w:style w:type="paragraph" w:styleId="Subtitle">
    <w:name w:val="Subtitle"/>
    <w:basedOn w:val="Normal"/>
    <w:next w:val="Normal"/>
    <w:link w:val="SubtitleChar"/>
    <w:uiPriority w:val="11"/>
    <w:qFormat/>
    <w:rsid w:val="00B94C86"/>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B94C86"/>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link w:val="NoSpacingChar"/>
    <w:uiPriority w:val="1"/>
    <w:qFormat/>
    <w:rsid w:val="00B94C86"/>
    <w:rPr>
      <w:rFonts w:ascii="Arial" w:hAnsi="Arial"/>
      <w:sz w:val="20"/>
    </w:rPr>
  </w:style>
  <w:style w:type="character" w:customStyle="1" w:styleId="NoSpacingChar">
    <w:name w:val="No Spacing Char"/>
    <w:link w:val="NoSpacing"/>
    <w:uiPriority w:val="1"/>
    <w:locked/>
    <w:rsid w:val="00B94C86"/>
    <w:rPr>
      <w:rFonts w:ascii="Arial" w:hAnsi="Arial"/>
      <w:sz w:val="20"/>
    </w:rPr>
  </w:style>
  <w:style w:type="paragraph" w:customStyle="1" w:styleId="ACMABodyText">
    <w:name w:val="ACMA Body Text"/>
    <w:link w:val="ACMABodyTextChar"/>
    <w:qFormat/>
    <w:rsid w:val="00B94C86"/>
    <w:pPr>
      <w:suppressAutoHyphens/>
      <w:spacing w:before="80" w:after="120" w:line="280" w:lineRule="atLeast"/>
    </w:pPr>
    <w:rPr>
      <w:snapToGrid w:val="0"/>
      <w:szCs w:val="20"/>
      <w:lang w:eastAsia="en-US"/>
    </w:rPr>
  </w:style>
  <w:style w:type="character" w:customStyle="1" w:styleId="ACMABodyTextChar">
    <w:name w:val="ACMA Body Text Char"/>
    <w:basedOn w:val="DefaultParagraphFont"/>
    <w:link w:val="ACMABodyText"/>
    <w:rsid w:val="00B94C86"/>
    <w:rPr>
      <w:snapToGrid w:val="0"/>
      <w:szCs w:val="20"/>
      <w:lang w:eastAsia="en-US"/>
    </w:rPr>
  </w:style>
  <w:style w:type="paragraph" w:customStyle="1" w:styleId="ExecSummaryHeading">
    <w:name w:val="Exec Summary Heading"/>
    <w:basedOn w:val="Normal"/>
    <w:rsid w:val="00B94C86"/>
    <w:pPr>
      <w:spacing w:after="1440" w:line="550" w:lineRule="exact"/>
    </w:pPr>
    <w:rPr>
      <w:b/>
      <w:color w:val="4D4D4F"/>
      <w:spacing w:val="-18"/>
      <w:sz w:val="53"/>
    </w:rPr>
  </w:style>
  <w:style w:type="paragraph" w:customStyle="1" w:styleId="ACMABodyText0">
    <w:name w:val="ACMA_BodyText"/>
    <w:qFormat/>
    <w:rsid w:val="00B94C86"/>
    <w:pPr>
      <w:suppressAutoHyphens/>
      <w:spacing w:after="80" w:line="280" w:lineRule="atLeast"/>
    </w:pPr>
    <w:rPr>
      <w:rFonts w:ascii="Arial" w:hAnsi="Arial"/>
      <w:snapToGrid w:val="0"/>
      <w:sz w:val="19"/>
      <w:szCs w:val="20"/>
      <w:lang w:eastAsia="en-US"/>
    </w:rPr>
  </w:style>
  <w:style w:type="table" w:styleId="MediumGrid1-Accent5">
    <w:name w:val="Medium Grid 1 Accent 5"/>
    <w:basedOn w:val="TableNormal"/>
    <w:uiPriority w:val="67"/>
    <w:rsid w:val="00B94C86"/>
    <w:rPr>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ReportTitle">
    <w:name w:val="Report Title"/>
    <w:basedOn w:val="Normal"/>
    <w:rsid w:val="00B94C86"/>
    <w:pPr>
      <w:spacing w:after="0" w:line="560" w:lineRule="exact"/>
    </w:pPr>
    <w:rPr>
      <w:b/>
      <w:color w:val="4D4D4F"/>
      <w:spacing w:val="-28"/>
      <w:sz w:val="53"/>
    </w:rPr>
  </w:style>
  <w:style w:type="paragraph" w:customStyle="1" w:styleId="ReportSubtitle">
    <w:name w:val="Report Sub title"/>
    <w:basedOn w:val="Normal"/>
    <w:rsid w:val="00B94C86"/>
    <w:pPr>
      <w:spacing w:after="0" w:line="560" w:lineRule="exact"/>
    </w:pPr>
    <w:rPr>
      <w:color w:val="808285"/>
      <w:spacing w:val="-28"/>
      <w:sz w:val="53"/>
    </w:rPr>
  </w:style>
  <w:style w:type="paragraph" w:customStyle="1" w:styleId="ReportDate">
    <w:name w:val="Report Date"/>
    <w:basedOn w:val="ReportSubtitle"/>
    <w:rsid w:val="00B94C86"/>
    <w:pPr>
      <w:spacing w:line="240" w:lineRule="auto"/>
    </w:pPr>
    <w:rPr>
      <w:caps/>
      <w:spacing w:val="-10"/>
      <w:sz w:val="20"/>
    </w:rPr>
  </w:style>
  <w:style w:type="paragraph" w:customStyle="1" w:styleId="Bodysubheader0">
    <w:name w:val="Body sub header"/>
    <w:basedOn w:val="Normal"/>
    <w:next w:val="Normal"/>
    <w:rsid w:val="00B94C86"/>
    <w:pPr>
      <w:spacing w:after="0"/>
    </w:pPr>
    <w:rPr>
      <w:b/>
      <w:i/>
    </w:rPr>
  </w:style>
  <w:style w:type="paragraph" w:styleId="TOC9">
    <w:name w:val="toc 9"/>
    <w:aliases w:val="TOC ExecSumm"/>
    <w:basedOn w:val="Normal"/>
    <w:next w:val="Normal"/>
    <w:uiPriority w:val="39"/>
    <w:rsid w:val="00B94C86"/>
    <w:pPr>
      <w:tabs>
        <w:tab w:val="right" w:pos="7660"/>
      </w:tabs>
      <w:spacing w:before="280" w:after="0" w:line="320" w:lineRule="exact"/>
    </w:pPr>
    <w:rPr>
      <w:b/>
      <w:noProof/>
      <w:color w:val="808285"/>
      <w:sz w:val="28"/>
      <w:szCs w:val="28"/>
    </w:rPr>
  </w:style>
  <w:style w:type="paragraph" w:customStyle="1" w:styleId="ChapterHeading">
    <w:name w:val="Chapter Heading"/>
    <w:basedOn w:val="Normal"/>
    <w:rsid w:val="00B94C86"/>
    <w:pPr>
      <w:spacing w:after="0" w:line="560" w:lineRule="exact"/>
    </w:pPr>
    <w:rPr>
      <w:color w:val="808285"/>
      <w:spacing w:val="-28"/>
      <w:sz w:val="53"/>
    </w:rPr>
  </w:style>
  <w:style w:type="character" w:customStyle="1" w:styleId="apple-style-span">
    <w:name w:val="apple-style-span"/>
    <w:basedOn w:val="DefaultParagraphFont"/>
    <w:rsid w:val="00B94C86"/>
  </w:style>
  <w:style w:type="paragraph" w:customStyle="1" w:styleId="StyleListParagraphListParagraph1ListParagraph11Recommendatio">
    <w:name w:val="Style List ParagraphList Paragraph1List Paragraph11Recommendatio..."/>
    <w:basedOn w:val="ListParagraph"/>
    <w:rsid w:val="00B94C86"/>
    <w:pPr>
      <w:spacing w:after="240" w:line="240" w:lineRule="auto"/>
      <w:ind w:left="1134" w:hanging="567"/>
    </w:pPr>
    <w:rPr>
      <w:rFonts w:eastAsia="Times New Roman" w:cs="Times New Roman"/>
      <w:szCs w:val="20"/>
    </w:rPr>
  </w:style>
  <w:style w:type="paragraph" w:customStyle="1" w:styleId="ACMAHeading3">
    <w:name w:val="ACMA Heading 3"/>
    <w:next w:val="ACMABodyText"/>
    <w:rsid w:val="00B94C86"/>
    <w:pPr>
      <w:keepNext/>
      <w:tabs>
        <w:tab w:val="num" w:pos="720"/>
      </w:tabs>
      <w:suppressAutoHyphens/>
      <w:spacing w:before="240"/>
      <w:outlineLvl w:val="3"/>
    </w:pPr>
    <w:rPr>
      <w:rFonts w:ascii="Arial" w:hAnsi="Arial"/>
      <w:b/>
      <w:szCs w:val="20"/>
      <w:lang w:val="en-US" w:eastAsia="en-US"/>
    </w:rPr>
  </w:style>
  <w:style w:type="paragraph" w:customStyle="1" w:styleId="Summary">
    <w:name w:val="Summary"/>
    <w:basedOn w:val="Normal"/>
    <w:next w:val="Normal"/>
    <w:autoRedefine/>
    <w:rsid w:val="00B94C86"/>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imes New Roman" w:hAnsi="Times New Roman"/>
      <w:sz w:val="22"/>
      <w:szCs w:val="20"/>
      <w:lang w:val="es-ES_tradnl" w:eastAsia="en-US"/>
    </w:rPr>
  </w:style>
  <w:style w:type="paragraph" w:customStyle="1" w:styleId="enumlev1">
    <w:name w:val="enumlev1"/>
    <w:basedOn w:val="Normal"/>
    <w:rsid w:val="00B94C86"/>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hAnsi="Times New Roman"/>
      <w:sz w:val="24"/>
      <w:szCs w:val="20"/>
      <w:lang w:val="en-GB" w:eastAsia="en-US"/>
    </w:rPr>
  </w:style>
  <w:style w:type="paragraph" w:styleId="BodyTextIndent3">
    <w:name w:val="Body Text Indent 3"/>
    <w:basedOn w:val="Normal"/>
    <w:link w:val="BodyTextIndent3Char"/>
    <w:rsid w:val="00B94C86"/>
    <w:pPr>
      <w:spacing w:after="120"/>
      <w:ind w:left="283"/>
    </w:pPr>
    <w:rPr>
      <w:sz w:val="16"/>
      <w:szCs w:val="16"/>
    </w:rPr>
  </w:style>
  <w:style w:type="character" w:customStyle="1" w:styleId="BodyTextIndent3Char">
    <w:name w:val="Body Text Indent 3 Char"/>
    <w:basedOn w:val="DefaultParagraphFont"/>
    <w:link w:val="BodyTextIndent3"/>
    <w:rsid w:val="00B94C86"/>
    <w:rPr>
      <w:rFonts w:ascii="Arial" w:hAnsi="Arial"/>
      <w:sz w:val="16"/>
      <w:szCs w:val="16"/>
    </w:rPr>
  </w:style>
  <w:style w:type="paragraph" w:customStyle="1" w:styleId="Normalaftertitle">
    <w:name w:val="Normal after title"/>
    <w:basedOn w:val="Normal"/>
    <w:next w:val="Normal"/>
    <w:rsid w:val="00B94C86"/>
    <w:pPr>
      <w:tabs>
        <w:tab w:val="left" w:pos="1134"/>
        <w:tab w:val="left" w:pos="1871"/>
        <w:tab w:val="left" w:pos="2268"/>
      </w:tabs>
      <w:overflowPunct w:val="0"/>
      <w:autoSpaceDE w:val="0"/>
      <w:autoSpaceDN w:val="0"/>
      <w:adjustRightInd w:val="0"/>
      <w:spacing w:before="280" w:after="0" w:line="240" w:lineRule="auto"/>
    </w:pPr>
    <w:rPr>
      <w:rFonts w:ascii="Times New Roman" w:hAnsi="Times New Roman"/>
      <w:sz w:val="24"/>
      <w:szCs w:val="20"/>
      <w:lang w:val="en-GB" w:eastAsia="en-US"/>
    </w:rPr>
  </w:style>
  <w:style w:type="table" w:customStyle="1" w:styleId="TableGrid3">
    <w:name w:val="Table Grid3"/>
    <w:basedOn w:val="TableNormal"/>
    <w:next w:val="TableGrid"/>
    <w:uiPriority w:val="39"/>
    <w:rsid w:val="00D169BA"/>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42AB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365CA"/>
    <w:pPr>
      <w:widowControl w:val="0"/>
      <w:autoSpaceDE w:val="0"/>
      <w:autoSpaceDN w:val="0"/>
      <w:spacing w:before="13" w:after="0" w:line="240" w:lineRule="auto"/>
      <w:ind w:left="113"/>
    </w:pPr>
    <w:rPr>
      <w:rFonts w:eastAsia="Arial" w:cs="Arial"/>
      <w:sz w:val="22"/>
      <w:szCs w:val="22"/>
      <w:lang w:val="en-US" w:eastAsia="en-US" w:bidi="en-US"/>
    </w:rPr>
  </w:style>
  <w:style w:type="character" w:customStyle="1" w:styleId="UnresolvedMention1">
    <w:name w:val="Unresolved Mention1"/>
    <w:basedOn w:val="DefaultParagraphFont"/>
    <w:uiPriority w:val="99"/>
    <w:semiHidden/>
    <w:unhideWhenUsed/>
    <w:rsid w:val="00295A18"/>
    <w:rPr>
      <w:color w:val="605E5C"/>
      <w:shd w:val="clear" w:color="auto" w:fill="E1DFDD"/>
    </w:rPr>
  </w:style>
  <w:style w:type="character" w:customStyle="1" w:styleId="UnresolvedMention2">
    <w:name w:val="Unresolved Mention2"/>
    <w:basedOn w:val="DefaultParagraphFont"/>
    <w:uiPriority w:val="99"/>
    <w:semiHidden/>
    <w:unhideWhenUsed/>
    <w:rsid w:val="00BA498C"/>
    <w:rPr>
      <w:color w:val="605E5C"/>
      <w:shd w:val="clear" w:color="auto" w:fill="E1DFDD"/>
    </w:rPr>
  </w:style>
  <w:style w:type="character" w:customStyle="1" w:styleId="UnresolvedMention3">
    <w:name w:val="Unresolved Mention3"/>
    <w:basedOn w:val="DefaultParagraphFont"/>
    <w:uiPriority w:val="99"/>
    <w:semiHidden/>
    <w:unhideWhenUsed/>
    <w:rsid w:val="00365525"/>
    <w:rPr>
      <w:color w:val="605E5C"/>
      <w:shd w:val="clear" w:color="auto" w:fill="E1DFDD"/>
    </w:rPr>
  </w:style>
  <w:style w:type="character" w:customStyle="1" w:styleId="UnresolvedMention4">
    <w:name w:val="Unresolved Mention4"/>
    <w:basedOn w:val="DefaultParagraphFont"/>
    <w:uiPriority w:val="99"/>
    <w:semiHidden/>
    <w:unhideWhenUsed/>
    <w:rsid w:val="00A02D08"/>
    <w:rPr>
      <w:color w:val="605E5C"/>
      <w:shd w:val="clear" w:color="auto" w:fill="E1DFDD"/>
    </w:rPr>
  </w:style>
  <w:style w:type="character" w:styleId="UnresolvedMention">
    <w:name w:val="Unresolved Mention"/>
    <w:basedOn w:val="DefaultParagraphFont"/>
    <w:uiPriority w:val="99"/>
    <w:semiHidden/>
    <w:unhideWhenUsed/>
    <w:rsid w:val="00BF204E"/>
    <w:rPr>
      <w:color w:val="605E5C"/>
      <w:shd w:val="clear" w:color="auto" w:fill="E1DFDD"/>
    </w:rPr>
  </w:style>
  <w:style w:type="table" w:styleId="PlainTable1">
    <w:name w:val="Plain Table 1"/>
    <w:basedOn w:val="TableNormal"/>
    <w:uiPriority w:val="41"/>
    <w:rsid w:val="00D90D77"/>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heading2">
    <w:name w:val="Table heading 2"/>
    <w:basedOn w:val="ACMATableHeader"/>
    <w:qFormat/>
    <w:rsid w:val="00C837A5"/>
    <w:pPr>
      <w:keepNext/>
      <w:spacing w:after="0"/>
      <w:ind w:left="97" w:hanging="40"/>
    </w:pPr>
    <w:rPr>
      <w:color w:val="auto"/>
      <w:sz w:val="24"/>
    </w:rPr>
  </w:style>
  <w:style w:type="paragraph" w:styleId="TOC4">
    <w:name w:val="toc 4"/>
    <w:basedOn w:val="Normal"/>
    <w:next w:val="Normal"/>
    <w:autoRedefine/>
    <w:uiPriority w:val="39"/>
    <w:unhideWhenUsed/>
    <w:rsid w:val="00775B4A"/>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75B4A"/>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75B4A"/>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75B4A"/>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75B4A"/>
    <w:pPr>
      <w:spacing w:after="100" w:line="259" w:lineRule="auto"/>
      <w:ind w:left="1540"/>
    </w:pPr>
    <w:rPr>
      <w:rFonts w:asciiTheme="minorHAnsi" w:eastAsiaTheme="minorEastAsia" w:hAnsiTheme="minorHAnsi" w:cstheme="minorBidi"/>
      <w:sz w:val="22"/>
      <w:szCs w:val="22"/>
    </w:rPr>
  </w:style>
  <w:style w:type="character" w:customStyle="1" w:styleId="normaltextrun">
    <w:name w:val="normaltextrun"/>
    <w:basedOn w:val="DefaultParagraphFont"/>
    <w:rsid w:val="0076347E"/>
  </w:style>
  <w:style w:type="table" w:styleId="ListTable6Colorful">
    <w:name w:val="List Table 6 Colorful"/>
    <w:basedOn w:val="TableNormal"/>
    <w:uiPriority w:val="51"/>
    <w:rsid w:val="006E13B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qFormat/>
    <w:rsid w:val="0019469D"/>
    <w:rPr>
      <w:rFonts w:cs="Arial"/>
    </w:rPr>
  </w:style>
  <w:style w:type="table" w:styleId="GridTable4-Accent1">
    <w:name w:val="Grid Table 4 Accent 1"/>
    <w:basedOn w:val="TableNormal"/>
    <w:uiPriority w:val="49"/>
    <w:rsid w:val="005F4969"/>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partno">
    <w:name w:val="charpartno"/>
    <w:basedOn w:val="DefaultParagraphFont"/>
    <w:rsid w:val="005F4969"/>
  </w:style>
  <w:style w:type="paragraph" w:customStyle="1" w:styleId="Bulletlevel1">
    <w:name w:val="Bullet level 1"/>
    <w:basedOn w:val="ListBullet"/>
    <w:uiPriority w:val="5"/>
    <w:qFormat/>
    <w:rsid w:val="002E5E12"/>
    <w:pPr>
      <w:keepNext w:val="0"/>
      <w:keepLines w:val="0"/>
    </w:pPr>
    <w:rPr>
      <w:rFonts w:cs="Arial"/>
    </w:rPr>
  </w:style>
  <w:style w:type="paragraph" w:customStyle="1" w:styleId="Bulletlevel1last">
    <w:name w:val="Bullet level 1 last"/>
    <w:basedOn w:val="ListBulletLast"/>
    <w:uiPriority w:val="6"/>
    <w:qFormat/>
    <w:rsid w:val="002E5E12"/>
  </w:style>
  <w:style w:type="paragraph" w:customStyle="1" w:styleId="Bulletlevel2">
    <w:name w:val="Bullet level 2"/>
    <w:basedOn w:val="ListBullet2"/>
    <w:uiPriority w:val="7"/>
    <w:qFormat/>
    <w:rsid w:val="002E5E12"/>
  </w:style>
  <w:style w:type="paragraph" w:customStyle="1" w:styleId="Bulletlevel2last">
    <w:name w:val="Bullet level 2 last"/>
    <w:basedOn w:val="Bulletlevel2"/>
    <w:uiPriority w:val="8"/>
    <w:qFormat/>
    <w:rsid w:val="002E5E12"/>
    <w:pPr>
      <w:spacing w:after="240"/>
    </w:pPr>
  </w:style>
  <w:style w:type="paragraph" w:customStyle="1" w:styleId="Paragraphbeforelist">
    <w:name w:val="Paragraph before list"/>
    <w:basedOn w:val="Paragraph"/>
    <w:uiPriority w:val="4"/>
    <w:qFormat/>
    <w:rsid w:val="002E5E12"/>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5894">
      <w:bodyDiv w:val="1"/>
      <w:marLeft w:val="0"/>
      <w:marRight w:val="0"/>
      <w:marTop w:val="0"/>
      <w:marBottom w:val="0"/>
      <w:divBdr>
        <w:top w:val="none" w:sz="0" w:space="0" w:color="auto"/>
        <w:left w:val="none" w:sz="0" w:space="0" w:color="auto"/>
        <w:bottom w:val="none" w:sz="0" w:space="0" w:color="auto"/>
        <w:right w:val="none" w:sz="0" w:space="0" w:color="auto"/>
      </w:divBdr>
      <w:divsChild>
        <w:div w:id="109207078">
          <w:marLeft w:val="0"/>
          <w:marRight w:val="0"/>
          <w:marTop w:val="0"/>
          <w:marBottom w:val="0"/>
          <w:divBdr>
            <w:top w:val="none" w:sz="0" w:space="0" w:color="auto"/>
            <w:left w:val="none" w:sz="0" w:space="0" w:color="auto"/>
            <w:bottom w:val="none" w:sz="0" w:space="0" w:color="auto"/>
            <w:right w:val="none" w:sz="0" w:space="0" w:color="auto"/>
          </w:divBdr>
          <w:divsChild>
            <w:div w:id="1530871569">
              <w:marLeft w:val="0"/>
              <w:marRight w:val="0"/>
              <w:marTop w:val="0"/>
              <w:marBottom w:val="0"/>
              <w:divBdr>
                <w:top w:val="none" w:sz="0" w:space="0" w:color="auto"/>
                <w:left w:val="none" w:sz="0" w:space="0" w:color="auto"/>
                <w:bottom w:val="none" w:sz="0" w:space="0" w:color="auto"/>
                <w:right w:val="none" w:sz="0" w:space="0" w:color="auto"/>
              </w:divBdr>
              <w:divsChild>
                <w:div w:id="1888445366">
                  <w:marLeft w:val="0"/>
                  <w:marRight w:val="0"/>
                  <w:marTop w:val="0"/>
                  <w:marBottom w:val="0"/>
                  <w:divBdr>
                    <w:top w:val="none" w:sz="0" w:space="0" w:color="auto"/>
                    <w:left w:val="none" w:sz="0" w:space="0" w:color="auto"/>
                    <w:bottom w:val="none" w:sz="0" w:space="0" w:color="auto"/>
                    <w:right w:val="none" w:sz="0" w:space="0" w:color="auto"/>
                  </w:divBdr>
                  <w:divsChild>
                    <w:div w:id="1299530523">
                      <w:marLeft w:val="0"/>
                      <w:marRight w:val="0"/>
                      <w:marTop w:val="0"/>
                      <w:marBottom w:val="0"/>
                      <w:divBdr>
                        <w:top w:val="none" w:sz="0" w:space="0" w:color="auto"/>
                        <w:left w:val="none" w:sz="0" w:space="0" w:color="auto"/>
                        <w:bottom w:val="none" w:sz="0" w:space="0" w:color="auto"/>
                        <w:right w:val="none" w:sz="0" w:space="0" w:color="auto"/>
                      </w:divBdr>
                      <w:divsChild>
                        <w:div w:id="10599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77867">
      <w:bodyDiv w:val="1"/>
      <w:marLeft w:val="0"/>
      <w:marRight w:val="0"/>
      <w:marTop w:val="0"/>
      <w:marBottom w:val="0"/>
      <w:divBdr>
        <w:top w:val="none" w:sz="0" w:space="0" w:color="auto"/>
        <w:left w:val="none" w:sz="0" w:space="0" w:color="auto"/>
        <w:bottom w:val="none" w:sz="0" w:space="0" w:color="auto"/>
        <w:right w:val="none" w:sz="0" w:space="0" w:color="auto"/>
      </w:divBdr>
    </w:div>
    <w:div w:id="70784548">
      <w:bodyDiv w:val="1"/>
      <w:marLeft w:val="0"/>
      <w:marRight w:val="0"/>
      <w:marTop w:val="0"/>
      <w:marBottom w:val="0"/>
      <w:divBdr>
        <w:top w:val="none" w:sz="0" w:space="0" w:color="auto"/>
        <w:left w:val="none" w:sz="0" w:space="0" w:color="auto"/>
        <w:bottom w:val="none" w:sz="0" w:space="0" w:color="auto"/>
        <w:right w:val="none" w:sz="0" w:space="0" w:color="auto"/>
      </w:divBdr>
    </w:div>
    <w:div w:id="102574492">
      <w:bodyDiv w:val="1"/>
      <w:marLeft w:val="0"/>
      <w:marRight w:val="0"/>
      <w:marTop w:val="0"/>
      <w:marBottom w:val="0"/>
      <w:divBdr>
        <w:top w:val="none" w:sz="0" w:space="0" w:color="auto"/>
        <w:left w:val="none" w:sz="0" w:space="0" w:color="auto"/>
        <w:bottom w:val="none" w:sz="0" w:space="0" w:color="auto"/>
        <w:right w:val="none" w:sz="0" w:space="0" w:color="auto"/>
      </w:divBdr>
    </w:div>
    <w:div w:id="124079014">
      <w:bodyDiv w:val="1"/>
      <w:marLeft w:val="0"/>
      <w:marRight w:val="0"/>
      <w:marTop w:val="0"/>
      <w:marBottom w:val="0"/>
      <w:divBdr>
        <w:top w:val="none" w:sz="0" w:space="0" w:color="auto"/>
        <w:left w:val="none" w:sz="0" w:space="0" w:color="auto"/>
        <w:bottom w:val="none" w:sz="0" w:space="0" w:color="auto"/>
        <w:right w:val="none" w:sz="0" w:space="0" w:color="auto"/>
      </w:divBdr>
    </w:div>
    <w:div w:id="127208210">
      <w:bodyDiv w:val="1"/>
      <w:marLeft w:val="0"/>
      <w:marRight w:val="0"/>
      <w:marTop w:val="0"/>
      <w:marBottom w:val="0"/>
      <w:divBdr>
        <w:top w:val="none" w:sz="0" w:space="0" w:color="auto"/>
        <w:left w:val="none" w:sz="0" w:space="0" w:color="auto"/>
        <w:bottom w:val="none" w:sz="0" w:space="0" w:color="auto"/>
        <w:right w:val="none" w:sz="0" w:space="0" w:color="auto"/>
      </w:divBdr>
    </w:div>
    <w:div w:id="146825606">
      <w:bodyDiv w:val="1"/>
      <w:marLeft w:val="0"/>
      <w:marRight w:val="0"/>
      <w:marTop w:val="0"/>
      <w:marBottom w:val="0"/>
      <w:divBdr>
        <w:top w:val="none" w:sz="0" w:space="0" w:color="auto"/>
        <w:left w:val="none" w:sz="0" w:space="0" w:color="auto"/>
        <w:bottom w:val="none" w:sz="0" w:space="0" w:color="auto"/>
        <w:right w:val="none" w:sz="0" w:space="0" w:color="auto"/>
      </w:divBdr>
    </w:div>
    <w:div w:id="149714637">
      <w:bodyDiv w:val="1"/>
      <w:marLeft w:val="0"/>
      <w:marRight w:val="0"/>
      <w:marTop w:val="0"/>
      <w:marBottom w:val="0"/>
      <w:divBdr>
        <w:top w:val="none" w:sz="0" w:space="0" w:color="auto"/>
        <w:left w:val="none" w:sz="0" w:space="0" w:color="auto"/>
        <w:bottom w:val="none" w:sz="0" w:space="0" w:color="auto"/>
        <w:right w:val="none" w:sz="0" w:space="0" w:color="auto"/>
      </w:divBdr>
    </w:div>
    <w:div w:id="163666300">
      <w:bodyDiv w:val="1"/>
      <w:marLeft w:val="0"/>
      <w:marRight w:val="0"/>
      <w:marTop w:val="0"/>
      <w:marBottom w:val="0"/>
      <w:divBdr>
        <w:top w:val="none" w:sz="0" w:space="0" w:color="auto"/>
        <w:left w:val="none" w:sz="0" w:space="0" w:color="auto"/>
        <w:bottom w:val="none" w:sz="0" w:space="0" w:color="auto"/>
        <w:right w:val="none" w:sz="0" w:space="0" w:color="auto"/>
      </w:divBdr>
    </w:div>
    <w:div w:id="165947953">
      <w:bodyDiv w:val="1"/>
      <w:marLeft w:val="0"/>
      <w:marRight w:val="0"/>
      <w:marTop w:val="0"/>
      <w:marBottom w:val="0"/>
      <w:divBdr>
        <w:top w:val="none" w:sz="0" w:space="0" w:color="auto"/>
        <w:left w:val="none" w:sz="0" w:space="0" w:color="auto"/>
        <w:bottom w:val="none" w:sz="0" w:space="0" w:color="auto"/>
        <w:right w:val="none" w:sz="0" w:space="0" w:color="auto"/>
      </w:divBdr>
    </w:div>
    <w:div w:id="166986358">
      <w:bodyDiv w:val="1"/>
      <w:marLeft w:val="0"/>
      <w:marRight w:val="0"/>
      <w:marTop w:val="0"/>
      <w:marBottom w:val="0"/>
      <w:divBdr>
        <w:top w:val="none" w:sz="0" w:space="0" w:color="auto"/>
        <w:left w:val="none" w:sz="0" w:space="0" w:color="auto"/>
        <w:bottom w:val="none" w:sz="0" w:space="0" w:color="auto"/>
        <w:right w:val="none" w:sz="0" w:space="0" w:color="auto"/>
      </w:divBdr>
    </w:div>
    <w:div w:id="167717739">
      <w:bodyDiv w:val="1"/>
      <w:marLeft w:val="0"/>
      <w:marRight w:val="0"/>
      <w:marTop w:val="0"/>
      <w:marBottom w:val="0"/>
      <w:divBdr>
        <w:top w:val="none" w:sz="0" w:space="0" w:color="auto"/>
        <w:left w:val="none" w:sz="0" w:space="0" w:color="auto"/>
        <w:bottom w:val="none" w:sz="0" w:space="0" w:color="auto"/>
        <w:right w:val="none" w:sz="0" w:space="0" w:color="auto"/>
      </w:divBdr>
    </w:div>
    <w:div w:id="215238411">
      <w:bodyDiv w:val="1"/>
      <w:marLeft w:val="0"/>
      <w:marRight w:val="0"/>
      <w:marTop w:val="0"/>
      <w:marBottom w:val="0"/>
      <w:divBdr>
        <w:top w:val="none" w:sz="0" w:space="0" w:color="auto"/>
        <w:left w:val="none" w:sz="0" w:space="0" w:color="auto"/>
        <w:bottom w:val="none" w:sz="0" w:space="0" w:color="auto"/>
        <w:right w:val="none" w:sz="0" w:space="0" w:color="auto"/>
      </w:divBdr>
    </w:div>
    <w:div w:id="221523862">
      <w:bodyDiv w:val="1"/>
      <w:marLeft w:val="0"/>
      <w:marRight w:val="0"/>
      <w:marTop w:val="0"/>
      <w:marBottom w:val="0"/>
      <w:divBdr>
        <w:top w:val="none" w:sz="0" w:space="0" w:color="auto"/>
        <w:left w:val="none" w:sz="0" w:space="0" w:color="auto"/>
        <w:bottom w:val="none" w:sz="0" w:space="0" w:color="auto"/>
        <w:right w:val="none" w:sz="0" w:space="0" w:color="auto"/>
      </w:divBdr>
    </w:div>
    <w:div w:id="245647689">
      <w:bodyDiv w:val="1"/>
      <w:marLeft w:val="0"/>
      <w:marRight w:val="0"/>
      <w:marTop w:val="0"/>
      <w:marBottom w:val="0"/>
      <w:divBdr>
        <w:top w:val="none" w:sz="0" w:space="0" w:color="auto"/>
        <w:left w:val="none" w:sz="0" w:space="0" w:color="auto"/>
        <w:bottom w:val="none" w:sz="0" w:space="0" w:color="auto"/>
        <w:right w:val="none" w:sz="0" w:space="0" w:color="auto"/>
      </w:divBdr>
    </w:div>
    <w:div w:id="252477244">
      <w:bodyDiv w:val="1"/>
      <w:marLeft w:val="0"/>
      <w:marRight w:val="0"/>
      <w:marTop w:val="0"/>
      <w:marBottom w:val="0"/>
      <w:divBdr>
        <w:top w:val="none" w:sz="0" w:space="0" w:color="auto"/>
        <w:left w:val="none" w:sz="0" w:space="0" w:color="auto"/>
        <w:bottom w:val="none" w:sz="0" w:space="0" w:color="auto"/>
        <w:right w:val="none" w:sz="0" w:space="0" w:color="auto"/>
      </w:divBdr>
    </w:div>
    <w:div w:id="263148020">
      <w:bodyDiv w:val="1"/>
      <w:marLeft w:val="0"/>
      <w:marRight w:val="0"/>
      <w:marTop w:val="0"/>
      <w:marBottom w:val="0"/>
      <w:divBdr>
        <w:top w:val="none" w:sz="0" w:space="0" w:color="auto"/>
        <w:left w:val="none" w:sz="0" w:space="0" w:color="auto"/>
        <w:bottom w:val="none" w:sz="0" w:space="0" w:color="auto"/>
        <w:right w:val="none" w:sz="0" w:space="0" w:color="auto"/>
      </w:divBdr>
    </w:div>
    <w:div w:id="282271341">
      <w:bodyDiv w:val="1"/>
      <w:marLeft w:val="0"/>
      <w:marRight w:val="0"/>
      <w:marTop w:val="0"/>
      <w:marBottom w:val="0"/>
      <w:divBdr>
        <w:top w:val="none" w:sz="0" w:space="0" w:color="auto"/>
        <w:left w:val="none" w:sz="0" w:space="0" w:color="auto"/>
        <w:bottom w:val="none" w:sz="0" w:space="0" w:color="auto"/>
        <w:right w:val="none" w:sz="0" w:space="0" w:color="auto"/>
      </w:divBdr>
    </w:div>
    <w:div w:id="338895039">
      <w:bodyDiv w:val="1"/>
      <w:marLeft w:val="0"/>
      <w:marRight w:val="0"/>
      <w:marTop w:val="0"/>
      <w:marBottom w:val="0"/>
      <w:divBdr>
        <w:top w:val="none" w:sz="0" w:space="0" w:color="auto"/>
        <w:left w:val="none" w:sz="0" w:space="0" w:color="auto"/>
        <w:bottom w:val="none" w:sz="0" w:space="0" w:color="auto"/>
        <w:right w:val="none" w:sz="0" w:space="0" w:color="auto"/>
      </w:divBdr>
    </w:div>
    <w:div w:id="357660826">
      <w:bodyDiv w:val="1"/>
      <w:marLeft w:val="0"/>
      <w:marRight w:val="0"/>
      <w:marTop w:val="0"/>
      <w:marBottom w:val="0"/>
      <w:divBdr>
        <w:top w:val="none" w:sz="0" w:space="0" w:color="auto"/>
        <w:left w:val="none" w:sz="0" w:space="0" w:color="auto"/>
        <w:bottom w:val="none" w:sz="0" w:space="0" w:color="auto"/>
        <w:right w:val="none" w:sz="0" w:space="0" w:color="auto"/>
      </w:divBdr>
    </w:div>
    <w:div w:id="366759458">
      <w:bodyDiv w:val="1"/>
      <w:marLeft w:val="0"/>
      <w:marRight w:val="0"/>
      <w:marTop w:val="0"/>
      <w:marBottom w:val="0"/>
      <w:divBdr>
        <w:top w:val="none" w:sz="0" w:space="0" w:color="auto"/>
        <w:left w:val="none" w:sz="0" w:space="0" w:color="auto"/>
        <w:bottom w:val="none" w:sz="0" w:space="0" w:color="auto"/>
        <w:right w:val="none" w:sz="0" w:space="0" w:color="auto"/>
      </w:divBdr>
    </w:div>
    <w:div w:id="422990865">
      <w:bodyDiv w:val="1"/>
      <w:marLeft w:val="0"/>
      <w:marRight w:val="0"/>
      <w:marTop w:val="0"/>
      <w:marBottom w:val="0"/>
      <w:divBdr>
        <w:top w:val="none" w:sz="0" w:space="0" w:color="auto"/>
        <w:left w:val="none" w:sz="0" w:space="0" w:color="auto"/>
        <w:bottom w:val="none" w:sz="0" w:space="0" w:color="auto"/>
        <w:right w:val="none" w:sz="0" w:space="0" w:color="auto"/>
      </w:divBdr>
    </w:div>
    <w:div w:id="431241558">
      <w:bodyDiv w:val="1"/>
      <w:marLeft w:val="0"/>
      <w:marRight w:val="0"/>
      <w:marTop w:val="0"/>
      <w:marBottom w:val="0"/>
      <w:divBdr>
        <w:top w:val="none" w:sz="0" w:space="0" w:color="auto"/>
        <w:left w:val="none" w:sz="0" w:space="0" w:color="auto"/>
        <w:bottom w:val="none" w:sz="0" w:space="0" w:color="auto"/>
        <w:right w:val="none" w:sz="0" w:space="0" w:color="auto"/>
      </w:divBdr>
    </w:div>
    <w:div w:id="451242372">
      <w:bodyDiv w:val="1"/>
      <w:marLeft w:val="0"/>
      <w:marRight w:val="0"/>
      <w:marTop w:val="0"/>
      <w:marBottom w:val="0"/>
      <w:divBdr>
        <w:top w:val="none" w:sz="0" w:space="0" w:color="auto"/>
        <w:left w:val="none" w:sz="0" w:space="0" w:color="auto"/>
        <w:bottom w:val="none" w:sz="0" w:space="0" w:color="auto"/>
        <w:right w:val="none" w:sz="0" w:space="0" w:color="auto"/>
      </w:divBdr>
    </w:div>
    <w:div w:id="453016214">
      <w:bodyDiv w:val="1"/>
      <w:marLeft w:val="0"/>
      <w:marRight w:val="0"/>
      <w:marTop w:val="0"/>
      <w:marBottom w:val="0"/>
      <w:divBdr>
        <w:top w:val="none" w:sz="0" w:space="0" w:color="auto"/>
        <w:left w:val="none" w:sz="0" w:space="0" w:color="auto"/>
        <w:bottom w:val="none" w:sz="0" w:space="0" w:color="auto"/>
        <w:right w:val="none" w:sz="0" w:space="0" w:color="auto"/>
      </w:divBdr>
    </w:div>
    <w:div w:id="457916219">
      <w:bodyDiv w:val="1"/>
      <w:marLeft w:val="0"/>
      <w:marRight w:val="0"/>
      <w:marTop w:val="0"/>
      <w:marBottom w:val="0"/>
      <w:divBdr>
        <w:top w:val="none" w:sz="0" w:space="0" w:color="auto"/>
        <w:left w:val="none" w:sz="0" w:space="0" w:color="auto"/>
        <w:bottom w:val="none" w:sz="0" w:space="0" w:color="auto"/>
        <w:right w:val="none" w:sz="0" w:space="0" w:color="auto"/>
      </w:divBdr>
    </w:div>
    <w:div w:id="468403279">
      <w:bodyDiv w:val="1"/>
      <w:marLeft w:val="0"/>
      <w:marRight w:val="0"/>
      <w:marTop w:val="0"/>
      <w:marBottom w:val="0"/>
      <w:divBdr>
        <w:top w:val="none" w:sz="0" w:space="0" w:color="auto"/>
        <w:left w:val="none" w:sz="0" w:space="0" w:color="auto"/>
        <w:bottom w:val="none" w:sz="0" w:space="0" w:color="auto"/>
        <w:right w:val="none" w:sz="0" w:space="0" w:color="auto"/>
      </w:divBdr>
    </w:div>
    <w:div w:id="493492433">
      <w:bodyDiv w:val="1"/>
      <w:marLeft w:val="0"/>
      <w:marRight w:val="0"/>
      <w:marTop w:val="0"/>
      <w:marBottom w:val="0"/>
      <w:divBdr>
        <w:top w:val="none" w:sz="0" w:space="0" w:color="auto"/>
        <w:left w:val="none" w:sz="0" w:space="0" w:color="auto"/>
        <w:bottom w:val="none" w:sz="0" w:space="0" w:color="auto"/>
        <w:right w:val="none" w:sz="0" w:space="0" w:color="auto"/>
      </w:divBdr>
    </w:div>
    <w:div w:id="501629245">
      <w:bodyDiv w:val="1"/>
      <w:marLeft w:val="0"/>
      <w:marRight w:val="0"/>
      <w:marTop w:val="0"/>
      <w:marBottom w:val="0"/>
      <w:divBdr>
        <w:top w:val="none" w:sz="0" w:space="0" w:color="auto"/>
        <w:left w:val="none" w:sz="0" w:space="0" w:color="auto"/>
        <w:bottom w:val="none" w:sz="0" w:space="0" w:color="auto"/>
        <w:right w:val="none" w:sz="0" w:space="0" w:color="auto"/>
      </w:divBdr>
    </w:div>
    <w:div w:id="513568602">
      <w:bodyDiv w:val="1"/>
      <w:marLeft w:val="0"/>
      <w:marRight w:val="0"/>
      <w:marTop w:val="0"/>
      <w:marBottom w:val="0"/>
      <w:divBdr>
        <w:top w:val="none" w:sz="0" w:space="0" w:color="auto"/>
        <w:left w:val="none" w:sz="0" w:space="0" w:color="auto"/>
        <w:bottom w:val="none" w:sz="0" w:space="0" w:color="auto"/>
        <w:right w:val="none" w:sz="0" w:space="0" w:color="auto"/>
      </w:divBdr>
    </w:div>
    <w:div w:id="515967495">
      <w:bodyDiv w:val="1"/>
      <w:marLeft w:val="0"/>
      <w:marRight w:val="0"/>
      <w:marTop w:val="0"/>
      <w:marBottom w:val="0"/>
      <w:divBdr>
        <w:top w:val="none" w:sz="0" w:space="0" w:color="auto"/>
        <w:left w:val="none" w:sz="0" w:space="0" w:color="auto"/>
        <w:bottom w:val="none" w:sz="0" w:space="0" w:color="auto"/>
        <w:right w:val="none" w:sz="0" w:space="0" w:color="auto"/>
      </w:divBdr>
    </w:div>
    <w:div w:id="532884536">
      <w:bodyDiv w:val="1"/>
      <w:marLeft w:val="0"/>
      <w:marRight w:val="0"/>
      <w:marTop w:val="0"/>
      <w:marBottom w:val="0"/>
      <w:divBdr>
        <w:top w:val="none" w:sz="0" w:space="0" w:color="auto"/>
        <w:left w:val="none" w:sz="0" w:space="0" w:color="auto"/>
        <w:bottom w:val="none" w:sz="0" w:space="0" w:color="auto"/>
        <w:right w:val="none" w:sz="0" w:space="0" w:color="auto"/>
      </w:divBdr>
    </w:div>
    <w:div w:id="582420679">
      <w:bodyDiv w:val="1"/>
      <w:marLeft w:val="0"/>
      <w:marRight w:val="0"/>
      <w:marTop w:val="0"/>
      <w:marBottom w:val="0"/>
      <w:divBdr>
        <w:top w:val="none" w:sz="0" w:space="0" w:color="auto"/>
        <w:left w:val="none" w:sz="0" w:space="0" w:color="auto"/>
        <w:bottom w:val="none" w:sz="0" w:space="0" w:color="auto"/>
        <w:right w:val="none" w:sz="0" w:space="0" w:color="auto"/>
      </w:divBdr>
    </w:div>
    <w:div w:id="646251656">
      <w:bodyDiv w:val="1"/>
      <w:marLeft w:val="0"/>
      <w:marRight w:val="0"/>
      <w:marTop w:val="0"/>
      <w:marBottom w:val="0"/>
      <w:divBdr>
        <w:top w:val="none" w:sz="0" w:space="0" w:color="auto"/>
        <w:left w:val="none" w:sz="0" w:space="0" w:color="auto"/>
        <w:bottom w:val="none" w:sz="0" w:space="0" w:color="auto"/>
        <w:right w:val="none" w:sz="0" w:space="0" w:color="auto"/>
      </w:divBdr>
    </w:div>
    <w:div w:id="647436425">
      <w:bodyDiv w:val="1"/>
      <w:marLeft w:val="0"/>
      <w:marRight w:val="0"/>
      <w:marTop w:val="0"/>
      <w:marBottom w:val="0"/>
      <w:divBdr>
        <w:top w:val="none" w:sz="0" w:space="0" w:color="auto"/>
        <w:left w:val="none" w:sz="0" w:space="0" w:color="auto"/>
        <w:bottom w:val="none" w:sz="0" w:space="0" w:color="auto"/>
        <w:right w:val="none" w:sz="0" w:space="0" w:color="auto"/>
      </w:divBdr>
    </w:div>
    <w:div w:id="672027022">
      <w:bodyDiv w:val="1"/>
      <w:marLeft w:val="0"/>
      <w:marRight w:val="0"/>
      <w:marTop w:val="0"/>
      <w:marBottom w:val="0"/>
      <w:divBdr>
        <w:top w:val="none" w:sz="0" w:space="0" w:color="auto"/>
        <w:left w:val="none" w:sz="0" w:space="0" w:color="auto"/>
        <w:bottom w:val="none" w:sz="0" w:space="0" w:color="auto"/>
        <w:right w:val="none" w:sz="0" w:space="0" w:color="auto"/>
      </w:divBdr>
    </w:div>
    <w:div w:id="681207527">
      <w:bodyDiv w:val="1"/>
      <w:marLeft w:val="0"/>
      <w:marRight w:val="0"/>
      <w:marTop w:val="0"/>
      <w:marBottom w:val="0"/>
      <w:divBdr>
        <w:top w:val="none" w:sz="0" w:space="0" w:color="auto"/>
        <w:left w:val="none" w:sz="0" w:space="0" w:color="auto"/>
        <w:bottom w:val="none" w:sz="0" w:space="0" w:color="auto"/>
        <w:right w:val="none" w:sz="0" w:space="0" w:color="auto"/>
      </w:divBdr>
    </w:div>
    <w:div w:id="695499344">
      <w:bodyDiv w:val="1"/>
      <w:marLeft w:val="0"/>
      <w:marRight w:val="0"/>
      <w:marTop w:val="0"/>
      <w:marBottom w:val="0"/>
      <w:divBdr>
        <w:top w:val="none" w:sz="0" w:space="0" w:color="auto"/>
        <w:left w:val="none" w:sz="0" w:space="0" w:color="auto"/>
        <w:bottom w:val="none" w:sz="0" w:space="0" w:color="auto"/>
        <w:right w:val="none" w:sz="0" w:space="0" w:color="auto"/>
      </w:divBdr>
      <w:divsChild>
        <w:div w:id="34545407">
          <w:marLeft w:val="547"/>
          <w:marRight w:val="0"/>
          <w:marTop w:val="0"/>
          <w:marBottom w:val="0"/>
          <w:divBdr>
            <w:top w:val="none" w:sz="0" w:space="0" w:color="auto"/>
            <w:left w:val="none" w:sz="0" w:space="0" w:color="auto"/>
            <w:bottom w:val="none" w:sz="0" w:space="0" w:color="auto"/>
            <w:right w:val="none" w:sz="0" w:space="0" w:color="auto"/>
          </w:divBdr>
        </w:div>
      </w:divsChild>
    </w:div>
    <w:div w:id="746197366">
      <w:bodyDiv w:val="1"/>
      <w:marLeft w:val="0"/>
      <w:marRight w:val="0"/>
      <w:marTop w:val="0"/>
      <w:marBottom w:val="0"/>
      <w:divBdr>
        <w:top w:val="none" w:sz="0" w:space="0" w:color="auto"/>
        <w:left w:val="none" w:sz="0" w:space="0" w:color="auto"/>
        <w:bottom w:val="none" w:sz="0" w:space="0" w:color="auto"/>
        <w:right w:val="none" w:sz="0" w:space="0" w:color="auto"/>
      </w:divBdr>
    </w:div>
    <w:div w:id="759721368">
      <w:bodyDiv w:val="1"/>
      <w:marLeft w:val="0"/>
      <w:marRight w:val="0"/>
      <w:marTop w:val="0"/>
      <w:marBottom w:val="0"/>
      <w:divBdr>
        <w:top w:val="none" w:sz="0" w:space="0" w:color="auto"/>
        <w:left w:val="none" w:sz="0" w:space="0" w:color="auto"/>
        <w:bottom w:val="none" w:sz="0" w:space="0" w:color="auto"/>
        <w:right w:val="none" w:sz="0" w:space="0" w:color="auto"/>
      </w:divBdr>
      <w:divsChild>
        <w:div w:id="728915772">
          <w:marLeft w:val="0"/>
          <w:marRight w:val="0"/>
          <w:marTop w:val="0"/>
          <w:marBottom w:val="0"/>
          <w:divBdr>
            <w:top w:val="none" w:sz="0" w:space="0" w:color="auto"/>
            <w:left w:val="none" w:sz="0" w:space="0" w:color="auto"/>
            <w:bottom w:val="none" w:sz="0" w:space="0" w:color="auto"/>
            <w:right w:val="none" w:sz="0" w:space="0" w:color="auto"/>
          </w:divBdr>
          <w:divsChild>
            <w:div w:id="1298758209">
              <w:marLeft w:val="0"/>
              <w:marRight w:val="0"/>
              <w:marTop w:val="0"/>
              <w:marBottom w:val="750"/>
              <w:divBdr>
                <w:top w:val="none" w:sz="0" w:space="0" w:color="auto"/>
                <w:left w:val="none" w:sz="0" w:space="0" w:color="auto"/>
                <w:bottom w:val="none" w:sz="0" w:space="0" w:color="auto"/>
                <w:right w:val="none" w:sz="0" w:space="0" w:color="auto"/>
              </w:divBdr>
              <w:divsChild>
                <w:div w:id="1179197147">
                  <w:marLeft w:val="0"/>
                  <w:marRight w:val="0"/>
                  <w:marTop w:val="0"/>
                  <w:marBottom w:val="0"/>
                  <w:divBdr>
                    <w:top w:val="none" w:sz="0" w:space="0" w:color="auto"/>
                    <w:left w:val="none" w:sz="0" w:space="0" w:color="auto"/>
                    <w:bottom w:val="none" w:sz="0" w:space="0" w:color="auto"/>
                    <w:right w:val="none" w:sz="0" w:space="0" w:color="auto"/>
                  </w:divBdr>
                  <w:divsChild>
                    <w:div w:id="1026105565">
                      <w:marLeft w:val="0"/>
                      <w:marRight w:val="0"/>
                      <w:marTop w:val="0"/>
                      <w:marBottom w:val="0"/>
                      <w:divBdr>
                        <w:top w:val="none" w:sz="0" w:space="0" w:color="auto"/>
                        <w:left w:val="none" w:sz="0" w:space="0" w:color="auto"/>
                        <w:bottom w:val="none" w:sz="0" w:space="0" w:color="auto"/>
                        <w:right w:val="none" w:sz="0" w:space="0" w:color="auto"/>
                      </w:divBdr>
                      <w:divsChild>
                        <w:div w:id="568074023">
                          <w:marLeft w:val="0"/>
                          <w:marRight w:val="0"/>
                          <w:marTop w:val="0"/>
                          <w:marBottom w:val="0"/>
                          <w:divBdr>
                            <w:top w:val="none" w:sz="0" w:space="0" w:color="auto"/>
                            <w:left w:val="none" w:sz="0" w:space="0" w:color="auto"/>
                            <w:bottom w:val="none" w:sz="0" w:space="0" w:color="auto"/>
                            <w:right w:val="none" w:sz="0" w:space="0" w:color="auto"/>
                          </w:divBdr>
                          <w:divsChild>
                            <w:div w:id="2130859125">
                              <w:marLeft w:val="0"/>
                              <w:marRight w:val="0"/>
                              <w:marTop w:val="0"/>
                              <w:marBottom w:val="0"/>
                              <w:divBdr>
                                <w:top w:val="none" w:sz="0" w:space="0" w:color="auto"/>
                                <w:left w:val="none" w:sz="0" w:space="0" w:color="auto"/>
                                <w:bottom w:val="none" w:sz="0" w:space="0" w:color="auto"/>
                                <w:right w:val="none" w:sz="0" w:space="0" w:color="auto"/>
                              </w:divBdr>
                              <w:divsChild>
                                <w:div w:id="706560595">
                                  <w:marLeft w:val="0"/>
                                  <w:marRight w:val="0"/>
                                  <w:marTop w:val="0"/>
                                  <w:marBottom w:val="0"/>
                                  <w:divBdr>
                                    <w:top w:val="none" w:sz="0" w:space="0" w:color="auto"/>
                                    <w:left w:val="none" w:sz="0" w:space="0" w:color="auto"/>
                                    <w:bottom w:val="none" w:sz="0" w:space="0" w:color="auto"/>
                                    <w:right w:val="none" w:sz="0" w:space="0" w:color="auto"/>
                                  </w:divBdr>
                                  <w:divsChild>
                                    <w:div w:id="1460879599">
                                      <w:marLeft w:val="0"/>
                                      <w:marRight w:val="0"/>
                                      <w:marTop w:val="0"/>
                                      <w:marBottom w:val="0"/>
                                      <w:divBdr>
                                        <w:top w:val="none" w:sz="0" w:space="0" w:color="auto"/>
                                        <w:left w:val="none" w:sz="0" w:space="0" w:color="auto"/>
                                        <w:bottom w:val="none" w:sz="0" w:space="0" w:color="auto"/>
                                        <w:right w:val="none" w:sz="0" w:space="0" w:color="auto"/>
                                      </w:divBdr>
                                      <w:divsChild>
                                        <w:div w:id="1435859802">
                                          <w:marLeft w:val="0"/>
                                          <w:marRight w:val="0"/>
                                          <w:marTop w:val="0"/>
                                          <w:marBottom w:val="0"/>
                                          <w:divBdr>
                                            <w:top w:val="none" w:sz="0" w:space="0" w:color="auto"/>
                                            <w:left w:val="none" w:sz="0" w:space="0" w:color="auto"/>
                                            <w:bottom w:val="none" w:sz="0" w:space="0" w:color="auto"/>
                                            <w:right w:val="none" w:sz="0" w:space="0" w:color="auto"/>
                                          </w:divBdr>
                                          <w:divsChild>
                                            <w:div w:id="1885478082">
                                              <w:marLeft w:val="0"/>
                                              <w:marRight w:val="0"/>
                                              <w:marTop w:val="0"/>
                                              <w:marBottom w:val="0"/>
                                              <w:divBdr>
                                                <w:top w:val="none" w:sz="0" w:space="0" w:color="auto"/>
                                                <w:left w:val="none" w:sz="0" w:space="0" w:color="auto"/>
                                                <w:bottom w:val="none" w:sz="0" w:space="0" w:color="auto"/>
                                                <w:right w:val="none" w:sz="0" w:space="0" w:color="auto"/>
                                              </w:divBdr>
                                              <w:divsChild>
                                                <w:div w:id="517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8233440">
      <w:bodyDiv w:val="1"/>
      <w:marLeft w:val="0"/>
      <w:marRight w:val="0"/>
      <w:marTop w:val="0"/>
      <w:marBottom w:val="0"/>
      <w:divBdr>
        <w:top w:val="none" w:sz="0" w:space="0" w:color="auto"/>
        <w:left w:val="none" w:sz="0" w:space="0" w:color="auto"/>
        <w:bottom w:val="none" w:sz="0" w:space="0" w:color="auto"/>
        <w:right w:val="none" w:sz="0" w:space="0" w:color="auto"/>
      </w:divBdr>
    </w:div>
    <w:div w:id="798718863">
      <w:bodyDiv w:val="1"/>
      <w:marLeft w:val="0"/>
      <w:marRight w:val="0"/>
      <w:marTop w:val="0"/>
      <w:marBottom w:val="0"/>
      <w:divBdr>
        <w:top w:val="none" w:sz="0" w:space="0" w:color="auto"/>
        <w:left w:val="none" w:sz="0" w:space="0" w:color="auto"/>
        <w:bottom w:val="none" w:sz="0" w:space="0" w:color="auto"/>
        <w:right w:val="none" w:sz="0" w:space="0" w:color="auto"/>
      </w:divBdr>
    </w:div>
    <w:div w:id="834807572">
      <w:bodyDiv w:val="1"/>
      <w:marLeft w:val="0"/>
      <w:marRight w:val="0"/>
      <w:marTop w:val="0"/>
      <w:marBottom w:val="0"/>
      <w:divBdr>
        <w:top w:val="none" w:sz="0" w:space="0" w:color="auto"/>
        <w:left w:val="none" w:sz="0" w:space="0" w:color="auto"/>
        <w:bottom w:val="none" w:sz="0" w:space="0" w:color="auto"/>
        <w:right w:val="none" w:sz="0" w:space="0" w:color="auto"/>
      </w:divBdr>
    </w:div>
    <w:div w:id="865220641">
      <w:bodyDiv w:val="1"/>
      <w:marLeft w:val="0"/>
      <w:marRight w:val="0"/>
      <w:marTop w:val="0"/>
      <w:marBottom w:val="0"/>
      <w:divBdr>
        <w:top w:val="none" w:sz="0" w:space="0" w:color="auto"/>
        <w:left w:val="none" w:sz="0" w:space="0" w:color="auto"/>
        <w:bottom w:val="none" w:sz="0" w:space="0" w:color="auto"/>
        <w:right w:val="none" w:sz="0" w:space="0" w:color="auto"/>
      </w:divBdr>
    </w:div>
    <w:div w:id="868299399">
      <w:bodyDiv w:val="1"/>
      <w:marLeft w:val="0"/>
      <w:marRight w:val="0"/>
      <w:marTop w:val="0"/>
      <w:marBottom w:val="0"/>
      <w:divBdr>
        <w:top w:val="none" w:sz="0" w:space="0" w:color="auto"/>
        <w:left w:val="none" w:sz="0" w:space="0" w:color="auto"/>
        <w:bottom w:val="none" w:sz="0" w:space="0" w:color="auto"/>
        <w:right w:val="none" w:sz="0" w:space="0" w:color="auto"/>
      </w:divBdr>
    </w:div>
    <w:div w:id="882058575">
      <w:bodyDiv w:val="1"/>
      <w:marLeft w:val="0"/>
      <w:marRight w:val="0"/>
      <w:marTop w:val="0"/>
      <w:marBottom w:val="0"/>
      <w:divBdr>
        <w:top w:val="none" w:sz="0" w:space="0" w:color="auto"/>
        <w:left w:val="none" w:sz="0" w:space="0" w:color="auto"/>
        <w:bottom w:val="none" w:sz="0" w:space="0" w:color="auto"/>
        <w:right w:val="none" w:sz="0" w:space="0" w:color="auto"/>
      </w:divBdr>
    </w:div>
    <w:div w:id="897715211">
      <w:bodyDiv w:val="1"/>
      <w:marLeft w:val="0"/>
      <w:marRight w:val="0"/>
      <w:marTop w:val="0"/>
      <w:marBottom w:val="0"/>
      <w:divBdr>
        <w:top w:val="none" w:sz="0" w:space="0" w:color="auto"/>
        <w:left w:val="none" w:sz="0" w:space="0" w:color="auto"/>
        <w:bottom w:val="none" w:sz="0" w:space="0" w:color="auto"/>
        <w:right w:val="none" w:sz="0" w:space="0" w:color="auto"/>
      </w:divBdr>
    </w:div>
    <w:div w:id="899484534">
      <w:bodyDiv w:val="1"/>
      <w:marLeft w:val="0"/>
      <w:marRight w:val="0"/>
      <w:marTop w:val="0"/>
      <w:marBottom w:val="0"/>
      <w:divBdr>
        <w:top w:val="none" w:sz="0" w:space="0" w:color="auto"/>
        <w:left w:val="none" w:sz="0" w:space="0" w:color="auto"/>
        <w:bottom w:val="none" w:sz="0" w:space="0" w:color="auto"/>
        <w:right w:val="none" w:sz="0" w:space="0" w:color="auto"/>
      </w:divBdr>
    </w:div>
    <w:div w:id="918364870">
      <w:bodyDiv w:val="1"/>
      <w:marLeft w:val="0"/>
      <w:marRight w:val="0"/>
      <w:marTop w:val="0"/>
      <w:marBottom w:val="0"/>
      <w:divBdr>
        <w:top w:val="none" w:sz="0" w:space="0" w:color="auto"/>
        <w:left w:val="none" w:sz="0" w:space="0" w:color="auto"/>
        <w:bottom w:val="none" w:sz="0" w:space="0" w:color="auto"/>
        <w:right w:val="none" w:sz="0" w:space="0" w:color="auto"/>
      </w:divBdr>
    </w:div>
    <w:div w:id="938147963">
      <w:bodyDiv w:val="1"/>
      <w:marLeft w:val="0"/>
      <w:marRight w:val="0"/>
      <w:marTop w:val="0"/>
      <w:marBottom w:val="0"/>
      <w:divBdr>
        <w:top w:val="none" w:sz="0" w:space="0" w:color="auto"/>
        <w:left w:val="none" w:sz="0" w:space="0" w:color="auto"/>
        <w:bottom w:val="none" w:sz="0" w:space="0" w:color="auto"/>
        <w:right w:val="none" w:sz="0" w:space="0" w:color="auto"/>
      </w:divBdr>
    </w:div>
    <w:div w:id="939870570">
      <w:bodyDiv w:val="1"/>
      <w:marLeft w:val="0"/>
      <w:marRight w:val="0"/>
      <w:marTop w:val="0"/>
      <w:marBottom w:val="0"/>
      <w:divBdr>
        <w:top w:val="none" w:sz="0" w:space="0" w:color="auto"/>
        <w:left w:val="none" w:sz="0" w:space="0" w:color="auto"/>
        <w:bottom w:val="none" w:sz="0" w:space="0" w:color="auto"/>
        <w:right w:val="none" w:sz="0" w:space="0" w:color="auto"/>
      </w:divBdr>
    </w:div>
    <w:div w:id="955671975">
      <w:bodyDiv w:val="1"/>
      <w:marLeft w:val="0"/>
      <w:marRight w:val="0"/>
      <w:marTop w:val="0"/>
      <w:marBottom w:val="0"/>
      <w:divBdr>
        <w:top w:val="none" w:sz="0" w:space="0" w:color="auto"/>
        <w:left w:val="none" w:sz="0" w:space="0" w:color="auto"/>
        <w:bottom w:val="none" w:sz="0" w:space="0" w:color="auto"/>
        <w:right w:val="none" w:sz="0" w:space="0" w:color="auto"/>
      </w:divBdr>
    </w:div>
    <w:div w:id="984893040">
      <w:bodyDiv w:val="1"/>
      <w:marLeft w:val="0"/>
      <w:marRight w:val="0"/>
      <w:marTop w:val="0"/>
      <w:marBottom w:val="0"/>
      <w:divBdr>
        <w:top w:val="none" w:sz="0" w:space="0" w:color="auto"/>
        <w:left w:val="none" w:sz="0" w:space="0" w:color="auto"/>
        <w:bottom w:val="none" w:sz="0" w:space="0" w:color="auto"/>
        <w:right w:val="none" w:sz="0" w:space="0" w:color="auto"/>
      </w:divBdr>
    </w:div>
    <w:div w:id="994063709">
      <w:bodyDiv w:val="1"/>
      <w:marLeft w:val="0"/>
      <w:marRight w:val="0"/>
      <w:marTop w:val="0"/>
      <w:marBottom w:val="0"/>
      <w:divBdr>
        <w:top w:val="none" w:sz="0" w:space="0" w:color="auto"/>
        <w:left w:val="none" w:sz="0" w:space="0" w:color="auto"/>
        <w:bottom w:val="none" w:sz="0" w:space="0" w:color="auto"/>
        <w:right w:val="none" w:sz="0" w:space="0" w:color="auto"/>
      </w:divBdr>
    </w:div>
    <w:div w:id="1010058570">
      <w:bodyDiv w:val="1"/>
      <w:marLeft w:val="0"/>
      <w:marRight w:val="0"/>
      <w:marTop w:val="0"/>
      <w:marBottom w:val="0"/>
      <w:divBdr>
        <w:top w:val="none" w:sz="0" w:space="0" w:color="auto"/>
        <w:left w:val="none" w:sz="0" w:space="0" w:color="auto"/>
        <w:bottom w:val="none" w:sz="0" w:space="0" w:color="auto"/>
        <w:right w:val="none" w:sz="0" w:space="0" w:color="auto"/>
      </w:divBdr>
    </w:div>
    <w:div w:id="1056978055">
      <w:bodyDiv w:val="1"/>
      <w:marLeft w:val="0"/>
      <w:marRight w:val="0"/>
      <w:marTop w:val="0"/>
      <w:marBottom w:val="0"/>
      <w:divBdr>
        <w:top w:val="none" w:sz="0" w:space="0" w:color="auto"/>
        <w:left w:val="none" w:sz="0" w:space="0" w:color="auto"/>
        <w:bottom w:val="none" w:sz="0" w:space="0" w:color="auto"/>
        <w:right w:val="none" w:sz="0" w:space="0" w:color="auto"/>
      </w:divBdr>
    </w:div>
    <w:div w:id="1061563174">
      <w:bodyDiv w:val="1"/>
      <w:marLeft w:val="0"/>
      <w:marRight w:val="0"/>
      <w:marTop w:val="0"/>
      <w:marBottom w:val="0"/>
      <w:divBdr>
        <w:top w:val="none" w:sz="0" w:space="0" w:color="auto"/>
        <w:left w:val="none" w:sz="0" w:space="0" w:color="auto"/>
        <w:bottom w:val="none" w:sz="0" w:space="0" w:color="auto"/>
        <w:right w:val="none" w:sz="0" w:space="0" w:color="auto"/>
      </w:divBdr>
    </w:div>
    <w:div w:id="1066368791">
      <w:bodyDiv w:val="1"/>
      <w:marLeft w:val="0"/>
      <w:marRight w:val="0"/>
      <w:marTop w:val="0"/>
      <w:marBottom w:val="0"/>
      <w:divBdr>
        <w:top w:val="none" w:sz="0" w:space="0" w:color="auto"/>
        <w:left w:val="none" w:sz="0" w:space="0" w:color="auto"/>
        <w:bottom w:val="none" w:sz="0" w:space="0" w:color="auto"/>
        <w:right w:val="none" w:sz="0" w:space="0" w:color="auto"/>
      </w:divBdr>
    </w:div>
    <w:div w:id="1101611783">
      <w:bodyDiv w:val="1"/>
      <w:marLeft w:val="0"/>
      <w:marRight w:val="0"/>
      <w:marTop w:val="0"/>
      <w:marBottom w:val="0"/>
      <w:divBdr>
        <w:top w:val="none" w:sz="0" w:space="0" w:color="auto"/>
        <w:left w:val="none" w:sz="0" w:space="0" w:color="auto"/>
        <w:bottom w:val="none" w:sz="0" w:space="0" w:color="auto"/>
        <w:right w:val="none" w:sz="0" w:space="0" w:color="auto"/>
      </w:divBdr>
    </w:div>
    <w:div w:id="1113403943">
      <w:bodyDiv w:val="1"/>
      <w:marLeft w:val="0"/>
      <w:marRight w:val="0"/>
      <w:marTop w:val="0"/>
      <w:marBottom w:val="0"/>
      <w:divBdr>
        <w:top w:val="none" w:sz="0" w:space="0" w:color="auto"/>
        <w:left w:val="none" w:sz="0" w:space="0" w:color="auto"/>
        <w:bottom w:val="none" w:sz="0" w:space="0" w:color="auto"/>
        <w:right w:val="none" w:sz="0" w:space="0" w:color="auto"/>
      </w:divBdr>
    </w:div>
    <w:div w:id="1144935346">
      <w:bodyDiv w:val="1"/>
      <w:marLeft w:val="0"/>
      <w:marRight w:val="0"/>
      <w:marTop w:val="0"/>
      <w:marBottom w:val="0"/>
      <w:divBdr>
        <w:top w:val="none" w:sz="0" w:space="0" w:color="auto"/>
        <w:left w:val="none" w:sz="0" w:space="0" w:color="auto"/>
        <w:bottom w:val="none" w:sz="0" w:space="0" w:color="auto"/>
        <w:right w:val="none" w:sz="0" w:space="0" w:color="auto"/>
      </w:divBdr>
    </w:div>
    <w:div w:id="1165634322">
      <w:bodyDiv w:val="1"/>
      <w:marLeft w:val="0"/>
      <w:marRight w:val="0"/>
      <w:marTop w:val="0"/>
      <w:marBottom w:val="0"/>
      <w:divBdr>
        <w:top w:val="none" w:sz="0" w:space="0" w:color="auto"/>
        <w:left w:val="none" w:sz="0" w:space="0" w:color="auto"/>
        <w:bottom w:val="none" w:sz="0" w:space="0" w:color="auto"/>
        <w:right w:val="none" w:sz="0" w:space="0" w:color="auto"/>
      </w:divBdr>
    </w:div>
    <w:div w:id="1240404727">
      <w:bodyDiv w:val="1"/>
      <w:marLeft w:val="0"/>
      <w:marRight w:val="0"/>
      <w:marTop w:val="0"/>
      <w:marBottom w:val="0"/>
      <w:divBdr>
        <w:top w:val="none" w:sz="0" w:space="0" w:color="auto"/>
        <w:left w:val="none" w:sz="0" w:space="0" w:color="auto"/>
        <w:bottom w:val="none" w:sz="0" w:space="0" w:color="auto"/>
        <w:right w:val="none" w:sz="0" w:space="0" w:color="auto"/>
      </w:divBdr>
    </w:div>
    <w:div w:id="1269002896">
      <w:bodyDiv w:val="1"/>
      <w:marLeft w:val="0"/>
      <w:marRight w:val="0"/>
      <w:marTop w:val="0"/>
      <w:marBottom w:val="0"/>
      <w:divBdr>
        <w:top w:val="none" w:sz="0" w:space="0" w:color="auto"/>
        <w:left w:val="none" w:sz="0" w:space="0" w:color="auto"/>
        <w:bottom w:val="none" w:sz="0" w:space="0" w:color="auto"/>
        <w:right w:val="none" w:sz="0" w:space="0" w:color="auto"/>
      </w:divBdr>
    </w:div>
    <w:div w:id="1295017897">
      <w:bodyDiv w:val="1"/>
      <w:marLeft w:val="0"/>
      <w:marRight w:val="0"/>
      <w:marTop w:val="0"/>
      <w:marBottom w:val="0"/>
      <w:divBdr>
        <w:top w:val="none" w:sz="0" w:space="0" w:color="auto"/>
        <w:left w:val="none" w:sz="0" w:space="0" w:color="auto"/>
        <w:bottom w:val="none" w:sz="0" w:space="0" w:color="auto"/>
        <w:right w:val="none" w:sz="0" w:space="0" w:color="auto"/>
      </w:divBdr>
      <w:divsChild>
        <w:div w:id="975526590">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sChild>
                <w:div w:id="1073626164">
                  <w:marLeft w:val="0"/>
                  <w:marRight w:val="0"/>
                  <w:marTop w:val="0"/>
                  <w:marBottom w:val="0"/>
                  <w:divBdr>
                    <w:top w:val="none" w:sz="0" w:space="0" w:color="auto"/>
                    <w:left w:val="none" w:sz="0" w:space="0" w:color="auto"/>
                    <w:bottom w:val="none" w:sz="0" w:space="0" w:color="auto"/>
                    <w:right w:val="none" w:sz="0" w:space="0" w:color="auto"/>
                  </w:divBdr>
                  <w:divsChild>
                    <w:div w:id="39332532">
                      <w:marLeft w:val="0"/>
                      <w:marRight w:val="0"/>
                      <w:marTop w:val="0"/>
                      <w:marBottom w:val="0"/>
                      <w:divBdr>
                        <w:top w:val="none" w:sz="0" w:space="0" w:color="auto"/>
                        <w:left w:val="none" w:sz="0" w:space="0" w:color="auto"/>
                        <w:bottom w:val="none" w:sz="0" w:space="0" w:color="auto"/>
                        <w:right w:val="none" w:sz="0" w:space="0" w:color="auto"/>
                      </w:divBdr>
                      <w:divsChild>
                        <w:div w:id="2087025899">
                          <w:marLeft w:val="0"/>
                          <w:marRight w:val="0"/>
                          <w:marTop w:val="0"/>
                          <w:marBottom w:val="0"/>
                          <w:divBdr>
                            <w:top w:val="none" w:sz="0" w:space="0" w:color="auto"/>
                            <w:left w:val="none" w:sz="0" w:space="0" w:color="auto"/>
                            <w:bottom w:val="none" w:sz="0" w:space="0" w:color="auto"/>
                            <w:right w:val="none" w:sz="0" w:space="0" w:color="auto"/>
                          </w:divBdr>
                          <w:divsChild>
                            <w:div w:id="1178232198">
                              <w:marLeft w:val="0"/>
                              <w:marRight w:val="0"/>
                              <w:marTop w:val="0"/>
                              <w:marBottom w:val="0"/>
                              <w:divBdr>
                                <w:top w:val="none" w:sz="0" w:space="0" w:color="auto"/>
                                <w:left w:val="none" w:sz="0" w:space="0" w:color="auto"/>
                                <w:bottom w:val="none" w:sz="0" w:space="0" w:color="auto"/>
                                <w:right w:val="none" w:sz="0" w:space="0" w:color="auto"/>
                              </w:divBdr>
                              <w:divsChild>
                                <w:div w:id="1674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898507">
      <w:bodyDiv w:val="1"/>
      <w:marLeft w:val="0"/>
      <w:marRight w:val="0"/>
      <w:marTop w:val="0"/>
      <w:marBottom w:val="0"/>
      <w:divBdr>
        <w:top w:val="none" w:sz="0" w:space="0" w:color="auto"/>
        <w:left w:val="none" w:sz="0" w:space="0" w:color="auto"/>
        <w:bottom w:val="none" w:sz="0" w:space="0" w:color="auto"/>
        <w:right w:val="none" w:sz="0" w:space="0" w:color="auto"/>
      </w:divBdr>
    </w:div>
    <w:div w:id="1310670285">
      <w:bodyDiv w:val="1"/>
      <w:marLeft w:val="0"/>
      <w:marRight w:val="0"/>
      <w:marTop w:val="0"/>
      <w:marBottom w:val="0"/>
      <w:divBdr>
        <w:top w:val="none" w:sz="0" w:space="0" w:color="auto"/>
        <w:left w:val="none" w:sz="0" w:space="0" w:color="auto"/>
        <w:bottom w:val="none" w:sz="0" w:space="0" w:color="auto"/>
        <w:right w:val="none" w:sz="0" w:space="0" w:color="auto"/>
      </w:divBdr>
    </w:div>
    <w:div w:id="1314144584">
      <w:bodyDiv w:val="1"/>
      <w:marLeft w:val="0"/>
      <w:marRight w:val="0"/>
      <w:marTop w:val="0"/>
      <w:marBottom w:val="0"/>
      <w:divBdr>
        <w:top w:val="none" w:sz="0" w:space="0" w:color="auto"/>
        <w:left w:val="none" w:sz="0" w:space="0" w:color="auto"/>
        <w:bottom w:val="none" w:sz="0" w:space="0" w:color="auto"/>
        <w:right w:val="none" w:sz="0" w:space="0" w:color="auto"/>
      </w:divBdr>
    </w:div>
    <w:div w:id="1320187251">
      <w:bodyDiv w:val="1"/>
      <w:marLeft w:val="0"/>
      <w:marRight w:val="0"/>
      <w:marTop w:val="0"/>
      <w:marBottom w:val="0"/>
      <w:divBdr>
        <w:top w:val="none" w:sz="0" w:space="0" w:color="auto"/>
        <w:left w:val="none" w:sz="0" w:space="0" w:color="auto"/>
        <w:bottom w:val="none" w:sz="0" w:space="0" w:color="auto"/>
        <w:right w:val="none" w:sz="0" w:space="0" w:color="auto"/>
      </w:divBdr>
    </w:div>
    <w:div w:id="1336807693">
      <w:bodyDiv w:val="1"/>
      <w:marLeft w:val="0"/>
      <w:marRight w:val="0"/>
      <w:marTop w:val="0"/>
      <w:marBottom w:val="0"/>
      <w:divBdr>
        <w:top w:val="none" w:sz="0" w:space="0" w:color="auto"/>
        <w:left w:val="none" w:sz="0" w:space="0" w:color="auto"/>
        <w:bottom w:val="none" w:sz="0" w:space="0" w:color="auto"/>
        <w:right w:val="none" w:sz="0" w:space="0" w:color="auto"/>
      </w:divBdr>
    </w:div>
    <w:div w:id="1343052285">
      <w:bodyDiv w:val="1"/>
      <w:marLeft w:val="0"/>
      <w:marRight w:val="0"/>
      <w:marTop w:val="0"/>
      <w:marBottom w:val="0"/>
      <w:divBdr>
        <w:top w:val="none" w:sz="0" w:space="0" w:color="auto"/>
        <w:left w:val="none" w:sz="0" w:space="0" w:color="auto"/>
        <w:bottom w:val="none" w:sz="0" w:space="0" w:color="auto"/>
        <w:right w:val="none" w:sz="0" w:space="0" w:color="auto"/>
      </w:divBdr>
    </w:div>
    <w:div w:id="1419592909">
      <w:bodyDiv w:val="1"/>
      <w:marLeft w:val="0"/>
      <w:marRight w:val="0"/>
      <w:marTop w:val="0"/>
      <w:marBottom w:val="0"/>
      <w:divBdr>
        <w:top w:val="none" w:sz="0" w:space="0" w:color="auto"/>
        <w:left w:val="none" w:sz="0" w:space="0" w:color="auto"/>
        <w:bottom w:val="none" w:sz="0" w:space="0" w:color="auto"/>
        <w:right w:val="none" w:sz="0" w:space="0" w:color="auto"/>
      </w:divBdr>
    </w:div>
    <w:div w:id="1441148969">
      <w:bodyDiv w:val="1"/>
      <w:marLeft w:val="0"/>
      <w:marRight w:val="0"/>
      <w:marTop w:val="0"/>
      <w:marBottom w:val="0"/>
      <w:divBdr>
        <w:top w:val="none" w:sz="0" w:space="0" w:color="auto"/>
        <w:left w:val="none" w:sz="0" w:space="0" w:color="auto"/>
        <w:bottom w:val="none" w:sz="0" w:space="0" w:color="auto"/>
        <w:right w:val="none" w:sz="0" w:space="0" w:color="auto"/>
      </w:divBdr>
    </w:div>
    <w:div w:id="1449468413">
      <w:bodyDiv w:val="1"/>
      <w:marLeft w:val="0"/>
      <w:marRight w:val="0"/>
      <w:marTop w:val="0"/>
      <w:marBottom w:val="0"/>
      <w:divBdr>
        <w:top w:val="none" w:sz="0" w:space="0" w:color="auto"/>
        <w:left w:val="none" w:sz="0" w:space="0" w:color="auto"/>
        <w:bottom w:val="none" w:sz="0" w:space="0" w:color="auto"/>
        <w:right w:val="none" w:sz="0" w:space="0" w:color="auto"/>
      </w:divBdr>
      <w:divsChild>
        <w:div w:id="2078898697">
          <w:marLeft w:val="0"/>
          <w:marRight w:val="0"/>
          <w:marTop w:val="0"/>
          <w:marBottom w:val="0"/>
          <w:divBdr>
            <w:top w:val="none" w:sz="0" w:space="0" w:color="auto"/>
            <w:left w:val="none" w:sz="0" w:space="0" w:color="auto"/>
            <w:bottom w:val="none" w:sz="0" w:space="0" w:color="auto"/>
            <w:right w:val="none" w:sz="0" w:space="0" w:color="auto"/>
          </w:divBdr>
          <w:divsChild>
            <w:div w:id="70543674">
              <w:marLeft w:val="0"/>
              <w:marRight w:val="0"/>
              <w:marTop w:val="0"/>
              <w:marBottom w:val="750"/>
              <w:divBdr>
                <w:top w:val="none" w:sz="0" w:space="0" w:color="auto"/>
                <w:left w:val="none" w:sz="0" w:space="0" w:color="auto"/>
                <w:bottom w:val="none" w:sz="0" w:space="0" w:color="auto"/>
                <w:right w:val="none" w:sz="0" w:space="0" w:color="auto"/>
              </w:divBdr>
              <w:divsChild>
                <w:div w:id="1280186650">
                  <w:marLeft w:val="0"/>
                  <w:marRight w:val="0"/>
                  <w:marTop w:val="0"/>
                  <w:marBottom w:val="0"/>
                  <w:divBdr>
                    <w:top w:val="none" w:sz="0" w:space="0" w:color="auto"/>
                    <w:left w:val="none" w:sz="0" w:space="0" w:color="auto"/>
                    <w:bottom w:val="none" w:sz="0" w:space="0" w:color="auto"/>
                    <w:right w:val="none" w:sz="0" w:space="0" w:color="auto"/>
                  </w:divBdr>
                  <w:divsChild>
                    <w:div w:id="898784598">
                      <w:marLeft w:val="0"/>
                      <w:marRight w:val="0"/>
                      <w:marTop w:val="0"/>
                      <w:marBottom w:val="0"/>
                      <w:divBdr>
                        <w:top w:val="none" w:sz="0" w:space="0" w:color="auto"/>
                        <w:left w:val="none" w:sz="0" w:space="0" w:color="auto"/>
                        <w:bottom w:val="none" w:sz="0" w:space="0" w:color="auto"/>
                        <w:right w:val="none" w:sz="0" w:space="0" w:color="auto"/>
                      </w:divBdr>
                      <w:divsChild>
                        <w:div w:id="351617674">
                          <w:marLeft w:val="0"/>
                          <w:marRight w:val="0"/>
                          <w:marTop w:val="0"/>
                          <w:marBottom w:val="0"/>
                          <w:divBdr>
                            <w:top w:val="none" w:sz="0" w:space="0" w:color="auto"/>
                            <w:left w:val="none" w:sz="0" w:space="0" w:color="auto"/>
                            <w:bottom w:val="none" w:sz="0" w:space="0" w:color="auto"/>
                            <w:right w:val="none" w:sz="0" w:space="0" w:color="auto"/>
                          </w:divBdr>
                          <w:divsChild>
                            <w:div w:id="962271211">
                              <w:marLeft w:val="0"/>
                              <w:marRight w:val="0"/>
                              <w:marTop w:val="0"/>
                              <w:marBottom w:val="0"/>
                              <w:divBdr>
                                <w:top w:val="none" w:sz="0" w:space="0" w:color="auto"/>
                                <w:left w:val="none" w:sz="0" w:space="0" w:color="auto"/>
                                <w:bottom w:val="none" w:sz="0" w:space="0" w:color="auto"/>
                                <w:right w:val="none" w:sz="0" w:space="0" w:color="auto"/>
                              </w:divBdr>
                              <w:divsChild>
                                <w:div w:id="932514158">
                                  <w:marLeft w:val="0"/>
                                  <w:marRight w:val="0"/>
                                  <w:marTop w:val="0"/>
                                  <w:marBottom w:val="0"/>
                                  <w:divBdr>
                                    <w:top w:val="none" w:sz="0" w:space="0" w:color="auto"/>
                                    <w:left w:val="none" w:sz="0" w:space="0" w:color="auto"/>
                                    <w:bottom w:val="none" w:sz="0" w:space="0" w:color="auto"/>
                                    <w:right w:val="none" w:sz="0" w:space="0" w:color="auto"/>
                                  </w:divBdr>
                                  <w:divsChild>
                                    <w:div w:id="733940024">
                                      <w:marLeft w:val="0"/>
                                      <w:marRight w:val="0"/>
                                      <w:marTop w:val="0"/>
                                      <w:marBottom w:val="0"/>
                                      <w:divBdr>
                                        <w:top w:val="none" w:sz="0" w:space="0" w:color="auto"/>
                                        <w:left w:val="none" w:sz="0" w:space="0" w:color="auto"/>
                                        <w:bottom w:val="none" w:sz="0" w:space="0" w:color="auto"/>
                                        <w:right w:val="none" w:sz="0" w:space="0" w:color="auto"/>
                                      </w:divBdr>
                                      <w:divsChild>
                                        <w:div w:id="1564682334">
                                          <w:marLeft w:val="0"/>
                                          <w:marRight w:val="0"/>
                                          <w:marTop w:val="0"/>
                                          <w:marBottom w:val="0"/>
                                          <w:divBdr>
                                            <w:top w:val="none" w:sz="0" w:space="0" w:color="auto"/>
                                            <w:left w:val="none" w:sz="0" w:space="0" w:color="auto"/>
                                            <w:bottom w:val="none" w:sz="0" w:space="0" w:color="auto"/>
                                            <w:right w:val="none" w:sz="0" w:space="0" w:color="auto"/>
                                          </w:divBdr>
                                          <w:divsChild>
                                            <w:div w:id="1349209409">
                                              <w:marLeft w:val="0"/>
                                              <w:marRight w:val="0"/>
                                              <w:marTop w:val="0"/>
                                              <w:marBottom w:val="0"/>
                                              <w:divBdr>
                                                <w:top w:val="none" w:sz="0" w:space="0" w:color="auto"/>
                                                <w:left w:val="none" w:sz="0" w:space="0" w:color="auto"/>
                                                <w:bottom w:val="none" w:sz="0" w:space="0" w:color="auto"/>
                                                <w:right w:val="none" w:sz="0" w:space="0" w:color="auto"/>
                                              </w:divBdr>
                                              <w:divsChild>
                                                <w:div w:id="127343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488667">
      <w:bodyDiv w:val="1"/>
      <w:marLeft w:val="0"/>
      <w:marRight w:val="0"/>
      <w:marTop w:val="0"/>
      <w:marBottom w:val="0"/>
      <w:divBdr>
        <w:top w:val="none" w:sz="0" w:space="0" w:color="auto"/>
        <w:left w:val="none" w:sz="0" w:space="0" w:color="auto"/>
        <w:bottom w:val="none" w:sz="0" w:space="0" w:color="auto"/>
        <w:right w:val="none" w:sz="0" w:space="0" w:color="auto"/>
      </w:divBdr>
    </w:div>
    <w:div w:id="1466314597">
      <w:bodyDiv w:val="1"/>
      <w:marLeft w:val="0"/>
      <w:marRight w:val="0"/>
      <w:marTop w:val="0"/>
      <w:marBottom w:val="0"/>
      <w:divBdr>
        <w:top w:val="none" w:sz="0" w:space="0" w:color="auto"/>
        <w:left w:val="none" w:sz="0" w:space="0" w:color="auto"/>
        <w:bottom w:val="none" w:sz="0" w:space="0" w:color="auto"/>
        <w:right w:val="none" w:sz="0" w:space="0" w:color="auto"/>
      </w:divBdr>
      <w:divsChild>
        <w:div w:id="144786085">
          <w:marLeft w:val="1166"/>
          <w:marRight w:val="0"/>
          <w:marTop w:val="0"/>
          <w:marBottom w:val="0"/>
          <w:divBdr>
            <w:top w:val="none" w:sz="0" w:space="0" w:color="auto"/>
            <w:left w:val="none" w:sz="0" w:space="0" w:color="auto"/>
            <w:bottom w:val="none" w:sz="0" w:space="0" w:color="auto"/>
            <w:right w:val="none" w:sz="0" w:space="0" w:color="auto"/>
          </w:divBdr>
        </w:div>
        <w:div w:id="795024856">
          <w:marLeft w:val="547"/>
          <w:marRight w:val="0"/>
          <w:marTop w:val="0"/>
          <w:marBottom w:val="0"/>
          <w:divBdr>
            <w:top w:val="none" w:sz="0" w:space="0" w:color="auto"/>
            <w:left w:val="none" w:sz="0" w:space="0" w:color="auto"/>
            <w:bottom w:val="none" w:sz="0" w:space="0" w:color="auto"/>
            <w:right w:val="none" w:sz="0" w:space="0" w:color="auto"/>
          </w:divBdr>
        </w:div>
        <w:div w:id="1182742280">
          <w:marLeft w:val="547"/>
          <w:marRight w:val="0"/>
          <w:marTop w:val="0"/>
          <w:marBottom w:val="0"/>
          <w:divBdr>
            <w:top w:val="none" w:sz="0" w:space="0" w:color="auto"/>
            <w:left w:val="none" w:sz="0" w:space="0" w:color="auto"/>
            <w:bottom w:val="none" w:sz="0" w:space="0" w:color="auto"/>
            <w:right w:val="none" w:sz="0" w:space="0" w:color="auto"/>
          </w:divBdr>
        </w:div>
        <w:div w:id="1192260074">
          <w:marLeft w:val="547"/>
          <w:marRight w:val="0"/>
          <w:marTop w:val="0"/>
          <w:marBottom w:val="0"/>
          <w:divBdr>
            <w:top w:val="none" w:sz="0" w:space="0" w:color="auto"/>
            <w:left w:val="none" w:sz="0" w:space="0" w:color="auto"/>
            <w:bottom w:val="none" w:sz="0" w:space="0" w:color="auto"/>
            <w:right w:val="none" w:sz="0" w:space="0" w:color="auto"/>
          </w:divBdr>
        </w:div>
        <w:div w:id="1206991890">
          <w:marLeft w:val="547"/>
          <w:marRight w:val="0"/>
          <w:marTop w:val="0"/>
          <w:marBottom w:val="0"/>
          <w:divBdr>
            <w:top w:val="none" w:sz="0" w:space="0" w:color="auto"/>
            <w:left w:val="none" w:sz="0" w:space="0" w:color="auto"/>
            <w:bottom w:val="none" w:sz="0" w:space="0" w:color="auto"/>
            <w:right w:val="none" w:sz="0" w:space="0" w:color="auto"/>
          </w:divBdr>
        </w:div>
        <w:div w:id="1440637706">
          <w:marLeft w:val="1166"/>
          <w:marRight w:val="0"/>
          <w:marTop w:val="0"/>
          <w:marBottom w:val="0"/>
          <w:divBdr>
            <w:top w:val="none" w:sz="0" w:space="0" w:color="auto"/>
            <w:left w:val="none" w:sz="0" w:space="0" w:color="auto"/>
            <w:bottom w:val="none" w:sz="0" w:space="0" w:color="auto"/>
            <w:right w:val="none" w:sz="0" w:space="0" w:color="auto"/>
          </w:divBdr>
        </w:div>
        <w:div w:id="1686206583">
          <w:marLeft w:val="1166"/>
          <w:marRight w:val="0"/>
          <w:marTop w:val="0"/>
          <w:marBottom w:val="0"/>
          <w:divBdr>
            <w:top w:val="none" w:sz="0" w:space="0" w:color="auto"/>
            <w:left w:val="none" w:sz="0" w:space="0" w:color="auto"/>
            <w:bottom w:val="none" w:sz="0" w:space="0" w:color="auto"/>
            <w:right w:val="none" w:sz="0" w:space="0" w:color="auto"/>
          </w:divBdr>
        </w:div>
        <w:div w:id="1796437883">
          <w:marLeft w:val="1166"/>
          <w:marRight w:val="0"/>
          <w:marTop w:val="0"/>
          <w:marBottom w:val="0"/>
          <w:divBdr>
            <w:top w:val="none" w:sz="0" w:space="0" w:color="auto"/>
            <w:left w:val="none" w:sz="0" w:space="0" w:color="auto"/>
            <w:bottom w:val="none" w:sz="0" w:space="0" w:color="auto"/>
            <w:right w:val="none" w:sz="0" w:space="0" w:color="auto"/>
          </w:divBdr>
        </w:div>
      </w:divsChild>
    </w:div>
    <w:div w:id="1481849365">
      <w:bodyDiv w:val="1"/>
      <w:marLeft w:val="0"/>
      <w:marRight w:val="0"/>
      <w:marTop w:val="0"/>
      <w:marBottom w:val="0"/>
      <w:divBdr>
        <w:top w:val="none" w:sz="0" w:space="0" w:color="auto"/>
        <w:left w:val="none" w:sz="0" w:space="0" w:color="auto"/>
        <w:bottom w:val="none" w:sz="0" w:space="0" w:color="auto"/>
        <w:right w:val="none" w:sz="0" w:space="0" w:color="auto"/>
      </w:divBdr>
    </w:div>
    <w:div w:id="1490711663">
      <w:bodyDiv w:val="1"/>
      <w:marLeft w:val="0"/>
      <w:marRight w:val="0"/>
      <w:marTop w:val="0"/>
      <w:marBottom w:val="0"/>
      <w:divBdr>
        <w:top w:val="none" w:sz="0" w:space="0" w:color="auto"/>
        <w:left w:val="none" w:sz="0" w:space="0" w:color="auto"/>
        <w:bottom w:val="none" w:sz="0" w:space="0" w:color="auto"/>
        <w:right w:val="none" w:sz="0" w:space="0" w:color="auto"/>
      </w:divBdr>
    </w:div>
    <w:div w:id="1493254020">
      <w:bodyDiv w:val="1"/>
      <w:marLeft w:val="0"/>
      <w:marRight w:val="0"/>
      <w:marTop w:val="0"/>
      <w:marBottom w:val="0"/>
      <w:divBdr>
        <w:top w:val="none" w:sz="0" w:space="0" w:color="auto"/>
        <w:left w:val="none" w:sz="0" w:space="0" w:color="auto"/>
        <w:bottom w:val="none" w:sz="0" w:space="0" w:color="auto"/>
        <w:right w:val="none" w:sz="0" w:space="0" w:color="auto"/>
      </w:divBdr>
    </w:div>
    <w:div w:id="1515001308">
      <w:bodyDiv w:val="1"/>
      <w:marLeft w:val="0"/>
      <w:marRight w:val="0"/>
      <w:marTop w:val="0"/>
      <w:marBottom w:val="0"/>
      <w:divBdr>
        <w:top w:val="none" w:sz="0" w:space="0" w:color="auto"/>
        <w:left w:val="none" w:sz="0" w:space="0" w:color="auto"/>
        <w:bottom w:val="none" w:sz="0" w:space="0" w:color="auto"/>
        <w:right w:val="none" w:sz="0" w:space="0" w:color="auto"/>
      </w:divBdr>
    </w:div>
    <w:div w:id="1522621407">
      <w:bodyDiv w:val="1"/>
      <w:marLeft w:val="0"/>
      <w:marRight w:val="0"/>
      <w:marTop w:val="0"/>
      <w:marBottom w:val="0"/>
      <w:divBdr>
        <w:top w:val="none" w:sz="0" w:space="0" w:color="auto"/>
        <w:left w:val="none" w:sz="0" w:space="0" w:color="auto"/>
        <w:bottom w:val="none" w:sz="0" w:space="0" w:color="auto"/>
        <w:right w:val="none" w:sz="0" w:space="0" w:color="auto"/>
      </w:divBdr>
    </w:div>
    <w:div w:id="1523477455">
      <w:bodyDiv w:val="1"/>
      <w:marLeft w:val="0"/>
      <w:marRight w:val="0"/>
      <w:marTop w:val="0"/>
      <w:marBottom w:val="0"/>
      <w:divBdr>
        <w:top w:val="none" w:sz="0" w:space="0" w:color="auto"/>
        <w:left w:val="none" w:sz="0" w:space="0" w:color="auto"/>
        <w:bottom w:val="none" w:sz="0" w:space="0" w:color="auto"/>
        <w:right w:val="none" w:sz="0" w:space="0" w:color="auto"/>
      </w:divBdr>
    </w:div>
    <w:div w:id="1535194643">
      <w:bodyDiv w:val="1"/>
      <w:marLeft w:val="0"/>
      <w:marRight w:val="0"/>
      <w:marTop w:val="0"/>
      <w:marBottom w:val="0"/>
      <w:divBdr>
        <w:top w:val="none" w:sz="0" w:space="0" w:color="auto"/>
        <w:left w:val="none" w:sz="0" w:space="0" w:color="auto"/>
        <w:bottom w:val="none" w:sz="0" w:space="0" w:color="auto"/>
        <w:right w:val="none" w:sz="0" w:space="0" w:color="auto"/>
      </w:divBdr>
    </w:div>
    <w:div w:id="1538277599">
      <w:bodyDiv w:val="1"/>
      <w:marLeft w:val="0"/>
      <w:marRight w:val="0"/>
      <w:marTop w:val="0"/>
      <w:marBottom w:val="0"/>
      <w:divBdr>
        <w:top w:val="none" w:sz="0" w:space="0" w:color="auto"/>
        <w:left w:val="none" w:sz="0" w:space="0" w:color="auto"/>
        <w:bottom w:val="none" w:sz="0" w:space="0" w:color="auto"/>
        <w:right w:val="none" w:sz="0" w:space="0" w:color="auto"/>
      </w:divBdr>
    </w:div>
    <w:div w:id="1542328719">
      <w:bodyDiv w:val="1"/>
      <w:marLeft w:val="0"/>
      <w:marRight w:val="0"/>
      <w:marTop w:val="0"/>
      <w:marBottom w:val="0"/>
      <w:divBdr>
        <w:top w:val="none" w:sz="0" w:space="0" w:color="auto"/>
        <w:left w:val="none" w:sz="0" w:space="0" w:color="auto"/>
        <w:bottom w:val="none" w:sz="0" w:space="0" w:color="auto"/>
        <w:right w:val="none" w:sz="0" w:space="0" w:color="auto"/>
      </w:divBdr>
    </w:div>
    <w:div w:id="1568295746">
      <w:bodyDiv w:val="1"/>
      <w:marLeft w:val="0"/>
      <w:marRight w:val="0"/>
      <w:marTop w:val="0"/>
      <w:marBottom w:val="0"/>
      <w:divBdr>
        <w:top w:val="none" w:sz="0" w:space="0" w:color="auto"/>
        <w:left w:val="none" w:sz="0" w:space="0" w:color="auto"/>
        <w:bottom w:val="none" w:sz="0" w:space="0" w:color="auto"/>
        <w:right w:val="none" w:sz="0" w:space="0" w:color="auto"/>
      </w:divBdr>
    </w:div>
    <w:div w:id="1570575209">
      <w:bodyDiv w:val="1"/>
      <w:marLeft w:val="0"/>
      <w:marRight w:val="0"/>
      <w:marTop w:val="0"/>
      <w:marBottom w:val="0"/>
      <w:divBdr>
        <w:top w:val="none" w:sz="0" w:space="0" w:color="auto"/>
        <w:left w:val="none" w:sz="0" w:space="0" w:color="auto"/>
        <w:bottom w:val="none" w:sz="0" w:space="0" w:color="auto"/>
        <w:right w:val="none" w:sz="0" w:space="0" w:color="auto"/>
      </w:divBdr>
    </w:div>
    <w:div w:id="1622029226">
      <w:bodyDiv w:val="1"/>
      <w:marLeft w:val="0"/>
      <w:marRight w:val="0"/>
      <w:marTop w:val="0"/>
      <w:marBottom w:val="0"/>
      <w:divBdr>
        <w:top w:val="none" w:sz="0" w:space="0" w:color="auto"/>
        <w:left w:val="none" w:sz="0" w:space="0" w:color="auto"/>
        <w:bottom w:val="none" w:sz="0" w:space="0" w:color="auto"/>
        <w:right w:val="none" w:sz="0" w:space="0" w:color="auto"/>
      </w:divBdr>
    </w:div>
    <w:div w:id="1633948987">
      <w:bodyDiv w:val="1"/>
      <w:marLeft w:val="0"/>
      <w:marRight w:val="0"/>
      <w:marTop w:val="0"/>
      <w:marBottom w:val="0"/>
      <w:divBdr>
        <w:top w:val="none" w:sz="0" w:space="0" w:color="auto"/>
        <w:left w:val="none" w:sz="0" w:space="0" w:color="auto"/>
        <w:bottom w:val="none" w:sz="0" w:space="0" w:color="auto"/>
        <w:right w:val="none" w:sz="0" w:space="0" w:color="auto"/>
      </w:divBdr>
    </w:div>
    <w:div w:id="1636369498">
      <w:bodyDiv w:val="1"/>
      <w:marLeft w:val="0"/>
      <w:marRight w:val="0"/>
      <w:marTop w:val="0"/>
      <w:marBottom w:val="0"/>
      <w:divBdr>
        <w:top w:val="none" w:sz="0" w:space="0" w:color="auto"/>
        <w:left w:val="none" w:sz="0" w:space="0" w:color="auto"/>
        <w:bottom w:val="none" w:sz="0" w:space="0" w:color="auto"/>
        <w:right w:val="none" w:sz="0" w:space="0" w:color="auto"/>
      </w:divBdr>
    </w:div>
    <w:div w:id="1663504496">
      <w:bodyDiv w:val="1"/>
      <w:marLeft w:val="0"/>
      <w:marRight w:val="0"/>
      <w:marTop w:val="0"/>
      <w:marBottom w:val="0"/>
      <w:divBdr>
        <w:top w:val="none" w:sz="0" w:space="0" w:color="auto"/>
        <w:left w:val="none" w:sz="0" w:space="0" w:color="auto"/>
        <w:bottom w:val="none" w:sz="0" w:space="0" w:color="auto"/>
        <w:right w:val="none" w:sz="0" w:space="0" w:color="auto"/>
      </w:divBdr>
    </w:div>
    <w:div w:id="1675573876">
      <w:bodyDiv w:val="1"/>
      <w:marLeft w:val="0"/>
      <w:marRight w:val="0"/>
      <w:marTop w:val="0"/>
      <w:marBottom w:val="0"/>
      <w:divBdr>
        <w:top w:val="none" w:sz="0" w:space="0" w:color="auto"/>
        <w:left w:val="none" w:sz="0" w:space="0" w:color="auto"/>
        <w:bottom w:val="none" w:sz="0" w:space="0" w:color="auto"/>
        <w:right w:val="none" w:sz="0" w:space="0" w:color="auto"/>
      </w:divBdr>
    </w:div>
    <w:div w:id="1705473733">
      <w:bodyDiv w:val="1"/>
      <w:marLeft w:val="0"/>
      <w:marRight w:val="0"/>
      <w:marTop w:val="0"/>
      <w:marBottom w:val="0"/>
      <w:divBdr>
        <w:top w:val="none" w:sz="0" w:space="0" w:color="auto"/>
        <w:left w:val="none" w:sz="0" w:space="0" w:color="auto"/>
        <w:bottom w:val="none" w:sz="0" w:space="0" w:color="auto"/>
        <w:right w:val="none" w:sz="0" w:space="0" w:color="auto"/>
      </w:divBdr>
    </w:div>
    <w:div w:id="1767269219">
      <w:bodyDiv w:val="1"/>
      <w:marLeft w:val="0"/>
      <w:marRight w:val="0"/>
      <w:marTop w:val="0"/>
      <w:marBottom w:val="0"/>
      <w:divBdr>
        <w:top w:val="none" w:sz="0" w:space="0" w:color="auto"/>
        <w:left w:val="none" w:sz="0" w:space="0" w:color="auto"/>
        <w:bottom w:val="none" w:sz="0" w:space="0" w:color="auto"/>
        <w:right w:val="none" w:sz="0" w:space="0" w:color="auto"/>
      </w:divBdr>
    </w:div>
    <w:div w:id="1789854897">
      <w:bodyDiv w:val="1"/>
      <w:marLeft w:val="0"/>
      <w:marRight w:val="0"/>
      <w:marTop w:val="0"/>
      <w:marBottom w:val="0"/>
      <w:divBdr>
        <w:top w:val="none" w:sz="0" w:space="0" w:color="auto"/>
        <w:left w:val="none" w:sz="0" w:space="0" w:color="auto"/>
        <w:bottom w:val="none" w:sz="0" w:space="0" w:color="auto"/>
        <w:right w:val="none" w:sz="0" w:space="0" w:color="auto"/>
      </w:divBdr>
    </w:div>
    <w:div w:id="1819228023">
      <w:bodyDiv w:val="1"/>
      <w:marLeft w:val="0"/>
      <w:marRight w:val="0"/>
      <w:marTop w:val="0"/>
      <w:marBottom w:val="0"/>
      <w:divBdr>
        <w:top w:val="none" w:sz="0" w:space="0" w:color="auto"/>
        <w:left w:val="none" w:sz="0" w:space="0" w:color="auto"/>
        <w:bottom w:val="none" w:sz="0" w:space="0" w:color="auto"/>
        <w:right w:val="none" w:sz="0" w:space="0" w:color="auto"/>
      </w:divBdr>
      <w:divsChild>
        <w:div w:id="656572057">
          <w:marLeft w:val="0"/>
          <w:marRight w:val="0"/>
          <w:marTop w:val="0"/>
          <w:marBottom w:val="0"/>
          <w:divBdr>
            <w:top w:val="none" w:sz="0" w:space="0" w:color="auto"/>
            <w:left w:val="none" w:sz="0" w:space="0" w:color="auto"/>
            <w:bottom w:val="none" w:sz="0" w:space="0" w:color="auto"/>
            <w:right w:val="none" w:sz="0" w:space="0" w:color="auto"/>
          </w:divBdr>
          <w:divsChild>
            <w:div w:id="1682513486">
              <w:marLeft w:val="0"/>
              <w:marRight w:val="0"/>
              <w:marTop w:val="0"/>
              <w:marBottom w:val="0"/>
              <w:divBdr>
                <w:top w:val="none" w:sz="0" w:space="0" w:color="auto"/>
                <w:left w:val="none" w:sz="0" w:space="0" w:color="auto"/>
                <w:bottom w:val="none" w:sz="0" w:space="0" w:color="auto"/>
                <w:right w:val="none" w:sz="0" w:space="0" w:color="auto"/>
              </w:divBdr>
              <w:divsChild>
                <w:div w:id="50814848">
                  <w:marLeft w:val="0"/>
                  <w:marRight w:val="0"/>
                  <w:marTop w:val="0"/>
                  <w:marBottom w:val="0"/>
                  <w:divBdr>
                    <w:top w:val="none" w:sz="0" w:space="0" w:color="auto"/>
                    <w:left w:val="none" w:sz="0" w:space="0" w:color="auto"/>
                    <w:bottom w:val="none" w:sz="0" w:space="0" w:color="auto"/>
                    <w:right w:val="none" w:sz="0" w:space="0" w:color="auto"/>
                  </w:divBdr>
                  <w:divsChild>
                    <w:div w:id="1234706060">
                      <w:marLeft w:val="0"/>
                      <w:marRight w:val="0"/>
                      <w:marTop w:val="0"/>
                      <w:marBottom w:val="0"/>
                      <w:divBdr>
                        <w:top w:val="none" w:sz="0" w:space="0" w:color="auto"/>
                        <w:left w:val="none" w:sz="0" w:space="0" w:color="auto"/>
                        <w:bottom w:val="none" w:sz="0" w:space="0" w:color="auto"/>
                        <w:right w:val="none" w:sz="0" w:space="0" w:color="auto"/>
                      </w:divBdr>
                      <w:divsChild>
                        <w:div w:id="2011711258">
                          <w:marLeft w:val="0"/>
                          <w:marRight w:val="0"/>
                          <w:marTop w:val="0"/>
                          <w:marBottom w:val="0"/>
                          <w:divBdr>
                            <w:top w:val="none" w:sz="0" w:space="0" w:color="auto"/>
                            <w:left w:val="none" w:sz="0" w:space="0" w:color="auto"/>
                            <w:bottom w:val="none" w:sz="0" w:space="0" w:color="auto"/>
                            <w:right w:val="none" w:sz="0" w:space="0" w:color="auto"/>
                          </w:divBdr>
                          <w:divsChild>
                            <w:div w:id="2068725547">
                              <w:marLeft w:val="0"/>
                              <w:marRight w:val="0"/>
                              <w:marTop w:val="0"/>
                              <w:marBottom w:val="0"/>
                              <w:divBdr>
                                <w:top w:val="none" w:sz="0" w:space="0" w:color="auto"/>
                                <w:left w:val="none" w:sz="0" w:space="0" w:color="auto"/>
                                <w:bottom w:val="none" w:sz="0" w:space="0" w:color="auto"/>
                                <w:right w:val="none" w:sz="0" w:space="0" w:color="auto"/>
                              </w:divBdr>
                              <w:divsChild>
                                <w:div w:id="1546403631">
                                  <w:marLeft w:val="0"/>
                                  <w:marRight w:val="0"/>
                                  <w:marTop w:val="0"/>
                                  <w:marBottom w:val="0"/>
                                  <w:divBdr>
                                    <w:top w:val="none" w:sz="0" w:space="0" w:color="auto"/>
                                    <w:left w:val="none" w:sz="0" w:space="0" w:color="auto"/>
                                    <w:bottom w:val="none" w:sz="0" w:space="0" w:color="auto"/>
                                    <w:right w:val="none" w:sz="0" w:space="0" w:color="auto"/>
                                  </w:divBdr>
                                  <w:divsChild>
                                    <w:div w:id="530992489">
                                      <w:marLeft w:val="0"/>
                                      <w:marRight w:val="0"/>
                                      <w:marTop w:val="0"/>
                                      <w:marBottom w:val="0"/>
                                      <w:divBdr>
                                        <w:top w:val="none" w:sz="0" w:space="0" w:color="auto"/>
                                        <w:left w:val="none" w:sz="0" w:space="0" w:color="auto"/>
                                        <w:bottom w:val="none" w:sz="0" w:space="0" w:color="auto"/>
                                        <w:right w:val="none" w:sz="0" w:space="0" w:color="auto"/>
                                      </w:divBdr>
                                      <w:divsChild>
                                        <w:div w:id="136605191">
                                          <w:marLeft w:val="0"/>
                                          <w:marRight w:val="0"/>
                                          <w:marTop w:val="0"/>
                                          <w:marBottom w:val="0"/>
                                          <w:divBdr>
                                            <w:top w:val="none" w:sz="0" w:space="0" w:color="auto"/>
                                            <w:left w:val="none" w:sz="0" w:space="0" w:color="auto"/>
                                            <w:bottom w:val="none" w:sz="0" w:space="0" w:color="auto"/>
                                            <w:right w:val="none" w:sz="0" w:space="0" w:color="auto"/>
                                          </w:divBdr>
                                          <w:divsChild>
                                            <w:div w:id="877205182">
                                              <w:marLeft w:val="0"/>
                                              <w:marRight w:val="0"/>
                                              <w:marTop w:val="0"/>
                                              <w:marBottom w:val="0"/>
                                              <w:divBdr>
                                                <w:top w:val="none" w:sz="0" w:space="0" w:color="auto"/>
                                                <w:left w:val="none" w:sz="0" w:space="0" w:color="auto"/>
                                                <w:bottom w:val="none" w:sz="0" w:space="0" w:color="auto"/>
                                                <w:right w:val="none" w:sz="0" w:space="0" w:color="auto"/>
                                              </w:divBdr>
                                              <w:divsChild>
                                                <w:div w:id="9958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168467">
      <w:bodyDiv w:val="1"/>
      <w:marLeft w:val="0"/>
      <w:marRight w:val="0"/>
      <w:marTop w:val="0"/>
      <w:marBottom w:val="0"/>
      <w:divBdr>
        <w:top w:val="none" w:sz="0" w:space="0" w:color="auto"/>
        <w:left w:val="none" w:sz="0" w:space="0" w:color="auto"/>
        <w:bottom w:val="none" w:sz="0" w:space="0" w:color="auto"/>
        <w:right w:val="none" w:sz="0" w:space="0" w:color="auto"/>
      </w:divBdr>
    </w:div>
    <w:div w:id="1847674053">
      <w:bodyDiv w:val="1"/>
      <w:marLeft w:val="0"/>
      <w:marRight w:val="0"/>
      <w:marTop w:val="0"/>
      <w:marBottom w:val="0"/>
      <w:divBdr>
        <w:top w:val="none" w:sz="0" w:space="0" w:color="auto"/>
        <w:left w:val="none" w:sz="0" w:space="0" w:color="auto"/>
        <w:bottom w:val="none" w:sz="0" w:space="0" w:color="auto"/>
        <w:right w:val="none" w:sz="0" w:space="0" w:color="auto"/>
      </w:divBdr>
    </w:div>
    <w:div w:id="1858302502">
      <w:bodyDiv w:val="1"/>
      <w:marLeft w:val="0"/>
      <w:marRight w:val="0"/>
      <w:marTop w:val="0"/>
      <w:marBottom w:val="0"/>
      <w:divBdr>
        <w:top w:val="none" w:sz="0" w:space="0" w:color="auto"/>
        <w:left w:val="none" w:sz="0" w:space="0" w:color="auto"/>
        <w:bottom w:val="none" w:sz="0" w:space="0" w:color="auto"/>
        <w:right w:val="none" w:sz="0" w:space="0" w:color="auto"/>
      </w:divBdr>
    </w:div>
    <w:div w:id="1884753343">
      <w:bodyDiv w:val="1"/>
      <w:marLeft w:val="0"/>
      <w:marRight w:val="0"/>
      <w:marTop w:val="0"/>
      <w:marBottom w:val="0"/>
      <w:divBdr>
        <w:top w:val="none" w:sz="0" w:space="0" w:color="auto"/>
        <w:left w:val="none" w:sz="0" w:space="0" w:color="auto"/>
        <w:bottom w:val="none" w:sz="0" w:space="0" w:color="auto"/>
        <w:right w:val="none" w:sz="0" w:space="0" w:color="auto"/>
      </w:divBdr>
    </w:div>
    <w:div w:id="1916163526">
      <w:bodyDiv w:val="1"/>
      <w:marLeft w:val="0"/>
      <w:marRight w:val="0"/>
      <w:marTop w:val="0"/>
      <w:marBottom w:val="0"/>
      <w:divBdr>
        <w:top w:val="none" w:sz="0" w:space="0" w:color="auto"/>
        <w:left w:val="none" w:sz="0" w:space="0" w:color="auto"/>
        <w:bottom w:val="none" w:sz="0" w:space="0" w:color="auto"/>
        <w:right w:val="none" w:sz="0" w:space="0" w:color="auto"/>
      </w:divBdr>
    </w:div>
    <w:div w:id="1926915416">
      <w:bodyDiv w:val="1"/>
      <w:marLeft w:val="0"/>
      <w:marRight w:val="0"/>
      <w:marTop w:val="0"/>
      <w:marBottom w:val="0"/>
      <w:divBdr>
        <w:top w:val="none" w:sz="0" w:space="0" w:color="auto"/>
        <w:left w:val="none" w:sz="0" w:space="0" w:color="auto"/>
        <w:bottom w:val="none" w:sz="0" w:space="0" w:color="auto"/>
        <w:right w:val="none" w:sz="0" w:space="0" w:color="auto"/>
      </w:divBdr>
    </w:div>
    <w:div w:id="1931356199">
      <w:bodyDiv w:val="1"/>
      <w:marLeft w:val="0"/>
      <w:marRight w:val="0"/>
      <w:marTop w:val="0"/>
      <w:marBottom w:val="0"/>
      <w:divBdr>
        <w:top w:val="none" w:sz="0" w:space="0" w:color="auto"/>
        <w:left w:val="none" w:sz="0" w:space="0" w:color="auto"/>
        <w:bottom w:val="none" w:sz="0" w:space="0" w:color="auto"/>
        <w:right w:val="none" w:sz="0" w:space="0" w:color="auto"/>
      </w:divBdr>
    </w:div>
    <w:div w:id="1958100410">
      <w:bodyDiv w:val="1"/>
      <w:marLeft w:val="0"/>
      <w:marRight w:val="0"/>
      <w:marTop w:val="0"/>
      <w:marBottom w:val="0"/>
      <w:divBdr>
        <w:top w:val="none" w:sz="0" w:space="0" w:color="auto"/>
        <w:left w:val="none" w:sz="0" w:space="0" w:color="auto"/>
        <w:bottom w:val="none" w:sz="0" w:space="0" w:color="auto"/>
        <w:right w:val="none" w:sz="0" w:space="0" w:color="auto"/>
      </w:divBdr>
    </w:div>
    <w:div w:id="1960139337">
      <w:bodyDiv w:val="1"/>
      <w:marLeft w:val="0"/>
      <w:marRight w:val="0"/>
      <w:marTop w:val="0"/>
      <w:marBottom w:val="0"/>
      <w:divBdr>
        <w:top w:val="none" w:sz="0" w:space="0" w:color="auto"/>
        <w:left w:val="none" w:sz="0" w:space="0" w:color="auto"/>
        <w:bottom w:val="none" w:sz="0" w:space="0" w:color="auto"/>
        <w:right w:val="none" w:sz="0" w:space="0" w:color="auto"/>
      </w:divBdr>
    </w:div>
    <w:div w:id="1962026874">
      <w:bodyDiv w:val="1"/>
      <w:marLeft w:val="0"/>
      <w:marRight w:val="0"/>
      <w:marTop w:val="0"/>
      <w:marBottom w:val="0"/>
      <w:divBdr>
        <w:top w:val="none" w:sz="0" w:space="0" w:color="auto"/>
        <w:left w:val="none" w:sz="0" w:space="0" w:color="auto"/>
        <w:bottom w:val="none" w:sz="0" w:space="0" w:color="auto"/>
        <w:right w:val="none" w:sz="0" w:space="0" w:color="auto"/>
      </w:divBdr>
    </w:div>
    <w:div w:id="1968118534">
      <w:bodyDiv w:val="1"/>
      <w:marLeft w:val="0"/>
      <w:marRight w:val="0"/>
      <w:marTop w:val="0"/>
      <w:marBottom w:val="0"/>
      <w:divBdr>
        <w:top w:val="none" w:sz="0" w:space="0" w:color="auto"/>
        <w:left w:val="none" w:sz="0" w:space="0" w:color="auto"/>
        <w:bottom w:val="none" w:sz="0" w:space="0" w:color="auto"/>
        <w:right w:val="none" w:sz="0" w:space="0" w:color="auto"/>
      </w:divBdr>
    </w:div>
    <w:div w:id="1980958774">
      <w:bodyDiv w:val="1"/>
      <w:marLeft w:val="0"/>
      <w:marRight w:val="0"/>
      <w:marTop w:val="0"/>
      <w:marBottom w:val="0"/>
      <w:divBdr>
        <w:top w:val="none" w:sz="0" w:space="0" w:color="auto"/>
        <w:left w:val="none" w:sz="0" w:space="0" w:color="auto"/>
        <w:bottom w:val="none" w:sz="0" w:space="0" w:color="auto"/>
        <w:right w:val="none" w:sz="0" w:space="0" w:color="auto"/>
      </w:divBdr>
    </w:div>
    <w:div w:id="1991904030">
      <w:bodyDiv w:val="1"/>
      <w:marLeft w:val="0"/>
      <w:marRight w:val="0"/>
      <w:marTop w:val="0"/>
      <w:marBottom w:val="0"/>
      <w:divBdr>
        <w:top w:val="none" w:sz="0" w:space="0" w:color="auto"/>
        <w:left w:val="none" w:sz="0" w:space="0" w:color="auto"/>
        <w:bottom w:val="none" w:sz="0" w:space="0" w:color="auto"/>
        <w:right w:val="none" w:sz="0" w:space="0" w:color="auto"/>
      </w:divBdr>
    </w:div>
    <w:div w:id="2002082624">
      <w:bodyDiv w:val="1"/>
      <w:marLeft w:val="0"/>
      <w:marRight w:val="0"/>
      <w:marTop w:val="0"/>
      <w:marBottom w:val="0"/>
      <w:divBdr>
        <w:top w:val="none" w:sz="0" w:space="0" w:color="auto"/>
        <w:left w:val="none" w:sz="0" w:space="0" w:color="auto"/>
        <w:bottom w:val="none" w:sz="0" w:space="0" w:color="auto"/>
        <w:right w:val="none" w:sz="0" w:space="0" w:color="auto"/>
      </w:divBdr>
    </w:div>
    <w:div w:id="2007197715">
      <w:bodyDiv w:val="1"/>
      <w:marLeft w:val="0"/>
      <w:marRight w:val="0"/>
      <w:marTop w:val="0"/>
      <w:marBottom w:val="0"/>
      <w:divBdr>
        <w:top w:val="none" w:sz="0" w:space="0" w:color="auto"/>
        <w:left w:val="none" w:sz="0" w:space="0" w:color="auto"/>
        <w:bottom w:val="none" w:sz="0" w:space="0" w:color="auto"/>
        <w:right w:val="none" w:sz="0" w:space="0" w:color="auto"/>
      </w:divBdr>
    </w:div>
    <w:div w:id="2022007269">
      <w:bodyDiv w:val="1"/>
      <w:marLeft w:val="0"/>
      <w:marRight w:val="0"/>
      <w:marTop w:val="0"/>
      <w:marBottom w:val="0"/>
      <w:divBdr>
        <w:top w:val="none" w:sz="0" w:space="0" w:color="auto"/>
        <w:left w:val="none" w:sz="0" w:space="0" w:color="auto"/>
        <w:bottom w:val="none" w:sz="0" w:space="0" w:color="auto"/>
        <w:right w:val="none" w:sz="0" w:space="0" w:color="auto"/>
      </w:divBdr>
    </w:div>
    <w:div w:id="2025280417">
      <w:bodyDiv w:val="1"/>
      <w:marLeft w:val="0"/>
      <w:marRight w:val="0"/>
      <w:marTop w:val="0"/>
      <w:marBottom w:val="0"/>
      <w:divBdr>
        <w:top w:val="none" w:sz="0" w:space="0" w:color="auto"/>
        <w:left w:val="none" w:sz="0" w:space="0" w:color="auto"/>
        <w:bottom w:val="none" w:sz="0" w:space="0" w:color="auto"/>
        <w:right w:val="none" w:sz="0" w:space="0" w:color="auto"/>
      </w:divBdr>
    </w:div>
    <w:div w:id="2058776870">
      <w:bodyDiv w:val="1"/>
      <w:marLeft w:val="0"/>
      <w:marRight w:val="0"/>
      <w:marTop w:val="0"/>
      <w:marBottom w:val="0"/>
      <w:divBdr>
        <w:top w:val="none" w:sz="0" w:space="0" w:color="auto"/>
        <w:left w:val="none" w:sz="0" w:space="0" w:color="auto"/>
        <w:bottom w:val="none" w:sz="0" w:space="0" w:color="auto"/>
        <w:right w:val="none" w:sz="0" w:space="0" w:color="auto"/>
      </w:divBdr>
    </w:div>
    <w:div w:id="2080857791">
      <w:bodyDiv w:val="1"/>
      <w:marLeft w:val="0"/>
      <w:marRight w:val="0"/>
      <w:marTop w:val="0"/>
      <w:marBottom w:val="0"/>
      <w:divBdr>
        <w:top w:val="none" w:sz="0" w:space="0" w:color="auto"/>
        <w:left w:val="none" w:sz="0" w:space="0" w:color="auto"/>
        <w:bottom w:val="none" w:sz="0" w:space="0" w:color="auto"/>
        <w:right w:val="none" w:sz="0" w:space="0" w:color="auto"/>
      </w:divBdr>
    </w:div>
    <w:div w:id="212195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117" Type="http://schemas.openxmlformats.org/officeDocument/2006/relationships/hyperlink" Target="https://www.legislation.gov.au/Details/C2017A00110" TargetMode="External"/><Relationship Id="rId21" Type="http://schemas.openxmlformats.org/officeDocument/2006/relationships/footer" Target="footer4.xml"/><Relationship Id="rId42" Type="http://schemas.openxmlformats.org/officeDocument/2006/relationships/hyperlink" Target="https://www.acma.gov.au/publications/2020-03/report/future-delivery-radio" TargetMode="External"/><Relationship Id="rId47" Type="http://schemas.openxmlformats.org/officeDocument/2006/relationships/hyperlink" Target="https://www.acma.gov.au/node/1842" TargetMode="External"/><Relationship Id="rId63" Type="http://schemas.openxmlformats.org/officeDocument/2006/relationships/hyperlink" Target="http://ec.europa.eu/smart-regulation/roadmaps/docs/2015_cnect_017_uhf_en.pdf" TargetMode="External"/><Relationship Id="rId68" Type="http://schemas.openxmlformats.org/officeDocument/2006/relationships/hyperlink" Target="https://www.acma.gov.au/publications/2020-02/report/future-use-15-ghz-and-36-ghz-bands-discussion-paper" TargetMode="External"/><Relationship Id="rId84" Type="http://schemas.openxmlformats.org/officeDocument/2006/relationships/hyperlink" Target="https://www.acma.gov.au/sites/default/files/2019-08/IFC-9-2019-Submissions.zip" TargetMode="External"/><Relationship Id="rId89" Type="http://schemas.openxmlformats.org/officeDocument/2006/relationships/hyperlink" Target="https://www.acma.gov.au/publications/2020-03/report/future-delivery-radio" TargetMode="External"/><Relationship Id="rId112" Type="http://schemas.openxmlformats.org/officeDocument/2006/relationships/hyperlink" Target="https://www.legislation.gov.au/Details/F2020L00063" TargetMode="External"/><Relationship Id="rId16" Type="http://schemas.openxmlformats.org/officeDocument/2006/relationships/header" Target="header4.xml"/><Relationship Id="rId107" Type="http://schemas.openxmlformats.org/officeDocument/2006/relationships/hyperlink" Target="https://www.legislation.gov.au/Details/C2018C00336" TargetMode="External"/><Relationship Id="rId11" Type="http://schemas.openxmlformats.org/officeDocument/2006/relationships/hyperlink" Target="http://i.creativecommons.org/l/by/3.0/88x31.png" TargetMode="External"/><Relationship Id="rId32" Type="http://schemas.openxmlformats.org/officeDocument/2006/relationships/image" Target="media/image13.png"/><Relationship Id="rId37" Type="http://schemas.openxmlformats.org/officeDocument/2006/relationships/image" Target="media/image18.png"/><Relationship Id="rId53" Type="http://schemas.openxmlformats.org/officeDocument/2006/relationships/hyperlink" Target="https://www.acma.gov.au/node/1872" TargetMode="External"/><Relationship Id="rId58" Type="http://schemas.openxmlformats.org/officeDocument/2006/relationships/hyperlink" Target="https://www.acma.gov.au/node/1876" TargetMode="External"/><Relationship Id="rId74" Type="http://schemas.openxmlformats.org/officeDocument/2006/relationships/hyperlink" Target="https://www.coag.gov.au/meeting-outcomes/coag-meeting-communique-12-december-2018" TargetMode="External"/><Relationship Id="rId79" Type="http://schemas.openxmlformats.org/officeDocument/2006/relationships/hyperlink" Target="https://www.acma.gov.au/sites/default/files/2019-08/IFC-14-2019-Consultation%20paper-Draft%20spectrum%20reallocation%20recommendation%20for%20the%2026%20GHz%20band.docx" TargetMode="External"/><Relationship Id="rId102" Type="http://schemas.openxmlformats.org/officeDocument/2006/relationships/hyperlink" Target="https://www.acma.gov.au/publications/2017-10/report/future-approach-36-ghz-band-response-report" TargetMode="External"/><Relationship Id="rId123" Type="http://schemas.openxmlformats.org/officeDocument/2006/relationships/footer" Target="footer7.xml"/><Relationship Id="rId5" Type="http://schemas.openxmlformats.org/officeDocument/2006/relationships/webSettings" Target="webSettings.xml"/><Relationship Id="rId61" Type="http://schemas.openxmlformats.org/officeDocument/2006/relationships/image" Target="media/image21.png"/><Relationship Id="rId82" Type="http://schemas.openxmlformats.org/officeDocument/2006/relationships/hyperlink" Target="https://www.acma.gov.au/sites/default/files/2019-08/IFC_36-2018-Submissions.zip" TargetMode="External"/><Relationship Id="rId90" Type="http://schemas.openxmlformats.org/officeDocument/2006/relationships/hyperlink" Target="https://www.legislation.gov.au/Details/F2018C00845" TargetMode="External"/><Relationship Id="rId95" Type="http://schemas.openxmlformats.org/officeDocument/2006/relationships/hyperlink" Target="https://www.acma.gov.au/consultations/2019-08/updates-rali-fx1-narrowband-and-wideband-services-403-420-mhz-consultation-052019" TargetMode="External"/><Relationship Id="rId19" Type="http://schemas.openxmlformats.org/officeDocument/2006/relationships/header" Target="header5.xml"/><Relationship Id="rId14" Type="http://schemas.openxmlformats.org/officeDocument/2006/relationships/hyperlink" Target="mailto:info@acma.gov.au" TargetMode="External"/><Relationship Id="rId22" Type="http://schemas.openxmlformats.org/officeDocument/2006/relationships/footer" Target="footer5.xm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hyperlink" Target="https://www.acma.gov.au/australian-radiofrequency-spectrum-plan" TargetMode="External"/><Relationship Id="rId48" Type="http://schemas.openxmlformats.org/officeDocument/2006/relationships/hyperlink" Target="https://www.acma.gov.au/node/1843" TargetMode="External"/><Relationship Id="rId56" Type="http://schemas.openxmlformats.org/officeDocument/2006/relationships/hyperlink" Target="https://www.acma.gov.au/node/1878" TargetMode="External"/><Relationship Id="rId64" Type="http://schemas.openxmlformats.org/officeDocument/2006/relationships/hyperlink" Target="https://www.itu.int/pub/R-REP-M.2481" TargetMode="External"/><Relationship Id="rId69" Type="http://schemas.openxmlformats.org/officeDocument/2006/relationships/hyperlink" Target="https://www.acma.gov.au/future-approach-36-ghz-band" TargetMode="External"/><Relationship Id="rId77" Type="http://schemas.openxmlformats.org/officeDocument/2006/relationships/hyperlink" Target="https://www.acma.gov.au/sites/default/files/2019-12/Reconfiguring%20the%20900%20MHz%20band_decision%20paper.docx" TargetMode="External"/><Relationship Id="rId100" Type="http://schemas.openxmlformats.org/officeDocument/2006/relationships/hyperlink" Target="https://www.acma.gov.au/consultations/2019-08/reconfiguring-900-mhz-band-consultation-112019" TargetMode="External"/><Relationship Id="rId105" Type="http://schemas.openxmlformats.org/officeDocument/2006/relationships/hyperlink" Target="https://www.acma.gov.au/theACMA/options-for-wireless-broadband-in-the-26-ghz-band" TargetMode="External"/><Relationship Id="rId113" Type="http://schemas.openxmlformats.org/officeDocument/2006/relationships/hyperlink" Target="https://www.legislation.gov.au/Details/F2020L00070" TargetMode="External"/><Relationship Id="rId118" Type="http://schemas.openxmlformats.org/officeDocument/2006/relationships/hyperlink" Target="http://www.acma.gov.au/theACMA/Consultations/Consultations" TargetMode="External"/><Relationship Id="rId12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acma.gov.au/node/1866" TargetMode="External"/><Relationship Id="rId72" Type="http://schemas.openxmlformats.org/officeDocument/2006/relationships/hyperlink" Target="https://www.acma.gov.au/consultations/2019-09/planning-2-ghz-band-consultation-262019" TargetMode="External"/><Relationship Id="rId80" Type="http://schemas.openxmlformats.org/officeDocument/2006/relationships/hyperlink" Target="https://www.acma.gov.au/future-approach-36-ghz-band" TargetMode="External"/><Relationship Id="rId85" Type="http://schemas.openxmlformats.org/officeDocument/2006/relationships/hyperlink" Target="https://acma.gov.au/sites/default/files/2019-11/Future-use-of-the-28-GHz-band-Final.docx" TargetMode="External"/><Relationship Id="rId93" Type="http://schemas.openxmlformats.org/officeDocument/2006/relationships/hyperlink" Target="https://www.acma.gov.au/publications/2019-11/form/australian-procedures-coordination-notification-satellite-systems" TargetMode="External"/><Relationship Id="rId98" Type="http://schemas.openxmlformats.org/officeDocument/2006/relationships/hyperlink" Target="https://www.acma.gov.au/consultations/2020-02/review-unwanted-emission-limits-34-ghz-spectrum-licences-consultation-062020" TargetMode="External"/><Relationship Id="rId121" Type="http://schemas.openxmlformats.org/officeDocument/2006/relationships/header" Target="header7.xml"/><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footer" Target="footer2.xml"/><Relationship Id="rId25" Type="http://schemas.openxmlformats.org/officeDocument/2006/relationships/hyperlink" Target="https://www.acma.gov.au/articles/2020-03/covid-19-important-information-industry" TargetMode="External"/><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hyperlink" Target="https://www.acma.gov.au/node/1841" TargetMode="External"/><Relationship Id="rId59" Type="http://schemas.openxmlformats.org/officeDocument/2006/relationships/hyperlink" Target="https://www.acma.gov.au/node/1877" TargetMode="External"/><Relationship Id="rId67" Type="http://schemas.openxmlformats.org/officeDocument/2006/relationships/hyperlink" Target="https://www.legislation.gov.au/Details/F2018L01658" TargetMode="External"/><Relationship Id="rId103" Type="http://schemas.openxmlformats.org/officeDocument/2006/relationships/hyperlink" Target="https://www.acma.gov.au/sites/default/files/2019-08/IFC-12-2019-Options-Optimising%20arrangements%20for%20the%203400%E2%80%933575%20MHz%20band.docx" TargetMode="External"/><Relationship Id="rId108" Type="http://schemas.openxmlformats.org/officeDocument/2006/relationships/hyperlink" Target="https://www.acma.gov.au/consultations/2019-08/spectrum-planning-28-ghz-band-consultation-362018" TargetMode="External"/><Relationship Id="rId116" Type="http://schemas.openxmlformats.org/officeDocument/2006/relationships/hyperlink" Target="https://www.legislation.gov.au/Details/F2020L00426" TargetMode="External"/><Relationship Id="rId124" Type="http://schemas.openxmlformats.org/officeDocument/2006/relationships/footer" Target="footer8.xml"/><Relationship Id="rId20" Type="http://schemas.openxmlformats.org/officeDocument/2006/relationships/header" Target="header6.xml"/><Relationship Id="rId41" Type="http://schemas.openxmlformats.org/officeDocument/2006/relationships/image" Target="media/image20.png"/><Relationship Id="rId54" Type="http://schemas.openxmlformats.org/officeDocument/2006/relationships/hyperlink" Target="https://www.acma.gov.au/node/1873" TargetMode="External"/><Relationship Id="rId62" Type="http://schemas.openxmlformats.org/officeDocument/2006/relationships/hyperlink" Target="http://rspg-spectrum.eu/wp-content/uploads/2014/03/RSPG14-555final_Request-for-Opinion-UHF-band.pdf" TargetMode="External"/><Relationship Id="rId70" Type="http://schemas.openxmlformats.org/officeDocument/2006/relationships/hyperlink" Target="https://www.acma.gov.au/publications/2017-10/report/future-approach-36-ghz-band-response-report" TargetMode="External"/><Relationship Id="rId75" Type="http://schemas.openxmlformats.org/officeDocument/2006/relationships/hyperlink" Target="https://www.acma.gov.au/sites/default/files/2019-12/Reconfiguring%20the%20900%20MHz%20band_decision%20paper.docx" TargetMode="External"/><Relationship Id="rId83" Type="http://schemas.openxmlformats.org/officeDocument/2006/relationships/hyperlink" Target="https://www.acma.gov.au/sites/default/files/2019-08/IFC-9-2019-Options-paper-Replanning%20of%20the%2028%20GHz%20band_options%20paper.docx" TargetMode="External"/><Relationship Id="rId88" Type="http://schemas.openxmlformats.org/officeDocument/2006/relationships/hyperlink" Target="https://myswitch.digitalready.gov.au/" TargetMode="External"/><Relationship Id="rId91" Type="http://schemas.openxmlformats.org/officeDocument/2006/relationships/hyperlink" Target="https://www.legislation.gov.au/Details/F2015L00322" TargetMode="External"/><Relationship Id="rId96" Type="http://schemas.openxmlformats.org/officeDocument/2006/relationships/hyperlink" Target="https://www.acma.gov.au/consultations/2019-08/proposed-updates-rali-ms-44-consultation-462018" TargetMode="External"/><Relationship Id="rId111" Type="http://schemas.openxmlformats.org/officeDocument/2006/relationships/hyperlink" Target="https://www.legislation.gov.au/Details/F2018L0118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hyperlink" Target="https://www.acma.gov.au/node/1803" TargetMode="External"/><Relationship Id="rId57" Type="http://schemas.openxmlformats.org/officeDocument/2006/relationships/hyperlink" Target="https://www.acma.gov.au/node/2593" TargetMode="External"/><Relationship Id="rId106" Type="http://schemas.openxmlformats.org/officeDocument/2006/relationships/hyperlink" Target="https://www.acma.gov.au/consultations/2019-08/draft-spectrum-reallocation-recommendation-26-ghz-band-consultation-142019" TargetMode="External"/><Relationship Id="rId114" Type="http://schemas.openxmlformats.org/officeDocument/2006/relationships/hyperlink" Target="https://www.acma.gov.au/consultations/2019-08/proposed-area-wide-apparatus-licence-consultation-192019" TargetMode="External"/><Relationship Id="rId119" Type="http://schemas.openxmlformats.org/officeDocument/2006/relationships/hyperlink" Target="https://www.acma.gov.au/theACMA/About/Corporate/Accountability/privacy-and-consultations" TargetMode="External"/><Relationship Id="rId10" Type="http://schemas.openxmlformats.org/officeDocument/2006/relationships/header" Target="header2.xml"/><Relationship Id="rId31" Type="http://schemas.openxmlformats.org/officeDocument/2006/relationships/image" Target="media/image12.png"/><Relationship Id="rId44" Type="http://schemas.openxmlformats.org/officeDocument/2006/relationships/hyperlink" Target="https://www.legislation.gov.au/Details/F2010L00821" TargetMode="External"/><Relationship Id="rId52" Type="http://schemas.openxmlformats.org/officeDocument/2006/relationships/hyperlink" Target="https://www.acma.gov.au/node/1871" TargetMode="External"/><Relationship Id="rId60" Type="http://schemas.openxmlformats.org/officeDocument/2006/relationships/hyperlink" Target="https://www.legislation.gov.au/Series/F2015L01113" TargetMode="External"/><Relationship Id="rId65" Type="http://schemas.openxmlformats.org/officeDocument/2006/relationships/hyperlink" Target="https://www.comlaw.gov.au/Details/F2013L00827" TargetMode="External"/><Relationship Id="rId73" Type="http://schemas.openxmlformats.org/officeDocument/2006/relationships/hyperlink" Target="https://www.acma.gov.au/publications/2015-12/report/acmas-long-term-strategy-803-960-mhz-band-decision-paper" TargetMode="External"/><Relationship Id="rId78" Type="http://schemas.openxmlformats.org/officeDocument/2006/relationships/hyperlink" Target="https://www.acma.gov.au/future-approach-36-ghz-band" TargetMode="External"/><Relationship Id="rId81" Type="http://schemas.openxmlformats.org/officeDocument/2006/relationships/hyperlink" Target="https://www.acma.gov.au/sites/default/files/2019-08/IFC_36-2018-28%20GHz%20spectrum%20planning.docx" TargetMode="External"/><Relationship Id="rId86" Type="http://schemas.openxmlformats.org/officeDocument/2006/relationships/hyperlink" Target="https://www.acma.gov.au/consultations/2019-08/optimising-3400-3575-mhz-band-consultation-122019" TargetMode="External"/><Relationship Id="rId94" Type="http://schemas.openxmlformats.org/officeDocument/2006/relationships/hyperlink" Target="https://www.acma.gov.au/frequency-coordination-requirements-review-work-program-2018-19" TargetMode="External"/><Relationship Id="rId99" Type="http://schemas.openxmlformats.org/officeDocument/2006/relationships/hyperlink" Target="https://www.acma.gov.au/consultations/2019-10/new-approaches-spectrum-sharing-consultation-252019" TargetMode="External"/><Relationship Id="rId101" Type="http://schemas.openxmlformats.org/officeDocument/2006/relationships/hyperlink" Target="https://www.acma.gov.au/consultations/2019-08/reconfiguring-900-mhz-band-consultation-112019" TargetMode="External"/><Relationship Id="rId122"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creativecommons.org/licenses/by/4.0/" TargetMode="External"/><Relationship Id="rId18" Type="http://schemas.openxmlformats.org/officeDocument/2006/relationships/footer" Target="footer3.xml"/><Relationship Id="rId39" Type="http://schemas.openxmlformats.org/officeDocument/2006/relationships/hyperlink" Target="https://www.legislation.gov.au/Details/C2017A00110" TargetMode="External"/><Relationship Id="rId109" Type="http://schemas.openxmlformats.org/officeDocument/2006/relationships/hyperlink" Target="https://www.acma.gov.au/consultations/2019-08/planning-options-28-ghz-band-consultation-092019" TargetMode="External"/><Relationship Id="rId34" Type="http://schemas.openxmlformats.org/officeDocument/2006/relationships/image" Target="media/image15.png"/><Relationship Id="rId50" Type="http://schemas.openxmlformats.org/officeDocument/2006/relationships/hyperlink" Target="https://www.acma.gov.au/node/1865" TargetMode="External"/><Relationship Id="rId55" Type="http://schemas.openxmlformats.org/officeDocument/2006/relationships/hyperlink" Target="https://www.acma.gov.au/node/1874" TargetMode="External"/><Relationship Id="rId76" Type="http://schemas.openxmlformats.org/officeDocument/2006/relationships/hyperlink" Target="https://www.acma.gov.au/consultations/2019-08/reconfiguring-900-mhz-band-consultation-112019" TargetMode="External"/><Relationship Id="rId97" Type="http://schemas.openxmlformats.org/officeDocument/2006/relationships/hyperlink" Target="https://www.acma.gov.au/consultations/2019-08/proposed-updates-several-ralis-consultation-472018" TargetMode="External"/><Relationship Id="rId104" Type="http://schemas.openxmlformats.org/officeDocument/2006/relationships/hyperlink" Target="https://www.acma.gov.au/theACMA/options-for-wireless-broadband-in-the-26-ghz-band" TargetMode="External"/><Relationship Id="rId120" Type="http://schemas.openxmlformats.org/officeDocument/2006/relationships/hyperlink" Target="http://www.acma.gov.au/privacypolicy"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acma.gov.au/publications/2019-09/publication/rali-fx21-television-outside-broadcasting-services" TargetMode="External"/><Relationship Id="rId92" Type="http://schemas.openxmlformats.org/officeDocument/2006/relationships/hyperlink" Target="https://www.legislation.gov.au/Details/F2020C00139" TargetMode="External"/><Relationship Id="rId2" Type="http://schemas.openxmlformats.org/officeDocument/2006/relationships/numbering" Target="numbering.xml"/><Relationship Id="rId29" Type="http://schemas.openxmlformats.org/officeDocument/2006/relationships/image" Target="media/image10.png"/><Relationship Id="rId24" Type="http://schemas.openxmlformats.org/officeDocument/2006/relationships/hyperlink" Target="https://www.acma.gov.au/publications/2020-03/report/future-delivery-radio" TargetMode="External"/><Relationship Id="rId40" Type="http://schemas.openxmlformats.org/officeDocument/2006/relationships/hyperlink" Target="https://www.acma.gov.au/fyso-2019-23-progress-report-july-dec-2019" TargetMode="External"/><Relationship Id="rId45" Type="http://schemas.openxmlformats.org/officeDocument/2006/relationships/hyperlink" Target="https://www.acma.gov.au/node/1840" TargetMode="External"/><Relationship Id="rId66" Type="http://schemas.openxmlformats.org/officeDocument/2006/relationships/image" Target="media/image22.png"/><Relationship Id="rId87" Type="http://schemas.openxmlformats.org/officeDocument/2006/relationships/hyperlink" Target="https://www.acma.gov.au/consultations/2019-08/optimising-3400-3575-mhz-band-consultation-122019" TargetMode="External"/><Relationship Id="rId110" Type="http://schemas.openxmlformats.org/officeDocument/2006/relationships/hyperlink" Target="https://acma.gov.au/sites/default/files/2019-11/Future-use-of-the-28-GHz-band-Final.docx" TargetMode="External"/><Relationship Id="rId115" Type="http://schemas.openxmlformats.org/officeDocument/2006/relationships/hyperlink" Target="https://www.acma.gov.au/publications/2020-02/guide/area-wide-licensing-acma-approach-introducing-area-wide-licen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8" Type="http://schemas.openxmlformats.org/officeDocument/2006/relationships/hyperlink" Target="http://www.iot.org.au/wp/wp-content/uploads/2016/12/IoTAA_IoT-Platform-Selection-Guideline-V1.1-July-2018.pdf" TargetMode="External"/><Relationship Id="rId13" Type="http://schemas.openxmlformats.org/officeDocument/2006/relationships/hyperlink" Target="https://www.industry.gov.au/data-and-publications/australian-civil-space-strategy-2019-2028" TargetMode="External"/><Relationship Id="rId18" Type="http://schemas.openxmlformats.org/officeDocument/2006/relationships/hyperlink" Target="http://www.airservicesaustralia.com/wp-content/uploads/15-190BKT_ATM-services-five-year-plan-2015-2020_WEB.pdf" TargetMode="External"/><Relationship Id="rId26" Type="http://schemas.openxmlformats.org/officeDocument/2006/relationships/hyperlink" Target="https://gsacom.com/paper/5g-spectrum-report-february-2020/" TargetMode="External"/><Relationship Id="rId3" Type="http://schemas.openxmlformats.org/officeDocument/2006/relationships/hyperlink" Target="https://www.whistleout.com.au/Broadband/Guides/every-telco-COVID-19-coronavirus-assistance-package" TargetMode="External"/><Relationship Id="rId21" Type="http://schemas.openxmlformats.org/officeDocument/2006/relationships/hyperlink" Target="https://docs.fcc.gov/public/attachments/DOC-363490A1.pdf" TargetMode="External"/><Relationship Id="rId34" Type="http://schemas.openxmlformats.org/officeDocument/2006/relationships/hyperlink" Target="https://www.acma.gov.au/consultations/2019-11/review-space-licensing-procedures-consultation-382019" TargetMode="External"/><Relationship Id="rId7" Type="http://schemas.openxmlformats.org/officeDocument/2006/relationships/hyperlink" Target="https://www.ericsson.com/49d1d9/assets/local/mobility-report/documents/2019/ericsson-mobility-report-june-2019.pdf" TargetMode="External"/><Relationship Id="rId12" Type="http://schemas.openxmlformats.org/officeDocument/2006/relationships/hyperlink" Target="https://www.legislation.gov.au/Details/F2020L00426/Explanatory%20Statement/Text" TargetMode="External"/><Relationship Id="rId17" Type="http://schemas.openxmlformats.org/officeDocument/2006/relationships/hyperlink" Target="https://www.communications.gov.au/documents/australian-government-held-spectrum-report" TargetMode="External"/><Relationship Id="rId25" Type="http://schemas.openxmlformats.org/officeDocument/2006/relationships/hyperlink" Target="https://www.5gworldpro.com/5g-news/110-5g-auctions-around-the-world.html" TargetMode="External"/><Relationship Id="rId33" Type="http://schemas.openxmlformats.org/officeDocument/2006/relationships/hyperlink" Target="https://www.acma.gov.au/publications/2019-08/publication/frequency-coordination-requirements-between-microwave-fixed-point-point-links-and-fss-earth-stations" TargetMode="External"/><Relationship Id="rId2" Type="http://schemas.openxmlformats.org/officeDocument/2006/relationships/hyperlink" Target="https://www.itu.int/en/Pages/covid-19.aspx" TargetMode="External"/><Relationship Id="rId16" Type="http://schemas.openxmlformats.org/officeDocument/2006/relationships/hyperlink" Target="https://www.communications.gov.au/documents/australian-government-held-spectrum-report" TargetMode="External"/><Relationship Id="rId20" Type="http://schemas.openxmlformats.org/officeDocument/2006/relationships/hyperlink" Target="http://www.cisco.com/c/en/us/solutions/collateral/service-provider/visual-networking-index-vni/mobile-white-paper-c11-520862.pdf" TargetMode="External"/><Relationship Id="rId29" Type="http://schemas.openxmlformats.org/officeDocument/2006/relationships/hyperlink" Target="https://eccwp.cept.org/WI_Detail.aspx?wiid=667" TargetMode="External"/><Relationship Id="rId1" Type="http://schemas.openxmlformats.org/officeDocument/2006/relationships/hyperlink" Target="https://www.acma.gov.au/publications/2019-08/report/corporate-plan-2019-20" TargetMode="External"/><Relationship Id="rId6" Type="http://schemas.openxmlformats.org/officeDocument/2006/relationships/hyperlink" Target="https://www.communications.gov.au/departmental-news/5g-enabling-future-economy" TargetMode="External"/><Relationship Id="rId11" Type="http://schemas.openxmlformats.org/officeDocument/2006/relationships/hyperlink" Target="https://www.radiotoday.com.au/arn-coronavirus-response/" TargetMode="External"/><Relationship Id="rId24" Type="http://schemas.openxmlformats.org/officeDocument/2006/relationships/hyperlink" Target="https://gsacom.com/paper/5g-spectrum-report-february-2020/" TargetMode="External"/><Relationship Id="rId32" Type="http://schemas.openxmlformats.org/officeDocument/2006/relationships/hyperlink" Target="https://www.acma.gov.au/consultations/2019-12/improved-spectrum-access-and-pricing-satellite-services-consultation-402019" TargetMode="External"/><Relationship Id="rId5" Type="http://schemas.openxmlformats.org/officeDocument/2006/relationships/hyperlink" Target="https://www.itu.int/pub/R-REP-M.2410-2017" TargetMode="External"/><Relationship Id="rId15" Type="http://schemas.openxmlformats.org/officeDocument/2006/relationships/hyperlink" Target="https://www.acma.gov.au/consultations/2019-12/improved-spectrum-access-and-pricing-satellite-services-consultation-402019" TargetMode="External"/><Relationship Id="rId23" Type="http://schemas.openxmlformats.org/officeDocument/2006/relationships/hyperlink" Target="https://www.t-mobile.com/news/americas-first-nationwide-5g-network" TargetMode="External"/><Relationship Id="rId28" Type="http://schemas.openxmlformats.org/officeDocument/2006/relationships/hyperlink" Target="https://gsacom.com/paper/5g-spectrum-report-february-2020/" TargetMode="External"/><Relationship Id="rId10" Type="http://schemas.openxmlformats.org/officeDocument/2006/relationships/hyperlink" Target="http://www.commercialradio.com.au/content/mediareleases/2020/commercial-radio-ad-revenue-for-march-quarter" TargetMode="External"/><Relationship Id="rId19" Type="http://schemas.openxmlformats.org/officeDocument/2006/relationships/hyperlink" Target="https://www.pc.gov.au/inquiries/completed/public-safety-mobile-broadband" TargetMode="External"/><Relationship Id="rId31" Type="http://schemas.openxmlformats.org/officeDocument/2006/relationships/hyperlink" Target="https://www.fcc.gov/document/summary-chairman-pais-c-band-proposal" TargetMode="External"/><Relationship Id="rId4" Type="http://schemas.openxmlformats.org/officeDocument/2006/relationships/hyperlink" Target="https://exchange.telstra.com.au/getting-through-covid-19-together/" TargetMode="External"/><Relationship Id="rId9" Type="http://schemas.openxmlformats.org/officeDocument/2006/relationships/hyperlink" Target="http://www.commercialradio.com.au/content/mediareleases/2020/2020-01-20-commercial-radio-metro-ad-revenue-for-2" TargetMode="External"/><Relationship Id="rId14" Type="http://schemas.openxmlformats.org/officeDocument/2006/relationships/hyperlink" Target="https://www.acma.gov.au/publications/2017-10/report/regulatory-arrangements-gso-and-ngso-esims-response" TargetMode="External"/><Relationship Id="rId22" Type="http://schemas.openxmlformats.org/officeDocument/2006/relationships/hyperlink" Target="https://www.fcc.gov/about-fcc/fcc-initiatives/incentive-auctions" TargetMode="External"/><Relationship Id="rId27" Type="http://schemas.openxmlformats.org/officeDocument/2006/relationships/hyperlink" Target="https://www.5gworldpro.com/5g-news/110-5g-auctions-around-the-world.html" TargetMode="External"/><Relationship Id="rId30" Type="http://schemas.openxmlformats.org/officeDocument/2006/relationships/hyperlink" Target="https://gsacom.com/paper/5g-spectrum-report-february-2020/" TargetMode="External"/><Relationship Id="rId35" Type="http://schemas.openxmlformats.org/officeDocument/2006/relationships/hyperlink" Target="https://www.acma.gov.au/future-approach-36-ghz-b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B3AA7-4D70-4F79-91B5-4F71720C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29630</Words>
  <Characters>168891</Characters>
  <Application>Microsoft Office Word</Application>
  <DocSecurity>0</DocSecurity>
  <Lines>1407</Lines>
  <Paragraphs>396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2020-04-28T07:23:00Z</dcterms:created>
  <dcterms:modified xsi:type="dcterms:W3CDTF">2020-04-28T23:20:00Z</dcterms:modified>
  <cp:category/>
</cp:coreProperties>
</file>