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482937" w14:textId="77777777" w:rsidR="00880DF3" w:rsidRDefault="00B93083" w:rsidP="00880DF3">
      <w:pPr>
        <w:pStyle w:val="Reportsubtitle"/>
        <w:spacing w:after="0"/>
        <w:rPr>
          <w:b/>
          <w:color w:val="auto"/>
        </w:rPr>
      </w:pPr>
      <w:r w:rsidRPr="00B93083">
        <w:rPr>
          <w:b/>
          <w:color w:val="auto"/>
        </w:rPr>
        <w:t>The future delivery of radio</w:t>
      </w:r>
    </w:p>
    <w:p w14:paraId="16ABCC7C" w14:textId="7161996F" w:rsidR="00F06E14" w:rsidRDefault="00B93083" w:rsidP="00F06E14">
      <w:pPr>
        <w:pStyle w:val="Reportsubtitle"/>
      </w:pPr>
      <w:r>
        <w:t xml:space="preserve">Final report </w:t>
      </w:r>
    </w:p>
    <w:p w14:paraId="57D08112" w14:textId="38E1B7EF" w:rsidR="00C97736" w:rsidRPr="000D76E0" w:rsidRDefault="00880DF3"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MARCH </w:t>
      </w:r>
      <w:r w:rsidR="00BD4421">
        <w:t>20</w:t>
      </w:r>
      <w:r w:rsidR="008E0428">
        <w:t>20</w:t>
      </w:r>
    </w:p>
    <w:p w14:paraId="74F46913" w14:textId="77777777" w:rsidR="0005011A" w:rsidRPr="00F44F3A" w:rsidRDefault="0005011A" w:rsidP="00FC07B9">
      <w:pPr>
        <w:pStyle w:val="ACMACorporateAddressHeader"/>
      </w:pPr>
      <w:r w:rsidRPr="00F44F3A">
        <w:lastRenderedPageBreak/>
        <w:t>Canberra</w:t>
      </w:r>
    </w:p>
    <w:p w14:paraId="5F70006D"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66CD3F9F" w14:textId="77777777" w:rsidR="0005011A" w:rsidRPr="00FC07B9" w:rsidRDefault="0005011A" w:rsidP="00FC07B9">
      <w:pPr>
        <w:pStyle w:val="ACMACorporateAddresses"/>
      </w:pPr>
      <w:r w:rsidRPr="00FC07B9">
        <w:t>PO Box 78</w:t>
      </w:r>
      <w:r w:rsidRPr="00FC07B9">
        <w:br/>
        <w:t>Belconnen ACT 2616</w:t>
      </w:r>
    </w:p>
    <w:p w14:paraId="6B0E916C"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28EDD432" w14:textId="77777777" w:rsidR="0005011A" w:rsidRPr="00F44F3A" w:rsidRDefault="0005011A" w:rsidP="00FC07B9">
      <w:pPr>
        <w:pStyle w:val="ACMACorporateAddressHeader"/>
      </w:pPr>
      <w:r w:rsidRPr="00F44F3A">
        <w:t>Melbourne</w:t>
      </w:r>
    </w:p>
    <w:p w14:paraId="46F254A9"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59A6B0B5"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6AD5FD5F"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2E661BC0" w14:textId="77777777" w:rsidR="0005011A" w:rsidRPr="00F44F3A" w:rsidRDefault="0005011A" w:rsidP="00FC07B9">
      <w:pPr>
        <w:pStyle w:val="ACMACorporateAddressHeader"/>
      </w:pPr>
      <w:r w:rsidRPr="00F44F3A">
        <w:t>Sydney</w:t>
      </w:r>
    </w:p>
    <w:p w14:paraId="1E436081"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9DA00D8"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5B5F18FD"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A4E766D" w14:textId="77777777" w:rsidR="00140318" w:rsidRPr="006D46E5" w:rsidRDefault="00140318" w:rsidP="00FC07B9">
      <w:pPr>
        <w:pStyle w:val="ACMACopyrightHeader"/>
      </w:pPr>
      <w:r w:rsidRPr="00140318">
        <w:t>Copyright notice</w:t>
      </w:r>
    </w:p>
    <w:p w14:paraId="5F222F9A" w14:textId="77777777" w:rsidR="00140318" w:rsidRPr="006D46E5" w:rsidRDefault="00623FF9" w:rsidP="00623FF9">
      <w:pPr>
        <w:pStyle w:val="ACMACClogo"/>
      </w:pPr>
      <w:r w:rsidRPr="00623FF9">
        <w:rPr>
          <w:noProof/>
        </w:rPr>
        <w:drawing>
          <wp:inline distT="0" distB="0" distL="0" distR="0" wp14:anchorId="0512601F" wp14:editId="2CFE40D5">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D891863" w14:textId="77777777" w:rsidR="00AA2DE5" w:rsidRDefault="00E50B58" w:rsidP="00AA2DE5">
      <w:pPr>
        <w:pStyle w:val="ACMACorporateAddresses"/>
        <w:rPr>
          <w:rStyle w:val="Hyperlink"/>
        </w:rPr>
      </w:pPr>
      <w:hyperlink r:id="rId13" w:history="1">
        <w:r w:rsidR="00AA2DE5">
          <w:rPr>
            <w:rStyle w:val="Hyperlink"/>
          </w:rPr>
          <w:t>https://creativecommons.org/licenses/by/4.0/</w:t>
        </w:r>
      </w:hyperlink>
    </w:p>
    <w:p w14:paraId="4F7967F4" w14:textId="77777777" w:rsidR="00AA2DE5" w:rsidRDefault="00AA2DE5" w:rsidP="00AA2DE5">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7F95DB3F" w14:textId="77777777" w:rsidR="00AA2DE5" w:rsidRDefault="00AA2DE5" w:rsidP="00AA2DE5">
      <w:pPr>
        <w:pStyle w:val="ACMACorporateAddresses"/>
      </w:pPr>
      <w:r>
        <w:t>We request attribution as © Commonwealth of Australia (Australian Communications and Media Authority) 20</w:t>
      </w:r>
      <w:r w:rsidR="00C41F21">
        <w:t>20</w:t>
      </w:r>
      <w:r>
        <w:t>.</w:t>
      </w:r>
    </w:p>
    <w:p w14:paraId="3308F766" w14:textId="77777777" w:rsidR="00AA2DE5" w:rsidRDefault="00AA2DE5" w:rsidP="00AA2DE5">
      <w:pPr>
        <w:pStyle w:val="ACMACorporateAddresses"/>
      </w:pPr>
      <w:r>
        <w:t>All other rights are reserved.</w:t>
      </w:r>
    </w:p>
    <w:p w14:paraId="7A07D31A"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193A7E7D" w14:textId="77777777" w:rsidR="00AA2DE5" w:rsidRDefault="00AA2DE5" w:rsidP="00AA2DE5">
      <w:pPr>
        <w:pStyle w:val="ACMACorporateAddresses"/>
      </w:pPr>
      <w:r>
        <w:t>Written enquiries may be sent to:</w:t>
      </w:r>
    </w:p>
    <w:p w14:paraId="74134691"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22871B9E" w14:textId="77777777" w:rsidR="00D16FE3" w:rsidRDefault="00D16FE3" w:rsidP="00D16FE3">
      <w:pPr>
        <w:pStyle w:val="ACMACorporateAddresses"/>
        <w:rPr>
          <w:rStyle w:val="Hyperlink"/>
        </w:rPr>
      </w:pPr>
    </w:p>
    <w:p w14:paraId="343B4874"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426B9ED7" w14:textId="61E80F8F" w:rsidR="00B90CC6" w:rsidRDefault="00100C9D">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\h \z \t "Exec summary heading,1" </w:instrText>
      </w:r>
      <w:r>
        <w:rPr>
          <w:rFonts w:cs="Arial"/>
        </w:rPr>
        <w:fldChar w:fldCharType="separate"/>
      </w:r>
      <w:hyperlink w:anchor="_Toc35846778" w:history="1">
        <w:r w:rsidR="00B90CC6" w:rsidRPr="00AA1989">
          <w:rPr>
            <w:rStyle w:val="Hyperlink"/>
          </w:rPr>
          <w:t>Executive summary</w:t>
        </w:r>
        <w:r w:rsidR="00B90CC6">
          <w:rPr>
            <w:webHidden/>
          </w:rPr>
          <w:tab/>
        </w:r>
        <w:r w:rsidR="00B90CC6">
          <w:rPr>
            <w:webHidden/>
          </w:rPr>
          <w:fldChar w:fldCharType="begin"/>
        </w:r>
        <w:r w:rsidR="00B90CC6">
          <w:rPr>
            <w:webHidden/>
          </w:rPr>
          <w:instrText xml:space="preserve"> PAGEREF _Toc35846778 \h </w:instrText>
        </w:r>
        <w:r w:rsidR="00B90CC6">
          <w:rPr>
            <w:webHidden/>
          </w:rPr>
        </w:r>
        <w:r w:rsidR="00B90CC6">
          <w:rPr>
            <w:webHidden/>
          </w:rPr>
          <w:fldChar w:fldCharType="separate"/>
        </w:r>
        <w:r w:rsidR="00B90CC6">
          <w:rPr>
            <w:webHidden/>
          </w:rPr>
          <w:t>1</w:t>
        </w:r>
        <w:r w:rsidR="00B90CC6">
          <w:rPr>
            <w:webHidden/>
          </w:rPr>
          <w:fldChar w:fldCharType="end"/>
        </w:r>
      </w:hyperlink>
    </w:p>
    <w:p w14:paraId="35B97732" w14:textId="789E4818" w:rsidR="00B90CC6" w:rsidRDefault="00E50B58">
      <w:pPr>
        <w:pStyle w:val="TOC2"/>
        <w:rPr>
          <w:rFonts w:asciiTheme="minorHAnsi" w:eastAsiaTheme="minorEastAsia" w:hAnsiTheme="minorHAnsi" w:cstheme="minorBidi"/>
          <w:spacing w:val="0"/>
          <w:sz w:val="22"/>
          <w:szCs w:val="22"/>
        </w:rPr>
      </w:pPr>
      <w:hyperlink w:anchor="_Toc35846779" w:history="1">
        <w:r w:rsidR="00B90CC6" w:rsidRPr="00AA1989">
          <w:rPr>
            <w:rStyle w:val="Hyperlink"/>
          </w:rPr>
          <w:t>Findings</w:t>
        </w:r>
        <w:r w:rsidR="00B90CC6">
          <w:rPr>
            <w:webHidden/>
          </w:rPr>
          <w:tab/>
        </w:r>
        <w:r w:rsidR="00B90CC6">
          <w:rPr>
            <w:webHidden/>
          </w:rPr>
          <w:tab/>
        </w:r>
        <w:r w:rsidR="00B90CC6">
          <w:rPr>
            <w:webHidden/>
          </w:rPr>
          <w:fldChar w:fldCharType="begin"/>
        </w:r>
        <w:r w:rsidR="00B90CC6">
          <w:rPr>
            <w:webHidden/>
          </w:rPr>
          <w:instrText xml:space="preserve"> PAGEREF _Toc35846779 \h </w:instrText>
        </w:r>
        <w:r w:rsidR="00B90CC6">
          <w:rPr>
            <w:webHidden/>
          </w:rPr>
        </w:r>
        <w:r w:rsidR="00B90CC6">
          <w:rPr>
            <w:webHidden/>
          </w:rPr>
          <w:fldChar w:fldCharType="separate"/>
        </w:r>
        <w:r w:rsidR="00B90CC6">
          <w:rPr>
            <w:webHidden/>
          </w:rPr>
          <w:t>2</w:t>
        </w:r>
        <w:r w:rsidR="00B90CC6">
          <w:rPr>
            <w:webHidden/>
          </w:rPr>
          <w:fldChar w:fldCharType="end"/>
        </w:r>
      </w:hyperlink>
    </w:p>
    <w:p w14:paraId="271E91E2" w14:textId="42A0A006" w:rsidR="00B90CC6" w:rsidRDefault="00E50B58">
      <w:pPr>
        <w:pStyle w:val="TOC2"/>
        <w:rPr>
          <w:rFonts w:asciiTheme="minorHAnsi" w:eastAsiaTheme="minorEastAsia" w:hAnsiTheme="minorHAnsi" w:cstheme="minorBidi"/>
          <w:spacing w:val="0"/>
          <w:sz w:val="22"/>
          <w:szCs w:val="22"/>
        </w:rPr>
      </w:pPr>
      <w:hyperlink w:anchor="_Toc35846780" w:history="1">
        <w:r w:rsidR="00B90CC6" w:rsidRPr="00AA1989">
          <w:rPr>
            <w:rStyle w:val="Hyperlink"/>
          </w:rPr>
          <w:t>Proposed way forward</w:t>
        </w:r>
        <w:r w:rsidR="00B90CC6">
          <w:rPr>
            <w:webHidden/>
          </w:rPr>
          <w:tab/>
        </w:r>
        <w:r w:rsidR="00B90CC6">
          <w:rPr>
            <w:webHidden/>
          </w:rPr>
          <w:fldChar w:fldCharType="begin"/>
        </w:r>
        <w:r w:rsidR="00B90CC6">
          <w:rPr>
            <w:webHidden/>
          </w:rPr>
          <w:instrText xml:space="preserve"> PAGEREF _Toc35846780 \h </w:instrText>
        </w:r>
        <w:r w:rsidR="00B90CC6">
          <w:rPr>
            <w:webHidden/>
          </w:rPr>
        </w:r>
        <w:r w:rsidR="00B90CC6">
          <w:rPr>
            <w:webHidden/>
          </w:rPr>
          <w:fldChar w:fldCharType="separate"/>
        </w:r>
        <w:r w:rsidR="00B90CC6">
          <w:rPr>
            <w:webHidden/>
          </w:rPr>
          <w:t>3</w:t>
        </w:r>
        <w:r w:rsidR="00B90CC6">
          <w:rPr>
            <w:webHidden/>
          </w:rPr>
          <w:fldChar w:fldCharType="end"/>
        </w:r>
      </w:hyperlink>
    </w:p>
    <w:p w14:paraId="5ACF40F9" w14:textId="18B1CB99" w:rsidR="00B90CC6" w:rsidRDefault="00E50B58">
      <w:pPr>
        <w:pStyle w:val="TOC1"/>
        <w:rPr>
          <w:rFonts w:asciiTheme="minorHAnsi" w:eastAsiaTheme="minorEastAsia" w:hAnsiTheme="minorHAnsi" w:cstheme="minorBidi"/>
          <w:b w:val="0"/>
          <w:spacing w:val="0"/>
          <w:sz w:val="22"/>
          <w:szCs w:val="22"/>
        </w:rPr>
      </w:pPr>
      <w:hyperlink w:anchor="_Toc35846781" w:history="1">
        <w:r w:rsidR="00B90CC6" w:rsidRPr="00AA1989">
          <w:rPr>
            <w:rStyle w:val="Hyperlink"/>
          </w:rPr>
          <w:t>Introduction</w:t>
        </w:r>
        <w:r w:rsidR="00B90CC6">
          <w:rPr>
            <w:webHidden/>
          </w:rPr>
          <w:tab/>
        </w:r>
        <w:r w:rsidR="00B90CC6">
          <w:rPr>
            <w:webHidden/>
          </w:rPr>
          <w:fldChar w:fldCharType="begin"/>
        </w:r>
        <w:r w:rsidR="00B90CC6">
          <w:rPr>
            <w:webHidden/>
          </w:rPr>
          <w:instrText xml:space="preserve"> PAGEREF _Toc35846781 \h </w:instrText>
        </w:r>
        <w:r w:rsidR="00B90CC6">
          <w:rPr>
            <w:webHidden/>
          </w:rPr>
        </w:r>
        <w:r w:rsidR="00B90CC6">
          <w:rPr>
            <w:webHidden/>
          </w:rPr>
          <w:fldChar w:fldCharType="separate"/>
        </w:r>
        <w:r w:rsidR="00B90CC6">
          <w:rPr>
            <w:webHidden/>
          </w:rPr>
          <w:t>4</w:t>
        </w:r>
        <w:r w:rsidR="00B90CC6">
          <w:rPr>
            <w:webHidden/>
          </w:rPr>
          <w:fldChar w:fldCharType="end"/>
        </w:r>
      </w:hyperlink>
    </w:p>
    <w:p w14:paraId="5BFC814C" w14:textId="1C12785B" w:rsidR="00B90CC6" w:rsidRDefault="00E50B58">
      <w:pPr>
        <w:pStyle w:val="TOC2"/>
        <w:rPr>
          <w:rFonts w:asciiTheme="minorHAnsi" w:eastAsiaTheme="minorEastAsia" w:hAnsiTheme="minorHAnsi" w:cstheme="minorBidi"/>
          <w:spacing w:val="0"/>
          <w:sz w:val="22"/>
          <w:szCs w:val="22"/>
        </w:rPr>
      </w:pPr>
      <w:hyperlink w:anchor="_Toc35846782" w:history="1">
        <w:r w:rsidR="00B90CC6" w:rsidRPr="00AA1989">
          <w:rPr>
            <w:rStyle w:val="Hyperlink"/>
          </w:rPr>
          <w:t>Approach</w:t>
        </w:r>
        <w:r w:rsidR="00B90CC6">
          <w:rPr>
            <w:webHidden/>
          </w:rPr>
          <w:tab/>
        </w:r>
        <w:r w:rsidR="00B90CC6">
          <w:rPr>
            <w:webHidden/>
          </w:rPr>
          <w:fldChar w:fldCharType="begin"/>
        </w:r>
        <w:r w:rsidR="00B90CC6">
          <w:rPr>
            <w:webHidden/>
          </w:rPr>
          <w:instrText xml:space="preserve"> PAGEREF _Toc35846782 \h </w:instrText>
        </w:r>
        <w:r w:rsidR="00B90CC6">
          <w:rPr>
            <w:webHidden/>
          </w:rPr>
        </w:r>
        <w:r w:rsidR="00B90CC6">
          <w:rPr>
            <w:webHidden/>
          </w:rPr>
          <w:fldChar w:fldCharType="separate"/>
        </w:r>
        <w:r w:rsidR="00B90CC6">
          <w:rPr>
            <w:webHidden/>
          </w:rPr>
          <w:t>4</w:t>
        </w:r>
        <w:r w:rsidR="00B90CC6">
          <w:rPr>
            <w:webHidden/>
          </w:rPr>
          <w:fldChar w:fldCharType="end"/>
        </w:r>
      </w:hyperlink>
    </w:p>
    <w:p w14:paraId="00F92F95" w14:textId="06142BCC" w:rsidR="00B90CC6" w:rsidRDefault="00E50B58">
      <w:pPr>
        <w:pStyle w:val="TOC2"/>
        <w:rPr>
          <w:rFonts w:asciiTheme="minorHAnsi" w:eastAsiaTheme="minorEastAsia" w:hAnsiTheme="minorHAnsi" w:cstheme="minorBidi"/>
          <w:spacing w:val="0"/>
          <w:sz w:val="22"/>
          <w:szCs w:val="22"/>
        </w:rPr>
      </w:pPr>
      <w:hyperlink w:anchor="_Toc35846783" w:history="1">
        <w:r w:rsidR="00B90CC6" w:rsidRPr="00AA1989">
          <w:rPr>
            <w:rStyle w:val="Hyperlink"/>
          </w:rPr>
          <w:t>Report structure</w:t>
        </w:r>
        <w:r w:rsidR="00B90CC6">
          <w:rPr>
            <w:webHidden/>
          </w:rPr>
          <w:tab/>
        </w:r>
        <w:r w:rsidR="00B90CC6">
          <w:rPr>
            <w:webHidden/>
          </w:rPr>
          <w:fldChar w:fldCharType="begin"/>
        </w:r>
        <w:r w:rsidR="00B90CC6">
          <w:rPr>
            <w:webHidden/>
          </w:rPr>
          <w:instrText xml:space="preserve"> PAGEREF _Toc35846783 \h </w:instrText>
        </w:r>
        <w:r w:rsidR="00B90CC6">
          <w:rPr>
            <w:webHidden/>
          </w:rPr>
        </w:r>
        <w:r w:rsidR="00B90CC6">
          <w:rPr>
            <w:webHidden/>
          </w:rPr>
          <w:fldChar w:fldCharType="separate"/>
        </w:r>
        <w:r w:rsidR="00B90CC6">
          <w:rPr>
            <w:webHidden/>
          </w:rPr>
          <w:t>5</w:t>
        </w:r>
        <w:r w:rsidR="00B90CC6">
          <w:rPr>
            <w:webHidden/>
          </w:rPr>
          <w:fldChar w:fldCharType="end"/>
        </w:r>
      </w:hyperlink>
    </w:p>
    <w:p w14:paraId="72A31AFA" w14:textId="4B917785" w:rsidR="00B90CC6" w:rsidRDefault="00E50B58">
      <w:pPr>
        <w:pStyle w:val="TOC1"/>
        <w:rPr>
          <w:rFonts w:asciiTheme="minorHAnsi" w:eastAsiaTheme="minorEastAsia" w:hAnsiTheme="minorHAnsi" w:cstheme="minorBidi"/>
          <w:b w:val="0"/>
          <w:spacing w:val="0"/>
          <w:sz w:val="22"/>
          <w:szCs w:val="22"/>
        </w:rPr>
      </w:pPr>
      <w:hyperlink w:anchor="_Toc35846784" w:history="1">
        <w:r w:rsidR="00B90CC6" w:rsidRPr="00AA1989">
          <w:rPr>
            <w:rStyle w:val="Hyperlink"/>
          </w:rPr>
          <w:t>How radio spectrum is planned and regulated</w:t>
        </w:r>
        <w:r w:rsidR="00B90CC6">
          <w:rPr>
            <w:webHidden/>
          </w:rPr>
          <w:tab/>
        </w:r>
        <w:r w:rsidR="00B90CC6">
          <w:rPr>
            <w:webHidden/>
          </w:rPr>
          <w:fldChar w:fldCharType="begin"/>
        </w:r>
        <w:r w:rsidR="00B90CC6">
          <w:rPr>
            <w:webHidden/>
          </w:rPr>
          <w:instrText xml:space="preserve"> PAGEREF _Toc35846784 \h </w:instrText>
        </w:r>
        <w:r w:rsidR="00B90CC6">
          <w:rPr>
            <w:webHidden/>
          </w:rPr>
        </w:r>
        <w:r w:rsidR="00B90CC6">
          <w:rPr>
            <w:webHidden/>
          </w:rPr>
          <w:fldChar w:fldCharType="separate"/>
        </w:r>
        <w:r w:rsidR="00B90CC6">
          <w:rPr>
            <w:webHidden/>
          </w:rPr>
          <w:t>6</w:t>
        </w:r>
        <w:r w:rsidR="00B90CC6">
          <w:rPr>
            <w:webHidden/>
          </w:rPr>
          <w:fldChar w:fldCharType="end"/>
        </w:r>
      </w:hyperlink>
    </w:p>
    <w:p w14:paraId="764EDD55" w14:textId="1905896E" w:rsidR="00B90CC6" w:rsidRDefault="00E50B58">
      <w:pPr>
        <w:pStyle w:val="TOC2"/>
        <w:rPr>
          <w:rFonts w:asciiTheme="minorHAnsi" w:eastAsiaTheme="minorEastAsia" w:hAnsiTheme="minorHAnsi" w:cstheme="minorBidi"/>
          <w:spacing w:val="0"/>
          <w:sz w:val="22"/>
          <w:szCs w:val="22"/>
        </w:rPr>
      </w:pPr>
      <w:hyperlink w:anchor="_Toc35846785" w:history="1">
        <w:r w:rsidR="00B90CC6" w:rsidRPr="00AA1989">
          <w:rPr>
            <w:rStyle w:val="Hyperlink"/>
          </w:rPr>
          <w:t>Audio content services and their regulation</w:t>
        </w:r>
        <w:r w:rsidR="00B90CC6">
          <w:rPr>
            <w:webHidden/>
          </w:rPr>
          <w:tab/>
        </w:r>
        <w:r w:rsidR="00B90CC6">
          <w:rPr>
            <w:webHidden/>
          </w:rPr>
          <w:fldChar w:fldCharType="begin"/>
        </w:r>
        <w:r w:rsidR="00B90CC6">
          <w:rPr>
            <w:webHidden/>
          </w:rPr>
          <w:instrText xml:space="preserve"> PAGEREF _Toc35846785 \h </w:instrText>
        </w:r>
        <w:r w:rsidR="00B90CC6">
          <w:rPr>
            <w:webHidden/>
          </w:rPr>
        </w:r>
        <w:r w:rsidR="00B90CC6">
          <w:rPr>
            <w:webHidden/>
          </w:rPr>
          <w:fldChar w:fldCharType="separate"/>
        </w:r>
        <w:r w:rsidR="00B90CC6">
          <w:rPr>
            <w:webHidden/>
          </w:rPr>
          <w:t>6</w:t>
        </w:r>
        <w:r w:rsidR="00B90CC6">
          <w:rPr>
            <w:webHidden/>
          </w:rPr>
          <w:fldChar w:fldCharType="end"/>
        </w:r>
      </w:hyperlink>
    </w:p>
    <w:p w14:paraId="4A8DFCA4" w14:textId="239EF260" w:rsidR="00B90CC6" w:rsidRDefault="00E50B58">
      <w:pPr>
        <w:pStyle w:val="TOC2"/>
        <w:rPr>
          <w:rFonts w:asciiTheme="minorHAnsi" w:eastAsiaTheme="minorEastAsia" w:hAnsiTheme="minorHAnsi" w:cstheme="minorBidi"/>
          <w:spacing w:val="0"/>
          <w:sz w:val="22"/>
          <w:szCs w:val="22"/>
        </w:rPr>
      </w:pPr>
      <w:hyperlink w:anchor="_Toc35846786" w:history="1">
        <w:r w:rsidR="00B90CC6" w:rsidRPr="00AA1989">
          <w:rPr>
            <w:rStyle w:val="Hyperlink"/>
          </w:rPr>
          <w:t>Broadcast spectrum planning</w:t>
        </w:r>
        <w:r w:rsidR="00B90CC6">
          <w:rPr>
            <w:webHidden/>
          </w:rPr>
          <w:tab/>
        </w:r>
        <w:r w:rsidR="00B90CC6">
          <w:rPr>
            <w:webHidden/>
          </w:rPr>
          <w:fldChar w:fldCharType="begin"/>
        </w:r>
        <w:r w:rsidR="00B90CC6">
          <w:rPr>
            <w:webHidden/>
          </w:rPr>
          <w:instrText xml:space="preserve"> PAGEREF _Toc35846786 \h </w:instrText>
        </w:r>
        <w:r w:rsidR="00B90CC6">
          <w:rPr>
            <w:webHidden/>
          </w:rPr>
        </w:r>
        <w:r w:rsidR="00B90CC6">
          <w:rPr>
            <w:webHidden/>
          </w:rPr>
          <w:fldChar w:fldCharType="separate"/>
        </w:r>
        <w:r w:rsidR="00B90CC6">
          <w:rPr>
            <w:webHidden/>
          </w:rPr>
          <w:t>6</w:t>
        </w:r>
        <w:r w:rsidR="00B90CC6">
          <w:rPr>
            <w:webHidden/>
          </w:rPr>
          <w:fldChar w:fldCharType="end"/>
        </w:r>
      </w:hyperlink>
    </w:p>
    <w:p w14:paraId="4421F5AC" w14:textId="53705448" w:rsidR="00B90CC6" w:rsidRDefault="00E50B58">
      <w:pPr>
        <w:pStyle w:val="TOC1"/>
        <w:rPr>
          <w:rFonts w:asciiTheme="minorHAnsi" w:eastAsiaTheme="minorEastAsia" w:hAnsiTheme="minorHAnsi" w:cstheme="minorBidi"/>
          <w:b w:val="0"/>
          <w:spacing w:val="0"/>
          <w:sz w:val="22"/>
          <w:szCs w:val="22"/>
        </w:rPr>
      </w:pPr>
      <w:hyperlink w:anchor="_Toc35846787" w:history="1">
        <w:r w:rsidR="00B90CC6" w:rsidRPr="00AA1989">
          <w:rPr>
            <w:rStyle w:val="Hyperlink"/>
          </w:rPr>
          <w:t>Geographic, platform and device diversity will endure</w:t>
        </w:r>
        <w:r w:rsidR="00B90CC6">
          <w:rPr>
            <w:webHidden/>
          </w:rPr>
          <w:tab/>
        </w:r>
        <w:r w:rsidR="00B90CC6">
          <w:rPr>
            <w:webHidden/>
          </w:rPr>
          <w:fldChar w:fldCharType="begin"/>
        </w:r>
        <w:r w:rsidR="00B90CC6">
          <w:rPr>
            <w:webHidden/>
          </w:rPr>
          <w:instrText xml:space="preserve"> PAGEREF _Toc35846787 \h </w:instrText>
        </w:r>
        <w:r w:rsidR="00B90CC6">
          <w:rPr>
            <w:webHidden/>
          </w:rPr>
        </w:r>
        <w:r w:rsidR="00B90CC6">
          <w:rPr>
            <w:webHidden/>
          </w:rPr>
          <w:fldChar w:fldCharType="separate"/>
        </w:r>
        <w:r w:rsidR="00B90CC6">
          <w:rPr>
            <w:webHidden/>
          </w:rPr>
          <w:t>9</w:t>
        </w:r>
        <w:r w:rsidR="00B90CC6">
          <w:rPr>
            <w:webHidden/>
          </w:rPr>
          <w:fldChar w:fldCharType="end"/>
        </w:r>
      </w:hyperlink>
    </w:p>
    <w:p w14:paraId="65DA9602" w14:textId="67B804C9" w:rsidR="00B90CC6" w:rsidRDefault="00E50B58">
      <w:pPr>
        <w:pStyle w:val="TOC2"/>
        <w:rPr>
          <w:rFonts w:asciiTheme="minorHAnsi" w:eastAsiaTheme="minorEastAsia" w:hAnsiTheme="minorHAnsi" w:cstheme="minorBidi"/>
          <w:spacing w:val="0"/>
          <w:sz w:val="22"/>
          <w:szCs w:val="22"/>
        </w:rPr>
      </w:pPr>
      <w:hyperlink w:anchor="_Toc35846788" w:history="1">
        <w:r w:rsidR="00B90CC6" w:rsidRPr="00AA1989">
          <w:rPr>
            <w:rStyle w:val="Hyperlink"/>
          </w:rPr>
          <w:t>Delivery platforms and our geographic diversity</w:t>
        </w:r>
        <w:r w:rsidR="00B90CC6">
          <w:rPr>
            <w:webHidden/>
          </w:rPr>
          <w:tab/>
        </w:r>
        <w:r w:rsidR="00B90CC6">
          <w:rPr>
            <w:webHidden/>
          </w:rPr>
          <w:fldChar w:fldCharType="begin"/>
        </w:r>
        <w:r w:rsidR="00B90CC6">
          <w:rPr>
            <w:webHidden/>
          </w:rPr>
          <w:instrText xml:space="preserve"> PAGEREF _Toc35846788 \h </w:instrText>
        </w:r>
        <w:r w:rsidR="00B90CC6">
          <w:rPr>
            <w:webHidden/>
          </w:rPr>
        </w:r>
        <w:r w:rsidR="00B90CC6">
          <w:rPr>
            <w:webHidden/>
          </w:rPr>
          <w:fldChar w:fldCharType="separate"/>
        </w:r>
        <w:r w:rsidR="00B90CC6">
          <w:rPr>
            <w:webHidden/>
          </w:rPr>
          <w:t>9</w:t>
        </w:r>
        <w:r w:rsidR="00B90CC6">
          <w:rPr>
            <w:webHidden/>
          </w:rPr>
          <w:fldChar w:fldCharType="end"/>
        </w:r>
      </w:hyperlink>
    </w:p>
    <w:p w14:paraId="0DB9B25B" w14:textId="4169E32A" w:rsidR="00B90CC6" w:rsidRDefault="00E50B58">
      <w:pPr>
        <w:pStyle w:val="TOC2"/>
        <w:rPr>
          <w:rFonts w:asciiTheme="minorHAnsi" w:eastAsiaTheme="minorEastAsia" w:hAnsiTheme="minorHAnsi" w:cstheme="minorBidi"/>
          <w:spacing w:val="0"/>
          <w:sz w:val="22"/>
          <w:szCs w:val="22"/>
        </w:rPr>
      </w:pPr>
      <w:hyperlink w:anchor="_Toc35846789" w:history="1">
        <w:r w:rsidR="00B90CC6" w:rsidRPr="00AA1989">
          <w:rPr>
            <w:rStyle w:val="Hyperlink"/>
          </w:rPr>
          <w:t>Device diversity</w:t>
        </w:r>
        <w:r w:rsidR="00B90CC6">
          <w:rPr>
            <w:webHidden/>
          </w:rPr>
          <w:tab/>
        </w:r>
        <w:r w:rsidR="00B90CC6">
          <w:rPr>
            <w:webHidden/>
          </w:rPr>
          <w:fldChar w:fldCharType="begin"/>
        </w:r>
        <w:r w:rsidR="00B90CC6">
          <w:rPr>
            <w:webHidden/>
          </w:rPr>
          <w:instrText xml:space="preserve"> PAGEREF _Toc35846789 \h </w:instrText>
        </w:r>
        <w:r w:rsidR="00B90CC6">
          <w:rPr>
            <w:webHidden/>
          </w:rPr>
        </w:r>
        <w:r w:rsidR="00B90CC6">
          <w:rPr>
            <w:webHidden/>
          </w:rPr>
          <w:fldChar w:fldCharType="separate"/>
        </w:r>
        <w:r w:rsidR="00B90CC6">
          <w:rPr>
            <w:webHidden/>
          </w:rPr>
          <w:t>11</w:t>
        </w:r>
        <w:r w:rsidR="00B90CC6">
          <w:rPr>
            <w:webHidden/>
          </w:rPr>
          <w:fldChar w:fldCharType="end"/>
        </w:r>
      </w:hyperlink>
    </w:p>
    <w:p w14:paraId="27FC088E" w14:textId="3B314795" w:rsidR="00B90CC6" w:rsidRDefault="00E50B58">
      <w:pPr>
        <w:pStyle w:val="TOC1"/>
        <w:rPr>
          <w:rFonts w:asciiTheme="minorHAnsi" w:eastAsiaTheme="minorEastAsia" w:hAnsiTheme="minorHAnsi" w:cstheme="minorBidi"/>
          <w:b w:val="0"/>
          <w:spacing w:val="0"/>
          <w:sz w:val="22"/>
          <w:szCs w:val="22"/>
        </w:rPr>
      </w:pPr>
      <w:hyperlink w:anchor="_Toc35846790" w:history="1">
        <w:r w:rsidR="00B90CC6" w:rsidRPr="00AA1989">
          <w:rPr>
            <w:rStyle w:val="Hyperlink"/>
          </w:rPr>
          <w:t>Listener preferences are changing</w:t>
        </w:r>
        <w:r w:rsidR="00B90CC6">
          <w:rPr>
            <w:webHidden/>
          </w:rPr>
          <w:tab/>
        </w:r>
        <w:r w:rsidR="00B90CC6">
          <w:rPr>
            <w:webHidden/>
          </w:rPr>
          <w:fldChar w:fldCharType="begin"/>
        </w:r>
        <w:r w:rsidR="00B90CC6">
          <w:rPr>
            <w:webHidden/>
          </w:rPr>
          <w:instrText xml:space="preserve"> PAGEREF _Toc35846790 \h </w:instrText>
        </w:r>
        <w:r w:rsidR="00B90CC6">
          <w:rPr>
            <w:webHidden/>
          </w:rPr>
        </w:r>
        <w:r w:rsidR="00B90CC6">
          <w:rPr>
            <w:webHidden/>
          </w:rPr>
          <w:fldChar w:fldCharType="separate"/>
        </w:r>
        <w:r w:rsidR="00B90CC6">
          <w:rPr>
            <w:webHidden/>
          </w:rPr>
          <w:t>12</w:t>
        </w:r>
        <w:r w:rsidR="00B90CC6">
          <w:rPr>
            <w:webHidden/>
          </w:rPr>
          <w:fldChar w:fldCharType="end"/>
        </w:r>
      </w:hyperlink>
    </w:p>
    <w:p w14:paraId="0AE0EB9B" w14:textId="0423085B" w:rsidR="00B90CC6" w:rsidRDefault="00E50B58">
      <w:pPr>
        <w:pStyle w:val="TOC2"/>
        <w:rPr>
          <w:rFonts w:asciiTheme="minorHAnsi" w:eastAsiaTheme="minorEastAsia" w:hAnsiTheme="minorHAnsi" w:cstheme="minorBidi"/>
          <w:spacing w:val="0"/>
          <w:sz w:val="22"/>
          <w:szCs w:val="22"/>
        </w:rPr>
      </w:pPr>
      <w:hyperlink w:anchor="_Toc35846791" w:history="1">
        <w:r w:rsidR="00B90CC6" w:rsidRPr="00AA1989">
          <w:rPr>
            <w:rStyle w:val="Hyperlink"/>
          </w:rPr>
          <w:t>Live radio remains important to Australians</w:t>
        </w:r>
        <w:r w:rsidR="00B90CC6">
          <w:rPr>
            <w:webHidden/>
          </w:rPr>
          <w:tab/>
        </w:r>
        <w:r w:rsidR="00B90CC6">
          <w:rPr>
            <w:webHidden/>
          </w:rPr>
          <w:fldChar w:fldCharType="begin"/>
        </w:r>
        <w:r w:rsidR="00B90CC6">
          <w:rPr>
            <w:webHidden/>
          </w:rPr>
          <w:instrText xml:space="preserve"> PAGEREF _Toc35846791 \h </w:instrText>
        </w:r>
        <w:r w:rsidR="00B90CC6">
          <w:rPr>
            <w:webHidden/>
          </w:rPr>
        </w:r>
        <w:r w:rsidR="00B90CC6">
          <w:rPr>
            <w:webHidden/>
          </w:rPr>
          <w:fldChar w:fldCharType="separate"/>
        </w:r>
        <w:r w:rsidR="00B90CC6">
          <w:rPr>
            <w:webHidden/>
          </w:rPr>
          <w:t>12</w:t>
        </w:r>
        <w:r w:rsidR="00B90CC6">
          <w:rPr>
            <w:webHidden/>
          </w:rPr>
          <w:fldChar w:fldCharType="end"/>
        </w:r>
      </w:hyperlink>
    </w:p>
    <w:p w14:paraId="71BB5FBD" w14:textId="3222C0D7" w:rsidR="00B90CC6" w:rsidRDefault="00E50B58">
      <w:pPr>
        <w:pStyle w:val="TOC1"/>
        <w:rPr>
          <w:rFonts w:asciiTheme="minorHAnsi" w:eastAsiaTheme="minorEastAsia" w:hAnsiTheme="minorHAnsi" w:cstheme="minorBidi"/>
          <w:b w:val="0"/>
          <w:spacing w:val="0"/>
          <w:sz w:val="22"/>
          <w:szCs w:val="22"/>
        </w:rPr>
      </w:pPr>
      <w:hyperlink w:anchor="_Toc35846792" w:history="1">
        <w:r w:rsidR="00B90CC6" w:rsidRPr="00AA1989">
          <w:rPr>
            <w:rStyle w:val="Hyperlink"/>
          </w:rPr>
          <w:t>A mix of radio delivery platforms is needed for the future</w:t>
        </w:r>
        <w:r w:rsidR="00B90CC6">
          <w:rPr>
            <w:webHidden/>
          </w:rPr>
          <w:tab/>
        </w:r>
        <w:r w:rsidR="00B90CC6">
          <w:rPr>
            <w:webHidden/>
          </w:rPr>
          <w:fldChar w:fldCharType="begin"/>
        </w:r>
        <w:r w:rsidR="00B90CC6">
          <w:rPr>
            <w:webHidden/>
          </w:rPr>
          <w:instrText xml:space="preserve"> PAGEREF _Toc35846792 \h </w:instrText>
        </w:r>
        <w:r w:rsidR="00B90CC6">
          <w:rPr>
            <w:webHidden/>
          </w:rPr>
        </w:r>
        <w:r w:rsidR="00B90CC6">
          <w:rPr>
            <w:webHidden/>
          </w:rPr>
          <w:fldChar w:fldCharType="separate"/>
        </w:r>
        <w:r w:rsidR="00B90CC6">
          <w:rPr>
            <w:webHidden/>
          </w:rPr>
          <w:t>15</w:t>
        </w:r>
        <w:r w:rsidR="00B90CC6">
          <w:rPr>
            <w:webHidden/>
          </w:rPr>
          <w:fldChar w:fldCharType="end"/>
        </w:r>
      </w:hyperlink>
    </w:p>
    <w:p w14:paraId="3C54CBF9" w14:textId="143103AB" w:rsidR="00B90CC6" w:rsidRDefault="00E50B58">
      <w:pPr>
        <w:pStyle w:val="TOC2"/>
        <w:rPr>
          <w:rFonts w:asciiTheme="minorHAnsi" w:eastAsiaTheme="minorEastAsia" w:hAnsiTheme="minorHAnsi" w:cstheme="minorBidi"/>
          <w:spacing w:val="0"/>
          <w:sz w:val="22"/>
          <w:szCs w:val="22"/>
        </w:rPr>
      </w:pPr>
      <w:hyperlink w:anchor="_Toc35846793" w:history="1">
        <w:r w:rsidR="00B90CC6" w:rsidRPr="00AA1989">
          <w:rPr>
            <w:rStyle w:val="Hyperlink"/>
          </w:rPr>
          <w:t>Short- to medium-term horizon</w:t>
        </w:r>
        <w:r w:rsidR="00B90CC6">
          <w:rPr>
            <w:webHidden/>
          </w:rPr>
          <w:tab/>
        </w:r>
        <w:r w:rsidR="00B90CC6">
          <w:rPr>
            <w:webHidden/>
          </w:rPr>
          <w:fldChar w:fldCharType="begin"/>
        </w:r>
        <w:r w:rsidR="00B90CC6">
          <w:rPr>
            <w:webHidden/>
          </w:rPr>
          <w:instrText xml:space="preserve"> PAGEREF _Toc35846793 \h </w:instrText>
        </w:r>
        <w:r w:rsidR="00B90CC6">
          <w:rPr>
            <w:webHidden/>
          </w:rPr>
        </w:r>
        <w:r w:rsidR="00B90CC6">
          <w:rPr>
            <w:webHidden/>
          </w:rPr>
          <w:fldChar w:fldCharType="separate"/>
        </w:r>
        <w:r w:rsidR="00B90CC6">
          <w:rPr>
            <w:webHidden/>
          </w:rPr>
          <w:t>15</w:t>
        </w:r>
        <w:r w:rsidR="00B90CC6">
          <w:rPr>
            <w:webHidden/>
          </w:rPr>
          <w:fldChar w:fldCharType="end"/>
        </w:r>
      </w:hyperlink>
    </w:p>
    <w:p w14:paraId="1C21E21B" w14:textId="23977AAC" w:rsidR="00B90CC6" w:rsidRDefault="00E50B58">
      <w:pPr>
        <w:pStyle w:val="TOC2"/>
        <w:rPr>
          <w:rFonts w:asciiTheme="minorHAnsi" w:eastAsiaTheme="minorEastAsia" w:hAnsiTheme="minorHAnsi" w:cstheme="minorBidi"/>
          <w:spacing w:val="0"/>
          <w:sz w:val="22"/>
          <w:szCs w:val="22"/>
        </w:rPr>
      </w:pPr>
      <w:hyperlink w:anchor="_Toc35846794" w:history="1">
        <w:r w:rsidR="00B90CC6" w:rsidRPr="00AA1989">
          <w:rPr>
            <w:rStyle w:val="Hyperlink"/>
          </w:rPr>
          <w:t>Medium- to longer-term transitional challenges</w:t>
        </w:r>
        <w:r w:rsidR="00B90CC6">
          <w:rPr>
            <w:webHidden/>
          </w:rPr>
          <w:tab/>
        </w:r>
        <w:r w:rsidR="00B90CC6">
          <w:rPr>
            <w:webHidden/>
          </w:rPr>
          <w:fldChar w:fldCharType="begin"/>
        </w:r>
        <w:r w:rsidR="00B90CC6">
          <w:rPr>
            <w:webHidden/>
          </w:rPr>
          <w:instrText xml:space="preserve"> PAGEREF _Toc35846794 \h </w:instrText>
        </w:r>
        <w:r w:rsidR="00B90CC6">
          <w:rPr>
            <w:webHidden/>
          </w:rPr>
        </w:r>
        <w:r w:rsidR="00B90CC6">
          <w:rPr>
            <w:webHidden/>
          </w:rPr>
          <w:fldChar w:fldCharType="separate"/>
        </w:r>
        <w:r w:rsidR="00B90CC6">
          <w:rPr>
            <w:webHidden/>
          </w:rPr>
          <w:t>18</w:t>
        </w:r>
        <w:r w:rsidR="00B90CC6">
          <w:rPr>
            <w:webHidden/>
          </w:rPr>
          <w:fldChar w:fldCharType="end"/>
        </w:r>
      </w:hyperlink>
    </w:p>
    <w:p w14:paraId="5AEBE6B2" w14:textId="6910F88A" w:rsidR="00B90CC6" w:rsidRDefault="00E50B58">
      <w:pPr>
        <w:pStyle w:val="TOC2"/>
        <w:rPr>
          <w:rFonts w:asciiTheme="minorHAnsi" w:eastAsiaTheme="minorEastAsia" w:hAnsiTheme="minorHAnsi" w:cstheme="minorBidi"/>
          <w:spacing w:val="0"/>
          <w:sz w:val="22"/>
          <w:szCs w:val="22"/>
        </w:rPr>
      </w:pPr>
      <w:hyperlink w:anchor="_Toc35846795" w:history="1">
        <w:r w:rsidR="00B90CC6" w:rsidRPr="00AA1989">
          <w:rPr>
            <w:rStyle w:val="Hyperlink"/>
          </w:rPr>
          <w:t>FM spectrum supply</w:t>
        </w:r>
        <w:r w:rsidR="00B90CC6">
          <w:rPr>
            <w:webHidden/>
          </w:rPr>
          <w:tab/>
        </w:r>
        <w:r w:rsidR="00B90CC6">
          <w:rPr>
            <w:webHidden/>
          </w:rPr>
          <w:fldChar w:fldCharType="begin"/>
        </w:r>
        <w:r w:rsidR="00B90CC6">
          <w:rPr>
            <w:webHidden/>
          </w:rPr>
          <w:instrText xml:space="preserve"> PAGEREF _Toc35846795 \h </w:instrText>
        </w:r>
        <w:r w:rsidR="00B90CC6">
          <w:rPr>
            <w:webHidden/>
          </w:rPr>
        </w:r>
        <w:r w:rsidR="00B90CC6">
          <w:rPr>
            <w:webHidden/>
          </w:rPr>
          <w:fldChar w:fldCharType="separate"/>
        </w:r>
        <w:r w:rsidR="00B90CC6">
          <w:rPr>
            <w:webHidden/>
          </w:rPr>
          <w:t>21</w:t>
        </w:r>
        <w:r w:rsidR="00B90CC6">
          <w:rPr>
            <w:webHidden/>
          </w:rPr>
          <w:fldChar w:fldCharType="end"/>
        </w:r>
      </w:hyperlink>
    </w:p>
    <w:p w14:paraId="26FE200B" w14:textId="32DCDBAF" w:rsidR="00B90CC6" w:rsidRDefault="00E50B58">
      <w:pPr>
        <w:pStyle w:val="TOC2"/>
        <w:rPr>
          <w:rFonts w:asciiTheme="minorHAnsi" w:eastAsiaTheme="minorEastAsia" w:hAnsiTheme="minorHAnsi" w:cstheme="minorBidi"/>
          <w:spacing w:val="0"/>
          <w:sz w:val="22"/>
          <w:szCs w:val="22"/>
        </w:rPr>
      </w:pPr>
      <w:hyperlink w:anchor="_Toc35846796" w:history="1">
        <w:r w:rsidR="00B90CC6" w:rsidRPr="00AA1989">
          <w:rPr>
            <w:rStyle w:val="Hyperlink"/>
          </w:rPr>
          <w:t>Longer term solutions—emerging platforms</w:t>
        </w:r>
        <w:r w:rsidR="00B90CC6">
          <w:rPr>
            <w:webHidden/>
          </w:rPr>
          <w:tab/>
        </w:r>
        <w:r w:rsidR="00B90CC6">
          <w:rPr>
            <w:webHidden/>
          </w:rPr>
          <w:fldChar w:fldCharType="begin"/>
        </w:r>
        <w:r w:rsidR="00B90CC6">
          <w:rPr>
            <w:webHidden/>
          </w:rPr>
          <w:instrText xml:space="preserve"> PAGEREF _Toc35846796 \h </w:instrText>
        </w:r>
        <w:r w:rsidR="00B90CC6">
          <w:rPr>
            <w:webHidden/>
          </w:rPr>
        </w:r>
        <w:r w:rsidR="00B90CC6">
          <w:rPr>
            <w:webHidden/>
          </w:rPr>
          <w:fldChar w:fldCharType="separate"/>
        </w:r>
        <w:r w:rsidR="00B90CC6">
          <w:rPr>
            <w:webHidden/>
          </w:rPr>
          <w:t>25</w:t>
        </w:r>
        <w:r w:rsidR="00B90CC6">
          <w:rPr>
            <w:webHidden/>
          </w:rPr>
          <w:fldChar w:fldCharType="end"/>
        </w:r>
      </w:hyperlink>
    </w:p>
    <w:p w14:paraId="7E20169E" w14:textId="5638F2D7" w:rsidR="00B90CC6" w:rsidRDefault="00E50B58">
      <w:pPr>
        <w:pStyle w:val="TOC1"/>
        <w:rPr>
          <w:rFonts w:asciiTheme="minorHAnsi" w:eastAsiaTheme="minorEastAsia" w:hAnsiTheme="minorHAnsi" w:cstheme="minorBidi"/>
          <w:b w:val="0"/>
          <w:spacing w:val="0"/>
          <w:sz w:val="22"/>
          <w:szCs w:val="22"/>
        </w:rPr>
      </w:pPr>
      <w:hyperlink w:anchor="_Toc35846797" w:history="1">
        <w:r w:rsidR="00B90CC6" w:rsidRPr="00AA1989">
          <w:rPr>
            <w:rStyle w:val="Hyperlink"/>
          </w:rPr>
          <w:t>A way forward</w:t>
        </w:r>
        <w:r w:rsidR="00B90CC6">
          <w:rPr>
            <w:webHidden/>
          </w:rPr>
          <w:tab/>
        </w:r>
        <w:r w:rsidR="00B90CC6">
          <w:rPr>
            <w:webHidden/>
          </w:rPr>
          <w:fldChar w:fldCharType="begin"/>
        </w:r>
        <w:r w:rsidR="00B90CC6">
          <w:rPr>
            <w:webHidden/>
          </w:rPr>
          <w:instrText xml:space="preserve"> PAGEREF _Toc35846797 \h </w:instrText>
        </w:r>
        <w:r w:rsidR="00B90CC6">
          <w:rPr>
            <w:webHidden/>
          </w:rPr>
        </w:r>
        <w:r w:rsidR="00B90CC6">
          <w:rPr>
            <w:webHidden/>
          </w:rPr>
          <w:fldChar w:fldCharType="separate"/>
        </w:r>
        <w:r w:rsidR="00B90CC6">
          <w:rPr>
            <w:webHidden/>
          </w:rPr>
          <w:t>29</w:t>
        </w:r>
        <w:r w:rsidR="00B90CC6">
          <w:rPr>
            <w:webHidden/>
          </w:rPr>
          <w:fldChar w:fldCharType="end"/>
        </w:r>
      </w:hyperlink>
    </w:p>
    <w:p w14:paraId="30109653" w14:textId="78D9F014" w:rsidR="00B90CC6" w:rsidRDefault="00E50B58">
      <w:pPr>
        <w:pStyle w:val="TOC2"/>
        <w:rPr>
          <w:rFonts w:asciiTheme="minorHAnsi" w:eastAsiaTheme="minorEastAsia" w:hAnsiTheme="minorHAnsi" w:cstheme="minorBidi"/>
          <w:spacing w:val="0"/>
          <w:sz w:val="22"/>
          <w:szCs w:val="22"/>
        </w:rPr>
      </w:pPr>
      <w:hyperlink w:anchor="_Toc35846798" w:history="1">
        <w:r w:rsidR="00B90CC6" w:rsidRPr="00AA1989">
          <w:rPr>
            <w:rStyle w:val="Hyperlink"/>
          </w:rPr>
          <w:t>ACMA actions</w:t>
        </w:r>
        <w:r w:rsidR="00B90CC6">
          <w:rPr>
            <w:webHidden/>
          </w:rPr>
          <w:tab/>
        </w:r>
        <w:r w:rsidR="00B90CC6">
          <w:rPr>
            <w:webHidden/>
          </w:rPr>
          <w:fldChar w:fldCharType="begin"/>
        </w:r>
        <w:r w:rsidR="00B90CC6">
          <w:rPr>
            <w:webHidden/>
          </w:rPr>
          <w:instrText xml:space="preserve"> PAGEREF _Toc35846798 \h </w:instrText>
        </w:r>
        <w:r w:rsidR="00B90CC6">
          <w:rPr>
            <w:webHidden/>
          </w:rPr>
        </w:r>
        <w:r w:rsidR="00B90CC6">
          <w:rPr>
            <w:webHidden/>
          </w:rPr>
          <w:fldChar w:fldCharType="separate"/>
        </w:r>
        <w:r w:rsidR="00B90CC6">
          <w:rPr>
            <w:webHidden/>
          </w:rPr>
          <w:t>29</w:t>
        </w:r>
        <w:r w:rsidR="00B90CC6">
          <w:rPr>
            <w:webHidden/>
          </w:rPr>
          <w:fldChar w:fldCharType="end"/>
        </w:r>
      </w:hyperlink>
    </w:p>
    <w:p w14:paraId="0763A96D" w14:textId="55DC6D73" w:rsidR="00B90CC6" w:rsidRDefault="00E50B58">
      <w:pPr>
        <w:pStyle w:val="TOC2"/>
        <w:rPr>
          <w:rFonts w:asciiTheme="minorHAnsi" w:eastAsiaTheme="minorEastAsia" w:hAnsiTheme="minorHAnsi" w:cstheme="minorBidi"/>
          <w:spacing w:val="0"/>
          <w:sz w:val="22"/>
          <w:szCs w:val="22"/>
        </w:rPr>
      </w:pPr>
      <w:hyperlink w:anchor="_Toc35846799" w:history="1">
        <w:r w:rsidR="00B90CC6" w:rsidRPr="00AA1989">
          <w:rPr>
            <w:rStyle w:val="Hyperlink"/>
          </w:rPr>
          <w:t>Industry actions</w:t>
        </w:r>
        <w:r w:rsidR="00B90CC6">
          <w:rPr>
            <w:webHidden/>
          </w:rPr>
          <w:tab/>
        </w:r>
        <w:r w:rsidR="00B90CC6">
          <w:rPr>
            <w:webHidden/>
          </w:rPr>
          <w:fldChar w:fldCharType="begin"/>
        </w:r>
        <w:r w:rsidR="00B90CC6">
          <w:rPr>
            <w:webHidden/>
          </w:rPr>
          <w:instrText xml:space="preserve"> PAGEREF _Toc35846799 \h </w:instrText>
        </w:r>
        <w:r w:rsidR="00B90CC6">
          <w:rPr>
            <w:webHidden/>
          </w:rPr>
        </w:r>
        <w:r w:rsidR="00B90CC6">
          <w:rPr>
            <w:webHidden/>
          </w:rPr>
          <w:fldChar w:fldCharType="separate"/>
        </w:r>
        <w:r w:rsidR="00B90CC6">
          <w:rPr>
            <w:webHidden/>
          </w:rPr>
          <w:t>29</w:t>
        </w:r>
        <w:r w:rsidR="00B90CC6">
          <w:rPr>
            <w:webHidden/>
          </w:rPr>
          <w:fldChar w:fldCharType="end"/>
        </w:r>
      </w:hyperlink>
    </w:p>
    <w:p w14:paraId="156761B7" w14:textId="1FE29C50" w:rsidR="00B90CC6" w:rsidRDefault="00E50B58">
      <w:pPr>
        <w:pStyle w:val="TOC1"/>
        <w:rPr>
          <w:rFonts w:asciiTheme="minorHAnsi" w:eastAsiaTheme="minorEastAsia" w:hAnsiTheme="minorHAnsi" w:cstheme="minorBidi"/>
          <w:b w:val="0"/>
          <w:spacing w:val="0"/>
          <w:sz w:val="22"/>
          <w:szCs w:val="22"/>
        </w:rPr>
      </w:pPr>
      <w:hyperlink w:anchor="_Toc35846800" w:history="1">
        <w:r w:rsidR="00B90CC6" w:rsidRPr="00AA1989">
          <w:rPr>
            <w:rStyle w:val="Hyperlink"/>
          </w:rPr>
          <w:t>Appendix A—Framework for strategic priority-setting and decision-making</w:t>
        </w:r>
        <w:r w:rsidR="00B90CC6">
          <w:rPr>
            <w:webHidden/>
          </w:rPr>
          <w:tab/>
        </w:r>
        <w:r w:rsidR="00B90CC6">
          <w:rPr>
            <w:webHidden/>
          </w:rPr>
          <w:fldChar w:fldCharType="begin"/>
        </w:r>
        <w:r w:rsidR="00B90CC6">
          <w:rPr>
            <w:webHidden/>
          </w:rPr>
          <w:instrText xml:space="preserve"> PAGEREF _Toc35846800 \h </w:instrText>
        </w:r>
        <w:r w:rsidR="00B90CC6">
          <w:rPr>
            <w:webHidden/>
          </w:rPr>
        </w:r>
        <w:r w:rsidR="00B90CC6">
          <w:rPr>
            <w:webHidden/>
          </w:rPr>
          <w:fldChar w:fldCharType="separate"/>
        </w:r>
        <w:r w:rsidR="00B90CC6">
          <w:rPr>
            <w:webHidden/>
          </w:rPr>
          <w:t>30</w:t>
        </w:r>
        <w:r w:rsidR="00B90CC6">
          <w:rPr>
            <w:webHidden/>
          </w:rPr>
          <w:fldChar w:fldCharType="end"/>
        </w:r>
      </w:hyperlink>
    </w:p>
    <w:p w14:paraId="3A1C55EA" w14:textId="78A26E63" w:rsidR="00B90CC6" w:rsidRDefault="00E50B58">
      <w:pPr>
        <w:pStyle w:val="TOC2"/>
        <w:rPr>
          <w:rFonts w:asciiTheme="minorHAnsi" w:eastAsiaTheme="minorEastAsia" w:hAnsiTheme="minorHAnsi" w:cstheme="minorBidi"/>
          <w:spacing w:val="0"/>
          <w:sz w:val="22"/>
          <w:szCs w:val="22"/>
        </w:rPr>
      </w:pPr>
      <w:hyperlink w:anchor="_Toc35846801" w:history="1">
        <w:r w:rsidR="00B90CC6" w:rsidRPr="00AA1989">
          <w:rPr>
            <w:rStyle w:val="Hyperlink"/>
          </w:rPr>
          <w:t>Introduction</w:t>
        </w:r>
        <w:r w:rsidR="00B90CC6">
          <w:rPr>
            <w:webHidden/>
          </w:rPr>
          <w:tab/>
        </w:r>
        <w:r w:rsidR="00B90CC6">
          <w:rPr>
            <w:webHidden/>
          </w:rPr>
          <w:fldChar w:fldCharType="begin"/>
        </w:r>
        <w:r w:rsidR="00B90CC6">
          <w:rPr>
            <w:webHidden/>
          </w:rPr>
          <w:instrText xml:space="preserve"> PAGEREF _Toc35846801 \h </w:instrText>
        </w:r>
        <w:r w:rsidR="00B90CC6">
          <w:rPr>
            <w:webHidden/>
          </w:rPr>
        </w:r>
        <w:r w:rsidR="00B90CC6">
          <w:rPr>
            <w:webHidden/>
          </w:rPr>
          <w:fldChar w:fldCharType="separate"/>
        </w:r>
        <w:r w:rsidR="00B90CC6">
          <w:rPr>
            <w:webHidden/>
          </w:rPr>
          <w:t>30</w:t>
        </w:r>
        <w:r w:rsidR="00B90CC6">
          <w:rPr>
            <w:webHidden/>
          </w:rPr>
          <w:fldChar w:fldCharType="end"/>
        </w:r>
      </w:hyperlink>
    </w:p>
    <w:p w14:paraId="6C18C0D4" w14:textId="36DE1814" w:rsidR="00B90CC6" w:rsidRDefault="00E50B58">
      <w:pPr>
        <w:pStyle w:val="TOC2"/>
        <w:rPr>
          <w:rFonts w:asciiTheme="minorHAnsi" w:eastAsiaTheme="minorEastAsia" w:hAnsiTheme="minorHAnsi" w:cstheme="minorBidi"/>
          <w:spacing w:val="0"/>
          <w:sz w:val="22"/>
          <w:szCs w:val="22"/>
        </w:rPr>
      </w:pPr>
      <w:hyperlink w:anchor="_Toc35846802" w:history="1">
        <w:r w:rsidR="00B90CC6" w:rsidRPr="00AA1989">
          <w:rPr>
            <w:rStyle w:val="Hyperlink"/>
          </w:rPr>
          <w:t>Strategic priority setting</w:t>
        </w:r>
        <w:r w:rsidR="00B90CC6">
          <w:rPr>
            <w:webHidden/>
          </w:rPr>
          <w:tab/>
        </w:r>
        <w:r w:rsidR="00B90CC6">
          <w:rPr>
            <w:webHidden/>
          </w:rPr>
          <w:fldChar w:fldCharType="begin"/>
        </w:r>
        <w:r w:rsidR="00B90CC6">
          <w:rPr>
            <w:webHidden/>
          </w:rPr>
          <w:instrText xml:space="preserve"> PAGEREF _Toc35846802 \h </w:instrText>
        </w:r>
        <w:r w:rsidR="00B90CC6">
          <w:rPr>
            <w:webHidden/>
          </w:rPr>
        </w:r>
        <w:r w:rsidR="00B90CC6">
          <w:rPr>
            <w:webHidden/>
          </w:rPr>
          <w:fldChar w:fldCharType="separate"/>
        </w:r>
        <w:r w:rsidR="00B90CC6">
          <w:rPr>
            <w:webHidden/>
          </w:rPr>
          <w:t>31</w:t>
        </w:r>
        <w:r w:rsidR="00B90CC6">
          <w:rPr>
            <w:webHidden/>
          </w:rPr>
          <w:fldChar w:fldCharType="end"/>
        </w:r>
      </w:hyperlink>
    </w:p>
    <w:p w14:paraId="0CAA8885" w14:textId="0A5E7DED" w:rsidR="00B90CC6" w:rsidRDefault="00E50B58">
      <w:pPr>
        <w:pStyle w:val="TOC2"/>
        <w:rPr>
          <w:rFonts w:asciiTheme="minorHAnsi" w:eastAsiaTheme="minorEastAsia" w:hAnsiTheme="minorHAnsi" w:cstheme="minorBidi"/>
          <w:spacing w:val="0"/>
          <w:sz w:val="22"/>
          <w:szCs w:val="22"/>
        </w:rPr>
      </w:pPr>
      <w:hyperlink w:anchor="_Toc35846803" w:history="1">
        <w:r w:rsidR="00B90CC6" w:rsidRPr="00AA1989">
          <w:rPr>
            <w:rStyle w:val="Hyperlink"/>
          </w:rPr>
          <w:t>Radio broadcasting priority setting</w:t>
        </w:r>
        <w:r w:rsidR="00B90CC6">
          <w:rPr>
            <w:webHidden/>
          </w:rPr>
          <w:tab/>
        </w:r>
        <w:r w:rsidR="00B90CC6">
          <w:rPr>
            <w:webHidden/>
          </w:rPr>
          <w:fldChar w:fldCharType="begin"/>
        </w:r>
        <w:r w:rsidR="00B90CC6">
          <w:rPr>
            <w:webHidden/>
          </w:rPr>
          <w:instrText xml:space="preserve"> PAGEREF _Toc35846803 \h </w:instrText>
        </w:r>
        <w:r w:rsidR="00B90CC6">
          <w:rPr>
            <w:webHidden/>
          </w:rPr>
        </w:r>
        <w:r w:rsidR="00B90CC6">
          <w:rPr>
            <w:webHidden/>
          </w:rPr>
          <w:fldChar w:fldCharType="separate"/>
        </w:r>
        <w:r w:rsidR="00B90CC6">
          <w:rPr>
            <w:webHidden/>
          </w:rPr>
          <w:t>31</w:t>
        </w:r>
        <w:r w:rsidR="00B90CC6">
          <w:rPr>
            <w:webHidden/>
          </w:rPr>
          <w:fldChar w:fldCharType="end"/>
        </w:r>
      </w:hyperlink>
    </w:p>
    <w:p w14:paraId="05440167" w14:textId="28D5128F" w:rsidR="00B90CC6" w:rsidRDefault="00E50B58">
      <w:pPr>
        <w:pStyle w:val="TOC2"/>
        <w:rPr>
          <w:rFonts w:asciiTheme="minorHAnsi" w:eastAsiaTheme="minorEastAsia" w:hAnsiTheme="minorHAnsi" w:cstheme="minorBidi"/>
          <w:spacing w:val="0"/>
          <w:sz w:val="22"/>
          <w:szCs w:val="22"/>
        </w:rPr>
      </w:pPr>
      <w:hyperlink w:anchor="_Toc35846804" w:history="1">
        <w:r w:rsidR="00B90CC6" w:rsidRPr="00AA1989">
          <w:rPr>
            <w:rStyle w:val="Hyperlink"/>
          </w:rPr>
          <w:t>Broadcast spectrum planning activities</w:t>
        </w:r>
        <w:r w:rsidR="00B90CC6">
          <w:rPr>
            <w:webHidden/>
          </w:rPr>
          <w:tab/>
        </w:r>
        <w:r w:rsidR="00B90CC6">
          <w:rPr>
            <w:webHidden/>
          </w:rPr>
          <w:fldChar w:fldCharType="begin"/>
        </w:r>
        <w:r w:rsidR="00B90CC6">
          <w:rPr>
            <w:webHidden/>
          </w:rPr>
          <w:instrText xml:space="preserve"> PAGEREF _Toc35846804 \h </w:instrText>
        </w:r>
        <w:r w:rsidR="00B90CC6">
          <w:rPr>
            <w:webHidden/>
          </w:rPr>
        </w:r>
        <w:r w:rsidR="00B90CC6">
          <w:rPr>
            <w:webHidden/>
          </w:rPr>
          <w:fldChar w:fldCharType="separate"/>
        </w:r>
        <w:r w:rsidR="00B90CC6">
          <w:rPr>
            <w:webHidden/>
          </w:rPr>
          <w:t>32</w:t>
        </w:r>
        <w:r w:rsidR="00B90CC6">
          <w:rPr>
            <w:webHidden/>
          </w:rPr>
          <w:fldChar w:fldCharType="end"/>
        </w:r>
      </w:hyperlink>
    </w:p>
    <w:p w14:paraId="1CF690E8" w14:textId="707B5FBB" w:rsidR="00B90CC6" w:rsidRDefault="00E50B58">
      <w:pPr>
        <w:pStyle w:val="TOC2"/>
        <w:rPr>
          <w:rFonts w:asciiTheme="minorHAnsi" w:eastAsiaTheme="minorEastAsia" w:hAnsiTheme="minorHAnsi" w:cstheme="minorBidi"/>
          <w:spacing w:val="0"/>
          <w:sz w:val="22"/>
          <w:szCs w:val="22"/>
        </w:rPr>
      </w:pPr>
      <w:hyperlink w:anchor="_Toc35846805" w:history="1">
        <w:r w:rsidR="00B90CC6" w:rsidRPr="00AA1989">
          <w:rPr>
            <w:rStyle w:val="Hyperlink"/>
          </w:rPr>
          <w:t>How we consider planning requests</w:t>
        </w:r>
        <w:r w:rsidR="00B90CC6">
          <w:rPr>
            <w:webHidden/>
          </w:rPr>
          <w:tab/>
        </w:r>
        <w:r w:rsidR="00B90CC6">
          <w:rPr>
            <w:webHidden/>
          </w:rPr>
          <w:fldChar w:fldCharType="begin"/>
        </w:r>
        <w:r w:rsidR="00B90CC6">
          <w:rPr>
            <w:webHidden/>
          </w:rPr>
          <w:instrText xml:space="preserve"> PAGEREF _Toc35846805 \h </w:instrText>
        </w:r>
        <w:r w:rsidR="00B90CC6">
          <w:rPr>
            <w:webHidden/>
          </w:rPr>
        </w:r>
        <w:r w:rsidR="00B90CC6">
          <w:rPr>
            <w:webHidden/>
          </w:rPr>
          <w:fldChar w:fldCharType="separate"/>
        </w:r>
        <w:r w:rsidR="00B90CC6">
          <w:rPr>
            <w:webHidden/>
          </w:rPr>
          <w:t>37</w:t>
        </w:r>
        <w:r w:rsidR="00B90CC6">
          <w:rPr>
            <w:webHidden/>
          </w:rPr>
          <w:fldChar w:fldCharType="end"/>
        </w:r>
      </w:hyperlink>
    </w:p>
    <w:p w14:paraId="3A21C882" w14:textId="01A62223" w:rsidR="00B90CC6" w:rsidRDefault="00E50B58">
      <w:pPr>
        <w:pStyle w:val="TOC2"/>
        <w:rPr>
          <w:rFonts w:asciiTheme="minorHAnsi" w:eastAsiaTheme="minorEastAsia" w:hAnsiTheme="minorHAnsi" w:cstheme="minorBidi"/>
          <w:spacing w:val="0"/>
          <w:sz w:val="22"/>
          <w:szCs w:val="22"/>
        </w:rPr>
      </w:pPr>
      <w:hyperlink w:anchor="_Toc35846806" w:history="1">
        <w:r w:rsidR="00B90CC6" w:rsidRPr="00AA1989">
          <w:rPr>
            <w:rStyle w:val="Hyperlink"/>
          </w:rPr>
          <w:t>Background</w:t>
        </w:r>
        <w:r w:rsidR="00B90CC6">
          <w:rPr>
            <w:webHidden/>
          </w:rPr>
          <w:tab/>
        </w:r>
        <w:r w:rsidR="00B90CC6">
          <w:rPr>
            <w:webHidden/>
          </w:rPr>
          <w:fldChar w:fldCharType="begin"/>
        </w:r>
        <w:r w:rsidR="00B90CC6">
          <w:rPr>
            <w:webHidden/>
          </w:rPr>
          <w:instrText xml:space="preserve"> PAGEREF _Toc35846806 \h </w:instrText>
        </w:r>
        <w:r w:rsidR="00B90CC6">
          <w:rPr>
            <w:webHidden/>
          </w:rPr>
        </w:r>
        <w:r w:rsidR="00B90CC6">
          <w:rPr>
            <w:webHidden/>
          </w:rPr>
          <w:fldChar w:fldCharType="separate"/>
        </w:r>
        <w:r w:rsidR="00B90CC6">
          <w:rPr>
            <w:webHidden/>
          </w:rPr>
          <w:t>40</w:t>
        </w:r>
        <w:r w:rsidR="00B90CC6">
          <w:rPr>
            <w:webHidden/>
          </w:rPr>
          <w:fldChar w:fldCharType="end"/>
        </w:r>
      </w:hyperlink>
    </w:p>
    <w:p w14:paraId="3D15EDDB" w14:textId="10BD42A8" w:rsidR="00B90CC6" w:rsidRDefault="00E50B58">
      <w:pPr>
        <w:pStyle w:val="TOC1"/>
        <w:rPr>
          <w:rFonts w:asciiTheme="minorHAnsi" w:eastAsiaTheme="minorEastAsia" w:hAnsiTheme="minorHAnsi" w:cstheme="minorBidi"/>
          <w:b w:val="0"/>
          <w:spacing w:val="0"/>
          <w:sz w:val="22"/>
          <w:szCs w:val="22"/>
        </w:rPr>
      </w:pPr>
      <w:hyperlink w:anchor="_Toc35846807" w:history="1">
        <w:r w:rsidR="00B90CC6" w:rsidRPr="00AA1989">
          <w:rPr>
            <w:rStyle w:val="Hyperlink"/>
          </w:rPr>
          <w:t>Appendix B—List of submitters</w:t>
        </w:r>
        <w:r w:rsidR="00B90CC6">
          <w:rPr>
            <w:webHidden/>
          </w:rPr>
          <w:tab/>
        </w:r>
        <w:r w:rsidR="00B90CC6">
          <w:rPr>
            <w:webHidden/>
          </w:rPr>
          <w:fldChar w:fldCharType="begin"/>
        </w:r>
        <w:r w:rsidR="00B90CC6">
          <w:rPr>
            <w:webHidden/>
          </w:rPr>
          <w:instrText xml:space="preserve"> PAGEREF _Toc35846807 \h </w:instrText>
        </w:r>
        <w:r w:rsidR="00B90CC6">
          <w:rPr>
            <w:webHidden/>
          </w:rPr>
        </w:r>
        <w:r w:rsidR="00B90CC6">
          <w:rPr>
            <w:webHidden/>
          </w:rPr>
          <w:fldChar w:fldCharType="separate"/>
        </w:r>
        <w:r w:rsidR="00B90CC6">
          <w:rPr>
            <w:webHidden/>
          </w:rPr>
          <w:t>47</w:t>
        </w:r>
        <w:r w:rsidR="00B90CC6">
          <w:rPr>
            <w:webHidden/>
          </w:rPr>
          <w:fldChar w:fldCharType="end"/>
        </w:r>
      </w:hyperlink>
    </w:p>
    <w:p w14:paraId="0D52C11B" w14:textId="5E262675" w:rsidR="00B90CC6" w:rsidRDefault="00E50B58">
      <w:pPr>
        <w:pStyle w:val="TOC1"/>
        <w:rPr>
          <w:rFonts w:asciiTheme="minorHAnsi" w:eastAsiaTheme="minorEastAsia" w:hAnsiTheme="minorHAnsi" w:cstheme="minorBidi"/>
          <w:b w:val="0"/>
          <w:spacing w:val="0"/>
          <w:sz w:val="22"/>
          <w:szCs w:val="22"/>
        </w:rPr>
      </w:pPr>
      <w:hyperlink w:anchor="_Toc35846808" w:history="1">
        <w:r w:rsidR="00B90CC6" w:rsidRPr="00AA1989">
          <w:rPr>
            <w:rStyle w:val="Hyperlink"/>
          </w:rPr>
          <w:t>Glossary</w:t>
        </w:r>
        <w:r w:rsidR="00B90CC6">
          <w:rPr>
            <w:webHidden/>
          </w:rPr>
          <w:tab/>
        </w:r>
        <w:r w:rsidR="00B90CC6">
          <w:rPr>
            <w:webHidden/>
          </w:rPr>
          <w:fldChar w:fldCharType="begin"/>
        </w:r>
        <w:r w:rsidR="00B90CC6">
          <w:rPr>
            <w:webHidden/>
          </w:rPr>
          <w:instrText xml:space="preserve"> PAGEREF _Toc35846808 \h </w:instrText>
        </w:r>
        <w:r w:rsidR="00B90CC6">
          <w:rPr>
            <w:webHidden/>
          </w:rPr>
        </w:r>
        <w:r w:rsidR="00B90CC6">
          <w:rPr>
            <w:webHidden/>
          </w:rPr>
          <w:fldChar w:fldCharType="separate"/>
        </w:r>
        <w:r w:rsidR="00B90CC6">
          <w:rPr>
            <w:webHidden/>
          </w:rPr>
          <w:t>48</w:t>
        </w:r>
        <w:r w:rsidR="00B90CC6">
          <w:rPr>
            <w:webHidden/>
          </w:rPr>
          <w:fldChar w:fldCharType="end"/>
        </w:r>
      </w:hyperlink>
    </w:p>
    <w:p w14:paraId="20EA3333" w14:textId="3AC6D46B" w:rsidR="004D56FF" w:rsidRPr="000D76E0" w:rsidRDefault="00100C9D">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53BAEBBD" w14:textId="77777777" w:rsidR="009D6C71" w:rsidRPr="009174F3" w:rsidRDefault="009D6C71" w:rsidP="009174F3">
      <w:pPr>
        <w:pStyle w:val="Execsummaryheading"/>
      </w:pPr>
      <w:bookmarkStart w:id="0" w:name="_Toc35846778"/>
      <w:r w:rsidRPr="009174F3">
        <w:lastRenderedPageBreak/>
        <w:t>Executive summary</w:t>
      </w:r>
      <w:bookmarkEnd w:id="0"/>
    </w:p>
    <w:p w14:paraId="44F2A50D" w14:textId="77777777" w:rsidR="00B93083" w:rsidRDefault="00B93083" w:rsidP="00B93083">
      <w:pPr>
        <w:pStyle w:val="Paragraph"/>
      </w:pPr>
      <w:r>
        <w:t>As Australia’s manager of the radiofrequency spectrum, the Australian Communications and Media Authority (ACMA) has a key role in enabling broadcasting services to be delivered to audiences. For radio, the AM and FM frequencies are the main delivery mechanisms. Other parts of the spectrum, used for digital audio broadcasting (DAB), mobile broadband and satellite, also play a role in the delivery of radio.</w:t>
      </w:r>
    </w:p>
    <w:p w14:paraId="2BB2B313" w14:textId="77777777" w:rsidR="00B93083" w:rsidRDefault="00B93083" w:rsidP="00B93083">
      <w:pPr>
        <w:pStyle w:val="Paragraph"/>
      </w:pPr>
      <w:r>
        <w:t>In recent years, we have seen a shift in the expectations of the sector. We are undertaking a significant program of work to facilitate the conversion of many regional commercial transmissions from AM to FM. We have also developed an indicative plan for the rollout of digital radio in regional Australia and are facilitating that rollout where the sector tells us that it is economically feasible to do so.</w:t>
      </w:r>
    </w:p>
    <w:p w14:paraId="018CA118" w14:textId="77777777" w:rsidR="00B93083" w:rsidRDefault="00B93083" w:rsidP="00B93083">
      <w:pPr>
        <w:pStyle w:val="Paragraph"/>
      </w:pPr>
      <w:r>
        <w:t>New sources of demand on our planning functions reflect the wider transition the radio sector is facing in response to technology evolution and changing audience preferences.</w:t>
      </w:r>
    </w:p>
    <w:p w14:paraId="0B0CCA3F" w14:textId="77777777" w:rsidR="00B93083" w:rsidRDefault="00B93083" w:rsidP="00B93083">
      <w:pPr>
        <w:pStyle w:val="Paragraph"/>
      </w:pPr>
      <w:r>
        <w:t xml:space="preserve">This prompted the ACMA to consider whether we, and the </w:t>
      </w:r>
      <w:proofErr w:type="gramStart"/>
      <w:r>
        <w:t>sector as a whole, have</w:t>
      </w:r>
      <w:proofErr w:type="gramEnd"/>
      <w:r>
        <w:t xml:space="preserve"> a clear view on how the evolution of radio’s delivery can best be facilitated.</w:t>
      </w:r>
    </w:p>
    <w:p w14:paraId="04B79308" w14:textId="77777777" w:rsidR="00B93083" w:rsidRDefault="00B93083" w:rsidP="00B93083">
      <w:pPr>
        <w:pStyle w:val="Paragraphbeforelist"/>
      </w:pPr>
      <w:r>
        <w:t xml:space="preserve">In May 2019, the ACMA released an issues paper on the future delivery of radio services in Australia. That paper made </w:t>
      </w:r>
      <w:proofErr w:type="gramStart"/>
      <w:r>
        <w:t>a number of</w:t>
      </w:r>
      <w:proofErr w:type="gramEnd"/>
      <w:r>
        <w:t xml:space="preserve"> observations:</w:t>
      </w:r>
    </w:p>
    <w:p w14:paraId="1190451B" w14:textId="77777777" w:rsidR="00B93083" w:rsidRDefault="00B93083" w:rsidP="00B93083">
      <w:pPr>
        <w:pStyle w:val="Bulletlevel1"/>
      </w:pPr>
      <w:r>
        <w:t>Radio listening remains strong, but audience preferences are changing as technology evolves.</w:t>
      </w:r>
    </w:p>
    <w:p w14:paraId="66B7D890" w14:textId="77777777" w:rsidR="00B93083" w:rsidRDefault="00B93083" w:rsidP="00B93083">
      <w:pPr>
        <w:pStyle w:val="Bulletlevel1"/>
      </w:pPr>
      <w:r>
        <w:t>The ecosystem of free-to-air terrestrial radio networks is diverse (with commercial, national, community and narrowcasting services) and the interests of the entire sector need to be considered.</w:t>
      </w:r>
    </w:p>
    <w:p w14:paraId="35FBF3E7" w14:textId="77777777" w:rsidR="00B93083" w:rsidRDefault="00B93083" w:rsidP="00B93083">
      <w:pPr>
        <w:pStyle w:val="Bulletlevel1"/>
      </w:pPr>
      <w:r>
        <w:t>Alternative platforms for audio content are proliferating and it is not clear what might be a ‘steady state’ environment in the future.</w:t>
      </w:r>
    </w:p>
    <w:p w14:paraId="1DC8B026" w14:textId="77777777" w:rsidR="00B93083" w:rsidRDefault="00B93083" w:rsidP="00B93083">
      <w:pPr>
        <w:pStyle w:val="Bulletlevel1"/>
      </w:pPr>
      <w:r>
        <w:t>AM radio remains vital—particularly in regional and remote Australia—but is under pressure.</w:t>
      </w:r>
    </w:p>
    <w:p w14:paraId="371A635E" w14:textId="77777777" w:rsidR="00B93083" w:rsidRDefault="00B93083" w:rsidP="00B93083">
      <w:pPr>
        <w:pStyle w:val="Bulletlevel1"/>
      </w:pPr>
      <w:r>
        <w:t>No single replacement technology for AM or FM radio has emerged.</w:t>
      </w:r>
    </w:p>
    <w:p w14:paraId="0A62E485" w14:textId="77777777" w:rsidR="00B93083" w:rsidRDefault="00B93083" w:rsidP="00B93083">
      <w:pPr>
        <w:pStyle w:val="Bulletlevel1"/>
      </w:pPr>
      <w:r>
        <w:t>Demand for spectrum generally is increasing, but radio spectrum is mainly valued for its current use for radio delivery.</w:t>
      </w:r>
    </w:p>
    <w:p w14:paraId="0EE56DDA" w14:textId="77777777" w:rsidR="00B93083" w:rsidRDefault="00B93083" w:rsidP="00B93083">
      <w:pPr>
        <w:pStyle w:val="Bulletlevel1last"/>
      </w:pPr>
      <w:r>
        <w:t>There is no single clear model emerging internationally for the evolution of radio delivery.</w:t>
      </w:r>
    </w:p>
    <w:p w14:paraId="12B40C21" w14:textId="77777777" w:rsidR="00B93083" w:rsidRDefault="00B93083" w:rsidP="00B93083">
      <w:pPr>
        <w:pStyle w:val="Paragraph"/>
      </w:pPr>
      <w:r>
        <w:t>We also held an industry forum in June 2019 to test these propositions and conducted separate meetings with a range of industry bodies. We received 22 submissions to the consultation from across the radio sector, including from industry peak bodies, broadcasters, narrowcasters, transmission infrastructure providers and the industry press. We also drew submissions from the automotive industry, content producers and members of the public.</w:t>
      </w:r>
    </w:p>
    <w:p w14:paraId="20420FDA" w14:textId="77777777" w:rsidR="00B93083" w:rsidRDefault="00B93083" w:rsidP="00B93083">
      <w:pPr>
        <w:pStyle w:val="Paragraph"/>
      </w:pPr>
      <w:r>
        <w:lastRenderedPageBreak/>
        <w:t>The engagement by the radio sector, in looking at future modes of radio delivery, has been a very productive process.</w:t>
      </w:r>
    </w:p>
    <w:p w14:paraId="2166EB13" w14:textId="77777777" w:rsidR="00B93083" w:rsidRDefault="00B93083" w:rsidP="00B93083">
      <w:pPr>
        <w:pStyle w:val="Paragraph"/>
      </w:pPr>
      <w:r>
        <w:t>Arising from this work, we identified a set of findings and proposals for further action by the ACMA as it undertakes spectrum planning and allocation activities needed to support the delivery of radio over the short, medium and longer term.</w:t>
      </w:r>
    </w:p>
    <w:p w14:paraId="0454F952" w14:textId="77777777" w:rsidR="00B93083" w:rsidRDefault="00B93083" w:rsidP="00B93083">
      <w:pPr>
        <w:pStyle w:val="Heading2"/>
      </w:pPr>
      <w:bookmarkStart w:id="1" w:name="_Toc35846779"/>
      <w:r>
        <w:t>Findings</w:t>
      </w:r>
      <w:bookmarkEnd w:id="1"/>
    </w:p>
    <w:tbl>
      <w:tblPr>
        <w:tblW w:w="7565" w:type="dxa"/>
        <w:tblInd w:w="-57" w:type="dxa"/>
        <w:tblLayout w:type="fixed"/>
        <w:tblCellMar>
          <w:top w:w="113" w:type="dxa"/>
          <w:left w:w="57" w:type="dxa"/>
          <w:bottom w:w="113" w:type="dxa"/>
          <w:right w:w="57" w:type="dxa"/>
        </w:tblCellMar>
        <w:tblLook w:val="01E0" w:firstRow="1" w:lastRow="1" w:firstColumn="1" w:lastColumn="1" w:noHBand="0" w:noVBand="0"/>
      </w:tblPr>
      <w:tblGrid>
        <w:gridCol w:w="1186"/>
        <w:gridCol w:w="6379"/>
      </w:tblGrid>
      <w:tr w:rsidR="00B93083" w14:paraId="361EE236" w14:textId="77777777" w:rsidTr="00F15015">
        <w:tc>
          <w:tcPr>
            <w:tcW w:w="1186" w:type="dxa"/>
          </w:tcPr>
          <w:p w14:paraId="4AED61DB" w14:textId="77777777" w:rsidR="00B93083" w:rsidRDefault="00B93083" w:rsidP="00B93083">
            <w:pPr>
              <w:pStyle w:val="TableParagraph"/>
              <w:spacing w:line="223" w:lineRule="exact"/>
              <w:ind w:left="0"/>
              <w:rPr>
                <w:b/>
                <w:sz w:val="20"/>
              </w:rPr>
            </w:pPr>
            <w:r>
              <w:rPr>
                <w:b/>
                <w:sz w:val="20"/>
              </w:rPr>
              <w:t>Finding 1</w:t>
            </w:r>
          </w:p>
        </w:tc>
        <w:tc>
          <w:tcPr>
            <w:tcW w:w="6379" w:type="dxa"/>
          </w:tcPr>
          <w:p w14:paraId="0FCFE8B3" w14:textId="77777777" w:rsidR="00B93083" w:rsidRDefault="00B93083" w:rsidP="00B93083">
            <w:pPr>
              <w:pStyle w:val="TableParagraph"/>
              <w:spacing w:line="249" w:lineRule="auto"/>
              <w:ind w:left="0"/>
              <w:rPr>
                <w:sz w:val="20"/>
              </w:rPr>
            </w:pPr>
            <w:r>
              <w:rPr>
                <w:sz w:val="20"/>
              </w:rPr>
              <w:t>Australia’s geographic diversity and range of listening environments will continue to require a mix of radio delivery platforms.</w:t>
            </w:r>
          </w:p>
        </w:tc>
      </w:tr>
      <w:tr w:rsidR="00B93083" w14:paraId="19D57173" w14:textId="77777777" w:rsidTr="00F15015">
        <w:tc>
          <w:tcPr>
            <w:tcW w:w="1186" w:type="dxa"/>
          </w:tcPr>
          <w:p w14:paraId="59D8FA85" w14:textId="77777777" w:rsidR="00B93083" w:rsidRDefault="00B93083" w:rsidP="00B93083">
            <w:pPr>
              <w:pStyle w:val="TableParagraph"/>
              <w:ind w:left="0"/>
              <w:rPr>
                <w:b/>
                <w:sz w:val="20"/>
              </w:rPr>
            </w:pPr>
            <w:r>
              <w:rPr>
                <w:b/>
                <w:sz w:val="20"/>
              </w:rPr>
              <w:t>Finding 2</w:t>
            </w:r>
          </w:p>
        </w:tc>
        <w:tc>
          <w:tcPr>
            <w:tcW w:w="6379" w:type="dxa"/>
          </w:tcPr>
          <w:p w14:paraId="740FB667" w14:textId="77777777" w:rsidR="00B93083" w:rsidRDefault="00B93083" w:rsidP="00B93083">
            <w:pPr>
              <w:pStyle w:val="TableParagraph"/>
              <w:spacing w:line="249" w:lineRule="auto"/>
              <w:ind w:left="0"/>
              <w:rPr>
                <w:sz w:val="20"/>
              </w:rPr>
            </w:pPr>
            <w:r>
              <w:rPr>
                <w:sz w:val="20"/>
              </w:rPr>
              <w:t>FM and DAB+ cannot economically replicate high-power, wide coverage AM transmissions.</w:t>
            </w:r>
          </w:p>
        </w:tc>
      </w:tr>
      <w:tr w:rsidR="00B93083" w14:paraId="723AD55A" w14:textId="77777777" w:rsidTr="00F15015">
        <w:tc>
          <w:tcPr>
            <w:tcW w:w="1186" w:type="dxa"/>
          </w:tcPr>
          <w:p w14:paraId="2C6E0F23" w14:textId="77777777" w:rsidR="00B93083" w:rsidRDefault="00B93083" w:rsidP="00B93083">
            <w:pPr>
              <w:pStyle w:val="TableParagraph"/>
              <w:ind w:left="0"/>
              <w:rPr>
                <w:b/>
                <w:sz w:val="20"/>
              </w:rPr>
            </w:pPr>
            <w:r>
              <w:rPr>
                <w:b/>
                <w:sz w:val="20"/>
              </w:rPr>
              <w:t>Finding 3</w:t>
            </w:r>
          </w:p>
        </w:tc>
        <w:tc>
          <w:tcPr>
            <w:tcW w:w="6379" w:type="dxa"/>
          </w:tcPr>
          <w:p w14:paraId="15477AB3" w14:textId="64B8F058" w:rsidR="00B93083" w:rsidRDefault="00B93083" w:rsidP="00B93083">
            <w:pPr>
              <w:pStyle w:val="TableParagraph"/>
              <w:spacing w:line="249" w:lineRule="auto"/>
              <w:ind w:left="0"/>
              <w:rPr>
                <w:sz w:val="20"/>
              </w:rPr>
            </w:pPr>
            <w:r>
              <w:rPr>
                <w:sz w:val="20"/>
              </w:rPr>
              <w:t xml:space="preserve">While </w:t>
            </w:r>
            <w:r w:rsidR="003913A7">
              <w:rPr>
                <w:sz w:val="20"/>
              </w:rPr>
              <w:t xml:space="preserve">listening to </w:t>
            </w:r>
            <w:r>
              <w:rPr>
                <w:sz w:val="20"/>
              </w:rPr>
              <w:t xml:space="preserve">live radio remains strong and </w:t>
            </w:r>
            <w:r w:rsidR="003913A7">
              <w:rPr>
                <w:sz w:val="20"/>
              </w:rPr>
              <w:t xml:space="preserve">listening to </w:t>
            </w:r>
            <w:r>
              <w:rPr>
                <w:sz w:val="20"/>
              </w:rPr>
              <w:t>AM rates well for older audiences, its audience base is gradually declining over time. Younger listeners are preferring music-based FM formats and online.</w:t>
            </w:r>
          </w:p>
        </w:tc>
      </w:tr>
      <w:tr w:rsidR="00B93083" w14:paraId="7E46159A" w14:textId="77777777" w:rsidTr="00F15015">
        <w:tc>
          <w:tcPr>
            <w:tcW w:w="1186" w:type="dxa"/>
          </w:tcPr>
          <w:p w14:paraId="5617E3F7" w14:textId="77777777" w:rsidR="00B93083" w:rsidRDefault="00B93083" w:rsidP="00B93083">
            <w:pPr>
              <w:pStyle w:val="TableParagraph"/>
              <w:ind w:left="0"/>
              <w:rPr>
                <w:b/>
                <w:sz w:val="20"/>
              </w:rPr>
            </w:pPr>
            <w:r>
              <w:rPr>
                <w:b/>
                <w:sz w:val="20"/>
              </w:rPr>
              <w:t>Finding 4</w:t>
            </w:r>
          </w:p>
        </w:tc>
        <w:tc>
          <w:tcPr>
            <w:tcW w:w="6379" w:type="dxa"/>
          </w:tcPr>
          <w:p w14:paraId="6D9167C0" w14:textId="77777777" w:rsidR="00B93083" w:rsidRDefault="00B93083" w:rsidP="00B93083">
            <w:pPr>
              <w:pStyle w:val="TableParagraph"/>
              <w:spacing w:line="249" w:lineRule="auto"/>
              <w:ind w:left="0"/>
              <w:rPr>
                <w:sz w:val="20"/>
              </w:rPr>
            </w:pPr>
            <w:r>
              <w:rPr>
                <w:sz w:val="20"/>
              </w:rPr>
              <w:t>Rapid innovation in the current radio technology environment makes long-term network deployment decisions challenging. The radio industry seeks flexibility for a range of future radio delivery platforms.</w:t>
            </w:r>
          </w:p>
        </w:tc>
      </w:tr>
      <w:tr w:rsidR="00B93083" w14:paraId="15A82A03" w14:textId="77777777" w:rsidTr="00F15015">
        <w:tc>
          <w:tcPr>
            <w:tcW w:w="1186" w:type="dxa"/>
          </w:tcPr>
          <w:p w14:paraId="61B7A1AA" w14:textId="77777777" w:rsidR="00B93083" w:rsidRDefault="00B93083" w:rsidP="00B93083">
            <w:pPr>
              <w:pStyle w:val="TableParagraph"/>
              <w:ind w:left="0"/>
              <w:rPr>
                <w:b/>
                <w:sz w:val="20"/>
              </w:rPr>
            </w:pPr>
            <w:r>
              <w:rPr>
                <w:b/>
                <w:sz w:val="20"/>
              </w:rPr>
              <w:t>Finding 5</w:t>
            </w:r>
          </w:p>
        </w:tc>
        <w:tc>
          <w:tcPr>
            <w:tcW w:w="6379" w:type="dxa"/>
          </w:tcPr>
          <w:p w14:paraId="5CC1E62D" w14:textId="25E943A0" w:rsidR="00B93083" w:rsidRDefault="00B93083" w:rsidP="00B93083">
            <w:pPr>
              <w:pStyle w:val="TableParagraph"/>
              <w:spacing w:line="249" w:lineRule="auto"/>
              <w:ind w:left="0"/>
              <w:rPr>
                <w:sz w:val="20"/>
              </w:rPr>
            </w:pPr>
            <w:r>
              <w:rPr>
                <w:sz w:val="20"/>
              </w:rPr>
              <w:t xml:space="preserve">AM broadcasting will continue to play an important role in the delivery of radio in regional and remote Australia for the medium to long term, in areas where other platforms cannot reach. AM radio plays a vital role in informing these communities </w:t>
            </w:r>
            <w:r w:rsidR="008F0656">
              <w:rPr>
                <w:sz w:val="20"/>
              </w:rPr>
              <w:t>during</w:t>
            </w:r>
            <w:r>
              <w:rPr>
                <w:sz w:val="20"/>
              </w:rPr>
              <w:t xml:space="preserve"> natural disasters and emergencies.</w:t>
            </w:r>
          </w:p>
        </w:tc>
      </w:tr>
      <w:tr w:rsidR="00B93083" w14:paraId="020F74E2" w14:textId="77777777" w:rsidTr="00F15015">
        <w:tc>
          <w:tcPr>
            <w:tcW w:w="1186" w:type="dxa"/>
          </w:tcPr>
          <w:p w14:paraId="6F606A83" w14:textId="77777777" w:rsidR="00B93083" w:rsidRDefault="00B93083" w:rsidP="00B93083">
            <w:pPr>
              <w:pStyle w:val="TableParagraph"/>
              <w:ind w:left="0"/>
              <w:rPr>
                <w:b/>
                <w:sz w:val="20"/>
              </w:rPr>
            </w:pPr>
            <w:r>
              <w:rPr>
                <w:b/>
                <w:sz w:val="20"/>
              </w:rPr>
              <w:t>Finding 6</w:t>
            </w:r>
          </w:p>
        </w:tc>
        <w:tc>
          <w:tcPr>
            <w:tcW w:w="6379" w:type="dxa"/>
          </w:tcPr>
          <w:p w14:paraId="60E310FC" w14:textId="77777777" w:rsidR="00B93083" w:rsidRDefault="00B93083" w:rsidP="00B93083">
            <w:pPr>
              <w:pStyle w:val="TableParagraph"/>
              <w:spacing w:line="249" w:lineRule="auto"/>
              <w:ind w:left="0"/>
              <w:rPr>
                <w:sz w:val="20"/>
              </w:rPr>
            </w:pPr>
            <w:r>
              <w:rPr>
                <w:sz w:val="20"/>
              </w:rPr>
              <w:t>FM radio will remain a strong and viable radio delivery technology for the foreseeable future. There is no imperative for digital conversion of FM radio in the short to medium term.</w:t>
            </w:r>
          </w:p>
        </w:tc>
      </w:tr>
      <w:tr w:rsidR="00B93083" w14:paraId="045821D1" w14:textId="77777777" w:rsidTr="00F15015">
        <w:tc>
          <w:tcPr>
            <w:tcW w:w="1186" w:type="dxa"/>
          </w:tcPr>
          <w:p w14:paraId="2603B3B5" w14:textId="77777777" w:rsidR="00B93083" w:rsidRDefault="00B93083" w:rsidP="00B93083">
            <w:pPr>
              <w:pStyle w:val="TableParagraph"/>
              <w:ind w:left="0"/>
              <w:rPr>
                <w:b/>
                <w:sz w:val="20"/>
              </w:rPr>
            </w:pPr>
            <w:r>
              <w:rPr>
                <w:b/>
                <w:sz w:val="20"/>
              </w:rPr>
              <w:t>Finding 7</w:t>
            </w:r>
          </w:p>
        </w:tc>
        <w:tc>
          <w:tcPr>
            <w:tcW w:w="6379" w:type="dxa"/>
          </w:tcPr>
          <w:p w14:paraId="7711E3AB" w14:textId="00D41AEF" w:rsidR="00B93083" w:rsidRDefault="00B93083" w:rsidP="00B93083">
            <w:pPr>
              <w:pStyle w:val="TableParagraph"/>
              <w:spacing w:line="249" w:lineRule="auto"/>
              <w:ind w:left="0"/>
              <w:rPr>
                <w:sz w:val="20"/>
              </w:rPr>
            </w:pPr>
            <w:r>
              <w:rPr>
                <w:sz w:val="20"/>
              </w:rPr>
              <w:t>FM is the commercial radio industry’s preferred interim stable solution for addressing the shift of audiences away from AM.</w:t>
            </w:r>
          </w:p>
        </w:tc>
      </w:tr>
      <w:tr w:rsidR="00B93083" w14:paraId="1789CE81" w14:textId="77777777" w:rsidTr="00F15015">
        <w:tc>
          <w:tcPr>
            <w:tcW w:w="1186" w:type="dxa"/>
          </w:tcPr>
          <w:p w14:paraId="44160ACB" w14:textId="77777777" w:rsidR="00B93083" w:rsidRDefault="00B93083" w:rsidP="00B93083">
            <w:pPr>
              <w:pStyle w:val="TableParagraph"/>
              <w:ind w:left="0"/>
              <w:rPr>
                <w:b/>
                <w:sz w:val="20"/>
              </w:rPr>
            </w:pPr>
            <w:r>
              <w:rPr>
                <w:b/>
                <w:sz w:val="20"/>
              </w:rPr>
              <w:t>Finding 8</w:t>
            </w:r>
          </w:p>
        </w:tc>
        <w:tc>
          <w:tcPr>
            <w:tcW w:w="6379" w:type="dxa"/>
          </w:tcPr>
          <w:p w14:paraId="1CA8EC9C" w14:textId="6419F313" w:rsidR="00B93083" w:rsidRDefault="00B93083" w:rsidP="00B93083">
            <w:pPr>
              <w:pStyle w:val="TableParagraph"/>
              <w:spacing w:line="249" w:lineRule="auto"/>
              <w:ind w:left="0"/>
              <w:rPr>
                <w:sz w:val="20"/>
              </w:rPr>
            </w:pPr>
            <w:r>
              <w:rPr>
                <w:sz w:val="20"/>
              </w:rPr>
              <w:t>DAB+ remains the industry preferred long-term digital platform, given the level of investment to date. However, there are mixed views about the cost–benefit of DAB+ outside the capital cities. In the short to medium</w:t>
            </w:r>
            <w:r w:rsidR="00AF5853">
              <w:rPr>
                <w:sz w:val="20"/>
              </w:rPr>
              <w:t xml:space="preserve"> </w:t>
            </w:r>
            <w:r>
              <w:rPr>
                <w:sz w:val="20"/>
              </w:rPr>
              <w:t>term, DAB+ is likely to rollout where a commercial licence area can be served with a cost-effective number of transmitters, and/or market pressures require it.</w:t>
            </w:r>
          </w:p>
        </w:tc>
      </w:tr>
      <w:tr w:rsidR="00B93083" w14:paraId="053F17E3" w14:textId="77777777" w:rsidTr="00F15015">
        <w:tc>
          <w:tcPr>
            <w:tcW w:w="1186" w:type="dxa"/>
          </w:tcPr>
          <w:p w14:paraId="1CC3D653" w14:textId="77777777" w:rsidR="00B93083" w:rsidRDefault="00B93083" w:rsidP="00B93083">
            <w:pPr>
              <w:pStyle w:val="TableParagraph"/>
              <w:ind w:left="0"/>
              <w:rPr>
                <w:b/>
                <w:sz w:val="20"/>
              </w:rPr>
            </w:pPr>
            <w:r>
              <w:rPr>
                <w:b/>
                <w:sz w:val="20"/>
              </w:rPr>
              <w:t>Finding 9</w:t>
            </w:r>
          </w:p>
        </w:tc>
        <w:tc>
          <w:tcPr>
            <w:tcW w:w="6379" w:type="dxa"/>
          </w:tcPr>
          <w:p w14:paraId="2001EF1E" w14:textId="77777777" w:rsidR="00B93083" w:rsidRDefault="00B93083" w:rsidP="00B93083">
            <w:pPr>
              <w:pStyle w:val="TableParagraph"/>
              <w:spacing w:line="249" w:lineRule="auto"/>
              <w:ind w:left="0"/>
              <w:rPr>
                <w:sz w:val="20"/>
              </w:rPr>
            </w:pPr>
            <w:r>
              <w:rPr>
                <w:sz w:val="20"/>
              </w:rPr>
              <w:t>Internet protocol (IP) streaming will remain complementary to AM, FM and DAB+ for the delivery of radio for in-vehicle and portable devices in the short to medium term.</w:t>
            </w:r>
          </w:p>
        </w:tc>
      </w:tr>
      <w:tr w:rsidR="00B93083" w14:paraId="495CB88F" w14:textId="77777777" w:rsidTr="00F15015">
        <w:tc>
          <w:tcPr>
            <w:tcW w:w="1186" w:type="dxa"/>
          </w:tcPr>
          <w:p w14:paraId="6084059A" w14:textId="77777777" w:rsidR="00B93083" w:rsidRDefault="00B93083" w:rsidP="00B93083">
            <w:pPr>
              <w:pStyle w:val="TableParagraph"/>
              <w:ind w:left="0"/>
              <w:rPr>
                <w:b/>
                <w:sz w:val="20"/>
              </w:rPr>
            </w:pPr>
            <w:r>
              <w:rPr>
                <w:b/>
                <w:sz w:val="20"/>
              </w:rPr>
              <w:t>Finding 10</w:t>
            </w:r>
          </w:p>
        </w:tc>
        <w:tc>
          <w:tcPr>
            <w:tcW w:w="6379" w:type="dxa"/>
          </w:tcPr>
          <w:p w14:paraId="43D7D03E" w14:textId="77777777" w:rsidR="00B93083" w:rsidRDefault="00B93083" w:rsidP="00B93083">
            <w:pPr>
              <w:pStyle w:val="TableParagraph"/>
              <w:spacing w:line="249" w:lineRule="auto"/>
              <w:ind w:left="0"/>
              <w:rPr>
                <w:sz w:val="20"/>
              </w:rPr>
            </w:pPr>
            <w:r>
              <w:rPr>
                <w:sz w:val="20"/>
              </w:rPr>
              <w:t>There are no current plans to phase out AM in non-electric vehicles in Australia. The automotive industry technology choices for in-car radio listening are likely to be influenced by both the Australian radio industry’s direction and by the desires of Australian car buyers.</w:t>
            </w:r>
          </w:p>
        </w:tc>
      </w:tr>
      <w:tr w:rsidR="00B93083" w14:paraId="6F3DF4C5" w14:textId="77777777" w:rsidTr="00F15015">
        <w:tc>
          <w:tcPr>
            <w:tcW w:w="1186" w:type="dxa"/>
          </w:tcPr>
          <w:p w14:paraId="05211E38" w14:textId="77777777" w:rsidR="00B93083" w:rsidRDefault="00B93083" w:rsidP="00B93083">
            <w:pPr>
              <w:pStyle w:val="TableParagraph"/>
              <w:ind w:left="0"/>
              <w:rPr>
                <w:b/>
                <w:sz w:val="20"/>
              </w:rPr>
            </w:pPr>
            <w:r>
              <w:rPr>
                <w:b/>
                <w:sz w:val="20"/>
              </w:rPr>
              <w:t>Finding 11</w:t>
            </w:r>
          </w:p>
        </w:tc>
        <w:tc>
          <w:tcPr>
            <w:tcW w:w="6379" w:type="dxa"/>
          </w:tcPr>
          <w:p w14:paraId="6290FCC5" w14:textId="77777777" w:rsidR="00B93083" w:rsidRDefault="00B93083" w:rsidP="00B93083">
            <w:pPr>
              <w:pStyle w:val="TableParagraph"/>
              <w:spacing w:line="249" w:lineRule="auto"/>
              <w:ind w:left="0"/>
              <w:rPr>
                <w:sz w:val="20"/>
              </w:rPr>
            </w:pPr>
            <w:r>
              <w:rPr>
                <w:sz w:val="20"/>
              </w:rPr>
              <w:t>AM to FM conversions will increase the demand for FM spectrum. There is insufficient FM spectrum to convert every AM transmission to FM.</w:t>
            </w:r>
          </w:p>
        </w:tc>
      </w:tr>
      <w:tr w:rsidR="00B93083" w14:paraId="654A1DD9" w14:textId="77777777" w:rsidTr="00F15015">
        <w:tc>
          <w:tcPr>
            <w:tcW w:w="1186" w:type="dxa"/>
          </w:tcPr>
          <w:p w14:paraId="36E4164A" w14:textId="77777777" w:rsidR="00B93083" w:rsidRDefault="006C7941" w:rsidP="00B93083">
            <w:pPr>
              <w:pStyle w:val="TableParagraph"/>
              <w:ind w:left="0"/>
              <w:rPr>
                <w:b/>
                <w:sz w:val="20"/>
              </w:rPr>
            </w:pPr>
            <w:r>
              <w:rPr>
                <w:b/>
                <w:sz w:val="20"/>
              </w:rPr>
              <w:lastRenderedPageBreak/>
              <w:t>Finding 12</w:t>
            </w:r>
          </w:p>
        </w:tc>
        <w:tc>
          <w:tcPr>
            <w:tcW w:w="6379" w:type="dxa"/>
          </w:tcPr>
          <w:p w14:paraId="6737DDF0" w14:textId="77777777" w:rsidR="00B93083" w:rsidRDefault="00B93083" w:rsidP="00B93083">
            <w:pPr>
              <w:pStyle w:val="TableParagraph"/>
              <w:spacing w:line="249" w:lineRule="auto"/>
              <w:ind w:left="0"/>
              <w:rPr>
                <w:sz w:val="20"/>
              </w:rPr>
            </w:pPr>
            <w:r>
              <w:rPr>
                <w:sz w:val="20"/>
              </w:rPr>
              <w:t>Unused spectrum planned in licence area plans is generally of limited utility for AM to FM conversions. Whether such spectrum is best repurposed can be decided on a case-by-case basis.</w:t>
            </w:r>
          </w:p>
        </w:tc>
      </w:tr>
      <w:tr w:rsidR="00B93083" w14:paraId="24EE3014" w14:textId="77777777" w:rsidTr="00F15015">
        <w:tc>
          <w:tcPr>
            <w:tcW w:w="1186" w:type="dxa"/>
          </w:tcPr>
          <w:p w14:paraId="6767E99E" w14:textId="77777777" w:rsidR="00B93083" w:rsidRDefault="006C7941" w:rsidP="00B93083">
            <w:pPr>
              <w:pStyle w:val="TableParagraph"/>
              <w:ind w:left="0"/>
              <w:rPr>
                <w:b/>
                <w:sz w:val="20"/>
              </w:rPr>
            </w:pPr>
            <w:r>
              <w:rPr>
                <w:b/>
                <w:sz w:val="20"/>
              </w:rPr>
              <w:t>Finding 13</w:t>
            </w:r>
          </w:p>
        </w:tc>
        <w:tc>
          <w:tcPr>
            <w:tcW w:w="6379" w:type="dxa"/>
          </w:tcPr>
          <w:p w14:paraId="187A3FCC" w14:textId="77777777" w:rsidR="00B93083" w:rsidRDefault="00B93083" w:rsidP="00B93083">
            <w:pPr>
              <w:pStyle w:val="TableParagraph"/>
              <w:spacing w:line="249" w:lineRule="auto"/>
              <w:ind w:left="0"/>
              <w:rPr>
                <w:sz w:val="20"/>
              </w:rPr>
            </w:pPr>
            <w:r>
              <w:rPr>
                <w:sz w:val="20"/>
              </w:rPr>
              <w:t>While relaxing planning parameters may yield some additional FM frequencies, this needs to be balanced against likely impacts on listeners and licensees.</w:t>
            </w:r>
            <w:r w:rsidR="006C7941">
              <w:rPr>
                <w:sz w:val="20"/>
              </w:rPr>
              <w:t xml:space="preserve"> </w:t>
            </w:r>
            <w:r>
              <w:rPr>
                <w:sz w:val="20"/>
              </w:rPr>
              <w:t>Extending the FM band will require listeners to buy new receivers. Licensees are likely to incur additional costs for equipment retuning, or spectrum availability is likely to be reduced for other licensees.</w:t>
            </w:r>
          </w:p>
        </w:tc>
      </w:tr>
      <w:tr w:rsidR="00B93083" w14:paraId="63FA8ACE" w14:textId="77777777" w:rsidTr="00F15015">
        <w:tc>
          <w:tcPr>
            <w:tcW w:w="1186" w:type="dxa"/>
          </w:tcPr>
          <w:p w14:paraId="60B7473B" w14:textId="77777777" w:rsidR="00B93083" w:rsidRDefault="006C7941" w:rsidP="00B93083">
            <w:pPr>
              <w:pStyle w:val="TableParagraph"/>
              <w:ind w:left="0"/>
              <w:rPr>
                <w:b/>
                <w:sz w:val="20"/>
              </w:rPr>
            </w:pPr>
            <w:r>
              <w:rPr>
                <w:b/>
                <w:sz w:val="20"/>
              </w:rPr>
              <w:t>Finding 14</w:t>
            </w:r>
          </w:p>
        </w:tc>
        <w:tc>
          <w:tcPr>
            <w:tcW w:w="6379" w:type="dxa"/>
          </w:tcPr>
          <w:p w14:paraId="723485B6" w14:textId="528F1F35" w:rsidR="00B93083" w:rsidRDefault="00B93083" w:rsidP="00B93083">
            <w:pPr>
              <w:pStyle w:val="TableParagraph"/>
              <w:spacing w:line="249" w:lineRule="auto"/>
              <w:ind w:left="0"/>
              <w:rPr>
                <w:sz w:val="20"/>
              </w:rPr>
            </w:pPr>
            <w:r>
              <w:rPr>
                <w:sz w:val="20"/>
              </w:rPr>
              <w:t>Small-scale DAB+ is not feasible as a digital delivery platform for the FM sub-metropolitan community services because there is insufficient spectrum to accommodate all such services in a metropolitan area.</w:t>
            </w:r>
          </w:p>
        </w:tc>
      </w:tr>
      <w:tr w:rsidR="00B93083" w14:paraId="7A17EE56" w14:textId="77777777" w:rsidTr="00F15015">
        <w:tc>
          <w:tcPr>
            <w:tcW w:w="1186" w:type="dxa"/>
          </w:tcPr>
          <w:p w14:paraId="1DABEC10" w14:textId="77777777" w:rsidR="00B93083" w:rsidRDefault="006C7941" w:rsidP="00B93083">
            <w:pPr>
              <w:pStyle w:val="TableParagraph"/>
              <w:ind w:left="0"/>
              <w:rPr>
                <w:b/>
                <w:sz w:val="20"/>
              </w:rPr>
            </w:pPr>
            <w:r>
              <w:rPr>
                <w:b/>
                <w:sz w:val="20"/>
              </w:rPr>
              <w:t>Finding 15</w:t>
            </w:r>
          </w:p>
        </w:tc>
        <w:tc>
          <w:tcPr>
            <w:tcW w:w="6379" w:type="dxa"/>
          </w:tcPr>
          <w:p w14:paraId="678BD284" w14:textId="57AD0A7F" w:rsidR="00B93083" w:rsidRDefault="00B93083" w:rsidP="00B93083">
            <w:pPr>
              <w:pStyle w:val="TableParagraph"/>
              <w:spacing w:line="249" w:lineRule="auto"/>
              <w:ind w:left="0"/>
              <w:rPr>
                <w:sz w:val="20"/>
              </w:rPr>
            </w:pPr>
            <w:r>
              <w:rPr>
                <w:sz w:val="20"/>
              </w:rPr>
              <w:t>Digital Radio Mondiale (DRM) for VHF-FM is suited to replicating the coverage of FM radio. It could be evaluated as a potentially more scalable and cost-effective solution for localised digital radio.</w:t>
            </w:r>
          </w:p>
        </w:tc>
      </w:tr>
      <w:tr w:rsidR="00B93083" w14:paraId="354F1576" w14:textId="77777777" w:rsidTr="00F15015">
        <w:tc>
          <w:tcPr>
            <w:tcW w:w="1186" w:type="dxa"/>
          </w:tcPr>
          <w:p w14:paraId="031F5806" w14:textId="77777777" w:rsidR="00B93083" w:rsidRDefault="006C7941" w:rsidP="00B93083">
            <w:pPr>
              <w:pStyle w:val="TableParagraph"/>
              <w:ind w:left="0"/>
              <w:rPr>
                <w:b/>
                <w:sz w:val="20"/>
              </w:rPr>
            </w:pPr>
            <w:r>
              <w:rPr>
                <w:b/>
                <w:sz w:val="20"/>
              </w:rPr>
              <w:t>Finding 16</w:t>
            </w:r>
          </w:p>
        </w:tc>
        <w:tc>
          <w:tcPr>
            <w:tcW w:w="6379" w:type="dxa"/>
          </w:tcPr>
          <w:p w14:paraId="64809E8B" w14:textId="77777777" w:rsidR="00B93083" w:rsidRDefault="00B93083" w:rsidP="00B93083">
            <w:pPr>
              <w:pStyle w:val="TableParagraph"/>
              <w:spacing w:line="249" w:lineRule="auto"/>
              <w:ind w:left="0"/>
              <w:rPr>
                <w:sz w:val="20"/>
              </w:rPr>
            </w:pPr>
            <w:r>
              <w:rPr>
                <w:sz w:val="20"/>
              </w:rPr>
              <w:t>DRM for AM (also called DRM30) can match the coverage of high-power AM services. Hybrid chipsets, which include DRM for AM chipsets, are available and are being produced and installed in cars at scale for the Indian market.</w:t>
            </w:r>
          </w:p>
        </w:tc>
      </w:tr>
    </w:tbl>
    <w:p w14:paraId="35F72DFA" w14:textId="77777777" w:rsidR="006C7941" w:rsidRDefault="006C7941" w:rsidP="006C7941">
      <w:pPr>
        <w:pStyle w:val="Heading2"/>
      </w:pPr>
      <w:bookmarkStart w:id="2" w:name="_Toc35846780"/>
      <w:r>
        <w:t xml:space="preserve">Proposed way </w:t>
      </w:r>
      <w:r w:rsidRPr="006C7941">
        <w:t>forward</w:t>
      </w:r>
      <w:bookmarkEnd w:id="2"/>
    </w:p>
    <w:p w14:paraId="66ABAF0D" w14:textId="77777777" w:rsidR="006C7941" w:rsidRDefault="006C7941" w:rsidP="006C7941">
      <w:pPr>
        <w:pStyle w:val="Paragraph"/>
      </w:pPr>
      <w:r>
        <w:t>Considering these findings, the ACMA proposes a set of actions to continue to facilitate the future delivery of radio.</w:t>
      </w:r>
    </w:p>
    <w:p w14:paraId="636780C1" w14:textId="77777777" w:rsidR="006C7941" w:rsidRDefault="006C7941" w:rsidP="006C7941">
      <w:pPr>
        <w:pStyle w:val="Paragraph"/>
      </w:pPr>
      <w:r>
        <w:t>In the absence of a single delivery platform that will be fit-for-purpose in all circumstances, the ACMA’s broadcast spectrum planning activities will need to focus on flexibly accommodating the likely technology evolution of the delivery of radio services. This will present a short- to medium-term spectrum planning and allocation challenge for the ACMA. As a result, we have sought to more clearly articulate our planning priorities to provide a greater degree of certainty to the industry and improve the transparency about how planning requests will be considered.</w:t>
      </w:r>
    </w:p>
    <w:p w14:paraId="14C34FB2" w14:textId="77777777" w:rsidR="006C7941" w:rsidRDefault="006C7941" w:rsidP="006C7941">
      <w:pPr>
        <w:pStyle w:val="Paragraph"/>
      </w:pPr>
      <w:r>
        <w:t xml:space="preserve">At a practical level, this means prioritising access to spectrum for </w:t>
      </w:r>
      <w:proofErr w:type="gramStart"/>
      <w:r>
        <w:t>particular geographic</w:t>
      </w:r>
      <w:proofErr w:type="gramEnd"/>
      <w:r>
        <w:t xml:space="preserve"> areas, such as underserved areas or for certain activities, to improve the diversity or service quality offered in certain radio markets. A prioritisation process is, we believe, better suited to the current environment than the ACMA’s previous mode of operation, as it will provide increased clarity for broadcasters as to how and when their various planning requests would be actioned.</w:t>
      </w:r>
    </w:p>
    <w:p w14:paraId="23D52281" w14:textId="77777777" w:rsidR="006C7941" w:rsidRDefault="006C7941" w:rsidP="006C7941">
      <w:pPr>
        <w:pStyle w:val="Paragraphbeforelist"/>
      </w:pPr>
      <w:r>
        <w:t xml:space="preserve">Our top broadcast spectrum planning priorities </w:t>
      </w:r>
      <w:proofErr w:type="gramStart"/>
      <w:r>
        <w:t>at this time</w:t>
      </w:r>
      <w:proofErr w:type="gramEnd"/>
      <w:r>
        <w:t xml:space="preserve"> are:</w:t>
      </w:r>
    </w:p>
    <w:p w14:paraId="4299633D" w14:textId="77777777" w:rsidR="006C7941" w:rsidRDefault="006C7941" w:rsidP="006C7941">
      <w:pPr>
        <w:pStyle w:val="Bulletlevel1"/>
      </w:pPr>
      <w:r>
        <w:t>converting commercial, community and national services from AM to FM in areas where FM spectrum is readily available</w:t>
      </w:r>
    </w:p>
    <w:p w14:paraId="1180F3BB" w14:textId="77777777" w:rsidR="006C7941" w:rsidRDefault="006C7941" w:rsidP="006C7941">
      <w:pPr>
        <w:pStyle w:val="Bulletlevel1"/>
      </w:pPr>
      <w:r>
        <w:t>improving coverage of national, commercial and community broadcasting services where spectrum is readily available</w:t>
      </w:r>
    </w:p>
    <w:p w14:paraId="1B12F4DF" w14:textId="77777777" w:rsidR="006C7941" w:rsidRDefault="006C7941" w:rsidP="006C7941">
      <w:pPr>
        <w:pStyle w:val="Bulletlevel1"/>
      </w:pPr>
      <w:r>
        <w:t>making digital radio channel plans for regional DAB+ where a commercial licensee or national broadcaster has committed to a rollout</w:t>
      </w:r>
    </w:p>
    <w:p w14:paraId="4148E1BC" w14:textId="77777777" w:rsidR="006C7941" w:rsidRDefault="006C7941" w:rsidP="006C7941">
      <w:pPr>
        <w:pStyle w:val="Bulletlevel1last"/>
      </w:pPr>
      <w:r>
        <w:t>supporting trials of new broadcasting technology.</w:t>
      </w:r>
    </w:p>
    <w:p w14:paraId="2408B128" w14:textId="77777777" w:rsidR="006C7941" w:rsidRDefault="006C7941" w:rsidP="006C7941">
      <w:pPr>
        <w:pStyle w:val="Paragraph"/>
      </w:pPr>
      <w:r>
        <w:lastRenderedPageBreak/>
        <w:t>We will develop an annual work program of our priority broadcast spectrum planning activities. We will consult on this each year in our draft five-year spectrum outlook.</w:t>
      </w:r>
    </w:p>
    <w:p w14:paraId="7C81066C" w14:textId="77777777" w:rsidR="006C7941" w:rsidRDefault="006C7941" w:rsidP="006C7941">
      <w:pPr>
        <w:pStyle w:val="Paragraph"/>
      </w:pPr>
      <w:r>
        <w:t>We will continue to provide advice and draw the government’s attention to any areas of the legislative or policy environment that we think might be adjusted to better</w:t>
      </w:r>
      <w:r>
        <w:rPr>
          <w:spacing w:val="-30"/>
        </w:rPr>
        <w:t xml:space="preserve"> </w:t>
      </w:r>
      <w:r>
        <w:t>enable us to efficiently manage spectrum planning for radio</w:t>
      </w:r>
      <w:r>
        <w:rPr>
          <w:spacing w:val="-20"/>
        </w:rPr>
        <w:t xml:space="preserve"> </w:t>
      </w:r>
      <w:r>
        <w:t>broadcasting.</w:t>
      </w:r>
    </w:p>
    <w:p w14:paraId="7CE05497" w14:textId="77777777" w:rsidR="00B93083" w:rsidRDefault="006C7941" w:rsidP="006C7941">
      <w:pPr>
        <w:pStyle w:val="Heading1"/>
      </w:pPr>
      <w:bookmarkStart w:id="3" w:name="_Toc35846781"/>
      <w:r>
        <w:lastRenderedPageBreak/>
        <w:t>Introduction</w:t>
      </w:r>
      <w:bookmarkEnd w:id="3"/>
    </w:p>
    <w:p w14:paraId="451A32B2" w14:textId="77777777" w:rsidR="006C7941" w:rsidRDefault="006C7941" w:rsidP="006C7941">
      <w:pPr>
        <w:pStyle w:val="Paragraph"/>
      </w:pPr>
      <w:r>
        <w:t>Changing audience preferences and new radio delivery technologies and devices are creating opportunities and challenges for existing radio broadcasters.</w:t>
      </w:r>
    </w:p>
    <w:p w14:paraId="1917AAA9" w14:textId="2478869A" w:rsidR="006C7941" w:rsidRDefault="006C7941" w:rsidP="006C7941">
      <w:pPr>
        <w:pStyle w:val="Paragraph"/>
      </w:pPr>
      <w:r>
        <w:t xml:space="preserve">To the extent that radio remains reliant on the radiofrequency spectrum in its delivery platforms, the choices facing the industry also impact on the ACMA as Australia’s manager of the radiofrequency spectrum. AM and FM analog transmission and DAB+ digital transmission are the main delivery mechanisms for radio </w:t>
      </w:r>
      <w:r w:rsidR="00070640">
        <w:t>currently</w:t>
      </w:r>
      <w:r>
        <w:t xml:space="preserve"> in Australia.</w:t>
      </w:r>
    </w:p>
    <w:p w14:paraId="3BFAE0A0" w14:textId="77777777" w:rsidR="006C7941" w:rsidRDefault="006C7941" w:rsidP="006C7941">
      <w:pPr>
        <w:pStyle w:val="Paragraph"/>
      </w:pPr>
      <w:r>
        <w:t>Since the nationwide program of licence area planning was completed in the early 2000s, the ACMA (and its predecessor) has largely conducted broadcast planning work in response to demand.</w:t>
      </w:r>
      <w:r w:rsidR="00B648E1">
        <w:rPr>
          <w:rStyle w:val="FootnoteReference"/>
        </w:rPr>
        <w:footnoteReference w:id="1"/>
      </w:r>
      <w:r>
        <w:t xml:space="preserve"> This responsive approach has worked reasonably well. We have generally been able to plan for new services or changes to existing services where requested. We have facilitated technology trials that support broadcasters in testing and making technology transitions.</w:t>
      </w:r>
    </w:p>
    <w:p w14:paraId="22881BB0" w14:textId="77777777" w:rsidR="006C7941" w:rsidRDefault="006C7941" w:rsidP="006C7941">
      <w:pPr>
        <w:pStyle w:val="Paragraph"/>
      </w:pPr>
      <w:r>
        <w:t>In recent years, however, we have seen a shift in the expectations of the sector. We are undertaking a significant program of work to facilitate the conversion of many regional commercial AM transmissions to FM. We have also developed an indicative plan for the rollout of digital radio in regional Australia and are authorising that rollout formally in markets where the industry advises us that it is financially feasible to do so.</w:t>
      </w:r>
    </w:p>
    <w:p w14:paraId="5A9B064D" w14:textId="77777777" w:rsidR="006C7941" w:rsidRDefault="006C7941" w:rsidP="006C7941">
      <w:pPr>
        <w:pStyle w:val="Paragraph"/>
      </w:pPr>
      <w:r>
        <w:t>The new sources of demand on our planning function reflect the wider transition the radio sector is facing as it responds to evolving technologies and changing audience preferences. These programs of work have highlighted constraints on FM spectrum availability, while planned spectrum for DAB+ digital radio waits for industry take-up.</w:t>
      </w:r>
    </w:p>
    <w:p w14:paraId="084DB03C" w14:textId="77777777" w:rsidR="006C7941" w:rsidRDefault="006C7941" w:rsidP="006C7941">
      <w:pPr>
        <w:pStyle w:val="Paragraph"/>
      </w:pPr>
      <w:r>
        <w:t>More broadly, it has prompted us to ask the question about whether we, and the sector, have a clear view on how the evolution of radio’s delivery can best be facilitated.</w:t>
      </w:r>
    </w:p>
    <w:p w14:paraId="276EB5BB" w14:textId="77777777" w:rsidR="00B648E1" w:rsidRDefault="00B648E1" w:rsidP="00B648E1">
      <w:pPr>
        <w:pStyle w:val="Heading2"/>
      </w:pPr>
      <w:bookmarkStart w:id="4" w:name="_Toc35846782"/>
      <w:r>
        <w:t>Approach</w:t>
      </w:r>
      <w:bookmarkEnd w:id="4"/>
    </w:p>
    <w:p w14:paraId="5D3E88CB" w14:textId="77777777" w:rsidR="00B648E1" w:rsidRDefault="00B648E1" w:rsidP="00B648E1">
      <w:pPr>
        <w:pStyle w:val="Paragraphbeforelist"/>
      </w:pPr>
      <w:r>
        <w:t>In May 2019, the ACMA released an issues paper on the future delivery of radio services in Australia. The paper presented several propositions about the current state of radio and proposed three scenarios to elicit views about how radio delivery might look in the future:</w:t>
      </w:r>
    </w:p>
    <w:p w14:paraId="4312C6FC" w14:textId="77777777" w:rsidR="00B648E1" w:rsidRDefault="00B648E1" w:rsidP="00B648E1">
      <w:pPr>
        <w:pStyle w:val="Bulletlevel1"/>
      </w:pPr>
      <w:r>
        <w:t>Scenario one—radio makes greater use of FM technology.</w:t>
      </w:r>
    </w:p>
    <w:p w14:paraId="42689953" w14:textId="77777777" w:rsidR="00B648E1" w:rsidRDefault="00B648E1" w:rsidP="00B648E1">
      <w:pPr>
        <w:pStyle w:val="Bulletlevel1"/>
      </w:pPr>
      <w:r>
        <w:t>Scenario two—AM and FM radio progressively migrates to DAB+ digital radio.</w:t>
      </w:r>
    </w:p>
    <w:p w14:paraId="41CECE95" w14:textId="77777777" w:rsidR="00B93083" w:rsidRDefault="00B648E1" w:rsidP="00B648E1">
      <w:pPr>
        <w:pStyle w:val="Bulletlevel1last"/>
      </w:pPr>
      <w:r>
        <w:t>Scenario three—free-to-air terrestrial radio progressively migrates to IP streaming.</w:t>
      </w:r>
    </w:p>
    <w:p w14:paraId="35D80445" w14:textId="77777777" w:rsidR="00B648E1" w:rsidRDefault="00B648E1" w:rsidP="00B648E1">
      <w:pPr>
        <w:pStyle w:val="Paragraphbeforelist"/>
        <w:keepNext/>
        <w:keepLines/>
      </w:pPr>
      <w:r>
        <w:lastRenderedPageBreak/>
        <w:t>The findings and actions in this report have been informed by:</w:t>
      </w:r>
    </w:p>
    <w:p w14:paraId="3B289240" w14:textId="77777777" w:rsidR="00B648E1" w:rsidRDefault="00B648E1" w:rsidP="00B648E1">
      <w:pPr>
        <w:pStyle w:val="Bulletlevel1"/>
        <w:keepNext/>
        <w:keepLines/>
      </w:pPr>
      <w:r>
        <w:t>the 22 submissions to the issues paper from 19 parties</w:t>
      </w:r>
      <w:r>
        <w:rPr>
          <w:rStyle w:val="FootnoteReference"/>
        </w:rPr>
        <w:footnoteReference w:id="2"/>
      </w:r>
    </w:p>
    <w:p w14:paraId="1E7F6A28" w14:textId="0922E91C" w:rsidR="00B648E1" w:rsidRDefault="00B648E1" w:rsidP="00B648E1">
      <w:pPr>
        <w:pStyle w:val="Bulletlevel1"/>
        <w:keepNext/>
        <w:keepLines/>
      </w:pPr>
      <w:r>
        <w:t>an industry forum held in June 2019</w:t>
      </w:r>
    </w:p>
    <w:p w14:paraId="19185042" w14:textId="3D2D6309" w:rsidR="00B648E1" w:rsidRDefault="00B648E1" w:rsidP="00B648E1">
      <w:pPr>
        <w:pStyle w:val="Bulletlevel1"/>
        <w:keepNext/>
        <w:keepLines/>
      </w:pPr>
      <w:r>
        <w:t>additional bilateral conversations with stakeholders who requested a face-to-face meeting</w:t>
      </w:r>
    </w:p>
    <w:p w14:paraId="54CBB1A4" w14:textId="7209AB67" w:rsidR="00B648E1" w:rsidRDefault="00B648E1" w:rsidP="00B648E1">
      <w:pPr>
        <w:pStyle w:val="Bulletlevel1"/>
        <w:keepNext/>
        <w:keepLines/>
      </w:pPr>
      <w:r>
        <w:t>discussion with the Federal Chamber of Automotive Industries, which presented a considered view of their 40 members about the future of in-car radios</w:t>
      </w:r>
    </w:p>
    <w:p w14:paraId="256ACD3A" w14:textId="23B68682" w:rsidR="00B648E1" w:rsidRDefault="00B648E1" w:rsidP="00B648E1">
      <w:pPr>
        <w:pStyle w:val="Bulletlevel1"/>
        <w:keepNext/>
        <w:keepLines/>
      </w:pPr>
      <w:r>
        <w:t>ACMA desktop and technical research/case studies on:</w:t>
      </w:r>
    </w:p>
    <w:p w14:paraId="0D4FEC16" w14:textId="05F48882" w:rsidR="00B648E1" w:rsidRDefault="00B648E1" w:rsidP="00B648E1">
      <w:pPr>
        <w:pStyle w:val="Bulletlevel2"/>
        <w:keepNext/>
        <w:keepLines/>
      </w:pPr>
      <w:r>
        <w:t>FM spectrum supply</w:t>
      </w:r>
    </w:p>
    <w:p w14:paraId="4E20BC71" w14:textId="6BE4F41C" w:rsidR="00B648E1" w:rsidRDefault="00B648E1" w:rsidP="00B648E1">
      <w:pPr>
        <w:pStyle w:val="Bulletlevel2"/>
        <w:keepNext/>
        <w:keepLines/>
      </w:pPr>
      <w:r>
        <w:t>Digital Radio Mondiale (DRM) technology</w:t>
      </w:r>
    </w:p>
    <w:p w14:paraId="58EA1A95" w14:textId="464C8E0A" w:rsidR="00B648E1" w:rsidRDefault="00B648E1" w:rsidP="00B648E1">
      <w:pPr>
        <w:pStyle w:val="Bulletlevel2"/>
        <w:keepNext/>
        <w:keepLines/>
      </w:pPr>
      <w:r>
        <w:t>satellite broadcasting</w:t>
      </w:r>
    </w:p>
    <w:p w14:paraId="280AB6AC" w14:textId="39296A61" w:rsidR="00B648E1" w:rsidRDefault="00B648E1" w:rsidP="00B648E1">
      <w:pPr>
        <w:pStyle w:val="Bulletlevel2"/>
        <w:keepNext/>
        <w:keepLines/>
      </w:pPr>
      <w:r>
        <w:t>in-car radio and the receiver supply chain</w:t>
      </w:r>
    </w:p>
    <w:p w14:paraId="3E0EB795" w14:textId="10137217" w:rsidR="00B648E1" w:rsidRDefault="00B648E1" w:rsidP="00B648E1">
      <w:pPr>
        <w:pStyle w:val="Bulletlevel2last"/>
        <w:keepNext/>
        <w:keepLines/>
      </w:pPr>
      <w:r>
        <w:t>developments in broadcast radio IP streaming.</w:t>
      </w:r>
    </w:p>
    <w:p w14:paraId="55A59376" w14:textId="77777777" w:rsidR="00B648E1" w:rsidRDefault="00B648E1" w:rsidP="00B648E1">
      <w:pPr>
        <w:pStyle w:val="Heading2"/>
      </w:pPr>
      <w:bookmarkStart w:id="5" w:name="_Toc35846783"/>
      <w:r>
        <w:t>Report structure</w:t>
      </w:r>
      <w:bookmarkEnd w:id="5"/>
    </w:p>
    <w:p w14:paraId="4C1708E2" w14:textId="77777777" w:rsidR="00B648E1" w:rsidRDefault="00B648E1" w:rsidP="00B648E1">
      <w:pPr>
        <w:pStyle w:val="Paragraphbeforelist"/>
      </w:pPr>
      <w:r>
        <w:t>This report is structured against the key themes arising from the future delivery of radio consultations and analysis:</w:t>
      </w:r>
    </w:p>
    <w:p w14:paraId="2ABC98F9" w14:textId="480D24D5" w:rsidR="00B648E1" w:rsidRDefault="00B648E1" w:rsidP="00B648E1">
      <w:pPr>
        <w:pStyle w:val="Bulletlevel1"/>
      </w:pPr>
      <w:r>
        <w:t>how radio spectrum is planned and regulated</w:t>
      </w:r>
    </w:p>
    <w:p w14:paraId="20455E41" w14:textId="275F6064" w:rsidR="00B648E1" w:rsidRDefault="00B648E1" w:rsidP="00B648E1">
      <w:pPr>
        <w:pStyle w:val="Bulletlevel1"/>
      </w:pPr>
      <w:r>
        <w:t>geographic, platform and device diversity</w:t>
      </w:r>
    </w:p>
    <w:p w14:paraId="203D9644" w14:textId="2B3CDF51" w:rsidR="00B648E1" w:rsidRDefault="00B648E1" w:rsidP="00B648E1">
      <w:pPr>
        <w:pStyle w:val="Bulletlevel1"/>
      </w:pPr>
      <w:r>
        <w:t>changing listener preferences</w:t>
      </w:r>
    </w:p>
    <w:p w14:paraId="75BA8072" w14:textId="320C23A8" w:rsidR="00B648E1" w:rsidRDefault="00B648E1" w:rsidP="00B648E1">
      <w:pPr>
        <w:pStyle w:val="Bulletlevel1"/>
      </w:pPr>
      <w:r>
        <w:t>delivery platforms needed for the future</w:t>
      </w:r>
    </w:p>
    <w:p w14:paraId="0EDE9C23" w14:textId="5700DDA3" w:rsidR="00B648E1" w:rsidRDefault="00B648E1" w:rsidP="00B648E1">
      <w:pPr>
        <w:pStyle w:val="Bulletlevel1last"/>
      </w:pPr>
      <w:r>
        <w:t>a way forward.</w:t>
      </w:r>
    </w:p>
    <w:p w14:paraId="0D18B4F9" w14:textId="77777777" w:rsidR="00B93083" w:rsidRDefault="00B648E1" w:rsidP="00B648E1">
      <w:pPr>
        <w:pStyle w:val="Paragraph"/>
      </w:pPr>
      <w:r>
        <w:t>Overall, the findings underscore an industry in transition, with our proposed spectrum planning and allocation response intended to support the ongoing evolution of radio delivery and listening modes into the future.</w:t>
      </w:r>
    </w:p>
    <w:p w14:paraId="07E36829" w14:textId="77777777" w:rsidR="00B648E1" w:rsidRDefault="00B648E1" w:rsidP="00B648E1">
      <w:pPr>
        <w:pStyle w:val="Heading1"/>
      </w:pPr>
      <w:bookmarkStart w:id="6" w:name="_Toc35846784"/>
      <w:r>
        <w:lastRenderedPageBreak/>
        <w:t>How radio spectrum is planned and regulated</w:t>
      </w:r>
      <w:bookmarkEnd w:id="6"/>
    </w:p>
    <w:p w14:paraId="3A1FAD1C" w14:textId="77777777" w:rsidR="00B648E1" w:rsidRDefault="00B648E1" w:rsidP="00B648E1">
      <w:pPr>
        <w:pStyle w:val="Heading2"/>
      </w:pPr>
      <w:bookmarkStart w:id="7" w:name="_Toc35846785"/>
      <w:r>
        <w:t>Audio content services and their regulation</w:t>
      </w:r>
      <w:bookmarkEnd w:id="7"/>
    </w:p>
    <w:p w14:paraId="6C40D832" w14:textId="77777777" w:rsidR="00B648E1" w:rsidRDefault="00B648E1" w:rsidP="00B648E1">
      <w:pPr>
        <w:pStyle w:val="Paragraph"/>
      </w:pPr>
      <w:r>
        <w:t xml:space="preserve">Radio broadcasting services are mostly regulated through the </w:t>
      </w:r>
      <w:r>
        <w:rPr>
          <w:i/>
        </w:rPr>
        <w:t xml:space="preserve">Broadcasting Services Act 1992 </w:t>
      </w:r>
      <w:r>
        <w:t>(the BSA).</w:t>
      </w:r>
    </w:p>
    <w:p w14:paraId="0EB2EBE1" w14:textId="77777777" w:rsidR="00B648E1" w:rsidRDefault="00B648E1" w:rsidP="00B648E1">
      <w:pPr>
        <w:pStyle w:val="Paragraphbeforelist"/>
      </w:pPr>
      <w:r>
        <w:t>The BSA defines categories of broadcasting service and establishes licensing, program codes and standards, and ownership and control regimes commensurate</w:t>
      </w:r>
      <w:r>
        <w:rPr>
          <w:spacing w:val="-22"/>
        </w:rPr>
        <w:t xml:space="preserve"> </w:t>
      </w:r>
      <w:r>
        <w:t>with influence of each category. The categories relevant to (non-subscription) domestic terrestrial radio</w:t>
      </w:r>
      <w:r>
        <w:rPr>
          <w:spacing w:val="-6"/>
        </w:rPr>
        <w:t xml:space="preserve"> </w:t>
      </w:r>
      <w:r>
        <w:t>are:</w:t>
      </w:r>
    </w:p>
    <w:p w14:paraId="010FD801" w14:textId="77777777" w:rsidR="00B648E1" w:rsidRDefault="00B648E1" w:rsidP="00B648E1">
      <w:pPr>
        <w:pStyle w:val="Bulletlevel1"/>
      </w:pPr>
      <w:r>
        <w:t>commercial broadcasting</w:t>
      </w:r>
    </w:p>
    <w:p w14:paraId="57DE59DB" w14:textId="77777777" w:rsidR="00B648E1" w:rsidRDefault="00B648E1" w:rsidP="00B648E1">
      <w:pPr>
        <w:pStyle w:val="Bulletlevel1"/>
      </w:pPr>
      <w:r>
        <w:t>national broadcasting</w:t>
      </w:r>
    </w:p>
    <w:p w14:paraId="082A08F2" w14:textId="77777777" w:rsidR="00B648E1" w:rsidRDefault="00B648E1" w:rsidP="00B648E1">
      <w:pPr>
        <w:pStyle w:val="Bulletlevel1"/>
      </w:pPr>
      <w:r>
        <w:t>community broadcasting</w:t>
      </w:r>
    </w:p>
    <w:p w14:paraId="4FA5D772" w14:textId="77777777" w:rsidR="00B648E1" w:rsidRPr="00B648E1" w:rsidRDefault="00B648E1" w:rsidP="00B648E1">
      <w:pPr>
        <w:pStyle w:val="Bulletlevel1last"/>
      </w:pPr>
      <w:r>
        <w:t>open narrowcasting.</w:t>
      </w:r>
    </w:p>
    <w:p w14:paraId="28471EB6" w14:textId="77777777" w:rsidR="00B648E1" w:rsidRDefault="00B648E1" w:rsidP="00B648E1">
      <w:pPr>
        <w:pStyle w:val="Paragraph"/>
      </w:pPr>
      <w:r>
        <w:t xml:space="preserve">Most terrestrial broadcasting transmission occurs in spectrum bands known as the broadcasting services bands (BSB). The BSB include the ‘AM band’ and ‘FM band’, which can be received on ubiquitous household, portable and in-car receivers. In addition to BSA content licences, transmitters for these services require transmitter licences under the </w:t>
      </w:r>
      <w:r>
        <w:rPr>
          <w:i/>
        </w:rPr>
        <w:t>Radiocommunications Act 1992</w:t>
      </w:r>
      <w:r>
        <w:t>.</w:t>
      </w:r>
    </w:p>
    <w:p w14:paraId="4B71EDFB" w14:textId="77777777" w:rsidR="00B648E1" w:rsidRDefault="00B648E1" w:rsidP="00B648E1">
      <w:pPr>
        <w:pStyle w:val="Paragraph"/>
      </w:pPr>
      <w:r>
        <w:t xml:space="preserve">The </w:t>
      </w:r>
      <w:hyperlink w:anchor="_bookmark4" w:history="1">
        <w:r>
          <w:rPr>
            <w:color w:val="0000FF"/>
            <w:u w:val="single" w:color="0000FF"/>
          </w:rPr>
          <w:t xml:space="preserve">background </w:t>
        </w:r>
      </w:hyperlink>
      <w:r>
        <w:t>in Appendix A contains a description of the BSA categories of broadcasting and their content and transmitter licensing arrangements.</w:t>
      </w:r>
    </w:p>
    <w:p w14:paraId="6CC3830F" w14:textId="77777777" w:rsidR="00B648E1" w:rsidRPr="00B648E1" w:rsidRDefault="00B648E1" w:rsidP="00B648E1">
      <w:pPr>
        <w:pStyle w:val="Paragraph"/>
      </w:pPr>
      <w:r>
        <w:t>Audio content can also be delivered over the internet using non-BSB spectrum and can be provided by a wide range of organisations including but not limited to broadcasters.</w:t>
      </w:r>
      <w:r>
        <w:rPr>
          <w:rStyle w:val="FootnoteReference"/>
        </w:rPr>
        <w:footnoteReference w:id="3"/>
      </w:r>
      <w:r>
        <w:rPr>
          <w:position w:val="6"/>
          <w:sz w:val="13"/>
        </w:rPr>
        <w:t xml:space="preserve"> </w:t>
      </w:r>
      <w:r>
        <w:t>These include on-demand services like Spotify and podcasts, as well as other services delivered over the internet.</w:t>
      </w:r>
      <w:r>
        <w:rPr>
          <w:rStyle w:val="FootnoteReference"/>
        </w:rPr>
        <w:footnoteReference w:id="4"/>
      </w:r>
      <w:r>
        <w:rPr>
          <w:position w:val="6"/>
          <w:sz w:val="13"/>
        </w:rPr>
        <w:t xml:space="preserve"> </w:t>
      </w:r>
      <w:r>
        <w:t>Other services include internet protocol (IP) streaming of audio content, and streamed simulcasts of terrestrial AM, FM and DAB+ radio.</w:t>
      </w:r>
    </w:p>
    <w:p w14:paraId="2387BE3A" w14:textId="77777777" w:rsidR="00B648E1" w:rsidRDefault="00B648E1" w:rsidP="00B648E1">
      <w:pPr>
        <w:pStyle w:val="Heading2"/>
      </w:pPr>
      <w:bookmarkStart w:id="8" w:name="_TOC_250021"/>
      <w:bookmarkStart w:id="9" w:name="_Toc35846786"/>
      <w:bookmarkEnd w:id="8"/>
      <w:r>
        <w:t>Broadcast spectrum planning</w:t>
      </w:r>
      <w:bookmarkEnd w:id="9"/>
    </w:p>
    <w:p w14:paraId="29998094" w14:textId="77777777" w:rsidR="00B648E1" w:rsidRDefault="00B648E1" w:rsidP="00B648E1">
      <w:pPr>
        <w:pStyle w:val="Heading3"/>
      </w:pPr>
      <w:bookmarkStart w:id="10" w:name="_TOC_250020"/>
      <w:bookmarkEnd w:id="10"/>
      <w:r>
        <w:t>Service and spectrum planning for radio in the BSB</w:t>
      </w:r>
    </w:p>
    <w:p w14:paraId="00E66883" w14:textId="77777777" w:rsidR="00B648E1" w:rsidRDefault="00B648E1" w:rsidP="00F66B1B">
      <w:pPr>
        <w:pStyle w:val="Paragraph"/>
      </w:pPr>
      <w:r>
        <w:t>Radio spectrum in the BSB is planned by the ACMA in licence area plans (LAPs).</w:t>
      </w:r>
      <w:r>
        <w:rPr>
          <w:rStyle w:val="FootnoteReference"/>
        </w:rPr>
        <w:footnoteReference w:id="5"/>
      </w:r>
      <w:r>
        <w:t xml:space="preserve"> LAPs describe the broadcasting services to be made available in different geographic areas. They specify the categories of service to be made available, their licence areas and the technical characteristics (for example, frequency) for each transmitter used to deliver the </w:t>
      </w:r>
      <w:r w:rsidRPr="00F66B1B">
        <w:t>service</w:t>
      </w:r>
      <w:r>
        <w:t>.</w:t>
      </w:r>
    </w:p>
    <w:p w14:paraId="22442CA7" w14:textId="5F0A3856" w:rsidR="00F66B1B" w:rsidRDefault="00F66B1B" w:rsidP="00F66B1B">
      <w:pPr>
        <w:pStyle w:val="Paragraph"/>
      </w:pPr>
      <w:r>
        <w:t xml:space="preserve">Once a commercial broadcasting service or a long-term community broadcasting service is planned in a LAP, the ACMA may allocate the broadcasting service licence. </w:t>
      </w:r>
      <w:r>
        <w:lastRenderedPageBreak/>
        <w:t>Commercial and community radio broadcasting licences issued under the BSA come with a transmitter licence that provides the right to broadcast in the BSB, in accordance with the technical specification that the ACMA has planned in the LAP.</w:t>
      </w:r>
    </w:p>
    <w:p w14:paraId="2C71CBF3" w14:textId="77777777" w:rsidR="00F66B1B" w:rsidRDefault="00F66B1B" w:rsidP="00F66B1B">
      <w:pPr>
        <w:pStyle w:val="Paragraph"/>
      </w:pPr>
      <w:r>
        <w:t>Temporary community broadcasting services licences (TCBLs) are allocated under the BSA following determination of suitable spectrum under section 34 of the BSA.</w:t>
      </w:r>
      <w:r>
        <w:rPr>
          <w:rStyle w:val="FootnoteReference"/>
        </w:rPr>
        <w:footnoteReference w:id="6"/>
      </w:r>
      <w:r>
        <w:t xml:space="preserve"> This allows the ACMA to provide spectrum access in the BSB on a temporary basis where the spectrum is not yet needed for commercial, community or national broadcasting.</w:t>
      </w:r>
    </w:p>
    <w:p w14:paraId="24AA00FC" w14:textId="77777777" w:rsidR="00F66B1B" w:rsidRDefault="00F66B1B" w:rsidP="00F66B1B">
      <w:pPr>
        <w:pStyle w:val="Paragraph"/>
      </w:pPr>
      <w:r>
        <w:t>In general, the ACMA allocates TCBLs where the spectrum has already been planned in a LAP, but a long-term community radio broadcasting licence has not been allocated and there are no competing demands for that spectrum.</w:t>
      </w:r>
    </w:p>
    <w:p w14:paraId="28F47B42" w14:textId="77777777" w:rsidR="00F66B1B" w:rsidRDefault="00F66B1B" w:rsidP="00F66B1B">
      <w:pPr>
        <w:pStyle w:val="Paragraph"/>
      </w:pPr>
      <w:r>
        <w:t xml:space="preserve">Most high-power open narrowcasting (HPON) services are planned in a LAP. HPON services are provided under a BSA class licence rather than an individual service licence. Once an HPON service is planned in a LAP, the ACMA may </w:t>
      </w:r>
      <w:proofErr w:type="gramStart"/>
      <w:r>
        <w:t>make a determination</w:t>
      </w:r>
      <w:proofErr w:type="gramEnd"/>
      <w:r>
        <w:t xml:space="preserve"> of spectrum under section 34 of the BSA and then issue the transmitter licence—usually through a price-based allocation process.</w:t>
      </w:r>
    </w:p>
    <w:p w14:paraId="46295B8B" w14:textId="77777777" w:rsidR="00F66B1B" w:rsidRDefault="00F66B1B" w:rsidP="00F66B1B">
      <w:pPr>
        <w:pStyle w:val="Paragraph"/>
      </w:pPr>
      <w:r>
        <w:t>Low power open narrowcasting services (LPONs) are not planned in LAPs. They are generally planned through a standing, long-term determination of spectrum for a range of FM frequencies known as the LPON sub-band. Transmitter licences are issued by a price-based allocation process.</w:t>
      </w:r>
    </w:p>
    <w:p w14:paraId="3BA9CD68" w14:textId="77777777" w:rsidR="00F66B1B" w:rsidRDefault="00F66B1B" w:rsidP="00F66B1B">
      <w:pPr>
        <w:pStyle w:val="Paragraph"/>
      </w:pPr>
      <w:r>
        <w:t>Table 1 shows the number of BSA content licences and transmitter licences issued for each category of broadcasting service.</w:t>
      </w:r>
    </w:p>
    <w:p w14:paraId="7C39F222" w14:textId="77777777" w:rsidR="00F66B1B" w:rsidRDefault="00F66B1B" w:rsidP="00F66B1B">
      <w:pPr>
        <w:pStyle w:val="Tableheading"/>
      </w:pPr>
      <w:r>
        <w:t>BSB terrestrial analog radio delivery snapshot,</w:t>
      </w:r>
      <w:r>
        <w:rPr>
          <w:spacing w:val="-18"/>
        </w:rPr>
        <w:t xml:space="preserve"> </w:t>
      </w:r>
      <w:r>
        <w:t>2019</w:t>
      </w:r>
    </w:p>
    <w:tbl>
      <w:tblPr>
        <w:tblW w:w="8008" w:type="dxa"/>
        <w:tblBorders>
          <w:top w:val="nil"/>
          <w:left w:val="nil"/>
          <w:bottom w:val="nil"/>
          <w:right w:val="nil"/>
          <w:insideH w:val="nil"/>
          <w:insideV w:val="nil"/>
        </w:tblBorders>
        <w:tblLayout w:type="fixed"/>
        <w:tblCellMar>
          <w:top w:w="57" w:type="dxa"/>
          <w:left w:w="57" w:type="dxa"/>
          <w:bottom w:w="57" w:type="dxa"/>
          <w:right w:w="57" w:type="dxa"/>
        </w:tblCellMar>
        <w:tblLook w:val="01E0" w:firstRow="1" w:lastRow="1" w:firstColumn="1" w:lastColumn="1" w:noHBand="0" w:noVBand="0"/>
      </w:tblPr>
      <w:tblGrid>
        <w:gridCol w:w="1917"/>
        <w:gridCol w:w="2629"/>
        <w:gridCol w:w="3462"/>
      </w:tblGrid>
      <w:tr w:rsidR="00F66B1B" w14:paraId="5BA47342" w14:textId="77777777" w:rsidTr="00F66B1B">
        <w:trPr>
          <w:trHeight w:hRule="exact" w:val="536"/>
        </w:trPr>
        <w:tc>
          <w:tcPr>
            <w:tcW w:w="1917" w:type="dxa"/>
            <w:tcBorders>
              <w:top w:val="single" w:sz="4" w:space="0" w:color="000000"/>
              <w:bottom w:val="single" w:sz="4" w:space="0" w:color="000000"/>
            </w:tcBorders>
            <w:shd w:val="clear" w:color="auto" w:fill="585858"/>
          </w:tcPr>
          <w:p w14:paraId="560AFD02" w14:textId="77777777" w:rsidR="00F66B1B" w:rsidRDefault="00F66B1B" w:rsidP="00F66B1B">
            <w:pPr>
              <w:pStyle w:val="TableParagraph"/>
              <w:spacing w:before="57"/>
              <w:ind w:left="0"/>
              <w:rPr>
                <w:b/>
                <w:sz w:val="20"/>
              </w:rPr>
            </w:pPr>
            <w:r>
              <w:rPr>
                <w:b/>
                <w:color w:val="FFFFFF"/>
                <w:sz w:val="20"/>
              </w:rPr>
              <w:t>Category</w:t>
            </w:r>
          </w:p>
        </w:tc>
        <w:tc>
          <w:tcPr>
            <w:tcW w:w="2629" w:type="dxa"/>
            <w:tcBorders>
              <w:top w:val="single" w:sz="4" w:space="0" w:color="000000"/>
              <w:bottom w:val="single" w:sz="4" w:space="0" w:color="000000"/>
            </w:tcBorders>
            <w:shd w:val="clear" w:color="auto" w:fill="585858"/>
          </w:tcPr>
          <w:p w14:paraId="7E991CE6" w14:textId="77777777" w:rsidR="00F66B1B" w:rsidRDefault="00F66B1B" w:rsidP="001002C8">
            <w:pPr>
              <w:pStyle w:val="TableParagraph"/>
              <w:spacing w:before="57"/>
              <w:ind w:left="193"/>
              <w:rPr>
                <w:b/>
                <w:sz w:val="20"/>
              </w:rPr>
            </w:pPr>
            <w:r>
              <w:rPr>
                <w:b/>
                <w:color w:val="FFFFFF"/>
                <w:sz w:val="20"/>
              </w:rPr>
              <w:t>Content licences</w:t>
            </w:r>
          </w:p>
        </w:tc>
        <w:tc>
          <w:tcPr>
            <w:tcW w:w="3462" w:type="dxa"/>
            <w:tcBorders>
              <w:top w:val="single" w:sz="4" w:space="0" w:color="000000"/>
              <w:bottom w:val="single" w:sz="4" w:space="0" w:color="000000"/>
            </w:tcBorders>
            <w:shd w:val="clear" w:color="auto" w:fill="585858"/>
          </w:tcPr>
          <w:p w14:paraId="52F6A854" w14:textId="77777777" w:rsidR="00F66B1B" w:rsidRDefault="00F66B1B" w:rsidP="001002C8">
            <w:pPr>
              <w:pStyle w:val="TableParagraph"/>
              <w:spacing w:before="57"/>
              <w:ind w:left="257"/>
              <w:rPr>
                <w:b/>
                <w:sz w:val="20"/>
              </w:rPr>
            </w:pPr>
            <w:r>
              <w:rPr>
                <w:b/>
                <w:color w:val="FFFFFF"/>
                <w:sz w:val="20"/>
              </w:rPr>
              <w:t>Transmitter licences</w:t>
            </w:r>
          </w:p>
        </w:tc>
      </w:tr>
      <w:tr w:rsidR="00F66B1B" w14:paraId="1C2DF8E7" w14:textId="77777777" w:rsidTr="00F66B1B">
        <w:trPr>
          <w:trHeight w:hRule="exact" w:val="353"/>
        </w:trPr>
        <w:tc>
          <w:tcPr>
            <w:tcW w:w="1917" w:type="dxa"/>
            <w:tcBorders>
              <w:top w:val="single" w:sz="4" w:space="0" w:color="000000"/>
              <w:bottom w:val="single" w:sz="4" w:space="0" w:color="000000"/>
            </w:tcBorders>
          </w:tcPr>
          <w:p w14:paraId="4EE69586" w14:textId="77777777" w:rsidR="00F66B1B" w:rsidRDefault="00F66B1B" w:rsidP="001002C8">
            <w:pPr>
              <w:pStyle w:val="TableParagraph"/>
              <w:spacing w:before="55"/>
              <w:ind w:left="72"/>
              <w:rPr>
                <w:sz w:val="20"/>
              </w:rPr>
            </w:pPr>
            <w:r>
              <w:rPr>
                <w:sz w:val="20"/>
              </w:rPr>
              <w:t>Commercial (BSB)</w:t>
            </w:r>
          </w:p>
        </w:tc>
        <w:tc>
          <w:tcPr>
            <w:tcW w:w="2629" w:type="dxa"/>
            <w:tcBorders>
              <w:top w:val="single" w:sz="4" w:space="0" w:color="000000"/>
              <w:bottom w:val="single" w:sz="4" w:space="0" w:color="000000"/>
            </w:tcBorders>
          </w:tcPr>
          <w:p w14:paraId="7F031AC1" w14:textId="77777777" w:rsidR="00F66B1B" w:rsidRDefault="00F66B1B" w:rsidP="001002C8">
            <w:pPr>
              <w:pStyle w:val="TableParagraph"/>
              <w:spacing w:before="55"/>
              <w:ind w:left="193"/>
              <w:rPr>
                <w:sz w:val="20"/>
              </w:rPr>
            </w:pPr>
            <w:r>
              <w:rPr>
                <w:sz w:val="20"/>
              </w:rPr>
              <w:t>261</w:t>
            </w:r>
          </w:p>
        </w:tc>
        <w:tc>
          <w:tcPr>
            <w:tcW w:w="3462" w:type="dxa"/>
            <w:tcBorders>
              <w:top w:val="single" w:sz="4" w:space="0" w:color="000000"/>
              <w:bottom w:val="single" w:sz="4" w:space="0" w:color="000000"/>
            </w:tcBorders>
          </w:tcPr>
          <w:p w14:paraId="35265F97" w14:textId="77777777" w:rsidR="00F66B1B" w:rsidRDefault="00F66B1B" w:rsidP="001002C8">
            <w:pPr>
              <w:pStyle w:val="TableParagraph"/>
              <w:spacing w:before="55"/>
              <w:ind w:left="257"/>
              <w:rPr>
                <w:sz w:val="20"/>
              </w:rPr>
            </w:pPr>
            <w:r>
              <w:rPr>
                <w:sz w:val="20"/>
              </w:rPr>
              <w:t>600 (100 AM, 500 FM)</w:t>
            </w:r>
          </w:p>
        </w:tc>
      </w:tr>
      <w:tr w:rsidR="00F66B1B" w14:paraId="41A9D0DB" w14:textId="77777777" w:rsidTr="00F66B1B">
        <w:trPr>
          <w:trHeight w:hRule="exact" w:val="621"/>
        </w:trPr>
        <w:tc>
          <w:tcPr>
            <w:tcW w:w="1917" w:type="dxa"/>
            <w:tcBorders>
              <w:top w:val="single" w:sz="4" w:space="0" w:color="000000"/>
              <w:bottom w:val="single" w:sz="4" w:space="0" w:color="000000"/>
            </w:tcBorders>
            <w:shd w:val="clear" w:color="auto" w:fill="F0F0F0"/>
          </w:tcPr>
          <w:p w14:paraId="2AB26F9D" w14:textId="77777777" w:rsidR="00F66B1B" w:rsidRDefault="00F66B1B" w:rsidP="001002C8">
            <w:pPr>
              <w:pStyle w:val="TableParagraph"/>
              <w:spacing w:before="57"/>
              <w:ind w:left="57"/>
              <w:rPr>
                <w:sz w:val="20"/>
              </w:rPr>
            </w:pPr>
            <w:r>
              <w:rPr>
                <w:sz w:val="20"/>
              </w:rPr>
              <w:t>National</w:t>
            </w:r>
          </w:p>
        </w:tc>
        <w:tc>
          <w:tcPr>
            <w:tcW w:w="2629" w:type="dxa"/>
            <w:tcBorders>
              <w:top w:val="single" w:sz="4" w:space="0" w:color="000000"/>
              <w:bottom w:val="single" w:sz="4" w:space="0" w:color="000000"/>
            </w:tcBorders>
            <w:shd w:val="clear" w:color="auto" w:fill="F0F0F0"/>
          </w:tcPr>
          <w:p w14:paraId="1A70AEA2" w14:textId="77777777" w:rsidR="00F66B1B" w:rsidRDefault="00F66B1B" w:rsidP="001002C8">
            <w:pPr>
              <w:pStyle w:val="TableParagraph"/>
              <w:spacing w:before="57"/>
              <w:ind w:left="193"/>
              <w:rPr>
                <w:sz w:val="20"/>
              </w:rPr>
            </w:pPr>
            <w:r>
              <w:rPr>
                <w:sz w:val="20"/>
              </w:rPr>
              <w:t>N/A</w:t>
            </w:r>
          </w:p>
        </w:tc>
        <w:tc>
          <w:tcPr>
            <w:tcW w:w="3462" w:type="dxa"/>
            <w:tcBorders>
              <w:top w:val="single" w:sz="4" w:space="0" w:color="000000"/>
              <w:bottom w:val="single" w:sz="4" w:space="0" w:color="000000"/>
            </w:tcBorders>
            <w:shd w:val="clear" w:color="auto" w:fill="F0F0F0"/>
          </w:tcPr>
          <w:p w14:paraId="6FE83319" w14:textId="77777777" w:rsidR="00F66B1B" w:rsidRDefault="00F66B1B" w:rsidP="001002C8">
            <w:pPr>
              <w:pStyle w:val="TableParagraph"/>
              <w:spacing w:before="57"/>
              <w:ind w:left="257"/>
              <w:rPr>
                <w:sz w:val="20"/>
              </w:rPr>
            </w:pPr>
            <w:r>
              <w:rPr>
                <w:sz w:val="20"/>
              </w:rPr>
              <w:t>ABC: 700 (100 AM, 600 FM)</w:t>
            </w:r>
          </w:p>
          <w:p w14:paraId="39FD3367" w14:textId="77777777" w:rsidR="00F66B1B" w:rsidRDefault="00F66B1B" w:rsidP="001002C8">
            <w:pPr>
              <w:pStyle w:val="TableParagraph"/>
              <w:ind w:left="257"/>
              <w:rPr>
                <w:sz w:val="20"/>
              </w:rPr>
            </w:pPr>
            <w:r>
              <w:rPr>
                <w:sz w:val="20"/>
              </w:rPr>
              <w:t>SBS: 15 (6 AM, 9 FM)</w:t>
            </w:r>
          </w:p>
        </w:tc>
      </w:tr>
      <w:tr w:rsidR="00F66B1B" w14:paraId="318DFFEE" w14:textId="77777777" w:rsidTr="00F66B1B">
        <w:trPr>
          <w:trHeight w:hRule="exact" w:val="586"/>
        </w:trPr>
        <w:tc>
          <w:tcPr>
            <w:tcW w:w="1917" w:type="dxa"/>
            <w:tcBorders>
              <w:top w:val="single" w:sz="4" w:space="0" w:color="000000"/>
              <w:bottom w:val="single" w:sz="4" w:space="0" w:color="000000"/>
            </w:tcBorders>
          </w:tcPr>
          <w:p w14:paraId="2ABE449E" w14:textId="77777777" w:rsidR="00F66B1B" w:rsidRDefault="00F66B1B" w:rsidP="001002C8">
            <w:pPr>
              <w:pStyle w:val="TableParagraph"/>
              <w:spacing w:before="57"/>
              <w:ind w:left="72"/>
              <w:rPr>
                <w:sz w:val="20"/>
              </w:rPr>
            </w:pPr>
            <w:r>
              <w:rPr>
                <w:sz w:val="20"/>
              </w:rPr>
              <w:t>Community</w:t>
            </w:r>
          </w:p>
        </w:tc>
        <w:tc>
          <w:tcPr>
            <w:tcW w:w="2629" w:type="dxa"/>
            <w:tcBorders>
              <w:top w:val="single" w:sz="4" w:space="0" w:color="000000"/>
              <w:bottom w:val="single" w:sz="4" w:space="0" w:color="000000"/>
            </w:tcBorders>
          </w:tcPr>
          <w:p w14:paraId="605B19D1" w14:textId="77777777" w:rsidR="00F66B1B" w:rsidRDefault="00F66B1B" w:rsidP="001002C8">
            <w:pPr>
              <w:pStyle w:val="TableParagraph"/>
              <w:spacing w:before="57"/>
              <w:ind w:left="193"/>
              <w:rPr>
                <w:sz w:val="20"/>
              </w:rPr>
            </w:pPr>
            <w:r>
              <w:rPr>
                <w:sz w:val="20"/>
              </w:rPr>
              <w:t>Long term: 357</w:t>
            </w:r>
          </w:p>
          <w:p w14:paraId="21FA5E83" w14:textId="77777777" w:rsidR="00F66B1B" w:rsidRDefault="00F66B1B" w:rsidP="001002C8">
            <w:pPr>
              <w:pStyle w:val="TableParagraph"/>
              <w:ind w:left="193"/>
              <w:rPr>
                <w:sz w:val="20"/>
              </w:rPr>
            </w:pPr>
            <w:r>
              <w:rPr>
                <w:sz w:val="20"/>
              </w:rPr>
              <w:t>Short term (TCBLs): 101</w:t>
            </w:r>
          </w:p>
        </w:tc>
        <w:tc>
          <w:tcPr>
            <w:tcW w:w="3462" w:type="dxa"/>
            <w:tcBorders>
              <w:top w:val="single" w:sz="4" w:space="0" w:color="000000"/>
              <w:bottom w:val="single" w:sz="4" w:space="0" w:color="000000"/>
            </w:tcBorders>
          </w:tcPr>
          <w:p w14:paraId="1D089D89" w14:textId="77777777" w:rsidR="00F66B1B" w:rsidRDefault="00F66B1B" w:rsidP="001002C8">
            <w:pPr>
              <w:pStyle w:val="TableParagraph"/>
              <w:spacing w:before="57"/>
              <w:ind w:left="257"/>
              <w:rPr>
                <w:sz w:val="20"/>
              </w:rPr>
            </w:pPr>
            <w:r>
              <w:rPr>
                <w:sz w:val="20"/>
              </w:rPr>
              <w:t>415 (13 AM, 402 FM)</w:t>
            </w:r>
          </w:p>
          <w:p w14:paraId="6E90515B" w14:textId="77777777" w:rsidR="00F66B1B" w:rsidRDefault="00F66B1B" w:rsidP="001002C8">
            <w:pPr>
              <w:pStyle w:val="TableParagraph"/>
              <w:ind w:left="257"/>
              <w:rPr>
                <w:sz w:val="20"/>
              </w:rPr>
            </w:pPr>
            <w:r>
              <w:rPr>
                <w:sz w:val="20"/>
              </w:rPr>
              <w:t>134 (1 AM, 133 FM)</w:t>
            </w:r>
          </w:p>
        </w:tc>
      </w:tr>
      <w:tr w:rsidR="00F66B1B" w14:paraId="01E814F3" w14:textId="77777777" w:rsidTr="00F66B1B">
        <w:trPr>
          <w:trHeight w:hRule="exact" w:val="583"/>
        </w:trPr>
        <w:tc>
          <w:tcPr>
            <w:tcW w:w="1917" w:type="dxa"/>
            <w:tcBorders>
              <w:top w:val="single" w:sz="4" w:space="0" w:color="000000"/>
              <w:bottom w:val="single" w:sz="4" w:space="0" w:color="000000"/>
            </w:tcBorders>
            <w:shd w:val="clear" w:color="auto" w:fill="F0F0F0"/>
          </w:tcPr>
          <w:p w14:paraId="2FA00848" w14:textId="77777777" w:rsidR="00F66B1B" w:rsidRDefault="00F66B1B" w:rsidP="001002C8">
            <w:pPr>
              <w:pStyle w:val="TableParagraph"/>
              <w:spacing w:before="55"/>
              <w:ind w:left="57"/>
              <w:rPr>
                <w:sz w:val="20"/>
              </w:rPr>
            </w:pPr>
            <w:r>
              <w:rPr>
                <w:sz w:val="20"/>
              </w:rPr>
              <w:t>Narrowcasting</w:t>
            </w:r>
          </w:p>
        </w:tc>
        <w:tc>
          <w:tcPr>
            <w:tcW w:w="2629" w:type="dxa"/>
            <w:tcBorders>
              <w:top w:val="single" w:sz="4" w:space="0" w:color="000000"/>
              <w:bottom w:val="single" w:sz="4" w:space="0" w:color="000000"/>
            </w:tcBorders>
            <w:shd w:val="clear" w:color="auto" w:fill="F0F0F0"/>
          </w:tcPr>
          <w:p w14:paraId="296A7C30" w14:textId="77777777" w:rsidR="00F66B1B" w:rsidRDefault="00F66B1B" w:rsidP="001002C8">
            <w:pPr>
              <w:pStyle w:val="TableParagraph"/>
              <w:spacing w:before="55"/>
              <w:ind w:left="193"/>
              <w:rPr>
                <w:sz w:val="20"/>
              </w:rPr>
            </w:pPr>
            <w:r>
              <w:rPr>
                <w:sz w:val="20"/>
              </w:rPr>
              <w:t>Class licence</w:t>
            </w:r>
          </w:p>
        </w:tc>
        <w:tc>
          <w:tcPr>
            <w:tcW w:w="3462" w:type="dxa"/>
            <w:tcBorders>
              <w:top w:val="single" w:sz="4" w:space="0" w:color="000000"/>
              <w:bottom w:val="single" w:sz="4" w:space="0" w:color="000000"/>
            </w:tcBorders>
            <w:shd w:val="clear" w:color="auto" w:fill="F0F0F0"/>
          </w:tcPr>
          <w:p w14:paraId="752B0298" w14:textId="77777777" w:rsidR="00F66B1B" w:rsidRDefault="00F66B1B" w:rsidP="001002C8">
            <w:pPr>
              <w:pStyle w:val="TableParagraph"/>
              <w:spacing w:before="55"/>
              <w:ind w:left="257"/>
              <w:rPr>
                <w:sz w:val="20"/>
              </w:rPr>
            </w:pPr>
            <w:r>
              <w:rPr>
                <w:sz w:val="20"/>
              </w:rPr>
              <w:t>240 HPON</w:t>
            </w:r>
          </w:p>
          <w:p w14:paraId="0E0F742A" w14:textId="77777777" w:rsidR="00F66B1B" w:rsidRDefault="00F66B1B" w:rsidP="001002C8">
            <w:pPr>
              <w:pStyle w:val="TableParagraph"/>
              <w:ind w:left="257"/>
              <w:rPr>
                <w:sz w:val="20"/>
              </w:rPr>
            </w:pPr>
            <w:r>
              <w:rPr>
                <w:sz w:val="20"/>
              </w:rPr>
              <w:t>2,370 LPON</w:t>
            </w:r>
          </w:p>
        </w:tc>
      </w:tr>
      <w:tr w:rsidR="00F66B1B" w14:paraId="2A29FA96" w14:textId="77777777" w:rsidTr="00F66B1B">
        <w:trPr>
          <w:trHeight w:hRule="exact" w:val="355"/>
        </w:trPr>
        <w:tc>
          <w:tcPr>
            <w:tcW w:w="1917" w:type="dxa"/>
            <w:tcBorders>
              <w:top w:val="single" w:sz="4" w:space="0" w:color="000000"/>
              <w:bottom w:val="single" w:sz="4" w:space="0" w:color="000000"/>
            </w:tcBorders>
          </w:tcPr>
          <w:p w14:paraId="3F786FC4" w14:textId="77777777" w:rsidR="00F66B1B" w:rsidRDefault="00F66B1B" w:rsidP="001002C8">
            <w:pPr>
              <w:pStyle w:val="TableParagraph"/>
              <w:spacing w:before="57"/>
              <w:ind w:left="72"/>
              <w:rPr>
                <w:sz w:val="20"/>
              </w:rPr>
            </w:pPr>
            <w:r>
              <w:rPr>
                <w:sz w:val="20"/>
              </w:rPr>
              <w:t>Retransmission</w:t>
            </w:r>
          </w:p>
        </w:tc>
        <w:tc>
          <w:tcPr>
            <w:tcW w:w="2629" w:type="dxa"/>
            <w:tcBorders>
              <w:top w:val="single" w:sz="4" w:space="0" w:color="000000"/>
              <w:bottom w:val="single" w:sz="4" w:space="0" w:color="000000"/>
            </w:tcBorders>
          </w:tcPr>
          <w:p w14:paraId="0A64829B" w14:textId="77777777" w:rsidR="00F66B1B" w:rsidRDefault="00F66B1B" w:rsidP="001002C8">
            <w:pPr>
              <w:pStyle w:val="TableParagraph"/>
              <w:spacing w:before="57"/>
              <w:ind w:left="193"/>
              <w:rPr>
                <w:sz w:val="20"/>
              </w:rPr>
            </w:pPr>
            <w:r>
              <w:rPr>
                <w:sz w:val="20"/>
              </w:rPr>
              <w:t>Exempt</w:t>
            </w:r>
          </w:p>
        </w:tc>
        <w:tc>
          <w:tcPr>
            <w:tcW w:w="3462" w:type="dxa"/>
            <w:tcBorders>
              <w:top w:val="single" w:sz="4" w:space="0" w:color="000000"/>
              <w:bottom w:val="single" w:sz="4" w:space="0" w:color="000000"/>
            </w:tcBorders>
          </w:tcPr>
          <w:p w14:paraId="4CF33AF7" w14:textId="77777777" w:rsidR="00F66B1B" w:rsidRDefault="00F66B1B" w:rsidP="001002C8">
            <w:pPr>
              <w:pStyle w:val="TableParagraph"/>
              <w:spacing w:before="57"/>
              <w:ind w:left="257"/>
              <w:rPr>
                <w:sz w:val="20"/>
              </w:rPr>
            </w:pPr>
            <w:r>
              <w:rPr>
                <w:sz w:val="20"/>
              </w:rPr>
              <w:t>830</w:t>
            </w:r>
          </w:p>
        </w:tc>
      </w:tr>
    </w:tbl>
    <w:p w14:paraId="277F12B4" w14:textId="77777777" w:rsidR="00F66B1B" w:rsidRDefault="00F66B1B" w:rsidP="00F66B1B">
      <w:pPr>
        <w:pStyle w:val="Tableorfigurenote"/>
      </w:pPr>
      <w:r>
        <w:t>Source: ACMA licensing registers. In addition to the AM and FM transmitters, commercial, community and national broadcasters provide DAB+ services in each state capital.</w:t>
      </w:r>
    </w:p>
    <w:p w14:paraId="50FD3E6F" w14:textId="77777777" w:rsidR="00F66B1B" w:rsidRDefault="00F66B1B" w:rsidP="0004304E">
      <w:pPr>
        <w:pStyle w:val="Heading3"/>
        <w:keepLines/>
      </w:pPr>
      <w:r>
        <w:lastRenderedPageBreak/>
        <w:t>Spectrum planning of radio outside the BSB</w:t>
      </w:r>
    </w:p>
    <w:p w14:paraId="1E510743" w14:textId="77777777" w:rsidR="00D00E7C" w:rsidRDefault="00F66B1B" w:rsidP="0004304E">
      <w:pPr>
        <w:pStyle w:val="Paragraph"/>
        <w:keepNext/>
        <w:keepLines/>
      </w:pPr>
      <w:r>
        <w:t>Many radio services are delivered using spectrum outside the BSB. The way these services are planned depends on the spectrum used. The Spectrum Plan</w:t>
      </w:r>
      <w:r>
        <w:rPr>
          <w:rStyle w:val="FootnoteReference"/>
        </w:rPr>
        <w:footnoteReference w:id="7"/>
      </w:r>
      <w:r>
        <w:t xml:space="preserve"> provides that broadcasting can take place in bands without a broadcasting allocation in the plan, as along as the transmission meets the technical requirements for the allocated</w:t>
      </w:r>
      <w:r w:rsidR="00D00E7C">
        <w:t xml:space="preserve"> service. The ACMA allocates the transmitter licences—known as narrowband area service licences (NAS) ‘over-the-counter’, in accordance with our published guidance on assigning the required frequencies for these licences. There are 285 NAS licences.</w:t>
      </w:r>
      <w:r w:rsidR="00D00E7C">
        <w:rPr>
          <w:rStyle w:val="FootnoteReference"/>
        </w:rPr>
        <w:footnoteReference w:id="8"/>
      </w:r>
    </w:p>
    <w:p w14:paraId="25904E23" w14:textId="77777777" w:rsidR="00D00E7C" w:rsidRDefault="00D00E7C" w:rsidP="00D00E7C">
      <w:pPr>
        <w:pStyle w:val="Paragraph"/>
      </w:pPr>
      <w:r>
        <w:t>Most non-BSB terrestrial broadcasting takes place in bands planned for low bandwidth applications, such as two-way radio. This means that the audio fidelity of non-BSB radio services is low, sometimes lower than AM. Specialised receivers are usually required to receive such services. The medium frequency NAS band (MF NAS) is located directly above the AM band and transmissions can be received on some standard AM radios. Transmitter licences for this band do not allow commercial broadcasting, unless certain exceptions are met.</w:t>
      </w:r>
      <w:r>
        <w:rPr>
          <w:rStyle w:val="FootnoteReference"/>
        </w:rPr>
        <w:footnoteReference w:id="9"/>
      </w:r>
    </w:p>
    <w:p w14:paraId="2C12626B" w14:textId="1B28CF6E" w:rsidR="00D00E7C" w:rsidRDefault="00D00E7C" w:rsidP="00D00E7C">
      <w:pPr>
        <w:pStyle w:val="Paragraph"/>
      </w:pPr>
      <w:r>
        <w:t>Broadcasting outside the BSB still requires a service licence under the BSA. For commercial radio broadcasting, this will be a commercial radio broadcasting licence issued under section 40 of the BSA.</w:t>
      </w:r>
      <w:r>
        <w:rPr>
          <w:rStyle w:val="FootnoteReference"/>
        </w:rPr>
        <w:footnoteReference w:id="10"/>
      </w:r>
      <w:r>
        <w:t xml:space="preserve"> These are issued </w:t>
      </w:r>
      <w:proofErr w:type="gramStart"/>
      <w:r>
        <w:t>over-the-counter</w:t>
      </w:r>
      <w:proofErr w:type="gramEnd"/>
      <w:r>
        <w:t xml:space="preserve"> for a cost- recovery fee. Narrowcasting outside the BSB must be in accordance with a BSA narrowcasting class licence.</w:t>
      </w:r>
    </w:p>
    <w:p w14:paraId="58566435" w14:textId="398ADB8F" w:rsidR="00D00E7C" w:rsidRDefault="00D00E7C" w:rsidP="00D00E7C">
      <w:pPr>
        <w:pStyle w:val="Paragraph"/>
      </w:pPr>
      <w:r>
        <w:t>Radio is also delivered by satellite. The frequency bands used by satellites are outside of the BSB. Generally</w:t>
      </w:r>
      <w:r w:rsidR="0004304E">
        <w:t>,</w:t>
      </w:r>
      <w:r>
        <w:t xml:space="preserve"> audio content providers will seek capacity on a satellite from an Australian satellite provider with a transmitter licence that authorises the spectrum used by all transmitted services for both the uplink and the downlink.</w:t>
      </w:r>
    </w:p>
    <w:p w14:paraId="054F2E15" w14:textId="77777777" w:rsidR="00B93083" w:rsidRPr="00F66B1B" w:rsidRDefault="00D00E7C" w:rsidP="00D00E7C">
      <w:pPr>
        <w:pStyle w:val="Paragraph"/>
      </w:pPr>
      <w:r>
        <w:t>Satellite delivery of radio also requires content to be authorised by either a BSA licence or a class licence (or by the establishing acts of the national broadcasters).</w:t>
      </w:r>
    </w:p>
    <w:p w14:paraId="49A79386" w14:textId="77777777" w:rsidR="00B648E1" w:rsidRPr="00F66B1B" w:rsidRDefault="00D00E7C" w:rsidP="00E936D4">
      <w:pPr>
        <w:pStyle w:val="Heading1"/>
      </w:pPr>
      <w:bookmarkStart w:id="11" w:name="_Toc35846787"/>
      <w:r>
        <w:lastRenderedPageBreak/>
        <w:t xml:space="preserve">Geographic, platform and device </w:t>
      </w:r>
      <w:r w:rsidRPr="00E936D4">
        <w:t>diversity</w:t>
      </w:r>
      <w:r>
        <w:t xml:space="preserve"> will endure</w:t>
      </w:r>
      <w:bookmarkEnd w:id="11"/>
    </w:p>
    <w:p w14:paraId="3CD368DA" w14:textId="77777777" w:rsidR="00E936D4" w:rsidRPr="00E936D4" w:rsidRDefault="00E936D4" w:rsidP="00E936D4">
      <w:pPr>
        <w:pStyle w:val="Paragraph"/>
      </w:pPr>
      <w:r>
        <w:t>Radio in Australia is delivered by a diverse range of technology platforms over a varied range of devices.</w:t>
      </w:r>
    </w:p>
    <w:p w14:paraId="156A3FA0" w14:textId="77777777" w:rsidR="00E936D4" w:rsidRDefault="00E936D4" w:rsidP="00E936D4">
      <w:pPr>
        <w:pStyle w:val="Heading2"/>
      </w:pPr>
      <w:bookmarkStart w:id="12" w:name="_TOC_250017"/>
      <w:bookmarkStart w:id="13" w:name="_Toc35846788"/>
      <w:bookmarkEnd w:id="12"/>
      <w:r>
        <w:t xml:space="preserve">Delivery </w:t>
      </w:r>
      <w:r w:rsidRPr="00E936D4">
        <w:t>platforms</w:t>
      </w:r>
      <w:r>
        <w:t xml:space="preserve"> and our geographic diversity</w:t>
      </w:r>
      <w:bookmarkEnd w:id="13"/>
    </w:p>
    <w:p w14:paraId="28179B18" w14:textId="77777777" w:rsidR="00E936D4" w:rsidRDefault="00E936D4" w:rsidP="0060424E">
      <w:pPr>
        <w:pStyle w:val="Paragraph"/>
        <w:shd w:val="clear" w:color="auto" w:fill="F2F2F2" w:themeFill="background1" w:themeFillShade="F2"/>
        <w:spacing w:before="120"/>
      </w:pPr>
      <w:r>
        <w:rPr>
          <w:b/>
        </w:rPr>
        <w:t xml:space="preserve">Finding 1: </w:t>
      </w:r>
      <w:r w:rsidRPr="00E936D4">
        <w:t>Australia’s</w:t>
      </w:r>
      <w:r>
        <w:t xml:space="preserve"> geographic diversity and range of listening environments will continue to require a mix of radio delivery platforms.</w:t>
      </w:r>
    </w:p>
    <w:p w14:paraId="2CA5A383" w14:textId="77777777" w:rsidR="00E936D4" w:rsidRDefault="00E936D4" w:rsidP="00E936D4">
      <w:pPr>
        <w:pStyle w:val="Paragraph"/>
        <w:shd w:val="clear" w:color="auto" w:fill="F2F2F2" w:themeFill="background1" w:themeFillShade="F2"/>
      </w:pPr>
      <w:r>
        <w:rPr>
          <w:b/>
        </w:rPr>
        <w:t xml:space="preserve">Finding 2: </w:t>
      </w:r>
      <w:r>
        <w:t>FM and DAB+ cannot economically replicate high-power, wide coverage AM transmissions.</w:t>
      </w:r>
    </w:p>
    <w:p w14:paraId="697EB07B" w14:textId="77777777" w:rsidR="00E936D4" w:rsidRDefault="00E936D4" w:rsidP="00E936D4">
      <w:pPr>
        <w:pStyle w:val="Paragraph"/>
      </w:pPr>
      <w:r w:rsidRPr="00E936D4">
        <w:t>Australia’s</w:t>
      </w:r>
      <w:r>
        <w:t xml:space="preserve"> size and low population density outside the capital cities present challenges for radio delivery. Different technology platforms are either suited to, or challenged by, Australia’s geography and population distribution. A variety of technologies provide broadcasters with choices about how they deliver their service. These choices can be limited by the inherent nature of technology, for example, propagation characteristics and spectrum scarcity for radiocommunications technologies, and capacity and reach for emerging IP streaming channels. Australia’s radio delivery platforms have evolved to meet the challenges of geography and population distribution.</w:t>
      </w:r>
    </w:p>
    <w:p w14:paraId="3C453AFF" w14:textId="77777777" w:rsidR="00E936D4" w:rsidRPr="00E936D4" w:rsidRDefault="00E936D4" w:rsidP="00E936D4">
      <w:pPr>
        <w:pStyle w:val="Paragraph"/>
        <w:rPr>
          <w:sz w:val="13"/>
        </w:rPr>
      </w:pPr>
      <w:r>
        <w:t>We found that a mix of platforms is likely to endure. There isn’t a single technology available in Australia (now or emerging) that is suitable for all geographic situations or for all listening circumstances. Focusing on a single new technology for the future (for its digital advantages) could, for example, disadvantage regional and remote listeners if the technology isn’t suited to the geography or listening environment.</w:t>
      </w:r>
      <w:r>
        <w:rPr>
          <w:rStyle w:val="FootnoteReference"/>
        </w:rPr>
        <w:footnoteReference w:id="11"/>
      </w:r>
    </w:p>
    <w:p w14:paraId="46F51A15" w14:textId="77777777" w:rsidR="00E936D4" w:rsidRDefault="00E936D4" w:rsidP="00E936D4">
      <w:pPr>
        <w:pStyle w:val="Paragraph"/>
      </w:pPr>
      <w:r>
        <w:t>This section of the report examines the delivery platforms currently used in Australia, and their inherent strengths and weaknesses for different delivery contexts.</w:t>
      </w:r>
    </w:p>
    <w:p w14:paraId="43F6827A" w14:textId="77777777" w:rsidR="00E936D4" w:rsidRDefault="00E936D4" w:rsidP="001002C8">
      <w:pPr>
        <w:pStyle w:val="Heading3"/>
      </w:pPr>
      <w:bookmarkStart w:id="14" w:name="_TOC_250016"/>
      <w:bookmarkEnd w:id="14"/>
      <w:r>
        <w:t xml:space="preserve">AM </w:t>
      </w:r>
      <w:r w:rsidRPr="00E936D4">
        <w:t>radio</w:t>
      </w:r>
    </w:p>
    <w:p w14:paraId="62F85CE8" w14:textId="77777777" w:rsidR="00E936D4" w:rsidRDefault="00E936D4" w:rsidP="00E936D4">
      <w:pPr>
        <w:pStyle w:val="Paragraphbeforelist"/>
      </w:pPr>
      <w:r>
        <w:t>AM technology is now approaching its 100th birthday. Despite its excellent coverage capability</w:t>
      </w:r>
      <w:r>
        <w:rPr>
          <w:rStyle w:val="FootnoteReference"/>
        </w:rPr>
        <w:footnoteReference w:id="12"/>
      </w:r>
      <w:r>
        <w:t>, AM has some important technology shortcomings compared with newer technology:</w:t>
      </w:r>
    </w:p>
    <w:p w14:paraId="6D112145" w14:textId="77777777" w:rsidR="00E936D4" w:rsidRDefault="00E936D4" w:rsidP="00E936D4">
      <w:pPr>
        <w:pStyle w:val="Bulletlevel1"/>
      </w:pPr>
      <w:r>
        <w:t>high susceptibility to interference from electrical noise</w:t>
      </w:r>
    </w:p>
    <w:p w14:paraId="453650F9" w14:textId="77777777" w:rsidR="00E936D4" w:rsidRDefault="00E936D4" w:rsidP="00E936D4">
      <w:pPr>
        <w:pStyle w:val="Bulletlevel1"/>
      </w:pPr>
      <w:r>
        <w:t>high power consumption</w:t>
      </w:r>
    </w:p>
    <w:p w14:paraId="4FCD3281" w14:textId="77777777" w:rsidR="00E936D4" w:rsidRDefault="00E936D4" w:rsidP="00E936D4">
      <w:pPr>
        <w:pStyle w:val="Bulletlevel1"/>
      </w:pPr>
      <w:r>
        <w:t>high infrastructure costs, including tall guyed masts</w:t>
      </w:r>
    </w:p>
    <w:p w14:paraId="0E1754BC" w14:textId="26201695" w:rsidR="00E936D4" w:rsidRDefault="00E936D4" w:rsidP="00E936D4">
      <w:pPr>
        <w:pStyle w:val="Bulletlevel1last"/>
      </w:pPr>
      <w:r>
        <w:t xml:space="preserve">opportunity cost of the large land parcels </w:t>
      </w:r>
      <w:r w:rsidR="0004304E">
        <w:t xml:space="preserve">that </w:t>
      </w:r>
      <w:r>
        <w:t>the AM masts require.</w:t>
      </w:r>
    </w:p>
    <w:p w14:paraId="301A69EB" w14:textId="77777777" w:rsidR="00E936D4" w:rsidRDefault="00E936D4" w:rsidP="00E936D4">
      <w:pPr>
        <w:pStyle w:val="Paragraph"/>
      </w:pPr>
      <w:r>
        <w:t>Nevertheless, the favourable signal propagation characteristics of AM means that it continues to play an important role in delivery of radio in regional and remote Australia.</w:t>
      </w:r>
    </w:p>
    <w:p w14:paraId="005E2A00" w14:textId="380F15B7" w:rsidR="00E936D4" w:rsidRDefault="00E936D4" w:rsidP="00E936D4">
      <w:pPr>
        <w:pStyle w:val="Paragraph"/>
      </w:pPr>
      <w:r>
        <w:lastRenderedPageBreak/>
        <w:t xml:space="preserve">Terrestrial radio—AM radio in particular—plays a vital role in informing communities </w:t>
      </w:r>
      <w:r w:rsidR="0004304E">
        <w:t>during</w:t>
      </w:r>
      <w:r>
        <w:t xml:space="preserve"> natural disasters and emergency situations.</w:t>
      </w:r>
      <w:r>
        <w:rPr>
          <w:rStyle w:val="FootnoteReference"/>
        </w:rPr>
        <w:footnoteReference w:id="13"/>
      </w:r>
    </w:p>
    <w:p w14:paraId="377DFC5F" w14:textId="77777777" w:rsidR="00E936D4" w:rsidRDefault="00E936D4" w:rsidP="001002C8">
      <w:pPr>
        <w:pStyle w:val="Heading3"/>
      </w:pPr>
      <w:r>
        <w:t>FM radio</w:t>
      </w:r>
    </w:p>
    <w:p w14:paraId="77478F18" w14:textId="600191DE" w:rsidR="00E936D4" w:rsidRDefault="00E936D4" w:rsidP="00E936D4">
      <w:pPr>
        <w:pStyle w:val="Paragraph"/>
      </w:pPr>
      <w:r>
        <w:t>A single FM transmitter needs relatively inexpensive infrastructure—ideal for community radio. It also provides higher audio fidelity</w:t>
      </w:r>
      <w:r w:rsidR="0004304E">
        <w:t>,</w:t>
      </w:r>
      <w:r>
        <w:t xml:space="preserve"> suitable for music formats and better rejection of interference. Extending coverage through multiple FM transmitters increases infrastructure cost, especially in areas of Australia that lack high points for transmission sites. Spectrum congestion often requires the use of multiple medium- to low-power transmitters to serve the area with the attendant infrastructure costs.</w:t>
      </w:r>
    </w:p>
    <w:p w14:paraId="0F4977FE" w14:textId="438B5111" w:rsidR="00E936D4" w:rsidRDefault="00E936D4" w:rsidP="00E936D4">
      <w:pPr>
        <w:pStyle w:val="Paragraph"/>
      </w:pPr>
      <w:r>
        <w:t xml:space="preserve">Therefore, it cannot economically replicate </w:t>
      </w:r>
      <w:proofErr w:type="gramStart"/>
      <w:r>
        <w:t>wide</w:t>
      </w:r>
      <w:r w:rsidR="0004304E">
        <w:t>-</w:t>
      </w:r>
      <w:r>
        <w:t>coverage</w:t>
      </w:r>
      <w:proofErr w:type="gramEnd"/>
      <w:r>
        <w:t xml:space="preserve"> AM transmissions, such as those used by the ABC (and some commercial and community broadcasters) to serve regional and remote areas between the major towns.</w:t>
      </w:r>
      <w:r>
        <w:rPr>
          <w:rStyle w:val="FootnoteReference"/>
        </w:rPr>
        <w:footnoteReference w:id="14"/>
      </w:r>
    </w:p>
    <w:p w14:paraId="108D10E3" w14:textId="77777777" w:rsidR="00E936D4" w:rsidRDefault="00E936D4" w:rsidP="001002C8">
      <w:pPr>
        <w:pStyle w:val="Heading3"/>
      </w:pPr>
      <w:r>
        <w:t>DAB+ terrestrial digital radio</w:t>
      </w:r>
    </w:p>
    <w:p w14:paraId="0ECD7E21" w14:textId="77777777" w:rsidR="00E936D4" w:rsidRDefault="00E936D4" w:rsidP="00E936D4">
      <w:pPr>
        <w:pStyle w:val="Paragraph"/>
      </w:pPr>
      <w:r>
        <w:t>DAB+ signals have similar propagation characteristics to FM. There are only eight frequency blocks available for DAB+. These need to be reused across Australia to provide for digital radio in every commercial licence area. In practice, this means limiting the power of the ‘main’ DAB+ transmitters, and augmenting coverage using single-frequency networks of lower-power infill transmitters. This can be expensive to deploy, particularly where a licence area has multiple dispersed population centres and highways requiring coverage. Like FM, DAB+ can’t replicate wide coverage AM.</w:t>
      </w:r>
      <w:r>
        <w:rPr>
          <w:rStyle w:val="FootnoteReference"/>
        </w:rPr>
        <w:footnoteReference w:id="15"/>
      </w:r>
    </w:p>
    <w:p w14:paraId="7C6C6B29" w14:textId="77777777" w:rsidR="00E936D4" w:rsidRDefault="00E936D4" w:rsidP="001002C8">
      <w:pPr>
        <w:pStyle w:val="Heading3"/>
      </w:pPr>
      <w:r>
        <w:t>Satellite</w:t>
      </w:r>
    </w:p>
    <w:p w14:paraId="6658066B" w14:textId="77777777" w:rsidR="00E936D4" w:rsidRDefault="00E936D4" w:rsidP="00E936D4">
      <w:pPr>
        <w:pStyle w:val="Paragraph"/>
      </w:pPr>
      <w:r>
        <w:t>Satellite broadcasting is inherently well suited to provide a national, or wide-area footprint of radio services across Australia. Satellite is used for direct-to-home (DTH) delivery of radio and television through the VAST and Foxtel platforms. We note the issues of maintaining DTH satellite reception equipment in remote communities.</w:t>
      </w:r>
      <w:r>
        <w:rPr>
          <w:rStyle w:val="FootnoteReference"/>
        </w:rPr>
        <w:footnoteReference w:id="16"/>
      </w:r>
    </w:p>
    <w:p w14:paraId="59FB20E5" w14:textId="77777777" w:rsidR="00E936D4" w:rsidRDefault="00E936D4" w:rsidP="00E936D4">
      <w:pPr>
        <w:pStyle w:val="Paragraph"/>
      </w:pPr>
      <w:r>
        <w:t>Today’s DTH satellites in Australia are not suitable for mobile reception, mostly due to the satellite dish size required to receive the signal.</w:t>
      </w:r>
      <w:r>
        <w:rPr>
          <w:rStyle w:val="FootnoteReference"/>
        </w:rPr>
        <w:footnoteReference w:id="17"/>
      </w:r>
      <w:r>
        <w:t xml:space="preserve"> Mobile satellite technology is discussed later in this report.</w:t>
      </w:r>
    </w:p>
    <w:p w14:paraId="1229CBDC" w14:textId="77777777" w:rsidR="00E936D4" w:rsidRDefault="00E936D4" w:rsidP="001002C8">
      <w:pPr>
        <w:pStyle w:val="Heading3"/>
      </w:pPr>
      <w:r>
        <w:t>Radio delivered by digital television</w:t>
      </w:r>
    </w:p>
    <w:p w14:paraId="687E6227" w14:textId="77777777" w:rsidR="00B648E1" w:rsidRDefault="00E936D4" w:rsidP="00E936D4">
      <w:pPr>
        <w:pStyle w:val="Paragraph"/>
      </w:pPr>
      <w:r>
        <w:t>The ABC and SBS make most of their live radio services also available via digital television. Therefore, any household with a digital television receiver has in-home access to most of the national broadcasting radio services.</w:t>
      </w:r>
      <w:r>
        <w:rPr>
          <w:rStyle w:val="FootnoteReference"/>
        </w:rPr>
        <w:footnoteReference w:id="18"/>
      </w:r>
      <w:r>
        <w:t xml:space="preserve"> The coverage footprint is limited to the terrestrial television footprint (outside of which television is delivered via VAST satellite).</w:t>
      </w:r>
    </w:p>
    <w:p w14:paraId="53886AF4" w14:textId="77777777" w:rsidR="001002C8" w:rsidRDefault="001002C8" w:rsidP="001002C8">
      <w:pPr>
        <w:pStyle w:val="Heading3"/>
      </w:pPr>
      <w:r>
        <w:t>IP delivery</w:t>
      </w:r>
    </w:p>
    <w:p w14:paraId="337BE4FD" w14:textId="31D54DFD" w:rsidR="001002C8" w:rsidRDefault="001002C8" w:rsidP="001002C8">
      <w:pPr>
        <w:pStyle w:val="Paragraph"/>
      </w:pPr>
      <w:r>
        <w:t>In recent years, live or ‘linear’ radio has been available via IP streaming to fixed and mobile listeners via broadband delivery methods such as fixed</w:t>
      </w:r>
      <w:r w:rsidR="0004304E">
        <w:t>-</w:t>
      </w:r>
      <w:r>
        <w:t xml:space="preserve">line, wi-fi, wireless internet services, and through 4G and 5G mobile broadband. Radio over these platforms is lightly regulated. Without regulatory barriers to entry, new radio services </w:t>
      </w:r>
      <w:r>
        <w:lastRenderedPageBreak/>
        <w:t>are available from around the world. Live radio is now complemented with audio-on- demand content, including subscription music-on-demand services and podcasting. Traditional broadcast radio is responding with its own podcasting and catch-up radio initiatives.</w:t>
      </w:r>
      <w:r>
        <w:rPr>
          <w:rStyle w:val="FootnoteReference"/>
        </w:rPr>
        <w:footnoteReference w:id="19"/>
      </w:r>
    </w:p>
    <w:p w14:paraId="330C894A" w14:textId="77777777" w:rsidR="001002C8" w:rsidRDefault="001002C8" w:rsidP="001002C8">
      <w:pPr>
        <w:pStyle w:val="Paragraph"/>
      </w:pPr>
      <w:r>
        <w:t>Unicast or point-to-point transmission of individual streams to each user is the predominant form of IP-based/internet transmission. Unicast mobile IP radio streaming through wi-fi and carrier networks has its own inherent challenges of coverage footprint, capacity and cost—which means it can be limited in crowd situations (for example, stadiums). In addition, mobile unicast technologies and business models cannot deliver audio-visual services to mass audiences at fixed costs, as the distribution cost increases as the size of the audience increases.</w:t>
      </w:r>
    </w:p>
    <w:p w14:paraId="02FBAB63" w14:textId="543DD4EE" w:rsidR="001002C8" w:rsidRDefault="001002C8" w:rsidP="001002C8">
      <w:pPr>
        <w:pStyle w:val="Paragraph"/>
      </w:pPr>
      <w:r>
        <w:t xml:space="preserve">More recent technology developments </w:t>
      </w:r>
      <w:r w:rsidR="0004304E">
        <w:t xml:space="preserve">that </w:t>
      </w:r>
      <w:r>
        <w:t>enable multicast or point-to-multipoint IP streaming could potentially mitigate the capacity issue. It is expected that future 5G networks will include one or several multicast transmission modes for IP streaming for efficient provision of mass multimedia services, including linear radio broadcasting.</w:t>
      </w:r>
    </w:p>
    <w:p w14:paraId="0BEA9DBB" w14:textId="77777777" w:rsidR="001002C8" w:rsidRDefault="001002C8" w:rsidP="001002C8">
      <w:pPr>
        <w:pStyle w:val="Paragraph"/>
      </w:pPr>
      <w:r>
        <w:t>Developments in mobile IP streaming technologies and their potential for the delivery of the radio services in the future is discussed later in this report.</w:t>
      </w:r>
    </w:p>
    <w:p w14:paraId="42B1BB38" w14:textId="77777777" w:rsidR="001002C8" w:rsidRDefault="001002C8" w:rsidP="001002C8">
      <w:pPr>
        <w:pStyle w:val="Heading2"/>
      </w:pPr>
      <w:bookmarkStart w:id="15" w:name="_Toc35846789"/>
      <w:r>
        <w:t>Device diversity</w:t>
      </w:r>
      <w:bookmarkEnd w:id="15"/>
    </w:p>
    <w:p w14:paraId="37682B3A" w14:textId="77777777" w:rsidR="001002C8" w:rsidRDefault="001002C8" w:rsidP="001002C8">
      <w:pPr>
        <w:pStyle w:val="Paragraph"/>
      </w:pPr>
      <w:r>
        <w:t>The availability to consumers of receiving devices is an important consideration for the delivery platform technology mix. An advantage of radio delivered over the global BSB using internationally standardised technology, is that economies of scale allow the availability of ubiquitous receiving devices.</w:t>
      </w:r>
    </w:p>
    <w:p w14:paraId="324F1D19" w14:textId="77777777" w:rsidR="001002C8" w:rsidRDefault="001002C8" w:rsidP="001002C8">
      <w:pPr>
        <w:pStyle w:val="Paragraph"/>
      </w:pPr>
      <w:r>
        <w:t>We have seen that IP-delivered radio now has a very diverse ecosystem of devices, including computers, tablets, mobile phones, in-vehicle entertainment systems, smart- TVs and smart-speakers. Older technology such as AM and FM and DAB+ have devices suitable for in-car, home and portable reception (and often the same device is a hybrid, capable of multiple delivery platforms).</w:t>
      </w:r>
    </w:p>
    <w:p w14:paraId="201C176F" w14:textId="77777777" w:rsidR="001002C8" w:rsidRDefault="001002C8" w:rsidP="001002C8">
      <w:pPr>
        <w:pStyle w:val="Paragraph"/>
      </w:pPr>
      <w:r>
        <w:t>This mix of multiple devices, regardless of technology, allows radio to be received in different listening contexts. For commercial radio, the mix of devices and delivery technologies (especially digital technologies with their capacity for multiple services) provides the opportunity to discover new audiences and grow the business.</w:t>
      </w:r>
      <w:r>
        <w:rPr>
          <w:rStyle w:val="FootnoteReference"/>
        </w:rPr>
        <w:footnoteReference w:id="20"/>
      </w:r>
    </w:p>
    <w:p w14:paraId="70BBBE82" w14:textId="77777777" w:rsidR="001002C8" w:rsidRDefault="001002C8" w:rsidP="001002C8">
      <w:pPr>
        <w:pStyle w:val="Paragraph"/>
      </w:pPr>
      <w:r>
        <w:t>Because the different capabilities of available radio technologies are well suited to different geographic and demographic conditions, it is likely that a mix of technologies will continue to be needed to serve different markets in metropolitan, regional and remote Australia, across a range of different listening environments at home, on the move and in the car.</w:t>
      </w:r>
    </w:p>
    <w:p w14:paraId="6D88827A" w14:textId="77777777" w:rsidR="001002C8" w:rsidRDefault="001002C8" w:rsidP="001002C8">
      <w:pPr>
        <w:pStyle w:val="Paragraph"/>
      </w:pPr>
      <w:r>
        <w:t xml:space="preserve">Delivery platforms and devices for in-car listening are of </w:t>
      </w:r>
      <w:proofErr w:type="gramStart"/>
      <w:r>
        <w:t>particular importance</w:t>
      </w:r>
      <w:proofErr w:type="gramEnd"/>
      <w:r>
        <w:t xml:space="preserve"> for the future of delivery, given Australia’s high level of radio listening in vehicles. Delivery of radio to devices in vehicles will remain the key challenge of any new technology mix. We have received new information about the transition path for in-vehicle entertainment systems. This is discussed in the section on </w:t>
      </w:r>
      <w:r w:rsidRPr="0060424E">
        <w:rPr>
          <w:u w:color="0000FF"/>
        </w:rPr>
        <w:t>in-car reception</w:t>
      </w:r>
      <w:r>
        <w:t>.</w:t>
      </w:r>
    </w:p>
    <w:p w14:paraId="290268E6" w14:textId="77777777" w:rsidR="001002C8" w:rsidRDefault="001002C8" w:rsidP="001002C8">
      <w:pPr>
        <w:pStyle w:val="Heading1"/>
      </w:pPr>
      <w:bookmarkStart w:id="16" w:name="_Toc35846790"/>
      <w:r>
        <w:lastRenderedPageBreak/>
        <w:t>Listener preferences are changing</w:t>
      </w:r>
      <w:bookmarkEnd w:id="16"/>
    </w:p>
    <w:p w14:paraId="5C7F0CA8" w14:textId="2908D97C" w:rsidR="001002C8" w:rsidRPr="001002C8" w:rsidRDefault="001002C8" w:rsidP="001002C8">
      <w:pPr>
        <w:pStyle w:val="Paragraph"/>
        <w:shd w:val="clear" w:color="auto" w:fill="F2F2F2" w:themeFill="background1" w:themeFillShade="F2"/>
      </w:pPr>
      <w:r>
        <w:rPr>
          <w:b/>
        </w:rPr>
        <w:t xml:space="preserve">Finding 3: </w:t>
      </w:r>
      <w:r>
        <w:t xml:space="preserve">While </w:t>
      </w:r>
      <w:r w:rsidR="003913A7">
        <w:t xml:space="preserve">listening to </w:t>
      </w:r>
      <w:r>
        <w:t>live radio remains strong, and</w:t>
      </w:r>
      <w:r w:rsidR="003913A7">
        <w:t xml:space="preserve"> listening to</w:t>
      </w:r>
      <w:r>
        <w:t xml:space="preserve"> AM rates well for older audiences, its audience base is gradually declining over time. Younger listeners are preferring music-based FM formats and online.</w:t>
      </w:r>
    </w:p>
    <w:p w14:paraId="11155F5A" w14:textId="77777777" w:rsidR="001002C8" w:rsidRDefault="001002C8" w:rsidP="00880DF3">
      <w:pPr>
        <w:pStyle w:val="Heading2"/>
      </w:pPr>
      <w:bookmarkStart w:id="17" w:name="_TOC_250008"/>
      <w:bookmarkStart w:id="18" w:name="_Toc35846791"/>
      <w:bookmarkEnd w:id="17"/>
      <w:r w:rsidRPr="00880DF3">
        <w:t>Live</w:t>
      </w:r>
      <w:r>
        <w:t xml:space="preserve"> radio remains important to Australians</w:t>
      </w:r>
      <w:bookmarkEnd w:id="18"/>
    </w:p>
    <w:p w14:paraId="7BF7BCC2" w14:textId="77777777" w:rsidR="001002C8" w:rsidRPr="001002C8" w:rsidRDefault="001002C8" w:rsidP="001002C8">
      <w:pPr>
        <w:pStyle w:val="Paragraph"/>
        <w:rPr>
          <w:sz w:val="13"/>
        </w:rPr>
      </w:pPr>
      <w:r>
        <w:t xml:space="preserve">In the 12 months to </w:t>
      </w:r>
      <w:r w:rsidRPr="001002C8">
        <w:t>June</w:t>
      </w:r>
      <w:r>
        <w:t xml:space="preserve"> 2019, 83 per cent of Australian adults listened to some radio in an average seven-day period compared to 86 per cent during the same period in 2018.</w:t>
      </w:r>
      <w:r>
        <w:rPr>
          <w:rStyle w:val="FootnoteReference"/>
        </w:rPr>
        <w:footnoteReference w:id="21"/>
      </w:r>
    </w:p>
    <w:p w14:paraId="37A0A894" w14:textId="131EDD3D" w:rsidR="001002C8" w:rsidRPr="001002C8" w:rsidRDefault="001002C8" w:rsidP="001002C8">
      <w:pPr>
        <w:pStyle w:val="Paragraph"/>
        <w:rPr>
          <w:sz w:val="13"/>
        </w:rPr>
      </w:pPr>
      <w:r>
        <w:t>Despite the range of new sources of audio content now available to Australians, listing to live radio remains important. In 2019, listening to live Australian radio accounted for</w:t>
      </w:r>
      <w:r w:rsidR="003913A7">
        <w:t xml:space="preserve"> </w:t>
      </w:r>
      <w:r>
        <w:t>61.3 per cent of all audio listening within a seven-day period for those aged 10 and over. This compares with 15.0 per cent for streamed music services such as Spotify, Apple music and free streams. For the first time, daily time spent listening to podcasts for those aged 10 and over (15 minutes per day) jumped ahead of purchased music (14 minutes per day).</w:t>
      </w:r>
      <w:r>
        <w:rPr>
          <w:rStyle w:val="FootnoteReference"/>
        </w:rPr>
        <w:footnoteReference w:id="22"/>
      </w:r>
      <w:r>
        <w:rPr>
          <w:position w:val="6"/>
          <w:sz w:val="13"/>
        </w:rPr>
        <w:t xml:space="preserve"> </w:t>
      </w:r>
      <w:r>
        <w:t>Daily time spent listening to live radio in 2019 is up two minutes from the previous year</w:t>
      </w:r>
      <w:r w:rsidR="003913A7">
        <w:t>,</w:t>
      </w:r>
      <w:r>
        <w:t xml:space="preserve"> at two hours, seven minutes per day.</w:t>
      </w:r>
      <w:r>
        <w:rPr>
          <w:rStyle w:val="FootnoteReference"/>
        </w:rPr>
        <w:footnoteReference w:id="23"/>
      </w:r>
    </w:p>
    <w:p w14:paraId="296FF528" w14:textId="77777777" w:rsidR="001002C8" w:rsidRDefault="001002C8" w:rsidP="001002C8">
      <w:pPr>
        <w:pStyle w:val="Paragraph"/>
        <w:rPr>
          <w:sz w:val="13"/>
        </w:rPr>
      </w:pPr>
      <w:r>
        <w:t>Figure 1 shows average time listening to different audio delivery platforms per week. It shows that radio listening increases with age, and that older Australians are more likely to listen to AM radio, especially in the home. Average time spent listening to AM at home or in the car in the week before the survey was 4.4 hours, compared to 9.2 hours for FM, 1.6 hours for DAB+ and one hour for the internet. The time spent listening to radio online via the internet was unchanged from 2018. Listening to radio online is highest among those aged under 45. AM radio usage is higher among those aged 45 and over, while younger audiences spend more time listening to FM radio.</w:t>
      </w:r>
      <w:r>
        <w:rPr>
          <w:rStyle w:val="FootnoteReference"/>
        </w:rPr>
        <w:footnoteReference w:id="24"/>
      </w:r>
    </w:p>
    <w:p w14:paraId="471CCCA2" w14:textId="77777777" w:rsidR="001002C8" w:rsidRDefault="001002C8" w:rsidP="001002C8">
      <w:pPr>
        <w:pStyle w:val="BodyText"/>
        <w:spacing w:before="11"/>
        <w:rPr>
          <w:sz w:val="21"/>
        </w:rPr>
      </w:pPr>
    </w:p>
    <w:p w14:paraId="36E3392B" w14:textId="2F88B1E8" w:rsidR="001002C8" w:rsidRDefault="001002C8" w:rsidP="00B90CC6">
      <w:pPr>
        <w:pStyle w:val="Figureheading"/>
        <w:keepLines/>
      </w:pPr>
      <w:r>
        <w:lastRenderedPageBreak/>
        <w:t>Average time spent listing to the radio (AM, FM, DAB+ and</w:t>
      </w:r>
      <w:r>
        <w:rPr>
          <w:spacing w:val="-12"/>
        </w:rPr>
        <w:t xml:space="preserve"> </w:t>
      </w:r>
      <w:r>
        <w:t>online</w:t>
      </w:r>
      <w:r>
        <w:rPr>
          <w:spacing w:val="-3"/>
        </w:rPr>
        <w:t xml:space="preserve"> </w:t>
      </w:r>
      <w:r>
        <w:t>in</w:t>
      </w:r>
      <w:r>
        <w:rPr>
          <w:w w:val="99"/>
        </w:rPr>
        <w:t xml:space="preserve"> </w:t>
      </w:r>
      <w:r>
        <w:t>the previous 7</w:t>
      </w:r>
      <w:r>
        <w:rPr>
          <w:spacing w:val="-8"/>
        </w:rPr>
        <w:t xml:space="preserve"> </w:t>
      </w:r>
      <w:r>
        <w:t>days)</w:t>
      </w:r>
    </w:p>
    <w:p w14:paraId="2B3A4939" w14:textId="77777777" w:rsidR="00B90CC6" w:rsidRDefault="00B90CC6" w:rsidP="00B90CC6">
      <w:pPr>
        <w:pStyle w:val="Paragraph"/>
        <w:keepNext/>
        <w:keepLines/>
        <w:rPr>
          <w:noProof/>
        </w:rPr>
      </w:pPr>
    </w:p>
    <w:p w14:paraId="46150A0D" w14:textId="2FF37E1F" w:rsidR="001002C8" w:rsidRPr="001002C8" w:rsidRDefault="001002C8" w:rsidP="00B90CC6">
      <w:pPr>
        <w:pStyle w:val="Paragraph"/>
        <w:keepNext/>
        <w:keepLines/>
      </w:pPr>
      <w:r>
        <w:rPr>
          <w:noProof/>
        </w:rPr>
        <w:drawing>
          <wp:inline distT="0" distB="0" distL="0" distR="0" wp14:anchorId="3109EE5E" wp14:editId="7DE8CE64">
            <wp:extent cx="5148262" cy="2553989"/>
            <wp:effectExtent l="0" t="0" r="0" b="0"/>
            <wp:docPr id="8" name="Picture 8" descr="Graph showing radio listening tim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24">
                      <a:extLst>
                        <a:ext uri="{28A0092B-C50C-407E-A947-70E740481C1C}">
                          <a14:useLocalDpi xmlns:a14="http://schemas.microsoft.com/office/drawing/2010/main" val="0"/>
                        </a:ext>
                      </a:extLst>
                    </a:blip>
                    <a:srcRect/>
                    <a:stretch/>
                  </pic:blipFill>
                  <pic:spPr bwMode="auto">
                    <a:xfrm>
                      <a:off x="0" y="0"/>
                      <a:ext cx="5152239" cy="2555962"/>
                    </a:xfrm>
                    <a:prstGeom prst="rect">
                      <a:avLst/>
                    </a:prstGeom>
                    <a:noFill/>
                    <a:ln>
                      <a:noFill/>
                    </a:ln>
                    <a:extLst>
                      <a:ext uri="{53640926-AAD7-44D8-BBD7-CCE9431645EC}">
                        <a14:shadowObscured xmlns:a14="http://schemas.microsoft.com/office/drawing/2010/main"/>
                      </a:ext>
                    </a:extLst>
                  </pic:spPr>
                </pic:pic>
              </a:graphicData>
            </a:graphic>
          </wp:inline>
        </w:drawing>
      </w:r>
    </w:p>
    <w:p w14:paraId="302F6FFD" w14:textId="2A1DD40B" w:rsidR="001002C8" w:rsidRDefault="001002C8" w:rsidP="00B90CC6">
      <w:pPr>
        <w:pStyle w:val="Tableorfigurenotemultiple"/>
        <w:keepNext/>
        <w:keepLines/>
      </w:pPr>
      <w:r>
        <w:t>Base: Australians aged 18 and over who listened to the radio in the previous seven days (n=1,889); 18– 34 years (n=299), 35–64 years (n=616), 65–74 years (n=786), 75+ years (n=188).</w:t>
      </w:r>
    </w:p>
    <w:p w14:paraId="26E7F987" w14:textId="555C7DC4" w:rsidR="001002C8" w:rsidRDefault="001002C8" w:rsidP="00B90CC6">
      <w:pPr>
        <w:pStyle w:val="Tableorfigurenotemultiple"/>
        <w:keepNext/>
        <w:keepLines/>
      </w:pPr>
      <w:r>
        <w:t>Note 1: Numbers may not add up to category total due to rounding.</w:t>
      </w:r>
    </w:p>
    <w:p w14:paraId="2C5C87DC" w14:textId="5851A4E3" w:rsidR="001002C8" w:rsidRDefault="001002C8" w:rsidP="001002C8">
      <w:pPr>
        <w:pStyle w:val="Tableorfigurenotemultiple"/>
      </w:pPr>
      <w:r>
        <w:t>Note 2: Data label for values &lt;1 per cent are not displayed.</w:t>
      </w:r>
    </w:p>
    <w:p w14:paraId="69112EC5" w14:textId="4F2F8CC1" w:rsidR="003913A7" w:rsidRDefault="001002C8" w:rsidP="001002C8">
      <w:pPr>
        <w:pStyle w:val="Tableorfigurenotemultiple"/>
      </w:pPr>
      <w:r>
        <w:t xml:space="preserve">Note 3: Time spent listening to digital radio was only asked of those who live in metropolitan areas. </w:t>
      </w:r>
    </w:p>
    <w:p w14:paraId="74D4D843" w14:textId="10215045" w:rsidR="001002C8" w:rsidRDefault="001002C8" w:rsidP="001002C8">
      <w:pPr>
        <w:pStyle w:val="Tableorfigurenotemultiple"/>
      </w:pPr>
      <w:r>
        <w:t>Source: ACMA-commissioned survey, May 2019.</w:t>
      </w:r>
    </w:p>
    <w:p w14:paraId="24797E46" w14:textId="77777777" w:rsidR="001002C8" w:rsidRDefault="001002C8" w:rsidP="001002C8">
      <w:pPr>
        <w:pStyle w:val="BodyText"/>
        <w:spacing w:before="8"/>
        <w:rPr>
          <w:i/>
          <w:sz w:val="18"/>
        </w:rPr>
      </w:pPr>
    </w:p>
    <w:p w14:paraId="63EE07B0" w14:textId="3BA8A580" w:rsidR="001002C8" w:rsidRDefault="001002C8" w:rsidP="006657F7">
      <w:pPr>
        <w:pStyle w:val="Paragraph"/>
        <w:rPr>
          <w:sz w:val="13"/>
        </w:rPr>
      </w:pPr>
      <w:r>
        <w:t>For remote Australians, radio is even more highly valued. ACMA research undertaken in 2016 found that remote Western Australians spend significantly more time listening to the radio (AM, FM and online) than the rest of the nation. The number of hours spent listening to AM radio in remote areas is double that of the regional and national levels, with most of the time spent listening to radio in the car.</w:t>
      </w:r>
      <w:r w:rsidR="006657F7">
        <w:rPr>
          <w:rStyle w:val="FootnoteReference"/>
        </w:rPr>
        <w:footnoteReference w:id="25"/>
      </w:r>
    </w:p>
    <w:p w14:paraId="3DA9D6FC" w14:textId="77777777" w:rsidR="001002C8" w:rsidRDefault="001002C8" w:rsidP="006657F7">
      <w:pPr>
        <w:pStyle w:val="Heading3"/>
      </w:pPr>
      <w:r>
        <w:t>Younger audiences prefer FM</w:t>
      </w:r>
    </w:p>
    <w:p w14:paraId="76B67B8C" w14:textId="7D5520F4" w:rsidR="001002C8" w:rsidRDefault="001002C8" w:rsidP="0060424E">
      <w:pPr>
        <w:pStyle w:val="Paragraph"/>
      </w:pPr>
      <w:r>
        <w:t xml:space="preserve">While audiences remain strong for talk-based AM in the metropolitan licence areas, </w:t>
      </w:r>
      <w:r w:rsidRPr="004501DC">
        <w:t xml:space="preserve">the industry confirmed to us that AM is under pressure. There is broad agreement that </w:t>
      </w:r>
      <w:r w:rsidRPr="00423F6B">
        <w:t>AM audiences are declining</w:t>
      </w:r>
      <w:r w:rsidRPr="004501DC">
        <w:t>.</w:t>
      </w:r>
      <w:r w:rsidR="006657F7" w:rsidRPr="004501DC">
        <w:rPr>
          <w:rStyle w:val="FootnoteReference"/>
        </w:rPr>
        <w:footnoteReference w:id="26"/>
      </w:r>
      <w:r>
        <w:rPr>
          <w:position w:val="6"/>
          <w:sz w:val="13"/>
        </w:rPr>
        <w:t xml:space="preserve"> </w:t>
      </w:r>
      <w:r>
        <w:t>Talk-based AM radio continues to rate well with audiences, predominantly with older audiences. Younger listeners are preferring music-based formats, which are better suited to FM, with its greater fidelity and interference performance compared to AM.</w:t>
      </w:r>
    </w:p>
    <w:p w14:paraId="4F275947" w14:textId="13A65A57" w:rsidR="00076ABC" w:rsidRPr="00076ABC" w:rsidRDefault="001002C8" w:rsidP="00076ABC">
      <w:pPr>
        <w:pStyle w:val="Paragraph"/>
        <w:rPr>
          <w:sz w:val="13"/>
        </w:rPr>
      </w:pPr>
      <w:r w:rsidRPr="004501DC">
        <w:t xml:space="preserve">The </w:t>
      </w:r>
      <w:r w:rsidRPr="00423F6B">
        <w:t>audience base for</w:t>
      </w:r>
      <w:r w:rsidRPr="004501DC">
        <w:t xml:space="preserve"> </w:t>
      </w:r>
      <w:r w:rsidRPr="00423F6B">
        <w:t>AM has been gradually declining</w:t>
      </w:r>
      <w:r w:rsidRPr="004501DC">
        <w:t xml:space="preserve"> ever</w:t>
      </w:r>
      <w:r>
        <w:t xml:space="preserve"> since the introduction of commercial FM radio from 1980. In 1980, AM accounted for 93 per cent of the audience share in the Sydney market</w:t>
      </w:r>
      <w:r w:rsidR="00076ABC">
        <w:t>.</w:t>
      </w:r>
      <w:r w:rsidR="00076ABC">
        <w:rPr>
          <w:rStyle w:val="FootnoteReference"/>
        </w:rPr>
        <w:footnoteReference w:id="27"/>
      </w:r>
      <w:r w:rsidR="00076ABC">
        <w:t xml:space="preserve"> </w:t>
      </w:r>
      <w:r>
        <w:t>Recent ACMA research shows that at May</w:t>
      </w:r>
      <w:r w:rsidR="00076ABC">
        <w:t xml:space="preserve"> 2019, in the previous week, 78 per cent had listened to FM radio, 33 per cent to AM </w:t>
      </w:r>
      <w:r w:rsidR="00076ABC">
        <w:lastRenderedPageBreak/>
        <w:t>radio, 16 per cent to digital radio (DAB+) (metropolitan areas only) and 12 per cent to radio online.</w:t>
      </w:r>
      <w:r w:rsidR="00076ABC">
        <w:rPr>
          <w:rStyle w:val="FootnoteReference"/>
        </w:rPr>
        <w:footnoteReference w:id="28"/>
      </w:r>
    </w:p>
    <w:p w14:paraId="0AA42DB5" w14:textId="61F9F073" w:rsidR="00076ABC" w:rsidRDefault="00076ABC" w:rsidP="00076ABC">
      <w:pPr>
        <w:pStyle w:val="Paragraph"/>
      </w:pPr>
      <w:r>
        <w:t>We asked Australians why they are not tuning into AM. The results are in Figure 2. Most people (60 per cent) said it was because of the format. Other reasons included audio quality (23 per cent), scratchy reception (18 per cent) or interference (11 per cent).</w:t>
      </w:r>
    </w:p>
    <w:p w14:paraId="4C8A6576" w14:textId="12827FBF" w:rsidR="001F248E" w:rsidRDefault="001F248E" w:rsidP="001F248E">
      <w:pPr>
        <w:pStyle w:val="Figureheading"/>
      </w:pPr>
      <w:r>
        <w:t>Reasons for not listening to AM</w:t>
      </w:r>
      <w:r>
        <w:rPr>
          <w:spacing w:val="-15"/>
        </w:rPr>
        <w:t xml:space="preserve"> </w:t>
      </w:r>
      <w:r>
        <w:t>radio</w:t>
      </w:r>
    </w:p>
    <w:p w14:paraId="091D6B15" w14:textId="6FA8C29F" w:rsidR="00076ABC" w:rsidRPr="00076ABC" w:rsidRDefault="008F0656" w:rsidP="001F248E">
      <w:pPr>
        <w:pStyle w:val="Figureheading"/>
        <w:numPr>
          <w:ilvl w:val="0"/>
          <w:numId w:val="0"/>
        </w:numPr>
      </w:pPr>
      <w:r>
        <w:rPr>
          <w:noProof/>
        </w:rPr>
        <w:drawing>
          <wp:inline distT="0" distB="0" distL="0" distR="0" wp14:anchorId="69120641" wp14:editId="44A6322D">
            <wp:extent cx="5610225" cy="3600284"/>
            <wp:effectExtent l="0" t="0" r="0" b="635"/>
            <wp:docPr id="9" name="image5.png" descr="Graph showing reasons for not liste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25" cstate="print"/>
                    <a:stretch>
                      <a:fillRect/>
                    </a:stretch>
                  </pic:blipFill>
                  <pic:spPr>
                    <a:xfrm>
                      <a:off x="0" y="0"/>
                      <a:ext cx="5612419" cy="3601692"/>
                    </a:xfrm>
                    <a:prstGeom prst="rect">
                      <a:avLst/>
                    </a:prstGeom>
                  </pic:spPr>
                </pic:pic>
              </a:graphicData>
            </a:graphic>
          </wp:inline>
        </w:drawing>
      </w:r>
    </w:p>
    <w:p w14:paraId="6B07F25D" w14:textId="383F4AE5" w:rsidR="00076ABC" w:rsidRDefault="00076ABC" w:rsidP="00076ABC">
      <w:pPr>
        <w:pStyle w:val="Tableorfigurenotemultiple"/>
      </w:pPr>
      <w:r>
        <w:t>Base: Australians aged 18 and over who did not listen to AM radio at home or in the car or somewhere else in the past six months (n=1,093).</w:t>
      </w:r>
    </w:p>
    <w:p w14:paraId="2AE9C53C" w14:textId="6F28F3DA" w:rsidR="00076ABC" w:rsidRDefault="00076ABC" w:rsidP="0060424E">
      <w:pPr>
        <w:pStyle w:val="Tableorfigurenotemultiple"/>
        <w:spacing w:after="360"/>
      </w:pPr>
      <w:r>
        <w:t>Note: Data includes multiple responses. Source: ACMA commissioned survey, May 2019.</w:t>
      </w:r>
    </w:p>
    <w:p w14:paraId="49348DEF" w14:textId="7E14BF49" w:rsidR="00076ABC" w:rsidRDefault="00076ABC" w:rsidP="00076ABC">
      <w:pPr>
        <w:pStyle w:val="Paragraph"/>
      </w:pPr>
      <w:r>
        <w:t>Despite the pressure it is encountering, AM radio remains socially and economically important (particularly in regional and remote Australia)</w:t>
      </w:r>
      <w:r>
        <w:rPr>
          <w:rStyle w:val="FootnoteReference"/>
        </w:rPr>
        <w:footnoteReference w:id="29"/>
      </w:r>
      <w:r>
        <w:t xml:space="preserve"> because it provides the only current platform for delivering radio to many regional and remote Australians.</w:t>
      </w:r>
    </w:p>
    <w:p w14:paraId="0035ED8F" w14:textId="77777777" w:rsidR="00076ABC" w:rsidRDefault="00076ABC" w:rsidP="00076ABC">
      <w:pPr>
        <w:pStyle w:val="Heading3"/>
      </w:pPr>
      <w:r>
        <w:t>DAB+ is popular in the capital cities</w:t>
      </w:r>
    </w:p>
    <w:p w14:paraId="51AEACC2" w14:textId="111FE909" w:rsidR="001002C8" w:rsidRPr="00F66B1B" w:rsidRDefault="00076ABC" w:rsidP="00076ABC">
      <w:pPr>
        <w:pStyle w:val="Paragraph"/>
      </w:pPr>
      <w:r>
        <w:t>DAB+ digital radio is available in the capital cities and Mandurah, W</w:t>
      </w:r>
      <w:r w:rsidR="008F0656">
        <w:t xml:space="preserve">estern </w:t>
      </w:r>
      <w:r>
        <w:t>A</w:t>
      </w:r>
      <w:r w:rsidR="008F0656">
        <w:t>ustralia (WA)</w:t>
      </w:r>
      <w:r>
        <w:t>. Radio ratings figures by GfK show that during 2018 more than 4.21 million people, or 30 per cent of the population aged 10 and over, listened to DAB+ digital radio each week in the five metro capital cities in 2018, up from 28 per cent in 2017.</w:t>
      </w:r>
      <w:r>
        <w:rPr>
          <w:rStyle w:val="FootnoteReference"/>
        </w:rPr>
        <w:footnoteReference w:id="30"/>
      </w:r>
      <w:r>
        <w:t xml:space="preserve"> In the five mainland capital cities</w:t>
      </w:r>
      <w:r w:rsidR="008F0656">
        <w:t>,</w:t>
      </w:r>
      <w:r>
        <w:t xml:space="preserve"> 22 per cent of community radio listeners listen via DAB+, up from 12 per cent in 2012.</w:t>
      </w:r>
      <w:r>
        <w:rPr>
          <w:rStyle w:val="FootnoteReference"/>
        </w:rPr>
        <w:footnoteReference w:id="31"/>
      </w:r>
    </w:p>
    <w:p w14:paraId="3C05A2FA" w14:textId="5DD79048" w:rsidR="00076ABC" w:rsidRPr="00076ABC" w:rsidRDefault="00076ABC" w:rsidP="00076ABC">
      <w:pPr>
        <w:pStyle w:val="Heading1"/>
      </w:pPr>
      <w:bookmarkStart w:id="19" w:name="_Toc35846792"/>
      <w:r>
        <w:lastRenderedPageBreak/>
        <w:t>A mix of radio delivery platforms is needed for the future</w:t>
      </w:r>
      <w:bookmarkEnd w:id="19"/>
    </w:p>
    <w:p w14:paraId="3F4A2CC2" w14:textId="77777777" w:rsidR="00076ABC" w:rsidRDefault="00076ABC" w:rsidP="0060424E">
      <w:pPr>
        <w:pStyle w:val="Paragraph"/>
        <w:shd w:val="clear" w:color="auto" w:fill="F2F2F2" w:themeFill="background1" w:themeFillShade="F2"/>
      </w:pPr>
      <w:r>
        <w:rPr>
          <w:b/>
        </w:rPr>
        <w:t xml:space="preserve">Finding 4: </w:t>
      </w:r>
      <w:r>
        <w:t>Rapid innovation in the current radio technology environment makes long-term network deployment decisions challenging. The radio industry seeks flexibility for a range of future radio delivery platforms.</w:t>
      </w:r>
    </w:p>
    <w:p w14:paraId="7597DE93" w14:textId="5D9D385E" w:rsidR="00076ABC" w:rsidRDefault="00076ABC" w:rsidP="00076ABC">
      <w:pPr>
        <w:pStyle w:val="Paragraph"/>
      </w:pPr>
      <w:r>
        <w:t>The three scenarios posed in the issues paper—radio makes greater use of FM, AM and FM radio progressively migrate to DAB+, and free-to-air terrestrial radio progressively migrates to IP streaming—proved a useful starting point for exploring how the future delivery of the radio technology mix might change over time. We expected that these scenarios would not be mutually exclusive and were interested to see to what extent each of these scenarios might develop</w:t>
      </w:r>
      <w:r w:rsidR="008F0656">
        <w:t>,</w:t>
      </w:r>
      <w:r>
        <w:t xml:space="preserve"> either contemporaneously or over different time horizons.</w:t>
      </w:r>
    </w:p>
    <w:p w14:paraId="68CF66F1" w14:textId="05C10CE9" w:rsidR="00076ABC" w:rsidRPr="00076ABC" w:rsidRDefault="00076ABC" w:rsidP="00076ABC">
      <w:pPr>
        <w:pStyle w:val="Paragraph"/>
      </w:pPr>
      <w:r>
        <w:t>We found that in the current environment, the radio industry is seeking to keep its technology options open rather than to choose a single platform.</w:t>
      </w:r>
      <w:r w:rsidR="00750622">
        <w:rPr>
          <w:rStyle w:val="FootnoteReference"/>
        </w:rPr>
        <w:footnoteReference w:id="32"/>
      </w:r>
      <w:r>
        <w:rPr>
          <w:position w:val="6"/>
          <w:sz w:val="13"/>
        </w:rPr>
        <w:t xml:space="preserve"> </w:t>
      </w:r>
      <w:r>
        <w:t>We can, however, make observations about where technology is heading and how the platform mix may evolve over time.</w:t>
      </w:r>
    </w:p>
    <w:p w14:paraId="77AD2801" w14:textId="77777777" w:rsidR="00076ABC" w:rsidRDefault="00076ABC" w:rsidP="00076ABC">
      <w:pPr>
        <w:pStyle w:val="Heading2"/>
      </w:pPr>
      <w:bookmarkStart w:id="20" w:name="_TOC_250006"/>
      <w:bookmarkStart w:id="21" w:name="_Toc35846793"/>
      <w:bookmarkEnd w:id="20"/>
      <w:r>
        <w:t>Short- to medium-term horizon</w:t>
      </w:r>
      <w:bookmarkEnd w:id="21"/>
    </w:p>
    <w:p w14:paraId="48E4A340" w14:textId="77777777" w:rsidR="00076ABC" w:rsidRDefault="00076ABC" w:rsidP="00076ABC">
      <w:pPr>
        <w:pStyle w:val="Heading3"/>
      </w:pPr>
      <w:bookmarkStart w:id="22" w:name="_TOC_250005"/>
      <w:bookmarkEnd w:id="22"/>
      <w:r>
        <w:t>AM radio</w:t>
      </w:r>
    </w:p>
    <w:p w14:paraId="6F04216E" w14:textId="73885206" w:rsidR="00076ABC" w:rsidRPr="00076ABC" w:rsidRDefault="00076ABC" w:rsidP="0060424E">
      <w:pPr>
        <w:pStyle w:val="Paragraph"/>
        <w:shd w:val="clear" w:color="auto" w:fill="F2F2F2" w:themeFill="background1" w:themeFillShade="F2"/>
        <w:spacing w:before="120"/>
      </w:pPr>
      <w:r>
        <w:rPr>
          <w:b/>
        </w:rPr>
        <w:t xml:space="preserve">Finding 5: </w:t>
      </w:r>
      <w:r>
        <w:t xml:space="preserve">AM broadcasting will continue to play an important role in the delivery of radio in regional and remote Australia for the medium to long term, in areas where other platforms cannot reach. AM radio plays a vital role in informing these communities </w:t>
      </w:r>
      <w:r w:rsidR="008F0656">
        <w:t>during</w:t>
      </w:r>
      <w:r>
        <w:t xml:space="preserve"> natural disasters and emergencies.</w:t>
      </w:r>
    </w:p>
    <w:p w14:paraId="0C83763F" w14:textId="089948DF" w:rsidR="00076ABC" w:rsidRDefault="00076ABC" w:rsidP="00076ABC">
      <w:pPr>
        <w:pStyle w:val="Paragraph"/>
      </w:pPr>
      <w:r>
        <w:t>Our consultations confirmed that AM audiences are in a slow, long-term decline, due to changes in audience preferences and the limitations in AM’s audio fidelity and interference susceptibility. Furthermore, increasing levels of interference from noise sources due to urban growth, such as electrical machinery, electronic equipment, power lines and electric vehicles, are exacerbating the issue. There is concern that some of these factors may lead to the receiver supplier chain—particularly for vehicles—removing AM capability, resulting in platform obsolescence</w:t>
      </w:r>
      <w:r w:rsidR="008F0656">
        <w:t xml:space="preserve"> in the long term</w:t>
      </w:r>
      <w:r>
        <w:t>.</w:t>
      </w:r>
    </w:p>
    <w:p w14:paraId="502F4656" w14:textId="7B8D46B5" w:rsidR="00750622" w:rsidRDefault="00076ABC" w:rsidP="00750622">
      <w:pPr>
        <w:pStyle w:val="Paragraph"/>
      </w:pPr>
      <w:r>
        <w:t>There is pressure from the commercial industry to arrest the decline in AM audiences now. The ACMA is currently working through a program of AM to FM conversions for commercial broadcasters in single commercial licensee regional markets where the AM coverage can be matched in FM. Where coverage can’t be matched, the ACMA has required the AM transmission to remain in simulcast. In such areas, AM will continue to co-exist with mostly town-based FM simulcast and, where available, DAB+, into the long</w:t>
      </w:r>
      <w:r w:rsidR="008F0656">
        <w:t xml:space="preserve"> </w:t>
      </w:r>
      <w:r>
        <w:t>term. There is no spectrum management imperative to clear the</w:t>
      </w:r>
      <w:r w:rsidR="00750622">
        <w:t xml:space="preserve"> AM band. The ACMA has not identified any alternative non-broadcasting use for the AM band.</w:t>
      </w:r>
    </w:p>
    <w:p w14:paraId="59638BE6" w14:textId="03450F39" w:rsidR="00750622" w:rsidRPr="00750622" w:rsidRDefault="00750622" w:rsidP="00750622">
      <w:pPr>
        <w:pStyle w:val="Heading3"/>
      </w:pPr>
      <w:bookmarkStart w:id="23" w:name="_TOC_250004"/>
      <w:bookmarkEnd w:id="23"/>
      <w:r>
        <w:lastRenderedPageBreak/>
        <w:t xml:space="preserve">FM </w:t>
      </w:r>
      <w:r w:rsidRPr="00750622">
        <w:t>radio</w:t>
      </w:r>
    </w:p>
    <w:p w14:paraId="5AFACD9F" w14:textId="77777777" w:rsidR="00750622" w:rsidRDefault="00750622" w:rsidP="0060424E">
      <w:pPr>
        <w:pStyle w:val="Paragraph"/>
        <w:shd w:val="clear" w:color="auto" w:fill="F2F2F2" w:themeFill="background1" w:themeFillShade="F2"/>
        <w:spacing w:before="120"/>
      </w:pPr>
      <w:r>
        <w:rPr>
          <w:b/>
        </w:rPr>
        <w:t xml:space="preserve">Finding 6: </w:t>
      </w:r>
      <w:r>
        <w:t>FM radio will remain a strong and viable radio delivery technology for the foreseeable future. There is no imperative for digital conversion of FM radio in the short to medium term.</w:t>
      </w:r>
    </w:p>
    <w:p w14:paraId="12D1F394" w14:textId="2F1408B5" w:rsidR="00750622" w:rsidRDefault="00750622" w:rsidP="00750622">
      <w:pPr>
        <w:pStyle w:val="Paragraph"/>
      </w:pPr>
      <w:r>
        <w:t>FM radio is also likely to endure well into the long term. It provides good coverage for city and town-based services, and a fidelity similar to DAB+. There are strong audiences for FM radio. While in the long-term the industry seeks the benefits of digital delivery such as additional service capacity, lower energy costs and improved audio quality</w:t>
      </w:r>
      <w:r>
        <w:rPr>
          <w:rStyle w:val="FootnoteReference"/>
        </w:rPr>
        <w:footnoteReference w:id="33"/>
      </w:r>
      <w:r>
        <w:t>,</w:t>
      </w:r>
      <w:r>
        <w:rPr>
          <w:position w:val="6"/>
          <w:sz w:val="13"/>
        </w:rPr>
        <w:t xml:space="preserve"> </w:t>
      </w:r>
      <w:r>
        <w:t>there is no short- to medium-term imperative to replace FM. There is no alternative technology (other than DRM for VHF-FM) that would provide a ‘dividend’ for vacating the FM band. FM commercial broadcasters have not sought a replacement digital pathway.</w:t>
      </w:r>
    </w:p>
    <w:p w14:paraId="3C631649" w14:textId="43A086A6" w:rsidR="00750622" w:rsidRPr="00750622" w:rsidRDefault="00750622" w:rsidP="00750622">
      <w:pPr>
        <w:pStyle w:val="Paragraph"/>
        <w:rPr>
          <w:sz w:val="13"/>
        </w:rPr>
      </w:pPr>
      <w:r>
        <w:t>Open narrowcasters and sub-metropolitan community radio broadcasters (mostly broadcasting on FM) seek access to a digital delivery platform, given that they are unable to access DAB+ under the existing regulatory arrangements.</w:t>
      </w:r>
      <w:r>
        <w:rPr>
          <w:rStyle w:val="FootnoteReference"/>
        </w:rPr>
        <w:footnoteReference w:id="34"/>
      </w:r>
    </w:p>
    <w:p w14:paraId="74EDACCA" w14:textId="54E9C52A" w:rsidR="00750622" w:rsidRPr="00750622" w:rsidRDefault="00750622" w:rsidP="00BA45A0">
      <w:pPr>
        <w:pStyle w:val="Heading3"/>
      </w:pPr>
      <w:bookmarkStart w:id="24" w:name="_TOC_250003"/>
      <w:bookmarkEnd w:id="24"/>
      <w:r>
        <w:t xml:space="preserve">AM to FM conversions </w:t>
      </w:r>
      <w:r w:rsidRPr="00BA45A0">
        <w:t>and</w:t>
      </w:r>
      <w:r>
        <w:t xml:space="preserve"> simulcasts</w:t>
      </w:r>
    </w:p>
    <w:p w14:paraId="5D0AC34F" w14:textId="75DE9AB1" w:rsidR="00750622" w:rsidRDefault="00750622" w:rsidP="00750622">
      <w:pPr>
        <w:pStyle w:val="Paragraph"/>
        <w:shd w:val="clear" w:color="auto" w:fill="F2F2F2" w:themeFill="background1" w:themeFillShade="F2"/>
        <w:spacing w:before="120"/>
      </w:pPr>
      <w:r>
        <w:rPr>
          <w:b/>
        </w:rPr>
        <w:t xml:space="preserve">Finding 7: </w:t>
      </w:r>
      <w:r>
        <w:t>FM is the commercial radio industry’s preferred interim stable solution for addressing the shift of audiences away from AM.</w:t>
      </w:r>
    </w:p>
    <w:p w14:paraId="16CBB98E" w14:textId="07931AD2" w:rsidR="00750622" w:rsidRDefault="00750622" w:rsidP="00750622">
      <w:pPr>
        <w:pStyle w:val="Paragraph"/>
      </w:pPr>
      <w:r>
        <w:t>Noting the industry’s cautious approach to the rollout of DAB+ in regional Australia (discussed below), it has become clear to us that the industry sees AM to FM conversions (or simulcasts where the AM coverage cannot be matched), where frequency availability permits, as their preferred solution in the short to medium-term for addressing the decline in AM audiences. CRA encouraged the ACMA to continue and expand the current AM to FM conversion program in solus regional licence areas.</w:t>
      </w:r>
    </w:p>
    <w:p w14:paraId="58F8A78A" w14:textId="7BA255DD" w:rsidR="00750622" w:rsidRPr="00750622" w:rsidRDefault="00750622" w:rsidP="00750622">
      <w:pPr>
        <w:pStyle w:val="Heading3"/>
      </w:pPr>
      <w:bookmarkStart w:id="25" w:name="_TOC_250002"/>
      <w:bookmarkEnd w:id="25"/>
      <w:r w:rsidRPr="00750622">
        <w:t>DAB</w:t>
      </w:r>
      <w:r>
        <w:t>+</w:t>
      </w:r>
    </w:p>
    <w:p w14:paraId="5640446E" w14:textId="77777777" w:rsidR="00750622" w:rsidRDefault="00750622" w:rsidP="00750622">
      <w:pPr>
        <w:pStyle w:val="Paragraph"/>
        <w:shd w:val="clear" w:color="auto" w:fill="F2F2F2" w:themeFill="background1" w:themeFillShade="F2"/>
        <w:spacing w:before="120"/>
      </w:pPr>
      <w:r>
        <w:rPr>
          <w:b/>
        </w:rPr>
        <w:t xml:space="preserve">Finding 8: </w:t>
      </w:r>
      <w:r>
        <w:t xml:space="preserve">DAB+ remains the industry preferred long-term digital platform, given the level of investment to date. However, there are mixed views about the cost–benefit of DAB+ outside the capital cities. In the short to medium- term, DAB+ is likely to rollout where a commercial licence area can be served with a cost-effective number of transmitters, and/or market pressures require </w:t>
      </w:r>
      <w:r w:rsidRPr="00750622">
        <w:t>it</w:t>
      </w:r>
      <w:r>
        <w:t>.</w:t>
      </w:r>
    </w:p>
    <w:p w14:paraId="2F34703B" w14:textId="3C72A32F" w:rsidR="00BA45A0" w:rsidRDefault="00BA45A0" w:rsidP="00BA45A0">
      <w:pPr>
        <w:pStyle w:val="Paragraph"/>
      </w:pPr>
      <w:r>
        <w:t>DAB+ remains the industry preferred long-term digital platform, given the level of investment to date.</w:t>
      </w:r>
      <w:r>
        <w:rPr>
          <w:rStyle w:val="FootnoteReference"/>
        </w:rPr>
        <w:footnoteReference w:id="35"/>
      </w:r>
      <w:r>
        <w:rPr>
          <w:position w:val="6"/>
          <w:sz w:val="13"/>
        </w:rPr>
        <w:t xml:space="preserve"> </w:t>
      </w:r>
      <w:r>
        <w:t>For now at least</w:t>
      </w:r>
      <w:r w:rsidR="00167816">
        <w:t>,</w:t>
      </w:r>
      <w:r>
        <w:t xml:space="preserve"> DAB+ is seen as a complementary technology. We have observed little interest to date by commercial broadcasters in the take-up of DAB+ licences outside the capital cities, despite earlier expressions of interest.</w:t>
      </w:r>
      <w:r>
        <w:rPr>
          <w:rStyle w:val="FootnoteReference"/>
        </w:rPr>
        <w:footnoteReference w:id="36"/>
      </w:r>
      <w:r>
        <w:rPr>
          <w:position w:val="6"/>
          <w:sz w:val="13"/>
        </w:rPr>
        <w:t xml:space="preserve"> </w:t>
      </w:r>
      <w:r>
        <w:t>In the short-term, DAB+ is likely to be deployed for areas where there are economic imperatives to do so, such as densely populated areas adjacent to the capital cities, such as the Gold Coast in QLD and Mandurah in WA.</w:t>
      </w:r>
    </w:p>
    <w:p w14:paraId="001AB79E" w14:textId="605FC999" w:rsidR="00BA45A0" w:rsidRPr="00BA45A0" w:rsidRDefault="00BA45A0" w:rsidP="00BA45A0">
      <w:pPr>
        <w:pStyle w:val="Paragraph"/>
        <w:rPr>
          <w:sz w:val="13"/>
        </w:rPr>
      </w:pPr>
      <w:r>
        <w:t xml:space="preserve">Noting the existing level of investment in the capital city rollout, the industry is generally supportive of DAB+ expanding in regional Australia, but it is not yet seen as </w:t>
      </w:r>
      <w:r>
        <w:lastRenderedPageBreak/>
        <w:t>a migration path from AM and FM. Some broadcasters—particularly the national broadcasters—note the problems with matching coverage of the wider-coverage AM transmissions.</w:t>
      </w:r>
      <w:r>
        <w:rPr>
          <w:rStyle w:val="FootnoteReference"/>
        </w:rPr>
        <w:footnoteReference w:id="37"/>
      </w:r>
    </w:p>
    <w:p w14:paraId="1C02CA91" w14:textId="4075C386" w:rsidR="00BA45A0" w:rsidRDefault="00BA45A0" w:rsidP="00BA45A0">
      <w:pPr>
        <w:pStyle w:val="Paragraph"/>
        <w:rPr>
          <w:sz w:val="13"/>
        </w:rPr>
      </w:pPr>
      <w:r>
        <w:t>Community Broadcasting Association of Australia (CBAA) submitted that licensees should be left to make independent decisions about the sustainability of analog delivery and whether to take up digital. CBAA supports DAB+ as the ‘mainstay’ digital technology to deliver free-to-air radio services, complemented by other technologies.</w:t>
      </w:r>
      <w:r>
        <w:rPr>
          <w:rStyle w:val="FootnoteReference"/>
        </w:rPr>
        <w:footnoteReference w:id="38"/>
      </w:r>
    </w:p>
    <w:p w14:paraId="5FEE0F4E" w14:textId="78EF3164" w:rsidR="00BA45A0" w:rsidRPr="00BA45A0" w:rsidRDefault="00BA45A0" w:rsidP="00BA45A0">
      <w:pPr>
        <w:pStyle w:val="Paragraph"/>
        <w:rPr>
          <w:sz w:val="13"/>
        </w:rPr>
      </w:pPr>
      <w:r>
        <w:t xml:space="preserve">CRA stated that the ACMA should maintain the availability of platform choice, and regularly reviewing the relative strengths and coverage of various technologies would assist the ACMA in its medium- to long-term planning. CRA’s submission supported the continued regional expansion of DAB+ as a complementary technology to AM and FM, which will improve the broadcasting experience and offer audiences additional content. Super Radio Network, a regional network of AM and FM stations, is more pessimistic about the short- to medium-term commercial viability of DAB+ in regional licence areas as well as remote areas. It sees transitioning AM stations to FM as a </w:t>
      </w:r>
      <w:r w:rsidRPr="00BA45A0">
        <w:t>greater</w:t>
      </w:r>
      <w:r>
        <w:t xml:space="preserve"> priority.</w:t>
      </w:r>
      <w:r>
        <w:rPr>
          <w:rStyle w:val="FootnoteReference"/>
        </w:rPr>
        <w:footnoteReference w:id="39"/>
      </w:r>
    </w:p>
    <w:p w14:paraId="5CAFCAEC" w14:textId="302FE60B" w:rsidR="00BA45A0" w:rsidRPr="00BA45A0" w:rsidRDefault="00BA45A0" w:rsidP="00BA45A0">
      <w:pPr>
        <w:pStyle w:val="Heading3"/>
      </w:pPr>
      <w:bookmarkStart w:id="26" w:name="_TOC_250001"/>
      <w:bookmarkEnd w:id="26"/>
      <w:r>
        <w:t xml:space="preserve">IP </w:t>
      </w:r>
      <w:r w:rsidRPr="00BA45A0">
        <w:t>streaming</w:t>
      </w:r>
    </w:p>
    <w:p w14:paraId="5F08A449" w14:textId="77777777" w:rsidR="00BA45A0" w:rsidRDefault="00BA45A0" w:rsidP="0060424E">
      <w:pPr>
        <w:pStyle w:val="Paragraph"/>
        <w:shd w:val="clear" w:color="auto" w:fill="F2F2F2" w:themeFill="background1" w:themeFillShade="F2"/>
        <w:spacing w:before="120"/>
      </w:pPr>
      <w:r>
        <w:rPr>
          <w:b/>
        </w:rPr>
        <w:t xml:space="preserve">Finding 9: </w:t>
      </w:r>
      <w:r>
        <w:t>IP streaming will remain complementary to AM, FM and DAB+ for the delivery of radio for in-vehicle and portable devices in the short to medium term.</w:t>
      </w:r>
    </w:p>
    <w:p w14:paraId="391CE078" w14:textId="77777777" w:rsidR="00BA45A0" w:rsidRDefault="00BA45A0" w:rsidP="00BA45A0">
      <w:pPr>
        <w:pStyle w:val="Paragraph"/>
      </w:pPr>
      <w:r>
        <w:t>CRA, First Nations Media and ANRA submitted that streaming cannot provide local content or a local presence. First Nations Media also quoted figures from the Digital Inclusion Index that 2.5 million Australians are still not online. Citing the 2016 census, First Nations Media noted that 24.7 per cent of Indigenous households cannot access the internet at home, compared to a national average of 14.7 per cent, with up to 45.2 per cent of households in remote and very remote locations without access.</w:t>
      </w:r>
    </w:p>
    <w:p w14:paraId="11DCCD2C" w14:textId="77E16BC3" w:rsidR="005A7AB9" w:rsidRDefault="00BA45A0" w:rsidP="005A7AB9">
      <w:pPr>
        <w:pStyle w:val="Paragraph"/>
      </w:pPr>
      <w:r>
        <w:t xml:space="preserve">The ABC is concerned that some listeners may be disenfranchised by radio delivery through IP streaming. It submitted that home internet penetration had plateaued at </w:t>
      </w:r>
      <w:r w:rsidR="00167816">
        <w:t>86 </w:t>
      </w:r>
      <w:r>
        <w:t>per cent of households. Moreover, the ABC reported that 14 per cent of those</w:t>
      </w:r>
      <w:r w:rsidR="005A7AB9">
        <w:t xml:space="preserve"> surveyed by the Australian Bureau of Statistics who don’t use the internet ‘have a greater propensity to be older, poorer, less-educated and/or live in regional areas’.</w:t>
      </w:r>
      <w:r w:rsidR="005A7AB9">
        <w:rPr>
          <w:rStyle w:val="FootnoteReference"/>
        </w:rPr>
        <w:footnoteReference w:id="40"/>
      </w:r>
    </w:p>
    <w:p w14:paraId="4EC168F5" w14:textId="1DF01499" w:rsidR="005A7AB9" w:rsidRDefault="005A7AB9" w:rsidP="005A7AB9">
      <w:pPr>
        <w:pStyle w:val="Paragraph"/>
      </w:pPr>
      <w:r>
        <w:t>Several submitters noted that streaming represents a significant change in the nature of the categories of what are now free-to-air broadcasting services; effectively moving them to a ‘paid’ service as people need to pay for data. Submissions posed that online streaming of free-to-air broadcasting services should be unmetered.</w:t>
      </w:r>
      <w:r>
        <w:rPr>
          <w:rStyle w:val="FootnoteReference"/>
        </w:rPr>
        <w:footnoteReference w:id="41"/>
      </w:r>
      <w:r>
        <w:t xml:space="preserve"> However, audio consumes only a small amount of data.</w:t>
      </w:r>
      <w:r>
        <w:rPr>
          <w:rStyle w:val="FootnoteReference"/>
        </w:rPr>
        <w:footnoteReference w:id="42"/>
      </w:r>
      <w:r>
        <w:t xml:space="preserve"> Additionally, both fixed and mobile data plans are increasingly uncapped.</w:t>
      </w:r>
    </w:p>
    <w:p w14:paraId="0DF7D63E" w14:textId="484D7121" w:rsidR="005A7AB9" w:rsidRDefault="005A7AB9" w:rsidP="005A7AB9">
      <w:pPr>
        <w:pStyle w:val="Paragraph"/>
      </w:pPr>
      <w:r>
        <w:lastRenderedPageBreak/>
        <w:t>Most submitters agreed that mobile streaming has not yet reached enough maturity— in coverage and capacity—to replace analog for in-car reception.</w:t>
      </w:r>
      <w:r>
        <w:rPr>
          <w:rStyle w:val="FootnoteReference"/>
        </w:rPr>
        <w:footnoteReference w:id="43"/>
      </w:r>
      <w:r>
        <w:t xml:space="preserve"> This is an important consideration given that in-vehicle listening represents 36 per cent of radio listening.</w:t>
      </w:r>
      <w:r>
        <w:rPr>
          <w:rStyle w:val="FootnoteReference"/>
        </w:rPr>
        <w:footnoteReference w:id="44"/>
      </w:r>
    </w:p>
    <w:p w14:paraId="4E987196" w14:textId="16CAF07D" w:rsidR="005A7AB9" w:rsidRDefault="005A7AB9" w:rsidP="005A7AB9">
      <w:pPr>
        <w:pStyle w:val="Paragraph"/>
      </w:pPr>
      <w:r>
        <w:t>In contrast, Living Arts Canberra (a home-based, not-for-profit arts media organisation that provides a continuous IP audio stream) submitted that, in its experience, mobile internet connectivity capable of supporting streaming is at least as good as FM coverage, at least in urban areas and along major roads and highways. It noted that the low cost of entry to IP radio adds to the diversity of voices.</w:t>
      </w:r>
      <w:r>
        <w:rPr>
          <w:rStyle w:val="FootnoteReference"/>
        </w:rPr>
        <w:footnoteReference w:id="45"/>
      </w:r>
      <w:r>
        <w:t xml:space="preserve"> </w:t>
      </w:r>
      <w:r>
        <w:rPr>
          <w:rStyle w:val="FootnoteReference"/>
        </w:rPr>
        <w:footnoteReference w:id="46"/>
      </w:r>
    </w:p>
    <w:p w14:paraId="4892A860" w14:textId="50124DD0" w:rsidR="005A7AB9" w:rsidRDefault="005A7AB9" w:rsidP="005A7AB9">
      <w:pPr>
        <w:pStyle w:val="Paragraph"/>
      </w:pPr>
      <w:r>
        <w:t>While broadcasting transmission costs are fixed—costs do not increase with the number of listeners—streaming costs for the broadcaster are proportional to the number of people who listen.</w:t>
      </w:r>
      <w:r>
        <w:rPr>
          <w:rStyle w:val="FootnoteReference"/>
        </w:rPr>
        <w:footnoteReference w:id="47"/>
      </w:r>
      <w:r>
        <w:t xml:space="preserve"> Our discussions with broadcasters indicate that given the relatively low data requirements for audio compared to live TV streaming, the scalability issue is not as significant for radio.</w:t>
      </w:r>
    </w:p>
    <w:p w14:paraId="16CFC16A" w14:textId="5660C38F" w:rsidR="005A7AB9" w:rsidRDefault="005A7AB9" w:rsidP="005A7AB9">
      <w:pPr>
        <w:pStyle w:val="Paragraph"/>
      </w:pPr>
      <w:r>
        <w:t>For listeners, streaming also represents a cost for internet use, and some communities are not currently well served by internet access. However, households and businesses are generally well served by the current mix of radio delivery platforms that can provide alternatives to AM delivery, particularly with the soon-to-be completed NBN, and the inclusion of national radio services on digital television.</w:t>
      </w:r>
    </w:p>
    <w:p w14:paraId="4F2375B7" w14:textId="2F0CDA6B" w:rsidR="00BA45A0" w:rsidRDefault="005A7AB9" w:rsidP="005A7AB9">
      <w:pPr>
        <w:pStyle w:val="Paragraph"/>
      </w:pPr>
      <w:r>
        <w:t>CRA and CBAA submitted that audiences need to be able to easily discover the broadcast streams of the existing free-to-air broadcasters on their IP-enabled devices. Industry operators identified several issues, including the ability of smart speakers to correctly identify the spoken on-air IDs for stations</w:t>
      </w:r>
      <w:r>
        <w:rPr>
          <w:rStyle w:val="FootnoteReference"/>
        </w:rPr>
        <w:footnoteReference w:id="48"/>
      </w:r>
      <w:r>
        <w:t>, and station listings on the dash of in-car entertainment systems.</w:t>
      </w:r>
    </w:p>
    <w:p w14:paraId="5424C8E7" w14:textId="77777777" w:rsidR="00BE41C6" w:rsidRDefault="00BE41C6" w:rsidP="00BE41C6">
      <w:pPr>
        <w:pStyle w:val="Heading2"/>
      </w:pPr>
      <w:bookmarkStart w:id="27" w:name="_Toc35846794"/>
      <w:r>
        <w:t>Medium- to longer-term transitional challenges</w:t>
      </w:r>
      <w:bookmarkEnd w:id="27"/>
    </w:p>
    <w:p w14:paraId="223C2FF2" w14:textId="77777777" w:rsidR="00BE41C6" w:rsidRDefault="00BE41C6" w:rsidP="00BE41C6">
      <w:pPr>
        <w:pStyle w:val="Heading3"/>
      </w:pPr>
      <w:r>
        <w:t>Addressing the decline in AM radio</w:t>
      </w:r>
    </w:p>
    <w:p w14:paraId="21A30E94" w14:textId="0A86BB19" w:rsidR="00BE41C6" w:rsidRDefault="00BE41C6" w:rsidP="00BE41C6">
      <w:pPr>
        <w:pStyle w:val="Paragraph"/>
      </w:pPr>
      <w:r>
        <w:t>Industry confirmed to us that AM audiences are in a slow, long-term decline, due to the changes in audience preferences and the limitations in AM’s audio fidelity and interference performance mentioned above. Furthermore, increasing levels of interference from noise sources, such as electrical machinery, electronic equipment, power lines and electric vehicles, due to urban growth, are exacerbating the issue.</w:t>
      </w:r>
    </w:p>
    <w:p w14:paraId="6529E1A7" w14:textId="6DC46E25" w:rsidR="00BE41C6" w:rsidRDefault="00BE41C6" w:rsidP="00BE41C6">
      <w:pPr>
        <w:pStyle w:val="Paragraph"/>
      </w:pPr>
      <w:r>
        <w:t>Industry is concerned with the prospect of obsolescence due to AM capability not being included in all receivers. Already it is hard to find a table-top DAB+ receiver that includes AM. There is the prospect of AM receiving capability being left out of some European vehicles used in Australia, and the challenges of AM reception in electric vehicles, which is affected by interference from the electric motor and other components. We did not find that Australian vehicle suppliers had any plans to remove AM from non-electric vehicles soon, so this remains a longer-term concern.</w:t>
      </w:r>
    </w:p>
    <w:p w14:paraId="521833C1" w14:textId="23C27266" w:rsidR="00BE41C6" w:rsidRDefault="00BE41C6" w:rsidP="00BE41C6">
      <w:pPr>
        <w:pStyle w:val="Paragraph"/>
      </w:pPr>
      <w:r>
        <w:t xml:space="preserve">Interestingly, while the issues paper suggested that AM infrastructure was ageing, Broadcast Australia submitted that it had recently upgraded many national </w:t>
      </w:r>
      <w:r>
        <w:lastRenderedPageBreak/>
        <w:t>broadcasters’ AM transmission facilities and that there are no specific cost challenges facing AM from its perspective.</w:t>
      </w:r>
    </w:p>
    <w:p w14:paraId="0FE094AC" w14:textId="365D0E9E" w:rsidR="00BE41C6" w:rsidRDefault="00BE41C6" w:rsidP="00BE41C6">
      <w:pPr>
        <w:pStyle w:val="Paragraph"/>
      </w:pPr>
      <w:r>
        <w:t>While most submitters thought that obsolescence would be more than 10 years away, longer-term technology obsolescence is not the only driver for replacing AM. The audience drift is itself a concern in the current economic climate, leading to weaker advertising revenue.</w:t>
      </w:r>
      <w:r w:rsidR="001F4EDA">
        <w:rPr>
          <w:rStyle w:val="FootnoteReference"/>
        </w:rPr>
        <w:footnoteReference w:id="49"/>
      </w:r>
    </w:p>
    <w:p w14:paraId="61043DA8" w14:textId="4D666B9C" w:rsidR="00BE41C6" w:rsidRDefault="00BE41C6" w:rsidP="0060424E">
      <w:pPr>
        <w:pStyle w:val="Heading3"/>
        <w:spacing w:after="120"/>
      </w:pPr>
      <w:r>
        <w:t>In-car reception is a key concern</w:t>
      </w:r>
    </w:p>
    <w:p w14:paraId="0F547DD0" w14:textId="68319CD4" w:rsidR="00BE41C6" w:rsidRDefault="00BE41C6" w:rsidP="001F4EDA">
      <w:pPr>
        <w:pStyle w:val="Paragraph"/>
        <w:shd w:val="clear" w:color="auto" w:fill="F2F2F2" w:themeFill="background1" w:themeFillShade="F2"/>
      </w:pPr>
      <w:r w:rsidRPr="00BE41C6">
        <w:rPr>
          <w:b/>
          <w:bCs/>
        </w:rPr>
        <w:t>Finding 10:</w:t>
      </w:r>
      <w:r>
        <w:t xml:space="preserve"> There are no current plans to phase out AM in non-electric vehicles in Australia. The automotive industry technology choices for in-car radio listening technology in cars are likely to be influenced by both the Australian radio industry’s direction and by the desires of Australian future car buyers.</w:t>
      </w:r>
    </w:p>
    <w:p w14:paraId="2A1EF4A7" w14:textId="56840894" w:rsidR="00BE41C6" w:rsidRDefault="00BE41C6" w:rsidP="00BE41C6">
      <w:pPr>
        <w:pStyle w:val="Paragraph"/>
      </w:pPr>
      <w:r>
        <w:t>In 2018, 36 per cent of commercial radio listening took place in the car.</w:t>
      </w:r>
      <w:r w:rsidR="001F4EDA">
        <w:rPr>
          <w:rStyle w:val="FootnoteReference"/>
        </w:rPr>
        <w:footnoteReference w:id="50"/>
      </w:r>
      <w:r>
        <w:t xml:space="preserve"> Eighty-five per cent of those who have driven or ridden in a car listen to radio.</w:t>
      </w:r>
      <w:r w:rsidR="001F4EDA">
        <w:rPr>
          <w:rStyle w:val="FootnoteReference"/>
        </w:rPr>
        <w:footnoteReference w:id="51"/>
      </w:r>
      <w:r>
        <w:t xml:space="preserve"> In-vehicle listening is particularly important in regional and remote Australia, with long-driving distances between population centres and the reliance on radio for emergency information.</w:t>
      </w:r>
    </w:p>
    <w:p w14:paraId="352674E8" w14:textId="009C62CB" w:rsidR="00B648E1" w:rsidRDefault="00BE41C6" w:rsidP="00BE41C6">
      <w:pPr>
        <w:pStyle w:val="Paragraph"/>
      </w:pPr>
      <w:r>
        <w:t>Car radio technology trends are therefore important in determining the options for the future radio delivery mix. While technologies that deliver radio to fixed addresses are apparent, new digital delivery technologies will be needed to fill the ‘reception gap’ between major towns currently filled by AM transmissions.</w:t>
      </w:r>
    </w:p>
    <w:p w14:paraId="4AC01E00" w14:textId="6FA86568" w:rsidR="001F4EDA" w:rsidRDefault="001F4EDA" w:rsidP="001F4EDA">
      <w:pPr>
        <w:pStyle w:val="Paragraph"/>
      </w:pPr>
      <w:r>
        <w:t>In March 2018, 47 per cent of new cars sold in Australia had DAB+ fitted or offered DAB+ as an option.</w:t>
      </w:r>
      <w:r>
        <w:rPr>
          <w:rStyle w:val="FootnoteReference"/>
        </w:rPr>
        <w:footnoteReference w:id="52"/>
      </w:r>
      <w:r>
        <w:t xml:space="preserve"> Bluetooth audio streaming has been available in new cars since 2011. Auxiliary connections enable the use of smart </w:t>
      </w:r>
      <w:r w:rsidR="00890974">
        <w:t>phones and</w:t>
      </w:r>
      <w:r>
        <w:t xml:space="preserve"> access to streaming apps in the car.</w:t>
      </w:r>
    </w:p>
    <w:p w14:paraId="41FCB667" w14:textId="545B0B33" w:rsidR="001F4EDA" w:rsidRDefault="001F4EDA" w:rsidP="001F4EDA">
      <w:pPr>
        <w:pStyle w:val="Paragraph"/>
      </w:pPr>
      <w:r>
        <w:t>However, it remains the case that most cars on the road in Australia today have only an AM and FM receiver.</w:t>
      </w:r>
      <w:r>
        <w:rPr>
          <w:rStyle w:val="FootnoteReference"/>
        </w:rPr>
        <w:footnoteReference w:id="53"/>
      </w:r>
      <w:r>
        <w:t xml:space="preserve"> The average age of Australian cars—10.1 years—has been static for at least a decade. This suggests a slow turnover, which means it may be a long time before new technology is available to most drivers.</w:t>
      </w:r>
      <w:r>
        <w:rPr>
          <w:rStyle w:val="FootnoteReference"/>
        </w:rPr>
        <w:footnoteReference w:id="54"/>
      </w:r>
    </w:p>
    <w:p w14:paraId="16EE76C5" w14:textId="77777777" w:rsidR="001F4EDA" w:rsidRDefault="001F4EDA" w:rsidP="001F4EDA">
      <w:pPr>
        <w:pStyle w:val="Heading3"/>
      </w:pPr>
      <w:r>
        <w:t>Introduction cycle for new radio technology in cars</w:t>
      </w:r>
    </w:p>
    <w:p w14:paraId="586CF90F" w14:textId="2F3BA00E" w:rsidR="001F4EDA" w:rsidRDefault="001F4EDA" w:rsidP="001F4EDA">
      <w:pPr>
        <w:pStyle w:val="Paragraph"/>
      </w:pPr>
      <w:r>
        <w:t xml:space="preserve">As was observed with the experience of DAB+, it can take considerable time before most vehicles supplied to the Australian market will be fitted with a new radio technology. The introduction of DAB+ compatible car receivers in Australia followed the typical path of introducing a new standard/feature. DAB+ radios were first </w:t>
      </w:r>
      <w:r>
        <w:lastRenderedPageBreak/>
        <w:t>implemented in the high-end of the market, then gradually rolled out across the rest of the model range.</w:t>
      </w:r>
      <w:r>
        <w:rPr>
          <w:rStyle w:val="FootnoteReference"/>
        </w:rPr>
        <w:footnoteReference w:id="55"/>
      </w:r>
      <w:r>
        <w:t xml:space="preserve"> Ten years after the introduction of digital radio to the metropolitan licence areas, most new cars—73.4 percent on sale in Australia—have DAB+ radios as a standard feature.</w:t>
      </w:r>
      <w:r>
        <w:rPr>
          <w:rStyle w:val="FootnoteReference"/>
        </w:rPr>
        <w:footnoteReference w:id="56"/>
      </w:r>
    </w:p>
    <w:p w14:paraId="59D04EF6" w14:textId="383B3EB8" w:rsidR="001F4EDA" w:rsidRDefault="001F4EDA" w:rsidP="001F4EDA">
      <w:pPr>
        <w:pStyle w:val="Paragraph"/>
      </w:pPr>
      <w:r>
        <w:t>When including a new standard technology option, car manufacturers consider factors such as cost (licensing, development and engineering costs), customer preference and what they value, standard maturity, and global adoption rate.</w:t>
      </w:r>
      <w:r>
        <w:rPr>
          <w:rStyle w:val="FootnoteReference"/>
        </w:rPr>
        <w:footnoteReference w:id="57"/>
      </w:r>
      <w:r>
        <w:t xml:space="preserve"> It is more difficult to change/upgrade car radio features after sale as the car radio is now integrated in the car entertainment systems.</w:t>
      </w:r>
    </w:p>
    <w:p w14:paraId="60121DA9" w14:textId="18293516" w:rsidR="001F4EDA" w:rsidRDefault="001F4EDA" w:rsidP="001F4EDA">
      <w:pPr>
        <w:pStyle w:val="Paragraph"/>
      </w:pPr>
      <w:r>
        <w:t>The very limited use of AM in Europe has seen some European car models supplied in Australia without AM. Generally, the automotive industry recognises that North America and Australia are key AM markets.</w:t>
      </w:r>
    </w:p>
    <w:p w14:paraId="75CA385E" w14:textId="53E1F95A" w:rsidR="005A7AB9" w:rsidRDefault="001F4EDA" w:rsidP="001F4EDA">
      <w:pPr>
        <w:pStyle w:val="Paragraph"/>
      </w:pPr>
      <w:r>
        <w:t xml:space="preserve">There is recognition by the automotive industry of the need to continue supplying AM radios in cars for the Australian market due to a significant demand from customers living or traveling mainly outside big population centres and the reliance on AM services in regional and remote areas. The cost of keeping AM in cars is relatively small </w:t>
      </w:r>
      <w:proofErr w:type="gramStart"/>
      <w:r>
        <w:t>as long as</w:t>
      </w:r>
      <w:proofErr w:type="gramEnd"/>
      <w:r>
        <w:t xml:space="preserve"> FM is provided. It is possible that some manufacturers may make AM radio an option rather than a standard feature, subject to customers’ feedback in the future.</w:t>
      </w:r>
      <w:r>
        <w:rPr>
          <w:rStyle w:val="FootnoteReference"/>
        </w:rPr>
        <w:footnoteReference w:id="58"/>
      </w:r>
      <w:r>
        <w:t xml:space="preserve"> Australian motor vehicle importers have no plans to phase out AM or FM radio from internal combustion engine vehicles supplied to the Australian market in the foreseeable future.</w:t>
      </w:r>
      <w:r>
        <w:rPr>
          <w:rStyle w:val="FootnoteReference"/>
        </w:rPr>
        <w:footnoteReference w:id="59"/>
      </w:r>
    </w:p>
    <w:p w14:paraId="6BF3FE15" w14:textId="05400FC2" w:rsidR="001F4EDA" w:rsidRDefault="001F4EDA" w:rsidP="001F4EDA">
      <w:pPr>
        <w:pStyle w:val="Paragraph"/>
      </w:pPr>
      <w:r>
        <w:t>AM capability is often disabled in electric vehicles due to the electrical noise. Electric vehicles are often sourced from countries with minimal use of AM, so interference suppression is not required. Importers don’t consider it economically viable to fit suppression for the small Australian market and note that most electric vehicle users are in cities, where alternatives to AM exist.</w:t>
      </w:r>
      <w:r>
        <w:rPr>
          <w:rStyle w:val="FootnoteReference"/>
        </w:rPr>
        <w:footnoteReference w:id="60"/>
      </w:r>
    </w:p>
    <w:p w14:paraId="3BCBE5B2" w14:textId="29C5EECA" w:rsidR="001F4EDA" w:rsidRDefault="001F4EDA" w:rsidP="001F4EDA">
      <w:pPr>
        <w:pStyle w:val="Paragraph"/>
      </w:pPr>
      <w:r>
        <w:t>A significant percentage of new cars for sale in Australia are already 4G connected, either by SIM, or via the consumer’s mobile device through Apple Car Play and Android Auto.</w:t>
      </w:r>
    </w:p>
    <w:p w14:paraId="2D36F9A6" w14:textId="1DB7A872" w:rsidR="001F4EDA" w:rsidRDefault="001F4EDA" w:rsidP="001F4EDA">
      <w:pPr>
        <w:pStyle w:val="Paragraph"/>
      </w:pPr>
      <w:r>
        <w:t>As with all other car features, apart from country specific regulations, the decision to include new technology—such as DRM—in cars will be based on market drivers and customer demand, which will determine the adoption rate.</w:t>
      </w:r>
    </w:p>
    <w:p w14:paraId="6B22B57C" w14:textId="4C66C59B" w:rsidR="001F4EDA" w:rsidRDefault="001F4EDA" w:rsidP="00100C9D">
      <w:pPr>
        <w:pStyle w:val="Heading2"/>
        <w:keepLines/>
      </w:pPr>
      <w:bookmarkStart w:id="28" w:name="_Toc35846795"/>
      <w:r>
        <w:lastRenderedPageBreak/>
        <w:t>FM spectrum supply</w:t>
      </w:r>
      <w:bookmarkEnd w:id="28"/>
    </w:p>
    <w:p w14:paraId="6EBF84B9" w14:textId="7FC1E478" w:rsidR="001F4EDA" w:rsidRDefault="001F4EDA" w:rsidP="0060424E">
      <w:pPr>
        <w:pStyle w:val="Paragraph"/>
        <w:keepNext/>
        <w:keepLines/>
        <w:shd w:val="clear" w:color="auto" w:fill="F2F2F2" w:themeFill="background1" w:themeFillShade="F2"/>
        <w:spacing w:before="120"/>
      </w:pPr>
      <w:r w:rsidRPr="001F4EDA">
        <w:rPr>
          <w:b/>
          <w:bCs/>
        </w:rPr>
        <w:t>Finding 11:</w:t>
      </w:r>
      <w:r>
        <w:t xml:space="preserve"> AM to FM conversions will increase the demand for FM spectrum. There is insufficient FM spectrum to convert every AM transmission to FM.</w:t>
      </w:r>
    </w:p>
    <w:p w14:paraId="545F3E72" w14:textId="54669DD5" w:rsidR="001F4EDA" w:rsidRDefault="001F4EDA" w:rsidP="0060424E">
      <w:pPr>
        <w:pStyle w:val="Paragraph"/>
        <w:keepNext/>
        <w:keepLines/>
        <w:shd w:val="clear" w:color="auto" w:fill="F2F2F2" w:themeFill="background1" w:themeFillShade="F2"/>
      </w:pPr>
      <w:r w:rsidRPr="001F4EDA">
        <w:rPr>
          <w:b/>
          <w:bCs/>
        </w:rPr>
        <w:t>Finding 12:</w:t>
      </w:r>
      <w:r>
        <w:t xml:space="preserve"> Unused spectrum planned in LAPs is generally of limited utility for AM to FM conversions. Whether such spectrum is best repurposed can be decided on a case-by-case basis.</w:t>
      </w:r>
    </w:p>
    <w:p w14:paraId="3819D787" w14:textId="41DCF317" w:rsidR="001F4EDA" w:rsidRDefault="001F4EDA" w:rsidP="00100C9D">
      <w:pPr>
        <w:pStyle w:val="Paragraph"/>
        <w:keepNext/>
        <w:keepLines/>
        <w:shd w:val="clear" w:color="auto" w:fill="F2F2F2" w:themeFill="background1" w:themeFillShade="F2"/>
      </w:pPr>
      <w:r w:rsidRPr="001F4EDA">
        <w:rPr>
          <w:b/>
          <w:bCs/>
        </w:rPr>
        <w:t>Finding 13:</w:t>
      </w:r>
      <w:r>
        <w:t xml:space="preserve"> While relaxing planning parameters may yield some additional FM frequencies, this needs to be balanced against likely impacts on listeners and licensees. Extending the FM band will require listeners to buy new receivers. Licensees are likely to incur additional costs for equipment retuning, or spectrum availability is likely to be reduced for other licensees.</w:t>
      </w:r>
    </w:p>
    <w:p w14:paraId="6777CB0C" w14:textId="3653A490" w:rsidR="001F4EDA" w:rsidRDefault="001F4EDA" w:rsidP="001F4EDA">
      <w:pPr>
        <w:pStyle w:val="Paragraph"/>
      </w:pPr>
      <w:r>
        <w:t>There is a lack of an obvious immediate replacement option that can match the propagation qualities of AM. Compared to AM, the line-of-sight nature of FM signal propagation means that an FM transmitter will generally have a smaller service area than an AM transmitter. Historical allocations have resulted in a current concentration of both AM and FM services in most metropolitan markets. On our current analysis, we do not see that it will be possible to convert all metropolitan AM services to FM, even considering a range of measures to replan or repurpose spectrum.</w:t>
      </w:r>
    </w:p>
    <w:p w14:paraId="79B58650" w14:textId="77777777" w:rsidR="001F4EDA" w:rsidRDefault="001F4EDA" w:rsidP="001F4EDA">
      <w:pPr>
        <w:pStyle w:val="Paragraphbeforelist"/>
      </w:pPr>
      <w:r>
        <w:t>We looked at the following strategies that might increase the availability of spectrum suitable for high-power FM transmission:</w:t>
      </w:r>
    </w:p>
    <w:p w14:paraId="43EEAE0A" w14:textId="035C4CF4" w:rsidR="001F4EDA" w:rsidRDefault="001F4EDA" w:rsidP="001F4EDA">
      <w:pPr>
        <w:pStyle w:val="Bulletlevel1"/>
      </w:pPr>
      <w:r>
        <w:t>re-purposing FM spectrum that is planned in a LAP but is not being used</w:t>
      </w:r>
    </w:p>
    <w:p w14:paraId="36977C97" w14:textId="169941C4" w:rsidR="001F4EDA" w:rsidRDefault="001F4EDA" w:rsidP="001F4EDA">
      <w:pPr>
        <w:pStyle w:val="Bulletlevel1"/>
      </w:pPr>
      <w:r>
        <w:t>extending the FM band</w:t>
      </w:r>
    </w:p>
    <w:p w14:paraId="6C938737" w14:textId="3C48222B" w:rsidR="001F4EDA" w:rsidRDefault="001F4EDA" w:rsidP="001F4EDA">
      <w:pPr>
        <w:pStyle w:val="Bulletlevel1"/>
      </w:pPr>
      <w:r>
        <w:t>synchronising FM transmissions</w:t>
      </w:r>
    </w:p>
    <w:p w14:paraId="661D7EB1" w14:textId="3F0C0269" w:rsidR="005A7AB9" w:rsidRDefault="001F4EDA" w:rsidP="001F4EDA">
      <w:pPr>
        <w:pStyle w:val="Bulletlevel1last"/>
      </w:pPr>
      <w:r>
        <w:t>re-planning the FM band to fit in more high-power services.</w:t>
      </w:r>
    </w:p>
    <w:p w14:paraId="431CFD3B" w14:textId="77777777" w:rsidR="004B7539" w:rsidRDefault="004B7539" w:rsidP="004B7539">
      <w:pPr>
        <w:pStyle w:val="Heading3"/>
      </w:pPr>
      <w:r>
        <w:t>Re-purposing planned but unused FM frequencies</w:t>
      </w:r>
    </w:p>
    <w:p w14:paraId="04F58AAD" w14:textId="75D83CEF" w:rsidR="004B7539" w:rsidRDefault="004B7539" w:rsidP="004B7539">
      <w:pPr>
        <w:pStyle w:val="Paragraph"/>
      </w:pPr>
      <w:r>
        <w:t>Several submissions</w:t>
      </w:r>
      <w:r w:rsidR="0065443F">
        <w:rPr>
          <w:rStyle w:val="FootnoteReference"/>
        </w:rPr>
        <w:footnoteReference w:id="61"/>
      </w:r>
      <w:r>
        <w:rPr>
          <w:position w:val="6"/>
          <w:sz w:val="13"/>
        </w:rPr>
        <w:t xml:space="preserve"> </w:t>
      </w:r>
      <w:r>
        <w:t>commented that several FM frequencies have been planned in LAPs and are not in use, as detailed in Table 2.</w:t>
      </w:r>
    </w:p>
    <w:p w14:paraId="5AD5BFED" w14:textId="77777777" w:rsidR="004B7539" w:rsidRDefault="004B7539" w:rsidP="004B7539">
      <w:pPr>
        <w:pStyle w:val="Tableheading"/>
      </w:pPr>
      <w:r>
        <w:t>Table</w:t>
      </w:r>
      <w:r>
        <w:rPr>
          <w:spacing w:val="-3"/>
        </w:rPr>
        <w:t xml:space="preserve"> </w:t>
      </w:r>
      <w:r>
        <w:t>2:</w:t>
      </w:r>
      <w:r>
        <w:tab/>
        <w:t>Unused FM frequencies that have been planned in a</w:t>
      </w:r>
      <w:r>
        <w:rPr>
          <w:spacing w:val="-16"/>
        </w:rPr>
        <w:t xml:space="preserve"> </w:t>
      </w:r>
      <w:r>
        <w:t>LAP</w:t>
      </w:r>
    </w:p>
    <w:tbl>
      <w:tblPr>
        <w:tblW w:w="7663" w:type="dxa"/>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2007"/>
        <w:gridCol w:w="689"/>
        <w:gridCol w:w="608"/>
        <w:gridCol w:w="4359"/>
      </w:tblGrid>
      <w:tr w:rsidR="004B7539" w14:paraId="779A9207" w14:textId="77777777" w:rsidTr="004B7539">
        <w:trPr>
          <w:trHeight w:hRule="exact" w:val="365"/>
        </w:trPr>
        <w:tc>
          <w:tcPr>
            <w:tcW w:w="2007" w:type="dxa"/>
            <w:shd w:val="clear" w:color="auto" w:fill="585858"/>
          </w:tcPr>
          <w:p w14:paraId="1E0DDC66" w14:textId="77777777" w:rsidR="004B7539" w:rsidRDefault="004B7539" w:rsidP="004B7539">
            <w:pPr>
              <w:pStyle w:val="TableParagraph"/>
              <w:spacing w:before="67"/>
              <w:ind w:left="52"/>
              <w:rPr>
                <w:b/>
                <w:sz w:val="20"/>
              </w:rPr>
            </w:pPr>
            <w:r>
              <w:rPr>
                <w:b/>
                <w:color w:val="FFFFFF"/>
                <w:sz w:val="20"/>
              </w:rPr>
              <w:t>Category of service</w:t>
            </w:r>
          </w:p>
        </w:tc>
        <w:tc>
          <w:tcPr>
            <w:tcW w:w="689" w:type="dxa"/>
            <w:shd w:val="clear" w:color="auto" w:fill="585858"/>
          </w:tcPr>
          <w:p w14:paraId="14CD066E" w14:textId="77777777" w:rsidR="004B7539" w:rsidRDefault="004B7539" w:rsidP="004B7539">
            <w:pPr>
              <w:pStyle w:val="TableParagraph"/>
              <w:spacing w:before="67"/>
              <w:ind w:left="55"/>
              <w:rPr>
                <w:b/>
                <w:sz w:val="20"/>
              </w:rPr>
            </w:pPr>
            <w:r>
              <w:rPr>
                <w:b/>
                <w:color w:val="FFFFFF"/>
                <w:sz w:val="20"/>
              </w:rPr>
              <w:t>All</w:t>
            </w:r>
          </w:p>
        </w:tc>
        <w:tc>
          <w:tcPr>
            <w:tcW w:w="4967" w:type="dxa"/>
            <w:gridSpan w:val="2"/>
            <w:shd w:val="clear" w:color="auto" w:fill="585858"/>
          </w:tcPr>
          <w:p w14:paraId="187C677B" w14:textId="77777777" w:rsidR="004B7539" w:rsidRDefault="004B7539" w:rsidP="004B7539">
            <w:pPr>
              <w:pStyle w:val="TableParagraph"/>
              <w:spacing w:before="67"/>
              <w:ind w:left="52"/>
              <w:rPr>
                <w:b/>
                <w:sz w:val="20"/>
              </w:rPr>
            </w:pPr>
            <w:r>
              <w:rPr>
                <w:b/>
                <w:color w:val="FFFFFF"/>
                <w:sz w:val="20"/>
              </w:rPr>
              <w:t>High power (5 kW ERP and above)</w:t>
            </w:r>
          </w:p>
        </w:tc>
      </w:tr>
      <w:tr w:rsidR="004B7539" w14:paraId="458556D8" w14:textId="77777777" w:rsidTr="004B7539">
        <w:trPr>
          <w:trHeight w:hRule="exact" w:val="583"/>
        </w:trPr>
        <w:tc>
          <w:tcPr>
            <w:tcW w:w="2007" w:type="dxa"/>
          </w:tcPr>
          <w:p w14:paraId="7FE10728" w14:textId="77777777" w:rsidR="004B7539" w:rsidRDefault="004B7539" w:rsidP="004B7539">
            <w:pPr>
              <w:pStyle w:val="TableParagraph"/>
              <w:spacing w:before="55"/>
              <w:ind w:left="52"/>
              <w:rPr>
                <w:sz w:val="20"/>
              </w:rPr>
            </w:pPr>
            <w:r>
              <w:rPr>
                <w:sz w:val="20"/>
              </w:rPr>
              <w:t>Community radio</w:t>
            </w:r>
          </w:p>
        </w:tc>
        <w:tc>
          <w:tcPr>
            <w:tcW w:w="689" w:type="dxa"/>
          </w:tcPr>
          <w:p w14:paraId="76DC8A08" w14:textId="77777777" w:rsidR="004B7539" w:rsidRDefault="004B7539" w:rsidP="004B7539">
            <w:pPr>
              <w:pStyle w:val="TableParagraph"/>
              <w:spacing w:before="55"/>
              <w:ind w:left="55"/>
              <w:rPr>
                <w:sz w:val="20"/>
              </w:rPr>
            </w:pPr>
            <w:r>
              <w:rPr>
                <w:sz w:val="20"/>
              </w:rPr>
              <w:t>73</w:t>
            </w:r>
          </w:p>
        </w:tc>
        <w:tc>
          <w:tcPr>
            <w:tcW w:w="608" w:type="dxa"/>
          </w:tcPr>
          <w:p w14:paraId="05A84288" w14:textId="77777777" w:rsidR="004B7539" w:rsidRDefault="004B7539" w:rsidP="004B7539">
            <w:pPr>
              <w:pStyle w:val="TableParagraph"/>
              <w:spacing w:before="55"/>
              <w:ind w:left="52"/>
              <w:rPr>
                <w:sz w:val="20"/>
              </w:rPr>
            </w:pPr>
            <w:r>
              <w:rPr>
                <w:w w:val="99"/>
                <w:sz w:val="20"/>
              </w:rPr>
              <w:t>5</w:t>
            </w:r>
          </w:p>
        </w:tc>
        <w:tc>
          <w:tcPr>
            <w:tcW w:w="4359" w:type="dxa"/>
          </w:tcPr>
          <w:p w14:paraId="230D04FE" w14:textId="77777777" w:rsidR="004B7539" w:rsidRDefault="004B7539" w:rsidP="004B7539">
            <w:pPr>
              <w:pStyle w:val="TableParagraph"/>
              <w:spacing w:before="55"/>
              <w:ind w:left="55"/>
              <w:rPr>
                <w:sz w:val="20"/>
              </w:rPr>
            </w:pPr>
            <w:r>
              <w:rPr>
                <w:sz w:val="20"/>
              </w:rPr>
              <w:t>Darwin, Emerald, Kalgoorlie, Mudgee, Murrurundi</w:t>
            </w:r>
          </w:p>
        </w:tc>
      </w:tr>
      <w:tr w:rsidR="004B7539" w14:paraId="10E807EE" w14:textId="77777777" w:rsidTr="004B7539">
        <w:trPr>
          <w:trHeight w:hRule="exact" w:val="355"/>
        </w:trPr>
        <w:tc>
          <w:tcPr>
            <w:tcW w:w="2007" w:type="dxa"/>
            <w:shd w:val="clear" w:color="auto" w:fill="F1F1F1"/>
          </w:tcPr>
          <w:p w14:paraId="27617CC1" w14:textId="77777777" w:rsidR="004B7539" w:rsidRDefault="004B7539" w:rsidP="004B7539">
            <w:pPr>
              <w:pStyle w:val="TableParagraph"/>
              <w:spacing w:before="57"/>
              <w:ind w:left="52"/>
              <w:rPr>
                <w:sz w:val="20"/>
              </w:rPr>
            </w:pPr>
            <w:r>
              <w:rPr>
                <w:sz w:val="20"/>
              </w:rPr>
              <w:t>Commercial radio</w:t>
            </w:r>
          </w:p>
        </w:tc>
        <w:tc>
          <w:tcPr>
            <w:tcW w:w="689" w:type="dxa"/>
            <w:shd w:val="clear" w:color="auto" w:fill="F1F1F1"/>
          </w:tcPr>
          <w:p w14:paraId="61FBBB3F" w14:textId="77777777" w:rsidR="004B7539" w:rsidRDefault="004B7539" w:rsidP="004B7539">
            <w:pPr>
              <w:pStyle w:val="TableParagraph"/>
              <w:spacing w:before="57"/>
              <w:ind w:left="55"/>
              <w:rPr>
                <w:sz w:val="20"/>
              </w:rPr>
            </w:pPr>
            <w:r>
              <w:rPr>
                <w:sz w:val="20"/>
              </w:rPr>
              <w:t>114</w:t>
            </w:r>
          </w:p>
        </w:tc>
        <w:tc>
          <w:tcPr>
            <w:tcW w:w="608" w:type="dxa"/>
            <w:shd w:val="clear" w:color="auto" w:fill="F1F1F1"/>
          </w:tcPr>
          <w:p w14:paraId="114B5680" w14:textId="77777777" w:rsidR="004B7539" w:rsidRDefault="004B7539" w:rsidP="004B7539">
            <w:pPr>
              <w:pStyle w:val="TableParagraph"/>
              <w:spacing w:before="57"/>
              <w:ind w:left="52"/>
              <w:rPr>
                <w:sz w:val="20"/>
              </w:rPr>
            </w:pPr>
            <w:r>
              <w:rPr>
                <w:w w:val="99"/>
                <w:sz w:val="20"/>
              </w:rPr>
              <w:t>1</w:t>
            </w:r>
          </w:p>
        </w:tc>
        <w:tc>
          <w:tcPr>
            <w:tcW w:w="4359" w:type="dxa"/>
            <w:shd w:val="clear" w:color="auto" w:fill="F1F1F1"/>
          </w:tcPr>
          <w:p w14:paraId="12423496" w14:textId="77777777" w:rsidR="004B7539" w:rsidRDefault="004B7539" w:rsidP="004B7539">
            <w:pPr>
              <w:pStyle w:val="TableParagraph"/>
              <w:spacing w:before="57"/>
              <w:ind w:left="55"/>
              <w:rPr>
                <w:sz w:val="20"/>
              </w:rPr>
            </w:pPr>
            <w:r>
              <w:rPr>
                <w:sz w:val="20"/>
              </w:rPr>
              <w:t>Beulah</w:t>
            </w:r>
          </w:p>
        </w:tc>
      </w:tr>
      <w:tr w:rsidR="004B7539" w14:paraId="3A7571E1" w14:textId="77777777" w:rsidTr="004B7539">
        <w:trPr>
          <w:trHeight w:hRule="exact" w:val="353"/>
        </w:trPr>
        <w:tc>
          <w:tcPr>
            <w:tcW w:w="2007" w:type="dxa"/>
          </w:tcPr>
          <w:p w14:paraId="3084FA19" w14:textId="77777777" w:rsidR="004B7539" w:rsidRDefault="004B7539" w:rsidP="004B7539">
            <w:pPr>
              <w:pStyle w:val="TableParagraph"/>
              <w:spacing w:before="55"/>
              <w:ind w:left="52"/>
              <w:rPr>
                <w:sz w:val="20"/>
              </w:rPr>
            </w:pPr>
            <w:r>
              <w:rPr>
                <w:sz w:val="20"/>
              </w:rPr>
              <w:t>HPON</w:t>
            </w:r>
          </w:p>
        </w:tc>
        <w:tc>
          <w:tcPr>
            <w:tcW w:w="689" w:type="dxa"/>
          </w:tcPr>
          <w:p w14:paraId="787B533E" w14:textId="77777777" w:rsidR="004B7539" w:rsidRDefault="004B7539" w:rsidP="004B7539">
            <w:pPr>
              <w:pStyle w:val="TableParagraph"/>
              <w:spacing w:before="55"/>
              <w:ind w:left="55"/>
              <w:rPr>
                <w:sz w:val="20"/>
              </w:rPr>
            </w:pPr>
            <w:r>
              <w:rPr>
                <w:sz w:val="20"/>
              </w:rPr>
              <w:t>31</w:t>
            </w:r>
          </w:p>
        </w:tc>
        <w:tc>
          <w:tcPr>
            <w:tcW w:w="608" w:type="dxa"/>
          </w:tcPr>
          <w:p w14:paraId="2E355A46" w14:textId="77777777" w:rsidR="004B7539" w:rsidRDefault="004B7539" w:rsidP="004B7539">
            <w:pPr>
              <w:pStyle w:val="TableParagraph"/>
              <w:spacing w:before="55"/>
              <w:ind w:left="52"/>
              <w:rPr>
                <w:sz w:val="20"/>
              </w:rPr>
            </w:pPr>
            <w:r>
              <w:rPr>
                <w:w w:val="99"/>
                <w:sz w:val="20"/>
              </w:rPr>
              <w:t>1</w:t>
            </w:r>
          </w:p>
        </w:tc>
        <w:tc>
          <w:tcPr>
            <w:tcW w:w="4359" w:type="dxa"/>
          </w:tcPr>
          <w:p w14:paraId="4FD506DF" w14:textId="77777777" w:rsidR="004B7539" w:rsidRDefault="004B7539" w:rsidP="004B7539">
            <w:pPr>
              <w:pStyle w:val="TableParagraph"/>
              <w:spacing w:before="55"/>
              <w:ind w:left="55"/>
              <w:rPr>
                <w:sz w:val="20"/>
              </w:rPr>
            </w:pPr>
            <w:r>
              <w:rPr>
                <w:sz w:val="20"/>
              </w:rPr>
              <w:t>Hobart (to be allocated in 2020)</w:t>
            </w:r>
          </w:p>
        </w:tc>
      </w:tr>
      <w:tr w:rsidR="004B7539" w14:paraId="7969FB30" w14:textId="77777777" w:rsidTr="004B7539">
        <w:trPr>
          <w:trHeight w:hRule="exact" w:val="583"/>
        </w:trPr>
        <w:tc>
          <w:tcPr>
            <w:tcW w:w="2007" w:type="dxa"/>
            <w:shd w:val="clear" w:color="auto" w:fill="F1F1F1"/>
          </w:tcPr>
          <w:p w14:paraId="469E888C" w14:textId="77777777" w:rsidR="004B7539" w:rsidRDefault="004B7539" w:rsidP="004B7539">
            <w:pPr>
              <w:pStyle w:val="TableParagraph"/>
              <w:spacing w:before="57"/>
              <w:ind w:left="52"/>
              <w:rPr>
                <w:sz w:val="20"/>
              </w:rPr>
            </w:pPr>
            <w:r>
              <w:rPr>
                <w:sz w:val="20"/>
              </w:rPr>
              <w:t>National</w:t>
            </w:r>
          </w:p>
        </w:tc>
        <w:tc>
          <w:tcPr>
            <w:tcW w:w="689" w:type="dxa"/>
            <w:shd w:val="clear" w:color="auto" w:fill="F1F1F1"/>
          </w:tcPr>
          <w:p w14:paraId="4AE94B75" w14:textId="77777777" w:rsidR="004B7539" w:rsidRDefault="004B7539" w:rsidP="004B7539">
            <w:pPr>
              <w:pStyle w:val="TableParagraph"/>
              <w:spacing w:before="57"/>
              <w:ind w:left="55"/>
              <w:rPr>
                <w:sz w:val="20"/>
              </w:rPr>
            </w:pPr>
            <w:r>
              <w:rPr>
                <w:sz w:val="20"/>
              </w:rPr>
              <w:t>57</w:t>
            </w:r>
          </w:p>
        </w:tc>
        <w:tc>
          <w:tcPr>
            <w:tcW w:w="608" w:type="dxa"/>
            <w:shd w:val="clear" w:color="auto" w:fill="F1F1F1"/>
          </w:tcPr>
          <w:p w14:paraId="7300B738" w14:textId="77777777" w:rsidR="004B7539" w:rsidRDefault="004B7539" w:rsidP="004B7539">
            <w:pPr>
              <w:pStyle w:val="TableParagraph"/>
              <w:spacing w:before="57"/>
              <w:ind w:left="52"/>
              <w:rPr>
                <w:sz w:val="20"/>
              </w:rPr>
            </w:pPr>
            <w:r>
              <w:rPr>
                <w:w w:val="99"/>
                <w:sz w:val="20"/>
              </w:rPr>
              <w:t>8</w:t>
            </w:r>
          </w:p>
        </w:tc>
        <w:tc>
          <w:tcPr>
            <w:tcW w:w="4359" w:type="dxa"/>
            <w:tcBorders>
              <w:bottom w:val="single" w:sz="4" w:space="0" w:color="auto"/>
            </w:tcBorders>
            <w:shd w:val="clear" w:color="auto" w:fill="F1F1F1"/>
          </w:tcPr>
          <w:p w14:paraId="7D81D8E0" w14:textId="77777777" w:rsidR="004B7539" w:rsidRDefault="004B7539" w:rsidP="004B7539">
            <w:pPr>
              <w:pStyle w:val="TableParagraph"/>
              <w:spacing w:before="57"/>
              <w:ind w:left="55"/>
              <w:rPr>
                <w:sz w:val="20"/>
              </w:rPr>
            </w:pPr>
            <w:r>
              <w:rPr>
                <w:sz w:val="20"/>
              </w:rPr>
              <w:t>Batemans Bay (2), Horsham (2), Nhill (2), Muswellbrook, Latrobe Valley</w:t>
            </w:r>
          </w:p>
        </w:tc>
      </w:tr>
      <w:tr w:rsidR="004B7539" w14:paraId="65A8E672" w14:textId="77777777" w:rsidTr="004B7539">
        <w:trPr>
          <w:trHeight w:hRule="exact" w:val="356"/>
        </w:trPr>
        <w:tc>
          <w:tcPr>
            <w:tcW w:w="2007" w:type="dxa"/>
          </w:tcPr>
          <w:p w14:paraId="71D65D57" w14:textId="77777777" w:rsidR="004B7539" w:rsidRDefault="004B7539" w:rsidP="004B7539">
            <w:pPr>
              <w:pStyle w:val="TableParagraph"/>
              <w:spacing w:before="58"/>
              <w:ind w:left="52"/>
              <w:rPr>
                <w:b/>
                <w:sz w:val="20"/>
              </w:rPr>
            </w:pPr>
            <w:r>
              <w:rPr>
                <w:b/>
                <w:sz w:val="20"/>
              </w:rPr>
              <w:t>Total</w:t>
            </w:r>
          </w:p>
        </w:tc>
        <w:tc>
          <w:tcPr>
            <w:tcW w:w="689" w:type="dxa"/>
          </w:tcPr>
          <w:p w14:paraId="47C7CB04" w14:textId="77777777" w:rsidR="004B7539" w:rsidRDefault="004B7539" w:rsidP="004B7539">
            <w:pPr>
              <w:pStyle w:val="TableParagraph"/>
              <w:spacing w:before="58"/>
              <w:ind w:left="55"/>
              <w:rPr>
                <w:b/>
                <w:sz w:val="20"/>
              </w:rPr>
            </w:pPr>
            <w:r>
              <w:rPr>
                <w:b/>
                <w:sz w:val="20"/>
              </w:rPr>
              <w:t>275</w:t>
            </w:r>
          </w:p>
        </w:tc>
        <w:tc>
          <w:tcPr>
            <w:tcW w:w="608" w:type="dxa"/>
          </w:tcPr>
          <w:p w14:paraId="56C42E65" w14:textId="77777777" w:rsidR="004B7539" w:rsidRDefault="004B7539" w:rsidP="004B7539">
            <w:pPr>
              <w:pStyle w:val="TableParagraph"/>
              <w:spacing w:before="58"/>
              <w:ind w:left="52"/>
              <w:rPr>
                <w:b/>
                <w:sz w:val="20"/>
              </w:rPr>
            </w:pPr>
            <w:r>
              <w:rPr>
                <w:b/>
                <w:sz w:val="20"/>
              </w:rPr>
              <w:t>15</w:t>
            </w:r>
          </w:p>
        </w:tc>
        <w:tc>
          <w:tcPr>
            <w:tcW w:w="4359" w:type="dxa"/>
            <w:tcBorders>
              <w:bottom w:val="nil"/>
              <w:right w:val="nil"/>
            </w:tcBorders>
          </w:tcPr>
          <w:p w14:paraId="3F34BFA5" w14:textId="77777777" w:rsidR="004B7539" w:rsidRDefault="004B7539" w:rsidP="004B7539"/>
        </w:tc>
      </w:tr>
    </w:tbl>
    <w:p w14:paraId="56601B30" w14:textId="77777777" w:rsidR="004B7539" w:rsidRDefault="004B7539" w:rsidP="004B7539">
      <w:pPr>
        <w:pStyle w:val="Tableorfigurenotemultiple"/>
      </w:pPr>
      <w:r>
        <w:t>Notes:</w:t>
      </w:r>
    </w:p>
    <w:p w14:paraId="3FFFEEF5" w14:textId="77777777" w:rsidR="004B7539" w:rsidRDefault="004B7539" w:rsidP="004B7539">
      <w:pPr>
        <w:pStyle w:val="Tableorfigurenotemultiple"/>
      </w:pPr>
      <w:r>
        <w:t>Community</w:t>
      </w:r>
      <w:r>
        <w:rPr>
          <w:spacing w:val="-1"/>
        </w:rPr>
        <w:t xml:space="preserve"> </w:t>
      </w:r>
      <w:r>
        <w:t>licence</w:t>
      </w:r>
      <w:r>
        <w:rPr>
          <w:spacing w:val="-4"/>
        </w:rPr>
        <w:t xml:space="preserve"> </w:t>
      </w:r>
      <w:r>
        <w:t>was</w:t>
      </w:r>
      <w:r>
        <w:rPr>
          <w:spacing w:val="-1"/>
        </w:rPr>
        <w:t xml:space="preserve"> </w:t>
      </w:r>
      <w:r>
        <w:t>allocated</w:t>
      </w:r>
      <w:r>
        <w:rPr>
          <w:spacing w:val="-3"/>
        </w:rPr>
        <w:t xml:space="preserve"> </w:t>
      </w:r>
      <w:r>
        <w:t>in</w:t>
      </w:r>
      <w:r>
        <w:rPr>
          <w:spacing w:val="-3"/>
        </w:rPr>
        <w:t xml:space="preserve"> </w:t>
      </w:r>
      <w:r>
        <w:t>Darwin</w:t>
      </w:r>
      <w:r>
        <w:rPr>
          <w:spacing w:val="-3"/>
        </w:rPr>
        <w:t xml:space="preserve"> </w:t>
      </w:r>
      <w:r>
        <w:t>in</w:t>
      </w:r>
      <w:r>
        <w:rPr>
          <w:spacing w:val="-5"/>
        </w:rPr>
        <w:t xml:space="preserve"> </w:t>
      </w:r>
      <w:r>
        <w:t>March</w:t>
      </w:r>
      <w:r>
        <w:rPr>
          <w:spacing w:val="-5"/>
        </w:rPr>
        <w:t xml:space="preserve"> </w:t>
      </w:r>
      <w:r>
        <w:t>2018 but</w:t>
      </w:r>
      <w:r>
        <w:rPr>
          <w:spacing w:val="-4"/>
        </w:rPr>
        <w:t xml:space="preserve"> </w:t>
      </w:r>
      <w:r>
        <w:t>is</w:t>
      </w:r>
      <w:r>
        <w:rPr>
          <w:spacing w:val="-4"/>
        </w:rPr>
        <w:t xml:space="preserve"> </w:t>
      </w:r>
      <w:r>
        <w:t>yet</w:t>
      </w:r>
      <w:r>
        <w:rPr>
          <w:spacing w:val="-2"/>
        </w:rPr>
        <w:t xml:space="preserve"> </w:t>
      </w:r>
      <w:r>
        <w:t>to</w:t>
      </w:r>
      <w:r>
        <w:rPr>
          <w:spacing w:val="-5"/>
        </w:rPr>
        <w:t xml:space="preserve"> </w:t>
      </w:r>
      <w:r>
        <w:t>commence</w:t>
      </w:r>
      <w:r>
        <w:rPr>
          <w:spacing w:val="-1"/>
        </w:rPr>
        <w:t xml:space="preserve"> </w:t>
      </w:r>
      <w:r>
        <w:t>as</w:t>
      </w:r>
      <w:r>
        <w:rPr>
          <w:spacing w:val="-1"/>
        </w:rPr>
        <w:t xml:space="preserve"> </w:t>
      </w:r>
      <w:r>
        <w:t>at</w:t>
      </w:r>
      <w:r>
        <w:rPr>
          <w:spacing w:val="-4"/>
        </w:rPr>
        <w:t xml:space="preserve"> </w:t>
      </w:r>
      <w:r>
        <w:t>January</w:t>
      </w:r>
      <w:r>
        <w:rPr>
          <w:spacing w:val="-1"/>
        </w:rPr>
        <w:t xml:space="preserve"> </w:t>
      </w:r>
      <w:r>
        <w:t>2020.</w:t>
      </w:r>
    </w:p>
    <w:p w14:paraId="587F03C5" w14:textId="77777777" w:rsidR="004B7539" w:rsidRDefault="004B7539" w:rsidP="004B7539">
      <w:pPr>
        <w:pStyle w:val="Tableorfigurenotemultiple"/>
      </w:pPr>
      <w:r>
        <w:t>Table excludes unused frequencies added to LAPs in the past nine</w:t>
      </w:r>
      <w:r>
        <w:rPr>
          <w:spacing w:val="-25"/>
        </w:rPr>
        <w:t xml:space="preserve"> </w:t>
      </w:r>
      <w:r>
        <w:t>months.</w:t>
      </w:r>
    </w:p>
    <w:p w14:paraId="1BC08372" w14:textId="77777777" w:rsidR="004B7539" w:rsidRDefault="004B7539" w:rsidP="004B7539">
      <w:pPr>
        <w:pStyle w:val="BodyText"/>
        <w:spacing w:before="6"/>
        <w:rPr>
          <w:i/>
          <w:sz w:val="21"/>
        </w:rPr>
      </w:pPr>
    </w:p>
    <w:p w14:paraId="0AD04582" w14:textId="70B3C804" w:rsidR="004B7539" w:rsidRDefault="004B7539" w:rsidP="00100C9D">
      <w:pPr>
        <w:pStyle w:val="Paragraph"/>
        <w:keepNext/>
        <w:keepLines/>
      </w:pPr>
      <w:r>
        <w:lastRenderedPageBreak/>
        <w:t>The submitters proposed that the ACMA should repurpose these frequencies for AM to FM conversions. Our analysis shows that most of these frequencies have generally been planned for services of a lower power than those that would be required to convert an AM service to FM. The frequencies planned for high power operation have been identified in Table 2.</w:t>
      </w:r>
    </w:p>
    <w:p w14:paraId="7A6B33CE" w14:textId="729C8AA0" w:rsidR="004B7539" w:rsidRDefault="004B7539" w:rsidP="004B7539">
      <w:pPr>
        <w:pStyle w:val="Paragraph"/>
      </w:pPr>
      <w:r>
        <w:t>Where we can identify unused allotments that might be useful for, or might impede, a prospective conversion, we will consider the best course of action. Relevant to the national broadcaster allotments, are the purpose of any ministerial reservation</w:t>
      </w:r>
      <w:r w:rsidR="0065443F">
        <w:rPr>
          <w:rStyle w:val="FootnoteReference"/>
        </w:rPr>
        <w:footnoteReference w:id="62"/>
      </w:r>
      <w:r>
        <w:rPr>
          <w:position w:val="6"/>
          <w:sz w:val="13"/>
        </w:rPr>
        <w:t xml:space="preserve"> </w:t>
      </w:r>
      <w:r>
        <w:t>that gave rise to the allotment, and the national broadcasters’ own plans for conversions and service extensions. The ABC has identified some of the 57 frequencies for implementation in the short-term to extend existing ABC services. It also plans to use some of the unused frequencies as infill FM repeaters, which, combined with the coverage of existing FM transmitters, will enable the ABC to switch off some AM transmitters.</w:t>
      </w:r>
    </w:p>
    <w:p w14:paraId="4DF89339" w14:textId="3C0D240F" w:rsidR="004B7539" w:rsidRDefault="004B7539" w:rsidP="004B7539">
      <w:pPr>
        <w:pStyle w:val="Paragraph"/>
      </w:pPr>
      <w:r>
        <w:t>In deciding on the best use of unused allotments, we may consider the timing of when a broadcaster would implement a proposal. Our view is that putting spectrum to productive use in a timely manner generally promotes the economic and efficient use of spectrum.</w:t>
      </w:r>
    </w:p>
    <w:p w14:paraId="5434CE64" w14:textId="77777777" w:rsidR="004B7539" w:rsidRDefault="004B7539" w:rsidP="004B7539">
      <w:pPr>
        <w:pStyle w:val="Heading3"/>
      </w:pPr>
      <w:r>
        <w:t>Extending the FM band</w:t>
      </w:r>
    </w:p>
    <w:p w14:paraId="08DEC69F" w14:textId="437049CE" w:rsidR="004B7539" w:rsidRDefault="004B7539" w:rsidP="004B7539">
      <w:pPr>
        <w:pStyle w:val="Paragraph"/>
      </w:pPr>
      <w:r>
        <w:t>We found no support from commercial, community or national broadcasters for an extension of the FM band into adjacent spectrum. A band extension is likely to require another equipment replacement cycle (potentially requiring receivers with bespoke Australian requirements</w:t>
      </w:r>
      <w:r w:rsidR="0065443F">
        <w:rPr>
          <w:rStyle w:val="FootnoteReference"/>
        </w:rPr>
        <w:footnoteReference w:id="63"/>
      </w:r>
      <w:r>
        <w:t>) in analog at the expense of encouraging digital uptake.</w:t>
      </w:r>
    </w:p>
    <w:p w14:paraId="657671A4" w14:textId="59A996B3" w:rsidR="004B7539" w:rsidRDefault="004B7539" w:rsidP="004B7539">
      <w:pPr>
        <w:pStyle w:val="Paragraph"/>
        <w:rPr>
          <w:sz w:val="13"/>
        </w:rPr>
      </w:pPr>
      <w:r>
        <w:t>Conversely, narrowcasters generally supported band extension as a way of enabling their AM services to transition to FM.</w:t>
      </w:r>
      <w:r w:rsidR="0065443F">
        <w:rPr>
          <w:rStyle w:val="FootnoteReference"/>
        </w:rPr>
        <w:footnoteReference w:id="64"/>
      </w:r>
    </w:p>
    <w:p w14:paraId="7C8DA1D8" w14:textId="3A396951" w:rsidR="0065443F" w:rsidRDefault="0065443F" w:rsidP="0065443F">
      <w:pPr>
        <w:pStyle w:val="Paragraph"/>
      </w:pPr>
      <w:r>
        <w:t>A re-plan with less conservative planning parameters was seen by most as being disruptive and not worth the small spectrum gains in FM spectrum that could be achieved in and around the congested.</w:t>
      </w:r>
      <w:r>
        <w:rPr>
          <w:rStyle w:val="FootnoteReference"/>
        </w:rPr>
        <w:footnoteReference w:id="65"/>
      </w:r>
    </w:p>
    <w:p w14:paraId="6086C890" w14:textId="77777777" w:rsidR="0065443F" w:rsidRDefault="0065443F" w:rsidP="0065443F">
      <w:pPr>
        <w:pStyle w:val="Heading3"/>
      </w:pPr>
      <w:r>
        <w:t>Synchronous FM transmissions</w:t>
      </w:r>
    </w:p>
    <w:p w14:paraId="191588CE" w14:textId="2623FA3D" w:rsidR="0065443F" w:rsidRDefault="0065443F" w:rsidP="0065443F">
      <w:pPr>
        <w:pStyle w:val="Paragraph"/>
      </w:pPr>
      <w:r>
        <w:t>One submitter suggested that there should for greater use of FM synchronous or single frequency FM networks.</w:t>
      </w:r>
      <w:r>
        <w:rPr>
          <w:rStyle w:val="FootnoteReference"/>
        </w:rPr>
        <w:footnoteReference w:id="66"/>
      </w:r>
      <w:r>
        <w:t xml:space="preserve"> Synchronous transmission techniques are typically used to add a repeater to infill the coverage of the main transmitter. The technique uses the same frequency for the repeater as for the main transmitter.</w:t>
      </w:r>
    </w:p>
    <w:p w14:paraId="02195308" w14:textId="4A6CD4A6" w:rsidR="0065443F" w:rsidRDefault="0065443F" w:rsidP="0065443F">
      <w:pPr>
        <w:pStyle w:val="Paragraph"/>
      </w:pPr>
      <w:r>
        <w:t>We consider that such use of synchronous repeaters would only provide a marginal increase in spectrum efficiency compared to the usual approach of planning repeaters. Usually repeaters are planned on separate frequencies on an interference-limited basis, which provides interference-free coverage of the target coverage area, with the repeater coverage beyond this potentially subject to interference from other services. Coverage from the main transmitter is often available within the potentially interfered region. Due to the low power of such repeaters, they pose a low risk of interference to other services.</w:t>
      </w:r>
    </w:p>
    <w:p w14:paraId="422AD4A9" w14:textId="328F9C52" w:rsidR="0065443F" w:rsidRDefault="0065443F" w:rsidP="0065443F">
      <w:pPr>
        <w:pStyle w:val="Paragraph"/>
      </w:pPr>
      <w:r>
        <w:lastRenderedPageBreak/>
        <w:t>Synchronous repeaters, however, may potentially interfere with the coverage of the main transmitter and, as such, require careful implementation and may not be suited to all circumstances. Nevertheless, where a licensee proposes a synchronous repeater, we will consider whether we accommodate this request if the broadcaster acknowledges the need to manage the potential for self-interference.</w:t>
      </w:r>
    </w:p>
    <w:p w14:paraId="002D1E22" w14:textId="77777777" w:rsidR="0065443F" w:rsidRDefault="0065443F" w:rsidP="0065443F">
      <w:pPr>
        <w:pStyle w:val="Heading3"/>
      </w:pPr>
      <w:r>
        <w:t>Replanning</w:t>
      </w:r>
    </w:p>
    <w:p w14:paraId="664A06DD" w14:textId="5DF8F303" w:rsidR="0065443F" w:rsidRDefault="0065443F" w:rsidP="0065443F">
      <w:pPr>
        <w:pStyle w:val="Paragraph"/>
      </w:pPr>
      <w:r>
        <w:t>The current configuration of the FM band in any area is likely to have evolved over time in response to demand. This ‘organic’ configuration does not necessarily result in the same spectrum efficiency as would be attained if the relevant LAP was being planned from afresh.</w:t>
      </w:r>
    </w:p>
    <w:p w14:paraId="417A04C2" w14:textId="7966207A" w:rsidR="0065443F" w:rsidRDefault="0065443F" w:rsidP="0065443F">
      <w:pPr>
        <w:pStyle w:val="Paragraph"/>
      </w:pPr>
      <w:r>
        <w:t>To increase spectrum efficiency, re-planning involves changing the technical specifications for existing planned services to fit new services into the band. In the context of this report, re-planning the FM band for an area would seek to achieve a better utilisation of that band for high-power services than is possible now. Changes required by a re-plan could include changes to the power or frequency of a service, or the need to accept a greater level of interference.</w:t>
      </w:r>
    </w:p>
    <w:p w14:paraId="2BFA56A7" w14:textId="535B8765" w:rsidR="0065443F" w:rsidRDefault="0065443F" w:rsidP="0065443F">
      <w:pPr>
        <w:pStyle w:val="Paragraph"/>
      </w:pPr>
      <w:r>
        <w:t>We conducted a case study of the Newcastle area to gain general insights into the extent to which re-planning FM spectrum could yield additional capacity in congested areas. The results of the case study could be applied to other congested FM spectrum areas.</w:t>
      </w:r>
    </w:p>
    <w:p w14:paraId="1606AE41" w14:textId="40C92632" w:rsidR="0065443F" w:rsidRDefault="0065443F" w:rsidP="0065443F">
      <w:pPr>
        <w:pStyle w:val="Paragraph"/>
      </w:pPr>
      <w:r>
        <w:t xml:space="preserve">We have concluded from the case study that some additional spectrum can be identified in congested areas. However, in order to identify </w:t>
      </w:r>
      <w:proofErr w:type="gramStart"/>
      <w:r>
        <w:t>sufficient</w:t>
      </w:r>
      <w:proofErr w:type="gramEnd"/>
      <w:r>
        <w:t xml:space="preserve"> spectrum for all licensed and national broadcasting services, more radical re-planning is required. This will require frequency changes and the acceptance of the possibility of a higher level of interference at the margins of coverage for services in nearby licence areas.</w:t>
      </w:r>
    </w:p>
    <w:p w14:paraId="6DDE4C87" w14:textId="09A9E23F" w:rsidR="0065443F" w:rsidRDefault="0065443F" w:rsidP="0065443F">
      <w:pPr>
        <w:pStyle w:val="Paragraph"/>
      </w:pPr>
      <w:r>
        <w:t>We note that the extreme option of planning AM to FM conversions in the LPON sub- band would yield one frequency for a Newcastle national conversion but could affect between 50 and 120 LPONs. We consider that the benefit of identifying a single additional frequency is outweighed by the potential reduction in the diversity of services that would result. In general, we consider that work to identify additional spectrum in metropolitan areas would outweigh any benefit.</w:t>
      </w:r>
      <w:r>
        <w:rPr>
          <w:rStyle w:val="FootnoteReference"/>
        </w:rPr>
        <w:footnoteReference w:id="67"/>
      </w:r>
    </w:p>
    <w:p w14:paraId="042ACDE2" w14:textId="3CCE75F1" w:rsidR="0065443F" w:rsidRPr="0065443F" w:rsidRDefault="00100C9D" w:rsidP="0060424E">
      <w:pPr>
        <w:pStyle w:val="Paragraph"/>
        <w:keepNext/>
        <w:keepLines/>
        <w:pBdr>
          <w:top w:val="single" w:sz="4" w:space="1" w:color="auto"/>
          <w:bottom w:val="single" w:sz="4" w:space="1" w:color="auto"/>
        </w:pBdr>
        <w:spacing w:after="120"/>
        <w:rPr>
          <w:b/>
          <w:bCs/>
        </w:rPr>
      </w:pPr>
      <w:r>
        <w:rPr>
          <w:b/>
          <w:bCs/>
          <w:i/>
          <w:iCs/>
        </w:rPr>
        <w:lastRenderedPageBreak/>
        <w:br/>
      </w:r>
      <w:r w:rsidR="0065443F" w:rsidRPr="0060424E">
        <w:rPr>
          <w:b/>
          <w:bCs/>
          <w:i/>
          <w:iCs/>
        </w:rPr>
        <w:t>Case study</w:t>
      </w:r>
      <w:r w:rsidR="0065443F" w:rsidRPr="00890974">
        <w:rPr>
          <w:b/>
          <w:bCs/>
        </w:rPr>
        <w:t xml:space="preserve">: </w:t>
      </w:r>
      <w:r w:rsidR="0065443F" w:rsidRPr="00423F6B">
        <w:rPr>
          <w:b/>
          <w:bCs/>
          <w:i/>
          <w:iCs/>
        </w:rPr>
        <w:t>re-planning FM spectrum in Newcastle</w:t>
      </w:r>
    </w:p>
    <w:p w14:paraId="37061BBF" w14:textId="25334AC3" w:rsidR="0065443F" w:rsidRDefault="0065443F" w:rsidP="0060424E">
      <w:pPr>
        <w:pStyle w:val="Paragraph"/>
        <w:keepNext/>
        <w:keepLines/>
        <w:pBdr>
          <w:top w:val="single" w:sz="4" w:space="1" w:color="auto"/>
          <w:bottom w:val="single" w:sz="4" w:space="1" w:color="auto"/>
        </w:pBdr>
      </w:pPr>
      <w:r>
        <w:t>Newcastle has four commercial services</w:t>
      </w:r>
      <w:r>
        <w:rPr>
          <w:rStyle w:val="FootnoteReference"/>
        </w:rPr>
        <w:footnoteReference w:id="68"/>
      </w:r>
      <w:r>
        <w:t xml:space="preserve"> and six national services, with one commercial service and four national services on AM. Newcastle’s population and proximity to Sydney and the Central Coast were thought to represent a worst-case for any potential extension or expansion of the AM/FM conversion program. The case study aimed to identify FM frequencies for two 80 kW omni-directional services and three 20 kW directional services.</w:t>
      </w:r>
    </w:p>
    <w:p w14:paraId="7D5D9927" w14:textId="6F29D042" w:rsidR="0065443F" w:rsidRDefault="0065443F" w:rsidP="0060424E">
      <w:pPr>
        <w:pStyle w:val="Paragraph"/>
        <w:keepNext/>
        <w:keepLines/>
        <w:pBdr>
          <w:top w:val="single" w:sz="4" w:space="1" w:color="auto"/>
          <w:bottom w:val="single" w:sz="4" w:space="1" w:color="auto"/>
        </w:pBdr>
      </w:pPr>
      <w:r>
        <w:t>Despite its proximity to the congested Sydney market, this case study found that it might be possible to identify FM frequencies for AM to FM conversion of at least some of the services that currently operate in Newcastle, provided some flexibility is applied to the application of current planning practices. For some frequencies, the changes are relatively minor—mainly the acceptance of slight increases in predicted interference to existing services. For others, it would also involve frequency changes for several existing services and/or replanning of planned but unused frequencies</w:t>
      </w:r>
      <w:r w:rsidR="004C450C">
        <w:t>.</w:t>
      </w:r>
      <w:r>
        <w:rPr>
          <w:rStyle w:val="FootnoteReference"/>
        </w:rPr>
        <w:footnoteReference w:id="69"/>
      </w:r>
    </w:p>
    <w:p w14:paraId="68E39EC5" w14:textId="4BF81BCB" w:rsidR="0065443F" w:rsidRDefault="0065443F" w:rsidP="0060424E">
      <w:pPr>
        <w:pStyle w:val="Paragraph"/>
        <w:keepNext/>
        <w:keepLines/>
        <w:pBdr>
          <w:top w:val="single" w:sz="4" w:space="1" w:color="auto"/>
          <w:bottom w:val="single" w:sz="4" w:space="1" w:color="auto"/>
        </w:pBdr>
      </w:pPr>
      <w:r>
        <w:t>We were able to identify only one 80 kW frequency. This would require a frequency change of one national service at Port Stephens and acceptance of interference to the Campbelltown commercial service and two sub-metropolitan Sydney community services. We also examined the hypothetical impact of using the LPON sub-band, and found that to identify another 80 kW frequency, would mean that 50 to 120 LPONs would be unable to operate.</w:t>
      </w:r>
    </w:p>
    <w:p w14:paraId="0D25CAE1" w14:textId="78F39BF6" w:rsidR="0065443F" w:rsidRDefault="0065443F" w:rsidP="0060424E">
      <w:pPr>
        <w:pStyle w:val="Paragraph"/>
        <w:keepNext/>
        <w:keepLines/>
        <w:pBdr>
          <w:top w:val="single" w:sz="4" w:space="1" w:color="auto"/>
          <w:bottom w:val="single" w:sz="4" w:space="1" w:color="auto"/>
        </w:pBdr>
      </w:pPr>
      <w:r>
        <w:t>We identified five potential frequencies for 20 kW directional services. Three of these frequencies could be achieved within the bounds of our current planning parameters. We would need to repurpose planned but unused frequencies and change the frequency of several mine site retransmissions. Additional interference to Sydney services under this planning scenario would affect less than 1.5 per cent of the relevant licence area population. The other two FM frequencies were identified by using more radical planning options. These included changing the frequency, or removing, two national services and increasing the predicted interference to a Sydney sub-metropolitan community service to five per cent of the licence area population.</w:t>
      </w:r>
    </w:p>
    <w:p w14:paraId="5530BFF6" w14:textId="045F1F0B" w:rsidR="004B7539" w:rsidRDefault="0065443F" w:rsidP="0060424E">
      <w:pPr>
        <w:pStyle w:val="Paragraph"/>
        <w:keepNext/>
        <w:keepLines/>
        <w:pBdr>
          <w:top w:val="single" w:sz="4" w:space="1" w:color="auto"/>
          <w:bottom w:val="single" w:sz="4" w:space="1" w:color="auto"/>
        </w:pBdr>
      </w:pPr>
      <w:r>
        <w:t>Note: The Newcastle case study was undertaken on a hypothetical basis. No decisions have been taken about progressing conversion of any Newcastle services. The frequencies identified as options in the study will not be reserved for Newcastle, as doing so could limit planning options for other areas.</w:t>
      </w:r>
      <w:r w:rsidR="00100C9D">
        <w:br/>
      </w:r>
    </w:p>
    <w:p w14:paraId="6E12BC4E" w14:textId="77777777" w:rsidR="004C450C" w:rsidRDefault="004C450C" w:rsidP="00A343FB">
      <w:pPr>
        <w:pStyle w:val="Heading3"/>
        <w:spacing w:after="120"/>
      </w:pPr>
      <w:r>
        <w:br w:type="page"/>
      </w:r>
    </w:p>
    <w:p w14:paraId="62447D03" w14:textId="59A01A03" w:rsidR="0065443F" w:rsidRDefault="0065443F" w:rsidP="0060424E">
      <w:pPr>
        <w:pStyle w:val="Heading3"/>
        <w:spacing w:after="120"/>
      </w:pPr>
      <w:r>
        <w:lastRenderedPageBreak/>
        <w:t>Digital platform access for sub-metropolitan FM community services and narrowcasters</w:t>
      </w:r>
    </w:p>
    <w:p w14:paraId="642853F3" w14:textId="34FD17BD" w:rsidR="0065443F" w:rsidRDefault="0065443F" w:rsidP="0060424E">
      <w:pPr>
        <w:pStyle w:val="Paragraph"/>
        <w:shd w:val="clear" w:color="auto" w:fill="F2F2F2" w:themeFill="background1" w:themeFillShade="F2"/>
      </w:pPr>
      <w:r w:rsidRPr="0065443F">
        <w:rPr>
          <w:b/>
          <w:bCs/>
        </w:rPr>
        <w:t>Finding 14:</w:t>
      </w:r>
      <w:r>
        <w:t xml:space="preserve"> Small-scale DAB+ is not feasible as a digital delivery platform for the FM sub-metropolitan community services because there is insufficient spectrum to accommodate all such services in a metropolitan area.</w:t>
      </w:r>
    </w:p>
    <w:p w14:paraId="74F9BD17" w14:textId="262A6928" w:rsidR="0065443F" w:rsidRDefault="0065443F" w:rsidP="0065443F">
      <w:pPr>
        <w:pStyle w:val="Paragraph"/>
        <w:shd w:val="clear" w:color="auto" w:fill="F2F2F2" w:themeFill="background1" w:themeFillShade="F2"/>
      </w:pPr>
      <w:r w:rsidRPr="0065443F">
        <w:rPr>
          <w:b/>
          <w:bCs/>
        </w:rPr>
        <w:t>Finding 15:</w:t>
      </w:r>
      <w:r>
        <w:t xml:space="preserve"> DRM for VHF-FM is suited to replicating the coverage of FM radio. It could be evaluated as a potentially more scalable and cost-effective solution for localised digital radio.</w:t>
      </w:r>
    </w:p>
    <w:p w14:paraId="19DA4EFA" w14:textId="7E113DFC" w:rsidR="0065443F" w:rsidRDefault="0065443F" w:rsidP="0065443F">
      <w:pPr>
        <w:pStyle w:val="Paragraph"/>
      </w:pPr>
      <w:r>
        <w:t>The ABC and CBAA noted that DRM for FM could be used to digitise the sub- metropolitan community radio services</w:t>
      </w:r>
      <w:r w:rsidR="0088480D">
        <w:rPr>
          <w:rStyle w:val="FootnoteReference"/>
        </w:rPr>
        <w:footnoteReference w:id="70"/>
      </w:r>
      <w:r>
        <w:t xml:space="preserve"> that generally do not have DAB+ access. CBAA also noted that DRM for FM could be used to provide additional digital radio services. We conducted studies on potential use of small-scale DAB+. We found that the requirement for DAB+ frequency blocks to service adjacent commercial radio markets made small scale DAB+ unfeasible.</w:t>
      </w:r>
    </w:p>
    <w:p w14:paraId="191D4EB0" w14:textId="4ABF2F81" w:rsidR="0065443F" w:rsidRDefault="0065443F" w:rsidP="0065443F">
      <w:pPr>
        <w:pStyle w:val="Paragraph"/>
      </w:pPr>
      <w:r>
        <w:t>In theory, DRM for VHF-FM could be used as a platform for digitisation of sub-local community services. Further studies would be needed into the practicality of this approach.</w:t>
      </w:r>
    </w:p>
    <w:p w14:paraId="14607CF9" w14:textId="77777777" w:rsidR="0065443F" w:rsidRDefault="0065443F" w:rsidP="0065443F">
      <w:pPr>
        <w:pStyle w:val="Heading2"/>
      </w:pPr>
      <w:bookmarkStart w:id="29" w:name="_Toc35846796"/>
      <w:r>
        <w:t>Longer term solutions—emerging platforms</w:t>
      </w:r>
      <w:bookmarkEnd w:id="29"/>
    </w:p>
    <w:p w14:paraId="293A8891" w14:textId="4F0D428E" w:rsidR="0065443F" w:rsidRDefault="0065443F" w:rsidP="0065443F">
      <w:pPr>
        <w:pStyle w:val="Paragraph"/>
      </w:pPr>
      <w:r>
        <w:t>The ACMA has examined several technologies that in the longer term might match the coverage of AM. We will continue to monitor these developments.</w:t>
      </w:r>
    </w:p>
    <w:p w14:paraId="21AF978C" w14:textId="7F112033" w:rsidR="0065443F" w:rsidRDefault="0065443F" w:rsidP="0060424E">
      <w:pPr>
        <w:pStyle w:val="Heading3"/>
        <w:spacing w:after="120"/>
      </w:pPr>
      <w:r>
        <w:t>DRM</w:t>
      </w:r>
    </w:p>
    <w:p w14:paraId="7C5BD607" w14:textId="64ADEAAF" w:rsidR="0065443F" w:rsidRDefault="0065443F" w:rsidP="0065443F">
      <w:pPr>
        <w:pStyle w:val="Paragraph"/>
        <w:shd w:val="clear" w:color="auto" w:fill="F2F2F2" w:themeFill="background1" w:themeFillShade="F2"/>
      </w:pPr>
      <w:r w:rsidRPr="0065443F">
        <w:rPr>
          <w:b/>
          <w:bCs/>
        </w:rPr>
        <w:t>Finding 16:</w:t>
      </w:r>
      <w:r>
        <w:t xml:space="preserve"> DRM for AM (also called DRM30) can match the coverage of high-power AM services. Hybrid chipsets, which include DRM for AM chipsets, are available and are being produced and installed in cars at scale for the Indian market.</w:t>
      </w:r>
    </w:p>
    <w:p w14:paraId="1087E3EB" w14:textId="224027BE" w:rsidR="0065443F" w:rsidRDefault="0065443F" w:rsidP="0065443F">
      <w:pPr>
        <w:pStyle w:val="Paragraph"/>
      </w:pPr>
      <w:r>
        <w:t xml:space="preserve">DRM is an ITU-R recommended alternative digital radio technology to DAB+. It is a single open-source standard that is specified for several frequency bands, including the existing AM broadcasting services bands (DRM for AM), and the existing FM band (DRM for FM). The technology is also specified for operation in other bands up to </w:t>
      </w:r>
      <w:r w:rsidR="004C450C">
        <w:t>300 </w:t>
      </w:r>
      <w:r>
        <w:t>MHz. In practice, receivers are likely to support only a subset of these bands that are used on a worldwide basis or in major markets.</w:t>
      </w:r>
    </w:p>
    <w:p w14:paraId="458AB19F" w14:textId="75D0C1F6" w:rsidR="0065443F" w:rsidRDefault="0065443F" w:rsidP="0065443F">
      <w:pPr>
        <w:pStyle w:val="Paragraph"/>
      </w:pPr>
      <w:r>
        <w:t>While DAB+ can provide around 18 FM quality services on a transmitter, DRM is limited to around three average quality audio services. DRM can operate in a simulcast mode, where the analog and digital signals occupy the same bandwidth as an analog signal. DRM for AM has the same propagation properties as AM.</w:t>
      </w:r>
    </w:p>
    <w:p w14:paraId="4AC540FF" w14:textId="74CCF49B" w:rsidR="004B7539" w:rsidRDefault="0065443F" w:rsidP="0065443F">
      <w:pPr>
        <w:pStyle w:val="Paragraph"/>
      </w:pPr>
      <w:r>
        <w:t>All India Radio (AIR), the public service broadcaster in India, has adopted the DRM standard for digital terrestrial radio transmissions in the medium and shortwave bands. It uses 35 AM band transmitters and two short-wave transmitters.</w:t>
      </w:r>
    </w:p>
    <w:p w14:paraId="1BB8B48C" w14:textId="27D4673D" w:rsidR="0088480D" w:rsidRDefault="0088480D" w:rsidP="0088480D">
      <w:pPr>
        <w:pStyle w:val="Paragraph"/>
      </w:pPr>
      <w:r>
        <w:t>Submissions queried the availability of DRM receivers. The car entertainment chipset manufacture NXP, which provides 50–60 per cent of chipsets for the car radios of all global car manufacturers, offers multi-standard support, including DRM, DAB/DAB+ and HD radio.</w:t>
      </w:r>
      <w:r>
        <w:rPr>
          <w:rStyle w:val="FootnoteReference"/>
        </w:rPr>
        <w:footnoteReference w:id="71"/>
      </w:r>
      <w:r>
        <w:t xml:space="preserve"> According to the DRM project office, in early 2019, there were</w:t>
      </w:r>
      <w:r w:rsidR="004C450C">
        <w:t xml:space="preserve"> </w:t>
      </w:r>
      <w:r>
        <w:t xml:space="preserve">1.5 </w:t>
      </w:r>
      <w:r>
        <w:lastRenderedPageBreak/>
        <w:t>million DRM receivers in India, having been made available as a standard feature for no additional cost in 20 per cent of new cars supplied to the Indian market.</w:t>
      </w:r>
      <w:r>
        <w:rPr>
          <w:rStyle w:val="FootnoteReference"/>
        </w:rPr>
        <w:footnoteReference w:id="72"/>
      </w:r>
      <w:r>
        <w:t xml:space="preserve"> </w:t>
      </w:r>
      <w:r>
        <w:rPr>
          <w:rStyle w:val="FootnoteReference"/>
        </w:rPr>
        <w:footnoteReference w:id="73"/>
      </w:r>
      <w:r>
        <w:t xml:space="preserve"> We understand that these receivers are capable of receiving DRM for AM, along with AM and FM.</w:t>
      </w:r>
    </w:p>
    <w:p w14:paraId="670FB100" w14:textId="55491DC5" w:rsidR="0088480D" w:rsidRDefault="0088480D" w:rsidP="0088480D">
      <w:pPr>
        <w:pStyle w:val="Paragraph"/>
      </w:pPr>
      <w:r>
        <w:t xml:space="preserve">Industry views on DRM have been mixed. Following Australian trials in the mid-2000s, little </w:t>
      </w:r>
      <w:r w:rsidRPr="0001580B">
        <w:t>interest was shown in DRM. SBS has submitted that it considers DRM to be the best option for replacing AM radio. CRA however, does not support DRM, given the level of investment in DAB+.</w:t>
      </w:r>
      <w:r w:rsidRPr="0001580B">
        <w:rPr>
          <w:rStyle w:val="FootnoteReference"/>
        </w:rPr>
        <w:footnoteReference w:id="74"/>
      </w:r>
      <w:r w:rsidRPr="0001580B">
        <w:t xml:space="preserve"> CBAA and the ABC also support DAB+ as the ‘mainstay’ technology to deliver radio. Both CBAA and ABC support exploring DRM for AM as an option for digital wide-area coverage. Additionally, CBAA supported DRM trials and supported looking at how DRM for VHF-FM might allow additional digital radio services.</w:t>
      </w:r>
      <w:r w:rsidRPr="0001580B">
        <w:rPr>
          <w:rStyle w:val="FootnoteReference"/>
        </w:rPr>
        <w:footnoteReference w:id="75"/>
      </w:r>
    </w:p>
    <w:p w14:paraId="6BF4FF42" w14:textId="31254ECE" w:rsidR="0088480D" w:rsidRDefault="0088480D" w:rsidP="0088480D">
      <w:pPr>
        <w:pStyle w:val="Paragraph"/>
      </w:pPr>
      <w:r>
        <w:t>We consider it useful to explore the feasibility and desirability of adding DRM technology to our domestic radio delivery platform mix. There is support for new trials of DRM.</w:t>
      </w:r>
      <w:r>
        <w:rPr>
          <w:rStyle w:val="FootnoteReference"/>
        </w:rPr>
        <w:footnoteReference w:id="76"/>
      </w:r>
      <w:r>
        <w:t xml:space="preserve"> The ACMA is willing to consider approvals for such trials and will maintain a ‘watching brief’ on DRM technology, including the results of any trials and developments in the deployment of DRM abroad.</w:t>
      </w:r>
    </w:p>
    <w:p w14:paraId="30F188E7" w14:textId="77777777" w:rsidR="0088480D" w:rsidRDefault="0088480D" w:rsidP="0088480D">
      <w:pPr>
        <w:pStyle w:val="Heading3"/>
      </w:pPr>
      <w:r>
        <w:t>Radio delivery by satellite</w:t>
      </w:r>
    </w:p>
    <w:p w14:paraId="3DEFE938" w14:textId="670BAC6B" w:rsidR="0088480D" w:rsidRDefault="0088480D" w:rsidP="0088480D">
      <w:pPr>
        <w:pStyle w:val="Paragraph"/>
      </w:pPr>
      <w:r>
        <w:t>Direct-to-home satellite plays a role in radio delivery, mostly via Viewer Access Satellite Television (VAST) to remote Australians. Satellite transmission direct to vehicles, however, requires operation in a different frequency band, to minimise the size of the receiving antenna. There is no frequency capability suitable for satellite broadcasting to in-car and portable devices on the current fleet of Optus satellites; none is forecast at this time for the planned Optus replacement satellites.</w:t>
      </w:r>
      <w:r>
        <w:rPr>
          <w:rStyle w:val="FootnoteReference"/>
        </w:rPr>
        <w:footnoteReference w:id="77"/>
      </w:r>
    </w:p>
    <w:p w14:paraId="2EB32725" w14:textId="5543D0AA" w:rsidR="0088480D" w:rsidRDefault="0088480D" w:rsidP="0088480D">
      <w:pPr>
        <w:pStyle w:val="Paragraph"/>
      </w:pPr>
      <w:r>
        <w:t>While technologically feasible, satellite radio via dedicated satellite radio broadcasting networks would likely be prohibitively expensive. The SiriusXM platform, operating in North America with 33.7 million subscribers, is the only dedicated mobile satellite broadcasting system in the world. It offers around 200 radio channels.</w:t>
      </w:r>
    </w:p>
    <w:p w14:paraId="7FCA791C" w14:textId="6DA16D9E" w:rsidR="004B7539" w:rsidRDefault="0088480D" w:rsidP="004B7539">
      <w:pPr>
        <w:pStyle w:val="Paragraph"/>
      </w:pPr>
      <w:r>
        <w:t>Demonstrating how difficult it is to establish a viable business, two platforms the WorldSpace and MobaHo! platforms have ceased their operations. SiriusXM itself was formed by the merger of two previous satellite broadcasters. Sirius invested $3 billion in development.</w:t>
      </w:r>
    </w:p>
    <w:p w14:paraId="381A1602" w14:textId="6CDD1222" w:rsidR="0088480D" w:rsidRDefault="0088480D" w:rsidP="0088480D">
      <w:pPr>
        <w:pStyle w:val="Paragraph"/>
      </w:pPr>
      <w:r>
        <w:t>Apart from a potentially significant cost to establish such a platform, wide-spread adoption of this technology would require suitable car and/or home satellite receivers to be widely available and affordable. Approximately 60 per cent of the new cars in the US are equipped with a SiriusXM receiver. Additionally, satellite reception needs to be enhanced by terrestrial low power infill transmitters for blackspots like tunnels, and for areas where satellite reception is overloaded by localised high-power transmissions. SiriusXM has over 500 such repeaters.</w:t>
      </w:r>
    </w:p>
    <w:p w14:paraId="19F92F5A" w14:textId="42164EE2" w:rsidR="0088480D" w:rsidRDefault="0088480D" w:rsidP="0088480D">
      <w:pPr>
        <w:pStyle w:val="Paragraph"/>
      </w:pPr>
      <w:r>
        <w:lastRenderedPageBreak/>
        <w:t>Of more practical utility are emerging solutions for IP-delivery of broadcast services using 5G broadcast technologies via low earth orbit (LEO) satellites. These could potentially create a viable business case for delivery of radio broadcast services to in- car and portable devices in the future.</w:t>
      </w:r>
    </w:p>
    <w:p w14:paraId="46A4E2E9" w14:textId="7CA0DB9F" w:rsidR="0088480D" w:rsidRDefault="0088480D" w:rsidP="0088480D">
      <w:pPr>
        <w:pStyle w:val="Paragraph"/>
      </w:pPr>
      <w:r>
        <w:t>It will be useful for the ACMA and the industry to keep a watching brief on developments on IP through LEO satellites and their application to mobile radio delivery.</w:t>
      </w:r>
    </w:p>
    <w:p w14:paraId="3EA1E946" w14:textId="77777777" w:rsidR="0088480D" w:rsidRDefault="0088480D" w:rsidP="0088480D">
      <w:pPr>
        <w:pStyle w:val="Heading3"/>
      </w:pPr>
      <w:r>
        <w:t>Developments in mobile IP technology</w:t>
      </w:r>
    </w:p>
    <w:p w14:paraId="764D587C" w14:textId="0DCC95F0" w:rsidR="0088480D" w:rsidRDefault="0088480D" w:rsidP="0088480D">
      <w:pPr>
        <w:pStyle w:val="Paragraph"/>
      </w:pPr>
      <w:r>
        <w:t>We have also looked at newer technologies that have either commenced deployment or are on the horizon for the Australian market.</w:t>
      </w:r>
    </w:p>
    <w:p w14:paraId="4AF7FB11" w14:textId="7948E28F" w:rsidR="0088480D" w:rsidRDefault="000840FD" w:rsidP="0088480D">
      <w:pPr>
        <w:pStyle w:val="Paragraph"/>
      </w:pPr>
      <w:r>
        <w:t>Unicast or point-to-point transmission</w:t>
      </w:r>
      <w:r w:rsidR="0088480D">
        <w:t xml:space="preserve"> is the predominant form of IP-based transmission. With unicast, each user receives an independent content stream. For live streamed radio, this means the same content is replicated over the radio interface for every user on the cell. Unicast puts pressure on cell sites and the backhaul distribution network in terms of capacity, as the audience size increases. Additionally, content providers have no control over the quality of service delivered.</w:t>
      </w:r>
    </w:p>
    <w:p w14:paraId="707E9898" w14:textId="0FC777C5" w:rsidR="0088480D" w:rsidRDefault="0088480D" w:rsidP="0088480D">
      <w:pPr>
        <w:pStyle w:val="Paragraph"/>
      </w:pPr>
      <w:r>
        <w:t>Recent and emerging technology developments in what is called ‘multicast technology’</w:t>
      </w:r>
      <w:r>
        <w:rPr>
          <w:rStyle w:val="FootnoteReference"/>
        </w:rPr>
        <w:footnoteReference w:id="78"/>
      </w:r>
      <w:r>
        <w:t xml:space="preserve"> broadcasts the same stream to multiple users. So-called broadcasting operation-on-demand manages changes in demand, so that when a threshold of individual identical streams from a cell site is reached, the network switches to ‘broadcast’ LTE mode (LTE-B). In broadcast mode, each user receives the same stream. When the number of simultaneous users drops below the threshold, the cell site reverts to unicast.</w:t>
      </w:r>
    </w:p>
    <w:p w14:paraId="76ED934B" w14:textId="495AECB3" w:rsidR="0088480D" w:rsidRDefault="0088480D" w:rsidP="0088480D">
      <w:pPr>
        <w:pStyle w:val="Paragraph"/>
      </w:pPr>
      <w:r>
        <w:t>In the Australian market, Telstra has turned on LTE-B (based on enhanced Multimedia Broadcast Multicast Service or eMBMS technology) nationally in its mobile network, making it one of the first operators in the world offering this service. Telstra customers using certain types of devices can access HD video streaming using the AFL Live Official app. The network triggers broadcast mode when at least three smartphones in the same geographic region are watching the same video content. This is combined with the so-called service continuity feature, allowing mobile users to move around the network seamlessly between cells configured for LTE-B and those which are not. The technology can be equally used for audio streaming.</w:t>
      </w:r>
    </w:p>
    <w:p w14:paraId="13389BAF" w14:textId="77777777" w:rsidR="0088480D" w:rsidRDefault="0088480D" w:rsidP="0088480D">
      <w:pPr>
        <w:pStyle w:val="Heading3"/>
      </w:pPr>
      <w:r>
        <w:t>5G streaming</w:t>
      </w:r>
    </w:p>
    <w:p w14:paraId="3DCE467D" w14:textId="7DB950BA" w:rsidR="004B7539" w:rsidRDefault="0088480D" w:rsidP="0088480D">
      <w:pPr>
        <w:pStyle w:val="Paragraph"/>
      </w:pPr>
      <w:r>
        <w:t>With the evolution of LTE to 5G, the multicast technology is also expected to evolve, offering more enhanced capabilities.</w:t>
      </w:r>
    </w:p>
    <w:p w14:paraId="66BD86D3" w14:textId="7C288779" w:rsidR="0035094B" w:rsidRDefault="0035094B" w:rsidP="0035094B">
      <w:pPr>
        <w:pStyle w:val="Paragraph"/>
      </w:pPr>
      <w:r>
        <w:t xml:space="preserve">Several trials and initiatives have been run, </w:t>
      </w:r>
      <w:proofErr w:type="gramStart"/>
      <w:r>
        <w:t>in particular in</w:t>
      </w:r>
      <w:proofErr w:type="gramEnd"/>
      <w:r>
        <w:t xml:space="preserve"> Europe, to test and demonstrate capabilities of 5G broadcast</w:t>
      </w:r>
      <w:r w:rsidR="0001580B">
        <w:t>ing</w:t>
      </w:r>
      <w:r>
        <w:t xml:space="preserve">, including integration and use of the standard broadcast infrastructure to deliver </w:t>
      </w:r>
      <w:r w:rsidR="0001580B">
        <w:t>it</w:t>
      </w:r>
      <w:r>
        <w:t xml:space="preserve"> in so called tower overlay mode.</w:t>
      </w:r>
      <w:r>
        <w:rPr>
          <w:rStyle w:val="FootnoteReference"/>
        </w:rPr>
        <w:footnoteReference w:id="79"/>
      </w:r>
    </w:p>
    <w:p w14:paraId="27CD3F2D" w14:textId="23B91860" w:rsidR="0035094B" w:rsidRDefault="0035094B" w:rsidP="0035094B">
      <w:pPr>
        <w:pStyle w:val="Paragraph"/>
      </w:pPr>
      <w:r>
        <w:t xml:space="preserve">The BBC also conducted an FeMBMS (Further evolved Multimedia Broadcast Multicast Service) trial in the Orkney Islands, alongside the delivery of 5G connectivity for IoT in utility and other industries in rural areas. The BBC believes internet-based delivery will become increasingly important to broadcasting. It will use the 5G testbed </w:t>
      </w:r>
      <w:r>
        <w:lastRenderedPageBreak/>
        <w:t>to trial the capabilities of 5G to deliver traditional radio and new forms of BBC audio content over these new technologies.</w:t>
      </w:r>
      <w:r>
        <w:rPr>
          <w:rStyle w:val="FootnoteReference"/>
        </w:rPr>
        <w:footnoteReference w:id="80"/>
      </w:r>
    </w:p>
    <w:p w14:paraId="1FAB71CC" w14:textId="06E31E90" w:rsidR="0035094B" w:rsidRDefault="0035094B" w:rsidP="0035094B">
      <w:pPr>
        <w:pStyle w:val="Paragraph"/>
      </w:pPr>
      <w:r>
        <w:t>The European Commission and European ICT industry have initiated the 5G-Xcast project. Its objectives include developing broadcast and multicast point-to-multipoint capabilities for 5G considering media, entertainment, automotive, IoT and public safety use cases, and evaluating 5G spectrum allocation options for 5G broadcast network deployments.</w:t>
      </w:r>
    </w:p>
    <w:p w14:paraId="0F395E5A" w14:textId="77777777" w:rsidR="0035094B" w:rsidRDefault="0035094B" w:rsidP="0035094B">
      <w:pPr>
        <w:pStyle w:val="Heading3"/>
      </w:pPr>
      <w:r>
        <w:t>Mobile broadband broadcast convergence</w:t>
      </w:r>
    </w:p>
    <w:p w14:paraId="48E8137B" w14:textId="52182253" w:rsidR="0035094B" w:rsidRDefault="0035094B" w:rsidP="0035094B">
      <w:pPr>
        <w:pStyle w:val="Paragraph"/>
      </w:pPr>
      <w:r>
        <w:t>The global standardisation and worldwide adoption of 4G and 5G technologies, and expected enhancement of multicast/broadcast transmission mode in the future 5G system, can give broadcast streaming technologies a head start for the delivery of the broadcasting services in the future, with a number of competing standards in place.</w:t>
      </w:r>
    </w:p>
    <w:p w14:paraId="5CBF2A17" w14:textId="02E9A3D8" w:rsidR="0035094B" w:rsidRDefault="0035094B" w:rsidP="0035094B">
      <w:pPr>
        <w:pStyle w:val="Paragraph"/>
      </w:pPr>
      <w:r>
        <w:t>However, this streaming solution requires a large-scale adoption to a completely new technology with significant investment required to replace the existing transmission equipment and all receivers/handsets. While capable of using the existing broadcasting infrastructure in tower overlay mode, the 4G/5G broadcasting does not provide an obvious solution for coverage in regional and remote area.</w:t>
      </w:r>
    </w:p>
    <w:p w14:paraId="6628F6BE" w14:textId="38C60674" w:rsidR="004B7539" w:rsidRDefault="0035094B" w:rsidP="0035094B">
      <w:pPr>
        <w:pStyle w:val="Paragraph"/>
      </w:pPr>
      <w:r>
        <w:t>As such, the transition to 4G/5G-based broadcasting of radio is not expected to happen in the short or medium term. With its expected 5G broadcasting capabilities, it is likely to become more widely accepted as a complementary solution to traditional radio broadcasting.</w:t>
      </w:r>
    </w:p>
    <w:p w14:paraId="35C4CE5F" w14:textId="77777777" w:rsidR="0035094B" w:rsidRDefault="0035094B" w:rsidP="0035094B">
      <w:pPr>
        <w:pStyle w:val="Heading1"/>
      </w:pPr>
      <w:bookmarkStart w:id="30" w:name="_Toc35846797"/>
      <w:r>
        <w:lastRenderedPageBreak/>
        <w:t>A way forward</w:t>
      </w:r>
      <w:bookmarkEnd w:id="30"/>
    </w:p>
    <w:p w14:paraId="2B6A118E" w14:textId="39E23328" w:rsidR="0035094B" w:rsidRDefault="0035094B" w:rsidP="0035094B">
      <w:pPr>
        <w:pStyle w:val="Paragraph"/>
      </w:pPr>
      <w:r>
        <w:t xml:space="preserve">Reflecting on the findings of this report, we have examined how to adapt our radio broadcast spectrum planning approaches so that </w:t>
      </w:r>
      <w:r w:rsidR="002B08EF">
        <w:t>they</w:t>
      </w:r>
      <w:r>
        <w:t xml:space="preserve"> are directed towards those activities that best assist industry and listening audiences through a gradual transition to digital delivery.</w:t>
      </w:r>
    </w:p>
    <w:p w14:paraId="18943BEC" w14:textId="0E313310" w:rsidR="0035094B" w:rsidRDefault="0035094B" w:rsidP="0035094B">
      <w:pPr>
        <w:pStyle w:val="Paragraph"/>
      </w:pPr>
      <w:r>
        <w:t>Following the findings in this report, we have identified actions for both the ACMA and industry.</w:t>
      </w:r>
    </w:p>
    <w:p w14:paraId="09CB915F" w14:textId="77777777" w:rsidR="0035094B" w:rsidRDefault="0035094B" w:rsidP="0035094B">
      <w:pPr>
        <w:pStyle w:val="Heading2"/>
      </w:pPr>
      <w:bookmarkStart w:id="31" w:name="_Toc35846798"/>
      <w:r>
        <w:t>ACMA actions</w:t>
      </w:r>
      <w:bookmarkEnd w:id="31"/>
    </w:p>
    <w:p w14:paraId="6194ABAC" w14:textId="385C3E31" w:rsidR="0035094B" w:rsidRDefault="0035094B" w:rsidP="0035094B">
      <w:pPr>
        <w:pStyle w:val="Numberlistlevel1"/>
      </w:pPr>
      <w:r>
        <w:t>We intend to provide greater clarity and transparency to the radio industry about the way we prioritise our broadcast spectrum planning activities and how we make decisions about access to broadcasting spectrum. We have developed a framework for strategic priority</w:t>
      </w:r>
      <w:r w:rsidR="002B08EF">
        <w:t>-</w:t>
      </w:r>
      <w:r>
        <w:t>setting and decision-making and use it to identify our priority areas for our five-year spectrum planning horizon. The framework and our current priorities are at Appendix A. Our current priorities are:</w:t>
      </w:r>
    </w:p>
    <w:p w14:paraId="1F8ACE3D" w14:textId="45CA9F83" w:rsidR="0035094B" w:rsidRDefault="0035094B" w:rsidP="0035094B">
      <w:pPr>
        <w:pStyle w:val="Bulletlevel2"/>
      </w:pPr>
      <w:r>
        <w:t>converting commercial, community and national services from AM to FM in areas where FM spectrum is readily available</w:t>
      </w:r>
    </w:p>
    <w:p w14:paraId="2B16AB17" w14:textId="095649E6" w:rsidR="0035094B" w:rsidRDefault="0035094B" w:rsidP="0035094B">
      <w:pPr>
        <w:pStyle w:val="Bulletlevel2"/>
      </w:pPr>
      <w:r>
        <w:t>improving coverage of national, commercial and community broadcasting services where spectrum is readily available</w:t>
      </w:r>
    </w:p>
    <w:p w14:paraId="1FAE5C49" w14:textId="4E5D9FD8" w:rsidR="0035094B" w:rsidRDefault="0035094B" w:rsidP="0035094B">
      <w:pPr>
        <w:pStyle w:val="Bulletlevel2"/>
      </w:pPr>
      <w:r>
        <w:t>making digital radio channel plans for regional DAB+ where a commercial licensee or national broadcaster has committed to a rollout</w:t>
      </w:r>
    </w:p>
    <w:p w14:paraId="367C50E4" w14:textId="78CA1082" w:rsidR="0035094B" w:rsidRDefault="0035094B" w:rsidP="0035094B">
      <w:pPr>
        <w:pStyle w:val="Bulletlevel2last"/>
      </w:pPr>
      <w:r>
        <w:t>supporting trials of new broadcasting technology.</w:t>
      </w:r>
    </w:p>
    <w:p w14:paraId="5A380B60" w14:textId="3E784D5D" w:rsidR="0035094B" w:rsidRDefault="0035094B" w:rsidP="0035094B">
      <w:pPr>
        <w:pStyle w:val="Numberlistlevel1"/>
      </w:pPr>
      <w:r>
        <w:t>We will consult with industry (through our draft five-year spectrum outlook) on a yearly broadcast spectrum planning work program that reflects our priorities.</w:t>
      </w:r>
    </w:p>
    <w:p w14:paraId="6B98BBB1" w14:textId="4FEC4D40" w:rsidR="0035094B" w:rsidRDefault="0035094B" w:rsidP="0035094B">
      <w:pPr>
        <w:pStyle w:val="Numberlistlevel1"/>
      </w:pPr>
      <w:r>
        <w:t>We will identify opportunities to simplify and streamline radio broadcasting spectrum planning regulatory arrangements. Where these are a matter for government, we intend to provide separate advice on how arrangements could be improved. We will also continue to refine our operational guidance and procedures to allow us to deliver on our key priority planning areas.</w:t>
      </w:r>
    </w:p>
    <w:p w14:paraId="5D6561CC" w14:textId="77777777" w:rsidR="0035094B" w:rsidRDefault="0035094B" w:rsidP="0035094B">
      <w:pPr>
        <w:pStyle w:val="Heading2"/>
      </w:pPr>
      <w:bookmarkStart w:id="32" w:name="_Toc35846799"/>
      <w:r>
        <w:t>Industry actions</w:t>
      </w:r>
      <w:bookmarkEnd w:id="32"/>
    </w:p>
    <w:p w14:paraId="1FF270CD" w14:textId="1565A98D" w:rsidR="0035094B" w:rsidRDefault="0035094B" w:rsidP="0035094B">
      <w:pPr>
        <w:pStyle w:val="Paragraph"/>
      </w:pPr>
      <w:r>
        <w:t>We are looking to the radio industry to continue to engage with the ACMA on its technology and audience transition paths, so that we are informed about the technology implications for future spectrum management arrangements.</w:t>
      </w:r>
    </w:p>
    <w:p w14:paraId="21182516" w14:textId="7AE852C5" w:rsidR="0035094B" w:rsidRDefault="0035094B" w:rsidP="0035094B">
      <w:pPr>
        <w:pStyle w:val="Heading1"/>
      </w:pPr>
      <w:bookmarkStart w:id="33" w:name="_Toc35846800"/>
      <w:r>
        <w:lastRenderedPageBreak/>
        <w:t>Appendix A—Framework for strategic priority</w:t>
      </w:r>
      <w:r w:rsidR="002B08EF">
        <w:t>-</w:t>
      </w:r>
      <w:r>
        <w:t>setting and decision-making</w:t>
      </w:r>
      <w:bookmarkEnd w:id="33"/>
    </w:p>
    <w:p w14:paraId="3653747A" w14:textId="77777777" w:rsidR="0035094B" w:rsidRDefault="0035094B" w:rsidP="0035094B">
      <w:pPr>
        <w:pStyle w:val="Heading2"/>
      </w:pPr>
      <w:bookmarkStart w:id="34" w:name="_Toc35846801"/>
      <w:r>
        <w:t>Introduction</w:t>
      </w:r>
      <w:bookmarkEnd w:id="34"/>
    </w:p>
    <w:p w14:paraId="649F9434" w14:textId="42E0AFDE" w:rsidR="0035094B" w:rsidRDefault="0035094B" w:rsidP="0035094B">
      <w:pPr>
        <w:pStyle w:val="Paragraph"/>
      </w:pPr>
      <w:r>
        <w:t>This document sets out the framework that the ACMA uses to decide our strategic broadcast spectrum planning priority activities for radio and articulates our current priorities identified through the framework.</w:t>
      </w:r>
    </w:p>
    <w:p w14:paraId="590580DB" w14:textId="77777777" w:rsidR="0035094B" w:rsidRDefault="0035094B" w:rsidP="0035094B">
      <w:pPr>
        <w:pStyle w:val="Paragraph"/>
      </w:pPr>
      <w:r>
        <w:t>Having completed the nationwide program of licence area planning in 2003, broadcast spectrum planning has for many years been driven by demand from broadcasters for changes to the operating parameters of transmitters, and from aspirant broadcasters for the planning of new services. This responsive planning and allocation activity has been punctuated by the ACMA leading large-scale systematic planning processes to support technology transitions, industry initiatives and government policy directions.</w:t>
      </w:r>
    </w:p>
    <w:p w14:paraId="432D35F6" w14:textId="77777777" w:rsidR="0035094B" w:rsidRDefault="0035094B" w:rsidP="0035094B">
      <w:pPr>
        <w:pStyle w:val="Paragraphbeforelist"/>
      </w:pPr>
      <w:r>
        <w:t>This broader suite of initiatives has included:</w:t>
      </w:r>
    </w:p>
    <w:p w14:paraId="387C077E" w14:textId="7C924A34" w:rsidR="0035094B" w:rsidRDefault="0035094B" w:rsidP="0035094B">
      <w:pPr>
        <w:pStyle w:val="Bulletlevel1"/>
      </w:pPr>
      <w:r>
        <w:t>digital television channel plans and television LAPs</w:t>
      </w:r>
    </w:p>
    <w:p w14:paraId="0938408C" w14:textId="62452894" w:rsidR="0035094B" w:rsidRDefault="0035094B" w:rsidP="0035094B">
      <w:pPr>
        <w:pStyle w:val="Bulletlevel1"/>
      </w:pPr>
      <w:r>
        <w:t>digital television channel restack to enable the digital dividend</w:t>
      </w:r>
    </w:p>
    <w:p w14:paraId="4E10F12F" w14:textId="6FD8C38A" w:rsidR="0035094B" w:rsidRDefault="0035094B" w:rsidP="0035094B">
      <w:pPr>
        <w:pStyle w:val="Bulletlevel1"/>
      </w:pPr>
      <w:r>
        <w:t>radio blackspots programs</w:t>
      </w:r>
    </w:p>
    <w:p w14:paraId="7B0165FF" w14:textId="506080F0" w:rsidR="0035094B" w:rsidRDefault="0035094B" w:rsidP="0035094B">
      <w:pPr>
        <w:pStyle w:val="Bulletlevel1"/>
      </w:pPr>
      <w:r>
        <w:t>ABCs parliamentary and news network (PNN) expansion</w:t>
      </w:r>
    </w:p>
    <w:p w14:paraId="7FB2E43D" w14:textId="28D7D658" w:rsidR="0035094B" w:rsidRDefault="0035094B" w:rsidP="0035094B">
      <w:pPr>
        <w:pStyle w:val="Bulletlevel1"/>
      </w:pPr>
      <w:r>
        <w:t>ABC local radio expansion</w:t>
      </w:r>
    </w:p>
    <w:p w14:paraId="0CEAFB10" w14:textId="1A2DDC45" w:rsidR="0035094B" w:rsidRDefault="0035094B" w:rsidP="0035094B">
      <w:pPr>
        <w:pStyle w:val="Bulletlevel1"/>
      </w:pPr>
      <w:r>
        <w:t>metropolitan DAB+ digital radio channel plans</w:t>
      </w:r>
    </w:p>
    <w:p w14:paraId="13FAFAD5" w14:textId="6FA5B369" w:rsidR="0035094B" w:rsidRDefault="0035094B" w:rsidP="0035094B">
      <w:pPr>
        <w:pStyle w:val="Bulletlevel1last"/>
      </w:pPr>
      <w:r>
        <w:t>development of planning principles for regional DAB+ digital radio, following the findings of the Department of Communications and the Arts’ Digital Radio Report.</w:t>
      </w:r>
    </w:p>
    <w:p w14:paraId="1A21171D" w14:textId="21535020" w:rsidR="0035094B" w:rsidRDefault="0035094B" w:rsidP="0035094B">
      <w:pPr>
        <w:pStyle w:val="Paragraph"/>
      </w:pPr>
      <w:r>
        <w:t>Our work on the future delivery of radio in Australia has confirmed views that the radio industry and listening audiences are in a transition phase, adapting to new digital delivery technologies and new device and platform choices to support radio listening.</w:t>
      </w:r>
    </w:p>
    <w:p w14:paraId="143321CC" w14:textId="1A662536" w:rsidR="0035094B" w:rsidRDefault="0035094B" w:rsidP="0035094B">
      <w:pPr>
        <w:pStyle w:val="Paragraph"/>
      </w:pPr>
      <w:r>
        <w:t>We understand that the industry envisages a future in which the benefits of digital delivery are fully realised across all listening environments—home, in-car and across multiple devices—but this will require long-term decisions on technology choices.</w:t>
      </w:r>
    </w:p>
    <w:p w14:paraId="22D48390" w14:textId="5BAE4EAC" w:rsidR="0035094B" w:rsidRDefault="0035094B" w:rsidP="0035094B">
      <w:pPr>
        <w:pStyle w:val="Paragraph"/>
      </w:pPr>
      <w:r>
        <w:t>The radio industry has sought to preserve multiple spectrum options for future delivery modes. This has resulted in our planning and allocation resources being spread thinly across multiple activities.</w:t>
      </w:r>
      <w:r w:rsidR="002B08EF">
        <w:t xml:space="preserve"> </w:t>
      </w:r>
      <w:r>
        <w:t>These activities include AM to FM conversions for commercial broadcasting licensees in solus regional markets, the development of a detailed nationwide indicative channel allotment plan for the rollout of digital radio, as well as ongoing requests for service extensions and variations to LAPs to support changes in technical operating parameters.</w:t>
      </w:r>
    </w:p>
    <w:p w14:paraId="0FB4B600" w14:textId="490D1651" w:rsidR="0035094B" w:rsidRDefault="0035094B" w:rsidP="0035094B">
      <w:pPr>
        <w:pStyle w:val="Paragraph"/>
      </w:pPr>
      <w:r>
        <w:t xml:space="preserve">In response to the findings in our future delivery of radio project, we have examined how to adapt our radio broadcast spectrum planning approaches so that our planning activities are directed towards </w:t>
      </w:r>
      <w:r w:rsidR="002B08EF">
        <w:t xml:space="preserve">those </w:t>
      </w:r>
      <w:r>
        <w:t>that best assist industry and listening audiences through its gradual transition to digital delivery.</w:t>
      </w:r>
    </w:p>
    <w:p w14:paraId="7AF3E32D" w14:textId="45744B6A" w:rsidR="0035094B" w:rsidRDefault="0035094B" w:rsidP="0035094B">
      <w:pPr>
        <w:pStyle w:val="Paragraph"/>
      </w:pPr>
      <w:r>
        <w:lastRenderedPageBreak/>
        <w:t>Each year we propose to develop an annual work program of broadcast spectrum planning activities that fall within our priority categories set out in this document. We propose to consult on the work program in our draft five-year spectrum outlook. The annual work program will include the LAP and digital radio channel plan variations we intend to consider in detail during that year.</w:t>
      </w:r>
    </w:p>
    <w:p w14:paraId="795F32C6" w14:textId="77777777" w:rsidR="0035094B" w:rsidRDefault="0035094B" w:rsidP="0035094B">
      <w:pPr>
        <w:pStyle w:val="Heading2"/>
      </w:pPr>
      <w:bookmarkStart w:id="35" w:name="_Toc35846802"/>
      <w:r>
        <w:t>Strategic priority setting</w:t>
      </w:r>
      <w:bookmarkEnd w:id="35"/>
    </w:p>
    <w:p w14:paraId="542BD8D4" w14:textId="77777777" w:rsidR="0035094B" w:rsidRDefault="0035094B" w:rsidP="0035094B">
      <w:pPr>
        <w:pStyle w:val="Heading3"/>
      </w:pPr>
      <w:r>
        <w:t>Outcomes</w:t>
      </w:r>
    </w:p>
    <w:p w14:paraId="312A2372" w14:textId="77777777" w:rsidR="0035094B" w:rsidRDefault="0035094B" w:rsidP="0035094B">
      <w:pPr>
        <w:pStyle w:val="Paragraphbeforelist"/>
      </w:pPr>
      <w:r>
        <w:t>When we consider the priority planning activities where our resources should be directed, we seek the following outcomes:</w:t>
      </w:r>
    </w:p>
    <w:p w14:paraId="389E8B81" w14:textId="128D6695" w:rsidR="0035094B" w:rsidRDefault="0035094B" w:rsidP="0035094B">
      <w:pPr>
        <w:pStyle w:val="Bulletlevel1"/>
      </w:pPr>
      <w:r>
        <w:t>the ACMA delivers on its purpose, articulated in its corporate plan, to maximise the economic and social benefits of communications and media for Australia.</w:t>
      </w:r>
    </w:p>
    <w:p w14:paraId="727067F1" w14:textId="587C57A9" w:rsidR="0035094B" w:rsidRDefault="0035094B" w:rsidP="0035094B">
      <w:pPr>
        <w:pStyle w:val="Bulletlevel1last"/>
      </w:pPr>
      <w:r>
        <w:t xml:space="preserve">the ACMA discharges its statutory obligations, including, where relevant promoting the objects of the </w:t>
      </w:r>
      <w:r w:rsidRPr="0060424E">
        <w:rPr>
          <w:i/>
          <w:iCs/>
        </w:rPr>
        <w:t>Broadcasting Services Act 1992</w:t>
      </w:r>
      <w:r>
        <w:t xml:space="preserve"> (BSA).</w:t>
      </w:r>
    </w:p>
    <w:p w14:paraId="5D506A7B" w14:textId="77777777" w:rsidR="0035094B" w:rsidRDefault="0035094B" w:rsidP="0035094B">
      <w:pPr>
        <w:pStyle w:val="Heading3"/>
      </w:pPr>
      <w:r>
        <w:t>Considerations in priority setting</w:t>
      </w:r>
    </w:p>
    <w:p w14:paraId="7111DA1B" w14:textId="77777777" w:rsidR="0035094B" w:rsidRDefault="0035094B" w:rsidP="0035094B">
      <w:pPr>
        <w:pStyle w:val="Paragraphbeforelist"/>
      </w:pPr>
      <w:r>
        <w:t>To set our priority planning areas, we consider:</w:t>
      </w:r>
    </w:p>
    <w:p w14:paraId="54E92D73" w14:textId="432FEEE8" w:rsidR="0035094B" w:rsidRDefault="0035094B" w:rsidP="0035094B">
      <w:pPr>
        <w:pStyle w:val="Bulletlevel1"/>
      </w:pPr>
      <w:r>
        <w:t>statutory requirements—including the relative extent to which different kinds of activities promote the objects of the BSA</w:t>
      </w:r>
    </w:p>
    <w:p w14:paraId="1081877F" w14:textId="09DE72C6" w:rsidR="0035094B" w:rsidRDefault="0035094B" w:rsidP="0035094B">
      <w:pPr>
        <w:pStyle w:val="Bulletlevel1"/>
      </w:pPr>
      <w:r>
        <w:t>the ACMA’s corporate plan strategy to manage spectrum efficiently and effectively</w:t>
      </w:r>
      <w:r>
        <w:rPr>
          <w:rStyle w:val="FootnoteReference"/>
        </w:rPr>
        <w:footnoteReference w:id="81"/>
      </w:r>
    </w:p>
    <w:p w14:paraId="5437CA22" w14:textId="6AFE8BD6" w:rsidR="0035094B" w:rsidRDefault="0035094B" w:rsidP="0035094B">
      <w:pPr>
        <w:pStyle w:val="Bulletlevel1"/>
      </w:pPr>
      <w:r>
        <w:t>the broadcasting environment, including the market, audiences and technology</w:t>
      </w:r>
    </w:p>
    <w:p w14:paraId="7B5260A0" w14:textId="41E634EB" w:rsidR="0035094B" w:rsidRDefault="0035094B" w:rsidP="0035094B">
      <w:pPr>
        <w:pStyle w:val="Bulletlevel1"/>
      </w:pPr>
      <w:r>
        <w:t>government policy and constraints, including ministerial directions and ministerial spectrum reservations</w:t>
      </w:r>
    </w:p>
    <w:p w14:paraId="38D87E33" w14:textId="60033383" w:rsidR="0035094B" w:rsidRDefault="0035094B" w:rsidP="0035094B">
      <w:pPr>
        <w:pStyle w:val="Bulletlevel1last"/>
      </w:pPr>
      <w:r>
        <w:t>the relative cost–benefit of planning activities—ACMA resources expended against the public benefit measured by outcomes for audiences and industry.</w:t>
      </w:r>
    </w:p>
    <w:p w14:paraId="715668F4" w14:textId="75DC050C" w:rsidR="0035094B" w:rsidRDefault="0035094B" w:rsidP="0035094B">
      <w:pPr>
        <w:pStyle w:val="Paragraph"/>
      </w:pPr>
      <w:r>
        <w:t>The statutory requirements remain ongoing, and our high-level corporate plan outcomes are likely to endure over some years; the other considerations are likely to require periodic review.</w:t>
      </w:r>
    </w:p>
    <w:p w14:paraId="1B0544D7" w14:textId="77777777" w:rsidR="0035094B" w:rsidRDefault="0035094B" w:rsidP="0035094B">
      <w:pPr>
        <w:pStyle w:val="Heading2"/>
      </w:pPr>
      <w:bookmarkStart w:id="36" w:name="_Toc35846803"/>
      <w:r>
        <w:t>Radio broadcasting priority setting</w:t>
      </w:r>
      <w:bookmarkEnd w:id="36"/>
    </w:p>
    <w:p w14:paraId="7D5655A8" w14:textId="14BAA31C" w:rsidR="0035094B" w:rsidRDefault="0035094B" w:rsidP="0035094B">
      <w:pPr>
        <w:pStyle w:val="Paragraph"/>
      </w:pPr>
      <w:r>
        <w:t>For the radio broadcasting environment, our overall conclusion is that radio is in a transition phase—there is no single technology path that will support access to radio for the listening public across all geographic areas of Australia and in the home and in- car environment.</w:t>
      </w:r>
    </w:p>
    <w:p w14:paraId="742111AD" w14:textId="77777777" w:rsidR="0035094B" w:rsidRDefault="0035094B" w:rsidP="0035094B">
      <w:pPr>
        <w:pStyle w:val="Paragraphbeforelist"/>
      </w:pPr>
      <w:r>
        <w:t>At this time, our resources are best directed to activities that assist the industry through this transition and facilitate the best outcomes for audiences. The key findings informing our priority setting are:</w:t>
      </w:r>
    </w:p>
    <w:p w14:paraId="33B01F99" w14:textId="1B7F5FE6" w:rsidR="0035094B" w:rsidRDefault="0035094B" w:rsidP="0035094B">
      <w:pPr>
        <w:pStyle w:val="Bulletlevel1"/>
      </w:pPr>
      <w:r>
        <w:t>A mix of delivery technologies will endure, but the future mix is not yet known. This mix may be different in metropolitan, regional and remote areas given the different geographical conditions and audience circumstances.</w:t>
      </w:r>
    </w:p>
    <w:p w14:paraId="06B8ECE7" w14:textId="3BD56024" w:rsidR="0035094B" w:rsidRDefault="0035094B" w:rsidP="0035094B">
      <w:pPr>
        <w:pStyle w:val="Bulletlevel1"/>
      </w:pPr>
      <w:r>
        <w:t>AM is experiencing a long-term decline in audiences.</w:t>
      </w:r>
    </w:p>
    <w:p w14:paraId="7045AD55" w14:textId="161E089B" w:rsidR="0035094B" w:rsidRDefault="0035094B" w:rsidP="0035094B">
      <w:pPr>
        <w:pStyle w:val="Bulletlevel1"/>
      </w:pPr>
      <w:r>
        <w:t xml:space="preserve">Commercial radio broadcasting licensees and the national broadcasters see FM as a long-term stable technology. Conversions to, or simulcasts in, FM can </w:t>
      </w:r>
      <w:r w:rsidR="00343FE0">
        <w:t xml:space="preserve">address </w:t>
      </w:r>
      <w:r w:rsidR="00343FE0">
        <w:lastRenderedPageBreak/>
        <w:t>the</w:t>
      </w:r>
      <w:r>
        <w:t xml:space="preserve"> decline in AM audiences in this transition phase until digital pathways become clearer.</w:t>
      </w:r>
    </w:p>
    <w:p w14:paraId="3C1781C7" w14:textId="29329015" w:rsidR="0035094B" w:rsidRDefault="0035094B" w:rsidP="0035094B">
      <w:pPr>
        <w:pStyle w:val="Bulletlevel1"/>
      </w:pPr>
      <w:r>
        <w:t>There are mixed views about the cost–benefit of DAB+ in regional areas.</w:t>
      </w:r>
    </w:p>
    <w:p w14:paraId="6CDA7858" w14:textId="6C9AB977" w:rsidR="0035094B" w:rsidRDefault="0035094B" w:rsidP="0035094B">
      <w:pPr>
        <w:pStyle w:val="Bulletlevel1"/>
      </w:pPr>
      <w:r>
        <w:t>AM to FM conversions and simulcasts will put even more pressure on congested FM bands in metropolitan and regional Australia.</w:t>
      </w:r>
    </w:p>
    <w:p w14:paraId="2169AB36" w14:textId="04D64B1B" w:rsidR="0035094B" w:rsidRDefault="0035094B" w:rsidP="0035094B">
      <w:pPr>
        <w:pStyle w:val="Bulletlevel1last"/>
      </w:pPr>
      <w:r>
        <w:t>There is limited utility in conducting further engineering investigations into finding additional FM frequencies for capital city AM to FM conversions beyond areas where special circumstances apply.</w:t>
      </w:r>
      <w:r w:rsidR="00274F79">
        <w:rPr>
          <w:rStyle w:val="FootnoteReference"/>
        </w:rPr>
        <w:footnoteReference w:id="82"/>
      </w:r>
    </w:p>
    <w:p w14:paraId="6DDA0B95" w14:textId="77777777" w:rsidR="0035094B" w:rsidRDefault="0035094B" w:rsidP="0035094B">
      <w:pPr>
        <w:pStyle w:val="Heading3"/>
      </w:pPr>
      <w:r>
        <w:t>Government considerations</w:t>
      </w:r>
    </w:p>
    <w:p w14:paraId="249BF6EC" w14:textId="193CDA5C" w:rsidR="0035094B" w:rsidRDefault="0035094B" w:rsidP="0035094B">
      <w:pPr>
        <w:pStyle w:val="Paragraph"/>
      </w:pPr>
      <w:r>
        <w:t xml:space="preserve">In 2015, the government asked us to implement the commercial radio industry’s request for AM to FM conversions in solus markets. This project is well </w:t>
      </w:r>
      <w:r w:rsidR="00343FE0">
        <w:t>underway,</w:t>
      </w:r>
      <w:r>
        <w:t xml:space="preserve"> and completion will remain a priority. Additionally, we are considering an industry request to expand conversions to regional competitive markets. This is awaiting advice from the commercial radio industry about how it sees resolution of demand for available spectrum between competing and adjacent commercial radio broadcasting licensees.</w:t>
      </w:r>
    </w:p>
    <w:p w14:paraId="0E5C7894" w14:textId="77777777" w:rsidR="0035094B" w:rsidRDefault="0035094B" w:rsidP="0035094B">
      <w:pPr>
        <w:pStyle w:val="Heading3"/>
      </w:pPr>
      <w:r>
        <w:t>Resource considerations</w:t>
      </w:r>
    </w:p>
    <w:p w14:paraId="3A2E709B" w14:textId="48E4B3FC" w:rsidR="0035094B" w:rsidRDefault="0035094B" w:rsidP="0035094B">
      <w:pPr>
        <w:pStyle w:val="Paragraph"/>
      </w:pPr>
      <w:r>
        <w:t>Some broadcasting planning activities require more resources than others. For example, identifying a new high-power FM frequency in metropolitan and regional Australia is a highly resource-intensive task, particularly on the eastern seaboard. Based on the ACMA’s analysis, it is unlikely that any significant additional productivity from FM spectrum that can be realised, without significant replanning and potential disruption to existing broadcasting services, including loss of access to spectrum to some broadcasters.</w:t>
      </w:r>
    </w:p>
    <w:p w14:paraId="58D2FCE8" w14:textId="08D9A297" w:rsidR="0035094B" w:rsidRDefault="0035094B" w:rsidP="0035094B">
      <w:pPr>
        <w:pStyle w:val="Paragraph"/>
      </w:pPr>
      <w:r>
        <w:t>In contrast, we can often identify timely benefits for audiences by expending minor resources on coverage extensions and infills, and making spectrum available for retransmissions, particularly in areas where suitable vacant spectrum is abundant, such as remote Australia.</w:t>
      </w:r>
    </w:p>
    <w:p w14:paraId="313D3D4E" w14:textId="77777777" w:rsidR="0035094B" w:rsidRDefault="0035094B" w:rsidP="0035094B">
      <w:pPr>
        <w:pStyle w:val="Heading2"/>
      </w:pPr>
      <w:bookmarkStart w:id="37" w:name="_Toc35846804"/>
      <w:r>
        <w:t>Broadcast spectrum planning activities</w:t>
      </w:r>
      <w:bookmarkEnd w:id="37"/>
    </w:p>
    <w:p w14:paraId="757E6638" w14:textId="203F3EBE" w:rsidR="0035094B" w:rsidRDefault="0035094B" w:rsidP="0035094B">
      <w:pPr>
        <w:pStyle w:val="Paragraph"/>
      </w:pPr>
      <w:r>
        <w:t>Our broadcast spectrum planning priorities are listed below. For each priority area identified, where relevant, we have listed how activities of this kind promote the objects of the BSA.</w:t>
      </w:r>
    </w:p>
    <w:p w14:paraId="0D247A1E" w14:textId="77777777" w:rsidR="0035094B" w:rsidRDefault="0035094B" w:rsidP="0035094B">
      <w:pPr>
        <w:pStyle w:val="Paragraphbeforelist"/>
      </w:pPr>
      <w:r>
        <w:t>We have identified the following four broadcast spectrum planning priority activities:</w:t>
      </w:r>
    </w:p>
    <w:p w14:paraId="4B6D8978" w14:textId="4E91A9CD" w:rsidR="0035094B" w:rsidRDefault="00343FE0" w:rsidP="0035094B">
      <w:pPr>
        <w:pStyle w:val="ListNumber"/>
        <w:numPr>
          <w:ilvl w:val="0"/>
          <w:numId w:val="20"/>
        </w:numPr>
      </w:pPr>
      <w:r>
        <w:t>C</w:t>
      </w:r>
      <w:r w:rsidR="0035094B">
        <w:t>onverting commercial, community and national radio broadcasting services from AM to FM in areas where FM spectrum is readily available</w:t>
      </w:r>
      <w:r>
        <w:t>.</w:t>
      </w:r>
    </w:p>
    <w:p w14:paraId="443F9FC1" w14:textId="452C0805" w:rsidR="0035094B" w:rsidRDefault="00343FE0" w:rsidP="0035094B">
      <w:pPr>
        <w:pStyle w:val="ListNumber"/>
        <w:numPr>
          <w:ilvl w:val="0"/>
          <w:numId w:val="20"/>
        </w:numPr>
      </w:pPr>
      <w:r>
        <w:t>I</w:t>
      </w:r>
      <w:r w:rsidR="0035094B">
        <w:t>mproving coverage of national, commercial and community radio broadcasting services where spectrum is readily available</w:t>
      </w:r>
      <w:r>
        <w:t>.</w:t>
      </w:r>
    </w:p>
    <w:p w14:paraId="57E07CD0" w14:textId="453C8CE5" w:rsidR="0035094B" w:rsidRDefault="00343FE0" w:rsidP="0035094B">
      <w:pPr>
        <w:pStyle w:val="ListNumber"/>
        <w:numPr>
          <w:ilvl w:val="0"/>
          <w:numId w:val="20"/>
        </w:numPr>
      </w:pPr>
      <w:r>
        <w:t>M</w:t>
      </w:r>
      <w:r w:rsidR="0035094B">
        <w:t>aking digital radio channel plans for regional DAB+ where a commercial radio broadcasting licensee or national broadcaster has committed to a rollout</w:t>
      </w:r>
      <w:r>
        <w:t>.</w:t>
      </w:r>
    </w:p>
    <w:p w14:paraId="5A211F43" w14:textId="3EF6084E" w:rsidR="0035094B" w:rsidRDefault="00343FE0" w:rsidP="0035094B">
      <w:pPr>
        <w:pStyle w:val="Numberlistlast"/>
      </w:pPr>
      <w:r>
        <w:t>S</w:t>
      </w:r>
      <w:r w:rsidR="0035094B">
        <w:t>upporting trials of new broadcasting technology.</w:t>
      </w:r>
    </w:p>
    <w:p w14:paraId="030E9513" w14:textId="43B9362A" w:rsidR="0035094B" w:rsidRDefault="0035094B" w:rsidP="0035094B">
      <w:pPr>
        <w:pStyle w:val="Paragraph"/>
      </w:pPr>
      <w:r>
        <w:t>For each identified priority activity, we have listed how activities of this kind should promote the objects of the BSA and economic and efficient use of spectrum.</w:t>
      </w:r>
    </w:p>
    <w:p w14:paraId="1DCCBD7C" w14:textId="7FA96D60" w:rsidR="00274F79" w:rsidRPr="00274F79" w:rsidRDefault="00274F79" w:rsidP="0060424E">
      <w:pPr>
        <w:pStyle w:val="ListNumber"/>
        <w:keepNext/>
        <w:keepLines/>
        <w:numPr>
          <w:ilvl w:val="0"/>
          <w:numId w:val="21"/>
        </w:numPr>
        <w:rPr>
          <w:b/>
          <w:bCs/>
        </w:rPr>
      </w:pPr>
      <w:r w:rsidRPr="00274F79">
        <w:rPr>
          <w:b/>
          <w:bCs/>
        </w:rPr>
        <w:lastRenderedPageBreak/>
        <w:t>Conversion of commercial, community and national radio broadcasting services from AM to FM in areas where FM spectrum is readily available</w:t>
      </w:r>
    </w:p>
    <w:p w14:paraId="528DF7AA" w14:textId="77777777" w:rsidR="00274F79" w:rsidRDefault="00274F79" w:rsidP="0060424E">
      <w:pPr>
        <w:pStyle w:val="Paragraphbeforelist"/>
        <w:keepNext/>
        <w:keepLines/>
      </w:pPr>
      <w:r>
        <w:t>The ACMA will continue to progress the current program of solus market AM to FM conversion/simulcasts. In addition, we will:</w:t>
      </w:r>
    </w:p>
    <w:p w14:paraId="2B6328C0" w14:textId="15846682" w:rsidR="00274F79" w:rsidRDefault="00274F79" w:rsidP="0060424E">
      <w:pPr>
        <w:pStyle w:val="Bulletlevel1"/>
        <w:keepNext/>
        <w:keepLines/>
      </w:pPr>
      <w:r>
        <w:t>complete some national broadcaster AM to FM conversions, as requested by ABC, mostly on currently planned frequencies</w:t>
      </w:r>
    </w:p>
    <w:p w14:paraId="161F081F" w14:textId="6308D19D" w:rsidR="00274F79" w:rsidRDefault="00274F79" w:rsidP="0060424E">
      <w:pPr>
        <w:pStyle w:val="Bulletlevel1"/>
        <w:keepNext/>
        <w:keepLines/>
      </w:pPr>
      <w:r>
        <w:t>develop with industry a sub-program for regional competitive licence area conversions, to commence when the solus market program is complete, most likely in 2020–21</w:t>
      </w:r>
    </w:p>
    <w:p w14:paraId="45A8635B" w14:textId="3B3BA40D" w:rsidR="00274F79" w:rsidRDefault="00274F79" w:rsidP="0060424E">
      <w:pPr>
        <w:pStyle w:val="Bulletlevel1last"/>
        <w:keepNext/>
        <w:keepLines/>
      </w:pPr>
      <w:r>
        <w:t>continue to progress to public consultation our work on the potential for replanning the Perth FM band to potentially enable conversion of all commercial and national radio broadcasting services to FM. This could overcome Perth’s unique geographic circumstances</w:t>
      </w:r>
      <w:r w:rsidR="00343FE0">
        <w:t>,</w:t>
      </w:r>
      <w:r>
        <w:t xml:space="preserve"> which result in poor AM propagation.</w:t>
      </w:r>
      <w:r>
        <w:rPr>
          <w:rStyle w:val="FootnoteReference"/>
        </w:rPr>
        <w:footnoteReference w:id="83"/>
      </w:r>
    </w:p>
    <w:p w14:paraId="3F300AFF" w14:textId="3B76AECE" w:rsidR="00274F79" w:rsidRDefault="00274F79" w:rsidP="00274F79">
      <w:pPr>
        <w:pStyle w:val="Paragraph"/>
      </w:pPr>
      <w:r>
        <w:t xml:space="preserve">Other than in Perth (and potentially Adelaide), we do not intend to use our resources to currently consider FM conversions in the metropolitan licence areas. The resource cost is high, and the potential for finding </w:t>
      </w:r>
      <w:proofErr w:type="gramStart"/>
      <w:r>
        <w:t>sufficient</w:t>
      </w:r>
      <w:proofErr w:type="gramEnd"/>
      <w:r>
        <w:t xml:space="preserve"> frequencies for each AM station is low, based on the ACMA’s work to date. Metropolitan AM broadcasters already have an established DAB+ digital radio delivery platform, which is the industry’s favoured long-term solution.</w:t>
      </w:r>
    </w:p>
    <w:p w14:paraId="728681AF" w14:textId="7726134A" w:rsidR="0035094B" w:rsidRDefault="00274F79" w:rsidP="00274F79">
      <w:pPr>
        <w:pStyle w:val="Paragraph"/>
      </w:pPr>
      <w:r>
        <w:t>We consider that this category of activity promotes the objects of BSA and the economic and efficient use of spectrum and, in general, does so than more than non- priority activities, for the following reasons: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4A0" w:firstRow="1" w:lastRow="0" w:firstColumn="1" w:lastColumn="0" w:noHBand="0" w:noVBand="1"/>
      </w:tblPr>
      <w:tblGrid>
        <w:gridCol w:w="1271"/>
        <w:gridCol w:w="6390"/>
      </w:tblGrid>
      <w:tr w:rsidR="00274F79" w14:paraId="71A45BDF" w14:textId="77777777" w:rsidTr="00857546">
        <w:trPr>
          <w:cantSplit/>
        </w:trPr>
        <w:tc>
          <w:tcPr>
            <w:tcW w:w="1271" w:type="dxa"/>
          </w:tcPr>
          <w:p w14:paraId="427108B3" w14:textId="131183C1" w:rsidR="00274F79" w:rsidRDefault="00274F79" w:rsidP="00274F79">
            <w:pPr>
              <w:pStyle w:val="Paragraph"/>
            </w:pPr>
            <w:r>
              <w:rPr>
                <w:noProof/>
              </w:rPr>
              <w:drawing>
                <wp:inline distT="0" distB="0" distL="0" distR="0" wp14:anchorId="21F83C96" wp14:editId="6DFAB8B2">
                  <wp:extent cx="541519" cy="500062"/>
                  <wp:effectExtent l="0" t="0" r="0" b="0"/>
                  <wp:docPr id="2" name="image6.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6.png"/>
                          <pic:cNvPicPr/>
                        </pic:nvPicPr>
                        <pic:blipFill>
                          <a:blip r:embed="rId26" cstate="print"/>
                          <a:stretch>
                            <a:fillRect/>
                          </a:stretch>
                        </pic:blipFill>
                        <pic:spPr>
                          <a:xfrm>
                            <a:off x="0" y="0"/>
                            <a:ext cx="541519" cy="500062"/>
                          </a:xfrm>
                          <a:prstGeom prst="rect">
                            <a:avLst/>
                          </a:prstGeom>
                        </pic:spPr>
                      </pic:pic>
                    </a:graphicData>
                  </a:graphic>
                </wp:inline>
              </w:drawing>
            </w:r>
          </w:p>
        </w:tc>
        <w:tc>
          <w:tcPr>
            <w:tcW w:w="6390" w:type="dxa"/>
          </w:tcPr>
          <w:p w14:paraId="392FB2BD" w14:textId="77777777" w:rsidR="00274F79" w:rsidRPr="00274F79" w:rsidRDefault="00274F79" w:rsidP="00274F79">
            <w:pPr>
              <w:pStyle w:val="Paragraph"/>
              <w:spacing w:after="80"/>
              <w:rPr>
                <w:b/>
                <w:bCs/>
              </w:rPr>
            </w:pPr>
            <w:r w:rsidRPr="00274F79">
              <w:rPr>
                <w:b/>
                <w:bCs/>
              </w:rPr>
              <w:t>Promotes diverse range of services</w:t>
            </w:r>
          </w:p>
          <w:p w14:paraId="75E8D586" w14:textId="33BCE075" w:rsidR="00274F79" w:rsidRDefault="00274F79" w:rsidP="00274F79">
            <w:pPr>
              <w:pStyle w:val="Bulletlevel1"/>
            </w:pPr>
            <w:r>
              <w:t>Greater fidelity of FM allows a wider range of potential formats than AM.</w:t>
            </w:r>
            <w:r>
              <w:rPr>
                <w:rStyle w:val="FootnoteReference"/>
              </w:rPr>
              <w:footnoteReference w:id="84"/>
            </w:r>
          </w:p>
          <w:p w14:paraId="056793F9" w14:textId="031043B7" w:rsidR="00274F79" w:rsidRDefault="00274F79" w:rsidP="00343FE0">
            <w:pPr>
              <w:pStyle w:val="Bulletlevel1"/>
            </w:pPr>
            <w:r>
              <w:t>Caveats will continue to ensure that existing reach of AM services is closely matched or that AM is left in simulcast.</w:t>
            </w:r>
          </w:p>
        </w:tc>
      </w:tr>
      <w:tr w:rsidR="00274F79" w14:paraId="4202F162" w14:textId="77777777" w:rsidTr="00857546">
        <w:trPr>
          <w:cantSplit/>
        </w:trPr>
        <w:tc>
          <w:tcPr>
            <w:tcW w:w="1271" w:type="dxa"/>
          </w:tcPr>
          <w:p w14:paraId="49655E7E" w14:textId="4752CCB8" w:rsidR="00274F79" w:rsidRDefault="00274F79" w:rsidP="00274F79">
            <w:pPr>
              <w:pStyle w:val="Paragraph"/>
            </w:pPr>
            <w:r>
              <w:rPr>
                <w:noProof/>
              </w:rPr>
              <w:drawing>
                <wp:inline distT="0" distB="0" distL="0" distR="0" wp14:anchorId="4E847C18" wp14:editId="1AFA5B89">
                  <wp:extent cx="523603" cy="492061"/>
                  <wp:effectExtent l="0" t="0" r="0" b="0"/>
                  <wp:docPr id="3" name="image7.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7.jpeg"/>
                          <pic:cNvPicPr/>
                        </pic:nvPicPr>
                        <pic:blipFill>
                          <a:blip r:embed="rId27" cstate="print"/>
                          <a:stretch>
                            <a:fillRect/>
                          </a:stretch>
                        </pic:blipFill>
                        <pic:spPr>
                          <a:xfrm>
                            <a:off x="0" y="0"/>
                            <a:ext cx="523603" cy="492061"/>
                          </a:xfrm>
                          <a:prstGeom prst="rect">
                            <a:avLst/>
                          </a:prstGeom>
                        </pic:spPr>
                      </pic:pic>
                    </a:graphicData>
                  </a:graphic>
                </wp:inline>
              </w:drawing>
            </w:r>
          </w:p>
        </w:tc>
        <w:tc>
          <w:tcPr>
            <w:tcW w:w="6390" w:type="dxa"/>
          </w:tcPr>
          <w:p w14:paraId="565ABB64" w14:textId="77777777" w:rsidR="00274F79" w:rsidRPr="00274F79" w:rsidRDefault="00274F79" w:rsidP="00274F79">
            <w:pPr>
              <w:pStyle w:val="Paragraph"/>
              <w:spacing w:after="80"/>
              <w:rPr>
                <w:b/>
                <w:bCs/>
              </w:rPr>
            </w:pPr>
            <w:r w:rsidRPr="00274F79">
              <w:rPr>
                <w:b/>
                <w:bCs/>
              </w:rPr>
              <w:t>Facilitates development of an industry that is efficient, competitive and responsive to audience needs</w:t>
            </w:r>
          </w:p>
          <w:p w14:paraId="71D3D054" w14:textId="49D66046" w:rsidR="00274F79" w:rsidRDefault="00274F79" w:rsidP="00274F79">
            <w:pPr>
              <w:pStyle w:val="Bulletlevel1"/>
            </w:pPr>
            <w:r>
              <w:t>Will assist the industry manage the slow decline in AM audiences, and allow broadcasters to provide formats that listeners seek.</w:t>
            </w:r>
            <w:r>
              <w:rPr>
                <w:rStyle w:val="FootnoteReference"/>
              </w:rPr>
              <w:footnoteReference w:id="85"/>
            </w:r>
          </w:p>
          <w:p w14:paraId="65EC2105" w14:textId="48169BCA" w:rsidR="00274F79" w:rsidRDefault="00274F79" w:rsidP="00274F79">
            <w:pPr>
              <w:pStyle w:val="Bulletlevel1"/>
            </w:pPr>
            <w:r>
              <w:t>Compared to AM, FM provides improved outcomes for listeners in terms of better fidelity, better interference immunity and ability to provide formats that audiences seek.</w:t>
            </w:r>
            <w:r>
              <w:rPr>
                <w:rStyle w:val="FootnoteReference"/>
              </w:rPr>
              <w:footnoteReference w:id="86"/>
            </w:r>
          </w:p>
          <w:p w14:paraId="50E6D194" w14:textId="1B7C75C4" w:rsidR="00274F79" w:rsidRDefault="00274F79" w:rsidP="00274F79">
            <w:pPr>
              <w:pStyle w:val="Bulletlevel1"/>
            </w:pPr>
            <w:r>
              <w:t>Switching AM off provides savings for broadcasters, for example, energy costs, site rentals, opportunity cost of land, tower maintenance.</w:t>
            </w:r>
          </w:p>
        </w:tc>
      </w:tr>
      <w:tr w:rsidR="00274F79" w14:paraId="4144A1E9" w14:textId="77777777" w:rsidTr="00857546">
        <w:trPr>
          <w:cantSplit/>
        </w:trPr>
        <w:tc>
          <w:tcPr>
            <w:tcW w:w="1271" w:type="dxa"/>
          </w:tcPr>
          <w:p w14:paraId="05F3158C" w14:textId="07ACE123" w:rsidR="00274F79" w:rsidRDefault="00274F79" w:rsidP="00274F79">
            <w:pPr>
              <w:pStyle w:val="Paragraph"/>
            </w:pPr>
            <w:r>
              <w:rPr>
                <w:noProof/>
              </w:rPr>
              <w:lastRenderedPageBreak/>
              <w:drawing>
                <wp:inline distT="0" distB="0" distL="0" distR="0" wp14:anchorId="0E45B26A" wp14:editId="3DACB6C3">
                  <wp:extent cx="518405" cy="483298"/>
                  <wp:effectExtent l="0" t="0" r="0" b="0"/>
                  <wp:docPr id="5" name="image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8.png"/>
                          <pic:cNvPicPr/>
                        </pic:nvPicPr>
                        <pic:blipFill>
                          <a:blip r:embed="rId28" cstate="print"/>
                          <a:stretch>
                            <a:fillRect/>
                          </a:stretch>
                        </pic:blipFill>
                        <pic:spPr>
                          <a:xfrm>
                            <a:off x="0" y="0"/>
                            <a:ext cx="518405" cy="483298"/>
                          </a:xfrm>
                          <a:prstGeom prst="rect">
                            <a:avLst/>
                          </a:prstGeom>
                        </pic:spPr>
                      </pic:pic>
                    </a:graphicData>
                  </a:graphic>
                </wp:inline>
              </w:drawing>
            </w:r>
          </w:p>
        </w:tc>
        <w:tc>
          <w:tcPr>
            <w:tcW w:w="6390" w:type="dxa"/>
          </w:tcPr>
          <w:p w14:paraId="201E7F02" w14:textId="77777777" w:rsidR="00274F79" w:rsidRPr="00274F79" w:rsidRDefault="00274F79" w:rsidP="00274F79">
            <w:pPr>
              <w:pStyle w:val="Paragraph"/>
              <w:spacing w:after="80"/>
              <w:rPr>
                <w:b/>
                <w:bCs/>
              </w:rPr>
            </w:pPr>
            <w:r w:rsidRPr="00274F79">
              <w:rPr>
                <w:b/>
                <w:bCs/>
              </w:rPr>
              <w:t>Promotes economic and efficient use of spectrum</w:t>
            </w:r>
          </w:p>
          <w:p w14:paraId="4CFB22AD" w14:textId="2FA69E9D" w:rsidR="00274F79" w:rsidRDefault="00274F79" w:rsidP="00274F79">
            <w:pPr>
              <w:pStyle w:val="Bulletlevel1"/>
            </w:pPr>
            <w:r>
              <w:t>We consider providing FM frequencies to match AM coverage (within a licence area for licensed broadcasters) is generally an economic and efficient use of spectrum. Whether a specific proposed LAP variation would be an economic and efficient use of spectrum needs to be determined at the individual service planning stage.</w:t>
            </w:r>
          </w:p>
          <w:p w14:paraId="598E4046" w14:textId="64AA27C4" w:rsidR="00274F79" w:rsidRDefault="00274F79" w:rsidP="00274F79">
            <w:pPr>
              <w:pStyle w:val="Bulletlevel1"/>
            </w:pPr>
            <w:r>
              <w:t>Where an FM conversion and any associated FM infill repeaters are not able to match AM coverage, we will generally expect the service to be simulcast in both AM and FM. We do not consider this coverage duplication to be wasteful of spectrum, noting that the AM band currently has little value in alternative use, and the desire of the industry to move to alternative delivery platforms.</w:t>
            </w:r>
          </w:p>
        </w:tc>
      </w:tr>
    </w:tbl>
    <w:p w14:paraId="0ABF0415" w14:textId="77777777" w:rsidR="00274F79" w:rsidRDefault="00274F79" w:rsidP="000F03F4">
      <w:pPr>
        <w:pStyle w:val="Paragraph"/>
        <w:spacing w:after="120"/>
      </w:pPr>
    </w:p>
    <w:p w14:paraId="496EE16A" w14:textId="5908838C" w:rsidR="00274F79" w:rsidRDefault="00274F79" w:rsidP="00274F79">
      <w:pPr>
        <w:pStyle w:val="Numberlistlevel1"/>
      </w:pPr>
      <w:r w:rsidRPr="00274F79">
        <w:rPr>
          <w:b/>
          <w:bCs/>
        </w:rPr>
        <w:t>Improving coverage of national, commercial and community radio broadcasting services</w:t>
      </w:r>
    </w:p>
    <w:p w14:paraId="3DCA79DF" w14:textId="77777777" w:rsidR="00274F79" w:rsidRDefault="00274F79" w:rsidP="00274F79">
      <w:pPr>
        <w:pStyle w:val="Paragraphbeforelist"/>
      </w:pPr>
      <w:r>
        <w:t>The ACMA will consider requests from the national broadcasters and licensed broadcasters and from third parties who propose a retransmission of existing services to improve the coverage of broadcasting. Coverage improvements include:</w:t>
      </w:r>
    </w:p>
    <w:p w14:paraId="1BB23C1A" w14:textId="6A3FCB7C" w:rsidR="00274F79" w:rsidRDefault="00274F79" w:rsidP="00274F79">
      <w:pPr>
        <w:pStyle w:val="Bulletlevel1"/>
      </w:pPr>
      <w:r>
        <w:t>increasing the reach of areas served (only within the relevant licence area for licensed broadcasters)</w:t>
      </w:r>
    </w:p>
    <w:p w14:paraId="016053C3" w14:textId="34FF3E7E" w:rsidR="00274F79" w:rsidRDefault="00274F79" w:rsidP="00274F79">
      <w:pPr>
        <w:pStyle w:val="Bulletlevel1last"/>
      </w:pPr>
      <w:r>
        <w:t>improving the reception in blackspot areas to an acceptable grade of service.</w:t>
      </w:r>
    </w:p>
    <w:p w14:paraId="51357CBF" w14:textId="5F2ED1F5" w:rsidR="00274F79" w:rsidRDefault="00274F79" w:rsidP="00274F79">
      <w:pPr>
        <w:pStyle w:val="Paragraph"/>
      </w:pPr>
      <w:r>
        <w:t>Many areas of Australia can be regarded as under-served in terms of the number of services available to listeners compared with other parts of the same licence area and other towns and cities more generally. This is particularly true in remote Australia.</w:t>
      </w:r>
    </w:p>
    <w:p w14:paraId="63A41F61" w14:textId="1DDC9D03" w:rsidR="00274F79" w:rsidRDefault="00274F79" w:rsidP="00274F79">
      <w:pPr>
        <w:pStyle w:val="Paragraph"/>
      </w:pPr>
      <w:r>
        <w:t>Coverage improvement can be achieved by varying the LAP at a broadcaster’s request to change the technical parameters of existing transmitters (for example, power and antenna) or planning additional transmitters. Where broadcasters do not plan to provide coverage to an area through their own transmitters, we may determine spectrum under section 34 of the BSA for third parties (such as local councils) to retransmit services.</w:t>
      </w:r>
    </w:p>
    <w:p w14:paraId="1039F37D" w14:textId="72395E1E" w:rsidR="00274F79" w:rsidRDefault="00274F79" w:rsidP="00274F79">
      <w:pPr>
        <w:pStyle w:val="Paragraph"/>
      </w:pPr>
      <w:r>
        <w:t xml:space="preserve">Coverage improvement is differentiated from broadcasters seeking to extend their licence area. We have reconsidered and reaffirm our long-standing position that licence areas represent fixed media markets and should not be changed without good reason. </w:t>
      </w:r>
    </w:p>
    <w:p w14:paraId="41964F2D" w14:textId="34356AB7" w:rsidR="0035094B" w:rsidRDefault="00274F79" w:rsidP="00274F79">
      <w:pPr>
        <w:pStyle w:val="Paragraph"/>
      </w:pPr>
      <w:r>
        <w:t>For competing demands for FM spectrum, we will consider whether a request for coverage improvement might better realised by directing audiences to the broadcasters’ IP streaming service. Noting the relatively low bandwidth required for audio streaming, audiences may be adequately served by IP streaming, particularly at residences where the NBN is available.</w:t>
      </w:r>
    </w:p>
    <w:p w14:paraId="004BCA80" w14:textId="7FB8AE1E" w:rsidR="00E645F1" w:rsidRDefault="00E645F1" w:rsidP="00274F79">
      <w:pPr>
        <w:pStyle w:val="Paragraph"/>
      </w:pPr>
      <w:r w:rsidRPr="00E645F1">
        <w:t>We consider that this category of activity promotes the objects of BSA and the economic and efficient use of spectrum and, in general, does so than more than non- priority activities, for the following reasons: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4A0" w:firstRow="1" w:lastRow="0" w:firstColumn="1" w:lastColumn="0" w:noHBand="0" w:noVBand="1"/>
      </w:tblPr>
      <w:tblGrid>
        <w:gridCol w:w="1413"/>
        <w:gridCol w:w="6248"/>
      </w:tblGrid>
      <w:tr w:rsidR="00E645F1" w14:paraId="760D2E0E" w14:textId="77777777" w:rsidTr="000F03F4">
        <w:trPr>
          <w:cantSplit/>
        </w:trPr>
        <w:tc>
          <w:tcPr>
            <w:tcW w:w="1413" w:type="dxa"/>
          </w:tcPr>
          <w:p w14:paraId="1F394B26" w14:textId="6979FD78" w:rsidR="00E645F1" w:rsidRDefault="00E645F1" w:rsidP="00274F79">
            <w:pPr>
              <w:pStyle w:val="Paragraph"/>
            </w:pPr>
            <w:r>
              <w:rPr>
                <w:noProof/>
              </w:rPr>
              <w:lastRenderedPageBreak/>
              <w:drawing>
                <wp:inline distT="0" distB="0" distL="0" distR="0" wp14:anchorId="07FDC33B" wp14:editId="78AE791B">
                  <wp:extent cx="538092" cy="502920"/>
                  <wp:effectExtent l="0" t="0" r="0" b="0"/>
                  <wp:docPr id="17" name="image9.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9.png"/>
                          <pic:cNvPicPr/>
                        </pic:nvPicPr>
                        <pic:blipFill>
                          <a:blip r:embed="rId29" cstate="print"/>
                          <a:stretch>
                            <a:fillRect/>
                          </a:stretch>
                        </pic:blipFill>
                        <pic:spPr>
                          <a:xfrm>
                            <a:off x="0" y="0"/>
                            <a:ext cx="538092" cy="502920"/>
                          </a:xfrm>
                          <a:prstGeom prst="rect">
                            <a:avLst/>
                          </a:prstGeom>
                        </pic:spPr>
                      </pic:pic>
                    </a:graphicData>
                  </a:graphic>
                </wp:inline>
              </w:drawing>
            </w:r>
          </w:p>
        </w:tc>
        <w:tc>
          <w:tcPr>
            <w:tcW w:w="6248" w:type="dxa"/>
          </w:tcPr>
          <w:p w14:paraId="7678C682" w14:textId="77777777" w:rsidR="00E645F1" w:rsidRPr="00E645F1" w:rsidRDefault="00E645F1" w:rsidP="00E645F1">
            <w:pPr>
              <w:pStyle w:val="Paragraph"/>
              <w:spacing w:after="80"/>
              <w:rPr>
                <w:b/>
                <w:bCs/>
              </w:rPr>
            </w:pPr>
            <w:r w:rsidRPr="00E645F1">
              <w:rPr>
                <w:b/>
                <w:bCs/>
              </w:rPr>
              <w:t>Promotes diverse range of services</w:t>
            </w:r>
          </w:p>
          <w:p w14:paraId="7404C52C" w14:textId="4B9514D5" w:rsidR="00E645F1" w:rsidRDefault="00E645F1" w:rsidP="000F03F4">
            <w:pPr>
              <w:pStyle w:val="Bulletlevel1"/>
            </w:pPr>
            <w:r>
              <w:t>Extending the reach of services to places not already served within the licence area, or throughout Australia for the national broadcasters, is a principal way in which diversity can be promoted in a specific location. For the national broadcasters, extending their reach enables them to fulfil their charter obligations.</w:t>
            </w:r>
            <w:r w:rsidR="00D54FB8">
              <w:rPr>
                <w:rStyle w:val="FootnoteReference"/>
              </w:rPr>
              <w:footnoteReference w:id="87"/>
            </w:r>
          </w:p>
        </w:tc>
      </w:tr>
      <w:tr w:rsidR="00E645F1" w14:paraId="758FC6A9" w14:textId="77777777" w:rsidTr="000F03F4">
        <w:trPr>
          <w:cantSplit/>
        </w:trPr>
        <w:tc>
          <w:tcPr>
            <w:tcW w:w="1413" w:type="dxa"/>
          </w:tcPr>
          <w:p w14:paraId="72ACBFB3" w14:textId="6DCA84DE" w:rsidR="00E645F1" w:rsidRDefault="00E645F1" w:rsidP="00274F79">
            <w:pPr>
              <w:pStyle w:val="Paragraph"/>
            </w:pPr>
            <w:r>
              <w:rPr>
                <w:noProof/>
              </w:rPr>
              <w:drawing>
                <wp:inline distT="0" distB="0" distL="0" distR="0" wp14:anchorId="0D582BBE" wp14:editId="5DC2F92C">
                  <wp:extent cx="523603" cy="492061"/>
                  <wp:effectExtent l="0" t="0" r="0" b="0"/>
                  <wp:docPr id="19" name="image7.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7.jpeg"/>
                          <pic:cNvPicPr/>
                        </pic:nvPicPr>
                        <pic:blipFill>
                          <a:blip r:embed="rId27" cstate="print"/>
                          <a:stretch>
                            <a:fillRect/>
                          </a:stretch>
                        </pic:blipFill>
                        <pic:spPr>
                          <a:xfrm>
                            <a:off x="0" y="0"/>
                            <a:ext cx="523603" cy="492061"/>
                          </a:xfrm>
                          <a:prstGeom prst="rect">
                            <a:avLst/>
                          </a:prstGeom>
                        </pic:spPr>
                      </pic:pic>
                    </a:graphicData>
                  </a:graphic>
                </wp:inline>
              </w:drawing>
            </w:r>
          </w:p>
        </w:tc>
        <w:tc>
          <w:tcPr>
            <w:tcW w:w="6248" w:type="dxa"/>
          </w:tcPr>
          <w:p w14:paraId="4CE841D4" w14:textId="77777777" w:rsidR="00E645F1" w:rsidRPr="00E645F1" w:rsidRDefault="00E645F1" w:rsidP="00E645F1">
            <w:pPr>
              <w:pStyle w:val="Paragraph"/>
              <w:spacing w:after="80"/>
              <w:rPr>
                <w:b/>
                <w:bCs/>
              </w:rPr>
            </w:pPr>
            <w:r w:rsidRPr="00E645F1">
              <w:rPr>
                <w:b/>
                <w:bCs/>
              </w:rPr>
              <w:t>Facilitates development of an industry that is efficient,</w:t>
            </w:r>
            <w:r w:rsidRPr="00E645F1">
              <w:rPr>
                <w:b/>
                <w:bCs/>
                <w:spacing w:val="-18"/>
              </w:rPr>
              <w:t xml:space="preserve"> </w:t>
            </w:r>
            <w:r w:rsidRPr="00E645F1">
              <w:rPr>
                <w:b/>
                <w:bCs/>
              </w:rPr>
              <w:t>competitive and responsive to audience</w:t>
            </w:r>
            <w:r w:rsidRPr="00E645F1">
              <w:rPr>
                <w:b/>
                <w:bCs/>
                <w:spacing w:val="-10"/>
              </w:rPr>
              <w:t xml:space="preserve"> </w:t>
            </w:r>
            <w:r w:rsidRPr="00E645F1">
              <w:rPr>
                <w:b/>
                <w:bCs/>
              </w:rPr>
              <w:t>needs</w:t>
            </w:r>
          </w:p>
          <w:p w14:paraId="68433687" w14:textId="5F56A043" w:rsidR="00E645F1" w:rsidRDefault="00E645F1" w:rsidP="000F03F4">
            <w:pPr>
              <w:pStyle w:val="Bulletlevel1"/>
            </w:pPr>
            <w:r>
              <w:t>Coverage improvement benefits the industry and audiences in</w:t>
            </w:r>
            <w:r>
              <w:rPr>
                <w:spacing w:val="-18"/>
              </w:rPr>
              <w:t xml:space="preserve"> </w:t>
            </w:r>
            <w:r>
              <w:t>general; broadcasters seek improvements to coverage in response to audience needs and where a business case exists</w:t>
            </w:r>
            <w:r w:rsidR="00857546">
              <w:t>,</w:t>
            </w:r>
            <w:r>
              <w:t xml:space="preserve"> to</w:t>
            </w:r>
            <w:r>
              <w:rPr>
                <w:spacing w:val="-11"/>
              </w:rPr>
              <w:t xml:space="preserve"> </w:t>
            </w:r>
            <w:r>
              <w:t>proceed.</w:t>
            </w:r>
            <w:r w:rsidR="00D54FB8">
              <w:rPr>
                <w:rStyle w:val="FootnoteReference"/>
              </w:rPr>
              <w:footnoteReference w:id="88"/>
            </w:r>
          </w:p>
        </w:tc>
      </w:tr>
      <w:tr w:rsidR="00E645F1" w14:paraId="54BABF49" w14:textId="77777777" w:rsidTr="000F03F4">
        <w:trPr>
          <w:cantSplit/>
        </w:trPr>
        <w:tc>
          <w:tcPr>
            <w:tcW w:w="1413" w:type="dxa"/>
          </w:tcPr>
          <w:p w14:paraId="27C537A2" w14:textId="64029C4D" w:rsidR="00E645F1" w:rsidRDefault="00E645F1" w:rsidP="00274F79">
            <w:pPr>
              <w:pStyle w:val="Paragraph"/>
            </w:pPr>
            <w:r>
              <w:rPr>
                <w:noProof/>
              </w:rPr>
              <w:drawing>
                <wp:inline distT="0" distB="0" distL="0" distR="0" wp14:anchorId="53331701" wp14:editId="478E0B4C">
                  <wp:extent cx="518405" cy="483298"/>
                  <wp:effectExtent l="0" t="0" r="0" b="0"/>
                  <wp:docPr id="21" name="image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8.png"/>
                          <pic:cNvPicPr/>
                        </pic:nvPicPr>
                        <pic:blipFill>
                          <a:blip r:embed="rId28" cstate="print"/>
                          <a:stretch>
                            <a:fillRect/>
                          </a:stretch>
                        </pic:blipFill>
                        <pic:spPr>
                          <a:xfrm>
                            <a:off x="0" y="0"/>
                            <a:ext cx="518405" cy="483298"/>
                          </a:xfrm>
                          <a:prstGeom prst="rect">
                            <a:avLst/>
                          </a:prstGeom>
                        </pic:spPr>
                      </pic:pic>
                    </a:graphicData>
                  </a:graphic>
                </wp:inline>
              </w:drawing>
            </w:r>
          </w:p>
        </w:tc>
        <w:tc>
          <w:tcPr>
            <w:tcW w:w="6248" w:type="dxa"/>
          </w:tcPr>
          <w:p w14:paraId="7D09D81A" w14:textId="77777777" w:rsidR="00E645F1" w:rsidRPr="00E645F1" w:rsidRDefault="00E645F1" w:rsidP="00E645F1">
            <w:pPr>
              <w:pStyle w:val="Paragraph"/>
              <w:spacing w:after="80"/>
              <w:rPr>
                <w:b/>
                <w:bCs/>
              </w:rPr>
            </w:pPr>
            <w:r w:rsidRPr="00E645F1">
              <w:rPr>
                <w:b/>
                <w:bCs/>
              </w:rPr>
              <w:t>Promotes economic and efficient use of spectrum</w:t>
            </w:r>
          </w:p>
          <w:p w14:paraId="7DB445AB" w14:textId="2A2E46D7" w:rsidR="00E645F1" w:rsidRDefault="00E645F1" w:rsidP="000F03F4">
            <w:pPr>
              <w:pStyle w:val="Bulletlevel1"/>
              <w:rPr>
                <w:sz w:val="13"/>
              </w:rPr>
            </w:pPr>
            <w:r>
              <w:t>Proposals that use spectrum to cover under-served areas are generally an economic and efficient use of spectrum. However, where spectrum is scarce, we may consider whether alternative delivery platforms might be more suitable, allowing the spectrum to be used for another purpose.</w:t>
            </w:r>
            <w:r w:rsidR="00D54FB8">
              <w:rPr>
                <w:rStyle w:val="FootnoteReference"/>
              </w:rPr>
              <w:footnoteReference w:id="89"/>
            </w:r>
          </w:p>
          <w:p w14:paraId="53F40D9A" w14:textId="07E1A471" w:rsidR="00E645F1" w:rsidRDefault="00E645F1" w:rsidP="000F03F4">
            <w:pPr>
              <w:pStyle w:val="Bulletlevel1"/>
            </w:pPr>
            <w:r>
              <w:t xml:space="preserve">In most cases, whether a specific proposed use of spectrum is economic and efficient at the </w:t>
            </w:r>
            <w:r w:rsidRPr="00E645F1">
              <w:t>technical</w:t>
            </w:r>
            <w:r>
              <w:t xml:space="preserve"> specification level cannot be ascertained until detailed planning has been performed, where the impact of coverage, interference and signal overspill into other licence areas is assessed.</w:t>
            </w:r>
          </w:p>
        </w:tc>
      </w:tr>
    </w:tbl>
    <w:p w14:paraId="14D3D663" w14:textId="0DEA5063" w:rsidR="00E645F1" w:rsidRDefault="00E645F1" w:rsidP="000F03F4">
      <w:pPr>
        <w:pStyle w:val="Paragraph"/>
        <w:spacing w:after="120"/>
      </w:pPr>
    </w:p>
    <w:p w14:paraId="4FDA1A3E" w14:textId="1F740DC2" w:rsidR="00E645F1" w:rsidRPr="00E645F1" w:rsidRDefault="00E645F1" w:rsidP="00E645F1">
      <w:pPr>
        <w:pStyle w:val="Numberlistlevel1"/>
        <w:rPr>
          <w:b/>
          <w:bCs/>
        </w:rPr>
      </w:pPr>
      <w:r w:rsidRPr="00E645F1">
        <w:rPr>
          <w:b/>
          <w:bCs/>
        </w:rPr>
        <w:t>Making digital radio channel plans for regional DAB+ where a commercial radio broadcasting licensee or national broadcaster has committed to a rollout</w:t>
      </w:r>
    </w:p>
    <w:p w14:paraId="58DA205C" w14:textId="424094AF" w:rsidR="00E645F1" w:rsidRDefault="00E645F1" w:rsidP="00E645F1">
      <w:pPr>
        <w:pStyle w:val="Paragraph"/>
      </w:pPr>
      <w:r>
        <w:t>The resource-intensive planning work for digital radio has been completed, with the national indicative channel allotment plan finished in early 2019.</w:t>
      </w:r>
    </w:p>
    <w:p w14:paraId="191D81DF" w14:textId="4294C2CF" w:rsidR="00E645F1" w:rsidRDefault="00E645F1" w:rsidP="00E645F1">
      <w:pPr>
        <w:pStyle w:val="Paragraph"/>
      </w:pPr>
      <w:r>
        <w:t xml:space="preserve">Before licensing can commence, the ACMA must make a digital radio channel plan for a </w:t>
      </w:r>
      <w:proofErr w:type="gramStart"/>
      <w:r>
        <w:t>particular licence</w:t>
      </w:r>
      <w:proofErr w:type="gramEnd"/>
      <w:r>
        <w:t xml:space="preserve"> area. Unless a broadcaster seeks a significant variation from the assumptions in the indicative plan, or something else complicates the planning process—including lack of consensus between stakeholders—the resources required to complete the legislative work should be minor to moderate.</w:t>
      </w:r>
    </w:p>
    <w:p w14:paraId="711AB037" w14:textId="668DB5E4" w:rsidR="00E645F1" w:rsidRDefault="00E645F1" w:rsidP="00274F79">
      <w:pPr>
        <w:pStyle w:val="Paragraph"/>
      </w:pPr>
      <w:r>
        <w:t>Noting that there has been little demonstrated interest so far in rolling out digital radio outside the capital cites (with only Mandurah, WA currently licensed), we propose to make digital radio channel plans where we have received a commitment to commence service in a specific time-window ending no later than two years from the date of request.</w:t>
      </w:r>
    </w:p>
    <w:p w14:paraId="6587CD15" w14:textId="484A5A97" w:rsidR="00D54FB8" w:rsidRDefault="00D83ED6" w:rsidP="00274F79">
      <w:pPr>
        <w:pStyle w:val="Paragraph"/>
      </w:pPr>
      <w:r w:rsidRPr="00D83ED6">
        <w:lastRenderedPageBreak/>
        <w:t>We consider that this category of activity promotes the objects of BSA and the economic and efficient use of spectrum and, in general, does so than more than non- priority activities for the following reasons:</w:t>
      </w:r>
    </w:p>
    <w:tbl>
      <w:tblPr>
        <w:tblW w:w="7776" w:type="dxa"/>
        <w:tblInd w:w="-57" w:type="dxa"/>
        <w:tblLayout w:type="fixed"/>
        <w:tblCellMar>
          <w:top w:w="57" w:type="dxa"/>
          <w:left w:w="57" w:type="dxa"/>
          <w:bottom w:w="57" w:type="dxa"/>
          <w:right w:w="57" w:type="dxa"/>
        </w:tblCellMar>
        <w:tblLook w:val="01E0" w:firstRow="1" w:lastRow="1" w:firstColumn="1" w:lastColumn="1" w:noHBand="0" w:noVBand="0"/>
      </w:tblPr>
      <w:tblGrid>
        <w:gridCol w:w="1236"/>
        <w:gridCol w:w="6540"/>
      </w:tblGrid>
      <w:tr w:rsidR="00D83ED6" w14:paraId="0620042D" w14:textId="77777777" w:rsidTr="00857546">
        <w:tc>
          <w:tcPr>
            <w:tcW w:w="1236" w:type="dxa"/>
          </w:tcPr>
          <w:p w14:paraId="406B12E7" w14:textId="77777777" w:rsidR="00D83ED6" w:rsidRDefault="00D83ED6" w:rsidP="00857546">
            <w:pPr>
              <w:pStyle w:val="TableParagraph"/>
              <w:ind w:left="0"/>
              <w:rPr>
                <w:sz w:val="20"/>
              </w:rPr>
            </w:pPr>
            <w:r>
              <w:rPr>
                <w:noProof/>
                <w:sz w:val="20"/>
              </w:rPr>
              <w:drawing>
                <wp:inline distT="0" distB="0" distL="0" distR="0" wp14:anchorId="4051FB17" wp14:editId="341D4DCD">
                  <wp:extent cx="523603" cy="492061"/>
                  <wp:effectExtent l="0" t="0" r="0" b="0"/>
                  <wp:docPr id="23" name="image7.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7.jpeg"/>
                          <pic:cNvPicPr/>
                        </pic:nvPicPr>
                        <pic:blipFill>
                          <a:blip r:embed="rId27" cstate="print"/>
                          <a:stretch>
                            <a:fillRect/>
                          </a:stretch>
                        </pic:blipFill>
                        <pic:spPr>
                          <a:xfrm>
                            <a:off x="0" y="0"/>
                            <a:ext cx="523603" cy="492061"/>
                          </a:xfrm>
                          <a:prstGeom prst="rect">
                            <a:avLst/>
                          </a:prstGeom>
                        </pic:spPr>
                      </pic:pic>
                    </a:graphicData>
                  </a:graphic>
                </wp:inline>
              </w:drawing>
            </w:r>
          </w:p>
        </w:tc>
        <w:tc>
          <w:tcPr>
            <w:tcW w:w="6540" w:type="dxa"/>
          </w:tcPr>
          <w:p w14:paraId="66C0F2B2" w14:textId="77777777" w:rsidR="00D83ED6" w:rsidRPr="000F03F4" w:rsidRDefault="00D83ED6" w:rsidP="000F03F4">
            <w:pPr>
              <w:pStyle w:val="Paragraph"/>
              <w:spacing w:after="80"/>
              <w:rPr>
                <w:b/>
                <w:bCs/>
              </w:rPr>
            </w:pPr>
            <w:r w:rsidRPr="000F03F4">
              <w:rPr>
                <w:b/>
                <w:bCs/>
              </w:rPr>
              <w:t>Facilitates development of an industry that is efficient, competitive and responsive to audience needs</w:t>
            </w:r>
          </w:p>
          <w:p w14:paraId="132B7B25" w14:textId="77777777" w:rsidR="00D83ED6" w:rsidRDefault="00D83ED6" w:rsidP="000F03F4">
            <w:pPr>
              <w:pStyle w:val="Bulletlevel1"/>
            </w:pPr>
            <w:r>
              <w:t>This provides a pathway to the benefits of digital delivery.</w:t>
            </w:r>
          </w:p>
        </w:tc>
      </w:tr>
      <w:tr w:rsidR="00D83ED6" w14:paraId="606A2211" w14:textId="77777777" w:rsidTr="00857546">
        <w:tc>
          <w:tcPr>
            <w:tcW w:w="1236" w:type="dxa"/>
          </w:tcPr>
          <w:p w14:paraId="154CDBA3" w14:textId="77777777" w:rsidR="00D83ED6" w:rsidRDefault="00D83ED6" w:rsidP="00387740">
            <w:pPr>
              <w:pStyle w:val="TableParagraph"/>
              <w:spacing w:before="5"/>
              <w:ind w:left="0"/>
              <w:rPr>
                <w:sz w:val="10"/>
              </w:rPr>
            </w:pPr>
          </w:p>
          <w:p w14:paraId="56E68569" w14:textId="294D6BEB" w:rsidR="00D83ED6" w:rsidRDefault="00D83ED6" w:rsidP="00857546">
            <w:pPr>
              <w:pStyle w:val="TableParagraph"/>
              <w:ind w:left="0"/>
              <w:rPr>
                <w:sz w:val="20"/>
              </w:rPr>
            </w:pPr>
            <w:r>
              <w:rPr>
                <w:noProof/>
                <w:sz w:val="20"/>
              </w:rPr>
              <w:drawing>
                <wp:inline distT="0" distB="0" distL="0" distR="0" wp14:anchorId="272B9C61" wp14:editId="4F5E09DA">
                  <wp:extent cx="518809" cy="483298"/>
                  <wp:effectExtent l="0" t="0" r="0" b="0"/>
                  <wp:docPr id="25" name="image8.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8.png"/>
                          <pic:cNvPicPr/>
                        </pic:nvPicPr>
                        <pic:blipFill>
                          <a:blip r:embed="rId28" cstate="print"/>
                          <a:stretch>
                            <a:fillRect/>
                          </a:stretch>
                        </pic:blipFill>
                        <pic:spPr>
                          <a:xfrm>
                            <a:off x="0" y="0"/>
                            <a:ext cx="518809" cy="483298"/>
                          </a:xfrm>
                          <a:prstGeom prst="rect">
                            <a:avLst/>
                          </a:prstGeom>
                        </pic:spPr>
                      </pic:pic>
                    </a:graphicData>
                  </a:graphic>
                </wp:inline>
              </w:drawing>
            </w:r>
          </w:p>
        </w:tc>
        <w:tc>
          <w:tcPr>
            <w:tcW w:w="6540" w:type="dxa"/>
          </w:tcPr>
          <w:p w14:paraId="6498F525" w14:textId="77777777" w:rsidR="00D83ED6" w:rsidRDefault="00D83ED6" w:rsidP="000F03F4">
            <w:pPr>
              <w:pStyle w:val="Paragraph"/>
              <w:spacing w:after="80"/>
              <w:rPr>
                <w:b/>
              </w:rPr>
            </w:pPr>
            <w:r>
              <w:rPr>
                <w:b/>
              </w:rPr>
              <w:t>Promotes economic and efficient use of spectrum</w:t>
            </w:r>
          </w:p>
          <w:p w14:paraId="5B016AC6" w14:textId="77777777" w:rsidR="00D83ED6" w:rsidRDefault="00D83ED6" w:rsidP="000F03F4">
            <w:pPr>
              <w:pStyle w:val="Bulletlevel1"/>
            </w:pPr>
            <w:r>
              <w:t>DAB+ requests that can be accommodated within the indicative regional channel allotment planning, and in accordance with the radio planning principles, will be an economic and efficient use of spectrum</w:t>
            </w:r>
          </w:p>
        </w:tc>
      </w:tr>
      <w:tr w:rsidR="00D83ED6" w14:paraId="671589BD" w14:textId="77777777" w:rsidTr="00857546">
        <w:tc>
          <w:tcPr>
            <w:tcW w:w="1236" w:type="dxa"/>
          </w:tcPr>
          <w:p w14:paraId="62A9D4D8" w14:textId="77777777" w:rsidR="00D83ED6" w:rsidRDefault="00D83ED6" w:rsidP="00387740">
            <w:pPr>
              <w:pStyle w:val="TableParagraph"/>
              <w:spacing w:before="5"/>
              <w:ind w:left="0"/>
              <w:rPr>
                <w:sz w:val="10"/>
              </w:rPr>
            </w:pPr>
          </w:p>
          <w:p w14:paraId="2857472D" w14:textId="77777777" w:rsidR="00D83ED6" w:rsidRDefault="00D83ED6" w:rsidP="00857546">
            <w:pPr>
              <w:pStyle w:val="TableParagraph"/>
              <w:ind w:left="0"/>
              <w:rPr>
                <w:sz w:val="20"/>
              </w:rPr>
            </w:pPr>
            <w:r>
              <w:rPr>
                <w:noProof/>
                <w:sz w:val="20"/>
              </w:rPr>
              <w:drawing>
                <wp:inline distT="0" distB="0" distL="0" distR="0" wp14:anchorId="5BD0A76E" wp14:editId="3FB2FA6E">
                  <wp:extent cx="521202" cy="500633"/>
                  <wp:effectExtent l="0" t="0" r="0" b="0"/>
                  <wp:docPr id="27" name="image10.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0.png"/>
                          <pic:cNvPicPr/>
                        </pic:nvPicPr>
                        <pic:blipFill>
                          <a:blip r:embed="rId30" cstate="print"/>
                          <a:stretch>
                            <a:fillRect/>
                          </a:stretch>
                        </pic:blipFill>
                        <pic:spPr>
                          <a:xfrm>
                            <a:off x="0" y="0"/>
                            <a:ext cx="521202" cy="500633"/>
                          </a:xfrm>
                          <a:prstGeom prst="rect">
                            <a:avLst/>
                          </a:prstGeom>
                        </pic:spPr>
                      </pic:pic>
                    </a:graphicData>
                  </a:graphic>
                </wp:inline>
              </w:drawing>
            </w:r>
          </w:p>
          <w:p w14:paraId="034A50B4" w14:textId="77777777" w:rsidR="00D83ED6" w:rsidRDefault="00D83ED6" w:rsidP="00387740">
            <w:pPr>
              <w:pStyle w:val="TableParagraph"/>
              <w:spacing w:before="4"/>
              <w:ind w:left="0"/>
              <w:rPr>
                <w:sz w:val="24"/>
              </w:rPr>
            </w:pPr>
          </w:p>
        </w:tc>
        <w:tc>
          <w:tcPr>
            <w:tcW w:w="6540" w:type="dxa"/>
          </w:tcPr>
          <w:p w14:paraId="5506B393" w14:textId="77777777" w:rsidR="00D83ED6" w:rsidRDefault="00D83ED6" w:rsidP="000F03F4">
            <w:pPr>
              <w:pStyle w:val="Paragraph"/>
              <w:spacing w:after="80"/>
              <w:rPr>
                <w:b/>
              </w:rPr>
            </w:pPr>
            <w:r>
              <w:rPr>
                <w:b/>
              </w:rPr>
              <w:t>Maintenance and where possible, the development of diversity, including community public and Indigenous broadcasting in the Australian broadcasting system in the transition to digital broadcasting</w:t>
            </w:r>
          </w:p>
          <w:p w14:paraId="7D23F25B" w14:textId="6FCC69DB" w:rsidR="00D83ED6" w:rsidRDefault="00D83ED6" w:rsidP="000F03F4">
            <w:pPr>
              <w:pStyle w:val="Bulletlevel1"/>
              <w:rPr>
                <w:sz w:val="13"/>
              </w:rPr>
            </w:pPr>
            <w:r>
              <w:t>The related activity of deeming community radio licence areas in regional areas, where appropriate, will allow community radio participation in digital broadcasting.</w:t>
            </w:r>
            <w:r>
              <w:rPr>
                <w:rStyle w:val="FootnoteReference"/>
              </w:rPr>
              <w:footnoteReference w:id="90"/>
            </w:r>
          </w:p>
        </w:tc>
      </w:tr>
    </w:tbl>
    <w:p w14:paraId="412DF250" w14:textId="55FD680D" w:rsidR="00D54FB8" w:rsidRPr="00D83ED6" w:rsidRDefault="00D54FB8" w:rsidP="00D83ED6">
      <w:pPr>
        <w:pStyle w:val="Numberlistlevel1"/>
        <w:numPr>
          <w:ilvl w:val="0"/>
          <w:numId w:val="0"/>
        </w:numPr>
        <w:ind w:left="360"/>
        <w:rPr>
          <w:b/>
          <w:bCs/>
        </w:rPr>
      </w:pPr>
    </w:p>
    <w:p w14:paraId="395B1980" w14:textId="77777777" w:rsidR="00D83ED6" w:rsidRPr="00D83ED6" w:rsidRDefault="00D83ED6" w:rsidP="00D83ED6">
      <w:pPr>
        <w:pStyle w:val="Numberlistlevel1"/>
        <w:rPr>
          <w:b/>
          <w:bCs/>
        </w:rPr>
      </w:pPr>
      <w:r w:rsidRPr="00D83ED6">
        <w:rPr>
          <w:b/>
          <w:bCs/>
        </w:rPr>
        <w:t>Supporting trials of new broadcasting technology</w:t>
      </w:r>
    </w:p>
    <w:p w14:paraId="26F6EF24" w14:textId="4DAD5B84" w:rsidR="00D83ED6" w:rsidRDefault="00D83ED6" w:rsidP="00D83ED6">
      <w:pPr>
        <w:pStyle w:val="Paragraph"/>
      </w:pPr>
      <w:r>
        <w:t>We will prioritise planning to enable trials of new broadcasting technology. The results of will assist the industry to make informed decisions about choices of radio delivery platforms.</w:t>
      </w:r>
    </w:p>
    <w:p w14:paraId="5D703502" w14:textId="0E9CB1B2" w:rsidR="00D83ED6" w:rsidRDefault="00D83ED6" w:rsidP="00D83ED6">
      <w:pPr>
        <w:pStyle w:val="Paragraph"/>
      </w:pPr>
      <w:r>
        <w:t>We consider that this category of activity promotes the objects of BSA and the economic and efficient use of spectrum and, in general, does so more than non- priority activities, for the following reasons:</w:t>
      </w:r>
    </w:p>
    <w:tbl>
      <w:tblPr>
        <w:tblW w:w="7744" w:type="dxa"/>
        <w:tblInd w:w="-57" w:type="dxa"/>
        <w:tblLayout w:type="fixed"/>
        <w:tblCellMar>
          <w:top w:w="57" w:type="dxa"/>
          <w:left w:w="57" w:type="dxa"/>
          <w:bottom w:w="57" w:type="dxa"/>
          <w:right w:w="57" w:type="dxa"/>
        </w:tblCellMar>
        <w:tblLook w:val="01E0" w:firstRow="1" w:lastRow="1" w:firstColumn="1" w:lastColumn="1" w:noHBand="0" w:noVBand="0"/>
      </w:tblPr>
      <w:tblGrid>
        <w:gridCol w:w="1236"/>
        <w:gridCol w:w="6508"/>
      </w:tblGrid>
      <w:tr w:rsidR="00D83ED6" w14:paraId="20AE36D1" w14:textId="77777777" w:rsidTr="00F1400A">
        <w:trPr>
          <w:trHeight w:hRule="exact" w:val="1198"/>
        </w:trPr>
        <w:tc>
          <w:tcPr>
            <w:tcW w:w="1236" w:type="dxa"/>
          </w:tcPr>
          <w:p w14:paraId="34AE6C83" w14:textId="77777777" w:rsidR="00D83ED6" w:rsidRDefault="00D83ED6" w:rsidP="00857546">
            <w:pPr>
              <w:pStyle w:val="TableParagraph"/>
              <w:ind w:left="0"/>
              <w:rPr>
                <w:sz w:val="20"/>
              </w:rPr>
            </w:pPr>
            <w:r>
              <w:rPr>
                <w:noProof/>
                <w:sz w:val="20"/>
              </w:rPr>
              <w:drawing>
                <wp:inline distT="0" distB="0" distL="0" distR="0" wp14:anchorId="65A2245B" wp14:editId="37A55896">
                  <wp:extent cx="523603" cy="492061"/>
                  <wp:effectExtent l="0" t="0" r="0" b="0"/>
                  <wp:docPr id="29" name="image7.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7.jpeg"/>
                          <pic:cNvPicPr/>
                        </pic:nvPicPr>
                        <pic:blipFill>
                          <a:blip r:embed="rId27" cstate="print"/>
                          <a:stretch>
                            <a:fillRect/>
                          </a:stretch>
                        </pic:blipFill>
                        <pic:spPr>
                          <a:xfrm>
                            <a:off x="0" y="0"/>
                            <a:ext cx="523603" cy="492061"/>
                          </a:xfrm>
                          <a:prstGeom prst="rect">
                            <a:avLst/>
                          </a:prstGeom>
                        </pic:spPr>
                      </pic:pic>
                    </a:graphicData>
                  </a:graphic>
                </wp:inline>
              </w:drawing>
            </w:r>
          </w:p>
        </w:tc>
        <w:tc>
          <w:tcPr>
            <w:tcW w:w="6508" w:type="dxa"/>
          </w:tcPr>
          <w:p w14:paraId="2285AED0" w14:textId="77777777" w:rsidR="00D83ED6" w:rsidRDefault="00D83ED6" w:rsidP="00F1400A">
            <w:pPr>
              <w:pStyle w:val="Paragraph"/>
              <w:spacing w:after="80"/>
              <w:rPr>
                <w:b/>
              </w:rPr>
            </w:pPr>
            <w:r>
              <w:rPr>
                <w:b/>
              </w:rPr>
              <w:t>Facilitates development of an industry that is efficient, competitive and responsive to audience needs</w:t>
            </w:r>
          </w:p>
          <w:p w14:paraId="7D903780" w14:textId="15517413" w:rsidR="00D83ED6" w:rsidRDefault="00D83ED6" w:rsidP="00F1400A">
            <w:pPr>
              <w:pStyle w:val="Bulletlevel1"/>
              <w:rPr>
                <w:sz w:val="13"/>
              </w:rPr>
            </w:pPr>
            <w:r>
              <w:t>Facilitates information relevant to industry business decisions in relation to new broadcasting technologies.</w:t>
            </w:r>
            <w:r>
              <w:rPr>
                <w:rStyle w:val="FootnoteReference"/>
              </w:rPr>
              <w:footnoteReference w:id="91"/>
            </w:r>
          </w:p>
        </w:tc>
      </w:tr>
      <w:tr w:rsidR="00D83ED6" w14:paraId="77F74F17" w14:textId="77777777" w:rsidTr="00F1400A">
        <w:trPr>
          <w:trHeight w:hRule="exact" w:val="1639"/>
        </w:trPr>
        <w:tc>
          <w:tcPr>
            <w:tcW w:w="1236" w:type="dxa"/>
          </w:tcPr>
          <w:p w14:paraId="5679B994" w14:textId="77777777" w:rsidR="00D83ED6" w:rsidRDefault="00D83ED6" w:rsidP="00387740">
            <w:pPr>
              <w:pStyle w:val="TableParagraph"/>
              <w:spacing w:before="4" w:after="1"/>
              <w:ind w:left="0"/>
              <w:rPr>
                <w:sz w:val="10"/>
              </w:rPr>
            </w:pPr>
          </w:p>
          <w:p w14:paraId="6057A0A1" w14:textId="3C59E140" w:rsidR="00D83ED6" w:rsidRDefault="00D83ED6" w:rsidP="00857546">
            <w:pPr>
              <w:pStyle w:val="TableParagraph"/>
              <w:ind w:left="0"/>
              <w:rPr>
                <w:sz w:val="20"/>
              </w:rPr>
            </w:pPr>
            <w:r>
              <w:rPr>
                <w:noProof/>
                <w:sz w:val="20"/>
              </w:rPr>
              <w:drawing>
                <wp:inline distT="0" distB="0" distL="0" distR="0" wp14:anchorId="442BDEC5" wp14:editId="5E5E1701">
                  <wp:extent cx="521598" cy="500634"/>
                  <wp:effectExtent l="0" t="0" r="0" b="0"/>
                  <wp:docPr id="31" name="image10.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0.png"/>
                          <pic:cNvPicPr/>
                        </pic:nvPicPr>
                        <pic:blipFill>
                          <a:blip r:embed="rId30" cstate="print"/>
                          <a:stretch>
                            <a:fillRect/>
                          </a:stretch>
                        </pic:blipFill>
                        <pic:spPr>
                          <a:xfrm>
                            <a:off x="0" y="0"/>
                            <a:ext cx="521598" cy="500634"/>
                          </a:xfrm>
                          <a:prstGeom prst="rect">
                            <a:avLst/>
                          </a:prstGeom>
                        </pic:spPr>
                      </pic:pic>
                    </a:graphicData>
                  </a:graphic>
                </wp:inline>
              </w:drawing>
            </w:r>
          </w:p>
          <w:p w14:paraId="1CBA2C03" w14:textId="77777777" w:rsidR="00D83ED6" w:rsidRDefault="00D83ED6" w:rsidP="00387740">
            <w:pPr>
              <w:pStyle w:val="TableParagraph"/>
              <w:spacing w:before="6"/>
              <w:ind w:left="0"/>
              <w:rPr>
                <w:sz w:val="23"/>
              </w:rPr>
            </w:pPr>
          </w:p>
        </w:tc>
        <w:tc>
          <w:tcPr>
            <w:tcW w:w="6508" w:type="dxa"/>
          </w:tcPr>
          <w:p w14:paraId="2D373BAB" w14:textId="77777777" w:rsidR="00D83ED6" w:rsidRDefault="00D83ED6" w:rsidP="00F1400A">
            <w:pPr>
              <w:pStyle w:val="Paragraph"/>
              <w:spacing w:after="80"/>
              <w:rPr>
                <w:b/>
              </w:rPr>
            </w:pPr>
            <w:r>
              <w:rPr>
                <w:b/>
              </w:rPr>
              <w:t>Maintenance and where possible, the development of diversity, including community public and Indigenous broadcasting in the Australian broadcasting system in the transition to digital broadcasting</w:t>
            </w:r>
          </w:p>
          <w:p w14:paraId="3AF8DB06" w14:textId="1A599806" w:rsidR="00D83ED6" w:rsidRDefault="00D83ED6" w:rsidP="00F1400A">
            <w:pPr>
              <w:pStyle w:val="Bulletlevel1"/>
              <w:rPr>
                <w:sz w:val="13"/>
              </w:rPr>
            </w:pPr>
            <w:r>
              <w:t>Provides for the consideration of technologies that are relevant to the digital transition of all categories of broadcasting.</w:t>
            </w:r>
            <w:r>
              <w:rPr>
                <w:rStyle w:val="FootnoteReference"/>
              </w:rPr>
              <w:footnoteReference w:id="92"/>
            </w:r>
          </w:p>
        </w:tc>
      </w:tr>
    </w:tbl>
    <w:p w14:paraId="5C206470" w14:textId="77777777" w:rsidR="00F1400A" w:rsidRDefault="00F1400A" w:rsidP="00D83ED6">
      <w:pPr>
        <w:pStyle w:val="Heading3"/>
      </w:pPr>
    </w:p>
    <w:p w14:paraId="145094A5" w14:textId="415E5CF1" w:rsidR="00D83ED6" w:rsidRDefault="00D83ED6" w:rsidP="00D83ED6">
      <w:pPr>
        <w:pStyle w:val="Heading3"/>
      </w:pPr>
      <w:r>
        <w:t>Other routine activities</w:t>
      </w:r>
    </w:p>
    <w:p w14:paraId="726345F2" w14:textId="77777777" w:rsidR="00D83ED6" w:rsidRDefault="00D83ED6" w:rsidP="00D83ED6">
      <w:pPr>
        <w:pStyle w:val="Paragraphbeforelist"/>
      </w:pPr>
      <w:r>
        <w:t>We will keep a watching brief on new technology for the delivery of broadcasting services including:</w:t>
      </w:r>
    </w:p>
    <w:p w14:paraId="657F441B" w14:textId="66E1E68C" w:rsidR="00D83ED6" w:rsidRDefault="00D83ED6" w:rsidP="00D83ED6">
      <w:pPr>
        <w:pStyle w:val="Bulletlevel1"/>
      </w:pPr>
      <w:r>
        <w:t>DRM</w:t>
      </w:r>
    </w:p>
    <w:p w14:paraId="5E64AEED" w14:textId="5A8F396E" w:rsidR="00D83ED6" w:rsidRDefault="00D83ED6" w:rsidP="00D83ED6">
      <w:pPr>
        <w:pStyle w:val="Bulletlevel1"/>
      </w:pPr>
      <w:r>
        <w:t>satellite</w:t>
      </w:r>
    </w:p>
    <w:p w14:paraId="6F383728" w14:textId="62E6138B" w:rsidR="00D83ED6" w:rsidRDefault="00D83ED6" w:rsidP="00D83ED6">
      <w:pPr>
        <w:pStyle w:val="Bulletlevel1last"/>
      </w:pPr>
      <w:r>
        <w:t>developments in 5G broadcast technology.</w:t>
      </w:r>
    </w:p>
    <w:p w14:paraId="1C767605" w14:textId="2F88AF30" w:rsidR="00D83ED6" w:rsidRDefault="00D83ED6" w:rsidP="00D83ED6">
      <w:pPr>
        <w:pStyle w:val="Paragraph"/>
      </w:pPr>
      <w:r>
        <w:t>We will also continue to undertake routine planning work to determine spectrum to fulfil applications for short-term narrowcasting for special events.</w:t>
      </w:r>
    </w:p>
    <w:p w14:paraId="079A551E" w14:textId="77777777" w:rsidR="00D83ED6" w:rsidRDefault="00D83ED6" w:rsidP="00D83ED6">
      <w:pPr>
        <w:pStyle w:val="Heading3"/>
      </w:pPr>
      <w:r>
        <w:t>Non-priority areas</w:t>
      </w:r>
    </w:p>
    <w:p w14:paraId="51FED82F" w14:textId="29B5894C" w:rsidR="00D83ED6" w:rsidRDefault="00D83ED6" w:rsidP="00D83ED6">
      <w:pPr>
        <w:pStyle w:val="Paragraph"/>
      </w:pPr>
      <w:r>
        <w:t>Generally, we are not proposing to prioritise other LAP planning activities such as planning for new commercial, narrowcasting and long-term community broadcasting services. In the context of an industry technology and audience transition, we consider that industry and ACMA resources are best focused on ensuring that existing services are transitioned through the current uncertain technology climate and that audiences are best served (and the objects of the BSA are best promoted) by activities that ensure the maintenance and improvement of existing services.</w:t>
      </w:r>
    </w:p>
    <w:p w14:paraId="14F0C1C0" w14:textId="3460FFAD" w:rsidR="00D83ED6" w:rsidRDefault="00D83ED6" w:rsidP="00D83ED6">
      <w:pPr>
        <w:pStyle w:val="Paragraph"/>
      </w:pPr>
      <w:r>
        <w:t>Requests for non-priority activities will still be assessed by the ACMA and considered when resources permit. This is explained in the next section.</w:t>
      </w:r>
    </w:p>
    <w:p w14:paraId="73459FAA" w14:textId="77777777" w:rsidR="00D83ED6" w:rsidRDefault="00D83ED6" w:rsidP="009404A7">
      <w:pPr>
        <w:pStyle w:val="Heading2"/>
      </w:pPr>
      <w:bookmarkStart w:id="38" w:name="_Toc35846805"/>
      <w:r>
        <w:t>How we consider planning requests</w:t>
      </w:r>
      <w:bookmarkEnd w:id="38"/>
    </w:p>
    <w:p w14:paraId="354E70A3" w14:textId="5FD5007E" w:rsidR="00D83ED6" w:rsidRDefault="00D83ED6" w:rsidP="00D83ED6">
      <w:pPr>
        <w:pStyle w:val="Paragraph"/>
      </w:pPr>
      <w:r>
        <w:t>This section sets out our policy on how we will generally approach, prioritise and respond to planning requests.</w:t>
      </w:r>
    </w:p>
    <w:p w14:paraId="1D43F449" w14:textId="194F08C1" w:rsidR="00D83ED6" w:rsidRDefault="00D83ED6" w:rsidP="009404A7">
      <w:pPr>
        <w:pStyle w:val="Heading3"/>
      </w:pPr>
      <w:r>
        <w:t>Stage 1—</w:t>
      </w:r>
      <w:r w:rsidR="00F1400A">
        <w:t>a</w:t>
      </w:r>
      <w:r>
        <w:t>ssessment against key priority areas</w:t>
      </w:r>
    </w:p>
    <w:p w14:paraId="52FF4A8B" w14:textId="77777777" w:rsidR="00D83ED6" w:rsidRDefault="00D83ED6" w:rsidP="009404A7">
      <w:pPr>
        <w:pStyle w:val="Paragraphbeforelist"/>
      </w:pPr>
      <w:r>
        <w:t>Having identified the broad spectrum planning and allocation priorities for radio, the ACMA will need to assess whether an individual planning request:</w:t>
      </w:r>
    </w:p>
    <w:p w14:paraId="26DB8EEA" w14:textId="054D7117" w:rsidR="00D83ED6" w:rsidRDefault="00D83ED6" w:rsidP="009404A7">
      <w:pPr>
        <w:pStyle w:val="Bulletlevel1"/>
      </w:pPr>
      <w:r>
        <w:t>would promote the objects of the BSA</w:t>
      </w:r>
    </w:p>
    <w:p w14:paraId="5006675F" w14:textId="51BDEA5B" w:rsidR="00D83ED6" w:rsidRDefault="00D83ED6" w:rsidP="00DB4616">
      <w:pPr>
        <w:pStyle w:val="Bulletlevel1"/>
      </w:pPr>
      <w:r>
        <w:t>is a priority or non-priority request</w:t>
      </w:r>
    </w:p>
    <w:p w14:paraId="20B8827A" w14:textId="33B594F3" w:rsidR="00D83ED6" w:rsidRDefault="00D83ED6" w:rsidP="00DB4616">
      <w:pPr>
        <w:pStyle w:val="Bulletlevel1"/>
      </w:pPr>
      <w:r>
        <w:t>would be a non-priority request (including for determinations of spectrum under section 34 of the BSA) that might impact on a current or expected priority activity requests</w:t>
      </w:r>
    </w:p>
    <w:p w14:paraId="58EA1F7C" w14:textId="77777777" w:rsidR="00DB4616" w:rsidRDefault="00D83ED6" w:rsidP="00DB4616">
      <w:pPr>
        <w:pStyle w:val="Bulletlevel1last"/>
      </w:pPr>
      <w:r>
        <w:t xml:space="preserve">whether the application of ACMA resources to identify suitable spectrum for a request would likely be fruitless—for example, in areas of known spectrum congestion. </w:t>
      </w:r>
    </w:p>
    <w:p w14:paraId="7877C2E5" w14:textId="28C6BB67" w:rsidR="00D83ED6" w:rsidRDefault="00D83ED6" w:rsidP="00D83ED6">
      <w:pPr>
        <w:pStyle w:val="Paragraph"/>
      </w:pPr>
      <w:r>
        <w:t>We will consider any offsets such as engineering work provided by the requestor.</w:t>
      </w:r>
      <w:r w:rsidR="009404A7">
        <w:rPr>
          <w:rStyle w:val="FootnoteReference"/>
        </w:rPr>
        <w:footnoteReference w:id="93"/>
      </w:r>
    </w:p>
    <w:p w14:paraId="3EADBDC9" w14:textId="60B8A7DB" w:rsidR="00D83ED6" w:rsidRDefault="00D83ED6" w:rsidP="00D83ED6">
      <w:pPr>
        <w:pStyle w:val="Paragraph"/>
      </w:pPr>
      <w:r>
        <w:t>It may become apparent that a proposal does not promote the objects of the BSA. This could occur when the application is received, (for example, a request that is not in accordance with the legislation or is outside operational guidance and a case is not made why an exception should be made).</w:t>
      </w:r>
    </w:p>
    <w:p w14:paraId="7DBCC2F3" w14:textId="270C6EFA" w:rsidR="00DB4616" w:rsidRDefault="00D83ED6" w:rsidP="00DB4616">
      <w:pPr>
        <w:pStyle w:val="Paragraph"/>
      </w:pPr>
      <w:r>
        <w:lastRenderedPageBreak/>
        <w:t>One reason why the ACMA may consider that a request does not promote the object of the BSA is because it is likely that no suitable spectrum could, with reasonable</w:t>
      </w:r>
      <w:r w:rsidR="00DB4616">
        <w:t xml:space="preserve"> effort, be identified. Some preliminary engineering work may be required, particularly if the feasibility of finding available spectrum is not known.</w:t>
      </w:r>
    </w:p>
    <w:p w14:paraId="2667DB66" w14:textId="080F827F" w:rsidR="00DB4616" w:rsidRDefault="00DB4616" w:rsidP="00DB4616">
      <w:pPr>
        <w:pStyle w:val="Paragraph"/>
      </w:pPr>
      <w:r>
        <w:t>Where we consider that a request does not promote the objects of the BSA and should not be proceeded with, we will advise the requestor at the earliest opportunity that we will not prioritise the request.</w:t>
      </w:r>
    </w:p>
    <w:p w14:paraId="56664123" w14:textId="560E0652" w:rsidR="00DB4616" w:rsidRDefault="00DB4616" w:rsidP="00DB4616">
      <w:pPr>
        <w:pStyle w:val="Paragraph"/>
      </w:pPr>
      <w:r>
        <w:t>Requests that support our key priorities will move to the next stage—consideration in the annual work program.</w:t>
      </w:r>
    </w:p>
    <w:p w14:paraId="73121FB0" w14:textId="74C35E19" w:rsidR="00DB4616" w:rsidRDefault="00DB4616" w:rsidP="00DB4616">
      <w:pPr>
        <w:pStyle w:val="Paragraph"/>
      </w:pPr>
      <w:r>
        <w:t>Non-priority requests may still promote the objects of the BSA, but to a lesser extent than the priority activities.</w:t>
      </w:r>
    </w:p>
    <w:p w14:paraId="28DD8EEF" w14:textId="05FDD301" w:rsidR="00DB4616" w:rsidRDefault="00DB4616" w:rsidP="00DB4616">
      <w:pPr>
        <w:pStyle w:val="Paragraph"/>
      </w:pPr>
      <w:r>
        <w:t>While non-priority requests will generally not be expressly included in the ACMA annual work program, there is a further opportunity for assessment when the relevant LAP is ‘under consideration’ for the detailed assessment of high-priority requests.</w:t>
      </w:r>
    </w:p>
    <w:p w14:paraId="4CF4C149" w14:textId="610522DB" w:rsidR="00DB4616" w:rsidRDefault="00DB4616" w:rsidP="00DB4616">
      <w:pPr>
        <w:pStyle w:val="Paragraph"/>
      </w:pPr>
      <w:r>
        <w:t>In cases when resources permit</w:t>
      </w:r>
      <w:r w:rsidR="00F1400A">
        <w:t>,</w:t>
      </w:r>
      <w:r>
        <w:t xml:space="preserve"> non-priority requests may proceed on a stand-alone basis where it is unlikely to be in contention for spectrum with actual or prospective high-priority requests. Requests for spectrum involving a determination under section 34 of the BSA will proceed directly to delegate consideration. This does not mean that requests cannot be considered, only that we will need to balance these requests with other priorities that better promote the objects of the BSA.</w:t>
      </w:r>
    </w:p>
    <w:p w14:paraId="64A7ECD4" w14:textId="73155CDD" w:rsidR="00DB4616" w:rsidRDefault="00DB4616" w:rsidP="00DB4616">
      <w:pPr>
        <w:pStyle w:val="Heading3"/>
      </w:pPr>
      <w:r>
        <w:t>Stage 2—</w:t>
      </w:r>
      <w:r w:rsidR="00F1400A">
        <w:t>c</w:t>
      </w:r>
      <w:r>
        <w:t>onsideration of the annual work program.</w:t>
      </w:r>
    </w:p>
    <w:p w14:paraId="2F305221" w14:textId="5FD16ABD" w:rsidR="00DB4616" w:rsidRDefault="00DB4616" w:rsidP="00DB4616">
      <w:pPr>
        <w:pStyle w:val="Paragraph"/>
      </w:pPr>
      <w:r>
        <w:t>Requests for priority activities that pass Stage 1 will be included in an annual broadcast spectrum planning work program. We will consult on that program each year through our five-year spectrum outlook. Priority requests that cannot be accommodated in one year would likely be included in the next year’s program. The annual work program will also contain our own initiatives such as technical studies and replanning proposals.</w:t>
      </w:r>
    </w:p>
    <w:p w14:paraId="78DB9EBE" w14:textId="7FF8B696" w:rsidR="00DB4616" w:rsidRDefault="00DB4616" w:rsidP="00DB4616">
      <w:pPr>
        <w:pStyle w:val="Paragraph"/>
      </w:pPr>
      <w:r>
        <w:t>Some priority activities may be programmed in accordance with industry consultation. This will inform the order in which the LAPs are scheduled in the work program.</w:t>
      </w:r>
    </w:p>
    <w:p w14:paraId="1C65C959" w14:textId="18368CE3" w:rsidR="00DB4616" w:rsidRDefault="00DB4616" w:rsidP="00DB4616">
      <w:pPr>
        <w:pStyle w:val="Paragraphbeforelist"/>
      </w:pPr>
      <w:r>
        <w:t>For requests that require a LAP variation to fulfil, we generally take the following approach to ordering our work program for the year:</w:t>
      </w:r>
    </w:p>
    <w:p w14:paraId="07EA2B95" w14:textId="2AF7660D" w:rsidR="00DB4616" w:rsidRDefault="00DB4616" w:rsidP="00DB4616">
      <w:pPr>
        <w:pStyle w:val="Bulletlevel1"/>
      </w:pPr>
      <w:r>
        <w:t>the ACMA will make a judgment about where its ‘own-motion’ planning activities should be ranked in the annual work program</w:t>
      </w:r>
    </w:p>
    <w:p w14:paraId="3D96BB36" w14:textId="24CE215F" w:rsidR="00DB4616" w:rsidRDefault="00DB4616" w:rsidP="00DB4616">
      <w:pPr>
        <w:pStyle w:val="Bulletlevel1"/>
      </w:pPr>
      <w:r>
        <w:t>priority requests (by kind) will be ranked in the order they were made</w:t>
      </w:r>
    </w:p>
    <w:p w14:paraId="5A98D66A" w14:textId="4FA966EE" w:rsidR="00DB4616" w:rsidRDefault="00DB4616" w:rsidP="00DB4616">
      <w:pPr>
        <w:pStyle w:val="Bulletlevel1"/>
      </w:pPr>
      <w:r>
        <w:t>planning requests will be prioritised on a geographic basis by LAP. For each yearly program, we will decide how priority areas are ranked relative to each other</w:t>
      </w:r>
    </w:p>
    <w:p w14:paraId="5D02BC63" w14:textId="40EFB6E9" w:rsidR="00DB4616" w:rsidRDefault="00DB4616" w:rsidP="00DB4616">
      <w:pPr>
        <w:pStyle w:val="Bulletlevel1last"/>
      </w:pPr>
      <w:r>
        <w:t>all outstanding requests (</w:t>
      </w:r>
      <w:proofErr w:type="gramStart"/>
      <w:r>
        <w:t>whether or not</w:t>
      </w:r>
      <w:proofErr w:type="gramEnd"/>
      <w:r>
        <w:t xml:space="preserve"> a priority) that relate to that LAP (and if relevant, LAPs that plan adjacent or overlapping licence areas) will undergo a detailed contemporaneous assessment. This allows us to consider priority LAP proposals holistically.</w:t>
      </w:r>
    </w:p>
    <w:p w14:paraId="4D020AB7" w14:textId="77777777" w:rsidR="00DB4616" w:rsidRDefault="00DB4616" w:rsidP="00EC5225">
      <w:pPr>
        <w:pStyle w:val="Heading3"/>
      </w:pPr>
      <w:r>
        <w:t>Stage 3—detailed assessment</w:t>
      </w:r>
    </w:p>
    <w:p w14:paraId="758D953C" w14:textId="6261E5C5" w:rsidR="00D54FB8" w:rsidRPr="00D83ED6" w:rsidRDefault="00DB4616" w:rsidP="00DB4616">
      <w:pPr>
        <w:pStyle w:val="Paragraph"/>
      </w:pPr>
      <w:r>
        <w:t xml:space="preserve">In the detailed assessment phase, we consider all known requests and ACMA ‘own- motion’ initiatives for a </w:t>
      </w:r>
      <w:proofErr w:type="gramStart"/>
      <w:r>
        <w:t>particular LAP</w:t>
      </w:r>
      <w:proofErr w:type="gramEnd"/>
      <w:r>
        <w:t>. This allows us to make informed decisions where there is contention between priority requests (or prospective future requests) for available spectrum.</w:t>
      </w:r>
    </w:p>
    <w:p w14:paraId="208F16F4" w14:textId="19386F2F" w:rsidR="00EC5225" w:rsidRDefault="00EC5225" w:rsidP="00EC5225">
      <w:pPr>
        <w:pStyle w:val="Paragraph"/>
      </w:pPr>
      <w:r>
        <w:lastRenderedPageBreak/>
        <w:t>Although priority planning activities would generally proceed ahead of non-prioritised activities, this may not always be the case. In some cases, a lower priority request might better promote the objects of the BSA than a request in a higher-priority class because it is a more economic and efficient use of spectrum in the specific circumstances.</w:t>
      </w:r>
    </w:p>
    <w:p w14:paraId="69774CA3" w14:textId="250E1E97" w:rsidR="00EC5225" w:rsidRDefault="00EC5225" w:rsidP="00EC5225">
      <w:pPr>
        <w:pStyle w:val="Paragraph"/>
      </w:pPr>
      <w:r>
        <w:t xml:space="preserve">The detailed engineering assessment or ‘planning’ is conducted in accordance with our engineering guidance set out on the ACMA’s </w:t>
      </w:r>
      <w:hyperlink r:id="rId31">
        <w:r w:rsidRPr="0060424E">
          <w:rPr>
            <w:color w:val="0000FF"/>
            <w:u w:val="single" w:color="0000FF"/>
          </w:rPr>
          <w:t xml:space="preserve">broadcast planning resources </w:t>
        </w:r>
      </w:hyperlink>
      <w:r>
        <w:t>web page.</w:t>
      </w:r>
    </w:p>
    <w:p w14:paraId="19FAF2F2" w14:textId="64B2ABD1" w:rsidR="00EC5225" w:rsidRDefault="00EC5225" w:rsidP="00EC5225">
      <w:pPr>
        <w:pStyle w:val="Paragraph"/>
      </w:pPr>
      <w:r>
        <w:t>This detailed assessment stage may require engineering analysis to identify available spectrum and/or to predict coverage for new or changed services and the extent of interference.</w:t>
      </w:r>
    </w:p>
    <w:p w14:paraId="79D70446" w14:textId="35765F72" w:rsidR="00EC5225" w:rsidRDefault="00EC5225" w:rsidP="00EC5225">
      <w:pPr>
        <w:pStyle w:val="Paragraph"/>
      </w:pPr>
      <w:r>
        <w:t>When the detailed assessment is complete, we will make recommendations on each request to proceed or not proceed to make a LAP variation proposal.</w:t>
      </w:r>
    </w:p>
    <w:p w14:paraId="48CBDAB4" w14:textId="7FC79A28" w:rsidR="00EC5225" w:rsidRDefault="00EC5225" w:rsidP="00EC5225">
      <w:pPr>
        <w:pStyle w:val="Heading3"/>
      </w:pPr>
      <w:r>
        <w:t>Stage 4—</w:t>
      </w:r>
      <w:r w:rsidR="00F1400A">
        <w:t>l</w:t>
      </w:r>
      <w:r>
        <w:t>egislative instrument process</w:t>
      </w:r>
    </w:p>
    <w:p w14:paraId="31102C66" w14:textId="1DE4668F" w:rsidR="00EC5225" w:rsidRDefault="00EC5225" w:rsidP="00EC5225">
      <w:pPr>
        <w:pStyle w:val="Paragraph"/>
      </w:pPr>
      <w:r>
        <w:t xml:space="preserve">Where the request involves a variation to a LAP or making or varying a digital radio channel plan, they are then considered by the Authority. The ACMA must comply with section 17 of the </w:t>
      </w:r>
      <w:r>
        <w:rPr>
          <w:i/>
        </w:rPr>
        <w:t xml:space="preserve">Legislation Act 2003, </w:t>
      </w:r>
      <w:r>
        <w:t>which relates to consultation on proposals to make or vary a legislative instrument. If the Authority agrees to release a consultation paper, we generally allow a minimum of 28 days for submissions.</w:t>
      </w:r>
    </w:p>
    <w:p w14:paraId="6957A33E" w14:textId="29B84965" w:rsidR="00EC5225" w:rsidRDefault="00EC5225" w:rsidP="00EC5225">
      <w:pPr>
        <w:pStyle w:val="Paragraph"/>
      </w:pPr>
      <w:r>
        <w:t>After consideration of submissions, the ACMA will make a final decision about whether to vary the LAP.</w:t>
      </w:r>
    </w:p>
    <w:p w14:paraId="46D3D4B5" w14:textId="5E3F3EA2" w:rsidR="00EC5225" w:rsidRDefault="00EC5225" w:rsidP="00EC5225">
      <w:pPr>
        <w:pStyle w:val="Paragraph"/>
      </w:pPr>
      <w:r>
        <w:t>In some cases where the ACMA needs further information before it can decide on a preferred option, it may adopt a two-part process; first consulting on an options paper and considering submissions, then consulting again on a specific LAP variation proposal.</w:t>
      </w:r>
    </w:p>
    <w:p w14:paraId="15856A19" w14:textId="3B52C004" w:rsidR="00EC5225" w:rsidRDefault="00EC5225" w:rsidP="00EC5225">
      <w:pPr>
        <w:pStyle w:val="Paragraph"/>
      </w:pPr>
      <w:r>
        <w:t>A LAP variation is a legislative instrument that usually takes effect the day after it is registered on the Federal Register of Legislation (FRL), unless specified otherwise in the instrument. The LAP variation is accompanied by an explanatory statement that assists the reader to interpret the changes made to the LAP.</w:t>
      </w:r>
    </w:p>
    <w:p w14:paraId="3A43FD1A" w14:textId="2771EB7E" w:rsidR="00EC5225" w:rsidRDefault="00EC5225" w:rsidP="00EC5225">
      <w:pPr>
        <w:pStyle w:val="Heading3"/>
      </w:pPr>
      <w:r>
        <w:t>Stage 5—</w:t>
      </w:r>
      <w:r w:rsidR="00F1400A">
        <w:t>l</w:t>
      </w:r>
      <w:r>
        <w:t>icensing stage</w:t>
      </w:r>
    </w:p>
    <w:p w14:paraId="1DC94BB0" w14:textId="3DE30323" w:rsidR="00EC5225" w:rsidRPr="00EC5225" w:rsidRDefault="00EC5225" w:rsidP="00EC5225">
      <w:pPr>
        <w:pStyle w:val="Paragraph"/>
        <w:rPr>
          <w:sz w:val="13"/>
        </w:rPr>
      </w:pPr>
      <w:r>
        <w:t>Broadcasters that have requested changes to their existing service, including additional transmitters and AM to FM conversion, may apply immediately after the LAP instrument is registered on the FRL for a new or varied transmitter</w:t>
      </w:r>
      <w:r>
        <w:rPr>
          <w:spacing w:val="-12"/>
        </w:rPr>
        <w:t xml:space="preserve"> </w:t>
      </w:r>
      <w:r>
        <w:t>licence.</w:t>
      </w:r>
      <w:r>
        <w:rPr>
          <w:rStyle w:val="FootnoteReference"/>
        </w:rPr>
        <w:footnoteReference w:id="94"/>
      </w:r>
    </w:p>
    <w:p w14:paraId="4E697182" w14:textId="77777777" w:rsidR="00EC5225" w:rsidRDefault="00EC5225" w:rsidP="00EC5225">
      <w:pPr>
        <w:pStyle w:val="Paragraph"/>
      </w:pPr>
      <w:r>
        <w:t xml:space="preserve">Where a new commercial radio broadcasting service has been planned in the BSB, a price-based allocation process will be required to allocate the commercial radio broadcasting licence under the BSA. Where a new long-term community radio broadcasting licence is planned in the LAP, we conduct a merit-based allocation process for the BSA community licence. Applications for commercial and community radio broadcasting licences cannot be made </w:t>
      </w:r>
      <w:r w:rsidRPr="00EC5225">
        <w:t>until</w:t>
      </w:r>
      <w:r>
        <w:t xml:space="preserve"> the ACMA calls for them.</w:t>
      </w:r>
    </w:p>
    <w:p w14:paraId="0919EF80" w14:textId="05A57185" w:rsidR="00EC5225" w:rsidRPr="00EC5225" w:rsidRDefault="00EC5225" w:rsidP="00EC5225">
      <w:pPr>
        <w:pStyle w:val="Paragraph"/>
      </w:pPr>
      <w:r>
        <w:lastRenderedPageBreak/>
        <w:t>For newly planned high-power open narrowcasting services operating under a BSA class licence, we need to take an additional step of determining spectrum under section 34 of the BSA. We allocate the transmitter licence by a price-based allocation.</w:t>
      </w:r>
    </w:p>
    <w:p w14:paraId="4305B3A1" w14:textId="77777777" w:rsidR="00EC5225" w:rsidRDefault="00EC5225" w:rsidP="00EC5225">
      <w:pPr>
        <w:pStyle w:val="Heading2"/>
      </w:pPr>
      <w:bookmarkStart w:id="39" w:name="_bookmark4"/>
      <w:bookmarkStart w:id="40" w:name="_Toc35846806"/>
      <w:bookmarkEnd w:id="39"/>
      <w:r>
        <w:t>Background</w:t>
      </w:r>
      <w:bookmarkEnd w:id="40"/>
    </w:p>
    <w:p w14:paraId="537EC521" w14:textId="668E8AD1" w:rsidR="00EC5225" w:rsidRPr="00EC5225" w:rsidRDefault="00EC5225" w:rsidP="00EC5225">
      <w:pPr>
        <w:pStyle w:val="Heading3"/>
      </w:pPr>
      <w:r>
        <w:t>What is broadcast spectrum planning?</w:t>
      </w:r>
    </w:p>
    <w:p w14:paraId="415D70D5" w14:textId="77777777" w:rsidR="00EC5225" w:rsidRPr="00EC5225" w:rsidRDefault="00EC5225" w:rsidP="00EC5225">
      <w:pPr>
        <w:pStyle w:val="Heading4"/>
      </w:pPr>
      <w:r w:rsidRPr="00EC5225">
        <w:t>The broadcasting services bands</w:t>
      </w:r>
    </w:p>
    <w:p w14:paraId="38BE8029" w14:textId="4906819F" w:rsidR="00EC5225" w:rsidRDefault="00EC5225" w:rsidP="00EC5225">
      <w:pPr>
        <w:pStyle w:val="Paragraph"/>
        <w:rPr>
          <w:sz w:val="13"/>
        </w:rPr>
      </w:pPr>
      <w:r>
        <w:t xml:space="preserve">Broadcast spectrum, in a legislative sense, means the broadcasting services bands (BSB). These are what are commonly called the AM radio, FM radio, and the VHF and UHF TV bands. DAB+ digital radio uses channels in the VHF TV band. The BSB are determined by the Minister. The determination has the effect that these bands must be ‘planned’ by the ACMA in accordance with the specific broadcast spectrum planning provisions of Part 3 of the BSA, rather than the more general spectrum and market efficiency principles of the </w:t>
      </w:r>
      <w:r>
        <w:rPr>
          <w:i/>
        </w:rPr>
        <w:t>Radiocommunications Act 1992</w:t>
      </w:r>
      <w:r>
        <w:t>.</w:t>
      </w:r>
      <w:r>
        <w:rPr>
          <w:rStyle w:val="FootnoteReference"/>
        </w:rPr>
        <w:footnoteReference w:id="95"/>
      </w:r>
    </w:p>
    <w:p w14:paraId="70D951E0" w14:textId="5863F718" w:rsidR="00EC5225" w:rsidRDefault="00EC5225" w:rsidP="00EC5225">
      <w:pPr>
        <w:pStyle w:val="Paragraph"/>
      </w:pPr>
      <w:r>
        <w:t>The main difference is that in addition to considerations about effective and efficient use of spectrum</w:t>
      </w:r>
      <w:r>
        <w:rPr>
          <w:rStyle w:val="FootnoteReference"/>
        </w:rPr>
        <w:footnoteReference w:id="96"/>
      </w:r>
      <w:r w:rsidR="00F1400A">
        <w:t>,</w:t>
      </w:r>
      <w:r>
        <w:rPr>
          <w:position w:val="6"/>
          <w:sz w:val="13"/>
        </w:rPr>
        <w:t xml:space="preserve"> </w:t>
      </w:r>
      <w:r>
        <w:t xml:space="preserve">broadcast spectrum planning must consider the relevant technological and socio-economic objectives that underpin the BSA. These are described in </w:t>
      </w:r>
      <w:r>
        <w:rPr>
          <w:color w:val="0000FF"/>
          <w:u w:val="single" w:color="0000FF"/>
        </w:rPr>
        <w:t>in the section on statutory planning requirements.</w:t>
      </w:r>
    </w:p>
    <w:p w14:paraId="5FB93D3C" w14:textId="77777777" w:rsidR="00EC5225" w:rsidRPr="00EC5225" w:rsidRDefault="00EC5225" w:rsidP="00EC5225">
      <w:pPr>
        <w:pStyle w:val="Heading4"/>
      </w:pPr>
      <w:r w:rsidRPr="00EC5225">
        <w:t>Planning</w:t>
      </w:r>
    </w:p>
    <w:p w14:paraId="1F2A4B5C" w14:textId="05705197" w:rsidR="00EC5225" w:rsidRDefault="00EC5225" w:rsidP="00EC5225">
      <w:pPr>
        <w:pStyle w:val="Paragraph"/>
      </w:pPr>
      <w:r>
        <w:t>In the BSA context there are two stages—planning and allocation—that are required to enable a new broadcasting service to operate in the BSB. Planning is also required to make most changes to existing broadcasting services.</w:t>
      </w:r>
    </w:p>
    <w:p w14:paraId="3499D958" w14:textId="006F52A7" w:rsidR="00EC5225" w:rsidRDefault="00EC5225" w:rsidP="00EC5225">
      <w:pPr>
        <w:pStyle w:val="Paragraphbeforelist"/>
      </w:pPr>
      <w:r>
        <w:t>Under section 26 of the BSA, the ACMA must prepare legislative instruments for areas of Australia called licence area plans (LAPs), which set out the</w:t>
      </w:r>
      <w:r>
        <w:rPr>
          <w:rStyle w:val="FootnoteReference"/>
        </w:rPr>
        <w:footnoteReference w:id="97"/>
      </w:r>
      <w:r>
        <w:t>:</w:t>
      </w:r>
    </w:p>
    <w:p w14:paraId="0D33E568" w14:textId="55AE6830" w:rsidR="00EC5225" w:rsidRDefault="00EC5225" w:rsidP="00EC5225">
      <w:pPr>
        <w:pStyle w:val="Bulletlevel1"/>
      </w:pPr>
      <w:r>
        <w:t>geographic definitions of one or more licence areas that will apply to commercial and community services planned in the LAP</w:t>
      </w:r>
    </w:p>
    <w:p w14:paraId="1AF4717E" w14:textId="0CD88F89" w:rsidR="00EC5225" w:rsidRDefault="00EC5225" w:rsidP="00EC5225">
      <w:pPr>
        <w:pStyle w:val="Bulletlevel1"/>
      </w:pPr>
      <w:r>
        <w:t>maximum number of commercial or community radio broadcasting licences that may be allocated for each licence area, and the number of national broadcasting services that may be provided in that area</w:t>
      </w:r>
    </w:p>
    <w:p w14:paraId="2EB2B6C8" w14:textId="0EF02844" w:rsidR="00EC5225" w:rsidRDefault="00EC5225" w:rsidP="00EC5225">
      <w:pPr>
        <w:pStyle w:val="Bulletlevel1"/>
      </w:pPr>
      <w:r>
        <w:t>technical specifications (including frequency and power) for every transmitter of each service planned and for each national broadcasting transmitter</w:t>
      </w:r>
    </w:p>
    <w:p w14:paraId="36FC872B" w14:textId="0E0B4803" w:rsidR="00EC5225" w:rsidRPr="00EC5225" w:rsidRDefault="00EC5225" w:rsidP="00EC5225">
      <w:pPr>
        <w:pStyle w:val="Bulletlevel1last"/>
        <w:rPr>
          <w:sz w:val="13"/>
        </w:rPr>
      </w:pPr>
      <w:r>
        <w:t>technical specifications for high</w:t>
      </w:r>
      <w:r w:rsidR="00F139EA">
        <w:t>-</w:t>
      </w:r>
      <w:r>
        <w:t>power open narrowcasting services (HPONs).</w:t>
      </w:r>
      <w:r>
        <w:rPr>
          <w:rStyle w:val="FootnoteReference"/>
        </w:rPr>
        <w:footnoteReference w:id="98"/>
      </w:r>
    </w:p>
    <w:p w14:paraId="10DA3E69" w14:textId="61D64AF8" w:rsidR="00EC5225" w:rsidRDefault="00EC5225" w:rsidP="00EC5225">
      <w:pPr>
        <w:pStyle w:val="Paragraph"/>
      </w:pPr>
      <w:r>
        <w:t>The ACMA may also, by written instrument, make spectrum available outside of the LAP process (including for low</w:t>
      </w:r>
      <w:r w:rsidR="00996792">
        <w:t>-</w:t>
      </w:r>
      <w:r>
        <w:t>power open narrowcasting, temporary community broadcasting, scientific trials, and retransmissions) in accordance with section 34 of the BSA.</w:t>
      </w:r>
    </w:p>
    <w:p w14:paraId="40D62EA6" w14:textId="25146EF9" w:rsidR="00EC5225" w:rsidRDefault="00EC5225" w:rsidP="00EC5225">
      <w:pPr>
        <w:pStyle w:val="Paragraph"/>
      </w:pPr>
      <w:r>
        <w:lastRenderedPageBreak/>
        <w:t>More broadly, planning includes making digital radio channel plans under the Radiocommunications Act.</w:t>
      </w:r>
    </w:p>
    <w:p w14:paraId="73C87742" w14:textId="77777777" w:rsidR="00EC5225" w:rsidRDefault="00EC5225" w:rsidP="00EC5225">
      <w:pPr>
        <w:pStyle w:val="Heading4"/>
        <w:spacing w:before="1"/>
      </w:pPr>
      <w:r>
        <w:t>Service licence allocation</w:t>
      </w:r>
    </w:p>
    <w:p w14:paraId="09BC369E" w14:textId="72020418" w:rsidR="00EC5225" w:rsidRDefault="00EC5225" w:rsidP="00EC5225">
      <w:pPr>
        <w:pStyle w:val="Paragraph"/>
      </w:pPr>
      <w:r>
        <w:t>Once a commercial or community radio broadcasting service is planned in a LAP, the ACMA may proceed to a second stage and allocate a service or content licence under the BSA. These stages are separated by legislation—the likely successful applicant for a licence, even if it could be identified, is not a consideration in the planning stage, except to the extent that it might indicate there is demand and viability for a new service.</w:t>
      </w:r>
    </w:p>
    <w:p w14:paraId="3F2FF5B9" w14:textId="4D4DDA57" w:rsidR="00EC5225" w:rsidRDefault="00EC5225" w:rsidP="00EC5225">
      <w:pPr>
        <w:pStyle w:val="Paragraph"/>
      </w:pPr>
      <w:r>
        <w:t>Community radio broadcasting licences are allocated under the BSA by merit selection, while commercial radio broadcasting licences must generally be allocated under the BSA by a price-based process. Open narrowcasting radio services operate under a class licence made under the BSA, and the national broadcasters are authorised by their governing legislation.</w:t>
      </w:r>
    </w:p>
    <w:p w14:paraId="2DF28177" w14:textId="77777777" w:rsidR="00EC5225" w:rsidRDefault="00EC5225" w:rsidP="00EC5225">
      <w:pPr>
        <w:pStyle w:val="Heading4"/>
      </w:pPr>
      <w:r>
        <w:t>Transmitter licensing</w:t>
      </w:r>
    </w:p>
    <w:p w14:paraId="5D551169" w14:textId="75FCAF5B" w:rsidR="00EC5225" w:rsidRDefault="00EC5225" w:rsidP="00EC5225">
      <w:pPr>
        <w:pStyle w:val="Paragraph"/>
      </w:pPr>
      <w:r>
        <w:t>Once the ACMA issues a broadcasting service licence (that is, a commercial or community radio broadcasting licence), it must issue a transmitter licence under the Radiocommunications Act that reflects the technical specifications in the LAP.</w:t>
      </w:r>
      <w:r w:rsidR="003A1A5E">
        <w:rPr>
          <w:rStyle w:val="FootnoteReference"/>
        </w:rPr>
        <w:footnoteReference w:id="99"/>
      </w:r>
      <w:r>
        <w:rPr>
          <w:position w:val="6"/>
          <w:sz w:val="13"/>
        </w:rPr>
        <w:t xml:space="preserve"> </w:t>
      </w:r>
      <w:r>
        <w:t>National broadcasters are issued with transmitter licence upon application. Transmitter licences for open narrowcasting radio services are generally allocated by price-based means.</w:t>
      </w:r>
    </w:p>
    <w:p w14:paraId="789F5CFB" w14:textId="526402F4" w:rsidR="00EC5225" w:rsidRDefault="00EC5225" w:rsidP="00EC5225">
      <w:pPr>
        <w:pStyle w:val="Paragraph"/>
      </w:pPr>
      <w:r>
        <w:t>While service and transmitter licensing are not planning-phase activities, they are necessary for the objective of the planning activity to be realised. Therefore, it is appropriate to consider the resources required for licensing when considering the prioritising of broadcast planning resources.</w:t>
      </w:r>
    </w:p>
    <w:p w14:paraId="14BF0352" w14:textId="77777777" w:rsidR="00EC5225" w:rsidRDefault="00EC5225" w:rsidP="00EC5225">
      <w:pPr>
        <w:pStyle w:val="Heading3"/>
      </w:pPr>
      <w:r>
        <w:t>Broadcast spectrum planning activities</w:t>
      </w:r>
    </w:p>
    <w:p w14:paraId="7EEF1742" w14:textId="77777777" w:rsidR="00EC5225" w:rsidRDefault="00EC5225" w:rsidP="00EC5225">
      <w:pPr>
        <w:pStyle w:val="Paragraphbeforelist"/>
      </w:pPr>
      <w:r>
        <w:t>Our broadcast spectrum planning activities include LAP planning for:</w:t>
      </w:r>
    </w:p>
    <w:p w14:paraId="355C4134" w14:textId="032D7599" w:rsidR="00EC5225" w:rsidRDefault="00EC5225" w:rsidP="00EC5225">
      <w:pPr>
        <w:pStyle w:val="Bulletlevel1"/>
      </w:pPr>
      <w:r>
        <w:t>new broadcasting services:</w:t>
      </w:r>
    </w:p>
    <w:p w14:paraId="2F3E360B" w14:textId="1BF8141B" w:rsidR="00EC5225" w:rsidRDefault="00EC5225" w:rsidP="00EC5225">
      <w:pPr>
        <w:pStyle w:val="Bulletlevel2"/>
      </w:pPr>
      <w:r>
        <w:t>commercial</w:t>
      </w:r>
    </w:p>
    <w:p w14:paraId="00AC08C9" w14:textId="02AF5973" w:rsidR="00EC5225" w:rsidRDefault="00EC5225" w:rsidP="00EC5225">
      <w:pPr>
        <w:pStyle w:val="Bulletlevel2"/>
      </w:pPr>
      <w:r>
        <w:t>community</w:t>
      </w:r>
    </w:p>
    <w:p w14:paraId="62D9B0C1" w14:textId="5BDB39EB" w:rsidR="00EC5225" w:rsidRDefault="00EC5225" w:rsidP="00EC5225">
      <w:pPr>
        <w:pStyle w:val="Bulletlevel2"/>
      </w:pPr>
      <w:r>
        <w:t>open narrowcasting services in</w:t>
      </w:r>
      <w:r>
        <w:rPr>
          <w:spacing w:val="-15"/>
        </w:rPr>
        <w:t xml:space="preserve"> </w:t>
      </w:r>
      <w:r>
        <w:t>LAPs</w:t>
      </w:r>
    </w:p>
    <w:p w14:paraId="545EBC9F" w14:textId="65D6F19F" w:rsidR="00EC5225" w:rsidRDefault="00EC5225" w:rsidP="00EC5225">
      <w:pPr>
        <w:pStyle w:val="Bulletlevel1"/>
      </w:pPr>
      <w:r>
        <w:t>improving the coverage of existing services:</w:t>
      </w:r>
    </w:p>
    <w:p w14:paraId="51770344" w14:textId="61756DD8" w:rsidR="00EC5225" w:rsidRDefault="00EC5225" w:rsidP="00EC5225">
      <w:pPr>
        <w:pStyle w:val="Bulletlevel2"/>
      </w:pPr>
      <w:r>
        <w:t>commercial</w:t>
      </w:r>
    </w:p>
    <w:p w14:paraId="5DC529EF" w14:textId="3C2DF91B" w:rsidR="00EC5225" w:rsidRDefault="00EC5225" w:rsidP="00EC5225">
      <w:pPr>
        <w:pStyle w:val="Bulletlevel2"/>
      </w:pPr>
      <w:r>
        <w:t>community</w:t>
      </w:r>
    </w:p>
    <w:p w14:paraId="6FE694AE" w14:textId="229B6304" w:rsidR="00EC5225" w:rsidRDefault="00EC5225" w:rsidP="00EC5225">
      <w:pPr>
        <w:pStyle w:val="Bulletlevel2"/>
        <w:rPr>
          <w:sz w:val="13"/>
        </w:rPr>
      </w:pPr>
      <w:r>
        <w:t>national</w:t>
      </w:r>
      <w:r w:rsidR="003A1A5E">
        <w:rPr>
          <w:rStyle w:val="FootnoteReference"/>
        </w:rPr>
        <w:footnoteReference w:id="100"/>
      </w:r>
    </w:p>
    <w:p w14:paraId="7BE2D5C3" w14:textId="04456AFE" w:rsidR="00EC5225" w:rsidRDefault="00EC5225" w:rsidP="00EC5225">
      <w:pPr>
        <w:pStyle w:val="Bulletlevel1"/>
      </w:pPr>
      <w:r>
        <w:t>AM to FM conversions or simulcasts for:</w:t>
      </w:r>
    </w:p>
    <w:p w14:paraId="482F9219" w14:textId="378AAEB0" w:rsidR="00EC5225" w:rsidRDefault="00EC5225" w:rsidP="00EC5225">
      <w:pPr>
        <w:pStyle w:val="Bulletlevel2"/>
      </w:pPr>
      <w:r>
        <w:t>commercial</w:t>
      </w:r>
    </w:p>
    <w:p w14:paraId="6404B773" w14:textId="377422C9" w:rsidR="00EC5225" w:rsidRDefault="00EC5225" w:rsidP="00EC5225">
      <w:pPr>
        <w:pStyle w:val="Bulletlevel2"/>
      </w:pPr>
      <w:r>
        <w:t>community</w:t>
      </w:r>
    </w:p>
    <w:p w14:paraId="43FE9DCB" w14:textId="1F226574" w:rsidR="003A1A5E" w:rsidRDefault="003A1A5E" w:rsidP="003A1A5E">
      <w:pPr>
        <w:pStyle w:val="Bulletlevel2last"/>
      </w:pPr>
      <w:r>
        <w:lastRenderedPageBreak/>
        <w:t>national.</w:t>
      </w:r>
    </w:p>
    <w:p w14:paraId="19F849A4" w14:textId="77777777" w:rsidR="003A1A5E" w:rsidRDefault="003A1A5E" w:rsidP="003A1A5E">
      <w:pPr>
        <w:pStyle w:val="Paragraphbeforelist"/>
      </w:pPr>
      <w:r>
        <w:t>In addition to LAPs, broadcast spectrum planning activities also include:</w:t>
      </w:r>
    </w:p>
    <w:p w14:paraId="652DEAB3" w14:textId="6235D43A" w:rsidR="003A1A5E" w:rsidRDefault="003A1A5E" w:rsidP="003A1A5E">
      <w:pPr>
        <w:pStyle w:val="Bulletlevel1"/>
      </w:pPr>
      <w:r>
        <w:t>making digital radio channel plans and planning the technical specifications for digital radio multiplex transmitters</w:t>
      </w:r>
    </w:p>
    <w:p w14:paraId="2D91B1DD" w14:textId="44FCFA91" w:rsidR="003A1A5E" w:rsidRDefault="003A1A5E" w:rsidP="003A1A5E">
      <w:pPr>
        <w:pStyle w:val="Bulletlevel1"/>
      </w:pPr>
      <w:r>
        <w:t>determining spectrum for temporary community broadcasting services</w:t>
      </w:r>
    </w:p>
    <w:p w14:paraId="49614726" w14:textId="2B682336" w:rsidR="003A1A5E" w:rsidRDefault="003A1A5E" w:rsidP="003A1A5E">
      <w:pPr>
        <w:pStyle w:val="Bulletlevel1"/>
      </w:pPr>
      <w:r>
        <w:t>determining spectrum and licensing trials of new broadcasting technology</w:t>
      </w:r>
    </w:p>
    <w:p w14:paraId="33F34ACE" w14:textId="6DD292B7" w:rsidR="003A1A5E" w:rsidRDefault="003A1A5E" w:rsidP="003A1A5E">
      <w:pPr>
        <w:pStyle w:val="Bulletlevel1"/>
      </w:pPr>
      <w:r>
        <w:t>determining spectrum for third-party retransmissions of broadcasting services</w:t>
      </w:r>
    </w:p>
    <w:p w14:paraId="15810AB4" w14:textId="7F9344D1" w:rsidR="003A1A5E" w:rsidRDefault="003A1A5E" w:rsidP="00F139EA">
      <w:pPr>
        <w:pStyle w:val="Bulletlevel1last"/>
      </w:pPr>
      <w:r w:rsidRPr="00F139EA">
        <w:t>determining</w:t>
      </w:r>
      <w:r>
        <w:t xml:space="preserve"> spectrum for temporary special event open narrowcasting radio services.</w:t>
      </w:r>
    </w:p>
    <w:p w14:paraId="79B5821A" w14:textId="2BB74D29" w:rsidR="003A1A5E" w:rsidRDefault="003A1A5E" w:rsidP="003A1A5E">
      <w:pPr>
        <w:pStyle w:val="Paragraph"/>
      </w:pPr>
      <w:r>
        <w:t>Apart from the last four activities, these activities are the result of requests that we receive to vary a LAP or make a digital radio channel plan. Some activities are ACMA- initiated. In addition to these statutory activities, we conduct studies and research on changes in technology and about new ways of planning the broadcasting services bands to ensure spectrum is used in an economic and efficient manner.</w:t>
      </w:r>
    </w:p>
    <w:p w14:paraId="7DE6F5F3" w14:textId="3217D9C3" w:rsidR="003A1A5E" w:rsidRPr="003A1A5E" w:rsidRDefault="003A1A5E" w:rsidP="003A1A5E">
      <w:pPr>
        <w:pStyle w:val="Heading3"/>
      </w:pPr>
      <w:r>
        <w:t>BSA regulated categories of service</w:t>
      </w:r>
    </w:p>
    <w:p w14:paraId="20767A18" w14:textId="77777777" w:rsidR="003A1A5E" w:rsidRDefault="003A1A5E" w:rsidP="003A1A5E">
      <w:pPr>
        <w:pStyle w:val="Heading4"/>
      </w:pPr>
      <w:r>
        <w:t>Commercial radio broadcasting</w:t>
      </w:r>
    </w:p>
    <w:p w14:paraId="579627DE" w14:textId="5809ECB3" w:rsidR="003A1A5E" w:rsidRDefault="003A1A5E" w:rsidP="003A1A5E">
      <w:pPr>
        <w:pStyle w:val="Paragraph"/>
      </w:pPr>
      <w:r>
        <w:t>Commercial radio broadcasting services require BSA licences (content licences) that are allocated by a price-based allocation process. The last process was in 2004.</w:t>
      </w:r>
    </w:p>
    <w:p w14:paraId="0E42F838" w14:textId="1BF202C7" w:rsidR="003A1A5E" w:rsidRDefault="003A1A5E" w:rsidP="003A1A5E">
      <w:pPr>
        <w:pStyle w:val="Paragraph"/>
      </w:pPr>
      <w:r>
        <w:t>The commercial radio sector comprises an extensive infrastructure base of AM and FM transmitters servicing metropolitan, regional and remote communities via high power and low power transmitters.</w:t>
      </w:r>
      <w:r w:rsidR="00BA4486">
        <w:rPr>
          <w:rStyle w:val="FootnoteReference"/>
        </w:rPr>
        <w:footnoteReference w:id="101"/>
      </w:r>
      <w:r>
        <w:rPr>
          <w:position w:val="6"/>
          <w:sz w:val="13"/>
        </w:rPr>
        <w:t xml:space="preserve"> </w:t>
      </w:r>
      <w:r>
        <w:t>Commercial digital radio is also delivered via a network of shared DAB+ digital radio multiplex transmitters in each capital city.</w:t>
      </w:r>
    </w:p>
    <w:p w14:paraId="41D1FB98" w14:textId="5168F523" w:rsidR="003A1A5E" w:rsidRPr="003A1A5E" w:rsidRDefault="003A1A5E" w:rsidP="003A1A5E">
      <w:pPr>
        <w:pStyle w:val="Paragraph"/>
        <w:rPr>
          <w:sz w:val="13"/>
        </w:rPr>
      </w:pPr>
      <w:r>
        <w:t>From a ratings perspective, commercial radio dominates the radio sector in both AM and FM radio markets.</w:t>
      </w:r>
      <w:r w:rsidR="00BA4486">
        <w:rPr>
          <w:rStyle w:val="FootnoteReference"/>
        </w:rPr>
        <w:footnoteReference w:id="102"/>
      </w:r>
      <w:r>
        <w:rPr>
          <w:position w:val="6"/>
          <w:sz w:val="13"/>
        </w:rPr>
        <w:t xml:space="preserve"> </w:t>
      </w:r>
      <w:r>
        <w:t xml:space="preserve">In terms of the ownership and control of commercial radio services, in 2017–18, Southern Cross, Australian Radio Network Pty Ltd, Nova Entertainment Pty Ltd and Macquarie Media Limited </w:t>
      </w:r>
      <w:r w:rsidRPr="003A1A5E">
        <w:t>controlled</w:t>
      </w:r>
      <w:r>
        <w:t xml:space="preserve"> most capital city commercial radio broadcasting licences.</w:t>
      </w:r>
      <w:r w:rsidR="00BA4486">
        <w:rPr>
          <w:rStyle w:val="FootnoteReference"/>
        </w:rPr>
        <w:footnoteReference w:id="103"/>
      </w:r>
      <w:r>
        <w:rPr>
          <w:position w:val="6"/>
          <w:sz w:val="13"/>
        </w:rPr>
        <w:t xml:space="preserve"> </w:t>
      </w:r>
      <w:r>
        <w:t>In regional areas, Southern Cross, Grant Broadcasters Pty Ltd and Broadcast Operations Pty Ltd (Super Radio Network) are the three largest networks.</w:t>
      </w:r>
      <w:r w:rsidR="00BA4486">
        <w:rPr>
          <w:rStyle w:val="FootnoteReference"/>
        </w:rPr>
        <w:footnoteReference w:id="104"/>
      </w:r>
    </w:p>
    <w:p w14:paraId="2FADDA8D" w14:textId="77777777" w:rsidR="003A1A5E" w:rsidRDefault="003A1A5E" w:rsidP="003A1A5E">
      <w:pPr>
        <w:pStyle w:val="Heading3"/>
      </w:pPr>
      <w:r>
        <w:t>National broadcasting</w:t>
      </w:r>
    </w:p>
    <w:p w14:paraId="3BA60F04" w14:textId="77777777" w:rsidR="003A1A5E" w:rsidRDefault="003A1A5E" w:rsidP="00BA4486">
      <w:pPr>
        <w:pStyle w:val="Paragraph"/>
      </w:pPr>
      <w:r>
        <w:t xml:space="preserve">The provision of content services by the national broadcasters—ABC and SBS—is authorised under their enabling legislation. The ACMA issues transmitter licences for ABC and SBS transmitters under the </w:t>
      </w:r>
      <w:r w:rsidRPr="00BA4486">
        <w:t>Radiocommunications</w:t>
      </w:r>
      <w:r>
        <w:t xml:space="preserve"> Act.</w:t>
      </w:r>
    </w:p>
    <w:p w14:paraId="725809B0" w14:textId="3D3CDC4F" w:rsidR="00BA4486" w:rsidRDefault="00BA4486" w:rsidP="00BA4486">
      <w:pPr>
        <w:pStyle w:val="Paragraph"/>
      </w:pPr>
      <w:r>
        <w:t>The ABC and SBS operate an extensive high-power network of AM and FM transmitters, which covers metropolitan, regional and remote areas.</w:t>
      </w:r>
      <w:r w:rsidR="00B06DCD">
        <w:rPr>
          <w:rStyle w:val="FootnoteReference"/>
        </w:rPr>
        <w:footnoteReference w:id="105"/>
      </w:r>
      <w:r>
        <w:t xml:space="preserve"> SBS delivers </w:t>
      </w:r>
      <w:r>
        <w:lastRenderedPageBreak/>
        <w:t>most of its regional services via retransmission by third parties such as local councils.</w:t>
      </w:r>
      <w:r w:rsidR="0010222A">
        <w:rPr>
          <w:rStyle w:val="FootnoteReference"/>
        </w:rPr>
        <w:footnoteReference w:id="106"/>
      </w:r>
      <w:r>
        <w:t xml:space="preserve"> The ABC and SBS share DAB+ digital transmitters in all capital cities. ABC and SBS perform strongly in the ratings in both metropolitan and regional areas for their AM and FM services.</w:t>
      </w:r>
      <w:r w:rsidR="0010222A">
        <w:rPr>
          <w:rStyle w:val="FootnoteReference"/>
        </w:rPr>
        <w:footnoteReference w:id="107"/>
      </w:r>
    </w:p>
    <w:p w14:paraId="4AE044CB" w14:textId="631B4546" w:rsidR="00BA4486" w:rsidRDefault="00BA4486" w:rsidP="00BA4486">
      <w:pPr>
        <w:pStyle w:val="Paragraph"/>
      </w:pPr>
      <w:r>
        <w:t>Compared with commercial radio, the national broadcasters’ radio services face different conditions on coverage and often have different coverage areas. While commercial and community services are restricted to their geographic licence areas in a way that national broadcasting services and radio streaming services are not, licence areas assist in delivering relevant local content and services to local communities. As they are restricted only by power, high-powered national AM services may serve much larger areas than commercial radio broadcasting services. The ABC’s highest power regional AM services provide unique and critical wide-area coverage to regional listeners, including listeners in cars outside of populated areas.</w:t>
      </w:r>
    </w:p>
    <w:p w14:paraId="18BC0281" w14:textId="77777777" w:rsidR="00BA4486" w:rsidRDefault="00BA4486" w:rsidP="0010222A">
      <w:pPr>
        <w:pStyle w:val="Heading4"/>
      </w:pPr>
      <w:r>
        <w:t>Community radio broadcasting</w:t>
      </w:r>
    </w:p>
    <w:p w14:paraId="70547AA2" w14:textId="3EB7063F" w:rsidR="00BA4486" w:rsidRDefault="00BA4486" w:rsidP="00BA4486">
      <w:pPr>
        <w:pStyle w:val="Paragraph"/>
      </w:pPr>
      <w:r>
        <w:t>The ACMA allocates long-term community radio broadcasting licences by a merit selection process.</w:t>
      </w:r>
    </w:p>
    <w:p w14:paraId="15BA8926" w14:textId="46239DEF" w:rsidR="00BA4486" w:rsidRDefault="00BA4486" w:rsidP="00BA4486">
      <w:pPr>
        <w:pStyle w:val="Paragraph"/>
      </w:pPr>
      <w:r>
        <w:t>The community radio sector is diverse, providing local, community and niche services mainly via FM to metropolitan and regional audiences</w:t>
      </w:r>
      <w:r w:rsidR="0010222A">
        <w:t>.</w:t>
      </w:r>
      <w:r w:rsidR="0010222A">
        <w:rPr>
          <w:rStyle w:val="FootnoteReference"/>
        </w:rPr>
        <w:footnoteReference w:id="108"/>
      </w:r>
      <w:r>
        <w:t xml:space="preserve"> Indigenous broadcasting transmissions serve remote communities as well as many regional and urban areas.</w:t>
      </w:r>
      <w:r w:rsidR="0010222A">
        <w:rPr>
          <w:rStyle w:val="FootnoteReference"/>
        </w:rPr>
        <w:footnoteReference w:id="109"/>
      </w:r>
      <w:r>
        <w:t xml:space="preserve"> In the capital cities, there are wide-area community services as well as more localised services covering sub-metropolitan regions of each city.</w:t>
      </w:r>
    </w:p>
    <w:p w14:paraId="302C26AF" w14:textId="72638BF2" w:rsidR="00BA4486" w:rsidRDefault="00BA4486" w:rsidP="00BA4486">
      <w:pPr>
        <w:pStyle w:val="Paragraph"/>
      </w:pPr>
      <w:r>
        <w:t>Temporary community broadcasting services licences (TCBLs) are allocated under the BSA following determination of suitable spectrum under section 34 of the BSA.</w:t>
      </w:r>
      <w:r w:rsidR="0010222A">
        <w:rPr>
          <w:rStyle w:val="FootnoteReference"/>
        </w:rPr>
        <w:footnoteReference w:id="110"/>
      </w:r>
      <w:r>
        <w:t xml:space="preserve"> This allows the ACMA to provide spectrum access in the BSB on a temporary basis where the spectrum is not yet needed for commercial, community or national broadcasting.</w:t>
      </w:r>
    </w:p>
    <w:p w14:paraId="6C9AE457" w14:textId="28D4E40A" w:rsidR="003A1A5E" w:rsidRDefault="00BA4486" w:rsidP="00BA4486">
      <w:pPr>
        <w:pStyle w:val="Paragraph"/>
      </w:pPr>
      <w:r>
        <w:t>In general, the ACMA allocates TCBLs where the spectrum has already been planned in a LAP, but a long-term community radio broadcasting licence has not been allocated and there are no competing demands for that spectrum.</w:t>
      </w:r>
    </w:p>
    <w:p w14:paraId="1755378E" w14:textId="4D15D04E" w:rsidR="0010222A" w:rsidRDefault="0010222A" w:rsidP="0010222A">
      <w:pPr>
        <w:pStyle w:val="Figureheading"/>
      </w:pPr>
      <w:r>
        <w:lastRenderedPageBreak/>
        <w:t xml:space="preserve">Percentage of </w:t>
      </w:r>
      <w:r w:rsidR="0068595B">
        <w:t xml:space="preserve">long-term </w:t>
      </w:r>
      <w:r>
        <w:t>community radio broadcasters by community interest</w:t>
      </w:r>
    </w:p>
    <w:p w14:paraId="2D60246F" w14:textId="26AD9C79" w:rsidR="001F248E" w:rsidRPr="001F248E" w:rsidRDefault="001F248E" w:rsidP="001F248E">
      <w:pPr>
        <w:pStyle w:val="Paragraph"/>
      </w:pPr>
      <w:r>
        <w:rPr>
          <w:noProof/>
        </w:rPr>
        <w:drawing>
          <wp:inline distT="0" distB="0" distL="0" distR="0" wp14:anchorId="6D5891C4" wp14:editId="188EF4B7">
            <wp:extent cx="5486400" cy="2590800"/>
            <wp:effectExtent l="0" t="0" r="0" b="0"/>
            <wp:docPr id="13" name="Chart 13" descr="pie graph showing 50% general, 25% Indigenous, 10% religious, 3% reading services, 2% seniors and youth.">
              <a:extLst xmlns:a="http://schemas.openxmlformats.org/drawingml/2006/main">
                <a:ext uri="{FF2B5EF4-FFF2-40B4-BE49-F238E27FC236}">
                  <a16:creationId xmlns:a16="http://schemas.microsoft.com/office/drawing/2014/main" id="{69DD7702-E541-428E-AD84-EC2F54306C6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24530818" w14:textId="009E4196" w:rsidR="0010222A" w:rsidRDefault="0010222A" w:rsidP="0010222A">
      <w:pPr>
        <w:pStyle w:val="Tableorfigurenote"/>
      </w:pPr>
      <w:r>
        <w:t>Source: ACMA September 2019.</w:t>
      </w:r>
      <w:bookmarkStart w:id="41" w:name="_GoBack"/>
      <w:bookmarkEnd w:id="41"/>
    </w:p>
    <w:p w14:paraId="206A5145" w14:textId="77777777" w:rsidR="0010222A" w:rsidRDefault="0010222A" w:rsidP="0060424E">
      <w:pPr>
        <w:pStyle w:val="Heading4"/>
        <w:keepNext/>
      </w:pPr>
      <w:r>
        <w:t>Open narrowcasting</w:t>
      </w:r>
    </w:p>
    <w:p w14:paraId="3FC6EFB6" w14:textId="5246CB0B" w:rsidR="0010222A" w:rsidRDefault="0010222A" w:rsidP="0010222A">
      <w:pPr>
        <w:pStyle w:val="Paragraph"/>
      </w:pPr>
      <w:r>
        <w:t>Narrowcasting services are services that are limited in some way, for example by being of limited appeal. Open narrowcasting radio does not need an individual content licence per service; a class licence authorises all open narrowcasting radio services.</w:t>
      </w:r>
    </w:p>
    <w:p w14:paraId="2D0F74B1" w14:textId="00E83DA4" w:rsidR="0010222A" w:rsidRDefault="0010222A" w:rsidP="0010222A">
      <w:pPr>
        <w:pStyle w:val="Paragraph"/>
      </w:pPr>
      <w:r>
        <w:t>Examples of narrowcasting services include racing radio, non-English language programming, and religious programming.</w:t>
      </w:r>
    </w:p>
    <w:p w14:paraId="2207FD0F" w14:textId="2F5A0597" w:rsidR="0010222A" w:rsidRDefault="0010222A" w:rsidP="0010222A">
      <w:pPr>
        <w:pStyle w:val="Paragraph"/>
      </w:pPr>
      <w:r>
        <w:t>The ACMA allocates transmitter licences for both low</w:t>
      </w:r>
      <w:r w:rsidR="00996792">
        <w:t>-</w:t>
      </w:r>
      <w:r>
        <w:t>power open narrowcasting (LPON)</w:t>
      </w:r>
      <w:r>
        <w:rPr>
          <w:rStyle w:val="FootnoteReference"/>
        </w:rPr>
        <w:footnoteReference w:id="111"/>
      </w:r>
      <w:r>
        <w:t xml:space="preserve"> and </w:t>
      </w:r>
      <w:r w:rsidR="00F139EA">
        <w:t>high-power</w:t>
      </w:r>
      <w:r>
        <w:t xml:space="preserve"> open narrowcasting (HPON)</w:t>
      </w:r>
      <w:r w:rsidR="00387740">
        <w:rPr>
          <w:rStyle w:val="FootnoteReference"/>
        </w:rPr>
        <w:footnoteReference w:id="112"/>
      </w:r>
      <w:r>
        <w:t xml:space="preserve"> licences by price-based allocation.</w:t>
      </w:r>
    </w:p>
    <w:p w14:paraId="2783F9AC" w14:textId="77777777" w:rsidR="0010222A" w:rsidRDefault="0010222A" w:rsidP="0010222A">
      <w:pPr>
        <w:pStyle w:val="Heading4"/>
      </w:pPr>
      <w:r>
        <w:t>Retransmissions</w:t>
      </w:r>
    </w:p>
    <w:p w14:paraId="0D0E116E" w14:textId="77777777" w:rsidR="0010222A" w:rsidRDefault="0010222A" w:rsidP="0010222A">
      <w:pPr>
        <w:pStyle w:val="Paragraph"/>
      </w:pPr>
      <w:r>
        <w:t>Retransmission services are those that are exempt from content licensing by virtue of section 212 of the BSA. Retransmission services do no more than retransmit programs that are transmitted by a national, commercial or community broadcasting service.</w:t>
      </w:r>
    </w:p>
    <w:p w14:paraId="1D410FBB" w14:textId="2F8D0EDD" w:rsidR="0010222A" w:rsidRDefault="0010222A" w:rsidP="0010222A">
      <w:pPr>
        <w:pStyle w:val="Paragraph"/>
      </w:pPr>
      <w:r>
        <w:t>Third-party retransmissions by local councils and other self-help civic groups number around 800. These radio retransmissions provide services in the areas uneconomic to serve directly by broadcasters.</w:t>
      </w:r>
    </w:p>
    <w:p w14:paraId="640533C0" w14:textId="77777777" w:rsidR="0010222A" w:rsidRDefault="0010222A" w:rsidP="0010222A">
      <w:pPr>
        <w:pStyle w:val="Heading4"/>
      </w:pPr>
      <w:r>
        <w:t>Digital radio</w:t>
      </w:r>
    </w:p>
    <w:p w14:paraId="15F9799A" w14:textId="2715907D" w:rsidR="0010222A" w:rsidRDefault="0010222A" w:rsidP="0010222A">
      <w:pPr>
        <w:pStyle w:val="Paragraph"/>
      </w:pPr>
      <w:r>
        <w:t>Although not actually a separate category of broadcasting service, digital radio is subject to bespoke platform regulation in the BSA and the Radiocommunications Act. While DAB+ is not specifically mentioned in the legislation, the regulatory framework is predicated on the use of such technology. DAB+ compresses and combines multiple broadcast services onto a single combined digital ‘multiplex’ for transmission.</w:t>
      </w:r>
    </w:p>
    <w:p w14:paraId="22FC358B" w14:textId="128085C3" w:rsidR="00387740" w:rsidRDefault="0010222A" w:rsidP="00387740">
      <w:pPr>
        <w:pStyle w:val="Paragraph"/>
      </w:pPr>
      <w:r>
        <w:lastRenderedPageBreak/>
        <w:t>Licensing of the multiplex transmitter</w:t>
      </w:r>
      <w:r w:rsidR="00387740">
        <w:rPr>
          <w:rStyle w:val="FootnoteReference"/>
        </w:rPr>
        <w:footnoteReference w:id="113"/>
      </w:r>
      <w:r>
        <w:t xml:space="preserve"> is separated from the rights of access. Incumbent commercial radio broadcasting licensees (and incumbent designated</w:t>
      </w:r>
      <w:r w:rsidR="00387740">
        <w:t xml:space="preserve"> community broadcasting licensees through their own representative company</w:t>
      </w:r>
      <w:r w:rsidR="00387740">
        <w:rPr>
          <w:rStyle w:val="FootnoteReference"/>
        </w:rPr>
        <w:footnoteReference w:id="114"/>
      </w:r>
      <w:r w:rsidR="00387740">
        <w:t>) may form a joint venture company to apply for and hold the licence and operate the transmit</w:t>
      </w:r>
      <w:bookmarkStart w:id="42" w:name="_bookmark5"/>
      <w:bookmarkEnd w:id="42"/>
      <w:r w:rsidR="00387740">
        <w:t>ter.</w:t>
      </w:r>
      <w:r w:rsidR="00387740">
        <w:rPr>
          <w:rStyle w:val="FootnoteReference"/>
        </w:rPr>
        <w:footnoteReference w:id="115"/>
      </w:r>
      <w:r w:rsidR="00387740">
        <w:rPr>
          <w:position w:val="6"/>
          <w:sz w:val="13"/>
        </w:rPr>
        <w:t xml:space="preserve"> </w:t>
      </w:r>
      <w:r w:rsidR="00387740">
        <w:t>Separately, the legislation provides rights of access to the licensed broadcasters and national broadcasters.</w:t>
      </w:r>
    </w:p>
    <w:p w14:paraId="281D7849" w14:textId="2B5FCBEF" w:rsidR="00387740" w:rsidRPr="00387740" w:rsidRDefault="00387740" w:rsidP="00387740">
      <w:pPr>
        <w:pStyle w:val="Paragraph"/>
        <w:rPr>
          <w:sz w:val="13"/>
        </w:rPr>
      </w:pPr>
      <w:r>
        <w:t>Before a joint venture company can apply for a licence, the ACMA must make a digital radio channel plan for the licence area.</w:t>
      </w:r>
      <w:r>
        <w:rPr>
          <w:rStyle w:val="FootnoteReference"/>
        </w:rPr>
        <w:footnoteReference w:id="116"/>
      </w:r>
      <w:r>
        <w:rPr>
          <w:position w:val="6"/>
          <w:sz w:val="13"/>
        </w:rPr>
        <w:t xml:space="preserve"> </w:t>
      </w:r>
      <w:r>
        <w:t>Each incumbent commercial radio broadcasting licensee is entitled to access one-ninth of the multiplex capacity, while designated community radio broadcasting licensees can together access a reserved two-ninths of capacity, the allocation of which is decided by the community representative company. Open narrowcasters have no direct rights of access to DAB+ multiplex transmitters. The ABC and SBS jointly operate their own multiplex transmitters.</w:t>
      </w:r>
      <w:r>
        <w:rPr>
          <w:rStyle w:val="FootnoteReference"/>
        </w:rPr>
        <w:footnoteReference w:id="117"/>
      </w:r>
    </w:p>
    <w:p w14:paraId="0D9C424B" w14:textId="77777777" w:rsidR="00387740" w:rsidRDefault="00387740" w:rsidP="00387740">
      <w:pPr>
        <w:pStyle w:val="Heading3"/>
      </w:pPr>
      <w:r>
        <w:t>Statutory planning requirements</w:t>
      </w:r>
    </w:p>
    <w:p w14:paraId="4B26A9E7" w14:textId="08ED2E69" w:rsidR="00387740" w:rsidRDefault="00387740" w:rsidP="00387740">
      <w:pPr>
        <w:pStyle w:val="Paragraph"/>
      </w:pPr>
      <w:r>
        <w:t>In exercising its functions and powers under Part 3 of the BSA—making and varying of LAPs under section 26 and making determinations of spectrum under section 34—the ACMA is required</w:t>
      </w:r>
      <w:r>
        <w:rPr>
          <w:rStyle w:val="FootnoteReference"/>
        </w:rPr>
        <w:footnoteReference w:id="118"/>
      </w:r>
      <w:r>
        <w:rPr>
          <w:position w:val="6"/>
          <w:sz w:val="13"/>
        </w:rPr>
        <w:t xml:space="preserve"> </w:t>
      </w:r>
      <w:r>
        <w:t>to promote the objects of the BSA including the economic and efficient use of spectrum.</w:t>
      </w:r>
    </w:p>
    <w:p w14:paraId="2550F09D" w14:textId="4497E406" w:rsidR="00387740" w:rsidRDefault="00387740" w:rsidP="00387740">
      <w:pPr>
        <w:pStyle w:val="Paragraphbeforelist"/>
      </w:pPr>
      <w:r>
        <w:t>Furthermore, it is parliament’s intention</w:t>
      </w:r>
      <w:r>
        <w:rPr>
          <w:rStyle w:val="FootnoteReference"/>
        </w:rPr>
        <w:footnoteReference w:id="119"/>
      </w:r>
      <w:r>
        <w:rPr>
          <w:position w:val="6"/>
          <w:sz w:val="13"/>
        </w:rPr>
        <w:t xml:space="preserve"> </w:t>
      </w:r>
      <w:r>
        <w:t>that broadcasting services in Australia be regulated in a manner that, in the opinion of the ACMA:</w:t>
      </w:r>
    </w:p>
    <w:p w14:paraId="2D2B8DE1" w14:textId="793D59E1" w:rsidR="00387740" w:rsidRDefault="00387740" w:rsidP="00387740">
      <w:pPr>
        <w:pStyle w:val="Bulletlevel1"/>
      </w:pPr>
      <w:r>
        <w:t>enables public interest considerations to be addressed in a way that does not impose unnecessary financial and administrative burdens on providers of broadcasting services</w:t>
      </w:r>
    </w:p>
    <w:p w14:paraId="7AEEB837" w14:textId="0430ABC6" w:rsidR="00387740" w:rsidRDefault="00387740" w:rsidP="00387740">
      <w:pPr>
        <w:pStyle w:val="Bulletlevel1"/>
      </w:pPr>
      <w:r>
        <w:t xml:space="preserve">will readily </w:t>
      </w:r>
      <w:r w:rsidRPr="00387740">
        <w:t>accommodate</w:t>
      </w:r>
      <w:r>
        <w:t xml:space="preserve"> technological change</w:t>
      </w:r>
    </w:p>
    <w:p w14:paraId="331E2120" w14:textId="47C2B74C" w:rsidR="00387740" w:rsidRDefault="00387740" w:rsidP="00387740">
      <w:pPr>
        <w:pStyle w:val="Bulletlevel1last"/>
      </w:pPr>
      <w:r>
        <w:t xml:space="preserve">encourages the development of broadcasting technologies, and their application and the </w:t>
      </w:r>
      <w:r w:rsidRPr="00387740">
        <w:t>provision</w:t>
      </w:r>
      <w:r>
        <w:t xml:space="preserve"> of services made practicable by those technologies to the Australian community.</w:t>
      </w:r>
    </w:p>
    <w:p w14:paraId="23A18A04" w14:textId="13FEB2C2" w:rsidR="00387740" w:rsidRPr="00387740" w:rsidRDefault="00387740" w:rsidP="00387740">
      <w:pPr>
        <w:pStyle w:val="Paragraph"/>
        <w:rPr>
          <w:sz w:val="13"/>
        </w:rPr>
      </w:pPr>
      <w:r>
        <w:t>The ACMA is also charged with using its functions and powers under the BSA in a manner that, in its opinion, will produce regulatory arrangements that are stable and predictable.</w:t>
      </w:r>
      <w:r>
        <w:rPr>
          <w:rStyle w:val="FootnoteReference"/>
        </w:rPr>
        <w:footnoteReference w:id="120"/>
      </w:r>
    </w:p>
    <w:p w14:paraId="07387826" w14:textId="77777777" w:rsidR="00387740" w:rsidRDefault="00387740" w:rsidP="00387740">
      <w:pPr>
        <w:pStyle w:val="Heading3"/>
      </w:pPr>
      <w:bookmarkStart w:id="43" w:name="_bookmark6"/>
      <w:bookmarkEnd w:id="43"/>
      <w:r>
        <w:t>The objects of the BSA</w:t>
      </w:r>
    </w:p>
    <w:p w14:paraId="1C66023A" w14:textId="77777777" w:rsidR="00387740" w:rsidRDefault="00387740" w:rsidP="00387740">
      <w:pPr>
        <w:pStyle w:val="Paragraphbeforelist"/>
      </w:pPr>
      <w:r>
        <w:t xml:space="preserve">The objects of the BSA most relevant to </w:t>
      </w:r>
      <w:r w:rsidRPr="00387740">
        <w:t>broadcast</w:t>
      </w:r>
      <w:r>
        <w:t xml:space="preserve"> spectrum planning are to:</w:t>
      </w:r>
    </w:p>
    <w:p w14:paraId="10703C4C" w14:textId="14C84F61" w:rsidR="00387740" w:rsidRDefault="00387740" w:rsidP="00387740">
      <w:pPr>
        <w:pStyle w:val="Bulletlevel1"/>
      </w:pPr>
      <w:r>
        <w:t xml:space="preserve">promote the availability to audiences throughout Australia of a diverse range of radio and </w:t>
      </w:r>
      <w:r w:rsidRPr="00387740">
        <w:t>television</w:t>
      </w:r>
      <w:r>
        <w:t xml:space="preserve"> services offering entertainment, education and information</w:t>
      </w:r>
    </w:p>
    <w:p w14:paraId="346B46AD" w14:textId="77777777" w:rsidR="00387740" w:rsidRDefault="00387740" w:rsidP="00387740">
      <w:pPr>
        <w:pStyle w:val="Bulletlevel1"/>
      </w:pPr>
      <w:r>
        <w:lastRenderedPageBreak/>
        <w:t>provide a regulatory environment that will facilitate the development of a broadcasting industry in Australia that is efficient, competitive and responsive to audience needs</w:t>
      </w:r>
    </w:p>
    <w:p w14:paraId="128338F6" w14:textId="41ADF7A9" w:rsidR="00387740" w:rsidRDefault="00387740" w:rsidP="00387740">
      <w:pPr>
        <w:pStyle w:val="Bulletlevel1"/>
      </w:pPr>
      <w:r>
        <w:t>promote the role of broadcasting services in developing and reflecting a sense of Australian identity, character and cultural diversity</w:t>
      </w:r>
    </w:p>
    <w:p w14:paraId="4F2CEE3D" w14:textId="23715273" w:rsidR="00387740" w:rsidRDefault="00387740" w:rsidP="00387740">
      <w:pPr>
        <w:pStyle w:val="Bulletlevel1"/>
      </w:pPr>
      <w:r>
        <w:t>promote the provision of high quality and innovative programming by providers of broadcasting services</w:t>
      </w:r>
    </w:p>
    <w:p w14:paraId="09BC6ED5" w14:textId="4A02F007" w:rsidR="00387740" w:rsidRDefault="00387740" w:rsidP="00387740">
      <w:pPr>
        <w:pStyle w:val="Bulletlevel1last"/>
      </w:pPr>
      <w:r>
        <w:t>ensure the maintenance and</w:t>
      </w:r>
      <w:r w:rsidR="00700556">
        <w:t>,</w:t>
      </w:r>
      <w:r>
        <w:t xml:space="preserve"> where possible, the development of diversity, including public, community and Indigenous broadcasting, in the Australian broadcasting system transition to digital broadcasting.</w:t>
      </w:r>
    </w:p>
    <w:p w14:paraId="6F75166A" w14:textId="77777777" w:rsidR="00387740" w:rsidRDefault="00387740" w:rsidP="00100C9D">
      <w:pPr>
        <w:pStyle w:val="Heading3"/>
        <w:keepLines/>
      </w:pPr>
      <w:r>
        <w:t>The planning criteria</w:t>
      </w:r>
    </w:p>
    <w:p w14:paraId="1C80F651" w14:textId="188B3A6A" w:rsidR="00387740" w:rsidRPr="00387740" w:rsidRDefault="00387740" w:rsidP="00100C9D">
      <w:pPr>
        <w:pStyle w:val="Paragraph"/>
        <w:keepNext/>
        <w:keepLines/>
      </w:pPr>
      <w:r>
        <w:t>In considering whether the exercise of its planning functions or power under Part 3 of the BSA would promote the objects of the BSA, the ACMA must consider the following matters, which we call the section 23 planning criteria:</w:t>
      </w:r>
    </w:p>
    <w:p w14:paraId="1A763069" w14:textId="77777777" w:rsidR="00387740" w:rsidRDefault="00387740" w:rsidP="0060424E">
      <w:pPr>
        <w:pStyle w:val="Heading4"/>
        <w:keepNext/>
        <w:keepLines/>
        <w:spacing w:before="0" w:after="80"/>
      </w:pPr>
      <w:r>
        <w:t>Socio–demographics and demand</w:t>
      </w:r>
    </w:p>
    <w:p w14:paraId="432BDB59" w14:textId="77777777" w:rsidR="00387740" w:rsidRDefault="00387740" w:rsidP="0060424E">
      <w:pPr>
        <w:pStyle w:val="ListParagraph"/>
        <w:keepNext/>
        <w:keepLines/>
        <w:numPr>
          <w:ilvl w:val="0"/>
          <w:numId w:val="28"/>
        </w:numPr>
        <w:tabs>
          <w:tab w:val="left" w:pos="413"/>
        </w:tabs>
        <w:spacing w:after="80"/>
        <w:ind w:left="295" w:hanging="295"/>
        <w:rPr>
          <w:sz w:val="20"/>
        </w:rPr>
      </w:pPr>
      <w:r>
        <w:rPr>
          <w:sz w:val="20"/>
        </w:rPr>
        <w:t>demographics</w:t>
      </w:r>
    </w:p>
    <w:p w14:paraId="048ACFCF" w14:textId="77777777" w:rsidR="00387740" w:rsidRDefault="00387740" w:rsidP="0060424E">
      <w:pPr>
        <w:pStyle w:val="ListParagraph"/>
        <w:keepNext/>
        <w:keepLines/>
        <w:numPr>
          <w:ilvl w:val="0"/>
          <w:numId w:val="28"/>
        </w:numPr>
        <w:tabs>
          <w:tab w:val="left" w:pos="413"/>
        </w:tabs>
        <w:spacing w:after="80" w:line="249" w:lineRule="auto"/>
        <w:ind w:left="295" w:hanging="295"/>
        <w:rPr>
          <w:sz w:val="20"/>
        </w:rPr>
      </w:pPr>
      <w:r>
        <w:rPr>
          <w:sz w:val="20"/>
        </w:rPr>
        <w:t>social and economic characteristics within the licence area, neighbouring</w:t>
      </w:r>
      <w:r>
        <w:rPr>
          <w:spacing w:val="-24"/>
          <w:sz w:val="20"/>
        </w:rPr>
        <w:t xml:space="preserve"> </w:t>
      </w:r>
      <w:r>
        <w:rPr>
          <w:sz w:val="20"/>
        </w:rPr>
        <w:t>licence areas and Australia</w:t>
      </w:r>
      <w:r>
        <w:rPr>
          <w:spacing w:val="-11"/>
          <w:sz w:val="20"/>
        </w:rPr>
        <w:t xml:space="preserve"> </w:t>
      </w:r>
      <w:r>
        <w:rPr>
          <w:sz w:val="20"/>
        </w:rPr>
        <w:t>generally</w:t>
      </w:r>
    </w:p>
    <w:p w14:paraId="74CBF625" w14:textId="4006C222" w:rsidR="00387740" w:rsidRPr="00387740" w:rsidRDefault="00387740" w:rsidP="0060424E">
      <w:pPr>
        <w:pStyle w:val="ListParagraph"/>
        <w:keepNext/>
        <w:keepLines/>
        <w:numPr>
          <w:ilvl w:val="0"/>
          <w:numId w:val="28"/>
        </w:numPr>
        <w:tabs>
          <w:tab w:val="left" w:pos="403"/>
        </w:tabs>
        <w:spacing w:afterLines="80" w:after="192" w:line="249" w:lineRule="auto"/>
        <w:ind w:left="295" w:hanging="295"/>
        <w:rPr>
          <w:sz w:val="20"/>
        </w:rPr>
      </w:pPr>
      <w:r>
        <w:rPr>
          <w:sz w:val="20"/>
        </w:rPr>
        <w:t>the number of existing broadcasting services and the demand for new</w:t>
      </w:r>
      <w:r>
        <w:rPr>
          <w:spacing w:val="-26"/>
          <w:sz w:val="20"/>
        </w:rPr>
        <w:t xml:space="preserve"> </w:t>
      </w:r>
      <w:r>
        <w:rPr>
          <w:sz w:val="20"/>
        </w:rPr>
        <w:t>broadcasting services within the licence area, neighbouring licence areas and Australia</w:t>
      </w:r>
      <w:r>
        <w:rPr>
          <w:spacing w:val="-19"/>
          <w:sz w:val="20"/>
        </w:rPr>
        <w:t xml:space="preserve"> </w:t>
      </w:r>
      <w:r>
        <w:rPr>
          <w:sz w:val="20"/>
        </w:rPr>
        <w:t>generally</w:t>
      </w:r>
    </w:p>
    <w:p w14:paraId="4FAEE479" w14:textId="77777777" w:rsidR="00387740" w:rsidRDefault="00387740" w:rsidP="0060424E">
      <w:pPr>
        <w:pStyle w:val="Heading4"/>
        <w:keepNext/>
        <w:keepLines/>
        <w:spacing w:before="0" w:after="80"/>
      </w:pPr>
      <w:r>
        <w:t>Technology and spectrum</w:t>
      </w:r>
    </w:p>
    <w:p w14:paraId="037FD9B1" w14:textId="77777777" w:rsidR="00387740" w:rsidRDefault="00387740" w:rsidP="0060424E">
      <w:pPr>
        <w:pStyle w:val="ListParagraph"/>
        <w:keepNext/>
        <w:keepLines/>
        <w:numPr>
          <w:ilvl w:val="0"/>
          <w:numId w:val="28"/>
        </w:numPr>
        <w:tabs>
          <w:tab w:val="left" w:pos="413"/>
        </w:tabs>
        <w:spacing w:after="80"/>
        <w:ind w:left="295" w:hanging="295"/>
        <w:rPr>
          <w:sz w:val="20"/>
        </w:rPr>
      </w:pPr>
      <w:r>
        <w:rPr>
          <w:sz w:val="20"/>
        </w:rPr>
        <w:t>developments in</w:t>
      </w:r>
      <w:r w:rsidRPr="0060424E">
        <w:rPr>
          <w:sz w:val="20"/>
        </w:rPr>
        <w:t xml:space="preserve"> </w:t>
      </w:r>
      <w:r>
        <w:rPr>
          <w:sz w:val="20"/>
        </w:rPr>
        <w:t>technology</w:t>
      </w:r>
    </w:p>
    <w:p w14:paraId="5ACF05B5" w14:textId="77777777" w:rsidR="00387740" w:rsidRDefault="00387740" w:rsidP="0060424E">
      <w:pPr>
        <w:pStyle w:val="ListParagraph"/>
        <w:keepNext/>
        <w:keepLines/>
        <w:numPr>
          <w:ilvl w:val="0"/>
          <w:numId w:val="28"/>
        </w:numPr>
        <w:tabs>
          <w:tab w:val="left" w:pos="413"/>
        </w:tabs>
        <w:spacing w:after="80"/>
        <w:ind w:left="295" w:hanging="295"/>
        <w:rPr>
          <w:sz w:val="20"/>
        </w:rPr>
      </w:pPr>
      <w:r>
        <w:rPr>
          <w:sz w:val="20"/>
        </w:rPr>
        <w:t>technical restraints to the delivery or reception of broadcasting</w:t>
      </w:r>
      <w:r w:rsidRPr="0060424E">
        <w:rPr>
          <w:sz w:val="20"/>
        </w:rPr>
        <w:t xml:space="preserve"> </w:t>
      </w:r>
      <w:r>
        <w:rPr>
          <w:sz w:val="20"/>
        </w:rPr>
        <w:t>services</w:t>
      </w:r>
    </w:p>
    <w:p w14:paraId="4A810559" w14:textId="72F7D7D5" w:rsidR="00387740" w:rsidRPr="00387740" w:rsidRDefault="00387740" w:rsidP="0060424E">
      <w:pPr>
        <w:pStyle w:val="ListParagraph"/>
        <w:keepNext/>
        <w:keepLines/>
        <w:numPr>
          <w:ilvl w:val="0"/>
          <w:numId w:val="28"/>
        </w:numPr>
        <w:tabs>
          <w:tab w:val="left" w:pos="413"/>
        </w:tabs>
        <w:spacing w:after="80"/>
        <w:ind w:left="295" w:hanging="295"/>
        <w:rPr>
          <w:sz w:val="20"/>
        </w:rPr>
      </w:pPr>
      <w:r>
        <w:rPr>
          <w:sz w:val="20"/>
        </w:rPr>
        <w:t>the demand for radiofrequency spectrum for services other than broadcasting services</w:t>
      </w:r>
    </w:p>
    <w:p w14:paraId="52B714F4" w14:textId="77777777" w:rsidR="00387740" w:rsidRDefault="00387740" w:rsidP="00100C9D">
      <w:pPr>
        <w:pStyle w:val="Heading4"/>
        <w:keepNext/>
        <w:keepLines/>
        <w:spacing w:before="0" w:after="80"/>
      </w:pPr>
      <w:r>
        <w:t>Other</w:t>
      </w:r>
    </w:p>
    <w:p w14:paraId="57D3278E" w14:textId="6DC5E2DA" w:rsidR="00387740" w:rsidRPr="00387740" w:rsidRDefault="00387740" w:rsidP="0060424E">
      <w:pPr>
        <w:pStyle w:val="ListParagraph"/>
        <w:keepNext/>
        <w:keepLines/>
        <w:numPr>
          <w:ilvl w:val="0"/>
          <w:numId w:val="28"/>
        </w:numPr>
        <w:tabs>
          <w:tab w:val="left" w:pos="413"/>
        </w:tabs>
        <w:spacing w:after="240"/>
        <w:ind w:left="295" w:hanging="295"/>
        <w:rPr>
          <w:sz w:val="20"/>
        </w:rPr>
      </w:pPr>
      <w:r>
        <w:rPr>
          <w:sz w:val="20"/>
        </w:rPr>
        <w:t>such other matters that the ACMA considers</w:t>
      </w:r>
      <w:r>
        <w:rPr>
          <w:spacing w:val="-16"/>
          <w:sz w:val="20"/>
        </w:rPr>
        <w:t xml:space="preserve"> </w:t>
      </w:r>
      <w:r>
        <w:rPr>
          <w:sz w:val="20"/>
        </w:rPr>
        <w:t>relevant.</w:t>
      </w:r>
    </w:p>
    <w:p w14:paraId="139E847A" w14:textId="5AA156FD" w:rsidR="00D54FB8" w:rsidRPr="00D83ED6" w:rsidRDefault="00387740" w:rsidP="00387740">
      <w:pPr>
        <w:pStyle w:val="Paragraph"/>
      </w:pPr>
      <w:r>
        <w:t>While the legislated requirements are about making individual planning decisions, the objects of the BSA, viewed though the perspective of the relevant planning criteria, form a useful part of any framework for the strategic prioritisation of resources to classes of planning activities. This includes activities that don’t engage the objects of the BSA in a statutory sense, such as digital radio channel planning decisions made under section 44A of the Radiocommunications Act.</w:t>
      </w:r>
    </w:p>
    <w:p w14:paraId="5A85636A" w14:textId="77777777" w:rsidR="00387740" w:rsidRDefault="00387740" w:rsidP="00387740">
      <w:pPr>
        <w:pStyle w:val="Heading1"/>
      </w:pPr>
      <w:bookmarkStart w:id="44" w:name="_Toc35846807"/>
      <w:r>
        <w:lastRenderedPageBreak/>
        <w:t>Appendix B—List of submitters</w:t>
      </w:r>
      <w:bookmarkEnd w:id="44"/>
    </w:p>
    <w:p w14:paraId="4A43CE3F" w14:textId="6DBF0A04" w:rsidR="00387740" w:rsidRDefault="00387740" w:rsidP="007C6CB6">
      <w:pPr>
        <w:pStyle w:val="Paragraph"/>
      </w:pPr>
      <w:r>
        <w:t>The ACMA received the following submissions in response to the discussion paper</w:t>
      </w:r>
      <w:r w:rsidR="00100C9D">
        <w:t>.</w:t>
      </w:r>
    </w:p>
    <w:p w14:paraId="4BFCBD22" w14:textId="16A5E15E" w:rsidR="00387740" w:rsidRPr="00100C9D" w:rsidRDefault="00387740" w:rsidP="00100C9D">
      <w:pPr>
        <w:pStyle w:val="Tableheading"/>
        <w:rPr>
          <w:sz w:val="13"/>
        </w:rPr>
      </w:pPr>
      <w:r w:rsidRPr="00996792">
        <w:t>Submissions</w:t>
      </w:r>
      <w:r w:rsidRPr="00100C9D">
        <w:t xml:space="preserve"> </w:t>
      </w:r>
      <w:r w:rsidRPr="00996792">
        <w:t>received</w:t>
      </w:r>
    </w:p>
    <w:tbl>
      <w:tblPr>
        <w:tblW w:w="9362"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bottom w:w="57" w:type="dxa"/>
          <w:right w:w="57" w:type="dxa"/>
        </w:tblCellMar>
        <w:tblLook w:val="01E0" w:firstRow="1" w:lastRow="1" w:firstColumn="1" w:lastColumn="1" w:noHBand="0" w:noVBand="0"/>
      </w:tblPr>
      <w:tblGrid>
        <w:gridCol w:w="5387"/>
        <w:gridCol w:w="3975"/>
      </w:tblGrid>
      <w:tr w:rsidR="00387740" w14:paraId="217E5364" w14:textId="77777777" w:rsidTr="007C6CB6">
        <w:trPr>
          <w:trHeight w:hRule="exact" w:val="365"/>
        </w:trPr>
        <w:tc>
          <w:tcPr>
            <w:tcW w:w="5387" w:type="dxa"/>
            <w:shd w:val="clear" w:color="auto" w:fill="585858"/>
          </w:tcPr>
          <w:p w14:paraId="39F08ED4" w14:textId="77777777" w:rsidR="00387740" w:rsidRDefault="00387740" w:rsidP="007C6CB6">
            <w:pPr>
              <w:pStyle w:val="TableParagraph"/>
              <w:spacing w:before="67"/>
              <w:ind w:left="0"/>
              <w:rPr>
                <w:b/>
                <w:sz w:val="20"/>
              </w:rPr>
            </w:pPr>
            <w:r>
              <w:rPr>
                <w:b/>
                <w:color w:val="FFFFFF"/>
                <w:sz w:val="20"/>
              </w:rPr>
              <w:t>Name/Organisation</w:t>
            </w:r>
          </w:p>
        </w:tc>
        <w:tc>
          <w:tcPr>
            <w:tcW w:w="3975" w:type="dxa"/>
            <w:shd w:val="clear" w:color="auto" w:fill="585858"/>
          </w:tcPr>
          <w:p w14:paraId="5CA42DCF" w14:textId="77777777" w:rsidR="00387740" w:rsidRDefault="00387740" w:rsidP="007C6CB6">
            <w:pPr>
              <w:pStyle w:val="TableParagraph"/>
              <w:spacing w:before="67"/>
              <w:ind w:left="0"/>
              <w:rPr>
                <w:b/>
                <w:sz w:val="20"/>
              </w:rPr>
            </w:pPr>
            <w:r>
              <w:rPr>
                <w:b/>
                <w:color w:val="FFFFFF"/>
                <w:sz w:val="20"/>
              </w:rPr>
              <w:t>Sector</w:t>
            </w:r>
          </w:p>
        </w:tc>
      </w:tr>
      <w:tr w:rsidR="00387740" w14:paraId="75787DCD" w14:textId="77777777" w:rsidTr="007C6CB6">
        <w:trPr>
          <w:trHeight w:hRule="exact" w:val="353"/>
        </w:trPr>
        <w:tc>
          <w:tcPr>
            <w:tcW w:w="5387" w:type="dxa"/>
            <w:shd w:val="clear" w:color="auto" w:fill="F1F1F1"/>
          </w:tcPr>
          <w:p w14:paraId="0651DA1B" w14:textId="77777777" w:rsidR="00387740" w:rsidRDefault="00387740" w:rsidP="007C6CB6">
            <w:pPr>
              <w:pStyle w:val="TableParagraph"/>
              <w:spacing w:before="55"/>
              <w:ind w:left="0"/>
              <w:rPr>
                <w:sz w:val="20"/>
              </w:rPr>
            </w:pPr>
            <w:r>
              <w:rPr>
                <w:sz w:val="20"/>
              </w:rPr>
              <w:t>Alan Hughes</w:t>
            </w:r>
          </w:p>
        </w:tc>
        <w:tc>
          <w:tcPr>
            <w:tcW w:w="3975" w:type="dxa"/>
            <w:shd w:val="clear" w:color="auto" w:fill="F1F1F1"/>
          </w:tcPr>
          <w:p w14:paraId="0D28E8D2" w14:textId="77777777" w:rsidR="00387740" w:rsidRDefault="00387740" w:rsidP="007C6CB6">
            <w:pPr>
              <w:pStyle w:val="TableParagraph"/>
              <w:spacing w:before="55"/>
              <w:ind w:left="0"/>
              <w:rPr>
                <w:sz w:val="20"/>
              </w:rPr>
            </w:pPr>
            <w:r>
              <w:rPr>
                <w:sz w:val="20"/>
              </w:rPr>
              <w:t>Member of the public</w:t>
            </w:r>
          </w:p>
        </w:tc>
      </w:tr>
      <w:tr w:rsidR="00387740" w14:paraId="1076999A" w14:textId="77777777" w:rsidTr="007C6CB6">
        <w:trPr>
          <w:trHeight w:hRule="exact" w:val="355"/>
        </w:trPr>
        <w:tc>
          <w:tcPr>
            <w:tcW w:w="5387" w:type="dxa"/>
          </w:tcPr>
          <w:p w14:paraId="2A7F268C" w14:textId="77777777" w:rsidR="00387740" w:rsidRDefault="00387740" w:rsidP="007C6CB6">
            <w:pPr>
              <w:pStyle w:val="TableParagraph"/>
              <w:spacing w:before="57"/>
              <w:ind w:left="0"/>
              <w:rPr>
                <w:sz w:val="20"/>
              </w:rPr>
            </w:pPr>
            <w:r>
              <w:rPr>
                <w:sz w:val="20"/>
              </w:rPr>
              <w:t>Australian Broadcasting Corporation (ABC)</w:t>
            </w:r>
          </w:p>
        </w:tc>
        <w:tc>
          <w:tcPr>
            <w:tcW w:w="3975" w:type="dxa"/>
          </w:tcPr>
          <w:p w14:paraId="6AF6931C" w14:textId="77777777" w:rsidR="00387740" w:rsidRDefault="00387740" w:rsidP="007C6CB6">
            <w:pPr>
              <w:pStyle w:val="TableParagraph"/>
              <w:spacing w:before="57"/>
              <w:ind w:left="0"/>
              <w:rPr>
                <w:sz w:val="20"/>
              </w:rPr>
            </w:pPr>
            <w:r>
              <w:rPr>
                <w:sz w:val="20"/>
              </w:rPr>
              <w:t>National broadcasting</w:t>
            </w:r>
          </w:p>
        </w:tc>
      </w:tr>
      <w:tr w:rsidR="00387740" w14:paraId="20E2FEDE" w14:textId="77777777" w:rsidTr="007C6CB6">
        <w:trPr>
          <w:trHeight w:hRule="exact" w:val="353"/>
        </w:trPr>
        <w:tc>
          <w:tcPr>
            <w:tcW w:w="5387" w:type="dxa"/>
            <w:shd w:val="clear" w:color="auto" w:fill="F1F1F1"/>
          </w:tcPr>
          <w:p w14:paraId="30EF694F" w14:textId="77777777" w:rsidR="00387740" w:rsidRDefault="00387740" w:rsidP="007C6CB6">
            <w:pPr>
              <w:pStyle w:val="TableParagraph"/>
              <w:spacing w:before="55"/>
              <w:ind w:left="0"/>
              <w:rPr>
                <w:sz w:val="20"/>
              </w:rPr>
            </w:pPr>
            <w:r>
              <w:rPr>
                <w:sz w:val="20"/>
              </w:rPr>
              <w:t>Australian Narrowcast Radio Association (ANRA)</w:t>
            </w:r>
          </w:p>
        </w:tc>
        <w:tc>
          <w:tcPr>
            <w:tcW w:w="3975" w:type="dxa"/>
            <w:shd w:val="clear" w:color="auto" w:fill="F1F1F1"/>
          </w:tcPr>
          <w:p w14:paraId="6BA7D6A9" w14:textId="77777777" w:rsidR="00387740" w:rsidRDefault="00387740" w:rsidP="007C6CB6">
            <w:pPr>
              <w:pStyle w:val="TableParagraph"/>
              <w:spacing w:before="55"/>
              <w:ind w:left="0"/>
              <w:rPr>
                <w:sz w:val="20"/>
              </w:rPr>
            </w:pPr>
            <w:r>
              <w:rPr>
                <w:sz w:val="20"/>
              </w:rPr>
              <w:t>Narrowcasting</w:t>
            </w:r>
          </w:p>
        </w:tc>
      </w:tr>
      <w:tr w:rsidR="00387740" w14:paraId="433732CA" w14:textId="77777777" w:rsidTr="007C6CB6">
        <w:trPr>
          <w:trHeight w:hRule="exact" w:val="355"/>
        </w:trPr>
        <w:tc>
          <w:tcPr>
            <w:tcW w:w="5387" w:type="dxa"/>
          </w:tcPr>
          <w:p w14:paraId="3F584CA9" w14:textId="77777777" w:rsidR="00387740" w:rsidRDefault="00387740" w:rsidP="007C6CB6">
            <w:pPr>
              <w:pStyle w:val="TableParagraph"/>
              <w:spacing w:before="57"/>
              <w:ind w:left="0"/>
              <w:rPr>
                <w:sz w:val="20"/>
              </w:rPr>
            </w:pPr>
            <w:r>
              <w:rPr>
                <w:sz w:val="20"/>
              </w:rPr>
              <w:t>Brendan Agpasa</w:t>
            </w:r>
          </w:p>
        </w:tc>
        <w:tc>
          <w:tcPr>
            <w:tcW w:w="3975" w:type="dxa"/>
          </w:tcPr>
          <w:p w14:paraId="3981CA35" w14:textId="77777777" w:rsidR="00387740" w:rsidRDefault="00387740" w:rsidP="007C6CB6">
            <w:pPr>
              <w:pStyle w:val="TableParagraph"/>
              <w:spacing w:before="57"/>
              <w:ind w:left="0"/>
              <w:rPr>
                <w:sz w:val="20"/>
              </w:rPr>
            </w:pPr>
            <w:r>
              <w:rPr>
                <w:sz w:val="20"/>
              </w:rPr>
              <w:t>Member of the public</w:t>
            </w:r>
          </w:p>
        </w:tc>
      </w:tr>
      <w:tr w:rsidR="00387740" w14:paraId="06EBAC7C" w14:textId="77777777" w:rsidTr="007C6CB6">
        <w:trPr>
          <w:trHeight w:hRule="exact" w:val="353"/>
        </w:trPr>
        <w:tc>
          <w:tcPr>
            <w:tcW w:w="5387" w:type="dxa"/>
            <w:shd w:val="clear" w:color="auto" w:fill="F1F1F1"/>
          </w:tcPr>
          <w:p w14:paraId="37A43990" w14:textId="77777777" w:rsidR="00387740" w:rsidRDefault="00387740" w:rsidP="007C6CB6">
            <w:pPr>
              <w:pStyle w:val="TableParagraph"/>
              <w:spacing w:before="55"/>
              <w:ind w:left="0"/>
              <w:rPr>
                <w:sz w:val="20"/>
              </w:rPr>
            </w:pPr>
            <w:r>
              <w:rPr>
                <w:sz w:val="20"/>
              </w:rPr>
              <w:t>Broadcast Australia (now BAI Communications Australia)</w:t>
            </w:r>
          </w:p>
        </w:tc>
        <w:tc>
          <w:tcPr>
            <w:tcW w:w="3975" w:type="dxa"/>
            <w:shd w:val="clear" w:color="auto" w:fill="F1F1F1"/>
          </w:tcPr>
          <w:p w14:paraId="32411C69" w14:textId="77777777" w:rsidR="00387740" w:rsidRDefault="00387740" w:rsidP="007C6CB6">
            <w:pPr>
              <w:pStyle w:val="TableParagraph"/>
              <w:spacing w:before="55"/>
              <w:ind w:left="0"/>
              <w:rPr>
                <w:sz w:val="20"/>
              </w:rPr>
            </w:pPr>
            <w:r>
              <w:rPr>
                <w:sz w:val="20"/>
              </w:rPr>
              <w:t>Transmission infrastructure</w:t>
            </w:r>
          </w:p>
        </w:tc>
      </w:tr>
      <w:tr w:rsidR="00387740" w14:paraId="287AFB54" w14:textId="77777777" w:rsidTr="007C6CB6">
        <w:trPr>
          <w:trHeight w:hRule="exact" w:val="355"/>
        </w:trPr>
        <w:tc>
          <w:tcPr>
            <w:tcW w:w="5387" w:type="dxa"/>
          </w:tcPr>
          <w:p w14:paraId="1A44B756" w14:textId="77777777" w:rsidR="00387740" w:rsidRDefault="00387740" w:rsidP="007C6CB6">
            <w:pPr>
              <w:pStyle w:val="TableParagraph"/>
              <w:spacing w:before="57"/>
              <w:ind w:left="0"/>
              <w:rPr>
                <w:sz w:val="20"/>
              </w:rPr>
            </w:pPr>
            <w:r>
              <w:rPr>
                <w:sz w:val="20"/>
              </w:rPr>
              <w:t>Commercial Radio Australia (CRA)</w:t>
            </w:r>
          </w:p>
        </w:tc>
        <w:tc>
          <w:tcPr>
            <w:tcW w:w="3975" w:type="dxa"/>
          </w:tcPr>
          <w:p w14:paraId="593A311D" w14:textId="77777777" w:rsidR="00387740" w:rsidRDefault="00387740" w:rsidP="007C6CB6">
            <w:pPr>
              <w:pStyle w:val="TableParagraph"/>
              <w:spacing w:before="57"/>
              <w:ind w:left="0"/>
              <w:rPr>
                <w:sz w:val="20"/>
              </w:rPr>
            </w:pPr>
            <w:r>
              <w:rPr>
                <w:sz w:val="20"/>
              </w:rPr>
              <w:t>Commercial radio broadcasting</w:t>
            </w:r>
          </w:p>
        </w:tc>
      </w:tr>
      <w:tr w:rsidR="00387740" w14:paraId="021E4D88" w14:textId="77777777" w:rsidTr="007C6CB6">
        <w:trPr>
          <w:trHeight w:hRule="exact" w:val="353"/>
        </w:trPr>
        <w:tc>
          <w:tcPr>
            <w:tcW w:w="5387" w:type="dxa"/>
            <w:shd w:val="clear" w:color="auto" w:fill="F1F1F1"/>
          </w:tcPr>
          <w:p w14:paraId="11089E89" w14:textId="77777777" w:rsidR="00387740" w:rsidRDefault="00387740" w:rsidP="007C6CB6">
            <w:pPr>
              <w:pStyle w:val="TableParagraph"/>
              <w:spacing w:before="55"/>
              <w:ind w:left="0"/>
              <w:rPr>
                <w:sz w:val="20"/>
              </w:rPr>
            </w:pPr>
            <w:r>
              <w:rPr>
                <w:sz w:val="20"/>
              </w:rPr>
              <w:t>Community Broadcasting Association of Australia (CBAA)</w:t>
            </w:r>
          </w:p>
        </w:tc>
        <w:tc>
          <w:tcPr>
            <w:tcW w:w="3975" w:type="dxa"/>
            <w:shd w:val="clear" w:color="auto" w:fill="F1F1F1"/>
          </w:tcPr>
          <w:p w14:paraId="12B69928" w14:textId="77777777" w:rsidR="00387740" w:rsidRDefault="00387740" w:rsidP="007C6CB6">
            <w:pPr>
              <w:pStyle w:val="TableParagraph"/>
              <w:spacing w:before="55"/>
              <w:ind w:left="0"/>
              <w:rPr>
                <w:sz w:val="20"/>
              </w:rPr>
            </w:pPr>
            <w:r>
              <w:rPr>
                <w:sz w:val="20"/>
              </w:rPr>
              <w:t>Community radio broadcasting</w:t>
            </w:r>
          </w:p>
        </w:tc>
      </w:tr>
      <w:tr w:rsidR="00387740" w14:paraId="45D38748" w14:textId="77777777" w:rsidTr="007C6CB6">
        <w:trPr>
          <w:trHeight w:hRule="exact" w:val="355"/>
        </w:trPr>
        <w:tc>
          <w:tcPr>
            <w:tcW w:w="5387" w:type="dxa"/>
          </w:tcPr>
          <w:p w14:paraId="5F90FE25" w14:textId="77777777" w:rsidR="00387740" w:rsidRDefault="00387740" w:rsidP="007C6CB6">
            <w:pPr>
              <w:pStyle w:val="TableParagraph"/>
              <w:spacing w:before="57"/>
              <w:ind w:left="0"/>
              <w:rPr>
                <w:sz w:val="20"/>
              </w:rPr>
            </w:pPr>
            <w:r>
              <w:rPr>
                <w:sz w:val="20"/>
              </w:rPr>
              <w:t>Digital Radio Mondiale (DRM) Consortium Project Office</w:t>
            </w:r>
          </w:p>
        </w:tc>
        <w:tc>
          <w:tcPr>
            <w:tcW w:w="3975" w:type="dxa"/>
          </w:tcPr>
          <w:p w14:paraId="5872C3EF" w14:textId="77777777" w:rsidR="00387740" w:rsidRDefault="00387740" w:rsidP="007C6CB6">
            <w:pPr>
              <w:pStyle w:val="TableParagraph"/>
              <w:spacing w:before="57"/>
              <w:ind w:left="0"/>
              <w:rPr>
                <w:sz w:val="20"/>
              </w:rPr>
            </w:pPr>
            <w:r>
              <w:rPr>
                <w:sz w:val="20"/>
              </w:rPr>
              <w:t>Standards/technology</w:t>
            </w:r>
          </w:p>
        </w:tc>
      </w:tr>
      <w:tr w:rsidR="00387740" w14:paraId="3F151321" w14:textId="77777777" w:rsidTr="007C6CB6">
        <w:trPr>
          <w:trHeight w:hRule="exact" w:val="353"/>
        </w:trPr>
        <w:tc>
          <w:tcPr>
            <w:tcW w:w="5387" w:type="dxa"/>
            <w:shd w:val="clear" w:color="auto" w:fill="F1F1F1"/>
          </w:tcPr>
          <w:p w14:paraId="5EF9BEBB" w14:textId="77777777" w:rsidR="00387740" w:rsidRDefault="00387740" w:rsidP="007C6CB6">
            <w:pPr>
              <w:pStyle w:val="TableParagraph"/>
              <w:spacing w:before="55"/>
              <w:ind w:left="0"/>
              <w:rPr>
                <w:sz w:val="20"/>
              </w:rPr>
            </w:pPr>
            <w:r>
              <w:rPr>
                <w:sz w:val="20"/>
              </w:rPr>
              <w:t>Eon Broadcasting (redacted)</w:t>
            </w:r>
          </w:p>
        </w:tc>
        <w:tc>
          <w:tcPr>
            <w:tcW w:w="3975" w:type="dxa"/>
            <w:shd w:val="clear" w:color="auto" w:fill="F1F1F1"/>
          </w:tcPr>
          <w:p w14:paraId="2E16E327" w14:textId="77777777" w:rsidR="00387740" w:rsidRDefault="00387740" w:rsidP="007C6CB6">
            <w:pPr>
              <w:pStyle w:val="TableParagraph"/>
              <w:spacing w:before="55"/>
              <w:ind w:left="0"/>
              <w:rPr>
                <w:sz w:val="20"/>
              </w:rPr>
            </w:pPr>
            <w:r>
              <w:rPr>
                <w:sz w:val="20"/>
              </w:rPr>
              <w:t>Commercial radio broadcasting</w:t>
            </w:r>
          </w:p>
        </w:tc>
      </w:tr>
      <w:tr w:rsidR="00387740" w14:paraId="3B3B1D6F" w14:textId="77777777" w:rsidTr="007C6CB6">
        <w:trPr>
          <w:trHeight w:hRule="exact" w:val="355"/>
        </w:trPr>
        <w:tc>
          <w:tcPr>
            <w:tcW w:w="5387" w:type="dxa"/>
          </w:tcPr>
          <w:p w14:paraId="268BA92A" w14:textId="77777777" w:rsidR="00387740" w:rsidRDefault="00387740" w:rsidP="007C6CB6">
            <w:pPr>
              <w:pStyle w:val="TableParagraph"/>
              <w:spacing w:before="57"/>
              <w:ind w:left="0"/>
              <w:rPr>
                <w:sz w:val="20"/>
              </w:rPr>
            </w:pPr>
            <w:r>
              <w:rPr>
                <w:sz w:val="20"/>
              </w:rPr>
              <w:t>First Nations Media</w:t>
            </w:r>
          </w:p>
        </w:tc>
        <w:tc>
          <w:tcPr>
            <w:tcW w:w="3975" w:type="dxa"/>
          </w:tcPr>
          <w:p w14:paraId="56E5715F" w14:textId="77777777" w:rsidR="00387740" w:rsidRDefault="00387740" w:rsidP="007C6CB6">
            <w:pPr>
              <w:pStyle w:val="TableParagraph"/>
              <w:spacing w:before="57"/>
              <w:ind w:left="0"/>
              <w:rPr>
                <w:sz w:val="20"/>
              </w:rPr>
            </w:pPr>
            <w:r>
              <w:rPr>
                <w:sz w:val="20"/>
              </w:rPr>
              <w:t>Indigenous broadcasting</w:t>
            </w:r>
          </w:p>
        </w:tc>
      </w:tr>
      <w:tr w:rsidR="00387740" w14:paraId="08947C58" w14:textId="77777777" w:rsidTr="007C6CB6">
        <w:trPr>
          <w:trHeight w:hRule="exact" w:val="353"/>
        </w:trPr>
        <w:tc>
          <w:tcPr>
            <w:tcW w:w="5387" w:type="dxa"/>
            <w:shd w:val="clear" w:color="auto" w:fill="F1F1F1"/>
          </w:tcPr>
          <w:p w14:paraId="65E4EF95" w14:textId="77777777" w:rsidR="00387740" w:rsidRDefault="00387740" w:rsidP="007C6CB6">
            <w:pPr>
              <w:pStyle w:val="TableParagraph"/>
              <w:spacing w:before="55"/>
              <w:ind w:left="0"/>
              <w:rPr>
                <w:sz w:val="20"/>
              </w:rPr>
            </w:pPr>
            <w:r>
              <w:rPr>
                <w:sz w:val="20"/>
              </w:rPr>
              <w:t>Federal Chamber of Automotive Industries (FCAI)</w:t>
            </w:r>
          </w:p>
        </w:tc>
        <w:tc>
          <w:tcPr>
            <w:tcW w:w="3975" w:type="dxa"/>
            <w:shd w:val="clear" w:color="auto" w:fill="F1F1F1"/>
          </w:tcPr>
          <w:p w14:paraId="1AC8132E" w14:textId="77777777" w:rsidR="00387740" w:rsidRDefault="00387740" w:rsidP="007C6CB6">
            <w:pPr>
              <w:pStyle w:val="TableParagraph"/>
              <w:spacing w:before="55"/>
              <w:ind w:left="0"/>
              <w:rPr>
                <w:sz w:val="20"/>
              </w:rPr>
            </w:pPr>
            <w:r>
              <w:rPr>
                <w:sz w:val="20"/>
              </w:rPr>
              <w:t>Automotive</w:t>
            </w:r>
          </w:p>
        </w:tc>
      </w:tr>
      <w:tr w:rsidR="00387740" w14:paraId="1BAD4FD6" w14:textId="77777777" w:rsidTr="007C6CB6">
        <w:trPr>
          <w:trHeight w:hRule="exact" w:val="355"/>
        </w:trPr>
        <w:tc>
          <w:tcPr>
            <w:tcW w:w="5387" w:type="dxa"/>
          </w:tcPr>
          <w:p w14:paraId="4372EB06" w14:textId="77777777" w:rsidR="00387740" w:rsidRDefault="00387740" w:rsidP="007C6CB6">
            <w:pPr>
              <w:pStyle w:val="TableParagraph"/>
              <w:spacing w:before="57"/>
              <w:ind w:left="0"/>
              <w:rPr>
                <w:sz w:val="20"/>
              </w:rPr>
            </w:pPr>
            <w:r>
              <w:rPr>
                <w:sz w:val="20"/>
              </w:rPr>
              <w:t>Ford Motor Car Company (Ford)</w:t>
            </w:r>
          </w:p>
        </w:tc>
        <w:tc>
          <w:tcPr>
            <w:tcW w:w="3975" w:type="dxa"/>
          </w:tcPr>
          <w:p w14:paraId="2AAF21B8" w14:textId="77777777" w:rsidR="00387740" w:rsidRDefault="00387740" w:rsidP="007C6CB6">
            <w:pPr>
              <w:pStyle w:val="TableParagraph"/>
              <w:spacing w:before="57"/>
              <w:ind w:left="0"/>
              <w:rPr>
                <w:sz w:val="20"/>
              </w:rPr>
            </w:pPr>
            <w:r>
              <w:rPr>
                <w:sz w:val="20"/>
              </w:rPr>
              <w:t>Automotive</w:t>
            </w:r>
          </w:p>
        </w:tc>
      </w:tr>
      <w:tr w:rsidR="00387740" w14:paraId="3885EE11" w14:textId="77777777" w:rsidTr="007C6CB6">
        <w:trPr>
          <w:trHeight w:hRule="exact" w:val="353"/>
        </w:trPr>
        <w:tc>
          <w:tcPr>
            <w:tcW w:w="5387" w:type="dxa"/>
            <w:shd w:val="clear" w:color="auto" w:fill="F1F1F1"/>
          </w:tcPr>
          <w:p w14:paraId="62DC7CDD" w14:textId="77777777" w:rsidR="00387740" w:rsidRDefault="00387740" w:rsidP="007C6CB6">
            <w:pPr>
              <w:pStyle w:val="TableParagraph"/>
              <w:spacing w:before="55"/>
              <w:ind w:left="0"/>
              <w:rPr>
                <w:sz w:val="20"/>
              </w:rPr>
            </w:pPr>
            <w:r>
              <w:rPr>
                <w:sz w:val="20"/>
              </w:rPr>
              <w:t>Golden Days Radio</w:t>
            </w:r>
          </w:p>
        </w:tc>
        <w:tc>
          <w:tcPr>
            <w:tcW w:w="3975" w:type="dxa"/>
            <w:shd w:val="clear" w:color="auto" w:fill="F1F1F1"/>
          </w:tcPr>
          <w:p w14:paraId="3FAF05FF" w14:textId="77777777" w:rsidR="00387740" w:rsidRDefault="00387740" w:rsidP="007C6CB6">
            <w:pPr>
              <w:pStyle w:val="TableParagraph"/>
              <w:spacing w:before="55"/>
              <w:ind w:left="0"/>
              <w:rPr>
                <w:sz w:val="20"/>
              </w:rPr>
            </w:pPr>
            <w:r>
              <w:rPr>
                <w:sz w:val="20"/>
              </w:rPr>
              <w:t>Community radio broadcasting</w:t>
            </w:r>
          </w:p>
        </w:tc>
      </w:tr>
      <w:tr w:rsidR="00387740" w14:paraId="4294950C" w14:textId="77777777" w:rsidTr="007C6CB6">
        <w:trPr>
          <w:trHeight w:hRule="exact" w:val="355"/>
        </w:trPr>
        <w:tc>
          <w:tcPr>
            <w:tcW w:w="5387" w:type="dxa"/>
          </w:tcPr>
          <w:p w14:paraId="050AC145" w14:textId="77777777" w:rsidR="00387740" w:rsidRDefault="00387740" w:rsidP="007C6CB6">
            <w:pPr>
              <w:pStyle w:val="TableParagraph"/>
              <w:spacing w:before="57"/>
              <w:ind w:left="0"/>
              <w:rPr>
                <w:sz w:val="20"/>
              </w:rPr>
            </w:pPr>
            <w:r>
              <w:rPr>
                <w:sz w:val="20"/>
              </w:rPr>
              <w:t>Living Arts Canberra</w:t>
            </w:r>
          </w:p>
        </w:tc>
        <w:tc>
          <w:tcPr>
            <w:tcW w:w="3975" w:type="dxa"/>
          </w:tcPr>
          <w:p w14:paraId="08A5254C" w14:textId="77777777" w:rsidR="00387740" w:rsidRDefault="00387740" w:rsidP="007C6CB6">
            <w:pPr>
              <w:pStyle w:val="TableParagraph"/>
              <w:spacing w:before="57"/>
              <w:ind w:left="0"/>
              <w:rPr>
                <w:sz w:val="20"/>
              </w:rPr>
            </w:pPr>
            <w:r>
              <w:rPr>
                <w:sz w:val="20"/>
              </w:rPr>
              <w:t>Content/production</w:t>
            </w:r>
          </w:p>
        </w:tc>
      </w:tr>
      <w:tr w:rsidR="00387740" w14:paraId="1A19471C" w14:textId="77777777" w:rsidTr="007C6CB6">
        <w:trPr>
          <w:trHeight w:hRule="exact" w:val="353"/>
        </w:trPr>
        <w:tc>
          <w:tcPr>
            <w:tcW w:w="5387" w:type="dxa"/>
            <w:shd w:val="clear" w:color="auto" w:fill="F1F1F1"/>
          </w:tcPr>
          <w:p w14:paraId="5926CF4A" w14:textId="77777777" w:rsidR="00387740" w:rsidRDefault="00387740" w:rsidP="007C6CB6">
            <w:pPr>
              <w:pStyle w:val="TableParagraph"/>
              <w:spacing w:before="55"/>
              <w:ind w:left="0"/>
              <w:rPr>
                <w:sz w:val="20"/>
              </w:rPr>
            </w:pPr>
            <w:r>
              <w:rPr>
                <w:sz w:val="20"/>
              </w:rPr>
              <w:t>Noise FM</w:t>
            </w:r>
          </w:p>
        </w:tc>
        <w:tc>
          <w:tcPr>
            <w:tcW w:w="3975" w:type="dxa"/>
            <w:shd w:val="clear" w:color="auto" w:fill="F1F1F1"/>
          </w:tcPr>
          <w:p w14:paraId="40EB333B" w14:textId="77777777" w:rsidR="00387740" w:rsidRDefault="00387740" w:rsidP="007C6CB6">
            <w:pPr>
              <w:pStyle w:val="TableParagraph"/>
              <w:spacing w:before="55"/>
              <w:ind w:left="0"/>
              <w:rPr>
                <w:sz w:val="20"/>
              </w:rPr>
            </w:pPr>
            <w:r>
              <w:rPr>
                <w:sz w:val="20"/>
              </w:rPr>
              <w:t>Narrowcasting</w:t>
            </w:r>
          </w:p>
        </w:tc>
      </w:tr>
      <w:tr w:rsidR="00387740" w14:paraId="435A0D1D" w14:textId="77777777" w:rsidTr="007C6CB6">
        <w:trPr>
          <w:trHeight w:hRule="exact" w:val="356"/>
        </w:trPr>
        <w:tc>
          <w:tcPr>
            <w:tcW w:w="5387" w:type="dxa"/>
          </w:tcPr>
          <w:p w14:paraId="56C9CD7E" w14:textId="77777777" w:rsidR="00387740" w:rsidRDefault="00387740" w:rsidP="007C6CB6">
            <w:pPr>
              <w:pStyle w:val="TableParagraph"/>
              <w:spacing w:before="57"/>
              <w:ind w:left="0"/>
              <w:rPr>
                <w:sz w:val="20"/>
              </w:rPr>
            </w:pPr>
            <w:r>
              <w:rPr>
                <w:sz w:val="20"/>
              </w:rPr>
              <w:t>Radioinfo (Steve Ahern)</w:t>
            </w:r>
          </w:p>
        </w:tc>
        <w:tc>
          <w:tcPr>
            <w:tcW w:w="3975" w:type="dxa"/>
          </w:tcPr>
          <w:p w14:paraId="16DD5030" w14:textId="77777777" w:rsidR="00387740" w:rsidRDefault="00387740" w:rsidP="007C6CB6">
            <w:pPr>
              <w:pStyle w:val="TableParagraph"/>
              <w:spacing w:before="57"/>
              <w:ind w:left="0"/>
              <w:rPr>
                <w:sz w:val="20"/>
              </w:rPr>
            </w:pPr>
            <w:r>
              <w:rPr>
                <w:sz w:val="20"/>
              </w:rPr>
              <w:t>Trade press</w:t>
            </w:r>
          </w:p>
        </w:tc>
      </w:tr>
      <w:tr w:rsidR="00387740" w14:paraId="6C6D05A9" w14:textId="77777777" w:rsidTr="007C6CB6">
        <w:trPr>
          <w:trHeight w:hRule="exact" w:val="353"/>
        </w:trPr>
        <w:tc>
          <w:tcPr>
            <w:tcW w:w="5387" w:type="dxa"/>
            <w:shd w:val="clear" w:color="auto" w:fill="F1F1F1"/>
          </w:tcPr>
          <w:p w14:paraId="70B5FCE8" w14:textId="77777777" w:rsidR="00387740" w:rsidRDefault="00387740" w:rsidP="007C6CB6">
            <w:pPr>
              <w:pStyle w:val="TableParagraph"/>
              <w:spacing w:before="55"/>
              <w:ind w:left="0"/>
              <w:rPr>
                <w:sz w:val="20"/>
              </w:rPr>
            </w:pPr>
            <w:r>
              <w:rPr>
                <w:sz w:val="20"/>
              </w:rPr>
              <w:t>Special Broadcasting Service (SBS)</w:t>
            </w:r>
          </w:p>
        </w:tc>
        <w:tc>
          <w:tcPr>
            <w:tcW w:w="3975" w:type="dxa"/>
            <w:shd w:val="clear" w:color="auto" w:fill="F1F1F1"/>
          </w:tcPr>
          <w:p w14:paraId="10B4354A" w14:textId="77777777" w:rsidR="00387740" w:rsidRDefault="00387740" w:rsidP="007C6CB6">
            <w:pPr>
              <w:pStyle w:val="TableParagraph"/>
              <w:spacing w:before="55"/>
              <w:ind w:left="0"/>
              <w:rPr>
                <w:sz w:val="20"/>
              </w:rPr>
            </w:pPr>
            <w:r>
              <w:rPr>
                <w:sz w:val="20"/>
              </w:rPr>
              <w:t>National broadcasting</w:t>
            </w:r>
          </w:p>
        </w:tc>
      </w:tr>
      <w:tr w:rsidR="00387740" w14:paraId="576044BA" w14:textId="77777777" w:rsidTr="007C6CB6">
        <w:trPr>
          <w:trHeight w:hRule="exact" w:val="355"/>
        </w:trPr>
        <w:tc>
          <w:tcPr>
            <w:tcW w:w="5387" w:type="dxa"/>
          </w:tcPr>
          <w:p w14:paraId="2D7F23ED" w14:textId="77777777" w:rsidR="00387740" w:rsidRDefault="00387740" w:rsidP="007C6CB6">
            <w:pPr>
              <w:pStyle w:val="TableParagraph"/>
              <w:spacing w:before="57"/>
              <w:ind w:left="0"/>
              <w:rPr>
                <w:sz w:val="20"/>
              </w:rPr>
            </w:pPr>
            <w:r>
              <w:rPr>
                <w:sz w:val="20"/>
              </w:rPr>
              <w:t>Super Radio Network</w:t>
            </w:r>
          </w:p>
        </w:tc>
        <w:tc>
          <w:tcPr>
            <w:tcW w:w="3975" w:type="dxa"/>
          </w:tcPr>
          <w:p w14:paraId="0191F492" w14:textId="77777777" w:rsidR="00387740" w:rsidRDefault="00387740" w:rsidP="007C6CB6">
            <w:pPr>
              <w:pStyle w:val="TableParagraph"/>
              <w:spacing w:before="57"/>
              <w:ind w:left="0"/>
              <w:rPr>
                <w:sz w:val="20"/>
              </w:rPr>
            </w:pPr>
            <w:r>
              <w:rPr>
                <w:sz w:val="20"/>
              </w:rPr>
              <w:t>Commercial radio broadcasting</w:t>
            </w:r>
          </w:p>
        </w:tc>
      </w:tr>
      <w:tr w:rsidR="00387740" w14:paraId="17505372" w14:textId="77777777" w:rsidTr="007C6CB6">
        <w:trPr>
          <w:trHeight w:hRule="exact" w:val="353"/>
        </w:trPr>
        <w:tc>
          <w:tcPr>
            <w:tcW w:w="5387" w:type="dxa"/>
            <w:shd w:val="clear" w:color="auto" w:fill="F1F1F1"/>
          </w:tcPr>
          <w:p w14:paraId="23397C8C" w14:textId="77777777" w:rsidR="00387740" w:rsidRDefault="00387740" w:rsidP="007C6CB6">
            <w:pPr>
              <w:pStyle w:val="TableParagraph"/>
              <w:spacing w:before="55"/>
              <w:ind w:left="0"/>
              <w:rPr>
                <w:sz w:val="20"/>
              </w:rPr>
            </w:pPr>
            <w:r>
              <w:rPr>
                <w:sz w:val="20"/>
              </w:rPr>
              <w:t>World Media</w:t>
            </w:r>
          </w:p>
        </w:tc>
        <w:tc>
          <w:tcPr>
            <w:tcW w:w="3975" w:type="dxa"/>
            <w:shd w:val="clear" w:color="auto" w:fill="F1F1F1"/>
          </w:tcPr>
          <w:p w14:paraId="6F6BD827" w14:textId="77777777" w:rsidR="00387740" w:rsidRDefault="00387740" w:rsidP="007C6CB6">
            <w:pPr>
              <w:pStyle w:val="TableParagraph"/>
              <w:spacing w:before="55"/>
              <w:ind w:left="0"/>
              <w:rPr>
                <w:sz w:val="20"/>
              </w:rPr>
            </w:pPr>
            <w:r>
              <w:rPr>
                <w:sz w:val="20"/>
              </w:rPr>
              <w:t>Narrowcasting</w:t>
            </w:r>
          </w:p>
        </w:tc>
      </w:tr>
    </w:tbl>
    <w:p w14:paraId="3DD78779" w14:textId="1668A3C4" w:rsidR="00D54FB8" w:rsidRDefault="00D54FB8" w:rsidP="00274F79">
      <w:pPr>
        <w:pStyle w:val="Paragraph"/>
      </w:pPr>
    </w:p>
    <w:p w14:paraId="475F47A8" w14:textId="0A2CC47E" w:rsidR="00F67CEB" w:rsidRDefault="00F67CEB" w:rsidP="00F67CEB">
      <w:pPr>
        <w:pStyle w:val="Heading1"/>
      </w:pPr>
      <w:bookmarkStart w:id="45" w:name="_Toc35846808"/>
      <w:r>
        <w:lastRenderedPageBreak/>
        <w:t>Glossary</w:t>
      </w:r>
      <w:bookmarkEnd w:id="45"/>
    </w:p>
    <w:tbl>
      <w:tblPr>
        <w:tblW w:w="7797" w:type="dxa"/>
        <w:tblLayout w:type="fixed"/>
        <w:tblCellMar>
          <w:left w:w="0" w:type="dxa"/>
          <w:right w:w="0" w:type="dxa"/>
        </w:tblCellMar>
        <w:tblLook w:val="01E0" w:firstRow="1" w:lastRow="1" w:firstColumn="1" w:lastColumn="1" w:noHBand="0" w:noVBand="0"/>
      </w:tblPr>
      <w:tblGrid>
        <w:gridCol w:w="1542"/>
        <w:gridCol w:w="6255"/>
      </w:tblGrid>
      <w:tr w:rsidR="00F67CEB" w14:paraId="02E8181C"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2D7AF7EF" w14:textId="77777777" w:rsidR="00F67CEB" w:rsidRDefault="00F67CEB" w:rsidP="00F67CEB">
            <w:pPr>
              <w:pStyle w:val="TableParagraph"/>
              <w:spacing w:line="223" w:lineRule="exact"/>
              <w:ind w:left="0"/>
              <w:rPr>
                <w:b/>
                <w:sz w:val="20"/>
              </w:rPr>
            </w:pPr>
            <w:r>
              <w:rPr>
                <w:b/>
                <w:sz w:val="20"/>
              </w:rPr>
              <w:t>AM</w:t>
            </w:r>
          </w:p>
        </w:tc>
        <w:tc>
          <w:tcPr>
            <w:tcW w:w="6255" w:type="dxa"/>
            <w:shd w:val="clear" w:color="auto" w:fill="F2F2F2" w:themeFill="background1" w:themeFillShade="F2"/>
            <w:tcMar>
              <w:top w:w="85" w:type="dxa"/>
              <w:left w:w="57" w:type="dxa"/>
              <w:bottom w:w="85" w:type="dxa"/>
              <w:right w:w="57" w:type="dxa"/>
            </w:tcMar>
          </w:tcPr>
          <w:p w14:paraId="618651F5" w14:textId="77777777" w:rsidR="00F67CEB" w:rsidRDefault="00F67CEB" w:rsidP="00F67CEB">
            <w:pPr>
              <w:pStyle w:val="TableParagraph"/>
              <w:spacing w:line="223" w:lineRule="exact"/>
              <w:ind w:left="0"/>
              <w:rPr>
                <w:b/>
                <w:sz w:val="20"/>
              </w:rPr>
            </w:pPr>
            <w:r>
              <w:rPr>
                <w:b/>
                <w:sz w:val="20"/>
              </w:rPr>
              <w:t>amplitude modulation</w:t>
            </w:r>
          </w:p>
          <w:p w14:paraId="7902FE70" w14:textId="77777777" w:rsidR="00F67CEB" w:rsidRDefault="00F67CEB" w:rsidP="00F67CEB">
            <w:pPr>
              <w:pStyle w:val="TableParagraph"/>
              <w:spacing w:line="249" w:lineRule="auto"/>
              <w:ind w:left="0"/>
              <w:rPr>
                <w:sz w:val="20"/>
              </w:rPr>
            </w:pPr>
            <w:r>
              <w:rPr>
                <w:sz w:val="20"/>
              </w:rPr>
              <w:t>A method of radio broadcasting where the radio signal is modulated (varied) by changing its amplitude. Radiofrequencies for AM broadcasts are expressed in kilohertz (kHz).</w:t>
            </w:r>
          </w:p>
        </w:tc>
      </w:tr>
      <w:tr w:rsidR="00F67CEB" w14:paraId="187B19C8" w14:textId="77777777" w:rsidTr="00100C9D">
        <w:trPr>
          <w:cantSplit/>
        </w:trPr>
        <w:tc>
          <w:tcPr>
            <w:tcW w:w="1542" w:type="dxa"/>
            <w:tcMar>
              <w:top w:w="85" w:type="dxa"/>
              <w:left w:w="57" w:type="dxa"/>
              <w:bottom w:w="85" w:type="dxa"/>
              <w:right w:w="57" w:type="dxa"/>
            </w:tcMar>
          </w:tcPr>
          <w:p w14:paraId="1CF1A2BF" w14:textId="77777777" w:rsidR="00F67CEB" w:rsidRDefault="00F67CEB" w:rsidP="00F67CEB">
            <w:pPr>
              <w:pStyle w:val="TableParagraph"/>
              <w:ind w:left="0"/>
              <w:rPr>
                <w:b/>
                <w:sz w:val="20"/>
              </w:rPr>
            </w:pPr>
            <w:r>
              <w:rPr>
                <w:b/>
                <w:sz w:val="20"/>
              </w:rPr>
              <w:t>bandwidth</w:t>
            </w:r>
          </w:p>
        </w:tc>
        <w:tc>
          <w:tcPr>
            <w:tcW w:w="6255" w:type="dxa"/>
            <w:tcMar>
              <w:top w:w="85" w:type="dxa"/>
              <w:left w:w="57" w:type="dxa"/>
              <w:bottom w:w="85" w:type="dxa"/>
              <w:right w:w="57" w:type="dxa"/>
            </w:tcMar>
          </w:tcPr>
          <w:p w14:paraId="7CFD322E" w14:textId="77777777" w:rsidR="00F67CEB" w:rsidRDefault="00F67CEB" w:rsidP="00F67CEB">
            <w:pPr>
              <w:pStyle w:val="TableParagraph"/>
              <w:spacing w:line="249" w:lineRule="auto"/>
              <w:ind w:left="0"/>
              <w:rPr>
                <w:sz w:val="20"/>
              </w:rPr>
            </w:pPr>
            <w:r>
              <w:rPr>
                <w:sz w:val="20"/>
              </w:rPr>
              <w:t xml:space="preserve">In the internet industry, it refers to the capacity of a connection to carry information, while in radiocommunications, it is the amount of radiofrequency spectrum used for a </w:t>
            </w:r>
            <w:proofErr w:type="gramStart"/>
            <w:r>
              <w:rPr>
                <w:sz w:val="20"/>
              </w:rPr>
              <w:t>particular function</w:t>
            </w:r>
            <w:proofErr w:type="gramEnd"/>
            <w:r>
              <w:rPr>
                <w:sz w:val="20"/>
              </w:rPr>
              <w:t>.</w:t>
            </w:r>
          </w:p>
        </w:tc>
      </w:tr>
      <w:tr w:rsidR="00F67CEB" w14:paraId="23259E3E"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4598C5ED" w14:textId="77777777" w:rsidR="00F67CEB" w:rsidRDefault="00F67CEB" w:rsidP="00F67CEB">
            <w:pPr>
              <w:pStyle w:val="TableParagraph"/>
              <w:ind w:left="0"/>
              <w:rPr>
                <w:b/>
                <w:sz w:val="20"/>
              </w:rPr>
            </w:pPr>
            <w:r>
              <w:rPr>
                <w:b/>
                <w:sz w:val="20"/>
              </w:rPr>
              <w:t>bit/s</w:t>
            </w:r>
          </w:p>
        </w:tc>
        <w:tc>
          <w:tcPr>
            <w:tcW w:w="6255" w:type="dxa"/>
            <w:shd w:val="clear" w:color="auto" w:fill="F2F2F2" w:themeFill="background1" w:themeFillShade="F2"/>
            <w:tcMar>
              <w:top w:w="85" w:type="dxa"/>
              <w:left w:w="57" w:type="dxa"/>
              <w:bottom w:w="85" w:type="dxa"/>
              <w:right w:w="57" w:type="dxa"/>
            </w:tcMar>
          </w:tcPr>
          <w:p w14:paraId="10EDFEC0" w14:textId="77777777" w:rsidR="00F67CEB" w:rsidRDefault="00F67CEB" w:rsidP="00F67CEB">
            <w:pPr>
              <w:pStyle w:val="TableParagraph"/>
              <w:ind w:left="0"/>
              <w:rPr>
                <w:b/>
                <w:sz w:val="20"/>
              </w:rPr>
            </w:pPr>
            <w:r>
              <w:rPr>
                <w:b/>
                <w:sz w:val="20"/>
              </w:rPr>
              <w:t>bits per second</w:t>
            </w:r>
          </w:p>
          <w:p w14:paraId="1552C393" w14:textId="77777777" w:rsidR="00F67CEB" w:rsidRDefault="00F67CEB" w:rsidP="00F67CEB">
            <w:pPr>
              <w:pStyle w:val="TableParagraph"/>
              <w:ind w:left="0"/>
              <w:rPr>
                <w:sz w:val="20"/>
              </w:rPr>
            </w:pPr>
            <w:r>
              <w:rPr>
                <w:sz w:val="20"/>
              </w:rPr>
              <w:t>Rate of transfer of data. See also kbit/s, Mbit/s.</w:t>
            </w:r>
          </w:p>
        </w:tc>
      </w:tr>
      <w:tr w:rsidR="00F67CEB" w14:paraId="48838E9A" w14:textId="77777777" w:rsidTr="00100C9D">
        <w:trPr>
          <w:cantSplit/>
        </w:trPr>
        <w:tc>
          <w:tcPr>
            <w:tcW w:w="1542" w:type="dxa"/>
            <w:tcMar>
              <w:top w:w="85" w:type="dxa"/>
              <w:left w:w="57" w:type="dxa"/>
              <w:bottom w:w="85" w:type="dxa"/>
              <w:right w:w="57" w:type="dxa"/>
            </w:tcMar>
          </w:tcPr>
          <w:p w14:paraId="75348112" w14:textId="77777777" w:rsidR="00F67CEB" w:rsidRDefault="00F67CEB" w:rsidP="00F67CEB">
            <w:pPr>
              <w:pStyle w:val="TableParagraph"/>
              <w:ind w:left="0"/>
              <w:rPr>
                <w:b/>
                <w:sz w:val="20"/>
              </w:rPr>
            </w:pPr>
            <w:r>
              <w:rPr>
                <w:b/>
                <w:sz w:val="20"/>
              </w:rPr>
              <w:t>broadband</w:t>
            </w:r>
          </w:p>
        </w:tc>
        <w:tc>
          <w:tcPr>
            <w:tcW w:w="6255" w:type="dxa"/>
            <w:tcMar>
              <w:top w:w="85" w:type="dxa"/>
              <w:left w:w="57" w:type="dxa"/>
              <w:bottom w:w="85" w:type="dxa"/>
              <w:right w:w="57" w:type="dxa"/>
            </w:tcMar>
          </w:tcPr>
          <w:p w14:paraId="7A48737D" w14:textId="77777777" w:rsidR="00F67CEB" w:rsidRDefault="00F67CEB" w:rsidP="00F67CEB">
            <w:pPr>
              <w:pStyle w:val="TableParagraph"/>
              <w:spacing w:line="249" w:lineRule="auto"/>
              <w:ind w:left="0"/>
              <w:rPr>
                <w:sz w:val="20"/>
              </w:rPr>
            </w:pPr>
            <w:r>
              <w:rPr>
                <w:sz w:val="20"/>
              </w:rPr>
              <w:t>Describes a class of internet access technologies, such as ADSL, HFC cable and wi-fi, offering a data rate significantly higher than narrowband services. These services are usually ‘always-on’ and do not tie up a telephone line exclusively for data. Broadband is a relative rather than absolute concept, 256 kbit/s widely regarded as the lower limit for broadband access.</w:t>
            </w:r>
          </w:p>
        </w:tc>
      </w:tr>
      <w:tr w:rsidR="00F67CEB" w14:paraId="6A7B3261"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7A027E16" w14:textId="77777777" w:rsidR="00F67CEB" w:rsidRDefault="00F67CEB" w:rsidP="00F67CEB">
            <w:pPr>
              <w:pStyle w:val="TableParagraph"/>
              <w:ind w:left="0"/>
              <w:rPr>
                <w:b/>
                <w:sz w:val="20"/>
              </w:rPr>
            </w:pPr>
            <w:r>
              <w:rPr>
                <w:b/>
                <w:sz w:val="20"/>
              </w:rPr>
              <w:t>BSB</w:t>
            </w:r>
          </w:p>
        </w:tc>
        <w:tc>
          <w:tcPr>
            <w:tcW w:w="6255" w:type="dxa"/>
            <w:shd w:val="clear" w:color="auto" w:fill="F2F2F2" w:themeFill="background1" w:themeFillShade="F2"/>
            <w:tcMar>
              <w:top w:w="85" w:type="dxa"/>
              <w:left w:w="57" w:type="dxa"/>
              <w:bottom w:w="85" w:type="dxa"/>
              <w:right w:w="57" w:type="dxa"/>
            </w:tcMar>
          </w:tcPr>
          <w:p w14:paraId="4CAC1185" w14:textId="77777777" w:rsidR="00F67CEB" w:rsidRDefault="00F67CEB" w:rsidP="00F67CEB">
            <w:pPr>
              <w:pStyle w:val="TableParagraph"/>
              <w:ind w:left="0"/>
              <w:rPr>
                <w:b/>
                <w:sz w:val="20"/>
              </w:rPr>
            </w:pPr>
            <w:r>
              <w:rPr>
                <w:b/>
                <w:sz w:val="20"/>
              </w:rPr>
              <w:t>broadcasting services bands</w:t>
            </w:r>
          </w:p>
          <w:p w14:paraId="3F37C6DB" w14:textId="1ABFBC3B" w:rsidR="00F67CEB" w:rsidRDefault="00F67CEB" w:rsidP="00100C9D">
            <w:pPr>
              <w:pStyle w:val="TableParagraph"/>
              <w:spacing w:after="80" w:line="249" w:lineRule="auto"/>
              <w:ind w:left="0"/>
              <w:rPr>
                <w:sz w:val="20"/>
              </w:rPr>
            </w:pPr>
            <w:r>
              <w:rPr>
                <w:sz w:val="20"/>
              </w:rPr>
              <w:t xml:space="preserve">Parts of the radiofrequency that the Minister has designated by legislative instrument under subsection 31(1) of the </w:t>
            </w:r>
            <w:r>
              <w:rPr>
                <w:i/>
                <w:sz w:val="20"/>
              </w:rPr>
              <w:t xml:space="preserve">Radiocommunications Act 1992 </w:t>
            </w:r>
            <w:r>
              <w:rPr>
                <w:sz w:val="20"/>
              </w:rPr>
              <w:t>to be primarily for broadcasting purposes.</w:t>
            </w:r>
          </w:p>
          <w:p w14:paraId="4E5263FD" w14:textId="7E27461C" w:rsidR="00F67CEB" w:rsidRDefault="00F67CEB" w:rsidP="00100C9D">
            <w:pPr>
              <w:pStyle w:val="TableParagraph"/>
              <w:spacing w:after="80" w:line="252" w:lineRule="auto"/>
              <w:ind w:left="0"/>
              <w:rPr>
                <w:sz w:val="20"/>
              </w:rPr>
            </w:pPr>
            <w:r>
              <w:rPr>
                <w:sz w:val="20"/>
              </w:rPr>
              <w:t xml:space="preserve">BSB spectrum is planned in accordance with Part 3 of the </w:t>
            </w:r>
            <w:r>
              <w:rPr>
                <w:i/>
                <w:sz w:val="20"/>
              </w:rPr>
              <w:t>Broadcasting Services Act 1992.</w:t>
            </w:r>
          </w:p>
          <w:p w14:paraId="49D2C10B" w14:textId="77777777" w:rsidR="00F67CEB" w:rsidRDefault="00F67CEB" w:rsidP="0038557E">
            <w:pPr>
              <w:pStyle w:val="TableParagraph"/>
              <w:spacing w:after="80"/>
              <w:ind w:left="0"/>
              <w:rPr>
                <w:sz w:val="20"/>
              </w:rPr>
            </w:pPr>
            <w:r>
              <w:rPr>
                <w:sz w:val="20"/>
              </w:rPr>
              <w:t>The broadcasting services bands used for radio are:</w:t>
            </w:r>
          </w:p>
          <w:p w14:paraId="35449E8F" w14:textId="43B9AA44" w:rsidR="00F67CEB" w:rsidRDefault="00F67CEB" w:rsidP="00100C9D">
            <w:pPr>
              <w:pStyle w:val="Bulletlevel1"/>
            </w:pPr>
            <w:r>
              <w:t>AM band: 526.5 to 1606.5 kHz</w:t>
            </w:r>
          </w:p>
          <w:p w14:paraId="2483AC71" w14:textId="44C5C38D" w:rsidR="00F67CEB" w:rsidRDefault="00F67CEB" w:rsidP="0038557E">
            <w:pPr>
              <w:pStyle w:val="Bulletlevel1"/>
              <w:spacing w:after="0"/>
            </w:pPr>
            <w:r>
              <w:t>FM band: 87.5 to 108 MHz.</w:t>
            </w:r>
          </w:p>
        </w:tc>
      </w:tr>
      <w:tr w:rsidR="00F67CEB" w14:paraId="01B251F9" w14:textId="77777777" w:rsidTr="00100C9D">
        <w:trPr>
          <w:cantSplit/>
        </w:trPr>
        <w:tc>
          <w:tcPr>
            <w:tcW w:w="1542" w:type="dxa"/>
            <w:tcMar>
              <w:top w:w="85" w:type="dxa"/>
              <w:left w:w="57" w:type="dxa"/>
              <w:bottom w:w="85" w:type="dxa"/>
              <w:right w:w="57" w:type="dxa"/>
            </w:tcMar>
          </w:tcPr>
          <w:p w14:paraId="1348B072" w14:textId="77777777" w:rsidR="00F67CEB" w:rsidRDefault="00F67CEB" w:rsidP="00F67CEB">
            <w:pPr>
              <w:pStyle w:val="TableParagraph"/>
              <w:ind w:left="0"/>
              <w:rPr>
                <w:b/>
                <w:sz w:val="20"/>
              </w:rPr>
            </w:pPr>
            <w:r>
              <w:rPr>
                <w:b/>
                <w:sz w:val="20"/>
              </w:rPr>
              <w:t>data rate</w:t>
            </w:r>
          </w:p>
        </w:tc>
        <w:tc>
          <w:tcPr>
            <w:tcW w:w="6255" w:type="dxa"/>
            <w:tcMar>
              <w:top w:w="85" w:type="dxa"/>
              <w:left w:w="57" w:type="dxa"/>
              <w:bottom w:w="85" w:type="dxa"/>
              <w:right w:w="57" w:type="dxa"/>
            </w:tcMar>
          </w:tcPr>
          <w:p w14:paraId="66A5CCE5" w14:textId="1A8452AE" w:rsidR="00F67CEB" w:rsidRDefault="00F67CEB" w:rsidP="00F67CEB">
            <w:pPr>
              <w:pStyle w:val="TableParagraph"/>
              <w:spacing w:line="249" w:lineRule="auto"/>
              <w:ind w:left="0"/>
              <w:rPr>
                <w:sz w:val="20"/>
              </w:rPr>
            </w:pPr>
            <w:r>
              <w:rPr>
                <w:sz w:val="20"/>
              </w:rPr>
              <w:t xml:space="preserve">Volume of data able to be transmitted over a given </w:t>
            </w:r>
            <w:r w:rsidR="00996792">
              <w:rPr>
                <w:sz w:val="20"/>
              </w:rPr>
              <w:t>period</w:t>
            </w:r>
            <w:r>
              <w:rPr>
                <w:sz w:val="20"/>
              </w:rPr>
              <w:t>. Data rates are usually measured in bits per second.</w:t>
            </w:r>
          </w:p>
        </w:tc>
      </w:tr>
      <w:tr w:rsidR="00F67CEB" w14:paraId="2DA1D067"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30FF7CB3" w14:textId="77777777" w:rsidR="00F67CEB" w:rsidRDefault="00F67CEB" w:rsidP="00F67CEB">
            <w:pPr>
              <w:pStyle w:val="TableParagraph"/>
              <w:ind w:left="0"/>
              <w:rPr>
                <w:b/>
                <w:sz w:val="20"/>
              </w:rPr>
            </w:pPr>
            <w:r>
              <w:rPr>
                <w:b/>
                <w:sz w:val="20"/>
              </w:rPr>
              <w:t>DRM</w:t>
            </w:r>
          </w:p>
        </w:tc>
        <w:tc>
          <w:tcPr>
            <w:tcW w:w="6255" w:type="dxa"/>
            <w:shd w:val="clear" w:color="auto" w:fill="F2F2F2" w:themeFill="background1" w:themeFillShade="F2"/>
            <w:tcMar>
              <w:top w:w="85" w:type="dxa"/>
              <w:left w:w="57" w:type="dxa"/>
              <w:bottom w:w="85" w:type="dxa"/>
              <w:right w:w="57" w:type="dxa"/>
            </w:tcMar>
          </w:tcPr>
          <w:p w14:paraId="545F9E31" w14:textId="77777777" w:rsidR="00F67CEB" w:rsidRDefault="00F67CEB" w:rsidP="00F67CEB">
            <w:pPr>
              <w:pStyle w:val="TableParagraph"/>
              <w:ind w:left="0"/>
              <w:rPr>
                <w:b/>
                <w:sz w:val="20"/>
              </w:rPr>
            </w:pPr>
            <w:r>
              <w:rPr>
                <w:b/>
                <w:sz w:val="20"/>
              </w:rPr>
              <w:t>Digital Radio Mondiale</w:t>
            </w:r>
          </w:p>
          <w:p w14:paraId="7344B35C" w14:textId="3AA8486E" w:rsidR="00F67CEB" w:rsidRDefault="00F67CEB" w:rsidP="00F67CEB">
            <w:pPr>
              <w:pStyle w:val="TableParagraph"/>
              <w:spacing w:line="249" w:lineRule="auto"/>
              <w:ind w:left="0"/>
              <w:rPr>
                <w:sz w:val="20"/>
              </w:rPr>
            </w:pPr>
            <w:r>
              <w:rPr>
                <w:sz w:val="20"/>
              </w:rPr>
              <w:t>Uses the existing AM broadcast frequency bands and is designed to fit in with the existing AM broadcast band plan, based on signals of 9 kHz or</w:t>
            </w:r>
            <w:r w:rsidR="00996792">
              <w:rPr>
                <w:sz w:val="20"/>
              </w:rPr>
              <w:t xml:space="preserve"> </w:t>
            </w:r>
            <w:r>
              <w:rPr>
                <w:sz w:val="20"/>
              </w:rPr>
              <w:t>10 kHz bandwidth. All data produced from the digitally encoded audio and associated data signals is shared out for transmission across many closely spaced carriers.</w:t>
            </w:r>
          </w:p>
        </w:tc>
      </w:tr>
      <w:tr w:rsidR="00F67CEB" w14:paraId="4C7D7B37" w14:textId="77777777" w:rsidTr="00100C9D">
        <w:trPr>
          <w:cantSplit/>
        </w:trPr>
        <w:tc>
          <w:tcPr>
            <w:tcW w:w="1542" w:type="dxa"/>
            <w:tcMar>
              <w:top w:w="85" w:type="dxa"/>
              <w:left w:w="57" w:type="dxa"/>
              <w:bottom w:w="85" w:type="dxa"/>
              <w:right w:w="57" w:type="dxa"/>
            </w:tcMar>
          </w:tcPr>
          <w:p w14:paraId="33C4BC30" w14:textId="77777777" w:rsidR="00F67CEB" w:rsidRDefault="00F67CEB" w:rsidP="00F67CEB">
            <w:pPr>
              <w:pStyle w:val="TableParagraph"/>
              <w:ind w:left="0"/>
              <w:rPr>
                <w:b/>
                <w:sz w:val="20"/>
              </w:rPr>
            </w:pPr>
            <w:r>
              <w:rPr>
                <w:b/>
                <w:sz w:val="20"/>
              </w:rPr>
              <w:t>eMBMS</w:t>
            </w:r>
          </w:p>
        </w:tc>
        <w:tc>
          <w:tcPr>
            <w:tcW w:w="6255" w:type="dxa"/>
            <w:tcMar>
              <w:top w:w="85" w:type="dxa"/>
              <w:left w:w="57" w:type="dxa"/>
              <w:bottom w:w="85" w:type="dxa"/>
              <w:right w:w="57" w:type="dxa"/>
            </w:tcMar>
          </w:tcPr>
          <w:p w14:paraId="1D743CD4" w14:textId="77777777" w:rsidR="00F67CEB" w:rsidRDefault="00F67CEB" w:rsidP="00F67CEB">
            <w:pPr>
              <w:pStyle w:val="TableParagraph"/>
              <w:ind w:left="0"/>
              <w:rPr>
                <w:b/>
                <w:sz w:val="20"/>
              </w:rPr>
            </w:pPr>
            <w:r>
              <w:rPr>
                <w:b/>
                <w:sz w:val="20"/>
              </w:rPr>
              <w:t>enhanced Multimedia Broadcast Multicast Service</w:t>
            </w:r>
          </w:p>
          <w:p w14:paraId="0F4E5E1F" w14:textId="77777777" w:rsidR="00F67CEB" w:rsidRDefault="00F67CEB" w:rsidP="00F67CEB">
            <w:pPr>
              <w:pStyle w:val="TableParagraph"/>
              <w:spacing w:line="249" w:lineRule="auto"/>
              <w:ind w:left="0"/>
              <w:rPr>
                <w:sz w:val="20"/>
              </w:rPr>
            </w:pPr>
            <w:r>
              <w:rPr>
                <w:sz w:val="20"/>
              </w:rPr>
              <w:t>The standard for providing broadcast multimedia services through LTE (4G) network. eMBMS enables the same content to be delivered to many users at the same time, resulting in a more efficient use of network resources when compared to each user receiving the same content individually.</w:t>
            </w:r>
          </w:p>
        </w:tc>
      </w:tr>
      <w:tr w:rsidR="00F67CEB" w14:paraId="2C3CC684"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4A9C1B7F" w14:textId="04FEE61C" w:rsidR="00F67CEB" w:rsidRDefault="00F67CEB" w:rsidP="00F67CEB">
            <w:pPr>
              <w:pStyle w:val="TableParagraph"/>
              <w:ind w:left="0"/>
              <w:rPr>
                <w:b/>
                <w:sz w:val="20"/>
              </w:rPr>
            </w:pPr>
            <w:r>
              <w:rPr>
                <w:b/>
                <w:sz w:val="20"/>
              </w:rPr>
              <w:lastRenderedPageBreak/>
              <w:t>feMBMS</w:t>
            </w:r>
          </w:p>
        </w:tc>
        <w:tc>
          <w:tcPr>
            <w:tcW w:w="6255" w:type="dxa"/>
            <w:shd w:val="clear" w:color="auto" w:fill="F2F2F2" w:themeFill="background1" w:themeFillShade="F2"/>
            <w:tcMar>
              <w:top w:w="85" w:type="dxa"/>
              <w:left w:w="57" w:type="dxa"/>
              <w:bottom w:w="85" w:type="dxa"/>
              <w:right w:w="57" w:type="dxa"/>
            </w:tcMar>
          </w:tcPr>
          <w:p w14:paraId="41CE6D6E" w14:textId="77777777" w:rsidR="00F67CEB" w:rsidRDefault="00F67CEB" w:rsidP="00F67CEB">
            <w:pPr>
              <w:pStyle w:val="TableParagraph"/>
              <w:spacing w:line="223" w:lineRule="exact"/>
              <w:ind w:left="0"/>
              <w:rPr>
                <w:b/>
                <w:sz w:val="20"/>
              </w:rPr>
            </w:pPr>
            <w:r>
              <w:rPr>
                <w:b/>
                <w:sz w:val="20"/>
              </w:rPr>
              <w:t>further evolved Multimedia Broadcast Multicast Service</w:t>
            </w:r>
          </w:p>
          <w:p w14:paraId="61D7BB64" w14:textId="48E6E536" w:rsidR="00F67CEB" w:rsidRDefault="00F67CEB" w:rsidP="00F67CEB">
            <w:pPr>
              <w:pStyle w:val="TableParagraph"/>
              <w:ind w:left="0"/>
              <w:rPr>
                <w:b/>
                <w:sz w:val="20"/>
              </w:rPr>
            </w:pPr>
            <w:r>
              <w:rPr>
                <w:sz w:val="20"/>
              </w:rPr>
              <w:t>Further evolution of eMBMS, enabling new features including operation without SIM cards for the broadcast applications, downlink only mode, option to utilise the full signal bandwidth for multicast/broadcast applications and more flexible network configuration with large signal frequency networks. FeMBMS will be used a basis for the terrestrial broadcast mode for the 5G multimedia.</w:t>
            </w:r>
          </w:p>
        </w:tc>
      </w:tr>
      <w:tr w:rsidR="00F67CEB" w14:paraId="78CA3F21" w14:textId="77777777" w:rsidTr="00100C9D">
        <w:trPr>
          <w:cantSplit/>
        </w:trPr>
        <w:tc>
          <w:tcPr>
            <w:tcW w:w="1542" w:type="dxa"/>
            <w:tcMar>
              <w:top w:w="85" w:type="dxa"/>
              <w:left w:w="57" w:type="dxa"/>
              <w:bottom w:w="85" w:type="dxa"/>
              <w:right w:w="57" w:type="dxa"/>
            </w:tcMar>
          </w:tcPr>
          <w:p w14:paraId="3EE2CE5E" w14:textId="32549349" w:rsidR="00F67CEB" w:rsidRDefault="00F67CEB" w:rsidP="00F67CEB">
            <w:pPr>
              <w:pStyle w:val="TableParagraph"/>
              <w:ind w:left="0"/>
              <w:rPr>
                <w:b/>
                <w:sz w:val="20"/>
              </w:rPr>
            </w:pPr>
            <w:r>
              <w:rPr>
                <w:b/>
                <w:sz w:val="20"/>
              </w:rPr>
              <w:t>FM</w:t>
            </w:r>
          </w:p>
        </w:tc>
        <w:tc>
          <w:tcPr>
            <w:tcW w:w="6255" w:type="dxa"/>
            <w:tcMar>
              <w:top w:w="85" w:type="dxa"/>
              <w:left w:w="57" w:type="dxa"/>
              <w:bottom w:w="85" w:type="dxa"/>
              <w:right w:w="57" w:type="dxa"/>
            </w:tcMar>
          </w:tcPr>
          <w:p w14:paraId="71A32D03" w14:textId="77777777" w:rsidR="00F67CEB" w:rsidRDefault="00F67CEB" w:rsidP="00F67CEB">
            <w:pPr>
              <w:pStyle w:val="TableParagraph"/>
              <w:ind w:left="0"/>
              <w:rPr>
                <w:b/>
                <w:sz w:val="20"/>
              </w:rPr>
            </w:pPr>
            <w:r>
              <w:rPr>
                <w:b/>
                <w:sz w:val="20"/>
              </w:rPr>
              <w:t>frequency modulation</w:t>
            </w:r>
          </w:p>
          <w:p w14:paraId="1E13CDC8" w14:textId="1C02AF99" w:rsidR="00F67CEB" w:rsidRDefault="00F67CEB" w:rsidP="00F67CEB">
            <w:pPr>
              <w:pStyle w:val="TableParagraph"/>
              <w:ind w:left="0"/>
              <w:rPr>
                <w:b/>
                <w:sz w:val="20"/>
              </w:rPr>
            </w:pPr>
            <w:r>
              <w:rPr>
                <w:sz w:val="20"/>
              </w:rPr>
              <w:t>A mode of radio broadcasting in which the frequency of the radio signal is modulated (varied) with the amplitude of the audio signal. FM radio signals have good immunity to electrical interference and provide consistent quality reception during the day and night. The geographical coverage area varies, but for a high- power FM transmitter can be up to 100 kilometres. Radiofrequencies for FM broadcasts are expressed in megahertz (MHz).</w:t>
            </w:r>
          </w:p>
        </w:tc>
      </w:tr>
      <w:tr w:rsidR="00F67CEB" w14:paraId="77D4C633"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6F355116" w14:textId="2E173C73" w:rsidR="00F67CEB" w:rsidRDefault="00F67CEB" w:rsidP="00F67CEB">
            <w:pPr>
              <w:pStyle w:val="TableParagraph"/>
              <w:ind w:left="0"/>
              <w:rPr>
                <w:b/>
                <w:sz w:val="20"/>
              </w:rPr>
            </w:pPr>
            <w:r>
              <w:rPr>
                <w:b/>
                <w:sz w:val="20"/>
              </w:rPr>
              <w:t>HD radio</w:t>
            </w:r>
          </w:p>
        </w:tc>
        <w:tc>
          <w:tcPr>
            <w:tcW w:w="6255" w:type="dxa"/>
            <w:shd w:val="clear" w:color="auto" w:fill="F2F2F2" w:themeFill="background1" w:themeFillShade="F2"/>
            <w:tcMar>
              <w:top w:w="85" w:type="dxa"/>
              <w:left w:w="57" w:type="dxa"/>
              <w:bottom w:w="85" w:type="dxa"/>
              <w:right w:w="57" w:type="dxa"/>
            </w:tcMar>
          </w:tcPr>
          <w:p w14:paraId="4C76E6A3" w14:textId="77777777" w:rsidR="00F67CEB" w:rsidRDefault="00F67CEB" w:rsidP="00F67CEB">
            <w:pPr>
              <w:pStyle w:val="TableParagraph"/>
              <w:ind w:left="0"/>
              <w:rPr>
                <w:b/>
                <w:sz w:val="20"/>
              </w:rPr>
            </w:pPr>
            <w:r>
              <w:rPr>
                <w:b/>
                <w:sz w:val="20"/>
              </w:rPr>
              <w:t>high definition radio—formerly known as in-band on-channel (IBOC)</w:t>
            </w:r>
          </w:p>
          <w:p w14:paraId="6B74B871" w14:textId="24AD3E0A" w:rsidR="00F67CEB" w:rsidRDefault="00F67CEB" w:rsidP="00F67CEB">
            <w:pPr>
              <w:pStyle w:val="TableParagraph"/>
              <w:ind w:left="0"/>
              <w:rPr>
                <w:b/>
                <w:sz w:val="20"/>
              </w:rPr>
            </w:pPr>
            <w:r>
              <w:rPr>
                <w:sz w:val="20"/>
              </w:rPr>
              <w:t xml:space="preserve">A digital radio technology that is </w:t>
            </w:r>
            <w:proofErr w:type="gramStart"/>
            <w:r>
              <w:rPr>
                <w:sz w:val="20"/>
              </w:rPr>
              <w:t>similar to</w:t>
            </w:r>
            <w:proofErr w:type="gramEnd"/>
            <w:r>
              <w:rPr>
                <w:sz w:val="20"/>
              </w:rPr>
              <w:t xml:space="preserve"> DRM, except it uses proprietary rather than open source standards. It has been implemented in the United States as a simulcast for AM </w:t>
            </w:r>
            <w:r w:rsidR="00996792">
              <w:rPr>
                <w:sz w:val="20"/>
              </w:rPr>
              <w:t>and</w:t>
            </w:r>
            <w:r>
              <w:rPr>
                <w:sz w:val="20"/>
              </w:rPr>
              <w:t xml:space="preserve"> FM radio.</w:t>
            </w:r>
          </w:p>
        </w:tc>
      </w:tr>
      <w:tr w:rsidR="00F67CEB" w14:paraId="6FAFCECA" w14:textId="77777777" w:rsidTr="00100C9D">
        <w:trPr>
          <w:cantSplit/>
        </w:trPr>
        <w:tc>
          <w:tcPr>
            <w:tcW w:w="1542" w:type="dxa"/>
            <w:tcMar>
              <w:top w:w="85" w:type="dxa"/>
              <w:left w:w="57" w:type="dxa"/>
              <w:bottom w:w="85" w:type="dxa"/>
              <w:right w:w="57" w:type="dxa"/>
            </w:tcMar>
          </w:tcPr>
          <w:p w14:paraId="38C49C2C" w14:textId="6B0D0E9A" w:rsidR="00F67CEB" w:rsidRDefault="00F67CEB" w:rsidP="00F67CEB">
            <w:pPr>
              <w:pStyle w:val="TableParagraph"/>
              <w:ind w:left="0"/>
              <w:rPr>
                <w:b/>
                <w:sz w:val="20"/>
              </w:rPr>
            </w:pPr>
            <w:r>
              <w:rPr>
                <w:b/>
                <w:sz w:val="20"/>
              </w:rPr>
              <w:t>HPON</w:t>
            </w:r>
          </w:p>
        </w:tc>
        <w:tc>
          <w:tcPr>
            <w:tcW w:w="6255" w:type="dxa"/>
            <w:tcMar>
              <w:top w:w="85" w:type="dxa"/>
              <w:left w:w="57" w:type="dxa"/>
              <w:bottom w:w="85" w:type="dxa"/>
              <w:right w:w="57" w:type="dxa"/>
            </w:tcMar>
          </w:tcPr>
          <w:p w14:paraId="6EF61145" w14:textId="30F189BD" w:rsidR="00F67CEB" w:rsidRDefault="00F139EA" w:rsidP="00F67CEB">
            <w:pPr>
              <w:pStyle w:val="TableParagraph"/>
              <w:ind w:left="0"/>
              <w:rPr>
                <w:b/>
                <w:sz w:val="20"/>
              </w:rPr>
            </w:pPr>
            <w:r>
              <w:rPr>
                <w:b/>
                <w:sz w:val="20"/>
              </w:rPr>
              <w:t>H</w:t>
            </w:r>
            <w:r w:rsidR="00F67CEB">
              <w:rPr>
                <w:b/>
                <w:sz w:val="20"/>
              </w:rPr>
              <w:t>igh</w:t>
            </w:r>
            <w:r>
              <w:rPr>
                <w:b/>
                <w:sz w:val="20"/>
              </w:rPr>
              <w:t>-</w:t>
            </w:r>
            <w:r w:rsidR="00F67CEB">
              <w:rPr>
                <w:b/>
                <w:sz w:val="20"/>
              </w:rPr>
              <w:t>power open narrowcasting</w:t>
            </w:r>
          </w:p>
          <w:p w14:paraId="69A81162" w14:textId="7101707C" w:rsidR="00F67CEB" w:rsidRDefault="00F67CEB" w:rsidP="00F67CEB">
            <w:pPr>
              <w:pStyle w:val="TableParagraph"/>
              <w:ind w:left="0"/>
              <w:rPr>
                <w:b/>
                <w:sz w:val="20"/>
              </w:rPr>
            </w:pPr>
            <w:r>
              <w:rPr>
                <w:sz w:val="20"/>
              </w:rPr>
              <w:t>Transmitter licences that authorise open narrowcasting services in the broadcasting services bands, where the licensed power is greater than 1 watt in an urban area and greater than 10 W in a non-urban area. HPONs are generally planned in a licence area plan.</w:t>
            </w:r>
          </w:p>
        </w:tc>
      </w:tr>
      <w:tr w:rsidR="00F67CEB" w14:paraId="4FB3E83E"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53E5A96D" w14:textId="7E6B43D3" w:rsidR="00F67CEB" w:rsidRDefault="00F67CEB" w:rsidP="00F67CEB">
            <w:pPr>
              <w:pStyle w:val="TableParagraph"/>
              <w:ind w:left="0"/>
              <w:rPr>
                <w:b/>
                <w:sz w:val="20"/>
              </w:rPr>
            </w:pPr>
            <w:r>
              <w:rPr>
                <w:b/>
                <w:sz w:val="20"/>
              </w:rPr>
              <w:t>IP</w:t>
            </w:r>
          </w:p>
        </w:tc>
        <w:tc>
          <w:tcPr>
            <w:tcW w:w="6255" w:type="dxa"/>
            <w:shd w:val="clear" w:color="auto" w:fill="F2F2F2" w:themeFill="background1" w:themeFillShade="F2"/>
            <w:tcMar>
              <w:top w:w="85" w:type="dxa"/>
              <w:left w:w="57" w:type="dxa"/>
              <w:bottom w:w="85" w:type="dxa"/>
              <w:right w:w="57" w:type="dxa"/>
            </w:tcMar>
          </w:tcPr>
          <w:p w14:paraId="7415FD1F" w14:textId="77777777" w:rsidR="00F67CEB" w:rsidRDefault="00F67CEB" w:rsidP="00F67CEB">
            <w:pPr>
              <w:pStyle w:val="TableParagraph"/>
              <w:ind w:left="0"/>
              <w:rPr>
                <w:b/>
                <w:sz w:val="20"/>
              </w:rPr>
            </w:pPr>
            <w:r>
              <w:rPr>
                <w:b/>
                <w:sz w:val="20"/>
              </w:rPr>
              <w:t>internet protocol</w:t>
            </w:r>
          </w:p>
          <w:p w14:paraId="2CA1A140" w14:textId="0A9C77B0" w:rsidR="00F67CEB" w:rsidRDefault="00F67CEB" w:rsidP="00F67CEB">
            <w:pPr>
              <w:pStyle w:val="TableParagraph"/>
              <w:ind w:left="0"/>
              <w:rPr>
                <w:b/>
                <w:sz w:val="20"/>
              </w:rPr>
            </w:pPr>
            <w:r>
              <w:rPr>
                <w:color w:val="212121"/>
                <w:sz w:val="20"/>
              </w:rPr>
              <w:t>A set of rules governing the format of data sent over the internet or other network</w:t>
            </w:r>
          </w:p>
        </w:tc>
      </w:tr>
      <w:tr w:rsidR="00F67CEB" w14:paraId="045F0241" w14:textId="77777777" w:rsidTr="00100C9D">
        <w:trPr>
          <w:cantSplit/>
        </w:trPr>
        <w:tc>
          <w:tcPr>
            <w:tcW w:w="1542" w:type="dxa"/>
            <w:tcMar>
              <w:top w:w="85" w:type="dxa"/>
              <w:left w:w="57" w:type="dxa"/>
              <w:bottom w:w="85" w:type="dxa"/>
              <w:right w:w="57" w:type="dxa"/>
            </w:tcMar>
          </w:tcPr>
          <w:p w14:paraId="3D571972" w14:textId="2FA8644B" w:rsidR="00F67CEB" w:rsidRDefault="00F67CEB" w:rsidP="00F67CEB">
            <w:pPr>
              <w:pStyle w:val="TableParagraph"/>
              <w:ind w:left="0"/>
              <w:rPr>
                <w:b/>
                <w:sz w:val="20"/>
              </w:rPr>
            </w:pPr>
            <w:r>
              <w:rPr>
                <w:b/>
                <w:sz w:val="20"/>
              </w:rPr>
              <w:t>ITU-R</w:t>
            </w:r>
          </w:p>
        </w:tc>
        <w:tc>
          <w:tcPr>
            <w:tcW w:w="6255" w:type="dxa"/>
            <w:tcMar>
              <w:top w:w="85" w:type="dxa"/>
              <w:left w:w="57" w:type="dxa"/>
              <w:bottom w:w="85" w:type="dxa"/>
              <w:right w:w="57" w:type="dxa"/>
            </w:tcMar>
          </w:tcPr>
          <w:p w14:paraId="517804DA" w14:textId="21286C2C" w:rsidR="00F67CEB" w:rsidRDefault="00F67CEB" w:rsidP="00F67CEB">
            <w:pPr>
              <w:pStyle w:val="TableParagraph"/>
              <w:ind w:left="0"/>
              <w:rPr>
                <w:b/>
                <w:sz w:val="20"/>
              </w:rPr>
            </w:pPr>
            <w:r>
              <w:rPr>
                <w:b/>
                <w:sz w:val="20"/>
              </w:rPr>
              <w:t xml:space="preserve">International Telecommunication Union Radiocommunication Sector </w:t>
            </w:r>
            <w:r w:rsidR="00996792">
              <w:rPr>
                <w:b/>
                <w:sz w:val="20"/>
              </w:rPr>
              <w:br/>
            </w:r>
            <w:r>
              <w:rPr>
                <w:sz w:val="20"/>
              </w:rPr>
              <w:t>Founded in 1865, the ITU is the United Nations specialised agency for information and communication technologies. The radiocommunication sector’s primary objective is to ensure interference-free operation of radiocommunication systems.</w:t>
            </w:r>
          </w:p>
        </w:tc>
      </w:tr>
      <w:tr w:rsidR="00F67CEB" w14:paraId="6541E198"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46676A3C" w14:textId="5E45282C" w:rsidR="00F67CEB" w:rsidRDefault="00F67CEB" w:rsidP="00F67CEB">
            <w:pPr>
              <w:pStyle w:val="TableParagraph"/>
              <w:ind w:left="0"/>
              <w:rPr>
                <w:b/>
                <w:sz w:val="20"/>
              </w:rPr>
            </w:pPr>
            <w:r>
              <w:rPr>
                <w:b/>
                <w:sz w:val="20"/>
              </w:rPr>
              <w:t>kB</w:t>
            </w:r>
          </w:p>
        </w:tc>
        <w:tc>
          <w:tcPr>
            <w:tcW w:w="6255" w:type="dxa"/>
            <w:shd w:val="clear" w:color="auto" w:fill="F2F2F2" w:themeFill="background1" w:themeFillShade="F2"/>
            <w:tcMar>
              <w:top w:w="85" w:type="dxa"/>
              <w:left w:w="57" w:type="dxa"/>
              <w:bottom w:w="85" w:type="dxa"/>
              <w:right w:w="57" w:type="dxa"/>
            </w:tcMar>
          </w:tcPr>
          <w:p w14:paraId="1E230EE1" w14:textId="77777777" w:rsidR="00F67CEB" w:rsidRDefault="00F67CEB" w:rsidP="00F67CEB">
            <w:pPr>
              <w:pStyle w:val="TableParagraph"/>
              <w:ind w:left="0"/>
              <w:rPr>
                <w:b/>
                <w:sz w:val="20"/>
              </w:rPr>
            </w:pPr>
            <w:r>
              <w:rPr>
                <w:b/>
                <w:sz w:val="20"/>
              </w:rPr>
              <w:t>kilobyte(s)</w:t>
            </w:r>
          </w:p>
          <w:p w14:paraId="086351B2" w14:textId="41FEA0FC" w:rsidR="00F67CEB" w:rsidRDefault="00F67CEB" w:rsidP="00F67CEB">
            <w:pPr>
              <w:pStyle w:val="TableParagraph"/>
              <w:ind w:left="0"/>
              <w:rPr>
                <w:b/>
                <w:sz w:val="20"/>
              </w:rPr>
            </w:pPr>
            <w:r>
              <w:rPr>
                <w:sz w:val="20"/>
              </w:rPr>
              <w:t>A thousand bytes. See byte(s).</w:t>
            </w:r>
          </w:p>
        </w:tc>
      </w:tr>
      <w:tr w:rsidR="00F67CEB" w14:paraId="3572A8CB" w14:textId="77777777" w:rsidTr="00100C9D">
        <w:trPr>
          <w:cantSplit/>
        </w:trPr>
        <w:tc>
          <w:tcPr>
            <w:tcW w:w="1542" w:type="dxa"/>
            <w:tcMar>
              <w:top w:w="85" w:type="dxa"/>
              <w:left w:w="57" w:type="dxa"/>
              <w:bottom w:w="85" w:type="dxa"/>
              <w:right w:w="57" w:type="dxa"/>
            </w:tcMar>
          </w:tcPr>
          <w:p w14:paraId="01C7E4AA" w14:textId="6072B5D1" w:rsidR="00F67CEB" w:rsidRDefault="00F67CEB" w:rsidP="00F67CEB">
            <w:pPr>
              <w:pStyle w:val="TableParagraph"/>
              <w:ind w:left="0"/>
              <w:rPr>
                <w:b/>
                <w:sz w:val="20"/>
              </w:rPr>
            </w:pPr>
            <w:r>
              <w:rPr>
                <w:b/>
                <w:sz w:val="20"/>
              </w:rPr>
              <w:t>kbit/s</w:t>
            </w:r>
          </w:p>
        </w:tc>
        <w:tc>
          <w:tcPr>
            <w:tcW w:w="6255" w:type="dxa"/>
            <w:tcMar>
              <w:top w:w="85" w:type="dxa"/>
              <w:left w:w="57" w:type="dxa"/>
              <w:bottom w:w="85" w:type="dxa"/>
              <w:right w:w="57" w:type="dxa"/>
            </w:tcMar>
          </w:tcPr>
          <w:p w14:paraId="2BB5FDB3" w14:textId="77777777" w:rsidR="00F67CEB" w:rsidRDefault="00F67CEB" w:rsidP="00F67CEB">
            <w:pPr>
              <w:pStyle w:val="TableParagraph"/>
              <w:ind w:left="0"/>
              <w:rPr>
                <w:b/>
                <w:sz w:val="20"/>
              </w:rPr>
            </w:pPr>
            <w:r>
              <w:rPr>
                <w:b/>
                <w:sz w:val="20"/>
              </w:rPr>
              <w:t>kilobits per second</w:t>
            </w:r>
          </w:p>
          <w:p w14:paraId="6C9BF0D2" w14:textId="7FD28FA5" w:rsidR="00F67CEB" w:rsidRDefault="00F67CEB" w:rsidP="00F67CEB">
            <w:pPr>
              <w:pStyle w:val="TableParagraph"/>
              <w:ind w:left="0"/>
              <w:rPr>
                <w:b/>
                <w:sz w:val="20"/>
              </w:rPr>
            </w:pPr>
            <w:r>
              <w:rPr>
                <w:sz w:val="20"/>
              </w:rPr>
              <w:t>Data transfer rate of 1,000 bits per second. See bit/s.</w:t>
            </w:r>
          </w:p>
        </w:tc>
      </w:tr>
      <w:tr w:rsidR="00F67CEB" w14:paraId="0889334F"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0AC251EF" w14:textId="4BDDA20E" w:rsidR="00F67CEB" w:rsidRDefault="00F67CEB" w:rsidP="00F67CEB">
            <w:pPr>
              <w:pStyle w:val="TableParagraph"/>
              <w:ind w:left="0"/>
              <w:rPr>
                <w:b/>
                <w:sz w:val="20"/>
              </w:rPr>
            </w:pPr>
            <w:r>
              <w:rPr>
                <w:b/>
                <w:sz w:val="20"/>
              </w:rPr>
              <w:t>LPON</w:t>
            </w:r>
          </w:p>
        </w:tc>
        <w:tc>
          <w:tcPr>
            <w:tcW w:w="6255" w:type="dxa"/>
            <w:shd w:val="clear" w:color="auto" w:fill="F2F2F2" w:themeFill="background1" w:themeFillShade="F2"/>
            <w:tcMar>
              <w:top w:w="85" w:type="dxa"/>
              <w:left w:w="57" w:type="dxa"/>
              <w:bottom w:w="85" w:type="dxa"/>
              <w:right w:w="57" w:type="dxa"/>
            </w:tcMar>
          </w:tcPr>
          <w:p w14:paraId="109EC955" w14:textId="02D3DC73" w:rsidR="00F67CEB" w:rsidRDefault="00F67CEB" w:rsidP="00F67CEB">
            <w:pPr>
              <w:pStyle w:val="TableParagraph"/>
              <w:ind w:left="0"/>
              <w:rPr>
                <w:b/>
                <w:sz w:val="20"/>
              </w:rPr>
            </w:pPr>
            <w:r>
              <w:rPr>
                <w:b/>
                <w:sz w:val="20"/>
              </w:rPr>
              <w:t>Low</w:t>
            </w:r>
            <w:r w:rsidR="00996792">
              <w:rPr>
                <w:b/>
                <w:sz w:val="20"/>
              </w:rPr>
              <w:t>-</w:t>
            </w:r>
            <w:r>
              <w:rPr>
                <w:b/>
                <w:sz w:val="20"/>
              </w:rPr>
              <w:t>power open narrowcasting</w:t>
            </w:r>
          </w:p>
          <w:p w14:paraId="5BCDFDA9" w14:textId="369E77FA" w:rsidR="00F67CEB" w:rsidRDefault="00F67CEB" w:rsidP="00F67CEB">
            <w:pPr>
              <w:pStyle w:val="TableParagraph"/>
              <w:ind w:left="0"/>
              <w:rPr>
                <w:b/>
                <w:sz w:val="20"/>
              </w:rPr>
            </w:pPr>
            <w:r>
              <w:rPr>
                <w:sz w:val="20"/>
              </w:rPr>
              <w:t>Transmitter licences that authorise open narrowcasting services in the broadcasting services bands, where the licensed power is no more than 1 watt in an urban area and 10 watts in a non-urban area. LPONs are not planned in a LAP. A sub-band of FM frequencies is set aside for LPONs. Unlike HPONs, which have bespoke technical parameters, LPONs in the sub-band must</w:t>
            </w:r>
            <w:r>
              <w:rPr>
                <w:spacing w:val="-20"/>
                <w:sz w:val="20"/>
              </w:rPr>
              <w:t xml:space="preserve"> </w:t>
            </w:r>
            <w:r>
              <w:rPr>
                <w:sz w:val="20"/>
              </w:rPr>
              <w:t>comply with a simple planning model. This sees LPONs limited to a coverage radius of around 2 km, allowing LPON frequencies to be reused every 10</w:t>
            </w:r>
            <w:r>
              <w:rPr>
                <w:spacing w:val="-15"/>
                <w:sz w:val="20"/>
              </w:rPr>
              <w:t xml:space="preserve"> </w:t>
            </w:r>
            <w:r>
              <w:rPr>
                <w:sz w:val="20"/>
              </w:rPr>
              <w:t>km.</w:t>
            </w:r>
          </w:p>
        </w:tc>
      </w:tr>
      <w:tr w:rsidR="00F67CEB" w14:paraId="1D59719C" w14:textId="77777777" w:rsidTr="00100C9D">
        <w:trPr>
          <w:cantSplit/>
        </w:trPr>
        <w:tc>
          <w:tcPr>
            <w:tcW w:w="1542" w:type="dxa"/>
            <w:tcMar>
              <w:top w:w="85" w:type="dxa"/>
              <w:left w:w="57" w:type="dxa"/>
              <w:bottom w:w="85" w:type="dxa"/>
              <w:right w:w="57" w:type="dxa"/>
            </w:tcMar>
          </w:tcPr>
          <w:p w14:paraId="3B621625" w14:textId="7A8B5110" w:rsidR="00F67CEB" w:rsidRDefault="00F67CEB" w:rsidP="00F67CEB">
            <w:pPr>
              <w:pStyle w:val="TableParagraph"/>
              <w:ind w:left="0"/>
              <w:rPr>
                <w:b/>
                <w:sz w:val="20"/>
              </w:rPr>
            </w:pPr>
            <w:r>
              <w:rPr>
                <w:b/>
                <w:sz w:val="20"/>
              </w:rPr>
              <w:t>LTE</w:t>
            </w:r>
          </w:p>
        </w:tc>
        <w:tc>
          <w:tcPr>
            <w:tcW w:w="6255" w:type="dxa"/>
            <w:tcMar>
              <w:top w:w="85" w:type="dxa"/>
              <w:left w:w="57" w:type="dxa"/>
              <w:bottom w:w="85" w:type="dxa"/>
              <w:right w:w="57" w:type="dxa"/>
            </w:tcMar>
          </w:tcPr>
          <w:p w14:paraId="4DB1D75C" w14:textId="77777777" w:rsidR="00F67CEB" w:rsidRDefault="00F67CEB" w:rsidP="00F67CEB">
            <w:pPr>
              <w:pStyle w:val="TableParagraph"/>
              <w:ind w:left="0"/>
              <w:rPr>
                <w:b/>
                <w:sz w:val="20"/>
              </w:rPr>
            </w:pPr>
            <w:r>
              <w:rPr>
                <w:b/>
                <w:sz w:val="20"/>
              </w:rPr>
              <w:t>Long-term evolution</w:t>
            </w:r>
          </w:p>
          <w:p w14:paraId="3CF85173" w14:textId="3A9FCAB3" w:rsidR="00F67CEB" w:rsidRDefault="00F67CEB" w:rsidP="00F67CEB">
            <w:pPr>
              <w:pStyle w:val="TableParagraph"/>
              <w:ind w:left="0"/>
              <w:rPr>
                <w:b/>
                <w:sz w:val="20"/>
              </w:rPr>
            </w:pPr>
            <w:r>
              <w:rPr>
                <w:color w:val="212121"/>
                <w:sz w:val="21"/>
              </w:rPr>
              <w:t>A standard for 4G wireless broadband communications.</w:t>
            </w:r>
          </w:p>
        </w:tc>
      </w:tr>
      <w:tr w:rsidR="00F67CEB" w14:paraId="77DC9583"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7A871AA8" w14:textId="18A00B73" w:rsidR="00F67CEB" w:rsidRDefault="00F67CEB" w:rsidP="00F67CEB">
            <w:pPr>
              <w:pStyle w:val="TableParagraph"/>
              <w:ind w:left="0"/>
              <w:rPr>
                <w:b/>
                <w:sz w:val="20"/>
              </w:rPr>
            </w:pPr>
            <w:r>
              <w:rPr>
                <w:b/>
                <w:sz w:val="20"/>
              </w:rPr>
              <w:lastRenderedPageBreak/>
              <w:t>LTE-B</w:t>
            </w:r>
          </w:p>
        </w:tc>
        <w:tc>
          <w:tcPr>
            <w:tcW w:w="6255" w:type="dxa"/>
            <w:shd w:val="clear" w:color="auto" w:fill="F2F2F2" w:themeFill="background1" w:themeFillShade="F2"/>
            <w:tcMar>
              <w:top w:w="85" w:type="dxa"/>
              <w:left w:w="57" w:type="dxa"/>
              <w:bottom w:w="85" w:type="dxa"/>
              <w:right w:w="57" w:type="dxa"/>
            </w:tcMar>
          </w:tcPr>
          <w:p w14:paraId="4EE3F748" w14:textId="77777777" w:rsidR="00F67CEB" w:rsidRDefault="00F67CEB" w:rsidP="00F67CEB">
            <w:pPr>
              <w:pStyle w:val="TableParagraph"/>
              <w:spacing w:line="223" w:lineRule="exact"/>
              <w:ind w:left="0"/>
              <w:rPr>
                <w:b/>
                <w:sz w:val="20"/>
              </w:rPr>
            </w:pPr>
            <w:r>
              <w:rPr>
                <w:b/>
                <w:sz w:val="20"/>
              </w:rPr>
              <w:t>LTE broadcast</w:t>
            </w:r>
          </w:p>
          <w:p w14:paraId="2C168AEE" w14:textId="1A9265B4" w:rsidR="00F67CEB" w:rsidRDefault="00F67CEB" w:rsidP="00F67CEB">
            <w:pPr>
              <w:pStyle w:val="TableParagraph"/>
              <w:ind w:left="0"/>
              <w:rPr>
                <w:b/>
                <w:sz w:val="20"/>
              </w:rPr>
            </w:pPr>
            <w:r>
              <w:rPr>
                <w:sz w:val="20"/>
              </w:rPr>
              <w:t>Broadcast/multicast of content through LTE (4G) network using eMBMS standard.</w:t>
            </w:r>
          </w:p>
        </w:tc>
      </w:tr>
      <w:tr w:rsidR="00F67CEB" w14:paraId="213C4B65" w14:textId="77777777" w:rsidTr="00100C9D">
        <w:trPr>
          <w:cantSplit/>
        </w:trPr>
        <w:tc>
          <w:tcPr>
            <w:tcW w:w="1542" w:type="dxa"/>
            <w:tcMar>
              <w:top w:w="85" w:type="dxa"/>
              <w:left w:w="57" w:type="dxa"/>
              <w:bottom w:w="85" w:type="dxa"/>
              <w:right w:w="57" w:type="dxa"/>
            </w:tcMar>
          </w:tcPr>
          <w:p w14:paraId="5A1F356D" w14:textId="7D5472C5" w:rsidR="00F67CEB" w:rsidRDefault="00F67CEB" w:rsidP="00F67CEB">
            <w:pPr>
              <w:pStyle w:val="TableParagraph"/>
              <w:ind w:left="0"/>
              <w:rPr>
                <w:b/>
                <w:sz w:val="20"/>
              </w:rPr>
            </w:pPr>
            <w:r>
              <w:rPr>
                <w:b/>
                <w:sz w:val="20"/>
              </w:rPr>
              <w:t>MB</w:t>
            </w:r>
          </w:p>
        </w:tc>
        <w:tc>
          <w:tcPr>
            <w:tcW w:w="6255" w:type="dxa"/>
            <w:tcMar>
              <w:top w:w="85" w:type="dxa"/>
              <w:left w:w="57" w:type="dxa"/>
              <w:bottom w:w="85" w:type="dxa"/>
              <w:right w:w="57" w:type="dxa"/>
            </w:tcMar>
          </w:tcPr>
          <w:p w14:paraId="2BC3DB3D" w14:textId="77777777" w:rsidR="00F67CEB" w:rsidRDefault="00F67CEB" w:rsidP="00F67CEB">
            <w:pPr>
              <w:pStyle w:val="TableParagraph"/>
              <w:ind w:left="0"/>
              <w:rPr>
                <w:b/>
                <w:sz w:val="20"/>
              </w:rPr>
            </w:pPr>
            <w:r>
              <w:rPr>
                <w:b/>
                <w:sz w:val="20"/>
              </w:rPr>
              <w:t>Megabyte(s)</w:t>
            </w:r>
          </w:p>
          <w:p w14:paraId="7A516FD6" w14:textId="13BE8DC0" w:rsidR="00F67CEB" w:rsidRDefault="00F67CEB" w:rsidP="00F67CEB">
            <w:pPr>
              <w:pStyle w:val="TableParagraph"/>
              <w:ind w:left="0"/>
              <w:rPr>
                <w:b/>
                <w:sz w:val="20"/>
              </w:rPr>
            </w:pPr>
            <w:r>
              <w:rPr>
                <w:sz w:val="20"/>
              </w:rPr>
              <w:t>One million bytes. See byte(s).</w:t>
            </w:r>
          </w:p>
        </w:tc>
      </w:tr>
      <w:tr w:rsidR="00F67CEB" w14:paraId="2E9442F7"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212535D7" w14:textId="1050C962" w:rsidR="00F67CEB" w:rsidRDefault="00F67CEB" w:rsidP="00F67CEB">
            <w:pPr>
              <w:pStyle w:val="TableParagraph"/>
              <w:ind w:left="0"/>
              <w:rPr>
                <w:b/>
                <w:sz w:val="20"/>
              </w:rPr>
            </w:pPr>
            <w:r>
              <w:rPr>
                <w:b/>
                <w:sz w:val="20"/>
              </w:rPr>
              <w:t>Mbit/s</w:t>
            </w:r>
          </w:p>
        </w:tc>
        <w:tc>
          <w:tcPr>
            <w:tcW w:w="6255" w:type="dxa"/>
            <w:shd w:val="clear" w:color="auto" w:fill="F2F2F2" w:themeFill="background1" w:themeFillShade="F2"/>
            <w:tcMar>
              <w:top w:w="85" w:type="dxa"/>
              <w:left w:w="57" w:type="dxa"/>
              <w:bottom w:w="85" w:type="dxa"/>
              <w:right w:w="57" w:type="dxa"/>
            </w:tcMar>
          </w:tcPr>
          <w:p w14:paraId="064A64C9" w14:textId="77777777" w:rsidR="00F67CEB" w:rsidRDefault="00F67CEB" w:rsidP="00F67CEB">
            <w:pPr>
              <w:pStyle w:val="TableParagraph"/>
              <w:ind w:left="0"/>
              <w:rPr>
                <w:b/>
                <w:sz w:val="20"/>
              </w:rPr>
            </w:pPr>
            <w:r>
              <w:rPr>
                <w:b/>
                <w:sz w:val="20"/>
              </w:rPr>
              <w:t>Megabits per second</w:t>
            </w:r>
          </w:p>
          <w:p w14:paraId="2B8F2BE9" w14:textId="6F091EA0" w:rsidR="00F67CEB" w:rsidRDefault="00F67CEB" w:rsidP="00F67CEB">
            <w:pPr>
              <w:pStyle w:val="TableParagraph"/>
              <w:ind w:left="0"/>
              <w:rPr>
                <w:b/>
                <w:sz w:val="20"/>
              </w:rPr>
            </w:pPr>
            <w:r>
              <w:rPr>
                <w:sz w:val="20"/>
              </w:rPr>
              <w:t>Data transfer rate of one million bits per second. See bit/s.</w:t>
            </w:r>
          </w:p>
        </w:tc>
      </w:tr>
      <w:tr w:rsidR="00F67CEB" w14:paraId="52B5B168" w14:textId="77777777" w:rsidTr="00100C9D">
        <w:trPr>
          <w:cantSplit/>
        </w:trPr>
        <w:tc>
          <w:tcPr>
            <w:tcW w:w="1542" w:type="dxa"/>
            <w:tcMar>
              <w:top w:w="85" w:type="dxa"/>
              <w:left w:w="57" w:type="dxa"/>
              <w:bottom w:w="85" w:type="dxa"/>
              <w:right w:w="57" w:type="dxa"/>
            </w:tcMar>
          </w:tcPr>
          <w:p w14:paraId="64A01505" w14:textId="4BE8D563" w:rsidR="00F67CEB" w:rsidRDefault="00F67CEB" w:rsidP="00F67CEB">
            <w:pPr>
              <w:pStyle w:val="TableParagraph"/>
              <w:ind w:left="0"/>
              <w:rPr>
                <w:b/>
                <w:sz w:val="20"/>
              </w:rPr>
            </w:pPr>
            <w:r>
              <w:rPr>
                <w:b/>
                <w:sz w:val="20"/>
              </w:rPr>
              <w:t>metropolitan licence areas</w:t>
            </w:r>
          </w:p>
        </w:tc>
        <w:tc>
          <w:tcPr>
            <w:tcW w:w="6255" w:type="dxa"/>
            <w:tcMar>
              <w:top w:w="85" w:type="dxa"/>
              <w:left w:w="57" w:type="dxa"/>
              <w:bottom w:w="85" w:type="dxa"/>
              <w:right w:w="57" w:type="dxa"/>
            </w:tcMar>
          </w:tcPr>
          <w:p w14:paraId="6C534CC9" w14:textId="3E4F1B25" w:rsidR="00F67CEB" w:rsidRDefault="00F67CEB" w:rsidP="00F67CEB">
            <w:pPr>
              <w:pStyle w:val="TableParagraph"/>
              <w:ind w:left="0"/>
              <w:rPr>
                <w:b/>
                <w:sz w:val="20"/>
              </w:rPr>
            </w:pPr>
            <w:r>
              <w:rPr>
                <w:sz w:val="20"/>
              </w:rPr>
              <w:t>The commercial radio licence areas containing Brisbane, Sydney,</w:t>
            </w:r>
            <w:r>
              <w:rPr>
                <w:spacing w:val="-25"/>
                <w:sz w:val="20"/>
              </w:rPr>
              <w:t xml:space="preserve"> </w:t>
            </w:r>
            <w:r>
              <w:rPr>
                <w:sz w:val="20"/>
              </w:rPr>
              <w:t>Melbourne Adelaide and Perth. Canberra and the state capitals Darwin and Hobart</w:t>
            </w:r>
            <w:r>
              <w:rPr>
                <w:spacing w:val="-22"/>
                <w:sz w:val="20"/>
              </w:rPr>
              <w:t xml:space="preserve"> </w:t>
            </w:r>
            <w:r>
              <w:rPr>
                <w:sz w:val="20"/>
              </w:rPr>
              <w:t>have been considered regional licence areas for DAB+ digital radio</w:t>
            </w:r>
            <w:r>
              <w:rPr>
                <w:spacing w:val="-25"/>
                <w:sz w:val="20"/>
              </w:rPr>
              <w:t xml:space="preserve"> </w:t>
            </w:r>
            <w:r>
              <w:rPr>
                <w:sz w:val="20"/>
              </w:rPr>
              <w:t>purposes.</w:t>
            </w:r>
          </w:p>
        </w:tc>
      </w:tr>
      <w:tr w:rsidR="00F67CEB" w14:paraId="39EC6127"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1F63BC53" w14:textId="1A40782C" w:rsidR="00F67CEB" w:rsidRDefault="00F67CEB" w:rsidP="00F67CEB">
            <w:pPr>
              <w:pStyle w:val="TableParagraph"/>
              <w:ind w:left="0"/>
              <w:rPr>
                <w:b/>
                <w:sz w:val="20"/>
              </w:rPr>
            </w:pPr>
            <w:r>
              <w:rPr>
                <w:b/>
                <w:sz w:val="20"/>
              </w:rPr>
              <w:t>MHz</w:t>
            </w:r>
          </w:p>
        </w:tc>
        <w:tc>
          <w:tcPr>
            <w:tcW w:w="6255" w:type="dxa"/>
            <w:shd w:val="clear" w:color="auto" w:fill="F2F2F2" w:themeFill="background1" w:themeFillShade="F2"/>
            <w:tcMar>
              <w:top w:w="85" w:type="dxa"/>
              <w:left w:w="57" w:type="dxa"/>
              <w:bottom w:w="85" w:type="dxa"/>
              <w:right w:w="57" w:type="dxa"/>
            </w:tcMar>
          </w:tcPr>
          <w:p w14:paraId="364EE436" w14:textId="77777777" w:rsidR="00F67CEB" w:rsidRDefault="00F67CEB" w:rsidP="00100C9D">
            <w:pPr>
              <w:pStyle w:val="TableParagraph"/>
              <w:ind w:left="0"/>
              <w:rPr>
                <w:b/>
                <w:sz w:val="20"/>
              </w:rPr>
            </w:pPr>
            <w:r>
              <w:rPr>
                <w:b/>
                <w:sz w:val="20"/>
              </w:rPr>
              <w:t>Megahertz</w:t>
            </w:r>
          </w:p>
          <w:p w14:paraId="503C71F3" w14:textId="0B95B640" w:rsidR="00F67CEB" w:rsidRDefault="00F67CEB" w:rsidP="00F67CEB">
            <w:pPr>
              <w:pStyle w:val="TableParagraph"/>
              <w:ind w:left="0"/>
              <w:rPr>
                <w:b/>
                <w:sz w:val="20"/>
              </w:rPr>
            </w:pPr>
            <w:r>
              <w:rPr>
                <w:sz w:val="20"/>
              </w:rPr>
              <w:t>One million Hertz.</w:t>
            </w:r>
          </w:p>
        </w:tc>
      </w:tr>
      <w:tr w:rsidR="00F67CEB" w14:paraId="1CAF4C95" w14:textId="77777777" w:rsidTr="00100C9D">
        <w:trPr>
          <w:cantSplit/>
        </w:trPr>
        <w:tc>
          <w:tcPr>
            <w:tcW w:w="1542" w:type="dxa"/>
            <w:tcMar>
              <w:top w:w="85" w:type="dxa"/>
              <w:left w:w="57" w:type="dxa"/>
              <w:bottom w:w="85" w:type="dxa"/>
              <w:right w:w="57" w:type="dxa"/>
            </w:tcMar>
          </w:tcPr>
          <w:p w14:paraId="3C57E1E5" w14:textId="097D656F" w:rsidR="00F67CEB" w:rsidRDefault="00F67CEB" w:rsidP="00F67CEB">
            <w:pPr>
              <w:pStyle w:val="TableParagraph"/>
              <w:ind w:left="0"/>
              <w:rPr>
                <w:b/>
                <w:sz w:val="20"/>
              </w:rPr>
            </w:pPr>
            <w:r>
              <w:rPr>
                <w:b/>
                <w:sz w:val="20"/>
              </w:rPr>
              <w:t xml:space="preserve">ministerial </w:t>
            </w:r>
            <w:r>
              <w:rPr>
                <w:b/>
                <w:w w:val="95"/>
                <w:sz w:val="20"/>
              </w:rPr>
              <w:t>reservation</w:t>
            </w:r>
          </w:p>
        </w:tc>
        <w:tc>
          <w:tcPr>
            <w:tcW w:w="6255" w:type="dxa"/>
            <w:tcMar>
              <w:top w:w="85" w:type="dxa"/>
              <w:left w:w="57" w:type="dxa"/>
              <w:bottom w:w="85" w:type="dxa"/>
              <w:right w:w="57" w:type="dxa"/>
            </w:tcMar>
          </w:tcPr>
          <w:p w14:paraId="1281E809" w14:textId="2AA8FEEF" w:rsidR="00F67CEB" w:rsidRDefault="00F67CEB" w:rsidP="00F67CEB">
            <w:pPr>
              <w:pStyle w:val="TableParagraph"/>
              <w:ind w:left="0"/>
              <w:rPr>
                <w:b/>
                <w:sz w:val="20"/>
              </w:rPr>
            </w:pPr>
            <w:r>
              <w:rPr>
                <w:sz w:val="20"/>
              </w:rPr>
              <w:t xml:space="preserve">Section 31 of the </w:t>
            </w:r>
            <w:r>
              <w:rPr>
                <w:i/>
                <w:sz w:val="20"/>
              </w:rPr>
              <w:t xml:space="preserve">Broadcasting Services Act 1992 </w:t>
            </w:r>
            <w:r>
              <w:rPr>
                <w:sz w:val="20"/>
              </w:rPr>
              <w:t>provides that the Minister can, by legislative instrument, notify the ACMA that capacity in an area is to be reserved for national or community broadcasting. The ACMA would give practical effect to the reservation by planning a technical specification for the reserved capacity, in a licence area</w:t>
            </w:r>
            <w:r>
              <w:rPr>
                <w:spacing w:val="-17"/>
                <w:sz w:val="20"/>
              </w:rPr>
              <w:t xml:space="preserve"> </w:t>
            </w:r>
            <w:r>
              <w:rPr>
                <w:sz w:val="20"/>
              </w:rPr>
              <w:t>plan.</w:t>
            </w:r>
          </w:p>
        </w:tc>
      </w:tr>
      <w:tr w:rsidR="00F67CEB" w14:paraId="45BDF53B"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0C19A329" w14:textId="3048E5BA" w:rsidR="00F67CEB" w:rsidRDefault="00F67CEB" w:rsidP="00F67CEB">
            <w:pPr>
              <w:pStyle w:val="TableParagraph"/>
              <w:ind w:left="0"/>
              <w:rPr>
                <w:b/>
                <w:sz w:val="20"/>
              </w:rPr>
            </w:pPr>
            <w:r>
              <w:rPr>
                <w:b/>
                <w:sz w:val="20"/>
              </w:rPr>
              <w:t xml:space="preserve">national </w:t>
            </w:r>
            <w:r>
              <w:rPr>
                <w:b/>
                <w:w w:val="95"/>
                <w:sz w:val="20"/>
              </w:rPr>
              <w:t>broadcasting</w:t>
            </w:r>
          </w:p>
        </w:tc>
        <w:tc>
          <w:tcPr>
            <w:tcW w:w="6255" w:type="dxa"/>
            <w:shd w:val="clear" w:color="auto" w:fill="F2F2F2" w:themeFill="background1" w:themeFillShade="F2"/>
            <w:tcMar>
              <w:top w:w="85" w:type="dxa"/>
              <w:left w:w="57" w:type="dxa"/>
              <w:bottom w:w="85" w:type="dxa"/>
              <w:right w:w="57" w:type="dxa"/>
            </w:tcMar>
          </w:tcPr>
          <w:p w14:paraId="4E9503C1" w14:textId="77A1CE4F" w:rsidR="00F67CEB" w:rsidRDefault="00F67CEB" w:rsidP="00F67CEB">
            <w:pPr>
              <w:pStyle w:val="TableParagraph"/>
              <w:ind w:left="0"/>
              <w:rPr>
                <w:b/>
                <w:sz w:val="20"/>
              </w:rPr>
            </w:pPr>
            <w:r>
              <w:rPr>
                <w:sz w:val="20"/>
              </w:rPr>
              <w:t xml:space="preserve">Broadcasting services provided by the ABC and SBS in accordance with their enabling legislation, and services provided under the </w:t>
            </w:r>
            <w:r>
              <w:rPr>
                <w:i/>
                <w:sz w:val="20"/>
              </w:rPr>
              <w:t>Parliamentary Proceedings Broadcasting Act 1946</w:t>
            </w:r>
            <w:r>
              <w:rPr>
                <w:sz w:val="20"/>
              </w:rPr>
              <w:t>.</w:t>
            </w:r>
          </w:p>
        </w:tc>
      </w:tr>
      <w:tr w:rsidR="00F67CEB" w14:paraId="1FA96096" w14:textId="77777777" w:rsidTr="00100C9D">
        <w:trPr>
          <w:cantSplit/>
        </w:trPr>
        <w:tc>
          <w:tcPr>
            <w:tcW w:w="1542" w:type="dxa"/>
            <w:tcMar>
              <w:top w:w="85" w:type="dxa"/>
              <w:left w:w="57" w:type="dxa"/>
              <w:bottom w:w="85" w:type="dxa"/>
              <w:right w:w="57" w:type="dxa"/>
            </w:tcMar>
          </w:tcPr>
          <w:p w14:paraId="4132AE10" w14:textId="1574A051" w:rsidR="00F67CEB" w:rsidRDefault="00F67CEB" w:rsidP="00F67CEB">
            <w:pPr>
              <w:pStyle w:val="TableParagraph"/>
              <w:ind w:left="0"/>
              <w:rPr>
                <w:b/>
                <w:sz w:val="20"/>
              </w:rPr>
            </w:pPr>
            <w:r>
              <w:rPr>
                <w:b/>
                <w:sz w:val="20"/>
              </w:rPr>
              <w:t xml:space="preserve">open </w:t>
            </w:r>
            <w:r>
              <w:rPr>
                <w:b/>
                <w:w w:val="95"/>
                <w:sz w:val="20"/>
              </w:rPr>
              <w:t xml:space="preserve">narrowcasting </w:t>
            </w:r>
            <w:r>
              <w:rPr>
                <w:b/>
                <w:sz w:val="20"/>
              </w:rPr>
              <w:t>service</w:t>
            </w:r>
          </w:p>
        </w:tc>
        <w:tc>
          <w:tcPr>
            <w:tcW w:w="6255" w:type="dxa"/>
            <w:tcMar>
              <w:top w:w="85" w:type="dxa"/>
              <w:left w:w="57" w:type="dxa"/>
              <w:bottom w:w="85" w:type="dxa"/>
              <w:right w:w="57" w:type="dxa"/>
            </w:tcMar>
          </w:tcPr>
          <w:p w14:paraId="504C7174" w14:textId="36370164" w:rsidR="00F67CEB" w:rsidRDefault="00F67CEB" w:rsidP="00F67CEB">
            <w:pPr>
              <w:pStyle w:val="TableParagraph"/>
              <w:ind w:left="0"/>
              <w:rPr>
                <w:b/>
                <w:sz w:val="20"/>
              </w:rPr>
            </w:pPr>
            <w:r>
              <w:rPr>
                <w:sz w:val="20"/>
              </w:rPr>
              <w:t>A free-to-air broadcasting service that has its reception limited by being targeted to a special interest group, by being intended for limited locations, by being provided during a limited period, or limited for some other reason.</w:t>
            </w:r>
          </w:p>
        </w:tc>
      </w:tr>
      <w:tr w:rsidR="00F67CEB" w14:paraId="2F477060"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3FEB0E1E" w14:textId="773D3B7B" w:rsidR="00F67CEB" w:rsidRDefault="00F67CEB" w:rsidP="00F67CEB">
            <w:pPr>
              <w:pStyle w:val="TableParagraph"/>
              <w:ind w:left="0"/>
              <w:rPr>
                <w:b/>
                <w:sz w:val="20"/>
              </w:rPr>
            </w:pPr>
            <w:r>
              <w:rPr>
                <w:b/>
                <w:sz w:val="20"/>
              </w:rPr>
              <w:t>solus market</w:t>
            </w:r>
          </w:p>
        </w:tc>
        <w:tc>
          <w:tcPr>
            <w:tcW w:w="6255" w:type="dxa"/>
            <w:shd w:val="clear" w:color="auto" w:fill="F2F2F2" w:themeFill="background1" w:themeFillShade="F2"/>
            <w:tcMar>
              <w:top w:w="85" w:type="dxa"/>
              <w:left w:w="57" w:type="dxa"/>
              <w:bottom w:w="85" w:type="dxa"/>
              <w:right w:w="57" w:type="dxa"/>
            </w:tcMar>
          </w:tcPr>
          <w:p w14:paraId="37897482" w14:textId="031FDBF1" w:rsidR="00F67CEB" w:rsidRDefault="00F67CEB" w:rsidP="00F67CEB">
            <w:pPr>
              <w:pStyle w:val="TableParagraph"/>
              <w:ind w:left="0"/>
              <w:rPr>
                <w:b/>
                <w:sz w:val="20"/>
              </w:rPr>
            </w:pPr>
            <w:r>
              <w:rPr>
                <w:sz w:val="20"/>
              </w:rPr>
              <w:t>A radio licence area with a single licensee and no more than 30 per cent population overlap with any adjacent licence area. Generally, a regional solus market will have one AM and one FM licence, each held by the same licensee; the FM licence being a ‘supplementary licence’ issued under the provisions of section 39 of the BSA.</w:t>
            </w:r>
          </w:p>
        </w:tc>
      </w:tr>
      <w:tr w:rsidR="00F67CEB" w14:paraId="2F96896A" w14:textId="77777777" w:rsidTr="00100C9D">
        <w:trPr>
          <w:cantSplit/>
        </w:trPr>
        <w:tc>
          <w:tcPr>
            <w:tcW w:w="1542" w:type="dxa"/>
            <w:tcMar>
              <w:top w:w="85" w:type="dxa"/>
              <w:left w:w="57" w:type="dxa"/>
              <w:bottom w:w="85" w:type="dxa"/>
              <w:right w:w="57" w:type="dxa"/>
            </w:tcMar>
          </w:tcPr>
          <w:p w14:paraId="62AEE1D9" w14:textId="08B85F4E" w:rsidR="00F67CEB" w:rsidRDefault="00F67CEB" w:rsidP="00F67CEB">
            <w:pPr>
              <w:pStyle w:val="TableParagraph"/>
              <w:ind w:left="0"/>
              <w:rPr>
                <w:b/>
                <w:sz w:val="20"/>
              </w:rPr>
            </w:pPr>
            <w:r>
              <w:rPr>
                <w:b/>
                <w:sz w:val="20"/>
              </w:rPr>
              <w:t xml:space="preserve">sub- metropolitan community radio </w:t>
            </w:r>
            <w:r>
              <w:rPr>
                <w:b/>
                <w:w w:val="95"/>
                <w:sz w:val="20"/>
              </w:rPr>
              <w:t xml:space="preserve">broadcasting </w:t>
            </w:r>
            <w:r>
              <w:rPr>
                <w:b/>
                <w:sz w:val="20"/>
              </w:rPr>
              <w:t>service</w:t>
            </w:r>
          </w:p>
        </w:tc>
        <w:tc>
          <w:tcPr>
            <w:tcW w:w="6255" w:type="dxa"/>
            <w:tcMar>
              <w:top w:w="85" w:type="dxa"/>
              <w:left w:w="57" w:type="dxa"/>
              <w:bottom w:w="85" w:type="dxa"/>
              <w:right w:w="57" w:type="dxa"/>
            </w:tcMar>
          </w:tcPr>
          <w:p w14:paraId="6A1B2CE7" w14:textId="242CEFF4" w:rsidR="00F67CEB" w:rsidRDefault="00F67CEB" w:rsidP="00520CBB">
            <w:pPr>
              <w:pStyle w:val="TableParagraph"/>
              <w:ind w:left="0"/>
              <w:rPr>
                <w:b/>
                <w:sz w:val="20"/>
              </w:rPr>
            </w:pPr>
            <w:r>
              <w:rPr>
                <w:sz w:val="20"/>
              </w:rPr>
              <w:t>Sub-metropolitan community radio broadcasting services cover a smaller local area such as suburb or a district within a larger metropolitan commercial licence area. Sub-metropolitan services can be authorised for the general community interest of the geographic area or for a specific interest (for example, ethnic group, youth, seniors).</w:t>
            </w:r>
          </w:p>
        </w:tc>
      </w:tr>
      <w:tr w:rsidR="00520CBB" w14:paraId="089998FE" w14:textId="77777777" w:rsidTr="00100C9D">
        <w:trPr>
          <w:cantSplit/>
        </w:trPr>
        <w:tc>
          <w:tcPr>
            <w:tcW w:w="1542" w:type="dxa"/>
            <w:shd w:val="clear" w:color="auto" w:fill="F2F2F2" w:themeFill="background1" w:themeFillShade="F2"/>
            <w:tcMar>
              <w:top w:w="85" w:type="dxa"/>
              <w:left w:w="57" w:type="dxa"/>
              <w:bottom w:w="85" w:type="dxa"/>
              <w:right w:w="57" w:type="dxa"/>
            </w:tcMar>
          </w:tcPr>
          <w:p w14:paraId="3D2265C6" w14:textId="419AB3D8" w:rsidR="00520CBB" w:rsidRDefault="00520CBB" w:rsidP="00520CBB">
            <w:pPr>
              <w:pStyle w:val="TableParagraph"/>
              <w:ind w:left="0"/>
              <w:rPr>
                <w:b/>
                <w:sz w:val="20"/>
              </w:rPr>
            </w:pPr>
            <w:r>
              <w:rPr>
                <w:b/>
                <w:sz w:val="20"/>
              </w:rPr>
              <w:t>VAST</w:t>
            </w:r>
          </w:p>
        </w:tc>
        <w:tc>
          <w:tcPr>
            <w:tcW w:w="6255" w:type="dxa"/>
            <w:shd w:val="clear" w:color="auto" w:fill="F2F2F2" w:themeFill="background1" w:themeFillShade="F2"/>
            <w:tcMar>
              <w:top w:w="85" w:type="dxa"/>
              <w:left w:w="57" w:type="dxa"/>
              <w:bottom w:w="85" w:type="dxa"/>
              <w:right w:w="57" w:type="dxa"/>
            </w:tcMar>
          </w:tcPr>
          <w:p w14:paraId="66F247B3" w14:textId="77777777" w:rsidR="00520CBB" w:rsidRDefault="00520CBB" w:rsidP="00520CBB">
            <w:pPr>
              <w:pStyle w:val="TableParagraph"/>
              <w:ind w:left="0"/>
              <w:rPr>
                <w:b/>
                <w:sz w:val="20"/>
              </w:rPr>
            </w:pPr>
            <w:r>
              <w:rPr>
                <w:b/>
                <w:sz w:val="20"/>
              </w:rPr>
              <w:t>Viewer Access Satellite Television</w:t>
            </w:r>
          </w:p>
          <w:p w14:paraId="6BA73498" w14:textId="77B57CE2" w:rsidR="00520CBB" w:rsidRDefault="00520CBB" w:rsidP="00520CBB">
            <w:pPr>
              <w:pStyle w:val="TableParagraph"/>
              <w:ind w:left="0"/>
              <w:rPr>
                <w:b/>
                <w:sz w:val="20"/>
              </w:rPr>
            </w:pPr>
            <w:r>
              <w:rPr>
                <w:sz w:val="20"/>
              </w:rPr>
              <w:t>A platform that uses the Optus satellites to deliver television to householders in remote Australia, and in other parts of Australia that cannot receive adequate television reception. The VAST platform also carries several narrowcasting services, including Indigenous services.</w:t>
            </w:r>
          </w:p>
        </w:tc>
      </w:tr>
      <w:tr w:rsidR="00520CBB" w14:paraId="2FD90CD2" w14:textId="77777777" w:rsidTr="00100C9D">
        <w:trPr>
          <w:cantSplit/>
        </w:trPr>
        <w:tc>
          <w:tcPr>
            <w:tcW w:w="1542" w:type="dxa"/>
            <w:tcMar>
              <w:top w:w="85" w:type="dxa"/>
              <w:left w:w="57" w:type="dxa"/>
              <w:bottom w:w="85" w:type="dxa"/>
              <w:right w:w="57" w:type="dxa"/>
            </w:tcMar>
          </w:tcPr>
          <w:p w14:paraId="60FCE227" w14:textId="6258A675" w:rsidR="00520CBB" w:rsidRDefault="00520CBB" w:rsidP="00520CBB">
            <w:pPr>
              <w:pStyle w:val="TableParagraph"/>
              <w:ind w:left="0"/>
              <w:rPr>
                <w:b/>
                <w:sz w:val="20"/>
              </w:rPr>
            </w:pPr>
            <w:r>
              <w:rPr>
                <w:b/>
                <w:sz w:val="20"/>
              </w:rPr>
              <w:t>wi-fi</w:t>
            </w:r>
          </w:p>
        </w:tc>
        <w:tc>
          <w:tcPr>
            <w:tcW w:w="6255" w:type="dxa"/>
            <w:tcMar>
              <w:top w:w="85" w:type="dxa"/>
              <w:left w:w="57" w:type="dxa"/>
              <w:bottom w:w="85" w:type="dxa"/>
              <w:right w:w="57" w:type="dxa"/>
            </w:tcMar>
          </w:tcPr>
          <w:p w14:paraId="7DF6B163" w14:textId="77777777" w:rsidR="00520CBB" w:rsidRDefault="00520CBB" w:rsidP="00520CBB">
            <w:pPr>
              <w:pStyle w:val="TableParagraph"/>
              <w:spacing w:line="223" w:lineRule="exact"/>
              <w:ind w:left="0"/>
              <w:rPr>
                <w:b/>
                <w:sz w:val="20"/>
              </w:rPr>
            </w:pPr>
            <w:r>
              <w:rPr>
                <w:b/>
                <w:sz w:val="20"/>
              </w:rPr>
              <w:t>wireless fidelity</w:t>
            </w:r>
          </w:p>
          <w:p w14:paraId="607CD3DF" w14:textId="7C002FD4" w:rsidR="00520CBB" w:rsidRDefault="00520CBB" w:rsidP="00520CBB">
            <w:pPr>
              <w:pStyle w:val="TableParagraph"/>
              <w:ind w:left="0"/>
              <w:rPr>
                <w:b/>
                <w:sz w:val="20"/>
              </w:rPr>
            </w:pPr>
            <w:r>
              <w:rPr>
                <w:sz w:val="20"/>
              </w:rPr>
              <w:t>Used generically to refer to wireless local area network (IEEE 802.11) technology providing short-range, high data rate connections between computers or mobile data devices and access points connected to a wired network.</w:t>
            </w:r>
          </w:p>
        </w:tc>
      </w:tr>
    </w:tbl>
    <w:p w14:paraId="1B4B9FB0" w14:textId="77777777" w:rsidR="00387740" w:rsidRPr="005A7AB9" w:rsidRDefault="00387740" w:rsidP="00274F79">
      <w:pPr>
        <w:pStyle w:val="Paragraph"/>
      </w:pPr>
    </w:p>
    <w:sectPr w:rsidR="00387740" w:rsidRPr="005A7AB9" w:rsidSect="00C77380">
      <w:headerReference w:type="even" r:id="rId33"/>
      <w:headerReference w:type="default" r:id="rId34"/>
      <w:footerReference w:type="even" r:id="rId35"/>
      <w:footerReference w:type="default" r:id="rId3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67FF18" w14:textId="77777777" w:rsidR="00100C9D" w:rsidRDefault="00100C9D">
      <w:r>
        <w:separator/>
      </w:r>
    </w:p>
  </w:endnote>
  <w:endnote w:type="continuationSeparator" w:id="0">
    <w:p w14:paraId="2E418374" w14:textId="77777777" w:rsidR="00100C9D" w:rsidRDefault="00100C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0000000000000000000"/>
    <w:charset w:val="00"/>
    <w:family w:val="swiss"/>
    <w:notTrueType/>
    <w:pitch w:val="variable"/>
    <w:sig w:usb0="800000AF" w:usb1="40002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7EDD57" w14:textId="77777777" w:rsidR="00100C9D" w:rsidRDefault="00100C9D" w:rsidP="005E250B">
    <w:pPr>
      <w:pStyle w:val="Footer"/>
      <w:jc w:val="right"/>
    </w:pPr>
    <w:r w:rsidRPr="005E250B">
      <w:rPr>
        <w:noProof/>
        <w:vertAlign w:val="subscript"/>
      </w:rPr>
      <w:drawing>
        <wp:inline distT="0" distB="0" distL="0" distR="0" wp14:anchorId="602F0A7F" wp14:editId="07B29FA1">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61D973" w14:textId="77777777" w:rsidR="00100C9D" w:rsidRDefault="00100C9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B9AFBD" w14:textId="77777777" w:rsidR="00100C9D" w:rsidRDefault="00100C9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03ABBF" w14:textId="77777777" w:rsidR="00100C9D" w:rsidRPr="00622A3B" w:rsidRDefault="00100C9D"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26E084BF" w14:textId="77777777" w:rsidR="00100C9D" w:rsidRPr="00A5474E" w:rsidRDefault="00100C9D"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5158D7" w14:textId="77777777" w:rsidR="00100C9D" w:rsidRPr="00622A3B" w:rsidRDefault="00100C9D"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65CA1003" w14:textId="77777777" w:rsidR="00100C9D" w:rsidRPr="00A5474E" w:rsidRDefault="00100C9D"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A38706" w14:textId="77777777" w:rsidR="00100C9D" w:rsidRPr="00622A3B" w:rsidRDefault="00100C9D"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407FDDC0" w14:textId="77777777" w:rsidR="00100C9D" w:rsidRPr="00A5474E" w:rsidRDefault="00100C9D"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BC06E6" w14:textId="77777777" w:rsidR="00100C9D" w:rsidRPr="00622A3B" w:rsidRDefault="00100C9D"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7C9988D" w14:textId="77777777" w:rsidR="00100C9D" w:rsidRDefault="00100C9D"/>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2D4C66" w14:textId="77777777" w:rsidR="00100C9D" w:rsidRPr="00622A3B" w:rsidRDefault="00100C9D"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2D4CC6C5" w14:textId="77777777" w:rsidR="00100C9D" w:rsidRDefault="00100C9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22DACB" w14:textId="77777777" w:rsidR="00100C9D" w:rsidRDefault="00100C9D" w:rsidP="00100C9D">
      <w:pPr>
        <w:spacing w:after="120"/>
      </w:pPr>
      <w:r>
        <w:separator/>
      </w:r>
    </w:p>
  </w:footnote>
  <w:footnote w:type="continuationSeparator" w:id="0">
    <w:p w14:paraId="6DB9B195" w14:textId="77777777" w:rsidR="00100C9D" w:rsidRDefault="00100C9D">
      <w:r>
        <w:continuationSeparator/>
      </w:r>
    </w:p>
  </w:footnote>
  <w:footnote w:id="1">
    <w:p w14:paraId="6AA28FC5" w14:textId="77777777" w:rsidR="00100C9D" w:rsidRDefault="00100C9D">
      <w:pPr>
        <w:pStyle w:val="FootnoteText"/>
      </w:pPr>
      <w:r>
        <w:rPr>
          <w:rStyle w:val="FootnoteReference"/>
        </w:rPr>
        <w:footnoteRef/>
      </w:r>
      <w:r>
        <w:t xml:space="preserve"> The ACMA plans broadcasting spectrum by making and varying legislative instruments known as licence area plans under part 3 of the </w:t>
      </w:r>
      <w:r>
        <w:rPr>
          <w:i/>
        </w:rPr>
        <w:t xml:space="preserve">Broadcasting Services Act 1992 </w:t>
      </w:r>
      <w:r>
        <w:t xml:space="preserve">(BSA). These set out the number and characteristics, including the technical specifications (such as the frequency and power of each transmitter used), of broadcasting services to be made available in areas of Australia using the broadcastings services bands. See </w:t>
      </w:r>
      <w:hyperlink w:anchor="_bookmark0" w:history="1">
        <w:r>
          <w:rPr>
            <w:i/>
            <w:color w:val="0000FF"/>
            <w:u w:val="single" w:color="0000FF"/>
          </w:rPr>
          <w:t xml:space="preserve">Broadcast spectrum planning </w:t>
        </w:r>
      </w:hyperlink>
      <w:r>
        <w:t>in this document.</w:t>
      </w:r>
    </w:p>
  </w:footnote>
  <w:footnote w:id="2">
    <w:p w14:paraId="79725FD0" w14:textId="77777777" w:rsidR="00100C9D" w:rsidRPr="00B648E1" w:rsidRDefault="00100C9D" w:rsidP="00070640">
      <w:pPr>
        <w:pStyle w:val="FootnoteText"/>
      </w:pPr>
      <w:r>
        <w:rPr>
          <w:rStyle w:val="FootnoteReference"/>
        </w:rPr>
        <w:footnoteRef/>
      </w:r>
      <w:r>
        <w:t xml:space="preserve"> A list of submitters is at Appendix A. The submissions are available at the ACMA website </w:t>
      </w:r>
      <w:hyperlink r:id="rId1">
        <w:r>
          <w:rPr>
            <w:color w:val="0000FF"/>
            <w:u w:val="single" w:color="0000FF"/>
          </w:rPr>
          <w:t>www.acma.gov.au</w:t>
        </w:r>
        <w:r>
          <w:t>.</w:t>
        </w:r>
      </w:hyperlink>
      <w:r>
        <w:t xml:space="preserve"> Search for ‘consultation 13/2019’.</w:t>
      </w:r>
    </w:p>
  </w:footnote>
  <w:footnote w:id="3">
    <w:p w14:paraId="33D2BA4E" w14:textId="77777777" w:rsidR="00100C9D" w:rsidRDefault="00100C9D">
      <w:pPr>
        <w:pStyle w:val="FootnoteText"/>
      </w:pPr>
      <w:r>
        <w:rPr>
          <w:rStyle w:val="FootnoteReference"/>
        </w:rPr>
        <w:footnoteRef/>
      </w:r>
      <w:r>
        <w:t xml:space="preserve"> Content services delivered via the internet are regulated under the BSA, specifically under Schedules 5 and 7 (concerning prohibited and potential prohibited online content) and under Schedule 8 together with relevant online content service provider rules (concerning gambling advertising).</w:t>
      </w:r>
    </w:p>
  </w:footnote>
  <w:footnote w:id="4">
    <w:p w14:paraId="36421309" w14:textId="73350FBC" w:rsidR="00100C9D" w:rsidRDefault="00100C9D">
      <w:pPr>
        <w:pStyle w:val="FootnoteText"/>
      </w:pPr>
      <w:r>
        <w:rPr>
          <w:rStyle w:val="FootnoteReference"/>
        </w:rPr>
        <w:footnoteRef/>
      </w:r>
      <w:r>
        <w:t xml:space="preserve"> Services delivered over the internet that do not use the BSB fall outside the definition of broadcasting by virtue of the Broadcasting Services (‘Broadcasting Service’ Definition — Exclusion) Determination 2019. This replaced, on the same terms, an earlier determination commonly known as the ‘Alston’ determination.</w:t>
      </w:r>
    </w:p>
  </w:footnote>
  <w:footnote w:id="5">
    <w:p w14:paraId="1FE10BCD" w14:textId="3ED07AF7" w:rsidR="00100C9D" w:rsidRDefault="00100C9D">
      <w:pPr>
        <w:pStyle w:val="FootnoteText"/>
      </w:pPr>
      <w:r>
        <w:rPr>
          <w:rStyle w:val="FootnoteReference"/>
        </w:rPr>
        <w:footnoteRef/>
      </w:r>
      <w:r>
        <w:t xml:space="preserve"> LAPs are a legislative instrument made or varied by the ACMA under section 26 of the BSA.</w:t>
      </w:r>
    </w:p>
  </w:footnote>
  <w:footnote w:id="6">
    <w:p w14:paraId="178E6E8C" w14:textId="77777777" w:rsidR="00100C9D" w:rsidRPr="00F66B1B" w:rsidRDefault="00100C9D" w:rsidP="0004304E">
      <w:pPr>
        <w:pStyle w:val="FootnoteText"/>
      </w:pPr>
      <w:r>
        <w:rPr>
          <w:rStyle w:val="FootnoteReference"/>
        </w:rPr>
        <w:footnoteRef/>
      </w:r>
      <w:r>
        <w:t xml:space="preserve"> Known as the ‘drop-through’ provision.</w:t>
      </w:r>
    </w:p>
  </w:footnote>
  <w:footnote w:id="7">
    <w:p w14:paraId="4E33B7BE" w14:textId="77777777" w:rsidR="00100C9D" w:rsidRDefault="00100C9D">
      <w:pPr>
        <w:pStyle w:val="FootnoteText"/>
      </w:pPr>
      <w:r>
        <w:rPr>
          <w:rStyle w:val="FootnoteReference"/>
        </w:rPr>
        <w:footnoteRef/>
      </w:r>
      <w:r>
        <w:t xml:space="preserve"> The </w:t>
      </w:r>
      <w:hyperlink r:id="rId2">
        <w:r>
          <w:rPr>
            <w:i/>
            <w:color w:val="0000FF"/>
            <w:u w:val="single" w:color="0000FF"/>
          </w:rPr>
          <w:t xml:space="preserve">Australian Radio Frequency Spectrum Plan </w:t>
        </w:r>
      </w:hyperlink>
      <w:r>
        <w:t>divides the spectrum into frequency bands. It is a legal instrument that specifies the general purpose and use for each band.</w:t>
      </w:r>
    </w:p>
  </w:footnote>
  <w:footnote w:id="8">
    <w:p w14:paraId="311CC76B" w14:textId="77777777" w:rsidR="00100C9D" w:rsidRDefault="00100C9D">
      <w:pPr>
        <w:pStyle w:val="FootnoteText"/>
      </w:pPr>
      <w:r>
        <w:rPr>
          <w:rStyle w:val="FootnoteReference"/>
        </w:rPr>
        <w:footnoteRef/>
      </w:r>
      <w:r>
        <w:t xml:space="preserve"> As at December 2019. </w:t>
      </w:r>
    </w:p>
  </w:footnote>
  <w:footnote w:id="9">
    <w:p w14:paraId="381B3414" w14:textId="77777777" w:rsidR="00100C9D" w:rsidRDefault="00100C9D">
      <w:pPr>
        <w:pStyle w:val="FootnoteText"/>
      </w:pPr>
      <w:r>
        <w:rPr>
          <w:rStyle w:val="FootnoteReference"/>
        </w:rPr>
        <w:footnoteRef/>
      </w:r>
      <w:r>
        <w:t xml:space="preserve"> See section 5.3 of the </w:t>
      </w:r>
      <w:hyperlink r:id="rId3">
        <w:r>
          <w:rPr>
            <w:i/>
            <w:color w:val="0000FF"/>
            <w:u w:val="single" w:color="0000FF"/>
          </w:rPr>
          <w:t>Radiocommunications Licence Conditions (Broadcasting Licence) Determination</w:t>
        </w:r>
      </w:hyperlink>
      <w:r>
        <w:rPr>
          <w:i/>
          <w:color w:val="0000FF"/>
          <w:u w:val="single" w:color="0000FF"/>
        </w:rPr>
        <w:t xml:space="preserve"> </w:t>
      </w:r>
      <w:hyperlink r:id="rId4">
        <w:r>
          <w:rPr>
            <w:i/>
            <w:color w:val="0000FF"/>
            <w:u w:val="single" w:color="0000FF"/>
          </w:rPr>
          <w:t>2015</w:t>
        </w:r>
      </w:hyperlink>
    </w:p>
  </w:footnote>
  <w:footnote w:id="10">
    <w:p w14:paraId="06A9C5CD" w14:textId="77777777" w:rsidR="00100C9D" w:rsidRDefault="00100C9D" w:rsidP="00100C9D">
      <w:pPr>
        <w:pStyle w:val="FootnoteText"/>
        <w:spacing w:after="0"/>
      </w:pPr>
      <w:r>
        <w:rPr>
          <w:rStyle w:val="FootnoteReference"/>
        </w:rPr>
        <w:footnoteRef/>
      </w:r>
      <w:r>
        <w:t xml:space="preserve"> Section 82 of the BSA provides for a similar non-BSB licence for community radio broadcasters. No such licence has been issued.</w:t>
      </w:r>
    </w:p>
  </w:footnote>
  <w:footnote w:id="11">
    <w:p w14:paraId="3A15F77B" w14:textId="77777777" w:rsidR="00100C9D" w:rsidRPr="00E936D4" w:rsidRDefault="00100C9D" w:rsidP="00E936D4">
      <w:pPr>
        <w:pStyle w:val="FootnoteText"/>
      </w:pPr>
      <w:r>
        <w:rPr>
          <w:rStyle w:val="FootnoteReference"/>
        </w:rPr>
        <w:footnoteRef/>
      </w:r>
      <w:r>
        <w:t xml:space="preserve"> See CRA submission, p. 4; First Nations Media submission, p. 14; SBS submission, p. 13.</w:t>
      </w:r>
    </w:p>
  </w:footnote>
  <w:footnote w:id="12">
    <w:p w14:paraId="77C3F163" w14:textId="77777777" w:rsidR="00100C9D" w:rsidRDefault="00100C9D">
      <w:pPr>
        <w:pStyle w:val="FootnoteText"/>
      </w:pPr>
      <w:r>
        <w:rPr>
          <w:rStyle w:val="FootnoteReference"/>
        </w:rPr>
        <w:footnoteRef/>
      </w:r>
      <w:r>
        <w:t xml:space="preserve"> AM transmitters can have coverage areas of several hundred kilometres.</w:t>
      </w:r>
    </w:p>
  </w:footnote>
  <w:footnote w:id="13">
    <w:p w14:paraId="33105CA6" w14:textId="35C0E12D" w:rsidR="00100C9D" w:rsidRDefault="00100C9D">
      <w:pPr>
        <w:pStyle w:val="FootnoteText"/>
      </w:pPr>
      <w:r>
        <w:rPr>
          <w:rStyle w:val="FootnoteReference"/>
        </w:rPr>
        <w:footnoteRef/>
      </w:r>
      <w:r>
        <w:t xml:space="preserve"> See submissions from First Nations Media, Broadcast Australia, ABC and SBS about the role analog delivery—particularly AM—plays in the delivery of emergency broadcast coverage.</w:t>
      </w:r>
    </w:p>
  </w:footnote>
  <w:footnote w:id="14">
    <w:p w14:paraId="15BF258C" w14:textId="77777777" w:rsidR="00100C9D" w:rsidRDefault="00100C9D">
      <w:pPr>
        <w:pStyle w:val="FootnoteText"/>
      </w:pPr>
      <w:r>
        <w:rPr>
          <w:rStyle w:val="FootnoteReference"/>
        </w:rPr>
        <w:footnoteRef/>
      </w:r>
      <w:r>
        <w:t xml:space="preserve"> See submissions from ABC, BA, CRA and CBAA and Super Radio Network about the ability of FM or DAB+ to match AM coverage.</w:t>
      </w:r>
    </w:p>
  </w:footnote>
  <w:footnote w:id="15">
    <w:p w14:paraId="61102C25" w14:textId="77777777" w:rsidR="00100C9D" w:rsidRPr="00E936D4" w:rsidRDefault="00100C9D" w:rsidP="00E936D4">
      <w:pPr>
        <w:pStyle w:val="FootnoteText"/>
      </w:pPr>
      <w:r>
        <w:rPr>
          <w:rStyle w:val="FootnoteReference"/>
        </w:rPr>
        <w:footnoteRef/>
      </w:r>
      <w:r>
        <w:t xml:space="preserve"> ibid.</w:t>
      </w:r>
    </w:p>
  </w:footnote>
  <w:footnote w:id="16">
    <w:p w14:paraId="447A81CD" w14:textId="77777777" w:rsidR="00100C9D" w:rsidRDefault="00100C9D">
      <w:pPr>
        <w:pStyle w:val="FootnoteText"/>
      </w:pPr>
      <w:r>
        <w:rPr>
          <w:rStyle w:val="FootnoteReference"/>
        </w:rPr>
        <w:footnoteRef/>
      </w:r>
      <w:r>
        <w:t xml:space="preserve"> See First Nations Media submission.</w:t>
      </w:r>
    </w:p>
  </w:footnote>
  <w:footnote w:id="17">
    <w:p w14:paraId="2AD260B4" w14:textId="77777777" w:rsidR="00100C9D" w:rsidRDefault="00100C9D">
      <w:pPr>
        <w:pStyle w:val="FootnoteText"/>
      </w:pPr>
      <w:r>
        <w:rPr>
          <w:rStyle w:val="FootnoteReference"/>
        </w:rPr>
        <w:footnoteRef/>
      </w:r>
      <w:r>
        <w:t xml:space="preserve"> For instance, VAST reception requires a satellite dish of at least 65 cm in diameter.</w:t>
      </w:r>
    </w:p>
  </w:footnote>
  <w:footnote w:id="18">
    <w:p w14:paraId="63D49AF3" w14:textId="77777777" w:rsidR="00100C9D" w:rsidRDefault="00100C9D" w:rsidP="00E936D4">
      <w:pPr>
        <w:pStyle w:val="FootnoteText"/>
      </w:pPr>
      <w:r>
        <w:rPr>
          <w:rStyle w:val="FootnoteReference"/>
        </w:rPr>
        <w:footnoteRef/>
      </w:r>
      <w:r>
        <w:t xml:space="preserve"> Including the ABC local radio service for the </w:t>
      </w:r>
      <w:r w:rsidRPr="00E936D4">
        <w:t>relevant</w:t>
      </w:r>
      <w:r>
        <w:t xml:space="preserve"> state capital city.</w:t>
      </w:r>
    </w:p>
  </w:footnote>
  <w:footnote w:id="19">
    <w:p w14:paraId="6E495A01" w14:textId="77777777" w:rsidR="00100C9D" w:rsidRDefault="00100C9D">
      <w:pPr>
        <w:pStyle w:val="FootnoteText"/>
      </w:pPr>
      <w:r>
        <w:rPr>
          <w:rStyle w:val="FootnoteReference"/>
        </w:rPr>
        <w:footnoteRef/>
      </w:r>
      <w:r>
        <w:t xml:space="preserve"> For example, in October 2018 the Australian Podcast Ranker </w:t>
      </w:r>
      <w:hyperlink r:id="rId5">
        <w:r>
          <w:rPr>
            <w:color w:val="0000FF"/>
            <w:u w:val="single" w:color="0000FF"/>
          </w:rPr>
          <w:t>was announced</w:t>
        </w:r>
        <w:r>
          <w:t>.</w:t>
        </w:r>
      </w:hyperlink>
      <w:r>
        <w:t xml:space="preserve"> This lists the most popular podcasts supplied by participating media organisations. The objective is to increase consumer awareness and grow podcast consumption, both for catch-up radio and content outside of free-to-air radio.</w:t>
      </w:r>
    </w:p>
  </w:footnote>
  <w:footnote w:id="20">
    <w:p w14:paraId="0F0ED0A0" w14:textId="77777777" w:rsidR="00100C9D" w:rsidRPr="001002C8" w:rsidRDefault="00100C9D" w:rsidP="001002C8">
      <w:pPr>
        <w:pStyle w:val="FootnoteText"/>
      </w:pPr>
      <w:r>
        <w:rPr>
          <w:rStyle w:val="FootnoteReference"/>
        </w:rPr>
        <w:footnoteRef/>
      </w:r>
      <w:r>
        <w:t xml:space="preserve"> For example, see the CRA submission.</w:t>
      </w:r>
    </w:p>
  </w:footnote>
  <w:footnote w:id="21">
    <w:p w14:paraId="46665222" w14:textId="77777777" w:rsidR="00100C9D" w:rsidRPr="001002C8" w:rsidRDefault="00100C9D" w:rsidP="001002C8">
      <w:pPr>
        <w:pStyle w:val="FootnoteText"/>
      </w:pPr>
      <w:r>
        <w:rPr>
          <w:rStyle w:val="FootnoteReference"/>
        </w:rPr>
        <w:footnoteRef/>
      </w:r>
      <w:r>
        <w:t xml:space="preserve"> Roy Morgan Single Source, in the 12 months to June 2018 and 2019.</w:t>
      </w:r>
    </w:p>
  </w:footnote>
  <w:footnote w:id="22">
    <w:p w14:paraId="5E69AB2E" w14:textId="77777777" w:rsidR="00100C9D" w:rsidRDefault="00100C9D" w:rsidP="001002C8">
      <w:pPr>
        <w:pStyle w:val="FootnoteText"/>
      </w:pPr>
      <w:r>
        <w:rPr>
          <w:rStyle w:val="FootnoteReference"/>
        </w:rPr>
        <w:footnoteRef/>
      </w:r>
      <w:r>
        <w:t xml:space="preserve"> GfK, </w:t>
      </w:r>
      <w:hyperlink r:id="rId6">
        <w:r>
          <w:rPr>
            <w:i/>
            <w:color w:val="0000FF"/>
            <w:u w:val="single" w:color="0000FF"/>
          </w:rPr>
          <w:t>Share of Audio</w:t>
        </w:r>
        <w:r>
          <w:t>,</w:t>
        </w:r>
      </w:hyperlink>
      <w:r>
        <w:t xml:space="preserve"> October </w:t>
      </w:r>
      <w:r w:rsidRPr="001002C8">
        <w:t>2019</w:t>
      </w:r>
      <w:r>
        <w:t>.</w:t>
      </w:r>
    </w:p>
  </w:footnote>
  <w:footnote w:id="23">
    <w:p w14:paraId="16D8F2D5" w14:textId="538C42B0" w:rsidR="00100C9D" w:rsidRDefault="00100C9D">
      <w:pPr>
        <w:pStyle w:val="FootnoteText"/>
      </w:pPr>
      <w:r>
        <w:rPr>
          <w:rStyle w:val="FootnoteReference"/>
        </w:rPr>
        <w:footnoteRef/>
      </w:r>
      <w:r>
        <w:t xml:space="preserve"> ibid.</w:t>
      </w:r>
    </w:p>
  </w:footnote>
  <w:footnote w:id="24">
    <w:p w14:paraId="1BE8972B" w14:textId="46E72F35" w:rsidR="00100C9D" w:rsidRDefault="00100C9D">
      <w:pPr>
        <w:pStyle w:val="FootnoteText"/>
      </w:pPr>
      <w:r>
        <w:rPr>
          <w:rStyle w:val="FootnoteReference"/>
        </w:rPr>
        <w:footnoteRef/>
      </w:r>
      <w:r>
        <w:t xml:space="preserve"> ACMA-commissioned survey, May 2019.</w:t>
      </w:r>
    </w:p>
  </w:footnote>
  <w:footnote w:id="25">
    <w:p w14:paraId="4FE1F0B9" w14:textId="38E81C33" w:rsidR="00100C9D" w:rsidRDefault="00100C9D">
      <w:pPr>
        <w:pStyle w:val="FootnoteText"/>
      </w:pPr>
      <w:r>
        <w:rPr>
          <w:rStyle w:val="FootnoteReference"/>
        </w:rPr>
        <w:footnoteRef/>
      </w:r>
      <w:r>
        <w:t xml:space="preserve"> ACMA, </w:t>
      </w:r>
      <w:r>
        <w:rPr>
          <w:i/>
        </w:rPr>
        <w:t>Radio in the bush–A study of radio listening in remote Western Australia</w:t>
      </w:r>
      <w:r>
        <w:t xml:space="preserve">, May 2017. This research did not include remote Indigenous communities. For an insight into listening in very remote Australia, See </w:t>
      </w:r>
      <w:r w:rsidRPr="00167816">
        <w:t>First Nations Media’s</w:t>
      </w:r>
      <w:r>
        <w:t xml:space="preserve"> </w:t>
      </w:r>
      <w:hyperlink r:id="rId7">
        <w:r>
          <w:rPr>
            <w:i/>
            <w:color w:val="0000FF"/>
            <w:u w:val="single" w:color="0000FF"/>
          </w:rPr>
          <w:t>Remote Indigenous Communications and Media Survey</w:t>
        </w:r>
        <w:r>
          <w:t>,</w:t>
        </w:r>
      </w:hyperlink>
      <w:r>
        <w:t xml:space="preserve"> 2016.</w:t>
      </w:r>
    </w:p>
  </w:footnote>
  <w:footnote w:id="26">
    <w:p w14:paraId="2C02A397" w14:textId="5E376798" w:rsidR="00100C9D" w:rsidRDefault="00100C9D">
      <w:pPr>
        <w:pStyle w:val="FootnoteText"/>
      </w:pPr>
      <w:r>
        <w:rPr>
          <w:rStyle w:val="FootnoteReference"/>
        </w:rPr>
        <w:footnoteRef/>
      </w:r>
      <w:r>
        <w:t xml:space="preserve"> See CRA submission, p. 5; ABC submission, p. 3.</w:t>
      </w:r>
    </w:p>
  </w:footnote>
  <w:footnote w:id="27">
    <w:p w14:paraId="40046AD4" w14:textId="3B8E99CF" w:rsidR="00100C9D" w:rsidRDefault="00100C9D">
      <w:pPr>
        <w:pStyle w:val="FootnoteText"/>
      </w:pPr>
      <w:r>
        <w:rPr>
          <w:rStyle w:val="FootnoteReference"/>
        </w:rPr>
        <w:footnoteRef/>
      </w:r>
      <w:r>
        <w:t xml:space="preserve"> ACMA, </w:t>
      </w:r>
      <w:r>
        <w:rPr>
          <w:i/>
        </w:rPr>
        <w:t>AM radio issues: An examination of technical and engineering issues, their impact on the AM radio business model, and digitalisation</w:t>
      </w:r>
      <w:r>
        <w:t>, January 2006, p.14.</w:t>
      </w:r>
    </w:p>
  </w:footnote>
  <w:footnote w:id="28">
    <w:p w14:paraId="3B54010C" w14:textId="1CC9301A" w:rsidR="00100C9D" w:rsidRDefault="00100C9D">
      <w:pPr>
        <w:pStyle w:val="FootnoteText"/>
      </w:pPr>
      <w:r>
        <w:rPr>
          <w:rStyle w:val="FootnoteReference"/>
        </w:rPr>
        <w:footnoteRef/>
      </w:r>
      <w:r>
        <w:t xml:space="preserve"> ACMA-commissioned survey, May 2019.</w:t>
      </w:r>
    </w:p>
  </w:footnote>
  <w:footnote w:id="29">
    <w:p w14:paraId="7CFB5D89" w14:textId="2AC0B6F9" w:rsidR="00100C9D" w:rsidRDefault="00100C9D">
      <w:pPr>
        <w:pStyle w:val="FootnoteText"/>
      </w:pPr>
      <w:r>
        <w:rPr>
          <w:rStyle w:val="FootnoteReference"/>
        </w:rPr>
        <w:footnoteRef/>
      </w:r>
      <w:r>
        <w:t xml:space="preserve"> ACMA Broadcasting Financial Reports, financial years 2001 to 2016.</w:t>
      </w:r>
    </w:p>
  </w:footnote>
  <w:footnote w:id="30">
    <w:p w14:paraId="6ABC372F" w14:textId="75BB7753" w:rsidR="00100C9D" w:rsidRDefault="00100C9D">
      <w:pPr>
        <w:pStyle w:val="FootnoteText"/>
      </w:pPr>
      <w:r>
        <w:rPr>
          <w:rStyle w:val="FootnoteReference"/>
        </w:rPr>
        <w:footnoteRef/>
      </w:r>
      <w:r>
        <w:t xml:space="preserve"> Source: Digital radio plus </w:t>
      </w:r>
      <w:hyperlink r:id="rId8">
        <w:r>
          <w:rPr>
            <w:color w:val="0000FF"/>
            <w:u w:val="single" w:color="0000FF"/>
          </w:rPr>
          <w:t>media release</w:t>
        </w:r>
        <w:r>
          <w:t>,</w:t>
        </w:r>
      </w:hyperlink>
      <w:r>
        <w:t xml:space="preserve"> 18 February 2019.</w:t>
      </w:r>
    </w:p>
  </w:footnote>
  <w:footnote w:id="31">
    <w:p w14:paraId="46BE61F9" w14:textId="2365E674" w:rsidR="00100C9D" w:rsidRDefault="00100C9D">
      <w:pPr>
        <w:pStyle w:val="FootnoteText"/>
      </w:pPr>
      <w:r>
        <w:rPr>
          <w:rStyle w:val="FootnoteReference"/>
        </w:rPr>
        <w:footnoteRef/>
      </w:r>
      <w:r>
        <w:t xml:space="preserve"> McNair Ingenuity Research, </w:t>
      </w:r>
      <w:hyperlink r:id="rId9">
        <w:r>
          <w:rPr>
            <w:i/>
            <w:color w:val="0000FF"/>
            <w:u w:val="single" w:color="0000FF"/>
          </w:rPr>
          <w:t>Community Radio National Listener Survey Summary Report of Findings</w:t>
        </w:r>
        <w:r>
          <w:t>,</w:t>
        </w:r>
      </w:hyperlink>
      <w:r>
        <w:t xml:space="preserve"> Jan 2017, accessed CBAA website November 2019.</w:t>
      </w:r>
    </w:p>
  </w:footnote>
  <w:footnote w:id="32">
    <w:p w14:paraId="5A18F938" w14:textId="100B93C7" w:rsidR="00100C9D" w:rsidRDefault="00100C9D">
      <w:pPr>
        <w:pStyle w:val="FootnoteText"/>
      </w:pPr>
      <w:r>
        <w:rPr>
          <w:rStyle w:val="FootnoteReference"/>
        </w:rPr>
        <w:footnoteRef/>
      </w:r>
      <w:r>
        <w:t xml:space="preserve"> See submissions from CBAA and CRA.</w:t>
      </w:r>
    </w:p>
  </w:footnote>
  <w:footnote w:id="33">
    <w:p w14:paraId="2E9EDC6D" w14:textId="0C3CC595" w:rsidR="00100C9D" w:rsidRDefault="00100C9D">
      <w:pPr>
        <w:pStyle w:val="FootnoteText"/>
      </w:pPr>
      <w:r>
        <w:rPr>
          <w:rStyle w:val="FootnoteReference"/>
        </w:rPr>
        <w:footnoteRef/>
      </w:r>
      <w:r>
        <w:t xml:space="preserve"> See ABC submission.</w:t>
      </w:r>
    </w:p>
  </w:footnote>
  <w:footnote w:id="34">
    <w:p w14:paraId="005A5BA3" w14:textId="6504E8D8" w:rsidR="00100C9D" w:rsidRDefault="00100C9D">
      <w:pPr>
        <w:pStyle w:val="FootnoteText"/>
      </w:pPr>
      <w:r>
        <w:rPr>
          <w:rStyle w:val="FootnoteReference"/>
        </w:rPr>
        <w:footnoteRef/>
      </w:r>
      <w:r>
        <w:t xml:space="preserve"> ANRA submitted that HPONs and clusters of LPONs should be provided with access to DAB+. ANRA and Noise FM supported consideration of </w:t>
      </w:r>
      <w:hyperlink w:anchor="_bookmark1" w:history="1">
        <w:r>
          <w:rPr>
            <w:color w:val="0000FF"/>
            <w:u w:val="single" w:color="0000FF"/>
          </w:rPr>
          <w:t>DRM for VHF-FM digital technology</w:t>
        </w:r>
        <w:r>
          <w:t>.</w:t>
        </w:r>
      </w:hyperlink>
      <w:r>
        <w:t xml:space="preserve"> The CBAA also suggested consideration of small-scale DAB+ (and exploring DRM for VHF-FM) as a digital pathway for sub- metropolitan community broadcasters, and for additional community broadcasting services.</w:t>
      </w:r>
    </w:p>
  </w:footnote>
  <w:footnote w:id="35">
    <w:p w14:paraId="559C8C02" w14:textId="1538566D" w:rsidR="00100C9D" w:rsidRDefault="00100C9D">
      <w:pPr>
        <w:pStyle w:val="FootnoteText"/>
      </w:pPr>
      <w:r>
        <w:rPr>
          <w:rStyle w:val="FootnoteReference"/>
        </w:rPr>
        <w:footnoteRef/>
      </w:r>
      <w:r>
        <w:t xml:space="preserve"> CRA submission, ABC submission, SBS submission, CBAA submission.</w:t>
      </w:r>
    </w:p>
  </w:footnote>
  <w:footnote w:id="36">
    <w:p w14:paraId="08786652" w14:textId="3D1F4FFE" w:rsidR="00100C9D" w:rsidRDefault="00100C9D" w:rsidP="00BA45A0">
      <w:pPr>
        <w:pStyle w:val="FootnoteText"/>
      </w:pPr>
      <w:r>
        <w:rPr>
          <w:rStyle w:val="FootnoteReference"/>
        </w:rPr>
        <w:footnoteRef/>
      </w:r>
      <w:r>
        <w:t xml:space="preserve"> As at 1 January 2020, Mandurah WA is the only non-capital city licence area for which the ACMA has issued a digital radio multiplex transmitter licence.</w:t>
      </w:r>
    </w:p>
  </w:footnote>
  <w:footnote w:id="37">
    <w:p w14:paraId="55C5E6F2" w14:textId="3AEC650C" w:rsidR="00100C9D" w:rsidRPr="00BA45A0" w:rsidRDefault="00100C9D" w:rsidP="00BA45A0">
      <w:pPr>
        <w:pStyle w:val="FootnoteText"/>
      </w:pPr>
      <w:r>
        <w:rPr>
          <w:rStyle w:val="FootnoteReference"/>
        </w:rPr>
        <w:footnoteRef/>
      </w:r>
      <w:r>
        <w:t xml:space="preserve"> See </w:t>
      </w:r>
      <w:r>
        <w:rPr>
          <w:u w:color="0000FF"/>
        </w:rPr>
        <w:t>CRA submission</w:t>
      </w:r>
      <w:r>
        <w:t xml:space="preserve">, </w:t>
      </w:r>
      <w:r>
        <w:rPr>
          <w:u w:color="0000FF"/>
        </w:rPr>
        <w:t>ABC submission</w:t>
      </w:r>
      <w:r>
        <w:t xml:space="preserve">, </w:t>
      </w:r>
      <w:r>
        <w:rPr>
          <w:u w:color="0000FF"/>
        </w:rPr>
        <w:t>SBS submission</w:t>
      </w:r>
      <w:r>
        <w:t xml:space="preserve">, </w:t>
      </w:r>
      <w:r>
        <w:rPr>
          <w:u w:color="0000FF"/>
        </w:rPr>
        <w:t>CBAA submission</w:t>
      </w:r>
      <w:r>
        <w:t>.</w:t>
      </w:r>
    </w:p>
  </w:footnote>
  <w:footnote w:id="38">
    <w:p w14:paraId="00DABACF" w14:textId="75C13DAA" w:rsidR="00100C9D" w:rsidRDefault="00100C9D">
      <w:pPr>
        <w:pStyle w:val="FootnoteText"/>
      </w:pPr>
      <w:r>
        <w:rPr>
          <w:rStyle w:val="FootnoteReference"/>
        </w:rPr>
        <w:footnoteRef/>
      </w:r>
      <w:r>
        <w:t xml:space="preserve"> CBAA submission, p. 9.</w:t>
      </w:r>
    </w:p>
  </w:footnote>
  <w:footnote w:id="39">
    <w:p w14:paraId="0B46B8AD" w14:textId="4D93C16A" w:rsidR="00100C9D" w:rsidRDefault="00100C9D" w:rsidP="00BA45A0">
      <w:pPr>
        <w:pStyle w:val="FootnoteText"/>
      </w:pPr>
      <w:r>
        <w:rPr>
          <w:rStyle w:val="FootnoteReference"/>
        </w:rPr>
        <w:footnoteRef/>
      </w:r>
      <w:r>
        <w:t xml:space="preserve"> Super Radio Network </w:t>
      </w:r>
      <w:r w:rsidRPr="00BA45A0">
        <w:t>submission</w:t>
      </w:r>
      <w:r>
        <w:t>.</w:t>
      </w:r>
    </w:p>
  </w:footnote>
  <w:footnote w:id="40">
    <w:p w14:paraId="46D8EDC6" w14:textId="52B32B34" w:rsidR="00100C9D" w:rsidRDefault="00100C9D">
      <w:pPr>
        <w:pStyle w:val="FootnoteText"/>
      </w:pPr>
      <w:r>
        <w:rPr>
          <w:rStyle w:val="FootnoteReference"/>
        </w:rPr>
        <w:footnoteRef/>
      </w:r>
      <w:r>
        <w:t xml:space="preserve"> The ABC submission quoted the </w:t>
      </w:r>
      <w:hyperlink r:id="rId10">
        <w:r>
          <w:rPr>
            <w:color w:val="0000FF"/>
            <w:u w:val="single" w:color="0000FF"/>
          </w:rPr>
          <w:t>ABS 2016-17 household internet use of information technology report</w:t>
        </w:r>
        <w:r>
          <w:t>.</w:t>
        </w:r>
      </w:hyperlink>
      <w:r>
        <w:t xml:space="preserve"> Details of the sample, particularly households excluded from the survey, are available </w:t>
      </w:r>
      <w:hyperlink r:id="rId11">
        <w:r>
          <w:rPr>
            <w:color w:val="0000FF"/>
            <w:u w:val="single" w:color="0000FF"/>
          </w:rPr>
          <w:t>here</w:t>
        </w:r>
        <w:r>
          <w:t>.</w:t>
        </w:r>
      </w:hyperlink>
    </w:p>
  </w:footnote>
  <w:footnote w:id="41">
    <w:p w14:paraId="44F3529A" w14:textId="50EE40FA" w:rsidR="00100C9D" w:rsidRDefault="00100C9D">
      <w:pPr>
        <w:pStyle w:val="FootnoteText"/>
      </w:pPr>
      <w:r>
        <w:rPr>
          <w:rStyle w:val="FootnoteReference"/>
        </w:rPr>
        <w:footnoteRef/>
      </w:r>
      <w:r>
        <w:t xml:space="preserve"> See CBAA, CRA and First Nations Media submissions.</w:t>
      </w:r>
    </w:p>
  </w:footnote>
  <w:footnote w:id="42">
    <w:p w14:paraId="1B0FAA25" w14:textId="63AD9A66" w:rsidR="00100C9D" w:rsidRDefault="00100C9D">
      <w:pPr>
        <w:pStyle w:val="FootnoteText"/>
      </w:pPr>
      <w:r>
        <w:rPr>
          <w:rStyle w:val="FootnoteReference"/>
        </w:rPr>
        <w:footnoteRef/>
      </w:r>
      <w:r>
        <w:t xml:space="preserve"> The ABC reports that audio streaming via the ABC listen app consumes 29 MB per hour. </w:t>
      </w:r>
      <w:hyperlink r:id="rId12">
        <w:r>
          <w:rPr>
            <w:color w:val="0000FF"/>
            <w:u w:val="single" w:color="0000FF"/>
          </w:rPr>
          <w:t>https://radio.abc.net.au/help/apps</w:t>
        </w:r>
        <w:r>
          <w:t>,</w:t>
        </w:r>
      </w:hyperlink>
      <w:r>
        <w:t xml:space="preserve"> accessed 29 November 2019.</w:t>
      </w:r>
    </w:p>
  </w:footnote>
  <w:footnote w:id="43">
    <w:p w14:paraId="47E8ED52" w14:textId="47383404" w:rsidR="00100C9D" w:rsidRDefault="00100C9D">
      <w:pPr>
        <w:pStyle w:val="FootnoteText"/>
      </w:pPr>
      <w:r>
        <w:rPr>
          <w:rStyle w:val="FootnoteReference"/>
        </w:rPr>
        <w:footnoteRef/>
      </w:r>
      <w:r>
        <w:t xml:space="preserve"> See submissions from CRA, SBS, ABC, CBAA, First Nations Media.</w:t>
      </w:r>
    </w:p>
  </w:footnote>
  <w:footnote w:id="44">
    <w:p w14:paraId="5DF9CA24" w14:textId="7DC2AFFF" w:rsidR="00100C9D" w:rsidRDefault="00100C9D">
      <w:pPr>
        <w:pStyle w:val="FootnoteText"/>
      </w:pPr>
      <w:r>
        <w:rPr>
          <w:rStyle w:val="FootnoteReference"/>
        </w:rPr>
        <w:footnoteRef/>
      </w:r>
      <w:r>
        <w:t xml:space="preserve"> </w:t>
      </w:r>
      <w:hyperlink r:id="rId13">
        <w:r>
          <w:rPr>
            <w:color w:val="0000FF"/>
            <w:u w:val="single" w:color="0000FF"/>
          </w:rPr>
          <w:t>CRA</w:t>
        </w:r>
      </w:hyperlink>
      <w:r>
        <w:rPr>
          <w:color w:val="0000FF"/>
          <w:u w:val="single" w:color="0000FF"/>
        </w:rPr>
        <w:t xml:space="preserve"> media release</w:t>
      </w:r>
      <w:r>
        <w:t>, January 2019.</w:t>
      </w:r>
    </w:p>
  </w:footnote>
  <w:footnote w:id="45">
    <w:p w14:paraId="36A7152D" w14:textId="742D00AA" w:rsidR="00100C9D" w:rsidRDefault="00100C9D">
      <w:pPr>
        <w:pStyle w:val="FootnoteText"/>
      </w:pPr>
      <w:r>
        <w:rPr>
          <w:rStyle w:val="FootnoteReference"/>
        </w:rPr>
        <w:footnoteRef/>
      </w:r>
      <w:r>
        <w:t xml:space="preserve"> Living Arts Canberra submission.</w:t>
      </w:r>
    </w:p>
  </w:footnote>
  <w:footnote w:id="46">
    <w:p w14:paraId="0278B931" w14:textId="3D64BC48" w:rsidR="00100C9D" w:rsidRDefault="00100C9D">
      <w:pPr>
        <w:pStyle w:val="FootnoteText"/>
      </w:pPr>
      <w:r>
        <w:rPr>
          <w:rStyle w:val="FootnoteReference"/>
        </w:rPr>
        <w:footnoteRef/>
      </w:r>
      <w:r>
        <w:t xml:space="preserve"> CRA pointed out in its submission that music licensing for online-only streams is more expensive than for online simulcasts of free-to air.</w:t>
      </w:r>
    </w:p>
  </w:footnote>
  <w:footnote w:id="47">
    <w:p w14:paraId="69400EA9" w14:textId="31C2A79D" w:rsidR="00100C9D" w:rsidRDefault="00100C9D">
      <w:pPr>
        <w:pStyle w:val="FootnoteText"/>
      </w:pPr>
      <w:r>
        <w:rPr>
          <w:rStyle w:val="FootnoteReference"/>
        </w:rPr>
        <w:footnoteRef/>
      </w:r>
      <w:r>
        <w:t xml:space="preserve"> Radioinfo, submission.</w:t>
      </w:r>
    </w:p>
  </w:footnote>
  <w:footnote w:id="48">
    <w:p w14:paraId="1B23FB16" w14:textId="401EADCF" w:rsidR="00100C9D" w:rsidRDefault="00100C9D">
      <w:pPr>
        <w:pStyle w:val="FootnoteText"/>
      </w:pPr>
      <w:r>
        <w:rPr>
          <w:rStyle w:val="FootnoteReference"/>
        </w:rPr>
        <w:footnoteRef/>
      </w:r>
      <w:r>
        <w:t xml:space="preserve"> In October 2018, CRA entered into an agreement with Google about enhancing the discoverability of Australian radio live streams on its Google Nest devices by making them easily accessible via voice commands. See CRA </w:t>
      </w:r>
      <w:hyperlink r:id="rId14" w:anchor=".XeCV4OgzYaY">
        <w:r>
          <w:rPr>
            <w:color w:val="0000FF"/>
            <w:u w:val="single" w:color="0000FF"/>
          </w:rPr>
          <w:t>media release</w:t>
        </w:r>
        <w:r>
          <w:t>,</w:t>
        </w:r>
      </w:hyperlink>
      <w:r>
        <w:t xml:space="preserve"> 18 October 2019.</w:t>
      </w:r>
    </w:p>
  </w:footnote>
  <w:footnote w:id="49">
    <w:p w14:paraId="2B06973F" w14:textId="4593E592" w:rsidR="00100C9D" w:rsidRDefault="00100C9D">
      <w:pPr>
        <w:pStyle w:val="FootnoteText"/>
      </w:pPr>
      <w:r>
        <w:rPr>
          <w:rStyle w:val="FootnoteReference"/>
        </w:rPr>
        <w:footnoteRef/>
      </w:r>
      <w:r>
        <w:t xml:space="preserve"> The September 2019 quarter financial results, prepared by Deloitte for CRA showed that advertising revenue for metropolitan commercial radio stations contracted by 10.2 percent to $181.432 million in the September quarter of 2019, from $202.109 million a year ago. See CRA </w:t>
      </w:r>
      <w:hyperlink r:id="rId15" w:anchor=".XeChSegzYaY">
        <w:r>
          <w:rPr>
            <w:color w:val="0000FF"/>
            <w:u w:val="single" w:color="0000FF"/>
          </w:rPr>
          <w:t>media release</w:t>
        </w:r>
        <w:r>
          <w:t>,</w:t>
        </w:r>
      </w:hyperlink>
      <w:r>
        <w:t xml:space="preserve"> 15 October 2019.</w:t>
      </w:r>
    </w:p>
  </w:footnote>
  <w:footnote w:id="50">
    <w:p w14:paraId="6873F1C9" w14:textId="5059D324" w:rsidR="00100C9D" w:rsidRDefault="00100C9D">
      <w:pPr>
        <w:pStyle w:val="FootnoteText"/>
      </w:pPr>
      <w:r>
        <w:rPr>
          <w:rStyle w:val="FootnoteReference"/>
        </w:rPr>
        <w:footnoteRef/>
      </w:r>
      <w:r>
        <w:t xml:space="preserve"> </w:t>
      </w:r>
      <w:hyperlink r:id="rId16">
        <w:r>
          <w:rPr>
            <w:color w:val="0000FF"/>
            <w:u w:val="single" w:color="0000FF"/>
          </w:rPr>
          <w:t>Commercial Radio Australia</w:t>
        </w:r>
      </w:hyperlink>
      <w:r>
        <w:rPr>
          <w:color w:val="0000FF"/>
          <w:u w:val="single" w:color="0000FF"/>
        </w:rPr>
        <w:t>, media release</w:t>
      </w:r>
      <w:r>
        <w:rPr>
          <w:color w:val="0000FF"/>
        </w:rPr>
        <w:t xml:space="preserve">, </w:t>
      </w:r>
      <w:r>
        <w:t>January 2019.</w:t>
      </w:r>
    </w:p>
  </w:footnote>
  <w:footnote w:id="51">
    <w:p w14:paraId="2249F42E" w14:textId="0116F13F" w:rsidR="00100C9D" w:rsidRDefault="00100C9D">
      <w:pPr>
        <w:pStyle w:val="FootnoteText"/>
      </w:pPr>
      <w:r>
        <w:rPr>
          <w:rStyle w:val="FootnoteReference"/>
        </w:rPr>
        <w:footnoteRef/>
      </w:r>
      <w:r>
        <w:t xml:space="preserve"> </w:t>
      </w:r>
      <w:hyperlink r:id="rId17">
        <w:r>
          <w:rPr>
            <w:color w:val="0000FF"/>
            <w:u w:val="single" w:color="0000FF"/>
          </w:rPr>
          <w:t>The 2019 Infinite Dial Australia Study</w:t>
        </w:r>
        <w:r>
          <w:t>.</w:t>
        </w:r>
      </w:hyperlink>
      <w:r>
        <w:t xml:space="preserve"> Eighty-five per cent of those who have driven or ridden in a car in the last month of the study listened to AM, FM or DAB+ delivered radio. Four per cent listened to IP streams of these services and 26 per cent listened to other streaming services.</w:t>
      </w:r>
    </w:p>
  </w:footnote>
  <w:footnote w:id="52">
    <w:p w14:paraId="0590E455" w14:textId="188A9399" w:rsidR="00100C9D" w:rsidRDefault="00100C9D">
      <w:pPr>
        <w:pStyle w:val="FootnoteText"/>
      </w:pPr>
      <w:r>
        <w:rPr>
          <w:rStyle w:val="FootnoteReference"/>
        </w:rPr>
        <w:footnoteRef/>
      </w:r>
      <w:r>
        <w:t xml:space="preserve"> Commercial Radio Australia, media release, 12 March 2018.</w:t>
      </w:r>
    </w:p>
  </w:footnote>
  <w:footnote w:id="53">
    <w:p w14:paraId="6CD685CB" w14:textId="4847A8AA" w:rsidR="00100C9D" w:rsidRPr="001F4EDA" w:rsidRDefault="00100C9D" w:rsidP="001F4EDA">
      <w:pPr>
        <w:pStyle w:val="FootnoteText"/>
      </w:pPr>
      <w:r>
        <w:rPr>
          <w:rStyle w:val="FootnoteReference"/>
        </w:rPr>
        <w:footnoteRef/>
      </w:r>
      <w:r>
        <w:t xml:space="preserve"> </w:t>
      </w:r>
      <w:r>
        <w:rPr>
          <w:position w:val="6"/>
          <w:sz w:val="12"/>
        </w:rPr>
        <w:t xml:space="preserve">53 </w:t>
      </w:r>
      <w:r>
        <w:t xml:space="preserve">An exact figure is not available. However, the ABS </w:t>
      </w:r>
      <w:hyperlink r:id="rId18">
        <w:r>
          <w:t>Motor Vehicle Census (January 2018)</w:t>
        </w:r>
      </w:hyperlink>
      <w:r>
        <w:t xml:space="preserve"> reports a total of 19,173,279 motor vehicles (ABS) at 31 January 2018. The average age of all vehicles registered in Australia was 10.1 years, unchanged since 2015. According to </w:t>
      </w:r>
      <w:hyperlink r:id="rId19">
        <w:r>
          <w:t>Digital Radio Plus,</w:t>
        </w:r>
      </w:hyperlink>
      <w:r>
        <w:t xml:space="preserve"> 564,318 vehicles with DAB+ were sold in 2018, as at September. The cumulative sales of vehicles sold with DAB+ digital radio is 1,987,475 as at September 2018. The ACMA’s own analysis suggests that based on these figures, if all the vehicles sold with DAB+ are still registered, almost three per cent of Australia’s 19 million car fleet could have DAB+.</w:t>
      </w:r>
    </w:p>
  </w:footnote>
  <w:footnote w:id="54">
    <w:p w14:paraId="43C98BD4" w14:textId="4C109592" w:rsidR="00100C9D" w:rsidRDefault="00100C9D">
      <w:pPr>
        <w:pStyle w:val="FootnoteText"/>
      </w:pPr>
      <w:r>
        <w:rPr>
          <w:rStyle w:val="FootnoteReference"/>
        </w:rPr>
        <w:footnoteRef/>
      </w:r>
      <w:r>
        <w:t xml:space="preserve"> ABS </w:t>
      </w:r>
      <w:hyperlink r:id="rId20">
        <w:r>
          <w:t>Motor Vehicle Census (January 2018).</w:t>
        </w:r>
      </w:hyperlink>
    </w:p>
  </w:footnote>
  <w:footnote w:id="55">
    <w:p w14:paraId="4A789A2B" w14:textId="10863B2D" w:rsidR="00100C9D" w:rsidRDefault="00100C9D">
      <w:pPr>
        <w:pStyle w:val="FootnoteText"/>
      </w:pPr>
      <w:r>
        <w:rPr>
          <w:rStyle w:val="FootnoteReference"/>
        </w:rPr>
        <w:footnoteRef/>
      </w:r>
      <w:r>
        <w:t xml:space="preserve"> Federal Chamber of Automotive Industries discussion, October 2019.</w:t>
      </w:r>
    </w:p>
  </w:footnote>
  <w:footnote w:id="56">
    <w:p w14:paraId="1D77F88D" w14:textId="64B77ADA" w:rsidR="00100C9D" w:rsidRDefault="00100C9D">
      <w:pPr>
        <w:pStyle w:val="FootnoteText"/>
      </w:pPr>
      <w:r>
        <w:rPr>
          <w:rStyle w:val="FootnoteReference"/>
        </w:rPr>
        <w:footnoteRef/>
      </w:r>
      <w:r>
        <w:t xml:space="preserve"> </w:t>
      </w:r>
      <w:hyperlink r:id="rId21">
        <w:r>
          <w:rPr>
            <w:color w:val="0000FF"/>
            <w:u w:val="single" w:color="0000FF"/>
          </w:rPr>
          <w:t xml:space="preserve">Digital Radio Plus </w:t>
        </w:r>
      </w:hyperlink>
      <w:r>
        <w:t>website, accessed October 2019. Statistics from Glass’s Automotive business intelligence, June 2019.</w:t>
      </w:r>
    </w:p>
  </w:footnote>
  <w:footnote w:id="57">
    <w:p w14:paraId="26DE8F8B" w14:textId="27B989ED" w:rsidR="00100C9D" w:rsidRDefault="00100C9D">
      <w:pPr>
        <w:pStyle w:val="FootnoteText"/>
      </w:pPr>
      <w:r>
        <w:rPr>
          <w:rStyle w:val="FootnoteReference"/>
        </w:rPr>
        <w:footnoteRef/>
      </w:r>
      <w:r>
        <w:t xml:space="preserve"> Federal Chamber of Automotive Industries, Discussion, October 2019.</w:t>
      </w:r>
    </w:p>
  </w:footnote>
  <w:footnote w:id="58">
    <w:p w14:paraId="51B8C385" w14:textId="5B0A7AF8" w:rsidR="00100C9D" w:rsidRDefault="00100C9D">
      <w:pPr>
        <w:pStyle w:val="FootnoteText"/>
      </w:pPr>
      <w:r>
        <w:rPr>
          <w:rStyle w:val="FootnoteReference"/>
        </w:rPr>
        <w:footnoteRef/>
      </w:r>
      <w:r>
        <w:t xml:space="preserve"> ibid.</w:t>
      </w:r>
    </w:p>
  </w:footnote>
  <w:footnote w:id="59">
    <w:p w14:paraId="3CDDA13F" w14:textId="2ABBA8F2" w:rsidR="00100C9D" w:rsidRDefault="00100C9D">
      <w:pPr>
        <w:pStyle w:val="FootnoteText"/>
      </w:pPr>
      <w:r>
        <w:rPr>
          <w:rStyle w:val="FootnoteReference"/>
        </w:rPr>
        <w:footnoteRef/>
      </w:r>
      <w:r>
        <w:t xml:space="preserve"> Federated Chamber of Automotive Industries submission.</w:t>
      </w:r>
    </w:p>
  </w:footnote>
  <w:footnote w:id="60">
    <w:p w14:paraId="05A92C25" w14:textId="541C65B1" w:rsidR="00100C9D" w:rsidRDefault="00100C9D">
      <w:pPr>
        <w:pStyle w:val="FootnoteText"/>
      </w:pPr>
      <w:r>
        <w:rPr>
          <w:rStyle w:val="FootnoteReference"/>
        </w:rPr>
        <w:footnoteRef/>
      </w:r>
      <w:r>
        <w:t xml:space="preserve"> ibid.</w:t>
      </w:r>
    </w:p>
  </w:footnote>
  <w:footnote w:id="61">
    <w:p w14:paraId="03A6A3ED" w14:textId="71940148" w:rsidR="00100C9D" w:rsidRDefault="00100C9D">
      <w:pPr>
        <w:pStyle w:val="FootnoteText"/>
      </w:pPr>
      <w:r>
        <w:rPr>
          <w:rStyle w:val="FootnoteReference"/>
        </w:rPr>
        <w:footnoteRef/>
      </w:r>
      <w:r>
        <w:t xml:space="preserve"> See submissions from ANRA, CRA and Super Radio Network.</w:t>
      </w:r>
    </w:p>
  </w:footnote>
  <w:footnote w:id="62">
    <w:p w14:paraId="7A7F20BF" w14:textId="2C75B520" w:rsidR="00100C9D" w:rsidRPr="0065443F" w:rsidRDefault="00100C9D" w:rsidP="0065443F">
      <w:pPr>
        <w:pStyle w:val="FootnoteText"/>
      </w:pPr>
      <w:r>
        <w:rPr>
          <w:rStyle w:val="FootnoteReference"/>
        </w:rPr>
        <w:footnoteRef/>
      </w:r>
      <w:r>
        <w:t xml:space="preserve"> See </w:t>
      </w:r>
      <w:hyperlink w:anchor="_bookmark7" w:history="1">
        <w:r>
          <w:rPr>
            <w:color w:val="0000FF"/>
            <w:u w:val="single" w:color="0000FF"/>
          </w:rPr>
          <w:t>Glossary</w:t>
        </w:r>
        <w:r>
          <w:rPr>
            <w:color w:val="0000FF"/>
          </w:rPr>
          <w:t>.</w:t>
        </w:r>
      </w:hyperlink>
    </w:p>
  </w:footnote>
  <w:footnote w:id="63">
    <w:p w14:paraId="45CC3C8D" w14:textId="0377E4F1" w:rsidR="00100C9D" w:rsidRPr="0065443F" w:rsidRDefault="00100C9D" w:rsidP="0065443F">
      <w:pPr>
        <w:pStyle w:val="FootnoteText"/>
      </w:pPr>
      <w:r>
        <w:rPr>
          <w:rStyle w:val="FootnoteReference"/>
        </w:rPr>
        <w:footnoteRef/>
      </w:r>
      <w:r>
        <w:t xml:space="preserve"> Extended band FM receivers would have some commonality with those in Japan and Brazil, however, neither country has adopted DAB+ digital radio.</w:t>
      </w:r>
    </w:p>
  </w:footnote>
  <w:footnote w:id="64">
    <w:p w14:paraId="5A074098" w14:textId="77831763" w:rsidR="00100C9D" w:rsidRDefault="00100C9D">
      <w:pPr>
        <w:pStyle w:val="FootnoteText"/>
      </w:pPr>
      <w:r>
        <w:rPr>
          <w:rStyle w:val="FootnoteReference"/>
        </w:rPr>
        <w:footnoteRef/>
      </w:r>
      <w:r>
        <w:t xml:space="preserve"> See submissions from Noise FM, World Media and ANRA.</w:t>
      </w:r>
    </w:p>
  </w:footnote>
  <w:footnote w:id="65">
    <w:p w14:paraId="478A2676" w14:textId="2995FDD6" w:rsidR="00100C9D" w:rsidRDefault="00100C9D">
      <w:pPr>
        <w:pStyle w:val="FootnoteText"/>
      </w:pPr>
      <w:r>
        <w:rPr>
          <w:rStyle w:val="FootnoteReference"/>
        </w:rPr>
        <w:footnoteRef/>
      </w:r>
      <w:r>
        <w:t xml:space="preserve"> In contrast, Super Radio and Broadcast Australia supported reviews of planning parameters.</w:t>
      </w:r>
    </w:p>
  </w:footnote>
  <w:footnote w:id="66">
    <w:p w14:paraId="4D43C330" w14:textId="0F06B8EE" w:rsidR="00100C9D" w:rsidRDefault="00100C9D">
      <w:pPr>
        <w:pStyle w:val="FootnoteText"/>
      </w:pPr>
      <w:r>
        <w:rPr>
          <w:rStyle w:val="FootnoteReference"/>
        </w:rPr>
        <w:footnoteRef/>
      </w:r>
      <w:r>
        <w:t xml:space="preserve"> See submission form Super Radio Network.</w:t>
      </w:r>
    </w:p>
  </w:footnote>
  <w:footnote w:id="67">
    <w:p w14:paraId="55595404" w14:textId="3571A604" w:rsidR="00100C9D" w:rsidRDefault="00100C9D">
      <w:pPr>
        <w:pStyle w:val="FootnoteText"/>
      </w:pPr>
      <w:r>
        <w:rPr>
          <w:rStyle w:val="FootnoteReference"/>
        </w:rPr>
        <w:footnoteRef/>
      </w:r>
      <w:r>
        <w:t xml:space="preserve"> There may be some exceptions. Our examination of the availability of FM spectrum in Perth following the clearance of analog television indicates that some judicious replanning could provide several additional high-power FM channels. We plan to publish a report on this in 2020. There may also be some scope in Adelaide, however, we have not undertaken any detailed analysis.</w:t>
      </w:r>
    </w:p>
  </w:footnote>
  <w:footnote w:id="68">
    <w:p w14:paraId="3BC7E71E" w14:textId="36B23E4C" w:rsidR="00100C9D" w:rsidRDefault="00100C9D">
      <w:pPr>
        <w:pStyle w:val="FootnoteText"/>
      </w:pPr>
      <w:r>
        <w:rPr>
          <w:rStyle w:val="FootnoteReference"/>
        </w:rPr>
        <w:footnoteRef/>
      </w:r>
      <w:r>
        <w:t xml:space="preserve"> Four is the highest number of commercial stations in a regional market. Six other markets also have four.</w:t>
      </w:r>
    </w:p>
  </w:footnote>
  <w:footnote w:id="69">
    <w:p w14:paraId="0FF9BEFC" w14:textId="5283ABBB" w:rsidR="00100C9D" w:rsidRDefault="00100C9D">
      <w:pPr>
        <w:pStyle w:val="FootnoteText"/>
      </w:pPr>
      <w:r>
        <w:rPr>
          <w:rStyle w:val="FootnoteReference"/>
        </w:rPr>
        <w:footnoteRef/>
      </w:r>
      <w:r>
        <w:t xml:space="preserve"> Due to time constraints, we did not attempt to identify alternative frequencies for services that would need to change frequency.</w:t>
      </w:r>
    </w:p>
  </w:footnote>
  <w:footnote w:id="70">
    <w:p w14:paraId="7683EAB9" w14:textId="00ED45C0" w:rsidR="00100C9D" w:rsidRDefault="00100C9D">
      <w:pPr>
        <w:pStyle w:val="FootnoteText"/>
      </w:pPr>
      <w:r>
        <w:rPr>
          <w:rStyle w:val="FootnoteReference"/>
        </w:rPr>
        <w:footnoteRef/>
      </w:r>
      <w:r>
        <w:t xml:space="preserve"> See </w:t>
      </w:r>
      <w:hyperlink w:anchor="_bookmark7" w:history="1">
        <w:r>
          <w:rPr>
            <w:color w:val="0000FF"/>
            <w:u w:val="single" w:color="0000FF"/>
          </w:rPr>
          <w:t xml:space="preserve">Glossary </w:t>
        </w:r>
      </w:hyperlink>
      <w:r>
        <w:t>for an explanation of sub-metropolitan community services.</w:t>
      </w:r>
    </w:p>
  </w:footnote>
  <w:footnote w:id="71">
    <w:p w14:paraId="284E16FA" w14:textId="77777777" w:rsidR="00100C9D" w:rsidRDefault="00100C9D" w:rsidP="0088480D">
      <w:pPr>
        <w:pStyle w:val="FootnoteText"/>
      </w:pPr>
      <w:r>
        <w:rPr>
          <w:rStyle w:val="FootnoteReference"/>
        </w:rPr>
        <w:footnoteRef/>
      </w:r>
      <w:r>
        <w:t xml:space="preserve"> Within its SAF360X car radio chip family. Also, Silicon Labs (SLAB) offers integrated analog (AM/FM) tuners with support for digital radio including DAB+ and DRM.</w:t>
      </w:r>
    </w:p>
    <w:p w14:paraId="507A108E" w14:textId="56D43868" w:rsidR="00100C9D" w:rsidRDefault="00100C9D">
      <w:pPr>
        <w:pStyle w:val="FootnoteText"/>
      </w:pPr>
    </w:p>
  </w:footnote>
  <w:footnote w:id="72">
    <w:p w14:paraId="4DF12A1B" w14:textId="7495207C" w:rsidR="00100C9D" w:rsidRDefault="00100C9D">
      <w:pPr>
        <w:pStyle w:val="FootnoteText"/>
      </w:pPr>
      <w:r>
        <w:rPr>
          <w:rStyle w:val="FootnoteReference"/>
        </w:rPr>
        <w:footnoteRef/>
      </w:r>
      <w:r>
        <w:t xml:space="preserve"> </w:t>
      </w:r>
      <w:hyperlink r:id="rId22">
        <w:r>
          <w:rPr>
            <w:color w:val="0000FF"/>
            <w:u w:val="single" w:color="0000FF"/>
          </w:rPr>
          <w:t>https://www.drm.org/drm-india-page</w:t>
        </w:r>
      </w:hyperlink>
    </w:p>
  </w:footnote>
  <w:footnote w:id="73">
    <w:p w14:paraId="5C9CC890" w14:textId="58661605" w:rsidR="00100C9D" w:rsidRDefault="00100C9D">
      <w:pPr>
        <w:pStyle w:val="FootnoteText"/>
      </w:pPr>
      <w:r>
        <w:rPr>
          <w:rStyle w:val="FootnoteReference"/>
        </w:rPr>
        <w:footnoteRef/>
      </w:r>
      <w:r>
        <w:t xml:space="preserve"> </w:t>
      </w:r>
      <w:hyperlink r:id="rId23">
        <w:r>
          <w:rPr>
            <w:color w:val="0000FF"/>
            <w:u w:val="single" w:color="0000FF"/>
          </w:rPr>
          <w:t>https://www.drm.org/drm-annual-general-assembly-successes-and-new-announcements/</w:t>
        </w:r>
        <w:r>
          <w:t>.</w:t>
        </w:r>
      </w:hyperlink>
      <w:r>
        <w:t xml:space="preserve"> The figure of 20 per cent of new cars in India fitted with DRM is from correspondence with the DRM project office, which says it was announced by NXP at its Delhi DRM</w:t>
      </w:r>
      <w:r>
        <w:rPr>
          <w:spacing w:val="-20"/>
        </w:rPr>
        <w:t xml:space="preserve"> </w:t>
      </w:r>
      <w:r>
        <w:t>forum.</w:t>
      </w:r>
    </w:p>
  </w:footnote>
  <w:footnote w:id="74">
    <w:p w14:paraId="2FBACFAE" w14:textId="25109A94" w:rsidR="00100C9D" w:rsidRDefault="00100C9D">
      <w:pPr>
        <w:pStyle w:val="FootnoteText"/>
      </w:pPr>
      <w:r>
        <w:rPr>
          <w:rStyle w:val="FootnoteReference"/>
        </w:rPr>
        <w:footnoteRef/>
      </w:r>
      <w:r>
        <w:t xml:space="preserve"> See CRA submission.</w:t>
      </w:r>
    </w:p>
  </w:footnote>
  <w:footnote w:id="75">
    <w:p w14:paraId="7107FEE2" w14:textId="0411C235" w:rsidR="00100C9D" w:rsidRDefault="00100C9D">
      <w:pPr>
        <w:pStyle w:val="FootnoteText"/>
      </w:pPr>
      <w:r>
        <w:rPr>
          <w:rStyle w:val="FootnoteReference"/>
        </w:rPr>
        <w:footnoteRef/>
      </w:r>
      <w:r>
        <w:t xml:space="preserve"> See CRA and ABC submissions.</w:t>
      </w:r>
    </w:p>
  </w:footnote>
  <w:footnote w:id="76">
    <w:p w14:paraId="7F4CF067" w14:textId="0653DACE" w:rsidR="00100C9D" w:rsidRDefault="00100C9D">
      <w:pPr>
        <w:pStyle w:val="FootnoteText"/>
      </w:pPr>
      <w:r>
        <w:rPr>
          <w:rStyle w:val="FootnoteReference"/>
        </w:rPr>
        <w:footnoteRef/>
      </w:r>
      <w:r>
        <w:t xml:space="preserve"> National broadcasters, CBAA and Broadcast Australia.</w:t>
      </w:r>
    </w:p>
  </w:footnote>
  <w:footnote w:id="77">
    <w:p w14:paraId="45E26F58" w14:textId="397771BD" w:rsidR="00100C9D" w:rsidRDefault="00100C9D" w:rsidP="0088480D">
      <w:pPr>
        <w:pStyle w:val="FootnoteText"/>
      </w:pPr>
      <w:r>
        <w:rPr>
          <w:rStyle w:val="FootnoteReference"/>
        </w:rPr>
        <w:footnoteRef/>
      </w:r>
      <w:r>
        <w:t xml:space="preserve"> </w:t>
      </w:r>
      <w:r>
        <w:rPr>
          <w:color w:val="0000FF"/>
          <w:u w:val="single" w:color="0000FF"/>
        </w:rPr>
        <w:t>SBS submission</w:t>
      </w:r>
      <w:r>
        <w:t xml:space="preserve">. Consistent with the submission, the ACMA has found no information about the use of L- Band (1452–1492 MHz), allocated to satellite digital radio services, for </w:t>
      </w:r>
      <w:r w:rsidRPr="0088480D">
        <w:t>broadcasting</w:t>
      </w:r>
      <w:r>
        <w:t xml:space="preserve"> of satellite radio in any parts of the world.</w:t>
      </w:r>
    </w:p>
  </w:footnote>
  <w:footnote w:id="78">
    <w:p w14:paraId="724A862C" w14:textId="712C8EC5" w:rsidR="00100C9D" w:rsidRDefault="00100C9D">
      <w:pPr>
        <w:pStyle w:val="FootnoteText"/>
      </w:pPr>
      <w:r>
        <w:rPr>
          <w:rStyle w:val="FootnoteReference"/>
        </w:rPr>
        <w:footnoteRef/>
      </w:r>
      <w:r>
        <w:t xml:space="preserve"> While standardised mobile communications technologies for multicast transmissions have been around since 2006, more recent developments of these technologies offer significant enhancements to provide broadcasting services over mobile broadband networks.</w:t>
      </w:r>
    </w:p>
  </w:footnote>
  <w:footnote w:id="79">
    <w:p w14:paraId="3A78EFAE" w14:textId="7B575565" w:rsidR="00100C9D" w:rsidRDefault="00100C9D">
      <w:pPr>
        <w:pStyle w:val="FootnoteText"/>
      </w:pPr>
      <w:r>
        <w:rPr>
          <w:rStyle w:val="FootnoteReference"/>
        </w:rPr>
        <w:footnoteRef/>
      </w:r>
      <w:r>
        <w:t xml:space="preserve"> See </w:t>
      </w:r>
      <w:hyperlink r:id="rId24">
        <w:r>
          <w:rPr>
            <w:color w:val="0000FF"/>
            <w:u w:val="single" w:color="0000FF"/>
          </w:rPr>
          <w:t>https://tech.ebu.ch/docs/techreports/tr044.pdf</w:t>
        </w:r>
        <w:r>
          <w:t>.</w:t>
        </w:r>
      </w:hyperlink>
    </w:p>
  </w:footnote>
  <w:footnote w:id="80">
    <w:p w14:paraId="0EE8DA58" w14:textId="5DCFB3CD" w:rsidR="00100C9D" w:rsidRDefault="00100C9D">
      <w:pPr>
        <w:pStyle w:val="FootnoteText"/>
      </w:pPr>
      <w:r>
        <w:rPr>
          <w:rStyle w:val="FootnoteReference"/>
        </w:rPr>
        <w:footnoteRef/>
      </w:r>
      <w:r>
        <w:t xml:space="preserve"> See </w:t>
      </w:r>
      <w:hyperlink r:id="rId25">
        <w:r>
          <w:rPr>
            <w:color w:val="0000FF"/>
            <w:u w:val="single" w:color="0000FF"/>
          </w:rPr>
          <w:t>https://www.bbc.co.uk/rd/blog/2019-03-5g-rural-first-network-orkney</w:t>
        </w:r>
        <w:r>
          <w:t>.</w:t>
        </w:r>
      </w:hyperlink>
    </w:p>
  </w:footnote>
  <w:footnote w:id="81">
    <w:p w14:paraId="35E5C1C4" w14:textId="10F84EAD" w:rsidR="00100C9D" w:rsidRPr="0035094B" w:rsidRDefault="00100C9D" w:rsidP="0060424E">
      <w:pPr>
        <w:pStyle w:val="FootnoteText"/>
      </w:pPr>
      <w:r>
        <w:rPr>
          <w:rStyle w:val="FootnoteReference"/>
        </w:rPr>
        <w:footnoteRef/>
      </w:r>
      <w:r>
        <w:t xml:space="preserve"> ACMA, Corporate plan 2019–20, strategy 2.</w:t>
      </w:r>
    </w:p>
  </w:footnote>
  <w:footnote w:id="82">
    <w:p w14:paraId="2C0C0B53" w14:textId="048C1905" w:rsidR="00100C9D" w:rsidRPr="00274F79" w:rsidRDefault="00100C9D" w:rsidP="00274F79">
      <w:pPr>
        <w:pStyle w:val="FootnoteText"/>
      </w:pPr>
      <w:r>
        <w:rPr>
          <w:rStyle w:val="FootnoteReference"/>
        </w:rPr>
        <w:footnoteRef/>
      </w:r>
      <w:r>
        <w:t xml:space="preserve"> For example. In Perth, where analog television switchover in Bunbury has made additional frequencies available.</w:t>
      </w:r>
    </w:p>
  </w:footnote>
  <w:footnote w:id="83">
    <w:p w14:paraId="72B8206F" w14:textId="6F05CCBE" w:rsidR="00100C9D" w:rsidRDefault="00100C9D" w:rsidP="000F03F4">
      <w:pPr>
        <w:pStyle w:val="FootnoteText"/>
      </w:pPr>
      <w:r>
        <w:rPr>
          <w:rStyle w:val="FootnoteReference"/>
        </w:rPr>
        <w:footnoteRef/>
      </w:r>
      <w:r>
        <w:t xml:space="preserve"> AM propagation relies on good ground </w:t>
      </w:r>
      <w:r w:rsidRPr="000F03F4">
        <w:t>conductivity</w:t>
      </w:r>
      <w:r>
        <w:t>. Ground conductivity is poor in Perth due to the sandy soil draining moisture.</w:t>
      </w:r>
    </w:p>
  </w:footnote>
  <w:footnote w:id="84">
    <w:p w14:paraId="6FFBC902" w14:textId="29FF893D" w:rsidR="00100C9D" w:rsidRDefault="00100C9D">
      <w:pPr>
        <w:pStyle w:val="FootnoteText"/>
      </w:pPr>
      <w:r>
        <w:rPr>
          <w:rStyle w:val="FootnoteReference"/>
        </w:rPr>
        <w:footnoteRef/>
      </w:r>
      <w:r>
        <w:t xml:space="preserve"> From the findings of the future delivery of radio project, including that audiences prefer FM formats. See also s 23(b), s 23(d), s 23(g) of the BSA.</w:t>
      </w:r>
    </w:p>
  </w:footnote>
  <w:footnote w:id="85">
    <w:p w14:paraId="403843C8" w14:textId="731B89CF" w:rsidR="00100C9D" w:rsidRDefault="00100C9D">
      <w:pPr>
        <w:pStyle w:val="FootnoteText"/>
      </w:pPr>
      <w:r>
        <w:rPr>
          <w:rStyle w:val="FootnoteReference"/>
        </w:rPr>
        <w:footnoteRef/>
      </w:r>
      <w:r>
        <w:t xml:space="preserve"> BSA s 23(d) and s 23(e).</w:t>
      </w:r>
    </w:p>
  </w:footnote>
  <w:footnote w:id="86">
    <w:p w14:paraId="266367B4" w14:textId="2A46A913" w:rsidR="00100C9D" w:rsidRDefault="00100C9D">
      <w:pPr>
        <w:pStyle w:val="FootnoteText"/>
      </w:pPr>
      <w:r>
        <w:rPr>
          <w:rStyle w:val="FootnoteReference"/>
        </w:rPr>
        <w:footnoteRef/>
      </w:r>
      <w:r>
        <w:t xml:space="preserve"> BSA s 23(d) and s 23(e).</w:t>
      </w:r>
    </w:p>
  </w:footnote>
  <w:footnote w:id="87">
    <w:p w14:paraId="314D0EC4" w14:textId="291958C6" w:rsidR="00100C9D" w:rsidRDefault="00100C9D">
      <w:pPr>
        <w:pStyle w:val="FootnoteText"/>
      </w:pPr>
      <w:r>
        <w:rPr>
          <w:rStyle w:val="FootnoteReference"/>
        </w:rPr>
        <w:footnoteRef/>
      </w:r>
      <w:r>
        <w:t xml:space="preserve"> BSA s 23(a) and 23(c).</w:t>
      </w:r>
    </w:p>
  </w:footnote>
  <w:footnote w:id="88">
    <w:p w14:paraId="0C9E8B81" w14:textId="4AB93884" w:rsidR="00100C9D" w:rsidRDefault="00100C9D">
      <w:pPr>
        <w:pStyle w:val="FootnoteText"/>
      </w:pPr>
      <w:r>
        <w:rPr>
          <w:rStyle w:val="FootnoteReference"/>
        </w:rPr>
        <w:footnoteRef/>
      </w:r>
      <w:r>
        <w:t xml:space="preserve"> BSA s 23(a), s 23(b), s 23(c).</w:t>
      </w:r>
    </w:p>
  </w:footnote>
  <w:footnote w:id="89">
    <w:p w14:paraId="4C605C94" w14:textId="6FC6EB9E" w:rsidR="00100C9D" w:rsidRDefault="00100C9D">
      <w:pPr>
        <w:pStyle w:val="FootnoteText"/>
      </w:pPr>
      <w:r>
        <w:rPr>
          <w:rStyle w:val="FootnoteReference"/>
        </w:rPr>
        <w:footnoteRef/>
      </w:r>
      <w:r>
        <w:t xml:space="preserve"> BSA s 23(a), s 23(b), s 23(d), s 23(e), s 23(g), s 23(e). The ACMA also considers the industry environment to be relevant, including the need to deliver on our identified priority activities (s 23(g) of the BSA).</w:t>
      </w:r>
    </w:p>
  </w:footnote>
  <w:footnote w:id="90">
    <w:p w14:paraId="1005D7E5" w14:textId="7541BBC2" w:rsidR="00100C9D" w:rsidRDefault="00100C9D">
      <w:pPr>
        <w:pStyle w:val="FootnoteText"/>
      </w:pPr>
      <w:r>
        <w:rPr>
          <w:rStyle w:val="FootnoteReference"/>
        </w:rPr>
        <w:footnoteRef/>
      </w:r>
      <w:r>
        <w:t xml:space="preserve"> For a community radio broadcasting licensee to have access to digital radio, it must have the same licence area as the commercial licence area for which the relevant digital radio channel plan applies. Many regional community licences have a licence area that is different to the commercial licence area. Section 8AD of the BSA provides that the ACMA may, by legislative instrument, deem a community licence area to be the same as a commercial licence area.</w:t>
      </w:r>
    </w:p>
  </w:footnote>
  <w:footnote w:id="91">
    <w:p w14:paraId="70DEB8D8" w14:textId="2EA99F88" w:rsidR="00100C9D" w:rsidRDefault="00100C9D">
      <w:pPr>
        <w:pStyle w:val="FootnoteText"/>
      </w:pPr>
      <w:r>
        <w:rPr>
          <w:rStyle w:val="FootnoteReference"/>
        </w:rPr>
        <w:footnoteRef/>
      </w:r>
      <w:r>
        <w:t xml:space="preserve"> BSA s 23(d).</w:t>
      </w:r>
    </w:p>
  </w:footnote>
  <w:footnote w:id="92">
    <w:p w14:paraId="7A29D001" w14:textId="0FB85BE2" w:rsidR="00100C9D" w:rsidRPr="00D83ED6" w:rsidRDefault="00100C9D" w:rsidP="00D83ED6">
      <w:pPr>
        <w:pStyle w:val="FootnoteText"/>
      </w:pPr>
      <w:r>
        <w:rPr>
          <w:rStyle w:val="FootnoteReference"/>
        </w:rPr>
        <w:footnoteRef/>
      </w:r>
      <w:r>
        <w:t xml:space="preserve"> BSA s 23(d).</w:t>
      </w:r>
    </w:p>
  </w:footnote>
  <w:footnote w:id="93">
    <w:p w14:paraId="016A9F97" w14:textId="586F3234" w:rsidR="00100C9D" w:rsidRDefault="00100C9D">
      <w:pPr>
        <w:pStyle w:val="FootnoteText"/>
      </w:pPr>
      <w:r>
        <w:rPr>
          <w:rStyle w:val="FootnoteReference"/>
        </w:rPr>
        <w:footnoteRef/>
      </w:r>
      <w:r>
        <w:t xml:space="preserve"> Regard development in technology (s 23(d) of the BSA), technical restraints relating to the delivery or reception of broadcasting services (s 23(e) of the BSA). We also consider that the ACMA resources available to undertake our annual work program is a relevant consideration (s 23(g) of the BSA).</w:t>
      </w:r>
    </w:p>
  </w:footnote>
  <w:footnote w:id="94">
    <w:p w14:paraId="48FC23F1" w14:textId="231689F2" w:rsidR="00100C9D" w:rsidRDefault="00100C9D">
      <w:pPr>
        <w:pStyle w:val="FootnoteText"/>
      </w:pPr>
      <w:r>
        <w:rPr>
          <w:rStyle w:val="FootnoteReference"/>
        </w:rPr>
        <w:footnoteRef/>
      </w:r>
      <w:r>
        <w:t xml:space="preserve"> While the ACMA is obliged to issue a transmitter licence under section 102 of the Radiocommunications Act</w:t>
      </w:r>
      <w:r>
        <w:rPr>
          <w:i/>
        </w:rPr>
        <w:t xml:space="preserve">, </w:t>
      </w:r>
      <w:r>
        <w:t>in practice we seek an application to collect the details of the transmitter to be authorised. This is because we allow some tolerance between the nominal transmitter location that we plan in the LAP (or digital radio channel plan) and the actual licensed location of the transmitter. This additional information allows us to determine if the licensees preferred site is acceptable in terms of coverage and interference.</w:t>
      </w:r>
    </w:p>
  </w:footnote>
  <w:footnote w:id="95">
    <w:p w14:paraId="19A782D0" w14:textId="58A8AB85" w:rsidR="00100C9D" w:rsidRDefault="00100C9D">
      <w:pPr>
        <w:pStyle w:val="FootnoteText"/>
      </w:pPr>
      <w:r>
        <w:rPr>
          <w:rStyle w:val="FootnoteReference"/>
        </w:rPr>
        <w:footnoteRef/>
      </w:r>
      <w:r>
        <w:t xml:space="preserve"> Digital radio channel plans are made under the Radiocommunications Act</w:t>
      </w:r>
      <w:r>
        <w:rPr>
          <w:i/>
        </w:rPr>
        <w:t>.</w:t>
      </w:r>
    </w:p>
  </w:footnote>
  <w:footnote w:id="96">
    <w:p w14:paraId="2C62A09D" w14:textId="51A90ECF" w:rsidR="00100C9D" w:rsidRDefault="00100C9D">
      <w:pPr>
        <w:pStyle w:val="FootnoteText"/>
      </w:pPr>
      <w:r>
        <w:rPr>
          <w:rStyle w:val="FootnoteReference"/>
        </w:rPr>
        <w:footnoteRef/>
      </w:r>
      <w:r>
        <w:t xml:space="preserve"> The BSA refers to economic and effect use of spectrum. For a discussion of effective and efficient spectrum use in the radiocommunications context, see the ACMA’s </w:t>
      </w:r>
      <w:hyperlink r:id="rId26">
        <w:r>
          <w:rPr>
            <w:i/>
            <w:color w:val="0000FF"/>
            <w:u w:val="single" w:color="0000FF"/>
          </w:rPr>
          <w:t>Principles for Spectrum Management</w:t>
        </w:r>
        <w:r>
          <w:t>,</w:t>
        </w:r>
      </w:hyperlink>
      <w:r>
        <w:t xml:space="preserve"> 2009.</w:t>
      </w:r>
    </w:p>
  </w:footnote>
  <w:footnote w:id="97">
    <w:p w14:paraId="49C287E4" w14:textId="1C2FD4C3" w:rsidR="00100C9D" w:rsidRDefault="00100C9D">
      <w:pPr>
        <w:pStyle w:val="FootnoteText"/>
      </w:pPr>
      <w:r>
        <w:rPr>
          <w:rStyle w:val="FootnoteReference"/>
        </w:rPr>
        <w:footnoteRef/>
      </w:r>
      <w:r>
        <w:t xml:space="preserve"> More fully, s 26 states: The ACMA must prepare licence area plans that determine the number, and characteristics, including technical specifications of broadcasting services that are to be available </w:t>
      </w:r>
      <w:proofErr w:type="gramStart"/>
      <w:r>
        <w:t>in particular areas</w:t>
      </w:r>
      <w:proofErr w:type="gramEnd"/>
      <w:r>
        <w:t xml:space="preserve"> of Australia with the use of the BSB.</w:t>
      </w:r>
    </w:p>
  </w:footnote>
  <w:footnote w:id="98">
    <w:p w14:paraId="6E2C9CC9" w14:textId="0FA08A81" w:rsidR="00100C9D" w:rsidRPr="00EC5225" w:rsidRDefault="00100C9D" w:rsidP="00EC5225">
      <w:pPr>
        <w:pStyle w:val="FootnoteText"/>
      </w:pPr>
      <w:r>
        <w:rPr>
          <w:rStyle w:val="FootnoteReference"/>
        </w:rPr>
        <w:footnoteRef/>
      </w:r>
      <w:r>
        <w:t xml:space="preserve"> The ACMA generally set out the specifications for HPONs in LAPs, for transparency prior to a transmitter licence allocation under the RA.</w:t>
      </w:r>
    </w:p>
  </w:footnote>
  <w:footnote w:id="99">
    <w:p w14:paraId="79E02EC4" w14:textId="63A59864" w:rsidR="00100C9D" w:rsidRDefault="00100C9D">
      <w:pPr>
        <w:pStyle w:val="FootnoteText"/>
      </w:pPr>
      <w:r>
        <w:rPr>
          <w:rStyle w:val="FootnoteReference"/>
        </w:rPr>
        <w:footnoteRef/>
      </w:r>
      <w:r>
        <w:t xml:space="preserve"> In practice, commercial and community broadcasting licensees must take the step of applying for the transmitter licences.</w:t>
      </w:r>
    </w:p>
  </w:footnote>
  <w:footnote w:id="100">
    <w:p w14:paraId="3E324E6B" w14:textId="5DD40B3E" w:rsidR="00100C9D" w:rsidRDefault="00100C9D">
      <w:pPr>
        <w:pStyle w:val="FootnoteText"/>
      </w:pPr>
      <w:r>
        <w:rPr>
          <w:rStyle w:val="FootnoteReference"/>
        </w:rPr>
        <w:footnoteRef/>
      </w:r>
      <w:r>
        <w:t xml:space="preserve"> The national broadcasters do not have a service licence or a licence area. Therefore, extending a national network (for example, JJJ) into a previously unserved area is regarded as a coverage extension rather than planning a ‘new’ service.</w:t>
      </w:r>
    </w:p>
  </w:footnote>
  <w:footnote w:id="101">
    <w:p w14:paraId="08DE9A18" w14:textId="5C8A2279" w:rsidR="00100C9D" w:rsidRPr="00BA4486" w:rsidRDefault="00100C9D">
      <w:pPr>
        <w:pStyle w:val="FootnoteText"/>
        <w:rPr>
          <w:sz w:val="18"/>
        </w:rPr>
      </w:pPr>
      <w:r>
        <w:rPr>
          <w:rStyle w:val="FootnoteReference"/>
        </w:rPr>
        <w:footnoteRef/>
      </w:r>
      <w:r>
        <w:t xml:space="preserve"> The infrastructure base of the commercial radio industry is supported by an extensive radiofrequency transmission tower network. The 262 BSB licences are provided through 613 transmitters—125 for AM services and 488 for FM services. In recent times, AM-FM conversions have been planned or completed in 33 markets</w:t>
      </w:r>
      <w:r>
        <w:rPr>
          <w:sz w:val="18"/>
        </w:rPr>
        <w:t>.</w:t>
      </w:r>
    </w:p>
  </w:footnote>
  <w:footnote w:id="102">
    <w:p w14:paraId="49630BE8" w14:textId="77777777" w:rsidR="00100C9D" w:rsidRDefault="00100C9D" w:rsidP="00BA4486">
      <w:pPr>
        <w:pStyle w:val="FootnoteText"/>
      </w:pPr>
      <w:r>
        <w:rPr>
          <w:rStyle w:val="FootnoteReference"/>
        </w:rPr>
        <w:footnoteRef/>
      </w:r>
      <w:r>
        <w:t xml:space="preserve"> See </w:t>
      </w:r>
      <w:hyperlink r:id="rId27" w:anchor=".XeM8iDIzaek">
        <w:r>
          <w:rPr>
            <w:color w:val="0000FF"/>
            <w:u w:val="single" w:color="0000FF"/>
          </w:rPr>
          <w:t>CRA media release</w:t>
        </w:r>
        <w:r>
          <w:t>,</w:t>
        </w:r>
      </w:hyperlink>
      <w:r>
        <w:t xml:space="preserve"> ‘Commercial radio audiences at all-time highs’, 19 January 2019. Sources GfK</w:t>
      </w:r>
    </w:p>
    <w:p w14:paraId="544E396E" w14:textId="7C869DB1" w:rsidR="00100C9D" w:rsidRDefault="00100C9D">
      <w:pPr>
        <w:pStyle w:val="FootnoteText"/>
      </w:pPr>
      <w:r>
        <w:t xml:space="preserve">radio ratings surveys 1–8 for </w:t>
      </w:r>
      <w:r w:rsidRPr="00F139EA">
        <w:t>2018</w:t>
      </w:r>
      <w:r>
        <w:t>.</w:t>
      </w:r>
    </w:p>
  </w:footnote>
  <w:footnote w:id="103">
    <w:p w14:paraId="2A066EE0" w14:textId="4DF0E3D3" w:rsidR="00100C9D" w:rsidRPr="00BA4486" w:rsidRDefault="00100C9D" w:rsidP="00BA4486">
      <w:pPr>
        <w:pStyle w:val="FootnoteText"/>
      </w:pPr>
      <w:r>
        <w:rPr>
          <w:rStyle w:val="FootnoteReference"/>
        </w:rPr>
        <w:footnoteRef/>
      </w:r>
      <w:r>
        <w:t xml:space="preserve"> ACMA, </w:t>
      </w:r>
      <w:r w:rsidRPr="0060424E">
        <w:rPr>
          <w:i/>
          <w:iCs/>
        </w:rPr>
        <w:t>Communications report 2017–18</w:t>
      </w:r>
      <w:r>
        <w:t>, p. 27.</w:t>
      </w:r>
    </w:p>
  </w:footnote>
  <w:footnote w:id="104">
    <w:p w14:paraId="42912BD6" w14:textId="5BC01CD9" w:rsidR="00100C9D" w:rsidRDefault="00100C9D" w:rsidP="00BA4486">
      <w:pPr>
        <w:pStyle w:val="FootnoteText"/>
      </w:pPr>
      <w:r>
        <w:rPr>
          <w:rStyle w:val="FootnoteReference"/>
        </w:rPr>
        <w:footnoteRef/>
      </w:r>
      <w:r>
        <w:t xml:space="preserve"> For a list of network group companies, see: </w:t>
      </w:r>
      <w:r w:rsidRPr="00BA4486">
        <w:t>ACMA</w:t>
      </w:r>
      <w:r>
        <w:t xml:space="preserve">, </w:t>
      </w:r>
      <w:r>
        <w:rPr>
          <w:i/>
        </w:rPr>
        <w:t>Communications report 2017–18</w:t>
      </w:r>
      <w:r>
        <w:t>, p. 27.</w:t>
      </w:r>
    </w:p>
  </w:footnote>
  <w:footnote w:id="105">
    <w:p w14:paraId="4033026F" w14:textId="39D322B2" w:rsidR="00100C9D" w:rsidRDefault="00100C9D">
      <w:pPr>
        <w:pStyle w:val="FootnoteText"/>
      </w:pPr>
      <w:r>
        <w:rPr>
          <w:rStyle w:val="FootnoteReference"/>
        </w:rPr>
        <w:footnoteRef/>
      </w:r>
      <w:r>
        <w:t xml:space="preserve"> The ABC’s services are delivered via 707 radio transmitters, 110 providing AM services and 597 providing FM services.</w:t>
      </w:r>
    </w:p>
  </w:footnote>
  <w:footnote w:id="106">
    <w:p w14:paraId="748EB688" w14:textId="77777777" w:rsidR="00100C9D" w:rsidRDefault="00100C9D" w:rsidP="0010222A">
      <w:pPr>
        <w:pStyle w:val="FootnoteText"/>
      </w:pPr>
      <w:r>
        <w:rPr>
          <w:rStyle w:val="FootnoteReference"/>
        </w:rPr>
        <w:footnoteRef/>
      </w:r>
      <w:r>
        <w:t xml:space="preserve"> Retransmission services do no more than retransmit programs that are transmitted by a national,</w:t>
      </w:r>
    </w:p>
    <w:p w14:paraId="2A5BF51D" w14:textId="533E25BA" w:rsidR="00100C9D" w:rsidRDefault="00100C9D">
      <w:pPr>
        <w:pStyle w:val="FootnoteText"/>
      </w:pPr>
      <w:r>
        <w:t>commercial or community broadcasting service.</w:t>
      </w:r>
    </w:p>
  </w:footnote>
  <w:footnote w:id="107">
    <w:p w14:paraId="62DC8742" w14:textId="73DD20B5" w:rsidR="00100C9D" w:rsidRDefault="00100C9D">
      <w:pPr>
        <w:pStyle w:val="FootnoteText"/>
      </w:pPr>
      <w:r>
        <w:rPr>
          <w:rStyle w:val="FootnoteReference"/>
        </w:rPr>
        <w:footnoteRef/>
      </w:r>
      <w:r>
        <w:t xml:space="preserve"> See GFK, Radio Survey 7 2018, </w:t>
      </w:r>
      <w:hyperlink r:id="rId28">
        <w:r>
          <w:rPr>
            <w:color w:val="0000FF"/>
            <w:u w:val="single" w:color="0000FF"/>
          </w:rPr>
          <w:t>http://www.radioalive.com.au/Surveys/.</w:t>
        </w:r>
      </w:hyperlink>
    </w:p>
  </w:footnote>
  <w:footnote w:id="108">
    <w:p w14:paraId="1181818C" w14:textId="091B2C46" w:rsidR="00100C9D" w:rsidRPr="0010222A" w:rsidRDefault="00100C9D" w:rsidP="0010222A">
      <w:pPr>
        <w:pStyle w:val="FootnoteText"/>
      </w:pPr>
      <w:r>
        <w:rPr>
          <w:rStyle w:val="FootnoteReference"/>
        </w:rPr>
        <w:footnoteRef/>
      </w:r>
      <w:r>
        <w:t xml:space="preserve"> The community sector comprises 357 licensed community radio BSB content licences. It transmits via a network of 415 transmitters, with 13 delivering AM services and 402 delivering FM services. Temporary community broadcasting licences are delivered via a network of 134 transmitters, comprising one transmitter for AM services and 133 transmitters for FM services.</w:t>
      </w:r>
    </w:p>
  </w:footnote>
  <w:footnote w:id="109">
    <w:p w14:paraId="4EBAC76A" w14:textId="77777777" w:rsidR="00100C9D" w:rsidRDefault="00100C9D" w:rsidP="0010222A">
      <w:pPr>
        <w:pStyle w:val="FootnoteText"/>
      </w:pPr>
      <w:r>
        <w:rPr>
          <w:rStyle w:val="FootnoteReference"/>
        </w:rPr>
        <w:footnoteRef/>
      </w:r>
      <w:r>
        <w:t xml:space="preserve"> An interactive map showing the extent of Indigenous broadcast services is available from the First</w:t>
      </w:r>
    </w:p>
    <w:p w14:paraId="5F6EAB58" w14:textId="3C297566" w:rsidR="00100C9D" w:rsidRDefault="00100C9D">
      <w:pPr>
        <w:pStyle w:val="FootnoteText"/>
      </w:pPr>
      <w:r>
        <w:t xml:space="preserve">Nations Media </w:t>
      </w:r>
      <w:r w:rsidRPr="0010222A">
        <w:t>website</w:t>
      </w:r>
      <w:r>
        <w:t xml:space="preserve">: </w:t>
      </w:r>
      <w:hyperlink r:id="rId29">
        <w:r>
          <w:rPr>
            <w:color w:val="0000FF"/>
            <w:u w:val="single" w:color="0000FF"/>
          </w:rPr>
          <w:t>https://firstnationsmedia.org.au/our-industry/radio-services.</w:t>
        </w:r>
      </w:hyperlink>
    </w:p>
  </w:footnote>
  <w:footnote w:id="110">
    <w:p w14:paraId="6FFCC0CA" w14:textId="520BA4C5" w:rsidR="00100C9D" w:rsidRDefault="00100C9D">
      <w:pPr>
        <w:pStyle w:val="FootnoteText"/>
      </w:pPr>
      <w:r>
        <w:rPr>
          <w:rStyle w:val="FootnoteReference"/>
        </w:rPr>
        <w:footnoteRef/>
      </w:r>
      <w:r>
        <w:t xml:space="preserve"> Known as the ‘drop-through’ provision.</w:t>
      </w:r>
    </w:p>
  </w:footnote>
  <w:footnote w:id="111">
    <w:p w14:paraId="5332D22A" w14:textId="7DF0DE35" w:rsidR="00100C9D" w:rsidRDefault="00100C9D">
      <w:pPr>
        <w:pStyle w:val="FootnoteText"/>
      </w:pPr>
      <w:r>
        <w:rPr>
          <w:rStyle w:val="FootnoteReference"/>
        </w:rPr>
        <w:footnoteRef/>
      </w:r>
      <w:r>
        <w:t xml:space="preserve"> Low power open narrowcasting services are all FM services.</w:t>
      </w:r>
    </w:p>
  </w:footnote>
  <w:footnote w:id="112">
    <w:p w14:paraId="3A5D7832" w14:textId="40E3B0D2" w:rsidR="00100C9D" w:rsidRDefault="00100C9D">
      <w:pPr>
        <w:pStyle w:val="FootnoteText"/>
      </w:pPr>
      <w:r>
        <w:rPr>
          <w:rStyle w:val="FootnoteReference"/>
        </w:rPr>
        <w:footnoteRef/>
      </w:r>
      <w:r>
        <w:t xml:space="preserve"> High power open narrowcasting services tend to be FM services, but a significant number are AM services.</w:t>
      </w:r>
    </w:p>
  </w:footnote>
  <w:footnote w:id="113">
    <w:p w14:paraId="34552299" w14:textId="2C3B7C30" w:rsidR="00100C9D" w:rsidRDefault="00100C9D">
      <w:pPr>
        <w:pStyle w:val="FootnoteText"/>
      </w:pPr>
      <w:r>
        <w:rPr>
          <w:rStyle w:val="FootnoteReference"/>
        </w:rPr>
        <w:footnoteRef/>
      </w:r>
      <w:r>
        <w:t xml:space="preserve"> Transmission licences for digital radio are known as digital radio multiplex transmitter licences.</w:t>
      </w:r>
    </w:p>
  </w:footnote>
  <w:footnote w:id="114">
    <w:p w14:paraId="1DD35E13" w14:textId="53732FD6" w:rsidR="00100C9D" w:rsidRDefault="00100C9D">
      <w:pPr>
        <w:pStyle w:val="FootnoteText"/>
      </w:pPr>
      <w:r>
        <w:rPr>
          <w:rStyle w:val="FootnoteReference"/>
        </w:rPr>
        <w:footnoteRef/>
      </w:r>
      <w:r>
        <w:t xml:space="preserve"> Only community radio broadcasting licensees with the same licence areas as a commercial radio broadcasting licensee are designated for access to digital radio. The ACMA may deem a community licence area to be the same as a commercial licence area for this purpose.</w:t>
      </w:r>
    </w:p>
  </w:footnote>
  <w:footnote w:id="115">
    <w:p w14:paraId="679849FA" w14:textId="7A033B75" w:rsidR="00100C9D" w:rsidRDefault="00100C9D">
      <w:pPr>
        <w:pStyle w:val="FootnoteText"/>
      </w:pPr>
      <w:r>
        <w:rPr>
          <w:rStyle w:val="FootnoteReference"/>
        </w:rPr>
        <w:footnoteRef/>
      </w:r>
      <w:r>
        <w:t xml:space="preserve"> The legislation also provides for a category of digital radio multiplex transmitter that may be jointly owned by the commercial, community for the licence area, and ABC and SBS.</w:t>
      </w:r>
    </w:p>
  </w:footnote>
  <w:footnote w:id="116">
    <w:p w14:paraId="6FB752C3" w14:textId="6C3D890E" w:rsidR="00100C9D" w:rsidRDefault="00100C9D">
      <w:pPr>
        <w:pStyle w:val="FootnoteText"/>
      </w:pPr>
      <w:r>
        <w:rPr>
          <w:rStyle w:val="FootnoteReference"/>
        </w:rPr>
        <w:footnoteRef/>
      </w:r>
      <w:r>
        <w:t xml:space="preserve"> A digital radio channel plan is a legislative instrument made pursuant to s 44A of the Radiocommunications Act. It is similar in concept to a LAP.</w:t>
      </w:r>
    </w:p>
  </w:footnote>
  <w:footnote w:id="117">
    <w:p w14:paraId="151F60C0" w14:textId="50FBD3F1" w:rsidR="00100C9D" w:rsidRDefault="00100C9D">
      <w:pPr>
        <w:pStyle w:val="FootnoteText"/>
      </w:pPr>
      <w:r>
        <w:rPr>
          <w:rStyle w:val="FootnoteReference"/>
        </w:rPr>
        <w:footnoteRef/>
      </w:r>
      <w:r>
        <w:t xml:space="preserve"> Or ABC and SBS may operate a jointly owned multiplex with commercial and community radio broadcasting licensees. See footnote </w:t>
      </w:r>
      <w:hyperlink w:anchor="_bookmark5" w:history="1">
        <w:r>
          <w:t>116.</w:t>
        </w:r>
      </w:hyperlink>
    </w:p>
  </w:footnote>
  <w:footnote w:id="118">
    <w:p w14:paraId="521AA314" w14:textId="20D443EE" w:rsidR="00100C9D" w:rsidRDefault="00100C9D">
      <w:pPr>
        <w:pStyle w:val="FootnoteText"/>
      </w:pPr>
      <w:r>
        <w:rPr>
          <w:rStyle w:val="FootnoteReference"/>
        </w:rPr>
        <w:footnoteRef/>
      </w:r>
      <w:r>
        <w:t xml:space="preserve"> BSA s 23.</w:t>
      </w:r>
    </w:p>
  </w:footnote>
  <w:footnote w:id="119">
    <w:p w14:paraId="121385EF" w14:textId="4C472194" w:rsidR="00100C9D" w:rsidRDefault="00100C9D">
      <w:pPr>
        <w:pStyle w:val="FootnoteText"/>
      </w:pPr>
      <w:r>
        <w:rPr>
          <w:rStyle w:val="FootnoteReference"/>
        </w:rPr>
        <w:footnoteRef/>
      </w:r>
      <w:r>
        <w:t xml:space="preserve"> BSA s 4.</w:t>
      </w:r>
    </w:p>
  </w:footnote>
  <w:footnote w:id="120">
    <w:p w14:paraId="24EE0102" w14:textId="31040ACD" w:rsidR="00100C9D" w:rsidRDefault="00100C9D">
      <w:pPr>
        <w:pStyle w:val="FootnoteText"/>
      </w:pPr>
      <w:r>
        <w:rPr>
          <w:rStyle w:val="FootnoteReference"/>
        </w:rPr>
        <w:footnoteRef/>
      </w:r>
      <w:r>
        <w:t xml:space="preserve"> BSA s 5(1)(b)(i).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5F6F2C" w14:textId="77777777" w:rsidR="00100C9D" w:rsidRPr="00A5474E" w:rsidRDefault="00100C9D" w:rsidP="00A5474E">
    <w:pPr>
      <w:pStyle w:val="Header"/>
    </w:pPr>
    <w:r>
      <w:rPr>
        <w:noProof/>
      </w:rPr>
      <w:drawing>
        <wp:inline distT="0" distB="0" distL="0" distR="0" wp14:anchorId="177F822B" wp14:editId="11B17701">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0FD6AC" w14:textId="77777777" w:rsidR="00100C9D" w:rsidRPr="00A5474E" w:rsidRDefault="00100C9D"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713D4A" w14:textId="77777777" w:rsidR="00100C9D" w:rsidRDefault="00100C9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23E98F" w14:textId="77777777" w:rsidR="00100C9D" w:rsidRDefault="00100C9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100C9D" w14:paraId="4B7C0701" w14:textId="77777777" w:rsidTr="001002C8">
      <w:trPr>
        <w:trHeight w:hRule="exact" w:val="988"/>
      </w:trPr>
      <w:tc>
        <w:tcPr>
          <w:tcW w:w="7678" w:type="dxa"/>
          <w:shd w:val="clear" w:color="auto" w:fill="auto"/>
        </w:tcPr>
        <w:p w14:paraId="66043BEE" w14:textId="77777777" w:rsidR="00100C9D" w:rsidRDefault="00100C9D" w:rsidP="00971914">
          <w:pPr>
            <w:pStyle w:val="Header"/>
          </w:pPr>
        </w:p>
      </w:tc>
    </w:tr>
    <w:tr w:rsidR="00100C9D" w14:paraId="6E903693" w14:textId="77777777" w:rsidTr="001002C8">
      <w:tc>
        <w:tcPr>
          <w:tcW w:w="7678" w:type="dxa"/>
          <w:shd w:val="clear" w:color="auto" w:fill="auto"/>
        </w:tcPr>
        <w:p w14:paraId="7025A0A1" w14:textId="77777777" w:rsidR="00100C9D" w:rsidRDefault="00100C9D" w:rsidP="00971914">
          <w:pPr>
            <w:pStyle w:val="GridTable31"/>
          </w:pPr>
          <w:r>
            <w:t xml:space="preserve">Contents </w:t>
          </w:r>
          <w:r w:rsidRPr="00915B1C">
            <w:rPr>
              <w:b w:val="0"/>
              <w:spacing w:val="0"/>
              <w:sz w:val="28"/>
              <w:szCs w:val="28"/>
            </w:rPr>
            <w:t>(Continued)</w:t>
          </w:r>
        </w:p>
      </w:tc>
    </w:tr>
    <w:tr w:rsidR="00100C9D" w14:paraId="36C72DAF" w14:textId="77777777" w:rsidTr="001002C8">
      <w:trPr>
        <w:trHeight w:val="1220"/>
      </w:trPr>
      <w:tc>
        <w:tcPr>
          <w:tcW w:w="7678" w:type="dxa"/>
          <w:shd w:val="clear" w:color="auto" w:fill="auto"/>
        </w:tcPr>
        <w:p w14:paraId="2D8A896F" w14:textId="77777777" w:rsidR="00100C9D" w:rsidRDefault="00100C9D" w:rsidP="00971914"/>
      </w:tc>
    </w:tr>
  </w:tbl>
  <w:p w14:paraId="12305B8F" w14:textId="77777777" w:rsidR="00100C9D" w:rsidRDefault="00100C9D"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100C9D" w14:paraId="731DAC0C" w14:textId="77777777" w:rsidTr="001002C8">
      <w:trPr>
        <w:trHeight w:hRule="exact" w:val="988"/>
      </w:trPr>
      <w:tc>
        <w:tcPr>
          <w:tcW w:w="7678" w:type="dxa"/>
          <w:shd w:val="clear" w:color="auto" w:fill="auto"/>
        </w:tcPr>
        <w:p w14:paraId="6716DCB3" w14:textId="77777777" w:rsidR="00100C9D" w:rsidRDefault="00100C9D" w:rsidP="00971914">
          <w:pPr>
            <w:pStyle w:val="Header"/>
          </w:pPr>
        </w:p>
      </w:tc>
    </w:tr>
    <w:tr w:rsidR="00100C9D" w14:paraId="3BF95D57" w14:textId="77777777" w:rsidTr="001002C8">
      <w:tc>
        <w:tcPr>
          <w:tcW w:w="7678" w:type="dxa"/>
          <w:shd w:val="clear" w:color="auto" w:fill="auto"/>
        </w:tcPr>
        <w:p w14:paraId="545E2D36" w14:textId="77777777" w:rsidR="00100C9D" w:rsidRDefault="00100C9D" w:rsidP="00971914">
          <w:pPr>
            <w:pStyle w:val="GridTable31"/>
          </w:pPr>
          <w:r>
            <w:t xml:space="preserve">Contents </w:t>
          </w:r>
          <w:r w:rsidRPr="00915B1C">
            <w:rPr>
              <w:b w:val="0"/>
              <w:spacing w:val="0"/>
              <w:sz w:val="28"/>
              <w:szCs w:val="28"/>
            </w:rPr>
            <w:t>(Continued)</w:t>
          </w:r>
        </w:p>
      </w:tc>
    </w:tr>
    <w:tr w:rsidR="00100C9D" w14:paraId="5C23A02F" w14:textId="77777777" w:rsidTr="001002C8">
      <w:trPr>
        <w:trHeight w:val="1220"/>
      </w:trPr>
      <w:tc>
        <w:tcPr>
          <w:tcW w:w="7678" w:type="dxa"/>
          <w:shd w:val="clear" w:color="auto" w:fill="auto"/>
        </w:tcPr>
        <w:p w14:paraId="687E9B95" w14:textId="77777777" w:rsidR="00100C9D" w:rsidRDefault="00100C9D" w:rsidP="00971914"/>
      </w:tc>
    </w:tr>
  </w:tbl>
  <w:p w14:paraId="5DC50AFB" w14:textId="77777777" w:rsidR="00100C9D" w:rsidRPr="00A5474E" w:rsidRDefault="00100C9D"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D6B33C" w14:textId="77777777" w:rsidR="00100C9D" w:rsidRDefault="00100C9D"/>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AC0F4" w14:textId="77777777" w:rsidR="00100C9D" w:rsidRDefault="00100C9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4E26687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0002C8B"/>
    <w:multiLevelType w:val="hybridMultilevel"/>
    <w:tmpl w:val="14847002"/>
    <w:lvl w:ilvl="0" w:tplc="9AFC3F4A">
      <w:start w:val="1"/>
      <w:numFmt w:val="decimal"/>
      <w:lvlText w:val="%1."/>
      <w:lvlJc w:val="left"/>
      <w:pPr>
        <w:ind w:left="473" w:hanging="361"/>
      </w:pPr>
      <w:rPr>
        <w:rFonts w:ascii="Arial" w:eastAsia="Arial" w:hAnsi="Arial" w:cs="Arial" w:hint="default"/>
        <w:spacing w:val="-1"/>
        <w:w w:val="99"/>
        <w:sz w:val="20"/>
        <w:szCs w:val="20"/>
      </w:rPr>
    </w:lvl>
    <w:lvl w:ilvl="1" w:tplc="7D98C524">
      <w:start w:val="1"/>
      <w:numFmt w:val="decimal"/>
      <w:lvlText w:val="%2."/>
      <w:lvlJc w:val="left"/>
      <w:pPr>
        <w:ind w:left="673" w:hanging="361"/>
      </w:pPr>
      <w:rPr>
        <w:rFonts w:ascii="Arial" w:eastAsia="Arial" w:hAnsi="Arial" w:cs="Arial" w:hint="default"/>
        <w:b/>
        <w:bCs/>
        <w:spacing w:val="-1"/>
        <w:w w:val="99"/>
        <w:sz w:val="20"/>
        <w:szCs w:val="20"/>
      </w:rPr>
    </w:lvl>
    <w:lvl w:ilvl="2" w:tplc="9AD2077A">
      <w:numFmt w:val="bullet"/>
      <w:lvlText w:val="•"/>
      <w:lvlJc w:val="left"/>
      <w:pPr>
        <w:ind w:left="1627" w:hanging="361"/>
      </w:pPr>
      <w:rPr>
        <w:rFonts w:hint="default"/>
      </w:rPr>
    </w:lvl>
    <w:lvl w:ilvl="3" w:tplc="2FA40C3C">
      <w:numFmt w:val="bullet"/>
      <w:lvlText w:val="•"/>
      <w:lvlJc w:val="left"/>
      <w:pPr>
        <w:ind w:left="2574" w:hanging="361"/>
      </w:pPr>
      <w:rPr>
        <w:rFonts w:hint="default"/>
      </w:rPr>
    </w:lvl>
    <w:lvl w:ilvl="4" w:tplc="B442BA66">
      <w:numFmt w:val="bullet"/>
      <w:lvlText w:val="•"/>
      <w:lvlJc w:val="left"/>
      <w:pPr>
        <w:ind w:left="3522" w:hanging="361"/>
      </w:pPr>
      <w:rPr>
        <w:rFonts w:hint="default"/>
      </w:rPr>
    </w:lvl>
    <w:lvl w:ilvl="5" w:tplc="95625B5A">
      <w:numFmt w:val="bullet"/>
      <w:lvlText w:val="•"/>
      <w:lvlJc w:val="left"/>
      <w:pPr>
        <w:ind w:left="4469" w:hanging="361"/>
      </w:pPr>
      <w:rPr>
        <w:rFonts w:hint="default"/>
      </w:rPr>
    </w:lvl>
    <w:lvl w:ilvl="6" w:tplc="20C230E0">
      <w:numFmt w:val="bullet"/>
      <w:lvlText w:val="•"/>
      <w:lvlJc w:val="left"/>
      <w:pPr>
        <w:ind w:left="5416" w:hanging="361"/>
      </w:pPr>
      <w:rPr>
        <w:rFonts w:hint="default"/>
      </w:rPr>
    </w:lvl>
    <w:lvl w:ilvl="7" w:tplc="4BAEE244">
      <w:numFmt w:val="bullet"/>
      <w:lvlText w:val="•"/>
      <w:lvlJc w:val="left"/>
      <w:pPr>
        <w:ind w:left="6364" w:hanging="361"/>
      </w:pPr>
      <w:rPr>
        <w:rFonts w:hint="default"/>
      </w:rPr>
    </w:lvl>
    <w:lvl w:ilvl="8" w:tplc="0090043E">
      <w:numFmt w:val="bullet"/>
      <w:lvlText w:val="•"/>
      <w:lvlJc w:val="left"/>
      <w:pPr>
        <w:ind w:left="7311" w:hanging="361"/>
      </w:pPr>
      <w:rPr>
        <w:rFonts w:hint="default"/>
      </w:rPr>
    </w:lvl>
  </w:abstractNum>
  <w:abstractNum w:abstractNumId="5"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C22268E"/>
    <w:multiLevelType w:val="hybridMultilevel"/>
    <w:tmpl w:val="BB8C9B4C"/>
    <w:lvl w:ilvl="0" w:tplc="627CCB96">
      <w:start w:val="1"/>
      <w:numFmt w:val="decimal"/>
      <w:lvlText w:val="%1."/>
      <w:lvlJc w:val="left"/>
      <w:pPr>
        <w:ind w:left="292" w:hanging="180"/>
      </w:pPr>
      <w:rPr>
        <w:rFonts w:ascii="Arial" w:eastAsia="Arial" w:hAnsi="Arial" w:cs="Arial" w:hint="default"/>
        <w:i/>
        <w:spacing w:val="-1"/>
        <w:w w:val="100"/>
        <w:sz w:val="16"/>
        <w:szCs w:val="16"/>
      </w:rPr>
    </w:lvl>
    <w:lvl w:ilvl="1" w:tplc="E9E8F496">
      <w:numFmt w:val="bullet"/>
      <w:lvlText w:val="•"/>
      <w:lvlJc w:val="left"/>
      <w:pPr>
        <w:ind w:left="1190" w:hanging="180"/>
      </w:pPr>
      <w:rPr>
        <w:rFonts w:hint="default"/>
      </w:rPr>
    </w:lvl>
    <w:lvl w:ilvl="2" w:tplc="D248B058">
      <w:numFmt w:val="bullet"/>
      <w:lvlText w:val="•"/>
      <w:lvlJc w:val="left"/>
      <w:pPr>
        <w:ind w:left="2081" w:hanging="180"/>
      </w:pPr>
      <w:rPr>
        <w:rFonts w:hint="default"/>
      </w:rPr>
    </w:lvl>
    <w:lvl w:ilvl="3" w:tplc="B644DA92">
      <w:numFmt w:val="bullet"/>
      <w:lvlText w:val="•"/>
      <w:lvlJc w:val="left"/>
      <w:pPr>
        <w:ind w:left="2971" w:hanging="180"/>
      </w:pPr>
      <w:rPr>
        <w:rFonts w:hint="default"/>
      </w:rPr>
    </w:lvl>
    <w:lvl w:ilvl="4" w:tplc="B2DC3888">
      <w:numFmt w:val="bullet"/>
      <w:lvlText w:val="•"/>
      <w:lvlJc w:val="left"/>
      <w:pPr>
        <w:ind w:left="3862" w:hanging="180"/>
      </w:pPr>
      <w:rPr>
        <w:rFonts w:hint="default"/>
      </w:rPr>
    </w:lvl>
    <w:lvl w:ilvl="5" w:tplc="3476E32A">
      <w:numFmt w:val="bullet"/>
      <w:lvlText w:val="•"/>
      <w:lvlJc w:val="left"/>
      <w:pPr>
        <w:ind w:left="4753" w:hanging="180"/>
      </w:pPr>
      <w:rPr>
        <w:rFonts w:hint="default"/>
      </w:rPr>
    </w:lvl>
    <w:lvl w:ilvl="6" w:tplc="6C7E9FAC">
      <w:numFmt w:val="bullet"/>
      <w:lvlText w:val="•"/>
      <w:lvlJc w:val="left"/>
      <w:pPr>
        <w:ind w:left="5643" w:hanging="180"/>
      </w:pPr>
      <w:rPr>
        <w:rFonts w:hint="default"/>
      </w:rPr>
    </w:lvl>
    <w:lvl w:ilvl="7" w:tplc="01BE33DE">
      <w:numFmt w:val="bullet"/>
      <w:lvlText w:val="•"/>
      <w:lvlJc w:val="left"/>
      <w:pPr>
        <w:ind w:left="6534" w:hanging="180"/>
      </w:pPr>
      <w:rPr>
        <w:rFonts w:hint="default"/>
      </w:rPr>
    </w:lvl>
    <w:lvl w:ilvl="8" w:tplc="30F6DCA6">
      <w:numFmt w:val="bullet"/>
      <w:lvlText w:val="•"/>
      <w:lvlJc w:val="left"/>
      <w:pPr>
        <w:ind w:left="7425" w:hanging="180"/>
      </w:pPr>
      <w:rPr>
        <w:rFonts w:hint="default"/>
      </w:r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55AA21F0"/>
    <w:multiLevelType w:val="hybridMultilevel"/>
    <w:tmpl w:val="FEA255C8"/>
    <w:lvl w:ilvl="0" w:tplc="2A8A4ED8">
      <w:start w:val="1"/>
      <w:numFmt w:val="decimal"/>
      <w:pStyle w:val="ACMATableHeader"/>
      <w:lvlText w:val="Table %1:"/>
      <w:lvlJc w:val="left"/>
      <w:pPr>
        <w:tabs>
          <w:tab w:val="num" w:pos="964"/>
        </w:tabs>
        <w:ind w:left="964" w:hanging="964"/>
      </w:pPr>
      <w:rPr>
        <w:rFonts w:cs="Times New Roman"/>
        <w:b/>
        <w:bCs/>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16D2B96E"/>
    <w:lvl w:ilvl="0" w:tplc="3A9CF91A">
      <w:start w:val="1"/>
      <w:numFmt w:val="decimal"/>
      <w:pStyle w:val="ACMAFigureHeader"/>
      <w:lvlText w:val="Figure %1: "/>
      <w:lvlJc w:val="left"/>
      <w:pPr>
        <w:tabs>
          <w:tab w:val="num" w:pos="1447"/>
        </w:tabs>
        <w:ind w:left="1447"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C4C604A"/>
    <w:multiLevelType w:val="hybridMultilevel"/>
    <w:tmpl w:val="60201ADC"/>
    <w:lvl w:ilvl="0" w:tplc="B156BE26">
      <w:start w:val="1"/>
      <w:numFmt w:val="lowerLetter"/>
      <w:lvlText w:val="(%1)"/>
      <w:lvlJc w:val="left"/>
      <w:pPr>
        <w:ind w:left="396" w:hanging="300"/>
      </w:pPr>
      <w:rPr>
        <w:rFonts w:ascii="Arial" w:eastAsia="Arial" w:hAnsi="Arial" w:cs="Arial" w:hint="default"/>
        <w:w w:val="99"/>
        <w:sz w:val="20"/>
        <w:szCs w:val="20"/>
      </w:rPr>
    </w:lvl>
    <w:lvl w:ilvl="1" w:tplc="40E89352">
      <w:numFmt w:val="bullet"/>
      <w:lvlText w:val="•"/>
      <w:lvlJc w:val="left"/>
      <w:pPr>
        <w:ind w:left="1280" w:hanging="300"/>
      </w:pPr>
      <w:rPr>
        <w:rFonts w:hint="default"/>
      </w:rPr>
    </w:lvl>
    <w:lvl w:ilvl="2" w:tplc="17D47548">
      <w:numFmt w:val="bullet"/>
      <w:lvlText w:val="•"/>
      <w:lvlJc w:val="left"/>
      <w:pPr>
        <w:ind w:left="2161" w:hanging="300"/>
      </w:pPr>
      <w:rPr>
        <w:rFonts w:hint="default"/>
      </w:rPr>
    </w:lvl>
    <w:lvl w:ilvl="3" w:tplc="D00CF00E">
      <w:numFmt w:val="bullet"/>
      <w:lvlText w:val="•"/>
      <w:lvlJc w:val="left"/>
      <w:pPr>
        <w:ind w:left="3041" w:hanging="300"/>
      </w:pPr>
      <w:rPr>
        <w:rFonts w:hint="default"/>
      </w:rPr>
    </w:lvl>
    <w:lvl w:ilvl="4" w:tplc="E656F38E">
      <w:numFmt w:val="bullet"/>
      <w:lvlText w:val="•"/>
      <w:lvlJc w:val="left"/>
      <w:pPr>
        <w:ind w:left="3922" w:hanging="300"/>
      </w:pPr>
      <w:rPr>
        <w:rFonts w:hint="default"/>
      </w:rPr>
    </w:lvl>
    <w:lvl w:ilvl="5" w:tplc="51442974">
      <w:numFmt w:val="bullet"/>
      <w:lvlText w:val="•"/>
      <w:lvlJc w:val="left"/>
      <w:pPr>
        <w:ind w:left="4803" w:hanging="300"/>
      </w:pPr>
      <w:rPr>
        <w:rFonts w:hint="default"/>
      </w:rPr>
    </w:lvl>
    <w:lvl w:ilvl="6" w:tplc="9A24BD34">
      <w:numFmt w:val="bullet"/>
      <w:lvlText w:val="•"/>
      <w:lvlJc w:val="left"/>
      <w:pPr>
        <w:ind w:left="5683" w:hanging="300"/>
      </w:pPr>
      <w:rPr>
        <w:rFonts w:hint="default"/>
      </w:rPr>
    </w:lvl>
    <w:lvl w:ilvl="7" w:tplc="194AA83E">
      <w:numFmt w:val="bullet"/>
      <w:lvlText w:val="•"/>
      <w:lvlJc w:val="left"/>
      <w:pPr>
        <w:ind w:left="6564" w:hanging="300"/>
      </w:pPr>
      <w:rPr>
        <w:rFonts w:hint="default"/>
      </w:rPr>
    </w:lvl>
    <w:lvl w:ilvl="8" w:tplc="05862962">
      <w:numFmt w:val="bullet"/>
      <w:lvlText w:val="•"/>
      <w:lvlJc w:val="left"/>
      <w:pPr>
        <w:ind w:left="7445" w:hanging="300"/>
      </w:pPr>
      <w:rPr>
        <w:rFonts w:hint="default"/>
      </w:rPr>
    </w:lvl>
  </w:abstractNum>
  <w:abstractNum w:abstractNumId="1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8"/>
  </w:num>
  <w:num w:numId="6">
    <w:abstractNumId w:val="12"/>
  </w:num>
  <w:num w:numId="7">
    <w:abstractNumId w:val="10"/>
  </w:num>
  <w:num w:numId="8">
    <w:abstractNumId w:val="11"/>
  </w:num>
  <w:num w:numId="9">
    <w:abstractNumId w:val="14"/>
  </w:num>
  <w:num w:numId="10">
    <w:abstractNumId w:val="6"/>
  </w:num>
  <w:num w:numId="11">
    <w:abstractNumId w:val="5"/>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9"/>
  </w:num>
  <w:num w:numId="17">
    <w:abstractNumId w:val="7"/>
  </w:num>
  <w:num w:numId="18">
    <w:abstractNumId w:val="2"/>
  </w:num>
  <w:num w:numId="19">
    <w:abstractNumId w:val="2"/>
  </w:num>
  <w:num w:numId="20">
    <w:abstractNumId w:val="2"/>
    <w:lvlOverride w:ilvl="0">
      <w:startOverride w:val="1"/>
    </w:lvlOverride>
  </w:num>
  <w:num w:numId="21">
    <w:abstractNumId w:val="2"/>
    <w:lvlOverride w:ilvl="0">
      <w:startOverride w:val="1"/>
    </w:lvlOverride>
  </w:num>
  <w:num w:numId="22">
    <w:abstractNumId w:val="3"/>
  </w:num>
  <w:num w:numId="23">
    <w:abstractNumId w:val="3"/>
  </w:num>
  <w:num w:numId="24">
    <w:abstractNumId w:val="3"/>
  </w:num>
  <w:num w:numId="25">
    <w:abstractNumId w:val="2"/>
  </w:num>
  <w:num w:numId="26">
    <w:abstractNumId w:val="4"/>
  </w:num>
  <w:num w:numId="27">
    <w:abstractNumId w:val="2"/>
  </w:num>
  <w:num w:numId="28">
    <w:abstractNumId w:val="13"/>
  </w:num>
  <w:num w:numId="29">
    <w:abstractNumId w:val="3"/>
  </w:num>
  <w:num w:numId="30">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4337">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2448"/>
    <w:rsid w:val="00010667"/>
    <w:rsid w:val="000129D5"/>
    <w:rsid w:val="0001580B"/>
    <w:rsid w:val="00015AE7"/>
    <w:rsid w:val="00016E21"/>
    <w:rsid w:val="0001719C"/>
    <w:rsid w:val="0002224E"/>
    <w:rsid w:val="000245E5"/>
    <w:rsid w:val="00026F91"/>
    <w:rsid w:val="00032621"/>
    <w:rsid w:val="0004304E"/>
    <w:rsid w:val="0004764C"/>
    <w:rsid w:val="0005011A"/>
    <w:rsid w:val="0005045A"/>
    <w:rsid w:val="00051C1E"/>
    <w:rsid w:val="000539F9"/>
    <w:rsid w:val="00054C27"/>
    <w:rsid w:val="00055EC3"/>
    <w:rsid w:val="000563CE"/>
    <w:rsid w:val="000659B6"/>
    <w:rsid w:val="0006686F"/>
    <w:rsid w:val="0006722A"/>
    <w:rsid w:val="00070640"/>
    <w:rsid w:val="000732CF"/>
    <w:rsid w:val="00075B96"/>
    <w:rsid w:val="00076ABC"/>
    <w:rsid w:val="0008196A"/>
    <w:rsid w:val="000840FD"/>
    <w:rsid w:val="000915ED"/>
    <w:rsid w:val="0009209D"/>
    <w:rsid w:val="0009463C"/>
    <w:rsid w:val="000969BD"/>
    <w:rsid w:val="000969BF"/>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0F03F4"/>
    <w:rsid w:val="001002C8"/>
    <w:rsid w:val="00100C9D"/>
    <w:rsid w:val="0010222A"/>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67816"/>
    <w:rsid w:val="001704D5"/>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D15"/>
    <w:rsid w:val="001F248E"/>
    <w:rsid w:val="001F4EDA"/>
    <w:rsid w:val="001F50F7"/>
    <w:rsid w:val="001F7558"/>
    <w:rsid w:val="00201EE2"/>
    <w:rsid w:val="00205B57"/>
    <w:rsid w:val="0021426C"/>
    <w:rsid w:val="002157E0"/>
    <w:rsid w:val="00216A57"/>
    <w:rsid w:val="00217448"/>
    <w:rsid w:val="00221FA2"/>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67BB9"/>
    <w:rsid w:val="0027165D"/>
    <w:rsid w:val="00273CEB"/>
    <w:rsid w:val="00274F79"/>
    <w:rsid w:val="00281C89"/>
    <w:rsid w:val="0028282F"/>
    <w:rsid w:val="0029593B"/>
    <w:rsid w:val="00297FC5"/>
    <w:rsid w:val="002A0417"/>
    <w:rsid w:val="002A16D8"/>
    <w:rsid w:val="002A1BC8"/>
    <w:rsid w:val="002A3EF2"/>
    <w:rsid w:val="002B08EF"/>
    <w:rsid w:val="002B0DED"/>
    <w:rsid w:val="002B19A2"/>
    <w:rsid w:val="002B381A"/>
    <w:rsid w:val="002B4FCC"/>
    <w:rsid w:val="002B7408"/>
    <w:rsid w:val="002B7CFD"/>
    <w:rsid w:val="002C0530"/>
    <w:rsid w:val="002C210F"/>
    <w:rsid w:val="002C70C8"/>
    <w:rsid w:val="002D3600"/>
    <w:rsid w:val="002E4DDC"/>
    <w:rsid w:val="00302480"/>
    <w:rsid w:val="00302758"/>
    <w:rsid w:val="003165E6"/>
    <w:rsid w:val="003215B5"/>
    <w:rsid w:val="003221CF"/>
    <w:rsid w:val="003233ED"/>
    <w:rsid w:val="00324D9F"/>
    <w:rsid w:val="00327948"/>
    <w:rsid w:val="0033000F"/>
    <w:rsid w:val="00332011"/>
    <w:rsid w:val="00332518"/>
    <w:rsid w:val="00332925"/>
    <w:rsid w:val="00332E3F"/>
    <w:rsid w:val="003332ED"/>
    <w:rsid w:val="003368DC"/>
    <w:rsid w:val="00343FE0"/>
    <w:rsid w:val="00345927"/>
    <w:rsid w:val="00350584"/>
    <w:rsid w:val="0035094B"/>
    <w:rsid w:val="00351857"/>
    <w:rsid w:val="003545E8"/>
    <w:rsid w:val="003610E1"/>
    <w:rsid w:val="003671BE"/>
    <w:rsid w:val="00372485"/>
    <w:rsid w:val="00373200"/>
    <w:rsid w:val="00375EF5"/>
    <w:rsid w:val="003767A5"/>
    <w:rsid w:val="00381D15"/>
    <w:rsid w:val="00385254"/>
    <w:rsid w:val="0038557E"/>
    <w:rsid w:val="00387740"/>
    <w:rsid w:val="003913A7"/>
    <w:rsid w:val="003933E8"/>
    <w:rsid w:val="00394031"/>
    <w:rsid w:val="00396DC2"/>
    <w:rsid w:val="003A04DB"/>
    <w:rsid w:val="003A1A5E"/>
    <w:rsid w:val="003A5F5B"/>
    <w:rsid w:val="003A789A"/>
    <w:rsid w:val="003B12EC"/>
    <w:rsid w:val="003B61ED"/>
    <w:rsid w:val="003C03B8"/>
    <w:rsid w:val="003C77E0"/>
    <w:rsid w:val="003D0ABF"/>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3F6B"/>
    <w:rsid w:val="0042762F"/>
    <w:rsid w:val="00427DC7"/>
    <w:rsid w:val="00431613"/>
    <w:rsid w:val="00431792"/>
    <w:rsid w:val="0043297A"/>
    <w:rsid w:val="00432EB2"/>
    <w:rsid w:val="0043714F"/>
    <w:rsid w:val="004438B5"/>
    <w:rsid w:val="00447037"/>
    <w:rsid w:val="004501DC"/>
    <w:rsid w:val="0045124D"/>
    <w:rsid w:val="00454596"/>
    <w:rsid w:val="0045605D"/>
    <w:rsid w:val="0046135B"/>
    <w:rsid w:val="00461D47"/>
    <w:rsid w:val="004718CC"/>
    <w:rsid w:val="00481695"/>
    <w:rsid w:val="00495A96"/>
    <w:rsid w:val="00495BB3"/>
    <w:rsid w:val="004A349A"/>
    <w:rsid w:val="004A56BB"/>
    <w:rsid w:val="004A70D6"/>
    <w:rsid w:val="004B1751"/>
    <w:rsid w:val="004B7539"/>
    <w:rsid w:val="004C0253"/>
    <w:rsid w:val="004C450C"/>
    <w:rsid w:val="004D56FF"/>
    <w:rsid w:val="004E39D3"/>
    <w:rsid w:val="004E508A"/>
    <w:rsid w:val="004E616D"/>
    <w:rsid w:val="004F1BDE"/>
    <w:rsid w:val="004F2CEE"/>
    <w:rsid w:val="004F49AD"/>
    <w:rsid w:val="004F556E"/>
    <w:rsid w:val="004F591C"/>
    <w:rsid w:val="004F7F44"/>
    <w:rsid w:val="005037B4"/>
    <w:rsid w:val="005079BF"/>
    <w:rsid w:val="0051269A"/>
    <w:rsid w:val="00517BC6"/>
    <w:rsid w:val="00520CBB"/>
    <w:rsid w:val="005219E7"/>
    <w:rsid w:val="00531B9A"/>
    <w:rsid w:val="00531D15"/>
    <w:rsid w:val="00537604"/>
    <w:rsid w:val="00542377"/>
    <w:rsid w:val="005476EB"/>
    <w:rsid w:val="00551782"/>
    <w:rsid w:val="00563EF1"/>
    <w:rsid w:val="00566AB4"/>
    <w:rsid w:val="00573812"/>
    <w:rsid w:val="00575AC5"/>
    <w:rsid w:val="0057605D"/>
    <w:rsid w:val="00581347"/>
    <w:rsid w:val="00581AC9"/>
    <w:rsid w:val="005849F8"/>
    <w:rsid w:val="005938DF"/>
    <w:rsid w:val="00594E9C"/>
    <w:rsid w:val="005A099B"/>
    <w:rsid w:val="005A2D9C"/>
    <w:rsid w:val="005A55FE"/>
    <w:rsid w:val="005A6A11"/>
    <w:rsid w:val="005A7AB9"/>
    <w:rsid w:val="005B2F0D"/>
    <w:rsid w:val="005C34EF"/>
    <w:rsid w:val="005D2502"/>
    <w:rsid w:val="005D40BB"/>
    <w:rsid w:val="005D47F3"/>
    <w:rsid w:val="005D49BF"/>
    <w:rsid w:val="005D4AA5"/>
    <w:rsid w:val="005D6F4E"/>
    <w:rsid w:val="005D7C73"/>
    <w:rsid w:val="005E250B"/>
    <w:rsid w:val="005E3ACD"/>
    <w:rsid w:val="005E7226"/>
    <w:rsid w:val="005E7A57"/>
    <w:rsid w:val="005F1737"/>
    <w:rsid w:val="005F24B0"/>
    <w:rsid w:val="0060424E"/>
    <w:rsid w:val="00604315"/>
    <w:rsid w:val="00604E26"/>
    <w:rsid w:val="0060523F"/>
    <w:rsid w:val="006052CF"/>
    <w:rsid w:val="00607B8D"/>
    <w:rsid w:val="00611F5C"/>
    <w:rsid w:val="00616E09"/>
    <w:rsid w:val="00617B5B"/>
    <w:rsid w:val="00622A3B"/>
    <w:rsid w:val="00622EEA"/>
    <w:rsid w:val="0062396C"/>
    <w:rsid w:val="00623FF9"/>
    <w:rsid w:val="00627D4E"/>
    <w:rsid w:val="00632B89"/>
    <w:rsid w:val="0063346D"/>
    <w:rsid w:val="00634478"/>
    <w:rsid w:val="00644373"/>
    <w:rsid w:val="00645915"/>
    <w:rsid w:val="00646CC4"/>
    <w:rsid w:val="006519C3"/>
    <w:rsid w:val="00652B30"/>
    <w:rsid w:val="0065443F"/>
    <w:rsid w:val="00656345"/>
    <w:rsid w:val="00656DC6"/>
    <w:rsid w:val="00660EC6"/>
    <w:rsid w:val="00664110"/>
    <w:rsid w:val="00664D17"/>
    <w:rsid w:val="00664DAB"/>
    <w:rsid w:val="006657F7"/>
    <w:rsid w:val="00666520"/>
    <w:rsid w:val="00667C5B"/>
    <w:rsid w:val="0068595B"/>
    <w:rsid w:val="00691EB8"/>
    <w:rsid w:val="00692CDE"/>
    <w:rsid w:val="00693073"/>
    <w:rsid w:val="006977FF"/>
    <w:rsid w:val="006A01FA"/>
    <w:rsid w:val="006A0E9E"/>
    <w:rsid w:val="006A25C7"/>
    <w:rsid w:val="006A4AAD"/>
    <w:rsid w:val="006A4CCA"/>
    <w:rsid w:val="006A6DA2"/>
    <w:rsid w:val="006A7AB2"/>
    <w:rsid w:val="006B52DE"/>
    <w:rsid w:val="006B5717"/>
    <w:rsid w:val="006B582F"/>
    <w:rsid w:val="006B5EB2"/>
    <w:rsid w:val="006C0CEB"/>
    <w:rsid w:val="006C1631"/>
    <w:rsid w:val="006C3B1E"/>
    <w:rsid w:val="006C47FD"/>
    <w:rsid w:val="006C5C19"/>
    <w:rsid w:val="006C70A0"/>
    <w:rsid w:val="006C7941"/>
    <w:rsid w:val="006D27CB"/>
    <w:rsid w:val="006D2F08"/>
    <w:rsid w:val="006D576C"/>
    <w:rsid w:val="006D5865"/>
    <w:rsid w:val="006E4B1B"/>
    <w:rsid w:val="006E5445"/>
    <w:rsid w:val="006E7D93"/>
    <w:rsid w:val="00700556"/>
    <w:rsid w:val="0070133D"/>
    <w:rsid w:val="007029A3"/>
    <w:rsid w:val="00706E4E"/>
    <w:rsid w:val="0070791C"/>
    <w:rsid w:val="0071383C"/>
    <w:rsid w:val="007141A7"/>
    <w:rsid w:val="00715722"/>
    <w:rsid w:val="00715BAF"/>
    <w:rsid w:val="00721032"/>
    <w:rsid w:val="00721B55"/>
    <w:rsid w:val="00726CE4"/>
    <w:rsid w:val="00734143"/>
    <w:rsid w:val="00737E47"/>
    <w:rsid w:val="00740EAC"/>
    <w:rsid w:val="00744956"/>
    <w:rsid w:val="00745A5C"/>
    <w:rsid w:val="0074605F"/>
    <w:rsid w:val="00747E94"/>
    <w:rsid w:val="00750622"/>
    <w:rsid w:val="00754C83"/>
    <w:rsid w:val="00761E5C"/>
    <w:rsid w:val="00765DF8"/>
    <w:rsid w:val="00766749"/>
    <w:rsid w:val="00767C1B"/>
    <w:rsid w:val="00770B3F"/>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CB6"/>
    <w:rsid w:val="007C79DD"/>
    <w:rsid w:val="007D1A97"/>
    <w:rsid w:val="007D2CD6"/>
    <w:rsid w:val="007D3063"/>
    <w:rsid w:val="007D3CEB"/>
    <w:rsid w:val="007E7683"/>
    <w:rsid w:val="007F49FA"/>
    <w:rsid w:val="007F54C4"/>
    <w:rsid w:val="007F6E9A"/>
    <w:rsid w:val="00800CCD"/>
    <w:rsid w:val="008044D4"/>
    <w:rsid w:val="00810AB4"/>
    <w:rsid w:val="00817B56"/>
    <w:rsid w:val="00821A88"/>
    <w:rsid w:val="0082322E"/>
    <w:rsid w:val="0082495D"/>
    <w:rsid w:val="00831AC3"/>
    <w:rsid w:val="00836FCE"/>
    <w:rsid w:val="008408FF"/>
    <w:rsid w:val="00851F3F"/>
    <w:rsid w:val="00856EDC"/>
    <w:rsid w:val="00857546"/>
    <w:rsid w:val="008623B5"/>
    <w:rsid w:val="00870ABA"/>
    <w:rsid w:val="008710E1"/>
    <w:rsid w:val="008716E5"/>
    <w:rsid w:val="00880DF3"/>
    <w:rsid w:val="00881CA9"/>
    <w:rsid w:val="00883628"/>
    <w:rsid w:val="0088480D"/>
    <w:rsid w:val="00885544"/>
    <w:rsid w:val="0088634E"/>
    <w:rsid w:val="00890974"/>
    <w:rsid w:val="00893AB8"/>
    <w:rsid w:val="00894C29"/>
    <w:rsid w:val="008A04C8"/>
    <w:rsid w:val="008A6913"/>
    <w:rsid w:val="008B70F3"/>
    <w:rsid w:val="008B71C4"/>
    <w:rsid w:val="008B76DF"/>
    <w:rsid w:val="008C10F4"/>
    <w:rsid w:val="008C65F7"/>
    <w:rsid w:val="008E0428"/>
    <w:rsid w:val="008E4767"/>
    <w:rsid w:val="008E7A8C"/>
    <w:rsid w:val="008F0656"/>
    <w:rsid w:val="0090203B"/>
    <w:rsid w:val="00903285"/>
    <w:rsid w:val="00906F40"/>
    <w:rsid w:val="0090731E"/>
    <w:rsid w:val="00915B1C"/>
    <w:rsid w:val="009174F3"/>
    <w:rsid w:val="0091797D"/>
    <w:rsid w:val="00923575"/>
    <w:rsid w:val="00923CBA"/>
    <w:rsid w:val="00926703"/>
    <w:rsid w:val="00927691"/>
    <w:rsid w:val="00927A5F"/>
    <w:rsid w:val="00930510"/>
    <w:rsid w:val="00935B63"/>
    <w:rsid w:val="00936E95"/>
    <w:rsid w:val="009404A7"/>
    <w:rsid w:val="0094078F"/>
    <w:rsid w:val="00940FA3"/>
    <w:rsid w:val="00941FB0"/>
    <w:rsid w:val="009426D4"/>
    <w:rsid w:val="00947F25"/>
    <w:rsid w:val="00950159"/>
    <w:rsid w:val="0095490B"/>
    <w:rsid w:val="00960A33"/>
    <w:rsid w:val="009716D7"/>
    <w:rsid w:val="00971914"/>
    <w:rsid w:val="00974363"/>
    <w:rsid w:val="00981898"/>
    <w:rsid w:val="0099577C"/>
    <w:rsid w:val="00996792"/>
    <w:rsid w:val="009A021C"/>
    <w:rsid w:val="009A25CC"/>
    <w:rsid w:val="009B24A5"/>
    <w:rsid w:val="009B2601"/>
    <w:rsid w:val="009B4E9E"/>
    <w:rsid w:val="009C1690"/>
    <w:rsid w:val="009C6881"/>
    <w:rsid w:val="009C7759"/>
    <w:rsid w:val="009D043D"/>
    <w:rsid w:val="009D07C8"/>
    <w:rsid w:val="009D4C85"/>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AFD"/>
    <w:rsid w:val="00A24F5C"/>
    <w:rsid w:val="00A32F96"/>
    <w:rsid w:val="00A343FB"/>
    <w:rsid w:val="00A40871"/>
    <w:rsid w:val="00A412AB"/>
    <w:rsid w:val="00A4193E"/>
    <w:rsid w:val="00A440E0"/>
    <w:rsid w:val="00A442EF"/>
    <w:rsid w:val="00A47907"/>
    <w:rsid w:val="00A51D1A"/>
    <w:rsid w:val="00A5418D"/>
    <w:rsid w:val="00A5474E"/>
    <w:rsid w:val="00A64234"/>
    <w:rsid w:val="00A70ADF"/>
    <w:rsid w:val="00A71466"/>
    <w:rsid w:val="00A74B5E"/>
    <w:rsid w:val="00A81BED"/>
    <w:rsid w:val="00A81EC4"/>
    <w:rsid w:val="00A824E8"/>
    <w:rsid w:val="00A82661"/>
    <w:rsid w:val="00A8691D"/>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5853"/>
    <w:rsid w:val="00AF63E7"/>
    <w:rsid w:val="00AF6E17"/>
    <w:rsid w:val="00B0165D"/>
    <w:rsid w:val="00B01B60"/>
    <w:rsid w:val="00B031F3"/>
    <w:rsid w:val="00B052A4"/>
    <w:rsid w:val="00B06DCD"/>
    <w:rsid w:val="00B125DE"/>
    <w:rsid w:val="00B13FDD"/>
    <w:rsid w:val="00B22EB2"/>
    <w:rsid w:val="00B27442"/>
    <w:rsid w:val="00B31167"/>
    <w:rsid w:val="00B329D8"/>
    <w:rsid w:val="00B32BB9"/>
    <w:rsid w:val="00B33AE1"/>
    <w:rsid w:val="00B37C38"/>
    <w:rsid w:val="00B4288C"/>
    <w:rsid w:val="00B43262"/>
    <w:rsid w:val="00B44100"/>
    <w:rsid w:val="00B45C08"/>
    <w:rsid w:val="00B46CBA"/>
    <w:rsid w:val="00B46F94"/>
    <w:rsid w:val="00B6003C"/>
    <w:rsid w:val="00B61F03"/>
    <w:rsid w:val="00B626E4"/>
    <w:rsid w:val="00B648E1"/>
    <w:rsid w:val="00B72F4A"/>
    <w:rsid w:val="00B83C27"/>
    <w:rsid w:val="00B84BC3"/>
    <w:rsid w:val="00B84BDD"/>
    <w:rsid w:val="00B90CC6"/>
    <w:rsid w:val="00B92812"/>
    <w:rsid w:val="00B93083"/>
    <w:rsid w:val="00BA4486"/>
    <w:rsid w:val="00BA45A0"/>
    <w:rsid w:val="00BB45A1"/>
    <w:rsid w:val="00BB6335"/>
    <w:rsid w:val="00BB7686"/>
    <w:rsid w:val="00BB7802"/>
    <w:rsid w:val="00BC23F9"/>
    <w:rsid w:val="00BC3421"/>
    <w:rsid w:val="00BC732C"/>
    <w:rsid w:val="00BD4421"/>
    <w:rsid w:val="00BE2580"/>
    <w:rsid w:val="00BE266D"/>
    <w:rsid w:val="00BE3938"/>
    <w:rsid w:val="00BE41C6"/>
    <w:rsid w:val="00BE4C11"/>
    <w:rsid w:val="00BE4EFD"/>
    <w:rsid w:val="00BE71C0"/>
    <w:rsid w:val="00BF610C"/>
    <w:rsid w:val="00C0060B"/>
    <w:rsid w:val="00C01A6C"/>
    <w:rsid w:val="00C0277D"/>
    <w:rsid w:val="00C02F26"/>
    <w:rsid w:val="00C053A1"/>
    <w:rsid w:val="00C16198"/>
    <w:rsid w:val="00C2083D"/>
    <w:rsid w:val="00C24A53"/>
    <w:rsid w:val="00C34A05"/>
    <w:rsid w:val="00C35CCE"/>
    <w:rsid w:val="00C4032F"/>
    <w:rsid w:val="00C41F21"/>
    <w:rsid w:val="00C44047"/>
    <w:rsid w:val="00C45155"/>
    <w:rsid w:val="00C5498F"/>
    <w:rsid w:val="00C55235"/>
    <w:rsid w:val="00C64CD0"/>
    <w:rsid w:val="00C65F61"/>
    <w:rsid w:val="00C6684F"/>
    <w:rsid w:val="00C70E70"/>
    <w:rsid w:val="00C75F8D"/>
    <w:rsid w:val="00C77380"/>
    <w:rsid w:val="00C87E8A"/>
    <w:rsid w:val="00C913D6"/>
    <w:rsid w:val="00C97736"/>
    <w:rsid w:val="00CA345A"/>
    <w:rsid w:val="00CA7EC9"/>
    <w:rsid w:val="00CB1E82"/>
    <w:rsid w:val="00CB4BA8"/>
    <w:rsid w:val="00CB52D7"/>
    <w:rsid w:val="00CC6732"/>
    <w:rsid w:val="00CD6ACF"/>
    <w:rsid w:val="00CE370D"/>
    <w:rsid w:val="00CE3C96"/>
    <w:rsid w:val="00CE51A8"/>
    <w:rsid w:val="00CF0BFE"/>
    <w:rsid w:val="00CF2E83"/>
    <w:rsid w:val="00CF369B"/>
    <w:rsid w:val="00D00E28"/>
    <w:rsid w:val="00D00E7C"/>
    <w:rsid w:val="00D0269E"/>
    <w:rsid w:val="00D05D6C"/>
    <w:rsid w:val="00D15810"/>
    <w:rsid w:val="00D16D4E"/>
    <w:rsid w:val="00D16FE3"/>
    <w:rsid w:val="00D27F41"/>
    <w:rsid w:val="00D36441"/>
    <w:rsid w:val="00D4064E"/>
    <w:rsid w:val="00D42BE6"/>
    <w:rsid w:val="00D44E9B"/>
    <w:rsid w:val="00D47AEB"/>
    <w:rsid w:val="00D50DB9"/>
    <w:rsid w:val="00D51302"/>
    <w:rsid w:val="00D52C43"/>
    <w:rsid w:val="00D54FB8"/>
    <w:rsid w:val="00D61243"/>
    <w:rsid w:val="00D6507F"/>
    <w:rsid w:val="00D730BC"/>
    <w:rsid w:val="00D73912"/>
    <w:rsid w:val="00D83ED6"/>
    <w:rsid w:val="00D85226"/>
    <w:rsid w:val="00D87B94"/>
    <w:rsid w:val="00D92D49"/>
    <w:rsid w:val="00D92EC1"/>
    <w:rsid w:val="00D96DEA"/>
    <w:rsid w:val="00DA4E41"/>
    <w:rsid w:val="00DB117A"/>
    <w:rsid w:val="00DB4616"/>
    <w:rsid w:val="00DB5173"/>
    <w:rsid w:val="00DB7873"/>
    <w:rsid w:val="00DC187B"/>
    <w:rsid w:val="00DD1A43"/>
    <w:rsid w:val="00DD73C2"/>
    <w:rsid w:val="00DE319B"/>
    <w:rsid w:val="00DF34FE"/>
    <w:rsid w:val="00DF56AA"/>
    <w:rsid w:val="00DF56AF"/>
    <w:rsid w:val="00DF78E7"/>
    <w:rsid w:val="00E110E0"/>
    <w:rsid w:val="00E15371"/>
    <w:rsid w:val="00E21056"/>
    <w:rsid w:val="00E24104"/>
    <w:rsid w:val="00E302D0"/>
    <w:rsid w:val="00E35707"/>
    <w:rsid w:val="00E36AA1"/>
    <w:rsid w:val="00E41ECB"/>
    <w:rsid w:val="00E42676"/>
    <w:rsid w:val="00E50B58"/>
    <w:rsid w:val="00E54FDB"/>
    <w:rsid w:val="00E5617D"/>
    <w:rsid w:val="00E563D7"/>
    <w:rsid w:val="00E645F1"/>
    <w:rsid w:val="00E663F4"/>
    <w:rsid w:val="00E666F2"/>
    <w:rsid w:val="00E66DD4"/>
    <w:rsid w:val="00E71872"/>
    <w:rsid w:val="00E748CC"/>
    <w:rsid w:val="00E75415"/>
    <w:rsid w:val="00E775B1"/>
    <w:rsid w:val="00E810A7"/>
    <w:rsid w:val="00E8152A"/>
    <w:rsid w:val="00E82448"/>
    <w:rsid w:val="00E93629"/>
    <w:rsid w:val="00E936D4"/>
    <w:rsid w:val="00E93B5C"/>
    <w:rsid w:val="00E94CEC"/>
    <w:rsid w:val="00EA013C"/>
    <w:rsid w:val="00EA04EF"/>
    <w:rsid w:val="00EA6C79"/>
    <w:rsid w:val="00EA6F19"/>
    <w:rsid w:val="00EB7090"/>
    <w:rsid w:val="00EC1BBE"/>
    <w:rsid w:val="00EC2B68"/>
    <w:rsid w:val="00EC3AEF"/>
    <w:rsid w:val="00EC5225"/>
    <w:rsid w:val="00EC5CD7"/>
    <w:rsid w:val="00EE5FB3"/>
    <w:rsid w:val="00EE7F79"/>
    <w:rsid w:val="00EF715A"/>
    <w:rsid w:val="00F06E14"/>
    <w:rsid w:val="00F139EA"/>
    <w:rsid w:val="00F1400A"/>
    <w:rsid w:val="00F15015"/>
    <w:rsid w:val="00F179D4"/>
    <w:rsid w:val="00F22A23"/>
    <w:rsid w:val="00F31E0E"/>
    <w:rsid w:val="00F33C56"/>
    <w:rsid w:val="00F347C7"/>
    <w:rsid w:val="00F34848"/>
    <w:rsid w:val="00F355DC"/>
    <w:rsid w:val="00F42D46"/>
    <w:rsid w:val="00F43823"/>
    <w:rsid w:val="00F4496C"/>
    <w:rsid w:val="00F44F3A"/>
    <w:rsid w:val="00F51F10"/>
    <w:rsid w:val="00F529A5"/>
    <w:rsid w:val="00F5310D"/>
    <w:rsid w:val="00F60F00"/>
    <w:rsid w:val="00F614C0"/>
    <w:rsid w:val="00F63429"/>
    <w:rsid w:val="00F66B1B"/>
    <w:rsid w:val="00F67CEB"/>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colormru v:ext="edit" colors="red,#4d4d4f"/>
    </o:shapedefaults>
    <o:shapelayout v:ext="edit">
      <o:idmap v:ext="edit" data="1"/>
    </o:shapelayout>
  </w:shapeDefaults>
  <w:decimalSymbol w:val="."/>
  <w:listSeparator w:val=","/>
  <w14:docId w14:val="2A9C1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1"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100C9D"/>
    <w:pPr>
      <w:spacing w:after="4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tabs>
        <w:tab w:val="clear" w:pos="1447"/>
        <w:tab w:val="num" w:pos="1021"/>
      </w:tabs>
      <w:spacing w:after="160"/>
      <w:ind w:left="1021"/>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paragraph" w:styleId="BodyText">
    <w:name w:val="Body Text"/>
    <w:basedOn w:val="Normal"/>
    <w:link w:val="BodyTextChar"/>
    <w:uiPriority w:val="1"/>
    <w:qFormat/>
    <w:rsid w:val="00B93083"/>
    <w:pPr>
      <w:widowControl w:val="0"/>
      <w:autoSpaceDE w:val="0"/>
      <w:autoSpaceDN w:val="0"/>
      <w:spacing w:after="0" w:line="240" w:lineRule="auto"/>
    </w:pPr>
    <w:rPr>
      <w:rFonts w:eastAsia="Arial" w:cs="Arial"/>
      <w:szCs w:val="20"/>
      <w:lang w:val="en-US" w:eastAsia="en-US"/>
    </w:rPr>
  </w:style>
  <w:style w:type="character" w:customStyle="1" w:styleId="BodyTextChar">
    <w:name w:val="Body Text Char"/>
    <w:basedOn w:val="DefaultParagraphFont"/>
    <w:link w:val="BodyText"/>
    <w:uiPriority w:val="1"/>
    <w:rsid w:val="00B93083"/>
    <w:rPr>
      <w:rFonts w:ascii="Arial" w:eastAsia="Arial" w:hAnsi="Arial" w:cs="Arial"/>
      <w:sz w:val="20"/>
      <w:szCs w:val="20"/>
      <w:lang w:val="en-US" w:eastAsia="en-US"/>
    </w:rPr>
  </w:style>
  <w:style w:type="paragraph" w:customStyle="1" w:styleId="TableParagraph">
    <w:name w:val="Table Paragraph"/>
    <w:basedOn w:val="Normal"/>
    <w:uiPriority w:val="1"/>
    <w:qFormat/>
    <w:rsid w:val="00B93083"/>
    <w:pPr>
      <w:widowControl w:val="0"/>
      <w:autoSpaceDE w:val="0"/>
      <w:autoSpaceDN w:val="0"/>
      <w:spacing w:after="0" w:line="240" w:lineRule="auto"/>
      <w:ind w:left="200"/>
    </w:pPr>
    <w:rPr>
      <w:rFonts w:eastAsia="Arial" w:cs="Arial"/>
      <w:sz w:val="22"/>
      <w:szCs w:val="22"/>
      <w:lang w:val="en-US" w:eastAsia="en-US"/>
    </w:rPr>
  </w:style>
  <w:style w:type="paragraph" w:styleId="Revision">
    <w:name w:val="Revision"/>
    <w:hidden/>
    <w:semiHidden/>
    <w:rsid w:val="001002C8"/>
    <w:rPr>
      <w:rFonts w:ascii="Arial" w:hAnsi="Arial"/>
      <w:sz w:val="20"/>
    </w:rPr>
  </w:style>
  <w:style w:type="paragraph" w:styleId="ListParagraph">
    <w:name w:val="List Paragraph"/>
    <w:basedOn w:val="Normal"/>
    <w:uiPriority w:val="1"/>
    <w:qFormat/>
    <w:rsid w:val="004B7539"/>
    <w:pPr>
      <w:widowControl w:val="0"/>
      <w:autoSpaceDE w:val="0"/>
      <w:autoSpaceDN w:val="0"/>
      <w:spacing w:after="0" w:line="240" w:lineRule="auto"/>
      <w:ind w:left="473" w:hanging="361"/>
    </w:pPr>
    <w:rPr>
      <w:rFonts w:eastAsia="Arial" w:cs="Arial"/>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image" Target="media/image6.png"/><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image" Target="media/image5.png"/><Relationship Id="rId33" Type="http://schemas.openxmlformats.org/officeDocument/2006/relationships/header" Target="header7.xm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image" Target="media/image4.jpeg"/><Relationship Id="rId32" Type="http://schemas.openxmlformats.org/officeDocument/2006/relationships/chart" Target="charts/chart1.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image" Target="media/image8.png"/><Relationship Id="rId36"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acma.gov.au/broadcast-planning-resource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image" Target="media/image7.jpeg"/><Relationship Id="rId30" Type="http://schemas.openxmlformats.org/officeDocument/2006/relationships/image" Target="media/image10.png"/><Relationship Id="rId35" Type="http://schemas.openxmlformats.org/officeDocument/2006/relationships/footer" Target="footer7.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www.digitalradioplus.com.au/latest-news/2019-(1)/big-audience-boost-for-dab-radio-stations" TargetMode="External"/><Relationship Id="rId13" Type="http://schemas.openxmlformats.org/officeDocument/2006/relationships/hyperlink" Target="http://www.commercialradio.com.au/CR/media/CommercialRadio/Board%20of%20Directors/Record-numbers-listen-to-commercial-radio-in-2018.pdf?ext=.pdf" TargetMode="External"/><Relationship Id="rId18" Type="http://schemas.openxmlformats.org/officeDocument/2006/relationships/hyperlink" Target="http://www.abs.gov.au/ausstats/abs%40.nsf/mf/9309.0" TargetMode="External"/><Relationship Id="rId26" Type="http://schemas.openxmlformats.org/officeDocument/2006/relationships/hyperlink" Target="https://www.acma.gov.au/publications/2019-10/publication/principles-spectrum-management-2009" TargetMode="External"/><Relationship Id="rId3" Type="http://schemas.openxmlformats.org/officeDocument/2006/relationships/hyperlink" Target="https://www.legislation.gov.au/Details/F2017C01145" TargetMode="External"/><Relationship Id="rId21" Type="http://schemas.openxmlformats.org/officeDocument/2006/relationships/hyperlink" Target="http://www.digitalradioplus.com.au/dab-in-vehicles" TargetMode="External"/><Relationship Id="rId7" Type="http://schemas.openxmlformats.org/officeDocument/2006/relationships/hyperlink" Target="https://firstnationsmedia.org.au/sites/default/files/files/Public-2016-Remote-Indigenous%20Media%20and%20Communications%20Audience%20Survey-Aggregated%20Results.pdf" TargetMode="External"/><Relationship Id="rId12" Type="http://schemas.openxmlformats.org/officeDocument/2006/relationships/hyperlink" Target="https://radio.abc.net.au/help/apps" TargetMode="External"/><Relationship Id="rId17" Type="http://schemas.openxmlformats.org/officeDocument/2006/relationships/hyperlink" Target="http://www.commercialradio.com.au/content/mediareleases/2019/2019-05-02-infinite-dial-study-shows-radio-strong" TargetMode="External"/><Relationship Id="rId25" Type="http://schemas.openxmlformats.org/officeDocument/2006/relationships/hyperlink" Target="https://www.bbc.co.uk/rd/blog/2019-03-5g-rural-first-network-orkney" TargetMode="External"/><Relationship Id="rId2" Type="http://schemas.openxmlformats.org/officeDocument/2006/relationships/hyperlink" Target="https://www.acma.gov.au/australian-radiofrequency-spectrum-plan" TargetMode="External"/><Relationship Id="rId16" Type="http://schemas.openxmlformats.org/officeDocument/2006/relationships/hyperlink" Target="http://www.commercialradio.com.au/CR/media/CommercialRadio/Board%20of%20Directors/Record-numbers-listen-to-commercial-radio-in-2018.pdf?ext=.pdf" TargetMode="External"/><Relationship Id="rId20" Type="http://schemas.openxmlformats.org/officeDocument/2006/relationships/hyperlink" Target="http://www.abs.gov.au/ausstats/abs%40.nsf/mf/9309.0" TargetMode="External"/><Relationship Id="rId29" Type="http://schemas.openxmlformats.org/officeDocument/2006/relationships/hyperlink" Target="https://firstnationsmedia.org.au/our-industry/radio-services" TargetMode="External"/><Relationship Id="rId1" Type="http://schemas.openxmlformats.org/officeDocument/2006/relationships/hyperlink" Target="http://www.acma.gov.au/" TargetMode="External"/><Relationship Id="rId6" Type="http://schemas.openxmlformats.org/officeDocument/2006/relationships/hyperlink" Target="http://www.radioalive.com.au/Research-Insights/Share-of-Audio/2019/Share-of-Audio-2019" TargetMode="External"/><Relationship Id="rId11" Type="http://schemas.openxmlformats.org/officeDocument/2006/relationships/hyperlink" Target="https://www.abs.gov.au/AUSSTATS/abs%40.nsf/Lookup/8146.0Explanatory%20Notes12016-17?OpenDocument" TargetMode="External"/><Relationship Id="rId24" Type="http://schemas.openxmlformats.org/officeDocument/2006/relationships/hyperlink" Target="https://tech.ebu.ch/docs/techreports/tr044.pdf" TargetMode="External"/><Relationship Id="rId5" Type="http://schemas.openxmlformats.org/officeDocument/2006/relationships/hyperlink" Target="http://www.radioalive.com.au/Home/Latest-News/Australian-Podcast-Ranker" TargetMode="External"/><Relationship Id="rId15" Type="http://schemas.openxmlformats.org/officeDocument/2006/relationships/hyperlink" Target="http://www.commercialradio.com.au/content/mediareleases/2019/2019-10-15-september-quarter-radio-ad-revenue" TargetMode="External"/><Relationship Id="rId23" Type="http://schemas.openxmlformats.org/officeDocument/2006/relationships/hyperlink" Target="https://www.drm.org/drm-annual-general-assembly-successes-and-new-announcements/" TargetMode="External"/><Relationship Id="rId28" Type="http://schemas.openxmlformats.org/officeDocument/2006/relationships/hyperlink" Target="http://www.radioalive.com.au/Surveys/" TargetMode="External"/><Relationship Id="rId10" Type="http://schemas.openxmlformats.org/officeDocument/2006/relationships/hyperlink" Target="https://www.abs.gov.au/ausstats/abs%40.nsf/mf/8146.0" TargetMode="External"/><Relationship Id="rId19" Type="http://schemas.openxmlformats.org/officeDocument/2006/relationships/hyperlink" Target="http://www.digitalradioplus.com.au/dab-in-vehicles" TargetMode="External"/><Relationship Id="rId4" Type="http://schemas.openxmlformats.org/officeDocument/2006/relationships/hyperlink" Target="https://www.legislation.gov.au/Details/F2017C01145" TargetMode="External"/><Relationship Id="rId9" Type="http://schemas.openxmlformats.org/officeDocument/2006/relationships/hyperlink" Target="https://www.cbaa.org.au/sites/default/files/media/McNair%20Ingenuity%20Research%20-%20National%20Listener%20Survey%20-%20Main%20Report%20-%20Jan%202017%20-%20compressed.pdf" TargetMode="External"/><Relationship Id="rId14" Type="http://schemas.openxmlformats.org/officeDocument/2006/relationships/hyperlink" Target="http://www.commercialradio.com.au/content/mediareleases/2019/2019-10-18-australian-radio-partners-with-google" TargetMode="External"/><Relationship Id="rId22" Type="http://schemas.openxmlformats.org/officeDocument/2006/relationships/hyperlink" Target="https://www.drm.org/drm-india-page" TargetMode="External"/><Relationship Id="rId27" Type="http://schemas.openxmlformats.org/officeDocument/2006/relationships/hyperlink" Target="http://www.commercialradio.com.au/content/mediareleases/2019/2019-01-21-commercial-radio-audiences-at-all-tim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Book1"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pieChart>
        <c:varyColors val="1"/>
        <c:ser>
          <c:idx val="0"/>
          <c:order val="0"/>
          <c:tx>
            <c:strRef>
              <c:f>'Commuity interest at 1 Aug 2019'!$C$4</c:f>
              <c:strCache>
                <c:ptCount val="1"/>
                <c:pt idx="0">
                  <c:v>Long term community broadcasters by community interest</c:v>
                </c:pt>
              </c:strCache>
            </c:strRef>
          </c:tx>
          <c:dPt>
            <c:idx val="0"/>
            <c:bubble3D val="0"/>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c:spPr>
            <c:extLst>
              <c:ext xmlns:c16="http://schemas.microsoft.com/office/drawing/2014/chart" uri="{C3380CC4-5D6E-409C-BE32-E72D297353CC}">
                <c16:uniqueId val="{00000001-F72A-4565-BA93-64BA4D5E1018}"/>
              </c:ext>
            </c:extLst>
          </c:dPt>
          <c:dPt>
            <c:idx val="1"/>
            <c:bubble3D val="0"/>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c:spPr>
            <c:extLst>
              <c:ext xmlns:c16="http://schemas.microsoft.com/office/drawing/2014/chart" uri="{C3380CC4-5D6E-409C-BE32-E72D297353CC}">
                <c16:uniqueId val="{00000003-F72A-4565-BA93-64BA4D5E1018}"/>
              </c:ext>
            </c:extLst>
          </c:dPt>
          <c:dPt>
            <c:idx val="2"/>
            <c:bubble3D val="0"/>
            <c:spPr>
              <a:gradFill rotWithShape="1">
                <a:gsLst>
                  <a:gs pos="0">
                    <a:schemeClr val="accent3">
                      <a:satMod val="103000"/>
                      <a:lumMod val="102000"/>
                      <a:tint val="94000"/>
                    </a:schemeClr>
                  </a:gs>
                  <a:gs pos="50000">
                    <a:schemeClr val="accent3">
                      <a:satMod val="110000"/>
                      <a:lumMod val="100000"/>
                      <a:shade val="100000"/>
                    </a:schemeClr>
                  </a:gs>
                  <a:gs pos="100000">
                    <a:schemeClr val="accent3">
                      <a:lumMod val="99000"/>
                      <a:satMod val="120000"/>
                      <a:shade val="78000"/>
                    </a:schemeClr>
                  </a:gs>
                </a:gsLst>
                <a:lin ang="5400000" scaled="0"/>
              </a:gradFill>
              <a:ln>
                <a:noFill/>
              </a:ln>
              <a:effectLst/>
            </c:spPr>
            <c:extLst>
              <c:ext xmlns:c16="http://schemas.microsoft.com/office/drawing/2014/chart" uri="{C3380CC4-5D6E-409C-BE32-E72D297353CC}">
                <c16:uniqueId val="{00000005-F72A-4565-BA93-64BA4D5E1018}"/>
              </c:ext>
            </c:extLst>
          </c:dPt>
          <c:dPt>
            <c:idx val="3"/>
            <c:bubble3D val="0"/>
            <c:spPr>
              <a:gradFill rotWithShape="1">
                <a:gsLst>
                  <a:gs pos="0">
                    <a:schemeClr val="accent4">
                      <a:satMod val="103000"/>
                      <a:lumMod val="102000"/>
                      <a:tint val="94000"/>
                    </a:schemeClr>
                  </a:gs>
                  <a:gs pos="50000">
                    <a:schemeClr val="accent4">
                      <a:satMod val="110000"/>
                      <a:lumMod val="100000"/>
                      <a:shade val="100000"/>
                    </a:schemeClr>
                  </a:gs>
                  <a:gs pos="100000">
                    <a:schemeClr val="accent4">
                      <a:lumMod val="99000"/>
                      <a:satMod val="120000"/>
                      <a:shade val="78000"/>
                    </a:schemeClr>
                  </a:gs>
                </a:gsLst>
                <a:lin ang="5400000" scaled="0"/>
              </a:gradFill>
              <a:ln>
                <a:noFill/>
              </a:ln>
              <a:effectLst/>
            </c:spPr>
            <c:extLst>
              <c:ext xmlns:c16="http://schemas.microsoft.com/office/drawing/2014/chart" uri="{C3380CC4-5D6E-409C-BE32-E72D297353CC}">
                <c16:uniqueId val="{00000007-F72A-4565-BA93-64BA4D5E1018}"/>
              </c:ext>
            </c:extLst>
          </c:dPt>
          <c:dPt>
            <c:idx val="4"/>
            <c:bubble3D val="0"/>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c:spPr>
            <c:extLst>
              <c:ext xmlns:c16="http://schemas.microsoft.com/office/drawing/2014/chart" uri="{C3380CC4-5D6E-409C-BE32-E72D297353CC}">
                <c16:uniqueId val="{00000009-F72A-4565-BA93-64BA4D5E1018}"/>
              </c:ext>
            </c:extLst>
          </c:dPt>
          <c:dPt>
            <c:idx val="5"/>
            <c:bubble3D val="0"/>
            <c:spPr>
              <a:gradFill rotWithShape="1">
                <a:gsLst>
                  <a:gs pos="0">
                    <a:schemeClr val="accent6">
                      <a:satMod val="103000"/>
                      <a:lumMod val="102000"/>
                      <a:tint val="94000"/>
                    </a:schemeClr>
                  </a:gs>
                  <a:gs pos="50000">
                    <a:schemeClr val="accent6">
                      <a:satMod val="110000"/>
                      <a:lumMod val="100000"/>
                      <a:shade val="100000"/>
                    </a:schemeClr>
                  </a:gs>
                  <a:gs pos="100000">
                    <a:schemeClr val="accent6">
                      <a:lumMod val="99000"/>
                      <a:satMod val="120000"/>
                      <a:shade val="78000"/>
                    </a:schemeClr>
                  </a:gs>
                </a:gsLst>
                <a:lin ang="5400000" scaled="0"/>
              </a:gradFill>
              <a:ln>
                <a:noFill/>
              </a:ln>
              <a:effectLst/>
            </c:spPr>
            <c:extLst>
              <c:ext xmlns:c16="http://schemas.microsoft.com/office/drawing/2014/chart" uri="{C3380CC4-5D6E-409C-BE32-E72D297353CC}">
                <c16:uniqueId val="{0000000B-F72A-4565-BA93-64BA4D5E1018}"/>
              </c:ext>
            </c:extLst>
          </c:dPt>
          <c:dPt>
            <c:idx val="6"/>
            <c:bubble3D val="0"/>
            <c:spPr>
              <a:gradFill rotWithShape="1">
                <a:gsLst>
                  <a:gs pos="0">
                    <a:schemeClr val="accent1">
                      <a:lumMod val="60000"/>
                      <a:satMod val="103000"/>
                      <a:lumMod val="102000"/>
                      <a:tint val="94000"/>
                    </a:schemeClr>
                  </a:gs>
                  <a:gs pos="50000">
                    <a:schemeClr val="accent1">
                      <a:lumMod val="60000"/>
                      <a:satMod val="110000"/>
                      <a:lumMod val="100000"/>
                      <a:shade val="100000"/>
                    </a:schemeClr>
                  </a:gs>
                  <a:gs pos="100000">
                    <a:schemeClr val="accent1">
                      <a:lumMod val="60000"/>
                      <a:lumMod val="99000"/>
                      <a:satMod val="120000"/>
                      <a:shade val="78000"/>
                    </a:schemeClr>
                  </a:gs>
                </a:gsLst>
                <a:lin ang="5400000" scaled="0"/>
              </a:gradFill>
              <a:ln>
                <a:noFill/>
              </a:ln>
              <a:effectLst/>
            </c:spPr>
            <c:extLst>
              <c:ext xmlns:c16="http://schemas.microsoft.com/office/drawing/2014/chart" uri="{C3380CC4-5D6E-409C-BE32-E72D297353CC}">
                <c16:uniqueId val="{0000000D-F72A-4565-BA93-64BA4D5E1018}"/>
              </c:ext>
            </c:extLst>
          </c:dPt>
          <c:dPt>
            <c:idx val="7"/>
            <c:bubble3D val="0"/>
            <c:spPr>
              <a:gradFill rotWithShape="1">
                <a:gsLst>
                  <a:gs pos="0">
                    <a:schemeClr val="accent2">
                      <a:lumMod val="60000"/>
                      <a:satMod val="103000"/>
                      <a:lumMod val="102000"/>
                      <a:tint val="94000"/>
                    </a:schemeClr>
                  </a:gs>
                  <a:gs pos="50000">
                    <a:schemeClr val="accent2">
                      <a:lumMod val="60000"/>
                      <a:satMod val="110000"/>
                      <a:lumMod val="100000"/>
                      <a:shade val="100000"/>
                    </a:schemeClr>
                  </a:gs>
                  <a:gs pos="100000">
                    <a:schemeClr val="accent2">
                      <a:lumMod val="60000"/>
                      <a:lumMod val="99000"/>
                      <a:satMod val="120000"/>
                      <a:shade val="78000"/>
                    </a:schemeClr>
                  </a:gs>
                </a:gsLst>
                <a:lin ang="5400000" scaled="0"/>
              </a:gradFill>
              <a:ln>
                <a:noFill/>
              </a:ln>
              <a:effectLst/>
            </c:spPr>
            <c:extLst>
              <c:ext xmlns:c16="http://schemas.microsoft.com/office/drawing/2014/chart" uri="{C3380CC4-5D6E-409C-BE32-E72D297353CC}">
                <c16:uniqueId val="{0000000F-F72A-4565-BA93-64BA4D5E1018}"/>
              </c:ext>
            </c:extLst>
          </c:dPt>
          <c:dPt>
            <c:idx val="8"/>
            <c:bubble3D val="0"/>
            <c:spPr>
              <a:gradFill rotWithShape="1">
                <a:gsLst>
                  <a:gs pos="0">
                    <a:schemeClr val="accent3">
                      <a:lumMod val="60000"/>
                      <a:satMod val="103000"/>
                      <a:lumMod val="102000"/>
                      <a:tint val="94000"/>
                    </a:schemeClr>
                  </a:gs>
                  <a:gs pos="50000">
                    <a:schemeClr val="accent3">
                      <a:lumMod val="60000"/>
                      <a:satMod val="110000"/>
                      <a:lumMod val="100000"/>
                      <a:shade val="100000"/>
                    </a:schemeClr>
                  </a:gs>
                  <a:gs pos="100000">
                    <a:schemeClr val="accent3">
                      <a:lumMod val="60000"/>
                      <a:lumMod val="99000"/>
                      <a:satMod val="120000"/>
                      <a:shade val="78000"/>
                    </a:schemeClr>
                  </a:gs>
                </a:gsLst>
                <a:lin ang="5400000" scaled="0"/>
              </a:gradFill>
              <a:ln>
                <a:noFill/>
              </a:ln>
              <a:effectLst/>
            </c:spPr>
            <c:extLst>
              <c:ext xmlns:c16="http://schemas.microsoft.com/office/drawing/2014/chart" uri="{C3380CC4-5D6E-409C-BE32-E72D297353CC}">
                <c16:uniqueId val="{00000011-F72A-4565-BA93-64BA4D5E1018}"/>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en-US"/>
              </a:p>
            </c:txPr>
            <c:showLegendKey val="0"/>
            <c:showVal val="0"/>
            <c:showCatName val="0"/>
            <c:showSerName val="0"/>
            <c:showPercent val="1"/>
            <c:showBubbleSize val="0"/>
            <c:showLeaderLines val="1"/>
            <c:leaderLines>
              <c:spPr>
                <a:ln w="9525">
                  <a:solidFill>
                    <a:schemeClr val="tx2">
                      <a:lumMod val="35000"/>
                      <a:lumOff val="65000"/>
                    </a:schemeClr>
                  </a:solidFill>
                </a:ln>
                <a:effectLst/>
              </c:spPr>
            </c:leaderLines>
            <c:extLst>
              <c:ext xmlns:c15="http://schemas.microsoft.com/office/drawing/2012/chart" uri="{CE6537A1-D6FC-4f65-9D91-7224C49458BB}"/>
            </c:extLst>
          </c:dLbls>
          <c:cat>
            <c:strRef>
              <c:f>'Commuity interest at 1 Aug 2019'!$B$5:$B$13</c:f>
              <c:strCache>
                <c:ptCount val="9"/>
                <c:pt idx="0">
                  <c:v>General geographic</c:v>
                </c:pt>
                <c:pt idx="1">
                  <c:v>Indigenous / Torres Strait Islanders</c:v>
                </c:pt>
                <c:pt idx="2">
                  <c:v>Religious - various</c:v>
                </c:pt>
                <c:pt idx="3">
                  <c:v>Reading services</c:v>
                </c:pt>
                <c:pt idx="4">
                  <c:v>Seniors</c:v>
                </c:pt>
                <c:pt idx="5">
                  <c:v>Youth</c:v>
                </c:pt>
                <c:pt idx="6">
                  <c:v>Ethnic</c:v>
                </c:pt>
                <c:pt idx="7">
                  <c:v>Speciality music - various</c:v>
                </c:pt>
                <c:pt idx="8">
                  <c:v>Other</c:v>
                </c:pt>
              </c:strCache>
            </c:strRef>
          </c:cat>
          <c:val>
            <c:numRef>
              <c:f>'Commuity interest at 1 Aug 2019'!$C$5:$C$13</c:f>
              <c:numCache>
                <c:formatCode>General</c:formatCode>
                <c:ptCount val="9"/>
                <c:pt idx="0">
                  <c:v>180</c:v>
                </c:pt>
                <c:pt idx="1">
                  <c:v>91</c:v>
                </c:pt>
                <c:pt idx="2">
                  <c:v>35</c:v>
                </c:pt>
                <c:pt idx="3">
                  <c:v>11</c:v>
                </c:pt>
                <c:pt idx="4">
                  <c:v>6</c:v>
                </c:pt>
                <c:pt idx="5">
                  <c:v>8</c:v>
                </c:pt>
                <c:pt idx="6">
                  <c:v>6</c:v>
                </c:pt>
                <c:pt idx="7">
                  <c:v>11</c:v>
                </c:pt>
                <c:pt idx="8">
                  <c:v>9</c:v>
                </c:pt>
              </c:numCache>
            </c:numRef>
          </c:val>
          <c:extLst>
            <c:ext xmlns:c16="http://schemas.microsoft.com/office/drawing/2014/chart" uri="{C3380CC4-5D6E-409C-BE32-E72D297353CC}">
              <c16:uniqueId val="{00000012-F72A-4565-BA93-64BA4D5E1018}"/>
            </c:ext>
          </c:extLst>
        </c:ser>
        <c:dLbls>
          <c:showLegendKey val="0"/>
          <c:showVal val="0"/>
          <c:showCatName val="0"/>
          <c:showSerName val="0"/>
          <c:showPercent val="1"/>
          <c:showBubbleSize val="0"/>
          <c:showLeaderLines val="1"/>
        </c:dLbls>
        <c:firstSliceAng val="0"/>
      </c:pieChart>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ysClr val="window" lastClr="FFFFFF">
          <a:lumMod val="85000"/>
        </a:sys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5">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D5F365-77A8-48EC-8029-0F1A39C805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55</Pages>
  <Words>18376</Words>
  <Characters>104745</Characters>
  <Application>Microsoft Office Word</Application>
  <DocSecurity>0</DocSecurity>
  <Lines>872</Lines>
  <Paragraphs>245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122876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2020-03-24T04:52:00Z</dcterms:created>
  <dcterms:modified xsi:type="dcterms:W3CDTF">2020-03-24T04:53:00Z</dcterms:modified>
  <cp:category/>
</cp:coreProperties>
</file>