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9DF3C8" w14:textId="2ED0D07A" w:rsidR="00A57D19" w:rsidRDefault="0056135A" w:rsidP="00FA0800">
      <w:pPr>
        <w:pStyle w:val="Reporttitle"/>
      </w:pPr>
      <w:bookmarkStart w:id="0" w:name="_GoBack"/>
      <w:bookmarkEnd w:id="0"/>
      <w:r>
        <w:t>Customer financial hardship in the telco industry</w:t>
      </w:r>
      <w:r w:rsidR="0064088A">
        <w:t xml:space="preserve"> </w:t>
      </w:r>
    </w:p>
    <w:p w14:paraId="3B6EB51B" w14:textId="5BF3682E" w:rsidR="00F06E14" w:rsidRPr="00BD194C" w:rsidRDefault="0064088A">
      <w:pPr>
        <w:pStyle w:val="Reportsubtitle"/>
      </w:pPr>
      <w:r w:rsidRPr="00FA0800">
        <w:t xml:space="preserve">State of </w:t>
      </w:r>
      <w:r w:rsidR="00EE35F2" w:rsidRPr="00FA0800">
        <w:t>p</w:t>
      </w:r>
      <w:r w:rsidRPr="00FA0800">
        <w:t xml:space="preserve">lay </w:t>
      </w:r>
      <w:r w:rsidR="002B6E3C" w:rsidRPr="00FA0800">
        <w:t xml:space="preserve">report </w:t>
      </w:r>
      <w:r w:rsidR="004065C8" w:rsidRPr="00FA0800">
        <w:t>2018–19</w:t>
      </w:r>
    </w:p>
    <w:p w14:paraId="3C89D098" w14:textId="77777777" w:rsidR="00C97736" w:rsidRDefault="0064088A" w:rsidP="00EC2B68">
      <w:pPr>
        <w:pStyle w:val="Reportdate"/>
        <w:spacing w:after="720"/>
      </w:pPr>
      <w:r>
        <w:t>march</w:t>
      </w:r>
      <w:r w:rsidR="004065C8">
        <w:t xml:space="preserve"> </w:t>
      </w:r>
      <w:r w:rsidR="00BD4421">
        <w:t>20</w:t>
      </w:r>
      <w:r>
        <w:t>20</w:t>
      </w:r>
    </w:p>
    <w:p w14:paraId="02BA09C0" w14:textId="77777777" w:rsidR="00827E9C" w:rsidRDefault="00827E9C" w:rsidP="00EC2B68">
      <w:pPr>
        <w:pStyle w:val="Reportdate"/>
        <w:spacing w:after="720"/>
      </w:pPr>
    </w:p>
    <w:p w14:paraId="613BD257" w14:textId="77777777" w:rsidR="0005011A" w:rsidRPr="00F44F3A" w:rsidRDefault="0005011A" w:rsidP="00D834D4">
      <w:pPr>
        <w:pStyle w:val="ACMACorporateAddressHeader"/>
        <w:keepNext/>
        <w:keepLines/>
      </w:pPr>
      <w:r w:rsidRPr="00F44F3A">
        <w:lastRenderedPageBreak/>
        <w:t>Canberra</w:t>
      </w:r>
    </w:p>
    <w:p w14:paraId="4F0136BC" w14:textId="77777777" w:rsidR="0005011A" w:rsidRPr="00FC07B9" w:rsidRDefault="0005011A" w:rsidP="00D834D4">
      <w:pPr>
        <w:pStyle w:val="ACMACorporateAddresses"/>
        <w:keepNext/>
        <w:keepLines/>
      </w:pPr>
      <w:r w:rsidRPr="00FC07B9">
        <w:t xml:space="preserve">Red Building </w:t>
      </w:r>
      <w:r w:rsidRPr="00FC07B9">
        <w:br/>
        <w:t>Benjamin Offices</w:t>
      </w:r>
      <w:r w:rsidRPr="00FC07B9">
        <w:br/>
        <w:t xml:space="preserve">Chan Street </w:t>
      </w:r>
      <w:r w:rsidRPr="00FC07B9">
        <w:br/>
        <w:t>Belconnen ACT</w:t>
      </w:r>
    </w:p>
    <w:p w14:paraId="7C9DB00C" w14:textId="77777777" w:rsidR="0005011A" w:rsidRPr="00FC07B9" w:rsidRDefault="0005011A" w:rsidP="00D834D4">
      <w:pPr>
        <w:pStyle w:val="ACMACorporateAddresses"/>
        <w:keepNext/>
        <w:keepLines/>
      </w:pPr>
      <w:r w:rsidRPr="00FC07B9">
        <w:t>PO Box 78</w:t>
      </w:r>
      <w:r w:rsidRPr="00FC07B9">
        <w:br/>
        <w:t>Belconnen ACT 2616</w:t>
      </w:r>
    </w:p>
    <w:p w14:paraId="4877AFD3" w14:textId="77777777" w:rsidR="00FE1823" w:rsidRPr="00FC07B9" w:rsidRDefault="0005011A" w:rsidP="00D834D4">
      <w:pPr>
        <w:pStyle w:val="ACMACorporateAddresses"/>
        <w:keepNext/>
        <w:keepLines/>
      </w:pPr>
      <w:r w:rsidRPr="00FC07B9">
        <w:t>T</w:t>
      </w:r>
      <w:r w:rsidR="00537604" w:rsidRPr="00FC07B9">
        <w:tab/>
      </w:r>
      <w:r w:rsidRPr="00FC07B9">
        <w:t>+61 2 6219 5555</w:t>
      </w:r>
      <w:r w:rsidRPr="00FC07B9">
        <w:br/>
        <w:t>F</w:t>
      </w:r>
      <w:r w:rsidR="00537604" w:rsidRPr="00FC07B9">
        <w:tab/>
      </w:r>
      <w:r w:rsidRPr="00FC07B9">
        <w:t>+61 2 6219 5353</w:t>
      </w:r>
    </w:p>
    <w:p w14:paraId="32A1080C" w14:textId="77777777" w:rsidR="0005011A" w:rsidRPr="00F44F3A" w:rsidRDefault="0005011A" w:rsidP="00D834D4">
      <w:pPr>
        <w:pStyle w:val="ACMACorporateAddressHeader"/>
        <w:keepNext/>
        <w:keepLines/>
      </w:pPr>
      <w:r w:rsidRPr="00F44F3A">
        <w:t>Melbourne</w:t>
      </w:r>
    </w:p>
    <w:p w14:paraId="66BE7864" w14:textId="77777777" w:rsidR="0005011A" w:rsidRPr="00F44F3A" w:rsidRDefault="0005011A" w:rsidP="00D834D4">
      <w:pPr>
        <w:pStyle w:val="ACMACorporateAddresses"/>
        <w:keepNext/>
        <w:keepLin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41D91D6" w14:textId="77777777" w:rsidR="0005011A" w:rsidRPr="00F44F3A" w:rsidRDefault="0005011A" w:rsidP="00D834D4">
      <w:pPr>
        <w:pStyle w:val="ACMACorporateAddresses"/>
        <w:keepNext/>
        <w:keepLines/>
      </w:pPr>
      <w:r w:rsidRPr="00F44F3A">
        <w:t>PO Box 13112</w:t>
      </w:r>
      <w:r w:rsidRPr="00F44F3A">
        <w:br/>
        <w:t xml:space="preserve">Law Courts </w:t>
      </w:r>
      <w:r w:rsidRPr="00F44F3A">
        <w:br/>
        <w:t>Melbourne VIC 8010</w:t>
      </w:r>
    </w:p>
    <w:p w14:paraId="6D707BBB" w14:textId="77777777" w:rsidR="0005011A" w:rsidRPr="00F44F3A" w:rsidRDefault="0005011A" w:rsidP="00D834D4">
      <w:pPr>
        <w:pStyle w:val="ACMACorporateAddresses"/>
        <w:keepNext/>
        <w:keepLines/>
      </w:pPr>
      <w:r w:rsidRPr="00F44F3A">
        <w:t>T</w:t>
      </w:r>
      <w:r w:rsidR="00140318" w:rsidRPr="00F44F3A">
        <w:tab/>
      </w:r>
      <w:r w:rsidRPr="00F44F3A">
        <w:t>+61 3 9963 6800</w:t>
      </w:r>
      <w:r w:rsidRPr="00F44F3A">
        <w:br/>
        <w:t>F</w:t>
      </w:r>
      <w:r w:rsidR="00140318" w:rsidRPr="00F44F3A">
        <w:tab/>
      </w:r>
      <w:r w:rsidRPr="00F44F3A">
        <w:t>+61 3 9963 6899</w:t>
      </w:r>
    </w:p>
    <w:p w14:paraId="0F47AF98" w14:textId="77777777" w:rsidR="0005011A" w:rsidRPr="00F44F3A" w:rsidRDefault="0005011A" w:rsidP="00D834D4">
      <w:pPr>
        <w:pStyle w:val="ACMACorporateAddressHeader"/>
        <w:keepNext/>
        <w:keepLines/>
      </w:pPr>
      <w:r w:rsidRPr="00F44F3A">
        <w:t>Sydney</w:t>
      </w:r>
    </w:p>
    <w:p w14:paraId="4C281B08" w14:textId="77777777" w:rsidR="0005011A" w:rsidRPr="00F44F3A" w:rsidRDefault="0005011A" w:rsidP="00D834D4">
      <w:pPr>
        <w:pStyle w:val="ACMACorporateAddresses"/>
        <w:keepNext/>
        <w:keepLines/>
      </w:pPr>
      <w:r w:rsidRPr="00F44F3A">
        <w:t xml:space="preserve">Level 5 </w:t>
      </w:r>
      <w:r w:rsidRPr="00F44F3A">
        <w:br/>
        <w:t>The Bay Centre</w:t>
      </w:r>
      <w:r w:rsidRPr="00F44F3A">
        <w:br/>
        <w:t xml:space="preserve">65 Pirrama Road </w:t>
      </w:r>
      <w:r w:rsidRPr="00F44F3A">
        <w:br/>
        <w:t>Pyrmont NSW</w:t>
      </w:r>
    </w:p>
    <w:p w14:paraId="39A1E051" w14:textId="77777777" w:rsidR="0005011A" w:rsidRPr="00F44F3A" w:rsidRDefault="0005011A" w:rsidP="00D834D4">
      <w:pPr>
        <w:pStyle w:val="ACMACorporateAddresses"/>
        <w:keepNext/>
        <w:keepLines/>
      </w:pPr>
      <w:r w:rsidRPr="00F44F3A">
        <w:t>PO Box Q500</w:t>
      </w:r>
      <w:r w:rsidRPr="00F44F3A">
        <w:br/>
        <w:t xml:space="preserve">Queen Victoria Building </w:t>
      </w:r>
      <w:r w:rsidRPr="00F44F3A">
        <w:br/>
        <w:t>NSW 1230</w:t>
      </w:r>
    </w:p>
    <w:p w14:paraId="1227582C" w14:textId="77777777" w:rsidR="0005011A" w:rsidRPr="00F44F3A" w:rsidRDefault="0005011A" w:rsidP="00D834D4">
      <w:pPr>
        <w:pStyle w:val="ACMACorporateAddresses"/>
        <w:keepNext/>
        <w:keepLin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A6E542C" w14:textId="77777777" w:rsidR="00140318" w:rsidRPr="006D46E5" w:rsidRDefault="00140318" w:rsidP="00D834D4">
      <w:pPr>
        <w:pStyle w:val="ACMACopyrightHeader"/>
        <w:keepNext/>
        <w:keepLines/>
      </w:pPr>
      <w:r w:rsidRPr="00140318">
        <w:t>Copyright notice</w:t>
      </w:r>
    </w:p>
    <w:p w14:paraId="459FDAB3" w14:textId="77777777" w:rsidR="00140318" w:rsidRPr="006D46E5" w:rsidRDefault="00623FF9" w:rsidP="00D834D4">
      <w:pPr>
        <w:pStyle w:val="ACMACClogo"/>
        <w:keepNext/>
        <w:keepLines/>
      </w:pPr>
      <w:r w:rsidRPr="00623FF9">
        <w:rPr>
          <w:noProof/>
        </w:rPr>
        <w:drawing>
          <wp:inline distT="0" distB="0" distL="0" distR="0" wp14:anchorId="15EB01F1" wp14:editId="73B644F4">
            <wp:extent cx="838200" cy="295275"/>
            <wp:effectExtent l="0" t="0" r="0" b="0"/>
            <wp:docPr id="1" name="Picture 1" title="Creative Commons logo">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8"/>
                    </pic:cNvPr>
                    <pic:cNvPicPr>
                      <a:picLocks noChangeAspect="1" noChangeArrowheads="1"/>
                    </pic:cNvPicPr>
                  </pic:nvPicPr>
                  <pic:blipFill>
                    <a:blip r:embed="rId9" cstate="print"/>
                    <a:srcRect/>
                    <a:stretch>
                      <a:fillRect/>
                    </a:stretch>
                  </pic:blipFill>
                  <pic:spPr bwMode="auto">
                    <a:xfrm>
                      <a:off x="0" y="0"/>
                      <a:ext cx="838200" cy="295275"/>
                    </a:xfrm>
                    <a:prstGeom prst="rect">
                      <a:avLst/>
                    </a:prstGeom>
                    <a:noFill/>
                  </pic:spPr>
                </pic:pic>
              </a:graphicData>
            </a:graphic>
          </wp:inline>
        </w:drawing>
      </w:r>
    </w:p>
    <w:p w14:paraId="2095E024" w14:textId="77777777" w:rsidR="00AA2DE5" w:rsidRDefault="003B273C" w:rsidP="00D834D4">
      <w:pPr>
        <w:pStyle w:val="ACMACorporateAddresses"/>
        <w:keepNext/>
        <w:keepLines/>
        <w:rPr>
          <w:rStyle w:val="Hyperlink"/>
        </w:rPr>
      </w:pPr>
      <w:hyperlink r:id="rId10" w:history="1">
        <w:r w:rsidR="00AA2DE5">
          <w:rPr>
            <w:rStyle w:val="Hyperlink"/>
          </w:rPr>
          <w:t>https://creativecommons.org/licenses/by/4.0/</w:t>
        </w:r>
      </w:hyperlink>
    </w:p>
    <w:p w14:paraId="30C49A1F" w14:textId="77777777" w:rsidR="00AA2DE5" w:rsidRDefault="00AA2DE5" w:rsidP="00D834D4">
      <w:pPr>
        <w:pStyle w:val="ACMACorporateAddresses"/>
        <w:keepNext/>
        <w:keepLin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1597753" w14:textId="55B8635A" w:rsidR="00AA2DE5" w:rsidRDefault="00AA2DE5" w:rsidP="00D834D4">
      <w:pPr>
        <w:pStyle w:val="ACMACorporateAddresses"/>
        <w:keepNext/>
        <w:keepLines/>
      </w:pPr>
      <w:r>
        <w:t>We request attribution as © Commonwealth of Australia (Australian Communications and Media Authority) 20</w:t>
      </w:r>
      <w:r w:rsidR="0064088A">
        <w:t>20</w:t>
      </w:r>
      <w:r>
        <w:t>.</w:t>
      </w:r>
    </w:p>
    <w:p w14:paraId="60435962" w14:textId="77777777" w:rsidR="00AA2DE5" w:rsidRDefault="00AA2DE5" w:rsidP="00D834D4">
      <w:pPr>
        <w:pStyle w:val="ACMACorporateAddresses"/>
        <w:keepNext/>
        <w:keepLines/>
      </w:pPr>
      <w:r>
        <w:t>All other rights are reserved.</w:t>
      </w:r>
    </w:p>
    <w:p w14:paraId="12C8E138" w14:textId="77777777" w:rsidR="00AA2DE5" w:rsidRDefault="00AA2DE5" w:rsidP="00D834D4">
      <w:pPr>
        <w:pStyle w:val="ACMACorporateAddresses"/>
        <w:keepNext/>
        <w:keepLin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F74CD67" w14:textId="77777777" w:rsidR="00AA2DE5" w:rsidRDefault="00AA2DE5" w:rsidP="00D834D4">
      <w:pPr>
        <w:pStyle w:val="ACMACorporateAddresses"/>
        <w:keepNext/>
        <w:keepLines/>
      </w:pPr>
      <w:r>
        <w:t>Written enquiries may be sent to:</w:t>
      </w:r>
    </w:p>
    <w:p w14:paraId="7EF8BAC3" w14:textId="77777777" w:rsidR="00AA2DE5" w:rsidRDefault="00AA2DE5" w:rsidP="00D834D4">
      <w:pPr>
        <w:pStyle w:val="ACMACorporateAddresses"/>
        <w:keepNext/>
        <w:keepLines/>
        <w:rPr>
          <w:rStyle w:val="Hyperlink"/>
        </w:rPr>
      </w:pPr>
      <w:r>
        <w:t xml:space="preserve">Manager, Editorial </w:t>
      </w:r>
      <w:r w:rsidR="000245E5">
        <w:t>Services</w:t>
      </w:r>
      <w:r>
        <w:br/>
        <w:t>PO Box 13112</w:t>
      </w:r>
      <w:r>
        <w:br/>
        <w:t>Law Courts</w:t>
      </w:r>
      <w:r>
        <w:br/>
        <w:t>Melbourne VIC 8010</w:t>
      </w:r>
      <w:r>
        <w:br/>
        <w:t xml:space="preserve">Email: </w:t>
      </w:r>
      <w:hyperlink r:id="rId11" w:history="1">
        <w:r>
          <w:rPr>
            <w:rStyle w:val="Hyperlink"/>
          </w:rPr>
          <w:t>info@acma.gov.au</w:t>
        </w:r>
      </w:hyperlink>
    </w:p>
    <w:p w14:paraId="2721BC95" w14:textId="77777777" w:rsidR="00D16FE3" w:rsidRDefault="00D16FE3" w:rsidP="00D16FE3">
      <w:pPr>
        <w:pStyle w:val="ACMACorporateAddresses"/>
        <w:rPr>
          <w:rStyle w:val="Hyperlink"/>
        </w:rPr>
      </w:pPr>
    </w:p>
    <w:p w14:paraId="544C6FC7" w14:textId="77777777" w:rsidR="00D16FE3" w:rsidRPr="00D16FE3" w:rsidRDefault="00D16FE3" w:rsidP="00D16FE3">
      <w:pPr>
        <w:pStyle w:val="ACMACorporateAddresses"/>
        <w:sectPr w:rsidR="00D16FE3" w:rsidRPr="00D16FE3">
          <w:headerReference w:type="even" r:id="rId12"/>
          <w:headerReference w:type="default" r:id="rId13"/>
          <w:footerReference w:type="even" r:id="rId14"/>
          <w:footerReference w:type="default" r:id="rId15"/>
          <w:pgSz w:w="11906" w:h="16838" w:code="9"/>
          <w:pgMar w:top="3924" w:right="1797" w:bottom="697" w:left="1134" w:header="709" w:footer="119" w:gutter="0"/>
          <w:cols w:space="708"/>
          <w:docGrid w:linePitch="360"/>
        </w:sectPr>
      </w:pPr>
    </w:p>
    <w:p w14:paraId="6BD8543D" w14:textId="15E7CD74" w:rsidR="006E6ECC" w:rsidRDefault="00992B27">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\t "Exec summary heading,1" </w:instrText>
      </w:r>
      <w:r>
        <w:rPr>
          <w:rFonts w:cs="Arial"/>
        </w:rPr>
        <w:fldChar w:fldCharType="separate"/>
      </w:r>
      <w:r w:rsidR="006E6ECC">
        <w:t>Snapshot</w:t>
      </w:r>
      <w:r w:rsidR="006E6ECC">
        <w:tab/>
      </w:r>
      <w:r w:rsidR="006E6ECC">
        <w:fldChar w:fldCharType="begin"/>
      </w:r>
      <w:r w:rsidR="006E6ECC">
        <w:instrText xml:space="preserve"> PAGEREF _Toc36466899 \h </w:instrText>
      </w:r>
      <w:r w:rsidR="006E6ECC">
        <w:fldChar w:fldCharType="separate"/>
      </w:r>
      <w:r w:rsidR="00D448B0">
        <w:t>1</w:t>
      </w:r>
      <w:r w:rsidR="006E6ECC">
        <w:fldChar w:fldCharType="end"/>
      </w:r>
    </w:p>
    <w:p w14:paraId="65248BE3" w14:textId="36550061" w:rsidR="006E6ECC" w:rsidRDefault="006E6ECC">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_Toc36466900 \h </w:instrText>
      </w:r>
      <w:r>
        <w:fldChar w:fldCharType="separate"/>
      </w:r>
      <w:r w:rsidR="00D448B0">
        <w:t>2</w:t>
      </w:r>
      <w:r>
        <w:fldChar w:fldCharType="end"/>
      </w:r>
    </w:p>
    <w:p w14:paraId="46177AAD" w14:textId="6D5254DE" w:rsidR="006E6ECC" w:rsidRDefault="006E6ECC">
      <w:pPr>
        <w:pStyle w:val="TOC2"/>
        <w:rPr>
          <w:rFonts w:asciiTheme="minorHAnsi" w:eastAsiaTheme="minorEastAsia" w:hAnsiTheme="minorHAnsi" w:cstheme="minorBidi"/>
          <w:spacing w:val="0"/>
          <w:sz w:val="22"/>
          <w:szCs w:val="22"/>
        </w:rPr>
      </w:pPr>
      <w:r>
        <w:t>Financial hardship and telco assistance</w:t>
      </w:r>
      <w:r>
        <w:tab/>
      </w:r>
      <w:r>
        <w:fldChar w:fldCharType="begin"/>
      </w:r>
      <w:r>
        <w:instrText xml:space="preserve"> PAGEREF _Toc36466901 \h </w:instrText>
      </w:r>
      <w:r>
        <w:fldChar w:fldCharType="separate"/>
      </w:r>
      <w:r w:rsidR="00D448B0">
        <w:t>2</w:t>
      </w:r>
      <w:r>
        <w:fldChar w:fldCharType="end"/>
      </w:r>
    </w:p>
    <w:p w14:paraId="0DCA1851" w14:textId="21353688" w:rsidR="006E6ECC" w:rsidRDefault="006E6ECC">
      <w:pPr>
        <w:pStyle w:val="TOC1"/>
        <w:rPr>
          <w:rFonts w:asciiTheme="minorHAnsi" w:eastAsiaTheme="minorEastAsia" w:hAnsiTheme="minorHAnsi" w:cstheme="minorBidi"/>
          <w:b w:val="0"/>
          <w:spacing w:val="0"/>
          <w:sz w:val="22"/>
          <w:szCs w:val="22"/>
        </w:rPr>
      </w:pPr>
      <w:r>
        <w:t>Key findings</w:t>
      </w:r>
      <w:r>
        <w:tab/>
      </w:r>
      <w:r>
        <w:fldChar w:fldCharType="begin"/>
      </w:r>
      <w:r>
        <w:instrText xml:space="preserve"> PAGEREF _Toc36466902 \h </w:instrText>
      </w:r>
      <w:r>
        <w:fldChar w:fldCharType="separate"/>
      </w:r>
      <w:r w:rsidR="00D448B0">
        <w:t>5</w:t>
      </w:r>
      <w:r>
        <w:fldChar w:fldCharType="end"/>
      </w:r>
    </w:p>
    <w:p w14:paraId="1D138A42" w14:textId="094B462D" w:rsidR="006E6ECC" w:rsidRDefault="006E6ECC">
      <w:pPr>
        <w:pStyle w:val="TOC2"/>
        <w:rPr>
          <w:rFonts w:asciiTheme="minorHAnsi" w:eastAsiaTheme="minorEastAsia" w:hAnsiTheme="minorHAnsi" w:cstheme="minorBidi"/>
          <w:spacing w:val="0"/>
          <w:sz w:val="22"/>
          <w:szCs w:val="22"/>
        </w:rPr>
      </w:pPr>
      <w:r>
        <w:t>Customers experiencing financial hardship</w:t>
      </w:r>
      <w:r>
        <w:tab/>
      </w:r>
      <w:r>
        <w:fldChar w:fldCharType="begin"/>
      </w:r>
      <w:r>
        <w:instrText xml:space="preserve"> PAGEREF _Toc36466903 \h </w:instrText>
      </w:r>
      <w:r>
        <w:fldChar w:fldCharType="separate"/>
      </w:r>
      <w:r w:rsidR="00D448B0">
        <w:t>5</w:t>
      </w:r>
      <w:r>
        <w:fldChar w:fldCharType="end"/>
      </w:r>
    </w:p>
    <w:p w14:paraId="11ABCD9C" w14:textId="6D854AEA" w:rsidR="006E6ECC" w:rsidRDefault="006E6ECC">
      <w:pPr>
        <w:pStyle w:val="TOC2"/>
        <w:rPr>
          <w:rFonts w:asciiTheme="minorHAnsi" w:eastAsiaTheme="minorEastAsia" w:hAnsiTheme="minorHAnsi" w:cstheme="minorBidi"/>
          <w:spacing w:val="0"/>
          <w:sz w:val="22"/>
          <w:szCs w:val="22"/>
        </w:rPr>
      </w:pPr>
      <w:r>
        <w:t>Financial hardship debt</w:t>
      </w:r>
      <w:r>
        <w:tab/>
      </w:r>
      <w:r>
        <w:fldChar w:fldCharType="begin"/>
      </w:r>
      <w:r>
        <w:instrText xml:space="preserve"> PAGEREF _Toc36466904 \h </w:instrText>
      </w:r>
      <w:r>
        <w:fldChar w:fldCharType="separate"/>
      </w:r>
      <w:r w:rsidR="00D448B0">
        <w:t>6</w:t>
      </w:r>
      <w:r>
        <w:fldChar w:fldCharType="end"/>
      </w:r>
    </w:p>
    <w:p w14:paraId="06FBA607" w14:textId="3962D00D" w:rsidR="006E6ECC" w:rsidRDefault="006E6ECC">
      <w:pPr>
        <w:pStyle w:val="TOC2"/>
        <w:rPr>
          <w:rFonts w:asciiTheme="minorHAnsi" w:eastAsiaTheme="minorEastAsia" w:hAnsiTheme="minorHAnsi" w:cstheme="minorBidi"/>
          <w:spacing w:val="0"/>
          <w:sz w:val="22"/>
          <w:szCs w:val="22"/>
        </w:rPr>
      </w:pPr>
      <w:r>
        <w:t>Financial hardship payment plans</w:t>
      </w:r>
      <w:r>
        <w:tab/>
      </w:r>
      <w:r>
        <w:fldChar w:fldCharType="begin"/>
      </w:r>
      <w:r>
        <w:instrText xml:space="preserve"> PAGEREF _Toc36466905 \h </w:instrText>
      </w:r>
      <w:r>
        <w:fldChar w:fldCharType="separate"/>
      </w:r>
      <w:r w:rsidR="00D448B0">
        <w:t>7</w:t>
      </w:r>
      <w:r>
        <w:fldChar w:fldCharType="end"/>
      </w:r>
    </w:p>
    <w:p w14:paraId="7F1D1189" w14:textId="541AF00B" w:rsidR="006E6ECC" w:rsidRDefault="006E6ECC">
      <w:pPr>
        <w:pStyle w:val="TOC2"/>
        <w:rPr>
          <w:rFonts w:asciiTheme="minorHAnsi" w:eastAsiaTheme="minorEastAsia" w:hAnsiTheme="minorHAnsi" w:cstheme="minorBidi"/>
          <w:spacing w:val="0"/>
          <w:sz w:val="22"/>
          <w:szCs w:val="22"/>
        </w:rPr>
      </w:pPr>
      <w:r>
        <w:t>Financial hardship arrangements</w:t>
      </w:r>
      <w:r>
        <w:tab/>
      </w:r>
      <w:r>
        <w:fldChar w:fldCharType="begin"/>
      </w:r>
      <w:r>
        <w:instrText xml:space="preserve"> PAGEREF _Toc36466906 \h </w:instrText>
      </w:r>
      <w:r>
        <w:fldChar w:fldCharType="separate"/>
      </w:r>
      <w:r w:rsidR="00D448B0">
        <w:t>8</w:t>
      </w:r>
      <w:r>
        <w:fldChar w:fldCharType="end"/>
      </w:r>
    </w:p>
    <w:p w14:paraId="1936C16A" w14:textId="14CC3D75" w:rsidR="006E6ECC" w:rsidRDefault="006E6ECC">
      <w:pPr>
        <w:pStyle w:val="TOC2"/>
        <w:rPr>
          <w:rFonts w:asciiTheme="minorHAnsi" w:eastAsiaTheme="minorEastAsia" w:hAnsiTheme="minorHAnsi" w:cstheme="minorBidi"/>
          <w:spacing w:val="0"/>
          <w:sz w:val="22"/>
          <w:szCs w:val="22"/>
        </w:rPr>
      </w:pPr>
      <w:r>
        <w:t>Financial hardship disconnections</w:t>
      </w:r>
      <w:r>
        <w:tab/>
      </w:r>
      <w:r>
        <w:fldChar w:fldCharType="begin"/>
      </w:r>
      <w:r>
        <w:instrText xml:space="preserve"> PAGEREF _Toc36466907 \h </w:instrText>
      </w:r>
      <w:r>
        <w:fldChar w:fldCharType="separate"/>
      </w:r>
      <w:r w:rsidR="00D448B0">
        <w:t>9</w:t>
      </w:r>
      <w:r>
        <w:fldChar w:fldCharType="end"/>
      </w:r>
    </w:p>
    <w:p w14:paraId="64A6B0BC" w14:textId="13CD51EB" w:rsidR="006E6ECC" w:rsidRDefault="006E6ECC">
      <w:pPr>
        <w:pStyle w:val="TOC1"/>
        <w:rPr>
          <w:rFonts w:asciiTheme="minorHAnsi" w:eastAsiaTheme="minorEastAsia" w:hAnsiTheme="minorHAnsi" w:cstheme="minorBidi"/>
          <w:b w:val="0"/>
          <w:spacing w:val="0"/>
          <w:sz w:val="22"/>
          <w:szCs w:val="22"/>
        </w:rPr>
      </w:pPr>
      <w:r w:rsidRPr="00B25E24">
        <w:rPr>
          <w:rFonts w:eastAsiaTheme="majorEastAsia"/>
        </w:rPr>
        <w:t>Detailed information</w:t>
      </w:r>
      <w:r>
        <w:tab/>
      </w:r>
      <w:r>
        <w:fldChar w:fldCharType="begin"/>
      </w:r>
      <w:r>
        <w:instrText xml:space="preserve"> PAGEREF _Toc36466908 \h </w:instrText>
      </w:r>
      <w:r>
        <w:fldChar w:fldCharType="separate"/>
      </w:r>
      <w:r w:rsidR="00D448B0">
        <w:t>10</w:t>
      </w:r>
      <w:r>
        <w:fldChar w:fldCharType="end"/>
      </w:r>
    </w:p>
    <w:p w14:paraId="69D70319" w14:textId="27DA36F0" w:rsidR="006E6ECC" w:rsidRDefault="006E6ECC">
      <w:pPr>
        <w:pStyle w:val="TOC2"/>
        <w:rPr>
          <w:rFonts w:asciiTheme="minorHAnsi" w:eastAsiaTheme="minorEastAsia" w:hAnsiTheme="minorHAnsi" w:cstheme="minorBidi"/>
          <w:spacing w:val="0"/>
          <w:sz w:val="22"/>
          <w:szCs w:val="22"/>
        </w:rPr>
      </w:pPr>
      <w:r w:rsidRPr="00B25E24">
        <w:rPr>
          <w:rFonts w:eastAsiaTheme="majorEastAsia"/>
        </w:rPr>
        <w:t>Customers experiencing financial hardship</w:t>
      </w:r>
      <w:r>
        <w:tab/>
      </w:r>
      <w:r>
        <w:fldChar w:fldCharType="begin"/>
      </w:r>
      <w:r>
        <w:instrText xml:space="preserve"> PAGEREF _Toc36466909 \h </w:instrText>
      </w:r>
      <w:r>
        <w:fldChar w:fldCharType="separate"/>
      </w:r>
      <w:r w:rsidR="00D448B0">
        <w:t>10</w:t>
      </w:r>
      <w:r>
        <w:fldChar w:fldCharType="end"/>
      </w:r>
    </w:p>
    <w:p w14:paraId="789EB803" w14:textId="66225252" w:rsidR="006E6ECC" w:rsidRDefault="006E6ECC">
      <w:pPr>
        <w:pStyle w:val="TOC2"/>
        <w:rPr>
          <w:rFonts w:asciiTheme="minorHAnsi" w:eastAsiaTheme="minorEastAsia" w:hAnsiTheme="minorHAnsi" w:cstheme="minorBidi"/>
          <w:spacing w:val="0"/>
          <w:sz w:val="22"/>
          <w:szCs w:val="22"/>
        </w:rPr>
      </w:pPr>
      <w:r w:rsidRPr="00B25E24">
        <w:rPr>
          <w:rFonts w:eastAsiaTheme="majorEastAsia"/>
        </w:rPr>
        <w:t>Financial hardship debt</w:t>
      </w:r>
      <w:r>
        <w:tab/>
      </w:r>
      <w:r>
        <w:fldChar w:fldCharType="begin"/>
      </w:r>
      <w:r>
        <w:instrText xml:space="preserve"> PAGEREF _Toc36466910 \h </w:instrText>
      </w:r>
      <w:r>
        <w:fldChar w:fldCharType="separate"/>
      </w:r>
      <w:r w:rsidR="00D448B0">
        <w:t>12</w:t>
      </w:r>
      <w:r>
        <w:fldChar w:fldCharType="end"/>
      </w:r>
    </w:p>
    <w:p w14:paraId="7C063470" w14:textId="66C96A91" w:rsidR="006E6ECC" w:rsidRDefault="006E6ECC">
      <w:pPr>
        <w:pStyle w:val="TOC2"/>
        <w:rPr>
          <w:rFonts w:asciiTheme="minorHAnsi" w:eastAsiaTheme="minorEastAsia" w:hAnsiTheme="minorHAnsi" w:cstheme="minorBidi"/>
          <w:spacing w:val="0"/>
          <w:sz w:val="22"/>
          <w:szCs w:val="22"/>
        </w:rPr>
      </w:pPr>
      <w:r w:rsidRPr="00B25E24">
        <w:rPr>
          <w:rFonts w:eastAsiaTheme="majorEastAsia"/>
        </w:rPr>
        <w:t>Financial hardship payment plans</w:t>
      </w:r>
      <w:r>
        <w:tab/>
      </w:r>
      <w:r>
        <w:fldChar w:fldCharType="begin"/>
      </w:r>
      <w:r>
        <w:instrText xml:space="preserve"> PAGEREF _Toc36466911 \h </w:instrText>
      </w:r>
      <w:r>
        <w:fldChar w:fldCharType="separate"/>
      </w:r>
      <w:r w:rsidR="00D448B0">
        <w:t>15</w:t>
      </w:r>
      <w:r>
        <w:fldChar w:fldCharType="end"/>
      </w:r>
    </w:p>
    <w:p w14:paraId="15169584" w14:textId="1B559AD8" w:rsidR="006E6ECC" w:rsidRDefault="006E6ECC">
      <w:pPr>
        <w:pStyle w:val="TOC2"/>
        <w:rPr>
          <w:rFonts w:asciiTheme="minorHAnsi" w:eastAsiaTheme="minorEastAsia" w:hAnsiTheme="minorHAnsi" w:cstheme="minorBidi"/>
          <w:spacing w:val="0"/>
          <w:sz w:val="22"/>
          <w:szCs w:val="22"/>
        </w:rPr>
      </w:pPr>
      <w:r w:rsidRPr="00B25E24">
        <w:rPr>
          <w:rFonts w:eastAsiaTheme="majorEastAsia"/>
        </w:rPr>
        <w:t>Exiting financial hardship arrangements</w:t>
      </w:r>
      <w:r>
        <w:tab/>
      </w:r>
      <w:r>
        <w:fldChar w:fldCharType="begin"/>
      </w:r>
      <w:r>
        <w:instrText xml:space="preserve"> PAGEREF _Toc36466912 \h </w:instrText>
      </w:r>
      <w:r>
        <w:fldChar w:fldCharType="separate"/>
      </w:r>
      <w:r w:rsidR="00D448B0">
        <w:t>17</w:t>
      </w:r>
      <w:r>
        <w:fldChar w:fldCharType="end"/>
      </w:r>
    </w:p>
    <w:p w14:paraId="1E72A0ED" w14:textId="3CDE0B7B" w:rsidR="006E6ECC" w:rsidRDefault="006E6ECC">
      <w:pPr>
        <w:pStyle w:val="TOC2"/>
        <w:rPr>
          <w:rFonts w:asciiTheme="minorHAnsi" w:eastAsiaTheme="minorEastAsia" w:hAnsiTheme="minorHAnsi" w:cstheme="minorBidi"/>
          <w:spacing w:val="0"/>
          <w:sz w:val="22"/>
          <w:szCs w:val="22"/>
        </w:rPr>
      </w:pPr>
      <w:r w:rsidRPr="00B25E24">
        <w:rPr>
          <w:rFonts w:eastAsiaTheme="majorEastAsia"/>
        </w:rPr>
        <w:t>Financial hardship disconnections</w:t>
      </w:r>
      <w:r>
        <w:tab/>
      </w:r>
      <w:r>
        <w:fldChar w:fldCharType="begin"/>
      </w:r>
      <w:r>
        <w:instrText xml:space="preserve"> PAGEREF _Toc36466913 \h </w:instrText>
      </w:r>
      <w:r>
        <w:fldChar w:fldCharType="separate"/>
      </w:r>
      <w:r w:rsidR="00D448B0">
        <w:t>19</w:t>
      </w:r>
      <w:r>
        <w:fldChar w:fldCharType="end"/>
      </w:r>
    </w:p>
    <w:p w14:paraId="2E9471E0" w14:textId="04B2933D" w:rsidR="006E6ECC" w:rsidRDefault="006E6ECC">
      <w:pPr>
        <w:pStyle w:val="TOC1"/>
        <w:rPr>
          <w:rFonts w:asciiTheme="minorHAnsi" w:eastAsiaTheme="minorEastAsia" w:hAnsiTheme="minorHAnsi" w:cstheme="minorBidi"/>
          <w:b w:val="0"/>
          <w:spacing w:val="0"/>
          <w:sz w:val="22"/>
          <w:szCs w:val="22"/>
        </w:rPr>
      </w:pPr>
      <w:r w:rsidRPr="00B25E24">
        <w:rPr>
          <w:rFonts w:eastAsiaTheme="majorEastAsia"/>
        </w:rPr>
        <w:t>Notes</w:t>
      </w:r>
      <w:r>
        <w:tab/>
      </w:r>
      <w:r>
        <w:fldChar w:fldCharType="begin"/>
      </w:r>
      <w:r>
        <w:instrText xml:space="preserve"> PAGEREF _Toc36466914 \h </w:instrText>
      </w:r>
      <w:r>
        <w:fldChar w:fldCharType="separate"/>
      </w:r>
      <w:r w:rsidR="00D448B0">
        <w:t>21</w:t>
      </w:r>
      <w:r>
        <w:fldChar w:fldCharType="end"/>
      </w:r>
    </w:p>
    <w:p w14:paraId="12495BF8" w14:textId="23A552AC" w:rsidR="004D56FF" w:rsidRPr="000D76E0" w:rsidRDefault="00992B27">
      <w:pPr>
        <w:rPr>
          <w:rFonts w:cs="Arial"/>
        </w:rPr>
        <w:sectPr w:rsidR="004D56FF" w:rsidRPr="000D76E0" w:rsidSect="00C77380">
          <w:headerReference w:type="even" r:id="rId16"/>
          <w:headerReference w:type="default" r:id="rId17"/>
          <w:footerReference w:type="even" r:id="rId18"/>
          <w:footerReference w:type="default" r:id="rId19"/>
          <w:headerReference w:type="first" r:id="rId20"/>
          <w:footerReference w:type="first" r:id="rId21"/>
          <w:pgSz w:w="11906" w:h="16838" w:code="9"/>
          <w:pgMar w:top="3646" w:right="3101" w:bottom="1134" w:left="1134" w:header="709" w:footer="119" w:gutter="0"/>
          <w:cols w:space="708"/>
          <w:titlePg/>
          <w:docGrid w:linePitch="360"/>
        </w:sectPr>
      </w:pPr>
      <w:r>
        <w:rPr>
          <w:rFonts w:cs="Arial"/>
        </w:rPr>
        <w:fldChar w:fldCharType="end"/>
      </w:r>
    </w:p>
    <w:p w14:paraId="6C3CB865" w14:textId="37902851" w:rsidR="0079223B" w:rsidRDefault="000E16D2" w:rsidP="00E92F09">
      <w:pPr>
        <w:pStyle w:val="Heading1"/>
        <w:spacing w:after="240"/>
      </w:pPr>
      <w:bookmarkStart w:id="1" w:name="_Toc36466899"/>
      <w:bookmarkStart w:id="2" w:name="_Hlk22552803"/>
      <w:r>
        <w:lastRenderedPageBreak/>
        <w:t>S</w:t>
      </w:r>
      <w:r w:rsidR="00CD0402">
        <w:t>napshot</w:t>
      </w:r>
      <w:bookmarkEnd w:id="1"/>
    </w:p>
    <w:p w14:paraId="69A9A67F" w14:textId="77777777" w:rsidR="00CB0369" w:rsidRDefault="00D834D4" w:rsidP="00CB0369">
      <w:pPr>
        <w:spacing w:after="0" w:line="240" w:lineRule="auto"/>
      </w:pPr>
      <w:r>
        <w:rPr>
          <w:noProof/>
        </w:rPr>
        <w:drawing>
          <wp:inline distT="0" distB="0" distL="0" distR="0" wp14:anchorId="473DA0A8" wp14:editId="168BA327">
            <wp:extent cx="5711671" cy="8077200"/>
            <wp:effectExtent l="0" t="0" r="3810" b="0"/>
            <wp:docPr id="8" name="Picture 8" descr="This is a pictorial illustration of the data in this report. All data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CMA_FinancialHardshipinfographic_6th draft.jpg"/>
                    <pic:cNvPicPr/>
                  </pic:nvPicPr>
                  <pic:blipFill>
                    <a:blip r:embed="rId22"/>
                    <a:stretch>
                      <a:fillRect/>
                    </a:stretch>
                  </pic:blipFill>
                  <pic:spPr>
                    <a:xfrm>
                      <a:off x="0" y="0"/>
                      <a:ext cx="5711671" cy="8077200"/>
                    </a:xfrm>
                    <a:prstGeom prst="rect">
                      <a:avLst/>
                    </a:prstGeom>
                  </pic:spPr>
                </pic:pic>
              </a:graphicData>
            </a:graphic>
          </wp:inline>
        </w:drawing>
      </w:r>
    </w:p>
    <w:p w14:paraId="432781E3" w14:textId="77777777" w:rsidR="00CB0369" w:rsidRDefault="00CB0369" w:rsidP="00CB0369">
      <w:pPr>
        <w:spacing w:after="0" w:line="240" w:lineRule="auto"/>
      </w:pPr>
    </w:p>
    <w:p w14:paraId="65CF1F8B" w14:textId="2C653ED0" w:rsidR="00317458" w:rsidRDefault="00317458" w:rsidP="00CB0369">
      <w:pPr>
        <w:pStyle w:val="Heading1"/>
      </w:pPr>
      <w:bookmarkStart w:id="3" w:name="_Toc36466900"/>
      <w:r>
        <w:lastRenderedPageBreak/>
        <w:t>Introduction</w:t>
      </w:r>
      <w:bookmarkEnd w:id="3"/>
    </w:p>
    <w:p w14:paraId="59D5ED5C" w14:textId="327BCD2E" w:rsidR="009E74F2" w:rsidRPr="00BD194C" w:rsidRDefault="004F6A2B" w:rsidP="00BD194C">
      <w:pPr>
        <w:pStyle w:val="Paragraph"/>
      </w:pPr>
      <w:r w:rsidRPr="00BD194C">
        <w:t>Tel</w:t>
      </w:r>
      <w:r w:rsidR="00516C98" w:rsidRPr="00BD194C">
        <w:t>co</w:t>
      </w:r>
      <w:r w:rsidRPr="00BD194C">
        <w:t xml:space="preserve"> products and services are </w:t>
      </w:r>
      <w:r w:rsidR="00D30C17" w:rsidRPr="00BD194C">
        <w:t xml:space="preserve">essential </w:t>
      </w:r>
      <w:r w:rsidRPr="00BD194C">
        <w:t>to the needs of Australians</w:t>
      </w:r>
      <w:r w:rsidR="00473C73" w:rsidRPr="00BD194C">
        <w:t xml:space="preserve"> who </w:t>
      </w:r>
      <w:r w:rsidRPr="00BD194C">
        <w:t xml:space="preserve">rely on </w:t>
      </w:r>
      <w:r w:rsidR="00594F2E" w:rsidRPr="00BD194C">
        <w:t>the</w:t>
      </w:r>
      <w:r w:rsidR="00473C73" w:rsidRPr="00BD194C">
        <w:t>m</w:t>
      </w:r>
      <w:r w:rsidR="00594F2E" w:rsidRPr="00BD194C">
        <w:t xml:space="preserve"> to stay connected</w:t>
      </w:r>
      <w:r w:rsidR="00D30C17" w:rsidRPr="00BD194C">
        <w:t>,</w:t>
      </w:r>
      <w:r w:rsidR="00594F2E" w:rsidRPr="00BD194C">
        <w:t xml:space="preserve"> </w:t>
      </w:r>
      <w:r w:rsidR="00D30C17" w:rsidRPr="00BD194C">
        <w:t xml:space="preserve">communicate </w:t>
      </w:r>
      <w:r w:rsidR="00594F2E" w:rsidRPr="00BD194C">
        <w:t>and do business.</w:t>
      </w:r>
      <w:r w:rsidR="009E74F2" w:rsidRPr="00BD194C">
        <w:t xml:space="preserve"> </w:t>
      </w:r>
    </w:p>
    <w:p w14:paraId="2B5B0010" w14:textId="4F30ACF7" w:rsidR="009E74F2" w:rsidRPr="00BD194C" w:rsidRDefault="00FC3594" w:rsidP="00BD194C">
      <w:pPr>
        <w:pStyle w:val="Paragraph"/>
      </w:pPr>
      <w:r w:rsidRPr="00BD194C">
        <w:t>However, m</w:t>
      </w:r>
      <w:r w:rsidR="00594F2E" w:rsidRPr="00BD194C">
        <w:t xml:space="preserve">any </w:t>
      </w:r>
      <w:r w:rsidR="003D3894" w:rsidRPr="00BD194C">
        <w:t xml:space="preserve">telco </w:t>
      </w:r>
      <w:r w:rsidR="00594F2E" w:rsidRPr="00BD194C">
        <w:t>customers</w:t>
      </w:r>
      <w:r w:rsidR="003D3894" w:rsidRPr="00BD194C">
        <w:t>,</w:t>
      </w:r>
      <w:r w:rsidR="00594F2E" w:rsidRPr="00BD194C">
        <w:t xml:space="preserve"> at one time or another</w:t>
      </w:r>
      <w:r w:rsidR="003D3894" w:rsidRPr="00BD194C">
        <w:t>,</w:t>
      </w:r>
      <w:r w:rsidR="00594F2E" w:rsidRPr="00BD194C">
        <w:t xml:space="preserve"> </w:t>
      </w:r>
      <w:r w:rsidR="00C86FCA" w:rsidRPr="00BD194C">
        <w:t xml:space="preserve">may </w:t>
      </w:r>
      <w:r w:rsidR="00594F2E" w:rsidRPr="00BD194C">
        <w:t xml:space="preserve">experience financial hardship and need assistance from their telco </w:t>
      </w:r>
      <w:r w:rsidR="00D26332">
        <w:t xml:space="preserve">with arrangements </w:t>
      </w:r>
      <w:r w:rsidR="00594F2E" w:rsidRPr="00BD194C">
        <w:t xml:space="preserve">to </w:t>
      </w:r>
      <w:r w:rsidR="003D3894" w:rsidRPr="00BD194C">
        <w:t xml:space="preserve">help </w:t>
      </w:r>
      <w:r w:rsidR="00F174EE">
        <w:t>them</w:t>
      </w:r>
      <w:r w:rsidR="00D26332">
        <w:t xml:space="preserve"> </w:t>
      </w:r>
      <w:r w:rsidR="00594F2E" w:rsidRPr="00BD194C">
        <w:t xml:space="preserve">pay their </w:t>
      </w:r>
      <w:r w:rsidR="003D3894" w:rsidRPr="00BD194C">
        <w:t xml:space="preserve">overdue </w:t>
      </w:r>
      <w:r w:rsidR="00594F2E" w:rsidRPr="00BD194C">
        <w:t>bill</w:t>
      </w:r>
      <w:r w:rsidR="003D3894" w:rsidRPr="00BD194C">
        <w:t>s</w:t>
      </w:r>
      <w:r w:rsidR="00594F2E" w:rsidRPr="00BD194C">
        <w:t>.</w:t>
      </w:r>
      <w:r w:rsidR="002679E6" w:rsidRPr="00BD194C">
        <w:t xml:space="preserve"> </w:t>
      </w:r>
      <w:r w:rsidR="003D3894" w:rsidRPr="00BD194C">
        <w:t>For this reason</w:t>
      </w:r>
      <w:r w:rsidR="00A4426D" w:rsidRPr="00BD194C">
        <w:t>,</w:t>
      </w:r>
      <w:r w:rsidR="009E74F2" w:rsidRPr="00BD194C">
        <w:t xml:space="preserve"> it is important that telcos have financial hardship policies in place </w:t>
      </w:r>
      <w:r w:rsidR="00A23CED" w:rsidRPr="00BD194C">
        <w:t xml:space="preserve">that </w:t>
      </w:r>
      <w:r w:rsidR="009E74F2" w:rsidRPr="00BD194C">
        <w:t xml:space="preserve">assist customers </w:t>
      </w:r>
      <w:r w:rsidR="00881041" w:rsidRPr="00BD194C">
        <w:t xml:space="preserve">in need </w:t>
      </w:r>
      <w:r w:rsidR="005411DA">
        <w:t xml:space="preserve">to </w:t>
      </w:r>
      <w:r w:rsidR="009E74F2" w:rsidRPr="00BD194C">
        <w:t>meet their financial obligations and stay connected.</w:t>
      </w:r>
    </w:p>
    <w:p w14:paraId="07BECA95" w14:textId="3D7DD7F8" w:rsidR="008F0D3F" w:rsidRDefault="008F0D3F" w:rsidP="008F0D3F">
      <w:pPr>
        <w:pStyle w:val="Paragraph"/>
      </w:pPr>
      <w:r w:rsidRPr="00BD194C">
        <w:t xml:space="preserve">This state of play report provides </w:t>
      </w:r>
      <w:r w:rsidR="005411DA">
        <w:t xml:space="preserve">a </w:t>
      </w:r>
      <w:r w:rsidRPr="00BD194C">
        <w:t>snapshot of financial hardship indicators in the Australian telco industry</w:t>
      </w:r>
      <w:r w:rsidR="00D26332">
        <w:t>,</w:t>
      </w:r>
      <w:r w:rsidRPr="00BD194C">
        <w:t xml:space="preserve"> based on information obtained from the largest 11 telcos offering post-paid</w:t>
      </w:r>
      <w:r w:rsidRPr="00FA0800">
        <w:rPr>
          <w:rStyle w:val="FootnoteReference"/>
        </w:rPr>
        <w:footnoteReference w:id="2"/>
      </w:r>
      <w:r w:rsidRPr="00BD194C">
        <w:t xml:space="preserve"> services during </w:t>
      </w:r>
      <w:r>
        <w:t>2018–19</w:t>
      </w:r>
      <w:r w:rsidR="003D3270">
        <w:t>.</w:t>
      </w:r>
      <w:r w:rsidR="00FA40C1">
        <w:t xml:space="preserve"> Where applicable, we have also included </w:t>
      </w:r>
      <w:r w:rsidR="00F45CAA" w:rsidRPr="00F45CAA">
        <w:t xml:space="preserve">publicly reported financial hardship </w:t>
      </w:r>
      <w:r w:rsidR="00FA40C1">
        <w:t xml:space="preserve">indicators from the </w:t>
      </w:r>
      <w:r w:rsidR="00A5510C">
        <w:t>energy (</w:t>
      </w:r>
      <w:r w:rsidR="00FA40C1">
        <w:t>electricity and gas</w:t>
      </w:r>
      <w:r w:rsidR="00A5510C">
        <w:t>)</w:t>
      </w:r>
      <w:r w:rsidR="00FA40C1">
        <w:t xml:space="preserve"> industr</w:t>
      </w:r>
      <w:r w:rsidR="00A5510C">
        <w:t>y</w:t>
      </w:r>
      <w:r w:rsidR="00FA40C1">
        <w:t>.</w:t>
      </w:r>
    </w:p>
    <w:p w14:paraId="0549F2CB" w14:textId="46C42E36" w:rsidR="002A64AB" w:rsidRDefault="002A64AB" w:rsidP="00BD194C">
      <w:pPr>
        <w:pStyle w:val="Paragraph"/>
        <w:spacing w:after="80"/>
      </w:pPr>
      <w:r>
        <w:t xml:space="preserve">The </w:t>
      </w:r>
      <w:r w:rsidR="00556060">
        <w:t>telco</w:t>
      </w:r>
      <w:r>
        <w:t xml:space="preserve"> financial </w:t>
      </w:r>
      <w:r w:rsidR="001121D4">
        <w:t xml:space="preserve">hardship </w:t>
      </w:r>
      <w:r>
        <w:t xml:space="preserve">indicators we report on </w:t>
      </w:r>
      <w:r w:rsidRPr="00BD194C">
        <w:t>include</w:t>
      </w:r>
      <w:r>
        <w:t>:</w:t>
      </w:r>
    </w:p>
    <w:p w14:paraId="7160FFE2" w14:textId="2612BC10" w:rsidR="002A64AB" w:rsidRPr="00603DF7" w:rsidRDefault="002A64AB" w:rsidP="00BD194C">
      <w:pPr>
        <w:pStyle w:val="Bulletlevel1"/>
        <w:rPr>
          <w:rFonts w:eastAsiaTheme="majorEastAsia"/>
        </w:rPr>
      </w:pPr>
      <w:bookmarkStart w:id="4" w:name="_Hlk33625379"/>
      <w:r>
        <w:rPr>
          <w:rFonts w:eastAsiaTheme="majorEastAsia"/>
        </w:rPr>
        <w:t>n</w:t>
      </w:r>
      <w:r w:rsidRPr="00603DF7">
        <w:rPr>
          <w:rFonts w:eastAsiaTheme="majorEastAsia"/>
        </w:rPr>
        <w:t xml:space="preserve">umber of </w:t>
      </w:r>
      <w:r w:rsidR="001121D4">
        <w:rPr>
          <w:rFonts w:eastAsiaTheme="majorEastAsia"/>
        </w:rPr>
        <w:t xml:space="preserve">customers </w:t>
      </w:r>
      <w:r w:rsidR="00556060">
        <w:rPr>
          <w:rFonts w:eastAsiaTheme="majorEastAsia"/>
        </w:rPr>
        <w:t>experiencing</w:t>
      </w:r>
      <w:r w:rsidR="001121D4">
        <w:rPr>
          <w:rFonts w:eastAsiaTheme="majorEastAsia"/>
        </w:rPr>
        <w:t xml:space="preserve"> </w:t>
      </w:r>
      <w:r w:rsidRPr="00603DF7">
        <w:rPr>
          <w:rFonts w:eastAsiaTheme="majorEastAsia"/>
        </w:rPr>
        <w:t>financial hardship</w:t>
      </w:r>
    </w:p>
    <w:p w14:paraId="422C92B3" w14:textId="523E6DEF" w:rsidR="002A64AB" w:rsidRPr="00603DF7" w:rsidRDefault="001121D4" w:rsidP="00BD194C">
      <w:pPr>
        <w:pStyle w:val="Bulletlevel1"/>
        <w:rPr>
          <w:rFonts w:eastAsiaTheme="majorEastAsia"/>
        </w:rPr>
      </w:pPr>
      <w:r>
        <w:rPr>
          <w:rFonts w:eastAsiaTheme="majorEastAsia"/>
        </w:rPr>
        <w:t>levels of f</w:t>
      </w:r>
      <w:r w:rsidR="002A64AB" w:rsidRPr="00603DF7">
        <w:rPr>
          <w:rFonts w:eastAsiaTheme="majorEastAsia"/>
        </w:rPr>
        <w:t>inancial hardship debt</w:t>
      </w:r>
    </w:p>
    <w:p w14:paraId="400C4DC7" w14:textId="6B4318B2" w:rsidR="00556060" w:rsidRPr="00603DF7" w:rsidRDefault="00556060" w:rsidP="00BD194C">
      <w:pPr>
        <w:pStyle w:val="Bulletlevel1"/>
        <w:rPr>
          <w:rFonts w:eastAsiaTheme="majorEastAsia"/>
        </w:rPr>
      </w:pPr>
      <w:r>
        <w:rPr>
          <w:rFonts w:eastAsiaTheme="majorEastAsia"/>
        </w:rPr>
        <w:t>financial hardship payment plans</w:t>
      </w:r>
    </w:p>
    <w:p w14:paraId="74720559" w14:textId="12BF1BC9" w:rsidR="001121D4" w:rsidRDefault="00556060" w:rsidP="00BD194C">
      <w:pPr>
        <w:pStyle w:val="Bulletlevel1"/>
        <w:rPr>
          <w:rFonts w:eastAsiaTheme="majorEastAsia"/>
        </w:rPr>
      </w:pPr>
      <w:r>
        <w:rPr>
          <w:rFonts w:eastAsiaTheme="majorEastAsia"/>
        </w:rPr>
        <w:t>number</w:t>
      </w:r>
      <w:r w:rsidR="001121D4">
        <w:rPr>
          <w:rFonts w:eastAsiaTheme="majorEastAsia"/>
        </w:rPr>
        <w:t xml:space="preserve"> of </w:t>
      </w:r>
      <w:r>
        <w:rPr>
          <w:rFonts w:eastAsiaTheme="majorEastAsia"/>
        </w:rPr>
        <w:t xml:space="preserve">customers </w:t>
      </w:r>
      <w:r w:rsidR="002743DC">
        <w:rPr>
          <w:rFonts w:eastAsiaTheme="majorEastAsia"/>
        </w:rPr>
        <w:t xml:space="preserve">entering and </w:t>
      </w:r>
      <w:r>
        <w:rPr>
          <w:rFonts w:eastAsiaTheme="majorEastAsia"/>
        </w:rPr>
        <w:t xml:space="preserve">exiting </w:t>
      </w:r>
      <w:r w:rsidR="001121D4">
        <w:rPr>
          <w:rFonts w:eastAsiaTheme="majorEastAsia"/>
        </w:rPr>
        <w:t>financial hardship arrangements</w:t>
      </w:r>
    </w:p>
    <w:p w14:paraId="77C2DB59" w14:textId="1CBC55DA" w:rsidR="004E7BB1" w:rsidRDefault="004E7BB1" w:rsidP="00BD194C">
      <w:pPr>
        <w:pStyle w:val="Bulletlevel1last"/>
        <w:rPr>
          <w:rFonts w:eastAsiaTheme="majorEastAsia"/>
        </w:rPr>
      </w:pPr>
      <w:r>
        <w:rPr>
          <w:rFonts w:eastAsiaTheme="majorEastAsia"/>
        </w:rPr>
        <w:t>number of financial hardship disconnections</w:t>
      </w:r>
      <w:r w:rsidR="00556060">
        <w:rPr>
          <w:rFonts w:eastAsiaTheme="majorEastAsia"/>
        </w:rPr>
        <w:t>.</w:t>
      </w:r>
    </w:p>
    <w:bookmarkEnd w:id="4"/>
    <w:p w14:paraId="7ED4E028" w14:textId="209280ED" w:rsidR="00134816" w:rsidRDefault="00134816" w:rsidP="00FD667C">
      <w:pPr>
        <w:pStyle w:val="Paragraph"/>
        <w:spacing w:before="240"/>
      </w:pPr>
      <w:r>
        <w:t>C</w:t>
      </w:r>
      <w:r w:rsidRPr="001A2B70">
        <w:t xml:space="preserve">ompliance with the rules governing </w:t>
      </w:r>
      <w:r>
        <w:t xml:space="preserve">financial hardship in the </w:t>
      </w:r>
      <w:hyperlink r:id="rId23" w:history="1">
        <w:r w:rsidR="00FE5993" w:rsidRPr="00C126C3">
          <w:rPr>
            <w:rStyle w:val="Hyperlink"/>
          </w:rPr>
          <w:t>Telecommunications Consumer Protection</w:t>
        </w:r>
        <w:r w:rsidR="00C33F4D">
          <w:rPr>
            <w:rStyle w:val="Hyperlink"/>
          </w:rPr>
          <w:t>s</w:t>
        </w:r>
        <w:r w:rsidR="00FE5993" w:rsidRPr="00C126C3">
          <w:rPr>
            <w:rStyle w:val="Hyperlink"/>
          </w:rPr>
          <w:t xml:space="preserve"> Code</w:t>
        </w:r>
      </w:hyperlink>
      <w:r w:rsidR="00FE5993" w:rsidRPr="00FE5993">
        <w:t xml:space="preserve"> (</w:t>
      </w:r>
      <w:r>
        <w:t>TCP Code</w:t>
      </w:r>
      <w:r w:rsidR="00FE5993">
        <w:t>)</w:t>
      </w:r>
      <w:r w:rsidRPr="001A2B70">
        <w:t xml:space="preserve"> </w:t>
      </w:r>
      <w:r>
        <w:t xml:space="preserve">is </w:t>
      </w:r>
      <w:r w:rsidRPr="001A2B70">
        <w:t>one of the</w:t>
      </w:r>
      <w:r>
        <w:t xml:space="preserve"> </w:t>
      </w:r>
      <w:hyperlink r:id="rId24" w:history="1">
        <w:r w:rsidRPr="0099041F">
          <w:rPr>
            <w:rStyle w:val="Hyperlink"/>
          </w:rPr>
          <w:t>ACMA’s compliance priorities for 2019</w:t>
        </w:r>
        <w:r w:rsidR="004824F1">
          <w:rPr>
            <w:rStyle w:val="Hyperlink"/>
          </w:rPr>
          <w:t>–</w:t>
        </w:r>
        <w:r w:rsidRPr="0099041F">
          <w:rPr>
            <w:rStyle w:val="Hyperlink"/>
          </w:rPr>
          <w:t>20</w:t>
        </w:r>
      </w:hyperlink>
      <w:r>
        <w:rPr>
          <w:rStyle w:val="Hyperlink"/>
        </w:rPr>
        <w:t>.</w:t>
      </w:r>
    </w:p>
    <w:p w14:paraId="646667C1" w14:textId="05FCB3AB" w:rsidR="00594F2E" w:rsidRPr="00E63E24" w:rsidRDefault="008C566A" w:rsidP="00BD194C">
      <w:pPr>
        <w:pStyle w:val="Heading2"/>
      </w:pPr>
      <w:bookmarkStart w:id="5" w:name="_Toc36466901"/>
      <w:r>
        <w:t>F</w:t>
      </w:r>
      <w:r w:rsidR="0022058F" w:rsidRPr="00E63E24">
        <w:t>inancial hardship</w:t>
      </w:r>
      <w:r w:rsidR="006A4D47">
        <w:t xml:space="preserve"> and telco assistance</w:t>
      </w:r>
      <w:bookmarkEnd w:id="5"/>
    </w:p>
    <w:p w14:paraId="3E426133" w14:textId="3BBDDC13" w:rsidR="0022058F" w:rsidRDefault="0022058F" w:rsidP="00BD194C">
      <w:pPr>
        <w:pStyle w:val="Paragraph"/>
      </w:pPr>
      <w:r w:rsidRPr="001A2B70">
        <w:t xml:space="preserve">There are </w:t>
      </w:r>
      <w:r>
        <w:t xml:space="preserve">many </w:t>
      </w:r>
      <w:r w:rsidRPr="001A2B70">
        <w:t xml:space="preserve">reasons why </w:t>
      </w:r>
      <w:r>
        <w:t xml:space="preserve">a </w:t>
      </w:r>
      <w:r w:rsidR="008C566A">
        <w:t>customer</w:t>
      </w:r>
      <w:r w:rsidRPr="001A2B70">
        <w:t xml:space="preserve"> may experience </w:t>
      </w:r>
      <w:r>
        <w:t>financial hardship</w:t>
      </w:r>
      <w:r w:rsidRPr="001A2B70">
        <w:t xml:space="preserve">. </w:t>
      </w:r>
      <w:r w:rsidR="00AC5BD2">
        <w:t>It</w:t>
      </w:r>
      <w:r w:rsidR="00931174">
        <w:t xml:space="preserve"> could be </w:t>
      </w:r>
      <w:r w:rsidR="00FC3594">
        <w:t>temporary or longer term</w:t>
      </w:r>
      <w:r w:rsidR="00AC5BD2">
        <w:t>,</w:t>
      </w:r>
      <w:r w:rsidR="00FC3594">
        <w:t xml:space="preserve"> and </w:t>
      </w:r>
      <w:r w:rsidRPr="001A2B70">
        <w:t xml:space="preserve">result </w:t>
      </w:r>
      <w:r>
        <w:t>from</w:t>
      </w:r>
      <w:r w:rsidRPr="001A2B70">
        <w:t xml:space="preserve"> illness, </w:t>
      </w:r>
      <w:r w:rsidR="00931174">
        <w:t>job loss</w:t>
      </w:r>
      <w:r w:rsidRPr="001A2B70">
        <w:t xml:space="preserve">, as a direct result of </w:t>
      </w:r>
      <w:r>
        <w:t>domestic</w:t>
      </w:r>
      <w:r w:rsidRPr="001A2B70">
        <w:t xml:space="preserve"> </w:t>
      </w:r>
      <w:r>
        <w:t xml:space="preserve">or family </w:t>
      </w:r>
      <w:r w:rsidRPr="001A2B70">
        <w:t>violence</w:t>
      </w:r>
      <w:r w:rsidR="00D26332">
        <w:t>,</w:t>
      </w:r>
      <w:r w:rsidRPr="001A2B70">
        <w:t xml:space="preserve"> or </w:t>
      </w:r>
      <w:r>
        <w:t xml:space="preserve">due to </w:t>
      </w:r>
      <w:r w:rsidRPr="001A2B70">
        <w:t>a natural disaster</w:t>
      </w:r>
      <w:r w:rsidR="00317458">
        <w:t>.</w:t>
      </w:r>
      <w:r w:rsidR="00E63E24" w:rsidRPr="00E63E24">
        <w:t xml:space="preserve"> </w:t>
      </w:r>
      <w:r w:rsidR="006F0B5D">
        <w:t xml:space="preserve">A recent report by the Consumer Policy Research Centre on consumer vulnerability states that two in three Australians experience some </w:t>
      </w:r>
      <w:r w:rsidR="005B5191">
        <w:t xml:space="preserve">level </w:t>
      </w:r>
      <w:r w:rsidR="006F0B5D">
        <w:t>of financial stress.</w:t>
      </w:r>
      <w:r w:rsidR="005B5191">
        <w:rPr>
          <w:rStyle w:val="FootnoteReference"/>
        </w:rPr>
        <w:footnoteReference w:id="3"/>
      </w:r>
    </w:p>
    <w:p w14:paraId="6B13D3A9" w14:textId="7944E82B" w:rsidR="00603DF7" w:rsidRPr="007B02C7" w:rsidRDefault="00603DF7" w:rsidP="00BD194C">
      <w:pPr>
        <w:pStyle w:val="Paragraph"/>
      </w:pPr>
      <w:bookmarkStart w:id="6" w:name="_Hlk33626386"/>
      <w:r>
        <w:t>The</w:t>
      </w:r>
      <w:r w:rsidRPr="007B02C7">
        <w:t xml:space="preserve"> </w:t>
      </w:r>
      <w:r w:rsidR="00FE5993">
        <w:t>TCP Code</w:t>
      </w:r>
      <w:r>
        <w:t xml:space="preserve"> contains important rules that telcos must follow when communicating and dealing with customers. These include rules aim</w:t>
      </w:r>
      <w:r w:rsidR="00550E3A">
        <w:t>ed</w:t>
      </w:r>
      <w:r>
        <w:t xml:space="preserve"> at addressing financial hardship such as credit assessments at the point</w:t>
      </w:r>
      <w:r w:rsidR="00FB436E">
        <w:t>-</w:t>
      </w:r>
      <w:r>
        <w:t>of</w:t>
      </w:r>
      <w:r w:rsidR="00FB436E">
        <w:t>-</w:t>
      </w:r>
      <w:r>
        <w:t xml:space="preserve">sale and </w:t>
      </w:r>
      <w:r w:rsidR="00AC5BD2">
        <w:t>providing</w:t>
      </w:r>
      <w:r w:rsidR="008F0D3F">
        <w:t xml:space="preserve"> </w:t>
      </w:r>
      <w:r>
        <w:t>spend management tools. The TCP Code also require</w:t>
      </w:r>
      <w:r w:rsidR="00390B25">
        <w:t>s</w:t>
      </w:r>
      <w:r>
        <w:t xml:space="preserve"> telcos </w:t>
      </w:r>
      <w:r w:rsidR="00390B25">
        <w:t>to</w:t>
      </w:r>
      <w:r>
        <w:t xml:space="preserve"> have financial hardship polic</w:t>
      </w:r>
      <w:r w:rsidR="00273BB3">
        <w:t>i</w:t>
      </w:r>
      <w:r>
        <w:t xml:space="preserve">es that are easy to find and </w:t>
      </w:r>
      <w:r w:rsidR="00ED0F46">
        <w:t xml:space="preserve">aim </w:t>
      </w:r>
      <w:r>
        <w:t>to keep customers connected.</w:t>
      </w:r>
    </w:p>
    <w:bookmarkEnd w:id="6"/>
    <w:p w14:paraId="76340489" w14:textId="525B0F94" w:rsidR="00FB0C06" w:rsidRDefault="00943ECF" w:rsidP="00BD194C">
      <w:pPr>
        <w:pStyle w:val="Paragraph"/>
        <w:keepNext/>
        <w:keepLines/>
        <w:spacing w:after="80"/>
        <w:rPr>
          <w:rFonts w:eastAsiaTheme="majorEastAsia"/>
        </w:rPr>
      </w:pPr>
      <w:r>
        <w:rPr>
          <w:rFonts w:eastAsiaTheme="majorEastAsia"/>
        </w:rPr>
        <w:lastRenderedPageBreak/>
        <w:t>Under the TCP Code</w:t>
      </w:r>
      <w:r w:rsidR="004824F1">
        <w:rPr>
          <w:rFonts w:eastAsiaTheme="majorEastAsia"/>
        </w:rPr>
        <w:t>,</w:t>
      </w:r>
      <w:r>
        <w:rPr>
          <w:rFonts w:eastAsiaTheme="majorEastAsia"/>
        </w:rPr>
        <w:t xml:space="preserve"> t</w:t>
      </w:r>
      <w:r w:rsidR="0022058F" w:rsidRPr="0089270D">
        <w:rPr>
          <w:rFonts w:eastAsiaTheme="majorEastAsia"/>
        </w:rPr>
        <w:t xml:space="preserve">elcos </w:t>
      </w:r>
      <w:r>
        <w:rPr>
          <w:rFonts w:eastAsiaTheme="majorEastAsia"/>
        </w:rPr>
        <w:t xml:space="preserve">are required to offer at least three options to keep a </w:t>
      </w:r>
      <w:r w:rsidR="00D81031">
        <w:rPr>
          <w:rFonts w:eastAsiaTheme="majorEastAsia"/>
        </w:rPr>
        <w:t xml:space="preserve">financial hardship </w:t>
      </w:r>
      <w:r>
        <w:rPr>
          <w:rFonts w:eastAsiaTheme="majorEastAsia"/>
        </w:rPr>
        <w:t>customer connected</w:t>
      </w:r>
      <w:r w:rsidR="00FB0C06">
        <w:rPr>
          <w:rFonts w:eastAsiaTheme="majorEastAsia"/>
        </w:rPr>
        <w:t>. These options may vary between telcos and could include:</w:t>
      </w:r>
    </w:p>
    <w:p w14:paraId="213B3C62" w14:textId="4F8D9B38" w:rsidR="00FB0C06" w:rsidRDefault="00FB0C06" w:rsidP="00BD194C">
      <w:pPr>
        <w:pStyle w:val="Bulletlevel1"/>
        <w:keepNext/>
        <w:keepLines/>
        <w:rPr>
          <w:rFonts w:eastAsiaTheme="majorEastAsia"/>
        </w:rPr>
      </w:pPr>
      <w:r w:rsidRPr="00FB0C06">
        <w:rPr>
          <w:rFonts w:eastAsiaTheme="majorEastAsia"/>
        </w:rPr>
        <w:t>spend controls</w:t>
      </w:r>
    </w:p>
    <w:p w14:paraId="068886E5" w14:textId="4ADF1B48" w:rsidR="00FB0C06" w:rsidRDefault="00FB0C06" w:rsidP="00BD194C">
      <w:pPr>
        <w:pStyle w:val="Bulletlevel1"/>
        <w:keepNext/>
        <w:keepLines/>
        <w:rPr>
          <w:rFonts w:eastAsiaTheme="majorEastAsia"/>
        </w:rPr>
      </w:pPr>
      <w:r>
        <w:rPr>
          <w:rFonts w:eastAsiaTheme="majorEastAsia"/>
        </w:rPr>
        <w:t xml:space="preserve">restriction of service (for example, </w:t>
      </w:r>
      <w:r w:rsidR="00860B3B">
        <w:rPr>
          <w:rFonts w:eastAsiaTheme="majorEastAsia"/>
        </w:rPr>
        <w:t xml:space="preserve">by </w:t>
      </w:r>
      <w:r>
        <w:rPr>
          <w:rFonts w:eastAsiaTheme="majorEastAsia"/>
        </w:rPr>
        <w:t xml:space="preserve">only </w:t>
      </w:r>
      <w:r w:rsidR="00860B3B">
        <w:rPr>
          <w:rFonts w:eastAsiaTheme="majorEastAsia"/>
        </w:rPr>
        <w:t xml:space="preserve">allowing </w:t>
      </w:r>
      <w:r>
        <w:rPr>
          <w:rFonts w:eastAsiaTheme="majorEastAsia"/>
        </w:rPr>
        <w:t>local calls</w:t>
      </w:r>
      <w:r w:rsidR="00860B3B">
        <w:rPr>
          <w:rFonts w:eastAsiaTheme="majorEastAsia"/>
        </w:rPr>
        <w:t xml:space="preserve"> to be made</w:t>
      </w:r>
      <w:r>
        <w:rPr>
          <w:rFonts w:eastAsiaTheme="majorEastAsia"/>
        </w:rPr>
        <w:t>)</w:t>
      </w:r>
    </w:p>
    <w:p w14:paraId="4370902B" w14:textId="77777777" w:rsidR="008F0D3F" w:rsidRDefault="008F0D3F" w:rsidP="008F0D3F">
      <w:pPr>
        <w:pStyle w:val="Bulletlevel1"/>
        <w:keepNext/>
        <w:keepLines/>
        <w:rPr>
          <w:rFonts w:eastAsiaTheme="majorEastAsia"/>
        </w:rPr>
      </w:pPr>
      <w:r>
        <w:rPr>
          <w:rFonts w:eastAsiaTheme="majorEastAsia"/>
        </w:rPr>
        <w:t>transferring a customer from a post-paid service to a pre-paid service</w:t>
      </w:r>
    </w:p>
    <w:p w14:paraId="77E2F7AC" w14:textId="4E6FC07E" w:rsidR="00FB0C06" w:rsidRDefault="00FB0C06" w:rsidP="00BD194C">
      <w:pPr>
        <w:pStyle w:val="Bulletlevel1"/>
        <w:keepNext/>
        <w:keepLines/>
        <w:rPr>
          <w:rFonts w:eastAsiaTheme="majorEastAsia"/>
        </w:rPr>
      </w:pPr>
      <w:r>
        <w:rPr>
          <w:rFonts w:eastAsiaTheme="majorEastAsia"/>
        </w:rPr>
        <w:t xml:space="preserve">transferring a customer to a contract that includes hard </w:t>
      </w:r>
      <w:r w:rsidR="00797CF2">
        <w:rPr>
          <w:rFonts w:eastAsiaTheme="majorEastAsia"/>
        </w:rPr>
        <w:t xml:space="preserve">data </w:t>
      </w:r>
      <w:r>
        <w:rPr>
          <w:rFonts w:eastAsiaTheme="majorEastAsia"/>
        </w:rPr>
        <w:t>caps or shaping</w:t>
      </w:r>
      <w:r w:rsidR="00797CF2">
        <w:rPr>
          <w:rFonts w:eastAsiaTheme="majorEastAsia"/>
        </w:rPr>
        <w:t xml:space="preserve"> (</w:t>
      </w:r>
      <w:r w:rsidR="00E60C71">
        <w:rPr>
          <w:rFonts w:eastAsiaTheme="majorEastAsia"/>
        </w:rPr>
        <w:t xml:space="preserve">for example, </w:t>
      </w:r>
      <w:r w:rsidR="00797CF2">
        <w:rPr>
          <w:rFonts w:eastAsiaTheme="majorEastAsia"/>
        </w:rPr>
        <w:t xml:space="preserve">where the telco provides a data allowance at the maximum speed, but once that allowance is </w:t>
      </w:r>
      <w:r w:rsidR="00AC5BD2">
        <w:rPr>
          <w:rFonts w:eastAsiaTheme="majorEastAsia"/>
        </w:rPr>
        <w:t>met</w:t>
      </w:r>
      <w:r w:rsidR="00797CF2">
        <w:rPr>
          <w:rFonts w:eastAsiaTheme="majorEastAsia"/>
        </w:rPr>
        <w:t>, the speed is lowered)</w:t>
      </w:r>
    </w:p>
    <w:p w14:paraId="6116AECE" w14:textId="30388E92" w:rsidR="00FB0C06" w:rsidRDefault="00FB0C06" w:rsidP="00BD194C">
      <w:pPr>
        <w:pStyle w:val="Bulletlevel1last"/>
        <w:keepNext/>
        <w:keepLines/>
        <w:rPr>
          <w:rFonts w:eastAsiaTheme="majorEastAsia"/>
        </w:rPr>
      </w:pPr>
      <w:r>
        <w:rPr>
          <w:rFonts w:eastAsiaTheme="majorEastAsia"/>
        </w:rPr>
        <w:t>low</w:t>
      </w:r>
      <w:r w:rsidR="00AC5BD2">
        <w:rPr>
          <w:rFonts w:eastAsiaTheme="majorEastAsia"/>
        </w:rPr>
        <w:t>-</w:t>
      </w:r>
      <w:r>
        <w:rPr>
          <w:rFonts w:eastAsiaTheme="majorEastAsia"/>
        </w:rPr>
        <w:t>cost interim options until the customer can continue with their original payments</w:t>
      </w:r>
      <w:r w:rsidR="00A63347">
        <w:rPr>
          <w:rFonts w:eastAsiaTheme="majorEastAsia"/>
        </w:rPr>
        <w:t>.</w:t>
      </w:r>
    </w:p>
    <w:p w14:paraId="0F85C830" w14:textId="1FDF5706" w:rsidR="00FB0C06" w:rsidRDefault="00FB0C06" w:rsidP="00BD194C">
      <w:pPr>
        <w:pStyle w:val="Paragraph"/>
        <w:spacing w:after="80"/>
        <w:rPr>
          <w:rFonts w:eastAsiaTheme="majorEastAsia"/>
        </w:rPr>
      </w:pPr>
      <w:r>
        <w:rPr>
          <w:rFonts w:eastAsiaTheme="majorEastAsia"/>
        </w:rPr>
        <w:t xml:space="preserve">Telcos are also required to offer at least three options </w:t>
      </w:r>
      <w:r w:rsidR="00A153EF">
        <w:rPr>
          <w:rFonts w:eastAsiaTheme="majorEastAsia"/>
        </w:rPr>
        <w:t xml:space="preserve">to </w:t>
      </w:r>
      <w:r w:rsidR="00BD38B8">
        <w:rPr>
          <w:rFonts w:eastAsiaTheme="majorEastAsia"/>
        </w:rPr>
        <w:t xml:space="preserve">help </w:t>
      </w:r>
      <w:r w:rsidR="00A153EF">
        <w:rPr>
          <w:rFonts w:eastAsiaTheme="majorEastAsia"/>
        </w:rPr>
        <w:t xml:space="preserve">a </w:t>
      </w:r>
      <w:r w:rsidR="00BD38B8">
        <w:rPr>
          <w:rFonts w:eastAsiaTheme="majorEastAsia"/>
        </w:rPr>
        <w:t xml:space="preserve">financial hardship customer manage their </w:t>
      </w:r>
      <w:r>
        <w:rPr>
          <w:rFonts w:eastAsiaTheme="majorEastAsia"/>
        </w:rPr>
        <w:t xml:space="preserve">financial </w:t>
      </w:r>
      <w:r w:rsidR="00BD38B8">
        <w:rPr>
          <w:rFonts w:eastAsiaTheme="majorEastAsia"/>
        </w:rPr>
        <w:t>situation</w:t>
      </w:r>
      <w:r>
        <w:rPr>
          <w:rFonts w:eastAsiaTheme="majorEastAsia"/>
        </w:rPr>
        <w:t>. These options may vary between telcos and could include:</w:t>
      </w:r>
    </w:p>
    <w:p w14:paraId="26D6A017" w14:textId="77777777" w:rsidR="008F0D3F" w:rsidRDefault="008F0D3F" w:rsidP="008F0D3F">
      <w:pPr>
        <w:pStyle w:val="Bulletlevel1"/>
        <w:rPr>
          <w:rFonts w:eastAsiaTheme="majorEastAsia"/>
        </w:rPr>
      </w:pPr>
      <w:r>
        <w:rPr>
          <w:rFonts w:eastAsiaTheme="majorEastAsia"/>
        </w:rPr>
        <w:t>temporarily postponing or deferring payments (for a longer period than would typically be offered to a customer requesting an extension outside of a financial hardship arrangement)</w:t>
      </w:r>
    </w:p>
    <w:p w14:paraId="11C86E55" w14:textId="77777777" w:rsidR="008F0D3F" w:rsidRDefault="008F0D3F" w:rsidP="008F0D3F">
      <w:pPr>
        <w:pStyle w:val="Bulletlevel1"/>
        <w:rPr>
          <w:rFonts w:eastAsiaTheme="majorEastAsia"/>
        </w:rPr>
      </w:pPr>
      <w:r>
        <w:rPr>
          <w:rFonts w:eastAsiaTheme="majorEastAsia"/>
        </w:rPr>
        <w:t>agreeing on an alternative arrangement, plan, or contract, including discussing the option of a pre-paid service</w:t>
      </w:r>
    </w:p>
    <w:p w14:paraId="513D5D23" w14:textId="77777777" w:rsidR="008F0D3F" w:rsidRDefault="008F0D3F" w:rsidP="008F0D3F">
      <w:pPr>
        <w:pStyle w:val="Bulletlevel1"/>
        <w:rPr>
          <w:rFonts w:eastAsiaTheme="majorEastAsia"/>
        </w:rPr>
      </w:pPr>
      <w:r>
        <w:rPr>
          <w:rFonts w:eastAsiaTheme="majorEastAsia"/>
        </w:rPr>
        <w:t>discounting or waiving the customer’s debt</w:t>
      </w:r>
    </w:p>
    <w:p w14:paraId="2698616C" w14:textId="2A614095" w:rsidR="00FB0C06" w:rsidRDefault="00FB0C06" w:rsidP="00BD194C">
      <w:pPr>
        <w:pStyle w:val="Bulletlevel1"/>
        <w:rPr>
          <w:rFonts w:eastAsiaTheme="majorEastAsia"/>
        </w:rPr>
      </w:pPr>
      <w:r>
        <w:rPr>
          <w:rFonts w:eastAsiaTheme="majorEastAsia"/>
        </w:rPr>
        <w:t xml:space="preserve">waiving late payment </w:t>
      </w:r>
      <w:r w:rsidR="00BD38B8">
        <w:rPr>
          <w:rFonts w:eastAsiaTheme="majorEastAsia"/>
        </w:rPr>
        <w:t xml:space="preserve">or cancellation </w:t>
      </w:r>
      <w:r>
        <w:rPr>
          <w:rFonts w:eastAsiaTheme="majorEastAsia"/>
        </w:rPr>
        <w:t>fees</w:t>
      </w:r>
    </w:p>
    <w:p w14:paraId="718EF009" w14:textId="26D5B154" w:rsidR="00FB0C06" w:rsidRPr="00FB0C06" w:rsidRDefault="008C0FF6" w:rsidP="00BD194C">
      <w:pPr>
        <w:pStyle w:val="Bulletlevel1last"/>
        <w:rPr>
          <w:rFonts w:eastAsiaTheme="majorEastAsia"/>
        </w:rPr>
      </w:pPr>
      <w:r>
        <w:rPr>
          <w:rFonts w:eastAsiaTheme="majorEastAsia"/>
        </w:rPr>
        <w:t xml:space="preserve">offering </w:t>
      </w:r>
      <w:r w:rsidR="00FB0C06">
        <w:rPr>
          <w:rFonts w:eastAsiaTheme="majorEastAsia"/>
        </w:rPr>
        <w:t xml:space="preserve">incentives for </w:t>
      </w:r>
      <w:r w:rsidR="00A67466">
        <w:rPr>
          <w:rFonts w:eastAsiaTheme="majorEastAsia"/>
        </w:rPr>
        <w:t xml:space="preserve">making payments </w:t>
      </w:r>
      <w:r w:rsidR="00E60C71">
        <w:rPr>
          <w:rFonts w:eastAsiaTheme="majorEastAsia"/>
        </w:rPr>
        <w:t>(</w:t>
      </w:r>
      <w:r w:rsidR="00A67466">
        <w:rPr>
          <w:rFonts w:eastAsiaTheme="majorEastAsia"/>
        </w:rPr>
        <w:t>for example</w:t>
      </w:r>
      <w:r w:rsidR="00E60C71">
        <w:rPr>
          <w:rFonts w:eastAsiaTheme="majorEastAsia"/>
        </w:rPr>
        <w:t>,</w:t>
      </w:r>
      <w:r w:rsidR="00A67466">
        <w:rPr>
          <w:rFonts w:eastAsiaTheme="majorEastAsia"/>
        </w:rPr>
        <w:t xml:space="preserve"> payment matching</w:t>
      </w:r>
      <w:r w:rsidR="00BD38B8">
        <w:rPr>
          <w:rFonts w:eastAsiaTheme="majorEastAsia"/>
        </w:rPr>
        <w:t xml:space="preserve"> where a telco agrees to a flexible repayment arrangement with the customer</w:t>
      </w:r>
      <w:r w:rsidR="00E60C71">
        <w:rPr>
          <w:rFonts w:eastAsiaTheme="majorEastAsia"/>
        </w:rPr>
        <w:t>)</w:t>
      </w:r>
      <w:r w:rsidR="00A67466">
        <w:rPr>
          <w:rFonts w:eastAsiaTheme="majorEastAsia"/>
        </w:rPr>
        <w:t>.</w:t>
      </w:r>
    </w:p>
    <w:p w14:paraId="33DEE75D" w14:textId="5275061E" w:rsidR="00FA6124" w:rsidRDefault="005A69F3" w:rsidP="00BD194C">
      <w:pPr>
        <w:pStyle w:val="Paragraph"/>
        <w:rPr>
          <w:rFonts w:eastAsiaTheme="majorEastAsia"/>
        </w:rPr>
      </w:pPr>
      <w:r>
        <w:rPr>
          <w:rFonts w:eastAsiaTheme="majorEastAsia"/>
        </w:rPr>
        <w:t>U</w:t>
      </w:r>
      <w:r w:rsidR="0022058F">
        <w:rPr>
          <w:rFonts w:eastAsiaTheme="majorEastAsia"/>
        </w:rPr>
        <w:t xml:space="preserve">nder the TCP Code, </w:t>
      </w:r>
      <w:r w:rsidR="0022058F" w:rsidRPr="0089270D">
        <w:rPr>
          <w:rFonts w:eastAsiaTheme="majorEastAsia"/>
        </w:rPr>
        <w:t>telco</w:t>
      </w:r>
      <w:r w:rsidR="00317458">
        <w:rPr>
          <w:rFonts w:eastAsiaTheme="majorEastAsia"/>
        </w:rPr>
        <w:t>s</w:t>
      </w:r>
      <w:r w:rsidR="00C02E93">
        <w:rPr>
          <w:rFonts w:eastAsiaTheme="majorEastAsia"/>
        </w:rPr>
        <w:t xml:space="preserve"> </w:t>
      </w:r>
      <w:r w:rsidR="00C02E93">
        <w:rPr>
          <w:rFonts w:eastAsiaTheme="majorEastAsia"/>
          <w:szCs w:val="22"/>
        </w:rPr>
        <w:t>are</w:t>
      </w:r>
      <w:r w:rsidR="00A63347" w:rsidRPr="00C02E93">
        <w:rPr>
          <w:rFonts w:eastAsiaTheme="majorEastAsia"/>
          <w:szCs w:val="22"/>
        </w:rPr>
        <w:t xml:space="preserve"> </w:t>
      </w:r>
      <w:r w:rsidR="0022058F" w:rsidRPr="00C02E93">
        <w:rPr>
          <w:rFonts w:eastAsiaTheme="majorEastAsia"/>
          <w:szCs w:val="22"/>
        </w:rPr>
        <w:t>required to</w:t>
      </w:r>
      <w:r w:rsidR="00FA6124" w:rsidRPr="00C02E93">
        <w:rPr>
          <w:rFonts w:eastAsiaTheme="majorEastAsia"/>
        </w:rPr>
        <w:t xml:space="preserve"> suspend any credit management action</w:t>
      </w:r>
      <w:r w:rsidR="008F0D3F">
        <w:rPr>
          <w:rStyle w:val="FootnoteReference"/>
          <w:rFonts w:eastAsiaTheme="majorEastAsia"/>
        </w:rPr>
        <w:footnoteReference w:id="4"/>
      </w:r>
      <w:r w:rsidR="00FA6124" w:rsidRPr="00C02E93">
        <w:rPr>
          <w:rFonts w:eastAsiaTheme="majorEastAsia"/>
        </w:rPr>
        <w:t xml:space="preserve"> while a customer is </w:t>
      </w:r>
      <w:r w:rsidR="007C429E">
        <w:rPr>
          <w:rFonts w:eastAsiaTheme="majorEastAsia"/>
        </w:rPr>
        <w:t>meeting the obligations of</w:t>
      </w:r>
      <w:r w:rsidR="00FA6124" w:rsidRPr="00C02E93">
        <w:rPr>
          <w:rFonts w:eastAsiaTheme="majorEastAsia"/>
        </w:rPr>
        <w:t xml:space="preserve"> a financial hardship arrangement</w:t>
      </w:r>
      <w:r w:rsidR="00DB6E33" w:rsidRPr="00C02E93">
        <w:rPr>
          <w:rFonts w:eastAsiaTheme="majorEastAsia"/>
        </w:rPr>
        <w:t>.</w:t>
      </w:r>
    </w:p>
    <w:p w14:paraId="6E787FFE" w14:textId="561A358E" w:rsidR="0031006F" w:rsidRPr="00C02E93" w:rsidRDefault="0031006F" w:rsidP="00BD194C">
      <w:pPr>
        <w:pStyle w:val="Paragraph"/>
        <w:rPr>
          <w:rFonts w:eastAsiaTheme="majorEastAsia"/>
        </w:rPr>
      </w:pPr>
      <w:r>
        <w:rPr>
          <w:rFonts w:eastAsiaTheme="majorEastAsia"/>
        </w:rPr>
        <w:t xml:space="preserve">Customers can complain to their telco if they are </w:t>
      </w:r>
      <w:r w:rsidR="00A153EF">
        <w:rPr>
          <w:rFonts w:eastAsiaTheme="majorEastAsia"/>
        </w:rPr>
        <w:t>dis</w:t>
      </w:r>
      <w:r>
        <w:rPr>
          <w:rFonts w:eastAsiaTheme="majorEastAsia"/>
        </w:rPr>
        <w:t xml:space="preserve">satisfied with the assistance they </w:t>
      </w:r>
      <w:r w:rsidR="00A4466D">
        <w:rPr>
          <w:rFonts w:eastAsiaTheme="majorEastAsia"/>
        </w:rPr>
        <w:t xml:space="preserve">are </w:t>
      </w:r>
      <w:r>
        <w:rPr>
          <w:rFonts w:eastAsiaTheme="majorEastAsia"/>
        </w:rPr>
        <w:t>receiv</w:t>
      </w:r>
      <w:r w:rsidR="00A4466D">
        <w:rPr>
          <w:rFonts w:eastAsiaTheme="majorEastAsia"/>
        </w:rPr>
        <w:t>ing from their telco</w:t>
      </w:r>
      <w:r>
        <w:rPr>
          <w:rFonts w:eastAsiaTheme="majorEastAsia"/>
        </w:rPr>
        <w:t xml:space="preserve"> to keep them connected while they are experiencing financial hardship. If they are unable to resolve the matter with their telco, they can contact the Telecommunications Industry Ombudsman by calling 1800 062 058 or by visiting </w:t>
      </w:r>
      <w:hyperlink r:id="rId25" w:history="1">
        <w:r>
          <w:rPr>
            <w:rStyle w:val="Hyperlink"/>
          </w:rPr>
          <w:t>https://www.tio.com.au/contact-us</w:t>
        </w:r>
      </w:hyperlink>
      <w:r>
        <w:t>.</w:t>
      </w:r>
    </w:p>
    <w:p w14:paraId="7C5D01B3" w14:textId="25707936" w:rsidR="008F0D3F" w:rsidRDefault="008F0D3F" w:rsidP="00D320FE">
      <w:pPr>
        <w:pStyle w:val="Paragraph"/>
        <w:keepNext/>
        <w:keepLines/>
        <w:rPr>
          <w:rFonts w:eastAsiaTheme="majorEastAsia"/>
        </w:rPr>
      </w:pPr>
      <w:r>
        <w:rPr>
          <w:rFonts w:eastAsiaTheme="majorEastAsia"/>
        </w:rPr>
        <w:lastRenderedPageBreak/>
        <w:t xml:space="preserve">The diagram below sets out the </w:t>
      </w:r>
      <w:r w:rsidR="00E60C71">
        <w:rPr>
          <w:rFonts w:eastAsiaTheme="majorEastAsia"/>
        </w:rPr>
        <w:t xml:space="preserve">typical </w:t>
      </w:r>
      <w:r>
        <w:rPr>
          <w:rFonts w:eastAsiaTheme="majorEastAsia"/>
        </w:rPr>
        <w:t>telco financial hardship process</w:t>
      </w:r>
      <w:r w:rsidR="00CB0369">
        <w:rPr>
          <w:rFonts w:eastAsiaTheme="majorEastAsia"/>
        </w:rPr>
        <w:t>.</w:t>
      </w:r>
    </w:p>
    <w:p w14:paraId="0F726137" w14:textId="0737B89E" w:rsidR="00B34B13" w:rsidRDefault="003E7364" w:rsidP="00D320FE">
      <w:pPr>
        <w:keepNext/>
        <w:keepLines/>
        <w:spacing w:before="120" w:after="120"/>
        <w:rPr>
          <w:rFonts w:eastAsiaTheme="majorEastAsia"/>
        </w:rPr>
      </w:pPr>
      <w:r>
        <w:rPr>
          <w:rFonts w:eastAsiaTheme="majorEastAsia"/>
          <w:noProof/>
        </w:rPr>
        <w:drawing>
          <wp:inline distT="0" distB="0" distL="0" distR="0" wp14:anchorId="7FB22AA2" wp14:editId="2D3DFB82">
            <wp:extent cx="6399512" cy="3578087"/>
            <wp:effectExtent l="0" t="0" r="1905" b="3810"/>
            <wp:docPr id="5" name="Picture 5" descr="Diagram showing process. This is explained in the text in this re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iagram-30-Mar_FINAL.png"/>
                    <pic:cNvPicPr/>
                  </pic:nvPicPr>
                  <pic:blipFill>
                    <a:blip r:embed="rId26"/>
                    <a:stretch>
                      <a:fillRect/>
                    </a:stretch>
                  </pic:blipFill>
                  <pic:spPr>
                    <a:xfrm>
                      <a:off x="0" y="0"/>
                      <a:ext cx="6406046" cy="3581741"/>
                    </a:xfrm>
                    <a:prstGeom prst="rect">
                      <a:avLst/>
                    </a:prstGeom>
                  </pic:spPr>
                </pic:pic>
              </a:graphicData>
            </a:graphic>
          </wp:inline>
        </w:drawing>
      </w:r>
    </w:p>
    <w:p w14:paraId="512366FA" w14:textId="6050D3ED" w:rsidR="008F0D3F" w:rsidRDefault="008F0D3F" w:rsidP="008F0D3F">
      <w:pPr>
        <w:pStyle w:val="Heading1"/>
      </w:pPr>
      <w:bookmarkStart w:id="7" w:name="_Toc34203702"/>
      <w:bookmarkStart w:id="8" w:name="_Toc36466902"/>
      <w:r w:rsidRPr="00923D34">
        <w:lastRenderedPageBreak/>
        <w:t xml:space="preserve">Key </w:t>
      </w:r>
      <w:r>
        <w:t>findings</w:t>
      </w:r>
      <w:bookmarkEnd w:id="7"/>
      <w:bookmarkEnd w:id="8"/>
    </w:p>
    <w:p w14:paraId="563265B4" w14:textId="53F15D75" w:rsidR="008F0D3F" w:rsidRDefault="00CB0369" w:rsidP="008F0D3F">
      <w:pPr>
        <w:pStyle w:val="Paragraph"/>
      </w:pPr>
      <w:r>
        <w:t>O</w:t>
      </w:r>
      <w:r w:rsidR="008F0D3F">
        <w:t xml:space="preserve">ur key findings </w:t>
      </w:r>
      <w:r>
        <w:t xml:space="preserve">are </w:t>
      </w:r>
      <w:r w:rsidR="008F0D3F">
        <w:t xml:space="preserve">based on information provided by the largest 11 telcos offering post-paid services during </w:t>
      </w:r>
      <w:r w:rsidR="008521DE">
        <w:t xml:space="preserve">the </w:t>
      </w:r>
      <w:r w:rsidR="008F0D3F">
        <w:t>2018–19</w:t>
      </w:r>
      <w:r w:rsidR="008521DE">
        <w:t xml:space="preserve"> financial year</w:t>
      </w:r>
      <w:r w:rsidR="008F0D3F">
        <w:t xml:space="preserve">. </w:t>
      </w:r>
    </w:p>
    <w:p w14:paraId="3C50CCCF" w14:textId="2741A993" w:rsidR="00C75C93" w:rsidRPr="00323DD9" w:rsidRDefault="00F45CAA" w:rsidP="00BA6BF8">
      <w:pPr>
        <w:pStyle w:val="Paragraph"/>
        <w:spacing w:after="60"/>
        <w:rPr>
          <w:b/>
          <w:bCs/>
          <w:i/>
          <w:iCs/>
        </w:rPr>
      </w:pPr>
      <w:r>
        <w:rPr>
          <w:b/>
          <w:bCs/>
          <w:i/>
          <w:iCs/>
        </w:rPr>
        <w:t>I</w:t>
      </w:r>
      <w:r w:rsidR="00C75C93" w:rsidRPr="00323DD9">
        <w:rPr>
          <w:b/>
          <w:bCs/>
          <w:i/>
          <w:iCs/>
        </w:rPr>
        <w:t xml:space="preserve">ndicators from the </w:t>
      </w:r>
      <w:r w:rsidR="0036143C">
        <w:rPr>
          <w:b/>
          <w:bCs/>
          <w:i/>
          <w:iCs/>
        </w:rPr>
        <w:t xml:space="preserve">energy </w:t>
      </w:r>
      <w:r w:rsidR="00C75C93" w:rsidRPr="00323DD9">
        <w:rPr>
          <w:b/>
          <w:bCs/>
          <w:i/>
          <w:iCs/>
        </w:rPr>
        <w:t>industr</w:t>
      </w:r>
      <w:r w:rsidR="00A153EF">
        <w:rPr>
          <w:b/>
          <w:bCs/>
          <w:i/>
          <w:iCs/>
        </w:rPr>
        <w:t>y</w:t>
      </w:r>
    </w:p>
    <w:p w14:paraId="3E444BD8" w14:textId="3B1C5DEC" w:rsidR="00521FE3" w:rsidRDefault="008F0D3F" w:rsidP="004C5FAF">
      <w:pPr>
        <w:pStyle w:val="Paragraph"/>
      </w:pPr>
      <w:r>
        <w:t>Where applicable, we have</w:t>
      </w:r>
      <w:r w:rsidR="00F45CAA">
        <w:t xml:space="preserve"> also</w:t>
      </w:r>
      <w:r>
        <w:t xml:space="preserve"> included (in the grey boxes) </w:t>
      </w:r>
      <w:r w:rsidR="00F45CAA" w:rsidRPr="00F45CAA">
        <w:t xml:space="preserve">publicly reported financial hardship </w:t>
      </w:r>
      <w:r>
        <w:t xml:space="preserve">indicators from the </w:t>
      </w:r>
      <w:r w:rsidR="0036143C">
        <w:t xml:space="preserve">energy (gas and electricity) </w:t>
      </w:r>
      <w:r w:rsidRPr="00145CD1">
        <w:t>industr</w:t>
      </w:r>
      <w:r w:rsidR="008521DE" w:rsidRPr="00145CD1">
        <w:t>y</w:t>
      </w:r>
      <w:r w:rsidR="00F9425B">
        <w:t xml:space="preserve"> in </w:t>
      </w:r>
      <w:r w:rsidR="00CF27D2">
        <w:t>certain</w:t>
      </w:r>
      <w:r w:rsidR="00F9425B">
        <w:t xml:space="preserve"> states and territories</w:t>
      </w:r>
      <w:r w:rsidR="00CB0369">
        <w:t>. T</w:t>
      </w:r>
      <w:r w:rsidR="00F96C74">
        <w:t>hese have been sourced from</w:t>
      </w:r>
      <w:r w:rsidR="008521DE">
        <w:t xml:space="preserve"> the Australian Energy Regulator’s </w:t>
      </w:r>
      <w:r w:rsidR="008521DE" w:rsidRPr="00ED394D">
        <w:rPr>
          <w:i/>
          <w:iCs/>
        </w:rPr>
        <w:t>Annual Retail Markets Report, 2018–19</w:t>
      </w:r>
      <w:r w:rsidR="00E14191">
        <w:rPr>
          <w:i/>
          <w:iCs/>
        </w:rPr>
        <w:t>,</w:t>
      </w:r>
      <w:r w:rsidR="008521DE">
        <w:t xml:space="preserve"> </w:t>
      </w:r>
      <w:r w:rsidR="000A7DF2">
        <w:t xml:space="preserve">which </w:t>
      </w:r>
      <w:r w:rsidR="004C5FAF">
        <w:t>covers jurisdictions that have adopted the National Energy Customer Framework</w:t>
      </w:r>
      <w:r w:rsidR="00E14191">
        <w:t>—</w:t>
      </w:r>
      <w:r w:rsidR="00513349">
        <w:t>Queensland (</w:t>
      </w:r>
      <w:r w:rsidR="004C5FAF">
        <w:t>Qld</w:t>
      </w:r>
      <w:r w:rsidR="00513349">
        <w:t>)</w:t>
      </w:r>
      <w:r w:rsidR="004C5FAF">
        <w:t xml:space="preserve">, the </w:t>
      </w:r>
      <w:r w:rsidR="00513349">
        <w:t>Australian Capital Territory (</w:t>
      </w:r>
      <w:r w:rsidR="004C5FAF">
        <w:t>ACT</w:t>
      </w:r>
      <w:r w:rsidR="00513349">
        <w:t>)</w:t>
      </w:r>
      <w:r w:rsidR="004C5FAF">
        <w:t>,</w:t>
      </w:r>
      <w:r w:rsidR="00513349">
        <w:t xml:space="preserve"> Tasmania</w:t>
      </w:r>
      <w:r w:rsidR="004C5FAF">
        <w:t xml:space="preserve"> </w:t>
      </w:r>
      <w:r w:rsidR="00513349">
        <w:t>(</w:t>
      </w:r>
      <w:r w:rsidR="004C5FAF">
        <w:t>Tas</w:t>
      </w:r>
      <w:r w:rsidR="00E14191">
        <w:t>.</w:t>
      </w:r>
      <w:r w:rsidR="00513349">
        <w:t>)</w:t>
      </w:r>
      <w:r w:rsidR="004C5FAF">
        <w:t xml:space="preserve">, </w:t>
      </w:r>
      <w:r w:rsidR="00513349">
        <w:t>South Australia (</w:t>
      </w:r>
      <w:r w:rsidR="004C5FAF">
        <w:t>SA</w:t>
      </w:r>
      <w:r w:rsidR="00513349">
        <w:t>)</w:t>
      </w:r>
      <w:r w:rsidR="004C5FAF">
        <w:t xml:space="preserve"> and </w:t>
      </w:r>
      <w:r w:rsidR="00513349">
        <w:t>New South Wales (</w:t>
      </w:r>
      <w:r w:rsidR="004C5FAF">
        <w:t>NSW</w:t>
      </w:r>
      <w:r w:rsidR="00513349">
        <w:t>)</w:t>
      </w:r>
      <w:r w:rsidR="00FB5303">
        <w:t>,</w:t>
      </w:r>
      <w:r w:rsidR="004B6833">
        <w:t xml:space="preserve"> </w:t>
      </w:r>
      <w:r w:rsidR="008521DE">
        <w:t>and the</w:t>
      </w:r>
      <w:r w:rsidR="008521DE" w:rsidRPr="00ED394D">
        <w:t xml:space="preserve"> </w:t>
      </w:r>
      <w:r w:rsidR="008521DE" w:rsidRPr="00351B98">
        <w:t>Essential Services Commission</w:t>
      </w:r>
      <w:r w:rsidR="008521DE">
        <w:t>’s</w:t>
      </w:r>
      <w:r w:rsidR="008521DE" w:rsidRPr="00ED394D">
        <w:t xml:space="preserve"> </w:t>
      </w:r>
      <w:r w:rsidR="008521DE" w:rsidRPr="00ED394D">
        <w:rPr>
          <w:i/>
          <w:iCs/>
        </w:rPr>
        <w:t>Victorian Energy Market Report 2018–19</w:t>
      </w:r>
      <w:r w:rsidR="00E14191">
        <w:rPr>
          <w:i/>
          <w:iCs/>
        </w:rPr>
        <w:t>,</w:t>
      </w:r>
      <w:r w:rsidR="004C5FAF">
        <w:rPr>
          <w:i/>
          <w:iCs/>
        </w:rPr>
        <w:t xml:space="preserve"> </w:t>
      </w:r>
      <w:r w:rsidR="004C5FAF">
        <w:t>which covers Vic</w:t>
      </w:r>
      <w:r w:rsidR="00A2246D">
        <w:t>toria (Vic</w:t>
      </w:r>
      <w:r w:rsidR="00E14191">
        <w:t>.</w:t>
      </w:r>
      <w:r w:rsidR="00A2246D">
        <w:t>)</w:t>
      </w:r>
      <w:r w:rsidR="008521DE">
        <w:t>.</w:t>
      </w:r>
    </w:p>
    <w:p w14:paraId="52639DB9" w14:textId="0AE06309" w:rsidR="008D05DA" w:rsidRDefault="00F45CAA" w:rsidP="008D05DA">
      <w:pPr>
        <w:pStyle w:val="Paragraph"/>
      </w:pPr>
      <w:r>
        <w:t>Financial hardship</w:t>
      </w:r>
      <w:r w:rsidR="008D05DA">
        <w:t xml:space="preserve"> indicators for </w:t>
      </w:r>
      <w:r>
        <w:t xml:space="preserve">the energy sectors in </w:t>
      </w:r>
      <w:r w:rsidR="008D05DA">
        <w:t>Western Australia and the Northern Territory were unable to be included as they were unavailable when this report was prepared.</w:t>
      </w:r>
    </w:p>
    <w:p w14:paraId="76E96905" w14:textId="717C07CE" w:rsidR="004065C8" w:rsidRPr="00923D34" w:rsidRDefault="004F5E4C" w:rsidP="00710DD9">
      <w:pPr>
        <w:pStyle w:val="Heading2"/>
      </w:pPr>
      <w:bookmarkStart w:id="9" w:name="_Toc36466903"/>
      <w:r>
        <w:t>C</w:t>
      </w:r>
      <w:r w:rsidR="00805DAA">
        <w:t>ustomers experiencing financial hardship</w:t>
      </w:r>
      <w:bookmarkEnd w:id="9"/>
    </w:p>
    <w:p w14:paraId="12F8DB60" w14:textId="18EBD6D8" w:rsidR="00541E2C" w:rsidRPr="00E63E24" w:rsidRDefault="00541E2C" w:rsidP="00FA0800">
      <w:pPr>
        <w:pStyle w:val="ListParagraph"/>
        <w:numPr>
          <w:ilvl w:val="0"/>
          <w:numId w:val="25"/>
        </w:numPr>
        <w:overflowPunct w:val="0"/>
        <w:autoSpaceDE w:val="0"/>
        <w:autoSpaceDN w:val="0"/>
        <w:adjustRightInd w:val="0"/>
        <w:spacing w:before="120" w:after="120"/>
        <w:ind w:left="284" w:hanging="284"/>
        <w:contextualSpacing w:val="0"/>
        <w:textAlignment w:val="baseline"/>
      </w:pPr>
      <w:bookmarkStart w:id="10" w:name="_Hlk33622239"/>
      <w:r w:rsidRPr="00921C32">
        <w:t xml:space="preserve">36,541 customers entered into a </w:t>
      </w:r>
      <w:r>
        <w:t xml:space="preserve">financial hardship </w:t>
      </w:r>
      <w:r w:rsidRPr="00921C32">
        <w:t>arrangement with their telco</w:t>
      </w:r>
      <w:r w:rsidR="008269A1">
        <w:t xml:space="preserve"> </w:t>
      </w:r>
      <w:r w:rsidR="008C33F6">
        <w:t>during</w:t>
      </w:r>
      <w:r w:rsidR="008269A1">
        <w:t xml:space="preserve"> the 2018</w:t>
      </w:r>
      <w:r w:rsidR="00BD194C">
        <w:t>–</w:t>
      </w:r>
      <w:r w:rsidR="008269A1">
        <w:t>19 financial year</w:t>
      </w:r>
      <w:r w:rsidRPr="00921C32">
        <w:t>.</w:t>
      </w:r>
      <w:r>
        <w:t xml:space="preserve"> </w:t>
      </w:r>
    </w:p>
    <w:p w14:paraId="314C6755" w14:textId="2495C19B" w:rsidR="0003380D" w:rsidRDefault="00BA1F8F" w:rsidP="00FA0800">
      <w:pPr>
        <w:pStyle w:val="ListParagraph"/>
        <w:numPr>
          <w:ilvl w:val="0"/>
          <w:numId w:val="25"/>
        </w:numPr>
        <w:overflowPunct w:val="0"/>
        <w:autoSpaceDE w:val="0"/>
        <w:autoSpaceDN w:val="0"/>
        <w:adjustRightInd w:val="0"/>
        <w:spacing w:before="120" w:after="120"/>
        <w:ind w:left="284" w:hanging="284"/>
        <w:contextualSpacing w:val="0"/>
        <w:textAlignment w:val="baseline"/>
      </w:pPr>
      <w:bookmarkStart w:id="11" w:name="_Hlk33624901"/>
      <w:r>
        <w:t>10,</w:t>
      </w:r>
      <w:r w:rsidR="009E2B2F">
        <w:t>259</w:t>
      </w:r>
      <w:r>
        <w:t xml:space="preserve"> </w:t>
      </w:r>
      <w:r w:rsidR="005C6659">
        <w:t>customers</w:t>
      </w:r>
      <w:r w:rsidR="00710DD9">
        <w:t xml:space="preserve"> (</w:t>
      </w:r>
      <w:r w:rsidR="00940914" w:rsidRPr="00815127">
        <w:t>0.07</w:t>
      </w:r>
      <w:r w:rsidR="007F22D0" w:rsidRPr="00815127">
        <w:t xml:space="preserve"> per</w:t>
      </w:r>
      <w:r w:rsidR="007F22D0">
        <w:t xml:space="preserve"> cent</w:t>
      </w:r>
      <w:r w:rsidR="00940914">
        <w:t xml:space="preserve"> of </w:t>
      </w:r>
      <w:r w:rsidR="004B2FA9">
        <w:t xml:space="preserve">residential </w:t>
      </w:r>
      <w:r w:rsidR="00A52D08">
        <w:t>telco</w:t>
      </w:r>
      <w:r w:rsidR="00940914">
        <w:t xml:space="preserve"> customers</w:t>
      </w:r>
      <w:r w:rsidR="00710DD9">
        <w:t>)</w:t>
      </w:r>
      <w:r w:rsidR="00940914">
        <w:t xml:space="preserve"> </w:t>
      </w:r>
      <w:r>
        <w:t xml:space="preserve">were in a </w:t>
      </w:r>
      <w:r w:rsidR="008F188A">
        <w:t xml:space="preserve">financial hardship </w:t>
      </w:r>
      <w:r>
        <w:t>arrangement with their telco at 30 June 2019</w:t>
      </w:r>
      <w:r w:rsidR="005D158A">
        <w:t xml:space="preserve">. </w:t>
      </w:r>
      <w:r w:rsidR="00840B68">
        <w:t>For context, there were 14,650,459 residential telco customers at 30 June 2019</w:t>
      </w:r>
      <w:r w:rsidR="00840B68" w:rsidDel="00AD1F17">
        <w:t>.</w:t>
      </w:r>
      <w:r w:rsidR="00840B68" w:rsidRPr="00E63E24">
        <w:rPr>
          <w:vertAlign w:val="superscript"/>
        </w:rPr>
        <w:footnoteReference w:id="5"/>
      </w:r>
    </w:p>
    <w:tbl>
      <w:tblPr>
        <w:tblStyle w:val="TableGrid"/>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850"/>
        <w:gridCol w:w="6527"/>
      </w:tblGrid>
      <w:tr w:rsidR="0003380D" w14:paraId="06248182" w14:textId="77777777" w:rsidTr="0079616F">
        <w:trPr>
          <w:trHeight w:val="375"/>
        </w:trPr>
        <w:tc>
          <w:tcPr>
            <w:tcW w:w="850" w:type="dxa"/>
            <w:shd w:val="clear" w:color="auto" w:fill="F2F2F2" w:themeFill="background1" w:themeFillShade="F2"/>
            <w:vAlign w:val="center"/>
          </w:tcPr>
          <w:p w14:paraId="5B8BFC2A" w14:textId="33D29E81" w:rsidR="0003380D" w:rsidRDefault="0079616F" w:rsidP="00FA0800">
            <w:pPr>
              <w:pStyle w:val="ListParagraph"/>
              <w:overflowPunct w:val="0"/>
              <w:autoSpaceDE w:val="0"/>
              <w:autoSpaceDN w:val="0"/>
              <w:adjustRightInd w:val="0"/>
              <w:spacing w:after="0" w:line="280" w:lineRule="atLeast"/>
              <w:ind w:left="0"/>
              <w:contextualSpacing w:val="0"/>
              <w:textAlignment w:val="baseline"/>
            </w:pPr>
            <w:r>
              <w:t xml:space="preserve"> </w:t>
            </w:r>
            <w:r w:rsidR="0003380D">
              <w:rPr>
                <w:noProof/>
              </w:rPr>
              <w:drawing>
                <wp:inline distT="0" distB="0" distL="0" distR="0" wp14:anchorId="4F073397" wp14:editId="6DE3DB27">
                  <wp:extent cx="357809" cy="357809"/>
                  <wp:effectExtent l="0" t="0" r="4445" b="0"/>
                  <wp:docPr id="3" name="Graphic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earch.svg"/>
                          <pic:cNvPicPr/>
                        </pic:nvPicPr>
                        <pic:blipFill>
                          <a:blip r:embed="rId27"/>
                          <a:stretch>
                            <a:fillRect/>
                          </a:stretch>
                        </pic:blipFill>
                        <pic:spPr>
                          <a:xfrm>
                            <a:off x="0" y="0"/>
                            <a:ext cx="359729" cy="359729"/>
                          </a:xfrm>
                          <a:prstGeom prst="rect">
                            <a:avLst/>
                          </a:prstGeom>
                        </pic:spPr>
                      </pic:pic>
                    </a:graphicData>
                  </a:graphic>
                </wp:inline>
              </w:drawing>
            </w:r>
          </w:p>
        </w:tc>
        <w:tc>
          <w:tcPr>
            <w:tcW w:w="6527" w:type="dxa"/>
            <w:shd w:val="clear" w:color="auto" w:fill="F2F2F2" w:themeFill="background1" w:themeFillShade="F2"/>
            <w:vAlign w:val="center"/>
          </w:tcPr>
          <w:p w14:paraId="59FAC27B" w14:textId="77777777" w:rsidR="004B3D5C" w:rsidRDefault="0003380D" w:rsidP="0053343F">
            <w:pPr>
              <w:pStyle w:val="ListParagraph"/>
              <w:overflowPunct w:val="0"/>
              <w:autoSpaceDE w:val="0"/>
              <w:autoSpaceDN w:val="0"/>
              <w:adjustRightInd w:val="0"/>
              <w:spacing w:after="120"/>
              <w:ind w:left="0"/>
              <w:contextualSpacing w:val="0"/>
              <w:textAlignment w:val="baseline"/>
              <w:rPr>
                <w:i/>
                <w:iCs/>
                <w:sz w:val="18"/>
                <w:szCs w:val="18"/>
              </w:rPr>
            </w:pPr>
            <w:r w:rsidRPr="008F0D3F">
              <w:rPr>
                <w:i/>
                <w:iCs/>
                <w:sz w:val="18"/>
                <w:szCs w:val="18"/>
              </w:rPr>
              <w:t>This compares to</w:t>
            </w:r>
            <w:r w:rsidR="004B3D5C">
              <w:rPr>
                <w:i/>
                <w:iCs/>
                <w:sz w:val="18"/>
                <w:szCs w:val="18"/>
              </w:rPr>
              <w:t>:</w:t>
            </w:r>
            <w:r w:rsidRPr="008F0D3F">
              <w:rPr>
                <w:i/>
                <w:iCs/>
                <w:sz w:val="18"/>
                <w:szCs w:val="18"/>
              </w:rPr>
              <w:t xml:space="preserve"> </w:t>
            </w:r>
          </w:p>
          <w:p w14:paraId="297C12DD" w14:textId="37503B06" w:rsidR="004B3D5C" w:rsidRPr="00F50601" w:rsidRDefault="0003380D" w:rsidP="0053343F">
            <w:pPr>
              <w:pStyle w:val="ListParagraph"/>
              <w:numPr>
                <w:ilvl w:val="0"/>
                <w:numId w:val="29"/>
              </w:numPr>
              <w:overflowPunct w:val="0"/>
              <w:autoSpaceDE w:val="0"/>
              <w:autoSpaceDN w:val="0"/>
              <w:adjustRightInd w:val="0"/>
              <w:spacing w:after="120"/>
              <w:ind w:left="357" w:hanging="357"/>
              <w:contextualSpacing w:val="0"/>
              <w:textAlignment w:val="baseline"/>
            </w:pPr>
            <w:r w:rsidRPr="008F0D3F">
              <w:rPr>
                <w:i/>
                <w:iCs/>
                <w:sz w:val="18"/>
                <w:szCs w:val="18"/>
              </w:rPr>
              <w:t>1.13 per cent of residential electricity customers</w:t>
            </w:r>
            <w:r w:rsidR="0019661B" w:rsidRPr="008F0D3F">
              <w:rPr>
                <w:i/>
                <w:iCs/>
                <w:sz w:val="18"/>
                <w:szCs w:val="18"/>
              </w:rPr>
              <w:t> </w:t>
            </w:r>
            <w:r w:rsidR="004B3D5C">
              <w:rPr>
                <w:i/>
                <w:iCs/>
                <w:sz w:val="18"/>
                <w:szCs w:val="18"/>
              </w:rPr>
              <w:t>in financial hardship programs</w:t>
            </w:r>
            <w:r w:rsidR="00E23F92">
              <w:rPr>
                <w:i/>
                <w:iCs/>
                <w:sz w:val="18"/>
                <w:szCs w:val="18"/>
              </w:rPr>
              <w:t xml:space="preserve"> </w:t>
            </w:r>
            <w:r w:rsidR="00D84CB0">
              <w:rPr>
                <w:i/>
                <w:iCs/>
                <w:sz w:val="18"/>
                <w:szCs w:val="18"/>
              </w:rPr>
              <w:t>across</w:t>
            </w:r>
            <w:r w:rsidR="00E23F92">
              <w:rPr>
                <w:i/>
                <w:iCs/>
                <w:sz w:val="18"/>
                <w:szCs w:val="18"/>
              </w:rPr>
              <w:t xml:space="preserve"> </w:t>
            </w:r>
            <w:r w:rsidR="000343EE">
              <w:rPr>
                <w:i/>
                <w:iCs/>
                <w:sz w:val="18"/>
                <w:szCs w:val="18"/>
              </w:rPr>
              <w:t xml:space="preserve">Qld, </w:t>
            </w:r>
            <w:r w:rsidR="00AC5471">
              <w:rPr>
                <w:i/>
                <w:iCs/>
                <w:sz w:val="18"/>
                <w:szCs w:val="18"/>
              </w:rPr>
              <w:t>ACT, Tas</w:t>
            </w:r>
            <w:r w:rsidR="00E14191">
              <w:rPr>
                <w:i/>
                <w:iCs/>
                <w:sz w:val="18"/>
                <w:szCs w:val="18"/>
              </w:rPr>
              <w:t>.</w:t>
            </w:r>
            <w:r w:rsidR="00AC5471">
              <w:rPr>
                <w:i/>
                <w:iCs/>
                <w:sz w:val="18"/>
                <w:szCs w:val="18"/>
              </w:rPr>
              <w:t>, SA and NSW</w:t>
            </w:r>
            <w:r w:rsidR="004417EB">
              <w:rPr>
                <w:i/>
                <w:iCs/>
                <w:sz w:val="18"/>
                <w:szCs w:val="18"/>
              </w:rPr>
              <w:t>.</w:t>
            </w:r>
            <w:r w:rsidR="004B3D5C" w:rsidRPr="00EE728F">
              <w:rPr>
                <w:rFonts w:cs="Arial"/>
                <w:szCs w:val="22"/>
                <w:vertAlign w:val="superscript"/>
              </w:rPr>
              <w:footnoteReference w:id="6"/>
            </w:r>
          </w:p>
          <w:p w14:paraId="263AA6F0" w14:textId="5E926E7C" w:rsidR="00F50601" w:rsidRPr="00F50601" w:rsidRDefault="0003380D" w:rsidP="0053343F">
            <w:pPr>
              <w:pStyle w:val="ListParagraph"/>
              <w:numPr>
                <w:ilvl w:val="0"/>
                <w:numId w:val="29"/>
              </w:numPr>
              <w:overflowPunct w:val="0"/>
              <w:autoSpaceDE w:val="0"/>
              <w:autoSpaceDN w:val="0"/>
              <w:adjustRightInd w:val="0"/>
              <w:spacing w:after="120"/>
              <w:ind w:left="357" w:hanging="357"/>
              <w:contextualSpacing w:val="0"/>
              <w:textAlignment w:val="baseline"/>
            </w:pPr>
            <w:r w:rsidRPr="008F0D3F">
              <w:rPr>
                <w:i/>
                <w:iCs/>
                <w:sz w:val="18"/>
                <w:szCs w:val="18"/>
              </w:rPr>
              <w:t>0.6</w:t>
            </w:r>
            <w:r w:rsidR="006A7218">
              <w:rPr>
                <w:i/>
                <w:iCs/>
                <w:sz w:val="18"/>
                <w:szCs w:val="18"/>
              </w:rPr>
              <w:t>5</w:t>
            </w:r>
            <w:r w:rsidRPr="008F0D3F">
              <w:rPr>
                <w:i/>
                <w:iCs/>
                <w:sz w:val="18"/>
                <w:szCs w:val="18"/>
              </w:rPr>
              <w:t xml:space="preserve"> per cent of residential gas customers</w:t>
            </w:r>
            <w:r w:rsidR="004B3D5C">
              <w:rPr>
                <w:i/>
                <w:iCs/>
                <w:sz w:val="18"/>
                <w:szCs w:val="18"/>
              </w:rPr>
              <w:t xml:space="preserve"> in financial hardship programs</w:t>
            </w:r>
            <w:r w:rsidR="00E23F92">
              <w:rPr>
                <w:i/>
                <w:iCs/>
                <w:sz w:val="18"/>
                <w:szCs w:val="18"/>
              </w:rPr>
              <w:t xml:space="preserve"> </w:t>
            </w:r>
            <w:r w:rsidR="00D84CB0">
              <w:rPr>
                <w:i/>
                <w:iCs/>
                <w:sz w:val="18"/>
                <w:szCs w:val="18"/>
              </w:rPr>
              <w:t>across</w:t>
            </w:r>
            <w:r w:rsidR="00E23F92">
              <w:rPr>
                <w:i/>
                <w:iCs/>
                <w:sz w:val="18"/>
                <w:szCs w:val="18"/>
              </w:rPr>
              <w:t xml:space="preserve"> </w:t>
            </w:r>
            <w:r w:rsidR="00AC5471">
              <w:rPr>
                <w:i/>
                <w:iCs/>
                <w:sz w:val="18"/>
                <w:szCs w:val="18"/>
              </w:rPr>
              <w:t>Qld, ACT, SA and NSW</w:t>
            </w:r>
            <w:r w:rsidR="004417EB">
              <w:rPr>
                <w:i/>
                <w:iCs/>
                <w:sz w:val="18"/>
                <w:szCs w:val="18"/>
              </w:rPr>
              <w:t>.</w:t>
            </w:r>
            <w:r w:rsidRPr="00EE728F">
              <w:rPr>
                <w:rFonts w:cs="Arial"/>
                <w:szCs w:val="22"/>
                <w:vertAlign w:val="superscript"/>
              </w:rPr>
              <w:footnoteReference w:id="7"/>
            </w:r>
            <w:r w:rsidR="00DD4C20">
              <w:rPr>
                <w:sz w:val="18"/>
                <w:szCs w:val="18"/>
              </w:rPr>
              <w:t xml:space="preserve"> </w:t>
            </w:r>
          </w:p>
          <w:p w14:paraId="2455AEED" w14:textId="020822A1" w:rsidR="0003380D" w:rsidRPr="00CF6229" w:rsidRDefault="00DD4C20" w:rsidP="0053343F">
            <w:pPr>
              <w:pStyle w:val="ListParagraph"/>
              <w:numPr>
                <w:ilvl w:val="0"/>
                <w:numId w:val="29"/>
              </w:numPr>
              <w:overflowPunct w:val="0"/>
              <w:autoSpaceDE w:val="0"/>
              <w:autoSpaceDN w:val="0"/>
              <w:adjustRightInd w:val="0"/>
              <w:spacing w:after="120"/>
              <w:ind w:left="357" w:hanging="357"/>
              <w:contextualSpacing w:val="0"/>
              <w:textAlignment w:val="baseline"/>
            </w:pPr>
            <w:r w:rsidRPr="00DD4C20">
              <w:rPr>
                <w:i/>
                <w:iCs/>
                <w:sz w:val="18"/>
                <w:szCs w:val="18"/>
              </w:rPr>
              <w:t>1</w:t>
            </w:r>
            <w:r w:rsidR="009373BF">
              <w:rPr>
                <w:i/>
                <w:iCs/>
                <w:sz w:val="18"/>
                <w:szCs w:val="18"/>
              </w:rPr>
              <w:t>.0</w:t>
            </w:r>
            <w:r w:rsidR="009179E9">
              <w:rPr>
                <w:i/>
                <w:iCs/>
                <w:sz w:val="18"/>
                <w:szCs w:val="18"/>
              </w:rPr>
              <w:t>6</w:t>
            </w:r>
            <w:r w:rsidRPr="00DD4C20">
              <w:rPr>
                <w:i/>
                <w:iCs/>
                <w:sz w:val="18"/>
                <w:szCs w:val="18"/>
              </w:rPr>
              <w:t xml:space="preserve"> per </w:t>
            </w:r>
            <w:r>
              <w:rPr>
                <w:i/>
                <w:iCs/>
                <w:sz w:val="18"/>
                <w:szCs w:val="18"/>
              </w:rPr>
              <w:t xml:space="preserve">cent of residential energy </w:t>
            </w:r>
            <w:r w:rsidR="00CF6229">
              <w:rPr>
                <w:i/>
                <w:iCs/>
                <w:sz w:val="18"/>
                <w:szCs w:val="18"/>
              </w:rPr>
              <w:t>customers</w:t>
            </w:r>
            <w:r w:rsidR="00A2246D">
              <w:rPr>
                <w:rStyle w:val="FootnoteReference"/>
                <w:i/>
                <w:iCs/>
                <w:sz w:val="18"/>
                <w:szCs w:val="18"/>
              </w:rPr>
              <w:footnoteReference w:id="8"/>
            </w:r>
            <w:r w:rsidR="00CF6229">
              <w:rPr>
                <w:i/>
                <w:iCs/>
                <w:sz w:val="18"/>
                <w:szCs w:val="18"/>
              </w:rPr>
              <w:t xml:space="preserve"> </w:t>
            </w:r>
            <w:r>
              <w:rPr>
                <w:i/>
                <w:iCs/>
                <w:sz w:val="18"/>
                <w:szCs w:val="18"/>
              </w:rPr>
              <w:t xml:space="preserve">in </w:t>
            </w:r>
            <w:r w:rsidR="0034313A">
              <w:rPr>
                <w:i/>
                <w:iCs/>
                <w:sz w:val="18"/>
                <w:szCs w:val="18"/>
              </w:rPr>
              <w:t xml:space="preserve">financial </w:t>
            </w:r>
            <w:r>
              <w:rPr>
                <w:i/>
                <w:iCs/>
                <w:sz w:val="18"/>
                <w:szCs w:val="18"/>
              </w:rPr>
              <w:t>hardship programs</w:t>
            </w:r>
            <w:r w:rsidR="00E23F92">
              <w:rPr>
                <w:i/>
                <w:iCs/>
                <w:sz w:val="18"/>
                <w:szCs w:val="18"/>
              </w:rPr>
              <w:t xml:space="preserve"> in Vic</w:t>
            </w:r>
            <w:r w:rsidR="004417EB">
              <w:rPr>
                <w:i/>
                <w:iCs/>
                <w:sz w:val="18"/>
                <w:szCs w:val="18"/>
              </w:rPr>
              <w:t>.</w:t>
            </w:r>
            <w:r w:rsidR="00CF6229" w:rsidRPr="007643BB">
              <w:rPr>
                <w:rStyle w:val="FootnoteReference"/>
                <w:sz w:val="18"/>
                <w:szCs w:val="18"/>
              </w:rPr>
              <w:footnoteReference w:id="9"/>
            </w:r>
          </w:p>
        </w:tc>
      </w:tr>
    </w:tbl>
    <w:bookmarkEnd w:id="11"/>
    <w:p w14:paraId="4AD061A5" w14:textId="0E09FE8F" w:rsidR="008406A0" w:rsidRDefault="008406A0" w:rsidP="00FA0800">
      <w:pPr>
        <w:pStyle w:val="ListParagraph"/>
        <w:numPr>
          <w:ilvl w:val="0"/>
          <w:numId w:val="25"/>
        </w:numPr>
        <w:overflowPunct w:val="0"/>
        <w:autoSpaceDE w:val="0"/>
        <w:autoSpaceDN w:val="0"/>
        <w:adjustRightInd w:val="0"/>
        <w:spacing w:before="120" w:after="120"/>
        <w:ind w:left="284" w:hanging="284"/>
        <w:contextualSpacing w:val="0"/>
        <w:textAlignment w:val="baseline"/>
      </w:pPr>
      <w:r>
        <w:t>7</w:t>
      </w:r>
      <w:r w:rsidR="00A74AA7">
        <w:t>1.8</w:t>
      </w:r>
      <w:r w:rsidR="007F22D0">
        <w:t xml:space="preserve"> per cent</w:t>
      </w:r>
      <w:r>
        <w:t xml:space="preserve"> (7,365) of </w:t>
      </w:r>
      <w:r w:rsidR="00A74AA7">
        <w:t>the 10,</w:t>
      </w:r>
      <w:r w:rsidR="007B5C8E">
        <w:t>259</w:t>
      </w:r>
      <w:r w:rsidR="00A74AA7">
        <w:t xml:space="preserve"> </w:t>
      </w:r>
      <w:r w:rsidR="00010C84">
        <w:t xml:space="preserve">telco </w:t>
      </w:r>
      <w:r>
        <w:t xml:space="preserve">customers </w:t>
      </w:r>
      <w:r w:rsidR="003171B4">
        <w:t xml:space="preserve">in </w:t>
      </w:r>
      <w:r>
        <w:t>financial hardship</w:t>
      </w:r>
      <w:r w:rsidR="00CF6229">
        <w:t xml:space="preserve"> </w:t>
      </w:r>
      <w:r w:rsidR="003171B4">
        <w:t xml:space="preserve">arrangements </w:t>
      </w:r>
      <w:r w:rsidR="00CF6229">
        <w:t>at 30 June 2019</w:t>
      </w:r>
      <w:r>
        <w:t xml:space="preserve"> </w:t>
      </w:r>
      <w:r w:rsidR="008F0D3F">
        <w:t>had</w:t>
      </w:r>
      <w:r w:rsidR="00C8476E">
        <w:t xml:space="preserve"> </w:t>
      </w:r>
      <w:r>
        <w:t>mobile service</w:t>
      </w:r>
      <w:r w:rsidR="00CF6229">
        <w:t>s</w:t>
      </w:r>
      <w:r>
        <w:t>.</w:t>
      </w:r>
    </w:p>
    <w:p w14:paraId="48DE0FAB" w14:textId="25D1EBB3" w:rsidR="00340042" w:rsidRPr="00FE30D2" w:rsidRDefault="00E10E58" w:rsidP="00FA0800">
      <w:pPr>
        <w:pStyle w:val="ListParagraph"/>
        <w:numPr>
          <w:ilvl w:val="0"/>
          <w:numId w:val="25"/>
        </w:numPr>
        <w:overflowPunct w:val="0"/>
        <w:autoSpaceDE w:val="0"/>
        <w:autoSpaceDN w:val="0"/>
        <w:adjustRightInd w:val="0"/>
        <w:spacing w:before="120" w:after="120"/>
        <w:ind w:left="284" w:hanging="284"/>
        <w:contextualSpacing w:val="0"/>
        <w:textAlignment w:val="baseline"/>
      </w:pPr>
      <w:r w:rsidRPr="00FE30D2">
        <w:t>Just over two</w:t>
      </w:r>
      <w:r w:rsidR="004824F1" w:rsidRPr="00FE30D2">
        <w:t>-</w:t>
      </w:r>
      <w:r w:rsidRPr="00FE30D2">
        <w:t xml:space="preserve">thirds (6,874) of telco customers </w:t>
      </w:r>
      <w:r w:rsidR="00C020B9" w:rsidRPr="00FE30D2">
        <w:t xml:space="preserve">in </w:t>
      </w:r>
      <w:r w:rsidRPr="00FE30D2">
        <w:t xml:space="preserve">financial hardship </w:t>
      </w:r>
      <w:r w:rsidR="00C020B9" w:rsidRPr="00FE30D2">
        <w:t xml:space="preserve">arrangements </w:t>
      </w:r>
      <w:r w:rsidR="00CF6229" w:rsidRPr="00FE30D2">
        <w:t xml:space="preserve">at 30 June 2019 </w:t>
      </w:r>
      <w:r w:rsidRPr="00FE30D2">
        <w:t xml:space="preserve">were with the </w:t>
      </w:r>
      <w:r w:rsidR="00D242CB" w:rsidRPr="00FE30D2" w:rsidDel="002B714D">
        <w:t>one</w:t>
      </w:r>
      <w:r w:rsidR="00D242CB" w:rsidRPr="00FE30D2">
        <w:t xml:space="preserve"> telco.</w:t>
      </w:r>
      <w:r w:rsidRPr="00FE30D2">
        <w:t xml:space="preserve"> We understand this was </w:t>
      </w:r>
      <w:r w:rsidR="00D54554">
        <w:t xml:space="preserve">because </w:t>
      </w:r>
      <w:r w:rsidR="00FE30D2">
        <w:t>that telco had a different process for accessing financial hardship than other telcos</w:t>
      </w:r>
      <w:r w:rsidR="00D54554">
        <w:t>,</w:t>
      </w:r>
      <w:r w:rsidR="00FE30D2">
        <w:t xml:space="preserve"> </w:t>
      </w:r>
      <w:r w:rsidR="00FE30D2">
        <w:lastRenderedPageBreak/>
        <w:t xml:space="preserve">which </w:t>
      </w:r>
      <w:r w:rsidRPr="00FE30D2">
        <w:t xml:space="preserve">led to </w:t>
      </w:r>
      <w:r w:rsidR="005A69F3" w:rsidRPr="00FE30D2">
        <w:t xml:space="preserve">a larger than usual number of its </w:t>
      </w:r>
      <w:r w:rsidRPr="00FE30D2">
        <w:t xml:space="preserve">customers applying </w:t>
      </w:r>
      <w:r w:rsidR="002D513B" w:rsidRPr="00FE30D2">
        <w:t xml:space="preserve">for </w:t>
      </w:r>
      <w:r w:rsidR="005A69F3" w:rsidRPr="00FE30D2">
        <w:t xml:space="preserve">access to </w:t>
      </w:r>
      <w:r w:rsidR="0063798E" w:rsidRPr="00FE30D2">
        <w:t>its</w:t>
      </w:r>
      <w:r w:rsidRPr="00FE30D2">
        <w:t xml:space="preserve"> program</w:t>
      </w:r>
      <w:r w:rsidR="00D54554">
        <w:t xml:space="preserve"> during the reporting period</w:t>
      </w:r>
      <w:bookmarkEnd w:id="10"/>
      <w:r w:rsidR="00310C75">
        <w:t>.</w:t>
      </w:r>
      <w:r w:rsidR="00EE28EC" w:rsidRPr="00FE30D2">
        <w:t xml:space="preserve"> </w:t>
      </w:r>
    </w:p>
    <w:p w14:paraId="260D8AC4" w14:textId="3EB96622" w:rsidR="004065C8" w:rsidRPr="008059CB" w:rsidRDefault="008F188A" w:rsidP="004924A7">
      <w:pPr>
        <w:pStyle w:val="Heading2"/>
        <w:keepNext w:val="0"/>
      </w:pPr>
      <w:bookmarkStart w:id="12" w:name="_Toc36466904"/>
      <w:r w:rsidRPr="002826B1">
        <w:t xml:space="preserve">Financial </w:t>
      </w:r>
      <w:r w:rsidRPr="0027196E">
        <w:t>hardship</w:t>
      </w:r>
      <w:r w:rsidR="004F5E4C" w:rsidRPr="002826B1">
        <w:t xml:space="preserve"> d</w:t>
      </w:r>
      <w:r w:rsidR="003D1004" w:rsidRPr="002826B1">
        <w:t>ebt</w:t>
      </w:r>
      <w:bookmarkEnd w:id="12"/>
    </w:p>
    <w:p w14:paraId="0A1B4441" w14:textId="22E0B66E" w:rsidR="006578F1" w:rsidRDefault="00FB3438" w:rsidP="004924A7">
      <w:pPr>
        <w:pStyle w:val="ListParagraph"/>
        <w:numPr>
          <w:ilvl w:val="0"/>
          <w:numId w:val="25"/>
        </w:numPr>
        <w:overflowPunct w:val="0"/>
        <w:autoSpaceDE w:val="0"/>
        <w:autoSpaceDN w:val="0"/>
        <w:adjustRightInd w:val="0"/>
        <w:spacing w:before="120" w:after="120"/>
        <w:ind w:left="284" w:hanging="284"/>
        <w:contextualSpacing w:val="0"/>
        <w:textAlignment w:val="baseline"/>
      </w:pPr>
      <w:bookmarkStart w:id="13" w:name="_Hlk33622450"/>
      <w:r>
        <w:t>Total t</w:t>
      </w:r>
      <w:r w:rsidR="003855EA">
        <w:t xml:space="preserve">elco </w:t>
      </w:r>
      <w:r w:rsidR="008F188A">
        <w:t>financial hardship</w:t>
      </w:r>
      <w:r w:rsidR="003B5F11">
        <w:t xml:space="preserve"> </w:t>
      </w:r>
      <w:r w:rsidR="00B77A50">
        <w:t>debt</w:t>
      </w:r>
      <w:r w:rsidR="003D1004">
        <w:t xml:space="preserve"> </w:t>
      </w:r>
      <w:r w:rsidR="008E5EA7">
        <w:t xml:space="preserve">was </w:t>
      </w:r>
      <w:r w:rsidR="003D1004">
        <w:t>$5</w:t>
      </w:r>
      <w:r w:rsidR="009E2B2F">
        <w:t>,</w:t>
      </w:r>
      <w:r w:rsidR="003D1004">
        <w:t>71</w:t>
      </w:r>
      <w:r w:rsidR="009E2B2F">
        <w:t>2,014</w:t>
      </w:r>
      <w:r w:rsidR="003D1004">
        <w:t xml:space="preserve"> at 30 June 2019</w:t>
      </w:r>
      <w:r w:rsidR="007C2D14">
        <w:t xml:space="preserve">, with </w:t>
      </w:r>
      <w:r w:rsidR="00B06B47">
        <w:t>77.8</w:t>
      </w:r>
      <w:r w:rsidR="007F22D0">
        <w:t xml:space="preserve"> per cent</w:t>
      </w:r>
      <w:r w:rsidR="007C2D14">
        <w:t xml:space="preserve"> </w:t>
      </w:r>
      <w:r w:rsidR="00010C84">
        <w:t xml:space="preserve">($4,447,743) </w:t>
      </w:r>
      <w:r w:rsidR="007C2D14">
        <w:t>of this relating to mobile services</w:t>
      </w:r>
      <w:r w:rsidR="00921C32">
        <w:t>.</w:t>
      </w:r>
      <w:r w:rsidR="003A152D">
        <w:t xml:space="preserve"> </w:t>
      </w:r>
    </w:p>
    <w:p w14:paraId="54AE63D0" w14:textId="7DC7A29E" w:rsidR="007F6325" w:rsidRDefault="003A152D" w:rsidP="004924A7">
      <w:pPr>
        <w:pStyle w:val="ListParagraph"/>
        <w:numPr>
          <w:ilvl w:val="0"/>
          <w:numId w:val="25"/>
        </w:numPr>
        <w:overflowPunct w:val="0"/>
        <w:autoSpaceDE w:val="0"/>
        <w:autoSpaceDN w:val="0"/>
        <w:adjustRightInd w:val="0"/>
        <w:spacing w:before="120" w:after="120"/>
        <w:ind w:left="284" w:hanging="284"/>
        <w:contextualSpacing w:val="0"/>
        <w:textAlignment w:val="baseline"/>
      </w:pPr>
      <w:r>
        <w:t>Total telco financial hardship debt at 30 June 2019 ranged from a minimum of $0 up to a maximum of $3,702,444 across the 11 telcos.</w:t>
      </w:r>
    </w:p>
    <w:p w14:paraId="05DC0362" w14:textId="24E49A7E" w:rsidR="008F0D3F" w:rsidRDefault="008F0D3F" w:rsidP="008F0D3F">
      <w:pPr>
        <w:pStyle w:val="ListParagraph"/>
        <w:numPr>
          <w:ilvl w:val="0"/>
          <w:numId w:val="25"/>
        </w:numPr>
        <w:overflowPunct w:val="0"/>
        <w:autoSpaceDE w:val="0"/>
        <w:autoSpaceDN w:val="0"/>
        <w:adjustRightInd w:val="0"/>
        <w:spacing w:before="120" w:after="120"/>
        <w:ind w:left="284" w:hanging="284"/>
        <w:contextualSpacing w:val="0"/>
        <w:textAlignment w:val="baseline"/>
      </w:pPr>
      <w:bookmarkStart w:id="14" w:name="_Hlk33625051"/>
      <w:bookmarkEnd w:id="13"/>
      <w:r>
        <w:t>The average debt</w:t>
      </w:r>
      <w:r w:rsidRPr="0084477A">
        <w:rPr>
          <w:szCs w:val="22"/>
          <w:vertAlign w:val="superscript"/>
        </w:rPr>
        <w:footnoteReference w:id="10"/>
      </w:r>
      <w:r>
        <w:t xml:space="preserve"> per telco financial hardship customer at 30 June 2019 was $557 and ranged from a minimum average debt of $0</w:t>
      </w:r>
      <w:r w:rsidR="009A2B14">
        <w:rPr>
          <w:rStyle w:val="FootnoteReference"/>
        </w:rPr>
        <w:footnoteReference w:id="11"/>
      </w:r>
      <w:r>
        <w:t xml:space="preserve"> to a maximum average debt of $1,161 across the 11 telcos. </w:t>
      </w:r>
    </w:p>
    <w:tbl>
      <w:tblPr>
        <w:tblStyle w:val="TableGrid"/>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850"/>
        <w:gridCol w:w="6527"/>
      </w:tblGrid>
      <w:tr w:rsidR="006B2361" w14:paraId="62D8782C" w14:textId="77777777" w:rsidTr="0079616F">
        <w:trPr>
          <w:trHeight w:val="515"/>
        </w:trPr>
        <w:tc>
          <w:tcPr>
            <w:tcW w:w="850" w:type="dxa"/>
            <w:shd w:val="clear" w:color="auto" w:fill="F2F2F2" w:themeFill="background1" w:themeFillShade="F2"/>
            <w:vAlign w:val="center"/>
          </w:tcPr>
          <w:p w14:paraId="4AC2FB32" w14:textId="5800DAB1" w:rsidR="006B2361" w:rsidRDefault="0079616F" w:rsidP="00FA0800">
            <w:pPr>
              <w:pStyle w:val="ListParagraph"/>
              <w:overflowPunct w:val="0"/>
              <w:autoSpaceDE w:val="0"/>
              <w:autoSpaceDN w:val="0"/>
              <w:adjustRightInd w:val="0"/>
              <w:spacing w:after="0" w:line="280" w:lineRule="atLeast"/>
              <w:ind w:left="0"/>
              <w:contextualSpacing w:val="0"/>
              <w:textAlignment w:val="baseline"/>
            </w:pPr>
            <w:r>
              <w:t xml:space="preserve"> </w:t>
            </w:r>
            <w:r w:rsidR="006B2361">
              <w:rPr>
                <w:noProof/>
              </w:rPr>
              <w:drawing>
                <wp:inline distT="0" distB="0" distL="0" distR="0" wp14:anchorId="2587087A" wp14:editId="26C84512">
                  <wp:extent cx="365760" cy="365760"/>
                  <wp:effectExtent l="0" t="0" r="0" b="0"/>
                  <wp:docPr id="6" name="Graphic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earch.svg"/>
                          <pic:cNvPicPr/>
                        </pic:nvPicPr>
                        <pic:blipFill>
                          <a:blip r:embed="rId27"/>
                          <a:stretch>
                            <a:fillRect/>
                          </a:stretch>
                        </pic:blipFill>
                        <pic:spPr>
                          <a:xfrm>
                            <a:off x="0" y="0"/>
                            <a:ext cx="367425" cy="367425"/>
                          </a:xfrm>
                          <a:prstGeom prst="rect">
                            <a:avLst/>
                          </a:prstGeom>
                        </pic:spPr>
                      </pic:pic>
                    </a:graphicData>
                  </a:graphic>
                </wp:inline>
              </w:drawing>
            </w:r>
          </w:p>
        </w:tc>
        <w:tc>
          <w:tcPr>
            <w:tcW w:w="6527" w:type="dxa"/>
            <w:shd w:val="clear" w:color="auto" w:fill="F2F2F2" w:themeFill="background1" w:themeFillShade="F2"/>
            <w:vAlign w:val="center"/>
          </w:tcPr>
          <w:p w14:paraId="509E63CE" w14:textId="56B60FB6" w:rsidR="00762AE0" w:rsidRDefault="006B2361" w:rsidP="0053343F">
            <w:pPr>
              <w:pStyle w:val="ListParagraph"/>
              <w:overflowPunct w:val="0"/>
              <w:autoSpaceDE w:val="0"/>
              <w:autoSpaceDN w:val="0"/>
              <w:adjustRightInd w:val="0"/>
              <w:spacing w:after="120"/>
              <w:ind w:left="0"/>
              <w:contextualSpacing w:val="0"/>
              <w:textAlignment w:val="baseline"/>
              <w:rPr>
                <w:i/>
                <w:iCs/>
                <w:sz w:val="18"/>
                <w:szCs w:val="18"/>
              </w:rPr>
            </w:pPr>
            <w:r w:rsidRPr="008F0D3F">
              <w:rPr>
                <w:i/>
                <w:iCs/>
                <w:sz w:val="18"/>
                <w:szCs w:val="18"/>
              </w:rPr>
              <w:t>This compares to</w:t>
            </w:r>
            <w:r w:rsidR="00762AE0">
              <w:rPr>
                <w:i/>
                <w:iCs/>
                <w:sz w:val="18"/>
                <w:szCs w:val="18"/>
              </w:rPr>
              <w:t>:</w:t>
            </w:r>
          </w:p>
          <w:p w14:paraId="118D2AA2" w14:textId="2E66C63E" w:rsidR="00762AE0" w:rsidRPr="00762AE0" w:rsidRDefault="00762AE0" w:rsidP="0053343F">
            <w:pPr>
              <w:pStyle w:val="ListParagraph"/>
              <w:numPr>
                <w:ilvl w:val="0"/>
                <w:numId w:val="30"/>
              </w:numPr>
              <w:overflowPunct w:val="0"/>
              <w:autoSpaceDE w:val="0"/>
              <w:autoSpaceDN w:val="0"/>
              <w:adjustRightInd w:val="0"/>
              <w:spacing w:after="120"/>
              <w:contextualSpacing w:val="0"/>
              <w:textAlignment w:val="baseline"/>
              <w:rPr>
                <w:i/>
                <w:iCs/>
              </w:rPr>
            </w:pPr>
            <w:r>
              <w:rPr>
                <w:i/>
                <w:iCs/>
                <w:sz w:val="18"/>
                <w:szCs w:val="18"/>
              </w:rPr>
              <w:t>T</w:t>
            </w:r>
            <w:r w:rsidR="006B2361" w:rsidRPr="008F0D3F">
              <w:rPr>
                <w:i/>
                <w:iCs/>
                <w:sz w:val="18"/>
                <w:szCs w:val="18"/>
              </w:rPr>
              <w:t xml:space="preserve">he average debt </w:t>
            </w:r>
            <w:r>
              <w:rPr>
                <w:i/>
                <w:iCs/>
                <w:sz w:val="18"/>
                <w:szCs w:val="18"/>
              </w:rPr>
              <w:t xml:space="preserve">of $1,305 </w:t>
            </w:r>
            <w:r w:rsidR="006B2361" w:rsidRPr="008F0D3F">
              <w:rPr>
                <w:i/>
                <w:iCs/>
                <w:sz w:val="18"/>
                <w:szCs w:val="18"/>
              </w:rPr>
              <w:t xml:space="preserve">for </w:t>
            </w:r>
            <w:r>
              <w:rPr>
                <w:i/>
                <w:iCs/>
                <w:sz w:val="18"/>
                <w:szCs w:val="18"/>
              </w:rPr>
              <w:t xml:space="preserve">residential electricity customers in </w:t>
            </w:r>
            <w:r w:rsidR="006B2361" w:rsidRPr="008F0D3F">
              <w:rPr>
                <w:i/>
                <w:iCs/>
                <w:sz w:val="18"/>
                <w:szCs w:val="18"/>
              </w:rPr>
              <w:t xml:space="preserve">financial hardship </w:t>
            </w:r>
            <w:r>
              <w:rPr>
                <w:i/>
                <w:iCs/>
                <w:sz w:val="18"/>
                <w:szCs w:val="18"/>
              </w:rPr>
              <w:t>programs</w:t>
            </w:r>
            <w:r w:rsidR="00E23F92">
              <w:rPr>
                <w:i/>
                <w:iCs/>
                <w:sz w:val="18"/>
                <w:szCs w:val="18"/>
              </w:rPr>
              <w:t xml:space="preserve"> </w:t>
            </w:r>
            <w:r w:rsidR="00316786">
              <w:rPr>
                <w:i/>
                <w:iCs/>
                <w:sz w:val="18"/>
                <w:szCs w:val="18"/>
              </w:rPr>
              <w:t xml:space="preserve">across </w:t>
            </w:r>
            <w:r w:rsidR="00AC5471">
              <w:rPr>
                <w:i/>
                <w:iCs/>
                <w:sz w:val="18"/>
                <w:szCs w:val="18"/>
              </w:rPr>
              <w:t>Qld, ACT, Tas</w:t>
            </w:r>
            <w:r w:rsidR="00D54554">
              <w:rPr>
                <w:i/>
                <w:iCs/>
                <w:sz w:val="18"/>
                <w:szCs w:val="18"/>
              </w:rPr>
              <w:t>.</w:t>
            </w:r>
            <w:r w:rsidR="00AC5471">
              <w:rPr>
                <w:i/>
                <w:iCs/>
                <w:sz w:val="18"/>
                <w:szCs w:val="18"/>
              </w:rPr>
              <w:t>, SA and NSW</w:t>
            </w:r>
            <w:r>
              <w:rPr>
                <w:i/>
                <w:iCs/>
                <w:sz w:val="18"/>
                <w:szCs w:val="18"/>
              </w:rPr>
              <w:t>.</w:t>
            </w:r>
            <w:r w:rsidR="0053343F" w:rsidRPr="00E035C4">
              <w:rPr>
                <w:rFonts w:cs="Arial"/>
                <w:szCs w:val="22"/>
                <w:vertAlign w:val="superscript"/>
              </w:rPr>
              <w:footnoteReference w:id="12"/>
            </w:r>
          </w:p>
          <w:p w14:paraId="7F1ABBB3" w14:textId="37D016B6" w:rsidR="00762AE0" w:rsidRDefault="00762AE0" w:rsidP="0053343F">
            <w:pPr>
              <w:pStyle w:val="ListParagraph"/>
              <w:numPr>
                <w:ilvl w:val="0"/>
                <w:numId w:val="30"/>
              </w:numPr>
              <w:overflowPunct w:val="0"/>
              <w:autoSpaceDE w:val="0"/>
              <w:autoSpaceDN w:val="0"/>
              <w:adjustRightInd w:val="0"/>
              <w:spacing w:after="120"/>
              <w:contextualSpacing w:val="0"/>
              <w:textAlignment w:val="baseline"/>
              <w:rPr>
                <w:i/>
                <w:iCs/>
              </w:rPr>
            </w:pPr>
            <w:r>
              <w:rPr>
                <w:i/>
                <w:iCs/>
                <w:sz w:val="18"/>
                <w:szCs w:val="18"/>
              </w:rPr>
              <w:t xml:space="preserve">The average debt of </w:t>
            </w:r>
            <w:r w:rsidR="006B2361" w:rsidRPr="008F0D3F">
              <w:rPr>
                <w:i/>
                <w:iCs/>
                <w:sz w:val="18"/>
                <w:szCs w:val="18"/>
              </w:rPr>
              <w:t>$674 for residential gas customers</w:t>
            </w:r>
            <w:r>
              <w:rPr>
                <w:i/>
                <w:iCs/>
                <w:sz w:val="18"/>
                <w:szCs w:val="18"/>
              </w:rPr>
              <w:t xml:space="preserve"> in financial hardship programs</w:t>
            </w:r>
            <w:r w:rsidR="00E23F92">
              <w:rPr>
                <w:i/>
                <w:iCs/>
                <w:sz w:val="18"/>
                <w:szCs w:val="18"/>
              </w:rPr>
              <w:t xml:space="preserve"> </w:t>
            </w:r>
            <w:r w:rsidR="00316786">
              <w:rPr>
                <w:i/>
                <w:iCs/>
                <w:sz w:val="18"/>
                <w:szCs w:val="18"/>
              </w:rPr>
              <w:t xml:space="preserve">across </w:t>
            </w:r>
            <w:r w:rsidR="00AC5471">
              <w:rPr>
                <w:i/>
                <w:iCs/>
                <w:sz w:val="18"/>
                <w:szCs w:val="18"/>
              </w:rPr>
              <w:t>Qld, ACT, SA and NSW</w:t>
            </w:r>
            <w:r w:rsidR="006B2361" w:rsidRPr="006B2361">
              <w:rPr>
                <w:i/>
                <w:iCs/>
              </w:rPr>
              <w:t>.</w:t>
            </w:r>
            <w:r w:rsidR="006B2361" w:rsidRPr="00E035C4">
              <w:rPr>
                <w:rFonts w:cs="Arial"/>
                <w:szCs w:val="22"/>
                <w:vertAlign w:val="superscript"/>
              </w:rPr>
              <w:footnoteReference w:id="13"/>
            </w:r>
          </w:p>
          <w:p w14:paraId="352B8D4C" w14:textId="4EC811F8" w:rsidR="006B2361" w:rsidRPr="005F3F9D" w:rsidRDefault="00762AE0" w:rsidP="007C5FDA">
            <w:pPr>
              <w:pStyle w:val="ListParagraph"/>
              <w:numPr>
                <w:ilvl w:val="0"/>
                <w:numId w:val="30"/>
              </w:numPr>
              <w:overflowPunct w:val="0"/>
              <w:autoSpaceDE w:val="0"/>
              <w:autoSpaceDN w:val="0"/>
              <w:adjustRightInd w:val="0"/>
              <w:spacing w:after="120"/>
              <w:contextualSpacing w:val="0"/>
              <w:textAlignment w:val="baseline"/>
              <w:rPr>
                <w:i/>
                <w:iCs/>
              </w:rPr>
            </w:pPr>
            <w:r>
              <w:rPr>
                <w:i/>
                <w:iCs/>
                <w:sz w:val="18"/>
                <w:szCs w:val="18"/>
              </w:rPr>
              <w:t xml:space="preserve">The </w:t>
            </w:r>
            <w:r w:rsidR="007C5FDA">
              <w:rPr>
                <w:i/>
                <w:iCs/>
                <w:sz w:val="18"/>
                <w:szCs w:val="18"/>
              </w:rPr>
              <w:t xml:space="preserve">average debt of $1,463 for residential energy customers in </w:t>
            </w:r>
            <w:r w:rsidR="0034313A">
              <w:rPr>
                <w:i/>
                <w:iCs/>
                <w:sz w:val="18"/>
                <w:szCs w:val="18"/>
              </w:rPr>
              <w:t xml:space="preserve">financial </w:t>
            </w:r>
            <w:r w:rsidR="007C5FDA">
              <w:rPr>
                <w:i/>
                <w:iCs/>
                <w:sz w:val="18"/>
                <w:szCs w:val="18"/>
              </w:rPr>
              <w:t>hardship programs</w:t>
            </w:r>
            <w:r w:rsidR="00E23F92">
              <w:rPr>
                <w:i/>
                <w:iCs/>
                <w:sz w:val="18"/>
                <w:szCs w:val="18"/>
              </w:rPr>
              <w:t xml:space="preserve"> in Vic</w:t>
            </w:r>
            <w:r w:rsidR="00900485">
              <w:rPr>
                <w:i/>
                <w:iCs/>
                <w:sz w:val="18"/>
                <w:szCs w:val="18"/>
              </w:rPr>
              <w:t>.</w:t>
            </w:r>
            <w:r w:rsidR="007C5FDA" w:rsidRPr="00F87F8C">
              <w:rPr>
                <w:rStyle w:val="FootnoteReference"/>
                <w:szCs w:val="20"/>
              </w:rPr>
              <w:footnoteReference w:id="14"/>
            </w:r>
            <w:r w:rsidR="007C5FDA">
              <w:rPr>
                <w:i/>
                <w:iCs/>
                <w:sz w:val="18"/>
                <w:szCs w:val="18"/>
              </w:rPr>
              <w:t xml:space="preserve"> </w:t>
            </w:r>
          </w:p>
        </w:tc>
      </w:tr>
    </w:tbl>
    <w:p w14:paraId="7B82A0AA" w14:textId="3C803392" w:rsidR="004103B2" w:rsidRDefault="00F56718" w:rsidP="00BA6BF8">
      <w:pPr>
        <w:pStyle w:val="ListParagraph"/>
        <w:numPr>
          <w:ilvl w:val="0"/>
          <w:numId w:val="25"/>
        </w:numPr>
        <w:overflowPunct w:val="0"/>
        <w:autoSpaceDE w:val="0"/>
        <w:autoSpaceDN w:val="0"/>
        <w:adjustRightInd w:val="0"/>
        <w:spacing w:before="120" w:after="120"/>
        <w:ind w:left="284" w:hanging="284"/>
        <w:contextualSpacing w:val="0"/>
        <w:textAlignment w:val="baseline"/>
      </w:pPr>
      <w:bookmarkStart w:id="15" w:name="_Hlk33622475"/>
      <w:bookmarkEnd w:id="14"/>
      <w:r>
        <w:t xml:space="preserve">Ten </w:t>
      </w:r>
      <w:r w:rsidR="004103B2">
        <w:t xml:space="preserve">out of the 11 telcos had an average financial hardship debt </w:t>
      </w:r>
      <w:r w:rsidR="00D876F8">
        <w:t xml:space="preserve">at 30 June 2019 </w:t>
      </w:r>
      <w:r w:rsidR="004103B2">
        <w:t>that was less than the average financial hardship debt of $674 for residential gas customers</w:t>
      </w:r>
      <w:r w:rsidR="006578F1">
        <w:t xml:space="preserve"> </w:t>
      </w:r>
      <w:r w:rsidR="007A28D4">
        <w:t>in financial hardship programs</w:t>
      </w:r>
      <w:r w:rsidR="000343EE">
        <w:t xml:space="preserve"> across </w:t>
      </w:r>
      <w:r w:rsidR="009A6B68" w:rsidRPr="009A6B68">
        <w:t>Qld, ACT, SA and NSW</w:t>
      </w:r>
      <w:r w:rsidR="004103B2">
        <w:t>.</w:t>
      </w:r>
    </w:p>
    <w:p w14:paraId="467B5704" w14:textId="77777777" w:rsidR="00956B8C" w:rsidRDefault="00956B8C" w:rsidP="00BA6BF8">
      <w:pPr>
        <w:pStyle w:val="ListParagraph"/>
        <w:numPr>
          <w:ilvl w:val="0"/>
          <w:numId w:val="25"/>
        </w:numPr>
        <w:overflowPunct w:val="0"/>
        <w:autoSpaceDE w:val="0"/>
        <w:autoSpaceDN w:val="0"/>
        <w:adjustRightInd w:val="0"/>
        <w:spacing w:before="120" w:after="120"/>
        <w:ind w:left="284" w:hanging="284"/>
        <w:contextualSpacing w:val="0"/>
        <w:textAlignment w:val="baseline"/>
      </w:pPr>
      <w:r>
        <w:t xml:space="preserve">51.7 per cent (18,884) of the 36,541 telco customers who entered into a financial hardship arrangement during 2018–19 had less than $500 of telco debt. </w:t>
      </w:r>
    </w:p>
    <w:tbl>
      <w:tblPr>
        <w:tblStyle w:val="TableGrid"/>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850"/>
        <w:gridCol w:w="6527"/>
      </w:tblGrid>
      <w:tr w:rsidR="00956B8C" w14:paraId="12E93396" w14:textId="77777777" w:rsidTr="0079616F">
        <w:trPr>
          <w:trHeight w:val="681"/>
        </w:trPr>
        <w:tc>
          <w:tcPr>
            <w:tcW w:w="850" w:type="dxa"/>
            <w:shd w:val="clear" w:color="auto" w:fill="F2F2F2" w:themeFill="background1" w:themeFillShade="F2"/>
            <w:vAlign w:val="center"/>
          </w:tcPr>
          <w:p w14:paraId="04C5FD5D" w14:textId="0ABEE26B" w:rsidR="00956B8C" w:rsidRDefault="0079616F" w:rsidP="007F0DC4">
            <w:pPr>
              <w:pStyle w:val="ListParagraph"/>
              <w:keepNext/>
              <w:keepLines/>
              <w:overflowPunct w:val="0"/>
              <w:autoSpaceDE w:val="0"/>
              <w:autoSpaceDN w:val="0"/>
              <w:adjustRightInd w:val="0"/>
              <w:spacing w:after="0" w:line="280" w:lineRule="atLeast"/>
              <w:ind w:left="0"/>
              <w:contextualSpacing w:val="0"/>
              <w:textAlignment w:val="baseline"/>
            </w:pPr>
            <w:r>
              <w:lastRenderedPageBreak/>
              <w:t xml:space="preserve"> </w:t>
            </w:r>
            <w:r>
              <w:rPr>
                <w:noProof/>
              </w:rPr>
              <w:drawing>
                <wp:inline distT="0" distB="0" distL="0" distR="0" wp14:anchorId="39D666B4" wp14:editId="2CC3ADB3">
                  <wp:extent cx="365760" cy="365760"/>
                  <wp:effectExtent l="0" t="0" r="0" b="0"/>
                  <wp:docPr id="43" name="Graphic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earch.svg"/>
                          <pic:cNvPicPr/>
                        </pic:nvPicPr>
                        <pic:blipFill>
                          <a:blip r:embed="rId27"/>
                          <a:stretch>
                            <a:fillRect/>
                          </a:stretch>
                        </pic:blipFill>
                        <pic:spPr>
                          <a:xfrm>
                            <a:off x="0" y="0"/>
                            <a:ext cx="367425" cy="367425"/>
                          </a:xfrm>
                          <a:prstGeom prst="rect">
                            <a:avLst/>
                          </a:prstGeom>
                        </pic:spPr>
                      </pic:pic>
                    </a:graphicData>
                  </a:graphic>
                </wp:inline>
              </w:drawing>
            </w:r>
          </w:p>
        </w:tc>
        <w:tc>
          <w:tcPr>
            <w:tcW w:w="6527" w:type="dxa"/>
            <w:shd w:val="clear" w:color="auto" w:fill="F2F2F2" w:themeFill="background1" w:themeFillShade="F2"/>
            <w:vAlign w:val="center"/>
          </w:tcPr>
          <w:p w14:paraId="3A958225" w14:textId="77777777" w:rsidR="00956B8C" w:rsidRDefault="00956B8C" w:rsidP="007F0DC4">
            <w:pPr>
              <w:pStyle w:val="ListParagraph"/>
              <w:keepNext/>
              <w:keepLines/>
              <w:overflowPunct w:val="0"/>
              <w:autoSpaceDE w:val="0"/>
              <w:autoSpaceDN w:val="0"/>
              <w:adjustRightInd w:val="0"/>
              <w:spacing w:after="120"/>
              <w:ind w:left="0"/>
              <w:contextualSpacing w:val="0"/>
              <w:textAlignment w:val="baseline"/>
              <w:rPr>
                <w:i/>
                <w:iCs/>
                <w:sz w:val="18"/>
                <w:szCs w:val="18"/>
              </w:rPr>
            </w:pPr>
            <w:r w:rsidRPr="008F0D3F">
              <w:rPr>
                <w:i/>
                <w:iCs/>
                <w:sz w:val="18"/>
                <w:szCs w:val="18"/>
              </w:rPr>
              <w:t>This compares to</w:t>
            </w:r>
            <w:r>
              <w:rPr>
                <w:i/>
                <w:iCs/>
                <w:sz w:val="18"/>
                <w:szCs w:val="18"/>
              </w:rPr>
              <w:t>:</w:t>
            </w:r>
          </w:p>
          <w:p w14:paraId="14AEA979" w14:textId="663BC0B8" w:rsidR="00956B8C" w:rsidRPr="001A5364" w:rsidRDefault="00956B8C" w:rsidP="007F0DC4">
            <w:pPr>
              <w:pStyle w:val="ListParagraph"/>
              <w:keepNext/>
              <w:keepLines/>
              <w:numPr>
                <w:ilvl w:val="0"/>
                <w:numId w:val="31"/>
              </w:numPr>
              <w:overflowPunct w:val="0"/>
              <w:autoSpaceDE w:val="0"/>
              <w:autoSpaceDN w:val="0"/>
              <w:adjustRightInd w:val="0"/>
              <w:spacing w:after="120"/>
              <w:contextualSpacing w:val="0"/>
              <w:textAlignment w:val="baseline"/>
            </w:pPr>
            <w:r w:rsidRPr="008F0D3F">
              <w:rPr>
                <w:i/>
                <w:iCs/>
                <w:sz w:val="18"/>
                <w:szCs w:val="18"/>
              </w:rPr>
              <w:t>50 per cent of residential electricity customers</w:t>
            </w:r>
            <w:r w:rsidR="00E23F92">
              <w:rPr>
                <w:i/>
                <w:iCs/>
                <w:sz w:val="18"/>
                <w:szCs w:val="18"/>
              </w:rPr>
              <w:t xml:space="preserve"> </w:t>
            </w:r>
            <w:r w:rsidR="0034313A">
              <w:rPr>
                <w:i/>
                <w:iCs/>
                <w:sz w:val="18"/>
                <w:szCs w:val="18"/>
              </w:rPr>
              <w:t xml:space="preserve">entered </w:t>
            </w:r>
            <w:r>
              <w:rPr>
                <w:i/>
                <w:iCs/>
                <w:sz w:val="18"/>
                <w:szCs w:val="18"/>
              </w:rPr>
              <w:t>financial hardship programs with less than $500 of debt</w:t>
            </w:r>
            <w:r w:rsidR="00E23F92">
              <w:rPr>
                <w:i/>
                <w:iCs/>
                <w:sz w:val="18"/>
                <w:szCs w:val="18"/>
              </w:rPr>
              <w:t xml:space="preserve"> </w:t>
            </w:r>
            <w:r w:rsidR="00316786">
              <w:rPr>
                <w:i/>
                <w:iCs/>
                <w:sz w:val="18"/>
                <w:szCs w:val="18"/>
              </w:rPr>
              <w:t xml:space="preserve">across </w:t>
            </w:r>
            <w:r w:rsidR="00661519">
              <w:rPr>
                <w:i/>
                <w:iCs/>
                <w:sz w:val="18"/>
                <w:szCs w:val="18"/>
              </w:rPr>
              <w:t>Qld, ACT, Tas</w:t>
            </w:r>
            <w:r w:rsidR="00D54554">
              <w:rPr>
                <w:i/>
                <w:iCs/>
                <w:sz w:val="18"/>
                <w:szCs w:val="18"/>
              </w:rPr>
              <w:t>.</w:t>
            </w:r>
            <w:r w:rsidR="00661519">
              <w:rPr>
                <w:i/>
                <w:iCs/>
                <w:sz w:val="18"/>
                <w:szCs w:val="18"/>
              </w:rPr>
              <w:t>, SA and NSW</w:t>
            </w:r>
            <w:r>
              <w:rPr>
                <w:i/>
                <w:iCs/>
                <w:sz w:val="18"/>
                <w:szCs w:val="18"/>
              </w:rPr>
              <w:t>.</w:t>
            </w:r>
            <w:r w:rsidRPr="00E035C4">
              <w:rPr>
                <w:rStyle w:val="FootnoteReference"/>
              </w:rPr>
              <w:footnoteReference w:id="15"/>
            </w:r>
          </w:p>
          <w:p w14:paraId="0BA84D3E" w14:textId="1B73BCA5" w:rsidR="00956B8C" w:rsidRPr="001A5364" w:rsidRDefault="00956B8C" w:rsidP="007F0DC4">
            <w:pPr>
              <w:pStyle w:val="ListParagraph"/>
              <w:keepNext/>
              <w:keepLines/>
              <w:numPr>
                <w:ilvl w:val="0"/>
                <w:numId w:val="31"/>
              </w:numPr>
              <w:overflowPunct w:val="0"/>
              <w:autoSpaceDE w:val="0"/>
              <w:autoSpaceDN w:val="0"/>
              <w:adjustRightInd w:val="0"/>
              <w:spacing w:after="120"/>
              <w:contextualSpacing w:val="0"/>
              <w:textAlignment w:val="baseline"/>
            </w:pPr>
            <w:r w:rsidRPr="008F0D3F">
              <w:rPr>
                <w:i/>
                <w:iCs/>
                <w:sz w:val="18"/>
                <w:szCs w:val="18"/>
              </w:rPr>
              <w:t>66 per cent of residential gas customers enter</w:t>
            </w:r>
            <w:r w:rsidR="0034313A">
              <w:rPr>
                <w:i/>
                <w:iCs/>
                <w:sz w:val="18"/>
                <w:szCs w:val="18"/>
              </w:rPr>
              <w:t>ed</w:t>
            </w:r>
            <w:r w:rsidRPr="008F0D3F">
              <w:rPr>
                <w:i/>
                <w:iCs/>
                <w:sz w:val="18"/>
                <w:szCs w:val="18"/>
              </w:rPr>
              <w:t xml:space="preserve"> financial hardship programs with less than $500 of debt</w:t>
            </w:r>
            <w:r w:rsidR="00E23F92">
              <w:rPr>
                <w:i/>
                <w:iCs/>
                <w:sz w:val="18"/>
                <w:szCs w:val="18"/>
              </w:rPr>
              <w:t xml:space="preserve"> </w:t>
            </w:r>
            <w:r w:rsidR="00316786">
              <w:rPr>
                <w:i/>
                <w:iCs/>
                <w:sz w:val="18"/>
                <w:szCs w:val="18"/>
              </w:rPr>
              <w:t xml:space="preserve">across </w:t>
            </w:r>
            <w:r w:rsidR="00661519">
              <w:rPr>
                <w:i/>
                <w:iCs/>
                <w:sz w:val="18"/>
                <w:szCs w:val="18"/>
              </w:rPr>
              <w:t>Qld, ACT, SA and NSW</w:t>
            </w:r>
            <w:r>
              <w:rPr>
                <w:i/>
                <w:iCs/>
                <w:sz w:val="18"/>
                <w:szCs w:val="18"/>
              </w:rPr>
              <w:t>.</w:t>
            </w:r>
            <w:r w:rsidRPr="00E035C4">
              <w:rPr>
                <w:rStyle w:val="FootnoteReference"/>
              </w:rPr>
              <w:footnoteReference w:id="16"/>
            </w:r>
          </w:p>
          <w:p w14:paraId="52A80589" w14:textId="4218C050" w:rsidR="00956B8C" w:rsidRPr="007D6800" w:rsidRDefault="00956B8C" w:rsidP="007F0DC4">
            <w:pPr>
              <w:pStyle w:val="ListParagraph"/>
              <w:keepNext/>
              <w:keepLines/>
              <w:numPr>
                <w:ilvl w:val="0"/>
                <w:numId w:val="31"/>
              </w:numPr>
              <w:overflowPunct w:val="0"/>
              <w:autoSpaceDE w:val="0"/>
              <w:autoSpaceDN w:val="0"/>
              <w:adjustRightInd w:val="0"/>
              <w:spacing w:after="120"/>
              <w:contextualSpacing w:val="0"/>
              <w:textAlignment w:val="baseline"/>
            </w:pPr>
            <w:r>
              <w:rPr>
                <w:i/>
                <w:iCs/>
                <w:sz w:val="18"/>
                <w:szCs w:val="18"/>
              </w:rPr>
              <w:t>55 per cent of residential electricity customers and 64 per cent of residential gas customers in Vic</w:t>
            </w:r>
            <w:r w:rsidR="00D54554">
              <w:rPr>
                <w:i/>
                <w:iCs/>
                <w:sz w:val="18"/>
                <w:szCs w:val="18"/>
              </w:rPr>
              <w:t>.</w:t>
            </w:r>
            <w:r>
              <w:rPr>
                <w:i/>
                <w:iCs/>
                <w:sz w:val="18"/>
                <w:szCs w:val="18"/>
              </w:rPr>
              <w:t xml:space="preserve"> </w:t>
            </w:r>
            <w:r w:rsidR="0034313A">
              <w:rPr>
                <w:i/>
                <w:iCs/>
                <w:sz w:val="18"/>
                <w:szCs w:val="18"/>
              </w:rPr>
              <w:t>entered</w:t>
            </w:r>
            <w:r>
              <w:rPr>
                <w:i/>
                <w:iCs/>
                <w:sz w:val="18"/>
                <w:szCs w:val="18"/>
              </w:rPr>
              <w:t xml:space="preserve"> </w:t>
            </w:r>
            <w:r w:rsidR="00DD7C6D">
              <w:rPr>
                <w:i/>
                <w:iCs/>
                <w:sz w:val="18"/>
                <w:szCs w:val="18"/>
              </w:rPr>
              <w:t xml:space="preserve">a tailored </w:t>
            </w:r>
            <w:r>
              <w:rPr>
                <w:i/>
                <w:iCs/>
                <w:sz w:val="18"/>
                <w:szCs w:val="18"/>
              </w:rPr>
              <w:t xml:space="preserve">assistance </w:t>
            </w:r>
            <w:r w:rsidR="00DD7C6D">
              <w:rPr>
                <w:i/>
                <w:iCs/>
                <w:sz w:val="18"/>
                <w:szCs w:val="18"/>
              </w:rPr>
              <w:t>arrangement</w:t>
            </w:r>
            <w:r w:rsidR="00961D94">
              <w:rPr>
                <w:rStyle w:val="FootnoteReference"/>
                <w:i/>
                <w:iCs/>
                <w:sz w:val="18"/>
                <w:szCs w:val="18"/>
              </w:rPr>
              <w:footnoteReference w:id="17"/>
            </w:r>
            <w:r w:rsidR="00DD7C6D">
              <w:rPr>
                <w:i/>
                <w:iCs/>
                <w:sz w:val="18"/>
                <w:szCs w:val="18"/>
              </w:rPr>
              <w:t xml:space="preserve"> </w:t>
            </w:r>
            <w:r>
              <w:rPr>
                <w:i/>
                <w:iCs/>
                <w:sz w:val="18"/>
                <w:szCs w:val="18"/>
              </w:rPr>
              <w:t>before they reached $500 in arrears.</w:t>
            </w:r>
            <w:r w:rsidRPr="001A5364">
              <w:rPr>
                <w:rStyle w:val="FootnoteReference"/>
                <w:sz w:val="18"/>
                <w:szCs w:val="18"/>
              </w:rPr>
              <w:footnoteReference w:id="18"/>
            </w:r>
          </w:p>
        </w:tc>
      </w:tr>
    </w:tbl>
    <w:p w14:paraId="176CBAAA" w14:textId="77777777" w:rsidR="00956B8C" w:rsidRDefault="00956B8C" w:rsidP="004924A7">
      <w:pPr>
        <w:pStyle w:val="ListParagraph"/>
        <w:numPr>
          <w:ilvl w:val="0"/>
          <w:numId w:val="25"/>
        </w:numPr>
        <w:overflowPunct w:val="0"/>
        <w:autoSpaceDE w:val="0"/>
        <w:autoSpaceDN w:val="0"/>
        <w:adjustRightInd w:val="0"/>
        <w:spacing w:before="120" w:after="120"/>
        <w:ind w:left="284" w:hanging="284"/>
        <w:contextualSpacing w:val="0"/>
        <w:textAlignment w:val="baseline"/>
      </w:pPr>
      <w:r w:rsidRPr="00C9398C">
        <w:t>7</w:t>
      </w:r>
      <w:r>
        <w:t>.1</w:t>
      </w:r>
      <w:r w:rsidRPr="00C9398C">
        <w:t xml:space="preserve"> per cent (2,594) </w:t>
      </w:r>
      <w:r>
        <w:t xml:space="preserve">of the 36,541 telco customers who entered into a financial hardship arrangement during 2018–19 </w:t>
      </w:r>
      <w:r w:rsidRPr="00C9398C">
        <w:t>had a telco debt greater than $1,500.</w:t>
      </w:r>
    </w:p>
    <w:tbl>
      <w:tblPr>
        <w:tblStyle w:val="TableGrid"/>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850"/>
        <w:gridCol w:w="6527"/>
      </w:tblGrid>
      <w:tr w:rsidR="00956B8C" w14:paraId="58D17B90" w14:textId="77777777" w:rsidTr="0079616F">
        <w:trPr>
          <w:trHeight w:val="1117"/>
        </w:trPr>
        <w:tc>
          <w:tcPr>
            <w:tcW w:w="850" w:type="dxa"/>
            <w:shd w:val="clear" w:color="auto" w:fill="F2F2F2" w:themeFill="background1" w:themeFillShade="F2"/>
            <w:vAlign w:val="center"/>
          </w:tcPr>
          <w:p w14:paraId="4141D5F0" w14:textId="5AC85D4A" w:rsidR="00956B8C" w:rsidRDefault="0079616F" w:rsidP="004924A7">
            <w:pPr>
              <w:pStyle w:val="ListParagraph"/>
              <w:overflowPunct w:val="0"/>
              <w:autoSpaceDE w:val="0"/>
              <w:autoSpaceDN w:val="0"/>
              <w:adjustRightInd w:val="0"/>
              <w:spacing w:after="0" w:line="280" w:lineRule="atLeast"/>
              <w:ind w:left="0"/>
              <w:contextualSpacing w:val="0"/>
              <w:textAlignment w:val="baseline"/>
            </w:pPr>
            <w:r>
              <w:t xml:space="preserve"> </w:t>
            </w:r>
            <w:r>
              <w:rPr>
                <w:noProof/>
              </w:rPr>
              <w:drawing>
                <wp:inline distT="0" distB="0" distL="0" distR="0" wp14:anchorId="11FF81A5" wp14:editId="6AB44CB3">
                  <wp:extent cx="365760" cy="365760"/>
                  <wp:effectExtent l="0" t="0" r="0" b="0"/>
                  <wp:docPr id="44" name="Graphic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earch.svg"/>
                          <pic:cNvPicPr/>
                        </pic:nvPicPr>
                        <pic:blipFill>
                          <a:blip r:embed="rId27"/>
                          <a:stretch>
                            <a:fillRect/>
                          </a:stretch>
                        </pic:blipFill>
                        <pic:spPr>
                          <a:xfrm>
                            <a:off x="0" y="0"/>
                            <a:ext cx="367425" cy="367425"/>
                          </a:xfrm>
                          <a:prstGeom prst="rect">
                            <a:avLst/>
                          </a:prstGeom>
                        </pic:spPr>
                      </pic:pic>
                    </a:graphicData>
                  </a:graphic>
                </wp:inline>
              </w:drawing>
            </w:r>
          </w:p>
        </w:tc>
        <w:tc>
          <w:tcPr>
            <w:tcW w:w="6527" w:type="dxa"/>
            <w:shd w:val="clear" w:color="auto" w:fill="F2F2F2" w:themeFill="background1" w:themeFillShade="F2"/>
            <w:vAlign w:val="center"/>
          </w:tcPr>
          <w:p w14:paraId="15B92B49" w14:textId="77777777" w:rsidR="00956B8C" w:rsidRDefault="00956B8C" w:rsidP="004924A7">
            <w:pPr>
              <w:pStyle w:val="ListParagraph"/>
              <w:overflowPunct w:val="0"/>
              <w:autoSpaceDE w:val="0"/>
              <w:autoSpaceDN w:val="0"/>
              <w:adjustRightInd w:val="0"/>
              <w:spacing w:after="120"/>
              <w:ind w:left="0"/>
              <w:contextualSpacing w:val="0"/>
              <w:textAlignment w:val="baseline"/>
              <w:rPr>
                <w:i/>
                <w:iCs/>
                <w:sz w:val="18"/>
                <w:szCs w:val="18"/>
              </w:rPr>
            </w:pPr>
            <w:r w:rsidRPr="008F0D3F">
              <w:rPr>
                <w:i/>
                <w:iCs/>
                <w:sz w:val="18"/>
                <w:szCs w:val="18"/>
              </w:rPr>
              <w:t>This compares to</w:t>
            </w:r>
            <w:r>
              <w:rPr>
                <w:i/>
                <w:iCs/>
                <w:sz w:val="18"/>
                <w:szCs w:val="18"/>
              </w:rPr>
              <w:t>:</w:t>
            </w:r>
          </w:p>
          <w:p w14:paraId="7BBE53DA" w14:textId="0AF301C7" w:rsidR="00956B8C" w:rsidRPr="001A5364" w:rsidRDefault="00956B8C" w:rsidP="004924A7">
            <w:pPr>
              <w:pStyle w:val="ListParagraph"/>
              <w:numPr>
                <w:ilvl w:val="0"/>
                <w:numId w:val="31"/>
              </w:numPr>
              <w:overflowPunct w:val="0"/>
              <w:autoSpaceDE w:val="0"/>
              <w:autoSpaceDN w:val="0"/>
              <w:adjustRightInd w:val="0"/>
              <w:spacing w:after="120"/>
              <w:contextualSpacing w:val="0"/>
              <w:textAlignment w:val="baseline"/>
            </w:pPr>
            <w:r w:rsidRPr="008F0D3F">
              <w:rPr>
                <w:i/>
                <w:iCs/>
                <w:sz w:val="18"/>
                <w:szCs w:val="18"/>
              </w:rPr>
              <w:t xml:space="preserve">22 per cent of residential electricity customers </w:t>
            </w:r>
            <w:r>
              <w:rPr>
                <w:i/>
                <w:iCs/>
                <w:sz w:val="18"/>
                <w:szCs w:val="18"/>
              </w:rPr>
              <w:t>enter</w:t>
            </w:r>
            <w:r w:rsidR="0034313A">
              <w:rPr>
                <w:i/>
                <w:iCs/>
                <w:sz w:val="18"/>
                <w:szCs w:val="18"/>
              </w:rPr>
              <w:t>ed</w:t>
            </w:r>
            <w:r>
              <w:rPr>
                <w:i/>
                <w:iCs/>
                <w:sz w:val="18"/>
                <w:szCs w:val="18"/>
              </w:rPr>
              <w:t xml:space="preserve"> financial hardship programs with a debt greater than $1,500</w:t>
            </w:r>
            <w:r w:rsidR="008E436D">
              <w:rPr>
                <w:i/>
                <w:iCs/>
                <w:sz w:val="18"/>
                <w:szCs w:val="18"/>
              </w:rPr>
              <w:t xml:space="preserve"> across </w:t>
            </w:r>
            <w:r w:rsidR="00C04508">
              <w:rPr>
                <w:i/>
                <w:iCs/>
                <w:sz w:val="18"/>
                <w:szCs w:val="18"/>
              </w:rPr>
              <w:t>Qld, ACT, Tas</w:t>
            </w:r>
            <w:r w:rsidR="002F4CAF">
              <w:rPr>
                <w:i/>
                <w:iCs/>
                <w:sz w:val="18"/>
                <w:szCs w:val="18"/>
              </w:rPr>
              <w:t>.</w:t>
            </w:r>
            <w:r w:rsidR="00C04508">
              <w:rPr>
                <w:i/>
                <w:iCs/>
                <w:sz w:val="18"/>
                <w:szCs w:val="18"/>
              </w:rPr>
              <w:t>, SA and NSW</w:t>
            </w:r>
            <w:r>
              <w:rPr>
                <w:i/>
                <w:iCs/>
                <w:sz w:val="18"/>
                <w:szCs w:val="18"/>
              </w:rPr>
              <w:t>.</w:t>
            </w:r>
            <w:r w:rsidRPr="00E035C4">
              <w:rPr>
                <w:rStyle w:val="FootnoteReference"/>
              </w:rPr>
              <w:footnoteReference w:id="19"/>
            </w:r>
          </w:p>
          <w:p w14:paraId="4FA3C536" w14:textId="0BF14E11" w:rsidR="00956B8C" w:rsidRPr="007D6800" w:rsidRDefault="00956B8C" w:rsidP="004924A7">
            <w:pPr>
              <w:pStyle w:val="ListParagraph"/>
              <w:numPr>
                <w:ilvl w:val="0"/>
                <w:numId w:val="31"/>
              </w:numPr>
              <w:overflowPunct w:val="0"/>
              <w:autoSpaceDE w:val="0"/>
              <w:autoSpaceDN w:val="0"/>
              <w:adjustRightInd w:val="0"/>
              <w:spacing w:after="120"/>
              <w:contextualSpacing w:val="0"/>
              <w:textAlignment w:val="baseline"/>
            </w:pPr>
            <w:r>
              <w:rPr>
                <w:i/>
                <w:iCs/>
                <w:sz w:val="18"/>
                <w:szCs w:val="18"/>
              </w:rPr>
              <w:t>8</w:t>
            </w:r>
            <w:r w:rsidRPr="008F0D3F">
              <w:rPr>
                <w:i/>
                <w:iCs/>
                <w:sz w:val="18"/>
                <w:szCs w:val="18"/>
              </w:rPr>
              <w:t xml:space="preserve"> per cent of residential gas customers</w:t>
            </w:r>
            <w:r>
              <w:rPr>
                <w:i/>
                <w:iCs/>
                <w:sz w:val="18"/>
                <w:szCs w:val="18"/>
              </w:rPr>
              <w:t xml:space="preserve"> </w:t>
            </w:r>
            <w:r w:rsidR="0034313A">
              <w:rPr>
                <w:i/>
                <w:iCs/>
                <w:sz w:val="18"/>
                <w:szCs w:val="18"/>
              </w:rPr>
              <w:t xml:space="preserve">entered </w:t>
            </w:r>
            <w:r>
              <w:rPr>
                <w:i/>
                <w:iCs/>
                <w:sz w:val="18"/>
                <w:szCs w:val="18"/>
              </w:rPr>
              <w:t>financial hardship programs with a debt greater than $1,500</w:t>
            </w:r>
            <w:r w:rsidR="008E436D">
              <w:rPr>
                <w:i/>
                <w:iCs/>
                <w:sz w:val="18"/>
                <w:szCs w:val="18"/>
              </w:rPr>
              <w:t xml:space="preserve"> across </w:t>
            </w:r>
            <w:r w:rsidR="00C04508">
              <w:rPr>
                <w:i/>
                <w:iCs/>
                <w:sz w:val="18"/>
                <w:szCs w:val="18"/>
              </w:rPr>
              <w:t>Qld, ACT, SA and NSW</w:t>
            </w:r>
            <w:r>
              <w:rPr>
                <w:i/>
                <w:iCs/>
                <w:sz w:val="18"/>
                <w:szCs w:val="18"/>
              </w:rPr>
              <w:t>.</w:t>
            </w:r>
            <w:r w:rsidRPr="00E035C4">
              <w:rPr>
                <w:rStyle w:val="FootnoteReference"/>
              </w:rPr>
              <w:footnoteReference w:id="20"/>
            </w:r>
            <w:r>
              <w:rPr>
                <w:sz w:val="18"/>
                <w:szCs w:val="18"/>
              </w:rPr>
              <w:t xml:space="preserve"> </w:t>
            </w:r>
          </w:p>
        </w:tc>
      </w:tr>
    </w:tbl>
    <w:p w14:paraId="67A73BEF" w14:textId="59E4A7CA" w:rsidR="00B77A50" w:rsidRPr="00340042" w:rsidDel="00782678" w:rsidRDefault="00757A07" w:rsidP="007F0DC4">
      <w:pPr>
        <w:pStyle w:val="Heading2"/>
        <w:keepNext w:val="0"/>
      </w:pPr>
      <w:bookmarkStart w:id="16" w:name="_Toc36466905"/>
      <w:bookmarkEnd w:id="15"/>
      <w:r w:rsidRPr="00340042">
        <w:t>Financial hardship payment plans</w:t>
      </w:r>
      <w:r w:rsidR="00302B0A" w:rsidRPr="00BA6BF8">
        <w:rPr>
          <w:rStyle w:val="FootnoteReference"/>
          <w:b w:val="0"/>
          <w:bCs w:val="0"/>
        </w:rPr>
        <w:footnoteReference w:id="21"/>
      </w:r>
      <w:bookmarkEnd w:id="16"/>
    </w:p>
    <w:p w14:paraId="15B328F4" w14:textId="4A833E20" w:rsidR="00027E8A" w:rsidDel="00782678" w:rsidRDefault="00F1022A" w:rsidP="007F0DC4">
      <w:pPr>
        <w:pStyle w:val="Bulletlevel1"/>
      </w:pPr>
      <w:r>
        <w:t>74 per cent</w:t>
      </w:r>
      <w:r w:rsidDel="00782678">
        <w:t xml:space="preserve"> </w:t>
      </w:r>
      <w:r>
        <w:t>(</w:t>
      </w:r>
      <w:r w:rsidR="00E43F2C" w:rsidDel="00782678">
        <w:t>7,593</w:t>
      </w:r>
      <w:r>
        <w:t>)</w:t>
      </w:r>
      <w:r w:rsidR="008F0D3F">
        <w:t xml:space="preserve"> </w:t>
      </w:r>
      <w:r>
        <w:t xml:space="preserve">of </w:t>
      </w:r>
      <w:r w:rsidR="002845AC">
        <w:t xml:space="preserve">the </w:t>
      </w:r>
      <w:r w:rsidR="007B5C8E">
        <w:t xml:space="preserve">10,259 </w:t>
      </w:r>
      <w:r w:rsidR="005A1842" w:rsidDel="00782678">
        <w:t xml:space="preserve">telco </w:t>
      </w:r>
      <w:r w:rsidR="00027E8A" w:rsidDel="00782678">
        <w:t xml:space="preserve">customers </w:t>
      </w:r>
      <w:r w:rsidR="0034313A">
        <w:t xml:space="preserve">who </w:t>
      </w:r>
      <w:r w:rsidR="002845AC">
        <w:t xml:space="preserve">were experiencing financial hardship at 30 June 2019 </w:t>
      </w:r>
      <w:r w:rsidR="00027E8A" w:rsidDel="00782678">
        <w:t>were on payment plans</w:t>
      </w:r>
      <w:r w:rsidR="00514C94" w:rsidDel="00782678">
        <w:t>.</w:t>
      </w:r>
      <w:r w:rsidR="00656B1E" w:rsidDel="00782678">
        <w:t xml:space="preserve"> </w:t>
      </w:r>
    </w:p>
    <w:p w14:paraId="1536C60D" w14:textId="3B2BE2D7" w:rsidR="00E43F2C" w:rsidDel="00782678" w:rsidRDefault="00A83CD2" w:rsidP="007F0DC4">
      <w:pPr>
        <w:pStyle w:val="Bulletlevel1"/>
      </w:pPr>
      <w:r>
        <w:t>44.6</w:t>
      </w:r>
      <w:r w:rsidR="007F22D0">
        <w:t xml:space="preserve"> per cent</w:t>
      </w:r>
      <w:r w:rsidR="00E43F2C" w:rsidDel="00782678">
        <w:t xml:space="preserve"> </w:t>
      </w:r>
      <w:r w:rsidR="0081608E">
        <w:t xml:space="preserve">(3,389) </w:t>
      </w:r>
      <w:r w:rsidR="00E43F2C" w:rsidDel="00782678">
        <w:t xml:space="preserve">of </w:t>
      </w:r>
      <w:r>
        <w:t xml:space="preserve">the 7,593 </w:t>
      </w:r>
      <w:r w:rsidR="005A1842" w:rsidDel="00782678">
        <w:t xml:space="preserve">telco </w:t>
      </w:r>
      <w:r w:rsidR="00A80AC6" w:rsidDel="00782678">
        <w:t xml:space="preserve">financial hardship customers </w:t>
      </w:r>
      <w:r>
        <w:t xml:space="preserve">on </w:t>
      </w:r>
      <w:r w:rsidR="00E43F2C" w:rsidDel="00782678">
        <w:t xml:space="preserve">payment plans </w:t>
      </w:r>
      <w:r>
        <w:t xml:space="preserve">at 30 June 2019 </w:t>
      </w:r>
      <w:r w:rsidR="00E43F2C" w:rsidDel="00782678">
        <w:t>had an instalment amount of $150 or greater</w:t>
      </w:r>
      <w:r w:rsidR="00514C94" w:rsidDel="00782678">
        <w:t>.</w:t>
      </w:r>
    </w:p>
    <w:p w14:paraId="5BAA9C65" w14:textId="4724ABE8" w:rsidR="004065C8" w:rsidDel="00050B91" w:rsidRDefault="006E41C1" w:rsidP="007F0DC4">
      <w:pPr>
        <w:pStyle w:val="Bulletlevel1last"/>
      </w:pPr>
      <w:r>
        <w:t>72</w:t>
      </w:r>
      <w:r w:rsidR="007F22D0">
        <w:t xml:space="preserve"> per cent</w:t>
      </w:r>
      <w:r w:rsidDel="00782678">
        <w:t xml:space="preserve"> </w:t>
      </w:r>
      <w:r w:rsidR="0081608E">
        <w:t xml:space="preserve">(5,465) </w:t>
      </w:r>
      <w:r w:rsidDel="00782678">
        <w:t xml:space="preserve">of </w:t>
      </w:r>
      <w:r w:rsidR="00290D0C">
        <w:t xml:space="preserve">the 7,593 </w:t>
      </w:r>
      <w:r w:rsidR="005A1842" w:rsidDel="00782678">
        <w:t xml:space="preserve">telco financial hardship </w:t>
      </w:r>
      <w:r w:rsidR="00290D0C">
        <w:t xml:space="preserve">customers on </w:t>
      </w:r>
      <w:r w:rsidDel="00782678">
        <w:t xml:space="preserve">payment plans </w:t>
      </w:r>
      <w:r w:rsidR="00290D0C">
        <w:t xml:space="preserve">at 30 June 2019 </w:t>
      </w:r>
      <w:r w:rsidDel="00782678">
        <w:t>related to mobile services</w:t>
      </w:r>
      <w:r w:rsidR="00514C94" w:rsidDel="00782678">
        <w:t>.</w:t>
      </w:r>
    </w:p>
    <w:p w14:paraId="26157D71" w14:textId="1DAA2188" w:rsidR="00846DEE" w:rsidRDefault="00F8134B" w:rsidP="007F0DC4">
      <w:pPr>
        <w:pStyle w:val="Heading2"/>
        <w:keepLines/>
      </w:pPr>
      <w:bookmarkStart w:id="17" w:name="_Toc34146413"/>
      <w:bookmarkStart w:id="18" w:name="_Toc36466906"/>
      <w:bookmarkStart w:id="19" w:name="_Hlk22552810"/>
      <w:bookmarkEnd w:id="2"/>
      <w:r>
        <w:lastRenderedPageBreak/>
        <w:t>F</w:t>
      </w:r>
      <w:r w:rsidR="00846DEE">
        <w:t>inancial hardship arrangements</w:t>
      </w:r>
      <w:bookmarkEnd w:id="17"/>
      <w:bookmarkEnd w:id="18"/>
    </w:p>
    <w:p w14:paraId="217A25D4" w14:textId="22DB9B25" w:rsidR="00846DEE" w:rsidRDefault="00846DEE" w:rsidP="007F0DC4">
      <w:pPr>
        <w:pStyle w:val="Bulletlevel1"/>
        <w:keepNext/>
        <w:keepLines/>
        <w:spacing w:after="120"/>
      </w:pPr>
      <w:bookmarkStart w:id="20" w:name="_Hlk33624818"/>
      <w:r>
        <w:t xml:space="preserve">Almost all (99 per cent) of </w:t>
      </w:r>
      <w:r w:rsidR="00F8134B">
        <w:t xml:space="preserve">the </w:t>
      </w:r>
      <w:r w:rsidR="00EB25E7">
        <w:t xml:space="preserve">10,259 </w:t>
      </w:r>
      <w:r>
        <w:t xml:space="preserve">telco </w:t>
      </w:r>
      <w:r w:rsidR="00EB25E7">
        <w:t xml:space="preserve">customers that were experiencing </w:t>
      </w:r>
      <w:r>
        <w:t xml:space="preserve">financial hardship </w:t>
      </w:r>
      <w:r w:rsidR="00EB25E7">
        <w:t xml:space="preserve">at 30 June 2019 </w:t>
      </w:r>
      <w:r>
        <w:t xml:space="preserve">were on a financial hardship arrangement of </w:t>
      </w:r>
      <w:r w:rsidR="001F3065">
        <w:t>less than</w:t>
      </w:r>
      <w:r>
        <w:t xml:space="preserve"> one year. </w:t>
      </w:r>
    </w:p>
    <w:tbl>
      <w:tblPr>
        <w:tblStyle w:val="TableGrid"/>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850"/>
        <w:gridCol w:w="6527"/>
      </w:tblGrid>
      <w:tr w:rsidR="00846DEE" w14:paraId="3077E469" w14:textId="77777777" w:rsidTr="0079616F">
        <w:trPr>
          <w:trHeight w:val="504"/>
        </w:trPr>
        <w:tc>
          <w:tcPr>
            <w:tcW w:w="850" w:type="dxa"/>
            <w:shd w:val="clear" w:color="auto" w:fill="F2F2F2" w:themeFill="background1" w:themeFillShade="F2"/>
            <w:vAlign w:val="center"/>
          </w:tcPr>
          <w:p w14:paraId="6609FE52" w14:textId="19688BD0" w:rsidR="00846DEE" w:rsidRDefault="0079616F" w:rsidP="007F0DC4">
            <w:pPr>
              <w:pStyle w:val="ListParagraph"/>
              <w:keepNext/>
              <w:keepLines/>
              <w:overflowPunct w:val="0"/>
              <w:autoSpaceDE w:val="0"/>
              <w:autoSpaceDN w:val="0"/>
              <w:adjustRightInd w:val="0"/>
              <w:spacing w:after="0"/>
              <w:ind w:left="0"/>
              <w:contextualSpacing w:val="0"/>
              <w:textAlignment w:val="baseline"/>
            </w:pPr>
            <w:r>
              <w:t xml:space="preserve"> </w:t>
            </w:r>
            <w:r>
              <w:rPr>
                <w:noProof/>
              </w:rPr>
              <w:drawing>
                <wp:inline distT="0" distB="0" distL="0" distR="0" wp14:anchorId="48016DD4" wp14:editId="7F4EB8BE">
                  <wp:extent cx="365760" cy="365760"/>
                  <wp:effectExtent l="0" t="0" r="0" b="0"/>
                  <wp:docPr id="46" name="Graphic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earch.svg"/>
                          <pic:cNvPicPr/>
                        </pic:nvPicPr>
                        <pic:blipFill>
                          <a:blip r:embed="rId27"/>
                          <a:stretch>
                            <a:fillRect/>
                          </a:stretch>
                        </pic:blipFill>
                        <pic:spPr>
                          <a:xfrm>
                            <a:off x="0" y="0"/>
                            <a:ext cx="367425" cy="367425"/>
                          </a:xfrm>
                          <a:prstGeom prst="rect">
                            <a:avLst/>
                          </a:prstGeom>
                        </pic:spPr>
                      </pic:pic>
                    </a:graphicData>
                  </a:graphic>
                </wp:inline>
              </w:drawing>
            </w:r>
          </w:p>
        </w:tc>
        <w:tc>
          <w:tcPr>
            <w:tcW w:w="6527" w:type="dxa"/>
            <w:shd w:val="clear" w:color="auto" w:fill="F2F2F2" w:themeFill="background1" w:themeFillShade="F2"/>
            <w:vAlign w:val="center"/>
          </w:tcPr>
          <w:p w14:paraId="45F291F2" w14:textId="0E6AA931" w:rsidR="00072BD5" w:rsidRDefault="00846DEE" w:rsidP="007F0DC4">
            <w:pPr>
              <w:pStyle w:val="ListParagraph"/>
              <w:keepNext/>
              <w:keepLines/>
              <w:overflowPunct w:val="0"/>
              <w:autoSpaceDE w:val="0"/>
              <w:autoSpaceDN w:val="0"/>
              <w:adjustRightInd w:val="0"/>
              <w:spacing w:after="120"/>
              <w:ind w:left="0"/>
              <w:contextualSpacing w:val="0"/>
              <w:textAlignment w:val="baseline"/>
              <w:rPr>
                <w:i/>
                <w:sz w:val="18"/>
                <w:szCs w:val="18"/>
              </w:rPr>
            </w:pPr>
            <w:r w:rsidRPr="008F0D3F">
              <w:rPr>
                <w:i/>
                <w:sz w:val="18"/>
                <w:szCs w:val="18"/>
              </w:rPr>
              <w:t>This compares to</w:t>
            </w:r>
            <w:r w:rsidR="00072BD5">
              <w:rPr>
                <w:i/>
                <w:sz w:val="18"/>
                <w:szCs w:val="18"/>
              </w:rPr>
              <w:t>:</w:t>
            </w:r>
          </w:p>
          <w:p w14:paraId="479D08D8" w14:textId="6C9AE16F" w:rsidR="00F906B9" w:rsidRPr="00BC2328" w:rsidRDefault="00846DEE" w:rsidP="007F0DC4">
            <w:pPr>
              <w:pStyle w:val="ListParagraph"/>
              <w:keepNext/>
              <w:keepLines/>
              <w:numPr>
                <w:ilvl w:val="0"/>
                <w:numId w:val="32"/>
              </w:numPr>
              <w:overflowPunct w:val="0"/>
              <w:autoSpaceDE w:val="0"/>
              <w:autoSpaceDN w:val="0"/>
              <w:adjustRightInd w:val="0"/>
              <w:spacing w:after="120"/>
              <w:contextualSpacing w:val="0"/>
              <w:textAlignment w:val="baseline"/>
            </w:pPr>
            <w:r w:rsidRPr="008F0D3F">
              <w:rPr>
                <w:i/>
                <w:sz w:val="18"/>
                <w:szCs w:val="18"/>
              </w:rPr>
              <w:t>77 per cent of financial hardship residential electricity customers</w:t>
            </w:r>
            <w:r w:rsidR="00B22A40">
              <w:rPr>
                <w:i/>
                <w:sz w:val="18"/>
                <w:szCs w:val="18"/>
              </w:rPr>
              <w:t xml:space="preserve"> </w:t>
            </w:r>
            <w:r w:rsidR="00F906B9">
              <w:rPr>
                <w:i/>
                <w:sz w:val="18"/>
                <w:szCs w:val="18"/>
              </w:rPr>
              <w:t>in financial hardship programs of less than one year</w:t>
            </w:r>
            <w:r w:rsidR="00E23F92">
              <w:rPr>
                <w:i/>
                <w:sz w:val="18"/>
                <w:szCs w:val="18"/>
              </w:rPr>
              <w:t xml:space="preserve"> </w:t>
            </w:r>
            <w:r w:rsidR="0050708E">
              <w:rPr>
                <w:i/>
                <w:sz w:val="18"/>
                <w:szCs w:val="18"/>
              </w:rPr>
              <w:t xml:space="preserve">across </w:t>
            </w:r>
            <w:r w:rsidR="00660057">
              <w:rPr>
                <w:i/>
                <w:iCs/>
                <w:sz w:val="18"/>
                <w:szCs w:val="18"/>
              </w:rPr>
              <w:t>Qld, ACT, Tas</w:t>
            </w:r>
            <w:r w:rsidR="002F4CAF">
              <w:rPr>
                <w:i/>
                <w:iCs/>
                <w:sz w:val="18"/>
                <w:szCs w:val="18"/>
              </w:rPr>
              <w:t>.</w:t>
            </w:r>
            <w:r w:rsidR="00660057">
              <w:rPr>
                <w:i/>
                <w:iCs/>
                <w:sz w:val="18"/>
                <w:szCs w:val="18"/>
              </w:rPr>
              <w:t>, SA and NSW</w:t>
            </w:r>
            <w:r w:rsidR="00F906B9">
              <w:rPr>
                <w:i/>
                <w:iCs/>
                <w:sz w:val="18"/>
                <w:szCs w:val="18"/>
              </w:rPr>
              <w:t>.</w:t>
            </w:r>
            <w:r w:rsidR="00F906B9" w:rsidRPr="0098334F">
              <w:rPr>
                <w:szCs w:val="22"/>
                <w:vertAlign w:val="superscript"/>
              </w:rPr>
              <w:t xml:space="preserve"> </w:t>
            </w:r>
            <w:r w:rsidR="00F906B9" w:rsidRPr="0098334F">
              <w:rPr>
                <w:szCs w:val="22"/>
                <w:vertAlign w:val="superscript"/>
              </w:rPr>
              <w:footnoteReference w:id="22"/>
            </w:r>
          </w:p>
          <w:p w14:paraId="286E747F" w14:textId="0CC74A1A" w:rsidR="00846DEE" w:rsidRDefault="00846DEE" w:rsidP="007F0DC4">
            <w:pPr>
              <w:pStyle w:val="ListParagraph"/>
              <w:keepNext/>
              <w:keepLines/>
              <w:numPr>
                <w:ilvl w:val="0"/>
                <w:numId w:val="32"/>
              </w:numPr>
              <w:overflowPunct w:val="0"/>
              <w:autoSpaceDE w:val="0"/>
              <w:autoSpaceDN w:val="0"/>
              <w:adjustRightInd w:val="0"/>
              <w:spacing w:after="120"/>
              <w:contextualSpacing w:val="0"/>
              <w:textAlignment w:val="baseline"/>
            </w:pPr>
            <w:r w:rsidRPr="008F0D3F">
              <w:rPr>
                <w:i/>
                <w:sz w:val="18"/>
                <w:szCs w:val="18"/>
              </w:rPr>
              <w:t xml:space="preserve">76 </w:t>
            </w:r>
            <w:r w:rsidRPr="008F0D3F">
              <w:rPr>
                <w:i/>
                <w:iCs/>
                <w:sz w:val="18"/>
                <w:szCs w:val="18"/>
              </w:rPr>
              <w:t>per</w:t>
            </w:r>
            <w:r w:rsidRPr="008F0D3F">
              <w:rPr>
                <w:i/>
                <w:sz w:val="18"/>
                <w:szCs w:val="18"/>
              </w:rPr>
              <w:t xml:space="preserve"> cent of financial hardship residential gas customers</w:t>
            </w:r>
            <w:r w:rsidR="00B22A40">
              <w:rPr>
                <w:i/>
                <w:sz w:val="18"/>
                <w:szCs w:val="18"/>
              </w:rPr>
              <w:t xml:space="preserve"> </w:t>
            </w:r>
            <w:r w:rsidR="00F906B9">
              <w:rPr>
                <w:i/>
                <w:sz w:val="18"/>
                <w:szCs w:val="18"/>
              </w:rPr>
              <w:t>in financial hardship programs of less than one year</w:t>
            </w:r>
            <w:r w:rsidR="00E23F92">
              <w:rPr>
                <w:i/>
                <w:sz w:val="18"/>
                <w:szCs w:val="18"/>
              </w:rPr>
              <w:t xml:space="preserve"> </w:t>
            </w:r>
            <w:r w:rsidR="0050708E">
              <w:rPr>
                <w:i/>
                <w:sz w:val="18"/>
                <w:szCs w:val="18"/>
              </w:rPr>
              <w:t xml:space="preserve">across </w:t>
            </w:r>
            <w:r w:rsidR="002941D0">
              <w:rPr>
                <w:i/>
                <w:iCs/>
                <w:sz w:val="18"/>
                <w:szCs w:val="18"/>
              </w:rPr>
              <w:t>Qld, ACT, SA and NSW</w:t>
            </w:r>
            <w:r w:rsidR="00F906B9">
              <w:rPr>
                <w:i/>
                <w:iCs/>
                <w:sz w:val="18"/>
                <w:szCs w:val="18"/>
              </w:rPr>
              <w:t>.</w:t>
            </w:r>
            <w:r w:rsidR="00F906B9" w:rsidRPr="0098334F">
              <w:rPr>
                <w:szCs w:val="22"/>
                <w:vertAlign w:val="superscript"/>
              </w:rPr>
              <w:footnoteReference w:id="23"/>
            </w:r>
          </w:p>
        </w:tc>
      </w:tr>
    </w:tbl>
    <w:bookmarkEnd w:id="20"/>
    <w:p w14:paraId="5CC78125" w14:textId="59CC3689" w:rsidR="00846DEE" w:rsidRPr="00921C32" w:rsidRDefault="00846DEE" w:rsidP="00846DEE">
      <w:pPr>
        <w:pStyle w:val="Bulletlevel1"/>
        <w:spacing w:before="120"/>
      </w:pPr>
      <w:r w:rsidRPr="00921C32">
        <w:t xml:space="preserve">26,583 customers exited a </w:t>
      </w:r>
      <w:r>
        <w:t xml:space="preserve">financial hardship </w:t>
      </w:r>
      <w:r w:rsidRPr="00921C32">
        <w:t>arrangement with their telco</w:t>
      </w:r>
      <w:r>
        <w:t xml:space="preserve"> </w:t>
      </w:r>
      <w:r w:rsidR="0006290C">
        <w:t>during</w:t>
      </w:r>
      <w:r>
        <w:t xml:space="preserve"> the 2018–19 financial year</w:t>
      </w:r>
      <w:r w:rsidRPr="00921C32">
        <w:t>.</w:t>
      </w:r>
    </w:p>
    <w:p w14:paraId="6CB24EA5" w14:textId="547274C7" w:rsidR="00846DEE" w:rsidRDefault="00B35A3C" w:rsidP="00846DEE">
      <w:pPr>
        <w:pStyle w:val="Bulletlevel1"/>
        <w:spacing w:after="120"/>
      </w:pPr>
      <w:bookmarkStart w:id="21" w:name="_Hlk33624838"/>
      <w:r>
        <w:t>49.6</w:t>
      </w:r>
      <w:r w:rsidR="00846DEE">
        <w:t xml:space="preserve"> per cent (13,185) of the </w:t>
      </w:r>
      <w:r>
        <w:t xml:space="preserve">26,583 </w:t>
      </w:r>
      <w:r w:rsidR="00846DEE">
        <w:t xml:space="preserve">telco customers </w:t>
      </w:r>
      <w:r w:rsidR="0034313A">
        <w:t xml:space="preserve">who </w:t>
      </w:r>
      <w:r w:rsidR="00846DEE">
        <w:t xml:space="preserve">exited </w:t>
      </w:r>
      <w:r>
        <w:t xml:space="preserve">a </w:t>
      </w:r>
      <w:r w:rsidR="00C73FF3">
        <w:t>financial hardship arrangement</w:t>
      </w:r>
      <w:bookmarkStart w:id="22" w:name="_Hlk33194538"/>
      <w:r>
        <w:t xml:space="preserve"> with their telco during the 2018–19 financial year did so successfully</w:t>
      </w:r>
      <w:r w:rsidR="00913FBC">
        <w:t>. A successful completion of a telco financial hardship arrangement is where the customer completed the arrangement</w:t>
      </w:r>
      <w:r w:rsidR="00BC2328">
        <w:t xml:space="preserve"> and, with the agreement of their telco,</w:t>
      </w:r>
      <w:r>
        <w:t xml:space="preserve"> returned to normal billing cycles</w:t>
      </w:r>
      <w:r w:rsidR="00BC2328">
        <w:t xml:space="preserve">. This also includes where </w:t>
      </w:r>
      <w:r w:rsidR="00A0334D">
        <w:t>a</w:t>
      </w:r>
      <w:r w:rsidR="00BC2328">
        <w:t xml:space="preserve"> customer agrees to a new payment plan or flexible payment arrangement</w:t>
      </w:r>
      <w:r w:rsidR="00846DEE">
        <w:t>.</w:t>
      </w:r>
      <w:bookmarkStart w:id="23" w:name="_Hlk34148084"/>
      <w:bookmarkStart w:id="24" w:name="_Hlk33175990"/>
      <w:bookmarkEnd w:id="22"/>
      <w:r w:rsidR="00846DEE">
        <w:t xml:space="preserve"> </w:t>
      </w:r>
      <w:bookmarkEnd w:id="23"/>
    </w:p>
    <w:tbl>
      <w:tblPr>
        <w:tblStyle w:val="TableGrid"/>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850"/>
        <w:gridCol w:w="6527"/>
      </w:tblGrid>
      <w:tr w:rsidR="00846DEE" w14:paraId="5A433565" w14:textId="77777777" w:rsidTr="0079616F">
        <w:trPr>
          <w:trHeight w:val="237"/>
        </w:trPr>
        <w:tc>
          <w:tcPr>
            <w:tcW w:w="850" w:type="dxa"/>
            <w:shd w:val="clear" w:color="auto" w:fill="F2F2F2" w:themeFill="background1" w:themeFillShade="F2"/>
            <w:vAlign w:val="center"/>
          </w:tcPr>
          <w:p w14:paraId="0F7FF77F" w14:textId="029496C4" w:rsidR="00846DEE" w:rsidRDefault="0079616F" w:rsidP="00CB0369">
            <w:pPr>
              <w:pStyle w:val="ListParagraph"/>
              <w:keepNext/>
              <w:keepLines/>
              <w:overflowPunct w:val="0"/>
              <w:autoSpaceDE w:val="0"/>
              <w:autoSpaceDN w:val="0"/>
              <w:adjustRightInd w:val="0"/>
              <w:spacing w:after="0"/>
              <w:ind w:left="0"/>
              <w:contextualSpacing w:val="0"/>
              <w:textAlignment w:val="baseline"/>
            </w:pPr>
            <w:r>
              <w:t xml:space="preserve"> </w:t>
            </w:r>
            <w:r>
              <w:rPr>
                <w:noProof/>
              </w:rPr>
              <w:drawing>
                <wp:inline distT="0" distB="0" distL="0" distR="0" wp14:anchorId="4225C9BC" wp14:editId="7EFDF727">
                  <wp:extent cx="365760" cy="365760"/>
                  <wp:effectExtent l="0" t="0" r="0" b="0"/>
                  <wp:docPr id="47" name="Graphic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earch.svg"/>
                          <pic:cNvPicPr/>
                        </pic:nvPicPr>
                        <pic:blipFill>
                          <a:blip r:embed="rId27"/>
                          <a:stretch>
                            <a:fillRect/>
                          </a:stretch>
                        </pic:blipFill>
                        <pic:spPr>
                          <a:xfrm>
                            <a:off x="0" y="0"/>
                            <a:ext cx="367425" cy="367425"/>
                          </a:xfrm>
                          <a:prstGeom prst="rect">
                            <a:avLst/>
                          </a:prstGeom>
                        </pic:spPr>
                      </pic:pic>
                    </a:graphicData>
                  </a:graphic>
                </wp:inline>
              </w:drawing>
            </w:r>
          </w:p>
        </w:tc>
        <w:tc>
          <w:tcPr>
            <w:tcW w:w="6527" w:type="dxa"/>
            <w:shd w:val="clear" w:color="auto" w:fill="F2F2F2" w:themeFill="background1" w:themeFillShade="F2"/>
            <w:vAlign w:val="center"/>
          </w:tcPr>
          <w:p w14:paraId="0EA5808B" w14:textId="77777777" w:rsidR="00F36D35" w:rsidRDefault="00846DEE" w:rsidP="00CB0369">
            <w:pPr>
              <w:pStyle w:val="Bulletlevel1"/>
              <w:keepNext/>
              <w:keepLines/>
              <w:numPr>
                <w:ilvl w:val="0"/>
                <w:numId w:val="0"/>
              </w:numPr>
              <w:spacing w:after="120"/>
              <w:rPr>
                <w:i/>
                <w:sz w:val="18"/>
                <w:szCs w:val="18"/>
              </w:rPr>
            </w:pPr>
            <w:r w:rsidRPr="008F0D3F">
              <w:rPr>
                <w:i/>
                <w:sz w:val="18"/>
                <w:szCs w:val="18"/>
              </w:rPr>
              <w:t>This compares to</w:t>
            </w:r>
            <w:r w:rsidR="00F36D35">
              <w:rPr>
                <w:i/>
                <w:sz w:val="18"/>
                <w:szCs w:val="18"/>
              </w:rPr>
              <w:t>:</w:t>
            </w:r>
          </w:p>
          <w:p w14:paraId="7414F71A" w14:textId="45F6CC03" w:rsidR="00C229CC" w:rsidRPr="00FA4307" w:rsidRDefault="00846DEE" w:rsidP="00CB0369">
            <w:pPr>
              <w:pStyle w:val="Bulletlevel1"/>
              <w:keepNext/>
              <w:keepLines/>
              <w:numPr>
                <w:ilvl w:val="0"/>
                <w:numId w:val="33"/>
              </w:numPr>
              <w:spacing w:after="120"/>
              <w:rPr>
                <w:i/>
                <w:iCs/>
              </w:rPr>
            </w:pPr>
            <w:r w:rsidRPr="008F0D3F">
              <w:rPr>
                <w:i/>
                <w:sz w:val="18"/>
                <w:szCs w:val="18"/>
              </w:rPr>
              <w:t>29 per cent of residential electricity customers</w:t>
            </w:r>
            <w:r w:rsidR="00C229CC">
              <w:rPr>
                <w:i/>
                <w:sz w:val="18"/>
                <w:szCs w:val="18"/>
              </w:rPr>
              <w:t xml:space="preserve"> who successfully completed hardship programs</w:t>
            </w:r>
            <w:r w:rsidR="00E23F92">
              <w:rPr>
                <w:i/>
                <w:sz w:val="18"/>
                <w:szCs w:val="18"/>
              </w:rPr>
              <w:t xml:space="preserve"> </w:t>
            </w:r>
            <w:r w:rsidR="006C4E75">
              <w:rPr>
                <w:i/>
                <w:sz w:val="18"/>
                <w:szCs w:val="18"/>
              </w:rPr>
              <w:t xml:space="preserve">across </w:t>
            </w:r>
            <w:r w:rsidR="002941D0">
              <w:rPr>
                <w:i/>
                <w:iCs/>
                <w:sz w:val="18"/>
                <w:szCs w:val="18"/>
              </w:rPr>
              <w:t>Qld, ACT, Tas</w:t>
            </w:r>
            <w:r w:rsidR="002F4CAF">
              <w:rPr>
                <w:i/>
                <w:iCs/>
                <w:sz w:val="18"/>
                <w:szCs w:val="18"/>
              </w:rPr>
              <w:t>.</w:t>
            </w:r>
            <w:r w:rsidR="002941D0">
              <w:rPr>
                <w:i/>
                <w:iCs/>
                <w:sz w:val="18"/>
                <w:szCs w:val="18"/>
              </w:rPr>
              <w:t>, SA and NSW</w:t>
            </w:r>
            <w:r w:rsidR="00C229CC">
              <w:rPr>
                <w:i/>
                <w:iCs/>
                <w:sz w:val="18"/>
                <w:szCs w:val="18"/>
              </w:rPr>
              <w:t>.</w:t>
            </w:r>
            <w:r w:rsidR="00FA4307">
              <w:rPr>
                <w:rStyle w:val="FootnoteReference"/>
              </w:rPr>
              <w:footnoteReference w:id="24"/>
            </w:r>
          </w:p>
          <w:p w14:paraId="196F34A4" w14:textId="27FD6123" w:rsidR="00846DEE" w:rsidRPr="008D3F80" w:rsidRDefault="00846DEE" w:rsidP="00CB0369">
            <w:pPr>
              <w:pStyle w:val="Bulletlevel1"/>
              <w:keepNext/>
              <w:keepLines/>
              <w:numPr>
                <w:ilvl w:val="0"/>
                <w:numId w:val="33"/>
              </w:numPr>
              <w:spacing w:after="120"/>
              <w:rPr>
                <w:i/>
                <w:iCs/>
              </w:rPr>
            </w:pPr>
            <w:r w:rsidRPr="008F0D3F">
              <w:rPr>
                <w:i/>
                <w:sz w:val="18"/>
                <w:szCs w:val="18"/>
              </w:rPr>
              <w:t xml:space="preserve">32 per cent of </w:t>
            </w:r>
            <w:r w:rsidRPr="008F0D3F">
              <w:rPr>
                <w:i/>
                <w:iCs/>
                <w:sz w:val="18"/>
                <w:szCs w:val="18"/>
              </w:rPr>
              <w:t>residential</w:t>
            </w:r>
            <w:r w:rsidRPr="008F0D3F">
              <w:rPr>
                <w:i/>
                <w:sz w:val="18"/>
                <w:szCs w:val="18"/>
              </w:rPr>
              <w:t xml:space="preserve"> gas customers</w:t>
            </w:r>
            <w:r w:rsidR="00472395">
              <w:rPr>
                <w:i/>
                <w:sz w:val="18"/>
                <w:szCs w:val="18"/>
              </w:rPr>
              <w:t xml:space="preserve"> </w:t>
            </w:r>
            <w:r w:rsidR="00C229CC">
              <w:rPr>
                <w:i/>
                <w:sz w:val="18"/>
                <w:szCs w:val="18"/>
              </w:rPr>
              <w:t>who successfully completed hardship programs</w:t>
            </w:r>
            <w:r w:rsidR="00E23F92">
              <w:rPr>
                <w:i/>
                <w:sz w:val="18"/>
                <w:szCs w:val="18"/>
              </w:rPr>
              <w:t xml:space="preserve"> </w:t>
            </w:r>
            <w:r w:rsidR="00DD43E1">
              <w:rPr>
                <w:i/>
                <w:sz w:val="18"/>
                <w:szCs w:val="18"/>
              </w:rPr>
              <w:t xml:space="preserve">across </w:t>
            </w:r>
            <w:r w:rsidR="00922AFB">
              <w:rPr>
                <w:i/>
                <w:iCs/>
                <w:sz w:val="18"/>
                <w:szCs w:val="18"/>
              </w:rPr>
              <w:t>Qld, ACT, SA and NSW</w:t>
            </w:r>
            <w:r w:rsidR="00FA4307">
              <w:rPr>
                <w:i/>
                <w:sz w:val="18"/>
                <w:szCs w:val="18"/>
              </w:rPr>
              <w:t>.</w:t>
            </w:r>
            <w:r>
              <w:rPr>
                <w:rStyle w:val="FootnoteReference"/>
              </w:rPr>
              <w:footnoteReference w:id="25"/>
            </w:r>
            <w:r w:rsidR="00472395">
              <w:rPr>
                <w:sz w:val="18"/>
                <w:szCs w:val="18"/>
              </w:rPr>
              <w:t xml:space="preserve"> </w:t>
            </w:r>
          </w:p>
        </w:tc>
      </w:tr>
    </w:tbl>
    <w:p w14:paraId="22C1C5C8" w14:textId="3E845195" w:rsidR="00846DEE" w:rsidRDefault="00846DEE" w:rsidP="00846DEE">
      <w:pPr>
        <w:pStyle w:val="Bulletlevel1"/>
        <w:spacing w:before="120"/>
      </w:pPr>
      <w:bookmarkStart w:id="25" w:name="_Hlk33631497"/>
      <w:bookmarkEnd w:id="21"/>
      <w:bookmarkEnd w:id="24"/>
      <w:r>
        <w:t xml:space="preserve">However, 45 per cent </w:t>
      </w:r>
      <w:r w:rsidR="00D0134C">
        <w:t xml:space="preserve">(11,952) </w:t>
      </w:r>
      <w:r>
        <w:t xml:space="preserve">of the </w:t>
      </w:r>
      <w:r w:rsidR="002003E5">
        <w:t xml:space="preserve">26,583 telco </w:t>
      </w:r>
      <w:r>
        <w:t>customers</w:t>
      </w:r>
      <w:bookmarkStart w:id="26" w:name="_Hlk33175960"/>
      <w:r w:rsidDel="003875AB">
        <w:t xml:space="preserve"> </w:t>
      </w:r>
      <w:r w:rsidR="0034313A">
        <w:t>who</w:t>
      </w:r>
      <w:r w:rsidR="0034313A" w:rsidDel="003875AB">
        <w:t xml:space="preserve"> </w:t>
      </w:r>
      <w:r w:rsidDel="003875AB">
        <w:t xml:space="preserve">exited </w:t>
      </w:r>
      <w:r w:rsidR="002003E5">
        <w:t xml:space="preserve">a </w:t>
      </w:r>
      <w:r w:rsidDel="003875AB">
        <w:t>financial hardship arrangement</w:t>
      </w:r>
      <w:r w:rsidR="002003E5">
        <w:t xml:space="preserve"> with their telco during the 2018–19 financial year, did so unsuccessfully (that is, they did not comply with their telco’s requirements)</w:t>
      </w:r>
      <w:r w:rsidDel="003875AB">
        <w:t>.</w:t>
      </w:r>
      <w:r w:rsidR="00312376">
        <w:rPr>
          <w:rStyle w:val="FootnoteReference"/>
        </w:rPr>
        <w:footnoteReference w:id="26"/>
      </w:r>
      <w:r w:rsidDel="003875AB">
        <w:t xml:space="preserve"> </w:t>
      </w:r>
    </w:p>
    <w:tbl>
      <w:tblPr>
        <w:tblStyle w:val="TableGrid"/>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CellMar>
          <w:top w:w="28" w:type="dxa"/>
          <w:left w:w="28" w:type="dxa"/>
          <w:bottom w:w="28" w:type="dxa"/>
          <w:right w:w="28" w:type="dxa"/>
        </w:tblCellMar>
        <w:tblLook w:val="04A0" w:firstRow="1" w:lastRow="0" w:firstColumn="1" w:lastColumn="0" w:noHBand="0" w:noVBand="1"/>
      </w:tblPr>
      <w:tblGrid>
        <w:gridCol w:w="850"/>
        <w:gridCol w:w="6527"/>
      </w:tblGrid>
      <w:tr w:rsidR="00846DEE" w14:paraId="19CD2A22" w14:textId="77777777" w:rsidTr="00BA6BF8">
        <w:trPr>
          <w:cantSplit/>
          <w:trHeight w:val="526"/>
        </w:trPr>
        <w:tc>
          <w:tcPr>
            <w:tcW w:w="850" w:type="dxa"/>
            <w:shd w:val="clear" w:color="auto" w:fill="F2F2F2" w:themeFill="background1" w:themeFillShade="F2"/>
            <w:vAlign w:val="center"/>
          </w:tcPr>
          <w:p w14:paraId="7ECD3EDA" w14:textId="5DA0F2EF" w:rsidR="00846DEE" w:rsidRDefault="0079616F" w:rsidP="007308F0">
            <w:pPr>
              <w:pStyle w:val="ListParagraph"/>
              <w:overflowPunct w:val="0"/>
              <w:autoSpaceDE w:val="0"/>
              <w:autoSpaceDN w:val="0"/>
              <w:adjustRightInd w:val="0"/>
              <w:spacing w:after="0"/>
              <w:ind w:left="0"/>
              <w:contextualSpacing w:val="0"/>
              <w:textAlignment w:val="baseline"/>
            </w:pPr>
            <w:r>
              <w:rPr>
                <w:noProof/>
              </w:rPr>
              <w:t xml:space="preserve"> </w:t>
            </w:r>
            <w:r>
              <w:rPr>
                <w:noProof/>
              </w:rPr>
              <w:drawing>
                <wp:inline distT="0" distB="0" distL="0" distR="0" wp14:anchorId="0F951B0E" wp14:editId="73991729">
                  <wp:extent cx="365760" cy="365760"/>
                  <wp:effectExtent l="0" t="0" r="0" b="0"/>
                  <wp:docPr id="48" name="Graphic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earch.svg"/>
                          <pic:cNvPicPr/>
                        </pic:nvPicPr>
                        <pic:blipFill>
                          <a:blip r:embed="rId27"/>
                          <a:stretch>
                            <a:fillRect/>
                          </a:stretch>
                        </pic:blipFill>
                        <pic:spPr>
                          <a:xfrm>
                            <a:off x="0" y="0"/>
                            <a:ext cx="367425" cy="367425"/>
                          </a:xfrm>
                          <a:prstGeom prst="rect">
                            <a:avLst/>
                          </a:prstGeom>
                        </pic:spPr>
                      </pic:pic>
                    </a:graphicData>
                  </a:graphic>
                </wp:inline>
              </w:drawing>
            </w:r>
          </w:p>
        </w:tc>
        <w:tc>
          <w:tcPr>
            <w:tcW w:w="6527" w:type="dxa"/>
            <w:shd w:val="clear" w:color="auto" w:fill="F2F2F2" w:themeFill="background1" w:themeFillShade="F2"/>
            <w:vAlign w:val="center"/>
          </w:tcPr>
          <w:p w14:paraId="2F24302B" w14:textId="77777777" w:rsidR="00B35D67" w:rsidRDefault="00846DEE" w:rsidP="0001421E">
            <w:pPr>
              <w:pStyle w:val="ListParagraph"/>
              <w:overflowPunct w:val="0"/>
              <w:autoSpaceDE w:val="0"/>
              <w:autoSpaceDN w:val="0"/>
              <w:adjustRightInd w:val="0"/>
              <w:spacing w:after="120"/>
              <w:ind w:left="0"/>
              <w:contextualSpacing w:val="0"/>
              <w:textAlignment w:val="baseline"/>
              <w:rPr>
                <w:i/>
                <w:sz w:val="18"/>
                <w:szCs w:val="18"/>
              </w:rPr>
            </w:pPr>
            <w:r w:rsidRPr="008F0D3F">
              <w:rPr>
                <w:i/>
                <w:sz w:val="18"/>
                <w:szCs w:val="18"/>
              </w:rPr>
              <w:t>This compares to</w:t>
            </w:r>
            <w:r w:rsidR="00B35D67">
              <w:rPr>
                <w:i/>
                <w:sz w:val="18"/>
                <w:szCs w:val="18"/>
              </w:rPr>
              <w:t>:</w:t>
            </w:r>
          </w:p>
          <w:p w14:paraId="60FF5CC4" w14:textId="753AA11C" w:rsidR="00B35D67" w:rsidRDefault="00A41693" w:rsidP="0001421E">
            <w:pPr>
              <w:pStyle w:val="ListParagraph"/>
              <w:numPr>
                <w:ilvl w:val="0"/>
                <w:numId w:val="34"/>
              </w:numPr>
              <w:overflowPunct w:val="0"/>
              <w:autoSpaceDE w:val="0"/>
              <w:autoSpaceDN w:val="0"/>
              <w:adjustRightInd w:val="0"/>
              <w:spacing w:after="120"/>
              <w:contextualSpacing w:val="0"/>
              <w:textAlignment w:val="baseline"/>
              <w:rPr>
                <w:i/>
                <w:sz w:val="18"/>
                <w:szCs w:val="18"/>
              </w:rPr>
            </w:pPr>
            <w:r>
              <w:rPr>
                <w:i/>
                <w:sz w:val="18"/>
                <w:szCs w:val="18"/>
              </w:rPr>
              <w:t>61</w:t>
            </w:r>
            <w:r w:rsidR="00846DEE" w:rsidRPr="008F0D3F">
              <w:rPr>
                <w:i/>
                <w:sz w:val="18"/>
                <w:szCs w:val="18"/>
              </w:rPr>
              <w:t xml:space="preserve"> per cent of residential electricity customers</w:t>
            </w:r>
            <w:r w:rsidR="00B35D67">
              <w:rPr>
                <w:i/>
                <w:sz w:val="18"/>
                <w:szCs w:val="18"/>
              </w:rPr>
              <w:t xml:space="preserve"> </w:t>
            </w:r>
            <w:r w:rsidR="00B648AA">
              <w:rPr>
                <w:i/>
                <w:sz w:val="18"/>
                <w:szCs w:val="18"/>
              </w:rPr>
              <w:t xml:space="preserve">who </w:t>
            </w:r>
            <w:r w:rsidR="00B35D67">
              <w:rPr>
                <w:i/>
                <w:sz w:val="18"/>
                <w:szCs w:val="18"/>
              </w:rPr>
              <w:t>were excluded from financial hardship programs</w:t>
            </w:r>
            <w:r w:rsidR="00E23F92">
              <w:rPr>
                <w:i/>
                <w:sz w:val="18"/>
                <w:szCs w:val="18"/>
              </w:rPr>
              <w:t xml:space="preserve"> </w:t>
            </w:r>
            <w:r w:rsidR="00503634">
              <w:rPr>
                <w:i/>
                <w:sz w:val="18"/>
                <w:szCs w:val="18"/>
              </w:rPr>
              <w:t xml:space="preserve">across </w:t>
            </w:r>
            <w:r w:rsidR="00922AFB">
              <w:rPr>
                <w:i/>
                <w:iCs/>
                <w:sz w:val="18"/>
                <w:szCs w:val="18"/>
              </w:rPr>
              <w:t>Qld, ACT, Tas</w:t>
            </w:r>
            <w:r w:rsidR="002F4CAF">
              <w:rPr>
                <w:i/>
                <w:iCs/>
                <w:sz w:val="18"/>
                <w:szCs w:val="18"/>
              </w:rPr>
              <w:t>.</w:t>
            </w:r>
            <w:r w:rsidR="00922AFB">
              <w:rPr>
                <w:i/>
                <w:iCs/>
                <w:sz w:val="18"/>
                <w:szCs w:val="18"/>
              </w:rPr>
              <w:t>, SA and NSW</w:t>
            </w:r>
            <w:r w:rsidR="00B35D67">
              <w:rPr>
                <w:i/>
                <w:iCs/>
                <w:sz w:val="18"/>
                <w:szCs w:val="18"/>
              </w:rPr>
              <w:t>.</w:t>
            </w:r>
            <w:r w:rsidR="00B35D67" w:rsidRPr="00E035C4">
              <w:rPr>
                <w:rStyle w:val="FootnoteReference"/>
                <w:iCs/>
                <w:sz w:val="18"/>
                <w:szCs w:val="18"/>
              </w:rPr>
              <w:footnoteReference w:id="27"/>
            </w:r>
          </w:p>
          <w:p w14:paraId="19A4CA82" w14:textId="6543A329" w:rsidR="00B35D67" w:rsidRPr="003A2FA2" w:rsidRDefault="00A41693" w:rsidP="0001421E">
            <w:pPr>
              <w:pStyle w:val="ListParagraph"/>
              <w:numPr>
                <w:ilvl w:val="0"/>
                <w:numId w:val="34"/>
              </w:numPr>
              <w:overflowPunct w:val="0"/>
              <w:autoSpaceDE w:val="0"/>
              <w:autoSpaceDN w:val="0"/>
              <w:adjustRightInd w:val="0"/>
              <w:spacing w:after="120"/>
              <w:contextualSpacing w:val="0"/>
              <w:textAlignment w:val="baseline"/>
              <w:rPr>
                <w:iCs/>
              </w:rPr>
            </w:pPr>
            <w:bookmarkStart w:id="27" w:name="_Hlk36455555"/>
            <w:r>
              <w:rPr>
                <w:i/>
                <w:sz w:val="18"/>
                <w:szCs w:val="18"/>
              </w:rPr>
              <w:t>59</w:t>
            </w:r>
            <w:r w:rsidR="00846DEE" w:rsidRPr="008F0D3F">
              <w:rPr>
                <w:i/>
                <w:sz w:val="18"/>
                <w:szCs w:val="18"/>
              </w:rPr>
              <w:t> per cent of residential gas customers</w:t>
            </w:r>
            <w:r w:rsidR="00E53DE2">
              <w:rPr>
                <w:i/>
                <w:sz w:val="18"/>
                <w:szCs w:val="18"/>
              </w:rPr>
              <w:t xml:space="preserve"> </w:t>
            </w:r>
            <w:r w:rsidR="00B648AA">
              <w:rPr>
                <w:i/>
                <w:sz w:val="18"/>
                <w:szCs w:val="18"/>
              </w:rPr>
              <w:t xml:space="preserve">who </w:t>
            </w:r>
            <w:r w:rsidR="00B35D67">
              <w:rPr>
                <w:i/>
                <w:sz w:val="18"/>
                <w:szCs w:val="18"/>
              </w:rPr>
              <w:t>were excluded from financial hardship programs</w:t>
            </w:r>
            <w:r w:rsidR="00E23F92">
              <w:rPr>
                <w:i/>
                <w:sz w:val="18"/>
                <w:szCs w:val="18"/>
              </w:rPr>
              <w:t xml:space="preserve"> </w:t>
            </w:r>
            <w:r w:rsidR="00503634">
              <w:rPr>
                <w:i/>
                <w:sz w:val="18"/>
                <w:szCs w:val="18"/>
              </w:rPr>
              <w:t xml:space="preserve">across </w:t>
            </w:r>
            <w:r w:rsidR="00922AFB">
              <w:rPr>
                <w:i/>
                <w:iCs/>
                <w:sz w:val="18"/>
                <w:szCs w:val="18"/>
              </w:rPr>
              <w:t>Qld, ACT, SA and NSW</w:t>
            </w:r>
            <w:bookmarkEnd w:id="27"/>
            <w:r w:rsidR="00846DEE" w:rsidRPr="008F0D3F">
              <w:rPr>
                <w:i/>
                <w:sz w:val="18"/>
                <w:szCs w:val="18"/>
              </w:rPr>
              <w:t>.</w:t>
            </w:r>
            <w:r w:rsidR="005A061B" w:rsidRPr="00E035C4">
              <w:rPr>
                <w:rStyle w:val="FootnoteReference"/>
                <w:iCs/>
                <w:sz w:val="18"/>
                <w:szCs w:val="18"/>
              </w:rPr>
              <w:footnoteReference w:id="28"/>
            </w:r>
          </w:p>
          <w:p w14:paraId="0C63936D" w14:textId="5F673452" w:rsidR="00A62813" w:rsidRPr="0001421E" w:rsidRDefault="00A62813" w:rsidP="003A2FA2">
            <w:pPr>
              <w:pStyle w:val="ListParagraph"/>
              <w:overflowPunct w:val="0"/>
              <w:autoSpaceDE w:val="0"/>
              <w:autoSpaceDN w:val="0"/>
              <w:adjustRightInd w:val="0"/>
              <w:spacing w:after="120"/>
              <w:ind w:left="360"/>
              <w:contextualSpacing w:val="0"/>
              <w:textAlignment w:val="baseline"/>
              <w:rPr>
                <w:iCs/>
              </w:rPr>
            </w:pPr>
            <w:r>
              <w:rPr>
                <w:i/>
                <w:sz w:val="18"/>
                <w:szCs w:val="18"/>
              </w:rPr>
              <w:t>The overwhelming reason they were excluded from hardship programs was because they did not make the requested pay</w:t>
            </w:r>
            <w:r w:rsidRPr="00C2564C">
              <w:rPr>
                <w:i/>
                <w:sz w:val="18"/>
                <w:szCs w:val="18"/>
              </w:rPr>
              <w:t>ments.</w:t>
            </w:r>
          </w:p>
          <w:p w14:paraId="22F1300D" w14:textId="14FED368" w:rsidR="00846DEE" w:rsidRPr="00876D4A" w:rsidRDefault="00B35D67" w:rsidP="0001421E">
            <w:pPr>
              <w:pStyle w:val="ListParagraph"/>
              <w:numPr>
                <w:ilvl w:val="0"/>
                <w:numId w:val="34"/>
              </w:numPr>
              <w:overflowPunct w:val="0"/>
              <w:autoSpaceDE w:val="0"/>
              <w:autoSpaceDN w:val="0"/>
              <w:adjustRightInd w:val="0"/>
              <w:spacing w:after="120"/>
              <w:contextualSpacing w:val="0"/>
              <w:textAlignment w:val="baseline"/>
              <w:rPr>
                <w:iCs/>
              </w:rPr>
            </w:pPr>
            <w:r>
              <w:rPr>
                <w:i/>
                <w:sz w:val="18"/>
                <w:szCs w:val="18"/>
              </w:rPr>
              <w:t xml:space="preserve">61 per cent of </w:t>
            </w:r>
            <w:r w:rsidR="00E74164">
              <w:rPr>
                <w:i/>
                <w:sz w:val="18"/>
                <w:szCs w:val="18"/>
              </w:rPr>
              <w:t xml:space="preserve">residential </w:t>
            </w:r>
            <w:r>
              <w:rPr>
                <w:i/>
                <w:sz w:val="18"/>
                <w:szCs w:val="18"/>
              </w:rPr>
              <w:t>energy customers</w:t>
            </w:r>
            <w:r w:rsidR="005A15FD">
              <w:rPr>
                <w:i/>
                <w:sz w:val="18"/>
                <w:szCs w:val="18"/>
              </w:rPr>
              <w:t xml:space="preserve"> </w:t>
            </w:r>
            <w:r w:rsidR="008F2F9A">
              <w:rPr>
                <w:i/>
                <w:sz w:val="18"/>
                <w:szCs w:val="18"/>
              </w:rPr>
              <w:t>in Vic</w:t>
            </w:r>
            <w:r w:rsidR="0034313A">
              <w:rPr>
                <w:i/>
                <w:sz w:val="18"/>
                <w:szCs w:val="18"/>
              </w:rPr>
              <w:t>.</w:t>
            </w:r>
            <w:r w:rsidR="008F2F9A">
              <w:rPr>
                <w:i/>
                <w:sz w:val="18"/>
                <w:szCs w:val="18"/>
              </w:rPr>
              <w:t xml:space="preserve"> </w:t>
            </w:r>
            <w:r w:rsidR="0097400C">
              <w:rPr>
                <w:i/>
                <w:sz w:val="18"/>
                <w:szCs w:val="18"/>
              </w:rPr>
              <w:t>exited hardship programs due to not complying with the requirements of the program or their payment arrangement</w:t>
            </w:r>
            <w:r w:rsidR="00876D4A">
              <w:rPr>
                <w:iCs/>
                <w:sz w:val="18"/>
                <w:szCs w:val="18"/>
              </w:rPr>
              <w:t>.</w:t>
            </w:r>
            <w:r w:rsidR="00EA23EB">
              <w:rPr>
                <w:rStyle w:val="FootnoteReference"/>
                <w:iCs/>
                <w:sz w:val="18"/>
                <w:szCs w:val="18"/>
              </w:rPr>
              <w:footnoteReference w:id="29"/>
            </w:r>
          </w:p>
        </w:tc>
      </w:tr>
    </w:tbl>
    <w:p w14:paraId="6ED611CC" w14:textId="77777777" w:rsidR="00846DEE" w:rsidRPr="00923D34" w:rsidRDefault="00846DEE" w:rsidP="00846DEE">
      <w:pPr>
        <w:pStyle w:val="Heading2"/>
        <w:keepLines/>
      </w:pPr>
      <w:bookmarkStart w:id="29" w:name="_Toc34146414"/>
      <w:bookmarkStart w:id="30" w:name="_Toc36466907"/>
      <w:bookmarkStart w:id="31" w:name="_Hlk34148440"/>
      <w:bookmarkStart w:id="32" w:name="_Hlk34148673"/>
      <w:bookmarkEnd w:id="25"/>
      <w:bookmarkEnd w:id="26"/>
      <w:r>
        <w:lastRenderedPageBreak/>
        <w:t xml:space="preserve">Financial hardship </w:t>
      </w:r>
      <w:r w:rsidRPr="00E74633">
        <w:t>disconnections</w:t>
      </w:r>
      <w:bookmarkEnd w:id="29"/>
      <w:bookmarkEnd w:id="30"/>
    </w:p>
    <w:p w14:paraId="2575A8D6" w14:textId="416DA8EA" w:rsidR="00846DEE" w:rsidRDefault="00846DEE" w:rsidP="00846DEE">
      <w:pPr>
        <w:pStyle w:val="ListParagraph"/>
        <w:keepNext/>
        <w:keepLines/>
        <w:numPr>
          <w:ilvl w:val="0"/>
          <w:numId w:val="25"/>
        </w:numPr>
        <w:overflowPunct w:val="0"/>
        <w:autoSpaceDE w:val="0"/>
        <w:autoSpaceDN w:val="0"/>
        <w:adjustRightInd w:val="0"/>
        <w:spacing w:before="120" w:after="120"/>
        <w:ind w:left="284" w:hanging="284"/>
        <w:contextualSpacing w:val="0"/>
        <w:textAlignment w:val="baseline"/>
      </w:pPr>
      <w:bookmarkStart w:id="33" w:name="_Hlk33631302"/>
      <w:r w:rsidRPr="009B0C22">
        <w:t xml:space="preserve">8,580 telco financial hardship customers had their services disconnected </w:t>
      </w:r>
      <w:r w:rsidR="00477DC4">
        <w:t>during the 2018–19 financial year</w:t>
      </w:r>
      <w:r w:rsidR="00477DC4" w:rsidRPr="009B0C22">
        <w:t xml:space="preserve"> </w:t>
      </w:r>
      <w:r w:rsidRPr="009B0C22">
        <w:t xml:space="preserve">due to non-payment. </w:t>
      </w:r>
    </w:p>
    <w:bookmarkEnd w:id="31"/>
    <w:bookmarkEnd w:id="33"/>
    <w:p w14:paraId="54CC6EBE" w14:textId="00EC7AB1" w:rsidR="008F0D3F" w:rsidRDefault="00647D3F" w:rsidP="008F0D3F">
      <w:pPr>
        <w:pStyle w:val="ListParagraph"/>
        <w:numPr>
          <w:ilvl w:val="0"/>
          <w:numId w:val="25"/>
        </w:numPr>
        <w:overflowPunct w:val="0"/>
        <w:autoSpaceDE w:val="0"/>
        <w:autoSpaceDN w:val="0"/>
        <w:adjustRightInd w:val="0"/>
        <w:spacing w:before="120" w:after="120"/>
        <w:ind w:left="284" w:hanging="284"/>
        <w:contextualSpacing w:val="0"/>
        <w:textAlignment w:val="baseline"/>
      </w:pPr>
      <w:r>
        <w:t>95</w:t>
      </w:r>
      <w:r w:rsidR="00915AC1">
        <w:t>.4</w:t>
      </w:r>
      <w:r w:rsidR="008F0D3F">
        <w:t xml:space="preserve"> per cent (</w:t>
      </w:r>
      <w:r>
        <w:t>8,187</w:t>
      </w:r>
      <w:r w:rsidR="008F0D3F">
        <w:t xml:space="preserve">) of </w:t>
      </w:r>
      <w:r w:rsidR="00915AC1">
        <w:t xml:space="preserve">the 8,580 </w:t>
      </w:r>
      <w:r w:rsidR="00474467">
        <w:t xml:space="preserve">telco </w:t>
      </w:r>
      <w:r w:rsidR="008F0D3F">
        <w:t xml:space="preserve">financial hardship disconnections </w:t>
      </w:r>
      <w:r w:rsidR="00366248">
        <w:t xml:space="preserve">that </w:t>
      </w:r>
      <w:r w:rsidR="00885E4E">
        <w:t xml:space="preserve">occurred </w:t>
      </w:r>
      <w:r w:rsidR="00915AC1">
        <w:t xml:space="preserve">during the 2018–19 financial year </w:t>
      </w:r>
      <w:r w:rsidR="008F0D3F">
        <w:t xml:space="preserve">were undertaken by </w:t>
      </w:r>
      <w:r>
        <w:t>two</w:t>
      </w:r>
      <w:r w:rsidR="008F0D3F">
        <w:t xml:space="preserve"> telco</w:t>
      </w:r>
      <w:r>
        <w:t>s</w:t>
      </w:r>
      <w:r w:rsidR="008F0D3F">
        <w:t xml:space="preserve">. We understand </w:t>
      </w:r>
      <w:r>
        <w:t xml:space="preserve">that one of </w:t>
      </w:r>
      <w:r w:rsidR="008F0D3F">
        <w:t>the telco</w:t>
      </w:r>
      <w:r>
        <w:t>s</w:t>
      </w:r>
      <w:r w:rsidR="008F0D3F">
        <w:t xml:space="preserve"> reviewed its financial hardship portfolio during </w:t>
      </w:r>
      <w:r w:rsidR="00885E4E">
        <w:t>2018–19</w:t>
      </w:r>
      <w:r w:rsidR="008F0D3F">
        <w:t xml:space="preserve"> and identified a large number of non-compliant customers (multiple broken promises to pay or uncontactable for an extended period of time). We note that a telco can choose to disconnect a customer if they do not comply with their agreed financial hardship arrangement.</w:t>
      </w:r>
    </w:p>
    <w:p w14:paraId="41C14CC2" w14:textId="0B2B869C" w:rsidR="008F0D3F" w:rsidRDefault="008F0D3F" w:rsidP="008F0D3F">
      <w:pPr>
        <w:pStyle w:val="ListParagraph"/>
        <w:numPr>
          <w:ilvl w:val="0"/>
          <w:numId w:val="25"/>
        </w:numPr>
        <w:overflowPunct w:val="0"/>
        <w:autoSpaceDE w:val="0"/>
        <w:autoSpaceDN w:val="0"/>
        <w:adjustRightInd w:val="0"/>
        <w:spacing w:before="120" w:after="120"/>
        <w:ind w:left="284" w:hanging="284"/>
        <w:contextualSpacing w:val="0"/>
        <w:textAlignment w:val="baseline"/>
      </w:pPr>
      <w:r>
        <w:t>78</w:t>
      </w:r>
      <w:r w:rsidR="00885E4E">
        <w:t>.2</w:t>
      </w:r>
      <w:r>
        <w:t xml:space="preserve"> per cent (6,710) of </w:t>
      </w:r>
      <w:r w:rsidR="00885E4E">
        <w:t>the 8,580</w:t>
      </w:r>
      <w:r>
        <w:t xml:space="preserve"> telco financial hardship disconnections </w:t>
      </w:r>
      <w:r w:rsidR="00366248">
        <w:t xml:space="preserve">that </w:t>
      </w:r>
      <w:r w:rsidR="00885E4E">
        <w:t xml:space="preserve">occurred during the 2018–19 financial year </w:t>
      </w:r>
      <w:r>
        <w:t>related to mobile services.</w:t>
      </w:r>
    </w:p>
    <w:p w14:paraId="2FAA913C" w14:textId="39B824C4" w:rsidR="008F0D3F" w:rsidRDefault="008F0D3F" w:rsidP="008F0D3F">
      <w:pPr>
        <w:pStyle w:val="ListParagraph"/>
        <w:numPr>
          <w:ilvl w:val="0"/>
          <w:numId w:val="25"/>
        </w:numPr>
        <w:overflowPunct w:val="0"/>
        <w:autoSpaceDE w:val="0"/>
        <w:autoSpaceDN w:val="0"/>
        <w:adjustRightInd w:val="0"/>
        <w:spacing w:before="120" w:after="120"/>
        <w:ind w:left="284" w:hanging="284"/>
        <w:contextualSpacing w:val="0"/>
        <w:textAlignment w:val="baseline"/>
      </w:pPr>
      <w:r>
        <w:t>Nine out of the 11 telcos disconnected fewer than 200 financial hardship customers</w:t>
      </w:r>
      <w:r w:rsidR="00DA26D8">
        <w:t xml:space="preserve"> during the 2018–19 financial year</w:t>
      </w:r>
      <w:r>
        <w:t>, and three of these telcos did not disconnect any.</w:t>
      </w:r>
    </w:p>
    <w:p w14:paraId="4785F750" w14:textId="1ABBF5D2" w:rsidR="00846DEE" w:rsidRDefault="00FD4649" w:rsidP="00846DEE">
      <w:pPr>
        <w:pStyle w:val="Heading1"/>
        <w:rPr>
          <w:rFonts w:eastAsiaTheme="majorEastAsia"/>
        </w:rPr>
      </w:pPr>
      <w:bookmarkStart w:id="34" w:name="_Toc34146415"/>
      <w:bookmarkStart w:id="35" w:name="_Toc36466908"/>
      <w:r>
        <w:rPr>
          <w:rFonts w:eastAsiaTheme="majorEastAsia"/>
        </w:rPr>
        <w:lastRenderedPageBreak/>
        <w:t>Detailed</w:t>
      </w:r>
      <w:r w:rsidR="00846DEE">
        <w:rPr>
          <w:rFonts w:eastAsiaTheme="majorEastAsia"/>
        </w:rPr>
        <w:t xml:space="preserve"> information</w:t>
      </w:r>
      <w:bookmarkEnd w:id="34"/>
      <w:bookmarkEnd w:id="35"/>
    </w:p>
    <w:bookmarkEnd w:id="32"/>
    <w:p w14:paraId="7CAFDEF3" w14:textId="1FD7CBE4" w:rsidR="008F0D3F" w:rsidRDefault="008F0D3F" w:rsidP="008F0D3F">
      <w:pPr>
        <w:pStyle w:val="Paragraph"/>
        <w:rPr>
          <w:rFonts w:eastAsiaTheme="majorEastAsia"/>
        </w:rPr>
      </w:pPr>
      <w:r>
        <w:rPr>
          <w:rFonts w:eastAsiaTheme="majorEastAsia"/>
        </w:rPr>
        <w:t xml:space="preserve">The </w:t>
      </w:r>
      <w:r w:rsidR="00711EB8">
        <w:rPr>
          <w:rFonts w:eastAsiaTheme="majorEastAsia"/>
        </w:rPr>
        <w:t>detailed</w:t>
      </w:r>
      <w:r>
        <w:rPr>
          <w:rFonts w:eastAsiaTheme="majorEastAsia"/>
        </w:rPr>
        <w:t xml:space="preserve"> information in this section </w:t>
      </w:r>
      <w:r w:rsidR="00711EB8">
        <w:rPr>
          <w:rFonts w:eastAsiaTheme="majorEastAsia"/>
        </w:rPr>
        <w:t>is</w:t>
      </w:r>
      <w:r>
        <w:rPr>
          <w:rFonts w:eastAsiaTheme="majorEastAsia"/>
        </w:rPr>
        <w:t xml:space="preserve"> </w:t>
      </w:r>
      <w:r>
        <w:t>based on the information provided by the largest 11 telcos offering post-paid services during 2018–19</w:t>
      </w:r>
      <w:r w:rsidR="00474467">
        <w:t>,</w:t>
      </w:r>
      <w:r>
        <w:t xml:space="preserve"> </w:t>
      </w:r>
      <w:r w:rsidR="00366248">
        <w:t xml:space="preserve">as well as </w:t>
      </w:r>
      <w:r>
        <w:t xml:space="preserve">information sourced from the Australian Energy Regulator’s </w:t>
      </w:r>
      <w:r w:rsidRPr="00662921">
        <w:rPr>
          <w:i/>
          <w:iCs/>
        </w:rPr>
        <w:t>Annual Retail Markets Report, 2018–19</w:t>
      </w:r>
      <w:r w:rsidR="004F2329">
        <w:t xml:space="preserve"> and </w:t>
      </w:r>
      <w:r w:rsidR="0079683E">
        <w:t>the</w:t>
      </w:r>
      <w:r w:rsidR="0079683E">
        <w:rPr>
          <w:i/>
          <w:iCs/>
        </w:rPr>
        <w:t xml:space="preserve"> </w:t>
      </w:r>
      <w:r w:rsidR="0079683E" w:rsidRPr="00F44ECC">
        <w:t>Essential Services Commission,</w:t>
      </w:r>
      <w:r w:rsidR="0079683E" w:rsidRPr="0081281D">
        <w:rPr>
          <w:i/>
          <w:iCs/>
        </w:rPr>
        <w:t xml:space="preserve"> Victorian Energy Market Report 2018–19</w:t>
      </w:r>
      <w:r>
        <w:rPr>
          <w:rFonts w:eastAsiaTheme="majorEastAsia"/>
        </w:rPr>
        <w:t xml:space="preserve">. </w:t>
      </w:r>
    </w:p>
    <w:p w14:paraId="342CA165" w14:textId="24D07A49" w:rsidR="00F466D5" w:rsidRDefault="00782811" w:rsidP="00891374">
      <w:pPr>
        <w:pStyle w:val="Heading2"/>
        <w:keepNext w:val="0"/>
        <w:spacing w:after="120"/>
        <w:rPr>
          <w:rFonts w:eastAsiaTheme="majorEastAsia"/>
        </w:rPr>
      </w:pPr>
      <w:bookmarkStart w:id="36" w:name="_Toc36466909"/>
      <w:r>
        <w:rPr>
          <w:rFonts w:eastAsiaTheme="majorEastAsia"/>
        </w:rPr>
        <w:t>Customers experiencing f</w:t>
      </w:r>
      <w:r w:rsidR="004976DE">
        <w:rPr>
          <w:rFonts w:eastAsiaTheme="majorEastAsia"/>
        </w:rPr>
        <w:t>inancial hardship</w:t>
      </w:r>
      <w:bookmarkEnd w:id="36"/>
    </w:p>
    <w:p w14:paraId="38449640" w14:textId="0B996B1B" w:rsidR="007C6635" w:rsidRDefault="007C6635" w:rsidP="007C6635">
      <w:pPr>
        <w:pStyle w:val="Figureheading"/>
        <w:rPr>
          <w:rFonts w:eastAsiaTheme="majorEastAsia"/>
        </w:rPr>
      </w:pPr>
      <w:r>
        <w:rPr>
          <w:rFonts w:eastAsiaTheme="majorEastAsia"/>
        </w:rPr>
        <w:t xml:space="preserve">Telco financial hardship customers at quarter </w:t>
      </w:r>
      <w:r w:rsidRPr="007C6635">
        <w:rPr>
          <w:rFonts w:eastAsiaTheme="majorEastAsia"/>
        </w:rPr>
        <w:t>end during 2018</w:t>
      </w:r>
      <w:r w:rsidR="007A5C8C">
        <w:rPr>
          <w:rFonts w:eastAsiaTheme="majorEastAsia"/>
        </w:rPr>
        <w:t>–</w:t>
      </w:r>
      <w:r w:rsidRPr="007C6635">
        <w:rPr>
          <w:rFonts w:eastAsiaTheme="majorEastAsia"/>
        </w:rPr>
        <w:t xml:space="preserve">19 </w:t>
      </w:r>
    </w:p>
    <w:p w14:paraId="698211BC" w14:textId="62764828" w:rsidR="000C3F90" w:rsidRPr="007C6635" w:rsidRDefault="000C3F90" w:rsidP="009A0F99">
      <w:pPr>
        <w:pStyle w:val="Paragraph"/>
        <w:spacing w:after="360"/>
        <w:rPr>
          <w:rFonts w:eastAsiaTheme="majorEastAsia"/>
        </w:rPr>
      </w:pPr>
      <w:r>
        <w:rPr>
          <w:noProof/>
        </w:rPr>
        <w:drawing>
          <wp:inline distT="0" distB="0" distL="0" distR="0" wp14:anchorId="6EBB168C" wp14:editId="02411A87">
            <wp:extent cx="5781675" cy="2238506"/>
            <wp:effectExtent l="0" t="0" r="0" b="9525"/>
            <wp:docPr id="15" name="Picture 15"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808528" cy="2248903"/>
                    </a:xfrm>
                    <a:prstGeom prst="rect">
                      <a:avLst/>
                    </a:prstGeom>
                  </pic:spPr>
                </pic:pic>
              </a:graphicData>
            </a:graphic>
          </wp:inline>
        </w:drawing>
      </w:r>
    </w:p>
    <w:p w14:paraId="1711A5B4" w14:textId="07BD8BF5" w:rsidR="007C6635" w:rsidRDefault="007C6635" w:rsidP="007C6635">
      <w:pPr>
        <w:pStyle w:val="Figureheading"/>
        <w:keepLines/>
        <w:rPr>
          <w:rFonts w:eastAsiaTheme="majorEastAsia"/>
        </w:rPr>
      </w:pPr>
      <w:r>
        <w:rPr>
          <w:rFonts w:eastAsiaTheme="majorEastAsia"/>
        </w:rPr>
        <w:t>Number of telco financial hardship customers by telco (anonymised) at 30 June 2019 (total = 10,259)</w:t>
      </w:r>
    </w:p>
    <w:p w14:paraId="1B0EB4CC" w14:textId="5609C43F" w:rsidR="007C6635" w:rsidRDefault="000C3F90" w:rsidP="007C6635">
      <w:pPr>
        <w:pStyle w:val="Paragraph"/>
        <w:rPr>
          <w:rFonts w:eastAsiaTheme="majorEastAsia"/>
        </w:rPr>
      </w:pPr>
      <w:r>
        <w:rPr>
          <w:noProof/>
        </w:rPr>
        <w:drawing>
          <wp:inline distT="0" distB="0" distL="0" distR="0" wp14:anchorId="4FBA829F" wp14:editId="762D3912">
            <wp:extent cx="5972175" cy="2757017"/>
            <wp:effectExtent l="0" t="0" r="0" b="5715"/>
            <wp:docPr id="19" name="Picture 19"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r="2380"/>
                    <a:stretch/>
                  </pic:blipFill>
                  <pic:spPr bwMode="auto">
                    <a:xfrm>
                      <a:off x="0" y="0"/>
                      <a:ext cx="5986446" cy="2763605"/>
                    </a:xfrm>
                    <a:prstGeom prst="rect">
                      <a:avLst/>
                    </a:prstGeom>
                    <a:ln>
                      <a:noFill/>
                    </a:ln>
                    <a:extLst>
                      <a:ext uri="{53640926-AAD7-44D8-BBD7-CCE9431645EC}">
                        <a14:shadowObscured xmlns:a14="http://schemas.microsoft.com/office/drawing/2010/main"/>
                      </a:ext>
                    </a:extLst>
                  </pic:spPr>
                </pic:pic>
              </a:graphicData>
            </a:graphic>
          </wp:inline>
        </w:drawing>
      </w:r>
    </w:p>
    <w:p w14:paraId="48583AFA" w14:textId="5CCBD1C1" w:rsidR="005E25D4" w:rsidRPr="007C6635" w:rsidRDefault="005E25D4" w:rsidP="005E25D4">
      <w:pPr>
        <w:pStyle w:val="Figureheading"/>
        <w:rPr>
          <w:rFonts w:eastAsiaTheme="majorEastAsia"/>
        </w:rPr>
      </w:pPr>
      <w:r>
        <w:rPr>
          <w:rFonts w:eastAsiaTheme="majorEastAsia"/>
        </w:rPr>
        <w:lastRenderedPageBreak/>
        <w:t xml:space="preserve">Telco financial hardship customers as a percentage of </w:t>
      </w:r>
      <w:r w:rsidR="000D6762">
        <w:rPr>
          <w:rFonts w:eastAsiaTheme="majorEastAsia"/>
        </w:rPr>
        <w:t xml:space="preserve">telco </w:t>
      </w:r>
      <w:r>
        <w:rPr>
          <w:rFonts w:eastAsiaTheme="majorEastAsia"/>
        </w:rPr>
        <w:t>residential customer</w:t>
      </w:r>
      <w:r w:rsidR="000D6762">
        <w:rPr>
          <w:rFonts w:eastAsiaTheme="majorEastAsia"/>
        </w:rPr>
        <w:t xml:space="preserve"> numbers</w:t>
      </w:r>
      <w:r>
        <w:rPr>
          <w:rFonts w:eastAsiaTheme="majorEastAsia"/>
        </w:rPr>
        <w:t xml:space="preserve"> by telco (anonymised) at 30 June 2019</w:t>
      </w:r>
      <w:r w:rsidRPr="007C6635">
        <w:rPr>
          <w:rFonts w:eastAsiaTheme="majorEastAsia"/>
        </w:rPr>
        <w:t xml:space="preserve"> </w:t>
      </w:r>
    </w:p>
    <w:p w14:paraId="06ACCF69" w14:textId="21D3AAD5" w:rsidR="0024016E" w:rsidRDefault="000C3F90" w:rsidP="009A0F99">
      <w:pPr>
        <w:pStyle w:val="Paragraph"/>
        <w:spacing w:after="360"/>
        <w:rPr>
          <w:rFonts w:eastAsiaTheme="majorEastAsia"/>
        </w:rPr>
      </w:pPr>
      <w:r>
        <w:rPr>
          <w:noProof/>
        </w:rPr>
        <w:drawing>
          <wp:inline distT="0" distB="0" distL="0" distR="0" wp14:anchorId="504D7097" wp14:editId="491AD53E">
            <wp:extent cx="6067425" cy="2970041"/>
            <wp:effectExtent l="0" t="0" r="0" b="1905"/>
            <wp:docPr id="20" name="Picture 20"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096239" cy="2984146"/>
                    </a:xfrm>
                    <a:prstGeom prst="rect">
                      <a:avLst/>
                    </a:prstGeom>
                  </pic:spPr>
                </pic:pic>
              </a:graphicData>
            </a:graphic>
          </wp:inline>
        </w:drawing>
      </w:r>
    </w:p>
    <w:p w14:paraId="04439E6E" w14:textId="2B1B4CBC" w:rsidR="00B61B6C" w:rsidRDefault="00B61B6C" w:rsidP="00FA0800">
      <w:pPr>
        <w:pStyle w:val="Figureheading"/>
        <w:rPr>
          <w:rFonts w:eastAsiaTheme="majorEastAsia"/>
        </w:rPr>
      </w:pPr>
      <w:r>
        <w:rPr>
          <w:rFonts w:eastAsiaTheme="majorEastAsia"/>
        </w:rPr>
        <w:t>Financial hardship customers as a percentage of residential customers at 30 June</w:t>
      </w:r>
      <w:r w:rsidR="008F0D3F">
        <w:rPr>
          <w:rFonts w:eastAsiaTheme="majorEastAsia"/>
        </w:rPr>
        <w:t xml:space="preserve"> 2019</w:t>
      </w:r>
    </w:p>
    <w:p w14:paraId="48F02A29" w14:textId="43BB317F" w:rsidR="00F21175" w:rsidRDefault="000C3F90" w:rsidP="00FA0800">
      <w:pPr>
        <w:pStyle w:val="Paragraph"/>
        <w:rPr>
          <w:rFonts w:eastAsiaTheme="majorEastAsia"/>
        </w:rPr>
      </w:pPr>
      <w:r>
        <w:rPr>
          <w:noProof/>
        </w:rPr>
        <w:drawing>
          <wp:inline distT="0" distB="0" distL="0" distR="0" wp14:anchorId="7F66ABE6" wp14:editId="6D56F917">
            <wp:extent cx="5886450" cy="3558267"/>
            <wp:effectExtent l="0" t="0" r="0" b="4445"/>
            <wp:docPr id="34" name="Picture 34"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900602" cy="3566822"/>
                    </a:xfrm>
                    <a:prstGeom prst="rect">
                      <a:avLst/>
                    </a:prstGeom>
                  </pic:spPr>
                </pic:pic>
              </a:graphicData>
            </a:graphic>
          </wp:inline>
        </w:drawing>
      </w:r>
    </w:p>
    <w:p w14:paraId="29748D16" w14:textId="5F140A37" w:rsidR="000B5874" w:rsidRPr="00CB0369" w:rsidRDefault="000B5874" w:rsidP="00CB0369">
      <w:pPr>
        <w:pStyle w:val="Tableorfigurenotemultiple"/>
        <w:rPr>
          <w:rFonts w:eastAsiaTheme="majorEastAsia"/>
        </w:rPr>
      </w:pPr>
      <w:r w:rsidRPr="00CB0369">
        <w:rPr>
          <w:rFonts w:eastAsiaTheme="majorEastAsia"/>
        </w:rPr>
        <w:t>Note 1: Electricity covers residential customers located across Qld, NSW, ACT, Tas</w:t>
      </w:r>
      <w:r w:rsidR="007A5C8C">
        <w:rPr>
          <w:rFonts w:eastAsiaTheme="majorEastAsia"/>
        </w:rPr>
        <w:t>.</w:t>
      </w:r>
      <w:r w:rsidRPr="00CB0369">
        <w:rPr>
          <w:rFonts w:eastAsiaTheme="majorEastAsia"/>
        </w:rPr>
        <w:t xml:space="preserve"> and SA.</w:t>
      </w:r>
      <w:r w:rsidR="007643BB" w:rsidRPr="00CB0369">
        <w:rPr>
          <w:szCs w:val="22"/>
          <w:vertAlign w:val="superscript"/>
        </w:rPr>
        <w:t xml:space="preserve"> </w:t>
      </w:r>
    </w:p>
    <w:p w14:paraId="537B6572" w14:textId="60A2C8C5" w:rsidR="000B5874" w:rsidRPr="00CB0369" w:rsidRDefault="000B5874" w:rsidP="00CB0369">
      <w:pPr>
        <w:pStyle w:val="Tableorfigurenotemultiple"/>
        <w:rPr>
          <w:rFonts w:eastAsiaTheme="majorEastAsia"/>
        </w:rPr>
      </w:pPr>
      <w:r w:rsidRPr="00CB0369">
        <w:rPr>
          <w:rFonts w:eastAsiaTheme="majorEastAsia"/>
        </w:rPr>
        <w:t xml:space="preserve">Note 2: </w:t>
      </w:r>
      <w:bookmarkStart w:id="37" w:name="_Hlk36455512"/>
      <w:r w:rsidRPr="00CB0369">
        <w:rPr>
          <w:rFonts w:eastAsiaTheme="majorEastAsia"/>
        </w:rPr>
        <w:t>Gas covers residential customers located across Qld, NSW, ACT and SA.</w:t>
      </w:r>
    </w:p>
    <w:bookmarkEnd w:id="37"/>
    <w:p w14:paraId="5FFD22C1" w14:textId="6DD9E4F4" w:rsidR="00AC42DF" w:rsidRPr="00CB0369" w:rsidRDefault="00AC42DF" w:rsidP="00CB0369">
      <w:pPr>
        <w:pStyle w:val="Tableorfigurenotemultiple"/>
        <w:rPr>
          <w:rFonts w:eastAsiaTheme="majorEastAsia"/>
        </w:rPr>
      </w:pPr>
      <w:r w:rsidRPr="00CB0369">
        <w:rPr>
          <w:rFonts w:eastAsiaTheme="majorEastAsia"/>
        </w:rPr>
        <w:t>Note 3: Energy covers residential gas and electricity customers located in Vic</w:t>
      </w:r>
      <w:r w:rsidR="00C2564C">
        <w:rPr>
          <w:rFonts w:eastAsiaTheme="majorEastAsia"/>
        </w:rPr>
        <w:t>.</w:t>
      </w:r>
      <w:r w:rsidRPr="00CB0369">
        <w:rPr>
          <w:rFonts w:eastAsiaTheme="majorEastAsia"/>
        </w:rPr>
        <w:t xml:space="preserve"> (</w:t>
      </w:r>
      <w:r w:rsidR="0085626A">
        <w:rPr>
          <w:rFonts w:eastAsiaTheme="majorEastAsia"/>
        </w:rPr>
        <w:t>during</w:t>
      </w:r>
      <w:r w:rsidRPr="00CB0369">
        <w:rPr>
          <w:rFonts w:eastAsiaTheme="majorEastAsia"/>
        </w:rPr>
        <w:t xml:space="preserve"> July to December 2018).</w:t>
      </w:r>
    </w:p>
    <w:p w14:paraId="098CE6E6" w14:textId="45B44671" w:rsidR="000B5874" w:rsidRDefault="000B5874" w:rsidP="00FA0800">
      <w:pPr>
        <w:pStyle w:val="Paragraph"/>
        <w:rPr>
          <w:rFonts w:eastAsiaTheme="majorEastAsia"/>
        </w:rPr>
      </w:pPr>
    </w:p>
    <w:p w14:paraId="124384EB" w14:textId="1B85C584" w:rsidR="004357F3" w:rsidRDefault="00140670" w:rsidP="00CA4C49">
      <w:pPr>
        <w:pStyle w:val="Figureheading"/>
        <w:keepLines/>
        <w:rPr>
          <w:rFonts w:eastAsiaTheme="majorEastAsia"/>
        </w:rPr>
      </w:pPr>
      <w:r>
        <w:rPr>
          <w:rFonts w:eastAsiaTheme="majorEastAsia"/>
        </w:rPr>
        <w:lastRenderedPageBreak/>
        <w:t xml:space="preserve">Breakdown </w:t>
      </w:r>
      <w:r w:rsidR="00647D4C">
        <w:rPr>
          <w:rFonts w:eastAsiaTheme="majorEastAsia"/>
        </w:rPr>
        <w:t xml:space="preserve">of </w:t>
      </w:r>
      <w:r w:rsidR="007E7CD0">
        <w:rPr>
          <w:rFonts w:eastAsiaTheme="majorEastAsia"/>
        </w:rPr>
        <w:t xml:space="preserve">telco </w:t>
      </w:r>
      <w:r w:rsidR="004357F3">
        <w:rPr>
          <w:rFonts w:eastAsiaTheme="majorEastAsia"/>
        </w:rPr>
        <w:t xml:space="preserve">financial hardship customers </w:t>
      </w:r>
      <w:r w:rsidR="007744CC">
        <w:rPr>
          <w:rFonts w:eastAsiaTheme="majorEastAsia"/>
        </w:rPr>
        <w:t xml:space="preserve">by service type </w:t>
      </w:r>
      <w:r w:rsidR="004357F3">
        <w:rPr>
          <w:rFonts w:eastAsiaTheme="majorEastAsia"/>
        </w:rPr>
        <w:t>at 30 June 2019</w:t>
      </w:r>
      <w:r w:rsidR="00925805">
        <w:rPr>
          <w:rFonts w:eastAsiaTheme="majorEastAsia"/>
        </w:rPr>
        <w:t xml:space="preserve"> (</w:t>
      </w:r>
      <w:r w:rsidR="00696EC2">
        <w:rPr>
          <w:rFonts w:eastAsiaTheme="majorEastAsia"/>
        </w:rPr>
        <w:t>t</w:t>
      </w:r>
      <w:r w:rsidR="00925805">
        <w:rPr>
          <w:rFonts w:eastAsiaTheme="majorEastAsia"/>
        </w:rPr>
        <w:t>otal = 10,259)</w:t>
      </w:r>
    </w:p>
    <w:p w14:paraId="1DEFC434" w14:textId="10B9D2A4" w:rsidR="00ED3991" w:rsidRDefault="00C263A4" w:rsidP="00CA4C49">
      <w:pPr>
        <w:pStyle w:val="Paragraph"/>
        <w:keepNext/>
        <w:keepLines/>
        <w:rPr>
          <w:rFonts w:eastAsiaTheme="majorEastAsia"/>
        </w:rPr>
      </w:pPr>
      <w:r w:rsidRPr="00C263A4">
        <w:rPr>
          <w:noProof/>
        </w:rPr>
        <w:t xml:space="preserve"> </w:t>
      </w:r>
      <w:r w:rsidR="00550963">
        <w:rPr>
          <w:noProof/>
        </w:rPr>
        <w:drawing>
          <wp:inline distT="0" distB="0" distL="0" distR="0" wp14:anchorId="43D2A715" wp14:editId="6C3C137E">
            <wp:extent cx="4236942" cy="2686050"/>
            <wp:effectExtent l="0" t="0" r="0" b="0"/>
            <wp:docPr id="29" name="Picture 29"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l="14828"/>
                    <a:stretch/>
                  </pic:blipFill>
                  <pic:spPr bwMode="auto">
                    <a:xfrm>
                      <a:off x="0" y="0"/>
                      <a:ext cx="4249753" cy="2694171"/>
                    </a:xfrm>
                    <a:prstGeom prst="rect">
                      <a:avLst/>
                    </a:prstGeom>
                    <a:ln>
                      <a:noFill/>
                    </a:ln>
                    <a:extLst>
                      <a:ext uri="{53640926-AAD7-44D8-BBD7-CCE9431645EC}">
                        <a14:shadowObscured xmlns:a14="http://schemas.microsoft.com/office/drawing/2010/main"/>
                      </a:ext>
                    </a:extLst>
                  </pic:spPr>
                </pic:pic>
              </a:graphicData>
            </a:graphic>
          </wp:inline>
        </w:drawing>
      </w:r>
    </w:p>
    <w:p w14:paraId="649144FF" w14:textId="6A808EDD" w:rsidR="0058491E" w:rsidRDefault="00657C10" w:rsidP="009A0F99">
      <w:pPr>
        <w:pStyle w:val="Heading2"/>
        <w:spacing w:before="360" w:after="120"/>
        <w:rPr>
          <w:rFonts w:eastAsiaTheme="majorEastAsia"/>
        </w:rPr>
      </w:pPr>
      <w:bookmarkStart w:id="38" w:name="_Toc36466910"/>
      <w:r>
        <w:rPr>
          <w:rFonts w:eastAsiaTheme="majorEastAsia"/>
        </w:rPr>
        <w:t xml:space="preserve">Financial </w:t>
      </w:r>
      <w:r w:rsidRPr="00E74633">
        <w:rPr>
          <w:rFonts w:eastAsiaTheme="majorEastAsia"/>
        </w:rPr>
        <w:t>hardship</w:t>
      </w:r>
      <w:r>
        <w:rPr>
          <w:rFonts w:eastAsiaTheme="majorEastAsia"/>
        </w:rPr>
        <w:t xml:space="preserve"> debt</w:t>
      </w:r>
      <w:bookmarkEnd w:id="38"/>
    </w:p>
    <w:bookmarkEnd w:id="19"/>
    <w:p w14:paraId="7F3A7048" w14:textId="75F70708" w:rsidR="00657C10" w:rsidRDefault="00657C10" w:rsidP="00FA0800">
      <w:pPr>
        <w:pStyle w:val="Figureheading"/>
        <w:rPr>
          <w:rFonts w:eastAsiaTheme="majorEastAsia"/>
        </w:rPr>
      </w:pPr>
      <w:r>
        <w:rPr>
          <w:rFonts w:eastAsiaTheme="majorEastAsia"/>
        </w:rPr>
        <w:t>Breakdown of telco financial hardship debt by service type at 30 June 2019</w:t>
      </w:r>
      <w:r w:rsidR="004A46A2">
        <w:rPr>
          <w:rFonts w:eastAsiaTheme="majorEastAsia"/>
        </w:rPr>
        <w:t xml:space="preserve"> (</w:t>
      </w:r>
      <w:r w:rsidR="00696EC2">
        <w:rPr>
          <w:rFonts w:eastAsiaTheme="majorEastAsia"/>
        </w:rPr>
        <w:t>t</w:t>
      </w:r>
      <w:r w:rsidR="004A46A2">
        <w:rPr>
          <w:rFonts w:eastAsiaTheme="majorEastAsia"/>
        </w:rPr>
        <w:t>otal = $5,712,014)</w:t>
      </w:r>
    </w:p>
    <w:p w14:paraId="33D85037" w14:textId="4809A881" w:rsidR="00080486" w:rsidRPr="0049722F" w:rsidRDefault="00550963">
      <w:pPr>
        <w:pStyle w:val="Paragraph"/>
        <w:rPr>
          <w:rFonts w:eastAsiaTheme="majorEastAsia"/>
        </w:rPr>
      </w:pPr>
      <w:r>
        <w:rPr>
          <w:noProof/>
        </w:rPr>
        <w:drawing>
          <wp:inline distT="0" distB="0" distL="0" distR="0" wp14:anchorId="35922B3E" wp14:editId="06121E10">
            <wp:extent cx="4429125" cy="2454936"/>
            <wp:effectExtent l="0" t="0" r="0" b="2540"/>
            <wp:docPr id="32" name="Picture 32"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l="16318"/>
                    <a:stretch/>
                  </pic:blipFill>
                  <pic:spPr bwMode="auto">
                    <a:xfrm>
                      <a:off x="0" y="0"/>
                      <a:ext cx="4484144" cy="2485431"/>
                    </a:xfrm>
                    <a:prstGeom prst="rect">
                      <a:avLst/>
                    </a:prstGeom>
                    <a:ln>
                      <a:noFill/>
                    </a:ln>
                    <a:extLst>
                      <a:ext uri="{53640926-AAD7-44D8-BBD7-CCE9431645EC}">
                        <a14:shadowObscured xmlns:a14="http://schemas.microsoft.com/office/drawing/2010/main"/>
                      </a:ext>
                    </a:extLst>
                  </pic:spPr>
                </pic:pic>
              </a:graphicData>
            </a:graphic>
          </wp:inline>
        </w:drawing>
      </w:r>
    </w:p>
    <w:p w14:paraId="6283F383" w14:textId="40EA362E" w:rsidR="00FA191A" w:rsidRDefault="00FA191A" w:rsidP="00C3535D">
      <w:pPr>
        <w:pStyle w:val="Figureheading"/>
        <w:rPr>
          <w:noProof/>
        </w:rPr>
      </w:pPr>
      <w:r>
        <w:rPr>
          <w:noProof/>
        </w:rPr>
        <w:lastRenderedPageBreak/>
        <w:t xml:space="preserve">Telco </w:t>
      </w:r>
      <w:r w:rsidR="00483D3C">
        <w:rPr>
          <w:noProof/>
        </w:rPr>
        <w:t xml:space="preserve">total </w:t>
      </w:r>
      <w:r>
        <w:rPr>
          <w:noProof/>
        </w:rPr>
        <w:t>financial hardship debt by telco (anonymised) at 30 June 2019</w:t>
      </w:r>
      <w:r w:rsidR="003E5805">
        <w:rPr>
          <w:noProof/>
        </w:rPr>
        <w:t xml:space="preserve"> (total = $5,712,014)</w:t>
      </w:r>
    </w:p>
    <w:p w14:paraId="55E157E7" w14:textId="78D7FAE9" w:rsidR="00080486" w:rsidRDefault="000C3F90" w:rsidP="009A0F99">
      <w:pPr>
        <w:pStyle w:val="Paragraph"/>
        <w:spacing w:after="360"/>
        <w:rPr>
          <w:noProof/>
        </w:rPr>
      </w:pPr>
      <w:r>
        <w:rPr>
          <w:noProof/>
        </w:rPr>
        <w:drawing>
          <wp:inline distT="0" distB="0" distL="0" distR="0" wp14:anchorId="10C1C34B" wp14:editId="35A872E1">
            <wp:extent cx="5657850" cy="3356652"/>
            <wp:effectExtent l="0" t="0" r="0" b="0"/>
            <wp:docPr id="27" name="Picture 27"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676796" cy="3367892"/>
                    </a:xfrm>
                    <a:prstGeom prst="rect">
                      <a:avLst/>
                    </a:prstGeom>
                  </pic:spPr>
                </pic:pic>
              </a:graphicData>
            </a:graphic>
          </wp:inline>
        </w:drawing>
      </w:r>
    </w:p>
    <w:p w14:paraId="7E407386" w14:textId="365E44F3" w:rsidR="00657C10" w:rsidRDefault="00657C10" w:rsidP="00C3535D">
      <w:pPr>
        <w:pStyle w:val="Figureheading"/>
        <w:rPr>
          <w:noProof/>
        </w:rPr>
      </w:pPr>
      <w:r>
        <w:rPr>
          <w:noProof/>
        </w:rPr>
        <w:t xml:space="preserve">Average financial hardship debt at 30 June </w:t>
      </w:r>
      <w:r w:rsidRPr="00C3535D">
        <w:t>2019</w:t>
      </w:r>
    </w:p>
    <w:p w14:paraId="1E79A327" w14:textId="009481B3" w:rsidR="005444D7" w:rsidRDefault="003E7364" w:rsidP="00FA0800">
      <w:pPr>
        <w:pStyle w:val="Paragraph"/>
        <w:rPr>
          <w:noProof/>
        </w:rPr>
      </w:pPr>
      <w:r>
        <w:rPr>
          <w:noProof/>
        </w:rPr>
        <w:drawing>
          <wp:inline distT="0" distB="0" distL="0" distR="0" wp14:anchorId="0869C9B4" wp14:editId="326F6ED2">
            <wp:extent cx="6585191" cy="2992120"/>
            <wp:effectExtent l="0" t="0" r="6350" b="0"/>
            <wp:docPr id="7" name="Picture 7"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35" r:link="rId36">
                      <a:extLst>
                        <a:ext uri="{28A0092B-C50C-407E-A947-70E740481C1C}">
                          <a14:useLocalDpi xmlns:a14="http://schemas.microsoft.com/office/drawing/2010/main" val="0"/>
                        </a:ext>
                      </a:extLst>
                    </a:blip>
                    <a:srcRect/>
                    <a:stretch/>
                  </pic:blipFill>
                  <pic:spPr bwMode="auto">
                    <a:xfrm>
                      <a:off x="0" y="0"/>
                      <a:ext cx="6601217" cy="2999402"/>
                    </a:xfrm>
                    <a:prstGeom prst="rect">
                      <a:avLst/>
                    </a:prstGeom>
                    <a:noFill/>
                    <a:ln>
                      <a:noFill/>
                    </a:ln>
                    <a:extLst>
                      <a:ext uri="{53640926-AAD7-44D8-BBD7-CCE9431645EC}">
                        <a14:shadowObscured xmlns:a14="http://schemas.microsoft.com/office/drawing/2010/main"/>
                      </a:ext>
                    </a:extLst>
                  </pic:spPr>
                </pic:pic>
              </a:graphicData>
            </a:graphic>
          </wp:inline>
        </w:drawing>
      </w:r>
    </w:p>
    <w:p w14:paraId="78EF8B7B" w14:textId="7623BBC5" w:rsidR="005A3470" w:rsidRDefault="005A3470" w:rsidP="00AC7AFB">
      <w:pPr>
        <w:pStyle w:val="Tableorfigurenotemultiple"/>
        <w:rPr>
          <w:rFonts w:eastAsiaTheme="majorEastAsia"/>
        </w:rPr>
      </w:pPr>
      <w:r>
        <w:rPr>
          <w:rFonts w:eastAsiaTheme="majorEastAsia"/>
        </w:rPr>
        <w:t>Note 1: Electricity covers residential customers located across Qld, NSW, ACT, Tas</w:t>
      </w:r>
      <w:r w:rsidR="00C2564C">
        <w:rPr>
          <w:rFonts w:eastAsiaTheme="majorEastAsia"/>
        </w:rPr>
        <w:t>.</w:t>
      </w:r>
      <w:r>
        <w:rPr>
          <w:rFonts w:eastAsiaTheme="majorEastAsia"/>
        </w:rPr>
        <w:t xml:space="preserve"> and SA.</w:t>
      </w:r>
      <w:r w:rsidRPr="007643BB">
        <w:rPr>
          <w:szCs w:val="22"/>
          <w:vertAlign w:val="superscript"/>
        </w:rPr>
        <w:t xml:space="preserve"> </w:t>
      </w:r>
    </w:p>
    <w:p w14:paraId="5AB37608" w14:textId="30422840" w:rsidR="005A3470" w:rsidRDefault="005A3470" w:rsidP="00AC7AFB">
      <w:pPr>
        <w:pStyle w:val="Tableorfigurenotemultiple"/>
        <w:rPr>
          <w:rFonts w:eastAsiaTheme="majorEastAsia"/>
        </w:rPr>
      </w:pPr>
      <w:r>
        <w:rPr>
          <w:rFonts w:eastAsiaTheme="majorEastAsia"/>
        </w:rPr>
        <w:t>Note 2: Gas covers residential customers located across Qld, NSW, ACT and SA.</w:t>
      </w:r>
    </w:p>
    <w:p w14:paraId="063E0A18" w14:textId="53E75CA4" w:rsidR="005A3470" w:rsidRDefault="005A3470" w:rsidP="00AC7AFB">
      <w:pPr>
        <w:pStyle w:val="Tableorfigurenotemultiple"/>
        <w:rPr>
          <w:noProof/>
        </w:rPr>
      </w:pPr>
      <w:r>
        <w:rPr>
          <w:rFonts w:eastAsiaTheme="majorEastAsia"/>
        </w:rPr>
        <w:t>Note 3: Energy covers residential gas and electricity customers located in Vic</w:t>
      </w:r>
      <w:r w:rsidR="00C2564C">
        <w:rPr>
          <w:rFonts w:eastAsiaTheme="majorEastAsia"/>
        </w:rPr>
        <w:t>.</w:t>
      </w:r>
      <w:r>
        <w:rPr>
          <w:rFonts w:eastAsiaTheme="majorEastAsia"/>
        </w:rPr>
        <w:t xml:space="preserve"> (</w:t>
      </w:r>
      <w:r w:rsidR="008275F2">
        <w:rPr>
          <w:rFonts w:eastAsiaTheme="majorEastAsia"/>
        </w:rPr>
        <w:t>during</w:t>
      </w:r>
      <w:r>
        <w:rPr>
          <w:rFonts w:eastAsiaTheme="majorEastAsia"/>
        </w:rPr>
        <w:t xml:space="preserve"> July to December 2018).</w:t>
      </w:r>
    </w:p>
    <w:p w14:paraId="5BB35E02" w14:textId="20D5B2F2" w:rsidR="00657C10" w:rsidRPr="003A2B3C" w:rsidRDefault="00657C10" w:rsidP="00FA0800">
      <w:pPr>
        <w:pStyle w:val="Figureheading"/>
        <w:keepLines/>
      </w:pPr>
      <w:r>
        <w:lastRenderedPageBreak/>
        <w:t xml:space="preserve">Breakdown of telco customers that entered into a financial hardship arrangement during </w:t>
      </w:r>
      <w:r w:rsidR="000A3D9F">
        <w:t>2018–19</w:t>
      </w:r>
      <w:r>
        <w:t xml:space="preserve"> by range of debt</w:t>
      </w:r>
      <w:r w:rsidR="005549A6">
        <w:t xml:space="preserve"> (</w:t>
      </w:r>
      <w:r w:rsidR="00696EC2">
        <w:t>t</w:t>
      </w:r>
      <w:r w:rsidR="005549A6">
        <w:t>otal = 36,541)</w:t>
      </w:r>
    </w:p>
    <w:p w14:paraId="754034DF" w14:textId="7637D10F" w:rsidR="00657C10" w:rsidRDefault="00550963" w:rsidP="009A0F99">
      <w:pPr>
        <w:pStyle w:val="Paragraph"/>
        <w:spacing w:after="360"/>
        <w:rPr>
          <w:b/>
        </w:rPr>
      </w:pPr>
      <w:r>
        <w:rPr>
          <w:noProof/>
        </w:rPr>
        <w:drawing>
          <wp:inline distT="0" distB="0" distL="0" distR="0" wp14:anchorId="565C33EB" wp14:editId="20AC7AA6">
            <wp:extent cx="4981575" cy="2581379"/>
            <wp:effectExtent l="0" t="0" r="0" b="9525"/>
            <wp:docPr id="36" name="Picture 36"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4994606" cy="2588131"/>
                    </a:xfrm>
                    <a:prstGeom prst="rect">
                      <a:avLst/>
                    </a:prstGeom>
                  </pic:spPr>
                </pic:pic>
              </a:graphicData>
            </a:graphic>
          </wp:inline>
        </w:drawing>
      </w:r>
    </w:p>
    <w:p w14:paraId="7735DD5F" w14:textId="361DFDF3" w:rsidR="00526A2D" w:rsidRDefault="00526A2D" w:rsidP="00FA0800">
      <w:pPr>
        <w:pStyle w:val="Figureheading"/>
      </w:pPr>
      <w:r>
        <w:t xml:space="preserve">Percentage of residential customers on a financial arrangement of </w:t>
      </w:r>
      <w:r w:rsidR="00FA4DCC">
        <w:t>less than</w:t>
      </w:r>
      <w:r>
        <w:t xml:space="preserve"> </w:t>
      </w:r>
      <w:r w:rsidR="00696EC2">
        <w:t>one</w:t>
      </w:r>
      <w:r>
        <w:t xml:space="preserve"> year at 30 June 2019</w:t>
      </w:r>
    </w:p>
    <w:p w14:paraId="17C807EE" w14:textId="122D2046" w:rsidR="00526A2D" w:rsidRDefault="004C0DB9" w:rsidP="00FA0800">
      <w:pPr>
        <w:pStyle w:val="Paragraph"/>
        <w:rPr>
          <w:bCs/>
        </w:rPr>
      </w:pPr>
      <w:r>
        <w:rPr>
          <w:noProof/>
        </w:rPr>
        <w:drawing>
          <wp:inline distT="0" distB="0" distL="0" distR="0" wp14:anchorId="10295A29" wp14:editId="4D217022">
            <wp:extent cx="5905500" cy="2228308"/>
            <wp:effectExtent l="0" t="0" r="0" b="635"/>
            <wp:docPr id="21" name="Picture 21"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a:srcRect l="1364"/>
                    <a:stretch/>
                  </pic:blipFill>
                  <pic:spPr bwMode="auto">
                    <a:xfrm>
                      <a:off x="0" y="0"/>
                      <a:ext cx="5973012" cy="2253782"/>
                    </a:xfrm>
                    <a:prstGeom prst="rect">
                      <a:avLst/>
                    </a:prstGeom>
                    <a:ln>
                      <a:noFill/>
                    </a:ln>
                    <a:extLst>
                      <a:ext uri="{53640926-AAD7-44D8-BBD7-CCE9431645EC}">
                        <a14:shadowObscured xmlns:a14="http://schemas.microsoft.com/office/drawing/2010/main"/>
                      </a:ext>
                    </a:extLst>
                  </pic:spPr>
                </pic:pic>
              </a:graphicData>
            </a:graphic>
          </wp:inline>
        </w:drawing>
      </w:r>
    </w:p>
    <w:p w14:paraId="683BC5D0" w14:textId="450E09F3" w:rsidR="009729AE" w:rsidRDefault="009729AE" w:rsidP="00CB0369">
      <w:pPr>
        <w:pStyle w:val="Tableorfigurenotemultiple"/>
      </w:pPr>
      <w:r>
        <w:t>Note 1: Electricity covers residential customers located across Qld, NSW, ACT, Tas</w:t>
      </w:r>
      <w:r w:rsidR="00AC3A85">
        <w:t>.</w:t>
      </w:r>
      <w:r>
        <w:t xml:space="preserve"> and SA.</w:t>
      </w:r>
    </w:p>
    <w:p w14:paraId="1C26674F" w14:textId="4370DF3D" w:rsidR="009729AE" w:rsidRDefault="009729AE" w:rsidP="00CB0369">
      <w:pPr>
        <w:pStyle w:val="Tableorfigurenotemultiple"/>
      </w:pPr>
      <w:r>
        <w:t>Note 2: Gas covers residential customers located across Qld, NSW, ACT and SA.</w:t>
      </w:r>
    </w:p>
    <w:p w14:paraId="3B395835" w14:textId="1EEF9AE5" w:rsidR="00657C10" w:rsidRPr="000B4222" w:rsidRDefault="00657C10" w:rsidP="00FA0800">
      <w:pPr>
        <w:pStyle w:val="Figureheading"/>
      </w:pPr>
      <w:r>
        <w:lastRenderedPageBreak/>
        <w:t>Breakdown of telco customers on financial hardship arrangements by length of arrangement at 30 June 2019</w:t>
      </w:r>
      <w:r w:rsidR="00EF6608">
        <w:t xml:space="preserve"> (</w:t>
      </w:r>
      <w:r w:rsidR="00696EC2">
        <w:t>t</w:t>
      </w:r>
      <w:r w:rsidR="00EF6608">
        <w:t>otal = 10,259)</w:t>
      </w:r>
    </w:p>
    <w:p w14:paraId="21F9B336" w14:textId="5BBA0474" w:rsidR="00657C10" w:rsidRDefault="00D50A89" w:rsidP="00FA0800">
      <w:pPr>
        <w:pStyle w:val="Paragraph"/>
        <w:rPr>
          <w:b/>
        </w:rPr>
      </w:pPr>
      <w:r>
        <w:rPr>
          <w:noProof/>
        </w:rPr>
        <w:drawing>
          <wp:inline distT="0" distB="0" distL="0" distR="0" wp14:anchorId="6A7B8AAC" wp14:editId="1EB60509">
            <wp:extent cx="4114800" cy="2269014"/>
            <wp:effectExtent l="0" t="0" r="0" b="0"/>
            <wp:docPr id="12" name="Picture 12"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9" r:link="rId40">
                      <a:extLst>
                        <a:ext uri="{28A0092B-C50C-407E-A947-70E740481C1C}">
                          <a14:useLocalDpi xmlns:a14="http://schemas.microsoft.com/office/drawing/2010/main" val="0"/>
                        </a:ext>
                      </a:extLst>
                    </a:blip>
                    <a:srcRect/>
                    <a:stretch>
                      <a:fillRect/>
                    </a:stretch>
                  </pic:blipFill>
                  <pic:spPr bwMode="auto">
                    <a:xfrm>
                      <a:off x="0" y="0"/>
                      <a:ext cx="4123618" cy="2273876"/>
                    </a:xfrm>
                    <a:prstGeom prst="rect">
                      <a:avLst/>
                    </a:prstGeom>
                    <a:noFill/>
                    <a:ln>
                      <a:noFill/>
                    </a:ln>
                  </pic:spPr>
                </pic:pic>
              </a:graphicData>
            </a:graphic>
          </wp:inline>
        </w:drawing>
      </w:r>
    </w:p>
    <w:p w14:paraId="53BB9D22" w14:textId="67407027" w:rsidR="009A7249" w:rsidRPr="009A7249" w:rsidRDefault="009A7249" w:rsidP="009A0F99">
      <w:pPr>
        <w:pStyle w:val="Heading2"/>
        <w:spacing w:before="360" w:after="120"/>
        <w:rPr>
          <w:rFonts w:eastAsiaTheme="majorEastAsia"/>
        </w:rPr>
      </w:pPr>
      <w:bookmarkStart w:id="39" w:name="_Toc36466911"/>
      <w:r w:rsidRPr="009A7249">
        <w:rPr>
          <w:rFonts w:eastAsiaTheme="majorEastAsia"/>
        </w:rPr>
        <w:t>Financial hardship payment plans</w:t>
      </w:r>
      <w:bookmarkEnd w:id="39"/>
    </w:p>
    <w:p w14:paraId="16A81E2F" w14:textId="3C50B2B0" w:rsidR="00C941A8" w:rsidRDefault="00C941A8" w:rsidP="00C941A8">
      <w:pPr>
        <w:pStyle w:val="Figureheading"/>
      </w:pPr>
      <w:r>
        <w:rPr>
          <w:rFonts w:eastAsiaTheme="majorEastAsia"/>
        </w:rPr>
        <w:t>Telco financial hardship payment plans at quarter end during 2018</w:t>
      </w:r>
      <w:r w:rsidR="00AC3A85">
        <w:rPr>
          <w:rFonts w:eastAsiaTheme="majorEastAsia"/>
        </w:rPr>
        <w:t>–</w:t>
      </w:r>
      <w:r>
        <w:rPr>
          <w:rFonts w:eastAsiaTheme="majorEastAsia"/>
        </w:rPr>
        <w:t>19</w:t>
      </w:r>
    </w:p>
    <w:p w14:paraId="6C2E91F3" w14:textId="3224C666" w:rsidR="00494266" w:rsidRDefault="000C3F90" w:rsidP="000C3F90">
      <w:pPr>
        <w:pStyle w:val="Paragraph"/>
        <w:rPr>
          <w:rFonts w:eastAsiaTheme="majorEastAsia"/>
        </w:rPr>
      </w:pPr>
      <w:r>
        <w:rPr>
          <w:noProof/>
        </w:rPr>
        <w:drawing>
          <wp:inline distT="0" distB="0" distL="0" distR="0" wp14:anchorId="47DBF58B" wp14:editId="450EB8E3">
            <wp:extent cx="5894705" cy="3600165"/>
            <wp:effectExtent l="0" t="0" r="0" b="635"/>
            <wp:docPr id="31" name="Picture 31"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1"/>
                    <a:srcRect l="855"/>
                    <a:stretch/>
                  </pic:blipFill>
                  <pic:spPr bwMode="auto">
                    <a:xfrm>
                      <a:off x="0" y="0"/>
                      <a:ext cx="5909159" cy="3608993"/>
                    </a:xfrm>
                    <a:prstGeom prst="rect">
                      <a:avLst/>
                    </a:prstGeom>
                    <a:ln>
                      <a:noFill/>
                    </a:ln>
                    <a:extLst>
                      <a:ext uri="{53640926-AAD7-44D8-BBD7-CCE9431645EC}">
                        <a14:shadowObscured xmlns:a14="http://schemas.microsoft.com/office/drawing/2010/main"/>
                      </a:ext>
                    </a:extLst>
                  </pic:spPr>
                </pic:pic>
              </a:graphicData>
            </a:graphic>
          </wp:inline>
        </w:drawing>
      </w:r>
    </w:p>
    <w:p w14:paraId="520E6015" w14:textId="66D15D96" w:rsidR="00657C10" w:rsidRDefault="00526A2D" w:rsidP="00FA0800">
      <w:pPr>
        <w:pStyle w:val="Figureheading"/>
      </w:pPr>
      <w:r>
        <w:lastRenderedPageBreak/>
        <w:t xml:space="preserve">Breakdown of telco financial hardship customers into those on/not on a payment plan </w:t>
      </w:r>
      <w:r w:rsidR="00233C7A">
        <w:t xml:space="preserve">and by service type </w:t>
      </w:r>
      <w:r>
        <w:t>at 30 June 2019</w:t>
      </w:r>
    </w:p>
    <w:p w14:paraId="176B0EBA" w14:textId="7431F26A" w:rsidR="00A229B9" w:rsidRDefault="00725D40" w:rsidP="009A0F99">
      <w:pPr>
        <w:pStyle w:val="Paragraph"/>
        <w:spacing w:after="360"/>
        <w:rPr>
          <w:bCs/>
        </w:rPr>
      </w:pPr>
      <w:r>
        <w:rPr>
          <w:noProof/>
        </w:rPr>
        <w:drawing>
          <wp:inline distT="0" distB="0" distL="0" distR="0" wp14:anchorId="6BCF11EC" wp14:editId="654951C5">
            <wp:extent cx="5562600" cy="2732283"/>
            <wp:effectExtent l="0" t="0" r="0" b="0"/>
            <wp:docPr id="16" name="Picture 16"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2"/>
                    <a:srcRect l="768"/>
                    <a:stretch/>
                  </pic:blipFill>
                  <pic:spPr bwMode="auto">
                    <a:xfrm>
                      <a:off x="0" y="0"/>
                      <a:ext cx="5579475" cy="2740572"/>
                    </a:xfrm>
                    <a:prstGeom prst="rect">
                      <a:avLst/>
                    </a:prstGeom>
                    <a:ln>
                      <a:noFill/>
                    </a:ln>
                    <a:extLst>
                      <a:ext uri="{53640926-AAD7-44D8-BBD7-CCE9431645EC}">
                        <a14:shadowObscured xmlns:a14="http://schemas.microsoft.com/office/drawing/2010/main"/>
                      </a:ext>
                    </a:extLst>
                  </pic:spPr>
                </pic:pic>
              </a:graphicData>
            </a:graphic>
          </wp:inline>
        </w:drawing>
      </w:r>
    </w:p>
    <w:p w14:paraId="748FC26F" w14:textId="5CC6FF85" w:rsidR="004B0F90" w:rsidRDefault="00C84A5A" w:rsidP="00FA0800">
      <w:pPr>
        <w:pStyle w:val="Figureheading"/>
        <w:rPr>
          <w:noProof/>
        </w:rPr>
      </w:pPr>
      <w:r>
        <w:rPr>
          <w:noProof/>
        </w:rPr>
        <w:t xml:space="preserve">Breakdown </w:t>
      </w:r>
      <w:r w:rsidR="004B0F90">
        <w:rPr>
          <w:noProof/>
        </w:rPr>
        <w:t xml:space="preserve">of </w:t>
      </w:r>
      <w:r w:rsidR="003A0643">
        <w:rPr>
          <w:noProof/>
        </w:rPr>
        <w:t xml:space="preserve">telco </w:t>
      </w:r>
      <w:r w:rsidR="00526A2D">
        <w:rPr>
          <w:noProof/>
        </w:rPr>
        <w:t xml:space="preserve">financial hardship </w:t>
      </w:r>
      <w:r w:rsidR="004B0F90">
        <w:rPr>
          <w:noProof/>
        </w:rPr>
        <w:t xml:space="preserve">customers </w:t>
      </w:r>
      <w:r w:rsidR="00526A2D">
        <w:rPr>
          <w:noProof/>
        </w:rPr>
        <w:t>on payment plans by payment range (per instalment) at 30 June 2019</w:t>
      </w:r>
      <w:r w:rsidR="00662FC2">
        <w:rPr>
          <w:noProof/>
        </w:rPr>
        <w:t xml:space="preserve"> (</w:t>
      </w:r>
      <w:r w:rsidR="00696EC2">
        <w:rPr>
          <w:noProof/>
        </w:rPr>
        <w:t>t</w:t>
      </w:r>
      <w:r w:rsidR="00662FC2">
        <w:rPr>
          <w:noProof/>
        </w:rPr>
        <w:t>otal = 7,593)</w:t>
      </w:r>
    </w:p>
    <w:p w14:paraId="4F2BE8B2" w14:textId="7C2706D8" w:rsidR="00D01689" w:rsidRDefault="00550963" w:rsidP="00082C39">
      <w:pPr>
        <w:pStyle w:val="Paragraph"/>
        <w:spacing w:after="360"/>
        <w:jc w:val="both"/>
        <w:rPr>
          <w:rFonts w:eastAsiaTheme="majorEastAsia"/>
        </w:rPr>
      </w:pPr>
      <w:r>
        <w:rPr>
          <w:noProof/>
        </w:rPr>
        <w:drawing>
          <wp:inline distT="0" distB="0" distL="0" distR="0" wp14:anchorId="003E8243" wp14:editId="40F1D52E">
            <wp:extent cx="5738168" cy="2891472"/>
            <wp:effectExtent l="0" t="0" r="0" b="4445"/>
            <wp:docPr id="40" name="Picture 40"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3"/>
                    <a:srcRect l="3625"/>
                    <a:stretch/>
                  </pic:blipFill>
                  <pic:spPr bwMode="auto">
                    <a:xfrm>
                      <a:off x="0" y="0"/>
                      <a:ext cx="5773397" cy="2909224"/>
                    </a:xfrm>
                    <a:prstGeom prst="rect">
                      <a:avLst/>
                    </a:prstGeom>
                    <a:ln>
                      <a:noFill/>
                    </a:ln>
                    <a:extLst>
                      <a:ext uri="{53640926-AAD7-44D8-BBD7-CCE9431645EC}">
                        <a14:shadowObscured xmlns:a14="http://schemas.microsoft.com/office/drawing/2010/main"/>
                      </a:ext>
                    </a:extLst>
                  </pic:spPr>
                </pic:pic>
              </a:graphicData>
            </a:graphic>
          </wp:inline>
        </w:drawing>
      </w:r>
    </w:p>
    <w:p w14:paraId="6C094963" w14:textId="6D0584A1" w:rsidR="00781AC0" w:rsidRDefault="007C09FE" w:rsidP="00082C39">
      <w:pPr>
        <w:pStyle w:val="Figureheading"/>
        <w:spacing w:before="120"/>
      </w:pPr>
      <w:r>
        <w:rPr>
          <w:rFonts w:eastAsiaTheme="majorEastAsia"/>
        </w:rPr>
        <w:lastRenderedPageBreak/>
        <w:t xml:space="preserve">Breakdown of telco </w:t>
      </w:r>
      <w:r w:rsidR="00781AC0">
        <w:rPr>
          <w:rFonts w:eastAsiaTheme="majorEastAsia"/>
        </w:rPr>
        <w:t xml:space="preserve">financial hardship </w:t>
      </w:r>
      <w:r w:rsidR="00781AC0">
        <w:t xml:space="preserve">customers </w:t>
      </w:r>
      <w:r>
        <w:t>on payment plans by service type at 30 June 2019</w:t>
      </w:r>
      <w:r w:rsidR="00662FC2">
        <w:t xml:space="preserve"> (</w:t>
      </w:r>
      <w:r w:rsidR="00696EC2">
        <w:t>t</w:t>
      </w:r>
      <w:r w:rsidR="00662FC2">
        <w:t>otal = 7,593)</w:t>
      </w:r>
    </w:p>
    <w:p w14:paraId="300B5F5C" w14:textId="19E1FCAB" w:rsidR="001A3ADA" w:rsidRDefault="00550963" w:rsidP="00FA0800">
      <w:pPr>
        <w:pStyle w:val="Paragraph"/>
        <w:jc w:val="both"/>
      </w:pPr>
      <w:r>
        <w:rPr>
          <w:noProof/>
        </w:rPr>
        <w:drawing>
          <wp:inline distT="0" distB="0" distL="0" distR="0" wp14:anchorId="0DA6FE3F" wp14:editId="2ACEEF02">
            <wp:extent cx="4168817" cy="2867025"/>
            <wp:effectExtent l="0" t="0" r="3175" b="0"/>
            <wp:docPr id="41" name="Picture 41"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4"/>
                    <a:srcRect l="11657" r="3408" b="3408"/>
                    <a:stretch/>
                  </pic:blipFill>
                  <pic:spPr bwMode="auto">
                    <a:xfrm>
                      <a:off x="0" y="0"/>
                      <a:ext cx="4180694" cy="2875193"/>
                    </a:xfrm>
                    <a:prstGeom prst="rect">
                      <a:avLst/>
                    </a:prstGeom>
                    <a:ln>
                      <a:noFill/>
                    </a:ln>
                    <a:extLst>
                      <a:ext uri="{53640926-AAD7-44D8-BBD7-CCE9431645EC}">
                        <a14:shadowObscured xmlns:a14="http://schemas.microsoft.com/office/drawing/2010/main"/>
                      </a:ext>
                    </a:extLst>
                  </pic:spPr>
                </pic:pic>
              </a:graphicData>
            </a:graphic>
          </wp:inline>
        </w:drawing>
      </w:r>
    </w:p>
    <w:p w14:paraId="105E5DB1" w14:textId="39F3F55F" w:rsidR="009A7249" w:rsidRDefault="009A7249" w:rsidP="009A0F99">
      <w:pPr>
        <w:pStyle w:val="Heading2"/>
        <w:keepLines/>
        <w:spacing w:before="360" w:after="240"/>
        <w:rPr>
          <w:rFonts w:eastAsiaTheme="majorEastAsia"/>
        </w:rPr>
      </w:pPr>
      <w:bookmarkStart w:id="40" w:name="_Toc36466912"/>
      <w:r>
        <w:rPr>
          <w:rFonts w:eastAsiaTheme="majorEastAsia"/>
        </w:rPr>
        <w:t xml:space="preserve">Exiting financial hardship </w:t>
      </w:r>
      <w:r w:rsidRPr="0027196E">
        <w:rPr>
          <w:rFonts w:eastAsiaTheme="majorEastAsia"/>
        </w:rPr>
        <w:t>arrangements</w:t>
      </w:r>
      <w:bookmarkEnd w:id="40"/>
    </w:p>
    <w:p w14:paraId="43AD81C1" w14:textId="07BE064F" w:rsidR="007C09FE" w:rsidRDefault="007C09FE" w:rsidP="00550963">
      <w:pPr>
        <w:pStyle w:val="Figureheading"/>
        <w:keepLines/>
        <w:rPr>
          <w:rFonts w:eastAsiaTheme="majorEastAsia"/>
        </w:rPr>
      </w:pPr>
      <w:r>
        <w:rPr>
          <w:rFonts w:eastAsiaTheme="majorEastAsia"/>
        </w:rPr>
        <w:t xml:space="preserve">Breakdown of telco customers that exited a financial hardship arrangement in </w:t>
      </w:r>
      <w:r w:rsidR="000A3D9F">
        <w:rPr>
          <w:rFonts w:eastAsiaTheme="majorEastAsia"/>
        </w:rPr>
        <w:t>2018–19</w:t>
      </w:r>
      <w:r>
        <w:rPr>
          <w:rFonts w:eastAsiaTheme="majorEastAsia"/>
        </w:rPr>
        <w:t xml:space="preserve"> by exit reason</w:t>
      </w:r>
      <w:r w:rsidR="00F21462">
        <w:rPr>
          <w:rFonts w:eastAsiaTheme="majorEastAsia"/>
        </w:rPr>
        <w:t xml:space="preserve"> (</w:t>
      </w:r>
      <w:r w:rsidR="00696EC2">
        <w:rPr>
          <w:rFonts w:eastAsiaTheme="majorEastAsia"/>
        </w:rPr>
        <w:t>t</w:t>
      </w:r>
      <w:r w:rsidR="00F21462">
        <w:rPr>
          <w:rFonts w:eastAsiaTheme="majorEastAsia"/>
        </w:rPr>
        <w:t>otal = 26,583)</w:t>
      </w:r>
    </w:p>
    <w:p w14:paraId="580BE317" w14:textId="314B6A29" w:rsidR="007C09FE" w:rsidRDefault="00197820" w:rsidP="00FA0800">
      <w:pPr>
        <w:pStyle w:val="Paragraph"/>
        <w:rPr>
          <w:rFonts w:eastAsiaTheme="majorEastAsia"/>
        </w:rPr>
      </w:pPr>
      <w:r>
        <w:rPr>
          <w:noProof/>
        </w:rPr>
        <w:drawing>
          <wp:inline distT="0" distB="0" distL="0" distR="0" wp14:anchorId="35347AD1" wp14:editId="414B9EFC">
            <wp:extent cx="5505450" cy="2470460"/>
            <wp:effectExtent l="0" t="0" r="0" b="6350"/>
            <wp:docPr id="17" name="Picture 17"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a:srcRect l="4451"/>
                    <a:stretch/>
                  </pic:blipFill>
                  <pic:spPr bwMode="auto">
                    <a:xfrm>
                      <a:off x="0" y="0"/>
                      <a:ext cx="5529973" cy="2481464"/>
                    </a:xfrm>
                    <a:prstGeom prst="rect">
                      <a:avLst/>
                    </a:prstGeom>
                    <a:ln>
                      <a:noFill/>
                    </a:ln>
                    <a:extLst>
                      <a:ext uri="{53640926-AAD7-44D8-BBD7-CCE9431645EC}">
                        <a14:shadowObscured xmlns:a14="http://schemas.microsoft.com/office/drawing/2010/main"/>
                      </a:ext>
                    </a:extLst>
                  </pic:spPr>
                </pic:pic>
              </a:graphicData>
            </a:graphic>
          </wp:inline>
        </w:drawing>
      </w:r>
    </w:p>
    <w:p w14:paraId="1A532A64" w14:textId="17AEA16F" w:rsidR="007C09FE" w:rsidRDefault="007C09FE" w:rsidP="00FA0800">
      <w:pPr>
        <w:pStyle w:val="Figureheading"/>
        <w:rPr>
          <w:rFonts w:eastAsiaTheme="majorEastAsia"/>
        </w:rPr>
      </w:pPr>
      <w:r>
        <w:rPr>
          <w:rFonts w:eastAsiaTheme="majorEastAsia"/>
        </w:rPr>
        <w:lastRenderedPageBreak/>
        <w:t xml:space="preserve">Percentage of financial hardship customers </w:t>
      </w:r>
      <w:r w:rsidR="00AC3A85">
        <w:rPr>
          <w:rFonts w:eastAsiaTheme="majorEastAsia"/>
        </w:rPr>
        <w:t xml:space="preserve">who </w:t>
      </w:r>
      <w:r>
        <w:rPr>
          <w:rFonts w:eastAsiaTheme="majorEastAsia"/>
        </w:rPr>
        <w:t>successfully exited a financial hardship arrangement in 2018</w:t>
      </w:r>
      <w:r w:rsidR="000A3D9F">
        <w:rPr>
          <w:rFonts w:eastAsiaTheme="majorEastAsia"/>
        </w:rPr>
        <w:t>–</w:t>
      </w:r>
      <w:r>
        <w:rPr>
          <w:rFonts w:eastAsiaTheme="majorEastAsia"/>
        </w:rPr>
        <w:t>19</w:t>
      </w:r>
    </w:p>
    <w:p w14:paraId="4A37F261" w14:textId="4D2D162A" w:rsidR="007C09FE" w:rsidRDefault="00007BFA" w:rsidP="00FA0800">
      <w:pPr>
        <w:pStyle w:val="Paragraph"/>
        <w:rPr>
          <w:rFonts w:eastAsiaTheme="majorEastAsia"/>
        </w:rPr>
      </w:pPr>
      <w:r>
        <w:rPr>
          <w:noProof/>
        </w:rPr>
        <w:drawing>
          <wp:inline distT="0" distB="0" distL="0" distR="0" wp14:anchorId="46B4A07E" wp14:editId="29BCCE6D">
            <wp:extent cx="5343525" cy="2522925"/>
            <wp:effectExtent l="0" t="0" r="0" b="0"/>
            <wp:docPr id="25" name="Picture 25"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a:srcRect l="1901"/>
                    <a:stretch/>
                  </pic:blipFill>
                  <pic:spPr bwMode="auto">
                    <a:xfrm>
                      <a:off x="0" y="0"/>
                      <a:ext cx="5373576" cy="2537113"/>
                    </a:xfrm>
                    <a:prstGeom prst="rect">
                      <a:avLst/>
                    </a:prstGeom>
                    <a:ln>
                      <a:noFill/>
                    </a:ln>
                    <a:extLst>
                      <a:ext uri="{53640926-AAD7-44D8-BBD7-CCE9431645EC}">
                        <a14:shadowObscured xmlns:a14="http://schemas.microsoft.com/office/drawing/2010/main"/>
                      </a:ext>
                    </a:extLst>
                  </pic:spPr>
                </pic:pic>
              </a:graphicData>
            </a:graphic>
          </wp:inline>
        </w:drawing>
      </w:r>
    </w:p>
    <w:p w14:paraId="13E80A9A" w14:textId="5B315BA0" w:rsidR="00A52E20" w:rsidRDefault="00A52E20" w:rsidP="00CB0369">
      <w:pPr>
        <w:pStyle w:val="Tableorfigurenotemultiple"/>
      </w:pPr>
      <w:r>
        <w:t>Note 1: Electricity covers residential customers located across Qld, NSW, ACT, Tas</w:t>
      </w:r>
      <w:r w:rsidR="00C2564C">
        <w:t>.</w:t>
      </w:r>
      <w:r>
        <w:t xml:space="preserve"> and SA.</w:t>
      </w:r>
    </w:p>
    <w:p w14:paraId="76E4934D" w14:textId="7FB5DDE4" w:rsidR="00A229B9" w:rsidRPr="009A0F99" w:rsidRDefault="00A52E20" w:rsidP="009A0F99">
      <w:pPr>
        <w:pStyle w:val="Tableorfigurenotemultiple"/>
        <w:spacing w:after="360"/>
      </w:pPr>
      <w:r>
        <w:t>Note 2: Gas covers residential customers located across Qld, NSW, ACT and SA.</w:t>
      </w:r>
    </w:p>
    <w:p w14:paraId="7EE1D800" w14:textId="2173E2C3" w:rsidR="007C09FE" w:rsidRDefault="007C09FE" w:rsidP="00FA0800">
      <w:pPr>
        <w:pStyle w:val="Figureheading"/>
        <w:rPr>
          <w:rFonts w:eastAsiaTheme="majorEastAsia"/>
        </w:rPr>
      </w:pPr>
      <w:r>
        <w:rPr>
          <w:rFonts w:eastAsiaTheme="majorEastAsia"/>
        </w:rPr>
        <w:t xml:space="preserve">Percentage of financial hardship customers </w:t>
      </w:r>
      <w:r w:rsidR="00AC3A85">
        <w:rPr>
          <w:rFonts w:eastAsiaTheme="majorEastAsia"/>
        </w:rPr>
        <w:t xml:space="preserve">who </w:t>
      </w:r>
      <w:r>
        <w:rPr>
          <w:rFonts w:eastAsiaTheme="majorEastAsia"/>
        </w:rPr>
        <w:t xml:space="preserve">exited a financial hardship arrangement in </w:t>
      </w:r>
      <w:r w:rsidR="000A3D9F">
        <w:rPr>
          <w:rFonts w:eastAsiaTheme="majorEastAsia"/>
        </w:rPr>
        <w:t>2018–19</w:t>
      </w:r>
      <w:r>
        <w:rPr>
          <w:rFonts w:eastAsiaTheme="majorEastAsia"/>
        </w:rPr>
        <w:t xml:space="preserve"> due to not complying with the requirements of the </w:t>
      </w:r>
      <w:r w:rsidR="008F0D3F">
        <w:rPr>
          <w:rFonts w:eastAsiaTheme="majorEastAsia"/>
        </w:rPr>
        <w:t xml:space="preserve">financial </w:t>
      </w:r>
      <w:r>
        <w:rPr>
          <w:rFonts w:eastAsiaTheme="majorEastAsia"/>
        </w:rPr>
        <w:t>hardship program</w:t>
      </w:r>
    </w:p>
    <w:p w14:paraId="6A3DB435" w14:textId="293EA9D3" w:rsidR="007C09FE" w:rsidRDefault="000C3F90" w:rsidP="00FA0800">
      <w:pPr>
        <w:pStyle w:val="Paragraph"/>
        <w:rPr>
          <w:rFonts w:eastAsiaTheme="majorEastAsia"/>
        </w:rPr>
      </w:pPr>
      <w:r>
        <w:rPr>
          <w:noProof/>
        </w:rPr>
        <w:drawing>
          <wp:inline distT="0" distB="0" distL="0" distR="0" wp14:anchorId="6405DA1E" wp14:editId="09366E79">
            <wp:extent cx="5953125" cy="3632719"/>
            <wp:effectExtent l="0" t="0" r="0" b="6350"/>
            <wp:docPr id="38" name="Picture 38"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5975410" cy="3646318"/>
                    </a:xfrm>
                    <a:prstGeom prst="rect">
                      <a:avLst/>
                    </a:prstGeom>
                  </pic:spPr>
                </pic:pic>
              </a:graphicData>
            </a:graphic>
          </wp:inline>
        </w:drawing>
      </w:r>
    </w:p>
    <w:p w14:paraId="6DCF0F34" w14:textId="1F5FA6F5" w:rsidR="00A52E20" w:rsidRDefault="00A52E20" w:rsidP="00CB0369">
      <w:pPr>
        <w:pStyle w:val="Tableorfigurenotemultiple"/>
      </w:pPr>
      <w:r>
        <w:t>Note 1: Electricity covers residential customers located across Qld, NSW, ACT, Tas</w:t>
      </w:r>
      <w:r w:rsidR="00AC3A85">
        <w:t>.</w:t>
      </w:r>
      <w:r>
        <w:t xml:space="preserve"> and SA.</w:t>
      </w:r>
    </w:p>
    <w:p w14:paraId="679582FD" w14:textId="562BAAAF" w:rsidR="00A52E20" w:rsidRDefault="00A52E20" w:rsidP="00CB0369">
      <w:pPr>
        <w:pStyle w:val="Tableorfigurenotemultiple"/>
      </w:pPr>
      <w:r>
        <w:t>Note 2: Gas covers residential customers located across Qld, NSW, ACT and SA.</w:t>
      </w:r>
    </w:p>
    <w:p w14:paraId="74798B5A" w14:textId="0F94F40D" w:rsidR="00A52E20" w:rsidRDefault="00A52E20" w:rsidP="00CB0369">
      <w:pPr>
        <w:pStyle w:val="Tableorfigurenotemultiple"/>
        <w:rPr>
          <w:rFonts w:eastAsiaTheme="majorEastAsia"/>
        </w:rPr>
      </w:pPr>
      <w:r>
        <w:t>Note 3: Energy covers residential electricity and gas customers</w:t>
      </w:r>
      <w:r w:rsidR="00FC69E0">
        <w:t xml:space="preserve"> located in Vic</w:t>
      </w:r>
      <w:r w:rsidR="00C2564C">
        <w:t>.</w:t>
      </w:r>
      <w:r>
        <w:t xml:space="preserve"> (</w:t>
      </w:r>
      <w:r w:rsidR="00A229B9">
        <w:t>during</w:t>
      </w:r>
      <w:r>
        <w:t xml:space="preserve"> July to December 2018).</w:t>
      </w:r>
    </w:p>
    <w:p w14:paraId="3F9DB7BB" w14:textId="210E098D" w:rsidR="009A7249" w:rsidRDefault="009A7249" w:rsidP="00145CD1">
      <w:pPr>
        <w:pStyle w:val="Heading2"/>
        <w:spacing w:after="240"/>
        <w:rPr>
          <w:rFonts w:eastAsiaTheme="majorEastAsia"/>
        </w:rPr>
      </w:pPr>
      <w:bookmarkStart w:id="41" w:name="_Toc36466913"/>
      <w:r>
        <w:rPr>
          <w:rFonts w:eastAsiaTheme="majorEastAsia"/>
        </w:rPr>
        <w:lastRenderedPageBreak/>
        <w:t xml:space="preserve">Financial </w:t>
      </w:r>
      <w:r w:rsidRPr="00145CD1">
        <w:rPr>
          <w:rFonts w:eastAsiaTheme="majorEastAsia"/>
        </w:rPr>
        <w:t>hardship</w:t>
      </w:r>
      <w:r>
        <w:rPr>
          <w:rFonts w:eastAsiaTheme="majorEastAsia"/>
        </w:rPr>
        <w:t xml:space="preserve"> disconnections</w:t>
      </w:r>
      <w:bookmarkEnd w:id="41"/>
    </w:p>
    <w:p w14:paraId="42A092A2" w14:textId="75CF1898" w:rsidR="000204C9" w:rsidRDefault="000204C9" w:rsidP="00145CD1">
      <w:pPr>
        <w:pStyle w:val="Figureheading"/>
      </w:pPr>
      <w:r>
        <w:t xml:space="preserve">Breakdown of </w:t>
      </w:r>
      <w:r w:rsidR="00127CE7">
        <w:t xml:space="preserve">telco </w:t>
      </w:r>
      <w:r>
        <w:t xml:space="preserve">financial hardship customers </w:t>
      </w:r>
      <w:r w:rsidR="00AC3A85">
        <w:t xml:space="preserve">who </w:t>
      </w:r>
      <w:r w:rsidR="001A3C18">
        <w:t xml:space="preserve">had their services disconnected due to non-payment </w:t>
      </w:r>
      <w:r w:rsidR="00EC7DE5">
        <w:t>during</w:t>
      </w:r>
      <w:r w:rsidR="001A3C18">
        <w:t xml:space="preserve"> </w:t>
      </w:r>
      <w:r w:rsidR="000A3D9F">
        <w:t>2018–19</w:t>
      </w:r>
      <w:r w:rsidR="001A3C18">
        <w:t xml:space="preserve"> by service type</w:t>
      </w:r>
      <w:r w:rsidR="00400C04">
        <w:t xml:space="preserve"> (</w:t>
      </w:r>
      <w:r w:rsidR="00696EC2">
        <w:t>t</w:t>
      </w:r>
      <w:r w:rsidR="00400C04">
        <w:t>otal = 8,580)</w:t>
      </w:r>
    </w:p>
    <w:p w14:paraId="27A5CEC2" w14:textId="644969AD" w:rsidR="00804CEE" w:rsidRDefault="00550963" w:rsidP="009A0F99">
      <w:pPr>
        <w:pStyle w:val="Paragraph"/>
        <w:spacing w:after="360"/>
      </w:pPr>
      <w:r>
        <w:rPr>
          <w:noProof/>
        </w:rPr>
        <w:drawing>
          <wp:inline distT="0" distB="0" distL="0" distR="0" wp14:anchorId="6F680A1B" wp14:editId="1E2C702C">
            <wp:extent cx="4162425" cy="2684448"/>
            <wp:effectExtent l="0" t="0" r="0" b="1905"/>
            <wp:docPr id="51" name="Picture 51"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8"/>
                    <a:srcRect l="11829"/>
                    <a:stretch/>
                  </pic:blipFill>
                  <pic:spPr bwMode="auto">
                    <a:xfrm>
                      <a:off x="0" y="0"/>
                      <a:ext cx="4176393" cy="2693456"/>
                    </a:xfrm>
                    <a:prstGeom prst="rect">
                      <a:avLst/>
                    </a:prstGeom>
                    <a:ln>
                      <a:noFill/>
                    </a:ln>
                    <a:extLst>
                      <a:ext uri="{53640926-AAD7-44D8-BBD7-CCE9431645EC}">
                        <a14:shadowObscured xmlns:a14="http://schemas.microsoft.com/office/drawing/2010/main"/>
                      </a:ext>
                    </a:extLst>
                  </pic:spPr>
                </pic:pic>
              </a:graphicData>
            </a:graphic>
          </wp:inline>
        </w:drawing>
      </w:r>
    </w:p>
    <w:p w14:paraId="02626AF2" w14:textId="13963CF2" w:rsidR="00D5317C" w:rsidRDefault="001A3C18" w:rsidP="00FA0800">
      <w:pPr>
        <w:pStyle w:val="Figureheading"/>
        <w:rPr>
          <w:noProof/>
        </w:rPr>
      </w:pPr>
      <w:r>
        <w:rPr>
          <w:noProof/>
        </w:rPr>
        <w:t xml:space="preserve">Number of disconnections by telco (anonymised) </w:t>
      </w:r>
      <w:r w:rsidR="00DA67FE">
        <w:rPr>
          <w:noProof/>
        </w:rPr>
        <w:t>during 2018</w:t>
      </w:r>
      <w:r w:rsidR="00AC3A85">
        <w:rPr>
          <w:noProof/>
        </w:rPr>
        <w:t>–</w:t>
      </w:r>
      <w:r w:rsidR="00DA67FE">
        <w:rPr>
          <w:noProof/>
        </w:rPr>
        <w:t>19</w:t>
      </w:r>
      <w:r w:rsidR="00811BBF">
        <w:rPr>
          <w:noProof/>
        </w:rPr>
        <w:t xml:space="preserve"> (total = 8,580)</w:t>
      </w:r>
    </w:p>
    <w:p w14:paraId="3F5F0C9C" w14:textId="1E1A9543" w:rsidR="00934284" w:rsidRDefault="00D278A0" w:rsidP="00B33B90">
      <w:pPr>
        <w:spacing w:after="0" w:line="240" w:lineRule="auto"/>
        <w:rPr>
          <w:rFonts w:eastAsiaTheme="majorEastAsia"/>
        </w:rPr>
      </w:pPr>
      <w:r>
        <w:rPr>
          <w:noProof/>
        </w:rPr>
        <w:drawing>
          <wp:inline distT="0" distB="0" distL="0" distR="0" wp14:anchorId="7CDCF345" wp14:editId="6CB7089A">
            <wp:extent cx="6082748" cy="3725296"/>
            <wp:effectExtent l="0" t="0" r="0" b="8890"/>
            <wp:docPr id="42" name="Picture 42"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6102375" cy="3737316"/>
                    </a:xfrm>
                    <a:prstGeom prst="rect">
                      <a:avLst/>
                    </a:prstGeom>
                  </pic:spPr>
                </pic:pic>
              </a:graphicData>
            </a:graphic>
          </wp:inline>
        </w:drawing>
      </w:r>
    </w:p>
    <w:p w14:paraId="30AF51F8" w14:textId="093263B4" w:rsidR="00FD4649" w:rsidRDefault="00FD4649" w:rsidP="00B33B90">
      <w:pPr>
        <w:spacing w:after="0" w:line="240" w:lineRule="auto"/>
        <w:rPr>
          <w:rFonts w:eastAsiaTheme="majorEastAsia"/>
        </w:rPr>
      </w:pPr>
    </w:p>
    <w:p w14:paraId="6D27AA4F" w14:textId="6BE842F9" w:rsidR="000A37B4" w:rsidRDefault="000A37B4" w:rsidP="000A37B4">
      <w:pPr>
        <w:pStyle w:val="Paragraph"/>
        <w:rPr>
          <w:rFonts w:eastAsiaTheme="majorEastAsia"/>
        </w:rPr>
      </w:pPr>
    </w:p>
    <w:p w14:paraId="485E3DB2" w14:textId="05ACD467" w:rsidR="000A37B4" w:rsidRDefault="000A37B4" w:rsidP="000A37B4">
      <w:pPr>
        <w:pStyle w:val="Figureheading"/>
        <w:rPr>
          <w:rFonts w:eastAsiaTheme="majorEastAsia"/>
        </w:rPr>
      </w:pPr>
      <w:r w:rsidRPr="000A37B4">
        <w:rPr>
          <w:rFonts w:eastAsiaTheme="majorEastAsia"/>
        </w:rPr>
        <w:lastRenderedPageBreak/>
        <w:t>Financial hardship customers disconnected as a percentage of residential customers by telco (anonymised) 2018</w:t>
      </w:r>
      <w:r w:rsidR="00AC3A85">
        <w:rPr>
          <w:rFonts w:eastAsiaTheme="majorEastAsia"/>
        </w:rPr>
        <w:t>–</w:t>
      </w:r>
      <w:r w:rsidRPr="000A37B4">
        <w:rPr>
          <w:rFonts w:eastAsiaTheme="majorEastAsia"/>
        </w:rPr>
        <w:t>19</w:t>
      </w:r>
    </w:p>
    <w:p w14:paraId="67EB88FF" w14:textId="35A41EB2" w:rsidR="00551C41" w:rsidRDefault="00D50A89" w:rsidP="00551C41">
      <w:pPr>
        <w:pStyle w:val="Figureheading"/>
        <w:numPr>
          <w:ilvl w:val="0"/>
          <w:numId w:val="0"/>
        </w:numPr>
        <w:rPr>
          <w:rFonts w:eastAsiaTheme="majorEastAsia"/>
        </w:rPr>
      </w:pPr>
      <w:r>
        <w:rPr>
          <w:noProof/>
        </w:rPr>
        <w:drawing>
          <wp:inline distT="0" distB="0" distL="0" distR="0" wp14:anchorId="307EB29D" wp14:editId="4109EE54">
            <wp:extent cx="6684372" cy="3145872"/>
            <wp:effectExtent l="0" t="0" r="2540" b="0"/>
            <wp:docPr id="13" name="Picture 13" descr="Data for this graph is available in the Excel file, which can be accessed from the report landing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50" r:link="rId51">
                      <a:extLst>
                        <a:ext uri="{28A0092B-C50C-407E-A947-70E740481C1C}">
                          <a14:useLocalDpi xmlns:a14="http://schemas.microsoft.com/office/drawing/2010/main" val="0"/>
                        </a:ext>
                      </a:extLst>
                    </a:blip>
                    <a:srcRect/>
                    <a:stretch/>
                  </pic:blipFill>
                  <pic:spPr bwMode="auto">
                    <a:xfrm>
                      <a:off x="0" y="0"/>
                      <a:ext cx="6703435" cy="3154844"/>
                    </a:xfrm>
                    <a:prstGeom prst="rect">
                      <a:avLst/>
                    </a:prstGeom>
                    <a:noFill/>
                    <a:ln>
                      <a:noFill/>
                    </a:ln>
                    <a:extLst>
                      <a:ext uri="{53640926-AAD7-44D8-BBD7-CCE9431645EC}">
                        <a14:shadowObscured xmlns:a14="http://schemas.microsoft.com/office/drawing/2010/main"/>
                      </a:ext>
                    </a:extLst>
                  </pic:spPr>
                </pic:pic>
              </a:graphicData>
            </a:graphic>
          </wp:inline>
        </w:drawing>
      </w:r>
    </w:p>
    <w:p w14:paraId="1034851C" w14:textId="77777777" w:rsidR="00FD4649" w:rsidRPr="00E63E24" w:rsidRDefault="00395F28" w:rsidP="00897FDA">
      <w:pPr>
        <w:pStyle w:val="Heading1"/>
        <w:rPr>
          <w:rFonts w:eastAsiaTheme="majorEastAsia"/>
        </w:rPr>
      </w:pPr>
      <w:bookmarkStart w:id="42" w:name="_Toc36466914"/>
      <w:r>
        <w:rPr>
          <w:rFonts w:eastAsiaTheme="majorEastAsia"/>
        </w:rPr>
        <w:lastRenderedPageBreak/>
        <w:t>N</w:t>
      </w:r>
      <w:r w:rsidR="00FD4649" w:rsidRPr="00897FDA">
        <w:rPr>
          <w:rFonts w:eastAsiaTheme="majorEastAsia"/>
        </w:rPr>
        <w:t>otes</w:t>
      </w:r>
      <w:bookmarkEnd w:id="42"/>
    </w:p>
    <w:p w14:paraId="49E347E2" w14:textId="59ED1B7B" w:rsidR="00FD4649" w:rsidRDefault="00FD4649" w:rsidP="00FD4649">
      <w:pPr>
        <w:pStyle w:val="Paragraph"/>
        <w:keepNext/>
        <w:keepLines/>
      </w:pPr>
      <w:r>
        <w:t xml:space="preserve">The information in this report is sourced from the responses provided by the largest 11 telcos offering post-paid plans during 2018–19, that the ACMA </w:t>
      </w:r>
      <w:r w:rsidR="00EF5096">
        <w:t>issued</w:t>
      </w:r>
      <w:r>
        <w:t xml:space="preserve"> </w:t>
      </w:r>
      <w:r w:rsidR="00A657CA">
        <w:t>compulsory</w:t>
      </w:r>
      <w:r>
        <w:t xml:space="preserve"> notices to under the </w:t>
      </w:r>
      <w:hyperlink r:id="rId52" w:history="1">
        <w:r w:rsidRPr="00FA0800">
          <w:rPr>
            <w:rStyle w:val="Hyperlink"/>
            <w:i/>
          </w:rPr>
          <w:t>Telecommunications Act 1997</w:t>
        </w:r>
      </w:hyperlink>
      <w:r>
        <w:t xml:space="preserve">. </w:t>
      </w:r>
    </w:p>
    <w:p w14:paraId="2F497DBC" w14:textId="77777777" w:rsidR="00FD4649" w:rsidRDefault="00FD4649" w:rsidP="00FD4649">
      <w:pPr>
        <w:pStyle w:val="Paragraph"/>
        <w:keepNext/>
        <w:keepLines/>
        <w:spacing w:after="80"/>
      </w:pPr>
      <w:r>
        <w:t xml:space="preserve">The 11 telcos were: </w:t>
      </w:r>
    </w:p>
    <w:p w14:paraId="5BA2A5CE" w14:textId="62F6E297" w:rsidR="00D11EC3" w:rsidRDefault="00D11EC3" w:rsidP="00FD4649">
      <w:pPr>
        <w:pStyle w:val="Bulletlevel1"/>
      </w:pPr>
      <w:r>
        <w:t>Dodo Services Pty Ltd</w:t>
      </w:r>
    </w:p>
    <w:p w14:paraId="345FA3E8" w14:textId="37FB19ED" w:rsidR="00D11EC3" w:rsidRDefault="00D11EC3" w:rsidP="00FD4649">
      <w:pPr>
        <w:pStyle w:val="Bulletlevel1"/>
      </w:pPr>
      <w:r>
        <w:t>Exetel Pty Ltd</w:t>
      </w:r>
    </w:p>
    <w:p w14:paraId="034DDB93" w14:textId="4459F62B" w:rsidR="00D11EC3" w:rsidRDefault="00D11EC3" w:rsidP="00FD4649">
      <w:pPr>
        <w:pStyle w:val="Bulletlevel1"/>
      </w:pPr>
      <w:r>
        <w:t>iiNet Limited</w:t>
      </w:r>
    </w:p>
    <w:p w14:paraId="728938A0" w14:textId="77777777" w:rsidR="00D11EC3" w:rsidRDefault="00FD4649" w:rsidP="00FD4649">
      <w:pPr>
        <w:pStyle w:val="Bulletlevel1"/>
      </w:pPr>
      <w:r>
        <w:t>MyRepublic Pty Ltd</w:t>
      </w:r>
    </w:p>
    <w:p w14:paraId="3F38E3E8" w14:textId="77777777" w:rsidR="00D11EC3" w:rsidRDefault="00D11EC3" w:rsidP="00FD4649">
      <w:pPr>
        <w:pStyle w:val="Bulletlevel1"/>
      </w:pPr>
      <w:r>
        <w:t>Primus Telecommunications Pty Limited</w:t>
      </w:r>
    </w:p>
    <w:p w14:paraId="7865D633" w14:textId="77777777" w:rsidR="00D11EC3" w:rsidRDefault="00D11EC3" w:rsidP="00FD4649">
      <w:pPr>
        <w:pStyle w:val="Bulletlevel1"/>
      </w:pPr>
      <w:r>
        <w:t>Singtel Optus Pty Limited</w:t>
      </w:r>
    </w:p>
    <w:p w14:paraId="2C0263E8" w14:textId="77777777" w:rsidR="00D11EC3" w:rsidRDefault="00D11EC3" w:rsidP="00FD4649">
      <w:pPr>
        <w:pStyle w:val="Bulletlevel1"/>
      </w:pPr>
      <w:r>
        <w:t>Southern Phone Company Limited</w:t>
      </w:r>
    </w:p>
    <w:p w14:paraId="2C85327A" w14:textId="77777777" w:rsidR="00D11EC3" w:rsidRDefault="00D11EC3" w:rsidP="00FD4649">
      <w:pPr>
        <w:pStyle w:val="Bulletlevel1"/>
      </w:pPr>
      <w:r>
        <w:t>Spintel Pty Ltd</w:t>
      </w:r>
    </w:p>
    <w:p w14:paraId="3F927BB6" w14:textId="77777777" w:rsidR="00D11EC3" w:rsidRDefault="00D11EC3" w:rsidP="00FD4649">
      <w:pPr>
        <w:pStyle w:val="Bulletlevel1"/>
      </w:pPr>
      <w:r>
        <w:t>Telstra Corporation Limited</w:t>
      </w:r>
    </w:p>
    <w:p w14:paraId="4E8513D4" w14:textId="77777777" w:rsidR="00D11EC3" w:rsidRDefault="00D11EC3" w:rsidP="00FD4649">
      <w:pPr>
        <w:pStyle w:val="Bulletlevel1"/>
      </w:pPr>
      <w:r>
        <w:t>Virgin Mobile (Australia) Pty Ltd</w:t>
      </w:r>
    </w:p>
    <w:p w14:paraId="3169622D" w14:textId="6F0128A7" w:rsidR="00FD4649" w:rsidRDefault="00D11EC3" w:rsidP="00D11EC3">
      <w:pPr>
        <w:pStyle w:val="Bulletlevel1"/>
        <w:spacing w:after="240"/>
      </w:pPr>
      <w:r>
        <w:t>Vodafone Hutchison Australia Pty Limited.</w:t>
      </w:r>
      <w:r w:rsidR="00FD4649">
        <w:t xml:space="preserve"> </w:t>
      </w:r>
    </w:p>
    <w:p w14:paraId="3E8A7AE5" w14:textId="23E0473B" w:rsidR="00913F40" w:rsidRDefault="00913F40" w:rsidP="00FD4649">
      <w:pPr>
        <w:pStyle w:val="Paragraph"/>
        <w:keepNext/>
        <w:keepLines/>
      </w:pPr>
      <w:bookmarkStart w:id="43" w:name="_Hlk35243665"/>
      <w:r>
        <w:t xml:space="preserve">There are several charts included in this report that </w:t>
      </w:r>
      <w:r w:rsidR="00027112">
        <w:t>show results by telco</w:t>
      </w:r>
      <w:r>
        <w:t>. To ensure anonymity of results, th</w:t>
      </w:r>
      <w:r w:rsidR="00027112">
        <w:t>e</w:t>
      </w:r>
      <w:r>
        <w:t xml:space="preserve"> ordering </w:t>
      </w:r>
      <w:r w:rsidR="00027112">
        <w:t xml:space="preserve">of the telcos in those charts </w:t>
      </w:r>
      <w:r>
        <w:t>is different to the order</w:t>
      </w:r>
      <w:r w:rsidR="00027112">
        <w:t>ing</w:t>
      </w:r>
      <w:r>
        <w:t xml:space="preserve"> of </w:t>
      </w:r>
      <w:r w:rsidR="0077087C">
        <w:t xml:space="preserve">the </w:t>
      </w:r>
      <w:r>
        <w:t>telcos identified above.</w:t>
      </w:r>
    </w:p>
    <w:p w14:paraId="56A01885" w14:textId="6E195B4D" w:rsidR="00FD4649" w:rsidRDefault="00EF5096" w:rsidP="00FD4649">
      <w:pPr>
        <w:pStyle w:val="Paragraph"/>
        <w:keepNext/>
        <w:keepLines/>
        <w:rPr>
          <w:color w:val="171717"/>
          <w:lang w:val="en"/>
        </w:rPr>
      </w:pPr>
      <w:r>
        <w:t xml:space="preserve">Part 7A of the </w:t>
      </w:r>
      <w:r w:rsidRPr="00197820">
        <w:rPr>
          <w:i/>
          <w:iCs/>
        </w:rPr>
        <w:t>ACMA Act 2005</w:t>
      </w:r>
      <w:r>
        <w:t xml:space="preserve"> constrains t</w:t>
      </w:r>
      <w:r w:rsidR="00FD4649">
        <w:t>he ACMA</w:t>
      </w:r>
      <w:r>
        <w:t>’s</w:t>
      </w:r>
      <w:r w:rsidR="00FD4649">
        <w:t xml:space="preserve"> </w:t>
      </w:r>
      <w:r>
        <w:t xml:space="preserve">ability to </w:t>
      </w:r>
      <w:r w:rsidR="00FD4649" w:rsidRPr="00E63E24">
        <w:t xml:space="preserve">publicly disclose information collected under notice without the </w:t>
      </w:r>
      <w:r>
        <w:t xml:space="preserve">consent of the telco </w:t>
      </w:r>
      <w:r w:rsidR="009F3F1D">
        <w:t xml:space="preserve">that </w:t>
      </w:r>
      <w:r>
        <w:t>supplied the information</w:t>
      </w:r>
      <w:r w:rsidR="00FD4649" w:rsidRPr="00E63E24">
        <w:t>.</w:t>
      </w:r>
      <w:r w:rsidR="00FD4649">
        <w:t xml:space="preserve"> T</w:t>
      </w:r>
      <w:r w:rsidR="00FD4649" w:rsidRPr="00E63E24">
        <w:t xml:space="preserve">he information provided by the telcos has </w:t>
      </w:r>
      <w:r w:rsidR="00FD4649">
        <w:t xml:space="preserve">therefore </w:t>
      </w:r>
      <w:r w:rsidR="00FD4649" w:rsidRPr="00E63E24">
        <w:t xml:space="preserve">been </w:t>
      </w:r>
      <w:r w:rsidR="00FD4649">
        <w:t xml:space="preserve">aggregated or </w:t>
      </w:r>
      <w:r w:rsidR="00FD4649" w:rsidRPr="00E63E24">
        <w:t>anonymised</w:t>
      </w:r>
      <w:r w:rsidR="00FD4649">
        <w:t>,</w:t>
      </w:r>
      <w:r w:rsidR="00FD4649" w:rsidRPr="00E63E24">
        <w:t xml:space="preserve"> </w:t>
      </w:r>
      <w:r w:rsidR="00FD4649">
        <w:t xml:space="preserve">as appropriate, </w:t>
      </w:r>
      <w:r w:rsidR="00FD4649" w:rsidRPr="00E63E24">
        <w:t>in this report</w:t>
      </w:r>
      <w:r w:rsidR="00FD4649">
        <w:rPr>
          <w:i/>
          <w:iCs/>
          <w:color w:val="171717"/>
          <w:lang w:val="en"/>
        </w:rPr>
        <w:t>.</w:t>
      </w:r>
      <w:bookmarkEnd w:id="43"/>
      <w:r w:rsidR="00FD4649">
        <w:rPr>
          <w:color w:val="171717"/>
          <w:lang w:val="en"/>
        </w:rPr>
        <w:t xml:space="preserve"> </w:t>
      </w:r>
    </w:p>
    <w:p w14:paraId="07498D09" w14:textId="1AAE3AB1" w:rsidR="001B2281" w:rsidRDefault="00B57DA8" w:rsidP="00FD4649">
      <w:pPr>
        <w:pStyle w:val="Paragraph"/>
        <w:keepNext/>
        <w:keepLines/>
      </w:pPr>
      <w:r>
        <w:t>A</w:t>
      </w:r>
      <w:r w:rsidR="00FD4649" w:rsidRPr="00A763B6">
        <w:t xml:space="preserve">ll 11 telcos </w:t>
      </w:r>
      <w:r w:rsidR="00FD4649">
        <w:t>that</w:t>
      </w:r>
      <w:r w:rsidR="00FD4649" w:rsidRPr="00A763B6">
        <w:t xml:space="preserve"> provided </w:t>
      </w:r>
      <w:r w:rsidR="00723D32">
        <w:t>information</w:t>
      </w:r>
      <w:r w:rsidR="00FD4649" w:rsidRPr="00A763B6">
        <w:t xml:space="preserve"> for this report had a financial hardship policy</w:t>
      </w:r>
      <w:r w:rsidR="00FD4649">
        <w:t xml:space="preserve"> </w:t>
      </w:r>
      <w:r w:rsidR="00FD4649" w:rsidRPr="00A763B6">
        <w:t>on their website.</w:t>
      </w:r>
    </w:p>
    <w:p w14:paraId="48DE8871" w14:textId="5AC6AF92" w:rsidR="00AE36FF" w:rsidRPr="0091224D" w:rsidRDefault="00AE36FF" w:rsidP="0091224D">
      <w:pPr>
        <w:rPr>
          <w:rFonts w:cs="Arial"/>
        </w:rPr>
      </w:pPr>
      <w:r w:rsidRPr="0091224D">
        <w:rPr>
          <w:rFonts w:cs="Arial"/>
        </w:rPr>
        <w:t xml:space="preserve">The information collected reports on conduct under the 2015 version of the TCP Code. The TCP Code C628:2015 was replaced with the current TCP Code C628:2019 on </w:t>
      </w:r>
      <w:r w:rsidR="00AC3A85" w:rsidRPr="0091224D">
        <w:rPr>
          <w:rFonts w:cs="Arial"/>
        </w:rPr>
        <w:t>1</w:t>
      </w:r>
      <w:r w:rsidR="00AC3A85">
        <w:rPr>
          <w:rFonts w:cs="Arial"/>
        </w:rPr>
        <w:t> </w:t>
      </w:r>
      <w:r w:rsidRPr="0091224D">
        <w:rPr>
          <w:rFonts w:cs="Arial"/>
        </w:rPr>
        <w:t>August 2019</w:t>
      </w:r>
      <w:r w:rsidR="00AC3A85">
        <w:rPr>
          <w:rFonts w:cs="Arial"/>
        </w:rPr>
        <w:t>,</w:t>
      </w:r>
      <w:r w:rsidRPr="0091224D">
        <w:rPr>
          <w:rFonts w:cs="Arial"/>
        </w:rPr>
        <w:t xml:space="preserve"> which </w:t>
      </w:r>
      <w:r w:rsidR="00C2564C" w:rsidRPr="0091224D">
        <w:rPr>
          <w:rFonts w:cs="Arial"/>
        </w:rPr>
        <w:t>revised</w:t>
      </w:r>
      <w:r w:rsidRPr="0091224D">
        <w:rPr>
          <w:rFonts w:cs="Arial"/>
        </w:rPr>
        <w:t xml:space="preserve"> the financial hardship provisions.</w:t>
      </w:r>
    </w:p>
    <w:p w14:paraId="011EA88B" w14:textId="1B80B1D2" w:rsidR="00FD4649" w:rsidRPr="00CB0369" w:rsidRDefault="00FD4649" w:rsidP="005C5412">
      <w:pPr>
        <w:pStyle w:val="Paragraph"/>
        <w:keepNext/>
        <w:keepLines/>
      </w:pPr>
    </w:p>
    <w:sectPr w:rsidR="00FD4649" w:rsidRPr="00CB0369" w:rsidSect="00C77380">
      <w:headerReference w:type="even" r:id="rId53"/>
      <w:headerReference w:type="default" r:id="rId54"/>
      <w:footerReference w:type="even" r:id="rId55"/>
      <w:footerReference w:type="default" r:id="rId56"/>
      <w:headerReference w:type="first" r:id="rId57"/>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05108F" w14:textId="77777777" w:rsidR="003B273C" w:rsidRDefault="003B273C">
      <w:r>
        <w:separator/>
      </w:r>
    </w:p>
  </w:endnote>
  <w:endnote w:type="continuationSeparator" w:id="0">
    <w:p w14:paraId="4A37F17B" w14:textId="77777777" w:rsidR="003B273C" w:rsidRDefault="003B273C">
      <w:r>
        <w:continuationSeparator/>
      </w:r>
    </w:p>
  </w:endnote>
  <w:endnote w:type="continuationNotice" w:id="1">
    <w:p w14:paraId="7C8E6145" w14:textId="77777777" w:rsidR="003B273C" w:rsidRDefault="003B273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F5EE08" w14:textId="265AB0E7" w:rsidR="00075707" w:rsidRPr="00FA0800" w:rsidRDefault="00075707" w:rsidP="00A336AB">
    <w:pPr>
      <w:pStyle w:val="Protectivemarking"/>
      <w:spacing w:before="120" w:after="120"/>
      <w:rPr>
        <w:color w:val="auto"/>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13D291" w14:textId="6F21FF05" w:rsidR="00075707" w:rsidRDefault="00075707" w:rsidP="00145CD1">
    <w:pPr>
      <w:pStyle w:val="Footer"/>
      <w:jc w:val="right"/>
    </w:pPr>
    <w:r w:rsidRPr="005E250B">
      <w:rPr>
        <w:noProof/>
        <w:vertAlign w:val="subscript"/>
      </w:rPr>
      <w:drawing>
        <wp:inline distT="0" distB="0" distL="0" distR="0" wp14:anchorId="06414726" wp14:editId="115338AD">
          <wp:extent cx="1066800" cy="277368"/>
          <wp:effectExtent l="0" t="0" r="0" b="0"/>
          <wp:docPr id="2" name="Picture 2"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13AE13" w14:textId="77777777" w:rsidR="00075707" w:rsidRPr="00622A3B" w:rsidRDefault="00075707"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1109FEC6" w14:textId="77777777" w:rsidR="00075707" w:rsidRPr="00A5474E" w:rsidRDefault="00075707" w:rsidP="00A5474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102BEA" w14:textId="77777777" w:rsidR="00075707" w:rsidRPr="00622A3B" w:rsidRDefault="00075707"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6F7152EC" w14:textId="77777777" w:rsidR="00075707" w:rsidRPr="00A5474E" w:rsidRDefault="00075707"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08CB78" w14:textId="77777777" w:rsidR="00075707" w:rsidRPr="00622A3B" w:rsidRDefault="00075707"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0F72B016" w14:textId="77777777" w:rsidR="00075707" w:rsidRPr="00A5474E" w:rsidRDefault="00075707"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7AF9D8" w14:textId="77777777" w:rsidR="00075707" w:rsidRPr="00622A3B" w:rsidRDefault="00075707"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BCF963B" w14:textId="77777777" w:rsidR="00075707" w:rsidRPr="00A5474E" w:rsidRDefault="00075707"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108C94" w14:textId="77777777" w:rsidR="00075707" w:rsidRPr="00622A3B" w:rsidRDefault="00075707"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34EDD7B1" w14:textId="77777777" w:rsidR="00075707" w:rsidRPr="00A5474E" w:rsidRDefault="00075707"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392339" w14:textId="77777777" w:rsidR="003B273C" w:rsidRDefault="003B273C" w:rsidP="00C8476E">
      <w:pPr>
        <w:spacing w:after="0"/>
      </w:pPr>
      <w:r>
        <w:separator/>
      </w:r>
    </w:p>
  </w:footnote>
  <w:footnote w:type="continuationSeparator" w:id="0">
    <w:p w14:paraId="33B43607" w14:textId="77777777" w:rsidR="003B273C" w:rsidRDefault="003B273C">
      <w:r>
        <w:continuationSeparator/>
      </w:r>
    </w:p>
  </w:footnote>
  <w:footnote w:type="continuationNotice" w:id="1">
    <w:p w14:paraId="6CB70022" w14:textId="77777777" w:rsidR="003B273C" w:rsidRDefault="003B273C">
      <w:pPr>
        <w:spacing w:after="0" w:line="240" w:lineRule="auto"/>
      </w:pPr>
    </w:p>
  </w:footnote>
  <w:footnote w:id="2">
    <w:p w14:paraId="52E12DEF" w14:textId="2957DC75" w:rsidR="00075707" w:rsidRDefault="00075707" w:rsidP="008F0D3F">
      <w:pPr>
        <w:pStyle w:val="FootnoteText"/>
      </w:pPr>
      <w:r>
        <w:rPr>
          <w:rStyle w:val="FootnoteReference"/>
        </w:rPr>
        <w:footnoteRef/>
      </w:r>
      <w:r>
        <w:t xml:space="preserve"> </w:t>
      </w:r>
      <w:r w:rsidRPr="00B41638">
        <w:t>With a post-paid plan</w:t>
      </w:r>
      <w:r>
        <w:t>,</w:t>
      </w:r>
      <w:r w:rsidRPr="00B41638">
        <w:t xml:space="preserve"> the customer chooses a plan and every month their telco will bill the customer and automatically refresh the plan inclusions on the first day of the customer’s billing cycle. This differs </w:t>
      </w:r>
      <w:r>
        <w:t>from</w:t>
      </w:r>
      <w:r w:rsidRPr="00B41638">
        <w:t xml:space="preserve"> a pre-paid plan</w:t>
      </w:r>
      <w:r>
        <w:t>,</w:t>
      </w:r>
      <w:r w:rsidRPr="00B41638">
        <w:t xml:space="preserve"> which require</w:t>
      </w:r>
      <w:r>
        <w:t>s</w:t>
      </w:r>
      <w:r w:rsidRPr="00B41638">
        <w:t xml:space="preserve"> the customer to pay for their </w:t>
      </w:r>
      <w:r>
        <w:t>telco</w:t>
      </w:r>
      <w:r w:rsidRPr="00B41638">
        <w:t xml:space="preserve"> service upfront for a set 30-day period.</w:t>
      </w:r>
      <w:r>
        <w:t xml:space="preserve"> </w:t>
      </w:r>
    </w:p>
  </w:footnote>
  <w:footnote w:id="3">
    <w:p w14:paraId="224A2F7C" w14:textId="454276A6" w:rsidR="00075707" w:rsidRDefault="00075707">
      <w:pPr>
        <w:pStyle w:val="FootnoteText"/>
      </w:pPr>
      <w:r>
        <w:rPr>
          <w:rStyle w:val="FootnoteReference"/>
        </w:rPr>
        <w:footnoteRef/>
      </w:r>
      <w:r>
        <w:t xml:space="preserve"> </w:t>
      </w:r>
      <w:hyperlink r:id="rId1" w:history="1">
        <w:r w:rsidRPr="005B5191">
          <w:rPr>
            <w:color w:val="0000FF"/>
            <w:u w:val="single"/>
          </w:rPr>
          <w:t>https://cprc.org.au/wp-content/uploads/Exploring-regulatory-approaches-to-consumer-vulnerability-A-CPRC-report-for-the-AER.pdf</w:t>
        </w:r>
      </w:hyperlink>
      <w:r w:rsidRPr="005B5191">
        <w:t>, p</w:t>
      </w:r>
      <w:r>
        <w:t>age</w:t>
      </w:r>
      <w:r w:rsidRPr="005B5191">
        <w:t xml:space="preserve"> 5</w:t>
      </w:r>
      <w:r>
        <w:t>.</w:t>
      </w:r>
    </w:p>
  </w:footnote>
  <w:footnote w:id="4">
    <w:p w14:paraId="34655724" w14:textId="2D016127" w:rsidR="00075707" w:rsidRDefault="00075707">
      <w:pPr>
        <w:pStyle w:val="FootnoteText"/>
      </w:pPr>
      <w:r>
        <w:rPr>
          <w:rStyle w:val="FootnoteReference"/>
        </w:rPr>
        <w:footnoteRef/>
      </w:r>
      <w:r>
        <w:t xml:space="preserve"> For example, your telco must not report your outstanding telco debt to a credit reporting body.</w:t>
      </w:r>
    </w:p>
  </w:footnote>
  <w:footnote w:id="5">
    <w:p w14:paraId="0777D301" w14:textId="77777777" w:rsidR="00075707" w:rsidRDefault="00075707" w:rsidP="00840B68">
      <w:pPr>
        <w:pStyle w:val="FootnoteText"/>
      </w:pPr>
      <w:r>
        <w:rPr>
          <w:rStyle w:val="FootnoteReference"/>
        </w:rPr>
        <w:footnoteRef/>
      </w:r>
      <w:r>
        <w:t xml:space="preserve"> Of these, 2,816,221 (19 per cent) had fixed services, 7,963,985 (54 per cent) had mobile services and 3,870,253 (27 per cent) had bundled services across the 11 telcos at 30 June 2019. </w:t>
      </w:r>
    </w:p>
  </w:footnote>
  <w:footnote w:id="6">
    <w:p w14:paraId="04329EB5" w14:textId="3C0E0B59" w:rsidR="00075707" w:rsidRDefault="00075707" w:rsidP="004B3D5C">
      <w:pPr>
        <w:pStyle w:val="FootnoteText"/>
      </w:pPr>
      <w:r>
        <w:rPr>
          <w:rStyle w:val="FootnoteReference"/>
        </w:rPr>
        <w:footnoteRef/>
      </w:r>
      <w:r>
        <w:t xml:space="preserve"> Australian Energy Regulator, </w:t>
      </w:r>
      <w:r>
        <w:rPr>
          <w:i/>
          <w:iCs/>
        </w:rPr>
        <w:t>Annual Retail Markets Report 2018–19</w:t>
      </w:r>
      <w:r w:rsidRPr="00A56526">
        <w:t xml:space="preserve">, page </w:t>
      </w:r>
      <w:r>
        <w:t xml:space="preserve">71. </w:t>
      </w:r>
    </w:p>
  </w:footnote>
  <w:footnote w:id="7">
    <w:p w14:paraId="3C7E0100" w14:textId="4B115607" w:rsidR="00075707" w:rsidRDefault="00075707" w:rsidP="0003380D">
      <w:pPr>
        <w:pStyle w:val="FootnoteText"/>
      </w:pPr>
      <w:r>
        <w:rPr>
          <w:rStyle w:val="FootnoteReference"/>
        </w:rPr>
        <w:footnoteRef/>
      </w:r>
      <w:r>
        <w:t xml:space="preserve"> ibid.</w:t>
      </w:r>
    </w:p>
  </w:footnote>
  <w:footnote w:id="8">
    <w:p w14:paraId="1DF108F0" w14:textId="7AC89063" w:rsidR="00075707" w:rsidRPr="00A2246D" w:rsidRDefault="00075707" w:rsidP="006C108F">
      <w:pPr>
        <w:pStyle w:val="Paragraph"/>
        <w:spacing w:after="0"/>
      </w:pPr>
      <w:r>
        <w:rPr>
          <w:rStyle w:val="FootnoteReference"/>
        </w:rPr>
        <w:footnoteRef/>
      </w:r>
      <w:r>
        <w:t xml:space="preserve"> ‘</w:t>
      </w:r>
      <w:r w:rsidRPr="00A2246D">
        <w:rPr>
          <w:rFonts w:cs="Times New Roman"/>
          <w:sz w:val="16"/>
          <w:szCs w:val="16"/>
        </w:rPr>
        <w:t>Residential energy customers</w:t>
      </w:r>
      <w:r>
        <w:rPr>
          <w:rFonts w:cs="Times New Roman"/>
          <w:sz w:val="16"/>
          <w:szCs w:val="16"/>
        </w:rPr>
        <w:t>’</w:t>
      </w:r>
      <w:r w:rsidRPr="00A2246D">
        <w:rPr>
          <w:rFonts w:cs="Times New Roman"/>
          <w:sz w:val="16"/>
          <w:szCs w:val="16"/>
        </w:rPr>
        <w:t xml:space="preserve"> refer to </w:t>
      </w:r>
      <w:r>
        <w:rPr>
          <w:rFonts w:cs="Times New Roman"/>
          <w:sz w:val="16"/>
          <w:szCs w:val="16"/>
        </w:rPr>
        <w:t xml:space="preserve">residential </w:t>
      </w:r>
      <w:r w:rsidRPr="00A2246D">
        <w:rPr>
          <w:rFonts w:cs="Times New Roman"/>
          <w:sz w:val="16"/>
          <w:szCs w:val="16"/>
        </w:rPr>
        <w:t>electricity and gas customers</w:t>
      </w:r>
      <w:r>
        <w:rPr>
          <w:rFonts w:cs="Times New Roman"/>
          <w:sz w:val="16"/>
          <w:szCs w:val="16"/>
        </w:rPr>
        <w:t>.</w:t>
      </w:r>
      <w:r w:rsidRPr="00A2246D">
        <w:rPr>
          <w:rFonts w:cs="Times New Roman"/>
          <w:sz w:val="16"/>
          <w:szCs w:val="16"/>
        </w:rPr>
        <w:t xml:space="preserve"> </w:t>
      </w:r>
    </w:p>
  </w:footnote>
  <w:footnote w:id="9">
    <w:p w14:paraId="016C8393" w14:textId="02E26A2D" w:rsidR="00075707" w:rsidRPr="00CF6229" w:rsidRDefault="00075707">
      <w:pPr>
        <w:pStyle w:val="FootnoteText"/>
      </w:pPr>
      <w:r>
        <w:rPr>
          <w:rStyle w:val="FootnoteReference"/>
        </w:rPr>
        <w:footnoteRef/>
      </w:r>
      <w:r>
        <w:t xml:space="preserve"> </w:t>
      </w:r>
      <w:r w:rsidR="0034313A">
        <w:t xml:space="preserve">During July to December 2018. </w:t>
      </w:r>
      <w:r>
        <w:t xml:space="preserve">Essential Services Commission, </w:t>
      </w:r>
      <w:r>
        <w:rPr>
          <w:i/>
          <w:iCs/>
        </w:rPr>
        <w:t>Victorian Energy Market Report 2018–19</w:t>
      </w:r>
      <w:r>
        <w:t>, page 82 and page 27. This calculation equalled 48,530 average participants throughout the year divided by average residential electricity customers of 2,583,170 plus average residential gas customers of 1,991,209. Hardship programs operated under the former energy rules and were a pre-curser to tailored assistance arrangements that commenced on 1 January 2019.</w:t>
      </w:r>
    </w:p>
  </w:footnote>
  <w:footnote w:id="10">
    <w:p w14:paraId="647A853D" w14:textId="77777777" w:rsidR="00075707" w:rsidRDefault="00075707" w:rsidP="008F0D3F">
      <w:pPr>
        <w:pStyle w:val="FootnoteText"/>
      </w:pPr>
      <w:r>
        <w:rPr>
          <w:rStyle w:val="FootnoteReference"/>
        </w:rPr>
        <w:footnoteRef/>
      </w:r>
      <w:r>
        <w:t xml:space="preserve"> Average debt was calculated as total financial hardship debt at 30 June 2019, divided by the total number of financial hardship customers at 30 June 2019. </w:t>
      </w:r>
    </w:p>
  </w:footnote>
  <w:footnote w:id="11">
    <w:p w14:paraId="7107AC1C" w14:textId="77777777" w:rsidR="00075707" w:rsidRDefault="00075707" w:rsidP="009A2B14">
      <w:pPr>
        <w:pStyle w:val="FootnoteText"/>
      </w:pPr>
      <w:r>
        <w:rPr>
          <w:rStyle w:val="FootnoteReference"/>
        </w:rPr>
        <w:footnoteRef/>
      </w:r>
      <w:r>
        <w:t xml:space="preserve"> We understand this was due to at least one telco not requiring its customers to be in debt before entering into its financial hardship program. Instead, those customers sought assistance in other ways (for example, a reduction in their rate plan or switching to a prepaid service).  </w:t>
      </w:r>
    </w:p>
  </w:footnote>
  <w:footnote w:id="12">
    <w:p w14:paraId="307DF036" w14:textId="2E2A6F2A" w:rsidR="00075707" w:rsidRPr="005D158A" w:rsidRDefault="00075707" w:rsidP="0053343F">
      <w:pPr>
        <w:pStyle w:val="FootnoteText"/>
      </w:pPr>
      <w:r>
        <w:rPr>
          <w:rStyle w:val="FootnoteReference"/>
        </w:rPr>
        <w:footnoteRef/>
      </w:r>
      <w:r>
        <w:t xml:space="preserve"> Australian Energy Regulator, </w:t>
      </w:r>
      <w:r>
        <w:rPr>
          <w:i/>
          <w:iCs/>
        </w:rPr>
        <w:t>Annual Retail Markets Report 2018–19</w:t>
      </w:r>
      <w:r w:rsidRPr="00A56526">
        <w:t>, page 12</w:t>
      </w:r>
      <w:r>
        <w:t xml:space="preserve">. </w:t>
      </w:r>
    </w:p>
  </w:footnote>
  <w:footnote w:id="13">
    <w:p w14:paraId="31064E73" w14:textId="4D1588C8" w:rsidR="00075707" w:rsidRPr="005D158A" w:rsidRDefault="00075707" w:rsidP="006B2361">
      <w:pPr>
        <w:pStyle w:val="FootnoteText"/>
      </w:pPr>
      <w:r>
        <w:rPr>
          <w:rStyle w:val="FootnoteReference"/>
        </w:rPr>
        <w:footnoteRef/>
      </w:r>
      <w:r>
        <w:t xml:space="preserve"> ibid.</w:t>
      </w:r>
    </w:p>
  </w:footnote>
  <w:footnote w:id="14">
    <w:p w14:paraId="28D94417" w14:textId="24AC978E" w:rsidR="00075707" w:rsidRDefault="00075707">
      <w:pPr>
        <w:pStyle w:val="FootnoteText"/>
      </w:pPr>
      <w:r>
        <w:rPr>
          <w:rStyle w:val="FootnoteReference"/>
        </w:rPr>
        <w:footnoteRef/>
      </w:r>
      <w:r>
        <w:t xml:space="preserve"> </w:t>
      </w:r>
      <w:r w:rsidR="0034313A">
        <w:t xml:space="preserve">During July to December 2018. </w:t>
      </w:r>
      <w:r>
        <w:t xml:space="preserve">Essential Services Commission, </w:t>
      </w:r>
      <w:r>
        <w:rPr>
          <w:i/>
          <w:iCs/>
        </w:rPr>
        <w:t>Victorian Energy Market Report 2018-19</w:t>
      </w:r>
      <w:r>
        <w:t xml:space="preserve">, page 82. </w:t>
      </w:r>
    </w:p>
  </w:footnote>
  <w:footnote w:id="15">
    <w:p w14:paraId="3D2C05D2" w14:textId="0B67FE23" w:rsidR="00075707" w:rsidRDefault="00075707" w:rsidP="00956B8C">
      <w:pPr>
        <w:pStyle w:val="FootnoteText"/>
      </w:pPr>
      <w:r>
        <w:rPr>
          <w:rStyle w:val="FootnoteReference"/>
        </w:rPr>
        <w:footnoteRef/>
      </w:r>
      <w:r>
        <w:t xml:space="preserve"> Australian Energy Regulator, </w:t>
      </w:r>
      <w:r>
        <w:rPr>
          <w:i/>
          <w:iCs/>
        </w:rPr>
        <w:t>Annual Retail Markets Report 2018–19</w:t>
      </w:r>
      <w:r w:rsidRPr="00A56526">
        <w:t xml:space="preserve">, page </w:t>
      </w:r>
      <w:r>
        <w:t>74.</w:t>
      </w:r>
    </w:p>
  </w:footnote>
  <w:footnote w:id="16">
    <w:p w14:paraId="5CE817AA" w14:textId="323C5D7F" w:rsidR="00075707" w:rsidRDefault="00075707" w:rsidP="00956B8C">
      <w:pPr>
        <w:pStyle w:val="FootnoteText"/>
      </w:pPr>
      <w:r>
        <w:rPr>
          <w:rStyle w:val="FootnoteReference"/>
        </w:rPr>
        <w:footnoteRef/>
      </w:r>
      <w:r>
        <w:t xml:space="preserve"> ibid.</w:t>
      </w:r>
    </w:p>
  </w:footnote>
  <w:footnote w:id="17">
    <w:p w14:paraId="357CF615" w14:textId="73B0036D" w:rsidR="00075707" w:rsidRDefault="00075707">
      <w:pPr>
        <w:pStyle w:val="FootnoteText"/>
      </w:pPr>
      <w:r>
        <w:rPr>
          <w:rStyle w:val="FootnoteReference"/>
        </w:rPr>
        <w:footnoteRef/>
      </w:r>
      <w:r>
        <w:t xml:space="preserve"> Tailored assistance arrangements include a plan to pay off your bills over a period of up to two years, information on your energy use and how to lower it, and advice or other assistance (including utility relief grants and energy concessions).</w:t>
      </w:r>
    </w:p>
  </w:footnote>
  <w:footnote w:id="18">
    <w:p w14:paraId="4EE0AE72" w14:textId="5D57F106" w:rsidR="00075707" w:rsidRDefault="00075707" w:rsidP="00956B8C">
      <w:pPr>
        <w:pStyle w:val="FootnoteText"/>
      </w:pPr>
      <w:r>
        <w:rPr>
          <w:rStyle w:val="FootnoteReference"/>
        </w:rPr>
        <w:footnoteRef/>
      </w:r>
      <w:r>
        <w:t xml:space="preserve"> </w:t>
      </w:r>
      <w:r w:rsidR="0034313A">
        <w:t xml:space="preserve">During January to June 2019. </w:t>
      </w:r>
      <w:r>
        <w:t xml:space="preserve">Essential Services Commission, </w:t>
      </w:r>
      <w:r>
        <w:rPr>
          <w:i/>
          <w:iCs/>
        </w:rPr>
        <w:t>Victorian Energy Market Report 2018–19</w:t>
      </w:r>
      <w:r>
        <w:t xml:space="preserve">, page 74. </w:t>
      </w:r>
    </w:p>
  </w:footnote>
  <w:footnote w:id="19">
    <w:p w14:paraId="1C913584" w14:textId="41E7271F" w:rsidR="00075707" w:rsidRDefault="00075707" w:rsidP="00956B8C">
      <w:pPr>
        <w:pStyle w:val="FootnoteText"/>
      </w:pPr>
      <w:r>
        <w:rPr>
          <w:rStyle w:val="FootnoteReference"/>
        </w:rPr>
        <w:footnoteRef/>
      </w:r>
      <w:r>
        <w:t xml:space="preserve"> Australian Energy Regulator, </w:t>
      </w:r>
      <w:r>
        <w:rPr>
          <w:i/>
          <w:iCs/>
        </w:rPr>
        <w:t>Annual Retail Markets Report 2018–19</w:t>
      </w:r>
      <w:r w:rsidRPr="00A56526">
        <w:t xml:space="preserve">, page </w:t>
      </w:r>
      <w:r>
        <w:t xml:space="preserve">74. Note: data citing </w:t>
      </w:r>
      <w:r w:rsidR="00784956">
        <w:t xml:space="preserve">the percentage of residential electricity customers who entered financial hardship programs with a debt greater than $1,500 </w:t>
      </w:r>
      <w:r>
        <w:t>has aggregated two percentage bands</w:t>
      </w:r>
      <w:r w:rsidR="00146745">
        <w:t>—d</w:t>
      </w:r>
      <w:r w:rsidR="00784956">
        <w:t xml:space="preserve">ebt between $1,500 and $2,500 and </w:t>
      </w:r>
      <w:r w:rsidR="00146745">
        <w:t>d</w:t>
      </w:r>
      <w:r w:rsidR="00784956">
        <w:t>ebt over $2,500</w:t>
      </w:r>
      <w:r>
        <w:t>.</w:t>
      </w:r>
    </w:p>
  </w:footnote>
  <w:footnote w:id="20">
    <w:p w14:paraId="09BEC43A" w14:textId="7AB10789" w:rsidR="00075707" w:rsidRDefault="00075707" w:rsidP="00956B8C">
      <w:pPr>
        <w:pStyle w:val="FootnoteText"/>
      </w:pPr>
      <w:r>
        <w:rPr>
          <w:rStyle w:val="FootnoteReference"/>
        </w:rPr>
        <w:footnoteRef/>
      </w:r>
      <w:r>
        <w:t xml:space="preserve"> ibid.</w:t>
      </w:r>
      <w:r w:rsidR="0034313A">
        <w:t xml:space="preserve"> </w:t>
      </w:r>
      <w:r>
        <w:t xml:space="preserve">Note: data citing </w:t>
      </w:r>
      <w:r w:rsidR="00784956">
        <w:t xml:space="preserve">the percentage of residential gas </w:t>
      </w:r>
      <w:r>
        <w:t xml:space="preserve">customers </w:t>
      </w:r>
      <w:r w:rsidR="00D10445">
        <w:t xml:space="preserve">who entered financial hardship programs with a debt greater than </w:t>
      </w:r>
      <w:r>
        <w:t>$1,500 has aggregated two percentage bands</w:t>
      </w:r>
      <w:r w:rsidR="00146745">
        <w:t xml:space="preserve">—debt </w:t>
      </w:r>
      <w:r w:rsidR="00D10445">
        <w:t xml:space="preserve">between $1,500 and $2,500 and </w:t>
      </w:r>
      <w:r w:rsidR="00146745">
        <w:t>d</w:t>
      </w:r>
      <w:r w:rsidR="00D10445">
        <w:t>ebt over $2,500</w:t>
      </w:r>
      <w:r>
        <w:t xml:space="preserve">. </w:t>
      </w:r>
    </w:p>
  </w:footnote>
  <w:footnote w:id="21">
    <w:p w14:paraId="0C969860" w14:textId="4C3CCEA6" w:rsidR="00075707" w:rsidRDefault="00075707">
      <w:pPr>
        <w:pStyle w:val="FootnoteText"/>
      </w:pPr>
      <w:r>
        <w:rPr>
          <w:rStyle w:val="FootnoteReference"/>
        </w:rPr>
        <w:footnoteRef/>
      </w:r>
      <w:r>
        <w:t xml:space="preserve"> A payment plan is a plan that is agreed between a telco and a customer for paying back an outstanding telco debt. Plans typically include an instalment amount, which is a small, but equal, sum of money that is repaid at regular intervals over an agreed period of time until the outstanding debt is repaid. </w:t>
      </w:r>
    </w:p>
  </w:footnote>
  <w:footnote w:id="22">
    <w:p w14:paraId="20766212" w14:textId="0EAD90D9" w:rsidR="00075707" w:rsidRDefault="00075707" w:rsidP="00F906B9">
      <w:pPr>
        <w:pStyle w:val="FootnoteText"/>
      </w:pPr>
      <w:r>
        <w:rPr>
          <w:rStyle w:val="FootnoteReference"/>
        </w:rPr>
        <w:footnoteRef/>
      </w:r>
      <w:r>
        <w:t xml:space="preserve"> Australian Energy Regulator, </w:t>
      </w:r>
      <w:r>
        <w:rPr>
          <w:i/>
          <w:iCs/>
        </w:rPr>
        <w:t>Annual Retail Markets Report 2018–19</w:t>
      </w:r>
      <w:r>
        <w:t>, page 78.</w:t>
      </w:r>
      <w:r w:rsidRPr="00215925">
        <w:t xml:space="preserve"> </w:t>
      </w:r>
    </w:p>
  </w:footnote>
  <w:footnote w:id="23">
    <w:p w14:paraId="64FF58FC" w14:textId="309B18F4" w:rsidR="00075707" w:rsidRDefault="00075707" w:rsidP="00F906B9">
      <w:pPr>
        <w:pStyle w:val="FootnoteText"/>
      </w:pPr>
      <w:r>
        <w:rPr>
          <w:rStyle w:val="FootnoteReference"/>
        </w:rPr>
        <w:footnoteRef/>
      </w:r>
      <w:r>
        <w:t xml:space="preserve"> ibid.</w:t>
      </w:r>
      <w:r w:rsidRPr="00215925">
        <w:t xml:space="preserve"> </w:t>
      </w:r>
    </w:p>
  </w:footnote>
  <w:footnote w:id="24">
    <w:p w14:paraId="173871BA" w14:textId="213845A0" w:rsidR="00075707" w:rsidRPr="00F1022A" w:rsidRDefault="00075707" w:rsidP="00FA4307">
      <w:pPr>
        <w:pStyle w:val="FootnoteText"/>
      </w:pPr>
      <w:r w:rsidRPr="00F1022A">
        <w:rPr>
          <w:rStyle w:val="FootnoteReference"/>
        </w:rPr>
        <w:footnoteRef/>
      </w:r>
      <w:r w:rsidRPr="00F1022A">
        <w:t xml:space="preserve"> Australian Energy Regulator, </w:t>
      </w:r>
      <w:r w:rsidRPr="00F1022A">
        <w:rPr>
          <w:i/>
          <w:iCs/>
        </w:rPr>
        <w:t>Annual Retail Markets Report 2018</w:t>
      </w:r>
      <w:r>
        <w:rPr>
          <w:i/>
          <w:iCs/>
        </w:rPr>
        <w:t>–</w:t>
      </w:r>
      <w:r w:rsidRPr="00F1022A">
        <w:rPr>
          <w:i/>
          <w:iCs/>
        </w:rPr>
        <w:t>19</w:t>
      </w:r>
      <w:r w:rsidRPr="00F1022A">
        <w:t>, page 80.</w:t>
      </w:r>
      <w:r w:rsidRPr="00E74164">
        <w:t xml:space="preserve"> </w:t>
      </w:r>
    </w:p>
  </w:footnote>
  <w:footnote w:id="25">
    <w:p w14:paraId="051E079C" w14:textId="64B415B3" w:rsidR="00075707" w:rsidRPr="00F1022A" w:rsidRDefault="00075707" w:rsidP="00846DEE">
      <w:pPr>
        <w:pStyle w:val="FootnoteText"/>
      </w:pPr>
      <w:r w:rsidRPr="00F1022A">
        <w:rPr>
          <w:rStyle w:val="FootnoteReference"/>
        </w:rPr>
        <w:footnoteRef/>
      </w:r>
      <w:r w:rsidRPr="00F1022A">
        <w:t xml:space="preserve"> </w:t>
      </w:r>
      <w:r>
        <w:t>ibid.</w:t>
      </w:r>
    </w:p>
  </w:footnote>
  <w:footnote w:id="26">
    <w:p w14:paraId="42A5629C" w14:textId="3163E654" w:rsidR="00075707" w:rsidRDefault="00075707">
      <w:pPr>
        <w:pStyle w:val="FootnoteText"/>
      </w:pPr>
      <w:r>
        <w:rPr>
          <w:rStyle w:val="FootnoteReference"/>
        </w:rPr>
        <w:footnoteRef/>
      </w:r>
      <w:r>
        <w:t xml:space="preserve"> The remaining 5.4 per cent (1,446) of the customers that exited, left the telco for reasons unknown.</w:t>
      </w:r>
    </w:p>
  </w:footnote>
  <w:footnote w:id="27">
    <w:p w14:paraId="5C2031CB" w14:textId="6BB15282" w:rsidR="00075707" w:rsidRDefault="00075707" w:rsidP="00B35D67">
      <w:pPr>
        <w:pStyle w:val="FootnoteText"/>
      </w:pPr>
      <w:r w:rsidRPr="00F1022A">
        <w:rPr>
          <w:rStyle w:val="FootnoteReference"/>
        </w:rPr>
        <w:footnoteRef/>
      </w:r>
      <w:r w:rsidRPr="00F1022A">
        <w:t xml:space="preserve"> Australian Energy Regulator, </w:t>
      </w:r>
      <w:r w:rsidRPr="00F1022A">
        <w:rPr>
          <w:i/>
          <w:iCs/>
        </w:rPr>
        <w:t>Annual Retail Markets Report 2018</w:t>
      </w:r>
      <w:r>
        <w:rPr>
          <w:i/>
          <w:iCs/>
        </w:rPr>
        <w:t>–</w:t>
      </w:r>
      <w:r w:rsidRPr="00F1022A">
        <w:rPr>
          <w:i/>
          <w:iCs/>
        </w:rPr>
        <w:t>19</w:t>
      </w:r>
      <w:r w:rsidRPr="00F1022A">
        <w:t>, page</w:t>
      </w:r>
      <w:r w:rsidRPr="00A56526">
        <w:t xml:space="preserve"> </w:t>
      </w:r>
      <w:r>
        <w:t>80.</w:t>
      </w:r>
    </w:p>
  </w:footnote>
  <w:footnote w:id="28">
    <w:p w14:paraId="3812C889" w14:textId="57EE9D82" w:rsidR="00075707" w:rsidRDefault="00075707" w:rsidP="00F1022A">
      <w:pPr>
        <w:pStyle w:val="FootnoteText"/>
      </w:pPr>
      <w:r w:rsidRPr="00F1022A">
        <w:rPr>
          <w:rStyle w:val="FootnoteReference"/>
        </w:rPr>
        <w:footnoteRef/>
      </w:r>
      <w:r w:rsidRPr="00F1022A">
        <w:t xml:space="preserve"> </w:t>
      </w:r>
      <w:r>
        <w:t>ibid.</w:t>
      </w:r>
    </w:p>
  </w:footnote>
  <w:footnote w:id="29">
    <w:p w14:paraId="1E08AFEC" w14:textId="06BC3708" w:rsidR="00075707" w:rsidRDefault="00075707">
      <w:pPr>
        <w:pStyle w:val="FootnoteText"/>
      </w:pPr>
      <w:r>
        <w:rPr>
          <w:rStyle w:val="FootnoteReference"/>
        </w:rPr>
        <w:footnoteRef/>
      </w:r>
      <w:r>
        <w:t xml:space="preserve"> </w:t>
      </w:r>
      <w:bookmarkStart w:id="28" w:name="_Hlk35862113"/>
      <w:r>
        <w:t xml:space="preserve">During July to December 2018. Essential Services Commission, </w:t>
      </w:r>
      <w:r>
        <w:rPr>
          <w:i/>
          <w:iCs/>
        </w:rPr>
        <w:t>Victorian Energy Market Report 2018–19</w:t>
      </w:r>
      <w:r>
        <w:t>, page 78.</w:t>
      </w:r>
      <w:bookmarkEnd w:id="28"/>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EC1F54" w14:textId="4B1B03D9" w:rsidR="00075707" w:rsidRPr="00FA0800" w:rsidRDefault="00075707" w:rsidP="00A336AB">
    <w:pPr>
      <w:pStyle w:val="Protectivemarking"/>
      <w:spacing w:before="120" w:after="120"/>
      <w:rPr>
        <w:color w:val="aut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938605" w14:textId="35CD5D5C" w:rsidR="00075707" w:rsidRDefault="00075707">
    <w:pPr>
      <w:pStyle w:val="Header"/>
    </w:pPr>
    <w:r>
      <w:rPr>
        <w:noProof/>
      </w:rPr>
      <w:drawing>
        <wp:inline distT="0" distB="0" distL="0" distR="0" wp14:anchorId="22837135" wp14:editId="0D5468C4">
          <wp:extent cx="5699125" cy="523877"/>
          <wp:effectExtent l="0" t="0" r="0" b="0"/>
          <wp:docPr id="4" name="Picture 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699125" cy="523877"/>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GridTable3-Accent6"/>
      <w:tblW w:w="7678" w:type="dxa"/>
      <w:tblLayout w:type="fixed"/>
      <w:tblLook w:val="01E0" w:firstRow="1" w:lastRow="1" w:firstColumn="1" w:lastColumn="1" w:noHBand="0" w:noVBand="0"/>
    </w:tblPr>
    <w:tblGrid>
      <w:gridCol w:w="7678"/>
    </w:tblGrid>
    <w:tr w:rsidR="00075707" w14:paraId="261428B5" w14:textId="77777777" w:rsidTr="00410F6F">
      <w:trPr>
        <w:cnfStyle w:val="100000000000" w:firstRow="1" w:lastRow="0" w:firstColumn="0" w:lastColumn="0" w:oddVBand="0" w:evenVBand="0" w:oddHBand="0" w:evenHBand="0" w:firstRowFirstColumn="0" w:firstRowLastColumn="0" w:lastRowFirstColumn="0" w:lastRowLastColumn="0"/>
        <w:trHeight w:hRule="exact" w:val="988"/>
      </w:trPr>
      <w:tc>
        <w:tcPr>
          <w:cnfStyle w:val="001000000100" w:firstRow="0" w:lastRow="0" w:firstColumn="1" w:lastColumn="0" w:oddVBand="0" w:evenVBand="0" w:oddHBand="0" w:evenHBand="0" w:firstRowFirstColumn="1" w:firstRowLastColumn="0" w:lastRowFirstColumn="0" w:lastRowLastColumn="0"/>
          <w:tcW w:w="7678" w:type="dxa"/>
        </w:tcPr>
        <w:p w14:paraId="37BE9984" w14:textId="77777777" w:rsidR="00075707" w:rsidRDefault="00075707" w:rsidP="00971914">
          <w:pPr>
            <w:pStyle w:val="Header"/>
          </w:pPr>
        </w:p>
      </w:tc>
    </w:tr>
    <w:tr w:rsidR="00075707" w14:paraId="04E6ADD2" w14:textId="77777777" w:rsidTr="00410F6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78" w:type="dxa"/>
        </w:tcPr>
        <w:p w14:paraId="6E6A73BB" w14:textId="77777777" w:rsidR="00075707" w:rsidRDefault="00075707" w:rsidP="00971914">
          <w:pPr>
            <w:pStyle w:val="GridTable31"/>
          </w:pPr>
          <w:r>
            <w:t xml:space="preserve">Contents </w:t>
          </w:r>
          <w:r w:rsidRPr="00915B1C">
            <w:rPr>
              <w:b w:val="0"/>
              <w:spacing w:val="0"/>
              <w:sz w:val="28"/>
              <w:szCs w:val="28"/>
            </w:rPr>
            <w:t>(Continued)</w:t>
          </w:r>
        </w:p>
      </w:tc>
    </w:tr>
    <w:tr w:rsidR="00075707" w14:paraId="41A56DEE" w14:textId="77777777" w:rsidTr="00410F6F">
      <w:trPr>
        <w:cnfStyle w:val="010000000000" w:firstRow="0" w:lastRow="1" w:firstColumn="0" w:lastColumn="0" w:oddVBand="0" w:evenVBand="0" w:oddHBand="0" w:evenHBand="0" w:firstRowFirstColumn="0" w:firstRowLastColumn="0" w:lastRowFirstColumn="0" w:lastRowLastColumn="0"/>
        <w:trHeight w:val="1220"/>
      </w:trPr>
      <w:tc>
        <w:tcPr>
          <w:cnfStyle w:val="001000000001" w:firstRow="0" w:lastRow="0" w:firstColumn="1" w:lastColumn="0" w:oddVBand="0" w:evenVBand="0" w:oddHBand="0" w:evenHBand="0" w:firstRowFirstColumn="0" w:firstRowLastColumn="0" w:lastRowFirstColumn="1" w:lastRowLastColumn="0"/>
          <w:tcW w:w="7678" w:type="dxa"/>
        </w:tcPr>
        <w:p w14:paraId="20A6FF86" w14:textId="77777777" w:rsidR="00075707" w:rsidRDefault="00075707" w:rsidP="00971914"/>
      </w:tc>
    </w:tr>
  </w:tbl>
  <w:p w14:paraId="02770A6C" w14:textId="77777777" w:rsidR="00075707" w:rsidRDefault="00075707" w:rsidP="0097191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075707" w14:paraId="74BD1A02" w14:textId="77777777" w:rsidTr="005579AD">
      <w:trPr>
        <w:trHeight w:hRule="exact" w:val="988"/>
      </w:trPr>
      <w:tc>
        <w:tcPr>
          <w:tcW w:w="7678" w:type="dxa"/>
          <w:shd w:val="clear" w:color="auto" w:fill="auto"/>
        </w:tcPr>
        <w:p w14:paraId="061F2AE4" w14:textId="77777777" w:rsidR="00075707" w:rsidRDefault="00075707" w:rsidP="00971914">
          <w:pPr>
            <w:pStyle w:val="Header"/>
          </w:pPr>
        </w:p>
      </w:tc>
    </w:tr>
    <w:tr w:rsidR="00075707" w14:paraId="1043C174" w14:textId="77777777" w:rsidTr="005579AD">
      <w:tc>
        <w:tcPr>
          <w:tcW w:w="7678" w:type="dxa"/>
          <w:shd w:val="clear" w:color="auto" w:fill="auto"/>
        </w:tcPr>
        <w:p w14:paraId="159BACE0" w14:textId="77777777" w:rsidR="00075707" w:rsidRDefault="00075707" w:rsidP="00971914">
          <w:pPr>
            <w:pStyle w:val="GridTable31"/>
          </w:pPr>
          <w:r>
            <w:t xml:space="preserve">Contents </w:t>
          </w:r>
          <w:r w:rsidRPr="00915B1C">
            <w:rPr>
              <w:b w:val="0"/>
              <w:spacing w:val="0"/>
              <w:sz w:val="28"/>
              <w:szCs w:val="28"/>
            </w:rPr>
            <w:t>(Continued)</w:t>
          </w:r>
        </w:p>
      </w:tc>
    </w:tr>
    <w:tr w:rsidR="00075707" w14:paraId="3741392A" w14:textId="77777777" w:rsidTr="005579AD">
      <w:trPr>
        <w:trHeight w:val="1220"/>
      </w:trPr>
      <w:tc>
        <w:tcPr>
          <w:tcW w:w="7678" w:type="dxa"/>
          <w:shd w:val="clear" w:color="auto" w:fill="auto"/>
        </w:tcPr>
        <w:p w14:paraId="12613BD6" w14:textId="77777777" w:rsidR="00075707" w:rsidRDefault="00075707" w:rsidP="00971914"/>
      </w:tc>
    </w:tr>
  </w:tbl>
  <w:p w14:paraId="5C3AD17B" w14:textId="77777777" w:rsidR="00075707" w:rsidRPr="00A5474E" w:rsidRDefault="00075707" w:rsidP="00A5474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FD275D" w14:textId="77777777" w:rsidR="00075707" w:rsidRPr="00A5474E" w:rsidRDefault="00075707" w:rsidP="004824F1">
    <w:pPr>
      <w:pStyle w:val="TOCHeading"/>
    </w:pPr>
    <w:r w:rsidRPr="0029593B">
      <w:t>Contents</w:t>
    </w:r>
  </w:p>
  <w:p w14:paraId="11805BB6" w14:textId="77777777" w:rsidR="00075707" w:rsidRDefault="0007570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B0ACAE" w14:textId="539A6549" w:rsidR="00075707" w:rsidRDefault="0007570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CE958E" w14:textId="77777777" w:rsidR="00075707" w:rsidRDefault="0007570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AA757E" w14:textId="77777777" w:rsidR="00075707" w:rsidRDefault="000757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F3BE537E"/>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04870B0"/>
    <w:multiLevelType w:val="hybridMultilevel"/>
    <w:tmpl w:val="95C65FC0"/>
    <w:lvl w:ilvl="0" w:tplc="0C09000F">
      <w:start w:val="1"/>
      <w:numFmt w:val="decimal"/>
      <w:lvlText w:val="%1."/>
      <w:lvlJc w:val="left"/>
      <w:pPr>
        <w:ind w:left="720" w:hanging="360"/>
      </w:pPr>
      <w:rPr>
        <w:rFonts w:hint="default"/>
        <w:b w:val="0"/>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4C35B12"/>
    <w:multiLevelType w:val="hybridMultilevel"/>
    <w:tmpl w:val="F6244DE8"/>
    <w:lvl w:ilvl="0" w:tplc="A3162B78">
      <w:start w:val="1"/>
      <w:numFmt w:val="bullet"/>
      <w:lvlText w:val=""/>
      <w:lvlJc w:val="left"/>
      <w:pPr>
        <w:ind w:left="360" w:hanging="360"/>
      </w:pPr>
      <w:rPr>
        <w:rFonts w:ascii="Symbol" w:hAnsi="Symbol" w:hint="default"/>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59D0A0F"/>
    <w:multiLevelType w:val="hybridMultilevel"/>
    <w:tmpl w:val="D9DEB940"/>
    <w:lvl w:ilvl="0" w:tplc="2B4E95B6">
      <w:start w:val="1"/>
      <w:numFmt w:val="lowerLetter"/>
      <w:lvlText w:val="%1)"/>
      <w:lvlJc w:val="left"/>
      <w:pPr>
        <w:ind w:left="720" w:hanging="360"/>
      </w:pPr>
      <w:rPr>
        <w:rFonts w:hint="default"/>
        <w:color w:val="0000FF"/>
        <w:u w:val="singl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8E43BE6"/>
    <w:multiLevelType w:val="hybridMultilevel"/>
    <w:tmpl w:val="3F867380"/>
    <w:lvl w:ilvl="0" w:tplc="A3162B78">
      <w:start w:val="1"/>
      <w:numFmt w:val="bullet"/>
      <w:lvlText w:val=""/>
      <w:lvlJc w:val="left"/>
      <w:pPr>
        <w:ind w:left="360" w:hanging="360"/>
      </w:pPr>
      <w:rPr>
        <w:rFonts w:ascii="Symbol" w:hAnsi="Symbol" w:hint="default"/>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296288D"/>
    <w:multiLevelType w:val="hybridMultilevel"/>
    <w:tmpl w:val="D4DA4546"/>
    <w:lvl w:ilvl="0" w:tplc="0C090001">
      <w:start w:val="1"/>
      <w:numFmt w:val="bullet"/>
      <w:lvlText w:val=""/>
      <w:lvlJc w:val="left"/>
      <w:pPr>
        <w:ind w:left="3660" w:hanging="360"/>
      </w:pPr>
      <w:rPr>
        <w:rFonts w:ascii="Symbol" w:hAnsi="Symbol" w:hint="default"/>
      </w:rPr>
    </w:lvl>
    <w:lvl w:ilvl="1" w:tplc="0C090003" w:tentative="1">
      <w:start w:val="1"/>
      <w:numFmt w:val="bullet"/>
      <w:lvlText w:val="o"/>
      <w:lvlJc w:val="left"/>
      <w:pPr>
        <w:ind w:left="4380" w:hanging="360"/>
      </w:pPr>
      <w:rPr>
        <w:rFonts w:ascii="Courier New" w:hAnsi="Courier New" w:cs="Courier New" w:hint="default"/>
      </w:rPr>
    </w:lvl>
    <w:lvl w:ilvl="2" w:tplc="0C090005" w:tentative="1">
      <w:start w:val="1"/>
      <w:numFmt w:val="bullet"/>
      <w:lvlText w:val=""/>
      <w:lvlJc w:val="left"/>
      <w:pPr>
        <w:ind w:left="5100" w:hanging="360"/>
      </w:pPr>
      <w:rPr>
        <w:rFonts w:ascii="Wingdings" w:hAnsi="Wingdings" w:hint="default"/>
      </w:rPr>
    </w:lvl>
    <w:lvl w:ilvl="3" w:tplc="0C090001" w:tentative="1">
      <w:start w:val="1"/>
      <w:numFmt w:val="bullet"/>
      <w:lvlText w:val=""/>
      <w:lvlJc w:val="left"/>
      <w:pPr>
        <w:ind w:left="5820" w:hanging="360"/>
      </w:pPr>
      <w:rPr>
        <w:rFonts w:ascii="Symbol" w:hAnsi="Symbol" w:hint="default"/>
      </w:rPr>
    </w:lvl>
    <w:lvl w:ilvl="4" w:tplc="0C090003" w:tentative="1">
      <w:start w:val="1"/>
      <w:numFmt w:val="bullet"/>
      <w:lvlText w:val="o"/>
      <w:lvlJc w:val="left"/>
      <w:pPr>
        <w:ind w:left="6540" w:hanging="360"/>
      </w:pPr>
      <w:rPr>
        <w:rFonts w:ascii="Courier New" w:hAnsi="Courier New" w:cs="Courier New" w:hint="default"/>
      </w:rPr>
    </w:lvl>
    <w:lvl w:ilvl="5" w:tplc="0C090005" w:tentative="1">
      <w:start w:val="1"/>
      <w:numFmt w:val="bullet"/>
      <w:lvlText w:val=""/>
      <w:lvlJc w:val="left"/>
      <w:pPr>
        <w:ind w:left="7260" w:hanging="360"/>
      </w:pPr>
      <w:rPr>
        <w:rFonts w:ascii="Wingdings" w:hAnsi="Wingdings" w:hint="default"/>
      </w:rPr>
    </w:lvl>
    <w:lvl w:ilvl="6" w:tplc="0C090001" w:tentative="1">
      <w:start w:val="1"/>
      <w:numFmt w:val="bullet"/>
      <w:lvlText w:val=""/>
      <w:lvlJc w:val="left"/>
      <w:pPr>
        <w:ind w:left="7980" w:hanging="360"/>
      </w:pPr>
      <w:rPr>
        <w:rFonts w:ascii="Symbol" w:hAnsi="Symbol" w:hint="default"/>
      </w:rPr>
    </w:lvl>
    <w:lvl w:ilvl="7" w:tplc="0C090003" w:tentative="1">
      <w:start w:val="1"/>
      <w:numFmt w:val="bullet"/>
      <w:lvlText w:val="o"/>
      <w:lvlJc w:val="left"/>
      <w:pPr>
        <w:ind w:left="8700" w:hanging="360"/>
      </w:pPr>
      <w:rPr>
        <w:rFonts w:ascii="Courier New" w:hAnsi="Courier New" w:cs="Courier New" w:hint="default"/>
      </w:rPr>
    </w:lvl>
    <w:lvl w:ilvl="8" w:tplc="0C090005" w:tentative="1">
      <w:start w:val="1"/>
      <w:numFmt w:val="bullet"/>
      <w:lvlText w:val=""/>
      <w:lvlJc w:val="left"/>
      <w:pPr>
        <w:ind w:left="9420" w:hanging="360"/>
      </w:pPr>
      <w:rPr>
        <w:rFonts w:ascii="Wingdings" w:hAnsi="Wingdings" w:hint="default"/>
      </w:rPr>
    </w:lvl>
  </w:abstractNum>
  <w:abstractNum w:abstractNumId="10" w15:restartNumberingAfterBreak="0">
    <w:nsid w:val="20F345E4"/>
    <w:multiLevelType w:val="hybridMultilevel"/>
    <w:tmpl w:val="8570A33E"/>
    <w:lvl w:ilvl="0" w:tplc="A3162B78">
      <w:start w:val="1"/>
      <w:numFmt w:val="bullet"/>
      <w:lvlText w:val=""/>
      <w:lvlJc w:val="left"/>
      <w:pPr>
        <w:ind w:left="720" w:hanging="360"/>
      </w:pPr>
      <w:rPr>
        <w:rFonts w:ascii="Symbol" w:hAnsi="Symbo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B66D7E"/>
    <w:multiLevelType w:val="hybridMultilevel"/>
    <w:tmpl w:val="DF94F030"/>
    <w:lvl w:ilvl="0" w:tplc="0C090001">
      <w:start w:val="1"/>
      <w:numFmt w:val="bullet"/>
      <w:lvlText w:val=""/>
      <w:lvlJc w:val="left"/>
      <w:pPr>
        <w:ind w:left="360" w:hanging="360"/>
      </w:pPr>
      <w:rPr>
        <w:rFonts w:ascii="Symbol" w:hAnsi="Symbol" w:hint="default"/>
      </w:rPr>
    </w:lvl>
    <w:lvl w:ilvl="1" w:tplc="2CB2F2CC">
      <w:start w:val="1"/>
      <w:numFmt w:val="bullet"/>
      <w:lvlText w:val=""/>
      <w:lvlJc w:val="left"/>
      <w:pPr>
        <w:ind w:left="786"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C37023E"/>
    <w:multiLevelType w:val="hybridMultilevel"/>
    <w:tmpl w:val="56A4277C"/>
    <w:lvl w:ilvl="0" w:tplc="A3162B78">
      <w:start w:val="1"/>
      <w:numFmt w:val="bullet"/>
      <w:lvlText w:val=""/>
      <w:lvlJc w:val="left"/>
      <w:pPr>
        <w:ind w:left="360" w:hanging="360"/>
      </w:pPr>
      <w:rPr>
        <w:rFonts w:ascii="Symbol" w:hAnsi="Symbol" w:hint="default"/>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CA027BD"/>
    <w:multiLevelType w:val="hybridMultilevel"/>
    <w:tmpl w:val="7FBE3BC2"/>
    <w:lvl w:ilvl="0" w:tplc="0C09000B">
      <w:start w:val="1"/>
      <w:numFmt w:val="bullet"/>
      <w:lvlText w:val=""/>
      <w:lvlJc w:val="left"/>
      <w:pPr>
        <w:ind w:left="3660" w:hanging="360"/>
      </w:pPr>
      <w:rPr>
        <w:rFonts w:ascii="Wingdings" w:hAnsi="Wingdings" w:hint="default"/>
      </w:rPr>
    </w:lvl>
    <w:lvl w:ilvl="1" w:tplc="0C090003" w:tentative="1">
      <w:start w:val="1"/>
      <w:numFmt w:val="bullet"/>
      <w:lvlText w:val="o"/>
      <w:lvlJc w:val="left"/>
      <w:pPr>
        <w:ind w:left="4380" w:hanging="360"/>
      </w:pPr>
      <w:rPr>
        <w:rFonts w:ascii="Courier New" w:hAnsi="Courier New" w:cs="Courier New" w:hint="default"/>
      </w:rPr>
    </w:lvl>
    <w:lvl w:ilvl="2" w:tplc="0C090005" w:tentative="1">
      <w:start w:val="1"/>
      <w:numFmt w:val="bullet"/>
      <w:lvlText w:val=""/>
      <w:lvlJc w:val="left"/>
      <w:pPr>
        <w:ind w:left="5100" w:hanging="360"/>
      </w:pPr>
      <w:rPr>
        <w:rFonts w:ascii="Wingdings" w:hAnsi="Wingdings" w:hint="default"/>
      </w:rPr>
    </w:lvl>
    <w:lvl w:ilvl="3" w:tplc="0C090001" w:tentative="1">
      <w:start w:val="1"/>
      <w:numFmt w:val="bullet"/>
      <w:lvlText w:val=""/>
      <w:lvlJc w:val="left"/>
      <w:pPr>
        <w:ind w:left="5820" w:hanging="360"/>
      </w:pPr>
      <w:rPr>
        <w:rFonts w:ascii="Symbol" w:hAnsi="Symbol" w:hint="default"/>
      </w:rPr>
    </w:lvl>
    <w:lvl w:ilvl="4" w:tplc="0C090003" w:tentative="1">
      <w:start w:val="1"/>
      <w:numFmt w:val="bullet"/>
      <w:lvlText w:val="o"/>
      <w:lvlJc w:val="left"/>
      <w:pPr>
        <w:ind w:left="6540" w:hanging="360"/>
      </w:pPr>
      <w:rPr>
        <w:rFonts w:ascii="Courier New" w:hAnsi="Courier New" w:cs="Courier New" w:hint="default"/>
      </w:rPr>
    </w:lvl>
    <w:lvl w:ilvl="5" w:tplc="0C090005" w:tentative="1">
      <w:start w:val="1"/>
      <w:numFmt w:val="bullet"/>
      <w:lvlText w:val=""/>
      <w:lvlJc w:val="left"/>
      <w:pPr>
        <w:ind w:left="7260" w:hanging="360"/>
      </w:pPr>
      <w:rPr>
        <w:rFonts w:ascii="Wingdings" w:hAnsi="Wingdings" w:hint="default"/>
      </w:rPr>
    </w:lvl>
    <w:lvl w:ilvl="6" w:tplc="0C090001" w:tentative="1">
      <w:start w:val="1"/>
      <w:numFmt w:val="bullet"/>
      <w:lvlText w:val=""/>
      <w:lvlJc w:val="left"/>
      <w:pPr>
        <w:ind w:left="7980" w:hanging="360"/>
      </w:pPr>
      <w:rPr>
        <w:rFonts w:ascii="Symbol" w:hAnsi="Symbol" w:hint="default"/>
      </w:rPr>
    </w:lvl>
    <w:lvl w:ilvl="7" w:tplc="0C090003" w:tentative="1">
      <w:start w:val="1"/>
      <w:numFmt w:val="bullet"/>
      <w:lvlText w:val="o"/>
      <w:lvlJc w:val="left"/>
      <w:pPr>
        <w:ind w:left="8700" w:hanging="360"/>
      </w:pPr>
      <w:rPr>
        <w:rFonts w:ascii="Courier New" w:hAnsi="Courier New" w:cs="Courier New" w:hint="default"/>
      </w:rPr>
    </w:lvl>
    <w:lvl w:ilvl="8" w:tplc="0C090005" w:tentative="1">
      <w:start w:val="1"/>
      <w:numFmt w:val="bullet"/>
      <w:lvlText w:val=""/>
      <w:lvlJc w:val="left"/>
      <w:pPr>
        <w:ind w:left="9420" w:hanging="360"/>
      </w:pPr>
      <w:rPr>
        <w:rFonts w:ascii="Wingdings" w:hAnsi="Wingdings" w:hint="default"/>
      </w:rPr>
    </w:lvl>
  </w:abstractNum>
  <w:abstractNum w:abstractNumId="1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5" w15:restartNumberingAfterBreak="0">
    <w:nsid w:val="30881218"/>
    <w:multiLevelType w:val="hybridMultilevel"/>
    <w:tmpl w:val="B55868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24F4C8A"/>
    <w:multiLevelType w:val="hybridMultilevel"/>
    <w:tmpl w:val="FCF6F914"/>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6C31311"/>
    <w:multiLevelType w:val="hybridMultilevel"/>
    <w:tmpl w:val="5C627208"/>
    <w:lvl w:ilvl="0" w:tplc="0C090001">
      <w:start w:val="1"/>
      <w:numFmt w:val="bullet"/>
      <w:lvlText w:val=""/>
      <w:lvlJc w:val="left"/>
      <w:pPr>
        <w:ind w:left="771" w:hanging="360"/>
      </w:pPr>
      <w:rPr>
        <w:rFonts w:ascii="Symbol" w:hAnsi="Symbol" w:hint="default"/>
      </w:rPr>
    </w:lvl>
    <w:lvl w:ilvl="1" w:tplc="0C090003" w:tentative="1">
      <w:start w:val="1"/>
      <w:numFmt w:val="bullet"/>
      <w:lvlText w:val="o"/>
      <w:lvlJc w:val="left"/>
      <w:pPr>
        <w:ind w:left="1491" w:hanging="360"/>
      </w:pPr>
      <w:rPr>
        <w:rFonts w:ascii="Courier New" w:hAnsi="Courier New" w:cs="Courier New" w:hint="default"/>
      </w:rPr>
    </w:lvl>
    <w:lvl w:ilvl="2" w:tplc="0C090005" w:tentative="1">
      <w:start w:val="1"/>
      <w:numFmt w:val="bullet"/>
      <w:lvlText w:val=""/>
      <w:lvlJc w:val="left"/>
      <w:pPr>
        <w:ind w:left="2211" w:hanging="360"/>
      </w:pPr>
      <w:rPr>
        <w:rFonts w:ascii="Wingdings" w:hAnsi="Wingdings" w:hint="default"/>
      </w:rPr>
    </w:lvl>
    <w:lvl w:ilvl="3" w:tplc="0C090001" w:tentative="1">
      <w:start w:val="1"/>
      <w:numFmt w:val="bullet"/>
      <w:lvlText w:val=""/>
      <w:lvlJc w:val="left"/>
      <w:pPr>
        <w:ind w:left="2931" w:hanging="360"/>
      </w:pPr>
      <w:rPr>
        <w:rFonts w:ascii="Symbol" w:hAnsi="Symbol" w:hint="default"/>
      </w:rPr>
    </w:lvl>
    <w:lvl w:ilvl="4" w:tplc="0C090003" w:tentative="1">
      <w:start w:val="1"/>
      <w:numFmt w:val="bullet"/>
      <w:lvlText w:val="o"/>
      <w:lvlJc w:val="left"/>
      <w:pPr>
        <w:ind w:left="3651" w:hanging="360"/>
      </w:pPr>
      <w:rPr>
        <w:rFonts w:ascii="Courier New" w:hAnsi="Courier New" w:cs="Courier New" w:hint="default"/>
      </w:rPr>
    </w:lvl>
    <w:lvl w:ilvl="5" w:tplc="0C090005" w:tentative="1">
      <w:start w:val="1"/>
      <w:numFmt w:val="bullet"/>
      <w:lvlText w:val=""/>
      <w:lvlJc w:val="left"/>
      <w:pPr>
        <w:ind w:left="4371" w:hanging="360"/>
      </w:pPr>
      <w:rPr>
        <w:rFonts w:ascii="Wingdings" w:hAnsi="Wingdings" w:hint="default"/>
      </w:rPr>
    </w:lvl>
    <w:lvl w:ilvl="6" w:tplc="0C090001" w:tentative="1">
      <w:start w:val="1"/>
      <w:numFmt w:val="bullet"/>
      <w:lvlText w:val=""/>
      <w:lvlJc w:val="left"/>
      <w:pPr>
        <w:ind w:left="5091" w:hanging="360"/>
      </w:pPr>
      <w:rPr>
        <w:rFonts w:ascii="Symbol" w:hAnsi="Symbol" w:hint="default"/>
      </w:rPr>
    </w:lvl>
    <w:lvl w:ilvl="7" w:tplc="0C090003" w:tentative="1">
      <w:start w:val="1"/>
      <w:numFmt w:val="bullet"/>
      <w:lvlText w:val="o"/>
      <w:lvlJc w:val="left"/>
      <w:pPr>
        <w:ind w:left="5811" w:hanging="360"/>
      </w:pPr>
      <w:rPr>
        <w:rFonts w:ascii="Courier New" w:hAnsi="Courier New" w:cs="Courier New" w:hint="default"/>
      </w:rPr>
    </w:lvl>
    <w:lvl w:ilvl="8" w:tplc="0C090005" w:tentative="1">
      <w:start w:val="1"/>
      <w:numFmt w:val="bullet"/>
      <w:lvlText w:val=""/>
      <w:lvlJc w:val="left"/>
      <w:pPr>
        <w:ind w:left="6531" w:hanging="360"/>
      </w:pPr>
      <w:rPr>
        <w:rFonts w:ascii="Wingdings" w:hAnsi="Wingdings" w:hint="default"/>
      </w:rPr>
    </w:lvl>
  </w:abstractNum>
  <w:abstractNum w:abstractNumId="18" w15:restartNumberingAfterBreak="0">
    <w:nsid w:val="3BAB4B91"/>
    <w:multiLevelType w:val="hybridMultilevel"/>
    <w:tmpl w:val="9CD062BA"/>
    <w:lvl w:ilvl="0" w:tplc="A3162B78">
      <w:start w:val="1"/>
      <w:numFmt w:val="bullet"/>
      <w:lvlText w:val=""/>
      <w:lvlJc w:val="left"/>
      <w:pPr>
        <w:ind w:left="360" w:hanging="360"/>
      </w:pPr>
      <w:rPr>
        <w:rFonts w:ascii="Symbol" w:hAnsi="Symbol" w:hint="default"/>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5FC1B07"/>
    <w:multiLevelType w:val="hybridMultilevel"/>
    <w:tmpl w:val="47D29C8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0" w15:restartNumberingAfterBreak="0">
    <w:nsid w:val="478628FA"/>
    <w:multiLevelType w:val="hybridMultilevel"/>
    <w:tmpl w:val="94E46CFC"/>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07306AB"/>
    <w:multiLevelType w:val="hybridMultilevel"/>
    <w:tmpl w:val="8C0E9B3C"/>
    <w:lvl w:ilvl="0" w:tplc="710C599E">
      <w:numFmt w:val="bullet"/>
      <w:lvlText w:val=""/>
      <w:lvlJc w:val="left"/>
      <w:pPr>
        <w:ind w:left="1212" w:hanging="360"/>
      </w:pPr>
      <w:rPr>
        <w:rFonts w:ascii="Wingdings" w:eastAsia="Times New Roman" w:hAnsi="Wingdings" w:cs="Arial" w:hint="default"/>
      </w:rPr>
    </w:lvl>
    <w:lvl w:ilvl="1" w:tplc="0C090003" w:tentative="1">
      <w:start w:val="1"/>
      <w:numFmt w:val="bullet"/>
      <w:lvlText w:val="o"/>
      <w:lvlJc w:val="left"/>
      <w:pPr>
        <w:ind w:left="1932" w:hanging="360"/>
      </w:pPr>
      <w:rPr>
        <w:rFonts w:ascii="Courier New" w:hAnsi="Courier New" w:cs="Courier New" w:hint="default"/>
      </w:rPr>
    </w:lvl>
    <w:lvl w:ilvl="2" w:tplc="0C090005" w:tentative="1">
      <w:start w:val="1"/>
      <w:numFmt w:val="bullet"/>
      <w:lvlText w:val=""/>
      <w:lvlJc w:val="left"/>
      <w:pPr>
        <w:ind w:left="2652" w:hanging="360"/>
      </w:pPr>
      <w:rPr>
        <w:rFonts w:ascii="Wingdings" w:hAnsi="Wingdings" w:hint="default"/>
      </w:rPr>
    </w:lvl>
    <w:lvl w:ilvl="3" w:tplc="0C090001" w:tentative="1">
      <w:start w:val="1"/>
      <w:numFmt w:val="bullet"/>
      <w:lvlText w:val=""/>
      <w:lvlJc w:val="left"/>
      <w:pPr>
        <w:ind w:left="3372" w:hanging="360"/>
      </w:pPr>
      <w:rPr>
        <w:rFonts w:ascii="Symbol" w:hAnsi="Symbol" w:hint="default"/>
      </w:rPr>
    </w:lvl>
    <w:lvl w:ilvl="4" w:tplc="0C090003" w:tentative="1">
      <w:start w:val="1"/>
      <w:numFmt w:val="bullet"/>
      <w:lvlText w:val="o"/>
      <w:lvlJc w:val="left"/>
      <w:pPr>
        <w:ind w:left="4092" w:hanging="360"/>
      </w:pPr>
      <w:rPr>
        <w:rFonts w:ascii="Courier New" w:hAnsi="Courier New" w:cs="Courier New" w:hint="default"/>
      </w:rPr>
    </w:lvl>
    <w:lvl w:ilvl="5" w:tplc="0C090005" w:tentative="1">
      <w:start w:val="1"/>
      <w:numFmt w:val="bullet"/>
      <w:lvlText w:val=""/>
      <w:lvlJc w:val="left"/>
      <w:pPr>
        <w:ind w:left="4812" w:hanging="360"/>
      </w:pPr>
      <w:rPr>
        <w:rFonts w:ascii="Wingdings" w:hAnsi="Wingdings" w:hint="default"/>
      </w:rPr>
    </w:lvl>
    <w:lvl w:ilvl="6" w:tplc="0C090001" w:tentative="1">
      <w:start w:val="1"/>
      <w:numFmt w:val="bullet"/>
      <w:lvlText w:val=""/>
      <w:lvlJc w:val="left"/>
      <w:pPr>
        <w:ind w:left="5532" w:hanging="360"/>
      </w:pPr>
      <w:rPr>
        <w:rFonts w:ascii="Symbol" w:hAnsi="Symbol" w:hint="default"/>
      </w:rPr>
    </w:lvl>
    <w:lvl w:ilvl="7" w:tplc="0C090003" w:tentative="1">
      <w:start w:val="1"/>
      <w:numFmt w:val="bullet"/>
      <w:lvlText w:val="o"/>
      <w:lvlJc w:val="left"/>
      <w:pPr>
        <w:ind w:left="6252" w:hanging="360"/>
      </w:pPr>
      <w:rPr>
        <w:rFonts w:ascii="Courier New" w:hAnsi="Courier New" w:cs="Courier New" w:hint="default"/>
      </w:rPr>
    </w:lvl>
    <w:lvl w:ilvl="8" w:tplc="0C090005" w:tentative="1">
      <w:start w:val="1"/>
      <w:numFmt w:val="bullet"/>
      <w:lvlText w:val=""/>
      <w:lvlJc w:val="left"/>
      <w:pPr>
        <w:ind w:left="6972" w:hanging="360"/>
      </w:pPr>
      <w:rPr>
        <w:rFonts w:ascii="Wingdings" w:hAnsi="Wingdings" w:hint="default"/>
      </w:rPr>
    </w:lvl>
  </w:abstractNum>
  <w:abstractNum w:abstractNumId="22"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F1D2AED"/>
    <w:multiLevelType w:val="hybridMultilevel"/>
    <w:tmpl w:val="20C22BD4"/>
    <w:lvl w:ilvl="0" w:tplc="A3162B78">
      <w:start w:val="1"/>
      <w:numFmt w:val="bullet"/>
      <w:lvlText w:val=""/>
      <w:lvlJc w:val="left"/>
      <w:pPr>
        <w:ind w:left="360" w:hanging="360"/>
      </w:pPr>
      <w:rPr>
        <w:rFonts w:ascii="Symbol" w:hAnsi="Symbol" w:hint="default"/>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5071478"/>
    <w:multiLevelType w:val="hybridMultilevel"/>
    <w:tmpl w:val="82D0F56E"/>
    <w:lvl w:ilvl="0" w:tplc="2B16327C">
      <w:start w:val="1"/>
      <w:numFmt w:val="decimal"/>
      <w:pStyle w:val="ACMAFigureHeader"/>
      <w:lvlText w:val="Figure %1: "/>
      <w:lvlJc w:val="left"/>
      <w:pPr>
        <w:tabs>
          <w:tab w:val="num" w:pos="1304"/>
        </w:tabs>
        <w:ind w:left="1304" w:hanging="1021"/>
      </w:pPr>
      <w:rPr>
        <w:rFonts w:cs="Times New Roman"/>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DD25827"/>
    <w:multiLevelType w:val="hybridMultilevel"/>
    <w:tmpl w:val="E01E585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FE86D4E"/>
    <w:multiLevelType w:val="hybridMultilevel"/>
    <w:tmpl w:val="18A82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5563062"/>
    <w:multiLevelType w:val="hybridMultilevel"/>
    <w:tmpl w:val="43882792"/>
    <w:lvl w:ilvl="0" w:tplc="B0F4FE3E">
      <w:numFmt w:val="bullet"/>
      <w:lvlText w:val="-"/>
      <w:lvlJc w:val="left"/>
      <w:pPr>
        <w:ind w:left="644" w:hanging="360"/>
      </w:pPr>
      <w:rPr>
        <w:rFonts w:ascii="Arial" w:eastAsia="Times New Roman" w:hAnsi="Arial" w:cs="Aria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30" w15:restartNumberingAfterBreak="0">
    <w:nsid w:val="76BA7EDD"/>
    <w:multiLevelType w:val="hybridMultilevel"/>
    <w:tmpl w:val="6A2C99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D092267"/>
    <w:multiLevelType w:val="hybridMultilevel"/>
    <w:tmpl w:val="4A4E2148"/>
    <w:lvl w:ilvl="0" w:tplc="A3162B78">
      <w:start w:val="1"/>
      <w:numFmt w:val="bullet"/>
      <w:lvlText w:val=""/>
      <w:lvlJc w:val="left"/>
      <w:pPr>
        <w:ind w:left="360" w:hanging="360"/>
      </w:pPr>
      <w:rPr>
        <w:rFonts w:ascii="Symbol" w:hAnsi="Symbol" w:hint="default"/>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FC91D77"/>
    <w:multiLevelType w:val="hybridMultilevel"/>
    <w:tmpl w:val="45821F7E"/>
    <w:lvl w:ilvl="0" w:tplc="A3162B78">
      <w:start w:val="1"/>
      <w:numFmt w:val="bullet"/>
      <w:lvlText w:val=""/>
      <w:lvlJc w:val="left"/>
      <w:pPr>
        <w:ind w:left="655" w:hanging="360"/>
      </w:pPr>
      <w:rPr>
        <w:rFonts w:ascii="Symbol" w:hAnsi="Symbol" w:hint="default"/>
        <w:sz w:val="20"/>
        <w:szCs w:val="20"/>
      </w:rPr>
    </w:lvl>
    <w:lvl w:ilvl="1" w:tplc="0C090003" w:tentative="1">
      <w:start w:val="1"/>
      <w:numFmt w:val="bullet"/>
      <w:lvlText w:val="o"/>
      <w:lvlJc w:val="left"/>
      <w:pPr>
        <w:ind w:left="1375" w:hanging="360"/>
      </w:pPr>
      <w:rPr>
        <w:rFonts w:ascii="Courier New" w:hAnsi="Courier New" w:cs="Courier New" w:hint="default"/>
      </w:rPr>
    </w:lvl>
    <w:lvl w:ilvl="2" w:tplc="0C090005" w:tentative="1">
      <w:start w:val="1"/>
      <w:numFmt w:val="bullet"/>
      <w:lvlText w:val=""/>
      <w:lvlJc w:val="left"/>
      <w:pPr>
        <w:ind w:left="2095" w:hanging="360"/>
      </w:pPr>
      <w:rPr>
        <w:rFonts w:ascii="Wingdings" w:hAnsi="Wingdings" w:hint="default"/>
      </w:rPr>
    </w:lvl>
    <w:lvl w:ilvl="3" w:tplc="0C090001" w:tentative="1">
      <w:start w:val="1"/>
      <w:numFmt w:val="bullet"/>
      <w:lvlText w:val=""/>
      <w:lvlJc w:val="left"/>
      <w:pPr>
        <w:ind w:left="2815" w:hanging="360"/>
      </w:pPr>
      <w:rPr>
        <w:rFonts w:ascii="Symbol" w:hAnsi="Symbol" w:hint="default"/>
      </w:rPr>
    </w:lvl>
    <w:lvl w:ilvl="4" w:tplc="0C090003" w:tentative="1">
      <w:start w:val="1"/>
      <w:numFmt w:val="bullet"/>
      <w:lvlText w:val="o"/>
      <w:lvlJc w:val="left"/>
      <w:pPr>
        <w:ind w:left="3535" w:hanging="360"/>
      </w:pPr>
      <w:rPr>
        <w:rFonts w:ascii="Courier New" w:hAnsi="Courier New" w:cs="Courier New" w:hint="default"/>
      </w:rPr>
    </w:lvl>
    <w:lvl w:ilvl="5" w:tplc="0C090005" w:tentative="1">
      <w:start w:val="1"/>
      <w:numFmt w:val="bullet"/>
      <w:lvlText w:val=""/>
      <w:lvlJc w:val="left"/>
      <w:pPr>
        <w:ind w:left="4255" w:hanging="360"/>
      </w:pPr>
      <w:rPr>
        <w:rFonts w:ascii="Wingdings" w:hAnsi="Wingdings" w:hint="default"/>
      </w:rPr>
    </w:lvl>
    <w:lvl w:ilvl="6" w:tplc="0C090001" w:tentative="1">
      <w:start w:val="1"/>
      <w:numFmt w:val="bullet"/>
      <w:lvlText w:val=""/>
      <w:lvlJc w:val="left"/>
      <w:pPr>
        <w:ind w:left="4975" w:hanging="360"/>
      </w:pPr>
      <w:rPr>
        <w:rFonts w:ascii="Symbol" w:hAnsi="Symbol" w:hint="default"/>
      </w:rPr>
    </w:lvl>
    <w:lvl w:ilvl="7" w:tplc="0C090003" w:tentative="1">
      <w:start w:val="1"/>
      <w:numFmt w:val="bullet"/>
      <w:lvlText w:val="o"/>
      <w:lvlJc w:val="left"/>
      <w:pPr>
        <w:ind w:left="5695" w:hanging="360"/>
      </w:pPr>
      <w:rPr>
        <w:rFonts w:ascii="Courier New" w:hAnsi="Courier New" w:cs="Courier New" w:hint="default"/>
      </w:rPr>
    </w:lvl>
    <w:lvl w:ilvl="8" w:tplc="0C090005" w:tentative="1">
      <w:start w:val="1"/>
      <w:numFmt w:val="bullet"/>
      <w:lvlText w:val=""/>
      <w:lvlJc w:val="left"/>
      <w:pPr>
        <w:ind w:left="6415" w:hanging="360"/>
      </w:pPr>
      <w:rPr>
        <w:rFonts w:ascii="Wingdings" w:hAnsi="Wingdings" w:hint="default"/>
      </w:rPr>
    </w:lvl>
  </w:abstractNum>
  <w:abstractNum w:abstractNumId="33" w15:restartNumberingAfterBreak="0">
    <w:nsid w:val="7FD1502F"/>
    <w:multiLevelType w:val="hybridMultilevel"/>
    <w:tmpl w:val="E10E7986"/>
    <w:lvl w:ilvl="0" w:tplc="221CE832">
      <w:start w:val="1"/>
      <w:numFmt w:val="bullet"/>
      <w:lvlText w:val=""/>
      <w:lvlJc w:val="left"/>
      <w:pPr>
        <w:ind w:left="360" w:hanging="360"/>
      </w:pPr>
      <w:rPr>
        <w:rFonts w:ascii="Symbol" w:hAnsi="Symbol" w:hint="default"/>
      </w:rPr>
    </w:lvl>
    <w:lvl w:ilvl="1" w:tplc="478C43EC" w:tentative="1">
      <w:start w:val="1"/>
      <w:numFmt w:val="bullet"/>
      <w:lvlText w:val="o"/>
      <w:lvlJc w:val="left"/>
      <w:pPr>
        <w:ind w:left="1080" w:hanging="360"/>
      </w:pPr>
      <w:rPr>
        <w:rFonts w:ascii="Courier New" w:hAnsi="Courier New" w:cs="Courier New" w:hint="default"/>
      </w:rPr>
    </w:lvl>
    <w:lvl w:ilvl="2" w:tplc="3216C842" w:tentative="1">
      <w:start w:val="1"/>
      <w:numFmt w:val="bullet"/>
      <w:lvlText w:val=""/>
      <w:lvlJc w:val="left"/>
      <w:pPr>
        <w:ind w:left="1800" w:hanging="360"/>
      </w:pPr>
      <w:rPr>
        <w:rFonts w:ascii="Wingdings" w:hAnsi="Wingdings" w:hint="default"/>
      </w:rPr>
    </w:lvl>
    <w:lvl w:ilvl="3" w:tplc="10DC4156" w:tentative="1">
      <w:start w:val="1"/>
      <w:numFmt w:val="bullet"/>
      <w:lvlText w:val=""/>
      <w:lvlJc w:val="left"/>
      <w:pPr>
        <w:ind w:left="2520" w:hanging="360"/>
      </w:pPr>
      <w:rPr>
        <w:rFonts w:ascii="Symbol" w:hAnsi="Symbol" w:hint="default"/>
      </w:rPr>
    </w:lvl>
    <w:lvl w:ilvl="4" w:tplc="05E216E8" w:tentative="1">
      <w:start w:val="1"/>
      <w:numFmt w:val="bullet"/>
      <w:lvlText w:val="o"/>
      <w:lvlJc w:val="left"/>
      <w:pPr>
        <w:ind w:left="3240" w:hanging="360"/>
      </w:pPr>
      <w:rPr>
        <w:rFonts w:ascii="Courier New" w:hAnsi="Courier New" w:cs="Courier New" w:hint="default"/>
      </w:rPr>
    </w:lvl>
    <w:lvl w:ilvl="5" w:tplc="32CC06AA" w:tentative="1">
      <w:start w:val="1"/>
      <w:numFmt w:val="bullet"/>
      <w:lvlText w:val=""/>
      <w:lvlJc w:val="left"/>
      <w:pPr>
        <w:ind w:left="3960" w:hanging="360"/>
      </w:pPr>
      <w:rPr>
        <w:rFonts w:ascii="Wingdings" w:hAnsi="Wingdings" w:hint="default"/>
      </w:rPr>
    </w:lvl>
    <w:lvl w:ilvl="6" w:tplc="F8C0699A" w:tentative="1">
      <w:start w:val="1"/>
      <w:numFmt w:val="bullet"/>
      <w:lvlText w:val=""/>
      <w:lvlJc w:val="left"/>
      <w:pPr>
        <w:ind w:left="4680" w:hanging="360"/>
      </w:pPr>
      <w:rPr>
        <w:rFonts w:ascii="Symbol" w:hAnsi="Symbol" w:hint="default"/>
      </w:rPr>
    </w:lvl>
    <w:lvl w:ilvl="7" w:tplc="BB682FB8" w:tentative="1">
      <w:start w:val="1"/>
      <w:numFmt w:val="bullet"/>
      <w:lvlText w:val="o"/>
      <w:lvlJc w:val="left"/>
      <w:pPr>
        <w:ind w:left="5400" w:hanging="360"/>
      </w:pPr>
      <w:rPr>
        <w:rFonts w:ascii="Courier New" w:hAnsi="Courier New" w:cs="Courier New" w:hint="default"/>
      </w:rPr>
    </w:lvl>
    <w:lvl w:ilvl="8" w:tplc="0A76A810" w:tentative="1">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4"/>
  </w:num>
  <w:num w:numId="6">
    <w:abstractNumId w:val="25"/>
  </w:num>
  <w:num w:numId="7">
    <w:abstractNumId w:val="22"/>
  </w:num>
  <w:num w:numId="8">
    <w:abstractNumId w:val="24"/>
  </w:num>
  <w:num w:numId="9">
    <w:abstractNumId w:val="26"/>
  </w:num>
  <w:num w:numId="10">
    <w:abstractNumId w:val="7"/>
  </w:num>
  <w:num w:numId="11">
    <w:abstractNumId w:val="2"/>
    <w:lvlOverride w:ilvl="0">
      <w:startOverride w:val="1"/>
    </w:lvlOverride>
  </w:num>
  <w:num w:numId="12">
    <w:abstractNumId w:val="30"/>
  </w:num>
  <w:num w:numId="13">
    <w:abstractNumId w:val="19"/>
  </w:num>
  <w:num w:numId="14">
    <w:abstractNumId w:val="9"/>
  </w:num>
  <w:num w:numId="15">
    <w:abstractNumId w:val="15"/>
  </w:num>
  <w:num w:numId="16">
    <w:abstractNumId w:val="21"/>
  </w:num>
  <w:num w:numId="17">
    <w:abstractNumId w:val="28"/>
  </w:num>
  <w:num w:numId="18">
    <w:abstractNumId w:val="6"/>
  </w:num>
  <w:num w:numId="19">
    <w:abstractNumId w:val="27"/>
  </w:num>
  <w:num w:numId="20">
    <w:abstractNumId w:val="20"/>
  </w:num>
  <w:num w:numId="21">
    <w:abstractNumId w:val="13"/>
  </w:num>
  <w:num w:numId="22">
    <w:abstractNumId w:val="16"/>
  </w:num>
  <w:num w:numId="23">
    <w:abstractNumId w:val="17"/>
  </w:num>
  <w:num w:numId="24">
    <w:abstractNumId w:val="33"/>
  </w:num>
  <w:num w:numId="25">
    <w:abstractNumId w:val="10"/>
  </w:num>
  <w:num w:numId="26">
    <w:abstractNumId w:val="29"/>
  </w:num>
  <w:num w:numId="27">
    <w:abstractNumId w:val="4"/>
  </w:num>
  <w:num w:numId="28">
    <w:abstractNumId w:val="11"/>
  </w:num>
  <w:num w:numId="29">
    <w:abstractNumId w:val="5"/>
  </w:num>
  <w:num w:numId="30">
    <w:abstractNumId w:val="23"/>
  </w:num>
  <w:num w:numId="31">
    <w:abstractNumId w:val="18"/>
  </w:num>
  <w:num w:numId="32">
    <w:abstractNumId w:val="12"/>
  </w:num>
  <w:num w:numId="33">
    <w:abstractNumId w:val="8"/>
  </w:num>
  <w:num w:numId="34">
    <w:abstractNumId w:val="31"/>
  </w:num>
  <w:num w:numId="35">
    <w:abstractNumId w:val="3"/>
  </w:num>
  <w:num w:numId="36">
    <w:abstractNumId w:val="3"/>
  </w:num>
  <w:num w:numId="37">
    <w:abstractNumId w:val="3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5C8"/>
    <w:rsid w:val="000029A1"/>
    <w:rsid w:val="00002E6A"/>
    <w:rsid w:val="000032ED"/>
    <w:rsid w:val="000041C5"/>
    <w:rsid w:val="00005367"/>
    <w:rsid w:val="0000576A"/>
    <w:rsid w:val="0000704F"/>
    <w:rsid w:val="000071D6"/>
    <w:rsid w:val="00007886"/>
    <w:rsid w:val="00007BFA"/>
    <w:rsid w:val="00010203"/>
    <w:rsid w:val="00010667"/>
    <w:rsid w:val="0001072C"/>
    <w:rsid w:val="00010C84"/>
    <w:rsid w:val="00010F7B"/>
    <w:rsid w:val="00011FFC"/>
    <w:rsid w:val="000129D5"/>
    <w:rsid w:val="00013B22"/>
    <w:rsid w:val="00013C13"/>
    <w:rsid w:val="0001421E"/>
    <w:rsid w:val="00015AE7"/>
    <w:rsid w:val="000162D3"/>
    <w:rsid w:val="00016BBF"/>
    <w:rsid w:val="00016E21"/>
    <w:rsid w:val="00016F7D"/>
    <w:rsid w:val="0001719C"/>
    <w:rsid w:val="000172CC"/>
    <w:rsid w:val="000204C9"/>
    <w:rsid w:val="0002224E"/>
    <w:rsid w:val="00022774"/>
    <w:rsid w:val="00023CAB"/>
    <w:rsid w:val="000245E5"/>
    <w:rsid w:val="00024961"/>
    <w:rsid w:val="00025DDC"/>
    <w:rsid w:val="00026F91"/>
    <w:rsid w:val="00027112"/>
    <w:rsid w:val="00027E16"/>
    <w:rsid w:val="00027E8A"/>
    <w:rsid w:val="00030BEE"/>
    <w:rsid w:val="00030E4C"/>
    <w:rsid w:val="0003149F"/>
    <w:rsid w:val="0003380D"/>
    <w:rsid w:val="00033E8E"/>
    <w:rsid w:val="000343EE"/>
    <w:rsid w:val="00034A7C"/>
    <w:rsid w:val="000351B2"/>
    <w:rsid w:val="00035DF2"/>
    <w:rsid w:val="000361C6"/>
    <w:rsid w:val="000368E8"/>
    <w:rsid w:val="000374A0"/>
    <w:rsid w:val="00041DAF"/>
    <w:rsid w:val="0004345B"/>
    <w:rsid w:val="000464B2"/>
    <w:rsid w:val="000466E8"/>
    <w:rsid w:val="0004764C"/>
    <w:rsid w:val="00047F97"/>
    <w:rsid w:val="0005011A"/>
    <w:rsid w:val="0005045A"/>
    <w:rsid w:val="00050B91"/>
    <w:rsid w:val="00051C1E"/>
    <w:rsid w:val="0005266B"/>
    <w:rsid w:val="000539F9"/>
    <w:rsid w:val="00054C27"/>
    <w:rsid w:val="00054D9C"/>
    <w:rsid w:val="000558E5"/>
    <w:rsid w:val="00055EC3"/>
    <w:rsid w:val="000563CE"/>
    <w:rsid w:val="000623CB"/>
    <w:rsid w:val="0006290C"/>
    <w:rsid w:val="00062BD0"/>
    <w:rsid w:val="0006404A"/>
    <w:rsid w:val="000659B6"/>
    <w:rsid w:val="00065D96"/>
    <w:rsid w:val="0006686F"/>
    <w:rsid w:val="000669F9"/>
    <w:rsid w:val="0006722A"/>
    <w:rsid w:val="000675B9"/>
    <w:rsid w:val="00067CB8"/>
    <w:rsid w:val="00071AB1"/>
    <w:rsid w:val="00071C71"/>
    <w:rsid w:val="000729F4"/>
    <w:rsid w:val="00072BD5"/>
    <w:rsid w:val="000732CF"/>
    <w:rsid w:val="0007351B"/>
    <w:rsid w:val="000739C9"/>
    <w:rsid w:val="000740EF"/>
    <w:rsid w:val="00074621"/>
    <w:rsid w:val="000751FD"/>
    <w:rsid w:val="00075707"/>
    <w:rsid w:val="00075AD2"/>
    <w:rsid w:val="00075B96"/>
    <w:rsid w:val="00080486"/>
    <w:rsid w:val="00080939"/>
    <w:rsid w:val="0008196A"/>
    <w:rsid w:val="00082ADD"/>
    <w:rsid w:val="00082C39"/>
    <w:rsid w:val="00082FC0"/>
    <w:rsid w:val="00083DBF"/>
    <w:rsid w:val="000846C3"/>
    <w:rsid w:val="000864FD"/>
    <w:rsid w:val="00086FA0"/>
    <w:rsid w:val="00087970"/>
    <w:rsid w:val="000915ED"/>
    <w:rsid w:val="0009209D"/>
    <w:rsid w:val="000933CC"/>
    <w:rsid w:val="0009435B"/>
    <w:rsid w:val="0009463C"/>
    <w:rsid w:val="00094EE8"/>
    <w:rsid w:val="00095EDD"/>
    <w:rsid w:val="0009628E"/>
    <w:rsid w:val="000962E9"/>
    <w:rsid w:val="000963AE"/>
    <w:rsid w:val="000969BD"/>
    <w:rsid w:val="000969BF"/>
    <w:rsid w:val="000A0C22"/>
    <w:rsid w:val="000A132F"/>
    <w:rsid w:val="000A1400"/>
    <w:rsid w:val="000A30E4"/>
    <w:rsid w:val="000A37B4"/>
    <w:rsid w:val="000A3C43"/>
    <w:rsid w:val="000A3D9F"/>
    <w:rsid w:val="000A4A51"/>
    <w:rsid w:val="000A524D"/>
    <w:rsid w:val="000A5678"/>
    <w:rsid w:val="000A5D2B"/>
    <w:rsid w:val="000A69DD"/>
    <w:rsid w:val="000A7DF2"/>
    <w:rsid w:val="000B0016"/>
    <w:rsid w:val="000B0634"/>
    <w:rsid w:val="000B11A8"/>
    <w:rsid w:val="000B185A"/>
    <w:rsid w:val="000B3957"/>
    <w:rsid w:val="000B40DF"/>
    <w:rsid w:val="000B4222"/>
    <w:rsid w:val="000B4664"/>
    <w:rsid w:val="000B5591"/>
    <w:rsid w:val="000B5874"/>
    <w:rsid w:val="000B5DE3"/>
    <w:rsid w:val="000C0A57"/>
    <w:rsid w:val="000C230C"/>
    <w:rsid w:val="000C2D5C"/>
    <w:rsid w:val="000C326A"/>
    <w:rsid w:val="000C3F90"/>
    <w:rsid w:val="000C5319"/>
    <w:rsid w:val="000C639F"/>
    <w:rsid w:val="000C6A9A"/>
    <w:rsid w:val="000C6AB4"/>
    <w:rsid w:val="000C7E7B"/>
    <w:rsid w:val="000C7FB8"/>
    <w:rsid w:val="000D0398"/>
    <w:rsid w:val="000D0AEC"/>
    <w:rsid w:val="000D16FD"/>
    <w:rsid w:val="000D5F32"/>
    <w:rsid w:val="000D65CC"/>
    <w:rsid w:val="000D6762"/>
    <w:rsid w:val="000D71D9"/>
    <w:rsid w:val="000D76E0"/>
    <w:rsid w:val="000D7E8B"/>
    <w:rsid w:val="000E045E"/>
    <w:rsid w:val="000E0663"/>
    <w:rsid w:val="000E16D2"/>
    <w:rsid w:val="000E4449"/>
    <w:rsid w:val="000E4E17"/>
    <w:rsid w:val="000E6097"/>
    <w:rsid w:val="000E65DF"/>
    <w:rsid w:val="000F232E"/>
    <w:rsid w:val="000F311C"/>
    <w:rsid w:val="000F38C6"/>
    <w:rsid w:val="000F4516"/>
    <w:rsid w:val="000F45C1"/>
    <w:rsid w:val="000F4DF0"/>
    <w:rsid w:val="000F4F13"/>
    <w:rsid w:val="000F667A"/>
    <w:rsid w:val="000F6F74"/>
    <w:rsid w:val="000F7075"/>
    <w:rsid w:val="00103829"/>
    <w:rsid w:val="00104424"/>
    <w:rsid w:val="0010495C"/>
    <w:rsid w:val="0010537A"/>
    <w:rsid w:val="00105531"/>
    <w:rsid w:val="00105EDC"/>
    <w:rsid w:val="001102D3"/>
    <w:rsid w:val="0011079C"/>
    <w:rsid w:val="00111FCE"/>
    <w:rsid w:val="001121D4"/>
    <w:rsid w:val="001126C3"/>
    <w:rsid w:val="001131EA"/>
    <w:rsid w:val="0011563B"/>
    <w:rsid w:val="00121838"/>
    <w:rsid w:val="00122228"/>
    <w:rsid w:val="001229A5"/>
    <w:rsid w:val="00122EE9"/>
    <w:rsid w:val="0012489B"/>
    <w:rsid w:val="0012557B"/>
    <w:rsid w:val="001270FD"/>
    <w:rsid w:val="00127CE7"/>
    <w:rsid w:val="00130017"/>
    <w:rsid w:val="00130C55"/>
    <w:rsid w:val="00130CC9"/>
    <w:rsid w:val="00130F91"/>
    <w:rsid w:val="00130FC5"/>
    <w:rsid w:val="00133866"/>
    <w:rsid w:val="00134816"/>
    <w:rsid w:val="001349ED"/>
    <w:rsid w:val="001356A6"/>
    <w:rsid w:val="001366E9"/>
    <w:rsid w:val="00136EFA"/>
    <w:rsid w:val="00137424"/>
    <w:rsid w:val="00140318"/>
    <w:rsid w:val="00140670"/>
    <w:rsid w:val="00141AD9"/>
    <w:rsid w:val="00141E5B"/>
    <w:rsid w:val="00142186"/>
    <w:rsid w:val="00142D74"/>
    <w:rsid w:val="00143557"/>
    <w:rsid w:val="00143B2C"/>
    <w:rsid w:val="00144382"/>
    <w:rsid w:val="00144732"/>
    <w:rsid w:val="00145CD1"/>
    <w:rsid w:val="0014605F"/>
    <w:rsid w:val="00146745"/>
    <w:rsid w:val="00146CE6"/>
    <w:rsid w:val="00147122"/>
    <w:rsid w:val="001472FE"/>
    <w:rsid w:val="00150EF8"/>
    <w:rsid w:val="00151742"/>
    <w:rsid w:val="00152903"/>
    <w:rsid w:val="00152BB0"/>
    <w:rsid w:val="00153107"/>
    <w:rsid w:val="00153601"/>
    <w:rsid w:val="00153FD5"/>
    <w:rsid w:val="00154A81"/>
    <w:rsid w:val="00154F3B"/>
    <w:rsid w:val="0015577E"/>
    <w:rsid w:val="0015614F"/>
    <w:rsid w:val="001577C2"/>
    <w:rsid w:val="00161258"/>
    <w:rsid w:val="00161F5F"/>
    <w:rsid w:val="00162280"/>
    <w:rsid w:val="001633C4"/>
    <w:rsid w:val="00163468"/>
    <w:rsid w:val="001677F1"/>
    <w:rsid w:val="00167CED"/>
    <w:rsid w:val="00170482"/>
    <w:rsid w:val="001704D5"/>
    <w:rsid w:val="001705F1"/>
    <w:rsid w:val="00171591"/>
    <w:rsid w:val="00172603"/>
    <w:rsid w:val="00172ED5"/>
    <w:rsid w:val="00173908"/>
    <w:rsid w:val="00173981"/>
    <w:rsid w:val="001750EE"/>
    <w:rsid w:val="001763DB"/>
    <w:rsid w:val="0017719D"/>
    <w:rsid w:val="001801F1"/>
    <w:rsid w:val="00180D77"/>
    <w:rsid w:val="001810A9"/>
    <w:rsid w:val="001823A9"/>
    <w:rsid w:val="001826A5"/>
    <w:rsid w:val="001839EA"/>
    <w:rsid w:val="00183FD7"/>
    <w:rsid w:val="00185CAB"/>
    <w:rsid w:val="00186B4D"/>
    <w:rsid w:val="001875B7"/>
    <w:rsid w:val="00187CB3"/>
    <w:rsid w:val="00187D52"/>
    <w:rsid w:val="00187DBC"/>
    <w:rsid w:val="00187ED3"/>
    <w:rsid w:val="0019050A"/>
    <w:rsid w:val="001910D4"/>
    <w:rsid w:val="00191D19"/>
    <w:rsid w:val="00192DB9"/>
    <w:rsid w:val="001932F6"/>
    <w:rsid w:val="001933EB"/>
    <w:rsid w:val="0019433A"/>
    <w:rsid w:val="0019492C"/>
    <w:rsid w:val="00195AA5"/>
    <w:rsid w:val="00195BAA"/>
    <w:rsid w:val="00195CB2"/>
    <w:rsid w:val="00195D8B"/>
    <w:rsid w:val="0019661B"/>
    <w:rsid w:val="00196AE3"/>
    <w:rsid w:val="001976E3"/>
    <w:rsid w:val="00197820"/>
    <w:rsid w:val="001A0A55"/>
    <w:rsid w:val="001A1CB1"/>
    <w:rsid w:val="001A2B70"/>
    <w:rsid w:val="001A3ADA"/>
    <w:rsid w:val="001A3C18"/>
    <w:rsid w:val="001A43EA"/>
    <w:rsid w:val="001A4427"/>
    <w:rsid w:val="001A44EC"/>
    <w:rsid w:val="001A5364"/>
    <w:rsid w:val="001A5B28"/>
    <w:rsid w:val="001A6AD9"/>
    <w:rsid w:val="001A71D8"/>
    <w:rsid w:val="001A7A81"/>
    <w:rsid w:val="001B0C7A"/>
    <w:rsid w:val="001B0D17"/>
    <w:rsid w:val="001B2281"/>
    <w:rsid w:val="001B28D9"/>
    <w:rsid w:val="001B2D80"/>
    <w:rsid w:val="001B323B"/>
    <w:rsid w:val="001B36A4"/>
    <w:rsid w:val="001B41F5"/>
    <w:rsid w:val="001B4248"/>
    <w:rsid w:val="001B5110"/>
    <w:rsid w:val="001B58AA"/>
    <w:rsid w:val="001B7E48"/>
    <w:rsid w:val="001C0855"/>
    <w:rsid w:val="001C1386"/>
    <w:rsid w:val="001C17CE"/>
    <w:rsid w:val="001C36CA"/>
    <w:rsid w:val="001C4138"/>
    <w:rsid w:val="001C44D1"/>
    <w:rsid w:val="001C508F"/>
    <w:rsid w:val="001C65EB"/>
    <w:rsid w:val="001C6AD9"/>
    <w:rsid w:val="001C6AEE"/>
    <w:rsid w:val="001C6FD6"/>
    <w:rsid w:val="001C7630"/>
    <w:rsid w:val="001C7E5A"/>
    <w:rsid w:val="001D0C64"/>
    <w:rsid w:val="001D0E1D"/>
    <w:rsid w:val="001D324F"/>
    <w:rsid w:val="001D34BB"/>
    <w:rsid w:val="001D36D5"/>
    <w:rsid w:val="001D602C"/>
    <w:rsid w:val="001D6D15"/>
    <w:rsid w:val="001D6D17"/>
    <w:rsid w:val="001D76E5"/>
    <w:rsid w:val="001E0801"/>
    <w:rsid w:val="001E120C"/>
    <w:rsid w:val="001E45C5"/>
    <w:rsid w:val="001F13BF"/>
    <w:rsid w:val="001F14B6"/>
    <w:rsid w:val="001F3065"/>
    <w:rsid w:val="001F3123"/>
    <w:rsid w:val="001F5111"/>
    <w:rsid w:val="001F5A92"/>
    <w:rsid w:val="001F6388"/>
    <w:rsid w:val="001F7094"/>
    <w:rsid w:val="001F7558"/>
    <w:rsid w:val="002003E5"/>
    <w:rsid w:val="00200576"/>
    <w:rsid w:val="00200A07"/>
    <w:rsid w:val="00202792"/>
    <w:rsid w:val="0020356D"/>
    <w:rsid w:val="002050E8"/>
    <w:rsid w:val="00205728"/>
    <w:rsid w:val="00205AC5"/>
    <w:rsid w:val="00205B57"/>
    <w:rsid w:val="00205E1E"/>
    <w:rsid w:val="0020757C"/>
    <w:rsid w:val="00212001"/>
    <w:rsid w:val="002141BD"/>
    <w:rsid w:val="00214AC6"/>
    <w:rsid w:val="00214E03"/>
    <w:rsid w:val="002154C1"/>
    <w:rsid w:val="002155CA"/>
    <w:rsid w:val="002157E0"/>
    <w:rsid w:val="00215925"/>
    <w:rsid w:val="00215A0E"/>
    <w:rsid w:val="00215B76"/>
    <w:rsid w:val="00216A57"/>
    <w:rsid w:val="00217448"/>
    <w:rsid w:val="002176A9"/>
    <w:rsid w:val="0022058F"/>
    <w:rsid w:val="0022090E"/>
    <w:rsid w:val="00222152"/>
    <w:rsid w:val="002229F6"/>
    <w:rsid w:val="0022334F"/>
    <w:rsid w:val="00223F19"/>
    <w:rsid w:val="00225A50"/>
    <w:rsid w:val="00225AD9"/>
    <w:rsid w:val="00226819"/>
    <w:rsid w:val="00227710"/>
    <w:rsid w:val="00227F7F"/>
    <w:rsid w:val="00227FF8"/>
    <w:rsid w:val="00232C02"/>
    <w:rsid w:val="00232C70"/>
    <w:rsid w:val="00232D25"/>
    <w:rsid w:val="00233101"/>
    <w:rsid w:val="00233817"/>
    <w:rsid w:val="00233B45"/>
    <w:rsid w:val="00233C7A"/>
    <w:rsid w:val="0023414E"/>
    <w:rsid w:val="002348AB"/>
    <w:rsid w:val="002365E3"/>
    <w:rsid w:val="002367FF"/>
    <w:rsid w:val="0023684B"/>
    <w:rsid w:val="00236A7D"/>
    <w:rsid w:val="00236FD2"/>
    <w:rsid w:val="002373C7"/>
    <w:rsid w:val="002379A3"/>
    <w:rsid w:val="00237BFD"/>
    <w:rsid w:val="0024016E"/>
    <w:rsid w:val="00240CE9"/>
    <w:rsid w:val="0024115C"/>
    <w:rsid w:val="0024272F"/>
    <w:rsid w:val="00242C15"/>
    <w:rsid w:val="002434BA"/>
    <w:rsid w:val="00243C79"/>
    <w:rsid w:val="0024407C"/>
    <w:rsid w:val="00244A56"/>
    <w:rsid w:val="00244C9A"/>
    <w:rsid w:val="00246089"/>
    <w:rsid w:val="00246093"/>
    <w:rsid w:val="00246702"/>
    <w:rsid w:val="002467FE"/>
    <w:rsid w:val="0024761B"/>
    <w:rsid w:val="00247C59"/>
    <w:rsid w:val="00247F2E"/>
    <w:rsid w:val="00250ADC"/>
    <w:rsid w:val="00250B07"/>
    <w:rsid w:val="00251F1B"/>
    <w:rsid w:val="00254870"/>
    <w:rsid w:val="00254877"/>
    <w:rsid w:val="002548CB"/>
    <w:rsid w:val="00256D65"/>
    <w:rsid w:val="00257553"/>
    <w:rsid w:val="00260FB2"/>
    <w:rsid w:val="00262128"/>
    <w:rsid w:val="002627A8"/>
    <w:rsid w:val="002648BD"/>
    <w:rsid w:val="00266E1F"/>
    <w:rsid w:val="002679E6"/>
    <w:rsid w:val="002700BD"/>
    <w:rsid w:val="00271416"/>
    <w:rsid w:val="0027165D"/>
    <w:rsid w:val="0027196E"/>
    <w:rsid w:val="002726B6"/>
    <w:rsid w:val="00272970"/>
    <w:rsid w:val="0027314B"/>
    <w:rsid w:val="00273BB3"/>
    <w:rsid w:val="00273CEB"/>
    <w:rsid w:val="002743DC"/>
    <w:rsid w:val="00274AF9"/>
    <w:rsid w:val="00274C7B"/>
    <w:rsid w:val="00274DA3"/>
    <w:rsid w:val="002774D7"/>
    <w:rsid w:val="0027790B"/>
    <w:rsid w:val="002804EA"/>
    <w:rsid w:val="00280CC9"/>
    <w:rsid w:val="0028164F"/>
    <w:rsid w:val="00281C89"/>
    <w:rsid w:val="002820AC"/>
    <w:rsid w:val="002826B1"/>
    <w:rsid w:val="0028282F"/>
    <w:rsid w:val="00282C50"/>
    <w:rsid w:val="00283700"/>
    <w:rsid w:val="00283A3B"/>
    <w:rsid w:val="002845AC"/>
    <w:rsid w:val="00284667"/>
    <w:rsid w:val="00284FAB"/>
    <w:rsid w:val="00285C28"/>
    <w:rsid w:val="00290D0C"/>
    <w:rsid w:val="002941D0"/>
    <w:rsid w:val="00295712"/>
    <w:rsid w:val="0029593B"/>
    <w:rsid w:val="0029773B"/>
    <w:rsid w:val="00297FC5"/>
    <w:rsid w:val="002A0209"/>
    <w:rsid w:val="002A0296"/>
    <w:rsid w:val="002A0417"/>
    <w:rsid w:val="002A16D8"/>
    <w:rsid w:val="002A1BC8"/>
    <w:rsid w:val="002A2217"/>
    <w:rsid w:val="002A3EF2"/>
    <w:rsid w:val="002A4251"/>
    <w:rsid w:val="002A4ECA"/>
    <w:rsid w:val="002A547B"/>
    <w:rsid w:val="002A64AB"/>
    <w:rsid w:val="002B0DED"/>
    <w:rsid w:val="002B19A2"/>
    <w:rsid w:val="002B2EB6"/>
    <w:rsid w:val="002B33F7"/>
    <w:rsid w:val="002B350A"/>
    <w:rsid w:val="002B381A"/>
    <w:rsid w:val="002B4307"/>
    <w:rsid w:val="002B4FCC"/>
    <w:rsid w:val="002B6E3C"/>
    <w:rsid w:val="002B714D"/>
    <w:rsid w:val="002B727E"/>
    <w:rsid w:val="002B7408"/>
    <w:rsid w:val="002B7CFD"/>
    <w:rsid w:val="002C103D"/>
    <w:rsid w:val="002C1EB2"/>
    <w:rsid w:val="002C210F"/>
    <w:rsid w:val="002C3460"/>
    <w:rsid w:val="002C36A8"/>
    <w:rsid w:val="002C6308"/>
    <w:rsid w:val="002D099E"/>
    <w:rsid w:val="002D09BC"/>
    <w:rsid w:val="002D148B"/>
    <w:rsid w:val="002D1E29"/>
    <w:rsid w:val="002D3600"/>
    <w:rsid w:val="002D3B21"/>
    <w:rsid w:val="002D3B42"/>
    <w:rsid w:val="002D513B"/>
    <w:rsid w:val="002D5A3B"/>
    <w:rsid w:val="002D5E1D"/>
    <w:rsid w:val="002E0984"/>
    <w:rsid w:val="002E386A"/>
    <w:rsid w:val="002E399D"/>
    <w:rsid w:val="002E4DDC"/>
    <w:rsid w:val="002E505F"/>
    <w:rsid w:val="002F00DE"/>
    <w:rsid w:val="002F012C"/>
    <w:rsid w:val="002F1129"/>
    <w:rsid w:val="002F1F02"/>
    <w:rsid w:val="002F4CAF"/>
    <w:rsid w:val="002F5D45"/>
    <w:rsid w:val="003008B4"/>
    <w:rsid w:val="00301393"/>
    <w:rsid w:val="00301409"/>
    <w:rsid w:val="00301708"/>
    <w:rsid w:val="00301C0B"/>
    <w:rsid w:val="003021E1"/>
    <w:rsid w:val="00302480"/>
    <w:rsid w:val="00302758"/>
    <w:rsid w:val="00302B0A"/>
    <w:rsid w:val="0030300E"/>
    <w:rsid w:val="00303EB0"/>
    <w:rsid w:val="0030612C"/>
    <w:rsid w:val="003063AE"/>
    <w:rsid w:val="00306534"/>
    <w:rsid w:val="0031006F"/>
    <w:rsid w:val="00310C75"/>
    <w:rsid w:val="0031106D"/>
    <w:rsid w:val="0031211B"/>
    <w:rsid w:val="00312376"/>
    <w:rsid w:val="00312831"/>
    <w:rsid w:val="00312D46"/>
    <w:rsid w:val="00313042"/>
    <w:rsid w:val="0031333E"/>
    <w:rsid w:val="00313F7A"/>
    <w:rsid w:val="003141C3"/>
    <w:rsid w:val="00314208"/>
    <w:rsid w:val="003145A6"/>
    <w:rsid w:val="00315E52"/>
    <w:rsid w:val="003165E6"/>
    <w:rsid w:val="00316786"/>
    <w:rsid w:val="003171B4"/>
    <w:rsid w:val="00317458"/>
    <w:rsid w:val="00317A0C"/>
    <w:rsid w:val="00317CEC"/>
    <w:rsid w:val="0032001D"/>
    <w:rsid w:val="00320979"/>
    <w:rsid w:val="003215B5"/>
    <w:rsid w:val="00321ED0"/>
    <w:rsid w:val="003221CF"/>
    <w:rsid w:val="00322B21"/>
    <w:rsid w:val="00322D55"/>
    <w:rsid w:val="003233ED"/>
    <w:rsid w:val="00323DD9"/>
    <w:rsid w:val="00324D9F"/>
    <w:rsid w:val="00325B59"/>
    <w:rsid w:val="00325C26"/>
    <w:rsid w:val="003264AF"/>
    <w:rsid w:val="003268D6"/>
    <w:rsid w:val="00326A43"/>
    <w:rsid w:val="00327948"/>
    <w:rsid w:val="0033000F"/>
    <w:rsid w:val="00331306"/>
    <w:rsid w:val="00331344"/>
    <w:rsid w:val="003313FF"/>
    <w:rsid w:val="00331C0F"/>
    <w:rsid w:val="00332011"/>
    <w:rsid w:val="00332518"/>
    <w:rsid w:val="00332925"/>
    <w:rsid w:val="003332ED"/>
    <w:rsid w:val="003347EE"/>
    <w:rsid w:val="00335A64"/>
    <w:rsid w:val="003368DC"/>
    <w:rsid w:val="00337F4E"/>
    <w:rsid w:val="00340042"/>
    <w:rsid w:val="00340EEC"/>
    <w:rsid w:val="003411EA"/>
    <w:rsid w:val="00341E83"/>
    <w:rsid w:val="003422E9"/>
    <w:rsid w:val="0034313A"/>
    <w:rsid w:val="003435FE"/>
    <w:rsid w:val="00343DF5"/>
    <w:rsid w:val="00343F94"/>
    <w:rsid w:val="0034575C"/>
    <w:rsid w:val="00345927"/>
    <w:rsid w:val="00347594"/>
    <w:rsid w:val="00350031"/>
    <w:rsid w:val="00350584"/>
    <w:rsid w:val="00350F00"/>
    <w:rsid w:val="00351857"/>
    <w:rsid w:val="00351B98"/>
    <w:rsid w:val="00353347"/>
    <w:rsid w:val="0035453E"/>
    <w:rsid w:val="003545E8"/>
    <w:rsid w:val="0035526B"/>
    <w:rsid w:val="00355C5F"/>
    <w:rsid w:val="0035766F"/>
    <w:rsid w:val="00357678"/>
    <w:rsid w:val="00360548"/>
    <w:rsid w:val="003610E1"/>
    <w:rsid w:val="0036143C"/>
    <w:rsid w:val="00362C4F"/>
    <w:rsid w:val="0036374E"/>
    <w:rsid w:val="0036379F"/>
    <w:rsid w:val="00363E94"/>
    <w:rsid w:val="0036429E"/>
    <w:rsid w:val="00364398"/>
    <w:rsid w:val="00366248"/>
    <w:rsid w:val="003671BE"/>
    <w:rsid w:val="003674BC"/>
    <w:rsid w:val="0037176A"/>
    <w:rsid w:val="00372485"/>
    <w:rsid w:val="00373200"/>
    <w:rsid w:val="003734FA"/>
    <w:rsid w:val="00373F12"/>
    <w:rsid w:val="00374179"/>
    <w:rsid w:val="003756EE"/>
    <w:rsid w:val="00375B25"/>
    <w:rsid w:val="00375C8F"/>
    <w:rsid w:val="00375EF5"/>
    <w:rsid w:val="003767A5"/>
    <w:rsid w:val="00376F40"/>
    <w:rsid w:val="00377EEB"/>
    <w:rsid w:val="00381D15"/>
    <w:rsid w:val="0038282A"/>
    <w:rsid w:val="00383B7F"/>
    <w:rsid w:val="00383E35"/>
    <w:rsid w:val="00384329"/>
    <w:rsid w:val="00385254"/>
    <w:rsid w:val="003855EA"/>
    <w:rsid w:val="00385DF3"/>
    <w:rsid w:val="0038616C"/>
    <w:rsid w:val="003861CC"/>
    <w:rsid w:val="00386F3F"/>
    <w:rsid w:val="003875AB"/>
    <w:rsid w:val="00387C0F"/>
    <w:rsid w:val="00387F9F"/>
    <w:rsid w:val="00390B25"/>
    <w:rsid w:val="00390D5E"/>
    <w:rsid w:val="003928D7"/>
    <w:rsid w:val="003932D9"/>
    <w:rsid w:val="00394953"/>
    <w:rsid w:val="00395F28"/>
    <w:rsid w:val="00396E05"/>
    <w:rsid w:val="00397628"/>
    <w:rsid w:val="00397E48"/>
    <w:rsid w:val="003A04DB"/>
    <w:rsid w:val="003A04DD"/>
    <w:rsid w:val="003A0643"/>
    <w:rsid w:val="003A091E"/>
    <w:rsid w:val="003A152D"/>
    <w:rsid w:val="003A2324"/>
    <w:rsid w:val="003A2B3C"/>
    <w:rsid w:val="003A2FA2"/>
    <w:rsid w:val="003A3A44"/>
    <w:rsid w:val="003A3B33"/>
    <w:rsid w:val="003A4134"/>
    <w:rsid w:val="003A5333"/>
    <w:rsid w:val="003A58B0"/>
    <w:rsid w:val="003A5F5B"/>
    <w:rsid w:val="003A7591"/>
    <w:rsid w:val="003A789A"/>
    <w:rsid w:val="003B06F0"/>
    <w:rsid w:val="003B12EC"/>
    <w:rsid w:val="003B149E"/>
    <w:rsid w:val="003B273C"/>
    <w:rsid w:val="003B29C2"/>
    <w:rsid w:val="003B2D0A"/>
    <w:rsid w:val="003B337F"/>
    <w:rsid w:val="003B4547"/>
    <w:rsid w:val="003B4DF6"/>
    <w:rsid w:val="003B5F11"/>
    <w:rsid w:val="003B6FB8"/>
    <w:rsid w:val="003B75FE"/>
    <w:rsid w:val="003B761D"/>
    <w:rsid w:val="003C0577"/>
    <w:rsid w:val="003C21CE"/>
    <w:rsid w:val="003C350A"/>
    <w:rsid w:val="003C4590"/>
    <w:rsid w:val="003C4E18"/>
    <w:rsid w:val="003C551A"/>
    <w:rsid w:val="003C64A0"/>
    <w:rsid w:val="003C7471"/>
    <w:rsid w:val="003C77E0"/>
    <w:rsid w:val="003D1004"/>
    <w:rsid w:val="003D17D7"/>
    <w:rsid w:val="003D1DF6"/>
    <w:rsid w:val="003D2678"/>
    <w:rsid w:val="003D3270"/>
    <w:rsid w:val="003D3894"/>
    <w:rsid w:val="003D39DD"/>
    <w:rsid w:val="003D3CA7"/>
    <w:rsid w:val="003D3ED4"/>
    <w:rsid w:val="003D42F5"/>
    <w:rsid w:val="003D4464"/>
    <w:rsid w:val="003D71A3"/>
    <w:rsid w:val="003D7616"/>
    <w:rsid w:val="003D77C8"/>
    <w:rsid w:val="003E0C5D"/>
    <w:rsid w:val="003E14E0"/>
    <w:rsid w:val="003E16B5"/>
    <w:rsid w:val="003E1E5A"/>
    <w:rsid w:val="003E1E8E"/>
    <w:rsid w:val="003E22D7"/>
    <w:rsid w:val="003E2B8A"/>
    <w:rsid w:val="003E2C60"/>
    <w:rsid w:val="003E3883"/>
    <w:rsid w:val="003E3B2B"/>
    <w:rsid w:val="003E4AFD"/>
    <w:rsid w:val="003E572C"/>
    <w:rsid w:val="003E5805"/>
    <w:rsid w:val="003E5DEC"/>
    <w:rsid w:val="003E5E7E"/>
    <w:rsid w:val="003E65B3"/>
    <w:rsid w:val="003E7364"/>
    <w:rsid w:val="003F0DFF"/>
    <w:rsid w:val="003F10EE"/>
    <w:rsid w:val="003F16F6"/>
    <w:rsid w:val="003F1B29"/>
    <w:rsid w:val="003F23B1"/>
    <w:rsid w:val="003F3235"/>
    <w:rsid w:val="003F4DC7"/>
    <w:rsid w:val="003F5235"/>
    <w:rsid w:val="003F6DC6"/>
    <w:rsid w:val="00400C04"/>
    <w:rsid w:val="00400F89"/>
    <w:rsid w:val="0040140A"/>
    <w:rsid w:val="00401485"/>
    <w:rsid w:val="00402019"/>
    <w:rsid w:val="0040252D"/>
    <w:rsid w:val="004027E4"/>
    <w:rsid w:val="00403A66"/>
    <w:rsid w:val="004065C8"/>
    <w:rsid w:val="00406644"/>
    <w:rsid w:val="00406FA5"/>
    <w:rsid w:val="004100C4"/>
    <w:rsid w:val="004103B2"/>
    <w:rsid w:val="0041071D"/>
    <w:rsid w:val="00410F6F"/>
    <w:rsid w:val="00413061"/>
    <w:rsid w:val="004149BF"/>
    <w:rsid w:val="00414AFC"/>
    <w:rsid w:val="004151A7"/>
    <w:rsid w:val="00415310"/>
    <w:rsid w:val="004157F1"/>
    <w:rsid w:val="00415BE1"/>
    <w:rsid w:val="004164C4"/>
    <w:rsid w:val="00416970"/>
    <w:rsid w:val="00421709"/>
    <w:rsid w:val="00421815"/>
    <w:rsid w:val="00422E51"/>
    <w:rsid w:val="00423763"/>
    <w:rsid w:val="00424402"/>
    <w:rsid w:val="00424567"/>
    <w:rsid w:val="004254F9"/>
    <w:rsid w:val="0042762F"/>
    <w:rsid w:val="00427916"/>
    <w:rsid w:val="00427A4A"/>
    <w:rsid w:val="00427DC7"/>
    <w:rsid w:val="00430E13"/>
    <w:rsid w:val="004311CE"/>
    <w:rsid w:val="00431613"/>
    <w:rsid w:val="00431792"/>
    <w:rsid w:val="00431E99"/>
    <w:rsid w:val="0043246B"/>
    <w:rsid w:val="0043297A"/>
    <w:rsid w:val="00432EB2"/>
    <w:rsid w:val="004331F4"/>
    <w:rsid w:val="00433FDE"/>
    <w:rsid w:val="0043451C"/>
    <w:rsid w:val="00434D78"/>
    <w:rsid w:val="004357F3"/>
    <w:rsid w:val="004366BE"/>
    <w:rsid w:val="004368D7"/>
    <w:rsid w:val="00436F7B"/>
    <w:rsid w:val="0043714F"/>
    <w:rsid w:val="00440909"/>
    <w:rsid w:val="0044149C"/>
    <w:rsid w:val="004417EB"/>
    <w:rsid w:val="00442196"/>
    <w:rsid w:val="00442712"/>
    <w:rsid w:val="00442C87"/>
    <w:rsid w:val="004438B5"/>
    <w:rsid w:val="004463A0"/>
    <w:rsid w:val="00447037"/>
    <w:rsid w:val="004476A4"/>
    <w:rsid w:val="004477DF"/>
    <w:rsid w:val="00450AF1"/>
    <w:rsid w:val="00450EDC"/>
    <w:rsid w:val="0045124D"/>
    <w:rsid w:val="00451D19"/>
    <w:rsid w:val="00452C6D"/>
    <w:rsid w:val="004542B4"/>
    <w:rsid w:val="00454596"/>
    <w:rsid w:val="0045605D"/>
    <w:rsid w:val="00456299"/>
    <w:rsid w:val="004569FB"/>
    <w:rsid w:val="00457D6C"/>
    <w:rsid w:val="00460021"/>
    <w:rsid w:val="00460432"/>
    <w:rsid w:val="0046122F"/>
    <w:rsid w:val="0046135B"/>
    <w:rsid w:val="00461D47"/>
    <w:rsid w:val="00462587"/>
    <w:rsid w:val="00462CF1"/>
    <w:rsid w:val="0046346D"/>
    <w:rsid w:val="0046384B"/>
    <w:rsid w:val="004645E8"/>
    <w:rsid w:val="004649B9"/>
    <w:rsid w:val="004669D2"/>
    <w:rsid w:val="00466F3B"/>
    <w:rsid w:val="00467749"/>
    <w:rsid w:val="004712BC"/>
    <w:rsid w:val="004718CC"/>
    <w:rsid w:val="00471B4B"/>
    <w:rsid w:val="00472395"/>
    <w:rsid w:val="00472814"/>
    <w:rsid w:val="00472B78"/>
    <w:rsid w:val="0047304E"/>
    <w:rsid w:val="004732B5"/>
    <w:rsid w:val="00473C73"/>
    <w:rsid w:val="0047406F"/>
    <w:rsid w:val="00474467"/>
    <w:rsid w:val="004749DF"/>
    <w:rsid w:val="00476A1A"/>
    <w:rsid w:val="0047713C"/>
    <w:rsid w:val="0047724E"/>
    <w:rsid w:val="00477DC4"/>
    <w:rsid w:val="004802B7"/>
    <w:rsid w:val="004803BE"/>
    <w:rsid w:val="00481695"/>
    <w:rsid w:val="004819FB"/>
    <w:rsid w:val="00481B51"/>
    <w:rsid w:val="004824F1"/>
    <w:rsid w:val="00483144"/>
    <w:rsid w:val="00483D3C"/>
    <w:rsid w:val="00484180"/>
    <w:rsid w:val="00485F3B"/>
    <w:rsid w:val="00486AB6"/>
    <w:rsid w:val="004878F9"/>
    <w:rsid w:val="004879FE"/>
    <w:rsid w:val="00487A2E"/>
    <w:rsid w:val="00490D8E"/>
    <w:rsid w:val="004917A0"/>
    <w:rsid w:val="004924A7"/>
    <w:rsid w:val="00492579"/>
    <w:rsid w:val="0049318E"/>
    <w:rsid w:val="00493438"/>
    <w:rsid w:val="00493815"/>
    <w:rsid w:val="00494114"/>
    <w:rsid w:val="00494266"/>
    <w:rsid w:val="0049450A"/>
    <w:rsid w:val="00495A96"/>
    <w:rsid w:val="00495BB3"/>
    <w:rsid w:val="0049722F"/>
    <w:rsid w:val="004976DE"/>
    <w:rsid w:val="004978F2"/>
    <w:rsid w:val="00497C6F"/>
    <w:rsid w:val="004A153D"/>
    <w:rsid w:val="004A1C44"/>
    <w:rsid w:val="004A24A0"/>
    <w:rsid w:val="004A43AD"/>
    <w:rsid w:val="004A46A2"/>
    <w:rsid w:val="004A56BB"/>
    <w:rsid w:val="004A70D6"/>
    <w:rsid w:val="004A75AA"/>
    <w:rsid w:val="004A76A4"/>
    <w:rsid w:val="004A790E"/>
    <w:rsid w:val="004A79BC"/>
    <w:rsid w:val="004B0F90"/>
    <w:rsid w:val="004B1751"/>
    <w:rsid w:val="004B1BC0"/>
    <w:rsid w:val="004B289B"/>
    <w:rsid w:val="004B2FA9"/>
    <w:rsid w:val="004B3D5C"/>
    <w:rsid w:val="004B4643"/>
    <w:rsid w:val="004B4C47"/>
    <w:rsid w:val="004B4FC7"/>
    <w:rsid w:val="004B54C2"/>
    <w:rsid w:val="004B6833"/>
    <w:rsid w:val="004C0253"/>
    <w:rsid w:val="004C091E"/>
    <w:rsid w:val="004C0DB9"/>
    <w:rsid w:val="004C18AA"/>
    <w:rsid w:val="004C1AA5"/>
    <w:rsid w:val="004C1CF3"/>
    <w:rsid w:val="004C3985"/>
    <w:rsid w:val="004C3AD0"/>
    <w:rsid w:val="004C5722"/>
    <w:rsid w:val="004C5FAF"/>
    <w:rsid w:val="004D08A5"/>
    <w:rsid w:val="004D1EB6"/>
    <w:rsid w:val="004D3BAE"/>
    <w:rsid w:val="004D56FF"/>
    <w:rsid w:val="004D594B"/>
    <w:rsid w:val="004D6936"/>
    <w:rsid w:val="004D6EB3"/>
    <w:rsid w:val="004E012F"/>
    <w:rsid w:val="004E0B6C"/>
    <w:rsid w:val="004E2D40"/>
    <w:rsid w:val="004E34A2"/>
    <w:rsid w:val="004E39D3"/>
    <w:rsid w:val="004E457A"/>
    <w:rsid w:val="004E508A"/>
    <w:rsid w:val="004E616D"/>
    <w:rsid w:val="004E7BB1"/>
    <w:rsid w:val="004F0280"/>
    <w:rsid w:val="004F0B18"/>
    <w:rsid w:val="004F0B1F"/>
    <w:rsid w:val="004F1BDE"/>
    <w:rsid w:val="004F1DF8"/>
    <w:rsid w:val="004F210F"/>
    <w:rsid w:val="004F2329"/>
    <w:rsid w:val="004F2CEE"/>
    <w:rsid w:val="004F4707"/>
    <w:rsid w:val="004F556E"/>
    <w:rsid w:val="004F591C"/>
    <w:rsid w:val="004F5E4C"/>
    <w:rsid w:val="004F6668"/>
    <w:rsid w:val="004F685B"/>
    <w:rsid w:val="004F6A2B"/>
    <w:rsid w:val="004F7094"/>
    <w:rsid w:val="004F74F0"/>
    <w:rsid w:val="004F7F44"/>
    <w:rsid w:val="00500C6D"/>
    <w:rsid w:val="005020C7"/>
    <w:rsid w:val="005034F5"/>
    <w:rsid w:val="00503634"/>
    <w:rsid w:val="005037B4"/>
    <w:rsid w:val="00503C0F"/>
    <w:rsid w:val="00503E04"/>
    <w:rsid w:val="00504D29"/>
    <w:rsid w:val="00505B9F"/>
    <w:rsid w:val="00505D4B"/>
    <w:rsid w:val="0050708E"/>
    <w:rsid w:val="00507599"/>
    <w:rsid w:val="005079A9"/>
    <w:rsid w:val="005079BF"/>
    <w:rsid w:val="005101A1"/>
    <w:rsid w:val="00510644"/>
    <w:rsid w:val="00511609"/>
    <w:rsid w:val="0051269A"/>
    <w:rsid w:val="00513349"/>
    <w:rsid w:val="0051458A"/>
    <w:rsid w:val="00514598"/>
    <w:rsid w:val="005149D2"/>
    <w:rsid w:val="00514C94"/>
    <w:rsid w:val="00516C98"/>
    <w:rsid w:val="0051736B"/>
    <w:rsid w:val="00517B68"/>
    <w:rsid w:val="00520700"/>
    <w:rsid w:val="005210E9"/>
    <w:rsid w:val="005219E7"/>
    <w:rsid w:val="00521ED4"/>
    <w:rsid w:val="00521FE3"/>
    <w:rsid w:val="005227BE"/>
    <w:rsid w:val="005228BC"/>
    <w:rsid w:val="00522959"/>
    <w:rsid w:val="00522AD9"/>
    <w:rsid w:val="005240A4"/>
    <w:rsid w:val="00524943"/>
    <w:rsid w:val="00524E9D"/>
    <w:rsid w:val="00526A2D"/>
    <w:rsid w:val="005273BE"/>
    <w:rsid w:val="005317B3"/>
    <w:rsid w:val="00531B9A"/>
    <w:rsid w:val="00531D15"/>
    <w:rsid w:val="0053343F"/>
    <w:rsid w:val="00534A03"/>
    <w:rsid w:val="0053515C"/>
    <w:rsid w:val="00537604"/>
    <w:rsid w:val="00540031"/>
    <w:rsid w:val="00540E7C"/>
    <w:rsid w:val="005411DA"/>
    <w:rsid w:val="00541E2C"/>
    <w:rsid w:val="005421E5"/>
    <w:rsid w:val="00542377"/>
    <w:rsid w:val="005426BE"/>
    <w:rsid w:val="005431F2"/>
    <w:rsid w:val="005444D7"/>
    <w:rsid w:val="005476EB"/>
    <w:rsid w:val="00550963"/>
    <w:rsid w:val="00550C3C"/>
    <w:rsid w:val="00550E3A"/>
    <w:rsid w:val="0055172E"/>
    <w:rsid w:val="00551782"/>
    <w:rsid w:val="005517A6"/>
    <w:rsid w:val="00551A1F"/>
    <w:rsid w:val="00551C41"/>
    <w:rsid w:val="005523BC"/>
    <w:rsid w:val="00553766"/>
    <w:rsid w:val="0055490C"/>
    <w:rsid w:val="005549A6"/>
    <w:rsid w:val="00554A4D"/>
    <w:rsid w:val="00556060"/>
    <w:rsid w:val="005579AD"/>
    <w:rsid w:val="00561296"/>
    <w:rsid w:val="0056135A"/>
    <w:rsid w:val="00562E34"/>
    <w:rsid w:val="00563235"/>
    <w:rsid w:val="00563419"/>
    <w:rsid w:val="00563BBF"/>
    <w:rsid w:val="00563CF9"/>
    <w:rsid w:val="00563EF1"/>
    <w:rsid w:val="00566AB4"/>
    <w:rsid w:val="005678FD"/>
    <w:rsid w:val="00570E4B"/>
    <w:rsid w:val="00574C12"/>
    <w:rsid w:val="00574DEE"/>
    <w:rsid w:val="005751CD"/>
    <w:rsid w:val="00575AC5"/>
    <w:rsid w:val="00575FC8"/>
    <w:rsid w:val="0057605D"/>
    <w:rsid w:val="0058105A"/>
    <w:rsid w:val="00581310"/>
    <w:rsid w:val="00581347"/>
    <w:rsid w:val="00581AC9"/>
    <w:rsid w:val="00582A95"/>
    <w:rsid w:val="0058327F"/>
    <w:rsid w:val="00583557"/>
    <w:rsid w:val="0058491E"/>
    <w:rsid w:val="005849F8"/>
    <w:rsid w:val="005855D0"/>
    <w:rsid w:val="00586B2A"/>
    <w:rsid w:val="00590832"/>
    <w:rsid w:val="00590B6C"/>
    <w:rsid w:val="005930D3"/>
    <w:rsid w:val="00593791"/>
    <w:rsid w:val="005938DF"/>
    <w:rsid w:val="00593F1C"/>
    <w:rsid w:val="00594E9C"/>
    <w:rsid w:val="00594F2E"/>
    <w:rsid w:val="00597719"/>
    <w:rsid w:val="00597E42"/>
    <w:rsid w:val="005A061B"/>
    <w:rsid w:val="005A099B"/>
    <w:rsid w:val="005A0B29"/>
    <w:rsid w:val="005A15FD"/>
    <w:rsid w:val="005A1842"/>
    <w:rsid w:val="005A1EEA"/>
    <w:rsid w:val="005A23D9"/>
    <w:rsid w:val="005A2961"/>
    <w:rsid w:val="005A2D9C"/>
    <w:rsid w:val="005A3470"/>
    <w:rsid w:val="005A3DD1"/>
    <w:rsid w:val="005A46E4"/>
    <w:rsid w:val="005A55FE"/>
    <w:rsid w:val="005A6311"/>
    <w:rsid w:val="005A69F3"/>
    <w:rsid w:val="005A6A11"/>
    <w:rsid w:val="005A758D"/>
    <w:rsid w:val="005B0908"/>
    <w:rsid w:val="005B1C7B"/>
    <w:rsid w:val="005B1CC7"/>
    <w:rsid w:val="005B24CA"/>
    <w:rsid w:val="005B3F77"/>
    <w:rsid w:val="005B5191"/>
    <w:rsid w:val="005B5A34"/>
    <w:rsid w:val="005B71AB"/>
    <w:rsid w:val="005B7F7A"/>
    <w:rsid w:val="005C00AF"/>
    <w:rsid w:val="005C01FE"/>
    <w:rsid w:val="005C022F"/>
    <w:rsid w:val="005C17AB"/>
    <w:rsid w:val="005C3855"/>
    <w:rsid w:val="005C4144"/>
    <w:rsid w:val="005C5412"/>
    <w:rsid w:val="005C6659"/>
    <w:rsid w:val="005C6E45"/>
    <w:rsid w:val="005C7273"/>
    <w:rsid w:val="005C7B01"/>
    <w:rsid w:val="005D1288"/>
    <w:rsid w:val="005D158A"/>
    <w:rsid w:val="005D2502"/>
    <w:rsid w:val="005D274E"/>
    <w:rsid w:val="005D345B"/>
    <w:rsid w:val="005D40BB"/>
    <w:rsid w:val="005D44C5"/>
    <w:rsid w:val="005D47F3"/>
    <w:rsid w:val="005D49BF"/>
    <w:rsid w:val="005D4AA5"/>
    <w:rsid w:val="005D6F4E"/>
    <w:rsid w:val="005D7C73"/>
    <w:rsid w:val="005E00C1"/>
    <w:rsid w:val="005E019F"/>
    <w:rsid w:val="005E028C"/>
    <w:rsid w:val="005E1CDD"/>
    <w:rsid w:val="005E250B"/>
    <w:rsid w:val="005E25D4"/>
    <w:rsid w:val="005E3ACD"/>
    <w:rsid w:val="005E4FBE"/>
    <w:rsid w:val="005E5A35"/>
    <w:rsid w:val="005E6A2F"/>
    <w:rsid w:val="005E6F9F"/>
    <w:rsid w:val="005E7226"/>
    <w:rsid w:val="005E7A57"/>
    <w:rsid w:val="005E7E49"/>
    <w:rsid w:val="005F0100"/>
    <w:rsid w:val="005F0D97"/>
    <w:rsid w:val="005F1122"/>
    <w:rsid w:val="005F12B0"/>
    <w:rsid w:val="005F1EA3"/>
    <w:rsid w:val="005F24B0"/>
    <w:rsid w:val="005F3F9D"/>
    <w:rsid w:val="005F7D49"/>
    <w:rsid w:val="00603DF7"/>
    <w:rsid w:val="00604315"/>
    <w:rsid w:val="00604B83"/>
    <w:rsid w:val="00604E26"/>
    <w:rsid w:val="0060523F"/>
    <w:rsid w:val="006052CF"/>
    <w:rsid w:val="00605E50"/>
    <w:rsid w:val="00606C18"/>
    <w:rsid w:val="00607B8D"/>
    <w:rsid w:val="00610803"/>
    <w:rsid w:val="00611F5C"/>
    <w:rsid w:val="006126EF"/>
    <w:rsid w:val="006128F1"/>
    <w:rsid w:val="0061477D"/>
    <w:rsid w:val="006165BC"/>
    <w:rsid w:val="00616E09"/>
    <w:rsid w:val="00617211"/>
    <w:rsid w:val="00617D40"/>
    <w:rsid w:val="00617E0B"/>
    <w:rsid w:val="006203EA"/>
    <w:rsid w:val="00621177"/>
    <w:rsid w:val="00621B2A"/>
    <w:rsid w:val="0062222F"/>
    <w:rsid w:val="00622A3B"/>
    <w:rsid w:val="00622EEA"/>
    <w:rsid w:val="0062396C"/>
    <w:rsid w:val="00623DA6"/>
    <w:rsid w:val="00623FF9"/>
    <w:rsid w:val="0062657A"/>
    <w:rsid w:val="00626738"/>
    <w:rsid w:val="006276C2"/>
    <w:rsid w:val="00627D4E"/>
    <w:rsid w:val="00627F23"/>
    <w:rsid w:val="00630319"/>
    <w:rsid w:val="00630B12"/>
    <w:rsid w:val="00630D1C"/>
    <w:rsid w:val="00631385"/>
    <w:rsid w:val="00631F82"/>
    <w:rsid w:val="00632B89"/>
    <w:rsid w:val="0063346D"/>
    <w:rsid w:val="00634478"/>
    <w:rsid w:val="006344AC"/>
    <w:rsid w:val="00634C1C"/>
    <w:rsid w:val="006359F5"/>
    <w:rsid w:val="006368D5"/>
    <w:rsid w:val="0063798E"/>
    <w:rsid w:val="0064088A"/>
    <w:rsid w:val="00643B10"/>
    <w:rsid w:val="00643D94"/>
    <w:rsid w:val="00643EA9"/>
    <w:rsid w:val="00644373"/>
    <w:rsid w:val="006456D6"/>
    <w:rsid w:val="00645915"/>
    <w:rsid w:val="00645F96"/>
    <w:rsid w:val="00646C06"/>
    <w:rsid w:val="00647D3F"/>
    <w:rsid w:val="00647D4C"/>
    <w:rsid w:val="006519C3"/>
    <w:rsid w:val="00651A5C"/>
    <w:rsid w:val="00652B30"/>
    <w:rsid w:val="00652F3B"/>
    <w:rsid w:val="00653484"/>
    <w:rsid w:val="0065353D"/>
    <w:rsid w:val="00653BEA"/>
    <w:rsid w:val="00654040"/>
    <w:rsid w:val="00654787"/>
    <w:rsid w:val="0065533B"/>
    <w:rsid w:val="006558AE"/>
    <w:rsid w:val="006560D0"/>
    <w:rsid w:val="00656345"/>
    <w:rsid w:val="00656A3D"/>
    <w:rsid w:val="00656B1E"/>
    <w:rsid w:val="00656C4A"/>
    <w:rsid w:val="00656DC6"/>
    <w:rsid w:val="006578F1"/>
    <w:rsid w:val="00657C10"/>
    <w:rsid w:val="00660057"/>
    <w:rsid w:val="00660EC6"/>
    <w:rsid w:val="00661519"/>
    <w:rsid w:val="00662470"/>
    <w:rsid w:val="00662D13"/>
    <w:rsid w:val="00662FC2"/>
    <w:rsid w:val="006631CD"/>
    <w:rsid w:val="006635F1"/>
    <w:rsid w:val="00663E8E"/>
    <w:rsid w:val="00664110"/>
    <w:rsid w:val="00664D17"/>
    <w:rsid w:val="00666520"/>
    <w:rsid w:val="006668DF"/>
    <w:rsid w:val="00667C5B"/>
    <w:rsid w:val="00670A5D"/>
    <w:rsid w:val="006714AF"/>
    <w:rsid w:val="0067217C"/>
    <w:rsid w:val="0067223B"/>
    <w:rsid w:val="006806F7"/>
    <w:rsid w:val="00681796"/>
    <w:rsid w:val="00681FE0"/>
    <w:rsid w:val="006835F0"/>
    <w:rsid w:val="00685D9E"/>
    <w:rsid w:val="006876DF"/>
    <w:rsid w:val="006906EB"/>
    <w:rsid w:val="006910A5"/>
    <w:rsid w:val="00691EB8"/>
    <w:rsid w:val="00692086"/>
    <w:rsid w:val="00692CDE"/>
    <w:rsid w:val="00693073"/>
    <w:rsid w:val="0069505D"/>
    <w:rsid w:val="00696A62"/>
    <w:rsid w:val="00696E87"/>
    <w:rsid w:val="00696EC2"/>
    <w:rsid w:val="006977FF"/>
    <w:rsid w:val="006A01FA"/>
    <w:rsid w:val="006A0E9E"/>
    <w:rsid w:val="006A1D83"/>
    <w:rsid w:val="006A25C7"/>
    <w:rsid w:val="006A3147"/>
    <w:rsid w:val="006A4AAD"/>
    <w:rsid w:val="006A4D47"/>
    <w:rsid w:val="006A516E"/>
    <w:rsid w:val="006A6D7D"/>
    <w:rsid w:val="006A6DA2"/>
    <w:rsid w:val="006A6FFC"/>
    <w:rsid w:val="006A7218"/>
    <w:rsid w:val="006A7AB2"/>
    <w:rsid w:val="006B0BFA"/>
    <w:rsid w:val="006B109A"/>
    <w:rsid w:val="006B1F2B"/>
    <w:rsid w:val="006B2361"/>
    <w:rsid w:val="006B46BE"/>
    <w:rsid w:val="006B46D1"/>
    <w:rsid w:val="006B51F0"/>
    <w:rsid w:val="006B52DE"/>
    <w:rsid w:val="006B5717"/>
    <w:rsid w:val="006B582F"/>
    <w:rsid w:val="006B5EB2"/>
    <w:rsid w:val="006B6B7D"/>
    <w:rsid w:val="006B76DF"/>
    <w:rsid w:val="006B76EB"/>
    <w:rsid w:val="006C0CEB"/>
    <w:rsid w:val="006C108F"/>
    <w:rsid w:val="006C1631"/>
    <w:rsid w:val="006C1F70"/>
    <w:rsid w:val="006C3667"/>
    <w:rsid w:val="006C3B1E"/>
    <w:rsid w:val="006C47FD"/>
    <w:rsid w:val="006C4E75"/>
    <w:rsid w:val="006C5C19"/>
    <w:rsid w:val="006C6A9B"/>
    <w:rsid w:val="006C70A0"/>
    <w:rsid w:val="006C71A2"/>
    <w:rsid w:val="006C79AE"/>
    <w:rsid w:val="006D0957"/>
    <w:rsid w:val="006D120E"/>
    <w:rsid w:val="006D1620"/>
    <w:rsid w:val="006D18A9"/>
    <w:rsid w:val="006D27CB"/>
    <w:rsid w:val="006D2F08"/>
    <w:rsid w:val="006D3C11"/>
    <w:rsid w:val="006D4151"/>
    <w:rsid w:val="006D4F6D"/>
    <w:rsid w:val="006D576C"/>
    <w:rsid w:val="006D5865"/>
    <w:rsid w:val="006D6046"/>
    <w:rsid w:val="006D66E6"/>
    <w:rsid w:val="006D7AFC"/>
    <w:rsid w:val="006E18D1"/>
    <w:rsid w:val="006E2EE7"/>
    <w:rsid w:val="006E308C"/>
    <w:rsid w:val="006E41C1"/>
    <w:rsid w:val="006E4B1B"/>
    <w:rsid w:val="006E5445"/>
    <w:rsid w:val="006E5DE7"/>
    <w:rsid w:val="006E6ECC"/>
    <w:rsid w:val="006E742F"/>
    <w:rsid w:val="006E74CB"/>
    <w:rsid w:val="006E7D93"/>
    <w:rsid w:val="006F0B5D"/>
    <w:rsid w:val="006F0C4F"/>
    <w:rsid w:val="006F160E"/>
    <w:rsid w:val="006F339B"/>
    <w:rsid w:val="006F4C7D"/>
    <w:rsid w:val="006F5F7B"/>
    <w:rsid w:val="006F7C84"/>
    <w:rsid w:val="007003A9"/>
    <w:rsid w:val="00700903"/>
    <w:rsid w:val="007022CA"/>
    <w:rsid w:val="00702910"/>
    <w:rsid w:val="007029A3"/>
    <w:rsid w:val="00702BA5"/>
    <w:rsid w:val="00703499"/>
    <w:rsid w:val="00703784"/>
    <w:rsid w:val="00705064"/>
    <w:rsid w:val="007061F7"/>
    <w:rsid w:val="007065DD"/>
    <w:rsid w:val="007067A5"/>
    <w:rsid w:val="00706859"/>
    <w:rsid w:val="007068AD"/>
    <w:rsid w:val="00706DB6"/>
    <w:rsid w:val="00706E4E"/>
    <w:rsid w:val="0070791C"/>
    <w:rsid w:val="00707C9E"/>
    <w:rsid w:val="00710431"/>
    <w:rsid w:val="00710678"/>
    <w:rsid w:val="00710DD9"/>
    <w:rsid w:val="00711350"/>
    <w:rsid w:val="00711EB8"/>
    <w:rsid w:val="00712117"/>
    <w:rsid w:val="007127D3"/>
    <w:rsid w:val="0071383C"/>
    <w:rsid w:val="007141A7"/>
    <w:rsid w:val="007141FD"/>
    <w:rsid w:val="00714C73"/>
    <w:rsid w:val="00714CFF"/>
    <w:rsid w:val="00715722"/>
    <w:rsid w:val="007202D3"/>
    <w:rsid w:val="007208CB"/>
    <w:rsid w:val="00721013"/>
    <w:rsid w:val="00721032"/>
    <w:rsid w:val="00721B55"/>
    <w:rsid w:val="007228CE"/>
    <w:rsid w:val="00723065"/>
    <w:rsid w:val="00723564"/>
    <w:rsid w:val="00723686"/>
    <w:rsid w:val="00723D32"/>
    <w:rsid w:val="00723D66"/>
    <w:rsid w:val="00725179"/>
    <w:rsid w:val="00725D40"/>
    <w:rsid w:val="00726272"/>
    <w:rsid w:val="00726864"/>
    <w:rsid w:val="00726C9E"/>
    <w:rsid w:val="00726CE4"/>
    <w:rsid w:val="007308F0"/>
    <w:rsid w:val="00730970"/>
    <w:rsid w:val="007315CB"/>
    <w:rsid w:val="00732E1D"/>
    <w:rsid w:val="00734143"/>
    <w:rsid w:val="007356D8"/>
    <w:rsid w:val="00735C1E"/>
    <w:rsid w:val="00736688"/>
    <w:rsid w:val="007366E0"/>
    <w:rsid w:val="00737E47"/>
    <w:rsid w:val="007402A7"/>
    <w:rsid w:val="00740D38"/>
    <w:rsid w:val="00740EAC"/>
    <w:rsid w:val="00741468"/>
    <w:rsid w:val="00741B12"/>
    <w:rsid w:val="00741E64"/>
    <w:rsid w:val="00742A98"/>
    <w:rsid w:val="00744956"/>
    <w:rsid w:val="00745A5C"/>
    <w:rsid w:val="00745E58"/>
    <w:rsid w:val="0074605F"/>
    <w:rsid w:val="0074672A"/>
    <w:rsid w:val="00746C67"/>
    <w:rsid w:val="00747920"/>
    <w:rsid w:val="00747E94"/>
    <w:rsid w:val="00751FFC"/>
    <w:rsid w:val="00752070"/>
    <w:rsid w:val="0075342E"/>
    <w:rsid w:val="007545D8"/>
    <w:rsid w:val="00754C83"/>
    <w:rsid w:val="00755507"/>
    <w:rsid w:val="00755C30"/>
    <w:rsid w:val="00755DC7"/>
    <w:rsid w:val="0075728D"/>
    <w:rsid w:val="00757341"/>
    <w:rsid w:val="00757A07"/>
    <w:rsid w:val="007604D8"/>
    <w:rsid w:val="00760F3E"/>
    <w:rsid w:val="00761E5C"/>
    <w:rsid w:val="00761ED4"/>
    <w:rsid w:val="00762AE0"/>
    <w:rsid w:val="007643BB"/>
    <w:rsid w:val="00765DF8"/>
    <w:rsid w:val="007662DC"/>
    <w:rsid w:val="007664CF"/>
    <w:rsid w:val="00766749"/>
    <w:rsid w:val="00767C1B"/>
    <w:rsid w:val="00767CFF"/>
    <w:rsid w:val="007704FA"/>
    <w:rsid w:val="0077068D"/>
    <w:rsid w:val="0077087C"/>
    <w:rsid w:val="007714A9"/>
    <w:rsid w:val="007744CC"/>
    <w:rsid w:val="00774C6F"/>
    <w:rsid w:val="00774F88"/>
    <w:rsid w:val="00774FDB"/>
    <w:rsid w:val="00775535"/>
    <w:rsid w:val="00775F5A"/>
    <w:rsid w:val="00776D86"/>
    <w:rsid w:val="00777AF4"/>
    <w:rsid w:val="00777BA2"/>
    <w:rsid w:val="007806CB"/>
    <w:rsid w:val="00781408"/>
    <w:rsid w:val="00781AC0"/>
    <w:rsid w:val="0078212B"/>
    <w:rsid w:val="007822CB"/>
    <w:rsid w:val="00782678"/>
    <w:rsid w:val="00782811"/>
    <w:rsid w:val="00782F32"/>
    <w:rsid w:val="00783163"/>
    <w:rsid w:val="00783626"/>
    <w:rsid w:val="007846C6"/>
    <w:rsid w:val="007847A8"/>
    <w:rsid w:val="00784956"/>
    <w:rsid w:val="00784F7F"/>
    <w:rsid w:val="00785425"/>
    <w:rsid w:val="00786046"/>
    <w:rsid w:val="007862A6"/>
    <w:rsid w:val="007878BD"/>
    <w:rsid w:val="00790274"/>
    <w:rsid w:val="0079223B"/>
    <w:rsid w:val="007924F4"/>
    <w:rsid w:val="0079280F"/>
    <w:rsid w:val="00793674"/>
    <w:rsid w:val="0079386D"/>
    <w:rsid w:val="00794EAD"/>
    <w:rsid w:val="00795561"/>
    <w:rsid w:val="0079616F"/>
    <w:rsid w:val="0079683E"/>
    <w:rsid w:val="00796F25"/>
    <w:rsid w:val="00797CF2"/>
    <w:rsid w:val="007A0922"/>
    <w:rsid w:val="007A1C4D"/>
    <w:rsid w:val="007A28D4"/>
    <w:rsid w:val="007A2E98"/>
    <w:rsid w:val="007A3BA3"/>
    <w:rsid w:val="007A4223"/>
    <w:rsid w:val="007A5C8C"/>
    <w:rsid w:val="007A6CC0"/>
    <w:rsid w:val="007A6ED5"/>
    <w:rsid w:val="007A7FEC"/>
    <w:rsid w:val="007B0006"/>
    <w:rsid w:val="007B0D67"/>
    <w:rsid w:val="007B1499"/>
    <w:rsid w:val="007B1BBF"/>
    <w:rsid w:val="007B2960"/>
    <w:rsid w:val="007B2B1E"/>
    <w:rsid w:val="007B3118"/>
    <w:rsid w:val="007B355D"/>
    <w:rsid w:val="007B49E7"/>
    <w:rsid w:val="007B4E69"/>
    <w:rsid w:val="007B5C8E"/>
    <w:rsid w:val="007B5D2A"/>
    <w:rsid w:val="007B64CE"/>
    <w:rsid w:val="007B6F08"/>
    <w:rsid w:val="007B7581"/>
    <w:rsid w:val="007B7980"/>
    <w:rsid w:val="007B7E44"/>
    <w:rsid w:val="007C09FE"/>
    <w:rsid w:val="007C0DEF"/>
    <w:rsid w:val="007C1142"/>
    <w:rsid w:val="007C1BFB"/>
    <w:rsid w:val="007C2716"/>
    <w:rsid w:val="007C2D14"/>
    <w:rsid w:val="007C429E"/>
    <w:rsid w:val="007C4CCE"/>
    <w:rsid w:val="007C5D5A"/>
    <w:rsid w:val="007C5FDA"/>
    <w:rsid w:val="007C6061"/>
    <w:rsid w:val="007C607F"/>
    <w:rsid w:val="007C6635"/>
    <w:rsid w:val="007C6E44"/>
    <w:rsid w:val="007C79DD"/>
    <w:rsid w:val="007D1A97"/>
    <w:rsid w:val="007D223B"/>
    <w:rsid w:val="007D27DA"/>
    <w:rsid w:val="007D2CD6"/>
    <w:rsid w:val="007D3063"/>
    <w:rsid w:val="007D30EB"/>
    <w:rsid w:val="007D3ABC"/>
    <w:rsid w:val="007D3CEB"/>
    <w:rsid w:val="007D58E1"/>
    <w:rsid w:val="007D5ACA"/>
    <w:rsid w:val="007D6127"/>
    <w:rsid w:val="007D6478"/>
    <w:rsid w:val="007D6800"/>
    <w:rsid w:val="007E093B"/>
    <w:rsid w:val="007E10ED"/>
    <w:rsid w:val="007E2273"/>
    <w:rsid w:val="007E28ED"/>
    <w:rsid w:val="007E3894"/>
    <w:rsid w:val="007E7683"/>
    <w:rsid w:val="007E7CD0"/>
    <w:rsid w:val="007F0DC4"/>
    <w:rsid w:val="007F0F52"/>
    <w:rsid w:val="007F1298"/>
    <w:rsid w:val="007F224A"/>
    <w:rsid w:val="007F22D0"/>
    <w:rsid w:val="007F49FA"/>
    <w:rsid w:val="007F54C4"/>
    <w:rsid w:val="007F5BAA"/>
    <w:rsid w:val="007F6325"/>
    <w:rsid w:val="007F6E9A"/>
    <w:rsid w:val="007F725D"/>
    <w:rsid w:val="007F7CCD"/>
    <w:rsid w:val="00800656"/>
    <w:rsid w:val="008006F0"/>
    <w:rsid w:val="00800CCD"/>
    <w:rsid w:val="0080177F"/>
    <w:rsid w:val="00801790"/>
    <w:rsid w:val="00804116"/>
    <w:rsid w:val="008044D4"/>
    <w:rsid w:val="00804CEE"/>
    <w:rsid w:val="00805553"/>
    <w:rsid w:val="008059CB"/>
    <w:rsid w:val="00805A2C"/>
    <w:rsid w:val="00805DAA"/>
    <w:rsid w:val="00810AB4"/>
    <w:rsid w:val="00811BBF"/>
    <w:rsid w:val="0081281D"/>
    <w:rsid w:val="0081286B"/>
    <w:rsid w:val="00813DD3"/>
    <w:rsid w:val="008145E5"/>
    <w:rsid w:val="00814CBD"/>
    <w:rsid w:val="00815127"/>
    <w:rsid w:val="00815560"/>
    <w:rsid w:val="0081608E"/>
    <w:rsid w:val="00816937"/>
    <w:rsid w:val="00817928"/>
    <w:rsid w:val="00817B56"/>
    <w:rsid w:val="00820112"/>
    <w:rsid w:val="00820BBD"/>
    <w:rsid w:val="00821713"/>
    <w:rsid w:val="00821A88"/>
    <w:rsid w:val="0082205E"/>
    <w:rsid w:val="008226C6"/>
    <w:rsid w:val="00822F34"/>
    <w:rsid w:val="008247A6"/>
    <w:rsid w:val="0082495D"/>
    <w:rsid w:val="008251CD"/>
    <w:rsid w:val="008269A1"/>
    <w:rsid w:val="008271BE"/>
    <w:rsid w:val="008275F2"/>
    <w:rsid w:val="00827B16"/>
    <w:rsid w:val="00827E9C"/>
    <w:rsid w:val="00830198"/>
    <w:rsid w:val="00830EC0"/>
    <w:rsid w:val="00831AC3"/>
    <w:rsid w:val="0083460B"/>
    <w:rsid w:val="00836FCE"/>
    <w:rsid w:val="008374C9"/>
    <w:rsid w:val="008406A0"/>
    <w:rsid w:val="008408FF"/>
    <w:rsid w:val="00840A24"/>
    <w:rsid w:val="00840B68"/>
    <w:rsid w:val="00840BAC"/>
    <w:rsid w:val="0084112C"/>
    <w:rsid w:val="00841BAC"/>
    <w:rsid w:val="00841C0F"/>
    <w:rsid w:val="0084325C"/>
    <w:rsid w:val="00843F4E"/>
    <w:rsid w:val="0084477A"/>
    <w:rsid w:val="00844AD1"/>
    <w:rsid w:val="00844C25"/>
    <w:rsid w:val="00845A85"/>
    <w:rsid w:val="00846098"/>
    <w:rsid w:val="008464CF"/>
    <w:rsid w:val="008469F6"/>
    <w:rsid w:val="00846DEE"/>
    <w:rsid w:val="0085107F"/>
    <w:rsid w:val="00851E65"/>
    <w:rsid w:val="00851F3F"/>
    <w:rsid w:val="008520C2"/>
    <w:rsid w:val="008521DE"/>
    <w:rsid w:val="00852441"/>
    <w:rsid w:val="008524E2"/>
    <w:rsid w:val="0085372E"/>
    <w:rsid w:val="0085382D"/>
    <w:rsid w:val="00853CAE"/>
    <w:rsid w:val="00854102"/>
    <w:rsid w:val="0085618F"/>
    <w:rsid w:val="0085626A"/>
    <w:rsid w:val="00856EDC"/>
    <w:rsid w:val="00857171"/>
    <w:rsid w:val="00860342"/>
    <w:rsid w:val="00860A6E"/>
    <w:rsid w:val="00860B3B"/>
    <w:rsid w:val="008623B5"/>
    <w:rsid w:val="00862BE1"/>
    <w:rsid w:val="0086428F"/>
    <w:rsid w:val="008643F3"/>
    <w:rsid w:val="00865053"/>
    <w:rsid w:val="008676DA"/>
    <w:rsid w:val="008700A3"/>
    <w:rsid w:val="00870ABA"/>
    <w:rsid w:val="00870BE0"/>
    <w:rsid w:val="00870CBD"/>
    <w:rsid w:val="00870D0C"/>
    <w:rsid w:val="008710E1"/>
    <w:rsid w:val="008716E5"/>
    <w:rsid w:val="00871841"/>
    <w:rsid w:val="00872065"/>
    <w:rsid w:val="008737B0"/>
    <w:rsid w:val="00873DDF"/>
    <w:rsid w:val="008741F8"/>
    <w:rsid w:val="00874263"/>
    <w:rsid w:val="00875690"/>
    <w:rsid w:val="00876D4A"/>
    <w:rsid w:val="00877BD4"/>
    <w:rsid w:val="00880E5B"/>
    <w:rsid w:val="00881041"/>
    <w:rsid w:val="00881C44"/>
    <w:rsid w:val="00881CA9"/>
    <w:rsid w:val="00883628"/>
    <w:rsid w:val="00884949"/>
    <w:rsid w:val="0088510B"/>
    <w:rsid w:val="00885544"/>
    <w:rsid w:val="00885E4E"/>
    <w:rsid w:val="0088634E"/>
    <w:rsid w:val="0088646A"/>
    <w:rsid w:val="00887002"/>
    <w:rsid w:val="008872B4"/>
    <w:rsid w:val="0089058B"/>
    <w:rsid w:val="00891374"/>
    <w:rsid w:val="00892130"/>
    <w:rsid w:val="00892D76"/>
    <w:rsid w:val="00893AB8"/>
    <w:rsid w:val="00894B31"/>
    <w:rsid w:val="008959A5"/>
    <w:rsid w:val="00895CA2"/>
    <w:rsid w:val="00896255"/>
    <w:rsid w:val="00897FDA"/>
    <w:rsid w:val="008A0372"/>
    <w:rsid w:val="008A04C8"/>
    <w:rsid w:val="008A4B6C"/>
    <w:rsid w:val="008A6913"/>
    <w:rsid w:val="008B0A15"/>
    <w:rsid w:val="008B168E"/>
    <w:rsid w:val="008B213D"/>
    <w:rsid w:val="008B36D3"/>
    <w:rsid w:val="008B49F1"/>
    <w:rsid w:val="008B59E0"/>
    <w:rsid w:val="008B6265"/>
    <w:rsid w:val="008B63D7"/>
    <w:rsid w:val="008B6545"/>
    <w:rsid w:val="008B6630"/>
    <w:rsid w:val="008B6CC9"/>
    <w:rsid w:val="008B6FAF"/>
    <w:rsid w:val="008B70F3"/>
    <w:rsid w:val="008B71C4"/>
    <w:rsid w:val="008B76DF"/>
    <w:rsid w:val="008C034B"/>
    <w:rsid w:val="008C0FF6"/>
    <w:rsid w:val="008C10F4"/>
    <w:rsid w:val="008C25A8"/>
    <w:rsid w:val="008C2EFA"/>
    <w:rsid w:val="008C330E"/>
    <w:rsid w:val="008C33F6"/>
    <w:rsid w:val="008C4272"/>
    <w:rsid w:val="008C43FD"/>
    <w:rsid w:val="008C4EA1"/>
    <w:rsid w:val="008C566A"/>
    <w:rsid w:val="008C5C78"/>
    <w:rsid w:val="008C65F7"/>
    <w:rsid w:val="008C72B3"/>
    <w:rsid w:val="008C750E"/>
    <w:rsid w:val="008C76A9"/>
    <w:rsid w:val="008D05DA"/>
    <w:rsid w:val="008D1922"/>
    <w:rsid w:val="008D35F3"/>
    <w:rsid w:val="008D3BC8"/>
    <w:rsid w:val="008D3F80"/>
    <w:rsid w:val="008D518C"/>
    <w:rsid w:val="008D6275"/>
    <w:rsid w:val="008D6B66"/>
    <w:rsid w:val="008D6DA3"/>
    <w:rsid w:val="008D7463"/>
    <w:rsid w:val="008E0AD9"/>
    <w:rsid w:val="008E0CE3"/>
    <w:rsid w:val="008E2E13"/>
    <w:rsid w:val="008E436D"/>
    <w:rsid w:val="008E4767"/>
    <w:rsid w:val="008E5B80"/>
    <w:rsid w:val="008E5EA7"/>
    <w:rsid w:val="008E66A7"/>
    <w:rsid w:val="008E6B54"/>
    <w:rsid w:val="008E6F84"/>
    <w:rsid w:val="008E708C"/>
    <w:rsid w:val="008E71FB"/>
    <w:rsid w:val="008E7715"/>
    <w:rsid w:val="008E7A8C"/>
    <w:rsid w:val="008E7CA7"/>
    <w:rsid w:val="008F0D2D"/>
    <w:rsid w:val="008F0D3F"/>
    <w:rsid w:val="008F0F69"/>
    <w:rsid w:val="008F1778"/>
    <w:rsid w:val="008F188A"/>
    <w:rsid w:val="008F21A8"/>
    <w:rsid w:val="008F2E15"/>
    <w:rsid w:val="008F2F9A"/>
    <w:rsid w:val="008F38F4"/>
    <w:rsid w:val="008F3927"/>
    <w:rsid w:val="008F685A"/>
    <w:rsid w:val="008F6BA7"/>
    <w:rsid w:val="008F6BF5"/>
    <w:rsid w:val="00900485"/>
    <w:rsid w:val="00901A5F"/>
    <w:rsid w:val="00901C74"/>
    <w:rsid w:val="0090203B"/>
    <w:rsid w:val="00902A02"/>
    <w:rsid w:val="00903285"/>
    <w:rsid w:val="00903B8E"/>
    <w:rsid w:val="00904C8D"/>
    <w:rsid w:val="0090520C"/>
    <w:rsid w:val="0090698A"/>
    <w:rsid w:val="00906991"/>
    <w:rsid w:val="00906F40"/>
    <w:rsid w:val="0090731E"/>
    <w:rsid w:val="009079B5"/>
    <w:rsid w:val="009079FF"/>
    <w:rsid w:val="00907E9C"/>
    <w:rsid w:val="0091162F"/>
    <w:rsid w:val="0091224D"/>
    <w:rsid w:val="009134D4"/>
    <w:rsid w:val="00913F23"/>
    <w:rsid w:val="00913F40"/>
    <w:rsid w:val="00913FBC"/>
    <w:rsid w:val="009140AB"/>
    <w:rsid w:val="00914F10"/>
    <w:rsid w:val="00915AC1"/>
    <w:rsid w:val="00915B1C"/>
    <w:rsid w:val="00917455"/>
    <w:rsid w:val="009174F3"/>
    <w:rsid w:val="009176E4"/>
    <w:rsid w:val="00917709"/>
    <w:rsid w:val="0091797D"/>
    <w:rsid w:val="009179E9"/>
    <w:rsid w:val="00917C0D"/>
    <w:rsid w:val="00917CA2"/>
    <w:rsid w:val="009204EC"/>
    <w:rsid w:val="00921058"/>
    <w:rsid w:val="00921B40"/>
    <w:rsid w:val="00921C32"/>
    <w:rsid w:val="00921C82"/>
    <w:rsid w:val="00922AFB"/>
    <w:rsid w:val="00923B9B"/>
    <w:rsid w:val="00923CBA"/>
    <w:rsid w:val="009253A0"/>
    <w:rsid w:val="00925805"/>
    <w:rsid w:val="00926029"/>
    <w:rsid w:val="00926703"/>
    <w:rsid w:val="00927691"/>
    <w:rsid w:val="00927A5F"/>
    <w:rsid w:val="00930502"/>
    <w:rsid w:val="00930510"/>
    <w:rsid w:val="00931174"/>
    <w:rsid w:val="00933E18"/>
    <w:rsid w:val="009341E1"/>
    <w:rsid w:val="00934284"/>
    <w:rsid w:val="00934530"/>
    <w:rsid w:val="009355C6"/>
    <w:rsid w:val="00935A4F"/>
    <w:rsid w:val="00935B63"/>
    <w:rsid w:val="0093618E"/>
    <w:rsid w:val="00936F73"/>
    <w:rsid w:val="009373BF"/>
    <w:rsid w:val="0094078F"/>
    <w:rsid w:val="00940914"/>
    <w:rsid w:val="00940FA3"/>
    <w:rsid w:val="00940FD1"/>
    <w:rsid w:val="00941C67"/>
    <w:rsid w:val="00941FB0"/>
    <w:rsid w:val="009426D4"/>
    <w:rsid w:val="00943ECF"/>
    <w:rsid w:val="0094406A"/>
    <w:rsid w:val="009442C1"/>
    <w:rsid w:val="0094433C"/>
    <w:rsid w:val="00944434"/>
    <w:rsid w:val="00944C47"/>
    <w:rsid w:val="0094624B"/>
    <w:rsid w:val="00947F25"/>
    <w:rsid w:val="00950159"/>
    <w:rsid w:val="009507D3"/>
    <w:rsid w:val="0095181F"/>
    <w:rsid w:val="009530FA"/>
    <w:rsid w:val="00954121"/>
    <w:rsid w:val="00954840"/>
    <w:rsid w:val="0095490B"/>
    <w:rsid w:val="00956B8C"/>
    <w:rsid w:val="00956D31"/>
    <w:rsid w:val="00957688"/>
    <w:rsid w:val="00957740"/>
    <w:rsid w:val="009601F3"/>
    <w:rsid w:val="00960A33"/>
    <w:rsid w:val="00961D94"/>
    <w:rsid w:val="0096246F"/>
    <w:rsid w:val="00962511"/>
    <w:rsid w:val="00964E1C"/>
    <w:rsid w:val="00965914"/>
    <w:rsid w:val="00966006"/>
    <w:rsid w:val="009666D7"/>
    <w:rsid w:val="00967FA5"/>
    <w:rsid w:val="009708A4"/>
    <w:rsid w:val="00971914"/>
    <w:rsid w:val="009729AE"/>
    <w:rsid w:val="00972A5D"/>
    <w:rsid w:val="0097400C"/>
    <w:rsid w:val="00974363"/>
    <w:rsid w:val="00974978"/>
    <w:rsid w:val="00974BFE"/>
    <w:rsid w:val="00975023"/>
    <w:rsid w:val="009750E6"/>
    <w:rsid w:val="009752AB"/>
    <w:rsid w:val="00975661"/>
    <w:rsid w:val="00976A5A"/>
    <w:rsid w:val="0097747E"/>
    <w:rsid w:val="0097748D"/>
    <w:rsid w:val="00980945"/>
    <w:rsid w:val="00981898"/>
    <w:rsid w:val="009819F1"/>
    <w:rsid w:val="009821CE"/>
    <w:rsid w:val="0098334F"/>
    <w:rsid w:val="009850C9"/>
    <w:rsid w:val="00985117"/>
    <w:rsid w:val="009860C4"/>
    <w:rsid w:val="00986172"/>
    <w:rsid w:val="0098729B"/>
    <w:rsid w:val="0099041F"/>
    <w:rsid w:val="00990596"/>
    <w:rsid w:val="0099265C"/>
    <w:rsid w:val="00992B27"/>
    <w:rsid w:val="00993439"/>
    <w:rsid w:val="00994B78"/>
    <w:rsid w:val="0099577C"/>
    <w:rsid w:val="00995D3F"/>
    <w:rsid w:val="009A075B"/>
    <w:rsid w:val="009A0A2B"/>
    <w:rsid w:val="009A0D7C"/>
    <w:rsid w:val="009A0F99"/>
    <w:rsid w:val="009A2B14"/>
    <w:rsid w:val="009A69D1"/>
    <w:rsid w:val="009A6B68"/>
    <w:rsid w:val="009A7249"/>
    <w:rsid w:val="009A733B"/>
    <w:rsid w:val="009A7390"/>
    <w:rsid w:val="009A7562"/>
    <w:rsid w:val="009B0972"/>
    <w:rsid w:val="009B0C22"/>
    <w:rsid w:val="009B10B2"/>
    <w:rsid w:val="009B1910"/>
    <w:rsid w:val="009B1931"/>
    <w:rsid w:val="009B24A5"/>
    <w:rsid w:val="009B2601"/>
    <w:rsid w:val="009B2D19"/>
    <w:rsid w:val="009B37A5"/>
    <w:rsid w:val="009B47C5"/>
    <w:rsid w:val="009B4E9E"/>
    <w:rsid w:val="009B5ED7"/>
    <w:rsid w:val="009C008A"/>
    <w:rsid w:val="009C1000"/>
    <w:rsid w:val="009C13FF"/>
    <w:rsid w:val="009C1690"/>
    <w:rsid w:val="009C1E9A"/>
    <w:rsid w:val="009C3FFA"/>
    <w:rsid w:val="009C47B4"/>
    <w:rsid w:val="009C5A58"/>
    <w:rsid w:val="009C5F2E"/>
    <w:rsid w:val="009C6585"/>
    <w:rsid w:val="009C6881"/>
    <w:rsid w:val="009C7759"/>
    <w:rsid w:val="009C7806"/>
    <w:rsid w:val="009D0225"/>
    <w:rsid w:val="009D043D"/>
    <w:rsid w:val="009D0575"/>
    <w:rsid w:val="009D07C8"/>
    <w:rsid w:val="009D16A8"/>
    <w:rsid w:val="009D34B2"/>
    <w:rsid w:val="009D4D6A"/>
    <w:rsid w:val="009D5F12"/>
    <w:rsid w:val="009D6C71"/>
    <w:rsid w:val="009D77D9"/>
    <w:rsid w:val="009E04F4"/>
    <w:rsid w:val="009E0631"/>
    <w:rsid w:val="009E16D0"/>
    <w:rsid w:val="009E2051"/>
    <w:rsid w:val="009E2B2F"/>
    <w:rsid w:val="009E2D1F"/>
    <w:rsid w:val="009E38FD"/>
    <w:rsid w:val="009E3B00"/>
    <w:rsid w:val="009E5923"/>
    <w:rsid w:val="009E6488"/>
    <w:rsid w:val="009E72DA"/>
    <w:rsid w:val="009E74F2"/>
    <w:rsid w:val="009E7E9E"/>
    <w:rsid w:val="009F0387"/>
    <w:rsid w:val="009F09CF"/>
    <w:rsid w:val="009F13D6"/>
    <w:rsid w:val="009F326A"/>
    <w:rsid w:val="009F3589"/>
    <w:rsid w:val="009F3B75"/>
    <w:rsid w:val="009F3F1D"/>
    <w:rsid w:val="009F4071"/>
    <w:rsid w:val="009F4C6B"/>
    <w:rsid w:val="009F6878"/>
    <w:rsid w:val="009F69E8"/>
    <w:rsid w:val="009F78A8"/>
    <w:rsid w:val="009F7BAC"/>
    <w:rsid w:val="00A0017F"/>
    <w:rsid w:val="00A00A47"/>
    <w:rsid w:val="00A01912"/>
    <w:rsid w:val="00A021B5"/>
    <w:rsid w:val="00A02AD6"/>
    <w:rsid w:val="00A0334D"/>
    <w:rsid w:val="00A06A50"/>
    <w:rsid w:val="00A06CC6"/>
    <w:rsid w:val="00A07096"/>
    <w:rsid w:val="00A07318"/>
    <w:rsid w:val="00A07424"/>
    <w:rsid w:val="00A1058F"/>
    <w:rsid w:val="00A11370"/>
    <w:rsid w:val="00A117B7"/>
    <w:rsid w:val="00A12AF0"/>
    <w:rsid w:val="00A1449D"/>
    <w:rsid w:val="00A1517D"/>
    <w:rsid w:val="00A15389"/>
    <w:rsid w:val="00A153EF"/>
    <w:rsid w:val="00A1714B"/>
    <w:rsid w:val="00A200FB"/>
    <w:rsid w:val="00A20A67"/>
    <w:rsid w:val="00A2207B"/>
    <w:rsid w:val="00A2246D"/>
    <w:rsid w:val="00A224CE"/>
    <w:rsid w:val="00A22522"/>
    <w:rsid w:val="00A229B9"/>
    <w:rsid w:val="00A23542"/>
    <w:rsid w:val="00A23CED"/>
    <w:rsid w:val="00A240FA"/>
    <w:rsid w:val="00A24AFD"/>
    <w:rsid w:val="00A24F5C"/>
    <w:rsid w:val="00A25F06"/>
    <w:rsid w:val="00A2686F"/>
    <w:rsid w:val="00A26ED2"/>
    <w:rsid w:val="00A27BEB"/>
    <w:rsid w:val="00A31092"/>
    <w:rsid w:val="00A316B9"/>
    <w:rsid w:val="00A32949"/>
    <w:rsid w:val="00A32F96"/>
    <w:rsid w:val="00A3329F"/>
    <w:rsid w:val="00A336AB"/>
    <w:rsid w:val="00A34467"/>
    <w:rsid w:val="00A34F33"/>
    <w:rsid w:val="00A35A8E"/>
    <w:rsid w:val="00A37EE5"/>
    <w:rsid w:val="00A40871"/>
    <w:rsid w:val="00A40D8F"/>
    <w:rsid w:val="00A412AB"/>
    <w:rsid w:val="00A4135E"/>
    <w:rsid w:val="00A41693"/>
    <w:rsid w:val="00A4193E"/>
    <w:rsid w:val="00A41F34"/>
    <w:rsid w:val="00A43BEC"/>
    <w:rsid w:val="00A440E0"/>
    <w:rsid w:val="00A4426D"/>
    <w:rsid w:val="00A442EF"/>
    <w:rsid w:val="00A4466D"/>
    <w:rsid w:val="00A44914"/>
    <w:rsid w:val="00A46120"/>
    <w:rsid w:val="00A462E4"/>
    <w:rsid w:val="00A4672A"/>
    <w:rsid w:val="00A46ACD"/>
    <w:rsid w:val="00A51689"/>
    <w:rsid w:val="00A51D1A"/>
    <w:rsid w:val="00A52642"/>
    <w:rsid w:val="00A52D08"/>
    <w:rsid w:val="00A52E20"/>
    <w:rsid w:val="00A5386E"/>
    <w:rsid w:val="00A5418D"/>
    <w:rsid w:val="00A5474E"/>
    <w:rsid w:val="00A5510C"/>
    <w:rsid w:val="00A56526"/>
    <w:rsid w:val="00A56B6C"/>
    <w:rsid w:val="00A57C6A"/>
    <w:rsid w:val="00A57D19"/>
    <w:rsid w:val="00A57E58"/>
    <w:rsid w:val="00A605B9"/>
    <w:rsid w:val="00A60861"/>
    <w:rsid w:val="00A61051"/>
    <w:rsid w:val="00A625DA"/>
    <w:rsid w:val="00A627F0"/>
    <w:rsid w:val="00A62813"/>
    <w:rsid w:val="00A63347"/>
    <w:rsid w:val="00A64234"/>
    <w:rsid w:val="00A64CBA"/>
    <w:rsid w:val="00A6523A"/>
    <w:rsid w:val="00A657CA"/>
    <w:rsid w:val="00A66843"/>
    <w:rsid w:val="00A66ADA"/>
    <w:rsid w:val="00A67466"/>
    <w:rsid w:val="00A70110"/>
    <w:rsid w:val="00A70ADF"/>
    <w:rsid w:val="00A71466"/>
    <w:rsid w:val="00A72E18"/>
    <w:rsid w:val="00A74920"/>
    <w:rsid w:val="00A74AA7"/>
    <w:rsid w:val="00A74B5E"/>
    <w:rsid w:val="00A74FFA"/>
    <w:rsid w:val="00A763B6"/>
    <w:rsid w:val="00A76455"/>
    <w:rsid w:val="00A76908"/>
    <w:rsid w:val="00A806DF"/>
    <w:rsid w:val="00A80AC6"/>
    <w:rsid w:val="00A81BED"/>
    <w:rsid w:val="00A81EC4"/>
    <w:rsid w:val="00A824E8"/>
    <w:rsid w:val="00A8266F"/>
    <w:rsid w:val="00A83415"/>
    <w:rsid w:val="00A83C96"/>
    <w:rsid w:val="00A83CD2"/>
    <w:rsid w:val="00A83F8E"/>
    <w:rsid w:val="00A83FAC"/>
    <w:rsid w:val="00A847C9"/>
    <w:rsid w:val="00A84972"/>
    <w:rsid w:val="00A84B08"/>
    <w:rsid w:val="00A862F0"/>
    <w:rsid w:val="00A86819"/>
    <w:rsid w:val="00A86D75"/>
    <w:rsid w:val="00A87115"/>
    <w:rsid w:val="00A90BB4"/>
    <w:rsid w:val="00A93105"/>
    <w:rsid w:val="00A94BB8"/>
    <w:rsid w:val="00A95C83"/>
    <w:rsid w:val="00A96327"/>
    <w:rsid w:val="00A967FD"/>
    <w:rsid w:val="00A96983"/>
    <w:rsid w:val="00A9760E"/>
    <w:rsid w:val="00AA0272"/>
    <w:rsid w:val="00AA0A93"/>
    <w:rsid w:val="00AA247C"/>
    <w:rsid w:val="00AA2CD4"/>
    <w:rsid w:val="00AA2DE5"/>
    <w:rsid w:val="00AA75E5"/>
    <w:rsid w:val="00AB05CC"/>
    <w:rsid w:val="00AB0F87"/>
    <w:rsid w:val="00AB139C"/>
    <w:rsid w:val="00AB156C"/>
    <w:rsid w:val="00AB19CA"/>
    <w:rsid w:val="00AB2291"/>
    <w:rsid w:val="00AB23A4"/>
    <w:rsid w:val="00AB331C"/>
    <w:rsid w:val="00AB3652"/>
    <w:rsid w:val="00AB5533"/>
    <w:rsid w:val="00AB6814"/>
    <w:rsid w:val="00AC04BA"/>
    <w:rsid w:val="00AC0E06"/>
    <w:rsid w:val="00AC0E39"/>
    <w:rsid w:val="00AC3A85"/>
    <w:rsid w:val="00AC3CC7"/>
    <w:rsid w:val="00AC42DF"/>
    <w:rsid w:val="00AC4681"/>
    <w:rsid w:val="00AC4F78"/>
    <w:rsid w:val="00AC5471"/>
    <w:rsid w:val="00AC582E"/>
    <w:rsid w:val="00AC5BD2"/>
    <w:rsid w:val="00AC7AFB"/>
    <w:rsid w:val="00AD1033"/>
    <w:rsid w:val="00AD1055"/>
    <w:rsid w:val="00AD1F17"/>
    <w:rsid w:val="00AD2CFC"/>
    <w:rsid w:val="00AD3082"/>
    <w:rsid w:val="00AD32B4"/>
    <w:rsid w:val="00AD4377"/>
    <w:rsid w:val="00AD4AD0"/>
    <w:rsid w:val="00AD5436"/>
    <w:rsid w:val="00AD60CD"/>
    <w:rsid w:val="00AD62F9"/>
    <w:rsid w:val="00AD64D8"/>
    <w:rsid w:val="00AD6C8C"/>
    <w:rsid w:val="00AD7AE5"/>
    <w:rsid w:val="00AD7F1E"/>
    <w:rsid w:val="00AE091D"/>
    <w:rsid w:val="00AE13B0"/>
    <w:rsid w:val="00AE140E"/>
    <w:rsid w:val="00AE1435"/>
    <w:rsid w:val="00AE1CC5"/>
    <w:rsid w:val="00AE36FF"/>
    <w:rsid w:val="00AE3B60"/>
    <w:rsid w:val="00AE4CE9"/>
    <w:rsid w:val="00AE53A1"/>
    <w:rsid w:val="00AE5419"/>
    <w:rsid w:val="00AE7AC3"/>
    <w:rsid w:val="00AF049D"/>
    <w:rsid w:val="00AF0889"/>
    <w:rsid w:val="00AF1750"/>
    <w:rsid w:val="00AF244A"/>
    <w:rsid w:val="00AF2484"/>
    <w:rsid w:val="00AF5103"/>
    <w:rsid w:val="00AF5321"/>
    <w:rsid w:val="00AF59B5"/>
    <w:rsid w:val="00AF63E7"/>
    <w:rsid w:val="00AF6A44"/>
    <w:rsid w:val="00AF6E17"/>
    <w:rsid w:val="00AF7058"/>
    <w:rsid w:val="00AF7DD0"/>
    <w:rsid w:val="00B00AA2"/>
    <w:rsid w:val="00B0165D"/>
    <w:rsid w:val="00B01B60"/>
    <w:rsid w:val="00B01E5A"/>
    <w:rsid w:val="00B031F3"/>
    <w:rsid w:val="00B0472B"/>
    <w:rsid w:val="00B047FD"/>
    <w:rsid w:val="00B04861"/>
    <w:rsid w:val="00B052A4"/>
    <w:rsid w:val="00B057E1"/>
    <w:rsid w:val="00B05D48"/>
    <w:rsid w:val="00B06B47"/>
    <w:rsid w:val="00B11545"/>
    <w:rsid w:val="00B125DE"/>
    <w:rsid w:val="00B13FDD"/>
    <w:rsid w:val="00B17E3E"/>
    <w:rsid w:val="00B2074F"/>
    <w:rsid w:val="00B212EE"/>
    <w:rsid w:val="00B21941"/>
    <w:rsid w:val="00B22673"/>
    <w:rsid w:val="00B22A40"/>
    <w:rsid w:val="00B22EB2"/>
    <w:rsid w:val="00B23492"/>
    <w:rsid w:val="00B2493A"/>
    <w:rsid w:val="00B25523"/>
    <w:rsid w:val="00B265A4"/>
    <w:rsid w:val="00B27442"/>
    <w:rsid w:val="00B30590"/>
    <w:rsid w:val="00B30B2A"/>
    <w:rsid w:val="00B31167"/>
    <w:rsid w:val="00B3222D"/>
    <w:rsid w:val="00B32445"/>
    <w:rsid w:val="00B329D8"/>
    <w:rsid w:val="00B32BB9"/>
    <w:rsid w:val="00B33AE1"/>
    <w:rsid w:val="00B33B90"/>
    <w:rsid w:val="00B343E1"/>
    <w:rsid w:val="00B34B13"/>
    <w:rsid w:val="00B35072"/>
    <w:rsid w:val="00B35A3C"/>
    <w:rsid w:val="00B35D67"/>
    <w:rsid w:val="00B37C38"/>
    <w:rsid w:val="00B40364"/>
    <w:rsid w:val="00B40505"/>
    <w:rsid w:val="00B40919"/>
    <w:rsid w:val="00B41638"/>
    <w:rsid w:val="00B418DC"/>
    <w:rsid w:val="00B4288C"/>
    <w:rsid w:val="00B43262"/>
    <w:rsid w:val="00B44100"/>
    <w:rsid w:val="00B44B99"/>
    <w:rsid w:val="00B46CBA"/>
    <w:rsid w:val="00B46F94"/>
    <w:rsid w:val="00B51EEB"/>
    <w:rsid w:val="00B5428C"/>
    <w:rsid w:val="00B5500C"/>
    <w:rsid w:val="00B563E3"/>
    <w:rsid w:val="00B57DA8"/>
    <w:rsid w:val="00B6003C"/>
    <w:rsid w:val="00B61334"/>
    <w:rsid w:val="00B6181D"/>
    <w:rsid w:val="00B61B6C"/>
    <w:rsid w:val="00B61F03"/>
    <w:rsid w:val="00B626E4"/>
    <w:rsid w:val="00B638F4"/>
    <w:rsid w:val="00B640B9"/>
    <w:rsid w:val="00B64852"/>
    <w:rsid w:val="00B648AA"/>
    <w:rsid w:val="00B65376"/>
    <w:rsid w:val="00B65BBD"/>
    <w:rsid w:val="00B70226"/>
    <w:rsid w:val="00B7276F"/>
    <w:rsid w:val="00B729AA"/>
    <w:rsid w:val="00B72F4A"/>
    <w:rsid w:val="00B7311D"/>
    <w:rsid w:val="00B7317C"/>
    <w:rsid w:val="00B74848"/>
    <w:rsid w:val="00B74AD4"/>
    <w:rsid w:val="00B77A50"/>
    <w:rsid w:val="00B80915"/>
    <w:rsid w:val="00B812B9"/>
    <w:rsid w:val="00B81AD6"/>
    <w:rsid w:val="00B823FD"/>
    <w:rsid w:val="00B83049"/>
    <w:rsid w:val="00B83C27"/>
    <w:rsid w:val="00B84BC3"/>
    <w:rsid w:val="00B84BDD"/>
    <w:rsid w:val="00B8587E"/>
    <w:rsid w:val="00B85A9F"/>
    <w:rsid w:val="00B85EBB"/>
    <w:rsid w:val="00B872ED"/>
    <w:rsid w:val="00B87C13"/>
    <w:rsid w:val="00B90471"/>
    <w:rsid w:val="00B92812"/>
    <w:rsid w:val="00B946D7"/>
    <w:rsid w:val="00B9578D"/>
    <w:rsid w:val="00B95924"/>
    <w:rsid w:val="00B962D6"/>
    <w:rsid w:val="00B96878"/>
    <w:rsid w:val="00B97A62"/>
    <w:rsid w:val="00BA1079"/>
    <w:rsid w:val="00BA1966"/>
    <w:rsid w:val="00BA1F8F"/>
    <w:rsid w:val="00BA2B54"/>
    <w:rsid w:val="00BA2DA4"/>
    <w:rsid w:val="00BA3359"/>
    <w:rsid w:val="00BA45A5"/>
    <w:rsid w:val="00BA5758"/>
    <w:rsid w:val="00BA6BF8"/>
    <w:rsid w:val="00BA6EDA"/>
    <w:rsid w:val="00BB0C16"/>
    <w:rsid w:val="00BB0E4D"/>
    <w:rsid w:val="00BB256A"/>
    <w:rsid w:val="00BB2CEA"/>
    <w:rsid w:val="00BB38A3"/>
    <w:rsid w:val="00BB3920"/>
    <w:rsid w:val="00BB45A1"/>
    <w:rsid w:val="00BB4F17"/>
    <w:rsid w:val="00BB762A"/>
    <w:rsid w:val="00BB7686"/>
    <w:rsid w:val="00BB769C"/>
    <w:rsid w:val="00BB7C27"/>
    <w:rsid w:val="00BC0FEB"/>
    <w:rsid w:val="00BC1F4A"/>
    <w:rsid w:val="00BC2328"/>
    <w:rsid w:val="00BC23F9"/>
    <w:rsid w:val="00BC2673"/>
    <w:rsid w:val="00BC28C8"/>
    <w:rsid w:val="00BC3421"/>
    <w:rsid w:val="00BC3457"/>
    <w:rsid w:val="00BC3A3F"/>
    <w:rsid w:val="00BC546E"/>
    <w:rsid w:val="00BC659B"/>
    <w:rsid w:val="00BC732C"/>
    <w:rsid w:val="00BC7FF1"/>
    <w:rsid w:val="00BD194C"/>
    <w:rsid w:val="00BD1A2F"/>
    <w:rsid w:val="00BD38B8"/>
    <w:rsid w:val="00BD3D6C"/>
    <w:rsid w:val="00BD4421"/>
    <w:rsid w:val="00BD4639"/>
    <w:rsid w:val="00BD4F59"/>
    <w:rsid w:val="00BD55CD"/>
    <w:rsid w:val="00BD628D"/>
    <w:rsid w:val="00BD73F0"/>
    <w:rsid w:val="00BD78FE"/>
    <w:rsid w:val="00BE009E"/>
    <w:rsid w:val="00BE080C"/>
    <w:rsid w:val="00BE1E0C"/>
    <w:rsid w:val="00BE242E"/>
    <w:rsid w:val="00BE2580"/>
    <w:rsid w:val="00BE266D"/>
    <w:rsid w:val="00BE3423"/>
    <w:rsid w:val="00BE3938"/>
    <w:rsid w:val="00BE3F74"/>
    <w:rsid w:val="00BE4579"/>
    <w:rsid w:val="00BE4C11"/>
    <w:rsid w:val="00BE5C3A"/>
    <w:rsid w:val="00BE6805"/>
    <w:rsid w:val="00BE6C77"/>
    <w:rsid w:val="00BE71C0"/>
    <w:rsid w:val="00BE7963"/>
    <w:rsid w:val="00BE7E9F"/>
    <w:rsid w:val="00BF166F"/>
    <w:rsid w:val="00BF1959"/>
    <w:rsid w:val="00BF2BF0"/>
    <w:rsid w:val="00BF610C"/>
    <w:rsid w:val="00BF61D9"/>
    <w:rsid w:val="00BF795C"/>
    <w:rsid w:val="00BF79A6"/>
    <w:rsid w:val="00C0060B"/>
    <w:rsid w:val="00C01142"/>
    <w:rsid w:val="00C01A6C"/>
    <w:rsid w:val="00C020B9"/>
    <w:rsid w:val="00C0277D"/>
    <w:rsid w:val="00C02E93"/>
    <w:rsid w:val="00C04508"/>
    <w:rsid w:val="00C04574"/>
    <w:rsid w:val="00C053A1"/>
    <w:rsid w:val="00C056EB"/>
    <w:rsid w:val="00C0580F"/>
    <w:rsid w:val="00C10E6E"/>
    <w:rsid w:val="00C118C6"/>
    <w:rsid w:val="00C126C3"/>
    <w:rsid w:val="00C12935"/>
    <w:rsid w:val="00C131B9"/>
    <w:rsid w:val="00C13637"/>
    <w:rsid w:val="00C1377C"/>
    <w:rsid w:val="00C13AEA"/>
    <w:rsid w:val="00C14686"/>
    <w:rsid w:val="00C14AA0"/>
    <w:rsid w:val="00C16198"/>
    <w:rsid w:val="00C16DA5"/>
    <w:rsid w:val="00C206EF"/>
    <w:rsid w:val="00C20774"/>
    <w:rsid w:val="00C2083D"/>
    <w:rsid w:val="00C229CC"/>
    <w:rsid w:val="00C24A53"/>
    <w:rsid w:val="00C2564C"/>
    <w:rsid w:val="00C263A4"/>
    <w:rsid w:val="00C30678"/>
    <w:rsid w:val="00C316DC"/>
    <w:rsid w:val="00C320ED"/>
    <w:rsid w:val="00C32654"/>
    <w:rsid w:val="00C329AC"/>
    <w:rsid w:val="00C33600"/>
    <w:rsid w:val="00C33977"/>
    <w:rsid w:val="00C33F4D"/>
    <w:rsid w:val="00C34521"/>
    <w:rsid w:val="00C34658"/>
    <w:rsid w:val="00C34A05"/>
    <w:rsid w:val="00C3535D"/>
    <w:rsid w:val="00C35804"/>
    <w:rsid w:val="00C35CCE"/>
    <w:rsid w:val="00C37B0C"/>
    <w:rsid w:val="00C4032F"/>
    <w:rsid w:val="00C42E0E"/>
    <w:rsid w:val="00C43088"/>
    <w:rsid w:val="00C43EE9"/>
    <w:rsid w:val="00C44047"/>
    <w:rsid w:val="00C4467A"/>
    <w:rsid w:val="00C45155"/>
    <w:rsid w:val="00C507D0"/>
    <w:rsid w:val="00C5498F"/>
    <w:rsid w:val="00C55235"/>
    <w:rsid w:val="00C5655E"/>
    <w:rsid w:val="00C614C5"/>
    <w:rsid w:val="00C62BA8"/>
    <w:rsid w:val="00C62E64"/>
    <w:rsid w:val="00C63346"/>
    <w:rsid w:val="00C63C94"/>
    <w:rsid w:val="00C64CD0"/>
    <w:rsid w:val="00C64D2A"/>
    <w:rsid w:val="00C64EC2"/>
    <w:rsid w:val="00C6684F"/>
    <w:rsid w:val="00C67BA4"/>
    <w:rsid w:val="00C70521"/>
    <w:rsid w:val="00C70AED"/>
    <w:rsid w:val="00C70BF0"/>
    <w:rsid w:val="00C70E70"/>
    <w:rsid w:val="00C71E26"/>
    <w:rsid w:val="00C72342"/>
    <w:rsid w:val="00C72B62"/>
    <w:rsid w:val="00C72D16"/>
    <w:rsid w:val="00C730E9"/>
    <w:rsid w:val="00C73FF3"/>
    <w:rsid w:val="00C75691"/>
    <w:rsid w:val="00C75C93"/>
    <w:rsid w:val="00C75E75"/>
    <w:rsid w:val="00C75F8D"/>
    <w:rsid w:val="00C765B1"/>
    <w:rsid w:val="00C76E03"/>
    <w:rsid w:val="00C77380"/>
    <w:rsid w:val="00C77587"/>
    <w:rsid w:val="00C801DB"/>
    <w:rsid w:val="00C809F6"/>
    <w:rsid w:val="00C82764"/>
    <w:rsid w:val="00C82A63"/>
    <w:rsid w:val="00C82D5A"/>
    <w:rsid w:val="00C832C1"/>
    <w:rsid w:val="00C8423B"/>
    <w:rsid w:val="00C8476E"/>
    <w:rsid w:val="00C84A5A"/>
    <w:rsid w:val="00C86A5B"/>
    <w:rsid w:val="00C86FCA"/>
    <w:rsid w:val="00C87E19"/>
    <w:rsid w:val="00C87E8A"/>
    <w:rsid w:val="00C90BE7"/>
    <w:rsid w:val="00C9398C"/>
    <w:rsid w:val="00C941A8"/>
    <w:rsid w:val="00C9473A"/>
    <w:rsid w:val="00C97736"/>
    <w:rsid w:val="00C9786A"/>
    <w:rsid w:val="00C97A99"/>
    <w:rsid w:val="00CA04A0"/>
    <w:rsid w:val="00CA12F3"/>
    <w:rsid w:val="00CA17FE"/>
    <w:rsid w:val="00CA314F"/>
    <w:rsid w:val="00CA345A"/>
    <w:rsid w:val="00CA370D"/>
    <w:rsid w:val="00CA3F5D"/>
    <w:rsid w:val="00CA4C49"/>
    <w:rsid w:val="00CA5151"/>
    <w:rsid w:val="00CA6E68"/>
    <w:rsid w:val="00CA7BE2"/>
    <w:rsid w:val="00CB001D"/>
    <w:rsid w:val="00CB0369"/>
    <w:rsid w:val="00CB1340"/>
    <w:rsid w:val="00CB1E82"/>
    <w:rsid w:val="00CB4A4D"/>
    <w:rsid w:val="00CB4BA8"/>
    <w:rsid w:val="00CB52D7"/>
    <w:rsid w:val="00CC1567"/>
    <w:rsid w:val="00CC3397"/>
    <w:rsid w:val="00CC3CF2"/>
    <w:rsid w:val="00CC4572"/>
    <w:rsid w:val="00CC465E"/>
    <w:rsid w:val="00CC60D7"/>
    <w:rsid w:val="00CC6732"/>
    <w:rsid w:val="00CC6A88"/>
    <w:rsid w:val="00CC6C74"/>
    <w:rsid w:val="00CC7A1A"/>
    <w:rsid w:val="00CD0402"/>
    <w:rsid w:val="00CD0568"/>
    <w:rsid w:val="00CD26E2"/>
    <w:rsid w:val="00CD29ED"/>
    <w:rsid w:val="00CD3B75"/>
    <w:rsid w:val="00CD5635"/>
    <w:rsid w:val="00CD6360"/>
    <w:rsid w:val="00CD7FC2"/>
    <w:rsid w:val="00CE100A"/>
    <w:rsid w:val="00CE1C93"/>
    <w:rsid w:val="00CE3451"/>
    <w:rsid w:val="00CE3755"/>
    <w:rsid w:val="00CE3C96"/>
    <w:rsid w:val="00CE4B12"/>
    <w:rsid w:val="00CE4C53"/>
    <w:rsid w:val="00CE51A8"/>
    <w:rsid w:val="00CE73EE"/>
    <w:rsid w:val="00CF265A"/>
    <w:rsid w:val="00CF27D2"/>
    <w:rsid w:val="00CF367F"/>
    <w:rsid w:val="00CF369B"/>
    <w:rsid w:val="00CF5DC7"/>
    <w:rsid w:val="00CF61C8"/>
    <w:rsid w:val="00CF6229"/>
    <w:rsid w:val="00CF7088"/>
    <w:rsid w:val="00CF7763"/>
    <w:rsid w:val="00CF77A9"/>
    <w:rsid w:val="00CF77AA"/>
    <w:rsid w:val="00CF7DDC"/>
    <w:rsid w:val="00CF7F26"/>
    <w:rsid w:val="00D001CA"/>
    <w:rsid w:val="00D00BAD"/>
    <w:rsid w:val="00D00E28"/>
    <w:rsid w:val="00D012C8"/>
    <w:rsid w:val="00D0134C"/>
    <w:rsid w:val="00D01689"/>
    <w:rsid w:val="00D0269E"/>
    <w:rsid w:val="00D02AB9"/>
    <w:rsid w:val="00D048ED"/>
    <w:rsid w:val="00D04BB2"/>
    <w:rsid w:val="00D04C70"/>
    <w:rsid w:val="00D05D6C"/>
    <w:rsid w:val="00D06E5B"/>
    <w:rsid w:val="00D10445"/>
    <w:rsid w:val="00D11312"/>
    <w:rsid w:val="00D11877"/>
    <w:rsid w:val="00D11EC3"/>
    <w:rsid w:val="00D125F6"/>
    <w:rsid w:val="00D1323C"/>
    <w:rsid w:val="00D13464"/>
    <w:rsid w:val="00D15810"/>
    <w:rsid w:val="00D16307"/>
    <w:rsid w:val="00D16D4E"/>
    <w:rsid w:val="00D16FE3"/>
    <w:rsid w:val="00D17B05"/>
    <w:rsid w:val="00D2093D"/>
    <w:rsid w:val="00D21C44"/>
    <w:rsid w:val="00D24143"/>
    <w:rsid w:val="00D242CB"/>
    <w:rsid w:val="00D26332"/>
    <w:rsid w:val="00D26D30"/>
    <w:rsid w:val="00D26F8A"/>
    <w:rsid w:val="00D27234"/>
    <w:rsid w:val="00D277D4"/>
    <w:rsid w:val="00D278A0"/>
    <w:rsid w:val="00D27F41"/>
    <w:rsid w:val="00D30C17"/>
    <w:rsid w:val="00D320FE"/>
    <w:rsid w:val="00D33BC1"/>
    <w:rsid w:val="00D33EA2"/>
    <w:rsid w:val="00D35B70"/>
    <w:rsid w:val="00D35DA1"/>
    <w:rsid w:val="00D36441"/>
    <w:rsid w:val="00D368BD"/>
    <w:rsid w:val="00D37645"/>
    <w:rsid w:val="00D4064E"/>
    <w:rsid w:val="00D42DEC"/>
    <w:rsid w:val="00D441B5"/>
    <w:rsid w:val="00D443B4"/>
    <w:rsid w:val="00D448B0"/>
    <w:rsid w:val="00D44E9B"/>
    <w:rsid w:val="00D45FD2"/>
    <w:rsid w:val="00D479BD"/>
    <w:rsid w:val="00D47AEB"/>
    <w:rsid w:val="00D50130"/>
    <w:rsid w:val="00D5059C"/>
    <w:rsid w:val="00D50A89"/>
    <w:rsid w:val="00D50DB9"/>
    <w:rsid w:val="00D50F37"/>
    <w:rsid w:val="00D51302"/>
    <w:rsid w:val="00D52C43"/>
    <w:rsid w:val="00D5317C"/>
    <w:rsid w:val="00D54554"/>
    <w:rsid w:val="00D547A8"/>
    <w:rsid w:val="00D54AFB"/>
    <w:rsid w:val="00D55679"/>
    <w:rsid w:val="00D55E13"/>
    <w:rsid w:val="00D579F4"/>
    <w:rsid w:val="00D61216"/>
    <w:rsid w:val="00D62F4B"/>
    <w:rsid w:val="00D63067"/>
    <w:rsid w:val="00D6507F"/>
    <w:rsid w:val="00D66D2E"/>
    <w:rsid w:val="00D67F72"/>
    <w:rsid w:val="00D70313"/>
    <w:rsid w:val="00D70542"/>
    <w:rsid w:val="00D714CE"/>
    <w:rsid w:val="00D72637"/>
    <w:rsid w:val="00D72F87"/>
    <w:rsid w:val="00D730BC"/>
    <w:rsid w:val="00D73912"/>
    <w:rsid w:val="00D74F98"/>
    <w:rsid w:val="00D7570C"/>
    <w:rsid w:val="00D75BEC"/>
    <w:rsid w:val="00D76FE6"/>
    <w:rsid w:val="00D770BE"/>
    <w:rsid w:val="00D77A6D"/>
    <w:rsid w:val="00D77BDB"/>
    <w:rsid w:val="00D81031"/>
    <w:rsid w:val="00D82856"/>
    <w:rsid w:val="00D834D4"/>
    <w:rsid w:val="00D83715"/>
    <w:rsid w:val="00D844EE"/>
    <w:rsid w:val="00D84CB0"/>
    <w:rsid w:val="00D85226"/>
    <w:rsid w:val="00D85C8F"/>
    <w:rsid w:val="00D8630A"/>
    <w:rsid w:val="00D87170"/>
    <w:rsid w:val="00D876F8"/>
    <w:rsid w:val="00D87B94"/>
    <w:rsid w:val="00D902B8"/>
    <w:rsid w:val="00D92093"/>
    <w:rsid w:val="00D92D49"/>
    <w:rsid w:val="00D92EC1"/>
    <w:rsid w:val="00D934A0"/>
    <w:rsid w:val="00D96DEA"/>
    <w:rsid w:val="00DA0789"/>
    <w:rsid w:val="00DA1918"/>
    <w:rsid w:val="00DA1A31"/>
    <w:rsid w:val="00DA1E39"/>
    <w:rsid w:val="00DA1FF5"/>
    <w:rsid w:val="00DA23A7"/>
    <w:rsid w:val="00DA26D8"/>
    <w:rsid w:val="00DA4433"/>
    <w:rsid w:val="00DA4B6A"/>
    <w:rsid w:val="00DA4E41"/>
    <w:rsid w:val="00DA5E62"/>
    <w:rsid w:val="00DA5EFE"/>
    <w:rsid w:val="00DA67FE"/>
    <w:rsid w:val="00DA6B7C"/>
    <w:rsid w:val="00DA6E80"/>
    <w:rsid w:val="00DA76AF"/>
    <w:rsid w:val="00DA7D56"/>
    <w:rsid w:val="00DB0C47"/>
    <w:rsid w:val="00DB1009"/>
    <w:rsid w:val="00DB117A"/>
    <w:rsid w:val="00DB13C6"/>
    <w:rsid w:val="00DB1EE0"/>
    <w:rsid w:val="00DB2277"/>
    <w:rsid w:val="00DB2AA5"/>
    <w:rsid w:val="00DB482B"/>
    <w:rsid w:val="00DB4BFB"/>
    <w:rsid w:val="00DB5173"/>
    <w:rsid w:val="00DB63F3"/>
    <w:rsid w:val="00DB6ADE"/>
    <w:rsid w:val="00DB6E33"/>
    <w:rsid w:val="00DB7014"/>
    <w:rsid w:val="00DB77A4"/>
    <w:rsid w:val="00DB7873"/>
    <w:rsid w:val="00DC086B"/>
    <w:rsid w:val="00DC187B"/>
    <w:rsid w:val="00DC253E"/>
    <w:rsid w:val="00DC296C"/>
    <w:rsid w:val="00DC3016"/>
    <w:rsid w:val="00DC581A"/>
    <w:rsid w:val="00DC7C3F"/>
    <w:rsid w:val="00DC7DEF"/>
    <w:rsid w:val="00DD0ACF"/>
    <w:rsid w:val="00DD147C"/>
    <w:rsid w:val="00DD150E"/>
    <w:rsid w:val="00DD1A43"/>
    <w:rsid w:val="00DD2CE2"/>
    <w:rsid w:val="00DD2F4F"/>
    <w:rsid w:val="00DD43E1"/>
    <w:rsid w:val="00DD4452"/>
    <w:rsid w:val="00DD4C20"/>
    <w:rsid w:val="00DD4FD9"/>
    <w:rsid w:val="00DD5A30"/>
    <w:rsid w:val="00DD73C2"/>
    <w:rsid w:val="00DD7C6D"/>
    <w:rsid w:val="00DE2FFC"/>
    <w:rsid w:val="00DE319B"/>
    <w:rsid w:val="00DE327D"/>
    <w:rsid w:val="00DE33EB"/>
    <w:rsid w:val="00DE35C2"/>
    <w:rsid w:val="00DE38E9"/>
    <w:rsid w:val="00DE6C9F"/>
    <w:rsid w:val="00DE6CF9"/>
    <w:rsid w:val="00DE6F72"/>
    <w:rsid w:val="00DE7308"/>
    <w:rsid w:val="00DE7C9C"/>
    <w:rsid w:val="00DE7FA9"/>
    <w:rsid w:val="00DF0D27"/>
    <w:rsid w:val="00DF2505"/>
    <w:rsid w:val="00DF26A7"/>
    <w:rsid w:val="00DF30BE"/>
    <w:rsid w:val="00DF34FE"/>
    <w:rsid w:val="00DF4FC7"/>
    <w:rsid w:val="00DF56AA"/>
    <w:rsid w:val="00DF56AF"/>
    <w:rsid w:val="00DF58E7"/>
    <w:rsid w:val="00DF6018"/>
    <w:rsid w:val="00DF6848"/>
    <w:rsid w:val="00DF78E7"/>
    <w:rsid w:val="00DF7E27"/>
    <w:rsid w:val="00E01997"/>
    <w:rsid w:val="00E035C4"/>
    <w:rsid w:val="00E041D2"/>
    <w:rsid w:val="00E042F6"/>
    <w:rsid w:val="00E0503A"/>
    <w:rsid w:val="00E05799"/>
    <w:rsid w:val="00E06E1E"/>
    <w:rsid w:val="00E06F6C"/>
    <w:rsid w:val="00E07D5B"/>
    <w:rsid w:val="00E100A1"/>
    <w:rsid w:val="00E109C3"/>
    <w:rsid w:val="00E10E58"/>
    <w:rsid w:val="00E110E0"/>
    <w:rsid w:val="00E125AF"/>
    <w:rsid w:val="00E12832"/>
    <w:rsid w:val="00E12ED3"/>
    <w:rsid w:val="00E14191"/>
    <w:rsid w:val="00E15371"/>
    <w:rsid w:val="00E15821"/>
    <w:rsid w:val="00E15DFA"/>
    <w:rsid w:val="00E16EDE"/>
    <w:rsid w:val="00E20541"/>
    <w:rsid w:val="00E20577"/>
    <w:rsid w:val="00E20884"/>
    <w:rsid w:val="00E221A0"/>
    <w:rsid w:val="00E23372"/>
    <w:rsid w:val="00E235EB"/>
    <w:rsid w:val="00E23F92"/>
    <w:rsid w:val="00E24104"/>
    <w:rsid w:val="00E25BF8"/>
    <w:rsid w:val="00E26491"/>
    <w:rsid w:val="00E302D0"/>
    <w:rsid w:val="00E319D9"/>
    <w:rsid w:val="00E32FD9"/>
    <w:rsid w:val="00E345A9"/>
    <w:rsid w:val="00E35091"/>
    <w:rsid w:val="00E35707"/>
    <w:rsid w:val="00E36AA1"/>
    <w:rsid w:val="00E36C3E"/>
    <w:rsid w:val="00E37410"/>
    <w:rsid w:val="00E3762B"/>
    <w:rsid w:val="00E4061B"/>
    <w:rsid w:val="00E40A2D"/>
    <w:rsid w:val="00E416D9"/>
    <w:rsid w:val="00E41B74"/>
    <w:rsid w:val="00E41ECB"/>
    <w:rsid w:val="00E42676"/>
    <w:rsid w:val="00E42DFF"/>
    <w:rsid w:val="00E43F2C"/>
    <w:rsid w:val="00E443F8"/>
    <w:rsid w:val="00E45231"/>
    <w:rsid w:val="00E45ABA"/>
    <w:rsid w:val="00E46CF8"/>
    <w:rsid w:val="00E47E86"/>
    <w:rsid w:val="00E505F5"/>
    <w:rsid w:val="00E53D8F"/>
    <w:rsid w:val="00E53DE2"/>
    <w:rsid w:val="00E5435E"/>
    <w:rsid w:val="00E543BB"/>
    <w:rsid w:val="00E54FDB"/>
    <w:rsid w:val="00E559EA"/>
    <w:rsid w:val="00E55CEA"/>
    <w:rsid w:val="00E5617D"/>
    <w:rsid w:val="00E563D7"/>
    <w:rsid w:val="00E56830"/>
    <w:rsid w:val="00E56E03"/>
    <w:rsid w:val="00E57A7D"/>
    <w:rsid w:val="00E60C71"/>
    <w:rsid w:val="00E62216"/>
    <w:rsid w:val="00E63992"/>
    <w:rsid w:val="00E639E3"/>
    <w:rsid w:val="00E63E24"/>
    <w:rsid w:val="00E64BF4"/>
    <w:rsid w:val="00E65172"/>
    <w:rsid w:val="00E663F4"/>
    <w:rsid w:val="00E666F2"/>
    <w:rsid w:val="00E66DD4"/>
    <w:rsid w:val="00E70CE4"/>
    <w:rsid w:val="00E711E1"/>
    <w:rsid w:val="00E716EC"/>
    <w:rsid w:val="00E72268"/>
    <w:rsid w:val="00E72696"/>
    <w:rsid w:val="00E72AEE"/>
    <w:rsid w:val="00E74164"/>
    <w:rsid w:val="00E74633"/>
    <w:rsid w:val="00E748CC"/>
    <w:rsid w:val="00E75415"/>
    <w:rsid w:val="00E775B1"/>
    <w:rsid w:val="00E804C4"/>
    <w:rsid w:val="00E8152A"/>
    <w:rsid w:val="00E81E69"/>
    <w:rsid w:val="00E84D4A"/>
    <w:rsid w:val="00E853A8"/>
    <w:rsid w:val="00E85A03"/>
    <w:rsid w:val="00E87614"/>
    <w:rsid w:val="00E9285C"/>
    <w:rsid w:val="00E92F09"/>
    <w:rsid w:val="00E93629"/>
    <w:rsid w:val="00E93B5C"/>
    <w:rsid w:val="00E9498A"/>
    <w:rsid w:val="00E94CEC"/>
    <w:rsid w:val="00E95104"/>
    <w:rsid w:val="00E972F1"/>
    <w:rsid w:val="00EA04EF"/>
    <w:rsid w:val="00EA0D0F"/>
    <w:rsid w:val="00EA10F8"/>
    <w:rsid w:val="00EA1EBC"/>
    <w:rsid w:val="00EA23EB"/>
    <w:rsid w:val="00EA2817"/>
    <w:rsid w:val="00EA2955"/>
    <w:rsid w:val="00EA43FD"/>
    <w:rsid w:val="00EA4C2F"/>
    <w:rsid w:val="00EA5755"/>
    <w:rsid w:val="00EA5B42"/>
    <w:rsid w:val="00EA6F19"/>
    <w:rsid w:val="00EA7244"/>
    <w:rsid w:val="00EB0846"/>
    <w:rsid w:val="00EB1876"/>
    <w:rsid w:val="00EB2471"/>
    <w:rsid w:val="00EB24C2"/>
    <w:rsid w:val="00EB25E7"/>
    <w:rsid w:val="00EB2A85"/>
    <w:rsid w:val="00EB682A"/>
    <w:rsid w:val="00EB7090"/>
    <w:rsid w:val="00EB7945"/>
    <w:rsid w:val="00EC1BBE"/>
    <w:rsid w:val="00EC29F5"/>
    <w:rsid w:val="00EC2B68"/>
    <w:rsid w:val="00EC30F0"/>
    <w:rsid w:val="00EC364C"/>
    <w:rsid w:val="00EC3AEF"/>
    <w:rsid w:val="00EC3F9F"/>
    <w:rsid w:val="00EC45C4"/>
    <w:rsid w:val="00EC53C1"/>
    <w:rsid w:val="00EC564B"/>
    <w:rsid w:val="00EC5723"/>
    <w:rsid w:val="00EC5CD7"/>
    <w:rsid w:val="00EC72C6"/>
    <w:rsid w:val="00EC7464"/>
    <w:rsid w:val="00EC7947"/>
    <w:rsid w:val="00EC7AF5"/>
    <w:rsid w:val="00EC7B9D"/>
    <w:rsid w:val="00EC7DE5"/>
    <w:rsid w:val="00ED0F46"/>
    <w:rsid w:val="00ED394D"/>
    <w:rsid w:val="00ED3991"/>
    <w:rsid w:val="00ED4332"/>
    <w:rsid w:val="00ED48D1"/>
    <w:rsid w:val="00ED50E5"/>
    <w:rsid w:val="00ED5964"/>
    <w:rsid w:val="00EE16DF"/>
    <w:rsid w:val="00EE1E37"/>
    <w:rsid w:val="00EE28EC"/>
    <w:rsid w:val="00EE35F2"/>
    <w:rsid w:val="00EE38A3"/>
    <w:rsid w:val="00EE4943"/>
    <w:rsid w:val="00EE5FB3"/>
    <w:rsid w:val="00EE6D4F"/>
    <w:rsid w:val="00EE728F"/>
    <w:rsid w:val="00EE78C7"/>
    <w:rsid w:val="00EE78D3"/>
    <w:rsid w:val="00EE7F79"/>
    <w:rsid w:val="00EF0B1A"/>
    <w:rsid w:val="00EF2A8D"/>
    <w:rsid w:val="00EF5096"/>
    <w:rsid w:val="00EF62C3"/>
    <w:rsid w:val="00EF6608"/>
    <w:rsid w:val="00EF715A"/>
    <w:rsid w:val="00F007B0"/>
    <w:rsid w:val="00F01BC3"/>
    <w:rsid w:val="00F022F5"/>
    <w:rsid w:val="00F02697"/>
    <w:rsid w:val="00F03268"/>
    <w:rsid w:val="00F06E14"/>
    <w:rsid w:val="00F071AB"/>
    <w:rsid w:val="00F1022A"/>
    <w:rsid w:val="00F10422"/>
    <w:rsid w:val="00F1202B"/>
    <w:rsid w:val="00F12662"/>
    <w:rsid w:val="00F13C8C"/>
    <w:rsid w:val="00F170B4"/>
    <w:rsid w:val="00F174EE"/>
    <w:rsid w:val="00F179D4"/>
    <w:rsid w:val="00F206AA"/>
    <w:rsid w:val="00F21175"/>
    <w:rsid w:val="00F21462"/>
    <w:rsid w:val="00F2173B"/>
    <w:rsid w:val="00F21957"/>
    <w:rsid w:val="00F21A1E"/>
    <w:rsid w:val="00F22176"/>
    <w:rsid w:val="00F22354"/>
    <w:rsid w:val="00F2443F"/>
    <w:rsid w:val="00F2603C"/>
    <w:rsid w:val="00F267F3"/>
    <w:rsid w:val="00F27B5B"/>
    <w:rsid w:val="00F3215C"/>
    <w:rsid w:val="00F32C5F"/>
    <w:rsid w:val="00F33C56"/>
    <w:rsid w:val="00F34147"/>
    <w:rsid w:val="00F347C7"/>
    <w:rsid w:val="00F34848"/>
    <w:rsid w:val="00F34B2E"/>
    <w:rsid w:val="00F356B4"/>
    <w:rsid w:val="00F364DC"/>
    <w:rsid w:val="00F36AF3"/>
    <w:rsid w:val="00F36D35"/>
    <w:rsid w:val="00F372ED"/>
    <w:rsid w:val="00F40AB0"/>
    <w:rsid w:val="00F41F8B"/>
    <w:rsid w:val="00F42D46"/>
    <w:rsid w:val="00F4399F"/>
    <w:rsid w:val="00F4496C"/>
    <w:rsid w:val="00F449E5"/>
    <w:rsid w:val="00F44E40"/>
    <w:rsid w:val="00F44ECC"/>
    <w:rsid w:val="00F44F3A"/>
    <w:rsid w:val="00F45CAA"/>
    <w:rsid w:val="00F45DD5"/>
    <w:rsid w:val="00F45FD0"/>
    <w:rsid w:val="00F466D5"/>
    <w:rsid w:val="00F47749"/>
    <w:rsid w:val="00F47EAA"/>
    <w:rsid w:val="00F50601"/>
    <w:rsid w:val="00F50823"/>
    <w:rsid w:val="00F5127F"/>
    <w:rsid w:val="00F51645"/>
    <w:rsid w:val="00F518C2"/>
    <w:rsid w:val="00F51F10"/>
    <w:rsid w:val="00F529A5"/>
    <w:rsid w:val="00F530B3"/>
    <w:rsid w:val="00F5325F"/>
    <w:rsid w:val="00F53D35"/>
    <w:rsid w:val="00F5616E"/>
    <w:rsid w:val="00F56718"/>
    <w:rsid w:val="00F609B5"/>
    <w:rsid w:val="00F60F00"/>
    <w:rsid w:val="00F614C0"/>
    <w:rsid w:val="00F61A6A"/>
    <w:rsid w:val="00F61C77"/>
    <w:rsid w:val="00F63C47"/>
    <w:rsid w:val="00F64F6C"/>
    <w:rsid w:val="00F67A74"/>
    <w:rsid w:val="00F70DF5"/>
    <w:rsid w:val="00F71570"/>
    <w:rsid w:val="00F74E14"/>
    <w:rsid w:val="00F763E0"/>
    <w:rsid w:val="00F76BD2"/>
    <w:rsid w:val="00F76DCF"/>
    <w:rsid w:val="00F77010"/>
    <w:rsid w:val="00F7716F"/>
    <w:rsid w:val="00F779AF"/>
    <w:rsid w:val="00F8076E"/>
    <w:rsid w:val="00F8134B"/>
    <w:rsid w:val="00F816AF"/>
    <w:rsid w:val="00F81C32"/>
    <w:rsid w:val="00F81D06"/>
    <w:rsid w:val="00F824D0"/>
    <w:rsid w:val="00F82FC5"/>
    <w:rsid w:val="00F83848"/>
    <w:rsid w:val="00F845FA"/>
    <w:rsid w:val="00F86A9C"/>
    <w:rsid w:val="00F877B2"/>
    <w:rsid w:val="00F87C4D"/>
    <w:rsid w:val="00F87F8C"/>
    <w:rsid w:val="00F906B9"/>
    <w:rsid w:val="00F90D58"/>
    <w:rsid w:val="00F9425B"/>
    <w:rsid w:val="00F94262"/>
    <w:rsid w:val="00F95570"/>
    <w:rsid w:val="00F95A90"/>
    <w:rsid w:val="00F96C74"/>
    <w:rsid w:val="00F96F72"/>
    <w:rsid w:val="00F975A7"/>
    <w:rsid w:val="00F975E9"/>
    <w:rsid w:val="00F97C74"/>
    <w:rsid w:val="00F97EDF"/>
    <w:rsid w:val="00FA0251"/>
    <w:rsid w:val="00FA0800"/>
    <w:rsid w:val="00FA14B8"/>
    <w:rsid w:val="00FA191A"/>
    <w:rsid w:val="00FA1B7D"/>
    <w:rsid w:val="00FA2380"/>
    <w:rsid w:val="00FA2478"/>
    <w:rsid w:val="00FA2D55"/>
    <w:rsid w:val="00FA2F99"/>
    <w:rsid w:val="00FA3E90"/>
    <w:rsid w:val="00FA40C1"/>
    <w:rsid w:val="00FA4307"/>
    <w:rsid w:val="00FA4DCC"/>
    <w:rsid w:val="00FA5274"/>
    <w:rsid w:val="00FA6124"/>
    <w:rsid w:val="00FA6265"/>
    <w:rsid w:val="00FB0C06"/>
    <w:rsid w:val="00FB15A0"/>
    <w:rsid w:val="00FB2D60"/>
    <w:rsid w:val="00FB3131"/>
    <w:rsid w:val="00FB3438"/>
    <w:rsid w:val="00FB3D21"/>
    <w:rsid w:val="00FB40FF"/>
    <w:rsid w:val="00FB436E"/>
    <w:rsid w:val="00FB5303"/>
    <w:rsid w:val="00FB62C7"/>
    <w:rsid w:val="00FC07B9"/>
    <w:rsid w:val="00FC27DF"/>
    <w:rsid w:val="00FC3594"/>
    <w:rsid w:val="00FC4403"/>
    <w:rsid w:val="00FC44CA"/>
    <w:rsid w:val="00FC4E21"/>
    <w:rsid w:val="00FC5F6D"/>
    <w:rsid w:val="00FC62E0"/>
    <w:rsid w:val="00FC69E0"/>
    <w:rsid w:val="00FD0107"/>
    <w:rsid w:val="00FD2C2F"/>
    <w:rsid w:val="00FD317E"/>
    <w:rsid w:val="00FD3371"/>
    <w:rsid w:val="00FD380E"/>
    <w:rsid w:val="00FD3A8C"/>
    <w:rsid w:val="00FD3B31"/>
    <w:rsid w:val="00FD4639"/>
    <w:rsid w:val="00FD4649"/>
    <w:rsid w:val="00FD5C24"/>
    <w:rsid w:val="00FD667C"/>
    <w:rsid w:val="00FD7ECA"/>
    <w:rsid w:val="00FE1823"/>
    <w:rsid w:val="00FE1BD1"/>
    <w:rsid w:val="00FE2CBE"/>
    <w:rsid w:val="00FE30D2"/>
    <w:rsid w:val="00FE33FC"/>
    <w:rsid w:val="00FE382E"/>
    <w:rsid w:val="00FE44A7"/>
    <w:rsid w:val="00FE487A"/>
    <w:rsid w:val="00FE5993"/>
    <w:rsid w:val="00FF0569"/>
    <w:rsid w:val="00FF206E"/>
    <w:rsid w:val="00FF2208"/>
    <w:rsid w:val="00FF2505"/>
    <w:rsid w:val="00FF36B2"/>
    <w:rsid w:val="00FF3C69"/>
    <w:rsid w:val="00FF3F88"/>
    <w:rsid w:val="00FF45D6"/>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43E6EF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2"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C6E44"/>
    <w:pPr>
      <w:spacing w:after="240" w:line="240" w:lineRule="atLeast"/>
    </w:pPr>
    <w:rPr>
      <w:rFonts w:ascii="Arial" w:hAnsi="Arial"/>
      <w:sz w:val="20"/>
    </w:rPr>
  </w:style>
  <w:style w:type="paragraph" w:styleId="Heading1">
    <w:name w:val="heading 1"/>
    <w:basedOn w:val="Normal"/>
    <w:next w:val="Normal"/>
    <w:link w:val="Heading1Char"/>
    <w:uiPriority w:val="9"/>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9"/>
    <w:qFormat/>
    <w:rsid w:val="00F87C4D"/>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Footnote text"/>
    <w:basedOn w:val="Normal"/>
    <w:link w:val="FootnoteTextChar"/>
    <w:uiPriority w:val="99"/>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tabs>
        <w:tab w:val="num" w:pos="1021"/>
      </w:tabs>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9"/>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9"/>
    <w:rsid w:val="00F87C4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uiPriority w:val="3"/>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145CD1"/>
    <w:pPr>
      <w:keepNext/>
      <w:spacing w:line="240" w:lineRule="atLeast"/>
      <w:ind w:left="1021"/>
    </w:pPr>
  </w:style>
  <w:style w:type="paragraph" w:customStyle="1" w:styleId="Tableorfigurenotemultiple">
    <w:name w:val="Table or figure note multiple"/>
    <w:basedOn w:val="Tableorfigurenote"/>
    <w:uiPriority w:val="18"/>
    <w:qFormat/>
    <w:rsid w:val="00930510"/>
    <w:pPr>
      <w:spacing w:after="80"/>
    </w:pPr>
  </w:style>
  <w:style w:type="character" w:customStyle="1" w:styleId="FootnoteTextChar">
    <w:name w:val="Footnote Text Char"/>
    <w:aliases w:val="Footnote text Char"/>
    <w:basedOn w:val="DefaultParagraphFont"/>
    <w:link w:val="FootnoteText"/>
    <w:uiPriority w:val="99"/>
    <w:rsid w:val="004065C8"/>
    <w:rPr>
      <w:rFonts w:ascii="Arial" w:hAnsi="Arial"/>
      <w:sz w:val="16"/>
      <w:szCs w:val="16"/>
    </w:rPr>
  </w:style>
  <w:style w:type="paragraph" w:styleId="BalloonText">
    <w:name w:val="Balloon Text"/>
    <w:basedOn w:val="Normal"/>
    <w:link w:val="BalloonTextChar"/>
    <w:semiHidden/>
    <w:unhideWhenUsed/>
    <w:rsid w:val="00191D1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191D19"/>
    <w:rPr>
      <w:rFonts w:ascii="Segoe UI" w:hAnsi="Segoe UI" w:cs="Segoe UI"/>
      <w:sz w:val="18"/>
      <w:szCs w:val="18"/>
    </w:rPr>
  </w:style>
  <w:style w:type="paragraph" w:styleId="ListParagraph">
    <w:name w:val="List Paragraph"/>
    <w:aliases w:val="Recommendation,List Paragraph1,List Paragraph11,L,Numbered paragraph,Bullets,NFP GP Bulleted List,FooterText,numbered,Paragraphe de liste1,Bulletr List Paragraph,列出段落,列出段落1,List Paragraph2,List Paragraph21,Listeafsnit1,Parágrafo da Lista1"/>
    <w:basedOn w:val="Normal"/>
    <w:link w:val="ListParagraphChar"/>
    <w:qFormat/>
    <w:rsid w:val="00AE140E"/>
    <w:pPr>
      <w:ind w:left="720"/>
      <w:contextualSpacing/>
    </w:pPr>
  </w:style>
  <w:style w:type="paragraph" w:styleId="Revision">
    <w:name w:val="Revision"/>
    <w:hidden/>
    <w:semiHidden/>
    <w:rsid w:val="00F41F8B"/>
    <w:rPr>
      <w:rFonts w:ascii="Arial" w:hAnsi="Arial"/>
      <w:sz w:val="20"/>
    </w:rPr>
  </w:style>
  <w:style w:type="paragraph" w:styleId="NormalWeb">
    <w:name w:val="Normal (Web)"/>
    <w:basedOn w:val="Normal"/>
    <w:uiPriority w:val="99"/>
    <w:semiHidden/>
    <w:unhideWhenUsed/>
    <w:rsid w:val="006E2EE7"/>
    <w:pPr>
      <w:spacing w:before="100" w:beforeAutospacing="1" w:after="100" w:afterAutospacing="1" w:line="240" w:lineRule="auto"/>
    </w:pPr>
    <w:rPr>
      <w:rFonts w:ascii="Times New Roman" w:hAnsi="Times New Roman"/>
      <w:sz w:val="24"/>
    </w:rPr>
  </w:style>
  <w:style w:type="character" w:customStyle="1" w:styleId="ListParagraphChar">
    <w:name w:val="List Paragraph Char"/>
    <w:aliases w:val="Recommendation Char,List Paragraph1 Char,List Paragraph11 Char,L Char,Numbered paragraph Char,Bullets Char,NFP GP Bulleted List Char,FooterText Char,numbered Char,Paragraphe de liste1 Char,Bulletr List Paragraph Char,列出段落 Char"/>
    <w:link w:val="ListParagraph"/>
    <w:locked/>
    <w:rsid w:val="00AE140E"/>
    <w:rPr>
      <w:rFonts w:ascii="Arial" w:hAnsi="Arial"/>
      <w:sz w:val="20"/>
    </w:rPr>
  </w:style>
  <w:style w:type="paragraph" w:customStyle="1" w:styleId="Protectivemarking">
    <w:name w:val="Protective marking"/>
    <w:basedOn w:val="Normal"/>
    <w:uiPriority w:val="99"/>
    <w:qFormat/>
    <w:rsid w:val="00A336AB"/>
    <w:pPr>
      <w:tabs>
        <w:tab w:val="left" w:pos="720"/>
      </w:tabs>
      <w:spacing w:after="0" w:line="240" w:lineRule="auto"/>
      <w:jc w:val="center"/>
    </w:pPr>
    <w:rPr>
      <w:rFonts w:cs="Arial"/>
      <w:b/>
      <w:bCs/>
      <w:color w:val="FF0000"/>
      <w:sz w:val="32"/>
      <w:lang w:eastAsia="en-US"/>
    </w:rPr>
  </w:style>
  <w:style w:type="table" w:styleId="GridTable3-Accent6">
    <w:name w:val="Grid Table 3 Accent 6"/>
    <w:basedOn w:val="TableNormal"/>
    <w:uiPriority w:val="48"/>
    <w:rsid w:val="00410F6F"/>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38280">
      <w:bodyDiv w:val="1"/>
      <w:marLeft w:val="0"/>
      <w:marRight w:val="0"/>
      <w:marTop w:val="0"/>
      <w:marBottom w:val="0"/>
      <w:divBdr>
        <w:top w:val="none" w:sz="0" w:space="0" w:color="auto"/>
        <w:left w:val="none" w:sz="0" w:space="0" w:color="auto"/>
        <w:bottom w:val="none" w:sz="0" w:space="0" w:color="auto"/>
        <w:right w:val="none" w:sz="0" w:space="0" w:color="auto"/>
      </w:divBdr>
    </w:div>
    <w:div w:id="224027234">
      <w:bodyDiv w:val="1"/>
      <w:marLeft w:val="0"/>
      <w:marRight w:val="0"/>
      <w:marTop w:val="0"/>
      <w:marBottom w:val="0"/>
      <w:divBdr>
        <w:top w:val="none" w:sz="0" w:space="0" w:color="auto"/>
        <w:left w:val="none" w:sz="0" w:space="0" w:color="auto"/>
        <w:bottom w:val="none" w:sz="0" w:space="0" w:color="auto"/>
        <w:right w:val="none" w:sz="0" w:space="0" w:color="auto"/>
      </w:divBdr>
    </w:div>
    <w:div w:id="229386497">
      <w:bodyDiv w:val="1"/>
      <w:marLeft w:val="0"/>
      <w:marRight w:val="0"/>
      <w:marTop w:val="0"/>
      <w:marBottom w:val="0"/>
      <w:divBdr>
        <w:top w:val="none" w:sz="0" w:space="0" w:color="auto"/>
        <w:left w:val="none" w:sz="0" w:space="0" w:color="auto"/>
        <w:bottom w:val="none" w:sz="0" w:space="0" w:color="auto"/>
        <w:right w:val="none" w:sz="0" w:space="0" w:color="auto"/>
      </w:divBdr>
    </w:div>
    <w:div w:id="452871716">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055130060">
      <w:bodyDiv w:val="1"/>
      <w:marLeft w:val="0"/>
      <w:marRight w:val="0"/>
      <w:marTop w:val="0"/>
      <w:marBottom w:val="0"/>
      <w:divBdr>
        <w:top w:val="none" w:sz="0" w:space="0" w:color="auto"/>
        <w:left w:val="none" w:sz="0" w:space="0" w:color="auto"/>
        <w:bottom w:val="none" w:sz="0" w:space="0" w:color="auto"/>
        <w:right w:val="none" w:sz="0" w:space="0" w:color="auto"/>
      </w:divBdr>
    </w:div>
    <w:div w:id="1297688464">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14602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oter" Target="footer3.xml"/><Relationship Id="rId26" Type="http://schemas.openxmlformats.org/officeDocument/2006/relationships/image" Target="media/image5.png"/><Relationship Id="rId39" Type="http://schemas.openxmlformats.org/officeDocument/2006/relationships/image" Target="media/image17.png"/><Relationship Id="rId21" Type="http://schemas.openxmlformats.org/officeDocument/2006/relationships/footer" Target="footer5.xml"/><Relationship Id="rId34" Type="http://schemas.openxmlformats.org/officeDocument/2006/relationships/image" Target="media/image13.png"/><Relationship Id="rId42" Type="http://schemas.openxmlformats.org/officeDocument/2006/relationships/image" Target="media/image19.png"/><Relationship Id="rId47" Type="http://schemas.openxmlformats.org/officeDocument/2006/relationships/image" Target="media/image24.png"/><Relationship Id="rId50" Type="http://schemas.openxmlformats.org/officeDocument/2006/relationships/image" Target="media/image27.png"/><Relationship Id="rId55"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4.xml"/><Relationship Id="rId25" Type="http://schemas.openxmlformats.org/officeDocument/2006/relationships/hyperlink" Target="https://www.tio.com.au/contact-us" TargetMode="External"/><Relationship Id="rId33" Type="http://schemas.openxmlformats.org/officeDocument/2006/relationships/image" Target="media/image12.png"/><Relationship Id="rId38" Type="http://schemas.openxmlformats.org/officeDocument/2006/relationships/image" Target="media/image16.png"/><Relationship Id="rId46" Type="http://schemas.openxmlformats.org/officeDocument/2006/relationships/image" Target="media/image23.png"/><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image" Target="media/image8.png"/><Relationship Id="rId41" Type="http://schemas.openxmlformats.org/officeDocument/2006/relationships/image" Target="media/image18.png"/><Relationship Id="rId54"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acma.gov.au" TargetMode="External"/><Relationship Id="rId24" Type="http://schemas.openxmlformats.org/officeDocument/2006/relationships/hyperlink" Target="https://www.acma.gov.au/compliance-priorities" TargetMode="External"/><Relationship Id="rId32" Type="http://schemas.openxmlformats.org/officeDocument/2006/relationships/image" Target="media/image11.png"/><Relationship Id="rId37" Type="http://schemas.openxmlformats.org/officeDocument/2006/relationships/image" Target="media/image15.png"/><Relationship Id="rId40" Type="http://schemas.openxmlformats.org/officeDocument/2006/relationships/image" Target="cid:image004.png@01D6068E.25198340" TargetMode="External"/><Relationship Id="rId45" Type="http://schemas.openxmlformats.org/officeDocument/2006/relationships/image" Target="media/image22.png"/><Relationship Id="rId53" Type="http://schemas.openxmlformats.org/officeDocument/2006/relationships/header" Target="header6.xm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https://www.commsalliance.com.au/__data/assets/pdf_file/0011/64784/TCP-C628_2019.pdf" TargetMode="External"/><Relationship Id="rId28" Type="http://schemas.openxmlformats.org/officeDocument/2006/relationships/image" Target="media/image7.png"/><Relationship Id="rId36" Type="http://schemas.openxmlformats.org/officeDocument/2006/relationships/image" Target="cid:image001.png@01D60689.84C29840" TargetMode="External"/><Relationship Id="rId49" Type="http://schemas.openxmlformats.org/officeDocument/2006/relationships/image" Target="media/image26.png"/><Relationship Id="rId57" Type="http://schemas.openxmlformats.org/officeDocument/2006/relationships/header" Target="header8.xml"/><Relationship Id="rId10" Type="http://schemas.openxmlformats.org/officeDocument/2006/relationships/hyperlink" Target="https://creativecommons.org/licenses/by/4.0/" TargetMode="External"/><Relationship Id="rId19" Type="http://schemas.openxmlformats.org/officeDocument/2006/relationships/footer" Target="footer4.xml"/><Relationship Id="rId31" Type="http://schemas.openxmlformats.org/officeDocument/2006/relationships/image" Target="media/image10.png"/><Relationship Id="rId44" Type="http://schemas.openxmlformats.org/officeDocument/2006/relationships/image" Target="media/image21.png"/><Relationship Id="rId52" Type="http://schemas.openxmlformats.org/officeDocument/2006/relationships/hyperlink" Target="https://www.legislation.gov.au/Details/C2020C00037"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image" Target="media/image4.jpg"/><Relationship Id="rId27" Type="http://schemas.openxmlformats.org/officeDocument/2006/relationships/image" Target="media/image6.png"/><Relationship Id="rId30" Type="http://schemas.openxmlformats.org/officeDocument/2006/relationships/image" Target="media/image9.png"/><Relationship Id="rId35" Type="http://schemas.openxmlformats.org/officeDocument/2006/relationships/image" Target="media/image14.png"/><Relationship Id="rId43" Type="http://schemas.openxmlformats.org/officeDocument/2006/relationships/image" Target="media/image20.png"/><Relationship Id="rId48" Type="http://schemas.openxmlformats.org/officeDocument/2006/relationships/image" Target="media/image25.png"/><Relationship Id="rId56" Type="http://schemas.openxmlformats.org/officeDocument/2006/relationships/footer" Target="footer7.xml"/><Relationship Id="rId8" Type="http://schemas.openxmlformats.org/officeDocument/2006/relationships/hyperlink" Target="http://i.creativecommons.org/l/by/3.0/88x31.png" TargetMode="External"/><Relationship Id="rId51" Type="http://schemas.openxmlformats.org/officeDocument/2006/relationships/image" Target="cid:image003.png@01D6068E.25198340" TargetMode="External"/><Relationship Id="rId3" Type="http://schemas.openxmlformats.org/officeDocument/2006/relationships/styles" Target="styles.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cprc.org.au/wp-content/uploads/Exploring-regulatory-approaches-to-consumer-vulnerability-A-CPRC-report-for-the-AER.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F9AA4D-6760-41BC-8632-1511F12D48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3021</Words>
  <Characters>17224</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20205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2020-03-31T01:29:00Z</dcterms:created>
  <dcterms:modified xsi:type="dcterms:W3CDTF">2020-03-31T02:00:00Z</dcterms:modified>
  <cp:category/>
</cp:coreProperties>
</file>