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614CF3" w14:textId="50FE8BE1" w:rsidR="001419B1" w:rsidRDefault="001419B1" w:rsidP="001419B1">
      <w:pPr>
        <w:pStyle w:val="ACMAHeading1"/>
        <w:spacing w:before="960" w:after="240"/>
      </w:pPr>
      <w:bookmarkStart w:id="0" w:name="_GoBack"/>
      <w:bookmarkEnd w:id="0"/>
      <w:r>
        <w:t xml:space="preserve">Investigation report no. </w:t>
      </w:r>
      <w:r w:rsidR="00FF36A2" w:rsidRPr="00A669A0">
        <w:rPr>
          <w:rStyle w:val="Emphasis"/>
          <w:i w:val="0"/>
          <w:iCs w:val="0"/>
        </w:rPr>
        <w:t>BI-525</w:t>
      </w:r>
    </w:p>
    <w:tbl>
      <w:tblPr>
        <w:tblStyle w:val="TableGrid"/>
        <w:tblW w:w="8336" w:type="dxa"/>
        <w:tblInd w:w="0"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1419B1" w14:paraId="30EB07B6" w14:textId="77777777" w:rsidTr="0088442D">
        <w:trPr>
          <w:cnfStyle w:val="100000000000" w:firstRow="1" w:lastRow="0" w:firstColumn="0" w:lastColumn="0" w:oddVBand="0" w:evenVBand="0" w:oddHBand="0" w:evenHBand="0" w:firstRowFirstColumn="0" w:firstRowLastColumn="0" w:lastRowFirstColumn="0" w:lastRowLastColumn="0"/>
          <w:tblHeader/>
        </w:trPr>
        <w:tc>
          <w:tcPr>
            <w:tcW w:w="2612" w:type="dxa"/>
            <w:shd w:val="clear" w:color="auto" w:fill="000000" w:themeFill="text1"/>
            <w:hideMark/>
          </w:tcPr>
          <w:p w14:paraId="46D1A5AC" w14:textId="77777777" w:rsidR="001419B1" w:rsidRDefault="001419B1">
            <w:pPr>
              <w:pStyle w:val="ACMATableHeading"/>
            </w:pPr>
            <w:bookmarkStart w:id="1" w:name="ColumnTitle"/>
            <w:r>
              <w:t>Summary</w:t>
            </w:r>
          </w:p>
        </w:tc>
        <w:tc>
          <w:tcPr>
            <w:tcW w:w="5724" w:type="dxa"/>
            <w:shd w:val="clear" w:color="auto" w:fill="000000" w:themeFill="text1"/>
          </w:tcPr>
          <w:p w14:paraId="73CD9571" w14:textId="77777777" w:rsidR="001419B1" w:rsidRDefault="001419B1">
            <w:pPr>
              <w:pStyle w:val="ACMATableHeading"/>
            </w:pPr>
          </w:p>
        </w:tc>
      </w:tr>
      <w:bookmarkEnd w:id="1"/>
      <w:tr w:rsidR="001419B1" w14:paraId="26EA1FF8" w14:textId="77777777" w:rsidTr="0088442D">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hideMark/>
          </w:tcPr>
          <w:p w14:paraId="741322E6" w14:textId="7EC3FB86" w:rsidR="001419B1" w:rsidRDefault="004E7695">
            <w:pPr>
              <w:pStyle w:val="ACMATableBody"/>
              <w:rPr>
                <w:b/>
              </w:rPr>
            </w:pPr>
            <w:r>
              <w:rPr>
                <w:b/>
              </w:rPr>
              <w:t>Licensee</w:t>
            </w:r>
            <w:r w:rsidR="002F1D74">
              <w:rPr>
                <w:b/>
              </w:rPr>
              <w:t xml:space="preserve"> [Service]</w:t>
            </w:r>
          </w:p>
        </w:tc>
        <w:tc>
          <w:tcPr>
            <w:tcW w:w="5724" w:type="dxa"/>
            <w:tcBorders>
              <w:top w:val="single" w:sz="4" w:space="0" w:color="auto"/>
              <w:left w:val="single" w:sz="4" w:space="0" w:color="auto"/>
              <w:bottom w:val="single" w:sz="4" w:space="0" w:color="auto"/>
            </w:tcBorders>
            <w:shd w:val="clear" w:color="auto" w:fill="auto"/>
            <w:hideMark/>
          </w:tcPr>
          <w:p w14:paraId="1D2EC938" w14:textId="15E48B1C" w:rsidR="001419B1" w:rsidRDefault="004E7695">
            <w:pPr>
              <w:pStyle w:val="ACMATableBody"/>
              <w:spacing w:before="120" w:line="240" w:lineRule="auto"/>
            </w:pPr>
            <w:r w:rsidRPr="00057D50">
              <w:t>Queensland Television Ltd.</w:t>
            </w:r>
            <w:r w:rsidR="00FE4FB7">
              <w:t xml:space="preserve"> </w:t>
            </w:r>
            <w:r w:rsidR="008F4D67">
              <w:t>[Nine]</w:t>
            </w:r>
          </w:p>
        </w:tc>
      </w:tr>
      <w:tr w:rsidR="001419B1" w14:paraId="60B48996" w14:textId="77777777" w:rsidTr="0088442D">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hideMark/>
          </w:tcPr>
          <w:p w14:paraId="7ED93087" w14:textId="39CA1252" w:rsidR="001419B1" w:rsidRDefault="001419B1">
            <w:pPr>
              <w:pStyle w:val="ACMATableBody"/>
              <w:rPr>
                <w:b/>
              </w:rPr>
            </w:pPr>
            <w:r>
              <w:rPr>
                <w:b/>
              </w:rPr>
              <w:t>Finding</w:t>
            </w:r>
          </w:p>
        </w:tc>
        <w:tc>
          <w:tcPr>
            <w:tcW w:w="5724" w:type="dxa"/>
            <w:tcBorders>
              <w:top w:val="single" w:sz="4" w:space="0" w:color="auto"/>
              <w:left w:val="single" w:sz="4" w:space="0" w:color="auto"/>
              <w:bottom w:val="single" w:sz="4" w:space="0" w:color="auto"/>
            </w:tcBorders>
            <w:shd w:val="clear" w:color="auto" w:fill="auto"/>
            <w:hideMark/>
          </w:tcPr>
          <w:p w14:paraId="1C0937F2" w14:textId="1BB29E8F" w:rsidR="00064193" w:rsidRDefault="00064193" w:rsidP="00064193">
            <w:pPr>
              <w:pStyle w:val="ACMATableBody"/>
              <w:spacing w:before="120" w:line="240" w:lineRule="auto"/>
              <w:rPr>
                <w:rFonts w:cs="Arial"/>
              </w:rPr>
            </w:pPr>
            <w:r>
              <w:rPr>
                <w:rFonts w:cs="Arial"/>
              </w:rPr>
              <w:t>B</w:t>
            </w:r>
            <w:r w:rsidRPr="00064193">
              <w:rPr>
                <w:rFonts w:cs="Arial"/>
              </w:rPr>
              <w:t xml:space="preserve">reach of clause 3.3.1 </w:t>
            </w:r>
            <w:r w:rsidR="00812B80">
              <w:rPr>
                <w:rFonts w:cs="Arial"/>
              </w:rPr>
              <w:t xml:space="preserve">for program </w:t>
            </w:r>
            <w:r w:rsidRPr="00064193">
              <w:rPr>
                <w:rFonts w:cs="Arial"/>
              </w:rPr>
              <w:t>[</w:t>
            </w:r>
            <w:r w:rsidR="00ED7A1D">
              <w:rPr>
                <w:rFonts w:cs="Arial"/>
              </w:rPr>
              <w:t>a</w:t>
            </w:r>
            <w:r w:rsidRPr="00064193">
              <w:rPr>
                <w:rFonts w:cs="Arial"/>
              </w:rPr>
              <w:t>ccuracy and fairness]</w:t>
            </w:r>
          </w:p>
          <w:p w14:paraId="24039CDE" w14:textId="77777777" w:rsidR="00696947" w:rsidRDefault="00696947" w:rsidP="00696947">
            <w:pPr>
              <w:pStyle w:val="ACMATableBody"/>
              <w:spacing w:before="120" w:line="240" w:lineRule="auto"/>
              <w:rPr>
                <w:rFonts w:cs="Arial"/>
              </w:rPr>
            </w:pPr>
            <w:r w:rsidRPr="00064193">
              <w:rPr>
                <w:rFonts w:cs="Arial"/>
              </w:rPr>
              <w:t>No breach of clause 3.4.1</w:t>
            </w:r>
            <w:r>
              <w:rPr>
                <w:rFonts w:cs="Arial"/>
              </w:rPr>
              <w:t xml:space="preserve"> for program </w:t>
            </w:r>
            <w:r w:rsidRPr="00064193">
              <w:rPr>
                <w:rFonts w:cs="Arial"/>
              </w:rPr>
              <w:t>[</w:t>
            </w:r>
            <w:r>
              <w:rPr>
                <w:rFonts w:cs="Arial"/>
              </w:rPr>
              <w:t>i</w:t>
            </w:r>
            <w:r w:rsidRPr="00064193">
              <w:rPr>
                <w:rFonts w:cs="Arial"/>
              </w:rPr>
              <w:t>mpartiality]</w:t>
            </w:r>
          </w:p>
          <w:p w14:paraId="61B178BE" w14:textId="33AB2EAC" w:rsidR="00812B80" w:rsidRDefault="00812B80" w:rsidP="00812B80">
            <w:pPr>
              <w:pStyle w:val="ACMATableBody"/>
              <w:spacing w:before="120" w:line="240" w:lineRule="auto"/>
              <w:rPr>
                <w:rFonts w:cs="Arial"/>
              </w:rPr>
            </w:pPr>
            <w:r>
              <w:rPr>
                <w:rFonts w:cs="Arial"/>
              </w:rPr>
              <w:t>B</w:t>
            </w:r>
            <w:r w:rsidRPr="00064193">
              <w:rPr>
                <w:rFonts w:cs="Arial"/>
              </w:rPr>
              <w:t>reach of clause 3.3</w:t>
            </w:r>
            <w:r w:rsidR="0098726A">
              <w:rPr>
                <w:rFonts w:cs="Arial"/>
              </w:rPr>
              <w:t>.1</w:t>
            </w:r>
            <w:r w:rsidRPr="00064193">
              <w:rPr>
                <w:rFonts w:cs="Arial"/>
              </w:rPr>
              <w:t xml:space="preserve"> </w:t>
            </w:r>
            <w:r>
              <w:rPr>
                <w:rFonts w:cs="Arial"/>
              </w:rPr>
              <w:t xml:space="preserve">for program promotion </w:t>
            </w:r>
            <w:r w:rsidRPr="00064193">
              <w:rPr>
                <w:rFonts w:cs="Arial"/>
              </w:rPr>
              <w:t>[</w:t>
            </w:r>
            <w:r>
              <w:rPr>
                <w:rFonts w:cs="Arial"/>
              </w:rPr>
              <w:t>a</w:t>
            </w:r>
            <w:r w:rsidRPr="00064193">
              <w:rPr>
                <w:rFonts w:cs="Arial"/>
              </w:rPr>
              <w:t>ccuracy and fairness]</w:t>
            </w:r>
            <w:r w:rsidR="00696947">
              <w:rPr>
                <w:rFonts w:cs="Arial"/>
              </w:rPr>
              <w:t xml:space="preserve"> </w:t>
            </w:r>
            <w:r w:rsidR="00853D29">
              <w:rPr>
                <w:rFonts w:cs="Arial"/>
              </w:rPr>
              <w:t xml:space="preserve">taking into </w:t>
            </w:r>
            <w:r w:rsidR="00372B85">
              <w:rPr>
                <w:rFonts w:cs="Arial"/>
              </w:rPr>
              <w:t>consider</w:t>
            </w:r>
            <w:r w:rsidR="00853D29">
              <w:rPr>
                <w:rFonts w:cs="Arial"/>
              </w:rPr>
              <w:t>ation</w:t>
            </w:r>
            <w:r w:rsidR="00696947">
              <w:rPr>
                <w:rFonts w:cs="Arial"/>
              </w:rPr>
              <w:t xml:space="preserve"> clause 3.6</w:t>
            </w:r>
          </w:p>
          <w:p w14:paraId="22DF044C" w14:textId="6EA09248" w:rsidR="001419B1" w:rsidRPr="00535A4F" w:rsidRDefault="00BA152D" w:rsidP="00064193">
            <w:pPr>
              <w:pStyle w:val="ACMATableBody"/>
              <w:spacing w:before="120" w:line="240" w:lineRule="auto"/>
              <w:rPr>
                <w:rFonts w:cs="Arial"/>
              </w:rPr>
            </w:pPr>
            <w:r>
              <w:rPr>
                <w:rFonts w:cs="Arial"/>
              </w:rPr>
              <w:t xml:space="preserve">Breach of </w:t>
            </w:r>
            <w:r w:rsidRPr="00BA152D">
              <w:rPr>
                <w:rFonts w:cs="Arial"/>
              </w:rPr>
              <w:t>clause 3.4.1 for program</w:t>
            </w:r>
            <w:r w:rsidR="00535A4F">
              <w:rPr>
                <w:rFonts w:cs="Arial"/>
              </w:rPr>
              <w:t xml:space="preserve"> promotion </w:t>
            </w:r>
            <w:r w:rsidR="00535A4F" w:rsidRPr="00064193">
              <w:rPr>
                <w:rFonts w:cs="Arial"/>
              </w:rPr>
              <w:t>[</w:t>
            </w:r>
            <w:r w:rsidR="00535A4F">
              <w:rPr>
                <w:rFonts w:cs="Arial"/>
              </w:rPr>
              <w:t>i</w:t>
            </w:r>
            <w:r w:rsidR="00535A4F" w:rsidRPr="00064193">
              <w:rPr>
                <w:rFonts w:cs="Arial"/>
              </w:rPr>
              <w:t>mpartiality]</w:t>
            </w:r>
            <w:r w:rsidR="0099240C">
              <w:rPr>
                <w:rFonts w:cs="Arial"/>
              </w:rPr>
              <w:t xml:space="preserve"> </w:t>
            </w:r>
            <w:r w:rsidR="00C64432">
              <w:rPr>
                <w:rFonts w:cs="Arial"/>
              </w:rPr>
              <w:t>t</w:t>
            </w:r>
            <w:r w:rsidR="0023425C">
              <w:rPr>
                <w:rFonts w:cs="Arial"/>
              </w:rPr>
              <w:t xml:space="preserve">aking into </w:t>
            </w:r>
            <w:r w:rsidR="00354808">
              <w:rPr>
                <w:rFonts w:cs="Arial"/>
              </w:rPr>
              <w:t>consider</w:t>
            </w:r>
            <w:r w:rsidR="00C64432">
              <w:rPr>
                <w:rFonts w:cs="Arial"/>
              </w:rPr>
              <w:t>ation</w:t>
            </w:r>
            <w:r w:rsidR="00354808">
              <w:rPr>
                <w:rFonts w:cs="Arial"/>
              </w:rPr>
              <w:t xml:space="preserve"> </w:t>
            </w:r>
            <w:r w:rsidR="0099240C">
              <w:rPr>
                <w:rFonts w:cs="Arial"/>
              </w:rPr>
              <w:t>clause 3.6</w:t>
            </w:r>
          </w:p>
        </w:tc>
      </w:tr>
      <w:tr w:rsidR="001419B1" w14:paraId="30DEE248" w14:textId="77777777" w:rsidTr="0088442D">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hideMark/>
          </w:tcPr>
          <w:p w14:paraId="090F1F41" w14:textId="7B0CAEAE" w:rsidR="001419B1" w:rsidRDefault="001419B1">
            <w:pPr>
              <w:pStyle w:val="ACMATableBody"/>
              <w:rPr>
                <w:b/>
              </w:rPr>
            </w:pPr>
            <w:r>
              <w:rPr>
                <w:b/>
              </w:rPr>
              <w:t>Relevant code</w:t>
            </w:r>
          </w:p>
        </w:tc>
        <w:tc>
          <w:tcPr>
            <w:tcW w:w="5724" w:type="dxa"/>
            <w:tcBorders>
              <w:top w:val="single" w:sz="4" w:space="0" w:color="auto"/>
              <w:left w:val="single" w:sz="4" w:space="0" w:color="auto"/>
              <w:bottom w:val="single" w:sz="4" w:space="0" w:color="auto"/>
            </w:tcBorders>
            <w:shd w:val="clear" w:color="auto" w:fill="auto"/>
            <w:hideMark/>
          </w:tcPr>
          <w:p w14:paraId="2F88DEFA" w14:textId="04BFA8CA" w:rsidR="001419B1" w:rsidRDefault="00E22AFE">
            <w:pPr>
              <w:pStyle w:val="ACMATableBody"/>
              <w:spacing w:before="120" w:line="240" w:lineRule="auto"/>
            </w:pPr>
            <w:r w:rsidRPr="00E22AFE">
              <w:t xml:space="preserve">Commercial Television Industry Code of Practice 2015 (revised 2018) (the </w:t>
            </w:r>
            <w:r w:rsidRPr="00765112">
              <w:rPr>
                <w:b/>
                <w:bCs/>
              </w:rPr>
              <w:t>Code</w:t>
            </w:r>
            <w:r w:rsidRPr="00E22AFE">
              <w:t>)</w:t>
            </w:r>
          </w:p>
        </w:tc>
      </w:tr>
      <w:tr w:rsidR="00742907" w14:paraId="3371DDD3" w14:textId="77777777" w:rsidTr="0088442D">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hideMark/>
          </w:tcPr>
          <w:p w14:paraId="719BA63E" w14:textId="5AD2349F" w:rsidR="00742907" w:rsidRDefault="00ED7A1D" w:rsidP="00742907">
            <w:pPr>
              <w:pStyle w:val="ACMATableBody"/>
              <w:rPr>
                <w:b/>
              </w:rPr>
            </w:pPr>
            <w:r>
              <w:rPr>
                <w:b/>
              </w:rPr>
              <w:t>Broadcasts</w:t>
            </w:r>
          </w:p>
        </w:tc>
        <w:tc>
          <w:tcPr>
            <w:tcW w:w="5724" w:type="dxa"/>
            <w:tcBorders>
              <w:top w:val="single" w:sz="4" w:space="0" w:color="auto"/>
              <w:left w:val="single" w:sz="4" w:space="0" w:color="auto"/>
              <w:bottom w:val="single" w:sz="4" w:space="0" w:color="auto"/>
            </w:tcBorders>
            <w:shd w:val="clear" w:color="auto" w:fill="auto"/>
            <w:hideMark/>
          </w:tcPr>
          <w:p w14:paraId="7B457A4D" w14:textId="0BE5D822" w:rsidR="00742907" w:rsidRDefault="00742907" w:rsidP="00742907">
            <w:pPr>
              <w:pStyle w:val="ACMATableBody"/>
              <w:spacing w:before="120" w:line="240" w:lineRule="auto"/>
            </w:pPr>
            <w:r w:rsidRPr="00825463">
              <w:rPr>
                <w:rFonts w:cs="Arial"/>
                <w:i/>
                <w:lang w:eastAsia="en-AU"/>
              </w:rPr>
              <w:t xml:space="preserve">Nine News </w:t>
            </w:r>
            <w:r w:rsidRPr="00825463">
              <w:rPr>
                <w:rFonts w:cs="Arial"/>
                <w:iCs/>
                <w:lang w:eastAsia="en-AU"/>
              </w:rPr>
              <w:t xml:space="preserve">and </w:t>
            </w:r>
            <w:r w:rsidR="001E0D13">
              <w:rPr>
                <w:rFonts w:cs="Arial"/>
                <w:iCs/>
                <w:lang w:eastAsia="en-AU"/>
              </w:rPr>
              <w:t>p</w:t>
            </w:r>
            <w:r w:rsidRPr="006B27BA">
              <w:rPr>
                <w:rFonts w:cs="Arial"/>
                <w:iCs/>
                <w:lang w:eastAsia="en-AU"/>
              </w:rPr>
              <w:t xml:space="preserve">rogram </w:t>
            </w:r>
            <w:r w:rsidR="001E0D13">
              <w:rPr>
                <w:rFonts w:cs="Arial"/>
                <w:iCs/>
                <w:lang w:eastAsia="en-AU"/>
              </w:rPr>
              <w:t>p</w:t>
            </w:r>
            <w:r w:rsidRPr="006B27BA">
              <w:rPr>
                <w:rFonts w:cs="Arial"/>
                <w:iCs/>
                <w:lang w:eastAsia="en-AU"/>
              </w:rPr>
              <w:t>romotions for</w:t>
            </w:r>
            <w:r w:rsidRPr="00825463">
              <w:rPr>
                <w:rFonts w:cs="Arial"/>
                <w:i/>
                <w:lang w:eastAsia="en-AU"/>
              </w:rPr>
              <w:t xml:space="preserve"> Nine News</w:t>
            </w:r>
          </w:p>
        </w:tc>
      </w:tr>
      <w:tr w:rsidR="00742907" w14:paraId="591DFCC1" w14:textId="77777777" w:rsidTr="0088442D">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hideMark/>
          </w:tcPr>
          <w:p w14:paraId="3257B940" w14:textId="77777777" w:rsidR="00742907" w:rsidRDefault="00742907" w:rsidP="00742907">
            <w:pPr>
              <w:pStyle w:val="ACMATableBody"/>
              <w:rPr>
                <w:b/>
              </w:rPr>
            </w:pPr>
            <w:r>
              <w:rPr>
                <w:b/>
              </w:rPr>
              <w:t>Dates of broadcasts</w:t>
            </w:r>
          </w:p>
        </w:tc>
        <w:tc>
          <w:tcPr>
            <w:tcW w:w="5724" w:type="dxa"/>
            <w:tcBorders>
              <w:top w:val="single" w:sz="4" w:space="0" w:color="auto"/>
              <w:left w:val="single" w:sz="4" w:space="0" w:color="auto"/>
              <w:bottom w:val="single" w:sz="4" w:space="0" w:color="auto"/>
            </w:tcBorders>
            <w:shd w:val="clear" w:color="auto" w:fill="auto"/>
            <w:hideMark/>
          </w:tcPr>
          <w:p w14:paraId="1755FED5" w14:textId="35188392" w:rsidR="00742907" w:rsidRDefault="00742907" w:rsidP="00742907">
            <w:pPr>
              <w:pStyle w:val="ACMATableBody"/>
              <w:spacing w:before="120" w:line="240" w:lineRule="auto"/>
            </w:pPr>
            <w:bookmarkStart w:id="2" w:name="_Hlk31968891"/>
            <w:r>
              <w:t xml:space="preserve">23 and </w:t>
            </w:r>
            <w:r w:rsidRPr="000960CC">
              <w:t>24 May 2019</w:t>
            </w:r>
            <w:bookmarkEnd w:id="2"/>
          </w:p>
        </w:tc>
      </w:tr>
      <w:tr w:rsidR="001735CC" w14:paraId="35CC81BF" w14:textId="77777777" w:rsidTr="00A80ABD">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0CFA3F8" w14:textId="6D2E93BE" w:rsidR="001735CC" w:rsidRDefault="00EB6657" w:rsidP="00742907">
            <w:pPr>
              <w:pStyle w:val="ACMATableBody"/>
              <w:rPr>
                <w:b/>
              </w:rPr>
            </w:pPr>
            <w:r w:rsidRPr="00EB6657">
              <w:rPr>
                <w:b/>
              </w:rPr>
              <w:t>Date Finalised</w:t>
            </w:r>
          </w:p>
        </w:tc>
        <w:tc>
          <w:tcPr>
            <w:tcW w:w="5724" w:type="dxa"/>
            <w:tcBorders>
              <w:top w:val="single" w:sz="4" w:space="0" w:color="auto"/>
              <w:left w:val="single" w:sz="4" w:space="0" w:color="auto"/>
              <w:bottom w:val="single" w:sz="4" w:space="0" w:color="auto"/>
            </w:tcBorders>
            <w:shd w:val="clear" w:color="auto" w:fill="auto"/>
          </w:tcPr>
          <w:p w14:paraId="78D245CB" w14:textId="3E963524" w:rsidR="001735CC" w:rsidRDefault="0024746B" w:rsidP="00742907">
            <w:pPr>
              <w:pStyle w:val="ACMATableBody"/>
              <w:spacing w:before="120"/>
            </w:pPr>
            <w:r>
              <w:t>7 February 2020</w:t>
            </w:r>
          </w:p>
        </w:tc>
      </w:tr>
      <w:tr w:rsidR="00742907" w14:paraId="6F26BC8F" w14:textId="77777777" w:rsidTr="0088442D">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hideMark/>
          </w:tcPr>
          <w:p w14:paraId="6E766DF9" w14:textId="77777777" w:rsidR="00742907" w:rsidRDefault="00742907" w:rsidP="00742907">
            <w:pPr>
              <w:pStyle w:val="ACMATableBody"/>
              <w:rPr>
                <w:b/>
              </w:rPr>
            </w:pPr>
            <w:r>
              <w:rPr>
                <w:b/>
              </w:rPr>
              <w:t>Type of service</w:t>
            </w:r>
          </w:p>
        </w:tc>
        <w:tc>
          <w:tcPr>
            <w:tcW w:w="5724" w:type="dxa"/>
            <w:tcBorders>
              <w:top w:val="single" w:sz="4" w:space="0" w:color="auto"/>
              <w:left w:val="single" w:sz="4" w:space="0" w:color="auto"/>
              <w:bottom w:val="single" w:sz="4" w:space="0" w:color="auto"/>
            </w:tcBorders>
            <w:shd w:val="clear" w:color="auto" w:fill="auto"/>
            <w:hideMark/>
          </w:tcPr>
          <w:p w14:paraId="5065DEF2" w14:textId="0ED26AEE" w:rsidR="00742907" w:rsidRDefault="00742907" w:rsidP="00742907">
            <w:pPr>
              <w:pStyle w:val="ACMATableBody"/>
              <w:spacing w:before="120" w:line="240" w:lineRule="auto"/>
            </w:pPr>
            <w:r>
              <w:t>Commercial—television</w:t>
            </w:r>
          </w:p>
        </w:tc>
      </w:tr>
      <w:tr w:rsidR="00742907" w14:paraId="6A6A75DF" w14:textId="77777777" w:rsidTr="00E348C1">
        <w:trPr>
          <w:cnfStyle w:val="100000000000" w:firstRow="1" w:lastRow="0" w:firstColumn="0" w:lastColumn="0" w:oddVBand="0" w:evenVBand="0" w:oddHBand="0" w:evenHBand="0" w:firstRowFirstColumn="0" w:firstRowLastColumn="0" w:lastRowFirstColumn="0" w:lastRowLastColumn="0"/>
          <w:trHeight w:val="1403"/>
          <w:tblHeader/>
        </w:trPr>
        <w:tc>
          <w:tcPr>
            <w:tcW w:w="0" w:type="dxa"/>
            <w:tcBorders>
              <w:top w:val="double" w:sz="4" w:space="0" w:color="auto"/>
              <w:bottom w:val="single" w:sz="4" w:space="0" w:color="auto"/>
              <w:right w:val="single" w:sz="4" w:space="0" w:color="auto"/>
            </w:tcBorders>
            <w:shd w:val="clear" w:color="auto" w:fill="auto"/>
            <w:hideMark/>
          </w:tcPr>
          <w:p w14:paraId="1E827361" w14:textId="77777777" w:rsidR="00742907" w:rsidRDefault="00742907" w:rsidP="00742907">
            <w:pPr>
              <w:pStyle w:val="ACMATableBody"/>
              <w:rPr>
                <w:b/>
              </w:rPr>
            </w:pPr>
            <w:r>
              <w:rPr>
                <w:b/>
              </w:rPr>
              <w:t>Attachments</w:t>
            </w:r>
          </w:p>
          <w:p w14:paraId="3C1CA133" w14:textId="406930D0" w:rsidR="00814BDC" w:rsidRPr="00814BDC" w:rsidRDefault="00814BDC" w:rsidP="00814BDC">
            <w:pPr>
              <w:jc w:val="right"/>
              <w:rPr>
                <w:b/>
              </w:rPr>
            </w:pPr>
          </w:p>
        </w:tc>
        <w:tc>
          <w:tcPr>
            <w:tcW w:w="0" w:type="dxa"/>
            <w:tcBorders>
              <w:top w:val="double" w:sz="4" w:space="0" w:color="auto"/>
              <w:left w:val="single" w:sz="4" w:space="0" w:color="auto"/>
              <w:bottom w:val="single" w:sz="4" w:space="0" w:color="auto"/>
            </w:tcBorders>
            <w:shd w:val="clear" w:color="auto" w:fill="auto"/>
            <w:hideMark/>
          </w:tcPr>
          <w:p w14:paraId="6F87B561" w14:textId="29595ABB" w:rsidR="0000249A" w:rsidRDefault="0000249A" w:rsidP="0000249A">
            <w:pPr>
              <w:pStyle w:val="ACMABodyText"/>
              <w:spacing w:before="120" w:after="120"/>
            </w:pPr>
            <w:r>
              <w:rPr>
                <w:b/>
                <w:bCs/>
              </w:rPr>
              <w:t>A</w:t>
            </w:r>
            <w:r>
              <w:t xml:space="preserve"> - extracts of the complaint </w:t>
            </w:r>
          </w:p>
          <w:p w14:paraId="44464B1D" w14:textId="6A5ABAE8" w:rsidR="0000249A" w:rsidRDefault="0000249A" w:rsidP="0000249A">
            <w:pPr>
              <w:pStyle w:val="ACMABodyText"/>
              <w:spacing w:before="120" w:after="120"/>
              <w:ind w:left="315" w:hanging="315"/>
              <w:rPr>
                <w:b/>
                <w:bCs/>
              </w:rPr>
            </w:pPr>
            <w:r>
              <w:rPr>
                <w:b/>
                <w:bCs/>
              </w:rPr>
              <w:t>B</w:t>
            </w:r>
            <w:r>
              <w:t xml:space="preserve"> - extracts of the licensee’s submissions </w:t>
            </w:r>
          </w:p>
          <w:p w14:paraId="2A6E7425" w14:textId="5C1354D6" w:rsidR="00742907" w:rsidRDefault="0000249A" w:rsidP="008363D3">
            <w:pPr>
              <w:pStyle w:val="ACMABodyText"/>
              <w:spacing w:before="120" w:after="120" w:line="240" w:lineRule="auto"/>
              <w:ind w:left="312" w:hanging="312"/>
              <w:rPr>
                <w:rFonts w:cs="Arial"/>
              </w:rPr>
            </w:pPr>
            <w:r>
              <w:rPr>
                <w:b/>
              </w:rPr>
              <w:t xml:space="preserve">C </w:t>
            </w:r>
            <w:r w:rsidRPr="00275DC6">
              <w:rPr>
                <w:bCs/>
              </w:rPr>
              <w:t xml:space="preserve">- </w:t>
            </w:r>
            <w:r w:rsidRPr="00A669A0">
              <w:rPr>
                <w:bCs/>
              </w:rPr>
              <w:t>r</w:t>
            </w:r>
            <w:r>
              <w:t>elevant code provisions</w:t>
            </w:r>
            <w:r w:rsidR="00814BDC">
              <w:t xml:space="preserve"> and the ACMA’s assessment process</w:t>
            </w:r>
            <w:r>
              <w:t xml:space="preserve"> </w:t>
            </w:r>
          </w:p>
        </w:tc>
      </w:tr>
    </w:tbl>
    <w:p w14:paraId="396C94F8" w14:textId="77777777" w:rsidR="00FA29E2" w:rsidRDefault="00FA29E2" w:rsidP="001C6546">
      <w:pPr>
        <w:pStyle w:val="ACMAHeading2"/>
        <w:rPr>
          <w:highlight w:val="yellow"/>
        </w:rPr>
      </w:pPr>
    </w:p>
    <w:p w14:paraId="15E45B65" w14:textId="77777777" w:rsidR="00FA29E2" w:rsidRDefault="00FA29E2" w:rsidP="00FA29E2">
      <w:pPr>
        <w:pStyle w:val="ACMABodyText"/>
        <w:rPr>
          <w:sz w:val="28"/>
          <w:highlight w:val="yellow"/>
        </w:rPr>
      </w:pPr>
      <w:r>
        <w:rPr>
          <w:highlight w:val="yellow"/>
        </w:rPr>
        <w:br w:type="page"/>
      </w:r>
    </w:p>
    <w:p w14:paraId="5BED175E" w14:textId="6CE6FD99" w:rsidR="001C6546" w:rsidRDefault="002F1D74" w:rsidP="00151949">
      <w:pPr>
        <w:pStyle w:val="ACMAHeading2"/>
        <w:spacing w:after="240" w:line="240" w:lineRule="atLeast"/>
      </w:pPr>
      <w:r>
        <w:lastRenderedPageBreak/>
        <w:t>Background</w:t>
      </w:r>
    </w:p>
    <w:p w14:paraId="15EFC91A" w14:textId="77777777" w:rsidR="00765112" w:rsidRDefault="002F1D74" w:rsidP="00765112">
      <w:pPr>
        <w:pStyle w:val="ACMABodyText"/>
      </w:pPr>
      <w:r>
        <w:t>I</w:t>
      </w:r>
      <w:r w:rsidRPr="00FF36A2">
        <w:t xml:space="preserve">n September 2019, the Australian Communications and Media Authority (the </w:t>
      </w:r>
      <w:r w:rsidRPr="001E0D13">
        <w:rPr>
          <w:b/>
          <w:bCs/>
        </w:rPr>
        <w:t>ACMA</w:t>
      </w:r>
      <w:r w:rsidRPr="00FF36A2">
        <w:t xml:space="preserve">) commenced an investigation under the </w:t>
      </w:r>
      <w:r w:rsidRPr="00651988">
        <w:rPr>
          <w:i/>
          <w:iCs/>
        </w:rPr>
        <w:t>Broadcasting Services Act 1992</w:t>
      </w:r>
      <w:r w:rsidRPr="00FF36A2">
        <w:t xml:space="preserve"> (the </w:t>
      </w:r>
      <w:r w:rsidRPr="001E0D13">
        <w:rPr>
          <w:b/>
          <w:bCs/>
        </w:rPr>
        <w:t>BSA</w:t>
      </w:r>
      <w:r w:rsidRPr="00FF36A2">
        <w:t>) into broadcast</w:t>
      </w:r>
      <w:r>
        <w:t>s</w:t>
      </w:r>
      <w:r w:rsidRPr="00FF36A2">
        <w:t xml:space="preserve"> of </w:t>
      </w:r>
      <w:r w:rsidRPr="00D306EB">
        <w:rPr>
          <w:i/>
          <w:iCs/>
        </w:rPr>
        <w:t>Nine News</w:t>
      </w:r>
      <w:r w:rsidRPr="00FF36A2">
        <w:t xml:space="preserve"> and </w:t>
      </w:r>
      <w:r>
        <w:t>p</w:t>
      </w:r>
      <w:r w:rsidRPr="006B27BA">
        <w:t xml:space="preserve">rogram </w:t>
      </w:r>
      <w:r>
        <w:t>p</w:t>
      </w:r>
      <w:r w:rsidRPr="006B27BA">
        <w:t xml:space="preserve">romotions for </w:t>
      </w:r>
      <w:r w:rsidRPr="00ED7A1D">
        <w:rPr>
          <w:i/>
          <w:iCs/>
        </w:rPr>
        <w:t>Nine News</w:t>
      </w:r>
      <w:r w:rsidRPr="00FF36A2">
        <w:t xml:space="preserve">. </w:t>
      </w:r>
    </w:p>
    <w:p w14:paraId="18847DB6" w14:textId="78B369D3" w:rsidR="002F1D74" w:rsidRPr="002F1D74" w:rsidRDefault="002F1D74" w:rsidP="00765112">
      <w:pPr>
        <w:pStyle w:val="ACMABodyText"/>
      </w:pPr>
      <w:r w:rsidRPr="00FF36A2">
        <w:t xml:space="preserve">The ACMA received a complaint alleging that a </w:t>
      </w:r>
      <w:r w:rsidRPr="006B27BA">
        <w:rPr>
          <w:i/>
          <w:iCs/>
        </w:rPr>
        <w:t>Nine News</w:t>
      </w:r>
      <w:r>
        <w:t xml:space="preserve"> report about an Australian-made firearm </w:t>
      </w:r>
      <w:r w:rsidRPr="00FF36A2">
        <w:t xml:space="preserve">and the promotions for </w:t>
      </w:r>
      <w:r>
        <w:t xml:space="preserve">the report </w:t>
      </w:r>
      <w:r w:rsidRPr="00FF36A2">
        <w:t>were inaccurate and lacked impartiality.</w:t>
      </w:r>
    </w:p>
    <w:p w14:paraId="3CE0C106" w14:textId="77777777" w:rsidR="002F1D74" w:rsidRPr="00765112" w:rsidRDefault="002F1D74" w:rsidP="00151949">
      <w:pPr>
        <w:pStyle w:val="ACMABodyText"/>
        <w:rPr>
          <w:b/>
          <w:bCs/>
          <w:sz w:val="28"/>
          <w:szCs w:val="28"/>
        </w:rPr>
      </w:pPr>
      <w:r w:rsidRPr="00765112">
        <w:rPr>
          <w:b/>
          <w:bCs/>
          <w:sz w:val="28"/>
          <w:szCs w:val="28"/>
        </w:rPr>
        <w:t xml:space="preserve">The Program </w:t>
      </w:r>
    </w:p>
    <w:p w14:paraId="6CBC2D26" w14:textId="36D8F927" w:rsidR="00A80A71" w:rsidRDefault="002F1D74" w:rsidP="00151949">
      <w:pPr>
        <w:pStyle w:val="ACMABodyText"/>
      </w:pPr>
      <w:r w:rsidRPr="00765112">
        <w:t xml:space="preserve">The broadcast of </w:t>
      </w:r>
      <w:r w:rsidR="00ED7A1D" w:rsidRPr="006B27BA">
        <w:rPr>
          <w:i/>
          <w:iCs/>
        </w:rPr>
        <w:t>Nine News</w:t>
      </w:r>
      <w:r w:rsidR="00ED7A1D">
        <w:t xml:space="preserve"> </w:t>
      </w:r>
      <w:r>
        <w:t xml:space="preserve">on 24 May 2019 </w:t>
      </w:r>
      <w:r w:rsidR="00ED7A1D">
        <w:t xml:space="preserve">(the </w:t>
      </w:r>
      <w:r w:rsidR="00ED7A1D" w:rsidRPr="00FA760D">
        <w:rPr>
          <w:b/>
          <w:bCs/>
        </w:rPr>
        <w:t>program</w:t>
      </w:r>
      <w:r w:rsidR="00ED7A1D">
        <w:t>)</w:t>
      </w:r>
      <w:r w:rsidR="007822CE">
        <w:t xml:space="preserve"> </w:t>
      </w:r>
      <w:r w:rsidR="00FF771F">
        <w:t xml:space="preserve">included </w:t>
      </w:r>
      <w:r w:rsidR="007822CE">
        <w:t>a</w:t>
      </w:r>
      <w:r w:rsidR="00ED7A1D">
        <w:t>n introduction</w:t>
      </w:r>
      <w:r w:rsidR="007822CE">
        <w:t xml:space="preserve">, </w:t>
      </w:r>
      <w:r w:rsidR="00ED7A1D">
        <w:t xml:space="preserve">a </w:t>
      </w:r>
      <w:r w:rsidR="007822CE">
        <w:t>mid</w:t>
      </w:r>
      <w:r w:rsidR="00ED7A1D">
        <w:t>-program</w:t>
      </w:r>
      <w:r w:rsidR="007822CE">
        <w:t xml:space="preserve"> tease</w:t>
      </w:r>
      <w:r w:rsidR="00ED7A1D">
        <w:t>r</w:t>
      </w:r>
      <w:r w:rsidR="007822CE">
        <w:t xml:space="preserve"> and </w:t>
      </w:r>
      <w:r w:rsidR="00ED7A1D">
        <w:t xml:space="preserve">a </w:t>
      </w:r>
      <w:r w:rsidR="00A25167">
        <w:t>two-minute</w:t>
      </w:r>
      <w:r w:rsidR="00FF6B91">
        <w:t xml:space="preserve"> news</w:t>
      </w:r>
      <w:r w:rsidR="007822CE">
        <w:t xml:space="preserve"> report </w:t>
      </w:r>
      <w:r w:rsidR="00FA760D">
        <w:t xml:space="preserve">(the </w:t>
      </w:r>
      <w:r w:rsidR="00FA760D" w:rsidRPr="00FA760D">
        <w:rPr>
          <w:b/>
          <w:bCs/>
        </w:rPr>
        <w:t>report</w:t>
      </w:r>
      <w:r w:rsidR="00FA760D">
        <w:t xml:space="preserve">) </w:t>
      </w:r>
      <w:r w:rsidR="00ED7A1D">
        <w:t xml:space="preserve">about </w:t>
      </w:r>
      <w:r w:rsidR="007822CE">
        <w:t>the Wedgetail WT 15 pistol variant</w:t>
      </w:r>
      <w:r w:rsidR="00E11C32">
        <w:t>, which was</w:t>
      </w:r>
      <w:r w:rsidR="00B30272">
        <w:t xml:space="preserve"> </w:t>
      </w:r>
      <w:r w:rsidR="00B16F45">
        <w:t xml:space="preserve">described in the </w:t>
      </w:r>
      <w:r w:rsidR="00B30272">
        <w:t xml:space="preserve">report as </w:t>
      </w:r>
      <w:r w:rsidR="007822CE">
        <w:t xml:space="preserve">the WT 15-01. </w:t>
      </w:r>
    </w:p>
    <w:p w14:paraId="2E6138DE" w14:textId="79AD6F02" w:rsidR="000B76F8" w:rsidRDefault="000B76F8" w:rsidP="00151949">
      <w:pPr>
        <w:pStyle w:val="ACMABodyText"/>
      </w:pPr>
      <w:r>
        <w:t>T</w:t>
      </w:r>
      <w:r w:rsidR="00A80A71">
        <w:t xml:space="preserve">he licensee </w:t>
      </w:r>
      <w:r w:rsidR="002F1D74">
        <w:t xml:space="preserve">made submissions about </w:t>
      </w:r>
      <w:r w:rsidR="00A80A71">
        <w:t xml:space="preserve">the introduction and </w:t>
      </w:r>
      <w:r w:rsidR="00FC64AD">
        <w:t xml:space="preserve">the </w:t>
      </w:r>
      <w:r w:rsidR="00A80A71">
        <w:t xml:space="preserve">mid-program teaser </w:t>
      </w:r>
      <w:r w:rsidR="00290F71">
        <w:t>on the basis that they were</w:t>
      </w:r>
      <w:r w:rsidR="00FC64AD">
        <w:t xml:space="preserve"> program promotions</w:t>
      </w:r>
      <w:r>
        <w:t>.</w:t>
      </w:r>
      <w:r w:rsidR="003C2D7D">
        <w:t xml:space="preserve"> Program Promotion under section 8 of the Code is described as material </w:t>
      </w:r>
      <w:r w:rsidR="003C2D7D" w:rsidRPr="003C2D7D">
        <w:t xml:space="preserve">broadcast by a Licensee within a </w:t>
      </w:r>
      <w:r w:rsidR="00E53B0A">
        <w:t>p</w:t>
      </w:r>
      <w:r w:rsidR="003C2D7D" w:rsidRPr="003C2D7D">
        <w:t xml:space="preserve">rogram break or between </w:t>
      </w:r>
      <w:r w:rsidR="00E53B0A">
        <w:t>p</w:t>
      </w:r>
      <w:r w:rsidR="003C2D7D" w:rsidRPr="003C2D7D">
        <w:t>rograms</w:t>
      </w:r>
      <w:r w:rsidR="003C2D7D">
        <w:t>.</w:t>
      </w:r>
    </w:p>
    <w:p w14:paraId="06A7A412" w14:textId="555629ED" w:rsidR="00A80A71" w:rsidRDefault="00EF332E" w:rsidP="00151949">
      <w:pPr>
        <w:pStyle w:val="ACMABodyText"/>
      </w:pPr>
      <w:r>
        <w:t xml:space="preserve">As neither the introduction nor the mid-program teaser were broadcast within a ‘program break’ or ‘between programs’ </w:t>
      </w:r>
      <w:r w:rsidR="002F1D74">
        <w:t>the ACMA</w:t>
      </w:r>
      <w:r w:rsidR="00FC64AD">
        <w:t xml:space="preserve"> </w:t>
      </w:r>
      <w:r w:rsidR="002F1D74">
        <w:t xml:space="preserve">considers </w:t>
      </w:r>
      <w:r w:rsidR="00857A54">
        <w:t xml:space="preserve">that </w:t>
      </w:r>
      <w:r w:rsidR="002F1D74">
        <w:t xml:space="preserve">they formed part of the program and has assessed them accordingly. </w:t>
      </w:r>
    </w:p>
    <w:p w14:paraId="7EF9FE64" w14:textId="580A664F" w:rsidR="00ED7A1D" w:rsidRPr="006B27BA" w:rsidRDefault="00ED7A1D" w:rsidP="00241E82">
      <w:pPr>
        <w:pStyle w:val="ACMABodyText"/>
        <w:rPr>
          <w:u w:val="single"/>
        </w:rPr>
      </w:pPr>
      <w:r w:rsidRPr="006B27BA">
        <w:rPr>
          <w:u w:val="single"/>
        </w:rPr>
        <w:t>The intr</w:t>
      </w:r>
      <w:r>
        <w:rPr>
          <w:u w:val="single"/>
        </w:rPr>
        <w:t>o</w:t>
      </w:r>
      <w:r w:rsidRPr="006B27BA">
        <w:rPr>
          <w:u w:val="single"/>
        </w:rPr>
        <w:t>du</w:t>
      </w:r>
      <w:r>
        <w:rPr>
          <w:u w:val="single"/>
        </w:rPr>
        <w:t>c</w:t>
      </w:r>
      <w:r w:rsidRPr="006B27BA">
        <w:rPr>
          <w:u w:val="single"/>
        </w:rPr>
        <w:t>tion</w:t>
      </w:r>
    </w:p>
    <w:p w14:paraId="1299AD45" w14:textId="7530B63F" w:rsidR="00241E82" w:rsidRDefault="00241E82" w:rsidP="00241E82">
      <w:pPr>
        <w:pStyle w:val="ACMABodyText"/>
      </w:pPr>
      <w:r>
        <w:t xml:space="preserve">The </w:t>
      </w:r>
      <w:r w:rsidR="00ED7A1D">
        <w:t>three second introduction</w:t>
      </w:r>
      <w:r>
        <w:t xml:space="preserve"> refer</w:t>
      </w:r>
      <w:r w:rsidR="001E0D13">
        <w:t>red</w:t>
      </w:r>
      <w:r>
        <w:t xml:space="preserve"> to the report, showing images of people holding the WT 15-01, firing a rifle</w:t>
      </w:r>
      <w:r w:rsidR="00ED7A1D">
        <w:t>,</w:t>
      </w:r>
      <w:r>
        <w:t xml:space="preserve"> and an </w:t>
      </w:r>
      <w:r w:rsidR="00ED7A1D">
        <w:t>animation</w:t>
      </w:r>
      <w:r>
        <w:t xml:space="preserve"> illustrating how the WT 15-01 fires. The </w:t>
      </w:r>
      <w:r w:rsidR="00ED7A1D">
        <w:t>voice-over</w:t>
      </w:r>
      <w:r>
        <w:t xml:space="preserve"> state</w:t>
      </w:r>
      <w:r w:rsidR="001E0D13">
        <w:t>d</w:t>
      </w:r>
      <w:r>
        <w:t>:</w:t>
      </w:r>
    </w:p>
    <w:p w14:paraId="2C98E844" w14:textId="77777777" w:rsidR="00241E82" w:rsidRPr="008B22D7" w:rsidRDefault="00241E82" w:rsidP="00241E82">
      <w:pPr>
        <w:pStyle w:val="ACMABodyText"/>
        <w:ind w:left="720"/>
        <w:rPr>
          <w:sz w:val="18"/>
          <w:szCs w:val="18"/>
        </w:rPr>
      </w:pPr>
      <w:r w:rsidRPr="008B22D7">
        <w:rPr>
          <w:sz w:val="18"/>
          <w:szCs w:val="18"/>
        </w:rPr>
        <w:t>The high-powered deadly weapon Queenslanders are fighting to own.</w:t>
      </w:r>
    </w:p>
    <w:p w14:paraId="35D1441D" w14:textId="053B30AF" w:rsidR="00D93DFA" w:rsidRPr="004551CF" w:rsidRDefault="00D93DFA" w:rsidP="00241E82">
      <w:pPr>
        <w:pStyle w:val="ACMABodyText"/>
        <w:rPr>
          <w:u w:val="single"/>
        </w:rPr>
      </w:pPr>
      <w:r w:rsidRPr="004551CF">
        <w:rPr>
          <w:u w:val="single"/>
        </w:rPr>
        <w:t>The mid-program teaser</w:t>
      </w:r>
    </w:p>
    <w:p w14:paraId="01133506" w14:textId="160C5A2A" w:rsidR="00241E82" w:rsidRDefault="00241E82" w:rsidP="00241E82">
      <w:pPr>
        <w:pStyle w:val="ACMABodyText"/>
      </w:pPr>
      <w:r>
        <w:t xml:space="preserve">The </w:t>
      </w:r>
      <w:r w:rsidR="00ED7A1D">
        <w:t xml:space="preserve">13 second </w:t>
      </w:r>
      <w:r>
        <w:t>mid</w:t>
      </w:r>
      <w:r w:rsidR="00ED7A1D">
        <w:t>-program</w:t>
      </w:r>
      <w:r>
        <w:t xml:space="preserve"> tease</w:t>
      </w:r>
      <w:r w:rsidR="00ED7A1D">
        <w:t>r</w:t>
      </w:r>
      <w:r>
        <w:t xml:space="preserve"> featured two </w:t>
      </w:r>
      <w:r w:rsidR="001E0D13">
        <w:t>studio</w:t>
      </w:r>
      <w:r>
        <w:t xml:space="preserve"> presenters </w:t>
      </w:r>
      <w:r w:rsidR="00ED7A1D">
        <w:t xml:space="preserve">and </w:t>
      </w:r>
      <w:r>
        <w:t xml:space="preserve">a number of images of the WT 15-01. </w:t>
      </w:r>
      <w:r w:rsidR="001E0D13">
        <w:t>One</w:t>
      </w:r>
      <w:r>
        <w:t xml:space="preserve"> presenter stated that the WT 15-01:</w:t>
      </w:r>
    </w:p>
    <w:p w14:paraId="58E5E31F" w14:textId="77777777" w:rsidR="00241E82" w:rsidRDefault="00241E82" w:rsidP="00241E82">
      <w:pPr>
        <w:pStyle w:val="ACMABodyText"/>
        <w:ind w:left="720"/>
        <w:rPr>
          <w:sz w:val="18"/>
          <w:szCs w:val="18"/>
        </w:rPr>
      </w:pPr>
      <w:r>
        <w:rPr>
          <w:sz w:val="18"/>
          <w:szCs w:val="18"/>
        </w:rPr>
        <w:t>Looks like a machine gun, fires like a machine gun and it can kill […]</w:t>
      </w:r>
    </w:p>
    <w:p w14:paraId="06470218" w14:textId="698D4DD7" w:rsidR="00241E82" w:rsidRPr="0044080F" w:rsidRDefault="00D93DFA" w:rsidP="00241E82">
      <w:pPr>
        <w:pStyle w:val="ACMABodyText"/>
      </w:pPr>
      <w:r>
        <w:t>C</w:t>
      </w:r>
      <w:r w:rsidR="00241E82" w:rsidRPr="0044080F">
        <w:t>aption</w:t>
      </w:r>
      <w:r w:rsidR="00241E82">
        <w:t>s</w:t>
      </w:r>
      <w:r w:rsidR="00241E82" w:rsidRPr="0044080F">
        <w:t xml:space="preserve"> </w:t>
      </w:r>
      <w:r>
        <w:t xml:space="preserve">displayed </w:t>
      </w:r>
      <w:r w:rsidR="00241E82" w:rsidRPr="0044080F">
        <w:t xml:space="preserve">on screen </w:t>
      </w:r>
      <w:r>
        <w:t xml:space="preserve">below </w:t>
      </w:r>
      <w:r w:rsidR="00241E82" w:rsidRPr="0044080F">
        <w:t>the images read:</w:t>
      </w:r>
    </w:p>
    <w:p w14:paraId="6D280BE3" w14:textId="77777777" w:rsidR="00241E82" w:rsidRDefault="00241E82" w:rsidP="00241E82">
      <w:pPr>
        <w:pStyle w:val="ACMABodyText"/>
        <w:spacing w:after="120"/>
        <w:ind w:left="720"/>
        <w:rPr>
          <w:sz w:val="18"/>
          <w:szCs w:val="18"/>
        </w:rPr>
      </w:pPr>
      <w:r>
        <w:rPr>
          <w:sz w:val="18"/>
          <w:szCs w:val="18"/>
        </w:rPr>
        <w:t>Special Investigation</w:t>
      </w:r>
    </w:p>
    <w:p w14:paraId="345CF402" w14:textId="77777777" w:rsidR="00241E82" w:rsidRDefault="00241E82" w:rsidP="00241E82">
      <w:pPr>
        <w:pStyle w:val="ACMABodyText"/>
        <w:spacing w:after="120"/>
        <w:ind w:left="720"/>
        <w:rPr>
          <w:sz w:val="18"/>
          <w:szCs w:val="18"/>
        </w:rPr>
      </w:pPr>
      <w:r>
        <w:rPr>
          <w:sz w:val="18"/>
          <w:szCs w:val="18"/>
        </w:rPr>
        <w:t xml:space="preserve">Weapon looks and shoots like a machine gun. </w:t>
      </w:r>
    </w:p>
    <w:p w14:paraId="6D09C3F8" w14:textId="77777777" w:rsidR="00241E82" w:rsidRPr="00CF5AF1" w:rsidRDefault="00241E82" w:rsidP="00241E82">
      <w:pPr>
        <w:pStyle w:val="ACMABodyText"/>
        <w:spacing w:after="120"/>
        <w:ind w:left="720"/>
        <w:rPr>
          <w:sz w:val="18"/>
          <w:szCs w:val="18"/>
        </w:rPr>
      </w:pPr>
      <w:r>
        <w:rPr>
          <w:sz w:val="18"/>
          <w:szCs w:val="18"/>
        </w:rPr>
        <w:t>Why is it legal to own in Queensland?</w:t>
      </w:r>
    </w:p>
    <w:p w14:paraId="538CC04B" w14:textId="5BFFE820" w:rsidR="00D93DFA" w:rsidRPr="00360001" w:rsidRDefault="00D93DFA" w:rsidP="00151949">
      <w:pPr>
        <w:pStyle w:val="ACMABodyText"/>
        <w:spacing w:before="240"/>
        <w:rPr>
          <w:u w:val="single"/>
        </w:rPr>
      </w:pPr>
      <w:r w:rsidRPr="00360001">
        <w:rPr>
          <w:u w:val="single"/>
        </w:rPr>
        <w:t>The report</w:t>
      </w:r>
    </w:p>
    <w:p w14:paraId="54A6FF66" w14:textId="25A0B956" w:rsidR="007822CE" w:rsidRDefault="007822CE" w:rsidP="00151949">
      <w:pPr>
        <w:pStyle w:val="ACMABodyText"/>
        <w:spacing w:before="240"/>
      </w:pPr>
      <w:r>
        <w:t xml:space="preserve">The report outlined a dispute, which </w:t>
      </w:r>
      <w:r w:rsidR="00A01F5D">
        <w:t>was</w:t>
      </w:r>
      <w:r>
        <w:t xml:space="preserve"> being heard before the Queensland Civil and Administrative Tribunal</w:t>
      </w:r>
      <w:r w:rsidR="001E0D13">
        <w:t>,</w:t>
      </w:r>
      <w:r>
        <w:t xml:space="preserve"> between </w:t>
      </w:r>
      <w:r w:rsidR="00D93DFA">
        <w:t xml:space="preserve">people </w:t>
      </w:r>
      <w:r>
        <w:t>who had purchased the WT 15</w:t>
      </w:r>
      <w:r w:rsidR="00506E30">
        <w:t>-</w:t>
      </w:r>
      <w:r>
        <w:t>01 and Queensland Police. The dispute arose because the WT 15-01</w:t>
      </w:r>
      <w:r w:rsidR="001E0D13">
        <w:t>,</w:t>
      </w:r>
      <w:r>
        <w:t xml:space="preserve"> originally classified as a ‘Category H</w:t>
      </w:r>
      <w:r w:rsidR="00360001">
        <w:t>’</w:t>
      </w:r>
      <w:r>
        <w:t xml:space="preserve"> handgun </w:t>
      </w:r>
      <w:r w:rsidR="001E0D13">
        <w:t xml:space="preserve">and </w:t>
      </w:r>
      <w:r>
        <w:t>legally available to sports shooters</w:t>
      </w:r>
      <w:r w:rsidR="001E0D13">
        <w:t xml:space="preserve">, </w:t>
      </w:r>
      <w:r w:rsidR="00D93DFA">
        <w:t xml:space="preserve">was </w:t>
      </w:r>
      <w:r>
        <w:t xml:space="preserve">later re-classified </w:t>
      </w:r>
      <w:r w:rsidR="00C91091">
        <w:t xml:space="preserve">by Queensland Police </w:t>
      </w:r>
      <w:r>
        <w:t xml:space="preserve">as a </w:t>
      </w:r>
      <w:r w:rsidR="00C06C2D">
        <w:t>‘</w:t>
      </w:r>
      <w:r>
        <w:t>Category D</w:t>
      </w:r>
      <w:r w:rsidR="00360001">
        <w:t>’</w:t>
      </w:r>
      <w:bookmarkStart w:id="3" w:name="_Hlk22806184"/>
      <w:r>
        <w:t xml:space="preserve"> semi-automatic rifle</w:t>
      </w:r>
      <w:bookmarkEnd w:id="3"/>
      <w:r w:rsidR="001E0D13">
        <w:t>,</w:t>
      </w:r>
      <w:r w:rsidR="00E02CC5">
        <w:t xml:space="preserve"> </w:t>
      </w:r>
      <w:r w:rsidR="001E0D13">
        <w:t>restricted</w:t>
      </w:r>
      <w:r w:rsidR="00E02CC5">
        <w:t xml:space="preserve"> to professional shooters</w:t>
      </w:r>
      <w:r>
        <w:t xml:space="preserve">. </w:t>
      </w:r>
      <w:r w:rsidR="00814BDC">
        <w:t>As a result, t</w:t>
      </w:r>
      <w:r>
        <w:t>hose who had legally purchased the WT 15-01</w:t>
      </w:r>
      <w:r w:rsidR="00D93DFA">
        <w:t xml:space="preserve"> </w:t>
      </w:r>
      <w:r>
        <w:t>were no</w:t>
      </w:r>
      <w:r w:rsidR="00D93DFA">
        <w:t xml:space="preserve"> longer </w:t>
      </w:r>
      <w:r>
        <w:t xml:space="preserve">legally entitled to own </w:t>
      </w:r>
      <w:r w:rsidR="00D93DFA">
        <w:t>the weapon</w:t>
      </w:r>
      <w:r w:rsidR="001E0D13">
        <w:t xml:space="preserve"> </w:t>
      </w:r>
      <w:r w:rsidR="00814BDC">
        <w:t>and</w:t>
      </w:r>
      <w:r w:rsidR="00D93DFA">
        <w:t xml:space="preserve"> </w:t>
      </w:r>
      <w:r>
        <w:t xml:space="preserve">were challenging the </w:t>
      </w:r>
      <w:r w:rsidR="00814BDC">
        <w:t xml:space="preserve">decision by </w:t>
      </w:r>
      <w:r>
        <w:t>Queensland Police</w:t>
      </w:r>
      <w:r w:rsidR="00B92467">
        <w:t xml:space="preserve"> </w:t>
      </w:r>
      <w:r>
        <w:t xml:space="preserve">to confiscate the </w:t>
      </w:r>
      <w:r w:rsidR="00CC1A16">
        <w:t>weapon</w:t>
      </w:r>
      <w:r w:rsidR="001E0D13">
        <w:t>s</w:t>
      </w:r>
      <w:r>
        <w:t xml:space="preserve"> without compensation.</w:t>
      </w:r>
    </w:p>
    <w:p w14:paraId="2518B5F7" w14:textId="07966B46" w:rsidR="00E63A13" w:rsidRPr="00C323F3" w:rsidRDefault="00E63A13" w:rsidP="00E63A13">
      <w:pPr>
        <w:pStyle w:val="ACMAHeading2"/>
        <w:spacing w:after="240" w:line="240" w:lineRule="atLeast"/>
      </w:pPr>
      <w:r w:rsidRPr="00C323F3">
        <w:lastRenderedPageBreak/>
        <w:t xml:space="preserve">Issue 1: Accuracy in the </w:t>
      </w:r>
      <w:r w:rsidR="001E0D13">
        <w:t>p</w:t>
      </w:r>
      <w:r w:rsidRPr="00C323F3">
        <w:t>rogram</w:t>
      </w:r>
    </w:p>
    <w:p w14:paraId="40097D87" w14:textId="3FA987DE" w:rsidR="00E63A13" w:rsidRPr="00C323F3" w:rsidRDefault="006352E1" w:rsidP="000477FA">
      <w:pPr>
        <w:pStyle w:val="ACMAHeading2"/>
        <w:spacing w:before="240" w:after="240" w:line="240" w:lineRule="atLeast"/>
      </w:pPr>
      <w:r>
        <w:t>F</w:t>
      </w:r>
      <w:r w:rsidR="00E63A13" w:rsidRPr="00C323F3">
        <w:t>inding</w:t>
      </w:r>
    </w:p>
    <w:p w14:paraId="472171BE" w14:textId="1AAB2690" w:rsidR="00E63A13" w:rsidRPr="007A282E" w:rsidRDefault="00E63A13" w:rsidP="00E63A13">
      <w:pPr>
        <w:pStyle w:val="ACMABodyText"/>
      </w:pPr>
      <w:r w:rsidRPr="00C323F3">
        <w:t>The ACMA</w:t>
      </w:r>
      <w:r w:rsidR="00857A54">
        <w:t>’s</w:t>
      </w:r>
      <w:r w:rsidRPr="00C323F3">
        <w:t xml:space="preserve"> </w:t>
      </w:r>
      <w:r w:rsidR="00D93DFA">
        <w:t>f</w:t>
      </w:r>
      <w:r w:rsidRPr="00C323F3">
        <w:t xml:space="preserve">inding is that </w:t>
      </w:r>
      <w:r w:rsidR="000511AE">
        <w:t xml:space="preserve">the </w:t>
      </w:r>
      <w:r w:rsidRPr="00C323F3">
        <w:t>licensee breached clause 3.3.1 of the Code.</w:t>
      </w:r>
      <w:r>
        <w:t xml:space="preserve"> </w:t>
      </w:r>
    </w:p>
    <w:p w14:paraId="7F2EC823" w14:textId="77777777" w:rsidR="001F50E0" w:rsidRPr="001F50E0" w:rsidRDefault="001F50E0" w:rsidP="001F50E0">
      <w:pPr>
        <w:suppressAutoHyphens/>
        <w:spacing w:before="240" w:line="240" w:lineRule="atLeast"/>
        <w:rPr>
          <w:b/>
          <w:bCs/>
          <w:i w:val="0"/>
          <w:iCs/>
          <w:snapToGrid w:val="0"/>
          <w:sz w:val="28"/>
          <w:szCs w:val="28"/>
        </w:rPr>
      </w:pPr>
      <w:r w:rsidRPr="001F50E0">
        <w:rPr>
          <w:b/>
          <w:bCs/>
          <w:i w:val="0"/>
          <w:iCs/>
          <w:sz w:val="28"/>
          <w:szCs w:val="28"/>
        </w:rPr>
        <w:t>Reasons</w:t>
      </w:r>
      <w:r w:rsidRPr="001F50E0">
        <w:rPr>
          <w:b/>
          <w:bCs/>
          <w:i w:val="0"/>
          <w:iCs/>
          <w:snapToGrid w:val="0"/>
          <w:sz w:val="28"/>
          <w:szCs w:val="28"/>
        </w:rPr>
        <w:t xml:space="preserve"> </w:t>
      </w:r>
    </w:p>
    <w:p w14:paraId="67E8DD36" w14:textId="4A0A10AE" w:rsidR="005E389A" w:rsidRDefault="00284096" w:rsidP="000477FA">
      <w:pPr>
        <w:suppressAutoHyphens/>
        <w:spacing w:before="240" w:line="240" w:lineRule="atLeast"/>
        <w:rPr>
          <w:i w:val="0"/>
          <w:snapToGrid w:val="0"/>
          <w:szCs w:val="20"/>
        </w:rPr>
      </w:pPr>
      <w:r>
        <w:rPr>
          <w:i w:val="0"/>
          <w:snapToGrid w:val="0"/>
          <w:szCs w:val="20"/>
        </w:rPr>
        <w:t>In</w:t>
      </w:r>
      <w:r w:rsidR="005E389A">
        <w:rPr>
          <w:i w:val="0"/>
          <w:snapToGrid w:val="0"/>
          <w:szCs w:val="20"/>
        </w:rPr>
        <w:t xml:space="preserve"> assess</w:t>
      </w:r>
      <w:r>
        <w:rPr>
          <w:i w:val="0"/>
          <w:snapToGrid w:val="0"/>
          <w:szCs w:val="20"/>
        </w:rPr>
        <w:t>ing</w:t>
      </w:r>
      <w:r w:rsidR="005E389A">
        <w:rPr>
          <w:i w:val="0"/>
          <w:snapToGrid w:val="0"/>
          <w:szCs w:val="20"/>
        </w:rPr>
        <w:t xml:space="preserve"> compliance with clause 3.3.1, the ACMA </w:t>
      </w:r>
      <w:r w:rsidR="007E41FE">
        <w:rPr>
          <w:i w:val="0"/>
          <w:snapToGrid w:val="0"/>
          <w:szCs w:val="20"/>
        </w:rPr>
        <w:t>generally considers</w:t>
      </w:r>
      <w:r w:rsidR="005E389A">
        <w:rPr>
          <w:i w:val="0"/>
          <w:snapToGrid w:val="0"/>
          <w:szCs w:val="20"/>
        </w:rPr>
        <w:t>:</w:t>
      </w:r>
    </w:p>
    <w:p w14:paraId="6B7B5E7F" w14:textId="77777777" w:rsidR="005E389A" w:rsidRDefault="005E389A" w:rsidP="00151949">
      <w:pPr>
        <w:numPr>
          <w:ilvl w:val="0"/>
          <w:numId w:val="18"/>
        </w:numPr>
        <w:suppressAutoHyphens/>
        <w:spacing w:before="0" w:line="240" w:lineRule="atLeast"/>
        <w:ind w:left="924" w:hanging="357"/>
        <w:rPr>
          <w:i w:val="0"/>
          <w:snapToGrid w:val="0"/>
          <w:szCs w:val="20"/>
        </w:rPr>
      </w:pPr>
      <w:r>
        <w:rPr>
          <w:i w:val="0"/>
          <w:snapToGrid w:val="0"/>
          <w:szCs w:val="20"/>
        </w:rPr>
        <w:t xml:space="preserve">What does the material convey to the ordinary reasonable viewer? </w:t>
      </w:r>
    </w:p>
    <w:p w14:paraId="76E50DF8" w14:textId="77777777" w:rsidR="005E389A" w:rsidRDefault="005E389A" w:rsidP="00151949">
      <w:pPr>
        <w:numPr>
          <w:ilvl w:val="0"/>
          <w:numId w:val="18"/>
        </w:numPr>
        <w:suppressAutoHyphens/>
        <w:spacing w:before="0" w:line="240" w:lineRule="atLeast"/>
        <w:ind w:left="924" w:hanging="357"/>
        <w:rPr>
          <w:i w:val="0"/>
          <w:snapToGrid w:val="0"/>
          <w:szCs w:val="20"/>
        </w:rPr>
      </w:pPr>
      <w:r>
        <w:rPr>
          <w:i w:val="0"/>
          <w:snapToGrid w:val="0"/>
          <w:szCs w:val="20"/>
        </w:rPr>
        <w:t xml:space="preserve">Was the material factual in character? </w:t>
      </w:r>
    </w:p>
    <w:p w14:paraId="4C55C938" w14:textId="77777777" w:rsidR="005E389A" w:rsidRDefault="005E389A" w:rsidP="00151949">
      <w:pPr>
        <w:pStyle w:val="ACMABodyText"/>
        <w:numPr>
          <w:ilvl w:val="0"/>
          <w:numId w:val="18"/>
        </w:numPr>
        <w:snapToGrid w:val="0"/>
        <w:ind w:left="924" w:hanging="357"/>
        <w:rPr>
          <w:snapToGrid/>
        </w:rPr>
      </w:pPr>
      <w:r>
        <w:t>If so, did it convey a material fact or facts in the context of the relevant report?</w:t>
      </w:r>
    </w:p>
    <w:p w14:paraId="1215595D" w14:textId="77777777" w:rsidR="005E389A" w:rsidRDefault="005E389A" w:rsidP="00151949">
      <w:pPr>
        <w:numPr>
          <w:ilvl w:val="0"/>
          <w:numId w:val="18"/>
        </w:numPr>
        <w:suppressAutoHyphens/>
        <w:spacing w:before="0" w:line="240" w:lineRule="atLeast"/>
        <w:ind w:left="924" w:hanging="357"/>
        <w:rPr>
          <w:i w:val="0"/>
          <w:snapToGrid w:val="0"/>
          <w:szCs w:val="20"/>
        </w:rPr>
      </w:pPr>
      <w:r>
        <w:rPr>
          <w:i w:val="0"/>
          <w:snapToGrid w:val="0"/>
          <w:szCs w:val="20"/>
        </w:rPr>
        <w:t xml:space="preserve">If so, was the factual material accurate? </w:t>
      </w:r>
    </w:p>
    <w:p w14:paraId="58120D77" w14:textId="76A97796" w:rsidR="005E389A" w:rsidRDefault="005E389A" w:rsidP="00151949">
      <w:pPr>
        <w:suppressAutoHyphens/>
        <w:spacing w:line="240" w:lineRule="atLeast"/>
        <w:rPr>
          <w:i w:val="0"/>
        </w:rPr>
      </w:pPr>
      <w:r>
        <w:rPr>
          <w:i w:val="0"/>
        </w:rPr>
        <w:t xml:space="preserve">The </w:t>
      </w:r>
      <w:r>
        <w:rPr>
          <w:i w:val="0"/>
          <w:snapToGrid w:val="0"/>
          <w:szCs w:val="20"/>
        </w:rPr>
        <w:t>considerations</w:t>
      </w:r>
      <w:r>
        <w:rPr>
          <w:i w:val="0"/>
        </w:rPr>
        <w:t xml:space="preserve"> the ACMA </w:t>
      </w:r>
      <w:r w:rsidR="00DF561A">
        <w:rPr>
          <w:i w:val="0"/>
        </w:rPr>
        <w:t xml:space="preserve">uses </w:t>
      </w:r>
      <w:r>
        <w:rPr>
          <w:i w:val="0"/>
        </w:rPr>
        <w:t xml:space="preserve">in assessing whether broadcast material is factual are set out at </w:t>
      </w:r>
      <w:r>
        <w:rPr>
          <w:b/>
          <w:i w:val="0"/>
        </w:rPr>
        <w:t xml:space="preserve">Attachment </w:t>
      </w:r>
      <w:r w:rsidR="00B92467">
        <w:rPr>
          <w:b/>
          <w:i w:val="0"/>
        </w:rPr>
        <w:t>C</w:t>
      </w:r>
      <w:r>
        <w:rPr>
          <w:i w:val="0"/>
        </w:rPr>
        <w:t>.</w:t>
      </w:r>
    </w:p>
    <w:p w14:paraId="0A8B9C1E" w14:textId="2B866D30" w:rsidR="008C29D9" w:rsidRDefault="008C29D9" w:rsidP="00151949">
      <w:pPr>
        <w:pStyle w:val="ACMABodyText"/>
      </w:pPr>
      <w:r w:rsidRPr="009368A5">
        <w:t>The ACMA’s investigation has focussed</w:t>
      </w:r>
      <w:r w:rsidR="00610553">
        <w:t xml:space="preserve"> on </w:t>
      </w:r>
      <w:r w:rsidR="003F3546">
        <w:t xml:space="preserve">the accuracy </w:t>
      </w:r>
      <w:r w:rsidR="00934FFA">
        <w:t xml:space="preserve">of </w:t>
      </w:r>
      <w:r w:rsidR="001D55FF">
        <w:t>the statements</w:t>
      </w:r>
      <w:r w:rsidR="00934FFA">
        <w:t xml:space="preserve"> </w:t>
      </w:r>
      <w:r w:rsidR="00136314">
        <w:t xml:space="preserve">contained in the introduction and mid-program teaser </w:t>
      </w:r>
      <w:r w:rsidR="001D55FF">
        <w:t>that</w:t>
      </w:r>
      <w:r w:rsidR="00CE0C88">
        <w:t xml:space="preserve"> the WT 15-01</w:t>
      </w:r>
      <w:r w:rsidRPr="009368A5">
        <w:t>:</w:t>
      </w:r>
    </w:p>
    <w:p w14:paraId="521A4AF3" w14:textId="6D980AF7" w:rsidR="000C7334" w:rsidRDefault="001E0D13" w:rsidP="00151949">
      <w:pPr>
        <w:pStyle w:val="ACMABodyText"/>
        <w:numPr>
          <w:ilvl w:val="0"/>
          <w:numId w:val="19"/>
        </w:numPr>
        <w:ind w:left="924" w:hanging="357"/>
      </w:pPr>
      <w:r>
        <w:t>i</w:t>
      </w:r>
      <w:r w:rsidR="00F856C7">
        <w:t>s a ‘deadly weapon’</w:t>
      </w:r>
      <w:r w:rsidR="00A32C97">
        <w:t xml:space="preserve"> and ‘it can kill’</w:t>
      </w:r>
    </w:p>
    <w:p w14:paraId="6D5B975B" w14:textId="140971B3" w:rsidR="00A32C97" w:rsidRPr="009368A5" w:rsidRDefault="00FD308B" w:rsidP="00151949">
      <w:pPr>
        <w:pStyle w:val="ACMABodyText"/>
        <w:numPr>
          <w:ilvl w:val="0"/>
          <w:numId w:val="19"/>
        </w:numPr>
        <w:ind w:left="924" w:hanging="357"/>
      </w:pPr>
      <w:r>
        <w:t>‘</w:t>
      </w:r>
      <w:r w:rsidR="001E0D13">
        <w:t>l</w:t>
      </w:r>
      <w:r w:rsidRPr="00FD308B">
        <w:t>ooks like a machine gun, fires like a machine gun</w:t>
      </w:r>
      <w:r>
        <w:t>’</w:t>
      </w:r>
    </w:p>
    <w:p w14:paraId="3A1E570C" w14:textId="55F92573" w:rsidR="008C29D9" w:rsidRPr="008962E2" w:rsidRDefault="007E3531" w:rsidP="005B7E0E">
      <w:pPr>
        <w:pStyle w:val="ACMABodyText"/>
        <w:numPr>
          <w:ilvl w:val="0"/>
          <w:numId w:val="21"/>
        </w:numPr>
        <w:rPr>
          <w:b/>
          <w:bCs/>
          <w:u w:val="single"/>
        </w:rPr>
      </w:pPr>
      <w:r w:rsidRPr="008962E2">
        <w:rPr>
          <w:b/>
          <w:bCs/>
          <w:u w:val="single"/>
        </w:rPr>
        <w:t>‘</w:t>
      </w:r>
      <w:r w:rsidR="00770B96">
        <w:rPr>
          <w:b/>
          <w:bCs/>
          <w:u w:val="single"/>
        </w:rPr>
        <w:t>d</w:t>
      </w:r>
      <w:r w:rsidR="00BF2EB8" w:rsidRPr="008962E2">
        <w:rPr>
          <w:b/>
          <w:bCs/>
          <w:u w:val="single"/>
        </w:rPr>
        <w:t xml:space="preserve">eadly </w:t>
      </w:r>
      <w:r w:rsidR="00D832E7" w:rsidRPr="008962E2">
        <w:rPr>
          <w:b/>
          <w:bCs/>
          <w:u w:val="single"/>
        </w:rPr>
        <w:t>weapon</w:t>
      </w:r>
      <w:r w:rsidRPr="008962E2">
        <w:rPr>
          <w:b/>
          <w:bCs/>
          <w:u w:val="single"/>
        </w:rPr>
        <w:t>’</w:t>
      </w:r>
      <w:r w:rsidR="00D832E7" w:rsidRPr="008962E2">
        <w:rPr>
          <w:b/>
          <w:bCs/>
          <w:u w:val="single"/>
        </w:rPr>
        <w:t xml:space="preserve"> and </w:t>
      </w:r>
      <w:r w:rsidRPr="008962E2">
        <w:rPr>
          <w:b/>
          <w:bCs/>
          <w:u w:val="single"/>
        </w:rPr>
        <w:t>‘</w:t>
      </w:r>
      <w:r w:rsidR="00D832E7" w:rsidRPr="008962E2">
        <w:rPr>
          <w:b/>
          <w:bCs/>
          <w:u w:val="single"/>
        </w:rPr>
        <w:t>it can kill</w:t>
      </w:r>
      <w:r w:rsidRPr="008962E2">
        <w:rPr>
          <w:b/>
          <w:bCs/>
          <w:u w:val="single"/>
        </w:rPr>
        <w:t>’</w:t>
      </w:r>
    </w:p>
    <w:p w14:paraId="44FFCF31" w14:textId="6E378C72" w:rsidR="00814BDC" w:rsidRDefault="00814BDC" w:rsidP="00151949">
      <w:pPr>
        <w:pStyle w:val="ACMABodyText"/>
      </w:pPr>
      <w:bookmarkStart w:id="4" w:name="_Hlk22651624"/>
      <w:r>
        <w:t xml:space="preserve">The complaint was that the program misrepresented ‘legitimately owned firearms’, when none had ‘ever </w:t>
      </w:r>
      <w:r w:rsidR="00950EC1">
        <w:t xml:space="preserve">been </w:t>
      </w:r>
      <w:r>
        <w:t xml:space="preserve">used in a crime of any kind in Queensland’. </w:t>
      </w:r>
    </w:p>
    <w:bookmarkEnd w:id="4"/>
    <w:p w14:paraId="7213CC32" w14:textId="14449887" w:rsidR="001747E4" w:rsidRDefault="00BA4822" w:rsidP="00151949">
      <w:pPr>
        <w:pStyle w:val="ACMAQuoteindented"/>
        <w:ind w:left="0"/>
        <w:rPr>
          <w:b/>
          <w:bCs/>
          <w:sz w:val="20"/>
        </w:rPr>
      </w:pPr>
      <w:r w:rsidRPr="00BA4822">
        <w:rPr>
          <w:b/>
          <w:bCs/>
          <w:sz w:val="20"/>
        </w:rPr>
        <w:t>What does the material convey to the ordinary reasonable viewer?</w:t>
      </w:r>
    </w:p>
    <w:p w14:paraId="269C3309" w14:textId="102F47B9" w:rsidR="00BA4822" w:rsidRDefault="008B6184" w:rsidP="00151949">
      <w:pPr>
        <w:pStyle w:val="ACMAQuoteindented"/>
        <w:ind w:left="0"/>
        <w:rPr>
          <w:sz w:val="20"/>
        </w:rPr>
      </w:pPr>
      <w:r w:rsidRPr="00DC1140">
        <w:rPr>
          <w:sz w:val="20"/>
        </w:rPr>
        <w:t>Although</w:t>
      </w:r>
      <w:r w:rsidR="00DC1140">
        <w:rPr>
          <w:sz w:val="20"/>
        </w:rPr>
        <w:t xml:space="preserve"> some viewers may </w:t>
      </w:r>
      <w:r w:rsidR="005376B8">
        <w:rPr>
          <w:sz w:val="20"/>
        </w:rPr>
        <w:t xml:space="preserve">have </w:t>
      </w:r>
      <w:r w:rsidR="0070734D">
        <w:rPr>
          <w:sz w:val="20"/>
        </w:rPr>
        <w:t>underst</w:t>
      </w:r>
      <w:r w:rsidR="005376B8">
        <w:rPr>
          <w:sz w:val="20"/>
        </w:rPr>
        <w:t>ood</w:t>
      </w:r>
      <w:r w:rsidR="0070734D">
        <w:rPr>
          <w:sz w:val="20"/>
        </w:rPr>
        <w:t xml:space="preserve"> </w:t>
      </w:r>
      <w:r w:rsidR="00043D46">
        <w:rPr>
          <w:sz w:val="20"/>
        </w:rPr>
        <w:t xml:space="preserve">the phrase ‘deadly weapon’ to </w:t>
      </w:r>
      <w:r w:rsidR="00226B5E">
        <w:rPr>
          <w:sz w:val="20"/>
        </w:rPr>
        <w:t>mean that the WT 15-01 ha</w:t>
      </w:r>
      <w:r w:rsidR="00A01F5D">
        <w:rPr>
          <w:sz w:val="20"/>
        </w:rPr>
        <w:t>d</w:t>
      </w:r>
      <w:r w:rsidR="00226B5E">
        <w:rPr>
          <w:sz w:val="20"/>
        </w:rPr>
        <w:t xml:space="preserve"> been </w:t>
      </w:r>
      <w:r w:rsidR="00043D46">
        <w:rPr>
          <w:sz w:val="20"/>
        </w:rPr>
        <w:t xml:space="preserve">used </w:t>
      </w:r>
      <w:r w:rsidR="0034367A">
        <w:rPr>
          <w:sz w:val="20"/>
        </w:rPr>
        <w:t>to kill</w:t>
      </w:r>
      <w:r w:rsidR="00E75742">
        <w:rPr>
          <w:sz w:val="20"/>
        </w:rPr>
        <w:t xml:space="preserve">, </w:t>
      </w:r>
      <w:r w:rsidR="00043D46">
        <w:rPr>
          <w:sz w:val="20"/>
        </w:rPr>
        <w:t xml:space="preserve">the </w:t>
      </w:r>
      <w:r w:rsidR="008310F8">
        <w:rPr>
          <w:sz w:val="20"/>
        </w:rPr>
        <w:t xml:space="preserve">ACMA </w:t>
      </w:r>
      <w:r w:rsidR="00984568">
        <w:rPr>
          <w:sz w:val="20"/>
        </w:rPr>
        <w:t xml:space="preserve">considers that the ordinary reasonable viewer </w:t>
      </w:r>
      <w:r w:rsidR="001C345F">
        <w:rPr>
          <w:sz w:val="20"/>
        </w:rPr>
        <w:t xml:space="preserve">would have understood the </w:t>
      </w:r>
      <w:r w:rsidR="006A12A9">
        <w:rPr>
          <w:sz w:val="20"/>
        </w:rPr>
        <w:t xml:space="preserve">phrase to refer to the </w:t>
      </w:r>
      <w:r w:rsidR="00972BB6">
        <w:rPr>
          <w:sz w:val="20"/>
        </w:rPr>
        <w:t xml:space="preserve">fact that the </w:t>
      </w:r>
      <w:r w:rsidR="006A12A9">
        <w:rPr>
          <w:sz w:val="20"/>
        </w:rPr>
        <w:t>WT 15-01</w:t>
      </w:r>
      <w:r w:rsidR="00814BDC">
        <w:rPr>
          <w:sz w:val="20"/>
        </w:rPr>
        <w:t>, being a firearm,</w:t>
      </w:r>
      <w:r w:rsidR="00972BB6">
        <w:rPr>
          <w:sz w:val="20"/>
        </w:rPr>
        <w:t xml:space="preserve"> is</w:t>
      </w:r>
      <w:r w:rsidR="006A12A9">
        <w:rPr>
          <w:sz w:val="20"/>
        </w:rPr>
        <w:t xml:space="preserve"> </w:t>
      </w:r>
      <w:r w:rsidR="00F87B61">
        <w:rPr>
          <w:sz w:val="20"/>
        </w:rPr>
        <w:t>capab</w:t>
      </w:r>
      <w:r w:rsidR="00972BB6">
        <w:rPr>
          <w:sz w:val="20"/>
        </w:rPr>
        <w:t>le of killing</w:t>
      </w:r>
      <w:r w:rsidR="00623354">
        <w:rPr>
          <w:sz w:val="20"/>
        </w:rPr>
        <w:t>.</w:t>
      </w:r>
    </w:p>
    <w:p w14:paraId="29E3D553" w14:textId="4FD663C8" w:rsidR="00547030" w:rsidRDefault="00547030" w:rsidP="00151949">
      <w:pPr>
        <w:pStyle w:val="ACMAQuoteindented"/>
        <w:ind w:left="0"/>
        <w:rPr>
          <w:sz w:val="20"/>
        </w:rPr>
      </w:pPr>
      <w:r>
        <w:rPr>
          <w:sz w:val="20"/>
        </w:rPr>
        <w:t xml:space="preserve">Likewise, the </w:t>
      </w:r>
      <w:r w:rsidR="00DE1367" w:rsidRPr="00DE1367">
        <w:rPr>
          <w:sz w:val="20"/>
        </w:rPr>
        <w:t xml:space="preserve">ACMA considers that the ordinary reasonable viewer would have understood </w:t>
      </w:r>
      <w:r w:rsidR="005B7E03">
        <w:rPr>
          <w:sz w:val="20"/>
        </w:rPr>
        <w:t xml:space="preserve">the </w:t>
      </w:r>
      <w:r>
        <w:rPr>
          <w:sz w:val="20"/>
        </w:rPr>
        <w:t xml:space="preserve">phrase </w:t>
      </w:r>
      <w:r w:rsidR="0078192B">
        <w:rPr>
          <w:sz w:val="20"/>
        </w:rPr>
        <w:t xml:space="preserve">‘it can kill’ </w:t>
      </w:r>
      <w:r w:rsidR="005B7E03">
        <w:rPr>
          <w:sz w:val="20"/>
        </w:rPr>
        <w:t xml:space="preserve">to be a </w:t>
      </w:r>
      <w:r w:rsidR="0078192B">
        <w:rPr>
          <w:sz w:val="20"/>
        </w:rPr>
        <w:t xml:space="preserve">reference to </w:t>
      </w:r>
      <w:r w:rsidR="005B7E03">
        <w:rPr>
          <w:sz w:val="20"/>
        </w:rPr>
        <w:t>the</w:t>
      </w:r>
      <w:r w:rsidR="0078192B">
        <w:rPr>
          <w:sz w:val="20"/>
        </w:rPr>
        <w:t xml:space="preserve"> capabilit</w:t>
      </w:r>
      <w:r w:rsidR="006F4037">
        <w:rPr>
          <w:sz w:val="20"/>
        </w:rPr>
        <w:t>y</w:t>
      </w:r>
      <w:r w:rsidR="0078192B">
        <w:rPr>
          <w:sz w:val="20"/>
        </w:rPr>
        <w:t xml:space="preserve"> </w:t>
      </w:r>
      <w:r w:rsidR="0034367A">
        <w:rPr>
          <w:sz w:val="20"/>
        </w:rPr>
        <w:t>of the WT 15-01</w:t>
      </w:r>
      <w:r w:rsidR="00814BDC">
        <w:rPr>
          <w:sz w:val="20"/>
        </w:rPr>
        <w:t>, being a firearm,</w:t>
      </w:r>
      <w:r w:rsidR="0034367A">
        <w:rPr>
          <w:sz w:val="20"/>
        </w:rPr>
        <w:t xml:space="preserve"> </w:t>
      </w:r>
      <w:r w:rsidR="00DF561A">
        <w:rPr>
          <w:sz w:val="20"/>
        </w:rPr>
        <w:t xml:space="preserve">that could </w:t>
      </w:r>
      <w:r w:rsidR="0034367A">
        <w:rPr>
          <w:sz w:val="20"/>
        </w:rPr>
        <w:t>kill</w:t>
      </w:r>
      <w:r w:rsidR="00C31908">
        <w:rPr>
          <w:sz w:val="20"/>
        </w:rPr>
        <w:t>.</w:t>
      </w:r>
      <w:r w:rsidR="00A97281">
        <w:rPr>
          <w:sz w:val="20"/>
        </w:rPr>
        <w:t xml:space="preserve"> </w:t>
      </w:r>
    </w:p>
    <w:p w14:paraId="6D369F2E" w14:textId="77777777" w:rsidR="00B11F35" w:rsidRPr="00B11F35" w:rsidRDefault="00B11F35" w:rsidP="00151949">
      <w:pPr>
        <w:suppressAutoHyphens/>
        <w:spacing w:before="0" w:line="240" w:lineRule="atLeast"/>
        <w:rPr>
          <w:b/>
          <w:bCs/>
          <w:i w:val="0"/>
          <w:snapToGrid w:val="0"/>
          <w:szCs w:val="20"/>
        </w:rPr>
      </w:pPr>
      <w:r w:rsidRPr="00B11F35">
        <w:rPr>
          <w:b/>
          <w:bCs/>
          <w:i w:val="0"/>
          <w:snapToGrid w:val="0"/>
          <w:szCs w:val="20"/>
        </w:rPr>
        <w:t xml:space="preserve">Was the material factual in character? </w:t>
      </w:r>
    </w:p>
    <w:p w14:paraId="60A5460E" w14:textId="2787537D" w:rsidR="00A97281" w:rsidRDefault="00A73BA7" w:rsidP="00151949">
      <w:pPr>
        <w:pStyle w:val="ACMAQuoteindented"/>
        <w:ind w:left="0"/>
        <w:rPr>
          <w:sz w:val="20"/>
        </w:rPr>
      </w:pPr>
      <w:r w:rsidRPr="00A73BA7">
        <w:rPr>
          <w:sz w:val="20"/>
        </w:rPr>
        <w:t xml:space="preserve">The </w:t>
      </w:r>
      <w:r>
        <w:rPr>
          <w:sz w:val="20"/>
        </w:rPr>
        <w:t xml:space="preserve">ACMA </w:t>
      </w:r>
      <w:r w:rsidR="009C5E78">
        <w:rPr>
          <w:sz w:val="20"/>
        </w:rPr>
        <w:t xml:space="preserve">considers that </w:t>
      </w:r>
      <w:r w:rsidR="004356B0">
        <w:rPr>
          <w:sz w:val="20"/>
        </w:rPr>
        <w:t xml:space="preserve">assertions </w:t>
      </w:r>
      <w:r w:rsidR="003C6214">
        <w:rPr>
          <w:sz w:val="20"/>
        </w:rPr>
        <w:t>about the WT 15-01</w:t>
      </w:r>
      <w:r w:rsidR="00AB5489">
        <w:rPr>
          <w:sz w:val="20"/>
        </w:rPr>
        <w:t>’s</w:t>
      </w:r>
      <w:r w:rsidR="003C6214">
        <w:rPr>
          <w:sz w:val="20"/>
        </w:rPr>
        <w:t xml:space="preserve"> </w:t>
      </w:r>
      <w:r w:rsidR="00DF561A">
        <w:rPr>
          <w:sz w:val="20"/>
        </w:rPr>
        <w:t xml:space="preserve">ability </w:t>
      </w:r>
      <w:r w:rsidR="00AB5489">
        <w:rPr>
          <w:sz w:val="20"/>
        </w:rPr>
        <w:t>to</w:t>
      </w:r>
      <w:r w:rsidR="00E63163">
        <w:rPr>
          <w:sz w:val="20"/>
        </w:rPr>
        <w:t xml:space="preserve"> kill </w:t>
      </w:r>
      <w:r w:rsidR="003C4909">
        <w:rPr>
          <w:sz w:val="20"/>
        </w:rPr>
        <w:t xml:space="preserve">were factual in </w:t>
      </w:r>
      <w:r w:rsidR="002514A5">
        <w:rPr>
          <w:sz w:val="20"/>
        </w:rPr>
        <w:t xml:space="preserve">character. They </w:t>
      </w:r>
      <w:r w:rsidR="00C31908">
        <w:rPr>
          <w:sz w:val="20"/>
        </w:rPr>
        <w:t>we</w:t>
      </w:r>
      <w:r w:rsidR="007419EF">
        <w:rPr>
          <w:sz w:val="20"/>
        </w:rPr>
        <w:t xml:space="preserve">re specific, </w:t>
      </w:r>
      <w:r w:rsidR="00CC678B">
        <w:rPr>
          <w:sz w:val="20"/>
        </w:rPr>
        <w:t>unequivocal and capable of independent verification.</w:t>
      </w:r>
    </w:p>
    <w:p w14:paraId="39E9EE18" w14:textId="2058C802" w:rsidR="00527820" w:rsidRDefault="00527820" w:rsidP="00151949">
      <w:pPr>
        <w:pStyle w:val="ACMABodyText"/>
        <w:rPr>
          <w:b/>
          <w:lang w:eastAsia="en-AU"/>
        </w:rPr>
      </w:pPr>
      <w:r w:rsidRPr="009368A5">
        <w:rPr>
          <w:b/>
          <w:lang w:eastAsia="en-AU"/>
        </w:rPr>
        <w:t>If so, did it convey a material fact or facts in the context of the relevant report?</w:t>
      </w:r>
    </w:p>
    <w:p w14:paraId="470EC938" w14:textId="42B09B1C" w:rsidR="00F64EB0" w:rsidRDefault="00406506" w:rsidP="00151949">
      <w:pPr>
        <w:pStyle w:val="ACMABodyText"/>
        <w:rPr>
          <w:bCs/>
          <w:lang w:eastAsia="en-AU"/>
        </w:rPr>
      </w:pPr>
      <w:r>
        <w:rPr>
          <w:bCs/>
          <w:lang w:eastAsia="en-AU"/>
        </w:rPr>
        <w:t>The</w:t>
      </w:r>
      <w:r w:rsidR="00953A95">
        <w:rPr>
          <w:bCs/>
          <w:lang w:eastAsia="en-AU"/>
        </w:rPr>
        <w:t xml:space="preserve"> ACMA considers that</w:t>
      </w:r>
      <w:r>
        <w:rPr>
          <w:bCs/>
          <w:lang w:eastAsia="en-AU"/>
        </w:rPr>
        <w:t xml:space="preserve"> the report </w:t>
      </w:r>
      <w:r w:rsidR="00922BD5">
        <w:rPr>
          <w:bCs/>
          <w:lang w:eastAsia="en-AU"/>
        </w:rPr>
        <w:t>about</w:t>
      </w:r>
      <w:r>
        <w:rPr>
          <w:bCs/>
          <w:lang w:eastAsia="en-AU"/>
        </w:rPr>
        <w:t xml:space="preserve"> the classification of the WT 15-01 as either a ‘Category D’ or ‘Category H’ weapon</w:t>
      </w:r>
      <w:r w:rsidR="00953A95">
        <w:rPr>
          <w:bCs/>
          <w:lang w:eastAsia="en-AU"/>
        </w:rPr>
        <w:t xml:space="preserve"> had an overall theme of public safety, </w:t>
      </w:r>
      <w:r w:rsidR="009B2129">
        <w:rPr>
          <w:bCs/>
          <w:lang w:eastAsia="en-AU"/>
        </w:rPr>
        <w:t>gun control and the rights of firearm owners</w:t>
      </w:r>
      <w:r w:rsidR="00187896">
        <w:rPr>
          <w:bCs/>
          <w:lang w:eastAsia="en-AU"/>
        </w:rPr>
        <w:t>.</w:t>
      </w:r>
      <w:r w:rsidR="006F6901">
        <w:rPr>
          <w:bCs/>
          <w:lang w:eastAsia="en-AU"/>
        </w:rPr>
        <w:t xml:space="preserve"> </w:t>
      </w:r>
      <w:r w:rsidR="00556986">
        <w:rPr>
          <w:bCs/>
          <w:lang w:eastAsia="en-AU"/>
        </w:rPr>
        <w:t>T</w:t>
      </w:r>
      <w:r w:rsidR="00C75B53">
        <w:rPr>
          <w:bCs/>
          <w:lang w:eastAsia="en-AU"/>
        </w:rPr>
        <w:t xml:space="preserve">he ACMA considers that </w:t>
      </w:r>
      <w:r w:rsidR="0098467B">
        <w:rPr>
          <w:bCs/>
          <w:lang w:eastAsia="en-AU"/>
        </w:rPr>
        <w:t xml:space="preserve">both </w:t>
      </w:r>
      <w:r w:rsidR="00822896">
        <w:rPr>
          <w:bCs/>
          <w:lang w:eastAsia="en-AU"/>
        </w:rPr>
        <w:t xml:space="preserve">firearm </w:t>
      </w:r>
      <w:r w:rsidR="0098467B">
        <w:rPr>
          <w:bCs/>
          <w:lang w:eastAsia="en-AU"/>
        </w:rPr>
        <w:t>categories</w:t>
      </w:r>
      <w:r w:rsidR="00556986">
        <w:rPr>
          <w:bCs/>
          <w:lang w:eastAsia="en-AU"/>
        </w:rPr>
        <w:t xml:space="preserve"> mentioned in </w:t>
      </w:r>
      <w:r w:rsidR="00556986">
        <w:rPr>
          <w:bCs/>
          <w:lang w:eastAsia="en-AU"/>
        </w:rPr>
        <w:lastRenderedPageBreak/>
        <w:t>the report</w:t>
      </w:r>
      <w:r w:rsidR="00CE53AD">
        <w:rPr>
          <w:bCs/>
          <w:lang w:eastAsia="en-AU"/>
        </w:rPr>
        <w:t xml:space="preserve">, </w:t>
      </w:r>
      <w:r w:rsidR="00DF561A">
        <w:rPr>
          <w:bCs/>
          <w:lang w:eastAsia="en-AU"/>
        </w:rPr>
        <w:t xml:space="preserve">include </w:t>
      </w:r>
      <w:r w:rsidR="0098467B">
        <w:rPr>
          <w:bCs/>
          <w:lang w:eastAsia="en-AU"/>
        </w:rPr>
        <w:t>weapons capable of killing</w:t>
      </w:r>
      <w:r w:rsidR="007660C0">
        <w:rPr>
          <w:bCs/>
          <w:lang w:eastAsia="en-AU"/>
        </w:rPr>
        <w:t>. Therefore</w:t>
      </w:r>
      <w:r w:rsidR="0098467B">
        <w:rPr>
          <w:bCs/>
          <w:lang w:eastAsia="en-AU"/>
        </w:rPr>
        <w:t xml:space="preserve">, </w:t>
      </w:r>
      <w:r w:rsidR="00F249CA">
        <w:rPr>
          <w:bCs/>
          <w:lang w:eastAsia="en-AU"/>
        </w:rPr>
        <w:t>th</w:t>
      </w:r>
      <w:r w:rsidR="004C0109">
        <w:rPr>
          <w:bCs/>
          <w:lang w:eastAsia="en-AU"/>
        </w:rPr>
        <w:t>e factual assertion that the WT 15-01 is a ‘deadly weapon’</w:t>
      </w:r>
      <w:r w:rsidR="0016788B">
        <w:rPr>
          <w:bCs/>
          <w:lang w:eastAsia="en-AU"/>
        </w:rPr>
        <w:t xml:space="preserve"> is</w:t>
      </w:r>
      <w:r w:rsidR="004C0109">
        <w:rPr>
          <w:bCs/>
          <w:lang w:eastAsia="en-AU"/>
        </w:rPr>
        <w:t xml:space="preserve"> </w:t>
      </w:r>
      <w:r w:rsidR="0016788B">
        <w:rPr>
          <w:bCs/>
          <w:lang w:eastAsia="en-AU"/>
        </w:rPr>
        <w:t xml:space="preserve">a </w:t>
      </w:r>
      <w:r w:rsidR="00F249CA">
        <w:rPr>
          <w:bCs/>
          <w:lang w:eastAsia="en-AU"/>
        </w:rPr>
        <w:t>material fact</w:t>
      </w:r>
      <w:r w:rsidR="004C0109">
        <w:rPr>
          <w:bCs/>
          <w:lang w:eastAsia="en-AU"/>
        </w:rPr>
        <w:t xml:space="preserve">ual </w:t>
      </w:r>
      <w:r w:rsidR="00EF332E">
        <w:rPr>
          <w:bCs/>
          <w:lang w:eastAsia="en-AU"/>
        </w:rPr>
        <w:t>assertion.</w:t>
      </w:r>
    </w:p>
    <w:p w14:paraId="6CC6FD26" w14:textId="77777777" w:rsidR="00CE53AD" w:rsidRDefault="00CE53AD" w:rsidP="00CE53AD">
      <w:pPr>
        <w:pStyle w:val="ACMABodyText"/>
        <w:rPr>
          <w:b/>
          <w:bCs/>
        </w:rPr>
      </w:pPr>
      <w:r w:rsidRPr="00CA2B9D">
        <w:rPr>
          <w:b/>
          <w:bCs/>
        </w:rPr>
        <w:t>If so, were the material facts accurate?</w:t>
      </w:r>
    </w:p>
    <w:p w14:paraId="2C423A00" w14:textId="1595CC94" w:rsidR="00CE53AD" w:rsidRPr="009F1991" w:rsidRDefault="005B17E6" w:rsidP="00151949">
      <w:pPr>
        <w:pStyle w:val="ACMABodyText"/>
        <w:rPr>
          <w:bCs/>
          <w:lang w:eastAsia="en-AU"/>
        </w:rPr>
      </w:pPr>
      <w:r>
        <w:rPr>
          <w:bCs/>
          <w:lang w:eastAsia="en-AU"/>
        </w:rPr>
        <w:t>The ACMA notes the complainant’s assertion that the WT 15-01 has not been used in any violent crime</w:t>
      </w:r>
      <w:r w:rsidR="000C0D92">
        <w:rPr>
          <w:bCs/>
          <w:lang w:eastAsia="en-AU"/>
        </w:rPr>
        <w:t xml:space="preserve"> in Queensland, but it nevertheless is a firearm </w:t>
      </w:r>
      <w:r w:rsidR="002032DD">
        <w:rPr>
          <w:bCs/>
          <w:lang w:eastAsia="en-AU"/>
        </w:rPr>
        <w:t xml:space="preserve">that is undoubtedly capable of being used to kill.  Accordingly, the </w:t>
      </w:r>
      <w:r w:rsidR="00155C2A">
        <w:rPr>
          <w:bCs/>
          <w:lang w:eastAsia="en-AU"/>
        </w:rPr>
        <w:t xml:space="preserve">ACMA considers that </w:t>
      </w:r>
      <w:r w:rsidR="00DF561A">
        <w:rPr>
          <w:bCs/>
          <w:lang w:eastAsia="en-AU"/>
        </w:rPr>
        <w:t xml:space="preserve">the </w:t>
      </w:r>
      <w:r w:rsidR="002032DD">
        <w:rPr>
          <w:bCs/>
          <w:lang w:eastAsia="en-AU"/>
        </w:rPr>
        <w:t>relevant material fact</w:t>
      </w:r>
      <w:r w:rsidR="00EB1000">
        <w:rPr>
          <w:bCs/>
          <w:lang w:eastAsia="en-AU"/>
        </w:rPr>
        <w:t xml:space="preserve"> </w:t>
      </w:r>
      <w:r w:rsidR="00857A54">
        <w:rPr>
          <w:bCs/>
          <w:lang w:eastAsia="en-AU"/>
        </w:rPr>
        <w:t xml:space="preserve">that was </w:t>
      </w:r>
      <w:r w:rsidR="00EB1000">
        <w:rPr>
          <w:bCs/>
          <w:lang w:eastAsia="en-AU"/>
        </w:rPr>
        <w:t xml:space="preserve">conveyed </w:t>
      </w:r>
      <w:r w:rsidR="00155C2A">
        <w:rPr>
          <w:bCs/>
          <w:lang w:eastAsia="en-AU"/>
        </w:rPr>
        <w:t>was accurate.</w:t>
      </w:r>
    </w:p>
    <w:p w14:paraId="0A3D3171" w14:textId="758161C9" w:rsidR="00052EB1" w:rsidRDefault="004C0109" w:rsidP="00143C00">
      <w:pPr>
        <w:pStyle w:val="ACMAQuoteindented"/>
        <w:numPr>
          <w:ilvl w:val="1"/>
          <w:numId w:val="25"/>
        </w:numPr>
        <w:rPr>
          <w:b/>
          <w:bCs/>
          <w:sz w:val="20"/>
          <w:u w:val="single"/>
        </w:rPr>
      </w:pPr>
      <w:r>
        <w:rPr>
          <w:b/>
          <w:bCs/>
          <w:sz w:val="20"/>
          <w:u w:val="single"/>
        </w:rPr>
        <w:t>‘</w:t>
      </w:r>
      <w:r w:rsidR="00770B96">
        <w:rPr>
          <w:b/>
          <w:bCs/>
          <w:sz w:val="20"/>
          <w:u w:val="single"/>
        </w:rPr>
        <w:t>l</w:t>
      </w:r>
      <w:r w:rsidR="00843CC2" w:rsidRPr="00843CC2">
        <w:rPr>
          <w:b/>
          <w:bCs/>
          <w:sz w:val="20"/>
          <w:u w:val="single"/>
        </w:rPr>
        <w:t>ooks like a machine gun, fires like a machine gun</w:t>
      </w:r>
      <w:r>
        <w:rPr>
          <w:b/>
          <w:bCs/>
          <w:sz w:val="20"/>
          <w:u w:val="single"/>
        </w:rPr>
        <w:t>’</w:t>
      </w:r>
    </w:p>
    <w:p w14:paraId="632E7E1C" w14:textId="1AA13D4F" w:rsidR="00406506" w:rsidRPr="00406506" w:rsidRDefault="00406506" w:rsidP="00406506">
      <w:pPr>
        <w:pStyle w:val="ACMABodyText"/>
        <w:rPr>
          <w:bCs/>
          <w:lang w:eastAsia="en-AU"/>
        </w:rPr>
      </w:pPr>
      <w:r w:rsidRPr="00406506">
        <w:rPr>
          <w:bCs/>
          <w:lang w:eastAsia="en-AU"/>
        </w:rPr>
        <w:t>The complaint was that</w:t>
      </w:r>
      <w:r>
        <w:rPr>
          <w:bCs/>
          <w:lang w:eastAsia="en-AU"/>
        </w:rPr>
        <w:t xml:space="preserve"> the WT 15-01 was incorrectly described as being like a machine gun.</w:t>
      </w:r>
    </w:p>
    <w:p w14:paraId="2AD6FFE8" w14:textId="2DC46A4B" w:rsidR="00B6182B" w:rsidRPr="00A14A4E" w:rsidRDefault="00D952B8" w:rsidP="00151949">
      <w:pPr>
        <w:pStyle w:val="ACMAQuoteindented"/>
        <w:ind w:left="0"/>
        <w:rPr>
          <w:b/>
          <w:bCs/>
          <w:sz w:val="20"/>
        </w:rPr>
      </w:pPr>
      <w:r w:rsidRPr="00A14A4E">
        <w:rPr>
          <w:b/>
          <w:bCs/>
          <w:sz w:val="20"/>
        </w:rPr>
        <w:t>What does the material convey to the ordinary reasonable viewer?</w:t>
      </w:r>
    </w:p>
    <w:p w14:paraId="40959EC6" w14:textId="3DA3B78C" w:rsidR="000045F1" w:rsidRDefault="00D76BF2" w:rsidP="00151949">
      <w:pPr>
        <w:pStyle w:val="ACMAQuoteindented"/>
        <w:ind w:left="0"/>
        <w:rPr>
          <w:sz w:val="20"/>
        </w:rPr>
      </w:pPr>
      <w:r w:rsidRPr="00D76BF2">
        <w:rPr>
          <w:sz w:val="20"/>
        </w:rPr>
        <w:t>T</w:t>
      </w:r>
      <w:r w:rsidR="00D16866">
        <w:rPr>
          <w:sz w:val="20"/>
        </w:rPr>
        <w:t>he term ‘m</w:t>
      </w:r>
      <w:r w:rsidR="00F63E6E" w:rsidRPr="00F63E6E">
        <w:rPr>
          <w:sz w:val="20"/>
        </w:rPr>
        <w:t>achine gun</w:t>
      </w:r>
      <w:r w:rsidR="00D16866">
        <w:rPr>
          <w:sz w:val="20"/>
        </w:rPr>
        <w:t xml:space="preserve">’ </w:t>
      </w:r>
      <w:r w:rsidR="00BE406D">
        <w:rPr>
          <w:sz w:val="20"/>
        </w:rPr>
        <w:t xml:space="preserve">can be used to </w:t>
      </w:r>
      <w:r w:rsidR="00D16866">
        <w:rPr>
          <w:sz w:val="20"/>
        </w:rPr>
        <w:t>refer to weapons</w:t>
      </w:r>
      <w:r w:rsidR="00F63E6E" w:rsidRPr="00F63E6E">
        <w:rPr>
          <w:sz w:val="20"/>
        </w:rPr>
        <w:t xml:space="preserve"> </w:t>
      </w:r>
      <w:r w:rsidR="00D16866">
        <w:rPr>
          <w:sz w:val="20"/>
        </w:rPr>
        <w:t xml:space="preserve">that </w:t>
      </w:r>
      <w:r w:rsidR="00F63E6E" w:rsidRPr="00F63E6E">
        <w:rPr>
          <w:sz w:val="20"/>
        </w:rPr>
        <w:t xml:space="preserve">come in a range of shapes and sizes </w:t>
      </w:r>
      <w:r w:rsidR="00AF32A1">
        <w:rPr>
          <w:sz w:val="20"/>
        </w:rPr>
        <w:t>but</w:t>
      </w:r>
      <w:r w:rsidR="00F63E6E" w:rsidRPr="00F63E6E">
        <w:rPr>
          <w:sz w:val="20"/>
        </w:rPr>
        <w:t xml:space="preserve"> </w:t>
      </w:r>
      <w:r w:rsidR="00BE406D">
        <w:rPr>
          <w:sz w:val="20"/>
        </w:rPr>
        <w:t xml:space="preserve">the ACMA understands that machine guns </w:t>
      </w:r>
      <w:r w:rsidR="00F63E6E" w:rsidRPr="00F63E6E">
        <w:rPr>
          <w:sz w:val="20"/>
        </w:rPr>
        <w:t>are defined by their ability to deliver a rapid and continuous fire of bullets as long as the firer keeps pressure on the trigger</w:t>
      </w:r>
      <w:r w:rsidR="00EF3178">
        <w:rPr>
          <w:sz w:val="20"/>
        </w:rPr>
        <w:t>,</w:t>
      </w:r>
      <w:r w:rsidR="00F63E6E">
        <w:rPr>
          <w:rStyle w:val="FootnoteReference"/>
        </w:rPr>
        <w:footnoteReference w:id="2"/>
      </w:r>
      <w:r w:rsidR="00F63E6E" w:rsidRPr="00F63E6E">
        <w:rPr>
          <w:sz w:val="20"/>
        </w:rPr>
        <w:t xml:space="preserve"> </w:t>
      </w:r>
      <w:r w:rsidR="00AF32A1">
        <w:rPr>
          <w:sz w:val="20"/>
        </w:rPr>
        <w:t>rather than by</w:t>
      </w:r>
      <w:r w:rsidR="00F63E6E" w:rsidRPr="00F63E6E">
        <w:rPr>
          <w:sz w:val="20"/>
        </w:rPr>
        <w:t xml:space="preserve"> their appearance</w:t>
      </w:r>
      <w:r w:rsidR="00F63E6E">
        <w:rPr>
          <w:sz w:val="20"/>
        </w:rPr>
        <w:t>. However, the ACMA acknowledge</w:t>
      </w:r>
      <w:r w:rsidR="00AF32A1">
        <w:rPr>
          <w:sz w:val="20"/>
        </w:rPr>
        <w:t>s</w:t>
      </w:r>
      <w:r w:rsidR="00F63E6E">
        <w:rPr>
          <w:sz w:val="20"/>
        </w:rPr>
        <w:t xml:space="preserve"> that </w:t>
      </w:r>
      <w:bookmarkStart w:id="5" w:name="_Hlk27585034"/>
      <w:r w:rsidR="00BE406D">
        <w:rPr>
          <w:sz w:val="20"/>
        </w:rPr>
        <w:t xml:space="preserve">from popular culture, </w:t>
      </w:r>
      <w:r w:rsidRPr="00D76BF2">
        <w:rPr>
          <w:sz w:val="20"/>
        </w:rPr>
        <w:t xml:space="preserve">the ordinary reasonable viewer </w:t>
      </w:r>
      <w:r w:rsidR="00F63E6E">
        <w:rPr>
          <w:sz w:val="20"/>
        </w:rPr>
        <w:t xml:space="preserve">may </w:t>
      </w:r>
      <w:r w:rsidR="00BE406D">
        <w:rPr>
          <w:sz w:val="20"/>
        </w:rPr>
        <w:t>visualise</w:t>
      </w:r>
      <w:r w:rsidR="00F63E6E">
        <w:rPr>
          <w:sz w:val="20"/>
        </w:rPr>
        <w:t xml:space="preserve"> a </w:t>
      </w:r>
      <w:r w:rsidR="00BE406D">
        <w:rPr>
          <w:sz w:val="20"/>
        </w:rPr>
        <w:t>‘</w:t>
      </w:r>
      <w:r w:rsidR="00F63E6E">
        <w:rPr>
          <w:sz w:val="20"/>
        </w:rPr>
        <w:t>machine gun</w:t>
      </w:r>
      <w:r w:rsidR="00BE406D">
        <w:rPr>
          <w:sz w:val="20"/>
        </w:rPr>
        <w:t>’</w:t>
      </w:r>
      <w:r w:rsidR="00F63E6E">
        <w:rPr>
          <w:sz w:val="20"/>
        </w:rPr>
        <w:t xml:space="preserve"> </w:t>
      </w:r>
      <w:r w:rsidR="00BE406D">
        <w:rPr>
          <w:sz w:val="20"/>
        </w:rPr>
        <w:t xml:space="preserve">to be a weapon similar to an AK-47 with features such as </w:t>
      </w:r>
      <w:r w:rsidR="006A0976">
        <w:rPr>
          <w:sz w:val="20"/>
        </w:rPr>
        <w:t>a large magazine protruding from the bottom of the weapon</w:t>
      </w:r>
      <w:bookmarkEnd w:id="5"/>
      <w:r w:rsidR="00BE406D">
        <w:rPr>
          <w:sz w:val="20"/>
        </w:rPr>
        <w:t>.</w:t>
      </w:r>
      <w:r w:rsidR="00BE406D" w:rsidDel="00BE406D">
        <w:rPr>
          <w:sz w:val="20"/>
        </w:rPr>
        <w:t xml:space="preserve"> </w:t>
      </w:r>
    </w:p>
    <w:p w14:paraId="71FEB865" w14:textId="4D9AF54B" w:rsidR="00846BEB" w:rsidRDefault="004C0109" w:rsidP="00151949">
      <w:pPr>
        <w:pStyle w:val="ACMAQuoteindented"/>
        <w:ind w:left="0"/>
        <w:rPr>
          <w:sz w:val="20"/>
        </w:rPr>
      </w:pPr>
      <w:r>
        <w:rPr>
          <w:sz w:val="20"/>
        </w:rPr>
        <w:t>T</w:t>
      </w:r>
      <w:r w:rsidR="00D6544A">
        <w:rPr>
          <w:sz w:val="20"/>
        </w:rPr>
        <w:t xml:space="preserve">he ACMA considers that the ordinary reasonable viewer </w:t>
      </w:r>
      <w:r w:rsidR="002069C9">
        <w:rPr>
          <w:sz w:val="20"/>
        </w:rPr>
        <w:t xml:space="preserve">would </w:t>
      </w:r>
      <w:r w:rsidR="00961268">
        <w:rPr>
          <w:sz w:val="20"/>
        </w:rPr>
        <w:t xml:space="preserve">construe the phrase </w:t>
      </w:r>
      <w:r>
        <w:rPr>
          <w:sz w:val="20"/>
        </w:rPr>
        <w:t xml:space="preserve">‘fires like a machine gun’ </w:t>
      </w:r>
      <w:r w:rsidR="00961268">
        <w:rPr>
          <w:sz w:val="20"/>
        </w:rPr>
        <w:t xml:space="preserve">to mean that </w:t>
      </w:r>
      <w:r w:rsidR="007A0FD5">
        <w:rPr>
          <w:sz w:val="20"/>
        </w:rPr>
        <w:t>the WT 15-01</w:t>
      </w:r>
      <w:r w:rsidR="00E171F2">
        <w:rPr>
          <w:sz w:val="20"/>
        </w:rPr>
        <w:t xml:space="preserve"> </w:t>
      </w:r>
      <w:r w:rsidR="00D76BF2">
        <w:rPr>
          <w:sz w:val="20"/>
        </w:rPr>
        <w:t xml:space="preserve">fires continuously and rapidly for as long as the trigger is pressed </w:t>
      </w:r>
      <w:r w:rsidR="0057515E">
        <w:rPr>
          <w:sz w:val="20"/>
        </w:rPr>
        <w:t xml:space="preserve">in the same way </w:t>
      </w:r>
      <w:r w:rsidR="00D76BF2">
        <w:rPr>
          <w:sz w:val="20"/>
        </w:rPr>
        <w:t>a ma</w:t>
      </w:r>
      <w:r w:rsidR="0057515E">
        <w:rPr>
          <w:sz w:val="20"/>
        </w:rPr>
        <w:t>c</w:t>
      </w:r>
      <w:r w:rsidR="00D76BF2">
        <w:rPr>
          <w:sz w:val="20"/>
        </w:rPr>
        <w:t xml:space="preserve">hine gun </w:t>
      </w:r>
      <w:r w:rsidR="003155BC">
        <w:rPr>
          <w:sz w:val="20"/>
        </w:rPr>
        <w:t>fires</w:t>
      </w:r>
      <w:r w:rsidR="00D76BF2">
        <w:rPr>
          <w:sz w:val="20"/>
        </w:rPr>
        <w:t>.</w:t>
      </w:r>
    </w:p>
    <w:p w14:paraId="34DAA836" w14:textId="0BD6FFF0" w:rsidR="00F96612" w:rsidRDefault="00E408FB" w:rsidP="00F96612">
      <w:pPr>
        <w:pStyle w:val="ACMAQuoteindented"/>
        <w:ind w:left="0"/>
        <w:rPr>
          <w:sz w:val="20"/>
        </w:rPr>
      </w:pPr>
      <w:r>
        <w:rPr>
          <w:sz w:val="20"/>
        </w:rPr>
        <w:t>After being made aware of the ACMA’s initial views on the matter, t</w:t>
      </w:r>
      <w:r w:rsidR="00F96612">
        <w:rPr>
          <w:sz w:val="20"/>
        </w:rPr>
        <w:t>he licensee submi</w:t>
      </w:r>
      <w:r w:rsidR="00490B9E">
        <w:rPr>
          <w:sz w:val="20"/>
        </w:rPr>
        <w:t>tted</w:t>
      </w:r>
      <w:r>
        <w:rPr>
          <w:sz w:val="20"/>
        </w:rPr>
        <w:t xml:space="preserve"> that</w:t>
      </w:r>
      <w:r w:rsidR="00F96612">
        <w:rPr>
          <w:sz w:val="20"/>
        </w:rPr>
        <w:t xml:space="preserve">:  </w:t>
      </w:r>
    </w:p>
    <w:p w14:paraId="4374012D" w14:textId="77777777" w:rsidR="00F96612" w:rsidRDefault="00F96612" w:rsidP="00F96612">
      <w:pPr>
        <w:pStyle w:val="ACMAQuoteindented"/>
        <w:ind w:left="720"/>
      </w:pPr>
      <w:r>
        <w:t>the ACMA's reasoning appears to rely on the fundamental premise that the ordinary reasonable viewer would understand the distinctive feature of a 'machine gun' to be its capacity to fire bullets continuously so long as the trigger is pressed, as opposed to a 'semi-automatic</w:t>
      </w:r>
      <w:r w:rsidRPr="00077823">
        <w:t xml:space="preserve"> </w:t>
      </w:r>
      <w:r>
        <w:t>weapon' being one that automatically loads bullets, but only fires one bullet each time the trigger is pulled. Nine submits that drawing this distinction requires a degree of technical understanding about the operation of various classes and sub-classes of firearms that is unlikely to be innate to the ordinary reasonable viewer.</w:t>
      </w:r>
    </w:p>
    <w:p w14:paraId="545DE1DB" w14:textId="662EF90E" w:rsidR="00F96612" w:rsidRPr="00FD1A71" w:rsidRDefault="00490B9E" w:rsidP="00F96612">
      <w:pPr>
        <w:pStyle w:val="ACMAQuoteindented"/>
        <w:ind w:left="0"/>
        <w:rPr>
          <w:sz w:val="20"/>
        </w:rPr>
      </w:pPr>
      <w:r>
        <w:rPr>
          <w:sz w:val="20"/>
        </w:rPr>
        <w:t>T</w:t>
      </w:r>
      <w:r w:rsidR="00F96612" w:rsidRPr="00933DAB">
        <w:rPr>
          <w:sz w:val="20"/>
        </w:rPr>
        <w:t xml:space="preserve">he ACMA </w:t>
      </w:r>
      <w:r w:rsidR="00F96612">
        <w:rPr>
          <w:sz w:val="20"/>
        </w:rPr>
        <w:t xml:space="preserve">acknowledges that the ordinary reasonable viewer would not have a technical understanding about the </w:t>
      </w:r>
      <w:r>
        <w:rPr>
          <w:sz w:val="20"/>
        </w:rPr>
        <w:t>characteristics</w:t>
      </w:r>
      <w:r w:rsidR="00F96612">
        <w:rPr>
          <w:sz w:val="20"/>
        </w:rPr>
        <w:t xml:space="preserve"> of various classes of firearms</w:t>
      </w:r>
      <w:r>
        <w:rPr>
          <w:sz w:val="20"/>
        </w:rPr>
        <w:t>. However,</w:t>
      </w:r>
      <w:r w:rsidR="00F96612">
        <w:rPr>
          <w:sz w:val="20"/>
        </w:rPr>
        <w:t xml:space="preserve"> the ACMA </w:t>
      </w:r>
      <w:r>
        <w:rPr>
          <w:sz w:val="20"/>
        </w:rPr>
        <w:t xml:space="preserve">considers that </w:t>
      </w:r>
      <w:r w:rsidR="00F96612">
        <w:rPr>
          <w:sz w:val="20"/>
        </w:rPr>
        <w:t xml:space="preserve">the ordinary reasonable viewer </w:t>
      </w:r>
      <w:r w:rsidR="00857A54">
        <w:rPr>
          <w:sz w:val="20"/>
        </w:rPr>
        <w:t xml:space="preserve">would have a basic understanding of firearms, which would include an awareness </w:t>
      </w:r>
      <w:r>
        <w:rPr>
          <w:sz w:val="20"/>
        </w:rPr>
        <w:t xml:space="preserve">that </w:t>
      </w:r>
      <w:r w:rsidR="00F96612">
        <w:rPr>
          <w:sz w:val="20"/>
        </w:rPr>
        <w:t>machine gun</w:t>
      </w:r>
      <w:r>
        <w:rPr>
          <w:sz w:val="20"/>
        </w:rPr>
        <w:t xml:space="preserve">s are </w:t>
      </w:r>
      <w:r w:rsidR="00F96612">
        <w:rPr>
          <w:sz w:val="20"/>
        </w:rPr>
        <w:t>firearm</w:t>
      </w:r>
      <w:r>
        <w:rPr>
          <w:sz w:val="20"/>
        </w:rPr>
        <w:t>s</w:t>
      </w:r>
      <w:r w:rsidR="00F96612">
        <w:rPr>
          <w:sz w:val="20"/>
        </w:rPr>
        <w:t xml:space="preserve"> that fire</w:t>
      </w:r>
      <w:r>
        <w:rPr>
          <w:sz w:val="20"/>
        </w:rPr>
        <w:t xml:space="preserve"> a</w:t>
      </w:r>
      <w:r w:rsidR="00F96612">
        <w:rPr>
          <w:sz w:val="20"/>
        </w:rPr>
        <w:t xml:space="preserve"> continuous and rapid</w:t>
      </w:r>
      <w:r>
        <w:rPr>
          <w:sz w:val="20"/>
        </w:rPr>
        <w:t xml:space="preserve"> steam of bullets</w:t>
      </w:r>
      <w:r w:rsidR="00857A54">
        <w:rPr>
          <w:sz w:val="20"/>
        </w:rPr>
        <w:t>,</w:t>
      </w:r>
      <w:r>
        <w:rPr>
          <w:sz w:val="20"/>
        </w:rPr>
        <w:t xml:space="preserve"> and that</w:t>
      </w:r>
      <w:r w:rsidR="00857A54">
        <w:rPr>
          <w:sz w:val="20"/>
        </w:rPr>
        <w:t xml:space="preserve"> it is that</w:t>
      </w:r>
      <w:r>
        <w:rPr>
          <w:sz w:val="20"/>
        </w:rPr>
        <w:t xml:space="preserve"> characteristic </w:t>
      </w:r>
      <w:r w:rsidR="00857A54">
        <w:rPr>
          <w:sz w:val="20"/>
        </w:rPr>
        <w:t xml:space="preserve">that </w:t>
      </w:r>
      <w:r>
        <w:rPr>
          <w:sz w:val="20"/>
        </w:rPr>
        <w:t>distinguish</w:t>
      </w:r>
      <w:r w:rsidR="00300463">
        <w:rPr>
          <w:sz w:val="20"/>
        </w:rPr>
        <w:t xml:space="preserve">es machine guns </w:t>
      </w:r>
      <w:r>
        <w:rPr>
          <w:sz w:val="20"/>
        </w:rPr>
        <w:t>fr</w:t>
      </w:r>
      <w:r w:rsidR="00300463">
        <w:rPr>
          <w:sz w:val="20"/>
        </w:rPr>
        <w:t>o</w:t>
      </w:r>
      <w:r>
        <w:rPr>
          <w:sz w:val="20"/>
        </w:rPr>
        <w:t xml:space="preserve">m </w:t>
      </w:r>
      <w:r w:rsidR="00300463">
        <w:rPr>
          <w:sz w:val="20"/>
        </w:rPr>
        <w:t xml:space="preserve">guns that fire </w:t>
      </w:r>
      <w:r w:rsidR="00F96612">
        <w:rPr>
          <w:sz w:val="20"/>
        </w:rPr>
        <w:t xml:space="preserve">one bullet </w:t>
      </w:r>
      <w:r w:rsidR="000251B2">
        <w:rPr>
          <w:sz w:val="20"/>
        </w:rPr>
        <w:t xml:space="preserve">when </w:t>
      </w:r>
      <w:r w:rsidR="00300463">
        <w:rPr>
          <w:sz w:val="20"/>
        </w:rPr>
        <w:t>the trigger is pulled</w:t>
      </w:r>
      <w:r w:rsidR="00F96612">
        <w:rPr>
          <w:sz w:val="20"/>
        </w:rPr>
        <w:t>.</w:t>
      </w:r>
    </w:p>
    <w:p w14:paraId="58502797" w14:textId="77777777" w:rsidR="008F52CA" w:rsidRPr="00B11F35" w:rsidRDefault="008F52CA" w:rsidP="00151949">
      <w:pPr>
        <w:suppressAutoHyphens/>
        <w:spacing w:before="0" w:line="240" w:lineRule="atLeast"/>
        <w:rPr>
          <w:b/>
          <w:bCs/>
          <w:i w:val="0"/>
          <w:snapToGrid w:val="0"/>
          <w:szCs w:val="20"/>
        </w:rPr>
      </w:pPr>
      <w:r w:rsidRPr="00B11F35">
        <w:rPr>
          <w:b/>
          <w:bCs/>
          <w:i w:val="0"/>
          <w:snapToGrid w:val="0"/>
          <w:szCs w:val="20"/>
        </w:rPr>
        <w:t xml:space="preserve">Was the material factual in character? </w:t>
      </w:r>
    </w:p>
    <w:p w14:paraId="4AE4FB79" w14:textId="423E8CDC" w:rsidR="00857A54" w:rsidRPr="00116E0D" w:rsidRDefault="00857A54" w:rsidP="00151949">
      <w:pPr>
        <w:pStyle w:val="ACMABodyText"/>
        <w:rPr>
          <w:i/>
          <w:iCs/>
        </w:rPr>
      </w:pPr>
      <w:r w:rsidRPr="00116E0D">
        <w:rPr>
          <w:i/>
          <w:iCs/>
        </w:rPr>
        <w:t xml:space="preserve">The statement </w:t>
      </w:r>
      <w:r w:rsidR="00CC1C86">
        <w:rPr>
          <w:i/>
          <w:iCs/>
        </w:rPr>
        <w:t>‘</w:t>
      </w:r>
      <w:r w:rsidRPr="00116E0D">
        <w:rPr>
          <w:i/>
          <w:iCs/>
        </w:rPr>
        <w:t>looks like a machine gun</w:t>
      </w:r>
      <w:r w:rsidR="00CC1C86">
        <w:rPr>
          <w:i/>
          <w:iCs/>
        </w:rPr>
        <w:t>’</w:t>
      </w:r>
    </w:p>
    <w:p w14:paraId="63B3C903" w14:textId="40073FC2" w:rsidR="008F52CA" w:rsidRDefault="00F63E6E" w:rsidP="00151949">
      <w:pPr>
        <w:pStyle w:val="ACMABodyText"/>
      </w:pPr>
      <w:r>
        <w:t xml:space="preserve">As </w:t>
      </w:r>
      <w:r w:rsidR="00BE406D">
        <w:t>noted</w:t>
      </w:r>
      <w:r>
        <w:t xml:space="preserve"> above</w:t>
      </w:r>
      <w:r w:rsidR="00BE406D">
        <w:t>,</w:t>
      </w:r>
      <w:r>
        <w:t xml:space="preserve"> m</w:t>
      </w:r>
      <w:r w:rsidR="003155BC">
        <w:t xml:space="preserve">achine guns </w:t>
      </w:r>
      <w:r w:rsidR="00BE406D">
        <w:t xml:space="preserve">are not defined by their appearance and </w:t>
      </w:r>
      <w:r w:rsidR="003155BC">
        <w:t xml:space="preserve">can </w:t>
      </w:r>
      <w:r w:rsidR="001B23EA">
        <w:t xml:space="preserve">exist </w:t>
      </w:r>
      <w:r w:rsidR="003155BC">
        <w:t>in a range of shapes and sizes.</w:t>
      </w:r>
      <w:r w:rsidR="000529FB">
        <w:t xml:space="preserve"> </w:t>
      </w:r>
      <w:r w:rsidR="00F23605">
        <w:t>Consequently</w:t>
      </w:r>
      <w:r w:rsidR="00B72352">
        <w:t xml:space="preserve">, the ACMA </w:t>
      </w:r>
      <w:r w:rsidR="000E2325">
        <w:t>considers</w:t>
      </w:r>
      <w:r w:rsidR="000F0A48">
        <w:t xml:space="preserve"> th</w:t>
      </w:r>
      <w:r w:rsidR="00BE406D">
        <w:t>at although the</w:t>
      </w:r>
      <w:r w:rsidR="000F0A48">
        <w:t xml:space="preserve"> statement </w:t>
      </w:r>
      <w:r w:rsidR="004F01A3">
        <w:t xml:space="preserve">‘looks </w:t>
      </w:r>
      <w:r w:rsidR="004F01A3">
        <w:lastRenderedPageBreak/>
        <w:t xml:space="preserve">like a machine gun’ </w:t>
      </w:r>
      <w:r w:rsidR="00BE406D">
        <w:t xml:space="preserve">may be understood to refer to </w:t>
      </w:r>
      <w:r w:rsidR="00562F27">
        <w:t>some</w:t>
      </w:r>
      <w:r w:rsidR="00BE406D">
        <w:t xml:space="preserve"> common characteristics, it </w:t>
      </w:r>
      <w:r w:rsidR="000E2325">
        <w:t>lacks specificity</w:t>
      </w:r>
      <w:r w:rsidR="006E4AF9">
        <w:t>,</w:t>
      </w:r>
      <w:r w:rsidR="000E2325">
        <w:t xml:space="preserve"> is equivocal and </w:t>
      </w:r>
      <w:r w:rsidR="00BE406D">
        <w:t xml:space="preserve">therefore is </w:t>
      </w:r>
      <w:r w:rsidR="000E2325">
        <w:t xml:space="preserve">not </w:t>
      </w:r>
      <w:r w:rsidR="00BE406D">
        <w:t>f</w:t>
      </w:r>
      <w:r w:rsidR="004F01A3">
        <w:t xml:space="preserve">actual </w:t>
      </w:r>
      <w:r w:rsidR="00BE406D">
        <w:t>in nature</w:t>
      </w:r>
      <w:r w:rsidR="004F01A3">
        <w:t>.</w:t>
      </w:r>
    </w:p>
    <w:p w14:paraId="48DD6924" w14:textId="214B1B95" w:rsidR="001B23EA" w:rsidRPr="00D47C41" w:rsidRDefault="001B23EA" w:rsidP="001B23EA">
      <w:pPr>
        <w:pStyle w:val="ACMABodyText"/>
        <w:rPr>
          <w:i/>
          <w:iCs/>
        </w:rPr>
      </w:pPr>
      <w:r w:rsidRPr="00D47C41">
        <w:rPr>
          <w:i/>
          <w:iCs/>
        </w:rPr>
        <w:t xml:space="preserve">The statement </w:t>
      </w:r>
      <w:r w:rsidR="00CC1C86">
        <w:rPr>
          <w:i/>
          <w:iCs/>
        </w:rPr>
        <w:t>‘</w:t>
      </w:r>
      <w:r>
        <w:rPr>
          <w:i/>
          <w:iCs/>
        </w:rPr>
        <w:t>fires</w:t>
      </w:r>
      <w:r w:rsidRPr="00D47C41">
        <w:rPr>
          <w:i/>
          <w:iCs/>
        </w:rPr>
        <w:t xml:space="preserve"> like a machine gun</w:t>
      </w:r>
      <w:r w:rsidR="00CC1C86">
        <w:rPr>
          <w:i/>
          <w:iCs/>
        </w:rPr>
        <w:t>’</w:t>
      </w:r>
    </w:p>
    <w:p w14:paraId="4D590905" w14:textId="55C6E428" w:rsidR="008F52CA" w:rsidRDefault="000E2325" w:rsidP="00151949">
      <w:pPr>
        <w:pStyle w:val="ACMABodyText"/>
      </w:pPr>
      <w:r w:rsidRPr="00BF1DE2">
        <w:t xml:space="preserve">As </w:t>
      </w:r>
      <w:r w:rsidR="00FA26D3">
        <w:t xml:space="preserve">a </w:t>
      </w:r>
      <w:r w:rsidR="008B4731">
        <w:t xml:space="preserve">machine gun is </w:t>
      </w:r>
      <w:r>
        <w:t xml:space="preserve">defined by </w:t>
      </w:r>
      <w:r w:rsidR="008B4731">
        <w:t xml:space="preserve">its </w:t>
      </w:r>
      <w:r w:rsidR="00F32D4F">
        <w:t xml:space="preserve">ability </w:t>
      </w:r>
      <w:r w:rsidR="00F32D4F" w:rsidRPr="00F32D4F">
        <w:t>to fire continuously and rapidly when the trigger is pressed</w:t>
      </w:r>
      <w:r w:rsidR="00BE406D">
        <w:t>,</w:t>
      </w:r>
      <w:r w:rsidR="00F32D4F" w:rsidRPr="00F32D4F">
        <w:t xml:space="preserve"> </w:t>
      </w:r>
      <w:r w:rsidR="00F039B6">
        <w:t xml:space="preserve">the </w:t>
      </w:r>
      <w:r w:rsidR="00444B90">
        <w:t>statement ‘fires like a machine gun’</w:t>
      </w:r>
      <w:r w:rsidR="009A08AA">
        <w:t xml:space="preserve"> </w:t>
      </w:r>
      <w:r>
        <w:t xml:space="preserve">is specific, </w:t>
      </w:r>
      <w:r w:rsidRPr="00E36541">
        <w:t>unequivocal and capable of independent verification</w:t>
      </w:r>
      <w:r w:rsidR="00F039B6">
        <w:t xml:space="preserve"> and is therefore </w:t>
      </w:r>
      <w:r>
        <w:t>factual in character.</w:t>
      </w:r>
    </w:p>
    <w:p w14:paraId="0F503ADA" w14:textId="1DB45082" w:rsidR="00392CFD" w:rsidRDefault="00392CFD" w:rsidP="00151949">
      <w:pPr>
        <w:pStyle w:val="ACMABodyText"/>
        <w:rPr>
          <w:b/>
          <w:lang w:eastAsia="en-AU"/>
        </w:rPr>
      </w:pPr>
      <w:r w:rsidRPr="009368A5">
        <w:rPr>
          <w:b/>
          <w:lang w:eastAsia="en-AU"/>
        </w:rPr>
        <w:t>If so, did it convey a material fact or facts in the context of the relevant report?</w:t>
      </w:r>
    </w:p>
    <w:p w14:paraId="3FD35417" w14:textId="73616814" w:rsidR="00112DBA" w:rsidRDefault="00A246DC" w:rsidP="00151949">
      <w:pPr>
        <w:pStyle w:val="ACMABodyText"/>
        <w:rPr>
          <w:bCs/>
          <w:lang w:eastAsia="en-AU"/>
        </w:rPr>
      </w:pPr>
      <w:r>
        <w:rPr>
          <w:bCs/>
          <w:lang w:eastAsia="en-AU"/>
        </w:rPr>
        <w:t>T</w:t>
      </w:r>
      <w:r w:rsidR="00112DBA">
        <w:rPr>
          <w:bCs/>
          <w:lang w:eastAsia="en-AU"/>
        </w:rPr>
        <w:t xml:space="preserve">he report </w:t>
      </w:r>
      <w:r w:rsidR="003223D5">
        <w:rPr>
          <w:bCs/>
          <w:lang w:eastAsia="en-AU"/>
        </w:rPr>
        <w:t xml:space="preserve">was about </w:t>
      </w:r>
      <w:r w:rsidR="00112DBA">
        <w:rPr>
          <w:bCs/>
          <w:lang w:eastAsia="en-AU"/>
        </w:rPr>
        <w:t>a dispute a</w:t>
      </w:r>
      <w:r w:rsidR="00BF1DE2">
        <w:rPr>
          <w:bCs/>
          <w:lang w:eastAsia="en-AU"/>
        </w:rPr>
        <w:t>ssociated with</w:t>
      </w:r>
      <w:r w:rsidR="00112DBA">
        <w:rPr>
          <w:bCs/>
          <w:lang w:eastAsia="en-AU"/>
        </w:rPr>
        <w:t xml:space="preserve"> the </w:t>
      </w:r>
      <w:r w:rsidR="00BF1DE2">
        <w:rPr>
          <w:bCs/>
          <w:lang w:eastAsia="en-AU"/>
        </w:rPr>
        <w:t>re</w:t>
      </w:r>
      <w:r w:rsidR="00112DBA">
        <w:rPr>
          <w:bCs/>
          <w:lang w:eastAsia="en-AU"/>
        </w:rPr>
        <w:t>classification of the WT 15-01</w:t>
      </w:r>
      <w:r w:rsidR="003223D5">
        <w:rPr>
          <w:bCs/>
          <w:lang w:eastAsia="en-AU"/>
        </w:rPr>
        <w:t xml:space="preserve">, </w:t>
      </w:r>
      <w:r w:rsidR="00DF561A">
        <w:rPr>
          <w:bCs/>
          <w:lang w:eastAsia="en-AU"/>
        </w:rPr>
        <w:t>which reduced the availability of the firearm to a restricted group of people</w:t>
      </w:r>
      <w:r w:rsidR="008975B2">
        <w:rPr>
          <w:bCs/>
          <w:lang w:eastAsia="en-AU"/>
        </w:rPr>
        <w:t xml:space="preserve">. </w:t>
      </w:r>
      <w:r w:rsidR="00406506">
        <w:rPr>
          <w:bCs/>
          <w:lang w:eastAsia="en-AU"/>
        </w:rPr>
        <w:t xml:space="preserve">The </w:t>
      </w:r>
      <w:r w:rsidR="00AC1CEF">
        <w:rPr>
          <w:bCs/>
          <w:lang w:eastAsia="en-AU"/>
        </w:rPr>
        <w:t>firing capacity</w:t>
      </w:r>
      <w:r w:rsidR="008611DB">
        <w:rPr>
          <w:bCs/>
          <w:lang w:eastAsia="en-AU"/>
        </w:rPr>
        <w:t xml:space="preserve"> </w:t>
      </w:r>
      <w:r w:rsidR="00406506">
        <w:rPr>
          <w:bCs/>
          <w:lang w:eastAsia="en-AU"/>
        </w:rPr>
        <w:t xml:space="preserve">of a firearm </w:t>
      </w:r>
      <w:r w:rsidR="008611DB">
        <w:rPr>
          <w:bCs/>
          <w:lang w:eastAsia="en-AU"/>
        </w:rPr>
        <w:t xml:space="preserve">is a </w:t>
      </w:r>
      <w:r w:rsidR="00112DBA">
        <w:rPr>
          <w:bCs/>
          <w:lang w:eastAsia="en-AU"/>
        </w:rPr>
        <w:t>determina</w:t>
      </w:r>
      <w:r w:rsidR="00BF1DE2">
        <w:rPr>
          <w:bCs/>
          <w:lang w:eastAsia="en-AU"/>
        </w:rPr>
        <w:t>nt</w:t>
      </w:r>
      <w:r w:rsidR="00112DBA">
        <w:rPr>
          <w:bCs/>
          <w:lang w:eastAsia="en-AU"/>
        </w:rPr>
        <w:t xml:space="preserve"> in </w:t>
      </w:r>
      <w:r w:rsidR="00406506">
        <w:rPr>
          <w:bCs/>
          <w:lang w:eastAsia="en-AU"/>
        </w:rPr>
        <w:t xml:space="preserve">its </w:t>
      </w:r>
      <w:r w:rsidR="00112DBA">
        <w:rPr>
          <w:bCs/>
          <w:lang w:eastAsia="en-AU"/>
        </w:rPr>
        <w:t>classification</w:t>
      </w:r>
      <w:r w:rsidR="00406506">
        <w:rPr>
          <w:bCs/>
          <w:lang w:eastAsia="en-AU"/>
        </w:rPr>
        <w:t>. Therefore,</w:t>
      </w:r>
      <w:r w:rsidR="00351C22">
        <w:rPr>
          <w:bCs/>
          <w:lang w:eastAsia="en-AU"/>
        </w:rPr>
        <w:t xml:space="preserve"> </w:t>
      </w:r>
      <w:r w:rsidR="00FD39A8">
        <w:rPr>
          <w:bCs/>
          <w:lang w:eastAsia="en-AU"/>
        </w:rPr>
        <w:t>the factual assertion that</w:t>
      </w:r>
      <w:r w:rsidR="00FA6ED4">
        <w:rPr>
          <w:bCs/>
          <w:lang w:eastAsia="en-AU"/>
        </w:rPr>
        <w:t xml:space="preserve"> </w:t>
      </w:r>
      <w:r>
        <w:rPr>
          <w:bCs/>
          <w:lang w:eastAsia="en-AU"/>
        </w:rPr>
        <w:t>the WT 15-01</w:t>
      </w:r>
      <w:r w:rsidR="000862A3">
        <w:rPr>
          <w:bCs/>
          <w:lang w:eastAsia="en-AU"/>
        </w:rPr>
        <w:t xml:space="preserve"> </w:t>
      </w:r>
      <w:r w:rsidR="00FA6ED4">
        <w:rPr>
          <w:bCs/>
          <w:lang w:eastAsia="en-AU"/>
        </w:rPr>
        <w:t xml:space="preserve">‘fires like a machine gun’ </w:t>
      </w:r>
      <w:r w:rsidR="006E0FD2">
        <w:rPr>
          <w:bCs/>
          <w:lang w:eastAsia="en-AU"/>
        </w:rPr>
        <w:t>wa</w:t>
      </w:r>
      <w:r w:rsidR="00FD39A8">
        <w:rPr>
          <w:bCs/>
          <w:lang w:eastAsia="en-AU"/>
        </w:rPr>
        <w:t xml:space="preserve">s </w:t>
      </w:r>
      <w:r w:rsidR="00112DBA">
        <w:rPr>
          <w:bCs/>
          <w:lang w:eastAsia="en-AU"/>
        </w:rPr>
        <w:t>a material fact in the context of the report.</w:t>
      </w:r>
    </w:p>
    <w:p w14:paraId="046654B1" w14:textId="64BD0365" w:rsidR="008E63D8" w:rsidRDefault="004A7946" w:rsidP="008E63D8">
      <w:pPr>
        <w:pStyle w:val="ACMABodyText"/>
      </w:pPr>
      <w:r>
        <w:t>After being made aware of the ACMA’s initial views on the matter, t</w:t>
      </w:r>
      <w:r w:rsidR="008E63D8">
        <w:t>he licensee submi</w:t>
      </w:r>
      <w:r w:rsidR="00300463">
        <w:t>tted</w:t>
      </w:r>
      <w:r w:rsidR="008E63D8">
        <w:t xml:space="preserve"> that the</w:t>
      </w:r>
      <w:r w:rsidR="00300463">
        <w:t xml:space="preserve"> firing capacity of the</w:t>
      </w:r>
      <w:r w:rsidR="008E63D8">
        <w:t xml:space="preserve"> WT 15-01 </w:t>
      </w:r>
      <w:r w:rsidR="00300463">
        <w:t>wa</w:t>
      </w:r>
      <w:r w:rsidR="008E63D8">
        <w:t xml:space="preserve">s </w:t>
      </w:r>
      <w:r w:rsidR="000251B2">
        <w:t xml:space="preserve">not </w:t>
      </w:r>
      <w:r w:rsidR="008E63D8">
        <w:t>a material fact:</w:t>
      </w:r>
    </w:p>
    <w:p w14:paraId="64CBBFF3" w14:textId="77777777" w:rsidR="008E63D8" w:rsidRDefault="008E63D8" w:rsidP="008E63D8">
      <w:pPr>
        <w:pStyle w:val="ACMABodyText"/>
        <w:ind w:left="720"/>
        <w:rPr>
          <w:sz w:val="18"/>
          <w:szCs w:val="18"/>
        </w:rPr>
      </w:pPr>
      <w:r w:rsidRPr="00115808">
        <w:rPr>
          <w:sz w:val="18"/>
          <w:szCs w:val="18"/>
        </w:rPr>
        <w:t>the reclassification dispute covered by the Report was not about the firing capacity of the Firearm (ie the number of shots fired per trigger pull), but rather was the overall length of the Firearm - specifically, the length of its barrel leading to its classification as a pistol.</w:t>
      </w:r>
    </w:p>
    <w:p w14:paraId="593C84D6" w14:textId="5E6FE3AD" w:rsidR="00B16127" w:rsidRPr="003913A5" w:rsidRDefault="00B16127" w:rsidP="00151949">
      <w:pPr>
        <w:pStyle w:val="ACMABodyText"/>
      </w:pPr>
      <w:r w:rsidRPr="004F4402">
        <w:t xml:space="preserve">The ACMA acknowledges that the report was primarily about the reclassification of the WT </w:t>
      </w:r>
      <w:r w:rsidRPr="00456D3E">
        <w:t xml:space="preserve">15-01 from being categorised as a handgun, on the basis of its barrel length. However, the report was </w:t>
      </w:r>
      <w:r w:rsidR="00B4450D" w:rsidRPr="003913A5">
        <w:t xml:space="preserve">also </w:t>
      </w:r>
      <w:r w:rsidRPr="003913A5">
        <w:t xml:space="preserve">concerned with wider weapons classification issues, indicated by a verbal reference to </w:t>
      </w:r>
      <w:r w:rsidR="00AE2F67" w:rsidRPr="003913A5">
        <w:t xml:space="preserve">the weapon being </w:t>
      </w:r>
      <w:r w:rsidR="00DA6C4B" w:rsidRPr="003913A5">
        <w:t xml:space="preserve">reclassified in </w:t>
      </w:r>
      <w:r w:rsidRPr="004F4402">
        <w:t xml:space="preserve">Category </w:t>
      </w:r>
      <w:r w:rsidR="007449AA" w:rsidRPr="003913A5">
        <w:t>D</w:t>
      </w:r>
      <w:r w:rsidRPr="004F4402">
        <w:t xml:space="preserve"> (the category for semi-automatic rifles) and comments </w:t>
      </w:r>
      <w:r w:rsidR="008942E8" w:rsidRPr="003913A5">
        <w:t>by</w:t>
      </w:r>
      <w:r w:rsidR="008942E8" w:rsidRPr="004F4402">
        <w:rPr>
          <w:rFonts w:cs="Arial"/>
        </w:rPr>
        <w:t xml:space="preserve"> a representative of Gun Control Australia</w:t>
      </w:r>
      <w:r w:rsidR="008942E8" w:rsidRPr="003913A5">
        <w:t xml:space="preserve"> </w:t>
      </w:r>
      <w:r w:rsidRPr="003913A5">
        <w:t xml:space="preserve">regarding the WT 15-01’s </w:t>
      </w:r>
      <w:r w:rsidR="00B4450D" w:rsidRPr="003913A5">
        <w:t>availability as a dangerous weapon.</w:t>
      </w:r>
    </w:p>
    <w:p w14:paraId="7AE2C8AA" w14:textId="6CD45ECD" w:rsidR="008E63D8" w:rsidRPr="003913A5" w:rsidRDefault="0036129F" w:rsidP="00151949">
      <w:pPr>
        <w:pStyle w:val="ACMABodyText"/>
      </w:pPr>
      <w:r w:rsidRPr="003913A5">
        <w:t xml:space="preserve">The ACMA </w:t>
      </w:r>
      <w:r w:rsidR="00B4450D" w:rsidRPr="003913A5">
        <w:t>further</w:t>
      </w:r>
      <w:r w:rsidRPr="003913A5">
        <w:t xml:space="preserve"> notes that the context of the report </w:t>
      </w:r>
      <w:r w:rsidR="008E63D8" w:rsidRPr="003913A5">
        <w:t>include</w:t>
      </w:r>
      <w:r w:rsidRPr="003913A5">
        <w:t>s</w:t>
      </w:r>
      <w:r w:rsidR="008E63D8" w:rsidRPr="003913A5">
        <w:t xml:space="preserve"> </w:t>
      </w:r>
      <w:r w:rsidRPr="003913A5">
        <w:t>the</w:t>
      </w:r>
      <w:r w:rsidR="008E63D8" w:rsidRPr="003913A5">
        <w:t xml:space="preserve"> </w:t>
      </w:r>
      <w:r w:rsidRPr="003913A5">
        <w:t>i</w:t>
      </w:r>
      <w:r w:rsidR="008E63D8" w:rsidRPr="003913A5">
        <w:t>ntroduction</w:t>
      </w:r>
      <w:r w:rsidRPr="003913A5">
        <w:t xml:space="preserve"> and </w:t>
      </w:r>
      <w:r w:rsidR="008E63D8" w:rsidRPr="003913A5">
        <w:t>mid-</w:t>
      </w:r>
      <w:r w:rsidRPr="003913A5">
        <w:t>p</w:t>
      </w:r>
      <w:r w:rsidR="008E63D8" w:rsidRPr="003913A5">
        <w:t xml:space="preserve">rogram </w:t>
      </w:r>
      <w:r w:rsidR="00026ECE" w:rsidRPr="003913A5">
        <w:t>teaser. By</w:t>
      </w:r>
      <w:r w:rsidR="008E63D8" w:rsidRPr="003913A5">
        <w:t xml:space="preserve"> stating in the mid-program teaser that the WT 15-01 ‘shoots like a machine gun’ and</w:t>
      </w:r>
      <w:r w:rsidR="00300463" w:rsidRPr="003913A5">
        <w:t xml:space="preserve"> asking</w:t>
      </w:r>
      <w:r w:rsidR="008E63D8" w:rsidRPr="003913A5">
        <w:t xml:space="preserve"> ‘why is it legal to own in Queensland’</w:t>
      </w:r>
      <w:r w:rsidR="00300463" w:rsidRPr="003913A5">
        <w:t>,</w:t>
      </w:r>
      <w:r w:rsidR="008E63D8" w:rsidRPr="003913A5">
        <w:t xml:space="preserve"> the presenters fram</w:t>
      </w:r>
      <w:r w:rsidR="00300463" w:rsidRPr="003913A5">
        <w:t>ed</w:t>
      </w:r>
      <w:r w:rsidR="008E63D8" w:rsidRPr="003913A5">
        <w:t xml:space="preserve"> the </w:t>
      </w:r>
      <w:r w:rsidR="00F01B71" w:rsidRPr="003913A5">
        <w:t>report</w:t>
      </w:r>
      <w:r w:rsidR="008E63D8" w:rsidRPr="003913A5">
        <w:t xml:space="preserve"> </w:t>
      </w:r>
      <w:r w:rsidR="00300463" w:rsidRPr="003913A5">
        <w:t xml:space="preserve">as </w:t>
      </w:r>
      <w:r w:rsidR="0076114A" w:rsidRPr="003913A5">
        <w:t>o</w:t>
      </w:r>
      <w:r w:rsidR="00300463" w:rsidRPr="003913A5">
        <w:t xml:space="preserve">ne concerned with </w:t>
      </w:r>
      <w:r w:rsidR="00A27B1C" w:rsidRPr="003913A5">
        <w:t xml:space="preserve">the </w:t>
      </w:r>
      <w:r w:rsidR="00300463" w:rsidRPr="003913A5">
        <w:t xml:space="preserve">legal </w:t>
      </w:r>
      <w:r w:rsidR="00A27B1C" w:rsidRPr="003913A5">
        <w:t xml:space="preserve">availability of </w:t>
      </w:r>
      <w:r w:rsidR="0076114A" w:rsidRPr="003913A5">
        <w:t>a gun that fires like a machine gun</w:t>
      </w:r>
      <w:r w:rsidR="00F01B71" w:rsidRPr="003913A5">
        <w:t xml:space="preserve">. </w:t>
      </w:r>
      <w:r w:rsidR="00E10EDD">
        <w:t>This framing</w:t>
      </w:r>
      <w:r w:rsidR="00BB7CE4">
        <w:t>,</w:t>
      </w:r>
      <w:r w:rsidR="00E10EDD">
        <w:t xml:space="preserve"> along with the </w:t>
      </w:r>
      <w:r w:rsidR="00E10EDD" w:rsidRPr="003913A5">
        <w:t>relationship</w:t>
      </w:r>
      <w:r w:rsidRPr="003913A5">
        <w:t xml:space="preserve"> between firing capacity and classification referred to above</w:t>
      </w:r>
      <w:r w:rsidR="001D57B4">
        <w:t>,</w:t>
      </w:r>
      <w:r w:rsidR="00F01B71" w:rsidRPr="003913A5">
        <w:t xml:space="preserve"> </w:t>
      </w:r>
      <w:r w:rsidR="0076114A" w:rsidRPr="003913A5">
        <w:t>m</w:t>
      </w:r>
      <w:r w:rsidR="008E63D8" w:rsidRPr="003913A5">
        <w:t>a</w:t>
      </w:r>
      <w:r w:rsidR="00F01B71" w:rsidRPr="003913A5">
        <w:t>de</w:t>
      </w:r>
      <w:r w:rsidR="0076114A" w:rsidRPr="003913A5">
        <w:t xml:space="preserve"> </w:t>
      </w:r>
      <w:r w:rsidR="00F01B71" w:rsidRPr="003913A5">
        <w:t xml:space="preserve">factual statements about </w:t>
      </w:r>
      <w:r w:rsidR="0076114A" w:rsidRPr="003913A5">
        <w:t>the</w:t>
      </w:r>
      <w:r w:rsidR="008E63D8" w:rsidRPr="003913A5">
        <w:t xml:space="preserve"> firing capacity</w:t>
      </w:r>
      <w:r w:rsidR="0076114A" w:rsidRPr="003913A5">
        <w:t xml:space="preserve"> of the WT 15-01</w:t>
      </w:r>
      <w:r w:rsidR="008E63D8" w:rsidRPr="003913A5">
        <w:t xml:space="preserve"> material </w:t>
      </w:r>
      <w:r w:rsidR="00F01B71" w:rsidRPr="003913A5">
        <w:t>factual statements</w:t>
      </w:r>
      <w:r w:rsidRPr="003913A5">
        <w:t xml:space="preserve"> within the context of the report</w:t>
      </w:r>
      <w:r w:rsidR="008E63D8" w:rsidRPr="003913A5">
        <w:t>.</w:t>
      </w:r>
    </w:p>
    <w:p w14:paraId="1AB6FE58" w14:textId="780B9E92" w:rsidR="00C81FD0" w:rsidRDefault="00CA2B9D" w:rsidP="00151949">
      <w:pPr>
        <w:pStyle w:val="ACMABodyText"/>
        <w:rPr>
          <w:b/>
          <w:bCs/>
        </w:rPr>
      </w:pPr>
      <w:bookmarkStart w:id="6" w:name="_Hlk27577345"/>
      <w:r w:rsidRPr="00CA2B9D">
        <w:rPr>
          <w:b/>
          <w:bCs/>
        </w:rPr>
        <w:t>If so, were the material facts accurate?</w:t>
      </w:r>
    </w:p>
    <w:bookmarkEnd w:id="6"/>
    <w:p w14:paraId="56B67FF5" w14:textId="070476FF" w:rsidR="008F46E3" w:rsidRDefault="008F46E3" w:rsidP="001600E4">
      <w:pPr>
        <w:pStyle w:val="ACMABodyText"/>
        <w:spacing w:before="240"/>
        <w:rPr>
          <w:bCs/>
          <w:lang w:eastAsia="en-AU"/>
        </w:rPr>
      </w:pPr>
      <w:r>
        <w:rPr>
          <w:bCs/>
          <w:lang w:eastAsia="en-AU"/>
        </w:rPr>
        <w:t>The WT 15-01 is capable of semi-automatic fire.</w:t>
      </w:r>
      <w:r w:rsidR="005B1063">
        <w:rPr>
          <w:bCs/>
          <w:lang w:eastAsia="en-AU"/>
        </w:rPr>
        <w:t xml:space="preserve"> A</w:t>
      </w:r>
      <w:r w:rsidR="007956DD">
        <w:rPr>
          <w:bCs/>
          <w:lang w:eastAsia="en-AU"/>
        </w:rPr>
        <w:t xml:space="preserve"> </w:t>
      </w:r>
      <w:r w:rsidR="008F2FA8">
        <w:rPr>
          <w:bCs/>
          <w:lang w:eastAsia="en-AU"/>
        </w:rPr>
        <w:t>s</w:t>
      </w:r>
      <w:r>
        <w:rPr>
          <w:bCs/>
          <w:lang w:eastAsia="en-AU"/>
        </w:rPr>
        <w:t xml:space="preserve">emi-automatic firearm </w:t>
      </w:r>
      <w:r w:rsidR="005B1063">
        <w:rPr>
          <w:bCs/>
          <w:lang w:eastAsia="en-AU"/>
        </w:rPr>
        <w:t xml:space="preserve">is </w:t>
      </w:r>
      <w:r w:rsidR="008F2FA8">
        <w:rPr>
          <w:bCs/>
          <w:lang w:eastAsia="en-AU"/>
        </w:rPr>
        <w:t>one</w:t>
      </w:r>
      <w:r w:rsidR="005B1063">
        <w:rPr>
          <w:bCs/>
          <w:lang w:eastAsia="en-AU"/>
        </w:rPr>
        <w:t xml:space="preserve"> which loads automatically after each shot but fires only one </w:t>
      </w:r>
      <w:r w:rsidR="00052FA9">
        <w:rPr>
          <w:bCs/>
          <w:lang w:eastAsia="en-AU"/>
        </w:rPr>
        <w:t xml:space="preserve">bullet </w:t>
      </w:r>
      <w:r w:rsidR="005B1063">
        <w:rPr>
          <w:bCs/>
          <w:lang w:eastAsia="en-AU"/>
        </w:rPr>
        <w:t>for each pull of the trigger.</w:t>
      </w:r>
      <w:r w:rsidR="005B1063">
        <w:rPr>
          <w:rStyle w:val="FootnoteReference"/>
          <w:bCs/>
          <w:lang w:eastAsia="en-AU"/>
        </w:rPr>
        <w:footnoteReference w:id="3"/>
      </w:r>
      <w:r w:rsidR="005B1063" w:rsidDel="005B1063">
        <w:rPr>
          <w:bCs/>
          <w:lang w:eastAsia="en-AU"/>
        </w:rPr>
        <w:t xml:space="preserve"> </w:t>
      </w:r>
    </w:p>
    <w:p w14:paraId="7058FE55" w14:textId="7CEC31AC" w:rsidR="007956DD" w:rsidRDefault="007956DD" w:rsidP="001600E4">
      <w:pPr>
        <w:pStyle w:val="ACMABodyText"/>
        <w:spacing w:before="240"/>
        <w:rPr>
          <w:bCs/>
          <w:lang w:eastAsia="en-AU"/>
        </w:rPr>
      </w:pPr>
      <w:r w:rsidRPr="007956DD">
        <w:rPr>
          <w:bCs/>
          <w:lang w:eastAsia="en-AU"/>
        </w:rPr>
        <w:t xml:space="preserve">As a machine gun fires continuously </w:t>
      </w:r>
      <w:r w:rsidR="00501D97">
        <w:rPr>
          <w:bCs/>
          <w:lang w:eastAsia="en-AU"/>
        </w:rPr>
        <w:t>as long as</w:t>
      </w:r>
      <w:r w:rsidRPr="007956DD">
        <w:rPr>
          <w:bCs/>
          <w:lang w:eastAsia="en-AU"/>
        </w:rPr>
        <w:t xml:space="preserve"> the shooter keeps pressure on the trigger, it fires differently and at a much faster rate than a semi-automatic weapon such as the WT 15-01, which requires the shooter to squeeze the trigger each time a round is fired.</w:t>
      </w:r>
    </w:p>
    <w:p w14:paraId="77DC5717" w14:textId="19641BD9" w:rsidR="004F1AEF" w:rsidRDefault="002E2BCB" w:rsidP="00151949">
      <w:pPr>
        <w:pStyle w:val="ACMABodyText"/>
        <w:rPr>
          <w:bCs/>
          <w:lang w:eastAsia="en-AU"/>
        </w:rPr>
      </w:pPr>
      <w:r>
        <w:rPr>
          <w:bCs/>
          <w:lang w:eastAsia="en-AU"/>
        </w:rPr>
        <w:t>The licensee submitted</w:t>
      </w:r>
      <w:r w:rsidR="00D750C3">
        <w:rPr>
          <w:bCs/>
          <w:lang w:eastAsia="en-AU"/>
        </w:rPr>
        <w:t xml:space="preserve"> that </w:t>
      </w:r>
      <w:r w:rsidR="00664505">
        <w:rPr>
          <w:bCs/>
          <w:lang w:eastAsia="en-AU"/>
        </w:rPr>
        <w:t xml:space="preserve">it </w:t>
      </w:r>
      <w:r w:rsidR="00D750C3">
        <w:rPr>
          <w:bCs/>
          <w:lang w:eastAsia="en-AU"/>
        </w:rPr>
        <w:t>relied on Queensland Police document</w:t>
      </w:r>
      <w:r w:rsidR="00D27E55">
        <w:rPr>
          <w:bCs/>
          <w:lang w:eastAsia="en-AU"/>
        </w:rPr>
        <w:t>s</w:t>
      </w:r>
      <w:r w:rsidR="00396261">
        <w:rPr>
          <w:bCs/>
          <w:lang w:eastAsia="en-AU"/>
        </w:rPr>
        <w:t xml:space="preserve"> </w:t>
      </w:r>
      <w:r w:rsidR="001B23EA">
        <w:rPr>
          <w:bCs/>
          <w:lang w:eastAsia="en-AU"/>
        </w:rPr>
        <w:t xml:space="preserve">which it </w:t>
      </w:r>
      <w:r w:rsidR="00396261">
        <w:rPr>
          <w:bCs/>
          <w:lang w:eastAsia="en-AU"/>
        </w:rPr>
        <w:t>provided to the ACMA</w:t>
      </w:r>
      <w:r w:rsidR="00D750C3">
        <w:rPr>
          <w:bCs/>
          <w:lang w:eastAsia="en-AU"/>
        </w:rPr>
        <w:t xml:space="preserve"> </w:t>
      </w:r>
      <w:r w:rsidR="00EF02F0">
        <w:rPr>
          <w:bCs/>
          <w:lang w:eastAsia="en-AU"/>
        </w:rPr>
        <w:t>that</w:t>
      </w:r>
      <w:r w:rsidR="00F62243">
        <w:rPr>
          <w:bCs/>
          <w:lang w:eastAsia="en-AU"/>
        </w:rPr>
        <w:t xml:space="preserve"> </w:t>
      </w:r>
      <w:r w:rsidR="00A72BE7">
        <w:rPr>
          <w:bCs/>
          <w:lang w:eastAsia="en-AU"/>
        </w:rPr>
        <w:t>likened</w:t>
      </w:r>
      <w:r w:rsidR="00F62243">
        <w:rPr>
          <w:bCs/>
          <w:lang w:eastAsia="en-AU"/>
        </w:rPr>
        <w:t xml:space="preserve"> the WT 15-01 to a ‘machine gun’</w:t>
      </w:r>
      <w:r w:rsidR="00664505">
        <w:rPr>
          <w:bCs/>
          <w:lang w:eastAsia="en-AU"/>
        </w:rPr>
        <w:t>.</w:t>
      </w:r>
      <w:r w:rsidR="004564C1">
        <w:rPr>
          <w:bCs/>
          <w:lang w:eastAsia="en-AU"/>
        </w:rPr>
        <w:t xml:space="preserve"> </w:t>
      </w:r>
      <w:r w:rsidR="00C00CBB">
        <w:rPr>
          <w:bCs/>
          <w:lang w:eastAsia="en-AU"/>
        </w:rPr>
        <w:t>T</w:t>
      </w:r>
      <w:r w:rsidR="004564C1">
        <w:rPr>
          <w:bCs/>
          <w:lang w:eastAsia="en-AU"/>
        </w:rPr>
        <w:t xml:space="preserve">he Queensland police documents </w:t>
      </w:r>
      <w:r w:rsidR="00563CB1">
        <w:rPr>
          <w:bCs/>
          <w:lang w:eastAsia="en-AU"/>
        </w:rPr>
        <w:t>do not provide a clear statement to the effect that the WT 15-01 is like a machine gun.</w:t>
      </w:r>
      <w:r w:rsidR="00C00CBB">
        <w:rPr>
          <w:bCs/>
          <w:lang w:eastAsia="en-AU"/>
        </w:rPr>
        <w:t xml:space="preserve"> The ACMA notes that the documents, which are focused on the categorisation of the WT 15-01 as </w:t>
      </w:r>
      <w:r w:rsidR="00C00CBB">
        <w:rPr>
          <w:bCs/>
          <w:lang w:eastAsia="en-AU"/>
        </w:rPr>
        <w:lastRenderedPageBreak/>
        <w:t xml:space="preserve">a semi-automatic weapon, make no reference to </w:t>
      </w:r>
      <w:r w:rsidR="00694A08">
        <w:rPr>
          <w:bCs/>
          <w:lang w:eastAsia="en-AU"/>
        </w:rPr>
        <w:t xml:space="preserve">the WT 15-01 being capable of </w:t>
      </w:r>
      <w:r w:rsidR="00C00CBB">
        <w:rPr>
          <w:bCs/>
          <w:lang w:eastAsia="en-AU"/>
        </w:rPr>
        <w:t>automatic fire.</w:t>
      </w:r>
    </w:p>
    <w:p w14:paraId="3A14F32B" w14:textId="073E128A" w:rsidR="00B01162" w:rsidRDefault="00E9238F" w:rsidP="00151949">
      <w:pPr>
        <w:pStyle w:val="ACMAQuoteindented"/>
        <w:ind w:left="0"/>
        <w:rPr>
          <w:sz w:val="20"/>
        </w:rPr>
      </w:pPr>
      <w:r>
        <w:rPr>
          <w:sz w:val="20"/>
        </w:rPr>
        <w:t>F</w:t>
      </w:r>
      <w:r w:rsidR="00F62243">
        <w:rPr>
          <w:sz w:val="20"/>
        </w:rPr>
        <w:t>or the</w:t>
      </w:r>
      <w:r>
        <w:rPr>
          <w:sz w:val="20"/>
        </w:rPr>
        <w:t>se</w:t>
      </w:r>
      <w:r w:rsidR="00F62243">
        <w:rPr>
          <w:sz w:val="20"/>
        </w:rPr>
        <w:t xml:space="preserve"> reasons</w:t>
      </w:r>
      <w:r w:rsidR="00A454BD">
        <w:rPr>
          <w:sz w:val="20"/>
        </w:rPr>
        <w:t>, the</w:t>
      </w:r>
      <w:r w:rsidR="00521CC7" w:rsidRPr="00521CC7">
        <w:rPr>
          <w:sz w:val="20"/>
        </w:rPr>
        <w:t xml:space="preserve"> ACMA considers that the statement</w:t>
      </w:r>
      <w:r w:rsidR="00521CC7">
        <w:rPr>
          <w:sz w:val="20"/>
        </w:rPr>
        <w:t xml:space="preserve"> that the WT 15-01</w:t>
      </w:r>
      <w:r w:rsidR="00521CC7" w:rsidRPr="00521CC7">
        <w:rPr>
          <w:sz w:val="20"/>
        </w:rPr>
        <w:t>, ‘</w:t>
      </w:r>
      <w:r w:rsidR="00521CC7">
        <w:rPr>
          <w:sz w:val="20"/>
        </w:rPr>
        <w:t>fires like a machine</w:t>
      </w:r>
      <w:r w:rsidR="00AF226C">
        <w:rPr>
          <w:sz w:val="20"/>
        </w:rPr>
        <w:t xml:space="preserve"> gun</w:t>
      </w:r>
      <w:r w:rsidR="00521CC7" w:rsidRPr="00521CC7">
        <w:rPr>
          <w:sz w:val="20"/>
        </w:rPr>
        <w:t xml:space="preserve">’, was </w:t>
      </w:r>
      <w:r w:rsidR="00DF529C">
        <w:rPr>
          <w:sz w:val="20"/>
        </w:rPr>
        <w:t>in</w:t>
      </w:r>
      <w:r w:rsidR="00521CC7" w:rsidRPr="00521CC7">
        <w:rPr>
          <w:sz w:val="20"/>
        </w:rPr>
        <w:t>accurate.</w:t>
      </w:r>
    </w:p>
    <w:p w14:paraId="7B007C99" w14:textId="7340EC9F" w:rsidR="001C6546" w:rsidRDefault="001C6546" w:rsidP="00151949">
      <w:pPr>
        <w:pStyle w:val="ACMABodyText"/>
      </w:pPr>
      <w:r>
        <w:t xml:space="preserve">Accordingly, </w:t>
      </w:r>
      <w:r w:rsidR="00273E73">
        <w:t>the ACMA</w:t>
      </w:r>
      <w:r w:rsidR="006352E1">
        <w:t xml:space="preserve"> find</w:t>
      </w:r>
      <w:r w:rsidR="00273E73">
        <w:t xml:space="preserve">s that </w:t>
      </w:r>
      <w:r w:rsidR="00A11305">
        <w:t xml:space="preserve">in broadcasting the statement, ‘fires like a machine gun’, </w:t>
      </w:r>
      <w:r>
        <w:t xml:space="preserve">the </w:t>
      </w:r>
      <w:r w:rsidRPr="005175E6">
        <w:t>licensee</w:t>
      </w:r>
      <w:r w:rsidR="0007491F" w:rsidRPr="005175E6">
        <w:t xml:space="preserve"> </w:t>
      </w:r>
      <w:r w:rsidRPr="005175E6">
        <w:t>breached clause</w:t>
      </w:r>
      <w:r w:rsidR="009773F7" w:rsidRPr="005175E6">
        <w:t xml:space="preserve"> 3.3.1 </w:t>
      </w:r>
      <w:r w:rsidR="0007491F" w:rsidRPr="005175E6">
        <w:t>o</w:t>
      </w:r>
      <w:r w:rsidRPr="005175E6">
        <w:t>f the</w:t>
      </w:r>
      <w:r w:rsidR="009773F7" w:rsidRPr="005175E6">
        <w:t xml:space="preserve"> </w:t>
      </w:r>
      <w:r w:rsidR="006D64C7" w:rsidRPr="005175E6">
        <w:t>Code</w:t>
      </w:r>
      <w:r w:rsidRPr="00227744">
        <w:t>.</w:t>
      </w:r>
    </w:p>
    <w:p w14:paraId="1280C0A5" w14:textId="56E42064" w:rsidR="0094646D" w:rsidRPr="00E762D3" w:rsidRDefault="0094646D" w:rsidP="00151949">
      <w:pPr>
        <w:pStyle w:val="ACMAHeading2"/>
        <w:spacing w:after="240" w:line="240" w:lineRule="atLeast"/>
      </w:pPr>
      <w:r w:rsidRPr="00E762D3">
        <w:t xml:space="preserve">Issue 2: </w:t>
      </w:r>
      <w:r w:rsidR="00BB384C" w:rsidRPr="00E762D3">
        <w:t>Impartiality</w:t>
      </w:r>
      <w:r w:rsidR="00B56076" w:rsidRPr="00E762D3">
        <w:t xml:space="preserve"> of the </w:t>
      </w:r>
      <w:r w:rsidR="00F2202C">
        <w:t>p</w:t>
      </w:r>
      <w:r w:rsidR="00B56076" w:rsidRPr="00E762D3">
        <w:t>rogram</w:t>
      </w:r>
    </w:p>
    <w:p w14:paraId="706B38BB" w14:textId="0D51E184" w:rsidR="0094646D" w:rsidRPr="00E762D3" w:rsidRDefault="006352E1" w:rsidP="00151949">
      <w:pPr>
        <w:pStyle w:val="ACMAHeading2"/>
        <w:spacing w:after="240" w:line="240" w:lineRule="atLeast"/>
      </w:pPr>
      <w:r>
        <w:t>F</w:t>
      </w:r>
      <w:r w:rsidR="0094646D" w:rsidRPr="00E762D3">
        <w:t>inding</w:t>
      </w:r>
    </w:p>
    <w:p w14:paraId="5C6C4003" w14:textId="2B69832F" w:rsidR="0094646D" w:rsidRPr="007A282E" w:rsidRDefault="0094646D" w:rsidP="00151949">
      <w:pPr>
        <w:pStyle w:val="ACMABodyText"/>
      </w:pPr>
      <w:r w:rsidRPr="00E762D3">
        <w:t xml:space="preserve">The </w:t>
      </w:r>
      <w:r w:rsidR="008D165F" w:rsidRPr="00E762D3">
        <w:t>ACMA</w:t>
      </w:r>
      <w:r w:rsidR="006352E1">
        <w:t xml:space="preserve"> </w:t>
      </w:r>
      <w:r w:rsidR="008D165F" w:rsidRPr="00E762D3">
        <w:t>find</w:t>
      </w:r>
      <w:r w:rsidR="006352E1">
        <w:t>s</w:t>
      </w:r>
      <w:r w:rsidR="008D165F" w:rsidRPr="00E762D3">
        <w:t xml:space="preserve"> that the </w:t>
      </w:r>
      <w:r w:rsidRPr="00E762D3">
        <w:t>licensee</w:t>
      </w:r>
      <w:r w:rsidR="00BC5311" w:rsidRPr="00E762D3">
        <w:t xml:space="preserve"> </w:t>
      </w:r>
      <w:r w:rsidRPr="00E762D3">
        <w:t>did not breach</w:t>
      </w:r>
      <w:r w:rsidR="0020100B" w:rsidRPr="00E762D3">
        <w:t xml:space="preserve"> </w:t>
      </w:r>
      <w:r w:rsidRPr="00E762D3">
        <w:t>clause</w:t>
      </w:r>
      <w:r w:rsidR="0020100B" w:rsidRPr="00E762D3">
        <w:t xml:space="preserve"> 3.4.1 of</w:t>
      </w:r>
      <w:r w:rsidRPr="00E762D3">
        <w:t xml:space="preserve"> the Code.</w:t>
      </w:r>
      <w:r>
        <w:t xml:space="preserve"> </w:t>
      </w:r>
    </w:p>
    <w:p w14:paraId="5F9E1276" w14:textId="3E9DC784" w:rsidR="0094646D" w:rsidRDefault="0094646D" w:rsidP="00626E51">
      <w:pPr>
        <w:pStyle w:val="ACMAHeading2"/>
        <w:spacing w:before="240" w:after="240" w:line="240" w:lineRule="atLeast"/>
      </w:pPr>
      <w:r>
        <w:t>Reasons</w:t>
      </w:r>
    </w:p>
    <w:p w14:paraId="68701A44" w14:textId="25ADB741" w:rsidR="00C340A0" w:rsidRDefault="00C340A0" w:rsidP="00151949">
      <w:pPr>
        <w:pStyle w:val="ACMABodyText0"/>
        <w:spacing w:before="0" w:after="240" w:line="240" w:lineRule="atLeast"/>
        <w:rPr>
          <w:sz w:val="20"/>
        </w:rPr>
      </w:pPr>
      <w:r>
        <w:rPr>
          <w:rFonts w:ascii="Arial" w:hAnsi="Arial" w:cs="Arial"/>
          <w:sz w:val="20"/>
        </w:rPr>
        <w:t xml:space="preserve">Subclause 3.4.1(a) requires news to be presented fairly and impartially. The impartiality requirement means that news must be presented in such a way that one side of an issue is not unduly favoured over another and that the program does not show prejudice or bias against a particular side. </w:t>
      </w:r>
    </w:p>
    <w:p w14:paraId="5C0734D6" w14:textId="77777777" w:rsidR="00E540A2" w:rsidRPr="00B94314" w:rsidRDefault="00E540A2" w:rsidP="00E540A2">
      <w:pPr>
        <w:pStyle w:val="FootnoteText"/>
        <w:tabs>
          <w:tab w:val="clear" w:pos="284"/>
          <w:tab w:val="left" w:pos="720"/>
        </w:tabs>
        <w:suppressAutoHyphens/>
        <w:spacing w:after="240"/>
        <w:ind w:left="0" w:firstLine="0"/>
        <w:rPr>
          <w:sz w:val="20"/>
        </w:rPr>
      </w:pPr>
      <w:r w:rsidRPr="00B94314">
        <w:rPr>
          <w:sz w:val="20"/>
        </w:rPr>
        <w:t>Achieving fairness and impartiality requires a broadcaster to present material in a way which avoids conveying a prejudgement or giving effect to the preferences of the reporter or presenter, who play key role</w:t>
      </w:r>
      <w:r>
        <w:rPr>
          <w:sz w:val="20"/>
        </w:rPr>
        <w:t>s</w:t>
      </w:r>
      <w:r w:rsidRPr="00B94314">
        <w:rPr>
          <w:sz w:val="20"/>
        </w:rPr>
        <w:t xml:space="preserve"> in setting the tone of the report, through their style and choice of language.</w:t>
      </w:r>
    </w:p>
    <w:p w14:paraId="33F9C59B" w14:textId="25160850" w:rsidR="006F6901" w:rsidRDefault="00C340A0" w:rsidP="006F6901">
      <w:pPr>
        <w:pStyle w:val="ACMABodyText0"/>
        <w:spacing w:before="0" w:after="240" w:line="240" w:lineRule="atLeast"/>
        <w:rPr>
          <w:rFonts w:ascii="Arial" w:hAnsi="Arial" w:cs="Arial"/>
          <w:sz w:val="20"/>
        </w:rPr>
      </w:pPr>
      <w:r>
        <w:rPr>
          <w:rFonts w:ascii="Arial" w:hAnsi="Arial" w:cs="Arial"/>
          <w:sz w:val="20"/>
        </w:rPr>
        <w:t xml:space="preserve">A news </w:t>
      </w:r>
      <w:r w:rsidR="00B75358">
        <w:rPr>
          <w:rFonts w:ascii="Arial" w:hAnsi="Arial" w:cs="Arial"/>
          <w:sz w:val="20"/>
        </w:rPr>
        <w:t>report</w:t>
      </w:r>
      <w:r>
        <w:rPr>
          <w:rFonts w:ascii="Arial" w:hAnsi="Arial" w:cs="Arial"/>
          <w:sz w:val="20"/>
        </w:rPr>
        <w:t xml:space="preserve"> that presents a perspective that is opposed by a particular person or group is not inherently partial. Whether a breach of the Code has occurred will depend on the theme of the news report, </w:t>
      </w:r>
      <w:r>
        <w:rPr>
          <w:rFonts w:ascii="Arial" w:hAnsi="Arial" w:cs="Arial"/>
          <w:color w:val="000000"/>
          <w:sz w:val="20"/>
        </w:rPr>
        <w:t>the range of perspectives that were presented or sought to be presented in relation to that theme</w:t>
      </w:r>
      <w:r>
        <w:rPr>
          <w:rFonts w:ascii="Arial" w:hAnsi="Arial" w:cs="Arial"/>
          <w:sz w:val="20"/>
        </w:rPr>
        <w:t xml:space="preserve">, the overall presentation of the story and the circumstances in which the </w:t>
      </w:r>
      <w:r w:rsidR="0072227B">
        <w:rPr>
          <w:rFonts w:ascii="Arial" w:hAnsi="Arial" w:cs="Arial"/>
          <w:sz w:val="20"/>
        </w:rPr>
        <w:t>report</w:t>
      </w:r>
      <w:r>
        <w:rPr>
          <w:rFonts w:ascii="Arial" w:hAnsi="Arial" w:cs="Arial"/>
          <w:sz w:val="20"/>
        </w:rPr>
        <w:t xml:space="preserve"> was prepared and broadcast.</w:t>
      </w:r>
      <w:r w:rsidR="006F6901">
        <w:rPr>
          <w:rFonts w:ascii="Arial" w:hAnsi="Arial" w:cs="Arial"/>
          <w:sz w:val="20"/>
        </w:rPr>
        <w:t xml:space="preserve"> </w:t>
      </w:r>
    </w:p>
    <w:p w14:paraId="5D2CE90A" w14:textId="58EA58FD" w:rsidR="00C340A0" w:rsidRDefault="00C340A0" w:rsidP="00362D63">
      <w:pPr>
        <w:pStyle w:val="ACMABodyText0"/>
        <w:spacing w:before="0" w:after="240" w:line="240" w:lineRule="atLeast"/>
        <w:rPr>
          <w:rFonts w:ascii="Arial" w:hAnsi="Arial" w:cs="Arial"/>
          <w:sz w:val="20"/>
        </w:rPr>
      </w:pPr>
      <w:r>
        <w:rPr>
          <w:rFonts w:ascii="Arial" w:hAnsi="Arial" w:cs="Arial"/>
          <w:sz w:val="20"/>
        </w:rPr>
        <w:t xml:space="preserve">When a news </w:t>
      </w:r>
      <w:r w:rsidR="00EA2BA9">
        <w:rPr>
          <w:rFonts w:ascii="Arial" w:hAnsi="Arial" w:cs="Arial"/>
          <w:sz w:val="20"/>
        </w:rPr>
        <w:t>report</w:t>
      </w:r>
      <w:r>
        <w:rPr>
          <w:rFonts w:ascii="Arial" w:hAnsi="Arial" w:cs="Arial"/>
          <w:sz w:val="20"/>
        </w:rPr>
        <w:t xml:space="preserve"> investigates matters of public interest and concern, care in framing is important, particularly where a </w:t>
      </w:r>
      <w:r w:rsidR="00F60F59">
        <w:rPr>
          <w:rFonts w:ascii="Arial" w:hAnsi="Arial" w:cs="Arial"/>
          <w:sz w:val="20"/>
        </w:rPr>
        <w:t>report</w:t>
      </w:r>
      <w:r>
        <w:rPr>
          <w:rFonts w:ascii="Arial" w:hAnsi="Arial" w:cs="Arial"/>
          <w:sz w:val="20"/>
        </w:rPr>
        <w:t xml:space="preserve"> makes strong claims in relation to potentially sensitive matters</w:t>
      </w:r>
      <w:r w:rsidR="006F6901">
        <w:rPr>
          <w:rFonts w:ascii="Arial" w:hAnsi="Arial" w:cs="Arial"/>
          <w:sz w:val="20"/>
        </w:rPr>
        <w:t>.</w:t>
      </w:r>
    </w:p>
    <w:p w14:paraId="654D6CB5" w14:textId="2B0FB09B" w:rsidR="009A57D2" w:rsidRDefault="009A57D2" w:rsidP="00151949">
      <w:pPr>
        <w:pStyle w:val="ACMABodyText"/>
      </w:pPr>
      <w:r>
        <w:t xml:space="preserve">The </w:t>
      </w:r>
      <w:r w:rsidR="008A04BE">
        <w:t>licensee</w:t>
      </w:r>
      <w:r>
        <w:t xml:space="preserve"> submitted: </w:t>
      </w:r>
    </w:p>
    <w:p w14:paraId="3B8ECD93" w14:textId="7B765ED7" w:rsidR="00827F2C" w:rsidRDefault="00073BC3" w:rsidP="00151949">
      <w:pPr>
        <w:pStyle w:val="ACMABodyText0"/>
        <w:snapToGrid w:val="0"/>
        <w:spacing w:before="0" w:after="240" w:line="240" w:lineRule="atLeast"/>
        <w:ind w:left="720"/>
        <w:rPr>
          <w:rFonts w:ascii="Arial" w:hAnsi="Arial" w:cs="Arial"/>
          <w:sz w:val="18"/>
          <w:szCs w:val="18"/>
        </w:rPr>
      </w:pPr>
      <w:r w:rsidRPr="00073BC3">
        <w:rPr>
          <w:rFonts w:ascii="Arial" w:hAnsi="Arial" w:cs="Arial"/>
          <w:sz w:val="18"/>
          <w:szCs w:val="18"/>
        </w:rPr>
        <w:t>The Report included comments from both gun owners and supporters of gun control as they provided their perspectives on the classification and legality of the Firearm. On this basis, Nine submits that the Report contained comments on a controversial issue and the Report itself did not express any preference for either perspective, but rather objectively presented the material as part of a fair report on a matter of public interest.</w:t>
      </w:r>
    </w:p>
    <w:p w14:paraId="591074BF" w14:textId="3FA8E993" w:rsidR="00FD3030" w:rsidRPr="00EF6632" w:rsidRDefault="00FD3030" w:rsidP="00151949">
      <w:pPr>
        <w:pStyle w:val="ACMABodyText0"/>
        <w:snapToGrid w:val="0"/>
        <w:spacing w:before="0" w:after="240" w:line="240" w:lineRule="atLeast"/>
        <w:rPr>
          <w:rFonts w:ascii="Arial" w:hAnsi="Arial" w:cs="Arial"/>
          <w:sz w:val="20"/>
        </w:rPr>
      </w:pPr>
      <w:r w:rsidRPr="00EF6632">
        <w:rPr>
          <w:rFonts w:ascii="Arial" w:hAnsi="Arial" w:cs="Arial"/>
          <w:sz w:val="20"/>
        </w:rPr>
        <w:t xml:space="preserve">The </w:t>
      </w:r>
      <w:r w:rsidR="002C5E21">
        <w:rPr>
          <w:rFonts w:ascii="Arial" w:hAnsi="Arial" w:cs="Arial"/>
          <w:sz w:val="20"/>
        </w:rPr>
        <w:t xml:space="preserve">introduction and mid-program teaser </w:t>
      </w:r>
      <w:r w:rsidR="002C5E21" w:rsidRPr="00EF6632">
        <w:rPr>
          <w:rFonts w:ascii="Arial" w:hAnsi="Arial" w:cs="Arial"/>
          <w:sz w:val="20"/>
        </w:rPr>
        <w:t>conveyed a judgement that the WT 15-01 should be more restrictively classified</w:t>
      </w:r>
      <w:r w:rsidR="002C5E21">
        <w:rPr>
          <w:rFonts w:ascii="Arial" w:hAnsi="Arial" w:cs="Arial"/>
          <w:sz w:val="20"/>
        </w:rPr>
        <w:t xml:space="preserve">, using </w:t>
      </w:r>
      <w:r w:rsidRPr="00EF6632">
        <w:rPr>
          <w:rFonts w:ascii="Arial" w:hAnsi="Arial" w:cs="Arial"/>
          <w:sz w:val="20"/>
        </w:rPr>
        <w:t>phrase</w:t>
      </w:r>
      <w:r w:rsidR="00527751" w:rsidRPr="00EF6632">
        <w:rPr>
          <w:rFonts w:ascii="Arial" w:hAnsi="Arial" w:cs="Arial"/>
          <w:sz w:val="20"/>
        </w:rPr>
        <w:t>s</w:t>
      </w:r>
      <w:r w:rsidR="002C5E21">
        <w:rPr>
          <w:rFonts w:ascii="Arial" w:hAnsi="Arial" w:cs="Arial"/>
          <w:sz w:val="20"/>
        </w:rPr>
        <w:t xml:space="preserve"> such as</w:t>
      </w:r>
      <w:r w:rsidRPr="00EF6632">
        <w:rPr>
          <w:rFonts w:ascii="Arial" w:hAnsi="Arial" w:cs="Arial"/>
          <w:sz w:val="20"/>
        </w:rPr>
        <w:t xml:space="preserve"> ‘high powered deadly weapon’</w:t>
      </w:r>
      <w:r w:rsidR="00527751" w:rsidRPr="00EF6632">
        <w:rPr>
          <w:rFonts w:ascii="Arial" w:hAnsi="Arial" w:cs="Arial"/>
          <w:sz w:val="20"/>
        </w:rPr>
        <w:t>,</w:t>
      </w:r>
      <w:r w:rsidRPr="00EF6632">
        <w:rPr>
          <w:rFonts w:ascii="Arial" w:hAnsi="Arial" w:cs="Arial"/>
          <w:sz w:val="20"/>
        </w:rPr>
        <w:t xml:space="preserve"> and ‘it can kill so why is it perfectly legal for Queenslanders to own one’</w:t>
      </w:r>
      <w:r w:rsidR="00024FC0">
        <w:rPr>
          <w:rFonts w:ascii="Arial" w:hAnsi="Arial" w:cs="Arial"/>
          <w:sz w:val="20"/>
        </w:rPr>
        <w:t>.</w:t>
      </w:r>
      <w:r w:rsidRPr="00EF6632">
        <w:rPr>
          <w:rFonts w:ascii="Arial" w:hAnsi="Arial" w:cs="Arial"/>
          <w:sz w:val="20"/>
        </w:rPr>
        <w:t xml:space="preserve"> However, the report</w:t>
      </w:r>
      <w:r w:rsidR="002C5E21">
        <w:rPr>
          <w:rFonts w:ascii="Arial" w:hAnsi="Arial" w:cs="Arial"/>
          <w:sz w:val="20"/>
        </w:rPr>
        <w:t xml:space="preserve">, </w:t>
      </w:r>
      <w:r w:rsidR="00DA6E38">
        <w:rPr>
          <w:rFonts w:ascii="Arial" w:hAnsi="Arial" w:cs="Arial"/>
          <w:sz w:val="20"/>
        </w:rPr>
        <w:t>which</w:t>
      </w:r>
      <w:r w:rsidR="002C5E21">
        <w:rPr>
          <w:rFonts w:ascii="Arial" w:hAnsi="Arial" w:cs="Arial"/>
          <w:sz w:val="20"/>
        </w:rPr>
        <w:t xml:space="preserve"> was considerably longer than the introduction a</w:t>
      </w:r>
      <w:r w:rsidR="00024FC0">
        <w:rPr>
          <w:rFonts w:ascii="Arial" w:hAnsi="Arial" w:cs="Arial"/>
          <w:sz w:val="20"/>
        </w:rPr>
        <w:t>n</w:t>
      </w:r>
      <w:r w:rsidR="002C5E21">
        <w:rPr>
          <w:rFonts w:ascii="Arial" w:hAnsi="Arial" w:cs="Arial"/>
          <w:sz w:val="20"/>
        </w:rPr>
        <w:t>d mid-program teaser,</w:t>
      </w:r>
      <w:r w:rsidRPr="00EF6632">
        <w:rPr>
          <w:rFonts w:ascii="Arial" w:hAnsi="Arial" w:cs="Arial"/>
          <w:sz w:val="20"/>
        </w:rPr>
        <w:t xml:space="preserve"> featured a tone that was measured and neutral</w:t>
      </w:r>
      <w:r w:rsidR="002B67F3" w:rsidRPr="00EF6632">
        <w:rPr>
          <w:rFonts w:ascii="Arial" w:hAnsi="Arial" w:cs="Arial"/>
          <w:sz w:val="20"/>
        </w:rPr>
        <w:t>.</w:t>
      </w:r>
    </w:p>
    <w:p w14:paraId="030D0063" w14:textId="64B4BBDD" w:rsidR="00170911" w:rsidRPr="00EF6632" w:rsidRDefault="00170911" w:rsidP="00151949">
      <w:pPr>
        <w:pStyle w:val="ACMABodyText0"/>
        <w:snapToGrid w:val="0"/>
        <w:spacing w:before="0" w:after="240" w:line="240" w:lineRule="atLeast"/>
        <w:rPr>
          <w:rFonts w:ascii="Arial" w:hAnsi="Arial" w:cs="Arial"/>
          <w:sz w:val="20"/>
        </w:rPr>
      </w:pPr>
      <w:r w:rsidRPr="00EF6632">
        <w:rPr>
          <w:rFonts w:ascii="Arial" w:hAnsi="Arial" w:cs="Arial"/>
          <w:sz w:val="20"/>
        </w:rPr>
        <w:t xml:space="preserve">The report outlined the classification dispute relating to the WT 15-01 and included a statement from a representative of Firearm Owners United who explained </w:t>
      </w:r>
      <w:r w:rsidR="006F15EC">
        <w:rPr>
          <w:rFonts w:ascii="Arial" w:hAnsi="Arial" w:cs="Arial"/>
          <w:sz w:val="20"/>
        </w:rPr>
        <w:t>that</w:t>
      </w:r>
      <w:r w:rsidRPr="00EF6632">
        <w:rPr>
          <w:rFonts w:ascii="Arial" w:hAnsi="Arial" w:cs="Arial"/>
          <w:sz w:val="20"/>
        </w:rPr>
        <w:t xml:space="preserve"> he believed the WT 15-01 </w:t>
      </w:r>
      <w:r w:rsidR="00EB1778">
        <w:rPr>
          <w:rFonts w:ascii="Arial" w:hAnsi="Arial" w:cs="Arial"/>
          <w:sz w:val="20"/>
        </w:rPr>
        <w:t>wa</w:t>
      </w:r>
      <w:r w:rsidRPr="00EF6632">
        <w:rPr>
          <w:rFonts w:ascii="Arial" w:hAnsi="Arial" w:cs="Arial"/>
          <w:sz w:val="20"/>
        </w:rPr>
        <w:t xml:space="preserve">s a pistol and not a rifle because of the length of its barrel. </w:t>
      </w:r>
      <w:r w:rsidR="006F15EC">
        <w:rPr>
          <w:rFonts w:ascii="Arial" w:hAnsi="Arial" w:cs="Arial"/>
          <w:sz w:val="20"/>
        </w:rPr>
        <w:t>The report</w:t>
      </w:r>
      <w:r w:rsidRPr="00EF6632">
        <w:rPr>
          <w:rFonts w:ascii="Arial" w:hAnsi="Arial" w:cs="Arial"/>
          <w:sz w:val="20"/>
        </w:rPr>
        <w:t xml:space="preserve"> also </w:t>
      </w:r>
      <w:r w:rsidRPr="00EF6632">
        <w:rPr>
          <w:rFonts w:ascii="Arial" w:hAnsi="Arial" w:cs="Arial"/>
          <w:sz w:val="20"/>
        </w:rPr>
        <w:lastRenderedPageBreak/>
        <w:t>included a statement by a representative of Gun Control Australia that WT</w:t>
      </w:r>
      <w:r w:rsidR="002C7DAD">
        <w:rPr>
          <w:rFonts w:ascii="Arial" w:hAnsi="Arial" w:cs="Arial"/>
          <w:sz w:val="20"/>
        </w:rPr>
        <w:t> </w:t>
      </w:r>
      <w:r w:rsidRPr="00EF6632">
        <w:rPr>
          <w:rFonts w:ascii="Arial" w:hAnsi="Arial" w:cs="Arial"/>
          <w:sz w:val="20"/>
        </w:rPr>
        <w:t>15-01</w:t>
      </w:r>
      <w:r w:rsidR="006B66BE">
        <w:rPr>
          <w:rFonts w:ascii="Arial" w:hAnsi="Arial" w:cs="Arial"/>
          <w:sz w:val="20"/>
        </w:rPr>
        <w:t>s are</w:t>
      </w:r>
      <w:r w:rsidRPr="00EF6632">
        <w:rPr>
          <w:rFonts w:ascii="Arial" w:hAnsi="Arial" w:cs="Arial"/>
          <w:sz w:val="20"/>
        </w:rPr>
        <w:t xml:space="preserve"> </w:t>
      </w:r>
      <w:r w:rsidR="006B66BE">
        <w:rPr>
          <w:rFonts w:ascii="Arial" w:hAnsi="Arial" w:cs="Arial"/>
          <w:sz w:val="20"/>
        </w:rPr>
        <w:t xml:space="preserve">‘very dangerous weapons and this one in particular has been based on an assault rifle </w:t>
      </w:r>
      <w:r w:rsidR="0046707D" w:rsidRPr="00EF6632">
        <w:rPr>
          <w:rFonts w:ascii="Arial" w:hAnsi="Arial" w:cs="Arial"/>
          <w:sz w:val="20"/>
        </w:rPr>
        <w:t>that</w:t>
      </w:r>
      <w:r w:rsidR="0046707D">
        <w:rPr>
          <w:rFonts w:ascii="Arial" w:hAnsi="Arial" w:cs="Arial"/>
          <w:sz w:val="20"/>
        </w:rPr>
        <w:t>’s</w:t>
      </w:r>
      <w:r w:rsidR="0046707D" w:rsidRPr="00EF6632">
        <w:rPr>
          <w:rFonts w:ascii="Arial" w:hAnsi="Arial" w:cs="Arial"/>
          <w:sz w:val="20"/>
        </w:rPr>
        <w:t xml:space="preserve"> been</w:t>
      </w:r>
      <w:r w:rsidRPr="00EF6632">
        <w:rPr>
          <w:rFonts w:ascii="Arial" w:hAnsi="Arial" w:cs="Arial"/>
          <w:sz w:val="20"/>
        </w:rPr>
        <w:t xml:space="preserve"> used in massacres </w:t>
      </w:r>
      <w:r w:rsidR="006B66BE">
        <w:rPr>
          <w:rFonts w:ascii="Arial" w:hAnsi="Arial" w:cs="Arial"/>
          <w:sz w:val="20"/>
        </w:rPr>
        <w:t>across America</w:t>
      </w:r>
      <w:r w:rsidR="003230AE">
        <w:rPr>
          <w:rFonts w:ascii="Arial" w:hAnsi="Arial" w:cs="Arial"/>
          <w:sz w:val="20"/>
        </w:rPr>
        <w:t>’</w:t>
      </w:r>
      <w:r w:rsidR="006B66BE">
        <w:rPr>
          <w:rFonts w:ascii="Arial" w:hAnsi="Arial" w:cs="Arial"/>
          <w:sz w:val="20"/>
        </w:rPr>
        <w:t>.</w:t>
      </w:r>
      <w:r w:rsidRPr="00EF6632">
        <w:rPr>
          <w:rFonts w:ascii="Arial" w:hAnsi="Arial" w:cs="Arial"/>
          <w:sz w:val="20"/>
        </w:rPr>
        <w:t xml:space="preserve"> </w:t>
      </w:r>
      <w:r w:rsidR="006B66BE">
        <w:rPr>
          <w:rFonts w:ascii="Arial" w:hAnsi="Arial" w:cs="Arial"/>
          <w:sz w:val="20"/>
        </w:rPr>
        <w:t xml:space="preserve">The report also contained </w:t>
      </w:r>
      <w:r w:rsidRPr="00EF6632">
        <w:rPr>
          <w:rFonts w:ascii="Arial" w:hAnsi="Arial" w:cs="Arial"/>
          <w:sz w:val="20"/>
        </w:rPr>
        <w:t>a statement from a lawyer who explained that she believed that it would be fair for purchasers of the WT 15-01 to be compensated.</w:t>
      </w:r>
    </w:p>
    <w:p w14:paraId="4CC1525F" w14:textId="7253C2A8" w:rsidR="003B78CA" w:rsidRPr="00EF6632" w:rsidRDefault="00170911" w:rsidP="00521771">
      <w:pPr>
        <w:pStyle w:val="ACMABodyText0"/>
        <w:snapToGrid w:val="0"/>
        <w:spacing w:before="0" w:after="240" w:line="240" w:lineRule="atLeast"/>
        <w:rPr>
          <w:rFonts w:ascii="Arial" w:hAnsi="Arial" w:cs="Arial"/>
          <w:sz w:val="20"/>
        </w:rPr>
      </w:pPr>
      <w:r w:rsidRPr="00EF6632">
        <w:rPr>
          <w:rFonts w:ascii="Arial" w:hAnsi="Arial" w:cs="Arial"/>
          <w:sz w:val="20"/>
        </w:rPr>
        <w:t xml:space="preserve">While the </w:t>
      </w:r>
      <w:r w:rsidR="00521771" w:rsidRPr="00EF6632">
        <w:rPr>
          <w:rFonts w:ascii="Arial" w:hAnsi="Arial" w:cs="Arial"/>
          <w:sz w:val="20"/>
        </w:rPr>
        <w:t>program introduction</w:t>
      </w:r>
      <w:r w:rsidR="001A1F17" w:rsidRPr="00EF6632">
        <w:rPr>
          <w:rFonts w:ascii="Arial" w:hAnsi="Arial" w:cs="Arial"/>
          <w:sz w:val="20"/>
        </w:rPr>
        <w:t xml:space="preserve"> and mid-</w:t>
      </w:r>
      <w:r w:rsidR="00521771" w:rsidRPr="00EF6632">
        <w:rPr>
          <w:rFonts w:ascii="Arial" w:hAnsi="Arial" w:cs="Arial"/>
          <w:sz w:val="20"/>
        </w:rPr>
        <w:t>program</w:t>
      </w:r>
      <w:r w:rsidR="001A1F17" w:rsidRPr="00EF6632">
        <w:rPr>
          <w:rFonts w:ascii="Arial" w:hAnsi="Arial" w:cs="Arial"/>
          <w:sz w:val="20"/>
        </w:rPr>
        <w:t xml:space="preserve"> tease</w:t>
      </w:r>
      <w:r w:rsidR="00521771" w:rsidRPr="00EF6632">
        <w:rPr>
          <w:rFonts w:ascii="Arial" w:hAnsi="Arial" w:cs="Arial"/>
          <w:sz w:val="20"/>
        </w:rPr>
        <w:t>r</w:t>
      </w:r>
      <w:r w:rsidR="00DF4646" w:rsidRPr="00EF6632">
        <w:rPr>
          <w:rFonts w:ascii="Arial" w:hAnsi="Arial" w:cs="Arial"/>
          <w:sz w:val="20"/>
        </w:rPr>
        <w:t xml:space="preserve"> appear</w:t>
      </w:r>
      <w:r w:rsidR="002E0F71" w:rsidRPr="00EF6632">
        <w:rPr>
          <w:rFonts w:ascii="Arial" w:hAnsi="Arial" w:cs="Arial"/>
          <w:sz w:val="20"/>
        </w:rPr>
        <w:t>ed</w:t>
      </w:r>
      <w:r w:rsidR="00DF4646" w:rsidRPr="00EF6632">
        <w:rPr>
          <w:rFonts w:ascii="Arial" w:hAnsi="Arial" w:cs="Arial"/>
          <w:sz w:val="20"/>
        </w:rPr>
        <w:t xml:space="preserve"> to</w:t>
      </w:r>
      <w:r w:rsidR="0061158E" w:rsidRPr="00EF6632">
        <w:rPr>
          <w:rFonts w:ascii="Arial" w:hAnsi="Arial" w:cs="Arial"/>
          <w:sz w:val="20"/>
        </w:rPr>
        <w:t xml:space="preserve"> indicate a</w:t>
      </w:r>
      <w:r w:rsidR="00C56D62" w:rsidRPr="00EF6632">
        <w:rPr>
          <w:rFonts w:ascii="Arial" w:hAnsi="Arial" w:cs="Arial"/>
          <w:sz w:val="20"/>
        </w:rPr>
        <w:t xml:space="preserve"> </w:t>
      </w:r>
      <w:r w:rsidR="006D066A">
        <w:rPr>
          <w:rFonts w:ascii="Arial" w:hAnsi="Arial" w:cs="Arial"/>
          <w:sz w:val="20"/>
        </w:rPr>
        <w:t>position supporting</w:t>
      </w:r>
      <w:r w:rsidR="0061158E" w:rsidRPr="00EF6632">
        <w:rPr>
          <w:rFonts w:ascii="Arial" w:hAnsi="Arial" w:cs="Arial"/>
          <w:sz w:val="20"/>
        </w:rPr>
        <w:t xml:space="preserve"> </w:t>
      </w:r>
      <w:r w:rsidR="006D066A">
        <w:rPr>
          <w:rFonts w:ascii="Arial" w:hAnsi="Arial" w:cs="Arial"/>
          <w:sz w:val="20"/>
        </w:rPr>
        <w:t>the</w:t>
      </w:r>
      <w:r w:rsidR="00681E46" w:rsidRPr="00EF6632">
        <w:rPr>
          <w:rFonts w:ascii="Arial" w:hAnsi="Arial" w:cs="Arial"/>
          <w:sz w:val="20"/>
        </w:rPr>
        <w:t xml:space="preserve"> strict</w:t>
      </w:r>
      <w:r w:rsidR="00521771" w:rsidRPr="00EF6632">
        <w:rPr>
          <w:rFonts w:ascii="Arial" w:hAnsi="Arial" w:cs="Arial"/>
          <w:sz w:val="20"/>
        </w:rPr>
        <w:t>er</w:t>
      </w:r>
      <w:r w:rsidR="00681E46" w:rsidRPr="00EF6632">
        <w:rPr>
          <w:rFonts w:ascii="Arial" w:hAnsi="Arial" w:cs="Arial"/>
          <w:sz w:val="20"/>
        </w:rPr>
        <w:t xml:space="preserve"> classification of the WT 15-01</w:t>
      </w:r>
      <w:r w:rsidR="00B76BB6" w:rsidRPr="00EF6632">
        <w:rPr>
          <w:rFonts w:ascii="Arial" w:hAnsi="Arial" w:cs="Arial"/>
          <w:sz w:val="20"/>
        </w:rPr>
        <w:t xml:space="preserve">, </w:t>
      </w:r>
      <w:r w:rsidR="00B87641" w:rsidRPr="00EF6632">
        <w:rPr>
          <w:rFonts w:ascii="Arial" w:hAnsi="Arial" w:cs="Arial"/>
          <w:sz w:val="20"/>
        </w:rPr>
        <w:t>th</w:t>
      </w:r>
      <w:r w:rsidR="003C1A19">
        <w:rPr>
          <w:rFonts w:ascii="Arial" w:hAnsi="Arial" w:cs="Arial"/>
          <w:sz w:val="20"/>
        </w:rPr>
        <w:t xml:space="preserve">is </w:t>
      </w:r>
      <w:r w:rsidR="00712450" w:rsidRPr="00EF6632">
        <w:rPr>
          <w:rFonts w:ascii="Arial" w:hAnsi="Arial" w:cs="Arial"/>
          <w:sz w:val="20"/>
        </w:rPr>
        <w:t>w</w:t>
      </w:r>
      <w:r w:rsidR="003C1A19">
        <w:rPr>
          <w:rFonts w:ascii="Arial" w:hAnsi="Arial" w:cs="Arial"/>
          <w:sz w:val="20"/>
        </w:rPr>
        <w:t>as</w:t>
      </w:r>
      <w:r w:rsidR="00B87641" w:rsidRPr="00EF6632">
        <w:rPr>
          <w:rFonts w:ascii="Arial" w:hAnsi="Arial" w:cs="Arial"/>
          <w:sz w:val="20"/>
        </w:rPr>
        <w:t xml:space="preserve"> balanced </w:t>
      </w:r>
      <w:r w:rsidR="003E6D8F" w:rsidRPr="00EF6632">
        <w:rPr>
          <w:rFonts w:ascii="Arial" w:hAnsi="Arial" w:cs="Arial"/>
          <w:sz w:val="20"/>
        </w:rPr>
        <w:t>by the</w:t>
      </w:r>
      <w:r w:rsidR="003B78CA" w:rsidRPr="00EF6632">
        <w:rPr>
          <w:rFonts w:ascii="Arial" w:hAnsi="Arial" w:cs="Arial"/>
          <w:sz w:val="20"/>
        </w:rPr>
        <w:t xml:space="preserve"> report</w:t>
      </w:r>
      <w:r w:rsidR="00521771" w:rsidRPr="00EF6632">
        <w:rPr>
          <w:rFonts w:ascii="Arial" w:hAnsi="Arial" w:cs="Arial"/>
          <w:sz w:val="20"/>
        </w:rPr>
        <w:t>,</w:t>
      </w:r>
      <w:r w:rsidR="003B78CA" w:rsidRPr="00EF6632">
        <w:rPr>
          <w:rFonts w:ascii="Arial" w:hAnsi="Arial" w:cs="Arial"/>
          <w:sz w:val="20"/>
        </w:rPr>
        <w:t xml:space="preserve"> </w:t>
      </w:r>
      <w:r w:rsidR="00521771" w:rsidRPr="00EF6632">
        <w:rPr>
          <w:rFonts w:ascii="Arial" w:hAnsi="Arial" w:cs="Arial"/>
          <w:sz w:val="20"/>
        </w:rPr>
        <w:t>which</w:t>
      </w:r>
      <w:r w:rsidR="00712450" w:rsidRPr="00EF6632">
        <w:rPr>
          <w:rFonts w:ascii="Arial" w:hAnsi="Arial" w:cs="Arial"/>
          <w:sz w:val="20"/>
        </w:rPr>
        <w:t xml:space="preserve"> </w:t>
      </w:r>
      <w:r w:rsidR="004E6E4B" w:rsidRPr="00EF6632">
        <w:rPr>
          <w:rFonts w:ascii="Arial" w:hAnsi="Arial" w:cs="Arial"/>
          <w:sz w:val="20"/>
        </w:rPr>
        <w:t>offered a range of perspectives</w:t>
      </w:r>
      <w:r w:rsidR="003C1A19">
        <w:rPr>
          <w:rFonts w:ascii="Arial" w:hAnsi="Arial" w:cs="Arial"/>
          <w:sz w:val="20"/>
        </w:rPr>
        <w:t xml:space="preserve">, </w:t>
      </w:r>
      <w:r w:rsidR="00A631AB">
        <w:rPr>
          <w:rFonts w:ascii="Arial" w:hAnsi="Arial" w:cs="Arial"/>
          <w:sz w:val="20"/>
        </w:rPr>
        <w:t xml:space="preserve">including those </w:t>
      </w:r>
      <w:r w:rsidR="00677CC7">
        <w:rPr>
          <w:rFonts w:ascii="Arial" w:hAnsi="Arial" w:cs="Arial"/>
          <w:sz w:val="20"/>
        </w:rPr>
        <w:t>supporting</w:t>
      </w:r>
      <w:r w:rsidR="00D466DC">
        <w:rPr>
          <w:rFonts w:ascii="Arial" w:hAnsi="Arial" w:cs="Arial"/>
          <w:sz w:val="20"/>
        </w:rPr>
        <w:t xml:space="preserve"> that of the gun owners.</w:t>
      </w:r>
      <w:r w:rsidR="004E6E4B" w:rsidRPr="00EF6632">
        <w:rPr>
          <w:rFonts w:ascii="Arial" w:hAnsi="Arial" w:cs="Arial"/>
          <w:sz w:val="20"/>
        </w:rPr>
        <w:t xml:space="preserve"> </w:t>
      </w:r>
    </w:p>
    <w:p w14:paraId="08AEA744" w14:textId="01791B81" w:rsidR="004D4512" w:rsidRPr="00EF6632" w:rsidRDefault="00D466DC" w:rsidP="00151949">
      <w:pPr>
        <w:pStyle w:val="ACMABodyText0"/>
        <w:snapToGrid w:val="0"/>
        <w:spacing w:before="0" w:after="240" w:line="240" w:lineRule="atLeast"/>
        <w:rPr>
          <w:rFonts w:ascii="Arial" w:hAnsi="Arial" w:cs="Arial"/>
          <w:sz w:val="20"/>
        </w:rPr>
      </w:pPr>
      <w:r>
        <w:rPr>
          <w:rFonts w:ascii="Arial" w:hAnsi="Arial" w:cs="Arial"/>
          <w:sz w:val="20"/>
        </w:rPr>
        <w:t>I</w:t>
      </w:r>
      <w:r w:rsidR="00C8259C" w:rsidRPr="00EF6632">
        <w:rPr>
          <w:rFonts w:ascii="Arial" w:hAnsi="Arial" w:cs="Arial"/>
          <w:sz w:val="20"/>
        </w:rPr>
        <w:t xml:space="preserve">n the context of the </w:t>
      </w:r>
      <w:r>
        <w:rPr>
          <w:rFonts w:ascii="Arial" w:hAnsi="Arial" w:cs="Arial"/>
          <w:sz w:val="20"/>
        </w:rPr>
        <w:t xml:space="preserve">entire </w:t>
      </w:r>
      <w:r w:rsidR="00C8259C" w:rsidRPr="00EF6632">
        <w:rPr>
          <w:rFonts w:ascii="Arial" w:hAnsi="Arial" w:cs="Arial"/>
          <w:sz w:val="20"/>
        </w:rPr>
        <w:t>program</w:t>
      </w:r>
      <w:r>
        <w:rPr>
          <w:rFonts w:ascii="Arial" w:hAnsi="Arial" w:cs="Arial"/>
          <w:sz w:val="20"/>
        </w:rPr>
        <w:t>, t</w:t>
      </w:r>
      <w:r w:rsidRPr="00EF6632">
        <w:rPr>
          <w:rFonts w:ascii="Arial" w:hAnsi="Arial" w:cs="Arial"/>
          <w:sz w:val="20"/>
        </w:rPr>
        <w:t>he ACMA considers that</w:t>
      </w:r>
      <w:r>
        <w:rPr>
          <w:rFonts w:ascii="Arial" w:hAnsi="Arial" w:cs="Arial"/>
          <w:sz w:val="20"/>
        </w:rPr>
        <w:t xml:space="preserve"> </w:t>
      </w:r>
      <w:r w:rsidR="00C66569" w:rsidRPr="00EF6632">
        <w:rPr>
          <w:rFonts w:ascii="Arial" w:hAnsi="Arial" w:cs="Arial"/>
          <w:sz w:val="20"/>
        </w:rPr>
        <w:t xml:space="preserve">the </w:t>
      </w:r>
      <w:r>
        <w:rPr>
          <w:rFonts w:ascii="Arial" w:hAnsi="Arial" w:cs="Arial"/>
          <w:sz w:val="20"/>
        </w:rPr>
        <w:t>licensee</w:t>
      </w:r>
      <w:r w:rsidR="00C66569" w:rsidRPr="00EF6632">
        <w:rPr>
          <w:rFonts w:ascii="Arial" w:hAnsi="Arial" w:cs="Arial"/>
          <w:sz w:val="20"/>
        </w:rPr>
        <w:t xml:space="preserve"> provided a fair and impartial </w:t>
      </w:r>
      <w:r w:rsidR="00FF0801" w:rsidRPr="00EF6632">
        <w:rPr>
          <w:rFonts w:ascii="Arial" w:hAnsi="Arial" w:cs="Arial"/>
          <w:sz w:val="20"/>
        </w:rPr>
        <w:t xml:space="preserve">view </w:t>
      </w:r>
      <w:r w:rsidR="00C66569" w:rsidRPr="00EF6632">
        <w:rPr>
          <w:rFonts w:ascii="Arial" w:hAnsi="Arial" w:cs="Arial"/>
          <w:sz w:val="20"/>
        </w:rPr>
        <w:t>of</w:t>
      </w:r>
      <w:r w:rsidR="00EF6632" w:rsidRPr="00EF6632">
        <w:rPr>
          <w:rFonts w:ascii="Arial" w:hAnsi="Arial" w:cs="Arial"/>
          <w:sz w:val="20"/>
        </w:rPr>
        <w:t xml:space="preserve"> </w:t>
      </w:r>
      <w:r w:rsidR="00A71F99" w:rsidRPr="00EF6632">
        <w:rPr>
          <w:rFonts w:ascii="Arial" w:hAnsi="Arial" w:cs="Arial"/>
          <w:sz w:val="20"/>
        </w:rPr>
        <w:t>the issue</w:t>
      </w:r>
      <w:r w:rsidR="00C66569" w:rsidRPr="00EF6632">
        <w:rPr>
          <w:rFonts w:ascii="Arial" w:hAnsi="Arial" w:cs="Arial"/>
          <w:sz w:val="20"/>
        </w:rPr>
        <w:t>s, offering a range of perspectives from firearm owners</w:t>
      </w:r>
      <w:r>
        <w:rPr>
          <w:rFonts w:ascii="Arial" w:hAnsi="Arial" w:cs="Arial"/>
          <w:sz w:val="20"/>
        </w:rPr>
        <w:t xml:space="preserve"> and</w:t>
      </w:r>
      <w:r w:rsidR="00C66569" w:rsidRPr="00EF6632">
        <w:rPr>
          <w:rFonts w:ascii="Arial" w:hAnsi="Arial" w:cs="Arial"/>
          <w:sz w:val="20"/>
        </w:rPr>
        <w:t xml:space="preserve"> gun control advocates</w:t>
      </w:r>
      <w:r>
        <w:rPr>
          <w:rFonts w:ascii="Arial" w:hAnsi="Arial" w:cs="Arial"/>
          <w:sz w:val="20"/>
        </w:rPr>
        <w:t>.</w:t>
      </w:r>
      <w:r w:rsidR="00C66569" w:rsidRPr="00EF6632">
        <w:rPr>
          <w:rFonts w:ascii="Arial" w:hAnsi="Arial" w:cs="Arial"/>
          <w:sz w:val="20"/>
        </w:rPr>
        <w:t xml:space="preserve"> </w:t>
      </w:r>
    </w:p>
    <w:p w14:paraId="1287D0D5" w14:textId="56970B3E" w:rsidR="002E0F71" w:rsidRPr="00EF6632" w:rsidRDefault="002E0F71" w:rsidP="00151949">
      <w:pPr>
        <w:pStyle w:val="ACMABodyText"/>
        <w:rPr>
          <w:rFonts w:cs="Arial"/>
          <w:b/>
        </w:rPr>
      </w:pPr>
      <w:r w:rsidRPr="00EF6632">
        <w:rPr>
          <w:rFonts w:cs="Arial"/>
        </w:rPr>
        <w:t>Accordingly, the ACMA</w:t>
      </w:r>
      <w:r w:rsidR="006352E1">
        <w:rPr>
          <w:rFonts w:cs="Arial"/>
        </w:rPr>
        <w:t xml:space="preserve"> finds</w:t>
      </w:r>
      <w:r w:rsidRPr="00EF6632">
        <w:rPr>
          <w:rFonts w:cs="Arial"/>
        </w:rPr>
        <w:t xml:space="preserve"> that the licensee did not breach subclause 3.4.1(a) of the Code. </w:t>
      </w:r>
    </w:p>
    <w:p w14:paraId="132B949C" w14:textId="1151625E" w:rsidR="00942354" w:rsidRDefault="003529D8" w:rsidP="00151949">
      <w:pPr>
        <w:pStyle w:val="ACMAHeading2"/>
        <w:spacing w:after="240" w:line="240" w:lineRule="atLeast"/>
      </w:pPr>
      <w:r>
        <w:t>T</w:t>
      </w:r>
      <w:r w:rsidR="00942354" w:rsidRPr="009368A5">
        <w:t xml:space="preserve">he </w:t>
      </w:r>
      <w:r w:rsidR="00BE4BD9">
        <w:t>p</w:t>
      </w:r>
      <w:r w:rsidR="00942354" w:rsidRPr="009368A5">
        <w:t xml:space="preserve">rogram </w:t>
      </w:r>
      <w:r w:rsidR="00A5419A">
        <w:t>p</w:t>
      </w:r>
      <w:r w:rsidR="00942354" w:rsidRPr="009368A5">
        <w:t>romotion</w:t>
      </w:r>
    </w:p>
    <w:p w14:paraId="6209B1E8" w14:textId="4932826D" w:rsidR="000027FC" w:rsidRPr="00AC217A" w:rsidRDefault="001162F3" w:rsidP="003F3546">
      <w:pPr>
        <w:spacing w:before="0" w:line="240" w:lineRule="atLeast"/>
        <w:ind w:right="-202"/>
        <w:rPr>
          <w:iCs/>
          <w:lang w:eastAsia="en-AU"/>
        </w:rPr>
      </w:pPr>
      <w:r>
        <w:rPr>
          <w:rFonts w:cs="Arial"/>
          <w:i w:val="0"/>
          <w:szCs w:val="20"/>
          <w:lang w:eastAsia="en-AU"/>
        </w:rPr>
        <w:t>T</w:t>
      </w:r>
      <w:r w:rsidR="00980797">
        <w:rPr>
          <w:rFonts w:cs="Arial"/>
          <w:i w:val="0"/>
          <w:szCs w:val="20"/>
          <w:lang w:eastAsia="en-AU"/>
        </w:rPr>
        <w:t>he licensee</w:t>
      </w:r>
      <w:r>
        <w:rPr>
          <w:rFonts w:cs="Arial"/>
          <w:i w:val="0"/>
          <w:szCs w:val="20"/>
          <w:lang w:eastAsia="en-AU"/>
        </w:rPr>
        <w:t xml:space="preserve"> advised the ACMA that</w:t>
      </w:r>
      <w:r w:rsidR="00980797">
        <w:rPr>
          <w:rFonts w:cs="Arial"/>
          <w:i w:val="0"/>
          <w:szCs w:val="20"/>
          <w:lang w:eastAsia="en-AU"/>
        </w:rPr>
        <w:t xml:space="preserve"> </w:t>
      </w:r>
      <w:r w:rsidR="00440E92">
        <w:rPr>
          <w:rFonts w:cs="Arial"/>
          <w:i w:val="0"/>
          <w:szCs w:val="20"/>
          <w:lang w:eastAsia="en-AU"/>
        </w:rPr>
        <w:t xml:space="preserve">four separate </w:t>
      </w:r>
      <w:r w:rsidR="003D2A98">
        <w:rPr>
          <w:rFonts w:cs="Arial"/>
          <w:i w:val="0"/>
          <w:szCs w:val="20"/>
          <w:lang w:eastAsia="en-AU"/>
        </w:rPr>
        <w:t>p</w:t>
      </w:r>
      <w:r w:rsidR="00440E92">
        <w:rPr>
          <w:rFonts w:cs="Arial"/>
          <w:i w:val="0"/>
          <w:szCs w:val="20"/>
          <w:lang w:eastAsia="en-AU"/>
        </w:rPr>
        <w:t xml:space="preserve">rogram </w:t>
      </w:r>
      <w:r w:rsidR="003D2A98">
        <w:rPr>
          <w:rFonts w:cs="Arial"/>
          <w:i w:val="0"/>
          <w:szCs w:val="20"/>
          <w:lang w:eastAsia="en-AU"/>
        </w:rPr>
        <w:t>p</w:t>
      </w:r>
      <w:r w:rsidR="00440E92">
        <w:rPr>
          <w:rFonts w:cs="Arial"/>
          <w:i w:val="0"/>
          <w:szCs w:val="20"/>
          <w:lang w:eastAsia="en-AU"/>
        </w:rPr>
        <w:t xml:space="preserve">romotions </w:t>
      </w:r>
      <w:r w:rsidR="000C3FF8">
        <w:rPr>
          <w:rFonts w:cs="Arial"/>
          <w:i w:val="0"/>
          <w:szCs w:val="20"/>
          <w:lang w:eastAsia="en-AU"/>
        </w:rPr>
        <w:t xml:space="preserve">for </w:t>
      </w:r>
      <w:r w:rsidR="00AB38F1" w:rsidRPr="008055FC">
        <w:rPr>
          <w:rFonts w:cs="Arial"/>
          <w:iCs/>
          <w:szCs w:val="20"/>
          <w:lang w:eastAsia="en-AU"/>
        </w:rPr>
        <w:t>Nine News</w:t>
      </w:r>
      <w:r w:rsidR="00AB38F1">
        <w:rPr>
          <w:rFonts w:cs="Arial"/>
          <w:i w:val="0"/>
          <w:szCs w:val="20"/>
          <w:lang w:eastAsia="en-AU"/>
        </w:rPr>
        <w:t xml:space="preserve"> that </w:t>
      </w:r>
      <w:r w:rsidR="00A22E50">
        <w:rPr>
          <w:rFonts w:cs="Arial"/>
          <w:i w:val="0"/>
          <w:szCs w:val="20"/>
          <w:lang w:eastAsia="en-AU"/>
        </w:rPr>
        <w:t xml:space="preserve">referred to </w:t>
      </w:r>
      <w:r w:rsidR="000C3FF8">
        <w:rPr>
          <w:rFonts w:cs="Arial"/>
          <w:i w:val="0"/>
          <w:szCs w:val="20"/>
          <w:lang w:eastAsia="en-AU"/>
        </w:rPr>
        <w:t>the report were broadcast on 23 and 24 May 2019</w:t>
      </w:r>
      <w:r w:rsidR="00A11305">
        <w:rPr>
          <w:rFonts w:cs="Arial"/>
          <w:i w:val="0"/>
          <w:szCs w:val="20"/>
          <w:lang w:eastAsia="en-AU"/>
        </w:rPr>
        <w:t>.</w:t>
      </w:r>
      <w:r w:rsidR="00057826">
        <w:rPr>
          <w:rFonts w:cs="Arial"/>
          <w:i w:val="0"/>
          <w:szCs w:val="20"/>
          <w:lang w:eastAsia="en-AU"/>
        </w:rPr>
        <w:t xml:space="preserve"> </w:t>
      </w:r>
      <w:r w:rsidR="00057826" w:rsidRPr="003F3546">
        <w:rPr>
          <w:i w:val="0"/>
          <w:iCs/>
          <w:lang w:eastAsia="en-AU"/>
        </w:rPr>
        <w:t>T</w:t>
      </w:r>
      <w:r w:rsidR="00E2186C" w:rsidRPr="003F3546">
        <w:rPr>
          <w:i w:val="0"/>
          <w:iCs/>
          <w:lang w:eastAsia="en-AU"/>
        </w:rPr>
        <w:t>he</w:t>
      </w:r>
      <w:r w:rsidR="00847F39" w:rsidRPr="003F3546">
        <w:rPr>
          <w:i w:val="0"/>
          <w:iCs/>
          <w:lang w:eastAsia="en-AU"/>
        </w:rPr>
        <w:t xml:space="preserve"> ACMA </w:t>
      </w:r>
      <w:r w:rsidR="00A11305">
        <w:rPr>
          <w:i w:val="0"/>
          <w:iCs/>
          <w:lang w:eastAsia="en-AU"/>
        </w:rPr>
        <w:t xml:space="preserve">assessed </w:t>
      </w:r>
      <w:r w:rsidR="00F93681">
        <w:rPr>
          <w:i w:val="0"/>
          <w:iCs/>
          <w:lang w:eastAsia="en-AU"/>
        </w:rPr>
        <w:t xml:space="preserve">one </w:t>
      </w:r>
      <w:r w:rsidR="00A11305">
        <w:rPr>
          <w:i w:val="0"/>
          <w:iCs/>
          <w:lang w:eastAsia="en-AU"/>
        </w:rPr>
        <w:t xml:space="preserve">of those </w:t>
      </w:r>
      <w:r w:rsidR="00057826">
        <w:rPr>
          <w:i w:val="0"/>
          <w:iCs/>
          <w:lang w:eastAsia="en-AU"/>
        </w:rPr>
        <w:t xml:space="preserve">program </w:t>
      </w:r>
      <w:r w:rsidR="00285914" w:rsidRPr="003F3546">
        <w:rPr>
          <w:i w:val="0"/>
          <w:iCs/>
          <w:lang w:eastAsia="en-AU"/>
        </w:rPr>
        <w:t>promotion</w:t>
      </w:r>
      <w:r w:rsidR="00A11305">
        <w:rPr>
          <w:i w:val="0"/>
          <w:iCs/>
          <w:lang w:eastAsia="en-AU"/>
        </w:rPr>
        <w:t>s</w:t>
      </w:r>
      <w:r w:rsidR="0096544A">
        <w:rPr>
          <w:i w:val="0"/>
          <w:iCs/>
          <w:lang w:eastAsia="en-AU"/>
        </w:rPr>
        <w:t xml:space="preserve"> (the </w:t>
      </w:r>
      <w:r w:rsidR="0096544A" w:rsidRPr="008055FC">
        <w:rPr>
          <w:b/>
          <w:bCs/>
          <w:i w:val="0"/>
          <w:iCs/>
          <w:lang w:eastAsia="en-AU"/>
        </w:rPr>
        <w:t>promotion</w:t>
      </w:r>
      <w:r w:rsidR="0096544A">
        <w:rPr>
          <w:i w:val="0"/>
          <w:iCs/>
          <w:lang w:eastAsia="en-AU"/>
        </w:rPr>
        <w:t>)</w:t>
      </w:r>
      <w:r w:rsidR="00285914" w:rsidRPr="003F3546">
        <w:rPr>
          <w:i w:val="0"/>
          <w:iCs/>
          <w:lang w:eastAsia="en-AU"/>
        </w:rPr>
        <w:t xml:space="preserve"> </w:t>
      </w:r>
      <w:r w:rsidR="00057826" w:rsidRPr="003F3546">
        <w:rPr>
          <w:i w:val="0"/>
          <w:iCs/>
          <w:lang w:eastAsia="en-AU"/>
        </w:rPr>
        <w:t>that</w:t>
      </w:r>
      <w:r w:rsidR="00285914" w:rsidRPr="003F3546">
        <w:rPr>
          <w:i w:val="0"/>
          <w:iCs/>
          <w:lang w:eastAsia="en-AU"/>
        </w:rPr>
        <w:t xml:space="preserve"> </w:t>
      </w:r>
      <w:r w:rsidR="00510D30" w:rsidRPr="003F3546">
        <w:rPr>
          <w:i w:val="0"/>
          <w:iCs/>
          <w:lang w:eastAsia="en-AU"/>
        </w:rPr>
        <w:t>contain</w:t>
      </w:r>
      <w:r w:rsidR="00057826" w:rsidRPr="003F3546">
        <w:rPr>
          <w:i w:val="0"/>
          <w:iCs/>
          <w:lang w:eastAsia="en-AU"/>
        </w:rPr>
        <w:t>ed</w:t>
      </w:r>
      <w:r w:rsidR="00510D30" w:rsidRPr="003F3546">
        <w:rPr>
          <w:i w:val="0"/>
          <w:iCs/>
          <w:lang w:eastAsia="en-AU"/>
        </w:rPr>
        <w:t xml:space="preserve"> all the </w:t>
      </w:r>
      <w:r w:rsidR="00057826">
        <w:rPr>
          <w:i w:val="0"/>
          <w:iCs/>
          <w:lang w:eastAsia="en-AU"/>
        </w:rPr>
        <w:t>matters</w:t>
      </w:r>
      <w:r w:rsidR="00510D30" w:rsidRPr="003F3546">
        <w:rPr>
          <w:i w:val="0"/>
          <w:iCs/>
          <w:lang w:eastAsia="en-AU"/>
        </w:rPr>
        <w:t xml:space="preserve"> raised by the complainant.</w:t>
      </w:r>
      <w:r w:rsidR="00356923">
        <w:rPr>
          <w:i w:val="0"/>
          <w:iCs/>
          <w:lang w:eastAsia="en-AU"/>
        </w:rPr>
        <w:t xml:space="preserve"> The promotion is referred to in the licensee</w:t>
      </w:r>
      <w:r w:rsidR="00A11305">
        <w:rPr>
          <w:i w:val="0"/>
          <w:iCs/>
          <w:lang w:eastAsia="en-AU"/>
        </w:rPr>
        <w:t>’s</w:t>
      </w:r>
      <w:r w:rsidR="00356923">
        <w:rPr>
          <w:i w:val="0"/>
          <w:iCs/>
          <w:lang w:eastAsia="en-AU"/>
        </w:rPr>
        <w:t xml:space="preserve"> submissions as </w:t>
      </w:r>
      <w:r w:rsidR="00583E09">
        <w:rPr>
          <w:i w:val="0"/>
          <w:iCs/>
          <w:lang w:eastAsia="en-AU"/>
        </w:rPr>
        <w:t xml:space="preserve">promotion </w:t>
      </w:r>
      <w:r w:rsidR="00356923" w:rsidRPr="00A11305">
        <w:rPr>
          <w:i w:val="0"/>
          <w:iCs/>
        </w:rPr>
        <w:t xml:space="preserve">(b) </w:t>
      </w:r>
      <w:r w:rsidR="00583E09">
        <w:rPr>
          <w:i w:val="0"/>
          <w:iCs/>
        </w:rPr>
        <w:t xml:space="preserve">and was broadcast on </w:t>
      </w:r>
      <w:r w:rsidR="00356923" w:rsidRPr="00A11305">
        <w:rPr>
          <w:i w:val="0"/>
          <w:iCs/>
        </w:rPr>
        <w:t>23 May 2019 and on 24 May 2019</w:t>
      </w:r>
      <w:r w:rsidR="00356923">
        <w:rPr>
          <w:i w:val="0"/>
          <w:iCs/>
        </w:rPr>
        <w:t>.</w:t>
      </w:r>
    </w:p>
    <w:p w14:paraId="6D7FE1E1" w14:textId="568E002E" w:rsidR="004E1529" w:rsidRDefault="002C5E21" w:rsidP="00151949">
      <w:pPr>
        <w:pStyle w:val="ACMABodyText"/>
        <w:rPr>
          <w:lang w:eastAsia="en-AU"/>
        </w:rPr>
      </w:pPr>
      <w:r>
        <w:rPr>
          <w:lang w:eastAsia="en-AU"/>
        </w:rPr>
        <w:t>T</w:t>
      </w:r>
      <w:r w:rsidR="00B63BB6">
        <w:rPr>
          <w:lang w:eastAsia="en-AU"/>
        </w:rPr>
        <w:t xml:space="preserve">he </w:t>
      </w:r>
      <w:r w:rsidR="00F93681">
        <w:rPr>
          <w:lang w:eastAsia="en-AU"/>
        </w:rPr>
        <w:t>p</w:t>
      </w:r>
      <w:r w:rsidR="00A64623">
        <w:rPr>
          <w:lang w:eastAsia="en-AU"/>
        </w:rPr>
        <w:t>romotion r</w:t>
      </w:r>
      <w:r w:rsidR="00B546E5">
        <w:rPr>
          <w:lang w:eastAsia="en-AU"/>
        </w:rPr>
        <w:t>an</w:t>
      </w:r>
      <w:r w:rsidR="00A64623">
        <w:rPr>
          <w:lang w:eastAsia="en-AU"/>
        </w:rPr>
        <w:t xml:space="preserve"> for </w:t>
      </w:r>
      <w:r w:rsidR="00C813B1">
        <w:rPr>
          <w:lang w:eastAsia="en-AU"/>
        </w:rPr>
        <w:t>18 seconds</w:t>
      </w:r>
      <w:r>
        <w:rPr>
          <w:lang w:eastAsia="en-AU"/>
        </w:rPr>
        <w:t xml:space="preserve"> </w:t>
      </w:r>
      <w:r w:rsidR="001B23EA">
        <w:rPr>
          <w:lang w:eastAsia="en-AU"/>
        </w:rPr>
        <w:t xml:space="preserve">with </w:t>
      </w:r>
      <w:r>
        <w:rPr>
          <w:lang w:eastAsia="en-AU"/>
        </w:rPr>
        <w:t xml:space="preserve">approximately 12 seconds </w:t>
      </w:r>
      <w:r w:rsidR="001B23EA">
        <w:rPr>
          <w:lang w:eastAsia="en-AU"/>
        </w:rPr>
        <w:t>focussing on</w:t>
      </w:r>
      <w:r w:rsidR="00C813B1">
        <w:rPr>
          <w:lang w:eastAsia="en-AU"/>
        </w:rPr>
        <w:t xml:space="preserve"> the WT 15-01</w:t>
      </w:r>
      <w:r w:rsidR="00A11305">
        <w:rPr>
          <w:lang w:eastAsia="en-AU"/>
        </w:rPr>
        <w:t xml:space="preserve">. </w:t>
      </w:r>
      <w:r w:rsidR="00602EC7">
        <w:rPr>
          <w:lang w:eastAsia="en-AU"/>
        </w:rPr>
        <w:t>It</w:t>
      </w:r>
      <w:r w:rsidR="00A64623">
        <w:rPr>
          <w:lang w:eastAsia="en-AU"/>
        </w:rPr>
        <w:t xml:space="preserve"> </w:t>
      </w:r>
      <w:r w:rsidR="003F5708">
        <w:rPr>
          <w:lang w:eastAsia="en-AU"/>
        </w:rPr>
        <w:t>feature</w:t>
      </w:r>
      <w:r w:rsidR="00B546E5">
        <w:rPr>
          <w:lang w:eastAsia="en-AU"/>
        </w:rPr>
        <w:t>d</w:t>
      </w:r>
      <w:r w:rsidR="003F5708">
        <w:rPr>
          <w:lang w:eastAsia="en-AU"/>
        </w:rPr>
        <w:t xml:space="preserve"> </w:t>
      </w:r>
      <w:r w:rsidR="00057826">
        <w:rPr>
          <w:lang w:eastAsia="en-AU"/>
        </w:rPr>
        <w:t xml:space="preserve">video </w:t>
      </w:r>
      <w:r w:rsidR="003F5708">
        <w:rPr>
          <w:lang w:eastAsia="en-AU"/>
        </w:rPr>
        <w:t xml:space="preserve">footage of a man holding a </w:t>
      </w:r>
      <w:r w:rsidR="00FA0359">
        <w:rPr>
          <w:lang w:eastAsia="en-AU"/>
        </w:rPr>
        <w:t>firearm</w:t>
      </w:r>
      <w:r w:rsidR="00F93681">
        <w:rPr>
          <w:lang w:eastAsia="en-AU"/>
        </w:rPr>
        <w:t>,</w:t>
      </w:r>
      <w:r w:rsidR="00057826">
        <w:rPr>
          <w:lang w:eastAsia="en-AU"/>
        </w:rPr>
        <w:t xml:space="preserve"> </w:t>
      </w:r>
      <w:r w:rsidR="00FA0359">
        <w:rPr>
          <w:lang w:eastAsia="en-AU"/>
        </w:rPr>
        <w:t xml:space="preserve">four </w:t>
      </w:r>
      <w:r w:rsidR="00196617">
        <w:rPr>
          <w:lang w:eastAsia="en-AU"/>
        </w:rPr>
        <w:t xml:space="preserve">separate </w:t>
      </w:r>
      <w:r w:rsidR="00D35A07">
        <w:rPr>
          <w:lang w:eastAsia="en-AU"/>
        </w:rPr>
        <w:t>men</w:t>
      </w:r>
      <w:r w:rsidR="00196617">
        <w:rPr>
          <w:lang w:eastAsia="en-AU"/>
        </w:rPr>
        <w:t xml:space="preserve"> </w:t>
      </w:r>
      <w:r w:rsidR="00E25916">
        <w:rPr>
          <w:lang w:eastAsia="en-AU"/>
        </w:rPr>
        <w:t>shooting</w:t>
      </w:r>
      <w:r w:rsidR="00196617">
        <w:rPr>
          <w:lang w:eastAsia="en-AU"/>
        </w:rPr>
        <w:t xml:space="preserve"> firearms</w:t>
      </w:r>
      <w:r w:rsidR="00F93681">
        <w:rPr>
          <w:lang w:eastAsia="en-AU"/>
        </w:rPr>
        <w:t>,</w:t>
      </w:r>
      <w:r w:rsidR="00196617">
        <w:rPr>
          <w:lang w:eastAsia="en-AU"/>
        </w:rPr>
        <w:t xml:space="preserve"> </w:t>
      </w:r>
      <w:r w:rsidR="00294983" w:rsidRPr="00294983">
        <w:rPr>
          <w:lang w:eastAsia="en-AU"/>
        </w:rPr>
        <w:t xml:space="preserve">and an </w:t>
      </w:r>
      <w:r w:rsidR="00F93681">
        <w:rPr>
          <w:lang w:eastAsia="en-AU"/>
        </w:rPr>
        <w:t>animated sequence</w:t>
      </w:r>
      <w:r w:rsidR="00294983" w:rsidRPr="00294983">
        <w:rPr>
          <w:lang w:eastAsia="en-AU"/>
        </w:rPr>
        <w:t xml:space="preserve"> illustrating how the WT 15-01 fires</w:t>
      </w:r>
      <w:r w:rsidR="00705417">
        <w:rPr>
          <w:lang w:eastAsia="en-AU"/>
        </w:rPr>
        <w:t xml:space="preserve">. </w:t>
      </w:r>
      <w:r w:rsidR="00F93681">
        <w:rPr>
          <w:lang w:eastAsia="en-AU"/>
        </w:rPr>
        <w:t>A</w:t>
      </w:r>
      <w:r w:rsidR="00705417">
        <w:rPr>
          <w:lang w:eastAsia="en-AU"/>
        </w:rPr>
        <w:t xml:space="preserve"> </w:t>
      </w:r>
      <w:r w:rsidR="00F93681">
        <w:rPr>
          <w:lang w:eastAsia="en-AU"/>
        </w:rPr>
        <w:t xml:space="preserve">voice-over </w:t>
      </w:r>
      <w:r w:rsidR="00F117D7">
        <w:rPr>
          <w:lang w:eastAsia="en-AU"/>
        </w:rPr>
        <w:t>state</w:t>
      </w:r>
      <w:r w:rsidR="00B546E5">
        <w:rPr>
          <w:lang w:eastAsia="en-AU"/>
        </w:rPr>
        <w:t>d</w:t>
      </w:r>
      <w:r w:rsidR="00F117D7">
        <w:rPr>
          <w:lang w:eastAsia="en-AU"/>
        </w:rPr>
        <w:t>:</w:t>
      </w:r>
    </w:p>
    <w:p w14:paraId="07C78B43" w14:textId="680D6989" w:rsidR="00F117D7" w:rsidRDefault="00F33C1C" w:rsidP="00151949">
      <w:pPr>
        <w:pStyle w:val="ACMABodyText"/>
        <w:ind w:left="720"/>
        <w:rPr>
          <w:sz w:val="18"/>
          <w:szCs w:val="18"/>
          <w:lang w:eastAsia="en-AU"/>
        </w:rPr>
      </w:pPr>
      <w:r>
        <w:rPr>
          <w:sz w:val="18"/>
          <w:szCs w:val="18"/>
          <w:lang w:eastAsia="en-AU"/>
        </w:rPr>
        <w:t xml:space="preserve">It looks like a machine </w:t>
      </w:r>
      <w:r w:rsidR="00361994">
        <w:rPr>
          <w:sz w:val="18"/>
          <w:szCs w:val="18"/>
          <w:lang w:eastAsia="en-AU"/>
        </w:rPr>
        <w:t>gun;</w:t>
      </w:r>
      <w:r>
        <w:rPr>
          <w:sz w:val="18"/>
          <w:szCs w:val="18"/>
          <w:lang w:eastAsia="en-AU"/>
        </w:rPr>
        <w:t xml:space="preserve"> it </w:t>
      </w:r>
      <w:r w:rsidR="00AD2795">
        <w:rPr>
          <w:sz w:val="18"/>
          <w:szCs w:val="18"/>
          <w:lang w:eastAsia="en-AU"/>
        </w:rPr>
        <w:t>shoots</w:t>
      </w:r>
      <w:r>
        <w:rPr>
          <w:sz w:val="18"/>
          <w:szCs w:val="18"/>
          <w:lang w:eastAsia="en-AU"/>
        </w:rPr>
        <w:t xml:space="preserve"> like a machine </w:t>
      </w:r>
      <w:r w:rsidR="00357ADD">
        <w:rPr>
          <w:sz w:val="18"/>
          <w:szCs w:val="18"/>
          <w:lang w:eastAsia="en-AU"/>
        </w:rPr>
        <w:t>gun;</w:t>
      </w:r>
      <w:r w:rsidR="00424658">
        <w:rPr>
          <w:sz w:val="18"/>
          <w:szCs w:val="18"/>
          <w:lang w:eastAsia="en-AU"/>
        </w:rPr>
        <w:t xml:space="preserve"> </w:t>
      </w:r>
      <w:r w:rsidR="00361994">
        <w:rPr>
          <w:sz w:val="18"/>
          <w:szCs w:val="18"/>
          <w:lang w:eastAsia="en-AU"/>
        </w:rPr>
        <w:t>it kills like a machine gun</w:t>
      </w:r>
      <w:r w:rsidR="00610086">
        <w:rPr>
          <w:sz w:val="18"/>
          <w:szCs w:val="18"/>
          <w:lang w:eastAsia="en-AU"/>
        </w:rPr>
        <w:t xml:space="preserve"> and Queenslanders can own one. </w:t>
      </w:r>
      <w:r w:rsidR="00361994">
        <w:rPr>
          <w:sz w:val="18"/>
          <w:szCs w:val="18"/>
          <w:lang w:eastAsia="en-AU"/>
        </w:rPr>
        <w:t xml:space="preserve">Why is this murder weapon available </w:t>
      </w:r>
      <w:r w:rsidR="00424658">
        <w:rPr>
          <w:sz w:val="18"/>
          <w:szCs w:val="18"/>
          <w:lang w:eastAsia="en-AU"/>
        </w:rPr>
        <w:t>in</w:t>
      </w:r>
      <w:r w:rsidR="00361994">
        <w:rPr>
          <w:sz w:val="18"/>
          <w:szCs w:val="18"/>
          <w:lang w:eastAsia="en-AU"/>
        </w:rPr>
        <w:t xml:space="preserve"> Queensland?</w:t>
      </w:r>
    </w:p>
    <w:p w14:paraId="1E65890A" w14:textId="3F164F8B" w:rsidR="0044080F" w:rsidRPr="0044080F" w:rsidRDefault="00A11305" w:rsidP="00583E09">
      <w:pPr>
        <w:pStyle w:val="ACMABodyText"/>
        <w:spacing w:after="120"/>
      </w:pPr>
      <w:r>
        <w:t>On-screen c</w:t>
      </w:r>
      <w:r w:rsidR="0044080F" w:rsidRPr="0044080F">
        <w:t>aption</w:t>
      </w:r>
      <w:r w:rsidR="0044080F">
        <w:t>s</w:t>
      </w:r>
      <w:r w:rsidR="0044080F" w:rsidRPr="0044080F">
        <w:t xml:space="preserve"> read:</w:t>
      </w:r>
    </w:p>
    <w:p w14:paraId="13DE88E5" w14:textId="6BDE951D" w:rsidR="0044795E" w:rsidRDefault="00255E33" w:rsidP="00AD4904">
      <w:pPr>
        <w:pStyle w:val="ACMABodyText"/>
        <w:spacing w:after="120"/>
        <w:ind w:left="720"/>
        <w:rPr>
          <w:sz w:val="18"/>
          <w:szCs w:val="18"/>
        </w:rPr>
      </w:pPr>
      <w:r>
        <w:rPr>
          <w:sz w:val="18"/>
          <w:szCs w:val="18"/>
        </w:rPr>
        <w:t>Looks like a machine gun</w:t>
      </w:r>
    </w:p>
    <w:p w14:paraId="550B6761" w14:textId="4369C097" w:rsidR="001C337A" w:rsidRDefault="001C337A" w:rsidP="00AD4904">
      <w:pPr>
        <w:pStyle w:val="ACMABodyText"/>
        <w:spacing w:after="120"/>
        <w:ind w:left="720"/>
        <w:rPr>
          <w:sz w:val="18"/>
          <w:szCs w:val="18"/>
        </w:rPr>
      </w:pPr>
      <w:r>
        <w:rPr>
          <w:sz w:val="18"/>
          <w:szCs w:val="18"/>
        </w:rPr>
        <w:t>Shoots like a machine gun</w:t>
      </w:r>
    </w:p>
    <w:p w14:paraId="4B0E33BA" w14:textId="6291F9EE" w:rsidR="001C337A" w:rsidRDefault="001C337A" w:rsidP="00AD4904">
      <w:pPr>
        <w:pStyle w:val="ACMABodyText"/>
        <w:spacing w:after="120"/>
        <w:ind w:left="720"/>
        <w:rPr>
          <w:sz w:val="18"/>
          <w:szCs w:val="18"/>
        </w:rPr>
      </w:pPr>
      <w:r>
        <w:rPr>
          <w:sz w:val="18"/>
          <w:szCs w:val="18"/>
        </w:rPr>
        <w:t>Kills like a machine gun</w:t>
      </w:r>
    </w:p>
    <w:p w14:paraId="152E006C" w14:textId="2C9D22A8" w:rsidR="006156EF" w:rsidRDefault="006156EF" w:rsidP="00AD4904">
      <w:pPr>
        <w:pStyle w:val="ACMABodyText"/>
        <w:spacing w:after="120"/>
        <w:ind w:left="720"/>
        <w:rPr>
          <w:sz w:val="18"/>
          <w:szCs w:val="18"/>
        </w:rPr>
      </w:pPr>
      <w:r>
        <w:rPr>
          <w:sz w:val="18"/>
          <w:szCs w:val="18"/>
        </w:rPr>
        <w:t>Queenslanders can own one</w:t>
      </w:r>
    </w:p>
    <w:p w14:paraId="499D2972" w14:textId="557A2741" w:rsidR="0062580D" w:rsidRDefault="00670D0E" w:rsidP="0062580D">
      <w:pPr>
        <w:pStyle w:val="ACMABodyText"/>
        <w:spacing w:before="240"/>
        <w:rPr>
          <w:rFonts w:cs="Arial"/>
          <w:b/>
          <w:bCs/>
          <w:sz w:val="28"/>
          <w:szCs w:val="28"/>
        </w:rPr>
      </w:pPr>
      <w:r w:rsidRPr="00DB31AF">
        <w:rPr>
          <w:b/>
          <w:bCs/>
          <w:sz w:val="28"/>
          <w:szCs w:val="28"/>
        </w:rPr>
        <w:t>Issue 3:</w:t>
      </w:r>
      <w:r w:rsidRPr="00DB31AF">
        <w:rPr>
          <w:b/>
          <w:bCs/>
        </w:rPr>
        <w:t xml:space="preserve"> </w:t>
      </w:r>
      <w:r w:rsidR="0062580D" w:rsidRPr="00DB31AF">
        <w:rPr>
          <w:rFonts w:cs="Arial"/>
          <w:b/>
          <w:bCs/>
          <w:sz w:val="28"/>
          <w:szCs w:val="28"/>
        </w:rPr>
        <w:t>Accuracy</w:t>
      </w:r>
      <w:r w:rsidRPr="00DB31AF">
        <w:rPr>
          <w:rFonts w:cs="Arial"/>
          <w:b/>
          <w:bCs/>
          <w:sz w:val="28"/>
          <w:szCs w:val="28"/>
        </w:rPr>
        <w:t xml:space="preserve"> of the </w:t>
      </w:r>
      <w:r w:rsidR="00F93681">
        <w:rPr>
          <w:rFonts w:cs="Arial"/>
          <w:b/>
          <w:bCs/>
          <w:sz w:val="28"/>
          <w:szCs w:val="28"/>
        </w:rPr>
        <w:t>p</w:t>
      </w:r>
      <w:r w:rsidRPr="00DB31AF">
        <w:rPr>
          <w:rFonts w:cs="Arial"/>
          <w:b/>
          <w:bCs/>
          <w:sz w:val="28"/>
          <w:szCs w:val="28"/>
        </w:rPr>
        <w:t>romotion</w:t>
      </w:r>
    </w:p>
    <w:p w14:paraId="55A60DF0" w14:textId="1755F578" w:rsidR="00E368C5" w:rsidRPr="009368A5" w:rsidRDefault="006352E1" w:rsidP="00E368C5">
      <w:pPr>
        <w:pStyle w:val="ACMAHeading2"/>
        <w:spacing w:before="0" w:after="240" w:line="240" w:lineRule="atLeast"/>
      </w:pPr>
      <w:r>
        <w:t>F</w:t>
      </w:r>
      <w:r w:rsidR="00E368C5" w:rsidRPr="009368A5">
        <w:t>inding</w:t>
      </w:r>
    </w:p>
    <w:p w14:paraId="5E71A260" w14:textId="429C327E" w:rsidR="00E368C5" w:rsidRDefault="00E368C5" w:rsidP="00E368C5">
      <w:pPr>
        <w:pStyle w:val="ACMABodyText"/>
      </w:pPr>
      <w:r w:rsidRPr="009368A5">
        <w:t xml:space="preserve">The </w:t>
      </w:r>
      <w:r w:rsidRPr="003A12C4">
        <w:t>ACMA find</w:t>
      </w:r>
      <w:r w:rsidR="006352E1">
        <w:t>s</w:t>
      </w:r>
      <w:r w:rsidRPr="003A12C4">
        <w:t xml:space="preserve"> </w:t>
      </w:r>
      <w:r>
        <w:t xml:space="preserve">that the </w:t>
      </w:r>
      <w:r w:rsidRPr="009368A5">
        <w:t>licensee breach</w:t>
      </w:r>
      <w:r>
        <w:t>ed</w:t>
      </w:r>
      <w:r w:rsidRPr="009368A5">
        <w:t xml:space="preserve"> clause 3.</w:t>
      </w:r>
      <w:r w:rsidR="003B1860">
        <w:t>3</w:t>
      </w:r>
      <w:r w:rsidR="009954EF">
        <w:t>.1</w:t>
      </w:r>
      <w:r w:rsidR="003B1860" w:rsidRPr="009368A5">
        <w:t xml:space="preserve"> </w:t>
      </w:r>
      <w:r w:rsidR="004036DD">
        <w:t>by pr</w:t>
      </w:r>
      <w:r w:rsidR="00F82AE6">
        <w:t xml:space="preserve">esenting material facts inaccurately in the </w:t>
      </w:r>
      <w:r w:rsidR="00F93681">
        <w:t>p</w:t>
      </w:r>
      <w:r w:rsidR="00F82AE6">
        <w:t>romotion</w:t>
      </w:r>
      <w:r>
        <w:t>.</w:t>
      </w:r>
    </w:p>
    <w:p w14:paraId="2D4BC51E" w14:textId="77777777" w:rsidR="0062580D" w:rsidRPr="009368A5" w:rsidRDefault="0062580D" w:rsidP="0062580D">
      <w:pPr>
        <w:pStyle w:val="ACMAHeading2"/>
        <w:spacing w:before="0" w:after="240" w:line="240" w:lineRule="atLeast"/>
      </w:pPr>
      <w:r w:rsidRPr="009368A5">
        <w:t>Reasons</w:t>
      </w:r>
    </w:p>
    <w:p w14:paraId="38AA2BAA" w14:textId="03F368F1" w:rsidR="00942354" w:rsidRPr="009368A5" w:rsidRDefault="008E13FB" w:rsidP="00151949">
      <w:pPr>
        <w:spacing w:before="240" w:line="240" w:lineRule="atLeast"/>
        <w:ind w:right="-204"/>
        <w:rPr>
          <w:rFonts w:cs="Arial"/>
          <w:i w:val="0"/>
          <w:szCs w:val="20"/>
          <w:lang w:eastAsia="en-AU"/>
        </w:rPr>
      </w:pPr>
      <w:r w:rsidRPr="008B5948">
        <w:rPr>
          <w:i w:val="0"/>
        </w:rPr>
        <w:t>Clause 3.6</w:t>
      </w:r>
      <w:r w:rsidR="00FF004D">
        <w:rPr>
          <w:i w:val="0"/>
        </w:rPr>
        <w:t>.1</w:t>
      </w:r>
      <w:r w:rsidRPr="008B5948">
        <w:rPr>
          <w:i w:val="0"/>
        </w:rPr>
        <w:t xml:space="preserve"> applies clause 3 to program promotions for news </w:t>
      </w:r>
      <w:r w:rsidR="00D64886">
        <w:rPr>
          <w:i w:val="0"/>
        </w:rPr>
        <w:t>and</w:t>
      </w:r>
      <w:r w:rsidRPr="008B5948">
        <w:rPr>
          <w:i w:val="0"/>
        </w:rPr>
        <w:t xml:space="preserve"> current affairs program</w:t>
      </w:r>
      <w:r w:rsidR="00D64886">
        <w:rPr>
          <w:i w:val="0"/>
        </w:rPr>
        <w:t>s</w:t>
      </w:r>
      <w:r w:rsidRPr="008B5948">
        <w:rPr>
          <w:i w:val="0"/>
        </w:rPr>
        <w:t xml:space="preserve">, so far as compliance with the </w:t>
      </w:r>
      <w:r w:rsidR="00D64886">
        <w:rPr>
          <w:i w:val="0"/>
        </w:rPr>
        <w:t>substantive</w:t>
      </w:r>
      <w:r w:rsidRPr="008B5948">
        <w:rPr>
          <w:i w:val="0"/>
        </w:rPr>
        <w:t xml:space="preserve"> provision is reasona</w:t>
      </w:r>
      <w:r w:rsidR="000E5B87" w:rsidRPr="008B5948">
        <w:rPr>
          <w:i w:val="0"/>
        </w:rPr>
        <w:t>ble, and</w:t>
      </w:r>
      <w:r w:rsidR="00CF6422">
        <w:rPr>
          <w:i w:val="0"/>
        </w:rPr>
        <w:t xml:space="preserve"> also</w:t>
      </w:r>
      <w:r w:rsidR="000E5B87" w:rsidRPr="008B5948">
        <w:rPr>
          <w:i w:val="0"/>
        </w:rPr>
        <w:t xml:space="preserve"> having </w:t>
      </w:r>
      <w:r w:rsidR="00CF6422">
        <w:rPr>
          <w:i w:val="0"/>
        </w:rPr>
        <w:t>regard</w:t>
      </w:r>
      <w:r w:rsidR="000E5B87" w:rsidRPr="008B5948">
        <w:rPr>
          <w:i w:val="0"/>
        </w:rPr>
        <w:t xml:space="preserve"> to the brevity</w:t>
      </w:r>
      <w:r w:rsidR="006E48B6">
        <w:rPr>
          <w:i w:val="0"/>
        </w:rPr>
        <w:t xml:space="preserve"> of the </w:t>
      </w:r>
      <w:r w:rsidR="009D2C9A">
        <w:rPr>
          <w:i w:val="0"/>
        </w:rPr>
        <w:t>pr</w:t>
      </w:r>
      <w:r w:rsidR="000A6A67">
        <w:rPr>
          <w:i w:val="0"/>
        </w:rPr>
        <w:t xml:space="preserve">omotion.  </w:t>
      </w:r>
      <w:r w:rsidR="008B5948">
        <w:rPr>
          <w:i w:val="0"/>
        </w:rPr>
        <w:t>Accordingly,</w:t>
      </w:r>
      <w:r w:rsidR="00D64886">
        <w:rPr>
          <w:i w:val="0"/>
        </w:rPr>
        <w:t xml:space="preserve"> c</w:t>
      </w:r>
      <w:r w:rsidR="00143A10">
        <w:rPr>
          <w:i w:val="0"/>
        </w:rPr>
        <w:t>lause 3.3</w:t>
      </w:r>
      <w:r w:rsidR="00182CF7">
        <w:rPr>
          <w:i w:val="0"/>
        </w:rPr>
        <w:t>.1</w:t>
      </w:r>
      <w:r w:rsidR="00D64886">
        <w:rPr>
          <w:i w:val="0"/>
        </w:rPr>
        <w:t>,</w:t>
      </w:r>
      <w:r w:rsidR="00143A10">
        <w:rPr>
          <w:i w:val="0"/>
        </w:rPr>
        <w:t xml:space="preserve"> </w:t>
      </w:r>
      <w:r w:rsidR="00D64886">
        <w:rPr>
          <w:i w:val="0"/>
        </w:rPr>
        <w:t xml:space="preserve">which </w:t>
      </w:r>
      <w:r w:rsidR="00143A10">
        <w:rPr>
          <w:i w:val="0"/>
        </w:rPr>
        <w:t>sets out the requirements in relation to accura</w:t>
      </w:r>
      <w:r w:rsidR="00CF6422">
        <w:rPr>
          <w:i w:val="0"/>
        </w:rPr>
        <w:t>cy</w:t>
      </w:r>
      <w:r w:rsidR="00D64886">
        <w:rPr>
          <w:i w:val="0"/>
        </w:rPr>
        <w:t>, will apply to the promotion subject to clause 3.6.1</w:t>
      </w:r>
      <w:r w:rsidR="0094432C">
        <w:rPr>
          <w:i w:val="0"/>
        </w:rPr>
        <w:t>.</w:t>
      </w:r>
      <w:r w:rsidR="000A6A67">
        <w:rPr>
          <w:i w:val="0"/>
        </w:rPr>
        <w:t xml:space="preserve"> </w:t>
      </w:r>
      <w:r w:rsidR="00F93681" w:rsidRPr="006E48B6">
        <w:rPr>
          <w:rFonts w:cs="Arial"/>
          <w:i w:val="0"/>
          <w:szCs w:val="20"/>
          <w:lang w:eastAsia="en-AU"/>
        </w:rPr>
        <w:t>T</w:t>
      </w:r>
      <w:r w:rsidR="00942354" w:rsidRPr="006E48B6">
        <w:rPr>
          <w:rFonts w:cs="Arial"/>
          <w:i w:val="0"/>
          <w:szCs w:val="20"/>
          <w:lang w:eastAsia="en-AU"/>
        </w:rPr>
        <w:t xml:space="preserve">o assess </w:t>
      </w:r>
      <w:r w:rsidR="00F93681" w:rsidRPr="006E48B6">
        <w:rPr>
          <w:rFonts w:cs="Arial"/>
          <w:i w:val="0"/>
          <w:szCs w:val="20"/>
          <w:lang w:eastAsia="en-AU"/>
        </w:rPr>
        <w:t>the accuracy</w:t>
      </w:r>
      <w:r w:rsidR="00F93681">
        <w:rPr>
          <w:rFonts w:cs="Arial"/>
          <w:i w:val="0"/>
          <w:szCs w:val="20"/>
          <w:lang w:eastAsia="en-AU"/>
        </w:rPr>
        <w:t xml:space="preserve"> of a </w:t>
      </w:r>
      <w:r w:rsidR="00B576BB">
        <w:rPr>
          <w:rFonts w:cs="Arial"/>
          <w:i w:val="0"/>
          <w:szCs w:val="20"/>
          <w:lang w:eastAsia="en-AU"/>
        </w:rPr>
        <w:t xml:space="preserve">promotion </w:t>
      </w:r>
      <w:r w:rsidR="00F93681">
        <w:rPr>
          <w:rFonts w:cs="Arial"/>
          <w:i w:val="0"/>
          <w:szCs w:val="20"/>
          <w:lang w:eastAsia="en-AU"/>
        </w:rPr>
        <w:t xml:space="preserve">under </w:t>
      </w:r>
      <w:r w:rsidR="00942354" w:rsidRPr="009368A5">
        <w:rPr>
          <w:rFonts w:cs="Arial"/>
          <w:i w:val="0"/>
          <w:szCs w:val="20"/>
          <w:lang w:eastAsia="en-AU"/>
        </w:rPr>
        <w:t>clause 3</w:t>
      </w:r>
      <w:r w:rsidR="00A932C1">
        <w:rPr>
          <w:rFonts w:cs="Arial"/>
          <w:i w:val="0"/>
          <w:szCs w:val="20"/>
          <w:lang w:eastAsia="en-AU"/>
        </w:rPr>
        <w:t>.</w:t>
      </w:r>
      <w:r w:rsidR="0094432C">
        <w:rPr>
          <w:rFonts w:cs="Arial"/>
          <w:i w:val="0"/>
          <w:szCs w:val="20"/>
          <w:lang w:eastAsia="en-AU"/>
        </w:rPr>
        <w:t>3</w:t>
      </w:r>
      <w:r w:rsidR="005626DB">
        <w:rPr>
          <w:rFonts w:cs="Arial"/>
          <w:i w:val="0"/>
          <w:szCs w:val="20"/>
          <w:lang w:eastAsia="en-AU"/>
        </w:rPr>
        <w:t>.1</w:t>
      </w:r>
      <w:r w:rsidR="00942354" w:rsidRPr="009368A5">
        <w:rPr>
          <w:rFonts w:cs="Arial"/>
          <w:i w:val="0"/>
          <w:szCs w:val="20"/>
          <w:lang w:eastAsia="en-AU"/>
        </w:rPr>
        <w:t xml:space="preserve">, the ACMA </w:t>
      </w:r>
      <w:r w:rsidR="00785365">
        <w:rPr>
          <w:rFonts w:cs="Arial"/>
          <w:i w:val="0"/>
          <w:szCs w:val="20"/>
          <w:lang w:eastAsia="en-AU"/>
        </w:rPr>
        <w:t>considers</w:t>
      </w:r>
      <w:r w:rsidR="00942354" w:rsidRPr="009368A5">
        <w:rPr>
          <w:rFonts w:cs="Arial"/>
          <w:i w:val="0"/>
          <w:szCs w:val="20"/>
          <w:lang w:eastAsia="en-AU"/>
        </w:rPr>
        <w:t xml:space="preserve">: </w:t>
      </w:r>
    </w:p>
    <w:p w14:paraId="7359F78A" w14:textId="77777777" w:rsidR="00942354" w:rsidRPr="009368A5" w:rsidRDefault="00942354" w:rsidP="00D66FD7">
      <w:pPr>
        <w:pStyle w:val="ACMABodyText"/>
        <w:numPr>
          <w:ilvl w:val="0"/>
          <w:numId w:val="20"/>
        </w:numPr>
        <w:ind w:left="924" w:hanging="357"/>
        <w:rPr>
          <w:rFonts w:cs="Arial"/>
          <w:lang w:eastAsia="en-AU"/>
        </w:rPr>
      </w:pPr>
      <w:r w:rsidRPr="009368A5">
        <w:rPr>
          <w:rFonts w:cs="Arial"/>
          <w:lang w:eastAsia="en-AU"/>
        </w:rPr>
        <w:lastRenderedPageBreak/>
        <w:t xml:space="preserve">What </w:t>
      </w:r>
      <w:r w:rsidRPr="009368A5">
        <w:t xml:space="preserve">did </w:t>
      </w:r>
      <w:r w:rsidRPr="009368A5">
        <w:rPr>
          <w:rFonts w:cs="Arial"/>
          <w:lang w:eastAsia="en-AU"/>
        </w:rPr>
        <w:t xml:space="preserve">the material convey to the ordinary reasonable viewer? </w:t>
      </w:r>
    </w:p>
    <w:p w14:paraId="5D7A60B8" w14:textId="2FB5A7A3" w:rsidR="00942354" w:rsidRDefault="00942354" w:rsidP="00D66FD7">
      <w:pPr>
        <w:pStyle w:val="ACMABodyText"/>
        <w:numPr>
          <w:ilvl w:val="0"/>
          <w:numId w:val="20"/>
        </w:numPr>
        <w:ind w:left="924" w:hanging="357"/>
        <w:rPr>
          <w:rFonts w:cs="Arial"/>
          <w:lang w:eastAsia="en-AU"/>
        </w:rPr>
      </w:pPr>
      <w:r w:rsidRPr="009368A5">
        <w:rPr>
          <w:rFonts w:cs="Arial"/>
          <w:lang w:eastAsia="en-AU"/>
        </w:rPr>
        <w:t xml:space="preserve">Was the material factual in character? </w:t>
      </w:r>
    </w:p>
    <w:p w14:paraId="66ECF3DA" w14:textId="3E1C1E26" w:rsidR="0005479B" w:rsidRPr="008B5948" w:rsidRDefault="0005479B" w:rsidP="00D66FD7">
      <w:pPr>
        <w:pStyle w:val="ACMABodyText"/>
        <w:numPr>
          <w:ilvl w:val="0"/>
          <w:numId w:val="20"/>
        </w:numPr>
        <w:ind w:left="924" w:hanging="357"/>
        <w:rPr>
          <w:rFonts w:cs="Arial"/>
          <w:lang w:eastAsia="en-AU"/>
        </w:rPr>
      </w:pPr>
      <w:r>
        <w:t xml:space="preserve">If so, </w:t>
      </w:r>
      <w:bookmarkStart w:id="7" w:name="_Hlk26955735"/>
      <w:r>
        <w:t>did it convey a material fact or facts in the context of the promotion?</w:t>
      </w:r>
      <w:bookmarkEnd w:id="7"/>
    </w:p>
    <w:p w14:paraId="57BD5DDD" w14:textId="2C3B2B8E" w:rsidR="00421996" w:rsidRPr="008B5948" w:rsidRDefault="00421996" w:rsidP="00D66FD7">
      <w:pPr>
        <w:pStyle w:val="ACMABodyText"/>
        <w:numPr>
          <w:ilvl w:val="0"/>
          <w:numId w:val="20"/>
        </w:numPr>
        <w:ind w:left="924" w:hanging="357"/>
        <w:rPr>
          <w:rFonts w:cs="Arial"/>
          <w:lang w:eastAsia="en-AU"/>
        </w:rPr>
      </w:pPr>
      <w:r w:rsidRPr="009368A5">
        <w:rPr>
          <w:rFonts w:cs="Arial"/>
          <w:lang w:eastAsia="en-AU"/>
        </w:rPr>
        <w:t xml:space="preserve">If </w:t>
      </w:r>
      <w:r w:rsidR="008B5948" w:rsidRPr="009368A5">
        <w:rPr>
          <w:rFonts w:cs="Arial"/>
          <w:lang w:eastAsia="en-AU"/>
        </w:rPr>
        <w:t>so,</w:t>
      </w:r>
      <w:r w:rsidRPr="00F93681">
        <w:t xml:space="preserve"> </w:t>
      </w:r>
      <w:r w:rsidRPr="009368A5">
        <w:t>was</w:t>
      </w:r>
      <w:r w:rsidRPr="009368A5">
        <w:rPr>
          <w:rFonts w:cs="Arial"/>
          <w:lang w:eastAsia="en-AU"/>
        </w:rPr>
        <w:t xml:space="preserve"> the factual material accurate</w:t>
      </w:r>
      <w:r>
        <w:rPr>
          <w:rFonts w:cs="Arial"/>
          <w:lang w:eastAsia="en-AU"/>
        </w:rPr>
        <w:t>?</w:t>
      </w:r>
    </w:p>
    <w:p w14:paraId="2942C7EE" w14:textId="413DCF4D" w:rsidR="0094432C" w:rsidRPr="009368A5" w:rsidRDefault="00307A46" w:rsidP="008B5948">
      <w:pPr>
        <w:pStyle w:val="ACMABodyText"/>
        <w:rPr>
          <w:rFonts w:cs="Arial"/>
          <w:lang w:eastAsia="en-AU"/>
        </w:rPr>
      </w:pPr>
      <w:r>
        <w:t>If the material is material that would breach cl</w:t>
      </w:r>
      <w:r w:rsidR="00DE3C0C">
        <w:t>ause 3.3</w:t>
      </w:r>
      <w:r w:rsidR="00B16875">
        <w:t>.1</w:t>
      </w:r>
      <w:r w:rsidR="00347318">
        <w:t>, the ACMA then considers:</w:t>
      </w:r>
    </w:p>
    <w:p w14:paraId="3ADD48CA" w14:textId="0308359F" w:rsidR="00942354" w:rsidRDefault="000A2BFF" w:rsidP="00D66FD7">
      <w:pPr>
        <w:pStyle w:val="ACMABodyText"/>
        <w:numPr>
          <w:ilvl w:val="0"/>
          <w:numId w:val="20"/>
        </w:numPr>
        <w:ind w:left="924" w:hanging="357"/>
        <w:rPr>
          <w:rFonts w:cs="Arial"/>
          <w:lang w:eastAsia="en-AU"/>
        </w:rPr>
      </w:pPr>
      <w:bookmarkStart w:id="8" w:name="_Hlk27581675"/>
      <w:r>
        <w:rPr>
          <w:rFonts w:cs="Arial"/>
          <w:lang w:eastAsia="en-AU"/>
        </w:rPr>
        <w:t>H</w:t>
      </w:r>
      <w:r w:rsidR="00942354" w:rsidRPr="009368A5">
        <w:rPr>
          <w:rFonts w:cs="Arial"/>
          <w:lang w:eastAsia="en-AU"/>
        </w:rPr>
        <w:t xml:space="preserve">aving regard to </w:t>
      </w:r>
      <w:r w:rsidR="00477721">
        <w:rPr>
          <w:rFonts w:cs="Arial"/>
          <w:lang w:eastAsia="en-AU"/>
        </w:rPr>
        <w:t>the</w:t>
      </w:r>
      <w:r w:rsidR="004E4103">
        <w:rPr>
          <w:rFonts w:cs="Arial"/>
          <w:lang w:eastAsia="en-AU"/>
        </w:rPr>
        <w:t xml:space="preserve"> </w:t>
      </w:r>
      <w:r w:rsidR="00942354" w:rsidRPr="009368A5">
        <w:rPr>
          <w:rFonts w:cs="Arial"/>
          <w:lang w:eastAsia="en-AU"/>
        </w:rPr>
        <w:t>brevity</w:t>
      </w:r>
      <w:r w:rsidR="00477721">
        <w:rPr>
          <w:rFonts w:cs="Arial"/>
          <w:lang w:eastAsia="en-AU"/>
        </w:rPr>
        <w:t xml:space="preserve"> of the program promotion</w:t>
      </w:r>
      <w:r w:rsidR="00F93681">
        <w:rPr>
          <w:rFonts w:cs="Arial"/>
          <w:lang w:eastAsia="en-AU"/>
        </w:rPr>
        <w:t>,</w:t>
      </w:r>
      <w:r w:rsidR="00F93681" w:rsidRPr="00F93681">
        <w:t xml:space="preserve"> </w:t>
      </w:r>
      <w:r w:rsidR="00F93681" w:rsidRPr="009368A5">
        <w:t>was</w:t>
      </w:r>
      <w:r w:rsidR="00F93681" w:rsidRPr="009368A5">
        <w:rPr>
          <w:rFonts w:cs="Arial"/>
          <w:lang w:eastAsia="en-AU"/>
        </w:rPr>
        <w:t xml:space="preserve"> </w:t>
      </w:r>
      <w:r w:rsidR="00547113">
        <w:rPr>
          <w:rFonts w:cs="Arial"/>
          <w:lang w:eastAsia="en-AU"/>
        </w:rPr>
        <w:t>compliance with clause 3.3</w:t>
      </w:r>
      <w:r w:rsidR="00523256">
        <w:rPr>
          <w:rFonts w:cs="Arial"/>
          <w:lang w:eastAsia="en-AU"/>
        </w:rPr>
        <w:t>.1</w:t>
      </w:r>
      <w:r w:rsidR="00547113">
        <w:rPr>
          <w:rFonts w:cs="Arial"/>
          <w:lang w:eastAsia="en-AU"/>
        </w:rPr>
        <w:t xml:space="preserve"> </w:t>
      </w:r>
      <w:r w:rsidR="00796B57">
        <w:rPr>
          <w:rFonts w:cs="Arial"/>
          <w:lang w:eastAsia="en-AU"/>
        </w:rPr>
        <w:t xml:space="preserve">reasonable </w:t>
      </w:r>
      <w:r w:rsidR="00547113">
        <w:rPr>
          <w:rFonts w:cs="Arial"/>
          <w:lang w:eastAsia="en-AU"/>
        </w:rPr>
        <w:t xml:space="preserve">in the </w:t>
      </w:r>
      <w:r w:rsidR="00783DA8">
        <w:rPr>
          <w:rFonts w:cs="Arial"/>
          <w:lang w:eastAsia="en-AU"/>
        </w:rPr>
        <w:t>circumstances</w:t>
      </w:r>
      <w:bookmarkEnd w:id="8"/>
      <w:r w:rsidR="00942354" w:rsidRPr="009368A5">
        <w:rPr>
          <w:rFonts w:cs="Arial"/>
        </w:rPr>
        <w:t>?</w:t>
      </w:r>
    </w:p>
    <w:p w14:paraId="69487B40" w14:textId="26AF124F" w:rsidR="00D80D14" w:rsidRDefault="00D80D14" w:rsidP="00151949">
      <w:pPr>
        <w:pStyle w:val="ACMABodyText"/>
      </w:pPr>
      <w:r w:rsidRPr="009368A5">
        <w:t>The ACMA’s investigation has focused</w:t>
      </w:r>
      <w:r>
        <w:t xml:space="preserve"> on </w:t>
      </w:r>
      <w:r w:rsidR="00934FFA">
        <w:t>the accuracy of the</w:t>
      </w:r>
      <w:r>
        <w:t xml:space="preserve"> statements </w:t>
      </w:r>
      <w:r w:rsidR="00934FFA">
        <w:t xml:space="preserve">featured in the promotion </w:t>
      </w:r>
      <w:r>
        <w:t>that</w:t>
      </w:r>
      <w:r w:rsidR="00FA3B4D">
        <w:t xml:space="preserve"> referred to</w:t>
      </w:r>
      <w:r>
        <w:t xml:space="preserve"> the WT 15-01</w:t>
      </w:r>
      <w:r w:rsidRPr="009368A5">
        <w:t>:</w:t>
      </w:r>
    </w:p>
    <w:p w14:paraId="40FD3B9E" w14:textId="198E658D" w:rsidR="004E082B" w:rsidRDefault="0005479B" w:rsidP="00D66FD7">
      <w:pPr>
        <w:pStyle w:val="ACMABodyText"/>
        <w:numPr>
          <w:ilvl w:val="0"/>
          <w:numId w:val="19"/>
        </w:numPr>
        <w:ind w:left="924" w:hanging="357"/>
      </w:pPr>
      <w:r w:rsidDel="0005479B">
        <w:t xml:space="preserve"> </w:t>
      </w:r>
      <w:r w:rsidR="00D80D14">
        <w:t>‘</w:t>
      </w:r>
      <w:r w:rsidR="007B56FC">
        <w:t>i</w:t>
      </w:r>
      <w:r w:rsidR="00CC7F73">
        <w:t xml:space="preserve">t </w:t>
      </w:r>
      <w:r w:rsidR="0087702C">
        <w:t>l</w:t>
      </w:r>
      <w:r w:rsidR="00D80D14" w:rsidRPr="00FD308B">
        <w:t xml:space="preserve">ooks like a machine gun, </w:t>
      </w:r>
      <w:r w:rsidR="00CC7F73">
        <w:t xml:space="preserve">it </w:t>
      </w:r>
      <w:r w:rsidR="00777E44">
        <w:t>shoots</w:t>
      </w:r>
      <w:r w:rsidR="00D80D14" w:rsidRPr="00FD308B">
        <w:t xml:space="preserve"> like a machine gun</w:t>
      </w:r>
      <w:r w:rsidR="00BB06C1">
        <w:t xml:space="preserve">, </w:t>
      </w:r>
      <w:r w:rsidR="006453EE">
        <w:t xml:space="preserve">it </w:t>
      </w:r>
      <w:r w:rsidR="00BB06C1">
        <w:t>kills like a machine gun</w:t>
      </w:r>
      <w:r w:rsidR="00D80D14">
        <w:t>’</w:t>
      </w:r>
    </w:p>
    <w:p w14:paraId="7A71EFD7" w14:textId="0F0AE1C9" w:rsidR="0005479B" w:rsidRDefault="0005479B" w:rsidP="00D66FD7">
      <w:pPr>
        <w:pStyle w:val="ACMABodyText"/>
        <w:numPr>
          <w:ilvl w:val="0"/>
          <w:numId w:val="19"/>
        </w:numPr>
        <w:ind w:left="924" w:hanging="357"/>
      </w:pPr>
      <w:r>
        <w:t>‘this murder weapon’</w:t>
      </w:r>
    </w:p>
    <w:p w14:paraId="685144AF" w14:textId="7670F245" w:rsidR="00B467D8" w:rsidRPr="00B467D8" w:rsidRDefault="000A079C" w:rsidP="00E348C1">
      <w:pPr>
        <w:pStyle w:val="ACMABodyText"/>
        <w:numPr>
          <w:ilvl w:val="1"/>
          <w:numId w:val="26"/>
        </w:numPr>
        <w:rPr>
          <w:b/>
          <w:bCs/>
          <w:u w:val="single"/>
        </w:rPr>
      </w:pPr>
      <w:bookmarkStart w:id="9" w:name="_Hlk26865354"/>
      <w:r>
        <w:rPr>
          <w:b/>
          <w:bCs/>
          <w:u w:val="single"/>
        </w:rPr>
        <w:t>‘i</w:t>
      </w:r>
      <w:r w:rsidR="006453EE">
        <w:rPr>
          <w:b/>
          <w:bCs/>
          <w:u w:val="single"/>
        </w:rPr>
        <w:t>t l</w:t>
      </w:r>
      <w:r w:rsidR="00B467D8" w:rsidRPr="00B467D8">
        <w:rPr>
          <w:b/>
          <w:bCs/>
          <w:u w:val="single"/>
        </w:rPr>
        <w:t xml:space="preserve">ooks like a machine gun, </w:t>
      </w:r>
      <w:r w:rsidR="006453EE">
        <w:rPr>
          <w:b/>
          <w:bCs/>
          <w:u w:val="single"/>
        </w:rPr>
        <w:t xml:space="preserve">it </w:t>
      </w:r>
      <w:r w:rsidR="00B946D1">
        <w:rPr>
          <w:b/>
          <w:bCs/>
          <w:u w:val="single"/>
        </w:rPr>
        <w:t>shoots</w:t>
      </w:r>
      <w:r w:rsidR="00B467D8" w:rsidRPr="00B467D8">
        <w:rPr>
          <w:b/>
          <w:bCs/>
          <w:u w:val="single"/>
        </w:rPr>
        <w:t xml:space="preserve"> like a machine gun,</w:t>
      </w:r>
      <w:r w:rsidR="006453EE">
        <w:rPr>
          <w:b/>
          <w:bCs/>
          <w:u w:val="single"/>
        </w:rPr>
        <w:t xml:space="preserve"> it</w:t>
      </w:r>
      <w:r w:rsidR="00B467D8" w:rsidRPr="00B467D8">
        <w:rPr>
          <w:b/>
          <w:bCs/>
          <w:u w:val="single"/>
        </w:rPr>
        <w:t xml:space="preserve"> kills like a machine gun</w:t>
      </w:r>
      <w:r>
        <w:rPr>
          <w:b/>
          <w:bCs/>
          <w:u w:val="single"/>
        </w:rPr>
        <w:t>’</w:t>
      </w:r>
    </w:p>
    <w:bookmarkEnd w:id="9"/>
    <w:p w14:paraId="3A10A4D1" w14:textId="277C3D35" w:rsidR="00010895" w:rsidRDefault="00010895" w:rsidP="00151949">
      <w:pPr>
        <w:pStyle w:val="ACMAQuoteindented"/>
        <w:ind w:left="0"/>
        <w:rPr>
          <w:b/>
          <w:bCs/>
          <w:sz w:val="20"/>
        </w:rPr>
      </w:pPr>
      <w:r w:rsidRPr="00A14A4E">
        <w:rPr>
          <w:b/>
          <w:bCs/>
          <w:sz w:val="20"/>
        </w:rPr>
        <w:t>What does the material convey to the ordinary reasonable viewer?</w:t>
      </w:r>
    </w:p>
    <w:p w14:paraId="47A16A35" w14:textId="468F2786" w:rsidR="00CC1C86" w:rsidRDefault="001B23EA" w:rsidP="00CC1C86">
      <w:pPr>
        <w:pStyle w:val="ACMABodyText"/>
        <w:rPr>
          <w:i/>
          <w:iCs/>
        </w:rPr>
      </w:pPr>
      <w:r w:rsidRPr="00D47C41">
        <w:rPr>
          <w:i/>
          <w:iCs/>
        </w:rPr>
        <w:t xml:space="preserve">The statement </w:t>
      </w:r>
      <w:r w:rsidR="00CC1C86">
        <w:rPr>
          <w:i/>
          <w:iCs/>
        </w:rPr>
        <w:t>‘</w:t>
      </w:r>
      <w:r>
        <w:rPr>
          <w:i/>
          <w:iCs/>
        </w:rPr>
        <w:t xml:space="preserve">it </w:t>
      </w:r>
      <w:r w:rsidRPr="00D47C41">
        <w:rPr>
          <w:i/>
          <w:iCs/>
        </w:rPr>
        <w:t>looks like a machine gun</w:t>
      </w:r>
      <w:r w:rsidR="00CC1C86">
        <w:rPr>
          <w:i/>
          <w:iCs/>
        </w:rPr>
        <w:t>’</w:t>
      </w:r>
    </w:p>
    <w:p w14:paraId="6A09C4EB" w14:textId="11EB816F" w:rsidR="006A4ADE" w:rsidRDefault="00D30624" w:rsidP="00151949">
      <w:pPr>
        <w:pStyle w:val="ACMAQuoteindented"/>
        <w:ind w:left="0"/>
        <w:rPr>
          <w:sz w:val="20"/>
        </w:rPr>
      </w:pPr>
      <w:r>
        <w:rPr>
          <w:sz w:val="20"/>
        </w:rPr>
        <w:t xml:space="preserve">The </w:t>
      </w:r>
      <w:r w:rsidR="005F2128">
        <w:rPr>
          <w:sz w:val="20"/>
        </w:rPr>
        <w:t xml:space="preserve">first phrase in the </w:t>
      </w:r>
      <w:r w:rsidR="00510AC5">
        <w:rPr>
          <w:sz w:val="20"/>
        </w:rPr>
        <w:t>statement</w:t>
      </w:r>
      <w:r w:rsidR="008A2404">
        <w:rPr>
          <w:sz w:val="20"/>
        </w:rPr>
        <w:t xml:space="preserve"> –</w:t>
      </w:r>
      <w:r>
        <w:rPr>
          <w:sz w:val="20"/>
        </w:rPr>
        <w:t xml:space="preserve"> ‘it looks like a machine gun’ </w:t>
      </w:r>
      <w:r w:rsidR="008A2404">
        <w:rPr>
          <w:sz w:val="20"/>
        </w:rPr>
        <w:t xml:space="preserve">– </w:t>
      </w:r>
      <w:r>
        <w:rPr>
          <w:sz w:val="20"/>
        </w:rPr>
        <w:t xml:space="preserve">is accompanied by video of a man holding a </w:t>
      </w:r>
      <w:r w:rsidR="0046605A">
        <w:rPr>
          <w:sz w:val="20"/>
        </w:rPr>
        <w:t>large rifle</w:t>
      </w:r>
      <w:r>
        <w:rPr>
          <w:sz w:val="20"/>
        </w:rPr>
        <w:t xml:space="preserve"> in front of </w:t>
      </w:r>
      <w:r w:rsidR="0046605A">
        <w:rPr>
          <w:sz w:val="20"/>
        </w:rPr>
        <w:t>the</w:t>
      </w:r>
      <w:r>
        <w:rPr>
          <w:sz w:val="20"/>
        </w:rPr>
        <w:t xml:space="preserve"> camera. </w:t>
      </w:r>
      <w:r w:rsidR="001347D8">
        <w:rPr>
          <w:sz w:val="20"/>
        </w:rPr>
        <w:t>At the same time, t</w:t>
      </w:r>
      <w:r>
        <w:rPr>
          <w:sz w:val="20"/>
        </w:rPr>
        <w:t>he words ‘it looks like a machine gun</w:t>
      </w:r>
      <w:r w:rsidR="002C394D">
        <w:rPr>
          <w:sz w:val="20"/>
        </w:rPr>
        <w:t>’</w:t>
      </w:r>
      <w:r>
        <w:rPr>
          <w:sz w:val="20"/>
        </w:rPr>
        <w:t xml:space="preserve"> appear on the screen. Th</w:t>
      </w:r>
      <w:r w:rsidR="00DF27DA">
        <w:rPr>
          <w:sz w:val="20"/>
        </w:rPr>
        <w:t>e</w:t>
      </w:r>
      <w:r>
        <w:rPr>
          <w:sz w:val="20"/>
        </w:rPr>
        <w:t xml:space="preserve"> footage </w:t>
      </w:r>
      <w:r w:rsidR="00DB7659">
        <w:rPr>
          <w:sz w:val="20"/>
        </w:rPr>
        <w:t xml:space="preserve">then cuts </w:t>
      </w:r>
      <w:r>
        <w:rPr>
          <w:sz w:val="20"/>
        </w:rPr>
        <w:t>to a</w:t>
      </w:r>
      <w:r w:rsidR="00D4338D">
        <w:rPr>
          <w:sz w:val="20"/>
        </w:rPr>
        <w:t xml:space="preserve"> man</w:t>
      </w:r>
      <w:r>
        <w:rPr>
          <w:sz w:val="20"/>
        </w:rPr>
        <w:t xml:space="preserve"> </w:t>
      </w:r>
      <w:r w:rsidR="002D5016">
        <w:rPr>
          <w:sz w:val="20"/>
        </w:rPr>
        <w:t xml:space="preserve">firing </w:t>
      </w:r>
      <w:r w:rsidR="00D4338D">
        <w:rPr>
          <w:sz w:val="20"/>
        </w:rPr>
        <w:t>a fully</w:t>
      </w:r>
      <w:r w:rsidR="0046707D">
        <w:rPr>
          <w:sz w:val="20"/>
        </w:rPr>
        <w:t xml:space="preserve"> </w:t>
      </w:r>
      <w:r w:rsidR="00D4338D">
        <w:rPr>
          <w:sz w:val="20"/>
        </w:rPr>
        <w:t>automatic</w:t>
      </w:r>
      <w:r w:rsidR="00884998">
        <w:rPr>
          <w:sz w:val="20"/>
        </w:rPr>
        <w:t>,</w:t>
      </w:r>
      <w:r w:rsidR="002D5016">
        <w:rPr>
          <w:sz w:val="20"/>
        </w:rPr>
        <w:t xml:space="preserve"> </w:t>
      </w:r>
      <w:r w:rsidR="00884998">
        <w:rPr>
          <w:sz w:val="20"/>
        </w:rPr>
        <w:t>military-style</w:t>
      </w:r>
      <w:r w:rsidR="00D66FD7">
        <w:rPr>
          <w:sz w:val="20"/>
        </w:rPr>
        <w:t xml:space="preserve"> weapon</w:t>
      </w:r>
      <w:r w:rsidR="00D4338D">
        <w:rPr>
          <w:sz w:val="20"/>
        </w:rPr>
        <w:t xml:space="preserve"> at a firing range</w:t>
      </w:r>
      <w:r w:rsidR="0046605A">
        <w:rPr>
          <w:sz w:val="20"/>
        </w:rPr>
        <w:t>, with the text remaining on-screen</w:t>
      </w:r>
      <w:r w:rsidR="002F695A">
        <w:rPr>
          <w:sz w:val="20"/>
        </w:rPr>
        <w:t>.</w:t>
      </w:r>
      <w:r>
        <w:rPr>
          <w:sz w:val="20"/>
        </w:rPr>
        <w:t xml:space="preserve"> </w:t>
      </w:r>
    </w:p>
    <w:p w14:paraId="46971C7C" w14:textId="524B9EF8" w:rsidR="006A4ADE" w:rsidRDefault="006A4ADE" w:rsidP="00151949">
      <w:pPr>
        <w:pStyle w:val="ACMAQuoteindented"/>
        <w:ind w:left="0"/>
        <w:rPr>
          <w:sz w:val="20"/>
        </w:rPr>
      </w:pPr>
      <w:r>
        <w:rPr>
          <w:sz w:val="20"/>
        </w:rPr>
        <w:t>The licensee submitted</w:t>
      </w:r>
      <w:r w:rsidR="005E7ECF">
        <w:rPr>
          <w:sz w:val="20"/>
        </w:rPr>
        <w:t>:</w:t>
      </w:r>
    </w:p>
    <w:p w14:paraId="065033B3" w14:textId="6A116A9D" w:rsidR="006A4ADE" w:rsidRPr="00D4338D" w:rsidRDefault="006A4ADE" w:rsidP="00D4338D">
      <w:pPr>
        <w:pStyle w:val="ACMAQuoteindented"/>
        <w:ind w:left="720"/>
        <w:rPr>
          <w:szCs w:val="18"/>
        </w:rPr>
      </w:pPr>
      <w:r>
        <w:rPr>
          <w:szCs w:val="18"/>
        </w:rPr>
        <w:t xml:space="preserve">[…] </w:t>
      </w:r>
      <w:r w:rsidRPr="00D4338D">
        <w:rPr>
          <w:szCs w:val="18"/>
        </w:rPr>
        <w:t xml:space="preserve">it was neither inaccurate nor unfair for the Promotions to make verbal and visual references to long-barrelled weapons such as machine guns </w:t>
      </w:r>
    </w:p>
    <w:p w14:paraId="42021EC4" w14:textId="1A025FAE" w:rsidR="00010895" w:rsidRDefault="00E77167" w:rsidP="00151949">
      <w:pPr>
        <w:pStyle w:val="ACMAQuoteindented"/>
        <w:ind w:left="0"/>
        <w:rPr>
          <w:sz w:val="20"/>
        </w:rPr>
      </w:pPr>
      <w:r>
        <w:rPr>
          <w:sz w:val="20"/>
        </w:rPr>
        <w:t>While long barrel</w:t>
      </w:r>
      <w:r w:rsidR="00D4338D">
        <w:rPr>
          <w:sz w:val="20"/>
        </w:rPr>
        <w:t>s are</w:t>
      </w:r>
      <w:r>
        <w:rPr>
          <w:sz w:val="20"/>
        </w:rPr>
        <w:t xml:space="preserve"> feature</w:t>
      </w:r>
      <w:r w:rsidR="00D4338D">
        <w:rPr>
          <w:sz w:val="20"/>
        </w:rPr>
        <w:t>s</w:t>
      </w:r>
      <w:r>
        <w:rPr>
          <w:sz w:val="20"/>
        </w:rPr>
        <w:t xml:space="preserve"> of some machine guns</w:t>
      </w:r>
      <w:r w:rsidR="00D4338D">
        <w:rPr>
          <w:sz w:val="20"/>
        </w:rPr>
        <w:t>,</w:t>
      </w:r>
      <w:r>
        <w:rPr>
          <w:sz w:val="20"/>
        </w:rPr>
        <w:t xml:space="preserve"> </w:t>
      </w:r>
      <w:r w:rsidR="00D4338D">
        <w:rPr>
          <w:sz w:val="20"/>
        </w:rPr>
        <w:t xml:space="preserve">they are </w:t>
      </w:r>
      <w:r>
        <w:rPr>
          <w:sz w:val="20"/>
        </w:rPr>
        <w:t xml:space="preserve">also </w:t>
      </w:r>
      <w:r w:rsidR="00F02C30">
        <w:rPr>
          <w:sz w:val="20"/>
        </w:rPr>
        <w:t xml:space="preserve">a </w:t>
      </w:r>
      <w:r>
        <w:rPr>
          <w:sz w:val="20"/>
        </w:rPr>
        <w:t xml:space="preserve">feature of some semi-automatic weapons and rifles more generally. </w:t>
      </w:r>
      <w:r w:rsidR="00D30624">
        <w:rPr>
          <w:sz w:val="20"/>
        </w:rPr>
        <w:t>T</w:t>
      </w:r>
      <w:r w:rsidR="00010895" w:rsidRPr="00A14A4E">
        <w:rPr>
          <w:sz w:val="20"/>
        </w:rPr>
        <w:t>he</w:t>
      </w:r>
      <w:r w:rsidR="00010895">
        <w:rPr>
          <w:sz w:val="20"/>
        </w:rPr>
        <w:t xml:space="preserve"> ACMA considers that the ordinary reasonable viewer would </w:t>
      </w:r>
      <w:r w:rsidR="00E17094">
        <w:rPr>
          <w:sz w:val="20"/>
        </w:rPr>
        <w:t xml:space="preserve">not </w:t>
      </w:r>
      <w:r w:rsidR="00010895">
        <w:rPr>
          <w:sz w:val="20"/>
        </w:rPr>
        <w:t>consider the phrase ‘</w:t>
      </w:r>
      <w:r w:rsidR="009078F1">
        <w:rPr>
          <w:sz w:val="20"/>
        </w:rPr>
        <w:t xml:space="preserve">it </w:t>
      </w:r>
      <w:r w:rsidR="00010895">
        <w:rPr>
          <w:sz w:val="20"/>
        </w:rPr>
        <w:t xml:space="preserve">looks like a machine gun’ to </w:t>
      </w:r>
      <w:r w:rsidR="00884998">
        <w:rPr>
          <w:sz w:val="20"/>
        </w:rPr>
        <w:t xml:space="preserve">simply </w:t>
      </w:r>
      <w:r w:rsidR="00010895">
        <w:rPr>
          <w:sz w:val="20"/>
        </w:rPr>
        <w:t xml:space="preserve">mean that the WT 15-01 </w:t>
      </w:r>
      <w:r w:rsidR="00E17094">
        <w:rPr>
          <w:sz w:val="20"/>
        </w:rPr>
        <w:t>is a gun that has a long barrel</w:t>
      </w:r>
      <w:r w:rsidR="001C4436">
        <w:rPr>
          <w:sz w:val="20"/>
        </w:rPr>
        <w:t xml:space="preserve">, although as discussed above in relation to the program, from popular culture, </w:t>
      </w:r>
      <w:r w:rsidR="001C4436" w:rsidRPr="00D76BF2">
        <w:rPr>
          <w:sz w:val="20"/>
        </w:rPr>
        <w:t xml:space="preserve">the ordinary reasonable viewer </w:t>
      </w:r>
      <w:r w:rsidR="001C4436">
        <w:rPr>
          <w:sz w:val="20"/>
        </w:rPr>
        <w:t>may visualise a ‘machine gun’ to be a weapon similar to an AK-47 with features such as a large magazine protruding from the bottom of the weapon</w:t>
      </w:r>
      <w:r w:rsidR="00884998">
        <w:rPr>
          <w:sz w:val="20"/>
        </w:rPr>
        <w:t xml:space="preserve">. </w:t>
      </w:r>
    </w:p>
    <w:p w14:paraId="023731D3" w14:textId="54B922B8" w:rsidR="001B23EA" w:rsidRPr="00D47C41" w:rsidRDefault="001B23EA" w:rsidP="001B23EA">
      <w:pPr>
        <w:pStyle w:val="ACMABodyText"/>
        <w:rPr>
          <w:i/>
          <w:iCs/>
        </w:rPr>
      </w:pPr>
      <w:r w:rsidRPr="00D47C41">
        <w:rPr>
          <w:i/>
          <w:iCs/>
        </w:rPr>
        <w:t xml:space="preserve">The statement </w:t>
      </w:r>
      <w:r w:rsidR="00CC1C86">
        <w:rPr>
          <w:i/>
          <w:iCs/>
        </w:rPr>
        <w:t>‘</w:t>
      </w:r>
      <w:r>
        <w:rPr>
          <w:i/>
          <w:iCs/>
        </w:rPr>
        <w:t xml:space="preserve">it shoots </w:t>
      </w:r>
      <w:r w:rsidRPr="00D47C41">
        <w:rPr>
          <w:i/>
          <w:iCs/>
        </w:rPr>
        <w:t>like a machine gun</w:t>
      </w:r>
      <w:r w:rsidR="00CC1C86">
        <w:rPr>
          <w:i/>
          <w:iCs/>
        </w:rPr>
        <w:t>’</w:t>
      </w:r>
    </w:p>
    <w:p w14:paraId="02FE426E" w14:textId="47DF35AC" w:rsidR="00010895" w:rsidRDefault="009F5847" w:rsidP="00151949">
      <w:pPr>
        <w:pStyle w:val="ACMAQuoteindented"/>
        <w:ind w:left="0"/>
        <w:rPr>
          <w:sz w:val="20"/>
        </w:rPr>
      </w:pPr>
      <w:r>
        <w:rPr>
          <w:sz w:val="20"/>
        </w:rPr>
        <w:t>T</w:t>
      </w:r>
      <w:r w:rsidR="00010895">
        <w:rPr>
          <w:sz w:val="20"/>
        </w:rPr>
        <w:t xml:space="preserve">he </w:t>
      </w:r>
      <w:r w:rsidR="00090733">
        <w:rPr>
          <w:sz w:val="20"/>
        </w:rPr>
        <w:t xml:space="preserve">following </w:t>
      </w:r>
      <w:r w:rsidR="00BD4866">
        <w:rPr>
          <w:sz w:val="20"/>
        </w:rPr>
        <w:t>voice</w:t>
      </w:r>
      <w:r w:rsidR="0046605A">
        <w:rPr>
          <w:sz w:val="20"/>
        </w:rPr>
        <w:t>-</w:t>
      </w:r>
      <w:r w:rsidR="00BD4866">
        <w:rPr>
          <w:sz w:val="20"/>
        </w:rPr>
        <w:t>over</w:t>
      </w:r>
      <w:r w:rsidR="000E0B3F">
        <w:rPr>
          <w:sz w:val="20"/>
        </w:rPr>
        <w:t xml:space="preserve"> </w:t>
      </w:r>
      <w:r w:rsidR="00090733">
        <w:rPr>
          <w:sz w:val="20"/>
        </w:rPr>
        <w:t>phrase,</w:t>
      </w:r>
      <w:r w:rsidR="00010895">
        <w:rPr>
          <w:sz w:val="20"/>
        </w:rPr>
        <w:t xml:space="preserve"> ‘</w:t>
      </w:r>
      <w:r w:rsidR="00780721">
        <w:rPr>
          <w:sz w:val="20"/>
        </w:rPr>
        <w:t xml:space="preserve">it </w:t>
      </w:r>
      <w:r w:rsidR="00010895">
        <w:rPr>
          <w:sz w:val="20"/>
        </w:rPr>
        <w:t>s</w:t>
      </w:r>
      <w:r w:rsidR="00990107">
        <w:rPr>
          <w:sz w:val="20"/>
        </w:rPr>
        <w:t>hoots</w:t>
      </w:r>
      <w:r w:rsidR="00010895">
        <w:rPr>
          <w:sz w:val="20"/>
        </w:rPr>
        <w:t xml:space="preserve"> like a machine gu</w:t>
      </w:r>
      <w:r w:rsidR="004457BD">
        <w:rPr>
          <w:sz w:val="20"/>
        </w:rPr>
        <w:t>n’</w:t>
      </w:r>
      <w:r w:rsidR="00090733">
        <w:rPr>
          <w:sz w:val="20"/>
        </w:rPr>
        <w:t>,</w:t>
      </w:r>
      <w:r w:rsidR="004457BD">
        <w:rPr>
          <w:sz w:val="20"/>
        </w:rPr>
        <w:t xml:space="preserve"> </w:t>
      </w:r>
      <w:r w:rsidR="003315BE">
        <w:rPr>
          <w:sz w:val="20"/>
        </w:rPr>
        <w:t>wa</w:t>
      </w:r>
      <w:r w:rsidR="004457BD">
        <w:rPr>
          <w:sz w:val="20"/>
        </w:rPr>
        <w:t xml:space="preserve">s accompanied by </w:t>
      </w:r>
      <w:r w:rsidR="003315BE">
        <w:rPr>
          <w:sz w:val="20"/>
        </w:rPr>
        <w:t>video</w:t>
      </w:r>
      <w:r w:rsidR="004457BD">
        <w:rPr>
          <w:sz w:val="20"/>
        </w:rPr>
        <w:t xml:space="preserve"> of a man</w:t>
      </w:r>
      <w:r w:rsidR="00D35A07">
        <w:rPr>
          <w:sz w:val="20"/>
        </w:rPr>
        <w:t xml:space="preserve"> </w:t>
      </w:r>
      <w:r w:rsidR="00BD4866">
        <w:rPr>
          <w:sz w:val="20"/>
        </w:rPr>
        <w:t xml:space="preserve">shooting </w:t>
      </w:r>
      <w:r w:rsidR="00B57DF8">
        <w:rPr>
          <w:sz w:val="20"/>
        </w:rPr>
        <w:t xml:space="preserve">bullets rapidly and continuously from </w:t>
      </w:r>
      <w:r w:rsidR="00030F54">
        <w:rPr>
          <w:sz w:val="20"/>
        </w:rPr>
        <w:t xml:space="preserve">a </w:t>
      </w:r>
      <w:r w:rsidR="00884998">
        <w:rPr>
          <w:sz w:val="20"/>
        </w:rPr>
        <w:t>fully</w:t>
      </w:r>
      <w:r w:rsidR="0046707D">
        <w:rPr>
          <w:sz w:val="20"/>
        </w:rPr>
        <w:t xml:space="preserve"> </w:t>
      </w:r>
      <w:r w:rsidR="00884998">
        <w:rPr>
          <w:sz w:val="20"/>
        </w:rPr>
        <w:t>automatic, military-style</w:t>
      </w:r>
      <w:r w:rsidR="00D66FD7">
        <w:rPr>
          <w:sz w:val="20"/>
        </w:rPr>
        <w:t xml:space="preserve"> weapon</w:t>
      </w:r>
      <w:r w:rsidR="00C04B59">
        <w:rPr>
          <w:sz w:val="20"/>
        </w:rPr>
        <w:t xml:space="preserve">. </w:t>
      </w:r>
      <w:r w:rsidR="00D35A07">
        <w:rPr>
          <w:sz w:val="20"/>
        </w:rPr>
        <w:t>The</w:t>
      </w:r>
      <w:r w:rsidR="00BD4866">
        <w:rPr>
          <w:sz w:val="20"/>
        </w:rPr>
        <w:t xml:space="preserve"> words ‘shoots like a machine gun’ </w:t>
      </w:r>
      <w:r w:rsidR="00BD784D">
        <w:rPr>
          <w:sz w:val="20"/>
        </w:rPr>
        <w:t>appeared as text</w:t>
      </w:r>
      <w:r w:rsidR="00BD4866">
        <w:rPr>
          <w:sz w:val="20"/>
        </w:rPr>
        <w:t xml:space="preserve"> as the </w:t>
      </w:r>
      <w:r w:rsidR="008026C7">
        <w:rPr>
          <w:sz w:val="20"/>
        </w:rPr>
        <w:t>gun was</w:t>
      </w:r>
      <w:r w:rsidR="00BD4866">
        <w:rPr>
          <w:sz w:val="20"/>
        </w:rPr>
        <w:t xml:space="preserve"> firing. </w:t>
      </w:r>
      <w:r w:rsidR="00C04B59">
        <w:rPr>
          <w:sz w:val="20"/>
        </w:rPr>
        <w:t>T</w:t>
      </w:r>
      <w:r w:rsidR="00010895">
        <w:rPr>
          <w:sz w:val="20"/>
        </w:rPr>
        <w:t xml:space="preserve">he ACMA considers that the ordinary reasonable viewer would construe the </w:t>
      </w:r>
      <w:r w:rsidR="004F03A1">
        <w:rPr>
          <w:sz w:val="20"/>
        </w:rPr>
        <w:t xml:space="preserve">voice-over </w:t>
      </w:r>
      <w:r w:rsidR="00B31A47">
        <w:rPr>
          <w:sz w:val="20"/>
        </w:rPr>
        <w:t xml:space="preserve">phrase </w:t>
      </w:r>
      <w:r w:rsidR="00010895">
        <w:rPr>
          <w:sz w:val="20"/>
        </w:rPr>
        <w:t>to mean that the WT 15-01 ha</w:t>
      </w:r>
      <w:r w:rsidR="00093D34">
        <w:rPr>
          <w:sz w:val="20"/>
        </w:rPr>
        <w:t>d similar</w:t>
      </w:r>
      <w:r w:rsidR="00010895">
        <w:rPr>
          <w:sz w:val="20"/>
        </w:rPr>
        <w:t xml:space="preserve"> firing capabilities</w:t>
      </w:r>
      <w:r w:rsidR="00FA3375">
        <w:rPr>
          <w:sz w:val="20"/>
        </w:rPr>
        <w:t xml:space="preserve"> </w:t>
      </w:r>
      <w:r w:rsidR="007B69C9">
        <w:rPr>
          <w:sz w:val="20"/>
        </w:rPr>
        <w:t>to</w:t>
      </w:r>
      <w:r w:rsidR="00FA3375">
        <w:rPr>
          <w:sz w:val="20"/>
        </w:rPr>
        <w:t xml:space="preserve"> the </w:t>
      </w:r>
      <w:r w:rsidR="00884998">
        <w:rPr>
          <w:sz w:val="20"/>
        </w:rPr>
        <w:t>automatic weapon</w:t>
      </w:r>
      <w:r w:rsidR="00FA3375">
        <w:rPr>
          <w:sz w:val="20"/>
        </w:rPr>
        <w:t xml:space="preserve"> shown</w:t>
      </w:r>
      <w:r w:rsidR="009E062E">
        <w:rPr>
          <w:sz w:val="20"/>
        </w:rPr>
        <w:t xml:space="preserve">. </w:t>
      </w:r>
    </w:p>
    <w:p w14:paraId="0D27B292" w14:textId="77777777" w:rsidR="001B23EA" w:rsidRDefault="001B23EA" w:rsidP="00151949">
      <w:pPr>
        <w:pStyle w:val="ACMAQuoteindented"/>
        <w:ind w:left="0"/>
        <w:rPr>
          <w:sz w:val="20"/>
        </w:rPr>
      </w:pPr>
    </w:p>
    <w:p w14:paraId="71249C64" w14:textId="57899F99" w:rsidR="001B23EA" w:rsidRPr="00D47C41" w:rsidRDefault="001B23EA" w:rsidP="001B23EA">
      <w:pPr>
        <w:pStyle w:val="ACMABodyText"/>
        <w:rPr>
          <w:i/>
          <w:iCs/>
        </w:rPr>
      </w:pPr>
      <w:r w:rsidRPr="00D47C41">
        <w:rPr>
          <w:i/>
          <w:iCs/>
        </w:rPr>
        <w:lastRenderedPageBreak/>
        <w:t xml:space="preserve">The statement </w:t>
      </w:r>
      <w:r w:rsidR="00CC1C86">
        <w:rPr>
          <w:i/>
          <w:iCs/>
        </w:rPr>
        <w:t>‘</w:t>
      </w:r>
      <w:r>
        <w:rPr>
          <w:i/>
          <w:iCs/>
        </w:rPr>
        <w:t>it kills</w:t>
      </w:r>
      <w:r w:rsidRPr="00D47C41">
        <w:rPr>
          <w:i/>
          <w:iCs/>
        </w:rPr>
        <w:t xml:space="preserve"> like a machine gun</w:t>
      </w:r>
      <w:r w:rsidR="00CC1C86">
        <w:rPr>
          <w:i/>
          <w:iCs/>
        </w:rPr>
        <w:t>’</w:t>
      </w:r>
    </w:p>
    <w:p w14:paraId="034A02B6" w14:textId="4E6B8059" w:rsidR="00660348" w:rsidRDefault="005C2635" w:rsidP="00151949">
      <w:pPr>
        <w:pStyle w:val="ACMAQuoteindented"/>
        <w:ind w:left="0"/>
        <w:rPr>
          <w:sz w:val="20"/>
        </w:rPr>
      </w:pPr>
      <w:r>
        <w:rPr>
          <w:sz w:val="20"/>
        </w:rPr>
        <w:t>The</w:t>
      </w:r>
      <w:r w:rsidR="00DA3234">
        <w:rPr>
          <w:sz w:val="20"/>
        </w:rPr>
        <w:t xml:space="preserve"> </w:t>
      </w:r>
      <w:r>
        <w:rPr>
          <w:sz w:val="20"/>
        </w:rPr>
        <w:t>voice</w:t>
      </w:r>
      <w:r w:rsidR="004F03A1">
        <w:rPr>
          <w:sz w:val="20"/>
        </w:rPr>
        <w:t>-</w:t>
      </w:r>
      <w:r>
        <w:rPr>
          <w:sz w:val="20"/>
        </w:rPr>
        <w:t>over</w:t>
      </w:r>
      <w:r w:rsidR="004F03A1">
        <w:rPr>
          <w:sz w:val="20"/>
        </w:rPr>
        <w:t xml:space="preserve"> </w:t>
      </w:r>
      <w:r w:rsidR="00DA3234">
        <w:rPr>
          <w:sz w:val="20"/>
        </w:rPr>
        <w:t>then followed</w:t>
      </w:r>
      <w:r w:rsidR="00B31A47">
        <w:rPr>
          <w:sz w:val="20"/>
        </w:rPr>
        <w:t xml:space="preserve"> with the phrase</w:t>
      </w:r>
      <w:r w:rsidR="009C1FA8">
        <w:rPr>
          <w:sz w:val="20"/>
        </w:rPr>
        <w:t xml:space="preserve"> –</w:t>
      </w:r>
      <w:r>
        <w:rPr>
          <w:sz w:val="20"/>
        </w:rPr>
        <w:t xml:space="preserve"> ‘it kills like a machine gun’</w:t>
      </w:r>
      <w:r w:rsidR="00B31A47">
        <w:rPr>
          <w:sz w:val="20"/>
        </w:rPr>
        <w:t>. This</w:t>
      </w:r>
      <w:r>
        <w:rPr>
          <w:sz w:val="20"/>
        </w:rPr>
        <w:t xml:space="preserve"> </w:t>
      </w:r>
      <w:r w:rsidR="00DA3234">
        <w:rPr>
          <w:sz w:val="20"/>
        </w:rPr>
        <w:t>wa</w:t>
      </w:r>
      <w:r>
        <w:rPr>
          <w:sz w:val="20"/>
        </w:rPr>
        <w:t xml:space="preserve">s accompanied by </w:t>
      </w:r>
      <w:r w:rsidR="00B31A47">
        <w:rPr>
          <w:sz w:val="20"/>
        </w:rPr>
        <w:t xml:space="preserve">on-screen text ‘kills like a machine gun’ and </w:t>
      </w:r>
      <w:r w:rsidR="00750FE1">
        <w:rPr>
          <w:sz w:val="20"/>
        </w:rPr>
        <w:t>two short video clips</w:t>
      </w:r>
      <w:r w:rsidR="00FF484B">
        <w:rPr>
          <w:sz w:val="20"/>
        </w:rPr>
        <w:t xml:space="preserve">, one of a man firing </w:t>
      </w:r>
      <w:r w:rsidR="008A3FA3">
        <w:rPr>
          <w:sz w:val="20"/>
        </w:rPr>
        <w:t>a semi-automatic</w:t>
      </w:r>
      <w:r w:rsidR="00750FE1">
        <w:rPr>
          <w:sz w:val="20"/>
        </w:rPr>
        <w:t xml:space="preserve"> </w:t>
      </w:r>
      <w:r w:rsidR="00B31A47">
        <w:rPr>
          <w:sz w:val="20"/>
        </w:rPr>
        <w:t xml:space="preserve">rifle </w:t>
      </w:r>
      <w:r w:rsidR="00750FE1">
        <w:rPr>
          <w:sz w:val="20"/>
        </w:rPr>
        <w:t xml:space="preserve">and the </w:t>
      </w:r>
      <w:r w:rsidR="00FF484B">
        <w:rPr>
          <w:sz w:val="20"/>
        </w:rPr>
        <w:t>other</w:t>
      </w:r>
      <w:r w:rsidR="00B31A47">
        <w:rPr>
          <w:sz w:val="20"/>
        </w:rPr>
        <w:t xml:space="preserve"> </w:t>
      </w:r>
      <w:r w:rsidR="008A3FA3">
        <w:rPr>
          <w:sz w:val="20"/>
        </w:rPr>
        <w:t xml:space="preserve">a fully automatic </w:t>
      </w:r>
      <w:r w:rsidR="00B31A47">
        <w:rPr>
          <w:sz w:val="20"/>
        </w:rPr>
        <w:t>rifle</w:t>
      </w:r>
      <w:r w:rsidR="00750FE1">
        <w:rPr>
          <w:sz w:val="20"/>
        </w:rPr>
        <w:t>.</w:t>
      </w:r>
      <w:r>
        <w:rPr>
          <w:sz w:val="20"/>
        </w:rPr>
        <w:t xml:space="preserve"> </w:t>
      </w:r>
      <w:r w:rsidR="008A3FA3">
        <w:rPr>
          <w:sz w:val="20"/>
        </w:rPr>
        <w:t>The ACMA considers that despite one of the clips appear</w:t>
      </w:r>
      <w:r w:rsidR="00E17094">
        <w:rPr>
          <w:sz w:val="20"/>
        </w:rPr>
        <w:t>ing</w:t>
      </w:r>
      <w:r w:rsidR="008A3FA3">
        <w:rPr>
          <w:sz w:val="20"/>
        </w:rPr>
        <w:t xml:space="preserve"> to show a semi-automatic weapon</w:t>
      </w:r>
      <w:r w:rsidR="00ED5BF8">
        <w:rPr>
          <w:sz w:val="20"/>
        </w:rPr>
        <w:t>,</w:t>
      </w:r>
      <w:r w:rsidR="008A3FA3">
        <w:rPr>
          <w:sz w:val="20"/>
        </w:rPr>
        <w:t xml:space="preserve"> </w:t>
      </w:r>
      <w:r w:rsidR="00727927">
        <w:rPr>
          <w:sz w:val="20"/>
        </w:rPr>
        <w:t xml:space="preserve">the </w:t>
      </w:r>
      <w:r w:rsidR="00B31A47">
        <w:rPr>
          <w:sz w:val="20"/>
        </w:rPr>
        <w:t xml:space="preserve">combination of voice-over </w:t>
      </w:r>
      <w:r w:rsidR="00030F54">
        <w:rPr>
          <w:sz w:val="20"/>
        </w:rPr>
        <w:t xml:space="preserve">and vision of a fully automatic weapon, </w:t>
      </w:r>
      <w:r w:rsidR="00ED5BF8">
        <w:rPr>
          <w:sz w:val="20"/>
        </w:rPr>
        <w:t>convey</w:t>
      </w:r>
      <w:r w:rsidR="00B31A47">
        <w:rPr>
          <w:sz w:val="20"/>
        </w:rPr>
        <w:t xml:space="preserve">ed </w:t>
      </w:r>
      <w:r w:rsidR="00ED5BF8">
        <w:rPr>
          <w:sz w:val="20"/>
        </w:rPr>
        <w:t xml:space="preserve">to the ordinary reasonable viewer </w:t>
      </w:r>
      <w:r w:rsidR="00727927">
        <w:rPr>
          <w:sz w:val="20"/>
        </w:rPr>
        <w:t xml:space="preserve">that </w:t>
      </w:r>
      <w:r w:rsidR="002C6E54">
        <w:rPr>
          <w:sz w:val="20"/>
        </w:rPr>
        <w:t xml:space="preserve">the WT 15-01 </w:t>
      </w:r>
      <w:r w:rsidR="00727927">
        <w:rPr>
          <w:sz w:val="20"/>
        </w:rPr>
        <w:t>c</w:t>
      </w:r>
      <w:r w:rsidR="00314803">
        <w:rPr>
          <w:sz w:val="20"/>
        </w:rPr>
        <w:t>ould</w:t>
      </w:r>
      <w:r w:rsidR="00727927">
        <w:rPr>
          <w:sz w:val="20"/>
        </w:rPr>
        <w:t xml:space="preserve"> cause fatalities at the same rate as a</w:t>
      </w:r>
      <w:r w:rsidR="00B31A47">
        <w:rPr>
          <w:sz w:val="20"/>
        </w:rPr>
        <w:t xml:space="preserve"> </w:t>
      </w:r>
      <w:r w:rsidR="00030F54">
        <w:rPr>
          <w:sz w:val="20"/>
        </w:rPr>
        <w:t>‘machine gun’</w:t>
      </w:r>
      <w:r w:rsidR="0046707D">
        <w:rPr>
          <w:sz w:val="20"/>
        </w:rPr>
        <w:t>.</w:t>
      </w:r>
    </w:p>
    <w:p w14:paraId="700A5DC8" w14:textId="70AF6B4E" w:rsidR="00E6757D" w:rsidRDefault="00E6757D" w:rsidP="00151949">
      <w:pPr>
        <w:pStyle w:val="ACMAQuoteindented"/>
        <w:ind w:left="0"/>
        <w:rPr>
          <w:sz w:val="20"/>
        </w:rPr>
      </w:pPr>
      <w:r>
        <w:rPr>
          <w:sz w:val="20"/>
        </w:rPr>
        <w:t xml:space="preserve">In their further submissions the licensee </w:t>
      </w:r>
      <w:r w:rsidR="00F01B71">
        <w:rPr>
          <w:sz w:val="20"/>
        </w:rPr>
        <w:t>stated</w:t>
      </w:r>
      <w:r>
        <w:rPr>
          <w:sz w:val="20"/>
        </w:rPr>
        <w:t>:</w:t>
      </w:r>
    </w:p>
    <w:p w14:paraId="28730DE2" w14:textId="7237B834" w:rsidR="00E6757D" w:rsidRPr="00DE631E" w:rsidRDefault="00E6757D" w:rsidP="00DE631E">
      <w:pPr>
        <w:pStyle w:val="ACMAQuoteindented"/>
        <w:ind w:left="720"/>
        <w:rPr>
          <w:szCs w:val="18"/>
        </w:rPr>
      </w:pPr>
      <w:r w:rsidRPr="00DE631E">
        <w:rPr>
          <w:szCs w:val="18"/>
        </w:rPr>
        <w:t>Nine contends that as all firearms (including the Firearm and 'machine guns') are capable of killing and it is not inaccurate to state that the Firearm 'kills like a machine gun' because both weapons cause death in the same way.</w:t>
      </w:r>
    </w:p>
    <w:p w14:paraId="60C60DFD" w14:textId="59181BBF" w:rsidR="00E6757D" w:rsidRDefault="00E6757D" w:rsidP="00A11305">
      <w:pPr>
        <w:pStyle w:val="ACMAQuoteindented"/>
        <w:ind w:left="0"/>
        <w:rPr>
          <w:sz w:val="20"/>
        </w:rPr>
      </w:pPr>
      <w:r>
        <w:rPr>
          <w:sz w:val="20"/>
        </w:rPr>
        <w:t>The ACMA does not agree. The promotion ma</w:t>
      </w:r>
      <w:r w:rsidR="00633631">
        <w:rPr>
          <w:sz w:val="20"/>
        </w:rPr>
        <w:t>de</w:t>
      </w:r>
      <w:r>
        <w:rPr>
          <w:sz w:val="20"/>
        </w:rPr>
        <w:t xml:space="preserve"> a clear</w:t>
      </w:r>
      <w:r w:rsidR="00DD030A">
        <w:rPr>
          <w:sz w:val="20"/>
        </w:rPr>
        <w:t xml:space="preserve"> </w:t>
      </w:r>
      <w:r>
        <w:rPr>
          <w:sz w:val="20"/>
        </w:rPr>
        <w:t xml:space="preserve">comparison between the WT 15-01 and a ‘machine gun’ in the way </w:t>
      </w:r>
      <w:r w:rsidR="00633631">
        <w:rPr>
          <w:sz w:val="20"/>
        </w:rPr>
        <w:t xml:space="preserve">that </w:t>
      </w:r>
      <w:r>
        <w:rPr>
          <w:sz w:val="20"/>
        </w:rPr>
        <w:t xml:space="preserve">they kill. Consequently, the ACMA believes the ordinary reasonable viewer </w:t>
      </w:r>
      <w:r w:rsidR="00DD030A">
        <w:rPr>
          <w:sz w:val="20"/>
        </w:rPr>
        <w:t xml:space="preserve">would </w:t>
      </w:r>
      <w:r>
        <w:rPr>
          <w:sz w:val="20"/>
        </w:rPr>
        <w:t xml:space="preserve">construe the </w:t>
      </w:r>
      <w:r w:rsidR="00DD030A">
        <w:rPr>
          <w:sz w:val="20"/>
        </w:rPr>
        <w:t xml:space="preserve">statement </w:t>
      </w:r>
      <w:r w:rsidR="00633631">
        <w:rPr>
          <w:sz w:val="20"/>
        </w:rPr>
        <w:t xml:space="preserve">to mean that both can kill at the same </w:t>
      </w:r>
      <w:r w:rsidR="00CD5871">
        <w:rPr>
          <w:sz w:val="20"/>
        </w:rPr>
        <w:t>rate rather</w:t>
      </w:r>
      <w:r w:rsidR="00DD030A">
        <w:rPr>
          <w:sz w:val="20"/>
        </w:rPr>
        <w:t xml:space="preserve"> than </w:t>
      </w:r>
      <w:r w:rsidR="00633631">
        <w:rPr>
          <w:sz w:val="20"/>
        </w:rPr>
        <w:t xml:space="preserve">simply </w:t>
      </w:r>
      <w:r w:rsidR="00DD030A">
        <w:rPr>
          <w:sz w:val="20"/>
        </w:rPr>
        <w:t>to mean</w:t>
      </w:r>
      <w:r w:rsidR="00633631">
        <w:rPr>
          <w:sz w:val="20"/>
        </w:rPr>
        <w:t>,</w:t>
      </w:r>
      <w:r w:rsidR="00DD030A">
        <w:rPr>
          <w:sz w:val="20"/>
        </w:rPr>
        <w:t xml:space="preserve"> </w:t>
      </w:r>
      <w:r w:rsidR="00633631">
        <w:rPr>
          <w:sz w:val="20"/>
        </w:rPr>
        <w:t xml:space="preserve">in very general terms, </w:t>
      </w:r>
      <w:r w:rsidR="00DD030A">
        <w:rPr>
          <w:sz w:val="20"/>
        </w:rPr>
        <w:t xml:space="preserve">that </w:t>
      </w:r>
      <w:r w:rsidR="005D51BE">
        <w:rPr>
          <w:sz w:val="20"/>
        </w:rPr>
        <w:t xml:space="preserve">both </w:t>
      </w:r>
      <w:r w:rsidR="00DD030A">
        <w:rPr>
          <w:sz w:val="20"/>
        </w:rPr>
        <w:t xml:space="preserve">guns </w:t>
      </w:r>
      <w:r w:rsidR="005D51BE">
        <w:rPr>
          <w:sz w:val="20"/>
        </w:rPr>
        <w:t xml:space="preserve">can </w:t>
      </w:r>
      <w:r w:rsidR="00DD030A">
        <w:rPr>
          <w:sz w:val="20"/>
        </w:rPr>
        <w:t>kill</w:t>
      </w:r>
      <w:r w:rsidR="005D51BE">
        <w:rPr>
          <w:sz w:val="20"/>
        </w:rPr>
        <w:t xml:space="preserve"> because all guns can kill</w:t>
      </w:r>
      <w:r w:rsidR="00DD030A">
        <w:rPr>
          <w:sz w:val="20"/>
        </w:rPr>
        <w:t>.</w:t>
      </w:r>
    </w:p>
    <w:p w14:paraId="388C471B" w14:textId="406794D9" w:rsidR="00A11305" w:rsidRDefault="00B31A47" w:rsidP="00A11305">
      <w:pPr>
        <w:pStyle w:val="ACMAQuoteindented"/>
        <w:ind w:left="0"/>
        <w:rPr>
          <w:sz w:val="20"/>
        </w:rPr>
      </w:pPr>
      <w:r>
        <w:rPr>
          <w:sz w:val="20"/>
        </w:rPr>
        <w:t>W</w:t>
      </w:r>
      <w:r w:rsidR="005E209A">
        <w:rPr>
          <w:sz w:val="20"/>
        </w:rPr>
        <w:t>hen t</w:t>
      </w:r>
      <w:r w:rsidR="00A11305">
        <w:rPr>
          <w:sz w:val="20"/>
        </w:rPr>
        <w:t>aken as a whole</w:t>
      </w:r>
      <w:r w:rsidR="005E209A">
        <w:rPr>
          <w:sz w:val="20"/>
        </w:rPr>
        <w:t xml:space="preserve"> and in combination with the rhetorical question, ‘w</w:t>
      </w:r>
      <w:r w:rsidR="005E209A" w:rsidRPr="00F16D3F">
        <w:rPr>
          <w:sz w:val="20"/>
        </w:rPr>
        <w:t>hy is this murder weapon available in Queensland?</w:t>
      </w:r>
      <w:r w:rsidR="005E209A">
        <w:rPr>
          <w:sz w:val="20"/>
        </w:rPr>
        <w:t>’</w:t>
      </w:r>
      <w:r w:rsidR="00A11305">
        <w:rPr>
          <w:sz w:val="20"/>
        </w:rPr>
        <w:t xml:space="preserve">, </w:t>
      </w:r>
      <w:r>
        <w:rPr>
          <w:sz w:val="20"/>
        </w:rPr>
        <w:t xml:space="preserve">the ACMA considers that </w:t>
      </w:r>
      <w:r w:rsidR="00A11305">
        <w:rPr>
          <w:sz w:val="20"/>
        </w:rPr>
        <w:t xml:space="preserve">the </w:t>
      </w:r>
      <w:r>
        <w:rPr>
          <w:sz w:val="20"/>
        </w:rPr>
        <w:t>three phrases</w:t>
      </w:r>
      <w:r w:rsidR="00A11305">
        <w:rPr>
          <w:sz w:val="20"/>
        </w:rPr>
        <w:t xml:space="preserve"> convey</w:t>
      </w:r>
      <w:r>
        <w:rPr>
          <w:sz w:val="20"/>
        </w:rPr>
        <w:t>ed</w:t>
      </w:r>
      <w:r w:rsidR="00A11305">
        <w:rPr>
          <w:sz w:val="20"/>
        </w:rPr>
        <w:t xml:space="preserve"> to the ordinary reasonable viewer that the WT 15-01</w:t>
      </w:r>
      <w:r w:rsidR="005E209A">
        <w:rPr>
          <w:sz w:val="20"/>
        </w:rPr>
        <w:t xml:space="preserve"> is </w:t>
      </w:r>
      <w:r w:rsidR="004A2F99">
        <w:rPr>
          <w:sz w:val="20"/>
        </w:rPr>
        <w:t xml:space="preserve">functionally </w:t>
      </w:r>
      <w:r w:rsidR="00D24595">
        <w:rPr>
          <w:sz w:val="20"/>
        </w:rPr>
        <w:t>similar to a</w:t>
      </w:r>
      <w:r w:rsidR="005E209A">
        <w:rPr>
          <w:sz w:val="20"/>
        </w:rPr>
        <w:t xml:space="preserve"> </w:t>
      </w:r>
      <w:r>
        <w:rPr>
          <w:sz w:val="20"/>
        </w:rPr>
        <w:t>fully automatic weapon</w:t>
      </w:r>
      <w:r w:rsidR="00030F54">
        <w:rPr>
          <w:sz w:val="20"/>
        </w:rPr>
        <w:t xml:space="preserve">, </w:t>
      </w:r>
      <w:r w:rsidR="00C9547A">
        <w:rPr>
          <w:sz w:val="20"/>
        </w:rPr>
        <w:t xml:space="preserve">and </w:t>
      </w:r>
      <w:r w:rsidR="00AB7974">
        <w:rPr>
          <w:sz w:val="20"/>
        </w:rPr>
        <w:t xml:space="preserve">the availability of it </w:t>
      </w:r>
      <w:r w:rsidR="00D35FDC">
        <w:rPr>
          <w:sz w:val="20"/>
        </w:rPr>
        <w:t>is not restricted in the way it should be in Queensland</w:t>
      </w:r>
      <w:r w:rsidR="00D656FE">
        <w:rPr>
          <w:sz w:val="20"/>
        </w:rPr>
        <w:t>.</w:t>
      </w:r>
    </w:p>
    <w:p w14:paraId="4C034E25" w14:textId="77777777" w:rsidR="00A368E1" w:rsidRPr="00B11F35" w:rsidRDefault="00A368E1" w:rsidP="00151949">
      <w:pPr>
        <w:suppressAutoHyphens/>
        <w:spacing w:before="0" w:line="240" w:lineRule="atLeast"/>
        <w:rPr>
          <w:b/>
          <w:bCs/>
          <w:i w:val="0"/>
          <w:snapToGrid w:val="0"/>
          <w:szCs w:val="20"/>
        </w:rPr>
      </w:pPr>
      <w:r w:rsidRPr="00B11F35">
        <w:rPr>
          <w:b/>
          <w:bCs/>
          <w:i w:val="0"/>
          <w:snapToGrid w:val="0"/>
          <w:szCs w:val="20"/>
        </w:rPr>
        <w:t xml:space="preserve">Was the material factual in character? </w:t>
      </w:r>
    </w:p>
    <w:p w14:paraId="5AB31C49" w14:textId="4E45549D" w:rsidR="001B23EA" w:rsidRPr="00D47C41" w:rsidRDefault="001B23EA" w:rsidP="001B23EA">
      <w:pPr>
        <w:pStyle w:val="ACMABodyText"/>
        <w:rPr>
          <w:i/>
          <w:iCs/>
        </w:rPr>
      </w:pPr>
      <w:r w:rsidRPr="00D47C41">
        <w:rPr>
          <w:i/>
          <w:iCs/>
        </w:rPr>
        <w:t xml:space="preserve">The statement </w:t>
      </w:r>
      <w:r w:rsidR="00CC1C86">
        <w:rPr>
          <w:i/>
          <w:iCs/>
        </w:rPr>
        <w:t>‘</w:t>
      </w:r>
      <w:r>
        <w:rPr>
          <w:i/>
          <w:iCs/>
        </w:rPr>
        <w:t xml:space="preserve">it </w:t>
      </w:r>
      <w:r w:rsidRPr="00D47C41">
        <w:rPr>
          <w:i/>
          <w:iCs/>
        </w:rPr>
        <w:t>looks like a machine gun</w:t>
      </w:r>
      <w:r w:rsidR="00CC1C86">
        <w:rPr>
          <w:i/>
          <w:iCs/>
        </w:rPr>
        <w:t>’</w:t>
      </w:r>
    </w:p>
    <w:p w14:paraId="4F18C05C" w14:textId="77BBA516" w:rsidR="002A5C37" w:rsidRDefault="002A5C37" w:rsidP="002A5C37">
      <w:pPr>
        <w:pStyle w:val="ACMABodyText"/>
      </w:pPr>
      <w:r>
        <w:t xml:space="preserve">In the promotion, the statement, ‘it looks like a machine gun’ is accompanied by video footage of various firearms. This provides additional context to the statement. However, as noted under Issue 1.2, machine guns </w:t>
      </w:r>
      <w:r w:rsidRPr="00F63E6E">
        <w:t xml:space="preserve">are defined by their ability to deliver a rapid and continuous fire of bullets </w:t>
      </w:r>
      <w:r w:rsidR="00E348C1" w:rsidRPr="00F63E6E">
        <w:t xml:space="preserve">as long as the firer keeps pressure on the trigger </w:t>
      </w:r>
      <w:r>
        <w:t>rather than by</w:t>
      </w:r>
      <w:r w:rsidRPr="00F63E6E">
        <w:t xml:space="preserve"> their appearance</w:t>
      </w:r>
      <w:r>
        <w:t xml:space="preserve">. Consequently, despite the assistance of the visual in the </w:t>
      </w:r>
      <w:r w:rsidR="00295EA8">
        <w:t xml:space="preserve">promotion, </w:t>
      </w:r>
      <w:r>
        <w:t xml:space="preserve">the ACMA does not consider </w:t>
      </w:r>
      <w:r w:rsidR="001D38D1">
        <w:t>the</w:t>
      </w:r>
      <w:r>
        <w:t xml:space="preserve"> statement that alludes to something that ‘looks like’ a </w:t>
      </w:r>
      <w:r w:rsidR="005E7ECF">
        <w:t>‘</w:t>
      </w:r>
      <w:r>
        <w:t>machine gun’ is specific enough to be considered factual in character.</w:t>
      </w:r>
    </w:p>
    <w:p w14:paraId="09560511" w14:textId="7043CC44" w:rsidR="001B23EA" w:rsidRPr="00D47C41" w:rsidRDefault="001B23EA" w:rsidP="001B23EA">
      <w:pPr>
        <w:pStyle w:val="ACMABodyText"/>
        <w:rPr>
          <w:i/>
          <w:iCs/>
        </w:rPr>
      </w:pPr>
      <w:r w:rsidRPr="00D47C41">
        <w:rPr>
          <w:i/>
          <w:iCs/>
        </w:rPr>
        <w:t xml:space="preserve">The statement </w:t>
      </w:r>
      <w:r w:rsidR="00CC1C86">
        <w:rPr>
          <w:i/>
          <w:iCs/>
        </w:rPr>
        <w:t>‘</w:t>
      </w:r>
      <w:r>
        <w:rPr>
          <w:i/>
          <w:iCs/>
        </w:rPr>
        <w:t xml:space="preserve">it shoots </w:t>
      </w:r>
      <w:r w:rsidRPr="00D47C41">
        <w:rPr>
          <w:i/>
          <w:iCs/>
        </w:rPr>
        <w:t>like a machine gun</w:t>
      </w:r>
      <w:r w:rsidR="00CC1C86">
        <w:rPr>
          <w:i/>
          <w:iCs/>
        </w:rPr>
        <w:t>’</w:t>
      </w:r>
    </w:p>
    <w:p w14:paraId="400E8C81" w14:textId="0F6A5B17" w:rsidR="00A368E1" w:rsidRDefault="00806F3A" w:rsidP="00151949">
      <w:pPr>
        <w:pStyle w:val="ACMABodyText"/>
      </w:pPr>
      <w:r>
        <w:t>For the reasons discussed above in relation to the program, t</w:t>
      </w:r>
      <w:r w:rsidR="00A368E1">
        <w:t xml:space="preserve">he </w:t>
      </w:r>
      <w:r w:rsidR="00006BB1">
        <w:t>ACMA consider</w:t>
      </w:r>
      <w:r>
        <w:t>s</w:t>
      </w:r>
      <w:r w:rsidR="00006BB1">
        <w:t xml:space="preserve"> </w:t>
      </w:r>
      <w:r w:rsidR="005D1562">
        <w:t xml:space="preserve">that </w:t>
      </w:r>
      <w:r w:rsidR="00006BB1">
        <w:t xml:space="preserve">the </w:t>
      </w:r>
      <w:r w:rsidR="00A368E1">
        <w:t xml:space="preserve">statement </w:t>
      </w:r>
      <w:r w:rsidR="005F3C58">
        <w:t xml:space="preserve">‘it </w:t>
      </w:r>
      <w:r w:rsidR="001A1EE7">
        <w:t>shoots</w:t>
      </w:r>
      <w:r w:rsidR="00A368E1">
        <w:t xml:space="preserve"> like a machine gun’ </w:t>
      </w:r>
      <w:r w:rsidR="005D1562">
        <w:t>is</w:t>
      </w:r>
      <w:r w:rsidR="00A368E1">
        <w:t xml:space="preserve"> factual in character</w:t>
      </w:r>
      <w:r w:rsidR="00006BB1">
        <w:t>.</w:t>
      </w:r>
      <w:r w:rsidR="00A368E1">
        <w:t xml:space="preserve"> </w:t>
      </w:r>
      <w:r w:rsidR="005D1562">
        <w:t>In the context of this promotion, the specific meaning in th</w:t>
      </w:r>
      <w:r w:rsidR="000C0D28">
        <w:t>e</w:t>
      </w:r>
      <w:r w:rsidR="005D1562">
        <w:t xml:space="preserve"> statement is further strengthened by the accompanying video footage.</w:t>
      </w:r>
    </w:p>
    <w:p w14:paraId="5C7171D3" w14:textId="5440B277" w:rsidR="001B23EA" w:rsidRPr="00D47C41" w:rsidRDefault="001B23EA" w:rsidP="001B23EA">
      <w:pPr>
        <w:pStyle w:val="ACMABodyText"/>
        <w:rPr>
          <w:i/>
          <w:iCs/>
        </w:rPr>
      </w:pPr>
      <w:r w:rsidRPr="00D47C41">
        <w:rPr>
          <w:i/>
          <w:iCs/>
        </w:rPr>
        <w:t xml:space="preserve">The statement </w:t>
      </w:r>
      <w:r w:rsidR="00CC1C86">
        <w:rPr>
          <w:i/>
          <w:iCs/>
        </w:rPr>
        <w:t>‘</w:t>
      </w:r>
      <w:r>
        <w:rPr>
          <w:i/>
          <w:iCs/>
        </w:rPr>
        <w:t xml:space="preserve">it kills </w:t>
      </w:r>
      <w:r w:rsidRPr="00D47C41">
        <w:rPr>
          <w:i/>
          <w:iCs/>
        </w:rPr>
        <w:t>like a machine gun</w:t>
      </w:r>
      <w:r w:rsidR="00CC1C86">
        <w:rPr>
          <w:i/>
          <w:iCs/>
        </w:rPr>
        <w:t>’</w:t>
      </w:r>
    </w:p>
    <w:p w14:paraId="289E9E23" w14:textId="4D7C5E69" w:rsidR="006E1667" w:rsidRDefault="00806F3A" w:rsidP="00151949">
      <w:pPr>
        <w:pStyle w:val="ACMABodyText"/>
      </w:pPr>
      <w:r>
        <w:t>For the reasons discussed above in relation to the program, t</w:t>
      </w:r>
      <w:r w:rsidR="005D1562">
        <w:t xml:space="preserve">he ACMA </w:t>
      </w:r>
      <w:r>
        <w:t xml:space="preserve">considers </w:t>
      </w:r>
      <w:r w:rsidR="00E17094">
        <w:t>that</w:t>
      </w:r>
      <w:r>
        <w:t xml:space="preserve"> a statement about</w:t>
      </w:r>
      <w:r w:rsidR="00E17094">
        <w:t xml:space="preserve"> the WT 15-01</w:t>
      </w:r>
      <w:r w:rsidR="00A211F9">
        <w:t>’s</w:t>
      </w:r>
      <w:r w:rsidR="00E17094">
        <w:t xml:space="preserve"> c</w:t>
      </w:r>
      <w:r w:rsidR="00A211F9">
        <w:t>apacity to kill is factual in character</w:t>
      </w:r>
      <w:r w:rsidR="005D1562">
        <w:t xml:space="preserve">. </w:t>
      </w:r>
      <w:r w:rsidR="0018076E">
        <w:t>T</w:t>
      </w:r>
      <w:r w:rsidR="00144D2E">
        <w:t xml:space="preserve">he firing rate of the WT 15-01 </w:t>
      </w:r>
      <w:r w:rsidR="006E1667">
        <w:t>compared to a machine gun</w:t>
      </w:r>
      <w:r w:rsidR="00A211F9">
        <w:t xml:space="preserve"> is </w:t>
      </w:r>
      <w:r w:rsidR="0018076E">
        <w:t xml:space="preserve">also a matter that is </w:t>
      </w:r>
      <w:r w:rsidR="00A211F9">
        <w:t>factual in character</w:t>
      </w:r>
      <w:r w:rsidR="005D1562">
        <w:t>. It therefore</w:t>
      </w:r>
      <w:r w:rsidR="00A211F9">
        <w:t xml:space="preserve"> follows that the </w:t>
      </w:r>
      <w:r w:rsidR="0053709E">
        <w:t>rate at</w:t>
      </w:r>
      <w:r w:rsidR="00311876">
        <w:t xml:space="preserve"> </w:t>
      </w:r>
      <w:r w:rsidR="0053709E">
        <w:t xml:space="preserve">which </w:t>
      </w:r>
      <w:r w:rsidR="00A211F9">
        <w:t xml:space="preserve">the WT 15-01 can </w:t>
      </w:r>
      <w:r w:rsidR="0053709E">
        <w:t>kill</w:t>
      </w:r>
      <w:r w:rsidR="00A211F9">
        <w:t xml:space="preserve"> </w:t>
      </w:r>
      <w:r w:rsidR="005D1562">
        <w:t>compared to the types of automatic weapons shown in the promo</w:t>
      </w:r>
      <w:r w:rsidR="008E65B8">
        <w:t>tion</w:t>
      </w:r>
      <w:r w:rsidR="005D1562">
        <w:t xml:space="preserve"> </w:t>
      </w:r>
      <w:r w:rsidR="00A211F9">
        <w:t>would also be factual in character</w:t>
      </w:r>
      <w:r w:rsidR="0053709E">
        <w:t>.</w:t>
      </w:r>
      <w:r w:rsidR="00311876">
        <w:t xml:space="preserve"> </w:t>
      </w:r>
      <w:r w:rsidR="006E1667">
        <w:t xml:space="preserve">Therefore, the statement is specific, </w:t>
      </w:r>
      <w:r w:rsidR="006E1667" w:rsidRPr="00E36541">
        <w:t>unequivocal and capable of independent verification.</w:t>
      </w:r>
    </w:p>
    <w:p w14:paraId="2BCB1280" w14:textId="0F033DD6" w:rsidR="005D1562" w:rsidRDefault="00327E04" w:rsidP="00151949">
      <w:pPr>
        <w:pStyle w:val="ACMABodyText"/>
      </w:pPr>
      <w:r>
        <w:t>I</w:t>
      </w:r>
      <w:r w:rsidR="005D1562">
        <w:t>n combination with the accompanying images, the ACMA considers that the statement</w:t>
      </w:r>
      <w:r>
        <w:t>s</w:t>
      </w:r>
      <w:r w:rsidR="005D1562">
        <w:t xml:space="preserve"> ‘</w:t>
      </w:r>
      <w:r w:rsidR="005D1562" w:rsidRPr="005D1562">
        <w:t>it shoots like a machine gun</w:t>
      </w:r>
      <w:r>
        <w:t>’ and ‘</w:t>
      </w:r>
      <w:r w:rsidR="005D1562" w:rsidRPr="005D1562">
        <w:t>it kills like a machine gun</w:t>
      </w:r>
      <w:r w:rsidR="005D1562">
        <w:t xml:space="preserve">’ </w:t>
      </w:r>
      <w:r w:rsidR="00112FAA">
        <w:t>are</w:t>
      </w:r>
      <w:r w:rsidR="005D1562">
        <w:t xml:space="preserve"> factual in character.</w:t>
      </w:r>
    </w:p>
    <w:p w14:paraId="6174F1FD" w14:textId="77777777" w:rsidR="00A5101E" w:rsidRDefault="00A5101E" w:rsidP="00A5101E">
      <w:pPr>
        <w:pStyle w:val="ACMAQuoteindented"/>
        <w:ind w:left="0"/>
        <w:rPr>
          <w:b/>
          <w:bCs/>
          <w:sz w:val="20"/>
        </w:rPr>
      </w:pPr>
      <w:r>
        <w:rPr>
          <w:b/>
          <w:bCs/>
          <w:sz w:val="20"/>
        </w:rPr>
        <w:lastRenderedPageBreak/>
        <w:t>D</w:t>
      </w:r>
      <w:r w:rsidRPr="00A90B3B">
        <w:rPr>
          <w:b/>
          <w:bCs/>
          <w:sz w:val="20"/>
        </w:rPr>
        <w:t xml:space="preserve">id </w:t>
      </w:r>
      <w:r>
        <w:rPr>
          <w:b/>
          <w:bCs/>
          <w:sz w:val="20"/>
        </w:rPr>
        <w:t>the factual material</w:t>
      </w:r>
      <w:r w:rsidRPr="00A90B3B">
        <w:rPr>
          <w:b/>
          <w:bCs/>
          <w:sz w:val="20"/>
        </w:rPr>
        <w:t xml:space="preserve"> convey a material fact or facts in the context of the promotion?</w:t>
      </w:r>
    </w:p>
    <w:p w14:paraId="5E74711E" w14:textId="5042C9AB" w:rsidR="00A5101E" w:rsidRPr="00A90B3B" w:rsidRDefault="00B4450D" w:rsidP="00A5101E">
      <w:pPr>
        <w:pStyle w:val="ACMAQuoteindented"/>
        <w:ind w:left="0"/>
        <w:rPr>
          <w:sz w:val="20"/>
        </w:rPr>
      </w:pPr>
      <w:r w:rsidRPr="008917D6">
        <w:rPr>
          <w:sz w:val="20"/>
        </w:rPr>
        <w:t>Although t</w:t>
      </w:r>
      <w:r w:rsidR="00A5101E" w:rsidRPr="008917D6">
        <w:rPr>
          <w:sz w:val="20"/>
        </w:rPr>
        <w:t xml:space="preserve">he promotion concerned a report about the </w:t>
      </w:r>
      <w:r w:rsidRPr="008917D6">
        <w:rPr>
          <w:sz w:val="20"/>
        </w:rPr>
        <w:t>re</w:t>
      </w:r>
      <w:r w:rsidR="00A5101E" w:rsidRPr="008917D6">
        <w:rPr>
          <w:sz w:val="20"/>
        </w:rPr>
        <w:t xml:space="preserve">classification </w:t>
      </w:r>
      <w:r w:rsidR="000D0A36" w:rsidRPr="008917D6">
        <w:rPr>
          <w:sz w:val="20"/>
        </w:rPr>
        <w:t>and restrictions on ownership of the WT 15-01</w:t>
      </w:r>
      <w:r w:rsidRPr="008917D6">
        <w:rPr>
          <w:sz w:val="20"/>
        </w:rPr>
        <w:t>, t</w:t>
      </w:r>
      <w:r w:rsidR="00A5101E" w:rsidRPr="008917D6">
        <w:rPr>
          <w:sz w:val="20"/>
        </w:rPr>
        <w:t>he promotion invited viewers to consider whether the firearm should be available to the public</w:t>
      </w:r>
      <w:r w:rsidR="000D0A36" w:rsidRPr="008917D6">
        <w:rPr>
          <w:sz w:val="20"/>
        </w:rPr>
        <w:t xml:space="preserve"> as a weapon akin to a machine gun</w:t>
      </w:r>
      <w:r w:rsidR="00A5101E" w:rsidRPr="008917D6">
        <w:rPr>
          <w:sz w:val="20"/>
        </w:rPr>
        <w:t>. In this context, factual statements that compared the WT 15-01 to automatic weapons</w:t>
      </w:r>
      <w:r w:rsidR="000D0A36" w:rsidRPr="008917D6">
        <w:rPr>
          <w:sz w:val="20"/>
        </w:rPr>
        <w:t xml:space="preserve"> </w:t>
      </w:r>
      <w:r w:rsidR="00A5101E" w:rsidRPr="008917D6">
        <w:rPr>
          <w:sz w:val="20"/>
        </w:rPr>
        <w:t>were material.</w:t>
      </w:r>
    </w:p>
    <w:p w14:paraId="34680A2F" w14:textId="77777777" w:rsidR="003A4128" w:rsidRPr="009368A5" w:rsidRDefault="003A4128" w:rsidP="00151949">
      <w:pPr>
        <w:pStyle w:val="ACMABodyText"/>
        <w:rPr>
          <w:b/>
        </w:rPr>
      </w:pPr>
      <w:r w:rsidRPr="009368A5">
        <w:rPr>
          <w:b/>
        </w:rPr>
        <w:t>Was the material accurate?</w:t>
      </w:r>
    </w:p>
    <w:p w14:paraId="177EAA28" w14:textId="50B8AC6C" w:rsidR="0064137D" w:rsidRPr="000B75BA" w:rsidRDefault="001201C4" w:rsidP="00151949">
      <w:pPr>
        <w:pStyle w:val="ACMABodyText0"/>
        <w:snapToGrid w:val="0"/>
        <w:spacing w:before="0" w:after="240" w:line="240" w:lineRule="atLeast"/>
        <w:rPr>
          <w:rFonts w:ascii="Arial" w:hAnsi="Arial" w:cs="Arial"/>
          <w:sz w:val="20"/>
        </w:rPr>
      </w:pPr>
      <w:r>
        <w:rPr>
          <w:rFonts w:ascii="Arial" w:hAnsi="Arial" w:cs="Arial"/>
          <w:sz w:val="20"/>
        </w:rPr>
        <w:t xml:space="preserve">As </w:t>
      </w:r>
      <w:r w:rsidR="004F06B2">
        <w:rPr>
          <w:rFonts w:ascii="Arial" w:hAnsi="Arial" w:cs="Arial"/>
          <w:sz w:val="20"/>
        </w:rPr>
        <w:t>noted above</w:t>
      </w:r>
      <w:r w:rsidR="003E1CC5">
        <w:rPr>
          <w:rFonts w:ascii="Arial" w:hAnsi="Arial" w:cs="Arial"/>
          <w:sz w:val="20"/>
        </w:rPr>
        <w:t>,</w:t>
      </w:r>
      <w:r>
        <w:rPr>
          <w:rFonts w:ascii="Arial" w:hAnsi="Arial" w:cs="Arial"/>
          <w:sz w:val="20"/>
        </w:rPr>
        <w:t xml:space="preserve"> </w:t>
      </w:r>
      <w:r w:rsidR="00646DB8">
        <w:rPr>
          <w:rFonts w:ascii="Arial" w:hAnsi="Arial" w:cs="Arial"/>
          <w:sz w:val="20"/>
        </w:rPr>
        <w:t>the WT 15-01 is only capable of semi-automatic fire</w:t>
      </w:r>
      <w:r w:rsidR="00367ABC">
        <w:rPr>
          <w:rFonts w:ascii="Arial" w:hAnsi="Arial" w:cs="Arial"/>
          <w:sz w:val="20"/>
        </w:rPr>
        <w:t xml:space="preserve"> while </w:t>
      </w:r>
      <w:r w:rsidR="0081644D">
        <w:rPr>
          <w:rFonts w:ascii="Arial" w:hAnsi="Arial" w:cs="Arial"/>
          <w:sz w:val="20"/>
        </w:rPr>
        <w:t xml:space="preserve">machine </w:t>
      </w:r>
      <w:r w:rsidR="00174B1D">
        <w:rPr>
          <w:rFonts w:ascii="Arial" w:hAnsi="Arial" w:cs="Arial"/>
          <w:sz w:val="20"/>
        </w:rPr>
        <w:t>gun</w:t>
      </w:r>
      <w:r w:rsidR="004B0BFA">
        <w:rPr>
          <w:rFonts w:ascii="Arial" w:hAnsi="Arial" w:cs="Arial"/>
          <w:sz w:val="20"/>
        </w:rPr>
        <w:t>s</w:t>
      </w:r>
      <w:r w:rsidR="00174B1D">
        <w:rPr>
          <w:rFonts w:ascii="Arial" w:hAnsi="Arial" w:cs="Arial"/>
          <w:sz w:val="20"/>
        </w:rPr>
        <w:t xml:space="preserve"> </w:t>
      </w:r>
      <w:r w:rsidR="004B0BFA">
        <w:rPr>
          <w:rFonts w:ascii="Arial" w:hAnsi="Arial" w:cs="Arial"/>
          <w:sz w:val="20"/>
        </w:rPr>
        <w:t>(</w:t>
      </w:r>
      <w:r w:rsidR="0081644D">
        <w:rPr>
          <w:rFonts w:ascii="Arial" w:hAnsi="Arial" w:cs="Arial"/>
          <w:sz w:val="20"/>
        </w:rPr>
        <w:t xml:space="preserve">like the </w:t>
      </w:r>
      <w:r>
        <w:rPr>
          <w:rFonts w:ascii="Arial" w:hAnsi="Arial" w:cs="Arial"/>
          <w:sz w:val="20"/>
        </w:rPr>
        <w:t>majority of those</w:t>
      </w:r>
      <w:r w:rsidR="00517B20">
        <w:rPr>
          <w:rFonts w:ascii="Arial" w:hAnsi="Arial" w:cs="Arial"/>
          <w:sz w:val="20"/>
        </w:rPr>
        <w:t xml:space="preserve"> featured in the </w:t>
      </w:r>
      <w:r w:rsidR="004B0BFA">
        <w:rPr>
          <w:rFonts w:ascii="Arial" w:hAnsi="Arial" w:cs="Arial"/>
          <w:sz w:val="20"/>
        </w:rPr>
        <w:t xml:space="preserve">footage during the </w:t>
      </w:r>
      <w:r w:rsidR="00517B20">
        <w:rPr>
          <w:rFonts w:ascii="Arial" w:hAnsi="Arial" w:cs="Arial"/>
          <w:sz w:val="20"/>
        </w:rPr>
        <w:t>promotion</w:t>
      </w:r>
      <w:r w:rsidR="004B0BFA">
        <w:rPr>
          <w:rFonts w:ascii="Arial" w:hAnsi="Arial" w:cs="Arial"/>
          <w:sz w:val="20"/>
        </w:rPr>
        <w:t>)</w:t>
      </w:r>
      <w:r w:rsidR="00517B20">
        <w:rPr>
          <w:rFonts w:ascii="Arial" w:hAnsi="Arial" w:cs="Arial"/>
          <w:sz w:val="20"/>
        </w:rPr>
        <w:t xml:space="preserve"> </w:t>
      </w:r>
      <w:r w:rsidR="00174B1D">
        <w:rPr>
          <w:rFonts w:ascii="Arial" w:hAnsi="Arial" w:cs="Arial"/>
          <w:sz w:val="20"/>
        </w:rPr>
        <w:t>are</w:t>
      </w:r>
      <w:r w:rsidR="00517B20">
        <w:rPr>
          <w:rFonts w:ascii="Arial" w:hAnsi="Arial" w:cs="Arial"/>
          <w:sz w:val="20"/>
        </w:rPr>
        <w:t xml:space="preserve"> capable of automatic fire</w:t>
      </w:r>
      <w:r w:rsidR="00EF3EAD">
        <w:rPr>
          <w:rFonts w:ascii="Arial" w:hAnsi="Arial" w:cs="Arial"/>
          <w:sz w:val="20"/>
        </w:rPr>
        <w:t>.</w:t>
      </w:r>
      <w:r w:rsidR="00311876">
        <w:rPr>
          <w:rFonts w:ascii="Arial" w:hAnsi="Arial" w:cs="Arial"/>
          <w:sz w:val="20"/>
        </w:rPr>
        <w:t xml:space="preserve"> Therefore, </w:t>
      </w:r>
      <w:r w:rsidR="00517B20">
        <w:rPr>
          <w:rFonts w:ascii="Arial" w:hAnsi="Arial" w:cs="Arial"/>
          <w:sz w:val="20"/>
        </w:rPr>
        <w:t xml:space="preserve">the </w:t>
      </w:r>
      <w:r w:rsidR="00233BF5">
        <w:rPr>
          <w:rFonts w:ascii="Arial" w:hAnsi="Arial" w:cs="Arial"/>
          <w:sz w:val="20"/>
        </w:rPr>
        <w:t xml:space="preserve">statement that the </w:t>
      </w:r>
      <w:r w:rsidR="001676EE">
        <w:rPr>
          <w:rFonts w:ascii="Arial" w:hAnsi="Arial" w:cs="Arial"/>
          <w:sz w:val="20"/>
        </w:rPr>
        <w:t>WT 15-01 ‘shoot</w:t>
      </w:r>
      <w:r w:rsidR="00233BF5">
        <w:rPr>
          <w:rFonts w:ascii="Arial" w:hAnsi="Arial" w:cs="Arial"/>
          <w:sz w:val="20"/>
        </w:rPr>
        <w:t>s</w:t>
      </w:r>
      <w:r w:rsidR="001676EE">
        <w:rPr>
          <w:rFonts w:ascii="Arial" w:hAnsi="Arial" w:cs="Arial"/>
          <w:sz w:val="20"/>
        </w:rPr>
        <w:t xml:space="preserve"> like a machine gun’</w:t>
      </w:r>
      <w:r w:rsidR="00233BF5">
        <w:rPr>
          <w:rFonts w:ascii="Arial" w:hAnsi="Arial" w:cs="Arial"/>
          <w:sz w:val="20"/>
        </w:rPr>
        <w:t xml:space="preserve"> is inaccurate</w:t>
      </w:r>
      <w:r w:rsidR="001676EE">
        <w:rPr>
          <w:rFonts w:ascii="Arial" w:hAnsi="Arial" w:cs="Arial"/>
          <w:sz w:val="20"/>
        </w:rPr>
        <w:t>.</w:t>
      </w:r>
    </w:p>
    <w:p w14:paraId="08D0E706" w14:textId="50B019F7" w:rsidR="00C13DBB" w:rsidRDefault="00311876" w:rsidP="00151949">
      <w:pPr>
        <w:pStyle w:val="ACMABodyText0"/>
        <w:snapToGrid w:val="0"/>
        <w:spacing w:before="0" w:after="240" w:line="240" w:lineRule="atLeast"/>
        <w:rPr>
          <w:rFonts w:ascii="Arial" w:hAnsi="Arial" w:cs="Arial"/>
          <w:sz w:val="20"/>
        </w:rPr>
      </w:pPr>
      <w:r>
        <w:rPr>
          <w:rFonts w:ascii="Arial" w:hAnsi="Arial" w:cs="Arial"/>
          <w:sz w:val="20"/>
        </w:rPr>
        <w:t>As a</w:t>
      </w:r>
      <w:r w:rsidR="00372D12">
        <w:rPr>
          <w:rFonts w:ascii="Arial" w:hAnsi="Arial" w:cs="Arial"/>
          <w:sz w:val="20"/>
        </w:rPr>
        <w:t xml:space="preserve"> </w:t>
      </w:r>
      <w:r w:rsidR="00486F1C">
        <w:rPr>
          <w:rFonts w:ascii="Arial" w:hAnsi="Arial" w:cs="Arial"/>
          <w:sz w:val="20"/>
        </w:rPr>
        <w:t xml:space="preserve">machine gun </w:t>
      </w:r>
      <w:r w:rsidR="00FE4D11">
        <w:rPr>
          <w:rFonts w:ascii="Arial" w:hAnsi="Arial" w:cs="Arial"/>
          <w:sz w:val="20"/>
        </w:rPr>
        <w:t>is capable of automatic fire</w:t>
      </w:r>
      <w:r w:rsidR="001C49F2">
        <w:rPr>
          <w:rFonts w:ascii="Arial" w:hAnsi="Arial" w:cs="Arial"/>
          <w:sz w:val="20"/>
        </w:rPr>
        <w:t>,</w:t>
      </w:r>
      <w:r w:rsidR="00FE4D11">
        <w:rPr>
          <w:rFonts w:ascii="Arial" w:hAnsi="Arial" w:cs="Arial"/>
          <w:sz w:val="20"/>
        </w:rPr>
        <w:t xml:space="preserve"> </w:t>
      </w:r>
      <w:r w:rsidR="00372D12">
        <w:rPr>
          <w:rFonts w:ascii="Arial" w:hAnsi="Arial" w:cs="Arial"/>
          <w:sz w:val="20"/>
        </w:rPr>
        <w:t xml:space="preserve">it </w:t>
      </w:r>
      <w:r w:rsidR="00FE4D11">
        <w:rPr>
          <w:rFonts w:ascii="Arial" w:hAnsi="Arial" w:cs="Arial"/>
          <w:sz w:val="20"/>
        </w:rPr>
        <w:t xml:space="preserve">shoots at a </w:t>
      </w:r>
      <w:r w:rsidR="005357A2">
        <w:rPr>
          <w:rFonts w:ascii="Arial" w:hAnsi="Arial" w:cs="Arial"/>
          <w:sz w:val="20"/>
        </w:rPr>
        <w:t xml:space="preserve">significantly </w:t>
      </w:r>
      <w:r w:rsidR="001201C4">
        <w:rPr>
          <w:rFonts w:ascii="Arial" w:hAnsi="Arial" w:cs="Arial"/>
          <w:sz w:val="20"/>
        </w:rPr>
        <w:t xml:space="preserve">faster </w:t>
      </w:r>
      <w:r w:rsidR="00FE4D11">
        <w:rPr>
          <w:rFonts w:ascii="Arial" w:hAnsi="Arial" w:cs="Arial"/>
          <w:sz w:val="20"/>
        </w:rPr>
        <w:t xml:space="preserve">rate than a </w:t>
      </w:r>
      <w:r w:rsidR="00257ABE">
        <w:rPr>
          <w:rFonts w:ascii="Arial" w:hAnsi="Arial" w:cs="Arial"/>
          <w:sz w:val="20"/>
        </w:rPr>
        <w:t>semi-automatic weapon such as the WT 15-01. Therefore, although both weapons can kill</w:t>
      </w:r>
      <w:r w:rsidR="005357A2">
        <w:rPr>
          <w:rFonts w:ascii="Arial" w:hAnsi="Arial" w:cs="Arial"/>
          <w:sz w:val="20"/>
        </w:rPr>
        <w:t>,</w:t>
      </w:r>
      <w:r w:rsidR="00257ABE">
        <w:rPr>
          <w:rFonts w:ascii="Arial" w:hAnsi="Arial" w:cs="Arial"/>
          <w:sz w:val="20"/>
        </w:rPr>
        <w:t xml:space="preserve"> </w:t>
      </w:r>
      <w:r w:rsidR="001C49F2">
        <w:rPr>
          <w:rFonts w:ascii="Arial" w:hAnsi="Arial" w:cs="Arial"/>
          <w:sz w:val="20"/>
        </w:rPr>
        <w:t xml:space="preserve">a machine </w:t>
      </w:r>
      <w:r w:rsidR="005357A2">
        <w:rPr>
          <w:rFonts w:ascii="Arial" w:hAnsi="Arial" w:cs="Arial"/>
          <w:sz w:val="20"/>
        </w:rPr>
        <w:t xml:space="preserve">gun </w:t>
      </w:r>
      <w:r w:rsidR="001C49F2">
        <w:rPr>
          <w:rFonts w:ascii="Arial" w:hAnsi="Arial" w:cs="Arial"/>
          <w:sz w:val="20"/>
        </w:rPr>
        <w:t>has the capa</w:t>
      </w:r>
      <w:r w:rsidR="00300354">
        <w:rPr>
          <w:rFonts w:ascii="Arial" w:hAnsi="Arial" w:cs="Arial"/>
          <w:sz w:val="20"/>
        </w:rPr>
        <w:t>city</w:t>
      </w:r>
      <w:r w:rsidR="001C49F2">
        <w:rPr>
          <w:rFonts w:ascii="Arial" w:hAnsi="Arial" w:cs="Arial"/>
          <w:sz w:val="20"/>
        </w:rPr>
        <w:t xml:space="preserve"> to kill </w:t>
      </w:r>
      <w:r w:rsidR="004F06B2">
        <w:rPr>
          <w:rFonts w:ascii="Arial" w:hAnsi="Arial" w:cs="Arial"/>
          <w:sz w:val="20"/>
        </w:rPr>
        <w:t xml:space="preserve">at a higher rate </w:t>
      </w:r>
      <w:r>
        <w:rPr>
          <w:rFonts w:ascii="Arial" w:hAnsi="Arial" w:cs="Arial"/>
          <w:sz w:val="20"/>
        </w:rPr>
        <w:t>than</w:t>
      </w:r>
      <w:r w:rsidR="00CF5C28">
        <w:rPr>
          <w:rFonts w:ascii="Arial" w:hAnsi="Arial" w:cs="Arial"/>
          <w:sz w:val="20"/>
        </w:rPr>
        <w:t xml:space="preserve"> a semi-</w:t>
      </w:r>
      <w:r w:rsidR="00855C5A">
        <w:rPr>
          <w:rFonts w:ascii="Arial" w:hAnsi="Arial" w:cs="Arial"/>
          <w:sz w:val="20"/>
        </w:rPr>
        <w:t>automatic</w:t>
      </w:r>
      <w:r w:rsidR="0009351C">
        <w:rPr>
          <w:rFonts w:ascii="Arial" w:hAnsi="Arial" w:cs="Arial"/>
          <w:sz w:val="20"/>
        </w:rPr>
        <w:t xml:space="preserve"> firearm</w:t>
      </w:r>
      <w:r w:rsidR="00C42F27">
        <w:rPr>
          <w:rFonts w:ascii="Arial" w:hAnsi="Arial" w:cs="Arial"/>
          <w:sz w:val="20"/>
        </w:rPr>
        <w:t xml:space="preserve">. </w:t>
      </w:r>
      <w:r w:rsidR="00C57D1E">
        <w:rPr>
          <w:rFonts w:ascii="Arial" w:hAnsi="Arial" w:cs="Arial"/>
          <w:sz w:val="20"/>
        </w:rPr>
        <w:t>Consequently</w:t>
      </w:r>
      <w:r w:rsidR="009E079C">
        <w:rPr>
          <w:rFonts w:ascii="Arial" w:hAnsi="Arial" w:cs="Arial"/>
          <w:sz w:val="20"/>
        </w:rPr>
        <w:t>, the W</w:t>
      </w:r>
      <w:r w:rsidR="00855C5A">
        <w:rPr>
          <w:rFonts w:ascii="Arial" w:hAnsi="Arial" w:cs="Arial"/>
          <w:sz w:val="20"/>
        </w:rPr>
        <w:t>T</w:t>
      </w:r>
      <w:r w:rsidR="009E079C">
        <w:rPr>
          <w:rFonts w:ascii="Arial" w:hAnsi="Arial" w:cs="Arial"/>
          <w:sz w:val="20"/>
        </w:rPr>
        <w:t xml:space="preserve"> 15-01 </w:t>
      </w:r>
      <w:r w:rsidR="009C5D67">
        <w:rPr>
          <w:rFonts w:ascii="Arial" w:hAnsi="Arial" w:cs="Arial"/>
          <w:sz w:val="20"/>
        </w:rPr>
        <w:t>cannot be said to</w:t>
      </w:r>
      <w:r w:rsidR="009E079C">
        <w:rPr>
          <w:rFonts w:ascii="Arial" w:hAnsi="Arial" w:cs="Arial"/>
          <w:sz w:val="20"/>
        </w:rPr>
        <w:t xml:space="preserve"> </w:t>
      </w:r>
      <w:r w:rsidR="00CC11AD">
        <w:rPr>
          <w:rFonts w:ascii="Arial" w:hAnsi="Arial" w:cs="Arial"/>
          <w:sz w:val="20"/>
        </w:rPr>
        <w:t>‘kill like a machine gun’</w:t>
      </w:r>
      <w:r w:rsidR="00855C5A">
        <w:rPr>
          <w:rFonts w:ascii="Arial" w:hAnsi="Arial" w:cs="Arial"/>
          <w:sz w:val="20"/>
        </w:rPr>
        <w:t>.</w:t>
      </w:r>
      <w:r w:rsidR="00C57D1E">
        <w:rPr>
          <w:rFonts w:ascii="Arial" w:hAnsi="Arial" w:cs="Arial"/>
          <w:sz w:val="20"/>
        </w:rPr>
        <w:t xml:space="preserve"> </w:t>
      </w:r>
    </w:p>
    <w:p w14:paraId="356E872D" w14:textId="7B138C7A" w:rsidR="004F06B2" w:rsidRDefault="004F06B2" w:rsidP="004F06B2">
      <w:pPr>
        <w:pStyle w:val="ACMABodyText0"/>
        <w:snapToGrid w:val="0"/>
        <w:spacing w:before="0" w:after="240" w:line="240" w:lineRule="atLeast"/>
        <w:rPr>
          <w:rFonts w:ascii="Arial" w:hAnsi="Arial" w:cs="Arial"/>
          <w:sz w:val="20"/>
        </w:rPr>
      </w:pPr>
      <w:r w:rsidRPr="00827A70">
        <w:rPr>
          <w:rFonts w:ascii="Arial" w:hAnsi="Arial" w:cs="Arial"/>
          <w:sz w:val="20"/>
        </w:rPr>
        <w:t xml:space="preserve">Based on the above discussion, the ACMA considers that material facts </w:t>
      </w:r>
      <w:r w:rsidR="0005479B">
        <w:rPr>
          <w:rFonts w:ascii="Arial" w:hAnsi="Arial" w:cs="Arial"/>
          <w:sz w:val="20"/>
        </w:rPr>
        <w:t xml:space="preserve">included in the statement </w:t>
      </w:r>
      <w:r>
        <w:rPr>
          <w:rFonts w:ascii="Arial" w:hAnsi="Arial" w:cs="Arial"/>
          <w:sz w:val="20"/>
        </w:rPr>
        <w:t>were inaccurate.</w:t>
      </w:r>
    </w:p>
    <w:p w14:paraId="38012187" w14:textId="451C5249" w:rsidR="00E05711" w:rsidRPr="00D656FE" w:rsidRDefault="00E05711" w:rsidP="004F06B2">
      <w:pPr>
        <w:pStyle w:val="ACMABodyText0"/>
        <w:snapToGrid w:val="0"/>
        <w:spacing w:before="0" w:after="240" w:line="240" w:lineRule="atLeast"/>
        <w:rPr>
          <w:rFonts w:ascii="Arial" w:hAnsi="Arial" w:cs="Arial"/>
          <w:b/>
          <w:sz w:val="20"/>
        </w:rPr>
      </w:pPr>
      <w:r w:rsidRPr="00D656FE">
        <w:rPr>
          <w:rFonts w:ascii="Arial" w:hAnsi="Arial" w:cs="Arial"/>
          <w:b/>
          <w:sz w:val="20"/>
        </w:rPr>
        <w:t>Having regard to the brevity of the program promotion, was it practic</w:t>
      </w:r>
      <w:r w:rsidR="00F674C1" w:rsidRPr="00D656FE">
        <w:rPr>
          <w:rFonts w:ascii="Arial" w:hAnsi="Arial" w:cs="Arial"/>
          <w:b/>
          <w:sz w:val="20"/>
        </w:rPr>
        <w:t>able for the licensee to comply with clause 3.3</w:t>
      </w:r>
      <w:r w:rsidR="00523256">
        <w:rPr>
          <w:rFonts w:ascii="Arial" w:hAnsi="Arial" w:cs="Arial"/>
          <w:b/>
          <w:sz w:val="20"/>
        </w:rPr>
        <w:t>.1</w:t>
      </w:r>
      <w:r w:rsidR="00F674C1" w:rsidRPr="00D656FE">
        <w:rPr>
          <w:rFonts w:ascii="Arial" w:hAnsi="Arial" w:cs="Arial"/>
          <w:b/>
          <w:sz w:val="20"/>
        </w:rPr>
        <w:t xml:space="preserve"> in the circumstances?</w:t>
      </w:r>
    </w:p>
    <w:p w14:paraId="79DA365A" w14:textId="5B49F81C" w:rsidR="001509A5" w:rsidRDefault="007B45E0" w:rsidP="00151949">
      <w:pPr>
        <w:pStyle w:val="ACMABodyText0"/>
        <w:snapToGrid w:val="0"/>
        <w:spacing w:before="0" w:after="240" w:line="240" w:lineRule="atLeast"/>
        <w:rPr>
          <w:rFonts w:ascii="Arial" w:hAnsi="Arial" w:cs="Arial"/>
          <w:sz w:val="20"/>
        </w:rPr>
      </w:pPr>
      <w:r>
        <w:rPr>
          <w:rFonts w:ascii="Arial" w:hAnsi="Arial" w:cs="Arial"/>
          <w:sz w:val="20"/>
        </w:rPr>
        <w:t>T</w:t>
      </w:r>
      <w:r w:rsidR="00312A6A">
        <w:rPr>
          <w:rFonts w:ascii="Arial" w:hAnsi="Arial" w:cs="Arial"/>
          <w:sz w:val="20"/>
        </w:rPr>
        <w:t xml:space="preserve">he ACMA acknowledges </w:t>
      </w:r>
      <w:r w:rsidR="00F674C1">
        <w:rPr>
          <w:rFonts w:ascii="Arial" w:hAnsi="Arial" w:cs="Arial"/>
          <w:sz w:val="20"/>
        </w:rPr>
        <w:t xml:space="preserve">and agrees with </w:t>
      </w:r>
      <w:r w:rsidR="00312A6A">
        <w:rPr>
          <w:rFonts w:ascii="Arial" w:hAnsi="Arial" w:cs="Arial"/>
          <w:sz w:val="20"/>
        </w:rPr>
        <w:t xml:space="preserve">the licensee’s submission that </w:t>
      </w:r>
      <w:r w:rsidR="00312A6A" w:rsidRPr="00312A6A">
        <w:rPr>
          <w:rFonts w:ascii="Arial" w:hAnsi="Arial" w:cs="Arial"/>
          <w:sz w:val="20"/>
        </w:rPr>
        <w:t xml:space="preserve">a </w:t>
      </w:r>
      <w:r w:rsidR="00DF48AA">
        <w:rPr>
          <w:rFonts w:ascii="Arial" w:hAnsi="Arial" w:cs="Arial"/>
          <w:sz w:val="20"/>
        </w:rPr>
        <w:t>p</w:t>
      </w:r>
      <w:r w:rsidR="00312A6A" w:rsidRPr="00312A6A">
        <w:rPr>
          <w:rFonts w:ascii="Arial" w:hAnsi="Arial" w:cs="Arial"/>
          <w:sz w:val="20"/>
        </w:rPr>
        <w:t xml:space="preserve">rogram </w:t>
      </w:r>
      <w:r w:rsidR="00DF48AA">
        <w:rPr>
          <w:rFonts w:ascii="Arial" w:hAnsi="Arial" w:cs="Arial"/>
          <w:sz w:val="20"/>
        </w:rPr>
        <w:t>p</w:t>
      </w:r>
      <w:r w:rsidR="00312A6A" w:rsidRPr="00312A6A">
        <w:rPr>
          <w:rFonts w:ascii="Arial" w:hAnsi="Arial" w:cs="Arial"/>
          <w:sz w:val="20"/>
        </w:rPr>
        <w:t xml:space="preserve">romotion </w:t>
      </w:r>
      <w:r w:rsidR="00DF48AA">
        <w:rPr>
          <w:rFonts w:ascii="Arial" w:hAnsi="Arial" w:cs="Arial"/>
          <w:sz w:val="20"/>
        </w:rPr>
        <w:t>‘</w:t>
      </w:r>
      <w:r w:rsidR="00312A6A" w:rsidRPr="00312A6A">
        <w:rPr>
          <w:rFonts w:ascii="Arial" w:hAnsi="Arial" w:cs="Arial"/>
          <w:sz w:val="20"/>
        </w:rPr>
        <w:t>is only required to comply with the requirements of Section 3 as far as practicable, having regard to its brevity’</w:t>
      </w:r>
      <w:r>
        <w:rPr>
          <w:rFonts w:ascii="Arial" w:hAnsi="Arial" w:cs="Arial"/>
          <w:sz w:val="20"/>
        </w:rPr>
        <w:t xml:space="preserve">. </w:t>
      </w:r>
      <w:r w:rsidR="001509A5">
        <w:rPr>
          <w:rFonts w:ascii="Arial" w:hAnsi="Arial" w:cs="Arial"/>
          <w:sz w:val="20"/>
        </w:rPr>
        <w:t xml:space="preserve">In this case, the ACMA notes the statements were brief. However, their impact was heightened by being combined with active footage of </w:t>
      </w:r>
      <w:r w:rsidR="00FE206C">
        <w:rPr>
          <w:rFonts w:ascii="Arial" w:hAnsi="Arial" w:cs="Arial"/>
          <w:sz w:val="20"/>
        </w:rPr>
        <w:t>automatic weapons</w:t>
      </w:r>
      <w:r w:rsidR="001509A5">
        <w:rPr>
          <w:rFonts w:ascii="Arial" w:hAnsi="Arial" w:cs="Arial"/>
          <w:sz w:val="20"/>
        </w:rPr>
        <w:t xml:space="preserve"> that reinforced the spoken words. These were further reinforced by written text that repeated the claims.  </w:t>
      </w:r>
    </w:p>
    <w:p w14:paraId="75774CF2" w14:textId="3DF181F0" w:rsidR="006E5FD0" w:rsidRDefault="00BD4831" w:rsidP="00151949">
      <w:pPr>
        <w:pStyle w:val="ACMABodyText0"/>
        <w:snapToGrid w:val="0"/>
        <w:spacing w:before="0" w:after="240" w:line="240" w:lineRule="atLeast"/>
        <w:rPr>
          <w:rFonts w:ascii="Arial" w:hAnsi="Arial" w:cs="Arial"/>
          <w:sz w:val="20"/>
        </w:rPr>
      </w:pPr>
      <w:r>
        <w:rPr>
          <w:rFonts w:ascii="Arial" w:hAnsi="Arial" w:cs="Arial"/>
          <w:sz w:val="20"/>
        </w:rPr>
        <w:t>Accordingly, the</w:t>
      </w:r>
      <w:r w:rsidR="007B45E0">
        <w:rPr>
          <w:rFonts w:ascii="Arial" w:hAnsi="Arial" w:cs="Arial"/>
          <w:sz w:val="20"/>
        </w:rPr>
        <w:t xml:space="preserve"> ACMA consider</w:t>
      </w:r>
      <w:r w:rsidR="003C2D7D">
        <w:rPr>
          <w:rFonts w:ascii="Arial" w:hAnsi="Arial" w:cs="Arial"/>
          <w:sz w:val="20"/>
        </w:rPr>
        <w:t>s</w:t>
      </w:r>
      <w:r w:rsidR="001509A5">
        <w:rPr>
          <w:rFonts w:ascii="Arial" w:hAnsi="Arial" w:cs="Arial"/>
          <w:sz w:val="20"/>
        </w:rPr>
        <w:t>,</w:t>
      </w:r>
      <w:r w:rsidR="00312A6A">
        <w:rPr>
          <w:rFonts w:ascii="Arial" w:hAnsi="Arial" w:cs="Arial"/>
          <w:sz w:val="20"/>
        </w:rPr>
        <w:t xml:space="preserve"> </w:t>
      </w:r>
      <w:r w:rsidR="00EB69A7">
        <w:rPr>
          <w:rFonts w:ascii="Arial" w:hAnsi="Arial" w:cs="Arial"/>
          <w:sz w:val="20"/>
        </w:rPr>
        <w:t>having regard to the brevity of the program promotion</w:t>
      </w:r>
      <w:r w:rsidR="001509A5">
        <w:rPr>
          <w:rFonts w:ascii="Arial" w:hAnsi="Arial" w:cs="Arial"/>
          <w:sz w:val="20"/>
        </w:rPr>
        <w:t>,</w:t>
      </w:r>
      <w:r w:rsidR="004F06B2">
        <w:rPr>
          <w:rFonts w:ascii="Arial" w:hAnsi="Arial" w:cs="Arial"/>
          <w:sz w:val="20"/>
        </w:rPr>
        <w:t xml:space="preserve"> </w:t>
      </w:r>
      <w:r w:rsidR="00EB69A7">
        <w:rPr>
          <w:rFonts w:ascii="Arial" w:hAnsi="Arial" w:cs="Arial"/>
          <w:sz w:val="20"/>
        </w:rPr>
        <w:t>that</w:t>
      </w:r>
      <w:r w:rsidR="00182E5D">
        <w:rPr>
          <w:rFonts w:ascii="Arial" w:hAnsi="Arial" w:cs="Arial"/>
          <w:sz w:val="20"/>
        </w:rPr>
        <w:t xml:space="preserve"> it was reasonable for the </w:t>
      </w:r>
      <w:r w:rsidR="004F06B2">
        <w:rPr>
          <w:rFonts w:ascii="Arial" w:hAnsi="Arial" w:cs="Arial"/>
          <w:sz w:val="20"/>
        </w:rPr>
        <w:t xml:space="preserve">licensee to ensure that the short </w:t>
      </w:r>
      <w:r w:rsidR="00A00AEB">
        <w:rPr>
          <w:rFonts w:ascii="Arial" w:hAnsi="Arial" w:cs="Arial"/>
          <w:sz w:val="20"/>
        </w:rPr>
        <w:t>statements</w:t>
      </w:r>
      <w:r w:rsidR="001509A5">
        <w:rPr>
          <w:rFonts w:ascii="Arial" w:hAnsi="Arial" w:cs="Arial"/>
          <w:sz w:val="20"/>
        </w:rPr>
        <w:t xml:space="preserve"> </w:t>
      </w:r>
      <w:r w:rsidR="004F06B2">
        <w:rPr>
          <w:rFonts w:ascii="Arial" w:hAnsi="Arial" w:cs="Arial"/>
          <w:sz w:val="20"/>
        </w:rPr>
        <w:t>about the attributes of the WT 15-01 were accurate</w:t>
      </w:r>
      <w:r w:rsidR="00A00AEB">
        <w:rPr>
          <w:rFonts w:ascii="Arial" w:hAnsi="Arial" w:cs="Arial"/>
          <w:sz w:val="20"/>
        </w:rPr>
        <w:t xml:space="preserve">. </w:t>
      </w:r>
    </w:p>
    <w:p w14:paraId="1617517B" w14:textId="24FA3B16" w:rsidR="0005479B" w:rsidRDefault="0005479B" w:rsidP="00814BDC">
      <w:pPr>
        <w:pStyle w:val="ACMABodyText"/>
        <w:numPr>
          <w:ilvl w:val="1"/>
          <w:numId w:val="23"/>
        </w:numPr>
        <w:rPr>
          <w:b/>
          <w:bCs/>
          <w:u w:val="single"/>
        </w:rPr>
      </w:pPr>
      <w:r>
        <w:rPr>
          <w:b/>
          <w:bCs/>
          <w:u w:val="single"/>
        </w:rPr>
        <w:t>'this murder weapon’</w:t>
      </w:r>
    </w:p>
    <w:p w14:paraId="179D892B" w14:textId="77777777" w:rsidR="0005479B" w:rsidRDefault="0005479B" w:rsidP="0005479B">
      <w:pPr>
        <w:pStyle w:val="ACMABodyText"/>
      </w:pPr>
      <w:r>
        <w:t xml:space="preserve">The complainant submitted: </w:t>
      </w:r>
    </w:p>
    <w:p w14:paraId="11A3F3EA" w14:textId="77777777" w:rsidR="0005479B" w:rsidRPr="00B94916" w:rsidRDefault="0005479B" w:rsidP="0005479B">
      <w:pPr>
        <w:pStyle w:val="ACMAQuoteindented"/>
        <w:ind w:left="720"/>
        <w:rPr>
          <w:highlight w:val="yellow"/>
        </w:rPr>
      </w:pPr>
      <w:r w:rsidRPr="00160401">
        <w:t>Promos and news story misrepresented a legally obtainable firearm as a ‘murder weapon’ (it has never been used in a crime, or to murder anyone</w:t>
      </w:r>
      <w:r>
        <w:t>)</w:t>
      </w:r>
    </w:p>
    <w:p w14:paraId="0BEC60A8" w14:textId="38AC4058" w:rsidR="0005479B" w:rsidRDefault="0005479B" w:rsidP="0005479B">
      <w:pPr>
        <w:pStyle w:val="ACMAQuoteindented"/>
        <w:ind w:left="0"/>
        <w:rPr>
          <w:b/>
          <w:bCs/>
          <w:sz w:val="20"/>
        </w:rPr>
      </w:pPr>
      <w:r w:rsidRPr="00BA4822">
        <w:rPr>
          <w:b/>
          <w:bCs/>
          <w:sz w:val="20"/>
        </w:rPr>
        <w:t>What does the material convey to the ordinary reasonable viewer?</w:t>
      </w:r>
    </w:p>
    <w:p w14:paraId="0644B173" w14:textId="3504EE94" w:rsidR="0005479B" w:rsidRDefault="001509A5" w:rsidP="0005479B">
      <w:pPr>
        <w:pStyle w:val="ACMAQuoteindented"/>
        <w:ind w:left="0"/>
        <w:rPr>
          <w:sz w:val="20"/>
        </w:rPr>
      </w:pPr>
      <w:r>
        <w:rPr>
          <w:sz w:val="20"/>
        </w:rPr>
        <w:t>T</w:t>
      </w:r>
      <w:r w:rsidR="0005479B">
        <w:rPr>
          <w:sz w:val="20"/>
        </w:rPr>
        <w:t>he ACMA acknowledges that some viewers may have understood the phrase ‘this murder weapon’ to mean that the WT 15-01 has been used in committing a murder. However, the ACMA considers that the ordinary reasonable viewer would have understood the phrase to refer to the fact that any WT 15-01</w:t>
      </w:r>
      <w:r w:rsidR="000E7E0E">
        <w:rPr>
          <w:sz w:val="20"/>
        </w:rPr>
        <w:t>, being a firearm,</w:t>
      </w:r>
      <w:r w:rsidR="0005479B">
        <w:rPr>
          <w:sz w:val="20"/>
        </w:rPr>
        <w:t xml:space="preserve"> would be capable of being used </w:t>
      </w:r>
      <w:r w:rsidR="008C3127">
        <w:rPr>
          <w:sz w:val="20"/>
        </w:rPr>
        <w:t>to commit</w:t>
      </w:r>
      <w:r w:rsidR="0005479B">
        <w:rPr>
          <w:sz w:val="20"/>
        </w:rPr>
        <w:t xml:space="preserve"> murder.</w:t>
      </w:r>
    </w:p>
    <w:p w14:paraId="145846E5" w14:textId="77777777" w:rsidR="0005479B" w:rsidRPr="00B11F35" w:rsidRDefault="0005479B" w:rsidP="0005479B">
      <w:pPr>
        <w:suppressAutoHyphens/>
        <w:spacing w:before="0" w:line="240" w:lineRule="atLeast"/>
        <w:rPr>
          <w:b/>
          <w:bCs/>
          <w:i w:val="0"/>
          <w:snapToGrid w:val="0"/>
          <w:szCs w:val="20"/>
        </w:rPr>
      </w:pPr>
      <w:r w:rsidRPr="00B11F35">
        <w:rPr>
          <w:b/>
          <w:bCs/>
          <w:i w:val="0"/>
          <w:snapToGrid w:val="0"/>
          <w:szCs w:val="20"/>
        </w:rPr>
        <w:t xml:space="preserve">Was the material factual in character? </w:t>
      </w:r>
    </w:p>
    <w:p w14:paraId="19A488EC" w14:textId="77777777" w:rsidR="0005479B" w:rsidRDefault="0005479B" w:rsidP="0005479B">
      <w:pPr>
        <w:pStyle w:val="ACMAQuoteindented"/>
        <w:ind w:left="0"/>
        <w:rPr>
          <w:sz w:val="20"/>
        </w:rPr>
      </w:pPr>
      <w:r w:rsidRPr="00A73BA7">
        <w:rPr>
          <w:sz w:val="20"/>
        </w:rPr>
        <w:t xml:space="preserve">The </w:t>
      </w:r>
      <w:r>
        <w:rPr>
          <w:sz w:val="20"/>
        </w:rPr>
        <w:t>ACMA considers that the assertion about the WT 15-01 being capable of being used in a murder was factual in character. It is specific, unequivocal and capable of independent verification.</w:t>
      </w:r>
    </w:p>
    <w:p w14:paraId="58259562" w14:textId="77777777" w:rsidR="0005479B" w:rsidRDefault="0005479B" w:rsidP="0005479B">
      <w:pPr>
        <w:pStyle w:val="ACMAQuoteindented"/>
        <w:ind w:left="0"/>
        <w:rPr>
          <w:b/>
          <w:bCs/>
          <w:sz w:val="20"/>
        </w:rPr>
      </w:pPr>
      <w:r>
        <w:rPr>
          <w:b/>
          <w:bCs/>
          <w:sz w:val="20"/>
        </w:rPr>
        <w:lastRenderedPageBreak/>
        <w:t>D</w:t>
      </w:r>
      <w:r w:rsidRPr="00A90B3B">
        <w:rPr>
          <w:b/>
          <w:bCs/>
          <w:sz w:val="20"/>
        </w:rPr>
        <w:t xml:space="preserve">id </w:t>
      </w:r>
      <w:r>
        <w:rPr>
          <w:b/>
          <w:bCs/>
          <w:sz w:val="20"/>
        </w:rPr>
        <w:t>the factual material</w:t>
      </w:r>
      <w:r w:rsidRPr="00A90B3B">
        <w:rPr>
          <w:b/>
          <w:bCs/>
          <w:sz w:val="20"/>
        </w:rPr>
        <w:t xml:space="preserve"> convey a material fact or facts in the context of the promotion?</w:t>
      </w:r>
    </w:p>
    <w:p w14:paraId="34E0ADAA" w14:textId="25117D96" w:rsidR="0005479B" w:rsidRPr="00A90B3B" w:rsidRDefault="0005479B" w:rsidP="0005479B">
      <w:pPr>
        <w:pStyle w:val="ACMAQuoteindented"/>
        <w:ind w:left="0"/>
        <w:rPr>
          <w:sz w:val="20"/>
        </w:rPr>
      </w:pPr>
      <w:r>
        <w:rPr>
          <w:sz w:val="20"/>
        </w:rPr>
        <w:t>The promotion concerned a report about the classification and availability of a firearm. The promotion invited viewers to consider whether the firearm should be available to the public.</w:t>
      </w:r>
      <w:r w:rsidR="00A5101E">
        <w:rPr>
          <w:sz w:val="20"/>
        </w:rPr>
        <w:t xml:space="preserve"> In this context, a factual statement about the capacity of the WT 15-01 to be used </w:t>
      </w:r>
      <w:r w:rsidR="00E2370C">
        <w:rPr>
          <w:sz w:val="20"/>
        </w:rPr>
        <w:t xml:space="preserve">to </w:t>
      </w:r>
      <w:r w:rsidR="00C97E10">
        <w:rPr>
          <w:sz w:val="20"/>
        </w:rPr>
        <w:t>commit murder</w:t>
      </w:r>
      <w:r w:rsidR="00A5101E">
        <w:rPr>
          <w:sz w:val="20"/>
        </w:rPr>
        <w:t xml:space="preserve"> was material.</w:t>
      </w:r>
    </w:p>
    <w:p w14:paraId="2A731D2A" w14:textId="47937742" w:rsidR="0005479B" w:rsidRPr="009368A5" w:rsidRDefault="0005479B" w:rsidP="0005479B">
      <w:pPr>
        <w:pStyle w:val="ACMABodyText"/>
        <w:rPr>
          <w:b/>
        </w:rPr>
      </w:pPr>
      <w:r w:rsidRPr="009368A5">
        <w:rPr>
          <w:b/>
        </w:rPr>
        <w:t>Was the material accurate?</w:t>
      </w:r>
    </w:p>
    <w:p w14:paraId="1D3295E6" w14:textId="77777777" w:rsidR="0005479B" w:rsidRDefault="0005479B" w:rsidP="0005479B">
      <w:pPr>
        <w:pStyle w:val="ACMAQuoteindented"/>
        <w:ind w:left="0"/>
        <w:rPr>
          <w:sz w:val="20"/>
        </w:rPr>
      </w:pPr>
      <w:r>
        <w:rPr>
          <w:sz w:val="20"/>
        </w:rPr>
        <w:t>The ACMA accepts the licensee’s submission that the WT 15-01, by virtue of being a firearm, would be capable of causing a fatality. Therefore, the ACMA considers the WT 15-01 would be capable of being used as a ‘murder weapon’.</w:t>
      </w:r>
    </w:p>
    <w:p w14:paraId="38AD5087" w14:textId="73558003" w:rsidR="0005479B" w:rsidRDefault="0005479B" w:rsidP="0005479B">
      <w:pPr>
        <w:pStyle w:val="ACMAQuoteindented"/>
        <w:ind w:left="0"/>
        <w:rPr>
          <w:sz w:val="20"/>
        </w:rPr>
      </w:pPr>
      <w:r>
        <w:rPr>
          <w:sz w:val="20"/>
        </w:rPr>
        <w:t xml:space="preserve">Accordingly, the ACMA considers the generic description of the WT 15-01 as a murder weapon was accurate. </w:t>
      </w:r>
    </w:p>
    <w:p w14:paraId="321CEEA6" w14:textId="3CED8B1A" w:rsidR="0005479B" w:rsidRPr="00A5101E" w:rsidRDefault="0005479B" w:rsidP="0005479B">
      <w:pPr>
        <w:pStyle w:val="ACMAQuoteindented"/>
        <w:ind w:left="0"/>
        <w:rPr>
          <w:b/>
          <w:bCs/>
          <w:sz w:val="20"/>
          <w:u w:val="single"/>
        </w:rPr>
      </w:pPr>
      <w:r w:rsidRPr="00A5101E">
        <w:rPr>
          <w:b/>
          <w:bCs/>
          <w:sz w:val="20"/>
          <w:u w:val="single"/>
        </w:rPr>
        <w:t>Conclusion</w:t>
      </w:r>
    </w:p>
    <w:p w14:paraId="15B4DC97" w14:textId="3843D777" w:rsidR="0005479B" w:rsidRDefault="0005479B" w:rsidP="0005479B">
      <w:pPr>
        <w:pStyle w:val="ACMABodyText0"/>
        <w:snapToGrid w:val="0"/>
        <w:spacing w:before="0" w:after="240" w:line="240" w:lineRule="atLeast"/>
        <w:rPr>
          <w:rFonts w:ascii="Arial" w:hAnsi="Arial" w:cs="Arial"/>
          <w:sz w:val="20"/>
        </w:rPr>
      </w:pPr>
      <w:r>
        <w:rPr>
          <w:rFonts w:ascii="Arial" w:hAnsi="Arial" w:cs="Arial"/>
          <w:sz w:val="20"/>
        </w:rPr>
        <w:t xml:space="preserve">Based on the </w:t>
      </w:r>
      <w:r w:rsidR="00A84196">
        <w:rPr>
          <w:rFonts w:ascii="Arial" w:hAnsi="Arial" w:cs="Arial"/>
          <w:sz w:val="20"/>
        </w:rPr>
        <w:t xml:space="preserve">above </w:t>
      </w:r>
      <w:r>
        <w:rPr>
          <w:rFonts w:ascii="Arial" w:hAnsi="Arial" w:cs="Arial"/>
          <w:sz w:val="20"/>
        </w:rPr>
        <w:t>assessment of the two statements in the promotion, the ACMA</w:t>
      </w:r>
      <w:r w:rsidR="006352E1">
        <w:rPr>
          <w:rFonts w:ascii="Arial" w:hAnsi="Arial" w:cs="Arial"/>
          <w:sz w:val="20"/>
        </w:rPr>
        <w:t xml:space="preserve"> finds</w:t>
      </w:r>
      <w:r>
        <w:rPr>
          <w:rFonts w:ascii="Arial" w:hAnsi="Arial" w:cs="Arial"/>
          <w:sz w:val="20"/>
        </w:rPr>
        <w:t xml:space="preserve"> that in broadcasting </w:t>
      </w:r>
      <w:r w:rsidR="008E65B8">
        <w:rPr>
          <w:rFonts w:ascii="Arial" w:hAnsi="Arial" w:cs="Arial"/>
          <w:sz w:val="20"/>
        </w:rPr>
        <w:t xml:space="preserve">the </w:t>
      </w:r>
      <w:r>
        <w:rPr>
          <w:rFonts w:ascii="Arial" w:hAnsi="Arial" w:cs="Arial"/>
          <w:sz w:val="20"/>
        </w:rPr>
        <w:t>first statement</w:t>
      </w:r>
      <w:r w:rsidR="008809C0">
        <w:rPr>
          <w:rFonts w:ascii="Arial" w:hAnsi="Arial" w:cs="Arial"/>
          <w:sz w:val="20"/>
        </w:rPr>
        <w:t xml:space="preserve">, </w:t>
      </w:r>
      <w:r w:rsidR="00E2370C">
        <w:rPr>
          <w:rFonts w:ascii="Arial" w:hAnsi="Arial" w:cs="Arial"/>
          <w:sz w:val="20"/>
        </w:rPr>
        <w:t xml:space="preserve">taking into account clause 3.6, </w:t>
      </w:r>
      <w:r w:rsidRPr="00C13DBB">
        <w:rPr>
          <w:rFonts w:ascii="Arial" w:hAnsi="Arial" w:cs="Arial"/>
          <w:sz w:val="20"/>
        </w:rPr>
        <w:t xml:space="preserve">the </w:t>
      </w:r>
      <w:r>
        <w:rPr>
          <w:rFonts w:ascii="Arial" w:hAnsi="Arial" w:cs="Arial"/>
          <w:sz w:val="20"/>
        </w:rPr>
        <w:t>licensee</w:t>
      </w:r>
      <w:r w:rsidRPr="00C13DBB">
        <w:rPr>
          <w:rFonts w:ascii="Arial" w:hAnsi="Arial" w:cs="Arial"/>
          <w:sz w:val="20"/>
        </w:rPr>
        <w:t xml:space="preserve"> breached clause 3.</w:t>
      </w:r>
      <w:r w:rsidR="00E2370C">
        <w:rPr>
          <w:rFonts w:ascii="Arial" w:hAnsi="Arial" w:cs="Arial"/>
          <w:sz w:val="20"/>
        </w:rPr>
        <w:t>3</w:t>
      </w:r>
      <w:r w:rsidR="00FB16BE">
        <w:rPr>
          <w:rFonts w:ascii="Arial" w:hAnsi="Arial" w:cs="Arial"/>
          <w:sz w:val="20"/>
        </w:rPr>
        <w:t>.1</w:t>
      </w:r>
      <w:r w:rsidR="00E2370C" w:rsidRPr="00C13DBB">
        <w:rPr>
          <w:rFonts w:ascii="Arial" w:hAnsi="Arial" w:cs="Arial"/>
          <w:sz w:val="20"/>
        </w:rPr>
        <w:t xml:space="preserve"> </w:t>
      </w:r>
      <w:r w:rsidRPr="00C13DBB">
        <w:rPr>
          <w:rFonts w:ascii="Arial" w:hAnsi="Arial" w:cs="Arial"/>
          <w:sz w:val="20"/>
        </w:rPr>
        <w:t>of the Code</w:t>
      </w:r>
      <w:r>
        <w:rPr>
          <w:rFonts w:ascii="Arial" w:hAnsi="Arial" w:cs="Arial"/>
          <w:sz w:val="20"/>
        </w:rPr>
        <w:t xml:space="preserve"> by presenting material facts inaccurately</w:t>
      </w:r>
      <w:r w:rsidRPr="00C13DBB">
        <w:rPr>
          <w:rFonts w:ascii="Arial" w:hAnsi="Arial" w:cs="Arial"/>
          <w:sz w:val="20"/>
        </w:rPr>
        <w:t>.</w:t>
      </w:r>
    </w:p>
    <w:p w14:paraId="7213EB59" w14:textId="7399BA11" w:rsidR="00DA236E" w:rsidRDefault="006F167D" w:rsidP="00151949">
      <w:pPr>
        <w:pStyle w:val="ACMABodyText0"/>
        <w:snapToGrid w:val="0"/>
        <w:spacing w:before="0" w:after="240" w:line="240" w:lineRule="atLeast"/>
        <w:rPr>
          <w:rFonts w:ascii="Arial" w:hAnsi="Arial" w:cs="Arial"/>
          <w:b/>
          <w:bCs/>
          <w:sz w:val="28"/>
          <w:szCs w:val="28"/>
        </w:rPr>
      </w:pPr>
      <w:r w:rsidRPr="000C79B4">
        <w:rPr>
          <w:rFonts w:ascii="Arial" w:hAnsi="Arial" w:cs="Arial"/>
          <w:b/>
          <w:bCs/>
          <w:sz w:val="28"/>
          <w:szCs w:val="28"/>
        </w:rPr>
        <w:t xml:space="preserve">Issue 4: </w:t>
      </w:r>
      <w:r w:rsidR="00DA236E" w:rsidRPr="000C79B4">
        <w:rPr>
          <w:rFonts w:ascii="Arial" w:hAnsi="Arial" w:cs="Arial"/>
          <w:b/>
          <w:bCs/>
          <w:sz w:val="28"/>
          <w:szCs w:val="28"/>
        </w:rPr>
        <w:t>Impartiality</w:t>
      </w:r>
      <w:r w:rsidR="009F3376" w:rsidRPr="000C79B4">
        <w:rPr>
          <w:rFonts w:ascii="Arial" w:hAnsi="Arial" w:cs="Arial"/>
          <w:b/>
          <w:bCs/>
          <w:sz w:val="28"/>
          <w:szCs w:val="28"/>
        </w:rPr>
        <w:t xml:space="preserve"> of the </w:t>
      </w:r>
      <w:r w:rsidR="00140ED2">
        <w:rPr>
          <w:rFonts w:ascii="Arial" w:hAnsi="Arial" w:cs="Arial"/>
          <w:b/>
          <w:bCs/>
          <w:sz w:val="28"/>
          <w:szCs w:val="28"/>
        </w:rPr>
        <w:t>p</w:t>
      </w:r>
      <w:r w:rsidR="009F3376" w:rsidRPr="000C79B4">
        <w:rPr>
          <w:rFonts w:ascii="Arial" w:hAnsi="Arial" w:cs="Arial"/>
          <w:b/>
          <w:bCs/>
          <w:sz w:val="28"/>
          <w:szCs w:val="28"/>
        </w:rPr>
        <w:t>romotion</w:t>
      </w:r>
    </w:p>
    <w:p w14:paraId="1E682F53" w14:textId="08754D32" w:rsidR="003B7849" w:rsidRPr="009368A5" w:rsidRDefault="006352E1" w:rsidP="003B7849">
      <w:pPr>
        <w:pStyle w:val="ACMAHeading2"/>
        <w:spacing w:before="0" w:after="240" w:line="240" w:lineRule="atLeast"/>
      </w:pPr>
      <w:r>
        <w:t>F</w:t>
      </w:r>
      <w:r w:rsidR="003B7849" w:rsidRPr="009368A5">
        <w:t>inding</w:t>
      </w:r>
    </w:p>
    <w:p w14:paraId="6185C3B2" w14:textId="410E034E" w:rsidR="003B7849" w:rsidRDefault="003B7849" w:rsidP="003B7849">
      <w:pPr>
        <w:pStyle w:val="ACMABodyText"/>
      </w:pPr>
      <w:r w:rsidRPr="009368A5">
        <w:t xml:space="preserve">The </w:t>
      </w:r>
      <w:r w:rsidRPr="003A12C4">
        <w:t>ACMA</w:t>
      </w:r>
      <w:r w:rsidR="006352E1">
        <w:t xml:space="preserve"> finds</w:t>
      </w:r>
      <w:r w:rsidRPr="003A12C4">
        <w:t xml:space="preserve"> </w:t>
      </w:r>
      <w:r>
        <w:t xml:space="preserve">that the </w:t>
      </w:r>
      <w:r w:rsidRPr="009368A5">
        <w:t>licensee breach</w:t>
      </w:r>
      <w:r>
        <w:t>ed</w:t>
      </w:r>
      <w:r w:rsidRPr="009368A5">
        <w:t xml:space="preserve"> clause 3.</w:t>
      </w:r>
      <w:r w:rsidR="00FF004D">
        <w:t>4.1</w:t>
      </w:r>
      <w:r w:rsidR="00FF004D" w:rsidRPr="009368A5">
        <w:t xml:space="preserve"> </w:t>
      </w:r>
      <w:r w:rsidR="00733842">
        <w:t>because</w:t>
      </w:r>
      <w:r w:rsidR="00E92C4D">
        <w:t xml:space="preserve"> the </w:t>
      </w:r>
      <w:r w:rsidR="00140ED2">
        <w:t>p</w:t>
      </w:r>
      <w:r>
        <w:t>romotion</w:t>
      </w:r>
      <w:r w:rsidR="00E92C4D">
        <w:t xml:space="preserve"> was</w:t>
      </w:r>
      <w:r w:rsidR="00140ED2">
        <w:t xml:space="preserve"> not</w:t>
      </w:r>
      <w:r w:rsidR="00E92C4D">
        <w:t xml:space="preserve"> </w:t>
      </w:r>
      <w:r w:rsidR="00140ED2">
        <w:t>im</w:t>
      </w:r>
      <w:r w:rsidR="00E92C4D">
        <w:t>partial</w:t>
      </w:r>
      <w:r>
        <w:t>.</w:t>
      </w:r>
    </w:p>
    <w:p w14:paraId="52351AE0" w14:textId="462CF11F" w:rsidR="00AE3B05" w:rsidRDefault="00AE3B05" w:rsidP="00AE3B05">
      <w:pPr>
        <w:pStyle w:val="ACMAHeading2"/>
        <w:spacing w:before="0" w:after="240" w:line="240" w:lineRule="atLeast"/>
      </w:pPr>
      <w:r w:rsidRPr="009368A5">
        <w:t>Reasons</w:t>
      </w:r>
    </w:p>
    <w:p w14:paraId="2A636094" w14:textId="48CF0A7F" w:rsidR="00FF004D" w:rsidRPr="009368A5" w:rsidRDefault="00FF004D" w:rsidP="00FF004D">
      <w:pPr>
        <w:spacing w:before="240" w:line="240" w:lineRule="atLeast"/>
        <w:ind w:right="-204"/>
        <w:rPr>
          <w:rFonts w:cs="Arial"/>
          <w:i w:val="0"/>
          <w:szCs w:val="20"/>
          <w:lang w:eastAsia="en-AU"/>
        </w:rPr>
      </w:pPr>
      <w:r>
        <w:rPr>
          <w:i w:val="0"/>
        </w:rPr>
        <w:t>As noted above, c</w:t>
      </w:r>
      <w:r w:rsidRPr="00543D97">
        <w:rPr>
          <w:i w:val="0"/>
        </w:rPr>
        <w:t>lause 3.6</w:t>
      </w:r>
      <w:r>
        <w:rPr>
          <w:i w:val="0"/>
        </w:rPr>
        <w:t>.1</w:t>
      </w:r>
      <w:r w:rsidRPr="00543D97">
        <w:rPr>
          <w:i w:val="0"/>
        </w:rPr>
        <w:t xml:space="preserve"> applies clause 3 to program promotions for news </w:t>
      </w:r>
      <w:r>
        <w:rPr>
          <w:i w:val="0"/>
        </w:rPr>
        <w:t>and</w:t>
      </w:r>
      <w:r w:rsidRPr="00543D97">
        <w:rPr>
          <w:i w:val="0"/>
        </w:rPr>
        <w:t xml:space="preserve"> current affairs program</w:t>
      </w:r>
      <w:r>
        <w:rPr>
          <w:i w:val="0"/>
        </w:rPr>
        <w:t>s</w:t>
      </w:r>
      <w:r w:rsidRPr="00543D97">
        <w:rPr>
          <w:i w:val="0"/>
        </w:rPr>
        <w:t xml:space="preserve">, so far as compliance with the </w:t>
      </w:r>
      <w:r>
        <w:rPr>
          <w:i w:val="0"/>
        </w:rPr>
        <w:t>substantive</w:t>
      </w:r>
      <w:r w:rsidRPr="00543D97">
        <w:rPr>
          <w:i w:val="0"/>
        </w:rPr>
        <w:t xml:space="preserve"> provision is </w:t>
      </w:r>
      <w:r>
        <w:rPr>
          <w:i w:val="0"/>
        </w:rPr>
        <w:t>practicable</w:t>
      </w:r>
      <w:r w:rsidRPr="00543D97">
        <w:rPr>
          <w:i w:val="0"/>
        </w:rPr>
        <w:t>, and</w:t>
      </w:r>
      <w:r>
        <w:rPr>
          <w:i w:val="0"/>
        </w:rPr>
        <w:t xml:space="preserve"> also</w:t>
      </w:r>
      <w:r w:rsidRPr="00543D97">
        <w:rPr>
          <w:i w:val="0"/>
        </w:rPr>
        <w:t xml:space="preserve"> having </w:t>
      </w:r>
      <w:r>
        <w:rPr>
          <w:i w:val="0"/>
        </w:rPr>
        <w:t>regard</w:t>
      </w:r>
      <w:r w:rsidRPr="00543D97">
        <w:rPr>
          <w:i w:val="0"/>
        </w:rPr>
        <w:t xml:space="preserve"> to the brevity</w:t>
      </w:r>
      <w:r>
        <w:rPr>
          <w:i w:val="0"/>
        </w:rPr>
        <w:t xml:space="preserve"> of the promotion. Relevantly, for the purposes of this aspect of the assessment, compliance is also subject to clause 3.6.2</w:t>
      </w:r>
      <w:r w:rsidR="00A178B2">
        <w:rPr>
          <w:i w:val="0"/>
        </w:rPr>
        <w:t>,</w:t>
      </w:r>
      <w:r>
        <w:rPr>
          <w:i w:val="0"/>
        </w:rPr>
        <w:t xml:space="preserve"> which provides that a licensee is not required </w:t>
      </w:r>
      <w:r w:rsidRPr="00FF004D">
        <w:rPr>
          <w:i w:val="0"/>
        </w:rPr>
        <w:t xml:space="preserve">to portray all aspects or themes of a </w:t>
      </w:r>
      <w:r w:rsidR="00A178B2">
        <w:rPr>
          <w:i w:val="0"/>
        </w:rPr>
        <w:t>p</w:t>
      </w:r>
      <w:r>
        <w:rPr>
          <w:i w:val="0"/>
        </w:rPr>
        <w:t xml:space="preserve">rogram </w:t>
      </w:r>
      <w:r w:rsidRPr="00FF004D">
        <w:rPr>
          <w:i w:val="0"/>
        </w:rPr>
        <w:t xml:space="preserve">segment </w:t>
      </w:r>
      <w:r>
        <w:rPr>
          <w:i w:val="0"/>
        </w:rPr>
        <w:t xml:space="preserve">in a promotion </w:t>
      </w:r>
      <w:r w:rsidR="008E751E">
        <w:rPr>
          <w:i w:val="0"/>
        </w:rPr>
        <w:t xml:space="preserve">or to represent </w:t>
      </w:r>
      <w:r w:rsidRPr="00FF004D">
        <w:rPr>
          <w:i w:val="0"/>
        </w:rPr>
        <w:t xml:space="preserve">all viewpoints contained in the </w:t>
      </w:r>
      <w:r w:rsidR="00A178B2">
        <w:rPr>
          <w:i w:val="0"/>
        </w:rPr>
        <w:t>p</w:t>
      </w:r>
      <w:r w:rsidR="008E751E">
        <w:rPr>
          <w:i w:val="0"/>
        </w:rPr>
        <w:t>rogram</w:t>
      </w:r>
      <w:r w:rsidRPr="00FF004D">
        <w:rPr>
          <w:i w:val="0"/>
        </w:rPr>
        <w:t>.</w:t>
      </w:r>
      <w:r>
        <w:rPr>
          <w:i w:val="0"/>
        </w:rPr>
        <w:t xml:space="preserve"> </w:t>
      </w:r>
      <w:r w:rsidR="003C4F46">
        <w:rPr>
          <w:i w:val="0"/>
        </w:rPr>
        <w:t>Accordingly,</w:t>
      </w:r>
      <w:r>
        <w:rPr>
          <w:i w:val="0"/>
        </w:rPr>
        <w:t xml:space="preserve"> clause 3.</w:t>
      </w:r>
      <w:r w:rsidR="008E751E">
        <w:rPr>
          <w:i w:val="0"/>
        </w:rPr>
        <w:t>4.1</w:t>
      </w:r>
      <w:r>
        <w:rPr>
          <w:i w:val="0"/>
        </w:rPr>
        <w:t xml:space="preserve">, which sets out the requirements in relation to </w:t>
      </w:r>
      <w:r w:rsidR="008E751E">
        <w:rPr>
          <w:i w:val="0"/>
        </w:rPr>
        <w:t>impartiality</w:t>
      </w:r>
      <w:r>
        <w:rPr>
          <w:i w:val="0"/>
        </w:rPr>
        <w:t xml:space="preserve">, will apply to the promotion subject to clause 3.6. </w:t>
      </w:r>
    </w:p>
    <w:p w14:paraId="43F51BD1" w14:textId="1477ADA4" w:rsidR="000E7E0E" w:rsidRDefault="000E7E0E" w:rsidP="00151949">
      <w:pPr>
        <w:pStyle w:val="ACMABodyText0"/>
        <w:snapToGrid w:val="0"/>
        <w:spacing w:before="0" w:after="240" w:line="240" w:lineRule="atLeast"/>
        <w:rPr>
          <w:rFonts w:ascii="Arial" w:hAnsi="Arial" w:cs="Arial"/>
          <w:sz w:val="20"/>
        </w:rPr>
      </w:pPr>
      <w:r>
        <w:rPr>
          <w:rFonts w:ascii="Arial" w:hAnsi="Arial" w:cs="Arial"/>
          <w:sz w:val="20"/>
        </w:rPr>
        <w:t>The complaint was that</w:t>
      </w:r>
      <w:r w:rsidR="00C20AF4">
        <w:rPr>
          <w:rFonts w:ascii="Arial" w:hAnsi="Arial" w:cs="Arial"/>
          <w:sz w:val="20"/>
        </w:rPr>
        <w:t>:</w:t>
      </w:r>
    </w:p>
    <w:p w14:paraId="2C4A987C" w14:textId="39094130" w:rsidR="000E7E0E" w:rsidRDefault="000E7E0E" w:rsidP="000E7E0E">
      <w:pPr>
        <w:pStyle w:val="ACMAQuoteindented"/>
        <w:ind w:left="720"/>
      </w:pPr>
      <w:r w:rsidRPr="00837D03">
        <w:t xml:space="preserve">The promos for the news story were particularly concerning </w:t>
      </w:r>
      <w:r>
        <w:t>…</w:t>
      </w:r>
      <w:r w:rsidRPr="00837D03">
        <w:t xml:space="preserve"> as they contained none of the alleged </w:t>
      </w:r>
      <w:r>
        <w:t>‘</w:t>
      </w:r>
      <w:r w:rsidRPr="00837D03">
        <w:t>balancing</w:t>
      </w:r>
      <w:r>
        <w:t>’</w:t>
      </w:r>
      <w:r w:rsidRPr="00837D03">
        <w:t xml:space="preserve"> viewpoints or information Channel Nine say were in the news story itself.</w:t>
      </w:r>
    </w:p>
    <w:p w14:paraId="672F38B4" w14:textId="0F9BFCC8" w:rsidR="002B4965" w:rsidRDefault="00FE049E" w:rsidP="00151949">
      <w:pPr>
        <w:pStyle w:val="ACMABodyText0"/>
        <w:snapToGrid w:val="0"/>
        <w:spacing w:before="0" w:after="240" w:line="240" w:lineRule="atLeast"/>
        <w:rPr>
          <w:rFonts w:ascii="Arial" w:hAnsi="Arial" w:cs="Arial"/>
          <w:sz w:val="20"/>
        </w:rPr>
      </w:pPr>
      <w:r>
        <w:rPr>
          <w:rFonts w:ascii="Arial" w:hAnsi="Arial" w:cs="Arial"/>
          <w:sz w:val="20"/>
        </w:rPr>
        <w:t>As with the impartiality of the program considered above</w:t>
      </w:r>
      <w:r w:rsidR="00140ED2">
        <w:rPr>
          <w:rFonts w:ascii="Arial" w:hAnsi="Arial" w:cs="Arial"/>
          <w:sz w:val="20"/>
        </w:rPr>
        <w:t>,</w:t>
      </w:r>
      <w:r>
        <w:rPr>
          <w:rFonts w:ascii="Arial" w:hAnsi="Arial" w:cs="Arial"/>
          <w:sz w:val="20"/>
        </w:rPr>
        <w:t xml:space="preserve"> </w:t>
      </w:r>
      <w:r w:rsidR="00140ED2">
        <w:rPr>
          <w:rFonts w:ascii="Arial" w:hAnsi="Arial" w:cs="Arial"/>
          <w:sz w:val="20"/>
        </w:rPr>
        <w:t xml:space="preserve">the ACMA </w:t>
      </w:r>
      <w:r w:rsidR="00FE206C">
        <w:rPr>
          <w:rFonts w:ascii="Arial" w:hAnsi="Arial" w:cs="Arial"/>
          <w:sz w:val="20"/>
        </w:rPr>
        <w:t xml:space="preserve">has </w:t>
      </w:r>
      <w:r w:rsidR="009E6034">
        <w:rPr>
          <w:rFonts w:ascii="Arial" w:hAnsi="Arial" w:cs="Arial"/>
          <w:sz w:val="20"/>
        </w:rPr>
        <w:t>con</w:t>
      </w:r>
      <w:r w:rsidR="004961B3">
        <w:rPr>
          <w:rFonts w:ascii="Arial" w:hAnsi="Arial" w:cs="Arial"/>
          <w:sz w:val="20"/>
        </w:rPr>
        <w:t>sidered</w:t>
      </w:r>
      <w:r w:rsidR="009E6034">
        <w:rPr>
          <w:rFonts w:ascii="Arial" w:hAnsi="Arial" w:cs="Arial"/>
          <w:sz w:val="20"/>
        </w:rPr>
        <w:t xml:space="preserve"> the factors </w:t>
      </w:r>
      <w:r w:rsidR="000E7E0E">
        <w:rPr>
          <w:rFonts w:ascii="Arial" w:hAnsi="Arial" w:cs="Arial"/>
          <w:sz w:val="20"/>
        </w:rPr>
        <w:t>at</w:t>
      </w:r>
      <w:r w:rsidR="00730FC8">
        <w:rPr>
          <w:rFonts w:ascii="Arial" w:hAnsi="Arial" w:cs="Arial"/>
          <w:sz w:val="20"/>
        </w:rPr>
        <w:t xml:space="preserve"> </w:t>
      </w:r>
      <w:r w:rsidR="002B4965">
        <w:rPr>
          <w:rFonts w:ascii="Arial" w:hAnsi="Arial" w:cs="Arial"/>
          <w:sz w:val="20"/>
        </w:rPr>
        <w:t>s</w:t>
      </w:r>
      <w:r w:rsidR="002B4965" w:rsidRPr="002B4965">
        <w:rPr>
          <w:rFonts w:ascii="Arial" w:hAnsi="Arial" w:cs="Arial"/>
          <w:sz w:val="20"/>
        </w:rPr>
        <w:t>ubclause 3.4.1(a)</w:t>
      </w:r>
      <w:r w:rsidR="00730FC8">
        <w:rPr>
          <w:rFonts w:ascii="Arial" w:hAnsi="Arial" w:cs="Arial"/>
          <w:sz w:val="20"/>
        </w:rPr>
        <w:t>.</w:t>
      </w:r>
      <w:r w:rsidR="009F45D6">
        <w:rPr>
          <w:rFonts w:ascii="Arial" w:hAnsi="Arial" w:cs="Arial"/>
          <w:sz w:val="20"/>
        </w:rPr>
        <w:t xml:space="preserve"> In addition, the ACMA </w:t>
      </w:r>
      <w:r w:rsidR="00126BE3">
        <w:rPr>
          <w:rFonts w:ascii="Arial" w:hAnsi="Arial" w:cs="Arial"/>
          <w:sz w:val="20"/>
        </w:rPr>
        <w:t>has taken</w:t>
      </w:r>
      <w:r w:rsidR="008E751E">
        <w:rPr>
          <w:rFonts w:ascii="Arial" w:hAnsi="Arial" w:cs="Arial"/>
          <w:sz w:val="20"/>
        </w:rPr>
        <w:t xml:space="preserve"> into account </w:t>
      </w:r>
      <w:r w:rsidR="005D6E16">
        <w:rPr>
          <w:rFonts w:ascii="Arial" w:hAnsi="Arial" w:cs="Arial"/>
          <w:sz w:val="20"/>
        </w:rPr>
        <w:t xml:space="preserve">the </w:t>
      </w:r>
      <w:r w:rsidR="00C07399">
        <w:rPr>
          <w:rFonts w:ascii="Arial" w:hAnsi="Arial" w:cs="Arial"/>
          <w:sz w:val="20"/>
        </w:rPr>
        <w:t xml:space="preserve">brevity of the </w:t>
      </w:r>
      <w:r w:rsidR="003732AC">
        <w:rPr>
          <w:rFonts w:ascii="Arial" w:hAnsi="Arial" w:cs="Arial"/>
          <w:sz w:val="20"/>
        </w:rPr>
        <w:t>p</w:t>
      </w:r>
      <w:r w:rsidR="00C07399">
        <w:rPr>
          <w:rFonts w:ascii="Arial" w:hAnsi="Arial" w:cs="Arial"/>
          <w:sz w:val="20"/>
        </w:rPr>
        <w:t xml:space="preserve">romotion and </w:t>
      </w:r>
      <w:r w:rsidR="002462E3">
        <w:rPr>
          <w:rFonts w:ascii="Arial" w:hAnsi="Arial" w:cs="Arial"/>
          <w:sz w:val="20"/>
        </w:rPr>
        <w:t xml:space="preserve">the </w:t>
      </w:r>
      <w:r w:rsidR="008E751E">
        <w:rPr>
          <w:rFonts w:ascii="Arial" w:hAnsi="Arial" w:cs="Arial"/>
          <w:sz w:val="20"/>
        </w:rPr>
        <w:t xml:space="preserve">proviso </w:t>
      </w:r>
      <w:r w:rsidR="00C93113">
        <w:rPr>
          <w:rFonts w:ascii="Arial" w:hAnsi="Arial" w:cs="Arial"/>
          <w:sz w:val="20"/>
        </w:rPr>
        <w:t>th</w:t>
      </w:r>
      <w:r w:rsidR="002547E8">
        <w:rPr>
          <w:rFonts w:ascii="Arial" w:hAnsi="Arial" w:cs="Arial"/>
          <w:sz w:val="20"/>
        </w:rPr>
        <w:t xml:space="preserve">at there is no </w:t>
      </w:r>
      <w:bookmarkStart w:id="10" w:name="_Hlk27646941"/>
      <w:r w:rsidR="005D6E16">
        <w:rPr>
          <w:rFonts w:ascii="Arial" w:hAnsi="Arial" w:cs="Arial"/>
          <w:sz w:val="20"/>
        </w:rPr>
        <w:t xml:space="preserve">requirement </w:t>
      </w:r>
      <w:r w:rsidR="001C055D">
        <w:rPr>
          <w:rFonts w:ascii="Arial" w:hAnsi="Arial" w:cs="Arial"/>
          <w:sz w:val="20"/>
        </w:rPr>
        <w:t xml:space="preserve">for </w:t>
      </w:r>
      <w:r w:rsidR="000E7E0E">
        <w:rPr>
          <w:rFonts w:ascii="Arial" w:hAnsi="Arial" w:cs="Arial"/>
          <w:sz w:val="20"/>
        </w:rPr>
        <w:t>p</w:t>
      </w:r>
      <w:r w:rsidR="00263998" w:rsidRPr="00263998">
        <w:rPr>
          <w:rFonts w:ascii="Arial" w:hAnsi="Arial" w:cs="Arial"/>
          <w:sz w:val="20"/>
        </w:rPr>
        <w:t xml:space="preserve">rogram </w:t>
      </w:r>
      <w:r w:rsidR="000E7E0E">
        <w:rPr>
          <w:rFonts w:ascii="Arial" w:hAnsi="Arial" w:cs="Arial"/>
          <w:sz w:val="20"/>
        </w:rPr>
        <w:t>p</w:t>
      </w:r>
      <w:r w:rsidR="00263998" w:rsidRPr="00263998">
        <w:rPr>
          <w:rFonts w:ascii="Arial" w:hAnsi="Arial" w:cs="Arial"/>
          <w:sz w:val="20"/>
        </w:rPr>
        <w:t xml:space="preserve">romotions to portray all aspects or themes of a </w:t>
      </w:r>
      <w:r w:rsidR="008E751E">
        <w:rPr>
          <w:rFonts w:ascii="Arial" w:hAnsi="Arial" w:cs="Arial"/>
          <w:sz w:val="20"/>
        </w:rPr>
        <w:t xml:space="preserve">program </w:t>
      </w:r>
      <w:r w:rsidR="00263998" w:rsidRPr="00263998">
        <w:rPr>
          <w:rFonts w:ascii="Arial" w:hAnsi="Arial" w:cs="Arial"/>
          <w:sz w:val="20"/>
        </w:rPr>
        <w:t>segment</w:t>
      </w:r>
      <w:r w:rsidR="008264ED">
        <w:rPr>
          <w:rFonts w:ascii="Arial" w:hAnsi="Arial" w:cs="Arial"/>
          <w:sz w:val="20"/>
        </w:rPr>
        <w:t xml:space="preserve"> or </w:t>
      </w:r>
      <w:r w:rsidR="008E751E">
        <w:rPr>
          <w:rFonts w:ascii="Arial" w:hAnsi="Arial" w:cs="Arial"/>
          <w:sz w:val="20"/>
        </w:rPr>
        <w:t>include</w:t>
      </w:r>
      <w:r w:rsidR="00263998" w:rsidRPr="00263998">
        <w:rPr>
          <w:rFonts w:ascii="Arial" w:hAnsi="Arial" w:cs="Arial"/>
          <w:sz w:val="20"/>
        </w:rPr>
        <w:t xml:space="preserve"> all viewpoints contained in the </w:t>
      </w:r>
      <w:r w:rsidR="008E751E">
        <w:rPr>
          <w:rFonts w:ascii="Arial" w:hAnsi="Arial" w:cs="Arial"/>
          <w:sz w:val="20"/>
        </w:rPr>
        <w:t xml:space="preserve">program </w:t>
      </w:r>
      <w:r w:rsidR="00263998" w:rsidRPr="00263998">
        <w:rPr>
          <w:rFonts w:ascii="Arial" w:hAnsi="Arial" w:cs="Arial"/>
          <w:sz w:val="20"/>
        </w:rPr>
        <w:t>segment.</w:t>
      </w:r>
    </w:p>
    <w:bookmarkEnd w:id="10"/>
    <w:p w14:paraId="3E642E21" w14:textId="35891674" w:rsidR="005D78CE" w:rsidRDefault="005D78CE" w:rsidP="00151949">
      <w:pPr>
        <w:pStyle w:val="ACMABodyText0"/>
        <w:snapToGrid w:val="0"/>
        <w:spacing w:before="0" w:after="240" w:line="240" w:lineRule="atLeast"/>
        <w:rPr>
          <w:rFonts w:ascii="Arial" w:hAnsi="Arial" w:cs="Arial"/>
          <w:sz w:val="20"/>
        </w:rPr>
      </w:pPr>
      <w:r w:rsidRPr="005D78CE">
        <w:rPr>
          <w:rFonts w:ascii="Arial" w:hAnsi="Arial" w:cs="Arial"/>
          <w:sz w:val="20"/>
        </w:rPr>
        <w:t>The licensee submitted</w:t>
      </w:r>
      <w:r>
        <w:rPr>
          <w:rFonts w:ascii="Arial" w:hAnsi="Arial" w:cs="Arial"/>
          <w:sz w:val="20"/>
        </w:rPr>
        <w:t>:</w:t>
      </w:r>
    </w:p>
    <w:p w14:paraId="466CB23E" w14:textId="66EF117E" w:rsidR="003932ED" w:rsidRDefault="000D6133" w:rsidP="003932ED">
      <w:pPr>
        <w:pStyle w:val="ACMABodyText"/>
        <w:ind w:left="720"/>
        <w:rPr>
          <w:sz w:val="18"/>
          <w:szCs w:val="18"/>
        </w:rPr>
      </w:pPr>
      <w:r>
        <w:rPr>
          <w:sz w:val="18"/>
          <w:szCs w:val="18"/>
        </w:rPr>
        <w:t xml:space="preserve">[…] </w:t>
      </w:r>
      <w:r w:rsidR="003932ED" w:rsidRPr="003932ED">
        <w:rPr>
          <w:sz w:val="18"/>
          <w:szCs w:val="18"/>
        </w:rPr>
        <w:t xml:space="preserve">due to their fleeting duration, it would not be practicable for the Promotions </w:t>
      </w:r>
      <w:r>
        <w:rPr>
          <w:sz w:val="18"/>
          <w:szCs w:val="18"/>
        </w:rPr>
        <w:t xml:space="preserve">[to] </w:t>
      </w:r>
      <w:r w:rsidR="003932ED" w:rsidRPr="003932ED">
        <w:rPr>
          <w:sz w:val="18"/>
          <w:szCs w:val="18"/>
        </w:rPr>
        <w:t>present all the relevant information and context which was in fact presented in the Report.</w:t>
      </w:r>
    </w:p>
    <w:p w14:paraId="4CFB71B7" w14:textId="7496C57D" w:rsidR="00BC210D" w:rsidRDefault="00BC210D" w:rsidP="003932ED">
      <w:pPr>
        <w:pStyle w:val="ACMABodyText"/>
        <w:ind w:left="720"/>
        <w:rPr>
          <w:sz w:val="18"/>
          <w:szCs w:val="18"/>
        </w:rPr>
      </w:pPr>
      <w:r>
        <w:rPr>
          <w:sz w:val="18"/>
          <w:szCs w:val="18"/>
        </w:rPr>
        <w:lastRenderedPageBreak/>
        <w:t xml:space="preserve">[…] </w:t>
      </w:r>
    </w:p>
    <w:p w14:paraId="57233875" w14:textId="1844ADF3" w:rsidR="006909FE" w:rsidRPr="003932ED" w:rsidRDefault="006909FE" w:rsidP="003932ED">
      <w:pPr>
        <w:pStyle w:val="ACMABodyText"/>
        <w:ind w:left="720"/>
        <w:rPr>
          <w:sz w:val="18"/>
          <w:szCs w:val="18"/>
        </w:rPr>
      </w:pPr>
      <w:r w:rsidRPr="006909FE">
        <w:rPr>
          <w:sz w:val="18"/>
          <w:szCs w:val="18"/>
        </w:rPr>
        <w:t xml:space="preserve">While images of the Firearm at the centre of the Report were not included in the promotions at paragraphs 2(a) to 2(d), Nine notes there was no requirement for such images to be included </w:t>
      </w:r>
      <w:r w:rsidR="00EC4DBC">
        <w:rPr>
          <w:sz w:val="18"/>
          <w:szCs w:val="18"/>
        </w:rPr>
        <w:t xml:space="preserve">[…] </w:t>
      </w:r>
      <w:r w:rsidRPr="006909FE">
        <w:rPr>
          <w:sz w:val="18"/>
          <w:szCs w:val="18"/>
        </w:rPr>
        <w:t>Moreover, it is common for program promotions not to reveal central details of a program or segment in order to entice viewers to watch the full program.</w:t>
      </w:r>
    </w:p>
    <w:p w14:paraId="6CAF9372" w14:textId="6B5A7F8F" w:rsidR="00C47F7C" w:rsidRDefault="007A69BD" w:rsidP="003077F3">
      <w:pPr>
        <w:pStyle w:val="ACMABodyText0"/>
        <w:snapToGrid w:val="0"/>
        <w:spacing w:before="0" w:after="240" w:line="240" w:lineRule="atLeast"/>
        <w:rPr>
          <w:rFonts w:ascii="Arial" w:hAnsi="Arial" w:cs="Arial"/>
          <w:sz w:val="20"/>
        </w:rPr>
      </w:pPr>
      <w:r>
        <w:rPr>
          <w:rFonts w:ascii="Arial" w:hAnsi="Arial" w:cs="Arial"/>
          <w:sz w:val="20"/>
        </w:rPr>
        <w:t xml:space="preserve">The ACMA </w:t>
      </w:r>
      <w:r w:rsidR="00BB576C">
        <w:rPr>
          <w:rFonts w:ascii="Arial" w:hAnsi="Arial" w:cs="Arial"/>
          <w:sz w:val="20"/>
        </w:rPr>
        <w:t xml:space="preserve">acknowledges </w:t>
      </w:r>
      <w:r w:rsidR="00D82AEF">
        <w:rPr>
          <w:rFonts w:ascii="Arial" w:hAnsi="Arial" w:cs="Arial"/>
          <w:sz w:val="20"/>
        </w:rPr>
        <w:t xml:space="preserve">that there was no </w:t>
      </w:r>
      <w:r w:rsidR="003A6718">
        <w:rPr>
          <w:rFonts w:ascii="Arial" w:hAnsi="Arial" w:cs="Arial"/>
          <w:sz w:val="20"/>
        </w:rPr>
        <w:t xml:space="preserve">requirement </w:t>
      </w:r>
      <w:r w:rsidR="00AC7A8C">
        <w:rPr>
          <w:rFonts w:ascii="Arial" w:hAnsi="Arial" w:cs="Arial"/>
          <w:sz w:val="20"/>
        </w:rPr>
        <w:t xml:space="preserve">to include </w:t>
      </w:r>
      <w:r w:rsidR="00EB4842">
        <w:rPr>
          <w:rFonts w:ascii="Arial" w:hAnsi="Arial" w:cs="Arial"/>
          <w:sz w:val="20"/>
        </w:rPr>
        <w:t xml:space="preserve">footage of </w:t>
      </w:r>
      <w:r w:rsidR="00AC7A8C">
        <w:rPr>
          <w:rFonts w:ascii="Arial" w:hAnsi="Arial" w:cs="Arial"/>
          <w:sz w:val="20"/>
        </w:rPr>
        <w:t xml:space="preserve">the </w:t>
      </w:r>
      <w:r w:rsidR="00814C59">
        <w:rPr>
          <w:rFonts w:ascii="Arial" w:hAnsi="Arial" w:cs="Arial"/>
          <w:sz w:val="20"/>
        </w:rPr>
        <w:t>WT</w:t>
      </w:r>
      <w:r w:rsidR="00984F1E">
        <w:rPr>
          <w:rFonts w:ascii="Arial" w:hAnsi="Arial" w:cs="Arial"/>
          <w:sz w:val="20"/>
        </w:rPr>
        <w:t xml:space="preserve"> 15-01. </w:t>
      </w:r>
      <w:r w:rsidR="009D5916">
        <w:rPr>
          <w:rFonts w:ascii="Arial" w:hAnsi="Arial" w:cs="Arial"/>
          <w:sz w:val="20"/>
        </w:rPr>
        <w:t>However, the</w:t>
      </w:r>
      <w:r w:rsidR="00106FA2">
        <w:rPr>
          <w:rFonts w:ascii="Arial" w:hAnsi="Arial" w:cs="Arial"/>
          <w:sz w:val="20"/>
        </w:rPr>
        <w:t xml:space="preserve"> </w:t>
      </w:r>
      <w:r w:rsidR="000E7E0E">
        <w:rPr>
          <w:rFonts w:ascii="Arial" w:hAnsi="Arial" w:cs="Arial"/>
          <w:sz w:val="20"/>
        </w:rPr>
        <w:t xml:space="preserve">licensee did choose to illustrate the promotion with </w:t>
      </w:r>
      <w:r w:rsidR="009D5916">
        <w:rPr>
          <w:rFonts w:ascii="Arial" w:hAnsi="Arial" w:cs="Arial"/>
          <w:sz w:val="20"/>
        </w:rPr>
        <w:t xml:space="preserve">visual </w:t>
      </w:r>
      <w:r w:rsidR="0061115A">
        <w:rPr>
          <w:rFonts w:ascii="Arial" w:hAnsi="Arial" w:cs="Arial"/>
          <w:sz w:val="20"/>
        </w:rPr>
        <w:t>material</w:t>
      </w:r>
      <w:r w:rsidR="008E751E">
        <w:rPr>
          <w:rFonts w:ascii="Arial" w:hAnsi="Arial" w:cs="Arial"/>
          <w:sz w:val="20"/>
        </w:rPr>
        <w:t>,</w:t>
      </w:r>
      <w:r w:rsidR="000E7E0E">
        <w:rPr>
          <w:rFonts w:ascii="Arial" w:hAnsi="Arial" w:cs="Arial"/>
          <w:sz w:val="20"/>
        </w:rPr>
        <w:t xml:space="preserve"> and the footage</w:t>
      </w:r>
      <w:r w:rsidR="009D5916">
        <w:rPr>
          <w:rFonts w:ascii="Arial" w:hAnsi="Arial" w:cs="Arial"/>
          <w:sz w:val="20"/>
        </w:rPr>
        <w:t xml:space="preserve"> selected</w:t>
      </w:r>
      <w:r w:rsidR="0061115A">
        <w:rPr>
          <w:rFonts w:ascii="Arial" w:hAnsi="Arial" w:cs="Arial"/>
          <w:sz w:val="20"/>
        </w:rPr>
        <w:t xml:space="preserve"> </w:t>
      </w:r>
      <w:r w:rsidR="009D5916">
        <w:rPr>
          <w:rFonts w:ascii="Arial" w:hAnsi="Arial" w:cs="Arial"/>
          <w:sz w:val="20"/>
        </w:rPr>
        <w:t>emphasised</w:t>
      </w:r>
      <w:r w:rsidR="0061115A">
        <w:rPr>
          <w:rFonts w:ascii="Arial" w:hAnsi="Arial" w:cs="Arial"/>
          <w:sz w:val="20"/>
        </w:rPr>
        <w:t xml:space="preserve"> automatic weapon fir</w:t>
      </w:r>
      <w:r w:rsidR="00017619">
        <w:rPr>
          <w:rFonts w:ascii="Arial" w:hAnsi="Arial" w:cs="Arial"/>
          <w:sz w:val="20"/>
        </w:rPr>
        <w:t>e</w:t>
      </w:r>
      <w:r w:rsidR="009D5916">
        <w:rPr>
          <w:rFonts w:ascii="Arial" w:hAnsi="Arial" w:cs="Arial"/>
          <w:sz w:val="20"/>
        </w:rPr>
        <w:t xml:space="preserve"> when the WT 15-01 is not capable of automatic fire.</w:t>
      </w:r>
      <w:r w:rsidR="00812243">
        <w:rPr>
          <w:rFonts w:ascii="Arial" w:hAnsi="Arial" w:cs="Arial"/>
          <w:sz w:val="20"/>
        </w:rPr>
        <w:t xml:space="preserve"> </w:t>
      </w:r>
      <w:r w:rsidR="003707B6">
        <w:rPr>
          <w:rFonts w:ascii="Arial" w:hAnsi="Arial" w:cs="Arial"/>
          <w:sz w:val="20"/>
        </w:rPr>
        <w:t>The</w:t>
      </w:r>
      <w:r w:rsidR="009D5916">
        <w:rPr>
          <w:rFonts w:ascii="Arial" w:hAnsi="Arial" w:cs="Arial"/>
          <w:sz w:val="20"/>
        </w:rPr>
        <w:t>re were also</w:t>
      </w:r>
      <w:r w:rsidR="003707B6">
        <w:rPr>
          <w:rFonts w:ascii="Arial" w:hAnsi="Arial" w:cs="Arial"/>
          <w:sz w:val="20"/>
        </w:rPr>
        <w:t xml:space="preserve"> multiple </w:t>
      </w:r>
      <w:r w:rsidR="009D5916">
        <w:rPr>
          <w:rFonts w:ascii="Arial" w:hAnsi="Arial" w:cs="Arial"/>
          <w:sz w:val="20"/>
        </w:rPr>
        <w:t xml:space="preserve">verbal </w:t>
      </w:r>
      <w:r w:rsidR="00DB741D">
        <w:rPr>
          <w:rFonts w:ascii="Arial" w:hAnsi="Arial" w:cs="Arial"/>
          <w:sz w:val="20"/>
        </w:rPr>
        <w:t>references to machine gun</w:t>
      </w:r>
      <w:r w:rsidR="008E751E">
        <w:rPr>
          <w:rFonts w:ascii="Arial" w:hAnsi="Arial" w:cs="Arial"/>
          <w:sz w:val="20"/>
        </w:rPr>
        <w:t>s</w:t>
      </w:r>
      <w:r w:rsidR="00DB741D">
        <w:rPr>
          <w:rFonts w:ascii="Arial" w:hAnsi="Arial" w:cs="Arial"/>
          <w:sz w:val="20"/>
        </w:rPr>
        <w:t xml:space="preserve"> in </w:t>
      </w:r>
      <w:r w:rsidR="00DB470C">
        <w:rPr>
          <w:rFonts w:ascii="Arial" w:hAnsi="Arial" w:cs="Arial"/>
          <w:sz w:val="20"/>
        </w:rPr>
        <w:t xml:space="preserve">the </w:t>
      </w:r>
      <w:r w:rsidR="005C2CFE">
        <w:rPr>
          <w:rFonts w:ascii="Arial" w:hAnsi="Arial" w:cs="Arial"/>
          <w:sz w:val="20"/>
        </w:rPr>
        <w:t>voice-over</w:t>
      </w:r>
      <w:r w:rsidR="00B62829">
        <w:rPr>
          <w:rFonts w:ascii="Arial" w:hAnsi="Arial" w:cs="Arial"/>
          <w:sz w:val="20"/>
        </w:rPr>
        <w:t>,</w:t>
      </w:r>
      <w:r w:rsidR="002A5038">
        <w:rPr>
          <w:rFonts w:ascii="Arial" w:hAnsi="Arial" w:cs="Arial"/>
          <w:sz w:val="20"/>
        </w:rPr>
        <w:t xml:space="preserve"> </w:t>
      </w:r>
      <w:r w:rsidR="002E40E1">
        <w:rPr>
          <w:rFonts w:ascii="Arial" w:hAnsi="Arial" w:cs="Arial"/>
          <w:sz w:val="20"/>
        </w:rPr>
        <w:t xml:space="preserve">further </w:t>
      </w:r>
      <w:r w:rsidR="003A1617">
        <w:rPr>
          <w:rFonts w:ascii="Arial" w:hAnsi="Arial" w:cs="Arial"/>
          <w:sz w:val="20"/>
        </w:rPr>
        <w:t>emphasis</w:t>
      </w:r>
      <w:r w:rsidR="002A5038">
        <w:rPr>
          <w:rFonts w:ascii="Arial" w:hAnsi="Arial" w:cs="Arial"/>
          <w:sz w:val="20"/>
        </w:rPr>
        <w:t>ing</w:t>
      </w:r>
      <w:r w:rsidR="003A1617">
        <w:rPr>
          <w:rFonts w:ascii="Arial" w:hAnsi="Arial" w:cs="Arial"/>
          <w:sz w:val="20"/>
        </w:rPr>
        <w:t xml:space="preserve"> </w:t>
      </w:r>
      <w:r w:rsidR="005D04F3">
        <w:rPr>
          <w:rFonts w:ascii="Arial" w:hAnsi="Arial" w:cs="Arial"/>
          <w:sz w:val="20"/>
        </w:rPr>
        <w:t xml:space="preserve">automatic </w:t>
      </w:r>
      <w:r w:rsidR="00C47F7C">
        <w:rPr>
          <w:rFonts w:ascii="Arial" w:hAnsi="Arial" w:cs="Arial"/>
          <w:sz w:val="20"/>
        </w:rPr>
        <w:t>firing capabilities</w:t>
      </w:r>
      <w:r w:rsidR="002A5038">
        <w:rPr>
          <w:rFonts w:ascii="Arial" w:hAnsi="Arial" w:cs="Arial"/>
          <w:sz w:val="20"/>
        </w:rPr>
        <w:t>.</w:t>
      </w:r>
      <w:r w:rsidR="00C47F7C">
        <w:rPr>
          <w:rFonts w:ascii="Arial" w:hAnsi="Arial" w:cs="Arial"/>
          <w:sz w:val="20"/>
        </w:rPr>
        <w:t xml:space="preserve"> </w:t>
      </w:r>
    </w:p>
    <w:p w14:paraId="392F7BDA" w14:textId="548FF2BB" w:rsidR="001408B2" w:rsidRDefault="002E40E1" w:rsidP="003077F3">
      <w:pPr>
        <w:pStyle w:val="ACMABodyText0"/>
        <w:snapToGrid w:val="0"/>
        <w:spacing w:before="0" w:after="240" w:line="240" w:lineRule="atLeast"/>
        <w:rPr>
          <w:rFonts w:ascii="Arial" w:hAnsi="Arial" w:cs="Arial"/>
          <w:sz w:val="20"/>
        </w:rPr>
      </w:pPr>
      <w:r>
        <w:rPr>
          <w:rFonts w:ascii="Arial" w:hAnsi="Arial" w:cs="Arial"/>
          <w:sz w:val="20"/>
        </w:rPr>
        <w:t xml:space="preserve">The </w:t>
      </w:r>
      <w:r w:rsidR="0013124F">
        <w:rPr>
          <w:rFonts w:ascii="Arial" w:hAnsi="Arial" w:cs="Arial"/>
          <w:sz w:val="20"/>
        </w:rPr>
        <w:t>choice</w:t>
      </w:r>
      <w:r>
        <w:rPr>
          <w:rFonts w:ascii="Arial" w:hAnsi="Arial" w:cs="Arial"/>
          <w:sz w:val="20"/>
        </w:rPr>
        <w:t xml:space="preserve"> of the </w:t>
      </w:r>
      <w:r w:rsidR="0013124F">
        <w:rPr>
          <w:rFonts w:ascii="Arial" w:hAnsi="Arial" w:cs="Arial"/>
          <w:sz w:val="20"/>
        </w:rPr>
        <w:t>words</w:t>
      </w:r>
      <w:r w:rsidR="00091C6C">
        <w:rPr>
          <w:rFonts w:ascii="Arial" w:hAnsi="Arial" w:cs="Arial"/>
          <w:sz w:val="20"/>
        </w:rPr>
        <w:t xml:space="preserve"> </w:t>
      </w:r>
      <w:r w:rsidR="000A5E05">
        <w:rPr>
          <w:rFonts w:ascii="Arial" w:hAnsi="Arial" w:cs="Arial"/>
          <w:sz w:val="20"/>
        </w:rPr>
        <w:t>‘</w:t>
      </w:r>
      <w:r w:rsidR="00091C6C">
        <w:rPr>
          <w:rFonts w:ascii="Arial" w:hAnsi="Arial" w:cs="Arial"/>
          <w:sz w:val="20"/>
        </w:rPr>
        <w:t>murder weapon</w:t>
      </w:r>
      <w:r w:rsidR="000A5E05">
        <w:rPr>
          <w:rFonts w:ascii="Arial" w:hAnsi="Arial" w:cs="Arial"/>
          <w:sz w:val="20"/>
        </w:rPr>
        <w:t xml:space="preserve">’ in the </w:t>
      </w:r>
      <w:r w:rsidR="0013124F">
        <w:rPr>
          <w:rFonts w:ascii="Arial" w:hAnsi="Arial" w:cs="Arial"/>
          <w:sz w:val="20"/>
        </w:rPr>
        <w:t xml:space="preserve">context of the phrase </w:t>
      </w:r>
      <w:r w:rsidR="000A5E05">
        <w:rPr>
          <w:rFonts w:ascii="Arial" w:hAnsi="Arial" w:cs="Arial"/>
          <w:sz w:val="20"/>
        </w:rPr>
        <w:t>‘why is this murder weapon</w:t>
      </w:r>
      <w:r w:rsidR="00B80B21">
        <w:rPr>
          <w:rFonts w:ascii="Arial" w:hAnsi="Arial" w:cs="Arial"/>
          <w:sz w:val="20"/>
        </w:rPr>
        <w:t xml:space="preserve"> available in Queensland?’</w:t>
      </w:r>
      <w:r w:rsidR="002A5038">
        <w:rPr>
          <w:rFonts w:ascii="Arial" w:hAnsi="Arial" w:cs="Arial"/>
          <w:sz w:val="20"/>
        </w:rPr>
        <w:t xml:space="preserve">, </w:t>
      </w:r>
      <w:r w:rsidR="001903C9">
        <w:rPr>
          <w:rFonts w:ascii="Arial" w:hAnsi="Arial" w:cs="Arial"/>
          <w:sz w:val="20"/>
        </w:rPr>
        <w:t xml:space="preserve">conveyed a </w:t>
      </w:r>
      <w:r w:rsidR="00E808C2">
        <w:rPr>
          <w:rFonts w:ascii="Arial" w:hAnsi="Arial" w:cs="Arial"/>
          <w:sz w:val="20"/>
        </w:rPr>
        <w:t xml:space="preserve">sense </w:t>
      </w:r>
      <w:r w:rsidR="001903C9">
        <w:rPr>
          <w:rFonts w:ascii="Arial" w:hAnsi="Arial" w:cs="Arial"/>
          <w:sz w:val="20"/>
        </w:rPr>
        <w:t>that the WT 15-01</w:t>
      </w:r>
      <w:r w:rsidR="002A5038">
        <w:rPr>
          <w:rFonts w:ascii="Arial" w:hAnsi="Arial" w:cs="Arial"/>
          <w:sz w:val="20"/>
        </w:rPr>
        <w:t xml:space="preserve"> should be </w:t>
      </w:r>
      <w:r w:rsidR="00E623A3">
        <w:rPr>
          <w:rFonts w:ascii="Arial" w:hAnsi="Arial" w:cs="Arial"/>
          <w:sz w:val="20"/>
        </w:rPr>
        <w:t>less available</w:t>
      </w:r>
      <w:r w:rsidR="008E751E">
        <w:rPr>
          <w:rFonts w:ascii="Arial" w:hAnsi="Arial" w:cs="Arial"/>
          <w:sz w:val="20"/>
        </w:rPr>
        <w:t xml:space="preserve"> </w:t>
      </w:r>
      <w:r w:rsidR="002A5038">
        <w:rPr>
          <w:rFonts w:ascii="Arial" w:hAnsi="Arial" w:cs="Arial"/>
          <w:sz w:val="20"/>
        </w:rPr>
        <w:t>tha</w:t>
      </w:r>
      <w:r w:rsidR="0049384E">
        <w:rPr>
          <w:rFonts w:ascii="Arial" w:hAnsi="Arial" w:cs="Arial"/>
          <w:sz w:val="20"/>
        </w:rPr>
        <w:t>n</w:t>
      </w:r>
      <w:r w:rsidR="002A5038">
        <w:rPr>
          <w:rFonts w:ascii="Arial" w:hAnsi="Arial" w:cs="Arial"/>
          <w:sz w:val="20"/>
        </w:rPr>
        <w:t xml:space="preserve"> was the case. </w:t>
      </w:r>
    </w:p>
    <w:p w14:paraId="48BC3977" w14:textId="77777777" w:rsidR="004564C1" w:rsidRDefault="004564C1" w:rsidP="004564C1">
      <w:pPr>
        <w:pStyle w:val="ACMABodyText0"/>
        <w:snapToGrid w:val="0"/>
        <w:spacing w:before="0" w:after="240" w:line="240" w:lineRule="atLeast"/>
        <w:rPr>
          <w:rFonts w:ascii="Arial" w:hAnsi="Arial" w:cs="Arial"/>
          <w:sz w:val="20"/>
        </w:rPr>
      </w:pPr>
      <w:r>
        <w:rPr>
          <w:rFonts w:ascii="Arial" w:hAnsi="Arial" w:cs="Arial"/>
          <w:sz w:val="20"/>
        </w:rPr>
        <w:t>Without any indication that the weapons featured in the promotion were not the WT 15-01 or had greater capacity than the WT 15-01, the WT 15-01 was portrayed as a weapon with significantly greater firing capacity than it has.</w:t>
      </w:r>
    </w:p>
    <w:p w14:paraId="77F575C0" w14:textId="77777777" w:rsidR="004564C1" w:rsidRDefault="004564C1" w:rsidP="004564C1">
      <w:pPr>
        <w:pStyle w:val="ACMABodyText0"/>
        <w:snapToGrid w:val="0"/>
        <w:spacing w:before="0" w:after="240" w:line="240" w:lineRule="atLeast"/>
        <w:rPr>
          <w:rFonts w:ascii="Arial" w:hAnsi="Arial" w:cs="Arial"/>
          <w:sz w:val="20"/>
        </w:rPr>
      </w:pPr>
      <w:r>
        <w:rPr>
          <w:rFonts w:ascii="Arial" w:hAnsi="Arial" w:cs="Arial"/>
          <w:sz w:val="20"/>
        </w:rPr>
        <w:t>By selecting material that conveyed misleading information about the nature of the WT 15-01 and by using terms such as ‘kill’ and ‘murder’ to emphasise a threatening tone without referring to the dispute over the weapon’s classification, the promotion failed to present the factual material contained therein impartially.</w:t>
      </w:r>
    </w:p>
    <w:p w14:paraId="27EEB8BE" w14:textId="4644334E" w:rsidR="004564C1" w:rsidRDefault="004564C1" w:rsidP="003077F3">
      <w:pPr>
        <w:pStyle w:val="ACMABodyText0"/>
        <w:snapToGrid w:val="0"/>
        <w:spacing w:before="0" w:after="240" w:line="240" w:lineRule="atLeast"/>
        <w:rPr>
          <w:rFonts w:ascii="Arial" w:hAnsi="Arial" w:cs="Arial"/>
          <w:sz w:val="20"/>
        </w:rPr>
      </w:pPr>
      <w:r w:rsidRPr="00543D97">
        <w:rPr>
          <w:rFonts w:ascii="Arial" w:hAnsi="Arial" w:cs="Arial"/>
          <w:b/>
          <w:sz w:val="20"/>
        </w:rPr>
        <w:t>Having regard to the brevity of the program promotion,</w:t>
      </w:r>
      <w:r>
        <w:rPr>
          <w:rFonts w:ascii="Arial" w:hAnsi="Arial" w:cs="Arial"/>
          <w:b/>
          <w:sz w:val="20"/>
        </w:rPr>
        <w:t xml:space="preserve"> and the proviso in clause 3.6.2,</w:t>
      </w:r>
      <w:r w:rsidRPr="00543D97">
        <w:rPr>
          <w:rFonts w:ascii="Arial" w:hAnsi="Arial" w:cs="Arial"/>
          <w:b/>
          <w:sz w:val="20"/>
        </w:rPr>
        <w:t xml:space="preserve"> was </w:t>
      </w:r>
      <w:r>
        <w:rPr>
          <w:rFonts w:ascii="Arial" w:hAnsi="Arial" w:cs="Arial"/>
          <w:b/>
          <w:sz w:val="20"/>
        </w:rPr>
        <w:t xml:space="preserve">the </w:t>
      </w:r>
      <w:r w:rsidRPr="00543D97">
        <w:rPr>
          <w:rFonts w:ascii="Arial" w:hAnsi="Arial" w:cs="Arial"/>
          <w:b/>
          <w:sz w:val="20"/>
        </w:rPr>
        <w:t xml:space="preserve">licensee </w:t>
      </w:r>
      <w:r>
        <w:rPr>
          <w:rFonts w:ascii="Arial" w:hAnsi="Arial" w:cs="Arial"/>
          <w:b/>
          <w:sz w:val="20"/>
        </w:rPr>
        <w:t xml:space="preserve">required </w:t>
      </w:r>
      <w:r w:rsidRPr="00543D97">
        <w:rPr>
          <w:rFonts w:ascii="Arial" w:hAnsi="Arial" w:cs="Arial"/>
          <w:b/>
          <w:sz w:val="20"/>
        </w:rPr>
        <w:t>to comply with clause 3.</w:t>
      </w:r>
      <w:r>
        <w:rPr>
          <w:rFonts w:ascii="Arial" w:hAnsi="Arial" w:cs="Arial"/>
          <w:b/>
          <w:sz w:val="20"/>
        </w:rPr>
        <w:t>4.1</w:t>
      </w:r>
      <w:r w:rsidRPr="00543D97">
        <w:rPr>
          <w:rFonts w:ascii="Arial" w:hAnsi="Arial" w:cs="Arial"/>
          <w:b/>
          <w:sz w:val="20"/>
        </w:rPr>
        <w:t xml:space="preserve"> in the circumstances?</w:t>
      </w:r>
    </w:p>
    <w:p w14:paraId="0B1044FE" w14:textId="13331801" w:rsidR="004468C4" w:rsidRDefault="004468C4" w:rsidP="003077F3">
      <w:pPr>
        <w:pStyle w:val="ACMABodyText0"/>
        <w:snapToGrid w:val="0"/>
        <w:spacing w:before="0" w:after="240" w:line="240" w:lineRule="atLeast"/>
        <w:rPr>
          <w:rFonts w:ascii="Arial" w:hAnsi="Arial" w:cs="Arial"/>
          <w:sz w:val="20"/>
        </w:rPr>
      </w:pPr>
      <w:r>
        <w:rPr>
          <w:rFonts w:ascii="Arial" w:hAnsi="Arial" w:cs="Arial"/>
          <w:sz w:val="20"/>
        </w:rPr>
        <w:t xml:space="preserve">The </w:t>
      </w:r>
      <w:r w:rsidR="00C44F57">
        <w:rPr>
          <w:rFonts w:ascii="Arial" w:hAnsi="Arial" w:cs="Arial"/>
          <w:sz w:val="20"/>
        </w:rPr>
        <w:t>licensee submitted</w:t>
      </w:r>
      <w:r>
        <w:rPr>
          <w:rFonts w:ascii="Arial" w:hAnsi="Arial" w:cs="Arial"/>
          <w:sz w:val="20"/>
        </w:rPr>
        <w:t>:</w:t>
      </w:r>
    </w:p>
    <w:p w14:paraId="4729E793" w14:textId="713E679D" w:rsidR="004468C4" w:rsidRPr="00A5101E" w:rsidRDefault="004468C4" w:rsidP="00A5101E">
      <w:pPr>
        <w:pStyle w:val="ACMABodyText0"/>
        <w:snapToGrid w:val="0"/>
        <w:spacing w:before="0" w:after="240" w:line="240" w:lineRule="atLeast"/>
        <w:ind w:left="720"/>
        <w:rPr>
          <w:rFonts w:ascii="Arial" w:hAnsi="Arial" w:cs="Arial"/>
          <w:sz w:val="18"/>
          <w:szCs w:val="18"/>
        </w:rPr>
      </w:pPr>
      <w:r>
        <w:rPr>
          <w:rFonts w:ascii="Arial" w:hAnsi="Arial" w:cs="Arial"/>
          <w:sz w:val="18"/>
          <w:szCs w:val="18"/>
        </w:rPr>
        <w:t xml:space="preserve">[…] </w:t>
      </w:r>
      <w:r w:rsidRPr="00A5101E">
        <w:rPr>
          <w:rFonts w:ascii="Arial" w:hAnsi="Arial" w:cs="Arial"/>
          <w:sz w:val="18"/>
          <w:szCs w:val="18"/>
        </w:rPr>
        <w:t xml:space="preserve">the qualification contained in clause 3.6.2 of the Code does not require Program Promotions to portray all aspects or themes of a segment, nor does it require the inclusion of all viewpoints contained in the segment. </w:t>
      </w:r>
    </w:p>
    <w:p w14:paraId="21A48AAE" w14:textId="395F642A" w:rsidR="00237764" w:rsidRDefault="00A96698" w:rsidP="004564C1">
      <w:pPr>
        <w:pStyle w:val="ACMABodyText0"/>
        <w:snapToGrid w:val="0"/>
        <w:spacing w:before="0" w:after="240" w:line="240" w:lineRule="atLeast"/>
        <w:rPr>
          <w:rFonts w:ascii="Arial" w:hAnsi="Arial" w:cs="Arial"/>
          <w:sz w:val="20"/>
        </w:rPr>
      </w:pPr>
      <w:r>
        <w:rPr>
          <w:rFonts w:ascii="Arial" w:hAnsi="Arial" w:cs="Arial"/>
          <w:sz w:val="20"/>
        </w:rPr>
        <w:t>The ACMA agrees, a</w:t>
      </w:r>
      <w:r w:rsidR="004564C1">
        <w:rPr>
          <w:rFonts w:ascii="Arial" w:hAnsi="Arial" w:cs="Arial"/>
          <w:sz w:val="20"/>
        </w:rPr>
        <w:t xml:space="preserve">s noted </w:t>
      </w:r>
      <w:r>
        <w:rPr>
          <w:rFonts w:ascii="Arial" w:hAnsi="Arial" w:cs="Arial"/>
          <w:sz w:val="20"/>
        </w:rPr>
        <w:t>by the licensee above</w:t>
      </w:r>
      <w:r w:rsidR="006352E1">
        <w:rPr>
          <w:rFonts w:ascii="Arial" w:hAnsi="Arial" w:cs="Arial"/>
          <w:sz w:val="20"/>
        </w:rPr>
        <w:t xml:space="preserve"> and in its further submissions</w:t>
      </w:r>
      <w:r w:rsidR="00A1309E">
        <w:rPr>
          <w:rFonts w:ascii="Arial" w:hAnsi="Arial" w:cs="Arial"/>
          <w:sz w:val="20"/>
        </w:rPr>
        <w:t xml:space="preserve"> that </w:t>
      </w:r>
      <w:r w:rsidR="004564C1">
        <w:rPr>
          <w:rFonts w:ascii="Arial" w:hAnsi="Arial" w:cs="Arial"/>
          <w:sz w:val="20"/>
        </w:rPr>
        <w:t xml:space="preserve">it is relevant to consider whether compliance with the operative clause was reasonable, having regard to the brevity of the program promotion. </w:t>
      </w:r>
      <w:r w:rsidR="002A5038">
        <w:rPr>
          <w:rFonts w:ascii="Arial" w:hAnsi="Arial" w:cs="Arial"/>
          <w:sz w:val="20"/>
        </w:rPr>
        <w:t>T</w:t>
      </w:r>
      <w:r w:rsidR="003C5AEC">
        <w:rPr>
          <w:rFonts w:ascii="Arial" w:hAnsi="Arial" w:cs="Arial"/>
          <w:sz w:val="20"/>
        </w:rPr>
        <w:t xml:space="preserve">he </w:t>
      </w:r>
      <w:r w:rsidR="002A5038">
        <w:rPr>
          <w:rFonts w:ascii="Arial" w:hAnsi="Arial" w:cs="Arial"/>
          <w:sz w:val="20"/>
        </w:rPr>
        <w:t>p</w:t>
      </w:r>
      <w:r w:rsidR="00B37F23">
        <w:rPr>
          <w:rFonts w:ascii="Arial" w:hAnsi="Arial" w:cs="Arial"/>
          <w:sz w:val="20"/>
        </w:rPr>
        <w:t xml:space="preserve">rogram </w:t>
      </w:r>
      <w:r w:rsidR="002A5038">
        <w:rPr>
          <w:rFonts w:ascii="Arial" w:hAnsi="Arial" w:cs="Arial"/>
          <w:sz w:val="20"/>
        </w:rPr>
        <w:t>p</w:t>
      </w:r>
      <w:r w:rsidR="00CA3BC5">
        <w:rPr>
          <w:rFonts w:ascii="Arial" w:hAnsi="Arial" w:cs="Arial"/>
          <w:sz w:val="20"/>
        </w:rPr>
        <w:t xml:space="preserve">romotion </w:t>
      </w:r>
      <w:r w:rsidR="00B37F23">
        <w:rPr>
          <w:rFonts w:ascii="Arial" w:hAnsi="Arial" w:cs="Arial"/>
          <w:sz w:val="20"/>
        </w:rPr>
        <w:t xml:space="preserve">was </w:t>
      </w:r>
      <w:r w:rsidR="00CA3BC5">
        <w:rPr>
          <w:rFonts w:ascii="Arial" w:hAnsi="Arial" w:cs="Arial"/>
          <w:sz w:val="20"/>
        </w:rPr>
        <w:t>only 12 seconds in duration</w:t>
      </w:r>
      <w:r w:rsidR="006B25DB">
        <w:rPr>
          <w:rFonts w:ascii="Arial" w:hAnsi="Arial" w:cs="Arial"/>
          <w:sz w:val="20"/>
        </w:rPr>
        <w:t>.</w:t>
      </w:r>
      <w:r w:rsidR="00062134">
        <w:rPr>
          <w:rFonts w:ascii="Arial" w:hAnsi="Arial" w:cs="Arial"/>
          <w:sz w:val="20"/>
        </w:rPr>
        <w:t xml:space="preserve"> While the</w:t>
      </w:r>
      <w:r w:rsidR="002A5038">
        <w:rPr>
          <w:rFonts w:ascii="Arial" w:hAnsi="Arial" w:cs="Arial"/>
          <w:sz w:val="20"/>
        </w:rPr>
        <w:t xml:space="preserve"> </w:t>
      </w:r>
      <w:r w:rsidR="00062134">
        <w:rPr>
          <w:rFonts w:ascii="Arial" w:hAnsi="Arial" w:cs="Arial"/>
          <w:sz w:val="20"/>
        </w:rPr>
        <w:t>dispute</w:t>
      </w:r>
      <w:r w:rsidR="002A5038">
        <w:rPr>
          <w:rFonts w:ascii="Arial" w:hAnsi="Arial" w:cs="Arial"/>
          <w:sz w:val="20"/>
        </w:rPr>
        <w:t xml:space="preserve"> covered in the report</w:t>
      </w:r>
      <w:r w:rsidR="00062134">
        <w:rPr>
          <w:rFonts w:ascii="Arial" w:hAnsi="Arial" w:cs="Arial"/>
          <w:sz w:val="20"/>
        </w:rPr>
        <w:t xml:space="preserve"> </w:t>
      </w:r>
      <w:r w:rsidR="00504993">
        <w:rPr>
          <w:rFonts w:ascii="Arial" w:hAnsi="Arial" w:cs="Arial"/>
          <w:sz w:val="20"/>
        </w:rPr>
        <w:t>con</w:t>
      </w:r>
      <w:r w:rsidR="002A5038">
        <w:rPr>
          <w:rFonts w:ascii="Arial" w:hAnsi="Arial" w:cs="Arial"/>
          <w:sz w:val="20"/>
        </w:rPr>
        <w:t xml:space="preserve">cerned </w:t>
      </w:r>
      <w:r w:rsidR="00504993">
        <w:rPr>
          <w:rFonts w:ascii="Arial" w:hAnsi="Arial" w:cs="Arial"/>
          <w:sz w:val="20"/>
        </w:rPr>
        <w:t xml:space="preserve">the </w:t>
      </w:r>
      <w:r w:rsidR="002A5038">
        <w:rPr>
          <w:rFonts w:ascii="Arial" w:hAnsi="Arial" w:cs="Arial"/>
          <w:sz w:val="20"/>
        </w:rPr>
        <w:t>c</w:t>
      </w:r>
      <w:r w:rsidR="00504993">
        <w:rPr>
          <w:rFonts w:ascii="Arial" w:hAnsi="Arial" w:cs="Arial"/>
          <w:sz w:val="20"/>
        </w:rPr>
        <w:t>lassifi</w:t>
      </w:r>
      <w:r w:rsidR="002A5038">
        <w:rPr>
          <w:rFonts w:ascii="Arial" w:hAnsi="Arial" w:cs="Arial"/>
          <w:sz w:val="20"/>
        </w:rPr>
        <w:t>cation of the WT 15-01</w:t>
      </w:r>
      <w:r w:rsidR="00F07D49">
        <w:rPr>
          <w:rFonts w:ascii="Arial" w:hAnsi="Arial" w:cs="Arial"/>
          <w:sz w:val="20"/>
        </w:rPr>
        <w:t>,</w:t>
      </w:r>
      <w:r w:rsidR="00504993">
        <w:rPr>
          <w:rFonts w:ascii="Arial" w:hAnsi="Arial" w:cs="Arial"/>
          <w:sz w:val="20"/>
        </w:rPr>
        <w:t xml:space="preserve"> </w:t>
      </w:r>
      <w:r w:rsidR="002A5038">
        <w:rPr>
          <w:rFonts w:ascii="Arial" w:hAnsi="Arial" w:cs="Arial"/>
          <w:sz w:val="20"/>
        </w:rPr>
        <w:t xml:space="preserve">either </w:t>
      </w:r>
      <w:r w:rsidR="00504993">
        <w:rPr>
          <w:rFonts w:ascii="Arial" w:hAnsi="Arial" w:cs="Arial"/>
          <w:sz w:val="20"/>
        </w:rPr>
        <w:t xml:space="preserve">as a pistol or </w:t>
      </w:r>
      <w:r w:rsidR="002A5038">
        <w:rPr>
          <w:rFonts w:ascii="Arial" w:hAnsi="Arial" w:cs="Arial"/>
          <w:sz w:val="20"/>
        </w:rPr>
        <w:t xml:space="preserve">as </w:t>
      </w:r>
      <w:r w:rsidR="00504993">
        <w:rPr>
          <w:rFonts w:ascii="Arial" w:hAnsi="Arial" w:cs="Arial"/>
          <w:sz w:val="20"/>
        </w:rPr>
        <w:t>a semi-autom</w:t>
      </w:r>
      <w:r w:rsidR="005826BC">
        <w:rPr>
          <w:rFonts w:ascii="Arial" w:hAnsi="Arial" w:cs="Arial"/>
          <w:sz w:val="20"/>
        </w:rPr>
        <w:t xml:space="preserve">atic </w:t>
      </w:r>
      <w:r w:rsidR="00C47261">
        <w:rPr>
          <w:rFonts w:ascii="Arial" w:hAnsi="Arial" w:cs="Arial"/>
          <w:sz w:val="20"/>
        </w:rPr>
        <w:t>rifle</w:t>
      </w:r>
      <w:r w:rsidR="00645BA8">
        <w:rPr>
          <w:rFonts w:ascii="Arial" w:hAnsi="Arial" w:cs="Arial"/>
          <w:sz w:val="20"/>
        </w:rPr>
        <w:t>,</w:t>
      </w:r>
      <w:r w:rsidR="00C47261">
        <w:rPr>
          <w:rFonts w:ascii="Arial" w:hAnsi="Arial" w:cs="Arial"/>
          <w:sz w:val="20"/>
        </w:rPr>
        <w:t xml:space="preserve"> </w:t>
      </w:r>
      <w:r w:rsidR="00645BA8">
        <w:rPr>
          <w:rFonts w:ascii="Arial" w:hAnsi="Arial" w:cs="Arial"/>
          <w:sz w:val="20"/>
        </w:rPr>
        <w:t>t</w:t>
      </w:r>
      <w:r w:rsidR="00C47261">
        <w:rPr>
          <w:rFonts w:ascii="Arial" w:hAnsi="Arial" w:cs="Arial"/>
          <w:sz w:val="20"/>
        </w:rPr>
        <w:t>he</w:t>
      </w:r>
      <w:r w:rsidR="00B303D2">
        <w:rPr>
          <w:rFonts w:ascii="Arial" w:hAnsi="Arial" w:cs="Arial"/>
          <w:sz w:val="20"/>
        </w:rPr>
        <w:t xml:space="preserve"> </w:t>
      </w:r>
      <w:r w:rsidR="002A5038">
        <w:rPr>
          <w:rFonts w:ascii="Arial" w:hAnsi="Arial" w:cs="Arial"/>
          <w:sz w:val="20"/>
        </w:rPr>
        <w:t>p</w:t>
      </w:r>
      <w:r w:rsidR="00B303D2">
        <w:rPr>
          <w:rFonts w:ascii="Arial" w:hAnsi="Arial" w:cs="Arial"/>
          <w:sz w:val="20"/>
        </w:rPr>
        <w:t xml:space="preserve">romotion </w:t>
      </w:r>
      <w:r w:rsidR="002A5038">
        <w:rPr>
          <w:rFonts w:ascii="Arial" w:hAnsi="Arial" w:cs="Arial"/>
          <w:sz w:val="20"/>
        </w:rPr>
        <w:t xml:space="preserve">consisted of </w:t>
      </w:r>
      <w:r w:rsidR="0000161D">
        <w:rPr>
          <w:rFonts w:ascii="Arial" w:hAnsi="Arial" w:cs="Arial"/>
          <w:sz w:val="20"/>
        </w:rPr>
        <w:t>vis</w:t>
      </w:r>
      <w:r w:rsidR="002A5038">
        <w:rPr>
          <w:rFonts w:ascii="Arial" w:hAnsi="Arial" w:cs="Arial"/>
          <w:sz w:val="20"/>
        </w:rPr>
        <w:t>ual</w:t>
      </w:r>
      <w:r w:rsidR="0000161D">
        <w:rPr>
          <w:rFonts w:ascii="Arial" w:hAnsi="Arial" w:cs="Arial"/>
          <w:sz w:val="20"/>
        </w:rPr>
        <w:t xml:space="preserve"> </w:t>
      </w:r>
      <w:r w:rsidR="00F61C53">
        <w:rPr>
          <w:rFonts w:ascii="Arial" w:hAnsi="Arial" w:cs="Arial"/>
          <w:sz w:val="20"/>
        </w:rPr>
        <w:t xml:space="preserve">and verbal comparisons to </w:t>
      </w:r>
      <w:r w:rsidR="002A5038">
        <w:rPr>
          <w:rFonts w:ascii="Arial" w:hAnsi="Arial" w:cs="Arial"/>
          <w:sz w:val="20"/>
        </w:rPr>
        <w:t>mo</w:t>
      </w:r>
      <w:r w:rsidR="00A06EE8">
        <w:rPr>
          <w:rFonts w:ascii="Arial" w:hAnsi="Arial" w:cs="Arial"/>
          <w:sz w:val="20"/>
        </w:rPr>
        <w:t xml:space="preserve">re </w:t>
      </w:r>
      <w:r w:rsidR="005A42EE">
        <w:rPr>
          <w:rFonts w:ascii="Arial" w:hAnsi="Arial" w:cs="Arial"/>
          <w:sz w:val="20"/>
        </w:rPr>
        <w:t>heavily restricted</w:t>
      </w:r>
      <w:r w:rsidR="002A5038">
        <w:rPr>
          <w:rFonts w:ascii="Arial" w:hAnsi="Arial" w:cs="Arial"/>
          <w:sz w:val="20"/>
        </w:rPr>
        <w:t xml:space="preserve"> weapons</w:t>
      </w:r>
      <w:r w:rsidR="004468C4">
        <w:rPr>
          <w:rFonts w:ascii="Arial" w:hAnsi="Arial" w:cs="Arial"/>
          <w:sz w:val="20"/>
        </w:rPr>
        <w:t>, which the licensee described as ‘</w:t>
      </w:r>
      <w:r w:rsidR="004468C4" w:rsidRPr="004468C4">
        <w:rPr>
          <w:rFonts w:ascii="Arial" w:hAnsi="Arial" w:cs="Arial"/>
          <w:sz w:val="20"/>
        </w:rPr>
        <w:t>allusions to the mystery weapon</w:t>
      </w:r>
      <w:r w:rsidR="004468C4">
        <w:rPr>
          <w:rFonts w:ascii="Arial" w:hAnsi="Arial" w:cs="Arial"/>
          <w:sz w:val="20"/>
        </w:rPr>
        <w:t>’</w:t>
      </w:r>
      <w:r w:rsidR="002A5038">
        <w:rPr>
          <w:rFonts w:ascii="Arial" w:hAnsi="Arial" w:cs="Arial"/>
          <w:sz w:val="20"/>
        </w:rPr>
        <w:t>.</w:t>
      </w:r>
      <w:r w:rsidR="00A74F52">
        <w:rPr>
          <w:rFonts w:ascii="Arial" w:hAnsi="Arial" w:cs="Arial"/>
          <w:sz w:val="20"/>
        </w:rPr>
        <w:t xml:space="preserve"> </w:t>
      </w:r>
      <w:r w:rsidR="006352E1">
        <w:rPr>
          <w:rFonts w:ascii="Arial" w:hAnsi="Arial" w:cs="Arial"/>
          <w:sz w:val="20"/>
        </w:rPr>
        <w:t>T</w:t>
      </w:r>
      <w:r w:rsidR="00080763">
        <w:rPr>
          <w:rFonts w:ascii="Arial" w:hAnsi="Arial" w:cs="Arial"/>
          <w:sz w:val="20"/>
        </w:rPr>
        <w:t xml:space="preserve">he </w:t>
      </w:r>
      <w:r w:rsidR="004468C4">
        <w:rPr>
          <w:rFonts w:ascii="Arial" w:hAnsi="Arial" w:cs="Arial"/>
          <w:sz w:val="20"/>
        </w:rPr>
        <w:t xml:space="preserve">ACMA </w:t>
      </w:r>
      <w:r w:rsidR="00080763">
        <w:rPr>
          <w:rFonts w:ascii="Arial" w:hAnsi="Arial" w:cs="Arial"/>
          <w:sz w:val="20"/>
        </w:rPr>
        <w:t xml:space="preserve">acknowledges the short duration of the promotion and the fact </w:t>
      </w:r>
      <w:r w:rsidR="003C4F46">
        <w:rPr>
          <w:rFonts w:ascii="Arial" w:hAnsi="Arial" w:cs="Arial"/>
          <w:sz w:val="20"/>
        </w:rPr>
        <w:t xml:space="preserve">that </w:t>
      </w:r>
      <w:r w:rsidR="00080763">
        <w:rPr>
          <w:rFonts w:ascii="Arial" w:hAnsi="Arial" w:cs="Arial"/>
          <w:sz w:val="20"/>
        </w:rPr>
        <w:t>clause 3.6.2 of the Code</w:t>
      </w:r>
      <w:r w:rsidR="003C4F46">
        <w:rPr>
          <w:rFonts w:ascii="Arial" w:hAnsi="Arial" w:cs="Arial"/>
          <w:sz w:val="20"/>
        </w:rPr>
        <w:t xml:space="preserve"> tempers the substantive obligation by not requiring</w:t>
      </w:r>
      <w:r w:rsidR="00080763">
        <w:rPr>
          <w:rFonts w:ascii="Arial" w:hAnsi="Arial" w:cs="Arial"/>
          <w:sz w:val="20"/>
        </w:rPr>
        <w:t xml:space="preserve"> the promotion to include all viewpoints</w:t>
      </w:r>
      <w:r w:rsidR="006352E1">
        <w:rPr>
          <w:rFonts w:ascii="Arial" w:hAnsi="Arial" w:cs="Arial"/>
          <w:sz w:val="20"/>
        </w:rPr>
        <w:t>. However, t</w:t>
      </w:r>
      <w:r w:rsidR="00080763">
        <w:rPr>
          <w:rFonts w:ascii="Arial" w:hAnsi="Arial" w:cs="Arial"/>
          <w:sz w:val="20"/>
        </w:rPr>
        <w:t xml:space="preserve">he ACMA does not </w:t>
      </w:r>
      <w:r w:rsidR="006352E1">
        <w:rPr>
          <w:rFonts w:ascii="Arial" w:hAnsi="Arial" w:cs="Arial"/>
          <w:sz w:val="20"/>
        </w:rPr>
        <w:t>consider</w:t>
      </w:r>
      <w:r w:rsidR="00080763">
        <w:rPr>
          <w:rFonts w:ascii="Arial" w:hAnsi="Arial" w:cs="Arial"/>
          <w:sz w:val="20"/>
        </w:rPr>
        <w:t xml:space="preserve"> this </w:t>
      </w:r>
      <w:r w:rsidR="00EE5CAF">
        <w:rPr>
          <w:rFonts w:ascii="Arial" w:hAnsi="Arial" w:cs="Arial"/>
          <w:sz w:val="20"/>
        </w:rPr>
        <w:t>mean</w:t>
      </w:r>
      <w:r w:rsidR="006352E1">
        <w:rPr>
          <w:rFonts w:ascii="Arial" w:hAnsi="Arial" w:cs="Arial"/>
          <w:sz w:val="20"/>
        </w:rPr>
        <w:t>s</w:t>
      </w:r>
      <w:r w:rsidR="00EE5CAF">
        <w:rPr>
          <w:rFonts w:ascii="Arial" w:hAnsi="Arial" w:cs="Arial"/>
          <w:sz w:val="20"/>
        </w:rPr>
        <w:t xml:space="preserve"> it was reasonable for </w:t>
      </w:r>
      <w:r w:rsidR="00080763">
        <w:rPr>
          <w:rFonts w:ascii="Arial" w:hAnsi="Arial" w:cs="Arial"/>
          <w:sz w:val="20"/>
        </w:rPr>
        <w:t xml:space="preserve">the licensee to avoid the core facts of the report in favour </w:t>
      </w:r>
      <w:r w:rsidR="006352E1">
        <w:rPr>
          <w:rFonts w:ascii="Arial" w:hAnsi="Arial" w:cs="Arial"/>
          <w:sz w:val="20"/>
        </w:rPr>
        <w:t xml:space="preserve">of </w:t>
      </w:r>
      <w:r w:rsidR="00633DFC">
        <w:rPr>
          <w:rFonts w:ascii="Arial" w:hAnsi="Arial" w:cs="Arial"/>
          <w:sz w:val="20"/>
        </w:rPr>
        <w:t>question</w:t>
      </w:r>
      <w:r w:rsidR="006352E1">
        <w:rPr>
          <w:rFonts w:ascii="Arial" w:hAnsi="Arial" w:cs="Arial"/>
          <w:sz w:val="20"/>
        </w:rPr>
        <w:t>ing</w:t>
      </w:r>
      <w:r w:rsidR="00633DFC">
        <w:rPr>
          <w:rFonts w:ascii="Arial" w:hAnsi="Arial" w:cs="Arial"/>
          <w:sz w:val="20"/>
        </w:rPr>
        <w:t xml:space="preserve"> the availability of the WT 15-01 </w:t>
      </w:r>
      <w:r w:rsidR="006352E1">
        <w:rPr>
          <w:rFonts w:ascii="Arial" w:hAnsi="Arial" w:cs="Arial"/>
          <w:sz w:val="20"/>
        </w:rPr>
        <w:t xml:space="preserve">through </w:t>
      </w:r>
      <w:r w:rsidR="00080763">
        <w:rPr>
          <w:rFonts w:ascii="Arial" w:hAnsi="Arial" w:cs="Arial"/>
          <w:sz w:val="20"/>
        </w:rPr>
        <w:t>inaccurate ‘allusions’</w:t>
      </w:r>
      <w:r w:rsidR="00633DFC">
        <w:rPr>
          <w:rFonts w:ascii="Arial" w:hAnsi="Arial" w:cs="Arial"/>
          <w:sz w:val="20"/>
        </w:rPr>
        <w:t xml:space="preserve"> </w:t>
      </w:r>
      <w:r w:rsidR="006352E1">
        <w:rPr>
          <w:rFonts w:ascii="Arial" w:hAnsi="Arial" w:cs="Arial"/>
          <w:sz w:val="20"/>
        </w:rPr>
        <w:t>to</w:t>
      </w:r>
      <w:r w:rsidR="00633DFC">
        <w:rPr>
          <w:rFonts w:ascii="Arial" w:hAnsi="Arial" w:cs="Arial"/>
          <w:sz w:val="20"/>
        </w:rPr>
        <w:t xml:space="preserve"> ‘machine guns’ with higher firing capacity to the WT 15-01</w:t>
      </w:r>
      <w:r w:rsidR="00080763">
        <w:rPr>
          <w:rFonts w:ascii="Arial" w:hAnsi="Arial" w:cs="Arial"/>
          <w:sz w:val="20"/>
        </w:rPr>
        <w:t>.</w:t>
      </w:r>
      <w:r w:rsidR="004468C4">
        <w:rPr>
          <w:rFonts w:ascii="Arial" w:hAnsi="Arial" w:cs="Arial"/>
          <w:sz w:val="20"/>
        </w:rPr>
        <w:t xml:space="preserve"> </w:t>
      </w:r>
    </w:p>
    <w:p w14:paraId="71846C6E" w14:textId="59E9846B" w:rsidR="00C96CAA" w:rsidRDefault="00237764" w:rsidP="00B5415D">
      <w:pPr>
        <w:pStyle w:val="ACMABodyText0"/>
        <w:snapToGrid w:val="0"/>
        <w:spacing w:before="0" w:after="240" w:line="240" w:lineRule="atLeast"/>
        <w:rPr>
          <w:rFonts w:cs="Arial"/>
          <w:i/>
        </w:rPr>
      </w:pPr>
      <w:r w:rsidRPr="00C13DBB">
        <w:rPr>
          <w:rFonts w:ascii="Arial" w:hAnsi="Arial" w:cs="Arial"/>
          <w:sz w:val="20"/>
        </w:rPr>
        <w:t xml:space="preserve">Accordingly, </w:t>
      </w:r>
      <w:r w:rsidR="00A5101E">
        <w:rPr>
          <w:rFonts w:ascii="Arial" w:hAnsi="Arial" w:cs="Arial"/>
          <w:sz w:val="20"/>
        </w:rPr>
        <w:t>the ACMA</w:t>
      </w:r>
      <w:r w:rsidR="006352E1">
        <w:rPr>
          <w:rFonts w:ascii="Arial" w:hAnsi="Arial" w:cs="Arial"/>
          <w:sz w:val="20"/>
        </w:rPr>
        <w:t xml:space="preserve"> finds</w:t>
      </w:r>
      <w:r w:rsidR="00A5101E">
        <w:rPr>
          <w:rFonts w:ascii="Arial" w:hAnsi="Arial" w:cs="Arial"/>
          <w:sz w:val="20"/>
        </w:rPr>
        <w:t xml:space="preserve"> that, </w:t>
      </w:r>
      <w:r w:rsidR="00FC27BF">
        <w:rPr>
          <w:rFonts w:ascii="Arial" w:hAnsi="Arial" w:cs="Arial"/>
          <w:sz w:val="20"/>
        </w:rPr>
        <w:t xml:space="preserve">in broadcasting </w:t>
      </w:r>
      <w:r w:rsidR="00A5101E">
        <w:rPr>
          <w:rFonts w:ascii="Arial" w:hAnsi="Arial" w:cs="Arial"/>
          <w:sz w:val="20"/>
        </w:rPr>
        <w:t>a</w:t>
      </w:r>
      <w:r w:rsidRPr="00C13DBB">
        <w:rPr>
          <w:rFonts w:ascii="Arial" w:hAnsi="Arial" w:cs="Arial"/>
          <w:sz w:val="20"/>
        </w:rPr>
        <w:t xml:space="preserve"> </w:t>
      </w:r>
      <w:r w:rsidR="00FC27BF">
        <w:rPr>
          <w:rFonts w:ascii="Arial" w:hAnsi="Arial" w:cs="Arial"/>
          <w:sz w:val="20"/>
        </w:rPr>
        <w:t>p</w:t>
      </w:r>
      <w:r w:rsidRPr="00C13DBB">
        <w:rPr>
          <w:rFonts w:ascii="Arial" w:hAnsi="Arial" w:cs="Arial"/>
          <w:sz w:val="20"/>
        </w:rPr>
        <w:t>romotion</w:t>
      </w:r>
      <w:r w:rsidR="00A5101E">
        <w:rPr>
          <w:rFonts w:ascii="Arial" w:hAnsi="Arial" w:cs="Arial"/>
          <w:sz w:val="20"/>
        </w:rPr>
        <w:t xml:space="preserve"> that did not present news fairly and impartially</w:t>
      </w:r>
      <w:r w:rsidR="00FC27BF">
        <w:rPr>
          <w:rFonts w:ascii="Arial" w:hAnsi="Arial" w:cs="Arial"/>
          <w:sz w:val="20"/>
        </w:rPr>
        <w:t>, the licensee breached</w:t>
      </w:r>
      <w:r w:rsidRPr="00C13DBB">
        <w:rPr>
          <w:rFonts w:ascii="Arial" w:hAnsi="Arial" w:cs="Arial"/>
          <w:sz w:val="20"/>
        </w:rPr>
        <w:t xml:space="preserve"> clause </w:t>
      </w:r>
      <w:r w:rsidR="0083640D">
        <w:rPr>
          <w:rFonts w:ascii="Arial" w:hAnsi="Arial" w:cs="Arial"/>
          <w:sz w:val="20"/>
        </w:rPr>
        <w:t>3.4</w:t>
      </w:r>
      <w:r w:rsidR="003C4F46">
        <w:rPr>
          <w:rFonts w:ascii="Arial" w:hAnsi="Arial" w:cs="Arial"/>
          <w:sz w:val="20"/>
        </w:rPr>
        <w:t>.1</w:t>
      </w:r>
      <w:r w:rsidR="0083640D">
        <w:rPr>
          <w:rFonts w:ascii="Arial" w:hAnsi="Arial" w:cs="Arial"/>
          <w:sz w:val="20"/>
        </w:rPr>
        <w:t xml:space="preserve"> of the Code, </w:t>
      </w:r>
      <w:r w:rsidR="00A228B1">
        <w:rPr>
          <w:rFonts w:ascii="Arial" w:hAnsi="Arial" w:cs="Arial"/>
          <w:sz w:val="20"/>
        </w:rPr>
        <w:t xml:space="preserve">as modified in its application by clause </w:t>
      </w:r>
      <w:r w:rsidRPr="00C13DBB">
        <w:rPr>
          <w:rFonts w:ascii="Arial" w:hAnsi="Arial" w:cs="Arial"/>
          <w:sz w:val="20"/>
        </w:rPr>
        <w:t>3.6 of the Code</w:t>
      </w:r>
      <w:r w:rsidR="00184398">
        <w:rPr>
          <w:rFonts w:ascii="Arial" w:hAnsi="Arial" w:cs="Arial"/>
          <w:sz w:val="20"/>
        </w:rPr>
        <w:t>.</w:t>
      </w:r>
    </w:p>
    <w:p w14:paraId="68108679" w14:textId="77777777" w:rsidR="001C6546" w:rsidRDefault="001C6546" w:rsidP="003077F3">
      <w:pPr>
        <w:pStyle w:val="ACMABodyText0"/>
        <w:snapToGrid w:val="0"/>
        <w:spacing w:before="0" w:after="240" w:line="240" w:lineRule="atLeast"/>
        <w:rPr>
          <w:rFonts w:ascii="Arial" w:hAnsi="Arial" w:cs="Arial"/>
          <w:sz w:val="20"/>
        </w:rPr>
      </w:pPr>
    </w:p>
    <w:p w14:paraId="072178D8" w14:textId="6C3CD2AA" w:rsidR="00934ECC" w:rsidRDefault="00934ECC" w:rsidP="00075F5D">
      <w:pPr>
        <w:pStyle w:val="ACMAHeading2"/>
        <w:pageBreakBefore/>
        <w:spacing w:after="240"/>
        <w:jc w:val="right"/>
      </w:pPr>
      <w:r w:rsidRPr="00934ECC">
        <w:lastRenderedPageBreak/>
        <w:t>Attachment</w:t>
      </w:r>
      <w:r>
        <w:t xml:space="preserve"> A</w:t>
      </w:r>
    </w:p>
    <w:p w14:paraId="5E3FB6CA" w14:textId="77777777" w:rsidR="00066DEE" w:rsidRDefault="00066DEE" w:rsidP="00066DEE">
      <w:pPr>
        <w:pStyle w:val="ACMABodyTextBold"/>
      </w:pPr>
      <w:r>
        <w:t xml:space="preserve">Complaint </w:t>
      </w:r>
    </w:p>
    <w:p w14:paraId="4D5440E5" w14:textId="7F19EDEB" w:rsidR="00066DEE" w:rsidRPr="00160831" w:rsidRDefault="00B059E7" w:rsidP="00066DEE">
      <w:pPr>
        <w:pStyle w:val="ACMABodyText"/>
        <w:rPr>
          <w:b/>
          <w:i/>
        </w:rPr>
      </w:pPr>
      <w:r>
        <w:rPr>
          <w:b/>
          <w:i/>
        </w:rPr>
        <w:t xml:space="preserve">Extracts of the </w:t>
      </w:r>
      <w:r w:rsidR="00066DEE" w:rsidRPr="00160831">
        <w:rPr>
          <w:b/>
          <w:i/>
        </w:rPr>
        <w:t xml:space="preserve">Complaint to the licensee dated </w:t>
      </w:r>
      <w:r>
        <w:rPr>
          <w:b/>
          <w:i/>
        </w:rPr>
        <w:t>24 May 2019</w:t>
      </w:r>
      <w:r w:rsidR="00066DEE" w:rsidRPr="00160831">
        <w:rPr>
          <w:b/>
          <w:i/>
        </w:rPr>
        <w:t>:</w:t>
      </w:r>
    </w:p>
    <w:p w14:paraId="48CAE1D3" w14:textId="77777777" w:rsidR="000E7E0E" w:rsidRDefault="000E7E0E" w:rsidP="00B059E7">
      <w:pPr>
        <w:pStyle w:val="ACMABodyText"/>
      </w:pPr>
      <w:r>
        <w:t>[…]</w:t>
      </w:r>
    </w:p>
    <w:p w14:paraId="7E44BE63" w14:textId="448F4EB2" w:rsidR="00B059E7" w:rsidRDefault="00B059E7" w:rsidP="00B059E7">
      <w:pPr>
        <w:pStyle w:val="ACMABodyText"/>
      </w:pPr>
      <w:r>
        <w:t>We refer to a Nine News broadcast on May 24, 2019, as seen from 6pm on Channel Nine in Brisbane and elsewhere in Australia, regarding a dispute over the legality of a (presently legal, pending QCAT proceedings) self-loading firearm in Queensland known as the Wedgetail WFA-15-01.</w:t>
      </w:r>
    </w:p>
    <w:p w14:paraId="17437D2A" w14:textId="7B16E92E" w:rsidR="00B059E7" w:rsidRDefault="00B059E7" w:rsidP="00B059E7">
      <w:pPr>
        <w:pStyle w:val="ACMABodyText"/>
      </w:pPr>
      <w:r>
        <w:t xml:space="preserve">Multiple promotions for this segment on Nine News, </w:t>
      </w:r>
      <w:r w:rsidR="000E7E0E">
        <w:t>…</w:t>
      </w:r>
      <w:r>
        <w:t xml:space="preserve"> during the broadcast itself, described these legally obtained self-loading firearms, owned by licensed and vetted people, as ‘looking like a machine-gun’, ‘firing like a machine-gun’, and ‘killing like a machine-gun’ and referred to it as a ‘murder weapon’.</w:t>
      </w:r>
    </w:p>
    <w:p w14:paraId="210D17C9" w14:textId="2774E4D1" w:rsidR="00B059E7" w:rsidRDefault="00B059E7" w:rsidP="00B059E7">
      <w:pPr>
        <w:pStyle w:val="ACMABodyText"/>
      </w:pPr>
      <w:r>
        <w:t>The promotions further said they were ‘Available to Queenslanders’, with a clear implication they could be purchased over the counter in the same way one might purchase a cricket bat or a tennis racquet, when this is not true – the firearm in the story, as indeed all guns, are heavily restricted.</w:t>
      </w:r>
    </w:p>
    <w:p w14:paraId="156DC62F" w14:textId="3B395458" w:rsidR="00B059E7" w:rsidRDefault="00B059E7" w:rsidP="00B059E7">
      <w:pPr>
        <w:pStyle w:val="ACMABodyText"/>
      </w:pPr>
      <w:r>
        <w:t>The promotions for the segment were an appalling insult to the approximately 200,000 licensed gun owners in Queensland and we contend it breached sections 3.3 and 3.4 of Commercial TV Code of Practice 2018, relating to accuracy and fairness in news reporting.</w:t>
      </w:r>
    </w:p>
    <w:p w14:paraId="44E45F6C" w14:textId="69E4E791" w:rsidR="00B059E7" w:rsidRDefault="00B059E7" w:rsidP="00B059E7">
      <w:pPr>
        <w:pStyle w:val="ACMABodyText"/>
      </w:pPr>
      <w:r>
        <w:t>The promotions were inaccurate on numerous counts, including the outright lie that the gun in question looks and fires like a machine-gun; the guns mentioned in the story are incapable of full automatic fire, being self-loading and restricted to 10 shots in the magazine.</w:t>
      </w:r>
    </w:p>
    <w:p w14:paraId="5BFF1F57" w14:textId="0B52807F" w:rsidR="00B059E7" w:rsidRDefault="00B059E7" w:rsidP="00B059E7">
      <w:pPr>
        <w:pStyle w:val="ACMABodyText"/>
      </w:pPr>
      <w:r>
        <w:t>The footage promoting the news segment was misleading, using clips of fully automatic weapons (which are illegal to own in Australia), and also not in any way representative of the gun in the story. Some of these clips appeared in the story as well, in reference to the AR-15 rifle (which is also not capable of full automatic fire and is so heavily restricted as to be effectively banned in Australia).</w:t>
      </w:r>
    </w:p>
    <w:p w14:paraId="33378E48" w14:textId="1CDA3172" w:rsidR="00B059E7" w:rsidRDefault="00B059E7" w:rsidP="00B059E7">
      <w:pPr>
        <w:pStyle w:val="ACMABodyText"/>
      </w:pPr>
      <w:r>
        <w:t xml:space="preserve">It is extraordinarily offensive to describe legitimately owned firearms – NONE of which have ever been used in a crime of any kind in Queensland – as </w:t>
      </w:r>
      <w:r w:rsidR="000E7E0E">
        <w:t>‘</w:t>
      </w:r>
      <w:r>
        <w:t>Murder weapons</w:t>
      </w:r>
      <w:r w:rsidR="000E7E0E">
        <w:t>’</w:t>
      </w:r>
      <w:r>
        <w:t>, and as Nine News is not a current affairs show, we do not consider the exemptions for these types of programmes, as described in section 3.4.3 of the Code, to apply.</w:t>
      </w:r>
    </w:p>
    <w:p w14:paraId="344A5F0B" w14:textId="6E33FB08" w:rsidR="00066DEE" w:rsidRDefault="00B059E7" w:rsidP="00B059E7">
      <w:pPr>
        <w:pStyle w:val="ACMABodyText"/>
      </w:pPr>
      <w:r>
        <w:t>[…]</w:t>
      </w:r>
    </w:p>
    <w:p w14:paraId="242CF846" w14:textId="3C2BEDBA" w:rsidR="00066DEE" w:rsidRPr="00160831" w:rsidRDefault="00B059E7" w:rsidP="00066DEE">
      <w:pPr>
        <w:pStyle w:val="ACMABodyText"/>
        <w:rPr>
          <w:b/>
          <w:i/>
        </w:rPr>
      </w:pPr>
      <w:r>
        <w:rPr>
          <w:b/>
          <w:i/>
        </w:rPr>
        <w:t xml:space="preserve">Extracts of the </w:t>
      </w:r>
      <w:r w:rsidR="00066DEE" w:rsidRPr="00160831">
        <w:rPr>
          <w:b/>
          <w:i/>
        </w:rPr>
        <w:t xml:space="preserve">Complaint to the ACMA dated </w:t>
      </w:r>
      <w:r w:rsidR="00837D03" w:rsidRPr="006B1421">
        <w:rPr>
          <w:b/>
          <w:i/>
        </w:rPr>
        <w:t>18 July</w:t>
      </w:r>
      <w:r w:rsidR="00066DEE" w:rsidRPr="006B1421">
        <w:rPr>
          <w:b/>
          <w:i/>
        </w:rPr>
        <w:t xml:space="preserve"> </w:t>
      </w:r>
      <w:r w:rsidR="00837D03" w:rsidRPr="006B1421">
        <w:rPr>
          <w:b/>
          <w:i/>
        </w:rPr>
        <w:t>2019</w:t>
      </w:r>
      <w:r w:rsidR="00066DEE" w:rsidRPr="006B1421">
        <w:rPr>
          <w:b/>
          <w:i/>
        </w:rPr>
        <w:t>:</w:t>
      </w:r>
    </w:p>
    <w:p w14:paraId="5FC3F745" w14:textId="77777777" w:rsidR="000E7E0E" w:rsidRDefault="000E7E0E" w:rsidP="00B059E7">
      <w:pPr>
        <w:pStyle w:val="ACMABodyText"/>
      </w:pPr>
      <w:r>
        <w:t>[…]</w:t>
      </w:r>
    </w:p>
    <w:p w14:paraId="746AA2D7" w14:textId="718C8C83" w:rsidR="00066DEE" w:rsidRDefault="00837D03" w:rsidP="00B059E7">
      <w:pPr>
        <w:pStyle w:val="ACMABodyText"/>
      </w:pPr>
      <w:r w:rsidRPr="00837D03">
        <w:t xml:space="preserve">Promos and news story misrepresented a legally obtainable firearm as a </w:t>
      </w:r>
      <w:r>
        <w:t>‘</w:t>
      </w:r>
      <w:r w:rsidRPr="00837D03">
        <w:t>murder weapon</w:t>
      </w:r>
      <w:r>
        <w:t>’</w:t>
      </w:r>
      <w:r w:rsidRPr="00837D03">
        <w:t xml:space="preserve"> (it has never been used in a crime, or to murder anyone), as </w:t>
      </w:r>
      <w:r w:rsidR="00D45CED">
        <w:t>‘</w:t>
      </w:r>
      <w:r w:rsidRPr="00837D03">
        <w:t>looking like and killing like a machine-gun</w:t>
      </w:r>
      <w:r w:rsidR="00D45CED">
        <w:t>’</w:t>
      </w:r>
      <w:r w:rsidRPr="00837D03">
        <w:t xml:space="preserve"> - accompanied by footage of unrelated machine-guns being fired (the gun in the story is not capable of automatic fire, does not look like a machine-gun and could not kill like a machine-gun even if it did, due to how it functions), and implied the gun was available </w:t>
      </w:r>
      <w:r w:rsidR="00D45CED">
        <w:t>‘</w:t>
      </w:r>
      <w:r w:rsidRPr="00837D03">
        <w:t>over the counter</w:t>
      </w:r>
      <w:r w:rsidR="00D45CED">
        <w:t>’</w:t>
      </w:r>
      <w:r w:rsidRPr="00837D03">
        <w:t xml:space="preserve"> to anyone who wanted one (obtaining a handgun licence in Queensland is a long process with many police background checks, permits and safe storage requirements involved). The Channel Nine response to the complaint basically dismisses our concerns, </w:t>
      </w:r>
      <w:r w:rsidRPr="00837D03">
        <w:lastRenderedPageBreak/>
        <w:t xml:space="preserve">claiming they got their information from Queensland Police, which we find extraordinarily unlikely as the police know perfectly well what a machine-gun is (it is defined in legislation) and the firearm reported on in the story is very clearly not one. The promos for the news story were particularly concerning for us, as they contained none of the alleged </w:t>
      </w:r>
      <w:r w:rsidR="000856BD">
        <w:t>‘</w:t>
      </w:r>
      <w:r w:rsidRPr="00837D03">
        <w:t>balancing</w:t>
      </w:r>
      <w:r w:rsidR="000856BD">
        <w:t>’</w:t>
      </w:r>
      <w:r w:rsidRPr="00837D03">
        <w:t xml:space="preserve"> viewpoints or information Channel Nine say were in the news story itself.</w:t>
      </w:r>
    </w:p>
    <w:p w14:paraId="4BE29ADB" w14:textId="38FC14D7" w:rsidR="00B059E7" w:rsidRPr="00066DEE" w:rsidRDefault="000E7E0E" w:rsidP="00B059E7">
      <w:pPr>
        <w:pStyle w:val="ACMABodyText"/>
      </w:pPr>
      <w:r>
        <w:t>[…]</w:t>
      </w:r>
    </w:p>
    <w:p w14:paraId="0240373A" w14:textId="15646A2F" w:rsidR="006A02B1" w:rsidRDefault="006A02B1" w:rsidP="00075F5D">
      <w:pPr>
        <w:pStyle w:val="ACMAHeading2"/>
        <w:pageBreakBefore/>
        <w:spacing w:after="240"/>
        <w:jc w:val="right"/>
      </w:pPr>
      <w:r w:rsidRPr="00153F9D">
        <w:lastRenderedPageBreak/>
        <w:t>Attachment B</w:t>
      </w:r>
    </w:p>
    <w:p w14:paraId="6D6F35B6" w14:textId="0902C346" w:rsidR="006D2356" w:rsidRPr="00153F9D" w:rsidRDefault="006D2356" w:rsidP="006D2356">
      <w:pPr>
        <w:pStyle w:val="ACMABodyTextBold"/>
      </w:pPr>
      <w:r w:rsidRPr="00BC2582">
        <w:t>Licensee’s response</w:t>
      </w:r>
      <w:r>
        <w:t xml:space="preserve"> and </w:t>
      </w:r>
      <w:r w:rsidRPr="00153F9D">
        <w:t>submissions</w:t>
      </w:r>
    </w:p>
    <w:p w14:paraId="5E6C7509" w14:textId="29D5C04A" w:rsidR="006D2356" w:rsidRPr="00160831" w:rsidRDefault="006844BD" w:rsidP="006D2356">
      <w:pPr>
        <w:pStyle w:val="ACMABodyText"/>
        <w:rPr>
          <w:b/>
          <w:i/>
        </w:rPr>
      </w:pPr>
      <w:r w:rsidRPr="006B1421">
        <w:rPr>
          <w:b/>
          <w:i/>
        </w:rPr>
        <w:t xml:space="preserve">Extracts from the </w:t>
      </w:r>
      <w:r w:rsidR="006D2356" w:rsidRPr="006B1421">
        <w:rPr>
          <w:b/>
          <w:i/>
        </w:rPr>
        <w:t xml:space="preserve">Licensee response to the complainant dated </w:t>
      </w:r>
      <w:r w:rsidRPr="006B1421">
        <w:rPr>
          <w:b/>
          <w:i/>
        </w:rPr>
        <w:t>26 June 2019</w:t>
      </w:r>
      <w:r w:rsidR="006D2356" w:rsidRPr="00160831">
        <w:rPr>
          <w:b/>
          <w:i/>
        </w:rPr>
        <w:t>:</w:t>
      </w:r>
    </w:p>
    <w:p w14:paraId="37F7D0F1" w14:textId="77777777" w:rsidR="000E7E0E" w:rsidRDefault="000E7E0E" w:rsidP="006D2356">
      <w:pPr>
        <w:pStyle w:val="ACMABodyText"/>
      </w:pPr>
      <w:r>
        <w:t>[…]</w:t>
      </w:r>
    </w:p>
    <w:p w14:paraId="01D2C618" w14:textId="4207954F" w:rsidR="006D2356" w:rsidRDefault="006844BD" w:rsidP="006D2356">
      <w:pPr>
        <w:pStyle w:val="ACMABodyText"/>
      </w:pPr>
      <w:r>
        <w:t xml:space="preserve">We write […] regarding a </w:t>
      </w:r>
      <w:r w:rsidRPr="006844BD">
        <w:rPr>
          <w:i/>
          <w:iCs/>
        </w:rPr>
        <w:t>Nine News</w:t>
      </w:r>
      <w:r>
        <w:t xml:space="preserve"> report which was broadcast in Queensland on 24 May 2019 (</w:t>
      </w:r>
      <w:r w:rsidRPr="006844BD">
        <w:rPr>
          <w:b/>
          <w:bCs/>
        </w:rPr>
        <w:t>the Report</w:t>
      </w:r>
      <w:r>
        <w:t xml:space="preserve">). </w:t>
      </w:r>
      <w:r w:rsidRPr="006844BD">
        <w:t xml:space="preserve">We understand the substance of your complaint to be that the Report was biased in its portrayal of a firearm and gun ownership. Additionally your complaint raises concerns in relation to the Promotion of the Report, we understand your complaint to be that the Promotion inaccurately referred to the firearm as a </w:t>
      </w:r>
      <w:r>
        <w:t>‘</w:t>
      </w:r>
      <w:r w:rsidRPr="006844BD">
        <w:t>Machine Gun</w:t>
      </w:r>
      <w:r>
        <w:t>’</w:t>
      </w:r>
      <w:r w:rsidRPr="006844BD">
        <w:t xml:space="preserve"> (</w:t>
      </w:r>
      <w:r w:rsidRPr="006844BD">
        <w:rPr>
          <w:b/>
          <w:bCs/>
        </w:rPr>
        <w:t>the Promotion</w:t>
      </w:r>
      <w:r w:rsidRPr="006844BD">
        <w:t>).</w:t>
      </w:r>
    </w:p>
    <w:p w14:paraId="400538A7" w14:textId="77777777" w:rsidR="006844BD" w:rsidRDefault="006844BD" w:rsidP="006844BD">
      <w:pPr>
        <w:pStyle w:val="ACMABodyText"/>
      </w:pPr>
      <w:r>
        <w:t xml:space="preserve">As a commercial free to air television broadcaster, the content we broadcast is regulated by the </w:t>
      </w:r>
      <w:r w:rsidRPr="006844BD">
        <w:rPr>
          <w:i/>
          <w:iCs/>
        </w:rPr>
        <w:t>Commercial Television Industry Code of Practice 2015</w:t>
      </w:r>
      <w:r>
        <w:t xml:space="preserve"> (</w:t>
      </w:r>
      <w:r w:rsidRPr="006844BD">
        <w:rPr>
          <w:b/>
          <w:bCs/>
        </w:rPr>
        <w:t>the Code</w:t>
      </w:r>
      <w:r>
        <w:t>). The Code sets out the requirements relating to the broadcast of news and current affairs content, with which Nine makes every effort to comply.</w:t>
      </w:r>
    </w:p>
    <w:p w14:paraId="3F0D6BD4" w14:textId="644BBBB4" w:rsidR="006844BD" w:rsidRDefault="006844BD" w:rsidP="006844BD">
      <w:pPr>
        <w:pStyle w:val="ACMABodyText"/>
      </w:pPr>
      <w:r>
        <w:t>Relevantly, the Code states:</w:t>
      </w:r>
    </w:p>
    <w:p w14:paraId="6E6F2FC9" w14:textId="44F1F6EF" w:rsidR="006844BD" w:rsidRDefault="006844BD" w:rsidP="00730241">
      <w:pPr>
        <w:pStyle w:val="ACMABodyText"/>
        <w:spacing w:after="120"/>
        <w:ind w:left="879"/>
        <w:rPr>
          <w:i/>
          <w:iCs/>
        </w:rPr>
      </w:pPr>
      <w:r w:rsidRPr="006844BD">
        <w:rPr>
          <w:i/>
          <w:iCs/>
        </w:rPr>
        <w:t>3.3.1</w:t>
      </w:r>
      <w:r w:rsidRPr="006844BD">
        <w:rPr>
          <w:i/>
          <w:iCs/>
        </w:rPr>
        <w:tab/>
        <w:t>In broadcasting a news or Current Affairs Program, a Licensee must present   factual material accurately and ensure viewpoints included in the Program are not misrepresented.</w:t>
      </w:r>
    </w:p>
    <w:p w14:paraId="119B1494" w14:textId="69EDEAA3" w:rsidR="006844BD" w:rsidRDefault="006844BD" w:rsidP="00730241">
      <w:pPr>
        <w:pStyle w:val="ACMABodyText"/>
        <w:spacing w:after="120"/>
        <w:ind w:left="879"/>
        <w:rPr>
          <w:i/>
          <w:iCs/>
        </w:rPr>
      </w:pPr>
      <w:r>
        <w:rPr>
          <w:i/>
          <w:iCs/>
        </w:rPr>
        <w:t>…</w:t>
      </w:r>
    </w:p>
    <w:p w14:paraId="674F5E08" w14:textId="2FB8FCD1" w:rsidR="006844BD" w:rsidRPr="006844BD" w:rsidRDefault="006844BD" w:rsidP="006844BD">
      <w:pPr>
        <w:pStyle w:val="ACMABodyText"/>
        <w:ind w:left="879"/>
        <w:rPr>
          <w:i/>
          <w:iCs/>
        </w:rPr>
      </w:pPr>
      <w:r>
        <w:rPr>
          <w:i/>
          <w:iCs/>
        </w:rPr>
        <w:t>3.4.</w:t>
      </w:r>
      <w:r w:rsidR="00730241">
        <w:rPr>
          <w:i/>
          <w:iCs/>
        </w:rPr>
        <w:t>1</w:t>
      </w:r>
      <w:r>
        <w:rPr>
          <w:i/>
          <w:iCs/>
        </w:rPr>
        <w:t xml:space="preserve"> In broadcasting a news Program, a Licensee must:</w:t>
      </w:r>
    </w:p>
    <w:p w14:paraId="3A891719" w14:textId="24C8BE57" w:rsidR="006844BD" w:rsidRPr="006844BD" w:rsidRDefault="006844BD" w:rsidP="000850E6">
      <w:pPr>
        <w:pStyle w:val="ACMABodyText"/>
        <w:ind w:left="1440"/>
        <w:rPr>
          <w:i/>
          <w:iCs/>
        </w:rPr>
      </w:pPr>
      <w:r w:rsidRPr="006844BD">
        <w:rPr>
          <w:i/>
          <w:iCs/>
        </w:rPr>
        <w:t>a)</w:t>
      </w:r>
      <w:r>
        <w:rPr>
          <w:i/>
          <w:iCs/>
        </w:rPr>
        <w:t xml:space="preserve"> </w:t>
      </w:r>
      <w:r w:rsidRPr="006844BD">
        <w:rPr>
          <w:i/>
          <w:iCs/>
        </w:rPr>
        <w:t>news fairly and impartially;</w:t>
      </w:r>
    </w:p>
    <w:p w14:paraId="3847F545" w14:textId="734A29F0" w:rsidR="006844BD" w:rsidRPr="006844BD" w:rsidRDefault="006844BD" w:rsidP="000850E6">
      <w:pPr>
        <w:pStyle w:val="ACMABodyText"/>
        <w:ind w:left="1440"/>
        <w:rPr>
          <w:i/>
          <w:iCs/>
        </w:rPr>
      </w:pPr>
      <w:r w:rsidRPr="006844BD">
        <w:rPr>
          <w:i/>
          <w:iCs/>
        </w:rPr>
        <w:t>b)</w:t>
      </w:r>
      <w:r>
        <w:rPr>
          <w:i/>
          <w:iCs/>
        </w:rPr>
        <w:t xml:space="preserve"> </w:t>
      </w:r>
      <w:r w:rsidRPr="006844BD">
        <w:rPr>
          <w:i/>
          <w:iCs/>
        </w:rPr>
        <w:t>clearly distinguish the reporting of factual material from commentary and analysis.</w:t>
      </w:r>
    </w:p>
    <w:p w14:paraId="486CDB7B" w14:textId="1A7F65AD" w:rsidR="006844BD" w:rsidRPr="006844BD" w:rsidRDefault="006844BD" w:rsidP="006844BD">
      <w:pPr>
        <w:pStyle w:val="ACMABodyText"/>
        <w:ind w:left="879"/>
        <w:rPr>
          <w:i/>
          <w:iCs/>
        </w:rPr>
      </w:pPr>
      <w:r w:rsidRPr="006844BD">
        <w:rPr>
          <w:i/>
          <w:iCs/>
        </w:rPr>
        <w:t>3.4.</w:t>
      </w:r>
      <w:r w:rsidR="00730241">
        <w:rPr>
          <w:i/>
          <w:iCs/>
        </w:rPr>
        <w:t>2</w:t>
      </w:r>
      <w:r w:rsidRPr="006844BD">
        <w:rPr>
          <w:i/>
          <w:iCs/>
        </w:rPr>
        <w:tab/>
        <w:t>Nothing in this Section 3 requires a Licensee to allocate equal time to different points of view, or to include every aspect of a person's viewpoint, nor does it preclude a critical examination of or comment on a controversial issue as part of a fair report on a matter of public interest.</w:t>
      </w:r>
    </w:p>
    <w:p w14:paraId="1EFED0FD" w14:textId="77777777" w:rsidR="006844BD" w:rsidRDefault="006844BD" w:rsidP="006844BD">
      <w:pPr>
        <w:pStyle w:val="ACMABodyText"/>
      </w:pPr>
      <w:r>
        <w:t>In order to respond your complaint, our Compliance Department have reviewed the Report, the Code provisions referred to above, and the concerns that you have raised.</w:t>
      </w:r>
    </w:p>
    <w:p w14:paraId="30A43062" w14:textId="77777777" w:rsidR="006844BD" w:rsidRDefault="006844BD" w:rsidP="006844BD">
      <w:pPr>
        <w:pStyle w:val="ACMABodyText"/>
      </w:pPr>
      <w:r>
        <w:t>Based on our review, we have not been able to identify any factual material contained in the Report that was inaccurate. Indeed, the Report referred to information from the Queensland police when describing the firearm. Nine maintains that the Report accurately represented factual material as required by the Code.</w:t>
      </w:r>
    </w:p>
    <w:p w14:paraId="25E0FB77" w14:textId="6C33E718" w:rsidR="006844BD" w:rsidRDefault="006844BD" w:rsidP="006844BD">
      <w:pPr>
        <w:pStyle w:val="ACMABodyText"/>
      </w:pPr>
      <w:r>
        <w:t xml:space="preserve">With respect to the allegations of bias against lawful gun owners, the Report contained an analysis of the recent confiscation orders issued in Queensland, as well as using online polls to illustrate how upset </w:t>
      </w:r>
      <w:r w:rsidR="000850E6">
        <w:t>the confiscation</w:t>
      </w:r>
      <w:r>
        <w:t xml:space="preserve"> orders have left gun owners. As indicated above, the terms used in the report were obtained from Queensland Police. The Report also involved interviews with a representative of the Firearm Owners United, </w:t>
      </w:r>
      <w:r w:rsidR="000850E6">
        <w:t>[…]</w:t>
      </w:r>
      <w:r>
        <w:t xml:space="preserve">, a Gun Control Australia representative, </w:t>
      </w:r>
      <w:r w:rsidR="000850E6">
        <w:t>[…]</w:t>
      </w:r>
      <w:r>
        <w:t xml:space="preserve"> and a lawyer from </w:t>
      </w:r>
      <w:r w:rsidR="000850E6">
        <w:t>[…]</w:t>
      </w:r>
      <w:r>
        <w:t>.</w:t>
      </w:r>
    </w:p>
    <w:p w14:paraId="431BD23B" w14:textId="7E11C11E" w:rsidR="006844BD" w:rsidRDefault="006844BD" w:rsidP="006844BD">
      <w:pPr>
        <w:pStyle w:val="ACMABodyText"/>
      </w:pPr>
      <w:r>
        <w:t xml:space="preserve">We note that the Report did not assert that opinion that suggested illegality on the part of lawful gun owners. In fact, the Report included the statements from </w:t>
      </w:r>
      <w:r w:rsidR="00977488">
        <w:t>[…]</w:t>
      </w:r>
      <w:r>
        <w:t xml:space="preserve"> that described the numerous differences between the firearm and a machine gun. Further, </w:t>
      </w:r>
      <w:r w:rsidR="00977488">
        <w:t>[…]</w:t>
      </w:r>
      <w:r>
        <w:t xml:space="preserve"> indicated that the </w:t>
      </w:r>
      <w:r>
        <w:lastRenderedPageBreak/>
        <w:t>confiscation orders where due the lack of excessive recoil which has assisted inaccuracy surrounding the Firearm.</w:t>
      </w:r>
    </w:p>
    <w:p w14:paraId="55D2594D" w14:textId="497D1622" w:rsidR="006844BD" w:rsidRDefault="006844BD" w:rsidP="006844BD">
      <w:pPr>
        <w:pStyle w:val="ACMABodyText"/>
      </w:pPr>
      <w:r>
        <w:t xml:space="preserve">While the Report did include a statement from </w:t>
      </w:r>
      <w:r w:rsidR="00977488">
        <w:t>[…]</w:t>
      </w:r>
      <w:r>
        <w:t xml:space="preserve"> observing that the firearms were </w:t>
      </w:r>
      <w:r w:rsidR="00977488">
        <w:t>‘</w:t>
      </w:r>
      <w:r w:rsidRPr="00977488">
        <w:rPr>
          <w:i/>
          <w:iCs/>
        </w:rPr>
        <w:t>very dangerous weapons</w:t>
      </w:r>
      <w:r w:rsidR="00977488">
        <w:t>’</w:t>
      </w:r>
      <w:r>
        <w:t xml:space="preserve">, this was clearly indicated as being the perspective of those calling for greater gun control. This was immediately followed by a voiceover implying that it is unfair that gun owners are not being compensated for their loses as a result of the confiscation orders. This was also immediately followed by </w:t>
      </w:r>
      <w:r w:rsidR="00977488">
        <w:t>[…]</w:t>
      </w:r>
      <w:r>
        <w:t xml:space="preserve"> statement that </w:t>
      </w:r>
      <w:r w:rsidR="00977488">
        <w:t>‘</w:t>
      </w:r>
      <w:r w:rsidRPr="00977488">
        <w:rPr>
          <w:i/>
          <w:iCs/>
        </w:rPr>
        <w:t xml:space="preserve">it's definitely fair if they do </w:t>
      </w:r>
      <w:r w:rsidR="00977488" w:rsidRPr="00977488">
        <w:rPr>
          <w:i/>
          <w:iCs/>
        </w:rPr>
        <w:t>receive compensation</w:t>
      </w:r>
      <w:r w:rsidRPr="00977488">
        <w:rPr>
          <w:i/>
          <w:iCs/>
        </w:rPr>
        <w:t xml:space="preserve"> from this mistake by police</w:t>
      </w:r>
      <w:r w:rsidR="00977488" w:rsidRPr="00977488">
        <w:rPr>
          <w:i/>
          <w:iCs/>
        </w:rPr>
        <w:t>’</w:t>
      </w:r>
      <w:r w:rsidR="00977488">
        <w:t>.</w:t>
      </w:r>
    </w:p>
    <w:p w14:paraId="4EACCE16" w14:textId="0397B521" w:rsidR="006844BD" w:rsidRDefault="006844BD" w:rsidP="006844BD">
      <w:pPr>
        <w:pStyle w:val="ACMABodyText"/>
      </w:pPr>
      <w:r>
        <w:t xml:space="preserve">Based on this, Nine maintains that the Report was impartial and did not suggest any impropriety on the part of lawful gun owners such as to constitute a breach of clause 3.4.2 of the Code. Additionally, having reviewed the Promotion, Nine considers that the references to the word </w:t>
      </w:r>
      <w:r w:rsidR="00D90A50">
        <w:t>‘</w:t>
      </w:r>
      <w:r>
        <w:t>Machine gun</w:t>
      </w:r>
      <w:r w:rsidR="00D90A50">
        <w:t>’</w:t>
      </w:r>
      <w:r>
        <w:t xml:space="preserve"> constituted facts which were to be expanded within the Report. Moreover, given that the issue of firearm ownership and regulation is an important public interest issue, Nine considers that the Report was an appropriate critical examination of a controversial issue, as contemplated by clause 3.4.3 of the Code. Accordingly, we do not consider that there has been contravention of any matter covered by the Code in this instance.</w:t>
      </w:r>
    </w:p>
    <w:p w14:paraId="0F1B5B98" w14:textId="5C0C3FEA" w:rsidR="00D90A50" w:rsidRDefault="00D90A50" w:rsidP="006844BD">
      <w:pPr>
        <w:pStyle w:val="ACMABodyText"/>
      </w:pPr>
      <w:r>
        <w:t>[…]</w:t>
      </w:r>
    </w:p>
    <w:p w14:paraId="0E0648CF" w14:textId="66174BE2" w:rsidR="006D2356" w:rsidRDefault="00DB6BE1" w:rsidP="006D2356">
      <w:pPr>
        <w:pStyle w:val="ACMABodyText"/>
        <w:rPr>
          <w:b/>
          <w:i/>
        </w:rPr>
      </w:pPr>
      <w:r w:rsidRPr="006B1421">
        <w:rPr>
          <w:b/>
          <w:i/>
        </w:rPr>
        <w:t xml:space="preserve">Extracts from the </w:t>
      </w:r>
      <w:r w:rsidR="006D2356" w:rsidRPr="006B1421">
        <w:rPr>
          <w:b/>
          <w:i/>
        </w:rPr>
        <w:t xml:space="preserve">Licensee submission to the ACMA dated </w:t>
      </w:r>
      <w:r w:rsidR="00717375" w:rsidRPr="006B1421">
        <w:rPr>
          <w:b/>
          <w:i/>
        </w:rPr>
        <w:t>25</w:t>
      </w:r>
      <w:r w:rsidR="006D2356" w:rsidRPr="006B1421">
        <w:rPr>
          <w:b/>
          <w:i/>
        </w:rPr>
        <w:t xml:space="preserve"> </w:t>
      </w:r>
      <w:r w:rsidR="00717375" w:rsidRPr="006B1421">
        <w:rPr>
          <w:b/>
          <w:i/>
        </w:rPr>
        <w:t>September</w:t>
      </w:r>
      <w:r w:rsidR="006D2356" w:rsidRPr="006B1421">
        <w:rPr>
          <w:b/>
          <w:i/>
        </w:rPr>
        <w:t xml:space="preserve"> </w:t>
      </w:r>
      <w:r w:rsidR="00717375" w:rsidRPr="006B1421">
        <w:rPr>
          <w:b/>
          <w:i/>
        </w:rPr>
        <w:t>2019</w:t>
      </w:r>
      <w:r w:rsidR="006D2356" w:rsidRPr="00160831">
        <w:rPr>
          <w:b/>
          <w:i/>
        </w:rPr>
        <w:t>:</w:t>
      </w:r>
    </w:p>
    <w:p w14:paraId="175D845A" w14:textId="77777777" w:rsidR="00ED42C9" w:rsidRPr="00ED42C9" w:rsidRDefault="00ED42C9" w:rsidP="004537AE">
      <w:pPr>
        <w:pStyle w:val="ACMABodyText"/>
      </w:pPr>
      <w:r w:rsidRPr="00ED42C9">
        <w:t>[…]</w:t>
      </w:r>
    </w:p>
    <w:p w14:paraId="69A3C02C" w14:textId="07C7CF04" w:rsidR="004537AE" w:rsidRPr="004537AE" w:rsidRDefault="004537AE" w:rsidP="004537AE">
      <w:pPr>
        <w:pStyle w:val="ACMABodyText"/>
        <w:rPr>
          <w:b/>
          <w:bCs/>
          <w:u w:val="single"/>
        </w:rPr>
      </w:pPr>
      <w:r w:rsidRPr="004537AE">
        <w:rPr>
          <w:b/>
          <w:bCs/>
          <w:u w:val="single"/>
        </w:rPr>
        <w:t>The Complaint</w:t>
      </w:r>
    </w:p>
    <w:p w14:paraId="4A10459B" w14:textId="77777777" w:rsidR="004537AE" w:rsidRDefault="004537AE" w:rsidP="004537AE">
      <w:pPr>
        <w:pStyle w:val="ACMABodyText"/>
      </w:pPr>
      <w:r>
        <w:t>1. The ACMA has indicated it is investigating a complaint made by […] (</w:t>
      </w:r>
      <w:r w:rsidRPr="004537AE">
        <w:rPr>
          <w:b/>
          <w:bCs/>
        </w:rPr>
        <w:t>the Complaint</w:t>
      </w:r>
      <w:r>
        <w:t xml:space="preserve">) in relation to a </w:t>
      </w:r>
      <w:r w:rsidRPr="001C267D">
        <w:rPr>
          <w:i/>
          <w:iCs/>
        </w:rPr>
        <w:t>Nine News</w:t>
      </w:r>
      <w:r>
        <w:t xml:space="preserve"> report which was broadcast in Queensland on 24 May 2019 (</w:t>
      </w:r>
      <w:r w:rsidRPr="001C267D">
        <w:rPr>
          <w:b/>
          <w:bCs/>
        </w:rPr>
        <w:t>the Report</w:t>
      </w:r>
      <w:r>
        <w:t>). The investigation relates to both the Report itself and program promotions for the Report. The Complaint refers to ‘</w:t>
      </w:r>
      <w:r w:rsidRPr="004537AE">
        <w:rPr>
          <w:i/>
          <w:iCs/>
        </w:rPr>
        <w:t>Multiple promotions for this segment</w:t>
      </w:r>
      <w:r>
        <w:t>’ across television and online platforms, the ACMA has confirmed its investigation is limited only to television broadcasts, but applies to any and all broadcasts in Queensland relating to the Report.</w:t>
      </w:r>
    </w:p>
    <w:p w14:paraId="6D4B1B2E" w14:textId="77777777" w:rsidR="004537AE" w:rsidRDefault="004537AE" w:rsidP="004537AE">
      <w:pPr>
        <w:pStyle w:val="ACMABodyText"/>
      </w:pPr>
      <w:r>
        <w:t>2. At the outset, we advise that the following content was broadcast by Nine in relation to the Report:</w:t>
      </w:r>
    </w:p>
    <w:p w14:paraId="755EA5AD" w14:textId="21D85EA1" w:rsidR="004537AE" w:rsidRDefault="004537AE" w:rsidP="004537AE">
      <w:pPr>
        <w:pStyle w:val="ACMABodyText"/>
        <w:ind w:left="720"/>
      </w:pPr>
      <w:r>
        <w:t xml:space="preserve">(a) a 'playoff' promotion was broadcast at the end of the 6pm bulletin of </w:t>
      </w:r>
      <w:r w:rsidRPr="001C267D">
        <w:rPr>
          <w:i/>
          <w:iCs/>
        </w:rPr>
        <w:t>Nine News</w:t>
      </w:r>
      <w:r>
        <w:t xml:space="preserve"> on 23 May 2019;</w:t>
      </w:r>
    </w:p>
    <w:p w14:paraId="4B06C253" w14:textId="19A232CC" w:rsidR="004537AE" w:rsidRDefault="004537AE" w:rsidP="004537AE">
      <w:pPr>
        <w:pStyle w:val="ACMABodyText"/>
        <w:ind w:left="720"/>
      </w:pPr>
      <w:r>
        <w:t xml:space="preserve">(b) a promotion for </w:t>
      </w:r>
      <w:r w:rsidRPr="001C267D">
        <w:rPr>
          <w:i/>
          <w:iCs/>
        </w:rPr>
        <w:t>Nine News</w:t>
      </w:r>
      <w:r>
        <w:t xml:space="preserve"> broadcast was broadcast on the evening of 23 May 2019 and on 24 May 2019;</w:t>
      </w:r>
    </w:p>
    <w:p w14:paraId="5D59DA52" w14:textId="7FA95C6B" w:rsidR="004537AE" w:rsidRDefault="004537AE" w:rsidP="004537AE">
      <w:pPr>
        <w:pStyle w:val="ACMABodyText"/>
        <w:ind w:left="720"/>
      </w:pPr>
      <w:r>
        <w:t xml:space="preserve">(c) a second promotion for </w:t>
      </w:r>
      <w:r w:rsidRPr="001C267D">
        <w:rPr>
          <w:i/>
          <w:iCs/>
        </w:rPr>
        <w:t>Nine News</w:t>
      </w:r>
      <w:r>
        <w:t xml:space="preserve"> broadcast on 24 May 2019;</w:t>
      </w:r>
    </w:p>
    <w:p w14:paraId="5B195268" w14:textId="76D282CF" w:rsidR="004537AE" w:rsidRDefault="004537AE" w:rsidP="004537AE">
      <w:pPr>
        <w:pStyle w:val="ACMABodyText"/>
        <w:ind w:left="720"/>
      </w:pPr>
      <w:r>
        <w:t xml:space="preserve">(d) a 'teaser' promotion broadcast prior to the commencement of the 6pm bulletin of </w:t>
      </w:r>
      <w:r w:rsidRPr="001C267D">
        <w:rPr>
          <w:i/>
          <w:iCs/>
        </w:rPr>
        <w:t>Nine News</w:t>
      </w:r>
      <w:r>
        <w:t>;</w:t>
      </w:r>
    </w:p>
    <w:p w14:paraId="757B38B8" w14:textId="0FE10E00" w:rsidR="004537AE" w:rsidRDefault="004537AE" w:rsidP="004537AE">
      <w:pPr>
        <w:pStyle w:val="ACMABodyText"/>
        <w:ind w:left="720"/>
      </w:pPr>
      <w:r>
        <w:t xml:space="preserve">(e) a 'teaser' opening of the 6pm bulletin of </w:t>
      </w:r>
      <w:r w:rsidRPr="001C267D">
        <w:rPr>
          <w:i/>
          <w:iCs/>
        </w:rPr>
        <w:t>Nine News</w:t>
      </w:r>
      <w:r>
        <w:t>;</w:t>
      </w:r>
    </w:p>
    <w:p w14:paraId="7A73372C" w14:textId="4AA673B4" w:rsidR="004537AE" w:rsidRDefault="004537AE" w:rsidP="004537AE">
      <w:pPr>
        <w:pStyle w:val="ACMABodyText"/>
        <w:ind w:left="720"/>
      </w:pPr>
      <w:r>
        <w:t xml:space="preserve">(f) a 'teaser' promotion broadcast during the 6pm bulletin of </w:t>
      </w:r>
      <w:r w:rsidRPr="001C267D">
        <w:rPr>
          <w:i/>
          <w:iCs/>
        </w:rPr>
        <w:t>Nine News</w:t>
      </w:r>
      <w:r>
        <w:t>; and</w:t>
      </w:r>
    </w:p>
    <w:p w14:paraId="31189104" w14:textId="1F06D248" w:rsidR="004537AE" w:rsidRDefault="004537AE" w:rsidP="00075611">
      <w:pPr>
        <w:pStyle w:val="ACMABodyText"/>
        <w:ind w:left="720"/>
      </w:pPr>
      <w:r>
        <w:t>(g) the Report.</w:t>
      </w:r>
    </w:p>
    <w:p w14:paraId="16800E03" w14:textId="77777777" w:rsidR="004537AE" w:rsidRDefault="004537AE" w:rsidP="001C267D">
      <w:pPr>
        <w:pStyle w:val="ACMABodyText"/>
        <w:ind w:left="720"/>
      </w:pPr>
      <w:r>
        <w:lastRenderedPageBreak/>
        <w:t xml:space="preserve">(items at paragraphs 2(a) to 2(f) above are collectively referred to hereafter as </w:t>
      </w:r>
      <w:r w:rsidRPr="00075611">
        <w:rPr>
          <w:b/>
          <w:bCs/>
        </w:rPr>
        <w:t>the Promotions</w:t>
      </w:r>
      <w:r>
        <w:t>).</w:t>
      </w:r>
    </w:p>
    <w:p w14:paraId="49A64E79" w14:textId="77777777" w:rsidR="004537AE" w:rsidRDefault="004537AE" w:rsidP="004537AE">
      <w:pPr>
        <w:pStyle w:val="ACMABodyText"/>
      </w:pPr>
      <w:r>
        <w:t>3. We understand the Complaint has raised concerns with the Report and the Promotions, particularly with respect to Nine's compliance with the Commercial Television lndustry Code of Practice 2015 (Revised 2018) (</w:t>
      </w:r>
      <w:r w:rsidRPr="001C267D">
        <w:rPr>
          <w:b/>
          <w:bCs/>
        </w:rPr>
        <w:t>the Code</w:t>
      </w:r>
      <w:r>
        <w:t>). The ACMA has provided Nine with the Complaint and advised that the focus of this investigation includes, but is not limited, to the Code provisions relating to accuracy, impartiality and program promotions relating to news and current affairs. Accordingly, Nine has prepared these submissions on compliance with the Code in response to the specific allegations contained in the Complaint.</w:t>
      </w:r>
    </w:p>
    <w:p w14:paraId="0C1D5971" w14:textId="6364A90D" w:rsidR="004537AE" w:rsidRDefault="00C74812" w:rsidP="004537AE">
      <w:pPr>
        <w:pStyle w:val="ACMABodyText"/>
      </w:pPr>
      <w:r>
        <w:t>[…]</w:t>
      </w:r>
    </w:p>
    <w:p w14:paraId="5CFD0397" w14:textId="77777777" w:rsidR="004537AE" w:rsidRPr="001C267D" w:rsidRDefault="004537AE" w:rsidP="004537AE">
      <w:pPr>
        <w:pStyle w:val="ACMABodyText"/>
        <w:rPr>
          <w:b/>
          <w:bCs/>
          <w:u w:val="single"/>
        </w:rPr>
      </w:pPr>
      <w:r w:rsidRPr="001C267D">
        <w:rPr>
          <w:b/>
          <w:bCs/>
          <w:u w:val="single"/>
        </w:rPr>
        <w:t>The Code Provisions</w:t>
      </w:r>
    </w:p>
    <w:p w14:paraId="717F92E4" w14:textId="77777777" w:rsidR="004537AE" w:rsidRDefault="004537AE" w:rsidP="004537AE">
      <w:pPr>
        <w:pStyle w:val="ACMABodyText"/>
      </w:pPr>
      <w:r>
        <w:t>5. For the purpose of this investigation, the relevant provisions of the Code are as follows</w:t>
      </w:r>
    </w:p>
    <w:p w14:paraId="46332944" w14:textId="77777777" w:rsidR="004537AE" w:rsidRPr="001C267D" w:rsidRDefault="004537AE" w:rsidP="001C267D">
      <w:pPr>
        <w:pStyle w:val="ACMABodyText"/>
        <w:ind w:left="720"/>
        <w:rPr>
          <w:b/>
          <w:bCs/>
          <w:i/>
          <w:iCs/>
        </w:rPr>
      </w:pPr>
      <w:r w:rsidRPr="001C267D">
        <w:rPr>
          <w:b/>
          <w:bCs/>
          <w:i/>
          <w:iCs/>
        </w:rPr>
        <w:t>3.3 Accuracy and fairness</w:t>
      </w:r>
    </w:p>
    <w:p w14:paraId="33C2FA08" w14:textId="77777777" w:rsidR="004537AE" w:rsidRPr="001C267D" w:rsidRDefault="004537AE" w:rsidP="001C267D">
      <w:pPr>
        <w:pStyle w:val="ACMABodyText"/>
        <w:ind w:left="720"/>
        <w:rPr>
          <w:i/>
          <w:iCs/>
        </w:rPr>
      </w:pPr>
      <w:r w:rsidRPr="001C267D">
        <w:rPr>
          <w:i/>
          <w:iCs/>
        </w:rPr>
        <w:t>3.3.1 ln broadcasting a news or Current Affairs Program, a Licensee must present factual material accurately and ensure viewpoints included in the Program are not misrepresented.</w:t>
      </w:r>
    </w:p>
    <w:p w14:paraId="59FEE710" w14:textId="77777777" w:rsidR="004537AE" w:rsidRPr="001C267D" w:rsidRDefault="004537AE" w:rsidP="001C267D">
      <w:pPr>
        <w:pStyle w:val="ACMABodyText"/>
        <w:ind w:left="720"/>
        <w:rPr>
          <w:i/>
          <w:iCs/>
        </w:rPr>
      </w:pPr>
      <w:r w:rsidRPr="001C267D">
        <w:rPr>
          <w:i/>
          <w:iCs/>
        </w:rPr>
        <w:t>3.3.2 Clause 3.3.1 applies to material facts and material representations of viewpoints only</w:t>
      </w:r>
    </w:p>
    <w:p w14:paraId="22F328B5" w14:textId="77777777" w:rsidR="004537AE" w:rsidRPr="001C267D" w:rsidRDefault="004537AE" w:rsidP="001C267D">
      <w:pPr>
        <w:pStyle w:val="ACMABodyText"/>
        <w:ind w:left="720"/>
        <w:rPr>
          <w:b/>
          <w:bCs/>
          <w:i/>
          <w:iCs/>
        </w:rPr>
      </w:pPr>
      <w:r w:rsidRPr="001C267D">
        <w:rPr>
          <w:b/>
          <w:bCs/>
          <w:i/>
          <w:iCs/>
        </w:rPr>
        <w:t xml:space="preserve">3.4 </w:t>
      </w:r>
      <w:r w:rsidRPr="001C267D">
        <w:rPr>
          <w:b/>
          <w:bCs/>
          <w:i/>
          <w:iCs/>
        </w:rPr>
        <w:tab/>
        <w:t>Impartiality</w:t>
      </w:r>
    </w:p>
    <w:p w14:paraId="656D5DB3" w14:textId="77777777" w:rsidR="004537AE" w:rsidRPr="001C267D" w:rsidRDefault="004537AE" w:rsidP="001C267D">
      <w:pPr>
        <w:pStyle w:val="ACMABodyText"/>
        <w:ind w:left="720"/>
        <w:rPr>
          <w:i/>
          <w:iCs/>
        </w:rPr>
      </w:pPr>
      <w:r w:rsidRPr="001C267D">
        <w:rPr>
          <w:i/>
          <w:iCs/>
        </w:rPr>
        <w:t>3.4.1 ln broadcasting a news Program, a Licensee must:</w:t>
      </w:r>
    </w:p>
    <w:p w14:paraId="2FB093D7" w14:textId="77777777" w:rsidR="004537AE" w:rsidRPr="001C267D" w:rsidRDefault="004537AE" w:rsidP="001C267D">
      <w:pPr>
        <w:pStyle w:val="ACMABodyText"/>
        <w:ind w:left="1440"/>
        <w:rPr>
          <w:i/>
          <w:iCs/>
        </w:rPr>
      </w:pPr>
      <w:r w:rsidRPr="001C267D">
        <w:rPr>
          <w:i/>
          <w:iCs/>
        </w:rPr>
        <w:t>a) present news fairly and impartially;</w:t>
      </w:r>
    </w:p>
    <w:p w14:paraId="24246398" w14:textId="77777777" w:rsidR="004537AE" w:rsidRPr="001C267D" w:rsidRDefault="004537AE" w:rsidP="001C267D">
      <w:pPr>
        <w:pStyle w:val="ACMABodyText"/>
        <w:ind w:left="1440"/>
        <w:rPr>
          <w:i/>
          <w:iCs/>
        </w:rPr>
      </w:pPr>
      <w:r w:rsidRPr="001C267D">
        <w:rPr>
          <w:i/>
          <w:iCs/>
        </w:rPr>
        <w:t>b) clearly distinguish the reporting of factual material from commentary and analysis.</w:t>
      </w:r>
    </w:p>
    <w:p w14:paraId="230D7272" w14:textId="77777777" w:rsidR="004537AE" w:rsidRPr="001C267D" w:rsidRDefault="004537AE" w:rsidP="001C267D">
      <w:pPr>
        <w:pStyle w:val="ACMABodyText"/>
        <w:ind w:left="720"/>
        <w:rPr>
          <w:i/>
          <w:iCs/>
        </w:rPr>
      </w:pPr>
      <w:r w:rsidRPr="001C267D">
        <w:rPr>
          <w:i/>
          <w:iCs/>
        </w:rPr>
        <w:t xml:space="preserve">3.4.2 Nothing in this Section 3 requires a Licensee to allocate equal time to different points of view, or to include every aspect of a person's viewpoint nor does it preclude a critical examination of or comment a controversial issue as part of a fair report on a matter of public interest. </w:t>
      </w:r>
    </w:p>
    <w:p w14:paraId="55EC4A0B" w14:textId="77777777" w:rsidR="004537AE" w:rsidRPr="001C267D" w:rsidRDefault="004537AE" w:rsidP="001C267D">
      <w:pPr>
        <w:pStyle w:val="ACMABodyText"/>
        <w:ind w:left="720"/>
        <w:rPr>
          <w:b/>
          <w:bCs/>
          <w:i/>
          <w:iCs/>
        </w:rPr>
      </w:pPr>
      <w:r w:rsidRPr="001C267D">
        <w:rPr>
          <w:b/>
          <w:bCs/>
          <w:i/>
          <w:iCs/>
        </w:rPr>
        <w:t>3.6</w:t>
      </w:r>
      <w:r w:rsidRPr="001C267D">
        <w:rPr>
          <w:b/>
          <w:bCs/>
          <w:i/>
          <w:iCs/>
        </w:rPr>
        <w:tab/>
        <w:t>Program Promotions for news and Current Affairs Programs</w:t>
      </w:r>
    </w:p>
    <w:p w14:paraId="64E15E89" w14:textId="00C7DE4B" w:rsidR="004537AE" w:rsidRPr="001C267D" w:rsidRDefault="004537AE" w:rsidP="001C267D">
      <w:pPr>
        <w:pStyle w:val="ACMABodyText"/>
        <w:ind w:left="720"/>
        <w:rPr>
          <w:i/>
          <w:iCs/>
        </w:rPr>
      </w:pPr>
      <w:r w:rsidRPr="001C267D">
        <w:rPr>
          <w:i/>
          <w:iCs/>
        </w:rPr>
        <w:t>3.6.1</w:t>
      </w:r>
      <w:r w:rsidR="001C267D" w:rsidRPr="001C267D">
        <w:rPr>
          <w:i/>
          <w:iCs/>
        </w:rPr>
        <w:t xml:space="preserve"> </w:t>
      </w:r>
      <w:r w:rsidRPr="001C267D">
        <w:rPr>
          <w:i/>
          <w:iCs/>
        </w:rPr>
        <w:t>ln broadcasting a Program Promotion for a news or Current Affairs Program, a Licensee must comply with this Section 3 as far as practicable, having regard to its brevity.</w:t>
      </w:r>
    </w:p>
    <w:p w14:paraId="34F4A61B" w14:textId="77777777" w:rsidR="004537AE" w:rsidRPr="001C267D" w:rsidRDefault="004537AE" w:rsidP="001C267D">
      <w:pPr>
        <w:pStyle w:val="ACMABodyText"/>
        <w:ind w:left="720"/>
        <w:rPr>
          <w:i/>
          <w:iCs/>
        </w:rPr>
      </w:pPr>
      <w:r w:rsidRPr="001C267D">
        <w:rPr>
          <w:i/>
          <w:iCs/>
        </w:rPr>
        <w:t>3.6.2 A Licensee is not required by this clause to portray all aspects or themes of a Program or Program segment in a Program Promotion, or to represent all viewpoints contained in the Program or Program segment.</w:t>
      </w:r>
    </w:p>
    <w:p w14:paraId="289528B6" w14:textId="77777777" w:rsidR="004537AE" w:rsidRPr="001C267D" w:rsidRDefault="004537AE" w:rsidP="004537AE">
      <w:pPr>
        <w:pStyle w:val="ACMABodyText"/>
        <w:rPr>
          <w:b/>
          <w:bCs/>
          <w:u w:val="single"/>
        </w:rPr>
      </w:pPr>
      <w:r w:rsidRPr="001C267D">
        <w:rPr>
          <w:b/>
          <w:bCs/>
          <w:u w:val="single"/>
        </w:rPr>
        <w:t>The Report</w:t>
      </w:r>
    </w:p>
    <w:p w14:paraId="7D478BDB" w14:textId="77777777" w:rsidR="004537AE" w:rsidRDefault="004537AE" w:rsidP="004537AE">
      <w:pPr>
        <w:pStyle w:val="ACMABodyText"/>
      </w:pPr>
      <w:r>
        <w:t>6. The Report dealt with a dispute between Queensland Police and owners of a specific firearm, the Wedgetail WT-15 pistol variant (</w:t>
      </w:r>
      <w:r w:rsidRPr="001C267D">
        <w:rPr>
          <w:b/>
          <w:bCs/>
        </w:rPr>
        <w:t>the Firearm</w:t>
      </w:r>
      <w:r>
        <w:t xml:space="preserve">). The dispute related to the reclassification of the Firearm from a Category H to a Category D firearm - meaning that the Firearm could only be owned by professionals. ln reclassifying the Firearm, certain owners </w:t>
      </w:r>
      <w:r>
        <w:lastRenderedPageBreak/>
        <w:t>who had legally purchased the Firearm were no longer permitted to own it. Queensland Police had subsequently issued a number of confiscation orders to those owners of the Firearm with no associated financial compensation.</w:t>
      </w:r>
    </w:p>
    <w:p w14:paraId="3CCD442C" w14:textId="0F051E6C" w:rsidR="004537AE" w:rsidRDefault="004537AE" w:rsidP="004537AE">
      <w:pPr>
        <w:pStyle w:val="ACMABodyText"/>
      </w:pPr>
      <w:r>
        <w:t xml:space="preserve">7. The Report outlined the basis of the dispute and included excerpts of interviews with representatives from various interested parties who gave their positions on the classification of the Firearm. These representatives included […] on behalf of Firearm Owners United, […] on behalf of Gun Control Australia, and […] on behalf of </w:t>
      </w:r>
      <w:r w:rsidR="00120A00">
        <w:t>[…]</w:t>
      </w:r>
      <w:r>
        <w:t xml:space="preserve"> Lawyers. The Report also stated that Queensland Police had refused to comment on the matter given the dispute was also being heard before the Queensland Civil and Administrative Tribunal.</w:t>
      </w:r>
    </w:p>
    <w:p w14:paraId="29BD3051" w14:textId="77777777" w:rsidR="004537AE" w:rsidRDefault="004537AE" w:rsidP="004537AE">
      <w:pPr>
        <w:pStyle w:val="ACMABodyText"/>
      </w:pPr>
      <w:r>
        <w:t>8. The Complaint contends that the Report ‘</w:t>
      </w:r>
      <w:r w:rsidRPr="00075611">
        <w:rPr>
          <w:i/>
          <w:iCs/>
        </w:rPr>
        <w:t>misrepresented a legally obtainable firearm as a 'murder weapon'...as 'looking like and killing like a machine-gun'... and implied the gun was available 'over the counter' to anyone who wanted one’</w:t>
      </w:r>
      <w:r>
        <w:t xml:space="preserve">. Additionally, the Complaint takes issue with the use of footage depicting </w:t>
      </w:r>
      <w:r w:rsidRPr="00B95D6A">
        <w:rPr>
          <w:i/>
          <w:iCs/>
        </w:rPr>
        <w:t>‘unrelated machine-guns being fired’</w:t>
      </w:r>
      <w:r>
        <w:t>.</w:t>
      </w:r>
    </w:p>
    <w:p w14:paraId="59F34F38" w14:textId="77777777" w:rsidR="004537AE" w:rsidRDefault="004537AE" w:rsidP="004537AE">
      <w:pPr>
        <w:pStyle w:val="ACMABodyText"/>
      </w:pPr>
      <w:r>
        <w:t xml:space="preserve">9. Firstly, the Report itself did not state that the Firearm was a ‘murder weapon’. The Report only contained one reference to gun violence. This reference was from […] who, as part of outlining her opposition to the Firearm, stated </w:t>
      </w:r>
      <w:r w:rsidRPr="00B95D6A">
        <w:rPr>
          <w:i/>
          <w:iCs/>
        </w:rPr>
        <w:t>‘They're very dangerous weapons and this one in particular has been based on an assault rifle that's been used in massacres across America’.</w:t>
      </w:r>
      <w:r>
        <w:t xml:space="preserve"> Nine maintains that when viewed in context, this statement was clearly presented as the perspective of […] in her capacity as a representative of Gun Control Australia - as reflected in the on-screen graphic which clearly displayed […] affiliation with that organisation. Accordingly, Nine is of the view that these comments were an accurate representation of […] perspective.</w:t>
      </w:r>
    </w:p>
    <w:p w14:paraId="6632EF3C" w14:textId="77777777" w:rsidR="004537AE" w:rsidRDefault="004537AE" w:rsidP="004537AE">
      <w:pPr>
        <w:pStyle w:val="ACMABodyText"/>
      </w:pPr>
      <w:r>
        <w:t>10. lndeed, if Nine had not include these comments from […] or omitted certain aspects of her comments, the Report would face a potential breach of the impartiality requirements in clause 3.4 of the Code, or alternatively clause 3.3.1 of the Code by misrepresenting a viewpoint included in the Program. Nine therefore submits that the inclusion of […] comments in the Report did not present the Firearm as a ‘murder weapon’ such as to constitute a breach of the accuracy provisions in the Code, but rather accurately presented […] position on the dispute being discussed.</w:t>
      </w:r>
    </w:p>
    <w:p w14:paraId="4B10AD1C" w14:textId="77777777" w:rsidR="004537AE" w:rsidRDefault="004537AE" w:rsidP="004537AE">
      <w:pPr>
        <w:pStyle w:val="ACMABodyText"/>
      </w:pPr>
      <w:r>
        <w:t>11. With respect to the contention that the Report presented the Firearm as ‘</w:t>
      </w:r>
      <w:r w:rsidRPr="00B95D6A">
        <w:rPr>
          <w:i/>
          <w:iCs/>
        </w:rPr>
        <w:t>looking like and killing like a machine-gun’</w:t>
      </w:r>
      <w:r>
        <w:t>, again Nine notes that the Report itself did not specifically make this assertion. Rather, the suggestion of the Firearm being akin to a machine gun or an assault rifle arose in the Report's outline of the dispute, references to documents from Queensland Police, and the comments of […]. In outlining the dispute, the Report stated, ‘</w:t>
      </w:r>
      <w:r w:rsidRPr="00B95D6A">
        <w:rPr>
          <w:i/>
          <w:iCs/>
        </w:rPr>
        <w:t xml:space="preserve">ln 20l6, Queensland Police classified it </w:t>
      </w:r>
      <w:r>
        <w:t xml:space="preserve">[the Firearm] </w:t>
      </w:r>
      <w:r w:rsidRPr="00B95D6A">
        <w:rPr>
          <w:i/>
          <w:iCs/>
        </w:rPr>
        <w:t>as a handgun due to its shorter length compared to other WT-l5 models’</w:t>
      </w:r>
      <w:r>
        <w:t>. Nine maintains this was an accurate statement regarding the initial classification of the Firearm as a Category H firearm and an accurate reference to other WT-15 models that are long-barrelled firearms.</w:t>
      </w:r>
    </w:p>
    <w:p w14:paraId="59CDDC9E" w14:textId="52860362" w:rsidR="004537AE" w:rsidRDefault="004537AE" w:rsidP="004537AE">
      <w:pPr>
        <w:pStyle w:val="ACMABodyText"/>
      </w:pPr>
      <w:r>
        <w:t>12. The Report also referred to documents obtained from Queensland Police in which the police force had likened the Firearm to assault rifles such as the AR-15 and M16 families. Specifically, the Report stated, ‘</w:t>
      </w:r>
      <w:r w:rsidRPr="00B95D6A">
        <w:rPr>
          <w:i/>
          <w:iCs/>
        </w:rPr>
        <w:t>But, right to information documents show after police saw a photo [of the Firearm], they found it resembled an AR-15’</w:t>
      </w:r>
      <w:r>
        <w:t xml:space="preserve">, a statement which was accompanied by footage of long-barrelled weapons and assault rifles. </w:t>
      </w:r>
      <w:r w:rsidRPr="00930179">
        <w:t>[</w:t>
      </w:r>
      <w:r w:rsidR="00B72A2F" w:rsidRPr="00930179">
        <w:t xml:space="preserve">…] </w:t>
      </w:r>
      <w:r w:rsidRPr="00930179">
        <w:t>Nine maintains the Report was accurate in stating that police had likened the Firearm to assault rifles and weapons which can be capable of automatic fire – for example - some M16 firearms. Moreover, as indicated above, Nine submits that the statements of […] were not inaccurate</w:t>
      </w:r>
      <w:r>
        <w:t xml:space="preserve"> insofar as she suggested the Firearm had similarities to an assault rifle. This statement is supported by the documents from Queensland Police and formed an accurate representation of her viewpoint as a representative of Gun Control Australia.</w:t>
      </w:r>
    </w:p>
    <w:p w14:paraId="4995843F" w14:textId="77777777" w:rsidR="004537AE" w:rsidRDefault="004537AE" w:rsidP="004537AE">
      <w:pPr>
        <w:pStyle w:val="ACMABodyText"/>
      </w:pPr>
      <w:r>
        <w:lastRenderedPageBreak/>
        <w:t>13. Nine also notes it is important to consider these aspects of the Report in the context of the Report as a whole. The Report was fundamentally concerned with a dispute between gun owners and Queensland Police as to whether the Firearm had been appropriately categorised. ln examining this dispute, the Report objectively presented the perspectives of interested parties and the basis upon which those parties held their respective views on the Firearm's classification. This inherently involved presentation of whether the parties considered the Firearm to be akin to an assault rifle or other long-barrelled guns. Nine therefore submits the statements in the Report likening the Firearm to an assault rifle were accurate, justified and clearly presented with appropriate context and attribution.</w:t>
      </w:r>
    </w:p>
    <w:p w14:paraId="07FF3F7B" w14:textId="77777777" w:rsidR="004537AE" w:rsidRDefault="004537AE" w:rsidP="004537AE">
      <w:pPr>
        <w:pStyle w:val="ACMABodyText"/>
      </w:pPr>
      <w:r>
        <w:t>14. While the Complaint alleges further inaccuracy by asserting that the Firearm is ‘</w:t>
      </w:r>
      <w:r w:rsidRPr="00B95D6A">
        <w:rPr>
          <w:i/>
          <w:iCs/>
        </w:rPr>
        <w:t>incapable of full automatic fire, being self-loading and restricted to 10 shots in the magazine’</w:t>
      </w:r>
      <w:r>
        <w:t>, Nine maintains that this essentially forms part of the argument being advanced by gun owners in opposition to the reclassification of the Firearm. As the classification of the Firearm is the disputed issue on which the Report is focused, Nine is of the view that such arguments do not form factual statements per se, but rather form part of the gun owner's viewpoint on this issue. Nine also notes the Report clearly indicated that the issue of the classification of the Firearm was currently being heard before the Queensland Civil and Administrative Tribunal. As such, the Report accurately informed viewers that Queensland Police had reclassified the Firearm, but this decision was not final and in fact was being challenged by gun owners.</w:t>
      </w:r>
    </w:p>
    <w:p w14:paraId="6632F5F2" w14:textId="77777777" w:rsidR="004537AE" w:rsidRDefault="004537AE" w:rsidP="004537AE">
      <w:pPr>
        <w:pStyle w:val="ACMABodyText"/>
      </w:pPr>
      <w:r>
        <w:t>15. ln relation to the alleged implication that ‘</w:t>
      </w:r>
      <w:r w:rsidRPr="00B95D6A">
        <w:rPr>
          <w:i/>
          <w:iCs/>
        </w:rPr>
        <w:t>the gun was available 'over the counter' to anyone who wanted one’</w:t>
      </w:r>
      <w:r>
        <w:t>, Nine submits the Report did not make such an assertion either expressly or impliedly. The Report conveyed that the dispute was over the Firearm's classification and that despite purchasing the Firearm in accordance with permits, certain owners were now facing confiscation orders due to the reclassification of the Firearm by Queensland Police. lndeed, the Report expressly stated that the Firearm's ‘</w:t>
      </w:r>
      <w:r w:rsidRPr="00B95D6A">
        <w:rPr>
          <w:i/>
          <w:iCs/>
        </w:rPr>
        <w:t>classification permitted a handful of sports shooters to legally buy it as a Category H firearm’</w:t>
      </w:r>
      <w:r>
        <w:t>. Having regard to this narrowed scope, Nine submits the Report did not suggest the Firearm was available to any person whatsoever, but rather accurately stated that certain sports shooters had been able to legally purchase the Firearm, though now it has been restricted to being owned by professionals.</w:t>
      </w:r>
    </w:p>
    <w:p w14:paraId="4C1241D2" w14:textId="77777777" w:rsidR="004537AE" w:rsidRDefault="004537AE" w:rsidP="004537AE">
      <w:pPr>
        <w:pStyle w:val="ACMABodyText"/>
      </w:pPr>
      <w:r>
        <w:t>16. Finally, Nine submits the Report contained accurate visual depictions the Firearm and that these images and footage were clearly identified to viewers as the precise weapon over which the dispute had arisen. While the Report also contained footage of other guns, Nine maintains this footage was both appropriate and accurate because it depicted the class of weapons the Firearm had been associated with by Queensland Police in the reclassification process. As such, the footage of other weaponry provided viewers with an illustration of the core issue in dispute - whether the Firearm should be classified as a pistol or whether it should be classed with weapons such as machine guns and assault rifles.</w:t>
      </w:r>
    </w:p>
    <w:p w14:paraId="7373E742" w14:textId="77777777" w:rsidR="004537AE" w:rsidRDefault="004537AE" w:rsidP="004537AE">
      <w:pPr>
        <w:pStyle w:val="ACMABodyText"/>
      </w:pPr>
      <w:r>
        <w:t>17. Moreover, Nine submits the footage of other weapons was appropriately contextualised and related to the matters being discussed. For example, the footage of other guns was used when the dispute was being outlined and reference was made to the classification distinction between the Firearm and other WT-15 models. Additionally, footage of other guns was shown during the discussion of the document at Annexure A in which the Queensland Police had likened the Firearm to AR-15 and M16 assault rifles. Given the contextualisation of this footage and the nature of the dispute being discussed in the Report, Nine maintains the footage of other guns was not inaccurate such as to constitute a breach of clause 3.3.1. To the contrary, Nine submits the footage was appropriate, justified and clearly distinguished from images and footage of the Firearm.</w:t>
      </w:r>
    </w:p>
    <w:p w14:paraId="407BC43D" w14:textId="77777777" w:rsidR="004537AE" w:rsidRDefault="004537AE" w:rsidP="004537AE">
      <w:pPr>
        <w:pStyle w:val="ACMABodyText"/>
      </w:pPr>
      <w:r>
        <w:t xml:space="preserve">18. Turning to the Code's requirement for impartiality, Nine notes that the Code does not require a Licensee to allocate equal time to different points of view (clause 3.4.2). Notwithstanding this, while the Report did contain statements from […] on behalf of Gun </w:t>
      </w:r>
      <w:r>
        <w:lastRenderedPageBreak/>
        <w:t>Control Australia outlining opposition to the Firearm's classification, the Report also contained excerpts from an interview with […] on behalf of Firearm Owners United. The Report also clearly conveyed that Queensland Police had been approached for comment, but had indicated they would not comment on the matter. Nine therefore maintains a number of perspectives from representatives of a range of interested parties were included in the Report.</w:t>
      </w:r>
    </w:p>
    <w:p w14:paraId="67243C56" w14:textId="77777777" w:rsidR="004537AE" w:rsidRDefault="004537AE" w:rsidP="004537AE">
      <w:pPr>
        <w:pStyle w:val="ACMABodyText"/>
      </w:pPr>
      <w:r>
        <w:t>19. ln particular, Nine notes the Report included […] comments (and thereby the position of Firearm Owners United) on the features of the Firearm which he considered separated it from ‘machine guns’. […] also clearly stated ‘</w:t>
      </w:r>
      <w:r w:rsidRPr="00B95D6A">
        <w:rPr>
          <w:i/>
          <w:iCs/>
        </w:rPr>
        <w:t>We just want a fair go</w:t>
      </w:r>
      <w:r>
        <w:t>’ and ‘</w:t>
      </w:r>
      <w:r w:rsidRPr="00B95D6A">
        <w:rPr>
          <w:i/>
          <w:iCs/>
        </w:rPr>
        <w:t>we haven't done anything wrong’</w:t>
      </w:r>
      <w:r>
        <w:t>, thus demonstrating his position on the dispute with Queensland Police. Additionally, Nine draws the ACMA's attention to the comments of […] who stated ‘</w:t>
      </w:r>
      <w:r w:rsidRPr="00B95D6A">
        <w:rPr>
          <w:i/>
          <w:iCs/>
        </w:rPr>
        <w:t>it's definitely fair if they</w:t>
      </w:r>
      <w:r>
        <w:t xml:space="preserve"> [owners of the Firearm] </w:t>
      </w:r>
      <w:r w:rsidRPr="00B95D6A">
        <w:rPr>
          <w:i/>
          <w:iCs/>
        </w:rPr>
        <w:t>do receive compensation from this mistake by police’</w:t>
      </w:r>
      <w:r>
        <w:t>. This refers to the fact that owners of the Firearm who were provided with confiscation orders had not been given any financial compensation. Nine submits this comment, in effect, also presented the position of aggrieved owners of the Firearm. ln light of the above, Nine submits the Report did comply with the impartiality requirements of the Code by including responses from all relevant parties to the dispute and presenting the material fairly and objectively.</w:t>
      </w:r>
    </w:p>
    <w:p w14:paraId="742BA9D2" w14:textId="77777777" w:rsidR="004537AE" w:rsidRDefault="004537AE" w:rsidP="004537AE">
      <w:pPr>
        <w:pStyle w:val="ACMABodyText"/>
      </w:pPr>
      <w:r>
        <w:t xml:space="preserve">20. Further, or in the alternative, Nine notes that the Code does permit </w:t>
      </w:r>
      <w:r w:rsidRPr="00B95D6A">
        <w:rPr>
          <w:i/>
          <w:iCs/>
        </w:rPr>
        <w:t>‘a critical examination of or comment on a controversial issue as part of a fair report on a matter of public interest’</w:t>
      </w:r>
      <w:r>
        <w:t>. Nine submits that the dispute covered in the Report was firmly in the public interest as it dealt with the issue of gun ownership and thereby related matters of public safety and individual liberties. The Report included comments from both gun owners and supporters of gun control as they provided their perspectives on the classification and legality of the Firearm. On this basis, Nine submits that the Report contained comments on a controversial issue and the Report itself did not express any preference for either perspective, but rather objectively presented the material as part of a fair report on a matter of public interest. Accordingly, the Report would comply with the impartiality requirements in clause 3.4.2 of the Code.</w:t>
      </w:r>
    </w:p>
    <w:p w14:paraId="4A1EE3C9" w14:textId="77777777" w:rsidR="004537AE" w:rsidRPr="00B95D6A" w:rsidRDefault="004537AE" w:rsidP="004537AE">
      <w:pPr>
        <w:pStyle w:val="ACMABodyText"/>
        <w:rPr>
          <w:b/>
          <w:bCs/>
          <w:u w:val="single"/>
        </w:rPr>
      </w:pPr>
      <w:r w:rsidRPr="00B95D6A">
        <w:rPr>
          <w:b/>
          <w:bCs/>
          <w:u w:val="single"/>
        </w:rPr>
        <w:t>The Promotions</w:t>
      </w:r>
    </w:p>
    <w:p w14:paraId="1E1571A9" w14:textId="77777777" w:rsidR="004537AE" w:rsidRPr="00B95D6A" w:rsidRDefault="004537AE" w:rsidP="004537AE">
      <w:pPr>
        <w:pStyle w:val="ACMABodyText"/>
        <w:rPr>
          <w:i/>
          <w:iCs/>
        </w:rPr>
      </w:pPr>
      <w:r>
        <w:t xml:space="preserve">21. With respect to the Promotions, the Complaint contends they unfairly and inaccurately described the Firearm as </w:t>
      </w:r>
      <w:r w:rsidRPr="00B95D6A">
        <w:rPr>
          <w:i/>
          <w:iCs/>
        </w:rPr>
        <w:t>‘looking like a machine gun’</w:t>
      </w:r>
      <w:r>
        <w:t xml:space="preserve">, </w:t>
      </w:r>
      <w:r w:rsidRPr="00B95D6A">
        <w:rPr>
          <w:i/>
          <w:iCs/>
        </w:rPr>
        <w:t>‘firing like a machine-gun’</w:t>
      </w:r>
      <w:r>
        <w:t>, ‘</w:t>
      </w:r>
      <w:r w:rsidRPr="00B95D6A">
        <w:rPr>
          <w:i/>
          <w:iCs/>
        </w:rPr>
        <w:t>killing like a machine-gun</w:t>
      </w:r>
      <w:r>
        <w:t xml:space="preserve">’, and being a </w:t>
      </w:r>
      <w:r w:rsidRPr="00B95D6A">
        <w:rPr>
          <w:i/>
          <w:iCs/>
        </w:rPr>
        <w:t>‘murder weapon’</w:t>
      </w:r>
      <w:r>
        <w:t>. Additionally, it is alleged the Promotions implied the Firearm was available for purchase over the counter. Finally, concerns are raised in relation to the inclusion of footage depicting ‘</w:t>
      </w:r>
      <w:r w:rsidRPr="00B95D6A">
        <w:rPr>
          <w:i/>
          <w:iCs/>
        </w:rPr>
        <w:t>fully automatic weapons’</w:t>
      </w:r>
      <w:r>
        <w:t xml:space="preserve"> which were </w:t>
      </w:r>
      <w:r w:rsidRPr="00B95D6A">
        <w:rPr>
          <w:i/>
          <w:iCs/>
        </w:rPr>
        <w:t>‘not in any way representative of the gun in the story’.</w:t>
      </w:r>
    </w:p>
    <w:p w14:paraId="37B6197E" w14:textId="77777777" w:rsidR="004537AE" w:rsidRPr="00B95D6A" w:rsidRDefault="004537AE" w:rsidP="004537AE">
      <w:pPr>
        <w:pStyle w:val="ACMABodyText"/>
        <w:rPr>
          <w:i/>
          <w:iCs/>
        </w:rPr>
      </w:pPr>
      <w:r>
        <w:t xml:space="preserve">22. The promotion specified at paragraphs 2(a) and 2(b) referred to the Report for approximately 18 seconds. These promotions contained images and footage of long-barrelled firearms with a voiceover stating, </w:t>
      </w:r>
      <w:r w:rsidRPr="00B95D6A">
        <w:rPr>
          <w:i/>
          <w:iCs/>
        </w:rPr>
        <w:t>‘it looks like a machine gun, it shoots like a machine gun, it kills like a machine gun and Queenslanders can own one. Why is this murder weapon legal in Queensland?’.</w:t>
      </w:r>
    </w:p>
    <w:p w14:paraId="5FFCB9FC" w14:textId="77777777" w:rsidR="004537AE" w:rsidRPr="00B95D6A" w:rsidRDefault="004537AE" w:rsidP="004537AE">
      <w:pPr>
        <w:pStyle w:val="ACMABodyText"/>
        <w:rPr>
          <w:i/>
          <w:iCs/>
        </w:rPr>
      </w:pPr>
      <w:r>
        <w:t xml:space="preserve">23. The promotion specified at paragraph 2(c)2(a) referred to the Report for 6 seconds. lt contained footage and images of long-barrelled firearms with a voiceover stating, </w:t>
      </w:r>
      <w:r w:rsidRPr="00B95D6A">
        <w:rPr>
          <w:i/>
          <w:iCs/>
        </w:rPr>
        <w:t>'it kills like a machine gun, the terrifying weapon Queenslanders can legally own’.</w:t>
      </w:r>
    </w:p>
    <w:p w14:paraId="7D77CFC3" w14:textId="07E96A44" w:rsidR="004537AE" w:rsidRDefault="004537AE" w:rsidP="004537AE">
      <w:pPr>
        <w:pStyle w:val="ACMABodyText"/>
      </w:pPr>
      <w:r>
        <w:t>24. The promotion specified at paragraph 2(d) referred to the Report for 22 seconds. lt contained a live-cross to a reporter who provided some brief information about the Report. lt stated the upcoming Report would deal with ‘</w:t>
      </w:r>
      <w:r w:rsidRPr="00B95D6A">
        <w:rPr>
          <w:i/>
          <w:iCs/>
        </w:rPr>
        <w:t>a battle growing about what was, in essence, a high-powered machine gun, but was classified in Queensland as a pistol’</w:t>
      </w:r>
      <w:r>
        <w:t xml:space="preserve">. The reporter also stated, </w:t>
      </w:r>
      <w:r w:rsidRPr="00B95D6A">
        <w:rPr>
          <w:i/>
          <w:iCs/>
        </w:rPr>
        <w:t>‘tonight we meet one of the owners of these weapons and hear about how they're arming themselves, preparing for a fight over a decision they say is completely unjust’</w:t>
      </w:r>
      <w:r>
        <w:t xml:space="preserve">. This was accompanied with footage and images of </w:t>
      </w:r>
      <w:r w:rsidR="00B95D6A">
        <w:t xml:space="preserve">a </w:t>
      </w:r>
      <w:r>
        <w:t>long-barrelled firearm.</w:t>
      </w:r>
    </w:p>
    <w:p w14:paraId="786A5629" w14:textId="77777777" w:rsidR="004537AE" w:rsidRDefault="004537AE" w:rsidP="004537AE">
      <w:pPr>
        <w:pStyle w:val="ACMABodyText"/>
      </w:pPr>
      <w:r>
        <w:lastRenderedPageBreak/>
        <w:t>25. The promotion specified at paragraph 2(e)2(e) referred to the Report for 5 seconds. lt contained images and footage of both the Firearm and a long-barrelled firearm, and was accompanied with a voiceover stating, ‘</w:t>
      </w:r>
      <w:r w:rsidRPr="00D3019B">
        <w:rPr>
          <w:i/>
          <w:iCs/>
        </w:rPr>
        <w:t>the high-powered weapon Queenslanders are fighting to own’</w:t>
      </w:r>
      <w:r>
        <w:t>.</w:t>
      </w:r>
    </w:p>
    <w:p w14:paraId="22785982" w14:textId="77777777" w:rsidR="004537AE" w:rsidRDefault="004537AE" w:rsidP="004537AE">
      <w:pPr>
        <w:pStyle w:val="ACMABodyText"/>
      </w:pPr>
      <w:r>
        <w:t>26. The promotion specified at paragraph 2(f)2(f) referred to the Report for 11 seconds. lt contained a voiceover which stated ‘</w:t>
      </w:r>
      <w:r w:rsidRPr="00D3019B">
        <w:rPr>
          <w:i/>
          <w:iCs/>
        </w:rPr>
        <w:t>it looks like a machine gun, fires like a machine gun and it can kill. So why is it perfectly legal for Queenslanders to own one?</w:t>
      </w:r>
      <w:r>
        <w:t>’. This was accompanied by images and footage of the Firearm as well as graphics of a long-barrelled firearm.</w:t>
      </w:r>
    </w:p>
    <w:p w14:paraId="7E0E9861" w14:textId="77777777" w:rsidR="004537AE" w:rsidRDefault="004537AE" w:rsidP="004537AE">
      <w:pPr>
        <w:pStyle w:val="ACMABodyText"/>
      </w:pPr>
      <w:r>
        <w:t xml:space="preserve">27. At the outset, Nine notes that under clause 3.6.1 of the Code, a Program Promotion is only required to comply with the requirements of Section 3 </w:t>
      </w:r>
      <w:r w:rsidRPr="009F5A40">
        <w:rPr>
          <w:i/>
          <w:iCs/>
        </w:rPr>
        <w:t>‘as far as practicable, having regard to its brevity’</w:t>
      </w:r>
      <w:r>
        <w:t>. As such, regard must be given to the short duration of these Promotions and the information presented in them must be viewed against the information contained in the actual Report. Given the Promotions referred to the Report for between 5 and 22 seconds, it was only possible for them to provide an extremely concise amount of information on the content that would be dealt with in the upcoming Report. With these time constraints in mind, Nine submits the Promotions accurately indicated to viewers that the Report would deal with a firearm that had similarities to machine guns and that could be purchased by Queenslanders.</w:t>
      </w:r>
    </w:p>
    <w:p w14:paraId="10F8BE5F" w14:textId="77777777" w:rsidR="004537AE" w:rsidRDefault="004537AE" w:rsidP="004537AE">
      <w:pPr>
        <w:pStyle w:val="ACMABodyText"/>
      </w:pPr>
      <w:r>
        <w:t>28. Furthermore, the qualification contained in clause 3.6.2 of the Code does not require Program Promotions to portray all aspects or themes of a segment, nor does it require the inclusion of all viewpoints contained in the segment. Based on this clause alone, Nine submits the Promotions were not required present each and every viewpoint contained in the Report, nor were they required to depict all aspects and themes which would be covered by the Report. Further, even in the absence of clause 3.6.2, Nine submits that due to their fleeting duration, it would not be practicable for the Promotions present all the relevant information and context which was in fact presented in the Report.</w:t>
      </w:r>
    </w:p>
    <w:p w14:paraId="31AC032D" w14:textId="77777777" w:rsidR="004537AE" w:rsidRDefault="004537AE" w:rsidP="004537AE">
      <w:pPr>
        <w:pStyle w:val="ACMABodyText"/>
      </w:pPr>
      <w:r>
        <w:t>29. With respect to the language used in the Promotions, only two promotions specifically referred to the Firearm as a ‘murder weapon’, those being the promotions in paragraph 2(a) and 2(b), and although they did not use the words ‘murder weapon’, the promotions at 2(c) and 2(f) did include references to the Firearm being capable of causing death – ‘</w:t>
      </w:r>
      <w:r w:rsidRPr="005472CF">
        <w:rPr>
          <w:i/>
          <w:iCs/>
        </w:rPr>
        <w:t>it kills like a machine gun’</w:t>
      </w:r>
      <w:r>
        <w:t xml:space="preserve"> and </w:t>
      </w:r>
      <w:r w:rsidRPr="005472CF">
        <w:rPr>
          <w:i/>
          <w:iCs/>
        </w:rPr>
        <w:t>‘it can kill’</w:t>
      </w:r>
      <w:r>
        <w:t>. The Complaint contends the Firearm has not been used to commit a crime, or to murder anyone and therefore such language and characterisation is inaccurate and unfair.</w:t>
      </w:r>
    </w:p>
    <w:p w14:paraId="2F02A5D2" w14:textId="77777777" w:rsidR="004537AE" w:rsidRDefault="004537AE" w:rsidP="004537AE">
      <w:pPr>
        <w:pStyle w:val="ACMABodyText"/>
      </w:pPr>
      <w:r>
        <w:t xml:space="preserve">30. Firstly, </w:t>
      </w:r>
      <w:bookmarkStart w:id="11" w:name="_Hlk22637819"/>
      <w:r>
        <w:t xml:space="preserve">the statement that the Firearm has never been used to commit a crime or a murder is currently unsubstantiated assertion and thus cannot be accepted by the ACMA as a verified fact. Additionally, the mere assertion that the Firearm has not been used in a particular way does not render it inaccurate to state it can be used in a particular way. lndeed, both a machine gun and the Firearm are, by virtue of being firearms, capable of causing a fatality. </w:t>
      </w:r>
      <w:bookmarkEnd w:id="11"/>
      <w:r>
        <w:t>Nine therefore submits these promotions were not inaccurate in stating the Firearm could kill or suggesting it could be a ‘murder weapon’. Finally, the precise purpose for which the Firearm has previously been used and the question of whether the Firearm has in fact been used to commit a crime or a murder are ultimately not material facts of either Promotions or the Report. ln these circumstances, the accuracy requirements of the Code would not be applicable by virtue of clause 3.3.2.</w:t>
      </w:r>
    </w:p>
    <w:p w14:paraId="13A04647" w14:textId="77777777" w:rsidR="004537AE" w:rsidRDefault="004537AE" w:rsidP="004537AE">
      <w:pPr>
        <w:pStyle w:val="ACMABodyText"/>
      </w:pPr>
      <w:r>
        <w:t xml:space="preserve">31. ln relation the alleged implication that the Firearm was available </w:t>
      </w:r>
      <w:r w:rsidRPr="005472CF">
        <w:rPr>
          <w:i/>
          <w:iCs/>
        </w:rPr>
        <w:t>‘over the counter to anyone who wanted one’</w:t>
      </w:r>
      <w:r>
        <w:t>, the Promotions did not expressly state or imply that every Queenslander could buy such a weapon or that it was obtainable without any restriction. The Promotions only stated that Queenslanders could legally own the weapon – ‘...</w:t>
      </w:r>
      <w:r w:rsidRPr="005472CF">
        <w:rPr>
          <w:i/>
          <w:iCs/>
        </w:rPr>
        <w:t>Queenslanders can own one. Why is this murder weapon legal in Queensland?’, ‘the terrifying weapon Queenslanders can legally own’</w:t>
      </w:r>
      <w:r>
        <w:t xml:space="preserve">, and </w:t>
      </w:r>
      <w:r w:rsidRPr="005472CF">
        <w:rPr>
          <w:i/>
          <w:iCs/>
        </w:rPr>
        <w:t xml:space="preserve">‘So why is it perfectly legal for Queenslanders to own </w:t>
      </w:r>
      <w:r w:rsidRPr="005472CF">
        <w:rPr>
          <w:i/>
          <w:iCs/>
        </w:rPr>
        <w:lastRenderedPageBreak/>
        <w:t>one?’.</w:t>
      </w:r>
      <w:r>
        <w:t xml:space="preserve"> Nine submits it is a matter of fact that the Firearm is capable of being legally purchased and owned in Queensland. lndeed, the Report itself goes on to inform viewers that for a brief period, sports shooters could purchase the Firearm when it was classed as Category H, but now the Firearm can only be purchased by professionals given its reclassification as a Category D firearm. In either case, Nine submits it was and remains accurate for the Promotions to state that the firearm being alluded to in the Promotions could be purchased legally in Queensland.</w:t>
      </w:r>
    </w:p>
    <w:p w14:paraId="06B4D53B" w14:textId="2056E050" w:rsidR="004537AE" w:rsidRDefault="004537AE" w:rsidP="004537AE">
      <w:pPr>
        <w:pStyle w:val="ACMABodyText"/>
      </w:pPr>
      <w:r>
        <w:t xml:space="preserve">32. Finally, Nine submits it was neither inaccurate nor unfair for the Promotions to make verbal and visual references to long-barrelled weapons such as machine guns, particularly due to clause 3.6.2 of the Code. </w:t>
      </w:r>
      <w:bookmarkStart w:id="12" w:name="_Hlk23844166"/>
      <w:r>
        <w:t>While images of the Firearm at the centre of the Report were not included in the promotions at paragraphs 2(a) to 2(d), Nine notes there was no requirement for such images to be included -</w:t>
      </w:r>
      <w:r w:rsidR="005472CF">
        <w:t xml:space="preserve"> </w:t>
      </w:r>
      <w:r w:rsidRPr="005472CF">
        <w:rPr>
          <w:i/>
          <w:iCs/>
        </w:rPr>
        <w:t xml:space="preserve">'A Licensee is not required by this clause to portray all aspects or themes of a Program or Program segment in a Program Promotion’ </w:t>
      </w:r>
      <w:r>
        <w:t>(clause 3.6.2). Moreover, it is common for program promotions not to reveal central details of a program or segment in order to entice viewers to watch the full program. Nine therefore submits it was not misleading for images of the Firearm to be excluded from the Promotions at paragraphs 2(a) to 2(d).</w:t>
      </w:r>
    </w:p>
    <w:bookmarkEnd w:id="12"/>
    <w:p w14:paraId="6264FE31" w14:textId="77777777" w:rsidR="004537AE" w:rsidRDefault="004537AE" w:rsidP="004537AE">
      <w:pPr>
        <w:pStyle w:val="ACMABodyText"/>
      </w:pPr>
      <w:r>
        <w:t>33. The Report itself was also fundamentally concerned with a dispute over the appropriate classification of the Firearm - specifically, whether it was more akin to a pistol (as argued by gun owners) or to long barrelled firearms such as machine guns or assault rifles (as argued by Queensland Police and anti-gun groups). Given the very features and capabilities of the Firearm were the subject of dispute between the parties, the Promotions' allusions to the mystery weapon in question as having similarities to a machine gun accurately presented the contention that would be elaborated on in the Report. Nine therefore submits the verbal and visual references to machine guns in the Promotions were accurate and justified given the premise of the Report.</w:t>
      </w:r>
    </w:p>
    <w:p w14:paraId="57787BC2" w14:textId="77777777" w:rsidR="004537AE" w:rsidRDefault="004537AE" w:rsidP="004537AE">
      <w:pPr>
        <w:pStyle w:val="ACMABodyText"/>
      </w:pPr>
      <w:r>
        <w:t>34. The accuracy of these allusions is also further reinforced by the fact that Queensland Police have currently classed the Firearm as akin to an assault rifle (see Annexure A), a weapon which would be commonly understood by ordinary reasonable viewers as a ‘machine gun’. ln making these allusions to other guns, Nine maintains the Promotions accurately represented the current position of the Queensland Police and anti-gun groups on the style of weapons that were similar to the Firearm. ln this regard, the qualification of the accuracy and fairness requirements by clause 3.6.2 of the Code would again apply. Moreover, the full Report did state the classification of the Firearm remained in dispute and was currently being assessed by the Queensland Civil and Administrative Tribunal. With this in mind, Nine submits the specific contentions about the features and capabilities of the Firearm essentially constituted the viewpoint of gun owners on the matter in dispute. Accordingly, those assertions would not form matters of factual accuracy per se and their omission from the Promotions would not constitute a breach of the Code due to clause 3.6.2.</w:t>
      </w:r>
    </w:p>
    <w:p w14:paraId="4430B923" w14:textId="77777777" w:rsidR="004537AE" w:rsidRDefault="004537AE" w:rsidP="004537AE">
      <w:pPr>
        <w:pStyle w:val="ACMABodyText"/>
      </w:pPr>
      <w:r>
        <w:t>35. To the extent the Complaint alleges the Promotions were unfair by virtue of not including specific reference to the intricacies of the Firearm's firing capacities, Nine does note that the promotion in paragraph 2(d) did explicitly state that the Report would include comments from gun owners who considered the reclassification to be ‘</w:t>
      </w:r>
      <w:r w:rsidRPr="005472CF">
        <w:rPr>
          <w:i/>
          <w:iCs/>
        </w:rPr>
        <w:t>completely unjust’</w:t>
      </w:r>
      <w:r>
        <w:t>. Notwithstanding this, Nine respectfully refers the ACMA to clause 3.6 of the Code and submits that the Promotions were not required to include these statements by virtue of their brief duration and the requirements of clause 3.6.2.</w:t>
      </w:r>
    </w:p>
    <w:p w14:paraId="1C3B50A1" w14:textId="77777777" w:rsidR="004537AE" w:rsidRPr="005472CF" w:rsidRDefault="004537AE" w:rsidP="004537AE">
      <w:pPr>
        <w:pStyle w:val="ACMABodyText"/>
        <w:rPr>
          <w:b/>
          <w:bCs/>
          <w:u w:val="single"/>
        </w:rPr>
      </w:pPr>
      <w:r w:rsidRPr="005472CF">
        <w:rPr>
          <w:b/>
          <w:bCs/>
          <w:u w:val="single"/>
        </w:rPr>
        <w:t>Conclusion</w:t>
      </w:r>
    </w:p>
    <w:p w14:paraId="484A3E9A" w14:textId="582FC983" w:rsidR="006D2356" w:rsidRDefault="004537AE" w:rsidP="004537AE">
      <w:pPr>
        <w:pStyle w:val="ACMABodyText"/>
      </w:pPr>
      <w:r>
        <w:t xml:space="preserve">36. For the reasons articulated above, Nine maintains the Report did in fact adhere to the Code by accurately reporting on the classification dispute involving the Firearm and presenting the competing perspectives objectively. Nine also maintains the Promotions </w:t>
      </w:r>
      <w:r>
        <w:lastRenderedPageBreak/>
        <w:t>adhered to the accuracy and impartiality requirements of the Code, particularly noting the qualifications set out in clause 3.6. Nine therefore denies any breach of the Code in this instance.</w:t>
      </w:r>
    </w:p>
    <w:p w14:paraId="3C5281DA" w14:textId="0577D7B6" w:rsidR="000219F2" w:rsidRDefault="000219F2" w:rsidP="004537AE">
      <w:pPr>
        <w:pStyle w:val="ACMABodyText"/>
      </w:pPr>
      <w:r>
        <w:t xml:space="preserve">[The licensee provided QLD police documents </w:t>
      </w:r>
      <w:r w:rsidR="00BB1820">
        <w:t>with these submissions. They</w:t>
      </w:r>
      <w:r>
        <w:t xml:space="preserve"> are not included in this report.]</w:t>
      </w:r>
    </w:p>
    <w:p w14:paraId="4E968465" w14:textId="419FBAF5" w:rsidR="003B644C" w:rsidRDefault="003B644C" w:rsidP="004537AE">
      <w:pPr>
        <w:pStyle w:val="ACMABodyText"/>
        <w:rPr>
          <w:b/>
          <w:i/>
        </w:rPr>
      </w:pPr>
      <w:r w:rsidRPr="006B1421">
        <w:rPr>
          <w:b/>
          <w:i/>
        </w:rPr>
        <w:t>Extracts from the Licensee submission to the ACMA dated</w:t>
      </w:r>
      <w:r>
        <w:rPr>
          <w:b/>
          <w:i/>
        </w:rPr>
        <w:t xml:space="preserve"> 17 January 2020</w:t>
      </w:r>
    </w:p>
    <w:p w14:paraId="5F0CE9C9" w14:textId="77777777" w:rsidR="003B644C" w:rsidRPr="00077823" w:rsidRDefault="003B644C" w:rsidP="003B644C">
      <w:pPr>
        <w:pStyle w:val="ACMABodyText"/>
        <w:rPr>
          <w:b/>
          <w:bCs/>
          <w:u w:val="single"/>
        </w:rPr>
      </w:pPr>
      <w:r w:rsidRPr="00077823">
        <w:rPr>
          <w:b/>
          <w:bCs/>
          <w:u w:val="single"/>
        </w:rPr>
        <w:t>The ACMA's preliminary findings</w:t>
      </w:r>
    </w:p>
    <w:p w14:paraId="0D719CD0" w14:textId="5D657D2D" w:rsidR="003B644C" w:rsidRDefault="003B644C" w:rsidP="003B644C">
      <w:pPr>
        <w:pStyle w:val="ACMABodyText"/>
      </w:pPr>
      <w:r>
        <w:t>1.</w:t>
      </w:r>
      <w:r w:rsidR="00077823">
        <w:t xml:space="preserve"> </w:t>
      </w:r>
      <w:r>
        <w:t>The Findings indicate the ACMA considers:</w:t>
      </w:r>
    </w:p>
    <w:p w14:paraId="50DF2023" w14:textId="342C8FFA" w:rsidR="003B644C" w:rsidRDefault="003B644C" w:rsidP="00077823">
      <w:pPr>
        <w:pStyle w:val="ACMABodyText"/>
        <w:ind w:left="720"/>
      </w:pPr>
      <w:r>
        <w:t>(a)</w:t>
      </w:r>
      <w:r w:rsidR="00077823">
        <w:t xml:space="preserve"> </w:t>
      </w:r>
      <w:r>
        <w:t xml:space="preserve">it was inaccurate for the mid-bulletin tease for the Report to state </w:t>
      </w:r>
      <w:r w:rsidR="003337C2">
        <w:t>‘</w:t>
      </w:r>
      <w:r w:rsidRPr="003337C2">
        <w:rPr>
          <w:i/>
          <w:iCs/>
        </w:rPr>
        <w:t>it fires like a machine gun</w:t>
      </w:r>
      <w:r w:rsidR="003337C2">
        <w:t>’</w:t>
      </w:r>
      <w:r>
        <w:t>;</w:t>
      </w:r>
    </w:p>
    <w:p w14:paraId="3D4DEC24" w14:textId="21F55857" w:rsidR="003B644C" w:rsidRDefault="003B644C" w:rsidP="00077823">
      <w:pPr>
        <w:pStyle w:val="ACMABodyText"/>
        <w:ind w:left="720"/>
      </w:pPr>
      <w:r>
        <w:t>(b)</w:t>
      </w:r>
      <w:r w:rsidR="00077823">
        <w:t xml:space="preserve"> </w:t>
      </w:r>
      <w:r>
        <w:t xml:space="preserve">the statement in the Promotions that </w:t>
      </w:r>
      <w:r w:rsidR="003337C2">
        <w:t>‘</w:t>
      </w:r>
      <w:r w:rsidRPr="003337C2">
        <w:rPr>
          <w:i/>
          <w:iCs/>
        </w:rPr>
        <w:t>it shoots like a machine gun, it kills like a machine gun</w:t>
      </w:r>
      <w:r w:rsidR="003337C2">
        <w:t>’</w:t>
      </w:r>
      <w:r>
        <w:t xml:space="preserve"> was inaccurate; and</w:t>
      </w:r>
    </w:p>
    <w:p w14:paraId="6457B091" w14:textId="54298CB7" w:rsidR="003B644C" w:rsidRDefault="003B644C" w:rsidP="00077823">
      <w:pPr>
        <w:pStyle w:val="ACMABodyText"/>
        <w:ind w:left="720"/>
      </w:pPr>
      <w:r>
        <w:t>(c)</w:t>
      </w:r>
      <w:r w:rsidR="00077823">
        <w:t xml:space="preserve"> </w:t>
      </w:r>
      <w:r>
        <w:t>the Promotions were impermissibly impartial because they:</w:t>
      </w:r>
    </w:p>
    <w:p w14:paraId="701AFA7B" w14:textId="3F7E5827" w:rsidR="003B644C" w:rsidRDefault="003B644C" w:rsidP="00077823">
      <w:pPr>
        <w:pStyle w:val="ACMABodyText"/>
        <w:ind w:left="1440"/>
      </w:pPr>
      <w:r>
        <w:t>(i)</w:t>
      </w:r>
      <w:r w:rsidR="00077823">
        <w:t xml:space="preserve"> </w:t>
      </w:r>
      <w:r>
        <w:t>included verbal and visual material that depicted weapons with automatic firing capabilities, thereby suggesting the Firearm had automatic firing capabilities; and</w:t>
      </w:r>
    </w:p>
    <w:p w14:paraId="16325044" w14:textId="1ADD464C" w:rsidR="003B644C" w:rsidRDefault="003B644C" w:rsidP="00077823">
      <w:pPr>
        <w:pStyle w:val="ACMABodyText"/>
        <w:ind w:left="1440"/>
      </w:pPr>
      <w:r>
        <w:t>(ii)</w:t>
      </w:r>
      <w:r w:rsidR="00077823">
        <w:t xml:space="preserve"> </w:t>
      </w:r>
      <w:r>
        <w:t xml:space="preserve">used </w:t>
      </w:r>
      <w:r w:rsidR="003337C2">
        <w:t>‘</w:t>
      </w:r>
      <w:r w:rsidRPr="003337C2">
        <w:rPr>
          <w:i/>
          <w:iCs/>
        </w:rPr>
        <w:t>terms such as 'kill' and 'murder' to emphasise a threatening tone without referring to the dispute over the weapon's classification</w:t>
      </w:r>
      <w:r w:rsidR="003337C2" w:rsidRPr="003337C2">
        <w:rPr>
          <w:i/>
          <w:iCs/>
        </w:rPr>
        <w:t>’</w:t>
      </w:r>
      <w:r>
        <w:t>.</w:t>
      </w:r>
    </w:p>
    <w:p w14:paraId="233DFCF3" w14:textId="77777777" w:rsidR="003B644C" w:rsidRPr="00077823" w:rsidRDefault="003B644C" w:rsidP="003B644C">
      <w:pPr>
        <w:pStyle w:val="ACMABodyText"/>
        <w:rPr>
          <w:b/>
          <w:bCs/>
          <w:u w:val="single"/>
        </w:rPr>
      </w:pPr>
      <w:r w:rsidRPr="00077823">
        <w:rPr>
          <w:b/>
          <w:bCs/>
          <w:u w:val="single"/>
        </w:rPr>
        <w:t>Accuracy in the Report</w:t>
      </w:r>
    </w:p>
    <w:p w14:paraId="05B1F17A" w14:textId="1DD10181" w:rsidR="00077823" w:rsidRDefault="003B644C" w:rsidP="00077823">
      <w:pPr>
        <w:pStyle w:val="ACMABodyText"/>
      </w:pPr>
      <w:r>
        <w:t>2.</w:t>
      </w:r>
      <w:r w:rsidR="00077823">
        <w:t xml:space="preserve"> </w:t>
      </w:r>
      <w:r>
        <w:t>In finding the Report inaccurate, the ACMA's reasoning appears to rely on the fundamental premise that the ordinary reasonable viewer would understand the distinctive feature of a 'machine gun' to be its capacity to fire bullets continuously so long as the trigger is pressed, as opposed to a 'semi-automatic</w:t>
      </w:r>
      <w:r w:rsidR="00077823" w:rsidRPr="00077823">
        <w:t xml:space="preserve"> </w:t>
      </w:r>
      <w:r w:rsidR="00077823">
        <w:t>weapon' being one that automatically loads bullets, but only fires one bullet each time the trigger is pulled. Nine submits that drawing this distinction requires a degree of technical understanding about the operation of various classes and sub-classes of firearms that is unlikely to be innate to the ordinary reasonable viewer.</w:t>
      </w:r>
    </w:p>
    <w:p w14:paraId="74BC9B87" w14:textId="6746D4FB" w:rsidR="00077823" w:rsidRPr="003337C2" w:rsidRDefault="00077823" w:rsidP="00077823">
      <w:pPr>
        <w:pStyle w:val="ACMABodyText"/>
        <w:rPr>
          <w:i/>
          <w:iCs/>
        </w:rPr>
      </w:pPr>
      <w:r>
        <w:t xml:space="preserve">3. This fundamental premise of the ACMA's reasoning is particularly problematic in circumstances where the Findings simultaneously acknowledge and positively accept that the ordinary reasonable viewer is capable of having a somewhat conflated understanding of firearms, for example: basic features such as a firearm's physical appearance - </w:t>
      </w:r>
      <w:r w:rsidR="003337C2">
        <w:t>‘</w:t>
      </w:r>
      <w:r w:rsidRPr="003337C2">
        <w:rPr>
          <w:i/>
          <w:iCs/>
        </w:rPr>
        <w:t>the ACMA acknowledges that from popular culture, the ordinary reasonable viewer may visualise a 'machine gun' to be a weapon similar to an AK-47 with features such as a large magazine protruding from the bottom of the weapon'</w:t>
      </w:r>
      <w:r w:rsidR="003337C2" w:rsidRPr="003337C2">
        <w:rPr>
          <w:i/>
          <w:iCs/>
        </w:rPr>
        <w:t>.</w:t>
      </w:r>
    </w:p>
    <w:p w14:paraId="6C649330" w14:textId="0F64987A" w:rsidR="00077823" w:rsidRDefault="00077823" w:rsidP="00077823">
      <w:pPr>
        <w:pStyle w:val="ACMABodyText"/>
      </w:pPr>
      <w:r>
        <w:t>4. If the ACMA accepts the ordinary reasonable viewer is capable of having a conflated understanding about automatic and semi-automatic firearms based on visual appearance, Nine submits the more technical distinctions between firearms (such as their precise firing mechanisms) goes beyond the understanding that the ACMA can reasonably attribute to the ordinary reasonable viewer.</w:t>
      </w:r>
    </w:p>
    <w:p w14:paraId="7856DECD" w14:textId="49F35E01" w:rsidR="00077823" w:rsidRDefault="00077823" w:rsidP="00077823">
      <w:pPr>
        <w:pStyle w:val="ACMABodyText"/>
      </w:pPr>
      <w:r>
        <w:t xml:space="preserve">5. Indeed, while the complainant may have an awareness of this technical distinction, it should be noted that the complainant is a member of </w:t>
      </w:r>
      <w:r w:rsidR="009969AC">
        <w:t>[…]</w:t>
      </w:r>
      <w:r>
        <w:t xml:space="preserve"> and is therefore likely to have a significant level of technical knowledge and/or expertise about firearms. Nine submits this </w:t>
      </w:r>
      <w:r>
        <w:lastRenderedPageBreak/>
        <w:t>knowledge about precise firing capacities of firearms should not be automatically extended to the ordinary reasonable viewer.</w:t>
      </w:r>
    </w:p>
    <w:p w14:paraId="35595CB4" w14:textId="414ABBC8" w:rsidR="00077823" w:rsidRDefault="00077823" w:rsidP="00077823">
      <w:pPr>
        <w:pStyle w:val="ACMABodyText"/>
      </w:pPr>
      <w:r>
        <w:t xml:space="preserve">6. Nine also contends the statement </w:t>
      </w:r>
      <w:r w:rsidR="003337C2">
        <w:t>‘</w:t>
      </w:r>
      <w:r w:rsidRPr="003337C2">
        <w:rPr>
          <w:i/>
          <w:iCs/>
        </w:rPr>
        <w:t>it fires like a machine gun</w:t>
      </w:r>
      <w:r w:rsidR="003337C2" w:rsidRPr="003337C2">
        <w:rPr>
          <w:i/>
          <w:iCs/>
        </w:rPr>
        <w:t>’</w:t>
      </w:r>
      <w:r>
        <w:t xml:space="preserve"> was not a material fact of the Report, particularly given the context of the material reclassification dispute that was the subject of the Report.</w:t>
      </w:r>
    </w:p>
    <w:p w14:paraId="6264A70F" w14:textId="16741F73" w:rsidR="00077823" w:rsidRDefault="00077823" w:rsidP="00077823">
      <w:pPr>
        <w:pStyle w:val="ACMABodyText"/>
      </w:pPr>
      <w:r>
        <w:t xml:space="preserve">7. The Findings state </w:t>
      </w:r>
      <w:r w:rsidR="003337C2">
        <w:t>‘</w:t>
      </w:r>
      <w:r w:rsidRPr="003337C2">
        <w:rPr>
          <w:i/>
          <w:iCs/>
        </w:rPr>
        <w:t xml:space="preserve">The report was about a dispute associated with the reclassification of the WT 15-01, which reduced the availability of the firearm to a restricted group of people. The firing capacity of a firearm is a determinant in its </w:t>
      </w:r>
      <w:r w:rsidR="003337C2" w:rsidRPr="003337C2">
        <w:rPr>
          <w:i/>
          <w:iCs/>
        </w:rPr>
        <w:t>classification.</w:t>
      </w:r>
      <w:r w:rsidRPr="003337C2">
        <w:rPr>
          <w:i/>
          <w:iCs/>
        </w:rPr>
        <w:t xml:space="preserve"> Therefore, the factual assertion that the WT 15-01 'fires like a machine gun' was a material fact in the context of the report</w:t>
      </w:r>
      <w:r w:rsidR="003337C2" w:rsidRPr="003337C2">
        <w:rPr>
          <w:i/>
          <w:iCs/>
        </w:rPr>
        <w:t>’</w:t>
      </w:r>
      <w:r w:rsidR="003337C2">
        <w:t>.</w:t>
      </w:r>
    </w:p>
    <w:p w14:paraId="5B33C7A9" w14:textId="78569085" w:rsidR="00077823" w:rsidRDefault="00077823" w:rsidP="00077823">
      <w:pPr>
        <w:pStyle w:val="ACMABodyText"/>
      </w:pPr>
      <w:r>
        <w:t xml:space="preserve">8. Nine submits the ACMA's reasoning in the paragraph above contains a significant logical leap that is not substantiated. Simply asserting that </w:t>
      </w:r>
      <w:r w:rsidR="003337C2">
        <w:t>‘</w:t>
      </w:r>
      <w:r w:rsidRPr="003337C2">
        <w:rPr>
          <w:i/>
          <w:iCs/>
        </w:rPr>
        <w:t>firing capacity of a firearm is a determinant in its classification</w:t>
      </w:r>
      <w:r w:rsidR="003337C2">
        <w:t>’</w:t>
      </w:r>
      <w:r>
        <w:t xml:space="preserve"> does not support the further premise that firing capacity (ie. the number of shots fired per trigger pull) was the material consideration in the reclassification dispute over the Firearm, such that it becomes a material fact in the context of the Report. Nine notes the ACMA has provided no evidence to verify its assertion that firing capacity was a materially relevant determinant in the classification of the Firearm such as to render it a material fact of the Report for the purposes of clause 3.3.</w:t>
      </w:r>
    </w:p>
    <w:p w14:paraId="718203F9" w14:textId="258DCCBE" w:rsidR="00077823" w:rsidRDefault="00077823" w:rsidP="00077823">
      <w:pPr>
        <w:pStyle w:val="ACMABodyText"/>
      </w:pPr>
      <w:r>
        <w:t>9. Crucially, the reclassification dispute covered by the Report was not about the firing capacity of the Firearm (ie the number of shots fired per trigger pull), but rather was the overall length of the Firearm - specifically, the length of its barrel leading to its classification as a pistol. This was clearly articulated to viewers via the following aspects of the Report:</w:t>
      </w:r>
    </w:p>
    <w:p w14:paraId="4D1CCA31" w14:textId="687AB06B" w:rsidR="00077823" w:rsidRDefault="00077823" w:rsidP="00077823">
      <w:pPr>
        <w:pStyle w:val="ACMABodyText"/>
        <w:numPr>
          <w:ilvl w:val="0"/>
          <w:numId w:val="27"/>
        </w:numPr>
      </w:pPr>
      <w:r>
        <w:t xml:space="preserve">the interview excerpts from </w:t>
      </w:r>
      <w:r w:rsidR="006A5416">
        <w:t>[…]</w:t>
      </w:r>
      <w:r>
        <w:t xml:space="preserve"> who stated </w:t>
      </w:r>
      <w:r w:rsidR="003337C2">
        <w:t>‘</w:t>
      </w:r>
      <w:r w:rsidRPr="003337C2">
        <w:rPr>
          <w:i/>
          <w:iCs/>
        </w:rPr>
        <w:t>the reason this is a pistol is because its got a very short barrel, it's only got a 10 inch barrel, whereas a rifle would have something like a 16, or a 20, or a 24, or even a 30 inch barrel</w:t>
      </w:r>
      <w:r w:rsidR="003337C2" w:rsidRPr="003337C2">
        <w:rPr>
          <w:i/>
          <w:iCs/>
        </w:rPr>
        <w:t>’</w:t>
      </w:r>
      <w:r w:rsidRPr="003337C2">
        <w:rPr>
          <w:i/>
          <w:iCs/>
        </w:rPr>
        <w:t xml:space="preserve"> and </w:t>
      </w:r>
      <w:r w:rsidR="003337C2" w:rsidRPr="003337C2">
        <w:rPr>
          <w:i/>
          <w:iCs/>
        </w:rPr>
        <w:t>‘</w:t>
      </w:r>
      <w:r w:rsidRPr="003337C2">
        <w:rPr>
          <w:i/>
          <w:iCs/>
        </w:rPr>
        <w:t>the lack of excessive recoil assists in accuracy</w:t>
      </w:r>
      <w:r w:rsidR="003337C2">
        <w:t>’</w:t>
      </w:r>
      <w:r>
        <w:t>;</w:t>
      </w:r>
    </w:p>
    <w:p w14:paraId="74CE1D1E" w14:textId="26141C8D" w:rsidR="00077823" w:rsidRDefault="00077823" w:rsidP="00077823">
      <w:pPr>
        <w:pStyle w:val="ACMABodyText"/>
        <w:numPr>
          <w:ilvl w:val="0"/>
          <w:numId w:val="27"/>
        </w:numPr>
      </w:pPr>
      <w:r>
        <w:t xml:space="preserve">the voice-over which stated: </w:t>
      </w:r>
      <w:r w:rsidR="003337C2">
        <w:t>‘</w:t>
      </w:r>
      <w:r w:rsidRPr="003337C2">
        <w:rPr>
          <w:i/>
          <w:iCs/>
        </w:rPr>
        <w:t>In 2016, Queensland Police classified it as a handgun due to its shorter length compared to other WT 15 models</w:t>
      </w:r>
      <w:r w:rsidR="003337C2" w:rsidRPr="003337C2">
        <w:rPr>
          <w:i/>
          <w:iCs/>
        </w:rPr>
        <w:t>’</w:t>
      </w:r>
      <w:r>
        <w:t>; and</w:t>
      </w:r>
    </w:p>
    <w:p w14:paraId="27D432A8" w14:textId="02103360" w:rsidR="003B644C" w:rsidRDefault="00077823" w:rsidP="00077823">
      <w:pPr>
        <w:pStyle w:val="ACMABodyText"/>
        <w:numPr>
          <w:ilvl w:val="0"/>
          <w:numId w:val="27"/>
        </w:numPr>
      </w:pPr>
      <w:r>
        <w:t xml:space="preserve">the voice-over which stated: </w:t>
      </w:r>
      <w:r w:rsidR="003337C2">
        <w:t>‘</w:t>
      </w:r>
      <w:r w:rsidRPr="003337C2">
        <w:rPr>
          <w:i/>
          <w:iCs/>
        </w:rPr>
        <w:t>But Right to Information documents show after police saw a photo, they found it resembled an AR-15</w:t>
      </w:r>
      <w:r w:rsidR="003337C2">
        <w:t>’</w:t>
      </w:r>
      <w:r>
        <w:t xml:space="preserve"> - a reference to Queensland Police documents which state </w:t>
      </w:r>
      <w:r w:rsidR="003337C2">
        <w:t>‘</w:t>
      </w:r>
      <w:r w:rsidRPr="003337C2">
        <w:rPr>
          <w:i/>
          <w:iCs/>
        </w:rPr>
        <w:t>The length of the item is of specific interest in respect to Category H</w:t>
      </w:r>
      <w:r w:rsidR="003337C2" w:rsidRPr="003337C2">
        <w:rPr>
          <w:i/>
          <w:iCs/>
        </w:rPr>
        <w:t>’</w:t>
      </w:r>
      <w:r w:rsidRPr="00077823">
        <w:t xml:space="preserve"> and </w:t>
      </w:r>
      <w:r w:rsidR="003337C2">
        <w:t>‘</w:t>
      </w:r>
      <w:r w:rsidRPr="00A710A7">
        <w:rPr>
          <w:i/>
          <w:iCs/>
        </w:rPr>
        <w:t>It appears (from the images at least) that the only difference between the pistol variant and a normal AR-15 is a shortened barrel and a lack of stock</w:t>
      </w:r>
      <w:r w:rsidR="003337C2" w:rsidRPr="00A710A7">
        <w:rPr>
          <w:i/>
          <w:iCs/>
        </w:rPr>
        <w:t>’</w:t>
      </w:r>
      <w:r w:rsidRPr="00077823">
        <w:t>.</w:t>
      </w:r>
    </w:p>
    <w:p w14:paraId="4FEB267F" w14:textId="40906EE9" w:rsidR="00077823" w:rsidRDefault="00077823" w:rsidP="00077823">
      <w:pPr>
        <w:pStyle w:val="ACMABodyText"/>
      </w:pPr>
      <w:r>
        <w:t>10. In light of the above, it is unsubstantiated to assert that firing capacity was a material fact of the Report when the material classification dispute was concerned with the length of the Firearm, as stated within the Report.</w:t>
      </w:r>
    </w:p>
    <w:p w14:paraId="68DE38D5" w14:textId="5CFAF26A" w:rsidR="00077823" w:rsidRDefault="00077823" w:rsidP="00077823">
      <w:pPr>
        <w:pStyle w:val="ACMABodyText"/>
      </w:pPr>
      <w:r>
        <w:t xml:space="preserve">11. Given the submissions above, Nine submits the ACMA's inaccuracy finding with respect to the line </w:t>
      </w:r>
      <w:r w:rsidR="003337C2">
        <w:t>‘</w:t>
      </w:r>
      <w:r w:rsidRPr="00A710A7">
        <w:rPr>
          <w:i/>
          <w:iCs/>
        </w:rPr>
        <w:t>fires like a machine gun</w:t>
      </w:r>
      <w:r w:rsidR="003337C2" w:rsidRPr="00A710A7">
        <w:rPr>
          <w:i/>
          <w:iCs/>
        </w:rPr>
        <w:t>’</w:t>
      </w:r>
      <w:r>
        <w:t xml:space="preserve"> should not stand as it was not a material fact of the Report and is premised on an overly technical understanding of firearms that would not be held by the ordinary reasonable viewer.</w:t>
      </w:r>
    </w:p>
    <w:p w14:paraId="303724DD" w14:textId="77777777" w:rsidR="00077823" w:rsidRPr="00077823" w:rsidRDefault="00077823" w:rsidP="00077823">
      <w:pPr>
        <w:pStyle w:val="ACMABodyText"/>
        <w:rPr>
          <w:b/>
          <w:bCs/>
          <w:u w:val="single"/>
        </w:rPr>
      </w:pPr>
      <w:r w:rsidRPr="00077823">
        <w:rPr>
          <w:b/>
          <w:bCs/>
          <w:u w:val="single"/>
        </w:rPr>
        <w:t>Accuracy and Impartiality in the Promotions</w:t>
      </w:r>
    </w:p>
    <w:p w14:paraId="368306B1" w14:textId="5B1B3B3F" w:rsidR="00077823" w:rsidRDefault="00077823" w:rsidP="00077823">
      <w:pPr>
        <w:pStyle w:val="ACMABodyText"/>
      </w:pPr>
      <w:r>
        <w:t xml:space="preserve">12. With respect to the accuracy of the statement </w:t>
      </w:r>
      <w:r w:rsidR="003337C2">
        <w:t>‘</w:t>
      </w:r>
      <w:r w:rsidRPr="00A710A7">
        <w:rPr>
          <w:i/>
          <w:iCs/>
        </w:rPr>
        <w:t>it shoots like a machine gun, it kills like a machine gun</w:t>
      </w:r>
      <w:r w:rsidR="003337C2" w:rsidRPr="00A710A7">
        <w:rPr>
          <w:i/>
          <w:iCs/>
        </w:rPr>
        <w:t>’</w:t>
      </w:r>
      <w:r>
        <w:t>, Nine again relies on its submissions set out in paragraphs 2 to 11 above.</w:t>
      </w:r>
    </w:p>
    <w:p w14:paraId="512A810E" w14:textId="701E30F8" w:rsidR="00077823" w:rsidRDefault="00077823" w:rsidP="00077823">
      <w:pPr>
        <w:pStyle w:val="ACMABodyText"/>
      </w:pPr>
      <w:r>
        <w:lastRenderedPageBreak/>
        <w:t>13. Nine reiterates that the Findings attribute a technical understanding of firearms (such as firing mechanisms and rates of fire) to the ordinary reasonable reader that is more appropriately attributed to a person with specialised firearms knowledge (such as the complainant). Accordingly, Nine submits the rather specific interpretations found by the ACMA about firing mechanisms and rates of fire are not necessarily indicative of what the ordinary reasonable viewer would take from the Promotions.</w:t>
      </w:r>
    </w:p>
    <w:p w14:paraId="014EF279" w14:textId="115FFA94" w:rsidR="00077823" w:rsidRDefault="00077823" w:rsidP="00077823">
      <w:pPr>
        <w:pStyle w:val="ACMABodyText"/>
      </w:pPr>
      <w:r>
        <w:t>14. Nine also restates that the length of the Firearm's barrel was the material characteristic at issue in the reclassification dispute, thus Nine maintains it was not inaccurate for the Promotions to make verbal and visual references to long-barrelled weapons (machine guns being such weapons) in promoting the Report.</w:t>
      </w:r>
    </w:p>
    <w:p w14:paraId="66D6F405" w14:textId="4C9CC86F" w:rsidR="00077823" w:rsidRDefault="00077823" w:rsidP="00077823">
      <w:pPr>
        <w:pStyle w:val="ACMABodyText"/>
      </w:pPr>
      <w:r>
        <w:t xml:space="preserve">15. In relation to the statement </w:t>
      </w:r>
      <w:r w:rsidR="003337C2">
        <w:t>‘</w:t>
      </w:r>
      <w:r w:rsidRPr="00EC3439">
        <w:rPr>
          <w:i/>
          <w:iCs/>
        </w:rPr>
        <w:t>it kills like a machine gun</w:t>
      </w:r>
      <w:r w:rsidR="003337C2" w:rsidRPr="00EC3439">
        <w:rPr>
          <w:i/>
          <w:iCs/>
        </w:rPr>
        <w:t>’</w:t>
      </w:r>
      <w:r>
        <w:t xml:space="preserve">, the Findings state </w:t>
      </w:r>
      <w:r w:rsidR="003337C2">
        <w:t>‘</w:t>
      </w:r>
      <w:r w:rsidRPr="00EC3439">
        <w:rPr>
          <w:i/>
          <w:iCs/>
        </w:rPr>
        <w:t>although both weapons can kill, a machine gun has the capacity to kill at a higher rate than a semi-automatic firearm. Consequently, the WT 15-01 cannot be said to 'kill like a machine gun</w:t>
      </w:r>
      <w:r w:rsidR="003337C2" w:rsidRPr="00EC3439">
        <w:rPr>
          <w:i/>
          <w:iCs/>
        </w:rPr>
        <w:t>’</w:t>
      </w:r>
      <w:r>
        <w:t>.  Nine contends that as all firearms (including the Firearm and 'machine guns') are capable of killing and it is not inaccurate to state that the Firearm 'kills like a machine gun' because both weapons cause death in the same way. To sideline this meaning in favour of an interpretation that relies solely to the technical concept of rate of fire of particular firearms because the Promotion included footage of various long-barrelled weapons, in Nine's submission, goes beyond the ordinary meaning of the line. Such an interpretation requires reliance on specialised firearms knowledge not necessarily possessed by the ordinary reasonable viewer and ignores the likening of the Firearm to long-barrelled weapons by Queensland Police (as reflected in the documents at Annexure A of Nine's initial submissions).</w:t>
      </w:r>
    </w:p>
    <w:p w14:paraId="7567B1A4" w14:textId="1D9363DD" w:rsidR="00077823" w:rsidRDefault="00077823" w:rsidP="00077823">
      <w:pPr>
        <w:pStyle w:val="ACMABodyText"/>
      </w:pPr>
      <w:r>
        <w:t xml:space="preserve">16. On the issue of impartiality, Nine maintains the Promotions adhered to the requirements of clause 3.4 having regard to their tempered nature by virtue of clause 3.6 of the Code. The Promotions were brief in nature (clause 3.6.1) and were not required to </w:t>
      </w:r>
      <w:r w:rsidR="003337C2">
        <w:t>‘</w:t>
      </w:r>
      <w:r w:rsidRPr="00EC3439">
        <w:rPr>
          <w:i/>
          <w:iCs/>
        </w:rPr>
        <w:t>to portray all aspects</w:t>
      </w:r>
      <w:r w:rsidR="003337C2" w:rsidRPr="00EC3439">
        <w:rPr>
          <w:i/>
          <w:iCs/>
        </w:rPr>
        <w:t>’</w:t>
      </w:r>
      <w:r>
        <w:t xml:space="preserve"> of the Report or </w:t>
      </w:r>
      <w:r w:rsidR="003337C2">
        <w:t>‘</w:t>
      </w:r>
      <w:r w:rsidRPr="00EC3439">
        <w:rPr>
          <w:i/>
          <w:iCs/>
        </w:rPr>
        <w:t>to represent all viewpoints contained in</w:t>
      </w:r>
      <w:r w:rsidR="003337C2" w:rsidRPr="00EC3439">
        <w:rPr>
          <w:i/>
          <w:iCs/>
        </w:rPr>
        <w:t>’</w:t>
      </w:r>
      <w:r>
        <w:t xml:space="preserve"> the Report (clause 3.6.2).</w:t>
      </w:r>
    </w:p>
    <w:p w14:paraId="5738A4B6" w14:textId="1FE77CF3" w:rsidR="00077823" w:rsidRDefault="00077823" w:rsidP="00077823">
      <w:pPr>
        <w:pStyle w:val="ACMABodyText"/>
      </w:pPr>
      <w:r>
        <w:t xml:space="preserve">17. The Findings state </w:t>
      </w:r>
      <w:r w:rsidR="003337C2">
        <w:t>‘</w:t>
      </w:r>
      <w:r w:rsidRPr="00EC3439">
        <w:rPr>
          <w:i/>
          <w:iCs/>
        </w:rPr>
        <w:t>While the ACMA acknowledges the short duration of the promotion and the fact that clause 3.6.2 of the Code tempers the substantive obligation by not requiring the promotion to include all viewpoints, the ACMA does not believe this meant it was reasonable for the licensee to avoid the core facts of the report in favour of inaccurate 'allusions</w:t>
      </w:r>
      <w:r w:rsidR="003337C2" w:rsidRPr="00EC3439">
        <w:rPr>
          <w:i/>
          <w:iCs/>
        </w:rPr>
        <w:t>’</w:t>
      </w:r>
      <w:r>
        <w:t>.</w:t>
      </w:r>
    </w:p>
    <w:p w14:paraId="0D95B2AA" w14:textId="7FD9F23A" w:rsidR="00077823" w:rsidRPr="006D2356" w:rsidRDefault="00077823" w:rsidP="00077823">
      <w:pPr>
        <w:pStyle w:val="ACMABodyText"/>
      </w:pPr>
      <w:r>
        <w:t>18. As highlighted in the above submissions pertaining to accuracy, Nine considers the verbal and visual references to long-barrelled weapons were accurately reflective of the contested issues in the classification dispute (namely the likening of the Firearm to long-barrelled weapons such as AR-15's -</w:t>
      </w:r>
      <w:r w:rsidRPr="00077823">
        <w:t xml:space="preserve"> </w:t>
      </w:r>
      <w:r>
        <w:t xml:space="preserve">weapons commonly understood to be 'machine guns'). Furthermore, Nine submits the ordinary reasonable viewer would not adopt the highly technical interpretations of </w:t>
      </w:r>
      <w:r w:rsidR="003337C2">
        <w:t>‘</w:t>
      </w:r>
      <w:r>
        <w:t>shoot</w:t>
      </w:r>
      <w:r w:rsidR="003337C2">
        <w:t>’</w:t>
      </w:r>
      <w:r>
        <w:t xml:space="preserve"> and </w:t>
      </w:r>
      <w:r w:rsidR="003337C2">
        <w:t>‘</w:t>
      </w:r>
      <w:r>
        <w:t>kill</w:t>
      </w:r>
      <w:r w:rsidR="003337C2">
        <w:t>’</w:t>
      </w:r>
      <w:r>
        <w:t xml:space="preserve"> proposed by the Findings. Finally, as the Firearm and 'machine guns' are both inherently capable of causing death, the use of terminology such as 'murder' and 'kill' did not inaccurately or overstate the danger of the Firearm, but rather reflected the public concern that had been raised by the reclassification dispute. Nine therefore submits that the Promotions were not impermissibly impartial.</w:t>
      </w:r>
    </w:p>
    <w:p w14:paraId="33222B38" w14:textId="1D3AB71A" w:rsidR="006A02B1" w:rsidRDefault="006A02B1" w:rsidP="00075F5D">
      <w:pPr>
        <w:pStyle w:val="ACMAHeading2"/>
        <w:pageBreakBefore/>
        <w:spacing w:after="240"/>
        <w:jc w:val="right"/>
      </w:pPr>
      <w:r w:rsidRPr="00153F9D">
        <w:lastRenderedPageBreak/>
        <w:t>Attachment C</w:t>
      </w:r>
    </w:p>
    <w:p w14:paraId="11C35A1F" w14:textId="1C669F64" w:rsidR="00803637" w:rsidRDefault="00803637" w:rsidP="002F7D94">
      <w:pPr>
        <w:pStyle w:val="ACMAHeading3"/>
        <w:spacing w:after="120"/>
        <w:rPr>
          <w:sz w:val="28"/>
          <w:szCs w:val="28"/>
        </w:rPr>
      </w:pPr>
      <w:r w:rsidRPr="00803637">
        <w:rPr>
          <w:sz w:val="28"/>
          <w:szCs w:val="28"/>
        </w:rPr>
        <w:t xml:space="preserve">Relevant </w:t>
      </w:r>
      <w:r w:rsidR="00DE0C25">
        <w:rPr>
          <w:sz w:val="28"/>
          <w:szCs w:val="28"/>
        </w:rPr>
        <w:t>code provisions</w:t>
      </w:r>
      <w:r w:rsidRPr="00803637">
        <w:rPr>
          <w:sz w:val="28"/>
          <w:szCs w:val="28"/>
        </w:rPr>
        <w:t xml:space="preserve"> </w:t>
      </w:r>
    </w:p>
    <w:p w14:paraId="27FD8EC1" w14:textId="3B9C2730" w:rsidR="00A967F9" w:rsidRPr="00A967F9" w:rsidRDefault="00A967F9" w:rsidP="002F7D94">
      <w:pPr>
        <w:pStyle w:val="ACMAHeading3"/>
        <w:spacing w:after="120"/>
        <w:rPr>
          <w:sz w:val="20"/>
        </w:rPr>
      </w:pPr>
      <w:r w:rsidRPr="00A967F9">
        <w:rPr>
          <w:sz w:val="20"/>
        </w:rPr>
        <w:t>Section 3</w:t>
      </w:r>
    </w:p>
    <w:p w14:paraId="41E85817" w14:textId="77777777" w:rsidR="00AF29E9" w:rsidRDefault="00AF29E9" w:rsidP="00AF29E9">
      <w:pPr>
        <w:pStyle w:val="ACMAHeading3"/>
        <w:spacing w:before="0" w:after="120" w:line="240" w:lineRule="atLeast"/>
        <w:ind w:firstLine="567"/>
        <w:rPr>
          <w:color w:val="000000"/>
          <w:sz w:val="28"/>
          <w:szCs w:val="28"/>
        </w:rPr>
      </w:pPr>
      <w:r>
        <w:rPr>
          <w:color w:val="000000"/>
          <w:sz w:val="18"/>
          <w:szCs w:val="18"/>
        </w:rPr>
        <w:t xml:space="preserve">3.3 </w:t>
      </w:r>
      <w:r>
        <w:rPr>
          <w:color w:val="000000"/>
          <w:sz w:val="18"/>
          <w:szCs w:val="18"/>
        </w:rPr>
        <w:tab/>
        <w:t>Accuracy and fairness</w:t>
      </w:r>
    </w:p>
    <w:p w14:paraId="098832D1" w14:textId="77777777" w:rsidR="00AF29E9" w:rsidRDefault="00AF29E9" w:rsidP="00AF29E9">
      <w:pPr>
        <w:pStyle w:val="ACMAQuoteindented"/>
        <w:spacing w:after="120"/>
        <w:ind w:left="1435" w:right="518" w:hanging="868"/>
        <w:rPr>
          <w:color w:val="000000"/>
        </w:rPr>
      </w:pPr>
      <w:r>
        <w:rPr>
          <w:color w:val="000000"/>
        </w:rPr>
        <w:t>3.3.1</w:t>
      </w:r>
      <w:r>
        <w:rPr>
          <w:color w:val="000000"/>
        </w:rPr>
        <w:tab/>
        <w:t>In broadcasting a news or Current Affairs Program, a Licensee must present factual material accurately and ensure viewpoints included in the Program are not misrepresented.</w:t>
      </w:r>
    </w:p>
    <w:p w14:paraId="491221D7" w14:textId="77777777" w:rsidR="00AF29E9" w:rsidRDefault="00AF29E9" w:rsidP="00AF29E9">
      <w:pPr>
        <w:pStyle w:val="ACMAQuoteindented"/>
        <w:spacing w:after="120"/>
        <w:ind w:left="1437" w:right="518" w:hanging="870"/>
        <w:rPr>
          <w:color w:val="000000"/>
        </w:rPr>
      </w:pPr>
      <w:r>
        <w:rPr>
          <w:color w:val="000000"/>
        </w:rPr>
        <w:t>3.3.2</w:t>
      </w:r>
      <w:r>
        <w:rPr>
          <w:color w:val="000000"/>
        </w:rPr>
        <w:tab/>
        <w:t>Clause 3.3.1 applies to material facts and material misrepresentations of viewpoints only.</w:t>
      </w:r>
    </w:p>
    <w:p w14:paraId="57A90B7F" w14:textId="77777777" w:rsidR="00AF29E9" w:rsidRDefault="00AF29E9" w:rsidP="00AF29E9">
      <w:pPr>
        <w:pStyle w:val="ACMAQuoteindented"/>
        <w:spacing w:after="120"/>
        <w:ind w:left="1437" w:right="518" w:hanging="870"/>
        <w:rPr>
          <w:color w:val="000000"/>
        </w:rPr>
      </w:pPr>
      <w:r>
        <w:rPr>
          <w:color w:val="000000"/>
        </w:rPr>
        <w:t xml:space="preserve">3.3.3 </w:t>
      </w:r>
      <w:r>
        <w:rPr>
          <w:color w:val="000000"/>
        </w:rPr>
        <w:tab/>
        <w:t>Licensees must make reasonable efforts to correct or clarify significant and material errors of fact that are readily apparent or have been demonstrated to the Licensee’s reasonable satisfaction in a timely manner.</w:t>
      </w:r>
    </w:p>
    <w:p w14:paraId="157996C7" w14:textId="6923FAEF" w:rsidR="00AF29E9" w:rsidRDefault="00AF29E9" w:rsidP="00AF29E9">
      <w:pPr>
        <w:pStyle w:val="ACMAQuoteindented"/>
        <w:spacing w:after="120"/>
        <w:ind w:left="1437" w:right="518" w:hanging="870"/>
        <w:rPr>
          <w:color w:val="000000"/>
        </w:rPr>
      </w:pPr>
      <w:r>
        <w:rPr>
          <w:color w:val="000000"/>
        </w:rPr>
        <w:t>[…]</w:t>
      </w:r>
    </w:p>
    <w:p w14:paraId="30B43309" w14:textId="77777777" w:rsidR="00896EAF" w:rsidRDefault="00896EAF" w:rsidP="00730241">
      <w:pPr>
        <w:pStyle w:val="ACMABodyText"/>
        <w:tabs>
          <w:tab w:val="left" w:pos="993"/>
        </w:tabs>
        <w:spacing w:after="120"/>
        <w:ind w:left="567"/>
        <w:rPr>
          <w:b/>
          <w:bCs/>
          <w:sz w:val="18"/>
          <w:szCs w:val="18"/>
        </w:rPr>
      </w:pPr>
      <w:r>
        <w:rPr>
          <w:b/>
          <w:bCs/>
          <w:sz w:val="18"/>
          <w:szCs w:val="18"/>
        </w:rPr>
        <w:t>3.4</w:t>
      </w:r>
      <w:r>
        <w:rPr>
          <w:b/>
          <w:bCs/>
          <w:sz w:val="18"/>
          <w:szCs w:val="18"/>
        </w:rPr>
        <w:tab/>
        <w:t>Impartiality</w:t>
      </w:r>
    </w:p>
    <w:p w14:paraId="0C16A475" w14:textId="77777777" w:rsidR="00896EAF" w:rsidRDefault="00896EAF" w:rsidP="00730241">
      <w:pPr>
        <w:pStyle w:val="ACMABodyText"/>
        <w:spacing w:after="120"/>
        <w:ind w:left="1276" w:right="1085" w:hanging="709"/>
        <w:rPr>
          <w:sz w:val="18"/>
          <w:szCs w:val="18"/>
        </w:rPr>
      </w:pPr>
      <w:r>
        <w:rPr>
          <w:sz w:val="18"/>
          <w:szCs w:val="18"/>
        </w:rPr>
        <w:t>3.4.1</w:t>
      </w:r>
      <w:r>
        <w:rPr>
          <w:sz w:val="18"/>
          <w:szCs w:val="18"/>
        </w:rPr>
        <w:tab/>
        <w:t xml:space="preserve">In broadcasting a news Program, a Licensee must: </w:t>
      </w:r>
    </w:p>
    <w:p w14:paraId="5BAFDB38" w14:textId="77777777" w:rsidR="00896EAF" w:rsidRDefault="00896EAF" w:rsidP="00896EAF">
      <w:pPr>
        <w:pStyle w:val="ACMAQuoteindented"/>
        <w:spacing w:after="120"/>
        <w:ind w:left="1843" w:right="802" w:hanging="403"/>
        <w:jc w:val="both"/>
        <w:rPr>
          <w:szCs w:val="18"/>
        </w:rPr>
      </w:pPr>
      <w:r>
        <w:rPr>
          <w:szCs w:val="18"/>
        </w:rPr>
        <w:t xml:space="preserve">a) </w:t>
      </w:r>
      <w:r>
        <w:rPr>
          <w:szCs w:val="18"/>
        </w:rPr>
        <w:tab/>
        <w:t xml:space="preserve">present news fairly and impartially; </w:t>
      </w:r>
    </w:p>
    <w:p w14:paraId="0479CE76" w14:textId="77777777" w:rsidR="00896EAF" w:rsidRDefault="00896EAF" w:rsidP="00896EAF">
      <w:pPr>
        <w:pStyle w:val="ACMAQuoteindented"/>
        <w:ind w:left="1843" w:right="799" w:hanging="403"/>
        <w:jc w:val="both"/>
        <w:rPr>
          <w:szCs w:val="18"/>
        </w:rPr>
      </w:pPr>
      <w:r>
        <w:rPr>
          <w:szCs w:val="18"/>
        </w:rPr>
        <w:t>b)</w:t>
      </w:r>
      <w:r>
        <w:rPr>
          <w:szCs w:val="18"/>
        </w:rPr>
        <w:tab/>
        <w:t>clearly distinguish the reporting of factual material from commentary and analysis.</w:t>
      </w:r>
    </w:p>
    <w:p w14:paraId="4FF2338C" w14:textId="77777777" w:rsidR="00896EAF" w:rsidRDefault="00896EAF" w:rsidP="00730241">
      <w:pPr>
        <w:pStyle w:val="ACMABodyText"/>
        <w:ind w:left="1276" w:right="1083" w:hanging="709"/>
        <w:rPr>
          <w:szCs w:val="18"/>
        </w:rPr>
      </w:pPr>
      <w:r>
        <w:rPr>
          <w:sz w:val="18"/>
          <w:szCs w:val="18"/>
        </w:rPr>
        <w:t>3.4.2</w:t>
      </w:r>
      <w:r>
        <w:rPr>
          <w:sz w:val="18"/>
          <w:szCs w:val="18"/>
        </w:rPr>
        <w:tab/>
        <w:t>Nothing in this Section 3 requires a Licensee to allocate equal time to different points of view, or to include every aspect of a person’s viewpoint, nor does it preclude a critical examination of or comment on a controversial issue as part of a fair report on a matter of public interest.</w:t>
      </w:r>
    </w:p>
    <w:p w14:paraId="7F2EC736" w14:textId="77777777" w:rsidR="00837B83" w:rsidRPr="00837B83" w:rsidRDefault="00837B83" w:rsidP="00730241">
      <w:pPr>
        <w:pStyle w:val="ACMABodyText"/>
        <w:tabs>
          <w:tab w:val="left" w:pos="993"/>
        </w:tabs>
        <w:spacing w:after="120"/>
        <w:ind w:left="567"/>
        <w:rPr>
          <w:b/>
          <w:bCs/>
          <w:sz w:val="18"/>
          <w:szCs w:val="18"/>
        </w:rPr>
      </w:pPr>
      <w:r w:rsidRPr="00837B83">
        <w:rPr>
          <w:b/>
          <w:bCs/>
          <w:sz w:val="18"/>
          <w:szCs w:val="18"/>
        </w:rPr>
        <w:t>3.6</w:t>
      </w:r>
      <w:r w:rsidRPr="00837B83">
        <w:rPr>
          <w:b/>
          <w:bCs/>
          <w:sz w:val="18"/>
          <w:szCs w:val="18"/>
        </w:rPr>
        <w:tab/>
        <w:t>Program Promotions for news and Current Affairs Programs</w:t>
      </w:r>
    </w:p>
    <w:p w14:paraId="409D5BDA" w14:textId="77777777" w:rsidR="00837B83" w:rsidRPr="00B35AA6" w:rsidRDefault="00837B83" w:rsidP="00730241">
      <w:pPr>
        <w:pStyle w:val="ACMABodyText"/>
        <w:ind w:left="1276" w:right="1083" w:hanging="709"/>
        <w:rPr>
          <w:sz w:val="18"/>
          <w:szCs w:val="18"/>
        </w:rPr>
      </w:pPr>
      <w:r w:rsidRPr="00B35AA6">
        <w:rPr>
          <w:sz w:val="18"/>
          <w:szCs w:val="18"/>
        </w:rPr>
        <w:t>3.6.1</w:t>
      </w:r>
      <w:r w:rsidRPr="00B35AA6">
        <w:rPr>
          <w:sz w:val="18"/>
          <w:szCs w:val="18"/>
        </w:rPr>
        <w:tab/>
        <w:t>In broadcasting a Program Promotion for a news or Current Affairs Program, a Licensee must comply with this Section 3 as far as practicable, having regard to its brevity.</w:t>
      </w:r>
    </w:p>
    <w:p w14:paraId="5FCF9268" w14:textId="7CD52672" w:rsidR="0058225D" w:rsidRDefault="00837B83" w:rsidP="00730241">
      <w:pPr>
        <w:pStyle w:val="ACMABodyText"/>
        <w:ind w:left="1276" w:right="1083" w:hanging="709"/>
        <w:rPr>
          <w:sz w:val="18"/>
          <w:szCs w:val="18"/>
        </w:rPr>
      </w:pPr>
      <w:r w:rsidRPr="00B35AA6">
        <w:rPr>
          <w:sz w:val="18"/>
          <w:szCs w:val="18"/>
        </w:rPr>
        <w:t>3.6.2</w:t>
      </w:r>
      <w:r w:rsidRPr="00B35AA6">
        <w:rPr>
          <w:sz w:val="18"/>
          <w:szCs w:val="18"/>
        </w:rPr>
        <w:tab/>
        <w:t>A Licensee is not required by this clause to portray all aspects or themes of a Program or Program segment in a Program Promotion, or to represent all viewpoints contained in the Program or Program segment.</w:t>
      </w:r>
    </w:p>
    <w:p w14:paraId="53058047" w14:textId="77777777" w:rsidR="00A967F9" w:rsidRDefault="00A967F9" w:rsidP="00A967F9">
      <w:pPr>
        <w:pStyle w:val="ACMABodyText"/>
        <w:spacing w:after="120"/>
        <w:ind w:right="1083"/>
      </w:pPr>
      <w:r>
        <w:t>The Code also applies an interpretation provision:</w:t>
      </w:r>
    </w:p>
    <w:p w14:paraId="1516FA0A" w14:textId="77777777" w:rsidR="00A967F9" w:rsidRDefault="00A967F9" w:rsidP="00730241">
      <w:pPr>
        <w:pStyle w:val="ACMABodyText"/>
        <w:spacing w:after="120"/>
        <w:ind w:left="1276" w:right="1083" w:hanging="709"/>
        <w:rPr>
          <w:szCs w:val="18"/>
        </w:rPr>
      </w:pPr>
      <w:r>
        <w:rPr>
          <w:sz w:val="18"/>
          <w:szCs w:val="18"/>
        </w:rPr>
        <w:t>3.1.2</w:t>
      </w:r>
      <w:r>
        <w:rPr>
          <w:sz w:val="18"/>
          <w:szCs w:val="18"/>
        </w:rPr>
        <w:tab/>
        <w:t>Compliance with this Section 3 must be assessed taking into account all of the circumstances at the time of preparing and broadcasting the material, including:</w:t>
      </w:r>
    </w:p>
    <w:p w14:paraId="2D8307BC" w14:textId="77777777" w:rsidR="00A967F9" w:rsidRDefault="00A967F9" w:rsidP="00A967F9">
      <w:pPr>
        <w:pStyle w:val="ACMAQuoteindented"/>
        <w:spacing w:after="120"/>
        <w:ind w:left="1843" w:right="802" w:hanging="403"/>
        <w:jc w:val="both"/>
        <w:rPr>
          <w:szCs w:val="18"/>
        </w:rPr>
      </w:pPr>
      <w:r>
        <w:rPr>
          <w:szCs w:val="18"/>
        </w:rPr>
        <w:t>a)</w:t>
      </w:r>
      <w:r>
        <w:rPr>
          <w:szCs w:val="18"/>
        </w:rPr>
        <w:tab/>
        <w:t>the facts known, or readily ascertainable, at that time;</w:t>
      </w:r>
    </w:p>
    <w:p w14:paraId="16CC7052" w14:textId="77777777" w:rsidR="00A967F9" w:rsidRDefault="00A967F9" w:rsidP="00A967F9">
      <w:pPr>
        <w:pStyle w:val="ACMAQuoteindented"/>
        <w:spacing w:after="120"/>
        <w:ind w:left="1843" w:right="802" w:hanging="403"/>
        <w:jc w:val="both"/>
        <w:rPr>
          <w:szCs w:val="18"/>
        </w:rPr>
      </w:pPr>
      <w:r>
        <w:rPr>
          <w:szCs w:val="18"/>
        </w:rPr>
        <w:t>b)</w:t>
      </w:r>
      <w:r>
        <w:rPr>
          <w:szCs w:val="18"/>
        </w:rPr>
        <w:tab/>
        <w:t>the context of the segment (or Program Promotion) in its entirety; and</w:t>
      </w:r>
    </w:p>
    <w:p w14:paraId="3BFDB608" w14:textId="77777777" w:rsidR="00A967F9" w:rsidRDefault="00A967F9" w:rsidP="00A967F9">
      <w:pPr>
        <w:pStyle w:val="ACMAQuoteindented"/>
        <w:ind w:left="1843" w:right="799" w:hanging="403"/>
        <w:jc w:val="both"/>
        <w:rPr>
          <w:szCs w:val="18"/>
        </w:rPr>
      </w:pPr>
      <w:r>
        <w:rPr>
          <w:szCs w:val="18"/>
        </w:rPr>
        <w:t>c)</w:t>
      </w:r>
      <w:r>
        <w:rPr>
          <w:szCs w:val="18"/>
        </w:rPr>
        <w:tab/>
        <w:t xml:space="preserve">the time pressures associated with the preparation and broadcast of such programming. </w:t>
      </w:r>
    </w:p>
    <w:p w14:paraId="1830EA23" w14:textId="77777777" w:rsidR="00A967F9" w:rsidRPr="00B35AA6" w:rsidRDefault="00A967F9" w:rsidP="00B35AA6">
      <w:pPr>
        <w:pStyle w:val="ACMABodyText"/>
        <w:ind w:left="993" w:right="1083" w:hanging="709"/>
        <w:rPr>
          <w:sz w:val="18"/>
          <w:szCs w:val="18"/>
        </w:rPr>
      </w:pPr>
    </w:p>
    <w:p w14:paraId="30461697" w14:textId="09926F57" w:rsidR="00E25EB3" w:rsidRDefault="00E11485" w:rsidP="00E25EB3">
      <w:pPr>
        <w:pStyle w:val="ACMAHeading3"/>
        <w:spacing w:after="120"/>
        <w:rPr>
          <w:sz w:val="28"/>
          <w:szCs w:val="28"/>
        </w:rPr>
      </w:pPr>
      <w:r>
        <w:rPr>
          <w:sz w:val="28"/>
          <w:szCs w:val="28"/>
        </w:rPr>
        <w:lastRenderedPageBreak/>
        <w:t>T</w:t>
      </w:r>
      <w:r w:rsidR="00E25EB3" w:rsidRPr="00803637">
        <w:rPr>
          <w:sz w:val="28"/>
          <w:szCs w:val="28"/>
        </w:rPr>
        <w:t xml:space="preserve">he ACMA’s assessment process </w:t>
      </w:r>
    </w:p>
    <w:p w14:paraId="3B2B49ED" w14:textId="0F4A1444" w:rsidR="005F5B4E" w:rsidRDefault="005F5B4E" w:rsidP="005F5B4E">
      <w:pPr>
        <w:pStyle w:val="ACMABodyTextBold"/>
        <w:spacing w:before="240"/>
        <w:rPr>
          <w:sz w:val="24"/>
          <w:szCs w:val="24"/>
        </w:rPr>
      </w:pPr>
      <w:r>
        <w:rPr>
          <w:sz w:val="24"/>
          <w:szCs w:val="24"/>
        </w:rPr>
        <w:t>Assessment and the ordinary reasonable viewer</w:t>
      </w:r>
    </w:p>
    <w:p w14:paraId="06BFE6FD" w14:textId="77777777" w:rsidR="005F5B4E" w:rsidRDefault="005F5B4E" w:rsidP="005F5B4E">
      <w:pPr>
        <w:pStyle w:val="ACMABodyText"/>
      </w:pPr>
      <w:r>
        <w:t>When assessing content, the ACMA considers the meaning conveyed by the material, the subject of the complaint, including the natural, ordinary meaning of the language, context, tenor, tone, images and any inferences that may be drawn. This is assessed according to the understanding of an ‘ordinary reasonable’ viewer.</w:t>
      </w:r>
    </w:p>
    <w:p w14:paraId="0B0D1BE1" w14:textId="77777777" w:rsidR="005F5B4E" w:rsidRDefault="005F5B4E" w:rsidP="005F5B4E">
      <w:pPr>
        <w:pStyle w:val="ACMABodyText"/>
      </w:pPr>
      <w:r>
        <w:t>Australian courts have considered an ‘ordinary reasonable’ viewer to be:</w:t>
      </w:r>
    </w:p>
    <w:p w14:paraId="10F34169" w14:textId="77777777" w:rsidR="005F5B4E" w:rsidRDefault="005F5B4E" w:rsidP="005F5B4E">
      <w:pPr>
        <w:pStyle w:val="ACMABodyText"/>
        <w:ind w:left="720"/>
        <w:rPr>
          <w:sz w:val="18"/>
          <w:szCs w:val="18"/>
        </w:rPr>
      </w:pPr>
      <w:r>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Pr>
          <w:sz w:val="18"/>
          <w:szCs w:val="18"/>
          <w:vertAlign w:val="superscript"/>
        </w:rPr>
        <w:footnoteReference w:id="4"/>
      </w:r>
    </w:p>
    <w:p w14:paraId="5F21153C" w14:textId="77777777" w:rsidR="005F5B4E" w:rsidRDefault="005F5B4E" w:rsidP="005F5B4E">
      <w:pPr>
        <w:pStyle w:val="ACMABodyText"/>
      </w:pPr>
      <w:r>
        <w:t>Once the ACMA has ascertained the meaning of the material that was broadcast, it then assesses compliance with the legislation.</w:t>
      </w:r>
    </w:p>
    <w:p w14:paraId="7FBA9D9A" w14:textId="77777777" w:rsidR="006A02B1" w:rsidRPr="00730241" w:rsidRDefault="00E71217" w:rsidP="00730241">
      <w:pPr>
        <w:pStyle w:val="ACMABodyTextBold"/>
        <w:spacing w:before="240"/>
        <w:rPr>
          <w:sz w:val="24"/>
          <w:szCs w:val="24"/>
        </w:rPr>
      </w:pPr>
      <w:r w:rsidRPr="00730241">
        <w:rPr>
          <w:sz w:val="24"/>
          <w:szCs w:val="24"/>
        </w:rPr>
        <w:t>ACMA considerations for determining factual content:</w:t>
      </w:r>
    </w:p>
    <w:p w14:paraId="353D0CBD" w14:textId="77777777" w:rsidR="006A02B1" w:rsidRPr="00D86A14" w:rsidRDefault="006A02B1" w:rsidP="006A02B1">
      <w:pPr>
        <w:pStyle w:val="ACMABulletLevel1"/>
      </w:pPr>
      <w:r w:rsidRPr="00D86A14">
        <w:t xml:space="preserve">In practice, distinguishing between factual material and other material, such as opinion, can be a matter of fine judgement. </w:t>
      </w:r>
    </w:p>
    <w:p w14:paraId="021E88CE" w14:textId="77777777" w:rsidR="006A02B1" w:rsidRPr="00D86A14" w:rsidRDefault="006A02B1" w:rsidP="006A02B1">
      <w:pPr>
        <w:pStyle w:val="ACMABulletLevel1"/>
      </w:pPr>
      <w:r w:rsidRPr="00D86A14">
        <w:t xml:space="preserve">The ACMA will have regard to all contextual indications (including subject, language, tenor and tone and inferences that may be drawn) in making its assessment. </w:t>
      </w:r>
    </w:p>
    <w:p w14:paraId="6872E7A7" w14:textId="77777777" w:rsidR="006A02B1" w:rsidRPr="00D86A14" w:rsidRDefault="006A02B1" w:rsidP="006A02B1">
      <w:pPr>
        <w:pStyle w:val="ACMABulletLevel1"/>
      </w:pPr>
      <w:r w:rsidRPr="00D86A14">
        <w:t>The ACMA will first look to the natural and ordinary meaning of the language used.</w:t>
      </w:r>
    </w:p>
    <w:p w14:paraId="1B2DE0F1" w14:textId="77777777" w:rsidR="006A02B1" w:rsidRPr="00D86A14" w:rsidRDefault="006A02B1" w:rsidP="006A02B1">
      <w:pPr>
        <w:pStyle w:val="ACMABulletLevel1"/>
      </w:pPr>
      <w:r w:rsidRPr="00D86A14">
        <w:t xml:space="preserve">Factual material will usually be specific, unequivocal and capable of independent verification. </w:t>
      </w:r>
    </w:p>
    <w:p w14:paraId="4A1B3DEA" w14:textId="77777777" w:rsidR="006A02B1" w:rsidRPr="00D86A14" w:rsidRDefault="006A02B1" w:rsidP="006A02B1">
      <w:pPr>
        <w:pStyle w:val="ACMABulletLevel1"/>
      </w:pPr>
      <w:r w:rsidRPr="00D86A14">
        <w:t>The use of language such as ‘it seems to me’ or ‘we consider/think/believe’ will tend to indicate that the content is contestable and presented as an expression of opinion or personal judgement. However, a common sense judgement is required and the form of words introducing the relevant content is not conclusive.</w:t>
      </w:r>
    </w:p>
    <w:p w14:paraId="122314F9" w14:textId="77777777" w:rsidR="006A02B1" w:rsidRPr="00D86A14" w:rsidRDefault="006A02B1" w:rsidP="006A02B1">
      <w:pPr>
        <w:pStyle w:val="ACMABulletLevel1"/>
      </w:pPr>
      <w:r w:rsidRPr="00D86A14">
        <w:t xml:space="preserve">Statements in the nature of predictions as to future events will rarely be characterised as factual material. </w:t>
      </w:r>
    </w:p>
    <w:p w14:paraId="66E85B90" w14:textId="77777777" w:rsidR="006A02B1" w:rsidRPr="00D86A14" w:rsidRDefault="006A02B1" w:rsidP="006A02B1">
      <w:pPr>
        <w:pStyle w:val="ACMABulletLevel1"/>
      </w:pPr>
      <w:r w:rsidRPr="00D86A14">
        <w:t xml:space="preserve">Statements containing </w:t>
      </w:r>
      <w:r w:rsidR="00C65EB0">
        <w:t xml:space="preserve">argumentative and exaggerated </w:t>
      </w:r>
      <w:r w:rsidR="003169B0">
        <w:t xml:space="preserve">language </w:t>
      </w:r>
      <w:r w:rsidR="00C65EB0">
        <w:t>or hyperbole will usually indicate a subjective opinion and will rarely</w:t>
      </w:r>
      <w:r w:rsidRPr="00D86A14">
        <w:t xml:space="preserve"> be characterised as factual material.</w:t>
      </w:r>
    </w:p>
    <w:p w14:paraId="7B0D8B9C" w14:textId="77777777" w:rsidR="006A02B1" w:rsidRPr="00D86A14" w:rsidRDefault="006A02B1" w:rsidP="006A02B1">
      <w:pPr>
        <w:pStyle w:val="ACMABulletLevel1"/>
      </w:pPr>
      <w:r w:rsidRPr="00D86A14">
        <w:t xml:space="preserve">The identity of the person making a statement (whether as interviewer or interviewee) will often be relevant but not determinative of whether a statement is factual material. </w:t>
      </w:r>
    </w:p>
    <w:p w14:paraId="51B1D9E1" w14:textId="77777777" w:rsidR="006A02B1" w:rsidRPr="00D86A14" w:rsidRDefault="006A02B1" w:rsidP="006A02B1">
      <w:pPr>
        <w:pStyle w:val="ACMABulletLevel1"/>
      </w:pPr>
      <w:r w:rsidRPr="00D86A14">
        <w:t>Where it is clear in the broadcast that an interviewee’s account is subjective and contestable, and it is not endorsed or corroborated, their allegations will not be considered as factual assertions.</w:t>
      </w:r>
    </w:p>
    <w:p w14:paraId="2F007078" w14:textId="77777777" w:rsidR="006A02B1" w:rsidRPr="00D86A14" w:rsidRDefault="006A02B1" w:rsidP="006A02B1">
      <w:pPr>
        <w:pStyle w:val="ACMABulletLevel1"/>
      </w:pPr>
      <w:r w:rsidRPr="00D86A14">
        <w:t>Where an interviewee’s stance is separately asserted or reinforced by the reporter or presenter, or proof of an allegation is offered so that it becomes the foundation on which a program or a critical element of the program is built, it may be considered a factual assertion.</w:t>
      </w:r>
      <w:r w:rsidRPr="00D86A14">
        <w:rPr>
          <w:rStyle w:val="FootnoteReference"/>
          <w:rFonts w:cs="Arial"/>
        </w:rPr>
        <w:footnoteReference w:id="5"/>
      </w:r>
      <w:r w:rsidRPr="00D86A14">
        <w:t xml:space="preserve"> </w:t>
      </w:r>
    </w:p>
    <w:p w14:paraId="3EE77C5E" w14:textId="77777777" w:rsidR="006A02B1" w:rsidRPr="00D86A14" w:rsidRDefault="006A02B1" w:rsidP="006A02B1">
      <w:pPr>
        <w:pStyle w:val="ACMABulletLevel1"/>
      </w:pPr>
      <w:r w:rsidRPr="00D86A14">
        <w:t>Sources with expertise may be relied on more heavily than those without, in determining whether material is factual, but this will depend on:</w:t>
      </w:r>
    </w:p>
    <w:p w14:paraId="519AF4A5" w14:textId="77777777" w:rsidR="006A02B1" w:rsidRPr="00D86A14" w:rsidRDefault="006A02B1" w:rsidP="006A02B1">
      <w:pPr>
        <w:pStyle w:val="ACMABulletLevel2"/>
      </w:pPr>
      <w:r w:rsidRPr="00D86A14">
        <w:lastRenderedPageBreak/>
        <w:t>whether the statements are merely corroborative of ‘lay’ accou</w:t>
      </w:r>
      <w:r w:rsidR="00EF7A2A">
        <w:t>nts given by other interviewees</w:t>
      </w:r>
      <w:r w:rsidRPr="00D86A14">
        <w:t xml:space="preserve"> </w:t>
      </w:r>
    </w:p>
    <w:p w14:paraId="40A83742" w14:textId="77777777" w:rsidR="006A02B1" w:rsidRPr="00D86A14" w:rsidRDefault="006A02B1" w:rsidP="006A02B1">
      <w:pPr>
        <w:pStyle w:val="ACMABulletLevel2"/>
      </w:pPr>
      <w:r w:rsidRPr="00D86A14">
        <w:t>th</w:t>
      </w:r>
      <w:r w:rsidR="00EF7A2A">
        <w:t>e qualifications of the expert</w:t>
      </w:r>
    </w:p>
    <w:p w14:paraId="105CA63D" w14:textId="77777777" w:rsidR="006A02B1" w:rsidRPr="00D86A14" w:rsidRDefault="006A02B1" w:rsidP="006A02B1">
      <w:pPr>
        <w:pStyle w:val="ACMABulletLevel2"/>
      </w:pPr>
      <w:r w:rsidRPr="00D86A14">
        <w:t>whether their stat</w:t>
      </w:r>
      <w:r w:rsidR="00EF7A2A">
        <w:t>ements are described as opinion</w:t>
      </w:r>
      <w:r w:rsidRPr="00D86A14">
        <w:t xml:space="preserve"> </w:t>
      </w:r>
    </w:p>
    <w:p w14:paraId="4D621BAC" w14:textId="77777777" w:rsidR="006A02B1" w:rsidRPr="00D86A14" w:rsidRDefault="006A02B1" w:rsidP="006A02B1">
      <w:pPr>
        <w:pStyle w:val="ACMABulletLevel2"/>
      </w:pPr>
      <w:r w:rsidRPr="00D86A14">
        <w:t>whether their statements concern past or future events</w:t>
      </w:r>
      <w:r w:rsidRPr="00D86A14">
        <w:rPr>
          <w:rStyle w:val="FootnoteReference"/>
        </w:rPr>
        <w:footnoteReference w:id="6"/>
      </w:r>
      <w:r w:rsidRPr="00D86A14">
        <w:t xml:space="preserve"> </w:t>
      </w:r>
    </w:p>
    <w:p w14:paraId="47CC6116" w14:textId="77777777" w:rsidR="00934ECC" w:rsidRDefault="006A02B1" w:rsidP="006877FC">
      <w:pPr>
        <w:pStyle w:val="ACMABulletLevel2"/>
      </w:pPr>
      <w:r w:rsidRPr="00D86A14">
        <w:t>whether they are simply comments made on another person’s account of events or a separate assertion about matters within their expertise.</w:t>
      </w:r>
      <w:r w:rsidR="006877FC">
        <w:t xml:space="preserve"> </w:t>
      </w:r>
    </w:p>
    <w:sectPr w:rsidR="00934ECC" w:rsidSect="0033104B">
      <w:headerReference w:type="even" r:id="rId11"/>
      <w:headerReference w:type="default"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D9BEB1" w14:textId="77777777" w:rsidR="00CB1472" w:rsidRDefault="00CB1472">
      <w:r>
        <w:separator/>
      </w:r>
    </w:p>
  </w:endnote>
  <w:endnote w:type="continuationSeparator" w:id="0">
    <w:p w14:paraId="63C61F55" w14:textId="77777777" w:rsidR="00CB1472" w:rsidRDefault="00CB1472">
      <w:r>
        <w:continuationSeparator/>
      </w:r>
    </w:p>
  </w:endnote>
  <w:endnote w:type="continuationNotice" w:id="1">
    <w:p w14:paraId="7FE66E72" w14:textId="77777777" w:rsidR="00CB1472" w:rsidRDefault="00CB1472">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Times New Roman"/>
    <w:panose1 w:val="00000000000000000000"/>
    <w:charset w:val="00"/>
    <w:family w:val="swiss"/>
    <w:notTrueType/>
    <w:pitch w:val="variable"/>
    <w:sig w:usb0="00000003"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847C69" w14:textId="77777777" w:rsidR="00BB1820" w:rsidRDefault="00BB1820">
    <w:pPr>
      <w:framePr w:wrap="around" w:vAnchor="text" w:hAnchor="margin" w:xAlign="right" w:y="1"/>
    </w:pPr>
    <w:r>
      <w:fldChar w:fldCharType="begin"/>
    </w:r>
    <w:r>
      <w:instrText xml:space="preserve">PAGE  </w:instrText>
    </w:r>
    <w:r>
      <w:fldChar w:fldCharType="end"/>
    </w:r>
  </w:p>
  <w:p w14:paraId="71A5916C" w14:textId="77777777" w:rsidR="00BB1820" w:rsidRDefault="00BB1820">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B25DF8" w14:textId="1BD33102" w:rsidR="00BB1820" w:rsidRPr="00816ADF" w:rsidRDefault="00BB1820" w:rsidP="00EF7A2A">
    <w:pPr>
      <w:pStyle w:val="ACMAFooter"/>
      <w:rPr>
        <w:sz w:val="16"/>
        <w:szCs w:val="16"/>
      </w:rPr>
    </w:pPr>
    <w:r w:rsidRPr="00816ADF">
      <w:rPr>
        <w:sz w:val="16"/>
        <w:szCs w:val="16"/>
      </w:rPr>
      <w:t>ACMA</w:t>
    </w:r>
    <w:r>
      <w:rPr>
        <w:sz w:val="16"/>
        <w:szCs w:val="16"/>
      </w:rPr>
      <w:t xml:space="preserve"> </w:t>
    </w:r>
    <w:r w:rsidRPr="00816ADF">
      <w:rPr>
        <w:sz w:val="16"/>
        <w:szCs w:val="16"/>
      </w:rPr>
      <w:t xml:space="preserve">Investigation </w:t>
    </w:r>
    <w:r>
      <w:rPr>
        <w:sz w:val="16"/>
        <w:szCs w:val="16"/>
      </w:rPr>
      <w:t>r</w:t>
    </w:r>
    <w:r w:rsidRPr="00816ADF">
      <w:rPr>
        <w:sz w:val="16"/>
        <w:szCs w:val="16"/>
      </w:rPr>
      <w:t>eport—</w:t>
    </w:r>
    <w:r>
      <w:rPr>
        <w:i/>
        <w:sz w:val="16"/>
        <w:szCs w:val="16"/>
      </w:rPr>
      <w:t>Nine News</w:t>
    </w:r>
    <w:r w:rsidRPr="00816ADF">
      <w:rPr>
        <w:sz w:val="16"/>
        <w:szCs w:val="16"/>
      </w:rPr>
      <w:t xml:space="preserve"> </w:t>
    </w:r>
    <w:r>
      <w:rPr>
        <w:sz w:val="16"/>
        <w:szCs w:val="16"/>
      </w:rPr>
      <w:t xml:space="preserve">and program promotion for </w:t>
    </w:r>
    <w:r w:rsidRPr="007C6A2F">
      <w:rPr>
        <w:i/>
        <w:iCs/>
        <w:sz w:val="16"/>
        <w:szCs w:val="16"/>
      </w:rPr>
      <w:t>Nine News</w:t>
    </w:r>
    <w:r>
      <w:rPr>
        <w:sz w:val="16"/>
        <w:szCs w:val="16"/>
      </w:rPr>
      <w:t xml:space="preserve"> </w:t>
    </w:r>
    <w:r w:rsidRPr="00816ADF">
      <w:rPr>
        <w:sz w:val="16"/>
        <w:szCs w:val="16"/>
      </w:rPr>
      <w:t xml:space="preserve">broadcast </w:t>
    </w:r>
    <w:r>
      <w:rPr>
        <w:sz w:val="16"/>
        <w:szCs w:val="16"/>
      </w:rPr>
      <w:t>on</w:t>
    </w:r>
    <w:r w:rsidRPr="00816ADF">
      <w:rPr>
        <w:sz w:val="16"/>
        <w:szCs w:val="16"/>
      </w:rPr>
      <w:t xml:space="preserve"> </w:t>
    </w:r>
    <w:r>
      <w:rPr>
        <w:sz w:val="16"/>
        <w:szCs w:val="16"/>
      </w:rPr>
      <w:t>Nine</w:t>
    </w:r>
    <w:r w:rsidRPr="00816ADF">
      <w:rPr>
        <w:sz w:val="16"/>
        <w:szCs w:val="16"/>
      </w:rPr>
      <w:t xml:space="preserve"> on </w:t>
    </w:r>
    <w:r>
      <w:rPr>
        <w:sz w:val="16"/>
        <w:szCs w:val="16"/>
      </w:rPr>
      <w:t>23 May 2019 and 24 May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B60CE9">
      <w:rPr>
        <w:noProof/>
        <w:sz w:val="16"/>
        <w:szCs w:val="16"/>
      </w:rPr>
      <w:t>28</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6C0F03" w14:textId="77777777" w:rsidR="00BB1820" w:rsidRPr="00211185" w:rsidRDefault="00BB1820" w:rsidP="009B461B">
    <w:pPr>
      <w:pStyle w:val="Footer"/>
    </w:pPr>
    <w:r>
      <w:rPr>
        <w:noProof/>
        <w:lang w:eastAsia="en-AU"/>
      </w:rPr>
      <w:drawing>
        <wp:inline distT="0" distB="0" distL="0" distR="0" wp14:anchorId="2D660CF4" wp14:editId="3F0BC2CF">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C61A9D0" w14:textId="77777777" w:rsidR="00CB1472" w:rsidRDefault="00CB1472">
      <w:r>
        <w:separator/>
      </w:r>
    </w:p>
  </w:footnote>
  <w:footnote w:type="continuationSeparator" w:id="0">
    <w:p w14:paraId="636C111E" w14:textId="77777777" w:rsidR="00CB1472" w:rsidRDefault="00CB1472">
      <w:r>
        <w:continuationSeparator/>
      </w:r>
    </w:p>
  </w:footnote>
  <w:footnote w:type="continuationNotice" w:id="1">
    <w:p w14:paraId="0BB88C27" w14:textId="77777777" w:rsidR="00CB1472" w:rsidRDefault="00CB1472">
      <w:pPr>
        <w:spacing w:before="0" w:after="0" w:line="240" w:lineRule="auto"/>
      </w:pPr>
    </w:p>
  </w:footnote>
  <w:footnote w:id="2">
    <w:p w14:paraId="7DF02862" w14:textId="77777777" w:rsidR="00BB1820" w:rsidRDefault="00BB1820" w:rsidP="00F63E6E">
      <w:pPr>
        <w:pStyle w:val="FootnoteText"/>
      </w:pPr>
      <w:r>
        <w:rPr>
          <w:rStyle w:val="FootnoteReference"/>
        </w:rPr>
        <w:footnoteRef/>
      </w:r>
      <w:r>
        <w:t xml:space="preserve"> </w:t>
      </w:r>
      <w:r w:rsidRPr="00A94E28">
        <w:t>https://www.macquariedictionary.com.au/features/word/search/?search_word_type=Dictionary&amp;word=Machine+Gun accessed 23 October 2019</w:t>
      </w:r>
    </w:p>
  </w:footnote>
  <w:footnote w:id="3">
    <w:p w14:paraId="6CD3A360" w14:textId="59E55144" w:rsidR="00BB1820" w:rsidRDefault="00BB1820">
      <w:pPr>
        <w:pStyle w:val="FootnoteText"/>
      </w:pPr>
      <w:r>
        <w:rPr>
          <w:rStyle w:val="FootnoteReference"/>
        </w:rPr>
        <w:footnoteRef/>
      </w:r>
      <w:r w:rsidRPr="005B1063">
        <w:t>https://www.macquariedictionary.com.au/features/word/search/?search_word_type=Dictionary&amp;word=semiautomatic</w:t>
      </w:r>
    </w:p>
  </w:footnote>
  <w:footnote w:id="4">
    <w:p w14:paraId="13389290" w14:textId="77777777" w:rsidR="00BB1820" w:rsidRDefault="00BB1820" w:rsidP="005F5B4E">
      <w:pPr>
        <w:pStyle w:val="FootnoteText"/>
        <w:rPr>
          <w:lang w:val="en-US"/>
        </w:rPr>
      </w:pPr>
      <w:r>
        <w:rPr>
          <w:rStyle w:val="FootnoteReference"/>
        </w:rPr>
        <w:footnoteRef/>
      </w:r>
      <w:r>
        <w:t xml:space="preserve"> </w:t>
      </w:r>
      <w:r>
        <w:rPr>
          <w:i/>
        </w:rPr>
        <w:t>Amalgamated Television Services Pty Limited v Marsden</w:t>
      </w:r>
      <w:r>
        <w:t xml:space="preserve"> (1998) 43 NSWLR 158 at pp 164–167.</w:t>
      </w:r>
      <w:r>
        <w:rPr>
          <w:rFonts w:cs="Arial"/>
          <w:szCs w:val="16"/>
        </w:rPr>
        <w:t xml:space="preserve">  </w:t>
      </w:r>
    </w:p>
  </w:footnote>
  <w:footnote w:id="5">
    <w:p w14:paraId="7E3DDA10" w14:textId="77777777" w:rsidR="00BB1820" w:rsidRPr="003C7500" w:rsidRDefault="00BB1820" w:rsidP="00E46944">
      <w:pPr>
        <w:pStyle w:val="FootnoteText"/>
        <w:rPr>
          <w:rFonts w:cs="Arial"/>
          <w:sz w:val="18"/>
          <w:szCs w:val="18"/>
          <w:lang w:val="en-US"/>
        </w:rPr>
      </w:pPr>
      <w:r>
        <w:rPr>
          <w:rStyle w:val="FootnoteReference"/>
        </w:rPr>
        <w:footnoteRef/>
      </w:r>
      <w:r>
        <w:t xml:space="preserve"> See I</w:t>
      </w:r>
      <w:r w:rsidRPr="006A02B1">
        <w:t>nvestigation 2712</w:t>
      </w:r>
      <w:r w:rsidRPr="00E46944">
        <w:t xml:space="preserve"> </w:t>
      </w:r>
      <w:r w:rsidRPr="003956A9">
        <w:rPr>
          <w:lang w:eastAsia="en-AU"/>
        </w:rPr>
        <w:t>(</w:t>
      </w:r>
      <w:r>
        <w:rPr>
          <w:i/>
          <w:lang w:eastAsia="en-AU"/>
        </w:rPr>
        <w:t>Today Tonight</w:t>
      </w:r>
      <w:r w:rsidRPr="003956A9">
        <w:rPr>
          <w:lang w:eastAsia="en-AU"/>
        </w:rPr>
        <w:t xml:space="preserve"> broadcast </w:t>
      </w:r>
      <w:r w:rsidRPr="00ED4A70">
        <w:rPr>
          <w:lang w:eastAsia="en-AU"/>
        </w:rPr>
        <w:t>on Seven on 25 July 2011)</w:t>
      </w:r>
      <w:r w:rsidRPr="00ED4A70">
        <w:t xml:space="preserve">; </w:t>
      </w:r>
      <w:r w:rsidRPr="006A02B1">
        <w:t>Channel Seven Adelaide Pty Limited v Australian Communications and Media Authority</w:t>
      </w:r>
      <w:r>
        <w:t xml:space="preserve"> [2014] </w:t>
      </w:r>
      <w:r w:rsidRPr="001164DF">
        <w:rPr>
          <w:i/>
        </w:rPr>
        <w:t>FCA</w:t>
      </w:r>
      <w:r>
        <w:t xml:space="preserve"> 667.</w:t>
      </w:r>
    </w:p>
  </w:footnote>
  <w:footnote w:id="6">
    <w:p w14:paraId="25E39D09" w14:textId="77777777" w:rsidR="00BB1820" w:rsidRPr="00E46944" w:rsidRDefault="00BB1820" w:rsidP="00E46944">
      <w:pPr>
        <w:pStyle w:val="FootnoteText"/>
        <w:ind w:left="284" w:hanging="284"/>
        <w:rPr>
          <w:rFonts w:cs="Arial"/>
          <w:szCs w:val="22"/>
        </w:rPr>
      </w:pPr>
      <w:r w:rsidRPr="00207F07">
        <w:rPr>
          <w:rStyle w:val="FootnoteReference"/>
          <w:rFonts w:cs="Arial"/>
          <w:sz w:val="18"/>
          <w:szCs w:val="18"/>
        </w:rPr>
        <w:footnoteRef/>
      </w:r>
      <w:r w:rsidRPr="00207F07">
        <w:rPr>
          <w:rFonts w:cs="Arial"/>
          <w:sz w:val="18"/>
          <w:szCs w:val="18"/>
        </w:rPr>
        <w:t xml:space="preserve"> </w:t>
      </w:r>
      <w:r>
        <w:rPr>
          <w:lang w:eastAsia="en-AU"/>
        </w:rPr>
        <w:t>See</w:t>
      </w:r>
      <w:r w:rsidRPr="003956A9">
        <w:rPr>
          <w:rFonts w:cs="Arial"/>
          <w:lang w:eastAsia="en-AU"/>
        </w:rPr>
        <w:t xml:space="preserve"> Investigation</w:t>
      </w:r>
      <w:r w:rsidRPr="003956A9">
        <w:rPr>
          <w:lang w:eastAsia="en-AU"/>
        </w:rPr>
        <w:t xml:space="preserve"> 3066 (</w:t>
      </w:r>
      <w:r w:rsidRPr="003956A9">
        <w:rPr>
          <w:i/>
          <w:lang w:eastAsia="en-AU"/>
        </w:rPr>
        <w:t>Four Corners</w:t>
      </w:r>
      <w:r w:rsidRPr="003956A9">
        <w:rPr>
          <w:lang w:eastAsia="en-AU"/>
        </w:rPr>
        <w:t xml:space="preserve"> broadcast on ABC on 23 J</w:t>
      </w:r>
      <w:r>
        <w:rPr>
          <w:lang w:eastAsia="en-AU"/>
        </w:rPr>
        <w:t xml:space="preserve">uly 2012) and Investigation 2961 </w:t>
      </w:r>
      <w:r w:rsidRPr="003956A9">
        <w:rPr>
          <w:lang w:eastAsia="en-AU"/>
        </w:rPr>
        <w:t>(</w:t>
      </w:r>
      <w:r w:rsidRPr="003956A9">
        <w:rPr>
          <w:i/>
          <w:lang w:eastAsia="en-AU"/>
        </w:rPr>
        <w:t xml:space="preserve">The Alan Jones </w:t>
      </w:r>
      <w:r>
        <w:rPr>
          <w:i/>
          <w:lang w:eastAsia="en-AU"/>
        </w:rPr>
        <w:t xml:space="preserve">   </w:t>
      </w:r>
      <w:r w:rsidRPr="003956A9">
        <w:rPr>
          <w:i/>
          <w:lang w:eastAsia="en-AU"/>
        </w:rPr>
        <w:t>Breakfast Show</w:t>
      </w:r>
      <w:r w:rsidRPr="003956A9">
        <w:rPr>
          <w:lang w:eastAsia="en-AU"/>
        </w:rPr>
        <w:t xml:space="preserve"> broadcast on 2GB on 19 October 2012).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F9FCC8" w14:textId="567B321A" w:rsidR="00BB1820" w:rsidRDefault="00BB1820">
    <w:r>
      <w:fldChar w:fldCharType="begin"/>
    </w:r>
    <w:r>
      <w:instrText xml:space="preserve"> REF ReportTitle \h </w:instrText>
    </w:r>
    <w:r>
      <w:fldChar w:fldCharType="separate"/>
    </w:r>
    <w:r w:rsidR="00C653AB">
      <w:rPr>
        <w:b/>
        <w:bCs/>
        <w:lang w:val="en-US"/>
      </w:rPr>
      <w:t>Error! Reference source not found.</w:t>
    </w:r>
    <w:r>
      <w:fldChar w:fldCharType="end"/>
    </w:r>
  </w:p>
  <w:p w14:paraId="1A634685" w14:textId="77777777" w:rsidR="00BB1820" w:rsidRDefault="00BB1820"/>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5A2494" w14:textId="6986C55D" w:rsidR="00BB1820" w:rsidRDefault="00BB1820" w:rsidP="00B30A6C">
    <w:pPr>
      <w:pStyle w:val="ACMAInConfidence"/>
    </w:pPr>
  </w:p>
  <w:p w14:paraId="333A0B45" w14:textId="7635415B" w:rsidR="00BB1820" w:rsidRPr="001164DF" w:rsidRDefault="00BB1820" w:rsidP="001164DF">
    <w:pPr>
      <w:pStyle w:val="ACMABodyText0"/>
      <w:spacing w:after="360"/>
      <w:jc w:val="center"/>
      <w:rPr>
        <w:rFonts w:ascii="Arial" w:hAnsi="Arial" w:cs="Arial"/>
        <w:b/>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A94EB9" w14:textId="04B4763A" w:rsidR="00BB1820" w:rsidRDefault="00BB1820" w:rsidP="00521BCF">
    <w:pPr>
      <w:pStyle w:val="ACMAInConfidence"/>
    </w:pPr>
  </w:p>
  <w:p w14:paraId="2B1CA576" w14:textId="77777777" w:rsidR="00BB1820" w:rsidRDefault="00BB1820" w:rsidP="00521BCF">
    <w:pPr>
      <w:pStyle w:val="ACMAInConfidence"/>
    </w:pPr>
  </w:p>
  <w:p w14:paraId="1794C772" w14:textId="77777777" w:rsidR="00BB1820" w:rsidRPr="005F22AA" w:rsidRDefault="00BB1820" w:rsidP="005F22AA">
    <w:pPr>
      <w:pStyle w:val="ACMAHeaderGraphicSpace"/>
    </w:pPr>
    <w:r>
      <w:rPr>
        <w:noProof/>
        <w:snapToGrid/>
        <w:lang w:eastAsia="en-AU"/>
      </w:rPr>
      <w:drawing>
        <wp:inline distT="0" distB="0" distL="0" distR="0" wp14:anchorId="2D188C69" wp14:editId="21CF6BC4">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655FF"/>
    <w:multiLevelType w:val="hybridMultilevel"/>
    <w:tmpl w:val="9FA85EAC"/>
    <w:lvl w:ilvl="0" w:tplc="0C09000F">
      <w:start w:val="1"/>
      <w:numFmt w:val="decimal"/>
      <w:lvlText w:val="%1."/>
      <w:lvlJc w:val="left"/>
      <w:pPr>
        <w:ind w:left="1855" w:hanging="360"/>
      </w:pPr>
    </w:lvl>
    <w:lvl w:ilvl="1" w:tplc="0C090019" w:tentative="1">
      <w:start w:val="1"/>
      <w:numFmt w:val="lowerLetter"/>
      <w:lvlText w:val="%2."/>
      <w:lvlJc w:val="left"/>
      <w:pPr>
        <w:ind w:left="2575" w:hanging="360"/>
      </w:pPr>
    </w:lvl>
    <w:lvl w:ilvl="2" w:tplc="0C09001B" w:tentative="1">
      <w:start w:val="1"/>
      <w:numFmt w:val="lowerRoman"/>
      <w:lvlText w:val="%3."/>
      <w:lvlJc w:val="right"/>
      <w:pPr>
        <w:ind w:left="3295" w:hanging="180"/>
      </w:pPr>
    </w:lvl>
    <w:lvl w:ilvl="3" w:tplc="0C09000F" w:tentative="1">
      <w:start w:val="1"/>
      <w:numFmt w:val="decimal"/>
      <w:lvlText w:val="%4."/>
      <w:lvlJc w:val="left"/>
      <w:pPr>
        <w:ind w:left="4015" w:hanging="360"/>
      </w:pPr>
    </w:lvl>
    <w:lvl w:ilvl="4" w:tplc="0C090019" w:tentative="1">
      <w:start w:val="1"/>
      <w:numFmt w:val="lowerLetter"/>
      <w:lvlText w:val="%5."/>
      <w:lvlJc w:val="left"/>
      <w:pPr>
        <w:ind w:left="4735" w:hanging="360"/>
      </w:pPr>
    </w:lvl>
    <w:lvl w:ilvl="5" w:tplc="0C09001B" w:tentative="1">
      <w:start w:val="1"/>
      <w:numFmt w:val="lowerRoman"/>
      <w:lvlText w:val="%6."/>
      <w:lvlJc w:val="right"/>
      <w:pPr>
        <w:ind w:left="5455" w:hanging="180"/>
      </w:pPr>
    </w:lvl>
    <w:lvl w:ilvl="6" w:tplc="0C09000F" w:tentative="1">
      <w:start w:val="1"/>
      <w:numFmt w:val="decimal"/>
      <w:lvlText w:val="%7."/>
      <w:lvlJc w:val="left"/>
      <w:pPr>
        <w:ind w:left="6175" w:hanging="360"/>
      </w:pPr>
    </w:lvl>
    <w:lvl w:ilvl="7" w:tplc="0C090019" w:tentative="1">
      <w:start w:val="1"/>
      <w:numFmt w:val="lowerLetter"/>
      <w:lvlText w:val="%8."/>
      <w:lvlJc w:val="left"/>
      <w:pPr>
        <w:ind w:left="6895" w:hanging="360"/>
      </w:pPr>
    </w:lvl>
    <w:lvl w:ilvl="8" w:tplc="0C09001B" w:tentative="1">
      <w:start w:val="1"/>
      <w:numFmt w:val="lowerRoman"/>
      <w:lvlText w:val="%9."/>
      <w:lvlJc w:val="right"/>
      <w:pPr>
        <w:ind w:left="7615"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3C4395"/>
    <w:multiLevelType w:val="hybridMultilevel"/>
    <w:tmpl w:val="C36C8CC8"/>
    <w:lvl w:ilvl="0" w:tplc="CBA077E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3740699"/>
    <w:multiLevelType w:val="hybridMultilevel"/>
    <w:tmpl w:val="905A633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5243351"/>
    <w:multiLevelType w:val="hybridMultilevel"/>
    <w:tmpl w:val="60529B20"/>
    <w:lvl w:ilvl="0" w:tplc="88E67EF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902147E"/>
    <w:multiLevelType w:val="hybridMultilevel"/>
    <w:tmpl w:val="5A0269CE"/>
    <w:lvl w:ilvl="0" w:tplc="7974DAFA">
      <w:start w:val="1"/>
      <w:numFmt w:val="decimal"/>
      <w:lvlText w:val="%1.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22414122"/>
    <w:multiLevelType w:val="hybridMultilevel"/>
    <w:tmpl w:val="DB0622AE"/>
    <w:lvl w:ilvl="0" w:tplc="6D8C0A58">
      <w:start w:val="1"/>
      <w:numFmt w:val="bullet"/>
      <w:lvlText w:val=""/>
      <w:lvlJc w:val="left"/>
      <w:pPr>
        <w:ind w:left="769" w:hanging="360"/>
      </w:pPr>
      <w:rPr>
        <w:rFonts w:ascii="Symbol" w:hAnsi="Symbol" w:hint="default"/>
      </w:rPr>
    </w:lvl>
    <w:lvl w:ilvl="1" w:tplc="0C090003">
      <w:start w:val="1"/>
      <w:numFmt w:val="bullet"/>
      <w:lvlText w:val="o"/>
      <w:lvlJc w:val="left"/>
      <w:pPr>
        <w:ind w:left="1489" w:hanging="360"/>
      </w:pPr>
      <w:rPr>
        <w:rFonts w:ascii="Courier New" w:hAnsi="Courier New" w:cs="Courier New" w:hint="default"/>
      </w:rPr>
    </w:lvl>
    <w:lvl w:ilvl="2" w:tplc="0C090005">
      <w:start w:val="1"/>
      <w:numFmt w:val="bullet"/>
      <w:lvlText w:val=""/>
      <w:lvlJc w:val="left"/>
      <w:pPr>
        <w:ind w:left="2209" w:hanging="360"/>
      </w:pPr>
      <w:rPr>
        <w:rFonts w:ascii="Wingdings" w:hAnsi="Wingdings" w:hint="default"/>
      </w:rPr>
    </w:lvl>
    <w:lvl w:ilvl="3" w:tplc="0C090001">
      <w:start w:val="1"/>
      <w:numFmt w:val="bullet"/>
      <w:lvlText w:val=""/>
      <w:lvlJc w:val="left"/>
      <w:pPr>
        <w:ind w:left="2929" w:hanging="360"/>
      </w:pPr>
      <w:rPr>
        <w:rFonts w:ascii="Symbol" w:hAnsi="Symbol" w:hint="default"/>
      </w:rPr>
    </w:lvl>
    <w:lvl w:ilvl="4" w:tplc="0C090003">
      <w:start w:val="1"/>
      <w:numFmt w:val="bullet"/>
      <w:lvlText w:val="o"/>
      <w:lvlJc w:val="left"/>
      <w:pPr>
        <w:ind w:left="3649" w:hanging="360"/>
      </w:pPr>
      <w:rPr>
        <w:rFonts w:ascii="Courier New" w:hAnsi="Courier New" w:cs="Courier New" w:hint="default"/>
      </w:rPr>
    </w:lvl>
    <w:lvl w:ilvl="5" w:tplc="0C090005">
      <w:start w:val="1"/>
      <w:numFmt w:val="bullet"/>
      <w:lvlText w:val=""/>
      <w:lvlJc w:val="left"/>
      <w:pPr>
        <w:ind w:left="4369" w:hanging="360"/>
      </w:pPr>
      <w:rPr>
        <w:rFonts w:ascii="Wingdings" w:hAnsi="Wingdings" w:hint="default"/>
      </w:rPr>
    </w:lvl>
    <w:lvl w:ilvl="6" w:tplc="0C090001">
      <w:start w:val="1"/>
      <w:numFmt w:val="bullet"/>
      <w:lvlText w:val=""/>
      <w:lvlJc w:val="left"/>
      <w:pPr>
        <w:ind w:left="5089" w:hanging="360"/>
      </w:pPr>
      <w:rPr>
        <w:rFonts w:ascii="Symbol" w:hAnsi="Symbol" w:hint="default"/>
      </w:rPr>
    </w:lvl>
    <w:lvl w:ilvl="7" w:tplc="0C090003">
      <w:start w:val="1"/>
      <w:numFmt w:val="bullet"/>
      <w:lvlText w:val="o"/>
      <w:lvlJc w:val="left"/>
      <w:pPr>
        <w:ind w:left="5809" w:hanging="360"/>
      </w:pPr>
      <w:rPr>
        <w:rFonts w:ascii="Courier New" w:hAnsi="Courier New" w:cs="Courier New" w:hint="default"/>
      </w:rPr>
    </w:lvl>
    <w:lvl w:ilvl="8" w:tplc="0C090005">
      <w:start w:val="1"/>
      <w:numFmt w:val="bullet"/>
      <w:lvlText w:val=""/>
      <w:lvlJc w:val="left"/>
      <w:pPr>
        <w:ind w:left="6529" w:hanging="360"/>
      </w:pPr>
      <w:rPr>
        <w:rFonts w:ascii="Wingdings" w:hAnsi="Wingdings" w:hint="default"/>
      </w:rPr>
    </w:lvl>
  </w:abstractNum>
  <w:abstractNum w:abstractNumId="8"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91D7517"/>
    <w:multiLevelType w:val="hybridMultilevel"/>
    <w:tmpl w:val="32902182"/>
    <w:lvl w:ilvl="0" w:tplc="90302786">
      <w:start w:val="1"/>
      <w:numFmt w:val="decimal"/>
      <w:lvlText w:val="%1.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2EB91EC0"/>
    <w:multiLevelType w:val="multilevel"/>
    <w:tmpl w:val="C41AA146"/>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3"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4"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4DDD5018"/>
    <w:multiLevelType w:val="hybridMultilevel"/>
    <w:tmpl w:val="40F8F678"/>
    <w:lvl w:ilvl="0" w:tplc="CC54570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53604B2F"/>
    <w:multiLevelType w:val="hybridMultilevel"/>
    <w:tmpl w:val="2E444E5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660A5909"/>
    <w:multiLevelType w:val="multilevel"/>
    <w:tmpl w:val="FD2884F0"/>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F9002F3"/>
    <w:multiLevelType w:val="multilevel"/>
    <w:tmpl w:val="C720C3D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2"/>
  </w:num>
  <w:num w:numId="2">
    <w:abstractNumId w:val="1"/>
  </w:num>
  <w:num w:numId="3">
    <w:abstractNumId w:val="13"/>
  </w:num>
  <w:num w:numId="4">
    <w:abstractNumId w:val="22"/>
  </w:num>
  <w:num w:numId="5">
    <w:abstractNumId w:val="18"/>
  </w:num>
  <w:num w:numId="6">
    <w:abstractNumId w:val="14"/>
  </w:num>
  <w:num w:numId="7">
    <w:abstractNumId w:val="10"/>
  </w:num>
  <w:num w:numId="8">
    <w:abstractNumId w:val="3"/>
  </w:num>
  <w:num w:numId="9">
    <w:abstractNumId w:val="0"/>
  </w:num>
  <w:num w:numId="10">
    <w:abstractNumId w:val="19"/>
  </w:num>
  <w:num w:numId="11">
    <w:abstractNumId w:val="23"/>
  </w:num>
  <w:num w:numId="12">
    <w:abstractNumId w:val="16"/>
  </w:num>
  <w:num w:numId="13">
    <w:abstractNumId w:val="8"/>
  </w:num>
  <w:num w:numId="14">
    <w:abstractNumId w:val="24"/>
  </w:num>
  <w:num w:numId="15">
    <w:abstractNumId w:val="21"/>
  </w:num>
  <w:num w:numId="16">
    <w:abstractNumId w:val="26"/>
  </w:num>
  <w:num w:numId="17">
    <w:abstractNumId w:val="7"/>
  </w:num>
  <w:num w:numId="18">
    <w:abstractNumId w:val="2"/>
  </w:num>
  <w:num w:numId="19">
    <w:abstractNumId w:val="17"/>
  </w:num>
  <w:num w:numId="20">
    <w:abstractNumId w:val="4"/>
  </w:num>
  <w:num w:numId="21">
    <w:abstractNumId w:val="6"/>
  </w:num>
  <w:num w:numId="22">
    <w:abstractNumId w:val="9"/>
  </w:num>
  <w:num w:numId="23">
    <w:abstractNumId w:val="11"/>
  </w:num>
  <w:num w:numId="24">
    <w:abstractNumId w:val="5"/>
  </w:num>
  <w:num w:numId="25">
    <w:abstractNumId w:val="25"/>
  </w:num>
  <w:num w:numId="26">
    <w:abstractNumId w:val="20"/>
  </w:num>
  <w:num w:numId="27">
    <w:abstractNumId w:val="1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efaultTabStop w:val="720"/>
  <w:noPunctuationKerning/>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12BA"/>
    <w:rsid w:val="0000161D"/>
    <w:rsid w:val="0000249A"/>
    <w:rsid w:val="000027FC"/>
    <w:rsid w:val="00003ED7"/>
    <w:rsid w:val="00004209"/>
    <w:rsid w:val="000043CE"/>
    <w:rsid w:val="000045F1"/>
    <w:rsid w:val="00004A0E"/>
    <w:rsid w:val="0000588E"/>
    <w:rsid w:val="0000661F"/>
    <w:rsid w:val="00006BB1"/>
    <w:rsid w:val="000101EF"/>
    <w:rsid w:val="000107A5"/>
    <w:rsid w:val="00010895"/>
    <w:rsid w:val="00012542"/>
    <w:rsid w:val="00012C5D"/>
    <w:rsid w:val="00013EAC"/>
    <w:rsid w:val="0001483A"/>
    <w:rsid w:val="000153E7"/>
    <w:rsid w:val="00015AD9"/>
    <w:rsid w:val="00015FD7"/>
    <w:rsid w:val="00016465"/>
    <w:rsid w:val="00017619"/>
    <w:rsid w:val="00017C2E"/>
    <w:rsid w:val="00021597"/>
    <w:rsid w:val="00021873"/>
    <w:rsid w:val="000219F2"/>
    <w:rsid w:val="000226AD"/>
    <w:rsid w:val="0002324B"/>
    <w:rsid w:val="000238DF"/>
    <w:rsid w:val="00023E77"/>
    <w:rsid w:val="00024D00"/>
    <w:rsid w:val="00024FC0"/>
    <w:rsid w:val="000251B2"/>
    <w:rsid w:val="0002551D"/>
    <w:rsid w:val="000255E2"/>
    <w:rsid w:val="00026ECE"/>
    <w:rsid w:val="000307EE"/>
    <w:rsid w:val="00030F54"/>
    <w:rsid w:val="000332CF"/>
    <w:rsid w:val="00035E72"/>
    <w:rsid w:val="00035EEB"/>
    <w:rsid w:val="0003648B"/>
    <w:rsid w:val="000370C8"/>
    <w:rsid w:val="00041A54"/>
    <w:rsid w:val="00041F2F"/>
    <w:rsid w:val="00043D46"/>
    <w:rsid w:val="00043DE2"/>
    <w:rsid w:val="00043E08"/>
    <w:rsid w:val="0004495F"/>
    <w:rsid w:val="00045131"/>
    <w:rsid w:val="000453E1"/>
    <w:rsid w:val="000477FA"/>
    <w:rsid w:val="000511AE"/>
    <w:rsid w:val="00051E79"/>
    <w:rsid w:val="000526BC"/>
    <w:rsid w:val="000526F6"/>
    <w:rsid w:val="000529FB"/>
    <w:rsid w:val="00052EB1"/>
    <w:rsid w:val="00052FA9"/>
    <w:rsid w:val="00053457"/>
    <w:rsid w:val="0005479B"/>
    <w:rsid w:val="000555E2"/>
    <w:rsid w:val="0005570A"/>
    <w:rsid w:val="00057826"/>
    <w:rsid w:val="00057D50"/>
    <w:rsid w:val="00057D95"/>
    <w:rsid w:val="00060C1D"/>
    <w:rsid w:val="00060DFC"/>
    <w:rsid w:val="00061277"/>
    <w:rsid w:val="00062134"/>
    <w:rsid w:val="00062E32"/>
    <w:rsid w:val="0006337E"/>
    <w:rsid w:val="00063415"/>
    <w:rsid w:val="00063CFB"/>
    <w:rsid w:val="00064193"/>
    <w:rsid w:val="00064DB5"/>
    <w:rsid w:val="000651F4"/>
    <w:rsid w:val="000667F3"/>
    <w:rsid w:val="000668B6"/>
    <w:rsid w:val="00066DEE"/>
    <w:rsid w:val="00073BC3"/>
    <w:rsid w:val="00073E63"/>
    <w:rsid w:val="0007491F"/>
    <w:rsid w:val="00075101"/>
    <w:rsid w:val="00075611"/>
    <w:rsid w:val="00075F5D"/>
    <w:rsid w:val="00076CB6"/>
    <w:rsid w:val="0007740B"/>
    <w:rsid w:val="00077823"/>
    <w:rsid w:val="00080763"/>
    <w:rsid w:val="000808F5"/>
    <w:rsid w:val="000810CD"/>
    <w:rsid w:val="000813DC"/>
    <w:rsid w:val="000817F2"/>
    <w:rsid w:val="000836FD"/>
    <w:rsid w:val="00083ED3"/>
    <w:rsid w:val="000845A8"/>
    <w:rsid w:val="00084627"/>
    <w:rsid w:val="000850E6"/>
    <w:rsid w:val="00085242"/>
    <w:rsid w:val="000856BD"/>
    <w:rsid w:val="000862A3"/>
    <w:rsid w:val="000869E1"/>
    <w:rsid w:val="00086ACD"/>
    <w:rsid w:val="000871C8"/>
    <w:rsid w:val="00087747"/>
    <w:rsid w:val="00090557"/>
    <w:rsid w:val="00090733"/>
    <w:rsid w:val="00090B8A"/>
    <w:rsid w:val="0009196F"/>
    <w:rsid w:val="00091C6C"/>
    <w:rsid w:val="000930B7"/>
    <w:rsid w:val="00093290"/>
    <w:rsid w:val="0009351C"/>
    <w:rsid w:val="00093D34"/>
    <w:rsid w:val="00094589"/>
    <w:rsid w:val="00094683"/>
    <w:rsid w:val="000960CC"/>
    <w:rsid w:val="00096359"/>
    <w:rsid w:val="00096760"/>
    <w:rsid w:val="000967FB"/>
    <w:rsid w:val="000A0747"/>
    <w:rsid w:val="000A079C"/>
    <w:rsid w:val="000A1C1B"/>
    <w:rsid w:val="000A2BFF"/>
    <w:rsid w:val="000A39CE"/>
    <w:rsid w:val="000A4F56"/>
    <w:rsid w:val="000A5E05"/>
    <w:rsid w:val="000A6A67"/>
    <w:rsid w:val="000A708F"/>
    <w:rsid w:val="000B4C76"/>
    <w:rsid w:val="000B5663"/>
    <w:rsid w:val="000B62DF"/>
    <w:rsid w:val="000B75BA"/>
    <w:rsid w:val="000B76F8"/>
    <w:rsid w:val="000C0D28"/>
    <w:rsid w:val="000C0D92"/>
    <w:rsid w:val="000C3FF8"/>
    <w:rsid w:val="000C4D29"/>
    <w:rsid w:val="000C7334"/>
    <w:rsid w:val="000C79B4"/>
    <w:rsid w:val="000D0502"/>
    <w:rsid w:val="000D0A36"/>
    <w:rsid w:val="000D11FE"/>
    <w:rsid w:val="000D4908"/>
    <w:rsid w:val="000D4A27"/>
    <w:rsid w:val="000D516C"/>
    <w:rsid w:val="000D59AF"/>
    <w:rsid w:val="000D6133"/>
    <w:rsid w:val="000E0B3F"/>
    <w:rsid w:val="000E0C29"/>
    <w:rsid w:val="000E103F"/>
    <w:rsid w:val="000E2325"/>
    <w:rsid w:val="000E277E"/>
    <w:rsid w:val="000E2E4E"/>
    <w:rsid w:val="000E3ACD"/>
    <w:rsid w:val="000E4E8D"/>
    <w:rsid w:val="000E4F0D"/>
    <w:rsid w:val="000E5B87"/>
    <w:rsid w:val="000E7BE9"/>
    <w:rsid w:val="000E7E0E"/>
    <w:rsid w:val="000F0A48"/>
    <w:rsid w:val="000F0A87"/>
    <w:rsid w:val="000F12E8"/>
    <w:rsid w:val="000F1AE4"/>
    <w:rsid w:val="000F2E33"/>
    <w:rsid w:val="000F3189"/>
    <w:rsid w:val="000F3E4D"/>
    <w:rsid w:val="000F486F"/>
    <w:rsid w:val="000F6705"/>
    <w:rsid w:val="00100658"/>
    <w:rsid w:val="00101EBF"/>
    <w:rsid w:val="001027AD"/>
    <w:rsid w:val="00102AB2"/>
    <w:rsid w:val="00103734"/>
    <w:rsid w:val="00104A5C"/>
    <w:rsid w:val="00105C54"/>
    <w:rsid w:val="00106FA2"/>
    <w:rsid w:val="00112851"/>
    <w:rsid w:val="00112DBA"/>
    <w:rsid w:val="00112FAA"/>
    <w:rsid w:val="00113573"/>
    <w:rsid w:val="00114452"/>
    <w:rsid w:val="001162F3"/>
    <w:rsid w:val="001164DF"/>
    <w:rsid w:val="00116E0D"/>
    <w:rsid w:val="0011733F"/>
    <w:rsid w:val="0011773A"/>
    <w:rsid w:val="001201C4"/>
    <w:rsid w:val="00120A00"/>
    <w:rsid w:val="00121C92"/>
    <w:rsid w:val="0012422B"/>
    <w:rsid w:val="001262BD"/>
    <w:rsid w:val="001262C6"/>
    <w:rsid w:val="00126BE3"/>
    <w:rsid w:val="0012740D"/>
    <w:rsid w:val="00127996"/>
    <w:rsid w:val="0013124F"/>
    <w:rsid w:val="00131277"/>
    <w:rsid w:val="0013143C"/>
    <w:rsid w:val="0013198F"/>
    <w:rsid w:val="0013275A"/>
    <w:rsid w:val="001328AB"/>
    <w:rsid w:val="00133161"/>
    <w:rsid w:val="00133F2D"/>
    <w:rsid w:val="001347D8"/>
    <w:rsid w:val="0013525B"/>
    <w:rsid w:val="00136314"/>
    <w:rsid w:val="001373D8"/>
    <w:rsid w:val="00137884"/>
    <w:rsid w:val="001408B2"/>
    <w:rsid w:val="00140B2C"/>
    <w:rsid w:val="00140ED2"/>
    <w:rsid w:val="001413F5"/>
    <w:rsid w:val="00141434"/>
    <w:rsid w:val="001419B1"/>
    <w:rsid w:val="00142336"/>
    <w:rsid w:val="0014313E"/>
    <w:rsid w:val="0014324F"/>
    <w:rsid w:val="00143A10"/>
    <w:rsid w:val="00143C00"/>
    <w:rsid w:val="00143C57"/>
    <w:rsid w:val="00144D2E"/>
    <w:rsid w:val="0014586A"/>
    <w:rsid w:val="0014605F"/>
    <w:rsid w:val="00146895"/>
    <w:rsid w:val="00146D3B"/>
    <w:rsid w:val="00146E30"/>
    <w:rsid w:val="00147074"/>
    <w:rsid w:val="00147F27"/>
    <w:rsid w:val="001509A5"/>
    <w:rsid w:val="0015178E"/>
    <w:rsid w:val="00151949"/>
    <w:rsid w:val="001528B2"/>
    <w:rsid w:val="00152971"/>
    <w:rsid w:val="00153DA2"/>
    <w:rsid w:val="001558B0"/>
    <w:rsid w:val="00155C2A"/>
    <w:rsid w:val="001573E1"/>
    <w:rsid w:val="001577F9"/>
    <w:rsid w:val="0015784C"/>
    <w:rsid w:val="001600E4"/>
    <w:rsid w:val="00160401"/>
    <w:rsid w:val="001607A2"/>
    <w:rsid w:val="00160831"/>
    <w:rsid w:val="00160E13"/>
    <w:rsid w:val="00161F35"/>
    <w:rsid w:val="00161F7A"/>
    <w:rsid w:val="00162085"/>
    <w:rsid w:val="00163640"/>
    <w:rsid w:val="0016605C"/>
    <w:rsid w:val="0016636E"/>
    <w:rsid w:val="001668B4"/>
    <w:rsid w:val="00166DA8"/>
    <w:rsid w:val="001670E7"/>
    <w:rsid w:val="001676EE"/>
    <w:rsid w:val="0016788B"/>
    <w:rsid w:val="00170911"/>
    <w:rsid w:val="001720E2"/>
    <w:rsid w:val="00172DCA"/>
    <w:rsid w:val="001735CC"/>
    <w:rsid w:val="00174162"/>
    <w:rsid w:val="00174514"/>
    <w:rsid w:val="001747E4"/>
    <w:rsid w:val="00174B1D"/>
    <w:rsid w:val="001754DB"/>
    <w:rsid w:val="00175A9D"/>
    <w:rsid w:val="00175ED0"/>
    <w:rsid w:val="00177F01"/>
    <w:rsid w:val="0018076E"/>
    <w:rsid w:val="00180926"/>
    <w:rsid w:val="0018249B"/>
    <w:rsid w:val="00182CF7"/>
    <w:rsid w:val="00182D22"/>
    <w:rsid w:val="00182E5D"/>
    <w:rsid w:val="00184398"/>
    <w:rsid w:val="001843AD"/>
    <w:rsid w:val="00184408"/>
    <w:rsid w:val="0018514D"/>
    <w:rsid w:val="001854D1"/>
    <w:rsid w:val="00187224"/>
    <w:rsid w:val="0018750B"/>
    <w:rsid w:val="00187896"/>
    <w:rsid w:val="00187E47"/>
    <w:rsid w:val="001903C9"/>
    <w:rsid w:val="00191542"/>
    <w:rsid w:val="00191BDE"/>
    <w:rsid w:val="00191E26"/>
    <w:rsid w:val="0019216B"/>
    <w:rsid w:val="00193093"/>
    <w:rsid w:val="00194F9A"/>
    <w:rsid w:val="00196617"/>
    <w:rsid w:val="00196790"/>
    <w:rsid w:val="00197AE2"/>
    <w:rsid w:val="00197E2F"/>
    <w:rsid w:val="001A02F7"/>
    <w:rsid w:val="001A0A78"/>
    <w:rsid w:val="001A1EE7"/>
    <w:rsid w:val="001A1F17"/>
    <w:rsid w:val="001A2D31"/>
    <w:rsid w:val="001A2F64"/>
    <w:rsid w:val="001A375C"/>
    <w:rsid w:val="001A4EAB"/>
    <w:rsid w:val="001A504A"/>
    <w:rsid w:val="001A6F2D"/>
    <w:rsid w:val="001B01AD"/>
    <w:rsid w:val="001B101A"/>
    <w:rsid w:val="001B1263"/>
    <w:rsid w:val="001B23EA"/>
    <w:rsid w:val="001B2524"/>
    <w:rsid w:val="001B2EA7"/>
    <w:rsid w:val="001B3969"/>
    <w:rsid w:val="001B5EE0"/>
    <w:rsid w:val="001B681C"/>
    <w:rsid w:val="001B7893"/>
    <w:rsid w:val="001B7A89"/>
    <w:rsid w:val="001B7B29"/>
    <w:rsid w:val="001B7E7F"/>
    <w:rsid w:val="001C055D"/>
    <w:rsid w:val="001C18B6"/>
    <w:rsid w:val="001C267D"/>
    <w:rsid w:val="001C285C"/>
    <w:rsid w:val="001C302E"/>
    <w:rsid w:val="001C337A"/>
    <w:rsid w:val="001C345F"/>
    <w:rsid w:val="001C4436"/>
    <w:rsid w:val="001C49F2"/>
    <w:rsid w:val="001C6546"/>
    <w:rsid w:val="001C680B"/>
    <w:rsid w:val="001D0021"/>
    <w:rsid w:val="001D1CDC"/>
    <w:rsid w:val="001D330F"/>
    <w:rsid w:val="001D38D1"/>
    <w:rsid w:val="001D430E"/>
    <w:rsid w:val="001D4725"/>
    <w:rsid w:val="001D4A83"/>
    <w:rsid w:val="001D55FF"/>
    <w:rsid w:val="001D5641"/>
    <w:rsid w:val="001D57B4"/>
    <w:rsid w:val="001D5D4A"/>
    <w:rsid w:val="001D6FE0"/>
    <w:rsid w:val="001D7930"/>
    <w:rsid w:val="001E0D13"/>
    <w:rsid w:val="001E1B15"/>
    <w:rsid w:val="001E2D6A"/>
    <w:rsid w:val="001E3098"/>
    <w:rsid w:val="001E49BF"/>
    <w:rsid w:val="001E5B38"/>
    <w:rsid w:val="001E5D4B"/>
    <w:rsid w:val="001E6049"/>
    <w:rsid w:val="001E63DF"/>
    <w:rsid w:val="001E7892"/>
    <w:rsid w:val="001F16C8"/>
    <w:rsid w:val="001F2D5B"/>
    <w:rsid w:val="001F423C"/>
    <w:rsid w:val="001F42DB"/>
    <w:rsid w:val="001F4B54"/>
    <w:rsid w:val="001F50E0"/>
    <w:rsid w:val="001F6439"/>
    <w:rsid w:val="001F6861"/>
    <w:rsid w:val="00200DF6"/>
    <w:rsid w:val="00200EA1"/>
    <w:rsid w:val="0020100B"/>
    <w:rsid w:val="002032DD"/>
    <w:rsid w:val="00204C44"/>
    <w:rsid w:val="002054D2"/>
    <w:rsid w:val="00205CDE"/>
    <w:rsid w:val="00206575"/>
    <w:rsid w:val="002069C9"/>
    <w:rsid w:val="00210199"/>
    <w:rsid w:val="00210C7E"/>
    <w:rsid w:val="00211185"/>
    <w:rsid w:val="002114D9"/>
    <w:rsid w:val="00212D2C"/>
    <w:rsid w:val="00213422"/>
    <w:rsid w:val="0021377B"/>
    <w:rsid w:val="00213AFF"/>
    <w:rsid w:val="00214212"/>
    <w:rsid w:val="00214950"/>
    <w:rsid w:val="00215EE0"/>
    <w:rsid w:val="00217F97"/>
    <w:rsid w:val="00220B04"/>
    <w:rsid w:val="00220EE1"/>
    <w:rsid w:val="00221B19"/>
    <w:rsid w:val="00222EC2"/>
    <w:rsid w:val="00223872"/>
    <w:rsid w:val="002243C5"/>
    <w:rsid w:val="002244BB"/>
    <w:rsid w:val="00224A5E"/>
    <w:rsid w:val="00224D93"/>
    <w:rsid w:val="00226B5E"/>
    <w:rsid w:val="00227744"/>
    <w:rsid w:val="00230D12"/>
    <w:rsid w:val="002325DB"/>
    <w:rsid w:val="00233BF5"/>
    <w:rsid w:val="0023425C"/>
    <w:rsid w:val="00234B4C"/>
    <w:rsid w:val="0023669E"/>
    <w:rsid w:val="00237764"/>
    <w:rsid w:val="0024000F"/>
    <w:rsid w:val="0024060D"/>
    <w:rsid w:val="00241E82"/>
    <w:rsid w:val="00243484"/>
    <w:rsid w:val="00245CE7"/>
    <w:rsid w:val="002462E3"/>
    <w:rsid w:val="00246946"/>
    <w:rsid w:val="00247202"/>
    <w:rsid w:val="0024746B"/>
    <w:rsid w:val="002514A5"/>
    <w:rsid w:val="00253814"/>
    <w:rsid w:val="00253945"/>
    <w:rsid w:val="00253FEF"/>
    <w:rsid w:val="002547E8"/>
    <w:rsid w:val="0025505A"/>
    <w:rsid w:val="00255E33"/>
    <w:rsid w:val="002574DA"/>
    <w:rsid w:val="00257A03"/>
    <w:rsid w:val="00257ABE"/>
    <w:rsid w:val="00260AB8"/>
    <w:rsid w:val="00261F42"/>
    <w:rsid w:val="0026243B"/>
    <w:rsid w:val="0026363E"/>
    <w:rsid w:val="00263998"/>
    <w:rsid w:val="00265D42"/>
    <w:rsid w:val="00266C15"/>
    <w:rsid w:val="00267125"/>
    <w:rsid w:val="00267B76"/>
    <w:rsid w:val="00270105"/>
    <w:rsid w:val="00270182"/>
    <w:rsid w:val="00271CD3"/>
    <w:rsid w:val="00272701"/>
    <w:rsid w:val="00272E06"/>
    <w:rsid w:val="0027366A"/>
    <w:rsid w:val="00273B0F"/>
    <w:rsid w:val="00273E73"/>
    <w:rsid w:val="00273FA9"/>
    <w:rsid w:val="00275BD5"/>
    <w:rsid w:val="00275DC6"/>
    <w:rsid w:val="002763D2"/>
    <w:rsid w:val="00277B7E"/>
    <w:rsid w:val="0028129A"/>
    <w:rsid w:val="0028184B"/>
    <w:rsid w:val="00281F78"/>
    <w:rsid w:val="00284096"/>
    <w:rsid w:val="0028551B"/>
    <w:rsid w:val="00285914"/>
    <w:rsid w:val="00286AFC"/>
    <w:rsid w:val="0028781C"/>
    <w:rsid w:val="0029025D"/>
    <w:rsid w:val="002906C7"/>
    <w:rsid w:val="00290F71"/>
    <w:rsid w:val="002911CD"/>
    <w:rsid w:val="002914D6"/>
    <w:rsid w:val="00291F93"/>
    <w:rsid w:val="00292506"/>
    <w:rsid w:val="00294983"/>
    <w:rsid w:val="00295353"/>
    <w:rsid w:val="00295544"/>
    <w:rsid w:val="00295EA8"/>
    <w:rsid w:val="002A172A"/>
    <w:rsid w:val="002A41F3"/>
    <w:rsid w:val="002A5038"/>
    <w:rsid w:val="002A57BC"/>
    <w:rsid w:val="002A57EC"/>
    <w:rsid w:val="002A5C37"/>
    <w:rsid w:val="002A6EE6"/>
    <w:rsid w:val="002A705A"/>
    <w:rsid w:val="002B002D"/>
    <w:rsid w:val="002B01C0"/>
    <w:rsid w:val="002B0831"/>
    <w:rsid w:val="002B0A11"/>
    <w:rsid w:val="002B1843"/>
    <w:rsid w:val="002B257E"/>
    <w:rsid w:val="002B2C65"/>
    <w:rsid w:val="002B4965"/>
    <w:rsid w:val="002B49EE"/>
    <w:rsid w:val="002B66C5"/>
    <w:rsid w:val="002B67F3"/>
    <w:rsid w:val="002C08B7"/>
    <w:rsid w:val="002C3721"/>
    <w:rsid w:val="002C394D"/>
    <w:rsid w:val="002C3B2E"/>
    <w:rsid w:val="002C3EBF"/>
    <w:rsid w:val="002C5C5A"/>
    <w:rsid w:val="002C5E21"/>
    <w:rsid w:val="002C6235"/>
    <w:rsid w:val="002C6E54"/>
    <w:rsid w:val="002C7156"/>
    <w:rsid w:val="002C7DAD"/>
    <w:rsid w:val="002D1F99"/>
    <w:rsid w:val="002D20C0"/>
    <w:rsid w:val="002D2CC1"/>
    <w:rsid w:val="002D3179"/>
    <w:rsid w:val="002D3CFC"/>
    <w:rsid w:val="002D5016"/>
    <w:rsid w:val="002D7E3D"/>
    <w:rsid w:val="002E0F71"/>
    <w:rsid w:val="002E119C"/>
    <w:rsid w:val="002E1A33"/>
    <w:rsid w:val="002E1E46"/>
    <w:rsid w:val="002E2BCB"/>
    <w:rsid w:val="002E3B0D"/>
    <w:rsid w:val="002E3B76"/>
    <w:rsid w:val="002E40E1"/>
    <w:rsid w:val="002E54E9"/>
    <w:rsid w:val="002E5DF0"/>
    <w:rsid w:val="002E64F5"/>
    <w:rsid w:val="002E7B85"/>
    <w:rsid w:val="002E7D33"/>
    <w:rsid w:val="002F1562"/>
    <w:rsid w:val="002F1908"/>
    <w:rsid w:val="002F1CED"/>
    <w:rsid w:val="002F1D74"/>
    <w:rsid w:val="002F2368"/>
    <w:rsid w:val="002F30A3"/>
    <w:rsid w:val="002F3B30"/>
    <w:rsid w:val="002F5212"/>
    <w:rsid w:val="002F5F94"/>
    <w:rsid w:val="002F695A"/>
    <w:rsid w:val="002F7191"/>
    <w:rsid w:val="002F7D94"/>
    <w:rsid w:val="0030002B"/>
    <w:rsid w:val="00300354"/>
    <w:rsid w:val="00300463"/>
    <w:rsid w:val="00301FF9"/>
    <w:rsid w:val="00302116"/>
    <w:rsid w:val="003053F5"/>
    <w:rsid w:val="00305E16"/>
    <w:rsid w:val="003077F3"/>
    <w:rsid w:val="00307A46"/>
    <w:rsid w:val="003105F6"/>
    <w:rsid w:val="00311876"/>
    <w:rsid w:val="00312A6A"/>
    <w:rsid w:val="00313281"/>
    <w:rsid w:val="00314803"/>
    <w:rsid w:val="003155BC"/>
    <w:rsid w:val="00315D72"/>
    <w:rsid w:val="003163A9"/>
    <w:rsid w:val="003169B0"/>
    <w:rsid w:val="00316D1A"/>
    <w:rsid w:val="00317754"/>
    <w:rsid w:val="00320122"/>
    <w:rsid w:val="00320B20"/>
    <w:rsid w:val="00320B56"/>
    <w:rsid w:val="00321556"/>
    <w:rsid w:val="00321A85"/>
    <w:rsid w:val="00322150"/>
    <w:rsid w:val="003223D5"/>
    <w:rsid w:val="00322C79"/>
    <w:rsid w:val="003230AE"/>
    <w:rsid w:val="00325C2C"/>
    <w:rsid w:val="00325DAA"/>
    <w:rsid w:val="00327D87"/>
    <w:rsid w:val="00327E04"/>
    <w:rsid w:val="00330DB8"/>
    <w:rsid w:val="0033104B"/>
    <w:rsid w:val="003315BE"/>
    <w:rsid w:val="003320B3"/>
    <w:rsid w:val="003329A6"/>
    <w:rsid w:val="003337C2"/>
    <w:rsid w:val="00333E8A"/>
    <w:rsid w:val="003345E3"/>
    <w:rsid w:val="003353CC"/>
    <w:rsid w:val="00335B27"/>
    <w:rsid w:val="003364DB"/>
    <w:rsid w:val="0033700C"/>
    <w:rsid w:val="0033731F"/>
    <w:rsid w:val="00337558"/>
    <w:rsid w:val="00340898"/>
    <w:rsid w:val="00341DAF"/>
    <w:rsid w:val="00342298"/>
    <w:rsid w:val="003426C5"/>
    <w:rsid w:val="00342EBF"/>
    <w:rsid w:val="003430D9"/>
    <w:rsid w:val="0034360C"/>
    <w:rsid w:val="0034367A"/>
    <w:rsid w:val="00343C7A"/>
    <w:rsid w:val="00346A8C"/>
    <w:rsid w:val="003470D1"/>
    <w:rsid w:val="00347318"/>
    <w:rsid w:val="003505C0"/>
    <w:rsid w:val="00351899"/>
    <w:rsid w:val="00351C22"/>
    <w:rsid w:val="003529D8"/>
    <w:rsid w:val="00354808"/>
    <w:rsid w:val="00356923"/>
    <w:rsid w:val="00357507"/>
    <w:rsid w:val="00357ADD"/>
    <w:rsid w:val="00357C0C"/>
    <w:rsid w:val="00360001"/>
    <w:rsid w:val="00360D40"/>
    <w:rsid w:val="0036129F"/>
    <w:rsid w:val="003615D1"/>
    <w:rsid w:val="00361994"/>
    <w:rsid w:val="00361DFC"/>
    <w:rsid w:val="00362D63"/>
    <w:rsid w:val="00363417"/>
    <w:rsid w:val="003634AA"/>
    <w:rsid w:val="003637F2"/>
    <w:rsid w:val="00367ABC"/>
    <w:rsid w:val="003707B6"/>
    <w:rsid w:val="00370FC9"/>
    <w:rsid w:val="00371957"/>
    <w:rsid w:val="00372AFC"/>
    <w:rsid w:val="00372B85"/>
    <w:rsid w:val="00372D12"/>
    <w:rsid w:val="0037319C"/>
    <w:rsid w:val="003732AC"/>
    <w:rsid w:val="00374069"/>
    <w:rsid w:val="003742CA"/>
    <w:rsid w:val="00374F20"/>
    <w:rsid w:val="00376AF1"/>
    <w:rsid w:val="0038051F"/>
    <w:rsid w:val="00380F02"/>
    <w:rsid w:val="0038206F"/>
    <w:rsid w:val="00382846"/>
    <w:rsid w:val="003832F2"/>
    <w:rsid w:val="003844A3"/>
    <w:rsid w:val="0038477D"/>
    <w:rsid w:val="003869DE"/>
    <w:rsid w:val="003913A5"/>
    <w:rsid w:val="00392CFD"/>
    <w:rsid w:val="003932ED"/>
    <w:rsid w:val="0039406A"/>
    <w:rsid w:val="00394B40"/>
    <w:rsid w:val="00395815"/>
    <w:rsid w:val="00396261"/>
    <w:rsid w:val="00397A8C"/>
    <w:rsid w:val="003A0573"/>
    <w:rsid w:val="003A12C4"/>
    <w:rsid w:val="003A1617"/>
    <w:rsid w:val="003A1FF5"/>
    <w:rsid w:val="003A22C0"/>
    <w:rsid w:val="003A3BCC"/>
    <w:rsid w:val="003A407C"/>
    <w:rsid w:val="003A4128"/>
    <w:rsid w:val="003A4C94"/>
    <w:rsid w:val="003A6718"/>
    <w:rsid w:val="003A75E1"/>
    <w:rsid w:val="003B10E7"/>
    <w:rsid w:val="003B1860"/>
    <w:rsid w:val="003B1977"/>
    <w:rsid w:val="003B1DCC"/>
    <w:rsid w:val="003B1E2F"/>
    <w:rsid w:val="003B2C35"/>
    <w:rsid w:val="003B2E04"/>
    <w:rsid w:val="003B644C"/>
    <w:rsid w:val="003B6843"/>
    <w:rsid w:val="003B6ADE"/>
    <w:rsid w:val="003B7849"/>
    <w:rsid w:val="003B78CA"/>
    <w:rsid w:val="003C0345"/>
    <w:rsid w:val="003C0DC8"/>
    <w:rsid w:val="003C1096"/>
    <w:rsid w:val="003C1A19"/>
    <w:rsid w:val="003C1D1E"/>
    <w:rsid w:val="003C2D7D"/>
    <w:rsid w:val="003C42DB"/>
    <w:rsid w:val="003C4909"/>
    <w:rsid w:val="003C4EEE"/>
    <w:rsid w:val="003C4F46"/>
    <w:rsid w:val="003C5AEC"/>
    <w:rsid w:val="003C6214"/>
    <w:rsid w:val="003C7782"/>
    <w:rsid w:val="003D2A98"/>
    <w:rsid w:val="003D3B9C"/>
    <w:rsid w:val="003D3C73"/>
    <w:rsid w:val="003D5B6A"/>
    <w:rsid w:val="003D66FA"/>
    <w:rsid w:val="003D7A22"/>
    <w:rsid w:val="003E08A5"/>
    <w:rsid w:val="003E1CC5"/>
    <w:rsid w:val="003E292F"/>
    <w:rsid w:val="003E2B6D"/>
    <w:rsid w:val="003E44C8"/>
    <w:rsid w:val="003E5014"/>
    <w:rsid w:val="003E6D8F"/>
    <w:rsid w:val="003F01CB"/>
    <w:rsid w:val="003F1D2B"/>
    <w:rsid w:val="003F3546"/>
    <w:rsid w:val="003F5708"/>
    <w:rsid w:val="003F6851"/>
    <w:rsid w:val="003F7CB9"/>
    <w:rsid w:val="004006B4"/>
    <w:rsid w:val="00401339"/>
    <w:rsid w:val="00401668"/>
    <w:rsid w:val="00403179"/>
    <w:rsid w:val="004036DD"/>
    <w:rsid w:val="00403F53"/>
    <w:rsid w:val="0040529A"/>
    <w:rsid w:val="004054CE"/>
    <w:rsid w:val="00405DD2"/>
    <w:rsid w:val="00406506"/>
    <w:rsid w:val="00406FA2"/>
    <w:rsid w:val="00412303"/>
    <w:rsid w:val="004132DE"/>
    <w:rsid w:val="004136EB"/>
    <w:rsid w:val="00413E0E"/>
    <w:rsid w:val="00415F14"/>
    <w:rsid w:val="00416919"/>
    <w:rsid w:val="0041702E"/>
    <w:rsid w:val="00420BA9"/>
    <w:rsid w:val="00420F9B"/>
    <w:rsid w:val="00421558"/>
    <w:rsid w:val="00421996"/>
    <w:rsid w:val="00423794"/>
    <w:rsid w:val="00424658"/>
    <w:rsid w:val="00425D3B"/>
    <w:rsid w:val="004266E1"/>
    <w:rsid w:val="00426917"/>
    <w:rsid w:val="004269E5"/>
    <w:rsid w:val="00426A3E"/>
    <w:rsid w:val="00426BCD"/>
    <w:rsid w:val="00426D5B"/>
    <w:rsid w:val="00430055"/>
    <w:rsid w:val="004309E6"/>
    <w:rsid w:val="00430DF1"/>
    <w:rsid w:val="00431E14"/>
    <w:rsid w:val="004356B0"/>
    <w:rsid w:val="00436E5A"/>
    <w:rsid w:val="00437952"/>
    <w:rsid w:val="00437F0B"/>
    <w:rsid w:val="0044026E"/>
    <w:rsid w:val="0044080F"/>
    <w:rsid w:val="00440E92"/>
    <w:rsid w:val="00440F5C"/>
    <w:rsid w:val="004413F1"/>
    <w:rsid w:val="00441634"/>
    <w:rsid w:val="00441B06"/>
    <w:rsid w:val="00442522"/>
    <w:rsid w:val="004426B3"/>
    <w:rsid w:val="00443023"/>
    <w:rsid w:val="0044405C"/>
    <w:rsid w:val="00444B90"/>
    <w:rsid w:val="00444C27"/>
    <w:rsid w:val="004454CF"/>
    <w:rsid w:val="004457BD"/>
    <w:rsid w:val="004461C3"/>
    <w:rsid w:val="00446673"/>
    <w:rsid w:val="004468C4"/>
    <w:rsid w:val="0044795E"/>
    <w:rsid w:val="00447AEF"/>
    <w:rsid w:val="00447FA0"/>
    <w:rsid w:val="004519DD"/>
    <w:rsid w:val="004524F2"/>
    <w:rsid w:val="004537AE"/>
    <w:rsid w:val="004544A7"/>
    <w:rsid w:val="004551CF"/>
    <w:rsid w:val="004564C1"/>
    <w:rsid w:val="00456B7A"/>
    <w:rsid w:val="00456D3E"/>
    <w:rsid w:val="00460481"/>
    <w:rsid w:val="004609E7"/>
    <w:rsid w:val="004622F8"/>
    <w:rsid w:val="00463330"/>
    <w:rsid w:val="0046605A"/>
    <w:rsid w:val="004663FF"/>
    <w:rsid w:val="004669AE"/>
    <w:rsid w:val="00466A2A"/>
    <w:rsid w:val="00466D7C"/>
    <w:rsid w:val="0046707D"/>
    <w:rsid w:val="00470F19"/>
    <w:rsid w:val="004712CA"/>
    <w:rsid w:val="0047493B"/>
    <w:rsid w:val="00477721"/>
    <w:rsid w:val="0048368E"/>
    <w:rsid w:val="00484005"/>
    <w:rsid w:val="00484967"/>
    <w:rsid w:val="00485312"/>
    <w:rsid w:val="00485603"/>
    <w:rsid w:val="00486F1C"/>
    <w:rsid w:val="004879D0"/>
    <w:rsid w:val="00487F22"/>
    <w:rsid w:val="00490B9E"/>
    <w:rsid w:val="004910B2"/>
    <w:rsid w:val="004914F8"/>
    <w:rsid w:val="0049384E"/>
    <w:rsid w:val="004957AC"/>
    <w:rsid w:val="004961B3"/>
    <w:rsid w:val="0049754C"/>
    <w:rsid w:val="00497ACB"/>
    <w:rsid w:val="004A0E60"/>
    <w:rsid w:val="004A1C22"/>
    <w:rsid w:val="004A2F99"/>
    <w:rsid w:val="004A4285"/>
    <w:rsid w:val="004A460E"/>
    <w:rsid w:val="004A7946"/>
    <w:rsid w:val="004B0427"/>
    <w:rsid w:val="004B04E2"/>
    <w:rsid w:val="004B0578"/>
    <w:rsid w:val="004B0BFA"/>
    <w:rsid w:val="004B11D0"/>
    <w:rsid w:val="004B1406"/>
    <w:rsid w:val="004B1C8B"/>
    <w:rsid w:val="004B1F62"/>
    <w:rsid w:val="004B437A"/>
    <w:rsid w:val="004B488A"/>
    <w:rsid w:val="004B55BB"/>
    <w:rsid w:val="004C0109"/>
    <w:rsid w:val="004C08C8"/>
    <w:rsid w:val="004C0AFA"/>
    <w:rsid w:val="004C1475"/>
    <w:rsid w:val="004C19D4"/>
    <w:rsid w:val="004C3A71"/>
    <w:rsid w:val="004C3D62"/>
    <w:rsid w:val="004C45E0"/>
    <w:rsid w:val="004C47CF"/>
    <w:rsid w:val="004C487E"/>
    <w:rsid w:val="004C5D92"/>
    <w:rsid w:val="004D1505"/>
    <w:rsid w:val="004D2CBA"/>
    <w:rsid w:val="004D303D"/>
    <w:rsid w:val="004D34B8"/>
    <w:rsid w:val="004D4512"/>
    <w:rsid w:val="004D48F3"/>
    <w:rsid w:val="004D4CF1"/>
    <w:rsid w:val="004D54D8"/>
    <w:rsid w:val="004D5640"/>
    <w:rsid w:val="004D5E91"/>
    <w:rsid w:val="004D6C6A"/>
    <w:rsid w:val="004E082B"/>
    <w:rsid w:val="004E08CB"/>
    <w:rsid w:val="004E1529"/>
    <w:rsid w:val="004E1601"/>
    <w:rsid w:val="004E1D4C"/>
    <w:rsid w:val="004E2A31"/>
    <w:rsid w:val="004E30B7"/>
    <w:rsid w:val="004E37D3"/>
    <w:rsid w:val="004E4103"/>
    <w:rsid w:val="004E6E4B"/>
    <w:rsid w:val="004E70AD"/>
    <w:rsid w:val="004E7647"/>
    <w:rsid w:val="004E7695"/>
    <w:rsid w:val="004E7777"/>
    <w:rsid w:val="004E782D"/>
    <w:rsid w:val="004E78EC"/>
    <w:rsid w:val="004F013A"/>
    <w:rsid w:val="004F01A3"/>
    <w:rsid w:val="004F03A1"/>
    <w:rsid w:val="004F06B2"/>
    <w:rsid w:val="004F13E4"/>
    <w:rsid w:val="004F1512"/>
    <w:rsid w:val="004F19AC"/>
    <w:rsid w:val="004F1AEF"/>
    <w:rsid w:val="004F2AA1"/>
    <w:rsid w:val="004F31DE"/>
    <w:rsid w:val="004F330E"/>
    <w:rsid w:val="004F38D6"/>
    <w:rsid w:val="004F4402"/>
    <w:rsid w:val="004F64F1"/>
    <w:rsid w:val="004F6D9D"/>
    <w:rsid w:val="004F7A2B"/>
    <w:rsid w:val="0050049F"/>
    <w:rsid w:val="00501279"/>
    <w:rsid w:val="00501B78"/>
    <w:rsid w:val="00501D97"/>
    <w:rsid w:val="005034BE"/>
    <w:rsid w:val="00503743"/>
    <w:rsid w:val="00504993"/>
    <w:rsid w:val="00504C5F"/>
    <w:rsid w:val="0050608A"/>
    <w:rsid w:val="00506E30"/>
    <w:rsid w:val="00507726"/>
    <w:rsid w:val="00507982"/>
    <w:rsid w:val="00510191"/>
    <w:rsid w:val="00510AC5"/>
    <w:rsid w:val="00510C61"/>
    <w:rsid w:val="00510D30"/>
    <w:rsid w:val="005122AF"/>
    <w:rsid w:val="00512407"/>
    <w:rsid w:val="0051343B"/>
    <w:rsid w:val="00513911"/>
    <w:rsid w:val="00514141"/>
    <w:rsid w:val="00515249"/>
    <w:rsid w:val="00515785"/>
    <w:rsid w:val="005158CB"/>
    <w:rsid w:val="005175E6"/>
    <w:rsid w:val="00517B20"/>
    <w:rsid w:val="00521771"/>
    <w:rsid w:val="00521BCF"/>
    <w:rsid w:val="00521CC7"/>
    <w:rsid w:val="00522026"/>
    <w:rsid w:val="005230C5"/>
    <w:rsid w:val="00523256"/>
    <w:rsid w:val="00524164"/>
    <w:rsid w:val="00524B31"/>
    <w:rsid w:val="00524D4E"/>
    <w:rsid w:val="00526061"/>
    <w:rsid w:val="00527751"/>
    <w:rsid w:val="00527820"/>
    <w:rsid w:val="00527BAD"/>
    <w:rsid w:val="00527EBF"/>
    <w:rsid w:val="00530149"/>
    <w:rsid w:val="00530A9F"/>
    <w:rsid w:val="00532EE2"/>
    <w:rsid w:val="005334EC"/>
    <w:rsid w:val="00535423"/>
    <w:rsid w:val="005354D1"/>
    <w:rsid w:val="005357A2"/>
    <w:rsid w:val="00535A4F"/>
    <w:rsid w:val="00535EE2"/>
    <w:rsid w:val="005361BA"/>
    <w:rsid w:val="0053709E"/>
    <w:rsid w:val="005376B8"/>
    <w:rsid w:val="00537B16"/>
    <w:rsid w:val="00537BA1"/>
    <w:rsid w:val="0054324F"/>
    <w:rsid w:val="005434A2"/>
    <w:rsid w:val="0054570C"/>
    <w:rsid w:val="00547030"/>
    <w:rsid w:val="00547113"/>
    <w:rsid w:val="005472CF"/>
    <w:rsid w:val="00547C9D"/>
    <w:rsid w:val="00550001"/>
    <w:rsid w:val="005527B1"/>
    <w:rsid w:val="00552A2A"/>
    <w:rsid w:val="00553451"/>
    <w:rsid w:val="00554755"/>
    <w:rsid w:val="00554E5F"/>
    <w:rsid w:val="005566FE"/>
    <w:rsid w:val="00556986"/>
    <w:rsid w:val="005579BC"/>
    <w:rsid w:val="005610A6"/>
    <w:rsid w:val="00561852"/>
    <w:rsid w:val="005621A2"/>
    <w:rsid w:val="005626DB"/>
    <w:rsid w:val="00562EB9"/>
    <w:rsid w:val="00562F27"/>
    <w:rsid w:val="00563015"/>
    <w:rsid w:val="005631CB"/>
    <w:rsid w:val="00563CB1"/>
    <w:rsid w:val="00565785"/>
    <w:rsid w:val="00565C36"/>
    <w:rsid w:val="00565DE6"/>
    <w:rsid w:val="005703E5"/>
    <w:rsid w:val="0057235A"/>
    <w:rsid w:val="00572DDA"/>
    <w:rsid w:val="0057515E"/>
    <w:rsid w:val="00575B55"/>
    <w:rsid w:val="00576BE5"/>
    <w:rsid w:val="0058225D"/>
    <w:rsid w:val="005826BC"/>
    <w:rsid w:val="00582E32"/>
    <w:rsid w:val="00583E09"/>
    <w:rsid w:val="005843B9"/>
    <w:rsid w:val="005849CB"/>
    <w:rsid w:val="005851E1"/>
    <w:rsid w:val="005855A8"/>
    <w:rsid w:val="0058576A"/>
    <w:rsid w:val="00586E25"/>
    <w:rsid w:val="005A227A"/>
    <w:rsid w:val="005A2628"/>
    <w:rsid w:val="005A42EE"/>
    <w:rsid w:val="005A58D4"/>
    <w:rsid w:val="005A5AE5"/>
    <w:rsid w:val="005A613B"/>
    <w:rsid w:val="005B046C"/>
    <w:rsid w:val="005B052D"/>
    <w:rsid w:val="005B1063"/>
    <w:rsid w:val="005B17E6"/>
    <w:rsid w:val="005B21D9"/>
    <w:rsid w:val="005B3CF1"/>
    <w:rsid w:val="005B3D14"/>
    <w:rsid w:val="005B7D48"/>
    <w:rsid w:val="005B7E03"/>
    <w:rsid w:val="005B7E0E"/>
    <w:rsid w:val="005C0504"/>
    <w:rsid w:val="005C2635"/>
    <w:rsid w:val="005C2CFE"/>
    <w:rsid w:val="005C3922"/>
    <w:rsid w:val="005C3DF1"/>
    <w:rsid w:val="005C52AE"/>
    <w:rsid w:val="005C5EB3"/>
    <w:rsid w:val="005C65F8"/>
    <w:rsid w:val="005D04F3"/>
    <w:rsid w:val="005D0A26"/>
    <w:rsid w:val="005D13F4"/>
    <w:rsid w:val="005D155F"/>
    <w:rsid w:val="005D1562"/>
    <w:rsid w:val="005D267B"/>
    <w:rsid w:val="005D2FD6"/>
    <w:rsid w:val="005D38CD"/>
    <w:rsid w:val="005D3C7F"/>
    <w:rsid w:val="005D4121"/>
    <w:rsid w:val="005D4706"/>
    <w:rsid w:val="005D51BE"/>
    <w:rsid w:val="005D52A6"/>
    <w:rsid w:val="005D5586"/>
    <w:rsid w:val="005D5F54"/>
    <w:rsid w:val="005D637D"/>
    <w:rsid w:val="005D6BA2"/>
    <w:rsid w:val="005D6BB2"/>
    <w:rsid w:val="005D6E16"/>
    <w:rsid w:val="005D78CE"/>
    <w:rsid w:val="005E1E9C"/>
    <w:rsid w:val="005E209A"/>
    <w:rsid w:val="005E32E9"/>
    <w:rsid w:val="005E389A"/>
    <w:rsid w:val="005E39D6"/>
    <w:rsid w:val="005E47E5"/>
    <w:rsid w:val="005E6D33"/>
    <w:rsid w:val="005E7ECF"/>
    <w:rsid w:val="005F2128"/>
    <w:rsid w:val="005F22AA"/>
    <w:rsid w:val="005F323B"/>
    <w:rsid w:val="005F3C58"/>
    <w:rsid w:val="005F4127"/>
    <w:rsid w:val="005F43F9"/>
    <w:rsid w:val="005F4AD7"/>
    <w:rsid w:val="005F5B4E"/>
    <w:rsid w:val="005F5C56"/>
    <w:rsid w:val="005F6729"/>
    <w:rsid w:val="005F6838"/>
    <w:rsid w:val="00600085"/>
    <w:rsid w:val="0060018D"/>
    <w:rsid w:val="00601E72"/>
    <w:rsid w:val="00602EC7"/>
    <w:rsid w:val="0060475A"/>
    <w:rsid w:val="00604ECC"/>
    <w:rsid w:val="006052F5"/>
    <w:rsid w:val="00605E62"/>
    <w:rsid w:val="006061D6"/>
    <w:rsid w:val="00606F0C"/>
    <w:rsid w:val="0060769F"/>
    <w:rsid w:val="00610086"/>
    <w:rsid w:val="00610553"/>
    <w:rsid w:val="0061115A"/>
    <w:rsid w:val="0061158E"/>
    <w:rsid w:val="0061273B"/>
    <w:rsid w:val="00612EF8"/>
    <w:rsid w:val="00613EAD"/>
    <w:rsid w:val="00614008"/>
    <w:rsid w:val="006144E4"/>
    <w:rsid w:val="0061569D"/>
    <w:rsid w:val="006156EF"/>
    <w:rsid w:val="006162E4"/>
    <w:rsid w:val="00616D8D"/>
    <w:rsid w:val="0061734E"/>
    <w:rsid w:val="006205E1"/>
    <w:rsid w:val="00620D62"/>
    <w:rsid w:val="0062149E"/>
    <w:rsid w:val="00622D38"/>
    <w:rsid w:val="00623354"/>
    <w:rsid w:val="0062580D"/>
    <w:rsid w:val="00625E1E"/>
    <w:rsid w:val="00626503"/>
    <w:rsid w:val="00626E51"/>
    <w:rsid w:val="00626F47"/>
    <w:rsid w:val="006271FA"/>
    <w:rsid w:val="006308A9"/>
    <w:rsid w:val="00633631"/>
    <w:rsid w:val="00633760"/>
    <w:rsid w:val="00633DFC"/>
    <w:rsid w:val="006352E1"/>
    <w:rsid w:val="00636159"/>
    <w:rsid w:val="006368B4"/>
    <w:rsid w:val="00637492"/>
    <w:rsid w:val="0064137D"/>
    <w:rsid w:val="00643104"/>
    <w:rsid w:val="00643BD3"/>
    <w:rsid w:val="00643DF0"/>
    <w:rsid w:val="006448A0"/>
    <w:rsid w:val="00644962"/>
    <w:rsid w:val="006453EE"/>
    <w:rsid w:val="00645BA8"/>
    <w:rsid w:val="00645F94"/>
    <w:rsid w:val="00646DB8"/>
    <w:rsid w:val="00646F79"/>
    <w:rsid w:val="00647DD3"/>
    <w:rsid w:val="00650082"/>
    <w:rsid w:val="0065176B"/>
    <w:rsid w:val="00651988"/>
    <w:rsid w:val="00651E55"/>
    <w:rsid w:val="00652494"/>
    <w:rsid w:val="006526F9"/>
    <w:rsid w:val="00653112"/>
    <w:rsid w:val="00653F59"/>
    <w:rsid w:val="0065633C"/>
    <w:rsid w:val="006601D3"/>
    <w:rsid w:val="00660348"/>
    <w:rsid w:val="00660878"/>
    <w:rsid w:val="00662223"/>
    <w:rsid w:val="00664505"/>
    <w:rsid w:val="00667A17"/>
    <w:rsid w:val="006708CE"/>
    <w:rsid w:val="00670D0E"/>
    <w:rsid w:val="00671B9E"/>
    <w:rsid w:val="00672330"/>
    <w:rsid w:val="00672A52"/>
    <w:rsid w:val="00673391"/>
    <w:rsid w:val="0067377B"/>
    <w:rsid w:val="00673AEA"/>
    <w:rsid w:val="0067500D"/>
    <w:rsid w:val="0067795D"/>
    <w:rsid w:val="00677CC7"/>
    <w:rsid w:val="00681E46"/>
    <w:rsid w:val="00682227"/>
    <w:rsid w:val="006844BD"/>
    <w:rsid w:val="00684835"/>
    <w:rsid w:val="00684B32"/>
    <w:rsid w:val="006851CB"/>
    <w:rsid w:val="00686D26"/>
    <w:rsid w:val="006877FC"/>
    <w:rsid w:val="00687C83"/>
    <w:rsid w:val="006908C8"/>
    <w:rsid w:val="006909FE"/>
    <w:rsid w:val="0069152E"/>
    <w:rsid w:val="00693504"/>
    <w:rsid w:val="006939F0"/>
    <w:rsid w:val="00694A08"/>
    <w:rsid w:val="006957EA"/>
    <w:rsid w:val="006958B4"/>
    <w:rsid w:val="0069604A"/>
    <w:rsid w:val="00696947"/>
    <w:rsid w:val="00697E52"/>
    <w:rsid w:val="006A02B1"/>
    <w:rsid w:val="006A0976"/>
    <w:rsid w:val="006A12A9"/>
    <w:rsid w:val="006A1C3D"/>
    <w:rsid w:val="006A318B"/>
    <w:rsid w:val="006A31E5"/>
    <w:rsid w:val="006A39BA"/>
    <w:rsid w:val="006A40B9"/>
    <w:rsid w:val="006A4771"/>
    <w:rsid w:val="006A4ADE"/>
    <w:rsid w:val="006A5416"/>
    <w:rsid w:val="006A63A4"/>
    <w:rsid w:val="006A72DD"/>
    <w:rsid w:val="006A7A49"/>
    <w:rsid w:val="006B0035"/>
    <w:rsid w:val="006B1421"/>
    <w:rsid w:val="006B25DB"/>
    <w:rsid w:val="006B27BA"/>
    <w:rsid w:val="006B27F9"/>
    <w:rsid w:val="006B66BE"/>
    <w:rsid w:val="006B7982"/>
    <w:rsid w:val="006B7B50"/>
    <w:rsid w:val="006C20F0"/>
    <w:rsid w:val="006C29FE"/>
    <w:rsid w:val="006C4296"/>
    <w:rsid w:val="006C48AB"/>
    <w:rsid w:val="006C5545"/>
    <w:rsid w:val="006C6078"/>
    <w:rsid w:val="006C78D0"/>
    <w:rsid w:val="006D066A"/>
    <w:rsid w:val="006D2356"/>
    <w:rsid w:val="006D2856"/>
    <w:rsid w:val="006D3555"/>
    <w:rsid w:val="006D5315"/>
    <w:rsid w:val="006D64C7"/>
    <w:rsid w:val="006D6E1A"/>
    <w:rsid w:val="006D7273"/>
    <w:rsid w:val="006D756D"/>
    <w:rsid w:val="006D7DB1"/>
    <w:rsid w:val="006E0F3C"/>
    <w:rsid w:val="006E0F61"/>
    <w:rsid w:val="006E0FD2"/>
    <w:rsid w:val="006E1343"/>
    <w:rsid w:val="006E1667"/>
    <w:rsid w:val="006E1969"/>
    <w:rsid w:val="006E1C68"/>
    <w:rsid w:val="006E2405"/>
    <w:rsid w:val="006E25E6"/>
    <w:rsid w:val="006E2D96"/>
    <w:rsid w:val="006E32E8"/>
    <w:rsid w:val="006E340C"/>
    <w:rsid w:val="006E48B6"/>
    <w:rsid w:val="006E4AF9"/>
    <w:rsid w:val="006E5FD0"/>
    <w:rsid w:val="006E62D8"/>
    <w:rsid w:val="006E6B15"/>
    <w:rsid w:val="006E6CB8"/>
    <w:rsid w:val="006E762C"/>
    <w:rsid w:val="006E7DED"/>
    <w:rsid w:val="006F0508"/>
    <w:rsid w:val="006F15EC"/>
    <w:rsid w:val="006F167D"/>
    <w:rsid w:val="006F24EE"/>
    <w:rsid w:val="006F3066"/>
    <w:rsid w:val="006F4037"/>
    <w:rsid w:val="006F65C2"/>
    <w:rsid w:val="006F6901"/>
    <w:rsid w:val="006F6CA7"/>
    <w:rsid w:val="006F7516"/>
    <w:rsid w:val="00700702"/>
    <w:rsid w:val="00700EC1"/>
    <w:rsid w:val="007017D7"/>
    <w:rsid w:val="00701E0D"/>
    <w:rsid w:val="00701ED2"/>
    <w:rsid w:val="007022D6"/>
    <w:rsid w:val="007029DC"/>
    <w:rsid w:val="00703150"/>
    <w:rsid w:val="00703909"/>
    <w:rsid w:val="00704D9F"/>
    <w:rsid w:val="00704F78"/>
    <w:rsid w:val="00705417"/>
    <w:rsid w:val="00705C32"/>
    <w:rsid w:val="00706683"/>
    <w:rsid w:val="0070734D"/>
    <w:rsid w:val="00710B25"/>
    <w:rsid w:val="00710F1B"/>
    <w:rsid w:val="00711E93"/>
    <w:rsid w:val="00712450"/>
    <w:rsid w:val="00713916"/>
    <w:rsid w:val="00714AD5"/>
    <w:rsid w:val="00715297"/>
    <w:rsid w:val="00715C35"/>
    <w:rsid w:val="00717375"/>
    <w:rsid w:val="00720CC7"/>
    <w:rsid w:val="0072120E"/>
    <w:rsid w:val="0072227B"/>
    <w:rsid w:val="00722470"/>
    <w:rsid w:val="007232C6"/>
    <w:rsid w:val="00723C60"/>
    <w:rsid w:val="007250F7"/>
    <w:rsid w:val="00725199"/>
    <w:rsid w:val="007257DC"/>
    <w:rsid w:val="00725D8A"/>
    <w:rsid w:val="00726799"/>
    <w:rsid w:val="007276DB"/>
    <w:rsid w:val="00727927"/>
    <w:rsid w:val="00730241"/>
    <w:rsid w:val="00730FC8"/>
    <w:rsid w:val="0073251D"/>
    <w:rsid w:val="00733259"/>
    <w:rsid w:val="007335E8"/>
    <w:rsid w:val="00733663"/>
    <w:rsid w:val="00733842"/>
    <w:rsid w:val="00733F89"/>
    <w:rsid w:val="00734881"/>
    <w:rsid w:val="0073521A"/>
    <w:rsid w:val="007354ED"/>
    <w:rsid w:val="007363AA"/>
    <w:rsid w:val="00737327"/>
    <w:rsid w:val="00737363"/>
    <w:rsid w:val="007377AA"/>
    <w:rsid w:val="007379F4"/>
    <w:rsid w:val="007411F1"/>
    <w:rsid w:val="00741721"/>
    <w:rsid w:val="007419EF"/>
    <w:rsid w:val="00742907"/>
    <w:rsid w:val="00742F56"/>
    <w:rsid w:val="007449AA"/>
    <w:rsid w:val="00744AA3"/>
    <w:rsid w:val="007451C5"/>
    <w:rsid w:val="00745940"/>
    <w:rsid w:val="00746024"/>
    <w:rsid w:val="0074781F"/>
    <w:rsid w:val="00747C36"/>
    <w:rsid w:val="00747CC0"/>
    <w:rsid w:val="00750325"/>
    <w:rsid w:val="0075090D"/>
    <w:rsid w:val="00750D40"/>
    <w:rsid w:val="00750FE1"/>
    <w:rsid w:val="00750FFC"/>
    <w:rsid w:val="00751159"/>
    <w:rsid w:val="00754C70"/>
    <w:rsid w:val="0075586F"/>
    <w:rsid w:val="00755B0C"/>
    <w:rsid w:val="0075639E"/>
    <w:rsid w:val="007566CE"/>
    <w:rsid w:val="0075686D"/>
    <w:rsid w:val="00757502"/>
    <w:rsid w:val="007579B1"/>
    <w:rsid w:val="0076114A"/>
    <w:rsid w:val="00764709"/>
    <w:rsid w:val="00765112"/>
    <w:rsid w:val="00765DE6"/>
    <w:rsid w:val="007660C0"/>
    <w:rsid w:val="0076621C"/>
    <w:rsid w:val="00766502"/>
    <w:rsid w:val="00766D75"/>
    <w:rsid w:val="00767143"/>
    <w:rsid w:val="00767DB4"/>
    <w:rsid w:val="00770B96"/>
    <w:rsid w:val="00770EF5"/>
    <w:rsid w:val="00771DBE"/>
    <w:rsid w:val="00772AC4"/>
    <w:rsid w:val="00772BB0"/>
    <w:rsid w:val="00772DB7"/>
    <w:rsid w:val="00772E29"/>
    <w:rsid w:val="00773209"/>
    <w:rsid w:val="007735E0"/>
    <w:rsid w:val="0077366F"/>
    <w:rsid w:val="007744DF"/>
    <w:rsid w:val="00775052"/>
    <w:rsid w:val="00777E44"/>
    <w:rsid w:val="007805A7"/>
    <w:rsid w:val="00780721"/>
    <w:rsid w:val="007812E6"/>
    <w:rsid w:val="0078192B"/>
    <w:rsid w:val="00781B56"/>
    <w:rsid w:val="007822CE"/>
    <w:rsid w:val="00782882"/>
    <w:rsid w:val="00782A73"/>
    <w:rsid w:val="00783189"/>
    <w:rsid w:val="00783DA8"/>
    <w:rsid w:val="00785365"/>
    <w:rsid w:val="00785A09"/>
    <w:rsid w:val="00785DDD"/>
    <w:rsid w:val="00786479"/>
    <w:rsid w:val="007865EF"/>
    <w:rsid w:val="00786D14"/>
    <w:rsid w:val="007873B8"/>
    <w:rsid w:val="007877ED"/>
    <w:rsid w:val="00790192"/>
    <w:rsid w:val="00790B9B"/>
    <w:rsid w:val="0079221C"/>
    <w:rsid w:val="0079362B"/>
    <w:rsid w:val="00793A61"/>
    <w:rsid w:val="0079419E"/>
    <w:rsid w:val="007956DD"/>
    <w:rsid w:val="007960A9"/>
    <w:rsid w:val="00796964"/>
    <w:rsid w:val="00796B57"/>
    <w:rsid w:val="00797B73"/>
    <w:rsid w:val="007A0FD5"/>
    <w:rsid w:val="007A2B1B"/>
    <w:rsid w:val="007A37B0"/>
    <w:rsid w:val="007A3FE6"/>
    <w:rsid w:val="007A4138"/>
    <w:rsid w:val="007A44A0"/>
    <w:rsid w:val="007A4A1A"/>
    <w:rsid w:val="007A56F7"/>
    <w:rsid w:val="007A5735"/>
    <w:rsid w:val="007A6066"/>
    <w:rsid w:val="007A61E4"/>
    <w:rsid w:val="007A6870"/>
    <w:rsid w:val="007A69BD"/>
    <w:rsid w:val="007B047A"/>
    <w:rsid w:val="007B12E6"/>
    <w:rsid w:val="007B1C2E"/>
    <w:rsid w:val="007B1CE1"/>
    <w:rsid w:val="007B368E"/>
    <w:rsid w:val="007B3B58"/>
    <w:rsid w:val="007B45E0"/>
    <w:rsid w:val="007B4748"/>
    <w:rsid w:val="007B4828"/>
    <w:rsid w:val="007B56FC"/>
    <w:rsid w:val="007B69C9"/>
    <w:rsid w:val="007C0783"/>
    <w:rsid w:val="007C1A3A"/>
    <w:rsid w:val="007C2FBB"/>
    <w:rsid w:val="007C3D2A"/>
    <w:rsid w:val="007C50C6"/>
    <w:rsid w:val="007C58FF"/>
    <w:rsid w:val="007C6A2F"/>
    <w:rsid w:val="007C6B11"/>
    <w:rsid w:val="007C736D"/>
    <w:rsid w:val="007D1E0F"/>
    <w:rsid w:val="007D4C01"/>
    <w:rsid w:val="007D4CF8"/>
    <w:rsid w:val="007D6B6D"/>
    <w:rsid w:val="007D7DF2"/>
    <w:rsid w:val="007E124E"/>
    <w:rsid w:val="007E1EAA"/>
    <w:rsid w:val="007E2795"/>
    <w:rsid w:val="007E3531"/>
    <w:rsid w:val="007E41FE"/>
    <w:rsid w:val="007E584D"/>
    <w:rsid w:val="007E767E"/>
    <w:rsid w:val="007F1E2A"/>
    <w:rsid w:val="007F35D3"/>
    <w:rsid w:val="007F481B"/>
    <w:rsid w:val="007F4BB5"/>
    <w:rsid w:val="007F5C21"/>
    <w:rsid w:val="007F617B"/>
    <w:rsid w:val="007F66DE"/>
    <w:rsid w:val="008019DA"/>
    <w:rsid w:val="008026C7"/>
    <w:rsid w:val="0080297F"/>
    <w:rsid w:val="00803637"/>
    <w:rsid w:val="00803B79"/>
    <w:rsid w:val="00804B50"/>
    <w:rsid w:val="00804D47"/>
    <w:rsid w:val="0080554B"/>
    <w:rsid w:val="008055FC"/>
    <w:rsid w:val="00805651"/>
    <w:rsid w:val="00805E58"/>
    <w:rsid w:val="00805F13"/>
    <w:rsid w:val="00806F3A"/>
    <w:rsid w:val="00806FB2"/>
    <w:rsid w:val="00806FF1"/>
    <w:rsid w:val="00807F5E"/>
    <w:rsid w:val="0081181E"/>
    <w:rsid w:val="00812243"/>
    <w:rsid w:val="00812B80"/>
    <w:rsid w:val="0081324E"/>
    <w:rsid w:val="00813A52"/>
    <w:rsid w:val="008144C5"/>
    <w:rsid w:val="00814BDC"/>
    <w:rsid w:val="00814C59"/>
    <w:rsid w:val="00815071"/>
    <w:rsid w:val="00815844"/>
    <w:rsid w:val="0081644D"/>
    <w:rsid w:val="0081646E"/>
    <w:rsid w:val="0081653F"/>
    <w:rsid w:val="00816ADF"/>
    <w:rsid w:val="00817216"/>
    <w:rsid w:val="008202EC"/>
    <w:rsid w:val="00822896"/>
    <w:rsid w:val="008238FE"/>
    <w:rsid w:val="008240E5"/>
    <w:rsid w:val="00825463"/>
    <w:rsid w:val="008255AF"/>
    <w:rsid w:val="008261C2"/>
    <w:rsid w:val="008264ED"/>
    <w:rsid w:val="008270BB"/>
    <w:rsid w:val="008278C9"/>
    <w:rsid w:val="00827A70"/>
    <w:rsid w:val="00827F2C"/>
    <w:rsid w:val="008310F8"/>
    <w:rsid w:val="0083193C"/>
    <w:rsid w:val="00832213"/>
    <w:rsid w:val="00834C17"/>
    <w:rsid w:val="008363D3"/>
    <w:rsid w:val="0083640D"/>
    <w:rsid w:val="00836828"/>
    <w:rsid w:val="00837151"/>
    <w:rsid w:val="008373F5"/>
    <w:rsid w:val="00837511"/>
    <w:rsid w:val="00837B83"/>
    <w:rsid w:val="00837D03"/>
    <w:rsid w:val="008407A0"/>
    <w:rsid w:val="00842317"/>
    <w:rsid w:val="00843CC2"/>
    <w:rsid w:val="0084436C"/>
    <w:rsid w:val="008445C5"/>
    <w:rsid w:val="00844E02"/>
    <w:rsid w:val="00844F3E"/>
    <w:rsid w:val="00845F36"/>
    <w:rsid w:val="00846BEB"/>
    <w:rsid w:val="00846E8B"/>
    <w:rsid w:val="00847F39"/>
    <w:rsid w:val="008505DE"/>
    <w:rsid w:val="0085074F"/>
    <w:rsid w:val="00851F1C"/>
    <w:rsid w:val="008531F9"/>
    <w:rsid w:val="00853D29"/>
    <w:rsid w:val="0085498B"/>
    <w:rsid w:val="00855C5A"/>
    <w:rsid w:val="00856802"/>
    <w:rsid w:val="00857420"/>
    <w:rsid w:val="00857A54"/>
    <w:rsid w:val="00857ADD"/>
    <w:rsid w:val="008611DB"/>
    <w:rsid w:val="00862B1B"/>
    <w:rsid w:val="008630F9"/>
    <w:rsid w:val="00867C4C"/>
    <w:rsid w:val="0087070C"/>
    <w:rsid w:val="00872E7F"/>
    <w:rsid w:val="0087360D"/>
    <w:rsid w:val="00874227"/>
    <w:rsid w:val="008746E9"/>
    <w:rsid w:val="00875603"/>
    <w:rsid w:val="00875AA0"/>
    <w:rsid w:val="008764C7"/>
    <w:rsid w:val="0087702C"/>
    <w:rsid w:val="00880246"/>
    <w:rsid w:val="008809C0"/>
    <w:rsid w:val="00880BC7"/>
    <w:rsid w:val="008828E2"/>
    <w:rsid w:val="00883556"/>
    <w:rsid w:val="008837B5"/>
    <w:rsid w:val="0088427E"/>
    <w:rsid w:val="0088442D"/>
    <w:rsid w:val="00884998"/>
    <w:rsid w:val="00884CDB"/>
    <w:rsid w:val="00885AFC"/>
    <w:rsid w:val="008860C8"/>
    <w:rsid w:val="00886A04"/>
    <w:rsid w:val="00890D33"/>
    <w:rsid w:val="008917D6"/>
    <w:rsid w:val="008917DC"/>
    <w:rsid w:val="008934B2"/>
    <w:rsid w:val="008942E8"/>
    <w:rsid w:val="008946C0"/>
    <w:rsid w:val="00894DEF"/>
    <w:rsid w:val="008962E2"/>
    <w:rsid w:val="00896EAF"/>
    <w:rsid w:val="008975B2"/>
    <w:rsid w:val="00897A66"/>
    <w:rsid w:val="008A04BE"/>
    <w:rsid w:val="008A2404"/>
    <w:rsid w:val="008A3FA3"/>
    <w:rsid w:val="008A490A"/>
    <w:rsid w:val="008A545A"/>
    <w:rsid w:val="008A6573"/>
    <w:rsid w:val="008A6EBB"/>
    <w:rsid w:val="008A7415"/>
    <w:rsid w:val="008A7900"/>
    <w:rsid w:val="008B0505"/>
    <w:rsid w:val="008B184E"/>
    <w:rsid w:val="008B22D7"/>
    <w:rsid w:val="008B42DA"/>
    <w:rsid w:val="008B4388"/>
    <w:rsid w:val="008B4571"/>
    <w:rsid w:val="008B4731"/>
    <w:rsid w:val="008B5948"/>
    <w:rsid w:val="008B6184"/>
    <w:rsid w:val="008B68FC"/>
    <w:rsid w:val="008C0F1C"/>
    <w:rsid w:val="008C1455"/>
    <w:rsid w:val="008C1D8F"/>
    <w:rsid w:val="008C29D9"/>
    <w:rsid w:val="008C3127"/>
    <w:rsid w:val="008C37AA"/>
    <w:rsid w:val="008C4F24"/>
    <w:rsid w:val="008C4FD7"/>
    <w:rsid w:val="008C64CA"/>
    <w:rsid w:val="008C6948"/>
    <w:rsid w:val="008C6B00"/>
    <w:rsid w:val="008C7ED5"/>
    <w:rsid w:val="008D0BD1"/>
    <w:rsid w:val="008D1173"/>
    <w:rsid w:val="008D165F"/>
    <w:rsid w:val="008D36B1"/>
    <w:rsid w:val="008D3D8F"/>
    <w:rsid w:val="008D4204"/>
    <w:rsid w:val="008D6ADC"/>
    <w:rsid w:val="008D7B91"/>
    <w:rsid w:val="008D7F7A"/>
    <w:rsid w:val="008E13FB"/>
    <w:rsid w:val="008E28D4"/>
    <w:rsid w:val="008E3814"/>
    <w:rsid w:val="008E4A80"/>
    <w:rsid w:val="008E4AEE"/>
    <w:rsid w:val="008E506E"/>
    <w:rsid w:val="008E547D"/>
    <w:rsid w:val="008E63D8"/>
    <w:rsid w:val="008E65B8"/>
    <w:rsid w:val="008E6677"/>
    <w:rsid w:val="008E6714"/>
    <w:rsid w:val="008E751E"/>
    <w:rsid w:val="008F0C51"/>
    <w:rsid w:val="008F0E8E"/>
    <w:rsid w:val="008F2BA5"/>
    <w:rsid w:val="008F2CB6"/>
    <w:rsid w:val="008F2EEF"/>
    <w:rsid w:val="008F2FA8"/>
    <w:rsid w:val="008F46E3"/>
    <w:rsid w:val="008F4B7B"/>
    <w:rsid w:val="008F4D67"/>
    <w:rsid w:val="008F50A5"/>
    <w:rsid w:val="008F52CA"/>
    <w:rsid w:val="008F7455"/>
    <w:rsid w:val="008F7B7A"/>
    <w:rsid w:val="0090037F"/>
    <w:rsid w:val="00900503"/>
    <w:rsid w:val="009025C8"/>
    <w:rsid w:val="00903100"/>
    <w:rsid w:val="00903BAF"/>
    <w:rsid w:val="00903D42"/>
    <w:rsid w:val="00905251"/>
    <w:rsid w:val="0090582A"/>
    <w:rsid w:val="00906284"/>
    <w:rsid w:val="00906B66"/>
    <w:rsid w:val="009078F1"/>
    <w:rsid w:val="00910165"/>
    <w:rsid w:val="009103D8"/>
    <w:rsid w:val="009110FA"/>
    <w:rsid w:val="0091127E"/>
    <w:rsid w:val="00913557"/>
    <w:rsid w:val="00913AB0"/>
    <w:rsid w:val="00913D30"/>
    <w:rsid w:val="00914214"/>
    <w:rsid w:val="00914939"/>
    <w:rsid w:val="00916A97"/>
    <w:rsid w:val="00916D42"/>
    <w:rsid w:val="0091790A"/>
    <w:rsid w:val="00920322"/>
    <w:rsid w:val="00920AAB"/>
    <w:rsid w:val="0092131F"/>
    <w:rsid w:val="00922750"/>
    <w:rsid w:val="00922BD5"/>
    <w:rsid w:val="0092670F"/>
    <w:rsid w:val="009274FC"/>
    <w:rsid w:val="00930179"/>
    <w:rsid w:val="0093042F"/>
    <w:rsid w:val="00932E7C"/>
    <w:rsid w:val="00933A1C"/>
    <w:rsid w:val="00934ECC"/>
    <w:rsid w:val="00934FFA"/>
    <w:rsid w:val="009359FA"/>
    <w:rsid w:val="00935A59"/>
    <w:rsid w:val="00935B96"/>
    <w:rsid w:val="00935B99"/>
    <w:rsid w:val="00937C1F"/>
    <w:rsid w:val="00937CE3"/>
    <w:rsid w:val="00940605"/>
    <w:rsid w:val="00940608"/>
    <w:rsid w:val="00940B6E"/>
    <w:rsid w:val="009417CD"/>
    <w:rsid w:val="009417FC"/>
    <w:rsid w:val="00941995"/>
    <w:rsid w:val="00941E30"/>
    <w:rsid w:val="00942354"/>
    <w:rsid w:val="00943758"/>
    <w:rsid w:val="0094432C"/>
    <w:rsid w:val="0094484C"/>
    <w:rsid w:val="009448DD"/>
    <w:rsid w:val="00944C0F"/>
    <w:rsid w:val="0094646D"/>
    <w:rsid w:val="00947985"/>
    <w:rsid w:val="00950321"/>
    <w:rsid w:val="00950EC1"/>
    <w:rsid w:val="00951990"/>
    <w:rsid w:val="00951B26"/>
    <w:rsid w:val="009520DB"/>
    <w:rsid w:val="0095214D"/>
    <w:rsid w:val="00953A95"/>
    <w:rsid w:val="0095427A"/>
    <w:rsid w:val="00954450"/>
    <w:rsid w:val="0095589A"/>
    <w:rsid w:val="00956AE4"/>
    <w:rsid w:val="00961268"/>
    <w:rsid w:val="00962A0A"/>
    <w:rsid w:val="00963260"/>
    <w:rsid w:val="009645A2"/>
    <w:rsid w:val="0096544A"/>
    <w:rsid w:val="009656C6"/>
    <w:rsid w:val="0096671D"/>
    <w:rsid w:val="00966FF8"/>
    <w:rsid w:val="009702DD"/>
    <w:rsid w:val="00970EE5"/>
    <w:rsid w:val="009711B6"/>
    <w:rsid w:val="00972BB6"/>
    <w:rsid w:val="00972BC5"/>
    <w:rsid w:val="00972DB3"/>
    <w:rsid w:val="00975D67"/>
    <w:rsid w:val="009765A9"/>
    <w:rsid w:val="009773F7"/>
    <w:rsid w:val="00977488"/>
    <w:rsid w:val="00980797"/>
    <w:rsid w:val="009822A1"/>
    <w:rsid w:val="00983F94"/>
    <w:rsid w:val="0098447E"/>
    <w:rsid w:val="00984568"/>
    <w:rsid w:val="0098467B"/>
    <w:rsid w:val="00984F1E"/>
    <w:rsid w:val="0098578D"/>
    <w:rsid w:val="00986EA7"/>
    <w:rsid w:val="0098726A"/>
    <w:rsid w:val="00987517"/>
    <w:rsid w:val="00987D46"/>
    <w:rsid w:val="00990107"/>
    <w:rsid w:val="0099240C"/>
    <w:rsid w:val="00992A19"/>
    <w:rsid w:val="00992BE6"/>
    <w:rsid w:val="0099412A"/>
    <w:rsid w:val="009954EF"/>
    <w:rsid w:val="009969AC"/>
    <w:rsid w:val="0099744F"/>
    <w:rsid w:val="00997E79"/>
    <w:rsid w:val="009A08AA"/>
    <w:rsid w:val="009A19E3"/>
    <w:rsid w:val="009A1C2B"/>
    <w:rsid w:val="009A24F1"/>
    <w:rsid w:val="009A2A24"/>
    <w:rsid w:val="009A2AD2"/>
    <w:rsid w:val="009A2B2C"/>
    <w:rsid w:val="009A35E5"/>
    <w:rsid w:val="009A3A87"/>
    <w:rsid w:val="009A4904"/>
    <w:rsid w:val="009A57D2"/>
    <w:rsid w:val="009A5AC7"/>
    <w:rsid w:val="009A7B23"/>
    <w:rsid w:val="009B0A36"/>
    <w:rsid w:val="009B2129"/>
    <w:rsid w:val="009B2B79"/>
    <w:rsid w:val="009B3072"/>
    <w:rsid w:val="009B461B"/>
    <w:rsid w:val="009B7053"/>
    <w:rsid w:val="009C197C"/>
    <w:rsid w:val="009C1FA8"/>
    <w:rsid w:val="009C217E"/>
    <w:rsid w:val="009C3600"/>
    <w:rsid w:val="009C5D67"/>
    <w:rsid w:val="009C5E78"/>
    <w:rsid w:val="009C7287"/>
    <w:rsid w:val="009D0EFF"/>
    <w:rsid w:val="009D1677"/>
    <w:rsid w:val="009D187A"/>
    <w:rsid w:val="009D2C9A"/>
    <w:rsid w:val="009D3136"/>
    <w:rsid w:val="009D3591"/>
    <w:rsid w:val="009D3FB7"/>
    <w:rsid w:val="009D4132"/>
    <w:rsid w:val="009D4435"/>
    <w:rsid w:val="009D5916"/>
    <w:rsid w:val="009D5D7D"/>
    <w:rsid w:val="009D68C1"/>
    <w:rsid w:val="009E062E"/>
    <w:rsid w:val="009E079C"/>
    <w:rsid w:val="009E1F57"/>
    <w:rsid w:val="009E3E53"/>
    <w:rsid w:val="009E45DF"/>
    <w:rsid w:val="009E6034"/>
    <w:rsid w:val="009E6A9F"/>
    <w:rsid w:val="009E6D25"/>
    <w:rsid w:val="009E7E53"/>
    <w:rsid w:val="009F06DD"/>
    <w:rsid w:val="009F1991"/>
    <w:rsid w:val="009F20BE"/>
    <w:rsid w:val="009F3376"/>
    <w:rsid w:val="009F45D6"/>
    <w:rsid w:val="009F503C"/>
    <w:rsid w:val="009F5847"/>
    <w:rsid w:val="009F5A40"/>
    <w:rsid w:val="009F5D03"/>
    <w:rsid w:val="00A00AEB"/>
    <w:rsid w:val="00A01632"/>
    <w:rsid w:val="00A01F5D"/>
    <w:rsid w:val="00A04A54"/>
    <w:rsid w:val="00A05AF4"/>
    <w:rsid w:val="00A06851"/>
    <w:rsid w:val="00A06EE8"/>
    <w:rsid w:val="00A070DA"/>
    <w:rsid w:val="00A0739B"/>
    <w:rsid w:val="00A10491"/>
    <w:rsid w:val="00A11305"/>
    <w:rsid w:val="00A1309E"/>
    <w:rsid w:val="00A13D6E"/>
    <w:rsid w:val="00A140F9"/>
    <w:rsid w:val="00A14A4E"/>
    <w:rsid w:val="00A15205"/>
    <w:rsid w:val="00A160D0"/>
    <w:rsid w:val="00A174C5"/>
    <w:rsid w:val="00A178B2"/>
    <w:rsid w:val="00A20ABD"/>
    <w:rsid w:val="00A211F9"/>
    <w:rsid w:val="00A216D1"/>
    <w:rsid w:val="00A22220"/>
    <w:rsid w:val="00A2236D"/>
    <w:rsid w:val="00A228B1"/>
    <w:rsid w:val="00A22E50"/>
    <w:rsid w:val="00A2443C"/>
    <w:rsid w:val="00A246DC"/>
    <w:rsid w:val="00A24E30"/>
    <w:rsid w:val="00A25167"/>
    <w:rsid w:val="00A2623E"/>
    <w:rsid w:val="00A26989"/>
    <w:rsid w:val="00A27B1C"/>
    <w:rsid w:val="00A31356"/>
    <w:rsid w:val="00A31B1A"/>
    <w:rsid w:val="00A32C93"/>
    <w:rsid w:val="00A32C97"/>
    <w:rsid w:val="00A33D8F"/>
    <w:rsid w:val="00A34405"/>
    <w:rsid w:val="00A34A28"/>
    <w:rsid w:val="00A368E1"/>
    <w:rsid w:val="00A373B3"/>
    <w:rsid w:val="00A4060C"/>
    <w:rsid w:val="00A408AE"/>
    <w:rsid w:val="00A409CF"/>
    <w:rsid w:val="00A410B0"/>
    <w:rsid w:val="00A426E2"/>
    <w:rsid w:val="00A42766"/>
    <w:rsid w:val="00A43C96"/>
    <w:rsid w:val="00A44ED8"/>
    <w:rsid w:val="00A454BD"/>
    <w:rsid w:val="00A45CA6"/>
    <w:rsid w:val="00A46032"/>
    <w:rsid w:val="00A46FD5"/>
    <w:rsid w:val="00A47AA7"/>
    <w:rsid w:val="00A47E02"/>
    <w:rsid w:val="00A5055A"/>
    <w:rsid w:val="00A5101E"/>
    <w:rsid w:val="00A51CE7"/>
    <w:rsid w:val="00A53560"/>
    <w:rsid w:val="00A53A40"/>
    <w:rsid w:val="00A5419A"/>
    <w:rsid w:val="00A54860"/>
    <w:rsid w:val="00A55D4E"/>
    <w:rsid w:val="00A57D5D"/>
    <w:rsid w:val="00A6042B"/>
    <w:rsid w:val="00A61D48"/>
    <w:rsid w:val="00A62AC6"/>
    <w:rsid w:val="00A6304D"/>
    <w:rsid w:val="00A631AB"/>
    <w:rsid w:val="00A63E71"/>
    <w:rsid w:val="00A64623"/>
    <w:rsid w:val="00A6529C"/>
    <w:rsid w:val="00A65C16"/>
    <w:rsid w:val="00A66253"/>
    <w:rsid w:val="00A669A0"/>
    <w:rsid w:val="00A66B76"/>
    <w:rsid w:val="00A67152"/>
    <w:rsid w:val="00A70871"/>
    <w:rsid w:val="00A70B80"/>
    <w:rsid w:val="00A70FF7"/>
    <w:rsid w:val="00A710A7"/>
    <w:rsid w:val="00A71223"/>
    <w:rsid w:val="00A71C78"/>
    <w:rsid w:val="00A71F99"/>
    <w:rsid w:val="00A7236D"/>
    <w:rsid w:val="00A72BE6"/>
    <w:rsid w:val="00A72BE7"/>
    <w:rsid w:val="00A73BA7"/>
    <w:rsid w:val="00A74F52"/>
    <w:rsid w:val="00A80A71"/>
    <w:rsid w:val="00A80ABD"/>
    <w:rsid w:val="00A81F0A"/>
    <w:rsid w:val="00A827E7"/>
    <w:rsid w:val="00A84196"/>
    <w:rsid w:val="00A869B7"/>
    <w:rsid w:val="00A87040"/>
    <w:rsid w:val="00A9008C"/>
    <w:rsid w:val="00A90200"/>
    <w:rsid w:val="00A9071F"/>
    <w:rsid w:val="00A90983"/>
    <w:rsid w:val="00A922A6"/>
    <w:rsid w:val="00A92AB9"/>
    <w:rsid w:val="00A932C1"/>
    <w:rsid w:val="00A94E28"/>
    <w:rsid w:val="00A95840"/>
    <w:rsid w:val="00A95FAF"/>
    <w:rsid w:val="00A9653F"/>
    <w:rsid w:val="00A96698"/>
    <w:rsid w:val="00A967F9"/>
    <w:rsid w:val="00A97281"/>
    <w:rsid w:val="00AA0EEA"/>
    <w:rsid w:val="00AA3D14"/>
    <w:rsid w:val="00AA4C6F"/>
    <w:rsid w:val="00AA5690"/>
    <w:rsid w:val="00AA5CF0"/>
    <w:rsid w:val="00AA6034"/>
    <w:rsid w:val="00AB01E8"/>
    <w:rsid w:val="00AB1B1E"/>
    <w:rsid w:val="00AB2BE8"/>
    <w:rsid w:val="00AB38F1"/>
    <w:rsid w:val="00AB4D81"/>
    <w:rsid w:val="00AB5489"/>
    <w:rsid w:val="00AB5AB0"/>
    <w:rsid w:val="00AB5F81"/>
    <w:rsid w:val="00AB63C1"/>
    <w:rsid w:val="00AB7974"/>
    <w:rsid w:val="00AB7DB5"/>
    <w:rsid w:val="00AC0BC6"/>
    <w:rsid w:val="00AC0D16"/>
    <w:rsid w:val="00AC187D"/>
    <w:rsid w:val="00AC1CEF"/>
    <w:rsid w:val="00AC217A"/>
    <w:rsid w:val="00AC22AF"/>
    <w:rsid w:val="00AC36AA"/>
    <w:rsid w:val="00AC4AF1"/>
    <w:rsid w:val="00AC5010"/>
    <w:rsid w:val="00AC5796"/>
    <w:rsid w:val="00AC5E15"/>
    <w:rsid w:val="00AC6CEF"/>
    <w:rsid w:val="00AC7A8C"/>
    <w:rsid w:val="00AD198A"/>
    <w:rsid w:val="00AD1B85"/>
    <w:rsid w:val="00AD1C18"/>
    <w:rsid w:val="00AD1C99"/>
    <w:rsid w:val="00AD2795"/>
    <w:rsid w:val="00AD2B67"/>
    <w:rsid w:val="00AD2D05"/>
    <w:rsid w:val="00AD3677"/>
    <w:rsid w:val="00AD44E2"/>
    <w:rsid w:val="00AD4904"/>
    <w:rsid w:val="00AD6309"/>
    <w:rsid w:val="00AD7F13"/>
    <w:rsid w:val="00AE0696"/>
    <w:rsid w:val="00AE1973"/>
    <w:rsid w:val="00AE20DD"/>
    <w:rsid w:val="00AE2F67"/>
    <w:rsid w:val="00AE378E"/>
    <w:rsid w:val="00AE3B05"/>
    <w:rsid w:val="00AE448D"/>
    <w:rsid w:val="00AE4EED"/>
    <w:rsid w:val="00AE53BD"/>
    <w:rsid w:val="00AE794E"/>
    <w:rsid w:val="00AF056F"/>
    <w:rsid w:val="00AF09A2"/>
    <w:rsid w:val="00AF0D57"/>
    <w:rsid w:val="00AF226C"/>
    <w:rsid w:val="00AF25B3"/>
    <w:rsid w:val="00AF27CD"/>
    <w:rsid w:val="00AF29E9"/>
    <w:rsid w:val="00AF2E92"/>
    <w:rsid w:val="00AF32A1"/>
    <w:rsid w:val="00AF35D0"/>
    <w:rsid w:val="00AF3CA8"/>
    <w:rsid w:val="00AF3EB9"/>
    <w:rsid w:val="00AF4973"/>
    <w:rsid w:val="00AF4A76"/>
    <w:rsid w:val="00AF50F7"/>
    <w:rsid w:val="00AF530D"/>
    <w:rsid w:val="00B008B9"/>
    <w:rsid w:val="00B00E4D"/>
    <w:rsid w:val="00B01162"/>
    <w:rsid w:val="00B02992"/>
    <w:rsid w:val="00B02CF3"/>
    <w:rsid w:val="00B0310E"/>
    <w:rsid w:val="00B04CA1"/>
    <w:rsid w:val="00B059E7"/>
    <w:rsid w:val="00B05F90"/>
    <w:rsid w:val="00B07058"/>
    <w:rsid w:val="00B07D45"/>
    <w:rsid w:val="00B11A8A"/>
    <w:rsid w:val="00B11F35"/>
    <w:rsid w:val="00B141E4"/>
    <w:rsid w:val="00B14398"/>
    <w:rsid w:val="00B1444E"/>
    <w:rsid w:val="00B14983"/>
    <w:rsid w:val="00B15AC1"/>
    <w:rsid w:val="00B16127"/>
    <w:rsid w:val="00B163D6"/>
    <w:rsid w:val="00B16875"/>
    <w:rsid w:val="00B16F45"/>
    <w:rsid w:val="00B1752F"/>
    <w:rsid w:val="00B17C6A"/>
    <w:rsid w:val="00B2214E"/>
    <w:rsid w:val="00B249A6"/>
    <w:rsid w:val="00B24ADB"/>
    <w:rsid w:val="00B24F9D"/>
    <w:rsid w:val="00B25744"/>
    <w:rsid w:val="00B25B51"/>
    <w:rsid w:val="00B27804"/>
    <w:rsid w:val="00B27A7B"/>
    <w:rsid w:val="00B300ED"/>
    <w:rsid w:val="00B30272"/>
    <w:rsid w:val="00B303D2"/>
    <w:rsid w:val="00B3088E"/>
    <w:rsid w:val="00B30A6C"/>
    <w:rsid w:val="00B31A47"/>
    <w:rsid w:val="00B32721"/>
    <w:rsid w:val="00B33E5E"/>
    <w:rsid w:val="00B34FC0"/>
    <w:rsid w:val="00B35AA6"/>
    <w:rsid w:val="00B3704C"/>
    <w:rsid w:val="00B37BDB"/>
    <w:rsid w:val="00B37F23"/>
    <w:rsid w:val="00B41F7D"/>
    <w:rsid w:val="00B42A0B"/>
    <w:rsid w:val="00B43250"/>
    <w:rsid w:val="00B4450D"/>
    <w:rsid w:val="00B44E2C"/>
    <w:rsid w:val="00B44F18"/>
    <w:rsid w:val="00B4560D"/>
    <w:rsid w:val="00B467D8"/>
    <w:rsid w:val="00B507BE"/>
    <w:rsid w:val="00B51F0B"/>
    <w:rsid w:val="00B52863"/>
    <w:rsid w:val="00B53157"/>
    <w:rsid w:val="00B53335"/>
    <w:rsid w:val="00B53D79"/>
    <w:rsid w:val="00B5415D"/>
    <w:rsid w:val="00B546E5"/>
    <w:rsid w:val="00B56076"/>
    <w:rsid w:val="00B56B9B"/>
    <w:rsid w:val="00B571E0"/>
    <w:rsid w:val="00B576BB"/>
    <w:rsid w:val="00B579C8"/>
    <w:rsid w:val="00B57DF8"/>
    <w:rsid w:val="00B60CE9"/>
    <w:rsid w:val="00B61236"/>
    <w:rsid w:val="00B6182B"/>
    <w:rsid w:val="00B62829"/>
    <w:rsid w:val="00B62877"/>
    <w:rsid w:val="00B639DF"/>
    <w:rsid w:val="00B63BB6"/>
    <w:rsid w:val="00B64F41"/>
    <w:rsid w:val="00B66109"/>
    <w:rsid w:val="00B66215"/>
    <w:rsid w:val="00B665D8"/>
    <w:rsid w:val="00B66835"/>
    <w:rsid w:val="00B671DA"/>
    <w:rsid w:val="00B674D9"/>
    <w:rsid w:val="00B71656"/>
    <w:rsid w:val="00B71A04"/>
    <w:rsid w:val="00B72352"/>
    <w:rsid w:val="00B72A2F"/>
    <w:rsid w:val="00B7339B"/>
    <w:rsid w:val="00B736AA"/>
    <w:rsid w:val="00B74633"/>
    <w:rsid w:val="00B74A67"/>
    <w:rsid w:val="00B75345"/>
    <w:rsid w:val="00B75358"/>
    <w:rsid w:val="00B761C4"/>
    <w:rsid w:val="00B7626D"/>
    <w:rsid w:val="00B7699F"/>
    <w:rsid w:val="00B76BB6"/>
    <w:rsid w:val="00B77359"/>
    <w:rsid w:val="00B7790D"/>
    <w:rsid w:val="00B8072C"/>
    <w:rsid w:val="00B80B21"/>
    <w:rsid w:val="00B84BC2"/>
    <w:rsid w:val="00B852DE"/>
    <w:rsid w:val="00B85EC6"/>
    <w:rsid w:val="00B85F5E"/>
    <w:rsid w:val="00B868F2"/>
    <w:rsid w:val="00B86A58"/>
    <w:rsid w:val="00B872A3"/>
    <w:rsid w:val="00B87641"/>
    <w:rsid w:val="00B90488"/>
    <w:rsid w:val="00B90711"/>
    <w:rsid w:val="00B914C4"/>
    <w:rsid w:val="00B91E22"/>
    <w:rsid w:val="00B92467"/>
    <w:rsid w:val="00B92C2E"/>
    <w:rsid w:val="00B946D1"/>
    <w:rsid w:val="00B94D49"/>
    <w:rsid w:val="00B94DC3"/>
    <w:rsid w:val="00B95D6A"/>
    <w:rsid w:val="00B96BC4"/>
    <w:rsid w:val="00BA0C67"/>
    <w:rsid w:val="00BA152D"/>
    <w:rsid w:val="00BA3BBA"/>
    <w:rsid w:val="00BA4822"/>
    <w:rsid w:val="00BA5085"/>
    <w:rsid w:val="00BA70DE"/>
    <w:rsid w:val="00BA7E3E"/>
    <w:rsid w:val="00BB0127"/>
    <w:rsid w:val="00BB06C1"/>
    <w:rsid w:val="00BB11FA"/>
    <w:rsid w:val="00BB1304"/>
    <w:rsid w:val="00BB1820"/>
    <w:rsid w:val="00BB195A"/>
    <w:rsid w:val="00BB1C8E"/>
    <w:rsid w:val="00BB2A64"/>
    <w:rsid w:val="00BB384C"/>
    <w:rsid w:val="00BB51A7"/>
    <w:rsid w:val="00BB576C"/>
    <w:rsid w:val="00BB590C"/>
    <w:rsid w:val="00BB70DC"/>
    <w:rsid w:val="00BB7555"/>
    <w:rsid w:val="00BB7C45"/>
    <w:rsid w:val="00BB7CE4"/>
    <w:rsid w:val="00BB7E74"/>
    <w:rsid w:val="00BC003C"/>
    <w:rsid w:val="00BC09B1"/>
    <w:rsid w:val="00BC210D"/>
    <w:rsid w:val="00BC2582"/>
    <w:rsid w:val="00BC4728"/>
    <w:rsid w:val="00BC4B2D"/>
    <w:rsid w:val="00BC5311"/>
    <w:rsid w:val="00BC666C"/>
    <w:rsid w:val="00BC76E0"/>
    <w:rsid w:val="00BC7DF6"/>
    <w:rsid w:val="00BD0E5B"/>
    <w:rsid w:val="00BD2856"/>
    <w:rsid w:val="00BD3034"/>
    <w:rsid w:val="00BD34F1"/>
    <w:rsid w:val="00BD415C"/>
    <w:rsid w:val="00BD45B8"/>
    <w:rsid w:val="00BD4831"/>
    <w:rsid w:val="00BD4866"/>
    <w:rsid w:val="00BD5490"/>
    <w:rsid w:val="00BD57F4"/>
    <w:rsid w:val="00BD6A58"/>
    <w:rsid w:val="00BD7797"/>
    <w:rsid w:val="00BD784D"/>
    <w:rsid w:val="00BD78E6"/>
    <w:rsid w:val="00BE2A3C"/>
    <w:rsid w:val="00BE2E03"/>
    <w:rsid w:val="00BE35C9"/>
    <w:rsid w:val="00BE3EBD"/>
    <w:rsid w:val="00BE406D"/>
    <w:rsid w:val="00BE459D"/>
    <w:rsid w:val="00BE4BD9"/>
    <w:rsid w:val="00BE54BE"/>
    <w:rsid w:val="00BE7C13"/>
    <w:rsid w:val="00BF077B"/>
    <w:rsid w:val="00BF0C62"/>
    <w:rsid w:val="00BF1DE2"/>
    <w:rsid w:val="00BF26AD"/>
    <w:rsid w:val="00BF2EB8"/>
    <w:rsid w:val="00BF307A"/>
    <w:rsid w:val="00BF3486"/>
    <w:rsid w:val="00BF3CC8"/>
    <w:rsid w:val="00BF4D0F"/>
    <w:rsid w:val="00BF54DB"/>
    <w:rsid w:val="00BF554B"/>
    <w:rsid w:val="00BF5C71"/>
    <w:rsid w:val="00BF5F78"/>
    <w:rsid w:val="00BF7371"/>
    <w:rsid w:val="00BF7DD3"/>
    <w:rsid w:val="00C0033A"/>
    <w:rsid w:val="00C00CBB"/>
    <w:rsid w:val="00C00ED0"/>
    <w:rsid w:val="00C0205F"/>
    <w:rsid w:val="00C02A80"/>
    <w:rsid w:val="00C02EB2"/>
    <w:rsid w:val="00C0320D"/>
    <w:rsid w:val="00C038E9"/>
    <w:rsid w:val="00C03DE1"/>
    <w:rsid w:val="00C04AB4"/>
    <w:rsid w:val="00C04AF0"/>
    <w:rsid w:val="00C04B59"/>
    <w:rsid w:val="00C0539F"/>
    <w:rsid w:val="00C05671"/>
    <w:rsid w:val="00C0639D"/>
    <w:rsid w:val="00C0660E"/>
    <w:rsid w:val="00C06C2D"/>
    <w:rsid w:val="00C07073"/>
    <w:rsid w:val="00C07399"/>
    <w:rsid w:val="00C078A2"/>
    <w:rsid w:val="00C07B88"/>
    <w:rsid w:val="00C07C32"/>
    <w:rsid w:val="00C10145"/>
    <w:rsid w:val="00C11CE2"/>
    <w:rsid w:val="00C12AD9"/>
    <w:rsid w:val="00C13DBB"/>
    <w:rsid w:val="00C13FDC"/>
    <w:rsid w:val="00C14028"/>
    <w:rsid w:val="00C14EA4"/>
    <w:rsid w:val="00C160E9"/>
    <w:rsid w:val="00C16101"/>
    <w:rsid w:val="00C1627C"/>
    <w:rsid w:val="00C201F2"/>
    <w:rsid w:val="00C20AF4"/>
    <w:rsid w:val="00C2160C"/>
    <w:rsid w:val="00C21752"/>
    <w:rsid w:val="00C22B6B"/>
    <w:rsid w:val="00C2464C"/>
    <w:rsid w:val="00C24A9A"/>
    <w:rsid w:val="00C24B21"/>
    <w:rsid w:val="00C24C85"/>
    <w:rsid w:val="00C2537D"/>
    <w:rsid w:val="00C26EC4"/>
    <w:rsid w:val="00C30843"/>
    <w:rsid w:val="00C309ED"/>
    <w:rsid w:val="00C30E51"/>
    <w:rsid w:val="00C30EED"/>
    <w:rsid w:val="00C31908"/>
    <w:rsid w:val="00C323F3"/>
    <w:rsid w:val="00C33385"/>
    <w:rsid w:val="00C3399F"/>
    <w:rsid w:val="00C33E60"/>
    <w:rsid w:val="00C340A0"/>
    <w:rsid w:val="00C34258"/>
    <w:rsid w:val="00C34B4D"/>
    <w:rsid w:val="00C34F7D"/>
    <w:rsid w:val="00C35B8B"/>
    <w:rsid w:val="00C36E4D"/>
    <w:rsid w:val="00C37DDE"/>
    <w:rsid w:val="00C40428"/>
    <w:rsid w:val="00C40CFD"/>
    <w:rsid w:val="00C40DB4"/>
    <w:rsid w:val="00C41986"/>
    <w:rsid w:val="00C42F27"/>
    <w:rsid w:val="00C4379E"/>
    <w:rsid w:val="00C44CC1"/>
    <w:rsid w:val="00C44F57"/>
    <w:rsid w:val="00C46EAA"/>
    <w:rsid w:val="00C47261"/>
    <w:rsid w:val="00C47F7C"/>
    <w:rsid w:val="00C50850"/>
    <w:rsid w:val="00C5165B"/>
    <w:rsid w:val="00C5171A"/>
    <w:rsid w:val="00C519B6"/>
    <w:rsid w:val="00C51C7E"/>
    <w:rsid w:val="00C5300A"/>
    <w:rsid w:val="00C534D1"/>
    <w:rsid w:val="00C53C61"/>
    <w:rsid w:val="00C53E5D"/>
    <w:rsid w:val="00C55AAC"/>
    <w:rsid w:val="00C56528"/>
    <w:rsid w:val="00C5672B"/>
    <w:rsid w:val="00C56D62"/>
    <w:rsid w:val="00C570DA"/>
    <w:rsid w:val="00C579C3"/>
    <w:rsid w:val="00C57C71"/>
    <w:rsid w:val="00C57D1E"/>
    <w:rsid w:val="00C60135"/>
    <w:rsid w:val="00C60D15"/>
    <w:rsid w:val="00C61194"/>
    <w:rsid w:val="00C61237"/>
    <w:rsid w:val="00C618DA"/>
    <w:rsid w:val="00C61E48"/>
    <w:rsid w:val="00C64432"/>
    <w:rsid w:val="00C653AB"/>
    <w:rsid w:val="00C65EB0"/>
    <w:rsid w:val="00C66569"/>
    <w:rsid w:val="00C73349"/>
    <w:rsid w:val="00C736E7"/>
    <w:rsid w:val="00C73949"/>
    <w:rsid w:val="00C74812"/>
    <w:rsid w:val="00C753CC"/>
    <w:rsid w:val="00C75B53"/>
    <w:rsid w:val="00C76D75"/>
    <w:rsid w:val="00C77A1C"/>
    <w:rsid w:val="00C81173"/>
    <w:rsid w:val="00C81199"/>
    <w:rsid w:val="00C813B1"/>
    <w:rsid w:val="00C81FD0"/>
    <w:rsid w:val="00C8259C"/>
    <w:rsid w:val="00C82CA8"/>
    <w:rsid w:val="00C847A1"/>
    <w:rsid w:val="00C857F8"/>
    <w:rsid w:val="00C85EC5"/>
    <w:rsid w:val="00C873A9"/>
    <w:rsid w:val="00C91091"/>
    <w:rsid w:val="00C924F4"/>
    <w:rsid w:val="00C93113"/>
    <w:rsid w:val="00C94171"/>
    <w:rsid w:val="00C947E2"/>
    <w:rsid w:val="00C9547A"/>
    <w:rsid w:val="00C96CAA"/>
    <w:rsid w:val="00C977D8"/>
    <w:rsid w:val="00C97E10"/>
    <w:rsid w:val="00CA2B9D"/>
    <w:rsid w:val="00CA3573"/>
    <w:rsid w:val="00CA373D"/>
    <w:rsid w:val="00CA3AA6"/>
    <w:rsid w:val="00CA3BC5"/>
    <w:rsid w:val="00CA3F5D"/>
    <w:rsid w:val="00CA4E83"/>
    <w:rsid w:val="00CA6937"/>
    <w:rsid w:val="00CB1472"/>
    <w:rsid w:val="00CB1750"/>
    <w:rsid w:val="00CB2D72"/>
    <w:rsid w:val="00CB39B3"/>
    <w:rsid w:val="00CB4D82"/>
    <w:rsid w:val="00CB7F1E"/>
    <w:rsid w:val="00CC11AD"/>
    <w:rsid w:val="00CC16BE"/>
    <w:rsid w:val="00CC1A16"/>
    <w:rsid w:val="00CC1C86"/>
    <w:rsid w:val="00CC205B"/>
    <w:rsid w:val="00CC2403"/>
    <w:rsid w:val="00CC27D9"/>
    <w:rsid w:val="00CC597A"/>
    <w:rsid w:val="00CC678B"/>
    <w:rsid w:val="00CC75C1"/>
    <w:rsid w:val="00CC7A32"/>
    <w:rsid w:val="00CC7B37"/>
    <w:rsid w:val="00CC7EB0"/>
    <w:rsid w:val="00CC7F73"/>
    <w:rsid w:val="00CD2711"/>
    <w:rsid w:val="00CD3452"/>
    <w:rsid w:val="00CD373D"/>
    <w:rsid w:val="00CD47CA"/>
    <w:rsid w:val="00CD4C13"/>
    <w:rsid w:val="00CD5171"/>
    <w:rsid w:val="00CD5871"/>
    <w:rsid w:val="00CD6EF3"/>
    <w:rsid w:val="00CD78AB"/>
    <w:rsid w:val="00CE0677"/>
    <w:rsid w:val="00CE0C88"/>
    <w:rsid w:val="00CE257C"/>
    <w:rsid w:val="00CE2DC3"/>
    <w:rsid w:val="00CE35F7"/>
    <w:rsid w:val="00CE53AD"/>
    <w:rsid w:val="00CE59EB"/>
    <w:rsid w:val="00CE5EB5"/>
    <w:rsid w:val="00CE659F"/>
    <w:rsid w:val="00CF246A"/>
    <w:rsid w:val="00CF25C0"/>
    <w:rsid w:val="00CF3C5A"/>
    <w:rsid w:val="00CF3E93"/>
    <w:rsid w:val="00CF40D3"/>
    <w:rsid w:val="00CF41F1"/>
    <w:rsid w:val="00CF46BF"/>
    <w:rsid w:val="00CF4EE4"/>
    <w:rsid w:val="00CF5789"/>
    <w:rsid w:val="00CF5AF1"/>
    <w:rsid w:val="00CF5C28"/>
    <w:rsid w:val="00CF5EB3"/>
    <w:rsid w:val="00CF6422"/>
    <w:rsid w:val="00CF7239"/>
    <w:rsid w:val="00D01406"/>
    <w:rsid w:val="00D02D68"/>
    <w:rsid w:val="00D05C8C"/>
    <w:rsid w:val="00D06092"/>
    <w:rsid w:val="00D07B89"/>
    <w:rsid w:val="00D10D13"/>
    <w:rsid w:val="00D11455"/>
    <w:rsid w:val="00D115DE"/>
    <w:rsid w:val="00D12C18"/>
    <w:rsid w:val="00D135F7"/>
    <w:rsid w:val="00D138AE"/>
    <w:rsid w:val="00D13D21"/>
    <w:rsid w:val="00D148F5"/>
    <w:rsid w:val="00D15035"/>
    <w:rsid w:val="00D15563"/>
    <w:rsid w:val="00D1637C"/>
    <w:rsid w:val="00D166BA"/>
    <w:rsid w:val="00D16866"/>
    <w:rsid w:val="00D16C89"/>
    <w:rsid w:val="00D171F2"/>
    <w:rsid w:val="00D208B2"/>
    <w:rsid w:val="00D21812"/>
    <w:rsid w:val="00D21C86"/>
    <w:rsid w:val="00D2288C"/>
    <w:rsid w:val="00D22CCE"/>
    <w:rsid w:val="00D23A43"/>
    <w:rsid w:val="00D24595"/>
    <w:rsid w:val="00D24D99"/>
    <w:rsid w:val="00D27656"/>
    <w:rsid w:val="00D27E55"/>
    <w:rsid w:val="00D3019B"/>
    <w:rsid w:val="00D30624"/>
    <w:rsid w:val="00D306C1"/>
    <w:rsid w:val="00D306EB"/>
    <w:rsid w:val="00D3071B"/>
    <w:rsid w:val="00D31521"/>
    <w:rsid w:val="00D31E52"/>
    <w:rsid w:val="00D325B8"/>
    <w:rsid w:val="00D333AA"/>
    <w:rsid w:val="00D34BF8"/>
    <w:rsid w:val="00D35A07"/>
    <w:rsid w:val="00D35FDC"/>
    <w:rsid w:val="00D360EA"/>
    <w:rsid w:val="00D36446"/>
    <w:rsid w:val="00D40281"/>
    <w:rsid w:val="00D41764"/>
    <w:rsid w:val="00D41DC4"/>
    <w:rsid w:val="00D4338D"/>
    <w:rsid w:val="00D457D5"/>
    <w:rsid w:val="00D45CED"/>
    <w:rsid w:val="00D466DC"/>
    <w:rsid w:val="00D467CB"/>
    <w:rsid w:val="00D4696E"/>
    <w:rsid w:val="00D46F22"/>
    <w:rsid w:val="00D4722C"/>
    <w:rsid w:val="00D47476"/>
    <w:rsid w:val="00D475D8"/>
    <w:rsid w:val="00D51EE9"/>
    <w:rsid w:val="00D52C8E"/>
    <w:rsid w:val="00D530A5"/>
    <w:rsid w:val="00D546C2"/>
    <w:rsid w:val="00D55B5A"/>
    <w:rsid w:val="00D57945"/>
    <w:rsid w:val="00D6266E"/>
    <w:rsid w:val="00D62F1F"/>
    <w:rsid w:val="00D63254"/>
    <w:rsid w:val="00D64886"/>
    <w:rsid w:val="00D65146"/>
    <w:rsid w:val="00D6544A"/>
    <w:rsid w:val="00D656FE"/>
    <w:rsid w:val="00D6618A"/>
    <w:rsid w:val="00D668E3"/>
    <w:rsid w:val="00D66FD7"/>
    <w:rsid w:val="00D6705E"/>
    <w:rsid w:val="00D6718B"/>
    <w:rsid w:val="00D67FE1"/>
    <w:rsid w:val="00D7238B"/>
    <w:rsid w:val="00D74E42"/>
    <w:rsid w:val="00D74F3D"/>
    <w:rsid w:val="00D750C3"/>
    <w:rsid w:val="00D76BF2"/>
    <w:rsid w:val="00D8010C"/>
    <w:rsid w:val="00D80449"/>
    <w:rsid w:val="00D80CCA"/>
    <w:rsid w:val="00D80D14"/>
    <w:rsid w:val="00D811CA"/>
    <w:rsid w:val="00D82A4E"/>
    <w:rsid w:val="00D82AEF"/>
    <w:rsid w:val="00D832E7"/>
    <w:rsid w:val="00D840AC"/>
    <w:rsid w:val="00D8658A"/>
    <w:rsid w:val="00D904F1"/>
    <w:rsid w:val="00D90A50"/>
    <w:rsid w:val="00D90EC2"/>
    <w:rsid w:val="00D93DFA"/>
    <w:rsid w:val="00D952B8"/>
    <w:rsid w:val="00D9593A"/>
    <w:rsid w:val="00D9733C"/>
    <w:rsid w:val="00DA038E"/>
    <w:rsid w:val="00DA236E"/>
    <w:rsid w:val="00DA3234"/>
    <w:rsid w:val="00DA3F4B"/>
    <w:rsid w:val="00DA4255"/>
    <w:rsid w:val="00DA4B9A"/>
    <w:rsid w:val="00DA6C4B"/>
    <w:rsid w:val="00DA6E38"/>
    <w:rsid w:val="00DA7FF3"/>
    <w:rsid w:val="00DB010A"/>
    <w:rsid w:val="00DB134D"/>
    <w:rsid w:val="00DB31AF"/>
    <w:rsid w:val="00DB34DB"/>
    <w:rsid w:val="00DB470C"/>
    <w:rsid w:val="00DB6BE1"/>
    <w:rsid w:val="00DB6D42"/>
    <w:rsid w:val="00DB741D"/>
    <w:rsid w:val="00DB7659"/>
    <w:rsid w:val="00DC099F"/>
    <w:rsid w:val="00DC1140"/>
    <w:rsid w:val="00DC199D"/>
    <w:rsid w:val="00DC2DE8"/>
    <w:rsid w:val="00DC3B2A"/>
    <w:rsid w:val="00DC485A"/>
    <w:rsid w:val="00DC4A6C"/>
    <w:rsid w:val="00DC4E3E"/>
    <w:rsid w:val="00DC51F8"/>
    <w:rsid w:val="00DC5EC5"/>
    <w:rsid w:val="00DD030A"/>
    <w:rsid w:val="00DD265F"/>
    <w:rsid w:val="00DD2D69"/>
    <w:rsid w:val="00DD7389"/>
    <w:rsid w:val="00DD7529"/>
    <w:rsid w:val="00DE0C25"/>
    <w:rsid w:val="00DE1367"/>
    <w:rsid w:val="00DE1CC1"/>
    <w:rsid w:val="00DE22B0"/>
    <w:rsid w:val="00DE2D9D"/>
    <w:rsid w:val="00DE3BDD"/>
    <w:rsid w:val="00DE3C0C"/>
    <w:rsid w:val="00DE445C"/>
    <w:rsid w:val="00DE489A"/>
    <w:rsid w:val="00DE5917"/>
    <w:rsid w:val="00DE631E"/>
    <w:rsid w:val="00DE7FD3"/>
    <w:rsid w:val="00DF004E"/>
    <w:rsid w:val="00DF0C59"/>
    <w:rsid w:val="00DF1629"/>
    <w:rsid w:val="00DF165E"/>
    <w:rsid w:val="00DF2671"/>
    <w:rsid w:val="00DF27DA"/>
    <w:rsid w:val="00DF351B"/>
    <w:rsid w:val="00DF3CFE"/>
    <w:rsid w:val="00DF3DE3"/>
    <w:rsid w:val="00DF4646"/>
    <w:rsid w:val="00DF48AA"/>
    <w:rsid w:val="00DF529C"/>
    <w:rsid w:val="00DF5321"/>
    <w:rsid w:val="00DF561A"/>
    <w:rsid w:val="00DF75E3"/>
    <w:rsid w:val="00DF7E5F"/>
    <w:rsid w:val="00E02CC5"/>
    <w:rsid w:val="00E037DF"/>
    <w:rsid w:val="00E03A8A"/>
    <w:rsid w:val="00E04733"/>
    <w:rsid w:val="00E05711"/>
    <w:rsid w:val="00E063E8"/>
    <w:rsid w:val="00E068ED"/>
    <w:rsid w:val="00E06BF1"/>
    <w:rsid w:val="00E06E0F"/>
    <w:rsid w:val="00E06FBC"/>
    <w:rsid w:val="00E0768F"/>
    <w:rsid w:val="00E07982"/>
    <w:rsid w:val="00E104BD"/>
    <w:rsid w:val="00E10EDD"/>
    <w:rsid w:val="00E11485"/>
    <w:rsid w:val="00E11692"/>
    <w:rsid w:val="00E11C32"/>
    <w:rsid w:val="00E129F6"/>
    <w:rsid w:val="00E13C84"/>
    <w:rsid w:val="00E140AB"/>
    <w:rsid w:val="00E15350"/>
    <w:rsid w:val="00E17094"/>
    <w:rsid w:val="00E171F2"/>
    <w:rsid w:val="00E17BFA"/>
    <w:rsid w:val="00E2186C"/>
    <w:rsid w:val="00E21D3D"/>
    <w:rsid w:val="00E2221E"/>
    <w:rsid w:val="00E2258C"/>
    <w:rsid w:val="00E22AFE"/>
    <w:rsid w:val="00E23670"/>
    <w:rsid w:val="00E2370C"/>
    <w:rsid w:val="00E248EE"/>
    <w:rsid w:val="00E24F2F"/>
    <w:rsid w:val="00E25916"/>
    <w:rsid w:val="00E25EB3"/>
    <w:rsid w:val="00E26E6E"/>
    <w:rsid w:val="00E27E12"/>
    <w:rsid w:val="00E30230"/>
    <w:rsid w:val="00E302D1"/>
    <w:rsid w:val="00E3283E"/>
    <w:rsid w:val="00E348C1"/>
    <w:rsid w:val="00E35210"/>
    <w:rsid w:val="00E35FC7"/>
    <w:rsid w:val="00E36541"/>
    <w:rsid w:val="00E36729"/>
    <w:rsid w:val="00E368C5"/>
    <w:rsid w:val="00E36AE2"/>
    <w:rsid w:val="00E408FB"/>
    <w:rsid w:val="00E40ABA"/>
    <w:rsid w:val="00E416C9"/>
    <w:rsid w:val="00E42071"/>
    <w:rsid w:val="00E43274"/>
    <w:rsid w:val="00E437A9"/>
    <w:rsid w:val="00E43E13"/>
    <w:rsid w:val="00E43F5C"/>
    <w:rsid w:val="00E44705"/>
    <w:rsid w:val="00E45304"/>
    <w:rsid w:val="00E45DC0"/>
    <w:rsid w:val="00E46944"/>
    <w:rsid w:val="00E46959"/>
    <w:rsid w:val="00E506AE"/>
    <w:rsid w:val="00E50E47"/>
    <w:rsid w:val="00E52144"/>
    <w:rsid w:val="00E52BEF"/>
    <w:rsid w:val="00E53480"/>
    <w:rsid w:val="00E536EE"/>
    <w:rsid w:val="00E53B0A"/>
    <w:rsid w:val="00E540A2"/>
    <w:rsid w:val="00E54862"/>
    <w:rsid w:val="00E55070"/>
    <w:rsid w:val="00E558F0"/>
    <w:rsid w:val="00E55CD3"/>
    <w:rsid w:val="00E56A65"/>
    <w:rsid w:val="00E574DE"/>
    <w:rsid w:val="00E578B7"/>
    <w:rsid w:val="00E60BAC"/>
    <w:rsid w:val="00E61D61"/>
    <w:rsid w:val="00E61EF4"/>
    <w:rsid w:val="00E623A3"/>
    <w:rsid w:val="00E62E7A"/>
    <w:rsid w:val="00E63163"/>
    <w:rsid w:val="00E63A13"/>
    <w:rsid w:val="00E64144"/>
    <w:rsid w:val="00E65875"/>
    <w:rsid w:val="00E6757D"/>
    <w:rsid w:val="00E6779F"/>
    <w:rsid w:val="00E67D3D"/>
    <w:rsid w:val="00E67E40"/>
    <w:rsid w:val="00E71217"/>
    <w:rsid w:val="00E71942"/>
    <w:rsid w:val="00E738AF"/>
    <w:rsid w:val="00E75742"/>
    <w:rsid w:val="00E75760"/>
    <w:rsid w:val="00E762D3"/>
    <w:rsid w:val="00E7638D"/>
    <w:rsid w:val="00E763AB"/>
    <w:rsid w:val="00E769A2"/>
    <w:rsid w:val="00E76DFD"/>
    <w:rsid w:val="00E77167"/>
    <w:rsid w:val="00E808C2"/>
    <w:rsid w:val="00E8093F"/>
    <w:rsid w:val="00E80D8F"/>
    <w:rsid w:val="00E81E06"/>
    <w:rsid w:val="00E81E46"/>
    <w:rsid w:val="00E829F9"/>
    <w:rsid w:val="00E8312E"/>
    <w:rsid w:val="00E84D9C"/>
    <w:rsid w:val="00E86028"/>
    <w:rsid w:val="00E877F6"/>
    <w:rsid w:val="00E9011C"/>
    <w:rsid w:val="00E90D70"/>
    <w:rsid w:val="00E9238F"/>
    <w:rsid w:val="00E92A4F"/>
    <w:rsid w:val="00E92C4D"/>
    <w:rsid w:val="00E92C95"/>
    <w:rsid w:val="00E92EAE"/>
    <w:rsid w:val="00E9333A"/>
    <w:rsid w:val="00E95772"/>
    <w:rsid w:val="00E96593"/>
    <w:rsid w:val="00E971D3"/>
    <w:rsid w:val="00EA22D4"/>
    <w:rsid w:val="00EA2712"/>
    <w:rsid w:val="00EA2BA9"/>
    <w:rsid w:val="00EA2FC9"/>
    <w:rsid w:val="00EA4294"/>
    <w:rsid w:val="00EA51AB"/>
    <w:rsid w:val="00EA61CF"/>
    <w:rsid w:val="00EA6486"/>
    <w:rsid w:val="00EA6614"/>
    <w:rsid w:val="00EA7326"/>
    <w:rsid w:val="00EA75AA"/>
    <w:rsid w:val="00EB1000"/>
    <w:rsid w:val="00EB12E7"/>
    <w:rsid w:val="00EB1778"/>
    <w:rsid w:val="00EB2B00"/>
    <w:rsid w:val="00EB4842"/>
    <w:rsid w:val="00EB4D02"/>
    <w:rsid w:val="00EB4D4B"/>
    <w:rsid w:val="00EB518B"/>
    <w:rsid w:val="00EB6657"/>
    <w:rsid w:val="00EB69A7"/>
    <w:rsid w:val="00EB70F5"/>
    <w:rsid w:val="00EB7881"/>
    <w:rsid w:val="00EB7FA4"/>
    <w:rsid w:val="00EC2A4E"/>
    <w:rsid w:val="00EC3439"/>
    <w:rsid w:val="00EC491A"/>
    <w:rsid w:val="00EC4D9C"/>
    <w:rsid w:val="00EC4DBC"/>
    <w:rsid w:val="00EC5FA9"/>
    <w:rsid w:val="00EC6906"/>
    <w:rsid w:val="00EC6C37"/>
    <w:rsid w:val="00EC6C3A"/>
    <w:rsid w:val="00EC7793"/>
    <w:rsid w:val="00ED079E"/>
    <w:rsid w:val="00ED3A0A"/>
    <w:rsid w:val="00ED42C9"/>
    <w:rsid w:val="00ED470B"/>
    <w:rsid w:val="00ED552D"/>
    <w:rsid w:val="00ED5BF8"/>
    <w:rsid w:val="00ED616B"/>
    <w:rsid w:val="00ED628C"/>
    <w:rsid w:val="00ED651A"/>
    <w:rsid w:val="00ED73E2"/>
    <w:rsid w:val="00ED77B5"/>
    <w:rsid w:val="00ED7A1D"/>
    <w:rsid w:val="00ED7B05"/>
    <w:rsid w:val="00EE20DA"/>
    <w:rsid w:val="00EE26E2"/>
    <w:rsid w:val="00EE2C5D"/>
    <w:rsid w:val="00EE5CAF"/>
    <w:rsid w:val="00EE5F76"/>
    <w:rsid w:val="00EE6B1B"/>
    <w:rsid w:val="00EE7763"/>
    <w:rsid w:val="00EF02F0"/>
    <w:rsid w:val="00EF1D52"/>
    <w:rsid w:val="00EF22F5"/>
    <w:rsid w:val="00EF2A17"/>
    <w:rsid w:val="00EF3178"/>
    <w:rsid w:val="00EF31BD"/>
    <w:rsid w:val="00EF332E"/>
    <w:rsid w:val="00EF3584"/>
    <w:rsid w:val="00EF3EAD"/>
    <w:rsid w:val="00EF41B0"/>
    <w:rsid w:val="00EF56AD"/>
    <w:rsid w:val="00EF6583"/>
    <w:rsid w:val="00EF6632"/>
    <w:rsid w:val="00EF767E"/>
    <w:rsid w:val="00EF7A2A"/>
    <w:rsid w:val="00F00F76"/>
    <w:rsid w:val="00F01B71"/>
    <w:rsid w:val="00F024BA"/>
    <w:rsid w:val="00F0275D"/>
    <w:rsid w:val="00F02B5D"/>
    <w:rsid w:val="00F02C30"/>
    <w:rsid w:val="00F0326C"/>
    <w:rsid w:val="00F035DA"/>
    <w:rsid w:val="00F03742"/>
    <w:rsid w:val="00F037C6"/>
    <w:rsid w:val="00F039B6"/>
    <w:rsid w:val="00F03D05"/>
    <w:rsid w:val="00F042AC"/>
    <w:rsid w:val="00F04748"/>
    <w:rsid w:val="00F04D23"/>
    <w:rsid w:val="00F05A89"/>
    <w:rsid w:val="00F06C0E"/>
    <w:rsid w:val="00F07B37"/>
    <w:rsid w:val="00F07D49"/>
    <w:rsid w:val="00F107D3"/>
    <w:rsid w:val="00F1121B"/>
    <w:rsid w:val="00F117D7"/>
    <w:rsid w:val="00F120C7"/>
    <w:rsid w:val="00F1388F"/>
    <w:rsid w:val="00F13AF3"/>
    <w:rsid w:val="00F13ED1"/>
    <w:rsid w:val="00F14433"/>
    <w:rsid w:val="00F14F5C"/>
    <w:rsid w:val="00F155A2"/>
    <w:rsid w:val="00F15660"/>
    <w:rsid w:val="00F169A2"/>
    <w:rsid w:val="00F16D3F"/>
    <w:rsid w:val="00F21062"/>
    <w:rsid w:val="00F2202C"/>
    <w:rsid w:val="00F22F41"/>
    <w:rsid w:val="00F23605"/>
    <w:rsid w:val="00F2457D"/>
    <w:rsid w:val="00F249CA"/>
    <w:rsid w:val="00F2519E"/>
    <w:rsid w:val="00F26538"/>
    <w:rsid w:val="00F305D1"/>
    <w:rsid w:val="00F327A8"/>
    <w:rsid w:val="00F32D4F"/>
    <w:rsid w:val="00F3319C"/>
    <w:rsid w:val="00F33C1C"/>
    <w:rsid w:val="00F354B4"/>
    <w:rsid w:val="00F35B96"/>
    <w:rsid w:val="00F35D38"/>
    <w:rsid w:val="00F401AA"/>
    <w:rsid w:val="00F40E2A"/>
    <w:rsid w:val="00F414E6"/>
    <w:rsid w:val="00F41879"/>
    <w:rsid w:val="00F42D92"/>
    <w:rsid w:val="00F42DA1"/>
    <w:rsid w:val="00F437BD"/>
    <w:rsid w:val="00F4462C"/>
    <w:rsid w:val="00F44679"/>
    <w:rsid w:val="00F44BE1"/>
    <w:rsid w:val="00F465B7"/>
    <w:rsid w:val="00F47029"/>
    <w:rsid w:val="00F4702E"/>
    <w:rsid w:val="00F473DB"/>
    <w:rsid w:val="00F4740A"/>
    <w:rsid w:val="00F5001E"/>
    <w:rsid w:val="00F50BEA"/>
    <w:rsid w:val="00F50F59"/>
    <w:rsid w:val="00F5139C"/>
    <w:rsid w:val="00F515F1"/>
    <w:rsid w:val="00F51DED"/>
    <w:rsid w:val="00F52AA4"/>
    <w:rsid w:val="00F52C0B"/>
    <w:rsid w:val="00F5300D"/>
    <w:rsid w:val="00F540FE"/>
    <w:rsid w:val="00F54FAB"/>
    <w:rsid w:val="00F56232"/>
    <w:rsid w:val="00F56960"/>
    <w:rsid w:val="00F573F4"/>
    <w:rsid w:val="00F57BCC"/>
    <w:rsid w:val="00F60163"/>
    <w:rsid w:val="00F60734"/>
    <w:rsid w:val="00F60F59"/>
    <w:rsid w:val="00F61C53"/>
    <w:rsid w:val="00F620B7"/>
    <w:rsid w:val="00F621FB"/>
    <w:rsid w:val="00F62243"/>
    <w:rsid w:val="00F635CB"/>
    <w:rsid w:val="00F63813"/>
    <w:rsid w:val="00F63E6E"/>
    <w:rsid w:val="00F64EB0"/>
    <w:rsid w:val="00F659C8"/>
    <w:rsid w:val="00F666E4"/>
    <w:rsid w:val="00F6741D"/>
    <w:rsid w:val="00F67465"/>
    <w:rsid w:val="00F674C1"/>
    <w:rsid w:val="00F71EFD"/>
    <w:rsid w:val="00F72095"/>
    <w:rsid w:val="00F729E2"/>
    <w:rsid w:val="00F72A8A"/>
    <w:rsid w:val="00F7406F"/>
    <w:rsid w:val="00F74097"/>
    <w:rsid w:val="00F7442C"/>
    <w:rsid w:val="00F74AAD"/>
    <w:rsid w:val="00F80519"/>
    <w:rsid w:val="00F80927"/>
    <w:rsid w:val="00F81DCC"/>
    <w:rsid w:val="00F82933"/>
    <w:rsid w:val="00F82AE6"/>
    <w:rsid w:val="00F83698"/>
    <w:rsid w:val="00F843F8"/>
    <w:rsid w:val="00F84687"/>
    <w:rsid w:val="00F856C7"/>
    <w:rsid w:val="00F8570A"/>
    <w:rsid w:val="00F8659B"/>
    <w:rsid w:val="00F8708F"/>
    <w:rsid w:val="00F87B61"/>
    <w:rsid w:val="00F93681"/>
    <w:rsid w:val="00F943FE"/>
    <w:rsid w:val="00F948BA"/>
    <w:rsid w:val="00F96612"/>
    <w:rsid w:val="00FA0359"/>
    <w:rsid w:val="00FA1361"/>
    <w:rsid w:val="00FA20DC"/>
    <w:rsid w:val="00FA26D3"/>
    <w:rsid w:val="00FA29E2"/>
    <w:rsid w:val="00FA3375"/>
    <w:rsid w:val="00FA34B8"/>
    <w:rsid w:val="00FA3B4D"/>
    <w:rsid w:val="00FA3C11"/>
    <w:rsid w:val="00FA3E6C"/>
    <w:rsid w:val="00FA4BAC"/>
    <w:rsid w:val="00FA6A1D"/>
    <w:rsid w:val="00FA6ED4"/>
    <w:rsid w:val="00FA74D2"/>
    <w:rsid w:val="00FA760D"/>
    <w:rsid w:val="00FB0267"/>
    <w:rsid w:val="00FB16BE"/>
    <w:rsid w:val="00FB35CB"/>
    <w:rsid w:val="00FB444D"/>
    <w:rsid w:val="00FB477E"/>
    <w:rsid w:val="00FB609C"/>
    <w:rsid w:val="00FB6B2F"/>
    <w:rsid w:val="00FB6D7C"/>
    <w:rsid w:val="00FB6FFD"/>
    <w:rsid w:val="00FB71F4"/>
    <w:rsid w:val="00FB7EB8"/>
    <w:rsid w:val="00FB7EBB"/>
    <w:rsid w:val="00FB7F7C"/>
    <w:rsid w:val="00FC029C"/>
    <w:rsid w:val="00FC0935"/>
    <w:rsid w:val="00FC0DE9"/>
    <w:rsid w:val="00FC11F1"/>
    <w:rsid w:val="00FC26B4"/>
    <w:rsid w:val="00FC27BF"/>
    <w:rsid w:val="00FC32A9"/>
    <w:rsid w:val="00FC55A2"/>
    <w:rsid w:val="00FC5B71"/>
    <w:rsid w:val="00FC64AD"/>
    <w:rsid w:val="00FC75A3"/>
    <w:rsid w:val="00FD19AF"/>
    <w:rsid w:val="00FD1A71"/>
    <w:rsid w:val="00FD2514"/>
    <w:rsid w:val="00FD3030"/>
    <w:rsid w:val="00FD308B"/>
    <w:rsid w:val="00FD36F4"/>
    <w:rsid w:val="00FD3843"/>
    <w:rsid w:val="00FD39A8"/>
    <w:rsid w:val="00FD4482"/>
    <w:rsid w:val="00FD4B40"/>
    <w:rsid w:val="00FD6149"/>
    <w:rsid w:val="00FD6639"/>
    <w:rsid w:val="00FD7866"/>
    <w:rsid w:val="00FD78BE"/>
    <w:rsid w:val="00FE049E"/>
    <w:rsid w:val="00FE14F9"/>
    <w:rsid w:val="00FE206C"/>
    <w:rsid w:val="00FE254E"/>
    <w:rsid w:val="00FE2762"/>
    <w:rsid w:val="00FE2FC3"/>
    <w:rsid w:val="00FE356E"/>
    <w:rsid w:val="00FE43C9"/>
    <w:rsid w:val="00FE4D11"/>
    <w:rsid w:val="00FE4D2B"/>
    <w:rsid w:val="00FE4FB7"/>
    <w:rsid w:val="00FE54B7"/>
    <w:rsid w:val="00FE5622"/>
    <w:rsid w:val="00FE5C98"/>
    <w:rsid w:val="00FE5E93"/>
    <w:rsid w:val="00FE5F99"/>
    <w:rsid w:val="00FE6755"/>
    <w:rsid w:val="00FE75C6"/>
    <w:rsid w:val="00FE7AF5"/>
    <w:rsid w:val="00FE7DCD"/>
    <w:rsid w:val="00FF004D"/>
    <w:rsid w:val="00FF0801"/>
    <w:rsid w:val="00FF282D"/>
    <w:rsid w:val="00FF2E6E"/>
    <w:rsid w:val="00FF32B5"/>
    <w:rsid w:val="00FF35DA"/>
    <w:rsid w:val="00FF36A2"/>
    <w:rsid w:val="00FF3D9B"/>
    <w:rsid w:val="00FF484B"/>
    <w:rsid w:val="00FF4C2E"/>
    <w:rsid w:val="00FF54A8"/>
    <w:rsid w:val="00FF6B91"/>
    <w:rsid w:val="00FF771F"/>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oNotEmbedSmartTags/>
  <w:decimalSymbol w:val="."/>
  <w:listSeparator w:val=","/>
  <w14:docId w14:val="1734250C"/>
  <w15:docId w15:val="{FCB3D04C-60D9-49BD-9B10-6C4AA75D9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qFormat/>
    <w:rsid w:val="004544A7"/>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styleId="UnresolvedMention">
    <w:name w:val="Unresolved Mention"/>
    <w:basedOn w:val="DefaultParagraphFont"/>
    <w:uiPriority w:val="99"/>
    <w:semiHidden/>
    <w:unhideWhenUsed/>
    <w:rsid w:val="0012799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380581">
      <w:bodyDiv w:val="1"/>
      <w:marLeft w:val="0"/>
      <w:marRight w:val="0"/>
      <w:marTop w:val="0"/>
      <w:marBottom w:val="0"/>
      <w:divBdr>
        <w:top w:val="none" w:sz="0" w:space="0" w:color="auto"/>
        <w:left w:val="none" w:sz="0" w:space="0" w:color="auto"/>
        <w:bottom w:val="none" w:sz="0" w:space="0" w:color="auto"/>
        <w:right w:val="none" w:sz="0" w:space="0" w:color="auto"/>
      </w:divBdr>
    </w:div>
    <w:div w:id="309097323">
      <w:bodyDiv w:val="1"/>
      <w:marLeft w:val="0"/>
      <w:marRight w:val="0"/>
      <w:marTop w:val="0"/>
      <w:marBottom w:val="0"/>
      <w:divBdr>
        <w:top w:val="none" w:sz="0" w:space="0" w:color="auto"/>
        <w:left w:val="none" w:sz="0" w:space="0" w:color="auto"/>
        <w:bottom w:val="none" w:sz="0" w:space="0" w:color="auto"/>
        <w:right w:val="none" w:sz="0" w:space="0" w:color="auto"/>
      </w:divBdr>
    </w:div>
    <w:div w:id="882789703">
      <w:bodyDiv w:val="1"/>
      <w:marLeft w:val="0"/>
      <w:marRight w:val="0"/>
      <w:marTop w:val="0"/>
      <w:marBottom w:val="0"/>
      <w:divBdr>
        <w:top w:val="none" w:sz="0" w:space="0" w:color="auto"/>
        <w:left w:val="none" w:sz="0" w:space="0" w:color="auto"/>
        <w:bottom w:val="none" w:sz="0" w:space="0" w:color="auto"/>
        <w:right w:val="none" w:sz="0" w:space="0" w:color="auto"/>
      </w:divBdr>
    </w:div>
    <w:div w:id="1215462889">
      <w:bodyDiv w:val="1"/>
      <w:marLeft w:val="0"/>
      <w:marRight w:val="0"/>
      <w:marTop w:val="0"/>
      <w:marBottom w:val="0"/>
      <w:divBdr>
        <w:top w:val="none" w:sz="0" w:space="0" w:color="auto"/>
        <w:left w:val="none" w:sz="0" w:space="0" w:color="auto"/>
        <w:bottom w:val="none" w:sz="0" w:space="0" w:color="auto"/>
        <w:right w:val="none" w:sz="0" w:space="0" w:color="auto"/>
      </w:divBdr>
    </w:div>
    <w:div w:id="1475877478">
      <w:bodyDiv w:val="1"/>
      <w:marLeft w:val="0"/>
      <w:marRight w:val="0"/>
      <w:marTop w:val="0"/>
      <w:marBottom w:val="0"/>
      <w:divBdr>
        <w:top w:val="none" w:sz="0" w:space="0" w:color="auto"/>
        <w:left w:val="none" w:sz="0" w:space="0" w:color="auto"/>
        <w:bottom w:val="none" w:sz="0" w:space="0" w:color="auto"/>
        <w:right w:val="none" w:sz="0" w:space="0" w:color="auto"/>
      </w:divBdr>
    </w:div>
    <w:div w:id="1478062695">
      <w:bodyDiv w:val="1"/>
      <w:marLeft w:val="0"/>
      <w:marRight w:val="0"/>
      <w:marTop w:val="0"/>
      <w:marBottom w:val="0"/>
      <w:divBdr>
        <w:top w:val="none" w:sz="0" w:space="0" w:color="auto"/>
        <w:left w:val="none" w:sz="0" w:space="0" w:color="auto"/>
        <w:bottom w:val="none" w:sz="0" w:space="0" w:color="auto"/>
        <w:right w:val="none" w:sz="0" w:space="0" w:color="auto"/>
      </w:divBdr>
    </w:div>
    <w:div w:id="1582837570">
      <w:bodyDiv w:val="1"/>
      <w:marLeft w:val="0"/>
      <w:marRight w:val="0"/>
      <w:marTop w:val="0"/>
      <w:marBottom w:val="0"/>
      <w:divBdr>
        <w:top w:val="none" w:sz="0" w:space="0" w:color="auto"/>
        <w:left w:val="none" w:sz="0" w:space="0" w:color="auto"/>
        <w:bottom w:val="none" w:sz="0" w:space="0" w:color="auto"/>
        <w:right w:val="none" w:sz="0" w:space="0" w:color="auto"/>
      </w:divBdr>
    </w:div>
    <w:div w:id="1645693077">
      <w:bodyDiv w:val="1"/>
      <w:marLeft w:val="0"/>
      <w:marRight w:val="0"/>
      <w:marTop w:val="0"/>
      <w:marBottom w:val="0"/>
      <w:divBdr>
        <w:top w:val="none" w:sz="0" w:space="0" w:color="auto"/>
        <w:left w:val="none" w:sz="0" w:space="0" w:color="auto"/>
        <w:bottom w:val="none" w:sz="0" w:space="0" w:color="auto"/>
        <w:right w:val="none" w:sz="0" w:space="0" w:color="auto"/>
      </w:divBdr>
    </w:div>
    <w:div w:id="1703558009">
      <w:bodyDiv w:val="1"/>
      <w:marLeft w:val="0"/>
      <w:marRight w:val="0"/>
      <w:marTop w:val="0"/>
      <w:marBottom w:val="0"/>
      <w:divBdr>
        <w:top w:val="none" w:sz="0" w:space="0" w:color="auto"/>
        <w:left w:val="none" w:sz="0" w:space="0" w:color="auto"/>
        <w:bottom w:val="none" w:sz="0" w:space="0" w:color="auto"/>
        <w:right w:val="none" w:sz="0" w:space="0" w:color="auto"/>
      </w:divBdr>
    </w:div>
    <w:div w:id="1742756895">
      <w:bodyDiv w:val="1"/>
      <w:marLeft w:val="0"/>
      <w:marRight w:val="0"/>
      <w:marTop w:val="0"/>
      <w:marBottom w:val="0"/>
      <w:divBdr>
        <w:top w:val="none" w:sz="0" w:space="0" w:color="auto"/>
        <w:left w:val="none" w:sz="0" w:space="0" w:color="auto"/>
        <w:bottom w:val="none" w:sz="0" w:space="0" w:color="auto"/>
        <w:right w:val="none" w:sz="0" w:space="0" w:color="auto"/>
      </w:divBdr>
    </w:div>
    <w:div w:id="1809545753">
      <w:bodyDiv w:val="1"/>
      <w:marLeft w:val="0"/>
      <w:marRight w:val="0"/>
      <w:marTop w:val="0"/>
      <w:marBottom w:val="0"/>
      <w:divBdr>
        <w:top w:val="none" w:sz="0" w:space="0" w:color="auto"/>
        <w:left w:val="none" w:sz="0" w:space="0" w:color="auto"/>
        <w:bottom w:val="none" w:sz="0" w:space="0" w:color="auto"/>
        <w:right w:val="none" w:sz="0" w:space="0" w:color="auto"/>
      </w:divBdr>
    </w:div>
    <w:div w:id="204027666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A817C6BCBBF2849A65936629E382BC2" ma:contentTypeVersion="9" ma:contentTypeDescription="Create a new document." ma:contentTypeScope="" ma:versionID="c0faa4e085618f083c59ac33f94fe02f">
  <xsd:schema xmlns:xsd="http://www.w3.org/2001/XMLSchema" xmlns:xs="http://www.w3.org/2001/XMLSchema" xmlns:p="http://schemas.microsoft.com/office/2006/metadata/properties" xmlns:ns3="904938e4-5c65-4801-a9ee-aeb1c4e14469" targetNamespace="http://schemas.microsoft.com/office/2006/metadata/properties" ma:root="true" ma:fieldsID="14ba75ced4ef9b5839a7036219368d87" ns3:_="">
    <xsd:import namespace="904938e4-5c65-4801-a9ee-aeb1c4e14469"/>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4938e4-5c65-4801-a9ee-aeb1c4e1446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E92129-3C68-4665-BCBB-3B8FAA4F3E83}">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904938e4-5c65-4801-a9ee-aeb1c4e14469"/>
    <ds:schemaRef ds:uri="http://www.w3.org/XML/1998/namespace"/>
    <ds:schemaRef ds:uri="http://purl.org/dc/dcmitype/"/>
  </ds:schemaRefs>
</ds:datastoreItem>
</file>

<file path=customXml/itemProps2.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3.xml><?xml version="1.0" encoding="utf-8"?>
<ds:datastoreItem xmlns:ds="http://schemas.openxmlformats.org/officeDocument/2006/customXml" ds:itemID="{2B385EFE-C573-4F84-97F9-BB7749C6E2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4938e4-5c65-4801-a9ee-aeb1c4e1446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C8BE0E4-5679-4CE4-9A47-B04888F50D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28</Pages>
  <Words>11790</Words>
  <Characters>67205</Characters>
  <Application>Microsoft Office Word</Application>
  <DocSecurity>0</DocSecurity>
  <Lines>560</Lines>
  <Paragraphs>157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78838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Antonny Ivancic</dc:creator>
  <cp:keywords/>
  <dc:description/>
  <cp:lastModifiedBy>David Brady</cp:lastModifiedBy>
  <cp:revision>2</cp:revision>
  <cp:lastPrinted>2020-02-07T01:07:00Z</cp:lastPrinted>
  <dcterms:created xsi:type="dcterms:W3CDTF">2020-03-12T04:35:00Z</dcterms:created>
  <dcterms:modified xsi:type="dcterms:W3CDTF">2020-03-12T04:35:00Z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0x0101003A817C6BCBBF2849A65936629E382BC2</vt:lpwstr>
  </property>
</Properties>
</file>