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7EB4D4" w14:textId="26223A2F" w:rsidR="00F06E14" w:rsidRPr="00A51D1A" w:rsidRDefault="003106AD" w:rsidP="00A51D1A">
      <w:pPr>
        <w:pStyle w:val="Reporttitle"/>
      </w:pPr>
      <w:bookmarkStart w:id="0" w:name="_GoBack"/>
      <w:bookmarkEnd w:id="0"/>
      <w:r>
        <w:t xml:space="preserve">Compliance </w:t>
      </w:r>
      <w:r w:rsidR="00D246AF">
        <w:t>a</w:t>
      </w:r>
      <w:r>
        <w:t>ssessment</w:t>
      </w:r>
    </w:p>
    <w:p w14:paraId="6AEC28C4" w14:textId="161904F3" w:rsidR="00F06E14" w:rsidRDefault="008770F6" w:rsidP="00F06E14">
      <w:pPr>
        <w:pStyle w:val="Reportsubtitle"/>
      </w:pPr>
      <w:r>
        <w:t xml:space="preserve">TPG small cell electromagnetic energy (EME) </w:t>
      </w:r>
    </w:p>
    <w:p w14:paraId="00E4DBDF" w14:textId="7593A48A" w:rsidR="00C97736" w:rsidRPr="000D76E0" w:rsidRDefault="00293819"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FEBRUARY</w:t>
      </w:r>
      <w:r w:rsidR="00D246AF">
        <w:t xml:space="preserve"> 2020</w:t>
      </w:r>
    </w:p>
    <w:p w14:paraId="66D3A671" w14:textId="77777777" w:rsidR="0005011A" w:rsidRPr="00F44F3A" w:rsidRDefault="0005011A" w:rsidP="00FC07B9">
      <w:pPr>
        <w:pStyle w:val="ACMACorporateAddressHeader"/>
      </w:pPr>
      <w:r w:rsidRPr="00F44F3A">
        <w:lastRenderedPageBreak/>
        <w:t>Canberra</w:t>
      </w:r>
    </w:p>
    <w:p w14:paraId="60A5323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C8536C3" w14:textId="77777777" w:rsidR="0005011A" w:rsidRPr="00FC07B9" w:rsidRDefault="0005011A" w:rsidP="00FC07B9">
      <w:pPr>
        <w:pStyle w:val="ACMACorporateAddresses"/>
      </w:pPr>
      <w:r w:rsidRPr="00FC07B9">
        <w:t>PO Box 78</w:t>
      </w:r>
      <w:r w:rsidRPr="00FC07B9">
        <w:br/>
        <w:t>Belconnen ACT 2616</w:t>
      </w:r>
    </w:p>
    <w:p w14:paraId="5D92A03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D187155" w14:textId="77777777" w:rsidR="0005011A" w:rsidRPr="00F44F3A" w:rsidRDefault="0005011A" w:rsidP="00FC07B9">
      <w:pPr>
        <w:pStyle w:val="ACMACorporateAddressHeader"/>
      </w:pPr>
      <w:r w:rsidRPr="00F44F3A">
        <w:t>Melbourne</w:t>
      </w:r>
    </w:p>
    <w:p w14:paraId="0DC0BB8C"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5E7B26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4B3799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44BCEAC" w14:textId="77777777" w:rsidR="0005011A" w:rsidRPr="00F44F3A" w:rsidRDefault="0005011A" w:rsidP="00FC07B9">
      <w:pPr>
        <w:pStyle w:val="ACMACorporateAddressHeader"/>
      </w:pPr>
      <w:r w:rsidRPr="00F44F3A">
        <w:t>Sydney</w:t>
      </w:r>
    </w:p>
    <w:p w14:paraId="2B448742"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F05C29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B07365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EBC311E" w14:textId="77777777" w:rsidR="00140318" w:rsidRPr="006D46E5" w:rsidRDefault="00140318" w:rsidP="00FC07B9">
      <w:pPr>
        <w:pStyle w:val="ACMACopyrightHeader"/>
      </w:pPr>
      <w:r w:rsidRPr="00140318">
        <w:t>Copyright notice</w:t>
      </w:r>
    </w:p>
    <w:p w14:paraId="14B54EBA" w14:textId="77777777" w:rsidR="00140318" w:rsidRPr="006D46E5" w:rsidRDefault="00623FF9" w:rsidP="00623FF9">
      <w:pPr>
        <w:pStyle w:val="ACMACClogo"/>
      </w:pPr>
      <w:r w:rsidRPr="00623FF9">
        <w:rPr>
          <w:noProof/>
        </w:rPr>
        <w:drawing>
          <wp:inline distT="0" distB="0" distL="0" distR="0" wp14:anchorId="42DDECD9" wp14:editId="56D429A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A99EEBF" w14:textId="77777777" w:rsidR="00AA2DE5" w:rsidRDefault="00946013" w:rsidP="00AA2DE5">
      <w:pPr>
        <w:pStyle w:val="ACMACorporateAddresses"/>
        <w:rPr>
          <w:rStyle w:val="Hyperlink"/>
        </w:rPr>
      </w:pPr>
      <w:hyperlink r:id="rId13" w:history="1">
        <w:r w:rsidR="00AA2DE5">
          <w:rPr>
            <w:rStyle w:val="Hyperlink"/>
          </w:rPr>
          <w:t>https://creativecommons.org/licenses/by/4.0/</w:t>
        </w:r>
      </w:hyperlink>
    </w:p>
    <w:p w14:paraId="4E68B934"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2295D2FD" w14:textId="41BFF4FF" w:rsidR="00AA2DE5" w:rsidRDefault="00AA2DE5" w:rsidP="00AA2DE5">
      <w:pPr>
        <w:pStyle w:val="ACMACorporateAddresses"/>
      </w:pPr>
      <w:r>
        <w:t>We request attribution as © Commonwealth of Australia (Australian Communications and Media Authority) 20</w:t>
      </w:r>
      <w:r w:rsidR="00D246AF">
        <w:t>20</w:t>
      </w:r>
      <w:r>
        <w:t>.</w:t>
      </w:r>
    </w:p>
    <w:p w14:paraId="68CBF83E" w14:textId="77777777" w:rsidR="00AA2DE5" w:rsidRDefault="00AA2DE5" w:rsidP="00AA2DE5">
      <w:pPr>
        <w:pStyle w:val="ACMACorporateAddresses"/>
      </w:pPr>
      <w:r>
        <w:t>All other rights are reserved.</w:t>
      </w:r>
    </w:p>
    <w:p w14:paraId="73FF5589"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5816201" w14:textId="77777777" w:rsidR="00AA2DE5" w:rsidRDefault="00AA2DE5" w:rsidP="00AA2DE5">
      <w:pPr>
        <w:pStyle w:val="ACMACorporateAddresses"/>
      </w:pPr>
      <w:r>
        <w:t>Written enquiries may be sent to:</w:t>
      </w:r>
    </w:p>
    <w:p w14:paraId="6F99964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2281549" w14:textId="77777777" w:rsidR="00D16FE3" w:rsidRDefault="00D16FE3" w:rsidP="00D16FE3">
      <w:pPr>
        <w:pStyle w:val="ACMACorporateAddresses"/>
        <w:rPr>
          <w:rStyle w:val="Hyperlink"/>
        </w:rPr>
      </w:pPr>
    </w:p>
    <w:p w14:paraId="06C5818B"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02543B6" w14:textId="059D9462" w:rsidR="00293819"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293819">
        <w:t>The compliance assessment</w:t>
      </w:r>
      <w:r w:rsidR="00293819">
        <w:tab/>
      </w:r>
      <w:r w:rsidR="00293819">
        <w:fldChar w:fldCharType="begin"/>
      </w:r>
      <w:r w:rsidR="00293819">
        <w:instrText xml:space="preserve"> PAGEREF _Toc31631073 \h </w:instrText>
      </w:r>
      <w:r w:rsidR="00293819">
        <w:fldChar w:fldCharType="separate"/>
      </w:r>
      <w:r w:rsidR="00946013">
        <w:t>1</w:t>
      </w:r>
      <w:r w:rsidR="00293819">
        <w:fldChar w:fldCharType="end"/>
      </w:r>
    </w:p>
    <w:p w14:paraId="20A36128" w14:textId="30C8CF65" w:rsidR="00293819" w:rsidRDefault="00293819">
      <w:pPr>
        <w:pStyle w:val="TOC2"/>
        <w:rPr>
          <w:rFonts w:asciiTheme="minorHAnsi" w:eastAsiaTheme="minorEastAsia" w:hAnsiTheme="minorHAnsi" w:cstheme="minorBidi"/>
          <w:spacing w:val="0"/>
          <w:sz w:val="22"/>
          <w:szCs w:val="22"/>
        </w:rPr>
      </w:pPr>
      <w:r>
        <w:t>Scope</w:t>
      </w:r>
      <w:r>
        <w:tab/>
      </w:r>
      <w:r>
        <w:tab/>
      </w:r>
      <w:r>
        <w:fldChar w:fldCharType="begin"/>
      </w:r>
      <w:r>
        <w:instrText xml:space="preserve"> PAGEREF _Toc31631074 \h </w:instrText>
      </w:r>
      <w:r>
        <w:fldChar w:fldCharType="separate"/>
      </w:r>
      <w:r w:rsidR="00946013">
        <w:t>1</w:t>
      </w:r>
      <w:r>
        <w:fldChar w:fldCharType="end"/>
      </w:r>
    </w:p>
    <w:p w14:paraId="36D2EC4F" w14:textId="18B602A9" w:rsidR="00293819" w:rsidRDefault="00293819">
      <w:pPr>
        <w:pStyle w:val="TOC2"/>
        <w:rPr>
          <w:rFonts w:asciiTheme="minorHAnsi" w:eastAsiaTheme="minorEastAsia" w:hAnsiTheme="minorHAnsi" w:cstheme="minorBidi"/>
          <w:spacing w:val="0"/>
          <w:sz w:val="22"/>
          <w:szCs w:val="22"/>
        </w:rPr>
      </w:pPr>
      <w:r>
        <w:t>Methodology</w:t>
      </w:r>
      <w:r>
        <w:tab/>
      </w:r>
      <w:r>
        <w:fldChar w:fldCharType="begin"/>
      </w:r>
      <w:r>
        <w:instrText xml:space="preserve"> PAGEREF _Toc31631075 \h </w:instrText>
      </w:r>
      <w:r>
        <w:fldChar w:fldCharType="separate"/>
      </w:r>
      <w:r w:rsidR="00946013">
        <w:t>2</w:t>
      </w:r>
      <w:r>
        <w:fldChar w:fldCharType="end"/>
      </w:r>
    </w:p>
    <w:p w14:paraId="54C0760E" w14:textId="65742C71" w:rsidR="00293819" w:rsidRDefault="00293819">
      <w:pPr>
        <w:pStyle w:val="TOC2"/>
        <w:rPr>
          <w:rFonts w:asciiTheme="minorHAnsi" w:eastAsiaTheme="minorEastAsia" w:hAnsiTheme="minorHAnsi" w:cstheme="minorBidi"/>
          <w:spacing w:val="0"/>
          <w:sz w:val="22"/>
          <w:szCs w:val="22"/>
        </w:rPr>
      </w:pPr>
      <w:r>
        <w:t>Audit results</w:t>
      </w:r>
      <w:r>
        <w:tab/>
      </w:r>
      <w:r>
        <w:fldChar w:fldCharType="begin"/>
      </w:r>
      <w:r>
        <w:instrText xml:space="preserve"> PAGEREF _Toc31631076 \h </w:instrText>
      </w:r>
      <w:r>
        <w:fldChar w:fldCharType="separate"/>
      </w:r>
      <w:r w:rsidR="00946013">
        <w:t>3</w:t>
      </w:r>
      <w:r>
        <w:fldChar w:fldCharType="end"/>
      </w:r>
    </w:p>
    <w:p w14:paraId="767DCB61" w14:textId="26AD1397" w:rsidR="00293819" w:rsidRDefault="00293819">
      <w:pPr>
        <w:pStyle w:val="TOC2"/>
        <w:rPr>
          <w:rFonts w:asciiTheme="minorHAnsi" w:eastAsiaTheme="minorEastAsia" w:hAnsiTheme="minorHAnsi" w:cstheme="minorBidi"/>
          <w:spacing w:val="0"/>
          <w:sz w:val="22"/>
          <w:szCs w:val="22"/>
        </w:rPr>
      </w:pPr>
      <w:r>
        <w:t>Feedback from TPG</w:t>
      </w:r>
      <w:r>
        <w:tab/>
      </w:r>
      <w:r>
        <w:fldChar w:fldCharType="begin"/>
      </w:r>
      <w:r>
        <w:instrText xml:space="preserve"> PAGEREF _Toc31631077 \h </w:instrText>
      </w:r>
      <w:r>
        <w:fldChar w:fldCharType="separate"/>
      </w:r>
      <w:r w:rsidR="00946013">
        <w:t>3</w:t>
      </w:r>
      <w:r>
        <w:fldChar w:fldCharType="end"/>
      </w:r>
    </w:p>
    <w:p w14:paraId="52F02F57" w14:textId="0993C38F" w:rsidR="00293819" w:rsidRDefault="00293819">
      <w:pPr>
        <w:pStyle w:val="TOC2"/>
        <w:rPr>
          <w:rFonts w:asciiTheme="minorHAnsi" w:eastAsiaTheme="minorEastAsia" w:hAnsiTheme="minorHAnsi" w:cstheme="minorBidi"/>
          <w:spacing w:val="0"/>
          <w:sz w:val="22"/>
          <w:szCs w:val="22"/>
        </w:rPr>
      </w:pPr>
      <w:r>
        <w:t>Conclusions</w:t>
      </w:r>
      <w:r>
        <w:tab/>
      </w:r>
      <w:r>
        <w:fldChar w:fldCharType="begin"/>
      </w:r>
      <w:r>
        <w:instrText xml:space="preserve"> PAGEREF _Toc31631078 \h </w:instrText>
      </w:r>
      <w:r>
        <w:fldChar w:fldCharType="separate"/>
      </w:r>
      <w:r w:rsidR="00946013">
        <w:t>4</w:t>
      </w:r>
      <w:r>
        <w:fldChar w:fldCharType="end"/>
      </w:r>
    </w:p>
    <w:p w14:paraId="6354F40C" w14:textId="22ABC505" w:rsidR="00293819" w:rsidRDefault="00293819">
      <w:pPr>
        <w:pStyle w:val="TOC1"/>
        <w:rPr>
          <w:rFonts w:asciiTheme="minorHAnsi" w:eastAsiaTheme="minorEastAsia" w:hAnsiTheme="minorHAnsi" w:cstheme="minorBidi"/>
          <w:b w:val="0"/>
          <w:spacing w:val="0"/>
          <w:sz w:val="22"/>
          <w:szCs w:val="22"/>
        </w:rPr>
      </w:pPr>
      <w:r>
        <w:t>Appendix A</w:t>
      </w:r>
      <w:r>
        <w:tab/>
      </w:r>
      <w:r>
        <w:fldChar w:fldCharType="begin"/>
      </w:r>
      <w:r>
        <w:instrText xml:space="preserve"> PAGEREF _Toc31631079 \h </w:instrText>
      </w:r>
      <w:r>
        <w:fldChar w:fldCharType="separate"/>
      </w:r>
      <w:r w:rsidR="00946013">
        <w:t>5</w:t>
      </w:r>
      <w:r>
        <w:fldChar w:fldCharType="end"/>
      </w:r>
    </w:p>
    <w:p w14:paraId="4D234939" w14:textId="7366D6E3" w:rsidR="00293819" w:rsidRDefault="00293819">
      <w:pPr>
        <w:pStyle w:val="TOC2"/>
        <w:rPr>
          <w:rFonts w:asciiTheme="minorHAnsi" w:eastAsiaTheme="minorEastAsia" w:hAnsiTheme="minorHAnsi" w:cstheme="minorBidi"/>
          <w:spacing w:val="0"/>
          <w:sz w:val="22"/>
          <w:szCs w:val="22"/>
        </w:rPr>
      </w:pPr>
      <w:r>
        <w:t>Background information about small cells and the EME regulatory arrangements</w:t>
      </w:r>
      <w:r>
        <w:tab/>
      </w:r>
      <w:r>
        <w:fldChar w:fldCharType="begin"/>
      </w:r>
      <w:r>
        <w:instrText xml:space="preserve"> PAGEREF _Toc31631080 \h </w:instrText>
      </w:r>
      <w:r>
        <w:fldChar w:fldCharType="separate"/>
      </w:r>
      <w:r w:rsidR="00946013">
        <w:t>5</w:t>
      </w:r>
      <w:r>
        <w:fldChar w:fldCharType="end"/>
      </w:r>
    </w:p>
    <w:p w14:paraId="5DBCF9E1" w14:textId="278C0C13" w:rsidR="00293819" w:rsidRDefault="00293819">
      <w:pPr>
        <w:pStyle w:val="TOC3"/>
        <w:rPr>
          <w:rFonts w:asciiTheme="minorHAnsi" w:eastAsiaTheme="minorEastAsia" w:hAnsiTheme="minorHAnsi" w:cstheme="minorBidi"/>
        </w:rPr>
      </w:pPr>
      <w:r>
        <w:t>Small cells</w:t>
      </w:r>
      <w:r>
        <w:tab/>
      </w:r>
      <w:r>
        <w:fldChar w:fldCharType="begin"/>
      </w:r>
      <w:r>
        <w:instrText xml:space="preserve"> PAGEREF _Toc31631081 \h </w:instrText>
      </w:r>
      <w:r>
        <w:fldChar w:fldCharType="separate"/>
      </w:r>
      <w:r w:rsidR="00946013">
        <w:t>5</w:t>
      </w:r>
      <w:r>
        <w:fldChar w:fldCharType="end"/>
      </w:r>
    </w:p>
    <w:p w14:paraId="35CB1557" w14:textId="26FE2485" w:rsidR="00293819" w:rsidRDefault="00293819">
      <w:pPr>
        <w:pStyle w:val="TOC3"/>
        <w:rPr>
          <w:rFonts w:asciiTheme="minorHAnsi" w:eastAsiaTheme="minorEastAsia" w:hAnsiTheme="minorHAnsi" w:cstheme="minorBidi"/>
        </w:rPr>
      </w:pPr>
      <w:r>
        <w:t>EME compliance regime</w:t>
      </w:r>
      <w:r>
        <w:tab/>
      </w:r>
      <w:r>
        <w:fldChar w:fldCharType="begin"/>
      </w:r>
      <w:r>
        <w:instrText xml:space="preserve"> PAGEREF _Toc31631082 \h </w:instrText>
      </w:r>
      <w:r>
        <w:fldChar w:fldCharType="separate"/>
      </w:r>
      <w:r w:rsidR="00946013">
        <w:t>5</w:t>
      </w:r>
      <w:r>
        <w:fldChar w:fldCharType="end"/>
      </w:r>
    </w:p>
    <w:p w14:paraId="77C8C9AB" w14:textId="1DF08B86"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6CEDA686" w14:textId="34FEC1E9" w:rsidR="009D6C71" w:rsidRPr="00D246AF" w:rsidRDefault="008770F6" w:rsidP="00D246AF">
      <w:pPr>
        <w:pStyle w:val="Heading1"/>
      </w:pPr>
      <w:bookmarkStart w:id="1" w:name="_Toc16750985"/>
      <w:bookmarkStart w:id="2" w:name="_Toc31631073"/>
      <w:r w:rsidRPr="00D246AF">
        <w:lastRenderedPageBreak/>
        <w:t xml:space="preserve">The compliance </w:t>
      </w:r>
      <w:r w:rsidR="00157698" w:rsidRPr="00D246AF">
        <w:t>assessment</w:t>
      </w:r>
      <w:bookmarkEnd w:id="1"/>
      <w:bookmarkEnd w:id="2"/>
    </w:p>
    <w:p w14:paraId="340C5BBD" w14:textId="729E4F83" w:rsidR="008770F6" w:rsidRPr="008770F6" w:rsidRDefault="008770F6" w:rsidP="00C64878">
      <w:pPr>
        <w:pStyle w:val="Paragraph"/>
      </w:pPr>
      <w:r w:rsidRPr="008770F6">
        <w:t xml:space="preserve">In </w:t>
      </w:r>
      <w:r w:rsidR="005B497F">
        <w:t>January</w:t>
      </w:r>
      <w:r w:rsidRPr="008770F6">
        <w:t xml:space="preserve"> 2019 the </w:t>
      </w:r>
      <w:r w:rsidR="00FF06EA">
        <w:t>Australian Communications and Media Authority (</w:t>
      </w:r>
      <w:r w:rsidRPr="008770F6">
        <w:t>ACMA</w:t>
      </w:r>
      <w:r w:rsidR="00FF06EA">
        <w:t>)</w:t>
      </w:r>
      <w:r w:rsidRPr="008770F6">
        <w:t xml:space="preserve"> conducted a</w:t>
      </w:r>
      <w:r w:rsidR="00D246AF">
        <w:t xml:space="preserve">n </w:t>
      </w:r>
      <w:r w:rsidRPr="008770F6">
        <w:t>audit of TPG Telecom Limited</w:t>
      </w:r>
      <w:r w:rsidR="0012589B">
        <w:t>’s</w:t>
      </w:r>
      <w:r w:rsidRPr="008770F6">
        <w:t xml:space="preserve"> (TPG) </w:t>
      </w:r>
      <w:r w:rsidR="0012589B">
        <w:t xml:space="preserve">compliance </w:t>
      </w:r>
      <w:r w:rsidRPr="008770F6">
        <w:t>with its electromagnetic energy (EME) obligations</w:t>
      </w:r>
      <w:r w:rsidR="00D246AF">
        <w:t>,</w:t>
      </w:r>
      <w:r w:rsidRPr="008770F6">
        <w:t xml:space="preserve"> </w:t>
      </w:r>
      <w:r w:rsidR="0012589B">
        <w:t>in relation to</w:t>
      </w:r>
      <w:r w:rsidR="0012589B" w:rsidRPr="008770F6">
        <w:t xml:space="preserve"> </w:t>
      </w:r>
      <w:r w:rsidRPr="008770F6">
        <w:t xml:space="preserve">its small cell deployments (the compliance </w:t>
      </w:r>
      <w:r w:rsidR="00C031E4">
        <w:t>assessment</w:t>
      </w:r>
      <w:r w:rsidRPr="008770F6">
        <w:t>).</w:t>
      </w:r>
    </w:p>
    <w:p w14:paraId="268AD88B" w14:textId="0F0656B9" w:rsidR="00D246AF" w:rsidRDefault="008770F6" w:rsidP="00F5133B">
      <w:pPr>
        <w:pStyle w:val="Paragraph"/>
        <w:rPr>
          <w:rFonts w:eastAsia="Calibri"/>
          <w:lang w:val="en" w:eastAsia="en-US"/>
        </w:rPr>
      </w:pPr>
      <w:r w:rsidRPr="008770F6">
        <w:t xml:space="preserve">The compliance </w:t>
      </w:r>
      <w:r w:rsidR="00841F67">
        <w:t>assessment</w:t>
      </w:r>
      <w:r w:rsidRPr="008770F6">
        <w:t xml:space="preserve"> was initiated due to </w:t>
      </w:r>
      <w:r w:rsidRPr="008770F6">
        <w:rPr>
          <w:rFonts w:eastAsia="Calibri"/>
          <w:lang w:val="en" w:eastAsia="en-US"/>
        </w:rPr>
        <w:t xml:space="preserve">public concern and media reports </w:t>
      </w:r>
      <w:r w:rsidR="0012589B">
        <w:rPr>
          <w:rFonts w:eastAsia="Calibri"/>
          <w:lang w:val="en" w:eastAsia="en-US"/>
        </w:rPr>
        <w:t>about</w:t>
      </w:r>
      <w:r w:rsidR="0012589B" w:rsidRPr="008770F6">
        <w:rPr>
          <w:rFonts w:eastAsia="Calibri"/>
          <w:lang w:val="en" w:eastAsia="en-US"/>
        </w:rPr>
        <w:t xml:space="preserve"> </w:t>
      </w:r>
      <w:r w:rsidRPr="008770F6">
        <w:rPr>
          <w:rFonts w:eastAsia="Calibri"/>
          <w:lang w:val="en" w:eastAsia="en-US"/>
        </w:rPr>
        <w:t xml:space="preserve">EME levels from small cell transmitters. TPG was selected as it was preparing to deploy </w:t>
      </w:r>
      <w:r w:rsidR="0012589B">
        <w:rPr>
          <w:rFonts w:eastAsia="Calibri"/>
          <w:lang w:val="en" w:eastAsia="en-US"/>
        </w:rPr>
        <w:t>a substantial</w:t>
      </w:r>
      <w:r w:rsidRPr="008770F6">
        <w:rPr>
          <w:rFonts w:eastAsia="Calibri"/>
          <w:lang w:val="en" w:eastAsia="en-US"/>
        </w:rPr>
        <w:t xml:space="preserve"> small cell</w:t>
      </w:r>
      <w:r w:rsidR="0012589B">
        <w:rPr>
          <w:rFonts w:eastAsia="Calibri"/>
          <w:lang w:val="en" w:eastAsia="en-US"/>
        </w:rPr>
        <w:t xml:space="preserve"> network</w:t>
      </w:r>
      <w:r w:rsidR="005846E8">
        <w:rPr>
          <w:rStyle w:val="FootnoteReference"/>
          <w:rFonts w:eastAsia="Calibri"/>
          <w:lang w:val="en" w:eastAsia="en-US"/>
        </w:rPr>
        <w:footnoteReference w:id="1"/>
      </w:r>
      <w:r w:rsidR="0031572A">
        <w:rPr>
          <w:rFonts w:eastAsia="Calibri"/>
          <w:lang w:val="en" w:eastAsia="en-US"/>
        </w:rPr>
        <w:t xml:space="preserve"> and in the month prior, the ACMA had directed on</w:t>
      </w:r>
      <w:r w:rsidR="002F4996">
        <w:rPr>
          <w:rFonts w:eastAsia="Calibri"/>
          <w:lang w:val="en" w:eastAsia="en-US"/>
        </w:rPr>
        <w:t>e</w:t>
      </w:r>
      <w:r w:rsidR="0031572A">
        <w:rPr>
          <w:rFonts w:eastAsia="Calibri"/>
          <w:lang w:val="en" w:eastAsia="en-US"/>
        </w:rPr>
        <w:t xml:space="preserve"> of TPG’s subsidiaries, PIPE Networks Pty Ltd</w:t>
      </w:r>
      <w:r w:rsidR="00C97006">
        <w:rPr>
          <w:rFonts w:eastAsia="Calibri"/>
          <w:lang w:val="en" w:eastAsia="en-US"/>
        </w:rPr>
        <w:t xml:space="preserve"> (PIPE Networks)</w:t>
      </w:r>
      <w:r w:rsidR="0031572A">
        <w:rPr>
          <w:rFonts w:eastAsia="Calibri"/>
          <w:lang w:val="en" w:eastAsia="en-US"/>
        </w:rPr>
        <w:t>, to comply with the new rules for small mobile base stations specified in the</w:t>
      </w:r>
      <w:r w:rsidR="003A0B26">
        <w:rPr>
          <w:rFonts w:eastAsia="Calibri"/>
          <w:lang w:val="en" w:eastAsia="en-US"/>
        </w:rPr>
        <w:t xml:space="preserve"> </w:t>
      </w:r>
      <w:hyperlink r:id="rId24" w:history="1">
        <w:r w:rsidR="003A0B26" w:rsidRPr="000E78E3">
          <w:rPr>
            <w:rStyle w:val="Hyperlink"/>
            <w:i/>
            <w:iCs/>
            <w:szCs w:val="20"/>
            <w:lang w:val="en"/>
          </w:rPr>
          <w:t>C564:2018 Mobile Phone Base Station Deployment</w:t>
        </w:r>
      </w:hyperlink>
      <w:r w:rsidR="003A0B26" w:rsidRPr="00EC4EE5">
        <w:rPr>
          <w:rStyle w:val="Emphasis"/>
          <w:i w:val="0"/>
          <w:iCs w:val="0"/>
          <w:szCs w:val="20"/>
          <w:lang w:val="en"/>
        </w:rPr>
        <w:t xml:space="preserve"> (the Industry Code</w:t>
      </w:r>
      <w:r w:rsidR="003A0B26">
        <w:rPr>
          <w:rStyle w:val="Emphasis"/>
          <w:i w:val="0"/>
          <w:iCs w:val="0"/>
          <w:szCs w:val="20"/>
          <w:lang w:val="en"/>
        </w:rPr>
        <w:t>)</w:t>
      </w:r>
      <w:r w:rsidRPr="008770F6">
        <w:rPr>
          <w:rFonts w:eastAsia="Calibri"/>
          <w:lang w:val="en" w:eastAsia="en-US"/>
        </w:rPr>
        <w:t xml:space="preserve">. </w:t>
      </w:r>
    </w:p>
    <w:p w14:paraId="592837FA" w14:textId="08FD3193" w:rsidR="008770F6" w:rsidRPr="008770F6" w:rsidRDefault="0031572A" w:rsidP="00F5133B">
      <w:pPr>
        <w:pStyle w:val="Paragraph"/>
        <w:rPr>
          <w:rFonts w:eastAsia="Calibri"/>
          <w:lang w:val="en" w:eastAsia="en-US"/>
        </w:rPr>
      </w:pPr>
      <w:r>
        <w:rPr>
          <w:rFonts w:eastAsia="Calibri"/>
          <w:lang w:val="en" w:eastAsia="en-US"/>
        </w:rPr>
        <w:t xml:space="preserve">The direction followed two ACMA investigations where PIPE Networks was found to have contravened the rules under the </w:t>
      </w:r>
      <w:r w:rsidR="003A0B26">
        <w:rPr>
          <w:rFonts w:eastAsia="Calibri"/>
          <w:lang w:val="en" w:eastAsia="en-US"/>
        </w:rPr>
        <w:t xml:space="preserve">Industry </w:t>
      </w:r>
      <w:r>
        <w:rPr>
          <w:rFonts w:eastAsia="Calibri"/>
          <w:lang w:val="en" w:eastAsia="en-US"/>
        </w:rPr>
        <w:t>Code by failing to provide accurate and up-to-date information to a local council and residents during consultation on a proposed base station deployment</w:t>
      </w:r>
      <w:r w:rsidR="00D246AF">
        <w:rPr>
          <w:rFonts w:eastAsia="Calibri"/>
          <w:lang w:val="en" w:eastAsia="en-US"/>
        </w:rPr>
        <w:t>,</w:t>
      </w:r>
      <w:r>
        <w:rPr>
          <w:rFonts w:eastAsia="Calibri"/>
          <w:lang w:val="en" w:eastAsia="en-US"/>
        </w:rPr>
        <w:t xml:space="preserve"> and by starting work before concluding consultation.</w:t>
      </w:r>
      <w:r w:rsidR="005846E8">
        <w:rPr>
          <w:rFonts w:eastAsia="Calibri"/>
          <w:lang w:val="en" w:eastAsia="en-US"/>
        </w:rPr>
        <w:t xml:space="preserve"> </w:t>
      </w:r>
      <w:r w:rsidR="0012589B">
        <w:rPr>
          <w:rFonts w:eastAsia="Calibri"/>
          <w:lang w:val="en" w:eastAsia="en-US"/>
        </w:rPr>
        <w:t xml:space="preserve">The compliance </w:t>
      </w:r>
      <w:r w:rsidR="001638D9">
        <w:rPr>
          <w:rFonts w:eastAsia="Calibri"/>
          <w:lang w:val="en" w:eastAsia="en-US"/>
        </w:rPr>
        <w:t>assessment</w:t>
      </w:r>
      <w:r w:rsidR="0012589B" w:rsidRPr="008770F6">
        <w:rPr>
          <w:rFonts w:eastAsia="Calibri"/>
          <w:lang w:val="en" w:eastAsia="en-US"/>
        </w:rPr>
        <w:t xml:space="preserve"> </w:t>
      </w:r>
      <w:r w:rsidR="008770F6" w:rsidRPr="008770F6">
        <w:rPr>
          <w:rFonts w:eastAsia="Calibri"/>
          <w:lang w:val="en" w:eastAsia="en-US"/>
        </w:rPr>
        <w:t>w</w:t>
      </w:r>
      <w:r w:rsidR="00157698">
        <w:rPr>
          <w:rFonts w:eastAsia="Calibri"/>
          <w:lang w:val="en" w:eastAsia="en-US"/>
        </w:rPr>
        <w:t xml:space="preserve">as intended to </w:t>
      </w:r>
      <w:r w:rsidR="008770F6" w:rsidRPr="008770F6">
        <w:rPr>
          <w:rFonts w:eastAsia="Calibri"/>
          <w:lang w:val="en" w:eastAsia="en-US"/>
        </w:rPr>
        <w:t>ascertain TPG’s level of awareness and compliance with its EME and reporting obligations before the activation of its first small cell facilities.</w:t>
      </w:r>
    </w:p>
    <w:p w14:paraId="76F8553F" w14:textId="160F51F5" w:rsidR="008770F6" w:rsidRDefault="008770F6" w:rsidP="00F5133B">
      <w:pPr>
        <w:pStyle w:val="Paragraph"/>
        <w:rPr>
          <w:rFonts w:eastAsia="Calibri"/>
          <w:lang w:val="en" w:eastAsia="en-US"/>
        </w:rPr>
      </w:pPr>
      <w:r w:rsidRPr="008770F6">
        <w:rPr>
          <w:rFonts w:eastAsia="Calibri"/>
          <w:lang w:val="en" w:eastAsia="en-US"/>
        </w:rPr>
        <w:t>Th</w:t>
      </w:r>
      <w:r w:rsidR="00965E64">
        <w:rPr>
          <w:rFonts w:eastAsia="Calibri"/>
          <w:lang w:val="en" w:eastAsia="en-US"/>
        </w:rPr>
        <w:t>e compliance assessment</w:t>
      </w:r>
      <w:r w:rsidR="00157698">
        <w:rPr>
          <w:rFonts w:eastAsia="Calibri"/>
          <w:lang w:val="en" w:eastAsia="en-US"/>
        </w:rPr>
        <w:t xml:space="preserve"> </w:t>
      </w:r>
      <w:r w:rsidR="003A0B26">
        <w:rPr>
          <w:rFonts w:eastAsia="Calibri"/>
          <w:lang w:val="en" w:eastAsia="en-US"/>
        </w:rPr>
        <w:t>predominantly focused on</w:t>
      </w:r>
      <w:r w:rsidRPr="008770F6">
        <w:rPr>
          <w:rFonts w:eastAsia="Calibri"/>
          <w:lang w:val="en" w:eastAsia="en-US"/>
        </w:rPr>
        <w:t xml:space="preserve"> gather</w:t>
      </w:r>
      <w:r w:rsidR="003A0B26">
        <w:rPr>
          <w:rFonts w:eastAsia="Calibri"/>
          <w:lang w:val="en" w:eastAsia="en-US"/>
        </w:rPr>
        <w:t>ing</w:t>
      </w:r>
      <w:r w:rsidRPr="008770F6">
        <w:rPr>
          <w:rFonts w:eastAsia="Calibri"/>
          <w:lang w:val="en" w:eastAsia="en-US"/>
        </w:rPr>
        <w:t xml:space="preserve"> evidence about EME </w:t>
      </w:r>
      <w:r w:rsidR="00D56111">
        <w:rPr>
          <w:rFonts w:eastAsia="Calibri"/>
          <w:lang w:val="en" w:eastAsia="en-US"/>
        </w:rPr>
        <w:t xml:space="preserve">compliance </w:t>
      </w:r>
      <w:r w:rsidR="00943085">
        <w:rPr>
          <w:rFonts w:eastAsia="Calibri"/>
          <w:lang w:val="en" w:eastAsia="en-US"/>
        </w:rPr>
        <w:t>related to</w:t>
      </w:r>
      <w:r w:rsidRPr="008770F6">
        <w:rPr>
          <w:rFonts w:eastAsia="Calibri"/>
          <w:lang w:val="en" w:eastAsia="en-US"/>
        </w:rPr>
        <w:t xml:space="preserve"> small cells</w:t>
      </w:r>
      <w:r w:rsidR="003A0B26">
        <w:rPr>
          <w:rFonts w:eastAsia="Calibri"/>
          <w:lang w:val="en" w:eastAsia="en-US"/>
        </w:rPr>
        <w:t xml:space="preserve"> and did not consider compliance with the Industry Code which had been the focus of the ACMA’s investigations into TPG’s subsidiary PIPE Networks</w:t>
      </w:r>
      <w:r w:rsidR="00D246AF">
        <w:rPr>
          <w:rFonts w:eastAsia="Calibri"/>
          <w:lang w:val="en" w:eastAsia="en-US"/>
        </w:rPr>
        <w:t xml:space="preserve"> </w:t>
      </w:r>
      <w:r w:rsidR="003A0B26">
        <w:rPr>
          <w:rFonts w:eastAsia="Calibri"/>
          <w:lang w:val="en" w:eastAsia="en-US"/>
        </w:rPr>
        <w:t xml:space="preserve">in 2018. The </w:t>
      </w:r>
      <w:r w:rsidR="00965E64">
        <w:rPr>
          <w:rFonts w:eastAsia="Calibri"/>
          <w:lang w:val="en" w:eastAsia="en-US"/>
        </w:rPr>
        <w:t xml:space="preserve">compliance assessment </w:t>
      </w:r>
      <w:r w:rsidR="003A0B26">
        <w:rPr>
          <w:rFonts w:eastAsia="Calibri"/>
          <w:lang w:val="en" w:eastAsia="en-US"/>
        </w:rPr>
        <w:t xml:space="preserve">has </w:t>
      </w:r>
      <w:r w:rsidR="00157698">
        <w:rPr>
          <w:rFonts w:eastAsia="Calibri"/>
          <w:lang w:val="en" w:eastAsia="en-US"/>
        </w:rPr>
        <w:t>inform</w:t>
      </w:r>
      <w:r w:rsidR="003A0B26">
        <w:rPr>
          <w:rFonts w:eastAsia="Calibri"/>
          <w:lang w:val="en" w:eastAsia="en-US"/>
        </w:rPr>
        <w:t>ed</w:t>
      </w:r>
      <w:r w:rsidR="00157698">
        <w:rPr>
          <w:rFonts w:eastAsia="Calibri"/>
          <w:lang w:val="en" w:eastAsia="en-US"/>
        </w:rPr>
        <w:t xml:space="preserve"> the ACMA’s </w:t>
      </w:r>
      <w:r w:rsidR="0012589B">
        <w:rPr>
          <w:rFonts w:eastAsia="Calibri"/>
          <w:lang w:val="en" w:eastAsia="en-US"/>
        </w:rPr>
        <w:t>consideration of</w:t>
      </w:r>
      <w:r w:rsidRPr="008770F6">
        <w:rPr>
          <w:rFonts w:eastAsia="Calibri"/>
          <w:lang w:val="en" w:eastAsia="en-US"/>
        </w:rPr>
        <w:t xml:space="preserve"> a broader compliance audit program </w:t>
      </w:r>
      <w:r w:rsidR="003A0B26">
        <w:rPr>
          <w:rFonts w:eastAsia="Calibri"/>
          <w:lang w:val="en" w:eastAsia="en-US"/>
        </w:rPr>
        <w:t>which has</w:t>
      </w:r>
      <w:r w:rsidRPr="008770F6">
        <w:rPr>
          <w:rFonts w:eastAsia="Calibri"/>
          <w:lang w:val="en" w:eastAsia="en-US"/>
        </w:rPr>
        <w:t xml:space="preserve"> follow</w:t>
      </w:r>
      <w:r w:rsidR="003A0B26">
        <w:rPr>
          <w:rFonts w:eastAsia="Calibri"/>
          <w:lang w:val="en" w:eastAsia="en-US"/>
        </w:rPr>
        <w:t>ed</w:t>
      </w:r>
      <w:r w:rsidRPr="008770F6">
        <w:rPr>
          <w:rFonts w:eastAsia="Calibri"/>
          <w:lang w:val="en" w:eastAsia="en-US"/>
        </w:rPr>
        <w:t xml:space="preserve"> under the</w:t>
      </w:r>
      <w:r w:rsidR="00C3220B">
        <w:rPr>
          <w:rFonts w:eastAsia="Calibri"/>
          <w:lang w:val="en" w:eastAsia="en-US"/>
        </w:rPr>
        <w:t xml:space="preserve"> </w:t>
      </w:r>
      <w:hyperlink r:id="rId25" w:anchor="_-small-cell-base-stations-for-4g-and-5g" w:history="1">
        <w:r w:rsidR="00343324">
          <w:rPr>
            <w:rStyle w:val="Hyperlink"/>
            <w:rFonts w:eastAsia="Calibri"/>
            <w:szCs w:val="20"/>
            <w:lang w:val="en" w:eastAsia="en-US"/>
          </w:rPr>
          <w:t>s</w:t>
        </w:r>
        <w:r w:rsidR="00C3220B" w:rsidRPr="00C3220B">
          <w:rPr>
            <w:rStyle w:val="Hyperlink"/>
            <w:rFonts w:eastAsia="Calibri"/>
            <w:szCs w:val="20"/>
            <w:lang w:val="en" w:eastAsia="en-US"/>
          </w:rPr>
          <w:t xml:space="preserve">mall </w:t>
        </w:r>
        <w:r w:rsidR="00FF06EA">
          <w:rPr>
            <w:rStyle w:val="Hyperlink"/>
            <w:rFonts w:eastAsia="Calibri"/>
            <w:szCs w:val="20"/>
            <w:lang w:val="en" w:eastAsia="en-US"/>
          </w:rPr>
          <w:t>c</w:t>
        </w:r>
        <w:r w:rsidR="00C3220B" w:rsidRPr="00C3220B">
          <w:rPr>
            <w:rStyle w:val="Hyperlink"/>
            <w:rFonts w:eastAsia="Calibri"/>
            <w:szCs w:val="20"/>
            <w:lang w:val="en" w:eastAsia="en-US"/>
          </w:rPr>
          <w:t xml:space="preserve">ell </w:t>
        </w:r>
        <w:r w:rsidR="00FF06EA">
          <w:rPr>
            <w:rStyle w:val="Hyperlink"/>
            <w:rFonts w:eastAsia="Calibri"/>
            <w:szCs w:val="20"/>
            <w:lang w:val="en" w:eastAsia="en-US"/>
          </w:rPr>
          <w:t>b</w:t>
        </w:r>
        <w:r w:rsidR="00C3220B" w:rsidRPr="00C3220B">
          <w:rPr>
            <w:rStyle w:val="Hyperlink"/>
            <w:rFonts w:eastAsia="Calibri"/>
            <w:szCs w:val="20"/>
            <w:lang w:val="en" w:eastAsia="en-US"/>
          </w:rPr>
          <w:t xml:space="preserve">ase </w:t>
        </w:r>
        <w:r w:rsidR="00FF06EA">
          <w:rPr>
            <w:rStyle w:val="Hyperlink"/>
            <w:rFonts w:eastAsia="Calibri"/>
            <w:szCs w:val="20"/>
            <w:lang w:val="en" w:eastAsia="en-US"/>
          </w:rPr>
          <w:t>s</w:t>
        </w:r>
        <w:r w:rsidR="00C3220B" w:rsidRPr="00C3220B">
          <w:rPr>
            <w:rStyle w:val="Hyperlink"/>
            <w:rFonts w:eastAsia="Calibri"/>
            <w:szCs w:val="20"/>
            <w:lang w:val="en" w:eastAsia="en-US"/>
          </w:rPr>
          <w:t>tations for 4G and 5G</w:t>
        </w:r>
      </w:hyperlink>
      <w:hyperlink r:id="rId26" w:history="1"/>
      <w:r w:rsidR="006F2258">
        <w:rPr>
          <w:rFonts w:eastAsia="Calibri"/>
          <w:lang w:val="en" w:eastAsia="en-US"/>
        </w:rPr>
        <w:t xml:space="preserve"> compliance priority </w:t>
      </w:r>
      <w:r w:rsidR="00A17F35">
        <w:rPr>
          <w:rFonts w:eastAsia="Calibri"/>
          <w:lang w:val="en" w:eastAsia="en-US"/>
        </w:rPr>
        <w:t>for</w:t>
      </w:r>
      <w:r w:rsidR="006F2258">
        <w:rPr>
          <w:rFonts w:eastAsia="Calibri"/>
          <w:lang w:val="en" w:eastAsia="en-US"/>
        </w:rPr>
        <w:t xml:space="preserve"> 2019–20</w:t>
      </w:r>
      <w:r w:rsidR="00EB78E1">
        <w:rPr>
          <w:rFonts w:eastAsia="Calibri"/>
          <w:lang w:val="en" w:eastAsia="en-US"/>
        </w:rPr>
        <w:t xml:space="preserve"> to </w:t>
      </w:r>
      <w:r w:rsidR="00480F9C">
        <w:rPr>
          <w:rFonts w:eastAsia="Calibri"/>
          <w:lang w:val="en" w:eastAsia="en-US"/>
        </w:rPr>
        <w:t>assess other carriers’ compliance with EME and reporting obligations for their small cells</w:t>
      </w:r>
      <w:r w:rsidR="006F2258">
        <w:rPr>
          <w:rFonts w:eastAsia="Calibri"/>
          <w:lang w:val="en" w:eastAsia="en-US"/>
        </w:rPr>
        <w:t>.</w:t>
      </w:r>
      <w:r w:rsidR="003A0B26">
        <w:rPr>
          <w:rFonts w:eastAsia="Calibri"/>
          <w:lang w:val="en" w:eastAsia="en-US"/>
        </w:rPr>
        <w:t xml:space="preserve"> </w:t>
      </w:r>
    </w:p>
    <w:p w14:paraId="3581E380" w14:textId="77777777" w:rsidR="00EC4EE5" w:rsidRPr="00F5133B" w:rsidRDefault="00EC4EE5" w:rsidP="000E78E3">
      <w:pPr>
        <w:pStyle w:val="Heading2"/>
      </w:pPr>
      <w:bookmarkStart w:id="3" w:name="_Toc169770"/>
      <w:bookmarkStart w:id="4" w:name="_Toc31631074"/>
      <w:r w:rsidRPr="00F5133B">
        <w:t>Scope</w:t>
      </w:r>
      <w:bookmarkEnd w:id="3"/>
      <w:bookmarkEnd w:id="4"/>
    </w:p>
    <w:p w14:paraId="53018110" w14:textId="368703E3" w:rsidR="00EC4EE5" w:rsidRDefault="00EC4EE5" w:rsidP="003206CD">
      <w:pPr>
        <w:pStyle w:val="Paragraph"/>
        <w:rPr>
          <w:rFonts w:eastAsiaTheme="minorHAnsi"/>
          <w:lang w:val="en" w:eastAsia="en-US"/>
        </w:rPr>
      </w:pPr>
      <w:bookmarkStart w:id="5" w:name="_Hlk26430239"/>
      <w:r w:rsidRPr="003E7DCC">
        <w:rPr>
          <w:rFonts w:eastAsiaTheme="minorHAnsi"/>
          <w:lang w:val="en" w:eastAsia="en-US"/>
        </w:rPr>
        <w:t xml:space="preserve">Small cells are low-powered base stations that </w:t>
      </w:r>
      <w:r w:rsidR="00EA348D">
        <w:rPr>
          <w:rFonts w:eastAsiaTheme="minorHAnsi"/>
          <w:lang w:val="en" w:eastAsia="en-US"/>
        </w:rPr>
        <w:t>provide</w:t>
      </w:r>
      <w:r w:rsidR="00EA348D" w:rsidRPr="003E7DCC">
        <w:rPr>
          <w:rFonts w:eastAsiaTheme="minorHAnsi"/>
          <w:lang w:val="en" w:eastAsia="en-US"/>
        </w:rPr>
        <w:t xml:space="preserve"> </w:t>
      </w:r>
      <w:r w:rsidR="00EA348D">
        <w:rPr>
          <w:rFonts w:eastAsiaTheme="minorHAnsi"/>
          <w:lang w:val="en" w:eastAsia="en-US"/>
        </w:rPr>
        <w:t>additional capacity and coverage in</w:t>
      </w:r>
      <w:r w:rsidRPr="003E7DCC">
        <w:rPr>
          <w:rFonts w:eastAsiaTheme="minorHAnsi"/>
          <w:lang w:val="en" w:eastAsia="en-US"/>
        </w:rPr>
        <w:t xml:space="preserve"> highly populated areas</w:t>
      </w:r>
      <w:r w:rsidR="00EA348D">
        <w:rPr>
          <w:rFonts w:eastAsiaTheme="minorHAnsi"/>
          <w:lang w:val="en" w:eastAsia="en-US"/>
        </w:rPr>
        <w:t xml:space="preserve"> and </w:t>
      </w:r>
      <w:r w:rsidR="00625D35">
        <w:rPr>
          <w:rFonts w:eastAsiaTheme="minorHAnsi"/>
          <w:lang w:val="en" w:eastAsia="en-US"/>
        </w:rPr>
        <w:t>strengthen local</w:t>
      </w:r>
      <w:r w:rsidR="00EA348D">
        <w:rPr>
          <w:rFonts w:eastAsiaTheme="minorHAnsi"/>
          <w:lang w:val="en" w:eastAsia="en-US"/>
        </w:rPr>
        <w:t xml:space="preserve"> coverage in regional and rural areas</w:t>
      </w:r>
      <w:r w:rsidRPr="003E7DCC">
        <w:rPr>
          <w:rFonts w:eastAsiaTheme="minorHAnsi"/>
          <w:lang w:val="en" w:eastAsia="en-US"/>
        </w:rPr>
        <w:t>. They are generally placed on existing infrastructure such as light and power</w:t>
      </w:r>
      <w:r w:rsidR="00EA348D">
        <w:rPr>
          <w:rFonts w:eastAsiaTheme="minorHAnsi"/>
          <w:lang w:val="en" w:eastAsia="en-US"/>
        </w:rPr>
        <w:t xml:space="preserve"> poles</w:t>
      </w:r>
      <w:r w:rsidRPr="003E7DCC">
        <w:rPr>
          <w:rFonts w:eastAsiaTheme="minorHAnsi"/>
          <w:lang w:val="en" w:eastAsia="en-US"/>
        </w:rPr>
        <w:t xml:space="preserve">. Small cells </w:t>
      </w:r>
      <w:r w:rsidR="00625D35">
        <w:rPr>
          <w:rFonts w:eastAsiaTheme="minorHAnsi"/>
          <w:lang w:val="en" w:eastAsia="en-US"/>
        </w:rPr>
        <w:t xml:space="preserve">are generally used to </w:t>
      </w:r>
      <w:r w:rsidRPr="003E7DCC">
        <w:rPr>
          <w:rFonts w:eastAsiaTheme="minorHAnsi"/>
          <w:lang w:val="en" w:eastAsia="en-US"/>
        </w:rPr>
        <w:t xml:space="preserve">deliver </w:t>
      </w:r>
      <w:r>
        <w:rPr>
          <w:rFonts w:eastAsiaTheme="minorHAnsi"/>
          <w:lang w:val="en" w:eastAsia="en-US"/>
        </w:rPr>
        <w:t xml:space="preserve">4G </w:t>
      </w:r>
      <w:r w:rsidRPr="003E7DCC">
        <w:rPr>
          <w:rFonts w:eastAsiaTheme="minorHAnsi"/>
          <w:lang w:val="en" w:eastAsia="en-US"/>
        </w:rPr>
        <w:t xml:space="preserve">mobile services and </w:t>
      </w:r>
      <w:r w:rsidR="00153D6C">
        <w:rPr>
          <w:rFonts w:eastAsiaTheme="minorHAnsi"/>
          <w:lang w:val="en" w:eastAsia="en-US"/>
        </w:rPr>
        <w:t xml:space="preserve">will </w:t>
      </w:r>
      <w:r w:rsidRPr="003E7DCC">
        <w:rPr>
          <w:rFonts w:eastAsiaTheme="minorHAnsi"/>
          <w:lang w:val="en" w:eastAsia="en-US"/>
        </w:rPr>
        <w:t xml:space="preserve">play an important </w:t>
      </w:r>
      <w:r w:rsidRPr="00EC4EE5">
        <w:rPr>
          <w:rFonts w:eastAsiaTheme="minorHAnsi"/>
          <w:lang w:val="en" w:eastAsia="en-US"/>
        </w:rPr>
        <w:t>role in providing 5G mobile telecommunications.</w:t>
      </w:r>
    </w:p>
    <w:p w14:paraId="0984065B" w14:textId="64C39FB9" w:rsidR="005A3B4F" w:rsidRPr="00EC4EE5" w:rsidRDefault="005A3B4F" w:rsidP="003206CD">
      <w:pPr>
        <w:pStyle w:val="Paragraph"/>
        <w:rPr>
          <w:rFonts w:eastAsiaTheme="minorHAnsi"/>
          <w:lang w:val="en" w:eastAsia="en-US"/>
        </w:rPr>
      </w:pPr>
      <w:r>
        <w:rPr>
          <w:rFonts w:eastAsiaTheme="minorHAnsi"/>
          <w:lang w:val="en" w:eastAsia="en-US"/>
        </w:rPr>
        <w:t xml:space="preserve">There are two key elements of the regulation of small cells. The first </w:t>
      </w:r>
      <w:r w:rsidR="006D0B5A">
        <w:rPr>
          <w:rFonts w:eastAsiaTheme="minorHAnsi"/>
          <w:lang w:val="en" w:eastAsia="en-US"/>
        </w:rPr>
        <w:t xml:space="preserve">relates to consultation </w:t>
      </w:r>
      <w:r w:rsidR="00C96A55">
        <w:rPr>
          <w:rFonts w:eastAsiaTheme="minorHAnsi"/>
          <w:lang w:val="en" w:eastAsia="en-US"/>
        </w:rPr>
        <w:t xml:space="preserve">and reporting </w:t>
      </w:r>
      <w:r w:rsidR="006D0B5A">
        <w:rPr>
          <w:rFonts w:eastAsiaTheme="minorHAnsi"/>
          <w:lang w:val="en" w:eastAsia="en-US"/>
        </w:rPr>
        <w:t xml:space="preserve">requirements when deploying small cells </w:t>
      </w:r>
      <w:r w:rsidR="002821FE">
        <w:rPr>
          <w:rFonts w:eastAsiaTheme="minorHAnsi"/>
          <w:lang w:val="en" w:eastAsia="en-US"/>
        </w:rPr>
        <w:t xml:space="preserve">while </w:t>
      </w:r>
      <w:r w:rsidR="009A25F7">
        <w:rPr>
          <w:rFonts w:eastAsiaTheme="minorHAnsi"/>
          <w:lang w:val="en" w:eastAsia="en-US"/>
        </w:rPr>
        <w:t xml:space="preserve">the second relates to </w:t>
      </w:r>
      <w:r w:rsidR="00260348">
        <w:rPr>
          <w:rFonts w:eastAsiaTheme="minorHAnsi"/>
          <w:lang w:val="en" w:eastAsia="en-US"/>
        </w:rPr>
        <w:t xml:space="preserve">the </w:t>
      </w:r>
      <w:r w:rsidR="009A25F7">
        <w:rPr>
          <w:rFonts w:eastAsiaTheme="minorHAnsi"/>
          <w:lang w:val="en" w:eastAsia="en-US"/>
        </w:rPr>
        <w:t xml:space="preserve">EME </w:t>
      </w:r>
      <w:r w:rsidR="00260348">
        <w:rPr>
          <w:rFonts w:eastAsiaTheme="minorHAnsi"/>
          <w:lang w:val="en" w:eastAsia="en-US"/>
        </w:rPr>
        <w:t xml:space="preserve">standards that apply to those facilities. </w:t>
      </w:r>
    </w:p>
    <w:bookmarkEnd w:id="5"/>
    <w:p w14:paraId="78E48BB3" w14:textId="2CBEAF4F" w:rsidR="00AD7ACF" w:rsidRDefault="00E02DA3" w:rsidP="00202F45">
      <w:pPr>
        <w:pStyle w:val="NormalWeb"/>
        <w:rPr>
          <w:rStyle w:val="Emphasis"/>
          <w:rFonts w:ascii="Arial" w:hAnsi="Arial" w:cs="Arial"/>
          <w:i w:val="0"/>
          <w:iCs w:val="0"/>
          <w:sz w:val="20"/>
          <w:szCs w:val="20"/>
          <w:lang w:val="en"/>
        </w:rPr>
      </w:pPr>
      <w:r>
        <w:rPr>
          <w:rStyle w:val="Emphasis"/>
          <w:rFonts w:ascii="Arial" w:hAnsi="Arial" w:cs="Arial"/>
          <w:i w:val="0"/>
          <w:iCs w:val="0"/>
          <w:sz w:val="20"/>
          <w:szCs w:val="20"/>
          <w:lang w:val="en"/>
        </w:rPr>
        <w:t xml:space="preserve">Small cells are </w:t>
      </w:r>
      <w:r w:rsidR="00003F39">
        <w:rPr>
          <w:rStyle w:val="Emphasis"/>
          <w:rFonts w:ascii="Arial" w:hAnsi="Arial" w:cs="Arial"/>
          <w:i w:val="0"/>
          <w:iCs w:val="0"/>
          <w:sz w:val="20"/>
          <w:szCs w:val="20"/>
          <w:lang w:val="en"/>
        </w:rPr>
        <w:t>‘</w:t>
      </w:r>
      <w:r w:rsidR="00D246AF">
        <w:rPr>
          <w:rStyle w:val="Emphasis"/>
          <w:rFonts w:ascii="Arial" w:hAnsi="Arial" w:cs="Arial"/>
          <w:i w:val="0"/>
          <w:iCs w:val="0"/>
          <w:sz w:val="20"/>
          <w:szCs w:val="20"/>
          <w:lang w:val="en"/>
        </w:rPr>
        <w:t>l</w:t>
      </w:r>
      <w:r w:rsidRPr="00293819">
        <w:rPr>
          <w:rStyle w:val="Emphasis"/>
          <w:rFonts w:ascii="Arial" w:hAnsi="Arial" w:cs="Arial"/>
          <w:i w:val="0"/>
          <w:iCs w:val="0"/>
          <w:sz w:val="20"/>
          <w:szCs w:val="20"/>
          <w:lang w:val="en"/>
        </w:rPr>
        <w:t>ow</w:t>
      </w:r>
      <w:r w:rsidR="004F25DF" w:rsidRPr="00293819">
        <w:rPr>
          <w:rStyle w:val="Emphasis"/>
          <w:rFonts w:ascii="Arial" w:hAnsi="Arial" w:cs="Arial"/>
          <w:i w:val="0"/>
          <w:iCs w:val="0"/>
          <w:sz w:val="20"/>
          <w:szCs w:val="20"/>
          <w:lang w:val="en"/>
        </w:rPr>
        <w:t>-</w:t>
      </w:r>
      <w:r w:rsidR="00D246AF">
        <w:rPr>
          <w:rStyle w:val="Emphasis"/>
          <w:rFonts w:ascii="Arial" w:hAnsi="Arial" w:cs="Arial"/>
          <w:i w:val="0"/>
          <w:iCs w:val="0"/>
          <w:sz w:val="20"/>
          <w:szCs w:val="20"/>
          <w:lang w:val="en"/>
        </w:rPr>
        <w:t>i</w:t>
      </w:r>
      <w:r w:rsidRPr="00293819">
        <w:rPr>
          <w:rStyle w:val="Emphasis"/>
          <w:rFonts w:ascii="Arial" w:hAnsi="Arial" w:cs="Arial"/>
          <w:i w:val="0"/>
          <w:iCs w:val="0"/>
          <w:sz w:val="20"/>
          <w:szCs w:val="20"/>
          <w:lang w:val="en"/>
        </w:rPr>
        <w:t xml:space="preserve">mpact </w:t>
      </w:r>
      <w:r w:rsidR="00D246AF">
        <w:rPr>
          <w:rStyle w:val="Emphasis"/>
          <w:rFonts w:ascii="Arial" w:hAnsi="Arial" w:cs="Arial"/>
          <w:i w:val="0"/>
          <w:iCs w:val="0"/>
          <w:sz w:val="20"/>
          <w:szCs w:val="20"/>
          <w:lang w:val="en"/>
        </w:rPr>
        <w:t>f</w:t>
      </w:r>
      <w:r w:rsidRPr="00293819">
        <w:rPr>
          <w:rStyle w:val="Emphasis"/>
          <w:rFonts w:ascii="Arial" w:hAnsi="Arial" w:cs="Arial"/>
          <w:i w:val="0"/>
          <w:iCs w:val="0"/>
          <w:sz w:val="20"/>
          <w:szCs w:val="20"/>
          <w:lang w:val="en"/>
        </w:rPr>
        <w:t>acilities</w:t>
      </w:r>
      <w:r w:rsidR="00003F39" w:rsidRPr="00293819">
        <w:rPr>
          <w:rStyle w:val="Emphasis"/>
          <w:rFonts w:ascii="Arial" w:hAnsi="Arial" w:cs="Arial"/>
          <w:i w:val="0"/>
          <w:iCs w:val="0"/>
          <w:sz w:val="20"/>
          <w:szCs w:val="20"/>
          <w:lang w:val="en"/>
        </w:rPr>
        <w:t>’</w:t>
      </w:r>
      <w:r>
        <w:rPr>
          <w:rStyle w:val="Emphasis"/>
          <w:rFonts w:ascii="Arial" w:hAnsi="Arial" w:cs="Arial"/>
          <w:i w:val="0"/>
          <w:iCs w:val="0"/>
          <w:sz w:val="20"/>
          <w:szCs w:val="20"/>
          <w:lang w:val="en"/>
        </w:rPr>
        <w:t xml:space="preserve"> </w:t>
      </w:r>
      <w:r w:rsidR="00003F39">
        <w:rPr>
          <w:rStyle w:val="Emphasis"/>
          <w:rFonts w:ascii="Arial" w:hAnsi="Arial" w:cs="Arial"/>
          <w:i w:val="0"/>
          <w:iCs w:val="0"/>
          <w:sz w:val="20"/>
          <w:szCs w:val="20"/>
          <w:lang w:val="en"/>
        </w:rPr>
        <w:t xml:space="preserve">within the meaning of the </w:t>
      </w:r>
      <w:hyperlink r:id="rId27" w:history="1">
        <w:r w:rsidR="00003F39" w:rsidRPr="00003F39">
          <w:rPr>
            <w:rStyle w:val="Hyperlink"/>
            <w:rFonts w:ascii="Arial" w:hAnsi="Arial" w:cs="Arial"/>
            <w:sz w:val="20"/>
            <w:szCs w:val="20"/>
            <w:lang w:val="en"/>
          </w:rPr>
          <w:t>Telecommunications (Low-impact Facilities) Determination 2018</w:t>
        </w:r>
      </w:hyperlink>
      <w:r w:rsidR="004F25DF">
        <w:rPr>
          <w:rStyle w:val="Emphasis"/>
          <w:rFonts w:ascii="Arial" w:hAnsi="Arial" w:cs="Arial"/>
          <w:i w:val="0"/>
          <w:iCs w:val="0"/>
          <w:sz w:val="20"/>
          <w:szCs w:val="20"/>
          <w:lang w:val="en"/>
        </w:rPr>
        <w:t>,</w:t>
      </w:r>
      <w:r w:rsidR="00003F39">
        <w:rPr>
          <w:rStyle w:val="Emphasis"/>
          <w:rFonts w:ascii="Arial" w:hAnsi="Arial" w:cs="Arial"/>
          <w:i w:val="0"/>
          <w:iCs w:val="0"/>
          <w:sz w:val="20"/>
          <w:szCs w:val="20"/>
          <w:lang w:val="en"/>
        </w:rPr>
        <w:t xml:space="preserve"> which</w:t>
      </w:r>
      <w:r w:rsidR="004F25DF">
        <w:rPr>
          <w:rStyle w:val="Emphasis"/>
          <w:rFonts w:ascii="Arial" w:hAnsi="Arial" w:cs="Arial"/>
          <w:i w:val="0"/>
          <w:iCs w:val="0"/>
          <w:sz w:val="20"/>
          <w:szCs w:val="20"/>
          <w:lang w:val="en"/>
        </w:rPr>
        <w:t xml:space="preserve"> defines what a low-impact facility is as well as the category of land on which these facilities may be installed. Schedule 3, sub-clause 37(2) of the </w:t>
      </w:r>
      <w:r w:rsidR="004F25DF">
        <w:rPr>
          <w:rStyle w:val="Emphasis"/>
          <w:rFonts w:ascii="Arial" w:hAnsi="Arial" w:cs="Arial"/>
          <w:sz w:val="20"/>
          <w:szCs w:val="20"/>
          <w:lang w:val="en"/>
        </w:rPr>
        <w:t xml:space="preserve">Telecommunications Act 1997 </w:t>
      </w:r>
      <w:r w:rsidR="004F25DF">
        <w:rPr>
          <w:rStyle w:val="Emphasis"/>
          <w:rFonts w:ascii="Arial" w:hAnsi="Arial" w:cs="Arial"/>
          <w:i w:val="0"/>
          <w:iCs w:val="0"/>
          <w:sz w:val="20"/>
          <w:szCs w:val="20"/>
          <w:lang w:val="en"/>
        </w:rPr>
        <w:t>(</w:t>
      </w:r>
      <w:proofErr w:type="spellStart"/>
      <w:r w:rsidR="004F25DF">
        <w:rPr>
          <w:rStyle w:val="Emphasis"/>
          <w:rFonts w:ascii="Arial" w:hAnsi="Arial" w:cs="Arial"/>
          <w:i w:val="0"/>
          <w:iCs w:val="0"/>
          <w:sz w:val="20"/>
          <w:szCs w:val="20"/>
          <w:lang w:val="en"/>
        </w:rPr>
        <w:t>Cth</w:t>
      </w:r>
      <w:proofErr w:type="spellEnd"/>
      <w:r w:rsidR="004F25DF">
        <w:rPr>
          <w:rStyle w:val="Emphasis"/>
          <w:rFonts w:ascii="Arial" w:hAnsi="Arial" w:cs="Arial"/>
          <w:i w:val="0"/>
          <w:iCs w:val="0"/>
          <w:sz w:val="20"/>
          <w:szCs w:val="20"/>
          <w:lang w:val="en"/>
        </w:rPr>
        <w:t>) exempts carriers from State and Territory laws</w:t>
      </w:r>
      <w:r w:rsidR="00961FD2">
        <w:rPr>
          <w:rStyle w:val="Emphasis"/>
          <w:rFonts w:ascii="Arial" w:hAnsi="Arial" w:cs="Arial"/>
          <w:i w:val="0"/>
          <w:iCs w:val="0"/>
          <w:sz w:val="20"/>
          <w:szCs w:val="20"/>
          <w:lang w:val="en"/>
        </w:rPr>
        <w:t>, including those relating to planning and use of land</w:t>
      </w:r>
      <w:r w:rsidR="002F4996">
        <w:rPr>
          <w:rStyle w:val="Emphasis"/>
          <w:rFonts w:ascii="Arial" w:hAnsi="Arial" w:cs="Arial"/>
          <w:i w:val="0"/>
          <w:iCs w:val="0"/>
          <w:sz w:val="20"/>
          <w:szCs w:val="20"/>
          <w:lang w:val="en"/>
        </w:rPr>
        <w:t xml:space="preserve">, and in </w:t>
      </w:r>
      <w:r w:rsidR="002F4996">
        <w:rPr>
          <w:rStyle w:val="Emphasis"/>
          <w:rFonts w:ascii="Arial" w:hAnsi="Arial" w:cs="Arial"/>
          <w:i w:val="0"/>
          <w:iCs w:val="0"/>
          <w:sz w:val="20"/>
          <w:szCs w:val="20"/>
          <w:lang w:val="en"/>
        </w:rPr>
        <w:lastRenderedPageBreak/>
        <w:t>lieu of these requirements, the</w:t>
      </w:r>
      <w:r w:rsidR="00961FD2">
        <w:rPr>
          <w:rStyle w:val="Emphasis"/>
          <w:rFonts w:ascii="Arial" w:hAnsi="Arial" w:cs="Arial"/>
          <w:i w:val="0"/>
          <w:iCs w:val="0"/>
          <w:sz w:val="20"/>
          <w:szCs w:val="20"/>
          <w:lang w:val="en"/>
        </w:rPr>
        <w:t xml:space="preserve"> </w:t>
      </w:r>
      <w:r w:rsidR="002F4996">
        <w:rPr>
          <w:rStyle w:val="Emphasis"/>
          <w:rFonts w:ascii="Arial" w:hAnsi="Arial" w:cs="Arial"/>
          <w:i w:val="0"/>
          <w:iCs w:val="0"/>
          <w:sz w:val="20"/>
          <w:szCs w:val="20"/>
          <w:lang w:val="en"/>
        </w:rPr>
        <w:t xml:space="preserve">Industry </w:t>
      </w:r>
      <w:r w:rsidR="00961FD2">
        <w:rPr>
          <w:rStyle w:val="Emphasis"/>
          <w:rFonts w:ascii="Arial" w:hAnsi="Arial" w:cs="Arial"/>
          <w:i w:val="0"/>
          <w:iCs w:val="0"/>
          <w:sz w:val="20"/>
          <w:szCs w:val="20"/>
          <w:lang w:val="en"/>
        </w:rPr>
        <w:t>Code</w:t>
      </w:r>
      <w:r w:rsidR="00AD7ACF">
        <w:rPr>
          <w:rStyle w:val="Emphasis"/>
          <w:rFonts w:ascii="Arial" w:hAnsi="Arial" w:cs="Arial"/>
          <w:i w:val="0"/>
          <w:iCs w:val="0"/>
          <w:sz w:val="20"/>
          <w:szCs w:val="20"/>
          <w:lang w:val="en"/>
        </w:rPr>
        <w:t xml:space="preserve"> requires</w:t>
      </w:r>
      <w:r w:rsidR="002F4996">
        <w:rPr>
          <w:rStyle w:val="Emphasis"/>
          <w:rFonts w:ascii="Arial" w:hAnsi="Arial" w:cs="Arial"/>
          <w:i w:val="0"/>
          <w:iCs w:val="0"/>
          <w:sz w:val="20"/>
          <w:szCs w:val="20"/>
          <w:lang w:val="en"/>
        </w:rPr>
        <w:t>, amongst other things,</w:t>
      </w:r>
      <w:r w:rsidR="00AD7ACF">
        <w:rPr>
          <w:rStyle w:val="Emphasis"/>
          <w:rFonts w:ascii="Arial" w:hAnsi="Arial" w:cs="Arial"/>
          <w:i w:val="0"/>
          <w:iCs w:val="0"/>
          <w:sz w:val="20"/>
          <w:szCs w:val="20"/>
          <w:lang w:val="en"/>
        </w:rPr>
        <w:t xml:space="preserve"> carriers to consult with the local community</w:t>
      </w:r>
      <w:r w:rsidR="002F4996">
        <w:rPr>
          <w:rStyle w:val="Emphasis"/>
          <w:rFonts w:ascii="Arial" w:hAnsi="Arial" w:cs="Arial"/>
          <w:i w:val="0"/>
          <w:iCs w:val="0"/>
          <w:sz w:val="20"/>
          <w:szCs w:val="20"/>
          <w:lang w:val="en"/>
        </w:rPr>
        <w:t xml:space="preserve"> and local council</w:t>
      </w:r>
      <w:r w:rsidR="00AD7ACF">
        <w:rPr>
          <w:rStyle w:val="Emphasis"/>
          <w:rFonts w:ascii="Arial" w:hAnsi="Arial" w:cs="Arial"/>
          <w:i w:val="0"/>
          <w:iCs w:val="0"/>
          <w:sz w:val="20"/>
          <w:szCs w:val="20"/>
          <w:lang w:val="en"/>
        </w:rPr>
        <w:t xml:space="preserve">. </w:t>
      </w:r>
    </w:p>
    <w:p w14:paraId="3E8D5C6C" w14:textId="15BF66D8" w:rsidR="00202F45" w:rsidRPr="00EC4EE5" w:rsidRDefault="00AD7ACF" w:rsidP="00202F45">
      <w:pPr>
        <w:pStyle w:val="NormalWeb"/>
        <w:rPr>
          <w:rFonts w:ascii="Arial" w:hAnsi="Arial" w:cs="Arial"/>
          <w:i/>
          <w:iCs/>
          <w:sz w:val="20"/>
          <w:szCs w:val="20"/>
          <w:lang w:val="en"/>
        </w:rPr>
      </w:pPr>
      <w:r>
        <w:rPr>
          <w:rStyle w:val="Emphasis"/>
          <w:rFonts w:ascii="Arial" w:hAnsi="Arial" w:cs="Arial"/>
          <w:i w:val="0"/>
          <w:iCs w:val="0"/>
          <w:sz w:val="20"/>
          <w:szCs w:val="20"/>
          <w:lang w:val="en"/>
        </w:rPr>
        <w:t>W</w:t>
      </w:r>
      <w:r w:rsidR="00EC4EE5" w:rsidRPr="00EC4EE5">
        <w:rPr>
          <w:rStyle w:val="Emphasis"/>
          <w:rFonts w:ascii="Arial" w:hAnsi="Arial" w:cs="Arial"/>
          <w:i w:val="0"/>
          <w:iCs w:val="0"/>
          <w:sz w:val="20"/>
          <w:szCs w:val="20"/>
          <w:lang w:val="en"/>
        </w:rPr>
        <w:t xml:space="preserve">here </w:t>
      </w:r>
      <w:r w:rsidR="00157698">
        <w:rPr>
          <w:rStyle w:val="Emphasis"/>
          <w:rFonts w:ascii="Arial" w:hAnsi="Arial" w:cs="Arial"/>
          <w:i w:val="0"/>
          <w:iCs w:val="0"/>
          <w:sz w:val="20"/>
          <w:szCs w:val="20"/>
          <w:lang w:val="en"/>
        </w:rPr>
        <w:t xml:space="preserve">telecommunications </w:t>
      </w:r>
      <w:r w:rsidR="00EC4EE5" w:rsidRPr="00EC4EE5">
        <w:rPr>
          <w:rStyle w:val="Emphasis"/>
          <w:rFonts w:ascii="Arial" w:hAnsi="Arial" w:cs="Arial"/>
          <w:i w:val="0"/>
          <w:iCs w:val="0"/>
          <w:sz w:val="20"/>
          <w:szCs w:val="20"/>
          <w:lang w:val="en"/>
        </w:rPr>
        <w:t xml:space="preserve">carriers plan to deploy mobile phone radiocommunication facilities, including small cells, they need to comply with </w:t>
      </w:r>
      <w:r>
        <w:rPr>
          <w:rStyle w:val="Emphasis"/>
          <w:rFonts w:ascii="Arial" w:hAnsi="Arial" w:cs="Arial"/>
          <w:i w:val="0"/>
          <w:iCs w:val="0"/>
          <w:sz w:val="20"/>
          <w:szCs w:val="20"/>
          <w:lang w:val="en"/>
        </w:rPr>
        <w:t>the I</w:t>
      </w:r>
      <w:r w:rsidR="00EC4EE5" w:rsidRPr="00EC4EE5">
        <w:rPr>
          <w:rStyle w:val="Emphasis"/>
          <w:rFonts w:ascii="Arial" w:hAnsi="Arial" w:cs="Arial"/>
          <w:i w:val="0"/>
          <w:iCs w:val="0"/>
          <w:sz w:val="20"/>
          <w:szCs w:val="20"/>
          <w:lang w:val="en"/>
        </w:rPr>
        <w:t xml:space="preserve">ndustry </w:t>
      </w:r>
      <w:r>
        <w:rPr>
          <w:rStyle w:val="Emphasis"/>
          <w:rFonts w:ascii="Arial" w:hAnsi="Arial" w:cs="Arial"/>
          <w:i w:val="0"/>
          <w:iCs w:val="0"/>
          <w:sz w:val="20"/>
          <w:szCs w:val="20"/>
          <w:lang w:val="en"/>
        </w:rPr>
        <w:t>C</w:t>
      </w:r>
      <w:r w:rsidR="00EC4EE5" w:rsidRPr="00EC4EE5">
        <w:rPr>
          <w:rStyle w:val="Emphasis"/>
          <w:rFonts w:ascii="Arial" w:hAnsi="Arial" w:cs="Arial"/>
          <w:i w:val="0"/>
          <w:iCs w:val="0"/>
          <w:sz w:val="20"/>
          <w:szCs w:val="20"/>
          <w:lang w:val="en"/>
        </w:rPr>
        <w:t xml:space="preserve">ode, which sets out </w:t>
      </w:r>
      <w:r w:rsidR="00EA348D">
        <w:rPr>
          <w:rStyle w:val="Emphasis"/>
          <w:rFonts w:ascii="Arial" w:hAnsi="Arial" w:cs="Arial"/>
          <w:i w:val="0"/>
          <w:iCs w:val="0"/>
          <w:sz w:val="20"/>
          <w:szCs w:val="20"/>
          <w:lang w:val="en"/>
        </w:rPr>
        <w:t xml:space="preserve">consultation and </w:t>
      </w:r>
      <w:r w:rsidR="00EC4EE5" w:rsidRPr="00EC4EE5">
        <w:rPr>
          <w:rStyle w:val="Emphasis"/>
          <w:rFonts w:ascii="Arial" w:hAnsi="Arial" w:cs="Arial"/>
          <w:i w:val="0"/>
          <w:iCs w:val="0"/>
          <w:sz w:val="20"/>
          <w:szCs w:val="20"/>
          <w:lang w:val="en"/>
        </w:rPr>
        <w:t xml:space="preserve">EME reporting requirements for proposed sites. The Industry Code requires that </w:t>
      </w:r>
      <w:r w:rsidR="00202F45">
        <w:rPr>
          <w:rStyle w:val="Emphasis"/>
          <w:rFonts w:ascii="Arial" w:hAnsi="Arial" w:cs="Arial"/>
          <w:i w:val="0"/>
          <w:iCs w:val="0"/>
          <w:sz w:val="20"/>
          <w:szCs w:val="20"/>
          <w:lang w:val="en"/>
        </w:rPr>
        <w:t>carriers</w:t>
      </w:r>
      <w:r w:rsidR="00EC4EE5" w:rsidRPr="00EC4EE5">
        <w:rPr>
          <w:rStyle w:val="Emphasis"/>
          <w:rFonts w:ascii="Arial" w:hAnsi="Arial" w:cs="Arial"/>
          <w:i w:val="0"/>
          <w:iCs w:val="0"/>
          <w:sz w:val="20"/>
          <w:szCs w:val="20"/>
          <w:lang w:val="en"/>
        </w:rPr>
        <w:t xml:space="preserve"> respond to all reasonable requests for predicted EME levels at specific locations.</w:t>
      </w:r>
      <w:r w:rsidR="00202F45">
        <w:rPr>
          <w:rStyle w:val="Emphasis"/>
          <w:rFonts w:ascii="Arial" w:hAnsi="Arial" w:cs="Arial"/>
          <w:i w:val="0"/>
          <w:iCs w:val="0"/>
          <w:sz w:val="20"/>
          <w:szCs w:val="20"/>
          <w:lang w:val="en"/>
        </w:rPr>
        <w:t xml:space="preserve"> </w:t>
      </w:r>
      <w:r w:rsidR="00FF1E6E">
        <w:rPr>
          <w:rStyle w:val="Emphasis"/>
          <w:rFonts w:ascii="Arial" w:hAnsi="Arial" w:cs="Arial"/>
          <w:i w:val="0"/>
          <w:iCs w:val="0"/>
          <w:sz w:val="20"/>
          <w:szCs w:val="20"/>
          <w:lang w:val="en"/>
        </w:rPr>
        <w:t xml:space="preserve">Carriers </w:t>
      </w:r>
      <w:r w:rsidR="009823DA">
        <w:rPr>
          <w:rStyle w:val="Emphasis"/>
          <w:rFonts w:ascii="Arial" w:hAnsi="Arial" w:cs="Arial"/>
          <w:i w:val="0"/>
          <w:iCs w:val="0"/>
          <w:sz w:val="20"/>
          <w:szCs w:val="20"/>
          <w:lang w:val="en"/>
        </w:rPr>
        <w:t xml:space="preserve">also maintain </w:t>
      </w:r>
      <w:r w:rsidR="00643CB8">
        <w:rPr>
          <w:rStyle w:val="Emphasis"/>
          <w:rFonts w:ascii="Arial" w:hAnsi="Arial" w:cs="Arial"/>
          <w:i w:val="0"/>
          <w:iCs w:val="0"/>
          <w:sz w:val="20"/>
          <w:szCs w:val="20"/>
          <w:lang w:val="en"/>
        </w:rPr>
        <w:t>a website with information of installed base stations</w:t>
      </w:r>
      <w:r w:rsidR="00082EE4">
        <w:rPr>
          <w:rStyle w:val="Emphasis"/>
          <w:rFonts w:ascii="Arial" w:hAnsi="Arial" w:cs="Arial"/>
          <w:i w:val="0"/>
          <w:iCs w:val="0"/>
          <w:sz w:val="20"/>
          <w:szCs w:val="20"/>
          <w:lang w:val="en"/>
        </w:rPr>
        <w:t xml:space="preserve">, including </w:t>
      </w:r>
      <w:r w:rsidR="00E126BF">
        <w:rPr>
          <w:rStyle w:val="Emphasis"/>
          <w:rFonts w:ascii="Arial" w:hAnsi="Arial" w:cs="Arial"/>
          <w:i w:val="0"/>
          <w:iCs w:val="0"/>
          <w:sz w:val="20"/>
          <w:szCs w:val="20"/>
          <w:lang w:val="en"/>
        </w:rPr>
        <w:t>site specific environmental EME report</w:t>
      </w:r>
      <w:r w:rsidR="004D426A">
        <w:rPr>
          <w:rStyle w:val="Emphasis"/>
          <w:rFonts w:ascii="Arial" w:hAnsi="Arial" w:cs="Arial"/>
          <w:i w:val="0"/>
          <w:iCs w:val="0"/>
          <w:sz w:val="20"/>
          <w:szCs w:val="20"/>
          <w:lang w:val="en"/>
        </w:rPr>
        <w:t>s</w:t>
      </w:r>
      <w:r w:rsidR="00202F45">
        <w:rPr>
          <w:rStyle w:val="Emphasis"/>
          <w:rFonts w:ascii="Arial" w:hAnsi="Arial" w:cs="Arial"/>
          <w:i w:val="0"/>
          <w:iCs w:val="0"/>
          <w:sz w:val="20"/>
          <w:szCs w:val="20"/>
          <w:lang w:val="en"/>
        </w:rPr>
        <w:t>.</w:t>
      </w:r>
      <w:r w:rsidR="00202F45" w:rsidRPr="00202F45">
        <w:rPr>
          <w:rStyle w:val="Emphasis"/>
          <w:rFonts w:ascii="Arial" w:hAnsi="Arial" w:cs="Arial"/>
          <w:i w:val="0"/>
          <w:iCs w:val="0"/>
          <w:sz w:val="20"/>
          <w:szCs w:val="20"/>
          <w:lang w:val="en"/>
        </w:rPr>
        <w:t xml:space="preserve"> </w:t>
      </w:r>
      <w:r w:rsidR="00202F45">
        <w:rPr>
          <w:rStyle w:val="Emphasis"/>
          <w:rFonts w:ascii="Arial" w:hAnsi="Arial" w:cs="Arial"/>
          <w:i w:val="0"/>
          <w:iCs w:val="0"/>
          <w:sz w:val="20"/>
          <w:szCs w:val="20"/>
          <w:lang w:val="en"/>
        </w:rPr>
        <w:t>This information is made available</w:t>
      </w:r>
      <w:r w:rsidR="00202F45" w:rsidRPr="00EC4EE5">
        <w:rPr>
          <w:rStyle w:val="Emphasis"/>
          <w:rFonts w:ascii="Arial" w:hAnsi="Arial" w:cs="Arial"/>
          <w:i w:val="0"/>
          <w:iCs w:val="0"/>
          <w:sz w:val="20"/>
          <w:szCs w:val="20"/>
          <w:lang w:val="en"/>
        </w:rPr>
        <w:t xml:space="preserve"> on the </w:t>
      </w:r>
      <w:hyperlink r:id="rId28" w:history="1">
        <w:r w:rsidR="00202F45" w:rsidRPr="00545345">
          <w:rPr>
            <w:rStyle w:val="Hyperlink"/>
            <w:rFonts w:ascii="Arial" w:hAnsi="Arial" w:cs="Arial"/>
            <w:sz w:val="20"/>
            <w:szCs w:val="20"/>
            <w:lang w:val="en"/>
          </w:rPr>
          <w:t>Radio Frequency National Site Archive</w:t>
        </w:r>
      </w:hyperlink>
      <w:r w:rsidR="00202F45" w:rsidRPr="00EC4EE5">
        <w:rPr>
          <w:rStyle w:val="Emphasis"/>
          <w:rFonts w:ascii="Arial" w:hAnsi="Arial" w:cs="Arial"/>
          <w:i w:val="0"/>
          <w:iCs w:val="0"/>
          <w:sz w:val="20"/>
          <w:szCs w:val="20"/>
          <w:lang w:val="en"/>
        </w:rPr>
        <w:t xml:space="preserve"> (RFNSA).</w:t>
      </w:r>
    </w:p>
    <w:p w14:paraId="3A4146AB" w14:textId="49FF0093" w:rsidR="00EC4EE5" w:rsidRPr="00EC4EE5" w:rsidRDefault="00F53CF2" w:rsidP="00EC4EE5">
      <w:pPr>
        <w:pStyle w:val="NormalWeb"/>
        <w:rPr>
          <w:rStyle w:val="Emphasis"/>
          <w:rFonts w:ascii="Arial" w:hAnsi="Arial" w:cs="Arial"/>
          <w:i w:val="0"/>
          <w:iCs w:val="0"/>
          <w:sz w:val="20"/>
          <w:szCs w:val="20"/>
          <w:lang w:val="en"/>
        </w:rPr>
      </w:pPr>
      <w:r>
        <w:rPr>
          <w:rStyle w:val="Emphasis"/>
          <w:rFonts w:ascii="Arial" w:hAnsi="Arial" w:cs="Arial"/>
          <w:i w:val="0"/>
          <w:iCs w:val="0"/>
          <w:sz w:val="20"/>
          <w:szCs w:val="20"/>
          <w:lang w:val="en"/>
        </w:rPr>
        <w:t>Carriers</w:t>
      </w:r>
      <w:r w:rsidR="00EC4EE5" w:rsidRPr="00EC4EE5">
        <w:rPr>
          <w:rStyle w:val="Emphasis"/>
          <w:rFonts w:ascii="Arial" w:hAnsi="Arial" w:cs="Arial"/>
          <w:i w:val="0"/>
          <w:iCs w:val="0"/>
          <w:sz w:val="20"/>
          <w:szCs w:val="20"/>
          <w:lang w:val="en"/>
        </w:rPr>
        <w:t xml:space="preserve"> are also required to comply with transmitter </w:t>
      </w:r>
      <w:proofErr w:type="spellStart"/>
      <w:r w:rsidR="00EC4EE5" w:rsidRPr="00EC4EE5">
        <w:rPr>
          <w:rStyle w:val="Emphasis"/>
          <w:rFonts w:ascii="Arial" w:hAnsi="Arial" w:cs="Arial"/>
          <w:i w:val="0"/>
          <w:iCs w:val="0"/>
          <w:sz w:val="20"/>
          <w:szCs w:val="20"/>
          <w:lang w:val="en"/>
        </w:rPr>
        <w:t>licence</w:t>
      </w:r>
      <w:proofErr w:type="spellEnd"/>
      <w:r w:rsidR="00EC4EE5" w:rsidRPr="00EC4EE5">
        <w:rPr>
          <w:rStyle w:val="Emphasis"/>
          <w:rFonts w:ascii="Arial" w:hAnsi="Arial" w:cs="Arial"/>
          <w:i w:val="0"/>
          <w:iCs w:val="0"/>
          <w:sz w:val="20"/>
          <w:szCs w:val="20"/>
          <w:lang w:val="en"/>
        </w:rPr>
        <w:t xml:space="preserve"> conditions, as </w:t>
      </w:r>
      <w:r w:rsidR="009F6A2E">
        <w:rPr>
          <w:rStyle w:val="Emphasis"/>
          <w:rFonts w:ascii="Arial" w:hAnsi="Arial" w:cs="Arial"/>
          <w:i w:val="0"/>
          <w:iCs w:val="0"/>
          <w:sz w:val="20"/>
          <w:szCs w:val="20"/>
          <w:lang w:val="en"/>
        </w:rPr>
        <w:t xml:space="preserve">they </w:t>
      </w:r>
      <w:r w:rsidR="00EC4EE5" w:rsidRPr="00EC4EE5">
        <w:rPr>
          <w:rStyle w:val="Emphasis"/>
          <w:rFonts w:ascii="Arial" w:hAnsi="Arial" w:cs="Arial"/>
          <w:i w:val="0"/>
          <w:iCs w:val="0"/>
          <w:sz w:val="20"/>
          <w:szCs w:val="20"/>
          <w:lang w:val="en"/>
        </w:rPr>
        <w:t xml:space="preserve">relate to each small cell base station and other types of transmitters, in accordance with the </w:t>
      </w:r>
      <w:hyperlink r:id="rId29" w:history="1">
        <w:r w:rsidR="00EC4EE5" w:rsidRPr="00EC4EE5">
          <w:rPr>
            <w:rStyle w:val="Hyperlink"/>
            <w:rFonts w:ascii="Arial" w:hAnsi="Arial" w:cs="Arial"/>
            <w:sz w:val="20"/>
            <w:szCs w:val="20"/>
            <w:lang w:val="en"/>
          </w:rPr>
          <w:t xml:space="preserve">Radiocommunications </w:t>
        </w:r>
        <w:proofErr w:type="spellStart"/>
        <w:r w:rsidR="00EC4EE5" w:rsidRPr="00EC4EE5">
          <w:rPr>
            <w:rStyle w:val="Hyperlink"/>
            <w:rFonts w:ascii="Arial" w:hAnsi="Arial" w:cs="Arial"/>
            <w:sz w:val="20"/>
            <w:szCs w:val="20"/>
            <w:lang w:val="en"/>
          </w:rPr>
          <w:t>Licence</w:t>
        </w:r>
        <w:proofErr w:type="spellEnd"/>
        <w:r w:rsidR="00EC4EE5" w:rsidRPr="00EC4EE5">
          <w:rPr>
            <w:rStyle w:val="Hyperlink"/>
            <w:rFonts w:ascii="Arial" w:hAnsi="Arial" w:cs="Arial"/>
            <w:sz w:val="20"/>
            <w:szCs w:val="20"/>
            <w:lang w:val="en"/>
          </w:rPr>
          <w:t xml:space="preserve"> Conditions (Apparatus </w:t>
        </w:r>
        <w:proofErr w:type="spellStart"/>
        <w:r w:rsidR="00EC4EE5" w:rsidRPr="00EC4EE5">
          <w:rPr>
            <w:rStyle w:val="Hyperlink"/>
            <w:rFonts w:ascii="Arial" w:hAnsi="Arial" w:cs="Arial"/>
            <w:sz w:val="20"/>
            <w:szCs w:val="20"/>
            <w:lang w:val="en"/>
          </w:rPr>
          <w:t>Licence</w:t>
        </w:r>
        <w:proofErr w:type="spellEnd"/>
        <w:r w:rsidR="00EC4EE5" w:rsidRPr="00EC4EE5">
          <w:rPr>
            <w:rStyle w:val="Hyperlink"/>
            <w:rFonts w:ascii="Arial" w:hAnsi="Arial" w:cs="Arial"/>
            <w:sz w:val="20"/>
            <w:szCs w:val="20"/>
            <w:lang w:val="en"/>
          </w:rPr>
          <w:t>) Determination 2015</w:t>
        </w:r>
      </w:hyperlink>
      <w:r w:rsidR="00EC4EE5" w:rsidRPr="00EC4EE5">
        <w:rPr>
          <w:rStyle w:val="Emphasis"/>
          <w:rFonts w:ascii="Arial" w:hAnsi="Arial" w:cs="Arial"/>
          <w:i w:val="0"/>
          <w:iCs w:val="0"/>
          <w:sz w:val="20"/>
          <w:szCs w:val="20"/>
          <w:lang w:val="en"/>
        </w:rPr>
        <w:t xml:space="preserve"> (the </w:t>
      </w:r>
      <w:proofErr w:type="spellStart"/>
      <w:r w:rsidR="00EC4EE5" w:rsidRPr="00EC4EE5">
        <w:rPr>
          <w:rStyle w:val="Emphasis"/>
          <w:rFonts w:ascii="Arial" w:hAnsi="Arial" w:cs="Arial"/>
          <w:i w:val="0"/>
          <w:iCs w:val="0"/>
          <w:sz w:val="20"/>
          <w:szCs w:val="20"/>
          <w:lang w:val="en"/>
        </w:rPr>
        <w:t>Licence</w:t>
      </w:r>
      <w:proofErr w:type="spellEnd"/>
      <w:r w:rsidR="00EC4EE5" w:rsidRPr="00EC4EE5">
        <w:rPr>
          <w:rStyle w:val="Emphasis"/>
          <w:rFonts w:ascii="Arial" w:hAnsi="Arial" w:cs="Arial"/>
          <w:i w:val="0"/>
          <w:iCs w:val="0"/>
          <w:sz w:val="20"/>
          <w:szCs w:val="20"/>
          <w:lang w:val="en"/>
        </w:rPr>
        <w:t xml:space="preserve"> Determination). In particular, the </w:t>
      </w:r>
      <w:proofErr w:type="spellStart"/>
      <w:r w:rsidR="00EC4EE5" w:rsidRPr="00EC4EE5">
        <w:rPr>
          <w:rStyle w:val="Emphasis"/>
          <w:rFonts w:ascii="Arial" w:hAnsi="Arial" w:cs="Arial"/>
          <w:i w:val="0"/>
          <w:iCs w:val="0"/>
          <w:sz w:val="20"/>
          <w:szCs w:val="20"/>
          <w:lang w:val="en"/>
        </w:rPr>
        <w:t>Licence</w:t>
      </w:r>
      <w:proofErr w:type="spellEnd"/>
      <w:r w:rsidR="00EC4EE5" w:rsidRPr="00EC4EE5">
        <w:rPr>
          <w:rStyle w:val="Emphasis"/>
          <w:rFonts w:ascii="Arial" w:hAnsi="Arial" w:cs="Arial"/>
          <w:i w:val="0"/>
          <w:iCs w:val="0"/>
          <w:sz w:val="20"/>
          <w:szCs w:val="20"/>
          <w:lang w:val="en"/>
        </w:rPr>
        <w:t xml:space="preserve"> Determination requires mobile network operators to maintain records and provide information to the ACMA on request.</w:t>
      </w:r>
    </w:p>
    <w:p w14:paraId="559C9F36" w14:textId="2B0240B3" w:rsidR="00EC4EE5" w:rsidRDefault="004868B3" w:rsidP="00EC4EE5">
      <w:pPr>
        <w:pStyle w:val="NormalWeb"/>
        <w:rPr>
          <w:rFonts w:ascii="Arial" w:hAnsi="Arial" w:cs="Arial"/>
          <w:sz w:val="20"/>
          <w:szCs w:val="20"/>
        </w:rPr>
      </w:pPr>
      <w:r w:rsidRPr="004868B3">
        <w:rPr>
          <w:rFonts w:ascii="Arial" w:hAnsi="Arial" w:cs="Arial"/>
          <w:sz w:val="20"/>
          <w:szCs w:val="20"/>
        </w:rPr>
        <w:t xml:space="preserve">This </w:t>
      </w:r>
      <w:r>
        <w:rPr>
          <w:rFonts w:ascii="Arial" w:hAnsi="Arial" w:cs="Arial"/>
          <w:sz w:val="20"/>
          <w:szCs w:val="20"/>
        </w:rPr>
        <w:t xml:space="preserve">compliance assessment </w:t>
      </w:r>
      <w:r w:rsidRPr="004868B3">
        <w:rPr>
          <w:rFonts w:ascii="Arial" w:hAnsi="Arial" w:cs="Arial"/>
          <w:sz w:val="20"/>
          <w:szCs w:val="20"/>
        </w:rPr>
        <w:t xml:space="preserve">focuses on the EME standards but also draws upon obligations relating to publishing EME reports. </w:t>
      </w:r>
      <w:r>
        <w:rPr>
          <w:rFonts w:ascii="Arial" w:hAnsi="Arial" w:cs="Arial"/>
          <w:sz w:val="20"/>
          <w:szCs w:val="20"/>
        </w:rPr>
        <w:t xml:space="preserve">The </w:t>
      </w:r>
      <w:r w:rsidR="00EC4EE5">
        <w:rPr>
          <w:rFonts w:ascii="Arial" w:hAnsi="Arial" w:cs="Arial"/>
          <w:sz w:val="20"/>
          <w:szCs w:val="20"/>
        </w:rPr>
        <w:t>ACMA utilise</w:t>
      </w:r>
      <w:r w:rsidR="00EA348D">
        <w:rPr>
          <w:rFonts w:ascii="Arial" w:hAnsi="Arial" w:cs="Arial"/>
          <w:sz w:val="20"/>
          <w:szCs w:val="20"/>
        </w:rPr>
        <w:t>d</w:t>
      </w:r>
      <w:r w:rsidR="00EC4EE5">
        <w:rPr>
          <w:rFonts w:ascii="Arial" w:hAnsi="Arial" w:cs="Arial"/>
          <w:sz w:val="20"/>
          <w:szCs w:val="20"/>
        </w:rPr>
        <w:t xml:space="preserve"> information available on the RFNSA and perform</w:t>
      </w:r>
      <w:r w:rsidR="00EA348D">
        <w:rPr>
          <w:rFonts w:ascii="Arial" w:hAnsi="Arial" w:cs="Arial"/>
          <w:sz w:val="20"/>
          <w:szCs w:val="20"/>
        </w:rPr>
        <w:t>ed</w:t>
      </w:r>
      <w:r w:rsidR="00EC4EE5">
        <w:rPr>
          <w:rFonts w:ascii="Arial" w:hAnsi="Arial" w:cs="Arial"/>
          <w:sz w:val="20"/>
          <w:szCs w:val="20"/>
        </w:rPr>
        <w:t xml:space="preserve"> an audit of TPG’s records required to be maintained under the Licence Determination.</w:t>
      </w:r>
      <w:r>
        <w:rPr>
          <w:rFonts w:ascii="Arial" w:hAnsi="Arial" w:cs="Arial"/>
          <w:sz w:val="20"/>
          <w:szCs w:val="20"/>
        </w:rPr>
        <w:t xml:space="preserve"> This assessment </w:t>
      </w:r>
      <w:r w:rsidRPr="004868B3">
        <w:rPr>
          <w:rFonts w:ascii="Arial" w:hAnsi="Arial" w:cs="Arial"/>
          <w:sz w:val="20"/>
          <w:szCs w:val="20"/>
        </w:rPr>
        <w:t xml:space="preserve">does not include compliance with consultation </w:t>
      </w:r>
      <w:r>
        <w:rPr>
          <w:rFonts w:ascii="Arial" w:hAnsi="Arial" w:cs="Arial"/>
          <w:sz w:val="20"/>
          <w:szCs w:val="20"/>
        </w:rPr>
        <w:t xml:space="preserve">and other </w:t>
      </w:r>
      <w:r w:rsidRPr="004868B3">
        <w:rPr>
          <w:rFonts w:ascii="Arial" w:hAnsi="Arial" w:cs="Arial"/>
          <w:sz w:val="20"/>
          <w:szCs w:val="20"/>
        </w:rPr>
        <w:t xml:space="preserve">requirements </w:t>
      </w:r>
      <w:r>
        <w:rPr>
          <w:rFonts w:ascii="Arial" w:hAnsi="Arial" w:cs="Arial"/>
          <w:sz w:val="20"/>
          <w:szCs w:val="20"/>
        </w:rPr>
        <w:t xml:space="preserve">in the Industry Code </w:t>
      </w:r>
      <w:r w:rsidRPr="004868B3">
        <w:rPr>
          <w:rFonts w:ascii="Arial" w:hAnsi="Arial" w:cs="Arial"/>
          <w:sz w:val="20"/>
          <w:szCs w:val="20"/>
        </w:rPr>
        <w:t>(which is covered by a separate compliance priority).</w:t>
      </w:r>
    </w:p>
    <w:p w14:paraId="4E0D3BE0" w14:textId="77777777" w:rsidR="00697E9E" w:rsidRPr="00697E9E" w:rsidRDefault="00697E9E" w:rsidP="00545345">
      <w:pPr>
        <w:pStyle w:val="Heading2"/>
      </w:pPr>
      <w:bookmarkStart w:id="6" w:name="_Toc26358590"/>
      <w:bookmarkStart w:id="7" w:name="_Toc31631075"/>
      <w:r w:rsidRPr="00697E9E">
        <w:t>Methodology</w:t>
      </w:r>
      <w:bookmarkEnd w:id="6"/>
      <w:bookmarkEnd w:id="7"/>
    </w:p>
    <w:p w14:paraId="4C72E7F5" w14:textId="4C535D78" w:rsidR="00C83E9E" w:rsidRPr="00697E9E" w:rsidRDefault="00697E9E" w:rsidP="00545345">
      <w:pPr>
        <w:pStyle w:val="Paragraph"/>
        <w:spacing w:after="80"/>
      </w:pPr>
      <w:r w:rsidRPr="00697E9E">
        <w:t xml:space="preserve">During the first stage of the compliance </w:t>
      </w:r>
      <w:r w:rsidR="00157698">
        <w:t>assessment</w:t>
      </w:r>
      <w:r w:rsidRPr="00697E9E">
        <w:t xml:space="preserve">, the ACMA conducted a </w:t>
      </w:r>
      <w:r w:rsidR="00EA348D">
        <w:t>desk</w:t>
      </w:r>
      <w:r w:rsidRPr="00697E9E">
        <w:t>-based a</w:t>
      </w:r>
      <w:r w:rsidR="00157698">
        <w:t>nalysis</w:t>
      </w:r>
      <w:r w:rsidRPr="00697E9E">
        <w:t xml:space="preserve"> of publicly available information</w:t>
      </w:r>
      <w:r w:rsidRPr="00697E9E">
        <w:rPr>
          <w:iCs/>
          <w:lang w:val="en"/>
        </w:rPr>
        <w:t xml:space="preserve"> on </w:t>
      </w:r>
      <w:r w:rsidRPr="00697E9E">
        <w:t>the RFNSA to</w:t>
      </w:r>
      <w:r w:rsidRPr="00697E9E">
        <w:rPr>
          <w:i/>
        </w:rPr>
        <w:t xml:space="preserve"> </w:t>
      </w:r>
      <w:r w:rsidRPr="00697E9E">
        <w:rPr>
          <w:iCs/>
          <w:lang w:val="en"/>
        </w:rPr>
        <w:t xml:space="preserve">examine </w:t>
      </w:r>
      <w:r w:rsidR="00EA348D">
        <w:rPr>
          <w:iCs/>
          <w:lang w:val="en"/>
        </w:rPr>
        <w:t xml:space="preserve">the </w:t>
      </w:r>
      <w:r w:rsidRPr="00697E9E">
        <w:rPr>
          <w:iCs/>
          <w:lang w:val="en"/>
        </w:rPr>
        <w:t xml:space="preserve">technical and EME aspects of TPG’s EME environmental reports for each of its small cell facilities. This involved an assessment of 967 </w:t>
      </w:r>
      <w:r w:rsidR="00EA348D" w:rsidRPr="00697E9E">
        <w:rPr>
          <w:iCs/>
          <w:lang w:val="en"/>
        </w:rPr>
        <w:t>pro</w:t>
      </w:r>
      <w:r w:rsidR="00EA348D">
        <w:rPr>
          <w:iCs/>
          <w:lang w:val="en"/>
        </w:rPr>
        <w:t>pos</w:t>
      </w:r>
      <w:r w:rsidR="00EA348D" w:rsidRPr="00697E9E">
        <w:rPr>
          <w:iCs/>
          <w:lang w:val="en"/>
        </w:rPr>
        <w:t xml:space="preserve">ed </w:t>
      </w:r>
      <w:r w:rsidRPr="00697E9E">
        <w:rPr>
          <w:iCs/>
          <w:lang w:val="en"/>
        </w:rPr>
        <w:t xml:space="preserve">TPG </w:t>
      </w:r>
      <w:r w:rsidR="00EA348D">
        <w:rPr>
          <w:iCs/>
          <w:lang w:val="en"/>
        </w:rPr>
        <w:t xml:space="preserve">small cell </w:t>
      </w:r>
      <w:r w:rsidRPr="00697E9E">
        <w:rPr>
          <w:iCs/>
          <w:lang w:val="en"/>
        </w:rPr>
        <w:t>sites. Each desk-based assessment captured the following</w:t>
      </w:r>
      <w:r w:rsidR="00157698">
        <w:rPr>
          <w:iCs/>
          <w:lang w:val="en"/>
        </w:rPr>
        <w:t xml:space="preserve"> information</w:t>
      </w:r>
      <w:r w:rsidRPr="00697E9E">
        <w:rPr>
          <w:iCs/>
          <w:lang w:val="en"/>
        </w:rPr>
        <w:t>:</w:t>
      </w:r>
    </w:p>
    <w:p w14:paraId="71617AAB" w14:textId="77777777" w:rsidR="00697E9E" w:rsidRPr="00697E9E" w:rsidRDefault="00697E9E" w:rsidP="00545345">
      <w:pPr>
        <w:pStyle w:val="Bulletlevel1"/>
        <w:rPr>
          <w:lang w:val="en"/>
        </w:rPr>
      </w:pPr>
      <w:r w:rsidRPr="00697E9E">
        <w:rPr>
          <w:lang w:val="en"/>
        </w:rPr>
        <w:t xml:space="preserve">site number </w:t>
      </w:r>
    </w:p>
    <w:p w14:paraId="43ABD327" w14:textId="77777777" w:rsidR="00697E9E" w:rsidRPr="00697E9E" w:rsidRDefault="00697E9E" w:rsidP="00545345">
      <w:pPr>
        <w:pStyle w:val="Bulletlevel1"/>
        <w:rPr>
          <w:lang w:val="en"/>
        </w:rPr>
      </w:pPr>
      <w:r w:rsidRPr="00697E9E">
        <w:rPr>
          <w:lang w:val="en"/>
        </w:rPr>
        <w:t>address</w:t>
      </w:r>
    </w:p>
    <w:p w14:paraId="31D061B3" w14:textId="3AEEC315" w:rsidR="00697E9E" w:rsidRPr="00697E9E" w:rsidRDefault="00697E9E" w:rsidP="00545345">
      <w:pPr>
        <w:pStyle w:val="Bulletlevel1"/>
        <w:rPr>
          <w:lang w:val="en"/>
        </w:rPr>
      </w:pPr>
      <w:r w:rsidRPr="00697E9E">
        <w:rPr>
          <w:lang w:val="en"/>
        </w:rPr>
        <w:t xml:space="preserve">predictive EME modelling that showed the percentage of emissions against the ARPANSA limits </w:t>
      </w:r>
      <w:r w:rsidR="00EA348D">
        <w:rPr>
          <w:lang w:val="en"/>
        </w:rPr>
        <w:t>at</w:t>
      </w:r>
      <w:r w:rsidRPr="00697E9E">
        <w:rPr>
          <w:lang w:val="en"/>
        </w:rPr>
        <w:t xml:space="preserve"> distances between 0 and 500 </w:t>
      </w:r>
      <w:proofErr w:type="spellStart"/>
      <w:r w:rsidRPr="00697E9E">
        <w:rPr>
          <w:lang w:val="en"/>
        </w:rPr>
        <w:t>metres</w:t>
      </w:r>
      <w:proofErr w:type="spellEnd"/>
      <w:r w:rsidRPr="00697E9E">
        <w:rPr>
          <w:lang w:val="en"/>
        </w:rPr>
        <w:t xml:space="preserve">, and the maximum </w:t>
      </w:r>
      <w:r w:rsidR="00EA348D">
        <w:rPr>
          <w:lang w:val="en"/>
        </w:rPr>
        <w:t xml:space="preserve">predicted </w:t>
      </w:r>
      <w:r w:rsidRPr="00697E9E">
        <w:rPr>
          <w:lang w:val="en"/>
        </w:rPr>
        <w:t xml:space="preserve">level </w:t>
      </w:r>
    </w:p>
    <w:p w14:paraId="2240E466" w14:textId="1C0112F8" w:rsidR="00697E9E" w:rsidRDefault="00697E9E" w:rsidP="00545345">
      <w:pPr>
        <w:pStyle w:val="Bulletlevel1last"/>
        <w:rPr>
          <w:lang w:val="en"/>
        </w:rPr>
      </w:pPr>
      <w:r w:rsidRPr="00697E9E">
        <w:rPr>
          <w:lang w:val="en"/>
        </w:rPr>
        <w:t>any place of interest identified in the EME assessment for each small cell facility.</w:t>
      </w:r>
    </w:p>
    <w:p w14:paraId="605026DA" w14:textId="08EA806C" w:rsidR="002A7C63" w:rsidRDefault="002A7C63" w:rsidP="008C0DA5">
      <w:pPr>
        <w:rPr>
          <w:rFonts w:cs="Arial"/>
          <w:szCs w:val="20"/>
        </w:rPr>
      </w:pPr>
      <w:r>
        <w:rPr>
          <w:rFonts w:cs="Arial"/>
          <w:szCs w:val="20"/>
        </w:rPr>
        <w:t xml:space="preserve">Through the desk-based assessment, ACMA compliance staff identified </w:t>
      </w:r>
      <w:proofErr w:type="gramStart"/>
      <w:r>
        <w:rPr>
          <w:rFonts w:cs="Arial"/>
          <w:szCs w:val="20"/>
        </w:rPr>
        <w:t>a number of</w:t>
      </w:r>
      <w:proofErr w:type="gramEnd"/>
      <w:r>
        <w:rPr>
          <w:rFonts w:cs="Arial"/>
          <w:szCs w:val="20"/>
        </w:rPr>
        <w:t xml:space="preserve"> sites for which there was no corresponding environment</w:t>
      </w:r>
      <w:r w:rsidR="00E90F3B">
        <w:rPr>
          <w:rFonts w:cs="Arial"/>
          <w:szCs w:val="20"/>
        </w:rPr>
        <w:t>al</w:t>
      </w:r>
      <w:r>
        <w:rPr>
          <w:rFonts w:cs="Arial"/>
          <w:szCs w:val="20"/>
        </w:rPr>
        <w:t xml:space="preserve"> EME report available on the RFNSA.</w:t>
      </w:r>
      <w:r w:rsidR="00152642">
        <w:rPr>
          <w:rFonts w:cs="Arial"/>
          <w:szCs w:val="20"/>
        </w:rPr>
        <w:t xml:space="preserve"> As none of these sites were operational</w:t>
      </w:r>
      <w:r w:rsidR="002F4996">
        <w:rPr>
          <w:rFonts w:cs="Arial"/>
          <w:szCs w:val="20"/>
        </w:rPr>
        <w:t xml:space="preserve"> at</w:t>
      </w:r>
      <w:r w:rsidR="00F228B6">
        <w:rPr>
          <w:rFonts w:cs="Arial"/>
          <w:szCs w:val="20"/>
        </w:rPr>
        <w:t xml:space="preserve"> the time</w:t>
      </w:r>
      <w:r w:rsidR="00152642">
        <w:rPr>
          <w:rFonts w:cs="Arial"/>
          <w:szCs w:val="20"/>
        </w:rPr>
        <w:t>, th</w:t>
      </w:r>
      <w:r w:rsidR="00FF52AF">
        <w:rPr>
          <w:rFonts w:cs="Arial"/>
          <w:szCs w:val="20"/>
        </w:rPr>
        <w:t xml:space="preserve">e omission of environmental EME reports in relation to some of those sites was not in </w:t>
      </w:r>
      <w:r w:rsidR="00157698">
        <w:rPr>
          <w:rFonts w:cs="Arial"/>
          <w:szCs w:val="20"/>
        </w:rPr>
        <w:t xml:space="preserve">or </w:t>
      </w:r>
      <w:r w:rsidR="00FF52AF">
        <w:rPr>
          <w:rFonts w:cs="Arial"/>
          <w:szCs w:val="20"/>
        </w:rPr>
        <w:t>of itself considered to indicate any non-compliance on TPG’s part. Rather,</w:t>
      </w:r>
      <w:r w:rsidR="00AD0E29">
        <w:rPr>
          <w:rFonts w:cs="Arial"/>
          <w:szCs w:val="20"/>
        </w:rPr>
        <w:t xml:space="preserve"> </w:t>
      </w:r>
      <w:r w:rsidR="00FF52AF">
        <w:rPr>
          <w:rFonts w:cs="Arial"/>
          <w:szCs w:val="20"/>
        </w:rPr>
        <w:t>t</w:t>
      </w:r>
      <w:r>
        <w:rPr>
          <w:rFonts w:cs="Arial"/>
          <w:szCs w:val="20"/>
        </w:rPr>
        <w:t xml:space="preserve">hese observations </w:t>
      </w:r>
      <w:r w:rsidR="00FF52AF">
        <w:rPr>
          <w:rFonts w:cs="Arial"/>
          <w:szCs w:val="20"/>
        </w:rPr>
        <w:t xml:space="preserve">were used to </w:t>
      </w:r>
      <w:r>
        <w:rPr>
          <w:rFonts w:cs="Arial"/>
          <w:szCs w:val="20"/>
        </w:rPr>
        <w:t>inform the second stage of the program,</w:t>
      </w:r>
      <w:r w:rsidR="0090078C">
        <w:rPr>
          <w:rFonts w:cs="Arial"/>
          <w:szCs w:val="20"/>
        </w:rPr>
        <w:t xml:space="preserve"> which was</w:t>
      </w:r>
      <w:r>
        <w:rPr>
          <w:rFonts w:cs="Arial"/>
          <w:szCs w:val="20"/>
        </w:rPr>
        <w:t xml:space="preserve"> an audit of </w:t>
      </w:r>
      <w:r w:rsidR="0090078C">
        <w:rPr>
          <w:rFonts w:cs="Arial"/>
          <w:szCs w:val="20"/>
        </w:rPr>
        <w:t xml:space="preserve">the </w:t>
      </w:r>
      <w:r>
        <w:rPr>
          <w:rFonts w:cs="Arial"/>
          <w:szCs w:val="20"/>
        </w:rPr>
        <w:t xml:space="preserve">compliance records </w:t>
      </w:r>
      <w:r w:rsidR="0090078C">
        <w:rPr>
          <w:rFonts w:cs="Arial"/>
          <w:szCs w:val="20"/>
        </w:rPr>
        <w:t>held by TP</w:t>
      </w:r>
      <w:r w:rsidR="00EF5F9D">
        <w:rPr>
          <w:rFonts w:cs="Arial"/>
          <w:szCs w:val="20"/>
        </w:rPr>
        <w:t>G</w:t>
      </w:r>
      <w:r w:rsidR="0090078C">
        <w:rPr>
          <w:rFonts w:cs="Arial"/>
          <w:szCs w:val="20"/>
        </w:rPr>
        <w:t xml:space="preserve"> </w:t>
      </w:r>
      <w:r>
        <w:rPr>
          <w:rFonts w:cs="Arial"/>
          <w:szCs w:val="20"/>
        </w:rPr>
        <w:t xml:space="preserve">for a sample of </w:t>
      </w:r>
      <w:r w:rsidR="0090078C">
        <w:rPr>
          <w:rFonts w:cs="Arial"/>
          <w:szCs w:val="20"/>
        </w:rPr>
        <w:t xml:space="preserve">its </w:t>
      </w:r>
      <w:r w:rsidR="00FF52AF">
        <w:rPr>
          <w:rFonts w:cs="Arial"/>
          <w:szCs w:val="20"/>
        </w:rPr>
        <w:t xml:space="preserve">projected </w:t>
      </w:r>
      <w:r w:rsidR="0090078C">
        <w:rPr>
          <w:rFonts w:cs="Arial"/>
          <w:szCs w:val="20"/>
        </w:rPr>
        <w:t>smal</w:t>
      </w:r>
      <w:r>
        <w:rPr>
          <w:rFonts w:cs="Arial"/>
          <w:szCs w:val="20"/>
        </w:rPr>
        <w:t>l cell</w:t>
      </w:r>
      <w:r w:rsidR="00FF52AF">
        <w:rPr>
          <w:rFonts w:cs="Arial"/>
          <w:szCs w:val="20"/>
        </w:rPr>
        <w:t xml:space="preserve"> network prior to the January 2019 announcement</w:t>
      </w:r>
      <w:r>
        <w:rPr>
          <w:rFonts w:cs="Arial"/>
          <w:szCs w:val="20"/>
        </w:rPr>
        <w:t xml:space="preserve">.  </w:t>
      </w:r>
    </w:p>
    <w:p w14:paraId="1C456EA4" w14:textId="686D1311" w:rsidR="008C0DA5" w:rsidRDefault="008C0DA5" w:rsidP="00545345">
      <w:pPr>
        <w:spacing w:after="80"/>
        <w:rPr>
          <w:rFonts w:cs="Arial"/>
          <w:szCs w:val="20"/>
        </w:rPr>
      </w:pPr>
      <w:r>
        <w:rPr>
          <w:rFonts w:cs="Arial"/>
          <w:szCs w:val="20"/>
        </w:rPr>
        <w:t xml:space="preserve">During the second stage of the </w:t>
      </w:r>
      <w:r w:rsidR="00157698">
        <w:rPr>
          <w:rFonts w:cs="Arial"/>
          <w:szCs w:val="20"/>
        </w:rPr>
        <w:t>assessmen</w:t>
      </w:r>
      <w:r w:rsidR="00480F9C">
        <w:rPr>
          <w:rFonts w:cs="Arial"/>
          <w:szCs w:val="20"/>
        </w:rPr>
        <w:t>t</w:t>
      </w:r>
      <w:r>
        <w:rPr>
          <w:rFonts w:cs="Arial"/>
          <w:szCs w:val="20"/>
        </w:rPr>
        <w:t xml:space="preserve">, the ACMA audited TPG’s compliance records in accordance with </w:t>
      </w:r>
      <w:r w:rsidR="007576A1">
        <w:rPr>
          <w:rFonts w:cs="Arial"/>
          <w:szCs w:val="20"/>
        </w:rPr>
        <w:t>its</w:t>
      </w:r>
      <w:r>
        <w:rPr>
          <w:rFonts w:cs="Arial"/>
          <w:szCs w:val="20"/>
        </w:rPr>
        <w:t xml:space="preserve"> obligations under the Licence Determination. </w:t>
      </w:r>
      <w:r w:rsidR="002C7F48">
        <w:rPr>
          <w:rFonts w:cs="Arial"/>
          <w:szCs w:val="20"/>
        </w:rPr>
        <w:t xml:space="preserve">TPG provided the ACMA </w:t>
      </w:r>
      <w:r w:rsidR="003F6722">
        <w:rPr>
          <w:rFonts w:cs="Arial"/>
          <w:szCs w:val="20"/>
        </w:rPr>
        <w:t xml:space="preserve">with </w:t>
      </w:r>
      <w:r w:rsidR="002C7F48">
        <w:rPr>
          <w:rFonts w:cs="Arial"/>
          <w:szCs w:val="20"/>
        </w:rPr>
        <w:t xml:space="preserve">a list </w:t>
      </w:r>
      <w:r>
        <w:rPr>
          <w:rFonts w:cs="Arial"/>
          <w:szCs w:val="20"/>
        </w:rPr>
        <w:t xml:space="preserve">of 104 small cells which were built and planned to be the first </w:t>
      </w:r>
      <w:r w:rsidR="007576A1">
        <w:rPr>
          <w:rFonts w:cs="Arial"/>
          <w:szCs w:val="20"/>
        </w:rPr>
        <w:t>commissioned into service</w:t>
      </w:r>
      <w:r>
        <w:rPr>
          <w:rFonts w:cs="Arial"/>
          <w:szCs w:val="20"/>
        </w:rPr>
        <w:t xml:space="preserve"> in 2019. </w:t>
      </w:r>
      <w:r w:rsidR="002C7F48">
        <w:rPr>
          <w:rFonts w:cs="Arial"/>
          <w:szCs w:val="20"/>
        </w:rPr>
        <w:t xml:space="preserve">From this list, </w:t>
      </w:r>
      <w:r>
        <w:rPr>
          <w:rFonts w:cs="Arial"/>
          <w:szCs w:val="20"/>
        </w:rPr>
        <w:t xml:space="preserve">30 small cells were selected </w:t>
      </w:r>
      <w:r w:rsidR="002C7F48">
        <w:rPr>
          <w:rFonts w:cs="Arial"/>
          <w:szCs w:val="20"/>
        </w:rPr>
        <w:t xml:space="preserve">for audit </w:t>
      </w:r>
      <w:r>
        <w:rPr>
          <w:rFonts w:cs="Arial"/>
          <w:szCs w:val="20"/>
        </w:rPr>
        <w:t>based on an assessment of the following criteria:</w:t>
      </w:r>
    </w:p>
    <w:p w14:paraId="2EB238DC" w14:textId="77777777" w:rsidR="008C0DA5" w:rsidRPr="00F71C77" w:rsidRDefault="008C0DA5" w:rsidP="00545345">
      <w:pPr>
        <w:pStyle w:val="Bulletlevel1"/>
      </w:pPr>
      <w:r w:rsidRPr="00F71C77">
        <w:t>the EME environmental reports on the RFNSA</w:t>
      </w:r>
    </w:p>
    <w:p w14:paraId="063C1B01" w14:textId="77777777" w:rsidR="008C0DA5" w:rsidRPr="00F71C77" w:rsidRDefault="008C0DA5" w:rsidP="00545345">
      <w:pPr>
        <w:pStyle w:val="Bulletlevel1"/>
      </w:pPr>
      <w:r w:rsidRPr="00F71C77">
        <w:lastRenderedPageBreak/>
        <w:t>a selection of prime CBD locations</w:t>
      </w:r>
      <w:r>
        <w:t xml:space="preserve">, some having </w:t>
      </w:r>
      <w:r w:rsidRPr="00F71C77">
        <w:t xml:space="preserve">points of interest and others </w:t>
      </w:r>
      <w:r>
        <w:t xml:space="preserve">having </w:t>
      </w:r>
      <w:r w:rsidRPr="00F71C77">
        <w:t>no points of interest</w:t>
      </w:r>
    </w:p>
    <w:p w14:paraId="4AE4A8FD" w14:textId="0DFEB19F" w:rsidR="008C0DA5" w:rsidRPr="00F71C77" w:rsidRDefault="008C0DA5" w:rsidP="00545345">
      <w:pPr>
        <w:pStyle w:val="Bulletlevel1"/>
      </w:pPr>
      <w:r w:rsidRPr="00F71C77">
        <w:t>facilities with the highest predicted EME levels</w:t>
      </w:r>
      <w:r>
        <w:t xml:space="preserve">, </w:t>
      </w:r>
      <w:r w:rsidRPr="00F71C77">
        <w:t>in practice limited to sites with exposure levels greater than 3.97</w:t>
      </w:r>
      <w:r w:rsidR="00FF06EA">
        <w:t xml:space="preserve"> per cent</w:t>
      </w:r>
      <w:r w:rsidRPr="00F71C77">
        <w:t xml:space="preserve"> of the ARPANSA public exposure limit (noting the highest exposure limit was 6.32</w:t>
      </w:r>
      <w:r w:rsidR="00FF06EA">
        <w:t xml:space="preserve"> per cent</w:t>
      </w:r>
      <w:r w:rsidRPr="00F71C77">
        <w:t>, being well below the maximum allowable level)</w:t>
      </w:r>
    </w:p>
    <w:p w14:paraId="4133D185" w14:textId="77777777" w:rsidR="008C0DA5" w:rsidRDefault="008C0DA5" w:rsidP="00545345">
      <w:pPr>
        <w:pStyle w:val="Bulletlevel1last"/>
      </w:pPr>
      <w:r w:rsidRPr="00F71C77">
        <w:t>ensuring a selection of sites across Melbourne and Sydney, wh</w:t>
      </w:r>
      <w:r>
        <w:t xml:space="preserve">ere </w:t>
      </w:r>
      <w:r w:rsidRPr="00F71C77">
        <w:t>the majority of TPG’s projected small cell deployments</w:t>
      </w:r>
      <w:r>
        <w:t xml:space="preserve"> were located</w:t>
      </w:r>
      <w:r w:rsidRPr="00F71C77">
        <w:t xml:space="preserve">. </w:t>
      </w:r>
    </w:p>
    <w:p w14:paraId="704182D7" w14:textId="0C477D01" w:rsidR="008C0DA5" w:rsidRDefault="008C0DA5" w:rsidP="009C2844">
      <w:pPr>
        <w:rPr>
          <w:rFonts w:cs="Arial"/>
          <w:szCs w:val="20"/>
        </w:rPr>
      </w:pPr>
      <w:r>
        <w:rPr>
          <w:rFonts w:cs="Arial"/>
          <w:szCs w:val="20"/>
        </w:rPr>
        <w:t xml:space="preserve">All 30 sites were assessed </w:t>
      </w:r>
      <w:r w:rsidR="00805033">
        <w:rPr>
          <w:rFonts w:cs="Arial"/>
          <w:szCs w:val="20"/>
        </w:rPr>
        <w:t xml:space="preserve">against </w:t>
      </w:r>
      <w:r w:rsidR="009463DF">
        <w:rPr>
          <w:rFonts w:cs="Arial"/>
          <w:szCs w:val="20"/>
        </w:rPr>
        <w:t xml:space="preserve">the </w:t>
      </w:r>
      <w:r w:rsidR="006A38E5">
        <w:rPr>
          <w:rFonts w:cs="Arial"/>
          <w:szCs w:val="20"/>
        </w:rPr>
        <w:t>EME</w:t>
      </w:r>
      <w:r w:rsidR="00636015">
        <w:rPr>
          <w:rFonts w:cs="Arial"/>
          <w:szCs w:val="20"/>
        </w:rPr>
        <w:t xml:space="preserve"> requirements </w:t>
      </w:r>
      <w:r w:rsidR="006A38E5">
        <w:rPr>
          <w:rFonts w:cs="Arial"/>
          <w:szCs w:val="20"/>
        </w:rPr>
        <w:t xml:space="preserve">for the operation of transmitters </w:t>
      </w:r>
      <w:r w:rsidR="00CE47C6">
        <w:rPr>
          <w:rFonts w:cs="Arial"/>
          <w:szCs w:val="20"/>
        </w:rPr>
        <w:t>under Part 3 of the</w:t>
      </w:r>
      <w:r w:rsidR="00C0625F">
        <w:rPr>
          <w:rFonts w:cs="Arial"/>
          <w:szCs w:val="20"/>
        </w:rPr>
        <w:t xml:space="preserve"> </w:t>
      </w:r>
      <w:r w:rsidR="00E8497A">
        <w:rPr>
          <w:rFonts w:cs="Arial"/>
          <w:szCs w:val="20"/>
        </w:rPr>
        <w:t>Licence Determination</w:t>
      </w:r>
      <w:r w:rsidR="00522424">
        <w:rPr>
          <w:rFonts w:cs="Arial"/>
          <w:szCs w:val="20"/>
        </w:rPr>
        <w:t>, to ensure the EME l</w:t>
      </w:r>
      <w:r w:rsidR="00913811">
        <w:rPr>
          <w:rFonts w:cs="Arial"/>
          <w:szCs w:val="20"/>
        </w:rPr>
        <w:t xml:space="preserve">evels </w:t>
      </w:r>
      <w:r w:rsidR="00DA37F5">
        <w:rPr>
          <w:rFonts w:cs="Arial"/>
          <w:szCs w:val="20"/>
        </w:rPr>
        <w:t xml:space="preserve">from operational transmitters do not exceed the reference levels </w:t>
      </w:r>
      <w:r w:rsidR="00EB3E98">
        <w:rPr>
          <w:rFonts w:cs="Arial"/>
          <w:szCs w:val="20"/>
        </w:rPr>
        <w:t xml:space="preserve">for general public exposure </w:t>
      </w:r>
      <w:r w:rsidR="00022075">
        <w:rPr>
          <w:rFonts w:cs="Arial"/>
          <w:szCs w:val="20"/>
        </w:rPr>
        <w:t xml:space="preserve">at places accessible to members of the </w:t>
      </w:r>
      <w:r w:rsidR="00D20B1D">
        <w:rPr>
          <w:rFonts w:cs="Arial"/>
          <w:szCs w:val="20"/>
        </w:rPr>
        <w:t xml:space="preserve">general </w:t>
      </w:r>
      <w:r w:rsidR="00022075">
        <w:rPr>
          <w:rFonts w:cs="Arial"/>
          <w:szCs w:val="20"/>
        </w:rPr>
        <w:t>public</w:t>
      </w:r>
      <w:r w:rsidR="009E0162">
        <w:rPr>
          <w:rFonts w:cs="Arial"/>
          <w:szCs w:val="20"/>
        </w:rPr>
        <w:t xml:space="preserve">. </w:t>
      </w:r>
      <w:r w:rsidR="00B13028">
        <w:rPr>
          <w:rFonts w:cs="Arial"/>
          <w:szCs w:val="20"/>
        </w:rPr>
        <w:t xml:space="preserve">In doing so, </w:t>
      </w:r>
      <w:r>
        <w:rPr>
          <w:rFonts w:cs="Arial"/>
          <w:szCs w:val="20"/>
        </w:rPr>
        <w:t>TPG was required to provide</w:t>
      </w:r>
      <w:r w:rsidR="009E3812">
        <w:rPr>
          <w:rFonts w:cs="Arial"/>
          <w:szCs w:val="20"/>
        </w:rPr>
        <w:t xml:space="preserve"> to the ACMA</w:t>
      </w:r>
      <w:r w:rsidR="002B343D">
        <w:rPr>
          <w:rFonts w:cs="Arial"/>
          <w:szCs w:val="20"/>
        </w:rPr>
        <w:t xml:space="preserve"> its</w:t>
      </w:r>
      <w:r>
        <w:rPr>
          <w:rFonts w:cs="Arial"/>
          <w:szCs w:val="20"/>
        </w:rPr>
        <w:t xml:space="preserve"> compliance </w:t>
      </w:r>
      <w:r w:rsidR="002B343D">
        <w:rPr>
          <w:rFonts w:cs="Arial"/>
          <w:szCs w:val="20"/>
        </w:rPr>
        <w:t xml:space="preserve">records </w:t>
      </w:r>
      <w:r w:rsidR="00C46001">
        <w:rPr>
          <w:rFonts w:cs="Arial"/>
          <w:szCs w:val="20"/>
        </w:rPr>
        <w:t xml:space="preserve">required to be kept under section 15 of the </w:t>
      </w:r>
      <w:r w:rsidR="00DE49A4">
        <w:rPr>
          <w:rFonts w:cs="Arial"/>
          <w:szCs w:val="20"/>
        </w:rPr>
        <w:t>Licence Determination</w:t>
      </w:r>
      <w:r w:rsidR="00C46001">
        <w:rPr>
          <w:rFonts w:cs="Arial"/>
          <w:szCs w:val="20"/>
        </w:rPr>
        <w:t xml:space="preserve"> </w:t>
      </w:r>
      <w:r w:rsidR="00BF766E">
        <w:rPr>
          <w:rFonts w:cs="Arial"/>
          <w:szCs w:val="20"/>
        </w:rPr>
        <w:t>in relation to each of the 30 small cells</w:t>
      </w:r>
      <w:r w:rsidR="00847EA4">
        <w:rPr>
          <w:rFonts w:cs="Arial"/>
          <w:szCs w:val="20"/>
        </w:rPr>
        <w:t>.</w:t>
      </w:r>
    </w:p>
    <w:p w14:paraId="7AC68DF4" w14:textId="0341BD42" w:rsidR="009C2844" w:rsidRDefault="009C2844" w:rsidP="009C2844">
      <w:pPr>
        <w:rPr>
          <w:rFonts w:cs="Arial"/>
          <w:szCs w:val="20"/>
        </w:rPr>
      </w:pPr>
      <w:r>
        <w:rPr>
          <w:rFonts w:cs="Arial"/>
          <w:szCs w:val="20"/>
        </w:rPr>
        <w:t xml:space="preserve">In response to the ACMA’s request for compliance documentation for each of the 30 small cell facilities, TPG sought to rely on its EME reports and information available on the RFNSA. Initially, TPG did not submit a declaration of conformity for the audited sites, </w:t>
      </w:r>
      <w:r w:rsidR="007576A1">
        <w:rPr>
          <w:rFonts w:cs="Arial"/>
          <w:szCs w:val="20"/>
        </w:rPr>
        <w:t xml:space="preserve">noting that </w:t>
      </w:r>
      <w:r>
        <w:rPr>
          <w:rFonts w:cs="Arial"/>
          <w:szCs w:val="20"/>
        </w:rPr>
        <w:t>the Register of Radiocommunications Licences</w:t>
      </w:r>
      <w:r w:rsidR="002F4996">
        <w:rPr>
          <w:rStyle w:val="FootnoteReference"/>
          <w:rFonts w:cs="Arial"/>
          <w:szCs w:val="20"/>
        </w:rPr>
        <w:footnoteReference w:id="2"/>
      </w:r>
      <w:r>
        <w:rPr>
          <w:rFonts w:cs="Arial"/>
          <w:szCs w:val="20"/>
        </w:rPr>
        <w:t xml:space="preserve"> (RRL) did not have up</w:t>
      </w:r>
      <w:r w:rsidR="0034731B">
        <w:rPr>
          <w:rFonts w:cs="Arial"/>
          <w:szCs w:val="20"/>
        </w:rPr>
        <w:t>-</w:t>
      </w:r>
      <w:r>
        <w:rPr>
          <w:rFonts w:cs="Arial"/>
          <w:szCs w:val="20"/>
        </w:rPr>
        <w:t>to</w:t>
      </w:r>
      <w:r w:rsidR="0034731B">
        <w:rPr>
          <w:rFonts w:cs="Arial"/>
          <w:szCs w:val="20"/>
        </w:rPr>
        <w:t>-</w:t>
      </w:r>
      <w:r>
        <w:rPr>
          <w:rFonts w:cs="Arial"/>
          <w:szCs w:val="20"/>
        </w:rPr>
        <w:t xml:space="preserve">date information to enable it to do so. </w:t>
      </w:r>
      <w:r w:rsidR="006E1EA8">
        <w:rPr>
          <w:rFonts w:cs="Arial"/>
          <w:szCs w:val="20"/>
        </w:rPr>
        <w:t xml:space="preserve">TPG </w:t>
      </w:r>
      <w:r w:rsidR="001348D2">
        <w:rPr>
          <w:rFonts w:cs="Arial"/>
          <w:szCs w:val="20"/>
        </w:rPr>
        <w:t xml:space="preserve">proceeded to </w:t>
      </w:r>
      <w:r>
        <w:rPr>
          <w:rFonts w:cs="Arial"/>
          <w:szCs w:val="20"/>
        </w:rPr>
        <w:t>updat</w:t>
      </w:r>
      <w:r w:rsidR="001348D2">
        <w:rPr>
          <w:rFonts w:cs="Arial"/>
          <w:szCs w:val="20"/>
        </w:rPr>
        <w:t>e</w:t>
      </w:r>
      <w:r>
        <w:rPr>
          <w:rFonts w:cs="Arial"/>
          <w:szCs w:val="20"/>
        </w:rPr>
        <w:t xml:space="preserve"> the information on the RRL</w:t>
      </w:r>
      <w:r w:rsidR="00870CA9">
        <w:rPr>
          <w:rFonts w:cs="Arial"/>
          <w:szCs w:val="20"/>
        </w:rPr>
        <w:t xml:space="preserve"> an</w:t>
      </w:r>
      <w:r w:rsidR="00864186">
        <w:rPr>
          <w:rFonts w:cs="Arial"/>
          <w:szCs w:val="20"/>
        </w:rPr>
        <w:t>d</w:t>
      </w:r>
      <w:r w:rsidR="003E7EEB">
        <w:rPr>
          <w:rFonts w:cs="Arial"/>
          <w:szCs w:val="20"/>
        </w:rPr>
        <w:t>,</w:t>
      </w:r>
      <w:r w:rsidR="00864186">
        <w:rPr>
          <w:rFonts w:cs="Arial"/>
          <w:szCs w:val="20"/>
        </w:rPr>
        <w:t xml:space="preserve"> at the ACMA’s further</w:t>
      </w:r>
      <w:r w:rsidR="00870CA9">
        <w:rPr>
          <w:rFonts w:cs="Arial"/>
          <w:szCs w:val="20"/>
        </w:rPr>
        <w:t xml:space="preserve"> request, </w:t>
      </w:r>
      <w:r w:rsidR="00BE0C9C">
        <w:rPr>
          <w:rFonts w:cs="Arial"/>
          <w:szCs w:val="20"/>
        </w:rPr>
        <w:t>then provide</w:t>
      </w:r>
      <w:r w:rsidR="000B73B3">
        <w:rPr>
          <w:rFonts w:cs="Arial"/>
          <w:szCs w:val="20"/>
        </w:rPr>
        <w:t>d</w:t>
      </w:r>
      <w:r w:rsidR="00B0026E">
        <w:rPr>
          <w:rFonts w:cs="Arial"/>
          <w:szCs w:val="20"/>
        </w:rPr>
        <w:t xml:space="preserve"> </w:t>
      </w:r>
      <w:r>
        <w:rPr>
          <w:rFonts w:cs="Arial"/>
          <w:szCs w:val="20"/>
        </w:rPr>
        <w:t xml:space="preserve">the ACMA </w:t>
      </w:r>
      <w:r w:rsidR="003F6722">
        <w:rPr>
          <w:rFonts w:cs="Arial"/>
          <w:szCs w:val="20"/>
        </w:rPr>
        <w:t xml:space="preserve">with </w:t>
      </w:r>
      <w:r>
        <w:rPr>
          <w:rFonts w:cs="Arial"/>
          <w:szCs w:val="20"/>
        </w:rPr>
        <w:t>declarations of conformity</w:t>
      </w:r>
      <w:r w:rsidR="00EC25C7">
        <w:rPr>
          <w:rFonts w:cs="Arial"/>
          <w:szCs w:val="20"/>
        </w:rPr>
        <w:t xml:space="preserve"> for all 30 small cells</w:t>
      </w:r>
      <w:r w:rsidR="00FF52AF">
        <w:rPr>
          <w:rFonts w:cs="Arial"/>
          <w:szCs w:val="20"/>
        </w:rPr>
        <w:t xml:space="preserve"> albeit delayed due to the administrative processes required to update its site information on the RRL</w:t>
      </w:r>
      <w:r w:rsidR="00EC25C7">
        <w:rPr>
          <w:rFonts w:cs="Arial"/>
          <w:szCs w:val="20"/>
        </w:rPr>
        <w:t>.</w:t>
      </w:r>
      <w:r>
        <w:rPr>
          <w:rFonts w:cs="Arial"/>
          <w:szCs w:val="20"/>
        </w:rPr>
        <w:t xml:space="preserve"> </w:t>
      </w:r>
      <w:r w:rsidR="00F228B6">
        <w:rPr>
          <w:rFonts w:cs="Arial"/>
          <w:szCs w:val="20"/>
        </w:rPr>
        <w:t xml:space="preserve">Information on the RRL is </w:t>
      </w:r>
      <w:r w:rsidR="008C46DB">
        <w:rPr>
          <w:rFonts w:cs="Arial"/>
          <w:szCs w:val="20"/>
        </w:rPr>
        <w:t xml:space="preserve">only </w:t>
      </w:r>
      <w:r w:rsidR="00F228B6">
        <w:rPr>
          <w:rFonts w:cs="Arial"/>
          <w:szCs w:val="20"/>
        </w:rPr>
        <w:t xml:space="preserve">required to be updated </w:t>
      </w:r>
      <w:r w:rsidR="008C46DB">
        <w:rPr>
          <w:rFonts w:cs="Arial"/>
          <w:szCs w:val="20"/>
        </w:rPr>
        <w:t>if</w:t>
      </w:r>
      <w:r w:rsidR="00F228B6">
        <w:rPr>
          <w:rFonts w:cs="Arial"/>
          <w:szCs w:val="20"/>
        </w:rPr>
        <w:t xml:space="preserve"> the cell is </w:t>
      </w:r>
      <w:r w:rsidR="008C46DB">
        <w:rPr>
          <w:rFonts w:cs="Arial"/>
          <w:szCs w:val="20"/>
        </w:rPr>
        <w:t xml:space="preserve">going to be </w:t>
      </w:r>
      <w:r w:rsidR="00F228B6">
        <w:rPr>
          <w:rFonts w:cs="Arial"/>
          <w:szCs w:val="20"/>
        </w:rPr>
        <w:t>activated.</w:t>
      </w:r>
    </w:p>
    <w:p w14:paraId="2E40BD42" w14:textId="77777777" w:rsidR="009C2844" w:rsidRPr="00FF06EA" w:rsidRDefault="009C2844" w:rsidP="00FF06EA">
      <w:pPr>
        <w:pStyle w:val="Heading2"/>
      </w:pPr>
      <w:bookmarkStart w:id="8" w:name="_Toc26358591"/>
      <w:bookmarkStart w:id="9" w:name="_Toc31631076"/>
      <w:r w:rsidRPr="00FF06EA">
        <w:t>Audit results</w:t>
      </w:r>
      <w:bookmarkEnd w:id="8"/>
      <w:bookmarkEnd w:id="9"/>
    </w:p>
    <w:p w14:paraId="0113F6DC" w14:textId="2D276927" w:rsidR="00DD107B" w:rsidRDefault="009C2844" w:rsidP="009C2844">
      <w:pPr>
        <w:widowControl w:val="0"/>
      </w:pPr>
      <w:r>
        <w:t xml:space="preserve">Having reviewed the EME reports and other information on the RFNSA, and the declarations of conformity submitted by TPG, </w:t>
      </w:r>
      <w:r w:rsidR="00602E3B">
        <w:t xml:space="preserve">ACMA compliance staff have concluded that </w:t>
      </w:r>
      <w:r>
        <w:t xml:space="preserve">TPG </w:t>
      </w:r>
      <w:r w:rsidR="00602E3B">
        <w:t xml:space="preserve">is </w:t>
      </w:r>
      <w:r>
        <w:t xml:space="preserve">compliant with the </w:t>
      </w:r>
      <w:r w:rsidR="00602E3B">
        <w:t xml:space="preserve">Licence Determination </w:t>
      </w:r>
      <w:r>
        <w:t>for all 30 small cells audited.</w:t>
      </w:r>
      <w:r w:rsidR="00DD107B">
        <w:t xml:space="preserve"> </w:t>
      </w:r>
      <w:r>
        <w:t xml:space="preserve">TPG readily engaged with the ACMA at all stages of the compliance </w:t>
      </w:r>
      <w:r w:rsidR="008C46DB">
        <w:t>assessment</w:t>
      </w:r>
      <w:r>
        <w:t xml:space="preserve"> to ensure compliance.</w:t>
      </w:r>
    </w:p>
    <w:p w14:paraId="6B117650" w14:textId="5DE9B240" w:rsidR="00D56122" w:rsidRDefault="000D7F0A" w:rsidP="009C2844">
      <w:pPr>
        <w:widowControl w:val="0"/>
      </w:pPr>
      <w:r>
        <w:t xml:space="preserve">ACMA compliance staff had planned </w:t>
      </w:r>
      <w:r w:rsidR="00874C01">
        <w:t>to undertake visual inspections of the sites audited</w:t>
      </w:r>
      <w:r w:rsidR="002F4996">
        <w:t xml:space="preserve"> when the small cells were activated. This did not eventuate </w:t>
      </w:r>
      <w:r w:rsidR="0001172A">
        <w:t xml:space="preserve">following the announcement </w:t>
      </w:r>
      <w:r w:rsidR="00CF6F58">
        <w:t xml:space="preserve">in January 2019 </w:t>
      </w:r>
      <w:r w:rsidR="0001172A">
        <w:t>that TP</w:t>
      </w:r>
      <w:r w:rsidR="004F3C98">
        <w:t>G would not be commissioning its small cell network.</w:t>
      </w:r>
    </w:p>
    <w:p w14:paraId="1C5BB4A6" w14:textId="77777777" w:rsidR="009C2844" w:rsidRPr="00FF06EA" w:rsidRDefault="009C2844" w:rsidP="00FF06EA">
      <w:pPr>
        <w:pStyle w:val="Heading2"/>
      </w:pPr>
      <w:bookmarkStart w:id="10" w:name="_Toc31631077"/>
      <w:r w:rsidRPr="00FF06EA">
        <w:t>Feedback from TPG</w:t>
      </w:r>
      <w:bookmarkEnd w:id="10"/>
    </w:p>
    <w:p w14:paraId="052DFA55" w14:textId="69681BC3" w:rsidR="009C2844" w:rsidRDefault="009C2844" w:rsidP="00584C07">
      <w:pPr>
        <w:widowControl w:val="0"/>
        <w:spacing w:after="80"/>
        <w:contextualSpacing/>
        <w:rPr>
          <w:szCs w:val="20"/>
        </w:rPr>
      </w:pPr>
      <w:r w:rsidRPr="005135F2">
        <w:rPr>
          <w:szCs w:val="20"/>
        </w:rPr>
        <w:t xml:space="preserve">TPG </w:t>
      </w:r>
      <w:r>
        <w:rPr>
          <w:szCs w:val="20"/>
        </w:rPr>
        <w:t xml:space="preserve">raised the following </w:t>
      </w:r>
      <w:r w:rsidR="008C46DB">
        <w:rPr>
          <w:szCs w:val="20"/>
        </w:rPr>
        <w:t>issues</w:t>
      </w:r>
      <w:r>
        <w:rPr>
          <w:szCs w:val="20"/>
        </w:rPr>
        <w:t xml:space="preserve"> during the compliance audit:</w:t>
      </w:r>
    </w:p>
    <w:p w14:paraId="4FE940EE" w14:textId="6AD92BC8" w:rsidR="009C2844" w:rsidRPr="00AB5B31" w:rsidRDefault="00FF52AF" w:rsidP="00584C07">
      <w:pPr>
        <w:pStyle w:val="Bulletlevel1"/>
      </w:pPr>
      <w:r>
        <w:t xml:space="preserve">Associated with TPG’s delay in providing its compliance records, </w:t>
      </w:r>
      <w:r w:rsidR="009C2844" w:rsidRPr="00AB5B31">
        <w:t xml:space="preserve">TPG </w:t>
      </w:r>
      <w:r>
        <w:t xml:space="preserve">raised concerns with the </w:t>
      </w:r>
      <w:r w:rsidR="00475F07">
        <w:t>process required to be followed to update site information on the RRL. TPG requested to be able to update existing registration details</w:t>
      </w:r>
      <w:r w:rsidR="00AD0E29">
        <w:t xml:space="preserve"> </w:t>
      </w:r>
      <w:r w:rsidR="00475F07">
        <w:t>but was</w:t>
      </w:r>
      <w:r w:rsidR="008D4D70">
        <w:t xml:space="preserve"> </w:t>
      </w:r>
      <w:r w:rsidR="008356DC">
        <w:t xml:space="preserve">required to submit </w:t>
      </w:r>
      <w:r w:rsidR="004266BD">
        <w:t xml:space="preserve">to the ACMA </w:t>
      </w:r>
      <w:r w:rsidR="008356DC">
        <w:t xml:space="preserve">new registrations </w:t>
      </w:r>
      <w:r w:rsidR="00020A39">
        <w:t xml:space="preserve">for each of the licences </w:t>
      </w:r>
      <w:r w:rsidR="002B4C81">
        <w:t>which required updating on the RRL</w:t>
      </w:r>
      <w:r w:rsidR="00475F07">
        <w:t>. This result</w:t>
      </w:r>
      <w:r w:rsidR="002F4996">
        <w:t>ed</w:t>
      </w:r>
      <w:r w:rsidR="00475F07">
        <w:t xml:space="preserve"> in </w:t>
      </w:r>
      <w:r w:rsidR="008C46DB">
        <w:t>un</w:t>
      </w:r>
      <w:r w:rsidR="002F4996">
        <w:t xml:space="preserve">avoidable </w:t>
      </w:r>
      <w:r w:rsidR="00475F07">
        <w:t>delays in providing its compliance records to the ACMA</w:t>
      </w:r>
      <w:r w:rsidR="002F4996">
        <w:t xml:space="preserve"> as all the sites audited were newly built and TPG may not have had </w:t>
      </w:r>
      <w:r w:rsidR="008C46DB">
        <w:t xml:space="preserve">the </w:t>
      </w:r>
      <w:r w:rsidR="002F4996">
        <w:t xml:space="preserve">opportunity to update the RRL </w:t>
      </w:r>
      <w:r w:rsidR="008C46DB">
        <w:t>in respect to those inactive sites.</w:t>
      </w:r>
      <w:r w:rsidR="009C2844" w:rsidRPr="00AB5B31">
        <w:t xml:space="preserve"> </w:t>
      </w:r>
    </w:p>
    <w:p w14:paraId="426CD130" w14:textId="012FE3CF" w:rsidR="009C2844" w:rsidRPr="00AB5B31" w:rsidRDefault="009C2844" w:rsidP="00584C07">
      <w:pPr>
        <w:pStyle w:val="Bulletlevel1last"/>
      </w:pPr>
      <w:r w:rsidRPr="00AB5B31">
        <w:lastRenderedPageBreak/>
        <w:t xml:space="preserve">TPG </w:t>
      </w:r>
      <w:r w:rsidR="003A4877">
        <w:t xml:space="preserve">sought </w:t>
      </w:r>
      <w:r w:rsidR="000F0878">
        <w:t>clari</w:t>
      </w:r>
      <w:r w:rsidR="00CC551E">
        <w:t>fication</w:t>
      </w:r>
      <w:r w:rsidR="000F0878">
        <w:t xml:space="preserve"> on </w:t>
      </w:r>
      <w:r w:rsidR="00DB3A0A">
        <w:t>t</w:t>
      </w:r>
      <w:r>
        <w:t xml:space="preserve">he </w:t>
      </w:r>
      <w:r w:rsidRPr="00AB5B31">
        <w:t xml:space="preserve">requirements </w:t>
      </w:r>
      <w:r>
        <w:t xml:space="preserve">under the </w:t>
      </w:r>
      <w:r w:rsidR="00DE49A4">
        <w:t xml:space="preserve">Licence Determination </w:t>
      </w:r>
      <w:r w:rsidRPr="00AB5B31">
        <w:t>for endorsement, or signing, of the declaration of conformity</w:t>
      </w:r>
      <w:r w:rsidR="007F6D72">
        <w:t>,</w:t>
      </w:r>
      <w:r w:rsidR="004F51A6">
        <w:t xml:space="preserve"> questioning whether </w:t>
      </w:r>
      <w:r w:rsidR="00F520C2">
        <w:t>carriers could</w:t>
      </w:r>
      <w:r w:rsidR="00F9390F">
        <w:t>,</w:t>
      </w:r>
      <w:r w:rsidR="00E06786">
        <w:t xml:space="preserve"> or should,</w:t>
      </w:r>
      <w:r w:rsidR="00F520C2">
        <w:t xml:space="preserve"> </w:t>
      </w:r>
      <w:r w:rsidR="00DD3A47">
        <w:t>declare conformity for their own site</w:t>
      </w:r>
      <w:r w:rsidRPr="00AB5B31">
        <w:t xml:space="preserve">. </w:t>
      </w:r>
    </w:p>
    <w:p w14:paraId="63A1F966" w14:textId="77777777" w:rsidR="009C2844" w:rsidRPr="00FF06EA" w:rsidRDefault="009C2844" w:rsidP="00FF06EA">
      <w:pPr>
        <w:pStyle w:val="Heading2"/>
      </w:pPr>
      <w:bookmarkStart w:id="11" w:name="_Toc26358593"/>
      <w:bookmarkStart w:id="12" w:name="_Toc31631078"/>
      <w:r w:rsidRPr="00FF06EA">
        <w:t>Conclusions</w:t>
      </w:r>
      <w:bookmarkEnd w:id="11"/>
      <w:bookmarkEnd w:id="12"/>
    </w:p>
    <w:p w14:paraId="57E9AB86" w14:textId="25432171" w:rsidR="009C2844" w:rsidRDefault="009C2844" w:rsidP="009C2844">
      <w:pPr>
        <w:spacing w:after="120" w:line="252" w:lineRule="auto"/>
        <w:rPr>
          <w:rFonts w:cs="Arial"/>
          <w:szCs w:val="20"/>
        </w:rPr>
      </w:pPr>
      <w:r>
        <w:rPr>
          <w:rFonts w:cs="Arial"/>
          <w:szCs w:val="20"/>
        </w:rPr>
        <w:t xml:space="preserve">On completion of the compliance </w:t>
      </w:r>
      <w:r w:rsidR="00841F67">
        <w:rPr>
          <w:rFonts w:cs="Arial"/>
          <w:szCs w:val="20"/>
        </w:rPr>
        <w:t>assessment</w:t>
      </w:r>
      <w:r>
        <w:rPr>
          <w:rFonts w:cs="Arial"/>
          <w:szCs w:val="20"/>
        </w:rPr>
        <w:t>, the ACMA concluded:</w:t>
      </w:r>
    </w:p>
    <w:p w14:paraId="3A661BFB" w14:textId="6CF25D3C" w:rsidR="009C2844" w:rsidRDefault="009C2844" w:rsidP="00D86152">
      <w:pPr>
        <w:pStyle w:val="Bulletlevel1"/>
      </w:pPr>
      <w:r>
        <w:t xml:space="preserve">TPG had </w:t>
      </w:r>
      <w:r w:rsidR="007576A1">
        <w:t>the required</w:t>
      </w:r>
      <w:r>
        <w:t xml:space="preserve"> knowledge of its EME obligations and associated record-keeping requirements under the Licence Determination and the Code</w:t>
      </w:r>
      <w:r w:rsidR="00FF06EA">
        <w:t>.</w:t>
      </w:r>
    </w:p>
    <w:p w14:paraId="7A4C4006" w14:textId="28718427" w:rsidR="009C2844" w:rsidRPr="00333903" w:rsidRDefault="009C2844" w:rsidP="00D86152">
      <w:pPr>
        <w:pStyle w:val="Bulletlevel1"/>
      </w:pPr>
      <w:r w:rsidRPr="00EB79E5">
        <w:t>There were no significan</w:t>
      </w:r>
      <w:r>
        <w:t>t issues of</w:t>
      </w:r>
      <w:r w:rsidRPr="00EB79E5">
        <w:t xml:space="preserve"> non-compliance identified</w:t>
      </w:r>
      <w:r w:rsidR="006D3645">
        <w:t xml:space="preserve">. </w:t>
      </w:r>
      <w:r w:rsidR="008D6549">
        <w:t>T</w:t>
      </w:r>
      <w:r w:rsidR="007B7022">
        <w:t>h</w:t>
      </w:r>
      <w:r w:rsidR="008D6549">
        <w:t xml:space="preserve">e audit </w:t>
      </w:r>
      <w:r w:rsidR="00363AFC">
        <w:t xml:space="preserve">identified </w:t>
      </w:r>
      <w:r w:rsidR="003F6722">
        <w:t xml:space="preserve">some minor </w:t>
      </w:r>
      <w:r w:rsidR="008D6549" w:rsidRPr="00A248AD">
        <w:t>administrative issue</w:t>
      </w:r>
      <w:r w:rsidR="00F025C7">
        <w:t>s</w:t>
      </w:r>
      <w:r w:rsidR="008D6549" w:rsidRPr="00A248AD">
        <w:t xml:space="preserve"> relating to delays in </w:t>
      </w:r>
      <w:r w:rsidR="00714AB1">
        <w:t xml:space="preserve">TPG’s </w:t>
      </w:r>
      <w:r w:rsidR="008D6549" w:rsidRPr="00A248AD">
        <w:t xml:space="preserve">production of compliance </w:t>
      </w:r>
      <w:r w:rsidR="00714AB1">
        <w:t xml:space="preserve">records, </w:t>
      </w:r>
      <w:r w:rsidR="008D6549" w:rsidRPr="00A248AD">
        <w:t xml:space="preserve">due to clarification being required </w:t>
      </w:r>
      <w:r w:rsidR="008D6549">
        <w:t>about</w:t>
      </w:r>
      <w:r w:rsidR="008D6549" w:rsidRPr="00A248AD">
        <w:t xml:space="preserve"> the nature and volume of the records required to be produced</w:t>
      </w:r>
      <w:r w:rsidR="008C46DB">
        <w:t>, and delays associated with updating its site information on the RRL</w:t>
      </w:r>
      <w:r w:rsidR="008D6549" w:rsidRPr="00A248AD">
        <w:t>.</w:t>
      </w:r>
    </w:p>
    <w:p w14:paraId="5A413032" w14:textId="104973F6" w:rsidR="009C2844" w:rsidRPr="0025298F" w:rsidRDefault="009C2844" w:rsidP="00D86152">
      <w:pPr>
        <w:pStyle w:val="Bulletlevel1"/>
      </w:pPr>
      <w:r w:rsidRPr="0025298F">
        <w:t>TPG ha</w:t>
      </w:r>
      <w:r>
        <w:t>d</w:t>
      </w:r>
      <w:r w:rsidRPr="0025298F">
        <w:t xml:space="preserve"> processes in place to ensure that compliance assessments accurately reflect current environmental and site conditions</w:t>
      </w:r>
      <w:r w:rsidR="00FF06EA">
        <w:t>.</w:t>
      </w:r>
    </w:p>
    <w:p w14:paraId="11E2DE7C" w14:textId="15892E06" w:rsidR="009C2844" w:rsidRDefault="009C2844" w:rsidP="00D86152">
      <w:pPr>
        <w:pStyle w:val="Bulletlevel1"/>
      </w:pPr>
      <w:r w:rsidRPr="00AB5B31">
        <w:t>TPG was appropriately addressing the underlying risk of EME exposure from its small cell facilities</w:t>
      </w:r>
      <w:r w:rsidR="00FF06EA">
        <w:t>.</w:t>
      </w:r>
      <w:r w:rsidRPr="00AB5B31">
        <w:t xml:space="preserve"> </w:t>
      </w:r>
    </w:p>
    <w:p w14:paraId="4AB76BFA" w14:textId="6EF55C2F" w:rsidR="008C46DB" w:rsidRPr="00AB5B31" w:rsidRDefault="001150C9" w:rsidP="00D86152">
      <w:pPr>
        <w:pStyle w:val="Bulletlevel1"/>
      </w:pPr>
      <w:r>
        <w:t>T</w:t>
      </w:r>
      <w:r w:rsidR="008C46DB">
        <w:t xml:space="preserve">he </w:t>
      </w:r>
      <w:r>
        <w:t xml:space="preserve">action undertaken by the </w:t>
      </w:r>
      <w:r w:rsidR="008C46DB">
        <w:t>ACMA</w:t>
      </w:r>
      <w:r>
        <w:t xml:space="preserve"> in assessing TPG’s compliance with its record-keeping requirements under the Licence Determination helped to highlight and inform carriers of their obligation</w:t>
      </w:r>
      <w:r w:rsidR="00DE49A4">
        <w:t>s</w:t>
      </w:r>
      <w:r>
        <w:t xml:space="preserve">. </w:t>
      </w:r>
    </w:p>
    <w:p w14:paraId="2F9ED10C" w14:textId="77777777" w:rsidR="009C2844" w:rsidRPr="00697E9E" w:rsidRDefault="009C2844" w:rsidP="009C2844">
      <w:pPr>
        <w:rPr>
          <w:rFonts w:cs="Arial"/>
          <w:szCs w:val="20"/>
        </w:rPr>
      </w:pPr>
    </w:p>
    <w:p w14:paraId="46EE84EB" w14:textId="40F938FF" w:rsidR="00715722" w:rsidRPr="00C35CCE" w:rsidRDefault="00715722" w:rsidP="00EC2B68">
      <w:pPr>
        <w:rPr>
          <w:vanish/>
        </w:rPr>
      </w:pPr>
    </w:p>
    <w:p w14:paraId="476DFEB1" w14:textId="77777777" w:rsidR="005E250B" w:rsidRDefault="005E250B">
      <w:pPr>
        <w:spacing w:after="0" w:line="240" w:lineRule="auto"/>
        <w:rPr>
          <w:rFonts w:cs="Arial"/>
          <w:bCs/>
          <w:color w:val="323232"/>
          <w:kern w:val="32"/>
          <w:sz w:val="53"/>
          <w:szCs w:val="32"/>
        </w:rPr>
      </w:pPr>
      <w:r>
        <w:br w:type="page"/>
      </w:r>
    </w:p>
    <w:p w14:paraId="4E3F13A7" w14:textId="01886E5C" w:rsidR="00240CE9" w:rsidRDefault="00FF3C69" w:rsidP="00FF3C69">
      <w:pPr>
        <w:pStyle w:val="Heading1"/>
      </w:pPr>
      <w:bookmarkStart w:id="13" w:name="_Toc348105641"/>
      <w:bookmarkStart w:id="14" w:name="_Toc16751000"/>
      <w:bookmarkStart w:id="15" w:name="_Toc26358594"/>
      <w:bookmarkStart w:id="16" w:name="_Toc31631079"/>
      <w:r w:rsidRPr="006D46E5">
        <w:lastRenderedPageBreak/>
        <w:t>Appendix A</w:t>
      </w:r>
      <w:bookmarkEnd w:id="13"/>
      <w:bookmarkEnd w:id="14"/>
      <w:bookmarkEnd w:id="15"/>
      <w:bookmarkEnd w:id="16"/>
    </w:p>
    <w:p w14:paraId="638D3C14" w14:textId="77777777" w:rsidR="00AD5244" w:rsidRPr="00FF06EA" w:rsidRDefault="00AD5244" w:rsidP="00FF06EA">
      <w:pPr>
        <w:pStyle w:val="Heading2"/>
      </w:pPr>
      <w:bookmarkStart w:id="17" w:name="_Toc169772"/>
      <w:bookmarkStart w:id="18" w:name="_Toc26358595"/>
      <w:bookmarkStart w:id="19" w:name="_Toc31631080"/>
      <w:r w:rsidRPr="00FF06EA">
        <w:t>Background information about small cells and the EME regulatory arrangements</w:t>
      </w:r>
      <w:bookmarkEnd w:id="17"/>
      <w:bookmarkEnd w:id="18"/>
      <w:bookmarkEnd w:id="19"/>
    </w:p>
    <w:p w14:paraId="3C46A75A" w14:textId="77777777" w:rsidR="00AD5244" w:rsidRPr="00B54432" w:rsidRDefault="00AD5244" w:rsidP="00AD5244">
      <w:pPr>
        <w:pStyle w:val="Heading3"/>
        <w:rPr>
          <w:highlight w:val="yellow"/>
        </w:rPr>
      </w:pPr>
    </w:p>
    <w:p w14:paraId="7D8F0A99" w14:textId="77481666" w:rsidR="00AD5244" w:rsidRPr="00FF06EA" w:rsidRDefault="00AD5244" w:rsidP="00FF06EA">
      <w:pPr>
        <w:pStyle w:val="Heading3"/>
      </w:pPr>
      <w:bookmarkStart w:id="20" w:name="_Toc26358596"/>
      <w:bookmarkStart w:id="21" w:name="_Toc31631081"/>
      <w:bookmarkStart w:id="22" w:name="_Toc169773"/>
      <w:r w:rsidRPr="00FF06EA">
        <w:t>Small cell</w:t>
      </w:r>
      <w:bookmarkEnd w:id="20"/>
      <w:r w:rsidR="005E2553">
        <w:t>s</w:t>
      </w:r>
      <w:bookmarkEnd w:id="21"/>
    </w:p>
    <w:p w14:paraId="34F5BC02" w14:textId="239048E8" w:rsidR="007D4EF1" w:rsidRDefault="007D4EF1" w:rsidP="00FF06EA">
      <w:pPr>
        <w:pStyle w:val="Paragraphbeforelist"/>
        <w:rPr>
          <w:rFonts w:eastAsiaTheme="minorHAnsi"/>
          <w:lang w:val="en" w:eastAsia="en-US"/>
        </w:rPr>
      </w:pPr>
      <w:r w:rsidRPr="003E7DCC">
        <w:rPr>
          <w:rFonts w:eastAsiaTheme="minorHAnsi"/>
          <w:lang w:val="en" w:eastAsia="en-US"/>
        </w:rPr>
        <w:t xml:space="preserve">Small cells are low-powered base stations that </w:t>
      </w:r>
      <w:r>
        <w:rPr>
          <w:rFonts w:eastAsiaTheme="minorHAnsi"/>
          <w:lang w:val="en" w:eastAsia="en-US"/>
        </w:rPr>
        <w:t>provide</w:t>
      </w:r>
      <w:r w:rsidRPr="003E7DCC">
        <w:rPr>
          <w:rFonts w:eastAsiaTheme="minorHAnsi"/>
          <w:lang w:val="en" w:eastAsia="en-US"/>
        </w:rPr>
        <w:t xml:space="preserve"> </w:t>
      </w:r>
      <w:r>
        <w:rPr>
          <w:rFonts w:eastAsiaTheme="minorHAnsi"/>
          <w:lang w:val="en" w:eastAsia="en-US"/>
        </w:rPr>
        <w:t>additional capacity and coverage in</w:t>
      </w:r>
      <w:r w:rsidRPr="003E7DCC">
        <w:rPr>
          <w:rFonts w:eastAsiaTheme="minorHAnsi"/>
          <w:lang w:val="en" w:eastAsia="en-US"/>
        </w:rPr>
        <w:t xml:space="preserve"> highly populated areas</w:t>
      </w:r>
      <w:r>
        <w:rPr>
          <w:rFonts w:eastAsiaTheme="minorHAnsi"/>
          <w:lang w:val="en" w:eastAsia="en-US"/>
        </w:rPr>
        <w:t xml:space="preserve"> and </w:t>
      </w:r>
      <w:r w:rsidR="00625D35">
        <w:rPr>
          <w:rFonts w:eastAsiaTheme="minorHAnsi"/>
          <w:lang w:val="en" w:eastAsia="en-US"/>
        </w:rPr>
        <w:t xml:space="preserve">strengthen local </w:t>
      </w:r>
      <w:r>
        <w:rPr>
          <w:rFonts w:eastAsiaTheme="minorHAnsi"/>
          <w:lang w:val="en" w:eastAsia="en-US"/>
        </w:rPr>
        <w:t>coverage in regional and rural areas</w:t>
      </w:r>
      <w:r w:rsidRPr="003E7DCC">
        <w:rPr>
          <w:rFonts w:eastAsiaTheme="minorHAnsi"/>
          <w:lang w:val="en" w:eastAsia="en-US"/>
        </w:rPr>
        <w:t>. They are generally placed on existing infrastructure</w:t>
      </w:r>
      <w:r w:rsidR="005E2553">
        <w:rPr>
          <w:rFonts w:eastAsiaTheme="minorHAnsi"/>
          <w:lang w:val="en" w:eastAsia="en-US"/>
        </w:rPr>
        <w:t>,</w:t>
      </w:r>
      <w:r w:rsidRPr="003E7DCC">
        <w:rPr>
          <w:rFonts w:eastAsiaTheme="minorHAnsi"/>
          <w:lang w:val="en" w:eastAsia="en-US"/>
        </w:rPr>
        <w:t xml:space="preserve"> such as light and power</w:t>
      </w:r>
      <w:r>
        <w:rPr>
          <w:rFonts w:eastAsiaTheme="minorHAnsi"/>
          <w:lang w:val="en" w:eastAsia="en-US"/>
        </w:rPr>
        <w:t xml:space="preserve"> poles</w:t>
      </w:r>
      <w:r w:rsidRPr="003E7DCC">
        <w:rPr>
          <w:rFonts w:eastAsiaTheme="minorHAnsi"/>
          <w:lang w:val="en" w:eastAsia="en-US"/>
        </w:rPr>
        <w:t xml:space="preserve">. Small cells </w:t>
      </w:r>
      <w:r w:rsidR="00625D35">
        <w:rPr>
          <w:rFonts w:eastAsiaTheme="minorHAnsi"/>
          <w:lang w:val="en" w:eastAsia="en-US"/>
        </w:rPr>
        <w:t xml:space="preserve">are generally used </w:t>
      </w:r>
      <w:r>
        <w:rPr>
          <w:rFonts w:eastAsiaTheme="minorHAnsi"/>
          <w:lang w:val="en" w:eastAsia="en-US"/>
        </w:rPr>
        <w:t>to</w:t>
      </w:r>
      <w:r w:rsidRPr="003E7DCC">
        <w:rPr>
          <w:rFonts w:eastAsiaTheme="minorHAnsi"/>
          <w:lang w:val="en" w:eastAsia="en-US"/>
        </w:rPr>
        <w:t xml:space="preserve"> deliver </w:t>
      </w:r>
      <w:r>
        <w:rPr>
          <w:rFonts w:eastAsiaTheme="minorHAnsi"/>
          <w:lang w:val="en" w:eastAsia="en-US"/>
        </w:rPr>
        <w:t xml:space="preserve">4G </w:t>
      </w:r>
      <w:r w:rsidRPr="003E7DCC">
        <w:rPr>
          <w:rFonts w:eastAsiaTheme="minorHAnsi"/>
          <w:lang w:val="en" w:eastAsia="en-US"/>
        </w:rPr>
        <w:t xml:space="preserve">mobile services and </w:t>
      </w:r>
      <w:r>
        <w:rPr>
          <w:rFonts w:eastAsiaTheme="minorHAnsi"/>
          <w:lang w:val="en" w:eastAsia="en-US"/>
        </w:rPr>
        <w:t>are expected to</w:t>
      </w:r>
      <w:r w:rsidRPr="003E7DCC">
        <w:rPr>
          <w:rFonts w:eastAsiaTheme="minorHAnsi"/>
          <w:lang w:val="en" w:eastAsia="en-US"/>
        </w:rPr>
        <w:t xml:space="preserve"> play an important </w:t>
      </w:r>
      <w:r w:rsidRPr="00EC4EE5">
        <w:rPr>
          <w:rFonts w:eastAsiaTheme="minorHAnsi"/>
          <w:lang w:val="en" w:eastAsia="en-US"/>
        </w:rPr>
        <w:t>role in providing 5G mobile telecommunications.</w:t>
      </w:r>
    </w:p>
    <w:p w14:paraId="407E5AC2" w14:textId="77777777" w:rsidR="002F4996" w:rsidRDefault="002F4996" w:rsidP="00FF06EA">
      <w:pPr>
        <w:pStyle w:val="Paragraphbeforelist"/>
        <w:rPr>
          <w:rFonts w:eastAsiaTheme="minorHAnsi"/>
          <w:lang w:val="en" w:eastAsia="en-US"/>
        </w:rPr>
      </w:pPr>
    </w:p>
    <w:p w14:paraId="58CB38A4" w14:textId="75F6AD91" w:rsidR="002F4996" w:rsidRDefault="002F4996" w:rsidP="00FF06EA">
      <w:pPr>
        <w:pStyle w:val="Paragraphbeforelist"/>
        <w:rPr>
          <w:rFonts w:eastAsiaTheme="minorHAnsi"/>
          <w:lang w:val="en" w:eastAsia="en-US"/>
        </w:rPr>
      </w:pPr>
      <w:r>
        <w:rPr>
          <w:rStyle w:val="Emphasis"/>
          <w:i w:val="0"/>
          <w:iCs w:val="0"/>
          <w:szCs w:val="20"/>
          <w:lang w:val="en"/>
        </w:rPr>
        <w:t>Small cells are ‘</w:t>
      </w:r>
      <w:r w:rsidR="005E2553">
        <w:rPr>
          <w:rStyle w:val="Emphasis"/>
          <w:i w:val="0"/>
          <w:iCs w:val="0"/>
          <w:szCs w:val="20"/>
          <w:lang w:val="en"/>
        </w:rPr>
        <w:t>l</w:t>
      </w:r>
      <w:r w:rsidRPr="00293819">
        <w:rPr>
          <w:rStyle w:val="Emphasis"/>
          <w:i w:val="0"/>
          <w:iCs w:val="0"/>
          <w:szCs w:val="20"/>
          <w:lang w:val="en"/>
        </w:rPr>
        <w:t>ow-</w:t>
      </w:r>
      <w:r w:rsidR="005E2553">
        <w:rPr>
          <w:rStyle w:val="Emphasis"/>
          <w:i w:val="0"/>
          <w:iCs w:val="0"/>
          <w:szCs w:val="20"/>
          <w:lang w:val="en"/>
        </w:rPr>
        <w:t>i</w:t>
      </w:r>
      <w:r w:rsidRPr="00293819">
        <w:rPr>
          <w:rStyle w:val="Emphasis"/>
          <w:i w:val="0"/>
          <w:iCs w:val="0"/>
          <w:szCs w:val="20"/>
          <w:lang w:val="en"/>
        </w:rPr>
        <w:t xml:space="preserve">mpact </w:t>
      </w:r>
      <w:r w:rsidR="005E2553">
        <w:rPr>
          <w:rStyle w:val="Emphasis"/>
          <w:i w:val="0"/>
          <w:iCs w:val="0"/>
          <w:szCs w:val="20"/>
          <w:lang w:val="en"/>
        </w:rPr>
        <w:t>f</w:t>
      </w:r>
      <w:r w:rsidRPr="00293819">
        <w:rPr>
          <w:rStyle w:val="Emphasis"/>
          <w:i w:val="0"/>
          <w:iCs w:val="0"/>
          <w:szCs w:val="20"/>
          <w:lang w:val="en"/>
        </w:rPr>
        <w:t>acilities’</w:t>
      </w:r>
      <w:r>
        <w:rPr>
          <w:rStyle w:val="Emphasis"/>
          <w:i w:val="0"/>
          <w:iCs w:val="0"/>
          <w:szCs w:val="20"/>
          <w:lang w:val="en"/>
        </w:rPr>
        <w:t xml:space="preserve"> within the meaning of the </w:t>
      </w:r>
      <w:hyperlink r:id="rId30" w:history="1">
        <w:r w:rsidRPr="00003F39">
          <w:rPr>
            <w:rStyle w:val="Hyperlink"/>
            <w:szCs w:val="20"/>
            <w:lang w:val="en"/>
          </w:rPr>
          <w:t>Telecommunications (Low-impact Facilities) Determination 2018</w:t>
        </w:r>
      </w:hyperlink>
      <w:r>
        <w:rPr>
          <w:rStyle w:val="Emphasis"/>
          <w:i w:val="0"/>
          <w:iCs w:val="0"/>
          <w:szCs w:val="20"/>
          <w:lang w:val="en"/>
        </w:rPr>
        <w:t xml:space="preserve">. Schedule 3 of the </w:t>
      </w:r>
      <w:r>
        <w:rPr>
          <w:rStyle w:val="Emphasis"/>
          <w:szCs w:val="20"/>
          <w:lang w:val="en"/>
        </w:rPr>
        <w:t xml:space="preserve">Telecommunications Act 1997 </w:t>
      </w:r>
      <w:r>
        <w:rPr>
          <w:rStyle w:val="Emphasis"/>
          <w:i w:val="0"/>
          <w:iCs w:val="0"/>
          <w:szCs w:val="20"/>
          <w:lang w:val="en"/>
        </w:rPr>
        <w:t>(</w:t>
      </w:r>
      <w:proofErr w:type="spellStart"/>
      <w:r>
        <w:rPr>
          <w:rStyle w:val="Emphasis"/>
          <w:i w:val="0"/>
          <w:iCs w:val="0"/>
          <w:szCs w:val="20"/>
          <w:lang w:val="en"/>
        </w:rPr>
        <w:t>Cth</w:t>
      </w:r>
      <w:proofErr w:type="spellEnd"/>
      <w:r>
        <w:rPr>
          <w:rStyle w:val="Emphasis"/>
          <w:i w:val="0"/>
          <w:iCs w:val="0"/>
          <w:szCs w:val="20"/>
          <w:lang w:val="en"/>
        </w:rPr>
        <w:t xml:space="preserve">) exempts carriers installing low-impact facilities from State and Territory laws, including those relating to planning and use of land. </w:t>
      </w:r>
      <w:hyperlink r:id="rId31" w:history="1">
        <w:r w:rsidRPr="009D0BF6">
          <w:rPr>
            <w:rStyle w:val="Hyperlink"/>
            <w:i/>
            <w:iCs/>
            <w:lang w:val="en"/>
          </w:rPr>
          <w:t>C564:2018 Mobile Phone base Station Deployment Code</w:t>
        </w:r>
      </w:hyperlink>
      <w:r>
        <w:rPr>
          <w:rStyle w:val="Emphasis"/>
          <w:i w:val="0"/>
          <w:iCs w:val="0"/>
          <w:szCs w:val="20"/>
          <w:lang w:val="en"/>
        </w:rPr>
        <w:t xml:space="preserve"> requires carriers to, amongst other things, consult with the local community and local council about planned small cell installations. </w:t>
      </w:r>
    </w:p>
    <w:p w14:paraId="70AE7804" w14:textId="77777777" w:rsidR="00FF06EA" w:rsidRPr="00EC4EE5" w:rsidRDefault="00FF06EA" w:rsidP="00D72AF6">
      <w:pPr>
        <w:pStyle w:val="Paragraphbeforelist"/>
        <w:rPr>
          <w:rFonts w:eastAsiaTheme="minorHAnsi"/>
          <w:lang w:val="en" w:eastAsia="en-US"/>
        </w:rPr>
      </w:pPr>
    </w:p>
    <w:p w14:paraId="70BDF348" w14:textId="77777777" w:rsidR="00AD5244" w:rsidRPr="00FF06EA" w:rsidRDefault="00AD5244" w:rsidP="00FF06EA">
      <w:pPr>
        <w:pStyle w:val="Heading3"/>
      </w:pPr>
      <w:bookmarkStart w:id="23" w:name="_Toc26358597"/>
      <w:bookmarkStart w:id="24" w:name="_Toc31631082"/>
      <w:r w:rsidRPr="00FF06EA">
        <w:t>EME compliance regime</w:t>
      </w:r>
      <w:bookmarkEnd w:id="22"/>
      <w:bookmarkEnd w:id="23"/>
      <w:bookmarkEnd w:id="24"/>
    </w:p>
    <w:p w14:paraId="2E88FC6B" w14:textId="77777777" w:rsidR="005E2553" w:rsidRDefault="00AD5244" w:rsidP="00AD5244">
      <w:pPr>
        <w:rPr>
          <w:rFonts w:cs="Arial"/>
          <w:szCs w:val="20"/>
          <w:lang w:val="en"/>
        </w:rPr>
      </w:pPr>
      <w:r w:rsidRPr="00881376">
        <w:rPr>
          <w:rFonts w:cs="Arial"/>
          <w:szCs w:val="20"/>
          <w:lang w:val="en"/>
        </w:rPr>
        <w:t>The </w:t>
      </w:r>
      <w:hyperlink r:id="rId32" w:history="1">
        <w:r w:rsidRPr="00D72AF6">
          <w:rPr>
            <w:rFonts w:cs="Arial"/>
            <w:color w:val="0000FF"/>
            <w:szCs w:val="20"/>
            <w:u w:val="single"/>
            <w:lang w:val="en"/>
          </w:rPr>
          <w:t>Australian Radiation Protection and Nuclear Safety Agency</w:t>
        </w:r>
      </w:hyperlink>
      <w:r w:rsidRPr="00881376">
        <w:rPr>
          <w:rFonts w:cs="Arial"/>
          <w:szCs w:val="20"/>
          <w:lang w:val="en"/>
        </w:rPr>
        <w:t> (ARPANSA) sets the EME human exposure limits in its </w:t>
      </w:r>
      <w:hyperlink r:id="rId33" w:history="1">
        <w:r w:rsidRPr="00D72AF6">
          <w:rPr>
            <w:rFonts w:cs="Arial"/>
            <w:color w:val="0000FF"/>
            <w:szCs w:val="20"/>
            <w:u w:val="single"/>
            <w:lang w:val="en"/>
          </w:rPr>
          <w:t>Radiation Protection Standard for Maximum Exposure Levels to Radiofrequency Fields – 3 kHz to 300 GHz</w:t>
        </w:r>
      </w:hyperlink>
      <w:r w:rsidR="00072D28" w:rsidRPr="00D72AF6">
        <w:rPr>
          <w:rFonts w:cs="Arial"/>
          <w:szCs w:val="20"/>
          <w:lang w:val="en"/>
        </w:rPr>
        <w:t xml:space="preserve"> </w:t>
      </w:r>
      <w:r w:rsidRPr="00881376">
        <w:rPr>
          <w:rFonts w:cs="Arial"/>
          <w:szCs w:val="20"/>
          <w:lang w:val="en"/>
        </w:rPr>
        <w:t xml:space="preserve">(ARPANSA Standard). </w:t>
      </w:r>
    </w:p>
    <w:p w14:paraId="422B13C2" w14:textId="0644409F" w:rsidR="00AD5244" w:rsidRPr="00881376" w:rsidRDefault="00B64662" w:rsidP="00AD5244">
      <w:pPr>
        <w:rPr>
          <w:rFonts w:cs="Arial"/>
          <w:szCs w:val="20"/>
          <w:lang w:val="en"/>
        </w:rPr>
      </w:pPr>
      <w:r>
        <w:rPr>
          <w:rFonts w:cs="Arial"/>
          <w:szCs w:val="20"/>
          <w:lang w:val="en"/>
        </w:rPr>
        <w:t>The</w:t>
      </w:r>
      <w:r w:rsidR="00DE49A4">
        <w:rPr>
          <w:rFonts w:cs="Arial"/>
          <w:szCs w:val="20"/>
          <w:lang w:val="en"/>
        </w:rPr>
        <w:t xml:space="preserve"> ACMA</w:t>
      </w:r>
      <w:r w:rsidR="005E2553">
        <w:rPr>
          <w:rFonts w:cs="Arial"/>
          <w:szCs w:val="20"/>
          <w:lang w:val="en"/>
        </w:rPr>
        <w:t xml:space="preserve">, </w:t>
      </w:r>
      <w:r w:rsidR="00DE49A4">
        <w:rPr>
          <w:rFonts w:cs="Arial"/>
          <w:szCs w:val="20"/>
          <w:lang w:val="en"/>
        </w:rPr>
        <w:t xml:space="preserve">through the </w:t>
      </w:r>
      <w:proofErr w:type="spellStart"/>
      <w:r w:rsidR="00DE49A4">
        <w:rPr>
          <w:rFonts w:cs="Arial"/>
          <w:szCs w:val="20"/>
          <w:lang w:val="en"/>
        </w:rPr>
        <w:t>Licence</w:t>
      </w:r>
      <w:proofErr w:type="spellEnd"/>
      <w:r w:rsidR="00DE49A4">
        <w:rPr>
          <w:rFonts w:cs="Arial"/>
          <w:szCs w:val="20"/>
          <w:lang w:val="en"/>
        </w:rPr>
        <w:t xml:space="preserve"> Determination</w:t>
      </w:r>
      <w:r w:rsidR="005E2553">
        <w:rPr>
          <w:rFonts w:cs="Arial"/>
          <w:szCs w:val="20"/>
          <w:lang w:val="en"/>
        </w:rPr>
        <w:t xml:space="preserve">, </w:t>
      </w:r>
      <w:r w:rsidR="00DE49A4">
        <w:rPr>
          <w:rFonts w:cs="Arial"/>
          <w:szCs w:val="20"/>
          <w:lang w:val="en"/>
        </w:rPr>
        <w:t>set</w:t>
      </w:r>
      <w:r>
        <w:rPr>
          <w:rFonts w:cs="Arial"/>
          <w:szCs w:val="20"/>
          <w:lang w:val="en"/>
        </w:rPr>
        <w:t>s</w:t>
      </w:r>
      <w:r w:rsidR="00DE49A4">
        <w:rPr>
          <w:rFonts w:cs="Arial"/>
          <w:szCs w:val="20"/>
          <w:lang w:val="en"/>
        </w:rPr>
        <w:t xml:space="preserve"> </w:t>
      </w:r>
      <w:proofErr w:type="spellStart"/>
      <w:r>
        <w:rPr>
          <w:rFonts w:cs="Arial"/>
          <w:szCs w:val="20"/>
          <w:lang w:val="en"/>
        </w:rPr>
        <w:t>licence</w:t>
      </w:r>
      <w:proofErr w:type="spellEnd"/>
      <w:r>
        <w:rPr>
          <w:rFonts w:cs="Arial"/>
          <w:szCs w:val="20"/>
          <w:lang w:val="en"/>
        </w:rPr>
        <w:t xml:space="preserve"> conditions with which carriers must comply to ensure EME levels emitted by transmitters do not exceed the levels for general public exposure set in the ARPANSA Standard. </w:t>
      </w:r>
      <w:r w:rsidR="00DE49A4">
        <w:rPr>
          <w:rFonts w:cs="Arial"/>
          <w:szCs w:val="20"/>
          <w:lang w:val="en"/>
        </w:rPr>
        <w:t xml:space="preserve">  </w:t>
      </w:r>
    </w:p>
    <w:p w14:paraId="09A1C409" w14:textId="3E1A8C19" w:rsidR="00AD5244" w:rsidRPr="00881376" w:rsidRDefault="00AD5244" w:rsidP="00D72AF6">
      <w:pPr>
        <w:spacing w:after="80"/>
        <w:rPr>
          <w:rFonts w:cs="Arial"/>
          <w:lang w:val="en"/>
        </w:rPr>
      </w:pPr>
      <w:r w:rsidRPr="00881376">
        <w:rPr>
          <w:rFonts w:cs="Arial"/>
          <w:szCs w:val="20"/>
          <w:lang w:val="en"/>
        </w:rPr>
        <w:t>A licensee must satisfy all condition</w:t>
      </w:r>
      <w:r w:rsidR="00DE49A4">
        <w:rPr>
          <w:rFonts w:cs="Arial"/>
          <w:szCs w:val="20"/>
          <w:lang w:val="en"/>
        </w:rPr>
        <w:t>s</w:t>
      </w:r>
      <w:r w:rsidRPr="00881376">
        <w:rPr>
          <w:rFonts w:cs="Arial"/>
          <w:szCs w:val="20"/>
          <w:lang w:val="en"/>
        </w:rPr>
        <w:t xml:space="preserve"> of the </w:t>
      </w:r>
      <w:proofErr w:type="spellStart"/>
      <w:r w:rsidRPr="00881376">
        <w:rPr>
          <w:rFonts w:cs="Arial"/>
          <w:szCs w:val="20"/>
          <w:lang w:val="en"/>
        </w:rPr>
        <w:t>licence</w:t>
      </w:r>
      <w:proofErr w:type="spellEnd"/>
      <w:r w:rsidRPr="00881376">
        <w:rPr>
          <w:rFonts w:cs="Arial"/>
          <w:szCs w:val="20"/>
          <w:lang w:val="en"/>
        </w:rPr>
        <w:t xml:space="preserve">, including those relating to EME, in accordance with the </w:t>
      </w:r>
      <w:proofErr w:type="spellStart"/>
      <w:r w:rsidRPr="00881376">
        <w:rPr>
          <w:rFonts w:cs="Arial"/>
          <w:szCs w:val="20"/>
          <w:lang w:val="en"/>
        </w:rPr>
        <w:t>L</w:t>
      </w:r>
      <w:r w:rsidR="00DE49A4">
        <w:rPr>
          <w:rFonts w:cs="Arial"/>
          <w:szCs w:val="20"/>
          <w:lang w:val="en"/>
        </w:rPr>
        <w:t>icence</w:t>
      </w:r>
      <w:proofErr w:type="spellEnd"/>
      <w:r w:rsidR="00DE49A4">
        <w:rPr>
          <w:rFonts w:cs="Arial"/>
          <w:szCs w:val="20"/>
          <w:lang w:val="en"/>
        </w:rPr>
        <w:t xml:space="preserve"> Determination</w:t>
      </w:r>
      <w:r w:rsidRPr="00881376">
        <w:rPr>
          <w:rFonts w:cs="Arial"/>
          <w:szCs w:val="20"/>
          <w:lang w:val="en"/>
        </w:rPr>
        <w:t xml:space="preserve">. The </w:t>
      </w:r>
      <w:proofErr w:type="spellStart"/>
      <w:r w:rsidRPr="00881376">
        <w:rPr>
          <w:rFonts w:cs="Arial"/>
          <w:szCs w:val="20"/>
          <w:lang w:val="en"/>
        </w:rPr>
        <w:t>L</w:t>
      </w:r>
      <w:r w:rsidR="00DE49A4">
        <w:rPr>
          <w:rFonts w:cs="Arial"/>
          <w:szCs w:val="20"/>
          <w:lang w:val="en"/>
        </w:rPr>
        <w:t>icence</w:t>
      </w:r>
      <w:proofErr w:type="spellEnd"/>
      <w:r w:rsidR="00DE49A4">
        <w:rPr>
          <w:rFonts w:cs="Arial"/>
          <w:szCs w:val="20"/>
          <w:lang w:val="en"/>
        </w:rPr>
        <w:t xml:space="preserve"> Determination</w:t>
      </w:r>
      <w:r w:rsidRPr="00881376">
        <w:rPr>
          <w:rFonts w:cs="Arial"/>
          <w:szCs w:val="20"/>
          <w:lang w:val="en"/>
        </w:rPr>
        <w:t xml:space="preserve"> stipulates that the level of emissions from a transmitter must not exceed the limits for the general public exposure category of the ARPANSA Standard at places accessible to a member of the general public. Examples of places accessible to a member of </w:t>
      </w:r>
      <w:r w:rsidRPr="00881376">
        <w:rPr>
          <w:rFonts w:cs="Arial"/>
          <w:lang w:val="en"/>
        </w:rPr>
        <w:t>the general public include:</w:t>
      </w:r>
    </w:p>
    <w:p w14:paraId="1DEA367C" w14:textId="5E5CD8E6" w:rsidR="00AD5244" w:rsidRPr="00881376" w:rsidRDefault="00D64DEB" w:rsidP="00D72AF6">
      <w:pPr>
        <w:pStyle w:val="Bulletlevel1"/>
        <w:rPr>
          <w:lang w:val="en"/>
        </w:rPr>
      </w:pPr>
      <w:r>
        <w:rPr>
          <w:lang w:val="en"/>
        </w:rPr>
        <w:t>p</w:t>
      </w:r>
      <w:r w:rsidR="00AD5244" w:rsidRPr="00881376">
        <w:rPr>
          <w:lang w:val="en"/>
        </w:rPr>
        <w:t>rivate residence</w:t>
      </w:r>
    </w:p>
    <w:p w14:paraId="3D38E2C7" w14:textId="2AF9C619" w:rsidR="00AD5244" w:rsidRPr="00881376" w:rsidRDefault="00D64DEB" w:rsidP="00D72AF6">
      <w:pPr>
        <w:pStyle w:val="Bulletlevel1"/>
        <w:rPr>
          <w:lang w:val="en"/>
        </w:rPr>
      </w:pPr>
      <w:r>
        <w:rPr>
          <w:lang w:val="en"/>
        </w:rPr>
        <w:t>p</w:t>
      </w:r>
      <w:r w:rsidR="00AD5244" w:rsidRPr="00881376">
        <w:rPr>
          <w:lang w:val="en"/>
        </w:rPr>
        <w:t xml:space="preserve">ublic parks </w:t>
      </w:r>
    </w:p>
    <w:p w14:paraId="4A60BAD1" w14:textId="70CB5162" w:rsidR="00AD5244" w:rsidRPr="00881376" w:rsidRDefault="00D64DEB" w:rsidP="00D72AF6">
      <w:pPr>
        <w:pStyle w:val="Bulletlevel1last"/>
        <w:rPr>
          <w:lang w:val="en"/>
        </w:rPr>
      </w:pPr>
      <w:r>
        <w:rPr>
          <w:lang w:val="en"/>
        </w:rPr>
        <w:t>r</w:t>
      </w:r>
      <w:r w:rsidR="00AD5244" w:rsidRPr="00881376">
        <w:rPr>
          <w:lang w:val="en"/>
        </w:rPr>
        <w:t>ooftops with a transmitter antenna located on the rooftop, where access is not restricted by the site manager or operator</w:t>
      </w:r>
      <w:r>
        <w:rPr>
          <w:lang w:val="en"/>
        </w:rPr>
        <w:t>.</w:t>
      </w:r>
    </w:p>
    <w:p w14:paraId="69FE804F" w14:textId="006E01C6" w:rsidR="00AD5244" w:rsidRPr="00AD5244" w:rsidRDefault="00946013" w:rsidP="00AD5244">
      <w:hyperlink r:id="rId34" w:history="1">
        <w:r w:rsidR="00AD5244" w:rsidRPr="009D0BF6">
          <w:rPr>
            <w:rStyle w:val="Hyperlink"/>
            <w:rFonts w:cs="Arial"/>
            <w:i/>
            <w:iCs/>
            <w:lang w:val="en"/>
          </w:rPr>
          <w:t xml:space="preserve">C564:2018 Mobile Phone base Station Deployment </w:t>
        </w:r>
        <w:r w:rsidR="007D4EF1" w:rsidRPr="009D0BF6">
          <w:rPr>
            <w:rStyle w:val="Hyperlink"/>
            <w:rFonts w:cs="Arial"/>
            <w:i/>
            <w:iCs/>
            <w:lang w:val="en"/>
          </w:rPr>
          <w:t>Code</w:t>
        </w:r>
      </w:hyperlink>
      <w:r w:rsidR="007D4EF1" w:rsidRPr="00881376">
        <w:rPr>
          <w:rFonts w:cs="Arial"/>
          <w:lang w:val="en"/>
        </w:rPr>
        <w:t xml:space="preserve"> </w:t>
      </w:r>
      <w:r w:rsidR="00AD5244" w:rsidRPr="00881376">
        <w:rPr>
          <w:rFonts w:cs="Arial"/>
          <w:lang w:val="en"/>
        </w:rPr>
        <w:t>places obligation</w:t>
      </w:r>
      <w:r w:rsidR="007D4EF1" w:rsidRPr="00881376">
        <w:rPr>
          <w:rFonts w:cs="Arial"/>
          <w:lang w:val="en"/>
        </w:rPr>
        <w:t>s</w:t>
      </w:r>
      <w:r w:rsidR="00AD5244" w:rsidRPr="00881376">
        <w:rPr>
          <w:rFonts w:cs="Arial"/>
          <w:lang w:val="en"/>
        </w:rPr>
        <w:t xml:space="preserve"> on carriers to make site EME assessments in accordance with the ARPANSA prediction methodology if they propose to design mobile phone radiocommunication site</w:t>
      </w:r>
      <w:r w:rsidR="007D4EF1" w:rsidRPr="00881376">
        <w:rPr>
          <w:rFonts w:cs="Arial"/>
          <w:lang w:val="en"/>
        </w:rPr>
        <w:t>s</w:t>
      </w:r>
      <w:r w:rsidR="00AD5244" w:rsidRPr="00881376">
        <w:rPr>
          <w:rFonts w:cs="Arial"/>
          <w:lang w:val="en"/>
        </w:rPr>
        <w:t>.</w:t>
      </w:r>
      <w:r w:rsidR="007D4EF1" w:rsidRPr="00881376">
        <w:rPr>
          <w:rFonts w:cs="Arial"/>
          <w:lang w:val="en"/>
        </w:rPr>
        <w:t xml:space="preserve"> </w:t>
      </w:r>
      <w:r w:rsidR="001E6405">
        <w:rPr>
          <w:rFonts w:cs="Arial"/>
          <w:lang w:val="en"/>
        </w:rPr>
        <w:t>Carriers</w:t>
      </w:r>
      <w:r w:rsidR="007D4EF1" w:rsidRPr="00881376">
        <w:rPr>
          <w:rFonts w:cs="Arial"/>
          <w:lang w:val="en"/>
        </w:rPr>
        <w:t xml:space="preserve"> </w:t>
      </w:r>
      <w:r w:rsidR="001D64D1">
        <w:rPr>
          <w:rFonts w:cs="Arial"/>
          <w:lang w:val="en"/>
        </w:rPr>
        <w:t xml:space="preserve">maintain </w:t>
      </w:r>
      <w:r w:rsidR="003E383E">
        <w:rPr>
          <w:rFonts w:cs="Arial"/>
          <w:lang w:val="en"/>
        </w:rPr>
        <w:t xml:space="preserve">a website with information of installed base stations, including </w:t>
      </w:r>
      <w:r w:rsidR="005D1905">
        <w:rPr>
          <w:rFonts w:cs="Arial"/>
          <w:lang w:val="en"/>
        </w:rPr>
        <w:t xml:space="preserve">environmental </w:t>
      </w:r>
      <w:r w:rsidR="00B64662">
        <w:rPr>
          <w:rFonts w:cs="Arial"/>
          <w:lang w:val="en"/>
        </w:rPr>
        <w:t>EME report</w:t>
      </w:r>
      <w:r w:rsidR="005D1905">
        <w:rPr>
          <w:rFonts w:cs="Arial"/>
          <w:lang w:val="en"/>
        </w:rPr>
        <w:t>s</w:t>
      </w:r>
      <w:r w:rsidR="00B64662">
        <w:rPr>
          <w:rFonts w:cs="Arial"/>
          <w:lang w:val="en"/>
        </w:rPr>
        <w:t xml:space="preserve"> </w:t>
      </w:r>
      <w:r w:rsidR="005D1905">
        <w:rPr>
          <w:rFonts w:cs="Arial"/>
          <w:lang w:val="en"/>
        </w:rPr>
        <w:t xml:space="preserve">in a format determined by </w:t>
      </w:r>
      <w:r w:rsidR="003C118D">
        <w:rPr>
          <w:rFonts w:cs="Arial"/>
          <w:lang w:val="en"/>
        </w:rPr>
        <w:t xml:space="preserve">ARPANSA that provides a summary of the levels of EME around the mobile phone base station. </w:t>
      </w:r>
    </w:p>
    <w:sectPr w:rsidR="00AD5244" w:rsidRPr="00AD5244" w:rsidSect="00C77380">
      <w:headerReference w:type="even" r:id="rId35"/>
      <w:headerReference w:type="default" r:id="rId36"/>
      <w:footerReference w:type="even" r:id="rId37"/>
      <w:footerReference w:type="default" r:id="rId3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4328E0" w14:textId="77777777" w:rsidR="00443694" w:rsidRDefault="00443694">
      <w:r>
        <w:separator/>
      </w:r>
    </w:p>
  </w:endnote>
  <w:endnote w:type="continuationSeparator" w:id="0">
    <w:p w14:paraId="77F42F39" w14:textId="77777777" w:rsidR="00443694" w:rsidRDefault="00443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96D819" w14:textId="77777777" w:rsidR="005E250B" w:rsidRDefault="005E250B" w:rsidP="005E250B">
    <w:pPr>
      <w:pStyle w:val="Footer"/>
      <w:jc w:val="right"/>
    </w:pPr>
    <w:r w:rsidRPr="005E250B">
      <w:rPr>
        <w:noProof/>
        <w:vertAlign w:val="subscript"/>
      </w:rPr>
      <w:drawing>
        <wp:inline distT="0" distB="0" distL="0" distR="0" wp14:anchorId="23226C06" wp14:editId="7A96F54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A85977"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4663ED"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97E24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AD1076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D59F0"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E00304A"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ED3E77"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9823D64"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2282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6CB275A"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3993AC"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FE2EB27"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C47753" w14:textId="77777777" w:rsidR="00443694" w:rsidRDefault="00443694">
      <w:r>
        <w:separator/>
      </w:r>
    </w:p>
  </w:footnote>
  <w:footnote w:type="continuationSeparator" w:id="0">
    <w:p w14:paraId="627B64D5" w14:textId="77777777" w:rsidR="00443694" w:rsidRDefault="00443694">
      <w:r>
        <w:continuationSeparator/>
      </w:r>
    </w:p>
  </w:footnote>
  <w:footnote w:id="1">
    <w:p w14:paraId="10619451" w14:textId="6467BA09" w:rsidR="005846E8" w:rsidRDefault="005846E8">
      <w:pPr>
        <w:pStyle w:val="FootnoteText"/>
      </w:pPr>
      <w:r>
        <w:rPr>
          <w:rStyle w:val="FootnoteReference"/>
        </w:rPr>
        <w:footnoteRef/>
      </w:r>
      <w:r>
        <w:t xml:space="preserve"> Following commencement of the compliance program, on 29 January 2019 TPG announced the cessation of its mobile network, predominantly small cells, in Australia.</w:t>
      </w:r>
      <w:r w:rsidR="002F4996">
        <w:t xml:space="preserve"> The compliance program continued as a precautionary measure as it was unclear at that time whether the announcement extended to small cells which had already been built</w:t>
      </w:r>
      <w:r w:rsidR="001638D9">
        <w:t xml:space="preserve"> and were ready for activation.</w:t>
      </w:r>
    </w:p>
  </w:footnote>
  <w:footnote w:id="2">
    <w:p w14:paraId="7A3FB405" w14:textId="4C7DEDFB" w:rsidR="002F4996" w:rsidRDefault="002F4996">
      <w:pPr>
        <w:pStyle w:val="FootnoteText"/>
      </w:pPr>
      <w:r>
        <w:rPr>
          <w:rStyle w:val="FootnoteReference"/>
        </w:rPr>
        <w:footnoteRef/>
      </w:r>
      <w:r>
        <w:t xml:space="preserve"> The Register of Radiocommunications Licences contains the details of all licensed radiocommunications services in Australia.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AA3B5" w14:textId="77777777" w:rsidR="00C053A1" w:rsidRPr="00A5474E" w:rsidRDefault="00C053A1" w:rsidP="00A5474E">
    <w:pPr>
      <w:pStyle w:val="Header"/>
    </w:pPr>
    <w:r>
      <w:rPr>
        <w:noProof/>
      </w:rPr>
      <w:drawing>
        <wp:inline distT="0" distB="0" distL="0" distR="0" wp14:anchorId="38A86BFB" wp14:editId="30435BB8">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14746F"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27D1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E2C7DA"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AEB84AD" w14:textId="77777777" w:rsidTr="00EB78E1">
      <w:trPr>
        <w:trHeight w:hRule="exact" w:val="988"/>
      </w:trPr>
      <w:tc>
        <w:tcPr>
          <w:tcW w:w="7678" w:type="dxa"/>
          <w:shd w:val="clear" w:color="auto" w:fill="auto"/>
        </w:tcPr>
        <w:p w14:paraId="3CE07B6B" w14:textId="77777777" w:rsidR="00971914" w:rsidRDefault="00971914" w:rsidP="00971914">
          <w:pPr>
            <w:pStyle w:val="Header"/>
          </w:pPr>
        </w:p>
      </w:tc>
    </w:tr>
    <w:tr w:rsidR="00971914" w14:paraId="244B59CD" w14:textId="77777777" w:rsidTr="00EB78E1">
      <w:tc>
        <w:tcPr>
          <w:tcW w:w="7678" w:type="dxa"/>
          <w:shd w:val="clear" w:color="auto" w:fill="auto"/>
        </w:tcPr>
        <w:p w14:paraId="084D9B4C" w14:textId="77777777" w:rsidR="00971914" w:rsidRDefault="00971914" w:rsidP="00971914">
          <w:pPr>
            <w:pStyle w:val="GridTable31"/>
          </w:pPr>
          <w:r>
            <w:t xml:space="preserve">Contents </w:t>
          </w:r>
          <w:r w:rsidRPr="00915B1C">
            <w:rPr>
              <w:b w:val="0"/>
              <w:spacing w:val="0"/>
              <w:sz w:val="28"/>
              <w:szCs w:val="28"/>
            </w:rPr>
            <w:t>(Continued)</w:t>
          </w:r>
        </w:p>
      </w:tc>
    </w:tr>
    <w:tr w:rsidR="00971914" w14:paraId="72B41C13" w14:textId="77777777" w:rsidTr="00EB78E1">
      <w:trPr>
        <w:trHeight w:val="1220"/>
      </w:trPr>
      <w:tc>
        <w:tcPr>
          <w:tcW w:w="7678" w:type="dxa"/>
          <w:shd w:val="clear" w:color="auto" w:fill="auto"/>
        </w:tcPr>
        <w:p w14:paraId="79C0C0DF" w14:textId="77777777" w:rsidR="00971914" w:rsidRDefault="00971914" w:rsidP="00971914"/>
      </w:tc>
    </w:tr>
  </w:tbl>
  <w:p w14:paraId="02A608DB"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3D79829" w14:textId="77777777" w:rsidTr="00EB78E1">
      <w:trPr>
        <w:trHeight w:hRule="exact" w:val="988"/>
      </w:trPr>
      <w:tc>
        <w:tcPr>
          <w:tcW w:w="7678" w:type="dxa"/>
          <w:shd w:val="clear" w:color="auto" w:fill="auto"/>
        </w:tcPr>
        <w:p w14:paraId="5BDC0C7A" w14:textId="77777777" w:rsidR="00971914" w:rsidRDefault="00971914" w:rsidP="00971914">
          <w:pPr>
            <w:pStyle w:val="Header"/>
          </w:pPr>
        </w:p>
      </w:tc>
    </w:tr>
    <w:tr w:rsidR="00971914" w14:paraId="7933681F" w14:textId="77777777" w:rsidTr="00EB78E1">
      <w:tc>
        <w:tcPr>
          <w:tcW w:w="7678" w:type="dxa"/>
          <w:shd w:val="clear" w:color="auto" w:fill="auto"/>
        </w:tcPr>
        <w:p w14:paraId="20F52FB1" w14:textId="77777777" w:rsidR="00971914" w:rsidRDefault="00971914" w:rsidP="00971914">
          <w:pPr>
            <w:pStyle w:val="GridTable31"/>
          </w:pPr>
          <w:r>
            <w:t xml:space="preserve">Contents </w:t>
          </w:r>
          <w:r w:rsidRPr="00915B1C">
            <w:rPr>
              <w:b w:val="0"/>
              <w:spacing w:val="0"/>
              <w:sz w:val="28"/>
              <w:szCs w:val="28"/>
            </w:rPr>
            <w:t>(Continued)</w:t>
          </w:r>
        </w:p>
      </w:tc>
    </w:tr>
    <w:tr w:rsidR="00971914" w14:paraId="44A8BA49" w14:textId="77777777" w:rsidTr="00EB78E1">
      <w:trPr>
        <w:trHeight w:val="1220"/>
      </w:trPr>
      <w:tc>
        <w:tcPr>
          <w:tcW w:w="7678" w:type="dxa"/>
          <w:shd w:val="clear" w:color="auto" w:fill="auto"/>
        </w:tcPr>
        <w:p w14:paraId="442E70C3" w14:textId="77777777" w:rsidR="00971914" w:rsidRDefault="00971914" w:rsidP="00971914"/>
      </w:tc>
    </w:tr>
  </w:tbl>
  <w:p w14:paraId="17FF6D5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46BDF"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9425B"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423634E"/>
    <w:multiLevelType w:val="hybridMultilevel"/>
    <w:tmpl w:val="9490013A"/>
    <w:lvl w:ilvl="0" w:tplc="CDBE741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AE7148E"/>
    <w:multiLevelType w:val="hybridMultilevel"/>
    <w:tmpl w:val="F5185030"/>
    <w:lvl w:ilvl="0" w:tplc="423EC700">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48216008"/>
    <w:multiLevelType w:val="hybridMultilevel"/>
    <w:tmpl w:val="4F1E871A"/>
    <w:lvl w:ilvl="0" w:tplc="9754ED0A">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1"/>
  </w:num>
  <w:num w:numId="7">
    <w:abstractNumId w:val="9"/>
  </w:num>
  <w:num w:numId="8">
    <w:abstractNumId w:val="10"/>
  </w:num>
  <w:num w:numId="9">
    <w:abstractNumId w:val="12"/>
  </w:num>
  <w:num w:numId="10">
    <w:abstractNumId w:val="5"/>
  </w:num>
  <w:num w:numId="11">
    <w:abstractNumId w:val="2"/>
    <w:lvlOverride w:ilvl="0">
      <w:startOverride w:val="1"/>
    </w:lvlOverride>
  </w:num>
  <w:num w:numId="12">
    <w:abstractNumId w:val="8"/>
  </w:num>
  <w:num w:numId="13">
    <w:abstractNumId w:val="6"/>
  </w:num>
  <w:num w:numId="14">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0F6"/>
    <w:rsid w:val="0000395F"/>
    <w:rsid w:val="00003F39"/>
    <w:rsid w:val="00010667"/>
    <w:rsid w:val="0001172A"/>
    <w:rsid w:val="000129D5"/>
    <w:rsid w:val="00015AE7"/>
    <w:rsid w:val="00016E21"/>
    <w:rsid w:val="0001719C"/>
    <w:rsid w:val="00020A39"/>
    <w:rsid w:val="00022075"/>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2D28"/>
    <w:rsid w:val="000732CF"/>
    <w:rsid w:val="00075B96"/>
    <w:rsid w:val="0008196A"/>
    <w:rsid w:val="00082EE4"/>
    <w:rsid w:val="000915ED"/>
    <w:rsid w:val="0009209D"/>
    <w:rsid w:val="0009463C"/>
    <w:rsid w:val="000969BD"/>
    <w:rsid w:val="000969BF"/>
    <w:rsid w:val="000A0C22"/>
    <w:rsid w:val="000A1400"/>
    <w:rsid w:val="000A3C43"/>
    <w:rsid w:val="000A4A51"/>
    <w:rsid w:val="000A5D2B"/>
    <w:rsid w:val="000B4664"/>
    <w:rsid w:val="000B5DE3"/>
    <w:rsid w:val="000B73B3"/>
    <w:rsid w:val="000C0A57"/>
    <w:rsid w:val="000C230C"/>
    <w:rsid w:val="000C6AB4"/>
    <w:rsid w:val="000C799A"/>
    <w:rsid w:val="000D6CF9"/>
    <w:rsid w:val="000D71D9"/>
    <w:rsid w:val="000D76E0"/>
    <w:rsid w:val="000D7E8B"/>
    <w:rsid w:val="000D7F0A"/>
    <w:rsid w:val="000E4449"/>
    <w:rsid w:val="000E6097"/>
    <w:rsid w:val="000E78E3"/>
    <w:rsid w:val="000F0878"/>
    <w:rsid w:val="000F3B58"/>
    <w:rsid w:val="00103829"/>
    <w:rsid w:val="00111FCE"/>
    <w:rsid w:val="001150C9"/>
    <w:rsid w:val="001229A5"/>
    <w:rsid w:val="0012489B"/>
    <w:rsid w:val="0012589B"/>
    <w:rsid w:val="00127AE6"/>
    <w:rsid w:val="00130017"/>
    <w:rsid w:val="00130F91"/>
    <w:rsid w:val="00131C61"/>
    <w:rsid w:val="001348D2"/>
    <w:rsid w:val="001349ED"/>
    <w:rsid w:val="00137424"/>
    <w:rsid w:val="00140318"/>
    <w:rsid w:val="00141AD9"/>
    <w:rsid w:val="00146CE6"/>
    <w:rsid w:val="00150A90"/>
    <w:rsid w:val="00152642"/>
    <w:rsid w:val="00152903"/>
    <w:rsid w:val="00153D6C"/>
    <w:rsid w:val="00153FD5"/>
    <w:rsid w:val="0015614F"/>
    <w:rsid w:val="00157698"/>
    <w:rsid w:val="001577C2"/>
    <w:rsid w:val="001633C4"/>
    <w:rsid w:val="001638D9"/>
    <w:rsid w:val="00164BEA"/>
    <w:rsid w:val="001704D5"/>
    <w:rsid w:val="00171591"/>
    <w:rsid w:val="00172426"/>
    <w:rsid w:val="0017373E"/>
    <w:rsid w:val="00173981"/>
    <w:rsid w:val="0017719D"/>
    <w:rsid w:val="00183FD7"/>
    <w:rsid w:val="00185CAB"/>
    <w:rsid w:val="001875B7"/>
    <w:rsid w:val="00187CB3"/>
    <w:rsid w:val="0019050A"/>
    <w:rsid w:val="001910D4"/>
    <w:rsid w:val="001976E3"/>
    <w:rsid w:val="00197C92"/>
    <w:rsid w:val="001A44EC"/>
    <w:rsid w:val="001B28D9"/>
    <w:rsid w:val="001B58AA"/>
    <w:rsid w:val="001B7E48"/>
    <w:rsid w:val="001C17CE"/>
    <w:rsid w:val="001C36CA"/>
    <w:rsid w:val="001C44D1"/>
    <w:rsid w:val="001C6AEE"/>
    <w:rsid w:val="001C7630"/>
    <w:rsid w:val="001D64D1"/>
    <w:rsid w:val="001D6D15"/>
    <w:rsid w:val="001E0278"/>
    <w:rsid w:val="001E428E"/>
    <w:rsid w:val="001E6405"/>
    <w:rsid w:val="001F7558"/>
    <w:rsid w:val="00202F45"/>
    <w:rsid w:val="00205B57"/>
    <w:rsid w:val="002157E0"/>
    <w:rsid w:val="00216A57"/>
    <w:rsid w:val="00217448"/>
    <w:rsid w:val="00217B7A"/>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348"/>
    <w:rsid w:val="00260FB2"/>
    <w:rsid w:val="00262128"/>
    <w:rsid w:val="0027165D"/>
    <w:rsid w:val="00273CEB"/>
    <w:rsid w:val="002773A2"/>
    <w:rsid w:val="00280B95"/>
    <w:rsid w:val="00281C89"/>
    <w:rsid w:val="002821FE"/>
    <w:rsid w:val="0028282F"/>
    <w:rsid w:val="00293819"/>
    <w:rsid w:val="0029593B"/>
    <w:rsid w:val="00297FC5"/>
    <w:rsid w:val="002A0417"/>
    <w:rsid w:val="002A16D8"/>
    <w:rsid w:val="002A1BC8"/>
    <w:rsid w:val="002A3EF2"/>
    <w:rsid w:val="002A7C63"/>
    <w:rsid w:val="002B0DED"/>
    <w:rsid w:val="002B19A2"/>
    <w:rsid w:val="002B343D"/>
    <w:rsid w:val="002B381A"/>
    <w:rsid w:val="002B4C81"/>
    <w:rsid w:val="002B4FCC"/>
    <w:rsid w:val="002B7408"/>
    <w:rsid w:val="002B7CFD"/>
    <w:rsid w:val="002C09B3"/>
    <w:rsid w:val="002C210F"/>
    <w:rsid w:val="002C7F48"/>
    <w:rsid w:val="002D120C"/>
    <w:rsid w:val="002D3600"/>
    <w:rsid w:val="002D3AB6"/>
    <w:rsid w:val="002E14C1"/>
    <w:rsid w:val="002E4DDC"/>
    <w:rsid w:val="002F4126"/>
    <w:rsid w:val="002F4996"/>
    <w:rsid w:val="00302480"/>
    <w:rsid w:val="00302758"/>
    <w:rsid w:val="003106AD"/>
    <w:rsid w:val="0031572A"/>
    <w:rsid w:val="003165E6"/>
    <w:rsid w:val="003206CD"/>
    <w:rsid w:val="003215B5"/>
    <w:rsid w:val="003221CF"/>
    <w:rsid w:val="003233ED"/>
    <w:rsid w:val="00324D9F"/>
    <w:rsid w:val="00327948"/>
    <w:rsid w:val="0033000F"/>
    <w:rsid w:val="00332011"/>
    <w:rsid w:val="00332518"/>
    <w:rsid w:val="00332925"/>
    <w:rsid w:val="003332ED"/>
    <w:rsid w:val="003368DC"/>
    <w:rsid w:val="00343324"/>
    <w:rsid w:val="00345927"/>
    <w:rsid w:val="00346F87"/>
    <w:rsid w:val="00347032"/>
    <w:rsid w:val="0034731B"/>
    <w:rsid w:val="00350584"/>
    <w:rsid w:val="00351857"/>
    <w:rsid w:val="003545E8"/>
    <w:rsid w:val="0035692D"/>
    <w:rsid w:val="003610E1"/>
    <w:rsid w:val="00363AFC"/>
    <w:rsid w:val="003671BE"/>
    <w:rsid w:val="00371071"/>
    <w:rsid w:val="00372485"/>
    <w:rsid w:val="00373200"/>
    <w:rsid w:val="00375EF5"/>
    <w:rsid w:val="003767A5"/>
    <w:rsid w:val="00381D15"/>
    <w:rsid w:val="00385254"/>
    <w:rsid w:val="0038794B"/>
    <w:rsid w:val="003A04DB"/>
    <w:rsid w:val="003A0B26"/>
    <w:rsid w:val="003A4877"/>
    <w:rsid w:val="003A5F5B"/>
    <w:rsid w:val="003A789A"/>
    <w:rsid w:val="003B12EC"/>
    <w:rsid w:val="003C118D"/>
    <w:rsid w:val="003C2392"/>
    <w:rsid w:val="003C77E0"/>
    <w:rsid w:val="003D0F84"/>
    <w:rsid w:val="003D17D7"/>
    <w:rsid w:val="003D2678"/>
    <w:rsid w:val="003D71A3"/>
    <w:rsid w:val="003E2B8A"/>
    <w:rsid w:val="003E383E"/>
    <w:rsid w:val="003E7EEB"/>
    <w:rsid w:val="003F0EA5"/>
    <w:rsid w:val="003F10EE"/>
    <w:rsid w:val="003F16F6"/>
    <w:rsid w:val="003F4375"/>
    <w:rsid w:val="003F4DC7"/>
    <w:rsid w:val="003F5235"/>
    <w:rsid w:val="003F6722"/>
    <w:rsid w:val="004027E4"/>
    <w:rsid w:val="0041071D"/>
    <w:rsid w:val="00414AFC"/>
    <w:rsid w:val="004151A7"/>
    <w:rsid w:val="00415310"/>
    <w:rsid w:val="00421709"/>
    <w:rsid w:val="00423763"/>
    <w:rsid w:val="00425670"/>
    <w:rsid w:val="004259C9"/>
    <w:rsid w:val="004266BD"/>
    <w:rsid w:val="0042762F"/>
    <w:rsid w:val="00427DC7"/>
    <w:rsid w:val="00431613"/>
    <w:rsid w:val="00431792"/>
    <w:rsid w:val="00431B39"/>
    <w:rsid w:val="0043297A"/>
    <w:rsid w:val="00432EB2"/>
    <w:rsid w:val="0043714F"/>
    <w:rsid w:val="00443694"/>
    <w:rsid w:val="004438B5"/>
    <w:rsid w:val="00447037"/>
    <w:rsid w:val="0045124D"/>
    <w:rsid w:val="00454596"/>
    <w:rsid w:val="0045605D"/>
    <w:rsid w:val="0046135B"/>
    <w:rsid w:val="00461D47"/>
    <w:rsid w:val="004718CC"/>
    <w:rsid w:val="00475F07"/>
    <w:rsid w:val="00480F9C"/>
    <w:rsid w:val="00481695"/>
    <w:rsid w:val="004823AF"/>
    <w:rsid w:val="004868B3"/>
    <w:rsid w:val="00495A96"/>
    <w:rsid w:val="00495BB3"/>
    <w:rsid w:val="004A313D"/>
    <w:rsid w:val="004A5302"/>
    <w:rsid w:val="004A56BB"/>
    <w:rsid w:val="004A70D6"/>
    <w:rsid w:val="004B1751"/>
    <w:rsid w:val="004B1D54"/>
    <w:rsid w:val="004B56F6"/>
    <w:rsid w:val="004C0253"/>
    <w:rsid w:val="004D426A"/>
    <w:rsid w:val="004D56FF"/>
    <w:rsid w:val="004E39D3"/>
    <w:rsid w:val="004E49BD"/>
    <w:rsid w:val="004E508A"/>
    <w:rsid w:val="004E616D"/>
    <w:rsid w:val="004F1BDE"/>
    <w:rsid w:val="004F25DF"/>
    <w:rsid w:val="004F2CEE"/>
    <w:rsid w:val="004F3C98"/>
    <w:rsid w:val="004F51A6"/>
    <w:rsid w:val="004F556E"/>
    <w:rsid w:val="004F591C"/>
    <w:rsid w:val="004F7F44"/>
    <w:rsid w:val="005037B4"/>
    <w:rsid w:val="005079BF"/>
    <w:rsid w:val="0051269A"/>
    <w:rsid w:val="00516B1A"/>
    <w:rsid w:val="005219E7"/>
    <w:rsid w:val="00521ED4"/>
    <w:rsid w:val="00522424"/>
    <w:rsid w:val="00531B9A"/>
    <w:rsid w:val="00531D15"/>
    <w:rsid w:val="00537604"/>
    <w:rsid w:val="00542377"/>
    <w:rsid w:val="00545345"/>
    <w:rsid w:val="005476EB"/>
    <w:rsid w:val="00550E50"/>
    <w:rsid w:val="00551782"/>
    <w:rsid w:val="00562C30"/>
    <w:rsid w:val="00563EF1"/>
    <w:rsid w:val="00566AB4"/>
    <w:rsid w:val="00575AC5"/>
    <w:rsid w:val="0057605D"/>
    <w:rsid w:val="00581347"/>
    <w:rsid w:val="00581AC9"/>
    <w:rsid w:val="005846E8"/>
    <w:rsid w:val="005849F8"/>
    <w:rsid w:val="00584C07"/>
    <w:rsid w:val="00585496"/>
    <w:rsid w:val="005938DF"/>
    <w:rsid w:val="00594E9C"/>
    <w:rsid w:val="005A099B"/>
    <w:rsid w:val="005A2D9C"/>
    <w:rsid w:val="005A3B4F"/>
    <w:rsid w:val="005A55FE"/>
    <w:rsid w:val="005A6A11"/>
    <w:rsid w:val="005B3C65"/>
    <w:rsid w:val="005B497F"/>
    <w:rsid w:val="005C14A1"/>
    <w:rsid w:val="005D1905"/>
    <w:rsid w:val="005D2502"/>
    <w:rsid w:val="005D40BB"/>
    <w:rsid w:val="005D47F3"/>
    <w:rsid w:val="005D49BF"/>
    <w:rsid w:val="005D4AA5"/>
    <w:rsid w:val="005D6F4E"/>
    <w:rsid w:val="005D7C73"/>
    <w:rsid w:val="005E250B"/>
    <w:rsid w:val="005E2553"/>
    <w:rsid w:val="005E3ACD"/>
    <w:rsid w:val="005E7226"/>
    <w:rsid w:val="005E7A57"/>
    <w:rsid w:val="005F24B0"/>
    <w:rsid w:val="00602E3B"/>
    <w:rsid w:val="00604315"/>
    <w:rsid w:val="00604C93"/>
    <w:rsid w:val="00604E26"/>
    <w:rsid w:val="0060523F"/>
    <w:rsid w:val="006052CF"/>
    <w:rsid w:val="00607B8D"/>
    <w:rsid w:val="00611F5C"/>
    <w:rsid w:val="00616E09"/>
    <w:rsid w:val="0062184E"/>
    <w:rsid w:val="00622A3B"/>
    <w:rsid w:val="00622EEA"/>
    <w:rsid w:val="0062396C"/>
    <w:rsid w:val="00623FF9"/>
    <w:rsid w:val="00625D35"/>
    <w:rsid w:val="00627D4E"/>
    <w:rsid w:val="00632B89"/>
    <w:rsid w:val="0063346D"/>
    <w:rsid w:val="00634478"/>
    <w:rsid w:val="00636015"/>
    <w:rsid w:val="0063642F"/>
    <w:rsid w:val="00643CB8"/>
    <w:rsid w:val="006441A5"/>
    <w:rsid w:val="00644373"/>
    <w:rsid w:val="00645915"/>
    <w:rsid w:val="006519C3"/>
    <w:rsid w:val="00652B30"/>
    <w:rsid w:val="00656345"/>
    <w:rsid w:val="00656DC6"/>
    <w:rsid w:val="00660EC6"/>
    <w:rsid w:val="00664110"/>
    <w:rsid w:val="00664D17"/>
    <w:rsid w:val="00666520"/>
    <w:rsid w:val="00667C5B"/>
    <w:rsid w:val="00671566"/>
    <w:rsid w:val="00691EB8"/>
    <w:rsid w:val="00692CDE"/>
    <w:rsid w:val="00693073"/>
    <w:rsid w:val="00693A83"/>
    <w:rsid w:val="006952F5"/>
    <w:rsid w:val="006977FF"/>
    <w:rsid w:val="00697E9E"/>
    <w:rsid w:val="006A01FA"/>
    <w:rsid w:val="006A0E9E"/>
    <w:rsid w:val="006A114D"/>
    <w:rsid w:val="006A25C7"/>
    <w:rsid w:val="006A38E5"/>
    <w:rsid w:val="006A4AAD"/>
    <w:rsid w:val="006A575F"/>
    <w:rsid w:val="006A6DA2"/>
    <w:rsid w:val="006A7AB2"/>
    <w:rsid w:val="006B52DE"/>
    <w:rsid w:val="006B5717"/>
    <w:rsid w:val="006B582F"/>
    <w:rsid w:val="006B5EB2"/>
    <w:rsid w:val="006C0CEB"/>
    <w:rsid w:val="006C1631"/>
    <w:rsid w:val="006C3B1E"/>
    <w:rsid w:val="006C47FD"/>
    <w:rsid w:val="006C5C19"/>
    <w:rsid w:val="006C70A0"/>
    <w:rsid w:val="006D0B5A"/>
    <w:rsid w:val="006D27CB"/>
    <w:rsid w:val="006D2F08"/>
    <w:rsid w:val="006D3645"/>
    <w:rsid w:val="006D576C"/>
    <w:rsid w:val="006D5865"/>
    <w:rsid w:val="006E1EA8"/>
    <w:rsid w:val="006E4B1B"/>
    <w:rsid w:val="006E5445"/>
    <w:rsid w:val="006E7D93"/>
    <w:rsid w:val="006F2258"/>
    <w:rsid w:val="007029A3"/>
    <w:rsid w:val="00706E4E"/>
    <w:rsid w:val="0070791C"/>
    <w:rsid w:val="0071383C"/>
    <w:rsid w:val="007141A7"/>
    <w:rsid w:val="00714AB1"/>
    <w:rsid w:val="00715722"/>
    <w:rsid w:val="00721032"/>
    <w:rsid w:val="00721B55"/>
    <w:rsid w:val="00726CE4"/>
    <w:rsid w:val="00734143"/>
    <w:rsid w:val="00737E47"/>
    <w:rsid w:val="00740EAC"/>
    <w:rsid w:val="00744956"/>
    <w:rsid w:val="00745A5C"/>
    <w:rsid w:val="00745AC0"/>
    <w:rsid w:val="0074605F"/>
    <w:rsid w:val="00747E94"/>
    <w:rsid w:val="00754C83"/>
    <w:rsid w:val="007576A1"/>
    <w:rsid w:val="00761E5C"/>
    <w:rsid w:val="00764AA1"/>
    <w:rsid w:val="00765DF8"/>
    <w:rsid w:val="00766749"/>
    <w:rsid w:val="00767C1B"/>
    <w:rsid w:val="00771138"/>
    <w:rsid w:val="007714A9"/>
    <w:rsid w:val="0077241A"/>
    <w:rsid w:val="00774F88"/>
    <w:rsid w:val="00774FDB"/>
    <w:rsid w:val="00777BA2"/>
    <w:rsid w:val="00777E44"/>
    <w:rsid w:val="00781408"/>
    <w:rsid w:val="00784F7F"/>
    <w:rsid w:val="007878BD"/>
    <w:rsid w:val="00796F25"/>
    <w:rsid w:val="007A2E98"/>
    <w:rsid w:val="007A3BA3"/>
    <w:rsid w:val="007A6CC0"/>
    <w:rsid w:val="007A7FEC"/>
    <w:rsid w:val="007B1499"/>
    <w:rsid w:val="007B1BBF"/>
    <w:rsid w:val="007B2960"/>
    <w:rsid w:val="007B355D"/>
    <w:rsid w:val="007B7022"/>
    <w:rsid w:val="007B7980"/>
    <w:rsid w:val="007C0DEF"/>
    <w:rsid w:val="007C5D5A"/>
    <w:rsid w:val="007C607F"/>
    <w:rsid w:val="007C6E44"/>
    <w:rsid w:val="007C79DD"/>
    <w:rsid w:val="007D1A97"/>
    <w:rsid w:val="007D2CD6"/>
    <w:rsid w:val="007D3063"/>
    <w:rsid w:val="007D3CEB"/>
    <w:rsid w:val="007D4EF1"/>
    <w:rsid w:val="007E7683"/>
    <w:rsid w:val="007F49FA"/>
    <w:rsid w:val="007F54C4"/>
    <w:rsid w:val="007F6D72"/>
    <w:rsid w:val="007F6E9A"/>
    <w:rsid w:val="00800CCD"/>
    <w:rsid w:val="008044D4"/>
    <w:rsid w:val="00805033"/>
    <w:rsid w:val="00810AB4"/>
    <w:rsid w:val="0081126F"/>
    <w:rsid w:val="00817231"/>
    <w:rsid w:val="00817B56"/>
    <w:rsid w:val="008208F6"/>
    <w:rsid w:val="00821A88"/>
    <w:rsid w:val="0082495D"/>
    <w:rsid w:val="00831AC3"/>
    <w:rsid w:val="008356DC"/>
    <w:rsid w:val="00836FCE"/>
    <w:rsid w:val="008408FF"/>
    <w:rsid w:val="00841F67"/>
    <w:rsid w:val="00847EA4"/>
    <w:rsid w:val="00851F3F"/>
    <w:rsid w:val="008523F9"/>
    <w:rsid w:val="0085618F"/>
    <w:rsid w:val="00856EDC"/>
    <w:rsid w:val="0086023D"/>
    <w:rsid w:val="008623B5"/>
    <w:rsid w:val="00862CBA"/>
    <w:rsid w:val="00864186"/>
    <w:rsid w:val="00870ABA"/>
    <w:rsid w:val="00870CA9"/>
    <w:rsid w:val="008710E1"/>
    <w:rsid w:val="00871468"/>
    <w:rsid w:val="008716E5"/>
    <w:rsid w:val="00873087"/>
    <w:rsid w:val="00874C01"/>
    <w:rsid w:val="008770F6"/>
    <w:rsid w:val="00881376"/>
    <w:rsid w:val="00881CA9"/>
    <w:rsid w:val="00883628"/>
    <w:rsid w:val="00885544"/>
    <w:rsid w:val="0088634E"/>
    <w:rsid w:val="00893AB8"/>
    <w:rsid w:val="008A04C8"/>
    <w:rsid w:val="008A6913"/>
    <w:rsid w:val="008B68B5"/>
    <w:rsid w:val="008B70F3"/>
    <w:rsid w:val="008B71C4"/>
    <w:rsid w:val="008B76DF"/>
    <w:rsid w:val="008C0DA5"/>
    <w:rsid w:val="008C10F4"/>
    <w:rsid w:val="008C46DB"/>
    <w:rsid w:val="008C65B5"/>
    <w:rsid w:val="008C65F7"/>
    <w:rsid w:val="008D4D70"/>
    <w:rsid w:val="008D6549"/>
    <w:rsid w:val="008E4767"/>
    <w:rsid w:val="008E7A8C"/>
    <w:rsid w:val="0090078C"/>
    <w:rsid w:val="0090203B"/>
    <w:rsid w:val="00903285"/>
    <w:rsid w:val="00906F40"/>
    <w:rsid w:val="0090731E"/>
    <w:rsid w:val="00913811"/>
    <w:rsid w:val="00914A18"/>
    <w:rsid w:val="00915B1C"/>
    <w:rsid w:val="009174F3"/>
    <w:rsid w:val="0091797D"/>
    <w:rsid w:val="00923CBA"/>
    <w:rsid w:val="00926703"/>
    <w:rsid w:val="00927691"/>
    <w:rsid w:val="00927A5F"/>
    <w:rsid w:val="00930510"/>
    <w:rsid w:val="00930A8C"/>
    <w:rsid w:val="00935B63"/>
    <w:rsid w:val="0094078F"/>
    <w:rsid w:val="00940FA3"/>
    <w:rsid w:val="00941FB0"/>
    <w:rsid w:val="009426D4"/>
    <w:rsid w:val="00943085"/>
    <w:rsid w:val="00946013"/>
    <w:rsid w:val="009463DF"/>
    <w:rsid w:val="00947F25"/>
    <w:rsid w:val="00950159"/>
    <w:rsid w:val="0095490B"/>
    <w:rsid w:val="00955564"/>
    <w:rsid w:val="00960A33"/>
    <w:rsid w:val="00961FD2"/>
    <w:rsid w:val="00965359"/>
    <w:rsid w:val="00965E64"/>
    <w:rsid w:val="00971914"/>
    <w:rsid w:val="00974363"/>
    <w:rsid w:val="00981898"/>
    <w:rsid w:val="009823DA"/>
    <w:rsid w:val="0099577C"/>
    <w:rsid w:val="009A0E3B"/>
    <w:rsid w:val="009A25F7"/>
    <w:rsid w:val="009B24A5"/>
    <w:rsid w:val="009B2601"/>
    <w:rsid w:val="009B4E9E"/>
    <w:rsid w:val="009C1690"/>
    <w:rsid w:val="009C2844"/>
    <w:rsid w:val="009C6881"/>
    <w:rsid w:val="009C7759"/>
    <w:rsid w:val="009D043D"/>
    <w:rsid w:val="009D07C8"/>
    <w:rsid w:val="009D0BF6"/>
    <w:rsid w:val="009D658A"/>
    <w:rsid w:val="009D6C71"/>
    <w:rsid w:val="009E0162"/>
    <w:rsid w:val="009E0631"/>
    <w:rsid w:val="009E16D0"/>
    <w:rsid w:val="009E2051"/>
    <w:rsid w:val="009E3812"/>
    <w:rsid w:val="009E38FD"/>
    <w:rsid w:val="009E54B1"/>
    <w:rsid w:val="009E66D2"/>
    <w:rsid w:val="009E768F"/>
    <w:rsid w:val="009F12ED"/>
    <w:rsid w:val="009F13D6"/>
    <w:rsid w:val="009F4C6B"/>
    <w:rsid w:val="009F5DD0"/>
    <w:rsid w:val="009F6A2E"/>
    <w:rsid w:val="009F78A8"/>
    <w:rsid w:val="00A02AD6"/>
    <w:rsid w:val="00A07096"/>
    <w:rsid w:val="00A07318"/>
    <w:rsid w:val="00A077A9"/>
    <w:rsid w:val="00A11370"/>
    <w:rsid w:val="00A15F98"/>
    <w:rsid w:val="00A16A6D"/>
    <w:rsid w:val="00A17F35"/>
    <w:rsid w:val="00A224CE"/>
    <w:rsid w:val="00A22522"/>
    <w:rsid w:val="00A22622"/>
    <w:rsid w:val="00A24AFD"/>
    <w:rsid w:val="00A24F5C"/>
    <w:rsid w:val="00A31B03"/>
    <w:rsid w:val="00A32F96"/>
    <w:rsid w:val="00A40871"/>
    <w:rsid w:val="00A412AB"/>
    <w:rsid w:val="00A4193E"/>
    <w:rsid w:val="00A440E0"/>
    <w:rsid w:val="00A442EF"/>
    <w:rsid w:val="00A51D1A"/>
    <w:rsid w:val="00A5418D"/>
    <w:rsid w:val="00A5474E"/>
    <w:rsid w:val="00A57D59"/>
    <w:rsid w:val="00A64234"/>
    <w:rsid w:val="00A70ADF"/>
    <w:rsid w:val="00A71466"/>
    <w:rsid w:val="00A74B5E"/>
    <w:rsid w:val="00A80A66"/>
    <w:rsid w:val="00A81BED"/>
    <w:rsid w:val="00A81EC4"/>
    <w:rsid w:val="00A824E8"/>
    <w:rsid w:val="00A859ED"/>
    <w:rsid w:val="00A967FD"/>
    <w:rsid w:val="00AA2DE5"/>
    <w:rsid w:val="00AB156C"/>
    <w:rsid w:val="00AB6814"/>
    <w:rsid w:val="00AB68F0"/>
    <w:rsid w:val="00AC04BA"/>
    <w:rsid w:val="00AC0E39"/>
    <w:rsid w:val="00AD0E29"/>
    <w:rsid w:val="00AD3082"/>
    <w:rsid w:val="00AD32B4"/>
    <w:rsid w:val="00AD4AD0"/>
    <w:rsid w:val="00AD5244"/>
    <w:rsid w:val="00AD5436"/>
    <w:rsid w:val="00AD5E30"/>
    <w:rsid w:val="00AD60CD"/>
    <w:rsid w:val="00AD6C8C"/>
    <w:rsid w:val="00AD7ACF"/>
    <w:rsid w:val="00AE091D"/>
    <w:rsid w:val="00AE3B60"/>
    <w:rsid w:val="00AE53A1"/>
    <w:rsid w:val="00AF2484"/>
    <w:rsid w:val="00AF63E7"/>
    <w:rsid w:val="00AF6E17"/>
    <w:rsid w:val="00B0026E"/>
    <w:rsid w:val="00B0165D"/>
    <w:rsid w:val="00B01B60"/>
    <w:rsid w:val="00B031F3"/>
    <w:rsid w:val="00B052A4"/>
    <w:rsid w:val="00B125DE"/>
    <w:rsid w:val="00B13028"/>
    <w:rsid w:val="00B13FDD"/>
    <w:rsid w:val="00B22EB2"/>
    <w:rsid w:val="00B27442"/>
    <w:rsid w:val="00B31167"/>
    <w:rsid w:val="00B329D8"/>
    <w:rsid w:val="00B32BB9"/>
    <w:rsid w:val="00B33AE1"/>
    <w:rsid w:val="00B37C38"/>
    <w:rsid w:val="00B4288C"/>
    <w:rsid w:val="00B43262"/>
    <w:rsid w:val="00B44100"/>
    <w:rsid w:val="00B46CBA"/>
    <w:rsid w:val="00B46F94"/>
    <w:rsid w:val="00B53E18"/>
    <w:rsid w:val="00B6003C"/>
    <w:rsid w:val="00B61F03"/>
    <w:rsid w:val="00B626E4"/>
    <w:rsid w:val="00B64662"/>
    <w:rsid w:val="00B72F4A"/>
    <w:rsid w:val="00B80272"/>
    <w:rsid w:val="00B80BE2"/>
    <w:rsid w:val="00B83C27"/>
    <w:rsid w:val="00B84BC3"/>
    <w:rsid w:val="00B84BDD"/>
    <w:rsid w:val="00B92812"/>
    <w:rsid w:val="00BA3E01"/>
    <w:rsid w:val="00BB45A1"/>
    <w:rsid w:val="00BB7686"/>
    <w:rsid w:val="00BC23F9"/>
    <w:rsid w:val="00BC3421"/>
    <w:rsid w:val="00BC732C"/>
    <w:rsid w:val="00BD4421"/>
    <w:rsid w:val="00BE0C9C"/>
    <w:rsid w:val="00BE2580"/>
    <w:rsid w:val="00BE266D"/>
    <w:rsid w:val="00BE3938"/>
    <w:rsid w:val="00BE4C11"/>
    <w:rsid w:val="00BE6805"/>
    <w:rsid w:val="00BE71C0"/>
    <w:rsid w:val="00BF127B"/>
    <w:rsid w:val="00BF610C"/>
    <w:rsid w:val="00BF766E"/>
    <w:rsid w:val="00C0060B"/>
    <w:rsid w:val="00C01A6C"/>
    <w:rsid w:val="00C0277D"/>
    <w:rsid w:val="00C031E4"/>
    <w:rsid w:val="00C053A1"/>
    <w:rsid w:val="00C05691"/>
    <w:rsid w:val="00C0625F"/>
    <w:rsid w:val="00C16198"/>
    <w:rsid w:val="00C2083D"/>
    <w:rsid w:val="00C24A53"/>
    <w:rsid w:val="00C3220B"/>
    <w:rsid w:val="00C32E71"/>
    <w:rsid w:val="00C34A05"/>
    <w:rsid w:val="00C35CCE"/>
    <w:rsid w:val="00C3632C"/>
    <w:rsid w:val="00C4032F"/>
    <w:rsid w:val="00C44047"/>
    <w:rsid w:val="00C45120"/>
    <w:rsid w:val="00C45155"/>
    <w:rsid w:val="00C46001"/>
    <w:rsid w:val="00C5498F"/>
    <w:rsid w:val="00C55235"/>
    <w:rsid w:val="00C64878"/>
    <w:rsid w:val="00C64CD0"/>
    <w:rsid w:val="00C6684F"/>
    <w:rsid w:val="00C70E70"/>
    <w:rsid w:val="00C72D3B"/>
    <w:rsid w:val="00C75C46"/>
    <w:rsid w:val="00C75F8D"/>
    <w:rsid w:val="00C77380"/>
    <w:rsid w:val="00C82DD3"/>
    <w:rsid w:val="00C83E9E"/>
    <w:rsid w:val="00C87E8A"/>
    <w:rsid w:val="00C969A4"/>
    <w:rsid w:val="00C96A55"/>
    <w:rsid w:val="00C97006"/>
    <w:rsid w:val="00C975D4"/>
    <w:rsid w:val="00C97736"/>
    <w:rsid w:val="00CA345A"/>
    <w:rsid w:val="00CB1E82"/>
    <w:rsid w:val="00CB4BA8"/>
    <w:rsid w:val="00CB52D7"/>
    <w:rsid w:val="00CB660A"/>
    <w:rsid w:val="00CB77A6"/>
    <w:rsid w:val="00CC3F19"/>
    <w:rsid w:val="00CC551E"/>
    <w:rsid w:val="00CC6732"/>
    <w:rsid w:val="00CE3C96"/>
    <w:rsid w:val="00CE47C6"/>
    <w:rsid w:val="00CE51A8"/>
    <w:rsid w:val="00CF369B"/>
    <w:rsid w:val="00CF6F58"/>
    <w:rsid w:val="00D00E28"/>
    <w:rsid w:val="00D0269E"/>
    <w:rsid w:val="00D05D6C"/>
    <w:rsid w:val="00D15810"/>
    <w:rsid w:val="00D16D4E"/>
    <w:rsid w:val="00D16FE3"/>
    <w:rsid w:val="00D20B1D"/>
    <w:rsid w:val="00D246AF"/>
    <w:rsid w:val="00D258FF"/>
    <w:rsid w:val="00D27F41"/>
    <w:rsid w:val="00D36441"/>
    <w:rsid w:val="00D4064E"/>
    <w:rsid w:val="00D44E9B"/>
    <w:rsid w:val="00D45FD2"/>
    <w:rsid w:val="00D47AEB"/>
    <w:rsid w:val="00D50DB9"/>
    <w:rsid w:val="00D51302"/>
    <w:rsid w:val="00D52C43"/>
    <w:rsid w:val="00D54180"/>
    <w:rsid w:val="00D56111"/>
    <w:rsid w:val="00D56122"/>
    <w:rsid w:val="00D64DEB"/>
    <w:rsid w:val="00D6507F"/>
    <w:rsid w:val="00D72AF6"/>
    <w:rsid w:val="00D730BC"/>
    <w:rsid w:val="00D73912"/>
    <w:rsid w:val="00D84CEA"/>
    <w:rsid w:val="00D85226"/>
    <w:rsid w:val="00D86152"/>
    <w:rsid w:val="00D87B94"/>
    <w:rsid w:val="00D92D49"/>
    <w:rsid w:val="00D92EC1"/>
    <w:rsid w:val="00D96DEA"/>
    <w:rsid w:val="00DA37F5"/>
    <w:rsid w:val="00DA4E41"/>
    <w:rsid w:val="00DB117A"/>
    <w:rsid w:val="00DB2AA5"/>
    <w:rsid w:val="00DB3A0A"/>
    <w:rsid w:val="00DB5173"/>
    <w:rsid w:val="00DB7873"/>
    <w:rsid w:val="00DC187B"/>
    <w:rsid w:val="00DC7DEF"/>
    <w:rsid w:val="00DD107B"/>
    <w:rsid w:val="00DD1A43"/>
    <w:rsid w:val="00DD3A47"/>
    <w:rsid w:val="00DD73C2"/>
    <w:rsid w:val="00DE319B"/>
    <w:rsid w:val="00DE49A4"/>
    <w:rsid w:val="00DF176E"/>
    <w:rsid w:val="00DF34FE"/>
    <w:rsid w:val="00DF56AA"/>
    <w:rsid w:val="00DF56AF"/>
    <w:rsid w:val="00DF78E7"/>
    <w:rsid w:val="00E02DA3"/>
    <w:rsid w:val="00E06786"/>
    <w:rsid w:val="00E110E0"/>
    <w:rsid w:val="00E126BF"/>
    <w:rsid w:val="00E15371"/>
    <w:rsid w:val="00E23372"/>
    <w:rsid w:val="00E24104"/>
    <w:rsid w:val="00E302D0"/>
    <w:rsid w:val="00E35707"/>
    <w:rsid w:val="00E36AA1"/>
    <w:rsid w:val="00E41ECB"/>
    <w:rsid w:val="00E42676"/>
    <w:rsid w:val="00E42CED"/>
    <w:rsid w:val="00E457C6"/>
    <w:rsid w:val="00E54FDB"/>
    <w:rsid w:val="00E5617D"/>
    <w:rsid w:val="00E563D7"/>
    <w:rsid w:val="00E663F4"/>
    <w:rsid w:val="00E666F2"/>
    <w:rsid w:val="00E66DD4"/>
    <w:rsid w:val="00E748CC"/>
    <w:rsid w:val="00E75415"/>
    <w:rsid w:val="00E775B1"/>
    <w:rsid w:val="00E8152A"/>
    <w:rsid w:val="00E8497A"/>
    <w:rsid w:val="00E90F3B"/>
    <w:rsid w:val="00E93629"/>
    <w:rsid w:val="00E93B5C"/>
    <w:rsid w:val="00E94CEC"/>
    <w:rsid w:val="00E96050"/>
    <w:rsid w:val="00EA04EF"/>
    <w:rsid w:val="00EA348D"/>
    <w:rsid w:val="00EA6F19"/>
    <w:rsid w:val="00EB0D75"/>
    <w:rsid w:val="00EB3482"/>
    <w:rsid w:val="00EB3E98"/>
    <w:rsid w:val="00EB7090"/>
    <w:rsid w:val="00EB7795"/>
    <w:rsid w:val="00EB78E1"/>
    <w:rsid w:val="00EC1BBE"/>
    <w:rsid w:val="00EC25C7"/>
    <w:rsid w:val="00EC2B68"/>
    <w:rsid w:val="00EC3AEF"/>
    <w:rsid w:val="00EC4EE5"/>
    <w:rsid w:val="00EC5CD7"/>
    <w:rsid w:val="00EC71A3"/>
    <w:rsid w:val="00EE5FB3"/>
    <w:rsid w:val="00EE7F79"/>
    <w:rsid w:val="00EF5F9D"/>
    <w:rsid w:val="00EF715A"/>
    <w:rsid w:val="00F01BC3"/>
    <w:rsid w:val="00F025C7"/>
    <w:rsid w:val="00F06E14"/>
    <w:rsid w:val="00F16A80"/>
    <w:rsid w:val="00F17393"/>
    <w:rsid w:val="00F179D4"/>
    <w:rsid w:val="00F228B6"/>
    <w:rsid w:val="00F33C56"/>
    <w:rsid w:val="00F3441B"/>
    <w:rsid w:val="00F347C7"/>
    <w:rsid w:val="00F34848"/>
    <w:rsid w:val="00F36151"/>
    <w:rsid w:val="00F4052C"/>
    <w:rsid w:val="00F42D46"/>
    <w:rsid w:val="00F4496C"/>
    <w:rsid w:val="00F44F3A"/>
    <w:rsid w:val="00F45DD5"/>
    <w:rsid w:val="00F5133B"/>
    <w:rsid w:val="00F51F10"/>
    <w:rsid w:val="00F520C2"/>
    <w:rsid w:val="00F529A5"/>
    <w:rsid w:val="00F53CF2"/>
    <w:rsid w:val="00F60F00"/>
    <w:rsid w:val="00F614C0"/>
    <w:rsid w:val="00F61C77"/>
    <w:rsid w:val="00F65F29"/>
    <w:rsid w:val="00F83848"/>
    <w:rsid w:val="00F9390F"/>
    <w:rsid w:val="00F975E9"/>
    <w:rsid w:val="00FA1B7D"/>
    <w:rsid w:val="00FB51C5"/>
    <w:rsid w:val="00FC07B9"/>
    <w:rsid w:val="00FC4E21"/>
    <w:rsid w:val="00FC5F6D"/>
    <w:rsid w:val="00FD0107"/>
    <w:rsid w:val="00FD2C2F"/>
    <w:rsid w:val="00FD3B31"/>
    <w:rsid w:val="00FE1823"/>
    <w:rsid w:val="00FE487A"/>
    <w:rsid w:val="00FF0569"/>
    <w:rsid w:val="00FF06EA"/>
    <w:rsid w:val="00FF1E6E"/>
    <w:rsid w:val="00FF206E"/>
    <w:rsid w:val="00FF3C69"/>
    <w:rsid w:val="00FF52AF"/>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1B925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uiPriority w:val="3"/>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NormalWeb">
    <w:name w:val="Normal (Web)"/>
    <w:basedOn w:val="Normal"/>
    <w:uiPriority w:val="99"/>
    <w:unhideWhenUsed/>
    <w:rsid w:val="00EC4EE5"/>
    <w:pPr>
      <w:spacing w:before="100" w:beforeAutospacing="1" w:after="100" w:afterAutospacing="1" w:line="240" w:lineRule="auto"/>
    </w:pPr>
    <w:rPr>
      <w:rFonts w:ascii="Times New Roman" w:hAnsi="Times New Roman"/>
      <w:sz w:val="24"/>
    </w:rPr>
  </w:style>
  <w:style w:type="paragraph" w:styleId="ListParagraph">
    <w:name w:val="List Paragraph"/>
    <w:basedOn w:val="Normal"/>
    <w:uiPriority w:val="34"/>
    <w:qFormat/>
    <w:rsid w:val="008C0DA5"/>
    <w:pPr>
      <w:spacing w:after="164"/>
      <w:ind w:left="720"/>
      <w:contextualSpacing/>
    </w:pPr>
    <w:rPr>
      <w:color w:val="4D4D4F"/>
      <w:sz w:val="21"/>
    </w:rPr>
  </w:style>
  <w:style w:type="paragraph" w:styleId="BalloonText">
    <w:name w:val="Balloon Text"/>
    <w:basedOn w:val="Normal"/>
    <w:link w:val="BalloonTextChar"/>
    <w:semiHidden/>
    <w:unhideWhenUsed/>
    <w:rsid w:val="001258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2589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46525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43414963">
      <w:bodyDiv w:val="1"/>
      <w:marLeft w:val="0"/>
      <w:marRight w:val="0"/>
      <w:marTop w:val="0"/>
      <w:marBottom w:val="0"/>
      <w:divBdr>
        <w:top w:val="none" w:sz="0" w:space="0" w:color="auto"/>
        <w:left w:val="none" w:sz="0" w:space="0" w:color="auto"/>
        <w:bottom w:val="none" w:sz="0" w:space="0" w:color="auto"/>
        <w:right w:val="none" w:sz="0" w:space="0" w:color="auto"/>
      </w:divBdr>
    </w:div>
    <w:div w:id="95579746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theACMA/About/Corporate/Responsibilities/acma-compliance-priorities"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commsalliance.com.au/Documents/all/codes/c564"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mpliance-priorities" TargetMode="External"/><Relationship Id="rId33" Type="http://schemas.openxmlformats.org/officeDocument/2006/relationships/hyperlink" Target="http://www.arpansa.gov.au/" TargetMode="External"/><Relationship Id="rId38"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5L002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salliance.com.au/Documents/all/codes/c564" TargetMode="External"/><Relationship Id="rId32" Type="http://schemas.openxmlformats.org/officeDocument/2006/relationships/hyperlink" Target="https://www.acma.gov.au/Citizen/Spectrum/About-spectrum/EME-hub/arpansa-and-eme" TargetMode="External"/><Relationship Id="rId37" Type="http://schemas.openxmlformats.org/officeDocument/2006/relationships/footer" Target="footer7.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rfnsa.com.au/?first=1" TargetMode="External"/><Relationship Id="rId36"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commsalliance.com.au/Documents/all/codes/c56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8C00150" TargetMode="External"/><Relationship Id="rId30" Type="http://schemas.openxmlformats.org/officeDocument/2006/relationships/hyperlink" Target="https://www.legislation.gov.au/Details/F2018C00150" TargetMode="External"/><Relationship Id="rId35" Type="http://schemas.openxmlformats.org/officeDocument/2006/relationships/header" Target="head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B5B346-123D-4F9A-8DD0-B5F9AE60C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2363</Words>
  <Characters>13473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15805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2020-02-03T03:06:00Z</dcterms:created>
  <dcterms:modified xsi:type="dcterms:W3CDTF">2020-02-03T03:35:00Z</dcterms:modified>
  <cp:category/>
</cp:coreProperties>
</file>