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C6D488" w14:textId="77777777" w:rsidR="00F06E14" w:rsidRPr="00A51D1A" w:rsidRDefault="008257B1" w:rsidP="00A51D1A">
      <w:pPr>
        <w:pStyle w:val="Reporttitle"/>
      </w:pPr>
      <w:r>
        <w:t>Area-wide licen</w:t>
      </w:r>
      <w:r w:rsidR="00B038F8">
        <w:t>sing</w:t>
      </w:r>
    </w:p>
    <w:p w14:paraId="67D45D5D" w14:textId="1EA1B7E1" w:rsidR="00F06E14" w:rsidRDefault="00B038F8" w:rsidP="00F06E14">
      <w:pPr>
        <w:pStyle w:val="Reportsubtitle"/>
      </w:pPr>
      <w:r>
        <w:t>ACMA a</w:t>
      </w:r>
      <w:bookmarkStart w:id="0" w:name="_GoBack"/>
      <w:bookmarkEnd w:id="0"/>
      <w:r>
        <w:t xml:space="preserve">pproach to introducing </w:t>
      </w:r>
      <w:r w:rsidR="00D4610C">
        <w:t>a</w:t>
      </w:r>
      <w:r w:rsidR="009C2D59">
        <w:t>rea</w:t>
      </w:r>
      <w:r w:rsidR="00D4610C">
        <w:t>-w</w:t>
      </w:r>
      <w:r w:rsidR="009C2D59">
        <w:t xml:space="preserve">ide </w:t>
      </w:r>
      <w:r w:rsidR="00D4610C">
        <w:t>l</w:t>
      </w:r>
      <w:r w:rsidR="009C2D59">
        <w:t>icences</w:t>
      </w:r>
    </w:p>
    <w:p w14:paraId="590EB1A5" w14:textId="624B3EE4" w:rsidR="00C97736" w:rsidRPr="000D76E0" w:rsidRDefault="00884682" w:rsidP="00EC2B68">
      <w:pPr>
        <w:pStyle w:val="Reportdate"/>
        <w:spacing w:after="720"/>
        <w:rPr>
          <w:rFonts w:cs="Arial"/>
        </w:rPr>
        <w:sectPr w:rsidR="00C97736" w:rsidRPr="000D76E0"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r>
        <w:t xml:space="preserve">february  </w:t>
      </w:r>
      <w:r w:rsidR="00412D87">
        <w:t>2020</w:t>
      </w:r>
    </w:p>
    <w:p w14:paraId="23C1E042" w14:textId="77777777" w:rsidR="0005011A" w:rsidRPr="00F44F3A" w:rsidRDefault="0005011A" w:rsidP="00FC07B9">
      <w:pPr>
        <w:pStyle w:val="ACMACorporateAddressHeader"/>
      </w:pPr>
      <w:r w:rsidRPr="00F44F3A">
        <w:lastRenderedPageBreak/>
        <w:t>Canberra</w:t>
      </w:r>
    </w:p>
    <w:p w14:paraId="5FC50B3B"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254CCCAC" w14:textId="77777777" w:rsidR="0005011A" w:rsidRPr="00FC07B9" w:rsidRDefault="0005011A" w:rsidP="00FC07B9">
      <w:pPr>
        <w:pStyle w:val="ACMACorporateAddresses"/>
      </w:pPr>
      <w:r w:rsidRPr="00FC07B9">
        <w:t>PO Box 78</w:t>
      </w:r>
      <w:r w:rsidRPr="00FC07B9">
        <w:br/>
        <w:t>Belconnen ACT 2616</w:t>
      </w:r>
    </w:p>
    <w:p w14:paraId="0E54AE17"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61A76665" w14:textId="77777777" w:rsidR="0005011A" w:rsidRPr="00F44F3A" w:rsidRDefault="0005011A" w:rsidP="00FC07B9">
      <w:pPr>
        <w:pStyle w:val="ACMACorporateAddressHeader"/>
      </w:pPr>
      <w:r w:rsidRPr="00F44F3A">
        <w:t>Melbourne</w:t>
      </w:r>
    </w:p>
    <w:p w14:paraId="6E1019D0"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7ABB3AB1"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7BC79B7F"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33A55970" w14:textId="77777777" w:rsidR="0005011A" w:rsidRPr="00F44F3A" w:rsidRDefault="0005011A" w:rsidP="00FC07B9">
      <w:pPr>
        <w:pStyle w:val="ACMACorporateAddressHeader"/>
      </w:pPr>
      <w:r w:rsidRPr="00F44F3A">
        <w:t>Sydney</w:t>
      </w:r>
    </w:p>
    <w:p w14:paraId="6964F2BB"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60C0CFFD"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5FF817DE"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4BB87C42" w14:textId="77777777" w:rsidR="00140318" w:rsidRPr="006D46E5" w:rsidRDefault="00140318" w:rsidP="00FC07B9">
      <w:pPr>
        <w:pStyle w:val="ACMACopyrightHeader"/>
      </w:pPr>
      <w:r w:rsidRPr="00140318">
        <w:t>Copyright notice</w:t>
      </w:r>
    </w:p>
    <w:p w14:paraId="7F83DD4B" w14:textId="77777777" w:rsidR="00140318" w:rsidRPr="006D46E5" w:rsidRDefault="00623FF9" w:rsidP="00623FF9">
      <w:pPr>
        <w:pStyle w:val="ACMACClogo"/>
      </w:pPr>
      <w:r w:rsidRPr="00623FF9">
        <w:rPr>
          <w:noProof/>
        </w:rPr>
        <w:drawing>
          <wp:inline distT="0" distB="0" distL="0" distR="0" wp14:anchorId="433E4373" wp14:editId="46AE6A4B">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00CD86FA" w14:textId="77777777" w:rsidR="00AA2DE5" w:rsidRDefault="008D51DD" w:rsidP="00AA2DE5">
      <w:pPr>
        <w:pStyle w:val="ACMACorporateAddresses"/>
        <w:rPr>
          <w:rStyle w:val="Hyperlink"/>
        </w:rPr>
      </w:pPr>
      <w:hyperlink r:id="rId13" w:history="1">
        <w:r w:rsidR="00AA2DE5">
          <w:rPr>
            <w:rStyle w:val="Hyperlink"/>
          </w:rPr>
          <w:t>https://creativecommons.org/licenses/by/4.0/</w:t>
        </w:r>
      </w:hyperlink>
    </w:p>
    <w:p w14:paraId="67BFDAB1" w14:textId="77777777" w:rsidR="00AA2DE5" w:rsidRDefault="00AA2DE5" w:rsidP="00AA2DE5">
      <w:pPr>
        <w:pStyle w:val="ACMACorporateAddresses"/>
      </w:pPr>
      <w:proofErr w:type="gramStart"/>
      <w:r>
        <w:t>With the exception of</w:t>
      </w:r>
      <w:proofErr w:type="gramEnd"/>
      <w:r>
        <w:t xml:space="preserve"> coats of arms, logos, emblems, images, other third-party material or devices protected by a trademark, this content is made available under the terms of the Creative Commons Attribution 4.0 International (CC BY 4.0) licence. </w:t>
      </w:r>
    </w:p>
    <w:p w14:paraId="4635A925" w14:textId="77777777" w:rsidR="00AA2DE5" w:rsidRDefault="00AA2DE5" w:rsidP="00AA2DE5">
      <w:pPr>
        <w:pStyle w:val="ACMACorporateAddresses"/>
      </w:pPr>
      <w:r>
        <w:t>We request attribution as © Commonwealth of Australia (Australian Communications and Media Authority) 20</w:t>
      </w:r>
      <w:r w:rsidR="00412D87">
        <w:t>20</w:t>
      </w:r>
      <w:r>
        <w:t>.</w:t>
      </w:r>
    </w:p>
    <w:p w14:paraId="13A6C484" w14:textId="77777777" w:rsidR="00AA2DE5" w:rsidRDefault="00AA2DE5" w:rsidP="00AA2DE5">
      <w:pPr>
        <w:pStyle w:val="ACMACorporateAddresses"/>
      </w:pPr>
      <w:r>
        <w:t>All other rights are reserved.</w:t>
      </w:r>
    </w:p>
    <w:p w14:paraId="7FCDA7C8"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0FAAADD4" w14:textId="77777777" w:rsidR="00AA2DE5" w:rsidRDefault="00AA2DE5" w:rsidP="00AA2DE5">
      <w:pPr>
        <w:pStyle w:val="ACMACorporateAddresses"/>
      </w:pPr>
      <w:r>
        <w:t>Written enquiries may be sent to:</w:t>
      </w:r>
    </w:p>
    <w:p w14:paraId="21DB4F65"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7581A410" w14:textId="77777777" w:rsidR="00D16FE3" w:rsidRDefault="00D16FE3" w:rsidP="00D16FE3">
      <w:pPr>
        <w:pStyle w:val="ACMACorporateAddresses"/>
        <w:rPr>
          <w:rStyle w:val="Hyperlink"/>
        </w:rPr>
      </w:pPr>
    </w:p>
    <w:p w14:paraId="097FF9DE"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4CCC55B4" w14:textId="0D280F02" w:rsidR="00FF2FC5" w:rsidRDefault="009B24A5">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"1-3" \t "Exec summary heading,1" </w:instrText>
      </w:r>
      <w:r>
        <w:rPr>
          <w:rFonts w:cs="Arial"/>
        </w:rPr>
        <w:fldChar w:fldCharType="separate"/>
      </w:r>
      <w:r w:rsidR="00FF2FC5">
        <w:t>Introduction</w:t>
      </w:r>
      <w:r w:rsidR="00FF2FC5">
        <w:tab/>
      </w:r>
      <w:r w:rsidR="00FF2FC5">
        <w:fldChar w:fldCharType="begin"/>
      </w:r>
      <w:r w:rsidR="00FF2FC5">
        <w:instrText xml:space="preserve"> PAGEREF _Toc32493522 \h </w:instrText>
      </w:r>
      <w:r w:rsidR="00FF2FC5">
        <w:fldChar w:fldCharType="separate"/>
      </w:r>
      <w:r w:rsidR="00FF2FC5">
        <w:t>1</w:t>
      </w:r>
      <w:r w:rsidR="00FF2FC5">
        <w:fldChar w:fldCharType="end"/>
      </w:r>
    </w:p>
    <w:p w14:paraId="5600B966" w14:textId="1E4772B3" w:rsidR="00FF2FC5" w:rsidRDefault="00FF2FC5">
      <w:pPr>
        <w:pStyle w:val="TOC2"/>
        <w:rPr>
          <w:rFonts w:asciiTheme="minorHAnsi" w:eastAsiaTheme="minorEastAsia" w:hAnsiTheme="minorHAnsi" w:cstheme="minorBidi"/>
          <w:spacing w:val="0"/>
          <w:sz w:val="22"/>
          <w:szCs w:val="22"/>
        </w:rPr>
      </w:pPr>
      <w:r>
        <w:t>Purpose</w:t>
      </w:r>
      <w:r>
        <w:tab/>
      </w:r>
      <w:r>
        <w:fldChar w:fldCharType="begin"/>
      </w:r>
      <w:r>
        <w:instrText xml:space="preserve"> PAGEREF _Toc32493523 \h </w:instrText>
      </w:r>
      <w:r>
        <w:fldChar w:fldCharType="separate"/>
      </w:r>
      <w:r>
        <w:t>1</w:t>
      </w:r>
      <w:r>
        <w:fldChar w:fldCharType="end"/>
      </w:r>
    </w:p>
    <w:p w14:paraId="74D5642E" w14:textId="2721C203" w:rsidR="00FF2FC5" w:rsidRDefault="00FF2FC5">
      <w:pPr>
        <w:pStyle w:val="TOC1"/>
        <w:rPr>
          <w:rFonts w:asciiTheme="minorHAnsi" w:eastAsiaTheme="minorEastAsia" w:hAnsiTheme="minorHAnsi" w:cstheme="minorBidi"/>
          <w:b w:val="0"/>
          <w:spacing w:val="0"/>
          <w:sz w:val="22"/>
          <w:szCs w:val="22"/>
        </w:rPr>
      </w:pPr>
      <w:r>
        <w:t>Background</w:t>
      </w:r>
      <w:r>
        <w:tab/>
      </w:r>
      <w:r>
        <w:fldChar w:fldCharType="begin"/>
      </w:r>
      <w:r>
        <w:instrText xml:space="preserve"> PAGEREF _Toc32493524 \h </w:instrText>
      </w:r>
      <w:r>
        <w:fldChar w:fldCharType="separate"/>
      </w:r>
      <w:r>
        <w:t>2</w:t>
      </w:r>
      <w:r>
        <w:fldChar w:fldCharType="end"/>
      </w:r>
    </w:p>
    <w:p w14:paraId="397128A8" w14:textId="6A28DECD" w:rsidR="00FF2FC5" w:rsidRDefault="00FF2FC5">
      <w:pPr>
        <w:pStyle w:val="TOC1"/>
        <w:rPr>
          <w:rFonts w:asciiTheme="minorHAnsi" w:eastAsiaTheme="minorEastAsia" w:hAnsiTheme="minorHAnsi" w:cstheme="minorBidi"/>
          <w:b w:val="0"/>
          <w:spacing w:val="0"/>
          <w:sz w:val="22"/>
          <w:szCs w:val="22"/>
        </w:rPr>
      </w:pPr>
      <w:r>
        <w:t>Features of area-wide apparatus licences</w:t>
      </w:r>
      <w:r>
        <w:tab/>
      </w:r>
      <w:r>
        <w:fldChar w:fldCharType="begin"/>
      </w:r>
      <w:r>
        <w:instrText xml:space="preserve"> PAGEREF _Toc32493525 \h </w:instrText>
      </w:r>
      <w:r>
        <w:fldChar w:fldCharType="separate"/>
      </w:r>
      <w:r>
        <w:t>3</w:t>
      </w:r>
      <w:r>
        <w:fldChar w:fldCharType="end"/>
      </w:r>
    </w:p>
    <w:p w14:paraId="453176E5" w14:textId="03AB95F7" w:rsidR="00FF2FC5" w:rsidRDefault="00FF2FC5">
      <w:pPr>
        <w:pStyle w:val="TOC1"/>
        <w:rPr>
          <w:rFonts w:asciiTheme="minorHAnsi" w:eastAsiaTheme="minorEastAsia" w:hAnsiTheme="minorHAnsi" w:cstheme="minorBidi"/>
          <w:b w:val="0"/>
          <w:spacing w:val="0"/>
          <w:sz w:val="22"/>
          <w:szCs w:val="22"/>
        </w:rPr>
      </w:pPr>
      <w:r>
        <w:t>Issuing area-wide apparatus licences</w:t>
      </w:r>
      <w:r>
        <w:tab/>
      </w:r>
      <w:r>
        <w:fldChar w:fldCharType="begin"/>
      </w:r>
      <w:r>
        <w:instrText xml:space="preserve"> PAGEREF _Toc32493526 \h </w:instrText>
      </w:r>
      <w:r>
        <w:fldChar w:fldCharType="separate"/>
      </w:r>
      <w:r>
        <w:t>4</w:t>
      </w:r>
      <w:r>
        <w:fldChar w:fldCharType="end"/>
      </w:r>
    </w:p>
    <w:p w14:paraId="15AAFC12" w14:textId="0D918DC5" w:rsidR="00FF2FC5" w:rsidRDefault="00FF2FC5">
      <w:pPr>
        <w:pStyle w:val="TOC2"/>
        <w:rPr>
          <w:rFonts w:asciiTheme="minorHAnsi" w:eastAsiaTheme="minorEastAsia" w:hAnsiTheme="minorHAnsi" w:cstheme="minorBidi"/>
          <w:spacing w:val="0"/>
          <w:sz w:val="22"/>
          <w:szCs w:val="22"/>
        </w:rPr>
      </w:pPr>
      <w:r>
        <w:t>Managing interference and use of spectrum</w:t>
      </w:r>
      <w:r>
        <w:tab/>
      </w:r>
      <w:r>
        <w:fldChar w:fldCharType="begin"/>
      </w:r>
      <w:r>
        <w:instrText xml:space="preserve"> PAGEREF _Toc32493527 \h </w:instrText>
      </w:r>
      <w:r>
        <w:fldChar w:fldCharType="separate"/>
      </w:r>
      <w:r>
        <w:t>4</w:t>
      </w:r>
      <w:r>
        <w:fldChar w:fldCharType="end"/>
      </w:r>
    </w:p>
    <w:p w14:paraId="5B94FFF3" w14:textId="203878DE" w:rsidR="00FF2FC5" w:rsidRDefault="00FF2FC5">
      <w:pPr>
        <w:pStyle w:val="TOC2"/>
        <w:rPr>
          <w:rFonts w:asciiTheme="minorHAnsi" w:eastAsiaTheme="minorEastAsia" w:hAnsiTheme="minorHAnsi" w:cstheme="minorBidi"/>
          <w:spacing w:val="0"/>
          <w:sz w:val="22"/>
          <w:szCs w:val="22"/>
        </w:rPr>
      </w:pPr>
      <w:r>
        <w:t>AWL Licence Condition Determination</w:t>
      </w:r>
      <w:r>
        <w:tab/>
      </w:r>
      <w:r>
        <w:fldChar w:fldCharType="begin"/>
      </w:r>
      <w:r>
        <w:instrText xml:space="preserve"> PAGEREF _Toc32493528 \h </w:instrText>
      </w:r>
      <w:r>
        <w:fldChar w:fldCharType="separate"/>
      </w:r>
      <w:r>
        <w:t>5</w:t>
      </w:r>
      <w:r>
        <w:fldChar w:fldCharType="end"/>
      </w:r>
    </w:p>
    <w:p w14:paraId="7E2BFD11" w14:textId="777414C2" w:rsidR="00FF2FC5" w:rsidRDefault="00FF2FC5">
      <w:pPr>
        <w:pStyle w:val="TOC2"/>
        <w:rPr>
          <w:rFonts w:asciiTheme="minorHAnsi" w:eastAsiaTheme="minorEastAsia" w:hAnsiTheme="minorHAnsi" w:cstheme="minorBidi"/>
          <w:spacing w:val="0"/>
          <w:sz w:val="22"/>
          <w:szCs w:val="22"/>
        </w:rPr>
      </w:pPr>
      <w:r>
        <w:t>Spectrum planning</w:t>
      </w:r>
      <w:r>
        <w:tab/>
      </w:r>
      <w:r>
        <w:fldChar w:fldCharType="begin"/>
      </w:r>
      <w:r>
        <w:instrText xml:space="preserve"> PAGEREF _Toc32493529 \h </w:instrText>
      </w:r>
      <w:r>
        <w:fldChar w:fldCharType="separate"/>
      </w:r>
      <w:r>
        <w:t>6</w:t>
      </w:r>
      <w:r>
        <w:fldChar w:fldCharType="end"/>
      </w:r>
    </w:p>
    <w:p w14:paraId="789875AD" w14:textId="6755562F" w:rsidR="00FF2FC5" w:rsidRDefault="00FF2FC5">
      <w:pPr>
        <w:pStyle w:val="TOC2"/>
        <w:rPr>
          <w:rFonts w:asciiTheme="minorHAnsi" w:eastAsiaTheme="minorEastAsia" w:hAnsiTheme="minorHAnsi" w:cstheme="minorBidi"/>
          <w:spacing w:val="0"/>
          <w:sz w:val="22"/>
          <w:szCs w:val="22"/>
        </w:rPr>
      </w:pPr>
      <w:r>
        <w:t>Registration of devices</w:t>
      </w:r>
      <w:r>
        <w:tab/>
      </w:r>
      <w:r>
        <w:fldChar w:fldCharType="begin"/>
      </w:r>
      <w:r>
        <w:instrText xml:space="preserve"> PAGEREF _Toc32493530 \h </w:instrText>
      </w:r>
      <w:r>
        <w:fldChar w:fldCharType="separate"/>
      </w:r>
      <w:r>
        <w:t>6</w:t>
      </w:r>
      <w:r>
        <w:fldChar w:fldCharType="end"/>
      </w:r>
    </w:p>
    <w:p w14:paraId="0BE75B79" w14:textId="4B924B17" w:rsidR="00FF2FC5" w:rsidRDefault="00FF2FC5">
      <w:pPr>
        <w:pStyle w:val="TOC2"/>
        <w:rPr>
          <w:rFonts w:asciiTheme="minorHAnsi" w:eastAsiaTheme="minorEastAsia" w:hAnsiTheme="minorHAnsi" w:cstheme="minorBidi"/>
          <w:spacing w:val="0"/>
          <w:sz w:val="22"/>
          <w:szCs w:val="22"/>
        </w:rPr>
      </w:pPr>
      <w:r>
        <w:t>Pricing and methods of allocation</w:t>
      </w:r>
      <w:r>
        <w:tab/>
      </w:r>
      <w:r>
        <w:fldChar w:fldCharType="begin"/>
      </w:r>
      <w:r>
        <w:instrText xml:space="preserve"> PAGEREF _Toc32493531 \h </w:instrText>
      </w:r>
      <w:r>
        <w:fldChar w:fldCharType="separate"/>
      </w:r>
      <w:r>
        <w:t>7</w:t>
      </w:r>
      <w:r>
        <w:fldChar w:fldCharType="end"/>
      </w:r>
    </w:p>
    <w:p w14:paraId="45ACDA8B" w14:textId="6941986C" w:rsidR="00FF2FC5" w:rsidRDefault="00FF2FC5">
      <w:pPr>
        <w:pStyle w:val="TOC1"/>
        <w:rPr>
          <w:rFonts w:asciiTheme="minorHAnsi" w:eastAsiaTheme="minorEastAsia" w:hAnsiTheme="minorHAnsi" w:cstheme="minorBidi"/>
          <w:b w:val="0"/>
          <w:spacing w:val="0"/>
          <w:sz w:val="22"/>
          <w:szCs w:val="22"/>
        </w:rPr>
      </w:pPr>
      <w:r>
        <w:t>Next steps</w:t>
      </w:r>
      <w:r>
        <w:tab/>
      </w:r>
      <w:r>
        <w:fldChar w:fldCharType="begin"/>
      </w:r>
      <w:r>
        <w:instrText xml:space="preserve"> PAGEREF _Toc32493532 \h </w:instrText>
      </w:r>
      <w:r>
        <w:fldChar w:fldCharType="separate"/>
      </w:r>
      <w:r>
        <w:t>8</w:t>
      </w:r>
      <w:r>
        <w:fldChar w:fldCharType="end"/>
      </w:r>
    </w:p>
    <w:p w14:paraId="66E8944F" w14:textId="6195D9AB" w:rsidR="0058555D" w:rsidRDefault="009B24A5" w:rsidP="00403500">
      <w:pPr>
        <w:spacing w:after="0" w:line="240" w:lineRule="auto"/>
        <w:rPr>
          <w:rFonts w:cs="Arial"/>
          <w:noProof/>
          <w:spacing w:val="-14"/>
          <w:sz w:val="28"/>
        </w:rPr>
      </w:pPr>
      <w:r>
        <w:rPr>
          <w:rFonts w:cs="Arial"/>
          <w:noProof/>
          <w:spacing w:val="-14"/>
          <w:sz w:val="28"/>
        </w:rPr>
        <w:fldChar w:fldCharType="end"/>
      </w:r>
    </w:p>
    <w:p w14:paraId="4828BF7F" w14:textId="14816258" w:rsidR="0058555D" w:rsidRPr="0058555D" w:rsidRDefault="0058555D" w:rsidP="0058555D">
      <w:pPr>
        <w:tabs>
          <w:tab w:val="left" w:pos="2175"/>
        </w:tabs>
        <w:rPr>
          <w:rFonts w:cs="Arial"/>
        </w:rPr>
        <w:sectPr w:rsidR="0058555D" w:rsidRPr="0058555D"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p>
    <w:p w14:paraId="5E473457" w14:textId="77777777" w:rsidR="008257B1" w:rsidRDefault="008257B1" w:rsidP="00670FEB">
      <w:pPr>
        <w:pStyle w:val="Heading1"/>
      </w:pPr>
      <w:bookmarkStart w:id="1" w:name="_Toc32493522"/>
      <w:r w:rsidRPr="00547E2E">
        <w:lastRenderedPageBreak/>
        <w:t>Introduction</w:t>
      </w:r>
      <w:bookmarkEnd w:id="1"/>
      <w:r w:rsidRPr="00547E2E">
        <w:t xml:space="preserve"> </w:t>
      </w:r>
    </w:p>
    <w:p w14:paraId="6CAFD933" w14:textId="77777777" w:rsidR="008257B1" w:rsidRPr="00224FEA" w:rsidRDefault="008257B1" w:rsidP="00670FEB">
      <w:pPr>
        <w:pStyle w:val="Heading2"/>
      </w:pPr>
      <w:bookmarkStart w:id="2" w:name="_Toc32411990"/>
      <w:bookmarkStart w:id="3" w:name="_Toc32485577"/>
      <w:bookmarkStart w:id="4" w:name="_Toc32493523"/>
      <w:r w:rsidRPr="00187162">
        <w:t>Purpose</w:t>
      </w:r>
      <w:bookmarkEnd w:id="2"/>
      <w:bookmarkEnd w:id="3"/>
      <w:bookmarkEnd w:id="4"/>
      <w:r w:rsidRPr="00187162">
        <w:t xml:space="preserve"> </w:t>
      </w:r>
    </w:p>
    <w:p w14:paraId="64BCA122" w14:textId="335EBAE6" w:rsidR="00884682" w:rsidRDefault="008257B1" w:rsidP="00F54838">
      <w:pPr>
        <w:pStyle w:val="Paragraph"/>
      </w:pPr>
      <w:r>
        <w:t>Th</w:t>
      </w:r>
      <w:r w:rsidR="00687B29">
        <w:t>is</w:t>
      </w:r>
      <w:r w:rsidR="000260AE">
        <w:t xml:space="preserve"> </w:t>
      </w:r>
      <w:r>
        <w:t xml:space="preserve">paper </w:t>
      </w:r>
      <w:r w:rsidR="000260AE">
        <w:t>set</w:t>
      </w:r>
      <w:r w:rsidR="00260E87">
        <w:t>s</w:t>
      </w:r>
      <w:r w:rsidR="000260AE">
        <w:t xml:space="preserve"> out </w:t>
      </w:r>
      <w:r w:rsidR="000260AE" w:rsidRPr="001277F7">
        <w:t xml:space="preserve">the </w:t>
      </w:r>
      <w:r w:rsidR="00DC63C7">
        <w:t xml:space="preserve">approach of the </w:t>
      </w:r>
      <w:r w:rsidR="00F16E33">
        <w:t>Australian Communications and Media Authorit</w:t>
      </w:r>
      <w:r w:rsidR="00DC63C7">
        <w:t>y</w:t>
      </w:r>
      <w:r w:rsidR="00F0421C">
        <w:t xml:space="preserve"> (</w:t>
      </w:r>
      <w:r w:rsidR="000260AE" w:rsidRPr="001277F7">
        <w:t>ACMA</w:t>
      </w:r>
      <w:r w:rsidR="00F0421C">
        <w:t>)</w:t>
      </w:r>
      <w:r w:rsidR="000260AE" w:rsidRPr="001277F7">
        <w:t xml:space="preserve"> </w:t>
      </w:r>
      <w:r w:rsidR="00FF338F">
        <w:t xml:space="preserve">to </w:t>
      </w:r>
      <w:r w:rsidR="000260AE">
        <w:t xml:space="preserve">implementing </w:t>
      </w:r>
      <w:r w:rsidR="00FF338F">
        <w:t xml:space="preserve">the </w:t>
      </w:r>
      <w:r w:rsidR="00D73FCE">
        <w:t xml:space="preserve">area-wide apparatus licence (AWL) </w:t>
      </w:r>
      <w:r w:rsidR="000260AE" w:rsidRPr="00C9737A">
        <w:t>type</w:t>
      </w:r>
      <w:r w:rsidR="00884682">
        <w:t>.</w:t>
      </w:r>
    </w:p>
    <w:p w14:paraId="2322CCCB" w14:textId="1B569AAB" w:rsidR="00884682" w:rsidRDefault="00884682" w:rsidP="0004746F">
      <w:pPr>
        <w:pStyle w:val="Paragraphbeforelist"/>
      </w:pPr>
      <w:r>
        <w:t>The development of an area-wide apparatus licence type is a response to changes in technology and requests from spectrum users for additional flexibility within the apparatus licensing</w:t>
      </w:r>
      <w:r w:rsidR="00FF3A5A">
        <w:t xml:space="preserve"> system</w:t>
      </w:r>
      <w:r>
        <w:t xml:space="preserve">. </w:t>
      </w:r>
      <w:r w:rsidRPr="005D179A">
        <w:t xml:space="preserve">The AWL </w:t>
      </w:r>
      <w:r>
        <w:t>type is intended to offer another form of licensed spectrum use under a set of key attributes that include:</w:t>
      </w:r>
    </w:p>
    <w:p w14:paraId="160F3632" w14:textId="45D9EB6B" w:rsidR="00884682" w:rsidRDefault="00884682" w:rsidP="00884682">
      <w:pPr>
        <w:pStyle w:val="ListBullet"/>
      </w:pPr>
      <w:r w:rsidRPr="005860C4">
        <w:rPr>
          <w:b/>
          <w:bCs/>
        </w:rPr>
        <w:t>Area-based:</w:t>
      </w:r>
      <w:r>
        <w:t xml:space="preserve"> A licence will authorise </w:t>
      </w:r>
      <w:r w:rsidRPr="00C76322">
        <w:t>radiocommunications devices within a specified area</w:t>
      </w:r>
      <w:r>
        <w:t xml:space="preserve">, rather than at specific location(s). Interference with other services is primarily managed </w:t>
      </w:r>
      <w:proofErr w:type="gramStart"/>
      <w:r>
        <w:t>through the use of</w:t>
      </w:r>
      <w:proofErr w:type="gramEnd"/>
      <w:r>
        <w:t xml:space="preserve"> technical conditions that apply to the geographic and frequency boundary of the licence, rather than by detailed technical specifications for radiocommunications devices authorised under the</w:t>
      </w:r>
      <w:r w:rsidR="00DC63C7">
        <w:t> </w:t>
      </w:r>
      <w:r>
        <w:t>licence.</w:t>
      </w:r>
    </w:p>
    <w:p w14:paraId="609ED57C" w14:textId="54294F92" w:rsidR="00884682" w:rsidRDefault="00884682" w:rsidP="00884682">
      <w:pPr>
        <w:pStyle w:val="ListBullet"/>
      </w:pPr>
      <w:r w:rsidRPr="005860C4">
        <w:rPr>
          <w:b/>
          <w:bCs/>
        </w:rPr>
        <w:t>Broad application:</w:t>
      </w:r>
      <w:r>
        <w:t xml:space="preserve"> The licences may be used for a wide range of purposes, uses, services, applications and technologies. However, an individual licence, when issued, may include special conditions that limit the operation of a radiocommunications device under the licence to an identified purpose, use or</w:t>
      </w:r>
      <w:r w:rsidR="00DC63C7">
        <w:t> </w:t>
      </w:r>
      <w:r>
        <w:t xml:space="preserve">service. </w:t>
      </w:r>
    </w:p>
    <w:p w14:paraId="4870CE2A" w14:textId="4FDE7CDD" w:rsidR="00884682" w:rsidRDefault="00884682" w:rsidP="00884682">
      <w:pPr>
        <w:pStyle w:val="ListBullet"/>
      </w:pPr>
      <w:r w:rsidRPr="005860C4">
        <w:rPr>
          <w:b/>
          <w:bCs/>
        </w:rPr>
        <w:t>Scalable:</w:t>
      </w:r>
      <w:r>
        <w:t xml:space="preserve"> The licences will be capable of being adapted to a variety of technologies and/or uses, with different</w:t>
      </w:r>
      <w:r w:rsidR="00DC63C7">
        <w:t>-</w:t>
      </w:r>
      <w:r>
        <w:t xml:space="preserve">sized areas and frequency bandwidths. </w:t>
      </w:r>
    </w:p>
    <w:p w14:paraId="2AA1EC1D" w14:textId="2569088C" w:rsidR="00884682" w:rsidRDefault="00884682" w:rsidP="00884682">
      <w:pPr>
        <w:pStyle w:val="ListBulletLast"/>
      </w:pPr>
      <w:r w:rsidRPr="005860C4">
        <w:rPr>
          <w:b/>
          <w:bCs/>
        </w:rPr>
        <w:t>Aggregable:</w:t>
      </w:r>
      <w:r>
        <w:t xml:space="preserve"> </w:t>
      </w:r>
      <w:proofErr w:type="gramStart"/>
      <w:r>
        <w:t>A number of</w:t>
      </w:r>
      <w:proofErr w:type="gramEnd"/>
      <w:r>
        <w:t xml:space="preserve"> AWLs adjacent in geography, frequency</w:t>
      </w:r>
      <w:r w:rsidR="00DC63C7">
        <w:t>,</w:t>
      </w:r>
      <w:r>
        <w:t xml:space="preserve"> or both, can be aggregated into a single transmitter licence, with boundary conditions applying only to the boundary of the aggregated licence, not the component licences. Aggregation is expected to require the surrender of the component licences and the issue of a new transmitter licence that covers the areas of the component licences.</w:t>
      </w:r>
    </w:p>
    <w:p w14:paraId="1155578C" w14:textId="60A0FFC9" w:rsidR="00D22DDB" w:rsidRDefault="00B26A7D" w:rsidP="005860C4">
      <w:pPr>
        <w:pStyle w:val="Paragraphbeforelist"/>
      </w:pPr>
      <w:r>
        <w:t>This framework is intended to provide licensees with ‘building blocks’ to support a wide range of spectrum uses, network types and service and technology uses</w:t>
      </w:r>
      <w:r w:rsidR="00F54838">
        <w:t xml:space="preserve">. </w:t>
      </w:r>
      <w:r w:rsidR="003F5DFF">
        <w:t xml:space="preserve">AWLs include: </w:t>
      </w:r>
    </w:p>
    <w:p w14:paraId="120C50C2" w14:textId="0713FF28" w:rsidR="00D22DDB" w:rsidRDefault="00D02B00" w:rsidP="00D22DDB">
      <w:pPr>
        <w:pStyle w:val="ListBullet"/>
      </w:pPr>
      <w:r w:rsidRPr="00D02B00">
        <w:t>the</w:t>
      </w:r>
      <w:r>
        <w:rPr>
          <w:i/>
          <w:iCs/>
        </w:rPr>
        <w:t xml:space="preserve"> </w:t>
      </w:r>
      <w:r w:rsidR="00DC63C7">
        <w:t>‘</w:t>
      </w:r>
      <w:r w:rsidR="0007571D" w:rsidRPr="005860C4">
        <w:t>area-wide</w:t>
      </w:r>
      <w:r w:rsidR="00DC63C7">
        <w:t>’</w:t>
      </w:r>
      <w:r w:rsidR="0007571D" w:rsidRPr="00C9737A">
        <w:t xml:space="preserve"> type for transmitter licences</w:t>
      </w:r>
    </w:p>
    <w:p w14:paraId="1E039293" w14:textId="1457216F" w:rsidR="003F73C3" w:rsidRDefault="0007571D" w:rsidP="00884682">
      <w:pPr>
        <w:pStyle w:val="ListBulletLast"/>
      </w:pPr>
      <w:r w:rsidRPr="00C9737A">
        <w:t xml:space="preserve">the </w:t>
      </w:r>
      <w:r w:rsidR="00DC63C7">
        <w:t>‘</w:t>
      </w:r>
      <w:r w:rsidRPr="005860C4">
        <w:t>area-wide</w:t>
      </w:r>
      <w:r w:rsidRPr="00C9737A">
        <w:rPr>
          <w:i/>
          <w:iCs/>
        </w:rPr>
        <w:t xml:space="preserve"> </w:t>
      </w:r>
      <w:r w:rsidRPr="005860C4">
        <w:t>receive</w:t>
      </w:r>
      <w:r w:rsidR="00DC63C7">
        <w:t>’</w:t>
      </w:r>
      <w:r w:rsidRPr="00C9737A">
        <w:t xml:space="preserve"> type for receiver licences. </w:t>
      </w:r>
    </w:p>
    <w:p w14:paraId="0A1ADE5B" w14:textId="4979A9AB" w:rsidR="00024600" w:rsidRPr="009839E4" w:rsidRDefault="0007571D" w:rsidP="005860C4">
      <w:pPr>
        <w:pStyle w:val="Paragraph"/>
      </w:pPr>
      <w:r>
        <w:t>The paper</w:t>
      </w:r>
      <w:r w:rsidR="00024B25">
        <w:t xml:space="preserve"> </w:t>
      </w:r>
      <w:r w:rsidR="00024600">
        <w:t xml:space="preserve">outlines </w:t>
      </w:r>
      <w:r w:rsidR="00613058">
        <w:t>the issues</w:t>
      </w:r>
      <w:r w:rsidR="00613058" w:rsidRPr="0064031B">
        <w:t xml:space="preserve"> </w:t>
      </w:r>
      <w:r w:rsidR="00417957">
        <w:t xml:space="preserve">on which </w:t>
      </w:r>
      <w:r w:rsidR="00613058" w:rsidRPr="0064031B">
        <w:t xml:space="preserve">the ACMA </w:t>
      </w:r>
      <w:r w:rsidR="00884682">
        <w:t xml:space="preserve">is seeking </w:t>
      </w:r>
      <w:r w:rsidR="00417957">
        <w:t xml:space="preserve">feedback as part of </w:t>
      </w:r>
      <w:r w:rsidR="00613058" w:rsidRPr="0064031B">
        <w:t xml:space="preserve">considering the implementation of </w:t>
      </w:r>
      <w:r w:rsidR="00613058">
        <w:t>AWL</w:t>
      </w:r>
      <w:r>
        <w:t>s</w:t>
      </w:r>
      <w:r w:rsidR="00613058" w:rsidRPr="0064031B">
        <w:t xml:space="preserve"> in a</w:t>
      </w:r>
      <w:r w:rsidR="008D4D45">
        <w:t xml:space="preserve"> </w:t>
      </w:r>
      <w:proofErr w:type="gramStart"/>
      <w:r w:rsidR="008D4D45">
        <w:t>particular</w:t>
      </w:r>
      <w:r w:rsidR="00343905">
        <w:t xml:space="preserve"> frequency</w:t>
      </w:r>
      <w:proofErr w:type="gramEnd"/>
      <w:r w:rsidR="00531FBB">
        <w:t xml:space="preserve"> </w:t>
      </w:r>
      <w:r w:rsidR="00613058" w:rsidRPr="0064031B">
        <w:t>band</w:t>
      </w:r>
      <w:r w:rsidR="00481A8A">
        <w:t xml:space="preserve">. </w:t>
      </w:r>
      <w:r w:rsidR="00162F38">
        <w:t xml:space="preserve">The </w:t>
      </w:r>
      <w:r w:rsidR="00DC7DD1">
        <w:t xml:space="preserve">ACMA intends that specific arrangements for interference management will be </w:t>
      </w:r>
      <w:r w:rsidR="00024600">
        <w:t>subject to stakeholder consultation</w:t>
      </w:r>
      <w:r w:rsidR="009B2DA3">
        <w:t xml:space="preserve"> before AWLs can be issued.</w:t>
      </w:r>
      <w:r w:rsidR="00E6544D" w:rsidRPr="00E6544D">
        <w:t xml:space="preserve"> The approach the ACMA adopts in a </w:t>
      </w:r>
      <w:proofErr w:type="gramStart"/>
      <w:r w:rsidR="00E6544D" w:rsidRPr="00E6544D">
        <w:t>particular band</w:t>
      </w:r>
      <w:proofErr w:type="gramEnd"/>
      <w:r w:rsidR="00E6544D" w:rsidRPr="00E6544D">
        <w:t xml:space="preserve"> will not necessarily be used for other bands that are considered for</w:t>
      </w:r>
      <w:r w:rsidR="00DC63C7">
        <w:t> </w:t>
      </w:r>
      <w:r w:rsidR="00E6544D" w:rsidRPr="00E6544D">
        <w:t>AWLs</w:t>
      </w:r>
      <w:r w:rsidR="00481A8A">
        <w:t xml:space="preserve">. </w:t>
      </w:r>
    </w:p>
    <w:p w14:paraId="43D11170" w14:textId="77777777" w:rsidR="00E21DCD" w:rsidRDefault="00E21DCD" w:rsidP="00E21DCD">
      <w:pPr>
        <w:pStyle w:val="Paragraph"/>
      </w:pPr>
      <w:bookmarkStart w:id="5" w:name="_Hlk25070394"/>
      <w:r>
        <w:t xml:space="preserve">This statement of general </w:t>
      </w:r>
      <w:r w:rsidR="00BD70EA">
        <w:t>approach</w:t>
      </w:r>
      <w:r>
        <w:t xml:space="preserve"> cannot and does not </w:t>
      </w:r>
      <w:r w:rsidR="00343905">
        <w:t xml:space="preserve">bind </w:t>
      </w:r>
      <w:r>
        <w:t xml:space="preserve">the Authority’s discretion in the making of future decisions about the matters discussed in this paper or any other matter. The ACMA will assess each decision it makes under the </w:t>
      </w:r>
      <w:r w:rsidRPr="00EE68E6">
        <w:rPr>
          <w:i/>
          <w:iCs/>
        </w:rPr>
        <w:t>Radiocommunications Act 1992</w:t>
      </w:r>
      <w:r w:rsidR="006005BA">
        <w:t xml:space="preserve"> (the Act)</w:t>
      </w:r>
      <w:r>
        <w:t>, and under any future legislation, on its merits and in accordance with the requirements of any applicable legislation and administrative law.</w:t>
      </w:r>
    </w:p>
    <w:p w14:paraId="4696E15C" w14:textId="77777777" w:rsidR="008257B1" w:rsidRPr="001C5B5B" w:rsidRDefault="008257B1" w:rsidP="00670FEB">
      <w:pPr>
        <w:pStyle w:val="Heading1"/>
      </w:pPr>
      <w:bookmarkStart w:id="6" w:name="_Toc32493524"/>
      <w:bookmarkEnd w:id="5"/>
      <w:r>
        <w:lastRenderedPageBreak/>
        <w:t>Background</w:t>
      </w:r>
      <w:bookmarkEnd w:id="6"/>
      <w:r>
        <w:t xml:space="preserve"> </w:t>
      </w:r>
      <w:r w:rsidRPr="00547E2E">
        <w:t xml:space="preserve"> </w:t>
      </w:r>
    </w:p>
    <w:p w14:paraId="255060F0" w14:textId="77777777" w:rsidR="006D468E" w:rsidRDefault="00EF6351" w:rsidP="006D468E">
      <w:pPr>
        <w:autoSpaceDE w:val="0"/>
        <w:autoSpaceDN w:val="0"/>
        <w:adjustRightInd w:val="0"/>
      </w:pPr>
      <w:r>
        <w:rPr>
          <w:rFonts w:eastAsia="ArialMT" w:cs="Arial"/>
          <w:szCs w:val="20"/>
        </w:rPr>
        <w:t xml:space="preserve">The ACMA has made </w:t>
      </w:r>
      <w:r w:rsidRPr="00997499">
        <w:rPr>
          <w:rFonts w:cs="Arial"/>
          <w:bCs/>
        </w:rPr>
        <w:t xml:space="preserve">the </w:t>
      </w:r>
      <w:r w:rsidRPr="005860C4">
        <w:rPr>
          <w:rFonts w:cs="Arial"/>
        </w:rPr>
        <w:t>Radiocommunications Legislation (20</w:t>
      </w:r>
      <w:r w:rsidR="001D7EDA" w:rsidRPr="005860C4">
        <w:rPr>
          <w:rFonts w:cs="Arial"/>
        </w:rPr>
        <w:t>20</w:t>
      </w:r>
      <w:r w:rsidRPr="005860C4">
        <w:rPr>
          <w:rFonts w:cs="Arial"/>
        </w:rPr>
        <w:t xml:space="preserve"> Measures No. 1) Instrument</w:t>
      </w:r>
      <w:r w:rsidRPr="005860C4">
        <w:rPr>
          <w:rFonts w:cs="Arial"/>
          <w:bCs/>
        </w:rPr>
        <w:t xml:space="preserve"> 20</w:t>
      </w:r>
      <w:r w:rsidR="001D7EDA" w:rsidRPr="005860C4">
        <w:rPr>
          <w:rFonts w:cs="Arial"/>
          <w:bCs/>
        </w:rPr>
        <w:t>20</w:t>
      </w:r>
      <w:r w:rsidRPr="004140A8">
        <w:rPr>
          <w:rFonts w:cs="Arial"/>
          <w:bCs/>
          <w:i/>
          <w:iCs/>
        </w:rPr>
        <w:t xml:space="preserve"> </w:t>
      </w:r>
      <w:r>
        <w:rPr>
          <w:rFonts w:cs="Arial"/>
          <w:bCs/>
        </w:rPr>
        <w:t xml:space="preserve">and the </w:t>
      </w:r>
      <w:r w:rsidRPr="005860C4">
        <w:t>Radiocommunications Licence Conditions (Area-Wide Licence) Determination 20</w:t>
      </w:r>
      <w:r w:rsidR="002E5B1E" w:rsidRPr="005860C4">
        <w:t>20</w:t>
      </w:r>
      <w:r w:rsidRPr="004140A8">
        <w:rPr>
          <w:i/>
          <w:iCs/>
        </w:rPr>
        <w:t xml:space="preserve"> </w:t>
      </w:r>
      <w:r w:rsidRPr="00EF6351">
        <w:t>(AWL LCD)</w:t>
      </w:r>
      <w:r>
        <w:t xml:space="preserve"> instruments, which together make up the regulatory framework for AWLs. </w:t>
      </w:r>
    </w:p>
    <w:p w14:paraId="17A39ADA" w14:textId="77777777" w:rsidR="00EF6351" w:rsidRDefault="00EF6351" w:rsidP="005860C4">
      <w:pPr>
        <w:pStyle w:val="Paragraphbeforelist"/>
      </w:pPr>
      <w:r>
        <w:t>The first instrument consists of</w:t>
      </w:r>
      <w:r w:rsidR="003647C5">
        <w:t xml:space="preserve"> </w:t>
      </w:r>
      <w:r w:rsidR="0007571D">
        <w:t>amendments</w:t>
      </w:r>
      <w:r w:rsidR="003647C5">
        <w:t xml:space="preserve"> to</w:t>
      </w:r>
      <w:r>
        <w:t xml:space="preserve">: </w:t>
      </w:r>
    </w:p>
    <w:p w14:paraId="7A78517E" w14:textId="5B1FD8DF" w:rsidR="00EF6351" w:rsidRPr="00670FEB" w:rsidRDefault="00EF6351" w:rsidP="00670FEB">
      <w:pPr>
        <w:pStyle w:val="ListBullet"/>
      </w:pPr>
      <w:r w:rsidRPr="00670FEB">
        <w:t xml:space="preserve">the </w:t>
      </w:r>
      <w:hyperlink r:id="rId24" w:history="1">
        <w:r w:rsidRPr="005860C4">
          <w:rPr>
            <w:rStyle w:val="Hyperlink"/>
            <w:color w:val="auto"/>
            <w:u w:val="none"/>
          </w:rPr>
          <w:t>Radiocommunications (Specified Radiocommunications Receivers and Types of Transmitter Licences and Receiver Licences) Determination 2014</w:t>
        </w:r>
      </w:hyperlink>
      <w:r w:rsidRPr="00670FEB">
        <w:t xml:space="preserve"> to reference the AWL as a transmitter </w:t>
      </w:r>
      <w:r w:rsidR="00DD229C">
        <w:t xml:space="preserve">licence type </w:t>
      </w:r>
      <w:r w:rsidRPr="00670FEB">
        <w:t>and receiver licence type</w:t>
      </w:r>
    </w:p>
    <w:p w14:paraId="74DB46BB" w14:textId="49E0F1C9" w:rsidR="00EF6351" w:rsidRPr="00670FEB" w:rsidRDefault="00EF6351" w:rsidP="00670FEB">
      <w:pPr>
        <w:pStyle w:val="ListBullet"/>
      </w:pPr>
      <w:r w:rsidRPr="00670FEB">
        <w:t xml:space="preserve">the </w:t>
      </w:r>
      <w:hyperlink r:id="rId25" w:history="1">
        <w:r w:rsidRPr="005860C4">
          <w:rPr>
            <w:rStyle w:val="Hyperlink"/>
            <w:color w:val="auto"/>
            <w:u w:val="none"/>
          </w:rPr>
          <w:t>Radiocommunications (Interpretation) Determination 2015</w:t>
        </w:r>
      </w:hyperlink>
      <w:r w:rsidRPr="00670FEB">
        <w:t xml:space="preserve"> to define the AWL concept and related terms, including that the frequency band for the service and the geographic area</w:t>
      </w:r>
      <w:r w:rsidR="001D3AA8">
        <w:t xml:space="preserve"> </w:t>
      </w:r>
      <w:r w:rsidR="00F130B5">
        <w:t>within which</w:t>
      </w:r>
      <w:r w:rsidR="004E51D5">
        <w:t xml:space="preserve"> area-wide stations and area-wide receive stations (if any)</w:t>
      </w:r>
      <w:r w:rsidR="00F130B5">
        <w:t xml:space="preserve"> are located</w:t>
      </w:r>
      <w:r w:rsidRPr="00670FEB">
        <w:t xml:space="preserve"> will be specified in the licence</w:t>
      </w:r>
      <w:r w:rsidR="008E008C">
        <w:rPr>
          <w:rStyle w:val="FootnoteReference"/>
        </w:rPr>
        <w:footnoteReference w:id="2"/>
      </w:r>
      <w:r w:rsidRPr="00670FEB">
        <w:t xml:space="preserve"> </w:t>
      </w:r>
    </w:p>
    <w:p w14:paraId="1B356CCC" w14:textId="77777777" w:rsidR="00EF6351" w:rsidRPr="00670FEB" w:rsidRDefault="00EF6351" w:rsidP="00670FEB">
      <w:pPr>
        <w:pStyle w:val="ListBulletLast"/>
      </w:pPr>
      <w:r w:rsidRPr="00670FEB">
        <w:t xml:space="preserve">the </w:t>
      </w:r>
      <w:hyperlink r:id="rId26" w:history="1">
        <w:r w:rsidRPr="005860C4">
          <w:rPr>
            <w:rStyle w:val="Hyperlink"/>
            <w:color w:val="auto"/>
            <w:u w:val="none"/>
          </w:rPr>
          <w:t>Radiocommunications (Register of Radiocommunications Licences) Determination 2017</w:t>
        </w:r>
      </w:hyperlink>
      <w:r w:rsidRPr="00670FEB">
        <w:t xml:space="preserve"> </w:t>
      </w:r>
      <w:r w:rsidR="008763A8" w:rsidRPr="00670FEB">
        <w:t xml:space="preserve">(RRL Determination) </w:t>
      </w:r>
      <w:r w:rsidRPr="00670FEB">
        <w:t>to exempt AWL licensees from certain device registration requirements</w:t>
      </w:r>
      <w:r w:rsidR="0007571D" w:rsidRPr="00670FEB">
        <w:t>, unless a licence condition requires otherwise</w:t>
      </w:r>
      <w:r w:rsidR="00EB6913" w:rsidRPr="00670FEB">
        <w:t>.</w:t>
      </w:r>
    </w:p>
    <w:p w14:paraId="6B9B8122" w14:textId="77777777" w:rsidR="00EF6351" w:rsidRDefault="00EF6351" w:rsidP="00B16D97">
      <w:pPr>
        <w:autoSpaceDE w:val="0"/>
        <w:autoSpaceDN w:val="0"/>
        <w:adjustRightInd w:val="0"/>
      </w:pPr>
      <w:r>
        <w:t xml:space="preserve">The AWL LCD </w:t>
      </w:r>
      <w:r w:rsidRPr="00E302EB">
        <w:t>contain</w:t>
      </w:r>
      <w:r w:rsidR="00543B45">
        <w:t>s</w:t>
      </w:r>
      <w:r w:rsidR="00AC4881">
        <w:t xml:space="preserve"> a</w:t>
      </w:r>
      <w:r w:rsidRPr="00E302EB">
        <w:t xml:space="preserve"> condition </w:t>
      </w:r>
      <w:r>
        <w:t xml:space="preserve">for </w:t>
      </w:r>
      <w:r w:rsidRPr="00E302EB">
        <w:t xml:space="preserve">the </w:t>
      </w:r>
      <w:r w:rsidR="00FD0874">
        <w:t>provision</w:t>
      </w:r>
      <w:r w:rsidR="001F24EA">
        <w:t>, upon request,</w:t>
      </w:r>
      <w:r w:rsidR="00FD0874">
        <w:t xml:space="preserve"> of information by licensees regarding </w:t>
      </w:r>
      <w:r w:rsidRPr="00E302EB">
        <w:t xml:space="preserve">radiocommunications devices authorised under the AWL transmitter </w:t>
      </w:r>
      <w:r w:rsidR="0007571D">
        <w:t xml:space="preserve">licence </w:t>
      </w:r>
      <w:r w:rsidRPr="00E302EB">
        <w:t>type</w:t>
      </w:r>
      <w:r>
        <w:t xml:space="preserve">. </w:t>
      </w:r>
    </w:p>
    <w:p w14:paraId="47B5E9F1" w14:textId="462E4A9E" w:rsidR="006C5B71" w:rsidRDefault="008257B1" w:rsidP="00A4276E">
      <w:pPr>
        <w:pStyle w:val="Paragraph"/>
        <w:rPr>
          <w:rFonts w:eastAsia="ArialMT"/>
          <w:szCs w:val="20"/>
        </w:rPr>
      </w:pPr>
      <w:r w:rsidRPr="003C77B7">
        <w:rPr>
          <w:rFonts w:eastAsia="ArialMT"/>
          <w:szCs w:val="20"/>
        </w:rPr>
        <w:t>In June 2019</w:t>
      </w:r>
      <w:r w:rsidR="008A672A">
        <w:rPr>
          <w:rFonts w:eastAsia="ArialMT"/>
          <w:szCs w:val="20"/>
        </w:rPr>
        <w:t>,</w:t>
      </w:r>
      <w:r w:rsidRPr="003C77B7">
        <w:rPr>
          <w:rFonts w:eastAsia="ArialMT"/>
          <w:szCs w:val="20"/>
        </w:rPr>
        <w:t xml:space="preserve"> the ACMA </w:t>
      </w:r>
      <w:hyperlink r:id="rId27" w:history="1">
        <w:r w:rsidR="008763A8" w:rsidRPr="004140A8">
          <w:rPr>
            <w:rStyle w:val="Hyperlink"/>
            <w:rFonts w:eastAsia="ArialMT"/>
            <w:szCs w:val="20"/>
          </w:rPr>
          <w:t>sought feedback</w:t>
        </w:r>
      </w:hyperlink>
      <w:r w:rsidR="008763A8">
        <w:rPr>
          <w:rFonts w:eastAsia="ArialMT"/>
          <w:szCs w:val="20"/>
        </w:rPr>
        <w:t xml:space="preserve"> on draft</w:t>
      </w:r>
      <w:r w:rsidR="008C5C53">
        <w:rPr>
          <w:rFonts w:eastAsia="ArialMT"/>
          <w:szCs w:val="20"/>
        </w:rPr>
        <w:t>s of these</w:t>
      </w:r>
      <w:r w:rsidR="008763A8">
        <w:rPr>
          <w:rFonts w:eastAsia="ArialMT"/>
          <w:szCs w:val="20"/>
        </w:rPr>
        <w:t xml:space="preserve"> instruments</w:t>
      </w:r>
      <w:r w:rsidR="004140A8">
        <w:rPr>
          <w:rFonts w:eastAsia="ArialMT"/>
          <w:szCs w:val="20"/>
        </w:rPr>
        <w:t>.</w:t>
      </w:r>
      <w:r w:rsidR="00D117AC">
        <w:rPr>
          <w:rFonts w:eastAsia="ArialMT"/>
          <w:szCs w:val="20"/>
        </w:rPr>
        <w:t xml:space="preserve"> The ACMA’s response to submissions can be found </w:t>
      </w:r>
      <w:r w:rsidR="00C5578E">
        <w:rPr>
          <w:rFonts w:eastAsia="ArialMT"/>
          <w:szCs w:val="20"/>
        </w:rPr>
        <w:t xml:space="preserve">in the key documents section of the consultation. </w:t>
      </w:r>
    </w:p>
    <w:p w14:paraId="28DC8E4E" w14:textId="1A720488" w:rsidR="0030458E" w:rsidRPr="00A4276E" w:rsidRDefault="00AD2308" w:rsidP="00670FEB">
      <w:pPr>
        <w:pStyle w:val="Heading1"/>
      </w:pPr>
      <w:bookmarkStart w:id="7" w:name="_Toc32493525"/>
      <w:r w:rsidRPr="00A4276E">
        <w:lastRenderedPageBreak/>
        <w:t>Features</w:t>
      </w:r>
      <w:r w:rsidR="0030458E" w:rsidRPr="00A4276E">
        <w:t xml:space="preserve"> of </w:t>
      </w:r>
      <w:r w:rsidR="00C5578E">
        <w:t>a</w:t>
      </w:r>
      <w:r w:rsidR="00670FEB">
        <w:t>rea</w:t>
      </w:r>
      <w:r w:rsidR="00C5578E">
        <w:t>-w</w:t>
      </w:r>
      <w:r w:rsidR="00670FEB">
        <w:t xml:space="preserve">ide </w:t>
      </w:r>
      <w:r w:rsidR="00C5578E">
        <w:t>a</w:t>
      </w:r>
      <w:r w:rsidR="00670FEB">
        <w:t xml:space="preserve">pparatus </w:t>
      </w:r>
      <w:r w:rsidR="00C5578E">
        <w:t>l</w:t>
      </w:r>
      <w:r w:rsidR="00670FEB">
        <w:t>icences</w:t>
      </w:r>
      <w:bookmarkEnd w:id="7"/>
    </w:p>
    <w:p w14:paraId="067C8317" w14:textId="0029DAC5" w:rsidR="00B26A7D" w:rsidRDefault="00DC7DD1" w:rsidP="00B26A7D">
      <w:r>
        <w:t xml:space="preserve">The AWL </w:t>
      </w:r>
      <w:r w:rsidRPr="00C76322">
        <w:t>type</w:t>
      </w:r>
      <w:r>
        <w:t xml:space="preserve"> ha</w:t>
      </w:r>
      <w:r w:rsidR="003F73C3">
        <w:t>s</w:t>
      </w:r>
      <w:r>
        <w:t xml:space="preserve"> been designed to enhance the flexibility and adaptability of spectrum regulation and </w:t>
      </w:r>
      <w:r w:rsidR="00C5578E">
        <w:t xml:space="preserve">to </w:t>
      </w:r>
      <w:r>
        <w:t xml:space="preserve">facilitate innovation. </w:t>
      </w:r>
      <w:bookmarkStart w:id="8" w:name="_Hlk31813169"/>
      <w:r w:rsidRPr="005D179A">
        <w:t xml:space="preserve">Australia’s spectrum landscape is constantly changing, with new technologies and uses of spectrum placing varying technical demands on the apparatus licensing framework. The AWL </w:t>
      </w:r>
      <w:r w:rsidR="00FC7169">
        <w:t xml:space="preserve">type </w:t>
      </w:r>
      <w:r w:rsidRPr="005D179A">
        <w:t xml:space="preserve">will broaden licensee choice and facilitate new or expanded uses for spectrum. </w:t>
      </w:r>
    </w:p>
    <w:p w14:paraId="304C1251" w14:textId="318770B4" w:rsidR="00DC7DD1" w:rsidRDefault="00B26A7D" w:rsidP="00DC7DD1">
      <w:r>
        <w:t xml:space="preserve">The AWL regulatory framework provides the foundation for the area-wide transmitter licence type which will be adaptable to licensee needs. </w:t>
      </w:r>
      <w:bookmarkStart w:id="9" w:name="_Hlk31813714"/>
      <w:r>
        <w:t xml:space="preserve">This framework is intended to provide licensees with ‘building blocks’ e.g. aggregated AWLs, that can be acquired to meet a range of network sizes or topographies and can essentially be service or technology neutral, as long as the standard licence conditions for the relevant band are met. </w:t>
      </w:r>
    </w:p>
    <w:p w14:paraId="33FB8926" w14:textId="7118E01B" w:rsidR="00F54838" w:rsidRDefault="00F54838" w:rsidP="00DC7DD1">
      <w:r>
        <w:t xml:space="preserve">The ACMA has also established a receiver-only version of the AWL type to cater for possible future demand for such a licence option. The intended purpose of a receiver licence is to </w:t>
      </w:r>
      <w:r w:rsidRPr="0082378E">
        <w:t>provide receivers</w:t>
      </w:r>
      <w:r>
        <w:t xml:space="preserve"> with</w:t>
      </w:r>
      <w:r w:rsidRPr="0082378E">
        <w:t xml:space="preserve"> protection from interference through coordination and registration. </w:t>
      </w:r>
      <w:r>
        <w:t>As with existing receiver licences, radiocommunications devices operated under an area-wide receive licence would only be permitted to receive radiocommunications and would not be permitted to transmit radiocommunications of any kind.</w:t>
      </w:r>
    </w:p>
    <w:p w14:paraId="625A53BB" w14:textId="68399FAA" w:rsidR="001313B5" w:rsidRDefault="00E77067" w:rsidP="00DC7DD1">
      <w:r>
        <w:t>In the consultation on the AWL instruments</w:t>
      </w:r>
      <w:r w:rsidR="00841E74">
        <w:t>,</w:t>
      </w:r>
      <w:r>
        <w:t xml:space="preserve"> it was proposed that </w:t>
      </w:r>
      <w:r w:rsidR="00841E74" w:rsidRPr="00841E74">
        <w:t>AWLs will generally not require registration of devices prior to the device being operated.</w:t>
      </w:r>
      <w:r w:rsidR="00841E74">
        <w:t xml:space="preserve"> The ACMA considered stakeholder feedback on this proposal and has taken the view that r</w:t>
      </w:r>
      <w:r w:rsidR="00841E74" w:rsidRPr="00841E74">
        <w:t>egistration of a device prior to operation under an AWL should only be required if registration is necessary to manage the risk of interference with other devices</w:t>
      </w:r>
      <w:r w:rsidR="00841E74">
        <w:t>.</w:t>
      </w:r>
    </w:p>
    <w:p w14:paraId="05AF3AF1" w14:textId="347205B1" w:rsidR="00A56D66" w:rsidRPr="00000160" w:rsidRDefault="00A56D66" w:rsidP="00DC7DD1">
      <w:pPr>
        <w:rPr>
          <w:rFonts w:cs="Arial"/>
          <w:szCs w:val="20"/>
        </w:rPr>
      </w:pPr>
      <w:r w:rsidRPr="00022061">
        <w:t>The ACMA will carefully consider whether</w:t>
      </w:r>
      <w:r w:rsidR="00675556">
        <w:t xml:space="preserve"> device</w:t>
      </w:r>
      <w:r w:rsidRPr="00022061">
        <w:t xml:space="preserve"> registration is needed on a band-by-band basis when considering the implementation of AWLs in a </w:t>
      </w:r>
      <w:proofErr w:type="gramStart"/>
      <w:r w:rsidRPr="00022061">
        <w:t>particular band</w:t>
      </w:r>
      <w:proofErr w:type="gramEnd"/>
      <w:r w:rsidRPr="00022061">
        <w:t xml:space="preserve"> </w:t>
      </w:r>
      <w:r>
        <w:t xml:space="preserve">(see below for more details). The main reason </w:t>
      </w:r>
      <w:r>
        <w:rPr>
          <w:rFonts w:cs="Arial"/>
          <w:szCs w:val="20"/>
        </w:rPr>
        <w:t xml:space="preserve">for reducing device registration requirements is because, in comparison to other site-based apparatus licences in which the issue of the licence is contingent on the coordination of a device at a particular location, AWLs will authorise one or more radiocommunications devices within a defined frequency range and geographic area. Interference issues will be primarily managed at the frequency and area boundaries of the licence and not by reference to the device. </w:t>
      </w:r>
    </w:p>
    <w:bookmarkEnd w:id="8"/>
    <w:bookmarkEnd w:id="9"/>
    <w:p w14:paraId="67A13996" w14:textId="77777777" w:rsidR="00C5578E" w:rsidRDefault="00843D83" w:rsidP="00DC7DD1">
      <w:r>
        <w:t xml:space="preserve">As amended by the </w:t>
      </w:r>
      <w:r w:rsidR="008763A8" w:rsidRPr="00655D42">
        <w:rPr>
          <w:rFonts w:cs="Arial"/>
        </w:rPr>
        <w:t>Radiocommunications Legislation (20</w:t>
      </w:r>
      <w:r w:rsidR="008F6CAB" w:rsidRPr="00655D42">
        <w:rPr>
          <w:rFonts w:cs="Arial"/>
        </w:rPr>
        <w:t>20</w:t>
      </w:r>
      <w:r w:rsidR="008763A8" w:rsidRPr="00655D42">
        <w:rPr>
          <w:rFonts w:cs="Arial"/>
        </w:rPr>
        <w:t xml:space="preserve"> Measures No. 1) Instrument</w:t>
      </w:r>
      <w:r w:rsidR="008763A8" w:rsidRPr="00655D42">
        <w:rPr>
          <w:rFonts w:cs="Arial"/>
          <w:bCs/>
        </w:rPr>
        <w:t xml:space="preserve"> 20</w:t>
      </w:r>
      <w:r w:rsidR="008F6CAB" w:rsidRPr="00655D42">
        <w:rPr>
          <w:rFonts w:cs="Arial"/>
          <w:bCs/>
        </w:rPr>
        <w:t>20</w:t>
      </w:r>
      <w:r>
        <w:t xml:space="preserve">, </w:t>
      </w:r>
      <w:r w:rsidR="00797AE1">
        <w:t xml:space="preserve">the Register </w:t>
      </w:r>
      <w:r w:rsidR="0041727A">
        <w:t xml:space="preserve">of Radiocommunications Devices (the Register) </w:t>
      </w:r>
      <w:r w:rsidR="001F019B">
        <w:t>need</w:t>
      </w:r>
      <w:r w:rsidR="001F019B" w:rsidRPr="00022061">
        <w:t xml:space="preserve"> </w:t>
      </w:r>
      <w:r w:rsidR="00022061" w:rsidRPr="00022061">
        <w:t xml:space="preserve">not </w:t>
      </w:r>
      <w:r w:rsidR="00F837AC">
        <w:t xml:space="preserve">contain </w:t>
      </w:r>
      <w:r w:rsidR="00B745BF">
        <w:t xml:space="preserve">the </w:t>
      </w:r>
      <w:r w:rsidR="001F019B">
        <w:t xml:space="preserve">details specified </w:t>
      </w:r>
      <w:r w:rsidR="00B745BF">
        <w:t xml:space="preserve">about </w:t>
      </w:r>
      <w:r w:rsidR="0082710A">
        <w:t xml:space="preserve">radiocommunications </w:t>
      </w:r>
      <w:r w:rsidR="00B745BF">
        <w:t xml:space="preserve">devices </w:t>
      </w:r>
      <w:r w:rsidR="001F019B">
        <w:t>at</w:t>
      </w:r>
      <w:r w:rsidR="00835F89">
        <w:t xml:space="preserve"> </w:t>
      </w:r>
      <w:r w:rsidR="00512C67">
        <w:t>subsect</w:t>
      </w:r>
      <w:r w:rsidR="0047764B">
        <w:t>ions</w:t>
      </w:r>
      <w:r w:rsidR="00835F89">
        <w:t xml:space="preserve"> </w:t>
      </w:r>
      <w:r w:rsidR="009E379C">
        <w:t>10(</w:t>
      </w:r>
      <w:r w:rsidR="00835F89">
        <w:t>4</w:t>
      </w:r>
      <w:r w:rsidR="009E379C">
        <w:t>)</w:t>
      </w:r>
      <w:r w:rsidR="00835F89">
        <w:t xml:space="preserve">, </w:t>
      </w:r>
      <w:r w:rsidR="009E379C">
        <w:t>10(</w:t>
      </w:r>
      <w:r w:rsidR="00835F89">
        <w:t>5</w:t>
      </w:r>
      <w:r w:rsidR="009E379C">
        <w:t>)</w:t>
      </w:r>
      <w:r w:rsidR="00835F89">
        <w:t xml:space="preserve">, </w:t>
      </w:r>
      <w:r w:rsidR="009E379C">
        <w:t>10(</w:t>
      </w:r>
      <w:r w:rsidR="00835F89">
        <w:t>6</w:t>
      </w:r>
      <w:r w:rsidR="009E379C">
        <w:t>)</w:t>
      </w:r>
      <w:r w:rsidR="0047764B">
        <w:t xml:space="preserve"> </w:t>
      </w:r>
      <w:r w:rsidR="00F837AC">
        <w:t xml:space="preserve">and </w:t>
      </w:r>
      <w:r w:rsidR="009E379C">
        <w:t>10(</w:t>
      </w:r>
      <w:r w:rsidR="00F837AC">
        <w:t>7</w:t>
      </w:r>
      <w:r w:rsidR="009E379C">
        <w:t>)</w:t>
      </w:r>
      <w:r w:rsidR="00F837AC">
        <w:t xml:space="preserve"> </w:t>
      </w:r>
      <w:r w:rsidR="0047764B">
        <w:t xml:space="preserve">of the RRL Determination </w:t>
      </w:r>
      <w:r w:rsidR="00F86559">
        <w:t xml:space="preserve">unless </w:t>
      </w:r>
      <w:r w:rsidR="0047764B">
        <w:t xml:space="preserve">a requirement is </w:t>
      </w:r>
      <w:r w:rsidR="00F86559">
        <w:t>specified in the AWL LCD or in the licence itself.</w:t>
      </w:r>
      <w:r w:rsidR="00022061" w:rsidRPr="00022061">
        <w:t xml:space="preserve"> </w:t>
      </w:r>
    </w:p>
    <w:p w14:paraId="7F0B8137" w14:textId="204628A2" w:rsidR="00D32844" w:rsidRPr="00736AFD" w:rsidRDefault="00670FEB" w:rsidP="001B44E1">
      <w:pPr>
        <w:pStyle w:val="Heading1"/>
        <w:rPr>
          <w:b/>
        </w:rPr>
      </w:pPr>
      <w:bookmarkStart w:id="10" w:name="_Toc29278861"/>
      <w:bookmarkStart w:id="11" w:name="_Hlk25665724"/>
      <w:bookmarkStart w:id="12" w:name="_Toc32493526"/>
      <w:r w:rsidRPr="00736AFD">
        <w:lastRenderedPageBreak/>
        <w:t>I</w:t>
      </w:r>
      <w:r w:rsidR="00794587" w:rsidRPr="00736AFD">
        <w:t xml:space="preserve">ssuing </w:t>
      </w:r>
      <w:r w:rsidR="00C5578E">
        <w:t>a</w:t>
      </w:r>
      <w:r w:rsidRPr="00736AFD">
        <w:t>rea</w:t>
      </w:r>
      <w:r w:rsidR="00C5578E">
        <w:t>-w</w:t>
      </w:r>
      <w:r w:rsidRPr="00736AFD">
        <w:t xml:space="preserve">ide </w:t>
      </w:r>
      <w:r w:rsidR="00C5578E">
        <w:t>a</w:t>
      </w:r>
      <w:r w:rsidRPr="00736AFD">
        <w:t xml:space="preserve">pparatus </w:t>
      </w:r>
      <w:r w:rsidR="00C5578E">
        <w:t>l</w:t>
      </w:r>
      <w:r w:rsidRPr="00736AFD">
        <w:t>icences</w:t>
      </w:r>
      <w:bookmarkEnd w:id="10"/>
      <w:bookmarkEnd w:id="12"/>
    </w:p>
    <w:p w14:paraId="7769085F" w14:textId="383C6F53" w:rsidR="00E37453" w:rsidRDefault="009250F4" w:rsidP="00E37453">
      <w:pPr>
        <w:pStyle w:val="Paragraph"/>
        <w:rPr>
          <w:rFonts w:eastAsiaTheme="minorHAnsi"/>
          <w:szCs w:val="20"/>
        </w:rPr>
      </w:pPr>
      <w:r>
        <w:rPr>
          <w:szCs w:val="20"/>
        </w:rPr>
        <w:t>T</w:t>
      </w:r>
      <w:r w:rsidR="003E3ADF" w:rsidRPr="0064031B">
        <w:rPr>
          <w:szCs w:val="20"/>
        </w:rPr>
        <w:t xml:space="preserve">he ACMA </w:t>
      </w:r>
      <w:r w:rsidR="003E3ADF">
        <w:rPr>
          <w:szCs w:val="20"/>
        </w:rPr>
        <w:t xml:space="preserve">will carefully </w:t>
      </w:r>
      <w:r>
        <w:rPr>
          <w:szCs w:val="20"/>
        </w:rPr>
        <w:t xml:space="preserve">assess </w:t>
      </w:r>
      <w:proofErr w:type="gramStart"/>
      <w:r>
        <w:rPr>
          <w:szCs w:val="20"/>
        </w:rPr>
        <w:t>a number of</w:t>
      </w:r>
      <w:proofErr w:type="gramEnd"/>
      <w:r>
        <w:rPr>
          <w:szCs w:val="20"/>
        </w:rPr>
        <w:t xml:space="preserve"> issue</w:t>
      </w:r>
      <w:r w:rsidR="00702EF8">
        <w:rPr>
          <w:szCs w:val="20"/>
        </w:rPr>
        <w:t>s</w:t>
      </w:r>
      <w:r w:rsidR="003E3ADF">
        <w:rPr>
          <w:szCs w:val="20"/>
        </w:rPr>
        <w:t xml:space="preserve"> in</w:t>
      </w:r>
      <w:r w:rsidR="003E3ADF" w:rsidRPr="0064031B">
        <w:rPr>
          <w:szCs w:val="20"/>
        </w:rPr>
        <w:t xml:space="preserve"> considering the implementation of </w:t>
      </w:r>
      <w:r w:rsidR="009E4288">
        <w:rPr>
          <w:szCs w:val="20"/>
        </w:rPr>
        <w:t>an</w:t>
      </w:r>
      <w:r w:rsidR="003E3ADF">
        <w:rPr>
          <w:szCs w:val="20"/>
        </w:rPr>
        <w:t xml:space="preserve"> AWL</w:t>
      </w:r>
      <w:r w:rsidR="003E3ADF" w:rsidRPr="0064031B">
        <w:rPr>
          <w:szCs w:val="20"/>
        </w:rPr>
        <w:t xml:space="preserve"> in a particular </w:t>
      </w:r>
      <w:r w:rsidR="00AD3B2E" w:rsidRPr="0064031B">
        <w:rPr>
          <w:szCs w:val="20"/>
        </w:rPr>
        <w:t>ban</w:t>
      </w:r>
      <w:r w:rsidR="00AD3B2E">
        <w:rPr>
          <w:szCs w:val="20"/>
        </w:rPr>
        <w:t>d.</w:t>
      </w:r>
      <w:r w:rsidR="00AD3B2E">
        <w:rPr>
          <w:rFonts w:eastAsiaTheme="minorHAnsi"/>
          <w:szCs w:val="20"/>
        </w:rPr>
        <w:t xml:space="preserve"> This will include</w:t>
      </w:r>
      <w:r w:rsidR="00E37453">
        <w:rPr>
          <w:rFonts w:eastAsiaTheme="minorHAnsi"/>
          <w:szCs w:val="20"/>
        </w:rPr>
        <w:t xml:space="preserve"> the licensing arrangements that exist in the relevant band</w:t>
      </w:r>
      <w:r w:rsidR="00D4430D">
        <w:rPr>
          <w:rFonts w:eastAsiaTheme="minorHAnsi"/>
          <w:szCs w:val="20"/>
        </w:rPr>
        <w:t xml:space="preserve"> (if any)</w:t>
      </w:r>
      <w:r w:rsidR="00E37453">
        <w:rPr>
          <w:rFonts w:eastAsiaTheme="minorHAnsi"/>
          <w:szCs w:val="20"/>
        </w:rPr>
        <w:t>, the likely technologies and de</w:t>
      </w:r>
      <w:r w:rsidR="004049E6">
        <w:rPr>
          <w:rFonts w:eastAsiaTheme="minorHAnsi"/>
          <w:szCs w:val="20"/>
        </w:rPr>
        <w:t>ployment</w:t>
      </w:r>
      <w:r w:rsidR="00E37453">
        <w:rPr>
          <w:rFonts w:eastAsiaTheme="minorHAnsi"/>
          <w:szCs w:val="20"/>
        </w:rPr>
        <w:t xml:space="preserve"> </w:t>
      </w:r>
      <w:r w:rsidR="004049E6">
        <w:rPr>
          <w:rFonts w:eastAsiaTheme="minorHAnsi"/>
          <w:szCs w:val="20"/>
        </w:rPr>
        <w:t>scenarios</w:t>
      </w:r>
      <w:r w:rsidR="00E37453">
        <w:rPr>
          <w:rFonts w:eastAsiaTheme="minorHAnsi"/>
          <w:szCs w:val="20"/>
        </w:rPr>
        <w:t xml:space="preserve"> that will be employed</w:t>
      </w:r>
      <w:r w:rsidR="004049E6">
        <w:rPr>
          <w:rFonts w:eastAsiaTheme="minorHAnsi"/>
          <w:szCs w:val="20"/>
        </w:rPr>
        <w:t xml:space="preserve"> in the band</w:t>
      </w:r>
      <w:r w:rsidR="00E37453">
        <w:rPr>
          <w:rFonts w:eastAsiaTheme="minorHAnsi"/>
          <w:szCs w:val="20"/>
        </w:rPr>
        <w:t xml:space="preserve">, and the necessary conditions for co-existence of services. </w:t>
      </w:r>
      <w:r w:rsidR="004049E6">
        <w:rPr>
          <w:rFonts w:eastAsiaTheme="minorHAnsi"/>
          <w:szCs w:val="20"/>
        </w:rPr>
        <w:t xml:space="preserve">The ACMA </w:t>
      </w:r>
      <w:r w:rsidR="00AD3B2E">
        <w:rPr>
          <w:rFonts w:eastAsiaTheme="minorHAnsi"/>
          <w:szCs w:val="20"/>
        </w:rPr>
        <w:t>will</w:t>
      </w:r>
      <w:r w:rsidR="0015120A">
        <w:rPr>
          <w:rFonts w:eastAsiaTheme="minorHAnsi"/>
          <w:szCs w:val="20"/>
        </w:rPr>
        <w:t xml:space="preserve"> also </w:t>
      </w:r>
      <w:r w:rsidR="00AD3B2E">
        <w:rPr>
          <w:rFonts w:eastAsiaTheme="minorHAnsi"/>
          <w:szCs w:val="20"/>
        </w:rPr>
        <w:t xml:space="preserve">be </w:t>
      </w:r>
      <w:r w:rsidR="0015120A">
        <w:rPr>
          <w:rFonts w:eastAsiaTheme="minorHAnsi"/>
          <w:szCs w:val="20"/>
        </w:rPr>
        <w:t xml:space="preserve">guided by its </w:t>
      </w:r>
      <w:hyperlink r:id="rId28" w:history="1">
        <w:r w:rsidR="0015120A" w:rsidRPr="00526A89">
          <w:rPr>
            <w:rStyle w:val="Hyperlink"/>
            <w:rFonts w:eastAsiaTheme="minorHAnsi"/>
            <w:szCs w:val="20"/>
          </w:rPr>
          <w:t xml:space="preserve">Principles for </w:t>
        </w:r>
        <w:r w:rsidR="00C5578E">
          <w:rPr>
            <w:rStyle w:val="Hyperlink"/>
            <w:rFonts w:eastAsiaTheme="minorHAnsi"/>
            <w:szCs w:val="20"/>
          </w:rPr>
          <w:t>s</w:t>
        </w:r>
        <w:r w:rsidR="0015120A" w:rsidRPr="00526A89">
          <w:rPr>
            <w:rStyle w:val="Hyperlink"/>
            <w:rFonts w:eastAsiaTheme="minorHAnsi"/>
            <w:szCs w:val="20"/>
          </w:rPr>
          <w:t xml:space="preserve">pectrum </w:t>
        </w:r>
        <w:r w:rsidR="00C5578E">
          <w:rPr>
            <w:rStyle w:val="Hyperlink"/>
            <w:rFonts w:eastAsiaTheme="minorHAnsi"/>
            <w:szCs w:val="20"/>
          </w:rPr>
          <w:t>m</w:t>
        </w:r>
        <w:r w:rsidR="0015120A" w:rsidRPr="00526A89">
          <w:rPr>
            <w:rStyle w:val="Hyperlink"/>
            <w:rFonts w:eastAsiaTheme="minorHAnsi"/>
            <w:szCs w:val="20"/>
          </w:rPr>
          <w:t>anagement</w:t>
        </w:r>
      </w:hyperlink>
      <w:r w:rsidR="0015120A">
        <w:rPr>
          <w:rFonts w:eastAsiaTheme="minorHAnsi"/>
          <w:szCs w:val="20"/>
        </w:rPr>
        <w:t>, includ</w:t>
      </w:r>
      <w:r w:rsidR="00C5578E">
        <w:rPr>
          <w:rFonts w:eastAsiaTheme="minorHAnsi"/>
          <w:szCs w:val="20"/>
        </w:rPr>
        <w:t>ing</w:t>
      </w:r>
      <w:r w:rsidR="0015120A">
        <w:rPr>
          <w:rFonts w:eastAsiaTheme="minorHAnsi"/>
          <w:szCs w:val="20"/>
        </w:rPr>
        <w:t xml:space="preserve"> </w:t>
      </w:r>
      <w:r w:rsidR="004049E6">
        <w:rPr>
          <w:rFonts w:eastAsiaTheme="minorHAnsi"/>
          <w:szCs w:val="20"/>
        </w:rPr>
        <w:t>assess</w:t>
      </w:r>
      <w:r w:rsidR="00526A89">
        <w:rPr>
          <w:rFonts w:eastAsiaTheme="minorHAnsi"/>
          <w:szCs w:val="20"/>
        </w:rPr>
        <w:t>ing</w:t>
      </w:r>
      <w:r w:rsidR="004049E6">
        <w:rPr>
          <w:rFonts w:eastAsiaTheme="minorHAnsi"/>
          <w:szCs w:val="20"/>
        </w:rPr>
        <w:t xml:space="preserve"> the potential utility and benefit to spectral efficiency of issuing particular licence types in a band. </w:t>
      </w:r>
    </w:p>
    <w:p w14:paraId="13732C36" w14:textId="77777777" w:rsidR="00E37453" w:rsidRDefault="00E37453" w:rsidP="003E3ADF">
      <w:pPr>
        <w:pStyle w:val="Paragraph"/>
        <w:rPr>
          <w:szCs w:val="20"/>
        </w:rPr>
      </w:pPr>
      <w:r>
        <w:rPr>
          <w:szCs w:val="20"/>
        </w:rPr>
        <w:t xml:space="preserve">The ACMA will </w:t>
      </w:r>
      <w:r w:rsidRPr="00E37453">
        <w:rPr>
          <w:szCs w:val="20"/>
        </w:rPr>
        <w:t>only consider using AWLs where the existing licensing, planning and</w:t>
      </w:r>
      <w:r>
        <w:rPr>
          <w:szCs w:val="20"/>
        </w:rPr>
        <w:t>/or</w:t>
      </w:r>
      <w:r w:rsidRPr="00E37453">
        <w:rPr>
          <w:szCs w:val="20"/>
        </w:rPr>
        <w:t xml:space="preserve"> pricing arrangements do</w:t>
      </w:r>
      <w:r w:rsidR="009C2D59">
        <w:rPr>
          <w:szCs w:val="20"/>
        </w:rPr>
        <w:t xml:space="preserve"> not</w:t>
      </w:r>
      <w:r w:rsidRPr="00E37453">
        <w:rPr>
          <w:szCs w:val="20"/>
        </w:rPr>
        <w:t xml:space="preserve"> accommodate the likely technical characteristics of</w:t>
      </w:r>
      <w:r>
        <w:rPr>
          <w:szCs w:val="20"/>
        </w:rPr>
        <w:t>,</w:t>
      </w:r>
      <w:r w:rsidRPr="00E37453">
        <w:rPr>
          <w:szCs w:val="20"/>
        </w:rPr>
        <w:t xml:space="preserve"> or demand for</w:t>
      </w:r>
      <w:r>
        <w:rPr>
          <w:szCs w:val="20"/>
        </w:rPr>
        <w:t>,</w:t>
      </w:r>
      <w:r w:rsidRPr="00E37453">
        <w:rPr>
          <w:szCs w:val="20"/>
        </w:rPr>
        <w:t xml:space="preserve"> the service to be provided</w:t>
      </w:r>
      <w:r>
        <w:rPr>
          <w:szCs w:val="20"/>
        </w:rPr>
        <w:t xml:space="preserve">. </w:t>
      </w:r>
    </w:p>
    <w:p w14:paraId="4473C54B" w14:textId="72C60F8A" w:rsidR="00DC1219" w:rsidRDefault="00DC1219" w:rsidP="00DC1219">
      <w:pPr>
        <w:pStyle w:val="Paragraph"/>
        <w:rPr>
          <w:szCs w:val="20"/>
        </w:rPr>
      </w:pPr>
      <w:r>
        <w:rPr>
          <w:szCs w:val="20"/>
        </w:rPr>
        <w:t xml:space="preserve">Generally, the ACMA does not intend to issue AWLs in a </w:t>
      </w:r>
      <w:proofErr w:type="gramStart"/>
      <w:r>
        <w:rPr>
          <w:szCs w:val="20"/>
        </w:rPr>
        <w:t>particular band</w:t>
      </w:r>
      <w:proofErr w:type="gramEnd"/>
      <w:r>
        <w:rPr>
          <w:szCs w:val="20"/>
        </w:rPr>
        <w:t xml:space="preserve">, until </w:t>
      </w:r>
      <w:r w:rsidR="00F51B23">
        <w:rPr>
          <w:szCs w:val="20"/>
        </w:rPr>
        <w:t>we have</w:t>
      </w:r>
      <w:r>
        <w:rPr>
          <w:szCs w:val="20"/>
        </w:rPr>
        <w:t xml:space="preserve"> consulted on and decided:</w:t>
      </w:r>
    </w:p>
    <w:p w14:paraId="2864B87F" w14:textId="334F2083" w:rsidR="00DC1219" w:rsidRPr="0064031B" w:rsidRDefault="00F51B23" w:rsidP="00DC1219">
      <w:pPr>
        <w:pStyle w:val="ListBullet"/>
      </w:pPr>
      <w:r>
        <w:t>T</w:t>
      </w:r>
      <w:r w:rsidR="00DC1219" w:rsidRPr="0064031B">
        <w:t>he technical conditions that should apply to radiocommunications devices operating under the licence and the boundary conditions</w:t>
      </w:r>
      <w:r w:rsidR="00DC1219">
        <w:t xml:space="preserve"> of the licence</w:t>
      </w:r>
      <w:r w:rsidR="00DC1219" w:rsidRPr="0064031B">
        <w:t xml:space="preserve"> (for example, the maximum signal strength levels at the geographic and/or frequency boundaries of the licence) that will apply to AWLs to </w:t>
      </w:r>
      <w:r w:rsidR="00DC1219" w:rsidRPr="004A0AE3">
        <w:t>mitigate the risk of interference to neighbouring and/or adjacent spectrum users</w:t>
      </w:r>
      <w:r>
        <w:t xml:space="preserve">. </w:t>
      </w:r>
    </w:p>
    <w:p w14:paraId="3B06A958" w14:textId="7D9F1355" w:rsidR="00DC1219" w:rsidRPr="0064031B" w:rsidRDefault="00F51B23" w:rsidP="00DC1219">
      <w:pPr>
        <w:pStyle w:val="ListBullet"/>
      </w:pPr>
      <w:r>
        <w:t>T</w:t>
      </w:r>
      <w:r w:rsidR="00DC1219" w:rsidRPr="0064031B">
        <w:t>he minimum and/or maximum geographic area and frequency bandwidth for licences issued in the band</w:t>
      </w:r>
      <w:r>
        <w:t>.</w:t>
      </w:r>
    </w:p>
    <w:p w14:paraId="099B5A35" w14:textId="5AB5AA99" w:rsidR="00DC1219" w:rsidRDefault="00F51B23" w:rsidP="00DC1219">
      <w:pPr>
        <w:pStyle w:val="ListBulletLast"/>
      </w:pPr>
      <w:r>
        <w:t>W</w:t>
      </w:r>
      <w:r w:rsidR="00DC1219" w:rsidRPr="0064031B">
        <w:t xml:space="preserve">hether radiocommunications devices (or a subset of devices) authorised under the </w:t>
      </w:r>
      <w:r w:rsidR="00DC1219" w:rsidRPr="00670FEB">
        <w:t>proposed</w:t>
      </w:r>
      <w:r w:rsidR="00DC1219" w:rsidRPr="0064031B">
        <w:t xml:space="preserve"> AWLs should be required to be registered prior to operation</w:t>
      </w:r>
      <w:r>
        <w:t xml:space="preserve">. </w:t>
      </w:r>
      <w:r w:rsidR="00DC1219" w:rsidRPr="0064031B">
        <w:t xml:space="preserve"> </w:t>
      </w:r>
    </w:p>
    <w:p w14:paraId="27E05070" w14:textId="0A9B3899" w:rsidR="00DC1219" w:rsidRDefault="00F51B23" w:rsidP="00DC1219">
      <w:pPr>
        <w:pStyle w:val="ListBulletLast"/>
      </w:pPr>
      <w:r>
        <w:t>W</w:t>
      </w:r>
      <w:r w:rsidR="00DC1219">
        <w:t xml:space="preserve">hether AWLs for the </w:t>
      </w:r>
      <w:proofErr w:type="gramStart"/>
      <w:r w:rsidR="00DC1219">
        <w:t>particular band</w:t>
      </w:r>
      <w:proofErr w:type="gramEnd"/>
      <w:r w:rsidR="00DC1219">
        <w:t xml:space="preserve"> should be issued administratively or by price</w:t>
      </w:r>
      <w:r>
        <w:t>-</w:t>
      </w:r>
      <w:r w:rsidR="00DC1219">
        <w:t>based allocation under section 106 of the Act.</w:t>
      </w:r>
    </w:p>
    <w:p w14:paraId="637AA078" w14:textId="77349E97" w:rsidR="00DC1219" w:rsidRDefault="00F51B23" w:rsidP="00DC1219">
      <w:pPr>
        <w:pStyle w:val="ListBulletLast"/>
      </w:pPr>
      <w:r>
        <w:t>T</w:t>
      </w:r>
      <w:r w:rsidR="00DC1219">
        <w:t>he amount of annual apparatus licence tax that will be applied</w:t>
      </w:r>
      <w:r>
        <w:t xml:space="preserve">. </w:t>
      </w:r>
    </w:p>
    <w:p w14:paraId="726AF5E1" w14:textId="38B4ED6F" w:rsidR="00DC1219" w:rsidRPr="00DC1219" w:rsidRDefault="00F51B23" w:rsidP="003C4D91">
      <w:pPr>
        <w:pStyle w:val="ListBulletLast"/>
      </w:pPr>
      <w:r>
        <w:t>A</w:t>
      </w:r>
      <w:r w:rsidR="00DC1219">
        <w:t>ny other matter the ACMA considers relevant to the issue of AWLs and the operation of devices under an AWL.</w:t>
      </w:r>
    </w:p>
    <w:p w14:paraId="0C67B439" w14:textId="77777777" w:rsidR="004B2E1B" w:rsidRPr="00E6544D" w:rsidRDefault="004B2E1B" w:rsidP="00670FEB">
      <w:pPr>
        <w:pStyle w:val="Heading2"/>
      </w:pPr>
      <w:bookmarkStart w:id="13" w:name="_Toc29278862"/>
      <w:bookmarkStart w:id="14" w:name="_Toc32493527"/>
      <w:r w:rsidRPr="00E6544D">
        <w:t>Managing interference and use of spectrum</w:t>
      </w:r>
      <w:bookmarkEnd w:id="13"/>
      <w:bookmarkEnd w:id="14"/>
      <w:r w:rsidRPr="00E6544D">
        <w:t xml:space="preserve"> </w:t>
      </w:r>
    </w:p>
    <w:p w14:paraId="0179AF60" w14:textId="7FD6F5D5" w:rsidR="00FB318D" w:rsidRDefault="00FB318D" w:rsidP="00FB318D">
      <w:pPr>
        <w:pStyle w:val="Paragraph"/>
      </w:pPr>
      <w:r>
        <w:t>In order to maximise licensee flexibility through area-based</w:t>
      </w:r>
      <w:r w:rsidR="00D4430D">
        <w:t xml:space="preserve"> licensing that is technology and service</w:t>
      </w:r>
      <w:r w:rsidR="00F51B23">
        <w:t>-</w:t>
      </w:r>
      <w:r w:rsidR="005D6C53">
        <w:t>neutral</w:t>
      </w:r>
      <w:r>
        <w:t xml:space="preserve">, geographic and frequency boundary conditions will be </w:t>
      </w:r>
      <w:r w:rsidR="001F6BAB">
        <w:t xml:space="preserve">primarily </w:t>
      </w:r>
      <w:r>
        <w:t xml:space="preserve">used to </w:t>
      </w:r>
      <w:r w:rsidRPr="004A0AE3">
        <w:t xml:space="preserve">manage interference </w:t>
      </w:r>
      <w:r>
        <w:t xml:space="preserve">between an AWL and another licence (including another AWL). This approach involves </w:t>
      </w:r>
      <w:r w:rsidR="002A2128">
        <w:t xml:space="preserve">applying </w:t>
      </w:r>
      <w:r>
        <w:t>conditions at the geographic and frequency boundaries of the licence to manage co-existence with services</w:t>
      </w:r>
      <w:r w:rsidR="002A2128">
        <w:t xml:space="preserve"> adjacent in area and frequency</w:t>
      </w:r>
      <w:r>
        <w:t xml:space="preserve">. The ACMA expects that </w:t>
      </w:r>
      <w:r w:rsidR="00BD7242">
        <w:t xml:space="preserve">the </w:t>
      </w:r>
      <w:r w:rsidR="00FA557B">
        <w:t>area-based licensing</w:t>
      </w:r>
      <w:r>
        <w:t xml:space="preserve"> approach will </w:t>
      </w:r>
      <w:r w:rsidR="007E3A57">
        <w:t xml:space="preserve">enable </w:t>
      </w:r>
      <w:r>
        <w:t xml:space="preserve">greater deployment flexibility to licensees compared to other apparatus licence types </w:t>
      </w:r>
      <w:r w:rsidR="00BD7242">
        <w:t>while</w:t>
      </w:r>
      <w:r w:rsidR="00964AC6">
        <w:t xml:space="preserve"> still</w:t>
      </w:r>
      <w:r>
        <w:t xml:space="preserve"> </w:t>
      </w:r>
      <w:r w:rsidRPr="004A0AE3">
        <w:t xml:space="preserve">minimising the risk of interference </w:t>
      </w:r>
      <w:r>
        <w:t xml:space="preserve">between licensees operating </w:t>
      </w:r>
      <w:r w:rsidR="00FC7169">
        <w:t xml:space="preserve">radiocommunications </w:t>
      </w:r>
      <w:r>
        <w:t>devices in adjacent areas</w:t>
      </w:r>
      <w:r w:rsidR="00051D64">
        <w:t xml:space="preserve"> and </w:t>
      </w:r>
      <w:r w:rsidR="00FA557B">
        <w:t>frequencies</w:t>
      </w:r>
      <w:r>
        <w:t>.</w:t>
      </w:r>
    </w:p>
    <w:p w14:paraId="34499FFC" w14:textId="74A1EBAE" w:rsidR="00670FEB" w:rsidRDefault="00310666" w:rsidP="00670FEB">
      <w:pPr>
        <w:pStyle w:val="Paragraph"/>
      </w:pPr>
      <w:r>
        <w:t xml:space="preserve">While the AWL is conducive to small-area deployments, it is not designed to be limited to these, and </w:t>
      </w:r>
      <w:r w:rsidR="00AA15B9">
        <w:t xml:space="preserve">its </w:t>
      </w:r>
      <w:r>
        <w:t>applicability to wider</w:t>
      </w:r>
      <w:r w:rsidR="00F51B23">
        <w:t>-</w:t>
      </w:r>
      <w:r>
        <w:t xml:space="preserve">area deployments will be considered when the </w:t>
      </w:r>
      <w:r w:rsidRPr="00D32844">
        <w:t xml:space="preserve">ACMA is planning or re-planning a </w:t>
      </w:r>
      <w:proofErr w:type="gramStart"/>
      <w:r w:rsidRPr="00D32844">
        <w:t>particular band</w:t>
      </w:r>
      <w:proofErr w:type="gramEnd"/>
      <w:r w:rsidR="002A191C">
        <w:t>.</w:t>
      </w:r>
      <w:r w:rsidRPr="00D32844">
        <w:t xml:space="preserve"> I</w:t>
      </w:r>
      <w:r>
        <w:t>n con</w:t>
      </w:r>
      <w:r w:rsidR="00D40B21">
        <w:t>templating</w:t>
      </w:r>
      <w:r>
        <w:t xml:space="preserve"> the implementation of AWLs in a </w:t>
      </w:r>
      <w:proofErr w:type="gramStart"/>
      <w:r>
        <w:t>particular band</w:t>
      </w:r>
      <w:proofErr w:type="gramEnd"/>
      <w:r>
        <w:t xml:space="preserve">, </w:t>
      </w:r>
      <w:r w:rsidRPr="00070476">
        <w:t xml:space="preserve">the ACMA will </w:t>
      </w:r>
      <w:r w:rsidR="00D40B21">
        <w:t>assess</w:t>
      </w:r>
      <w:r w:rsidRPr="00070476">
        <w:t xml:space="preserve"> </w:t>
      </w:r>
      <w:r w:rsidR="00385808">
        <w:t xml:space="preserve">the potential </w:t>
      </w:r>
      <w:r w:rsidR="00385808">
        <w:lastRenderedPageBreak/>
        <w:t xml:space="preserve">demand for </w:t>
      </w:r>
      <w:r w:rsidRPr="00070476">
        <w:t xml:space="preserve">AWLs </w:t>
      </w:r>
      <w:r w:rsidR="00385808">
        <w:t xml:space="preserve">that extend </w:t>
      </w:r>
      <w:r w:rsidR="00AA15B9">
        <w:t xml:space="preserve">to large areas, e.g. </w:t>
      </w:r>
      <w:r w:rsidR="00385808">
        <w:t>s</w:t>
      </w:r>
      <w:r w:rsidRPr="00070476">
        <w:t>tate-wide.</w:t>
      </w:r>
      <w:r w:rsidR="00D862C9">
        <w:t xml:space="preserve"> The ACMA will </w:t>
      </w:r>
      <w:r w:rsidR="00D40B21">
        <w:t>consult</w:t>
      </w:r>
      <w:r w:rsidR="00D862C9">
        <w:t xml:space="preserve"> stakeholders as part of this consideration.</w:t>
      </w:r>
      <w:bookmarkStart w:id="15" w:name="_Hlk27664911"/>
    </w:p>
    <w:p w14:paraId="078B638A" w14:textId="2D9FF835" w:rsidR="00FB318D" w:rsidRPr="00670FEB" w:rsidRDefault="00922023" w:rsidP="00670FEB">
      <w:pPr>
        <w:pStyle w:val="Paragraph"/>
      </w:pPr>
      <w:r>
        <w:t>W</w:t>
      </w:r>
      <w:r w:rsidRPr="00236F32">
        <w:t xml:space="preserve">hen </w:t>
      </w:r>
      <w:r>
        <w:t>considering</w:t>
      </w:r>
      <w:r w:rsidRPr="00236F32">
        <w:t xml:space="preserve"> </w:t>
      </w:r>
      <w:r>
        <w:t xml:space="preserve">AWL </w:t>
      </w:r>
      <w:r w:rsidRPr="00236F32">
        <w:t xml:space="preserve">implementation details for a </w:t>
      </w:r>
      <w:proofErr w:type="gramStart"/>
      <w:r w:rsidRPr="00236F32">
        <w:t>particular band</w:t>
      </w:r>
      <w:proofErr w:type="gramEnd"/>
      <w:r>
        <w:t>, t</w:t>
      </w:r>
      <w:r w:rsidRPr="00236F32">
        <w:t>he ACMA will</w:t>
      </w:r>
      <w:r w:rsidR="0079078D">
        <w:t xml:space="preserve"> assess</w:t>
      </w:r>
      <w:r w:rsidR="00E036AE">
        <w:t xml:space="preserve"> factors such as frequency range and the type of service expected to be deployed in the band to </w:t>
      </w:r>
      <w:r>
        <w:t xml:space="preserve">determine the minimum geographic size of any particular licence. The ACMA will use the </w:t>
      </w:r>
      <w:hyperlink r:id="rId29" w:history="1">
        <w:r w:rsidRPr="00351C92">
          <w:rPr>
            <w:rStyle w:val="Hyperlink"/>
          </w:rPr>
          <w:t xml:space="preserve">Australian </w:t>
        </w:r>
        <w:r w:rsidR="00BC1BE9">
          <w:rPr>
            <w:rStyle w:val="Hyperlink"/>
          </w:rPr>
          <w:t>s</w:t>
        </w:r>
        <w:r w:rsidRPr="00351C92">
          <w:rPr>
            <w:rStyle w:val="Hyperlink"/>
          </w:rPr>
          <w:t xml:space="preserve">pectrum </w:t>
        </w:r>
        <w:r w:rsidR="00BC1BE9">
          <w:rPr>
            <w:rStyle w:val="Hyperlink"/>
          </w:rPr>
          <w:t>m</w:t>
        </w:r>
        <w:r w:rsidRPr="00351C92">
          <w:rPr>
            <w:rStyle w:val="Hyperlink"/>
          </w:rPr>
          <w:t xml:space="preserve">ap </w:t>
        </w:r>
        <w:r w:rsidR="00BC1BE9">
          <w:rPr>
            <w:rStyle w:val="Hyperlink"/>
          </w:rPr>
          <w:t>g</w:t>
        </w:r>
        <w:r w:rsidRPr="00351C92">
          <w:rPr>
            <w:rStyle w:val="Hyperlink"/>
          </w:rPr>
          <w:t>rid (ASMG)</w:t>
        </w:r>
      </w:hyperlink>
      <w:r>
        <w:t xml:space="preserve"> and the Hierarchical Cell Identification Scheme (HCIS) to define the geographic area of </w:t>
      </w:r>
      <w:r w:rsidR="0079078D">
        <w:t xml:space="preserve">the </w:t>
      </w:r>
      <w:r>
        <w:t xml:space="preserve">licence. </w:t>
      </w:r>
      <w:r w:rsidR="00E53E1B">
        <w:t xml:space="preserve">In order to allow licence areas to </w:t>
      </w:r>
      <w:r w:rsidR="00FD420E">
        <w:t xml:space="preserve">be accurately mapped to </w:t>
      </w:r>
      <w:r w:rsidR="00E53E1B">
        <w:t>the area in which a licensee is planning to deploy services, and to minimise arbitrary boundaries that have the potential to lead to inefficient use of spectrum, c</w:t>
      </w:r>
      <w:r w:rsidR="005E7314">
        <w:t xml:space="preserve">areful consideration will be given to </w:t>
      </w:r>
      <w:r w:rsidR="00E53E1B">
        <w:t xml:space="preserve">providing an underlying grid of sufficient granularity to define the area authorised by a licence. This may include new smaller HCIS levels than currently used in the ASMG. </w:t>
      </w:r>
      <w:bookmarkEnd w:id="15"/>
      <w:r w:rsidR="0092488A" w:rsidRPr="007429AC">
        <w:t xml:space="preserve">The ACMA will </w:t>
      </w:r>
      <w:r w:rsidR="0092488A" w:rsidRPr="007429AC">
        <w:rPr>
          <w:rFonts w:eastAsiaTheme="minorHAnsi"/>
        </w:rPr>
        <w:t>consult stakeholders as part of this consideration.</w:t>
      </w:r>
    </w:p>
    <w:p w14:paraId="09764DB6" w14:textId="02DB636F" w:rsidR="00FB318D" w:rsidRPr="00422778" w:rsidRDefault="00FB318D" w:rsidP="00670FEB">
      <w:pPr>
        <w:pStyle w:val="Paragraph"/>
      </w:pPr>
      <w:r>
        <w:t>Managing coexistence between authorised services is a significant consideration when developing new planning and licensing arrangements. Before</w:t>
      </w:r>
      <w:r w:rsidR="009839E4">
        <w:t xml:space="preserve"> AWLs </w:t>
      </w:r>
      <w:r w:rsidR="007B4585">
        <w:t>are</w:t>
      </w:r>
      <w:r w:rsidR="009839E4">
        <w:t xml:space="preserve"> issued in a new band</w:t>
      </w:r>
      <w:r w:rsidR="00BC1BE9">
        <w:t>,</w:t>
      </w:r>
      <w:r w:rsidR="009839E4">
        <w:t xml:space="preserve"> </w:t>
      </w:r>
      <w:r>
        <w:t xml:space="preserve">the ACMA will ensure that consideration has been given to the appropriate management of the potential for </w:t>
      </w:r>
      <w:r w:rsidR="00DD3713" w:rsidRPr="007C7D34">
        <w:t>harmful</w:t>
      </w:r>
      <w:r w:rsidRPr="007C7D34">
        <w:t xml:space="preserve"> interference </w:t>
      </w:r>
      <w:r>
        <w:t xml:space="preserve">from </w:t>
      </w:r>
      <w:r w:rsidR="00F75783">
        <w:t xml:space="preserve">radiocommunications </w:t>
      </w:r>
      <w:r>
        <w:t>devices authorised under the AWL to other spectrum users, and</w:t>
      </w:r>
      <w:r w:rsidR="00BC1BE9">
        <w:t> </w:t>
      </w:r>
      <w:r>
        <w:t xml:space="preserve">the potential for </w:t>
      </w:r>
      <w:r w:rsidR="00DD3713" w:rsidRPr="007C7D34">
        <w:t>harmful</w:t>
      </w:r>
      <w:r>
        <w:t xml:space="preserve"> interference from other spectrum users to </w:t>
      </w:r>
      <w:r w:rsidR="00F75783">
        <w:t xml:space="preserve">radiocommunications </w:t>
      </w:r>
      <w:r>
        <w:t xml:space="preserve">devices authorised under the AWL. </w:t>
      </w:r>
      <w:r w:rsidRPr="004B57A2">
        <w:t xml:space="preserve">Existing services within a </w:t>
      </w:r>
      <w:proofErr w:type="gramStart"/>
      <w:r w:rsidRPr="004B57A2">
        <w:t>particular band</w:t>
      </w:r>
      <w:proofErr w:type="gramEnd"/>
      <w:r w:rsidRPr="004B57A2">
        <w:t xml:space="preserve"> and in adjacent bands will be considered when allocating AWLs.</w:t>
      </w:r>
      <w:r w:rsidRPr="00D32844">
        <w:t xml:space="preserve"> Arrangements, including</w:t>
      </w:r>
      <w:r>
        <w:t xml:space="preserve"> </w:t>
      </w:r>
      <w:r w:rsidRPr="00D32844">
        <w:t>licence conditions and associated administrative guidelines, will be made to ensure the appropriate protection of incumbent services over time while allowing new users to access the band</w:t>
      </w:r>
      <w:r w:rsidRPr="0036313A">
        <w:rPr>
          <w:b/>
          <w:bCs/>
        </w:rPr>
        <w:t xml:space="preserve">. </w:t>
      </w:r>
      <w:r w:rsidR="00D515C6" w:rsidRPr="00B16D97">
        <w:t xml:space="preserve">The ACMA will </w:t>
      </w:r>
      <w:r w:rsidR="00D515C6" w:rsidRPr="00B16D97">
        <w:rPr>
          <w:rFonts w:eastAsiaTheme="minorHAnsi"/>
        </w:rPr>
        <w:t>consult stakeholders as part of this consideration.</w:t>
      </w:r>
    </w:p>
    <w:p w14:paraId="1A8FED2A" w14:textId="3582381F" w:rsidR="00FB318D" w:rsidRDefault="00FB318D" w:rsidP="00FB318D">
      <w:r w:rsidRPr="00712DE6">
        <w:t xml:space="preserve">Where necessary or appropriate, the ACMA </w:t>
      </w:r>
      <w:r w:rsidR="000479CD">
        <w:t>will</w:t>
      </w:r>
      <w:r w:rsidR="000479CD" w:rsidRPr="00712DE6">
        <w:t xml:space="preserve"> </w:t>
      </w:r>
      <w:r w:rsidRPr="00712DE6">
        <w:t>publish technical planning information to</w:t>
      </w:r>
      <w:r w:rsidR="009526D1">
        <w:t xml:space="preserve"> ensure AWLs meet specific technical requirements.</w:t>
      </w:r>
      <w:r w:rsidRPr="00712DE6">
        <w:t xml:space="preserve"> This technical planning information is likely to be in the form of a </w:t>
      </w:r>
      <w:r>
        <w:rPr>
          <w:rFonts w:eastAsiaTheme="minorHAnsi" w:cs="Arial"/>
          <w:szCs w:val="20"/>
        </w:rPr>
        <w:t>Radiocommunications Assignment and Licensing Instruction (</w:t>
      </w:r>
      <w:r w:rsidRPr="00712DE6">
        <w:t>RALI</w:t>
      </w:r>
      <w:r>
        <w:t>)</w:t>
      </w:r>
      <w:r w:rsidRPr="00712DE6">
        <w:t xml:space="preserve"> that is specific to the relevant band. This material will be provided to stakeholders for consultation prior to finalisation</w:t>
      </w:r>
      <w:r w:rsidR="00F75783">
        <w:t xml:space="preserve"> of the technical planning</w:t>
      </w:r>
      <w:r w:rsidRPr="00712DE6">
        <w:t>.</w:t>
      </w:r>
    </w:p>
    <w:p w14:paraId="1E8A1C45" w14:textId="77777777" w:rsidR="00FB318D" w:rsidRPr="0040626B" w:rsidRDefault="00FB318D" w:rsidP="00670FEB">
      <w:pPr>
        <w:pStyle w:val="Heading2"/>
      </w:pPr>
      <w:bookmarkStart w:id="16" w:name="_Toc29278863"/>
      <w:bookmarkStart w:id="17" w:name="_Toc32493528"/>
      <w:r w:rsidRPr="0040626B">
        <w:t>AWL Licence Condition Determination</w:t>
      </w:r>
      <w:bookmarkEnd w:id="16"/>
      <w:bookmarkEnd w:id="17"/>
      <w:r w:rsidRPr="0040626B">
        <w:t xml:space="preserve"> </w:t>
      </w:r>
    </w:p>
    <w:p w14:paraId="336B4125" w14:textId="77777777" w:rsidR="00770D43" w:rsidRDefault="00857096" w:rsidP="00CD5D0B">
      <w:pPr>
        <w:spacing w:after="80"/>
        <w:rPr>
          <w:rFonts w:ascii="Times New Roman" w:hAnsi="Times New Roman"/>
        </w:rPr>
      </w:pPr>
      <w:r>
        <w:t>T</w:t>
      </w:r>
      <w:r w:rsidR="00CD5D0B" w:rsidRPr="00712DE6">
        <w:t>he AWL</w:t>
      </w:r>
      <w:r w:rsidR="0015316A">
        <w:t xml:space="preserve"> </w:t>
      </w:r>
      <w:r w:rsidR="000E7DCE">
        <w:t>LCD</w:t>
      </w:r>
      <w:r w:rsidR="00CD5D0B" w:rsidRPr="00712DE6">
        <w:t xml:space="preserve"> contains </w:t>
      </w:r>
      <w:r w:rsidR="00F75783">
        <w:t xml:space="preserve">a </w:t>
      </w:r>
      <w:r w:rsidR="00CD5D0B" w:rsidRPr="00712DE6">
        <w:t xml:space="preserve">condition that </w:t>
      </w:r>
      <w:r w:rsidR="00F75783">
        <w:t>is</w:t>
      </w:r>
      <w:r w:rsidR="00CD5D0B" w:rsidRPr="00712DE6">
        <w:t xml:space="preserve"> common to all </w:t>
      </w:r>
      <w:r w:rsidR="00B549CD" w:rsidRPr="00FD420E">
        <w:t xml:space="preserve">area-wide </w:t>
      </w:r>
      <w:r w:rsidR="00CD5D0B" w:rsidRPr="00712DE6">
        <w:t>transmitter</w:t>
      </w:r>
      <w:r w:rsidR="00B549CD">
        <w:t xml:space="preserve"> licences</w:t>
      </w:r>
      <w:r>
        <w:t xml:space="preserve">. </w:t>
      </w:r>
      <w:r w:rsidR="00770D43">
        <w:t xml:space="preserve">With some exceptions, this condition requires licensees to provide information about the location of their area-wide stations and their maximum total radiated power to the ACMA or other persons who make a written request for such information. </w:t>
      </w:r>
    </w:p>
    <w:p w14:paraId="34AF01DF" w14:textId="479D686A" w:rsidR="00683698" w:rsidRDefault="00857096" w:rsidP="00CD5D0B">
      <w:pPr>
        <w:spacing w:after="80"/>
      </w:pPr>
      <w:r>
        <w:t xml:space="preserve">In considering the implementation of AWLs in a new band, the ACMA will </w:t>
      </w:r>
      <w:r w:rsidR="00F83216">
        <w:t xml:space="preserve">examine </w:t>
      </w:r>
      <w:r>
        <w:t xml:space="preserve">whether amendments are required to the AWL LCD to </w:t>
      </w:r>
      <w:r w:rsidR="00CD5D0B" w:rsidRPr="00712DE6">
        <w:t xml:space="preserve">include band-specific schedules containing conditions relevant to AWLs within the corresponding frequency band. </w:t>
      </w:r>
      <w:r w:rsidR="00CD5D0B">
        <w:t>Band-specific d</w:t>
      </w:r>
      <w:r w:rsidR="00CD5D0B" w:rsidRPr="00712DE6">
        <w:t xml:space="preserve">raft amendments to the AWL </w:t>
      </w:r>
      <w:r w:rsidR="009A4E4D">
        <w:t xml:space="preserve">LCD </w:t>
      </w:r>
      <w:r w:rsidR="00CD5D0B" w:rsidRPr="00712DE6">
        <w:t xml:space="preserve">will be </w:t>
      </w:r>
      <w:r w:rsidR="00895D81">
        <w:t>subject to public</w:t>
      </w:r>
      <w:r w:rsidR="00CD5D0B" w:rsidRPr="00712DE6">
        <w:t xml:space="preserve"> consultation prior to finalisation.</w:t>
      </w:r>
    </w:p>
    <w:p w14:paraId="38E7868A" w14:textId="77777777" w:rsidR="00683698" w:rsidRPr="00712DE6" w:rsidRDefault="003632DC" w:rsidP="007B0827">
      <w:pPr>
        <w:pStyle w:val="Paragraphbeforelist"/>
      </w:pPr>
      <w:r>
        <w:t xml:space="preserve">Future </w:t>
      </w:r>
      <w:r w:rsidR="009202AD">
        <w:t xml:space="preserve">band-specific </w:t>
      </w:r>
      <w:r>
        <w:t>amendments to t</w:t>
      </w:r>
      <w:r w:rsidR="002C729A">
        <w:t xml:space="preserve">he </w:t>
      </w:r>
      <w:r w:rsidR="00683698" w:rsidRPr="00712DE6">
        <w:t>AWL</w:t>
      </w:r>
      <w:r w:rsidR="00FB318D">
        <w:t xml:space="preserve"> LCD</w:t>
      </w:r>
      <w:r w:rsidR="00683698" w:rsidRPr="00712DE6">
        <w:t xml:space="preserve"> may include conditions which specify:</w:t>
      </w:r>
    </w:p>
    <w:p w14:paraId="25213902" w14:textId="77777777" w:rsidR="00683698" w:rsidRPr="00670FEB" w:rsidRDefault="00683698" w:rsidP="00670FEB">
      <w:pPr>
        <w:pStyle w:val="ListBullet"/>
      </w:pPr>
      <w:r w:rsidRPr="00670FEB">
        <w:t>the frequencies in which radiocommunications devices are authorised to operate</w:t>
      </w:r>
    </w:p>
    <w:p w14:paraId="0694CDDC" w14:textId="77777777" w:rsidR="00683698" w:rsidRPr="00670FEB" w:rsidRDefault="00683698" w:rsidP="00670FEB">
      <w:pPr>
        <w:pStyle w:val="ListBullet"/>
      </w:pPr>
      <w:r w:rsidRPr="00670FEB">
        <w:t>the geographic area in which radiocommunications devices may be operated</w:t>
      </w:r>
    </w:p>
    <w:p w14:paraId="15AA1304" w14:textId="353D9DCF" w:rsidR="00683698" w:rsidRPr="00670FEB" w:rsidRDefault="00683698" w:rsidP="00670FEB">
      <w:pPr>
        <w:pStyle w:val="ListBullet"/>
      </w:pPr>
      <w:r w:rsidRPr="00670FEB">
        <w:t xml:space="preserve">the maximum </w:t>
      </w:r>
      <w:r w:rsidR="00F83216">
        <w:t>e</w:t>
      </w:r>
      <w:r w:rsidRPr="00670FEB">
        <w:t xml:space="preserve">quivalent </w:t>
      </w:r>
      <w:proofErr w:type="spellStart"/>
      <w:r w:rsidR="00F83216">
        <w:t>i</w:t>
      </w:r>
      <w:r w:rsidRPr="00670FEB">
        <w:t>sotropically</w:t>
      </w:r>
      <w:proofErr w:type="spellEnd"/>
      <w:r w:rsidRPr="00670FEB">
        <w:t xml:space="preserve"> </w:t>
      </w:r>
      <w:r w:rsidR="00F83216">
        <w:t>r</w:t>
      </w:r>
      <w:r w:rsidRPr="00670FEB">
        <w:t xml:space="preserve">adiated </w:t>
      </w:r>
      <w:r w:rsidR="00F83216">
        <w:t>p</w:t>
      </w:r>
      <w:r w:rsidRPr="00670FEB">
        <w:t xml:space="preserve">ower (EIRP) or </w:t>
      </w:r>
      <w:r w:rsidR="00F83216">
        <w:t>t</w:t>
      </w:r>
      <w:r w:rsidRPr="00670FEB">
        <w:t xml:space="preserve">otal </w:t>
      </w:r>
      <w:r w:rsidR="00F83216">
        <w:t>r</w:t>
      </w:r>
      <w:r w:rsidRPr="00670FEB">
        <w:t xml:space="preserve">adiated </w:t>
      </w:r>
      <w:r w:rsidR="00F83216">
        <w:t>p</w:t>
      </w:r>
      <w:r w:rsidRPr="00670FEB">
        <w:t>ower (TRP) levels for radiocommunications devices operated under the licence</w:t>
      </w:r>
    </w:p>
    <w:p w14:paraId="38A84CBB" w14:textId="77777777" w:rsidR="00EA41B8" w:rsidRPr="00670FEB" w:rsidRDefault="00683698" w:rsidP="00670FEB">
      <w:pPr>
        <w:pStyle w:val="ListBullet"/>
      </w:pPr>
      <w:r w:rsidRPr="00670FEB">
        <w:t>the maximum signal level at the boundary/edge of the licence area</w:t>
      </w:r>
    </w:p>
    <w:p w14:paraId="2B947854" w14:textId="77777777" w:rsidR="000C13FA" w:rsidRPr="00670FEB" w:rsidRDefault="00683698" w:rsidP="00670FEB">
      <w:pPr>
        <w:pStyle w:val="ListBulletLast"/>
      </w:pPr>
      <w:r w:rsidRPr="00670FEB">
        <w:t>any other conditions relating to the operation of radiocommunications devices under the licence</w:t>
      </w:r>
      <w:r w:rsidR="005A6A7A" w:rsidRPr="00670FEB">
        <w:t>.</w:t>
      </w:r>
    </w:p>
    <w:p w14:paraId="79D8F28C" w14:textId="17DBDAEE" w:rsidR="0011536C" w:rsidRDefault="00683698" w:rsidP="00B6570B">
      <w:pPr>
        <w:pStyle w:val="ListBulletLast"/>
        <w:numPr>
          <w:ilvl w:val="0"/>
          <w:numId w:val="0"/>
        </w:numPr>
      </w:pPr>
      <w:r w:rsidRPr="00712DE6">
        <w:lastRenderedPageBreak/>
        <w:t xml:space="preserve">The technical conditions for radiocommunications transmitters (and radiocommunications receivers, if applicable) and the boundary conditions for an AWL in a </w:t>
      </w:r>
      <w:proofErr w:type="gramStart"/>
      <w:r w:rsidRPr="00712DE6">
        <w:t>particular band</w:t>
      </w:r>
      <w:proofErr w:type="gramEnd"/>
      <w:r w:rsidRPr="00712DE6">
        <w:t xml:space="preserve"> will derive from </w:t>
      </w:r>
      <w:r>
        <w:t xml:space="preserve">the </w:t>
      </w:r>
      <w:r w:rsidRPr="00712DE6">
        <w:t>band-specific planning considerations.</w:t>
      </w:r>
    </w:p>
    <w:p w14:paraId="12DDE25E" w14:textId="77777777" w:rsidR="0011536C" w:rsidRPr="00B6570B" w:rsidRDefault="0011536C" w:rsidP="00562C02">
      <w:pPr>
        <w:pStyle w:val="Heading2"/>
      </w:pPr>
      <w:bookmarkStart w:id="18" w:name="_Toc32493529"/>
      <w:r w:rsidRPr="00B6570B">
        <w:t>Spectrum planning</w:t>
      </w:r>
      <w:bookmarkEnd w:id="18"/>
      <w:r w:rsidRPr="00B6570B">
        <w:t xml:space="preserve"> </w:t>
      </w:r>
    </w:p>
    <w:p w14:paraId="6541ED37" w14:textId="707EB2C7" w:rsidR="00E75690" w:rsidRDefault="00EA41B8" w:rsidP="00310666">
      <w:pPr>
        <w:rPr>
          <w:rFonts w:cs="Arial"/>
          <w:szCs w:val="20"/>
        </w:rPr>
      </w:pPr>
      <w:r>
        <w:rPr>
          <w:szCs w:val="20"/>
        </w:rPr>
        <w:t>When con</w:t>
      </w:r>
      <w:r w:rsidR="00D40B21">
        <w:rPr>
          <w:szCs w:val="20"/>
        </w:rPr>
        <w:t>templating</w:t>
      </w:r>
      <w:r>
        <w:rPr>
          <w:szCs w:val="20"/>
        </w:rPr>
        <w:t xml:space="preserve"> new band planning arrangements in a particular band (</w:t>
      </w:r>
      <w:r w:rsidR="0029754A">
        <w:rPr>
          <w:szCs w:val="20"/>
        </w:rPr>
        <w:t>e.g.</w:t>
      </w:r>
      <w:r>
        <w:rPr>
          <w:szCs w:val="20"/>
        </w:rPr>
        <w:t xml:space="preserve"> for the potential introduction of a new technology or service), the ACMA undertakes particular studies, including technical studies, and consults with key stakeholders.</w:t>
      </w:r>
      <w:r w:rsidR="0011536C">
        <w:rPr>
          <w:rStyle w:val="FootnoteReference"/>
          <w:szCs w:val="20"/>
        </w:rPr>
        <w:footnoteReference w:id="3"/>
      </w:r>
      <w:r w:rsidR="0011536C">
        <w:rPr>
          <w:szCs w:val="20"/>
        </w:rPr>
        <w:t xml:space="preserve"> </w:t>
      </w:r>
      <w:r w:rsidR="00B6570B">
        <w:rPr>
          <w:rFonts w:cs="Arial"/>
          <w:szCs w:val="20"/>
        </w:rPr>
        <w:t>T</w:t>
      </w:r>
      <w:r w:rsidR="0011536C">
        <w:rPr>
          <w:rFonts w:cs="Arial"/>
          <w:szCs w:val="20"/>
        </w:rPr>
        <w:t>he ACMA is currently considering</w:t>
      </w:r>
      <w:r w:rsidR="0011536C" w:rsidRPr="00336FA1">
        <w:rPr>
          <w:rFonts w:cs="Arial"/>
          <w:szCs w:val="20"/>
        </w:rPr>
        <w:t xml:space="preserve"> introducing AWLs in the 26 GHz and 28 GHz bands.</w:t>
      </w:r>
      <w:r w:rsidR="0011536C">
        <w:rPr>
          <w:rFonts w:cs="Arial"/>
          <w:szCs w:val="20"/>
        </w:rPr>
        <w:t xml:space="preserve"> These are the first bands to be considered for AWLs. </w:t>
      </w:r>
      <w:r w:rsidR="00310666">
        <w:rPr>
          <w:rFonts w:cs="Arial"/>
          <w:szCs w:val="20"/>
        </w:rPr>
        <w:t>Following th</w:t>
      </w:r>
      <w:r w:rsidR="002954B5">
        <w:rPr>
          <w:rFonts w:cs="Arial"/>
          <w:szCs w:val="20"/>
        </w:rPr>
        <w:t>e review of the 26 GHz and 28 GHz bands</w:t>
      </w:r>
      <w:r w:rsidR="00310666">
        <w:rPr>
          <w:rFonts w:cs="Arial"/>
          <w:szCs w:val="20"/>
        </w:rPr>
        <w:t>,</w:t>
      </w:r>
      <w:r w:rsidR="00310666" w:rsidRPr="00336FA1">
        <w:rPr>
          <w:rFonts w:cs="Arial"/>
          <w:szCs w:val="20"/>
        </w:rPr>
        <w:t xml:space="preserve"> consideration </w:t>
      </w:r>
      <w:r w:rsidR="0029754A">
        <w:rPr>
          <w:rFonts w:cs="Arial"/>
          <w:szCs w:val="20"/>
        </w:rPr>
        <w:t>will</w:t>
      </w:r>
      <w:r w:rsidR="0029754A" w:rsidRPr="00336FA1">
        <w:rPr>
          <w:rFonts w:cs="Arial"/>
          <w:szCs w:val="20"/>
        </w:rPr>
        <w:t xml:space="preserve"> </w:t>
      </w:r>
      <w:r w:rsidR="00310666" w:rsidRPr="00336FA1">
        <w:rPr>
          <w:rFonts w:cs="Arial"/>
          <w:szCs w:val="20"/>
        </w:rPr>
        <w:t>be given</w:t>
      </w:r>
      <w:r w:rsidR="00433707">
        <w:rPr>
          <w:rFonts w:cs="Arial"/>
          <w:szCs w:val="20"/>
        </w:rPr>
        <w:t>, where appropriate,</w:t>
      </w:r>
      <w:r w:rsidR="00310666" w:rsidRPr="00336FA1">
        <w:rPr>
          <w:rFonts w:cs="Arial"/>
          <w:szCs w:val="20"/>
        </w:rPr>
        <w:t xml:space="preserve"> to developing and consulting on implementation arrangements</w:t>
      </w:r>
      <w:r w:rsidR="002954B5">
        <w:rPr>
          <w:rFonts w:cs="Arial"/>
          <w:szCs w:val="20"/>
        </w:rPr>
        <w:t xml:space="preserve"> for AWLs</w:t>
      </w:r>
      <w:r w:rsidR="00310666" w:rsidRPr="00336FA1">
        <w:rPr>
          <w:rFonts w:cs="Arial"/>
          <w:szCs w:val="20"/>
        </w:rPr>
        <w:t xml:space="preserve"> in other bands. </w:t>
      </w:r>
      <w:r w:rsidR="00310666">
        <w:rPr>
          <w:rFonts w:cs="Arial"/>
          <w:szCs w:val="20"/>
        </w:rPr>
        <w:t xml:space="preserve">The approach the ACMA adopts for the 26 GHz and 28 GHz bands will not necessarily be used for other frequency bands that are considered for AWLs. </w:t>
      </w:r>
    </w:p>
    <w:p w14:paraId="2D36323F" w14:textId="77777777" w:rsidR="00310666" w:rsidRPr="00E75690" w:rsidRDefault="00310666" w:rsidP="00670FEB">
      <w:pPr>
        <w:pStyle w:val="Heading2"/>
      </w:pPr>
      <w:bookmarkStart w:id="19" w:name="_Toc32493530"/>
      <w:r w:rsidRPr="00E75690">
        <w:t>Registration of devices</w:t>
      </w:r>
      <w:bookmarkEnd w:id="19"/>
      <w:r w:rsidRPr="00E75690">
        <w:t xml:space="preserve"> </w:t>
      </w:r>
    </w:p>
    <w:p w14:paraId="13325782" w14:textId="54F6E273" w:rsidR="004A0AE3" w:rsidRDefault="00B042BD" w:rsidP="00310666">
      <w:r>
        <w:t xml:space="preserve">Full registration </w:t>
      </w:r>
      <w:r w:rsidR="005E3C05">
        <w:t xml:space="preserve">details </w:t>
      </w:r>
      <w:r w:rsidR="00BA2143">
        <w:t xml:space="preserve">of all </w:t>
      </w:r>
      <w:r w:rsidR="005E3C05">
        <w:t xml:space="preserve">radiocommunications </w:t>
      </w:r>
      <w:r w:rsidR="00BA2143">
        <w:t xml:space="preserve">devices on the </w:t>
      </w:r>
      <w:r w:rsidR="00BA2143">
        <w:rPr>
          <w:szCs w:val="20"/>
        </w:rPr>
        <w:t xml:space="preserve">Register of Radiocommunications Licences </w:t>
      </w:r>
      <w:r>
        <w:t>may not be required for AWLs</w:t>
      </w:r>
      <w:r w:rsidR="00BA2143">
        <w:t>.</w:t>
      </w:r>
      <w:r>
        <w:t xml:space="preserve"> </w:t>
      </w:r>
      <w:r w:rsidR="00C2199A">
        <w:t xml:space="preserve">This is because </w:t>
      </w:r>
      <w:r w:rsidR="00EF708F">
        <w:rPr>
          <w:szCs w:val="20"/>
        </w:rPr>
        <w:t xml:space="preserve">AWLs </w:t>
      </w:r>
      <w:r w:rsidR="00EF708F">
        <w:t xml:space="preserve">will authorise access within a defined frequency range and geographic area and include conditions at the frequency and area boundaries to manage interference. This will lessen the need to use device registration details to resolve interference issues. </w:t>
      </w:r>
    </w:p>
    <w:p w14:paraId="0D53C7AF" w14:textId="77777777" w:rsidR="00310666" w:rsidRDefault="00310666" w:rsidP="00310666">
      <w:pPr>
        <w:rPr>
          <w:rFonts w:cs="Arial"/>
          <w:szCs w:val="20"/>
        </w:rPr>
      </w:pPr>
      <w:r>
        <w:rPr>
          <w:rFonts w:cs="Arial"/>
          <w:szCs w:val="20"/>
        </w:rPr>
        <w:t xml:space="preserve">The ACMA’s starting position regarding </w:t>
      </w:r>
      <w:r w:rsidR="007B55AC">
        <w:rPr>
          <w:rFonts w:cs="Arial"/>
          <w:szCs w:val="20"/>
        </w:rPr>
        <w:t xml:space="preserve">licence and </w:t>
      </w:r>
      <w:r>
        <w:rPr>
          <w:rFonts w:cs="Arial"/>
          <w:szCs w:val="20"/>
        </w:rPr>
        <w:t>device registration of AWLs is best described as</w:t>
      </w:r>
      <w:r w:rsidR="002D537D">
        <w:rPr>
          <w:rFonts w:cs="Arial"/>
          <w:szCs w:val="20"/>
        </w:rPr>
        <w:t xml:space="preserve"> a </w:t>
      </w:r>
      <w:r>
        <w:rPr>
          <w:rFonts w:cs="Arial"/>
          <w:szCs w:val="20"/>
        </w:rPr>
        <w:t xml:space="preserve">minimal </w:t>
      </w:r>
      <w:r w:rsidR="002D537D">
        <w:rPr>
          <w:rFonts w:cs="Arial"/>
          <w:szCs w:val="20"/>
        </w:rPr>
        <w:t xml:space="preserve">set of </w:t>
      </w:r>
      <w:r>
        <w:rPr>
          <w:rFonts w:cs="Arial"/>
          <w:szCs w:val="20"/>
        </w:rPr>
        <w:t>registration</w:t>
      </w:r>
      <w:r w:rsidR="002D537D">
        <w:rPr>
          <w:rFonts w:cs="Arial"/>
          <w:szCs w:val="20"/>
        </w:rPr>
        <w:t xml:space="preserve"> requirements</w:t>
      </w:r>
      <w:r>
        <w:rPr>
          <w:rFonts w:cs="Arial"/>
          <w:szCs w:val="20"/>
        </w:rPr>
        <w:t>.</w:t>
      </w:r>
    </w:p>
    <w:p w14:paraId="6220338D" w14:textId="1130A596" w:rsidR="00310666" w:rsidRDefault="00310666" w:rsidP="00310666">
      <w:pPr>
        <w:rPr>
          <w:rFonts w:cs="Arial"/>
          <w:szCs w:val="20"/>
        </w:rPr>
      </w:pPr>
      <w:r>
        <w:rPr>
          <w:rFonts w:cs="Arial"/>
          <w:szCs w:val="20"/>
        </w:rPr>
        <w:t xml:space="preserve">Section 147 of the </w:t>
      </w:r>
      <w:r w:rsidRPr="00D136C7">
        <w:rPr>
          <w:rFonts w:cs="Arial"/>
          <w:i/>
          <w:iCs/>
          <w:szCs w:val="20"/>
        </w:rPr>
        <w:t>Radiocommunications Act 1992</w:t>
      </w:r>
      <w:r w:rsidR="00BF5DEC">
        <w:rPr>
          <w:rFonts w:cs="Arial"/>
          <w:szCs w:val="20"/>
        </w:rPr>
        <w:t xml:space="preserve"> </w:t>
      </w:r>
      <w:r w:rsidR="003F748D">
        <w:rPr>
          <w:rFonts w:cs="Arial"/>
          <w:szCs w:val="20"/>
        </w:rPr>
        <w:t xml:space="preserve">requires </w:t>
      </w:r>
      <w:r>
        <w:rPr>
          <w:rFonts w:cs="Arial"/>
          <w:szCs w:val="20"/>
        </w:rPr>
        <w:t xml:space="preserve">that for each apparatus licence, the licensee’s name, postal address and the date of issue and expiry of the licence must be included in the </w:t>
      </w:r>
      <w:r w:rsidR="008E008C">
        <w:rPr>
          <w:rFonts w:cs="Arial"/>
          <w:szCs w:val="20"/>
        </w:rPr>
        <w:t>Register</w:t>
      </w:r>
      <w:r w:rsidR="003F748D">
        <w:rPr>
          <w:rFonts w:cs="Arial"/>
          <w:szCs w:val="20"/>
        </w:rPr>
        <w:t>.</w:t>
      </w:r>
    </w:p>
    <w:p w14:paraId="0866A428" w14:textId="406C2E15" w:rsidR="0096794D" w:rsidRDefault="00310666" w:rsidP="00310666">
      <w:pPr>
        <w:rPr>
          <w:rFonts w:cs="Arial"/>
          <w:szCs w:val="20"/>
        </w:rPr>
      </w:pPr>
      <w:r>
        <w:rPr>
          <w:rFonts w:cs="Arial"/>
          <w:szCs w:val="20"/>
        </w:rPr>
        <w:t>In addition, the licence information requirements under subsections 10(2) and 10(3) of the RRL Determination will apply to all AWLs</w:t>
      </w:r>
      <w:r w:rsidR="00A22213">
        <w:rPr>
          <w:rFonts w:cs="Arial"/>
          <w:szCs w:val="20"/>
        </w:rPr>
        <w:t xml:space="preserve"> (for example, the licensee’s client number, the date of effect of the licence and any special conditions and advisory notes associate</w:t>
      </w:r>
      <w:r w:rsidR="003A55CD">
        <w:rPr>
          <w:rFonts w:cs="Arial"/>
          <w:szCs w:val="20"/>
        </w:rPr>
        <w:t>d</w:t>
      </w:r>
      <w:r w:rsidR="00A22213">
        <w:rPr>
          <w:rFonts w:cs="Arial"/>
          <w:szCs w:val="20"/>
        </w:rPr>
        <w:t xml:space="preserve"> with the licence)</w:t>
      </w:r>
      <w:r>
        <w:rPr>
          <w:rFonts w:cs="Arial"/>
          <w:szCs w:val="20"/>
        </w:rPr>
        <w:t xml:space="preserve">. </w:t>
      </w:r>
    </w:p>
    <w:p w14:paraId="64B456A4" w14:textId="77777777" w:rsidR="00310666" w:rsidRPr="00472949" w:rsidRDefault="00310666" w:rsidP="00310666">
      <w:pPr>
        <w:rPr>
          <w:rFonts w:cs="Arial"/>
        </w:rPr>
      </w:pPr>
      <w:r>
        <w:rPr>
          <w:rFonts w:cs="Arial"/>
          <w:szCs w:val="20"/>
        </w:rPr>
        <w:t>The device information requirements under subsections 10(4), 10(5), 10(6) and 10(7) of the RRL Determination will</w:t>
      </w:r>
      <w:r w:rsidR="00D336BF">
        <w:rPr>
          <w:rFonts w:cs="Arial"/>
          <w:szCs w:val="20"/>
        </w:rPr>
        <w:t xml:space="preserve"> not</w:t>
      </w:r>
      <w:r>
        <w:rPr>
          <w:rFonts w:cs="Arial"/>
          <w:szCs w:val="20"/>
        </w:rPr>
        <w:t xml:space="preserve"> apply to AWLs </w:t>
      </w:r>
      <w:r w:rsidR="00573CB6">
        <w:rPr>
          <w:rFonts w:cs="Arial"/>
          <w:szCs w:val="20"/>
        </w:rPr>
        <w:t xml:space="preserve">unless </w:t>
      </w:r>
      <w:r w:rsidR="009E379C">
        <w:t xml:space="preserve">a condition is </w:t>
      </w:r>
      <w:r w:rsidR="00DD229C">
        <w:t>determined</w:t>
      </w:r>
      <w:r w:rsidR="009E379C">
        <w:t xml:space="preserve"> </w:t>
      </w:r>
      <w:r w:rsidR="00573CB6">
        <w:rPr>
          <w:rFonts w:cs="Arial"/>
          <w:szCs w:val="20"/>
        </w:rPr>
        <w:t xml:space="preserve">in the AWL LCD </w:t>
      </w:r>
      <w:r w:rsidR="00F118FE">
        <w:rPr>
          <w:rFonts w:cs="Arial"/>
          <w:szCs w:val="20"/>
        </w:rPr>
        <w:t xml:space="preserve">(following an amendment of that instrument after band-specific planning considerations and consultation) </w:t>
      </w:r>
      <w:r w:rsidR="00573CB6">
        <w:rPr>
          <w:rFonts w:cs="Arial"/>
          <w:szCs w:val="20"/>
        </w:rPr>
        <w:t xml:space="preserve">or </w:t>
      </w:r>
      <w:r w:rsidR="00DD229C">
        <w:rPr>
          <w:rFonts w:cs="Arial"/>
          <w:szCs w:val="20"/>
        </w:rPr>
        <w:t xml:space="preserve">specified </w:t>
      </w:r>
      <w:r w:rsidR="00D76B39">
        <w:rPr>
          <w:rFonts w:cs="Arial"/>
          <w:szCs w:val="20"/>
        </w:rPr>
        <w:t xml:space="preserve">on the licence itself. </w:t>
      </w:r>
      <w:r w:rsidR="002E35DF">
        <w:rPr>
          <w:rFonts w:cs="Arial"/>
          <w:szCs w:val="20"/>
        </w:rPr>
        <w:t xml:space="preserve">Low-powered mobile and portable devices will generally not need to be registered. </w:t>
      </w:r>
    </w:p>
    <w:p w14:paraId="756CAFAF" w14:textId="77777777" w:rsidR="00B1346A" w:rsidRDefault="00310666" w:rsidP="00310666">
      <w:pPr>
        <w:rPr>
          <w:rFonts w:cs="Arial"/>
          <w:szCs w:val="20"/>
        </w:rPr>
      </w:pPr>
      <w:r w:rsidRPr="00CA58B3">
        <w:rPr>
          <w:rFonts w:cs="Arial"/>
          <w:szCs w:val="20"/>
        </w:rPr>
        <w:t>The</w:t>
      </w:r>
      <w:r w:rsidR="00033E7D">
        <w:rPr>
          <w:rFonts w:cs="Arial"/>
          <w:szCs w:val="20"/>
        </w:rPr>
        <w:t xml:space="preserve"> </w:t>
      </w:r>
      <w:r w:rsidR="000E7DCE">
        <w:rPr>
          <w:rFonts w:cs="Arial"/>
          <w:szCs w:val="20"/>
        </w:rPr>
        <w:t xml:space="preserve">regulatory </w:t>
      </w:r>
      <w:r w:rsidR="00033E7D">
        <w:rPr>
          <w:rFonts w:cs="Arial"/>
          <w:szCs w:val="20"/>
        </w:rPr>
        <w:t>framework for AWLs</w:t>
      </w:r>
      <w:r w:rsidRPr="00CA58B3">
        <w:rPr>
          <w:rFonts w:cs="Arial"/>
          <w:szCs w:val="20"/>
        </w:rPr>
        <w:t xml:space="preserve"> </w:t>
      </w:r>
      <w:r w:rsidRPr="001B14C3">
        <w:rPr>
          <w:rFonts w:cs="Arial"/>
          <w:szCs w:val="20"/>
        </w:rPr>
        <w:t>establish</w:t>
      </w:r>
      <w:r w:rsidR="00033E7D">
        <w:rPr>
          <w:rFonts w:cs="Arial"/>
          <w:szCs w:val="20"/>
        </w:rPr>
        <w:t>es</w:t>
      </w:r>
      <w:r w:rsidRPr="001B14C3">
        <w:rPr>
          <w:rFonts w:cs="Arial"/>
          <w:szCs w:val="20"/>
        </w:rPr>
        <w:t xml:space="preserve"> the </w:t>
      </w:r>
      <w:r w:rsidR="00456051">
        <w:rPr>
          <w:rFonts w:cs="Arial"/>
          <w:szCs w:val="20"/>
        </w:rPr>
        <w:t xml:space="preserve">general </w:t>
      </w:r>
      <w:r w:rsidRPr="001B14C3">
        <w:rPr>
          <w:rFonts w:cs="Arial"/>
          <w:szCs w:val="20"/>
        </w:rPr>
        <w:t xml:space="preserve">starting position </w:t>
      </w:r>
      <w:r w:rsidR="005E3C05">
        <w:rPr>
          <w:rFonts w:cs="Arial"/>
          <w:szCs w:val="20"/>
        </w:rPr>
        <w:t>of</w:t>
      </w:r>
      <w:r w:rsidRPr="001B14C3">
        <w:rPr>
          <w:rFonts w:cs="Arial"/>
          <w:szCs w:val="20"/>
        </w:rPr>
        <w:t xml:space="preserve"> </w:t>
      </w:r>
      <w:r w:rsidR="00033E7D">
        <w:rPr>
          <w:rFonts w:cs="Arial"/>
          <w:szCs w:val="20"/>
        </w:rPr>
        <w:t xml:space="preserve">minimal </w:t>
      </w:r>
      <w:r w:rsidRPr="001B14C3">
        <w:rPr>
          <w:rFonts w:cs="Arial"/>
          <w:szCs w:val="20"/>
        </w:rPr>
        <w:t xml:space="preserve">registration. However, </w:t>
      </w:r>
      <w:r w:rsidR="002E35DF">
        <w:rPr>
          <w:rFonts w:cs="Arial"/>
          <w:szCs w:val="20"/>
        </w:rPr>
        <w:t xml:space="preserve">whether </w:t>
      </w:r>
      <w:r w:rsidRPr="001B14C3">
        <w:rPr>
          <w:rFonts w:cs="Arial"/>
          <w:szCs w:val="20"/>
        </w:rPr>
        <w:t xml:space="preserve">this starting position </w:t>
      </w:r>
      <w:r w:rsidR="002E35DF">
        <w:rPr>
          <w:rFonts w:cs="Arial"/>
          <w:szCs w:val="20"/>
        </w:rPr>
        <w:t xml:space="preserve">is appropriate will be </w:t>
      </w:r>
      <w:r w:rsidRPr="001B14C3">
        <w:rPr>
          <w:rFonts w:cs="Arial"/>
          <w:szCs w:val="20"/>
        </w:rPr>
        <w:t xml:space="preserve">considered </w:t>
      </w:r>
      <w:r w:rsidR="002E35DF">
        <w:rPr>
          <w:rFonts w:cs="Arial"/>
          <w:szCs w:val="20"/>
        </w:rPr>
        <w:t>on a band-by-band basis</w:t>
      </w:r>
      <w:r w:rsidRPr="00CA58B3">
        <w:rPr>
          <w:rFonts w:cs="Arial"/>
          <w:szCs w:val="20"/>
        </w:rPr>
        <w:t xml:space="preserve">, and the ACMA will </w:t>
      </w:r>
      <w:r w:rsidR="00FC7169">
        <w:rPr>
          <w:rFonts w:cs="Arial"/>
          <w:szCs w:val="20"/>
        </w:rPr>
        <w:t>amend</w:t>
      </w:r>
      <w:r w:rsidRPr="00CA58B3">
        <w:rPr>
          <w:rFonts w:cs="Arial"/>
          <w:szCs w:val="20"/>
        </w:rPr>
        <w:t xml:space="preserve"> the necessary legislative instruments to ensure device registration where it is </w:t>
      </w:r>
      <w:r w:rsidR="002E35DF">
        <w:rPr>
          <w:rFonts w:cs="Arial"/>
          <w:szCs w:val="20"/>
        </w:rPr>
        <w:t>needed</w:t>
      </w:r>
      <w:r w:rsidR="00567710">
        <w:rPr>
          <w:rFonts w:cs="Arial"/>
          <w:szCs w:val="20"/>
        </w:rPr>
        <w:t>, following appropriate stakeholder consultation</w:t>
      </w:r>
      <w:r w:rsidRPr="00CA58B3">
        <w:rPr>
          <w:rFonts w:cs="Arial"/>
          <w:szCs w:val="20"/>
        </w:rPr>
        <w:t xml:space="preserve">. As a result, the actual device registration requirements for AWLs in any particular band are not being established through the </w:t>
      </w:r>
      <w:r w:rsidR="00EC382F">
        <w:rPr>
          <w:rFonts w:cs="Arial"/>
          <w:szCs w:val="20"/>
        </w:rPr>
        <w:t>regulatory</w:t>
      </w:r>
      <w:r w:rsidR="002E35DF">
        <w:rPr>
          <w:rFonts w:cs="Arial"/>
          <w:szCs w:val="20"/>
        </w:rPr>
        <w:t xml:space="preserve"> framework for AWLs</w:t>
      </w:r>
      <w:r w:rsidR="00B1346A">
        <w:rPr>
          <w:rFonts w:cs="Arial"/>
          <w:szCs w:val="20"/>
        </w:rPr>
        <w:t xml:space="preserve">, </w:t>
      </w:r>
      <w:r w:rsidR="00B1346A" w:rsidRPr="00821307">
        <w:rPr>
          <w:rFonts w:cs="Arial"/>
          <w:szCs w:val="20"/>
        </w:rPr>
        <w:t>as when there are such requirements they will either be added as</w:t>
      </w:r>
      <w:r w:rsidR="00456051">
        <w:rPr>
          <w:rFonts w:cs="Arial"/>
          <w:szCs w:val="20"/>
        </w:rPr>
        <w:t xml:space="preserve"> specific</w:t>
      </w:r>
      <w:r w:rsidR="00B1346A" w:rsidRPr="00821307">
        <w:rPr>
          <w:rFonts w:cs="Arial"/>
          <w:szCs w:val="20"/>
        </w:rPr>
        <w:t xml:space="preserve"> amendments to the AWL LCD or be put in the licence</w:t>
      </w:r>
      <w:r w:rsidR="00821307">
        <w:rPr>
          <w:rFonts w:cs="Arial"/>
          <w:szCs w:val="20"/>
        </w:rPr>
        <w:t>.</w:t>
      </w:r>
    </w:p>
    <w:p w14:paraId="659CD22B" w14:textId="77777777" w:rsidR="00C53E3A" w:rsidRPr="00E75690" w:rsidRDefault="00293CE0" w:rsidP="00670FEB">
      <w:pPr>
        <w:pStyle w:val="Heading2"/>
      </w:pPr>
      <w:bookmarkStart w:id="20" w:name="_Toc32493531"/>
      <w:r w:rsidRPr="00E75690">
        <w:lastRenderedPageBreak/>
        <w:t>Pricing and m</w:t>
      </w:r>
      <w:r w:rsidR="00AE0282" w:rsidRPr="00E75690">
        <w:t>ethod</w:t>
      </w:r>
      <w:r w:rsidRPr="00E75690">
        <w:t>s</w:t>
      </w:r>
      <w:r w:rsidR="00AE0282" w:rsidRPr="00E75690">
        <w:t xml:space="preserve"> of </w:t>
      </w:r>
      <w:r w:rsidRPr="00E75690">
        <w:t>a</w:t>
      </w:r>
      <w:r w:rsidR="00C53E3A" w:rsidRPr="00E75690">
        <w:t>llocation</w:t>
      </w:r>
      <w:bookmarkEnd w:id="20"/>
    </w:p>
    <w:p w14:paraId="4C37B6BA" w14:textId="77777777" w:rsidR="00B949D3" w:rsidRDefault="00C53E3A" w:rsidP="00C53E3A">
      <w:r w:rsidRPr="00712DE6">
        <w:t xml:space="preserve">The ACMA will consider </w:t>
      </w:r>
      <w:r w:rsidR="005B24B2">
        <w:t>whether</w:t>
      </w:r>
      <w:r w:rsidRPr="00712DE6">
        <w:t xml:space="preserve"> the appropriate means of allocating AWLs </w:t>
      </w:r>
      <w:r w:rsidR="00A83CA9">
        <w:t xml:space="preserve">for transmitters </w:t>
      </w:r>
      <w:r w:rsidRPr="00712DE6">
        <w:t>in specific bands</w:t>
      </w:r>
      <w:r>
        <w:t xml:space="preserve"> </w:t>
      </w:r>
      <w:r w:rsidR="005B24B2">
        <w:t xml:space="preserve">is </w:t>
      </w:r>
      <w:r>
        <w:t>a price-based allocation or an administrative allocation.</w:t>
      </w:r>
      <w:r w:rsidRPr="00712DE6">
        <w:t xml:space="preserve"> </w:t>
      </w:r>
    </w:p>
    <w:p w14:paraId="1069E81F" w14:textId="77777777" w:rsidR="0022615A" w:rsidRDefault="0022615A" w:rsidP="0022615A">
      <w:r>
        <w:t>In deciding whether to use administrative or price-based allocation for AWLs in a particular band, the ACMA will have regard to a range of factors, including the expected demand for the licences and the administrative efficiency of running a price-based process (including determining an appropriate starting price).</w:t>
      </w:r>
    </w:p>
    <w:p w14:paraId="49FAABFA" w14:textId="4A1CC4B1" w:rsidR="00C53E3A" w:rsidRDefault="00C53E3A" w:rsidP="00C53E3A">
      <w:r w:rsidRPr="00712DE6">
        <w:t>Where such allocations are conducted under s</w:t>
      </w:r>
      <w:r w:rsidR="00DF4415">
        <w:t xml:space="preserve">ection </w:t>
      </w:r>
      <w:r w:rsidRPr="00712DE6">
        <w:t xml:space="preserve">106 of the </w:t>
      </w:r>
      <w:r>
        <w:t>Act (i.e. a price-based allocation)</w:t>
      </w:r>
      <w:r w:rsidRPr="00712DE6">
        <w:t xml:space="preserve">, the ACMA will develop a legislative instrument </w:t>
      </w:r>
      <w:r w:rsidR="00B949D3">
        <w:t>describing</w:t>
      </w:r>
      <w:r w:rsidR="00293CE0">
        <w:t xml:space="preserve"> </w:t>
      </w:r>
      <w:r w:rsidRPr="00712DE6">
        <w:t xml:space="preserve">the </w:t>
      </w:r>
      <w:r w:rsidR="00B949D3">
        <w:t xml:space="preserve">process by which the spectrum will be </w:t>
      </w:r>
      <w:r w:rsidRPr="00712DE6">
        <w:t>allocat</w:t>
      </w:r>
      <w:r w:rsidR="00B949D3">
        <w:t xml:space="preserve">ed. The ACMA </w:t>
      </w:r>
      <w:r w:rsidRPr="00712DE6">
        <w:t>will consult with stakeholders prior to making the instrument.</w:t>
      </w:r>
    </w:p>
    <w:p w14:paraId="30A470EF" w14:textId="7974200D" w:rsidR="00C02617" w:rsidRPr="00293CE0" w:rsidRDefault="00C53E3A" w:rsidP="00293CE0">
      <w:bookmarkStart w:id="21" w:name="_Hlk29207471"/>
      <w:r w:rsidRPr="00712DE6">
        <w:t xml:space="preserve">Where </w:t>
      </w:r>
      <w:r>
        <w:t>AWLs are issued under s</w:t>
      </w:r>
      <w:r w:rsidR="00DF4415">
        <w:t xml:space="preserve">ection </w:t>
      </w:r>
      <w:r>
        <w:t>100 (i.e.</w:t>
      </w:r>
      <w:r w:rsidRPr="00712DE6">
        <w:t xml:space="preserve"> administratively</w:t>
      </w:r>
      <w:r>
        <w:t>),</w:t>
      </w:r>
      <w:r w:rsidRPr="00712DE6">
        <w:t xml:space="preserve"> </w:t>
      </w:r>
      <w:r>
        <w:t>before issuing</w:t>
      </w:r>
      <w:r w:rsidRPr="00A54E6C">
        <w:t xml:space="preserve"> AWLs in any given band on a regular basis</w:t>
      </w:r>
      <w:r w:rsidRPr="00712DE6">
        <w:t xml:space="preserve"> the ACMA will develop administrative </w:t>
      </w:r>
      <w:r w:rsidR="00BC1DC1">
        <w:t xml:space="preserve">allocation </w:t>
      </w:r>
      <w:r w:rsidRPr="00712DE6">
        <w:t xml:space="preserve">policies and procedures and consult on these before </w:t>
      </w:r>
      <w:r>
        <w:t>issuing any AWLs in that band</w:t>
      </w:r>
      <w:r w:rsidRPr="00712DE6">
        <w:t xml:space="preserve">. The ACMA’s allocation procedures for AWLs in any </w:t>
      </w:r>
      <w:proofErr w:type="gramStart"/>
      <w:r w:rsidRPr="00712DE6">
        <w:t>particular band</w:t>
      </w:r>
      <w:proofErr w:type="gramEnd"/>
      <w:r w:rsidRPr="00712DE6">
        <w:t xml:space="preserve"> will be designed to meet the objects of the </w:t>
      </w:r>
      <w:r>
        <w:t>Act</w:t>
      </w:r>
      <w:r w:rsidRPr="00712DE6">
        <w:t xml:space="preserve"> in s</w:t>
      </w:r>
      <w:r w:rsidR="00DF4415">
        <w:t xml:space="preserve">ection </w:t>
      </w:r>
      <w:r w:rsidRPr="00712DE6">
        <w:t>3, including maximising the overall public benefit derived from using the spectrum. In some circumstances this could include</w:t>
      </w:r>
      <w:r w:rsidR="006079F3">
        <w:t xml:space="preserve"> allocation policies which have regard to a person or specified group of persons</w:t>
      </w:r>
      <w:r w:rsidR="00D06CE6">
        <w:t>.</w:t>
      </w:r>
    </w:p>
    <w:bookmarkEnd w:id="21"/>
    <w:p w14:paraId="2F8D55DF" w14:textId="77777777" w:rsidR="002D537D" w:rsidRDefault="00C53E3A" w:rsidP="00FB0600">
      <w:pPr>
        <w:pStyle w:val="Paragraphbeforelist"/>
      </w:pPr>
      <w:r>
        <w:t>Administrative pricing of apparatus licences typically has two components, namely:</w:t>
      </w:r>
    </w:p>
    <w:p w14:paraId="5C2405B5" w14:textId="4BBB0396" w:rsidR="002D537D" w:rsidRDefault="00C53E3A" w:rsidP="002D537D">
      <w:pPr>
        <w:pStyle w:val="ListBullet"/>
      </w:pPr>
      <w:r>
        <w:t>a</w:t>
      </w:r>
      <w:r w:rsidRPr="000008A3">
        <w:t xml:space="preserve">n issue or renewal charge </w:t>
      </w:r>
      <w:r w:rsidR="00747C70">
        <w:t xml:space="preserve">set out in </w:t>
      </w:r>
      <w:r w:rsidRPr="000008A3">
        <w:t>the</w:t>
      </w:r>
      <w:r w:rsidR="00EA3261">
        <w:t xml:space="preserve"> </w:t>
      </w:r>
      <w:r w:rsidR="00EA3261" w:rsidRPr="00FB0600">
        <w:t>Radiocommunications (</w:t>
      </w:r>
      <w:r w:rsidRPr="00FB0600">
        <w:t>Charges</w:t>
      </w:r>
      <w:r w:rsidR="00EA3261" w:rsidRPr="00FB0600">
        <w:t>)</w:t>
      </w:r>
      <w:r w:rsidRPr="00FB0600">
        <w:t xml:space="preserve"> Determination</w:t>
      </w:r>
      <w:r w:rsidR="00EA3261" w:rsidRPr="00FB0600">
        <w:t xml:space="preserve"> 2017</w:t>
      </w:r>
      <w:r>
        <w:rPr>
          <w:rStyle w:val="FootnoteReference"/>
        </w:rPr>
        <w:footnoteReference w:id="4"/>
      </w:r>
      <w:r>
        <w:t xml:space="preserve"> </w:t>
      </w:r>
    </w:p>
    <w:p w14:paraId="6CFBC558" w14:textId="77777777" w:rsidR="002D537D" w:rsidRDefault="00C53E3A" w:rsidP="002D537D">
      <w:pPr>
        <w:pStyle w:val="ListBulletLast"/>
      </w:pPr>
      <w:r>
        <w:t xml:space="preserve">a taxation charge for access to spectrum. </w:t>
      </w:r>
    </w:p>
    <w:p w14:paraId="11CEC3F2" w14:textId="60856423" w:rsidR="00C53E3A" w:rsidRDefault="00C53E3A" w:rsidP="00FB0600">
      <w:pPr>
        <w:pStyle w:val="Paragraph"/>
      </w:pPr>
      <w:r>
        <w:t xml:space="preserve">Taxes for apparatus licences are </w:t>
      </w:r>
      <w:r w:rsidR="00747C70">
        <w:t xml:space="preserve">laid out </w:t>
      </w:r>
      <w:r w:rsidR="00042996">
        <w:t xml:space="preserve">in </w:t>
      </w:r>
      <w:r>
        <w:t>the</w:t>
      </w:r>
      <w:r w:rsidR="00C2199A">
        <w:t xml:space="preserve"> </w:t>
      </w:r>
      <w:r w:rsidR="00C2199A" w:rsidRPr="00FB0600">
        <w:t>Radiocommunications (Transmitter Licence Tax) Determination 2015</w:t>
      </w:r>
      <w:r w:rsidR="00C2199A">
        <w:t xml:space="preserve"> or the </w:t>
      </w:r>
      <w:r w:rsidR="00C2199A" w:rsidRPr="00FB0600">
        <w:t>Radiocommunications (Receiver Licence Tax) Determination 2015</w:t>
      </w:r>
      <w:r w:rsidR="00C2199A">
        <w:t xml:space="preserve">.  </w:t>
      </w:r>
      <w:r>
        <w:t xml:space="preserve"> </w:t>
      </w:r>
    </w:p>
    <w:p w14:paraId="443FE1DF" w14:textId="77777777" w:rsidR="00FA7608" w:rsidRDefault="00FA7608" w:rsidP="00FA7608">
      <w:r>
        <w:t xml:space="preserve">The ACMA will take a consistent approach to pricing of AWLs that will </w:t>
      </w:r>
      <w:proofErr w:type="gramStart"/>
      <w:r>
        <w:t>take into account</w:t>
      </w:r>
      <w:proofErr w:type="gramEnd"/>
      <w:r>
        <w:t xml:space="preserve"> factors such as frequency band, lot size, technical conditions a</w:t>
      </w:r>
      <w:r w:rsidR="00924853">
        <w:t>nd</w:t>
      </w:r>
      <w:r>
        <w:t xml:space="preserve"> relevant market factors. As these factors will vary across the different allocation of AWLs</w:t>
      </w:r>
      <w:r w:rsidR="00924853">
        <w:t>,</w:t>
      </w:r>
      <w:r>
        <w:t xml:space="preserve"> how the ACMA constructs the price may vary to reflect the circumstances.</w:t>
      </w:r>
    </w:p>
    <w:p w14:paraId="61C90260" w14:textId="4F26340B" w:rsidR="00C53E3A" w:rsidRDefault="00C53E3A" w:rsidP="00C53E3A">
      <w:pPr>
        <w:pStyle w:val="Paragraph"/>
      </w:pPr>
      <w:r>
        <w:t>As a result, tax arrangements for AWL</w:t>
      </w:r>
      <w:r w:rsidR="00F054ED">
        <w:t>s</w:t>
      </w:r>
      <w:r>
        <w:t xml:space="preserve"> will be determined on a band-by-band basis, and </w:t>
      </w:r>
      <w:r w:rsidRPr="00A71E75">
        <w:t>the</w:t>
      </w:r>
      <w:r>
        <w:t xml:space="preserve"> </w:t>
      </w:r>
      <w:r w:rsidR="00E11415">
        <w:t>t</w:t>
      </w:r>
      <w:r>
        <w:t xml:space="preserve">ransmitter </w:t>
      </w:r>
      <w:r w:rsidR="009304B0">
        <w:t xml:space="preserve">and </w:t>
      </w:r>
      <w:r w:rsidR="00E11415">
        <w:t>r</w:t>
      </w:r>
      <w:r w:rsidR="009304B0">
        <w:t xml:space="preserve">eceiver </w:t>
      </w:r>
      <w:r w:rsidR="00E11415">
        <w:t>l</w:t>
      </w:r>
      <w:r w:rsidR="009304B0">
        <w:t xml:space="preserve">icence </w:t>
      </w:r>
      <w:r w:rsidR="00E11415">
        <w:t>t</w:t>
      </w:r>
      <w:r w:rsidR="009304B0">
        <w:t xml:space="preserve">ax </w:t>
      </w:r>
      <w:r w:rsidR="00E11415">
        <w:t>d</w:t>
      </w:r>
      <w:r w:rsidR="009304B0">
        <w:t xml:space="preserve">eterminations </w:t>
      </w:r>
      <w:r>
        <w:t xml:space="preserve">will require amendment each time the ACMA decides to issue the AWL type in a new band. The ACMA will consult on amendments to the </w:t>
      </w:r>
      <w:r w:rsidR="00E11415">
        <w:t>t</w:t>
      </w:r>
      <w:r>
        <w:t xml:space="preserve">ax </w:t>
      </w:r>
      <w:r w:rsidR="00E11415">
        <w:t>d</w:t>
      </w:r>
      <w:r>
        <w:t>eterminations prior to a decision to issue AWLs in the relevant band.</w:t>
      </w:r>
    </w:p>
    <w:p w14:paraId="2A97D846" w14:textId="77777777" w:rsidR="00736AFD" w:rsidRDefault="00736AFD" w:rsidP="00310666">
      <w:pPr>
        <w:pStyle w:val="ListBulletLast"/>
        <w:numPr>
          <w:ilvl w:val="0"/>
          <w:numId w:val="0"/>
        </w:numPr>
        <w:rPr>
          <w:b/>
          <w:bCs/>
          <w:sz w:val="53"/>
          <w:szCs w:val="53"/>
        </w:rPr>
      </w:pPr>
    </w:p>
    <w:p w14:paraId="1E50C648" w14:textId="77777777" w:rsidR="00EE3FFC" w:rsidRDefault="00736AFD" w:rsidP="00FF2FC5">
      <w:pPr>
        <w:pStyle w:val="Heading1"/>
      </w:pPr>
      <w:bookmarkStart w:id="22" w:name="_Toc32493532"/>
      <w:r w:rsidRPr="004B153F">
        <w:lastRenderedPageBreak/>
        <w:t>Next steps</w:t>
      </w:r>
      <w:bookmarkEnd w:id="22"/>
      <w:r w:rsidRPr="004B153F">
        <w:t xml:space="preserve"> </w:t>
      </w:r>
    </w:p>
    <w:p w14:paraId="6AE1CB44" w14:textId="6B064A69" w:rsidR="00E11415" w:rsidRDefault="00D457A5" w:rsidP="00D457A5">
      <w:pPr>
        <w:pStyle w:val="listbulletlast0"/>
        <w:ind w:left="0" w:firstLine="0"/>
      </w:pPr>
      <w:bookmarkStart w:id="23" w:name="_Hlk31899131"/>
      <w:r>
        <w:t>The ACMA is considering allocating AWLs in the 26 GHz (24.7</w:t>
      </w:r>
      <w:r w:rsidR="00E11415">
        <w:t>–</w:t>
      </w:r>
      <w:r>
        <w:t>27.5 GHz) and 28</w:t>
      </w:r>
      <w:r w:rsidR="00E11415">
        <w:t> </w:t>
      </w:r>
      <w:r>
        <w:t>GHz (27.5</w:t>
      </w:r>
      <w:r w:rsidR="00E11415">
        <w:t>–</w:t>
      </w:r>
      <w:r>
        <w:t>29.5 GHz) bands, including in the 25.1</w:t>
      </w:r>
      <w:r w:rsidR="00E11415">
        <w:t>–</w:t>
      </w:r>
      <w:r>
        <w:t>27.5 range outside of spectrum licensed areas. These bands have become the focus for the potential rollout of millimetre wave (</w:t>
      </w:r>
      <w:proofErr w:type="spellStart"/>
      <w:r>
        <w:t>mmWave</w:t>
      </w:r>
      <w:proofErr w:type="spellEnd"/>
      <w:r>
        <w:t xml:space="preserve">) band 5G wireless broadband services. The ACMA is currently developing the technical framework for the introduction of area-wide apparatus licences in these bands (with input from a </w:t>
      </w:r>
      <w:r w:rsidR="00E11415">
        <w:t>t</w:t>
      </w:r>
      <w:r>
        <w:t xml:space="preserve">echnical </w:t>
      </w:r>
      <w:r w:rsidR="00E11415">
        <w:t>l</w:t>
      </w:r>
      <w:r>
        <w:t xml:space="preserve">iaison </w:t>
      </w:r>
      <w:r w:rsidR="00E11415">
        <w:t>g</w:t>
      </w:r>
      <w:r>
        <w:t xml:space="preserve">roup), and it anticipates </w:t>
      </w:r>
      <w:r w:rsidR="00710995">
        <w:t xml:space="preserve">completing public consultation </w:t>
      </w:r>
      <w:r>
        <w:t xml:space="preserve">on the technical framework </w:t>
      </w:r>
      <w:r w:rsidR="00F777B0">
        <w:t xml:space="preserve">by </w:t>
      </w:r>
      <w:r w:rsidR="002C420E">
        <w:t>end of</w:t>
      </w:r>
      <w:r w:rsidR="00E11415">
        <w:t xml:space="preserve"> the third quarter of </w:t>
      </w:r>
      <w:r>
        <w:t xml:space="preserve">2020. </w:t>
      </w:r>
    </w:p>
    <w:p w14:paraId="2E2799C3" w14:textId="433ED558" w:rsidR="00D457A5" w:rsidRDefault="00D457A5" w:rsidP="00D457A5">
      <w:pPr>
        <w:pStyle w:val="listbulletlast0"/>
        <w:ind w:left="0" w:firstLine="0"/>
      </w:pPr>
      <w:r>
        <w:t xml:space="preserve">It is expected that consultation on pricing and other relevant matters, such as any covered by a </w:t>
      </w:r>
      <w:r w:rsidR="00E11415">
        <w:t>m</w:t>
      </w:r>
      <w:r>
        <w:t>inisterial directio</w:t>
      </w:r>
      <w:r w:rsidR="00857A49">
        <w:t>n,</w:t>
      </w:r>
      <w:r>
        <w:t xml:space="preserve"> may occur in line with the technical framework development process, although some matters may be consulted on at a later period. The ACMA is working towards apparatus licences in the 24.7</w:t>
      </w:r>
      <w:r w:rsidR="00E11415">
        <w:t>–</w:t>
      </w:r>
      <w:r>
        <w:t>25.1 GHz range and the 28 GHz band being available for issue from December 2020.</w:t>
      </w:r>
    </w:p>
    <w:p w14:paraId="404292B3" w14:textId="2265B65E" w:rsidR="00D457A5" w:rsidRDefault="00D457A5" w:rsidP="00D457A5">
      <w:r>
        <w:t>Where appropriate, other bands for AWLs will be considered in the future</w:t>
      </w:r>
      <w:r w:rsidR="00937348">
        <w:t>.</w:t>
      </w:r>
    </w:p>
    <w:bookmarkEnd w:id="23"/>
    <w:p w14:paraId="2F31B674" w14:textId="77777777" w:rsidR="00DF5E10" w:rsidRDefault="00DF5E10" w:rsidP="00310666">
      <w:pPr>
        <w:pStyle w:val="ListBulletLast"/>
        <w:numPr>
          <w:ilvl w:val="0"/>
          <w:numId w:val="0"/>
        </w:numPr>
      </w:pPr>
    </w:p>
    <w:p w14:paraId="79BB0D5E" w14:textId="77777777" w:rsidR="00DF5E10" w:rsidRDefault="00DF5E10" w:rsidP="00310666">
      <w:pPr>
        <w:pStyle w:val="ListBulletLast"/>
        <w:numPr>
          <w:ilvl w:val="0"/>
          <w:numId w:val="0"/>
        </w:numPr>
      </w:pPr>
    </w:p>
    <w:p w14:paraId="18C6982C" w14:textId="3311E694" w:rsidR="00EE3FFC" w:rsidRDefault="00EE3FFC" w:rsidP="00310666">
      <w:pPr>
        <w:pStyle w:val="ListBulletLast"/>
        <w:numPr>
          <w:ilvl w:val="0"/>
          <w:numId w:val="0"/>
        </w:numPr>
      </w:pPr>
    </w:p>
    <w:p w14:paraId="15C8979E" w14:textId="77777777" w:rsidR="00766F51" w:rsidRDefault="00766F51" w:rsidP="00310666">
      <w:pPr>
        <w:pStyle w:val="ListBulletLast"/>
        <w:numPr>
          <w:ilvl w:val="0"/>
          <w:numId w:val="0"/>
        </w:numPr>
        <w:rPr>
          <w:rFonts w:cs="Calibri"/>
        </w:rPr>
      </w:pPr>
    </w:p>
    <w:p w14:paraId="4B6D54C0" w14:textId="77777777" w:rsidR="00766F51" w:rsidRDefault="00766F51" w:rsidP="00310666">
      <w:pPr>
        <w:pStyle w:val="ListBulletLast"/>
        <w:numPr>
          <w:ilvl w:val="0"/>
          <w:numId w:val="0"/>
        </w:numPr>
      </w:pPr>
    </w:p>
    <w:bookmarkEnd w:id="11"/>
    <w:p w14:paraId="3C59271C" w14:textId="77777777" w:rsidR="005E250B" w:rsidRDefault="005E250B">
      <w:pPr>
        <w:spacing w:after="0" w:line="240" w:lineRule="auto"/>
        <w:rPr>
          <w:rFonts w:cs="Arial"/>
          <w:bCs/>
          <w:color w:val="323232"/>
          <w:kern w:val="32"/>
          <w:sz w:val="53"/>
          <w:szCs w:val="32"/>
        </w:rPr>
      </w:pPr>
    </w:p>
    <w:sectPr w:rsidR="005E250B" w:rsidSect="00C77380">
      <w:headerReference w:type="even" r:id="rId30"/>
      <w:headerReference w:type="default" r:id="rId31"/>
      <w:footerReference w:type="even" r:id="rId32"/>
      <w:footerReference w:type="default" r:id="rId33"/>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896F198" w14:textId="77777777" w:rsidR="00F159A0" w:rsidRDefault="00F159A0">
      <w:r>
        <w:separator/>
      </w:r>
    </w:p>
  </w:endnote>
  <w:endnote w:type="continuationSeparator" w:id="0">
    <w:p w14:paraId="399C9D91" w14:textId="77777777" w:rsidR="00F159A0" w:rsidRDefault="00F159A0">
      <w:r>
        <w:continuationSeparator/>
      </w:r>
    </w:p>
  </w:endnote>
  <w:endnote w:type="continuationNotice" w:id="1">
    <w:p w14:paraId="18C1F488" w14:textId="77777777" w:rsidR="00F159A0" w:rsidRDefault="00F159A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MT">
    <w:altName w:val="MS Mincho"/>
    <w:panose1 w:val="00000000000000000000"/>
    <w:charset w:val="80"/>
    <w:family w:val="auto"/>
    <w:notTrueType/>
    <w:pitch w:val="default"/>
    <w:sig w:usb0="00000001" w:usb1="08070000" w:usb2="00000010" w:usb3="00000000" w:csb0="00020000"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F78756" w14:textId="77777777" w:rsidR="001062A0" w:rsidRDefault="001062A0" w:rsidP="005E250B">
    <w:pPr>
      <w:pStyle w:val="Footer"/>
      <w:jc w:val="right"/>
    </w:pPr>
    <w:r w:rsidRPr="005E250B">
      <w:rPr>
        <w:noProof/>
        <w:vertAlign w:val="subscript"/>
      </w:rPr>
      <w:drawing>
        <wp:inline distT="0" distB="0" distL="0" distR="0" wp14:anchorId="64BE15EE" wp14:editId="6B5C490A">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3FF846" w14:textId="77777777" w:rsidR="001062A0" w:rsidRDefault="001062A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B37165" w14:textId="77777777" w:rsidR="001062A0" w:rsidRDefault="001062A0">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3A9044" w14:textId="77777777" w:rsidR="001062A0" w:rsidRPr="00622A3B" w:rsidRDefault="001062A0"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41BD761E" w14:textId="77777777" w:rsidR="001062A0" w:rsidRPr="00A5474E" w:rsidRDefault="001062A0"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467AC7" w14:textId="77777777" w:rsidR="001062A0" w:rsidRPr="00622A3B" w:rsidRDefault="001062A0"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6FE0E2EE" w14:textId="77777777" w:rsidR="001062A0" w:rsidRPr="00A5474E" w:rsidRDefault="001062A0"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A10956" w14:textId="77777777" w:rsidR="001062A0" w:rsidRPr="00622A3B" w:rsidRDefault="001062A0"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2CEFE888" w14:textId="77777777" w:rsidR="001062A0" w:rsidRPr="00A5474E" w:rsidRDefault="001062A0"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3957A0" w14:textId="77777777" w:rsidR="001062A0" w:rsidRPr="00622A3B" w:rsidRDefault="001062A0"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05E37D5B" w14:textId="77777777" w:rsidR="001062A0" w:rsidRPr="00A5474E" w:rsidRDefault="001062A0"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6E52B0" w14:textId="77777777" w:rsidR="001062A0" w:rsidRPr="00622A3B" w:rsidRDefault="001062A0"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1366EF40" w14:textId="77777777" w:rsidR="001062A0" w:rsidRPr="00A5474E" w:rsidRDefault="001062A0"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00A348" w14:textId="77777777" w:rsidR="00F159A0" w:rsidRDefault="00F159A0">
      <w:r>
        <w:separator/>
      </w:r>
    </w:p>
  </w:footnote>
  <w:footnote w:type="continuationSeparator" w:id="0">
    <w:p w14:paraId="3B316D10" w14:textId="77777777" w:rsidR="00F159A0" w:rsidRDefault="00F159A0">
      <w:r>
        <w:continuationSeparator/>
      </w:r>
    </w:p>
  </w:footnote>
  <w:footnote w:type="continuationNotice" w:id="1">
    <w:p w14:paraId="7AD04D2D" w14:textId="77777777" w:rsidR="00F159A0" w:rsidRDefault="00F159A0">
      <w:pPr>
        <w:spacing w:after="0" w:line="240" w:lineRule="auto"/>
      </w:pPr>
    </w:p>
  </w:footnote>
  <w:footnote w:id="2">
    <w:p w14:paraId="4E6AEEF5" w14:textId="1A079976" w:rsidR="008E008C" w:rsidRDefault="008E008C">
      <w:pPr>
        <w:pStyle w:val="FootnoteText"/>
      </w:pPr>
      <w:r>
        <w:rPr>
          <w:rStyle w:val="FootnoteReference"/>
        </w:rPr>
        <w:footnoteRef/>
      </w:r>
      <w:r>
        <w:t xml:space="preserve"> This information will be available on the </w:t>
      </w:r>
      <w:r w:rsidR="00C5578E">
        <w:t>l</w:t>
      </w:r>
      <w:r>
        <w:t xml:space="preserve">icence PDF image for each AWL. The </w:t>
      </w:r>
      <w:r w:rsidR="00C5578E">
        <w:t>l</w:t>
      </w:r>
      <w:r>
        <w:t>icence PDF image will be accessible through the Register of Radiocommunications Licences.</w:t>
      </w:r>
    </w:p>
  </w:footnote>
  <w:footnote w:id="3">
    <w:p w14:paraId="775DFD40" w14:textId="36B7F41D" w:rsidR="001062A0" w:rsidRDefault="001062A0" w:rsidP="0011536C">
      <w:pPr>
        <w:pStyle w:val="FootnoteText"/>
      </w:pPr>
      <w:r>
        <w:rPr>
          <w:rStyle w:val="FootnoteReference"/>
        </w:rPr>
        <w:footnoteRef/>
      </w:r>
      <w:r>
        <w:t xml:space="preserve"> See the ACMA’s annual </w:t>
      </w:r>
      <w:hyperlink r:id="rId1" w:history="1">
        <w:r w:rsidRPr="00DF4415">
          <w:rPr>
            <w:rStyle w:val="Hyperlink"/>
          </w:rPr>
          <w:t>Five-</w:t>
        </w:r>
        <w:r w:rsidR="00DF4415" w:rsidRPr="00DF4415">
          <w:rPr>
            <w:rStyle w:val="Hyperlink"/>
          </w:rPr>
          <w:t>Y</w:t>
        </w:r>
        <w:r w:rsidRPr="00DF4415">
          <w:rPr>
            <w:rStyle w:val="Hyperlink"/>
          </w:rPr>
          <w:t xml:space="preserve">ear </w:t>
        </w:r>
        <w:r w:rsidR="00DF4415" w:rsidRPr="00DF4415">
          <w:rPr>
            <w:rStyle w:val="Hyperlink"/>
          </w:rPr>
          <w:t>S</w:t>
        </w:r>
        <w:r w:rsidRPr="00DF4415">
          <w:rPr>
            <w:rStyle w:val="Hyperlink"/>
          </w:rPr>
          <w:t xml:space="preserve">pectrum </w:t>
        </w:r>
        <w:r w:rsidR="00DF4415" w:rsidRPr="00DF4415">
          <w:rPr>
            <w:rStyle w:val="Hyperlink"/>
          </w:rPr>
          <w:t>O</w:t>
        </w:r>
        <w:r w:rsidRPr="00DF4415">
          <w:rPr>
            <w:rStyle w:val="Hyperlink"/>
          </w:rPr>
          <w:t>utlook</w:t>
        </w:r>
      </w:hyperlink>
      <w:r>
        <w:t xml:space="preserve"> for an overview of the planning stages and annually updated discussion of bands at various stages of planning consideration.</w:t>
      </w:r>
    </w:p>
  </w:footnote>
  <w:footnote w:id="4">
    <w:p w14:paraId="6BC96EB1" w14:textId="5C8B6749" w:rsidR="001062A0" w:rsidRPr="000E63AF" w:rsidRDefault="001062A0" w:rsidP="00C53E3A">
      <w:pPr>
        <w:pStyle w:val="FootnoteText"/>
      </w:pPr>
      <w:r>
        <w:rPr>
          <w:rStyle w:val="FootnoteReference"/>
        </w:rPr>
        <w:footnoteRef/>
      </w:r>
      <w:r>
        <w:t xml:space="preserve"> </w:t>
      </w:r>
      <w:r w:rsidRPr="000D480B">
        <w:rPr>
          <w:color w:val="323232"/>
          <w:szCs w:val="24"/>
        </w:rPr>
        <w:t xml:space="preserve">Under the </w:t>
      </w:r>
      <w:r w:rsidRPr="00820510">
        <w:t>Charges</w:t>
      </w:r>
      <w:r w:rsidRPr="000D480B">
        <w:rPr>
          <w:color w:val="323232"/>
          <w:szCs w:val="24"/>
        </w:rPr>
        <w:t xml:space="preserve"> Determination, the issue charge will be based on the per hour general service cha</w:t>
      </w:r>
      <w:r w:rsidRPr="000E63AF">
        <w:t>rge. The charge for renewing a licence is set out in Schedule 2 Part 8 at $4.</w:t>
      </w:r>
    </w:p>
    <w:p w14:paraId="29A8729D" w14:textId="77777777" w:rsidR="001062A0" w:rsidRDefault="001062A0" w:rsidP="00C53E3A">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944D57" w14:textId="77777777" w:rsidR="001062A0" w:rsidRPr="00A5474E" w:rsidRDefault="001062A0" w:rsidP="00A5474E">
    <w:pPr>
      <w:pStyle w:val="Header"/>
    </w:pPr>
    <w:r>
      <w:rPr>
        <w:noProof/>
      </w:rPr>
      <w:drawing>
        <wp:inline distT="0" distB="0" distL="0" distR="0" wp14:anchorId="59EBEB83" wp14:editId="4AB6E00C">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F507EA" w14:textId="77777777" w:rsidR="001062A0" w:rsidRPr="00A5474E" w:rsidRDefault="001062A0"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812C57" w14:textId="77777777" w:rsidR="001062A0" w:rsidRDefault="001062A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BF8BD2" w14:textId="77777777" w:rsidR="001062A0" w:rsidRDefault="001062A0">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1062A0" w14:paraId="423B368D" w14:textId="77777777" w:rsidTr="00FC1453">
      <w:trPr>
        <w:trHeight w:hRule="exact" w:val="988"/>
      </w:trPr>
      <w:tc>
        <w:tcPr>
          <w:tcW w:w="7678" w:type="dxa"/>
          <w:shd w:val="clear" w:color="auto" w:fill="auto"/>
        </w:tcPr>
        <w:p w14:paraId="4589602B" w14:textId="77777777" w:rsidR="001062A0" w:rsidRDefault="001062A0" w:rsidP="00971914">
          <w:pPr>
            <w:pStyle w:val="Header"/>
          </w:pPr>
        </w:p>
      </w:tc>
    </w:tr>
    <w:tr w:rsidR="001062A0" w14:paraId="011F0258" w14:textId="77777777" w:rsidTr="00FC1453">
      <w:tc>
        <w:tcPr>
          <w:tcW w:w="7678" w:type="dxa"/>
          <w:shd w:val="clear" w:color="auto" w:fill="auto"/>
        </w:tcPr>
        <w:p w14:paraId="74A88C65" w14:textId="77777777" w:rsidR="001062A0" w:rsidRDefault="001062A0" w:rsidP="00971914">
          <w:pPr>
            <w:pStyle w:val="GridTable31"/>
          </w:pPr>
          <w:r>
            <w:t xml:space="preserve">Contents </w:t>
          </w:r>
          <w:r w:rsidRPr="00915B1C">
            <w:rPr>
              <w:b w:val="0"/>
              <w:spacing w:val="0"/>
              <w:sz w:val="28"/>
              <w:szCs w:val="28"/>
            </w:rPr>
            <w:t>(Continued)</w:t>
          </w:r>
        </w:p>
      </w:tc>
    </w:tr>
    <w:tr w:rsidR="001062A0" w14:paraId="0FDEA685" w14:textId="77777777" w:rsidTr="00FC1453">
      <w:trPr>
        <w:trHeight w:val="1220"/>
      </w:trPr>
      <w:tc>
        <w:tcPr>
          <w:tcW w:w="7678" w:type="dxa"/>
          <w:shd w:val="clear" w:color="auto" w:fill="auto"/>
        </w:tcPr>
        <w:p w14:paraId="1DA9A2FE" w14:textId="77777777" w:rsidR="001062A0" w:rsidRDefault="001062A0" w:rsidP="00971914"/>
      </w:tc>
    </w:tr>
  </w:tbl>
  <w:p w14:paraId="6BA6FCCA" w14:textId="77777777" w:rsidR="001062A0" w:rsidRDefault="001062A0"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1062A0" w14:paraId="00514DB0" w14:textId="77777777" w:rsidTr="00FC1453">
      <w:trPr>
        <w:trHeight w:hRule="exact" w:val="988"/>
      </w:trPr>
      <w:tc>
        <w:tcPr>
          <w:tcW w:w="7678" w:type="dxa"/>
          <w:shd w:val="clear" w:color="auto" w:fill="auto"/>
        </w:tcPr>
        <w:p w14:paraId="371D7654" w14:textId="77777777" w:rsidR="001062A0" w:rsidRDefault="001062A0" w:rsidP="00971914">
          <w:pPr>
            <w:pStyle w:val="Header"/>
          </w:pPr>
        </w:p>
      </w:tc>
    </w:tr>
    <w:tr w:rsidR="001062A0" w14:paraId="7B176F7A" w14:textId="77777777" w:rsidTr="00FC1453">
      <w:tc>
        <w:tcPr>
          <w:tcW w:w="7678" w:type="dxa"/>
          <w:shd w:val="clear" w:color="auto" w:fill="auto"/>
        </w:tcPr>
        <w:p w14:paraId="4A1DFA48" w14:textId="77777777" w:rsidR="001062A0" w:rsidRDefault="001062A0" w:rsidP="00971914">
          <w:pPr>
            <w:pStyle w:val="GridTable31"/>
          </w:pPr>
          <w:r>
            <w:t xml:space="preserve">Contents </w:t>
          </w:r>
          <w:r w:rsidRPr="00915B1C">
            <w:rPr>
              <w:b w:val="0"/>
              <w:spacing w:val="0"/>
              <w:sz w:val="28"/>
              <w:szCs w:val="28"/>
            </w:rPr>
            <w:t>(Continued)</w:t>
          </w:r>
        </w:p>
      </w:tc>
    </w:tr>
    <w:tr w:rsidR="001062A0" w14:paraId="59D85FD8" w14:textId="77777777" w:rsidTr="00FC1453">
      <w:trPr>
        <w:trHeight w:val="1220"/>
      </w:trPr>
      <w:tc>
        <w:tcPr>
          <w:tcW w:w="7678" w:type="dxa"/>
          <w:shd w:val="clear" w:color="auto" w:fill="auto"/>
        </w:tcPr>
        <w:p w14:paraId="4D1C82F2" w14:textId="77777777" w:rsidR="001062A0" w:rsidRDefault="001062A0" w:rsidP="00971914"/>
      </w:tc>
    </w:tr>
  </w:tbl>
  <w:p w14:paraId="5CE1CAD1" w14:textId="77777777" w:rsidR="001062A0" w:rsidRPr="00A5474E" w:rsidRDefault="001062A0"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AFA3A5" w14:textId="77777777" w:rsidR="001062A0" w:rsidRDefault="001062A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FD9404" w14:textId="77777777" w:rsidR="001062A0" w:rsidRDefault="001062A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B4A21E9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7991958"/>
    <w:multiLevelType w:val="hybridMultilevel"/>
    <w:tmpl w:val="0F101C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71D55D0"/>
    <w:multiLevelType w:val="hybridMultilevel"/>
    <w:tmpl w:val="B92C47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D9328E5"/>
    <w:multiLevelType w:val="hybridMultilevel"/>
    <w:tmpl w:val="0C9063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9" w15:restartNumberingAfterBreak="0">
    <w:nsid w:val="36B21538"/>
    <w:multiLevelType w:val="hybridMultilevel"/>
    <w:tmpl w:val="6CCC560E"/>
    <w:lvl w:ilvl="0" w:tplc="DEBEB496">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57E7DC9"/>
    <w:multiLevelType w:val="hybridMultilevel"/>
    <w:tmpl w:val="B91ABB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E7A47C2"/>
    <w:multiLevelType w:val="hybridMultilevel"/>
    <w:tmpl w:val="85B2944C"/>
    <w:lvl w:ilvl="0" w:tplc="6C0C9DBA">
      <w:start w:val="1"/>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ECD05AA"/>
    <w:multiLevelType w:val="hybridMultilevel"/>
    <w:tmpl w:val="EC3A2F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71AD4656"/>
    <w:multiLevelType w:val="hybridMultilevel"/>
    <w:tmpl w:val="C2D29186"/>
    <w:lvl w:ilvl="0" w:tplc="9898993A">
      <w:numFmt w:val="bullet"/>
      <w:lvlText w:val=""/>
      <w:lvlJc w:val="left"/>
      <w:pPr>
        <w:ind w:left="720" w:hanging="360"/>
      </w:pPr>
      <w:rPr>
        <w:rFonts w:ascii="Wingdings" w:eastAsia="Times New Roman" w:hAnsi="Wingdings"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7AB70991"/>
    <w:multiLevelType w:val="multilevel"/>
    <w:tmpl w:val="503A5760"/>
    <w:lvl w:ilvl="0">
      <w:start w:val="1"/>
      <w:numFmt w:val="decimal"/>
      <w:lvlText w:val="%1."/>
      <w:lvlJc w:val="left"/>
      <w:pPr>
        <w:ind w:left="720" w:hanging="360"/>
      </w:pPr>
      <w:rPr>
        <w:rFonts w:hint="default"/>
      </w:rPr>
    </w:lvl>
    <w:lvl w:ilvl="1">
      <w:start w:val="6"/>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3"/>
  </w:num>
  <w:num w:numId="2">
    <w:abstractNumId w:val="1"/>
  </w:num>
  <w:num w:numId="3">
    <w:abstractNumId w:val="2"/>
  </w:num>
  <w:num w:numId="4">
    <w:abstractNumId w:val="0"/>
  </w:num>
  <w:num w:numId="5">
    <w:abstractNumId w:val="8"/>
  </w:num>
  <w:num w:numId="6">
    <w:abstractNumId w:val="14"/>
  </w:num>
  <w:num w:numId="7">
    <w:abstractNumId w:val="11"/>
  </w:num>
  <w:num w:numId="8">
    <w:abstractNumId w:val="13"/>
  </w:num>
  <w:num w:numId="9">
    <w:abstractNumId w:val="15"/>
  </w:num>
  <w:num w:numId="10">
    <w:abstractNumId w:val="5"/>
  </w:num>
  <w:num w:numId="11">
    <w:abstractNumId w:val="2"/>
    <w:lvlOverride w:ilvl="0">
      <w:startOverride w:val="1"/>
    </w:lvlOverride>
  </w:num>
  <w:num w:numId="12">
    <w:abstractNumId w:val="16"/>
  </w:num>
  <w:num w:numId="13">
    <w:abstractNumId w:val="4"/>
  </w:num>
  <w:num w:numId="14">
    <w:abstractNumId w:val="18"/>
  </w:num>
  <w:num w:numId="15">
    <w:abstractNumId w:val="7"/>
  </w:num>
  <w:num w:numId="16">
    <w:abstractNumId w:val="6"/>
  </w:num>
  <w:num w:numId="17">
    <w:abstractNumId w:val="17"/>
  </w:num>
  <w:num w:numId="18">
    <w:abstractNumId w:val="9"/>
  </w:num>
  <w:num w:numId="19">
    <w:abstractNumId w:val="12"/>
  </w:num>
  <w:num w:numId="20">
    <w:abstractNumId w:val="1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4097">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jEzsTAwMDc0NLewMDdV0lEKTi0uzszPAykwrAUAf4RlJywAAAA="/>
  </w:docVars>
  <w:rsids>
    <w:rsidRoot w:val="008257B1"/>
    <w:rsid w:val="00000160"/>
    <w:rsid w:val="000016A6"/>
    <w:rsid w:val="00004487"/>
    <w:rsid w:val="00005DBC"/>
    <w:rsid w:val="00010070"/>
    <w:rsid w:val="00010667"/>
    <w:rsid w:val="000129D5"/>
    <w:rsid w:val="00015AE7"/>
    <w:rsid w:val="00016E21"/>
    <w:rsid w:val="0001719C"/>
    <w:rsid w:val="00021E2A"/>
    <w:rsid w:val="00022061"/>
    <w:rsid w:val="0002224E"/>
    <w:rsid w:val="000245E5"/>
    <w:rsid w:val="00024600"/>
    <w:rsid w:val="00024B25"/>
    <w:rsid w:val="000260AE"/>
    <w:rsid w:val="00026F91"/>
    <w:rsid w:val="00031CDE"/>
    <w:rsid w:val="000321F9"/>
    <w:rsid w:val="00033E7D"/>
    <w:rsid w:val="00034166"/>
    <w:rsid w:val="00036D14"/>
    <w:rsid w:val="00041D2C"/>
    <w:rsid w:val="00042996"/>
    <w:rsid w:val="000441C6"/>
    <w:rsid w:val="0004746F"/>
    <w:rsid w:val="0004764C"/>
    <w:rsid w:val="000479CD"/>
    <w:rsid w:val="0005011A"/>
    <w:rsid w:val="0005045A"/>
    <w:rsid w:val="000509C0"/>
    <w:rsid w:val="00050CB2"/>
    <w:rsid w:val="00051C1E"/>
    <w:rsid w:val="00051D64"/>
    <w:rsid w:val="00051FC0"/>
    <w:rsid w:val="000531CA"/>
    <w:rsid w:val="000539F9"/>
    <w:rsid w:val="00054A9D"/>
    <w:rsid w:val="00054C27"/>
    <w:rsid w:val="00055EC3"/>
    <w:rsid w:val="000563CE"/>
    <w:rsid w:val="00062E8D"/>
    <w:rsid w:val="00064199"/>
    <w:rsid w:val="000659B6"/>
    <w:rsid w:val="0006686F"/>
    <w:rsid w:val="0006722A"/>
    <w:rsid w:val="000708BA"/>
    <w:rsid w:val="000732CF"/>
    <w:rsid w:val="00073C4F"/>
    <w:rsid w:val="0007571D"/>
    <w:rsid w:val="00075B96"/>
    <w:rsid w:val="0008196A"/>
    <w:rsid w:val="000832C5"/>
    <w:rsid w:val="000854F7"/>
    <w:rsid w:val="000856D2"/>
    <w:rsid w:val="00085F9D"/>
    <w:rsid w:val="000915ED"/>
    <w:rsid w:val="0009201C"/>
    <w:rsid w:val="0009209D"/>
    <w:rsid w:val="0009463C"/>
    <w:rsid w:val="00094712"/>
    <w:rsid w:val="000969BD"/>
    <w:rsid w:val="000969BF"/>
    <w:rsid w:val="000A0C22"/>
    <w:rsid w:val="000A1400"/>
    <w:rsid w:val="000A3138"/>
    <w:rsid w:val="000A3C43"/>
    <w:rsid w:val="000A4A51"/>
    <w:rsid w:val="000A5D2B"/>
    <w:rsid w:val="000B0DCF"/>
    <w:rsid w:val="000B4664"/>
    <w:rsid w:val="000B5DE3"/>
    <w:rsid w:val="000C02B7"/>
    <w:rsid w:val="000C0A57"/>
    <w:rsid w:val="000C13FA"/>
    <w:rsid w:val="000C2152"/>
    <w:rsid w:val="000C230C"/>
    <w:rsid w:val="000C4108"/>
    <w:rsid w:val="000C6AB4"/>
    <w:rsid w:val="000D050D"/>
    <w:rsid w:val="000D2D7D"/>
    <w:rsid w:val="000D3E0F"/>
    <w:rsid w:val="000D71D9"/>
    <w:rsid w:val="000D76E0"/>
    <w:rsid w:val="000D7E8B"/>
    <w:rsid w:val="000E1289"/>
    <w:rsid w:val="000E286A"/>
    <w:rsid w:val="000E4449"/>
    <w:rsid w:val="000E458C"/>
    <w:rsid w:val="000E6097"/>
    <w:rsid w:val="000E7DCE"/>
    <w:rsid w:val="000F066F"/>
    <w:rsid w:val="000F687A"/>
    <w:rsid w:val="000F79E8"/>
    <w:rsid w:val="00103829"/>
    <w:rsid w:val="0010458C"/>
    <w:rsid w:val="001062A0"/>
    <w:rsid w:val="00111FCE"/>
    <w:rsid w:val="001124C4"/>
    <w:rsid w:val="0011536C"/>
    <w:rsid w:val="00115993"/>
    <w:rsid w:val="001229A5"/>
    <w:rsid w:val="0012489B"/>
    <w:rsid w:val="00130017"/>
    <w:rsid w:val="00130970"/>
    <w:rsid w:val="00130F91"/>
    <w:rsid w:val="001313B5"/>
    <w:rsid w:val="0013469C"/>
    <w:rsid w:val="001349ED"/>
    <w:rsid w:val="00137424"/>
    <w:rsid w:val="00140318"/>
    <w:rsid w:val="00141AD9"/>
    <w:rsid w:val="00142EC0"/>
    <w:rsid w:val="00146CE6"/>
    <w:rsid w:val="00146F7B"/>
    <w:rsid w:val="0015120A"/>
    <w:rsid w:val="00152903"/>
    <w:rsid w:val="0015316A"/>
    <w:rsid w:val="00153FD5"/>
    <w:rsid w:val="00154A43"/>
    <w:rsid w:val="00154FD7"/>
    <w:rsid w:val="00155D72"/>
    <w:rsid w:val="0015614F"/>
    <w:rsid w:val="001577C2"/>
    <w:rsid w:val="00162F38"/>
    <w:rsid w:val="001633C4"/>
    <w:rsid w:val="001645EB"/>
    <w:rsid w:val="00167CA2"/>
    <w:rsid w:val="001704D5"/>
    <w:rsid w:val="00171591"/>
    <w:rsid w:val="00173981"/>
    <w:rsid w:val="00173AA6"/>
    <w:rsid w:val="00173CE9"/>
    <w:rsid w:val="00176F67"/>
    <w:rsid w:val="0017719D"/>
    <w:rsid w:val="00183FD7"/>
    <w:rsid w:val="0018471F"/>
    <w:rsid w:val="00185CAB"/>
    <w:rsid w:val="001875B7"/>
    <w:rsid w:val="00187AEB"/>
    <w:rsid w:val="00187BD0"/>
    <w:rsid w:val="00187CB3"/>
    <w:rsid w:val="0019050A"/>
    <w:rsid w:val="001910D4"/>
    <w:rsid w:val="00193CE1"/>
    <w:rsid w:val="0019737C"/>
    <w:rsid w:val="001976E3"/>
    <w:rsid w:val="001A3C65"/>
    <w:rsid w:val="001A44EC"/>
    <w:rsid w:val="001A488C"/>
    <w:rsid w:val="001A6CB9"/>
    <w:rsid w:val="001B0F19"/>
    <w:rsid w:val="001B14C3"/>
    <w:rsid w:val="001B28D9"/>
    <w:rsid w:val="001B44E1"/>
    <w:rsid w:val="001B5391"/>
    <w:rsid w:val="001B58AA"/>
    <w:rsid w:val="001B6B68"/>
    <w:rsid w:val="001B7E48"/>
    <w:rsid w:val="001C138E"/>
    <w:rsid w:val="001C17CE"/>
    <w:rsid w:val="001C207C"/>
    <w:rsid w:val="001C36CA"/>
    <w:rsid w:val="001C44D1"/>
    <w:rsid w:val="001C590C"/>
    <w:rsid w:val="001C6AEE"/>
    <w:rsid w:val="001C7630"/>
    <w:rsid w:val="001D1396"/>
    <w:rsid w:val="001D26B7"/>
    <w:rsid w:val="001D2C1F"/>
    <w:rsid w:val="001D3AA8"/>
    <w:rsid w:val="001D4889"/>
    <w:rsid w:val="001D6D15"/>
    <w:rsid w:val="001D7EDA"/>
    <w:rsid w:val="001E22B0"/>
    <w:rsid w:val="001F019B"/>
    <w:rsid w:val="001F24EA"/>
    <w:rsid w:val="001F49F7"/>
    <w:rsid w:val="001F4E6E"/>
    <w:rsid w:val="001F6BAB"/>
    <w:rsid w:val="001F7558"/>
    <w:rsid w:val="00200B83"/>
    <w:rsid w:val="00205745"/>
    <w:rsid w:val="00205B57"/>
    <w:rsid w:val="00207016"/>
    <w:rsid w:val="00210CA8"/>
    <w:rsid w:val="00212794"/>
    <w:rsid w:val="002151F0"/>
    <w:rsid w:val="002157E0"/>
    <w:rsid w:val="00216A57"/>
    <w:rsid w:val="00217231"/>
    <w:rsid w:val="00217448"/>
    <w:rsid w:val="0022334F"/>
    <w:rsid w:val="0022615A"/>
    <w:rsid w:val="00226819"/>
    <w:rsid w:val="00232137"/>
    <w:rsid w:val="00233101"/>
    <w:rsid w:val="00233817"/>
    <w:rsid w:val="00234E6D"/>
    <w:rsid w:val="002367FF"/>
    <w:rsid w:val="00240CE9"/>
    <w:rsid w:val="002420E3"/>
    <w:rsid w:val="002434BA"/>
    <w:rsid w:val="00245177"/>
    <w:rsid w:val="00245343"/>
    <w:rsid w:val="00246089"/>
    <w:rsid w:val="00246093"/>
    <w:rsid w:val="00246702"/>
    <w:rsid w:val="00246C82"/>
    <w:rsid w:val="00247C59"/>
    <w:rsid w:val="00247F2E"/>
    <w:rsid w:val="00250488"/>
    <w:rsid w:val="00250ADC"/>
    <w:rsid w:val="00250B07"/>
    <w:rsid w:val="002510FA"/>
    <w:rsid w:val="002512A8"/>
    <w:rsid w:val="00251A85"/>
    <w:rsid w:val="00257335"/>
    <w:rsid w:val="00257553"/>
    <w:rsid w:val="00260B16"/>
    <w:rsid w:val="00260E87"/>
    <w:rsid w:val="00260FB2"/>
    <w:rsid w:val="00262128"/>
    <w:rsid w:val="0026447C"/>
    <w:rsid w:val="0027165D"/>
    <w:rsid w:val="00271B5B"/>
    <w:rsid w:val="00273CEB"/>
    <w:rsid w:val="00275710"/>
    <w:rsid w:val="0027749C"/>
    <w:rsid w:val="00281C89"/>
    <w:rsid w:val="0028282F"/>
    <w:rsid w:val="0028723B"/>
    <w:rsid w:val="00293CE0"/>
    <w:rsid w:val="00293F06"/>
    <w:rsid w:val="00294716"/>
    <w:rsid w:val="002954B5"/>
    <w:rsid w:val="0029593B"/>
    <w:rsid w:val="00297194"/>
    <w:rsid w:val="0029754A"/>
    <w:rsid w:val="00297FC5"/>
    <w:rsid w:val="002A0417"/>
    <w:rsid w:val="002A0830"/>
    <w:rsid w:val="002A16D8"/>
    <w:rsid w:val="002A191C"/>
    <w:rsid w:val="002A19C0"/>
    <w:rsid w:val="002A1BC8"/>
    <w:rsid w:val="002A1D06"/>
    <w:rsid w:val="002A2128"/>
    <w:rsid w:val="002A3E2E"/>
    <w:rsid w:val="002A3EF2"/>
    <w:rsid w:val="002B0DED"/>
    <w:rsid w:val="002B19A2"/>
    <w:rsid w:val="002B381A"/>
    <w:rsid w:val="002B3848"/>
    <w:rsid w:val="002B4FCC"/>
    <w:rsid w:val="002B5C98"/>
    <w:rsid w:val="002B7408"/>
    <w:rsid w:val="002B7CFD"/>
    <w:rsid w:val="002C182A"/>
    <w:rsid w:val="002C210F"/>
    <w:rsid w:val="002C29CA"/>
    <w:rsid w:val="002C420E"/>
    <w:rsid w:val="002C6E7E"/>
    <w:rsid w:val="002C729A"/>
    <w:rsid w:val="002D049F"/>
    <w:rsid w:val="002D1E6B"/>
    <w:rsid w:val="002D3600"/>
    <w:rsid w:val="002D537D"/>
    <w:rsid w:val="002D7B8F"/>
    <w:rsid w:val="002D7DA1"/>
    <w:rsid w:val="002E2951"/>
    <w:rsid w:val="002E35DF"/>
    <w:rsid w:val="002E4DDC"/>
    <w:rsid w:val="002E5B1E"/>
    <w:rsid w:val="002E6F43"/>
    <w:rsid w:val="002F0A57"/>
    <w:rsid w:val="002F16C7"/>
    <w:rsid w:val="002F3E17"/>
    <w:rsid w:val="002F6B6D"/>
    <w:rsid w:val="002F727B"/>
    <w:rsid w:val="00300144"/>
    <w:rsid w:val="00301C67"/>
    <w:rsid w:val="00302480"/>
    <w:rsid w:val="00302758"/>
    <w:rsid w:val="00303B88"/>
    <w:rsid w:val="0030458E"/>
    <w:rsid w:val="00310666"/>
    <w:rsid w:val="00311311"/>
    <w:rsid w:val="0031449F"/>
    <w:rsid w:val="003153F0"/>
    <w:rsid w:val="00316146"/>
    <w:rsid w:val="003165E6"/>
    <w:rsid w:val="003215B5"/>
    <w:rsid w:val="003221CF"/>
    <w:rsid w:val="00322F10"/>
    <w:rsid w:val="003233ED"/>
    <w:rsid w:val="00324D9F"/>
    <w:rsid w:val="003271E0"/>
    <w:rsid w:val="00327948"/>
    <w:rsid w:val="0033000F"/>
    <w:rsid w:val="003313FC"/>
    <w:rsid w:val="00332011"/>
    <w:rsid w:val="00332518"/>
    <w:rsid w:val="00332925"/>
    <w:rsid w:val="003332ED"/>
    <w:rsid w:val="003341D7"/>
    <w:rsid w:val="003368DC"/>
    <w:rsid w:val="00343905"/>
    <w:rsid w:val="003440D6"/>
    <w:rsid w:val="0034589E"/>
    <w:rsid w:val="00345927"/>
    <w:rsid w:val="00345AA2"/>
    <w:rsid w:val="00345B25"/>
    <w:rsid w:val="00350584"/>
    <w:rsid w:val="00351857"/>
    <w:rsid w:val="00351C92"/>
    <w:rsid w:val="00352E25"/>
    <w:rsid w:val="003532D2"/>
    <w:rsid w:val="003545E8"/>
    <w:rsid w:val="003610E1"/>
    <w:rsid w:val="0036313A"/>
    <w:rsid w:val="003632DC"/>
    <w:rsid w:val="00364478"/>
    <w:rsid w:val="003647C5"/>
    <w:rsid w:val="003671BE"/>
    <w:rsid w:val="00367B2F"/>
    <w:rsid w:val="003718D3"/>
    <w:rsid w:val="00371E8C"/>
    <w:rsid w:val="00372485"/>
    <w:rsid w:val="00373200"/>
    <w:rsid w:val="00375968"/>
    <w:rsid w:val="00375EF5"/>
    <w:rsid w:val="003767A5"/>
    <w:rsid w:val="003767F5"/>
    <w:rsid w:val="00376BE9"/>
    <w:rsid w:val="00376C96"/>
    <w:rsid w:val="00380084"/>
    <w:rsid w:val="00380435"/>
    <w:rsid w:val="003810A1"/>
    <w:rsid w:val="00381D15"/>
    <w:rsid w:val="00381EA3"/>
    <w:rsid w:val="003836E5"/>
    <w:rsid w:val="00385254"/>
    <w:rsid w:val="003857B9"/>
    <w:rsid w:val="00385808"/>
    <w:rsid w:val="0039302E"/>
    <w:rsid w:val="00395741"/>
    <w:rsid w:val="003973C2"/>
    <w:rsid w:val="003A04DB"/>
    <w:rsid w:val="003A1EDF"/>
    <w:rsid w:val="003A21CF"/>
    <w:rsid w:val="003A4835"/>
    <w:rsid w:val="003A55CD"/>
    <w:rsid w:val="003A5F5B"/>
    <w:rsid w:val="003A789A"/>
    <w:rsid w:val="003B12EC"/>
    <w:rsid w:val="003B3341"/>
    <w:rsid w:val="003C129E"/>
    <w:rsid w:val="003C1A3D"/>
    <w:rsid w:val="003C221D"/>
    <w:rsid w:val="003C3875"/>
    <w:rsid w:val="003C4D91"/>
    <w:rsid w:val="003C5E63"/>
    <w:rsid w:val="003C6133"/>
    <w:rsid w:val="003C6E94"/>
    <w:rsid w:val="003C77B7"/>
    <w:rsid w:val="003C77E0"/>
    <w:rsid w:val="003D17D7"/>
    <w:rsid w:val="003D1827"/>
    <w:rsid w:val="003D1CF8"/>
    <w:rsid w:val="003D23AE"/>
    <w:rsid w:val="003D2678"/>
    <w:rsid w:val="003D5672"/>
    <w:rsid w:val="003D57ED"/>
    <w:rsid w:val="003D71A3"/>
    <w:rsid w:val="003E1CF4"/>
    <w:rsid w:val="003E2B8A"/>
    <w:rsid w:val="003E3ADF"/>
    <w:rsid w:val="003E5D52"/>
    <w:rsid w:val="003E789E"/>
    <w:rsid w:val="003F10EE"/>
    <w:rsid w:val="003F16F6"/>
    <w:rsid w:val="003F3A60"/>
    <w:rsid w:val="003F4DC7"/>
    <w:rsid w:val="003F5235"/>
    <w:rsid w:val="003F5DFF"/>
    <w:rsid w:val="003F6A95"/>
    <w:rsid w:val="003F73C3"/>
    <w:rsid w:val="003F748D"/>
    <w:rsid w:val="004027E4"/>
    <w:rsid w:val="00403500"/>
    <w:rsid w:val="004049E6"/>
    <w:rsid w:val="004049F7"/>
    <w:rsid w:val="00404C5A"/>
    <w:rsid w:val="0040626B"/>
    <w:rsid w:val="00406A2B"/>
    <w:rsid w:val="00407FBC"/>
    <w:rsid w:val="004105ED"/>
    <w:rsid w:val="0041071D"/>
    <w:rsid w:val="004111E9"/>
    <w:rsid w:val="0041235C"/>
    <w:rsid w:val="00412D87"/>
    <w:rsid w:val="004140A8"/>
    <w:rsid w:val="00414AFC"/>
    <w:rsid w:val="004151A7"/>
    <w:rsid w:val="00415310"/>
    <w:rsid w:val="0041727A"/>
    <w:rsid w:val="00417957"/>
    <w:rsid w:val="00421709"/>
    <w:rsid w:val="00422778"/>
    <w:rsid w:val="00423763"/>
    <w:rsid w:val="0042762F"/>
    <w:rsid w:val="00427DC7"/>
    <w:rsid w:val="004302CF"/>
    <w:rsid w:val="00431613"/>
    <w:rsid w:val="00431792"/>
    <w:rsid w:val="0043297A"/>
    <w:rsid w:val="00432EB2"/>
    <w:rsid w:val="00432F43"/>
    <w:rsid w:val="00433707"/>
    <w:rsid w:val="0043714F"/>
    <w:rsid w:val="00437EC7"/>
    <w:rsid w:val="004436E2"/>
    <w:rsid w:val="004438B5"/>
    <w:rsid w:val="00443BB9"/>
    <w:rsid w:val="00444538"/>
    <w:rsid w:val="00447037"/>
    <w:rsid w:val="0045124D"/>
    <w:rsid w:val="0045166C"/>
    <w:rsid w:val="00454596"/>
    <w:rsid w:val="0045574F"/>
    <w:rsid w:val="00455928"/>
    <w:rsid w:val="00456051"/>
    <w:rsid w:val="0045605D"/>
    <w:rsid w:val="004575E6"/>
    <w:rsid w:val="0046135B"/>
    <w:rsid w:val="00461D47"/>
    <w:rsid w:val="00462E8D"/>
    <w:rsid w:val="004718CC"/>
    <w:rsid w:val="0047278A"/>
    <w:rsid w:val="00472949"/>
    <w:rsid w:val="0047764B"/>
    <w:rsid w:val="00481695"/>
    <w:rsid w:val="00481A8A"/>
    <w:rsid w:val="00495A96"/>
    <w:rsid w:val="00495BB3"/>
    <w:rsid w:val="00497A0A"/>
    <w:rsid w:val="004A0AE3"/>
    <w:rsid w:val="004A1975"/>
    <w:rsid w:val="004A4A4E"/>
    <w:rsid w:val="004A56BB"/>
    <w:rsid w:val="004A6397"/>
    <w:rsid w:val="004A70D6"/>
    <w:rsid w:val="004A7671"/>
    <w:rsid w:val="004B153F"/>
    <w:rsid w:val="004B1751"/>
    <w:rsid w:val="004B1A5B"/>
    <w:rsid w:val="004B2E1B"/>
    <w:rsid w:val="004B571E"/>
    <w:rsid w:val="004B57A2"/>
    <w:rsid w:val="004C0253"/>
    <w:rsid w:val="004C57A6"/>
    <w:rsid w:val="004C62F2"/>
    <w:rsid w:val="004C6C05"/>
    <w:rsid w:val="004D30DE"/>
    <w:rsid w:val="004D38E4"/>
    <w:rsid w:val="004D56FF"/>
    <w:rsid w:val="004D5B93"/>
    <w:rsid w:val="004E00A0"/>
    <w:rsid w:val="004E0154"/>
    <w:rsid w:val="004E0199"/>
    <w:rsid w:val="004E39D3"/>
    <w:rsid w:val="004E4E9F"/>
    <w:rsid w:val="004E508A"/>
    <w:rsid w:val="004E50B1"/>
    <w:rsid w:val="004E51D5"/>
    <w:rsid w:val="004E616D"/>
    <w:rsid w:val="004E698D"/>
    <w:rsid w:val="004F11FB"/>
    <w:rsid w:val="004F1BDE"/>
    <w:rsid w:val="004F2CEE"/>
    <w:rsid w:val="004F40C0"/>
    <w:rsid w:val="004F467C"/>
    <w:rsid w:val="004F556E"/>
    <w:rsid w:val="004F591C"/>
    <w:rsid w:val="004F7F44"/>
    <w:rsid w:val="0050153B"/>
    <w:rsid w:val="005037B4"/>
    <w:rsid w:val="0050395A"/>
    <w:rsid w:val="00506FFA"/>
    <w:rsid w:val="005079BF"/>
    <w:rsid w:val="00507CDF"/>
    <w:rsid w:val="00510D0A"/>
    <w:rsid w:val="0051269A"/>
    <w:rsid w:val="00512C67"/>
    <w:rsid w:val="005219E7"/>
    <w:rsid w:val="00521ED4"/>
    <w:rsid w:val="00523153"/>
    <w:rsid w:val="00523F96"/>
    <w:rsid w:val="005241E9"/>
    <w:rsid w:val="005248F9"/>
    <w:rsid w:val="00526A89"/>
    <w:rsid w:val="00531B9A"/>
    <w:rsid w:val="00531BEF"/>
    <w:rsid w:val="00531D15"/>
    <w:rsid w:val="00531FBB"/>
    <w:rsid w:val="00537604"/>
    <w:rsid w:val="005376FE"/>
    <w:rsid w:val="00540387"/>
    <w:rsid w:val="00542377"/>
    <w:rsid w:val="00542387"/>
    <w:rsid w:val="00543B45"/>
    <w:rsid w:val="0054485C"/>
    <w:rsid w:val="005476EB"/>
    <w:rsid w:val="00550593"/>
    <w:rsid w:val="00551782"/>
    <w:rsid w:val="00562C02"/>
    <w:rsid w:val="00563EF1"/>
    <w:rsid w:val="00566308"/>
    <w:rsid w:val="00566AB4"/>
    <w:rsid w:val="00567710"/>
    <w:rsid w:val="00570146"/>
    <w:rsid w:val="0057053D"/>
    <w:rsid w:val="00571AEF"/>
    <w:rsid w:val="00573CB6"/>
    <w:rsid w:val="00575AC5"/>
    <w:rsid w:val="0057605D"/>
    <w:rsid w:val="00581347"/>
    <w:rsid w:val="00581AC9"/>
    <w:rsid w:val="005824FE"/>
    <w:rsid w:val="0058361F"/>
    <w:rsid w:val="005849F8"/>
    <w:rsid w:val="0058555D"/>
    <w:rsid w:val="005860C4"/>
    <w:rsid w:val="005938DF"/>
    <w:rsid w:val="00594E9C"/>
    <w:rsid w:val="005A099B"/>
    <w:rsid w:val="005A2CE8"/>
    <w:rsid w:val="005A2D9C"/>
    <w:rsid w:val="005A55FE"/>
    <w:rsid w:val="005A6A11"/>
    <w:rsid w:val="005A6A7A"/>
    <w:rsid w:val="005A747D"/>
    <w:rsid w:val="005B24B2"/>
    <w:rsid w:val="005B539D"/>
    <w:rsid w:val="005B75E0"/>
    <w:rsid w:val="005C130B"/>
    <w:rsid w:val="005C1851"/>
    <w:rsid w:val="005D0B92"/>
    <w:rsid w:val="005D179A"/>
    <w:rsid w:val="005D2502"/>
    <w:rsid w:val="005D267B"/>
    <w:rsid w:val="005D40BB"/>
    <w:rsid w:val="005D47F3"/>
    <w:rsid w:val="005D491F"/>
    <w:rsid w:val="005D49BF"/>
    <w:rsid w:val="005D4A2E"/>
    <w:rsid w:val="005D4AA5"/>
    <w:rsid w:val="005D6C53"/>
    <w:rsid w:val="005D6F4E"/>
    <w:rsid w:val="005D7C73"/>
    <w:rsid w:val="005E2260"/>
    <w:rsid w:val="005E250B"/>
    <w:rsid w:val="005E3ACD"/>
    <w:rsid w:val="005E3C05"/>
    <w:rsid w:val="005E7226"/>
    <w:rsid w:val="005E7314"/>
    <w:rsid w:val="005E7A57"/>
    <w:rsid w:val="005F24B0"/>
    <w:rsid w:val="005F3B5B"/>
    <w:rsid w:val="005F7F9A"/>
    <w:rsid w:val="005F7FED"/>
    <w:rsid w:val="006005BA"/>
    <w:rsid w:val="00600754"/>
    <w:rsid w:val="00600A77"/>
    <w:rsid w:val="00603E0E"/>
    <w:rsid w:val="00604315"/>
    <w:rsid w:val="00604E26"/>
    <w:rsid w:val="0060518A"/>
    <w:rsid w:val="0060523F"/>
    <w:rsid w:val="006052CF"/>
    <w:rsid w:val="006061D1"/>
    <w:rsid w:val="006079F3"/>
    <w:rsid w:val="00607B8D"/>
    <w:rsid w:val="00611F5C"/>
    <w:rsid w:val="00613058"/>
    <w:rsid w:val="0061589A"/>
    <w:rsid w:val="00616E09"/>
    <w:rsid w:val="00622A3B"/>
    <w:rsid w:val="00622EEA"/>
    <w:rsid w:val="0062396C"/>
    <w:rsid w:val="00623FF9"/>
    <w:rsid w:val="006270AB"/>
    <w:rsid w:val="006271AA"/>
    <w:rsid w:val="00627D4E"/>
    <w:rsid w:val="00632B89"/>
    <w:rsid w:val="0063346D"/>
    <w:rsid w:val="00634478"/>
    <w:rsid w:val="0064031B"/>
    <w:rsid w:val="00642670"/>
    <w:rsid w:val="00644373"/>
    <w:rsid w:val="0064517E"/>
    <w:rsid w:val="00645915"/>
    <w:rsid w:val="00646213"/>
    <w:rsid w:val="00650E92"/>
    <w:rsid w:val="006519C3"/>
    <w:rsid w:val="00652B30"/>
    <w:rsid w:val="00653277"/>
    <w:rsid w:val="00654015"/>
    <w:rsid w:val="00655D42"/>
    <w:rsid w:val="006562A8"/>
    <w:rsid w:val="00656345"/>
    <w:rsid w:val="00656DC6"/>
    <w:rsid w:val="00660EC6"/>
    <w:rsid w:val="00661A84"/>
    <w:rsid w:val="00664110"/>
    <w:rsid w:val="00664D17"/>
    <w:rsid w:val="00666520"/>
    <w:rsid w:val="0066690E"/>
    <w:rsid w:val="00667C5B"/>
    <w:rsid w:val="00670FEB"/>
    <w:rsid w:val="006712AB"/>
    <w:rsid w:val="0067541C"/>
    <w:rsid w:val="00675556"/>
    <w:rsid w:val="00683698"/>
    <w:rsid w:val="00687B29"/>
    <w:rsid w:val="00691EB8"/>
    <w:rsid w:val="00692CDE"/>
    <w:rsid w:val="00693073"/>
    <w:rsid w:val="00693C03"/>
    <w:rsid w:val="00693F90"/>
    <w:rsid w:val="00695663"/>
    <w:rsid w:val="00697086"/>
    <w:rsid w:val="006977FF"/>
    <w:rsid w:val="006A01FA"/>
    <w:rsid w:val="006A0E9E"/>
    <w:rsid w:val="006A25C7"/>
    <w:rsid w:val="006A2BCD"/>
    <w:rsid w:val="006A4AAD"/>
    <w:rsid w:val="006A57F5"/>
    <w:rsid w:val="006A6DA2"/>
    <w:rsid w:val="006A7971"/>
    <w:rsid w:val="006A7AB2"/>
    <w:rsid w:val="006B52DE"/>
    <w:rsid w:val="006B5717"/>
    <w:rsid w:val="006B582F"/>
    <w:rsid w:val="006B5EB2"/>
    <w:rsid w:val="006B7E52"/>
    <w:rsid w:val="006C0CEB"/>
    <w:rsid w:val="006C1631"/>
    <w:rsid w:val="006C2426"/>
    <w:rsid w:val="006C3B1E"/>
    <w:rsid w:val="006C4369"/>
    <w:rsid w:val="006C47FD"/>
    <w:rsid w:val="006C5B71"/>
    <w:rsid w:val="006C5C19"/>
    <w:rsid w:val="006C70A0"/>
    <w:rsid w:val="006D11AD"/>
    <w:rsid w:val="006D27CB"/>
    <w:rsid w:val="006D2F08"/>
    <w:rsid w:val="006D468E"/>
    <w:rsid w:val="006D576C"/>
    <w:rsid w:val="006D5865"/>
    <w:rsid w:val="006D604A"/>
    <w:rsid w:val="006D65E3"/>
    <w:rsid w:val="006D729F"/>
    <w:rsid w:val="006E4B1B"/>
    <w:rsid w:val="006E5445"/>
    <w:rsid w:val="006E780F"/>
    <w:rsid w:val="006E7D93"/>
    <w:rsid w:val="006F33DC"/>
    <w:rsid w:val="006F3EFD"/>
    <w:rsid w:val="007029A3"/>
    <w:rsid w:val="00702EF8"/>
    <w:rsid w:val="00706E4E"/>
    <w:rsid w:val="00707465"/>
    <w:rsid w:val="0070791C"/>
    <w:rsid w:val="00710995"/>
    <w:rsid w:val="00711E0B"/>
    <w:rsid w:val="00712DE6"/>
    <w:rsid w:val="0071383C"/>
    <w:rsid w:val="007141A7"/>
    <w:rsid w:val="00715722"/>
    <w:rsid w:val="007207A6"/>
    <w:rsid w:val="00720B51"/>
    <w:rsid w:val="00720CF7"/>
    <w:rsid w:val="00721032"/>
    <w:rsid w:val="00721671"/>
    <w:rsid w:val="0072167E"/>
    <w:rsid w:val="00721B55"/>
    <w:rsid w:val="00723105"/>
    <w:rsid w:val="00726CE4"/>
    <w:rsid w:val="00727CC6"/>
    <w:rsid w:val="0073062E"/>
    <w:rsid w:val="007335FB"/>
    <w:rsid w:val="00734143"/>
    <w:rsid w:val="00736AFD"/>
    <w:rsid w:val="00737E47"/>
    <w:rsid w:val="007401CC"/>
    <w:rsid w:val="00740EAC"/>
    <w:rsid w:val="007429AC"/>
    <w:rsid w:val="00744956"/>
    <w:rsid w:val="00745A5C"/>
    <w:rsid w:val="00745D3C"/>
    <w:rsid w:val="0074605F"/>
    <w:rsid w:val="00747C70"/>
    <w:rsid w:val="00747E94"/>
    <w:rsid w:val="00751D6E"/>
    <w:rsid w:val="007524D3"/>
    <w:rsid w:val="00753F44"/>
    <w:rsid w:val="00754C83"/>
    <w:rsid w:val="00754F5E"/>
    <w:rsid w:val="00761E5C"/>
    <w:rsid w:val="007659E3"/>
    <w:rsid w:val="00765DF8"/>
    <w:rsid w:val="00766749"/>
    <w:rsid w:val="00766F51"/>
    <w:rsid w:val="00767C1B"/>
    <w:rsid w:val="00770D43"/>
    <w:rsid w:val="007714A9"/>
    <w:rsid w:val="0077247F"/>
    <w:rsid w:val="00774F88"/>
    <w:rsid w:val="00774FDB"/>
    <w:rsid w:val="00777333"/>
    <w:rsid w:val="00777BA2"/>
    <w:rsid w:val="007801A3"/>
    <w:rsid w:val="00781408"/>
    <w:rsid w:val="00782981"/>
    <w:rsid w:val="00784F7F"/>
    <w:rsid w:val="007878BD"/>
    <w:rsid w:val="0079078D"/>
    <w:rsid w:val="007916A7"/>
    <w:rsid w:val="00793B51"/>
    <w:rsid w:val="00794587"/>
    <w:rsid w:val="00795C1D"/>
    <w:rsid w:val="00796F25"/>
    <w:rsid w:val="00797AE1"/>
    <w:rsid w:val="007A2E69"/>
    <w:rsid w:val="007A2E98"/>
    <w:rsid w:val="007A3BA3"/>
    <w:rsid w:val="007A5C10"/>
    <w:rsid w:val="007A6CC0"/>
    <w:rsid w:val="007A7FEC"/>
    <w:rsid w:val="007B0827"/>
    <w:rsid w:val="007B1499"/>
    <w:rsid w:val="007B1BBF"/>
    <w:rsid w:val="007B2960"/>
    <w:rsid w:val="007B355D"/>
    <w:rsid w:val="007B4585"/>
    <w:rsid w:val="007B55AC"/>
    <w:rsid w:val="007B7980"/>
    <w:rsid w:val="007B7E2E"/>
    <w:rsid w:val="007C0DEF"/>
    <w:rsid w:val="007C27B4"/>
    <w:rsid w:val="007C4FAD"/>
    <w:rsid w:val="007C5D5A"/>
    <w:rsid w:val="007C607F"/>
    <w:rsid w:val="007C6223"/>
    <w:rsid w:val="007C6E44"/>
    <w:rsid w:val="007C7657"/>
    <w:rsid w:val="007C76E5"/>
    <w:rsid w:val="007C79DD"/>
    <w:rsid w:val="007C7A40"/>
    <w:rsid w:val="007C7D34"/>
    <w:rsid w:val="007D1A97"/>
    <w:rsid w:val="007D2CD6"/>
    <w:rsid w:val="007D3063"/>
    <w:rsid w:val="007D3CEB"/>
    <w:rsid w:val="007D5E6A"/>
    <w:rsid w:val="007D5EC3"/>
    <w:rsid w:val="007E012C"/>
    <w:rsid w:val="007E3A57"/>
    <w:rsid w:val="007E3B8C"/>
    <w:rsid w:val="007E4857"/>
    <w:rsid w:val="007E7683"/>
    <w:rsid w:val="007F424C"/>
    <w:rsid w:val="007F49FA"/>
    <w:rsid w:val="007F54C4"/>
    <w:rsid w:val="007F6E9A"/>
    <w:rsid w:val="00800CCD"/>
    <w:rsid w:val="008030A7"/>
    <w:rsid w:val="008044D4"/>
    <w:rsid w:val="00807BF5"/>
    <w:rsid w:val="00810AB4"/>
    <w:rsid w:val="008143E0"/>
    <w:rsid w:val="008177E1"/>
    <w:rsid w:val="00817B56"/>
    <w:rsid w:val="00820836"/>
    <w:rsid w:val="00820D6D"/>
    <w:rsid w:val="00821307"/>
    <w:rsid w:val="00821A88"/>
    <w:rsid w:val="0082378E"/>
    <w:rsid w:val="0082495D"/>
    <w:rsid w:val="008257B1"/>
    <w:rsid w:val="0082710A"/>
    <w:rsid w:val="00831AC3"/>
    <w:rsid w:val="00831D55"/>
    <w:rsid w:val="00835F89"/>
    <w:rsid w:val="00836FCE"/>
    <w:rsid w:val="008408FF"/>
    <w:rsid w:val="00841E74"/>
    <w:rsid w:val="00843D83"/>
    <w:rsid w:val="00850992"/>
    <w:rsid w:val="00851F3F"/>
    <w:rsid w:val="00852337"/>
    <w:rsid w:val="00854E9D"/>
    <w:rsid w:val="0085601A"/>
    <w:rsid w:val="0085618F"/>
    <w:rsid w:val="0085642C"/>
    <w:rsid w:val="00856EDC"/>
    <w:rsid w:val="00857096"/>
    <w:rsid w:val="00857A49"/>
    <w:rsid w:val="008600FD"/>
    <w:rsid w:val="008623B5"/>
    <w:rsid w:val="00866ED5"/>
    <w:rsid w:val="00870ABA"/>
    <w:rsid w:val="008710E1"/>
    <w:rsid w:val="008716E5"/>
    <w:rsid w:val="008725F8"/>
    <w:rsid w:val="00872F4C"/>
    <w:rsid w:val="008732AB"/>
    <w:rsid w:val="0087417F"/>
    <w:rsid w:val="00875D1B"/>
    <w:rsid w:val="008763A8"/>
    <w:rsid w:val="00881305"/>
    <w:rsid w:val="00881CA9"/>
    <w:rsid w:val="008821A6"/>
    <w:rsid w:val="00882A0F"/>
    <w:rsid w:val="00883628"/>
    <w:rsid w:val="00883D98"/>
    <w:rsid w:val="00884682"/>
    <w:rsid w:val="00884C61"/>
    <w:rsid w:val="00885544"/>
    <w:rsid w:val="0088634E"/>
    <w:rsid w:val="0089113E"/>
    <w:rsid w:val="00892C80"/>
    <w:rsid w:val="00893AB8"/>
    <w:rsid w:val="00895D81"/>
    <w:rsid w:val="008A04C8"/>
    <w:rsid w:val="008A22DF"/>
    <w:rsid w:val="008A2DBF"/>
    <w:rsid w:val="008A4F25"/>
    <w:rsid w:val="008A672A"/>
    <w:rsid w:val="008A6913"/>
    <w:rsid w:val="008B009C"/>
    <w:rsid w:val="008B2154"/>
    <w:rsid w:val="008B2412"/>
    <w:rsid w:val="008B32DA"/>
    <w:rsid w:val="008B41CE"/>
    <w:rsid w:val="008B549D"/>
    <w:rsid w:val="008B5C9E"/>
    <w:rsid w:val="008B70F3"/>
    <w:rsid w:val="008B71C4"/>
    <w:rsid w:val="008B76DF"/>
    <w:rsid w:val="008B7D7D"/>
    <w:rsid w:val="008C0264"/>
    <w:rsid w:val="008C10F4"/>
    <w:rsid w:val="008C4E24"/>
    <w:rsid w:val="008C5C53"/>
    <w:rsid w:val="008C65F7"/>
    <w:rsid w:val="008D073E"/>
    <w:rsid w:val="008D1339"/>
    <w:rsid w:val="008D33B4"/>
    <w:rsid w:val="008D4D45"/>
    <w:rsid w:val="008D4D53"/>
    <w:rsid w:val="008D51DD"/>
    <w:rsid w:val="008E008C"/>
    <w:rsid w:val="008E21A5"/>
    <w:rsid w:val="008E266E"/>
    <w:rsid w:val="008E4767"/>
    <w:rsid w:val="008E580C"/>
    <w:rsid w:val="008E7858"/>
    <w:rsid w:val="008E7A8C"/>
    <w:rsid w:val="008F6CAB"/>
    <w:rsid w:val="00901FE1"/>
    <w:rsid w:val="0090203B"/>
    <w:rsid w:val="00903285"/>
    <w:rsid w:val="00903494"/>
    <w:rsid w:val="00904875"/>
    <w:rsid w:val="00906F40"/>
    <w:rsid w:val="0090731E"/>
    <w:rsid w:val="00914994"/>
    <w:rsid w:val="00914F99"/>
    <w:rsid w:val="009154D6"/>
    <w:rsid w:val="00915971"/>
    <w:rsid w:val="00915B1C"/>
    <w:rsid w:val="009174F3"/>
    <w:rsid w:val="0091797D"/>
    <w:rsid w:val="009202AD"/>
    <w:rsid w:val="00921E73"/>
    <w:rsid w:val="00922023"/>
    <w:rsid w:val="00922DDA"/>
    <w:rsid w:val="00923CBA"/>
    <w:rsid w:val="00924853"/>
    <w:rsid w:val="0092488A"/>
    <w:rsid w:val="00924FA6"/>
    <w:rsid w:val="009250F4"/>
    <w:rsid w:val="00926703"/>
    <w:rsid w:val="00927691"/>
    <w:rsid w:val="00927A5F"/>
    <w:rsid w:val="009304B0"/>
    <w:rsid w:val="00930510"/>
    <w:rsid w:val="00931079"/>
    <w:rsid w:val="00934DD4"/>
    <w:rsid w:val="00935B63"/>
    <w:rsid w:val="00936D11"/>
    <w:rsid w:val="00937348"/>
    <w:rsid w:val="0094078F"/>
    <w:rsid w:val="00940FA3"/>
    <w:rsid w:val="00941FB0"/>
    <w:rsid w:val="009426D4"/>
    <w:rsid w:val="00947F25"/>
    <w:rsid w:val="00950159"/>
    <w:rsid w:val="009526D1"/>
    <w:rsid w:val="00954382"/>
    <w:rsid w:val="0095490B"/>
    <w:rsid w:val="00955CF4"/>
    <w:rsid w:val="00957F03"/>
    <w:rsid w:val="00960A33"/>
    <w:rsid w:val="00962C35"/>
    <w:rsid w:val="00964AC6"/>
    <w:rsid w:val="009655D0"/>
    <w:rsid w:val="0096794D"/>
    <w:rsid w:val="00971503"/>
    <w:rsid w:val="00971914"/>
    <w:rsid w:val="00972FB4"/>
    <w:rsid w:val="00974363"/>
    <w:rsid w:val="00981661"/>
    <w:rsid w:val="00981898"/>
    <w:rsid w:val="00981D89"/>
    <w:rsid w:val="00982E04"/>
    <w:rsid w:val="009839E4"/>
    <w:rsid w:val="0098540F"/>
    <w:rsid w:val="00986C2F"/>
    <w:rsid w:val="00987AB7"/>
    <w:rsid w:val="00987E34"/>
    <w:rsid w:val="00993F81"/>
    <w:rsid w:val="0099577C"/>
    <w:rsid w:val="009A4822"/>
    <w:rsid w:val="009A4E4D"/>
    <w:rsid w:val="009A6962"/>
    <w:rsid w:val="009B096B"/>
    <w:rsid w:val="009B24A5"/>
    <w:rsid w:val="009B2601"/>
    <w:rsid w:val="009B2DA3"/>
    <w:rsid w:val="009B2E1D"/>
    <w:rsid w:val="009B30B1"/>
    <w:rsid w:val="009B4E9E"/>
    <w:rsid w:val="009C05D8"/>
    <w:rsid w:val="009C1690"/>
    <w:rsid w:val="009C172F"/>
    <w:rsid w:val="009C2D59"/>
    <w:rsid w:val="009C44C9"/>
    <w:rsid w:val="009C667F"/>
    <w:rsid w:val="009C6881"/>
    <w:rsid w:val="009C7759"/>
    <w:rsid w:val="009C7EB2"/>
    <w:rsid w:val="009D043D"/>
    <w:rsid w:val="009D07C8"/>
    <w:rsid w:val="009D12C6"/>
    <w:rsid w:val="009D1AE3"/>
    <w:rsid w:val="009D5DBA"/>
    <w:rsid w:val="009D6919"/>
    <w:rsid w:val="009D6C71"/>
    <w:rsid w:val="009E0631"/>
    <w:rsid w:val="009E16D0"/>
    <w:rsid w:val="009E2051"/>
    <w:rsid w:val="009E379C"/>
    <w:rsid w:val="009E38FD"/>
    <w:rsid w:val="009E412C"/>
    <w:rsid w:val="009E4288"/>
    <w:rsid w:val="009E6A08"/>
    <w:rsid w:val="009F0B51"/>
    <w:rsid w:val="009F13D6"/>
    <w:rsid w:val="009F24CD"/>
    <w:rsid w:val="009F4C6B"/>
    <w:rsid w:val="009F78A8"/>
    <w:rsid w:val="00A00DB7"/>
    <w:rsid w:val="00A0178E"/>
    <w:rsid w:val="00A02AD6"/>
    <w:rsid w:val="00A0310A"/>
    <w:rsid w:val="00A07096"/>
    <w:rsid w:val="00A07318"/>
    <w:rsid w:val="00A11370"/>
    <w:rsid w:val="00A121E0"/>
    <w:rsid w:val="00A1236F"/>
    <w:rsid w:val="00A14542"/>
    <w:rsid w:val="00A21BC8"/>
    <w:rsid w:val="00A22213"/>
    <w:rsid w:val="00A224CE"/>
    <w:rsid w:val="00A22522"/>
    <w:rsid w:val="00A24AFD"/>
    <w:rsid w:val="00A24F5C"/>
    <w:rsid w:val="00A272ED"/>
    <w:rsid w:val="00A279B5"/>
    <w:rsid w:val="00A3253E"/>
    <w:rsid w:val="00A32ADC"/>
    <w:rsid w:val="00A32EA0"/>
    <w:rsid w:val="00A32F96"/>
    <w:rsid w:val="00A33ACC"/>
    <w:rsid w:val="00A37C95"/>
    <w:rsid w:val="00A40871"/>
    <w:rsid w:val="00A412AB"/>
    <w:rsid w:val="00A4193E"/>
    <w:rsid w:val="00A4276E"/>
    <w:rsid w:val="00A435A8"/>
    <w:rsid w:val="00A438EF"/>
    <w:rsid w:val="00A440E0"/>
    <w:rsid w:val="00A442EF"/>
    <w:rsid w:val="00A47778"/>
    <w:rsid w:val="00A515E5"/>
    <w:rsid w:val="00A51D1A"/>
    <w:rsid w:val="00A5418D"/>
    <w:rsid w:val="00A54320"/>
    <w:rsid w:val="00A5474E"/>
    <w:rsid w:val="00A54E6C"/>
    <w:rsid w:val="00A56D66"/>
    <w:rsid w:val="00A60FBF"/>
    <w:rsid w:val="00A613A7"/>
    <w:rsid w:val="00A6387B"/>
    <w:rsid w:val="00A64234"/>
    <w:rsid w:val="00A64B87"/>
    <w:rsid w:val="00A64FCF"/>
    <w:rsid w:val="00A65087"/>
    <w:rsid w:val="00A656F4"/>
    <w:rsid w:val="00A70ADF"/>
    <w:rsid w:val="00A71466"/>
    <w:rsid w:val="00A717E8"/>
    <w:rsid w:val="00A73EBB"/>
    <w:rsid w:val="00A74B5E"/>
    <w:rsid w:val="00A805F3"/>
    <w:rsid w:val="00A81BED"/>
    <w:rsid w:val="00A81EC4"/>
    <w:rsid w:val="00A824E8"/>
    <w:rsid w:val="00A83CA9"/>
    <w:rsid w:val="00A967FD"/>
    <w:rsid w:val="00AA15B9"/>
    <w:rsid w:val="00AA2DE5"/>
    <w:rsid w:val="00AA6B4B"/>
    <w:rsid w:val="00AB0652"/>
    <w:rsid w:val="00AB156C"/>
    <w:rsid w:val="00AB3DDB"/>
    <w:rsid w:val="00AB5516"/>
    <w:rsid w:val="00AB6814"/>
    <w:rsid w:val="00AB716E"/>
    <w:rsid w:val="00AC04BA"/>
    <w:rsid w:val="00AC0E39"/>
    <w:rsid w:val="00AC2D29"/>
    <w:rsid w:val="00AC4881"/>
    <w:rsid w:val="00AD2308"/>
    <w:rsid w:val="00AD3082"/>
    <w:rsid w:val="00AD32B4"/>
    <w:rsid w:val="00AD3B2E"/>
    <w:rsid w:val="00AD4AD0"/>
    <w:rsid w:val="00AD5436"/>
    <w:rsid w:val="00AD60CD"/>
    <w:rsid w:val="00AD6C8C"/>
    <w:rsid w:val="00AE0282"/>
    <w:rsid w:val="00AE091D"/>
    <w:rsid w:val="00AE1267"/>
    <w:rsid w:val="00AE32F2"/>
    <w:rsid w:val="00AE3B60"/>
    <w:rsid w:val="00AE4114"/>
    <w:rsid w:val="00AE53A1"/>
    <w:rsid w:val="00AE6656"/>
    <w:rsid w:val="00AF2484"/>
    <w:rsid w:val="00AF63E7"/>
    <w:rsid w:val="00AF6E17"/>
    <w:rsid w:val="00B0165D"/>
    <w:rsid w:val="00B018D5"/>
    <w:rsid w:val="00B01B60"/>
    <w:rsid w:val="00B031F3"/>
    <w:rsid w:val="00B038F8"/>
    <w:rsid w:val="00B03A2D"/>
    <w:rsid w:val="00B04230"/>
    <w:rsid w:val="00B042BD"/>
    <w:rsid w:val="00B052A4"/>
    <w:rsid w:val="00B1198C"/>
    <w:rsid w:val="00B125DE"/>
    <w:rsid w:val="00B1346A"/>
    <w:rsid w:val="00B13FDD"/>
    <w:rsid w:val="00B1699B"/>
    <w:rsid w:val="00B16D97"/>
    <w:rsid w:val="00B22422"/>
    <w:rsid w:val="00B22E47"/>
    <w:rsid w:val="00B22EB2"/>
    <w:rsid w:val="00B26A7D"/>
    <w:rsid w:val="00B27009"/>
    <w:rsid w:val="00B27442"/>
    <w:rsid w:val="00B308A3"/>
    <w:rsid w:val="00B31167"/>
    <w:rsid w:val="00B329D8"/>
    <w:rsid w:val="00B32BB9"/>
    <w:rsid w:val="00B33AE1"/>
    <w:rsid w:val="00B34CCE"/>
    <w:rsid w:val="00B3671B"/>
    <w:rsid w:val="00B36B5F"/>
    <w:rsid w:val="00B37C38"/>
    <w:rsid w:val="00B4288C"/>
    <w:rsid w:val="00B43262"/>
    <w:rsid w:val="00B44100"/>
    <w:rsid w:val="00B466E1"/>
    <w:rsid w:val="00B46CBA"/>
    <w:rsid w:val="00B46F94"/>
    <w:rsid w:val="00B549CD"/>
    <w:rsid w:val="00B54EF1"/>
    <w:rsid w:val="00B55AB1"/>
    <w:rsid w:val="00B560F4"/>
    <w:rsid w:val="00B56C12"/>
    <w:rsid w:val="00B56DFD"/>
    <w:rsid w:val="00B6003C"/>
    <w:rsid w:val="00B61F03"/>
    <w:rsid w:val="00B626E4"/>
    <w:rsid w:val="00B6570B"/>
    <w:rsid w:val="00B707CD"/>
    <w:rsid w:val="00B70864"/>
    <w:rsid w:val="00B72F4A"/>
    <w:rsid w:val="00B745BF"/>
    <w:rsid w:val="00B774E4"/>
    <w:rsid w:val="00B83C27"/>
    <w:rsid w:val="00B84BC3"/>
    <w:rsid w:val="00B84BDD"/>
    <w:rsid w:val="00B8673B"/>
    <w:rsid w:val="00B91730"/>
    <w:rsid w:val="00B92812"/>
    <w:rsid w:val="00B949D3"/>
    <w:rsid w:val="00B96C40"/>
    <w:rsid w:val="00BA213D"/>
    <w:rsid w:val="00BA2143"/>
    <w:rsid w:val="00BA2D55"/>
    <w:rsid w:val="00BA3587"/>
    <w:rsid w:val="00BA502B"/>
    <w:rsid w:val="00BA57EB"/>
    <w:rsid w:val="00BB3BFD"/>
    <w:rsid w:val="00BB45A1"/>
    <w:rsid w:val="00BB7686"/>
    <w:rsid w:val="00BC1BE9"/>
    <w:rsid w:val="00BC1DC1"/>
    <w:rsid w:val="00BC23F9"/>
    <w:rsid w:val="00BC3421"/>
    <w:rsid w:val="00BC732C"/>
    <w:rsid w:val="00BD4421"/>
    <w:rsid w:val="00BD5B70"/>
    <w:rsid w:val="00BD6F37"/>
    <w:rsid w:val="00BD70EA"/>
    <w:rsid w:val="00BD7242"/>
    <w:rsid w:val="00BE1C55"/>
    <w:rsid w:val="00BE2580"/>
    <w:rsid w:val="00BE266D"/>
    <w:rsid w:val="00BE3938"/>
    <w:rsid w:val="00BE4C11"/>
    <w:rsid w:val="00BE6805"/>
    <w:rsid w:val="00BE71C0"/>
    <w:rsid w:val="00BF196E"/>
    <w:rsid w:val="00BF5DEC"/>
    <w:rsid w:val="00BF610C"/>
    <w:rsid w:val="00BF7657"/>
    <w:rsid w:val="00C0060B"/>
    <w:rsid w:val="00C00EC5"/>
    <w:rsid w:val="00C01A6C"/>
    <w:rsid w:val="00C02340"/>
    <w:rsid w:val="00C02617"/>
    <w:rsid w:val="00C0277D"/>
    <w:rsid w:val="00C04161"/>
    <w:rsid w:val="00C053A1"/>
    <w:rsid w:val="00C12A52"/>
    <w:rsid w:val="00C13E94"/>
    <w:rsid w:val="00C142DA"/>
    <w:rsid w:val="00C16198"/>
    <w:rsid w:val="00C2083D"/>
    <w:rsid w:val="00C2199A"/>
    <w:rsid w:val="00C24A53"/>
    <w:rsid w:val="00C30BD3"/>
    <w:rsid w:val="00C32373"/>
    <w:rsid w:val="00C34A05"/>
    <w:rsid w:val="00C35CCE"/>
    <w:rsid w:val="00C4032F"/>
    <w:rsid w:val="00C44047"/>
    <w:rsid w:val="00C45155"/>
    <w:rsid w:val="00C45720"/>
    <w:rsid w:val="00C4703D"/>
    <w:rsid w:val="00C50C53"/>
    <w:rsid w:val="00C52A13"/>
    <w:rsid w:val="00C53E3A"/>
    <w:rsid w:val="00C5498F"/>
    <w:rsid w:val="00C55235"/>
    <w:rsid w:val="00C5578E"/>
    <w:rsid w:val="00C56ED6"/>
    <w:rsid w:val="00C603B4"/>
    <w:rsid w:val="00C605A1"/>
    <w:rsid w:val="00C6314A"/>
    <w:rsid w:val="00C64CD0"/>
    <w:rsid w:val="00C6684F"/>
    <w:rsid w:val="00C70E70"/>
    <w:rsid w:val="00C75F8D"/>
    <w:rsid w:val="00C76322"/>
    <w:rsid w:val="00C77380"/>
    <w:rsid w:val="00C8285C"/>
    <w:rsid w:val="00C83426"/>
    <w:rsid w:val="00C87E8A"/>
    <w:rsid w:val="00C931B0"/>
    <w:rsid w:val="00C933D0"/>
    <w:rsid w:val="00C9737A"/>
    <w:rsid w:val="00C97736"/>
    <w:rsid w:val="00CA345A"/>
    <w:rsid w:val="00CA5503"/>
    <w:rsid w:val="00CA58B3"/>
    <w:rsid w:val="00CA6047"/>
    <w:rsid w:val="00CB1E82"/>
    <w:rsid w:val="00CB4BA8"/>
    <w:rsid w:val="00CB52D7"/>
    <w:rsid w:val="00CB7D62"/>
    <w:rsid w:val="00CC2956"/>
    <w:rsid w:val="00CC5467"/>
    <w:rsid w:val="00CC6732"/>
    <w:rsid w:val="00CD0A69"/>
    <w:rsid w:val="00CD210F"/>
    <w:rsid w:val="00CD35D4"/>
    <w:rsid w:val="00CD5D0B"/>
    <w:rsid w:val="00CD5D12"/>
    <w:rsid w:val="00CD72E4"/>
    <w:rsid w:val="00CE2E72"/>
    <w:rsid w:val="00CE3C96"/>
    <w:rsid w:val="00CE51A8"/>
    <w:rsid w:val="00CF118B"/>
    <w:rsid w:val="00CF288F"/>
    <w:rsid w:val="00CF3343"/>
    <w:rsid w:val="00CF369B"/>
    <w:rsid w:val="00CF3E0C"/>
    <w:rsid w:val="00CF780D"/>
    <w:rsid w:val="00D00E28"/>
    <w:rsid w:val="00D0269E"/>
    <w:rsid w:val="00D02B00"/>
    <w:rsid w:val="00D04507"/>
    <w:rsid w:val="00D059D8"/>
    <w:rsid w:val="00D05D6C"/>
    <w:rsid w:val="00D06CE6"/>
    <w:rsid w:val="00D117AC"/>
    <w:rsid w:val="00D12671"/>
    <w:rsid w:val="00D149DD"/>
    <w:rsid w:val="00D15810"/>
    <w:rsid w:val="00D15EC4"/>
    <w:rsid w:val="00D16D4E"/>
    <w:rsid w:val="00D16FE3"/>
    <w:rsid w:val="00D17825"/>
    <w:rsid w:val="00D22DDB"/>
    <w:rsid w:val="00D241A4"/>
    <w:rsid w:val="00D25DA1"/>
    <w:rsid w:val="00D27290"/>
    <w:rsid w:val="00D27F41"/>
    <w:rsid w:val="00D32844"/>
    <w:rsid w:val="00D336BF"/>
    <w:rsid w:val="00D338A3"/>
    <w:rsid w:val="00D3547A"/>
    <w:rsid w:val="00D36441"/>
    <w:rsid w:val="00D370DA"/>
    <w:rsid w:val="00D4064E"/>
    <w:rsid w:val="00D40B21"/>
    <w:rsid w:val="00D4417E"/>
    <w:rsid w:val="00D4430D"/>
    <w:rsid w:val="00D44E9B"/>
    <w:rsid w:val="00D457A5"/>
    <w:rsid w:val="00D45FD2"/>
    <w:rsid w:val="00D4610C"/>
    <w:rsid w:val="00D46F45"/>
    <w:rsid w:val="00D47AEB"/>
    <w:rsid w:val="00D50DB1"/>
    <w:rsid w:val="00D50DB9"/>
    <w:rsid w:val="00D50FC4"/>
    <w:rsid w:val="00D51302"/>
    <w:rsid w:val="00D514D5"/>
    <w:rsid w:val="00D51560"/>
    <w:rsid w:val="00D515C6"/>
    <w:rsid w:val="00D52C43"/>
    <w:rsid w:val="00D543B2"/>
    <w:rsid w:val="00D5572A"/>
    <w:rsid w:val="00D55BE5"/>
    <w:rsid w:val="00D5765B"/>
    <w:rsid w:val="00D6370A"/>
    <w:rsid w:val="00D6507F"/>
    <w:rsid w:val="00D65709"/>
    <w:rsid w:val="00D70393"/>
    <w:rsid w:val="00D722A1"/>
    <w:rsid w:val="00D730BC"/>
    <w:rsid w:val="00D73912"/>
    <w:rsid w:val="00D73FCE"/>
    <w:rsid w:val="00D76B39"/>
    <w:rsid w:val="00D85226"/>
    <w:rsid w:val="00D862C9"/>
    <w:rsid w:val="00D878E3"/>
    <w:rsid w:val="00D87B94"/>
    <w:rsid w:val="00D9092B"/>
    <w:rsid w:val="00D92D49"/>
    <w:rsid w:val="00D92EC1"/>
    <w:rsid w:val="00D96DEA"/>
    <w:rsid w:val="00D976B0"/>
    <w:rsid w:val="00DA4E41"/>
    <w:rsid w:val="00DA5C3D"/>
    <w:rsid w:val="00DB117A"/>
    <w:rsid w:val="00DB16BB"/>
    <w:rsid w:val="00DB2AA5"/>
    <w:rsid w:val="00DB5173"/>
    <w:rsid w:val="00DB58F8"/>
    <w:rsid w:val="00DB7873"/>
    <w:rsid w:val="00DC0E3D"/>
    <w:rsid w:val="00DC1219"/>
    <w:rsid w:val="00DC187B"/>
    <w:rsid w:val="00DC1A90"/>
    <w:rsid w:val="00DC63C7"/>
    <w:rsid w:val="00DC71AF"/>
    <w:rsid w:val="00DC7DD1"/>
    <w:rsid w:val="00DC7DEF"/>
    <w:rsid w:val="00DD1A43"/>
    <w:rsid w:val="00DD229C"/>
    <w:rsid w:val="00DD2763"/>
    <w:rsid w:val="00DD306C"/>
    <w:rsid w:val="00DD3713"/>
    <w:rsid w:val="00DD6C19"/>
    <w:rsid w:val="00DD73C2"/>
    <w:rsid w:val="00DE319B"/>
    <w:rsid w:val="00DE411B"/>
    <w:rsid w:val="00DF0654"/>
    <w:rsid w:val="00DF34FE"/>
    <w:rsid w:val="00DF3891"/>
    <w:rsid w:val="00DF4415"/>
    <w:rsid w:val="00DF51DD"/>
    <w:rsid w:val="00DF56AA"/>
    <w:rsid w:val="00DF56AF"/>
    <w:rsid w:val="00DF5E10"/>
    <w:rsid w:val="00DF6F85"/>
    <w:rsid w:val="00DF78E7"/>
    <w:rsid w:val="00E0317C"/>
    <w:rsid w:val="00E036AE"/>
    <w:rsid w:val="00E03CC4"/>
    <w:rsid w:val="00E10E2C"/>
    <w:rsid w:val="00E110E0"/>
    <w:rsid w:val="00E11415"/>
    <w:rsid w:val="00E13CF7"/>
    <w:rsid w:val="00E15371"/>
    <w:rsid w:val="00E21A1F"/>
    <w:rsid w:val="00E21DCD"/>
    <w:rsid w:val="00E23108"/>
    <w:rsid w:val="00E23372"/>
    <w:rsid w:val="00E24104"/>
    <w:rsid w:val="00E27542"/>
    <w:rsid w:val="00E27F46"/>
    <w:rsid w:val="00E302D0"/>
    <w:rsid w:val="00E302EB"/>
    <w:rsid w:val="00E32776"/>
    <w:rsid w:val="00E32A32"/>
    <w:rsid w:val="00E35707"/>
    <w:rsid w:val="00E36586"/>
    <w:rsid w:val="00E36AA1"/>
    <w:rsid w:val="00E37453"/>
    <w:rsid w:val="00E40121"/>
    <w:rsid w:val="00E40E06"/>
    <w:rsid w:val="00E41ECB"/>
    <w:rsid w:val="00E42440"/>
    <w:rsid w:val="00E42676"/>
    <w:rsid w:val="00E510F0"/>
    <w:rsid w:val="00E53E1B"/>
    <w:rsid w:val="00E54FDB"/>
    <w:rsid w:val="00E5617D"/>
    <w:rsid w:val="00E563D7"/>
    <w:rsid w:val="00E56A13"/>
    <w:rsid w:val="00E611AB"/>
    <w:rsid w:val="00E6177D"/>
    <w:rsid w:val="00E62BFA"/>
    <w:rsid w:val="00E6544D"/>
    <w:rsid w:val="00E663F4"/>
    <w:rsid w:val="00E666F2"/>
    <w:rsid w:val="00E66DD4"/>
    <w:rsid w:val="00E7388A"/>
    <w:rsid w:val="00E748CC"/>
    <w:rsid w:val="00E75415"/>
    <w:rsid w:val="00E754B6"/>
    <w:rsid w:val="00E75690"/>
    <w:rsid w:val="00E77067"/>
    <w:rsid w:val="00E775B1"/>
    <w:rsid w:val="00E8152A"/>
    <w:rsid w:val="00E82001"/>
    <w:rsid w:val="00E8532E"/>
    <w:rsid w:val="00E8543E"/>
    <w:rsid w:val="00E9066D"/>
    <w:rsid w:val="00E93629"/>
    <w:rsid w:val="00E93B5C"/>
    <w:rsid w:val="00E9413F"/>
    <w:rsid w:val="00E94CEC"/>
    <w:rsid w:val="00E94DAF"/>
    <w:rsid w:val="00EA04EF"/>
    <w:rsid w:val="00EA249A"/>
    <w:rsid w:val="00EA2797"/>
    <w:rsid w:val="00EA2DE4"/>
    <w:rsid w:val="00EA303E"/>
    <w:rsid w:val="00EA3261"/>
    <w:rsid w:val="00EA3AC4"/>
    <w:rsid w:val="00EA3B49"/>
    <w:rsid w:val="00EA41B8"/>
    <w:rsid w:val="00EA53FC"/>
    <w:rsid w:val="00EA65B7"/>
    <w:rsid w:val="00EA6F19"/>
    <w:rsid w:val="00EB2883"/>
    <w:rsid w:val="00EB3EE1"/>
    <w:rsid w:val="00EB6913"/>
    <w:rsid w:val="00EB7090"/>
    <w:rsid w:val="00EC1A7C"/>
    <w:rsid w:val="00EC1BBE"/>
    <w:rsid w:val="00EC2B68"/>
    <w:rsid w:val="00EC2BC2"/>
    <w:rsid w:val="00EC382F"/>
    <w:rsid w:val="00EC3AEF"/>
    <w:rsid w:val="00EC3EBF"/>
    <w:rsid w:val="00EC5CD7"/>
    <w:rsid w:val="00EC6ED7"/>
    <w:rsid w:val="00EC7C1A"/>
    <w:rsid w:val="00ED1483"/>
    <w:rsid w:val="00ED261C"/>
    <w:rsid w:val="00ED7130"/>
    <w:rsid w:val="00EE2640"/>
    <w:rsid w:val="00EE3A13"/>
    <w:rsid w:val="00EE3FFC"/>
    <w:rsid w:val="00EE508F"/>
    <w:rsid w:val="00EE5FB3"/>
    <w:rsid w:val="00EE68E6"/>
    <w:rsid w:val="00EE7730"/>
    <w:rsid w:val="00EE7836"/>
    <w:rsid w:val="00EE7C4B"/>
    <w:rsid w:val="00EE7F79"/>
    <w:rsid w:val="00EF0244"/>
    <w:rsid w:val="00EF6351"/>
    <w:rsid w:val="00EF708F"/>
    <w:rsid w:val="00EF715A"/>
    <w:rsid w:val="00F01BC3"/>
    <w:rsid w:val="00F0421C"/>
    <w:rsid w:val="00F0450A"/>
    <w:rsid w:val="00F054ED"/>
    <w:rsid w:val="00F05E92"/>
    <w:rsid w:val="00F0601B"/>
    <w:rsid w:val="00F06E14"/>
    <w:rsid w:val="00F118FE"/>
    <w:rsid w:val="00F1211E"/>
    <w:rsid w:val="00F130B5"/>
    <w:rsid w:val="00F1485D"/>
    <w:rsid w:val="00F155C0"/>
    <w:rsid w:val="00F159A0"/>
    <w:rsid w:val="00F16DFA"/>
    <w:rsid w:val="00F16E33"/>
    <w:rsid w:val="00F16F86"/>
    <w:rsid w:val="00F179D4"/>
    <w:rsid w:val="00F21C75"/>
    <w:rsid w:val="00F22003"/>
    <w:rsid w:val="00F23B2D"/>
    <w:rsid w:val="00F2568D"/>
    <w:rsid w:val="00F25B4E"/>
    <w:rsid w:val="00F33C56"/>
    <w:rsid w:val="00F347C7"/>
    <w:rsid w:val="00F34848"/>
    <w:rsid w:val="00F367CB"/>
    <w:rsid w:val="00F4094D"/>
    <w:rsid w:val="00F42D46"/>
    <w:rsid w:val="00F4496C"/>
    <w:rsid w:val="00F44F3A"/>
    <w:rsid w:val="00F45DD5"/>
    <w:rsid w:val="00F46551"/>
    <w:rsid w:val="00F47300"/>
    <w:rsid w:val="00F51B23"/>
    <w:rsid w:val="00F51F10"/>
    <w:rsid w:val="00F529A5"/>
    <w:rsid w:val="00F54139"/>
    <w:rsid w:val="00F54838"/>
    <w:rsid w:val="00F54E71"/>
    <w:rsid w:val="00F558DC"/>
    <w:rsid w:val="00F60F00"/>
    <w:rsid w:val="00F614C0"/>
    <w:rsid w:val="00F61C77"/>
    <w:rsid w:val="00F63392"/>
    <w:rsid w:val="00F72F31"/>
    <w:rsid w:val="00F75783"/>
    <w:rsid w:val="00F777B0"/>
    <w:rsid w:val="00F8080A"/>
    <w:rsid w:val="00F83216"/>
    <w:rsid w:val="00F83310"/>
    <w:rsid w:val="00F837AC"/>
    <w:rsid w:val="00F83848"/>
    <w:rsid w:val="00F85237"/>
    <w:rsid w:val="00F85772"/>
    <w:rsid w:val="00F86559"/>
    <w:rsid w:val="00F92A1D"/>
    <w:rsid w:val="00F93215"/>
    <w:rsid w:val="00F95CDE"/>
    <w:rsid w:val="00F975E9"/>
    <w:rsid w:val="00FA1B7D"/>
    <w:rsid w:val="00FA3D51"/>
    <w:rsid w:val="00FA557B"/>
    <w:rsid w:val="00FA7608"/>
    <w:rsid w:val="00FB0600"/>
    <w:rsid w:val="00FB318D"/>
    <w:rsid w:val="00FB3376"/>
    <w:rsid w:val="00FC07B9"/>
    <w:rsid w:val="00FC1453"/>
    <w:rsid w:val="00FC4E21"/>
    <w:rsid w:val="00FC5F6D"/>
    <w:rsid w:val="00FC6124"/>
    <w:rsid w:val="00FC7169"/>
    <w:rsid w:val="00FD0107"/>
    <w:rsid w:val="00FD0874"/>
    <w:rsid w:val="00FD2C2F"/>
    <w:rsid w:val="00FD3B31"/>
    <w:rsid w:val="00FD420E"/>
    <w:rsid w:val="00FD4624"/>
    <w:rsid w:val="00FE1823"/>
    <w:rsid w:val="00FE487A"/>
    <w:rsid w:val="00FF0569"/>
    <w:rsid w:val="00FF206E"/>
    <w:rsid w:val="00FF2FC5"/>
    <w:rsid w:val="00FF338F"/>
    <w:rsid w:val="00FF3A5A"/>
    <w:rsid w:val="00FF3C69"/>
    <w:rsid w:val="00FF413F"/>
    <w:rsid w:val="00FF4AD4"/>
    <w:rsid w:val="00FF5CE4"/>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colormru v:ext="edit" colors="red,#4d4d4f"/>
    </o:shapedefaults>
    <o:shapelayout v:ext="edit">
      <o:idmap v:ext="edit" data="1"/>
    </o:shapelayout>
  </w:shapeDefaults>
  <w:decimalSymbol w:val="."/>
  <w:listSeparator w:val=","/>
  <w14:docId w14:val="2CFC81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uiPriority="2"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semiHidden/>
    <w:qFormat/>
    <w:rsid w:val="007C6E44"/>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CF780D"/>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CF780D"/>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link w:val="FootnoteTextChar"/>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6C1631"/>
    <w:rPr>
      <w:rFonts w:ascii="Arial" w:hAnsi="Arial" w:cs="Arial"/>
      <w:bCs/>
      <w:color w:val="323232"/>
      <w:kern w:val="32"/>
      <w:sz w:val="53"/>
      <w:szCs w:val="32"/>
    </w:rPr>
  </w:style>
  <w:style w:type="character" w:customStyle="1" w:styleId="Heading2Char">
    <w:name w:val="Heading 2 Char"/>
    <w:basedOn w:val="DefaultParagraphFont"/>
    <w:link w:val="Heading2"/>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uiPriority w:val="3"/>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8257B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8257B1"/>
    <w:rPr>
      <w:rFonts w:ascii="Segoe UI" w:hAnsi="Segoe UI" w:cs="Segoe UI"/>
      <w:sz w:val="18"/>
      <w:szCs w:val="18"/>
    </w:rPr>
  </w:style>
  <w:style w:type="paragraph" w:styleId="ListParagraph">
    <w:name w:val="List Paragraph"/>
    <w:basedOn w:val="Normal"/>
    <w:uiPriority w:val="34"/>
    <w:qFormat/>
    <w:rsid w:val="008257B1"/>
    <w:pPr>
      <w:spacing w:after="0" w:line="240" w:lineRule="auto"/>
      <w:ind w:left="720"/>
    </w:pPr>
    <w:rPr>
      <w:rFonts w:ascii="Calibri" w:eastAsiaTheme="minorHAnsi" w:hAnsi="Calibri" w:cs="Calibri"/>
      <w:sz w:val="22"/>
      <w:szCs w:val="22"/>
      <w:lang w:eastAsia="en-US"/>
    </w:rPr>
  </w:style>
  <w:style w:type="paragraph" w:customStyle="1" w:styleId="ACMABodyText">
    <w:name w:val="ACMA Body Text"/>
    <w:rsid w:val="008257B1"/>
    <w:pPr>
      <w:suppressAutoHyphens/>
      <w:spacing w:before="80" w:after="120" w:line="260" w:lineRule="atLeast"/>
    </w:pPr>
    <w:rPr>
      <w:rFonts w:ascii="Arial" w:hAnsi="Arial"/>
      <w:snapToGrid w:val="0"/>
      <w:sz w:val="22"/>
      <w:szCs w:val="20"/>
      <w:lang w:eastAsia="en-US"/>
    </w:rPr>
  </w:style>
  <w:style w:type="paragraph" w:customStyle="1" w:styleId="ACMAReportTitle">
    <w:name w:val="ACMA_ReportTitle"/>
    <w:basedOn w:val="Normal"/>
    <w:qFormat/>
    <w:rsid w:val="008257B1"/>
    <w:pPr>
      <w:spacing w:after="0" w:line="560" w:lineRule="exact"/>
    </w:pPr>
    <w:rPr>
      <w:b/>
      <w:spacing w:val="-28"/>
      <w:sz w:val="53"/>
    </w:rPr>
  </w:style>
  <w:style w:type="character" w:customStyle="1" w:styleId="FootnoteTextChar">
    <w:name w:val="Footnote Text Char"/>
    <w:aliases w:val="Footnote text Char"/>
    <w:basedOn w:val="DefaultParagraphFont"/>
    <w:link w:val="FootnoteText"/>
    <w:rsid w:val="00523153"/>
    <w:rPr>
      <w:rFonts w:ascii="Arial" w:hAnsi="Arial"/>
      <w:sz w:val="16"/>
      <w:szCs w:val="16"/>
    </w:rPr>
  </w:style>
  <w:style w:type="paragraph" w:customStyle="1" w:styleId="Default">
    <w:name w:val="Default"/>
    <w:rsid w:val="00506FFA"/>
    <w:pPr>
      <w:autoSpaceDE w:val="0"/>
      <w:autoSpaceDN w:val="0"/>
      <w:adjustRightInd w:val="0"/>
    </w:pPr>
    <w:rPr>
      <w:rFonts w:ascii="Calibri" w:eastAsiaTheme="minorHAnsi" w:hAnsi="Calibri" w:cs="Calibri"/>
      <w:color w:val="000000"/>
      <w:lang w:eastAsia="en-US"/>
    </w:rPr>
  </w:style>
  <w:style w:type="paragraph" w:styleId="Revision">
    <w:name w:val="Revision"/>
    <w:hidden/>
    <w:semiHidden/>
    <w:rsid w:val="000E7DCE"/>
    <w:rPr>
      <w:rFonts w:ascii="Arial" w:hAnsi="Arial"/>
      <w:sz w:val="20"/>
    </w:rPr>
  </w:style>
  <w:style w:type="paragraph" w:customStyle="1" w:styleId="listbulletlast0">
    <w:name w:val="listbulletlast"/>
    <w:basedOn w:val="Normal"/>
    <w:rsid w:val="00D457A5"/>
    <w:pPr>
      <w:ind w:left="295" w:hanging="295"/>
    </w:pPr>
    <w:rPr>
      <w:rFonts w:eastAsiaTheme="minorHAnsi" w:cs="Arial"/>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0220465">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007562800">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legislation.gov.au/Details/F2017L01069" TargetMode="Externa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legislation.gov.au/Details/F2016C00284" TargetMode="External"/><Relationship Id="rId33"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s://www.acma.gov.au/sites/default/files/2019-08/australian-spectrum-map-grid-2012%20pdf.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legislation.gov.au/Details/F2014L01790" TargetMode="External"/><Relationship Id="rId32"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acma.gov.au/publications/2019-10/publication/principles-spectrum-management-2009" TargetMode="Externa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eader" Target="header8.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acma.gov.au/consultations/2019-08/proposed-area-wide-apparatus-licence-consultation-192019" TargetMode="External"/><Relationship Id="rId30" Type="http://schemas.openxmlformats.org/officeDocument/2006/relationships/header" Target="header7.xml"/><Relationship Id="rId35"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acma.gov.au/five-year-spectrum-outloo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BA4F6D-D069-4F5A-97D7-D3C64B6ABC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3423</Words>
  <Characters>19514</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22892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2020-02-13T02:39:00Z</dcterms:created>
  <dcterms:modified xsi:type="dcterms:W3CDTF">2020-02-13T02:40:00Z</dcterms:modified>
  <cp:category/>
</cp:coreProperties>
</file>