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E55B603" w14:textId="205699BD" w:rsidR="00F06E14" w:rsidRPr="00A51D1A" w:rsidRDefault="001A47EA" w:rsidP="00A51D1A">
      <w:pPr>
        <w:pStyle w:val="Reporttitle"/>
      </w:pPr>
      <w:bookmarkStart w:id="0" w:name="_GoBack"/>
      <w:bookmarkEnd w:id="0"/>
      <w:r>
        <w:t xml:space="preserve">Amendment to </w:t>
      </w:r>
      <w:r w:rsidR="004F6E9B">
        <w:t>electromagnetic energy (</w:t>
      </w:r>
      <w:r>
        <w:t>EME</w:t>
      </w:r>
      <w:r w:rsidR="004F6E9B">
        <w:t>)</w:t>
      </w:r>
      <w:r>
        <w:t xml:space="preserve"> arrangements </w:t>
      </w:r>
    </w:p>
    <w:p w14:paraId="3D001288" w14:textId="1FE1E2CB" w:rsidR="00D73236" w:rsidRPr="000564E0" w:rsidRDefault="001A47EA" w:rsidP="00F06E14">
      <w:pPr>
        <w:pStyle w:val="Reportsubtitle"/>
        <w:rPr>
          <w:i/>
          <w:iCs/>
        </w:rPr>
      </w:pPr>
      <w:r>
        <w:t>Proposal to make the</w:t>
      </w:r>
      <w:r w:rsidR="00D73236">
        <w:t xml:space="preserve"> </w:t>
      </w:r>
      <w:r w:rsidR="00D73236" w:rsidRPr="00D72207">
        <w:rPr>
          <w:iCs/>
        </w:rPr>
        <w:t>Radiocommunications (Electromagnetic Radiation – Human Exposure) Amendment Standard 2020 (No. 1)</w:t>
      </w:r>
    </w:p>
    <w:p w14:paraId="57C0E31E" w14:textId="1044484E" w:rsidR="00C97736" w:rsidRPr="000D76E0" w:rsidRDefault="00EC6A5F" w:rsidP="00EC2B68">
      <w:pPr>
        <w:pStyle w:val="Reportdate"/>
        <w:spacing w:after="720"/>
        <w:rPr>
          <w:rFonts w:cs="Arial"/>
        </w:rPr>
        <w:sectPr w:rsidR="00C97736" w:rsidRPr="000D76E0" w:rsidSect="0021426C">
          <w:headerReference w:type="default" r:id="rId11"/>
          <w:footerReference w:type="default" r:id="rId12"/>
          <w:headerReference w:type="first" r:id="rId13"/>
          <w:pgSz w:w="11906" w:h="16838" w:code="9"/>
          <w:pgMar w:top="3924" w:right="992" w:bottom="1440" w:left="1134" w:header="709" w:footer="454" w:gutter="0"/>
          <w:cols w:space="708"/>
          <w:docGrid w:linePitch="360"/>
        </w:sectPr>
      </w:pPr>
      <w:r>
        <w:t>JANUARY</w:t>
      </w:r>
      <w:r w:rsidR="00BD4421">
        <w:t xml:space="preserve"> 20</w:t>
      </w:r>
      <w:r w:rsidR="008E0428">
        <w:t>20</w:t>
      </w:r>
    </w:p>
    <w:p w14:paraId="1DD5EB04" w14:textId="77777777" w:rsidR="0005011A" w:rsidRPr="00F44F3A" w:rsidRDefault="0005011A" w:rsidP="00FC07B9">
      <w:pPr>
        <w:pStyle w:val="ACMACorporateAddressHeader"/>
      </w:pPr>
      <w:r w:rsidRPr="00F44F3A">
        <w:lastRenderedPageBreak/>
        <w:t>Canberra</w:t>
      </w:r>
    </w:p>
    <w:p w14:paraId="32A5A842"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1834C179" w14:textId="77777777" w:rsidR="0005011A" w:rsidRPr="00FC07B9" w:rsidRDefault="0005011A" w:rsidP="00FC07B9">
      <w:pPr>
        <w:pStyle w:val="ACMACorporateAddresses"/>
      </w:pPr>
      <w:r w:rsidRPr="00FC07B9">
        <w:t>PO Box 78</w:t>
      </w:r>
      <w:r w:rsidRPr="00FC07B9">
        <w:br/>
        <w:t>Belconnen ACT 2616</w:t>
      </w:r>
    </w:p>
    <w:p w14:paraId="3AEEFC19"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7D4A2D4F" w14:textId="77777777" w:rsidR="0005011A" w:rsidRPr="00F44F3A" w:rsidRDefault="0005011A" w:rsidP="00FC07B9">
      <w:pPr>
        <w:pStyle w:val="ACMACorporateAddressHeader"/>
      </w:pPr>
      <w:r w:rsidRPr="00F44F3A">
        <w:t>Melbourne</w:t>
      </w:r>
    </w:p>
    <w:p w14:paraId="21B934ED"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59301A13"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25652AAA"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3522747B" w14:textId="77777777" w:rsidR="0005011A" w:rsidRPr="00F44F3A" w:rsidRDefault="0005011A" w:rsidP="00FC07B9">
      <w:pPr>
        <w:pStyle w:val="ACMACorporateAddressHeader"/>
      </w:pPr>
      <w:r w:rsidRPr="00F44F3A">
        <w:t>Sydney</w:t>
      </w:r>
    </w:p>
    <w:p w14:paraId="05DB596B"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4B022354"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2C1235F8"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51AD2683" w14:textId="77777777" w:rsidR="00140318" w:rsidRPr="006D46E5" w:rsidRDefault="00140318" w:rsidP="00FC07B9">
      <w:pPr>
        <w:pStyle w:val="ACMACopyrightHeader"/>
      </w:pPr>
      <w:r w:rsidRPr="00140318">
        <w:t>Copyright notice</w:t>
      </w:r>
    </w:p>
    <w:p w14:paraId="7AAB4B00" w14:textId="77777777" w:rsidR="00140318" w:rsidRPr="006D46E5" w:rsidRDefault="00623FF9" w:rsidP="00623FF9">
      <w:pPr>
        <w:pStyle w:val="ACMACClogo"/>
      </w:pPr>
      <w:r w:rsidRPr="00623FF9">
        <w:rPr>
          <w:noProof/>
        </w:rPr>
        <w:drawing>
          <wp:inline distT="0" distB="0" distL="0" distR="0" wp14:anchorId="6232E914" wp14:editId="562483CC">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18692FEB" w14:textId="77777777" w:rsidR="00AA2DE5" w:rsidRDefault="00DB4C1B" w:rsidP="00AA2DE5">
      <w:pPr>
        <w:pStyle w:val="ACMACorporateAddresses"/>
        <w:rPr>
          <w:rStyle w:val="Hyperlink"/>
        </w:rPr>
      </w:pPr>
      <w:hyperlink r:id="rId16" w:history="1">
        <w:r w:rsidR="00AA2DE5">
          <w:rPr>
            <w:rStyle w:val="Hyperlink"/>
          </w:rPr>
          <w:t>https://creativecommons.org/licenses/by/4.0/</w:t>
        </w:r>
      </w:hyperlink>
    </w:p>
    <w:p w14:paraId="16601A06"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FD30EE0"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5EEE9824" w14:textId="77777777" w:rsidR="00AA2DE5" w:rsidRDefault="00AA2DE5" w:rsidP="00AA2DE5">
      <w:pPr>
        <w:pStyle w:val="ACMACorporateAddresses"/>
      </w:pPr>
      <w:r>
        <w:t>All other rights are reserved.</w:t>
      </w:r>
    </w:p>
    <w:p w14:paraId="024F8528"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FB40E79" w14:textId="77777777" w:rsidR="00AA2DE5" w:rsidRDefault="00AA2DE5" w:rsidP="00AA2DE5">
      <w:pPr>
        <w:pStyle w:val="ACMACorporateAddresses"/>
      </w:pPr>
      <w:r>
        <w:t>Written enquiries may be sent to:</w:t>
      </w:r>
    </w:p>
    <w:p w14:paraId="799C019C"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7" w:history="1">
        <w:r>
          <w:rPr>
            <w:rStyle w:val="Hyperlink"/>
          </w:rPr>
          <w:t>info@acma.gov.au</w:t>
        </w:r>
      </w:hyperlink>
    </w:p>
    <w:p w14:paraId="70F6C3B7" w14:textId="77777777" w:rsidR="00D16FE3" w:rsidRDefault="00D16FE3" w:rsidP="00D16FE3">
      <w:pPr>
        <w:pStyle w:val="ACMACorporateAddresses"/>
        <w:rPr>
          <w:rStyle w:val="Hyperlink"/>
        </w:rPr>
      </w:pPr>
    </w:p>
    <w:p w14:paraId="45BF4209"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54C26EF4" w14:textId="7CA44523" w:rsidR="00607EF2" w:rsidRDefault="00607EF2">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"1-2" \h \z \t "Exec summary heading,1" </w:instrText>
      </w:r>
      <w:r>
        <w:rPr>
          <w:rFonts w:cs="Arial"/>
        </w:rPr>
        <w:fldChar w:fldCharType="separate"/>
      </w:r>
      <w:hyperlink w:anchor="_Toc31112967" w:history="1">
        <w:r w:rsidRPr="006641F1">
          <w:rPr>
            <w:rStyle w:val="Hyperlink"/>
          </w:rPr>
          <w:t>Executive summary</w:t>
        </w:r>
        <w:r>
          <w:rPr>
            <w:webHidden/>
          </w:rPr>
          <w:tab/>
        </w:r>
        <w:r>
          <w:rPr>
            <w:webHidden/>
          </w:rPr>
          <w:fldChar w:fldCharType="begin"/>
        </w:r>
        <w:r>
          <w:rPr>
            <w:webHidden/>
          </w:rPr>
          <w:instrText xml:space="preserve"> PAGEREF _Toc31112967 \h </w:instrText>
        </w:r>
        <w:r>
          <w:rPr>
            <w:webHidden/>
          </w:rPr>
        </w:r>
        <w:r>
          <w:rPr>
            <w:webHidden/>
          </w:rPr>
          <w:fldChar w:fldCharType="separate"/>
        </w:r>
        <w:r>
          <w:rPr>
            <w:webHidden/>
          </w:rPr>
          <w:t>1</w:t>
        </w:r>
        <w:r>
          <w:rPr>
            <w:webHidden/>
          </w:rPr>
          <w:fldChar w:fldCharType="end"/>
        </w:r>
      </w:hyperlink>
    </w:p>
    <w:p w14:paraId="42276653" w14:textId="6BA1342F" w:rsidR="00607EF2" w:rsidRDefault="00DB4C1B">
      <w:pPr>
        <w:pStyle w:val="TOC1"/>
        <w:rPr>
          <w:rFonts w:asciiTheme="minorHAnsi" w:eastAsiaTheme="minorEastAsia" w:hAnsiTheme="minorHAnsi" w:cstheme="minorBidi"/>
          <w:b w:val="0"/>
          <w:spacing w:val="0"/>
          <w:sz w:val="22"/>
          <w:szCs w:val="22"/>
        </w:rPr>
      </w:pPr>
      <w:hyperlink w:anchor="_Toc31112968" w:history="1">
        <w:r w:rsidR="00607EF2" w:rsidRPr="006641F1">
          <w:rPr>
            <w:rStyle w:val="Hyperlink"/>
          </w:rPr>
          <w:t>Issue for comment</w:t>
        </w:r>
        <w:r w:rsidR="00607EF2">
          <w:rPr>
            <w:webHidden/>
          </w:rPr>
          <w:tab/>
        </w:r>
        <w:r w:rsidR="00607EF2">
          <w:rPr>
            <w:webHidden/>
          </w:rPr>
          <w:fldChar w:fldCharType="begin"/>
        </w:r>
        <w:r w:rsidR="00607EF2">
          <w:rPr>
            <w:webHidden/>
          </w:rPr>
          <w:instrText xml:space="preserve"> PAGEREF _Toc31112968 \h </w:instrText>
        </w:r>
        <w:r w:rsidR="00607EF2">
          <w:rPr>
            <w:webHidden/>
          </w:rPr>
        </w:r>
        <w:r w:rsidR="00607EF2">
          <w:rPr>
            <w:webHidden/>
          </w:rPr>
          <w:fldChar w:fldCharType="separate"/>
        </w:r>
        <w:r w:rsidR="00607EF2">
          <w:rPr>
            <w:webHidden/>
          </w:rPr>
          <w:t>2</w:t>
        </w:r>
        <w:r w:rsidR="00607EF2">
          <w:rPr>
            <w:webHidden/>
          </w:rPr>
          <w:fldChar w:fldCharType="end"/>
        </w:r>
      </w:hyperlink>
    </w:p>
    <w:p w14:paraId="7C8D5644" w14:textId="43B12369" w:rsidR="00607EF2" w:rsidRDefault="00DB4C1B">
      <w:pPr>
        <w:pStyle w:val="TOC1"/>
        <w:rPr>
          <w:rFonts w:asciiTheme="minorHAnsi" w:eastAsiaTheme="minorEastAsia" w:hAnsiTheme="minorHAnsi" w:cstheme="minorBidi"/>
          <w:b w:val="0"/>
          <w:spacing w:val="0"/>
          <w:sz w:val="22"/>
          <w:szCs w:val="22"/>
        </w:rPr>
      </w:pPr>
      <w:hyperlink w:anchor="_Toc31112969" w:history="1">
        <w:r w:rsidR="00607EF2" w:rsidRPr="006641F1">
          <w:rPr>
            <w:rStyle w:val="Hyperlink"/>
          </w:rPr>
          <w:t>Background</w:t>
        </w:r>
        <w:r w:rsidR="00607EF2">
          <w:rPr>
            <w:webHidden/>
          </w:rPr>
          <w:tab/>
        </w:r>
        <w:r w:rsidR="00607EF2">
          <w:rPr>
            <w:webHidden/>
          </w:rPr>
          <w:fldChar w:fldCharType="begin"/>
        </w:r>
        <w:r w:rsidR="00607EF2">
          <w:rPr>
            <w:webHidden/>
          </w:rPr>
          <w:instrText xml:space="preserve"> PAGEREF _Toc31112969 \h </w:instrText>
        </w:r>
        <w:r w:rsidR="00607EF2">
          <w:rPr>
            <w:webHidden/>
          </w:rPr>
        </w:r>
        <w:r w:rsidR="00607EF2">
          <w:rPr>
            <w:webHidden/>
          </w:rPr>
          <w:fldChar w:fldCharType="separate"/>
        </w:r>
        <w:r w:rsidR="00607EF2">
          <w:rPr>
            <w:webHidden/>
          </w:rPr>
          <w:t>3</w:t>
        </w:r>
        <w:r w:rsidR="00607EF2">
          <w:rPr>
            <w:webHidden/>
          </w:rPr>
          <w:fldChar w:fldCharType="end"/>
        </w:r>
      </w:hyperlink>
    </w:p>
    <w:p w14:paraId="55335FEB" w14:textId="72EF6074" w:rsidR="00607EF2" w:rsidRDefault="00DB4C1B">
      <w:pPr>
        <w:pStyle w:val="TOC2"/>
        <w:rPr>
          <w:rFonts w:asciiTheme="minorHAnsi" w:eastAsiaTheme="minorEastAsia" w:hAnsiTheme="minorHAnsi" w:cstheme="minorBidi"/>
          <w:spacing w:val="0"/>
          <w:sz w:val="22"/>
          <w:szCs w:val="22"/>
        </w:rPr>
      </w:pPr>
      <w:hyperlink w:anchor="_Toc31112970" w:history="1">
        <w:r w:rsidR="00607EF2" w:rsidRPr="006641F1">
          <w:rPr>
            <w:rStyle w:val="Hyperlink"/>
          </w:rPr>
          <w:t>EME regulatory arrangements</w:t>
        </w:r>
        <w:r w:rsidR="00607EF2">
          <w:rPr>
            <w:webHidden/>
          </w:rPr>
          <w:tab/>
        </w:r>
        <w:r w:rsidR="00607EF2">
          <w:rPr>
            <w:webHidden/>
          </w:rPr>
          <w:fldChar w:fldCharType="begin"/>
        </w:r>
        <w:r w:rsidR="00607EF2">
          <w:rPr>
            <w:webHidden/>
          </w:rPr>
          <w:instrText xml:space="preserve"> PAGEREF _Toc31112970 \h </w:instrText>
        </w:r>
        <w:r w:rsidR="00607EF2">
          <w:rPr>
            <w:webHidden/>
          </w:rPr>
        </w:r>
        <w:r w:rsidR="00607EF2">
          <w:rPr>
            <w:webHidden/>
          </w:rPr>
          <w:fldChar w:fldCharType="separate"/>
        </w:r>
        <w:r w:rsidR="00607EF2">
          <w:rPr>
            <w:webHidden/>
          </w:rPr>
          <w:t>3</w:t>
        </w:r>
        <w:r w:rsidR="00607EF2">
          <w:rPr>
            <w:webHidden/>
          </w:rPr>
          <w:fldChar w:fldCharType="end"/>
        </w:r>
      </w:hyperlink>
    </w:p>
    <w:p w14:paraId="2EF3A5E5" w14:textId="2CE9D685" w:rsidR="00607EF2" w:rsidRDefault="00DB4C1B">
      <w:pPr>
        <w:pStyle w:val="TOC1"/>
        <w:rPr>
          <w:rFonts w:asciiTheme="minorHAnsi" w:eastAsiaTheme="minorEastAsia" w:hAnsiTheme="minorHAnsi" w:cstheme="minorBidi"/>
          <w:b w:val="0"/>
          <w:spacing w:val="0"/>
          <w:sz w:val="22"/>
          <w:szCs w:val="22"/>
        </w:rPr>
      </w:pPr>
      <w:hyperlink w:anchor="_Toc31112971" w:history="1">
        <w:r w:rsidR="00607EF2" w:rsidRPr="006641F1">
          <w:rPr>
            <w:rStyle w:val="Hyperlink"/>
          </w:rPr>
          <w:t>Amendment details</w:t>
        </w:r>
        <w:r w:rsidR="00607EF2">
          <w:rPr>
            <w:webHidden/>
          </w:rPr>
          <w:tab/>
        </w:r>
        <w:r w:rsidR="00607EF2">
          <w:rPr>
            <w:webHidden/>
          </w:rPr>
          <w:fldChar w:fldCharType="begin"/>
        </w:r>
        <w:r w:rsidR="00607EF2">
          <w:rPr>
            <w:webHidden/>
          </w:rPr>
          <w:instrText xml:space="preserve"> PAGEREF _Toc31112971 \h </w:instrText>
        </w:r>
        <w:r w:rsidR="00607EF2">
          <w:rPr>
            <w:webHidden/>
          </w:rPr>
        </w:r>
        <w:r w:rsidR="00607EF2">
          <w:rPr>
            <w:webHidden/>
          </w:rPr>
          <w:fldChar w:fldCharType="separate"/>
        </w:r>
        <w:r w:rsidR="00607EF2">
          <w:rPr>
            <w:webHidden/>
          </w:rPr>
          <w:t>4</w:t>
        </w:r>
        <w:r w:rsidR="00607EF2">
          <w:rPr>
            <w:webHidden/>
          </w:rPr>
          <w:fldChar w:fldCharType="end"/>
        </w:r>
      </w:hyperlink>
    </w:p>
    <w:p w14:paraId="54300EC4" w14:textId="4CC68AA8" w:rsidR="00607EF2" w:rsidRDefault="00DB4C1B">
      <w:pPr>
        <w:pStyle w:val="TOC2"/>
        <w:rPr>
          <w:rFonts w:asciiTheme="minorHAnsi" w:eastAsiaTheme="minorEastAsia" w:hAnsiTheme="minorHAnsi" w:cstheme="minorBidi"/>
          <w:spacing w:val="0"/>
          <w:sz w:val="22"/>
          <w:szCs w:val="22"/>
        </w:rPr>
      </w:pPr>
      <w:hyperlink w:anchor="_Toc31112972" w:history="1">
        <w:r w:rsidR="00607EF2" w:rsidRPr="006641F1">
          <w:rPr>
            <w:rStyle w:val="Hyperlink"/>
          </w:rPr>
          <w:t>ACMA Standard</w:t>
        </w:r>
        <w:r w:rsidR="00607EF2">
          <w:rPr>
            <w:webHidden/>
          </w:rPr>
          <w:tab/>
        </w:r>
        <w:r w:rsidR="00607EF2">
          <w:rPr>
            <w:webHidden/>
          </w:rPr>
          <w:fldChar w:fldCharType="begin"/>
        </w:r>
        <w:r w:rsidR="00607EF2">
          <w:rPr>
            <w:webHidden/>
          </w:rPr>
          <w:instrText xml:space="preserve"> PAGEREF _Toc31112972 \h </w:instrText>
        </w:r>
        <w:r w:rsidR="00607EF2">
          <w:rPr>
            <w:webHidden/>
          </w:rPr>
        </w:r>
        <w:r w:rsidR="00607EF2">
          <w:rPr>
            <w:webHidden/>
          </w:rPr>
          <w:fldChar w:fldCharType="separate"/>
        </w:r>
        <w:r w:rsidR="00607EF2">
          <w:rPr>
            <w:webHidden/>
          </w:rPr>
          <w:t>4</w:t>
        </w:r>
        <w:r w:rsidR="00607EF2">
          <w:rPr>
            <w:webHidden/>
          </w:rPr>
          <w:fldChar w:fldCharType="end"/>
        </w:r>
      </w:hyperlink>
    </w:p>
    <w:p w14:paraId="52B36778" w14:textId="5357829B" w:rsidR="00607EF2" w:rsidRDefault="00DB4C1B">
      <w:pPr>
        <w:pStyle w:val="TOC2"/>
        <w:rPr>
          <w:rFonts w:asciiTheme="minorHAnsi" w:eastAsiaTheme="minorEastAsia" w:hAnsiTheme="minorHAnsi" w:cstheme="minorBidi"/>
          <w:spacing w:val="0"/>
          <w:sz w:val="22"/>
          <w:szCs w:val="22"/>
        </w:rPr>
      </w:pPr>
      <w:hyperlink w:anchor="_Toc31112973" w:history="1">
        <w:r w:rsidR="00607EF2" w:rsidRPr="006641F1">
          <w:rPr>
            <w:rStyle w:val="Hyperlink"/>
          </w:rPr>
          <w:t>Consideration of options</w:t>
        </w:r>
        <w:r w:rsidR="00607EF2">
          <w:rPr>
            <w:webHidden/>
          </w:rPr>
          <w:tab/>
        </w:r>
        <w:r w:rsidR="00607EF2">
          <w:rPr>
            <w:webHidden/>
          </w:rPr>
          <w:fldChar w:fldCharType="begin"/>
        </w:r>
        <w:r w:rsidR="00607EF2">
          <w:rPr>
            <w:webHidden/>
          </w:rPr>
          <w:instrText xml:space="preserve"> PAGEREF _Toc31112973 \h </w:instrText>
        </w:r>
        <w:r w:rsidR="00607EF2">
          <w:rPr>
            <w:webHidden/>
          </w:rPr>
        </w:r>
        <w:r w:rsidR="00607EF2">
          <w:rPr>
            <w:webHidden/>
          </w:rPr>
          <w:fldChar w:fldCharType="separate"/>
        </w:r>
        <w:r w:rsidR="00607EF2">
          <w:rPr>
            <w:webHidden/>
          </w:rPr>
          <w:t>5</w:t>
        </w:r>
        <w:r w:rsidR="00607EF2">
          <w:rPr>
            <w:webHidden/>
          </w:rPr>
          <w:fldChar w:fldCharType="end"/>
        </w:r>
      </w:hyperlink>
    </w:p>
    <w:p w14:paraId="47954082" w14:textId="462552AA" w:rsidR="00607EF2" w:rsidRDefault="00DB4C1B">
      <w:pPr>
        <w:pStyle w:val="TOC2"/>
        <w:rPr>
          <w:rFonts w:asciiTheme="minorHAnsi" w:eastAsiaTheme="minorEastAsia" w:hAnsiTheme="minorHAnsi" w:cstheme="minorBidi"/>
          <w:spacing w:val="0"/>
          <w:sz w:val="22"/>
          <w:szCs w:val="22"/>
        </w:rPr>
      </w:pPr>
      <w:hyperlink w:anchor="_Toc31112974" w:history="1">
        <w:r w:rsidR="00607EF2" w:rsidRPr="006641F1">
          <w:rPr>
            <w:rStyle w:val="Hyperlink"/>
          </w:rPr>
          <w:t>Preferred option</w:t>
        </w:r>
        <w:r w:rsidR="00607EF2">
          <w:rPr>
            <w:webHidden/>
          </w:rPr>
          <w:tab/>
        </w:r>
        <w:r w:rsidR="00607EF2">
          <w:rPr>
            <w:webHidden/>
          </w:rPr>
          <w:fldChar w:fldCharType="begin"/>
        </w:r>
        <w:r w:rsidR="00607EF2">
          <w:rPr>
            <w:webHidden/>
          </w:rPr>
          <w:instrText xml:space="preserve"> PAGEREF _Toc31112974 \h </w:instrText>
        </w:r>
        <w:r w:rsidR="00607EF2">
          <w:rPr>
            <w:webHidden/>
          </w:rPr>
        </w:r>
        <w:r w:rsidR="00607EF2">
          <w:rPr>
            <w:webHidden/>
          </w:rPr>
          <w:fldChar w:fldCharType="separate"/>
        </w:r>
        <w:r w:rsidR="00607EF2">
          <w:rPr>
            <w:webHidden/>
          </w:rPr>
          <w:t>6</w:t>
        </w:r>
        <w:r w:rsidR="00607EF2">
          <w:rPr>
            <w:webHidden/>
          </w:rPr>
          <w:fldChar w:fldCharType="end"/>
        </w:r>
      </w:hyperlink>
    </w:p>
    <w:p w14:paraId="43D893DE" w14:textId="140065DB" w:rsidR="00607EF2" w:rsidRDefault="00DB4C1B">
      <w:pPr>
        <w:pStyle w:val="TOC1"/>
        <w:rPr>
          <w:rFonts w:asciiTheme="minorHAnsi" w:eastAsiaTheme="minorEastAsia" w:hAnsiTheme="minorHAnsi" w:cstheme="minorBidi"/>
          <w:b w:val="0"/>
          <w:spacing w:val="0"/>
          <w:sz w:val="22"/>
          <w:szCs w:val="22"/>
        </w:rPr>
      </w:pPr>
      <w:hyperlink w:anchor="_Toc31112975" w:history="1">
        <w:r w:rsidR="00607EF2" w:rsidRPr="006641F1">
          <w:rPr>
            <w:rStyle w:val="Hyperlink"/>
          </w:rPr>
          <w:t>Invitation to comment</w:t>
        </w:r>
        <w:r w:rsidR="00607EF2">
          <w:rPr>
            <w:webHidden/>
          </w:rPr>
          <w:tab/>
        </w:r>
        <w:r w:rsidR="00607EF2">
          <w:rPr>
            <w:webHidden/>
          </w:rPr>
          <w:fldChar w:fldCharType="begin"/>
        </w:r>
        <w:r w:rsidR="00607EF2">
          <w:rPr>
            <w:webHidden/>
          </w:rPr>
          <w:instrText xml:space="preserve"> PAGEREF _Toc31112975 \h </w:instrText>
        </w:r>
        <w:r w:rsidR="00607EF2">
          <w:rPr>
            <w:webHidden/>
          </w:rPr>
        </w:r>
        <w:r w:rsidR="00607EF2">
          <w:rPr>
            <w:webHidden/>
          </w:rPr>
          <w:fldChar w:fldCharType="separate"/>
        </w:r>
        <w:r w:rsidR="00607EF2">
          <w:rPr>
            <w:webHidden/>
          </w:rPr>
          <w:t>7</w:t>
        </w:r>
        <w:r w:rsidR="00607EF2">
          <w:rPr>
            <w:webHidden/>
          </w:rPr>
          <w:fldChar w:fldCharType="end"/>
        </w:r>
      </w:hyperlink>
    </w:p>
    <w:p w14:paraId="66AD80EA" w14:textId="57DC45C3" w:rsidR="00607EF2" w:rsidRDefault="00DB4C1B">
      <w:pPr>
        <w:pStyle w:val="TOC2"/>
        <w:rPr>
          <w:rFonts w:asciiTheme="minorHAnsi" w:eastAsiaTheme="minorEastAsia" w:hAnsiTheme="minorHAnsi" w:cstheme="minorBidi"/>
          <w:spacing w:val="0"/>
          <w:sz w:val="22"/>
          <w:szCs w:val="22"/>
        </w:rPr>
      </w:pPr>
      <w:hyperlink w:anchor="_Toc31112976" w:history="1">
        <w:r w:rsidR="00607EF2" w:rsidRPr="006641F1">
          <w:rPr>
            <w:rStyle w:val="Hyperlink"/>
          </w:rPr>
          <w:t>Making a submission</w:t>
        </w:r>
        <w:r w:rsidR="00607EF2">
          <w:rPr>
            <w:webHidden/>
          </w:rPr>
          <w:tab/>
        </w:r>
        <w:r w:rsidR="00607EF2">
          <w:rPr>
            <w:webHidden/>
          </w:rPr>
          <w:fldChar w:fldCharType="begin"/>
        </w:r>
        <w:r w:rsidR="00607EF2">
          <w:rPr>
            <w:webHidden/>
          </w:rPr>
          <w:instrText xml:space="preserve"> PAGEREF _Toc31112976 \h </w:instrText>
        </w:r>
        <w:r w:rsidR="00607EF2">
          <w:rPr>
            <w:webHidden/>
          </w:rPr>
        </w:r>
        <w:r w:rsidR="00607EF2">
          <w:rPr>
            <w:webHidden/>
          </w:rPr>
          <w:fldChar w:fldCharType="separate"/>
        </w:r>
        <w:r w:rsidR="00607EF2">
          <w:rPr>
            <w:webHidden/>
          </w:rPr>
          <w:t>7</w:t>
        </w:r>
        <w:r w:rsidR="00607EF2">
          <w:rPr>
            <w:webHidden/>
          </w:rPr>
          <w:fldChar w:fldCharType="end"/>
        </w:r>
      </w:hyperlink>
    </w:p>
    <w:p w14:paraId="24254722" w14:textId="671A7E9A" w:rsidR="004D56FF" w:rsidRPr="000D76E0" w:rsidRDefault="00607EF2">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r>
        <w:rPr>
          <w:rFonts w:cs="Arial"/>
          <w:noProof/>
          <w:spacing w:val="-14"/>
          <w:sz w:val="28"/>
        </w:rPr>
        <w:fldChar w:fldCharType="end"/>
      </w:r>
    </w:p>
    <w:p w14:paraId="4526A1D8" w14:textId="77777777" w:rsidR="009D6C71" w:rsidRPr="009174F3" w:rsidRDefault="009D6C71" w:rsidP="009174F3">
      <w:pPr>
        <w:pStyle w:val="Execsummaryheading"/>
      </w:pPr>
      <w:bookmarkStart w:id="1" w:name="_Toc16685778"/>
      <w:bookmarkStart w:id="2" w:name="_Toc31112967"/>
      <w:r w:rsidRPr="009174F3">
        <w:lastRenderedPageBreak/>
        <w:t>Executive summary</w:t>
      </w:r>
      <w:bookmarkEnd w:id="1"/>
      <w:bookmarkEnd w:id="2"/>
    </w:p>
    <w:p w14:paraId="761BAD2D" w14:textId="023F1621" w:rsidR="00E42676" w:rsidRPr="006F09F6" w:rsidRDefault="001A47EA" w:rsidP="00B36989">
      <w:pPr>
        <w:pStyle w:val="Paragraph"/>
      </w:pPr>
      <w:r>
        <w:t xml:space="preserve">The Australian Communications and Media Authority (ACMA) is proposing to amend </w:t>
      </w:r>
      <w:r w:rsidRPr="001A47EA">
        <w:t xml:space="preserve">the </w:t>
      </w:r>
      <w:r w:rsidRPr="003F7C5F">
        <w:rPr>
          <w:iCs/>
        </w:rPr>
        <w:t>Radiocommunications (Electromagnetic Radiation – Human Exposure) Standard 2014</w:t>
      </w:r>
      <w:r w:rsidRPr="00607EF2">
        <w:t xml:space="preserve"> </w:t>
      </w:r>
      <w:r w:rsidRPr="001A47EA">
        <w:t xml:space="preserve">(the </w:t>
      </w:r>
      <w:r w:rsidR="00142B15">
        <w:t>ACMA</w:t>
      </w:r>
      <w:r w:rsidRPr="001A47EA">
        <w:t xml:space="preserve"> Standard)</w:t>
      </w:r>
      <w:r>
        <w:t xml:space="preserve"> to </w:t>
      </w:r>
      <w:r w:rsidR="004F28CC">
        <w:t>put</w:t>
      </w:r>
      <w:r>
        <w:t xml:space="preserve"> appropriate </w:t>
      </w:r>
      <w:r w:rsidR="00223619">
        <w:t xml:space="preserve">supply </w:t>
      </w:r>
      <w:r>
        <w:t xml:space="preserve">requirements in place for </w:t>
      </w:r>
      <w:r w:rsidR="007D60C6" w:rsidRPr="006F09F6">
        <w:t>devices</w:t>
      </w:r>
      <w:r w:rsidR="006F09F6">
        <w:t xml:space="preserve"> operating above 6</w:t>
      </w:r>
      <w:r w:rsidR="00BF7C4A">
        <w:t xml:space="preserve"> </w:t>
      </w:r>
      <w:r w:rsidR="006F09F6">
        <w:t>GHz</w:t>
      </w:r>
      <w:r w:rsidRPr="006F09F6">
        <w:t xml:space="preserve">. </w:t>
      </w:r>
    </w:p>
    <w:p w14:paraId="6E89D911" w14:textId="47435154" w:rsidR="00BC4ABC" w:rsidRDefault="00142B15" w:rsidP="00B36989">
      <w:pPr>
        <w:pStyle w:val="Paragraph"/>
      </w:pPr>
      <w:r>
        <w:t xml:space="preserve">The </w:t>
      </w:r>
      <w:r w:rsidR="00077F0B">
        <w:t>ACMA Standard sets exposure limits for emissions from mobile stations (</w:t>
      </w:r>
      <w:r w:rsidR="004F28CC">
        <w:t>that is,</w:t>
      </w:r>
      <w:r w:rsidR="00077F0B">
        <w:t xml:space="preserve"> radiocommunications transmitters established for use in motion or portability) with integral antennas</w:t>
      </w:r>
      <w:r w:rsidR="004F28CC">
        <w:t>,</w:t>
      </w:r>
      <w:r w:rsidR="003877D8">
        <w:t xml:space="preserve"> and</w:t>
      </w:r>
      <w:r w:rsidR="00BC4ABC">
        <w:t xml:space="preserve"> specifies limits and the test method a supplier must follow to determine the specific absorption rate (SAR) or radiofrequency fields associated with a device. </w:t>
      </w:r>
    </w:p>
    <w:p w14:paraId="64762EC8" w14:textId="49409946" w:rsidR="001A47EA" w:rsidRDefault="007D60C6" w:rsidP="00B36989">
      <w:pPr>
        <w:pStyle w:val="Paragraph"/>
      </w:pPr>
      <w:bookmarkStart w:id="3" w:name="_Hlk31116847"/>
      <w:r>
        <w:t xml:space="preserve">The impending rollout of 5G deployments </w:t>
      </w:r>
      <w:r w:rsidRPr="00607EF2">
        <w:t xml:space="preserve">in the </w:t>
      </w:r>
      <w:r w:rsidRPr="007B0CE2">
        <w:t>mmWave bands</w:t>
      </w:r>
      <w:r w:rsidR="001C37C9">
        <w:rPr>
          <w:rStyle w:val="FootnoteReference"/>
        </w:rPr>
        <w:footnoteReference w:id="2"/>
      </w:r>
      <w:r>
        <w:t xml:space="preserve"> will require handsets </w:t>
      </w:r>
      <w:r w:rsidR="004F28CC">
        <w:t xml:space="preserve">to operate </w:t>
      </w:r>
      <w:r>
        <w:t xml:space="preserve">on frequencies above 6 GHz. </w:t>
      </w:r>
      <w:r w:rsidR="00142B15">
        <w:t>Currently</w:t>
      </w:r>
      <w:r w:rsidR="004F28CC">
        <w:t>,</w:t>
      </w:r>
      <w:r w:rsidR="00142B15">
        <w:t xml:space="preserve"> there are no </w:t>
      </w:r>
      <w:r w:rsidR="00816614">
        <w:t xml:space="preserve">finalised international standards on assessment methods for </w:t>
      </w:r>
      <w:r w:rsidR="00223619">
        <w:t xml:space="preserve">devices </w:t>
      </w:r>
      <w:r w:rsidR="00816614">
        <w:t xml:space="preserve">operating above 6 GHz that </w:t>
      </w:r>
      <w:r w:rsidR="00803DA3">
        <w:t>are</w:t>
      </w:r>
      <w:r w:rsidR="00816614">
        <w:t xml:space="preserve"> used in close proximity </w:t>
      </w:r>
      <w:r w:rsidR="00682594">
        <w:t xml:space="preserve">to the head or body. </w:t>
      </w:r>
    </w:p>
    <w:p w14:paraId="39919B6E" w14:textId="4E44EF7E" w:rsidR="00223619" w:rsidRDefault="00223619" w:rsidP="00B36989">
      <w:pPr>
        <w:pStyle w:val="Paragraph"/>
      </w:pPr>
      <w:r>
        <w:t xml:space="preserve">Currently, the </w:t>
      </w:r>
      <w:r w:rsidR="004F6E9B">
        <w:t>electromagnetic energy (</w:t>
      </w:r>
      <w:r>
        <w:t>EME</w:t>
      </w:r>
      <w:r w:rsidR="004F6E9B">
        <w:t>)</w:t>
      </w:r>
      <w:r>
        <w:t xml:space="preserve"> of devices operating above 6 GHz that </w:t>
      </w:r>
      <w:r w:rsidR="00803DA3">
        <w:t>are</w:t>
      </w:r>
      <w:r>
        <w:t xml:space="preserve"> used in close proximity to the head or body is regulated through licence conditions and is the responsibility of the licensee.</w:t>
      </w:r>
    </w:p>
    <w:p w14:paraId="17BE1745" w14:textId="28A2E038" w:rsidR="0077544B" w:rsidRDefault="0077544B" w:rsidP="00B36989">
      <w:pPr>
        <w:pStyle w:val="Paragraph"/>
      </w:pPr>
      <w:r>
        <w:t xml:space="preserve">The ACMA is proposing to amend the ACMA Standard to adopt a technical report </w:t>
      </w:r>
      <w:r w:rsidR="007B7C73">
        <w:t xml:space="preserve">to ensure that </w:t>
      </w:r>
      <w:r w:rsidR="00223619">
        <w:t xml:space="preserve">devices </w:t>
      </w:r>
      <w:r w:rsidR="007B7C73">
        <w:t xml:space="preserve">operating above 6 GHz will be covered by </w:t>
      </w:r>
      <w:r w:rsidR="00223619">
        <w:t xml:space="preserve">device supply </w:t>
      </w:r>
      <w:r w:rsidR="007B7C73">
        <w:t>arrangements</w:t>
      </w:r>
      <w:r w:rsidR="00223619">
        <w:t xml:space="preserve"> </w:t>
      </w:r>
      <w:r w:rsidR="004F28CC">
        <w:t>equivalent to that for</w:t>
      </w:r>
      <w:r w:rsidR="00223619">
        <w:t xml:space="preserve"> equipment operating below 6 GHz, including placing regulatory obligations on the Australian supplier of the devices</w:t>
      </w:r>
      <w:r w:rsidR="007B7C73">
        <w:t xml:space="preserve">. </w:t>
      </w:r>
    </w:p>
    <w:p w14:paraId="455E34B5" w14:textId="778C5B9A" w:rsidR="00715722" w:rsidRDefault="00715722" w:rsidP="00715722">
      <w:pPr>
        <w:pStyle w:val="Heading1"/>
      </w:pPr>
      <w:bookmarkStart w:id="4" w:name="_Toc433122125"/>
      <w:bookmarkStart w:id="5" w:name="_Toc16685779"/>
      <w:bookmarkStart w:id="6" w:name="_Toc31112968"/>
      <w:bookmarkEnd w:id="3"/>
      <w:r>
        <w:lastRenderedPageBreak/>
        <w:t>Issue for comment</w:t>
      </w:r>
      <w:bookmarkEnd w:id="4"/>
      <w:bookmarkEnd w:id="5"/>
      <w:bookmarkEnd w:id="6"/>
    </w:p>
    <w:p w14:paraId="481C359F" w14:textId="1E91B44B" w:rsidR="00F81B5B" w:rsidRDefault="00715722" w:rsidP="00D61243">
      <w:pPr>
        <w:pStyle w:val="Paragraph"/>
      </w:pPr>
      <w:r>
        <w:t xml:space="preserve">This </w:t>
      </w:r>
      <w:r w:rsidR="003545E8">
        <w:t>consultation</w:t>
      </w:r>
      <w:r>
        <w:t xml:space="preserve"> </w:t>
      </w:r>
      <w:r w:rsidR="004F6E9B">
        <w:t xml:space="preserve">paper </w:t>
      </w:r>
      <w:r>
        <w:t xml:space="preserve">does not </w:t>
      </w:r>
      <w:r w:rsidR="003545E8">
        <w:t>ask</w:t>
      </w:r>
      <w:r>
        <w:t xml:space="preserve"> specific questions. However, the ACMA welcomes comment from interested stakeholders on the issues raised in this </w:t>
      </w:r>
      <w:r w:rsidR="003545E8">
        <w:t>consultation</w:t>
      </w:r>
      <w:r>
        <w:t xml:space="preserve"> </w:t>
      </w:r>
      <w:r w:rsidR="004F6E9B">
        <w:t xml:space="preserve">paper </w:t>
      </w:r>
      <w:r>
        <w:t>or any other issues relevant to</w:t>
      </w:r>
      <w:r w:rsidR="00F81B5B">
        <w:t xml:space="preserve"> the amendment of the ACMA Standard. </w:t>
      </w:r>
    </w:p>
    <w:p w14:paraId="3984D237" w14:textId="715CDF79" w:rsidR="000B4664" w:rsidRPr="00C35CCE" w:rsidRDefault="007B7C73" w:rsidP="000B4664">
      <w:pPr>
        <w:pStyle w:val="Heading1"/>
      </w:pPr>
      <w:bookmarkStart w:id="7" w:name="_Toc31112969"/>
      <w:r>
        <w:lastRenderedPageBreak/>
        <w:t>Background</w:t>
      </w:r>
      <w:bookmarkEnd w:id="7"/>
      <w:r>
        <w:t xml:space="preserve"> </w:t>
      </w:r>
    </w:p>
    <w:p w14:paraId="378162F2" w14:textId="5DCE9EF0" w:rsidR="005E250B" w:rsidRPr="00C35CCE" w:rsidRDefault="007B7C73" w:rsidP="005E250B">
      <w:pPr>
        <w:pStyle w:val="Heading2"/>
      </w:pPr>
      <w:bookmarkStart w:id="8" w:name="_Toc31112970"/>
      <w:r>
        <w:t xml:space="preserve">EME </w:t>
      </w:r>
      <w:r w:rsidR="004F28CC">
        <w:t>r</w:t>
      </w:r>
      <w:r>
        <w:t xml:space="preserve">egulatory </w:t>
      </w:r>
      <w:r w:rsidR="004F28CC">
        <w:t>a</w:t>
      </w:r>
      <w:r>
        <w:t>rrangements</w:t>
      </w:r>
      <w:bookmarkEnd w:id="8"/>
      <w:r>
        <w:t xml:space="preserve"> </w:t>
      </w:r>
    </w:p>
    <w:p w14:paraId="39DDCB08" w14:textId="2CC6AA23" w:rsidR="007B7C73" w:rsidRDefault="007B7C73" w:rsidP="003F7C5F">
      <w:pPr>
        <w:pStyle w:val="Paragraph"/>
        <w:spacing w:after="80"/>
      </w:pPr>
      <w:r>
        <w:t xml:space="preserve">The ACMA </w:t>
      </w:r>
      <w:r w:rsidR="008446DF">
        <w:t xml:space="preserve">regulates human exposure to radiofrequency </w:t>
      </w:r>
      <w:r w:rsidR="00413011">
        <w:t>electromagnetic energy (</w:t>
      </w:r>
      <w:r w:rsidR="001B74AF">
        <w:t>EME</w:t>
      </w:r>
      <w:r w:rsidR="00413011">
        <w:t>)</w:t>
      </w:r>
      <w:r w:rsidR="001B74AF">
        <w:t xml:space="preserve"> emissions from </w:t>
      </w:r>
      <w:r w:rsidR="00E7678B">
        <w:t xml:space="preserve">equipment (such as mobile telephone handsets) and radiocommunications facilities (such as mobile telephone base stations) through: </w:t>
      </w:r>
    </w:p>
    <w:p w14:paraId="56B43511" w14:textId="1EA8092B" w:rsidR="00E7678B" w:rsidRDefault="00E7678B" w:rsidP="003F7C5F">
      <w:pPr>
        <w:pStyle w:val="Bulletlevel1"/>
        <w:tabs>
          <w:tab w:val="clear" w:pos="295"/>
          <w:tab w:val="num" w:pos="11"/>
        </w:tabs>
      </w:pPr>
      <w:r>
        <w:t xml:space="preserve">regulatory arrangements for </w:t>
      </w:r>
      <w:r w:rsidR="00EF3FC5">
        <w:t>transmitters defined as mobile stations</w:t>
      </w:r>
      <w:r>
        <w:t xml:space="preserve"> at the point of supply to the Australian market, including testing, labelling and record-keeping obligations</w:t>
      </w:r>
    </w:p>
    <w:p w14:paraId="7F1F8ABF" w14:textId="77777777" w:rsidR="00E7678B" w:rsidRDefault="00E7678B" w:rsidP="003F7C5F">
      <w:pPr>
        <w:pStyle w:val="Bulletlevel1last"/>
        <w:tabs>
          <w:tab w:val="clear" w:pos="295"/>
          <w:tab w:val="num" w:pos="11"/>
        </w:tabs>
      </w:pPr>
      <w:r>
        <w:t xml:space="preserve">licence conditions on the operation of radiocommunications transmitters. </w:t>
      </w:r>
    </w:p>
    <w:p w14:paraId="36341F75" w14:textId="067737EE" w:rsidR="00E7678B" w:rsidRDefault="00E7678B" w:rsidP="00E7678B">
      <w:pPr>
        <w:pStyle w:val="Paragraph"/>
      </w:pPr>
      <w:r>
        <w:t xml:space="preserve">The objective of the arrangements is to ensure that public exposure to EME from </w:t>
      </w:r>
      <w:r w:rsidR="00413011">
        <w:t xml:space="preserve">radio transmitters does not exceed the Australian exposure limits published by the Australian Radiation Protection and Nuclear Safety Agency (ARPANSA). </w:t>
      </w:r>
    </w:p>
    <w:p w14:paraId="106E9117" w14:textId="71DE8EF1" w:rsidR="00AF4EC9" w:rsidRDefault="00AF4EC9" w:rsidP="006C1631">
      <w:pPr>
        <w:pStyle w:val="Heading1"/>
      </w:pPr>
      <w:bookmarkStart w:id="9" w:name="_Toc31112971"/>
      <w:r>
        <w:lastRenderedPageBreak/>
        <w:t>Amendment details</w:t>
      </w:r>
      <w:bookmarkEnd w:id="9"/>
      <w:r>
        <w:t xml:space="preserve"> </w:t>
      </w:r>
    </w:p>
    <w:p w14:paraId="021E9BDB" w14:textId="5E8957AE" w:rsidR="00AF4EC9" w:rsidRDefault="00AF4EC9" w:rsidP="003F7C5F">
      <w:pPr>
        <w:pStyle w:val="Heading2"/>
      </w:pPr>
      <w:bookmarkStart w:id="10" w:name="_Toc31112972"/>
      <w:r w:rsidRPr="00AF4EC9">
        <w:t>ACMA Standard</w:t>
      </w:r>
      <w:bookmarkEnd w:id="10"/>
      <w:r w:rsidRPr="00AF4EC9">
        <w:t xml:space="preserve"> </w:t>
      </w:r>
    </w:p>
    <w:p w14:paraId="16299058" w14:textId="06F059FD" w:rsidR="006015C7" w:rsidRDefault="00B856DA" w:rsidP="00AF4EC9">
      <w:pPr>
        <w:rPr>
          <w:szCs w:val="20"/>
        </w:rPr>
      </w:pPr>
      <w:r>
        <w:rPr>
          <w:szCs w:val="20"/>
        </w:rPr>
        <w:t xml:space="preserve">The ACMA Standard is made under subsection 162(1) of the </w:t>
      </w:r>
      <w:r w:rsidRPr="00B856DA">
        <w:rPr>
          <w:i/>
          <w:iCs/>
          <w:szCs w:val="20"/>
        </w:rPr>
        <w:t>Radiocommunications Act 1992</w:t>
      </w:r>
      <w:r>
        <w:rPr>
          <w:szCs w:val="20"/>
        </w:rPr>
        <w:t xml:space="preserve"> (the Act) and </w:t>
      </w:r>
      <w:r w:rsidR="006015C7">
        <w:rPr>
          <w:szCs w:val="20"/>
        </w:rPr>
        <w:t>mandates Australia/New Zealand and international test method standards</w:t>
      </w:r>
      <w:r w:rsidR="00006B7F">
        <w:rPr>
          <w:szCs w:val="20"/>
        </w:rPr>
        <w:t xml:space="preserve">. These standards comprise measurement methods </w:t>
      </w:r>
      <w:r w:rsidR="004F28CC">
        <w:rPr>
          <w:szCs w:val="20"/>
        </w:rPr>
        <w:t xml:space="preserve">that </w:t>
      </w:r>
      <w:r w:rsidR="00006B7F">
        <w:rPr>
          <w:szCs w:val="20"/>
        </w:rPr>
        <w:t>are used</w:t>
      </w:r>
      <w:r w:rsidR="006015C7">
        <w:rPr>
          <w:szCs w:val="20"/>
        </w:rPr>
        <w:t xml:space="preserve"> to determine the exposure </w:t>
      </w:r>
      <w:r>
        <w:rPr>
          <w:szCs w:val="20"/>
        </w:rPr>
        <w:t>limits for emissions from mobile stations (</w:t>
      </w:r>
      <w:r w:rsidR="004F28CC">
        <w:rPr>
          <w:szCs w:val="20"/>
        </w:rPr>
        <w:t>that is,</w:t>
      </w:r>
      <w:r>
        <w:rPr>
          <w:szCs w:val="20"/>
        </w:rPr>
        <w:t xml:space="preserve"> radiocommunications transmitters established for use in motion or </w:t>
      </w:r>
      <w:r w:rsidR="00853A66">
        <w:rPr>
          <w:szCs w:val="20"/>
        </w:rPr>
        <w:t>stationary at unspecified locations</w:t>
      </w:r>
      <w:r>
        <w:rPr>
          <w:szCs w:val="20"/>
        </w:rPr>
        <w:t xml:space="preserve">) with integral </w:t>
      </w:r>
      <w:r w:rsidR="006015C7">
        <w:rPr>
          <w:szCs w:val="20"/>
        </w:rPr>
        <w:t>antennas</w:t>
      </w:r>
      <w:r>
        <w:rPr>
          <w:szCs w:val="20"/>
        </w:rPr>
        <w:t xml:space="preserve">. </w:t>
      </w:r>
      <w:r w:rsidR="00905E54">
        <w:rPr>
          <w:szCs w:val="20"/>
        </w:rPr>
        <w:t xml:space="preserve">They </w:t>
      </w:r>
      <w:r w:rsidR="006015C7">
        <w:rPr>
          <w:szCs w:val="20"/>
        </w:rPr>
        <w:t xml:space="preserve">enable a supplier to measure the specific absorption rate (SAR) or the strength of </w:t>
      </w:r>
      <w:r w:rsidR="00784E8D">
        <w:rPr>
          <w:szCs w:val="20"/>
        </w:rPr>
        <w:t>r</w:t>
      </w:r>
      <w:r w:rsidR="00905E54">
        <w:rPr>
          <w:szCs w:val="20"/>
        </w:rPr>
        <w:t xml:space="preserve">adio frequency </w:t>
      </w:r>
      <w:r w:rsidR="006015C7">
        <w:rPr>
          <w:szCs w:val="20"/>
        </w:rPr>
        <w:t xml:space="preserve">fields associated with a device. </w:t>
      </w:r>
    </w:p>
    <w:p w14:paraId="2482ACFC" w14:textId="31190D11" w:rsidR="006015C7" w:rsidRDefault="006015C7" w:rsidP="00AF4EC9">
      <w:pPr>
        <w:rPr>
          <w:szCs w:val="20"/>
        </w:rPr>
      </w:pPr>
      <w:r>
        <w:rPr>
          <w:szCs w:val="20"/>
        </w:rPr>
        <w:t xml:space="preserve">The ACMA Standard adopts the EME exposure limits specified by ARPANSA in the </w:t>
      </w:r>
      <w:hyperlink r:id="rId27" w:history="1">
        <w:r w:rsidRPr="006015C7">
          <w:rPr>
            <w:rStyle w:val="Hyperlink"/>
            <w:szCs w:val="20"/>
          </w:rPr>
          <w:t xml:space="preserve">Radiation Protection Standard for Maximum Exposure Levels to Radiofrequency Fields </w:t>
        </w:r>
        <w:r w:rsidRPr="006015C7">
          <w:rPr>
            <w:rStyle w:val="Hyperlink"/>
            <w:rFonts w:cs="Arial"/>
            <w:szCs w:val="20"/>
          </w:rPr>
          <w:t>─</w:t>
        </w:r>
        <w:r w:rsidRPr="006015C7">
          <w:rPr>
            <w:rStyle w:val="Hyperlink"/>
            <w:szCs w:val="20"/>
          </w:rPr>
          <w:t xml:space="preserve"> 3 kHz to 300 GHz</w:t>
        </w:r>
      </w:hyperlink>
      <w:r>
        <w:rPr>
          <w:szCs w:val="20"/>
        </w:rPr>
        <w:t xml:space="preserve"> (the ARPANSA Standard) and currently mandates the following Australia/New Zealand and international test method standards. </w:t>
      </w:r>
    </w:p>
    <w:p w14:paraId="7A959F02" w14:textId="4DB8FDC6" w:rsidR="006015C7" w:rsidRPr="006015C7" w:rsidRDefault="006015C7" w:rsidP="003F7C5F">
      <w:pPr>
        <w:spacing w:after="80" w:line="240" w:lineRule="auto"/>
        <w:rPr>
          <w:rFonts w:cs="Arial"/>
          <w:szCs w:val="20"/>
          <w:lang w:val="en"/>
        </w:rPr>
      </w:pPr>
      <w:r w:rsidRPr="006015C7">
        <w:rPr>
          <w:rFonts w:cs="Arial"/>
          <w:szCs w:val="20"/>
          <w:lang w:val="en"/>
        </w:rPr>
        <w:t>For devices used in close proximity to the human ear:</w:t>
      </w:r>
    </w:p>
    <w:p w14:paraId="59021758" w14:textId="1CA7C401" w:rsidR="006015C7" w:rsidRPr="006015C7" w:rsidRDefault="006015C7" w:rsidP="003F7C5F">
      <w:pPr>
        <w:pStyle w:val="Bulletlevel1last"/>
        <w:tabs>
          <w:tab w:val="clear" w:pos="295"/>
          <w:tab w:val="num" w:pos="11"/>
        </w:tabs>
        <w:rPr>
          <w:szCs w:val="20"/>
          <w:lang w:val="en"/>
        </w:rPr>
      </w:pPr>
      <w:r w:rsidRPr="006015C7">
        <w:rPr>
          <w:szCs w:val="20"/>
          <w:lang w:val="en"/>
        </w:rPr>
        <w:t xml:space="preserve">EN </w:t>
      </w:r>
      <w:r w:rsidRPr="004F6E9B">
        <w:t>62209</w:t>
      </w:r>
      <w:r w:rsidRPr="006015C7">
        <w:rPr>
          <w:szCs w:val="20"/>
          <w:lang w:val="en"/>
        </w:rPr>
        <w:t xml:space="preserve">-1 and IEC 62209-1—Human exposure to radio frequency fields from hand-held and body-mounted wireless communication devices. Human models, instrumentation and procedures. Part 1—Procedure to determine the SAR for hand-held devices used in close proximity to the ear (frequency range of 300 MHz to </w:t>
      </w:r>
      <w:r w:rsidR="00674B81">
        <w:rPr>
          <w:szCs w:val="20"/>
          <w:lang w:val="en"/>
        </w:rPr>
        <w:t>6</w:t>
      </w:r>
      <w:r w:rsidRPr="006015C7">
        <w:rPr>
          <w:szCs w:val="20"/>
          <w:lang w:val="en"/>
        </w:rPr>
        <w:t xml:space="preserve"> GHz).</w:t>
      </w:r>
    </w:p>
    <w:p w14:paraId="4046827B" w14:textId="77777777" w:rsidR="006015C7" w:rsidRPr="006015C7" w:rsidRDefault="006015C7" w:rsidP="003F7C5F">
      <w:pPr>
        <w:spacing w:after="80" w:line="240" w:lineRule="auto"/>
        <w:rPr>
          <w:rFonts w:cs="Arial"/>
          <w:szCs w:val="20"/>
          <w:lang w:val="en"/>
        </w:rPr>
      </w:pPr>
      <w:r w:rsidRPr="006015C7">
        <w:rPr>
          <w:rFonts w:cs="Arial"/>
          <w:szCs w:val="20"/>
          <w:lang w:val="en"/>
        </w:rPr>
        <w:t>For devices used 20 cm or less from the human body:</w:t>
      </w:r>
    </w:p>
    <w:p w14:paraId="6C0877A8" w14:textId="77777777" w:rsidR="006015C7" w:rsidRPr="006015C7" w:rsidRDefault="006015C7" w:rsidP="003F7C5F">
      <w:pPr>
        <w:pStyle w:val="Bulletlevel1last"/>
        <w:tabs>
          <w:tab w:val="clear" w:pos="295"/>
          <w:tab w:val="num" w:pos="11"/>
        </w:tabs>
        <w:rPr>
          <w:szCs w:val="20"/>
          <w:lang w:val="en"/>
        </w:rPr>
      </w:pPr>
      <w:r w:rsidRPr="006015C7">
        <w:rPr>
          <w:szCs w:val="20"/>
          <w:lang w:val="en"/>
        </w:rPr>
        <w:t xml:space="preserve">EN </w:t>
      </w:r>
      <w:r w:rsidRPr="004F6E9B">
        <w:t>62209</w:t>
      </w:r>
      <w:r w:rsidRPr="006015C7">
        <w:rPr>
          <w:szCs w:val="20"/>
          <w:lang w:val="en"/>
        </w:rPr>
        <w:t>-2 and IEC 62209-2—Human exposure to radio frequency fields from hand-held and body-mounted wireless communication devices. Human models, instrumentation and procedures. Part 2—Procedure to determine the SAR for wireless communication devices used in close proximity to the human body (frequency range of 30 MHz to 6 GHz).</w:t>
      </w:r>
    </w:p>
    <w:p w14:paraId="1BE3531B" w14:textId="77777777" w:rsidR="006015C7" w:rsidRPr="006015C7" w:rsidRDefault="006015C7" w:rsidP="003F7C5F">
      <w:pPr>
        <w:spacing w:after="80" w:line="240" w:lineRule="auto"/>
        <w:rPr>
          <w:rFonts w:cs="Arial"/>
          <w:szCs w:val="20"/>
          <w:lang w:val="en"/>
        </w:rPr>
      </w:pPr>
      <w:r w:rsidRPr="006015C7">
        <w:rPr>
          <w:rFonts w:cs="Arial"/>
          <w:szCs w:val="20"/>
          <w:lang w:val="en"/>
        </w:rPr>
        <w:t>For devices used more than 20 cm from the human body:</w:t>
      </w:r>
    </w:p>
    <w:p w14:paraId="7AF7FC03" w14:textId="5653696C" w:rsidR="006015C7" w:rsidRPr="006015C7" w:rsidRDefault="006015C7" w:rsidP="003F7C5F">
      <w:pPr>
        <w:pStyle w:val="Bulletlevel1last"/>
        <w:tabs>
          <w:tab w:val="clear" w:pos="295"/>
          <w:tab w:val="num" w:pos="11"/>
        </w:tabs>
        <w:rPr>
          <w:szCs w:val="20"/>
          <w:lang w:val="en"/>
        </w:rPr>
      </w:pPr>
      <w:r w:rsidRPr="006015C7">
        <w:rPr>
          <w:szCs w:val="20"/>
          <w:lang w:val="en"/>
        </w:rPr>
        <w:t>AS/NZS 2772.2—</w:t>
      </w:r>
      <w:r w:rsidRPr="007B0CE2">
        <w:rPr>
          <w:szCs w:val="20"/>
          <w:lang w:val="en"/>
        </w:rPr>
        <w:t>Radiofrequency fields</w:t>
      </w:r>
      <w:r w:rsidR="003F7C5F">
        <w:rPr>
          <w:szCs w:val="20"/>
          <w:lang w:val="en"/>
        </w:rPr>
        <w:t>:</w:t>
      </w:r>
      <w:r w:rsidRPr="007B0CE2">
        <w:rPr>
          <w:szCs w:val="20"/>
          <w:lang w:val="en"/>
        </w:rPr>
        <w:t xml:space="preserve"> Principles</w:t>
      </w:r>
      <w:r w:rsidRPr="006015C7">
        <w:rPr>
          <w:szCs w:val="20"/>
          <w:lang w:val="en"/>
        </w:rPr>
        <w:t xml:space="preserve"> and methods of measurement and computation—3 kHz to 300 GHz.</w:t>
      </w:r>
    </w:p>
    <w:p w14:paraId="168BEAB1" w14:textId="390FEE5B" w:rsidR="006015C7" w:rsidRPr="006015C7" w:rsidRDefault="006015C7" w:rsidP="00607EF2">
      <w:pPr>
        <w:spacing w:after="100" w:afterAutospacing="1" w:line="240" w:lineRule="auto"/>
        <w:rPr>
          <w:rFonts w:cs="Arial"/>
          <w:szCs w:val="20"/>
          <w:lang w:val="en"/>
        </w:rPr>
      </w:pPr>
      <w:r w:rsidRPr="006015C7">
        <w:rPr>
          <w:rFonts w:cs="Arial"/>
          <w:szCs w:val="20"/>
          <w:lang w:val="en"/>
        </w:rPr>
        <w:t xml:space="preserve">EN 62209-1 is </w:t>
      </w:r>
      <w:r w:rsidR="004D71A1" w:rsidRPr="006015C7">
        <w:rPr>
          <w:rFonts w:cs="Arial"/>
          <w:szCs w:val="20"/>
          <w:lang w:val="en"/>
        </w:rPr>
        <w:t>a</w:t>
      </w:r>
      <w:r w:rsidRPr="006015C7">
        <w:rPr>
          <w:rFonts w:cs="Arial"/>
          <w:szCs w:val="20"/>
          <w:lang w:val="en"/>
        </w:rPr>
        <w:t xml:space="preserve"> European Union (EU) harmonised standard based on the International Electrotechnical Commission’s (IEC) standard IEC 62209-1. Similarly, EN 62209-2 is an EU</w:t>
      </w:r>
      <w:r w:rsidR="00784E8D">
        <w:rPr>
          <w:rFonts w:cs="Arial"/>
          <w:szCs w:val="20"/>
          <w:lang w:val="en"/>
        </w:rPr>
        <w:t>-</w:t>
      </w:r>
      <w:r w:rsidRPr="006015C7">
        <w:rPr>
          <w:rFonts w:cs="Arial"/>
          <w:szCs w:val="20"/>
          <w:lang w:val="en"/>
        </w:rPr>
        <w:t>harmonised standard based on IEC 62209-2.</w:t>
      </w:r>
    </w:p>
    <w:p w14:paraId="291708C3" w14:textId="7974B6C7" w:rsidR="006015C7" w:rsidRDefault="00910436" w:rsidP="00AF4EC9">
      <w:pPr>
        <w:rPr>
          <w:szCs w:val="20"/>
        </w:rPr>
      </w:pPr>
      <w:r>
        <w:rPr>
          <w:szCs w:val="20"/>
        </w:rPr>
        <w:t xml:space="preserve">The impending rollout of 5G deployments in the mmWave bands will require handsets operating on frequencies above </w:t>
      </w:r>
      <w:r w:rsidR="008E06FC">
        <w:rPr>
          <w:szCs w:val="20"/>
        </w:rPr>
        <w:t>6 GHz. Currently</w:t>
      </w:r>
      <w:r w:rsidR="00784E8D">
        <w:rPr>
          <w:szCs w:val="20"/>
        </w:rPr>
        <w:t>,</w:t>
      </w:r>
      <w:r w:rsidR="008E06FC">
        <w:rPr>
          <w:szCs w:val="20"/>
        </w:rPr>
        <w:t xml:space="preserve"> there are no finalised international standards on assessment methods for </w:t>
      </w:r>
      <w:r w:rsidR="00223619">
        <w:rPr>
          <w:szCs w:val="20"/>
        </w:rPr>
        <w:t xml:space="preserve">devices </w:t>
      </w:r>
      <w:r w:rsidR="008E06FC">
        <w:rPr>
          <w:szCs w:val="20"/>
        </w:rPr>
        <w:t xml:space="preserve">operating above 6 GHz that </w:t>
      </w:r>
      <w:r w:rsidR="00803DA3">
        <w:rPr>
          <w:szCs w:val="20"/>
        </w:rPr>
        <w:t xml:space="preserve">function </w:t>
      </w:r>
      <w:r w:rsidR="008E06FC">
        <w:rPr>
          <w:szCs w:val="20"/>
        </w:rPr>
        <w:t xml:space="preserve">in close proximity to the </w:t>
      </w:r>
      <w:r w:rsidR="004F152D">
        <w:rPr>
          <w:szCs w:val="20"/>
        </w:rPr>
        <w:t xml:space="preserve">ear </w:t>
      </w:r>
      <w:r w:rsidR="008E06FC">
        <w:rPr>
          <w:szCs w:val="20"/>
        </w:rPr>
        <w:t>or body</w:t>
      </w:r>
      <w:r w:rsidR="00223619">
        <w:rPr>
          <w:szCs w:val="20"/>
        </w:rPr>
        <w:t xml:space="preserve"> and the EME requirements are specified in licence conditions. </w:t>
      </w:r>
    </w:p>
    <w:p w14:paraId="31B98C12" w14:textId="20BB344F" w:rsidR="00766A45" w:rsidRDefault="00F959D4" w:rsidP="00AF4EC9">
      <w:pPr>
        <w:rPr>
          <w:szCs w:val="20"/>
        </w:rPr>
      </w:pPr>
      <w:r>
        <w:rPr>
          <w:szCs w:val="20"/>
        </w:rPr>
        <w:t xml:space="preserve">The International </w:t>
      </w:r>
      <w:r w:rsidR="00933783">
        <w:rPr>
          <w:szCs w:val="20"/>
        </w:rPr>
        <w:t>Electrotechnical Commission (IEC) TC106 Committee has a joint project underway with the Institute of Electrical and Electronic Engineers (IEEE) to develop a joint international standard</w:t>
      </w:r>
      <w:r w:rsidR="00245012">
        <w:rPr>
          <w:szCs w:val="20"/>
        </w:rPr>
        <w:t xml:space="preserve"> (IEC/IEEE 63195</w:t>
      </w:r>
      <w:r w:rsidR="00F420B4">
        <w:rPr>
          <w:szCs w:val="20"/>
        </w:rPr>
        <w:t>-1</w:t>
      </w:r>
      <w:r w:rsidR="00245012">
        <w:rPr>
          <w:szCs w:val="20"/>
        </w:rPr>
        <w:t>)</w:t>
      </w:r>
      <w:r w:rsidR="00933783">
        <w:rPr>
          <w:szCs w:val="20"/>
        </w:rPr>
        <w:t xml:space="preserve"> for assessment of human exposure from wireless devices </w:t>
      </w:r>
      <w:r w:rsidR="006D4363">
        <w:rPr>
          <w:szCs w:val="20"/>
        </w:rPr>
        <w:t xml:space="preserve">operating in close proximity </w:t>
      </w:r>
      <w:r w:rsidR="00766A45">
        <w:rPr>
          <w:szCs w:val="20"/>
        </w:rPr>
        <w:t xml:space="preserve">to the head and body in the frequency range 6 GHz to 300 GHz. </w:t>
      </w:r>
    </w:p>
    <w:p w14:paraId="10CAFD64" w14:textId="77777777" w:rsidR="00766A45" w:rsidRDefault="00766A45" w:rsidP="003F7C5F">
      <w:pPr>
        <w:keepNext/>
        <w:keepLines/>
        <w:spacing w:after="80"/>
        <w:rPr>
          <w:szCs w:val="20"/>
        </w:rPr>
      </w:pPr>
      <w:r>
        <w:rPr>
          <w:szCs w:val="20"/>
        </w:rPr>
        <w:lastRenderedPageBreak/>
        <w:t>In 2018, the IEC committee TC-106 developed and published the following test methods:</w:t>
      </w:r>
    </w:p>
    <w:p w14:paraId="6CA420CD" w14:textId="138CD137" w:rsidR="00766A45" w:rsidRPr="002A227B" w:rsidRDefault="00766A45" w:rsidP="003F7C5F">
      <w:pPr>
        <w:pStyle w:val="Bulletlevel1last"/>
        <w:keepNext/>
        <w:keepLines/>
        <w:tabs>
          <w:tab w:val="clear" w:pos="295"/>
          <w:tab w:val="num" w:pos="11"/>
        </w:tabs>
      </w:pPr>
      <w:r w:rsidRPr="002A227B">
        <w:rPr>
          <w:b/>
          <w:bCs/>
        </w:rPr>
        <w:t>IEC TR 63170:2018</w:t>
      </w:r>
      <w:r w:rsidRPr="002A227B">
        <w:t xml:space="preserve"> – </w:t>
      </w:r>
      <w:r w:rsidRPr="004F6E9B">
        <w:rPr>
          <w:szCs w:val="20"/>
          <w:lang w:val="en"/>
        </w:rPr>
        <w:t>Measurement</w:t>
      </w:r>
      <w:r w:rsidRPr="002A227B">
        <w:t xml:space="preserve"> procedure for the evaluation of power density related to human exposure to radio frequency fields from wireless communication devices operating between 6 GHz and 100 GHz.</w:t>
      </w:r>
    </w:p>
    <w:p w14:paraId="2397B4CF" w14:textId="0296C871" w:rsidR="00F959D4" w:rsidRDefault="003D5A61" w:rsidP="009A4506">
      <w:pPr>
        <w:rPr>
          <w:szCs w:val="20"/>
        </w:rPr>
      </w:pPr>
      <w:r>
        <w:rPr>
          <w:szCs w:val="20"/>
        </w:rPr>
        <w:t xml:space="preserve">IEC TR 63170 is a </w:t>
      </w:r>
      <w:r w:rsidR="00784E8D">
        <w:rPr>
          <w:szCs w:val="20"/>
        </w:rPr>
        <w:t>t</w:t>
      </w:r>
      <w:r>
        <w:rPr>
          <w:szCs w:val="20"/>
        </w:rPr>
        <w:t xml:space="preserve">echnical </w:t>
      </w:r>
      <w:r w:rsidR="00784E8D">
        <w:rPr>
          <w:szCs w:val="20"/>
        </w:rPr>
        <w:t>r</w:t>
      </w:r>
      <w:r>
        <w:rPr>
          <w:szCs w:val="20"/>
        </w:rPr>
        <w:t xml:space="preserve">eport that describes measurement techniques and test approaches </w:t>
      </w:r>
      <w:r w:rsidR="00D97A9A">
        <w:rPr>
          <w:szCs w:val="20"/>
        </w:rPr>
        <w:t xml:space="preserve">for evaluating the local and spatial average incident power density of wireless devices operating in close proximity to the user between 6 GHz and 100 GHz. </w:t>
      </w:r>
    </w:p>
    <w:p w14:paraId="3E015FCB" w14:textId="599FDDC3" w:rsidR="00F90AB5" w:rsidRPr="00A4379E" w:rsidRDefault="00F90AB5" w:rsidP="003F7C5F">
      <w:pPr>
        <w:pStyle w:val="Heading2"/>
      </w:pPr>
      <w:bookmarkStart w:id="11" w:name="_Toc31112973"/>
      <w:r w:rsidRPr="00A4379E">
        <w:t>Consideration of options</w:t>
      </w:r>
      <w:bookmarkEnd w:id="11"/>
      <w:r w:rsidRPr="00A4379E">
        <w:t xml:space="preserve"> </w:t>
      </w:r>
    </w:p>
    <w:p w14:paraId="47E529F8" w14:textId="6D943B63" w:rsidR="00DD514D" w:rsidRDefault="00DD514D" w:rsidP="00DD514D">
      <w:pPr>
        <w:rPr>
          <w:szCs w:val="20"/>
        </w:rPr>
      </w:pPr>
      <w:r>
        <w:rPr>
          <w:szCs w:val="20"/>
        </w:rPr>
        <w:t>The ACMA has considered options</w:t>
      </w:r>
      <w:r w:rsidR="001C6BD6">
        <w:rPr>
          <w:szCs w:val="20"/>
        </w:rPr>
        <w:t xml:space="preserve"> for accommodating measurement methods for devices above 6GHz. The ACMA has also </w:t>
      </w:r>
      <w:r w:rsidR="001C6BD6" w:rsidRPr="00A4379E">
        <w:rPr>
          <w:szCs w:val="20"/>
        </w:rPr>
        <w:t xml:space="preserve">considered </w:t>
      </w:r>
      <w:r w:rsidRPr="00EC6A5F">
        <w:rPr>
          <w:szCs w:val="20"/>
        </w:rPr>
        <w:t xml:space="preserve">delaying change until the international standard is </w:t>
      </w:r>
      <w:r w:rsidR="00784E8D" w:rsidRPr="00EC6A5F">
        <w:rPr>
          <w:szCs w:val="20"/>
        </w:rPr>
        <w:t>finalised but</w:t>
      </w:r>
      <w:r w:rsidRPr="00EC6A5F">
        <w:rPr>
          <w:szCs w:val="20"/>
        </w:rPr>
        <w:t xml:space="preserve"> </w:t>
      </w:r>
      <w:r w:rsidR="001C6BD6" w:rsidRPr="00EC6A5F">
        <w:rPr>
          <w:szCs w:val="20"/>
        </w:rPr>
        <w:t xml:space="preserve">considers that </w:t>
      </w:r>
      <w:r w:rsidRPr="00EC6A5F">
        <w:rPr>
          <w:szCs w:val="20"/>
        </w:rPr>
        <w:t xml:space="preserve">this </w:t>
      </w:r>
      <w:r w:rsidR="00A02D04" w:rsidRPr="00EC6A5F">
        <w:rPr>
          <w:szCs w:val="20"/>
        </w:rPr>
        <w:t>approach does</w:t>
      </w:r>
      <w:r w:rsidRPr="00EC6A5F">
        <w:rPr>
          <w:szCs w:val="20"/>
        </w:rPr>
        <w:t xml:space="preserve"> not provide </w:t>
      </w:r>
      <w:r w:rsidR="001446C3" w:rsidRPr="00EC6A5F">
        <w:rPr>
          <w:szCs w:val="20"/>
        </w:rPr>
        <w:t xml:space="preserve">appropriate </w:t>
      </w:r>
      <w:r w:rsidRPr="00EC6A5F">
        <w:rPr>
          <w:szCs w:val="20"/>
        </w:rPr>
        <w:t>regulatory protection for users of these devices in the interim.</w:t>
      </w:r>
      <w:r>
        <w:rPr>
          <w:szCs w:val="20"/>
        </w:rPr>
        <w:t xml:space="preserve"> </w:t>
      </w:r>
      <w:r w:rsidR="00101BD5">
        <w:rPr>
          <w:szCs w:val="20"/>
        </w:rPr>
        <w:t xml:space="preserve">The options </w:t>
      </w:r>
      <w:r w:rsidR="001C6BD6">
        <w:rPr>
          <w:szCs w:val="20"/>
        </w:rPr>
        <w:t xml:space="preserve">for change </w:t>
      </w:r>
      <w:r w:rsidR="00101BD5">
        <w:rPr>
          <w:szCs w:val="20"/>
        </w:rPr>
        <w:t xml:space="preserve">considered by the ACMA are discussed below. </w:t>
      </w:r>
    </w:p>
    <w:p w14:paraId="788F87C2" w14:textId="6EA3A085" w:rsidR="00F90AB5" w:rsidRPr="00A4379E" w:rsidRDefault="00F90AB5" w:rsidP="003F7C5F">
      <w:pPr>
        <w:pStyle w:val="Heading3"/>
      </w:pPr>
      <w:r w:rsidRPr="00A4379E">
        <w:t xml:space="preserve">Option 1: amend the ACMA standard to incorporate the </w:t>
      </w:r>
      <w:r w:rsidR="00784E8D">
        <w:t>t</w:t>
      </w:r>
      <w:r w:rsidRPr="00A4379E">
        <w:t xml:space="preserve">echnical </w:t>
      </w:r>
      <w:r w:rsidR="00784E8D">
        <w:t>r</w:t>
      </w:r>
      <w:r w:rsidRPr="00A4379E">
        <w:t>eport (IEC</w:t>
      </w:r>
      <w:r w:rsidR="00D72207">
        <w:t> </w:t>
      </w:r>
      <w:r w:rsidRPr="00A4379E">
        <w:t>TR</w:t>
      </w:r>
      <w:r w:rsidR="00D72207">
        <w:t> </w:t>
      </w:r>
      <w:r w:rsidRPr="00A4379E">
        <w:t xml:space="preserve">63170) </w:t>
      </w:r>
    </w:p>
    <w:p w14:paraId="30853879" w14:textId="7ECF3771" w:rsidR="00F90AB5" w:rsidRDefault="00F90AB5" w:rsidP="00F90AB5">
      <w:pPr>
        <w:rPr>
          <w:szCs w:val="20"/>
        </w:rPr>
      </w:pPr>
      <w:r>
        <w:rPr>
          <w:szCs w:val="20"/>
        </w:rPr>
        <w:t xml:space="preserve">As the IEC/IEEE 63195 standard is still under development, </w:t>
      </w:r>
      <w:r w:rsidR="00724653">
        <w:rPr>
          <w:szCs w:val="20"/>
        </w:rPr>
        <w:t xml:space="preserve">the ACMA could </w:t>
      </w:r>
      <w:r>
        <w:rPr>
          <w:szCs w:val="20"/>
        </w:rPr>
        <w:t>amend the ACMA Standard to adopt IEC TR 63170 as a measurement method. This will ensure that there are device supply requirements for devices operating between 6</w:t>
      </w:r>
      <w:r w:rsidR="00724653">
        <w:rPr>
          <w:szCs w:val="20"/>
        </w:rPr>
        <w:t> </w:t>
      </w:r>
      <w:r>
        <w:rPr>
          <w:szCs w:val="20"/>
        </w:rPr>
        <w:t>GHz and 100 GHz in the interim period before the international standard is finalised. For devices operating on frequencies above 100 GHz, the existing licence conditions continue to place EME obligations on the use of the devices.</w:t>
      </w:r>
    </w:p>
    <w:p w14:paraId="01D442DE" w14:textId="1CB4BDAD" w:rsidR="00F90AB5" w:rsidRDefault="00F90AB5" w:rsidP="00F90AB5">
      <w:pPr>
        <w:rPr>
          <w:szCs w:val="20"/>
        </w:rPr>
      </w:pPr>
      <w:r>
        <w:rPr>
          <w:szCs w:val="20"/>
        </w:rPr>
        <w:t xml:space="preserve">Adopting IEC TR 63170 into the ACMA Standard will give manufacturers and importers clear guidance on measurement methodologies for assessing their device against the ARPANSA </w:t>
      </w:r>
      <w:r w:rsidR="0071198A">
        <w:rPr>
          <w:szCs w:val="20"/>
        </w:rPr>
        <w:t>l</w:t>
      </w:r>
      <w:r>
        <w:rPr>
          <w:szCs w:val="20"/>
        </w:rPr>
        <w:t>imits</w:t>
      </w:r>
      <w:r w:rsidR="00784E8D">
        <w:rPr>
          <w:szCs w:val="20"/>
        </w:rPr>
        <w:t>,</w:t>
      </w:r>
      <w:r>
        <w:rPr>
          <w:szCs w:val="20"/>
        </w:rPr>
        <w:t xml:space="preserve"> and place EME obligations on the Australian supplier of the devices.</w:t>
      </w:r>
    </w:p>
    <w:p w14:paraId="4715E802" w14:textId="6E8EEDB3" w:rsidR="00F90AB5" w:rsidRDefault="00F90AB5" w:rsidP="00F90AB5">
      <w:pPr>
        <w:rPr>
          <w:szCs w:val="20"/>
        </w:rPr>
      </w:pPr>
      <w:r w:rsidRPr="000D2CB3">
        <w:rPr>
          <w:szCs w:val="20"/>
        </w:rPr>
        <w:t>Adopting a technical report is a departure from the ACMA’s normal approach of adopting i</w:t>
      </w:r>
      <w:r w:rsidRPr="004F152D">
        <w:rPr>
          <w:szCs w:val="20"/>
        </w:rPr>
        <w:t>nternational standards</w:t>
      </w:r>
      <w:r w:rsidR="00DA7951">
        <w:rPr>
          <w:szCs w:val="20"/>
        </w:rPr>
        <w:t xml:space="preserve"> once they have been finalised</w:t>
      </w:r>
      <w:r w:rsidRPr="004F152D">
        <w:rPr>
          <w:szCs w:val="20"/>
        </w:rPr>
        <w:t xml:space="preserve">. </w:t>
      </w:r>
      <w:r>
        <w:rPr>
          <w:szCs w:val="20"/>
        </w:rPr>
        <w:t xml:space="preserve">In this case, the speed with which technological development is occurring means that devices operating in close proximity to the ear or body above 6 GHz may be available in Australia before the international standard is finalised. </w:t>
      </w:r>
    </w:p>
    <w:p w14:paraId="768D9B08" w14:textId="4B8D4A08" w:rsidR="00F01B68" w:rsidRDefault="00F01B68" w:rsidP="00F90AB5">
      <w:pPr>
        <w:rPr>
          <w:szCs w:val="20"/>
        </w:rPr>
      </w:pPr>
      <w:r>
        <w:rPr>
          <w:szCs w:val="20"/>
        </w:rPr>
        <w:t xml:space="preserve">Adopting the </w:t>
      </w:r>
      <w:r w:rsidR="003F7C5F">
        <w:rPr>
          <w:szCs w:val="20"/>
        </w:rPr>
        <w:t>t</w:t>
      </w:r>
      <w:r>
        <w:rPr>
          <w:szCs w:val="20"/>
        </w:rPr>
        <w:t xml:space="preserve">echnical </w:t>
      </w:r>
      <w:r w:rsidR="003F7C5F">
        <w:rPr>
          <w:szCs w:val="20"/>
        </w:rPr>
        <w:t>r</w:t>
      </w:r>
      <w:r>
        <w:rPr>
          <w:szCs w:val="20"/>
        </w:rPr>
        <w:t xml:space="preserve">eport is proposed as an interim measure until the international standard is available. At that time, the ACMA will undertake its usual process to consider whether to adopt the international standard, including consulting with interested parties.  </w:t>
      </w:r>
    </w:p>
    <w:p w14:paraId="4F347C0A" w14:textId="2F685E2D" w:rsidR="007D60C6" w:rsidRDefault="007D60C6" w:rsidP="00607EF2">
      <w:pPr>
        <w:rPr>
          <w:szCs w:val="20"/>
        </w:rPr>
      </w:pPr>
      <w:r>
        <w:rPr>
          <w:szCs w:val="20"/>
        </w:rPr>
        <w:t>Below is an</w:t>
      </w:r>
      <w:r w:rsidR="00EA3D56">
        <w:rPr>
          <w:szCs w:val="20"/>
        </w:rPr>
        <w:t xml:space="preserve"> example</w:t>
      </w:r>
      <w:r>
        <w:rPr>
          <w:szCs w:val="20"/>
        </w:rPr>
        <w:t xml:space="preserve"> to highlight the effect of the</w:t>
      </w:r>
      <w:r w:rsidR="002715BE">
        <w:rPr>
          <w:szCs w:val="20"/>
        </w:rPr>
        <w:t xml:space="preserve"> proposed</w:t>
      </w:r>
      <w:r>
        <w:rPr>
          <w:szCs w:val="20"/>
        </w:rPr>
        <w:t xml:space="preserve"> amendment.</w:t>
      </w:r>
    </w:p>
    <w:p w14:paraId="2C3AEA88" w14:textId="3EEC183D" w:rsidR="00623769" w:rsidRDefault="00110B01" w:rsidP="003F7C5F">
      <w:pPr>
        <w:keepNext/>
        <w:keepLines/>
        <w:shd w:val="clear" w:color="auto" w:fill="F2F2F2" w:themeFill="background1" w:themeFillShade="F2"/>
        <w:spacing w:after="80"/>
        <w:rPr>
          <w:szCs w:val="20"/>
        </w:rPr>
      </w:pPr>
      <w:r w:rsidRPr="003F7C5F">
        <w:rPr>
          <w:b/>
          <w:i/>
          <w:szCs w:val="20"/>
        </w:rPr>
        <w:lastRenderedPageBreak/>
        <w:t>Example of option 1:</w:t>
      </w:r>
      <w:r>
        <w:rPr>
          <w:szCs w:val="20"/>
        </w:rPr>
        <w:br/>
      </w:r>
      <w:r w:rsidR="00904B90">
        <w:rPr>
          <w:szCs w:val="20"/>
        </w:rPr>
        <w:t xml:space="preserve">The </w:t>
      </w:r>
      <w:r w:rsidR="007D60C6">
        <w:rPr>
          <w:szCs w:val="20"/>
        </w:rPr>
        <w:t>A</w:t>
      </w:r>
      <w:r w:rsidR="00904B90">
        <w:rPr>
          <w:szCs w:val="20"/>
        </w:rPr>
        <w:t>ustralian supplier of a</w:t>
      </w:r>
      <w:r w:rsidR="00EA3D56">
        <w:rPr>
          <w:szCs w:val="20"/>
        </w:rPr>
        <w:t xml:space="preserve"> radiocommunications transmitter</w:t>
      </w:r>
      <w:r w:rsidR="00FD7785">
        <w:rPr>
          <w:szCs w:val="20"/>
        </w:rPr>
        <w:t xml:space="preserve"> </w:t>
      </w:r>
      <w:r w:rsidR="00784E8D">
        <w:rPr>
          <w:szCs w:val="20"/>
        </w:rPr>
        <w:t>(</w:t>
      </w:r>
      <w:r w:rsidR="007D60C6">
        <w:rPr>
          <w:szCs w:val="20"/>
        </w:rPr>
        <w:t xml:space="preserve">a mobile station </w:t>
      </w:r>
      <w:r w:rsidR="00FD7785">
        <w:rPr>
          <w:szCs w:val="20"/>
        </w:rPr>
        <w:t>with an integral antenna</w:t>
      </w:r>
      <w:r w:rsidR="00784E8D">
        <w:rPr>
          <w:szCs w:val="20"/>
        </w:rPr>
        <w:t xml:space="preserve">, </w:t>
      </w:r>
      <w:r w:rsidR="00EA3D56">
        <w:rPr>
          <w:szCs w:val="20"/>
        </w:rPr>
        <w:t>used in close proximity to the head</w:t>
      </w:r>
      <w:r w:rsidR="00784E8D">
        <w:rPr>
          <w:szCs w:val="20"/>
        </w:rPr>
        <w:t>)</w:t>
      </w:r>
      <w:r w:rsidR="00EA3D56">
        <w:rPr>
          <w:szCs w:val="20"/>
        </w:rPr>
        <w:t xml:space="preserve"> </w:t>
      </w:r>
      <w:r w:rsidR="00784E8D">
        <w:rPr>
          <w:szCs w:val="20"/>
        </w:rPr>
        <w:t xml:space="preserve">that </w:t>
      </w:r>
      <w:r w:rsidR="00EA3D56">
        <w:rPr>
          <w:szCs w:val="20"/>
        </w:rPr>
        <w:t>operates on both 3.</w:t>
      </w:r>
      <w:r w:rsidR="00784E8D">
        <w:rPr>
          <w:szCs w:val="20"/>
        </w:rPr>
        <w:t>5 </w:t>
      </w:r>
      <w:r w:rsidR="00EA3D56">
        <w:rPr>
          <w:szCs w:val="20"/>
        </w:rPr>
        <w:t>GHz and 28 GHz</w:t>
      </w:r>
      <w:r w:rsidR="00FD7785">
        <w:rPr>
          <w:szCs w:val="20"/>
        </w:rPr>
        <w:t xml:space="preserve"> will</w:t>
      </w:r>
      <w:r w:rsidR="00EA3D56">
        <w:rPr>
          <w:szCs w:val="20"/>
        </w:rPr>
        <w:t xml:space="preserve"> need to </w:t>
      </w:r>
      <w:r w:rsidR="00904B90">
        <w:rPr>
          <w:szCs w:val="20"/>
        </w:rPr>
        <w:t xml:space="preserve">ensure the transmitter is </w:t>
      </w:r>
      <w:r w:rsidR="00EA3D56">
        <w:rPr>
          <w:szCs w:val="20"/>
        </w:rPr>
        <w:t xml:space="preserve">assessed against the limits in the ARPANSA </w:t>
      </w:r>
      <w:r w:rsidR="002715BE">
        <w:rPr>
          <w:szCs w:val="20"/>
        </w:rPr>
        <w:t>Standard</w:t>
      </w:r>
      <w:r w:rsidR="00784E8D">
        <w:rPr>
          <w:szCs w:val="20"/>
        </w:rPr>
        <w:t>,</w:t>
      </w:r>
      <w:r w:rsidR="002715BE">
        <w:rPr>
          <w:szCs w:val="20"/>
        </w:rPr>
        <w:t xml:space="preserve"> </w:t>
      </w:r>
      <w:r w:rsidR="00EA3D56">
        <w:rPr>
          <w:szCs w:val="20"/>
        </w:rPr>
        <w:t>using:</w:t>
      </w:r>
    </w:p>
    <w:p w14:paraId="220F9BDC" w14:textId="026AA572" w:rsidR="00EA3D56" w:rsidRDefault="00EA3D56" w:rsidP="003F7C5F">
      <w:pPr>
        <w:pStyle w:val="Bulletlevel1last"/>
        <w:keepNext/>
        <w:keepLines/>
        <w:shd w:val="clear" w:color="auto" w:fill="F2F2F2" w:themeFill="background1" w:themeFillShade="F2"/>
        <w:tabs>
          <w:tab w:val="clear" w:pos="295"/>
          <w:tab w:val="num" w:pos="11"/>
        </w:tabs>
        <w:spacing w:after="80"/>
        <w:rPr>
          <w:szCs w:val="20"/>
        </w:rPr>
      </w:pPr>
      <w:r>
        <w:rPr>
          <w:szCs w:val="20"/>
        </w:rPr>
        <w:t xml:space="preserve">IEC 62209-1 or EN </w:t>
      </w:r>
      <w:r w:rsidRPr="004F6E9B">
        <w:t>62209</w:t>
      </w:r>
      <w:r>
        <w:rPr>
          <w:szCs w:val="20"/>
        </w:rPr>
        <w:t>-1 for frequencies below 6 GHz</w:t>
      </w:r>
    </w:p>
    <w:p w14:paraId="6C4DF01A" w14:textId="2F28B546" w:rsidR="00EA3D56" w:rsidRDefault="00EA3D56" w:rsidP="003F7C5F">
      <w:pPr>
        <w:pStyle w:val="Bulletlevel1last"/>
        <w:keepNext/>
        <w:keepLines/>
        <w:shd w:val="clear" w:color="auto" w:fill="F2F2F2" w:themeFill="background1" w:themeFillShade="F2"/>
        <w:rPr>
          <w:szCs w:val="20"/>
        </w:rPr>
      </w:pPr>
      <w:r>
        <w:rPr>
          <w:szCs w:val="20"/>
        </w:rPr>
        <w:t xml:space="preserve">IEC TR 63170 for </w:t>
      </w:r>
      <w:r w:rsidRPr="004F6E9B">
        <w:t>frequencies</w:t>
      </w:r>
      <w:r>
        <w:rPr>
          <w:szCs w:val="20"/>
        </w:rPr>
        <w:t xml:space="preserve"> above 6 GHz.</w:t>
      </w:r>
    </w:p>
    <w:p w14:paraId="47BF00E4" w14:textId="3B47631F" w:rsidR="00EA3D56" w:rsidRDefault="00EA3D56" w:rsidP="003F7C5F">
      <w:pPr>
        <w:keepNext/>
        <w:keepLines/>
        <w:shd w:val="clear" w:color="auto" w:fill="F2F2F2" w:themeFill="background1" w:themeFillShade="F2"/>
        <w:rPr>
          <w:szCs w:val="20"/>
        </w:rPr>
      </w:pPr>
      <w:r>
        <w:rPr>
          <w:szCs w:val="20"/>
        </w:rPr>
        <w:t xml:space="preserve">If the same transmitter only operated on 28 GHz, then </w:t>
      </w:r>
      <w:r w:rsidR="002715BE">
        <w:rPr>
          <w:szCs w:val="20"/>
        </w:rPr>
        <w:t xml:space="preserve">the device </w:t>
      </w:r>
      <w:r>
        <w:rPr>
          <w:szCs w:val="20"/>
        </w:rPr>
        <w:t xml:space="preserve">would only need to be assessed against the ARPANSA </w:t>
      </w:r>
      <w:r w:rsidR="002715BE">
        <w:rPr>
          <w:szCs w:val="20"/>
        </w:rPr>
        <w:t xml:space="preserve">Standard </w:t>
      </w:r>
      <w:r>
        <w:rPr>
          <w:szCs w:val="20"/>
        </w:rPr>
        <w:t>using IEC TR 63170.</w:t>
      </w:r>
    </w:p>
    <w:p w14:paraId="56099CEA" w14:textId="043DD843" w:rsidR="00EA3D56" w:rsidRDefault="00075209" w:rsidP="003F7C5F">
      <w:pPr>
        <w:keepNext/>
        <w:keepLines/>
        <w:shd w:val="clear" w:color="auto" w:fill="F2F2F2" w:themeFill="background1" w:themeFillShade="F2"/>
        <w:rPr>
          <w:szCs w:val="20"/>
        </w:rPr>
      </w:pPr>
      <w:r>
        <w:rPr>
          <w:szCs w:val="20"/>
        </w:rPr>
        <w:t>Alternatively,</w:t>
      </w:r>
      <w:r w:rsidR="00EA3D56">
        <w:rPr>
          <w:szCs w:val="20"/>
        </w:rPr>
        <w:t xml:space="preserve"> if the transmitter only operated on 3.5 GHz, then it would only need to be assessed against the ARPANSA </w:t>
      </w:r>
      <w:r w:rsidR="002715BE">
        <w:rPr>
          <w:szCs w:val="20"/>
        </w:rPr>
        <w:t xml:space="preserve">Standard </w:t>
      </w:r>
      <w:r w:rsidR="00EA3D56">
        <w:rPr>
          <w:szCs w:val="20"/>
        </w:rPr>
        <w:t>using IEC 62209-1 or EN 62209-1.</w:t>
      </w:r>
    </w:p>
    <w:p w14:paraId="497253F6" w14:textId="267B3C5C" w:rsidR="00F90AB5" w:rsidRPr="00A4379E" w:rsidRDefault="00F90AB5" w:rsidP="003F7C5F">
      <w:pPr>
        <w:pStyle w:val="Heading3"/>
      </w:pPr>
      <w:r w:rsidRPr="00A4379E">
        <w:t>Option 2: amend the ACMA standard for devices operating above 6 GHz to expressly require compliance with the exposure limits in the ARPAN</w:t>
      </w:r>
      <w:r w:rsidR="00DA7951">
        <w:t>S</w:t>
      </w:r>
      <w:r w:rsidRPr="00A4379E">
        <w:t xml:space="preserve">A Standard, </w:t>
      </w:r>
      <w:r w:rsidR="00DA7951">
        <w:t xml:space="preserve">and provide a guidance document for suppliers about testing compliance </w:t>
      </w:r>
    </w:p>
    <w:p w14:paraId="61C57097" w14:textId="6991A3CA" w:rsidR="00E96C15" w:rsidRDefault="00304F58" w:rsidP="00B208E8">
      <w:pPr>
        <w:rPr>
          <w:szCs w:val="20"/>
        </w:rPr>
      </w:pPr>
      <w:r>
        <w:rPr>
          <w:szCs w:val="20"/>
        </w:rPr>
        <w:t>This option amend</w:t>
      </w:r>
      <w:r w:rsidR="00110B01">
        <w:rPr>
          <w:szCs w:val="20"/>
        </w:rPr>
        <w:t>s</w:t>
      </w:r>
      <w:r>
        <w:rPr>
          <w:szCs w:val="20"/>
        </w:rPr>
        <w:t xml:space="preserve"> the ACMA Standard to require </w:t>
      </w:r>
      <w:r w:rsidR="00BF57FB">
        <w:rPr>
          <w:szCs w:val="20"/>
        </w:rPr>
        <w:t xml:space="preserve">compliance </w:t>
      </w:r>
      <w:r>
        <w:rPr>
          <w:szCs w:val="20"/>
        </w:rPr>
        <w:t>with the EME exposure limits in the ARPANSA Standard</w:t>
      </w:r>
      <w:r w:rsidR="00E96C15">
        <w:rPr>
          <w:szCs w:val="20"/>
        </w:rPr>
        <w:t xml:space="preserve">. This </w:t>
      </w:r>
      <w:r w:rsidR="00474D8A">
        <w:rPr>
          <w:szCs w:val="20"/>
        </w:rPr>
        <w:t xml:space="preserve">requirement </w:t>
      </w:r>
      <w:r w:rsidR="00E96C15">
        <w:rPr>
          <w:szCs w:val="20"/>
        </w:rPr>
        <w:t>would be applicable</w:t>
      </w:r>
      <w:r w:rsidR="00BF57FB">
        <w:rPr>
          <w:szCs w:val="20"/>
        </w:rPr>
        <w:t xml:space="preserve"> for devices operating above 6 GHz</w:t>
      </w:r>
      <w:r w:rsidR="00E96C15">
        <w:rPr>
          <w:szCs w:val="20"/>
        </w:rPr>
        <w:t xml:space="preserve"> and would not </w:t>
      </w:r>
      <w:r w:rsidR="00110B01">
        <w:rPr>
          <w:szCs w:val="20"/>
        </w:rPr>
        <w:t>refer</w:t>
      </w:r>
      <w:r w:rsidR="00E96C15">
        <w:rPr>
          <w:szCs w:val="20"/>
        </w:rPr>
        <w:t xml:space="preserve"> to the method by which compliance is tested. This option allows suppliers to have discretion </w:t>
      </w:r>
      <w:r w:rsidR="0071198A">
        <w:rPr>
          <w:szCs w:val="20"/>
        </w:rPr>
        <w:t xml:space="preserve">as </w:t>
      </w:r>
      <w:r w:rsidR="00E96C15">
        <w:rPr>
          <w:szCs w:val="20"/>
        </w:rPr>
        <w:t xml:space="preserve">to which test method to use for compliance. </w:t>
      </w:r>
    </w:p>
    <w:p w14:paraId="460FFFE8" w14:textId="69F7AD1D" w:rsidR="00D07B9F" w:rsidRPr="00A4379E" w:rsidRDefault="00E96C15" w:rsidP="00A4379E">
      <w:pPr>
        <w:rPr>
          <w:szCs w:val="20"/>
        </w:rPr>
      </w:pPr>
      <w:r>
        <w:rPr>
          <w:szCs w:val="20"/>
        </w:rPr>
        <w:t xml:space="preserve">The ACMA would develop non-regulatory guidance for suppliers about how to test compliance with the exposure limits in the ARPANSA Standard. </w:t>
      </w:r>
      <w:r w:rsidR="00724653">
        <w:rPr>
          <w:szCs w:val="20"/>
        </w:rPr>
        <w:t xml:space="preserve">This guidance would be based on the provisions of the </w:t>
      </w:r>
      <w:r w:rsidR="00110B01">
        <w:rPr>
          <w:szCs w:val="20"/>
        </w:rPr>
        <w:t>t</w:t>
      </w:r>
      <w:r w:rsidR="00724653">
        <w:rPr>
          <w:szCs w:val="20"/>
        </w:rPr>
        <w:t xml:space="preserve">est </w:t>
      </w:r>
      <w:r w:rsidR="00110B01">
        <w:rPr>
          <w:szCs w:val="20"/>
        </w:rPr>
        <w:t>r</w:t>
      </w:r>
      <w:r w:rsidR="00724653">
        <w:rPr>
          <w:szCs w:val="20"/>
        </w:rPr>
        <w:t xml:space="preserve">eport </w:t>
      </w:r>
      <w:r w:rsidR="00724653" w:rsidRPr="003F7C5F">
        <w:rPr>
          <w:bCs/>
        </w:rPr>
        <w:t>IEC TR 63170:2018</w:t>
      </w:r>
      <w:r w:rsidR="00724653" w:rsidRPr="00607EF2">
        <w:t>.</w:t>
      </w:r>
      <w:r w:rsidRPr="007B0CE2">
        <w:rPr>
          <w:szCs w:val="20"/>
        </w:rPr>
        <w:t xml:space="preserve"> </w:t>
      </w:r>
    </w:p>
    <w:p w14:paraId="13583B4E" w14:textId="5DB91A5C" w:rsidR="001C6BD6" w:rsidRPr="00A4379E" w:rsidRDefault="001C6BD6" w:rsidP="003F7C5F">
      <w:pPr>
        <w:pStyle w:val="Heading2"/>
      </w:pPr>
      <w:bookmarkStart w:id="12" w:name="_Toc31112974"/>
      <w:r w:rsidRPr="00A4379E">
        <w:t xml:space="preserve">Preferred </w:t>
      </w:r>
      <w:r w:rsidR="00110B01">
        <w:t>o</w:t>
      </w:r>
      <w:r w:rsidRPr="00A4379E">
        <w:t>ption</w:t>
      </w:r>
      <w:bookmarkEnd w:id="12"/>
    </w:p>
    <w:p w14:paraId="67388B0F" w14:textId="6C351FAD" w:rsidR="00C925A6" w:rsidRDefault="00C925A6" w:rsidP="00B208E8">
      <w:pPr>
        <w:rPr>
          <w:rFonts w:cs="Arial"/>
          <w:szCs w:val="20"/>
        </w:rPr>
      </w:pPr>
      <w:r>
        <w:rPr>
          <w:szCs w:val="20"/>
        </w:rPr>
        <w:t>The ACMA considers</w:t>
      </w:r>
      <w:r w:rsidR="00110B01">
        <w:rPr>
          <w:szCs w:val="20"/>
        </w:rPr>
        <w:t xml:space="preserve"> Option 1—</w:t>
      </w:r>
      <w:r>
        <w:rPr>
          <w:szCs w:val="20"/>
        </w:rPr>
        <w:t>incorporating the</w:t>
      </w:r>
      <w:r w:rsidR="00A7204C">
        <w:rPr>
          <w:szCs w:val="20"/>
        </w:rPr>
        <w:t xml:space="preserve"> IEC TR 63170</w:t>
      </w:r>
      <w:r>
        <w:rPr>
          <w:szCs w:val="20"/>
        </w:rPr>
        <w:t xml:space="preserve"> </w:t>
      </w:r>
      <w:r w:rsidR="00110B01">
        <w:rPr>
          <w:szCs w:val="20"/>
        </w:rPr>
        <w:t>t</w:t>
      </w:r>
      <w:r>
        <w:rPr>
          <w:szCs w:val="20"/>
        </w:rPr>
        <w:t xml:space="preserve">echnical </w:t>
      </w:r>
      <w:r w:rsidR="00110B01">
        <w:rPr>
          <w:szCs w:val="20"/>
        </w:rPr>
        <w:t>r</w:t>
      </w:r>
      <w:r>
        <w:rPr>
          <w:szCs w:val="20"/>
        </w:rPr>
        <w:t>eport into the ACMA Standard until an international standard can be similarly incorporated</w:t>
      </w:r>
      <w:r w:rsidR="00110B01">
        <w:rPr>
          <w:rFonts w:cs="Arial"/>
          <w:szCs w:val="20"/>
        </w:rPr>
        <w:t>—</w:t>
      </w:r>
      <w:r w:rsidR="00631B07">
        <w:rPr>
          <w:rFonts w:cs="Arial"/>
          <w:szCs w:val="20"/>
        </w:rPr>
        <w:t>to be</w:t>
      </w:r>
      <w:r w:rsidRPr="000D2CB3">
        <w:rPr>
          <w:rFonts w:cs="Arial"/>
          <w:szCs w:val="20"/>
        </w:rPr>
        <w:t xml:space="preserve"> </w:t>
      </w:r>
      <w:r>
        <w:rPr>
          <w:rFonts w:cs="Arial"/>
          <w:szCs w:val="20"/>
        </w:rPr>
        <w:t>the preferable option.</w:t>
      </w:r>
      <w:r w:rsidRPr="000D2CB3">
        <w:rPr>
          <w:rFonts w:cs="Arial"/>
          <w:szCs w:val="20"/>
        </w:rPr>
        <w:t xml:space="preserve"> </w:t>
      </w:r>
      <w:r w:rsidR="00110B01">
        <w:rPr>
          <w:rFonts w:cs="Arial"/>
          <w:szCs w:val="20"/>
        </w:rPr>
        <w:t>It</w:t>
      </w:r>
      <w:r w:rsidRPr="000D2CB3">
        <w:rPr>
          <w:rFonts w:cs="Arial"/>
          <w:szCs w:val="20"/>
        </w:rPr>
        <w:t xml:space="preserve"> provides </w:t>
      </w:r>
      <w:r>
        <w:rPr>
          <w:rFonts w:cs="Arial"/>
          <w:szCs w:val="20"/>
        </w:rPr>
        <w:t>clear guidance for suppliers about the EME requirements of devices and provides</w:t>
      </w:r>
      <w:r w:rsidRPr="000D2CB3">
        <w:rPr>
          <w:rFonts w:cs="Arial"/>
          <w:szCs w:val="20"/>
        </w:rPr>
        <w:t xml:space="preserve"> </w:t>
      </w:r>
      <w:r>
        <w:rPr>
          <w:rFonts w:cs="Arial"/>
          <w:szCs w:val="20"/>
        </w:rPr>
        <w:t>appropriate</w:t>
      </w:r>
      <w:r w:rsidRPr="000D2CB3">
        <w:rPr>
          <w:rFonts w:cs="Arial"/>
          <w:szCs w:val="20"/>
        </w:rPr>
        <w:t xml:space="preserve"> protections for device users.</w:t>
      </w:r>
      <w:r w:rsidR="00724653">
        <w:rPr>
          <w:rFonts w:cs="Arial"/>
          <w:szCs w:val="20"/>
        </w:rPr>
        <w:t xml:space="preserve"> The alternative of non-regulatory guidance about test methods provides </w:t>
      </w:r>
      <w:r w:rsidR="00110B01">
        <w:rPr>
          <w:rFonts w:cs="Arial"/>
          <w:szCs w:val="20"/>
        </w:rPr>
        <w:t>less</w:t>
      </w:r>
      <w:r w:rsidR="00724653">
        <w:rPr>
          <w:rFonts w:cs="Arial"/>
          <w:szCs w:val="20"/>
        </w:rPr>
        <w:t xml:space="preserve"> certainty for suppliers and less protection for consumers.</w:t>
      </w:r>
    </w:p>
    <w:p w14:paraId="762C92CF" w14:textId="0D7ABA2A" w:rsidR="00BF7C4A" w:rsidRDefault="00BF7C4A" w:rsidP="00B208E8">
      <w:pPr>
        <w:rPr>
          <w:rFonts w:cs="Arial"/>
          <w:szCs w:val="20"/>
        </w:rPr>
      </w:pPr>
      <w:r>
        <w:rPr>
          <w:rFonts w:cs="Arial"/>
          <w:szCs w:val="20"/>
        </w:rPr>
        <w:t xml:space="preserve">The attached draft legislative instrument </w:t>
      </w:r>
      <w:r w:rsidR="00A7204C">
        <w:rPr>
          <w:rFonts w:cs="Arial"/>
          <w:szCs w:val="20"/>
        </w:rPr>
        <w:t xml:space="preserve">is an amendment to the ACMA Standard and incorporates the </w:t>
      </w:r>
      <w:r w:rsidR="00A7204C">
        <w:rPr>
          <w:szCs w:val="20"/>
        </w:rPr>
        <w:t xml:space="preserve">IEC TR 63170 </w:t>
      </w:r>
      <w:r w:rsidR="00110B01">
        <w:rPr>
          <w:szCs w:val="20"/>
        </w:rPr>
        <w:t>t</w:t>
      </w:r>
      <w:r w:rsidR="00A7204C">
        <w:rPr>
          <w:szCs w:val="20"/>
        </w:rPr>
        <w:t xml:space="preserve">echnical </w:t>
      </w:r>
      <w:r w:rsidR="00110B01">
        <w:rPr>
          <w:szCs w:val="20"/>
        </w:rPr>
        <w:t>r</w:t>
      </w:r>
      <w:r w:rsidR="00A7204C">
        <w:rPr>
          <w:szCs w:val="20"/>
        </w:rPr>
        <w:t xml:space="preserve">eport as a measurement method. </w:t>
      </w:r>
    </w:p>
    <w:p w14:paraId="06ECC3D9" w14:textId="4150BB70" w:rsidR="00C925A6" w:rsidRDefault="00C925A6" w:rsidP="00A4379E">
      <w:pPr>
        <w:rPr>
          <w:szCs w:val="20"/>
        </w:rPr>
      </w:pPr>
    </w:p>
    <w:p w14:paraId="6A27F611" w14:textId="77777777" w:rsidR="00C925A6" w:rsidRPr="00F90AB5" w:rsidRDefault="00C925A6" w:rsidP="00B36989">
      <w:pPr>
        <w:ind w:left="284"/>
        <w:rPr>
          <w:szCs w:val="20"/>
        </w:rPr>
      </w:pPr>
    </w:p>
    <w:p w14:paraId="67E2568C" w14:textId="7CC0DA9F" w:rsidR="006C1631" w:rsidRDefault="006C1631" w:rsidP="006C1631">
      <w:pPr>
        <w:pStyle w:val="Heading1"/>
      </w:pPr>
      <w:bookmarkStart w:id="13" w:name="_Toc31112975"/>
      <w:r>
        <w:lastRenderedPageBreak/>
        <w:t>Invitation to comment</w:t>
      </w:r>
      <w:bookmarkEnd w:id="13"/>
    </w:p>
    <w:p w14:paraId="711F2F05" w14:textId="77777777" w:rsidR="006C1631" w:rsidRDefault="006C1631" w:rsidP="006C1631">
      <w:pPr>
        <w:pStyle w:val="Heading2"/>
      </w:pPr>
      <w:bookmarkStart w:id="14" w:name="_Toc433122131"/>
      <w:bookmarkStart w:id="15" w:name="_Toc348105637"/>
      <w:bookmarkStart w:id="16" w:name="_Toc300909556"/>
      <w:bookmarkStart w:id="17" w:name="_Toc298924673"/>
      <w:bookmarkStart w:id="18" w:name="_Toc31112976"/>
      <w:bookmarkStart w:id="19" w:name="_Toc348105638"/>
      <w:bookmarkStart w:id="20" w:name="_Toc300909557"/>
      <w:bookmarkStart w:id="21" w:name="_Toc298924674"/>
      <w:bookmarkStart w:id="22" w:name="_Toc274296357"/>
      <w:r>
        <w:t>Making a submission</w:t>
      </w:r>
      <w:bookmarkEnd w:id="14"/>
      <w:bookmarkEnd w:id="15"/>
      <w:bookmarkEnd w:id="16"/>
      <w:bookmarkEnd w:id="17"/>
      <w:bookmarkEnd w:id="18"/>
    </w:p>
    <w:p w14:paraId="545BBDD0" w14:textId="22981594" w:rsidR="006C1631" w:rsidRDefault="006C1631" w:rsidP="006C1631">
      <w:r>
        <w:t xml:space="preserve">The ACMA invites comments on the issues set out in this </w:t>
      </w:r>
      <w:r w:rsidR="002715BE">
        <w:t xml:space="preserve">consultation </w:t>
      </w:r>
      <w:r>
        <w:t xml:space="preserve">paper. </w:t>
      </w:r>
    </w:p>
    <w:p w14:paraId="5E8DBD16" w14:textId="77777777" w:rsidR="0070133D" w:rsidRDefault="00DB4C1B" w:rsidP="0070133D">
      <w:pPr>
        <w:pStyle w:val="Bulletlevel1"/>
      </w:pPr>
      <w:hyperlink r:id="rId28"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7E9BDDBD" w14:textId="77777777" w:rsidR="006C1631" w:rsidRDefault="006C1631" w:rsidP="0070133D">
      <w:pPr>
        <w:pStyle w:val="Bulletlevel1"/>
      </w:pPr>
      <w:r>
        <w:t xml:space="preserve">Submissions by post can be sent to: </w:t>
      </w:r>
    </w:p>
    <w:p w14:paraId="3C969951" w14:textId="77777777" w:rsidR="006C1631" w:rsidRPr="00E949F8" w:rsidRDefault="006C1631" w:rsidP="006C1631">
      <w:pPr>
        <w:tabs>
          <w:tab w:val="num" w:pos="295"/>
        </w:tabs>
        <w:spacing w:after="0"/>
        <w:ind w:left="295"/>
        <w:rPr>
          <w:szCs w:val="20"/>
        </w:rPr>
      </w:pPr>
      <w:r w:rsidRPr="00E949F8">
        <w:rPr>
          <w:szCs w:val="20"/>
        </w:rPr>
        <w:t>The Manager</w:t>
      </w:r>
    </w:p>
    <w:p w14:paraId="7884836D" w14:textId="1F551B0A" w:rsidR="006C1631" w:rsidRPr="00E949F8" w:rsidRDefault="00E949F8" w:rsidP="006C1631">
      <w:pPr>
        <w:spacing w:after="0"/>
        <w:ind w:left="295"/>
        <w:rPr>
          <w:szCs w:val="20"/>
        </w:rPr>
      </w:pPr>
      <w:r w:rsidRPr="00E949F8">
        <w:rPr>
          <w:szCs w:val="20"/>
        </w:rPr>
        <w:t xml:space="preserve">Technical Regulation &amp; Carrier Infrastructure Section </w:t>
      </w:r>
    </w:p>
    <w:p w14:paraId="0EB2E5FC" w14:textId="77777777" w:rsidR="006C1631" w:rsidRPr="00E949F8" w:rsidRDefault="006C1631" w:rsidP="006C1631">
      <w:pPr>
        <w:spacing w:after="0"/>
        <w:ind w:left="295"/>
        <w:rPr>
          <w:szCs w:val="20"/>
        </w:rPr>
      </w:pPr>
      <w:r w:rsidRPr="00E949F8">
        <w:rPr>
          <w:szCs w:val="20"/>
        </w:rPr>
        <w:t>Australian Communications and Media Authority</w:t>
      </w:r>
    </w:p>
    <w:p w14:paraId="002DB1EB" w14:textId="61901DE0" w:rsidR="006C1631" w:rsidRPr="00E949F8" w:rsidRDefault="006C1631" w:rsidP="006C1631">
      <w:pPr>
        <w:spacing w:after="0"/>
        <w:ind w:left="295"/>
        <w:rPr>
          <w:szCs w:val="20"/>
        </w:rPr>
      </w:pPr>
      <w:r w:rsidRPr="00E949F8">
        <w:rPr>
          <w:szCs w:val="20"/>
        </w:rPr>
        <w:t>P</w:t>
      </w:r>
      <w:r w:rsidR="00E949F8" w:rsidRPr="00E949F8">
        <w:rPr>
          <w:szCs w:val="20"/>
        </w:rPr>
        <w:t xml:space="preserve">O Box 13112 Law Courts </w:t>
      </w:r>
    </w:p>
    <w:p w14:paraId="740F2EC7" w14:textId="4EC58563" w:rsidR="006C1631" w:rsidRDefault="00E949F8" w:rsidP="006C1631">
      <w:pPr>
        <w:ind w:left="295"/>
        <w:rPr>
          <w:szCs w:val="20"/>
        </w:rPr>
      </w:pPr>
      <w:r w:rsidRPr="00E949F8">
        <w:rPr>
          <w:szCs w:val="20"/>
        </w:rPr>
        <w:t>Melbourne VIC 8010</w:t>
      </w:r>
      <w:r>
        <w:rPr>
          <w:szCs w:val="20"/>
        </w:rPr>
        <w:t xml:space="preserve"> </w:t>
      </w:r>
    </w:p>
    <w:p w14:paraId="6F07312D" w14:textId="5EDC675C" w:rsidR="00D72207" w:rsidRPr="004D2889" w:rsidRDefault="006C1631" w:rsidP="00D72207">
      <w:r>
        <w:t xml:space="preserve">The closing date for submissions is </w:t>
      </w:r>
      <w:r w:rsidRPr="00D72207">
        <w:rPr>
          <w:b/>
        </w:rPr>
        <w:t xml:space="preserve">COB, </w:t>
      </w:r>
      <w:r w:rsidR="00B467EA">
        <w:rPr>
          <w:b/>
        </w:rPr>
        <w:t>Thursday</w:t>
      </w:r>
      <w:r w:rsidR="00D72207" w:rsidRPr="00D72207">
        <w:rPr>
          <w:b/>
        </w:rPr>
        <w:t xml:space="preserve"> 1</w:t>
      </w:r>
      <w:r w:rsidR="00B467EA">
        <w:rPr>
          <w:b/>
        </w:rPr>
        <w:t>2</w:t>
      </w:r>
      <w:r w:rsidR="00D72207" w:rsidRPr="00D72207">
        <w:rPr>
          <w:b/>
        </w:rPr>
        <w:t xml:space="preserve"> March 2020</w:t>
      </w:r>
      <w:r w:rsidR="00D72207">
        <w:t>.</w:t>
      </w:r>
      <w:r w:rsidR="00D72207" w:rsidRPr="004D2889">
        <w:t xml:space="preserve"> </w:t>
      </w:r>
    </w:p>
    <w:p w14:paraId="0F4CF9A1" w14:textId="46CA3572" w:rsidR="00E949F8" w:rsidRDefault="006C1631" w:rsidP="006C1631">
      <w:pPr>
        <w:rPr>
          <w:szCs w:val="20"/>
        </w:rPr>
      </w:pPr>
      <w:r>
        <w:t xml:space="preserve">Consultation enquiries can be emailed </w:t>
      </w:r>
      <w:r>
        <w:rPr>
          <w:szCs w:val="20"/>
        </w:rPr>
        <w:t>to</w:t>
      </w:r>
      <w:r w:rsidR="00E949F8">
        <w:rPr>
          <w:szCs w:val="20"/>
        </w:rPr>
        <w:t xml:space="preserve"> </w:t>
      </w:r>
      <w:hyperlink r:id="rId29" w:history="1">
        <w:r w:rsidR="00E949F8" w:rsidRPr="001110C3">
          <w:rPr>
            <w:rStyle w:val="Hyperlink"/>
            <w:szCs w:val="20"/>
          </w:rPr>
          <w:t>techreg@acma.gov.au</w:t>
        </w:r>
      </w:hyperlink>
      <w:r w:rsidR="00E949F8">
        <w:rPr>
          <w:szCs w:val="20"/>
        </w:rPr>
        <w:t>.</w:t>
      </w:r>
    </w:p>
    <w:p w14:paraId="250EB959" w14:textId="77777777" w:rsidR="006C1631" w:rsidRDefault="006C1631" w:rsidP="005B2F0D">
      <w:pPr>
        <w:pStyle w:val="Heading4"/>
      </w:pPr>
      <w:bookmarkStart w:id="23" w:name="_Toc348105639"/>
      <w:bookmarkStart w:id="24" w:name="_Toc300909558"/>
      <w:bookmarkEnd w:id="19"/>
      <w:bookmarkEnd w:id="20"/>
      <w:r>
        <w:t xml:space="preserve">Publication of </w:t>
      </w:r>
      <w:r w:rsidRPr="005B2F0D">
        <w:t>submissions</w:t>
      </w:r>
      <w:bookmarkEnd w:id="21"/>
      <w:bookmarkEnd w:id="22"/>
      <w:bookmarkEnd w:id="23"/>
      <w:bookmarkEnd w:id="24"/>
    </w:p>
    <w:p w14:paraId="40E93F1C" w14:textId="77777777" w:rsidR="006C1631" w:rsidRDefault="006C1631" w:rsidP="006C1631">
      <w:bookmarkStart w:id="25" w:name="_Toc348105640"/>
      <w:bookmarkStart w:id="26" w:name="_Toc300909559"/>
      <w:bookmarkStart w:id="27"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4F26DC5A" w14:textId="77777777" w:rsidR="006C1631" w:rsidRDefault="006C1631" w:rsidP="006C1631">
      <w:r>
        <w:t>Confidential information will not be published or otherwise released unless required or authorised by law.</w:t>
      </w:r>
    </w:p>
    <w:p w14:paraId="20E057F7" w14:textId="77777777" w:rsidR="006C1631" w:rsidRDefault="006C1631" w:rsidP="005B2F0D">
      <w:pPr>
        <w:pStyle w:val="Heading4"/>
      </w:pPr>
      <w:r>
        <w:t>Privacy</w:t>
      </w:r>
    </w:p>
    <w:p w14:paraId="599B6E74" w14:textId="77777777" w:rsidR="006C1631" w:rsidRDefault="00E21056" w:rsidP="005B2F0D">
      <w:pPr>
        <w:pStyle w:val="Paragraph"/>
      </w:pPr>
      <w:r>
        <w:t>View</w:t>
      </w:r>
      <w:r w:rsidR="006C1631">
        <w:t xml:space="preserve"> information about </w:t>
      </w:r>
      <w:r>
        <w:t xml:space="preserve">our policy on the </w:t>
      </w:r>
      <w:hyperlink r:id="rId30"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25"/>
    <w:bookmarkEnd w:id="26"/>
    <w:bookmarkEnd w:id="27"/>
    <w:p w14:paraId="492EEF4F" w14:textId="06375D8E" w:rsidR="007B7C73" w:rsidRPr="007B7C73" w:rsidRDefault="006C1631" w:rsidP="003F7C5F">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31" w:history="1">
        <w:r w:rsidR="00E21056" w:rsidRPr="00E21056">
          <w:rPr>
            <w:rStyle w:val="Hyperlink"/>
          </w:rPr>
          <w:t>privacy policy</w:t>
        </w:r>
      </w:hyperlink>
      <w:r>
        <w:t>.</w:t>
      </w:r>
      <w:r w:rsidR="00A4193E">
        <w:t xml:space="preserve"> </w:t>
      </w:r>
      <w:r w:rsidR="0097692B" w:rsidRPr="006804E2">
        <w:rPr>
          <w:i/>
          <w:color w:val="000000"/>
          <w:sz w:val="22"/>
          <w:szCs w:val="22"/>
        </w:rPr>
        <w:t xml:space="preserve"> </w:t>
      </w:r>
    </w:p>
    <w:sectPr w:rsidR="007B7C73" w:rsidRPr="007B7C73" w:rsidSect="00C77380">
      <w:headerReference w:type="even" r:id="rId32"/>
      <w:headerReference w:type="default" r:id="rId33"/>
      <w:footerReference w:type="even" r:id="rId34"/>
      <w:footerReference w:type="default" r:id="rId35"/>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862AF0A" w14:textId="77777777" w:rsidR="00945178" w:rsidRDefault="00945178">
      <w:r>
        <w:separator/>
      </w:r>
    </w:p>
  </w:endnote>
  <w:endnote w:type="continuationSeparator" w:id="0">
    <w:p w14:paraId="625C2E13" w14:textId="77777777" w:rsidR="00945178" w:rsidRDefault="00945178">
      <w:r>
        <w:continuationSeparator/>
      </w:r>
    </w:p>
  </w:endnote>
  <w:endnote w:type="continuationNotice" w:id="1">
    <w:p w14:paraId="727EBB1D" w14:textId="77777777" w:rsidR="0021656B" w:rsidRDefault="0021656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HelveticaNeueLT Std Lt">
    <w:altName w:val="Arial"/>
    <w:panose1 w:val="00000000000000000000"/>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658F38" w14:textId="77777777" w:rsidR="005E250B" w:rsidRDefault="005E250B" w:rsidP="005E250B">
    <w:pPr>
      <w:pStyle w:val="Footer"/>
      <w:jc w:val="right"/>
    </w:pPr>
    <w:r w:rsidRPr="005E250B">
      <w:rPr>
        <w:noProof/>
        <w:vertAlign w:val="subscript"/>
      </w:rPr>
      <w:drawing>
        <wp:inline distT="0" distB="0" distL="0" distR="0" wp14:anchorId="3FC1F28A" wp14:editId="0E826FCD">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344A56"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D8285BD"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9D3EAAF"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iv</w:t>
    </w:r>
    <w:r w:rsidRPr="002E4DDC">
      <w:rPr>
        <w:color w:val="505050"/>
      </w:rPr>
      <w:fldChar w:fldCharType="end"/>
    </w:r>
  </w:p>
  <w:p w14:paraId="51DF2B11"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5F2980"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0FC8016C"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CA6FBE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D1A43">
      <w:rPr>
        <w:noProof/>
        <w:color w:val="505050"/>
      </w:rPr>
      <w:t>iii</w:t>
    </w:r>
    <w:r w:rsidRPr="002E4DDC">
      <w:rPr>
        <w:color w:val="505050"/>
      </w:rPr>
      <w:fldChar w:fldCharType="end"/>
    </w:r>
  </w:p>
  <w:p w14:paraId="7D19CCA3"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ED9ADF"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115B0939"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15A8A0"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04F2D261"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5C130EE" w14:textId="77777777" w:rsidR="00945178" w:rsidRDefault="00945178">
      <w:r>
        <w:separator/>
      </w:r>
    </w:p>
  </w:footnote>
  <w:footnote w:type="continuationSeparator" w:id="0">
    <w:p w14:paraId="43E225FB" w14:textId="77777777" w:rsidR="00945178" w:rsidRDefault="00945178">
      <w:r>
        <w:continuationSeparator/>
      </w:r>
    </w:p>
  </w:footnote>
  <w:footnote w:type="continuationNotice" w:id="1">
    <w:p w14:paraId="543208CC" w14:textId="77777777" w:rsidR="0021656B" w:rsidRDefault="0021656B">
      <w:pPr>
        <w:spacing w:after="0" w:line="240" w:lineRule="auto"/>
      </w:pPr>
    </w:p>
  </w:footnote>
  <w:footnote w:id="2">
    <w:p w14:paraId="5AEBBDDB" w14:textId="026AE843" w:rsidR="001C37C9" w:rsidRDefault="001C37C9">
      <w:pPr>
        <w:pStyle w:val="FootnoteText"/>
      </w:pPr>
      <w:r>
        <w:rPr>
          <w:rStyle w:val="FootnoteReference"/>
        </w:rPr>
        <w:footnoteRef/>
      </w:r>
      <w:r>
        <w:t xml:space="preserve"> </w:t>
      </w:r>
      <w:r w:rsidRPr="006F542F">
        <w:t>mmWaves span 30</w:t>
      </w:r>
      <w:r>
        <w:t xml:space="preserve"> GHz</w:t>
      </w:r>
      <w:r w:rsidRPr="006F542F">
        <w:t xml:space="preserve"> to 300 GHz (</w:t>
      </w:r>
      <w:r>
        <w:t>that is,</w:t>
      </w:r>
      <w:r w:rsidRPr="006F542F">
        <w:t xml:space="preserve"> a wavelength of 1 cm to 1 mm), however</w:t>
      </w:r>
      <w:r>
        <w:t>,</w:t>
      </w:r>
      <w:r w:rsidRPr="006F542F">
        <w:t xml:space="preserve"> in the current 5G context, mmWave bands in consideration span from around 24 GHz up to 86 GHz.</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CDDBD1" w14:textId="77777777" w:rsidR="00C053A1" w:rsidRPr="00A5474E" w:rsidRDefault="0021426C" w:rsidP="00A5474E">
    <w:pPr>
      <w:pStyle w:val="Header"/>
    </w:pPr>
    <w:r>
      <w:rPr>
        <w:noProof/>
      </w:rPr>
      <w:drawing>
        <wp:inline distT="0" distB="0" distL="0" distR="0" wp14:anchorId="6531658B" wp14:editId="331174FE">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277BC6D"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3102E68"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3E2ECE0"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32710CAF" w14:textId="77777777" w:rsidTr="003B0421">
      <w:trPr>
        <w:trHeight w:hRule="exact" w:val="988"/>
      </w:trPr>
      <w:tc>
        <w:tcPr>
          <w:tcW w:w="7678" w:type="dxa"/>
          <w:shd w:val="clear" w:color="auto" w:fill="auto"/>
        </w:tcPr>
        <w:p w14:paraId="3DF9C7C1" w14:textId="77777777" w:rsidR="00971914" w:rsidRDefault="00971914" w:rsidP="00971914">
          <w:pPr>
            <w:pStyle w:val="Header"/>
          </w:pPr>
        </w:p>
      </w:tc>
    </w:tr>
    <w:tr w:rsidR="00971914" w14:paraId="467D6CAF" w14:textId="77777777" w:rsidTr="003B0421">
      <w:tc>
        <w:tcPr>
          <w:tcW w:w="7678" w:type="dxa"/>
          <w:shd w:val="clear" w:color="auto" w:fill="auto"/>
        </w:tcPr>
        <w:p w14:paraId="360059AF" w14:textId="77777777" w:rsidR="00971914" w:rsidRDefault="00971914" w:rsidP="00971914">
          <w:pPr>
            <w:pStyle w:val="GridTable31"/>
          </w:pPr>
          <w:r>
            <w:t xml:space="preserve">Contents </w:t>
          </w:r>
          <w:r w:rsidRPr="00915B1C">
            <w:rPr>
              <w:b w:val="0"/>
              <w:spacing w:val="0"/>
              <w:sz w:val="28"/>
              <w:szCs w:val="28"/>
            </w:rPr>
            <w:t>(Continued)</w:t>
          </w:r>
        </w:p>
      </w:tc>
    </w:tr>
    <w:tr w:rsidR="00971914" w14:paraId="4B255DDE" w14:textId="77777777" w:rsidTr="003B0421">
      <w:trPr>
        <w:trHeight w:val="1220"/>
      </w:trPr>
      <w:tc>
        <w:tcPr>
          <w:tcW w:w="7678" w:type="dxa"/>
          <w:shd w:val="clear" w:color="auto" w:fill="auto"/>
        </w:tcPr>
        <w:p w14:paraId="54BF54CF" w14:textId="77777777" w:rsidR="00971914" w:rsidRDefault="00971914" w:rsidP="00971914"/>
      </w:tc>
    </w:tr>
  </w:tbl>
  <w:p w14:paraId="738EF13A"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1992368" w14:textId="77777777" w:rsidTr="003B0421">
      <w:trPr>
        <w:trHeight w:hRule="exact" w:val="988"/>
      </w:trPr>
      <w:tc>
        <w:tcPr>
          <w:tcW w:w="7678" w:type="dxa"/>
          <w:shd w:val="clear" w:color="auto" w:fill="auto"/>
        </w:tcPr>
        <w:p w14:paraId="38F45CCE" w14:textId="77777777" w:rsidR="00971914" w:rsidRDefault="00971914" w:rsidP="00971914">
          <w:pPr>
            <w:pStyle w:val="Header"/>
          </w:pPr>
        </w:p>
      </w:tc>
    </w:tr>
    <w:tr w:rsidR="00971914" w14:paraId="228C0991" w14:textId="77777777" w:rsidTr="003B0421">
      <w:tc>
        <w:tcPr>
          <w:tcW w:w="7678" w:type="dxa"/>
          <w:shd w:val="clear" w:color="auto" w:fill="auto"/>
        </w:tcPr>
        <w:p w14:paraId="3AEFF4B8" w14:textId="77777777" w:rsidR="00971914" w:rsidRDefault="00971914" w:rsidP="00971914">
          <w:pPr>
            <w:pStyle w:val="GridTable31"/>
          </w:pPr>
          <w:r>
            <w:t xml:space="preserve">Contents </w:t>
          </w:r>
          <w:r w:rsidRPr="00915B1C">
            <w:rPr>
              <w:b w:val="0"/>
              <w:spacing w:val="0"/>
              <w:sz w:val="28"/>
              <w:szCs w:val="28"/>
            </w:rPr>
            <w:t>(Continued)</w:t>
          </w:r>
        </w:p>
      </w:tc>
    </w:tr>
    <w:tr w:rsidR="00971914" w14:paraId="4F8E8DAA" w14:textId="77777777" w:rsidTr="003B0421">
      <w:trPr>
        <w:trHeight w:val="1220"/>
      </w:trPr>
      <w:tc>
        <w:tcPr>
          <w:tcW w:w="7678" w:type="dxa"/>
          <w:shd w:val="clear" w:color="auto" w:fill="auto"/>
        </w:tcPr>
        <w:p w14:paraId="7157C788" w14:textId="77777777" w:rsidR="00971914" w:rsidRDefault="00971914" w:rsidP="00971914"/>
      </w:tc>
    </w:tr>
  </w:tbl>
  <w:p w14:paraId="2ADD83E8"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EEE9D8C"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4C3EFF9"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3EE495C"/>
    <w:multiLevelType w:val="hybridMultilevel"/>
    <w:tmpl w:val="1D8498B0"/>
    <w:lvl w:ilvl="0" w:tplc="A332420E">
      <w:start w:val="1"/>
      <w:numFmt w:val="lowerLetter"/>
      <w:pStyle w:val="ACMAletteredlist"/>
      <w:lvlText w:val="%1."/>
      <w:lvlJc w:val="left"/>
      <w:pPr>
        <w:tabs>
          <w:tab w:val="num" w:pos="360"/>
        </w:tabs>
        <w:ind w:left="360" w:hanging="360"/>
      </w:pPr>
    </w:lvl>
    <w:lvl w:ilvl="1" w:tplc="8EDAE56E">
      <w:start w:val="1"/>
      <w:numFmt w:val="lowerLetter"/>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209E0B95"/>
    <w:multiLevelType w:val="multilevel"/>
    <w:tmpl w:val="F940D11C"/>
    <w:lvl w:ilvl="0">
      <w:start w:val="1"/>
      <w:numFmt w:val="bullet"/>
      <w:lvlText w:val=""/>
      <w:lvlJc w:val="left"/>
      <w:pPr>
        <w:tabs>
          <w:tab w:val="num" w:pos="599"/>
        </w:tabs>
        <w:ind w:left="599" w:hanging="360"/>
      </w:pPr>
      <w:rPr>
        <w:rFonts w:ascii="Symbol" w:hAnsi="Symbol" w:hint="default"/>
        <w:sz w:val="20"/>
      </w:rPr>
    </w:lvl>
    <w:lvl w:ilvl="1" w:tentative="1">
      <w:start w:val="1"/>
      <w:numFmt w:val="bullet"/>
      <w:lvlText w:val="o"/>
      <w:lvlJc w:val="left"/>
      <w:pPr>
        <w:tabs>
          <w:tab w:val="num" w:pos="1319"/>
        </w:tabs>
        <w:ind w:left="1319" w:hanging="360"/>
      </w:pPr>
      <w:rPr>
        <w:rFonts w:ascii="Courier New" w:hAnsi="Courier New" w:hint="default"/>
        <w:sz w:val="20"/>
      </w:rPr>
    </w:lvl>
    <w:lvl w:ilvl="2" w:tentative="1">
      <w:start w:val="1"/>
      <w:numFmt w:val="bullet"/>
      <w:lvlText w:val=""/>
      <w:lvlJc w:val="left"/>
      <w:pPr>
        <w:tabs>
          <w:tab w:val="num" w:pos="2039"/>
        </w:tabs>
        <w:ind w:left="2039" w:hanging="360"/>
      </w:pPr>
      <w:rPr>
        <w:rFonts w:ascii="Wingdings" w:hAnsi="Wingdings" w:hint="default"/>
        <w:sz w:val="20"/>
      </w:rPr>
    </w:lvl>
    <w:lvl w:ilvl="3" w:tentative="1">
      <w:start w:val="1"/>
      <w:numFmt w:val="bullet"/>
      <w:lvlText w:val=""/>
      <w:lvlJc w:val="left"/>
      <w:pPr>
        <w:tabs>
          <w:tab w:val="num" w:pos="2759"/>
        </w:tabs>
        <w:ind w:left="2759" w:hanging="360"/>
      </w:pPr>
      <w:rPr>
        <w:rFonts w:ascii="Wingdings" w:hAnsi="Wingdings" w:hint="default"/>
        <w:sz w:val="20"/>
      </w:rPr>
    </w:lvl>
    <w:lvl w:ilvl="4" w:tentative="1">
      <w:start w:val="1"/>
      <w:numFmt w:val="bullet"/>
      <w:lvlText w:val=""/>
      <w:lvlJc w:val="left"/>
      <w:pPr>
        <w:tabs>
          <w:tab w:val="num" w:pos="3479"/>
        </w:tabs>
        <w:ind w:left="3479" w:hanging="360"/>
      </w:pPr>
      <w:rPr>
        <w:rFonts w:ascii="Wingdings" w:hAnsi="Wingdings" w:hint="default"/>
        <w:sz w:val="20"/>
      </w:rPr>
    </w:lvl>
    <w:lvl w:ilvl="5" w:tentative="1">
      <w:start w:val="1"/>
      <w:numFmt w:val="bullet"/>
      <w:lvlText w:val=""/>
      <w:lvlJc w:val="left"/>
      <w:pPr>
        <w:tabs>
          <w:tab w:val="num" w:pos="4199"/>
        </w:tabs>
        <w:ind w:left="4199" w:hanging="360"/>
      </w:pPr>
      <w:rPr>
        <w:rFonts w:ascii="Wingdings" w:hAnsi="Wingdings" w:hint="default"/>
        <w:sz w:val="20"/>
      </w:rPr>
    </w:lvl>
    <w:lvl w:ilvl="6" w:tentative="1">
      <w:start w:val="1"/>
      <w:numFmt w:val="bullet"/>
      <w:lvlText w:val=""/>
      <w:lvlJc w:val="left"/>
      <w:pPr>
        <w:tabs>
          <w:tab w:val="num" w:pos="4919"/>
        </w:tabs>
        <w:ind w:left="4919" w:hanging="360"/>
      </w:pPr>
      <w:rPr>
        <w:rFonts w:ascii="Wingdings" w:hAnsi="Wingdings" w:hint="default"/>
        <w:sz w:val="20"/>
      </w:rPr>
    </w:lvl>
    <w:lvl w:ilvl="7" w:tentative="1">
      <w:start w:val="1"/>
      <w:numFmt w:val="bullet"/>
      <w:lvlText w:val=""/>
      <w:lvlJc w:val="left"/>
      <w:pPr>
        <w:tabs>
          <w:tab w:val="num" w:pos="5639"/>
        </w:tabs>
        <w:ind w:left="5639" w:hanging="360"/>
      </w:pPr>
      <w:rPr>
        <w:rFonts w:ascii="Wingdings" w:hAnsi="Wingdings" w:hint="default"/>
        <w:sz w:val="20"/>
      </w:rPr>
    </w:lvl>
    <w:lvl w:ilvl="8" w:tentative="1">
      <w:start w:val="1"/>
      <w:numFmt w:val="bullet"/>
      <w:lvlText w:val=""/>
      <w:lvlJc w:val="left"/>
      <w:pPr>
        <w:tabs>
          <w:tab w:val="num" w:pos="6359"/>
        </w:tabs>
        <w:ind w:left="6359" w:hanging="360"/>
      </w:pPr>
      <w:rPr>
        <w:rFonts w:ascii="Wingdings" w:hAnsi="Wingdings" w:hint="default"/>
        <w:sz w:val="20"/>
      </w:rPr>
    </w:lvl>
  </w:abstractNum>
  <w:abstractNum w:abstractNumId="8"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10" w15:restartNumberingAfterBreak="0">
    <w:nsid w:val="37020905"/>
    <w:multiLevelType w:val="hybridMultilevel"/>
    <w:tmpl w:val="2CCCEBFE"/>
    <w:lvl w:ilvl="0" w:tplc="F9BA0348">
      <w:start w:val="1"/>
      <w:numFmt w:val="decimal"/>
      <w:lvlText w:val="%1."/>
      <w:lvlJc w:val="left"/>
      <w:pPr>
        <w:ind w:left="360" w:hanging="360"/>
      </w:pPr>
      <w:rPr>
        <w:rFonts w:ascii="Arial" w:hAnsi="Arial" w:cs="Arial" w:hint="default"/>
        <w:b w:val="0"/>
        <w:bCs/>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15:restartNumberingAfterBreak="0">
    <w:nsid w:val="381B2E54"/>
    <w:multiLevelType w:val="hybridMultilevel"/>
    <w:tmpl w:val="2034D07A"/>
    <w:lvl w:ilvl="0" w:tplc="909A0494">
      <w:numFmt w:val="bullet"/>
      <w:lvlText w:val=""/>
      <w:lvlJc w:val="left"/>
      <w:pPr>
        <w:ind w:left="36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4BDA2FEE"/>
    <w:multiLevelType w:val="hybridMultilevel"/>
    <w:tmpl w:val="0C80F8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33B36B7"/>
    <w:multiLevelType w:val="hybridMultilevel"/>
    <w:tmpl w:val="10D2B0FA"/>
    <w:lvl w:ilvl="0" w:tplc="909A0494">
      <w:numFmt w:val="bullet"/>
      <w:lvlText w:val=""/>
      <w:lvlJc w:val="left"/>
      <w:pPr>
        <w:ind w:left="360" w:hanging="360"/>
      </w:pPr>
      <w:rPr>
        <w:rFonts w:ascii="Symbol" w:eastAsia="Times New Roman" w:hAnsi="Symbo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D7D1BDB"/>
    <w:multiLevelType w:val="hybridMultilevel"/>
    <w:tmpl w:val="9A5ADF26"/>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start w:val="1"/>
      <w:numFmt w:val="bullet"/>
      <w:lvlText w:val=""/>
      <w:lvlJc w:val="left"/>
      <w:pPr>
        <w:ind w:left="4680" w:hanging="360"/>
      </w:pPr>
      <w:rPr>
        <w:rFonts w:ascii="Wingdings" w:hAnsi="Wingdings" w:hint="default"/>
      </w:rPr>
    </w:lvl>
    <w:lvl w:ilvl="6" w:tplc="0C090001">
      <w:start w:val="1"/>
      <w:numFmt w:val="bullet"/>
      <w:lvlText w:val=""/>
      <w:lvlJc w:val="left"/>
      <w:pPr>
        <w:ind w:left="5400" w:hanging="360"/>
      </w:pPr>
      <w:rPr>
        <w:rFonts w:ascii="Symbol" w:hAnsi="Symbol" w:hint="default"/>
      </w:rPr>
    </w:lvl>
    <w:lvl w:ilvl="7" w:tplc="0C090003">
      <w:start w:val="1"/>
      <w:numFmt w:val="bullet"/>
      <w:lvlText w:val="o"/>
      <w:lvlJc w:val="left"/>
      <w:pPr>
        <w:ind w:left="6120" w:hanging="360"/>
      </w:pPr>
      <w:rPr>
        <w:rFonts w:ascii="Courier New" w:hAnsi="Courier New" w:cs="Courier New" w:hint="default"/>
      </w:rPr>
    </w:lvl>
    <w:lvl w:ilvl="8" w:tplc="0C090005">
      <w:start w:val="1"/>
      <w:numFmt w:val="bullet"/>
      <w:lvlText w:val=""/>
      <w:lvlJc w:val="left"/>
      <w:pPr>
        <w:ind w:left="6840" w:hanging="360"/>
      </w:pPr>
      <w:rPr>
        <w:rFonts w:ascii="Wingdings" w:hAnsi="Wingdings" w:hint="default"/>
      </w:rPr>
    </w:lvl>
  </w:abstractNum>
  <w:abstractNum w:abstractNumId="19" w15:restartNumberingAfterBreak="0">
    <w:nsid w:val="6F834F01"/>
    <w:multiLevelType w:val="multilevel"/>
    <w:tmpl w:val="2356E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29923C8"/>
    <w:multiLevelType w:val="multilevel"/>
    <w:tmpl w:val="CBBA5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 w:numId="5">
    <w:abstractNumId w:val="8"/>
  </w:num>
  <w:num w:numId="6">
    <w:abstractNumId w:val="16"/>
  </w:num>
  <w:num w:numId="7">
    <w:abstractNumId w:val="14"/>
  </w:num>
  <w:num w:numId="8">
    <w:abstractNumId w:val="15"/>
  </w:num>
  <w:num w:numId="9">
    <w:abstractNumId w:val="17"/>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9"/>
  </w:num>
  <w:num w:numId="17">
    <w:abstractNumId w:val="13"/>
  </w:num>
  <w:num w:numId="18">
    <w:abstractNumId w:val="7"/>
  </w:num>
  <w:num w:numId="19">
    <w:abstractNumId w:val="19"/>
  </w:num>
  <w:num w:numId="20">
    <w:abstractNumId w:val="20"/>
  </w:num>
  <w:num w:numId="21">
    <w:abstractNumId w:val="18"/>
  </w:num>
  <w:num w:numId="22">
    <w:abstractNumId w:val="11"/>
  </w:num>
  <w:num w:numId="23">
    <w:abstractNumId w:val="10"/>
  </w:num>
  <w:num w:numId="24">
    <w:abstractNumId w:val="12"/>
  </w:num>
  <w:num w:numId="25">
    <w:abstractNumId w:val="6"/>
  </w:num>
  <w:num w:numId="26">
    <w:abstractNumId w:val="3"/>
  </w:num>
  <w:num w:numId="27">
    <w:abstractNumId w:val="3"/>
  </w:num>
  <w:num w:numId="28">
    <w:abstractNumId w:val="3"/>
  </w:num>
  <w:num w:numId="29">
    <w:abstractNumId w:val="3"/>
  </w:num>
  <w:num w:numId="30">
    <w:abstractNumId w:val="3"/>
  </w:num>
  <w:num w:numId="31">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75777">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5178"/>
    <w:rsid w:val="000042AE"/>
    <w:rsid w:val="00006B7F"/>
    <w:rsid w:val="00010667"/>
    <w:rsid w:val="000129D5"/>
    <w:rsid w:val="00015AE7"/>
    <w:rsid w:val="00016E21"/>
    <w:rsid w:val="0001719C"/>
    <w:rsid w:val="0002224E"/>
    <w:rsid w:val="00023248"/>
    <w:rsid w:val="000245E5"/>
    <w:rsid w:val="00026F91"/>
    <w:rsid w:val="00032621"/>
    <w:rsid w:val="0004764C"/>
    <w:rsid w:val="0005011A"/>
    <w:rsid w:val="0005045A"/>
    <w:rsid w:val="00051C1E"/>
    <w:rsid w:val="000539F9"/>
    <w:rsid w:val="00054C27"/>
    <w:rsid w:val="00055EC3"/>
    <w:rsid w:val="000563CE"/>
    <w:rsid w:val="000564E0"/>
    <w:rsid w:val="000626B6"/>
    <w:rsid w:val="000659B6"/>
    <w:rsid w:val="0006686F"/>
    <w:rsid w:val="0006722A"/>
    <w:rsid w:val="00072ADB"/>
    <w:rsid w:val="000732CF"/>
    <w:rsid w:val="00075209"/>
    <w:rsid w:val="00075B96"/>
    <w:rsid w:val="00077F0B"/>
    <w:rsid w:val="0008196A"/>
    <w:rsid w:val="000915ED"/>
    <w:rsid w:val="0009209D"/>
    <w:rsid w:val="0009463C"/>
    <w:rsid w:val="000969BD"/>
    <w:rsid w:val="000969BF"/>
    <w:rsid w:val="000A0B09"/>
    <w:rsid w:val="000A0C22"/>
    <w:rsid w:val="000A1400"/>
    <w:rsid w:val="000A3C43"/>
    <w:rsid w:val="000A4A51"/>
    <w:rsid w:val="000A5D2B"/>
    <w:rsid w:val="000B4664"/>
    <w:rsid w:val="000B5DE3"/>
    <w:rsid w:val="000C0A57"/>
    <w:rsid w:val="000C230C"/>
    <w:rsid w:val="000C6AB4"/>
    <w:rsid w:val="000D2CB3"/>
    <w:rsid w:val="000D71D9"/>
    <w:rsid w:val="000D76E0"/>
    <w:rsid w:val="000D7E8B"/>
    <w:rsid w:val="000E4449"/>
    <w:rsid w:val="000E6097"/>
    <w:rsid w:val="00101BD5"/>
    <w:rsid w:val="00103829"/>
    <w:rsid w:val="00110B01"/>
    <w:rsid w:val="00111FCE"/>
    <w:rsid w:val="001229A5"/>
    <w:rsid w:val="0012489B"/>
    <w:rsid w:val="00130017"/>
    <w:rsid w:val="00130F91"/>
    <w:rsid w:val="001349ED"/>
    <w:rsid w:val="00137424"/>
    <w:rsid w:val="00140318"/>
    <w:rsid w:val="00141AD9"/>
    <w:rsid w:val="00142B15"/>
    <w:rsid w:val="001446C3"/>
    <w:rsid w:val="00146CE6"/>
    <w:rsid w:val="00152903"/>
    <w:rsid w:val="00153FD5"/>
    <w:rsid w:val="0015614F"/>
    <w:rsid w:val="001577C2"/>
    <w:rsid w:val="001633C4"/>
    <w:rsid w:val="001704D5"/>
    <w:rsid w:val="00171591"/>
    <w:rsid w:val="00173981"/>
    <w:rsid w:val="0017719D"/>
    <w:rsid w:val="00183FD7"/>
    <w:rsid w:val="0018516B"/>
    <w:rsid w:val="00185CAB"/>
    <w:rsid w:val="001875B7"/>
    <w:rsid w:val="00187CB3"/>
    <w:rsid w:val="0019050A"/>
    <w:rsid w:val="001910D4"/>
    <w:rsid w:val="001976E3"/>
    <w:rsid w:val="001A44EC"/>
    <w:rsid w:val="001A47EA"/>
    <w:rsid w:val="001B58AA"/>
    <w:rsid w:val="001B74AF"/>
    <w:rsid w:val="001B7E48"/>
    <w:rsid w:val="001C17CE"/>
    <w:rsid w:val="001C36CA"/>
    <w:rsid w:val="001C37C9"/>
    <w:rsid w:val="001C44D1"/>
    <w:rsid w:val="001C6AEE"/>
    <w:rsid w:val="001C6BD6"/>
    <w:rsid w:val="001C7630"/>
    <w:rsid w:val="001D05F8"/>
    <w:rsid w:val="001D3A15"/>
    <w:rsid w:val="001D6D15"/>
    <w:rsid w:val="001F3857"/>
    <w:rsid w:val="001F50F7"/>
    <w:rsid w:val="001F7558"/>
    <w:rsid w:val="00201EE2"/>
    <w:rsid w:val="00205B57"/>
    <w:rsid w:val="0021426C"/>
    <w:rsid w:val="002157E0"/>
    <w:rsid w:val="0021656B"/>
    <w:rsid w:val="00216A57"/>
    <w:rsid w:val="00217448"/>
    <w:rsid w:val="0022334F"/>
    <w:rsid w:val="00223619"/>
    <w:rsid w:val="00223CB3"/>
    <w:rsid w:val="00226819"/>
    <w:rsid w:val="00233101"/>
    <w:rsid w:val="00233817"/>
    <w:rsid w:val="002367FF"/>
    <w:rsid w:val="00240CE9"/>
    <w:rsid w:val="002434BA"/>
    <w:rsid w:val="00245012"/>
    <w:rsid w:val="00246089"/>
    <w:rsid w:val="00246093"/>
    <w:rsid w:val="00246702"/>
    <w:rsid w:val="00247C59"/>
    <w:rsid w:val="00247F2E"/>
    <w:rsid w:val="00250ADC"/>
    <w:rsid w:val="00250B07"/>
    <w:rsid w:val="0025366C"/>
    <w:rsid w:val="00257553"/>
    <w:rsid w:val="00260FB2"/>
    <w:rsid w:val="00262128"/>
    <w:rsid w:val="002715BE"/>
    <w:rsid w:val="0027165D"/>
    <w:rsid w:val="00273CEB"/>
    <w:rsid w:val="002818D3"/>
    <w:rsid w:val="00281C89"/>
    <w:rsid w:val="0028282F"/>
    <w:rsid w:val="002907BB"/>
    <w:rsid w:val="0029593B"/>
    <w:rsid w:val="00297FC5"/>
    <w:rsid w:val="002A0417"/>
    <w:rsid w:val="002A16D8"/>
    <w:rsid w:val="002A1BC8"/>
    <w:rsid w:val="002A227B"/>
    <w:rsid w:val="002A3EF2"/>
    <w:rsid w:val="002B0DED"/>
    <w:rsid w:val="002B19A2"/>
    <w:rsid w:val="002B381A"/>
    <w:rsid w:val="002B4FCC"/>
    <w:rsid w:val="002B7408"/>
    <w:rsid w:val="002B7CFD"/>
    <w:rsid w:val="002C0530"/>
    <w:rsid w:val="002C210F"/>
    <w:rsid w:val="002D3600"/>
    <w:rsid w:val="002E4DDC"/>
    <w:rsid w:val="002E4DE7"/>
    <w:rsid w:val="00302480"/>
    <w:rsid w:val="00302758"/>
    <w:rsid w:val="00304861"/>
    <w:rsid w:val="00304F58"/>
    <w:rsid w:val="003165E6"/>
    <w:rsid w:val="003215B5"/>
    <w:rsid w:val="003221CF"/>
    <w:rsid w:val="003233ED"/>
    <w:rsid w:val="00324D9F"/>
    <w:rsid w:val="00327948"/>
    <w:rsid w:val="0033000F"/>
    <w:rsid w:val="00332011"/>
    <w:rsid w:val="00332518"/>
    <w:rsid w:val="00332925"/>
    <w:rsid w:val="00332E3F"/>
    <w:rsid w:val="003332ED"/>
    <w:rsid w:val="003368DC"/>
    <w:rsid w:val="00345927"/>
    <w:rsid w:val="00350584"/>
    <w:rsid w:val="00351857"/>
    <w:rsid w:val="003545E8"/>
    <w:rsid w:val="00357AF2"/>
    <w:rsid w:val="003610E1"/>
    <w:rsid w:val="003671BE"/>
    <w:rsid w:val="00372485"/>
    <w:rsid w:val="00373200"/>
    <w:rsid w:val="00375EF5"/>
    <w:rsid w:val="003767A5"/>
    <w:rsid w:val="00381D15"/>
    <w:rsid w:val="00385254"/>
    <w:rsid w:val="003877D8"/>
    <w:rsid w:val="003933E8"/>
    <w:rsid w:val="00394031"/>
    <w:rsid w:val="00396DC2"/>
    <w:rsid w:val="003A04DB"/>
    <w:rsid w:val="003A5F5B"/>
    <w:rsid w:val="003A789A"/>
    <w:rsid w:val="003B12EC"/>
    <w:rsid w:val="003B21BE"/>
    <w:rsid w:val="003C03B8"/>
    <w:rsid w:val="003C77E0"/>
    <w:rsid w:val="003D17D7"/>
    <w:rsid w:val="003D2678"/>
    <w:rsid w:val="003D5A61"/>
    <w:rsid w:val="003D71A3"/>
    <w:rsid w:val="003E2B8A"/>
    <w:rsid w:val="003F10EE"/>
    <w:rsid w:val="003F16F6"/>
    <w:rsid w:val="003F4DC7"/>
    <w:rsid w:val="003F5235"/>
    <w:rsid w:val="003F7C5F"/>
    <w:rsid w:val="004027E4"/>
    <w:rsid w:val="0041071D"/>
    <w:rsid w:val="00413011"/>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72747"/>
    <w:rsid w:val="00474D8A"/>
    <w:rsid w:val="004751C7"/>
    <w:rsid w:val="00481695"/>
    <w:rsid w:val="00495A96"/>
    <w:rsid w:val="00495BB3"/>
    <w:rsid w:val="004A56BB"/>
    <w:rsid w:val="004A70D6"/>
    <w:rsid w:val="004B003A"/>
    <w:rsid w:val="004B1751"/>
    <w:rsid w:val="004C0253"/>
    <w:rsid w:val="004D56FF"/>
    <w:rsid w:val="004D71A1"/>
    <w:rsid w:val="004E39D3"/>
    <w:rsid w:val="004E508A"/>
    <w:rsid w:val="004E616D"/>
    <w:rsid w:val="004F152D"/>
    <w:rsid w:val="004F1BDE"/>
    <w:rsid w:val="004F28CC"/>
    <w:rsid w:val="004F2CEE"/>
    <w:rsid w:val="004F53BA"/>
    <w:rsid w:val="004F556E"/>
    <w:rsid w:val="004F591C"/>
    <w:rsid w:val="004F6E9B"/>
    <w:rsid w:val="004F7F44"/>
    <w:rsid w:val="005037B4"/>
    <w:rsid w:val="005079BF"/>
    <w:rsid w:val="0051269A"/>
    <w:rsid w:val="005219E7"/>
    <w:rsid w:val="00531B9A"/>
    <w:rsid w:val="00531D15"/>
    <w:rsid w:val="005341A6"/>
    <w:rsid w:val="00537604"/>
    <w:rsid w:val="00542377"/>
    <w:rsid w:val="005476EB"/>
    <w:rsid w:val="00551782"/>
    <w:rsid w:val="0055518B"/>
    <w:rsid w:val="00563EF1"/>
    <w:rsid w:val="00566AB4"/>
    <w:rsid w:val="00573812"/>
    <w:rsid w:val="00575AC5"/>
    <w:rsid w:val="0057605D"/>
    <w:rsid w:val="00581347"/>
    <w:rsid w:val="00581AC9"/>
    <w:rsid w:val="005834F8"/>
    <w:rsid w:val="005849F8"/>
    <w:rsid w:val="005938DF"/>
    <w:rsid w:val="00594E9C"/>
    <w:rsid w:val="005A099B"/>
    <w:rsid w:val="005A2D9C"/>
    <w:rsid w:val="005A542D"/>
    <w:rsid w:val="005A55FE"/>
    <w:rsid w:val="005A6A11"/>
    <w:rsid w:val="005B2F0D"/>
    <w:rsid w:val="005C34EF"/>
    <w:rsid w:val="005C3A65"/>
    <w:rsid w:val="005D2502"/>
    <w:rsid w:val="005D40BB"/>
    <w:rsid w:val="005D47F3"/>
    <w:rsid w:val="005D49BF"/>
    <w:rsid w:val="005D4AA5"/>
    <w:rsid w:val="005D6F4E"/>
    <w:rsid w:val="005D7C73"/>
    <w:rsid w:val="005E250B"/>
    <w:rsid w:val="005E3ACD"/>
    <w:rsid w:val="005E7226"/>
    <w:rsid w:val="005E7A57"/>
    <w:rsid w:val="005E7E9C"/>
    <w:rsid w:val="005F24B0"/>
    <w:rsid w:val="006015C7"/>
    <w:rsid w:val="00604315"/>
    <w:rsid w:val="00604E26"/>
    <w:rsid w:val="0060523F"/>
    <w:rsid w:val="006052CF"/>
    <w:rsid w:val="00607B8D"/>
    <w:rsid w:val="00607EF2"/>
    <w:rsid w:val="00611A70"/>
    <w:rsid w:val="00611F5C"/>
    <w:rsid w:val="00616E09"/>
    <w:rsid w:val="00622A3B"/>
    <w:rsid w:val="00622EEA"/>
    <w:rsid w:val="00623769"/>
    <w:rsid w:val="0062396C"/>
    <w:rsid w:val="00623FF9"/>
    <w:rsid w:val="00627D4E"/>
    <w:rsid w:val="00631B07"/>
    <w:rsid w:val="00632B89"/>
    <w:rsid w:val="0063346D"/>
    <w:rsid w:val="00634478"/>
    <w:rsid w:val="00641EB8"/>
    <w:rsid w:val="00644373"/>
    <w:rsid w:val="00645915"/>
    <w:rsid w:val="00646CC4"/>
    <w:rsid w:val="006519C3"/>
    <w:rsid w:val="00652B30"/>
    <w:rsid w:val="00653D3D"/>
    <w:rsid w:val="00656345"/>
    <w:rsid w:val="00656DC6"/>
    <w:rsid w:val="00660EC6"/>
    <w:rsid w:val="00664110"/>
    <w:rsid w:val="00664D17"/>
    <w:rsid w:val="00666520"/>
    <w:rsid w:val="00667C5B"/>
    <w:rsid w:val="00674B81"/>
    <w:rsid w:val="00682594"/>
    <w:rsid w:val="00684A38"/>
    <w:rsid w:val="00691EB8"/>
    <w:rsid w:val="00692CDE"/>
    <w:rsid w:val="00693073"/>
    <w:rsid w:val="006977FF"/>
    <w:rsid w:val="006A01FA"/>
    <w:rsid w:val="006A0E9E"/>
    <w:rsid w:val="006A25C7"/>
    <w:rsid w:val="006A4AAD"/>
    <w:rsid w:val="006A4CCA"/>
    <w:rsid w:val="006A6DA2"/>
    <w:rsid w:val="006A7AB2"/>
    <w:rsid w:val="006B52DE"/>
    <w:rsid w:val="006B5717"/>
    <w:rsid w:val="006B582F"/>
    <w:rsid w:val="006B5EB2"/>
    <w:rsid w:val="006C0CEB"/>
    <w:rsid w:val="006C1631"/>
    <w:rsid w:val="006C3B1E"/>
    <w:rsid w:val="006C47FD"/>
    <w:rsid w:val="006C5C19"/>
    <w:rsid w:val="006C70A0"/>
    <w:rsid w:val="006D27CB"/>
    <w:rsid w:val="006D2F08"/>
    <w:rsid w:val="006D4363"/>
    <w:rsid w:val="006D576C"/>
    <w:rsid w:val="006D5865"/>
    <w:rsid w:val="006E4B1B"/>
    <w:rsid w:val="006E5445"/>
    <w:rsid w:val="006E7D93"/>
    <w:rsid w:val="006F09F6"/>
    <w:rsid w:val="0070133D"/>
    <w:rsid w:val="007020BF"/>
    <w:rsid w:val="007029A3"/>
    <w:rsid w:val="00706E4E"/>
    <w:rsid w:val="0070791C"/>
    <w:rsid w:val="0071198A"/>
    <w:rsid w:val="0071383C"/>
    <w:rsid w:val="007141A7"/>
    <w:rsid w:val="00715722"/>
    <w:rsid w:val="00715BAF"/>
    <w:rsid w:val="00721032"/>
    <w:rsid w:val="00721B55"/>
    <w:rsid w:val="00724653"/>
    <w:rsid w:val="00726CE4"/>
    <w:rsid w:val="00734143"/>
    <w:rsid w:val="00737E47"/>
    <w:rsid w:val="00740EAC"/>
    <w:rsid w:val="007432A8"/>
    <w:rsid w:val="00744956"/>
    <w:rsid w:val="00745A5C"/>
    <w:rsid w:val="0074605F"/>
    <w:rsid w:val="00747E94"/>
    <w:rsid w:val="00747F3D"/>
    <w:rsid w:val="00754C83"/>
    <w:rsid w:val="007608E3"/>
    <w:rsid w:val="00761E5C"/>
    <w:rsid w:val="00765DF8"/>
    <w:rsid w:val="00766749"/>
    <w:rsid w:val="00766A45"/>
    <w:rsid w:val="00767C1B"/>
    <w:rsid w:val="00770B3F"/>
    <w:rsid w:val="007714A9"/>
    <w:rsid w:val="00774F88"/>
    <w:rsid w:val="00774FDB"/>
    <w:rsid w:val="0077544B"/>
    <w:rsid w:val="00777BA2"/>
    <w:rsid w:val="00781408"/>
    <w:rsid w:val="00781630"/>
    <w:rsid w:val="007843B1"/>
    <w:rsid w:val="00784E8D"/>
    <w:rsid w:val="00784F7F"/>
    <w:rsid w:val="007878BD"/>
    <w:rsid w:val="00796F25"/>
    <w:rsid w:val="007A2E98"/>
    <w:rsid w:val="007A3BA3"/>
    <w:rsid w:val="007A6CC0"/>
    <w:rsid w:val="007A7FEC"/>
    <w:rsid w:val="007B0CE2"/>
    <w:rsid w:val="007B1499"/>
    <w:rsid w:val="007B1BBC"/>
    <w:rsid w:val="007B1BBF"/>
    <w:rsid w:val="007B2960"/>
    <w:rsid w:val="007B355D"/>
    <w:rsid w:val="007B7980"/>
    <w:rsid w:val="007B7C73"/>
    <w:rsid w:val="007C0DEF"/>
    <w:rsid w:val="007C5D5A"/>
    <w:rsid w:val="007C607F"/>
    <w:rsid w:val="007C79DD"/>
    <w:rsid w:val="007D1A97"/>
    <w:rsid w:val="007D2CD6"/>
    <w:rsid w:val="007D3063"/>
    <w:rsid w:val="007D3CEB"/>
    <w:rsid w:val="007D60C6"/>
    <w:rsid w:val="007E7683"/>
    <w:rsid w:val="007F49FA"/>
    <w:rsid w:val="007F54C4"/>
    <w:rsid w:val="007F6E9A"/>
    <w:rsid w:val="00800CCD"/>
    <w:rsid w:val="00803DA3"/>
    <w:rsid w:val="008044D4"/>
    <w:rsid w:val="00810AB4"/>
    <w:rsid w:val="00816614"/>
    <w:rsid w:val="00817B56"/>
    <w:rsid w:val="00821A88"/>
    <w:rsid w:val="0082322E"/>
    <w:rsid w:val="0082423F"/>
    <w:rsid w:val="0082495D"/>
    <w:rsid w:val="00831AC3"/>
    <w:rsid w:val="00836FCE"/>
    <w:rsid w:val="008408FF"/>
    <w:rsid w:val="008421E4"/>
    <w:rsid w:val="008446DF"/>
    <w:rsid w:val="00851F3F"/>
    <w:rsid w:val="00853A66"/>
    <w:rsid w:val="00856EDC"/>
    <w:rsid w:val="008623B5"/>
    <w:rsid w:val="00862770"/>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0428"/>
    <w:rsid w:val="008E06FC"/>
    <w:rsid w:val="008E4767"/>
    <w:rsid w:val="008E7A8C"/>
    <w:rsid w:val="0090203B"/>
    <w:rsid w:val="00902BD1"/>
    <w:rsid w:val="00903285"/>
    <w:rsid w:val="00904B90"/>
    <w:rsid w:val="00905E54"/>
    <w:rsid w:val="00906F40"/>
    <w:rsid w:val="0090731E"/>
    <w:rsid w:val="00910436"/>
    <w:rsid w:val="00915B1C"/>
    <w:rsid w:val="009174F3"/>
    <w:rsid w:val="0091797D"/>
    <w:rsid w:val="00923CBA"/>
    <w:rsid w:val="00926703"/>
    <w:rsid w:val="00927691"/>
    <w:rsid w:val="00927A5F"/>
    <w:rsid w:val="00930510"/>
    <w:rsid w:val="00933783"/>
    <w:rsid w:val="00935B63"/>
    <w:rsid w:val="00936E95"/>
    <w:rsid w:val="0094078F"/>
    <w:rsid w:val="00940FA3"/>
    <w:rsid w:val="00941FB0"/>
    <w:rsid w:val="009426D4"/>
    <w:rsid w:val="00945178"/>
    <w:rsid w:val="00947F25"/>
    <w:rsid w:val="00950159"/>
    <w:rsid w:val="0095490B"/>
    <w:rsid w:val="00960A33"/>
    <w:rsid w:val="00971914"/>
    <w:rsid w:val="00974363"/>
    <w:rsid w:val="0097692B"/>
    <w:rsid w:val="00981898"/>
    <w:rsid w:val="0099577C"/>
    <w:rsid w:val="009A021C"/>
    <w:rsid w:val="009A25CC"/>
    <w:rsid w:val="009A4506"/>
    <w:rsid w:val="009B0173"/>
    <w:rsid w:val="009B24A5"/>
    <w:rsid w:val="009B2601"/>
    <w:rsid w:val="009B4E9E"/>
    <w:rsid w:val="009C0C21"/>
    <w:rsid w:val="009C1690"/>
    <w:rsid w:val="009C6881"/>
    <w:rsid w:val="009C7759"/>
    <w:rsid w:val="009D043D"/>
    <w:rsid w:val="009D07C8"/>
    <w:rsid w:val="009D4C85"/>
    <w:rsid w:val="009D6C71"/>
    <w:rsid w:val="009E0631"/>
    <w:rsid w:val="009E16D0"/>
    <w:rsid w:val="009E2051"/>
    <w:rsid w:val="009E38FD"/>
    <w:rsid w:val="009F13D6"/>
    <w:rsid w:val="009F4C6B"/>
    <w:rsid w:val="009F78A8"/>
    <w:rsid w:val="00A02AD6"/>
    <w:rsid w:val="00A02D04"/>
    <w:rsid w:val="00A07096"/>
    <w:rsid w:val="00A07318"/>
    <w:rsid w:val="00A11370"/>
    <w:rsid w:val="00A2181D"/>
    <w:rsid w:val="00A224CE"/>
    <w:rsid w:val="00A22522"/>
    <w:rsid w:val="00A24AFD"/>
    <w:rsid w:val="00A24F5C"/>
    <w:rsid w:val="00A27C35"/>
    <w:rsid w:val="00A32F96"/>
    <w:rsid w:val="00A40871"/>
    <w:rsid w:val="00A412AB"/>
    <w:rsid w:val="00A4193E"/>
    <w:rsid w:val="00A4379E"/>
    <w:rsid w:val="00A440E0"/>
    <w:rsid w:val="00A442EF"/>
    <w:rsid w:val="00A51D1A"/>
    <w:rsid w:val="00A5418D"/>
    <w:rsid w:val="00A5474E"/>
    <w:rsid w:val="00A64234"/>
    <w:rsid w:val="00A70ADF"/>
    <w:rsid w:val="00A71466"/>
    <w:rsid w:val="00A7204C"/>
    <w:rsid w:val="00A74B5E"/>
    <w:rsid w:val="00A81BED"/>
    <w:rsid w:val="00A81EC4"/>
    <w:rsid w:val="00A824E8"/>
    <w:rsid w:val="00A967FD"/>
    <w:rsid w:val="00AA2DE5"/>
    <w:rsid w:val="00AB156C"/>
    <w:rsid w:val="00AB6814"/>
    <w:rsid w:val="00AC04BA"/>
    <w:rsid w:val="00AC0E39"/>
    <w:rsid w:val="00AC0E68"/>
    <w:rsid w:val="00AC5D30"/>
    <w:rsid w:val="00AD3082"/>
    <w:rsid w:val="00AD32B4"/>
    <w:rsid w:val="00AD4AD0"/>
    <w:rsid w:val="00AD5436"/>
    <w:rsid w:val="00AD60CD"/>
    <w:rsid w:val="00AD6C8C"/>
    <w:rsid w:val="00AE091D"/>
    <w:rsid w:val="00AE3B60"/>
    <w:rsid w:val="00AE53A1"/>
    <w:rsid w:val="00AF2484"/>
    <w:rsid w:val="00AF4EC9"/>
    <w:rsid w:val="00AF63E7"/>
    <w:rsid w:val="00AF6650"/>
    <w:rsid w:val="00AF68B9"/>
    <w:rsid w:val="00AF6E17"/>
    <w:rsid w:val="00B0165D"/>
    <w:rsid w:val="00B01B60"/>
    <w:rsid w:val="00B031F3"/>
    <w:rsid w:val="00B052A4"/>
    <w:rsid w:val="00B125DE"/>
    <w:rsid w:val="00B13FDD"/>
    <w:rsid w:val="00B208E8"/>
    <w:rsid w:val="00B22EB2"/>
    <w:rsid w:val="00B27442"/>
    <w:rsid w:val="00B31167"/>
    <w:rsid w:val="00B329D8"/>
    <w:rsid w:val="00B32BB9"/>
    <w:rsid w:val="00B33AE1"/>
    <w:rsid w:val="00B36989"/>
    <w:rsid w:val="00B37C38"/>
    <w:rsid w:val="00B4288C"/>
    <w:rsid w:val="00B43262"/>
    <w:rsid w:val="00B44100"/>
    <w:rsid w:val="00B467EA"/>
    <w:rsid w:val="00B46CBA"/>
    <w:rsid w:val="00B46F94"/>
    <w:rsid w:val="00B6003C"/>
    <w:rsid w:val="00B61F03"/>
    <w:rsid w:val="00B626E4"/>
    <w:rsid w:val="00B72F4A"/>
    <w:rsid w:val="00B83C27"/>
    <w:rsid w:val="00B84BC3"/>
    <w:rsid w:val="00B84BDD"/>
    <w:rsid w:val="00B856DA"/>
    <w:rsid w:val="00B92812"/>
    <w:rsid w:val="00BB45A1"/>
    <w:rsid w:val="00BB6335"/>
    <w:rsid w:val="00BB7686"/>
    <w:rsid w:val="00BB7802"/>
    <w:rsid w:val="00BC23F9"/>
    <w:rsid w:val="00BC3421"/>
    <w:rsid w:val="00BC4ABC"/>
    <w:rsid w:val="00BC732C"/>
    <w:rsid w:val="00BD4421"/>
    <w:rsid w:val="00BE2580"/>
    <w:rsid w:val="00BE266D"/>
    <w:rsid w:val="00BE3938"/>
    <w:rsid w:val="00BE4C11"/>
    <w:rsid w:val="00BE71C0"/>
    <w:rsid w:val="00BF57FB"/>
    <w:rsid w:val="00BF610C"/>
    <w:rsid w:val="00BF7C4A"/>
    <w:rsid w:val="00C0060B"/>
    <w:rsid w:val="00C01A6C"/>
    <w:rsid w:val="00C0277D"/>
    <w:rsid w:val="00C02F26"/>
    <w:rsid w:val="00C053A1"/>
    <w:rsid w:val="00C16198"/>
    <w:rsid w:val="00C2083D"/>
    <w:rsid w:val="00C24A53"/>
    <w:rsid w:val="00C34A05"/>
    <w:rsid w:val="00C35CCE"/>
    <w:rsid w:val="00C36AF1"/>
    <w:rsid w:val="00C4032F"/>
    <w:rsid w:val="00C41F21"/>
    <w:rsid w:val="00C44047"/>
    <w:rsid w:val="00C45155"/>
    <w:rsid w:val="00C5498F"/>
    <w:rsid w:val="00C55235"/>
    <w:rsid w:val="00C64CD0"/>
    <w:rsid w:val="00C65F61"/>
    <w:rsid w:val="00C6684F"/>
    <w:rsid w:val="00C70E70"/>
    <w:rsid w:val="00C75F8D"/>
    <w:rsid w:val="00C77380"/>
    <w:rsid w:val="00C82350"/>
    <w:rsid w:val="00C87E8A"/>
    <w:rsid w:val="00C913D6"/>
    <w:rsid w:val="00C925A6"/>
    <w:rsid w:val="00C97736"/>
    <w:rsid w:val="00CA345A"/>
    <w:rsid w:val="00CB1E82"/>
    <w:rsid w:val="00CB4865"/>
    <w:rsid w:val="00CB4BA8"/>
    <w:rsid w:val="00CB52D7"/>
    <w:rsid w:val="00CC6732"/>
    <w:rsid w:val="00CD6ACF"/>
    <w:rsid w:val="00CE3C96"/>
    <w:rsid w:val="00CE51A8"/>
    <w:rsid w:val="00CE53D2"/>
    <w:rsid w:val="00CF0BFE"/>
    <w:rsid w:val="00CF369B"/>
    <w:rsid w:val="00D00E28"/>
    <w:rsid w:val="00D0269E"/>
    <w:rsid w:val="00D05D6C"/>
    <w:rsid w:val="00D07B9F"/>
    <w:rsid w:val="00D15810"/>
    <w:rsid w:val="00D16D4E"/>
    <w:rsid w:val="00D16FE3"/>
    <w:rsid w:val="00D27F41"/>
    <w:rsid w:val="00D36441"/>
    <w:rsid w:val="00D4064E"/>
    <w:rsid w:val="00D44E9B"/>
    <w:rsid w:val="00D47AEB"/>
    <w:rsid w:val="00D50DB9"/>
    <w:rsid w:val="00D51302"/>
    <w:rsid w:val="00D52C43"/>
    <w:rsid w:val="00D61243"/>
    <w:rsid w:val="00D6507F"/>
    <w:rsid w:val="00D72207"/>
    <w:rsid w:val="00D730BC"/>
    <w:rsid w:val="00D73236"/>
    <w:rsid w:val="00D73912"/>
    <w:rsid w:val="00D85226"/>
    <w:rsid w:val="00D87B94"/>
    <w:rsid w:val="00D92D49"/>
    <w:rsid w:val="00D92EC1"/>
    <w:rsid w:val="00D965E1"/>
    <w:rsid w:val="00D96DEA"/>
    <w:rsid w:val="00D97A9A"/>
    <w:rsid w:val="00DA4E41"/>
    <w:rsid w:val="00DA7951"/>
    <w:rsid w:val="00DB117A"/>
    <w:rsid w:val="00DB4C1B"/>
    <w:rsid w:val="00DB5173"/>
    <w:rsid w:val="00DB7873"/>
    <w:rsid w:val="00DC187B"/>
    <w:rsid w:val="00DD1A43"/>
    <w:rsid w:val="00DD514D"/>
    <w:rsid w:val="00DD73C2"/>
    <w:rsid w:val="00DD7D85"/>
    <w:rsid w:val="00DE319B"/>
    <w:rsid w:val="00DF34FE"/>
    <w:rsid w:val="00DF56AA"/>
    <w:rsid w:val="00DF56AF"/>
    <w:rsid w:val="00DF78E7"/>
    <w:rsid w:val="00E110E0"/>
    <w:rsid w:val="00E15371"/>
    <w:rsid w:val="00E21056"/>
    <w:rsid w:val="00E24104"/>
    <w:rsid w:val="00E302D0"/>
    <w:rsid w:val="00E35707"/>
    <w:rsid w:val="00E36AA1"/>
    <w:rsid w:val="00E41ECB"/>
    <w:rsid w:val="00E42676"/>
    <w:rsid w:val="00E54FDB"/>
    <w:rsid w:val="00E5617D"/>
    <w:rsid w:val="00E563D7"/>
    <w:rsid w:val="00E663F4"/>
    <w:rsid w:val="00E666F2"/>
    <w:rsid w:val="00E66DD4"/>
    <w:rsid w:val="00E71872"/>
    <w:rsid w:val="00E748CC"/>
    <w:rsid w:val="00E75415"/>
    <w:rsid w:val="00E7678B"/>
    <w:rsid w:val="00E775B1"/>
    <w:rsid w:val="00E810A7"/>
    <w:rsid w:val="00E8152A"/>
    <w:rsid w:val="00E93629"/>
    <w:rsid w:val="00E93B5C"/>
    <w:rsid w:val="00E949F8"/>
    <w:rsid w:val="00E94CEC"/>
    <w:rsid w:val="00E96C15"/>
    <w:rsid w:val="00EA04EF"/>
    <w:rsid w:val="00EA19B8"/>
    <w:rsid w:val="00EA3D56"/>
    <w:rsid w:val="00EA6C79"/>
    <w:rsid w:val="00EA6F19"/>
    <w:rsid w:val="00EB7090"/>
    <w:rsid w:val="00EC1BBE"/>
    <w:rsid w:val="00EC2B68"/>
    <w:rsid w:val="00EC3AEF"/>
    <w:rsid w:val="00EC5CD7"/>
    <w:rsid w:val="00EC6548"/>
    <w:rsid w:val="00EC6A5F"/>
    <w:rsid w:val="00EE5FB3"/>
    <w:rsid w:val="00EE6BF4"/>
    <w:rsid w:val="00EE7F79"/>
    <w:rsid w:val="00EF3FC5"/>
    <w:rsid w:val="00EF715A"/>
    <w:rsid w:val="00F01B68"/>
    <w:rsid w:val="00F06E14"/>
    <w:rsid w:val="00F179D4"/>
    <w:rsid w:val="00F22A23"/>
    <w:rsid w:val="00F33C56"/>
    <w:rsid w:val="00F347C7"/>
    <w:rsid w:val="00F34848"/>
    <w:rsid w:val="00F420B4"/>
    <w:rsid w:val="00F42D46"/>
    <w:rsid w:val="00F4496C"/>
    <w:rsid w:val="00F44F3A"/>
    <w:rsid w:val="00F51F10"/>
    <w:rsid w:val="00F529A5"/>
    <w:rsid w:val="00F5310D"/>
    <w:rsid w:val="00F60F00"/>
    <w:rsid w:val="00F614C0"/>
    <w:rsid w:val="00F72052"/>
    <w:rsid w:val="00F81B5B"/>
    <w:rsid w:val="00F83848"/>
    <w:rsid w:val="00F90AB5"/>
    <w:rsid w:val="00F959D4"/>
    <w:rsid w:val="00F975E9"/>
    <w:rsid w:val="00FA1B7D"/>
    <w:rsid w:val="00FA7648"/>
    <w:rsid w:val="00FB608A"/>
    <w:rsid w:val="00FC07B9"/>
    <w:rsid w:val="00FC4E21"/>
    <w:rsid w:val="00FC5F6D"/>
    <w:rsid w:val="00FD0107"/>
    <w:rsid w:val="00FD2C2F"/>
    <w:rsid w:val="00FD3B31"/>
    <w:rsid w:val="00FD7785"/>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75777">
      <o:colormru v:ext="edit" colors="red,#4d4d4f"/>
    </o:shapedefaults>
    <o:shapelayout v:ext="edit">
      <o:idmap v:ext="edit" data="1"/>
    </o:shapelayout>
  </w:shapeDefaults>
  <w:decimalSymbol w:val="."/>
  <w:listSeparator w:val=","/>
  <w14:docId w14:val="481624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Normal" w:qFormat="1"/>
    <w:lsdException w:name="heading 1" w:uiPriority="1" w:qFormat="1"/>
    <w:lsdException w:name="heading 2" w:uiPriority="1" w:qFormat="1"/>
    <w:lsdException w:name="heading 3" w:qFormat="1"/>
    <w:lsdException w:name="heading 4" w:uiPriority="2"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uiPriority="34" w:qFormat="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paragraph" w:styleId="NormalWeb">
    <w:name w:val="Normal (Web)"/>
    <w:basedOn w:val="Normal"/>
    <w:uiPriority w:val="99"/>
    <w:semiHidden/>
    <w:unhideWhenUsed/>
    <w:rsid w:val="006015C7"/>
    <w:pPr>
      <w:spacing w:after="100" w:afterAutospacing="1" w:line="240" w:lineRule="auto"/>
    </w:pPr>
    <w:rPr>
      <w:rFonts w:ascii="Times New Roman" w:hAnsi="Times New Roman"/>
      <w:sz w:val="24"/>
    </w:rPr>
  </w:style>
  <w:style w:type="paragraph" w:styleId="ListParagraph">
    <w:name w:val="List Paragraph"/>
    <w:aliases w:val="List Paragraph1,List Paragraph11,Recommendation,bullet point list"/>
    <w:basedOn w:val="Normal"/>
    <w:link w:val="ListParagraphChar"/>
    <w:uiPriority w:val="34"/>
    <w:qFormat/>
    <w:rsid w:val="00766A45"/>
    <w:pPr>
      <w:ind w:left="720"/>
      <w:contextualSpacing/>
    </w:pPr>
  </w:style>
  <w:style w:type="paragraph" w:customStyle="1" w:styleId="ACMABodyText">
    <w:name w:val="ACMA Body Text"/>
    <w:link w:val="ACMABodyTextChar"/>
    <w:rsid w:val="00766A45"/>
    <w:pPr>
      <w:suppressAutoHyphens/>
      <w:spacing w:before="80" w:after="120" w:line="280" w:lineRule="atLeast"/>
    </w:pPr>
    <w:rPr>
      <w:snapToGrid w:val="0"/>
      <w:szCs w:val="20"/>
      <w:lang w:eastAsia="en-US"/>
    </w:rPr>
  </w:style>
  <w:style w:type="character" w:customStyle="1" w:styleId="ACMABodyTextChar">
    <w:name w:val="ACMA Body Text Char"/>
    <w:basedOn w:val="DefaultParagraphFont"/>
    <w:link w:val="ACMABodyText"/>
    <w:locked/>
    <w:rsid w:val="00766A45"/>
    <w:rPr>
      <w:snapToGrid w:val="0"/>
      <w:szCs w:val="20"/>
      <w:lang w:eastAsia="en-US"/>
    </w:rPr>
  </w:style>
  <w:style w:type="character" w:customStyle="1" w:styleId="ListParagraphChar">
    <w:name w:val="List Paragraph Char"/>
    <w:aliases w:val="List Paragraph1 Char,List Paragraph11 Char,Recommendation Char,bullet point list Char"/>
    <w:basedOn w:val="DefaultParagraphFont"/>
    <w:link w:val="ListParagraph"/>
    <w:uiPriority w:val="34"/>
    <w:locked/>
    <w:rsid w:val="000A0B09"/>
    <w:rPr>
      <w:rFonts w:ascii="Arial" w:hAnsi="Arial"/>
      <w:sz w:val="20"/>
    </w:rPr>
  </w:style>
  <w:style w:type="paragraph" w:customStyle="1" w:styleId="ACMAletteredlist">
    <w:name w:val="ACMA lettered list"/>
    <w:rsid w:val="00D73236"/>
    <w:pPr>
      <w:numPr>
        <w:numId w:val="25"/>
      </w:numPr>
      <w:tabs>
        <w:tab w:val="clear" w:pos="360"/>
      </w:tabs>
      <w:spacing w:before="20" w:after="20"/>
    </w:pPr>
    <w:rPr>
      <w:szCs w:val="20"/>
      <w:lang w:eastAsia="en-US"/>
    </w:rPr>
  </w:style>
  <w:style w:type="paragraph" w:styleId="Revision">
    <w:name w:val="Revision"/>
    <w:hidden/>
    <w:semiHidden/>
    <w:rsid w:val="007B0CE2"/>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102917432">
      <w:bodyDiv w:val="1"/>
      <w:marLeft w:val="0"/>
      <w:marRight w:val="0"/>
      <w:marTop w:val="0"/>
      <w:marBottom w:val="0"/>
      <w:divBdr>
        <w:top w:val="none" w:sz="0" w:space="0" w:color="auto"/>
        <w:left w:val="none" w:sz="0" w:space="0" w:color="auto"/>
        <w:bottom w:val="none" w:sz="0" w:space="0" w:color="auto"/>
        <w:right w:val="none" w:sz="0" w:space="0" w:color="auto"/>
      </w:divBdr>
      <w:divsChild>
        <w:div w:id="1284461115">
          <w:marLeft w:val="0"/>
          <w:marRight w:val="0"/>
          <w:marTop w:val="0"/>
          <w:marBottom w:val="0"/>
          <w:divBdr>
            <w:top w:val="none" w:sz="0" w:space="0" w:color="auto"/>
            <w:left w:val="none" w:sz="0" w:space="0" w:color="auto"/>
            <w:bottom w:val="none" w:sz="0" w:space="0" w:color="auto"/>
            <w:right w:val="none" w:sz="0" w:space="0" w:color="auto"/>
          </w:divBdr>
          <w:divsChild>
            <w:div w:id="1484739825">
              <w:marLeft w:val="0"/>
              <w:marRight w:val="0"/>
              <w:marTop w:val="0"/>
              <w:marBottom w:val="750"/>
              <w:divBdr>
                <w:top w:val="none" w:sz="0" w:space="0" w:color="auto"/>
                <w:left w:val="none" w:sz="0" w:space="0" w:color="auto"/>
                <w:bottom w:val="none" w:sz="0" w:space="0" w:color="auto"/>
                <w:right w:val="none" w:sz="0" w:space="0" w:color="auto"/>
              </w:divBdr>
              <w:divsChild>
                <w:div w:id="2060007427">
                  <w:marLeft w:val="0"/>
                  <w:marRight w:val="0"/>
                  <w:marTop w:val="0"/>
                  <w:marBottom w:val="0"/>
                  <w:divBdr>
                    <w:top w:val="none" w:sz="0" w:space="0" w:color="auto"/>
                    <w:left w:val="none" w:sz="0" w:space="0" w:color="auto"/>
                    <w:bottom w:val="none" w:sz="0" w:space="0" w:color="auto"/>
                    <w:right w:val="none" w:sz="0" w:space="0" w:color="auto"/>
                  </w:divBdr>
                  <w:divsChild>
                    <w:div w:id="282658833">
                      <w:marLeft w:val="-225"/>
                      <w:marRight w:val="-225"/>
                      <w:marTop w:val="0"/>
                      <w:marBottom w:val="0"/>
                      <w:divBdr>
                        <w:top w:val="none" w:sz="0" w:space="0" w:color="auto"/>
                        <w:left w:val="none" w:sz="0" w:space="0" w:color="auto"/>
                        <w:bottom w:val="none" w:sz="0" w:space="0" w:color="auto"/>
                        <w:right w:val="none" w:sz="0" w:space="0" w:color="auto"/>
                      </w:divBdr>
                      <w:divsChild>
                        <w:div w:id="1721049601">
                          <w:marLeft w:val="0"/>
                          <w:marRight w:val="0"/>
                          <w:marTop w:val="0"/>
                          <w:marBottom w:val="0"/>
                          <w:divBdr>
                            <w:top w:val="none" w:sz="0" w:space="0" w:color="auto"/>
                            <w:left w:val="none" w:sz="0" w:space="0" w:color="auto"/>
                            <w:bottom w:val="none" w:sz="0" w:space="0" w:color="auto"/>
                            <w:right w:val="none" w:sz="0" w:space="0" w:color="auto"/>
                          </w:divBdr>
                          <w:divsChild>
                            <w:div w:id="1534030472">
                              <w:marLeft w:val="0"/>
                              <w:marRight w:val="0"/>
                              <w:marTop w:val="0"/>
                              <w:marBottom w:val="0"/>
                              <w:divBdr>
                                <w:top w:val="none" w:sz="0" w:space="0" w:color="auto"/>
                                <w:left w:val="none" w:sz="0" w:space="0" w:color="auto"/>
                                <w:bottom w:val="none" w:sz="0" w:space="0" w:color="auto"/>
                                <w:right w:val="none" w:sz="0" w:space="0" w:color="auto"/>
                              </w:divBdr>
                              <w:divsChild>
                                <w:div w:id="2007706182">
                                  <w:marLeft w:val="0"/>
                                  <w:marRight w:val="0"/>
                                  <w:marTop w:val="0"/>
                                  <w:marBottom w:val="0"/>
                                  <w:divBdr>
                                    <w:top w:val="none" w:sz="0" w:space="0" w:color="auto"/>
                                    <w:left w:val="none" w:sz="0" w:space="0" w:color="auto"/>
                                    <w:bottom w:val="none" w:sz="0" w:space="0" w:color="auto"/>
                                    <w:right w:val="none" w:sz="0" w:space="0" w:color="auto"/>
                                  </w:divBdr>
                                  <w:divsChild>
                                    <w:div w:id="1713337602">
                                      <w:marLeft w:val="0"/>
                                      <w:marRight w:val="0"/>
                                      <w:marTop w:val="0"/>
                                      <w:marBottom w:val="0"/>
                                      <w:divBdr>
                                        <w:top w:val="none" w:sz="0" w:space="0" w:color="auto"/>
                                        <w:left w:val="none" w:sz="0" w:space="0" w:color="auto"/>
                                        <w:bottom w:val="none" w:sz="0" w:space="0" w:color="auto"/>
                                        <w:right w:val="none" w:sz="0" w:space="0" w:color="auto"/>
                                      </w:divBdr>
                                      <w:divsChild>
                                        <w:div w:id="797531072">
                                          <w:marLeft w:val="0"/>
                                          <w:marRight w:val="0"/>
                                          <w:marTop w:val="0"/>
                                          <w:marBottom w:val="0"/>
                                          <w:divBdr>
                                            <w:top w:val="none" w:sz="0" w:space="0" w:color="auto"/>
                                            <w:left w:val="none" w:sz="0" w:space="0" w:color="auto"/>
                                            <w:bottom w:val="none" w:sz="0" w:space="0" w:color="auto"/>
                                            <w:right w:val="none" w:sz="0" w:space="0" w:color="auto"/>
                                          </w:divBdr>
                                          <w:divsChild>
                                            <w:div w:id="1519076498">
                                              <w:marLeft w:val="0"/>
                                              <w:marRight w:val="0"/>
                                              <w:marTop w:val="0"/>
                                              <w:marBottom w:val="0"/>
                                              <w:divBdr>
                                                <w:top w:val="none" w:sz="0" w:space="0" w:color="auto"/>
                                                <w:left w:val="none" w:sz="0" w:space="0" w:color="auto"/>
                                                <w:bottom w:val="none" w:sz="0" w:space="0" w:color="auto"/>
                                                <w:right w:val="none" w:sz="0" w:space="0" w:color="auto"/>
                                              </w:divBdr>
                                              <w:divsChild>
                                                <w:div w:id="1901015099">
                                                  <w:marLeft w:val="0"/>
                                                  <w:marRight w:val="0"/>
                                                  <w:marTop w:val="0"/>
                                                  <w:marBottom w:val="0"/>
                                                  <w:divBdr>
                                                    <w:top w:val="none" w:sz="0" w:space="0" w:color="auto"/>
                                                    <w:left w:val="none" w:sz="0" w:space="0" w:color="auto"/>
                                                    <w:bottom w:val="none" w:sz="0" w:space="0" w:color="auto"/>
                                                    <w:right w:val="none" w:sz="0" w:space="0" w:color="auto"/>
                                                  </w:divBdr>
                                                  <w:divsChild>
                                                    <w:div w:id="1851527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footer" Target="footer3.xml"/><Relationship Id="rId34" Type="http://schemas.openxmlformats.org/officeDocument/2006/relationships/footer" Target="footer7.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info@acma.gov.au" TargetMode="External"/><Relationship Id="rId25" Type="http://schemas.openxmlformats.org/officeDocument/2006/relationships/footer" Target="footer5.xml"/><Relationship Id="rId33" Type="http://schemas.openxmlformats.org/officeDocument/2006/relationships/header" Target="header8.xml"/><Relationship Id="rId2" Type="http://schemas.openxmlformats.org/officeDocument/2006/relationships/customXml" Target="../customXml/item2.xml"/><Relationship Id="rId16" Type="http://schemas.openxmlformats.org/officeDocument/2006/relationships/hyperlink" Target="https://creativecommons.org/licenses/by/4.0/" TargetMode="External"/><Relationship Id="rId20" Type="http://schemas.openxmlformats.org/officeDocument/2006/relationships/footer" Target="footer2.xml"/><Relationship Id="rId29" Type="http://schemas.openxmlformats.org/officeDocument/2006/relationships/hyperlink" Target="mailto:techreg@acma.gov.au"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header" Target="header7.xml"/><Relationship Id="rId37"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header" Target="header6.xml"/><Relationship Id="rId28" Type="http://schemas.openxmlformats.org/officeDocument/2006/relationships/hyperlink" Target="https://www.acma.gov.au/have-your-say" TargetMode="External"/><Relationship Id="rId36"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hyperlink" Target="https://www.acma.gov.au/privacy-polic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yperlink" Target="https://www.arpansa.gov.au/regulation-and-licensing/regulatory-publications/radiation-protection-series/codes-and-standards/rps3" TargetMode="External"/><Relationship Id="rId30" Type="http://schemas.openxmlformats.org/officeDocument/2006/relationships/hyperlink" Target="https://www.acma.gov.au/publication-submissions" TargetMode="External"/><Relationship Id="rId35" Type="http://schemas.openxmlformats.org/officeDocument/2006/relationships/footer" Target="footer8.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80208D3386B714F868445C21D19A09D" ma:contentTypeVersion="13" ma:contentTypeDescription="Create a new document." ma:contentTypeScope="" ma:versionID="0177a2d1a84547a15dabbbd22cb5ad0b">
  <xsd:schema xmlns:xsd="http://www.w3.org/2001/XMLSchema" xmlns:xs="http://www.w3.org/2001/XMLSchema" xmlns:p="http://schemas.microsoft.com/office/2006/metadata/properties" xmlns:ns3="f46e3ec0-68a7-4224-820d-95137d47d6b5" xmlns:ns4="4eb9cabd-8d5a-42b9-b1ef-e48dbcba3a05" targetNamespace="http://schemas.microsoft.com/office/2006/metadata/properties" ma:root="true" ma:fieldsID="ebe610df55ab1148d0d0c19cbb3a5067" ns3:_="" ns4:_="">
    <xsd:import namespace="f46e3ec0-68a7-4224-820d-95137d47d6b5"/>
    <xsd:import namespace="4eb9cabd-8d5a-42b9-b1ef-e48dbcba3a0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4:SharingHintHash" minOccurs="0"/>
                <xsd:element ref="ns3:MediaServiceLocation"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6e3ec0-68a7-4224-820d-95137d47d6b5"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4eb9cabd-8d5a-42b9-b1ef-e48dbcba3a05"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SharingHintHash" ma:index="15"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F72B6A3-8269-42C0-846A-BDDDFD5CC83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6e3ec0-68a7-4224-820d-95137d47d6b5"/>
    <ds:schemaRef ds:uri="4eb9cabd-8d5a-42b9-b1ef-e48dbcba3a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9CDDFC-5810-4718-A750-0C9A37F26530}">
  <ds:schemaRefs>
    <ds:schemaRef ds:uri="http://schemas.microsoft.com/sharepoint/v3/contenttype/forms"/>
  </ds:schemaRefs>
</ds:datastoreItem>
</file>

<file path=customXml/itemProps3.xml><?xml version="1.0" encoding="utf-8"?>
<ds:datastoreItem xmlns:ds="http://schemas.openxmlformats.org/officeDocument/2006/customXml" ds:itemID="{82FE566B-5C96-4B3C-B066-7AA26CB674E4}">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3475E2B9-3DC5-4F92-961E-9FE7DD871B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2074</Words>
  <Characters>11822</Characters>
  <Application>Microsoft Office Word</Application>
  <DocSecurity>4</DocSecurity>
  <Lines>98</Lines>
  <Paragraphs>27</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13869</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2020-01-29T04:32:00Z</dcterms:created>
  <dcterms:modified xsi:type="dcterms:W3CDTF">2020-01-29T04:32:00Z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0x010100880208D3386B714F868445C21D19A09D</vt:lpwstr>
  </property>
</Properties>
</file>