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F49" w:rsidRPr="00EB0571" w:rsidRDefault="004F4F49" w:rsidP="004F4F49">
      <w:pPr>
        <w:pStyle w:val="TITLEOFRALI"/>
        <w:rPr>
          <w:szCs w:val="40"/>
        </w:rPr>
      </w:pPr>
      <w:bookmarkStart w:id="0" w:name="OLE_LINK7"/>
      <w:r>
        <w:rPr>
          <w:szCs w:val="40"/>
        </w:rPr>
        <w:t>COORDINATION</w:t>
      </w:r>
      <w:r w:rsidRPr="00EB0571">
        <w:rPr>
          <w:szCs w:val="40"/>
        </w:rPr>
        <w:t xml:space="preserve"> </w:t>
      </w:r>
    </w:p>
    <w:p w:rsidR="004F4F49" w:rsidRPr="00EB0571" w:rsidRDefault="004F4F49" w:rsidP="004F4F49">
      <w:pPr>
        <w:pStyle w:val="TITLEOFRALI"/>
        <w:rPr>
          <w:szCs w:val="40"/>
        </w:rPr>
      </w:pPr>
      <w:r>
        <w:rPr>
          <w:szCs w:val="40"/>
        </w:rPr>
        <w:t>OF</w:t>
      </w:r>
      <w:r w:rsidRPr="00EB0571">
        <w:rPr>
          <w:szCs w:val="40"/>
        </w:rPr>
        <w:t xml:space="preserve"> </w:t>
      </w:r>
      <w:r w:rsidR="00A33B61">
        <w:rPr>
          <w:szCs w:val="40"/>
        </w:rPr>
        <w:t>SPECTRUM</w:t>
      </w:r>
      <w:r w:rsidR="00700939">
        <w:rPr>
          <w:szCs w:val="40"/>
        </w:rPr>
        <w:t>-</w:t>
      </w:r>
      <w:r w:rsidR="00A33B61">
        <w:rPr>
          <w:szCs w:val="40"/>
        </w:rPr>
        <w:t xml:space="preserve">LICENSED DEVICES </w:t>
      </w:r>
      <w:r w:rsidR="00524B47">
        <w:rPr>
          <w:szCs w:val="40"/>
        </w:rPr>
        <w:t xml:space="preserve">operating </w:t>
      </w:r>
      <w:r w:rsidR="00A33B61">
        <w:rPr>
          <w:szCs w:val="40"/>
        </w:rPr>
        <w:t>IN</w:t>
      </w:r>
      <w:r w:rsidR="00524B47">
        <w:rPr>
          <w:szCs w:val="40"/>
        </w:rPr>
        <w:t xml:space="preserve"> THE</w:t>
      </w:r>
      <w:r w:rsidR="00A33B61">
        <w:rPr>
          <w:szCs w:val="40"/>
        </w:rPr>
        <w:t xml:space="preserve"> </w:t>
      </w:r>
      <w:r w:rsidR="00524B47">
        <w:rPr>
          <w:szCs w:val="40"/>
        </w:rPr>
        <w:t>2.3 G</w:t>
      </w:r>
      <w:r w:rsidR="00A33B61">
        <w:rPr>
          <w:szCs w:val="40"/>
        </w:rPr>
        <w:t>H</w:t>
      </w:r>
      <w:r w:rsidR="00524B47">
        <w:rPr>
          <w:caps w:val="0"/>
          <w:szCs w:val="40"/>
        </w:rPr>
        <w:t>z</w:t>
      </w:r>
      <w:r w:rsidRPr="00EB0571">
        <w:rPr>
          <w:szCs w:val="40"/>
        </w:rPr>
        <w:t xml:space="preserve"> </w:t>
      </w:r>
      <w:r w:rsidR="00524B47">
        <w:rPr>
          <w:szCs w:val="40"/>
        </w:rPr>
        <w:t xml:space="preserve">Band </w:t>
      </w:r>
      <w:r>
        <w:rPr>
          <w:szCs w:val="40"/>
        </w:rPr>
        <w:t>WITH</w:t>
      </w:r>
    </w:p>
    <w:bookmarkEnd w:id="0"/>
    <w:p w:rsidR="00524B47" w:rsidRDefault="00700939" w:rsidP="004F4F49">
      <w:pPr>
        <w:pStyle w:val="TITLEOFRALI"/>
      </w:pPr>
      <w:r>
        <w:t xml:space="preserve">SRS </w:t>
      </w:r>
      <w:r w:rsidR="00A33B61">
        <w:t xml:space="preserve">EARTH STATIONS </w:t>
      </w:r>
    </w:p>
    <w:p w:rsidR="00510CF9" w:rsidRPr="004F4F49" w:rsidRDefault="00A33B61" w:rsidP="004F4F49">
      <w:pPr>
        <w:pStyle w:val="TITLEOFRALI"/>
        <w:rPr>
          <w:szCs w:val="40"/>
        </w:rPr>
        <w:sectPr w:rsidR="00510CF9" w:rsidRPr="004F4F49" w:rsidSect="00873805">
          <w:headerReference w:type="even" r:id="rId8"/>
          <w:headerReference w:type="default" r:id="rId9"/>
          <w:footerReference w:type="default" r:id="rId10"/>
          <w:pgSz w:w="11907" w:h="16840" w:code="9"/>
          <w:pgMar w:top="1134" w:right="1134" w:bottom="1134" w:left="1418" w:header="720" w:footer="720" w:gutter="0"/>
          <w:cols w:space="720"/>
          <w:vAlign w:val="center"/>
        </w:sectPr>
      </w:pPr>
      <w:r>
        <w:t xml:space="preserve">IN </w:t>
      </w:r>
      <w:r w:rsidR="00524B47">
        <w:t xml:space="preserve">THE </w:t>
      </w:r>
      <w:r>
        <w:t>22</w:t>
      </w:r>
      <w:r w:rsidR="00524B47">
        <w:t>9</w:t>
      </w:r>
      <w:r>
        <w:t>0–2300 MH</w:t>
      </w:r>
      <w:r w:rsidR="00524B47">
        <w:rPr>
          <w:caps w:val="0"/>
        </w:rPr>
        <w:t>z</w:t>
      </w:r>
      <w:r w:rsidR="00524B47">
        <w:t xml:space="preserve"> Band</w:t>
      </w:r>
    </w:p>
    <w:p w:rsidR="005E55CD" w:rsidRPr="005762D0" w:rsidRDefault="005E55CD" w:rsidP="005E55CD">
      <w:pPr>
        <w:jc w:val="center"/>
        <w:rPr>
          <w:rFonts w:cs="Calibri"/>
          <w:b/>
          <w:sz w:val="28"/>
        </w:rPr>
      </w:pPr>
      <w:r w:rsidRPr="005762D0">
        <w:rPr>
          <w:rFonts w:cs="Calibri"/>
          <w:b/>
          <w:sz w:val="28"/>
        </w:rPr>
        <w:lastRenderedPageBreak/>
        <w:t>RADIOCOMMUNICATIONS ASSIGNMENT AND LICENSING INSTRUCTIONS</w:t>
      </w:r>
    </w:p>
    <w:p w:rsidR="0009118E" w:rsidRDefault="0009118E" w:rsidP="0009118E">
      <w:pPr>
        <w:widowControl w:val="0"/>
        <w:pBdr>
          <w:top w:val="double" w:sz="12" w:space="1" w:color="auto"/>
          <w:left w:val="double" w:sz="12" w:space="1" w:color="auto"/>
          <w:bottom w:val="double" w:sz="12" w:space="1" w:color="auto"/>
          <w:right w:val="double" w:sz="12" w:space="1" w:color="auto"/>
        </w:pBdr>
        <w:spacing w:after="0" w:line="240" w:lineRule="auto"/>
        <w:ind w:left="567" w:hanging="567"/>
        <w:jc w:val="center"/>
        <w:outlineLvl w:val="0"/>
        <w:rPr>
          <w:rFonts w:eastAsia="Times New Roman" w:cs="Calibri"/>
          <w:b/>
          <w:sz w:val="24"/>
          <w:szCs w:val="20"/>
          <w:lang w:val="en-GB" w:eastAsia="en-AU"/>
        </w:rPr>
      </w:pPr>
    </w:p>
    <w:p w:rsidR="0009118E" w:rsidRPr="0009118E" w:rsidRDefault="0009118E" w:rsidP="0009118E">
      <w:pPr>
        <w:widowControl w:val="0"/>
        <w:pBdr>
          <w:top w:val="double" w:sz="12" w:space="1" w:color="auto"/>
          <w:left w:val="double" w:sz="12" w:space="1" w:color="auto"/>
          <w:bottom w:val="double" w:sz="12" w:space="1" w:color="auto"/>
          <w:right w:val="double" w:sz="12" w:space="1" w:color="auto"/>
        </w:pBdr>
        <w:spacing w:after="0" w:line="240" w:lineRule="auto"/>
        <w:ind w:left="567" w:hanging="567"/>
        <w:jc w:val="center"/>
        <w:outlineLvl w:val="0"/>
        <w:rPr>
          <w:rFonts w:eastAsia="Times New Roman" w:cs="Calibri"/>
          <w:b/>
          <w:sz w:val="24"/>
          <w:szCs w:val="20"/>
          <w:lang w:val="en-GB" w:eastAsia="en-AU"/>
        </w:rPr>
      </w:pPr>
      <w:r w:rsidRPr="0009118E">
        <w:rPr>
          <w:rFonts w:eastAsia="Times New Roman" w:cs="Calibri"/>
          <w:b/>
          <w:sz w:val="24"/>
          <w:szCs w:val="20"/>
          <w:lang w:val="en-GB" w:eastAsia="en-AU"/>
        </w:rPr>
        <w:t>DISCLAIMER</w:t>
      </w:r>
    </w:p>
    <w:p w:rsidR="0009118E" w:rsidRPr="0009118E" w:rsidRDefault="0009118E" w:rsidP="0009118E">
      <w:pPr>
        <w:widowControl w:val="0"/>
        <w:pBdr>
          <w:top w:val="double" w:sz="12" w:space="1" w:color="auto"/>
          <w:left w:val="double" w:sz="12" w:space="1" w:color="auto"/>
          <w:bottom w:val="double" w:sz="12" w:space="1" w:color="auto"/>
          <w:right w:val="double" w:sz="12" w:space="1" w:color="auto"/>
        </w:pBdr>
        <w:spacing w:after="0" w:line="240" w:lineRule="auto"/>
        <w:ind w:left="567" w:hanging="567"/>
        <w:jc w:val="center"/>
        <w:rPr>
          <w:rFonts w:eastAsia="Times New Roman" w:cs="Calibri"/>
          <w:sz w:val="24"/>
          <w:szCs w:val="20"/>
          <w:lang w:val="en-GB" w:eastAsia="en-AU"/>
        </w:rPr>
      </w:pPr>
    </w:p>
    <w:p w:rsidR="0009118E" w:rsidRPr="0009118E" w:rsidRDefault="0009118E" w:rsidP="0009118E">
      <w:pPr>
        <w:widowControl w:val="0"/>
        <w:pBdr>
          <w:top w:val="double" w:sz="12" w:space="1" w:color="auto"/>
          <w:left w:val="double" w:sz="12" w:space="1" w:color="auto"/>
          <w:bottom w:val="double" w:sz="12" w:space="1" w:color="auto"/>
          <w:right w:val="double" w:sz="12" w:space="1" w:color="auto"/>
        </w:pBdr>
        <w:spacing w:after="0" w:line="240" w:lineRule="auto"/>
        <w:ind w:left="284" w:hanging="284"/>
        <w:rPr>
          <w:rFonts w:eastAsia="Times New Roman" w:cs="Calibri"/>
          <w:sz w:val="24"/>
          <w:szCs w:val="20"/>
          <w:lang w:val="en-GB" w:eastAsia="en-AU"/>
        </w:rPr>
      </w:pPr>
      <w:r w:rsidRPr="0009118E">
        <w:rPr>
          <w:rFonts w:eastAsia="Times New Roman" w:cs="Calibri"/>
          <w:sz w:val="24"/>
          <w:szCs w:val="20"/>
          <w:lang w:val="en-GB" w:eastAsia="en-AU"/>
        </w:rPr>
        <w:tab/>
        <w:t xml:space="preserve">The Australian Communications and Media Authority (ACMA) </w:t>
      </w:r>
      <w:proofErr w:type="gramStart"/>
      <w:r w:rsidRPr="0009118E">
        <w:rPr>
          <w:rFonts w:eastAsia="Times New Roman" w:cs="Calibri"/>
          <w:sz w:val="24"/>
          <w:szCs w:val="20"/>
          <w:lang w:val="en-GB" w:eastAsia="en-AU"/>
        </w:rPr>
        <w:t>advises</w:t>
      </w:r>
      <w:proofErr w:type="gramEnd"/>
      <w:r w:rsidRPr="0009118E">
        <w:rPr>
          <w:rFonts w:eastAsia="Times New Roman" w:cs="Calibri"/>
          <w:sz w:val="24"/>
          <w:szCs w:val="20"/>
          <w:lang w:val="en-GB" w:eastAsia="en-AU"/>
        </w:rPr>
        <w:t xml:space="preserve"> that these instructions reflect the current policies of the ACMA.</w:t>
      </w:r>
    </w:p>
    <w:p w:rsidR="0009118E" w:rsidRPr="0009118E" w:rsidRDefault="0009118E" w:rsidP="0009118E">
      <w:pPr>
        <w:widowControl w:val="0"/>
        <w:pBdr>
          <w:top w:val="double" w:sz="12" w:space="1" w:color="auto"/>
          <w:left w:val="double" w:sz="12" w:space="1" w:color="auto"/>
          <w:bottom w:val="double" w:sz="12" w:space="1" w:color="auto"/>
          <w:right w:val="double" w:sz="12" w:space="1" w:color="auto"/>
        </w:pBdr>
        <w:spacing w:after="0" w:line="240" w:lineRule="auto"/>
        <w:ind w:left="284" w:hanging="284"/>
        <w:rPr>
          <w:rFonts w:eastAsia="Times New Roman" w:cs="Calibri"/>
          <w:sz w:val="24"/>
          <w:szCs w:val="20"/>
          <w:lang w:val="en-GB" w:eastAsia="en-AU"/>
        </w:rPr>
      </w:pPr>
    </w:p>
    <w:p w:rsidR="0009118E" w:rsidRPr="0009118E" w:rsidRDefault="0009118E" w:rsidP="0009118E">
      <w:pPr>
        <w:widowControl w:val="0"/>
        <w:pBdr>
          <w:top w:val="double" w:sz="12" w:space="1" w:color="auto"/>
          <w:left w:val="double" w:sz="12" w:space="1" w:color="auto"/>
          <w:bottom w:val="double" w:sz="12" w:space="1" w:color="auto"/>
          <w:right w:val="double" w:sz="12" w:space="1" w:color="auto"/>
        </w:pBdr>
        <w:spacing w:after="0" w:line="240" w:lineRule="auto"/>
        <w:ind w:left="284" w:hanging="284"/>
        <w:rPr>
          <w:rFonts w:eastAsia="Times New Roman" w:cs="Calibri"/>
          <w:sz w:val="24"/>
          <w:szCs w:val="20"/>
          <w:lang w:val="en-GB" w:eastAsia="en-AU"/>
        </w:rPr>
      </w:pPr>
      <w:r w:rsidRPr="0009118E">
        <w:rPr>
          <w:rFonts w:eastAsia="Times New Roman" w:cs="Calibri"/>
          <w:sz w:val="24"/>
          <w:szCs w:val="20"/>
          <w:lang w:val="en-GB" w:eastAsia="en-AU"/>
        </w:rPr>
        <w:tab/>
        <w:t>Prospective applicants for licences should take all necessary steps to ensure that they have access to appropriate technical and other specialist advice independently of ACMA concerning their applications, the operation of radiocommunications equipment and services, and any other matters relevant to the operation of transmitters and services under the licences in question.</w:t>
      </w:r>
    </w:p>
    <w:p w:rsidR="0009118E" w:rsidRPr="0009118E" w:rsidRDefault="0009118E" w:rsidP="0009118E">
      <w:pPr>
        <w:widowControl w:val="0"/>
        <w:pBdr>
          <w:top w:val="double" w:sz="12" w:space="1" w:color="auto"/>
          <w:left w:val="double" w:sz="12" w:space="1" w:color="auto"/>
          <w:bottom w:val="double" w:sz="12" w:space="1" w:color="auto"/>
          <w:right w:val="double" w:sz="12" w:space="1" w:color="auto"/>
        </w:pBdr>
        <w:spacing w:after="0" w:line="240" w:lineRule="auto"/>
        <w:ind w:left="284" w:hanging="284"/>
        <w:rPr>
          <w:rFonts w:eastAsia="Times New Roman" w:cs="Calibri"/>
          <w:sz w:val="24"/>
          <w:szCs w:val="20"/>
          <w:lang w:val="en-GB" w:eastAsia="en-AU"/>
        </w:rPr>
      </w:pPr>
    </w:p>
    <w:p w:rsidR="0009118E" w:rsidRPr="0009118E" w:rsidRDefault="0009118E" w:rsidP="0009118E">
      <w:pPr>
        <w:widowControl w:val="0"/>
        <w:pBdr>
          <w:top w:val="double" w:sz="12" w:space="1" w:color="auto"/>
          <w:left w:val="double" w:sz="12" w:space="1" w:color="auto"/>
          <w:bottom w:val="double" w:sz="12" w:space="1" w:color="auto"/>
          <w:right w:val="double" w:sz="12" w:space="1" w:color="auto"/>
        </w:pBdr>
        <w:spacing w:after="0" w:line="240" w:lineRule="auto"/>
        <w:ind w:left="284" w:hanging="284"/>
        <w:rPr>
          <w:rFonts w:eastAsia="Times New Roman" w:cs="Calibri"/>
          <w:sz w:val="24"/>
          <w:szCs w:val="20"/>
          <w:lang w:val="en-GB" w:eastAsia="en-AU"/>
        </w:rPr>
      </w:pPr>
      <w:r w:rsidRPr="0009118E">
        <w:rPr>
          <w:rFonts w:eastAsia="Times New Roman" w:cs="Calibri"/>
          <w:sz w:val="24"/>
          <w:szCs w:val="20"/>
          <w:lang w:val="en-GB" w:eastAsia="en-AU"/>
        </w:rPr>
        <w:tab/>
        <w:t>The policies of ACMA and the laws of the Commonwealth may change from time to time, and prospective licensees should ensure that they have informed themselves of the current policies of ACMA and of any relevant legislation (including subordinate instruments). Prospective applicants for licences should not rely on statements made in these instructions about the policies that may be followed by other government authorities or entities, nor about the effect of legislation. These instructions are not a substitute for independent advice (legal or otherwise) tailored to the circumstances of individual applicants.</w:t>
      </w:r>
    </w:p>
    <w:p w:rsidR="0009118E" w:rsidRPr="0009118E" w:rsidRDefault="0009118E" w:rsidP="0009118E">
      <w:pPr>
        <w:widowControl w:val="0"/>
        <w:pBdr>
          <w:top w:val="double" w:sz="12" w:space="1" w:color="auto"/>
          <w:left w:val="double" w:sz="12" w:space="1" w:color="auto"/>
          <w:bottom w:val="double" w:sz="12" w:space="1" w:color="auto"/>
          <w:right w:val="double" w:sz="12" w:space="1" w:color="auto"/>
        </w:pBdr>
        <w:spacing w:after="0" w:line="240" w:lineRule="auto"/>
        <w:ind w:left="284" w:hanging="284"/>
        <w:rPr>
          <w:rFonts w:eastAsia="Times New Roman" w:cs="Calibri"/>
          <w:sz w:val="24"/>
          <w:szCs w:val="20"/>
          <w:lang w:val="en-GB" w:eastAsia="en-AU"/>
        </w:rPr>
      </w:pPr>
    </w:p>
    <w:p w:rsidR="0009118E" w:rsidRPr="0009118E" w:rsidRDefault="0009118E" w:rsidP="0009118E">
      <w:pPr>
        <w:widowControl w:val="0"/>
        <w:pBdr>
          <w:top w:val="double" w:sz="12" w:space="1" w:color="auto"/>
          <w:left w:val="double" w:sz="12" w:space="1" w:color="auto"/>
          <w:bottom w:val="double" w:sz="12" w:space="1" w:color="auto"/>
          <w:right w:val="double" w:sz="12" w:space="1" w:color="auto"/>
        </w:pBdr>
        <w:spacing w:after="0" w:line="240" w:lineRule="auto"/>
        <w:ind w:left="284" w:hanging="284"/>
        <w:rPr>
          <w:rFonts w:eastAsia="Times New Roman" w:cs="Calibri"/>
          <w:sz w:val="24"/>
          <w:szCs w:val="20"/>
          <w:lang w:val="en-GB" w:eastAsia="en-AU"/>
        </w:rPr>
      </w:pPr>
      <w:r w:rsidRPr="0009118E">
        <w:rPr>
          <w:rFonts w:eastAsia="Times New Roman" w:cs="Calibri"/>
          <w:sz w:val="24"/>
          <w:szCs w:val="20"/>
          <w:lang w:val="en-GB" w:eastAsia="en-AU"/>
        </w:rPr>
        <w:tab/>
        <w:t>Radiocommunications Assignment and Licensing Instructions are subject to periodic review and are amended as ACMA considers necessary. To keep abreast of developments, it is important that users ensure that they are in possession of the latest edition.</w:t>
      </w:r>
    </w:p>
    <w:p w:rsidR="0009118E" w:rsidRPr="0009118E" w:rsidRDefault="0009118E" w:rsidP="0009118E">
      <w:pPr>
        <w:widowControl w:val="0"/>
        <w:pBdr>
          <w:top w:val="double" w:sz="12" w:space="1" w:color="auto"/>
          <w:left w:val="double" w:sz="12" w:space="1" w:color="auto"/>
          <w:bottom w:val="double" w:sz="12" w:space="1" w:color="auto"/>
          <w:right w:val="double" w:sz="12" w:space="1" w:color="auto"/>
        </w:pBdr>
        <w:spacing w:after="0" w:line="240" w:lineRule="auto"/>
        <w:ind w:left="284" w:hanging="284"/>
        <w:rPr>
          <w:rFonts w:eastAsia="Times New Roman" w:cs="Calibri"/>
          <w:sz w:val="24"/>
          <w:szCs w:val="20"/>
          <w:lang w:val="en-GB" w:eastAsia="en-AU"/>
        </w:rPr>
      </w:pPr>
    </w:p>
    <w:p w:rsidR="0009118E" w:rsidRPr="0009118E" w:rsidRDefault="0009118E" w:rsidP="0009118E">
      <w:pPr>
        <w:widowControl w:val="0"/>
        <w:pBdr>
          <w:top w:val="double" w:sz="12" w:space="1" w:color="auto"/>
          <w:left w:val="double" w:sz="12" w:space="1" w:color="auto"/>
          <w:bottom w:val="double" w:sz="12" w:space="1" w:color="auto"/>
          <w:right w:val="double" w:sz="12" w:space="1" w:color="auto"/>
        </w:pBdr>
        <w:spacing w:after="0" w:line="240" w:lineRule="auto"/>
        <w:ind w:left="284" w:hanging="284"/>
        <w:rPr>
          <w:rFonts w:eastAsia="Times New Roman" w:cs="Calibri"/>
          <w:sz w:val="24"/>
          <w:szCs w:val="20"/>
          <w:lang w:val="en-GB" w:eastAsia="en-AU"/>
        </w:rPr>
      </w:pPr>
      <w:r w:rsidRPr="0009118E">
        <w:rPr>
          <w:rFonts w:eastAsia="Times New Roman" w:cs="Calibri"/>
          <w:sz w:val="24"/>
          <w:szCs w:val="20"/>
          <w:lang w:val="en-GB" w:eastAsia="en-AU"/>
        </w:rPr>
        <w:tab/>
        <w:t>No liability is or will be accepted by the Minister or the Department of Broadband, Communications and the Digital Economy, ACMA, the Commonwealth of Australia, or its officers, servants or agents for any loss suffered, whether arising directly or indirectly, due to reliance on the accuracy or contents of these instructions.</w:t>
      </w:r>
    </w:p>
    <w:p w:rsidR="005E55CD" w:rsidRPr="005762D0" w:rsidRDefault="005E55CD" w:rsidP="005E55CD">
      <w:pPr>
        <w:pBdr>
          <w:top w:val="double" w:sz="12" w:space="1" w:color="auto"/>
          <w:left w:val="double" w:sz="12" w:space="1" w:color="auto"/>
          <w:bottom w:val="double" w:sz="12" w:space="1" w:color="auto"/>
          <w:right w:val="double" w:sz="12" w:space="1" w:color="auto"/>
        </w:pBdr>
        <w:ind w:left="567" w:hanging="567"/>
        <w:rPr>
          <w:rFonts w:cs="Calibri"/>
        </w:rPr>
      </w:pPr>
    </w:p>
    <w:p w:rsidR="005E55CD" w:rsidRPr="005762D0" w:rsidRDefault="005E55CD" w:rsidP="005E55CD">
      <w:pPr>
        <w:rPr>
          <w:rFonts w:cs="Calibri"/>
        </w:rPr>
      </w:pPr>
      <w:r w:rsidRPr="005762D0">
        <w:rPr>
          <w:rFonts w:cs="Calibri"/>
        </w:rPr>
        <w:t>Suggestions for improvements to Radiocommunications Assignment and Licensing Instructions may be addressed to The Manager, Spectrum Engineering, ACMA at PO Box 78, Belconnen, ACT, 2616</w:t>
      </w:r>
      <w:proofErr w:type="gramStart"/>
      <w:r>
        <w:rPr>
          <w:rFonts w:cs="Calibri"/>
        </w:rPr>
        <w:t xml:space="preserve">, </w:t>
      </w:r>
      <w:r w:rsidRPr="000A63C5">
        <w:rPr>
          <w:rFonts w:cstheme="minorHAnsi"/>
        </w:rPr>
        <w:t xml:space="preserve"> </w:t>
      </w:r>
      <w:r w:rsidRPr="00FB1DA7">
        <w:rPr>
          <w:rFonts w:cstheme="minorHAnsi"/>
        </w:rPr>
        <w:t>or</w:t>
      </w:r>
      <w:proofErr w:type="gramEnd"/>
      <w:r w:rsidRPr="00FB1DA7">
        <w:rPr>
          <w:rFonts w:cstheme="minorHAnsi"/>
        </w:rPr>
        <w:t xml:space="preserve"> by e-mail to </w:t>
      </w:r>
      <w:hyperlink r:id="rId11" w:history="1">
        <w:r w:rsidRPr="00F61AB4">
          <w:rPr>
            <w:rStyle w:val="Hyperlink"/>
            <w:rFonts w:cstheme="minorHAnsi"/>
          </w:rPr>
          <w:t>freqplan@acma.gov.au</w:t>
        </w:r>
      </w:hyperlink>
      <w:r>
        <w:rPr>
          <w:rFonts w:cstheme="minorHAnsi"/>
        </w:rPr>
        <w:t xml:space="preserve">. </w:t>
      </w:r>
      <w:r w:rsidRPr="005762D0">
        <w:rPr>
          <w:rFonts w:cs="Calibri"/>
        </w:rPr>
        <w:t xml:space="preserve"> It would be appreciated if notification to ACMA of any inaccuracy or ambiguity found be made without delay in order that the matter may be investigated and appropriate action taken. </w:t>
      </w:r>
    </w:p>
    <w:p w:rsidR="00510CF9" w:rsidRDefault="00510CF9">
      <w:pPr>
        <w:tabs>
          <w:tab w:val="right" w:pos="9072"/>
        </w:tabs>
        <w:ind w:right="-1"/>
      </w:pPr>
    </w:p>
    <w:p w:rsidR="0009118E" w:rsidRDefault="0009118E">
      <w:pPr>
        <w:tabs>
          <w:tab w:val="right" w:pos="9072"/>
        </w:tabs>
        <w:ind w:right="-1"/>
      </w:pPr>
    </w:p>
    <w:p w:rsidR="0009118E" w:rsidRDefault="0009118E">
      <w:pPr>
        <w:tabs>
          <w:tab w:val="right" w:pos="9072"/>
        </w:tabs>
        <w:ind w:right="-1"/>
      </w:pPr>
    </w:p>
    <w:p w:rsidR="0009118E" w:rsidRDefault="0009118E">
      <w:pPr>
        <w:tabs>
          <w:tab w:val="right" w:pos="9072"/>
        </w:tabs>
        <w:ind w:right="-1"/>
      </w:pPr>
    </w:p>
    <w:p w:rsidR="0009118E" w:rsidRDefault="0009118E">
      <w:pPr>
        <w:tabs>
          <w:tab w:val="right" w:pos="9072"/>
        </w:tabs>
        <w:ind w:right="-1"/>
      </w:pPr>
    </w:p>
    <w:p w:rsidR="0009118E" w:rsidRDefault="0009118E">
      <w:pPr>
        <w:tabs>
          <w:tab w:val="right" w:pos="9072"/>
        </w:tabs>
        <w:ind w:right="-1"/>
      </w:pPr>
    </w:p>
    <w:p w:rsidR="00A87EBC" w:rsidRPr="00A87EBC" w:rsidRDefault="00A87EBC" w:rsidP="00A87EBC">
      <w:pPr>
        <w:widowControl w:val="0"/>
        <w:spacing w:after="0" w:line="240" w:lineRule="auto"/>
        <w:rPr>
          <w:rFonts w:eastAsia="Times New Roman"/>
          <w:sz w:val="32"/>
          <w:szCs w:val="32"/>
          <w:lang w:val="en-GB" w:eastAsia="en-AU"/>
        </w:rPr>
      </w:pPr>
      <w:r w:rsidRPr="00A87EBC">
        <w:rPr>
          <w:rFonts w:eastAsia="Times New Roman"/>
          <w:sz w:val="32"/>
          <w:szCs w:val="32"/>
          <w:lang w:val="en-GB" w:eastAsia="en-AU"/>
        </w:rPr>
        <w:lastRenderedPageBreak/>
        <w:t>Amendment History</w:t>
      </w:r>
    </w:p>
    <w:p w:rsidR="00A87EBC" w:rsidRPr="00A87EBC" w:rsidRDefault="00A87EBC" w:rsidP="00A87EBC">
      <w:pPr>
        <w:widowControl w:val="0"/>
        <w:spacing w:after="0" w:line="240" w:lineRule="auto"/>
        <w:rPr>
          <w:rFonts w:eastAsia="Times New Roman"/>
          <w:sz w:val="24"/>
          <w:szCs w:val="20"/>
          <w:lang w:val="en-GB" w:eastAsia="en-AU"/>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5"/>
        <w:gridCol w:w="6528"/>
      </w:tblGrid>
      <w:tr w:rsidR="00A87EBC" w:rsidRPr="009E62D2" w:rsidTr="0009118E">
        <w:trPr>
          <w:cantSplit/>
          <w:tblHeader/>
        </w:trPr>
        <w:tc>
          <w:tcPr>
            <w:tcW w:w="2085" w:type="dxa"/>
            <w:shd w:val="clear" w:color="auto" w:fill="D9D9D9"/>
            <w:vAlign w:val="center"/>
          </w:tcPr>
          <w:p w:rsidR="00A87EBC" w:rsidRPr="009E62D2" w:rsidRDefault="00A87EBC" w:rsidP="0009118E">
            <w:pPr>
              <w:spacing w:before="120" w:after="0" w:line="240" w:lineRule="atLeast"/>
              <w:jc w:val="center"/>
              <w:rPr>
                <w:rFonts w:ascii="HelveticaNeueLT Std" w:hAnsi="HelveticaNeueLT Std"/>
                <w:b/>
                <w:sz w:val="20"/>
                <w:szCs w:val="24"/>
              </w:rPr>
            </w:pPr>
            <w:r w:rsidRPr="009E62D2">
              <w:rPr>
                <w:rFonts w:ascii="HelveticaNeueLT Std" w:hAnsi="HelveticaNeueLT Std"/>
                <w:b/>
                <w:sz w:val="20"/>
                <w:szCs w:val="24"/>
              </w:rPr>
              <w:t>Date</w:t>
            </w:r>
          </w:p>
        </w:tc>
        <w:tc>
          <w:tcPr>
            <w:tcW w:w="6528" w:type="dxa"/>
            <w:shd w:val="clear" w:color="auto" w:fill="D9D9D9"/>
            <w:vAlign w:val="center"/>
          </w:tcPr>
          <w:p w:rsidR="00A87EBC" w:rsidRPr="009E62D2" w:rsidRDefault="00A87EBC" w:rsidP="0009118E">
            <w:pPr>
              <w:spacing w:before="120" w:after="0" w:line="240" w:lineRule="atLeast"/>
              <w:jc w:val="center"/>
              <w:rPr>
                <w:rFonts w:ascii="HelveticaNeueLT Std" w:hAnsi="HelveticaNeueLT Std"/>
                <w:b/>
                <w:sz w:val="20"/>
                <w:szCs w:val="24"/>
              </w:rPr>
            </w:pPr>
            <w:r w:rsidRPr="009E62D2">
              <w:rPr>
                <w:rFonts w:ascii="HelveticaNeueLT Std" w:hAnsi="HelveticaNeueLT Std"/>
                <w:b/>
                <w:sz w:val="20"/>
                <w:szCs w:val="24"/>
              </w:rPr>
              <w:t>Comments</w:t>
            </w:r>
          </w:p>
        </w:tc>
      </w:tr>
      <w:tr w:rsidR="00A87EBC" w:rsidRPr="009E62D2" w:rsidTr="0009118E">
        <w:tc>
          <w:tcPr>
            <w:tcW w:w="2085" w:type="dxa"/>
            <w:vAlign w:val="center"/>
          </w:tcPr>
          <w:p w:rsidR="00A87EBC" w:rsidRPr="009E62D2" w:rsidRDefault="00AA454D" w:rsidP="0009118E">
            <w:pPr>
              <w:spacing w:before="120" w:after="0"/>
              <w:jc w:val="center"/>
              <w:rPr>
                <w:rFonts w:ascii="HelveticaNeueLT Std Lt" w:hAnsi="HelveticaNeueLT Std Lt"/>
                <w:sz w:val="20"/>
                <w:szCs w:val="24"/>
              </w:rPr>
            </w:pPr>
            <w:r>
              <w:rPr>
                <w:rFonts w:ascii="HelveticaNeueLT Std Lt" w:hAnsi="HelveticaNeueLT Std Lt"/>
                <w:sz w:val="20"/>
                <w:szCs w:val="24"/>
              </w:rPr>
              <w:t xml:space="preserve">14 </w:t>
            </w:r>
            <w:r w:rsidR="00A87EBC" w:rsidRPr="009E62D2">
              <w:rPr>
                <w:rFonts w:ascii="HelveticaNeueLT Std Lt" w:hAnsi="HelveticaNeueLT Std Lt"/>
                <w:sz w:val="20"/>
                <w:szCs w:val="24"/>
              </w:rPr>
              <w:t>October 2013</w:t>
            </w:r>
          </w:p>
        </w:tc>
        <w:tc>
          <w:tcPr>
            <w:tcW w:w="6528" w:type="dxa"/>
            <w:vAlign w:val="center"/>
          </w:tcPr>
          <w:p w:rsidR="00A87EBC" w:rsidRPr="009E62D2" w:rsidRDefault="000972D9" w:rsidP="0009118E">
            <w:pPr>
              <w:spacing w:before="120" w:after="0"/>
              <w:jc w:val="center"/>
              <w:rPr>
                <w:rFonts w:ascii="HelveticaNeueLT Std Lt" w:hAnsi="HelveticaNeueLT Std Lt"/>
                <w:sz w:val="20"/>
                <w:szCs w:val="24"/>
              </w:rPr>
            </w:pPr>
            <w:r w:rsidRPr="009E62D2">
              <w:rPr>
                <w:rFonts w:ascii="HelveticaNeueLT Std Lt" w:hAnsi="HelveticaNeueLT Std Lt"/>
                <w:sz w:val="20"/>
                <w:szCs w:val="24"/>
              </w:rPr>
              <w:t>First release of RALI</w:t>
            </w:r>
          </w:p>
        </w:tc>
      </w:tr>
      <w:tr w:rsidR="00A87EBC" w:rsidRPr="009E62D2" w:rsidTr="0009118E">
        <w:tc>
          <w:tcPr>
            <w:tcW w:w="2085" w:type="dxa"/>
            <w:vAlign w:val="center"/>
          </w:tcPr>
          <w:p w:rsidR="00A87EBC" w:rsidRPr="009E62D2" w:rsidRDefault="00A87EBC" w:rsidP="0009118E">
            <w:pPr>
              <w:spacing w:before="120" w:after="0"/>
              <w:jc w:val="center"/>
              <w:rPr>
                <w:rFonts w:ascii="HelveticaNeueLT Std Lt" w:hAnsi="HelveticaNeueLT Std Lt"/>
                <w:sz w:val="20"/>
                <w:szCs w:val="24"/>
              </w:rPr>
            </w:pPr>
          </w:p>
        </w:tc>
        <w:tc>
          <w:tcPr>
            <w:tcW w:w="6528" w:type="dxa"/>
            <w:vAlign w:val="center"/>
          </w:tcPr>
          <w:p w:rsidR="00A87EBC" w:rsidRPr="009E62D2" w:rsidRDefault="00A87EBC" w:rsidP="0009118E">
            <w:pPr>
              <w:spacing w:before="120" w:after="0"/>
              <w:jc w:val="center"/>
              <w:rPr>
                <w:rFonts w:ascii="HelveticaNeueLT Std Lt" w:hAnsi="HelveticaNeueLT Std Lt"/>
                <w:sz w:val="20"/>
                <w:szCs w:val="24"/>
              </w:rPr>
            </w:pPr>
          </w:p>
        </w:tc>
      </w:tr>
      <w:tr w:rsidR="00A87EBC" w:rsidRPr="009E62D2" w:rsidTr="0009118E">
        <w:tc>
          <w:tcPr>
            <w:tcW w:w="2085" w:type="dxa"/>
            <w:vAlign w:val="center"/>
          </w:tcPr>
          <w:p w:rsidR="00A87EBC" w:rsidRPr="009E62D2" w:rsidRDefault="00A87EBC" w:rsidP="0009118E">
            <w:pPr>
              <w:spacing w:before="120" w:after="0"/>
              <w:jc w:val="center"/>
              <w:rPr>
                <w:rFonts w:ascii="HelveticaNeueLT Std Lt" w:hAnsi="HelveticaNeueLT Std Lt"/>
                <w:sz w:val="20"/>
                <w:szCs w:val="24"/>
              </w:rPr>
            </w:pPr>
          </w:p>
        </w:tc>
        <w:tc>
          <w:tcPr>
            <w:tcW w:w="6528" w:type="dxa"/>
            <w:vAlign w:val="center"/>
          </w:tcPr>
          <w:p w:rsidR="00A87EBC" w:rsidRPr="009E62D2" w:rsidRDefault="00A87EBC" w:rsidP="0009118E">
            <w:pPr>
              <w:spacing w:before="120" w:after="0"/>
              <w:jc w:val="center"/>
              <w:rPr>
                <w:rFonts w:ascii="HelveticaNeueLT Std Lt" w:hAnsi="HelveticaNeueLT Std Lt"/>
                <w:sz w:val="20"/>
                <w:szCs w:val="24"/>
              </w:rPr>
            </w:pPr>
          </w:p>
        </w:tc>
      </w:tr>
      <w:tr w:rsidR="00A87EBC" w:rsidRPr="009E62D2" w:rsidTr="0009118E">
        <w:tc>
          <w:tcPr>
            <w:tcW w:w="2085" w:type="dxa"/>
            <w:vAlign w:val="center"/>
          </w:tcPr>
          <w:p w:rsidR="00A87EBC" w:rsidRPr="009E62D2" w:rsidRDefault="00A87EBC" w:rsidP="0009118E">
            <w:pPr>
              <w:spacing w:before="120" w:after="0"/>
              <w:jc w:val="center"/>
              <w:rPr>
                <w:rFonts w:ascii="HelveticaNeueLT Std Lt" w:hAnsi="HelveticaNeueLT Std Lt"/>
                <w:sz w:val="20"/>
                <w:szCs w:val="24"/>
              </w:rPr>
            </w:pPr>
          </w:p>
        </w:tc>
        <w:tc>
          <w:tcPr>
            <w:tcW w:w="6528" w:type="dxa"/>
            <w:vAlign w:val="center"/>
          </w:tcPr>
          <w:p w:rsidR="00A87EBC" w:rsidRPr="009E62D2" w:rsidRDefault="00A87EBC" w:rsidP="0009118E">
            <w:pPr>
              <w:spacing w:before="120" w:after="0"/>
              <w:jc w:val="center"/>
              <w:rPr>
                <w:rFonts w:ascii="HelveticaNeueLT Std Lt" w:hAnsi="HelveticaNeueLT Std Lt"/>
                <w:sz w:val="20"/>
                <w:szCs w:val="24"/>
              </w:rPr>
            </w:pPr>
          </w:p>
        </w:tc>
      </w:tr>
    </w:tbl>
    <w:p w:rsidR="00A87EBC" w:rsidRPr="00A87EBC" w:rsidRDefault="00A87EBC" w:rsidP="00A87EBC">
      <w:pPr>
        <w:widowControl w:val="0"/>
        <w:spacing w:after="0" w:line="240" w:lineRule="auto"/>
        <w:rPr>
          <w:rFonts w:eastAsia="Times New Roman" w:cs="Calibri"/>
          <w:sz w:val="32"/>
          <w:szCs w:val="32"/>
          <w:lang w:val="en-GB" w:eastAsia="en-AU"/>
        </w:rPr>
      </w:pPr>
    </w:p>
    <w:p w:rsidR="00A87EBC" w:rsidRPr="00A87EBC" w:rsidRDefault="00A87EBC" w:rsidP="00A87EBC">
      <w:pPr>
        <w:widowControl w:val="0"/>
        <w:spacing w:after="0" w:line="240" w:lineRule="auto"/>
        <w:jc w:val="center"/>
        <w:rPr>
          <w:rFonts w:eastAsia="Times New Roman" w:cs="Calibri"/>
          <w:b/>
          <w:sz w:val="30"/>
          <w:szCs w:val="20"/>
          <w:lang w:val="en-GB" w:eastAsia="en-AU"/>
        </w:rPr>
        <w:sectPr w:rsidR="00A87EBC" w:rsidRPr="00A87EBC" w:rsidSect="009811DB">
          <w:headerReference w:type="default" r:id="rId12"/>
          <w:footerReference w:type="default" r:id="rId13"/>
          <w:footnotePr>
            <w:numRestart w:val="eachSect"/>
          </w:footnotePr>
          <w:pgSz w:w="11907" w:h="16840" w:code="9"/>
          <w:pgMar w:top="1134" w:right="1134" w:bottom="1134" w:left="1418" w:header="720" w:footer="720" w:gutter="0"/>
          <w:pgNumType w:fmt="lowerRoman" w:start="1"/>
          <w:cols w:space="720"/>
        </w:sectPr>
      </w:pPr>
    </w:p>
    <w:p w:rsidR="00510CF9" w:rsidRDefault="00510CF9">
      <w:pPr>
        <w:pBdr>
          <w:bottom w:val="single" w:sz="18" w:space="1" w:color="auto"/>
        </w:pBdr>
        <w:jc w:val="right"/>
        <w:outlineLvl w:val="0"/>
        <w:rPr>
          <w:sz w:val="28"/>
        </w:rPr>
      </w:pPr>
      <w:r>
        <w:rPr>
          <w:b/>
          <w:sz w:val="28"/>
        </w:rPr>
        <w:lastRenderedPageBreak/>
        <w:t>Table of Contents</w:t>
      </w:r>
    </w:p>
    <w:p w:rsidR="000972D9" w:rsidRDefault="009356E5" w:rsidP="00F0114B">
      <w:pPr>
        <w:pStyle w:val="TOC1"/>
        <w:tabs>
          <w:tab w:val="left" w:pos="480"/>
          <w:tab w:val="right" w:leader="dot" w:pos="8472"/>
        </w:tabs>
        <w:spacing w:after="120"/>
        <w:rPr>
          <w:rFonts w:eastAsiaTheme="minorEastAsia"/>
          <w:b w:val="0"/>
          <w:caps w:val="0"/>
          <w:noProof/>
          <w:lang w:eastAsia="en-AU"/>
        </w:rPr>
      </w:pPr>
      <w:r w:rsidRPr="00A87EBC">
        <w:rPr>
          <w:rFonts w:eastAsia="Times New Roman"/>
          <w:noProof/>
          <w:szCs w:val="20"/>
          <w:lang w:val="en-GB" w:eastAsia="en-AU"/>
        </w:rPr>
        <w:fldChar w:fldCharType="begin"/>
      </w:r>
      <w:r w:rsidR="00510CF9" w:rsidRPr="00A87EBC">
        <w:rPr>
          <w:rFonts w:eastAsia="Times New Roman"/>
          <w:noProof/>
          <w:szCs w:val="20"/>
          <w:lang w:val="en-GB" w:eastAsia="en-AU"/>
        </w:rPr>
        <w:instrText xml:space="preserve"> TOC \o "1-5" </w:instrText>
      </w:r>
      <w:r w:rsidRPr="00A87EBC">
        <w:rPr>
          <w:rFonts w:eastAsia="Times New Roman"/>
          <w:noProof/>
          <w:szCs w:val="20"/>
          <w:lang w:val="en-GB" w:eastAsia="en-AU"/>
        </w:rPr>
        <w:fldChar w:fldCharType="separate"/>
      </w:r>
      <w:r w:rsidR="000972D9">
        <w:rPr>
          <w:noProof/>
        </w:rPr>
        <w:t>1</w:t>
      </w:r>
      <w:r w:rsidR="000972D9">
        <w:rPr>
          <w:rFonts w:eastAsiaTheme="minorEastAsia"/>
          <w:b w:val="0"/>
          <w:caps w:val="0"/>
          <w:noProof/>
          <w:lang w:eastAsia="en-AU"/>
        </w:rPr>
        <w:tab/>
      </w:r>
      <w:r w:rsidR="000972D9">
        <w:rPr>
          <w:noProof/>
        </w:rPr>
        <w:t>Introduction</w:t>
      </w:r>
      <w:r w:rsidR="000972D9">
        <w:rPr>
          <w:noProof/>
        </w:rPr>
        <w:tab/>
      </w:r>
      <w:r>
        <w:rPr>
          <w:noProof/>
        </w:rPr>
        <w:fldChar w:fldCharType="begin"/>
      </w:r>
      <w:r w:rsidR="000972D9">
        <w:rPr>
          <w:noProof/>
        </w:rPr>
        <w:instrText xml:space="preserve"> PAGEREF _Toc369003882 \h </w:instrText>
      </w:r>
      <w:r>
        <w:rPr>
          <w:noProof/>
        </w:rPr>
      </w:r>
      <w:r>
        <w:rPr>
          <w:noProof/>
        </w:rPr>
        <w:fldChar w:fldCharType="separate"/>
      </w:r>
      <w:r w:rsidR="007A47CD">
        <w:rPr>
          <w:noProof/>
        </w:rPr>
        <w:t>1</w:t>
      </w:r>
      <w:r>
        <w:rPr>
          <w:noProof/>
        </w:rPr>
        <w:fldChar w:fldCharType="end"/>
      </w:r>
    </w:p>
    <w:p w:rsidR="000972D9" w:rsidRDefault="000972D9" w:rsidP="00F0114B">
      <w:pPr>
        <w:pStyle w:val="TOC2"/>
        <w:tabs>
          <w:tab w:val="left" w:pos="960"/>
          <w:tab w:val="right" w:leader="dot" w:pos="8472"/>
        </w:tabs>
        <w:spacing w:after="120"/>
        <w:rPr>
          <w:rFonts w:eastAsiaTheme="minorEastAsia"/>
          <w:smallCaps w:val="0"/>
          <w:noProof/>
          <w:lang w:eastAsia="en-AU"/>
        </w:rPr>
      </w:pPr>
      <w:r>
        <w:rPr>
          <w:noProof/>
        </w:rPr>
        <w:t>1.1</w:t>
      </w:r>
      <w:r>
        <w:rPr>
          <w:rFonts w:eastAsiaTheme="minorEastAsia"/>
          <w:smallCaps w:val="0"/>
          <w:noProof/>
          <w:lang w:eastAsia="en-AU"/>
        </w:rPr>
        <w:tab/>
      </w:r>
      <w:r>
        <w:rPr>
          <w:noProof/>
        </w:rPr>
        <w:t>Purpose</w:t>
      </w:r>
      <w:r>
        <w:rPr>
          <w:noProof/>
        </w:rPr>
        <w:tab/>
      </w:r>
      <w:r w:rsidR="009356E5">
        <w:rPr>
          <w:noProof/>
        </w:rPr>
        <w:fldChar w:fldCharType="begin"/>
      </w:r>
      <w:r>
        <w:rPr>
          <w:noProof/>
        </w:rPr>
        <w:instrText xml:space="preserve"> PAGEREF _Toc369003883 \h </w:instrText>
      </w:r>
      <w:r w:rsidR="009356E5">
        <w:rPr>
          <w:noProof/>
        </w:rPr>
      </w:r>
      <w:r w:rsidR="009356E5">
        <w:rPr>
          <w:noProof/>
        </w:rPr>
        <w:fldChar w:fldCharType="separate"/>
      </w:r>
      <w:r w:rsidR="007A47CD">
        <w:rPr>
          <w:noProof/>
        </w:rPr>
        <w:t>1</w:t>
      </w:r>
      <w:r w:rsidR="009356E5">
        <w:rPr>
          <w:noProof/>
        </w:rPr>
        <w:fldChar w:fldCharType="end"/>
      </w:r>
    </w:p>
    <w:p w:rsidR="000972D9" w:rsidRDefault="000972D9" w:rsidP="00F0114B">
      <w:pPr>
        <w:pStyle w:val="TOC2"/>
        <w:tabs>
          <w:tab w:val="left" w:pos="960"/>
          <w:tab w:val="right" w:leader="dot" w:pos="8472"/>
        </w:tabs>
        <w:spacing w:after="120"/>
        <w:rPr>
          <w:rFonts w:eastAsiaTheme="minorEastAsia"/>
          <w:smallCaps w:val="0"/>
          <w:noProof/>
          <w:lang w:eastAsia="en-AU"/>
        </w:rPr>
      </w:pPr>
      <w:r>
        <w:rPr>
          <w:noProof/>
        </w:rPr>
        <w:t>1.2</w:t>
      </w:r>
      <w:r>
        <w:rPr>
          <w:rFonts w:eastAsiaTheme="minorEastAsia"/>
          <w:smallCaps w:val="0"/>
          <w:noProof/>
          <w:lang w:eastAsia="en-AU"/>
        </w:rPr>
        <w:tab/>
      </w:r>
      <w:r>
        <w:rPr>
          <w:noProof/>
        </w:rPr>
        <w:t>Scope</w:t>
      </w:r>
      <w:r>
        <w:rPr>
          <w:noProof/>
        </w:rPr>
        <w:tab/>
      </w:r>
      <w:r w:rsidR="009356E5">
        <w:rPr>
          <w:noProof/>
        </w:rPr>
        <w:fldChar w:fldCharType="begin"/>
      </w:r>
      <w:r>
        <w:rPr>
          <w:noProof/>
        </w:rPr>
        <w:instrText xml:space="preserve"> PAGEREF _Toc369003884 \h </w:instrText>
      </w:r>
      <w:r w:rsidR="009356E5">
        <w:rPr>
          <w:noProof/>
        </w:rPr>
      </w:r>
      <w:r w:rsidR="009356E5">
        <w:rPr>
          <w:noProof/>
        </w:rPr>
        <w:fldChar w:fldCharType="separate"/>
      </w:r>
      <w:r w:rsidR="007A47CD">
        <w:rPr>
          <w:noProof/>
        </w:rPr>
        <w:t>1</w:t>
      </w:r>
      <w:r w:rsidR="009356E5">
        <w:rPr>
          <w:noProof/>
        </w:rPr>
        <w:fldChar w:fldCharType="end"/>
      </w:r>
    </w:p>
    <w:p w:rsidR="000972D9" w:rsidRDefault="000972D9" w:rsidP="00F0114B">
      <w:pPr>
        <w:pStyle w:val="TOC1"/>
        <w:tabs>
          <w:tab w:val="left" w:pos="480"/>
          <w:tab w:val="right" w:leader="dot" w:pos="8472"/>
        </w:tabs>
        <w:spacing w:after="120"/>
        <w:rPr>
          <w:rFonts w:eastAsiaTheme="minorEastAsia"/>
          <w:b w:val="0"/>
          <w:caps w:val="0"/>
          <w:noProof/>
          <w:lang w:eastAsia="en-AU"/>
        </w:rPr>
      </w:pPr>
      <w:r>
        <w:rPr>
          <w:noProof/>
        </w:rPr>
        <w:t>2</w:t>
      </w:r>
      <w:r>
        <w:rPr>
          <w:rFonts w:eastAsiaTheme="minorEastAsia"/>
          <w:b w:val="0"/>
          <w:caps w:val="0"/>
          <w:noProof/>
          <w:lang w:eastAsia="en-AU"/>
        </w:rPr>
        <w:tab/>
      </w:r>
      <w:r>
        <w:rPr>
          <w:noProof/>
        </w:rPr>
        <w:t>Procedures</w:t>
      </w:r>
      <w:r>
        <w:rPr>
          <w:noProof/>
        </w:rPr>
        <w:tab/>
      </w:r>
      <w:r w:rsidR="009356E5">
        <w:rPr>
          <w:noProof/>
        </w:rPr>
        <w:fldChar w:fldCharType="begin"/>
      </w:r>
      <w:r>
        <w:rPr>
          <w:noProof/>
        </w:rPr>
        <w:instrText xml:space="preserve"> PAGEREF _Toc369003885 \h </w:instrText>
      </w:r>
      <w:r w:rsidR="009356E5">
        <w:rPr>
          <w:noProof/>
        </w:rPr>
      </w:r>
      <w:r w:rsidR="009356E5">
        <w:rPr>
          <w:noProof/>
        </w:rPr>
        <w:fldChar w:fldCharType="separate"/>
      </w:r>
      <w:r w:rsidR="007A47CD">
        <w:rPr>
          <w:noProof/>
        </w:rPr>
        <w:t>2</w:t>
      </w:r>
      <w:r w:rsidR="009356E5">
        <w:rPr>
          <w:noProof/>
        </w:rPr>
        <w:fldChar w:fldCharType="end"/>
      </w:r>
    </w:p>
    <w:p w:rsidR="000972D9" w:rsidRDefault="000972D9" w:rsidP="00F0114B">
      <w:pPr>
        <w:pStyle w:val="TOC2"/>
        <w:tabs>
          <w:tab w:val="left" w:pos="960"/>
          <w:tab w:val="right" w:leader="dot" w:pos="8472"/>
        </w:tabs>
        <w:spacing w:after="120"/>
        <w:rPr>
          <w:rFonts w:eastAsiaTheme="minorEastAsia"/>
          <w:smallCaps w:val="0"/>
          <w:noProof/>
          <w:lang w:eastAsia="en-AU"/>
        </w:rPr>
      </w:pPr>
      <w:r>
        <w:rPr>
          <w:noProof/>
        </w:rPr>
        <w:t>2.1</w:t>
      </w:r>
      <w:r>
        <w:rPr>
          <w:rFonts w:eastAsiaTheme="minorEastAsia"/>
          <w:smallCaps w:val="0"/>
          <w:noProof/>
          <w:lang w:eastAsia="en-AU"/>
        </w:rPr>
        <w:tab/>
      </w:r>
      <w:r>
        <w:rPr>
          <w:noProof/>
        </w:rPr>
        <w:t>Restricted Zones</w:t>
      </w:r>
      <w:r>
        <w:rPr>
          <w:noProof/>
        </w:rPr>
        <w:tab/>
      </w:r>
      <w:r w:rsidR="009356E5">
        <w:rPr>
          <w:noProof/>
        </w:rPr>
        <w:fldChar w:fldCharType="begin"/>
      </w:r>
      <w:r>
        <w:rPr>
          <w:noProof/>
        </w:rPr>
        <w:instrText xml:space="preserve"> PAGEREF _Toc369003886 \h </w:instrText>
      </w:r>
      <w:r w:rsidR="009356E5">
        <w:rPr>
          <w:noProof/>
        </w:rPr>
      </w:r>
      <w:r w:rsidR="009356E5">
        <w:rPr>
          <w:noProof/>
        </w:rPr>
        <w:fldChar w:fldCharType="separate"/>
      </w:r>
      <w:r w:rsidR="007A47CD">
        <w:rPr>
          <w:noProof/>
        </w:rPr>
        <w:t>2</w:t>
      </w:r>
      <w:r w:rsidR="009356E5">
        <w:rPr>
          <w:noProof/>
        </w:rPr>
        <w:fldChar w:fldCharType="end"/>
      </w:r>
    </w:p>
    <w:p w:rsidR="000972D9" w:rsidRDefault="000972D9" w:rsidP="00F0114B">
      <w:pPr>
        <w:pStyle w:val="TOC2"/>
        <w:tabs>
          <w:tab w:val="left" w:pos="960"/>
          <w:tab w:val="right" w:leader="dot" w:pos="8472"/>
        </w:tabs>
        <w:spacing w:after="120"/>
        <w:rPr>
          <w:rFonts w:eastAsiaTheme="minorEastAsia"/>
          <w:smallCaps w:val="0"/>
          <w:noProof/>
          <w:lang w:eastAsia="en-AU"/>
        </w:rPr>
      </w:pPr>
      <w:r>
        <w:rPr>
          <w:noProof/>
        </w:rPr>
        <w:t>2.2</w:t>
      </w:r>
      <w:r>
        <w:rPr>
          <w:rFonts w:eastAsiaTheme="minorEastAsia"/>
          <w:smallCaps w:val="0"/>
          <w:noProof/>
          <w:lang w:eastAsia="en-AU"/>
        </w:rPr>
        <w:tab/>
      </w:r>
      <w:r>
        <w:rPr>
          <w:noProof/>
        </w:rPr>
        <w:t>Coordination Requirements</w:t>
      </w:r>
      <w:r>
        <w:rPr>
          <w:noProof/>
        </w:rPr>
        <w:tab/>
      </w:r>
      <w:r w:rsidR="009356E5">
        <w:rPr>
          <w:noProof/>
        </w:rPr>
        <w:fldChar w:fldCharType="begin"/>
      </w:r>
      <w:r>
        <w:rPr>
          <w:noProof/>
        </w:rPr>
        <w:instrText xml:space="preserve"> PAGEREF _Toc369003887 \h </w:instrText>
      </w:r>
      <w:r w:rsidR="009356E5">
        <w:rPr>
          <w:noProof/>
        </w:rPr>
      </w:r>
      <w:r w:rsidR="009356E5">
        <w:rPr>
          <w:noProof/>
        </w:rPr>
        <w:fldChar w:fldCharType="separate"/>
      </w:r>
      <w:r w:rsidR="007A47CD">
        <w:rPr>
          <w:noProof/>
        </w:rPr>
        <w:t>3</w:t>
      </w:r>
      <w:r w:rsidR="009356E5">
        <w:rPr>
          <w:noProof/>
        </w:rPr>
        <w:fldChar w:fldCharType="end"/>
      </w:r>
    </w:p>
    <w:p w:rsidR="000972D9" w:rsidRDefault="000972D9" w:rsidP="00F0114B">
      <w:pPr>
        <w:pStyle w:val="TOC3"/>
        <w:tabs>
          <w:tab w:val="left" w:pos="1200"/>
          <w:tab w:val="right" w:leader="dot" w:pos="8472"/>
        </w:tabs>
        <w:spacing w:after="120"/>
        <w:rPr>
          <w:rFonts w:eastAsiaTheme="minorEastAsia"/>
          <w:noProof/>
          <w:lang w:eastAsia="en-AU"/>
        </w:rPr>
      </w:pPr>
      <w:r>
        <w:rPr>
          <w:noProof/>
        </w:rPr>
        <w:t>2.2.1</w:t>
      </w:r>
      <w:r>
        <w:rPr>
          <w:rFonts w:eastAsiaTheme="minorEastAsia"/>
          <w:noProof/>
          <w:lang w:eastAsia="en-AU"/>
        </w:rPr>
        <w:tab/>
      </w:r>
      <w:r>
        <w:rPr>
          <w:noProof/>
        </w:rPr>
        <w:t>Out-of-band coordination requirements</w:t>
      </w:r>
      <w:r>
        <w:rPr>
          <w:noProof/>
        </w:rPr>
        <w:tab/>
      </w:r>
      <w:r w:rsidR="009356E5">
        <w:rPr>
          <w:noProof/>
        </w:rPr>
        <w:fldChar w:fldCharType="begin"/>
      </w:r>
      <w:r>
        <w:rPr>
          <w:noProof/>
        </w:rPr>
        <w:instrText xml:space="preserve"> PAGEREF _Toc369003888 \h </w:instrText>
      </w:r>
      <w:r w:rsidR="009356E5">
        <w:rPr>
          <w:noProof/>
        </w:rPr>
      </w:r>
      <w:r w:rsidR="009356E5">
        <w:rPr>
          <w:noProof/>
        </w:rPr>
        <w:fldChar w:fldCharType="separate"/>
      </w:r>
      <w:r w:rsidR="007A47CD">
        <w:rPr>
          <w:noProof/>
        </w:rPr>
        <w:t>3</w:t>
      </w:r>
      <w:r w:rsidR="009356E5">
        <w:rPr>
          <w:noProof/>
        </w:rPr>
        <w:fldChar w:fldCharType="end"/>
      </w:r>
    </w:p>
    <w:p w:rsidR="000972D9" w:rsidRDefault="000972D9" w:rsidP="00F0114B">
      <w:pPr>
        <w:pStyle w:val="TOC3"/>
        <w:tabs>
          <w:tab w:val="left" w:pos="1200"/>
          <w:tab w:val="right" w:leader="dot" w:pos="8472"/>
        </w:tabs>
        <w:spacing w:after="120"/>
        <w:rPr>
          <w:rFonts w:eastAsiaTheme="minorEastAsia"/>
          <w:noProof/>
          <w:lang w:eastAsia="en-AU"/>
        </w:rPr>
      </w:pPr>
      <w:r>
        <w:rPr>
          <w:noProof/>
        </w:rPr>
        <w:t>2.2.2</w:t>
      </w:r>
      <w:r>
        <w:rPr>
          <w:rFonts w:eastAsiaTheme="minorEastAsia"/>
          <w:noProof/>
          <w:lang w:eastAsia="en-AU"/>
        </w:rPr>
        <w:tab/>
      </w:r>
      <w:r>
        <w:rPr>
          <w:noProof/>
        </w:rPr>
        <w:t>In-band coordination requirements</w:t>
      </w:r>
      <w:r>
        <w:rPr>
          <w:noProof/>
        </w:rPr>
        <w:tab/>
      </w:r>
      <w:r w:rsidR="009356E5">
        <w:rPr>
          <w:noProof/>
        </w:rPr>
        <w:fldChar w:fldCharType="begin"/>
      </w:r>
      <w:r>
        <w:rPr>
          <w:noProof/>
        </w:rPr>
        <w:instrText xml:space="preserve"> PAGEREF _Toc369003889 \h </w:instrText>
      </w:r>
      <w:r w:rsidR="009356E5">
        <w:rPr>
          <w:noProof/>
        </w:rPr>
      </w:r>
      <w:r w:rsidR="009356E5">
        <w:rPr>
          <w:noProof/>
        </w:rPr>
        <w:fldChar w:fldCharType="separate"/>
      </w:r>
      <w:r w:rsidR="007A47CD">
        <w:rPr>
          <w:noProof/>
        </w:rPr>
        <w:t>5</w:t>
      </w:r>
      <w:r w:rsidR="009356E5">
        <w:rPr>
          <w:noProof/>
        </w:rPr>
        <w:fldChar w:fldCharType="end"/>
      </w:r>
    </w:p>
    <w:p w:rsidR="000972D9" w:rsidRDefault="000972D9" w:rsidP="00F0114B">
      <w:pPr>
        <w:pStyle w:val="TOC2"/>
        <w:tabs>
          <w:tab w:val="left" w:pos="960"/>
          <w:tab w:val="right" w:leader="dot" w:pos="8472"/>
        </w:tabs>
        <w:spacing w:after="120"/>
        <w:rPr>
          <w:rFonts w:eastAsiaTheme="minorEastAsia"/>
          <w:smallCaps w:val="0"/>
          <w:noProof/>
          <w:lang w:eastAsia="en-AU"/>
        </w:rPr>
      </w:pPr>
      <w:r>
        <w:rPr>
          <w:noProof/>
        </w:rPr>
        <w:t>2.3</w:t>
      </w:r>
      <w:r>
        <w:rPr>
          <w:rFonts w:eastAsiaTheme="minorEastAsia"/>
          <w:smallCaps w:val="0"/>
          <w:noProof/>
          <w:lang w:eastAsia="en-AU"/>
        </w:rPr>
        <w:tab/>
      </w:r>
      <w:r>
        <w:rPr>
          <w:noProof/>
        </w:rPr>
        <w:t>Exceptions</w:t>
      </w:r>
      <w:r>
        <w:rPr>
          <w:noProof/>
        </w:rPr>
        <w:tab/>
      </w:r>
      <w:r w:rsidR="009356E5">
        <w:rPr>
          <w:noProof/>
        </w:rPr>
        <w:fldChar w:fldCharType="begin"/>
      </w:r>
      <w:r>
        <w:rPr>
          <w:noProof/>
        </w:rPr>
        <w:instrText xml:space="preserve"> PAGEREF _Toc369003890 \h </w:instrText>
      </w:r>
      <w:r w:rsidR="009356E5">
        <w:rPr>
          <w:noProof/>
        </w:rPr>
      </w:r>
      <w:r w:rsidR="009356E5">
        <w:rPr>
          <w:noProof/>
        </w:rPr>
        <w:fldChar w:fldCharType="separate"/>
      </w:r>
      <w:r w:rsidR="007A47CD">
        <w:rPr>
          <w:noProof/>
        </w:rPr>
        <w:t>6</w:t>
      </w:r>
      <w:r w:rsidR="009356E5">
        <w:rPr>
          <w:noProof/>
        </w:rPr>
        <w:fldChar w:fldCharType="end"/>
      </w:r>
    </w:p>
    <w:p w:rsidR="000972D9" w:rsidRDefault="000972D9" w:rsidP="00F0114B">
      <w:pPr>
        <w:pStyle w:val="TOC1"/>
        <w:tabs>
          <w:tab w:val="left" w:pos="480"/>
          <w:tab w:val="right" w:leader="dot" w:pos="8472"/>
        </w:tabs>
        <w:spacing w:after="120"/>
        <w:rPr>
          <w:rFonts w:eastAsiaTheme="minorEastAsia"/>
          <w:b w:val="0"/>
          <w:caps w:val="0"/>
          <w:noProof/>
          <w:lang w:eastAsia="en-AU"/>
        </w:rPr>
      </w:pPr>
      <w:r>
        <w:rPr>
          <w:noProof/>
        </w:rPr>
        <w:t>3</w:t>
      </w:r>
      <w:r>
        <w:rPr>
          <w:rFonts w:eastAsiaTheme="minorEastAsia"/>
          <w:b w:val="0"/>
          <w:caps w:val="0"/>
          <w:noProof/>
          <w:lang w:eastAsia="en-AU"/>
        </w:rPr>
        <w:tab/>
      </w:r>
      <w:r>
        <w:rPr>
          <w:noProof/>
        </w:rPr>
        <w:t>RALI Authorisation</w:t>
      </w:r>
      <w:r>
        <w:rPr>
          <w:noProof/>
        </w:rPr>
        <w:tab/>
      </w:r>
      <w:r w:rsidR="009356E5">
        <w:rPr>
          <w:noProof/>
        </w:rPr>
        <w:fldChar w:fldCharType="begin"/>
      </w:r>
      <w:r>
        <w:rPr>
          <w:noProof/>
        </w:rPr>
        <w:instrText xml:space="preserve"> PAGEREF _Toc369003891 \h </w:instrText>
      </w:r>
      <w:r w:rsidR="009356E5">
        <w:rPr>
          <w:noProof/>
        </w:rPr>
      </w:r>
      <w:r w:rsidR="009356E5">
        <w:rPr>
          <w:noProof/>
        </w:rPr>
        <w:fldChar w:fldCharType="separate"/>
      </w:r>
      <w:r w:rsidR="007A47CD">
        <w:rPr>
          <w:noProof/>
        </w:rPr>
        <w:t>6</w:t>
      </w:r>
      <w:r w:rsidR="009356E5">
        <w:rPr>
          <w:noProof/>
        </w:rPr>
        <w:fldChar w:fldCharType="end"/>
      </w:r>
    </w:p>
    <w:p w:rsidR="000972D9" w:rsidRDefault="000972D9" w:rsidP="00F0114B">
      <w:pPr>
        <w:pStyle w:val="TOC1"/>
        <w:tabs>
          <w:tab w:val="right" w:leader="dot" w:pos="8472"/>
        </w:tabs>
        <w:spacing w:after="120"/>
        <w:rPr>
          <w:rFonts w:eastAsiaTheme="minorEastAsia"/>
          <w:b w:val="0"/>
          <w:caps w:val="0"/>
          <w:noProof/>
          <w:lang w:eastAsia="en-AU"/>
        </w:rPr>
      </w:pPr>
      <w:r>
        <w:rPr>
          <w:noProof/>
        </w:rPr>
        <w:t>Annex 1: Restricted Zone Coordinates</w:t>
      </w:r>
      <w:r>
        <w:rPr>
          <w:noProof/>
        </w:rPr>
        <w:tab/>
      </w:r>
      <w:r w:rsidR="009356E5">
        <w:rPr>
          <w:noProof/>
        </w:rPr>
        <w:fldChar w:fldCharType="begin"/>
      </w:r>
      <w:r>
        <w:rPr>
          <w:noProof/>
        </w:rPr>
        <w:instrText xml:space="preserve"> PAGEREF _Toc369003892 \h </w:instrText>
      </w:r>
      <w:r w:rsidR="009356E5">
        <w:rPr>
          <w:noProof/>
        </w:rPr>
      </w:r>
      <w:r w:rsidR="009356E5">
        <w:rPr>
          <w:noProof/>
        </w:rPr>
        <w:fldChar w:fldCharType="separate"/>
      </w:r>
      <w:r w:rsidR="007A47CD">
        <w:rPr>
          <w:noProof/>
        </w:rPr>
        <w:t>7</w:t>
      </w:r>
      <w:r w:rsidR="009356E5">
        <w:rPr>
          <w:noProof/>
        </w:rPr>
        <w:fldChar w:fldCharType="end"/>
      </w:r>
    </w:p>
    <w:p w:rsidR="000972D9" w:rsidRDefault="000972D9" w:rsidP="00F0114B">
      <w:pPr>
        <w:pStyle w:val="TOC1"/>
        <w:tabs>
          <w:tab w:val="right" w:leader="dot" w:pos="8472"/>
        </w:tabs>
        <w:spacing w:after="120"/>
        <w:rPr>
          <w:rFonts w:eastAsiaTheme="minorEastAsia"/>
          <w:b w:val="0"/>
          <w:caps w:val="0"/>
          <w:noProof/>
          <w:lang w:eastAsia="en-AU"/>
        </w:rPr>
      </w:pPr>
      <w:r>
        <w:rPr>
          <w:noProof/>
        </w:rPr>
        <w:t>Annex 2: Antenna Pattern for New Norcia and Mingenew</w:t>
      </w:r>
      <w:r>
        <w:rPr>
          <w:noProof/>
        </w:rPr>
        <w:tab/>
      </w:r>
      <w:r w:rsidR="009356E5">
        <w:rPr>
          <w:noProof/>
        </w:rPr>
        <w:fldChar w:fldCharType="begin"/>
      </w:r>
      <w:r>
        <w:rPr>
          <w:noProof/>
        </w:rPr>
        <w:instrText xml:space="preserve"> PAGEREF _Toc369003893 \h </w:instrText>
      </w:r>
      <w:r w:rsidR="009356E5">
        <w:rPr>
          <w:noProof/>
        </w:rPr>
      </w:r>
      <w:r w:rsidR="009356E5">
        <w:rPr>
          <w:noProof/>
        </w:rPr>
        <w:fldChar w:fldCharType="separate"/>
      </w:r>
      <w:r w:rsidR="007A47CD">
        <w:rPr>
          <w:noProof/>
        </w:rPr>
        <w:t>8</w:t>
      </w:r>
      <w:r w:rsidR="009356E5">
        <w:rPr>
          <w:noProof/>
        </w:rPr>
        <w:fldChar w:fldCharType="end"/>
      </w:r>
    </w:p>
    <w:p w:rsidR="00510CF9" w:rsidRPr="007F6F80" w:rsidRDefault="009356E5" w:rsidP="00F0114B">
      <w:pPr>
        <w:pStyle w:val="TOC1"/>
        <w:widowControl w:val="0"/>
        <w:tabs>
          <w:tab w:val="left" w:pos="480"/>
          <w:tab w:val="right" w:leader="dot" w:pos="9345"/>
        </w:tabs>
        <w:spacing w:after="120" w:line="240" w:lineRule="auto"/>
        <w:rPr>
          <w:b w:val="0"/>
          <w:caps w:val="0"/>
        </w:rPr>
      </w:pPr>
      <w:r w:rsidRPr="00A87EBC">
        <w:rPr>
          <w:rFonts w:eastAsia="Times New Roman"/>
          <w:noProof/>
          <w:szCs w:val="20"/>
          <w:lang w:val="en-GB" w:eastAsia="en-AU"/>
        </w:rPr>
        <w:fldChar w:fldCharType="end"/>
      </w:r>
    </w:p>
    <w:p w:rsidR="00510CF9" w:rsidRPr="007F6F80" w:rsidRDefault="00510CF9">
      <w:pPr>
        <w:pBdr>
          <w:bottom w:val="single" w:sz="4" w:space="0" w:color="auto"/>
        </w:pBdr>
        <w:rPr>
          <w:snapToGrid w:val="0"/>
        </w:rPr>
      </w:pPr>
    </w:p>
    <w:p w:rsidR="00510CF9" w:rsidRPr="007F6F80" w:rsidRDefault="00510CF9">
      <w:pPr>
        <w:rPr>
          <w:snapToGrid w:val="0"/>
        </w:rPr>
      </w:pPr>
    </w:p>
    <w:p w:rsidR="00510CF9" w:rsidRPr="007F6F80" w:rsidRDefault="00510CF9">
      <w:pPr>
        <w:rPr>
          <w:snapToGrid w:val="0"/>
        </w:rPr>
      </w:pPr>
    </w:p>
    <w:p w:rsidR="00510CF9" w:rsidRPr="007F6F80" w:rsidRDefault="00510CF9">
      <w:pPr>
        <w:ind w:left="567" w:hanging="567"/>
      </w:pPr>
    </w:p>
    <w:p w:rsidR="00510CF9" w:rsidRPr="007F6F80" w:rsidRDefault="00510CF9">
      <w:pPr>
        <w:ind w:left="567" w:hanging="567"/>
      </w:pPr>
    </w:p>
    <w:p w:rsidR="00510CF9" w:rsidRPr="007F6F80" w:rsidRDefault="00510CF9">
      <w:pPr>
        <w:ind w:left="567" w:hanging="567"/>
        <w:sectPr w:rsidR="00510CF9" w:rsidRPr="007F6F80" w:rsidSect="00873805">
          <w:headerReference w:type="even" r:id="rId14"/>
          <w:headerReference w:type="default" r:id="rId15"/>
          <w:footerReference w:type="default" r:id="rId16"/>
          <w:headerReference w:type="first" r:id="rId17"/>
          <w:pgSz w:w="11907" w:h="16840" w:code="9"/>
          <w:pgMar w:top="1134" w:right="2007" w:bottom="1134" w:left="1418" w:header="720" w:footer="720" w:gutter="0"/>
          <w:pgNumType w:fmt="lowerRoman"/>
          <w:cols w:space="720"/>
        </w:sectPr>
      </w:pPr>
    </w:p>
    <w:p w:rsidR="00510CF9" w:rsidRPr="007F6F80" w:rsidRDefault="00510CF9">
      <w:pPr>
        <w:pBdr>
          <w:top w:val="single" w:sz="12" w:space="1" w:color="auto"/>
        </w:pBdr>
        <w:rPr>
          <w:sz w:val="18"/>
        </w:rPr>
      </w:pPr>
      <w:bookmarkStart w:id="1" w:name="_Toc354802996"/>
      <w:bookmarkStart w:id="2" w:name="_Toc354803045"/>
      <w:bookmarkStart w:id="3" w:name="_Toc379275821"/>
      <w:bookmarkStart w:id="4" w:name="_Toc379789489"/>
    </w:p>
    <w:p w:rsidR="00EB0571" w:rsidRDefault="004F4F49" w:rsidP="00F1667D">
      <w:pPr>
        <w:pStyle w:val="TITLEOFRALI"/>
        <w:pBdr>
          <w:top w:val="single" w:sz="12" w:space="1" w:color="auto"/>
        </w:pBdr>
        <w:rPr>
          <w:rFonts w:cs="Calibri"/>
          <w:sz w:val="32"/>
        </w:rPr>
      </w:pPr>
      <w:bookmarkStart w:id="5" w:name="OLE_LINK18"/>
      <w:bookmarkStart w:id="6" w:name="OLE_LINK19"/>
      <w:bookmarkStart w:id="7" w:name="_Toc348860060"/>
      <w:bookmarkStart w:id="8" w:name="_Toc354802997"/>
      <w:bookmarkStart w:id="9" w:name="_Toc354803046"/>
      <w:bookmarkStart w:id="10" w:name="_Toc379275822"/>
      <w:bookmarkStart w:id="11" w:name="_Toc379275926"/>
      <w:bookmarkStart w:id="12" w:name="_Toc379789490"/>
      <w:bookmarkStart w:id="13" w:name="_Toc380902429"/>
      <w:bookmarkStart w:id="14" w:name="_Toc380910412"/>
      <w:bookmarkStart w:id="15" w:name="_Toc475864835"/>
      <w:bookmarkEnd w:id="1"/>
      <w:bookmarkEnd w:id="2"/>
      <w:bookmarkEnd w:id="3"/>
      <w:bookmarkEnd w:id="4"/>
      <w:r w:rsidRPr="00914689">
        <w:rPr>
          <w:rFonts w:cs="Calibri"/>
          <w:sz w:val="32"/>
        </w:rPr>
        <w:t xml:space="preserve">COORDINATION OF </w:t>
      </w:r>
      <w:r w:rsidR="00A76BDA" w:rsidRPr="00914689">
        <w:rPr>
          <w:rFonts w:cs="Calibri"/>
          <w:sz w:val="32"/>
        </w:rPr>
        <w:t>SPECTRUM</w:t>
      </w:r>
      <w:r w:rsidR="00700939" w:rsidRPr="00914689">
        <w:rPr>
          <w:rFonts w:cs="Calibri"/>
          <w:sz w:val="32"/>
        </w:rPr>
        <w:t>-</w:t>
      </w:r>
      <w:r w:rsidR="00A76BDA" w:rsidRPr="00914689">
        <w:rPr>
          <w:rFonts w:cs="Calibri"/>
          <w:sz w:val="32"/>
        </w:rPr>
        <w:t xml:space="preserve">LICENSED DEVICES </w:t>
      </w:r>
      <w:r w:rsidR="00524B47" w:rsidRPr="00914689">
        <w:rPr>
          <w:rFonts w:cs="Calibri"/>
          <w:sz w:val="32"/>
        </w:rPr>
        <w:t xml:space="preserve">OPERATING </w:t>
      </w:r>
      <w:r w:rsidR="00A76BDA" w:rsidRPr="00914689">
        <w:rPr>
          <w:rFonts w:cs="Calibri"/>
          <w:sz w:val="32"/>
        </w:rPr>
        <w:t xml:space="preserve">IN </w:t>
      </w:r>
      <w:r w:rsidR="00524B47" w:rsidRPr="00914689">
        <w:rPr>
          <w:rFonts w:cs="Calibri"/>
          <w:sz w:val="32"/>
        </w:rPr>
        <w:t>THE 2.3 G</w:t>
      </w:r>
      <w:r w:rsidR="00A76BDA" w:rsidRPr="00914689">
        <w:rPr>
          <w:rFonts w:cs="Calibri"/>
          <w:sz w:val="32"/>
        </w:rPr>
        <w:t>H</w:t>
      </w:r>
      <w:r w:rsidR="00524B47" w:rsidRPr="00914689">
        <w:rPr>
          <w:rFonts w:cs="Calibri"/>
          <w:sz w:val="32"/>
        </w:rPr>
        <w:t>z</w:t>
      </w:r>
      <w:r w:rsidRPr="00914689">
        <w:rPr>
          <w:rFonts w:cs="Calibri"/>
          <w:sz w:val="32"/>
        </w:rPr>
        <w:t xml:space="preserve"> </w:t>
      </w:r>
      <w:r w:rsidR="00524B47" w:rsidRPr="00914689">
        <w:rPr>
          <w:rFonts w:cs="Calibri"/>
          <w:sz w:val="32"/>
        </w:rPr>
        <w:t xml:space="preserve">BAND </w:t>
      </w:r>
      <w:r w:rsidRPr="00914689">
        <w:rPr>
          <w:rFonts w:cs="Calibri"/>
          <w:sz w:val="32"/>
        </w:rPr>
        <w:t>WITH</w:t>
      </w:r>
      <w:r w:rsidR="00A76BDA" w:rsidRPr="00914689">
        <w:rPr>
          <w:rFonts w:cs="Calibri"/>
          <w:sz w:val="32"/>
        </w:rPr>
        <w:t xml:space="preserve"> SRS EARTH STATIONS IN </w:t>
      </w:r>
      <w:r w:rsidR="00524B47" w:rsidRPr="00914689">
        <w:rPr>
          <w:rFonts w:cs="Calibri"/>
          <w:sz w:val="32"/>
        </w:rPr>
        <w:t xml:space="preserve">THE </w:t>
      </w:r>
      <w:r w:rsidR="00914689" w:rsidRPr="00914689">
        <w:rPr>
          <w:rFonts w:cs="Calibri"/>
          <w:sz w:val="32"/>
        </w:rPr>
        <w:t>22</w:t>
      </w:r>
      <w:r w:rsidR="00914689">
        <w:rPr>
          <w:rFonts w:cs="Calibri"/>
          <w:sz w:val="32"/>
        </w:rPr>
        <w:t>9</w:t>
      </w:r>
      <w:r w:rsidR="00914689" w:rsidRPr="00914689">
        <w:rPr>
          <w:rFonts w:cs="Calibri"/>
          <w:sz w:val="32"/>
        </w:rPr>
        <w:t>0</w:t>
      </w:r>
      <w:r w:rsidR="00A76BDA" w:rsidRPr="00914689">
        <w:rPr>
          <w:rFonts w:cs="Calibri"/>
          <w:sz w:val="32"/>
        </w:rPr>
        <w:t>–2300 MH</w:t>
      </w:r>
      <w:r w:rsidR="00524B47" w:rsidRPr="00914689">
        <w:rPr>
          <w:rFonts w:cs="Calibri"/>
          <w:sz w:val="32"/>
        </w:rPr>
        <w:t>z BAND</w:t>
      </w:r>
    </w:p>
    <w:p w:rsidR="00914689" w:rsidRPr="005762D0" w:rsidRDefault="00914689" w:rsidP="00914689">
      <w:pPr>
        <w:pStyle w:val="Heading1"/>
      </w:pPr>
      <w:bookmarkStart w:id="16" w:name="_Toc369003882"/>
      <w:bookmarkEnd w:id="5"/>
      <w:bookmarkEnd w:id="6"/>
      <w:r>
        <w:t>Introduction</w:t>
      </w:r>
      <w:bookmarkEnd w:id="16"/>
    </w:p>
    <w:p w:rsidR="00914689" w:rsidRPr="005762D0" w:rsidRDefault="00914689" w:rsidP="00914689">
      <w:pPr>
        <w:pStyle w:val="Heading2"/>
      </w:pPr>
      <w:bookmarkStart w:id="17" w:name="_Toc332618789"/>
      <w:bookmarkStart w:id="18" w:name="_Toc369003883"/>
      <w:bookmarkEnd w:id="7"/>
      <w:bookmarkEnd w:id="8"/>
      <w:bookmarkEnd w:id="9"/>
      <w:bookmarkEnd w:id="10"/>
      <w:bookmarkEnd w:id="11"/>
      <w:bookmarkEnd w:id="12"/>
      <w:bookmarkEnd w:id="13"/>
      <w:bookmarkEnd w:id="14"/>
      <w:bookmarkEnd w:id="15"/>
      <w:r w:rsidRPr="00EA7152">
        <w:t>Purpose</w:t>
      </w:r>
      <w:bookmarkEnd w:id="17"/>
      <w:bookmarkEnd w:id="18"/>
      <w:r>
        <w:t xml:space="preserve"> </w:t>
      </w:r>
    </w:p>
    <w:p w:rsidR="004334F7" w:rsidRDefault="004334F7" w:rsidP="00A87EBC">
      <w:pPr>
        <w:widowControl w:val="0"/>
        <w:spacing w:after="0" w:line="240" w:lineRule="auto"/>
        <w:rPr>
          <w:rFonts w:eastAsia="Times New Roman"/>
          <w:sz w:val="24"/>
          <w:szCs w:val="20"/>
          <w:lang w:val="en-GB" w:eastAsia="en-AU"/>
        </w:rPr>
      </w:pPr>
      <w:bookmarkStart w:id="19" w:name="_Toc8549159"/>
      <w:bookmarkStart w:id="20" w:name="_Toc96834901"/>
      <w:bookmarkStart w:id="21" w:name="_Ref336763427"/>
      <w:bookmarkStart w:id="22" w:name="_Ref336763467"/>
      <w:bookmarkStart w:id="23" w:name="_Toc345731175"/>
      <w:bookmarkStart w:id="24" w:name="_Toc347028501"/>
      <w:r w:rsidRPr="00A87EBC">
        <w:rPr>
          <w:rFonts w:eastAsia="Times New Roman"/>
          <w:sz w:val="24"/>
          <w:szCs w:val="20"/>
          <w:lang w:val="en-GB" w:eastAsia="en-AU"/>
        </w:rPr>
        <w:t>The purpose of this Radiocommunications Assignment and Licensing Instruction (RALI) is to provide processes for out-of-band coordination between:</w:t>
      </w:r>
    </w:p>
    <w:p w:rsidR="00A87EBC" w:rsidRPr="00A87EBC" w:rsidRDefault="00A87EBC" w:rsidP="00A87EBC">
      <w:pPr>
        <w:widowControl w:val="0"/>
        <w:spacing w:after="0" w:line="240" w:lineRule="auto"/>
        <w:rPr>
          <w:rFonts w:eastAsia="Times New Roman"/>
          <w:sz w:val="24"/>
          <w:szCs w:val="20"/>
          <w:lang w:val="en-GB" w:eastAsia="en-AU"/>
        </w:rPr>
      </w:pPr>
    </w:p>
    <w:p w:rsidR="004334F7" w:rsidRPr="00A87EBC" w:rsidRDefault="004334F7" w:rsidP="00A87EBC">
      <w:pPr>
        <w:widowControl w:val="0"/>
        <w:numPr>
          <w:ilvl w:val="0"/>
          <w:numId w:val="50"/>
        </w:numPr>
        <w:spacing w:after="0" w:line="240" w:lineRule="auto"/>
        <w:rPr>
          <w:rFonts w:eastAsia="Times New Roman"/>
          <w:sz w:val="24"/>
          <w:szCs w:val="20"/>
          <w:lang w:val="en-GB" w:eastAsia="en-AU"/>
        </w:rPr>
      </w:pPr>
      <w:r w:rsidRPr="00A87EBC">
        <w:rPr>
          <w:rFonts w:eastAsia="Times New Roman"/>
          <w:sz w:val="24"/>
          <w:szCs w:val="20"/>
          <w:lang w:val="en-GB" w:eastAsia="en-AU"/>
        </w:rPr>
        <w:t>earth stations of the space research service (SRS) operating in the band 2290–2300 MHz for deep space communications; and</w:t>
      </w:r>
    </w:p>
    <w:p w:rsidR="004334F7" w:rsidRDefault="004334F7" w:rsidP="00A87EBC">
      <w:pPr>
        <w:widowControl w:val="0"/>
        <w:numPr>
          <w:ilvl w:val="0"/>
          <w:numId w:val="50"/>
        </w:numPr>
        <w:spacing w:after="0" w:line="240" w:lineRule="auto"/>
        <w:rPr>
          <w:rFonts w:eastAsia="Times New Roman"/>
          <w:sz w:val="24"/>
          <w:szCs w:val="20"/>
          <w:lang w:val="en-GB" w:eastAsia="en-AU"/>
        </w:rPr>
      </w:pPr>
      <w:proofErr w:type="gramStart"/>
      <w:r w:rsidRPr="00A87EBC">
        <w:rPr>
          <w:rFonts w:eastAsia="Times New Roman"/>
          <w:sz w:val="24"/>
          <w:szCs w:val="20"/>
          <w:lang w:val="en-GB" w:eastAsia="en-AU"/>
        </w:rPr>
        <w:t>devices</w:t>
      </w:r>
      <w:proofErr w:type="gramEnd"/>
      <w:r w:rsidRPr="00A87EBC">
        <w:rPr>
          <w:rFonts w:eastAsia="Times New Roman"/>
          <w:sz w:val="24"/>
          <w:szCs w:val="20"/>
          <w:lang w:val="en-GB" w:eastAsia="en-AU"/>
        </w:rPr>
        <w:t xml:space="preserve"> operating under spectrum licences in the </w:t>
      </w:r>
      <w:r w:rsidR="00524B47" w:rsidRPr="00A87EBC">
        <w:rPr>
          <w:rFonts w:eastAsia="Times New Roman"/>
          <w:sz w:val="24"/>
          <w:szCs w:val="20"/>
          <w:lang w:val="en-GB" w:eastAsia="en-AU"/>
        </w:rPr>
        <w:t>2.3 GHz</w:t>
      </w:r>
      <w:r w:rsidRPr="00A87EBC">
        <w:rPr>
          <w:rFonts w:eastAsia="Times New Roman"/>
          <w:sz w:val="24"/>
          <w:szCs w:val="20"/>
          <w:lang w:val="en-GB" w:eastAsia="en-AU"/>
        </w:rPr>
        <w:t>.</w:t>
      </w:r>
    </w:p>
    <w:p w:rsidR="00A87EBC" w:rsidRPr="00A87EBC" w:rsidRDefault="00A87EBC" w:rsidP="00A87EBC">
      <w:pPr>
        <w:widowControl w:val="0"/>
        <w:spacing w:after="0" w:line="240" w:lineRule="auto"/>
        <w:ind w:left="720"/>
        <w:rPr>
          <w:rFonts w:eastAsia="Times New Roman"/>
          <w:sz w:val="24"/>
          <w:szCs w:val="20"/>
          <w:lang w:val="en-GB" w:eastAsia="en-AU"/>
        </w:rPr>
      </w:pPr>
    </w:p>
    <w:p w:rsidR="00A87EBC" w:rsidRDefault="004334F7" w:rsidP="00A87EBC">
      <w:pPr>
        <w:widowControl w:val="0"/>
        <w:spacing w:after="0" w:line="240" w:lineRule="auto"/>
        <w:rPr>
          <w:rFonts w:eastAsia="Times New Roman"/>
          <w:sz w:val="24"/>
          <w:szCs w:val="20"/>
          <w:lang w:val="en-GB" w:eastAsia="en-AU"/>
        </w:rPr>
      </w:pPr>
      <w:r w:rsidRPr="00A87EBC">
        <w:rPr>
          <w:rFonts w:eastAsia="Times New Roman"/>
          <w:sz w:val="24"/>
          <w:szCs w:val="20"/>
          <w:lang w:val="en-GB" w:eastAsia="en-AU"/>
        </w:rPr>
        <w:t xml:space="preserve">The information in this document reflects the Australian Communications and Media Authority’s statement of current policy in relation to the frequency coordination of SRS Earth stations. Users of this RALI are advised that, recognising that the ITU-R continues to study and make recommendations regarding radiocommunications and associated regulatory and spectrum management issues, this document is subject to ongoing revision.  </w:t>
      </w:r>
    </w:p>
    <w:p w:rsidR="00A87EBC" w:rsidRDefault="00A87EBC" w:rsidP="00A87EBC">
      <w:pPr>
        <w:widowControl w:val="0"/>
        <w:spacing w:after="0" w:line="240" w:lineRule="auto"/>
        <w:rPr>
          <w:rFonts w:eastAsia="Times New Roman"/>
          <w:sz w:val="24"/>
          <w:szCs w:val="20"/>
          <w:lang w:val="en-GB" w:eastAsia="en-AU"/>
        </w:rPr>
      </w:pPr>
    </w:p>
    <w:p w:rsidR="00412CEB" w:rsidRPr="00412CEB" w:rsidRDefault="00412CEB" w:rsidP="00412CEB">
      <w:pPr>
        <w:widowControl w:val="0"/>
        <w:spacing w:after="0" w:line="240" w:lineRule="auto"/>
        <w:rPr>
          <w:rFonts w:eastAsia="Times New Roman" w:cstheme="minorHAnsi"/>
          <w:sz w:val="24"/>
          <w:szCs w:val="20"/>
          <w:lang w:val="en-GB" w:eastAsia="en-AU"/>
        </w:rPr>
      </w:pPr>
      <w:r w:rsidRPr="00412CEB">
        <w:rPr>
          <w:rFonts w:eastAsia="Times New Roman" w:cs="Calibri"/>
          <w:sz w:val="24"/>
          <w:szCs w:val="20"/>
          <w:lang w:val="en-GB" w:eastAsia="en-AU"/>
        </w:rPr>
        <w:t xml:space="preserve">In making decisions, </w:t>
      </w:r>
      <w:r w:rsidRPr="00412CEB">
        <w:rPr>
          <w:rFonts w:eastAsia="Times New Roman" w:cstheme="minorHAnsi"/>
          <w:sz w:val="24"/>
          <w:szCs w:val="20"/>
          <w:lang w:val="en-GB" w:eastAsia="en-AU"/>
        </w:rPr>
        <w:t xml:space="preserve">accredited frequency assigners and the ACMA’s officers </w:t>
      </w:r>
      <w:r w:rsidRPr="00412CEB">
        <w:rPr>
          <w:rFonts w:eastAsia="Times New Roman" w:cs="Calibri"/>
          <w:sz w:val="24"/>
          <w:szCs w:val="20"/>
          <w:lang w:val="en-GB" w:eastAsia="en-AU"/>
        </w:rPr>
        <w:t xml:space="preserve">should take all relevant factors into account and decide each case on its merits.  Issues relating to this document that appear to fall outside the enunciated </w:t>
      </w:r>
      <w:r w:rsidRPr="00412CEB">
        <w:rPr>
          <w:rFonts w:eastAsia="Times New Roman" w:cstheme="minorHAnsi"/>
          <w:sz w:val="24"/>
          <w:szCs w:val="20"/>
          <w:lang w:val="en-GB" w:eastAsia="en-AU"/>
        </w:rPr>
        <w:t xml:space="preserve">policy should be referred to the Manager, Spectrum Engineering Section, PO Box 78, </w:t>
      </w:r>
      <w:proofErr w:type="spellStart"/>
      <w:r w:rsidRPr="00412CEB">
        <w:rPr>
          <w:rFonts w:eastAsia="Times New Roman" w:cstheme="minorHAnsi"/>
          <w:sz w:val="24"/>
          <w:szCs w:val="20"/>
          <w:lang w:val="en-GB" w:eastAsia="en-AU"/>
        </w:rPr>
        <w:t>Belconnen</w:t>
      </w:r>
      <w:proofErr w:type="spellEnd"/>
      <w:r w:rsidRPr="00412CEB">
        <w:rPr>
          <w:rFonts w:eastAsia="Times New Roman" w:cstheme="minorHAnsi"/>
          <w:sz w:val="24"/>
          <w:szCs w:val="20"/>
          <w:lang w:val="en-GB" w:eastAsia="en-AU"/>
        </w:rPr>
        <w:t xml:space="preserve">, ACT, 2616, or by e-mail to </w:t>
      </w:r>
      <w:hyperlink r:id="rId18" w:history="1">
        <w:r w:rsidRPr="00412CEB">
          <w:rPr>
            <w:rFonts w:eastAsia="Times New Roman" w:cstheme="minorHAnsi"/>
            <w:color w:val="0000FF"/>
            <w:sz w:val="24"/>
            <w:szCs w:val="20"/>
            <w:u w:val="single"/>
            <w:lang w:val="en-GB" w:eastAsia="en-AU"/>
          </w:rPr>
          <w:t>freqplan@acma.gov.au</w:t>
        </w:r>
      </w:hyperlink>
      <w:r w:rsidRPr="00412CEB">
        <w:rPr>
          <w:rFonts w:eastAsia="Times New Roman" w:cstheme="minorHAnsi"/>
          <w:sz w:val="24"/>
          <w:szCs w:val="20"/>
          <w:lang w:val="en-GB" w:eastAsia="en-AU"/>
        </w:rPr>
        <w:t>.</w:t>
      </w:r>
    </w:p>
    <w:p w:rsidR="00A87EBC" w:rsidRDefault="00A87EBC" w:rsidP="00412CEB">
      <w:pPr>
        <w:widowControl w:val="0"/>
        <w:spacing w:after="0" w:line="240" w:lineRule="auto"/>
        <w:rPr>
          <w:rFonts w:eastAsia="Times New Roman"/>
          <w:sz w:val="24"/>
          <w:szCs w:val="20"/>
          <w:lang w:val="en-GB" w:eastAsia="en-AU"/>
        </w:rPr>
      </w:pPr>
      <w:r>
        <w:rPr>
          <w:rFonts w:eastAsia="Times New Roman"/>
          <w:sz w:val="24"/>
          <w:szCs w:val="20"/>
          <w:lang w:val="en-GB" w:eastAsia="en-AU"/>
        </w:rPr>
        <w:t xml:space="preserve"> </w:t>
      </w:r>
    </w:p>
    <w:p w:rsidR="00A87EBC" w:rsidRDefault="00A87EBC" w:rsidP="00A87EBC">
      <w:pPr>
        <w:widowControl w:val="0"/>
        <w:spacing w:after="0" w:line="240" w:lineRule="auto"/>
      </w:pPr>
    </w:p>
    <w:p w:rsidR="006F1AD2" w:rsidRDefault="006F1AD2" w:rsidP="00914689">
      <w:pPr>
        <w:pStyle w:val="Heading2"/>
      </w:pPr>
      <w:bookmarkStart w:id="25" w:name="_Toc362362501"/>
      <w:bookmarkStart w:id="26" w:name="_Toc354802999"/>
      <w:bookmarkStart w:id="27" w:name="_Toc354803048"/>
      <w:bookmarkStart w:id="28" w:name="_Toc379275824"/>
      <w:bookmarkStart w:id="29" w:name="_Toc379275928"/>
      <w:bookmarkStart w:id="30" w:name="_Toc379789492"/>
      <w:bookmarkStart w:id="31" w:name="_Toc380902431"/>
      <w:bookmarkStart w:id="32" w:name="_Toc380910414"/>
      <w:bookmarkStart w:id="33" w:name="_Toc475864837"/>
      <w:bookmarkStart w:id="34" w:name="_Toc369003884"/>
      <w:bookmarkEnd w:id="19"/>
      <w:bookmarkEnd w:id="20"/>
      <w:bookmarkEnd w:id="21"/>
      <w:bookmarkEnd w:id="22"/>
      <w:bookmarkEnd w:id="23"/>
      <w:bookmarkEnd w:id="24"/>
      <w:bookmarkEnd w:id="25"/>
      <w:r>
        <w:t>Scope</w:t>
      </w:r>
      <w:bookmarkEnd w:id="26"/>
      <w:bookmarkEnd w:id="27"/>
      <w:bookmarkEnd w:id="28"/>
      <w:bookmarkEnd w:id="29"/>
      <w:bookmarkEnd w:id="30"/>
      <w:bookmarkEnd w:id="31"/>
      <w:bookmarkEnd w:id="32"/>
      <w:bookmarkEnd w:id="33"/>
      <w:bookmarkEnd w:id="34"/>
    </w:p>
    <w:p w:rsidR="004334F7" w:rsidRDefault="004334F7" w:rsidP="00A87EBC">
      <w:pPr>
        <w:widowControl w:val="0"/>
        <w:spacing w:after="0" w:line="240" w:lineRule="auto"/>
        <w:rPr>
          <w:rFonts w:eastAsia="Times New Roman"/>
          <w:sz w:val="24"/>
          <w:szCs w:val="20"/>
          <w:lang w:val="en-GB" w:eastAsia="en-AU"/>
        </w:rPr>
      </w:pPr>
      <w:r w:rsidRPr="00A87EBC">
        <w:rPr>
          <w:rFonts w:eastAsia="Times New Roman"/>
          <w:sz w:val="24"/>
          <w:szCs w:val="20"/>
          <w:lang w:val="en-GB" w:eastAsia="en-AU"/>
        </w:rPr>
        <w:t xml:space="preserve">This RALI applies only to the out-of-band coordination of SRS Earth Stations with devices proposed for operation under a 2.3 GHz band spectrum licence. </w:t>
      </w:r>
    </w:p>
    <w:p w:rsidR="00A87EBC" w:rsidRPr="00A87EBC" w:rsidRDefault="00A87EBC" w:rsidP="00A87EBC">
      <w:pPr>
        <w:widowControl w:val="0"/>
        <w:spacing w:after="0" w:line="240" w:lineRule="auto"/>
        <w:rPr>
          <w:rFonts w:eastAsia="Times New Roman"/>
          <w:sz w:val="24"/>
          <w:szCs w:val="20"/>
          <w:lang w:val="en-GB" w:eastAsia="en-AU"/>
        </w:rPr>
      </w:pPr>
    </w:p>
    <w:p w:rsidR="004334F7" w:rsidRDefault="004334F7" w:rsidP="00A87EBC">
      <w:pPr>
        <w:widowControl w:val="0"/>
        <w:spacing w:after="0" w:line="240" w:lineRule="auto"/>
        <w:rPr>
          <w:rFonts w:eastAsia="Times New Roman"/>
          <w:sz w:val="24"/>
          <w:szCs w:val="20"/>
          <w:lang w:val="en-GB" w:eastAsia="en-AU"/>
        </w:rPr>
      </w:pPr>
      <w:r w:rsidRPr="00A87EBC">
        <w:rPr>
          <w:rFonts w:eastAsia="Times New Roman"/>
          <w:sz w:val="24"/>
          <w:szCs w:val="20"/>
          <w:lang w:val="en-GB" w:eastAsia="en-AU"/>
        </w:rPr>
        <w:t>Deep-space communications at Lansdale, though currently operational, will cease to operate by 31 December 2015</w:t>
      </w:r>
      <w:r w:rsidRPr="00A87EBC">
        <w:rPr>
          <w:rFonts w:eastAsia="Times New Roman"/>
          <w:sz w:val="24"/>
          <w:szCs w:val="20"/>
          <w:lang w:val="en-GB" w:eastAsia="en-AU"/>
        </w:rPr>
        <w:footnoteReference w:id="1"/>
      </w:r>
      <w:r w:rsidRPr="00A87EBC">
        <w:rPr>
          <w:rFonts w:eastAsia="Times New Roman"/>
          <w:sz w:val="24"/>
          <w:szCs w:val="20"/>
          <w:lang w:val="en-GB" w:eastAsia="en-AU"/>
        </w:rPr>
        <w:t>. As a result, specific protection requirements for the SRS (deep space) in 2290–2300 MHz are not specified in this RALI.</w:t>
      </w:r>
    </w:p>
    <w:p w:rsidR="00A87EBC" w:rsidRPr="00A87EBC" w:rsidRDefault="00A87EBC" w:rsidP="00A87EBC">
      <w:pPr>
        <w:widowControl w:val="0"/>
        <w:spacing w:after="0" w:line="240" w:lineRule="auto"/>
        <w:rPr>
          <w:rFonts w:eastAsia="Times New Roman"/>
          <w:sz w:val="24"/>
          <w:szCs w:val="20"/>
          <w:lang w:val="en-GB" w:eastAsia="en-AU"/>
        </w:rPr>
      </w:pPr>
    </w:p>
    <w:p w:rsidR="004334F7" w:rsidRDefault="004334F7" w:rsidP="00A87EBC">
      <w:pPr>
        <w:widowControl w:val="0"/>
        <w:spacing w:after="0" w:line="240" w:lineRule="auto"/>
        <w:rPr>
          <w:rFonts w:eastAsia="Times New Roman"/>
          <w:sz w:val="24"/>
          <w:szCs w:val="20"/>
          <w:lang w:val="en-GB" w:eastAsia="en-AU"/>
        </w:rPr>
      </w:pPr>
      <w:r w:rsidRPr="00A87EBC">
        <w:rPr>
          <w:rFonts w:eastAsia="Times New Roman"/>
          <w:sz w:val="24"/>
          <w:szCs w:val="20"/>
          <w:lang w:val="en-GB" w:eastAsia="en-AU"/>
        </w:rPr>
        <w:t xml:space="preserve">Protection from out-of-band interference into LNA’s operating at the Canberra Deep Space Communications Complex (CDSCC) is already in place through the implementation of geographic area </w:t>
      </w:r>
      <w:r w:rsidR="00877C91" w:rsidRPr="00A87EBC">
        <w:rPr>
          <w:rFonts w:eastAsia="Times New Roman"/>
          <w:sz w:val="24"/>
          <w:szCs w:val="20"/>
          <w:lang w:val="en-GB" w:eastAsia="en-AU"/>
        </w:rPr>
        <w:t xml:space="preserve">and frequency </w:t>
      </w:r>
      <w:r w:rsidRPr="00A87EBC">
        <w:rPr>
          <w:rFonts w:eastAsia="Times New Roman"/>
          <w:sz w:val="24"/>
          <w:szCs w:val="20"/>
          <w:lang w:val="en-GB" w:eastAsia="en-AU"/>
        </w:rPr>
        <w:t xml:space="preserve">guard bands in the 2300-2330 MHz band. </w:t>
      </w:r>
    </w:p>
    <w:p w:rsidR="00A87EBC" w:rsidRPr="00A87EBC" w:rsidRDefault="00A87EBC" w:rsidP="00A87EBC">
      <w:pPr>
        <w:widowControl w:val="0"/>
        <w:spacing w:after="0" w:line="240" w:lineRule="auto"/>
        <w:rPr>
          <w:rFonts w:eastAsia="Times New Roman"/>
          <w:sz w:val="24"/>
          <w:szCs w:val="20"/>
          <w:lang w:val="en-GB" w:eastAsia="en-AU"/>
        </w:rPr>
      </w:pPr>
    </w:p>
    <w:p w:rsidR="004334F7" w:rsidRDefault="004334F7" w:rsidP="00A87EBC">
      <w:pPr>
        <w:widowControl w:val="0"/>
        <w:spacing w:after="0" w:line="240" w:lineRule="auto"/>
        <w:rPr>
          <w:rFonts w:eastAsia="Times New Roman"/>
          <w:sz w:val="24"/>
          <w:szCs w:val="20"/>
          <w:lang w:val="en-GB" w:eastAsia="en-AU"/>
        </w:rPr>
      </w:pPr>
      <w:r w:rsidRPr="00A87EBC">
        <w:rPr>
          <w:rFonts w:eastAsia="Times New Roman"/>
          <w:sz w:val="24"/>
          <w:szCs w:val="20"/>
          <w:lang w:val="en-GB" w:eastAsia="en-AU"/>
        </w:rPr>
        <w:t xml:space="preserve">For all other interference management requirements that may apply to a device operating under a 2.3 GHz spectrum licence please refer to the conditions on the licence and the relevant </w:t>
      </w:r>
      <w:r w:rsidRPr="00A87EBC">
        <w:rPr>
          <w:rFonts w:eastAsia="Times New Roman"/>
          <w:sz w:val="24"/>
          <w:szCs w:val="20"/>
          <w:lang w:val="en-GB" w:eastAsia="en-AU"/>
        </w:rPr>
        <w:lastRenderedPageBreak/>
        <w:t>technical framework.</w:t>
      </w:r>
    </w:p>
    <w:p w:rsidR="00A87EBC" w:rsidRPr="00A87EBC" w:rsidRDefault="00A87EBC" w:rsidP="00A87EBC">
      <w:pPr>
        <w:widowControl w:val="0"/>
        <w:spacing w:after="0" w:line="240" w:lineRule="auto"/>
        <w:rPr>
          <w:rFonts w:eastAsia="Times New Roman"/>
          <w:sz w:val="24"/>
          <w:szCs w:val="20"/>
          <w:lang w:val="en-GB" w:eastAsia="en-AU"/>
        </w:rPr>
      </w:pPr>
    </w:p>
    <w:p w:rsidR="00914689" w:rsidRDefault="00914689" w:rsidP="00914689">
      <w:pPr>
        <w:pStyle w:val="Heading1"/>
      </w:pPr>
      <w:bookmarkStart w:id="35" w:name="_Toc369003885"/>
      <w:r>
        <w:t>Procedures</w:t>
      </w:r>
      <w:bookmarkEnd w:id="35"/>
    </w:p>
    <w:p w:rsidR="00914689" w:rsidRDefault="00914689" w:rsidP="00914689">
      <w:pPr>
        <w:pStyle w:val="Heading2"/>
      </w:pPr>
      <w:bookmarkStart w:id="36" w:name="_Toc369003886"/>
      <w:r>
        <w:t>Restricted Zones</w:t>
      </w:r>
      <w:bookmarkEnd w:id="36"/>
    </w:p>
    <w:p w:rsidR="00914689" w:rsidRDefault="00914689" w:rsidP="00A87EBC">
      <w:pPr>
        <w:widowControl w:val="0"/>
        <w:spacing w:after="0" w:line="240" w:lineRule="auto"/>
        <w:rPr>
          <w:rFonts w:eastAsia="Times New Roman" w:cstheme="minorHAnsi"/>
          <w:sz w:val="24"/>
          <w:szCs w:val="20"/>
          <w:lang w:val="en-GB" w:eastAsia="en-AU"/>
        </w:rPr>
      </w:pPr>
      <w:r w:rsidRPr="00A87EBC">
        <w:rPr>
          <w:rFonts w:eastAsia="Times New Roman" w:cstheme="minorHAnsi"/>
          <w:sz w:val="24"/>
          <w:szCs w:val="20"/>
          <w:lang w:val="en-GB" w:eastAsia="en-AU"/>
        </w:rPr>
        <w:t xml:space="preserve">The ACMA has defined restricted zones </w:t>
      </w:r>
      <w:r w:rsidR="009732A9" w:rsidRPr="00A87EBC">
        <w:rPr>
          <w:rFonts w:eastAsia="Times New Roman" w:cstheme="minorHAnsi"/>
          <w:sz w:val="24"/>
          <w:szCs w:val="20"/>
          <w:lang w:val="en-GB" w:eastAsia="en-AU"/>
        </w:rPr>
        <w:t xml:space="preserve">in Table 1 </w:t>
      </w:r>
      <w:r w:rsidRPr="00A87EBC">
        <w:rPr>
          <w:rFonts w:eastAsia="Times New Roman" w:cstheme="minorHAnsi"/>
          <w:sz w:val="24"/>
          <w:szCs w:val="20"/>
          <w:lang w:val="en-GB" w:eastAsia="en-AU"/>
        </w:rPr>
        <w:t xml:space="preserve">around </w:t>
      </w:r>
      <w:r w:rsidR="009732A9" w:rsidRPr="00A87EBC">
        <w:rPr>
          <w:rFonts w:eastAsia="Times New Roman" w:cstheme="minorHAnsi"/>
          <w:sz w:val="24"/>
          <w:szCs w:val="20"/>
          <w:lang w:val="en-GB" w:eastAsia="en-AU"/>
        </w:rPr>
        <w:t>each of the SRS earth station sites</w:t>
      </w:r>
      <w:r w:rsidRPr="00A87EBC">
        <w:rPr>
          <w:rFonts w:eastAsia="Times New Roman" w:cstheme="minorHAnsi"/>
          <w:sz w:val="24"/>
          <w:szCs w:val="20"/>
          <w:lang w:val="en-GB" w:eastAsia="en-AU"/>
        </w:rPr>
        <w:t xml:space="preserve"> defined in </w:t>
      </w:r>
      <w:r w:rsidR="001F534B" w:rsidRPr="00A87EBC">
        <w:rPr>
          <w:rFonts w:eastAsia="Times New Roman" w:cstheme="minorHAnsi"/>
          <w:sz w:val="24"/>
          <w:szCs w:val="20"/>
          <w:lang w:val="en-GB" w:eastAsia="en-AU"/>
        </w:rPr>
        <w:t>T</w:t>
      </w:r>
      <w:r w:rsidR="009732A9" w:rsidRPr="00A87EBC">
        <w:rPr>
          <w:rFonts w:eastAsia="Times New Roman" w:cstheme="minorHAnsi"/>
          <w:sz w:val="24"/>
          <w:szCs w:val="20"/>
          <w:lang w:val="en-GB" w:eastAsia="en-AU"/>
        </w:rPr>
        <w:t xml:space="preserve">able 2 of </w:t>
      </w:r>
      <w:r w:rsidRPr="00A87EBC">
        <w:rPr>
          <w:rFonts w:eastAsia="Times New Roman" w:cstheme="minorHAnsi"/>
          <w:sz w:val="24"/>
          <w:szCs w:val="20"/>
          <w:lang w:val="en-GB" w:eastAsia="en-AU"/>
        </w:rPr>
        <w:t xml:space="preserve">this RALI. </w:t>
      </w:r>
      <w:r w:rsidR="009732A9" w:rsidRPr="00A87EBC">
        <w:rPr>
          <w:rFonts w:eastAsia="Times New Roman" w:cstheme="minorHAnsi"/>
          <w:sz w:val="24"/>
          <w:szCs w:val="20"/>
          <w:lang w:val="en-GB" w:eastAsia="en-AU"/>
        </w:rPr>
        <w:t xml:space="preserve"> </w:t>
      </w:r>
      <w:r w:rsidRPr="00A87EBC">
        <w:rPr>
          <w:rFonts w:eastAsia="Times New Roman" w:cstheme="minorHAnsi"/>
          <w:sz w:val="24"/>
          <w:szCs w:val="20"/>
          <w:lang w:val="en-GB" w:eastAsia="en-AU"/>
        </w:rPr>
        <w:t>Within the restricted zones, unless agreement is reached wi</w:t>
      </w:r>
      <w:r w:rsidR="00F1667D" w:rsidRPr="00A87EBC">
        <w:rPr>
          <w:rFonts w:eastAsia="Times New Roman" w:cstheme="minorHAnsi"/>
          <w:sz w:val="24"/>
          <w:szCs w:val="20"/>
          <w:lang w:val="en-GB" w:eastAsia="en-AU"/>
        </w:rPr>
        <w:t>th the earth station licensee or</w:t>
      </w:r>
      <w:r w:rsidRPr="00A87EBC">
        <w:rPr>
          <w:rFonts w:eastAsia="Times New Roman" w:cstheme="minorHAnsi"/>
          <w:sz w:val="24"/>
          <w:szCs w:val="20"/>
          <w:lang w:val="en-GB" w:eastAsia="en-AU"/>
        </w:rPr>
        <w:t xml:space="preserve"> the ACMA, the following applies:</w:t>
      </w:r>
    </w:p>
    <w:p w:rsidR="00A87EBC" w:rsidRPr="00A87EBC" w:rsidRDefault="00A87EBC" w:rsidP="00A87EBC">
      <w:pPr>
        <w:widowControl w:val="0"/>
        <w:spacing w:after="0" w:line="240" w:lineRule="auto"/>
        <w:rPr>
          <w:rFonts w:eastAsia="Times New Roman" w:cstheme="minorHAnsi"/>
          <w:sz w:val="24"/>
          <w:szCs w:val="20"/>
          <w:lang w:val="en-GB" w:eastAsia="en-AU"/>
        </w:rPr>
      </w:pPr>
    </w:p>
    <w:p w:rsidR="00914689" w:rsidRDefault="00914689" w:rsidP="00A87EBC">
      <w:pPr>
        <w:widowControl w:val="0"/>
        <w:numPr>
          <w:ilvl w:val="0"/>
          <w:numId w:val="49"/>
        </w:numPr>
        <w:spacing w:after="0" w:line="240" w:lineRule="auto"/>
        <w:rPr>
          <w:rFonts w:eastAsia="Times New Roman" w:cstheme="minorHAnsi"/>
          <w:sz w:val="24"/>
          <w:szCs w:val="20"/>
          <w:lang w:val="en-GB" w:eastAsia="en-AU"/>
        </w:rPr>
      </w:pPr>
      <w:r w:rsidRPr="00A87EBC">
        <w:rPr>
          <w:rFonts w:eastAsia="Times New Roman" w:cstheme="minorHAnsi"/>
          <w:sz w:val="24"/>
          <w:szCs w:val="20"/>
          <w:lang w:val="en-GB" w:eastAsia="en-AU"/>
        </w:rPr>
        <w:t>no new devices are to be registered under 2.3 GHz spectrum licences;</w:t>
      </w:r>
    </w:p>
    <w:p w:rsidR="00A87EBC" w:rsidRPr="00A87EBC" w:rsidRDefault="00A87EBC" w:rsidP="00A87EBC">
      <w:pPr>
        <w:widowControl w:val="0"/>
        <w:spacing w:after="0" w:line="240" w:lineRule="auto"/>
        <w:ind w:left="720"/>
        <w:rPr>
          <w:rFonts w:eastAsia="Times New Roman" w:cstheme="minorHAnsi"/>
          <w:sz w:val="24"/>
          <w:szCs w:val="20"/>
          <w:lang w:val="en-GB" w:eastAsia="en-AU"/>
        </w:rPr>
      </w:pPr>
    </w:p>
    <w:p w:rsidR="00F82314" w:rsidRDefault="008E05A7" w:rsidP="00A87EBC">
      <w:pPr>
        <w:widowControl w:val="0"/>
        <w:numPr>
          <w:ilvl w:val="0"/>
          <w:numId w:val="49"/>
        </w:numPr>
        <w:spacing w:after="0" w:line="240" w:lineRule="auto"/>
        <w:rPr>
          <w:rFonts w:eastAsia="Times New Roman" w:cstheme="minorHAnsi"/>
          <w:sz w:val="24"/>
          <w:szCs w:val="20"/>
          <w:lang w:val="en-GB" w:eastAsia="en-AU"/>
        </w:rPr>
      </w:pPr>
      <w:r w:rsidRPr="00A87EBC">
        <w:rPr>
          <w:rFonts w:eastAsia="Times New Roman" w:cstheme="minorHAnsi"/>
          <w:sz w:val="24"/>
          <w:szCs w:val="20"/>
          <w:lang w:val="en-GB" w:eastAsia="en-AU"/>
        </w:rPr>
        <w:t>no new licence-exempt devices are to be operated in 2.3 GHz band;</w:t>
      </w:r>
    </w:p>
    <w:p w:rsidR="00A87EBC" w:rsidRPr="00A87EBC" w:rsidRDefault="00A87EBC" w:rsidP="00A87EBC">
      <w:pPr>
        <w:widowControl w:val="0"/>
        <w:spacing w:after="0" w:line="240" w:lineRule="auto"/>
        <w:ind w:left="720"/>
        <w:rPr>
          <w:rFonts w:eastAsia="Times New Roman" w:cstheme="minorHAnsi"/>
          <w:sz w:val="24"/>
          <w:szCs w:val="20"/>
          <w:lang w:val="en-GB" w:eastAsia="en-AU"/>
        </w:rPr>
      </w:pPr>
    </w:p>
    <w:p w:rsidR="00914689" w:rsidRDefault="00914689" w:rsidP="00A87EBC">
      <w:pPr>
        <w:widowControl w:val="0"/>
        <w:numPr>
          <w:ilvl w:val="0"/>
          <w:numId w:val="49"/>
        </w:numPr>
        <w:spacing w:after="0" w:line="240" w:lineRule="auto"/>
        <w:rPr>
          <w:rFonts w:eastAsia="Times New Roman" w:cstheme="minorHAnsi"/>
          <w:sz w:val="24"/>
          <w:szCs w:val="20"/>
          <w:lang w:val="en-GB" w:eastAsia="en-AU"/>
        </w:rPr>
      </w:pPr>
      <w:r w:rsidRPr="00A87EBC">
        <w:rPr>
          <w:rFonts w:eastAsia="Times New Roman" w:cstheme="minorHAnsi"/>
          <w:sz w:val="24"/>
          <w:szCs w:val="20"/>
          <w:lang w:val="en-GB" w:eastAsia="en-AU"/>
        </w:rPr>
        <w:t>existing devices operating under spectrum licences may continue to operate; and</w:t>
      </w:r>
    </w:p>
    <w:p w:rsidR="00A87EBC" w:rsidRPr="00A87EBC" w:rsidRDefault="00A87EBC" w:rsidP="00A87EBC">
      <w:pPr>
        <w:widowControl w:val="0"/>
        <w:spacing w:after="0" w:line="240" w:lineRule="auto"/>
        <w:ind w:left="720"/>
        <w:rPr>
          <w:rFonts w:eastAsia="Times New Roman" w:cstheme="minorHAnsi"/>
          <w:sz w:val="24"/>
          <w:szCs w:val="20"/>
          <w:lang w:val="en-GB" w:eastAsia="en-AU"/>
        </w:rPr>
      </w:pPr>
    </w:p>
    <w:p w:rsidR="00914689" w:rsidRDefault="00914689" w:rsidP="00A87EBC">
      <w:pPr>
        <w:widowControl w:val="0"/>
        <w:numPr>
          <w:ilvl w:val="0"/>
          <w:numId w:val="49"/>
        </w:numPr>
        <w:spacing w:after="0" w:line="240" w:lineRule="auto"/>
        <w:rPr>
          <w:rFonts w:eastAsia="Times New Roman" w:cstheme="minorHAnsi"/>
          <w:sz w:val="24"/>
          <w:szCs w:val="20"/>
          <w:lang w:val="en-GB" w:eastAsia="en-AU"/>
        </w:rPr>
      </w:pPr>
      <w:proofErr w:type="gramStart"/>
      <w:r w:rsidRPr="00A87EBC">
        <w:rPr>
          <w:rFonts w:eastAsia="Times New Roman" w:cstheme="minorHAnsi"/>
          <w:sz w:val="24"/>
          <w:szCs w:val="20"/>
          <w:lang w:val="en-GB" w:eastAsia="en-AU"/>
        </w:rPr>
        <w:t>the</w:t>
      </w:r>
      <w:proofErr w:type="gramEnd"/>
      <w:r w:rsidRPr="00A87EBC">
        <w:rPr>
          <w:rFonts w:eastAsia="Times New Roman" w:cstheme="minorHAnsi"/>
          <w:sz w:val="24"/>
          <w:szCs w:val="20"/>
          <w:lang w:val="en-GB" w:eastAsia="en-AU"/>
        </w:rPr>
        <w:t xml:space="preserve"> transmission parameters of existing devices operating under spectrum licences </w:t>
      </w:r>
      <w:r w:rsidR="008E05A7" w:rsidRPr="00A87EBC">
        <w:rPr>
          <w:rFonts w:eastAsia="Times New Roman" w:cstheme="minorHAnsi"/>
          <w:sz w:val="24"/>
          <w:szCs w:val="20"/>
          <w:lang w:val="en-GB" w:eastAsia="en-AU"/>
        </w:rPr>
        <w:t>shall</w:t>
      </w:r>
      <w:r w:rsidR="00A35E84" w:rsidRPr="00A87EBC">
        <w:rPr>
          <w:rFonts w:eastAsia="Times New Roman" w:cstheme="minorHAnsi"/>
          <w:sz w:val="24"/>
          <w:szCs w:val="20"/>
          <w:lang w:val="en-GB" w:eastAsia="en-AU"/>
        </w:rPr>
        <w:t xml:space="preserve"> </w:t>
      </w:r>
      <w:r w:rsidRPr="00A87EBC">
        <w:rPr>
          <w:rFonts w:eastAsia="Times New Roman" w:cstheme="minorHAnsi"/>
          <w:sz w:val="24"/>
          <w:szCs w:val="20"/>
          <w:lang w:val="en-GB" w:eastAsia="en-AU"/>
        </w:rPr>
        <w:t>not be modified in a way such that their potential to cause interference would increase.</w:t>
      </w:r>
    </w:p>
    <w:p w:rsidR="00A87EBC" w:rsidRPr="00A87EBC" w:rsidRDefault="00A87EBC" w:rsidP="00A87EBC">
      <w:pPr>
        <w:widowControl w:val="0"/>
        <w:spacing w:after="0" w:line="240" w:lineRule="auto"/>
        <w:ind w:left="720"/>
        <w:rPr>
          <w:rFonts w:eastAsia="Times New Roman" w:cstheme="minorHAnsi"/>
          <w:sz w:val="24"/>
          <w:szCs w:val="20"/>
          <w:lang w:val="en-GB" w:eastAsia="en-AU"/>
        </w:rPr>
      </w:pPr>
    </w:p>
    <w:p w:rsidR="00E5449A" w:rsidRDefault="00E5449A" w:rsidP="000972D9">
      <w:pPr>
        <w:rPr>
          <w:b/>
        </w:rPr>
      </w:pPr>
      <w:r>
        <w:rPr>
          <w:b/>
          <w:bCs/>
        </w:rPr>
        <w:t>Table 1</w:t>
      </w:r>
      <w:r w:rsidRPr="00E34902">
        <w:rPr>
          <w:b/>
          <w:bCs/>
        </w:rPr>
        <w:t xml:space="preserve">: </w:t>
      </w:r>
      <w:r>
        <w:rPr>
          <w:b/>
          <w:bCs/>
        </w:rPr>
        <w:t>Restricted Zone Radii for SRS earth stations</w:t>
      </w:r>
      <w:r w:rsidRPr="00267D01">
        <w:rPr>
          <w:b/>
        </w:rPr>
        <w:t>.</w:t>
      </w:r>
    </w:p>
    <w:tbl>
      <w:tblPr>
        <w:tblW w:w="0" w:type="auto"/>
        <w:jc w:val="center"/>
        <w:tblBorders>
          <w:top w:val="single" w:sz="4" w:space="0" w:color="auto"/>
          <w:left w:val="single" w:sz="12" w:space="0" w:color="auto"/>
          <w:bottom w:val="single" w:sz="4" w:space="0" w:color="auto"/>
          <w:right w:val="single" w:sz="12" w:space="0" w:color="auto"/>
          <w:insideH w:val="single" w:sz="6" w:space="0" w:color="000000"/>
          <w:insideV w:val="single" w:sz="6" w:space="0" w:color="000000"/>
        </w:tblBorders>
        <w:tblLayout w:type="fixed"/>
        <w:tblLook w:val="0020"/>
      </w:tblPr>
      <w:tblGrid>
        <w:gridCol w:w="2943"/>
        <w:gridCol w:w="2209"/>
        <w:gridCol w:w="2209"/>
      </w:tblGrid>
      <w:tr w:rsidR="00E5449A" w:rsidRPr="009E62D2" w:rsidTr="00B166F7">
        <w:trPr>
          <w:trHeight w:val="383"/>
          <w:jc w:val="center"/>
        </w:trPr>
        <w:tc>
          <w:tcPr>
            <w:tcW w:w="2943" w:type="dxa"/>
            <w:shd w:val="clear" w:color="auto" w:fill="FFFF99"/>
          </w:tcPr>
          <w:p w:rsidR="00E5449A" w:rsidRPr="009E62D2" w:rsidRDefault="00E5449A" w:rsidP="00412CEB">
            <w:pPr>
              <w:spacing w:after="0"/>
              <w:rPr>
                <w:b/>
                <w:bCs/>
                <w:sz w:val="24"/>
              </w:rPr>
            </w:pPr>
          </w:p>
        </w:tc>
        <w:tc>
          <w:tcPr>
            <w:tcW w:w="2209" w:type="dxa"/>
            <w:shd w:val="clear" w:color="auto" w:fill="FFFF99"/>
          </w:tcPr>
          <w:p w:rsidR="00E5449A" w:rsidRPr="009E62D2" w:rsidRDefault="00E5449A" w:rsidP="00412CEB">
            <w:pPr>
              <w:spacing w:after="0"/>
              <w:jc w:val="center"/>
              <w:rPr>
                <w:b/>
                <w:bCs/>
                <w:sz w:val="24"/>
              </w:rPr>
            </w:pPr>
            <w:r w:rsidRPr="009E62D2">
              <w:rPr>
                <w:b/>
                <w:bCs/>
                <w:sz w:val="24"/>
              </w:rPr>
              <w:t>New Norcia</w:t>
            </w:r>
          </w:p>
        </w:tc>
        <w:tc>
          <w:tcPr>
            <w:tcW w:w="2209" w:type="dxa"/>
            <w:shd w:val="clear" w:color="auto" w:fill="FFFF99"/>
          </w:tcPr>
          <w:p w:rsidR="00E5449A" w:rsidRPr="009E62D2" w:rsidRDefault="00E5449A" w:rsidP="00412CEB">
            <w:pPr>
              <w:spacing w:after="0"/>
              <w:jc w:val="center"/>
              <w:rPr>
                <w:b/>
                <w:bCs/>
                <w:sz w:val="24"/>
              </w:rPr>
            </w:pPr>
            <w:r w:rsidRPr="009E62D2">
              <w:rPr>
                <w:b/>
                <w:bCs/>
                <w:sz w:val="24"/>
              </w:rPr>
              <w:t>Mingenew</w:t>
            </w:r>
          </w:p>
        </w:tc>
      </w:tr>
      <w:tr w:rsidR="00E5449A" w:rsidRPr="009E62D2" w:rsidTr="00B166F7">
        <w:trPr>
          <w:trHeight w:val="255"/>
          <w:jc w:val="center"/>
        </w:trPr>
        <w:tc>
          <w:tcPr>
            <w:tcW w:w="2943" w:type="dxa"/>
            <w:noWrap/>
            <w:vAlign w:val="center"/>
          </w:tcPr>
          <w:p w:rsidR="00E5449A" w:rsidRPr="009E62D2" w:rsidRDefault="00E5449A" w:rsidP="00412CEB">
            <w:pPr>
              <w:spacing w:after="0"/>
              <w:jc w:val="center"/>
              <w:rPr>
                <w:b/>
                <w:sz w:val="24"/>
              </w:rPr>
            </w:pPr>
            <w:r w:rsidRPr="009E62D2">
              <w:rPr>
                <w:b/>
                <w:sz w:val="24"/>
              </w:rPr>
              <w:t>Centre Point Latitude (º)</w:t>
            </w:r>
          </w:p>
        </w:tc>
        <w:tc>
          <w:tcPr>
            <w:tcW w:w="2209" w:type="dxa"/>
          </w:tcPr>
          <w:p w:rsidR="00E5449A" w:rsidRPr="009E62D2" w:rsidRDefault="00E5449A" w:rsidP="00412CEB">
            <w:pPr>
              <w:spacing w:after="0"/>
              <w:jc w:val="center"/>
              <w:rPr>
                <w:sz w:val="24"/>
                <w:lang w:eastAsia="ja-JP"/>
              </w:rPr>
            </w:pPr>
            <w:r w:rsidRPr="009E62D2">
              <w:rPr>
                <w:sz w:val="24"/>
                <w:lang w:eastAsia="ja-JP"/>
              </w:rPr>
              <w:t>-31.0482</w:t>
            </w:r>
          </w:p>
        </w:tc>
        <w:tc>
          <w:tcPr>
            <w:tcW w:w="2209" w:type="dxa"/>
          </w:tcPr>
          <w:p w:rsidR="00E5449A" w:rsidRPr="009E62D2" w:rsidRDefault="00E5449A" w:rsidP="00412CEB">
            <w:pPr>
              <w:spacing w:after="0"/>
              <w:jc w:val="center"/>
              <w:rPr>
                <w:sz w:val="24"/>
                <w:lang w:eastAsia="ja-JP"/>
              </w:rPr>
            </w:pPr>
            <w:r w:rsidRPr="009E62D2">
              <w:rPr>
                <w:sz w:val="24"/>
                <w:lang w:eastAsia="ja-JP"/>
              </w:rPr>
              <w:t>-29.0462</w:t>
            </w:r>
          </w:p>
        </w:tc>
      </w:tr>
      <w:tr w:rsidR="00E5449A" w:rsidRPr="009E62D2" w:rsidTr="00B166F7">
        <w:trPr>
          <w:trHeight w:val="255"/>
          <w:jc w:val="center"/>
        </w:trPr>
        <w:tc>
          <w:tcPr>
            <w:tcW w:w="2943" w:type="dxa"/>
            <w:noWrap/>
            <w:vAlign w:val="center"/>
          </w:tcPr>
          <w:p w:rsidR="00E5449A" w:rsidRPr="009E62D2" w:rsidRDefault="00E5449A" w:rsidP="00412CEB">
            <w:pPr>
              <w:spacing w:after="0"/>
              <w:jc w:val="center"/>
              <w:rPr>
                <w:b/>
                <w:sz w:val="24"/>
              </w:rPr>
            </w:pPr>
            <w:r w:rsidRPr="009E62D2">
              <w:rPr>
                <w:b/>
                <w:sz w:val="24"/>
              </w:rPr>
              <w:t>Centre Point Longitude (º)</w:t>
            </w:r>
          </w:p>
        </w:tc>
        <w:tc>
          <w:tcPr>
            <w:tcW w:w="2209" w:type="dxa"/>
          </w:tcPr>
          <w:p w:rsidR="00E5449A" w:rsidRPr="009E62D2" w:rsidRDefault="00E5449A" w:rsidP="00412CEB">
            <w:pPr>
              <w:spacing w:after="0"/>
              <w:jc w:val="center"/>
              <w:rPr>
                <w:sz w:val="24"/>
                <w:lang w:eastAsia="ja-JP"/>
              </w:rPr>
            </w:pPr>
            <w:r w:rsidRPr="009E62D2">
              <w:rPr>
                <w:sz w:val="24"/>
                <w:lang w:eastAsia="ja-JP"/>
              </w:rPr>
              <w:t>116.1915</w:t>
            </w:r>
          </w:p>
        </w:tc>
        <w:tc>
          <w:tcPr>
            <w:tcW w:w="2209" w:type="dxa"/>
          </w:tcPr>
          <w:p w:rsidR="00E5449A" w:rsidRPr="009E62D2" w:rsidRDefault="00E5449A" w:rsidP="00412CEB">
            <w:pPr>
              <w:spacing w:after="0"/>
              <w:jc w:val="center"/>
              <w:rPr>
                <w:sz w:val="24"/>
                <w:lang w:eastAsia="ja-JP"/>
              </w:rPr>
            </w:pPr>
            <w:r w:rsidRPr="009E62D2">
              <w:rPr>
                <w:sz w:val="24"/>
                <w:lang w:eastAsia="ja-JP"/>
              </w:rPr>
              <w:t>115.3489</w:t>
            </w:r>
          </w:p>
        </w:tc>
      </w:tr>
      <w:tr w:rsidR="00E5449A" w:rsidRPr="009E62D2" w:rsidTr="00B166F7">
        <w:trPr>
          <w:trHeight w:val="255"/>
          <w:jc w:val="center"/>
        </w:trPr>
        <w:tc>
          <w:tcPr>
            <w:tcW w:w="2943" w:type="dxa"/>
            <w:shd w:val="clear" w:color="auto" w:fill="FFFF99"/>
            <w:noWrap/>
            <w:vAlign w:val="center"/>
          </w:tcPr>
          <w:p w:rsidR="00E5449A" w:rsidRPr="009E62D2" w:rsidRDefault="00E5449A" w:rsidP="00412CEB">
            <w:pPr>
              <w:spacing w:after="0"/>
              <w:jc w:val="center"/>
              <w:rPr>
                <w:sz w:val="24"/>
              </w:rPr>
            </w:pPr>
            <w:r w:rsidRPr="009E62D2">
              <w:rPr>
                <w:b/>
                <w:bCs/>
                <w:sz w:val="24"/>
              </w:rPr>
              <w:t>Frequency Range (MHz)</w:t>
            </w:r>
            <w:r w:rsidRPr="009E62D2">
              <w:rPr>
                <w:rStyle w:val="FootnoteReference"/>
                <w:b/>
                <w:bCs/>
                <w:sz w:val="24"/>
              </w:rPr>
              <w:footnoteReference w:id="2"/>
            </w:r>
          </w:p>
        </w:tc>
        <w:tc>
          <w:tcPr>
            <w:tcW w:w="4418" w:type="dxa"/>
            <w:gridSpan w:val="2"/>
            <w:shd w:val="clear" w:color="auto" w:fill="FFFF99"/>
          </w:tcPr>
          <w:p w:rsidR="00E5449A" w:rsidRPr="009E62D2" w:rsidRDefault="00E5449A" w:rsidP="00412CEB">
            <w:pPr>
              <w:spacing w:after="0"/>
              <w:jc w:val="center"/>
              <w:rPr>
                <w:b/>
                <w:sz w:val="24"/>
                <w:lang w:eastAsia="ja-JP"/>
              </w:rPr>
            </w:pPr>
            <w:r w:rsidRPr="009E62D2">
              <w:rPr>
                <w:b/>
                <w:sz w:val="24"/>
                <w:lang w:eastAsia="ja-JP"/>
              </w:rPr>
              <w:t>Restricted Zone *</w:t>
            </w:r>
          </w:p>
        </w:tc>
      </w:tr>
      <w:tr w:rsidR="00E5449A" w:rsidRPr="009E62D2" w:rsidTr="00B166F7">
        <w:trPr>
          <w:trHeight w:val="255"/>
          <w:jc w:val="center"/>
        </w:trPr>
        <w:tc>
          <w:tcPr>
            <w:tcW w:w="2943" w:type="dxa"/>
            <w:noWrap/>
            <w:vAlign w:val="center"/>
          </w:tcPr>
          <w:p w:rsidR="00E5449A" w:rsidRPr="009E62D2" w:rsidRDefault="00E5449A" w:rsidP="00412CEB">
            <w:pPr>
              <w:spacing w:after="0"/>
              <w:jc w:val="center"/>
              <w:rPr>
                <w:b/>
                <w:sz w:val="24"/>
              </w:rPr>
            </w:pPr>
            <w:r w:rsidRPr="009E62D2">
              <w:rPr>
                <w:b/>
                <w:sz w:val="24"/>
              </w:rPr>
              <w:t>2300–2310</w:t>
            </w:r>
          </w:p>
        </w:tc>
        <w:tc>
          <w:tcPr>
            <w:tcW w:w="2209" w:type="dxa"/>
          </w:tcPr>
          <w:p w:rsidR="00E5449A" w:rsidRPr="009E62D2" w:rsidRDefault="00E5449A" w:rsidP="00412CEB">
            <w:pPr>
              <w:spacing w:after="0"/>
              <w:jc w:val="center"/>
              <w:rPr>
                <w:sz w:val="24"/>
                <w:lang w:eastAsia="ja-JP"/>
              </w:rPr>
            </w:pPr>
            <w:r w:rsidRPr="009E62D2">
              <w:rPr>
                <w:sz w:val="24"/>
                <w:lang w:eastAsia="ja-JP"/>
              </w:rPr>
              <w:t>Area 1, Annex 1</w:t>
            </w:r>
          </w:p>
        </w:tc>
        <w:tc>
          <w:tcPr>
            <w:tcW w:w="2209" w:type="dxa"/>
          </w:tcPr>
          <w:p w:rsidR="00E5449A" w:rsidRPr="009E62D2" w:rsidRDefault="00E5449A" w:rsidP="00412CEB">
            <w:pPr>
              <w:spacing w:after="0"/>
              <w:jc w:val="center"/>
              <w:rPr>
                <w:sz w:val="24"/>
                <w:lang w:eastAsia="ja-JP"/>
              </w:rPr>
            </w:pPr>
            <w:r w:rsidRPr="009E62D2">
              <w:rPr>
                <w:sz w:val="24"/>
                <w:lang w:eastAsia="ja-JP"/>
              </w:rPr>
              <w:t>90 km</w:t>
            </w:r>
          </w:p>
        </w:tc>
      </w:tr>
      <w:tr w:rsidR="00E5449A" w:rsidRPr="009E62D2" w:rsidTr="00B166F7">
        <w:trPr>
          <w:trHeight w:val="255"/>
          <w:jc w:val="center"/>
        </w:trPr>
        <w:tc>
          <w:tcPr>
            <w:tcW w:w="2943" w:type="dxa"/>
            <w:noWrap/>
            <w:vAlign w:val="center"/>
          </w:tcPr>
          <w:p w:rsidR="00E5449A" w:rsidRPr="009E62D2" w:rsidRDefault="00E5449A" w:rsidP="00412CEB">
            <w:pPr>
              <w:spacing w:after="0"/>
              <w:jc w:val="center"/>
              <w:rPr>
                <w:b/>
                <w:sz w:val="24"/>
              </w:rPr>
            </w:pPr>
            <w:r w:rsidRPr="009E62D2">
              <w:rPr>
                <w:b/>
                <w:sz w:val="24"/>
              </w:rPr>
              <w:t>2310–2320</w:t>
            </w:r>
          </w:p>
        </w:tc>
        <w:tc>
          <w:tcPr>
            <w:tcW w:w="2209" w:type="dxa"/>
          </w:tcPr>
          <w:p w:rsidR="00E5449A" w:rsidRPr="009E62D2" w:rsidRDefault="00E5449A" w:rsidP="00412CEB">
            <w:pPr>
              <w:spacing w:after="0"/>
              <w:jc w:val="center"/>
              <w:rPr>
                <w:sz w:val="24"/>
                <w:lang w:eastAsia="ja-JP"/>
              </w:rPr>
            </w:pPr>
            <w:r w:rsidRPr="009E62D2">
              <w:rPr>
                <w:sz w:val="24"/>
                <w:lang w:eastAsia="ja-JP"/>
              </w:rPr>
              <w:t>Area 1, Annex 1</w:t>
            </w:r>
          </w:p>
        </w:tc>
        <w:tc>
          <w:tcPr>
            <w:tcW w:w="2209" w:type="dxa"/>
          </w:tcPr>
          <w:p w:rsidR="00E5449A" w:rsidRPr="009E62D2" w:rsidRDefault="00E5449A" w:rsidP="00412CEB">
            <w:pPr>
              <w:spacing w:after="0"/>
              <w:jc w:val="center"/>
              <w:rPr>
                <w:sz w:val="24"/>
                <w:lang w:eastAsia="ja-JP"/>
              </w:rPr>
            </w:pPr>
            <w:r w:rsidRPr="009E62D2">
              <w:rPr>
                <w:sz w:val="24"/>
                <w:lang w:eastAsia="ja-JP"/>
              </w:rPr>
              <w:t xml:space="preserve">75 km </w:t>
            </w:r>
          </w:p>
        </w:tc>
      </w:tr>
      <w:tr w:rsidR="00E5449A" w:rsidRPr="009E62D2" w:rsidTr="00B166F7">
        <w:trPr>
          <w:trHeight w:val="255"/>
          <w:jc w:val="center"/>
        </w:trPr>
        <w:tc>
          <w:tcPr>
            <w:tcW w:w="2943" w:type="dxa"/>
            <w:noWrap/>
            <w:vAlign w:val="center"/>
          </w:tcPr>
          <w:p w:rsidR="00E5449A" w:rsidRPr="009E62D2" w:rsidRDefault="00E5449A" w:rsidP="00412CEB">
            <w:pPr>
              <w:spacing w:after="0"/>
              <w:jc w:val="center"/>
              <w:rPr>
                <w:b/>
                <w:sz w:val="24"/>
              </w:rPr>
            </w:pPr>
            <w:r w:rsidRPr="009E62D2">
              <w:rPr>
                <w:b/>
                <w:sz w:val="24"/>
              </w:rPr>
              <w:t>2320–2330</w:t>
            </w:r>
          </w:p>
        </w:tc>
        <w:tc>
          <w:tcPr>
            <w:tcW w:w="2209" w:type="dxa"/>
          </w:tcPr>
          <w:p w:rsidR="00E5449A" w:rsidRPr="009E62D2" w:rsidRDefault="00E5449A" w:rsidP="00412CEB">
            <w:pPr>
              <w:spacing w:after="0"/>
              <w:jc w:val="center"/>
              <w:rPr>
                <w:sz w:val="24"/>
                <w:lang w:eastAsia="ja-JP"/>
              </w:rPr>
            </w:pPr>
            <w:r w:rsidRPr="009E62D2">
              <w:rPr>
                <w:sz w:val="24"/>
                <w:lang w:eastAsia="ja-JP"/>
              </w:rPr>
              <w:t>Area 1, Annex 1</w:t>
            </w:r>
          </w:p>
        </w:tc>
        <w:tc>
          <w:tcPr>
            <w:tcW w:w="2209" w:type="dxa"/>
          </w:tcPr>
          <w:p w:rsidR="00E5449A" w:rsidRPr="009E62D2" w:rsidRDefault="00E5449A" w:rsidP="00412CEB">
            <w:pPr>
              <w:spacing w:after="0"/>
              <w:jc w:val="center"/>
              <w:rPr>
                <w:sz w:val="24"/>
                <w:lang w:eastAsia="ja-JP"/>
              </w:rPr>
            </w:pPr>
            <w:r w:rsidRPr="009E62D2">
              <w:rPr>
                <w:sz w:val="24"/>
                <w:lang w:eastAsia="ja-JP"/>
              </w:rPr>
              <w:t>45 km</w:t>
            </w:r>
          </w:p>
        </w:tc>
      </w:tr>
      <w:tr w:rsidR="00E5449A" w:rsidRPr="009E62D2" w:rsidTr="00B166F7">
        <w:trPr>
          <w:trHeight w:val="255"/>
          <w:jc w:val="center"/>
        </w:trPr>
        <w:tc>
          <w:tcPr>
            <w:tcW w:w="2943" w:type="dxa"/>
            <w:noWrap/>
            <w:vAlign w:val="center"/>
          </w:tcPr>
          <w:p w:rsidR="00E5449A" w:rsidRPr="009E62D2" w:rsidRDefault="00E5449A" w:rsidP="00412CEB">
            <w:pPr>
              <w:spacing w:after="0"/>
              <w:jc w:val="center"/>
              <w:rPr>
                <w:b/>
                <w:sz w:val="24"/>
              </w:rPr>
            </w:pPr>
            <w:r w:rsidRPr="009E62D2">
              <w:rPr>
                <w:b/>
                <w:sz w:val="24"/>
              </w:rPr>
              <w:t>&gt; 2330</w:t>
            </w:r>
          </w:p>
        </w:tc>
        <w:tc>
          <w:tcPr>
            <w:tcW w:w="2209" w:type="dxa"/>
          </w:tcPr>
          <w:p w:rsidR="00E5449A" w:rsidRPr="009E62D2" w:rsidRDefault="00E5449A" w:rsidP="00412CEB">
            <w:pPr>
              <w:spacing w:after="0"/>
              <w:jc w:val="center"/>
              <w:rPr>
                <w:sz w:val="24"/>
                <w:lang w:eastAsia="ja-JP"/>
              </w:rPr>
            </w:pPr>
            <w:r w:rsidRPr="009E62D2">
              <w:rPr>
                <w:sz w:val="24"/>
                <w:lang w:eastAsia="ja-JP"/>
              </w:rPr>
              <w:t>7 km</w:t>
            </w:r>
          </w:p>
        </w:tc>
        <w:tc>
          <w:tcPr>
            <w:tcW w:w="2209" w:type="dxa"/>
          </w:tcPr>
          <w:p w:rsidR="00E5449A" w:rsidRPr="009E62D2" w:rsidRDefault="00E5449A" w:rsidP="00412CEB">
            <w:pPr>
              <w:spacing w:after="0"/>
              <w:jc w:val="center"/>
              <w:rPr>
                <w:sz w:val="24"/>
                <w:lang w:eastAsia="ja-JP"/>
              </w:rPr>
            </w:pPr>
            <w:r w:rsidRPr="009E62D2">
              <w:rPr>
                <w:sz w:val="24"/>
                <w:lang w:eastAsia="ja-JP"/>
              </w:rPr>
              <w:t>20 km</w:t>
            </w:r>
          </w:p>
        </w:tc>
      </w:tr>
    </w:tbl>
    <w:p w:rsidR="00412CEB" w:rsidRDefault="00E5449A" w:rsidP="00412CEB">
      <w:pPr>
        <w:rPr>
          <w:b/>
          <w:bCs/>
        </w:rPr>
      </w:pPr>
      <w:r w:rsidRPr="00D945C7">
        <w:rPr>
          <w:b/>
          <w:bCs/>
        </w:rPr>
        <w:t>*</w:t>
      </w:r>
      <w:r>
        <w:rPr>
          <w:b/>
          <w:bCs/>
        </w:rPr>
        <w:t xml:space="preserve"> The restricted zone is either the relevant area defined in Annex 1 or a circle where the centre is the coordinates specified for each site and the radius as specified in table 1.</w:t>
      </w:r>
    </w:p>
    <w:p w:rsidR="00E5449A" w:rsidRDefault="00412CEB" w:rsidP="00412CEB">
      <w:pPr>
        <w:rPr>
          <w:b/>
          <w:bCs/>
        </w:rPr>
      </w:pPr>
      <w:r>
        <w:rPr>
          <w:b/>
          <w:bCs/>
        </w:rPr>
        <w:br w:type="page"/>
      </w:r>
    </w:p>
    <w:p w:rsidR="007C5DE6" w:rsidRDefault="00DD52DD" w:rsidP="009732A9">
      <w:pPr>
        <w:pStyle w:val="Heading2"/>
      </w:pPr>
      <w:bookmarkStart w:id="37" w:name="_Toc369003887"/>
      <w:r>
        <w:t>Coordination Requirements</w:t>
      </w:r>
      <w:bookmarkEnd w:id="37"/>
      <w:r>
        <w:t xml:space="preserve"> </w:t>
      </w:r>
    </w:p>
    <w:p w:rsidR="00EB2439" w:rsidRPr="0008532D" w:rsidRDefault="00EB2439" w:rsidP="00EB2439">
      <w:pPr>
        <w:pStyle w:val="Heading3"/>
      </w:pPr>
      <w:bookmarkStart w:id="38" w:name="_Toc368565835"/>
      <w:bookmarkStart w:id="39" w:name="_Toc369003888"/>
      <w:r>
        <w:t>Out-of</w:t>
      </w:r>
      <w:r w:rsidRPr="0008532D">
        <w:t>-band coordination requirements</w:t>
      </w:r>
      <w:bookmarkEnd w:id="38"/>
      <w:bookmarkEnd w:id="39"/>
    </w:p>
    <w:p w:rsidR="009732A9" w:rsidRPr="00A87EBC" w:rsidRDefault="009732A9" w:rsidP="00A87EBC">
      <w:pPr>
        <w:widowControl w:val="0"/>
        <w:spacing w:after="0" w:line="240" w:lineRule="auto"/>
        <w:rPr>
          <w:rFonts w:eastAsia="Times New Roman" w:cstheme="minorHAnsi"/>
          <w:sz w:val="24"/>
          <w:szCs w:val="20"/>
          <w:lang w:val="en-GB" w:eastAsia="en-AU"/>
        </w:rPr>
      </w:pPr>
      <w:r w:rsidRPr="00A87EBC">
        <w:rPr>
          <w:rFonts w:eastAsia="Times New Roman" w:cstheme="minorHAnsi"/>
          <w:sz w:val="24"/>
          <w:szCs w:val="20"/>
          <w:lang w:val="en-GB" w:eastAsia="en-AU"/>
        </w:rPr>
        <w:t>Outside of the restricted zones, an assessment must be made</w:t>
      </w:r>
      <w:r w:rsidR="00DD52DD" w:rsidRPr="00A87EBC">
        <w:rPr>
          <w:rFonts w:eastAsia="Times New Roman" w:cstheme="minorHAnsi"/>
          <w:sz w:val="24"/>
          <w:szCs w:val="20"/>
          <w:lang w:val="en-GB" w:eastAsia="en-AU"/>
        </w:rPr>
        <w:t xml:space="preserve"> </w:t>
      </w:r>
      <w:r w:rsidRPr="00A87EBC">
        <w:rPr>
          <w:rFonts w:eastAsia="Times New Roman" w:cstheme="minorHAnsi"/>
          <w:sz w:val="24"/>
          <w:szCs w:val="20"/>
          <w:lang w:val="en-GB" w:eastAsia="en-AU"/>
        </w:rPr>
        <w:t xml:space="preserve">as to whether </w:t>
      </w:r>
      <w:r w:rsidR="00DD52DD" w:rsidRPr="00A87EBC">
        <w:rPr>
          <w:rFonts w:eastAsia="Times New Roman" w:cstheme="minorHAnsi"/>
          <w:sz w:val="24"/>
          <w:szCs w:val="20"/>
          <w:lang w:val="en-GB" w:eastAsia="en-AU"/>
        </w:rPr>
        <w:t>the</w:t>
      </w:r>
      <w:r w:rsidRPr="00A87EBC">
        <w:rPr>
          <w:rFonts w:eastAsia="Times New Roman" w:cstheme="minorHAnsi"/>
          <w:sz w:val="24"/>
          <w:szCs w:val="20"/>
          <w:lang w:val="en-GB" w:eastAsia="en-AU"/>
        </w:rPr>
        <w:t xml:space="preserve"> proposed transmitter will exceed the overload threshold of an SRS earth station as defined in Table 3. </w:t>
      </w:r>
    </w:p>
    <w:p w:rsidR="007C5DE6" w:rsidRDefault="007C5DE6" w:rsidP="00A87EBC">
      <w:pPr>
        <w:widowControl w:val="0"/>
        <w:spacing w:after="0" w:line="240" w:lineRule="auto"/>
        <w:rPr>
          <w:rFonts w:eastAsia="Times New Roman" w:cstheme="minorHAnsi"/>
          <w:sz w:val="24"/>
          <w:szCs w:val="20"/>
          <w:lang w:val="en-GB" w:eastAsia="en-AU"/>
        </w:rPr>
      </w:pPr>
      <w:r w:rsidRPr="00A87EBC">
        <w:rPr>
          <w:rFonts w:eastAsia="Times New Roman" w:cstheme="minorHAnsi"/>
          <w:sz w:val="24"/>
          <w:szCs w:val="20"/>
          <w:lang w:val="en-GB" w:eastAsia="en-AU"/>
        </w:rPr>
        <w:t xml:space="preserve">Assessment is based on </w:t>
      </w:r>
      <w:r w:rsidR="00020C9E" w:rsidRPr="00A87EBC">
        <w:rPr>
          <w:rFonts w:eastAsia="Times New Roman" w:cstheme="minorHAnsi"/>
          <w:sz w:val="24"/>
          <w:szCs w:val="20"/>
          <w:lang w:val="en-GB" w:eastAsia="en-AU"/>
        </w:rPr>
        <w:t xml:space="preserve">the following method of </w:t>
      </w:r>
      <w:r w:rsidRPr="00A87EBC">
        <w:rPr>
          <w:rFonts w:eastAsia="Times New Roman" w:cstheme="minorHAnsi"/>
          <w:sz w:val="24"/>
          <w:szCs w:val="20"/>
          <w:lang w:val="en-GB" w:eastAsia="en-AU"/>
        </w:rPr>
        <w:t xml:space="preserve">determining the signal level </w:t>
      </w:r>
      <w:r w:rsidR="00E741F0" w:rsidRPr="00A87EBC">
        <w:rPr>
          <w:rFonts w:eastAsia="Times New Roman" w:cstheme="minorHAnsi"/>
          <w:sz w:val="24"/>
          <w:szCs w:val="20"/>
          <w:lang w:val="en-GB" w:eastAsia="en-AU"/>
        </w:rPr>
        <w:t xml:space="preserve">from the proposed transmitter </w:t>
      </w:r>
      <w:r w:rsidRPr="00A87EBC">
        <w:rPr>
          <w:rFonts w:eastAsia="Times New Roman" w:cstheme="minorHAnsi"/>
          <w:sz w:val="24"/>
          <w:szCs w:val="20"/>
          <w:lang w:val="en-GB" w:eastAsia="en-AU"/>
        </w:rPr>
        <w:t xml:space="preserve">arriving at the </w:t>
      </w:r>
      <w:r w:rsidR="00764672" w:rsidRPr="00A87EBC">
        <w:rPr>
          <w:rFonts w:eastAsia="Times New Roman" w:cstheme="minorHAnsi"/>
          <w:sz w:val="24"/>
          <w:szCs w:val="20"/>
          <w:lang w:val="en-GB" w:eastAsia="en-AU"/>
        </w:rPr>
        <w:t>location of the SRS earth station</w:t>
      </w:r>
      <w:r w:rsidR="00F85B98" w:rsidRPr="00A87EBC">
        <w:rPr>
          <w:rFonts w:eastAsia="Times New Roman" w:cstheme="minorHAnsi"/>
          <w:sz w:val="24"/>
          <w:szCs w:val="20"/>
          <w:lang w:val="en-GB" w:eastAsia="en-AU"/>
        </w:rPr>
        <w:t>:</w:t>
      </w:r>
    </w:p>
    <w:p w:rsidR="00A87EBC" w:rsidRPr="00A87EBC" w:rsidRDefault="00A87EBC" w:rsidP="00A87EBC">
      <w:pPr>
        <w:widowControl w:val="0"/>
        <w:spacing w:after="0" w:line="240" w:lineRule="auto"/>
        <w:rPr>
          <w:rFonts w:eastAsia="Times New Roman" w:cstheme="minorHAnsi"/>
          <w:sz w:val="24"/>
          <w:szCs w:val="20"/>
          <w:lang w:val="en-GB" w:eastAsia="en-AU"/>
        </w:rPr>
      </w:pPr>
    </w:p>
    <w:p w:rsidR="007C5DE6" w:rsidRPr="00F0114B" w:rsidRDefault="007C5DE6" w:rsidP="00A87EBC">
      <w:pPr>
        <w:widowControl w:val="0"/>
        <w:spacing w:after="0" w:line="240" w:lineRule="auto"/>
        <w:jc w:val="center"/>
        <w:rPr>
          <w:rFonts w:eastAsia="Times New Roman" w:cstheme="minorHAnsi"/>
          <w:b/>
          <w:sz w:val="24"/>
          <w:szCs w:val="20"/>
          <w:lang w:val="en-GB" w:eastAsia="en-AU"/>
        </w:rPr>
      </w:pPr>
      <w:proofErr w:type="spellStart"/>
      <w:r w:rsidRPr="00F0114B">
        <w:rPr>
          <w:rFonts w:eastAsia="Times New Roman" w:cstheme="minorHAnsi"/>
          <w:b/>
          <w:sz w:val="24"/>
          <w:szCs w:val="20"/>
          <w:lang w:val="en-GB" w:eastAsia="en-AU"/>
        </w:rPr>
        <w:t>PSD</w:t>
      </w:r>
      <w:r w:rsidR="00764672" w:rsidRPr="00F0114B">
        <w:rPr>
          <w:rFonts w:eastAsia="Times New Roman" w:cstheme="minorHAnsi"/>
          <w:b/>
          <w:sz w:val="24"/>
          <w:szCs w:val="20"/>
          <w:vertAlign w:val="subscript"/>
          <w:lang w:val="en-GB" w:eastAsia="en-AU"/>
        </w:rPr>
        <w:t>tx</w:t>
      </w:r>
      <w:proofErr w:type="spellEnd"/>
      <w:r w:rsidRPr="00F0114B">
        <w:rPr>
          <w:rFonts w:eastAsia="Times New Roman" w:cstheme="minorHAnsi"/>
          <w:b/>
          <w:sz w:val="24"/>
          <w:szCs w:val="20"/>
          <w:lang w:val="en-GB" w:eastAsia="en-AU"/>
        </w:rPr>
        <w:t xml:space="preserve"> </w:t>
      </w:r>
      <w:r w:rsidR="00491C4A" w:rsidRPr="00F0114B">
        <w:rPr>
          <w:rFonts w:eastAsia="Times New Roman" w:cstheme="minorHAnsi"/>
          <w:b/>
          <w:sz w:val="24"/>
          <w:szCs w:val="20"/>
          <w:lang w:val="en-GB" w:eastAsia="en-AU"/>
        </w:rPr>
        <w:t xml:space="preserve">+ </w:t>
      </w:r>
      <w:proofErr w:type="spellStart"/>
      <w:r w:rsidR="00491C4A" w:rsidRPr="00F0114B">
        <w:rPr>
          <w:rFonts w:eastAsia="Times New Roman" w:cstheme="minorHAnsi"/>
          <w:b/>
          <w:sz w:val="24"/>
          <w:szCs w:val="20"/>
          <w:lang w:val="en-GB" w:eastAsia="en-AU"/>
        </w:rPr>
        <w:t>G</w:t>
      </w:r>
      <w:r w:rsidR="00491C4A" w:rsidRPr="00F0114B">
        <w:rPr>
          <w:rFonts w:eastAsia="Times New Roman" w:cstheme="minorHAnsi"/>
          <w:b/>
          <w:sz w:val="24"/>
          <w:szCs w:val="20"/>
          <w:vertAlign w:val="subscript"/>
          <w:lang w:val="en-GB" w:eastAsia="en-AU"/>
        </w:rPr>
        <w:t>t</w:t>
      </w:r>
      <w:proofErr w:type="spellEnd"/>
      <w:r w:rsidR="00491C4A" w:rsidRPr="00F0114B" w:rsidDel="00764672">
        <w:rPr>
          <w:rFonts w:eastAsia="Times New Roman" w:cstheme="minorHAnsi"/>
          <w:b/>
          <w:sz w:val="24"/>
          <w:szCs w:val="20"/>
          <w:lang w:val="en-GB" w:eastAsia="en-AU"/>
        </w:rPr>
        <w:t xml:space="preserve"> </w:t>
      </w:r>
      <w:r w:rsidR="00764672" w:rsidRPr="00F0114B">
        <w:rPr>
          <w:rFonts w:eastAsia="Times New Roman" w:cstheme="minorHAnsi"/>
          <w:b/>
          <w:sz w:val="24"/>
          <w:szCs w:val="20"/>
          <w:lang w:val="en-GB" w:eastAsia="en-AU"/>
        </w:rPr>
        <w:t>–</w:t>
      </w:r>
      <w:r w:rsidRPr="00F0114B">
        <w:rPr>
          <w:rFonts w:eastAsia="Times New Roman" w:cstheme="minorHAnsi"/>
          <w:b/>
          <w:sz w:val="24"/>
          <w:szCs w:val="20"/>
          <w:lang w:val="en-GB" w:eastAsia="en-AU"/>
        </w:rPr>
        <w:t xml:space="preserve"> </w:t>
      </w:r>
      <w:proofErr w:type="gramStart"/>
      <w:r w:rsidRPr="00F0114B">
        <w:rPr>
          <w:rFonts w:eastAsia="Times New Roman" w:cstheme="minorHAnsi"/>
          <w:b/>
          <w:sz w:val="24"/>
          <w:szCs w:val="20"/>
          <w:lang w:val="en-GB" w:eastAsia="en-AU"/>
        </w:rPr>
        <w:t>PL</w:t>
      </w:r>
      <w:r w:rsidR="008E05A7" w:rsidRPr="00F0114B">
        <w:rPr>
          <w:rFonts w:eastAsia="Times New Roman" w:cstheme="minorHAnsi"/>
          <w:b/>
          <w:sz w:val="24"/>
          <w:szCs w:val="20"/>
          <w:lang w:val="en-GB" w:eastAsia="en-AU"/>
        </w:rPr>
        <w:t>(</w:t>
      </w:r>
      <w:proofErr w:type="gramEnd"/>
      <w:r w:rsidR="008E05A7" w:rsidRPr="00F0114B">
        <w:rPr>
          <w:rFonts w:eastAsia="Times New Roman" w:cstheme="minorHAnsi"/>
          <w:b/>
          <w:sz w:val="24"/>
          <w:szCs w:val="20"/>
          <w:lang w:val="en-GB" w:eastAsia="en-AU"/>
        </w:rPr>
        <w:t>p)</w:t>
      </w:r>
      <w:r w:rsidR="00764672" w:rsidRPr="00F0114B">
        <w:rPr>
          <w:rFonts w:eastAsia="Times New Roman" w:cstheme="minorHAnsi"/>
          <w:b/>
          <w:sz w:val="24"/>
          <w:szCs w:val="20"/>
          <w:lang w:val="en-GB" w:eastAsia="en-AU"/>
        </w:rPr>
        <w:t xml:space="preserve"> + </w:t>
      </w:r>
      <w:proofErr w:type="spellStart"/>
      <w:r w:rsidR="00764672" w:rsidRPr="00F0114B">
        <w:rPr>
          <w:rFonts w:eastAsia="Times New Roman" w:cstheme="minorHAnsi"/>
          <w:b/>
          <w:sz w:val="24"/>
          <w:szCs w:val="20"/>
          <w:lang w:val="en-GB" w:eastAsia="en-AU"/>
        </w:rPr>
        <w:t>G</w:t>
      </w:r>
      <w:r w:rsidR="00764672" w:rsidRPr="00F0114B">
        <w:rPr>
          <w:rFonts w:eastAsia="Times New Roman" w:cstheme="minorHAnsi"/>
          <w:b/>
          <w:sz w:val="24"/>
          <w:szCs w:val="20"/>
          <w:vertAlign w:val="subscript"/>
          <w:lang w:val="en-GB" w:eastAsia="en-AU"/>
        </w:rPr>
        <w:t>r</w:t>
      </w:r>
      <w:proofErr w:type="spellEnd"/>
      <w:r w:rsidRPr="00F0114B">
        <w:rPr>
          <w:rFonts w:eastAsia="Times New Roman" w:cstheme="minorHAnsi"/>
          <w:b/>
          <w:sz w:val="24"/>
          <w:szCs w:val="20"/>
          <w:lang w:val="en-GB" w:eastAsia="en-AU"/>
        </w:rPr>
        <w:t xml:space="preserve"> ≥ </w:t>
      </w:r>
      <w:r w:rsidR="009732A9" w:rsidRPr="00F0114B">
        <w:rPr>
          <w:rFonts w:eastAsia="Times New Roman" w:cstheme="minorHAnsi"/>
          <w:b/>
          <w:sz w:val="24"/>
          <w:szCs w:val="20"/>
          <w:lang w:val="en-GB" w:eastAsia="en-AU"/>
        </w:rPr>
        <w:t xml:space="preserve">Overload </w:t>
      </w:r>
      <w:r w:rsidRPr="00F0114B">
        <w:rPr>
          <w:rFonts w:eastAsia="Times New Roman" w:cstheme="minorHAnsi"/>
          <w:b/>
          <w:sz w:val="24"/>
          <w:szCs w:val="20"/>
          <w:lang w:val="en-GB" w:eastAsia="en-AU"/>
        </w:rPr>
        <w:t>Threshold Level</w:t>
      </w:r>
    </w:p>
    <w:p w:rsidR="00C67569" w:rsidRDefault="007C5DE6" w:rsidP="00A87EBC">
      <w:pPr>
        <w:widowControl w:val="0"/>
        <w:spacing w:after="0" w:line="240" w:lineRule="auto"/>
        <w:rPr>
          <w:rFonts w:eastAsia="Times New Roman" w:cstheme="minorHAnsi"/>
          <w:sz w:val="24"/>
          <w:szCs w:val="20"/>
          <w:lang w:val="en-GB" w:eastAsia="en-AU"/>
        </w:rPr>
      </w:pPr>
      <w:r w:rsidRPr="00A87EBC">
        <w:rPr>
          <w:rFonts w:eastAsia="Times New Roman" w:cstheme="minorHAnsi"/>
          <w:sz w:val="24"/>
          <w:szCs w:val="20"/>
          <w:lang w:val="en-GB" w:eastAsia="en-AU"/>
        </w:rPr>
        <w:t>Where:</w:t>
      </w:r>
    </w:p>
    <w:p w:rsidR="00A87EBC" w:rsidRPr="00A87EBC" w:rsidRDefault="00A87EBC" w:rsidP="00A87EBC">
      <w:pPr>
        <w:widowControl w:val="0"/>
        <w:spacing w:after="0" w:line="240" w:lineRule="auto"/>
        <w:rPr>
          <w:rFonts w:eastAsia="Times New Roman" w:cstheme="minorHAnsi"/>
          <w:sz w:val="24"/>
          <w:szCs w:val="20"/>
          <w:lang w:val="en-GB" w:eastAsia="en-AU"/>
        </w:rPr>
      </w:pPr>
    </w:p>
    <w:p w:rsidR="00764672" w:rsidRDefault="007C5DE6" w:rsidP="00A87EBC">
      <w:pPr>
        <w:widowControl w:val="0"/>
        <w:spacing w:after="0" w:line="240" w:lineRule="auto"/>
        <w:rPr>
          <w:rFonts w:eastAsia="Times New Roman" w:cstheme="minorHAnsi"/>
          <w:sz w:val="24"/>
          <w:szCs w:val="20"/>
          <w:lang w:val="en-GB" w:eastAsia="en-AU"/>
        </w:rPr>
      </w:pPr>
      <w:proofErr w:type="spellStart"/>
      <w:r w:rsidRPr="00F0114B">
        <w:rPr>
          <w:rFonts w:eastAsia="Times New Roman" w:cstheme="minorHAnsi"/>
          <w:b/>
          <w:sz w:val="24"/>
          <w:szCs w:val="20"/>
          <w:lang w:val="en-GB" w:eastAsia="en-AU"/>
        </w:rPr>
        <w:t>PSD</w:t>
      </w:r>
      <w:r w:rsidR="00764672" w:rsidRPr="00F0114B">
        <w:rPr>
          <w:rFonts w:eastAsia="Times New Roman" w:cstheme="minorHAnsi"/>
          <w:b/>
          <w:sz w:val="24"/>
          <w:szCs w:val="20"/>
          <w:vertAlign w:val="subscript"/>
          <w:lang w:val="en-GB" w:eastAsia="en-AU"/>
        </w:rPr>
        <w:t>tx</w:t>
      </w:r>
      <w:proofErr w:type="spellEnd"/>
      <w:r w:rsidRPr="00A87EBC">
        <w:rPr>
          <w:rFonts w:eastAsia="Times New Roman" w:cstheme="minorHAnsi"/>
          <w:sz w:val="24"/>
          <w:szCs w:val="20"/>
          <w:lang w:val="en-GB" w:eastAsia="en-AU"/>
        </w:rPr>
        <w:t xml:space="preserve"> = </w:t>
      </w:r>
      <w:r w:rsidR="00764672" w:rsidRPr="00A87EBC">
        <w:rPr>
          <w:rFonts w:eastAsia="Times New Roman" w:cstheme="minorHAnsi"/>
          <w:sz w:val="24"/>
          <w:szCs w:val="20"/>
          <w:lang w:val="en-GB" w:eastAsia="en-AU"/>
        </w:rPr>
        <w:t>t</w:t>
      </w:r>
      <w:r w:rsidRPr="00A87EBC">
        <w:rPr>
          <w:rFonts w:eastAsia="Times New Roman" w:cstheme="minorHAnsi"/>
          <w:sz w:val="24"/>
          <w:szCs w:val="20"/>
          <w:lang w:val="en-GB" w:eastAsia="en-AU"/>
        </w:rPr>
        <w:t>ransmitter power spectral density</w:t>
      </w:r>
      <w:r w:rsidR="009732A9" w:rsidRPr="00A87EBC">
        <w:rPr>
          <w:rFonts w:eastAsia="Times New Roman" w:cstheme="minorHAnsi"/>
          <w:sz w:val="24"/>
          <w:szCs w:val="20"/>
          <w:lang w:val="en-GB" w:eastAsia="en-AU"/>
        </w:rPr>
        <w:t xml:space="preserve"> within the transmitter</w:t>
      </w:r>
      <w:r w:rsidR="00A95609" w:rsidRPr="00A87EBC">
        <w:rPr>
          <w:rFonts w:eastAsia="Times New Roman" w:cstheme="minorHAnsi"/>
          <w:sz w:val="24"/>
          <w:szCs w:val="20"/>
          <w:lang w:val="en-GB" w:eastAsia="en-AU"/>
        </w:rPr>
        <w:t>’</w:t>
      </w:r>
      <w:r w:rsidR="009732A9" w:rsidRPr="00A87EBC">
        <w:rPr>
          <w:rFonts w:eastAsia="Times New Roman" w:cstheme="minorHAnsi"/>
          <w:sz w:val="24"/>
          <w:szCs w:val="20"/>
          <w:lang w:val="en-GB" w:eastAsia="en-AU"/>
        </w:rPr>
        <w:t>s occupied bandwidth</w:t>
      </w:r>
      <w:r w:rsidR="00303BE0" w:rsidRPr="00A87EBC">
        <w:rPr>
          <w:rFonts w:eastAsia="Times New Roman" w:cstheme="minorHAnsi"/>
          <w:sz w:val="24"/>
          <w:szCs w:val="20"/>
          <w:lang w:val="en-GB" w:eastAsia="en-AU"/>
        </w:rPr>
        <w:t xml:space="preserve"> (dBW</w:t>
      </w:r>
      <w:r w:rsidR="00764672" w:rsidRPr="00A87EBC">
        <w:rPr>
          <w:rFonts w:eastAsia="Times New Roman" w:cstheme="minorHAnsi"/>
          <w:sz w:val="24"/>
          <w:szCs w:val="20"/>
          <w:lang w:val="en-GB" w:eastAsia="en-AU"/>
        </w:rPr>
        <w:t>/Hz)</w:t>
      </w:r>
    </w:p>
    <w:p w:rsidR="00A87EBC" w:rsidRPr="00A87EBC" w:rsidRDefault="00A87EBC" w:rsidP="00A87EBC">
      <w:pPr>
        <w:widowControl w:val="0"/>
        <w:spacing w:after="0" w:line="240" w:lineRule="auto"/>
        <w:rPr>
          <w:rFonts w:eastAsia="Times New Roman" w:cstheme="minorHAnsi"/>
          <w:sz w:val="24"/>
          <w:szCs w:val="20"/>
          <w:lang w:val="en-GB" w:eastAsia="en-AU"/>
        </w:rPr>
      </w:pPr>
    </w:p>
    <w:p w:rsidR="00764672" w:rsidRDefault="007C5DE6" w:rsidP="00A87EBC">
      <w:pPr>
        <w:widowControl w:val="0"/>
        <w:spacing w:after="0" w:line="240" w:lineRule="auto"/>
        <w:rPr>
          <w:rFonts w:eastAsia="Times New Roman" w:cstheme="minorHAnsi"/>
          <w:sz w:val="24"/>
          <w:szCs w:val="20"/>
          <w:lang w:val="en-GB" w:eastAsia="en-AU"/>
        </w:rPr>
      </w:pPr>
      <w:proofErr w:type="gramStart"/>
      <w:r w:rsidRPr="00F0114B">
        <w:rPr>
          <w:rFonts w:eastAsia="Times New Roman" w:cstheme="minorHAnsi"/>
          <w:b/>
          <w:sz w:val="24"/>
          <w:szCs w:val="20"/>
          <w:lang w:val="en-GB" w:eastAsia="en-AU"/>
        </w:rPr>
        <w:t>PL</w:t>
      </w:r>
      <w:r w:rsidR="009E473E" w:rsidRPr="00F0114B">
        <w:rPr>
          <w:rFonts w:eastAsia="Times New Roman" w:cstheme="minorHAnsi"/>
          <w:b/>
          <w:sz w:val="24"/>
          <w:szCs w:val="20"/>
          <w:lang w:val="en-GB" w:eastAsia="en-AU"/>
        </w:rPr>
        <w:t>(</w:t>
      </w:r>
      <w:proofErr w:type="gramEnd"/>
      <w:r w:rsidR="009E473E" w:rsidRPr="00F0114B">
        <w:rPr>
          <w:rFonts w:eastAsia="Times New Roman" w:cstheme="minorHAnsi"/>
          <w:b/>
          <w:sz w:val="24"/>
          <w:szCs w:val="20"/>
          <w:lang w:val="en-GB" w:eastAsia="en-AU"/>
        </w:rPr>
        <w:t>p)</w:t>
      </w:r>
      <w:r w:rsidRPr="00A87EBC">
        <w:rPr>
          <w:rFonts w:eastAsia="Times New Roman" w:cstheme="minorHAnsi"/>
          <w:sz w:val="24"/>
          <w:szCs w:val="20"/>
          <w:lang w:val="en-GB" w:eastAsia="en-AU"/>
        </w:rPr>
        <w:t xml:space="preserve"> = </w:t>
      </w:r>
      <w:r w:rsidR="00F86ADD" w:rsidRPr="00A87EBC">
        <w:rPr>
          <w:rFonts w:eastAsia="Times New Roman" w:cstheme="minorHAnsi"/>
          <w:sz w:val="24"/>
          <w:szCs w:val="20"/>
          <w:lang w:val="en-GB" w:eastAsia="en-AU"/>
        </w:rPr>
        <w:t>p</w:t>
      </w:r>
      <w:r w:rsidRPr="00A87EBC">
        <w:rPr>
          <w:rFonts w:eastAsia="Times New Roman" w:cstheme="minorHAnsi"/>
          <w:sz w:val="24"/>
          <w:szCs w:val="20"/>
          <w:lang w:val="en-GB" w:eastAsia="en-AU"/>
        </w:rPr>
        <w:t xml:space="preserve">ropagation </w:t>
      </w:r>
      <w:r w:rsidR="00764672" w:rsidRPr="00A87EBC">
        <w:rPr>
          <w:rFonts w:eastAsia="Times New Roman" w:cstheme="minorHAnsi"/>
          <w:sz w:val="24"/>
          <w:szCs w:val="20"/>
          <w:lang w:val="en-GB" w:eastAsia="en-AU"/>
        </w:rPr>
        <w:t>p</w:t>
      </w:r>
      <w:r w:rsidRPr="00A87EBC">
        <w:rPr>
          <w:rFonts w:eastAsia="Times New Roman" w:cstheme="minorHAnsi"/>
          <w:sz w:val="24"/>
          <w:szCs w:val="20"/>
          <w:lang w:val="en-GB" w:eastAsia="en-AU"/>
        </w:rPr>
        <w:t xml:space="preserve">ath </w:t>
      </w:r>
      <w:r w:rsidR="00764672" w:rsidRPr="00A87EBC">
        <w:rPr>
          <w:rFonts w:eastAsia="Times New Roman" w:cstheme="minorHAnsi"/>
          <w:sz w:val="24"/>
          <w:szCs w:val="20"/>
          <w:lang w:val="en-GB" w:eastAsia="en-AU"/>
        </w:rPr>
        <w:t>l</w:t>
      </w:r>
      <w:r w:rsidRPr="00A87EBC">
        <w:rPr>
          <w:rFonts w:eastAsia="Times New Roman" w:cstheme="minorHAnsi"/>
          <w:sz w:val="24"/>
          <w:szCs w:val="20"/>
          <w:lang w:val="en-GB" w:eastAsia="en-AU"/>
        </w:rPr>
        <w:t>oss</w:t>
      </w:r>
      <w:r w:rsidR="00764672" w:rsidRPr="00A87EBC">
        <w:rPr>
          <w:rFonts w:eastAsia="Times New Roman" w:cstheme="minorHAnsi"/>
          <w:sz w:val="24"/>
          <w:szCs w:val="20"/>
          <w:lang w:val="en-GB" w:eastAsia="en-AU"/>
        </w:rPr>
        <w:t xml:space="preserve"> </w:t>
      </w:r>
      <w:r w:rsidR="009E473E" w:rsidRPr="00A87EBC">
        <w:rPr>
          <w:rFonts w:eastAsia="Times New Roman" w:cstheme="minorHAnsi"/>
          <w:sz w:val="24"/>
          <w:szCs w:val="20"/>
          <w:lang w:val="en-GB" w:eastAsia="en-AU"/>
        </w:rPr>
        <w:t xml:space="preserve">(dB) </w:t>
      </w:r>
      <w:r w:rsidR="00764672" w:rsidRPr="00A87EBC">
        <w:rPr>
          <w:rFonts w:eastAsia="Times New Roman" w:cstheme="minorHAnsi"/>
          <w:sz w:val="24"/>
          <w:szCs w:val="20"/>
          <w:lang w:val="en-GB" w:eastAsia="en-AU"/>
        </w:rPr>
        <w:t>along the interference path</w:t>
      </w:r>
      <w:r w:rsidR="009E473E" w:rsidRPr="00A87EBC">
        <w:rPr>
          <w:rFonts w:eastAsia="Times New Roman" w:cstheme="minorHAnsi"/>
          <w:sz w:val="24"/>
          <w:szCs w:val="20"/>
          <w:lang w:val="en-GB" w:eastAsia="en-AU"/>
        </w:rPr>
        <w:t xml:space="preserve"> not exceeded for p% time, where p is defined in Table 2</w:t>
      </w:r>
    </w:p>
    <w:p w:rsidR="00A87EBC" w:rsidRPr="00A87EBC" w:rsidRDefault="00A87EBC" w:rsidP="00A87EBC">
      <w:pPr>
        <w:widowControl w:val="0"/>
        <w:spacing w:after="0" w:line="240" w:lineRule="auto"/>
        <w:rPr>
          <w:rFonts w:eastAsia="Times New Roman" w:cstheme="minorHAnsi"/>
          <w:sz w:val="24"/>
          <w:szCs w:val="20"/>
          <w:lang w:val="en-GB" w:eastAsia="en-AU"/>
        </w:rPr>
      </w:pPr>
    </w:p>
    <w:p w:rsidR="00491C4A" w:rsidRPr="00A87EBC" w:rsidRDefault="00491C4A" w:rsidP="00A87EBC">
      <w:pPr>
        <w:widowControl w:val="0"/>
        <w:spacing w:after="0" w:line="240" w:lineRule="auto"/>
        <w:rPr>
          <w:rFonts w:eastAsia="Times New Roman" w:cstheme="minorHAnsi"/>
          <w:sz w:val="24"/>
          <w:szCs w:val="20"/>
          <w:lang w:val="en-GB" w:eastAsia="en-AU"/>
        </w:rPr>
      </w:pPr>
      <w:proofErr w:type="spellStart"/>
      <w:r w:rsidRPr="00F0114B">
        <w:rPr>
          <w:rFonts w:eastAsia="Times New Roman" w:cstheme="minorHAnsi"/>
          <w:b/>
          <w:sz w:val="24"/>
          <w:szCs w:val="20"/>
          <w:lang w:val="en-GB" w:eastAsia="en-AU"/>
        </w:rPr>
        <w:t>G</w:t>
      </w:r>
      <w:r w:rsidRPr="00F0114B">
        <w:rPr>
          <w:rFonts w:eastAsia="Times New Roman" w:cstheme="minorHAnsi"/>
          <w:b/>
          <w:sz w:val="24"/>
          <w:szCs w:val="20"/>
          <w:vertAlign w:val="subscript"/>
          <w:lang w:val="en-GB" w:eastAsia="en-AU"/>
        </w:rPr>
        <w:t>t</w:t>
      </w:r>
      <w:proofErr w:type="spellEnd"/>
      <w:r w:rsidRPr="00F0114B">
        <w:rPr>
          <w:rFonts w:eastAsia="Times New Roman" w:cstheme="minorHAnsi"/>
          <w:b/>
          <w:sz w:val="24"/>
          <w:szCs w:val="20"/>
          <w:lang w:val="en-GB" w:eastAsia="en-AU"/>
        </w:rPr>
        <w:t xml:space="preserve"> </w:t>
      </w:r>
      <w:r w:rsidRPr="00A87EBC">
        <w:rPr>
          <w:rFonts w:eastAsia="Times New Roman" w:cstheme="minorHAnsi"/>
          <w:sz w:val="24"/>
          <w:szCs w:val="20"/>
          <w:lang w:val="en-GB" w:eastAsia="en-AU"/>
        </w:rPr>
        <w:t>= transmit antenna gain in the direction of the interference path</w:t>
      </w:r>
      <w:r w:rsidRPr="00A87EBC">
        <w:rPr>
          <w:rFonts w:eastAsia="Times New Roman" w:cstheme="minorHAnsi"/>
          <w:sz w:val="24"/>
          <w:szCs w:val="20"/>
          <w:lang w:val="en-GB" w:eastAsia="en-AU"/>
        </w:rPr>
        <w:footnoteReference w:id="3"/>
      </w:r>
      <w:r w:rsidRPr="00A87EBC">
        <w:rPr>
          <w:rFonts w:eastAsia="Times New Roman" w:cstheme="minorHAnsi"/>
          <w:sz w:val="24"/>
          <w:szCs w:val="20"/>
          <w:lang w:val="en-GB" w:eastAsia="en-AU"/>
        </w:rPr>
        <w:t xml:space="preserve"> (dBi)</w:t>
      </w:r>
    </w:p>
    <w:p w:rsidR="0083797F" w:rsidRDefault="00764672" w:rsidP="00A87EBC">
      <w:pPr>
        <w:widowControl w:val="0"/>
        <w:spacing w:after="0" w:line="240" w:lineRule="auto"/>
        <w:rPr>
          <w:rFonts w:eastAsia="Times New Roman" w:cstheme="minorHAnsi"/>
          <w:sz w:val="24"/>
          <w:szCs w:val="20"/>
          <w:lang w:val="en-GB" w:eastAsia="en-AU"/>
        </w:rPr>
      </w:pPr>
      <w:proofErr w:type="spellStart"/>
      <w:r w:rsidRPr="00F0114B">
        <w:rPr>
          <w:rFonts w:eastAsia="Times New Roman" w:cstheme="minorHAnsi"/>
          <w:b/>
          <w:sz w:val="24"/>
          <w:szCs w:val="20"/>
          <w:lang w:val="en-GB" w:eastAsia="en-AU"/>
        </w:rPr>
        <w:t>G</w:t>
      </w:r>
      <w:r w:rsidRPr="00F0114B">
        <w:rPr>
          <w:rFonts w:eastAsia="Times New Roman" w:cstheme="minorHAnsi"/>
          <w:b/>
          <w:sz w:val="24"/>
          <w:szCs w:val="20"/>
          <w:vertAlign w:val="subscript"/>
          <w:lang w:val="en-GB" w:eastAsia="en-AU"/>
        </w:rPr>
        <w:t>r</w:t>
      </w:r>
      <w:proofErr w:type="spellEnd"/>
      <w:r w:rsidRPr="00A87EBC">
        <w:rPr>
          <w:rFonts w:eastAsia="Times New Roman" w:cstheme="minorHAnsi"/>
          <w:sz w:val="24"/>
          <w:szCs w:val="20"/>
          <w:lang w:val="en-GB" w:eastAsia="en-AU"/>
        </w:rPr>
        <w:t xml:space="preserve"> =</w:t>
      </w:r>
      <w:r w:rsidR="00491C4A" w:rsidRPr="00A87EBC">
        <w:rPr>
          <w:rFonts w:eastAsia="Times New Roman" w:cstheme="minorHAnsi"/>
          <w:sz w:val="24"/>
          <w:szCs w:val="20"/>
          <w:lang w:val="en-GB" w:eastAsia="en-AU"/>
        </w:rPr>
        <w:t xml:space="preserve"> (</w:t>
      </w:r>
      <w:r w:rsidRPr="00A87EBC">
        <w:rPr>
          <w:rFonts w:eastAsia="Times New Roman" w:cstheme="minorHAnsi"/>
          <w:sz w:val="24"/>
          <w:szCs w:val="20"/>
          <w:lang w:val="en-GB" w:eastAsia="en-AU"/>
        </w:rPr>
        <w:t>maximum</w:t>
      </w:r>
      <w:r w:rsidR="00491C4A" w:rsidRPr="00A87EBC">
        <w:rPr>
          <w:rFonts w:eastAsia="Times New Roman" w:cstheme="minorHAnsi"/>
          <w:sz w:val="24"/>
          <w:szCs w:val="20"/>
          <w:lang w:val="en-GB" w:eastAsia="en-AU"/>
        </w:rPr>
        <w:t>)</w:t>
      </w:r>
      <w:r w:rsidRPr="00A87EBC">
        <w:rPr>
          <w:rFonts w:eastAsia="Times New Roman" w:cstheme="minorHAnsi"/>
          <w:sz w:val="24"/>
          <w:szCs w:val="20"/>
          <w:lang w:val="en-GB" w:eastAsia="en-AU"/>
        </w:rPr>
        <w:t xml:space="preserve"> receive antenna gain in the direction of the</w:t>
      </w:r>
      <w:r w:rsidR="00303BE0" w:rsidRPr="00A87EBC">
        <w:rPr>
          <w:rFonts w:eastAsia="Times New Roman" w:cstheme="minorHAnsi"/>
          <w:sz w:val="24"/>
          <w:szCs w:val="20"/>
          <w:lang w:val="en-GB" w:eastAsia="en-AU"/>
        </w:rPr>
        <w:t xml:space="preserve"> interference path (dBi, see Table </w:t>
      </w:r>
      <w:r w:rsidR="009732A9" w:rsidRPr="00A87EBC">
        <w:rPr>
          <w:rFonts w:eastAsia="Times New Roman" w:cstheme="minorHAnsi"/>
          <w:sz w:val="24"/>
          <w:szCs w:val="20"/>
          <w:lang w:val="en-GB" w:eastAsia="en-AU"/>
        </w:rPr>
        <w:t>2</w:t>
      </w:r>
      <w:r w:rsidR="00303BE0" w:rsidRPr="00A87EBC">
        <w:rPr>
          <w:rFonts w:eastAsia="Times New Roman" w:cstheme="minorHAnsi"/>
          <w:sz w:val="24"/>
          <w:szCs w:val="20"/>
          <w:lang w:val="en-GB" w:eastAsia="en-AU"/>
        </w:rPr>
        <w:t>);</w:t>
      </w:r>
    </w:p>
    <w:p w:rsidR="00A87EBC" w:rsidRPr="00A87EBC" w:rsidRDefault="00A87EBC" w:rsidP="00A87EBC">
      <w:pPr>
        <w:widowControl w:val="0"/>
        <w:spacing w:after="0" w:line="240" w:lineRule="auto"/>
        <w:rPr>
          <w:rFonts w:eastAsia="Times New Roman" w:cstheme="minorHAnsi"/>
          <w:sz w:val="24"/>
          <w:szCs w:val="20"/>
          <w:lang w:val="en-GB" w:eastAsia="en-AU"/>
        </w:rPr>
      </w:pPr>
    </w:p>
    <w:p w:rsidR="00F85B98" w:rsidRDefault="009732A9" w:rsidP="00A87EBC">
      <w:pPr>
        <w:widowControl w:val="0"/>
        <w:spacing w:after="0" w:line="240" w:lineRule="auto"/>
        <w:rPr>
          <w:rFonts w:eastAsia="Times New Roman" w:cstheme="minorHAnsi"/>
          <w:sz w:val="24"/>
          <w:szCs w:val="20"/>
          <w:lang w:val="en-GB" w:eastAsia="en-AU"/>
        </w:rPr>
      </w:pPr>
      <w:r w:rsidRPr="00F0114B">
        <w:rPr>
          <w:rFonts w:eastAsia="Times New Roman" w:cstheme="minorHAnsi"/>
          <w:b/>
          <w:sz w:val="24"/>
          <w:szCs w:val="20"/>
          <w:lang w:val="en-GB" w:eastAsia="en-AU"/>
        </w:rPr>
        <w:t xml:space="preserve">Overload </w:t>
      </w:r>
      <w:r w:rsidR="00764672" w:rsidRPr="00F0114B">
        <w:rPr>
          <w:rFonts w:eastAsia="Times New Roman" w:cstheme="minorHAnsi"/>
          <w:b/>
          <w:sz w:val="24"/>
          <w:szCs w:val="20"/>
          <w:lang w:val="en-GB" w:eastAsia="en-AU"/>
        </w:rPr>
        <w:t>T</w:t>
      </w:r>
      <w:r w:rsidR="00F85B98" w:rsidRPr="00F0114B">
        <w:rPr>
          <w:rFonts w:eastAsia="Times New Roman" w:cstheme="minorHAnsi"/>
          <w:b/>
          <w:sz w:val="24"/>
          <w:szCs w:val="20"/>
          <w:lang w:val="en-GB" w:eastAsia="en-AU"/>
        </w:rPr>
        <w:t>hreshold level</w:t>
      </w:r>
      <w:r w:rsidR="00764672" w:rsidRPr="00A87EBC">
        <w:rPr>
          <w:rFonts w:eastAsia="Times New Roman" w:cstheme="minorHAnsi"/>
          <w:sz w:val="24"/>
          <w:szCs w:val="20"/>
          <w:lang w:val="en-GB" w:eastAsia="en-AU"/>
        </w:rPr>
        <w:t xml:space="preserve"> = maximum permissible unwanted signal PSD (dB</w:t>
      </w:r>
      <w:r w:rsidR="00303BE0" w:rsidRPr="00A87EBC">
        <w:rPr>
          <w:rFonts w:eastAsia="Times New Roman" w:cstheme="minorHAnsi"/>
          <w:sz w:val="24"/>
          <w:szCs w:val="20"/>
          <w:lang w:val="en-GB" w:eastAsia="en-AU"/>
        </w:rPr>
        <w:t>W</w:t>
      </w:r>
      <w:r w:rsidR="00764672" w:rsidRPr="00A87EBC">
        <w:rPr>
          <w:rFonts w:eastAsia="Times New Roman" w:cstheme="minorHAnsi"/>
          <w:sz w:val="24"/>
          <w:szCs w:val="20"/>
          <w:lang w:val="en-GB" w:eastAsia="en-AU"/>
        </w:rPr>
        <w:t xml:space="preserve">/Hz); </w:t>
      </w:r>
      <w:r w:rsidR="00F85B98" w:rsidRPr="00A87EBC">
        <w:rPr>
          <w:rFonts w:eastAsia="Times New Roman" w:cstheme="minorHAnsi"/>
          <w:sz w:val="24"/>
          <w:szCs w:val="20"/>
          <w:lang w:val="en-GB" w:eastAsia="en-AU"/>
        </w:rPr>
        <w:t xml:space="preserve">see Table </w:t>
      </w:r>
      <w:r w:rsidR="009179AB" w:rsidRPr="00A87EBC">
        <w:rPr>
          <w:rFonts w:eastAsia="Times New Roman" w:cstheme="minorHAnsi"/>
          <w:sz w:val="24"/>
          <w:szCs w:val="20"/>
          <w:lang w:val="en-GB" w:eastAsia="en-AU"/>
        </w:rPr>
        <w:t>3</w:t>
      </w:r>
      <w:r w:rsidR="00F85B98" w:rsidRPr="00A87EBC">
        <w:rPr>
          <w:rFonts w:eastAsia="Times New Roman" w:cstheme="minorHAnsi"/>
          <w:sz w:val="24"/>
          <w:szCs w:val="20"/>
          <w:lang w:val="en-GB" w:eastAsia="en-AU"/>
        </w:rPr>
        <w:t>.</w:t>
      </w:r>
    </w:p>
    <w:p w:rsidR="00A87EBC" w:rsidRPr="00A87EBC" w:rsidRDefault="00A87EBC" w:rsidP="00A87EBC">
      <w:pPr>
        <w:widowControl w:val="0"/>
        <w:spacing w:after="0" w:line="240" w:lineRule="auto"/>
        <w:rPr>
          <w:rFonts w:eastAsia="Times New Roman" w:cstheme="minorHAnsi"/>
          <w:sz w:val="24"/>
          <w:szCs w:val="20"/>
          <w:lang w:val="en-GB" w:eastAsia="en-AU"/>
        </w:rPr>
      </w:pPr>
    </w:p>
    <w:p w:rsidR="00F85B98" w:rsidRDefault="00764672" w:rsidP="00A87EBC">
      <w:pPr>
        <w:widowControl w:val="0"/>
        <w:spacing w:after="0" w:line="240" w:lineRule="auto"/>
        <w:rPr>
          <w:rFonts w:eastAsia="Times New Roman" w:cstheme="minorHAnsi"/>
          <w:sz w:val="24"/>
          <w:szCs w:val="20"/>
          <w:lang w:val="en-GB" w:eastAsia="en-AU"/>
        </w:rPr>
      </w:pPr>
      <w:r w:rsidRPr="00A87EBC">
        <w:rPr>
          <w:rFonts w:eastAsia="Times New Roman" w:cstheme="minorHAnsi"/>
          <w:sz w:val="24"/>
          <w:szCs w:val="20"/>
          <w:lang w:val="en-GB" w:eastAsia="en-AU"/>
        </w:rPr>
        <w:t>For calculation of the t</w:t>
      </w:r>
      <w:r w:rsidR="00F85B98" w:rsidRPr="00A87EBC">
        <w:rPr>
          <w:rFonts w:eastAsia="Times New Roman" w:cstheme="minorHAnsi"/>
          <w:sz w:val="24"/>
          <w:szCs w:val="20"/>
          <w:lang w:val="en-GB" w:eastAsia="en-AU"/>
        </w:rPr>
        <w:t>ransmitter power spectral density (</w:t>
      </w:r>
      <w:proofErr w:type="spellStart"/>
      <w:r w:rsidR="00F85B98" w:rsidRPr="00A87EBC">
        <w:rPr>
          <w:rFonts w:eastAsia="Times New Roman" w:cstheme="minorHAnsi"/>
          <w:sz w:val="24"/>
          <w:szCs w:val="20"/>
          <w:lang w:val="en-GB" w:eastAsia="en-AU"/>
        </w:rPr>
        <w:t>PSD</w:t>
      </w:r>
      <w:r w:rsidR="00491C4A" w:rsidRPr="00A87EBC">
        <w:rPr>
          <w:rFonts w:eastAsia="Times New Roman" w:cstheme="minorHAnsi"/>
          <w:sz w:val="24"/>
          <w:szCs w:val="20"/>
          <w:lang w:val="en-GB" w:eastAsia="en-AU"/>
        </w:rPr>
        <w:t>tx</w:t>
      </w:r>
      <w:proofErr w:type="spellEnd"/>
      <w:r w:rsidR="00F85B98" w:rsidRPr="00A87EBC">
        <w:rPr>
          <w:rFonts w:eastAsia="Times New Roman" w:cstheme="minorHAnsi"/>
          <w:sz w:val="24"/>
          <w:szCs w:val="20"/>
          <w:lang w:val="en-GB" w:eastAsia="en-AU"/>
        </w:rPr>
        <w:t xml:space="preserve">) </w:t>
      </w:r>
      <w:r w:rsidRPr="00A87EBC">
        <w:rPr>
          <w:rFonts w:eastAsia="Times New Roman" w:cstheme="minorHAnsi"/>
          <w:sz w:val="24"/>
          <w:szCs w:val="20"/>
          <w:lang w:val="en-GB" w:eastAsia="en-AU"/>
        </w:rPr>
        <w:t>a relatively uniform emission level is assumed</w:t>
      </w:r>
      <w:r w:rsidR="00DD52DD" w:rsidRPr="00A87EBC">
        <w:rPr>
          <w:rFonts w:eastAsia="Times New Roman" w:cstheme="minorHAnsi"/>
          <w:sz w:val="24"/>
          <w:szCs w:val="20"/>
          <w:lang w:val="en-GB" w:eastAsia="en-AU"/>
        </w:rPr>
        <w:t xml:space="preserve"> within the occupied bandwidth of the device</w:t>
      </w:r>
      <w:r w:rsidRPr="00A87EBC">
        <w:rPr>
          <w:rFonts w:eastAsia="Times New Roman" w:cstheme="minorHAnsi"/>
          <w:sz w:val="24"/>
          <w:szCs w:val="20"/>
          <w:lang w:val="en-GB" w:eastAsia="en-AU"/>
        </w:rPr>
        <w:t>.</w:t>
      </w:r>
      <w:r w:rsidR="00491C4A" w:rsidRPr="00A87EBC">
        <w:rPr>
          <w:rFonts w:eastAsia="Times New Roman" w:cstheme="minorHAnsi"/>
          <w:sz w:val="24"/>
          <w:szCs w:val="20"/>
          <w:lang w:val="en-GB" w:eastAsia="en-AU"/>
        </w:rPr>
        <w:t xml:space="preserve"> </w:t>
      </w:r>
      <w:proofErr w:type="spellStart"/>
      <w:r w:rsidR="00491C4A" w:rsidRPr="00A87EBC">
        <w:rPr>
          <w:rFonts w:eastAsia="Times New Roman" w:cstheme="minorHAnsi"/>
          <w:sz w:val="24"/>
          <w:szCs w:val="20"/>
          <w:lang w:val="en-GB" w:eastAsia="en-AU"/>
        </w:rPr>
        <w:t>PSDtx</w:t>
      </w:r>
      <w:proofErr w:type="spellEnd"/>
      <w:r w:rsidRPr="00A87EBC">
        <w:rPr>
          <w:rFonts w:eastAsia="Times New Roman" w:cstheme="minorHAnsi"/>
          <w:sz w:val="24"/>
          <w:szCs w:val="20"/>
          <w:lang w:val="en-GB" w:eastAsia="en-AU"/>
        </w:rPr>
        <w:t xml:space="preserve"> </w:t>
      </w:r>
      <w:r w:rsidR="00F85B98" w:rsidRPr="00A87EBC">
        <w:rPr>
          <w:rFonts w:eastAsia="Times New Roman" w:cstheme="minorHAnsi"/>
          <w:sz w:val="24"/>
          <w:szCs w:val="20"/>
          <w:lang w:val="en-GB" w:eastAsia="en-AU"/>
        </w:rPr>
        <w:t xml:space="preserve">in the direction of the </w:t>
      </w:r>
      <w:r w:rsidR="00491C4A" w:rsidRPr="00A87EBC">
        <w:rPr>
          <w:rFonts w:eastAsia="Times New Roman" w:cstheme="minorHAnsi"/>
          <w:sz w:val="24"/>
          <w:szCs w:val="20"/>
          <w:lang w:val="en-GB" w:eastAsia="en-AU"/>
        </w:rPr>
        <w:t>interference path</w:t>
      </w:r>
      <w:r w:rsidR="00734991" w:rsidRPr="00A87EBC">
        <w:rPr>
          <w:rFonts w:eastAsia="Times New Roman" w:cstheme="minorHAnsi"/>
          <w:sz w:val="24"/>
          <w:szCs w:val="20"/>
          <w:lang w:val="en-GB" w:eastAsia="en-AU"/>
        </w:rPr>
        <w:t xml:space="preserve"> </w:t>
      </w:r>
      <w:r w:rsidR="00F85B98" w:rsidRPr="00A87EBC">
        <w:rPr>
          <w:rFonts w:eastAsia="Times New Roman" w:cstheme="minorHAnsi"/>
          <w:sz w:val="24"/>
          <w:szCs w:val="20"/>
          <w:lang w:val="en-GB" w:eastAsia="en-AU"/>
        </w:rPr>
        <w:t>is determined by:</w:t>
      </w:r>
    </w:p>
    <w:p w:rsidR="00A87EBC" w:rsidRPr="00A87EBC" w:rsidRDefault="00A87EBC" w:rsidP="00A87EBC">
      <w:pPr>
        <w:widowControl w:val="0"/>
        <w:spacing w:after="0" w:line="240" w:lineRule="auto"/>
        <w:rPr>
          <w:rFonts w:eastAsia="Times New Roman" w:cstheme="minorHAnsi"/>
          <w:sz w:val="24"/>
          <w:szCs w:val="20"/>
          <w:lang w:val="en-GB" w:eastAsia="en-AU"/>
        </w:rPr>
      </w:pPr>
    </w:p>
    <w:p w:rsidR="00F85B98" w:rsidRPr="00F0114B" w:rsidRDefault="00491C4A" w:rsidP="00A87EBC">
      <w:pPr>
        <w:widowControl w:val="0"/>
        <w:spacing w:after="0" w:line="240" w:lineRule="auto"/>
        <w:jc w:val="center"/>
        <w:rPr>
          <w:rFonts w:eastAsia="Times New Roman" w:cstheme="minorHAnsi"/>
          <w:b/>
          <w:sz w:val="24"/>
          <w:szCs w:val="20"/>
          <w:lang w:val="en-GB" w:eastAsia="en-AU"/>
        </w:rPr>
      </w:pPr>
      <w:proofErr w:type="spellStart"/>
      <w:r w:rsidRPr="00F0114B">
        <w:rPr>
          <w:rFonts w:eastAsia="Times New Roman" w:cstheme="minorHAnsi"/>
          <w:b/>
          <w:sz w:val="24"/>
          <w:szCs w:val="20"/>
          <w:lang w:val="en-GB" w:eastAsia="en-AU"/>
        </w:rPr>
        <w:t>PSD</w:t>
      </w:r>
      <w:r w:rsidRPr="00F0114B">
        <w:rPr>
          <w:rFonts w:eastAsia="Times New Roman" w:cstheme="minorHAnsi"/>
          <w:b/>
          <w:sz w:val="24"/>
          <w:szCs w:val="20"/>
          <w:vertAlign w:val="subscript"/>
          <w:lang w:val="en-GB" w:eastAsia="en-AU"/>
        </w:rPr>
        <w:t>tx</w:t>
      </w:r>
      <w:proofErr w:type="spellEnd"/>
      <w:r w:rsidR="00F85B98" w:rsidRPr="00F0114B">
        <w:rPr>
          <w:rFonts w:eastAsia="Times New Roman" w:cstheme="minorHAnsi"/>
          <w:b/>
          <w:sz w:val="24"/>
          <w:szCs w:val="20"/>
          <w:lang w:val="en-GB" w:eastAsia="en-AU"/>
        </w:rPr>
        <w:t xml:space="preserve"> = </w:t>
      </w:r>
      <w:proofErr w:type="spellStart"/>
      <w:r w:rsidRPr="00F0114B">
        <w:rPr>
          <w:rFonts w:eastAsia="Times New Roman" w:cstheme="minorHAnsi"/>
          <w:b/>
          <w:sz w:val="24"/>
          <w:szCs w:val="20"/>
          <w:lang w:val="en-GB" w:eastAsia="en-AU"/>
        </w:rPr>
        <w:t>P</w:t>
      </w:r>
      <w:r w:rsidRPr="00F0114B">
        <w:rPr>
          <w:rFonts w:eastAsia="Times New Roman" w:cstheme="minorHAnsi"/>
          <w:b/>
          <w:sz w:val="24"/>
          <w:szCs w:val="20"/>
          <w:vertAlign w:val="subscript"/>
          <w:lang w:val="en-GB" w:eastAsia="en-AU"/>
        </w:rPr>
        <w:t>tx</w:t>
      </w:r>
      <w:proofErr w:type="spellEnd"/>
      <w:r w:rsidR="00F85B98" w:rsidRPr="00F0114B">
        <w:rPr>
          <w:rFonts w:eastAsia="Times New Roman" w:cstheme="minorHAnsi"/>
          <w:b/>
          <w:sz w:val="24"/>
          <w:szCs w:val="20"/>
          <w:lang w:val="en-GB" w:eastAsia="en-AU"/>
        </w:rPr>
        <w:t xml:space="preserve"> – 10</w:t>
      </w:r>
      <w:r w:rsidR="00F0114B">
        <w:rPr>
          <w:rFonts w:eastAsia="Times New Roman" w:cstheme="minorHAnsi"/>
          <w:b/>
          <w:sz w:val="24"/>
          <w:szCs w:val="20"/>
          <w:lang w:val="en-GB" w:eastAsia="en-AU"/>
        </w:rPr>
        <w:t>*</w:t>
      </w:r>
      <w:proofErr w:type="gramStart"/>
      <w:r w:rsidR="00F85B98" w:rsidRPr="00F0114B">
        <w:rPr>
          <w:rFonts w:eastAsia="Times New Roman" w:cstheme="minorHAnsi"/>
          <w:b/>
          <w:sz w:val="24"/>
          <w:szCs w:val="20"/>
          <w:lang w:val="en-GB" w:eastAsia="en-AU"/>
        </w:rPr>
        <w:t>log</w:t>
      </w:r>
      <w:r w:rsidRPr="00F0114B">
        <w:rPr>
          <w:rFonts w:eastAsia="Times New Roman" w:cstheme="minorHAnsi"/>
          <w:b/>
          <w:sz w:val="24"/>
          <w:szCs w:val="20"/>
          <w:vertAlign w:val="subscript"/>
          <w:lang w:val="en-GB" w:eastAsia="en-AU"/>
        </w:rPr>
        <w:t>10</w:t>
      </w:r>
      <w:r w:rsidR="00F85B98" w:rsidRPr="00F0114B">
        <w:rPr>
          <w:rFonts w:eastAsia="Times New Roman" w:cstheme="minorHAnsi"/>
          <w:b/>
          <w:sz w:val="24"/>
          <w:szCs w:val="20"/>
          <w:lang w:val="en-GB" w:eastAsia="en-AU"/>
        </w:rPr>
        <w:t>(</w:t>
      </w:r>
      <w:proofErr w:type="gramEnd"/>
      <w:r w:rsidR="00F85B98" w:rsidRPr="00F0114B">
        <w:rPr>
          <w:rFonts w:eastAsia="Times New Roman" w:cstheme="minorHAnsi"/>
          <w:b/>
          <w:sz w:val="24"/>
          <w:szCs w:val="20"/>
          <w:lang w:val="en-GB" w:eastAsia="en-AU"/>
        </w:rPr>
        <w:t>B)</w:t>
      </w:r>
    </w:p>
    <w:p w:rsidR="00C67569" w:rsidRDefault="00F85B98" w:rsidP="00A87EBC">
      <w:pPr>
        <w:widowControl w:val="0"/>
        <w:spacing w:after="0" w:line="240" w:lineRule="auto"/>
        <w:rPr>
          <w:rFonts w:eastAsia="Times New Roman" w:cstheme="minorHAnsi"/>
          <w:sz w:val="24"/>
          <w:szCs w:val="20"/>
          <w:lang w:val="en-GB" w:eastAsia="en-AU"/>
        </w:rPr>
      </w:pPr>
      <w:r w:rsidRPr="00A87EBC">
        <w:rPr>
          <w:rFonts w:eastAsia="Times New Roman" w:cstheme="minorHAnsi"/>
          <w:sz w:val="24"/>
          <w:szCs w:val="20"/>
          <w:lang w:val="en-GB" w:eastAsia="en-AU"/>
        </w:rPr>
        <w:t>Where:</w:t>
      </w:r>
    </w:p>
    <w:p w:rsidR="00A87EBC" w:rsidRPr="00A87EBC" w:rsidRDefault="00A87EBC" w:rsidP="00A87EBC">
      <w:pPr>
        <w:widowControl w:val="0"/>
        <w:spacing w:after="0" w:line="240" w:lineRule="auto"/>
        <w:rPr>
          <w:rFonts w:eastAsia="Times New Roman" w:cstheme="minorHAnsi"/>
          <w:sz w:val="24"/>
          <w:szCs w:val="20"/>
          <w:lang w:val="en-GB" w:eastAsia="en-AU"/>
        </w:rPr>
      </w:pPr>
    </w:p>
    <w:p w:rsidR="00491C4A" w:rsidRDefault="00491C4A" w:rsidP="00A87EBC">
      <w:pPr>
        <w:widowControl w:val="0"/>
        <w:spacing w:after="0" w:line="240" w:lineRule="auto"/>
        <w:rPr>
          <w:rFonts w:eastAsia="Times New Roman" w:cstheme="minorHAnsi"/>
          <w:sz w:val="24"/>
          <w:szCs w:val="20"/>
          <w:lang w:val="en-GB" w:eastAsia="en-AU"/>
        </w:rPr>
      </w:pPr>
      <w:proofErr w:type="spellStart"/>
      <w:r w:rsidRPr="00F0114B">
        <w:rPr>
          <w:rFonts w:eastAsia="Times New Roman" w:cstheme="minorHAnsi"/>
          <w:b/>
          <w:sz w:val="24"/>
          <w:szCs w:val="20"/>
          <w:lang w:val="en-GB" w:eastAsia="en-AU"/>
        </w:rPr>
        <w:t>P</w:t>
      </w:r>
      <w:r w:rsidRPr="00F0114B">
        <w:rPr>
          <w:rFonts w:eastAsia="Times New Roman" w:cstheme="minorHAnsi"/>
          <w:b/>
          <w:sz w:val="24"/>
          <w:szCs w:val="20"/>
          <w:vertAlign w:val="subscript"/>
          <w:lang w:val="en-GB" w:eastAsia="en-AU"/>
        </w:rPr>
        <w:t>tx</w:t>
      </w:r>
      <w:proofErr w:type="spellEnd"/>
      <w:r w:rsidRPr="00F0114B">
        <w:rPr>
          <w:rFonts w:eastAsia="Times New Roman" w:cstheme="minorHAnsi"/>
          <w:b/>
          <w:sz w:val="24"/>
          <w:szCs w:val="20"/>
          <w:lang w:val="en-GB" w:eastAsia="en-AU"/>
        </w:rPr>
        <w:t xml:space="preserve"> </w:t>
      </w:r>
      <w:r w:rsidRPr="00A87EBC">
        <w:rPr>
          <w:rFonts w:eastAsia="Times New Roman" w:cstheme="minorHAnsi"/>
          <w:sz w:val="24"/>
          <w:szCs w:val="20"/>
          <w:lang w:val="en-GB" w:eastAsia="en-AU"/>
        </w:rPr>
        <w:t xml:space="preserve">= </w:t>
      </w:r>
      <w:r w:rsidR="00D73058" w:rsidRPr="00A87EBC">
        <w:rPr>
          <w:rFonts w:eastAsia="Times New Roman" w:cstheme="minorHAnsi"/>
          <w:sz w:val="24"/>
          <w:szCs w:val="20"/>
          <w:lang w:val="en-GB" w:eastAsia="en-AU"/>
        </w:rPr>
        <w:t>true mean</w:t>
      </w:r>
      <w:r w:rsidRPr="00A87EBC">
        <w:rPr>
          <w:rFonts w:eastAsia="Times New Roman" w:cstheme="minorHAnsi"/>
          <w:sz w:val="24"/>
          <w:szCs w:val="20"/>
          <w:lang w:val="en-GB" w:eastAsia="en-AU"/>
        </w:rPr>
        <w:t xml:space="preserve"> transmitter power into the antenna</w:t>
      </w:r>
      <w:r w:rsidR="00A87EBC">
        <w:rPr>
          <w:rFonts w:eastAsia="Times New Roman" w:cstheme="minorHAnsi"/>
          <w:sz w:val="24"/>
          <w:szCs w:val="20"/>
          <w:lang w:val="en-GB" w:eastAsia="en-AU"/>
        </w:rPr>
        <w:t>;</w:t>
      </w:r>
    </w:p>
    <w:p w:rsidR="00A87EBC" w:rsidRPr="00A87EBC" w:rsidRDefault="00A87EBC" w:rsidP="00A87EBC">
      <w:pPr>
        <w:widowControl w:val="0"/>
        <w:spacing w:after="0" w:line="240" w:lineRule="auto"/>
        <w:rPr>
          <w:rFonts w:eastAsia="Times New Roman" w:cstheme="minorHAnsi"/>
          <w:sz w:val="24"/>
          <w:szCs w:val="20"/>
          <w:lang w:val="en-GB" w:eastAsia="en-AU"/>
        </w:rPr>
      </w:pPr>
    </w:p>
    <w:p w:rsidR="00F85B98" w:rsidRDefault="00F85B98" w:rsidP="00A87EBC">
      <w:pPr>
        <w:widowControl w:val="0"/>
        <w:spacing w:after="0" w:line="240" w:lineRule="auto"/>
        <w:rPr>
          <w:rFonts w:eastAsia="Times New Roman" w:cstheme="minorHAnsi"/>
          <w:sz w:val="24"/>
          <w:szCs w:val="20"/>
          <w:lang w:val="en-GB" w:eastAsia="en-AU"/>
        </w:rPr>
      </w:pPr>
      <w:r w:rsidRPr="00F0114B">
        <w:rPr>
          <w:rFonts w:eastAsia="Times New Roman" w:cstheme="minorHAnsi"/>
          <w:b/>
          <w:sz w:val="24"/>
          <w:szCs w:val="20"/>
          <w:lang w:val="en-GB" w:eastAsia="en-AU"/>
        </w:rPr>
        <w:t>B</w:t>
      </w:r>
      <w:r w:rsidRPr="00A87EBC">
        <w:rPr>
          <w:rFonts w:eastAsia="Times New Roman" w:cstheme="minorHAnsi"/>
          <w:sz w:val="24"/>
          <w:szCs w:val="20"/>
          <w:lang w:val="en-GB" w:eastAsia="en-AU"/>
        </w:rPr>
        <w:t xml:space="preserve"> = </w:t>
      </w:r>
      <w:r w:rsidR="00491C4A" w:rsidRPr="00A87EBC">
        <w:rPr>
          <w:rFonts w:eastAsia="Times New Roman" w:cstheme="minorHAnsi"/>
          <w:sz w:val="24"/>
          <w:szCs w:val="20"/>
          <w:lang w:val="en-GB" w:eastAsia="en-AU"/>
        </w:rPr>
        <w:t>b</w:t>
      </w:r>
      <w:r w:rsidRPr="00A87EBC">
        <w:rPr>
          <w:rFonts w:eastAsia="Times New Roman" w:cstheme="minorHAnsi"/>
          <w:sz w:val="24"/>
          <w:szCs w:val="20"/>
          <w:lang w:val="en-GB" w:eastAsia="en-AU"/>
        </w:rPr>
        <w:t xml:space="preserve">andwidth </w:t>
      </w:r>
      <w:r w:rsidR="00491C4A" w:rsidRPr="00A87EBC">
        <w:rPr>
          <w:rFonts w:eastAsia="Times New Roman" w:cstheme="minorHAnsi"/>
          <w:sz w:val="24"/>
          <w:szCs w:val="20"/>
          <w:lang w:val="en-GB" w:eastAsia="en-AU"/>
        </w:rPr>
        <w:t>(Hz)</w:t>
      </w:r>
    </w:p>
    <w:p w:rsidR="00A87EBC" w:rsidRPr="00A87EBC" w:rsidRDefault="00A87EBC" w:rsidP="00A87EBC">
      <w:pPr>
        <w:widowControl w:val="0"/>
        <w:spacing w:after="0" w:line="240" w:lineRule="auto"/>
        <w:rPr>
          <w:rFonts w:eastAsia="Times New Roman" w:cstheme="minorHAnsi"/>
          <w:sz w:val="24"/>
          <w:szCs w:val="20"/>
          <w:lang w:val="en-GB" w:eastAsia="en-AU"/>
        </w:rPr>
      </w:pPr>
    </w:p>
    <w:p w:rsidR="00914689" w:rsidRDefault="00F1667D" w:rsidP="00A87EBC">
      <w:pPr>
        <w:widowControl w:val="0"/>
        <w:spacing w:after="0" w:line="240" w:lineRule="auto"/>
        <w:rPr>
          <w:rFonts w:eastAsia="Times New Roman" w:cstheme="minorHAnsi"/>
          <w:sz w:val="24"/>
          <w:szCs w:val="20"/>
          <w:lang w:val="en-GB" w:eastAsia="en-AU"/>
        </w:rPr>
      </w:pPr>
      <w:r w:rsidRPr="00A87EBC">
        <w:rPr>
          <w:rFonts w:eastAsia="Times New Roman" w:cstheme="minorHAnsi"/>
          <w:sz w:val="24"/>
          <w:szCs w:val="20"/>
          <w:lang w:val="en-GB" w:eastAsia="en-AU"/>
        </w:rPr>
        <w:t>Only emission within the transmitter</w:t>
      </w:r>
      <w:r w:rsidR="00A95609" w:rsidRPr="00A87EBC">
        <w:rPr>
          <w:rFonts w:eastAsia="Times New Roman" w:cstheme="minorHAnsi"/>
          <w:sz w:val="24"/>
          <w:szCs w:val="20"/>
          <w:lang w:val="en-GB" w:eastAsia="en-AU"/>
        </w:rPr>
        <w:t>’</w:t>
      </w:r>
      <w:r w:rsidRPr="00A87EBC">
        <w:rPr>
          <w:rFonts w:eastAsia="Times New Roman" w:cstheme="minorHAnsi"/>
          <w:sz w:val="24"/>
          <w:szCs w:val="20"/>
          <w:lang w:val="en-GB" w:eastAsia="en-AU"/>
        </w:rPr>
        <w:t>s occupied bandwidth are considered f</w:t>
      </w:r>
      <w:r w:rsidR="009732A9" w:rsidRPr="00A87EBC">
        <w:rPr>
          <w:rFonts w:eastAsia="Times New Roman" w:cstheme="minorHAnsi"/>
          <w:sz w:val="24"/>
          <w:szCs w:val="20"/>
          <w:lang w:val="en-GB" w:eastAsia="en-AU"/>
        </w:rPr>
        <w:t xml:space="preserve">or the purposes of assessing whether a transmitter exceeds the overload </w:t>
      </w:r>
      <w:r w:rsidRPr="00A87EBC">
        <w:rPr>
          <w:rFonts w:eastAsia="Times New Roman" w:cstheme="minorHAnsi"/>
          <w:sz w:val="24"/>
          <w:szCs w:val="20"/>
          <w:lang w:val="en-GB" w:eastAsia="en-AU"/>
        </w:rPr>
        <w:t>threshold</w:t>
      </w:r>
      <w:r w:rsidR="009732A9" w:rsidRPr="00A87EBC">
        <w:rPr>
          <w:rFonts w:eastAsia="Times New Roman" w:cstheme="minorHAnsi"/>
          <w:sz w:val="24"/>
          <w:szCs w:val="20"/>
          <w:lang w:val="en-GB" w:eastAsia="en-AU"/>
        </w:rPr>
        <w:t xml:space="preserve"> defined in table 3</w:t>
      </w:r>
      <w:r w:rsidRPr="00A87EBC">
        <w:rPr>
          <w:rFonts w:eastAsia="Times New Roman" w:cstheme="minorHAnsi"/>
          <w:sz w:val="24"/>
          <w:szCs w:val="20"/>
          <w:lang w:val="en-GB" w:eastAsia="en-AU"/>
        </w:rPr>
        <w:t>.</w:t>
      </w:r>
      <w:r w:rsidR="009732A9" w:rsidRPr="00A87EBC">
        <w:rPr>
          <w:rFonts w:eastAsia="Times New Roman" w:cstheme="minorHAnsi"/>
          <w:sz w:val="24"/>
          <w:szCs w:val="20"/>
          <w:lang w:val="en-GB" w:eastAsia="en-AU"/>
        </w:rPr>
        <w:t xml:space="preserve"> </w:t>
      </w:r>
    </w:p>
    <w:p w:rsidR="00A87EBC" w:rsidRPr="00A87EBC" w:rsidRDefault="00A87EBC" w:rsidP="00A87EBC">
      <w:pPr>
        <w:widowControl w:val="0"/>
        <w:spacing w:after="0" w:line="240" w:lineRule="auto"/>
        <w:rPr>
          <w:rFonts w:eastAsia="Times New Roman" w:cstheme="minorHAnsi"/>
          <w:sz w:val="24"/>
          <w:szCs w:val="20"/>
          <w:lang w:val="en-GB" w:eastAsia="en-AU"/>
        </w:rPr>
      </w:pPr>
    </w:p>
    <w:p w:rsidR="0059471E" w:rsidRDefault="00E565FC" w:rsidP="00A87EBC">
      <w:pPr>
        <w:widowControl w:val="0"/>
        <w:spacing w:after="0" w:line="240" w:lineRule="auto"/>
        <w:rPr>
          <w:rFonts w:eastAsia="Times New Roman" w:cstheme="minorHAnsi"/>
          <w:sz w:val="24"/>
          <w:szCs w:val="20"/>
          <w:lang w:val="en-GB" w:eastAsia="en-AU"/>
        </w:rPr>
      </w:pPr>
      <w:r w:rsidRPr="00A87EBC">
        <w:rPr>
          <w:rFonts w:eastAsia="Times New Roman" w:cstheme="minorHAnsi"/>
          <w:sz w:val="24"/>
          <w:szCs w:val="20"/>
          <w:lang w:val="en-GB" w:eastAsia="en-AU"/>
        </w:rPr>
        <w:t xml:space="preserve">Propagation </w:t>
      </w:r>
      <w:r w:rsidR="00F86ADD" w:rsidRPr="00A87EBC">
        <w:rPr>
          <w:rFonts w:eastAsia="Times New Roman" w:cstheme="minorHAnsi"/>
          <w:sz w:val="24"/>
          <w:szCs w:val="20"/>
          <w:lang w:val="en-GB" w:eastAsia="en-AU"/>
        </w:rPr>
        <w:t>p</w:t>
      </w:r>
      <w:r w:rsidRPr="00A87EBC">
        <w:rPr>
          <w:rFonts w:eastAsia="Times New Roman" w:cstheme="minorHAnsi"/>
          <w:sz w:val="24"/>
          <w:szCs w:val="20"/>
          <w:lang w:val="en-GB" w:eastAsia="en-AU"/>
        </w:rPr>
        <w:t xml:space="preserve">ath </w:t>
      </w:r>
      <w:r w:rsidR="00F86ADD" w:rsidRPr="00A87EBC">
        <w:rPr>
          <w:rFonts w:eastAsia="Times New Roman" w:cstheme="minorHAnsi"/>
          <w:sz w:val="24"/>
          <w:szCs w:val="20"/>
          <w:lang w:val="en-GB" w:eastAsia="en-AU"/>
        </w:rPr>
        <w:t>l</w:t>
      </w:r>
      <w:r w:rsidRPr="00A87EBC">
        <w:rPr>
          <w:rFonts w:eastAsia="Times New Roman" w:cstheme="minorHAnsi"/>
          <w:sz w:val="24"/>
          <w:szCs w:val="20"/>
          <w:lang w:val="en-GB" w:eastAsia="en-AU"/>
        </w:rPr>
        <w:t xml:space="preserve">oss is </w:t>
      </w:r>
      <w:r w:rsidR="00F86ADD" w:rsidRPr="00A87EBC">
        <w:rPr>
          <w:rFonts w:eastAsia="Times New Roman" w:cstheme="minorHAnsi"/>
          <w:sz w:val="24"/>
          <w:szCs w:val="20"/>
          <w:lang w:val="en-GB" w:eastAsia="en-AU"/>
        </w:rPr>
        <w:t>to be calculated according to Recommendation ITU-R P.452-14</w:t>
      </w:r>
      <w:r w:rsidR="007036EA" w:rsidRPr="00A87EBC">
        <w:rPr>
          <w:rFonts w:eastAsia="Times New Roman" w:cstheme="minorHAnsi"/>
          <w:sz w:val="24"/>
          <w:szCs w:val="20"/>
          <w:lang w:val="en-GB" w:eastAsia="en-AU"/>
        </w:rPr>
        <w:t xml:space="preserve">. Ducting </w:t>
      </w:r>
      <w:r w:rsidR="00877C91" w:rsidRPr="00A87EBC">
        <w:rPr>
          <w:rFonts w:eastAsia="Times New Roman" w:cstheme="minorHAnsi"/>
          <w:sz w:val="24"/>
          <w:szCs w:val="20"/>
          <w:lang w:val="en-GB" w:eastAsia="en-AU"/>
        </w:rPr>
        <w:t xml:space="preserve">does </w:t>
      </w:r>
      <w:r w:rsidR="007036EA" w:rsidRPr="00A87EBC">
        <w:rPr>
          <w:rFonts w:eastAsia="Times New Roman" w:cstheme="minorHAnsi"/>
          <w:sz w:val="24"/>
          <w:szCs w:val="20"/>
          <w:lang w:val="en-GB" w:eastAsia="en-AU"/>
        </w:rPr>
        <w:t xml:space="preserve">not </w:t>
      </w:r>
      <w:r w:rsidR="00877C91" w:rsidRPr="00A87EBC">
        <w:rPr>
          <w:rFonts w:eastAsia="Times New Roman" w:cstheme="minorHAnsi"/>
          <w:sz w:val="24"/>
          <w:szCs w:val="20"/>
          <w:lang w:val="en-GB" w:eastAsia="en-AU"/>
        </w:rPr>
        <w:t xml:space="preserve">need </w:t>
      </w:r>
      <w:r w:rsidR="007036EA" w:rsidRPr="00A87EBC">
        <w:rPr>
          <w:rFonts w:eastAsia="Times New Roman" w:cstheme="minorHAnsi"/>
          <w:sz w:val="24"/>
          <w:szCs w:val="20"/>
          <w:lang w:val="en-GB" w:eastAsia="en-AU"/>
        </w:rPr>
        <w:t>to be taken into consideration</w:t>
      </w:r>
      <w:r w:rsidR="00877C91" w:rsidRPr="00A87EBC">
        <w:rPr>
          <w:rFonts w:eastAsia="Times New Roman" w:cstheme="minorHAnsi"/>
          <w:sz w:val="24"/>
          <w:szCs w:val="20"/>
          <w:lang w:val="en-GB" w:eastAsia="en-AU"/>
        </w:rPr>
        <w:t xml:space="preserve"> as the earth station sites are located </w:t>
      </w:r>
      <w:r w:rsidR="00877C91" w:rsidRPr="00A87EBC">
        <w:rPr>
          <w:rFonts w:eastAsia="Times New Roman" w:cstheme="minorHAnsi"/>
          <w:sz w:val="24"/>
          <w:szCs w:val="20"/>
          <w:lang w:val="en-GB" w:eastAsia="en-AU"/>
        </w:rPr>
        <w:lastRenderedPageBreak/>
        <w:t>inland and away from large bodies of water. T</w:t>
      </w:r>
      <w:r w:rsidR="00581CE9" w:rsidRPr="00A87EBC">
        <w:rPr>
          <w:rFonts w:eastAsia="Times New Roman" w:cstheme="minorHAnsi"/>
          <w:sz w:val="24"/>
          <w:szCs w:val="20"/>
          <w:lang w:val="en-GB" w:eastAsia="en-AU"/>
        </w:rPr>
        <w:t>herefore Sections 4.4</w:t>
      </w:r>
      <w:r w:rsidR="007036EA" w:rsidRPr="00A87EBC">
        <w:rPr>
          <w:rFonts w:eastAsia="Times New Roman" w:cstheme="minorHAnsi"/>
          <w:sz w:val="24"/>
          <w:szCs w:val="20"/>
          <w:lang w:val="en-GB" w:eastAsia="en-AU"/>
        </w:rPr>
        <w:t xml:space="preserve"> of Annex 1 to Recommendation </w:t>
      </w:r>
      <w:r w:rsidR="00877C91" w:rsidRPr="00A87EBC">
        <w:rPr>
          <w:rFonts w:eastAsia="Times New Roman" w:cstheme="minorHAnsi"/>
          <w:sz w:val="24"/>
          <w:szCs w:val="20"/>
          <w:lang w:val="en-GB" w:eastAsia="en-AU"/>
        </w:rPr>
        <w:t xml:space="preserve">ITU-R P.452-14 </w:t>
      </w:r>
      <w:r w:rsidR="007036EA" w:rsidRPr="00A87EBC">
        <w:rPr>
          <w:rFonts w:eastAsia="Times New Roman" w:cstheme="minorHAnsi"/>
          <w:sz w:val="24"/>
          <w:szCs w:val="20"/>
          <w:lang w:val="en-GB" w:eastAsia="en-AU"/>
        </w:rPr>
        <w:t>need not be implemented.</w:t>
      </w:r>
      <w:r w:rsidR="00A344D9" w:rsidRPr="00A87EBC">
        <w:rPr>
          <w:rFonts w:eastAsia="Times New Roman" w:cstheme="minorHAnsi"/>
          <w:sz w:val="24"/>
          <w:szCs w:val="20"/>
          <w:lang w:val="en-GB" w:eastAsia="en-AU"/>
        </w:rPr>
        <w:t xml:space="preserve"> </w:t>
      </w:r>
    </w:p>
    <w:p w:rsidR="00A87EBC" w:rsidRPr="00A87EBC" w:rsidRDefault="00A87EBC" w:rsidP="00A87EBC">
      <w:pPr>
        <w:widowControl w:val="0"/>
        <w:spacing w:after="0" w:line="240" w:lineRule="auto"/>
        <w:rPr>
          <w:rFonts w:eastAsia="Times New Roman" w:cstheme="minorHAnsi"/>
          <w:sz w:val="24"/>
          <w:szCs w:val="20"/>
          <w:lang w:val="en-GB" w:eastAsia="en-AU"/>
        </w:rPr>
      </w:pPr>
    </w:p>
    <w:p w:rsidR="0083797F" w:rsidRPr="00A87EBC" w:rsidRDefault="007C5DE6" w:rsidP="00A87EBC">
      <w:pPr>
        <w:widowControl w:val="0"/>
        <w:spacing w:after="0" w:line="240" w:lineRule="auto"/>
        <w:rPr>
          <w:rFonts w:eastAsia="Times New Roman" w:cstheme="minorHAnsi"/>
          <w:sz w:val="24"/>
          <w:szCs w:val="20"/>
          <w:lang w:val="en-GB" w:eastAsia="en-AU"/>
        </w:rPr>
      </w:pPr>
      <w:r w:rsidRPr="00A87EBC">
        <w:rPr>
          <w:rFonts w:eastAsia="Times New Roman" w:cstheme="minorHAnsi"/>
          <w:sz w:val="24"/>
          <w:szCs w:val="20"/>
          <w:lang w:val="en-GB" w:eastAsia="en-AU"/>
        </w:rPr>
        <w:t>A 9</w:t>
      </w:r>
      <w:r w:rsidR="002A2AC4" w:rsidRPr="00A87EBC">
        <w:rPr>
          <w:rFonts w:eastAsia="Times New Roman" w:cstheme="minorHAnsi"/>
          <w:sz w:val="24"/>
          <w:szCs w:val="20"/>
          <w:lang w:val="en-GB" w:eastAsia="en-AU"/>
        </w:rPr>
        <w:t> </w:t>
      </w:r>
      <w:r w:rsidRPr="00A87EBC">
        <w:rPr>
          <w:rFonts w:eastAsia="Times New Roman" w:cstheme="minorHAnsi"/>
          <w:sz w:val="24"/>
          <w:szCs w:val="20"/>
          <w:lang w:val="en-GB" w:eastAsia="en-AU"/>
        </w:rPr>
        <w:t xml:space="preserve">second digital elevation model (such as </w:t>
      </w:r>
      <w:proofErr w:type="spellStart"/>
      <w:r w:rsidRPr="00A87EBC">
        <w:rPr>
          <w:rFonts w:eastAsia="Times New Roman" w:cstheme="minorHAnsi"/>
          <w:sz w:val="24"/>
          <w:szCs w:val="20"/>
          <w:lang w:val="en-GB" w:eastAsia="en-AU"/>
        </w:rPr>
        <w:t>RadDEM</w:t>
      </w:r>
      <w:proofErr w:type="spellEnd"/>
      <w:r w:rsidRPr="00A87EBC">
        <w:rPr>
          <w:rFonts w:eastAsia="Times New Roman" w:cstheme="minorHAnsi"/>
          <w:sz w:val="24"/>
          <w:szCs w:val="20"/>
          <w:lang w:val="en-GB" w:eastAsia="en-AU"/>
        </w:rPr>
        <w:t>) or better should be used.</w:t>
      </w:r>
      <w:r w:rsidR="000D7262" w:rsidRPr="00A87EBC">
        <w:rPr>
          <w:rFonts w:eastAsia="Times New Roman" w:cstheme="minorHAnsi"/>
          <w:sz w:val="24"/>
          <w:szCs w:val="20"/>
          <w:lang w:val="en-GB" w:eastAsia="en-AU"/>
        </w:rPr>
        <w:t xml:space="preserve">  </w:t>
      </w:r>
    </w:p>
    <w:p w:rsidR="00412CEB" w:rsidRDefault="00412CEB" w:rsidP="000972D9">
      <w:pPr>
        <w:rPr>
          <w:b/>
          <w:bCs/>
        </w:rPr>
      </w:pPr>
    </w:p>
    <w:p w:rsidR="00C67569" w:rsidRPr="00C67569" w:rsidRDefault="00C67569" w:rsidP="000972D9">
      <w:pPr>
        <w:rPr>
          <w:b/>
        </w:rPr>
      </w:pPr>
      <w:r>
        <w:rPr>
          <w:b/>
          <w:bCs/>
        </w:rPr>
        <w:t>Table 2</w:t>
      </w:r>
      <w:r w:rsidRPr="00E34902">
        <w:rPr>
          <w:b/>
          <w:bCs/>
        </w:rPr>
        <w:t xml:space="preserve">: </w:t>
      </w:r>
      <w:r>
        <w:rPr>
          <w:b/>
          <w:bCs/>
        </w:rPr>
        <w:t>Coordination Parameters</w:t>
      </w:r>
      <w:r w:rsidRPr="00267D01">
        <w:rPr>
          <w:b/>
        </w:rPr>
        <w:t>.</w:t>
      </w:r>
    </w:p>
    <w:tbl>
      <w:tblPr>
        <w:tblW w:w="0" w:type="auto"/>
        <w:jc w:val="center"/>
        <w:tblBorders>
          <w:top w:val="single" w:sz="4" w:space="0" w:color="auto"/>
          <w:left w:val="single" w:sz="12" w:space="0" w:color="auto"/>
          <w:bottom w:val="single" w:sz="4" w:space="0" w:color="auto"/>
          <w:right w:val="single" w:sz="12" w:space="0" w:color="auto"/>
          <w:insideH w:val="single" w:sz="6" w:space="0" w:color="000000"/>
          <w:insideV w:val="single" w:sz="6" w:space="0" w:color="000000"/>
        </w:tblBorders>
        <w:tblLayout w:type="fixed"/>
        <w:tblLook w:val="0020"/>
      </w:tblPr>
      <w:tblGrid>
        <w:gridCol w:w="2943"/>
        <w:gridCol w:w="2209"/>
        <w:gridCol w:w="2209"/>
      </w:tblGrid>
      <w:tr w:rsidR="00877C91" w:rsidRPr="009E62D2" w:rsidTr="00877C91">
        <w:trPr>
          <w:jc w:val="center"/>
        </w:trPr>
        <w:tc>
          <w:tcPr>
            <w:tcW w:w="2943" w:type="dxa"/>
            <w:shd w:val="clear" w:color="auto" w:fill="FFFF99"/>
          </w:tcPr>
          <w:p w:rsidR="00877C91" w:rsidRPr="009E62D2" w:rsidRDefault="00877C91" w:rsidP="00412CEB">
            <w:pPr>
              <w:spacing w:after="0"/>
              <w:jc w:val="center"/>
              <w:rPr>
                <w:b/>
                <w:bCs/>
                <w:sz w:val="24"/>
              </w:rPr>
            </w:pPr>
          </w:p>
        </w:tc>
        <w:tc>
          <w:tcPr>
            <w:tcW w:w="2209" w:type="dxa"/>
            <w:shd w:val="clear" w:color="auto" w:fill="FFFF99"/>
          </w:tcPr>
          <w:p w:rsidR="00877C91" w:rsidRPr="009E62D2" w:rsidRDefault="00877C91" w:rsidP="00412CEB">
            <w:pPr>
              <w:spacing w:after="0"/>
              <w:jc w:val="center"/>
              <w:rPr>
                <w:b/>
                <w:bCs/>
                <w:sz w:val="24"/>
              </w:rPr>
            </w:pPr>
            <w:r w:rsidRPr="009E62D2">
              <w:rPr>
                <w:b/>
                <w:bCs/>
                <w:sz w:val="24"/>
              </w:rPr>
              <w:t>New Norcia</w:t>
            </w:r>
          </w:p>
        </w:tc>
        <w:tc>
          <w:tcPr>
            <w:tcW w:w="2209" w:type="dxa"/>
            <w:shd w:val="clear" w:color="auto" w:fill="FFFF99"/>
          </w:tcPr>
          <w:p w:rsidR="00877C91" w:rsidRPr="009E62D2" w:rsidRDefault="00877C91" w:rsidP="00412CEB">
            <w:pPr>
              <w:spacing w:after="0"/>
              <w:jc w:val="center"/>
              <w:rPr>
                <w:b/>
                <w:bCs/>
                <w:sz w:val="24"/>
              </w:rPr>
            </w:pPr>
            <w:r w:rsidRPr="009E62D2">
              <w:rPr>
                <w:b/>
                <w:bCs/>
                <w:sz w:val="24"/>
              </w:rPr>
              <w:t>Mingenew</w:t>
            </w:r>
          </w:p>
        </w:tc>
      </w:tr>
      <w:tr w:rsidR="00877C91" w:rsidRPr="009E62D2" w:rsidTr="00BC682B">
        <w:trPr>
          <w:trHeight w:val="255"/>
          <w:jc w:val="center"/>
        </w:trPr>
        <w:tc>
          <w:tcPr>
            <w:tcW w:w="2943" w:type="dxa"/>
            <w:noWrap/>
            <w:vAlign w:val="center"/>
          </w:tcPr>
          <w:p w:rsidR="00175A88" w:rsidRPr="009E62D2" w:rsidRDefault="00877C91" w:rsidP="00412CEB">
            <w:pPr>
              <w:spacing w:after="0"/>
              <w:jc w:val="center"/>
              <w:rPr>
                <w:b/>
                <w:sz w:val="24"/>
              </w:rPr>
            </w:pPr>
            <w:r w:rsidRPr="009E62D2">
              <w:rPr>
                <w:b/>
                <w:sz w:val="24"/>
              </w:rPr>
              <w:t>Centre Point Latitude (º)</w:t>
            </w:r>
          </w:p>
        </w:tc>
        <w:tc>
          <w:tcPr>
            <w:tcW w:w="2209" w:type="dxa"/>
            <w:vAlign w:val="center"/>
          </w:tcPr>
          <w:p w:rsidR="00175A88" w:rsidRPr="009E62D2" w:rsidRDefault="00877C91" w:rsidP="00412CEB">
            <w:pPr>
              <w:spacing w:after="0"/>
              <w:jc w:val="center"/>
              <w:rPr>
                <w:sz w:val="24"/>
                <w:lang w:eastAsia="ja-JP"/>
              </w:rPr>
            </w:pPr>
            <w:r w:rsidRPr="009E62D2">
              <w:rPr>
                <w:sz w:val="24"/>
                <w:lang w:eastAsia="ja-JP"/>
              </w:rPr>
              <w:t>-31.0482</w:t>
            </w:r>
          </w:p>
        </w:tc>
        <w:tc>
          <w:tcPr>
            <w:tcW w:w="2209" w:type="dxa"/>
            <w:vAlign w:val="center"/>
          </w:tcPr>
          <w:p w:rsidR="00175A88" w:rsidRPr="009E62D2" w:rsidRDefault="00877C91" w:rsidP="00412CEB">
            <w:pPr>
              <w:spacing w:after="0"/>
              <w:jc w:val="center"/>
              <w:rPr>
                <w:sz w:val="24"/>
                <w:lang w:eastAsia="ja-JP"/>
              </w:rPr>
            </w:pPr>
            <w:r w:rsidRPr="009E62D2">
              <w:rPr>
                <w:sz w:val="24"/>
                <w:lang w:eastAsia="ja-JP"/>
              </w:rPr>
              <w:t>-29.0462</w:t>
            </w:r>
          </w:p>
        </w:tc>
      </w:tr>
      <w:tr w:rsidR="00877C91" w:rsidRPr="009E62D2" w:rsidTr="00BC682B">
        <w:trPr>
          <w:trHeight w:val="255"/>
          <w:jc w:val="center"/>
        </w:trPr>
        <w:tc>
          <w:tcPr>
            <w:tcW w:w="2943" w:type="dxa"/>
            <w:noWrap/>
            <w:vAlign w:val="center"/>
          </w:tcPr>
          <w:p w:rsidR="00175A88" w:rsidRPr="009E62D2" w:rsidRDefault="00877C91" w:rsidP="00412CEB">
            <w:pPr>
              <w:spacing w:after="0"/>
              <w:jc w:val="center"/>
              <w:rPr>
                <w:b/>
                <w:sz w:val="24"/>
              </w:rPr>
            </w:pPr>
            <w:r w:rsidRPr="009E62D2">
              <w:rPr>
                <w:b/>
                <w:sz w:val="24"/>
              </w:rPr>
              <w:t>Centre Point Longitude (º)</w:t>
            </w:r>
          </w:p>
        </w:tc>
        <w:tc>
          <w:tcPr>
            <w:tcW w:w="2209" w:type="dxa"/>
            <w:vAlign w:val="center"/>
          </w:tcPr>
          <w:p w:rsidR="00175A88" w:rsidRPr="009E62D2" w:rsidRDefault="00877C91" w:rsidP="00412CEB">
            <w:pPr>
              <w:spacing w:after="0"/>
              <w:jc w:val="center"/>
              <w:rPr>
                <w:sz w:val="24"/>
                <w:lang w:eastAsia="ja-JP"/>
              </w:rPr>
            </w:pPr>
            <w:r w:rsidRPr="009E62D2">
              <w:rPr>
                <w:sz w:val="24"/>
                <w:lang w:eastAsia="ja-JP"/>
              </w:rPr>
              <w:t>116.1915</w:t>
            </w:r>
          </w:p>
        </w:tc>
        <w:tc>
          <w:tcPr>
            <w:tcW w:w="2209" w:type="dxa"/>
            <w:vAlign w:val="center"/>
          </w:tcPr>
          <w:p w:rsidR="00175A88" w:rsidRPr="009E62D2" w:rsidRDefault="00877C91" w:rsidP="00412CEB">
            <w:pPr>
              <w:spacing w:after="0"/>
              <w:jc w:val="center"/>
              <w:rPr>
                <w:sz w:val="24"/>
                <w:lang w:eastAsia="ja-JP"/>
              </w:rPr>
            </w:pPr>
            <w:r w:rsidRPr="009E62D2">
              <w:rPr>
                <w:sz w:val="24"/>
                <w:lang w:eastAsia="ja-JP"/>
              </w:rPr>
              <w:t>115.3489</w:t>
            </w:r>
          </w:p>
        </w:tc>
      </w:tr>
      <w:tr w:rsidR="00877C91" w:rsidRPr="009E62D2" w:rsidTr="00BC682B">
        <w:trPr>
          <w:trHeight w:val="255"/>
          <w:jc w:val="center"/>
        </w:trPr>
        <w:tc>
          <w:tcPr>
            <w:tcW w:w="2943" w:type="dxa"/>
            <w:noWrap/>
            <w:vAlign w:val="center"/>
          </w:tcPr>
          <w:p w:rsidR="00653AF1" w:rsidRPr="009E62D2" w:rsidRDefault="009E473E" w:rsidP="00412CEB">
            <w:pPr>
              <w:spacing w:after="0"/>
              <w:jc w:val="center"/>
              <w:rPr>
                <w:b/>
                <w:sz w:val="24"/>
                <w:vertAlign w:val="subscript"/>
              </w:rPr>
            </w:pPr>
            <w:r w:rsidRPr="009E62D2">
              <w:rPr>
                <w:b/>
                <w:i/>
                <w:sz w:val="24"/>
              </w:rPr>
              <w:t>p</w:t>
            </w:r>
            <w:r w:rsidR="00877C91" w:rsidRPr="009E62D2">
              <w:rPr>
                <w:b/>
                <w:sz w:val="24"/>
              </w:rPr>
              <w:t>% time interference can be exceeded</w:t>
            </w:r>
          </w:p>
        </w:tc>
        <w:tc>
          <w:tcPr>
            <w:tcW w:w="2209" w:type="dxa"/>
            <w:vAlign w:val="center"/>
          </w:tcPr>
          <w:p w:rsidR="00653AF1" w:rsidRPr="009E62D2" w:rsidRDefault="00877C91" w:rsidP="00412CEB">
            <w:pPr>
              <w:spacing w:after="0"/>
              <w:jc w:val="center"/>
              <w:rPr>
                <w:sz w:val="24"/>
                <w:lang w:eastAsia="ja-JP"/>
              </w:rPr>
            </w:pPr>
            <w:r w:rsidRPr="009E62D2">
              <w:rPr>
                <w:sz w:val="24"/>
                <w:lang w:eastAsia="ja-JP"/>
              </w:rPr>
              <w:t>1%</w:t>
            </w:r>
          </w:p>
        </w:tc>
        <w:tc>
          <w:tcPr>
            <w:tcW w:w="2209" w:type="dxa"/>
            <w:vAlign w:val="center"/>
          </w:tcPr>
          <w:p w:rsidR="00653AF1" w:rsidRPr="009E62D2" w:rsidRDefault="00877C91" w:rsidP="00412CEB">
            <w:pPr>
              <w:spacing w:after="0"/>
              <w:jc w:val="center"/>
              <w:rPr>
                <w:sz w:val="24"/>
                <w:lang w:eastAsia="ja-JP"/>
              </w:rPr>
            </w:pPr>
            <w:r w:rsidRPr="009E62D2">
              <w:rPr>
                <w:sz w:val="24"/>
                <w:lang w:eastAsia="ja-JP"/>
              </w:rPr>
              <w:t>1%</w:t>
            </w:r>
          </w:p>
        </w:tc>
      </w:tr>
      <w:tr w:rsidR="00877C91" w:rsidRPr="009E62D2" w:rsidTr="00BC682B">
        <w:trPr>
          <w:trHeight w:val="255"/>
          <w:jc w:val="center"/>
        </w:trPr>
        <w:tc>
          <w:tcPr>
            <w:tcW w:w="2943" w:type="dxa"/>
            <w:noWrap/>
            <w:vAlign w:val="center"/>
          </w:tcPr>
          <w:p w:rsidR="00175A88" w:rsidRPr="009E62D2" w:rsidRDefault="00877C91" w:rsidP="00412CEB">
            <w:pPr>
              <w:spacing w:after="0"/>
              <w:jc w:val="center"/>
              <w:rPr>
                <w:b/>
                <w:sz w:val="24"/>
              </w:rPr>
            </w:pPr>
            <w:r w:rsidRPr="009E62D2">
              <w:rPr>
                <w:b/>
                <w:sz w:val="24"/>
              </w:rPr>
              <w:t>Minimum Elevation Angle</w:t>
            </w:r>
          </w:p>
        </w:tc>
        <w:tc>
          <w:tcPr>
            <w:tcW w:w="4418" w:type="dxa"/>
            <w:gridSpan w:val="2"/>
            <w:vAlign w:val="center"/>
          </w:tcPr>
          <w:p w:rsidR="00175A88" w:rsidRPr="009E62D2" w:rsidRDefault="00877C91" w:rsidP="00412CEB">
            <w:pPr>
              <w:spacing w:after="0"/>
              <w:jc w:val="center"/>
              <w:rPr>
                <w:sz w:val="24"/>
                <w:lang w:eastAsia="ja-JP"/>
              </w:rPr>
            </w:pPr>
            <w:r w:rsidRPr="009E62D2">
              <w:rPr>
                <w:sz w:val="24"/>
                <w:lang w:eastAsia="ja-JP"/>
              </w:rPr>
              <w:t>10º</w:t>
            </w:r>
          </w:p>
        </w:tc>
      </w:tr>
      <w:tr w:rsidR="00877C91" w:rsidRPr="009E62D2" w:rsidTr="0008532D">
        <w:trPr>
          <w:trHeight w:val="741"/>
          <w:jc w:val="center"/>
        </w:trPr>
        <w:tc>
          <w:tcPr>
            <w:tcW w:w="2943" w:type="dxa"/>
            <w:vMerge w:val="restart"/>
            <w:noWrap/>
            <w:vAlign w:val="center"/>
          </w:tcPr>
          <w:p w:rsidR="00877C91" w:rsidRPr="009E62D2" w:rsidRDefault="00877C91" w:rsidP="00412CEB">
            <w:pPr>
              <w:spacing w:after="0"/>
              <w:jc w:val="center"/>
              <w:rPr>
                <w:b/>
                <w:sz w:val="24"/>
              </w:rPr>
            </w:pPr>
            <w:r w:rsidRPr="009E62D2">
              <w:rPr>
                <w:b/>
                <w:sz w:val="24"/>
              </w:rPr>
              <w:t xml:space="preserve">Max. receive antenna gain along the interference path, </w:t>
            </w:r>
            <w:proofErr w:type="spellStart"/>
            <w:r w:rsidRPr="009E62D2">
              <w:rPr>
                <w:b/>
                <w:i/>
                <w:sz w:val="24"/>
              </w:rPr>
              <w:t>G</w:t>
            </w:r>
            <w:r w:rsidRPr="009E62D2">
              <w:rPr>
                <w:b/>
                <w:i/>
                <w:sz w:val="24"/>
                <w:vertAlign w:val="subscript"/>
              </w:rPr>
              <w:t>r</w:t>
            </w:r>
            <w:proofErr w:type="spellEnd"/>
            <w:r w:rsidRPr="009E62D2">
              <w:rPr>
                <w:b/>
                <w:sz w:val="24"/>
              </w:rPr>
              <w:t xml:space="preserve"> (</w:t>
            </w:r>
            <w:proofErr w:type="spellStart"/>
            <w:r w:rsidRPr="009E62D2">
              <w:rPr>
                <w:b/>
                <w:sz w:val="24"/>
              </w:rPr>
              <w:t>dBi</w:t>
            </w:r>
            <w:proofErr w:type="spellEnd"/>
            <w:r w:rsidRPr="009E62D2">
              <w:rPr>
                <w:b/>
                <w:sz w:val="24"/>
              </w:rPr>
              <w:t>)</w:t>
            </w:r>
          </w:p>
        </w:tc>
        <w:tc>
          <w:tcPr>
            <w:tcW w:w="4418" w:type="dxa"/>
            <w:gridSpan w:val="2"/>
            <w:tcBorders>
              <w:bottom w:val="single" w:sz="6" w:space="0" w:color="000000"/>
            </w:tcBorders>
            <w:shd w:val="clear" w:color="auto" w:fill="auto"/>
          </w:tcPr>
          <w:p w:rsidR="00175A88" w:rsidRPr="009E62D2" w:rsidRDefault="00877C91" w:rsidP="00412CEB">
            <w:pPr>
              <w:spacing w:after="0"/>
              <w:jc w:val="center"/>
              <w:rPr>
                <w:sz w:val="24"/>
                <w:lang w:eastAsia="ja-JP"/>
              </w:rPr>
            </w:pPr>
            <w:r w:rsidRPr="009E62D2">
              <w:rPr>
                <w:sz w:val="24"/>
                <w:lang w:eastAsia="ja-JP"/>
              </w:rPr>
              <w:t xml:space="preserve">Determined from the antenna pattern defined in </w:t>
            </w:r>
            <w:r w:rsidR="009972BC" w:rsidRPr="009E62D2">
              <w:rPr>
                <w:sz w:val="24"/>
                <w:lang w:eastAsia="ja-JP"/>
              </w:rPr>
              <w:t>Annex</w:t>
            </w:r>
            <w:r w:rsidRPr="009E62D2">
              <w:rPr>
                <w:sz w:val="24"/>
                <w:lang w:eastAsia="ja-JP"/>
              </w:rPr>
              <w:t xml:space="preserve"> </w:t>
            </w:r>
            <w:r w:rsidR="00BC682B" w:rsidRPr="009E62D2">
              <w:rPr>
                <w:sz w:val="24"/>
                <w:lang w:eastAsia="ja-JP"/>
              </w:rPr>
              <w:t>2</w:t>
            </w:r>
            <w:r w:rsidRPr="009E62D2">
              <w:rPr>
                <w:sz w:val="24"/>
                <w:lang w:eastAsia="ja-JP"/>
              </w:rPr>
              <w:t xml:space="preserve"> of th</w:t>
            </w:r>
            <w:r w:rsidR="00BC682B" w:rsidRPr="009E62D2">
              <w:rPr>
                <w:sz w:val="24"/>
                <w:lang w:eastAsia="ja-JP"/>
              </w:rPr>
              <w:t>is RALI</w:t>
            </w:r>
          </w:p>
          <w:p w:rsidR="00653AF1" w:rsidRPr="009E62D2" w:rsidRDefault="00877C91" w:rsidP="00412CEB">
            <w:pPr>
              <w:spacing w:after="0"/>
              <w:jc w:val="center"/>
              <w:rPr>
                <w:sz w:val="24"/>
                <w:lang w:eastAsia="ja-JP"/>
              </w:rPr>
            </w:pPr>
            <w:r w:rsidRPr="009E62D2">
              <w:rPr>
                <w:sz w:val="24"/>
                <w:lang w:eastAsia="ja-JP"/>
              </w:rPr>
              <w:t xml:space="preserve"> </w:t>
            </w:r>
            <w:r w:rsidRPr="009E62D2">
              <w:rPr>
                <w:i/>
                <w:sz w:val="24"/>
                <w:lang w:eastAsia="ja-JP"/>
              </w:rPr>
              <w:t>φ</w:t>
            </w:r>
            <w:r w:rsidRPr="009E62D2">
              <w:rPr>
                <w:sz w:val="24"/>
                <w:lang w:eastAsia="ja-JP"/>
              </w:rPr>
              <w:t xml:space="preserve"> = max((10º – </w:t>
            </w:r>
            <w:proofErr w:type="spellStart"/>
            <w:r w:rsidRPr="009E62D2">
              <w:rPr>
                <w:rFonts w:cs="Calibri"/>
                <w:i/>
                <w:sz w:val="24"/>
                <w:lang w:eastAsia="ja-JP"/>
              </w:rPr>
              <w:t>ε</w:t>
            </w:r>
            <w:r w:rsidRPr="009E62D2">
              <w:rPr>
                <w:i/>
                <w:sz w:val="24"/>
                <w:vertAlign w:val="subscript"/>
                <w:lang w:eastAsia="ja-JP"/>
              </w:rPr>
              <w:t>h</w:t>
            </w:r>
            <w:proofErr w:type="spellEnd"/>
            <w:r w:rsidRPr="009E62D2">
              <w:rPr>
                <w:i/>
                <w:sz w:val="24"/>
                <w:vertAlign w:val="subscript"/>
                <w:lang w:eastAsia="ja-JP"/>
              </w:rPr>
              <w:t xml:space="preserve"> </w:t>
            </w:r>
            <w:r w:rsidRPr="009E62D2">
              <w:rPr>
                <w:sz w:val="24"/>
                <w:lang w:eastAsia="ja-JP"/>
              </w:rPr>
              <w:t>(</w:t>
            </w:r>
            <w:r w:rsidRPr="009E62D2">
              <w:rPr>
                <w:i/>
                <w:sz w:val="24"/>
                <w:lang w:eastAsia="ja-JP"/>
              </w:rPr>
              <w:t>α</w:t>
            </w:r>
            <w:r w:rsidRPr="009E62D2">
              <w:rPr>
                <w:sz w:val="24"/>
                <w:lang w:eastAsia="ja-JP"/>
              </w:rPr>
              <w:t>)), 0) [Notes 1]</w:t>
            </w:r>
          </w:p>
        </w:tc>
      </w:tr>
      <w:tr w:rsidR="00877C91" w:rsidRPr="009E62D2" w:rsidTr="0008532D">
        <w:trPr>
          <w:trHeight w:val="740"/>
          <w:jc w:val="center"/>
        </w:trPr>
        <w:tc>
          <w:tcPr>
            <w:tcW w:w="2943" w:type="dxa"/>
            <w:vMerge/>
            <w:noWrap/>
            <w:vAlign w:val="center"/>
          </w:tcPr>
          <w:p w:rsidR="00877C91" w:rsidRPr="009E62D2" w:rsidRDefault="00877C91" w:rsidP="00412CEB">
            <w:pPr>
              <w:spacing w:after="0"/>
              <w:jc w:val="center"/>
              <w:rPr>
                <w:b/>
                <w:sz w:val="24"/>
              </w:rPr>
            </w:pPr>
          </w:p>
        </w:tc>
        <w:tc>
          <w:tcPr>
            <w:tcW w:w="2209" w:type="dxa"/>
            <w:tcBorders>
              <w:top w:val="single" w:sz="6" w:space="0" w:color="000000"/>
              <w:bottom w:val="single" w:sz="6" w:space="0" w:color="000000"/>
            </w:tcBorders>
            <w:shd w:val="clear" w:color="auto" w:fill="auto"/>
          </w:tcPr>
          <w:p w:rsidR="00653AF1" w:rsidRPr="009E62D2" w:rsidRDefault="00877C91" w:rsidP="00412CEB">
            <w:pPr>
              <w:spacing w:after="0"/>
              <w:jc w:val="center"/>
              <w:rPr>
                <w:sz w:val="24"/>
                <w:lang w:eastAsia="ja-JP"/>
              </w:rPr>
            </w:pPr>
            <w:proofErr w:type="spellStart"/>
            <w:r w:rsidRPr="009E62D2">
              <w:rPr>
                <w:i/>
                <w:sz w:val="24"/>
                <w:lang w:eastAsia="ja-JP"/>
              </w:rPr>
              <w:t>G</w:t>
            </w:r>
            <w:r w:rsidRPr="009E62D2">
              <w:rPr>
                <w:i/>
                <w:sz w:val="24"/>
                <w:vertAlign w:val="subscript"/>
                <w:lang w:eastAsia="ja-JP"/>
              </w:rPr>
              <w:t>amax</w:t>
            </w:r>
            <w:proofErr w:type="spellEnd"/>
            <w:r w:rsidRPr="009E62D2">
              <w:rPr>
                <w:sz w:val="24"/>
                <w:lang w:eastAsia="ja-JP"/>
              </w:rPr>
              <w:t xml:space="preserve"> = 5</w:t>
            </w:r>
            <w:r w:rsidR="006420E5" w:rsidRPr="009E62D2">
              <w:rPr>
                <w:sz w:val="24"/>
                <w:lang w:eastAsia="ja-JP"/>
              </w:rPr>
              <w:t>6</w:t>
            </w:r>
            <w:r w:rsidRPr="009E62D2">
              <w:rPr>
                <w:sz w:val="24"/>
                <w:lang w:eastAsia="ja-JP"/>
              </w:rPr>
              <w:t xml:space="preserve"> dB</w:t>
            </w:r>
            <w:r w:rsidRPr="009E62D2">
              <w:rPr>
                <w:sz w:val="24"/>
                <w:lang w:eastAsia="ja-JP"/>
              </w:rPr>
              <w:br/>
            </w:r>
            <w:r w:rsidRPr="009E62D2">
              <w:rPr>
                <w:i/>
                <w:sz w:val="24"/>
                <w:lang w:eastAsia="ja-JP"/>
              </w:rPr>
              <w:t>D</w:t>
            </w:r>
            <w:r w:rsidRPr="009E62D2">
              <w:rPr>
                <w:sz w:val="24"/>
                <w:lang w:eastAsia="ja-JP"/>
              </w:rPr>
              <w:t>/</w:t>
            </w:r>
            <w:r w:rsidRPr="009E62D2">
              <w:rPr>
                <w:i/>
                <w:sz w:val="24"/>
                <w:lang w:eastAsia="ja-JP"/>
              </w:rPr>
              <w:t>λ</w:t>
            </w:r>
            <w:r w:rsidRPr="009E62D2">
              <w:rPr>
                <w:sz w:val="24"/>
                <w:lang w:eastAsia="ja-JP"/>
              </w:rPr>
              <w:t xml:space="preserve"> = 270</w:t>
            </w:r>
            <w:r w:rsidRPr="009E62D2">
              <w:rPr>
                <w:sz w:val="24"/>
                <w:lang w:eastAsia="ja-JP"/>
              </w:rPr>
              <w:br/>
              <w:t xml:space="preserve">[Note </w:t>
            </w:r>
            <w:r w:rsidR="00BC682B" w:rsidRPr="009E62D2">
              <w:rPr>
                <w:sz w:val="24"/>
                <w:lang w:eastAsia="ja-JP"/>
              </w:rPr>
              <w:t>2</w:t>
            </w:r>
            <w:r w:rsidRPr="009E62D2">
              <w:rPr>
                <w:sz w:val="24"/>
                <w:lang w:eastAsia="ja-JP"/>
              </w:rPr>
              <w:t>]</w:t>
            </w:r>
          </w:p>
        </w:tc>
        <w:tc>
          <w:tcPr>
            <w:tcW w:w="2209" w:type="dxa"/>
            <w:tcBorders>
              <w:top w:val="single" w:sz="6" w:space="0" w:color="000000"/>
              <w:bottom w:val="single" w:sz="6" w:space="0" w:color="000000"/>
            </w:tcBorders>
            <w:shd w:val="clear" w:color="auto" w:fill="auto"/>
          </w:tcPr>
          <w:p w:rsidR="00653AF1" w:rsidRPr="009E62D2" w:rsidRDefault="00877C91" w:rsidP="00412CEB">
            <w:pPr>
              <w:spacing w:after="0"/>
              <w:jc w:val="center"/>
              <w:rPr>
                <w:sz w:val="24"/>
                <w:lang w:eastAsia="ja-JP"/>
              </w:rPr>
            </w:pPr>
            <w:proofErr w:type="spellStart"/>
            <w:r w:rsidRPr="009E62D2">
              <w:rPr>
                <w:i/>
                <w:sz w:val="24"/>
                <w:lang w:eastAsia="ja-JP"/>
              </w:rPr>
              <w:t>G</w:t>
            </w:r>
            <w:r w:rsidRPr="009E62D2">
              <w:rPr>
                <w:i/>
                <w:sz w:val="24"/>
                <w:vertAlign w:val="subscript"/>
                <w:lang w:eastAsia="ja-JP"/>
              </w:rPr>
              <w:t>amax</w:t>
            </w:r>
            <w:proofErr w:type="spellEnd"/>
            <w:r w:rsidRPr="009E62D2">
              <w:rPr>
                <w:sz w:val="24"/>
                <w:lang w:eastAsia="ja-JP"/>
              </w:rPr>
              <w:t xml:space="preserve"> = 46 dB</w:t>
            </w:r>
            <w:r w:rsidRPr="009E62D2">
              <w:rPr>
                <w:sz w:val="24"/>
                <w:lang w:eastAsia="ja-JP"/>
              </w:rPr>
              <w:br/>
            </w:r>
            <w:r w:rsidRPr="009E62D2">
              <w:rPr>
                <w:i/>
                <w:sz w:val="24"/>
                <w:lang w:eastAsia="ja-JP"/>
              </w:rPr>
              <w:t>D</w:t>
            </w:r>
            <w:r w:rsidRPr="009E62D2">
              <w:rPr>
                <w:sz w:val="24"/>
                <w:lang w:eastAsia="ja-JP"/>
              </w:rPr>
              <w:t>/</w:t>
            </w:r>
            <w:r w:rsidRPr="009E62D2">
              <w:rPr>
                <w:i/>
                <w:sz w:val="24"/>
                <w:lang w:eastAsia="ja-JP"/>
              </w:rPr>
              <w:t>λ</w:t>
            </w:r>
            <w:r w:rsidRPr="009E62D2">
              <w:rPr>
                <w:sz w:val="24"/>
                <w:lang w:eastAsia="ja-JP"/>
              </w:rPr>
              <w:t xml:space="preserve"> = 100</w:t>
            </w:r>
            <w:r w:rsidRPr="009E62D2">
              <w:rPr>
                <w:sz w:val="24"/>
                <w:lang w:eastAsia="ja-JP"/>
              </w:rPr>
              <w:br/>
              <w:t xml:space="preserve">[Note </w:t>
            </w:r>
            <w:r w:rsidR="00BC682B" w:rsidRPr="009E62D2">
              <w:rPr>
                <w:sz w:val="24"/>
                <w:lang w:eastAsia="ja-JP"/>
              </w:rPr>
              <w:t>2</w:t>
            </w:r>
            <w:r w:rsidRPr="009E62D2">
              <w:rPr>
                <w:sz w:val="24"/>
                <w:lang w:eastAsia="ja-JP"/>
              </w:rPr>
              <w:t>]</w:t>
            </w:r>
          </w:p>
        </w:tc>
      </w:tr>
      <w:tr w:rsidR="00877C91" w:rsidRPr="009E62D2" w:rsidTr="00A35E84">
        <w:trPr>
          <w:trHeight w:val="255"/>
          <w:jc w:val="center"/>
        </w:trPr>
        <w:tc>
          <w:tcPr>
            <w:tcW w:w="2943" w:type="dxa"/>
            <w:noWrap/>
            <w:vAlign w:val="center"/>
          </w:tcPr>
          <w:p w:rsidR="00175A88" w:rsidRPr="009E62D2" w:rsidRDefault="00877C91" w:rsidP="00412CEB">
            <w:pPr>
              <w:spacing w:after="0"/>
              <w:jc w:val="center"/>
              <w:rPr>
                <w:b/>
                <w:sz w:val="24"/>
              </w:rPr>
            </w:pPr>
            <w:r w:rsidRPr="009E62D2">
              <w:rPr>
                <w:b/>
                <w:sz w:val="24"/>
              </w:rPr>
              <w:t>Antenna height (m)</w:t>
            </w:r>
          </w:p>
        </w:tc>
        <w:tc>
          <w:tcPr>
            <w:tcW w:w="4418" w:type="dxa"/>
            <w:gridSpan w:val="2"/>
            <w:tcBorders>
              <w:top w:val="single" w:sz="6" w:space="0" w:color="000000"/>
            </w:tcBorders>
          </w:tcPr>
          <w:p w:rsidR="00175A88" w:rsidRPr="009E62D2" w:rsidRDefault="00877C91" w:rsidP="00412CEB">
            <w:pPr>
              <w:spacing w:after="0"/>
              <w:jc w:val="center"/>
              <w:rPr>
                <w:sz w:val="24"/>
                <w:lang w:eastAsia="ja-JP"/>
              </w:rPr>
            </w:pPr>
            <w:r w:rsidRPr="009E62D2">
              <w:rPr>
                <w:sz w:val="24"/>
                <w:lang w:eastAsia="ja-JP"/>
              </w:rPr>
              <w:t>22.5</w:t>
            </w:r>
          </w:p>
        </w:tc>
      </w:tr>
    </w:tbl>
    <w:p w:rsidR="00412CEB" w:rsidRDefault="00412CEB" w:rsidP="00471BD7">
      <w:pPr>
        <w:ind w:left="720" w:hanging="720"/>
        <w:rPr>
          <w:sz w:val="20"/>
        </w:rPr>
      </w:pPr>
    </w:p>
    <w:p w:rsidR="00B36B03" w:rsidRDefault="00B36B03" w:rsidP="00471BD7">
      <w:pPr>
        <w:ind w:left="720" w:hanging="720"/>
        <w:rPr>
          <w:sz w:val="20"/>
        </w:rPr>
      </w:pPr>
      <w:r w:rsidRPr="00B36B03">
        <w:rPr>
          <w:sz w:val="20"/>
        </w:rPr>
        <w:t>Note</w:t>
      </w:r>
      <w:r w:rsidR="00C109E9">
        <w:rPr>
          <w:sz w:val="20"/>
        </w:rPr>
        <w:t xml:space="preserve"> 1:</w:t>
      </w:r>
      <w:r>
        <w:rPr>
          <w:sz w:val="20"/>
        </w:rPr>
        <w:t xml:space="preserve"> </w:t>
      </w:r>
      <w:r w:rsidR="00471BD7">
        <w:rPr>
          <w:sz w:val="20"/>
        </w:rPr>
        <w:tab/>
        <w:t>M</w:t>
      </w:r>
      <w:r>
        <w:rPr>
          <w:sz w:val="20"/>
        </w:rPr>
        <w:t xml:space="preserve">inimum earth station antenna elevation angle </w:t>
      </w:r>
      <w:r w:rsidR="00C109E9">
        <w:rPr>
          <w:sz w:val="20"/>
        </w:rPr>
        <w:t>is</w:t>
      </w:r>
      <w:r>
        <w:rPr>
          <w:sz w:val="20"/>
        </w:rPr>
        <w:t xml:space="preserve"> 10º for the space research service (deep space) </w:t>
      </w:r>
      <w:r w:rsidR="00C109E9">
        <w:rPr>
          <w:sz w:val="20"/>
        </w:rPr>
        <w:t>according to</w:t>
      </w:r>
      <w:r>
        <w:rPr>
          <w:sz w:val="20"/>
        </w:rPr>
        <w:t xml:space="preserve"> Article 21.15 of the ITU-R Radio Regulations</w:t>
      </w:r>
      <w:r w:rsidR="00C109E9">
        <w:rPr>
          <w:sz w:val="20"/>
        </w:rPr>
        <w:t>.</w:t>
      </w:r>
    </w:p>
    <w:p w:rsidR="00D945C7" w:rsidRDefault="00102060" w:rsidP="0009118E">
      <w:pPr>
        <w:ind w:left="720" w:hanging="720"/>
        <w:rPr>
          <w:sz w:val="20"/>
        </w:rPr>
      </w:pPr>
      <w:r>
        <w:rPr>
          <w:sz w:val="20"/>
        </w:rPr>
        <w:t xml:space="preserve">Note </w:t>
      </w:r>
      <w:r w:rsidR="00BC682B">
        <w:rPr>
          <w:sz w:val="20"/>
        </w:rPr>
        <w:t>2</w:t>
      </w:r>
      <w:r>
        <w:rPr>
          <w:sz w:val="20"/>
        </w:rPr>
        <w:t xml:space="preserve">: </w:t>
      </w:r>
      <w:r w:rsidR="00471BD7">
        <w:rPr>
          <w:sz w:val="20"/>
        </w:rPr>
        <w:tab/>
        <w:t>T</w:t>
      </w:r>
      <w:r w:rsidR="00C109E9">
        <w:rPr>
          <w:sz w:val="20"/>
        </w:rPr>
        <w:t xml:space="preserve">hese values are based on </w:t>
      </w:r>
      <w:r w:rsidR="00B36B03">
        <w:rPr>
          <w:sz w:val="20"/>
        </w:rPr>
        <w:t>antenna gain and size as recorded in the ACMA’s Register of Radiocommunications Licences</w:t>
      </w:r>
      <w:r w:rsidR="00393021">
        <w:rPr>
          <w:sz w:val="20"/>
        </w:rPr>
        <w:t xml:space="preserve"> for earth stations at New Norcia and Mingenew</w:t>
      </w:r>
      <w:r w:rsidR="0009118E">
        <w:rPr>
          <w:sz w:val="20"/>
        </w:rPr>
        <w:t>.</w:t>
      </w:r>
    </w:p>
    <w:p w:rsidR="0009118E" w:rsidRDefault="0009118E" w:rsidP="0009118E">
      <w:pPr>
        <w:ind w:left="720" w:hanging="720"/>
        <w:rPr>
          <w:sz w:val="20"/>
        </w:rPr>
      </w:pPr>
    </w:p>
    <w:p w:rsidR="0009118E" w:rsidRDefault="0009118E" w:rsidP="0009118E">
      <w:pPr>
        <w:ind w:left="720" w:hanging="720"/>
        <w:rPr>
          <w:sz w:val="20"/>
        </w:rPr>
      </w:pPr>
    </w:p>
    <w:p w:rsidR="0009118E" w:rsidRDefault="0009118E" w:rsidP="0009118E">
      <w:pPr>
        <w:ind w:left="720" w:hanging="720"/>
        <w:rPr>
          <w:b/>
        </w:rPr>
      </w:pPr>
    </w:p>
    <w:p w:rsidR="00E24598" w:rsidRDefault="00E24598">
      <w:pPr>
        <w:spacing w:after="240"/>
        <w:jc w:val="center"/>
        <w:rPr>
          <w:b/>
          <w:bCs/>
        </w:rPr>
      </w:pPr>
    </w:p>
    <w:p w:rsidR="00E24598" w:rsidRDefault="00E24598">
      <w:pPr>
        <w:spacing w:after="240"/>
        <w:jc w:val="center"/>
        <w:rPr>
          <w:b/>
          <w:bCs/>
        </w:rPr>
      </w:pPr>
    </w:p>
    <w:p w:rsidR="00E24598" w:rsidRDefault="00E24598">
      <w:pPr>
        <w:spacing w:after="240"/>
        <w:jc w:val="center"/>
        <w:rPr>
          <w:b/>
          <w:bCs/>
        </w:rPr>
      </w:pPr>
    </w:p>
    <w:p w:rsidR="00E24598" w:rsidRDefault="00E24598">
      <w:pPr>
        <w:spacing w:after="240"/>
        <w:jc w:val="center"/>
        <w:rPr>
          <w:b/>
          <w:bCs/>
        </w:rPr>
      </w:pPr>
    </w:p>
    <w:p w:rsidR="00E24598" w:rsidRDefault="00E24598">
      <w:pPr>
        <w:spacing w:after="240"/>
        <w:jc w:val="center"/>
        <w:rPr>
          <w:b/>
          <w:bCs/>
        </w:rPr>
      </w:pPr>
    </w:p>
    <w:p w:rsidR="00BC682B" w:rsidRDefault="00BC682B">
      <w:pPr>
        <w:spacing w:after="240"/>
        <w:jc w:val="center"/>
        <w:rPr>
          <w:b/>
          <w:bCs/>
        </w:rPr>
      </w:pPr>
    </w:p>
    <w:p w:rsidR="00BC682B" w:rsidRDefault="00BC682B">
      <w:pPr>
        <w:spacing w:after="240"/>
        <w:jc w:val="center"/>
        <w:rPr>
          <w:b/>
          <w:bCs/>
        </w:rPr>
      </w:pPr>
    </w:p>
    <w:p w:rsidR="0009118E" w:rsidRDefault="0009118E">
      <w:pPr>
        <w:spacing w:after="240"/>
        <w:jc w:val="center"/>
        <w:rPr>
          <w:b/>
          <w:bCs/>
        </w:rPr>
      </w:pPr>
    </w:p>
    <w:p w:rsidR="0009118E" w:rsidRDefault="0009118E">
      <w:pPr>
        <w:spacing w:after="240"/>
        <w:jc w:val="center"/>
        <w:rPr>
          <w:b/>
          <w:bCs/>
        </w:rPr>
      </w:pPr>
    </w:p>
    <w:p w:rsidR="00914689" w:rsidRDefault="00C67569" w:rsidP="000972D9">
      <w:pPr>
        <w:spacing w:after="240"/>
        <w:rPr>
          <w:b/>
        </w:rPr>
      </w:pPr>
      <w:r>
        <w:rPr>
          <w:b/>
          <w:bCs/>
        </w:rPr>
        <w:t>Table 3</w:t>
      </w:r>
      <w:r w:rsidRPr="00E34902">
        <w:rPr>
          <w:b/>
          <w:bCs/>
        </w:rPr>
        <w:t xml:space="preserve">: </w:t>
      </w:r>
      <w:r w:rsidR="00877C91">
        <w:rPr>
          <w:b/>
          <w:bCs/>
        </w:rPr>
        <w:t>Receiver overload threshold for</w:t>
      </w:r>
      <w:r>
        <w:rPr>
          <w:b/>
          <w:bCs/>
        </w:rPr>
        <w:t xml:space="preserve"> SRS earth stations </w:t>
      </w:r>
      <w:r w:rsidR="00877C91">
        <w:rPr>
          <w:b/>
          <w:bCs/>
        </w:rPr>
        <w:t>at various frequency offsets</w:t>
      </w:r>
    </w:p>
    <w:tbl>
      <w:tblPr>
        <w:tblW w:w="0" w:type="auto"/>
        <w:jc w:val="center"/>
        <w:tblBorders>
          <w:top w:val="single" w:sz="4" w:space="0" w:color="auto"/>
          <w:left w:val="single" w:sz="12" w:space="0" w:color="auto"/>
          <w:bottom w:val="single" w:sz="4" w:space="0" w:color="auto"/>
          <w:right w:val="single" w:sz="12" w:space="0" w:color="auto"/>
          <w:insideH w:val="single" w:sz="6" w:space="0" w:color="000000"/>
          <w:insideV w:val="single" w:sz="6" w:space="0" w:color="000000"/>
        </w:tblBorders>
        <w:tblLayout w:type="fixed"/>
        <w:tblLook w:val="0020"/>
      </w:tblPr>
      <w:tblGrid>
        <w:gridCol w:w="2943"/>
        <w:gridCol w:w="2209"/>
        <w:gridCol w:w="2209"/>
      </w:tblGrid>
      <w:tr w:rsidR="00877C91" w:rsidRPr="009E62D2" w:rsidTr="00877C91">
        <w:trPr>
          <w:trHeight w:val="255"/>
          <w:jc w:val="center"/>
        </w:trPr>
        <w:tc>
          <w:tcPr>
            <w:tcW w:w="2943" w:type="dxa"/>
            <w:vMerge w:val="restart"/>
            <w:shd w:val="clear" w:color="auto" w:fill="FFFF99"/>
            <w:noWrap/>
            <w:vAlign w:val="center"/>
          </w:tcPr>
          <w:p w:rsidR="00877C91" w:rsidRPr="009E62D2" w:rsidRDefault="00877C91" w:rsidP="00412CEB">
            <w:pPr>
              <w:spacing w:after="0"/>
              <w:jc w:val="center"/>
              <w:rPr>
                <w:sz w:val="24"/>
              </w:rPr>
            </w:pPr>
            <w:r w:rsidRPr="009E62D2">
              <w:rPr>
                <w:b/>
                <w:bCs/>
                <w:sz w:val="24"/>
              </w:rPr>
              <w:t>Frequency Range (MHz)</w:t>
            </w:r>
            <w:r w:rsidRPr="009E62D2">
              <w:rPr>
                <w:rStyle w:val="FootnoteReference"/>
                <w:b/>
                <w:bCs/>
                <w:sz w:val="24"/>
              </w:rPr>
              <w:footnoteReference w:id="4"/>
            </w:r>
          </w:p>
        </w:tc>
        <w:tc>
          <w:tcPr>
            <w:tcW w:w="4418" w:type="dxa"/>
            <w:gridSpan w:val="2"/>
            <w:shd w:val="clear" w:color="auto" w:fill="FFFF99"/>
          </w:tcPr>
          <w:p w:rsidR="00877C91" w:rsidRPr="009E62D2" w:rsidRDefault="008739D8" w:rsidP="00412CEB">
            <w:pPr>
              <w:spacing w:after="0"/>
              <w:jc w:val="center"/>
              <w:rPr>
                <w:b/>
                <w:sz w:val="24"/>
                <w:szCs w:val="24"/>
                <w:lang w:eastAsia="ja-JP"/>
              </w:rPr>
            </w:pPr>
            <w:r w:rsidRPr="009E62D2">
              <w:rPr>
                <w:b/>
                <w:sz w:val="24"/>
                <w:szCs w:val="24"/>
                <w:lang w:eastAsia="ja-JP"/>
              </w:rPr>
              <w:t>Overload Threshold (dBW/</w:t>
            </w:r>
            <w:r w:rsidR="00877C91" w:rsidRPr="009E62D2">
              <w:rPr>
                <w:b/>
                <w:sz w:val="24"/>
                <w:szCs w:val="24"/>
                <w:lang w:eastAsia="ja-JP"/>
              </w:rPr>
              <w:t>Hz)</w:t>
            </w:r>
          </w:p>
        </w:tc>
      </w:tr>
      <w:tr w:rsidR="00877C91" w:rsidRPr="009E62D2" w:rsidTr="00877C91">
        <w:trPr>
          <w:trHeight w:val="255"/>
          <w:jc w:val="center"/>
        </w:trPr>
        <w:tc>
          <w:tcPr>
            <w:tcW w:w="2943" w:type="dxa"/>
            <w:vMerge/>
            <w:shd w:val="clear" w:color="auto" w:fill="FFFF99"/>
            <w:noWrap/>
            <w:vAlign w:val="center"/>
          </w:tcPr>
          <w:p w:rsidR="00877C91" w:rsidRPr="009E62D2" w:rsidRDefault="00877C91" w:rsidP="00412CEB">
            <w:pPr>
              <w:spacing w:after="0"/>
              <w:jc w:val="center"/>
              <w:rPr>
                <w:b/>
                <w:sz w:val="24"/>
              </w:rPr>
            </w:pPr>
          </w:p>
        </w:tc>
        <w:tc>
          <w:tcPr>
            <w:tcW w:w="2209" w:type="dxa"/>
            <w:shd w:val="clear" w:color="auto" w:fill="FFFF99"/>
          </w:tcPr>
          <w:p w:rsidR="00877C91" w:rsidRPr="009E62D2" w:rsidRDefault="00877C91" w:rsidP="00412CEB">
            <w:pPr>
              <w:spacing w:after="0"/>
              <w:jc w:val="center"/>
              <w:rPr>
                <w:b/>
                <w:bCs/>
                <w:sz w:val="24"/>
              </w:rPr>
            </w:pPr>
            <w:r w:rsidRPr="009E62D2">
              <w:rPr>
                <w:b/>
                <w:bCs/>
                <w:sz w:val="24"/>
              </w:rPr>
              <w:t>New Norcia</w:t>
            </w:r>
          </w:p>
        </w:tc>
        <w:tc>
          <w:tcPr>
            <w:tcW w:w="2209" w:type="dxa"/>
            <w:shd w:val="clear" w:color="auto" w:fill="FFFF99"/>
          </w:tcPr>
          <w:p w:rsidR="00877C91" w:rsidRPr="009E62D2" w:rsidRDefault="00877C91" w:rsidP="00412CEB">
            <w:pPr>
              <w:spacing w:after="0"/>
              <w:jc w:val="center"/>
              <w:rPr>
                <w:b/>
                <w:bCs/>
                <w:sz w:val="24"/>
              </w:rPr>
            </w:pPr>
            <w:r w:rsidRPr="009E62D2">
              <w:rPr>
                <w:b/>
                <w:bCs/>
                <w:sz w:val="24"/>
              </w:rPr>
              <w:t>Mingenew</w:t>
            </w:r>
          </w:p>
        </w:tc>
      </w:tr>
      <w:tr w:rsidR="00D945C7" w:rsidRPr="009E62D2" w:rsidTr="0008532D">
        <w:trPr>
          <w:trHeight w:val="255"/>
          <w:jc w:val="center"/>
        </w:trPr>
        <w:tc>
          <w:tcPr>
            <w:tcW w:w="2943" w:type="dxa"/>
            <w:noWrap/>
            <w:vAlign w:val="center"/>
          </w:tcPr>
          <w:p w:rsidR="00D945C7" w:rsidRPr="009E62D2" w:rsidRDefault="00D945C7" w:rsidP="00412CEB">
            <w:pPr>
              <w:spacing w:before="60" w:after="0"/>
              <w:jc w:val="center"/>
              <w:rPr>
                <w:b/>
                <w:sz w:val="24"/>
              </w:rPr>
            </w:pPr>
            <w:r w:rsidRPr="009E62D2">
              <w:rPr>
                <w:b/>
                <w:sz w:val="24"/>
              </w:rPr>
              <w:t>2300–2310</w:t>
            </w:r>
          </w:p>
        </w:tc>
        <w:tc>
          <w:tcPr>
            <w:tcW w:w="2209" w:type="dxa"/>
            <w:vAlign w:val="center"/>
          </w:tcPr>
          <w:p w:rsidR="00D945C7" w:rsidRPr="009E62D2" w:rsidRDefault="00D945C7" w:rsidP="00412CEB">
            <w:pPr>
              <w:pStyle w:val="NormalWeb"/>
              <w:spacing w:before="60" w:beforeAutospacing="0" w:after="0" w:afterAutospacing="0"/>
              <w:jc w:val="center"/>
              <w:rPr>
                <w:rFonts w:ascii="Arial" w:hAnsi="Arial" w:cs="Arial"/>
                <w:sz w:val="24"/>
                <w:szCs w:val="22"/>
              </w:rPr>
            </w:pPr>
            <w:r w:rsidRPr="009E62D2">
              <w:rPr>
                <w:rFonts w:cs="Calibri"/>
                <w:color w:val="000000"/>
                <w:kern w:val="24"/>
                <w:sz w:val="24"/>
                <w:szCs w:val="22"/>
              </w:rPr>
              <w:t>-</w:t>
            </w:r>
            <w:r w:rsidR="00E24598" w:rsidRPr="009E62D2">
              <w:rPr>
                <w:rFonts w:cs="Calibri"/>
                <w:color w:val="000000"/>
                <w:kern w:val="24"/>
                <w:sz w:val="24"/>
                <w:szCs w:val="22"/>
              </w:rPr>
              <w:t>222</w:t>
            </w:r>
          </w:p>
        </w:tc>
        <w:tc>
          <w:tcPr>
            <w:tcW w:w="2209" w:type="dxa"/>
            <w:vAlign w:val="center"/>
          </w:tcPr>
          <w:p w:rsidR="00D945C7" w:rsidRPr="009E62D2" w:rsidRDefault="00E24598" w:rsidP="00412CEB">
            <w:pPr>
              <w:pStyle w:val="NormalWeb"/>
              <w:spacing w:before="60" w:beforeAutospacing="0" w:after="0" w:afterAutospacing="0"/>
              <w:jc w:val="center"/>
              <w:rPr>
                <w:rFonts w:ascii="Arial" w:hAnsi="Arial" w:cs="Arial"/>
                <w:sz w:val="24"/>
                <w:szCs w:val="22"/>
              </w:rPr>
            </w:pPr>
            <w:r w:rsidRPr="009E62D2">
              <w:rPr>
                <w:rFonts w:cs="Calibri"/>
                <w:color w:val="000000"/>
                <w:kern w:val="24"/>
                <w:sz w:val="24"/>
                <w:szCs w:val="22"/>
              </w:rPr>
              <w:t>-222</w:t>
            </w:r>
          </w:p>
        </w:tc>
      </w:tr>
      <w:tr w:rsidR="00D945C7" w:rsidRPr="009E62D2" w:rsidTr="0008532D">
        <w:trPr>
          <w:trHeight w:val="255"/>
          <w:jc w:val="center"/>
        </w:trPr>
        <w:tc>
          <w:tcPr>
            <w:tcW w:w="2943" w:type="dxa"/>
            <w:noWrap/>
            <w:vAlign w:val="center"/>
          </w:tcPr>
          <w:p w:rsidR="00D945C7" w:rsidRPr="009E62D2" w:rsidRDefault="00D945C7" w:rsidP="00412CEB">
            <w:pPr>
              <w:spacing w:before="60" w:after="0"/>
              <w:jc w:val="center"/>
              <w:rPr>
                <w:b/>
                <w:sz w:val="24"/>
              </w:rPr>
            </w:pPr>
            <w:r w:rsidRPr="009E62D2">
              <w:rPr>
                <w:b/>
                <w:sz w:val="24"/>
              </w:rPr>
              <w:t>2310–2320</w:t>
            </w:r>
          </w:p>
        </w:tc>
        <w:tc>
          <w:tcPr>
            <w:tcW w:w="2209" w:type="dxa"/>
            <w:vAlign w:val="center"/>
          </w:tcPr>
          <w:p w:rsidR="00D945C7" w:rsidRPr="009E62D2" w:rsidRDefault="00E24598" w:rsidP="00412CEB">
            <w:pPr>
              <w:pStyle w:val="NormalWeb"/>
              <w:spacing w:before="60" w:beforeAutospacing="0" w:after="0" w:afterAutospacing="0"/>
              <w:jc w:val="center"/>
              <w:rPr>
                <w:rFonts w:ascii="Arial" w:hAnsi="Arial" w:cs="Arial"/>
                <w:sz w:val="24"/>
                <w:szCs w:val="22"/>
              </w:rPr>
            </w:pPr>
            <w:r w:rsidRPr="009E62D2">
              <w:rPr>
                <w:rFonts w:cs="Calibri"/>
                <w:color w:val="000000"/>
                <w:kern w:val="24"/>
                <w:sz w:val="24"/>
                <w:szCs w:val="22"/>
              </w:rPr>
              <w:t>-217</w:t>
            </w:r>
          </w:p>
        </w:tc>
        <w:tc>
          <w:tcPr>
            <w:tcW w:w="2209" w:type="dxa"/>
            <w:vAlign w:val="center"/>
          </w:tcPr>
          <w:p w:rsidR="00D945C7" w:rsidRPr="009E62D2" w:rsidRDefault="00E24598" w:rsidP="00412CEB">
            <w:pPr>
              <w:pStyle w:val="NormalWeb"/>
              <w:spacing w:before="60" w:beforeAutospacing="0" w:after="0" w:afterAutospacing="0"/>
              <w:jc w:val="center"/>
              <w:rPr>
                <w:rFonts w:ascii="Arial" w:hAnsi="Arial" w:cs="Arial"/>
                <w:sz w:val="24"/>
                <w:szCs w:val="22"/>
              </w:rPr>
            </w:pPr>
            <w:r w:rsidRPr="009E62D2">
              <w:rPr>
                <w:rFonts w:cs="Calibri"/>
                <w:color w:val="000000"/>
                <w:kern w:val="24"/>
                <w:sz w:val="24"/>
                <w:szCs w:val="22"/>
              </w:rPr>
              <w:t>-217</w:t>
            </w:r>
          </w:p>
        </w:tc>
      </w:tr>
      <w:tr w:rsidR="00D945C7" w:rsidRPr="009E62D2" w:rsidTr="0008532D">
        <w:trPr>
          <w:trHeight w:val="255"/>
          <w:jc w:val="center"/>
        </w:trPr>
        <w:tc>
          <w:tcPr>
            <w:tcW w:w="2943" w:type="dxa"/>
            <w:noWrap/>
            <w:vAlign w:val="center"/>
          </w:tcPr>
          <w:p w:rsidR="00D945C7" w:rsidRPr="009E62D2" w:rsidRDefault="00D945C7" w:rsidP="00412CEB">
            <w:pPr>
              <w:spacing w:before="60" w:after="0"/>
              <w:jc w:val="center"/>
              <w:rPr>
                <w:b/>
                <w:sz w:val="24"/>
              </w:rPr>
            </w:pPr>
            <w:r w:rsidRPr="009E62D2">
              <w:rPr>
                <w:b/>
                <w:sz w:val="24"/>
              </w:rPr>
              <w:t>2320–2330</w:t>
            </w:r>
          </w:p>
        </w:tc>
        <w:tc>
          <w:tcPr>
            <w:tcW w:w="2209" w:type="dxa"/>
            <w:vAlign w:val="center"/>
          </w:tcPr>
          <w:p w:rsidR="00D945C7" w:rsidRPr="009E62D2" w:rsidRDefault="00E24598" w:rsidP="00412CEB">
            <w:pPr>
              <w:pStyle w:val="NormalWeb"/>
              <w:spacing w:before="60" w:beforeAutospacing="0" w:after="0" w:afterAutospacing="0"/>
              <w:jc w:val="center"/>
              <w:rPr>
                <w:rFonts w:ascii="Arial" w:hAnsi="Arial" w:cs="Arial"/>
                <w:sz w:val="24"/>
                <w:szCs w:val="22"/>
              </w:rPr>
            </w:pPr>
            <w:r w:rsidRPr="009E62D2">
              <w:rPr>
                <w:rFonts w:cs="Calibri"/>
                <w:color w:val="000000"/>
                <w:kern w:val="24"/>
                <w:sz w:val="24"/>
                <w:szCs w:val="22"/>
              </w:rPr>
              <w:t>-201.6</w:t>
            </w:r>
          </w:p>
        </w:tc>
        <w:tc>
          <w:tcPr>
            <w:tcW w:w="2209" w:type="dxa"/>
            <w:vAlign w:val="center"/>
          </w:tcPr>
          <w:p w:rsidR="00D945C7" w:rsidRPr="009E62D2" w:rsidRDefault="00E24598" w:rsidP="00412CEB">
            <w:pPr>
              <w:pStyle w:val="NormalWeb"/>
              <w:spacing w:before="60" w:beforeAutospacing="0" w:after="0" w:afterAutospacing="0"/>
              <w:jc w:val="center"/>
              <w:rPr>
                <w:rFonts w:ascii="Arial" w:hAnsi="Arial" w:cs="Arial"/>
                <w:sz w:val="24"/>
                <w:szCs w:val="22"/>
              </w:rPr>
            </w:pPr>
            <w:r w:rsidRPr="009E62D2">
              <w:rPr>
                <w:rFonts w:cs="Calibri"/>
                <w:color w:val="000000"/>
                <w:kern w:val="24"/>
                <w:sz w:val="24"/>
                <w:szCs w:val="22"/>
              </w:rPr>
              <w:t>-201.6</w:t>
            </w:r>
          </w:p>
        </w:tc>
      </w:tr>
      <w:tr w:rsidR="007435C7" w:rsidRPr="009E62D2" w:rsidTr="0008532D">
        <w:trPr>
          <w:trHeight w:val="255"/>
          <w:jc w:val="center"/>
        </w:trPr>
        <w:tc>
          <w:tcPr>
            <w:tcW w:w="2943" w:type="dxa"/>
            <w:noWrap/>
            <w:vAlign w:val="center"/>
          </w:tcPr>
          <w:p w:rsidR="007435C7" w:rsidRPr="009E62D2" w:rsidRDefault="007435C7" w:rsidP="00412CEB">
            <w:pPr>
              <w:spacing w:before="60" w:after="0"/>
              <w:jc w:val="center"/>
              <w:rPr>
                <w:b/>
                <w:sz w:val="24"/>
              </w:rPr>
            </w:pPr>
            <w:r w:rsidRPr="009E62D2">
              <w:rPr>
                <w:b/>
                <w:sz w:val="24"/>
              </w:rPr>
              <w:t>2330–2340</w:t>
            </w:r>
          </w:p>
        </w:tc>
        <w:tc>
          <w:tcPr>
            <w:tcW w:w="2209" w:type="dxa"/>
            <w:vAlign w:val="center"/>
          </w:tcPr>
          <w:p w:rsidR="007435C7" w:rsidRPr="009E62D2" w:rsidRDefault="00E24598" w:rsidP="00412CEB">
            <w:pPr>
              <w:pStyle w:val="NormalWeb"/>
              <w:spacing w:before="60" w:beforeAutospacing="0" w:after="0" w:afterAutospacing="0"/>
              <w:jc w:val="center"/>
              <w:rPr>
                <w:rFonts w:cs="Calibri"/>
                <w:color w:val="000000"/>
                <w:kern w:val="24"/>
                <w:sz w:val="24"/>
                <w:szCs w:val="22"/>
              </w:rPr>
            </w:pPr>
            <w:r w:rsidRPr="009E62D2">
              <w:rPr>
                <w:rFonts w:cs="Calibri"/>
                <w:color w:val="000000"/>
                <w:kern w:val="24"/>
                <w:sz w:val="24"/>
                <w:szCs w:val="22"/>
              </w:rPr>
              <w:t>-180.4</w:t>
            </w:r>
          </w:p>
        </w:tc>
        <w:tc>
          <w:tcPr>
            <w:tcW w:w="2209" w:type="dxa"/>
            <w:vAlign w:val="center"/>
          </w:tcPr>
          <w:p w:rsidR="007435C7" w:rsidRPr="009E62D2" w:rsidRDefault="00E24598" w:rsidP="00412CEB">
            <w:pPr>
              <w:pStyle w:val="NormalWeb"/>
              <w:spacing w:before="60" w:beforeAutospacing="0" w:after="0" w:afterAutospacing="0"/>
              <w:jc w:val="center"/>
              <w:rPr>
                <w:rFonts w:cs="Calibri"/>
                <w:color w:val="000000"/>
                <w:kern w:val="24"/>
                <w:sz w:val="24"/>
                <w:szCs w:val="22"/>
              </w:rPr>
            </w:pPr>
            <w:r w:rsidRPr="009E62D2">
              <w:rPr>
                <w:rFonts w:cs="Calibri"/>
                <w:color w:val="000000"/>
                <w:kern w:val="24"/>
                <w:sz w:val="24"/>
                <w:szCs w:val="22"/>
              </w:rPr>
              <w:t>-180.4</w:t>
            </w:r>
          </w:p>
        </w:tc>
      </w:tr>
      <w:tr w:rsidR="004F0B1A" w:rsidRPr="009E62D2" w:rsidTr="0008532D">
        <w:trPr>
          <w:trHeight w:val="255"/>
          <w:jc w:val="center"/>
        </w:trPr>
        <w:tc>
          <w:tcPr>
            <w:tcW w:w="2943" w:type="dxa"/>
            <w:noWrap/>
            <w:vAlign w:val="center"/>
          </w:tcPr>
          <w:p w:rsidR="004F0B1A" w:rsidRPr="009E62D2" w:rsidRDefault="004F0B1A" w:rsidP="00412CEB">
            <w:pPr>
              <w:spacing w:before="60" w:after="0"/>
              <w:jc w:val="center"/>
              <w:rPr>
                <w:b/>
                <w:sz w:val="24"/>
              </w:rPr>
            </w:pPr>
            <w:r w:rsidRPr="009E62D2">
              <w:rPr>
                <w:b/>
                <w:sz w:val="24"/>
              </w:rPr>
              <w:t>2340–2350</w:t>
            </w:r>
          </w:p>
        </w:tc>
        <w:tc>
          <w:tcPr>
            <w:tcW w:w="2209" w:type="dxa"/>
            <w:vAlign w:val="center"/>
          </w:tcPr>
          <w:p w:rsidR="004F0B1A" w:rsidRPr="009E62D2" w:rsidRDefault="004F0B1A" w:rsidP="00412CEB">
            <w:pPr>
              <w:pStyle w:val="NormalWeb"/>
              <w:spacing w:before="60" w:beforeAutospacing="0" w:after="0" w:afterAutospacing="0"/>
              <w:jc w:val="center"/>
              <w:rPr>
                <w:rFonts w:cs="Calibri"/>
                <w:color w:val="000000"/>
                <w:kern w:val="24"/>
                <w:sz w:val="24"/>
                <w:szCs w:val="22"/>
              </w:rPr>
            </w:pPr>
            <w:r w:rsidRPr="009E62D2">
              <w:rPr>
                <w:rFonts w:cs="Calibri"/>
                <w:color w:val="000000"/>
                <w:kern w:val="24"/>
                <w:sz w:val="24"/>
                <w:szCs w:val="22"/>
              </w:rPr>
              <w:t>-1</w:t>
            </w:r>
            <w:r w:rsidR="00E24598" w:rsidRPr="009E62D2">
              <w:rPr>
                <w:rFonts w:cs="Calibri"/>
                <w:color w:val="000000"/>
                <w:kern w:val="24"/>
                <w:sz w:val="24"/>
                <w:szCs w:val="22"/>
              </w:rPr>
              <w:t>6</w:t>
            </w:r>
            <w:r w:rsidRPr="009E62D2">
              <w:rPr>
                <w:rFonts w:cs="Calibri"/>
                <w:color w:val="000000"/>
                <w:kern w:val="24"/>
                <w:sz w:val="24"/>
                <w:szCs w:val="22"/>
              </w:rPr>
              <w:t>3.2</w:t>
            </w:r>
          </w:p>
        </w:tc>
        <w:tc>
          <w:tcPr>
            <w:tcW w:w="2209" w:type="dxa"/>
            <w:vAlign w:val="center"/>
          </w:tcPr>
          <w:p w:rsidR="004F0B1A" w:rsidRPr="009E62D2" w:rsidRDefault="004F0B1A" w:rsidP="00412CEB">
            <w:pPr>
              <w:pStyle w:val="NormalWeb"/>
              <w:spacing w:before="60" w:beforeAutospacing="0" w:after="0" w:afterAutospacing="0"/>
              <w:jc w:val="center"/>
              <w:rPr>
                <w:rFonts w:cs="Calibri"/>
                <w:color w:val="000000"/>
                <w:kern w:val="24"/>
                <w:sz w:val="24"/>
                <w:szCs w:val="22"/>
              </w:rPr>
            </w:pPr>
            <w:r w:rsidRPr="009E62D2">
              <w:rPr>
                <w:rFonts w:cs="Calibri"/>
                <w:color w:val="000000"/>
                <w:kern w:val="24"/>
                <w:sz w:val="24"/>
                <w:szCs w:val="22"/>
              </w:rPr>
              <w:t>-1</w:t>
            </w:r>
            <w:r w:rsidR="00E24598" w:rsidRPr="009E62D2">
              <w:rPr>
                <w:rFonts w:cs="Calibri"/>
                <w:color w:val="000000"/>
                <w:kern w:val="24"/>
                <w:sz w:val="24"/>
                <w:szCs w:val="22"/>
              </w:rPr>
              <w:t>6</w:t>
            </w:r>
            <w:r w:rsidRPr="009E62D2">
              <w:rPr>
                <w:rFonts w:cs="Calibri"/>
                <w:color w:val="000000"/>
                <w:kern w:val="24"/>
                <w:sz w:val="24"/>
                <w:szCs w:val="22"/>
              </w:rPr>
              <w:t>3.2</w:t>
            </w:r>
          </w:p>
        </w:tc>
      </w:tr>
      <w:tr w:rsidR="007435C7" w:rsidRPr="009E62D2" w:rsidTr="0008532D">
        <w:trPr>
          <w:trHeight w:val="255"/>
          <w:jc w:val="center"/>
        </w:trPr>
        <w:tc>
          <w:tcPr>
            <w:tcW w:w="2943" w:type="dxa"/>
            <w:tcBorders>
              <w:bottom w:val="single" w:sz="6" w:space="0" w:color="000000"/>
            </w:tcBorders>
            <w:noWrap/>
            <w:vAlign w:val="center"/>
          </w:tcPr>
          <w:p w:rsidR="007435C7" w:rsidRPr="009E62D2" w:rsidRDefault="00B166F7" w:rsidP="00412CEB">
            <w:pPr>
              <w:spacing w:before="60" w:after="0"/>
              <w:jc w:val="center"/>
              <w:rPr>
                <w:b/>
                <w:sz w:val="24"/>
              </w:rPr>
            </w:pPr>
            <w:r w:rsidRPr="009E62D2">
              <w:rPr>
                <w:b/>
                <w:sz w:val="24"/>
              </w:rPr>
              <w:t>2350–2360</w:t>
            </w:r>
          </w:p>
        </w:tc>
        <w:tc>
          <w:tcPr>
            <w:tcW w:w="2209" w:type="dxa"/>
            <w:tcBorders>
              <w:bottom w:val="single" w:sz="6" w:space="0" w:color="000000"/>
            </w:tcBorders>
            <w:vAlign w:val="center"/>
          </w:tcPr>
          <w:p w:rsidR="007435C7" w:rsidRPr="009E62D2" w:rsidRDefault="00B166F7" w:rsidP="00412CEB">
            <w:pPr>
              <w:pStyle w:val="NormalWeb"/>
              <w:spacing w:before="60" w:beforeAutospacing="0" w:after="0" w:afterAutospacing="0"/>
              <w:jc w:val="center"/>
              <w:rPr>
                <w:rFonts w:cs="Calibri"/>
                <w:color w:val="000000"/>
                <w:kern w:val="24"/>
                <w:sz w:val="24"/>
                <w:szCs w:val="22"/>
              </w:rPr>
            </w:pPr>
            <w:r w:rsidRPr="009E62D2">
              <w:rPr>
                <w:rFonts w:cs="Calibri"/>
                <w:color w:val="000000"/>
                <w:kern w:val="24"/>
                <w:sz w:val="24"/>
                <w:szCs w:val="22"/>
              </w:rPr>
              <w:t>-</w:t>
            </w:r>
            <w:r w:rsidR="00E24598" w:rsidRPr="009E62D2">
              <w:rPr>
                <w:rFonts w:cs="Calibri"/>
                <w:color w:val="000000"/>
                <w:kern w:val="24"/>
                <w:sz w:val="24"/>
                <w:szCs w:val="22"/>
              </w:rPr>
              <w:t>14</w:t>
            </w:r>
            <w:r w:rsidRPr="009E62D2">
              <w:rPr>
                <w:rFonts w:cs="Calibri"/>
                <w:color w:val="000000"/>
                <w:kern w:val="24"/>
                <w:sz w:val="24"/>
                <w:szCs w:val="22"/>
              </w:rPr>
              <w:t>7</w:t>
            </w:r>
          </w:p>
        </w:tc>
        <w:tc>
          <w:tcPr>
            <w:tcW w:w="2209" w:type="dxa"/>
            <w:tcBorders>
              <w:bottom w:val="single" w:sz="6" w:space="0" w:color="000000"/>
            </w:tcBorders>
            <w:vAlign w:val="center"/>
          </w:tcPr>
          <w:p w:rsidR="007435C7" w:rsidRPr="009E62D2" w:rsidRDefault="00B166F7" w:rsidP="00412CEB">
            <w:pPr>
              <w:pStyle w:val="NormalWeb"/>
              <w:spacing w:before="60" w:beforeAutospacing="0" w:after="0" w:afterAutospacing="0"/>
              <w:jc w:val="center"/>
              <w:rPr>
                <w:rFonts w:cs="Calibri"/>
                <w:color w:val="000000"/>
                <w:kern w:val="24"/>
                <w:sz w:val="24"/>
                <w:szCs w:val="22"/>
              </w:rPr>
            </w:pPr>
            <w:r w:rsidRPr="009E62D2">
              <w:rPr>
                <w:rFonts w:cs="Calibri"/>
                <w:color w:val="000000"/>
                <w:kern w:val="24"/>
                <w:sz w:val="24"/>
                <w:szCs w:val="22"/>
              </w:rPr>
              <w:t>-</w:t>
            </w:r>
            <w:r w:rsidR="00E24598" w:rsidRPr="009E62D2">
              <w:rPr>
                <w:rFonts w:cs="Calibri"/>
                <w:color w:val="000000"/>
                <w:kern w:val="24"/>
                <w:sz w:val="24"/>
                <w:szCs w:val="22"/>
              </w:rPr>
              <w:t>14</w:t>
            </w:r>
            <w:r w:rsidRPr="009E62D2">
              <w:rPr>
                <w:rFonts w:cs="Calibri"/>
                <w:color w:val="000000"/>
                <w:kern w:val="24"/>
                <w:sz w:val="24"/>
                <w:szCs w:val="22"/>
              </w:rPr>
              <w:t>7</w:t>
            </w:r>
          </w:p>
        </w:tc>
      </w:tr>
      <w:tr w:rsidR="002F1A6B" w:rsidRPr="009E62D2" w:rsidTr="00A87EBC">
        <w:trPr>
          <w:trHeight w:val="255"/>
          <w:jc w:val="center"/>
        </w:trPr>
        <w:tc>
          <w:tcPr>
            <w:tcW w:w="2943" w:type="dxa"/>
            <w:tcBorders>
              <w:top w:val="single" w:sz="6" w:space="0" w:color="000000"/>
              <w:bottom w:val="single" w:sz="6" w:space="0" w:color="000000"/>
            </w:tcBorders>
            <w:shd w:val="clear" w:color="auto" w:fill="auto"/>
            <w:noWrap/>
            <w:vAlign w:val="center"/>
          </w:tcPr>
          <w:p w:rsidR="002F1A6B" w:rsidRPr="009E62D2" w:rsidRDefault="002F1A6B" w:rsidP="00412CEB">
            <w:pPr>
              <w:spacing w:before="60" w:after="0"/>
              <w:jc w:val="center"/>
              <w:rPr>
                <w:b/>
                <w:sz w:val="24"/>
              </w:rPr>
            </w:pPr>
            <w:r w:rsidRPr="009E62D2">
              <w:rPr>
                <w:b/>
                <w:sz w:val="24"/>
              </w:rPr>
              <w:t>2360–2370</w:t>
            </w:r>
            <w:r w:rsidR="0008532D" w:rsidRPr="009E62D2">
              <w:rPr>
                <w:b/>
                <w:sz w:val="24"/>
              </w:rPr>
              <w:t>*</w:t>
            </w:r>
          </w:p>
        </w:tc>
        <w:tc>
          <w:tcPr>
            <w:tcW w:w="2209" w:type="dxa"/>
            <w:tcBorders>
              <w:top w:val="single" w:sz="6" w:space="0" w:color="000000"/>
              <w:bottom w:val="single" w:sz="6" w:space="0" w:color="000000"/>
            </w:tcBorders>
            <w:shd w:val="clear" w:color="auto" w:fill="auto"/>
            <w:vAlign w:val="center"/>
          </w:tcPr>
          <w:p w:rsidR="002F1A6B" w:rsidRPr="009E62D2" w:rsidRDefault="002F1A6B" w:rsidP="00412CEB">
            <w:pPr>
              <w:pStyle w:val="NormalWeb"/>
              <w:spacing w:before="60" w:beforeAutospacing="0" w:after="0" w:afterAutospacing="0"/>
              <w:jc w:val="center"/>
              <w:rPr>
                <w:rFonts w:cs="Calibri"/>
                <w:color w:val="000000"/>
                <w:kern w:val="24"/>
                <w:sz w:val="24"/>
                <w:szCs w:val="22"/>
              </w:rPr>
            </w:pPr>
            <w:r w:rsidRPr="009E62D2">
              <w:rPr>
                <w:rFonts w:cs="Calibri"/>
                <w:color w:val="000000"/>
                <w:kern w:val="24"/>
                <w:sz w:val="24"/>
                <w:szCs w:val="22"/>
              </w:rPr>
              <w:t>-130.8</w:t>
            </w:r>
          </w:p>
        </w:tc>
        <w:tc>
          <w:tcPr>
            <w:tcW w:w="2209" w:type="dxa"/>
            <w:tcBorders>
              <w:top w:val="single" w:sz="6" w:space="0" w:color="000000"/>
              <w:bottom w:val="single" w:sz="6" w:space="0" w:color="000000"/>
            </w:tcBorders>
            <w:shd w:val="clear" w:color="auto" w:fill="auto"/>
            <w:vAlign w:val="center"/>
          </w:tcPr>
          <w:p w:rsidR="002F1A6B" w:rsidRPr="009E62D2" w:rsidRDefault="002F1A6B" w:rsidP="00412CEB">
            <w:pPr>
              <w:pStyle w:val="NormalWeb"/>
              <w:spacing w:before="60" w:beforeAutospacing="0" w:after="0" w:afterAutospacing="0"/>
              <w:jc w:val="center"/>
              <w:rPr>
                <w:rFonts w:cs="Calibri"/>
                <w:color w:val="000000"/>
                <w:kern w:val="24"/>
                <w:sz w:val="24"/>
                <w:szCs w:val="22"/>
              </w:rPr>
            </w:pPr>
            <w:r w:rsidRPr="009E62D2">
              <w:rPr>
                <w:rFonts w:cs="Calibri"/>
                <w:color w:val="000000"/>
                <w:kern w:val="24"/>
                <w:sz w:val="24"/>
                <w:szCs w:val="22"/>
              </w:rPr>
              <w:t>-130.8</w:t>
            </w:r>
          </w:p>
        </w:tc>
      </w:tr>
      <w:tr w:rsidR="002F1A6B" w:rsidRPr="009E62D2" w:rsidTr="00A87EBC">
        <w:trPr>
          <w:trHeight w:val="255"/>
          <w:jc w:val="center"/>
        </w:trPr>
        <w:tc>
          <w:tcPr>
            <w:tcW w:w="2943" w:type="dxa"/>
            <w:tcBorders>
              <w:top w:val="single" w:sz="6" w:space="0" w:color="000000"/>
              <w:bottom w:val="single" w:sz="6" w:space="0" w:color="000000"/>
            </w:tcBorders>
            <w:shd w:val="clear" w:color="auto" w:fill="auto"/>
            <w:noWrap/>
            <w:vAlign w:val="center"/>
          </w:tcPr>
          <w:p w:rsidR="002F1A6B" w:rsidRPr="009E62D2" w:rsidRDefault="002F1A6B" w:rsidP="00412CEB">
            <w:pPr>
              <w:spacing w:before="60" w:after="0"/>
              <w:jc w:val="center"/>
              <w:rPr>
                <w:b/>
                <w:sz w:val="24"/>
              </w:rPr>
            </w:pPr>
            <w:r w:rsidRPr="009E62D2">
              <w:rPr>
                <w:b/>
                <w:sz w:val="24"/>
              </w:rPr>
              <w:t>2370–2380</w:t>
            </w:r>
            <w:r w:rsidR="0008532D" w:rsidRPr="009E62D2">
              <w:rPr>
                <w:b/>
                <w:sz w:val="24"/>
              </w:rPr>
              <w:t>*</w:t>
            </w:r>
          </w:p>
        </w:tc>
        <w:tc>
          <w:tcPr>
            <w:tcW w:w="2209" w:type="dxa"/>
            <w:tcBorders>
              <w:top w:val="single" w:sz="6" w:space="0" w:color="000000"/>
              <w:bottom w:val="single" w:sz="6" w:space="0" w:color="000000"/>
            </w:tcBorders>
            <w:shd w:val="clear" w:color="auto" w:fill="auto"/>
            <w:vAlign w:val="center"/>
          </w:tcPr>
          <w:p w:rsidR="002F1A6B" w:rsidRPr="009E62D2" w:rsidRDefault="002F1A6B" w:rsidP="00412CEB">
            <w:pPr>
              <w:pStyle w:val="NormalWeb"/>
              <w:spacing w:before="60" w:beforeAutospacing="0" w:after="0" w:afterAutospacing="0"/>
              <w:jc w:val="center"/>
              <w:rPr>
                <w:rFonts w:cs="Calibri"/>
                <w:color w:val="000000"/>
                <w:kern w:val="24"/>
                <w:sz w:val="24"/>
                <w:szCs w:val="22"/>
              </w:rPr>
            </w:pPr>
            <w:r w:rsidRPr="009E62D2">
              <w:rPr>
                <w:rFonts w:cs="Calibri"/>
                <w:color w:val="000000"/>
                <w:kern w:val="24"/>
                <w:sz w:val="24"/>
                <w:szCs w:val="22"/>
              </w:rPr>
              <w:t>-115.6</w:t>
            </w:r>
          </w:p>
        </w:tc>
        <w:tc>
          <w:tcPr>
            <w:tcW w:w="2209" w:type="dxa"/>
            <w:tcBorders>
              <w:top w:val="single" w:sz="6" w:space="0" w:color="000000"/>
              <w:bottom w:val="single" w:sz="6" w:space="0" w:color="000000"/>
            </w:tcBorders>
            <w:shd w:val="clear" w:color="auto" w:fill="auto"/>
            <w:vAlign w:val="center"/>
          </w:tcPr>
          <w:p w:rsidR="002F1A6B" w:rsidRPr="009E62D2" w:rsidRDefault="002F1A6B" w:rsidP="00412CEB">
            <w:pPr>
              <w:pStyle w:val="NormalWeb"/>
              <w:spacing w:before="60" w:beforeAutospacing="0" w:after="0" w:afterAutospacing="0"/>
              <w:jc w:val="center"/>
              <w:rPr>
                <w:rFonts w:cs="Calibri"/>
                <w:color w:val="000000"/>
                <w:kern w:val="24"/>
                <w:sz w:val="24"/>
                <w:szCs w:val="22"/>
              </w:rPr>
            </w:pPr>
            <w:r w:rsidRPr="009E62D2">
              <w:rPr>
                <w:rFonts w:cs="Calibri"/>
                <w:color w:val="000000"/>
                <w:kern w:val="24"/>
                <w:sz w:val="24"/>
                <w:szCs w:val="22"/>
              </w:rPr>
              <w:t>-115.6</w:t>
            </w:r>
          </w:p>
        </w:tc>
      </w:tr>
      <w:tr w:rsidR="002F1A6B" w:rsidRPr="009E62D2" w:rsidTr="00A87EBC">
        <w:trPr>
          <w:trHeight w:val="255"/>
          <w:jc w:val="center"/>
        </w:trPr>
        <w:tc>
          <w:tcPr>
            <w:tcW w:w="2943" w:type="dxa"/>
            <w:tcBorders>
              <w:top w:val="single" w:sz="6" w:space="0" w:color="000000"/>
              <w:bottom w:val="single" w:sz="6" w:space="0" w:color="000000"/>
            </w:tcBorders>
            <w:shd w:val="clear" w:color="auto" w:fill="auto"/>
            <w:noWrap/>
            <w:vAlign w:val="center"/>
          </w:tcPr>
          <w:p w:rsidR="002F1A6B" w:rsidRPr="009E62D2" w:rsidRDefault="002F1A6B" w:rsidP="00412CEB">
            <w:pPr>
              <w:spacing w:before="60" w:after="0"/>
              <w:jc w:val="center"/>
              <w:rPr>
                <w:b/>
                <w:sz w:val="24"/>
              </w:rPr>
            </w:pPr>
            <w:r w:rsidRPr="009E62D2">
              <w:rPr>
                <w:b/>
                <w:sz w:val="24"/>
              </w:rPr>
              <w:t>2380–2390</w:t>
            </w:r>
            <w:r w:rsidR="0008532D" w:rsidRPr="009E62D2">
              <w:rPr>
                <w:b/>
                <w:sz w:val="24"/>
              </w:rPr>
              <w:t>*</w:t>
            </w:r>
          </w:p>
        </w:tc>
        <w:tc>
          <w:tcPr>
            <w:tcW w:w="2209" w:type="dxa"/>
            <w:tcBorders>
              <w:top w:val="single" w:sz="6" w:space="0" w:color="000000"/>
              <w:bottom w:val="single" w:sz="6" w:space="0" w:color="000000"/>
            </w:tcBorders>
            <w:shd w:val="clear" w:color="auto" w:fill="auto"/>
            <w:vAlign w:val="center"/>
          </w:tcPr>
          <w:p w:rsidR="002F1A6B" w:rsidRPr="009E62D2" w:rsidRDefault="002F1A6B" w:rsidP="00412CEB">
            <w:pPr>
              <w:pStyle w:val="NormalWeb"/>
              <w:spacing w:before="60" w:beforeAutospacing="0" w:after="0" w:afterAutospacing="0"/>
              <w:jc w:val="center"/>
              <w:rPr>
                <w:rFonts w:cs="Calibri"/>
                <w:color w:val="000000"/>
                <w:kern w:val="24"/>
                <w:sz w:val="24"/>
                <w:szCs w:val="22"/>
              </w:rPr>
            </w:pPr>
            <w:r w:rsidRPr="009E62D2">
              <w:rPr>
                <w:rFonts w:cs="Calibri"/>
                <w:color w:val="000000"/>
                <w:kern w:val="24"/>
                <w:sz w:val="24"/>
                <w:szCs w:val="22"/>
              </w:rPr>
              <w:t>-101.4</w:t>
            </w:r>
          </w:p>
        </w:tc>
        <w:tc>
          <w:tcPr>
            <w:tcW w:w="2209" w:type="dxa"/>
            <w:tcBorders>
              <w:top w:val="single" w:sz="6" w:space="0" w:color="000000"/>
              <w:bottom w:val="single" w:sz="6" w:space="0" w:color="000000"/>
            </w:tcBorders>
            <w:shd w:val="clear" w:color="auto" w:fill="auto"/>
            <w:vAlign w:val="center"/>
          </w:tcPr>
          <w:p w:rsidR="002F1A6B" w:rsidRPr="009E62D2" w:rsidRDefault="002F1A6B" w:rsidP="00412CEB">
            <w:pPr>
              <w:pStyle w:val="NormalWeb"/>
              <w:spacing w:before="60" w:beforeAutospacing="0" w:after="0" w:afterAutospacing="0"/>
              <w:jc w:val="center"/>
              <w:rPr>
                <w:rFonts w:cs="Calibri"/>
                <w:color w:val="000000"/>
                <w:kern w:val="24"/>
                <w:sz w:val="24"/>
                <w:szCs w:val="22"/>
              </w:rPr>
            </w:pPr>
            <w:r w:rsidRPr="009E62D2">
              <w:rPr>
                <w:rFonts w:cs="Calibri"/>
                <w:color w:val="000000"/>
                <w:kern w:val="24"/>
                <w:sz w:val="24"/>
                <w:szCs w:val="22"/>
              </w:rPr>
              <w:t>-101.4</w:t>
            </w:r>
          </w:p>
        </w:tc>
      </w:tr>
      <w:tr w:rsidR="002F1A6B" w:rsidRPr="009E62D2" w:rsidTr="00A87EBC">
        <w:trPr>
          <w:trHeight w:val="255"/>
          <w:jc w:val="center"/>
        </w:trPr>
        <w:tc>
          <w:tcPr>
            <w:tcW w:w="2943" w:type="dxa"/>
            <w:tcBorders>
              <w:top w:val="single" w:sz="6" w:space="0" w:color="000000"/>
              <w:bottom w:val="single" w:sz="4" w:space="0" w:color="auto"/>
            </w:tcBorders>
            <w:shd w:val="clear" w:color="auto" w:fill="auto"/>
            <w:noWrap/>
            <w:vAlign w:val="center"/>
          </w:tcPr>
          <w:p w:rsidR="002F1A6B" w:rsidRPr="009E62D2" w:rsidRDefault="002F1A6B" w:rsidP="00412CEB">
            <w:pPr>
              <w:spacing w:before="60" w:after="0"/>
              <w:jc w:val="center"/>
              <w:rPr>
                <w:b/>
                <w:sz w:val="24"/>
              </w:rPr>
            </w:pPr>
            <w:r w:rsidRPr="009E62D2">
              <w:rPr>
                <w:b/>
                <w:sz w:val="24"/>
              </w:rPr>
              <w:t>2390–2400</w:t>
            </w:r>
            <w:r w:rsidR="0008532D" w:rsidRPr="009E62D2">
              <w:rPr>
                <w:b/>
                <w:sz w:val="24"/>
              </w:rPr>
              <w:t>*</w:t>
            </w:r>
          </w:p>
        </w:tc>
        <w:tc>
          <w:tcPr>
            <w:tcW w:w="2209" w:type="dxa"/>
            <w:tcBorders>
              <w:top w:val="single" w:sz="6" w:space="0" w:color="000000"/>
              <w:bottom w:val="single" w:sz="4" w:space="0" w:color="auto"/>
            </w:tcBorders>
            <w:shd w:val="clear" w:color="auto" w:fill="auto"/>
            <w:vAlign w:val="center"/>
          </w:tcPr>
          <w:p w:rsidR="002F1A6B" w:rsidRPr="009E62D2" w:rsidRDefault="002F1A6B" w:rsidP="00412CEB">
            <w:pPr>
              <w:pStyle w:val="NormalWeb"/>
              <w:spacing w:before="60" w:beforeAutospacing="0" w:after="0" w:afterAutospacing="0"/>
              <w:jc w:val="center"/>
              <w:rPr>
                <w:rFonts w:cs="Calibri"/>
                <w:color w:val="000000"/>
                <w:kern w:val="24"/>
                <w:sz w:val="24"/>
                <w:szCs w:val="22"/>
              </w:rPr>
            </w:pPr>
            <w:r w:rsidRPr="009E62D2">
              <w:rPr>
                <w:rFonts w:cs="Calibri"/>
                <w:color w:val="000000"/>
                <w:kern w:val="24"/>
                <w:sz w:val="24"/>
                <w:szCs w:val="22"/>
              </w:rPr>
              <w:t>-88.2</w:t>
            </w:r>
          </w:p>
        </w:tc>
        <w:tc>
          <w:tcPr>
            <w:tcW w:w="2209" w:type="dxa"/>
            <w:tcBorders>
              <w:top w:val="single" w:sz="6" w:space="0" w:color="000000"/>
              <w:bottom w:val="single" w:sz="4" w:space="0" w:color="auto"/>
            </w:tcBorders>
            <w:shd w:val="clear" w:color="auto" w:fill="auto"/>
            <w:vAlign w:val="center"/>
          </w:tcPr>
          <w:p w:rsidR="002F1A6B" w:rsidRPr="009E62D2" w:rsidRDefault="002F1A6B" w:rsidP="00412CEB">
            <w:pPr>
              <w:pStyle w:val="NormalWeb"/>
              <w:spacing w:before="60" w:beforeAutospacing="0" w:after="0" w:afterAutospacing="0"/>
              <w:jc w:val="center"/>
              <w:rPr>
                <w:rFonts w:cs="Calibri"/>
                <w:color w:val="000000"/>
                <w:kern w:val="24"/>
                <w:sz w:val="24"/>
                <w:szCs w:val="22"/>
              </w:rPr>
            </w:pPr>
            <w:r w:rsidRPr="009E62D2">
              <w:rPr>
                <w:rFonts w:cs="Calibri"/>
                <w:color w:val="000000"/>
                <w:kern w:val="24"/>
                <w:sz w:val="24"/>
                <w:szCs w:val="22"/>
              </w:rPr>
              <w:t>-88.2</w:t>
            </w:r>
          </w:p>
        </w:tc>
      </w:tr>
    </w:tbl>
    <w:p w:rsidR="00412CEB" w:rsidRDefault="00412CEB" w:rsidP="00974DD9">
      <w:pPr>
        <w:ind w:left="1080"/>
        <w:rPr>
          <w:b/>
          <w:bCs/>
        </w:rPr>
      </w:pPr>
    </w:p>
    <w:p w:rsidR="00974DD9" w:rsidRDefault="00974DD9" w:rsidP="00974DD9">
      <w:pPr>
        <w:ind w:left="1080"/>
        <w:rPr>
          <w:b/>
          <w:bCs/>
        </w:rPr>
      </w:pPr>
      <w:r w:rsidRPr="00D945C7">
        <w:rPr>
          <w:b/>
          <w:bCs/>
        </w:rPr>
        <w:t>*</w:t>
      </w:r>
      <w:r>
        <w:rPr>
          <w:b/>
          <w:bCs/>
        </w:rPr>
        <w:t xml:space="preserve"> </w:t>
      </w:r>
      <w:r w:rsidR="009101F1">
        <w:rPr>
          <w:b/>
          <w:bCs/>
        </w:rPr>
        <w:t xml:space="preserve">The restricted zone is considered to provide sufficient protection to space research services at </w:t>
      </w:r>
      <w:r w:rsidR="00B166F7">
        <w:rPr>
          <w:b/>
          <w:bCs/>
        </w:rPr>
        <w:t>frequencies &gt; 236</w:t>
      </w:r>
      <w:r w:rsidR="009101F1">
        <w:rPr>
          <w:b/>
          <w:bCs/>
        </w:rPr>
        <w:t>0 MHz</w:t>
      </w:r>
      <w:r>
        <w:rPr>
          <w:b/>
          <w:bCs/>
        </w:rPr>
        <w:t>.</w:t>
      </w:r>
    </w:p>
    <w:p w:rsidR="00A87EBC" w:rsidRDefault="00CD27A3" w:rsidP="00A87EBC">
      <w:pPr>
        <w:widowControl w:val="0"/>
        <w:spacing w:after="0" w:line="240" w:lineRule="auto"/>
        <w:rPr>
          <w:rFonts w:eastAsia="Times New Roman"/>
          <w:sz w:val="24"/>
          <w:szCs w:val="20"/>
          <w:lang w:val="en-GB" w:eastAsia="en-AU"/>
        </w:rPr>
      </w:pPr>
      <w:r w:rsidRPr="00A87EBC">
        <w:rPr>
          <w:rFonts w:eastAsia="Times New Roman"/>
          <w:sz w:val="24"/>
          <w:szCs w:val="20"/>
          <w:lang w:val="en-GB" w:eastAsia="en-AU"/>
        </w:rPr>
        <w:t>If the calculated signal level is above the threshold level</w:t>
      </w:r>
      <w:r w:rsidR="009521F2" w:rsidRPr="00A87EBC">
        <w:rPr>
          <w:rFonts w:eastAsia="Times New Roman"/>
          <w:sz w:val="24"/>
          <w:szCs w:val="20"/>
          <w:lang w:val="en-GB" w:eastAsia="en-AU"/>
        </w:rPr>
        <w:t>,</w:t>
      </w:r>
      <w:r w:rsidRPr="00A87EBC">
        <w:rPr>
          <w:rFonts w:eastAsia="Times New Roman"/>
          <w:sz w:val="24"/>
          <w:szCs w:val="20"/>
          <w:lang w:val="en-GB" w:eastAsia="en-AU"/>
        </w:rPr>
        <w:t xml:space="preserve"> then </w:t>
      </w:r>
      <w:r w:rsidR="00F469F4" w:rsidRPr="00A87EBC">
        <w:rPr>
          <w:rFonts w:eastAsia="Times New Roman"/>
          <w:sz w:val="24"/>
          <w:szCs w:val="20"/>
          <w:lang w:val="en-GB" w:eastAsia="en-AU"/>
        </w:rPr>
        <w:t>coordination is deemed to fail and the device cannot be registered.</w:t>
      </w:r>
    </w:p>
    <w:p w:rsidR="00287226" w:rsidRPr="00A87EBC" w:rsidRDefault="00F469F4" w:rsidP="00A87EBC">
      <w:pPr>
        <w:widowControl w:val="0"/>
        <w:spacing w:after="0" w:line="240" w:lineRule="auto"/>
        <w:rPr>
          <w:rFonts w:eastAsia="Times New Roman"/>
          <w:sz w:val="24"/>
          <w:szCs w:val="20"/>
          <w:lang w:val="en-GB" w:eastAsia="en-AU"/>
        </w:rPr>
      </w:pPr>
      <w:r w:rsidRPr="00A87EBC">
        <w:rPr>
          <w:rFonts w:eastAsia="Times New Roman"/>
          <w:sz w:val="24"/>
          <w:szCs w:val="20"/>
          <w:lang w:val="en-GB" w:eastAsia="en-AU"/>
        </w:rPr>
        <w:t xml:space="preserve"> </w:t>
      </w:r>
    </w:p>
    <w:p w:rsidR="00562826" w:rsidRDefault="00DA4FF5" w:rsidP="00A87EBC">
      <w:pPr>
        <w:widowControl w:val="0"/>
        <w:spacing w:after="0" w:line="240" w:lineRule="auto"/>
        <w:rPr>
          <w:rFonts w:eastAsia="Times New Roman"/>
          <w:sz w:val="24"/>
          <w:szCs w:val="20"/>
          <w:lang w:val="en-GB" w:eastAsia="en-AU"/>
        </w:rPr>
      </w:pPr>
      <w:r w:rsidRPr="00A87EBC">
        <w:rPr>
          <w:rFonts w:eastAsia="Times New Roman"/>
          <w:sz w:val="24"/>
          <w:szCs w:val="20"/>
          <w:lang w:val="en-GB" w:eastAsia="en-AU"/>
        </w:rPr>
        <w:t xml:space="preserve">In </w:t>
      </w:r>
      <w:r w:rsidR="00F469F4" w:rsidRPr="00A87EBC">
        <w:rPr>
          <w:rFonts w:eastAsia="Times New Roman"/>
          <w:sz w:val="24"/>
          <w:szCs w:val="20"/>
          <w:lang w:val="en-GB" w:eastAsia="en-AU"/>
        </w:rPr>
        <w:t xml:space="preserve">such cases </w:t>
      </w:r>
      <w:r w:rsidRPr="00A87EBC">
        <w:rPr>
          <w:rFonts w:eastAsia="Times New Roman"/>
          <w:sz w:val="24"/>
          <w:szCs w:val="20"/>
          <w:lang w:val="en-GB" w:eastAsia="en-AU"/>
        </w:rPr>
        <w:t xml:space="preserve">the </w:t>
      </w:r>
      <w:r w:rsidR="0099361E" w:rsidRPr="00A87EBC">
        <w:rPr>
          <w:rFonts w:eastAsia="Times New Roman"/>
          <w:sz w:val="24"/>
          <w:szCs w:val="20"/>
          <w:lang w:val="en-GB" w:eastAsia="en-AU"/>
        </w:rPr>
        <w:t>spectrum</w:t>
      </w:r>
      <w:r w:rsidRPr="00A87EBC">
        <w:rPr>
          <w:rFonts w:eastAsia="Times New Roman"/>
          <w:sz w:val="24"/>
          <w:szCs w:val="20"/>
          <w:lang w:val="en-GB" w:eastAsia="en-AU"/>
        </w:rPr>
        <w:t xml:space="preserve"> licensee will require agreement by the </w:t>
      </w:r>
      <w:r w:rsidR="00440122" w:rsidRPr="00A87EBC">
        <w:rPr>
          <w:rFonts w:eastAsia="Times New Roman"/>
          <w:sz w:val="24"/>
          <w:szCs w:val="20"/>
          <w:lang w:val="en-GB" w:eastAsia="en-AU"/>
        </w:rPr>
        <w:t xml:space="preserve">users of the </w:t>
      </w:r>
      <w:r w:rsidR="0099361E" w:rsidRPr="00A87EBC">
        <w:rPr>
          <w:rFonts w:eastAsia="Times New Roman"/>
          <w:sz w:val="24"/>
          <w:szCs w:val="20"/>
          <w:lang w:val="en-GB" w:eastAsia="en-AU"/>
        </w:rPr>
        <w:t xml:space="preserve">SRS </w:t>
      </w:r>
      <w:r w:rsidR="00440122" w:rsidRPr="00A87EBC">
        <w:rPr>
          <w:rFonts w:eastAsia="Times New Roman"/>
          <w:sz w:val="24"/>
          <w:szCs w:val="20"/>
          <w:lang w:val="en-GB" w:eastAsia="en-AU"/>
        </w:rPr>
        <w:t xml:space="preserve">deep space </w:t>
      </w:r>
      <w:r w:rsidR="0099361E" w:rsidRPr="00A87EBC">
        <w:rPr>
          <w:rFonts w:eastAsia="Times New Roman"/>
          <w:sz w:val="24"/>
          <w:szCs w:val="20"/>
          <w:lang w:val="en-GB" w:eastAsia="en-AU"/>
        </w:rPr>
        <w:t xml:space="preserve">earth station </w:t>
      </w:r>
      <w:r w:rsidRPr="00A87EBC">
        <w:rPr>
          <w:rFonts w:eastAsia="Times New Roman"/>
          <w:sz w:val="24"/>
          <w:szCs w:val="20"/>
          <w:lang w:val="en-GB" w:eastAsia="en-AU"/>
        </w:rPr>
        <w:t xml:space="preserve">before the </w:t>
      </w:r>
      <w:r w:rsidR="0099361E" w:rsidRPr="00A87EBC">
        <w:rPr>
          <w:rFonts w:eastAsia="Times New Roman"/>
          <w:sz w:val="24"/>
          <w:szCs w:val="20"/>
          <w:lang w:val="en-GB" w:eastAsia="en-AU"/>
        </w:rPr>
        <w:t>device is registered</w:t>
      </w:r>
      <w:r w:rsidR="00562826" w:rsidRPr="00A87EBC">
        <w:rPr>
          <w:rFonts w:eastAsia="Times New Roman"/>
          <w:sz w:val="24"/>
          <w:szCs w:val="20"/>
          <w:lang w:val="en-GB" w:eastAsia="en-AU"/>
        </w:rPr>
        <w:t xml:space="preserve"> by</w:t>
      </w:r>
      <w:r w:rsidR="0099361E" w:rsidRPr="00A87EBC">
        <w:rPr>
          <w:rFonts w:eastAsia="Times New Roman"/>
          <w:sz w:val="24"/>
          <w:szCs w:val="20"/>
          <w:lang w:val="en-GB" w:eastAsia="en-AU"/>
        </w:rPr>
        <w:t xml:space="preserve"> the</w:t>
      </w:r>
      <w:r w:rsidR="00562826" w:rsidRPr="00A87EBC">
        <w:rPr>
          <w:rFonts w:eastAsia="Times New Roman"/>
          <w:sz w:val="24"/>
          <w:szCs w:val="20"/>
          <w:lang w:val="en-GB" w:eastAsia="en-AU"/>
        </w:rPr>
        <w:t xml:space="preserve"> ACMA.</w:t>
      </w:r>
    </w:p>
    <w:p w:rsidR="00A87EBC" w:rsidRPr="00A87EBC" w:rsidRDefault="00A87EBC" w:rsidP="00A87EBC">
      <w:pPr>
        <w:widowControl w:val="0"/>
        <w:spacing w:after="0" w:line="240" w:lineRule="auto"/>
        <w:rPr>
          <w:rFonts w:eastAsia="Times New Roman"/>
          <w:sz w:val="24"/>
          <w:szCs w:val="20"/>
          <w:lang w:val="en-GB" w:eastAsia="en-AU"/>
        </w:rPr>
      </w:pPr>
    </w:p>
    <w:p w:rsidR="000D66D3" w:rsidRDefault="000D66D3" w:rsidP="00A87EBC">
      <w:pPr>
        <w:widowControl w:val="0"/>
        <w:spacing w:after="0" w:line="240" w:lineRule="auto"/>
      </w:pPr>
      <w:r w:rsidRPr="00A87EBC">
        <w:rPr>
          <w:rFonts w:eastAsia="Times New Roman"/>
          <w:sz w:val="24"/>
          <w:szCs w:val="20"/>
          <w:lang w:val="en-GB" w:eastAsia="en-AU"/>
        </w:rPr>
        <w:t xml:space="preserve">If no agreement can be made then ACMA will </w:t>
      </w:r>
      <w:r w:rsidR="00F469F4" w:rsidRPr="00A87EBC">
        <w:rPr>
          <w:rFonts w:eastAsia="Times New Roman"/>
          <w:sz w:val="24"/>
          <w:szCs w:val="20"/>
          <w:lang w:val="en-GB" w:eastAsia="en-AU"/>
        </w:rPr>
        <w:t xml:space="preserve">make the final decision </w:t>
      </w:r>
      <w:r w:rsidRPr="00A87EBC">
        <w:rPr>
          <w:rFonts w:eastAsia="Times New Roman"/>
          <w:sz w:val="24"/>
          <w:szCs w:val="20"/>
          <w:lang w:val="en-GB" w:eastAsia="en-AU"/>
        </w:rPr>
        <w:t xml:space="preserve">taking into account the requirements of </w:t>
      </w:r>
      <w:r w:rsidR="00524B47" w:rsidRPr="00A87EBC">
        <w:rPr>
          <w:rFonts w:eastAsia="Times New Roman"/>
          <w:sz w:val="24"/>
          <w:szCs w:val="20"/>
          <w:lang w:val="en-GB" w:eastAsia="en-AU"/>
        </w:rPr>
        <w:t xml:space="preserve">and information provided by </w:t>
      </w:r>
      <w:r w:rsidRPr="00A87EBC">
        <w:rPr>
          <w:rFonts w:eastAsia="Times New Roman"/>
          <w:sz w:val="24"/>
          <w:szCs w:val="20"/>
          <w:lang w:val="en-GB" w:eastAsia="en-AU"/>
        </w:rPr>
        <w:t>all stakeholders.  Documents describing the reasons why agreement could not be reached must be forwarded to the Manager, Spectrum Engineering</w:t>
      </w:r>
      <w:r w:rsidR="00BA3C1F" w:rsidRPr="00A87EBC">
        <w:rPr>
          <w:rFonts w:eastAsia="Times New Roman"/>
          <w:sz w:val="24"/>
          <w:szCs w:val="20"/>
          <w:lang w:val="en-GB" w:eastAsia="en-AU"/>
        </w:rPr>
        <w:t xml:space="preserve"> Section</w:t>
      </w:r>
      <w:r w:rsidRPr="00A87EBC">
        <w:rPr>
          <w:rFonts w:eastAsia="Times New Roman"/>
          <w:sz w:val="24"/>
          <w:szCs w:val="20"/>
          <w:lang w:val="en-GB" w:eastAsia="en-AU"/>
        </w:rPr>
        <w:t>,</w:t>
      </w:r>
      <w:r w:rsidR="00A87EBC">
        <w:rPr>
          <w:rFonts w:eastAsia="Times New Roman"/>
          <w:sz w:val="24"/>
          <w:szCs w:val="20"/>
          <w:lang w:val="en-GB" w:eastAsia="en-AU"/>
        </w:rPr>
        <w:t xml:space="preserve"> </w:t>
      </w:r>
      <w:proofErr w:type="gramStart"/>
      <w:r w:rsidR="00A87EBC">
        <w:rPr>
          <w:rFonts w:eastAsia="Times New Roman"/>
          <w:sz w:val="24"/>
          <w:szCs w:val="20"/>
          <w:lang w:val="en-GB" w:eastAsia="en-AU"/>
        </w:rPr>
        <w:t>ACMA</w:t>
      </w:r>
      <w:proofErr w:type="gramEnd"/>
      <w:r w:rsidRPr="006B7AC4">
        <w:rPr>
          <w:rStyle w:val="FootnoteReference"/>
        </w:rPr>
        <w:footnoteReference w:id="5"/>
      </w:r>
      <w:r w:rsidRPr="006B7AC4">
        <w:t>.</w:t>
      </w:r>
    </w:p>
    <w:p w:rsidR="000972D9" w:rsidRDefault="000972D9" w:rsidP="00A87EBC">
      <w:pPr>
        <w:widowControl w:val="0"/>
        <w:spacing w:after="0" w:line="240" w:lineRule="auto"/>
      </w:pPr>
    </w:p>
    <w:p w:rsidR="00175A88" w:rsidRPr="0008532D" w:rsidRDefault="00A95609" w:rsidP="0008532D">
      <w:pPr>
        <w:pStyle w:val="Heading3"/>
      </w:pPr>
      <w:bookmarkStart w:id="40" w:name="_Toc368565836"/>
      <w:bookmarkStart w:id="41" w:name="_Toc369003889"/>
      <w:r w:rsidRPr="0008532D">
        <w:t>In-band coordination requirements</w:t>
      </w:r>
      <w:bookmarkEnd w:id="40"/>
      <w:bookmarkEnd w:id="41"/>
    </w:p>
    <w:p w:rsidR="00175A88" w:rsidRPr="000972D9" w:rsidRDefault="00EB2439" w:rsidP="000972D9">
      <w:pPr>
        <w:widowControl w:val="0"/>
        <w:spacing w:after="0" w:line="240" w:lineRule="auto"/>
        <w:rPr>
          <w:rFonts w:eastAsia="Times New Roman"/>
          <w:sz w:val="24"/>
          <w:szCs w:val="20"/>
          <w:lang w:val="en-GB" w:eastAsia="en-AU"/>
        </w:rPr>
      </w:pPr>
      <w:r w:rsidRPr="000972D9">
        <w:rPr>
          <w:rFonts w:eastAsia="Times New Roman"/>
          <w:sz w:val="24"/>
          <w:szCs w:val="20"/>
          <w:lang w:val="en-GB" w:eastAsia="en-AU"/>
        </w:rPr>
        <w:t>S</w:t>
      </w:r>
      <w:r w:rsidR="00A95609" w:rsidRPr="000972D9">
        <w:rPr>
          <w:rFonts w:eastAsia="Times New Roman"/>
          <w:sz w:val="24"/>
          <w:szCs w:val="20"/>
          <w:lang w:val="en-GB" w:eastAsia="en-AU"/>
        </w:rPr>
        <w:t>pectrum licensees must also comply with the requirements specified in Annex 7 of Appendix 7 of the Radio Regulations</w:t>
      </w:r>
      <w:r w:rsidRPr="000972D9">
        <w:rPr>
          <w:rFonts w:eastAsia="Times New Roman"/>
          <w:sz w:val="24"/>
          <w:szCs w:val="20"/>
          <w:lang w:val="en-GB" w:eastAsia="en-AU"/>
        </w:rPr>
        <w:t>. This</w:t>
      </w:r>
      <w:r w:rsidR="00A95609" w:rsidRPr="000972D9">
        <w:rPr>
          <w:rFonts w:eastAsia="Times New Roman"/>
          <w:sz w:val="24"/>
          <w:szCs w:val="20"/>
          <w:lang w:val="en-GB" w:eastAsia="en-AU"/>
        </w:rPr>
        <w:t xml:space="preserve"> relat</w:t>
      </w:r>
      <w:r w:rsidRPr="000972D9">
        <w:rPr>
          <w:rFonts w:eastAsia="Times New Roman"/>
          <w:sz w:val="24"/>
          <w:szCs w:val="20"/>
          <w:lang w:val="en-GB" w:eastAsia="en-AU"/>
        </w:rPr>
        <w:t>es</w:t>
      </w:r>
      <w:r w:rsidR="00A95609" w:rsidRPr="000972D9">
        <w:rPr>
          <w:rFonts w:eastAsia="Times New Roman"/>
          <w:sz w:val="24"/>
          <w:szCs w:val="20"/>
          <w:lang w:val="en-GB" w:eastAsia="en-AU"/>
        </w:rPr>
        <w:t xml:space="preserve"> to the levels of interference protection to be afforded to deep space facilities </w:t>
      </w:r>
      <w:r w:rsidRPr="000972D9">
        <w:rPr>
          <w:rFonts w:eastAsia="Times New Roman"/>
          <w:sz w:val="24"/>
          <w:szCs w:val="20"/>
          <w:lang w:val="en-GB" w:eastAsia="en-AU"/>
        </w:rPr>
        <w:t xml:space="preserve">from out-of-band emissions that fall within </w:t>
      </w:r>
      <w:r w:rsidR="00A95609" w:rsidRPr="000972D9">
        <w:rPr>
          <w:rFonts w:eastAsia="Times New Roman"/>
          <w:sz w:val="24"/>
          <w:szCs w:val="20"/>
          <w:lang w:val="en-GB" w:eastAsia="en-AU"/>
        </w:rPr>
        <w:t>the band 2290–2300 MHz.</w:t>
      </w:r>
    </w:p>
    <w:p w:rsidR="000972D9" w:rsidRPr="000972D9" w:rsidRDefault="000972D9" w:rsidP="000972D9">
      <w:pPr>
        <w:widowControl w:val="0"/>
        <w:spacing w:after="0" w:line="240" w:lineRule="auto"/>
        <w:rPr>
          <w:rFonts w:eastAsia="Times New Roman"/>
          <w:sz w:val="24"/>
          <w:szCs w:val="20"/>
          <w:lang w:val="en-GB" w:eastAsia="en-AU"/>
        </w:rPr>
      </w:pPr>
    </w:p>
    <w:p w:rsidR="00412CEB" w:rsidRDefault="00412CEB" w:rsidP="00412CEB">
      <w:pPr>
        <w:keepNext/>
        <w:widowControl w:val="0"/>
        <w:spacing w:after="0" w:line="240" w:lineRule="auto"/>
        <w:rPr>
          <w:rFonts w:eastAsia="Times New Roman"/>
          <w:sz w:val="24"/>
          <w:szCs w:val="20"/>
          <w:lang w:val="en-GB" w:eastAsia="en-AU"/>
        </w:rPr>
      </w:pPr>
    </w:p>
    <w:p w:rsidR="00175A88" w:rsidRDefault="00A95609" w:rsidP="00412CEB">
      <w:pPr>
        <w:keepNext/>
        <w:widowControl w:val="0"/>
        <w:spacing w:after="0" w:line="240" w:lineRule="auto"/>
        <w:rPr>
          <w:rFonts w:eastAsia="Times New Roman"/>
          <w:sz w:val="24"/>
          <w:szCs w:val="20"/>
          <w:lang w:val="en-GB" w:eastAsia="en-AU"/>
        </w:rPr>
      </w:pPr>
      <w:r w:rsidRPr="000972D9">
        <w:rPr>
          <w:rFonts w:eastAsia="Times New Roman"/>
          <w:sz w:val="24"/>
          <w:szCs w:val="20"/>
          <w:lang w:val="en-GB" w:eastAsia="en-AU"/>
        </w:rPr>
        <w:t>The requirements of Appendix 7 of the Radio Regulations are deemed to be satisfied if the coordination procedure of Section 2.2 is carried out, but with:</w:t>
      </w:r>
    </w:p>
    <w:p w:rsidR="000972D9" w:rsidRPr="000972D9" w:rsidRDefault="000972D9" w:rsidP="00412CEB">
      <w:pPr>
        <w:keepNext/>
        <w:widowControl w:val="0"/>
        <w:spacing w:after="0" w:line="240" w:lineRule="auto"/>
        <w:rPr>
          <w:rFonts w:eastAsia="Times New Roman"/>
          <w:sz w:val="24"/>
          <w:szCs w:val="20"/>
          <w:lang w:val="en-GB" w:eastAsia="en-AU"/>
        </w:rPr>
      </w:pPr>
    </w:p>
    <w:p w:rsidR="00175A88" w:rsidRDefault="00A95609" w:rsidP="00412CEB">
      <w:pPr>
        <w:keepNext/>
        <w:widowControl w:val="0"/>
        <w:spacing w:after="0" w:line="240" w:lineRule="auto"/>
        <w:rPr>
          <w:rFonts w:eastAsia="Times New Roman"/>
          <w:sz w:val="24"/>
          <w:szCs w:val="20"/>
          <w:lang w:val="en-GB" w:eastAsia="en-AU"/>
        </w:rPr>
      </w:pPr>
      <w:proofErr w:type="spellStart"/>
      <w:r w:rsidRPr="000972D9">
        <w:rPr>
          <w:rFonts w:eastAsia="Times New Roman"/>
          <w:sz w:val="24"/>
          <w:szCs w:val="20"/>
          <w:lang w:val="en-GB" w:eastAsia="en-AU"/>
        </w:rPr>
        <w:t>PSDtx</w:t>
      </w:r>
      <w:proofErr w:type="spellEnd"/>
      <w:r w:rsidRPr="000972D9">
        <w:rPr>
          <w:rFonts w:eastAsia="Times New Roman"/>
          <w:sz w:val="24"/>
          <w:szCs w:val="20"/>
          <w:lang w:val="en-GB" w:eastAsia="en-AU"/>
        </w:rPr>
        <w:t xml:space="preserve"> = transmitter’s out-of-band power spectral density in any 1 Hz within the band 2290</w:t>
      </w:r>
      <w:r w:rsidR="000972D9">
        <w:rPr>
          <w:rFonts w:eastAsia="Times New Roman"/>
          <w:sz w:val="24"/>
          <w:szCs w:val="20"/>
          <w:lang w:val="en-GB" w:eastAsia="en-AU"/>
        </w:rPr>
        <w:noBreakHyphen/>
      </w:r>
      <w:r w:rsidRPr="000972D9">
        <w:rPr>
          <w:rFonts w:eastAsia="Times New Roman"/>
          <w:sz w:val="24"/>
          <w:szCs w:val="20"/>
          <w:lang w:val="en-GB" w:eastAsia="en-AU"/>
        </w:rPr>
        <w:t>2300 MHz (dBW/Hz)</w:t>
      </w:r>
    </w:p>
    <w:p w:rsidR="000972D9" w:rsidRPr="000972D9" w:rsidRDefault="000972D9" w:rsidP="000972D9">
      <w:pPr>
        <w:widowControl w:val="0"/>
        <w:spacing w:after="0" w:line="240" w:lineRule="auto"/>
        <w:rPr>
          <w:rFonts w:eastAsia="Times New Roman"/>
          <w:sz w:val="24"/>
          <w:szCs w:val="20"/>
          <w:lang w:val="en-GB" w:eastAsia="en-AU"/>
        </w:rPr>
      </w:pPr>
    </w:p>
    <w:p w:rsidR="008E05A7" w:rsidRDefault="009E473E" w:rsidP="000972D9">
      <w:pPr>
        <w:widowControl w:val="0"/>
        <w:spacing w:after="0" w:line="240" w:lineRule="auto"/>
        <w:rPr>
          <w:rFonts w:eastAsia="Times New Roman"/>
          <w:sz w:val="24"/>
          <w:szCs w:val="20"/>
          <w:lang w:val="en-GB" w:eastAsia="en-AU"/>
        </w:rPr>
      </w:pPr>
      <w:r w:rsidRPr="000972D9">
        <w:rPr>
          <w:rFonts w:eastAsia="Times New Roman"/>
          <w:sz w:val="24"/>
          <w:szCs w:val="20"/>
          <w:lang w:val="en-GB" w:eastAsia="en-AU"/>
        </w:rPr>
        <w:t>p = 0.001% (as per Table 8b of Annex 7 to Appendix 7 of the Radio Regulations)</w:t>
      </w:r>
    </w:p>
    <w:p w:rsidR="000972D9" w:rsidRPr="000972D9" w:rsidRDefault="000972D9" w:rsidP="000972D9">
      <w:pPr>
        <w:widowControl w:val="0"/>
        <w:spacing w:after="0" w:line="240" w:lineRule="auto"/>
        <w:rPr>
          <w:rFonts w:eastAsia="Times New Roman"/>
          <w:sz w:val="24"/>
          <w:szCs w:val="20"/>
          <w:lang w:val="en-GB" w:eastAsia="en-AU"/>
        </w:rPr>
      </w:pPr>
    </w:p>
    <w:p w:rsidR="00175A88" w:rsidRDefault="00A95609" w:rsidP="000972D9">
      <w:pPr>
        <w:widowControl w:val="0"/>
        <w:spacing w:after="0" w:line="240" w:lineRule="auto"/>
        <w:rPr>
          <w:rFonts w:eastAsia="Times New Roman"/>
          <w:sz w:val="24"/>
          <w:szCs w:val="20"/>
          <w:lang w:val="en-GB" w:eastAsia="en-AU"/>
        </w:rPr>
      </w:pPr>
      <w:r w:rsidRPr="000972D9">
        <w:rPr>
          <w:rFonts w:eastAsia="Times New Roman"/>
          <w:sz w:val="24"/>
          <w:szCs w:val="20"/>
          <w:lang w:val="en-GB" w:eastAsia="en-AU"/>
        </w:rPr>
        <w:t>Interference Threshold level = –222 dBW/Hz (as per Table 8b of Annex 7 to Appendix 7 of the Radio Regulations)</w:t>
      </w:r>
    </w:p>
    <w:p w:rsidR="00F0114B" w:rsidRPr="000972D9" w:rsidRDefault="00F0114B" w:rsidP="000972D9">
      <w:pPr>
        <w:widowControl w:val="0"/>
        <w:spacing w:after="0" w:line="240" w:lineRule="auto"/>
        <w:rPr>
          <w:rFonts w:eastAsia="Times New Roman"/>
          <w:sz w:val="24"/>
          <w:szCs w:val="20"/>
          <w:lang w:val="en-GB" w:eastAsia="en-AU"/>
        </w:rPr>
      </w:pPr>
    </w:p>
    <w:p w:rsidR="0097169A" w:rsidRPr="00F1667D" w:rsidRDefault="0097169A" w:rsidP="00F1667D">
      <w:pPr>
        <w:pStyle w:val="Heading2"/>
      </w:pPr>
      <w:bookmarkStart w:id="42" w:name="_Toc369003890"/>
      <w:r w:rsidRPr="00F1667D">
        <w:t>Exceptions</w:t>
      </w:r>
      <w:bookmarkEnd w:id="42"/>
    </w:p>
    <w:p w:rsidR="000972D9" w:rsidRPr="000972D9" w:rsidRDefault="0097169A" w:rsidP="000972D9">
      <w:pPr>
        <w:widowControl w:val="0"/>
        <w:spacing w:after="0" w:line="240" w:lineRule="auto"/>
        <w:rPr>
          <w:rFonts w:eastAsia="Times New Roman"/>
          <w:sz w:val="24"/>
          <w:szCs w:val="20"/>
          <w:lang w:val="en-GB" w:eastAsia="en-AU"/>
        </w:rPr>
      </w:pPr>
      <w:r w:rsidRPr="000972D9">
        <w:rPr>
          <w:rFonts w:eastAsia="Times New Roman"/>
          <w:sz w:val="24"/>
          <w:szCs w:val="20"/>
          <w:lang w:val="en-GB" w:eastAsia="en-AU"/>
        </w:rPr>
        <w:t xml:space="preserve">Exceptions </w:t>
      </w:r>
      <w:r w:rsidR="00734991" w:rsidRPr="000972D9">
        <w:rPr>
          <w:rFonts w:eastAsia="Times New Roman"/>
          <w:sz w:val="24"/>
          <w:szCs w:val="20"/>
          <w:lang w:val="en-GB" w:eastAsia="en-AU"/>
        </w:rPr>
        <w:t xml:space="preserve">to the requirements of this RALI for prospective assignments </w:t>
      </w:r>
      <w:r w:rsidRPr="000972D9">
        <w:rPr>
          <w:rFonts w:eastAsia="Times New Roman"/>
          <w:sz w:val="24"/>
          <w:szCs w:val="20"/>
          <w:lang w:val="en-GB" w:eastAsia="en-AU"/>
        </w:rPr>
        <w:t>require case-by-case considera</w:t>
      </w:r>
      <w:r w:rsidR="00A01D4F" w:rsidRPr="000972D9">
        <w:rPr>
          <w:rFonts w:eastAsia="Times New Roman"/>
          <w:sz w:val="24"/>
          <w:szCs w:val="20"/>
          <w:lang w:val="en-GB" w:eastAsia="en-AU"/>
        </w:rPr>
        <w:t xml:space="preserve">tion by </w:t>
      </w:r>
      <w:r w:rsidRPr="000972D9">
        <w:rPr>
          <w:rFonts w:eastAsia="Times New Roman"/>
          <w:sz w:val="24"/>
          <w:szCs w:val="20"/>
          <w:lang w:val="en-GB" w:eastAsia="en-AU"/>
        </w:rPr>
        <w:t xml:space="preserve">the Manager, Spectrum </w:t>
      </w:r>
      <w:r w:rsidR="00A01D4F" w:rsidRPr="000972D9">
        <w:rPr>
          <w:rFonts w:eastAsia="Times New Roman"/>
          <w:sz w:val="24"/>
          <w:szCs w:val="20"/>
          <w:lang w:val="en-GB" w:eastAsia="en-AU"/>
        </w:rPr>
        <w:t>Engineering Section</w:t>
      </w:r>
      <w:r w:rsidR="00F1667D" w:rsidRPr="000972D9">
        <w:rPr>
          <w:rFonts w:eastAsia="Times New Roman"/>
          <w:sz w:val="24"/>
          <w:szCs w:val="20"/>
          <w:lang w:val="en-GB" w:eastAsia="en-AU"/>
        </w:rPr>
        <w:footnoteReference w:id="6"/>
      </w:r>
      <w:r w:rsidR="00731A9C" w:rsidRPr="000972D9">
        <w:rPr>
          <w:rFonts w:eastAsia="Times New Roman"/>
          <w:sz w:val="24"/>
          <w:szCs w:val="20"/>
          <w:lang w:val="en-GB" w:eastAsia="en-AU"/>
        </w:rPr>
        <w:t>.</w:t>
      </w:r>
    </w:p>
    <w:p w:rsidR="00FD3347" w:rsidRPr="000972D9" w:rsidRDefault="0097169A" w:rsidP="000972D9">
      <w:pPr>
        <w:widowControl w:val="0"/>
        <w:spacing w:after="0" w:line="240" w:lineRule="auto"/>
        <w:rPr>
          <w:rFonts w:eastAsia="Times New Roman"/>
          <w:sz w:val="24"/>
          <w:szCs w:val="20"/>
          <w:lang w:val="en-GB" w:eastAsia="en-AU"/>
        </w:rPr>
      </w:pPr>
      <w:r w:rsidRPr="000972D9">
        <w:rPr>
          <w:rFonts w:eastAsia="Times New Roman"/>
          <w:sz w:val="24"/>
          <w:szCs w:val="20"/>
          <w:lang w:val="en-GB" w:eastAsia="en-AU"/>
        </w:rPr>
        <w:t xml:space="preserve"> </w:t>
      </w:r>
    </w:p>
    <w:p w:rsidR="00500E04" w:rsidRDefault="00500E04" w:rsidP="000972D9">
      <w:pPr>
        <w:widowControl w:val="0"/>
        <w:spacing w:after="0" w:line="240" w:lineRule="auto"/>
        <w:rPr>
          <w:rFonts w:eastAsia="Times New Roman"/>
          <w:sz w:val="24"/>
          <w:szCs w:val="20"/>
          <w:lang w:val="en-GB" w:eastAsia="en-AU"/>
        </w:rPr>
      </w:pPr>
      <w:r w:rsidRPr="000972D9">
        <w:rPr>
          <w:rFonts w:eastAsia="Times New Roman"/>
          <w:sz w:val="24"/>
          <w:szCs w:val="20"/>
          <w:lang w:val="en-GB" w:eastAsia="en-AU"/>
        </w:rPr>
        <w:t xml:space="preserve">A request for exemption from the requirements of this RALI that is </w:t>
      </w:r>
      <w:r w:rsidR="00946569" w:rsidRPr="000972D9">
        <w:rPr>
          <w:rFonts w:eastAsia="Times New Roman"/>
          <w:sz w:val="24"/>
          <w:szCs w:val="20"/>
          <w:lang w:val="en-GB" w:eastAsia="en-AU"/>
        </w:rPr>
        <w:t>accompanied with evidence of support</w:t>
      </w:r>
      <w:r w:rsidR="00731A9C" w:rsidRPr="000972D9">
        <w:rPr>
          <w:rFonts w:eastAsia="Times New Roman"/>
          <w:sz w:val="24"/>
          <w:szCs w:val="20"/>
          <w:lang w:val="en-GB" w:eastAsia="en-AU"/>
        </w:rPr>
        <w:t xml:space="preserve"> from the relevant SRS earth station licensee</w:t>
      </w:r>
      <w:r w:rsidR="00946569" w:rsidRPr="000972D9">
        <w:rPr>
          <w:rFonts w:eastAsia="Times New Roman"/>
          <w:sz w:val="24"/>
          <w:szCs w:val="20"/>
          <w:lang w:val="en-GB" w:eastAsia="en-AU"/>
        </w:rPr>
        <w:t xml:space="preserve"> </w:t>
      </w:r>
      <w:r w:rsidRPr="000972D9">
        <w:rPr>
          <w:rFonts w:eastAsia="Times New Roman"/>
          <w:sz w:val="24"/>
          <w:szCs w:val="20"/>
          <w:lang w:val="en-GB" w:eastAsia="en-AU"/>
        </w:rPr>
        <w:t xml:space="preserve">would normally be approved by </w:t>
      </w:r>
      <w:r w:rsidR="00731A9C" w:rsidRPr="000972D9">
        <w:rPr>
          <w:rFonts w:eastAsia="Times New Roman"/>
          <w:sz w:val="24"/>
          <w:szCs w:val="20"/>
          <w:lang w:val="en-GB" w:eastAsia="en-AU"/>
        </w:rPr>
        <w:t xml:space="preserve">the </w:t>
      </w:r>
      <w:r w:rsidRPr="000972D9">
        <w:rPr>
          <w:rFonts w:eastAsia="Times New Roman"/>
          <w:sz w:val="24"/>
          <w:szCs w:val="20"/>
          <w:lang w:val="en-GB" w:eastAsia="en-AU"/>
        </w:rPr>
        <w:t>ACMA.</w:t>
      </w:r>
    </w:p>
    <w:p w:rsidR="00F0114B" w:rsidRPr="000972D9" w:rsidRDefault="00F0114B" w:rsidP="000972D9">
      <w:pPr>
        <w:widowControl w:val="0"/>
        <w:spacing w:after="0" w:line="240" w:lineRule="auto"/>
        <w:rPr>
          <w:rFonts w:eastAsia="Times New Roman"/>
          <w:sz w:val="24"/>
          <w:szCs w:val="20"/>
          <w:lang w:val="en-GB" w:eastAsia="en-AU"/>
        </w:rPr>
      </w:pPr>
    </w:p>
    <w:p w:rsidR="00510CF9" w:rsidRDefault="00510CF9" w:rsidP="00F1667D">
      <w:pPr>
        <w:pStyle w:val="Heading1"/>
      </w:pPr>
      <w:bookmarkStart w:id="43" w:name="_Toc454597306"/>
      <w:bookmarkStart w:id="44" w:name="_Toc475864871"/>
      <w:bookmarkStart w:id="45" w:name="_Toc369003891"/>
      <w:r>
        <w:t>RALI Authorisation</w:t>
      </w:r>
      <w:bookmarkEnd w:id="43"/>
      <w:bookmarkEnd w:id="44"/>
      <w:bookmarkEnd w:id="45"/>
    </w:p>
    <w:p w:rsidR="00510CF9" w:rsidRDefault="00510CF9"/>
    <w:p w:rsidR="00510CF9" w:rsidRDefault="00510CF9"/>
    <w:p w:rsidR="00F0114B" w:rsidRDefault="00F0114B"/>
    <w:p w:rsidR="00510CF9" w:rsidRPr="00160331" w:rsidRDefault="0092371D">
      <w:r>
        <w:t>[</w:t>
      </w:r>
      <w:proofErr w:type="gramStart"/>
      <w:r w:rsidR="00AA454D">
        <w:t>signed</w:t>
      </w:r>
      <w:proofErr w:type="gramEnd"/>
      <w:r>
        <w:t>]</w:t>
      </w:r>
      <w:r>
        <w:tab/>
      </w:r>
      <w:r>
        <w:tab/>
      </w:r>
      <w:r w:rsidR="00F35E74">
        <w:tab/>
        <w:t>14/10/2013</w:t>
      </w:r>
      <w:r>
        <w:tab/>
      </w:r>
    </w:p>
    <w:p w:rsidR="00914689" w:rsidRDefault="000972D9" w:rsidP="00F1667D">
      <w:r w:rsidRPr="000972D9">
        <w:rPr>
          <w:b/>
        </w:rPr>
        <w:t>Mark Arkell</w:t>
      </w:r>
      <w:r w:rsidR="009D1118" w:rsidRPr="000972D9">
        <w:rPr>
          <w:b/>
        </w:rPr>
        <w:br/>
      </w:r>
      <w:r>
        <w:rPr>
          <w:b/>
        </w:rPr>
        <w:t>Manager, Spectrum Engineering Section</w:t>
      </w:r>
      <w:r w:rsidR="00510CF9">
        <w:rPr>
          <w:b/>
        </w:rPr>
        <w:br/>
      </w:r>
      <w:r w:rsidR="00F24D8F">
        <w:rPr>
          <w:b/>
        </w:rPr>
        <w:t xml:space="preserve">Spectrum </w:t>
      </w:r>
      <w:r>
        <w:rPr>
          <w:b/>
        </w:rPr>
        <w:t>Planning and Engineering</w:t>
      </w:r>
      <w:r w:rsidR="00510CF9">
        <w:rPr>
          <w:b/>
        </w:rPr>
        <w:t xml:space="preserve"> </w:t>
      </w:r>
      <w:r w:rsidR="002C36BE">
        <w:rPr>
          <w:b/>
        </w:rPr>
        <w:t>Branch</w:t>
      </w:r>
      <w:r w:rsidR="00510CF9">
        <w:rPr>
          <w:b/>
        </w:rPr>
        <w:br/>
        <w:t xml:space="preserve">Australian Communications </w:t>
      </w:r>
      <w:r w:rsidR="00FE67E5">
        <w:rPr>
          <w:b/>
        </w:rPr>
        <w:t xml:space="preserve">and Media </w:t>
      </w:r>
      <w:r w:rsidR="00510CF9">
        <w:rPr>
          <w:b/>
        </w:rPr>
        <w:t>Authority</w:t>
      </w:r>
      <w:bookmarkStart w:id="46" w:name="_Toc362362508"/>
      <w:bookmarkEnd w:id="46"/>
      <w:r w:rsidR="0038000D" w:rsidDel="0038000D">
        <w:t xml:space="preserve"> </w:t>
      </w:r>
    </w:p>
    <w:p w:rsidR="00B166F7" w:rsidRDefault="00B166F7" w:rsidP="00F1667D"/>
    <w:p w:rsidR="00B166F7" w:rsidRDefault="00B166F7" w:rsidP="00B166F7">
      <w:pPr>
        <w:pStyle w:val="Heading1"/>
        <w:numPr>
          <w:ilvl w:val="0"/>
          <w:numId w:val="0"/>
        </w:numPr>
        <w:ind w:left="432" w:hanging="432"/>
      </w:pPr>
      <w:r>
        <w:br w:type="page"/>
      </w:r>
      <w:bookmarkStart w:id="47" w:name="_Toc369003892"/>
      <w:r>
        <w:lastRenderedPageBreak/>
        <w:t>Annex 1: Restricted Zone Coordinates</w:t>
      </w:r>
      <w:bookmarkEnd w:id="47"/>
    </w:p>
    <w:p w:rsidR="000972D9" w:rsidRDefault="00B166F7" w:rsidP="000972D9">
      <w:pPr>
        <w:widowControl w:val="0"/>
        <w:spacing w:after="0" w:line="240" w:lineRule="auto"/>
        <w:rPr>
          <w:rFonts w:eastAsia="Times New Roman"/>
          <w:sz w:val="24"/>
          <w:szCs w:val="20"/>
          <w:lang w:val="en-GB" w:eastAsia="en-AU"/>
        </w:rPr>
      </w:pPr>
      <w:r w:rsidRPr="000972D9">
        <w:rPr>
          <w:rFonts w:eastAsia="Times New Roman"/>
          <w:sz w:val="24"/>
          <w:szCs w:val="20"/>
          <w:lang w:val="en-GB" w:eastAsia="en-AU"/>
        </w:rPr>
        <w:t>For the purposes of table 1 of section 2.1 of this RALI, Area 1 is described as the geographical area whose boundaries are described by the coordinates in the table below. Each successive s</w:t>
      </w:r>
      <w:r w:rsidR="001E03A4" w:rsidRPr="000972D9">
        <w:rPr>
          <w:rFonts w:eastAsia="Times New Roman"/>
          <w:sz w:val="24"/>
          <w:szCs w:val="20"/>
          <w:lang w:val="en-GB" w:eastAsia="en-AU"/>
        </w:rPr>
        <w:t>et of coordinate in the table are</w:t>
      </w:r>
      <w:r w:rsidRPr="000972D9">
        <w:rPr>
          <w:rFonts w:eastAsia="Times New Roman"/>
          <w:sz w:val="24"/>
          <w:szCs w:val="20"/>
          <w:lang w:val="en-GB" w:eastAsia="en-AU"/>
        </w:rPr>
        <w:t xml:space="preserve"> joined by a line of longitude or latitude.</w:t>
      </w:r>
    </w:p>
    <w:p w:rsidR="00F0114B" w:rsidRPr="000972D9" w:rsidRDefault="00F0114B" w:rsidP="000972D9">
      <w:pPr>
        <w:widowControl w:val="0"/>
        <w:spacing w:after="0" w:line="240" w:lineRule="auto"/>
        <w:rPr>
          <w:rFonts w:eastAsia="Times New Roman"/>
          <w:sz w:val="24"/>
          <w:szCs w:val="20"/>
          <w:lang w:val="en-GB" w:eastAsia="en-AU"/>
        </w:rPr>
      </w:pPr>
    </w:p>
    <w:p w:rsidR="00B166F7" w:rsidRDefault="00B166F7" w:rsidP="00F0114B">
      <w:pPr>
        <w:widowControl w:val="0"/>
        <w:spacing w:after="0" w:line="240" w:lineRule="auto"/>
        <w:rPr>
          <w:rFonts w:eastAsia="Times New Roman"/>
          <w:sz w:val="24"/>
          <w:szCs w:val="20"/>
          <w:lang w:val="en-GB" w:eastAsia="en-AU"/>
        </w:rPr>
      </w:pPr>
      <w:r w:rsidRPr="000972D9">
        <w:rPr>
          <w:rFonts w:eastAsia="Times New Roman"/>
          <w:sz w:val="24"/>
          <w:szCs w:val="20"/>
          <w:lang w:val="en-GB" w:eastAsia="en-AU"/>
        </w:rPr>
        <w:t>The datum used for all geographic coordinates in this attachment is the Geocentric Datum of Australia 1994 (GDA94).</w:t>
      </w:r>
    </w:p>
    <w:p w:rsidR="00F0114B" w:rsidRDefault="00F0114B" w:rsidP="00F0114B">
      <w:pPr>
        <w:widowControl w:val="0"/>
        <w:spacing w:after="0" w:line="240" w:lineRule="auto"/>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1701"/>
      </w:tblGrid>
      <w:tr w:rsidR="00B166F7" w:rsidRPr="009E62D2" w:rsidTr="009146EE">
        <w:trPr>
          <w:jc w:val="center"/>
        </w:trPr>
        <w:tc>
          <w:tcPr>
            <w:tcW w:w="1668" w:type="dxa"/>
            <w:shd w:val="clear" w:color="auto" w:fill="A6A6A6" w:themeFill="background1" w:themeFillShade="A6"/>
            <w:vAlign w:val="center"/>
          </w:tcPr>
          <w:p w:rsidR="00B166F7" w:rsidRPr="009E62D2" w:rsidRDefault="00B166F7" w:rsidP="00412CEB">
            <w:pPr>
              <w:spacing w:after="0"/>
              <w:jc w:val="center"/>
              <w:rPr>
                <w:b/>
              </w:rPr>
            </w:pPr>
            <w:r w:rsidRPr="009E62D2">
              <w:rPr>
                <w:b/>
              </w:rPr>
              <w:t>Longitude</w:t>
            </w:r>
          </w:p>
        </w:tc>
        <w:tc>
          <w:tcPr>
            <w:tcW w:w="1701" w:type="dxa"/>
            <w:shd w:val="clear" w:color="auto" w:fill="A6A6A6" w:themeFill="background1" w:themeFillShade="A6"/>
            <w:vAlign w:val="center"/>
          </w:tcPr>
          <w:p w:rsidR="00B166F7" w:rsidRPr="009E62D2" w:rsidRDefault="00B166F7" w:rsidP="00412CEB">
            <w:pPr>
              <w:spacing w:after="0"/>
              <w:jc w:val="center"/>
              <w:rPr>
                <w:b/>
              </w:rPr>
            </w:pPr>
            <w:r w:rsidRPr="009E62D2">
              <w:rPr>
                <w:b/>
              </w:rPr>
              <w:t>Latitude</w:t>
            </w:r>
          </w:p>
        </w:tc>
      </w:tr>
      <w:tr w:rsidR="00B166F7" w:rsidRPr="009E62D2" w:rsidTr="009146EE">
        <w:trPr>
          <w:jc w:val="center"/>
        </w:trPr>
        <w:tc>
          <w:tcPr>
            <w:tcW w:w="1668" w:type="dxa"/>
            <w:vAlign w:val="center"/>
          </w:tcPr>
          <w:p w:rsidR="00B166F7" w:rsidRPr="009E62D2" w:rsidRDefault="001E03A4" w:rsidP="00412CEB">
            <w:pPr>
              <w:spacing w:after="0"/>
              <w:jc w:val="center"/>
            </w:pPr>
            <w:r w:rsidRPr="009E62D2">
              <w:t>116.550</w:t>
            </w:r>
          </w:p>
        </w:tc>
        <w:tc>
          <w:tcPr>
            <w:tcW w:w="1701" w:type="dxa"/>
            <w:vAlign w:val="center"/>
          </w:tcPr>
          <w:p w:rsidR="00B166F7" w:rsidRPr="009E62D2" w:rsidRDefault="001E03A4" w:rsidP="00412CEB">
            <w:pPr>
              <w:spacing w:after="0"/>
              <w:jc w:val="center"/>
            </w:pPr>
            <w:r w:rsidRPr="009E62D2">
              <w:t>-30.680</w:t>
            </w:r>
          </w:p>
        </w:tc>
      </w:tr>
      <w:tr w:rsidR="00B166F7" w:rsidRPr="009E62D2" w:rsidTr="009146EE">
        <w:trPr>
          <w:jc w:val="center"/>
        </w:trPr>
        <w:tc>
          <w:tcPr>
            <w:tcW w:w="1668" w:type="dxa"/>
            <w:vAlign w:val="center"/>
          </w:tcPr>
          <w:p w:rsidR="00B166F7" w:rsidRPr="009E62D2" w:rsidRDefault="001E03A4" w:rsidP="00412CEB">
            <w:pPr>
              <w:spacing w:after="0"/>
              <w:jc w:val="center"/>
            </w:pPr>
            <w:r w:rsidRPr="009E62D2">
              <w:t>116.550</w:t>
            </w:r>
          </w:p>
        </w:tc>
        <w:tc>
          <w:tcPr>
            <w:tcW w:w="1701" w:type="dxa"/>
            <w:vAlign w:val="center"/>
          </w:tcPr>
          <w:p w:rsidR="00B166F7" w:rsidRPr="009E62D2" w:rsidRDefault="001E03A4" w:rsidP="00412CEB">
            <w:pPr>
              <w:spacing w:after="0"/>
              <w:jc w:val="center"/>
            </w:pPr>
            <w:r w:rsidRPr="009E62D2">
              <w:t>-31.220</w:t>
            </w:r>
          </w:p>
        </w:tc>
      </w:tr>
      <w:tr w:rsidR="00B166F7" w:rsidRPr="009E62D2" w:rsidTr="009146EE">
        <w:trPr>
          <w:jc w:val="center"/>
        </w:trPr>
        <w:tc>
          <w:tcPr>
            <w:tcW w:w="1668" w:type="dxa"/>
            <w:vAlign w:val="center"/>
          </w:tcPr>
          <w:p w:rsidR="00B166F7" w:rsidRPr="009E62D2" w:rsidRDefault="001E03A4" w:rsidP="00412CEB">
            <w:pPr>
              <w:spacing w:after="0"/>
              <w:jc w:val="center"/>
            </w:pPr>
            <w:r w:rsidRPr="009E62D2">
              <w:t>116.030</w:t>
            </w:r>
          </w:p>
        </w:tc>
        <w:tc>
          <w:tcPr>
            <w:tcW w:w="1701" w:type="dxa"/>
            <w:vAlign w:val="center"/>
          </w:tcPr>
          <w:p w:rsidR="00B166F7" w:rsidRPr="009E62D2" w:rsidRDefault="001E03A4" w:rsidP="00412CEB">
            <w:pPr>
              <w:spacing w:after="0"/>
              <w:jc w:val="center"/>
            </w:pPr>
            <w:r w:rsidRPr="009E62D2">
              <w:t>-31.220</w:t>
            </w:r>
          </w:p>
        </w:tc>
      </w:tr>
      <w:tr w:rsidR="00B166F7" w:rsidRPr="009E62D2" w:rsidTr="009146EE">
        <w:trPr>
          <w:jc w:val="center"/>
        </w:trPr>
        <w:tc>
          <w:tcPr>
            <w:tcW w:w="1668" w:type="dxa"/>
            <w:vAlign w:val="center"/>
          </w:tcPr>
          <w:p w:rsidR="00B166F7" w:rsidRPr="009E62D2" w:rsidRDefault="001E03A4" w:rsidP="00412CEB">
            <w:pPr>
              <w:spacing w:after="0"/>
              <w:jc w:val="center"/>
            </w:pPr>
            <w:r w:rsidRPr="009E62D2">
              <w:t>116.030</w:t>
            </w:r>
          </w:p>
        </w:tc>
        <w:tc>
          <w:tcPr>
            <w:tcW w:w="1701" w:type="dxa"/>
            <w:vAlign w:val="center"/>
          </w:tcPr>
          <w:p w:rsidR="00B166F7" w:rsidRPr="009E62D2" w:rsidRDefault="001E03A4" w:rsidP="00412CEB">
            <w:pPr>
              <w:spacing w:after="0"/>
              <w:jc w:val="center"/>
            </w:pPr>
            <w:r w:rsidRPr="009E62D2">
              <w:t>-30.680</w:t>
            </w:r>
          </w:p>
        </w:tc>
      </w:tr>
      <w:tr w:rsidR="00B166F7" w:rsidRPr="009E62D2" w:rsidTr="009146EE">
        <w:trPr>
          <w:jc w:val="center"/>
        </w:trPr>
        <w:tc>
          <w:tcPr>
            <w:tcW w:w="1668" w:type="dxa"/>
            <w:vAlign w:val="center"/>
          </w:tcPr>
          <w:p w:rsidR="00B166F7" w:rsidRPr="009E62D2" w:rsidRDefault="001E03A4" w:rsidP="00412CEB">
            <w:pPr>
              <w:spacing w:after="0"/>
              <w:jc w:val="center"/>
            </w:pPr>
            <w:r w:rsidRPr="009E62D2">
              <w:t>116.550</w:t>
            </w:r>
          </w:p>
        </w:tc>
        <w:tc>
          <w:tcPr>
            <w:tcW w:w="1701" w:type="dxa"/>
            <w:vAlign w:val="center"/>
          </w:tcPr>
          <w:p w:rsidR="00B166F7" w:rsidRPr="009E62D2" w:rsidRDefault="001E03A4" w:rsidP="00412CEB">
            <w:pPr>
              <w:spacing w:after="0"/>
              <w:jc w:val="center"/>
            </w:pPr>
            <w:r w:rsidRPr="009E62D2">
              <w:t>-30.680</w:t>
            </w:r>
          </w:p>
        </w:tc>
      </w:tr>
    </w:tbl>
    <w:p w:rsidR="00BC682B" w:rsidRDefault="00BC682B" w:rsidP="00F1667D"/>
    <w:p w:rsidR="00BC682B" w:rsidRDefault="00BC682B" w:rsidP="00BC682B">
      <w:pPr>
        <w:pStyle w:val="Heading1"/>
        <w:numPr>
          <w:ilvl w:val="0"/>
          <w:numId w:val="0"/>
        </w:numPr>
        <w:ind w:left="432" w:hanging="432"/>
      </w:pPr>
      <w:r>
        <w:br w:type="page"/>
      </w:r>
      <w:bookmarkStart w:id="48" w:name="_Toc369003893"/>
      <w:r>
        <w:lastRenderedPageBreak/>
        <w:t xml:space="preserve">Annex </w:t>
      </w:r>
      <w:r w:rsidR="009972BC">
        <w:t>2</w:t>
      </w:r>
      <w:r>
        <w:t>: Antenna Pattern for New Norcia</w:t>
      </w:r>
      <w:r w:rsidR="00943795">
        <w:t xml:space="preserve"> and Mingenew</w:t>
      </w:r>
      <w:bookmarkEnd w:id="48"/>
    </w:p>
    <w:p w:rsidR="001A0685" w:rsidRPr="000972D9" w:rsidRDefault="001A0685" w:rsidP="001A0685">
      <w:pPr>
        <w:rPr>
          <w:sz w:val="24"/>
        </w:rPr>
      </w:pPr>
      <w:r w:rsidRPr="000972D9">
        <w:rPr>
          <w:sz w:val="24"/>
        </w:rPr>
        <w:t xml:space="preserve">The pattern of the ESA deep space antenna at the New Norcia facility is defined by </w:t>
      </w:r>
      <w:r w:rsidR="00B37265" w:rsidRPr="000972D9">
        <w:rPr>
          <w:sz w:val="24"/>
        </w:rPr>
        <w:t>Annex 3 to Appendix 7 of the ITU-R Radio Regulations</w:t>
      </w:r>
      <w:r w:rsidRPr="000972D9">
        <w:rPr>
          <w:sz w:val="24"/>
        </w:rPr>
        <w:t>, modified</w:t>
      </w:r>
      <w:r w:rsidR="000972D9">
        <w:rPr>
          <w:sz w:val="24"/>
        </w:rPr>
        <w:t xml:space="preserve"> such that</w:t>
      </w:r>
      <w:r w:rsidRPr="000972D9">
        <w:rPr>
          <w:sz w:val="24"/>
        </w:rPr>
        <w:t>:</w:t>
      </w:r>
    </w:p>
    <w:p w:rsidR="001A0685" w:rsidRPr="000972D9" w:rsidRDefault="001A0685" w:rsidP="00F0114B">
      <w:pPr>
        <w:spacing w:after="120"/>
        <w:ind w:left="993"/>
        <w:rPr>
          <w:sz w:val="24"/>
        </w:rPr>
      </w:pPr>
      <w:proofErr w:type="gramStart"/>
      <w:r w:rsidRPr="000972D9">
        <w:rPr>
          <w:i/>
          <w:sz w:val="24"/>
        </w:rPr>
        <w:t>G</w:t>
      </w:r>
      <w:r w:rsidRPr="000972D9">
        <w:rPr>
          <w:sz w:val="24"/>
        </w:rPr>
        <w:t>(</w:t>
      </w:r>
      <w:proofErr w:type="gramEnd"/>
      <w:r w:rsidRPr="000972D9">
        <w:rPr>
          <w:i/>
          <w:sz w:val="24"/>
        </w:rPr>
        <w:sym w:font="Symbol" w:char="F06A"/>
      </w:r>
      <w:r w:rsidRPr="000972D9">
        <w:rPr>
          <w:sz w:val="24"/>
        </w:rPr>
        <w:t xml:space="preserve">) = </w:t>
      </w:r>
      <w:proofErr w:type="spellStart"/>
      <w:r w:rsidRPr="000972D9">
        <w:rPr>
          <w:i/>
          <w:sz w:val="24"/>
        </w:rPr>
        <w:t>G</w:t>
      </w:r>
      <w:r w:rsidRPr="000972D9">
        <w:rPr>
          <w:i/>
          <w:sz w:val="24"/>
          <w:vertAlign w:val="subscript"/>
        </w:rPr>
        <w:t>max</w:t>
      </w:r>
      <w:proofErr w:type="spellEnd"/>
      <w:r w:rsidRPr="000972D9">
        <w:rPr>
          <w:sz w:val="24"/>
        </w:rPr>
        <w:t xml:space="preserve"> – 2.5</w:t>
      </w:r>
      <w:r w:rsidR="000660A8" w:rsidRPr="000972D9">
        <w:rPr>
          <w:sz w:val="24"/>
        </w:rPr>
        <w:t xml:space="preserve"> </w:t>
      </w:r>
      <w:r w:rsidRPr="000972D9">
        <w:rPr>
          <w:sz w:val="24"/>
        </w:rPr>
        <w:sym w:font="Symbol" w:char="F0D7"/>
      </w:r>
      <w:r w:rsidRPr="000972D9">
        <w:rPr>
          <w:sz w:val="24"/>
        </w:rPr>
        <w:t xml:space="preserve"> 10</w:t>
      </w:r>
      <w:r w:rsidR="000660A8" w:rsidRPr="000972D9">
        <w:rPr>
          <w:sz w:val="24"/>
          <w:vertAlign w:val="superscript"/>
        </w:rPr>
        <w:t>–</w:t>
      </w:r>
      <w:r w:rsidRPr="000972D9">
        <w:rPr>
          <w:sz w:val="24"/>
          <w:vertAlign w:val="superscript"/>
        </w:rPr>
        <w:t>3</w:t>
      </w:r>
      <w:r w:rsidRPr="000972D9">
        <w:rPr>
          <w:sz w:val="24"/>
        </w:rPr>
        <w:sym w:font="Symbol" w:char="F0D7"/>
      </w:r>
      <w:r w:rsidRPr="000972D9">
        <w:rPr>
          <w:sz w:val="24"/>
        </w:rPr>
        <w:t xml:space="preserve"> (</w:t>
      </w:r>
      <w:r w:rsidRPr="000972D9">
        <w:rPr>
          <w:i/>
          <w:sz w:val="24"/>
        </w:rPr>
        <w:sym w:font="Symbol" w:char="F06A"/>
      </w:r>
      <w:r w:rsidRPr="000972D9">
        <w:rPr>
          <w:sz w:val="24"/>
        </w:rPr>
        <w:t xml:space="preserve"> </w:t>
      </w:r>
      <w:r w:rsidRPr="000972D9">
        <w:rPr>
          <w:sz w:val="24"/>
        </w:rPr>
        <w:sym w:font="Symbol" w:char="F0D7"/>
      </w:r>
      <w:r w:rsidRPr="000972D9">
        <w:rPr>
          <w:sz w:val="24"/>
        </w:rPr>
        <w:t xml:space="preserve"> </w:t>
      </w:r>
      <w:r w:rsidRPr="000972D9">
        <w:rPr>
          <w:i/>
          <w:sz w:val="24"/>
        </w:rPr>
        <w:t>D</w:t>
      </w:r>
      <w:r w:rsidRPr="000972D9">
        <w:rPr>
          <w:sz w:val="24"/>
        </w:rPr>
        <w:t>/</w:t>
      </w:r>
      <w:r w:rsidR="000660A8" w:rsidRPr="000972D9">
        <w:rPr>
          <w:i/>
          <w:sz w:val="24"/>
        </w:rPr>
        <w:t>λ</w:t>
      </w:r>
      <w:r w:rsidRPr="000972D9">
        <w:rPr>
          <w:sz w:val="24"/>
        </w:rPr>
        <w:t>)</w:t>
      </w:r>
      <w:r w:rsidRPr="000972D9">
        <w:rPr>
          <w:sz w:val="24"/>
          <w:vertAlign w:val="superscript"/>
        </w:rPr>
        <w:t>2</w:t>
      </w:r>
      <w:r w:rsidRPr="000972D9">
        <w:rPr>
          <w:sz w:val="24"/>
        </w:rPr>
        <w:t xml:space="preserve"> </w:t>
      </w:r>
      <w:r w:rsidRPr="000972D9">
        <w:rPr>
          <w:sz w:val="24"/>
        </w:rPr>
        <w:tab/>
      </w:r>
      <w:r w:rsidRPr="000972D9">
        <w:rPr>
          <w:sz w:val="24"/>
        </w:rPr>
        <w:tab/>
      </w:r>
      <w:r w:rsidRPr="000972D9">
        <w:rPr>
          <w:sz w:val="24"/>
        </w:rPr>
        <w:tab/>
        <w:t xml:space="preserve">for      0 </w:t>
      </w:r>
      <w:r w:rsidRPr="000972D9">
        <w:rPr>
          <w:sz w:val="24"/>
        </w:rPr>
        <w:sym w:font="Symbol" w:char="F03C"/>
      </w:r>
      <w:r w:rsidRPr="000972D9">
        <w:rPr>
          <w:sz w:val="24"/>
        </w:rPr>
        <w:t xml:space="preserve"> </w:t>
      </w:r>
      <w:r w:rsidRPr="000972D9">
        <w:rPr>
          <w:i/>
          <w:sz w:val="24"/>
        </w:rPr>
        <w:sym w:font="Symbol" w:char="F06A"/>
      </w:r>
      <w:r w:rsidRPr="000972D9">
        <w:rPr>
          <w:sz w:val="24"/>
        </w:rPr>
        <w:t xml:space="preserve"> &lt; </w:t>
      </w:r>
      <w:r w:rsidRPr="000972D9">
        <w:rPr>
          <w:i/>
          <w:sz w:val="24"/>
        </w:rPr>
        <w:sym w:font="Symbol" w:char="F06A"/>
      </w:r>
      <w:r w:rsidRPr="000972D9">
        <w:rPr>
          <w:i/>
          <w:sz w:val="24"/>
          <w:vertAlign w:val="subscript"/>
        </w:rPr>
        <w:t>m</w:t>
      </w:r>
    </w:p>
    <w:p w:rsidR="001A0685" w:rsidRPr="000972D9" w:rsidRDefault="001A0685" w:rsidP="00F0114B">
      <w:pPr>
        <w:spacing w:after="120"/>
        <w:ind w:left="993"/>
        <w:rPr>
          <w:sz w:val="24"/>
        </w:rPr>
      </w:pPr>
      <w:proofErr w:type="gramStart"/>
      <w:r w:rsidRPr="000972D9">
        <w:rPr>
          <w:i/>
          <w:sz w:val="24"/>
        </w:rPr>
        <w:t>G</w:t>
      </w:r>
      <w:r w:rsidRPr="000972D9">
        <w:rPr>
          <w:sz w:val="24"/>
        </w:rPr>
        <w:t>(</w:t>
      </w:r>
      <w:proofErr w:type="gramEnd"/>
      <w:r w:rsidRPr="000972D9">
        <w:rPr>
          <w:i/>
          <w:sz w:val="24"/>
        </w:rPr>
        <w:sym w:font="Symbol" w:char="F06A"/>
      </w:r>
      <w:r w:rsidRPr="000972D9">
        <w:rPr>
          <w:sz w:val="24"/>
        </w:rPr>
        <w:t xml:space="preserve">) = </w:t>
      </w:r>
      <w:r w:rsidRPr="000972D9">
        <w:rPr>
          <w:i/>
          <w:sz w:val="24"/>
        </w:rPr>
        <w:t>G</w:t>
      </w:r>
      <w:r w:rsidRPr="000972D9">
        <w:rPr>
          <w:sz w:val="24"/>
          <w:vertAlign w:val="subscript"/>
        </w:rPr>
        <w:t>1</w:t>
      </w:r>
      <w:r w:rsidRPr="000972D9">
        <w:rPr>
          <w:sz w:val="24"/>
        </w:rPr>
        <w:tab/>
      </w:r>
      <w:r w:rsidRPr="000972D9">
        <w:rPr>
          <w:sz w:val="24"/>
        </w:rPr>
        <w:tab/>
      </w:r>
      <w:r w:rsidRPr="000972D9">
        <w:rPr>
          <w:sz w:val="24"/>
        </w:rPr>
        <w:tab/>
      </w:r>
      <w:r w:rsidRPr="000972D9">
        <w:rPr>
          <w:sz w:val="24"/>
        </w:rPr>
        <w:tab/>
      </w:r>
      <w:r w:rsidRPr="000972D9">
        <w:rPr>
          <w:sz w:val="24"/>
        </w:rPr>
        <w:tab/>
      </w:r>
      <w:r w:rsidRPr="000972D9">
        <w:rPr>
          <w:sz w:val="24"/>
        </w:rPr>
        <w:tab/>
        <w:t xml:space="preserve">for     </w:t>
      </w:r>
      <w:r w:rsidRPr="000972D9">
        <w:rPr>
          <w:i/>
          <w:sz w:val="24"/>
        </w:rPr>
        <w:sym w:font="Symbol" w:char="F06A"/>
      </w:r>
      <w:r w:rsidRPr="000972D9">
        <w:rPr>
          <w:i/>
          <w:sz w:val="24"/>
          <w:vertAlign w:val="subscript"/>
        </w:rPr>
        <w:t>m</w:t>
      </w:r>
      <w:r w:rsidRPr="000972D9">
        <w:rPr>
          <w:sz w:val="24"/>
        </w:rPr>
        <w:t xml:space="preserve"> &lt; </w:t>
      </w:r>
      <w:r w:rsidRPr="000972D9">
        <w:rPr>
          <w:i/>
          <w:sz w:val="24"/>
        </w:rPr>
        <w:sym w:font="Symbol" w:char="F06A"/>
      </w:r>
      <w:r w:rsidRPr="000972D9">
        <w:rPr>
          <w:sz w:val="24"/>
        </w:rPr>
        <w:t xml:space="preserve"> &lt; </w:t>
      </w:r>
      <w:r w:rsidRPr="000972D9">
        <w:rPr>
          <w:i/>
          <w:sz w:val="24"/>
        </w:rPr>
        <w:sym w:font="Symbol" w:char="F06A"/>
      </w:r>
      <w:r w:rsidRPr="000972D9">
        <w:rPr>
          <w:i/>
          <w:sz w:val="24"/>
          <w:vertAlign w:val="subscript"/>
        </w:rPr>
        <w:t>r</w:t>
      </w:r>
    </w:p>
    <w:p w:rsidR="001A0685" w:rsidRPr="000972D9" w:rsidRDefault="001A0685" w:rsidP="00F0114B">
      <w:pPr>
        <w:spacing w:after="120"/>
        <w:ind w:left="993"/>
        <w:rPr>
          <w:sz w:val="24"/>
        </w:rPr>
      </w:pPr>
      <w:proofErr w:type="gramStart"/>
      <w:r w:rsidRPr="000972D9">
        <w:rPr>
          <w:i/>
          <w:sz w:val="24"/>
        </w:rPr>
        <w:t>G</w:t>
      </w:r>
      <w:r w:rsidRPr="000972D9">
        <w:rPr>
          <w:sz w:val="24"/>
        </w:rPr>
        <w:t>(</w:t>
      </w:r>
      <w:proofErr w:type="gramEnd"/>
      <w:r w:rsidRPr="000972D9">
        <w:rPr>
          <w:i/>
          <w:sz w:val="24"/>
        </w:rPr>
        <w:sym w:font="Symbol" w:char="F06A"/>
      </w:r>
      <w:r w:rsidRPr="000972D9">
        <w:rPr>
          <w:sz w:val="24"/>
        </w:rPr>
        <w:t xml:space="preserve">) = 29 – 25 </w:t>
      </w:r>
      <w:r w:rsidRPr="000972D9">
        <w:rPr>
          <w:sz w:val="24"/>
        </w:rPr>
        <w:sym w:font="Symbol" w:char="F0D7"/>
      </w:r>
      <w:r w:rsidRPr="000972D9">
        <w:rPr>
          <w:sz w:val="24"/>
        </w:rPr>
        <w:t xml:space="preserve"> log</w:t>
      </w:r>
      <w:r w:rsidR="000660A8" w:rsidRPr="000972D9">
        <w:rPr>
          <w:sz w:val="24"/>
          <w:vertAlign w:val="subscript"/>
        </w:rPr>
        <w:t>10</w:t>
      </w:r>
      <w:r w:rsidRPr="000972D9">
        <w:rPr>
          <w:sz w:val="24"/>
        </w:rPr>
        <w:t>(</w:t>
      </w:r>
      <w:r w:rsidRPr="000972D9">
        <w:rPr>
          <w:i/>
          <w:sz w:val="24"/>
        </w:rPr>
        <w:sym w:font="Symbol" w:char="F06A"/>
      </w:r>
      <w:r w:rsidRPr="000972D9">
        <w:rPr>
          <w:sz w:val="24"/>
        </w:rPr>
        <w:t>)</w:t>
      </w:r>
      <w:r w:rsidRPr="000972D9">
        <w:rPr>
          <w:sz w:val="24"/>
        </w:rPr>
        <w:tab/>
      </w:r>
      <w:r w:rsidRPr="000972D9">
        <w:rPr>
          <w:sz w:val="24"/>
        </w:rPr>
        <w:tab/>
      </w:r>
      <w:r w:rsidRPr="000972D9">
        <w:rPr>
          <w:sz w:val="24"/>
        </w:rPr>
        <w:tab/>
      </w:r>
      <w:r w:rsidRPr="000972D9">
        <w:rPr>
          <w:sz w:val="24"/>
        </w:rPr>
        <w:tab/>
        <w:t xml:space="preserve">for     </w:t>
      </w:r>
      <w:r w:rsidRPr="000972D9">
        <w:rPr>
          <w:i/>
          <w:sz w:val="24"/>
        </w:rPr>
        <w:sym w:font="Symbol" w:char="F06A"/>
      </w:r>
      <w:r w:rsidRPr="000972D9">
        <w:rPr>
          <w:i/>
          <w:sz w:val="24"/>
          <w:vertAlign w:val="subscript"/>
        </w:rPr>
        <w:t>r</w:t>
      </w:r>
      <w:r w:rsidRPr="000972D9">
        <w:rPr>
          <w:sz w:val="24"/>
        </w:rPr>
        <w:t xml:space="preserve"> &lt; </w:t>
      </w:r>
      <w:r w:rsidRPr="000972D9">
        <w:rPr>
          <w:i/>
          <w:sz w:val="24"/>
        </w:rPr>
        <w:sym w:font="Symbol" w:char="F06A"/>
      </w:r>
      <w:r w:rsidRPr="000972D9">
        <w:rPr>
          <w:sz w:val="24"/>
        </w:rPr>
        <w:t xml:space="preserve"> &lt; 48</w:t>
      </w:r>
      <w:r w:rsidRPr="000972D9">
        <w:rPr>
          <w:sz w:val="24"/>
        </w:rPr>
        <w:sym w:font="Symbol" w:char="F0B0"/>
      </w:r>
      <w:r w:rsidRPr="000972D9">
        <w:rPr>
          <w:sz w:val="24"/>
        </w:rPr>
        <w:t xml:space="preserve"> </w:t>
      </w:r>
    </w:p>
    <w:p w:rsidR="001A0685" w:rsidRPr="000972D9" w:rsidRDefault="001A0685" w:rsidP="00F0114B">
      <w:pPr>
        <w:spacing w:after="120"/>
        <w:ind w:left="993"/>
        <w:rPr>
          <w:sz w:val="24"/>
        </w:rPr>
      </w:pPr>
      <w:proofErr w:type="gramStart"/>
      <w:r w:rsidRPr="000972D9">
        <w:rPr>
          <w:i/>
          <w:sz w:val="24"/>
        </w:rPr>
        <w:t>G</w:t>
      </w:r>
      <w:r w:rsidRPr="000972D9">
        <w:rPr>
          <w:sz w:val="24"/>
        </w:rPr>
        <w:t>(</w:t>
      </w:r>
      <w:proofErr w:type="gramEnd"/>
      <w:r w:rsidRPr="000972D9">
        <w:rPr>
          <w:i/>
          <w:sz w:val="24"/>
        </w:rPr>
        <w:sym w:font="Symbol" w:char="F06A"/>
      </w:r>
      <w:r w:rsidRPr="000972D9">
        <w:rPr>
          <w:sz w:val="24"/>
        </w:rPr>
        <w:t xml:space="preserve">) = </w:t>
      </w:r>
      <w:r w:rsidR="000660A8" w:rsidRPr="000972D9">
        <w:rPr>
          <w:sz w:val="24"/>
        </w:rPr>
        <w:t>–</w:t>
      </w:r>
      <w:r w:rsidRPr="000972D9">
        <w:rPr>
          <w:sz w:val="24"/>
        </w:rPr>
        <w:t>13</w:t>
      </w:r>
      <w:r w:rsidRPr="000972D9">
        <w:rPr>
          <w:sz w:val="24"/>
        </w:rPr>
        <w:tab/>
      </w:r>
      <w:r w:rsidRPr="000972D9">
        <w:rPr>
          <w:sz w:val="24"/>
        </w:rPr>
        <w:tab/>
      </w:r>
      <w:r w:rsidRPr="000972D9">
        <w:rPr>
          <w:sz w:val="24"/>
        </w:rPr>
        <w:tab/>
      </w:r>
      <w:r w:rsidRPr="000972D9">
        <w:rPr>
          <w:sz w:val="24"/>
        </w:rPr>
        <w:tab/>
      </w:r>
      <w:r w:rsidRPr="000972D9">
        <w:rPr>
          <w:sz w:val="24"/>
        </w:rPr>
        <w:tab/>
      </w:r>
      <w:r w:rsidRPr="000972D9">
        <w:rPr>
          <w:sz w:val="24"/>
        </w:rPr>
        <w:tab/>
        <w:t>for     48</w:t>
      </w:r>
      <w:r w:rsidRPr="000972D9">
        <w:rPr>
          <w:sz w:val="24"/>
        </w:rPr>
        <w:sym w:font="Symbol" w:char="F0B0"/>
      </w:r>
      <w:r w:rsidRPr="000972D9">
        <w:rPr>
          <w:sz w:val="24"/>
        </w:rPr>
        <w:t xml:space="preserve"> &lt; </w:t>
      </w:r>
      <w:r w:rsidRPr="000972D9">
        <w:rPr>
          <w:i/>
          <w:sz w:val="24"/>
        </w:rPr>
        <w:sym w:font="Symbol" w:char="F06A"/>
      </w:r>
      <w:r w:rsidRPr="000972D9">
        <w:rPr>
          <w:sz w:val="24"/>
        </w:rPr>
        <w:t xml:space="preserve"> &lt; 180</w:t>
      </w:r>
      <w:r w:rsidRPr="000972D9">
        <w:rPr>
          <w:sz w:val="24"/>
        </w:rPr>
        <w:sym w:font="Symbol" w:char="F0B0"/>
      </w:r>
    </w:p>
    <w:p w:rsidR="00F0114B" w:rsidRDefault="00F0114B" w:rsidP="00F0114B">
      <w:pPr>
        <w:spacing w:after="120"/>
        <w:rPr>
          <w:sz w:val="24"/>
        </w:rPr>
      </w:pPr>
    </w:p>
    <w:p w:rsidR="001A0685" w:rsidRPr="000972D9" w:rsidRDefault="001A0685" w:rsidP="00F0114B">
      <w:pPr>
        <w:spacing w:after="120"/>
        <w:rPr>
          <w:sz w:val="24"/>
        </w:rPr>
      </w:pPr>
      <w:proofErr w:type="gramStart"/>
      <w:r w:rsidRPr="000972D9">
        <w:rPr>
          <w:sz w:val="24"/>
        </w:rPr>
        <w:t>with</w:t>
      </w:r>
      <w:proofErr w:type="gramEnd"/>
      <w:r w:rsidRPr="000972D9">
        <w:rPr>
          <w:sz w:val="24"/>
        </w:rPr>
        <w:t xml:space="preserve">: </w:t>
      </w:r>
    </w:p>
    <w:p w:rsidR="001A0685" w:rsidRPr="000972D9" w:rsidRDefault="001A0685" w:rsidP="00F0114B">
      <w:pPr>
        <w:spacing w:after="120"/>
        <w:ind w:firstLine="720"/>
        <w:rPr>
          <w:sz w:val="24"/>
        </w:rPr>
      </w:pPr>
      <w:r w:rsidRPr="000972D9">
        <w:rPr>
          <w:i/>
          <w:sz w:val="24"/>
        </w:rPr>
        <w:t>G</w:t>
      </w:r>
      <w:r w:rsidRPr="000972D9">
        <w:rPr>
          <w:sz w:val="24"/>
          <w:vertAlign w:val="subscript"/>
        </w:rPr>
        <w:t>1</w:t>
      </w:r>
      <w:r w:rsidRPr="000972D9">
        <w:rPr>
          <w:sz w:val="24"/>
        </w:rPr>
        <w:t xml:space="preserve"> = 15</w:t>
      </w:r>
      <w:r w:rsidR="000660A8" w:rsidRPr="000972D9">
        <w:rPr>
          <w:sz w:val="24"/>
        </w:rPr>
        <w:t xml:space="preserve"> </w:t>
      </w:r>
      <w:r w:rsidRPr="000972D9">
        <w:rPr>
          <w:sz w:val="24"/>
        </w:rPr>
        <w:sym w:font="Symbol" w:char="F0D7"/>
      </w:r>
      <w:r w:rsidRPr="000972D9">
        <w:rPr>
          <w:sz w:val="24"/>
        </w:rPr>
        <w:t xml:space="preserve"> </w:t>
      </w:r>
      <w:proofErr w:type="gramStart"/>
      <w:r w:rsidRPr="000972D9">
        <w:rPr>
          <w:sz w:val="24"/>
        </w:rPr>
        <w:t>log</w:t>
      </w:r>
      <w:r w:rsidR="000660A8" w:rsidRPr="000972D9">
        <w:rPr>
          <w:sz w:val="24"/>
          <w:vertAlign w:val="subscript"/>
        </w:rPr>
        <w:t>10</w:t>
      </w:r>
      <w:r w:rsidRPr="000972D9">
        <w:rPr>
          <w:sz w:val="24"/>
        </w:rPr>
        <w:t>(</w:t>
      </w:r>
      <w:proofErr w:type="gramEnd"/>
      <w:r w:rsidRPr="000972D9">
        <w:rPr>
          <w:i/>
          <w:sz w:val="24"/>
        </w:rPr>
        <w:t>D</w:t>
      </w:r>
      <w:r w:rsidRPr="000972D9">
        <w:rPr>
          <w:sz w:val="24"/>
        </w:rPr>
        <w:t>/</w:t>
      </w:r>
      <w:r w:rsidR="000660A8" w:rsidRPr="000972D9">
        <w:rPr>
          <w:i/>
          <w:sz w:val="24"/>
        </w:rPr>
        <w:t>λ</w:t>
      </w:r>
      <w:r w:rsidRPr="000972D9">
        <w:rPr>
          <w:sz w:val="24"/>
        </w:rPr>
        <w:t>) – 1</w:t>
      </w:r>
      <w:r w:rsidRPr="000972D9">
        <w:rPr>
          <w:sz w:val="24"/>
        </w:rPr>
        <w:tab/>
        <w:t xml:space="preserve"> </w:t>
      </w:r>
      <w:r w:rsidRPr="000972D9">
        <w:rPr>
          <w:sz w:val="24"/>
        </w:rPr>
        <w:tab/>
      </w:r>
      <w:r w:rsidRPr="000972D9">
        <w:rPr>
          <w:sz w:val="24"/>
        </w:rPr>
        <w:tab/>
      </w:r>
      <w:r w:rsidRPr="000972D9">
        <w:rPr>
          <w:sz w:val="24"/>
        </w:rPr>
        <w:tab/>
      </w:r>
      <w:r w:rsidRPr="000972D9">
        <w:rPr>
          <w:sz w:val="24"/>
        </w:rPr>
        <w:tab/>
      </w:r>
      <w:r w:rsidRPr="000972D9">
        <w:rPr>
          <w:sz w:val="24"/>
        </w:rPr>
        <w:tab/>
      </w:r>
    </w:p>
    <w:p w:rsidR="001A0685" w:rsidRPr="000972D9" w:rsidRDefault="001A0685" w:rsidP="00F0114B">
      <w:pPr>
        <w:spacing w:after="120"/>
        <w:ind w:firstLine="720"/>
        <w:rPr>
          <w:sz w:val="24"/>
        </w:rPr>
      </w:pPr>
      <w:r w:rsidRPr="000972D9">
        <w:rPr>
          <w:i/>
          <w:sz w:val="24"/>
        </w:rPr>
        <w:sym w:font="Symbol" w:char="F06A"/>
      </w:r>
      <w:r w:rsidRPr="000972D9">
        <w:rPr>
          <w:i/>
          <w:sz w:val="24"/>
          <w:vertAlign w:val="subscript"/>
        </w:rPr>
        <w:t>m</w:t>
      </w:r>
      <w:r w:rsidRPr="000972D9">
        <w:rPr>
          <w:sz w:val="24"/>
        </w:rPr>
        <w:t xml:space="preserve"> = 20</w:t>
      </w:r>
      <w:r w:rsidR="000660A8" w:rsidRPr="000972D9">
        <w:rPr>
          <w:sz w:val="24"/>
        </w:rPr>
        <w:t xml:space="preserve"> </w:t>
      </w:r>
      <w:r w:rsidRPr="000972D9">
        <w:rPr>
          <w:sz w:val="24"/>
        </w:rPr>
        <w:sym w:font="Symbol" w:char="F0D7"/>
      </w:r>
      <w:r w:rsidRPr="000972D9">
        <w:rPr>
          <w:sz w:val="24"/>
        </w:rPr>
        <w:t xml:space="preserve"> (</w:t>
      </w:r>
      <w:r w:rsidR="000660A8" w:rsidRPr="000972D9">
        <w:rPr>
          <w:i/>
          <w:sz w:val="24"/>
        </w:rPr>
        <w:t>λ</w:t>
      </w:r>
      <w:r w:rsidRPr="000972D9">
        <w:rPr>
          <w:sz w:val="24"/>
        </w:rPr>
        <w:t>/</w:t>
      </w:r>
      <w:r w:rsidRPr="000972D9">
        <w:rPr>
          <w:i/>
          <w:sz w:val="24"/>
        </w:rPr>
        <w:t>D</w:t>
      </w:r>
      <w:r w:rsidRPr="000972D9">
        <w:rPr>
          <w:sz w:val="24"/>
        </w:rPr>
        <w:t>)</w:t>
      </w:r>
      <w:r w:rsidRPr="000972D9">
        <w:rPr>
          <w:sz w:val="24"/>
        </w:rPr>
        <w:sym w:font="Symbol" w:char="F0D7"/>
      </w:r>
      <w:r w:rsidRPr="000972D9">
        <w:rPr>
          <w:sz w:val="24"/>
        </w:rPr>
        <w:t xml:space="preserve"> (</w:t>
      </w:r>
      <w:proofErr w:type="spellStart"/>
      <w:r w:rsidRPr="000972D9">
        <w:rPr>
          <w:i/>
          <w:sz w:val="24"/>
        </w:rPr>
        <w:t>G</w:t>
      </w:r>
      <w:r w:rsidRPr="000972D9">
        <w:rPr>
          <w:i/>
          <w:sz w:val="24"/>
          <w:vertAlign w:val="subscript"/>
        </w:rPr>
        <w:t>max</w:t>
      </w:r>
      <w:proofErr w:type="spellEnd"/>
      <w:r w:rsidRPr="000972D9">
        <w:rPr>
          <w:sz w:val="24"/>
        </w:rPr>
        <w:t xml:space="preserve"> – </w:t>
      </w:r>
      <w:r w:rsidRPr="000972D9">
        <w:rPr>
          <w:i/>
          <w:sz w:val="24"/>
        </w:rPr>
        <w:t>G</w:t>
      </w:r>
      <w:r w:rsidRPr="000972D9">
        <w:rPr>
          <w:sz w:val="24"/>
          <w:vertAlign w:val="subscript"/>
        </w:rPr>
        <w:t>1</w:t>
      </w:r>
      <w:r w:rsidRPr="000972D9">
        <w:rPr>
          <w:sz w:val="24"/>
        </w:rPr>
        <w:t>)</w:t>
      </w:r>
      <w:r w:rsidRPr="000972D9">
        <w:rPr>
          <w:sz w:val="24"/>
          <w:vertAlign w:val="superscript"/>
        </w:rPr>
        <w:t>0.5</w:t>
      </w:r>
    </w:p>
    <w:p w:rsidR="001A0685" w:rsidRPr="000972D9" w:rsidRDefault="001A0685" w:rsidP="00F0114B">
      <w:pPr>
        <w:spacing w:after="120"/>
        <w:ind w:firstLine="720"/>
        <w:rPr>
          <w:sz w:val="24"/>
        </w:rPr>
      </w:pPr>
      <w:r w:rsidRPr="000972D9">
        <w:rPr>
          <w:i/>
          <w:sz w:val="24"/>
        </w:rPr>
        <w:sym w:font="Symbol" w:char="F06A"/>
      </w:r>
      <w:r w:rsidRPr="000972D9">
        <w:rPr>
          <w:i/>
          <w:sz w:val="24"/>
          <w:vertAlign w:val="subscript"/>
        </w:rPr>
        <w:t>r</w:t>
      </w:r>
      <w:r w:rsidRPr="000972D9">
        <w:rPr>
          <w:sz w:val="24"/>
        </w:rPr>
        <w:t xml:space="preserve"> = 15.85 </w:t>
      </w:r>
      <w:r w:rsidRPr="000972D9">
        <w:rPr>
          <w:sz w:val="24"/>
        </w:rPr>
        <w:sym w:font="Symbol" w:char="F0D7"/>
      </w:r>
      <w:r w:rsidRPr="000972D9">
        <w:rPr>
          <w:sz w:val="24"/>
        </w:rPr>
        <w:t xml:space="preserve"> (</w:t>
      </w:r>
      <w:r w:rsidRPr="000972D9">
        <w:rPr>
          <w:i/>
          <w:sz w:val="24"/>
        </w:rPr>
        <w:t>D</w:t>
      </w:r>
      <w:r w:rsidRPr="000972D9">
        <w:rPr>
          <w:sz w:val="24"/>
        </w:rPr>
        <w:t>/</w:t>
      </w:r>
      <w:r w:rsidR="000660A8" w:rsidRPr="000972D9">
        <w:rPr>
          <w:i/>
          <w:sz w:val="24"/>
        </w:rPr>
        <w:t>λ</w:t>
      </w:r>
      <w:r w:rsidRPr="000972D9">
        <w:rPr>
          <w:sz w:val="24"/>
        </w:rPr>
        <w:t>)</w:t>
      </w:r>
      <w:r w:rsidR="000660A8" w:rsidRPr="000972D9">
        <w:rPr>
          <w:sz w:val="24"/>
          <w:vertAlign w:val="superscript"/>
        </w:rPr>
        <w:t>–</w:t>
      </w:r>
      <w:r w:rsidRPr="000972D9">
        <w:rPr>
          <w:sz w:val="24"/>
          <w:vertAlign w:val="superscript"/>
        </w:rPr>
        <w:t>0.6</w:t>
      </w:r>
    </w:p>
    <w:p w:rsidR="001A0685" w:rsidRPr="000972D9" w:rsidRDefault="001A0685" w:rsidP="001A0685">
      <w:pPr>
        <w:rPr>
          <w:sz w:val="24"/>
        </w:rPr>
      </w:pPr>
      <w:proofErr w:type="gramStart"/>
      <w:r w:rsidRPr="000972D9">
        <w:rPr>
          <w:sz w:val="24"/>
        </w:rPr>
        <w:t>where</w:t>
      </w:r>
      <w:proofErr w:type="gramEnd"/>
      <w:r w:rsidRPr="000972D9">
        <w:rPr>
          <w:sz w:val="24"/>
        </w:rPr>
        <w:t>:</w:t>
      </w:r>
    </w:p>
    <w:p w:rsidR="00E1530D" w:rsidRPr="000972D9" w:rsidRDefault="001A0685" w:rsidP="00F0114B">
      <w:pPr>
        <w:spacing w:after="120"/>
        <w:ind w:firstLine="720"/>
        <w:rPr>
          <w:sz w:val="24"/>
        </w:rPr>
      </w:pPr>
      <w:proofErr w:type="gramStart"/>
      <w:r w:rsidRPr="000972D9">
        <w:rPr>
          <w:i/>
          <w:sz w:val="24"/>
        </w:rPr>
        <w:t>G</w:t>
      </w:r>
      <w:r w:rsidRPr="000972D9">
        <w:rPr>
          <w:sz w:val="24"/>
        </w:rPr>
        <w:t>(</w:t>
      </w:r>
      <w:proofErr w:type="gramEnd"/>
      <w:r w:rsidRPr="000972D9">
        <w:rPr>
          <w:i/>
          <w:sz w:val="24"/>
        </w:rPr>
        <w:sym w:font="Symbol" w:char="F06A"/>
      </w:r>
      <w:r w:rsidRPr="000972D9">
        <w:rPr>
          <w:sz w:val="24"/>
        </w:rPr>
        <w:t>): maximum gain (dBi);</w:t>
      </w:r>
    </w:p>
    <w:p w:rsidR="001A0685" w:rsidRPr="000972D9" w:rsidRDefault="000660A8" w:rsidP="00F0114B">
      <w:pPr>
        <w:spacing w:after="120"/>
        <w:rPr>
          <w:sz w:val="24"/>
        </w:rPr>
      </w:pPr>
      <w:r w:rsidRPr="000972D9">
        <w:rPr>
          <w:sz w:val="24"/>
        </w:rPr>
        <w:tab/>
      </w:r>
      <w:r w:rsidR="001A0685" w:rsidRPr="000972D9">
        <w:rPr>
          <w:i/>
          <w:sz w:val="24"/>
        </w:rPr>
        <w:sym w:font="Symbol" w:char="F06A"/>
      </w:r>
      <w:r w:rsidR="001A0685" w:rsidRPr="000972D9">
        <w:rPr>
          <w:sz w:val="24"/>
        </w:rPr>
        <w:t xml:space="preserve">: </w:t>
      </w:r>
      <w:proofErr w:type="gramStart"/>
      <w:r w:rsidR="001A0685" w:rsidRPr="000972D9">
        <w:rPr>
          <w:sz w:val="24"/>
        </w:rPr>
        <w:t>off-axis</w:t>
      </w:r>
      <w:proofErr w:type="gramEnd"/>
      <w:r w:rsidR="001A0685" w:rsidRPr="000972D9">
        <w:rPr>
          <w:sz w:val="24"/>
        </w:rPr>
        <w:t xml:space="preserve"> angle (deg); </w:t>
      </w:r>
    </w:p>
    <w:p w:rsidR="00E1530D" w:rsidRPr="000972D9" w:rsidRDefault="001A0685" w:rsidP="00F0114B">
      <w:pPr>
        <w:spacing w:after="120"/>
        <w:ind w:firstLine="720"/>
        <w:rPr>
          <w:sz w:val="24"/>
        </w:rPr>
      </w:pPr>
      <w:r w:rsidRPr="000972D9">
        <w:rPr>
          <w:i/>
          <w:sz w:val="24"/>
        </w:rPr>
        <w:t>D</w:t>
      </w:r>
      <w:r w:rsidRPr="000972D9">
        <w:rPr>
          <w:sz w:val="24"/>
        </w:rPr>
        <w:t>: antenna diameter (m);</w:t>
      </w:r>
    </w:p>
    <w:p w:rsidR="00BC682B" w:rsidRPr="000972D9" w:rsidRDefault="000660A8" w:rsidP="00F0114B">
      <w:pPr>
        <w:spacing w:after="120"/>
        <w:rPr>
          <w:sz w:val="24"/>
        </w:rPr>
      </w:pPr>
      <w:r w:rsidRPr="000972D9">
        <w:rPr>
          <w:i/>
          <w:sz w:val="24"/>
        </w:rPr>
        <w:tab/>
      </w:r>
      <w:proofErr w:type="gramStart"/>
      <w:r w:rsidR="00E1530D" w:rsidRPr="000972D9">
        <w:rPr>
          <w:i/>
          <w:sz w:val="24"/>
        </w:rPr>
        <w:t>λ</w:t>
      </w:r>
      <w:proofErr w:type="gramEnd"/>
      <w:r w:rsidR="00F0114B">
        <w:rPr>
          <w:i/>
          <w:sz w:val="24"/>
        </w:rPr>
        <w:t>:</w:t>
      </w:r>
      <w:r w:rsidR="001A0685" w:rsidRPr="000972D9">
        <w:rPr>
          <w:sz w:val="24"/>
        </w:rPr>
        <w:t xml:space="preserve"> wavelength (m)</w:t>
      </w:r>
      <w:r w:rsidR="00BC682B" w:rsidRPr="000972D9">
        <w:rPr>
          <w:sz w:val="24"/>
        </w:rPr>
        <w:t>;</w:t>
      </w:r>
    </w:p>
    <w:p w:rsidR="00BC682B" w:rsidRPr="000972D9" w:rsidRDefault="00BC682B" w:rsidP="00F0114B">
      <w:pPr>
        <w:spacing w:after="120"/>
        <w:ind w:firstLine="720"/>
        <w:rPr>
          <w:sz w:val="24"/>
        </w:rPr>
      </w:pPr>
      <w:proofErr w:type="spellStart"/>
      <w:r w:rsidRPr="000972D9">
        <w:rPr>
          <w:i/>
          <w:sz w:val="24"/>
        </w:rPr>
        <w:t>G</w:t>
      </w:r>
      <w:r w:rsidRPr="000972D9">
        <w:rPr>
          <w:i/>
          <w:sz w:val="24"/>
          <w:vertAlign w:val="subscript"/>
        </w:rPr>
        <w:t>max</w:t>
      </w:r>
      <w:proofErr w:type="spellEnd"/>
      <w:r w:rsidRPr="000972D9">
        <w:rPr>
          <w:sz w:val="24"/>
        </w:rPr>
        <w:t xml:space="preserve">: 56 </w:t>
      </w:r>
      <w:proofErr w:type="spellStart"/>
      <w:r w:rsidRPr="000972D9">
        <w:rPr>
          <w:sz w:val="24"/>
        </w:rPr>
        <w:t>dBi</w:t>
      </w:r>
      <w:proofErr w:type="spellEnd"/>
    </w:p>
    <w:sectPr w:rsidR="00BC682B" w:rsidRPr="000972D9" w:rsidSect="000972D9">
      <w:headerReference w:type="even" r:id="rId19"/>
      <w:headerReference w:type="default" r:id="rId20"/>
      <w:footerReference w:type="default" r:id="rId21"/>
      <w:headerReference w:type="first" r:id="rId22"/>
      <w:footnotePr>
        <w:numRestart w:val="eachSect"/>
      </w:footnotePr>
      <w:pgSz w:w="11907" w:h="16840" w:code="9"/>
      <w:pgMar w:top="1134" w:right="1134" w:bottom="1134" w:left="1418"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2D2" w:rsidRDefault="009E62D2">
      <w:r>
        <w:separator/>
      </w:r>
    </w:p>
  </w:endnote>
  <w:endnote w:type="continuationSeparator" w:id="0">
    <w:p w:rsidR="009E62D2" w:rsidRDefault="009E62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L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09" w:rsidRDefault="00A95609">
    <w:pPr>
      <w:pBdr>
        <w:bottom w:val="single" w:sz="48" w:space="1" w:color="auto"/>
      </w:pBdr>
      <w:rPr>
        <w:b/>
        <w:sz w:val="16"/>
      </w:rPr>
    </w:pPr>
    <w:r>
      <w:rPr>
        <w:b/>
        <w:sz w:val="16"/>
      </w:rPr>
      <w:t xml:space="preserve"> </w:t>
    </w:r>
  </w:p>
  <w:p w:rsidR="0009118E" w:rsidRPr="00412CEB" w:rsidRDefault="00A95609" w:rsidP="00412CEB">
    <w:pPr>
      <w:spacing w:after="0" w:line="240" w:lineRule="auto"/>
      <w:rPr>
        <w:b/>
      </w:rPr>
    </w:pPr>
    <w:r w:rsidRPr="00412CEB">
      <w:rPr>
        <w:b/>
      </w:rPr>
      <w:t>AUSTRALIAN COMMUNICATIONS AND MEDIA AUTHORITY</w:t>
    </w:r>
  </w:p>
  <w:p w:rsidR="00A95609" w:rsidRPr="00412CEB" w:rsidRDefault="00A95609" w:rsidP="00412CEB">
    <w:pPr>
      <w:spacing w:after="0" w:line="240" w:lineRule="auto"/>
      <w:rPr>
        <w:b/>
      </w:rPr>
    </w:pPr>
    <w:r w:rsidRPr="00412CEB">
      <w:rPr>
        <w:b/>
      </w:rPr>
      <w:t xml:space="preserve">SPECTRUM </w:t>
    </w:r>
    <w:r w:rsidR="000E2B7B" w:rsidRPr="00412CEB">
      <w:rPr>
        <w:rFonts w:cs="Calibri"/>
        <w:b/>
      </w:rPr>
      <w:t xml:space="preserve">PLANNING AND ENGINEERING </w:t>
    </w:r>
    <w:r w:rsidRPr="00412CEB">
      <w:rPr>
        <w:b/>
      </w:rPr>
      <w:t>BRANCH</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EBC" w:rsidRPr="009811DB" w:rsidRDefault="007A47CD">
    <w:pPr>
      <w:pStyle w:val="Footer"/>
      <w:pBdr>
        <w:top w:val="single" w:sz="12" w:space="1" w:color="auto"/>
      </w:pBdr>
      <w:tabs>
        <w:tab w:val="right" w:pos="9355"/>
      </w:tabs>
      <w:rPr>
        <w:rFonts w:cs="Calibri"/>
        <w:sz w:val="20"/>
      </w:rPr>
    </w:pPr>
    <w:r>
      <w:rPr>
        <w:rFonts w:cs="Calibri"/>
        <w:sz w:val="20"/>
      </w:rPr>
      <w:t>MS37</w:t>
    </w:r>
    <w:r w:rsidR="00A87EBC" w:rsidRPr="009811DB">
      <w:rPr>
        <w:rFonts w:cs="Calibri"/>
        <w:sz w:val="20"/>
      </w:rPr>
      <w:tab/>
    </w:r>
    <w:r w:rsidR="00A87EBC">
      <w:rPr>
        <w:rFonts w:cs="Calibri"/>
        <w:sz w:val="20"/>
      </w:rPr>
      <w:t>October 2013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09" w:rsidRDefault="00A9560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09" w:rsidRPr="0009118E" w:rsidRDefault="007A47CD" w:rsidP="0009118E">
    <w:pPr>
      <w:pStyle w:val="Footer"/>
      <w:widowControl w:val="0"/>
      <w:pBdr>
        <w:top w:val="single" w:sz="12" w:space="1" w:color="auto"/>
      </w:pBdr>
      <w:tabs>
        <w:tab w:val="right" w:pos="9355"/>
      </w:tabs>
      <w:spacing w:after="0" w:line="240" w:lineRule="auto"/>
      <w:rPr>
        <w:sz w:val="20"/>
      </w:rPr>
    </w:pPr>
    <w:r>
      <w:rPr>
        <w:rFonts w:eastAsia="Times New Roman" w:cs="Calibri"/>
        <w:sz w:val="20"/>
        <w:szCs w:val="20"/>
        <w:lang w:val="en-GB" w:eastAsia="en-AU"/>
      </w:rPr>
      <w:t>MS37</w:t>
    </w:r>
    <w:r w:rsidR="00A95609" w:rsidRPr="000972D9">
      <w:rPr>
        <w:rFonts w:eastAsia="Times New Roman" w:cs="Calibri"/>
        <w:sz w:val="20"/>
        <w:szCs w:val="20"/>
        <w:lang w:val="en-GB" w:eastAsia="en-AU"/>
      </w:rPr>
      <w:tab/>
    </w:r>
    <w:r w:rsidR="000972D9">
      <w:rPr>
        <w:rFonts w:eastAsia="Times New Roman" w:cs="Calibri"/>
        <w:sz w:val="20"/>
        <w:szCs w:val="20"/>
        <w:lang w:val="en-GB" w:eastAsia="en-AU"/>
      </w:rPr>
      <w:t>October</w:t>
    </w:r>
    <w:r w:rsidR="00A95609" w:rsidRPr="000972D9">
      <w:rPr>
        <w:rFonts w:eastAsia="Times New Roman" w:cs="Calibri"/>
        <w:sz w:val="20"/>
        <w:szCs w:val="20"/>
        <w:lang w:val="en-GB" w:eastAsia="en-AU"/>
      </w:rPr>
      <w:t xml:space="preserve"> 2013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2D2" w:rsidRDefault="009E62D2">
      <w:r>
        <w:separator/>
      </w:r>
    </w:p>
  </w:footnote>
  <w:footnote w:type="continuationSeparator" w:id="0">
    <w:p w:rsidR="009E62D2" w:rsidRDefault="009E62D2">
      <w:r>
        <w:continuationSeparator/>
      </w:r>
    </w:p>
  </w:footnote>
  <w:footnote w:id="1">
    <w:p w:rsidR="00A95609" w:rsidRPr="00E76F46" w:rsidRDefault="00A95609" w:rsidP="004334F7">
      <w:pPr>
        <w:pStyle w:val="FootnoteText"/>
      </w:pPr>
      <w:r>
        <w:rPr>
          <w:rStyle w:val="FootnoteReference"/>
        </w:rPr>
        <w:footnoteRef/>
      </w:r>
      <w:r>
        <w:t xml:space="preserve"> One means to enforce the non-operational status of the facility is provided in section 11 of the </w:t>
      </w:r>
      <w:r w:rsidRPr="00E76F46">
        <w:t xml:space="preserve">Television Outside Broadcast (1980-2110 MHz and 2170-2300 MHz) Frequency Band Plan 2012 </w:t>
      </w:r>
      <w:r>
        <w:t xml:space="preserve">available at: </w:t>
      </w:r>
      <w:r w:rsidRPr="00E76F46">
        <w:t xml:space="preserve"> </w:t>
      </w:r>
      <w:hyperlink r:id="rId1" w:history="1">
        <w:r>
          <w:rPr>
            <w:rStyle w:val="Hyperlink"/>
          </w:rPr>
          <w:t>http://www.comlaw.gov.au/Details/F2012L00731</w:t>
        </w:r>
      </w:hyperlink>
    </w:p>
  </w:footnote>
  <w:footnote w:id="2">
    <w:p w:rsidR="00A95609" w:rsidRPr="00A821EE" w:rsidRDefault="00A95609" w:rsidP="00E5449A">
      <w:pPr>
        <w:pStyle w:val="FootnoteText"/>
      </w:pPr>
      <w:r>
        <w:rPr>
          <w:rStyle w:val="FootnoteReference"/>
        </w:rPr>
        <w:footnoteRef/>
      </w:r>
      <w:r>
        <w:t xml:space="preserve"> Lower limit exclusive, upper limit inclusive.</w:t>
      </w:r>
    </w:p>
  </w:footnote>
  <w:footnote w:id="3">
    <w:p w:rsidR="00A95609" w:rsidRDefault="00A95609">
      <w:pPr>
        <w:pStyle w:val="FootnoteText"/>
      </w:pPr>
      <w:r>
        <w:rPr>
          <w:rStyle w:val="FootnoteReference"/>
        </w:rPr>
        <w:footnoteRef/>
      </w:r>
      <w:r>
        <w:t xml:space="preserve"> If elevation-plane discrimination is to be considered, then the elevation angle of the interference path, </w:t>
      </w:r>
      <w:proofErr w:type="spellStart"/>
      <w:r>
        <w:rPr>
          <w:rFonts w:cs="Calibri"/>
        </w:rPr>
        <w:t>ε</w:t>
      </w:r>
      <w:r>
        <w:rPr>
          <w:vertAlign w:val="subscript"/>
        </w:rPr>
        <w:t>p</w:t>
      </w:r>
      <w:proofErr w:type="spellEnd"/>
      <w:r w:rsidRPr="00F77166">
        <w:t>,</w:t>
      </w:r>
      <w:r>
        <w:t xml:space="preserve"> along the azimuth of the interference path must be taken into account. The elevation angle of the interference path is the maximum of:</w:t>
      </w:r>
    </w:p>
    <w:p w:rsidR="00A95609" w:rsidRPr="00745724" w:rsidRDefault="00A95609" w:rsidP="00D945C7">
      <w:pPr>
        <w:pStyle w:val="FootnoteText"/>
        <w:numPr>
          <w:ilvl w:val="0"/>
          <w:numId w:val="3"/>
        </w:numPr>
        <w:rPr>
          <w:i/>
        </w:rPr>
      </w:pPr>
      <w:r>
        <w:t xml:space="preserve">the angle subtended by the highest terrain obstruction along the interference path (trans-horizon path); and </w:t>
      </w:r>
    </w:p>
    <w:p w:rsidR="00A95609" w:rsidRPr="00745724" w:rsidRDefault="00A95609" w:rsidP="00D945C7">
      <w:pPr>
        <w:pStyle w:val="FootnoteText"/>
        <w:numPr>
          <w:ilvl w:val="0"/>
          <w:numId w:val="3"/>
        </w:numPr>
        <w:rPr>
          <w:i/>
        </w:rPr>
      </w:pPr>
      <w:proofErr w:type="gramStart"/>
      <w:r>
        <w:t>the</w:t>
      </w:r>
      <w:proofErr w:type="gramEnd"/>
      <w:r>
        <w:t xml:space="preserve"> angle subtended by the victim earth station antenna (LOS path).</w:t>
      </w:r>
    </w:p>
    <w:p w:rsidR="00A95609" w:rsidRPr="007B6F88" w:rsidRDefault="00A95609" w:rsidP="00745724">
      <w:pPr>
        <w:pStyle w:val="FootnoteText"/>
        <w:rPr>
          <w:i/>
        </w:rPr>
      </w:pPr>
      <w:proofErr w:type="gramStart"/>
      <w:r>
        <w:t>and</w:t>
      </w:r>
      <w:proofErr w:type="gramEnd"/>
      <w:r>
        <w:t xml:space="preserve"> is taken relative to the horizontal plane (i.e. </w:t>
      </w:r>
      <w:proofErr w:type="spellStart"/>
      <w:r>
        <w:rPr>
          <w:rFonts w:cs="Calibri"/>
        </w:rPr>
        <w:t>ε</w:t>
      </w:r>
      <w:r>
        <w:rPr>
          <w:vertAlign w:val="subscript"/>
        </w:rPr>
        <w:t>p</w:t>
      </w:r>
      <w:proofErr w:type="spellEnd"/>
      <w:r>
        <w:t xml:space="preserve"> &gt; 0 above the horizontal, </w:t>
      </w:r>
      <w:proofErr w:type="spellStart"/>
      <w:r>
        <w:rPr>
          <w:rFonts w:cs="Calibri"/>
        </w:rPr>
        <w:t>ε</w:t>
      </w:r>
      <w:r>
        <w:rPr>
          <w:vertAlign w:val="subscript"/>
        </w:rPr>
        <w:t>p</w:t>
      </w:r>
      <w:proofErr w:type="spellEnd"/>
      <w:r>
        <w:t xml:space="preserve"> &lt; 0 below it).</w:t>
      </w:r>
      <w:r>
        <w:br/>
        <w:t xml:space="preserve">The off-axis angle (of the interference path relative to the antenna main beam, in the elevation plane) is therefore </w:t>
      </w:r>
      <w:proofErr w:type="spellStart"/>
      <w:r>
        <w:rPr>
          <w:rFonts w:cs="Calibri"/>
        </w:rPr>
        <w:t>ε</w:t>
      </w:r>
      <w:r>
        <w:rPr>
          <w:vertAlign w:val="subscript"/>
        </w:rPr>
        <w:t>p</w:t>
      </w:r>
      <w:proofErr w:type="spellEnd"/>
      <w:r>
        <w:rPr>
          <w:vertAlign w:val="superscript"/>
        </w:rPr>
        <w:t xml:space="preserve"> </w:t>
      </w:r>
      <w:r>
        <w:t xml:space="preserve">– </w:t>
      </w:r>
      <w:proofErr w:type="spellStart"/>
      <w:r>
        <w:rPr>
          <w:rFonts w:cs="Calibri"/>
        </w:rPr>
        <w:t>ε</w:t>
      </w:r>
      <w:r>
        <w:rPr>
          <w:vertAlign w:val="subscript"/>
        </w:rPr>
        <w:t>ant</w:t>
      </w:r>
      <w:proofErr w:type="spellEnd"/>
      <w:r>
        <w:t xml:space="preserve">, where </w:t>
      </w:r>
      <w:proofErr w:type="spellStart"/>
      <w:r>
        <w:rPr>
          <w:rFonts w:cs="Calibri"/>
        </w:rPr>
        <w:t>ε</w:t>
      </w:r>
      <w:r>
        <w:rPr>
          <w:vertAlign w:val="subscript"/>
        </w:rPr>
        <w:t>ant</w:t>
      </w:r>
      <w:proofErr w:type="spellEnd"/>
      <w:r>
        <w:t xml:space="preserve"> is the elevation angle of the antenna main beam.</w:t>
      </w:r>
    </w:p>
  </w:footnote>
  <w:footnote w:id="4">
    <w:p w:rsidR="00A95609" w:rsidRPr="00A821EE" w:rsidRDefault="00A95609" w:rsidP="0083797F">
      <w:pPr>
        <w:pStyle w:val="FootnoteText"/>
      </w:pPr>
      <w:r>
        <w:rPr>
          <w:rStyle w:val="FootnoteReference"/>
        </w:rPr>
        <w:footnoteRef/>
      </w:r>
      <w:r>
        <w:t xml:space="preserve"> Lower limit exclusive, upper limit inclusive.</w:t>
      </w:r>
    </w:p>
  </w:footnote>
  <w:footnote w:id="5">
    <w:p w:rsidR="00A95609" w:rsidRPr="000D66D3" w:rsidRDefault="00A95609">
      <w:pPr>
        <w:pStyle w:val="FootnoteText"/>
      </w:pPr>
      <w:r>
        <w:rPr>
          <w:rStyle w:val="FootnoteReference"/>
        </w:rPr>
        <w:footnoteRef/>
      </w:r>
      <w:r>
        <w:t xml:space="preserve"> </w:t>
      </w:r>
      <w:proofErr w:type="gramStart"/>
      <w:r>
        <w:t>Manager, Spectrum Engineering Section, ACMA, PO Box 78 Belconnen ACT 2616.</w:t>
      </w:r>
      <w:proofErr w:type="gramEnd"/>
    </w:p>
  </w:footnote>
  <w:footnote w:id="6">
    <w:p w:rsidR="00A95609" w:rsidRPr="000D66D3" w:rsidRDefault="00A95609" w:rsidP="00F1667D">
      <w:pPr>
        <w:pStyle w:val="FootnoteText"/>
      </w:pPr>
      <w:r>
        <w:rPr>
          <w:rStyle w:val="FootnoteReference"/>
        </w:rPr>
        <w:footnoteRef/>
      </w:r>
      <w:r>
        <w:t xml:space="preserve"> </w:t>
      </w:r>
      <w:proofErr w:type="gramStart"/>
      <w:r>
        <w:t>Manager, Spectrum Engineering Section, ACMA, PO Box 78 Belconnen ACT 2616.</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09" w:rsidRDefault="00A95609">
    <w:pPr>
      <w:pStyle w:val="Header"/>
      <w:ind w:right="-1"/>
    </w:pPr>
  </w:p>
  <w:p w:rsidR="00A95609" w:rsidRDefault="00A95609">
    <w:pPr>
      <w:pStyle w:val="Header"/>
      <w:ind w:right="-1"/>
    </w:pPr>
  </w:p>
  <w:p w:rsidR="00A95609" w:rsidRDefault="00A95609"/>
  <w:tbl>
    <w:tblPr>
      <w:tblW w:w="0" w:type="auto"/>
      <w:tblInd w:w="5495" w:type="dxa"/>
      <w:tblLayout w:type="fixed"/>
      <w:tblLook w:val="0000"/>
    </w:tblPr>
    <w:tblGrid>
      <w:gridCol w:w="2410"/>
      <w:gridCol w:w="23"/>
      <w:gridCol w:w="1536"/>
    </w:tblGrid>
    <w:tr w:rsidR="00A95609" w:rsidRPr="009E62D2">
      <w:trPr>
        <w:cantSplit/>
      </w:trPr>
      <w:tc>
        <w:tcPr>
          <w:tcW w:w="2433" w:type="dxa"/>
          <w:gridSpan w:val="2"/>
        </w:tcPr>
        <w:p w:rsidR="00A95609" w:rsidRPr="009E62D2" w:rsidRDefault="00A95609">
          <w:pPr>
            <w:jc w:val="right"/>
            <w:rPr>
              <w:b/>
            </w:rPr>
          </w:pPr>
          <w:r w:rsidRPr="009E62D2">
            <w:rPr>
              <w:b/>
            </w:rPr>
            <w:t>RALI</w:t>
          </w:r>
        </w:p>
      </w:tc>
      <w:tc>
        <w:tcPr>
          <w:tcW w:w="1536" w:type="dxa"/>
        </w:tcPr>
        <w:p w:rsidR="00A95609" w:rsidRPr="009E62D2" w:rsidRDefault="00A95609">
          <w:pPr>
            <w:rPr>
              <w:b/>
            </w:rPr>
          </w:pPr>
          <w:r w:rsidRPr="009E62D2">
            <w:rPr>
              <w:b/>
            </w:rPr>
            <w:t>: MS 25</w:t>
          </w:r>
        </w:p>
      </w:tc>
    </w:tr>
    <w:tr w:rsidR="00A95609" w:rsidRPr="009E62D2">
      <w:trPr>
        <w:cantSplit/>
      </w:trPr>
      <w:tc>
        <w:tcPr>
          <w:tcW w:w="2410" w:type="dxa"/>
        </w:tcPr>
        <w:p w:rsidR="00A95609" w:rsidRPr="009E62D2" w:rsidRDefault="00A95609">
          <w:pPr>
            <w:jc w:val="right"/>
            <w:rPr>
              <w:b/>
            </w:rPr>
          </w:pPr>
          <w:r w:rsidRPr="009E62D2">
            <w:rPr>
              <w:b/>
            </w:rPr>
            <w:t>DATE OF EFFECT</w:t>
          </w:r>
        </w:p>
      </w:tc>
      <w:tc>
        <w:tcPr>
          <w:tcW w:w="1559" w:type="dxa"/>
          <w:gridSpan w:val="2"/>
        </w:tcPr>
        <w:p w:rsidR="00A95609" w:rsidRPr="009E62D2" w:rsidRDefault="00A95609">
          <w:pPr>
            <w:rPr>
              <w:b/>
            </w:rPr>
          </w:pPr>
          <w:r w:rsidRPr="009E62D2">
            <w:rPr>
              <w:b/>
            </w:rPr>
            <w:t>: XX/X/2000</w:t>
          </w:r>
        </w:p>
      </w:tc>
    </w:tr>
    <w:tr w:rsidR="00A95609" w:rsidRPr="009E62D2">
      <w:trPr>
        <w:cantSplit/>
      </w:trPr>
      <w:tc>
        <w:tcPr>
          <w:tcW w:w="2433" w:type="dxa"/>
          <w:gridSpan w:val="2"/>
        </w:tcPr>
        <w:p w:rsidR="00A95609" w:rsidRPr="009E62D2" w:rsidRDefault="00A95609">
          <w:pPr>
            <w:jc w:val="right"/>
            <w:rPr>
              <w:b/>
              <w:sz w:val="20"/>
            </w:rPr>
          </w:pPr>
        </w:p>
      </w:tc>
      <w:tc>
        <w:tcPr>
          <w:tcW w:w="1536" w:type="dxa"/>
        </w:tcPr>
        <w:p w:rsidR="00A95609" w:rsidRPr="009E62D2" w:rsidRDefault="00A95609">
          <w:pPr>
            <w:rPr>
              <w:b/>
            </w:rPr>
          </w:pPr>
        </w:p>
      </w:tc>
    </w:tr>
    <w:tr w:rsidR="00A95609" w:rsidRPr="009E62D2">
      <w:trPr>
        <w:cantSplit/>
      </w:trPr>
      <w:tc>
        <w:tcPr>
          <w:tcW w:w="2433" w:type="dxa"/>
          <w:gridSpan w:val="2"/>
        </w:tcPr>
        <w:p w:rsidR="00A95609" w:rsidRPr="009E62D2" w:rsidRDefault="00A95609">
          <w:pPr>
            <w:jc w:val="right"/>
            <w:rPr>
              <w:b/>
              <w:sz w:val="20"/>
            </w:rPr>
          </w:pPr>
          <w:r w:rsidRPr="009E62D2">
            <w:rPr>
              <w:b/>
              <w:sz w:val="20"/>
            </w:rPr>
            <w:t>Sequence Number</w:t>
          </w:r>
        </w:p>
      </w:tc>
      <w:tc>
        <w:tcPr>
          <w:tcW w:w="1536" w:type="dxa"/>
        </w:tcPr>
        <w:p w:rsidR="00A95609" w:rsidRPr="009E62D2" w:rsidRDefault="00A95609">
          <w:pPr>
            <w:rPr>
              <w:b/>
            </w:rPr>
          </w:pPr>
          <w:r w:rsidRPr="009E62D2">
            <w:rPr>
              <w:b/>
            </w:rPr>
            <w:t>: (XXX)</w:t>
          </w:r>
        </w:p>
        <w:p w:rsidR="00A95609" w:rsidRPr="009E62D2" w:rsidRDefault="00A95609">
          <w:pPr>
            <w:rPr>
              <w:b/>
            </w:rPr>
          </w:pPr>
          <w:r w:rsidRPr="009E62D2">
            <w:rPr>
              <w:b/>
            </w:rPr>
            <w:t>(X) (X)</w:t>
          </w:r>
        </w:p>
      </w:tc>
    </w:tr>
  </w:tbl>
  <w:p w:rsidR="00A95609" w:rsidRDefault="00A95609">
    <w:pPr>
      <w:pBdr>
        <w:bottom w:val="single" w:sz="48" w:space="1" w:color="auto"/>
      </w:pBdr>
    </w:pPr>
  </w:p>
  <w:p w:rsidR="00A95609" w:rsidRDefault="00A95609">
    <w:r>
      <w:rPr>
        <w:b/>
      </w:rPr>
      <w:t>Radiocommunications Assignment and Licensing Instruction</w:t>
    </w:r>
  </w:p>
  <w:p w:rsidR="00A95609" w:rsidRDefault="00A95609">
    <w:pPr>
      <w:pStyle w:val="Header"/>
      <w:ind w:right="-1"/>
      <w:jc w:val="center"/>
    </w:pPr>
  </w:p>
  <w:p w:rsidR="00A95609" w:rsidRDefault="00A95609">
    <w:pPr>
      <w:pBdr>
        <w:bottom w:val="single" w:sz="48" w:space="1" w:color="auto"/>
      </w:pBdr>
      <w:rPr>
        <w:b/>
        <w:sz w:val="16"/>
      </w:rPr>
    </w:pPr>
    <w:r>
      <w:rPr>
        <w:b/>
        <w:sz w:val="16"/>
      </w:rPr>
      <w:t xml:space="preserve"> </w:t>
    </w:r>
  </w:p>
  <w:p w:rsidR="00A95609" w:rsidRDefault="00A95609">
    <w:pPr>
      <w:rPr>
        <w:b/>
        <w:i/>
      </w:rPr>
    </w:pPr>
    <w:r>
      <w:rPr>
        <w:b/>
        <w:i/>
      </w:rPr>
      <w:t>AUSTRALIAN COMMUNICATIONS AUTHORITY</w:t>
    </w:r>
  </w:p>
  <w:p w:rsidR="00A95609" w:rsidRDefault="00A95609">
    <w:pPr>
      <w:rPr>
        <w:b/>
      </w:rPr>
    </w:pPr>
    <w:r>
      <w:rPr>
        <w:b/>
      </w:rPr>
      <w:t>RADIOFREQUENCY PLANNING GROUP</w:t>
    </w:r>
  </w:p>
  <w:p w:rsidR="00A95609" w:rsidRDefault="00A95609">
    <w:pPr>
      <w:tabs>
        <w:tab w:val="right" w:pos="9356"/>
      </w:tabs>
      <w:rPr>
        <w:b/>
      </w:rPr>
    </w:pPr>
    <w:smartTag w:uri="urn:schemas-microsoft-com:office:smarttags" w:element="City">
      <w:smartTag w:uri="urn:schemas-microsoft-com:office:smarttags" w:element="place">
        <w:r>
          <w:rPr>
            <w:b/>
          </w:rPr>
          <w:t>CANBERRA</w:t>
        </w:r>
      </w:smartTag>
    </w:smartTag>
  </w:p>
  <w:p w:rsidR="00A95609" w:rsidRDefault="00A95609">
    <w:pPr>
      <w:pStyle w:val="Header"/>
      <w:ind w:right="-1"/>
      <w:jc w:val="center"/>
    </w:pPr>
  </w:p>
  <w:p w:rsidR="00A95609" w:rsidRDefault="009356E5">
    <w:pPr>
      <w:pStyle w:val="Header"/>
      <w:framePr w:wrap="around" w:vAnchor="text" w:hAnchor="margin" w:xAlign="center" w:y="1"/>
      <w:rPr>
        <w:rStyle w:val="PageNumber"/>
      </w:rPr>
    </w:pPr>
    <w:r>
      <w:rPr>
        <w:rStyle w:val="PageNumber"/>
      </w:rPr>
      <w:fldChar w:fldCharType="begin"/>
    </w:r>
    <w:r w:rsidR="00A95609">
      <w:rPr>
        <w:rStyle w:val="PageNumber"/>
      </w:rPr>
      <w:instrText xml:space="preserve">PAGE  </w:instrText>
    </w:r>
    <w:r>
      <w:rPr>
        <w:rStyle w:val="PageNumber"/>
      </w:rPr>
      <w:fldChar w:fldCharType="separate"/>
    </w:r>
    <w:r w:rsidR="00A95609">
      <w:rPr>
        <w:rStyle w:val="PageNumber"/>
        <w:noProof/>
      </w:rPr>
      <w:t>17</w:t>
    </w:r>
    <w:r>
      <w:rPr>
        <w:rStyle w:val="PageNumber"/>
      </w:rPr>
      <w:fldChar w:fldCharType="end"/>
    </w:r>
  </w:p>
  <w:p w:rsidR="00A95609" w:rsidRDefault="00A95609">
    <w:pPr>
      <w:pStyle w:val="Header"/>
      <w:tabs>
        <w:tab w:val="center" w:pos="4536"/>
      </w:tabs>
      <w:ind w:right="360"/>
      <w:jc w:val="center"/>
      <w:rPr>
        <w:b/>
      </w:rPr>
    </w:pPr>
    <w:r>
      <w:rPr>
        <w:b/>
      </w:rPr>
      <w:t>DRAFT</w:t>
    </w:r>
  </w:p>
  <w:p w:rsidR="00A95609" w:rsidRDefault="00A95609">
    <w:pPr>
      <w:pStyle w:val="Header"/>
      <w:tabs>
        <w:tab w:val="center" w:pos="4536"/>
      </w:tabs>
      <w:ind w:right="-1"/>
      <w:jc w:val="center"/>
    </w:pPr>
  </w:p>
  <w:p w:rsidR="00A95609" w:rsidRDefault="00A95609">
    <w:pPr>
      <w:pStyle w:val="Header"/>
      <w:ind w:right="360" w:firstLine="360"/>
      <w:jc w:val="center"/>
      <w:rPr>
        <w:b/>
      </w:rPr>
    </w:pPr>
  </w:p>
  <w:p w:rsidR="00A95609" w:rsidRDefault="00A95609">
    <w:pPr>
      <w:pStyle w:val="Header"/>
      <w:ind w:right="-1"/>
      <w:jc w:val="center"/>
    </w:pPr>
  </w:p>
  <w:p w:rsidR="00A95609" w:rsidRDefault="009356E5">
    <w:pPr>
      <w:pStyle w:val="Footer"/>
      <w:framePr w:wrap="around" w:vAnchor="text" w:hAnchor="margin" w:xAlign="right" w:y="1"/>
      <w:rPr>
        <w:rStyle w:val="PageNumber"/>
      </w:rPr>
    </w:pPr>
    <w:r>
      <w:rPr>
        <w:rStyle w:val="PageNumber"/>
      </w:rPr>
      <w:fldChar w:fldCharType="begin"/>
    </w:r>
    <w:r w:rsidR="00A95609">
      <w:rPr>
        <w:rStyle w:val="PageNumber"/>
      </w:rPr>
      <w:instrText xml:space="preserve">PAGE  </w:instrText>
    </w:r>
    <w:r>
      <w:rPr>
        <w:rStyle w:val="PageNumber"/>
      </w:rPr>
      <w:fldChar w:fldCharType="separate"/>
    </w:r>
    <w:r w:rsidR="00A95609">
      <w:rPr>
        <w:rStyle w:val="PageNumber"/>
        <w:noProof/>
      </w:rPr>
      <w:t>17</w:t>
    </w:r>
    <w:r>
      <w:rPr>
        <w:rStyle w:val="PageNumber"/>
      </w:rPr>
      <w:fldChar w:fldCharType="end"/>
    </w:r>
  </w:p>
  <w:p w:rsidR="00A95609" w:rsidRDefault="00A95609">
    <w:pPr>
      <w:pStyle w:val="Footer"/>
      <w:ind w:right="360"/>
      <w:rPr>
        <w:b/>
      </w:rPr>
    </w:pPr>
  </w:p>
  <w:p w:rsidR="00A95609" w:rsidRDefault="00A95609">
    <w:pPr>
      <w:pStyle w:val="Footer"/>
    </w:pPr>
  </w:p>
  <w:p w:rsidR="00A95609" w:rsidRDefault="00A95609">
    <w:pPr>
      <w:pStyle w:val="Footer"/>
    </w:pPr>
  </w:p>
  <w:p w:rsidR="00A95609" w:rsidRDefault="00A95609">
    <w:pPr>
      <w:pStyle w:val="Footer"/>
    </w:pPr>
  </w:p>
  <w:p w:rsidR="00A95609" w:rsidRDefault="009356E5">
    <w:pPr>
      <w:pStyle w:val="Header"/>
      <w:framePr w:wrap="around" w:vAnchor="text" w:hAnchor="margin" w:xAlign="center" w:y="1"/>
      <w:rPr>
        <w:rStyle w:val="PageNumber"/>
      </w:rPr>
    </w:pPr>
    <w:r>
      <w:rPr>
        <w:rStyle w:val="PageNumber"/>
      </w:rPr>
      <w:fldChar w:fldCharType="begin"/>
    </w:r>
    <w:r w:rsidR="00A95609">
      <w:rPr>
        <w:rStyle w:val="PageNumber"/>
      </w:rPr>
      <w:instrText xml:space="preserve">PAGE  </w:instrText>
    </w:r>
    <w:r>
      <w:rPr>
        <w:rStyle w:val="PageNumber"/>
      </w:rPr>
      <w:fldChar w:fldCharType="separate"/>
    </w:r>
    <w:r w:rsidR="00A95609">
      <w:rPr>
        <w:rStyle w:val="PageNumber"/>
        <w:noProof/>
      </w:rPr>
      <w:t>iii</w:t>
    </w:r>
    <w:r>
      <w:rPr>
        <w:rStyle w:val="PageNumber"/>
      </w:rPr>
      <w:fldChar w:fldCharType="end"/>
    </w:r>
  </w:p>
  <w:p w:rsidR="00A95609" w:rsidRDefault="00A95609">
    <w:pPr>
      <w:pStyle w:val="Header"/>
      <w:ind w:right="360" w:firstLine="360"/>
      <w:jc w:val="center"/>
      <w:rPr>
        <w:b/>
      </w:rPr>
    </w:pPr>
  </w:p>
  <w:p w:rsidR="00A95609" w:rsidRDefault="00A95609">
    <w:pPr>
      <w:pStyle w:val="Header"/>
      <w:ind w:right="360" w:firstLine="360"/>
      <w:jc w:val="center"/>
      <w:rPr>
        <w:b/>
      </w:rPr>
    </w:pPr>
  </w:p>
  <w:p w:rsidR="00A95609" w:rsidRDefault="00A95609"/>
  <w:p w:rsidR="00A95609" w:rsidRDefault="00A95609">
    <w:pPr>
      <w:pStyle w:val="Footer"/>
    </w:pPr>
  </w:p>
  <w:p w:rsidR="00A95609" w:rsidRDefault="00A95609"/>
  <w:p w:rsidR="00A95609" w:rsidRDefault="009356E5">
    <w:pPr>
      <w:pStyle w:val="Header"/>
      <w:framePr w:wrap="around" w:vAnchor="text" w:hAnchor="margin" w:xAlign="center" w:y="1"/>
      <w:rPr>
        <w:rStyle w:val="PageNumber"/>
      </w:rPr>
    </w:pPr>
    <w:r>
      <w:rPr>
        <w:rStyle w:val="PageNumber"/>
      </w:rPr>
      <w:fldChar w:fldCharType="begin"/>
    </w:r>
    <w:r w:rsidR="00A95609">
      <w:rPr>
        <w:rStyle w:val="PageNumber"/>
      </w:rPr>
      <w:instrText xml:space="preserve">PAGE  </w:instrText>
    </w:r>
    <w:r>
      <w:rPr>
        <w:rStyle w:val="PageNumber"/>
      </w:rPr>
      <w:fldChar w:fldCharType="separate"/>
    </w:r>
    <w:r w:rsidR="00A95609">
      <w:rPr>
        <w:rStyle w:val="PageNumber"/>
        <w:noProof/>
      </w:rPr>
      <w:t>4</w:t>
    </w:r>
    <w:r>
      <w:rPr>
        <w:rStyle w:val="PageNumber"/>
      </w:rPr>
      <w:fldChar w:fldCharType="end"/>
    </w:r>
  </w:p>
  <w:p w:rsidR="00A95609" w:rsidRDefault="00A95609">
    <w:pPr>
      <w:pStyle w:val="Header"/>
      <w:ind w:right="360" w:firstLine="360"/>
      <w:jc w:val="center"/>
      <w:rPr>
        <w:b/>
      </w:rPr>
    </w:pPr>
  </w:p>
  <w:p w:rsidR="00A95609" w:rsidRDefault="00A95609">
    <w:pPr>
      <w:pStyle w:val="Header"/>
      <w:ind w:right="360" w:firstLine="360"/>
      <w:jc w:val="center"/>
      <w:rPr>
        <w:b/>
      </w:rPr>
    </w:pPr>
  </w:p>
  <w:p w:rsidR="00A95609" w:rsidRDefault="00A95609"/>
  <w:p w:rsidR="00A95609" w:rsidRDefault="00A95609">
    <w:pPr>
      <w:pStyle w:val="Footer"/>
      <w:pBdr>
        <w:top w:val="single" w:sz="18" w:space="1" w:color="auto"/>
      </w:pBdr>
      <w:tabs>
        <w:tab w:val="right" w:pos="9214"/>
      </w:tabs>
      <w:rPr>
        <w:sz w:val="20"/>
      </w:rPr>
    </w:pPr>
    <w:r>
      <w:rPr>
        <w:sz w:val="20"/>
      </w:rPr>
      <w:t>MS 25 - Part 1</w:t>
    </w:r>
    <w:r>
      <w:rPr>
        <w:sz w:val="20"/>
      </w:rPr>
      <w:tab/>
      <w:t>February 2000</w:t>
    </w:r>
  </w:p>
  <w:p w:rsidR="00A95609" w:rsidRDefault="00A95609"/>
  <w:p w:rsidR="00A95609" w:rsidRDefault="009356E5">
    <w:pPr>
      <w:pStyle w:val="Header"/>
      <w:framePr w:wrap="around" w:vAnchor="text" w:hAnchor="margin" w:xAlign="center" w:y="1"/>
      <w:rPr>
        <w:rStyle w:val="PageNumber"/>
      </w:rPr>
    </w:pPr>
    <w:r>
      <w:rPr>
        <w:rStyle w:val="PageNumber"/>
      </w:rPr>
      <w:fldChar w:fldCharType="begin"/>
    </w:r>
    <w:r w:rsidR="00A95609">
      <w:rPr>
        <w:rStyle w:val="PageNumber"/>
      </w:rPr>
      <w:instrText xml:space="preserve">PAGE  </w:instrText>
    </w:r>
    <w:r>
      <w:rPr>
        <w:rStyle w:val="PageNumber"/>
      </w:rPr>
      <w:fldChar w:fldCharType="separate"/>
    </w:r>
    <w:r w:rsidR="00A95609">
      <w:rPr>
        <w:rStyle w:val="PageNumber"/>
        <w:noProof/>
      </w:rPr>
      <w:t>9</w:t>
    </w:r>
    <w:r>
      <w:rPr>
        <w:rStyle w:val="PageNumber"/>
      </w:rPr>
      <w:fldChar w:fldCharType="end"/>
    </w:r>
  </w:p>
  <w:p w:rsidR="00A95609" w:rsidRDefault="00A95609">
    <w:pPr>
      <w:pStyle w:val="Header"/>
      <w:ind w:right="360" w:firstLine="360"/>
      <w:jc w:val="center"/>
      <w:rPr>
        <w:b/>
      </w:rPr>
    </w:pPr>
  </w:p>
  <w:p w:rsidR="00A95609" w:rsidRDefault="00A95609">
    <w:pPr>
      <w:pStyle w:val="Header"/>
      <w:ind w:right="360" w:firstLine="360"/>
      <w:jc w:val="center"/>
      <w:rPr>
        <w:b/>
      </w:rPr>
    </w:pPr>
  </w:p>
  <w:p w:rsidR="00A95609" w:rsidRDefault="00A95609"/>
  <w:p w:rsidR="00A95609" w:rsidRDefault="00A95609">
    <w:pPr>
      <w:pStyle w:val="Footer"/>
      <w:pBdr>
        <w:top w:val="single" w:sz="18" w:space="1" w:color="auto"/>
      </w:pBdr>
      <w:tabs>
        <w:tab w:val="right" w:pos="9214"/>
      </w:tabs>
      <w:rPr>
        <w:sz w:val="20"/>
      </w:rPr>
    </w:pPr>
    <w:r>
      <w:rPr>
        <w:sz w:val="20"/>
      </w:rPr>
      <w:t>MS 25 - Part 2</w:t>
    </w:r>
    <w:r>
      <w:rPr>
        <w:sz w:val="20"/>
      </w:rPr>
      <w:tab/>
      <w:t>2000</w:t>
    </w:r>
  </w:p>
  <w:p w:rsidR="00A95609" w:rsidRDefault="00A95609"/>
  <w:p w:rsidR="00A95609" w:rsidRDefault="009356E5">
    <w:pPr>
      <w:pStyle w:val="Header"/>
      <w:framePr w:wrap="around" w:vAnchor="text" w:hAnchor="margin" w:xAlign="center" w:y="1"/>
      <w:rPr>
        <w:rStyle w:val="PageNumber"/>
      </w:rPr>
    </w:pPr>
    <w:r>
      <w:rPr>
        <w:rStyle w:val="PageNumber"/>
      </w:rPr>
      <w:fldChar w:fldCharType="begin"/>
    </w:r>
    <w:r w:rsidR="00A95609">
      <w:rPr>
        <w:rStyle w:val="PageNumber"/>
      </w:rPr>
      <w:instrText xml:space="preserve">PAGE  </w:instrText>
    </w:r>
    <w:r>
      <w:rPr>
        <w:rStyle w:val="PageNumber"/>
      </w:rPr>
      <w:fldChar w:fldCharType="separate"/>
    </w:r>
    <w:r w:rsidR="00A95609">
      <w:rPr>
        <w:rStyle w:val="PageNumber"/>
        <w:noProof/>
      </w:rPr>
      <w:t>29</w:t>
    </w:r>
    <w:r>
      <w:rPr>
        <w:rStyle w:val="PageNumber"/>
      </w:rPr>
      <w:fldChar w:fldCharType="end"/>
    </w:r>
  </w:p>
  <w:p w:rsidR="00A95609" w:rsidRDefault="00A95609">
    <w:pPr>
      <w:pStyle w:val="Header"/>
      <w:ind w:right="360" w:firstLine="360"/>
      <w:jc w:val="center"/>
      <w:rPr>
        <w:b/>
      </w:rPr>
    </w:pPr>
  </w:p>
  <w:p w:rsidR="00A95609" w:rsidRDefault="00A95609">
    <w:pPr>
      <w:pStyle w:val="Header"/>
      <w:ind w:right="360" w:firstLine="360"/>
      <w:jc w:val="center"/>
      <w:rPr>
        <w:b/>
      </w:rPr>
    </w:pPr>
  </w:p>
  <w:p w:rsidR="00A95609" w:rsidRDefault="00A95609"/>
  <w:p w:rsidR="00A95609" w:rsidRDefault="00A95609">
    <w:pPr>
      <w:pStyle w:val="Footer"/>
      <w:pBdr>
        <w:top w:val="single" w:sz="18" w:space="1" w:color="auto"/>
      </w:pBdr>
      <w:tabs>
        <w:tab w:val="right" w:pos="9214"/>
      </w:tabs>
      <w:rPr>
        <w:sz w:val="20"/>
      </w:rPr>
    </w:pPr>
    <w:r>
      <w:rPr>
        <w:sz w:val="20"/>
      </w:rPr>
      <w:t>MS 25 - Part 3</w:t>
    </w:r>
    <w:r>
      <w:rPr>
        <w:sz w:val="20"/>
      </w:rPr>
      <w:tab/>
      <w:t>2000</w:t>
    </w:r>
  </w:p>
  <w:p w:rsidR="00A95609" w:rsidRDefault="00A95609"/>
  <w:p w:rsidR="00A95609" w:rsidRDefault="00A95609">
    <w:pPr>
      <w:pStyle w:val="Footer"/>
      <w:pBdr>
        <w:top w:val="single" w:sz="18" w:space="1" w:color="auto"/>
      </w:pBdr>
      <w:tabs>
        <w:tab w:val="right" w:pos="9214"/>
      </w:tabs>
      <w:rPr>
        <w:sz w:val="20"/>
      </w:rPr>
    </w:pPr>
    <w:r>
      <w:rPr>
        <w:sz w:val="20"/>
      </w:rPr>
      <w:t>MS 25 - Part 4</w:t>
    </w:r>
    <w:r>
      <w:rPr>
        <w:sz w:val="20"/>
      </w:rPr>
      <w:tab/>
      <w:t>2000</w:t>
    </w:r>
  </w:p>
  <w:p w:rsidR="00A95609" w:rsidRDefault="00A95609"/>
  <w:p w:rsidR="00A95609" w:rsidRDefault="00A95609">
    <w:pPr>
      <w:pStyle w:val="Footer"/>
      <w:pBdr>
        <w:top w:val="single" w:sz="18" w:space="1" w:color="auto"/>
      </w:pBdr>
      <w:tabs>
        <w:tab w:val="right" w:pos="9214"/>
      </w:tabs>
      <w:rPr>
        <w:sz w:val="20"/>
      </w:rPr>
    </w:pPr>
    <w:r>
      <w:rPr>
        <w:sz w:val="20"/>
      </w:rPr>
      <w:t>MS 25 - Part 4</w:t>
    </w:r>
    <w:r>
      <w:rPr>
        <w:sz w:val="20"/>
      </w:rPr>
      <w:tab/>
      <w:t>2000</w:t>
    </w:r>
  </w:p>
  <w:p w:rsidR="00A95609" w:rsidRDefault="00A95609"/>
  <w:p w:rsidR="00A95609" w:rsidRDefault="00A95609">
    <w:pPr>
      <w:pStyle w:val="Footer"/>
      <w:pBdr>
        <w:top w:val="single" w:sz="36" w:space="1" w:color="auto"/>
      </w:pBdr>
      <w:tabs>
        <w:tab w:val="right" w:pos="9356"/>
      </w:tabs>
      <w:rPr>
        <w:sz w:val="18"/>
      </w:rPr>
    </w:pPr>
    <w:r>
      <w:rPr>
        <w:sz w:val="18"/>
      </w:rPr>
      <w:t xml:space="preserve">Prepared by </w:t>
    </w:r>
    <w:smartTag w:uri="urn:schemas-microsoft-com:office:smarttags" w:element="State">
      <w:r>
        <w:rPr>
          <w:sz w:val="18"/>
        </w:rPr>
        <w:t>Spectrum Planning Team</w:t>
      </w:r>
    </w:smartTag>
    <w:r>
      <w:rPr>
        <w:sz w:val="18"/>
      </w:rPr>
      <w:t xml:space="preserve"> and Radiocommunications Licensing Policy Team</w:t>
    </w:r>
    <w:r>
      <w:rPr>
        <w:sz w:val="18"/>
      </w:rPr>
      <w:tab/>
      <w:t>File Ref:  X96/887</w:t>
    </w:r>
  </w:p>
  <w:p w:rsidR="00A95609" w:rsidRDefault="00A95609">
    <w:pPr>
      <w:pStyle w:val="Footer"/>
      <w:rPr>
        <w:sz w:val="20"/>
      </w:rPr>
    </w:pPr>
    <w:r>
      <w:rPr>
        <w:sz w:val="20"/>
      </w:rPr>
      <w:t>CANBERRA 2000</w:t>
    </w:r>
  </w:p>
  <w:p w:rsidR="00A95609" w:rsidRDefault="00A95609"/>
  <w:p w:rsidR="00A95609" w:rsidRDefault="00A95609">
    <w:pPr>
      <w:pStyle w:val="Footer"/>
      <w:pBdr>
        <w:top w:val="single" w:sz="18" w:space="1" w:color="auto"/>
      </w:pBdr>
      <w:tabs>
        <w:tab w:val="right" w:pos="9214"/>
      </w:tabs>
      <w:rPr>
        <w:sz w:val="20"/>
      </w:rPr>
    </w:pPr>
    <w:r>
      <w:rPr>
        <w:sz w:val="20"/>
      </w:rPr>
      <w:t>MS 25</w:t>
    </w:r>
    <w:r>
      <w:rPr>
        <w:sz w:val="20"/>
      </w:rPr>
      <w:tab/>
      <w:t>2000</w:t>
    </w:r>
  </w:p>
  <w:p w:rsidR="00A95609" w:rsidRDefault="00A9560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09" w:rsidRDefault="00A95609"/>
  <w:tbl>
    <w:tblPr>
      <w:tblW w:w="4310" w:type="dxa"/>
      <w:tblInd w:w="5495" w:type="dxa"/>
      <w:tblLayout w:type="fixed"/>
      <w:tblLook w:val="0000"/>
    </w:tblPr>
    <w:tblGrid>
      <w:gridCol w:w="2325"/>
      <w:gridCol w:w="1985"/>
    </w:tblGrid>
    <w:tr w:rsidR="00A95609" w:rsidRPr="009E62D2">
      <w:trPr>
        <w:cantSplit/>
      </w:trPr>
      <w:tc>
        <w:tcPr>
          <w:tcW w:w="2325" w:type="dxa"/>
        </w:tcPr>
        <w:p w:rsidR="00A95609" w:rsidRPr="009E62D2" w:rsidRDefault="00A95609" w:rsidP="0092371D">
          <w:pPr>
            <w:spacing w:after="0"/>
            <w:jc w:val="right"/>
            <w:rPr>
              <w:rFonts w:cs="Calibri"/>
              <w:b/>
            </w:rPr>
          </w:pPr>
          <w:r w:rsidRPr="009E62D2">
            <w:rPr>
              <w:rFonts w:cs="Calibri"/>
              <w:b/>
            </w:rPr>
            <w:t>RALI</w:t>
          </w:r>
        </w:p>
      </w:tc>
      <w:tc>
        <w:tcPr>
          <w:tcW w:w="1985" w:type="dxa"/>
        </w:tcPr>
        <w:p w:rsidR="00A95609" w:rsidRPr="009E62D2" w:rsidRDefault="00A95609" w:rsidP="0092371D">
          <w:pPr>
            <w:spacing w:after="0"/>
            <w:rPr>
              <w:rFonts w:cs="Calibri"/>
              <w:b/>
            </w:rPr>
          </w:pPr>
          <w:r w:rsidRPr="009E62D2">
            <w:rPr>
              <w:rFonts w:cs="Calibri"/>
              <w:b/>
            </w:rPr>
            <w:t xml:space="preserve">: </w:t>
          </w:r>
          <w:r w:rsidR="007A47CD" w:rsidRPr="009E62D2">
            <w:rPr>
              <w:rFonts w:cs="Calibri"/>
              <w:b/>
            </w:rPr>
            <w:t>MS37</w:t>
          </w:r>
        </w:p>
      </w:tc>
    </w:tr>
    <w:tr w:rsidR="00A95609" w:rsidRPr="009E62D2">
      <w:trPr>
        <w:cantSplit/>
      </w:trPr>
      <w:tc>
        <w:tcPr>
          <w:tcW w:w="2325" w:type="dxa"/>
        </w:tcPr>
        <w:p w:rsidR="00A95609" w:rsidRPr="009E62D2" w:rsidRDefault="00A95609" w:rsidP="0092371D">
          <w:pPr>
            <w:spacing w:after="0"/>
            <w:jc w:val="right"/>
            <w:rPr>
              <w:rFonts w:cs="Calibri"/>
              <w:b/>
            </w:rPr>
          </w:pPr>
          <w:r w:rsidRPr="009E62D2">
            <w:rPr>
              <w:rFonts w:cs="Calibri"/>
              <w:b/>
            </w:rPr>
            <w:t>DATE OF EFFECT</w:t>
          </w:r>
        </w:p>
      </w:tc>
      <w:tc>
        <w:tcPr>
          <w:tcW w:w="1985" w:type="dxa"/>
        </w:tcPr>
        <w:p w:rsidR="00A95609" w:rsidRPr="009E62D2" w:rsidRDefault="00A95609" w:rsidP="00AA454D">
          <w:pPr>
            <w:spacing w:after="0"/>
            <w:rPr>
              <w:rFonts w:cs="Calibri"/>
              <w:b/>
            </w:rPr>
          </w:pPr>
          <w:r w:rsidRPr="009E62D2">
            <w:rPr>
              <w:rFonts w:cs="Calibri"/>
              <w:b/>
            </w:rPr>
            <w:t xml:space="preserve">: </w:t>
          </w:r>
          <w:r w:rsidR="00AA454D">
            <w:rPr>
              <w:rFonts w:cs="Calibri"/>
              <w:b/>
            </w:rPr>
            <w:t>14/10/2013</w:t>
          </w:r>
        </w:p>
      </w:tc>
    </w:tr>
    <w:tr w:rsidR="00A95609" w:rsidRPr="009E62D2">
      <w:trPr>
        <w:cantSplit/>
      </w:trPr>
      <w:tc>
        <w:tcPr>
          <w:tcW w:w="2325" w:type="dxa"/>
        </w:tcPr>
        <w:p w:rsidR="00A95609" w:rsidRPr="009E62D2" w:rsidRDefault="00A95609" w:rsidP="0092371D">
          <w:pPr>
            <w:spacing w:after="0"/>
            <w:jc w:val="right"/>
            <w:rPr>
              <w:rFonts w:cs="Calibri"/>
              <w:b/>
              <w:sz w:val="20"/>
            </w:rPr>
          </w:pPr>
        </w:p>
      </w:tc>
      <w:tc>
        <w:tcPr>
          <w:tcW w:w="1985" w:type="dxa"/>
        </w:tcPr>
        <w:p w:rsidR="00A95609" w:rsidRPr="009E62D2" w:rsidRDefault="00A95609" w:rsidP="0092371D">
          <w:pPr>
            <w:spacing w:after="0"/>
            <w:rPr>
              <w:rFonts w:cs="Calibri"/>
              <w:b/>
            </w:rPr>
          </w:pPr>
        </w:p>
      </w:tc>
    </w:tr>
  </w:tbl>
  <w:p w:rsidR="00A95609" w:rsidRDefault="00A95609" w:rsidP="005E55CD">
    <w:pPr>
      <w:pBdr>
        <w:bottom w:val="single" w:sz="48" w:space="11" w:color="auto"/>
      </w:pBdr>
    </w:pPr>
  </w:p>
  <w:p w:rsidR="00A95609" w:rsidRDefault="00A95609">
    <w:r>
      <w:rPr>
        <w:b/>
      </w:rPr>
      <w:t>Radiocommunications Assignment and Licensing Instruction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EBC" w:rsidRDefault="00A87EB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09" w:rsidRDefault="00A95609">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09" w:rsidRDefault="009356E5">
    <w:pPr>
      <w:pStyle w:val="Header"/>
      <w:framePr w:wrap="around" w:vAnchor="text" w:hAnchor="margin" w:xAlign="center" w:y="1"/>
      <w:rPr>
        <w:rStyle w:val="PageNumber"/>
      </w:rPr>
    </w:pPr>
    <w:r>
      <w:rPr>
        <w:rStyle w:val="PageNumber"/>
      </w:rPr>
      <w:fldChar w:fldCharType="begin"/>
    </w:r>
    <w:r w:rsidR="00A95609">
      <w:rPr>
        <w:rStyle w:val="PageNumber"/>
      </w:rPr>
      <w:instrText xml:space="preserve">PAGE  </w:instrText>
    </w:r>
    <w:r>
      <w:rPr>
        <w:rStyle w:val="PageNumber"/>
      </w:rPr>
      <w:fldChar w:fldCharType="separate"/>
    </w:r>
    <w:r w:rsidR="00AA454D">
      <w:rPr>
        <w:rStyle w:val="PageNumber"/>
        <w:noProof/>
      </w:rPr>
      <w:t>iii</w:t>
    </w:r>
    <w:r>
      <w:rPr>
        <w:rStyle w:val="PageNumber"/>
      </w:rPr>
      <w:fldChar w:fldCharType="end"/>
    </w:r>
  </w:p>
  <w:p w:rsidR="00A95609" w:rsidRDefault="00A95609">
    <w:pPr>
      <w:pStyle w:val="Header"/>
      <w:ind w:right="360" w:firstLine="360"/>
      <w:jc w:val="center"/>
      <w:rPr>
        <w:b/>
      </w:rPr>
    </w:pPr>
  </w:p>
  <w:p w:rsidR="00A95609" w:rsidRDefault="00A95609">
    <w:pPr>
      <w:pStyle w:val="Header"/>
      <w:ind w:right="360" w:firstLine="360"/>
      <w:jc w:val="center"/>
      <w:rPr>
        <w:b/>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09" w:rsidRDefault="00A95609">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09" w:rsidRDefault="00A95609">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09" w:rsidRPr="000972D9" w:rsidRDefault="009356E5" w:rsidP="000972D9">
    <w:pPr>
      <w:pStyle w:val="Footer"/>
      <w:tabs>
        <w:tab w:val="left" w:pos="4320"/>
        <w:tab w:val="right" w:pos="9214"/>
      </w:tabs>
      <w:jc w:val="center"/>
      <w:rPr>
        <w:sz w:val="20"/>
      </w:rPr>
    </w:pPr>
    <w:r>
      <w:rPr>
        <w:rStyle w:val="PageNumber"/>
      </w:rPr>
      <w:fldChar w:fldCharType="begin"/>
    </w:r>
    <w:r w:rsidR="000972D9">
      <w:rPr>
        <w:rStyle w:val="PageNumber"/>
      </w:rPr>
      <w:instrText xml:space="preserve"> PAGE </w:instrText>
    </w:r>
    <w:r>
      <w:rPr>
        <w:rStyle w:val="PageNumber"/>
      </w:rPr>
      <w:fldChar w:fldCharType="separate"/>
    </w:r>
    <w:r w:rsidR="00F35E74">
      <w:rPr>
        <w:rStyle w:val="PageNumber"/>
        <w:noProof/>
      </w:rPr>
      <w:t>6</w:t>
    </w:r>
    <w:r>
      <w:rPr>
        <w:rStyle w:val="PageNumber"/>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609" w:rsidRDefault="00A956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65C166B"/>
    <w:multiLevelType w:val="hybridMultilevel"/>
    <w:tmpl w:val="F64A0F2C"/>
    <w:lvl w:ilvl="0" w:tplc="C74C495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7E872F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09DB40A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4">
    <w:nsid w:val="0C122FE6"/>
    <w:multiLevelType w:val="hybridMultilevel"/>
    <w:tmpl w:val="0D38A408"/>
    <w:lvl w:ilvl="0" w:tplc="0C09000B">
      <w:start w:val="45"/>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05B1631"/>
    <w:multiLevelType w:val="singleLevel"/>
    <w:tmpl w:val="0C09000F"/>
    <w:lvl w:ilvl="0">
      <w:start w:val="1"/>
      <w:numFmt w:val="decimal"/>
      <w:lvlText w:val="%1."/>
      <w:lvlJc w:val="left"/>
      <w:pPr>
        <w:tabs>
          <w:tab w:val="num" w:pos="360"/>
        </w:tabs>
        <w:ind w:left="360" w:hanging="360"/>
      </w:pPr>
    </w:lvl>
  </w:abstractNum>
  <w:abstractNum w:abstractNumId="6">
    <w:nsid w:val="1595249A"/>
    <w:multiLevelType w:val="multilevel"/>
    <w:tmpl w:val="C0F28608"/>
    <w:lvl w:ilvl="0">
      <w:start w:val="1"/>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1814768F"/>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8">
    <w:nsid w:val="1E84695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9">
    <w:nsid w:val="1F1072D9"/>
    <w:multiLevelType w:val="multilevel"/>
    <w:tmpl w:val="DA8E22E8"/>
    <w:lvl w:ilvl="0">
      <w:start w:val="1"/>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215205DD"/>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11">
    <w:nsid w:val="218813AC"/>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12">
    <w:nsid w:val="220710A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3">
    <w:nsid w:val="25D17AD2"/>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14">
    <w:nsid w:val="26E56B69"/>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15">
    <w:nsid w:val="28DB220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29B25AAB"/>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17">
    <w:nsid w:val="307F38DB"/>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18">
    <w:nsid w:val="339403CC"/>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19">
    <w:nsid w:val="37BB48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3E5A4C8B"/>
    <w:multiLevelType w:val="multilevel"/>
    <w:tmpl w:val="614CFBC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41132F8C"/>
    <w:multiLevelType w:val="singleLevel"/>
    <w:tmpl w:val="0C09000F"/>
    <w:lvl w:ilvl="0">
      <w:start w:val="1"/>
      <w:numFmt w:val="decimal"/>
      <w:lvlText w:val="%1."/>
      <w:lvlJc w:val="left"/>
      <w:pPr>
        <w:tabs>
          <w:tab w:val="num" w:pos="360"/>
        </w:tabs>
        <w:ind w:left="360" w:hanging="360"/>
      </w:pPr>
    </w:lvl>
  </w:abstractNum>
  <w:abstractNum w:abstractNumId="22">
    <w:nsid w:val="431B1B46"/>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3">
    <w:nsid w:val="43E44F3E"/>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24">
    <w:nsid w:val="44EE11A1"/>
    <w:multiLevelType w:val="multilevel"/>
    <w:tmpl w:val="614CFBC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45FA3F2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nsid w:val="471C33E0"/>
    <w:multiLevelType w:val="hybridMultilevel"/>
    <w:tmpl w:val="1BFAA914"/>
    <w:lvl w:ilvl="0" w:tplc="7166B1DE">
      <w:start w:val="1"/>
      <w:numFmt w:val="bullet"/>
      <w:lvlText w:val="&gt;"/>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8C61C4C"/>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28">
    <w:nsid w:val="4AEF7B62"/>
    <w:multiLevelType w:val="singleLevel"/>
    <w:tmpl w:val="E9A053EE"/>
    <w:lvl w:ilvl="0">
      <w:start w:val="1"/>
      <w:numFmt w:val="lowerLetter"/>
      <w:lvlText w:val="%1."/>
      <w:lvlJc w:val="left"/>
      <w:pPr>
        <w:tabs>
          <w:tab w:val="num" w:pos="360"/>
        </w:tabs>
        <w:ind w:left="360" w:hanging="360"/>
      </w:pPr>
    </w:lvl>
  </w:abstractNum>
  <w:abstractNum w:abstractNumId="29">
    <w:nsid w:val="50A47A16"/>
    <w:multiLevelType w:val="hybridMultilevel"/>
    <w:tmpl w:val="BC50ED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51561956"/>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1">
    <w:nsid w:val="51E57C2A"/>
    <w:multiLevelType w:val="multilevel"/>
    <w:tmpl w:val="0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nsid w:val="52850240"/>
    <w:multiLevelType w:val="hybridMultilevel"/>
    <w:tmpl w:val="196481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6860F1C"/>
    <w:multiLevelType w:val="hybridMultilevel"/>
    <w:tmpl w:val="48CE5FC8"/>
    <w:lvl w:ilvl="0" w:tplc="7166B1DE">
      <w:start w:val="1"/>
      <w:numFmt w:val="bullet"/>
      <w:lvlText w:val="&gt;"/>
      <w:lvlJc w:val="left"/>
      <w:pPr>
        <w:tabs>
          <w:tab w:val="num" w:pos="720"/>
        </w:tabs>
        <w:ind w:left="720" w:hanging="360"/>
      </w:pPr>
      <w:rPr>
        <w:rFonts w:ascii="Times New Roman" w:eastAsia="Times New Roman" w:hAnsi="Times New Roman" w:cs="Times New Roman" w:hint="default"/>
        <w:lang w:val="en-GB"/>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nsid w:val="568621BD"/>
    <w:multiLevelType w:val="multilevel"/>
    <w:tmpl w:val="298E97E4"/>
    <w:lvl w:ilvl="0">
      <w:start w:val="1"/>
      <w:numFmt w:val="decimal"/>
      <w:lvlText w:val="%1."/>
      <w:lvlJc w:val="left"/>
      <w:pPr>
        <w:tabs>
          <w:tab w:val="num" w:pos="567"/>
        </w:tabs>
        <w:ind w:left="567" w:hanging="567"/>
      </w:pPr>
    </w:lvl>
    <w:lvl w:ilvl="1">
      <w:start w:val="1"/>
      <w:numFmt w:val="lowerLetter"/>
      <w:lvlText w:val="%1.%2."/>
      <w:lvlJc w:val="left"/>
      <w:pPr>
        <w:tabs>
          <w:tab w:val="num" w:pos="1134"/>
        </w:tabs>
        <w:ind w:left="1134" w:hanging="567"/>
      </w:pPr>
    </w:lvl>
    <w:lvl w:ilvl="2">
      <w:start w:val="1"/>
      <w:numFmt w:val="decimal"/>
      <w:lvlText w:val="%1.%2.%3."/>
      <w:lvlJc w:val="left"/>
      <w:pPr>
        <w:tabs>
          <w:tab w:val="num" w:pos="1418"/>
        </w:tabs>
        <w:ind w:left="1418" w:hanging="851"/>
      </w:pPr>
    </w:lvl>
    <w:lvl w:ilvl="3">
      <w:start w:val="1"/>
      <w:numFmt w:val="decimal"/>
      <w:lvlText w:val="%1.%2.%3.%4."/>
      <w:lvlJc w:val="left"/>
      <w:pPr>
        <w:tabs>
          <w:tab w:val="num" w:pos="2498"/>
        </w:tabs>
        <w:ind w:left="1985" w:hanging="567"/>
      </w:pPr>
    </w:lvl>
    <w:lvl w:ilvl="4">
      <w:start w:val="1"/>
      <w:numFmt w:val="decimal"/>
      <w:lvlText w:val="%1.%2.%3.%4.%5."/>
      <w:lvlJc w:val="left"/>
      <w:pPr>
        <w:tabs>
          <w:tab w:val="num" w:pos="3708"/>
        </w:tabs>
        <w:ind w:left="2835" w:hanging="567"/>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5">
    <w:nsid w:val="56D164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6">
    <w:nsid w:val="59171276"/>
    <w:multiLevelType w:val="singleLevel"/>
    <w:tmpl w:val="0C09000F"/>
    <w:lvl w:ilvl="0">
      <w:start w:val="1"/>
      <w:numFmt w:val="decimal"/>
      <w:lvlText w:val="%1."/>
      <w:lvlJc w:val="left"/>
      <w:pPr>
        <w:tabs>
          <w:tab w:val="num" w:pos="360"/>
        </w:tabs>
        <w:ind w:left="360" w:hanging="360"/>
      </w:pPr>
    </w:lvl>
  </w:abstractNum>
  <w:abstractNum w:abstractNumId="37">
    <w:nsid w:val="59696AA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8">
    <w:nsid w:val="59C52CAF"/>
    <w:multiLevelType w:val="hybridMultilevel"/>
    <w:tmpl w:val="5C20BBD8"/>
    <w:lvl w:ilvl="0" w:tplc="D57689BC">
      <w:start w:val="1"/>
      <w:numFmt w:val="lowerLetter"/>
      <w:lvlText w:val="%1)"/>
      <w:lvlJc w:val="left"/>
      <w:pPr>
        <w:ind w:left="720" w:hanging="360"/>
      </w:pPr>
      <w:rPr>
        <w:rFonts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5C992AFC"/>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40">
    <w:nsid w:val="5F8366FD"/>
    <w:multiLevelType w:val="singleLevel"/>
    <w:tmpl w:val="0C09000F"/>
    <w:lvl w:ilvl="0">
      <w:start w:val="1"/>
      <w:numFmt w:val="decimal"/>
      <w:lvlText w:val="%1."/>
      <w:lvlJc w:val="left"/>
      <w:pPr>
        <w:tabs>
          <w:tab w:val="num" w:pos="360"/>
        </w:tabs>
        <w:ind w:left="360" w:hanging="360"/>
      </w:pPr>
    </w:lvl>
  </w:abstractNum>
  <w:abstractNum w:abstractNumId="41">
    <w:nsid w:val="63D07BE8"/>
    <w:multiLevelType w:val="hybridMultilevel"/>
    <w:tmpl w:val="69B4AF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nsid w:val="657B633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3">
    <w:nsid w:val="66E405A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44">
    <w:nsid w:val="673C257D"/>
    <w:multiLevelType w:val="hybridMultilevel"/>
    <w:tmpl w:val="DCDEEA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6AA93481"/>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46">
    <w:nsid w:val="75840D1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47">
    <w:nsid w:val="7A9747A8"/>
    <w:multiLevelType w:val="multilevel"/>
    <w:tmpl w:val="64B4C40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
    <w:nsid w:val="7FEB3E0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num w:numId="1">
    <w:abstractNumId w:val="33"/>
  </w:num>
  <w:num w:numId="2">
    <w:abstractNumId w:val="26"/>
  </w:num>
  <w:num w:numId="3">
    <w:abstractNumId w:val="38"/>
  </w:num>
  <w:num w:numId="4">
    <w:abstractNumId w:val="31"/>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 w:numId="7">
    <w:abstractNumId w:val="21"/>
  </w:num>
  <w:num w:numId="8">
    <w:abstractNumId w:val="39"/>
  </w:num>
  <w:num w:numId="9">
    <w:abstractNumId w:val="27"/>
  </w:num>
  <w:num w:numId="10">
    <w:abstractNumId w:val="25"/>
  </w:num>
  <w:num w:numId="11">
    <w:abstractNumId w:val="19"/>
  </w:num>
  <w:num w:numId="12">
    <w:abstractNumId w:val="2"/>
  </w:num>
  <w:num w:numId="13">
    <w:abstractNumId w:val="11"/>
  </w:num>
  <w:num w:numId="14">
    <w:abstractNumId w:val="23"/>
  </w:num>
  <w:num w:numId="15">
    <w:abstractNumId w:val="18"/>
  </w:num>
  <w:num w:numId="16">
    <w:abstractNumId w:val="30"/>
  </w:num>
  <w:num w:numId="17">
    <w:abstractNumId w:val="12"/>
  </w:num>
  <w:num w:numId="18">
    <w:abstractNumId w:val="46"/>
  </w:num>
  <w:num w:numId="19">
    <w:abstractNumId w:val="37"/>
  </w:num>
  <w:num w:numId="20">
    <w:abstractNumId w:val="40"/>
  </w:num>
  <w:num w:numId="21">
    <w:abstractNumId w:val="24"/>
  </w:num>
  <w:num w:numId="22">
    <w:abstractNumId w:val="47"/>
  </w:num>
  <w:num w:numId="23">
    <w:abstractNumId w:val="20"/>
  </w:num>
  <w:num w:numId="24">
    <w:abstractNumId w:val="9"/>
  </w:num>
  <w:num w:numId="25">
    <w:abstractNumId w:val="6"/>
  </w:num>
  <w:num w:numId="26">
    <w:abstractNumId w:val="7"/>
  </w:num>
  <w:num w:numId="27">
    <w:abstractNumId w:val="13"/>
  </w:num>
  <w:num w:numId="28">
    <w:abstractNumId w:val="17"/>
  </w:num>
  <w:num w:numId="29">
    <w:abstractNumId w:val="4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22"/>
  </w:num>
  <w:num w:numId="33">
    <w:abstractNumId w:val="48"/>
  </w:num>
  <w:num w:numId="34">
    <w:abstractNumId w:val="10"/>
  </w:num>
  <w:num w:numId="35">
    <w:abstractNumId w:val="16"/>
  </w:num>
  <w:num w:numId="36">
    <w:abstractNumId w:val="14"/>
  </w:num>
  <w:num w:numId="37">
    <w:abstractNumId w:val="45"/>
  </w:num>
  <w:num w:numId="38">
    <w:abstractNumId w:val="42"/>
  </w:num>
  <w:num w:numId="39">
    <w:abstractNumId w:val="35"/>
  </w:num>
  <w:num w:numId="40">
    <w:abstractNumId w:val="34"/>
  </w:num>
  <w:num w:numId="41">
    <w:abstractNumId w:val="15"/>
  </w:num>
  <w:num w:numId="42">
    <w:abstractNumId w:val="5"/>
  </w:num>
  <w:num w:numId="43">
    <w:abstractNumId w:val="28"/>
  </w:num>
  <w:num w:numId="44">
    <w:abstractNumId w:val="36"/>
  </w:num>
  <w:num w:numId="45">
    <w:abstractNumId w:val="1"/>
  </w:num>
  <w:num w:numId="46">
    <w:abstractNumId w:val="4"/>
  </w:num>
  <w:num w:numId="47">
    <w:abstractNumId w:val="44"/>
  </w:num>
  <w:num w:numId="48">
    <w:abstractNumId w:val="32"/>
  </w:num>
  <w:num w:numId="49">
    <w:abstractNumId w:val="41"/>
  </w:num>
  <w:num w:numId="50">
    <w:abstractNumId w:val="2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linkStyles/>
  <w:stylePaneFormatFilter w:val="3F01"/>
  <w:doNotTrackMoves/>
  <w:defaultTabStop w:val="720"/>
  <w:noPunctuationKerning/>
  <w:characterSpacingControl w:val="doNotCompress"/>
  <w:hdrShapeDefaults>
    <o:shapedefaults v:ext="edit" spidmax="6041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507D1"/>
    <w:rsid w:val="00007C2B"/>
    <w:rsid w:val="00013C82"/>
    <w:rsid w:val="00016807"/>
    <w:rsid w:val="00020C9E"/>
    <w:rsid w:val="00022769"/>
    <w:rsid w:val="000227C2"/>
    <w:rsid w:val="0002799D"/>
    <w:rsid w:val="00030DCE"/>
    <w:rsid w:val="00031DAA"/>
    <w:rsid w:val="00035CD1"/>
    <w:rsid w:val="00036FCD"/>
    <w:rsid w:val="00041313"/>
    <w:rsid w:val="00042982"/>
    <w:rsid w:val="000553DF"/>
    <w:rsid w:val="000660A8"/>
    <w:rsid w:val="00067D71"/>
    <w:rsid w:val="00072265"/>
    <w:rsid w:val="000723E1"/>
    <w:rsid w:val="000725C7"/>
    <w:rsid w:val="000728C6"/>
    <w:rsid w:val="00075194"/>
    <w:rsid w:val="00075AEF"/>
    <w:rsid w:val="000772CB"/>
    <w:rsid w:val="0007751C"/>
    <w:rsid w:val="000801F3"/>
    <w:rsid w:val="0008532D"/>
    <w:rsid w:val="000856E0"/>
    <w:rsid w:val="00085ADB"/>
    <w:rsid w:val="0008769C"/>
    <w:rsid w:val="00090C01"/>
    <w:rsid w:val="0009118E"/>
    <w:rsid w:val="000972D9"/>
    <w:rsid w:val="000A1182"/>
    <w:rsid w:val="000A3BE1"/>
    <w:rsid w:val="000A59F5"/>
    <w:rsid w:val="000B3F44"/>
    <w:rsid w:val="000B43F3"/>
    <w:rsid w:val="000B48AC"/>
    <w:rsid w:val="000C09F2"/>
    <w:rsid w:val="000C245B"/>
    <w:rsid w:val="000C3E13"/>
    <w:rsid w:val="000D48F8"/>
    <w:rsid w:val="000D66D3"/>
    <w:rsid w:val="000D7262"/>
    <w:rsid w:val="000E2B7B"/>
    <w:rsid w:val="000E4E68"/>
    <w:rsid w:val="000E524E"/>
    <w:rsid w:val="000F5B27"/>
    <w:rsid w:val="000F784D"/>
    <w:rsid w:val="001014C4"/>
    <w:rsid w:val="00101F91"/>
    <w:rsid w:val="00102060"/>
    <w:rsid w:val="00107D97"/>
    <w:rsid w:val="00110F76"/>
    <w:rsid w:val="001124A9"/>
    <w:rsid w:val="001162C0"/>
    <w:rsid w:val="00123224"/>
    <w:rsid w:val="00124CDB"/>
    <w:rsid w:val="00124EB3"/>
    <w:rsid w:val="00132CB3"/>
    <w:rsid w:val="00135B18"/>
    <w:rsid w:val="0014120B"/>
    <w:rsid w:val="00147315"/>
    <w:rsid w:val="001503CE"/>
    <w:rsid w:val="0015066B"/>
    <w:rsid w:val="00150DAD"/>
    <w:rsid w:val="00152DB8"/>
    <w:rsid w:val="00157590"/>
    <w:rsid w:val="00160331"/>
    <w:rsid w:val="00167CC6"/>
    <w:rsid w:val="001754EB"/>
    <w:rsid w:val="00175A88"/>
    <w:rsid w:val="00184494"/>
    <w:rsid w:val="00184B61"/>
    <w:rsid w:val="00185112"/>
    <w:rsid w:val="00185B6B"/>
    <w:rsid w:val="00192965"/>
    <w:rsid w:val="001962E9"/>
    <w:rsid w:val="00197365"/>
    <w:rsid w:val="001A0685"/>
    <w:rsid w:val="001A4150"/>
    <w:rsid w:val="001A6B56"/>
    <w:rsid w:val="001B2698"/>
    <w:rsid w:val="001B3021"/>
    <w:rsid w:val="001B66D1"/>
    <w:rsid w:val="001B73F4"/>
    <w:rsid w:val="001C1649"/>
    <w:rsid w:val="001C6405"/>
    <w:rsid w:val="001C6CFD"/>
    <w:rsid w:val="001D478C"/>
    <w:rsid w:val="001E03A4"/>
    <w:rsid w:val="001E0950"/>
    <w:rsid w:val="001E2465"/>
    <w:rsid w:val="001E27D2"/>
    <w:rsid w:val="001E3EA8"/>
    <w:rsid w:val="001E7303"/>
    <w:rsid w:val="001F2F15"/>
    <w:rsid w:val="001F534B"/>
    <w:rsid w:val="001F5A2D"/>
    <w:rsid w:val="00200DEE"/>
    <w:rsid w:val="00201D7D"/>
    <w:rsid w:val="00203C9E"/>
    <w:rsid w:val="00206233"/>
    <w:rsid w:val="00206434"/>
    <w:rsid w:val="0021103D"/>
    <w:rsid w:val="00214CEE"/>
    <w:rsid w:val="00217CA2"/>
    <w:rsid w:val="002211DF"/>
    <w:rsid w:val="002223F6"/>
    <w:rsid w:val="0022361F"/>
    <w:rsid w:val="00223B46"/>
    <w:rsid w:val="00226B7F"/>
    <w:rsid w:val="00234296"/>
    <w:rsid w:val="0024414F"/>
    <w:rsid w:val="00247C23"/>
    <w:rsid w:val="00251143"/>
    <w:rsid w:val="0025357E"/>
    <w:rsid w:val="00260F0A"/>
    <w:rsid w:val="00263AA5"/>
    <w:rsid w:val="00265F40"/>
    <w:rsid w:val="00267D01"/>
    <w:rsid w:val="0027432C"/>
    <w:rsid w:val="00280BB2"/>
    <w:rsid w:val="00283225"/>
    <w:rsid w:val="00287226"/>
    <w:rsid w:val="00296991"/>
    <w:rsid w:val="00296E18"/>
    <w:rsid w:val="002A1698"/>
    <w:rsid w:val="002A2AC4"/>
    <w:rsid w:val="002A68C6"/>
    <w:rsid w:val="002A6E8C"/>
    <w:rsid w:val="002A7967"/>
    <w:rsid w:val="002A7BB3"/>
    <w:rsid w:val="002B0411"/>
    <w:rsid w:val="002B3F8F"/>
    <w:rsid w:val="002B46F6"/>
    <w:rsid w:val="002C23FA"/>
    <w:rsid w:val="002C3148"/>
    <w:rsid w:val="002C36BE"/>
    <w:rsid w:val="002C611A"/>
    <w:rsid w:val="002D0335"/>
    <w:rsid w:val="002D3067"/>
    <w:rsid w:val="002D37A3"/>
    <w:rsid w:val="002E1265"/>
    <w:rsid w:val="002E346F"/>
    <w:rsid w:val="002E4142"/>
    <w:rsid w:val="002E4A3C"/>
    <w:rsid w:val="002E5F93"/>
    <w:rsid w:val="002E6BA4"/>
    <w:rsid w:val="002F1A6B"/>
    <w:rsid w:val="002F359B"/>
    <w:rsid w:val="002F58E1"/>
    <w:rsid w:val="00303BE0"/>
    <w:rsid w:val="00310816"/>
    <w:rsid w:val="0031240A"/>
    <w:rsid w:val="00324D96"/>
    <w:rsid w:val="00326907"/>
    <w:rsid w:val="00344A3F"/>
    <w:rsid w:val="003511B5"/>
    <w:rsid w:val="00351609"/>
    <w:rsid w:val="00352EE4"/>
    <w:rsid w:val="003700E7"/>
    <w:rsid w:val="0037743C"/>
    <w:rsid w:val="0038000D"/>
    <w:rsid w:val="0038280B"/>
    <w:rsid w:val="003840C6"/>
    <w:rsid w:val="00385436"/>
    <w:rsid w:val="003862A5"/>
    <w:rsid w:val="00387C85"/>
    <w:rsid w:val="00393021"/>
    <w:rsid w:val="00394430"/>
    <w:rsid w:val="00395A31"/>
    <w:rsid w:val="00396A12"/>
    <w:rsid w:val="003A460C"/>
    <w:rsid w:val="003B2C10"/>
    <w:rsid w:val="003B43D4"/>
    <w:rsid w:val="003B5315"/>
    <w:rsid w:val="003B751C"/>
    <w:rsid w:val="003C628F"/>
    <w:rsid w:val="003D2F89"/>
    <w:rsid w:val="003D7F03"/>
    <w:rsid w:val="003E54DA"/>
    <w:rsid w:val="003F12E5"/>
    <w:rsid w:val="003F2D42"/>
    <w:rsid w:val="003F30B2"/>
    <w:rsid w:val="003F38CC"/>
    <w:rsid w:val="003F3CF2"/>
    <w:rsid w:val="003F3DF5"/>
    <w:rsid w:val="003F7B5D"/>
    <w:rsid w:val="004057DC"/>
    <w:rsid w:val="00405C13"/>
    <w:rsid w:val="004107D8"/>
    <w:rsid w:val="00410ED1"/>
    <w:rsid w:val="00411E76"/>
    <w:rsid w:val="00412CEB"/>
    <w:rsid w:val="00422879"/>
    <w:rsid w:val="00431F6F"/>
    <w:rsid w:val="00432F1F"/>
    <w:rsid w:val="004334F7"/>
    <w:rsid w:val="00440122"/>
    <w:rsid w:val="00443E61"/>
    <w:rsid w:val="004443A4"/>
    <w:rsid w:val="004457F0"/>
    <w:rsid w:val="00445936"/>
    <w:rsid w:val="00446C15"/>
    <w:rsid w:val="004501E4"/>
    <w:rsid w:val="00453496"/>
    <w:rsid w:val="0045467C"/>
    <w:rsid w:val="00461A39"/>
    <w:rsid w:val="004629DB"/>
    <w:rsid w:val="00462FD0"/>
    <w:rsid w:val="00464FAE"/>
    <w:rsid w:val="00471BD7"/>
    <w:rsid w:val="00484EAE"/>
    <w:rsid w:val="00485420"/>
    <w:rsid w:val="00485B3D"/>
    <w:rsid w:val="00486AE6"/>
    <w:rsid w:val="00490A59"/>
    <w:rsid w:val="00491C4A"/>
    <w:rsid w:val="00494321"/>
    <w:rsid w:val="00495CE8"/>
    <w:rsid w:val="00496011"/>
    <w:rsid w:val="00497EE5"/>
    <w:rsid w:val="004A1E50"/>
    <w:rsid w:val="004A3585"/>
    <w:rsid w:val="004A7EE5"/>
    <w:rsid w:val="004B2AE4"/>
    <w:rsid w:val="004B3384"/>
    <w:rsid w:val="004B686A"/>
    <w:rsid w:val="004D009D"/>
    <w:rsid w:val="004D06B6"/>
    <w:rsid w:val="004D1F0C"/>
    <w:rsid w:val="004F0B1A"/>
    <w:rsid w:val="004F2879"/>
    <w:rsid w:val="004F2A5C"/>
    <w:rsid w:val="004F4F49"/>
    <w:rsid w:val="004F594A"/>
    <w:rsid w:val="00500E04"/>
    <w:rsid w:val="005015A0"/>
    <w:rsid w:val="005062EC"/>
    <w:rsid w:val="00507C36"/>
    <w:rsid w:val="0051067B"/>
    <w:rsid w:val="00510CF9"/>
    <w:rsid w:val="005120E3"/>
    <w:rsid w:val="00513F2E"/>
    <w:rsid w:val="00515912"/>
    <w:rsid w:val="00517A6B"/>
    <w:rsid w:val="00522C7F"/>
    <w:rsid w:val="00524B47"/>
    <w:rsid w:val="00524C4A"/>
    <w:rsid w:val="005255E3"/>
    <w:rsid w:val="00532D0F"/>
    <w:rsid w:val="00544E30"/>
    <w:rsid w:val="00547604"/>
    <w:rsid w:val="00550BCE"/>
    <w:rsid w:val="005547E7"/>
    <w:rsid w:val="005612B6"/>
    <w:rsid w:val="00562826"/>
    <w:rsid w:val="0056785A"/>
    <w:rsid w:val="0057243B"/>
    <w:rsid w:val="00576678"/>
    <w:rsid w:val="00581CE9"/>
    <w:rsid w:val="00583721"/>
    <w:rsid w:val="0059471E"/>
    <w:rsid w:val="005968A8"/>
    <w:rsid w:val="005B34A1"/>
    <w:rsid w:val="005B647F"/>
    <w:rsid w:val="005B6859"/>
    <w:rsid w:val="005C15B4"/>
    <w:rsid w:val="005D2371"/>
    <w:rsid w:val="005D79E6"/>
    <w:rsid w:val="005E2FA1"/>
    <w:rsid w:val="005E55CD"/>
    <w:rsid w:val="005E5669"/>
    <w:rsid w:val="005F0245"/>
    <w:rsid w:val="005F1210"/>
    <w:rsid w:val="005F1ADB"/>
    <w:rsid w:val="00606E25"/>
    <w:rsid w:val="00607EAF"/>
    <w:rsid w:val="00612312"/>
    <w:rsid w:val="00614AD5"/>
    <w:rsid w:val="006162EC"/>
    <w:rsid w:val="00622062"/>
    <w:rsid w:val="0062345F"/>
    <w:rsid w:val="00626D39"/>
    <w:rsid w:val="006278AD"/>
    <w:rsid w:val="006310A3"/>
    <w:rsid w:val="00631447"/>
    <w:rsid w:val="00631D26"/>
    <w:rsid w:val="006328B5"/>
    <w:rsid w:val="00634B25"/>
    <w:rsid w:val="0063733A"/>
    <w:rsid w:val="006420E5"/>
    <w:rsid w:val="0064283D"/>
    <w:rsid w:val="0064342F"/>
    <w:rsid w:val="00650217"/>
    <w:rsid w:val="00650666"/>
    <w:rsid w:val="006507D1"/>
    <w:rsid w:val="00653AF1"/>
    <w:rsid w:val="00655176"/>
    <w:rsid w:val="006565A2"/>
    <w:rsid w:val="00656F36"/>
    <w:rsid w:val="00660EA4"/>
    <w:rsid w:val="00666C27"/>
    <w:rsid w:val="0067277E"/>
    <w:rsid w:val="006757AA"/>
    <w:rsid w:val="006765F8"/>
    <w:rsid w:val="00677774"/>
    <w:rsid w:val="0069195F"/>
    <w:rsid w:val="006966F7"/>
    <w:rsid w:val="00697371"/>
    <w:rsid w:val="006A27E8"/>
    <w:rsid w:val="006A2A54"/>
    <w:rsid w:val="006A4B88"/>
    <w:rsid w:val="006B60A3"/>
    <w:rsid w:val="006B7AC4"/>
    <w:rsid w:val="006C0B60"/>
    <w:rsid w:val="006D01A0"/>
    <w:rsid w:val="006D2635"/>
    <w:rsid w:val="006D358B"/>
    <w:rsid w:val="006D541F"/>
    <w:rsid w:val="006D5D4C"/>
    <w:rsid w:val="006E1CC1"/>
    <w:rsid w:val="006E2C50"/>
    <w:rsid w:val="006E3B7E"/>
    <w:rsid w:val="006E7590"/>
    <w:rsid w:val="006F1AD2"/>
    <w:rsid w:val="006F2C92"/>
    <w:rsid w:val="006F70FF"/>
    <w:rsid w:val="006F7531"/>
    <w:rsid w:val="00700939"/>
    <w:rsid w:val="00700D49"/>
    <w:rsid w:val="00700F1B"/>
    <w:rsid w:val="007036EA"/>
    <w:rsid w:val="007112FD"/>
    <w:rsid w:val="00714C58"/>
    <w:rsid w:val="00720CC3"/>
    <w:rsid w:val="00723640"/>
    <w:rsid w:val="00724470"/>
    <w:rsid w:val="00724FA2"/>
    <w:rsid w:val="00731A9C"/>
    <w:rsid w:val="007340C8"/>
    <w:rsid w:val="00734991"/>
    <w:rsid w:val="00741E7E"/>
    <w:rsid w:val="007420BA"/>
    <w:rsid w:val="00742879"/>
    <w:rsid w:val="00742F67"/>
    <w:rsid w:val="007435C7"/>
    <w:rsid w:val="00745724"/>
    <w:rsid w:val="00746D7E"/>
    <w:rsid w:val="007514F8"/>
    <w:rsid w:val="0075292F"/>
    <w:rsid w:val="00755671"/>
    <w:rsid w:val="007567E1"/>
    <w:rsid w:val="007638A3"/>
    <w:rsid w:val="00764672"/>
    <w:rsid w:val="00767C5C"/>
    <w:rsid w:val="00774B1B"/>
    <w:rsid w:val="0078006E"/>
    <w:rsid w:val="0078180A"/>
    <w:rsid w:val="00796C52"/>
    <w:rsid w:val="007A0156"/>
    <w:rsid w:val="007A1D8C"/>
    <w:rsid w:val="007A23E5"/>
    <w:rsid w:val="007A47CD"/>
    <w:rsid w:val="007B0A9A"/>
    <w:rsid w:val="007B453B"/>
    <w:rsid w:val="007B494A"/>
    <w:rsid w:val="007B600D"/>
    <w:rsid w:val="007B6F88"/>
    <w:rsid w:val="007C1B5D"/>
    <w:rsid w:val="007C41BB"/>
    <w:rsid w:val="007C5DE6"/>
    <w:rsid w:val="007D47F6"/>
    <w:rsid w:val="007D4C42"/>
    <w:rsid w:val="007F14C2"/>
    <w:rsid w:val="007F500B"/>
    <w:rsid w:val="007F6517"/>
    <w:rsid w:val="007F6E60"/>
    <w:rsid w:val="007F6F80"/>
    <w:rsid w:val="007F7488"/>
    <w:rsid w:val="00800AC6"/>
    <w:rsid w:val="008053EE"/>
    <w:rsid w:val="008106C3"/>
    <w:rsid w:val="00810773"/>
    <w:rsid w:val="00821AAD"/>
    <w:rsid w:val="00823F92"/>
    <w:rsid w:val="00831FDD"/>
    <w:rsid w:val="00832577"/>
    <w:rsid w:val="00833AB3"/>
    <w:rsid w:val="00834DB6"/>
    <w:rsid w:val="008361B1"/>
    <w:rsid w:val="0083797F"/>
    <w:rsid w:val="00837FD6"/>
    <w:rsid w:val="00845004"/>
    <w:rsid w:val="00845990"/>
    <w:rsid w:val="00850763"/>
    <w:rsid w:val="00851C41"/>
    <w:rsid w:val="008560F1"/>
    <w:rsid w:val="00856F7B"/>
    <w:rsid w:val="00870CE4"/>
    <w:rsid w:val="00873805"/>
    <w:rsid w:val="008739D8"/>
    <w:rsid w:val="00874485"/>
    <w:rsid w:val="00877C91"/>
    <w:rsid w:val="0089035D"/>
    <w:rsid w:val="00891C84"/>
    <w:rsid w:val="00893B3F"/>
    <w:rsid w:val="00895208"/>
    <w:rsid w:val="008A40A0"/>
    <w:rsid w:val="008A535B"/>
    <w:rsid w:val="008A550F"/>
    <w:rsid w:val="008A6FEE"/>
    <w:rsid w:val="008C3933"/>
    <w:rsid w:val="008D0A2E"/>
    <w:rsid w:val="008D175E"/>
    <w:rsid w:val="008D6412"/>
    <w:rsid w:val="008E05A7"/>
    <w:rsid w:val="008E2CA2"/>
    <w:rsid w:val="008E47CB"/>
    <w:rsid w:val="008F2344"/>
    <w:rsid w:val="008F3560"/>
    <w:rsid w:val="008F51F5"/>
    <w:rsid w:val="008F7CA1"/>
    <w:rsid w:val="00903B8D"/>
    <w:rsid w:val="0090510F"/>
    <w:rsid w:val="009101F1"/>
    <w:rsid w:val="00913F7A"/>
    <w:rsid w:val="00914208"/>
    <w:rsid w:val="00914689"/>
    <w:rsid w:val="009146EE"/>
    <w:rsid w:val="0091513E"/>
    <w:rsid w:val="009179AB"/>
    <w:rsid w:val="009207DC"/>
    <w:rsid w:val="00921C57"/>
    <w:rsid w:val="0092371D"/>
    <w:rsid w:val="00933A12"/>
    <w:rsid w:val="009356E5"/>
    <w:rsid w:val="0093798E"/>
    <w:rsid w:val="00941F5F"/>
    <w:rsid w:val="00943795"/>
    <w:rsid w:val="00946569"/>
    <w:rsid w:val="0094671E"/>
    <w:rsid w:val="009521F2"/>
    <w:rsid w:val="009536A7"/>
    <w:rsid w:val="00957675"/>
    <w:rsid w:val="009612D5"/>
    <w:rsid w:val="00961426"/>
    <w:rsid w:val="00962D29"/>
    <w:rsid w:val="009632F1"/>
    <w:rsid w:val="00966C70"/>
    <w:rsid w:val="009708BD"/>
    <w:rsid w:val="00971685"/>
    <w:rsid w:val="0097169A"/>
    <w:rsid w:val="009732A9"/>
    <w:rsid w:val="00973BF1"/>
    <w:rsid w:val="00974894"/>
    <w:rsid w:val="00974DD9"/>
    <w:rsid w:val="00985C5D"/>
    <w:rsid w:val="00986242"/>
    <w:rsid w:val="00987AFD"/>
    <w:rsid w:val="00993103"/>
    <w:rsid w:val="0099361E"/>
    <w:rsid w:val="009964B5"/>
    <w:rsid w:val="009972BC"/>
    <w:rsid w:val="00997605"/>
    <w:rsid w:val="009B1D95"/>
    <w:rsid w:val="009B487E"/>
    <w:rsid w:val="009B5887"/>
    <w:rsid w:val="009C01FD"/>
    <w:rsid w:val="009C6BC0"/>
    <w:rsid w:val="009C7A22"/>
    <w:rsid w:val="009D1118"/>
    <w:rsid w:val="009D1744"/>
    <w:rsid w:val="009D2552"/>
    <w:rsid w:val="009D4C6D"/>
    <w:rsid w:val="009D67A7"/>
    <w:rsid w:val="009D7814"/>
    <w:rsid w:val="009E30BD"/>
    <w:rsid w:val="009E311F"/>
    <w:rsid w:val="009E473E"/>
    <w:rsid w:val="009E62D2"/>
    <w:rsid w:val="009F18AE"/>
    <w:rsid w:val="009F2D17"/>
    <w:rsid w:val="009F4813"/>
    <w:rsid w:val="009F58B2"/>
    <w:rsid w:val="009F6DC6"/>
    <w:rsid w:val="00A00D20"/>
    <w:rsid w:val="00A01D4F"/>
    <w:rsid w:val="00A04A35"/>
    <w:rsid w:val="00A076CB"/>
    <w:rsid w:val="00A12E2C"/>
    <w:rsid w:val="00A173DA"/>
    <w:rsid w:val="00A17EDD"/>
    <w:rsid w:val="00A20B06"/>
    <w:rsid w:val="00A22D61"/>
    <w:rsid w:val="00A33B61"/>
    <w:rsid w:val="00A344D9"/>
    <w:rsid w:val="00A35E84"/>
    <w:rsid w:val="00A36CD7"/>
    <w:rsid w:val="00A45B03"/>
    <w:rsid w:val="00A52486"/>
    <w:rsid w:val="00A53A18"/>
    <w:rsid w:val="00A55CAB"/>
    <w:rsid w:val="00A7690C"/>
    <w:rsid w:val="00A76B20"/>
    <w:rsid w:val="00A76BDA"/>
    <w:rsid w:val="00A770A2"/>
    <w:rsid w:val="00A821EE"/>
    <w:rsid w:val="00A82211"/>
    <w:rsid w:val="00A83B46"/>
    <w:rsid w:val="00A8451F"/>
    <w:rsid w:val="00A8506B"/>
    <w:rsid w:val="00A87EBC"/>
    <w:rsid w:val="00A95609"/>
    <w:rsid w:val="00AA36A7"/>
    <w:rsid w:val="00AA454D"/>
    <w:rsid w:val="00AA60B5"/>
    <w:rsid w:val="00AB107C"/>
    <w:rsid w:val="00AB1ECE"/>
    <w:rsid w:val="00AB503D"/>
    <w:rsid w:val="00AB5A04"/>
    <w:rsid w:val="00AB5EDD"/>
    <w:rsid w:val="00AB65E0"/>
    <w:rsid w:val="00AC09C3"/>
    <w:rsid w:val="00AC1935"/>
    <w:rsid w:val="00AC68C0"/>
    <w:rsid w:val="00AE1D31"/>
    <w:rsid w:val="00AE25A2"/>
    <w:rsid w:val="00AF1CA9"/>
    <w:rsid w:val="00B01755"/>
    <w:rsid w:val="00B07306"/>
    <w:rsid w:val="00B1071E"/>
    <w:rsid w:val="00B132B8"/>
    <w:rsid w:val="00B14F1B"/>
    <w:rsid w:val="00B166F7"/>
    <w:rsid w:val="00B22D6D"/>
    <w:rsid w:val="00B239D7"/>
    <w:rsid w:val="00B25947"/>
    <w:rsid w:val="00B265A4"/>
    <w:rsid w:val="00B278E4"/>
    <w:rsid w:val="00B36B03"/>
    <w:rsid w:val="00B37265"/>
    <w:rsid w:val="00B51B8B"/>
    <w:rsid w:val="00B51F43"/>
    <w:rsid w:val="00B53005"/>
    <w:rsid w:val="00B545E5"/>
    <w:rsid w:val="00B555C6"/>
    <w:rsid w:val="00B74EEF"/>
    <w:rsid w:val="00B771C0"/>
    <w:rsid w:val="00B80422"/>
    <w:rsid w:val="00B81448"/>
    <w:rsid w:val="00B84632"/>
    <w:rsid w:val="00BA3C1F"/>
    <w:rsid w:val="00BB1428"/>
    <w:rsid w:val="00BB2053"/>
    <w:rsid w:val="00BB63F5"/>
    <w:rsid w:val="00BB66EC"/>
    <w:rsid w:val="00BC017F"/>
    <w:rsid w:val="00BC06CB"/>
    <w:rsid w:val="00BC51FC"/>
    <w:rsid w:val="00BC63FE"/>
    <w:rsid w:val="00BC682B"/>
    <w:rsid w:val="00BC6E98"/>
    <w:rsid w:val="00BD12F9"/>
    <w:rsid w:val="00BD35C6"/>
    <w:rsid w:val="00BD7023"/>
    <w:rsid w:val="00BD7AA8"/>
    <w:rsid w:val="00BE109A"/>
    <w:rsid w:val="00BE11DC"/>
    <w:rsid w:val="00BE520C"/>
    <w:rsid w:val="00BE52B1"/>
    <w:rsid w:val="00BE5A1A"/>
    <w:rsid w:val="00BE6FCE"/>
    <w:rsid w:val="00BF1082"/>
    <w:rsid w:val="00BF2AEF"/>
    <w:rsid w:val="00BF4E47"/>
    <w:rsid w:val="00C109E9"/>
    <w:rsid w:val="00C15F41"/>
    <w:rsid w:val="00C23870"/>
    <w:rsid w:val="00C23E8A"/>
    <w:rsid w:val="00C2419B"/>
    <w:rsid w:val="00C27644"/>
    <w:rsid w:val="00C27C7F"/>
    <w:rsid w:val="00C32725"/>
    <w:rsid w:val="00C34163"/>
    <w:rsid w:val="00C34ACD"/>
    <w:rsid w:val="00C4296A"/>
    <w:rsid w:val="00C4400E"/>
    <w:rsid w:val="00C45693"/>
    <w:rsid w:val="00C500A5"/>
    <w:rsid w:val="00C65A8E"/>
    <w:rsid w:val="00C66F3E"/>
    <w:rsid w:val="00C67569"/>
    <w:rsid w:val="00C71D4F"/>
    <w:rsid w:val="00C72D1F"/>
    <w:rsid w:val="00C741E0"/>
    <w:rsid w:val="00C75E34"/>
    <w:rsid w:val="00C82231"/>
    <w:rsid w:val="00C93960"/>
    <w:rsid w:val="00CA3634"/>
    <w:rsid w:val="00CA5048"/>
    <w:rsid w:val="00CB4DCC"/>
    <w:rsid w:val="00CC1FCF"/>
    <w:rsid w:val="00CC373B"/>
    <w:rsid w:val="00CD1E3D"/>
    <w:rsid w:val="00CD27A3"/>
    <w:rsid w:val="00CD4A59"/>
    <w:rsid w:val="00CE0FC2"/>
    <w:rsid w:val="00CE4388"/>
    <w:rsid w:val="00CE72B8"/>
    <w:rsid w:val="00D024D5"/>
    <w:rsid w:val="00D138A9"/>
    <w:rsid w:val="00D13D21"/>
    <w:rsid w:val="00D21AB0"/>
    <w:rsid w:val="00D21C77"/>
    <w:rsid w:val="00D25F76"/>
    <w:rsid w:val="00D3271A"/>
    <w:rsid w:val="00D32D6F"/>
    <w:rsid w:val="00D33BAD"/>
    <w:rsid w:val="00D36425"/>
    <w:rsid w:val="00D40221"/>
    <w:rsid w:val="00D454D1"/>
    <w:rsid w:val="00D510BF"/>
    <w:rsid w:val="00D53B70"/>
    <w:rsid w:val="00D55740"/>
    <w:rsid w:val="00D564C3"/>
    <w:rsid w:val="00D619F0"/>
    <w:rsid w:val="00D70F85"/>
    <w:rsid w:val="00D71835"/>
    <w:rsid w:val="00D73058"/>
    <w:rsid w:val="00D74886"/>
    <w:rsid w:val="00D773B5"/>
    <w:rsid w:val="00D77EBD"/>
    <w:rsid w:val="00D80A22"/>
    <w:rsid w:val="00D83610"/>
    <w:rsid w:val="00D945C7"/>
    <w:rsid w:val="00DA023A"/>
    <w:rsid w:val="00DA2997"/>
    <w:rsid w:val="00DA335F"/>
    <w:rsid w:val="00DA4FF5"/>
    <w:rsid w:val="00DB2F52"/>
    <w:rsid w:val="00DB50B0"/>
    <w:rsid w:val="00DB6E4E"/>
    <w:rsid w:val="00DC0E44"/>
    <w:rsid w:val="00DC1667"/>
    <w:rsid w:val="00DD52DD"/>
    <w:rsid w:val="00DE383B"/>
    <w:rsid w:val="00DE50E7"/>
    <w:rsid w:val="00DE6A85"/>
    <w:rsid w:val="00DE7CA8"/>
    <w:rsid w:val="00E01046"/>
    <w:rsid w:val="00E04714"/>
    <w:rsid w:val="00E106AB"/>
    <w:rsid w:val="00E1123E"/>
    <w:rsid w:val="00E1530D"/>
    <w:rsid w:val="00E21DB6"/>
    <w:rsid w:val="00E22274"/>
    <w:rsid w:val="00E230B3"/>
    <w:rsid w:val="00E24598"/>
    <w:rsid w:val="00E27171"/>
    <w:rsid w:val="00E34DB8"/>
    <w:rsid w:val="00E40332"/>
    <w:rsid w:val="00E4278E"/>
    <w:rsid w:val="00E4363E"/>
    <w:rsid w:val="00E4396D"/>
    <w:rsid w:val="00E455F2"/>
    <w:rsid w:val="00E46096"/>
    <w:rsid w:val="00E541C1"/>
    <w:rsid w:val="00E5449A"/>
    <w:rsid w:val="00E565FC"/>
    <w:rsid w:val="00E60652"/>
    <w:rsid w:val="00E633E6"/>
    <w:rsid w:val="00E638C7"/>
    <w:rsid w:val="00E64919"/>
    <w:rsid w:val="00E65EE1"/>
    <w:rsid w:val="00E73D8A"/>
    <w:rsid w:val="00E741F0"/>
    <w:rsid w:val="00E75196"/>
    <w:rsid w:val="00E83995"/>
    <w:rsid w:val="00E85BD2"/>
    <w:rsid w:val="00E92F18"/>
    <w:rsid w:val="00E93CF5"/>
    <w:rsid w:val="00EA2E9A"/>
    <w:rsid w:val="00EA2F80"/>
    <w:rsid w:val="00EA69B3"/>
    <w:rsid w:val="00EA7B16"/>
    <w:rsid w:val="00EB011A"/>
    <w:rsid w:val="00EB0571"/>
    <w:rsid w:val="00EB2439"/>
    <w:rsid w:val="00EB31C3"/>
    <w:rsid w:val="00EB36D0"/>
    <w:rsid w:val="00EB50F3"/>
    <w:rsid w:val="00EC0B0D"/>
    <w:rsid w:val="00EC5E3D"/>
    <w:rsid w:val="00ED031F"/>
    <w:rsid w:val="00ED28B0"/>
    <w:rsid w:val="00ED7C83"/>
    <w:rsid w:val="00EE2205"/>
    <w:rsid w:val="00EE227E"/>
    <w:rsid w:val="00EE36DE"/>
    <w:rsid w:val="00EE475D"/>
    <w:rsid w:val="00EF67A1"/>
    <w:rsid w:val="00F0114B"/>
    <w:rsid w:val="00F01D80"/>
    <w:rsid w:val="00F16207"/>
    <w:rsid w:val="00F1667D"/>
    <w:rsid w:val="00F17177"/>
    <w:rsid w:val="00F17EAD"/>
    <w:rsid w:val="00F20432"/>
    <w:rsid w:val="00F24D8F"/>
    <w:rsid w:val="00F26F87"/>
    <w:rsid w:val="00F30C48"/>
    <w:rsid w:val="00F31306"/>
    <w:rsid w:val="00F314D0"/>
    <w:rsid w:val="00F3353D"/>
    <w:rsid w:val="00F35E74"/>
    <w:rsid w:val="00F3655F"/>
    <w:rsid w:val="00F41137"/>
    <w:rsid w:val="00F42AEF"/>
    <w:rsid w:val="00F42CD9"/>
    <w:rsid w:val="00F4459C"/>
    <w:rsid w:val="00F469F4"/>
    <w:rsid w:val="00F47B42"/>
    <w:rsid w:val="00F573D6"/>
    <w:rsid w:val="00F57E29"/>
    <w:rsid w:val="00F62580"/>
    <w:rsid w:val="00F65960"/>
    <w:rsid w:val="00F72D28"/>
    <w:rsid w:val="00F77166"/>
    <w:rsid w:val="00F80484"/>
    <w:rsid w:val="00F81C7D"/>
    <w:rsid w:val="00F82314"/>
    <w:rsid w:val="00F85B98"/>
    <w:rsid w:val="00F8695D"/>
    <w:rsid w:val="00F86ADD"/>
    <w:rsid w:val="00F87EF2"/>
    <w:rsid w:val="00FA0C64"/>
    <w:rsid w:val="00FA451B"/>
    <w:rsid w:val="00FB1A21"/>
    <w:rsid w:val="00FB3385"/>
    <w:rsid w:val="00FC4A46"/>
    <w:rsid w:val="00FC6535"/>
    <w:rsid w:val="00FD3347"/>
    <w:rsid w:val="00FD6BC6"/>
    <w:rsid w:val="00FD6E6C"/>
    <w:rsid w:val="00FE0261"/>
    <w:rsid w:val="00FE21FC"/>
    <w:rsid w:val="00FE28A5"/>
    <w:rsid w:val="00FE37AB"/>
    <w:rsid w:val="00FE67E5"/>
    <w:rsid w:val="00FE7433"/>
    <w:rsid w:val="00FF186A"/>
    <w:rsid w:val="00FF68D6"/>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604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454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qFormat/>
    <w:rsid w:val="00B166F7"/>
    <w:pPr>
      <w:keepNext/>
      <w:numPr>
        <w:numId w:val="4"/>
      </w:numPr>
      <w:spacing w:after="120"/>
      <w:outlineLvl w:val="0"/>
    </w:pPr>
    <w:rPr>
      <w:b/>
      <w:kern w:val="28"/>
      <w:sz w:val="32"/>
    </w:rPr>
  </w:style>
  <w:style w:type="paragraph" w:styleId="Heading2">
    <w:name w:val="heading 2"/>
    <w:basedOn w:val="Normal"/>
    <w:next w:val="Normal"/>
    <w:autoRedefine/>
    <w:qFormat/>
    <w:rsid w:val="00B166F7"/>
    <w:pPr>
      <w:keepNext/>
      <w:numPr>
        <w:ilvl w:val="1"/>
        <w:numId w:val="4"/>
      </w:numPr>
      <w:spacing w:after="120"/>
      <w:outlineLvl w:val="1"/>
    </w:pPr>
    <w:rPr>
      <w:b/>
      <w:sz w:val="28"/>
    </w:rPr>
  </w:style>
  <w:style w:type="paragraph" w:styleId="Heading3">
    <w:name w:val="heading 3"/>
    <w:basedOn w:val="Normal"/>
    <w:next w:val="Normal"/>
    <w:autoRedefine/>
    <w:qFormat/>
    <w:rsid w:val="00B166F7"/>
    <w:pPr>
      <w:keepNext/>
      <w:numPr>
        <w:ilvl w:val="2"/>
        <w:numId w:val="4"/>
      </w:numPr>
      <w:outlineLvl w:val="2"/>
    </w:pPr>
    <w:rPr>
      <w:b/>
      <w:color w:val="000000"/>
    </w:rPr>
  </w:style>
  <w:style w:type="paragraph" w:styleId="Heading4">
    <w:name w:val="heading 4"/>
    <w:aliases w:val="H4"/>
    <w:basedOn w:val="Normal"/>
    <w:next w:val="Normal"/>
    <w:qFormat/>
    <w:rsid w:val="00B166F7"/>
    <w:pPr>
      <w:keepNext/>
      <w:numPr>
        <w:ilvl w:val="3"/>
        <w:numId w:val="4"/>
      </w:numPr>
      <w:outlineLvl w:val="3"/>
    </w:pPr>
    <w:rPr>
      <w:b/>
      <w:sz w:val="28"/>
    </w:rPr>
  </w:style>
  <w:style w:type="paragraph" w:styleId="Heading5">
    <w:name w:val="heading 5"/>
    <w:basedOn w:val="Normal"/>
    <w:next w:val="Normal"/>
    <w:qFormat/>
    <w:rsid w:val="00B166F7"/>
    <w:pPr>
      <w:keepNext/>
      <w:numPr>
        <w:ilvl w:val="4"/>
        <w:numId w:val="4"/>
      </w:numPr>
      <w:outlineLvl w:val="4"/>
    </w:pPr>
    <w:rPr>
      <w:b/>
      <w:sz w:val="26"/>
    </w:rPr>
  </w:style>
  <w:style w:type="paragraph" w:styleId="Heading6">
    <w:name w:val="heading 6"/>
    <w:basedOn w:val="Normal"/>
    <w:next w:val="Normal"/>
    <w:link w:val="Heading6Char"/>
    <w:qFormat/>
    <w:rsid w:val="00B166F7"/>
    <w:pPr>
      <w:keepNext/>
      <w:numPr>
        <w:ilvl w:val="5"/>
        <w:numId w:val="4"/>
      </w:numPr>
      <w:spacing w:before="240" w:after="240"/>
      <w:outlineLvl w:val="5"/>
    </w:pPr>
    <w:rPr>
      <w:b/>
    </w:rPr>
  </w:style>
  <w:style w:type="paragraph" w:styleId="Heading7">
    <w:name w:val="heading 7"/>
    <w:basedOn w:val="Normal"/>
    <w:next w:val="Normal"/>
    <w:link w:val="Heading7Char"/>
    <w:qFormat/>
    <w:rsid w:val="00B166F7"/>
    <w:pPr>
      <w:keepNext/>
      <w:numPr>
        <w:ilvl w:val="6"/>
        <w:numId w:val="4"/>
      </w:numPr>
      <w:outlineLvl w:val="6"/>
    </w:pPr>
    <w:rPr>
      <w:u w:val="single"/>
    </w:rPr>
  </w:style>
  <w:style w:type="paragraph" w:styleId="Heading8">
    <w:name w:val="heading 8"/>
    <w:basedOn w:val="Normal"/>
    <w:next w:val="Normal"/>
    <w:link w:val="Heading8Char"/>
    <w:qFormat/>
    <w:rsid w:val="00B166F7"/>
    <w:pPr>
      <w:numPr>
        <w:ilvl w:val="7"/>
        <w:numId w:val="4"/>
      </w:numPr>
      <w:spacing w:before="240" w:after="60"/>
      <w:outlineLvl w:val="7"/>
    </w:pPr>
    <w:rPr>
      <w:rFonts w:ascii="Arial" w:hAnsi="Arial"/>
      <w:i/>
      <w:sz w:val="20"/>
    </w:rPr>
  </w:style>
  <w:style w:type="paragraph" w:styleId="Heading9">
    <w:name w:val="heading 9"/>
    <w:basedOn w:val="Normal"/>
    <w:next w:val="Normal"/>
    <w:link w:val="Heading9Char"/>
    <w:qFormat/>
    <w:rsid w:val="00B166F7"/>
    <w:pPr>
      <w:numPr>
        <w:ilvl w:val="8"/>
        <w:numId w:val="4"/>
      </w:numPr>
      <w:spacing w:before="240" w:after="60"/>
      <w:outlineLvl w:val="8"/>
    </w:pPr>
    <w:rPr>
      <w:rFonts w:ascii="Arial" w:hAnsi="Arial"/>
      <w:i/>
      <w:sz w:val="18"/>
    </w:rPr>
  </w:style>
  <w:style w:type="character" w:default="1" w:styleId="DefaultParagraphFont">
    <w:name w:val="Default Paragraph Font"/>
    <w:uiPriority w:val="1"/>
    <w:semiHidden/>
    <w:unhideWhenUsed/>
    <w:rsid w:val="00AA454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AA454D"/>
  </w:style>
  <w:style w:type="paragraph" w:styleId="TOC3">
    <w:name w:val="toc 3"/>
    <w:basedOn w:val="Normal"/>
    <w:next w:val="Normal"/>
    <w:autoRedefine/>
    <w:uiPriority w:val="39"/>
    <w:rsid w:val="00B166F7"/>
    <w:pPr>
      <w:ind w:left="480"/>
    </w:pPr>
  </w:style>
  <w:style w:type="paragraph" w:styleId="Footer">
    <w:name w:val="footer"/>
    <w:basedOn w:val="Normal"/>
    <w:rsid w:val="00B166F7"/>
  </w:style>
  <w:style w:type="character" w:styleId="FootnoteReference">
    <w:name w:val="footnote reference"/>
    <w:aliases w:val="Appel note de bas de p,Appel note de bas de p + 11 pt,Italic,Footnote"/>
    <w:basedOn w:val="DefaultParagraphFont"/>
    <w:rsid w:val="00B166F7"/>
    <w:rPr>
      <w:vertAlign w:val="superscript"/>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rsid w:val="00B166F7"/>
    <w:pPr>
      <w:keepLines/>
      <w:spacing w:after="60"/>
      <w:ind w:left="284" w:hanging="284"/>
    </w:pPr>
    <w:rPr>
      <w:sz w:val="16"/>
    </w:rPr>
  </w:style>
  <w:style w:type="paragraph" w:styleId="Header">
    <w:name w:val="header"/>
    <w:basedOn w:val="Normal"/>
    <w:rsid w:val="00B166F7"/>
    <w:pPr>
      <w:tabs>
        <w:tab w:val="center" w:pos="4153"/>
        <w:tab w:val="right" w:pos="8306"/>
      </w:tabs>
    </w:pPr>
  </w:style>
  <w:style w:type="paragraph" w:styleId="ListBullet">
    <w:name w:val="List Bullet"/>
    <w:aliases w:val="UL"/>
    <w:basedOn w:val="Normal"/>
    <w:rsid w:val="00B166F7"/>
    <w:pPr>
      <w:ind w:left="567" w:hanging="567"/>
    </w:pPr>
  </w:style>
  <w:style w:type="character" w:styleId="PageNumber">
    <w:name w:val="page number"/>
    <w:basedOn w:val="DefaultParagraphFont"/>
    <w:rsid w:val="00B166F7"/>
  </w:style>
  <w:style w:type="paragraph" w:styleId="TOC1">
    <w:name w:val="toc 1"/>
    <w:basedOn w:val="Normal"/>
    <w:next w:val="Normal"/>
    <w:autoRedefine/>
    <w:uiPriority w:val="39"/>
    <w:rsid w:val="00B166F7"/>
    <w:rPr>
      <w:b/>
      <w:caps/>
    </w:rPr>
  </w:style>
  <w:style w:type="paragraph" w:styleId="TOC2">
    <w:name w:val="toc 2"/>
    <w:basedOn w:val="Normal"/>
    <w:next w:val="Normal"/>
    <w:autoRedefine/>
    <w:uiPriority w:val="39"/>
    <w:rsid w:val="00B166F7"/>
    <w:pPr>
      <w:ind w:left="240"/>
    </w:pPr>
    <w:rPr>
      <w:smallCaps/>
    </w:rPr>
  </w:style>
  <w:style w:type="paragraph" w:styleId="TOC4">
    <w:name w:val="toc 4"/>
    <w:basedOn w:val="Normal"/>
    <w:next w:val="Normal"/>
    <w:rsid w:val="00B166F7"/>
    <w:pPr>
      <w:ind w:left="720"/>
    </w:pPr>
    <w:rPr>
      <w:sz w:val="18"/>
    </w:rPr>
  </w:style>
  <w:style w:type="paragraph" w:styleId="TOC5">
    <w:name w:val="toc 5"/>
    <w:basedOn w:val="Normal"/>
    <w:next w:val="Normal"/>
    <w:rsid w:val="00B166F7"/>
    <w:pPr>
      <w:ind w:left="960"/>
    </w:pPr>
    <w:rPr>
      <w:sz w:val="18"/>
    </w:rPr>
  </w:style>
  <w:style w:type="paragraph" w:customStyle="1" w:styleId="ListNumberSub">
    <w:name w:val="List Number  Sub"/>
    <w:basedOn w:val="Normal"/>
    <w:rsid w:val="00B166F7"/>
    <w:pPr>
      <w:ind w:left="1134" w:hanging="567"/>
    </w:pPr>
  </w:style>
  <w:style w:type="paragraph" w:customStyle="1" w:styleId="Note">
    <w:name w:val="Note"/>
    <w:basedOn w:val="Normal"/>
    <w:next w:val="Normal"/>
    <w:rsid w:val="00B166F7"/>
    <w:pPr>
      <w:tabs>
        <w:tab w:val="left" w:pos="851"/>
      </w:tabs>
    </w:pPr>
  </w:style>
  <w:style w:type="paragraph" w:customStyle="1" w:styleId="TITLEOFRALI">
    <w:name w:val="TITLE OF RALI"/>
    <w:basedOn w:val="Normal"/>
    <w:rsid w:val="00B166F7"/>
    <w:pPr>
      <w:shd w:val="clear" w:color="auto" w:fill="FFFFFF"/>
      <w:jc w:val="center"/>
    </w:pPr>
    <w:rPr>
      <w:b/>
      <w:caps/>
      <w:sz w:val="40"/>
    </w:rPr>
  </w:style>
  <w:style w:type="paragraph" w:styleId="BodyText">
    <w:name w:val="Body Text"/>
    <w:basedOn w:val="Normal"/>
    <w:rsid w:val="007B600D"/>
  </w:style>
  <w:style w:type="paragraph" w:styleId="NormalIndent">
    <w:name w:val="Normal Indent"/>
    <w:basedOn w:val="Normal"/>
    <w:rsid w:val="00B166F7"/>
    <w:pPr>
      <w:ind w:left="720"/>
    </w:pPr>
  </w:style>
  <w:style w:type="character" w:styleId="Strong">
    <w:name w:val="Strong"/>
    <w:basedOn w:val="DefaultParagraphFont"/>
    <w:qFormat/>
    <w:rsid w:val="007B600D"/>
    <w:rPr>
      <w:b/>
    </w:rPr>
  </w:style>
  <w:style w:type="paragraph" w:styleId="NormalWeb">
    <w:name w:val="Normal (Web)"/>
    <w:basedOn w:val="Normal"/>
    <w:uiPriority w:val="99"/>
    <w:rsid w:val="007B600D"/>
    <w:pPr>
      <w:spacing w:before="100" w:beforeAutospacing="1" w:after="100" w:afterAutospacing="1"/>
    </w:pPr>
    <w:rPr>
      <w:szCs w:val="24"/>
    </w:rPr>
  </w:style>
  <w:style w:type="character" w:styleId="Emphasis">
    <w:name w:val="Emphasis"/>
    <w:basedOn w:val="DefaultParagraphFont"/>
    <w:qFormat/>
    <w:rsid w:val="007B600D"/>
    <w:rPr>
      <w:i/>
      <w:iCs/>
    </w:rPr>
  </w:style>
  <w:style w:type="paragraph" w:styleId="BalloonText">
    <w:name w:val="Balloon Text"/>
    <w:basedOn w:val="Normal"/>
    <w:link w:val="BalloonTextChar"/>
    <w:rsid w:val="00B166F7"/>
    <w:rPr>
      <w:rFonts w:ascii="Tahoma" w:hAnsi="Tahoma" w:cs="Tahoma"/>
      <w:sz w:val="16"/>
      <w:szCs w:val="16"/>
    </w:rPr>
  </w:style>
  <w:style w:type="paragraph" w:styleId="Caption">
    <w:name w:val="caption"/>
    <w:basedOn w:val="Normal"/>
    <w:next w:val="Normal"/>
    <w:qFormat/>
    <w:rsid w:val="007B600D"/>
    <w:pPr>
      <w:spacing w:before="120"/>
      <w:jc w:val="center"/>
    </w:pPr>
    <w:rPr>
      <w:b/>
    </w:rPr>
  </w:style>
  <w:style w:type="paragraph" w:styleId="Date">
    <w:name w:val="Date"/>
    <w:basedOn w:val="Normal"/>
    <w:next w:val="Normal"/>
    <w:rsid w:val="00FD3347"/>
  </w:style>
  <w:style w:type="character" w:styleId="Hyperlink">
    <w:name w:val="Hyperlink"/>
    <w:basedOn w:val="DefaultParagraphFont"/>
    <w:uiPriority w:val="99"/>
    <w:rsid w:val="00B166F7"/>
    <w:rPr>
      <w:color w:val="0000FF"/>
      <w:u w:val="single"/>
    </w:rPr>
  </w:style>
  <w:style w:type="table" w:styleId="TableGrid3">
    <w:name w:val="Table Grid 3"/>
    <w:basedOn w:val="TableNormal"/>
    <w:rsid w:val="008A40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
    <w:name w:val="Table Grid"/>
    <w:basedOn w:val="TableNormal"/>
    <w:uiPriority w:val="59"/>
    <w:rsid w:val="00B166F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n1">
    <w:name w:val="fn1"/>
    <w:basedOn w:val="Normal"/>
    <w:rsid w:val="000723E1"/>
    <w:pPr>
      <w:keepLines/>
      <w:spacing w:before="120" w:line="-260" w:lineRule="auto"/>
      <w:ind w:left="964" w:hanging="964"/>
      <w:jc w:val="both"/>
    </w:pPr>
    <w:rPr>
      <w:sz w:val="26"/>
      <w:szCs w:val="26"/>
    </w:rPr>
  </w:style>
  <w:style w:type="character" w:styleId="CommentReference">
    <w:name w:val="annotation reference"/>
    <w:basedOn w:val="DefaultParagraphFont"/>
    <w:semiHidden/>
    <w:rsid w:val="00B166F7"/>
    <w:rPr>
      <w:sz w:val="16"/>
    </w:rPr>
  </w:style>
  <w:style w:type="paragraph" w:styleId="CommentText">
    <w:name w:val="annotation text"/>
    <w:basedOn w:val="Normal"/>
    <w:link w:val="CommentTextChar"/>
    <w:semiHidden/>
    <w:rsid w:val="00B166F7"/>
    <w:rPr>
      <w:sz w:val="20"/>
    </w:rPr>
  </w:style>
  <w:style w:type="paragraph" w:styleId="CommentSubject">
    <w:name w:val="annotation subject"/>
    <w:basedOn w:val="CommentText"/>
    <w:next w:val="CommentText"/>
    <w:link w:val="CommentSubjectChar"/>
    <w:rsid w:val="00B166F7"/>
    <w:rPr>
      <w:b/>
      <w:bCs/>
    </w:rPr>
  </w:style>
  <w:style w:type="paragraph" w:styleId="Revision">
    <w:name w:val="Revision"/>
    <w:hidden/>
    <w:uiPriority w:val="99"/>
    <w:semiHidden/>
    <w:rsid w:val="006B7AC4"/>
    <w:rPr>
      <w:sz w:val="24"/>
      <w:lang w:val="en-GB"/>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431F6F"/>
    <w:rPr>
      <w:rFonts w:ascii="Calibri" w:hAnsi="Calibri"/>
      <w:sz w:val="16"/>
      <w:lang w:val="en-GB"/>
    </w:rPr>
  </w:style>
  <w:style w:type="character" w:customStyle="1" w:styleId="CommentTextChar">
    <w:name w:val="Comment Text Char"/>
    <w:basedOn w:val="DefaultParagraphFont"/>
    <w:link w:val="CommentText"/>
    <w:semiHidden/>
    <w:rsid w:val="00B166F7"/>
    <w:rPr>
      <w:rFonts w:ascii="Calibri" w:hAnsi="Calibri"/>
      <w:lang w:val="en-GB"/>
    </w:rPr>
  </w:style>
  <w:style w:type="character" w:customStyle="1" w:styleId="Heading6Char">
    <w:name w:val="Heading 6 Char"/>
    <w:basedOn w:val="DefaultParagraphFont"/>
    <w:link w:val="Heading6"/>
    <w:rsid w:val="00152DB8"/>
    <w:rPr>
      <w:rFonts w:ascii="Calibri" w:hAnsi="Calibri"/>
      <w:b/>
      <w:sz w:val="24"/>
      <w:lang w:val="en-GB"/>
    </w:rPr>
  </w:style>
  <w:style w:type="character" w:customStyle="1" w:styleId="Heading7Char">
    <w:name w:val="Heading 7 Char"/>
    <w:basedOn w:val="DefaultParagraphFont"/>
    <w:link w:val="Heading7"/>
    <w:rsid w:val="00152DB8"/>
    <w:rPr>
      <w:rFonts w:ascii="Calibri" w:hAnsi="Calibri"/>
      <w:sz w:val="24"/>
      <w:u w:val="single"/>
      <w:lang w:val="en-GB"/>
    </w:rPr>
  </w:style>
  <w:style w:type="character" w:customStyle="1" w:styleId="Heading8Char">
    <w:name w:val="Heading 8 Char"/>
    <w:basedOn w:val="DefaultParagraphFont"/>
    <w:link w:val="Heading8"/>
    <w:rsid w:val="00152DB8"/>
    <w:rPr>
      <w:rFonts w:ascii="Arial" w:hAnsi="Arial"/>
      <w:i/>
      <w:lang w:val="en-GB"/>
    </w:rPr>
  </w:style>
  <w:style w:type="character" w:customStyle="1" w:styleId="Heading9Char">
    <w:name w:val="Heading 9 Char"/>
    <w:basedOn w:val="DefaultParagraphFont"/>
    <w:link w:val="Heading9"/>
    <w:rsid w:val="00152DB8"/>
    <w:rPr>
      <w:rFonts w:ascii="Arial" w:hAnsi="Arial"/>
      <w:i/>
      <w:sz w:val="18"/>
      <w:lang w:val="en-GB"/>
    </w:rPr>
  </w:style>
  <w:style w:type="paragraph" w:styleId="TOC6">
    <w:name w:val="toc 6"/>
    <w:basedOn w:val="Normal"/>
    <w:next w:val="Normal"/>
    <w:rsid w:val="00B166F7"/>
    <w:pPr>
      <w:ind w:left="1200"/>
    </w:pPr>
    <w:rPr>
      <w:sz w:val="18"/>
    </w:rPr>
  </w:style>
  <w:style w:type="paragraph" w:styleId="TOC7">
    <w:name w:val="toc 7"/>
    <w:basedOn w:val="Normal"/>
    <w:next w:val="Normal"/>
    <w:rsid w:val="00B166F7"/>
    <w:pPr>
      <w:ind w:left="1440"/>
    </w:pPr>
    <w:rPr>
      <w:sz w:val="18"/>
    </w:rPr>
  </w:style>
  <w:style w:type="paragraph" w:styleId="TOC8">
    <w:name w:val="toc 8"/>
    <w:basedOn w:val="Normal"/>
    <w:next w:val="Normal"/>
    <w:rsid w:val="00B166F7"/>
    <w:pPr>
      <w:ind w:left="1680"/>
    </w:pPr>
    <w:rPr>
      <w:sz w:val="18"/>
    </w:rPr>
  </w:style>
  <w:style w:type="paragraph" w:styleId="TOC9">
    <w:name w:val="toc 9"/>
    <w:basedOn w:val="Normal"/>
    <w:next w:val="Normal"/>
    <w:rsid w:val="00B166F7"/>
    <w:pPr>
      <w:ind w:left="1920"/>
    </w:pPr>
    <w:rPr>
      <w:sz w:val="18"/>
    </w:rPr>
  </w:style>
  <w:style w:type="paragraph" w:styleId="ListNumber">
    <w:name w:val="List Number"/>
    <w:basedOn w:val="Normal"/>
    <w:next w:val="Normal"/>
    <w:rsid w:val="00B166F7"/>
    <w:pPr>
      <w:ind w:left="567" w:hanging="567"/>
    </w:pPr>
  </w:style>
  <w:style w:type="paragraph" w:customStyle="1" w:styleId="ListBulletSub">
    <w:name w:val="List Bullet Sub"/>
    <w:basedOn w:val="ListBullet"/>
    <w:rsid w:val="00B166F7"/>
    <w:pPr>
      <w:ind w:left="1134"/>
    </w:pPr>
  </w:style>
  <w:style w:type="paragraph" w:customStyle="1" w:styleId="Disclaimer">
    <w:name w:val="Disclaimer"/>
    <w:basedOn w:val="Normal"/>
    <w:rsid w:val="00B166F7"/>
    <w:pPr>
      <w:keepNext/>
      <w:framePr w:hSpace="181" w:wrap="around" w:vAnchor="text" w:hAnchor="text" w:y="1"/>
      <w:pBdr>
        <w:top w:val="double" w:sz="6" w:space="1" w:color="auto"/>
        <w:left w:val="double" w:sz="6" w:space="1" w:color="auto"/>
        <w:bottom w:val="double" w:sz="6" w:space="1" w:color="auto"/>
        <w:right w:val="double" w:sz="6" w:space="1" w:color="auto"/>
      </w:pBdr>
    </w:pPr>
  </w:style>
  <w:style w:type="paragraph" w:customStyle="1" w:styleId="ListNumberSubSub">
    <w:name w:val="List Number Sub Sub"/>
    <w:basedOn w:val="Normal"/>
    <w:next w:val="Normal"/>
    <w:rsid w:val="00B166F7"/>
    <w:pPr>
      <w:ind w:left="1701" w:hanging="567"/>
    </w:pPr>
  </w:style>
  <w:style w:type="paragraph" w:customStyle="1" w:styleId="ListBulletSubSub">
    <w:name w:val="List Bullet Sub Sub"/>
    <w:basedOn w:val="ListBulletSub"/>
    <w:rsid w:val="00B166F7"/>
    <w:pPr>
      <w:ind w:left="1701"/>
    </w:pPr>
  </w:style>
  <w:style w:type="paragraph" w:customStyle="1" w:styleId="ListBulletSubSubSub">
    <w:name w:val="List Bullet Sub Sub Sub"/>
    <w:basedOn w:val="ListBulletSubSub"/>
    <w:rsid w:val="00B166F7"/>
    <w:pPr>
      <w:ind w:left="2268"/>
    </w:pPr>
  </w:style>
  <w:style w:type="paragraph" w:customStyle="1" w:styleId="dash">
    <w:name w:val="dash"/>
    <w:basedOn w:val="dot"/>
    <w:rsid w:val="00B166F7"/>
    <w:pPr>
      <w:ind w:left="1134"/>
    </w:pPr>
  </w:style>
  <w:style w:type="paragraph" w:customStyle="1" w:styleId="dot">
    <w:name w:val="dot"/>
    <w:basedOn w:val="Normal"/>
    <w:rsid w:val="00B166F7"/>
    <w:pPr>
      <w:ind w:left="567" w:hanging="567"/>
    </w:pPr>
  </w:style>
  <w:style w:type="paragraph" w:customStyle="1" w:styleId="Normal1">
    <w:name w:val="Normal 1"/>
    <w:basedOn w:val="Normal"/>
    <w:rsid w:val="00B166F7"/>
    <w:pPr>
      <w:spacing w:after="240"/>
    </w:pPr>
  </w:style>
  <w:style w:type="paragraph" w:customStyle="1" w:styleId="Appendix2">
    <w:name w:val="Appendix 2"/>
    <w:basedOn w:val="Normal"/>
    <w:next w:val="Normal"/>
    <w:rsid w:val="00B166F7"/>
    <w:pPr>
      <w:spacing w:before="240" w:after="240"/>
    </w:pPr>
    <w:rPr>
      <w:b/>
    </w:rPr>
  </w:style>
  <w:style w:type="character" w:styleId="EndnoteReference">
    <w:name w:val="endnote reference"/>
    <w:basedOn w:val="DefaultParagraphFont"/>
    <w:rsid w:val="00B166F7"/>
    <w:rPr>
      <w:vertAlign w:val="superscript"/>
    </w:rPr>
  </w:style>
  <w:style w:type="paragraph" w:customStyle="1" w:styleId="dotptstem">
    <w:name w:val="dotptstem"/>
    <w:basedOn w:val="dotpoint"/>
    <w:rsid w:val="00B166F7"/>
    <w:pPr>
      <w:ind w:left="0" w:firstLine="0"/>
    </w:pPr>
  </w:style>
  <w:style w:type="paragraph" w:customStyle="1" w:styleId="dotpoint">
    <w:name w:val="dotpoint"/>
    <w:basedOn w:val="Normal"/>
    <w:next w:val="Normal"/>
    <w:rsid w:val="00B166F7"/>
    <w:pPr>
      <w:spacing w:after="60"/>
      <w:ind w:left="284" w:hanging="284"/>
    </w:pPr>
  </w:style>
  <w:style w:type="paragraph" w:customStyle="1" w:styleId="ralicentreappendix">
    <w:name w:val="rali centre appendix"/>
    <w:basedOn w:val="Normal"/>
    <w:rsid w:val="00B166F7"/>
    <w:pPr>
      <w:jc w:val="center"/>
    </w:pPr>
    <w:rPr>
      <w:b/>
      <w:sz w:val="28"/>
    </w:rPr>
  </w:style>
  <w:style w:type="paragraph" w:styleId="DocumentMap">
    <w:name w:val="Document Map"/>
    <w:basedOn w:val="Normal"/>
    <w:link w:val="DocumentMapChar"/>
    <w:rsid w:val="00B166F7"/>
    <w:pPr>
      <w:shd w:val="clear" w:color="auto" w:fill="000080"/>
    </w:pPr>
    <w:rPr>
      <w:rFonts w:ascii="Tahoma" w:hAnsi="Tahoma"/>
    </w:rPr>
  </w:style>
  <w:style w:type="character" w:customStyle="1" w:styleId="DocumentMapChar">
    <w:name w:val="Document Map Char"/>
    <w:basedOn w:val="DefaultParagraphFont"/>
    <w:link w:val="DocumentMap"/>
    <w:rsid w:val="00152DB8"/>
    <w:rPr>
      <w:rFonts w:ascii="Tahoma" w:hAnsi="Tahoma"/>
      <w:sz w:val="24"/>
      <w:shd w:val="clear" w:color="auto" w:fill="000080"/>
      <w:lang w:val="en-GB"/>
    </w:rPr>
  </w:style>
  <w:style w:type="paragraph" w:styleId="Index1">
    <w:name w:val="index 1"/>
    <w:basedOn w:val="Normal"/>
    <w:next w:val="Normal"/>
    <w:autoRedefine/>
    <w:rsid w:val="00B166F7"/>
    <w:pPr>
      <w:ind w:left="240" w:hanging="240"/>
    </w:pPr>
    <w:rPr>
      <w:sz w:val="20"/>
    </w:rPr>
  </w:style>
  <w:style w:type="paragraph" w:styleId="Index2">
    <w:name w:val="index 2"/>
    <w:basedOn w:val="Normal"/>
    <w:next w:val="Normal"/>
    <w:autoRedefine/>
    <w:rsid w:val="00B166F7"/>
    <w:pPr>
      <w:ind w:left="480" w:hanging="240"/>
    </w:pPr>
    <w:rPr>
      <w:sz w:val="20"/>
    </w:rPr>
  </w:style>
  <w:style w:type="paragraph" w:styleId="Index3">
    <w:name w:val="index 3"/>
    <w:basedOn w:val="Normal"/>
    <w:next w:val="Normal"/>
    <w:autoRedefine/>
    <w:rsid w:val="00B166F7"/>
    <w:pPr>
      <w:ind w:left="720" w:hanging="240"/>
    </w:pPr>
    <w:rPr>
      <w:sz w:val="20"/>
    </w:rPr>
  </w:style>
  <w:style w:type="paragraph" w:styleId="Index4">
    <w:name w:val="index 4"/>
    <w:basedOn w:val="Normal"/>
    <w:next w:val="Normal"/>
    <w:autoRedefine/>
    <w:rsid w:val="00B166F7"/>
    <w:pPr>
      <w:ind w:left="960" w:hanging="240"/>
    </w:pPr>
    <w:rPr>
      <w:sz w:val="20"/>
    </w:rPr>
  </w:style>
  <w:style w:type="paragraph" w:styleId="Index5">
    <w:name w:val="index 5"/>
    <w:basedOn w:val="Normal"/>
    <w:next w:val="Normal"/>
    <w:autoRedefine/>
    <w:rsid w:val="00B166F7"/>
    <w:pPr>
      <w:ind w:left="1200" w:hanging="240"/>
    </w:pPr>
    <w:rPr>
      <w:sz w:val="20"/>
    </w:rPr>
  </w:style>
  <w:style w:type="paragraph" w:styleId="Index6">
    <w:name w:val="index 6"/>
    <w:basedOn w:val="Normal"/>
    <w:next w:val="Normal"/>
    <w:autoRedefine/>
    <w:rsid w:val="00B166F7"/>
    <w:pPr>
      <w:ind w:left="1440" w:hanging="240"/>
    </w:pPr>
    <w:rPr>
      <w:sz w:val="20"/>
    </w:rPr>
  </w:style>
  <w:style w:type="paragraph" w:styleId="Index7">
    <w:name w:val="index 7"/>
    <w:basedOn w:val="Normal"/>
    <w:next w:val="Normal"/>
    <w:autoRedefine/>
    <w:rsid w:val="00B166F7"/>
    <w:pPr>
      <w:ind w:left="1680" w:hanging="240"/>
    </w:pPr>
    <w:rPr>
      <w:sz w:val="20"/>
    </w:rPr>
  </w:style>
  <w:style w:type="paragraph" w:styleId="Index8">
    <w:name w:val="index 8"/>
    <w:basedOn w:val="Normal"/>
    <w:next w:val="Normal"/>
    <w:autoRedefine/>
    <w:rsid w:val="00B166F7"/>
    <w:pPr>
      <w:ind w:left="1920" w:hanging="240"/>
    </w:pPr>
    <w:rPr>
      <w:sz w:val="20"/>
    </w:rPr>
  </w:style>
  <w:style w:type="paragraph" w:styleId="Index9">
    <w:name w:val="index 9"/>
    <w:basedOn w:val="Normal"/>
    <w:next w:val="Normal"/>
    <w:autoRedefine/>
    <w:rsid w:val="00B166F7"/>
    <w:pPr>
      <w:ind w:left="2160" w:hanging="240"/>
    </w:pPr>
    <w:rPr>
      <w:sz w:val="20"/>
    </w:rPr>
  </w:style>
  <w:style w:type="paragraph" w:styleId="IndexHeading">
    <w:name w:val="index heading"/>
    <w:basedOn w:val="Normal"/>
    <w:next w:val="Index1"/>
    <w:rsid w:val="00B166F7"/>
    <w:rPr>
      <w:b/>
      <w:i/>
      <w:sz w:val="20"/>
    </w:rPr>
  </w:style>
  <w:style w:type="character" w:customStyle="1" w:styleId="CommentSubjectChar">
    <w:name w:val="Comment Subject Char"/>
    <w:basedOn w:val="CommentTextChar"/>
    <w:link w:val="CommentSubject"/>
    <w:rsid w:val="00B166F7"/>
    <w:rPr>
      <w:b/>
      <w:bCs/>
    </w:rPr>
  </w:style>
  <w:style w:type="character" w:customStyle="1" w:styleId="BalloonTextChar">
    <w:name w:val="Balloon Text Char"/>
    <w:basedOn w:val="DefaultParagraphFont"/>
    <w:link w:val="BalloonText"/>
    <w:rsid w:val="00B166F7"/>
    <w:rPr>
      <w:rFonts w:ascii="Tahoma" w:hAnsi="Tahoma" w:cs="Tahoma"/>
      <w:sz w:val="16"/>
      <w:szCs w:val="16"/>
      <w:lang w:val="en-GB"/>
    </w:rPr>
  </w:style>
  <w:style w:type="character" w:styleId="FollowedHyperlink">
    <w:name w:val="FollowedHyperlink"/>
    <w:basedOn w:val="DefaultParagraphFont"/>
    <w:rsid w:val="00B166F7"/>
    <w:rPr>
      <w:color w:val="800080"/>
      <w:u w:val="single"/>
    </w:rPr>
  </w:style>
</w:styles>
</file>

<file path=word/webSettings.xml><?xml version="1.0" encoding="utf-8"?>
<w:webSettings xmlns:r="http://schemas.openxmlformats.org/officeDocument/2006/relationships" xmlns:w="http://schemas.openxmlformats.org/wordprocessingml/2006/main">
  <w:divs>
    <w:div w:id="163323457">
      <w:bodyDiv w:val="1"/>
      <w:marLeft w:val="0"/>
      <w:marRight w:val="0"/>
      <w:marTop w:val="0"/>
      <w:marBottom w:val="0"/>
      <w:divBdr>
        <w:top w:val="none" w:sz="0" w:space="0" w:color="auto"/>
        <w:left w:val="none" w:sz="0" w:space="0" w:color="auto"/>
        <w:bottom w:val="none" w:sz="0" w:space="0" w:color="auto"/>
        <w:right w:val="none" w:sz="0" w:space="0" w:color="auto"/>
      </w:divBdr>
    </w:div>
    <w:div w:id="42777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yperlink" Target="mailto:freqplan@acma.gov.au"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eqplan@acma.gov.a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s>
</file>

<file path=word/_rels/footnotes.xml.rels><?xml version="1.0" encoding="UTF-8" standalone="yes"?>
<Relationships xmlns="http://schemas.openxmlformats.org/package/2006/relationships"><Relationship Id="rId1" Type="http://schemas.openxmlformats.org/officeDocument/2006/relationships/hyperlink" Target="http://www.comlaw.gov.au/Details/F2012L007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AF19F8-BCC6-4D6B-89D5-064866907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1941</Words>
  <Characters>10849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MS31 Draft</vt:lpstr>
    </vt:vector>
  </TitlesOfParts>
  <Company>Australian Communications and Media Authority</Company>
  <LinksUpToDate>false</LinksUpToDate>
  <CharactersWithSpaces>12765</CharactersWithSpaces>
  <SharedDoc>false</SharedDoc>
  <HLinks>
    <vt:vector size="12" baseType="variant">
      <vt:variant>
        <vt:i4>4718624</vt:i4>
      </vt:variant>
      <vt:variant>
        <vt:i4>48</vt:i4>
      </vt:variant>
      <vt:variant>
        <vt:i4>0</vt:i4>
      </vt:variant>
      <vt:variant>
        <vt:i4>5</vt:i4>
      </vt:variant>
      <vt:variant>
        <vt:lpwstr>mailto:atnf-spectrum@csiro.au</vt:lpwstr>
      </vt:variant>
      <vt:variant>
        <vt:lpwstr/>
      </vt:variant>
      <vt:variant>
        <vt:i4>393296</vt:i4>
      </vt:variant>
      <vt:variant>
        <vt:i4>3</vt:i4>
      </vt:variant>
      <vt:variant>
        <vt:i4>0</vt:i4>
      </vt:variant>
      <vt:variant>
        <vt:i4>5</vt:i4>
      </vt:variant>
      <vt:variant>
        <vt:lpwstr>http://www.comlaw.gov.au/Details/F2012L00731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MS31 Draft</dc:title>
  <dc:creator>SPE</dc:creator>
  <cp:lastModifiedBy>ACMA</cp:lastModifiedBy>
  <cp:revision>5</cp:revision>
  <cp:lastPrinted>2013-07-23T05:18:00Z</cp:lastPrinted>
  <dcterms:created xsi:type="dcterms:W3CDTF">2013-10-08T05:36:00Z</dcterms:created>
  <dcterms:modified xsi:type="dcterms:W3CDTF">2013-10-09T23:02:00Z</dcterms:modified>
</cp:coreProperties>
</file>