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64FD" w:rsidRPr="00F164FD" w:rsidRDefault="00F164FD" w:rsidP="009C074A">
      <w:pPr>
        <w:pStyle w:val="Heading1"/>
        <w:jc w:val="center"/>
        <w:rPr>
          <w:rFonts w:ascii="Arial" w:hAnsi="Arial" w:cs="Arial"/>
          <w:color w:val="0D0D0D" w:themeColor="text1" w:themeTint="F2"/>
        </w:rPr>
      </w:pPr>
      <w:r w:rsidRPr="00F164FD">
        <w:rPr>
          <w:rFonts w:ascii="Arial" w:hAnsi="Arial" w:cs="Arial"/>
          <w:noProof/>
          <w:color w:val="0D0D0D" w:themeColor="text1" w:themeTint="F2"/>
          <w:lang w:eastAsia="en-AU"/>
        </w:rPr>
        <w:drawing>
          <wp:inline distT="0" distB="0" distL="0" distR="0">
            <wp:extent cx="5724525" cy="819150"/>
            <wp:effectExtent l="19050" t="0" r="9525" b="0"/>
            <wp:docPr id="2" name="Picture 1" descr="H:\AAA - daily web work\ACMA_Masthead__GREYSCALE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AA - daily web work\ACMA_Masthead__GREYSCALE_A4.jpg"/>
                    <pic:cNvPicPr>
                      <a:picLocks noChangeAspect="1" noChangeArrowheads="1"/>
                    </pic:cNvPicPr>
                  </pic:nvPicPr>
                  <pic:blipFill>
                    <a:blip r:embed="rId8" cstate="print"/>
                    <a:srcRect/>
                    <a:stretch>
                      <a:fillRect/>
                    </a:stretch>
                  </pic:blipFill>
                  <pic:spPr bwMode="auto">
                    <a:xfrm>
                      <a:off x="0" y="0"/>
                      <a:ext cx="5724525" cy="819150"/>
                    </a:xfrm>
                    <a:prstGeom prst="rect">
                      <a:avLst/>
                    </a:prstGeom>
                    <a:noFill/>
                    <a:ln w="9525">
                      <a:noFill/>
                      <a:miter lim="800000"/>
                      <a:headEnd/>
                      <a:tailEnd/>
                    </a:ln>
                  </pic:spPr>
                </pic:pic>
              </a:graphicData>
            </a:graphic>
          </wp:inline>
        </w:drawing>
      </w:r>
    </w:p>
    <w:p w:rsidR="005066EF" w:rsidRDefault="005066EF" w:rsidP="00CB4FDF">
      <w:bookmarkStart w:id="0" w:name="OLE_LINK1"/>
      <w:bookmarkStart w:id="1" w:name="OLE_LINK3"/>
    </w:p>
    <w:p w:rsidR="00CB4FDF" w:rsidRPr="00CB4FDF" w:rsidRDefault="00CB4FDF" w:rsidP="00CB4FDF"/>
    <w:p w:rsidR="009C074A" w:rsidRPr="00CB4FDF" w:rsidRDefault="00F164FD" w:rsidP="00CB4FDF">
      <w:pPr>
        <w:rPr>
          <w:rFonts w:asciiTheme="majorHAnsi" w:hAnsiTheme="majorHAnsi"/>
          <w:sz w:val="52"/>
          <w:szCs w:val="52"/>
        </w:rPr>
      </w:pPr>
      <w:r w:rsidRPr="00CB4FDF">
        <w:rPr>
          <w:rFonts w:asciiTheme="majorHAnsi" w:hAnsiTheme="majorHAnsi"/>
          <w:sz w:val="52"/>
          <w:szCs w:val="52"/>
        </w:rPr>
        <w:t>Technical Framework Development</w:t>
      </w:r>
      <w:r w:rsidR="00CF2879" w:rsidRPr="00CB4FDF">
        <w:rPr>
          <w:rFonts w:asciiTheme="majorHAnsi" w:hAnsiTheme="majorHAnsi"/>
          <w:sz w:val="52"/>
          <w:szCs w:val="52"/>
        </w:rPr>
        <w:t xml:space="preserve"> </w:t>
      </w:r>
      <w:r w:rsidR="00D62097" w:rsidRPr="00CB4FDF">
        <w:rPr>
          <w:rFonts w:asciiTheme="majorHAnsi" w:hAnsiTheme="majorHAnsi"/>
          <w:sz w:val="52"/>
          <w:szCs w:val="52"/>
        </w:rPr>
        <w:t>700 MHz</w:t>
      </w:r>
      <w:r w:rsidR="009C074A" w:rsidRPr="00CB4FDF">
        <w:rPr>
          <w:rFonts w:asciiTheme="majorHAnsi" w:hAnsiTheme="majorHAnsi"/>
          <w:sz w:val="52"/>
          <w:szCs w:val="52"/>
        </w:rPr>
        <w:t xml:space="preserve"> Spectrum Licence Band</w:t>
      </w:r>
    </w:p>
    <w:bookmarkEnd w:id="0"/>
    <w:bookmarkEnd w:id="1"/>
    <w:p w:rsidR="009C074A" w:rsidRPr="00F164FD" w:rsidRDefault="009C074A" w:rsidP="009C074A">
      <w:pPr>
        <w:rPr>
          <w:rFonts w:ascii="Arial" w:hAnsi="Arial" w:cs="Arial"/>
          <w:color w:val="0D0D0D" w:themeColor="text1" w:themeTint="F2"/>
        </w:rPr>
      </w:pPr>
    </w:p>
    <w:p w:rsidR="00F164FD" w:rsidRPr="00CB4FDF" w:rsidRDefault="009C074A" w:rsidP="00174352">
      <w:pPr>
        <w:pStyle w:val="Heading2"/>
        <w:spacing w:before="120" w:line="240" w:lineRule="auto"/>
        <w:rPr>
          <w:rFonts w:ascii="Arial" w:hAnsi="Arial" w:cs="Arial"/>
          <w:color w:val="808080" w:themeColor="background1" w:themeShade="80"/>
          <w:sz w:val="28"/>
          <w:szCs w:val="28"/>
        </w:rPr>
      </w:pPr>
      <w:r w:rsidRPr="00CB4FDF">
        <w:rPr>
          <w:rFonts w:ascii="Arial" w:hAnsi="Arial" w:cs="Arial"/>
          <w:color w:val="808080" w:themeColor="background1" w:themeShade="80"/>
          <w:sz w:val="28"/>
          <w:szCs w:val="28"/>
        </w:rPr>
        <w:t>TLG-Discussion Paper No. 2</w:t>
      </w:r>
      <w:r w:rsidR="00F164FD" w:rsidRPr="00CB4FDF">
        <w:rPr>
          <w:rFonts w:ascii="Arial" w:hAnsi="Arial" w:cs="Arial"/>
          <w:color w:val="808080" w:themeColor="background1" w:themeShade="80"/>
          <w:sz w:val="28"/>
          <w:szCs w:val="28"/>
        </w:rPr>
        <w:br/>
      </w:r>
      <w:r w:rsidRPr="00CB4FDF">
        <w:rPr>
          <w:rFonts w:ascii="Arial" w:hAnsi="Arial" w:cs="Arial"/>
          <w:color w:val="808080" w:themeColor="background1" w:themeShade="80"/>
          <w:sz w:val="28"/>
          <w:szCs w:val="28"/>
        </w:rPr>
        <w:t>Design Requirements for the Technical Framework</w:t>
      </w:r>
      <w:r w:rsidR="00F164FD" w:rsidRPr="00CB4FDF">
        <w:rPr>
          <w:rFonts w:ascii="Arial" w:hAnsi="Arial" w:cs="Arial"/>
          <w:color w:val="808080" w:themeColor="background1" w:themeShade="80"/>
          <w:sz w:val="28"/>
          <w:szCs w:val="28"/>
        </w:rPr>
        <w:br/>
      </w:r>
      <w:r w:rsidRPr="00CB4FDF">
        <w:rPr>
          <w:rFonts w:ascii="Arial" w:hAnsi="Arial" w:cs="Arial"/>
          <w:color w:val="808080" w:themeColor="background1" w:themeShade="80"/>
          <w:sz w:val="28"/>
          <w:szCs w:val="28"/>
        </w:rPr>
        <w:t>Determination of Unacceptable</w:t>
      </w:r>
      <w:r w:rsidR="00174352" w:rsidRPr="00CB4FDF">
        <w:rPr>
          <w:rFonts w:ascii="Arial" w:hAnsi="Arial" w:cs="Arial"/>
          <w:color w:val="808080" w:themeColor="background1" w:themeShade="80"/>
          <w:sz w:val="28"/>
          <w:szCs w:val="28"/>
        </w:rPr>
        <w:t xml:space="preserve"> Interference / System Models /</w:t>
      </w:r>
      <w:r w:rsidR="00CB4FDF">
        <w:rPr>
          <w:rFonts w:ascii="Arial" w:hAnsi="Arial" w:cs="Arial"/>
          <w:color w:val="808080" w:themeColor="background1" w:themeShade="80"/>
          <w:sz w:val="28"/>
          <w:szCs w:val="28"/>
        </w:rPr>
        <w:t xml:space="preserve"> </w:t>
      </w:r>
      <w:r w:rsidRPr="00CB4FDF">
        <w:rPr>
          <w:rFonts w:ascii="Arial" w:hAnsi="Arial" w:cs="Arial"/>
          <w:color w:val="808080" w:themeColor="background1" w:themeShade="80"/>
          <w:sz w:val="28"/>
          <w:szCs w:val="28"/>
        </w:rPr>
        <w:t>Propagation Models / Levels of Protection / Device</w:t>
      </w:r>
      <w:r w:rsidR="00CB4FDF">
        <w:rPr>
          <w:rFonts w:ascii="Arial" w:hAnsi="Arial" w:cs="Arial"/>
          <w:color w:val="808080" w:themeColor="background1" w:themeShade="80"/>
          <w:sz w:val="28"/>
          <w:szCs w:val="28"/>
        </w:rPr>
        <w:t xml:space="preserve"> </w:t>
      </w:r>
      <w:r w:rsidRPr="00CB4FDF">
        <w:rPr>
          <w:rFonts w:ascii="Arial" w:hAnsi="Arial" w:cs="Arial"/>
          <w:color w:val="808080" w:themeColor="background1" w:themeShade="80"/>
          <w:sz w:val="28"/>
          <w:szCs w:val="28"/>
        </w:rPr>
        <w:t>Boundary Criterion</w:t>
      </w:r>
    </w:p>
    <w:p w:rsidR="00CB4FDF" w:rsidRPr="00F164FD" w:rsidRDefault="00CB4FDF" w:rsidP="009C074A">
      <w:pPr>
        <w:jc w:val="center"/>
        <w:rPr>
          <w:rFonts w:ascii="Arial" w:hAnsi="Arial" w:cs="Arial"/>
          <w:color w:val="0D0D0D" w:themeColor="text1" w:themeTint="F2"/>
        </w:rPr>
      </w:pPr>
    </w:p>
    <w:p w:rsidR="009C074A" w:rsidRPr="00F164FD"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Document Release Information</w:t>
      </w:r>
    </w:p>
    <w:tbl>
      <w:tblPr>
        <w:tblStyle w:val="TableGrid"/>
        <w:tblW w:w="8647" w:type="dxa"/>
        <w:tblInd w:w="108" w:type="dxa"/>
        <w:tblLook w:val="01E0"/>
      </w:tblPr>
      <w:tblGrid>
        <w:gridCol w:w="1371"/>
        <w:gridCol w:w="2173"/>
        <w:gridCol w:w="5103"/>
      </w:tblGrid>
      <w:tr w:rsidR="009C074A" w:rsidRPr="00F164FD" w:rsidTr="00CF2879">
        <w:tc>
          <w:tcPr>
            <w:tcW w:w="1371" w:type="dxa"/>
            <w:shd w:val="clear" w:color="auto" w:fill="D9D9D9" w:themeFill="background1" w:themeFillShade="D9"/>
          </w:tcPr>
          <w:p w:rsidR="009C074A" w:rsidRPr="00CF2879" w:rsidRDefault="009C074A" w:rsidP="004A536A">
            <w:pPr>
              <w:jc w:val="center"/>
              <w:rPr>
                <w:rFonts w:ascii="Arial" w:hAnsi="Arial" w:cs="Arial"/>
                <w:b/>
                <w:color w:val="0D0D0D" w:themeColor="text1" w:themeTint="F2"/>
                <w:sz w:val="20"/>
                <w:szCs w:val="20"/>
              </w:rPr>
            </w:pPr>
            <w:r w:rsidRPr="00CF2879">
              <w:rPr>
                <w:rFonts w:ascii="Arial" w:hAnsi="Arial" w:cs="Arial"/>
                <w:b/>
                <w:color w:val="0D0D0D" w:themeColor="text1" w:themeTint="F2"/>
                <w:sz w:val="20"/>
                <w:szCs w:val="20"/>
              </w:rPr>
              <w:t>Version</w:t>
            </w:r>
          </w:p>
        </w:tc>
        <w:tc>
          <w:tcPr>
            <w:tcW w:w="2173" w:type="dxa"/>
            <w:shd w:val="clear" w:color="auto" w:fill="D9D9D9" w:themeFill="background1" w:themeFillShade="D9"/>
          </w:tcPr>
          <w:p w:rsidR="009C074A" w:rsidRPr="00CF2879" w:rsidRDefault="009C074A" w:rsidP="00CF2879">
            <w:pPr>
              <w:rPr>
                <w:rFonts w:ascii="Arial" w:hAnsi="Arial" w:cs="Arial"/>
                <w:b/>
                <w:color w:val="0D0D0D" w:themeColor="text1" w:themeTint="F2"/>
                <w:sz w:val="20"/>
                <w:szCs w:val="20"/>
              </w:rPr>
            </w:pPr>
            <w:r w:rsidRPr="00CF2879">
              <w:rPr>
                <w:rFonts w:ascii="Arial" w:hAnsi="Arial" w:cs="Arial"/>
                <w:b/>
                <w:color w:val="0D0D0D" w:themeColor="text1" w:themeTint="F2"/>
                <w:sz w:val="20"/>
                <w:szCs w:val="20"/>
              </w:rPr>
              <w:t>Date Released</w:t>
            </w:r>
          </w:p>
        </w:tc>
        <w:tc>
          <w:tcPr>
            <w:tcW w:w="5103" w:type="dxa"/>
            <w:shd w:val="clear" w:color="auto" w:fill="D9D9D9" w:themeFill="background1" w:themeFillShade="D9"/>
          </w:tcPr>
          <w:p w:rsidR="009C074A" w:rsidRPr="00CF2879" w:rsidRDefault="009C074A" w:rsidP="00CF2879">
            <w:pPr>
              <w:rPr>
                <w:rFonts w:ascii="Arial" w:hAnsi="Arial" w:cs="Arial"/>
                <w:b/>
                <w:color w:val="0D0D0D" w:themeColor="text1" w:themeTint="F2"/>
                <w:sz w:val="20"/>
                <w:szCs w:val="20"/>
              </w:rPr>
            </w:pPr>
            <w:r w:rsidRPr="00CF2879">
              <w:rPr>
                <w:rFonts w:ascii="Arial" w:hAnsi="Arial" w:cs="Arial"/>
                <w:b/>
                <w:color w:val="0D0D0D" w:themeColor="text1" w:themeTint="F2"/>
                <w:sz w:val="20"/>
                <w:szCs w:val="20"/>
              </w:rPr>
              <w:t>Remarks</w:t>
            </w:r>
          </w:p>
        </w:tc>
      </w:tr>
      <w:tr w:rsidR="009C074A" w:rsidRPr="00F164FD" w:rsidTr="00CF2879">
        <w:tc>
          <w:tcPr>
            <w:tcW w:w="1371" w:type="dxa"/>
          </w:tcPr>
          <w:p w:rsidR="009C074A" w:rsidRPr="00CF2879" w:rsidRDefault="009C074A" w:rsidP="004A536A">
            <w:pPr>
              <w:jc w:val="center"/>
              <w:rPr>
                <w:rFonts w:ascii="Arial" w:hAnsi="Arial" w:cs="Arial"/>
                <w:color w:val="0D0D0D" w:themeColor="text1" w:themeTint="F2"/>
                <w:sz w:val="20"/>
                <w:szCs w:val="20"/>
              </w:rPr>
            </w:pPr>
            <w:r w:rsidRPr="00CF2879">
              <w:rPr>
                <w:rFonts w:ascii="Arial" w:hAnsi="Arial" w:cs="Arial"/>
                <w:color w:val="0D0D0D" w:themeColor="text1" w:themeTint="F2"/>
                <w:sz w:val="20"/>
                <w:szCs w:val="20"/>
              </w:rPr>
              <w:t>1</w:t>
            </w:r>
          </w:p>
        </w:tc>
        <w:tc>
          <w:tcPr>
            <w:tcW w:w="2173" w:type="dxa"/>
          </w:tcPr>
          <w:p w:rsidR="009C074A" w:rsidRPr="00CF2879" w:rsidRDefault="00405011" w:rsidP="00CF2879">
            <w:pPr>
              <w:rPr>
                <w:rFonts w:ascii="Arial" w:hAnsi="Arial" w:cs="Arial"/>
                <w:color w:val="0D0D0D" w:themeColor="text1" w:themeTint="F2"/>
                <w:sz w:val="20"/>
                <w:szCs w:val="20"/>
              </w:rPr>
            </w:pPr>
            <w:r w:rsidRPr="00CF2879">
              <w:rPr>
                <w:rFonts w:ascii="Arial" w:hAnsi="Arial" w:cs="Arial"/>
                <w:color w:val="0D0D0D" w:themeColor="text1" w:themeTint="F2"/>
                <w:sz w:val="20"/>
                <w:szCs w:val="20"/>
              </w:rPr>
              <w:t>2</w:t>
            </w:r>
            <w:r w:rsidR="00AA6925" w:rsidRPr="00CF2879">
              <w:rPr>
                <w:rFonts w:ascii="Arial" w:hAnsi="Arial" w:cs="Arial"/>
                <w:color w:val="0D0D0D" w:themeColor="text1" w:themeTint="F2"/>
                <w:sz w:val="20"/>
                <w:szCs w:val="20"/>
              </w:rPr>
              <w:t xml:space="preserve"> December</w:t>
            </w:r>
            <w:r w:rsidR="00DB3330" w:rsidRPr="00CF2879">
              <w:rPr>
                <w:rFonts w:ascii="Arial" w:hAnsi="Arial" w:cs="Arial"/>
                <w:color w:val="0D0D0D" w:themeColor="text1" w:themeTint="F2"/>
                <w:sz w:val="20"/>
                <w:szCs w:val="20"/>
              </w:rPr>
              <w:t xml:space="preserve"> 2011</w:t>
            </w:r>
          </w:p>
        </w:tc>
        <w:tc>
          <w:tcPr>
            <w:tcW w:w="5103" w:type="dxa"/>
          </w:tcPr>
          <w:p w:rsidR="009C074A" w:rsidRPr="00CF2879" w:rsidRDefault="009C074A" w:rsidP="00CF2879">
            <w:pPr>
              <w:rPr>
                <w:rFonts w:ascii="Arial" w:hAnsi="Arial" w:cs="Arial"/>
                <w:color w:val="0D0D0D" w:themeColor="text1" w:themeTint="F2"/>
                <w:sz w:val="20"/>
                <w:szCs w:val="20"/>
              </w:rPr>
            </w:pPr>
            <w:r w:rsidRPr="00CF2879">
              <w:rPr>
                <w:rFonts w:ascii="Arial" w:hAnsi="Arial" w:cs="Arial"/>
                <w:color w:val="0D0D0D" w:themeColor="text1" w:themeTint="F2"/>
                <w:sz w:val="20"/>
                <w:szCs w:val="20"/>
              </w:rPr>
              <w:t>Initial Release</w:t>
            </w:r>
          </w:p>
        </w:tc>
      </w:tr>
      <w:tr w:rsidR="009C074A" w:rsidRPr="00F164FD" w:rsidTr="00CF2879">
        <w:tc>
          <w:tcPr>
            <w:tcW w:w="1371" w:type="dxa"/>
          </w:tcPr>
          <w:p w:rsidR="009C074A" w:rsidRPr="00CF2879" w:rsidRDefault="00106AC0" w:rsidP="004A536A">
            <w:pPr>
              <w:jc w:val="center"/>
              <w:rPr>
                <w:rFonts w:ascii="Arial" w:hAnsi="Arial" w:cs="Arial"/>
                <w:color w:val="0D0D0D" w:themeColor="text1" w:themeTint="F2"/>
                <w:sz w:val="20"/>
                <w:szCs w:val="20"/>
              </w:rPr>
            </w:pPr>
            <w:r w:rsidRPr="00CF2879">
              <w:rPr>
                <w:rFonts w:ascii="Arial" w:hAnsi="Arial" w:cs="Arial"/>
                <w:color w:val="0D0D0D" w:themeColor="text1" w:themeTint="F2"/>
                <w:sz w:val="20"/>
                <w:szCs w:val="20"/>
              </w:rPr>
              <w:t>2</w:t>
            </w:r>
          </w:p>
        </w:tc>
        <w:tc>
          <w:tcPr>
            <w:tcW w:w="2173" w:type="dxa"/>
          </w:tcPr>
          <w:p w:rsidR="009C074A" w:rsidRPr="00CF2879" w:rsidRDefault="00D733B0" w:rsidP="00CF2879">
            <w:pPr>
              <w:rPr>
                <w:rFonts w:ascii="Arial" w:hAnsi="Arial" w:cs="Arial"/>
                <w:color w:val="0D0D0D" w:themeColor="text1" w:themeTint="F2"/>
                <w:sz w:val="20"/>
                <w:szCs w:val="20"/>
              </w:rPr>
            </w:pPr>
            <w:r w:rsidRPr="00CF2879">
              <w:rPr>
                <w:rFonts w:ascii="Arial" w:hAnsi="Arial" w:cs="Arial"/>
                <w:color w:val="0D0D0D" w:themeColor="text1" w:themeTint="F2"/>
                <w:sz w:val="20"/>
                <w:szCs w:val="20"/>
              </w:rPr>
              <w:t>16</w:t>
            </w:r>
            <w:r w:rsidR="00106AC0" w:rsidRPr="00CF2879">
              <w:rPr>
                <w:rFonts w:ascii="Arial" w:hAnsi="Arial" w:cs="Arial"/>
                <w:color w:val="0D0D0D" w:themeColor="text1" w:themeTint="F2"/>
                <w:sz w:val="20"/>
                <w:szCs w:val="20"/>
              </w:rPr>
              <w:t xml:space="preserve"> February 2012</w:t>
            </w:r>
          </w:p>
        </w:tc>
        <w:tc>
          <w:tcPr>
            <w:tcW w:w="5103" w:type="dxa"/>
          </w:tcPr>
          <w:p w:rsidR="009C074A" w:rsidRPr="00CF2879" w:rsidRDefault="00106AC0" w:rsidP="00CF2879">
            <w:pPr>
              <w:rPr>
                <w:rFonts w:ascii="Arial" w:hAnsi="Arial" w:cs="Arial"/>
                <w:color w:val="0D0D0D" w:themeColor="text1" w:themeTint="F2"/>
                <w:sz w:val="20"/>
                <w:szCs w:val="20"/>
              </w:rPr>
            </w:pPr>
            <w:r w:rsidRPr="00CF2879">
              <w:rPr>
                <w:rFonts w:ascii="Arial" w:hAnsi="Arial" w:cs="Arial"/>
                <w:color w:val="0D0D0D" w:themeColor="text1" w:themeTint="F2"/>
                <w:sz w:val="20"/>
                <w:szCs w:val="20"/>
              </w:rPr>
              <w:t>Updated as a result of responses to version 1</w:t>
            </w:r>
          </w:p>
        </w:tc>
      </w:tr>
      <w:tr w:rsidR="00A127A0" w:rsidRPr="00F164FD" w:rsidTr="00CF2879">
        <w:tc>
          <w:tcPr>
            <w:tcW w:w="1371" w:type="dxa"/>
          </w:tcPr>
          <w:p w:rsidR="00A127A0" w:rsidRPr="00CF2879" w:rsidRDefault="00A127A0" w:rsidP="004A536A">
            <w:pPr>
              <w:jc w:val="center"/>
              <w:rPr>
                <w:rFonts w:ascii="Arial" w:hAnsi="Arial" w:cs="Arial"/>
                <w:color w:val="0D0D0D" w:themeColor="text1" w:themeTint="F2"/>
                <w:sz w:val="20"/>
                <w:szCs w:val="20"/>
              </w:rPr>
            </w:pPr>
            <w:r w:rsidRPr="00CF2879">
              <w:rPr>
                <w:rFonts w:ascii="Arial" w:hAnsi="Arial" w:cs="Arial"/>
                <w:color w:val="0D0D0D" w:themeColor="text1" w:themeTint="F2"/>
                <w:sz w:val="20"/>
                <w:szCs w:val="20"/>
              </w:rPr>
              <w:t>Final</w:t>
            </w:r>
          </w:p>
        </w:tc>
        <w:tc>
          <w:tcPr>
            <w:tcW w:w="2173" w:type="dxa"/>
          </w:tcPr>
          <w:p w:rsidR="00A127A0" w:rsidRPr="00CF2879" w:rsidRDefault="000150A3" w:rsidP="00CF2879">
            <w:pPr>
              <w:rPr>
                <w:rFonts w:ascii="Arial" w:hAnsi="Arial" w:cs="Arial"/>
                <w:color w:val="0D0D0D" w:themeColor="text1" w:themeTint="F2"/>
                <w:sz w:val="20"/>
                <w:szCs w:val="20"/>
              </w:rPr>
            </w:pPr>
            <w:r w:rsidRPr="00CF2879">
              <w:rPr>
                <w:rFonts w:ascii="Arial" w:hAnsi="Arial" w:cs="Arial"/>
                <w:color w:val="0D0D0D" w:themeColor="text1" w:themeTint="F2"/>
                <w:sz w:val="20"/>
                <w:szCs w:val="20"/>
              </w:rPr>
              <w:t>5 March 2012</w:t>
            </w:r>
          </w:p>
        </w:tc>
        <w:tc>
          <w:tcPr>
            <w:tcW w:w="5103" w:type="dxa"/>
          </w:tcPr>
          <w:p w:rsidR="00A127A0" w:rsidRPr="00CF2879" w:rsidRDefault="00A127A0" w:rsidP="00CF2879">
            <w:pPr>
              <w:rPr>
                <w:rFonts w:ascii="Arial" w:hAnsi="Arial" w:cs="Arial"/>
                <w:color w:val="0D0D0D" w:themeColor="text1" w:themeTint="F2"/>
                <w:sz w:val="20"/>
                <w:szCs w:val="20"/>
              </w:rPr>
            </w:pPr>
            <w:r w:rsidRPr="00CF2879">
              <w:rPr>
                <w:rFonts w:ascii="Arial" w:hAnsi="Arial" w:cs="Arial"/>
                <w:color w:val="0D0D0D" w:themeColor="text1" w:themeTint="F2"/>
                <w:sz w:val="20"/>
                <w:szCs w:val="20"/>
              </w:rPr>
              <w:t>Finalised as a result of responses to version 2</w:t>
            </w:r>
          </w:p>
        </w:tc>
      </w:tr>
    </w:tbl>
    <w:p w:rsidR="009C074A" w:rsidRDefault="009C074A" w:rsidP="009C074A">
      <w:pPr>
        <w:jc w:val="center"/>
        <w:rPr>
          <w:rFonts w:ascii="Arial" w:hAnsi="Arial" w:cs="Arial"/>
          <w:color w:val="0D0D0D" w:themeColor="text1" w:themeTint="F2"/>
          <w:sz w:val="22"/>
          <w:szCs w:val="22"/>
        </w:rPr>
      </w:pPr>
    </w:p>
    <w:p w:rsidR="00CB4FDF" w:rsidRDefault="00CB4FDF">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CB4FDF" w:rsidRPr="00F164FD" w:rsidRDefault="00CB4FDF" w:rsidP="009C074A">
      <w:pPr>
        <w:jc w:val="center"/>
        <w:rPr>
          <w:rFonts w:ascii="Arial" w:hAnsi="Arial" w:cs="Arial"/>
          <w:color w:val="0D0D0D" w:themeColor="text1" w:themeTint="F2"/>
          <w:sz w:val="22"/>
          <w:szCs w:val="22"/>
        </w:rPr>
      </w:pPr>
    </w:p>
    <w:p w:rsidR="009C074A" w:rsidRPr="00F164FD" w:rsidRDefault="009C074A" w:rsidP="009C074A">
      <w:pPr>
        <w:pStyle w:val="Heading2"/>
        <w:rPr>
          <w:rFonts w:ascii="Arial" w:hAnsi="Arial" w:cs="Arial"/>
          <w:color w:val="0D0D0D" w:themeColor="text1" w:themeTint="F2"/>
        </w:rPr>
      </w:pPr>
      <w:r w:rsidRPr="00F164FD">
        <w:rPr>
          <w:rFonts w:ascii="Arial" w:hAnsi="Arial" w:cs="Arial"/>
          <w:color w:val="0D0D0D" w:themeColor="text1" w:themeTint="F2"/>
        </w:rPr>
        <w:t>1</w:t>
      </w:r>
      <w:r w:rsidRPr="00F164FD">
        <w:rPr>
          <w:rFonts w:ascii="Arial" w:hAnsi="Arial" w:cs="Arial"/>
          <w:color w:val="0D0D0D" w:themeColor="text1" w:themeTint="F2"/>
        </w:rPr>
        <w:tab/>
        <w:t>Background</w:t>
      </w:r>
    </w:p>
    <w:p w:rsidR="009C074A" w:rsidRPr="00F164FD"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This discussion paper deals with the parts of the technical framework that appear in the </w:t>
      </w:r>
      <w:r w:rsidR="001F0E24" w:rsidRPr="00F164FD">
        <w:rPr>
          <w:rFonts w:ascii="Arial" w:hAnsi="Arial" w:cs="Arial"/>
          <w:color w:val="0D0D0D" w:themeColor="text1" w:themeTint="F2"/>
          <w:sz w:val="22"/>
          <w:szCs w:val="22"/>
        </w:rPr>
        <w:t xml:space="preserve">section </w:t>
      </w:r>
      <w:r w:rsidRPr="00F164FD">
        <w:rPr>
          <w:rFonts w:ascii="Arial" w:hAnsi="Arial" w:cs="Arial"/>
          <w:color w:val="0D0D0D" w:themeColor="text1" w:themeTint="F2"/>
          <w:sz w:val="22"/>
          <w:szCs w:val="22"/>
        </w:rPr>
        <w:t xml:space="preserve">145 Determination of </w:t>
      </w:r>
      <w:r w:rsidR="001F0E24" w:rsidRPr="00F164FD">
        <w:rPr>
          <w:rFonts w:ascii="Arial" w:hAnsi="Arial" w:cs="Arial"/>
          <w:color w:val="0D0D0D" w:themeColor="text1" w:themeTint="F2"/>
          <w:sz w:val="22"/>
          <w:szCs w:val="22"/>
        </w:rPr>
        <w:t>unacceptable interference</w:t>
      </w:r>
      <w:r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Section 145 of the </w:t>
      </w:r>
      <w:r w:rsidRPr="00F164FD">
        <w:rPr>
          <w:rFonts w:ascii="Arial" w:hAnsi="Arial" w:cs="Arial"/>
          <w:i/>
          <w:color w:val="0D0D0D" w:themeColor="text1" w:themeTint="F2"/>
          <w:sz w:val="22"/>
          <w:szCs w:val="22"/>
        </w:rPr>
        <w:t>Radiocommunications Act 1992</w:t>
      </w:r>
      <w:r w:rsidR="008D279D" w:rsidRPr="00F164FD">
        <w:rPr>
          <w:rFonts w:ascii="Arial" w:hAnsi="Arial" w:cs="Arial"/>
          <w:i/>
          <w:color w:val="0D0D0D" w:themeColor="text1" w:themeTint="F2"/>
          <w:sz w:val="22"/>
          <w:szCs w:val="22"/>
        </w:rPr>
        <w:t xml:space="preserve"> (</w:t>
      </w:r>
      <w:r w:rsidR="003908F8" w:rsidRPr="00F164FD">
        <w:rPr>
          <w:rFonts w:ascii="Arial" w:hAnsi="Arial" w:cs="Arial"/>
          <w:color w:val="0D0D0D" w:themeColor="text1" w:themeTint="F2"/>
          <w:sz w:val="22"/>
          <w:szCs w:val="22"/>
        </w:rPr>
        <w:t>the Act</w:t>
      </w:r>
      <w:r w:rsidR="008D279D" w:rsidRPr="00F164FD">
        <w:rPr>
          <w:rFonts w:ascii="Arial" w:hAnsi="Arial" w:cs="Arial"/>
          <w:i/>
          <w:color w:val="0D0D0D" w:themeColor="text1" w:themeTint="F2"/>
          <w:sz w:val="22"/>
          <w:szCs w:val="22"/>
        </w:rPr>
        <w:t>)</w:t>
      </w:r>
      <w:r w:rsidRPr="00F164FD">
        <w:rPr>
          <w:rFonts w:ascii="Arial" w:hAnsi="Arial" w:cs="Arial"/>
          <w:color w:val="0D0D0D" w:themeColor="text1" w:themeTint="F2"/>
          <w:sz w:val="22"/>
          <w:szCs w:val="22"/>
        </w:rPr>
        <w:t>, is located in Part 3.5 of</w:t>
      </w:r>
      <w:r w:rsidRPr="00F164FD">
        <w:rPr>
          <w:rFonts w:ascii="Arial" w:hAnsi="Arial" w:cs="Arial"/>
          <w:i/>
          <w:color w:val="0D0D0D" w:themeColor="text1" w:themeTint="F2"/>
          <w:sz w:val="22"/>
          <w:szCs w:val="22"/>
        </w:rPr>
        <w:t xml:space="preserve"> </w:t>
      </w:r>
      <w:r w:rsidR="003908F8" w:rsidRPr="00F164FD">
        <w:rPr>
          <w:rFonts w:ascii="Arial" w:hAnsi="Arial" w:cs="Arial"/>
          <w:color w:val="0D0D0D" w:themeColor="text1" w:themeTint="F2"/>
          <w:sz w:val="22"/>
          <w:szCs w:val="22"/>
        </w:rPr>
        <w:t>the Act</w:t>
      </w:r>
      <w:r w:rsidRPr="00F164FD">
        <w:rPr>
          <w:rFonts w:ascii="Arial" w:hAnsi="Arial" w:cs="Arial"/>
          <w:i/>
          <w:color w:val="0D0D0D" w:themeColor="text1" w:themeTint="F2"/>
          <w:sz w:val="22"/>
          <w:szCs w:val="22"/>
        </w:rPr>
        <w:t>.</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This Part of </w:t>
      </w:r>
      <w:r w:rsidR="003908F8" w:rsidRPr="00F164FD">
        <w:rPr>
          <w:rFonts w:ascii="Arial" w:hAnsi="Arial" w:cs="Arial"/>
          <w:color w:val="0D0D0D" w:themeColor="text1" w:themeTint="F2"/>
          <w:sz w:val="22"/>
          <w:szCs w:val="22"/>
        </w:rPr>
        <w:t>the Act</w:t>
      </w:r>
      <w:r w:rsidRPr="00F164FD">
        <w:rPr>
          <w:rFonts w:ascii="Arial" w:hAnsi="Arial" w:cs="Arial"/>
          <w:color w:val="0D0D0D" w:themeColor="text1" w:themeTint="F2"/>
          <w:sz w:val="22"/>
          <w:szCs w:val="22"/>
        </w:rPr>
        <w:t xml:space="preserve"> deals with the registration of radiocommunications licences, and the details that must be recorded in the register of radiocommunications licenses </w:t>
      </w:r>
      <w:r w:rsidR="00705B25" w:rsidRPr="00F164FD">
        <w:rPr>
          <w:rFonts w:ascii="Arial" w:hAnsi="Arial" w:cs="Arial"/>
          <w:color w:val="0D0D0D" w:themeColor="text1" w:themeTint="F2"/>
          <w:sz w:val="22"/>
          <w:szCs w:val="22"/>
        </w:rPr>
        <w:t xml:space="preserve">(RRL) </w:t>
      </w:r>
      <w:r w:rsidRPr="00F164FD">
        <w:rPr>
          <w:rFonts w:ascii="Arial" w:hAnsi="Arial" w:cs="Arial"/>
          <w:color w:val="0D0D0D" w:themeColor="text1" w:themeTint="F2"/>
          <w:sz w:val="22"/>
          <w:szCs w:val="22"/>
        </w:rPr>
        <w:t>for the authorisation of the use of a radiocommunications transmitter.</w:t>
      </w:r>
      <w:r w:rsidR="000F43A0" w:rsidRPr="00F164FD">
        <w:rPr>
          <w:rFonts w:ascii="Arial" w:hAnsi="Arial" w:cs="Arial"/>
          <w:color w:val="0D0D0D" w:themeColor="text1" w:themeTint="F2"/>
          <w:sz w:val="22"/>
          <w:szCs w:val="22"/>
        </w:rPr>
        <w:t xml:space="preserve"> </w:t>
      </w:r>
    </w:p>
    <w:p w:rsidR="009C074A" w:rsidRPr="00F164FD" w:rsidRDefault="009C074A" w:rsidP="009C074A">
      <w:pPr>
        <w:rPr>
          <w:rFonts w:ascii="Arial" w:hAnsi="Arial" w:cs="Arial"/>
          <w:color w:val="0D0D0D" w:themeColor="text1" w:themeTint="F2"/>
          <w:sz w:val="22"/>
          <w:szCs w:val="22"/>
        </w:rPr>
      </w:pPr>
    </w:p>
    <w:p w:rsidR="009C074A" w:rsidRPr="00F164FD"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Section 145 of </w:t>
      </w:r>
      <w:r w:rsidR="003908F8" w:rsidRPr="00F164FD">
        <w:rPr>
          <w:rFonts w:ascii="Arial" w:hAnsi="Arial" w:cs="Arial"/>
          <w:color w:val="0D0D0D" w:themeColor="text1" w:themeTint="F2"/>
          <w:sz w:val="22"/>
          <w:szCs w:val="22"/>
        </w:rPr>
        <w:t>the Act</w:t>
      </w:r>
      <w:r w:rsidRPr="00F164FD">
        <w:rPr>
          <w:rFonts w:ascii="Arial" w:hAnsi="Arial" w:cs="Arial"/>
          <w:color w:val="0D0D0D" w:themeColor="text1" w:themeTint="F2"/>
          <w:sz w:val="22"/>
          <w:szCs w:val="22"/>
        </w:rPr>
        <w:t xml:space="preserve"> authorises the Australian Communications and Media Authority (ACMA) to refuse registration of a transmitter for operation under a spectrum licence if the ACMA is satisfied that the operation of the transmitter could cause unacceptable interference to the licensed operation of other radiocommunications devices.</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Sub</w:t>
      </w:r>
      <w:r w:rsidR="005806C3"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section 4 of </w:t>
      </w:r>
      <w:r w:rsidR="00AE579A" w:rsidRPr="00F164FD">
        <w:rPr>
          <w:rFonts w:ascii="Arial" w:hAnsi="Arial" w:cs="Arial"/>
          <w:color w:val="0D0D0D" w:themeColor="text1" w:themeTint="F2"/>
          <w:sz w:val="22"/>
          <w:szCs w:val="22"/>
        </w:rPr>
        <w:t xml:space="preserve">section </w:t>
      </w:r>
      <w:r w:rsidRPr="00F164FD">
        <w:rPr>
          <w:rFonts w:ascii="Arial" w:hAnsi="Arial" w:cs="Arial"/>
          <w:color w:val="0D0D0D" w:themeColor="text1" w:themeTint="F2"/>
          <w:sz w:val="22"/>
          <w:szCs w:val="22"/>
        </w:rPr>
        <w:t xml:space="preserve">145 </w:t>
      </w:r>
      <w:r w:rsidR="00AE579A" w:rsidRPr="00F164FD">
        <w:rPr>
          <w:rFonts w:ascii="Arial" w:hAnsi="Arial" w:cs="Arial"/>
          <w:color w:val="0D0D0D" w:themeColor="text1" w:themeTint="F2"/>
          <w:sz w:val="22"/>
          <w:szCs w:val="22"/>
        </w:rPr>
        <w:t xml:space="preserve">of the Act states </w:t>
      </w:r>
      <w:r w:rsidRPr="00F164FD">
        <w:rPr>
          <w:rFonts w:ascii="Arial" w:hAnsi="Arial" w:cs="Arial"/>
          <w:color w:val="0D0D0D" w:themeColor="text1" w:themeTint="F2"/>
          <w:sz w:val="22"/>
          <w:szCs w:val="22"/>
        </w:rPr>
        <w:t xml:space="preserve">that the ACMA may determine, by written instrument, what are unacceptable levels of interference for the purposes of refusing to register </w:t>
      </w:r>
      <w:r w:rsidR="00AE579A" w:rsidRPr="00F164FD">
        <w:rPr>
          <w:rFonts w:ascii="Arial" w:hAnsi="Arial" w:cs="Arial"/>
          <w:color w:val="0D0D0D" w:themeColor="text1" w:themeTint="F2"/>
          <w:sz w:val="22"/>
          <w:szCs w:val="22"/>
        </w:rPr>
        <w:t xml:space="preserve">devices </w:t>
      </w:r>
      <w:r w:rsidRPr="00F164FD">
        <w:rPr>
          <w:rFonts w:ascii="Arial" w:hAnsi="Arial" w:cs="Arial"/>
          <w:color w:val="0D0D0D" w:themeColor="text1" w:themeTint="F2"/>
          <w:sz w:val="22"/>
          <w:szCs w:val="22"/>
        </w:rPr>
        <w:t>under a spectrum licence.</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The </w:t>
      </w:r>
      <w:r w:rsidR="00B90F51" w:rsidRPr="00F164FD">
        <w:rPr>
          <w:rFonts w:ascii="Arial" w:hAnsi="Arial" w:cs="Arial"/>
          <w:i/>
          <w:color w:val="0D0D0D" w:themeColor="text1" w:themeTint="F2"/>
          <w:sz w:val="22"/>
          <w:szCs w:val="22"/>
        </w:rPr>
        <w:t>Radiocommunications (Unacceptable Levels of Interference -700 MHz Band) Determination</w:t>
      </w:r>
      <w:r w:rsidRPr="00F164FD">
        <w:rPr>
          <w:rFonts w:ascii="Arial" w:hAnsi="Arial" w:cs="Arial"/>
          <w:color w:val="0D0D0D" w:themeColor="text1" w:themeTint="F2"/>
          <w:sz w:val="22"/>
          <w:szCs w:val="22"/>
        </w:rPr>
        <w:t xml:space="preserve">, made under </w:t>
      </w:r>
      <w:r w:rsidR="00AE579A" w:rsidRPr="00F164FD">
        <w:rPr>
          <w:rFonts w:ascii="Arial" w:hAnsi="Arial" w:cs="Arial"/>
          <w:color w:val="0D0D0D" w:themeColor="text1" w:themeTint="F2"/>
          <w:sz w:val="22"/>
          <w:szCs w:val="22"/>
        </w:rPr>
        <w:t xml:space="preserve">section </w:t>
      </w:r>
      <w:r w:rsidRPr="00F164FD">
        <w:rPr>
          <w:rFonts w:ascii="Arial" w:hAnsi="Arial" w:cs="Arial"/>
          <w:color w:val="0D0D0D" w:themeColor="text1" w:themeTint="F2"/>
          <w:sz w:val="22"/>
          <w:szCs w:val="22"/>
        </w:rPr>
        <w:t>145, is that written instrument.</w:t>
      </w:r>
      <w:r w:rsidR="000F43A0" w:rsidRPr="00F164FD">
        <w:rPr>
          <w:rFonts w:ascii="Arial" w:hAnsi="Arial" w:cs="Arial"/>
          <w:color w:val="0D0D0D" w:themeColor="text1" w:themeTint="F2"/>
          <w:sz w:val="22"/>
          <w:szCs w:val="22"/>
        </w:rPr>
        <w:t xml:space="preserve"> </w:t>
      </w:r>
    </w:p>
    <w:p w:rsidR="009C074A" w:rsidRPr="00F164FD" w:rsidRDefault="009C074A" w:rsidP="009C074A">
      <w:pPr>
        <w:rPr>
          <w:rFonts w:ascii="Arial" w:hAnsi="Arial" w:cs="Arial"/>
          <w:color w:val="0D0D0D" w:themeColor="text1" w:themeTint="F2"/>
          <w:sz w:val="22"/>
          <w:szCs w:val="22"/>
        </w:rPr>
      </w:pPr>
    </w:p>
    <w:p w:rsidR="009C074A" w:rsidRPr="00F164FD"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w:t>
      </w:r>
      <w:r w:rsidR="001F0E24" w:rsidRPr="00F164FD">
        <w:rPr>
          <w:rFonts w:ascii="Arial" w:hAnsi="Arial" w:cs="Arial"/>
          <w:color w:val="0D0D0D" w:themeColor="text1" w:themeTint="F2"/>
          <w:sz w:val="22"/>
          <w:szCs w:val="22"/>
        </w:rPr>
        <w:t xml:space="preserve">section </w:t>
      </w:r>
      <w:r w:rsidRPr="00F164FD">
        <w:rPr>
          <w:rFonts w:ascii="Arial" w:hAnsi="Arial" w:cs="Arial"/>
          <w:color w:val="0D0D0D" w:themeColor="text1" w:themeTint="F2"/>
          <w:sz w:val="22"/>
          <w:szCs w:val="22"/>
        </w:rPr>
        <w:t>145 determination is used by the ACMA to set out device registration requirements.</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These typically include a requirement that </w:t>
      </w:r>
      <w:r w:rsidR="003908F8" w:rsidRPr="00F164FD">
        <w:rPr>
          <w:rFonts w:ascii="Arial" w:hAnsi="Arial" w:cs="Arial"/>
          <w:color w:val="0D0D0D" w:themeColor="text1" w:themeTint="F2"/>
          <w:sz w:val="22"/>
          <w:szCs w:val="22"/>
        </w:rPr>
        <w:t xml:space="preserve">the operation of a transmitter must not result in a breach of a core condition of the licence relating to maximum permitted levels of radio emissions outside the frequency band of the licence or the geographic area of the licence and that </w:t>
      </w:r>
      <w:r w:rsidRPr="00F164FD">
        <w:rPr>
          <w:rFonts w:ascii="Arial" w:hAnsi="Arial" w:cs="Arial"/>
          <w:color w:val="0D0D0D" w:themeColor="text1" w:themeTint="F2"/>
          <w:sz w:val="22"/>
          <w:szCs w:val="22"/>
        </w:rPr>
        <w:t>the device boundary of a registered transmitter - calculated using a device boundary criterion - must lie within the geographic boundary of the licence.</w:t>
      </w:r>
    </w:p>
    <w:p w:rsidR="00F164FD" w:rsidRPr="00F164FD" w:rsidRDefault="00F164FD" w:rsidP="009C074A">
      <w:pPr>
        <w:rPr>
          <w:rFonts w:ascii="Arial" w:hAnsi="Arial" w:cs="Arial"/>
          <w:color w:val="0D0D0D" w:themeColor="text1" w:themeTint="F2"/>
          <w:sz w:val="22"/>
          <w:szCs w:val="22"/>
        </w:rPr>
      </w:pPr>
    </w:p>
    <w:p w:rsidR="009C074A" w:rsidRPr="00F164FD"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w:t>
      </w:r>
      <w:r w:rsidR="001F0E24" w:rsidRPr="00F164FD">
        <w:rPr>
          <w:rFonts w:ascii="Arial" w:hAnsi="Arial" w:cs="Arial"/>
          <w:color w:val="0D0D0D" w:themeColor="text1" w:themeTint="F2"/>
          <w:sz w:val="22"/>
          <w:szCs w:val="22"/>
        </w:rPr>
        <w:t xml:space="preserve">section </w:t>
      </w:r>
      <w:r w:rsidRPr="00F164FD">
        <w:rPr>
          <w:rFonts w:ascii="Arial" w:hAnsi="Arial" w:cs="Arial"/>
          <w:color w:val="0D0D0D" w:themeColor="text1" w:themeTint="F2"/>
          <w:sz w:val="22"/>
          <w:szCs w:val="22"/>
        </w:rPr>
        <w:t xml:space="preserve">145 determination can also be used to reinforce arrangements that </w:t>
      </w:r>
      <w:r w:rsidR="00AE579A" w:rsidRPr="00F164FD">
        <w:rPr>
          <w:rFonts w:ascii="Arial" w:hAnsi="Arial" w:cs="Arial"/>
          <w:color w:val="0D0D0D" w:themeColor="text1" w:themeTint="F2"/>
          <w:sz w:val="22"/>
          <w:szCs w:val="22"/>
        </w:rPr>
        <w:t xml:space="preserve">permit </w:t>
      </w:r>
      <w:r w:rsidRPr="00F164FD">
        <w:rPr>
          <w:rFonts w:ascii="Arial" w:hAnsi="Arial" w:cs="Arial"/>
          <w:color w:val="0D0D0D" w:themeColor="text1" w:themeTint="F2"/>
          <w:sz w:val="22"/>
          <w:szCs w:val="22"/>
        </w:rPr>
        <w:t>the operation of low power mobile devices such as hand held devices or low power indoor fixed devices without registration</w:t>
      </w:r>
      <w:r w:rsidRPr="00F164FD">
        <w:rPr>
          <w:rStyle w:val="FootnoteReference"/>
          <w:rFonts w:ascii="Arial" w:hAnsi="Arial" w:cs="Arial"/>
          <w:color w:val="0D0D0D" w:themeColor="text1" w:themeTint="F2"/>
          <w:sz w:val="22"/>
          <w:szCs w:val="22"/>
        </w:rPr>
        <w:footnoteReference w:id="1"/>
      </w:r>
      <w:r w:rsidRPr="00F164FD">
        <w:rPr>
          <w:rFonts w:ascii="Arial" w:hAnsi="Arial" w:cs="Arial"/>
          <w:color w:val="0D0D0D" w:themeColor="text1" w:themeTint="F2"/>
          <w:sz w:val="22"/>
          <w:szCs w:val="22"/>
        </w:rPr>
        <w:t xml:space="preserve"> by declaring them not to cause unacceptable interference</w:t>
      </w:r>
      <w:r w:rsidR="00AE579A" w:rsidRPr="00F164FD">
        <w:rPr>
          <w:rFonts w:ascii="Arial" w:hAnsi="Arial" w:cs="Arial"/>
          <w:color w:val="0D0D0D" w:themeColor="text1" w:themeTint="F2"/>
          <w:sz w:val="22"/>
          <w:szCs w:val="22"/>
        </w:rPr>
        <w:t xml:space="preserve"> if they comply with specific conditions</w:t>
      </w:r>
      <w:r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The </w:t>
      </w:r>
      <w:r w:rsidR="001F0E24" w:rsidRPr="00F164FD">
        <w:rPr>
          <w:rFonts w:ascii="Arial" w:hAnsi="Arial" w:cs="Arial"/>
          <w:color w:val="0D0D0D" w:themeColor="text1" w:themeTint="F2"/>
          <w:sz w:val="22"/>
          <w:szCs w:val="22"/>
        </w:rPr>
        <w:t xml:space="preserve">section </w:t>
      </w:r>
      <w:r w:rsidRPr="00F164FD">
        <w:rPr>
          <w:rFonts w:ascii="Arial" w:hAnsi="Arial" w:cs="Arial"/>
          <w:color w:val="0D0D0D" w:themeColor="text1" w:themeTint="F2"/>
          <w:sz w:val="22"/>
          <w:szCs w:val="22"/>
        </w:rPr>
        <w:t>145 determination is also used to set out arrangements for group registration of similar transmitters.</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Group registration and arrangements for low power devices reduce costs and r</w:t>
      </w:r>
      <w:r w:rsidR="00F164FD">
        <w:rPr>
          <w:rFonts w:ascii="Arial" w:hAnsi="Arial" w:cs="Arial"/>
          <w:color w:val="0D0D0D" w:themeColor="text1" w:themeTint="F2"/>
          <w:sz w:val="22"/>
          <w:szCs w:val="22"/>
        </w:rPr>
        <w:t>ecords management requirements.</w:t>
      </w:r>
    </w:p>
    <w:p w:rsidR="009C074A" w:rsidRPr="00F164FD" w:rsidRDefault="009C074A" w:rsidP="009C074A">
      <w:pPr>
        <w:pStyle w:val="Heading2"/>
        <w:rPr>
          <w:rFonts w:ascii="Arial" w:hAnsi="Arial" w:cs="Arial"/>
          <w:color w:val="0D0D0D" w:themeColor="text1" w:themeTint="F2"/>
        </w:rPr>
      </w:pPr>
      <w:r w:rsidRPr="00F164FD">
        <w:rPr>
          <w:rFonts w:ascii="Arial" w:hAnsi="Arial" w:cs="Arial"/>
          <w:color w:val="0D0D0D" w:themeColor="text1" w:themeTint="F2"/>
        </w:rPr>
        <w:t>2</w:t>
      </w:r>
      <w:r w:rsidRPr="00F164FD">
        <w:rPr>
          <w:rFonts w:ascii="Arial" w:hAnsi="Arial" w:cs="Arial"/>
          <w:color w:val="0D0D0D" w:themeColor="text1" w:themeTint="F2"/>
        </w:rPr>
        <w:tab/>
        <w:t>Introduction</w:t>
      </w:r>
    </w:p>
    <w:p w:rsidR="009C074A" w:rsidRPr="00F164FD" w:rsidRDefault="009C074A" w:rsidP="009C074A">
      <w:pPr>
        <w:keepNext/>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This discussion paper looks in detail at the following items of the technical framework that are used to develop the </w:t>
      </w:r>
      <w:r w:rsidR="00AE579A" w:rsidRPr="00F164FD">
        <w:rPr>
          <w:rFonts w:ascii="Arial" w:hAnsi="Arial" w:cs="Arial"/>
          <w:color w:val="0D0D0D" w:themeColor="text1" w:themeTint="F2"/>
          <w:sz w:val="22"/>
          <w:szCs w:val="22"/>
        </w:rPr>
        <w:t xml:space="preserve">section </w:t>
      </w:r>
      <w:r w:rsidRPr="00F164FD">
        <w:rPr>
          <w:rFonts w:ascii="Arial" w:hAnsi="Arial" w:cs="Arial"/>
          <w:color w:val="0D0D0D" w:themeColor="text1" w:themeTint="F2"/>
          <w:sz w:val="22"/>
          <w:szCs w:val="22"/>
        </w:rPr>
        <w:t>145 determination;</w:t>
      </w:r>
    </w:p>
    <w:p w:rsidR="009C074A" w:rsidRPr="00F164FD" w:rsidRDefault="009C074A" w:rsidP="00F164FD">
      <w:pPr>
        <w:numPr>
          <w:ilvl w:val="0"/>
          <w:numId w:val="17"/>
        </w:numPr>
        <w:tabs>
          <w:tab w:val="clear" w:pos="720"/>
        </w:tabs>
        <w:spacing w:before="60"/>
        <w:ind w:left="426"/>
        <w:rPr>
          <w:rFonts w:ascii="Arial" w:hAnsi="Arial" w:cs="Arial"/>
          <w:color w:val="0D0D0D" w:themeColor="text1" w:themeTint="F2"/>
          <w:sz w:val="22"/>
          <w:szCs w:val="22"/>
        </w:rPr>
      </w:pPr>
      <w:r w:rsidRPr="00F164FD">
        <w:rPr>
          <w:rFonts w:ascii="Arial" w:hAnsi="Arial" w:cs="Arial"/>
          <w:color w:val="0D0D0D" w:themeColor="text1" w:themeTint="F2"/>
          <w:sz w:val="22"/>
          <w:szCs w:val="22"/>
        </w:rPr>
        <w:t>system models;</w:t>
      </w:r>
    </w:p>
    <w:p w:rsidR="009C074A" w:rsidRPr="00F164FD" w:rsidRDefault="009C074A" w:rsidP="00F164FD">
      <w:pPr>
        <w:numPr>
          <w:ilvl w:val="0"/>
          <w:numId w:val="17"/>
        </w:numPr>
        <w:tabs>
          <w:tab w:val="clear" w:pos="720"/>
        </w:tabs>
        <w:spacing w:before="60"/>
        <w:ind w:left="426"/>
        <w:rPr>
          <w:rFonts w:ascii="Arial" w:hAnsi="Arial" w:cs="Arial"/>
          <w:color w:val="0D0D0D" w:themeColor="text1" w:themeTint="F2"/>
          <w:sz w:val="22"/>
          <w:szCs w:val="22"/>
        </w:rPr>
      </w:pPr>
      <w:r w:rsidRPr="00F164FD">
        <w:rPr>
          <w:rFonts w:ascii="Arial" w:hAnsi="Arial" w:cs="Arial"/>
          <w:color w:val="0D0D0D" w:themeColor="text1" w:themeTint="F2"/>
          <w:sz w:val="22"/>
          <w:szCs w:val="22"/>
        </w:rPr>
        <w:t>propagation modelling;</w:t>
      </w:r>
    </w:p>
    <w:p w:rsidR="009C074A" w:rsidRPr="00F164FD" w:rsidRDefault="009C074A" w:rsidP="00F164FD">
      <w:pPr>
        <w:numPr>
          <w:ilvl w:val="0"/>
          <w:numId w:val="17"/>
        </w:numPr>
        <w:tabs>
          <w:tab w:val="clear" w:pos="720"/>
        </w:tabs>
        <w:spacing w:before="60"/>
        <w:ind w:left="426"/>
        <w:rPr>
          <w:rFonts w:ascii="Arial" w:hAnsi="Arial" w:cs="Arial"/>
          <w:color w:val="0D0D0D" w:themeColor="text1" w:themeTint="F2"/>
          <w:sz w:val="22"/>
          <w:szCs w:val="22"/>
        </w:rPr>
      </w:pPr>
      <w:r w:rsidRPr="00F164FD">
        <w:rPr>
          <w:rFonts w:ascii="Arial" w:hAnsi="Arial" w:cs="Arial"/>
          <w:color w:val="0D0D0D" w:themeColor="text1" w:themeTint="F2"/>
          <w:sz w:val="22"/>
          <w:szCs w:val="22"/>
        </w:rPr>
        <w:t>level of protection;</w:t>
      </w:r>
    </w:p>
    <w:p w:rsidR="009C074A" w:rsidRPr="00F164FD" w:rsidRDefault="009C074A" w:rsidP="00F164FD">
      <w:pPr>
        <w:numPr>
          <w:ilvl w:val="0"/>
          <w:numId w:val="17"/>
        </w:numPr>
        <w:tabs>
          <w:tab w:val="clear" w:pos="720"/>
        </w:tabs>
        <w:spacing w:before="60"/>
        <w:ind w:left="426"/>
        <w:rPr>
          <w:rFonts w:ascii="Arial" w:hAnsi="Arial" w:cs="Arial"/>
          <w:color w:val="0D0D0D" w:themeColor="text1" w:themeTint="F2"/>
          <w:sz w:val="22"/>
          <w:szCs w:val="22"/>
        </w:rPr>
      </w:pPr>
      <w:r w:rsidRPr="00F164FD">
        <w:rPr>
          <w:rFonts w:ascii="Arial" w:hAnsi="Arial" w:cs="Arial"/>
          <w:color w:val="0D0D0D" w:themeColor="text1" w:themeTint="F2"/>
          <w:sz w:val="22"/>
          <w:szCs w:val="22"/>
        </w:rPr>
        <w:t>device boundary criteria; and</w:t>
      </w:r>
    </w:p>
    <w:p w:rsidR="009C074A" w:rsidRPr="00F164FD" w:rsidRDefault="009C074A" w:rsidP="00F164FD">
      <w:pPr>
        <w:numPr>
          <w:ilvl w:val="0"/>
          <w:numId w:val="17"/>
        </w:numPr>
        <w:tabs>
          <w:tab w:val="clear" w:pos="720"/>
        </w:tabs>
        <w:spacing w:before="60"/>
        <w:ind w:left="426"/>
        <w:rPr>
          <w:rFonts w:ascii="Arial" w:hAnsi="Arial" w:cs="Arial"/>
          <w:color w:val="0D0D0D" w:themeColor="text1" w:themeTint="F2"/>
          <w:sz w:val="22"/>
          <w:szCs w:val="22"/>
        </w:rPr>
      </w:pPr>
      <w:proofErr w:type="gramStart"/>
      <w:r w:rsidRPr="00F164FD">
        <w:rPr>
          <w:rFonts w:ascii="Arial" w:hAnsi="Arial" w:cs="Arial"/>
          <w:color w:val="0D0D0D" w:themeColor="text1" w:themeTint="F2"/>
          <w:sz w:val="22"/>
          <w:szCs w:val="22"/>
        </w:rPr>
        <w:t>other</w:t>
      </w:r>
      <w:proofErr w:type="gramEnd"/>
      <w:r w:rsidRPr="00F164FD">
        <w:rPr>
          <w:rFonts w:ascii="Arial" w:hAnsi="Arial" w:cs="Arial"/>
          <w:color w:val="0D0D0D" w:themeColor="text1" w:themeTint="F2"/>
          <w:sz w:val="22"/>
          <w:szCs w:val="22"/>
        </w:rPr>
        <w:t xml:space="preserve"> device registration arrangements.</w:t>
      </w:r>
    </w:p>
    <w:p w:rsidR="009C074A" w:rsidRPr="00F164FD" w:rsidRDefault="009C074A" w:rsidP="009C074A">
      <w:pPr>
        <w:spacing w:before="60"/>
        <w:ind w:left="357"/>
        <w:rPr>
          <w:rFonts w:ascii="Arial" w:hAnsi="Arial" w:cs="Arial"/>
          <w:color w:val="0D0D0D" w:themeColor="text1" w:themeTint="F2"/>
          <w:sz w:val="22"/>
          <w:szCs w:val="22"/>
        </w:rPr>
      </w:pPr>
    </w:p>
    <w:p w:rsidR="009C074A" w:rsidRPr="00F164FD"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Each of these items will be considered by examining overseas </w:t>
      </w:r>
      <w:r w:rsidR="00704125" w:rsidRPr="00F164FD">
        <w:rPr>
          <w:rFonts w:ascii="Arial" w:hAnsi="Arial" w:cs="Arial"/>
          <w:color w:val="0D0D0D" w:themeColor="text1" w:themeTint="F2"/>
          <w:sz w:val="22"/>
          <w:szCs w:val="22"/>
        </w:rPr>
        <w:t xml:space="preserve">arrangements, </w:t>
      </w:r>
      <w:r w:rsidR="00FE54FE" w:rsidRPr="00F164FD">
        <w:rPr>
          <w:rFonts w:ascii="Arial" w:hAnsi="Arial" w:cs="Arial"/>
          <w:color w:val="0D0D0D" w:themeColor="text1" w:themeTint="F2"/>
          <w:sz w:val="22"/>
          <w:szCs w:val="22"/>
        </w:rPr>
        <w:t xml:space="preserve">arrangements in other spectrum licensed bands </w:t>
      </w:r>
      <w:r w:rsidRPr="00F164FD">
        <w:rPr>
          <w:rFonts w:ascii="Arial" w:hAnsi="Arial" w:cs="Arial"/>
          <w:color w:val="0D0D0D" w:themeColor="text1" w:themeTint="F2"/>
          <w:sz w:val="22"/>
          <w:szCs w:val="22"/>
        </w:rPr>
        <w:t xml:space="preserve">and the proposed </w:t>
      </w:r>
      <w:r w:rsidR="00704125" w:rsidRPr="00F164FD">
        <w:rPr>
          <w:rFonts w:ascii="Arial" w:hAnsi="Arial" w:cs="Arial"/>
          <w:color w:val="0D0D0D" w:themeColor="text1" w:themeTint="F2"/>
          <w:sz w:val="22"/>
          <w:szCs w:val="22"/>
        </w:rPr>
        <w:t>arrangements to support Wireless Access Services under t</w:t>
      </w:r>
      <w:r w:rsidRPr="00F164FD">
        <w:rPr>
          <w:rFonts w:ascii="Arial" w:hAnsi="Arial" w:cs="Arial"/>
          <w:color w:val="0D0D0D" w:themeColor="text1" w:themeTint="F2"/>
          <w:sz w:val="22"/>
          <w:szCs w:val="22"/>
        </w:rPr>
        <w:t xml:space="preserve">he </w:t>
      </w:r>
      <w:r w:rsidR="00A70040" w:rsidRPr="00F164FD">
        <w:rPr>
          <w:rFonts w:ascii="Arial" w:hAnsi="Arial" w:cs="Arial"/>
          <w:color w:val="0D0D0D" w:themeColor="text1" w:themeTint="F2"/>
          <w:sz w:val="22"/>
          <w:szCs w:val="22"/>
        </w:rPr>
        <w:t>700 MHz</w:t>
      </w:r>
      <w:r w:rsidRPr="00F164FD">
        <w:rPr>
          <w:rFonts w:ascii="Arial" w:hAnsi="Arial" w:cs="Arial"/>
          <w:color w:val="0D0D0D" w:themeColor="text1" w:themeTint="F2"/>
          <w:sz w:val="22"/>
          <w:szCs w:val="22"/>
        </w:rPr>
        <w:t xml:space="preserve"> technical framework.</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An outline of the reasoning leading to selection of the </w:t>
      </w:r>
      <w:r w:rsidRPr="00F164FD">
        <w:rPr>
          <w:rFonts w:ascii="Arial" w:hAnsi="Arial" w:cs="Arial"/>
          <w:color w:val="0D0D0D" w:themeColor="text1" w:themeTint="F2"/>
          <w:sz w:val="22"/>
          <w:szCs w:val="22"/>
        </w:rPr>
        <w:lastRenderedPageBreak/>
        <w:t>proposed models and requirements has been provided for information.</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Note that this paper deals primarily with co-channel or co-frequency issues. </w:t>
      </w:r>
    </w:p>
    <w:p w:rsidR="009C074A" w:rsidRPr="00F164FD" w:rsidRDefault="009C074A" w:rsidP="00F164FD">
      <w:pPr>
        <w:spacing w:before="240"/>
        <w:rPr>
          <w:rFonts w:ascii="Arial" w:hAnsi="Arial" w:cs="Arial"/>
          <w:color w:val="0D0D0D" w:themeColor="text1" w:themeTint="F2"/>
          <w:sz w:val="22"/>
          <w:szCs w:val="22"/>
        </w:rPr>
      </w:pPr>
      <w:r w:rsidRPr="00F164FD">
        <w:rPr>
          <w:rFonts w:ascii="Arial" w:hAnsi="Arial" w:cs="Arial"/>
          <w:color w:val="0D0D0D" w:themeColor="text1" w:themeTint="F2"/>
          <w:sz w:val="22"/>
          <w:szCs w:val="22"/>
        </w:rPr>
        <w:t>This is a discussion paper and the views and suggestions of the members of the technical liaison group are sought as to the relevance and suitability of the pr</w:t>
      </w:r>
      <w:r w:rsidR="00F164FD">
        <w:rPr>
          <w:rFonts w:ascii="Arial" w:hAnsi="Arial" w:cs="Arial"/>
          <w:color w:val="0D0D0D" w:themeColor="text1" w:themeTint="F2"/>
          <w:sz w:val="22"/>
          <w:szCs w:val="22"/>
        </w:rPr>
        <w:t>oposed models and requirements.</w:t>
      </w:r>
    </w:p>
    <w:p w:rsidR="009C074A" w:rsidRPr="00F164FD" w:rsidRDefault="009C074A" w:rsidP="009C074A">
      <w:pPr>
        <w:pStyle w:val="Heading2"/>
        <w:rPr>
          <w:rFonts w:ascii="Arial" w:hAnsi="Arial" w:cs="Arial"/>
          <w:color w:val="0D0D0D" w:themeColor="text1" w:themeTint="F2"/>
        </w:rPr>
      </w:pPr>
      <w:r w:rsidRPr="00F164FD">
        <w:rPr>
          <w:rFonts w:ascii="Arial" w:hAnsi="Arial" w:cs="Arial"/>
          <w:color w:val="0D0D0D" w:themeColor="text1" w:themeTint="F2"/>
        </w:rPr>
        <w:t>3</w:t>
      </w:r>
      <w:r w:rsidRPr="00F164FD">
        <w:rPr>
          <w:rFonts w:ascii="Arial" w:hAnsi="Arial" w:cs="Arial"/>
          <w:color w:val="0D0D0D" w:themeColor="text1" w:themeTint="F2"/>
        </w:rPr>
        <w:tab/>
        <w:t>System Models</w:t>
      </w:r>
    </w:p>
    <w:p w:rsidR="009C074A" w:rsidRPr="00F164FD" w:rsidRDefault="009C074A" w:rsidP="009C074A">
      <w:pPr>
        <w:keepNext/>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System models are used to simplify the analysis of the technical framework with regard to the reference technologies. </w:t>
      </w:r>
      <w:r w:rsidR="00097929" w:rsidRPr="00F164FD">
        <w:rPr>
          <w:rFonts w:ascii="Arial" w:hAnsi="Arial" w:cs="Arial"/>
          <w:color w:val="0D0D0D" w:themeColor="text1" w:themeTint="F2"/>
          <w:sz w:val="22"/>
          <w:szCs w:val="22"/>
        </w:rPr>
        <w:t xml:space="preserve">The </w:t>
      </w:r>
      <w:r w:rsidR="00AE579A" w:rsidRPr="00F164FD">
        <w:rPr>
          <w:rFonts w:ascii="Arial" w:hAnsi="Arial" w:cs="Arial"/>
          <w:color w:val="0D0D0D" w:themeColor="text1" w:themeTint="F2"/>
          <w:sz w:val="22"/>
          <w:szCs w:val="22"/>
        </w:rPr>
        <w:t>reference technologies</w:t>
      </w:r>
      <w:r w:rsidR="00097929" w:rsidRPr="00F164FD">
        <w:rPr>
          <w:rFonts w:ascii="Arial" w:hAnsi="Arial" w:cs="Arial"/>
          <w:color w:val="0D0D0D" w:themeColor="text1" w:themeTint="F2"/>
          <w:sz w:val="22"/>
          <w:szCs w:val="22"/>
        </w:rPr>
        <w:t xml:space="preserve"> are identified in the </w:t>
      </w:r>
      <w:r w:rsidR="00097929" w:rsidRPr="00F164FD">
        <w:rPr>
          <w:rFonts w:ascii="Arial" w:hAnsi="Arial" w:cs="Arial"/>
          <w:i/>
          <w:color w:val="0D0D0D" w:themeColor="text1" w:themeTint="F2"/>
          <w:sz w:val="22"/>
          <w:szCs w:val="22"/>
        </w:rPr>
        <w:t>700</w:t>
      </w:r>
      <w:r w:rsidR="000F43A0" w:rsidRPr="00F164FD">
        <w:rPr>
          <w:rFonts w:ascii="Arial" w:hAnsi="Arial" w:cs="Arial"/>
          <w:i/>
          <w:color w:val="0D0D0D" w:themeColor="text1" w:themeTint="F2"/>
          <w:sz w:val="22"/>
          <w:szCs w:val="22"/>
        </w:rPr>
        <w:t xml:space="preserve"> MHz</w:t>
      </w:r>
      <w:r w:rsidR="00E92A46" w:rsidRPr="00F164FD">
        <w:rPr>
          <w:rFonts w:ascii="Arial" w:hAnsi="Arial" w:cs="Arial"/>
          <w:i/>
          <w:color w:val="0D0D0D" w:themeColor="text1" w:themeTint="F2"/>
          <w:sz w:val="22"/>
          <w:szCs w:val="22"/>
        </w:rPr>
        <w:t xml:space="preserve"> TLG</w:t>
      </w:r>
      <w:r w:rsidR="00097929" w:rsidRPr="00F164FD">
        <w:rPr>
          <w:rFonts w:ascii="Arial" w:hAnsi="Arial" w:cs="Arial"/>
          <w:i/>
          <w:color w:val="0D0D0D" w:themeColor="text1" w:themeTint="F2"/>
          <w:sz w:val="22"/>
          <w:szCs w:val="22"/>
        </w:rPr>
        <w:t xml:space="preserve"> Discussion Paper No. 1</w:t>
      </w:r>
      <w:r w:rsidR="00097929" w:rsidRPr="00F164FD">
        <w:rPr>
          <w:rFonts w:ascii="Arial" w:hAnsi="Arial" w:cs="Arial"/>
          <w:color w:val="0D0D0D" w:themeColor="text1" w:themeTint="F2"/>
          <w:sz w:val="22"/>
          <w:szCs w:val="22"/>
        </w:rPr>
        <w:t xml:space="preserve"> and are shown </w:t>
      </w:r>
      <w:r w:rsidR="00B70405" w:rsidRPr="00F164FD">
        <w:rPr>
          <w:rFonts w:ascii="Arial" w:hAnsi="Arial" w:cs="Arial"/>
          <w:color w:val="0D0D0D" w:themeColor="text1" w:themeTint="F2"/>
          <w:sz w:val="22"/>
          <w:szCs w:val="22"/>
        </w:rPr>
        <w:t xml:space="preserve">in </w:t>
      </w:r>
      <w:fldSimple w:instr=" REF _Ref303850104 \h  \* MERGEFORMAT ">
        <w:r w:rsidR="00C9613A" w:rsidRPr="00F164FD">
          <w:rPr>
            <w:rFonts w:ascii="Arial" w:hAnsi="Arial" w:cs="Arial"/>
            <w:color w:val="0D0D0D" w:themeColor="text1" w:themeTint="F2"/>
            <w:sz w:val="22"/>
            <w:szCs w:val="22"/>
          </w:rPr>
          <w:t>Table</w:t>
        </w:r>
        <w:r w:rsidR="00CF2879">
          <w:rPr>
            <w:rFonts w:ascii="Arial" w:hAnsi="Arial" w:cs="Arial"/>
            <w:color w:val="0D0D0D" w:themeColor="text1" w:themeTint="F2"/>
            <w:sz w:val="22"/>
            <w:szCs w:val="22"/>
          </w:rPr>
          <w:t> </w:t>
        </w:r>
        <w:r w:rsidR="00C9613A" w:rsidRPr="00F164FD">
          <w:rPr>
            <w:rFonts w:ascii="Arial" w:hAnsi="Arial" w:cs="Arial"/>
            <w:noProof/>
            <w:color w:val="0D0D0D" w:themeColor="text1" w:themeTint="F2"/>
            <w:sz w:val="22"/>
            <w:szCs w:val="22"/>
          </w:rPr>
          <w:t>1</w:t>
        </w:r>
      </w:fldSimple>
      <w:r w:rsidR="00097929" w:rsidRPr="00F164FD">
        <w:rPr>
          <w:rFonts w:ascii="Arial" w:hAnsi="Arial" w:cs="Arial"/>
          <w:color w:val="0D0D0D" w:themeColor="text1" w:themeTint="F2"/>
          <w:sz w:val="22"/>
          <w:szCs w:val="22"/>
        </w:rPr>
        <w:t>.</w:t>
      </w:r>
    </w:p>
    <w:p w:rsidR="00EB441C" w:rsidRPr="00F164FD" w:rsidRDefault="00EB441C" w:rsidP="009C074A">
      <w:pPr>
        <w:tabs>
          <w:tab w:val="left" w:pos="1985"/>
          <w:tab w:val="left" w:pos="3261"/>
          <w:tab w:val="left" w:pos="5954"/>
        </w:tabs>
        <w:rPr>
          <w:rFonts w:ascii="Arial" w:hAnsi="Arial" w:cs="Arial"/>
          <w:color w:val="0D0D0D" w:themeColor="text1" w:themeTint="F2"/>
          <w:sz w:val="22"/>
          <w:szCs w:val="22"/>
        </w:rPr>
      </w:pPr>
    </w:p>
    <w:tbl>
      <w:tblPr>
        <w:tblStyle w:val="TableGrid"/>
        <w:tblW w:w="8376" w:type="dxa"/>
        <w:tblLook w:val="04A0"/>
      </w:tblPr>
      <w:tblGrid>
        <w:gridCol w:w="3217"/>
        <w:gridCol w:w="5159"/>
      </w:tblGrid>
      <w:tr w:rsidR="00CF2879" w:rsidRPr="00CF2879" w:rsidTr="00CF2879">
        <w:trPr>
          <w:trHeight w:val="573"/>
        </w:trPr>
        <w:tc>
          <w:tcPr>
            <w:tcW w:w="8376" w:type="dxa"/>
            <w:gridSpan w:val="2"/>
            <w:tcBorders>
              <w:left w:val="nil"/>
              <w:bottom w:val="single" w:sz="4" w:space="0" w:color="auto"/>
              <w:right w:val="nil"/>
            </w:tcBorders>
            <w:vAlign w:val="center"/>
          </w:tcPr>
          <w:p w:rsidR="00CF2879" w:rsidRPr="00CF2879" w:rsidRDefault="00CF2879" w:rsidP="0060073B">
            <w:pPr>
              <w:pStyle w:val="Caption"/>
              <w:spacing w:after="0"/>
              <w:rPr>
                <w:rFonts w:ascii="Arial" w:hAnsi="Arial" w:cs="Arial"/>
                <w:color w:val="A6A6A6" w:themeColor="background1" w:themeShade="A6"/>
                <w:sz w:val="22"/>
                <w:szCs w:val="22"/>
              </w:rPr>
            </w:pPr>
            <w:r w:rsidRPr="00CF2879">
              <w:rPr>
                <w:rFonts w:ascii="Arial" w:hAnsi="Arial" w:cs="Arial"/>
                <w:color w:val="A6A6A6" w:themeColor="background1" w:themeShade="A6"/>
                <w:sz w:val="22"/>
                <w:szCs w:val="22"/>
              </w:rPr>
              <w:t xml:space="preserve">Table </w:t>
            </w:r>
            <w:r w:rsidR="00034064" w:rsidRPr="00CF2879">
              <w:rPr>
                <w:rFonts w:ascii="Arial" w:hAnsi="Arial" w:cs="Arial"/>
                <w:color w:val="A6A6A6" w:themeColor="background1" w:themeShade="A6"/>
                <w:sz w:val="22"/>
                <w:szCs w:val="22"/>
              </w:rPr>
              <w:fldChar w:fldCharType="begin"/>
            </w:r>
            <w:r w:rsidRPr="00CF2879">
              <w:rPr>
                <w:rFonts w:ascii="Arial" w:hAnsi="Arial" w:cs="Arial"/>
                <w:color w:val="A6A6A6" w:themeColor="background1" w:themeShade="A6"/>
                <w:sz w:val="22"/>
                <w:szCs w:val="22"/>
              </w:rPr>
              <w:instrText xml:space="preserve"> SEQ Table \* ARABIC </w:instrText>
            </w:r>
            <w:r w:rsidR="00034064" w:rsidRPr="00CF2879">
              <w:rPr>
                <w:rFonts w:ascii="Arial" w:hAnsi="Arial" w:cs="Arial"/>
                <w:color w:val="A6A6A6" w:themeColor="background1" w:themeShade="A6"/>
                <w:sz w:val="22"/>
                <w:szCs w:val="22"/>
              </w:rPr>
              <w:fldChar w:fldCharType="separate"/>
            </w:r>
            <w:r w:rsidRPr="00CF2879">
              <w:rPr>
                <w:rFonts w:ascii="Arial" w:hAnsi="Arial" w:cs="Arial"/>
                <w:noProof/>
                <w:color w:val="A6A6A6" w:themeColor="background1" w:themeShade="A6"/>
                <w:sz w:val="22"/>
                <w:szCs w:val="22"/>
              </w:rPr>
              <w:t>1</w:t>
            </w:r>
            <w:r w:rsidR="00034064" w:rsidRPr="00CF2879">
              <w:rPr>
                <w:rFonts w:ascii="Arial" w:hAnsi="Arial" w:cs="Arial"/>
                <w:color w:val="A6A6A6" w:themeColor="background1" w:themeShade="A6"/>
                <w:sz w:val="22"/>
                <w:szCs w:val="22"/>
              </w:rPr>
              <w:fldChar w:fldCharType="end"/>
            </w:r>
            <w:r w:rsidRPr="00CF2879">
              <w:rPr>
                <w:rFonts w:ascii="Arial" w:hAnsi="Arial" w:cs="Arial"/>
                <w:color w:val="A6A6A6" w:themeColor="background1" w:themeShade="A6"/>
                <w:sz w:val="22"/>
                <w:szCs w:val="22"/>
              </w:rPr>
              <w:t xml:space="preserve"> </w:t>
            </w:r>
            <w:r w:rsidR="0060073B">
              <w:rPr>
                <w:rFonts w:ascii="Arial" w:hAnsi="Arial" w:cs="Arial"/>
                <w:color w:val="A6A6A6" w:themeColor="background1" w:themeShade="A6"/>
                <w:sz w:val="22"/>
                <w:szCs w:val="22"/>
              </w:rPr>
              <w:t>R</w:t>
            </w:r>
            <w:r w:rsidRPr="00CF2879">
              <w:rPr>
                <w:rFonts w:ascii="Arial" w:hAnsi="Arial" w:cs="Arial"/>
                <w:color w:val="A6A6A6" w:themeColor="background1" w:themeShade="A6"/>
                <w:sz w:val="22"/>
                <w:szCs w:val="22"/>
              </w:rPr>
              <w:t>eference technologies</w:t>
            </w:r>
          </w:p>
        </w:tc>
      </w:tr>
      <w:tr w:rsidR="00295962" w:rsidRPr="00F164FD" w:rsidTr="00CF2879">
        <w:tc>
          <w:tcPr>
            <w:tcW w:w="3217" w:type="dxa"/>
            <w:shd w:val="clear" w:color="auto" w:fill="D9D9D9" w:themeFill="background1" w:themeFillShade="D9"/>
          </w:tcPr>
          <w:p w:rsidR="00295962" w:rsidRPr="00F164FD" w:rsidRDefault="00295962" w:rsidP="009C074A">
            <w:pPr>
              <w:tabs>
                <w:tab w:val="left" w:pos="1985"/>
                <w:tab w:val="left" w:pos="3261"/>
                <w:tab w:val="left" w:pos="5954"/>
              </w:tabs>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Reference technology</w:t>
            </w:r>
          </w:p>
        </w:tc>
        <w:tc>
          <w:tcPr>
            <w:tcW w:w="5159" w:type="dxa"/>
            <w:shd w:val="clear" w:color="auto" w:fill="D9D9D9" w:themeFill="background1" w:themeFillShade="D9"/>
          </w:tcPr>
          <w:p w:rsidR="00295962" w:rsidRPr="00F164FD" w:rsidRDefault="00B90F51" w:rsidP="009C074A">
            <w:pPr>
              <w:tabs>
                <w:tab w:val="left" w:pos="1985"/>
                <w:tab w:val="left" w:pos="3261"/>
                <w:tab w:val="left" w:pos="5954"/>
              </w:tabs>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Applicable standards and reports</w:t>
            </w:r>
          </w:p>
        </w:tc>
      </w:tr>
      <w:tr w:rsidR="00295962" w:rsidRPr="00F164FD" w:rsidTr="00295962">
        <w:tc>
          <w:tcPr>
            <w:tcW w:w="3217" w:type="dxa"/>
          </w:tcPr>
          <w:p w:rsidR="00295962" w:rsidRPr="00F164FD" w:rsidRDefault="00B90F51" w:rsidP="009C074A">
            <w:pPr>
              <w:tabs>
                <w:tab w:val="left" w:pos="1985"/>
                <w:tab w:val="left" w:pos="3261"/>
                <w:tab w:val="left" w:pos="5954"/>
              </w:tabs>
              <w:rPr>
                <w:rFonts w:ascii="Arial" w:hAnsi="Arial" w:cs="Arial"/>
                <w:color w:val="0D0D0D" w:themeColor="text1" w:themeTint="F2"/>
                <w:sz w:val="22"/>
                <w:szCs w:val="22"/>
              </w:rPr>
            </w:pPr>
            <w:r w:rsidRPr="00F164FD">
              <w:rPr>
                <w:rFonts w:ascii="Arial" w:hAnsi="Arial" w:cs="Arial"/>
                <w:color w:val="0D0D0D" w:themeColor="text1" w:themeTint="F2"/>
                <w:sz w:val="22"/>
                <w:szCs w:val="22"/>
              </w:rPr>
              <w:t>UMTS</w:t>
            </w:r>
          </w:p>
          <w:p w:rsidR="00295962" w:rsidRPr="00F164FD" w:rsidRDefault="00B90F51" w:rsidP="009C074A">
            <w:pPr>
              <w:tabs>
                <w:tab w:val="left" w:pos="1985"/>
                <w:tab w:val="left" w:pos="3261"/>
                <w:tab w:val="left" w:pos="5954"/>
              </w:tabs>
              <w:rPr>
                <w:rFonts w:ascii="Arial" w:hAnsi="Arial" w:cs="Arial"/>
                <w:color w:val="0D0D0D" w:themeColor="text1" w:themeTint="F2"/>
                <w:sz w:val="22"/>
                <w:szCs w:val="22"/>
              </w:rPr>
            </w:pPr>
            <w:r w:rsidRPr="00F164FD">
              <w:rPr>
                <w:rFonts w:ascii="Arial" w:hAnsi="Arial" w:cs="Arial"/>
                <w:color w:val="0D0D0D" w:themeColor="text1" w:themeTint="F2"/>
                <w:sz w:val="22"/>
                <w:szCs w:val="22"/>
              </w:rPr>
              <w:t>(UTRA, WCDMA, HSPA, HSPA+)</w:t>
            </w:r>
          </w:p>
        </w:tc>
        <w:tc>
          <w:tcPr>
            <w:tcW w:w="5159" w:type="dxa"/>
          </w:tcPr>
          <w:p w:rsidR="00912FD8" w:rsidRPr="00F164FD" w:rsidRDefault="00B90F51">
            <w:pPr>
              <w:pStyle w:val="NormalWeb"/>
              <w:rPr>
                <w:rFonts w:ascii="Arial" w:hAnsi="Arial" w:cs="Arial"/>
                <w:color w:val="0D0D0D" w:themeColor="text1" w:themeTint="F2"/>
                <w:sz w:val="22"/>
                <w:szCs w:val="22"/>
              </w:rPr>
            </w:pPr>
            <w:r w:rsidRPr="00F164FD">
              <w:rPr>
                <w:rFonts w:ascii="Arial" w:hAnsi="Arial" w:cs="Arial"/>
                <w:color w:val="0D0D0D" w:themeColor="text1" w:themeTint="F2"/>
                <w:sz w:val="22"/>
                <w:szCs w:val="22"/>
              </w:rPr>
              <w:t>ITU-R Report M.2039-2, 3GPP TS 25.101, 3GPP TS 25.104, 3GPP TS 24.942, ECC Report 82, ECC Report 96</w:t>
            </w:r>
          </w:p>
        </w:tc>
      </w:tr>
      <w:tr w:rsidR="00295962" w:rsidRPr="00F164FD" w:rsidTr="00CF2879">
        <w:tc>
          <w:tcPr>
            <w:tcW w:w="3217" w:type="dxa"/>
            <w:tcBorders>
              <w:bottom w:val="single" w:sz="4" w:space="0" w:color="auto"/>
            </w:tcBorders>
          </w:tcPr>
          <w:p w:rsidR="00295962" w:rsidRPr="00F164FD" w:rsidRDefault="00B90F51" w:rsidP="009C074A">
            <w:pPr>
              <w:tabs>
                <w:tab w:val="left" w:pos="1985"/>
                <w:tab w:val="left" w:pos="3261"/>
                <w:tab w:val="left" w:pos="5954"/>
              </w:tabs>
              <w:rPr>
                <w:rFonts w:ascii="Arial" w:hAnsi="Arial" w:cs="Arial"/>
                <w:color w:val="0D0D0D" w:themeColor="text1" w:themeTint="F2"/>
                <w:sz w:val="22"/>
                <w:szCs w:val="22"/>
              </w:rPr>
            </w:pPr>
            <w:r w:rsidRPr="00F164FD">
              <w:rPr>
                <w:rFonts w:ascii="Arial" w:hAnsi="Arial" w:cs="Arial"/>
                <w:color w:val="0D0D0D" w:themeColor="text1" w:themeTint="F2"/>
                <w:sz w:val="22"/>
                <w:szCs w:val="22"/>
              </w:rPr>
              <w:t>LTE</w:t>
            </w:r>
          </w:p>
          <w:p w:rsidR="00295962" w:rsidRPr="00F164FD" w:rsidRDefault="00B90F51" w:rsidP="009C074A">
            <w:pPr>
              <w:tabs>
                <w:tab w:val="left" w:pos="1985"/>
                <w:tab w:val="left" w:pos="3261"/>
                <w:tab w:val="left" w:pos="5954"/>
              </w:tabs>
              <w:rPr>
                <w:rFonts w:ascii="Arial" w:hAnsi="Arial" w:cs="Arial"/>
                <w:color w:val="0D0D0D" w:themeColor="text1" w:themeTint="F2"/>
                <w:sz w:val="22"/>
                <w:szCs w:val="22"/>
              </w:rPr>
            </w:pPr>
            <w:r w:rsidRPr="00F164FD">
              <w:rPr>
                <w:rFonts w:ascii="Arial" w:hAnsi="Arial" w:cs="Arial"/>
                <w:color w:val="0D0D0D" w:themeColor="text1" w:themeTint="F2"/>
                <w:sz w:val="22"/>
                <w:szCs w:val="22"/>
              </w:rPr>
              <w:t>(E-UTRA, LTE-Advanced)</w:t>
            </w:r>
          </w:p>
        </w:tc>
        <w:tc>
          <w:tcPr>
            <w:tcW w:w="5159" w:type="dxa"/>
            <w:tcBorders>
              <w:bottom w:val="single" w:sz="4" w:space="0" w:color="auto"/>
            </w:tcBorders>
          </w:tcPr>
          <w:p w:rsidR="00912FD8" w:rsidRPr="00F164FD" w:rsidRDefault="00B90F51" w:rsidP="003E0E05">
            <w:pPr>
              <w:pStyle w:val="NormalWeb"/>
              <w:rPr>
                <w:rFonts w:ascii="Arial" w:hAnsi="Arial" w:cs="Arial"/>
                <w:color w:val="0D0D0D" w:themeColor="text1" w:themeTint="F2"/>
                <w:sz w:val="22"/>
                <w:szCs w:val="22"/>
              </w:rPr>
            </w:pPr>
            <w:r w:rsidRPr="00F164FD">
              <w:rPr>
                <w:rFonts w:ascii="Arial" w:hAnsi="Arial" w:cs="Arial"/>
                <w:color w:val="0D0D0D" w:themeColor="text1" w:themeTint="F2"/>
                <w:sz w:val="22"/>
                <w:szCs w:val="22"/>
              </w:rPr>
              <w:t>ITU-R Report M.2039-2, 3GPP TS 36.101, 3GPP TS 36.104, 3GPP TS 36.942</w:t>
            </w:r>
          </w:p>
        </w:tc>
      </w:tr>
      <w:tr w:rsidR="00CF2879" w:rsidRPr="00F164FD" w:rsidTr="00CF2879">
        <w:trPr>
          <w:trHeight w:val="312"/>
        </w:trPr>
        <w:tc>
          <w:tcPr>
            <w:tcW w:w="8376" w:type="dxa"/>
            <w:gridSpan w:val="2"/>
            <w:tcBorders>
              <w:left w:val="nil"/>
              <w:right w:val="nil"/>
            </w:tcBorders>
          </w:tcPr>
          <w:p w:rsidR="00CF2879" w:rsidRPr="00F164FD" w:rsidRDefault="00CF2879" w:rsidP="003E0E05">
            <w:pPr>
              <w:pStyle w:val="NormalWeb"/>
              <w:rPr>
                <w:rFonts w:ascii="Arial" w:hAnsi="Arial" w:cs="Arial"/>
                <w:color w:val="0D0D0D" w:themeColor="text1" w:themeTint="F2"/>
                <w:sz w:val="22"/>
                <w:szCs w:val="22"/>
              </w:rPr>
            </w:pPr>
          </w:p>
        </w:tc>
      </w:tr>
    </w:tbl>
    <w:p w:rsidR="00174352" w:rsidRDefault="00174352" w:rsidP="00B70405">
      <w:pPr>
        <w:rPr>
          <w:rFonts w:ascii="Arial" w:hAnsi="Arial" w:cs="Arial"/>
          <w:color w:val="0D0D0D" w:themeColor="text1" w:themeTint="F2"/>
          <w:sz w:val="22"/>
          <w:szCs w:val="22"/>
        </w:rPr>
      </w:pPr>
    </w:p>
    <w:p w:rsidR="009C074A" w:rsidRDefault="009C074A" w:rsidP="00B70405">
      <w:pPr>
        <w:rPr>
          <w:rFonts w:ascii="Arial" w:hAnsi="Arial" w:cs="Arial"/>
          <w:color w:val="0D0D0D" w:themeColor="text1" w:themeTint="F2"/>
          <w:sz w:val="22"/>
          <w:szCs w:val="22"/>
        </w:rPr>
      </w:pPr>
      <w:r w:rsidRPr="00F164FD" w:rsidDel="00097929">
        <w:rPr>
          <w:rFonts w:ascii="Arial" w:hAnsi="Arial" w:cs="Arial"/>
          <w:color w:val="0D0D0D" w:themeColor="text1" w:themeTint="F2"/>
          <w:sz w:val="22"/>
          <w:szCs w:val="22"/>
        </w:rPr>
        <w:t>The development of the system models does not exclude the use of other technologies under the licence.</w:t>
      </w:r>
      <w:r w:rsidR="000F43A0" w:rsidRPr="00F164FD">
        <w:rPr>
          <w:rFonts w:ascii="Arial" w:hAnsi="Arial" w:cs="Arial"/>
          <w:color w:val="0D0D0D" w:themeColor="text1" w:themeTint="F2"/>
          <w:sz w:val="22"/>
          <w:szCs w:val="22"/>
        </w:rPr>
        <w:t xml:space="preserve"> </w:t>
      </w:r>
      <w:r w:rsidRPr="00F164FD" w:rsidDel="00097929">
        <w:rPr>
          <w:rFonts w:ascii="Arial" w:hAnsi="Arial" w:cs="Arial"/>
          <w:color w:val="0D0D0D" w:themeColor="text1" w:themeTint="F2"/>
          <w:sz w:val="22"/>
          <w:szCs w:val="22"/>
        </w:rPr>
        <w:t>The system models for the deployment are simply a tool for the development of the framework.</w:t>
      </w:r>
    </w:p>
    <w:p w:rsidR="00631F28" w:rsidRDefault="00631F28">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631F28" w:rsidRPr="00F164FD" w:rsidRDefault="00631F28" w:rsidP="00B70405">
      <w:pPr>
        <w:rPr>
          <w:rFonts w:ascii="Arial" w:hAnsi="Arial" w:cs="Arial"/>
          <w:color w:val="0D0D0D" w:themeColor="text1" w:themeTint="F2"/>
          <w:sz w:val="22"/>
          <w:szCs w:val="22"/>
        </w:rPr>
      </w:pPr>
    </w:p>
    <w:p w:rsidR="009C074A" w:rsidRPr="00F164FD" w:rsidRDefault="009C074A" w:rsidP="009C074A">
      <w:pPr>
        <w:pStyle w:val="Heading3"/>
        <w:rPr>
          <w:rFonts w:ascii="Arial" w:hAnsi="Arial" w:cs="Arial"/>
          <w:color w:val="0D0D0D" w:themeColor="text1" w:themeTint="F2"/>
        </w:rPr>
      </w:pPr>
      <w:r w:rsidRPr="00F164FD">
        <w:rPr>
          <w:rFonts w:ascii="Arial" w:hAnsi="Arial" w:cs="Arial"/>
          <w:color w:val="0D0D0D" w:themeColor="text1" w:themeTint="F2"/>
        </w:rPr>
        <w:t>3.1</w:t>
      </w:r>
      <w:r w:rsidRPr="00F164FD">
        <w:rPr>
          <w:rFonts w:ascii="Arial" w:hAnsi="Arial" w:cs="Arial"/>
          <w:color w:val="0D0D0D" w:themeColor="text1" w:themeTint="F2"/>
        </w:rPr>
        <w:tab/>
      </w:r>
      <w:r w:rsidR="00097929" w:rsidRPr="00F164FD">
        <w:rPr>
          <w:rFonts w:ascii="Arial" w:hAnsi="Arial" w:cs="Arial"/>
          <w:color w:val="0D0D0D" w:themeColor="text1" w:themeTint="F2"/>
        </w:rPr>
        <w:t xml:space="preserve">Mobile </w:t>
      </w:r>
      <w:r w:rsidRPr="00F164FD">
        <w:rPr>
          <w:rFonts w:ascii="Arial" w:hAnsi="Arial" w:cs="Arial"/>
          <w:color w:val="0D0D0D" w:themeColor="text1" w:themeTint="F2"/>
        </w:rPr>
        <w:t>System</w:t>
      </w:r>
      <w:r w:rsidR="00B70405" w:rsidRPr="00F164FD">
        <w:rPr>
          <w:rFonts w:ascii="Arial" w:hAnsi="Arial" w:cs="Arial"/>
          <w:color w:val="0D0D0D" w:themeColor="text1" w:themeTint="F2"/>
        </w:rPr>
        <w:t>s</w:t>
      </w:r>
    </w:p>
    <w:p w:rsidR="00912FD8" w:rsidRPr="00F164FD" w:rsidRDefault="00097929">
      <w:pPr>
        <w:rPr>
          <w:rFonts w:ascii="Arial" w:hAnsi="Arial" w:cs="Arial"/>
          <w:color w:val="0D0D0D" w:themeColor="text1" w:themeTint="F2"/>
          <w:sz w:val="22"/>
          <w:szCs w:val="22"/>
        </w:rPr>
      </w:pPr>
      <w:r w:rsidRPr="00F164FD">
        <w:rPr>
          <w:rFonts w:ascii="Arial" w:hAnsi="Arial" w:cs="Arial"/>
          <w:color w:val="0D0D0D" w:themeColor="text1" w:themeTint="F2"/>
          <w:sz w:val="22"/>
          <w:szCs w:val="22"/>
        </w:rPr>
        <w:t>Typical mobile</w:t>
      </w:r>
      <w:r w:rsidR="009C074A" w:rsidRPr="00F164FD">
        <w:rPr>
          <w:rFonts w:ascii="Arial" w:hAnsi="Arial" w:cs="Arial"/>
          <w:color w:val="0D0D0D" w:themeColor="text1" w:themeTint="F2"/>
          <w:sz w:val="22"/>
          <w:szCs w:val="22"/>
        </w:rPr>
        <w:t xml:space="preserve"> systems are characterised by the use of omni</w:t>
      </w:r>
      <w:r w:rsidR="00F3280B" w:rsidRPr="00F164FD">
        <w:rPr>
          <w:rFonts w:ascii="Arial" w:hAnsi="Arial" w:cs="Arial"/>
          <w:color w:val="0D0D0D" w:themeColor="text1" w:themeTint="F2"/>
          <w:sz w:val="22"/>
          <w:szCs w:val="22"/>
        </w:rPr>
        <w:t>-</w:t>
      </w:r>
      <w:r w:rsidR="009C074A" w:rsidRPr="00F164FD">
        <w:rPr>
          <w:rFonts w:ascii="Arial" w:hAnsi="Arial" w:cs="Arial"/>
          <w:color w:val="0D0D0D" w:themeColor="text1" w:themeTint="F2"/>
          <w:sz w:val="22"/>
          <w:szCs w:val="22"/>
        </w:rPr>
        <w:t xml:space="preserve">directional (base) transmitter/receiver sites </w:t>
      </w:r>
      <w:r w:rsidR="00D526DD" w:rsidRPr="00F164FD">
        <w:rPr>
          <w:rFonts w:ascii="Arial" w:hAnsi="Arial" w:cs="Arial"/>
          <w:color w:val="0D0D0D" w:themeColor="text1" w:themeTint="F2"/>
          <w:sz w:val="22"/>
          <w:szCs w:val="22"/>
        </w:rPr>
        <w:t>(30 - 60 m</w:t>
      </w:r>
      <w:r w:rsidR="00F3280B" w:rsidRPr="00F164FD">
        <w:rPr>
          <w:rFonts w:ascii="Arial" w:hAnsi="Arial" w:cs="Arial"/>
          <w:color w:val="0D0D0D" w:themeColor="text1" w:themeTint="F2"/>
          <w:sz w:val="22"/>
          <w:szCs w:val="22"/>
        </w:rPr>
        <w:t>etre</w:t>
      </w:r>
      <w:r w:rsidR="00AE579A" w:rsidRPr="00F164FD">
        <w:rPr>
          <w:rFonts w:ascii="Arial" w:hAnsi="Arial" w:cs="Arial"/>
          <w:color w:val="0D0D0D" w:themeColor="text1" w:themeTint="F2"/>
          <w:sz w:val="22"/>
          <w:szCs w:val="22"/>
        </w:rPr>
        <w:t xml:space="preserve"> antenna height</w:t>
      </w:r>
      <w:r w:rsidR="00D526DD" w:rsidRPr="00F164FD">
        <w:rPr>
          <w:rFonts w:ascii="Arial" w:hAnsi="Arial" w:cs="Arial"/>
          <w:color w:val="0D0D0D" w:themeColor="text1" w:themeTint="F2"/>
          <w:sz w:val="22"/>
          <w:szCs w:val="22"/>
        </w:rPr>
        <w:t xml:space="preserve">) </w:t>
      </w:r>
      <w:r w:rsidR="009C074A" w:rsidRPr="00F164FD">
        <w:rPr>
          <w:rFonts w:ascii="Arial" w:hAnsi="Arial" w:cs="Arial"/>
          <w:color w:val="0D0D0D" w:themeColor="text1" w:themeTint="F2"/>
          <w:sz w:val="22"/>
          <w:szCs w:val="22"/>
        </w:rPr>
        <w:t xml:space="preserve">communicating with </w:t>
      </w:r>
      <w:r w:rsidR="00F3280B" w:rsidRPr="00F164FD">
        <w:rPr>
          <w:rFonts w:ascii="Arial" w:hAnsi="Arial" w:cs="Arial"/>
          <w:color w:val="0D0D0D" w:themeColor="text1" w:themeTint="F2"/>
          <w:sz w:val="22"/>
          <w:szCs w:val="22"/>
        </w:rPr>
        <w:t xml:space="preserve">omni-directional </w:t>
      </w:r>
      <w:r w:rsidR="00AE579A" w:rsidRPr="00F164FD">
        <w:rPr>
          <w:rFonts w:ascii="Arial" w:hAnsi="Arial" w:cs="Arial"/>
          <w:color w:val="0D0D0D" w:themeColor="text1" w:themeTint="F2"/>
          <w:sz w:val="22"/>
          <w:szCs w:val="22"/>
        </w:rPr>
        <w:t xml:space="preserve">user equipment (UE) </w:t>
      </w:r>
      <w:r w:rsidR="009C074A" w:rsidRPr="00F164FD">
        <w:rPr>
          <w:rFonts w:ascii="Arial" w:hAnsi="Arial" w:cs="Arial"/>
          <w:color w:val="0D0D0D" w:themeColor="text1" w:themeTint="F2"/>
          <w:sz w:val="22"/>
          <w:szCs w:val="22"/>
        </w:rPr>
        <w:t>devices at 1.5</w:t>
      </w:r>
      <w:r w:rsidR="00F3280B" w:rsidRPr="00F164FD">
        <w:rPr>
          <w:rFonts w:ascii="Arial" w:hAnsi="Arial" w:cs="Arial"/>
          <w:color w:val="0D0D0D" w:themeColor="text1" w:themeTint="F2"/>
          <w:sz w:val="22"/>
          <w:szCs w:val="22"/>
        </w:rPr>
        <w:t xml:space="preserve"> metre</w:t>
      </w:r>
      <w:r w:rsidR="00AE579A" w:rsidRPr="00F164FD">
        <w:rPr>
          <w:rFonts w:ascii="Arial" w:hAnsi="Arial" w:cs="Arial"/>
          <w:color w:val="0D0D0D" w:themeColor="text1" w:themeTint="F2"/>
          <w:sz w:val="22"/>
          <w:szCs w:val="22"/>
        </w:rPr>
        <w:t xml:space="preserve"> antenna height</w:t>
      </w:r>
      <w:r w:rsidR="009C074A"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009C074A" w:rsidRPr="00F164FD">
        <w:rPr>
          <w:rFonts w:ascii="Arial" w:hAnsi="Arial" w:cs="Arial"/>
          <w:color w:val="0D0D0D" w:themeColor="text1" w:themeTint="F2"/>
          <w:sz w:val="22"/>
          <w:szCs w:val="22"/>
        </w:rPr>
        <w:t>Systems requirements typically do not permit co-channel cells to operat</w:t>
      </w:r>
      <w:r w:rsidR="008D279D" w:rsidRPr="00F164FD">
        <w:rPr>
          <w:rFonts w:ascii="Arial" w:hAnsi="Arial" w:cs="Arial"/>
          <w:color w:val="0D0D0D" w:themeColor="text1" w:themeTint="F2"/>
          <w:sz w:val="22"/>
          <w:szCs w:val="22"/>
        </w:rPr>
        <w:t>e</w:t>
      </w:r>
      <w:r w:rsidR="009C074A" w:rsidRPr="00F164FD">
        <w:rPr>
          <w:rFonts w:ascii="Arial" w:hAnsi="Arial" w:cs="Arial"/>
          <w:color w:val="0D0D0D" w:themeColor="text1" w:themeTint="F2"/>
          <w:sz w:val="22"/>
          <w:szCs w:val="22"/>
        </w:rPr>
        <w:t xml:space="preserve"> without </w:t>
      </w:r>
      <w:r w:rsidR="009C68F4" w:rsidRPr="00F164FD">
        <w:rPr>
          <w:rFonts w:ascii="Arial" w:hAnsi="Arial" w:cs="Arial"/>
          <w:color w:val="0D0D0D" w:themeColor="text1" w:themeTint="F2"/>
          <w:sz w:val="22"/>
          <w:szCs w:val="22"/>
        </w:rPr>
        <w:t>geographic separation</w:t>
      </w:r>
      <w:r w:rsidR="009C074A" w:rsidRPr="00F164FD">
        <w:rPr>
          <w:rFonts w:ascii="Arial" w:hAnsi="Arial" w:cs="Arial"/>
          <w:color w:val="0D0D0D" w:themeColor="text1" w:themeTint="F2"/>
          <w:sz w:val="22"/>
          <w:szCs w:val="22"/>
        </w:rPr>
        <w:t xml:space="preserve"> unless synchronisation or other interference management arrangements are agreed between the licensees.</w:t>
      </w:r>
    </w:p>
    <w:p w:rsidR="00912FD8" w:rsidRPr="00F164FD" w:rsidRDefault="00912FD8">
      <w:pPr>
        <w:rPr>
          <w:rFonts w:ascii="Arial" w:hAnsi="Arial" w:cs="Arial"/>
          <w:color w:val="0D0D0D" w:themeColor="text1" w:themeTint="F2"/>
          <w:sz w:val="22"/>
          <w:szCs w:val="22"/>
        </w:rPr>
      </w:pPr>
    </w:p>
    <w:p w:rsidR="00912FD8" w:rsidRPr="00F164FD" w:rsidRDefault="009C68F4">
      <w:pPr>
        <w:rPr>
          <w:rFonts w:ascii="Arial" w:hAnsi="Arial" w:cs="Arial"/>
          <w:color w:val="0D0D0D" w:themeColor="text1" w:themeTint="F2"/>
          <w:sz w:val="22"/>
          <w:szCs w:val="22"/>
        </w:rPr>
      </w:pPr>
      <w:r w:rsidRPr="00F164FD">
        <w:rPr>
          <w:rFonts w:ascii="Arial" w:hAnsi="Arial" w:cs="Arial"/>
          <w:color w:val="0D0D0D" w:themeColor="text1" w:themeTint="F2"/>
          <w:sz w:val="22"/>
          <w:szCs w:val="22"/>
        </w:rPr>
        <w:t>The dominant interference mode for FDD systems is high site to low site because of the uplink and downlink frequency separation arrangements.</w:t>
      </w:r>
    </w:p>
    <w:p w:rsidR="00912FD8" w:rsidRPr="00F164FD" w:rsidRDefault="00FF0A93">
      <w:pPr>
        <w:pStyle w:val="Heading3"/>
        <w:rPr>
          <w:rFonts w:ascii="Arial" w:hAnsi="Arial" w:cs="Arial"/>
          <w:color w:val="0D0D0D" w:themeColor="text1" w:themeTint="F2"/>
        </w:rPr>
      </w:pPr>
      <w:r w:rsidRPr="00F164FD">
        <w:rPr>
          <w:rFonts w:ascii="Arial" w:hAnsi="Arial" w:cs="Arial"/>
          <w:color w:val="0D0D0D" w:themeColor="text1" w:themeTint="F2"/>
        </w:rPr>
        <w:t>3.2</w:t>
      </w:r>
      <w:r w:rsidRPr="00F164FD">
        <w:rPr>
          <w:rFonts w:ascii="Arial" w:hAnsi="Arial" w:cs="Arial"/>
          <w:color w:val="0D0D0D" w:themeColor="text1" w:themeTint="F2"/>
        </w:rPr>
        <w:tab/>
        <w:t>Proposed system models</w:t>
      </w:r>
    </w:p>
    <w:p w:rsidR="00FF0A93" w:rsidRPr="00F164FD" w:rsidRDefault="00C6142F"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As indicated in </w:t>
      </w:r>
      <w:r w:rsidR="00AE579A" w:rsidRPr="00F164FD">
        <w:rPr>
          <w:rFonts w:ascii="Arial" w:hAnsi="Arial" w:cs="Arial"/>
          <w:color w:val="0D0D0D" w:themeColor="text1" w:themeTint="F2"/>
          <w:sz w:val="22"/>
          <w:szCs w:val="22"/>
        </w:rPr>
        <w:t xml:space="preserve">the </w:t>
      </w:r>
      <w:r w:rsidR="00C03F4D" w:rsidRPr="00F164FD">
        <w:rPr>
          <w:rFonts w:ascii="Arial" w:hAnsi="Arial" w:cs="Arial"/>
          <w:i/>
          <w:color w:val="0D0D0D" w:themeColor="text1" w:themeTint="F2"/>
          <w:sz w:val="22"/>
          <w:szCs w:val="22"/>
        </w:rPr>
        <w:t xml:space="preserve">700 MHz </w:t>
      </w:r>
      <w:r w:rsidRPr="00F164FD">
        <w:rPr>
          <w:rFonts w:ascii="Arial" w:hAnsi="Arial" w:cs="Arial"/>
          <w:i/>
          <w:color w:val="0D0D0D" w:themeColor="text1" w:themeTint="F2"/>
          <w:sz w:val="22"/>
          <w:szCs w:val="22"/>
        </w:rPr>
        <w:t xml:space="preserve">TLG </w:t>
      </w:r>
      <w:r w:rsidR="00D67834" w:rsidRPr="00F164FD">
        <w:rPr>
          <w:rFonts w:ascii="Arial" w:hAnsi="Arial" w:cs="Arial"/>
          <w:i/>
          <w:color w:val="0D0D0D" w:themeColor="text1" w:themeTint="F2"/>
          <w:sz w:val="22"/>
          <w:szCs w:val="22"/>
        </w:rPr>
        <w:t xml:space="preserve">Discussion </w:t>
      </w:r>
      <w:r w:rsidR="00C03F4D" w:rsidRPr="00F164FD">
        <w:rPr>
          <w:rFonts w:ascii="Arial" w:hAnsi="Arial" w:cs="Arial"/>
          <w:i/>
          <w:color w:val="0D0D0D" w:themeColor="text1" w:themeTint="F2"/>
          <w:sz w:val="22"/>
          <w:szCs w:val="22"/>
        </w:rPr>
        <w:t>P</w:t>
      </w:r>
      <w:r w:rsidRPr="00F164FD">
        <w:rPr>
          <w:rFonts w:ascii="Arial" w:hAnsi="Arial" w:cs="Arial"/>
          <w:i/>
          <w:color w:val="0D0D0D" w:themeColor="text1" w:themeTint="F2"/>
          <w:sz w:val="22"/>
          <w:szCs w:val="22"/>
        </w:rPr>
        <w:t xml:space="preserve">aper </w:t>
      </w:r>
      <w:r w:rsidR="00C03F4D" w:rsidRPr="00F164FD">
        <w:rPr>
          <w:rFonts w:ascii="Arial" w:hAnsi="Arial" w:cs="Arial"/>
          <w:i/>
          <w:color w:val="0D0D0D" w:themeColor="text1" w:themeTint="F2"/>
          <w:sz w:val="22"/>
          <w:szCs w:val="22"/>
        </w:rPr>
        <w:t>N</w:t>
      </w:r>
      <w:r w:rsidRPr="00F164FD">
        <w:rPr>
          <w:rFonts w:ascii="Arial" w:hAnsi="Arial" w:cs="Arial"/>
          <w:i/>
          <w:color w:val="0D0D0D" w:themeColor="text1" w:themeTint="F2"/>
          <w:sz w:val="22"/>
          <w:szCs w:val="22"/>
        </w:rPr>
        <w:t>o. 1</w:t>
      </w:r>
      <w:r w:rsidRPr="00F164FD">
        <w:rPr>
          <w:rFonts w:ascii="Arial" w:hAnsi="Arial" w:cs="Arial"/>
          <w:color w:val="0D0D0D" w:themeColor="text1" w:themeTint="F2"/>
          <w:sz w:val="22"/>
          <w:szCs w:val="22"/>
        </w:rPr>
        <w:t xml:space="preserve"> i</w:t>
      </w:r>
      <w:r w:rsidR="00FF0A93" w:rsidRPr="00F164FD">
        <w:rPr>
          <w:rFonts w:ascii="Arial" w:hAnsi="Arial" w:cs="Arial"/>
          <w:color w:val="0D0D0D" w:themeColor="text1" w:themeTint="F2"/>
          <w:sz w:val="22"/>
          <w:szCs w:val="22"/>
        </w:rPr>
        <w:t xml:space="preserve">t is proposed to </w:t>
      </w:r>
      <w:r w:rsidR="00C03F4D" w:rsidRPr="00F164FD">
        <w:rPr>
          <w:rFonts w:ascii="Arial" w:hAnsi="Arial" w:cs="Arial"/>
          <w:color w:val="0D0D0D" w:themeColor="text1" w:themeTint="F2"/>
          <w:sz w:val="22"/>
          <w:szCs w:val="22"/>
        </w:rPr>
        <w:t xml:space="preserve">optimise the framework for </w:t>
      </w:r>
      <w:r w:rsidR="00FF0A93" w:rsidRPr="00F164FD">
        <w:rPr>
          <w:rFonts w:ascii="Arial" w:hAnsi="Arial" w:cs="Arial"/>
          <w:color w:val="0D0D0D" w:themeColor="text1" w:themeTint="F2"/>
          <w:sz w:val="22"/>
          <w:szCs w:val="22"/>
        </w:rPr>
        <w:t>FDD services</w:t>
      </w:r>
      <w:r w:rsidR="00C03F4D" w:rsidRPr="00F164FD">
        <w:rPr>
          <w:rFonts w:ascii="Arial" w:hAnsi="Arial" w:cs="Arial"/>
          <w:color w:val="0D0D0D" w:themeColor="text1" w:themeTint="F2"/>
          <w:sz w:val="22"/>
          <w:szCs w:val="22"/>
        </w:rPr>
        <w:t xml:space="preserve"> as</w:t>
      </w:r>
      <w:r w:rsidR="00AE579A" w:rsidRPr="00F164FD">
        <w:rPr>
          <w:rFonts w:ascii="Arial" w:hAnsi="Arial" w:cs="Arial"/>
          <w:color w:val="0D0D0D" w:themeColor="text1" w:themeTint="F2"/>
          <w:sz w:val="22"/>
          <w:szCs w:val="22"/>
        </w:rPr>
        <w:t xml:space="preserve"> </w:t>
      </w:r>
      <w:r w:rsidR="00C03F4D" w:rsidRPr="00F164FD">
        <w:rPr>
          <w:rFonts w:ascii="Arial" w:hAnsi="Arial" w:cs="Arial"/>
          <w:color w:val="0D0D0D" w:themeColor="text1" w:themeTint="F2"/>
          <w:sz w:val="22"/>
          <w:szCs w:val="22"/>
        </w:rPr>
        <w:t xml:space="preserve">the indications from industry are that there </w:t>
      </w:r>
      <w:r w:rsidR="007D1DF2" w:rsidRPr="00F164FD">
        <w:rPr>
          <w:rFonts w:ascii="Arial" w:hAnsi="Arial" w:cs="Arial"/>
          <w:color w:val="0D0D0D" w:themeColor="text1" w:themeTint="F2"/>
          <w:sz w:val="22"/>
          <w:szCs w:val="22"/>
        </w:rPr>
        <w:t xml:space="preserve">is </w:t>
      </w:r>
      <w:r w:rsidR="00C03F4D" w:rsidRPr="00F164FD">
        <w:rPr>
          <w:rFonts w:ascii="Arial" w:hAnsi="Arial" w:cs="Arial"/>
          <w:color w:val="0D0D0D" w:themeColor="text1" w:themeTint="F2"/>
          <w:sz w:val="22"/>
          <w:szCs w:val="22"/>
        </w:rPr>
        <w:t xml:space="preserve">a preference in </w:t>
      </w:r>
      <w:r w:rsidR="007D1DF2" w:rsidRPr="00F164FD">
        <w:rPr>
          <w:rFonts w:ascii="Arial" w:hAnsi="Arial" w:cs="Arial"/>
          <w:color w:val="0D0D0D" w:themeColor="text1" w:themeTint="F2"/>
          <w:sz w:val="22"/>
          <w:szCs w:val="22"/>
        </w:rPr>
        <w:t xml:space="preserve">Australia </w:t>
      </w:r>
      <w:r w:rsidR="00C03F4D" w:rsidRPr="00F164FD">
        <w:rPr>
          <w:rFonts w:ascii="Arial" w:hAnsi="Arial" w:cs="Arial"/>
          <w:color w:val="0D0D0D" w:themeColor="text1" w:themeTint="F2"/>
          <w:sz w:val="22"/>
          <w:szCs w:val="22"/>
        </w:rPr>
        <w:t xml:space="preserve">for </w:t>
      </w:r>
      <w:r w:rsidR="007D1DF2" w:rsidRPr="00F164FD">
        <w:rPr>
          <w:rFonts w:ascii="Arial" w:hAnsi="Arial" w:cs="Arial"/>
          <w:color w:val="0D0D0D" w:themeColor="text1" w:themeTint="F2"/>
          <w:sz w:val="22"/>
          <w:szCs w:val="22"/>
        </w:rPr>
        <w:t xml:space="preserve">paired channels (FDD) </w:t>
      </w:r>
      <w:r w:rsidR="00C03F4D" w:rsidRPr="00F164FD">
        <w:rPr>
          <w:rFonts w:ascii="Arial" w:hAnsi="Arial" w:cs="Arial"/>
          <w:color w:val="0D0D0D" w:themeColor="text1" w:themeTint="F2"/>
          <w:sz w:val="22"/>
          <w:szCs w:val="22"/>
        </w:rPr>
        <w:t xml:space="preserve">while </w:t>
      </w:r>
      <w:r w:rsidR="007D1DF2" w:rsidRPr="00F164FD">
        <w:rPr>
          <w:rFonts w:ascii="Arial" w:hAnsi="Arial" w:cs="Arial"/>
          <w:color w:val="0D0D0D" w:themeColor="text1" w:themeTint="F2"/>
          <w:sz w:val="22"/>
          <w:szCs w:val="22"/>
        </w:rPr>
        <w:t xml:space="preserve">the likelihood for a requirement for TDD services is </w:t>
      </w:r>
      <w:r w:rsidR="00AA6925" w:rsidRPr="00F164FD">
        <w:rPr>
          <w:rFonts w:ascii="Arial" w:hAnsi="Arial" w:cs="Arial"/>
          <w:color w:val="0D0D0D" w:themeColor="text1" w:themeTint="F2"/>
          <w:sz w:val="22"/>
          <w:szCs w:val="22"/>
        </w:rPr>
        <w:t>low. It</w:t>
      </w:r>
      <w:r w:rsidR="00C03F4D" w:rsidRPr="00F164FD">
        <w:rPr>
          <w:rFonts w:ascii="Arial" w:hAnsi="Arial" w:cs="Arial"/>
          <w:color w:val="0D0D0D" w:themeColor="text1" w:themeTint="F2"/>
          <w:sz w:val="22"/>
          <w:szCs w:val="22"/>
        </w:rPr>
        <w:t xml:space="preserve"> should be noted that t</w:t>
      </w:r>
      <w:r w:rsidR="00FE54FE" w:rsidRPr="00F164FD">
        <w:rPr>
          <w:rFonts w:ascii="Arial" w:hAnsi="Arial" w:cs="Arial"/>
          <w:color w:val="0D0D0D" w:themeColor="text1" w:themeTint="F2"/>
          <w:sz w:val="22"/>
          <w:szCs w:val="22"/>
        </w:rPr>
        <w:t>here are flexibilities within th</w:t>
      </w:r>
      <w:r w:rsidRPr="00F164FD">
        <w:rPr>
          <w:rFonts w:ascii="Arial" w:hAnsi="Arial" w:cs="Arial"/>
          <w:color w:val="0D0D0D" w:themeColor="text1" w:themeTint="F2"/>
          <w:sz w:val="22"/>
          <w:szCs w:val="22"/>
        </w:rPr>
        <w:t>e</w:t>
      </w:r>
      <w:r w:rsidR="00FE54FE" w:rsidRPr="00F164FD">
        <w:rPr>
          <w:rFonts w:ascii="Arial" w:hAnsi="Arial" w:cs="Arial"/>
          <w:color w:val="0D0D0D" w:themeColor="text1" w:themeTint="F2"/>
          <w:sz w:val="22"/>
          <w:szCs w:val="22"/>
        </w:rPr>
        <w:t xml:space="preserve"> framework that </w:t>
      </w:r>
      <w:r w:rsidRPr="00F164FD">
        <w:rPr>
          <w:rFonts w:ascii="Arial" w:hAnsi="Arial" w:cs="Arial"/>
          <w:color w:val="0D0D0D" w:themeColor="text1" w:themeTint="F2"/>
          <w:sz w:val="22"/>
          <w:szCs w:val="22"/>
        </w:rPr>
        <w:t xml:space="preserve">would </w:t>
      </w:r>
      <w:r w:rsidR="00FE54FE" w:rsidRPr="00F164FD">
        <w:rPr>
          <w:rFonts w:ascii="Arial" w:hAnsi="Arial" w:cs="Arial"/>
          <w:color w:val="0D0D0D" w:themeColor="text1" w:themeTint="F2"/>
          <w:sz w:val="22"/>
          <w:szCs w:val="22"/>
        </w:rPr>
        <w:t xml:space="preserve">allow </w:t>
      </w:r>
      <w:r w:rsidRPr="00F164FD">
        <w:rPr>
          <w:rFonts w:ascii="Arial" w:hAnsi="Arial" w:cs="Arial"/>
          <w:color w:val="0D0D0D" w:themeColor="text1" w:themeTint="F2"/>
          <w:sz w:val="22"/>
          <w:szCs w:val="22"/>
        </w:rPr>
        <w:t xml:space="preserve">for </w:t>
      </w:r>
      <w:r w:rsidR="00FE54FE" w:rsidRPr="00F164FD">
        <w:rPr>
          <w:rFonts w:ascii="Arial" w:hAnsi="Arial" w:cs="Arial"/>
          <w:color w:val="0D0D0D" w:themeColor="text1" w:themeTint="F2"/>
          <w:sz w:val="22"/>
          <w:szCs w:val="22"/>
        </w:rPr>
        <w:t>the deployment of TDD services</w:t>
      </w:r>
      <w:r w:rsidR="00C03F4D" w:rsidRPr="00F164FD">
        <w:rPr>
          <w:rFonts w:ascii="Arial" w:hAnsi="Arial" w:cs="Arial"/>
          <w:color w:val="0D0D0D" w:themeColor="text1" w:themeTint="F2"/>
          <w:sz w:val="22"/>
          <w:szCs w:val="22"/>
        </w:rPr>
        <w:t xml:space="preserve"> if</w:t>
      </w:r>
      <w:r w:rsidRPr="00F164FD">
        <w:rPr>
          <w:rFonts w:ascii="Arial" w:hAnsi="Arial" w:cs="Arial"/>
          <w:color w:val="0D0D0D" w:themeColor="text1" w:themeTint="F2"/>
          <w:sz w:val="22"/>
          <w:szCs w:val="22"/>
        </w:rPr>
        <w:t xml:space="preserve"> </w:t>
      </w:r>
      <w:r w:rsidR="00AA6925" w:rsidRPr="00F164FD">
        <w:rPr>
          <w:rFonts w:ascii="Arial" w:hAnsi="Arial" w:cs="Arial"/>
          <w:color w:val="0D0D0D" w:themeColor="text1" w:themeTint="F2"/>
          <w:sz w:val="22"/>
          <w:szCs w:val="22"/>
        </w:rPr>
        <w:t>desired.</w:t>
      </w:r>
    </w:p>
    <w:p w:rsidR="00FF0A93" w:rsidRPr="00F164FD" w:rsidRDefault="00FF0A93" w:rsidP="009C074A">
      <w:pPr>
        <w:rPr>
          <w:rFonts w:ascii="Arial" w:hAnsi="Arial" w:cs="Arial"/>
          <w:color w:val="0D0D0D" w:themeColor="text1" w:themeTint="F2"/>
          <w:sz w:val="22"/>
          <w:szCs w:val="22"/>
        </w:rPr>
      </w:pPr>
    </w:p>
    <w:p w:rsidR="009C074A" w:rsidRPr="00F164FD" w:rsidRDefault="00FF0A93"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proposed </w:t>
      </w:r>
      <w:r w:rsidR="009C074A" w:rsidRPr="00F164FD">
        <w:rPr>
          <w:rFonts w:ascii="Arial" w:hAnsi="Arial" w:cs="Arial"/>
          <w:color w:val="0D0D0D" w:themeColor="text1" w:themeTint="F2"/>
          <w:sz w:val="22"/>
          <w:szCs w:val="22"/>
        </w:rPr>
        <w:t xml:space="preserve">system model parameters </w:t>
      </w:r>
      <w:r w:rsidR="00295DFC" w:rsidRPr="00F164FD">
        <w:rPr>
          <w:rFonts w:ascii="Arial" w:hAnsi="Arial" w:cs="Arial"/>
          <w:color w:val="0D0D0D" w:themeColor="text1" w:themeTint="F2"/>
          <w:sz w:val="22"/>
          <w:szCs w:val="22"/>
        </w:rPr>
        <w:t xml:space="preserve">are derived </w:t>
      </w:r>
      <w:r w:rsidR="009C074A" w:rsidRPr="00F164FD">
        <w:rPr>
          <w:rFonts w:ascii="Arial" w:hAnsi="Arial" w:cs="Arial"/>
          <w:color w:val="0D0D0D" w:themeColor="text1" w:themeTint="F2"/>
          <w:sz w:val="22"/>
          <w:szCs w:val="22"/>
        </w:rPr>
        <w:t xml:space="preserve">from </w:t>
      </w:r>
      <w:r w:rsidR="00B70405" w:rsidRPr="00F164FD">
        <w:rPr>
          <w:rFonts w:ascii="Arial" w:hAnsi="Arial" w:cs="Arial"/>
          <w:color w:val="0D0D0D" w:themeColor="text1" w:themeTint="F2"/>
          <w:sz w:val="22"/>
          <w:szCs w:val="22"/>
        </w:rPr>
        <w:t xml:space="preserve">the reference technologies in </w:t>
      </w:r>
      <w:fldSimple w:instr=" REF _Ref303850104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1</w:t>
        </w:r>
      </w:fldSimple>
      <w:r w:rsidR="00746CE0" w:rsidRPr="00F164FD">
        <w:rPr>
          <w:rFonts w:ascii="Arial" w:hAnsi="Arial" w:cs="Arial"/>
          <w:color w:val="0D0D0D" w:themeColor="text1" w:themeTint="F2"/>
          <w:sz w:val="22"/>
          <w:szCs w:val="22"/>
        </w:rPr>
        <w:t xml:space="preserve"> </w:t>
      </w:r>
      <w:r w:rsidR="00B70405" w:rsidRPr="00F164FD">
        <w:rPr>
          <w:rFonts w:ascii="Arial" w:hAnsi="Arial" w:cs="Arial"/>
          <w:color w:val="0D0D0D" w:themeColor="text1" w:themeTint="F2"/>
          <w:sz w:val="22"/>
          <w:szCs w:val="22"/>
        </w:rPr>
        <w:t>for the base station transmitter (</w:t>
      </w:r>
      <w:fldSimple w:instr=" REF _Ref303850313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2</w:t>
        </w:r>
      </w:fldSimple>
      <w:r w:rsidR="00B70405" w:rsidRPr="00F164FD">
        <w:rPr>
          <w:rFonts w:ascii="Arial" w:hAnsi="Arial" w:cs="Arial"/>
          <w:color w:val="0D0D0D" w:themeColor="text1" w:themeTint="F2"/>
          <w:sz w:val="22"/>
          <w:szCs w:val="22"/>
        </w:rPr>
        <w:t>), base station receiver (</w:t>
      </w:r>
      <w:fldSimple w:instr=" REF _Ref303850427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3</w:t>
        </w:r>
      </w:fldSimple>
      <w:r w:rsidR="00B70405" w:rsidRPr="00F164FD">
        <w:rPr>
          <w:rFonts w:ascii="Arial" w:hAnsi="Arial" w:cs="Arial"/>
          <w:color w:val="0D0D0D" w:themeColor="text1" w:themeTint="F2"/>
          <w:sz w:val="22"/>
          <w:szCs w:val="22"/>
        </w:rPr>
        <w:t>), UE transmitter (</w:t>
      </w:r>
      <w:fldSimple w:instr=" REF _Ref303850442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4</w:t>
        </w:r>
      </w:fldSimple>
      <w:r w:rsidR="00B70405" w:rsidRPr="00F164FD">
        <w:rPr>
          <w:rFonts w:ascii="Arial" w:hAnsi="Arial" w:cs="Arial"/>
          <w:color w:val="0D0D0D" w:themeColor="text1" w:themeTint="F2"/>
          <w:sz w:val="22"/>
          <w:szCs w:val="22"/>
        </w:rPr>
        <w:t>) and UE receiver (</w:t>
      </w:r>
      <w:fldSimple w:instr=" REF _Ref303850445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5</w:t>
        </w:r>
      </w:fldSimple>
      <w:r w:rsidR="00B70405" w:rsidRPr="00F164FD">
        <w:rPr>
          <w:rFonts w:ascii="Arial" w:hAnsi="Arial" w:cs="Arial"/>
          <w:color w:val="0D0D0D" w:themeColor="text1" w:themeTint="F2"/>
          <w:sz w:val="22"/>
          <w:szCs w:val="22"/>
        </w:rPr>
        <w:t>).</w:t>
      </w:r>
    </w:p>
    <w:p w:rsidR="009C074A" w:rsidRPr="00F164FD" w:rsidRDefault="009C074A" w:rsidP="009C074A">
      <w:pPr>
        <w:rPr>
          <w:rFonts w:ascii="Arial" w:hAnsi="Arial" w:cs="Arial"/>
          <w:color w:val="0D0D0D" w:themeColor="text1" w:themeTint="F2"/>
          <w:sz w:val="22"/>
          <w:szCs w:val="22"/>
        </w:rPr>
      </w:pPr>
    </w:p>
    <w:tbl>
      <w:tblPr>
        <w:tblStyle w:val="TableGrid"/>
        <w:tblW w:w="8188" w:type="dxa"/>
        <w:tblLook w:val="01E0"/>
      </w:tblPr>
      <w:tblGrid>
        <w:gridCol w:w="3203"/>
        <w:gridCol w:w="2292"/>
        <w:gridCol w:w="2693"/>
      </w:tblGrid>
      <w:tr w:rsidR="00CF2879" w:rsidRPr="00F164FD" w:rsidTr="00CF2879">
        <w:trPr>
          <w:trHeight w:val="573"/>
        </w:trPr>
        <w:tc>
          <w:tcPr>
            <w:tcW w:w="8188" w:type="dxa"/>
            <w:gridSpan w:val="3"/>
            <w:tcBorders>
              <w:left w:val="nil"/>
              <w:bottom w:val="single" w:sz="4" w:space="0" w:color="auto"/>
              <w:right w:val="nil"/>
            </w:tcBorders>
            <w:vAlign w:val="center"/>
          </w:tcPr>
          <w:p w:rsidR="00CF2879" w:rsidRPr="00CF2879" w:rsidRDefault="00CF2879" w:rsidP="0060073B">
            <w:pPr>
              <w:pStyle w:val="Caption"/>
              <w:spacing w:after="0"/>
              <w:rPr>
                <w:rFonts w:ascii="Arial" w:hAnsi="Arial" w:cs="Arial"/>
                <w:color w:val="A6A6A6" w:themeColor="background1" w:themeShade="A6"/>
                <w:sz w:val="22"/>
                <w:szCs w:val="22"/>
              </w:rPr>
            </w:pPr>
            <w:bookmarkStart w:id="2" w:name="_Ref303850313"/>
            <w:r w:rsidRPr="00CF2879">
              <w:rPr>
                <w:rFonts w:ascii="Arial" w:hAnsi="Arial" w:cs="Arial"/>
                <w:color w:val="A6A6A6" w:themeColor="background1" w:themeShade="A6"/>
                <w:sz w:val="22"/>
                <w:szCs w:val="22"/>
              </w:rPr>
              <w:t xml:space="preserve">Table </w:t>
            </w:r>
            <w:r w:rsidR="00034064" w:rsidRPr="00CF2879">
              <w:rPr>
                <w:rFonts w:ascii="Arial" w:hAnsi="Arial" w:cs="Arial"/>
                <w:color w:val="A6A6A6" w:themeColor="background1" w:themeShade="A6"/>
                <w:sz w:val="22"/>
                <w:szCs w:val="22"/>
              </w:rPr>
              <w:fldChar w:fldCharType="begin"/>
            </w:r>
            <w:r w:rsidRPr="00CF2879">
              <w:rPr>
                <w:rFonts w:ascii="Arial" w:hAnsi="Arial" w:cs="Arial"/>
                <w:color w:val="A6A6A6" w:themeColor="background1" w:themeShade="A6"/>
                <w:sz w:val="22"/>
                <w:szCs w:val="22"/>
              </w:rPr>
              <w:instrText xml:space="preserve"> SEQ Table \* ARABIC </w:instrText>
            </w:r>
            <w:r w:rsidR="00034064" w:rsidRPr="00CF2879">
              <w:rPr>
                <w:rFonts w:ascii="Arial" w:hAnsi="Arial" w:cs="Arial"/>
                <w:color w:val="A6A6A6" w:themeColor="background1" w:themeShade="A6"/>
                <w:sz w:val="22"/>
                <w:szCs w:val="22"/>
              </w:rPr>
              <w:fldChar w:fldCharType="separate"/>
            </w:r>
            <w:r w:rsidRPr="00CF2879">
              <w:rPr>
                <w:rFonts w:ascii="Arial" w:hAnsi="Arial" w:cs="Arial"/>
                <w:noProof/>
                <w:color w:val="A6A6A6" w:themeColor="background1" w:themeShade="A6"/>
                <w:sz w:val="22"/>
                <w:szCs w:val="22"/>
              </w:rPr>
              <w:t>2</w:t>
            </w:r>
            <w:r w:rsidR="00034064" w:rsidRPr="00CF2879">
              <w:rPr>
                <w:rFonts w:ascii="Arial" w:hAnsi="Arial" w:cs="Arial"/>
                <w:color w:val="A6A6A6" w:themeColor="background1" w:themeShade="A6"/>
                <w:sz w:val="22"/>
                <w:szCs w:val="22"/>
              </w:rPr>
              <w:fldChar w:fldCharType="end"/>
            </w:r>
            <w:bookmarkEnd w:id="2"/>
            <w:r w:rsidRPr="00CF2879">
              <w:rPr>
                <w:rFonts w:ascii="Arial" w:hAnsi="Arial" w:cs="Arial"/>
                <w:color w:val="A6A6A6" w:themeColor="background1" w:themeShade="A6"/>
                <w:sz w:val="22"/>
                <w:szCs w:val="22"/>
              </w:rPr>
              <w:t xml:space="preserve"> </w:t>
            </w:r>
            <w:r w:rsidR="0060073B">
              <w:rPr>
                <w:rFonts w:ascii="Arial" w:hAnsi="Arial" w:cs="Arial"/>
                <w:color w:val="A6A6A6" w:themeColor="background1" w:themeShade="A6"/>
                <w:sz w:val="22"/>
                <w:szCs w:val="22"/>
              </w:rPr>
              <w:t>B</w:t>
            </w:r>
            <w:r w:rsidRPr="00CF2879">
              <w:rPr>
                <w:rFonts w:ascii="Arial" w:hAnsi="Arial" w:cs="Arial"/>
                <w:color w:val="A6A6A6" w:themeColor="background1" w:themeShade="A6"/>
                <w:sz w:val="22"/>
                <w:szCs w:val="22"/>
              </w:rPr>
              <w:t>ase station transmitter</w:t>
            </w:r>
          </w:p>
        </w:tc>
      </w:tr>
      <w:tr w:rsidR="009F3874" w:rsidRPr="00F164FD" w:rsidTr="006D6E5B">
        <w:tc>
          <w:tcPr>
            <w:tcW w:w="3203" w:type="dxa"/>
            <w:shd w:val="clear" w:color="auto" w:fill="D9D9D9" w:themeFill="background1" w:themeFillShade="D9"/>
          </w:tcPr>
          <w:p w:rsidR="009F3874" w:rsidRPr="00F164FD" w:rsidRDefault="009F3874" w:rsidP="004A536A">
            <w:pP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Parameter</w:t>
            </w:r>
          </w:p>
        </w:tc>
        <w:tc>
          <w:tcPr>
            <w:tcW w:w="2292" w:type="dxa"/>
            <w:shd w:val="clear" w:color="auto" w:fill="D9D9D9" w:themeFill="background1" w:themeFillShade="D9"/>
          </w:tcPr>
          <w:p w:rsidR="009F3874" w:rsidRPr="00F164FD" w:rsidRDefault="00B90F51" w:rsidP="004A536A">
            <w:pPr>
              <w:jc w:val="cente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UMTS</w:t>
            </w:r>
          </w:p>
        </w:tc>
        <w:tc>
          <w:tcPr>
            <w:tcW w:w="2693" w:type="dxa"/>
            <w:shd w:val="clear" w:color="auto" w:fill="D9D9D9" w:themeFill="background1" w:themeFillShade="D9"/>
          </w:tcPr>
          <w:p w:rsidR="009F3874" w:rsidRPr="00F164FD" w:rsidRDefault="009F3874" w:rsidP="004A536A">
            <w:pPr>
              <w:jc w:val="cente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LTE</w:t>
            </w:r>
          </w:p>
        </w:tc>
      </w:tr>
      <w:tr w:rsidR="009F3874" w:rsidRPr="00F164FD" w:rsidTr="006D6E5B">
        <w:tc>
          <w:tcPr>
            <w:tcW w:w="3203" w:type="dxa"/>
          </w:tcPr>
          <w:p w:rsidR="009F3874" w:rsidRPr="00F164FD" w:rsidRDefault="00F164FD" w:rsidP="00CF2879">
            <w:pPr>
              <w:rPr>
                <w:rFonts w:ascii="Arial" w:hAnsi="Arial" w:cs="Arial"/>
                <w:color w:val="0D0D0D" w:themeColor="text1" w:themeTint="F2"/>
                <w:sz w:val="22"/>
                <w:szCs w:val="22"/>
              </w:rPr>
            </w:pPr>
            <w:r>
              <w:rPr>
                <w:rFonts w:ascii="Arial" w:hAnsi="Arial" w:cs="Arial"/>
                <w:color w:val="0D0D0D" w:themeColor="text1" w:themeTint="F2"/>
                <w:sz w:val="22"/>
                <w:szCs w:val="22"/>
              </w:rPr>
              <w:t>Height above</w:t>
            </w:r>
            <w:r w:rsidR="00CF2879">
              <w:rPr>
                <w:rFonts w:ascii="Arial" w:hAnsi="Arial" w:cs="Arial"/>
                <w:color w:val="0D0D0D" w:themeColor="text1" w:themeTint="F2"/>
                <w:sz w:val="22"/>
                <w:szCs w:val="22"/>
              </w:rPr>
              <w:t xml:space="preserve"> </w:t>
            </w:r>
            <w:r w:rsidR="009F3874" w:rsidRPr="00F164FD">
              <w:rPr>
                <w:rFonts w:ascii="Arial" w:hAnsi="Arial" w:cs="Arial"/>
                <w:color w:val="0D0D0D" w:themeColor="text1" w:themeTint="F2"/>
                <w:sz w:val="22"/>
                <w:szCs w:val="22"/>
              </w:rPr>
              <w:t>ground level</w:t>
            </w:r>
          </w:p>
        </w:tc>
        <w:tc>
          <w:tcPr>
            <w:tcW w:w="2292" w:type="dxa"/>
          </w:tcPr>
          <w:p w:rsidR="00912FD8" w:rsidRPr="00F164FD" w:rsidRDefault="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30 m</w:t>
            </w:r>
          </w:p>
        </w:tc>
        <w:tc>
          <w:tcPr>
            <w:tcW w:w="2693" w:type="dxa"/>
          </w:tcPr>
          <w:p w:rsidR="00912FD8" w:rsidRPr="00F164FD" w:rsidRDefault="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30 m</w:t>
            </w:r>
          </w:p>
        </w:tc>
      </w:tr>
      <w:tr w:rsidR="009F3874" w:rsidRPr="00F164FD" w:rsidTr="006D6E5B">
        <w:tc>
          <w:tcPr>
            <w:tcW w:w="3203" w:type="dxa"/>
            <w:vMerge w:val="restart"/>
          </w:tcPr>
          <w:p w:rsidR="009F3874" w:rsidRPr="00F164FD" w:rsidRDefault="00912FD8" w:rsidP="00912FD8">
            <w:pPr>
              <w:rPr>
                <w:rFonts w:ascii="Arial" w:hAnsi="Arial" w:cs="Arial"/>
                <w:color w:val="0D0D0D" w:themeColor="text1" w:themeTint="F2"/>
                <w:sz w:val="22"/>
                <w:szCs w:val="22"/>
              </w:rPr>
            </w:pPr>
            <w:r w:rsidRPr="00F164FD">
              <w:rPr>
                <w:rFonts w:ascii="Arial" w:hAnsi="Arial" w:cs="Arial"/>
                <w:color w:val="0D0D0D" w:themeColor="text1" w:themeTint="F2"/>
                <w:sz w:val="22"/>
                <w:szCs w:val="22"/>
              </w:rPr>
              <w:t>T</w:t>
            </w:r>
            <w:r w:rsidR="00B90F51" w:rsidRPr="00F164FD">
              <w:rPr>
                <w:rFonts w:ascii="Arial" w:hAnsi="Arial" w:cs="Arial"/>
                <w:color w:val="0D0D0D" w:themeColor="text1" w:themeTint="F2"/>
                <w:sz w:val="22"/>
                <w:szCs w:val="22"/>
              </w:rPr>
              <w:t>ransmitter power</w:t>
            </w:r>
          </w:p>
        </w:tc>
        <w:tc>
          <w:tcPr>
            <w:tcW w:w="2292" w:type="dxa"/>
          </w:tcPr>
          <w:p w:rsidR="009F3874" w:rsidRPr="00F164FD" w:rsidRDefault="00B90F51"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43 dBm/3.84</w:t>
            </w:r>
            <w:r w:rsidR="009F3874" w:rsidRPr="00F164FD">
              <w:rPr>
                <w:rFonts w:ascii="Arial" w:hAnsi="Arial" w:cs="Arial"/>
                <w:color w:val="0D0D0D" w:themeColor="text1" w:themeTint="F2"/>
                <w:sz w:val="22"/>
                <w:szCs w:val="22"/>
              </w:rPr>
              <w:t xml:space="preserve"> MHz</w:t>
            </w:r>
          </w:p>
        </w:tc>
        <w:tc>
          <w:tcPr>
            <w:tcW w:w="2693" w:type="dxa"/>
          </w:tcPr>
          <w:p w:rsidR="009F3874" w:rsidRPr="00F164FD" w:rsidRDefault="00B90F51"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43 dBm/</w:t>
            </w:r>
            <w:r w:rsidR="009F3874" w:rsidRPr="00F164FD">
              <w:rPr>
                <w:rFonts w:ascii="Arial" w:hAnsi="Arial" w:cs="Arial"/>
                <w:color w:val="0D0D0D" w:themeColor="text1" w:themeTint="F2"/>
                <w:sz w:val="22"/>
                <w:szCs w:val="22"/>
              </w:rPr>
              <w:t>4.515 MHz</w:t>
            </w:r>
          </w:p>
        </w:tc>
      </w:tr>
      <w:tr w:rsidR="009F3874" w:rsidRPr="00F164FD" w:rsidTr="006D6E5B">
        <w:tc>
          <w:tcPr>
            <w:tcW w:w="3203" w:type="dxa"/>
            <w:vMerge/>
          </w:tcPr>
          <w:p w:rsidR="009F3874" w:rsidRPr="00F164FD" w:rsidRDefault="009F3874" w:rsidP="0000486B">
            <w:pPr>
              <w:rPr>
                <w:rFonts w:ascii="Arial" w:hAnsi="Arial" w:cs="Arial"/>
                <w:color w:val="0D0D0D" w:themeColor="text1" w:themeTint="F2"/>
                <w:sz w:val="22"/>
                <w:szCs w:val="22"/>
              </w:rPr>
            </w:pPr>
          </w:p>
        </w:tc>
        <w:tc>
          <w:tcPr>
            <w:tcW w:w="2292" w:type="dxa"/>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21.9 dBm/30 kHz</w:t>
            </w:r>
          </w:p>
        </w:tc>
        <w:tc>
          <w:tcPr>
            <w:tcW w:w="2693" w:type="dxa"/>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21.2 dBm/30 kHz</w:t>
            </w:r>
          </w:p>
        </w:tc>
      </w:tr>
      <w:tr w:rsidR="009F3874" w:rsidRPr="00F164FD" w:rsidTr="006D6E5B">
        <w:tc>
          <w:tcPr>
            <w:tcW w:w="3203" w:type="dxa"/>
          </w:tcPr>
          <w:p w:rsidR="009F3874" w:rsidRPr="00F164FD" w:rsidRDefault="00F164FD" w:rsidP="00CF2879">
            <w:pPr>
              <w:rPr>
                <w:rFonts w:ascii="Arial" w:hAnsi="Arial" w:cs="Arial"/>
                <w:color w:val="0D0D0D" w:themeColor="text1" w:themeTint="F2"/>
                <w:sz w:val="22"/>
                <w:szCs w:val="22"/>
              </w:rPr>
            </w:pPr>
            <w:r>
              <w:rPr>
                <w:rFonts w:ascii="Arial" w:hAnsi="Arial" w:cs="Arial"/>
                <w:color w:val="0D0D0D" w:themeColor="text1" w:themeTint="F2"/>
                <w:sz w:val="22"/>
                <w:szCs w:val="22"/>
              </w:rPr>
              <w:t>Antenna gain</w:t>
            </w:r>
            <w:r w:rsidR="00CF2879">
              <w:rPr>
                <w:rFonts w:ascii="Arial" w:hAnsi="Arial" w:cs="Arial"/>
                <w:color w:val="0D0D0D" w:themeColor="text1" w:themeTint="F2"/>
                <w:sz w:val="22"/>
                <w:szCs w:val="22"/>
              </w:rPr>
              <w:t xml:space="preserve"> </w:t>
            </w:r>
            <w:r w:rsidR="00B90F51" w:rsidRPr="00F164FD">
              <w:rPr>
                <w:rFonts w:ascii="Arial" w:hAnsi="Arial" w:cs="Arial"/>
                <w:color w:val="0D0D0D" w:themeColor="text1" w:themeTint="F2"/>
                <w:sz w:val="22"/>
                <w:szCs w:val="22"/>
              </w:rPr>
              <w:t>(includ</w:t>
            </w:r>
            <w:r w:rsidR="009F3874" w:rsidRPr="00F164FD">
              <w:rPr>
                <w:rFonts w:ascii="Arial" w:hAnsi="Arial" w:cs="Arial"/>
                <w:color w:val="0D0D0D" w:themeColor="text1" w:themeTint="F2"/>
                <w:sz w:val="22"/>
                <w:szCs w:val="22"/>
              </w:rPr>
              <w:t>ing</w:t>
            </w:r>
            <w:r w:rsidR="00B90F51" w:rsidRPr="00F164FD">
              <w:rPr>
                <w:rFonts w:ascii="Arial" w:hAnsi="Arial" w:cs="Arial"/>
                <w:color w:val="0D0D0D" w:themeColor="text1" w:themeTint="F2"/>
                <w:sz w:val="22"/>
                <w:szCs w:val="22"/>
              </w:rPr>
              <w:t xml:space="preserve"> loss</w:t>
            </w:r>
            <w:r w:rsidR="009F3874" w:rsidRPr="00F164FD">
              <w:rPr>
                <w:rFonts w:ascii="Arial" w:hAnsi="Arial" w:cs="Arial"/>
                <w:color w:val="0D0D0D" w:themeColor="text1" w:themeTint="F2"/>
                <w:sz w:val="22"/>
                <w:szCs w:val="22"/>
              </w:rPr>
              <w:t>es</w:t>
            </w:r>
            <w:r w:rsidR="00B90F51" w:rsidRPr="00F164FD">
              <w:rPr>
                <w:rFonts w:ascii="Arial" w:hAnsi="Arial" w:cs="Arial"/>
                <w:color w:val="0D0D0D" w:themeColor="text1" w:themeTint="F2"/>
                <w:sz w:val="22"/>
                <w:szCs w:val="22"/>
              </w:rPr>
              <w:t>)</w:t>
            </w:r>
          </w:p>
        </w:tc>
        <w:tc>
          <w:tcPr>
            <w:tcW w:w="2292" w:type="dxa"/>
          </w:tcPr>
          <w:p w:rsidR="009F3874" w:rsidRPr="00F164FD" w:rsidRDefault="009F3874" w:rsidP="00D569FE">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15 dBi</w:t>
            </w:r>
          </w:p>
        </w:tc>
        <w:tc>
          <w:tcPr>
            <w:tcW w:w="2693" w:type="dxa"/>
          </w:tcPr>
          <w:p w:rsidR="009F3874" w:rsidRPr="00F164FD" w:rsidRDefault="009F3874" w:rsidP="00D569FE">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15 dBi</w:t>
            </w:r>
          </w:p>
        </w:tc>
      </w:tr>
      <w:tr w:rsidR="009F3874" w:rsidRPr="00F164FD" w:rsidTr="006D6E5B">
        <w:tc>
          <w:tcPr>
            <w:tcW w:w="3203" w:type="dxa"/>
            <w:vMerge w:val="restart"/>
          </w:tcPr>
          <w:p w:rsidR="009F3874" w:rsidRPr="00F164FD" w:rsidRDefault="00B90F51" w:rsidP="00CF2879">
            <w:pPr>
              <w:rPr>
                <w:rFonts w:ascii="Arial" w:hAnsi="Arial" w:cs="Arial"/>
                <w:color w:val="0D0D0D" w:themeColor="text1" w:themeTint="F2"/>
                <w:sz w:val="22"/>
                <w:szCs w:val="22"/>
              </w:rPr>
            </w:pPr>
            <w:r w:rsidRPr="00F164FD">
              <w:rPr>
                <w:rFonts w:ascii="Arial" w:hAnsi="Arial" w:cs="Arial"/>
                <w:color w:val="0D0D0D" w:themeColor="text1" w:themeTint="F2"/>
                <w:sz w:val="22"/>
                <w:szCs w:val="22"/>
              </w:rPr>
              <w:t>EIRP</w:t>
            </w:r>
          </w:p>
        </w:tc>
        <w:tc>
          <w:tcPr>
            <w:tcW w:w="2292" w:type="dxa"/>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58</w:t>
            </w:r>
            <w:r w:rsidR="00B90F51" w:rsidRPr="00F164FD">
              <w:rPr>
                <w:rFonts w:ascii="Arial" w:hAnsi="Arial" w:cs="Arial"/>
                <w:color w:val="0D0D0D" w:themeColor="text1" w:themeTint="F2"/>
                <w:sz w:val="22"/>
                <w:szCs w:val="22"/>
              </w:rPr>
              <w:t xml:space="preserve"> dBm/3.84</w:t>
            </w:r>
            <w:r w:rsidRPr="00F164FD">
              <w:rPr>
                <w:rFonts w:ascii="Arial" w:hAnsi="Arial" w:cs="Arial"/>
                <w:color w:val="0D0D0D" w:themeColor="text1" w:themeTint="F2"/>
                <w:sz w:val="22"/>
                <w:szCs w:val="22"/>
              </w:rPr>
              <w:t xml:space="preserve"> MHz</w:t>
            </w:r>
          </w:p>
        </w:tc>
        <w:tc>
          <w:tcPr>
            <w:tcW w:w="2693" w:type="dxa"/>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58</w:t>
            </w:r>
            <w:r w:rsidR="00B90F51" w:rsidRPr="00F164FD">
              <w:rPr>
                <w:rFonts w:ascii="Arial" w:hAnsi="Arial" w:cs="Arial"/>
                <w:color w:val="0D0D0D" w:themeColor="text1" w:themeTint="F2"/>
                <w:sz w:val="22"/>
                <w:szCs w:val="22"/>
              </w:rPr>
              <w:t xml:space="preserve"> dBm/</w:t>
            </w:r>
            <w:r w:rsidRPr="00F164FD">
              <w:rPr>
                <w:rFonts w:ascii="Arial" w:hAnsi="Arial" w:cs="Arial"/>
                <w:color w:val="0D0D0D" w:themeColor="text1" w:themeTint="F2"/>
                <w:sz w:val="22"/>
                <w:szCs w:val="22"/>
              </w:rPr>
              <w:t>4.515 MHz</w:t>
            </w:r>
          </w:p>
        </w:tc>
      </w:tr>
      <w:tr w:rsidR="009F3874" w:rsidRPr="00F164FD" w:rsidTr="006D6E5B">
        <w:tc>
          <w:tcPr>
            <w:tcW w:w="3203" w:type="dxa"/>
            <w:vMerge/>
            <w:tcBorders>
              <w:bottom w:val="single" w:sz="4" w:space="0" w:color="auto"/>
            </w:tcBorders>
          </w:tcPr>
          <w:p w:rsidR="009F3874" w:rsidRPr="00F164FD" w:rsidRDefault="009F3874" w:rsidP="004E1C78">
            <w:pPr>
              <w:rPr>
                <w:rFonts w:ascii="Arial" w:hAnsi="Arial" w:cs="Arial"/>
                <w:color w:val="0D0D0D" w:themeColor="text1" w:themeTint="F2"/>
                <w:sz w:val="22"/>
                <w:szCs w:val="22"/>
              </w:rPr>
            </w:pPr>
          </w:p>
        </w:tc>
        <w:tc>
          <w:tcPr>
            <w:tcW w:w="2292" w:type="dxa"/>
            <w:tcBorders>
              <w:bottom w:val="single" w:sz="4" w:space="0" w:color="auto"/>
            </w:tcBorders>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36.9 dBm/30 kHz</w:t>
            </w:r>
            <w:r w:rsidRPr="00F164FD" w:rsidDel="00054CF7">
              <w:rPr>
                <w:rFonts w:ascii="Arial" w:hAnsi="Arial" w:cs="Arial"/>
                <w:color w:val="0D0D0D" w:themeColor="text1" w:themeTint="F2"/>
                <w:sz w:val="22"/>
                <w:szCs w:val="22"/>
              </w:rPr>
              <w:t xml:space="preserve"> </w:t>
            </w:r>
          </w:p>
        </w:tc>
        <w:tc>
          <w:tcPr>
            <w:tcW w:w="2693" w:type="dxa"/>
            <w:tcBorders>
              <w:bottom w:val="single" w:sz="4" w:space="0" w:color="auto"/>
            </w:tcBorders>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36.2 dBm/30 kHz</w:t>
            </w:r>
            <w:r w:rsidRPr="00F164FD" w:rsidDel="00054CF7">
              <w:rPr>
                <w:rFonts w:ascii="Arial" w:hAnsi="Arial" w:cs="Arial"/>
                <w:color w:val="0D0D0D" w:themeColor="text1" w:themeTint="F2"/>
                <w:sz w:val="22"/>
                <w:szCs w:val="22"/>
              </w:rPr>
              <w:t xml:space="preserve"> </w:t>
            </w:r>
          </w:p>
        </w:tc>
      </w:tr>
      <w:tr w:rsidR="00CF2879" w:rsidRPr="00F164FD" w:rsidTr="006D6E5B">
        <w:trPr>
          <w:trHeight w:val="289"/>
        </w:trPr>
        <w:tc>
          <w:tcPr>
            <w:tcW w:w="3203" w:type="dxa"/>
            <w:tcBorders>
              <w:left w:val="nil"/>
              <w:right w:val="nil"/>
            </w:tcBorders>
          </w:tcPr>
          <w:p w:rsidR="00CF2879" w:rsidRPr="00F164FD" w:rsidRDefault="00CF2879" w:rsidP="004E1C78">
            <w:pPr>
              <w:rPr>
                <w:rFonts w:ascii="Arial" w:hAnsi="Arial" w:cs="Arial"/>
                <w:color w:val="0D0D0D" w:themeColor="text1" w:themeTint="F2"/>
                <w:sz w:val="22"/>
                <w:szCs w:val="22"/>
              </w:rPr>
            </w:pPr>
          </w:p>
        </w:tc>
        <w:tc>
          <w:tcPr>
            <w:tcW w:w="2292" w:type="dxa"/>
            <w:tcBorders>
              <w:left w:val="nil"/>
              <w:right w:val="nil"/>
            </w:tcBorders>
          </w:tcPr>
          <w:p w:rsidR="00CF2879" w:rsidRPr="00F164FD" w:rsidRDefault="00CF2879" w:rsidP="009F3874">
            <w:pPr>
              <w:jc w:val="center"/>
              <w:rPr>
                <w:rFonts w:ascii="Arial" w:hAnsi="Arial" w:cs="Arial"/>
                <w:color w:val="0D0D0D" w:themeColor="text1" w:themeTint="F2"/>
                <w:sz w:val="22"/>
                <w:szCs w:val="22"/>
              </w:rPr>
            </w:pPr>
          </w:p>
        </w:tc>
        <w:tc>
          <w:tcPr>
            <w:tcW w:w="2693" w:type="dxa"/>
            <w:tcBorders>
              <w:left w:val="nil"/>
              <w:right w:val="nil"/>
            </w:tcBorders>
          </w:tcPr>
          <w:p w:rsidR="00CF2879" w:rsidRPr="00F164FD" w:rsidRDefault="00CF2879" w:rsidP="009F3874">
            <w:pPr>
              <w:jc w:val="center"/>
              <w:rPr>
                <w:rFonts w:ascii="Arial" w:hAnsi="Arial" w:cs="Arial"/>
                <w:color w:val="0D0D0D" w:themeColor="text1" w:themeTint="F2"/>
                <w:sz w:val="22"/>
                <w:szCs w:val="22"/>
              </w:rPr>
            </w:pPr>
          </w:p>
        </w:tc>
      </w:tr>
    </w:tbl>
    <w:p w:rsidR="009C074A" w:rsidRPr="00F164FD" w:rsidRDefault="009C074A" w:rsidP="009C074A">
      <w:pPr>
        <w:rPr>
          <w:rFonts w:ascii="Arial" w:hAnsi="Arial" w:cs="Arial"/>
          <w:color w:val="0D0D0D" w:themeColor="text1" w:themeTint="F2"/>
          <w:sz w:val="22"/>
          <w:szCs w:val="22"/>
        </w:rPr>
      </w:pPr>
    </w:p>
    <w:tbl>
      <w:tblPr>
        <w:tblStyle w:val="TableGrid"/>
        <w:tblW w:w="8188" w:type="dxa"/>
        <w:tblLook w:val="01E0"/>
      </w:tblPr>
      <w:tblGrid>
        <w:gridCol w:w="3227"/>
        <w:gridCol w:w="2268"/>
        <w:gridCol w:w="2693"/>
      </w:tblGrid>
      <w:tr w:rsidR="00CF2879" w:rsidRPr="00CF2879" w:rsidTr="00CF2879">
        <w:trPr>
          <w:trHeight w:val="573"/>
        </w:trPr>
        <w:tc>
          <w:tcPr>
            <w:tcW w:w="8188" w:type="dxa"/>
            <w:gridSpan w:val="3"/>
            <w:tcBorders>
              <w:left w:val="nil"/>
              <w:bottom w:val="single" w:sz="4" w:space="0" w:color="auto"/>
              <w:right w:val="nil"/>
            </w:tcBorders>
            <w:vAlign w:val="center"/>
          </w:tcPr>
          <w:p w:rsidR="00CF2879" w:rsidRPr="00CF2879" w:rsidRDefault="00CF2879" w:rsidP="00CF2879">
            <w:pPr>
              <w:pStyle w:val="Caption"/>
              <w:spacing w:after="0"/>
              <w:rPr>
                <w:rFonts w:ascii="Arial" w:hAnsi="Arial" w:cs="Arial"/>
                <w:color w:val="A6A6A6" w:themeColor="background1" w:themeShade="A6"/>
                <w:sz w:val="22"/>
                <w:szCs w:val="22"/>
              </w:rPr>
            </w:pPr>
            <w:bookmarkStart w:id="3" w:name="_Ref303850427"/>
            <w:r w:rsidRPr="00CF2879">
              <w:rPr>
                <w:rFonts w:ascii="Arial" w:hAnsi="Arial" w:cs="Arial"/>
                <w:color w:val="A6A6A6" w:themeColor="background1" w:themeShade="A6"/>
                <w:sz w:val="22"/>
                <w:szCs w:val="22"/>
              </w:rPr>
              <w:t xml:space="preserve">Table </w:t>
            </w:r>
            <w:r w:rsidR="00034064" w:rsidRPr="00CF2879">
              <w:rPr>
                <w:rFonts w:ascii="Arial" w:hAnsi="Arial" w:cs="Arial"/>
                <w:bCs w:val="0"/>
                <w:color w:val="A6A6A6" w:themeColor="background1" w:themeShade="A6"/>
                <w:sz w:val="22"/>
                <w:szCs w:val="22"/>
              </w:rPr>
              <w:fldChar w:fldCharType="begin"/>
            </w:r>
            <w:r w:rsidRPr="00CF2879">
              <w:rPr>
                <w:rFonts w:ascii="Arial" w:hAnsi="Arial" w:cs="Arial"/>
                <w:color w:val="A6A6A6" w:themeColor="background1" w:themeShade="A6"/>
                <w:sz w:val="22"/>
                <w:szCs w:val="22"/>
              </w:rPr>
              <w:instrText xml:space="preserve"> SEQ Table \* ARABIC </w:instrText>
            </w:r>
            <w:r w:rsidR="00034064" w:rsidRPr="00CF2879">
              <w:rPr>
                <w:rFonts w:ascii="Arial" w:hAnsi="Arial" w:cs="Arial"/>
                <w:bCs w:val="0"/>
                <w:color w:val="A6A6A6" w:themeColor="background1" w:themeShade="A6"/>
                <w:sz w:val="22"/>
                <w:szCs w:val="22"/>
              </w:rPr>
              <w:fldChar w:fldCharType="separate"/>
            </w:r>
            <w:r w:rsidRPr="00CF2879">
              <w:rPr>
                <w:rFonts w:ascii="Arial" w:hAnsi="Arial" w:cs="Arial"/>
                <w:noProof/>
                <w:color w:val="A6A6A6" w:themeColor="background1" w:themeShade="A6"/>
                <w:sz w:val="22"/>
                <w:szCs w:val="22"/>
              </w:rPr>
              <w:t>3</w:t>
            </w:r>
            <w:r w:rsidR="00034064" w:rsidRPr="00CF2879">
              <w:rPr>
                <w:rFonts w:ascii="Arial" w:hAnsi="Arial" w:cs="Arial"/>
                <w:bCs w:val="0"/>
                <w:color w:val="A6A6A6" w:themeColor="background1" w:themeShade="A6"/>
                <w:sz w:val="22"/>
                <w:szCs w:val="22"/>
              </w:rPr>
              <w:fldChar w:fldCharType="end"/>
            </w:r>
            <w:bookmarkEnd w:id="3"/>
            <w:r w:rsidR="0060073B">
              <w:rPr>
                <w:rFonts w:ascii="Arial" w:hAnsi="Arial" w:cs="Arial"/>
                <w:color w:val="A6A6A6" w:themeColor="background1" w:themeShade="A6"/>
                <w:sz w:val="22"/>
                <w:szCs w:val="22"/>
              </w:rPr>
              <w:t xml:space="preserve"> B</w:t>
            </w:r>
            <w:r w:rsidRPr="00CF2879">
              <w:rPr>
                <w:rFonts w:ascii="Arial" w:hAnsi="Arial" w:cs="Arial"/>
                <w:color w:val="A6A6A6" w:themeColor="background1" w:themeShade="A6"/>
                <w:sz w:val="22"/>
                <w:szCs w:val="22"/>
              </w:rPr>
              <w:t>ase station receiver</w:t>
            </w:r>
          </w:p>
        </w:tc>
      </w:tr>
      <w:tr w:rsidR="009F3874" w:rsidRPr="00F164FD" w:rsidTr="006D6E5B">
        <w:tc>
          <w:tcPr>
            <w:tcW w:w="3227" w:type="dxa"/>
            <w:shd w:val="clear" w:color="auto" w:fill="D9D9D9" w:themeFill="background1" w:themeFillShade="D9"/>
          </w:tcPr>
          <w:p w:rsidR="009F3874" w:rsidRPr="00F164FD" w:rsidRDefault="009F3874" w:rsidP="004A536A">
            <w:pP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Parameter</w:t>
            </w:r>
          </w:p>
        </w:tc>
        <w:tc>
          <w:tcPr>
            <w:tcW w:w="2268" w:type="dxa"/>
            <w:shd w:val="clear" w:color="auto" w:fill="D9D9D9" w:themeFill="background1" w:themeFillShade="D9"/>
          </w:tcPr>
          <w:p w:rsidR="009F3874" w:rsidRPr="00F164FD" w:rsidRDefault="00B90F51" w:rsidP="004A536A">
            <w:pPr>
              <w:jc w:val="cente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UMTS</w:t>
            </w:r>
          </w:p>
        </w:tc>
        <w:tc>
          <w:tcPr>
            <w:tcW w:w="2693" w:type="dxa"/>
            <w:shd w:val="clear" w:color="auto" w:fill="D9D9D9" w:themeFill="background1" w:themeFillShade="D9"/>
          </w:tcPr>
          <w:p w:rsidR="009F3874" w:rsidRPr="00F164FD" w:rsidRDefault="009F3874" w:rsidP="004A536A">
            <w:pPr>
              <w:jc w:val="cente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LTE</w:t>
            </w:r>
          </w:p>
        </w:tc>
      </w:tr>
      <w:tr w:rsidR="009F3874" w:rsidRPr="00F164FD" w:rsidTr="006D6E5B">
        <w:tc>
          <w:tcPr>
            <w:tcW w:w="3227" w:type="dxa"/>
          </w:tcPr>
          <w:p w:rsidR="009F3874" w:rsidRPr="00F164FD" w:rsidRDefault="00F164FD" w:rsidP="00CF2879">
            <w:pPr>
              <w:rPr>
                <w:rFonts w:ascii="Arial" w:hAnsi="Arial" w:cs="Arial"/>
                <w:color w:val="0D0D0D" w:themeColor="text1" w:themeTint="F2"/>
                <w:sz w:val="22"/>
                <w:szCs w:val="22"/>
              </w:rPr>
            </w:pPr>
            <w:r>
              <w:rPr>
                <w:rFonts w:ascii="Arial" w:hAnsi="Arial" w:cs="Arial"/>
                <w:color w:val="0D0D0D" w:themeColor="text1" w:themeTint="F2"/>
                <w:sz w:val="22"/>
                <w:szCs w:val="22"/>
              </w:rPr>
              <w:t>Antenna gain</w:t>
            </w:r>
            <w:r w:rsidR="00CF2879">
              <w:rPr>
                <w:rFonts w:ascii="Arial" w:hAnsi="Arial" w:cs="Arial"/>
                <w:color w:val="0D0D0D" w:themeColor="text1" w:themeTint="F2"/>
                <w:sz w:val="22"/>
                <w:szCs w:val="22"/>
              </w:rPr>
              <w:t xml:space="preserve"> </w:t>
            </w:r>
            <w:r w:rsidR="00B90F51" w:rsidRPr="00F164FD">
              <w:rPr>
                <w:rFonts w:ascii="Arial" w:hAnsi="Arial" w:cs="Arial"/>
                <w:color w:val="0D0D0D" w:themeColor="text1" w:themeTint="F2"/>
                <w:sz w:val="22"/>
                <w:szCs w:val="22"/>
              </w:rPr>
              <w:t>(includ</w:t>
            </w:r>
            <w:r w:rsidR="009F3874" w:rsidRPr="00F164FD">
              <w:rPr>
                <w:rFonts w:ascii="Arial" w:hAnsi="Arial" w:cs="Arial"/>
                <w:color w:val="0D0D0D" w:themeColor="text1" w:themeTint="F2"/>
                <w:sz w:val="22"/>
                <w:szCs w:val="22"/>
              </w:rPr>
              <w:t>ing</w:t>
            </w:r>
            <w:r w:rsidR="00B90F51" w:rsidRPr="00F164FD">
              <w:rPr>
                <w:rFonts w:ascii="Arial" w:hAnsi="Arial" w:cs="Arial"/>
                <w:color w:val="0D0D0D" w:themeColor="text1" w:themeTint="F2"/>
                <w:sz w:val="22"/>
                <w:szCs w:val="22"/>
              </w:rPr>
              <w:t xml:space="preserve"> loss</w:t>
            </w:r>
            <w:r w:rsidR="009F3874" w:rsidRPr="00F164FD">
              <w:rPr>
                <w:rFonts w:ascii="Arial" w:hAnsi="Arial" w:cs="Arial"/>
                <w:color w:val="0D0D0D" w:themeColor="text1" w:themeTint="F2"/>
                <w:sz w:val="22"/>
                <w:szCs w:val="22"/>
              </w:rPr>
              <w:t>es</w:t>
            </w:r>
            <w:r w:rsidR="00B90F51" w:rsidRPr="00F164FD">
              <w:rPr>
                <w:rFonts w:ascii="Arial" w:hAnsi="Arial" w:cs="Arial"/>
                <w:color w:val="0D0D0D" w:themeColor="text1" w:themeTint="F2"/>
                <w:sz w:val="22"/>
                <w:szCs w:val="22"/>
              </w:rPr>
              <w:t>)</w:t>
            </w:r>
          </w:p>
        </w:tc>
        <w:tc>
          <w:tcPr>
            <w:tcW w:w="2268" w:type="dxa"/>
          </w:tcPr>
          <w:p w:rsidR="009F3874" w:rsidRPr="00F164FD" w:rsidRDefault="009F3874" w:rsidP="00CE76E9">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15 dBi</w:t>
            </w:r>
          </w:p>
        </w:tc>
        <w:tc>
          <w:tcPr>
            <w:tcW w:w="2693" w:type="dxa"/>
          </w:tcPr>
          <w:p w:rsidR="009F3874" w:rsidRPr="00F164FD" w:rsidRDefault="009F3874" w:rsidP="004A536A">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15 dBi</w:t>
            </w:r>
          </w:p>
        </w:tc>
      </w:tr>
      <w:tr w:rsidR="009F3874" w:rsidRPr="00F164FD" w:rsidTr="006D6E5B">
        <w:tc>
          <w:tcPr>
            <w:tcW w:w="3227" w:type="dxa"/>
          </w:tcPr>
          <w:p w:rsidR="009F3874" w:rsidRPr="00F164FD" w:rsidRDefault="00B90F51" w:rsidP="004A536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N</w:t>
            </w:r>
            <w:r w:rsidR="009F3874" w:rsidRPr="00F164FD">
              <w:rPr>
                <w:rFonts w:ascii="Arial" w:hAnsi="Arial" w:cs="Arial"/>
                <w:color w:val="0D0D0D" w:themeColor="text1" w:themeTint="F2"/>
                <w:sz w:val="22"/>
                <w:szCs w:val="22"/>
              </w:rPr>
              <w:t>oise figure (F)</w:t>
            </w:r>
          </w:p>
        </w:tc>
        <w:tc>
          <w:tcPr>
            <w:tcW w:w="2268" w:type="dxa"/>
          </w:tcPr>
          <w:p w:rsidR="009F3874" w:rsidRPr="00F164FD" w:rsidRDefault="00B90F51" w:rsidP="004A536A">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5 dB</w:t>
            </w:r>
          </w:p>
        </w:tc>
        <w:tc>
          <w:tcPr>
            <w:tcW w:w="2693" w:type="dxa"/>
          </w:tcPr>
          <w:p w:rsidR="009F3874" w:rsidRPr="00F164FD" w:rsidRDefault="009F3874" w:rsidP="004A536A">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5 dB</w:t>
            </w:r>
          </w:p>
        </w:tc>
      </w:tr>
      <w:tr w:rsidR="009F3874" w:rsidRPr="00F164FD" w:rsidTr="006D6E5B">
        <w:tc>
          <w:tcPr>
            <w:tcW w:w="3227" w:type="dxa"/>
            <w:tcBorders>
              <w:bottom w:val="single" w:sz="4" w:space="0" w:color="auto"/>
            </w:tcBorders>
          </w:tcPr>
          <w:p w:rsidR="009F3874" w:rsidRPr="00F164FD" w:rsidRDefault="009F3874" w:rsidP="00F164FD">
            <w:pPr>
              <w:rPr>
                <w:rFonts w:ascii="Arial" w:hAnsi="Arial" w:cs="Arial"/>
                <w:color w:val="0D0D0D" w:themeColor="text1" w:themeTint="F2"/>
                <w:sz w:val="22"/>
                <w:szCs w:val="22"/>
              </w:rPr>
            </w:pPr>
            <w:r w:rsidRPr="00F164FD">
              <w:rPr>
                <w:rFonts w:ascii="Arial" w:hAnsi="Arial" w:cs="Arial"/>
                <w:color w:val="0D0D0D" w:themeColor="text1" w:themeTint="F2"/>
                <w:sz w:val="22"/>
                <w:szCs w:val="22"/>
              </w:rPr>
              <w:t>Noise floor</w:t>
            </w:r>
            <w:r w:rsid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w:t>
            </w:r>
            <w:proofErr w:type="spellStart"/>
            <w:r w:rsidRPr="00F164FD">
              <w:rPr>
                <w:rFonts w:ascii="Arial" w:hAnsi="Arial" w:cs="Arial"/>
                <w:color w:val="0D0D0D" w:themeColor="text1" w:themeTint="F2"/>
                <w:sz w:val="22"/>
                <w:szCs w:val="22"/>
              </w:rPr>
              <w:t>kTBF</w:t>
            </w:r>
            <w:proofErr w:type="spellEnd"/>
            <w:r w:rsidRPr="00F164FD">
              <w:rPr>
                <w:rFonts w:ascii="Arial" w:hAnsi="Arial" w:cs="Arial"/>
                <w:color w:val="0D0D0D" w:themeColor="text1" w:themeTint="F2"/>
                <w:sz w:val="22"/>
                <w:szCs w:val="22"/>
              </w:rPr>
              <w:t>)</w:t>
            </w:r>
          </w:p>
        </w:tc>
        <w:tc>
          <w:tcPr>
            <w:tcW w:w="2268" w:type="dxa"/>
            <w:tcBorders>
              <w:bottom w:val="single" w:sz="4" w:space="0" w:color="auto"/>
            </w:tcBorders>
          </w:tcPr>
          <w:p w:rsidR="009F3874" w:rsidRPr="00F164FD" w:rsidRDefault="00B90F51"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-103dBm/3.84</w:t>
            </w:r>
            <w:r w:rsidR="009F3874" w:rsidRPr="00F164FD">
              <w:rPr>
                <w:rFonts w:ascii="Arial" w:hAnsi="Arial" w:cs="Arial"/>
                <w:color w:val="0D0D0D" w:themeColor="text1" w:themeTint="F2"/>
                <w:sz w:val="22"/>
                <w:szCs w:val="22"/>
              </w:rPr>
              <w:t xml:space="preserve"> MHz</w:t>
            </w:r>
          </w:p>
        </w:tc>
        <w:tc>
          <w:tcPr>
            <w:tcW w:w="2693" w:type="dxa"/>
            <w:tcBorders>
              <w:bottom w:val="single" w:sz="4" w:space="0" w:color="auto"/>
            </w:tcBorders>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-102dBm/4.515 MHz</w:t>
            </w:r>
          </w:p>
        </w:tc>
      </w:tr>
      <w:tr w:rsidR="00CF2879" w:rsidRPr="00F164FD" w:rsidTr="00CF2879">
        <w:trPr>
          <w:trHeight w:val="289"/>
        </w:trPr>
        <w:tc>
          <w:tcPr>
            <w:tcW w:w="8188" w:type="dxa"/>
            <w:gridSpan w:val="3"/>
            <w:tcBorders>
              <w:left w:val="nil"/>
              <w:right w:val="nil"/>
            </w:tcBorders>
          </w:tcPr>
          <w:p w:rsidR="00CF2879" w:rsidRPr="00F164FD" w:rsidRDefault="00CF2879" w:rsidP="009F3874">
            <w:pPr>
              <w:jc w:val="center"/>
              <w:rPr>
                <w:rFonts w:ascii="Arial" w:hAnsi="Arial" w:cs="Arial"/>
                <w:color w:val="0D0D0D" w:themeColor="text1" w:themeTint="F2"/>
                <w:sz w:val="22"/>
                <w:szCs w:val="22"/>
              </w:rPr>
            </w:pPr>
          </w:p>
        </w:tc>
      </w:tr>
    </w:tbl>
    <w:p w:rsidR="00ED3E3C" w:rsidRDefault="00ED3E3C">
      <w:pPr>
        <w:rPr>
          <w:rFonts w:ascii="Arial" w:hAnsi="Arial" w:cs="Arial"/>
          <w:color w:val="0D0D0D" w:themeColor="text1" w:themeTint="F2"/>
          <w:sz w:val="22"/>
          <w:szCs w:val="22"/>
        </w:rPr>
      </w:pPr>
    </w:p>
    <w:p w:rsidR="00CF2879" w:rsidRDefault="00CF2879">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CF2879" w:rsidRPr="00F164FD" w:rsidRDefault="00CF2879">
      <w:pPr>
        <w:rPr>
          <w:rFonts w:ascii="Arial" w:hAnsi="Arial" w:cs="Arial"/>
          <w:color w:val="0D0D0D" w:themeColor="text1" w:themeTint="F2"/>
          <w:sz w:val="22"/>
          <w:szCs w:val="22"/>
        </w:rPr>
      </w:pPr>
    </w:p>
    <w:tbl>
      <w:tblPr>
        <w:tblStyle w:val="TableGrid"/>
        <w:tblW w:w="8188" w:type="dxa"/>
        <w:tblLayout w:type="fixed"/>
        <w:tblLook w:val="04A0"/>
      </w:tblPr>
      <w:tblGrid>
        <w:gridCol w:w="3227"/>
        <w:gridCol w:w="2268"/>
        <w:gridCol w:w="2693"/>
      </w:tblGrid>
      <w:tr w:rsidR="00CF2879" w:rsidRPr="00F164FD" w:rsidTr="006D6E5B">
        <w:trPr>
          <w:trHeight w:val="573"/>
        </w:trPr>
        <w:tc>
          <w:tcPr>
            <w:tcW w:w="8188" w:type="dxa"/>
            <w:gridSpan w:val="3"/>
            <w:tcBorders>
              <w:left w:val="nil"/>
              <w:bottom w:val="single" w:sz="4" w:space="0" w:color="auto"/>
              <w:right w:val="nil"/>
            </w:tcBorders>
            <w:vAlign w:val="center"/>
          </w:tcPr>
          <w:p w:rsidR="00CF2879" w:rsidRPr="00CF2879" w:rsidRDefault="00CF2879" w:rsidP="006D6E5B">
            <w:pPr>
              <w:pStyle w:val="Caption"/>
              <w:spacing w:after="0"/>
              <w:rPr>
                <w:rFonts w:ascii="Arial" w:hAnsi="Arial" w:cs="Arial"/>
                <w:color w:val="A6A6A6" w:themeColor="background1" w:themeShade="A6"/>
                <w:sz w:val="22"/>
                <w:szCs w:val="22"/>
              </w:rPr>
            </w:pPr>
            <w:bookmarkStart w:id="4" w:name="_Ref303850442"/>
            <w:r w:rsidRPr="00CF2879">
              <w:rPr>
                <w:rFonts w:ascii="Arial" w:hAnsi="Arial" w:cs="Arial"/>
                <w:color w:val="A6A6A6" w:themeColor="background1" w:themeShade="A6"/>
                <w:sz w:val="22"/>
                <w:szCs w:val="22"/>
              </w:rPr>
              <w:t xml:space="preserve">Table </w:t>
            </w:r>
            <w:r w:rsidR="00034064" w:rsidRPr="00CF2879">
              <w:rPr>
                <w:rFonts w:ascii="Arial" w:hAnsi="Arial" w:cs="Arial"/>
                <w:color w:val="A6A6A6" w:themeColor="background1" w:themeShade="A6"/>
                <w:sz w:val="22"/>
                <w:szCs w:val="22"/>
              </w:rPr>
              <w:fldChar w:fldCharType="begin"/>
            </w:r>
            <w:r w:rsidRPr="00CF2879">
              <w:rPr>
                <w:rFonts w:ascii="Arial" w:hAnsi="Arial" w:cs="Arial"/>
                <w:color w:val="A6A6A6" w:themeColor="background1" w:themeShade="A6"/>
                <w:sz w:val="22"/>
                <w:szCs w:val="22"/>
              </w:rPr>
              <w:instrText xml:space="preserve"> SEQ Table \* ARABIC </w:instrText>
            </w:r>
            <w:r w:rsidR="00034064" w:rsidRPr="00CF2879">
              <w:rPr>
                <w:rFonts w:ascii="Arial" w:hAnsi="Arial" w:cs="Arial"/>
                <w:color w:val="A6A6A6" w:themeColor="background1" w:themeShade="A6"/>
                <w:sz w:val="22"/>
                <w:szCs w:val="22"/>
              </w:rPr>
              <w:fldChar w:fldCharType="separate"/>
            </w:r>
            <w:r w:rsidRPr="00CF2879">
              <w:rPr>
                <w:rFonts w:ascii="Arial" w:hAnsi="Arial" w:cs="Arial"/>
                <w:noProof/>
                <w:color w:val="A6A6A6" w:themeColor="background1" w:themeShade="A6"/>
                <w:sz w:val="22"/>
                <w:szCs w:val="22"/>
              </w:rPr>
              <w:t>4</w:t>
            </w:r>
            <w:r w:rsidR="00034064" w:rsidRPr="00CF2879">
              <w:rPr>
                <w:rFonts w:ascii="Arial" w:hAnsi="Arial" w:cs="Arial"/>
                <w:color w:val="A6A6A6" w:themeColor="background1" w:themeShade="A6"/>
                <w:sz w:val="22"/>
                <w:szCs w:val="22"/>
              </w:rPr>
              <w:fldChar w:fldCharType="end"/>
            </w:r>
            <w:bookmarkEnd w:id="4"/>
            <w:r w:rsidRPr="00CF2879">
              <w:rPr>
                <w:rFonts w:ascii="Arial" w:hAnsi="Arial" w:cs="Arial"/>
                <w:color w:val="A6A6A6" w:themeColor="background1" w:themeShade="A6"/>
                <w:sz w:val="22"/>
                <w:szCs w:val="22"/>
              </w:rPr>
              <w:t xml:space="preserve"> UE transmitter</w:t>
            </w:r>
          </w:p>
        </w:tc>
      </w:tr>
      <w:tr w:rsidR="009F3874" w:rsidRPr="00F164FD" w:rsidTr="006D6E5B">
        <w:tc>
          <w:tcPr>
            <w:tcW w:w="3227" w:type="dxa"/>
            <w:shd w:val="clear" w:color="auto" w:fill="D9D9D9" w:themeFill="background1" w:themeFillShade="D9"/>
          </w:tcPr>
          <w:p w:rsidR="009F3874" w:rsidRPr="00F164FD" w:rsidRDefault="009F3874" w:rsidP="0034050F">
            <w:pP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Parameter</w:t>
            </w:r>
          </w:p>
        </w:tc>
        <w:tc>
          <w:tcPr>
            <w:tcW w:w="2268" w:type="dxa"/>
            <w:shd w:val="clear" w:color="auto" w:fill="D9D9D9" w:themeFill="background1" w:themeFillShade="D9"/>
          </w:tcPr>
          <w:p w:rsidR="009F3874" w:rsidRPr="00F164FD" w:rsidRDefault="00B90F51" w:rsidP="0047456E">
            <w:pPr>
              <w:jc w:val="cente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UMTS</w:t>
            </w:r>
          </w:p>
        </w:tc>
        <w:tc>
          <w:tcPr>
            <w:tcW w:w="2693" w:type="dxa"/>
            <w:shd w:val="clear" w:color="auto" w:fill="D9D9D9" w:themeFill="background1" w:themeFillShade="D9"/>
          </w:tcPr>
          <w:p w:rsidR="009F3874" w:rsidRPr="00F164FD" w:rsidRDefault="009F3874" w:rsidP="005706C2">
            <w:pPr>
              <w:jc w:val="cente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LTE</w:t>
            </w:r>
          </w:p>
        </w:tc>
      </w:tr>
      <w:tr w:rsidR="009F3874" w:rsidRPr="00F164FD" w:rsidTr="006D6E5B">
        <w:tc>
          <w:tcPr>
            <w:tcW w:w="3227" w:type="dxa"/>
          </w:tcPr>
          <w:p w:rsidR="009F3874" w:rsidRPr="00F164FD" w:rsidRDefault="009F3874" w:rsidP="00CF2879">
            <w:pPr>
              <w:rPr>
                <w:rFonts w:ascii="Arial" w:hAnsi="Arial" w:cs="Arial"/>
                <w:color w:val="0D0D0D" w:themeColor="text1" w:themeTint="F2"/>
                <w:sz w:val="22"/>
                <w:szCs w:val="22"/>
              </w:rPr>
            </w:pPr>
            <w:r w:rsidRPr="00F164FD">
              <w:rPr>
                <w:rFonts w:ascii="Arial" w:hAnsi="Arial" w:cs="Arial"/>
                <w:color w:val="0D0D0D" w:themeColor="text1" w:themeTint="F2"/>
                <w:sz w:val="22"/>
                <w:szCs w:val="22"/>
              </w:rPr>
              <w:t>Height above</w:t>
            </w:r>
            <w:r w:rsidR="00CF2879">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ground level</w:t>
            </w:r>
          </w:p>
        </w:tc>
        <w:tc>
          <w:tcPr>
            <w:tcW w:w="2268" w:type="dxa"/>
          </w:tcPr>
          <w:p w:rsidR="009F3874" w:rsidRPr="00F164FD" w:rsidRDefault="009F3874" w:rsidP="005706C2">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1.5 m</w:t>
            </w:r>
          </w:p>
        </w:tc>
        <w:tc>
          <w:tcPr>
            <w:tcW w:w="2693" w:type="dxa"/>
          </w:tcPr>
          <w:p w:rsidR="009F3874" w:rsidRPr="00F164FD" w:rsidRDefault="009F3874" w:rsidP="00531041">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1.5 m</w:t>
            </w:r>
          </w:p>
        </w:tc>
      </w:tr>
      <w:tr w:rsidR="009F3874" w:rsidRPr="00F164FD" w:rsidTr="006D6E5B">
        <w:tc>
          <w:tcPr>
            <w:tcW w:w="3227" w:type="dxa"/>
            <w:vMerge w:val="restart"/>
          </w:tcPr>
          <w:p w:rsidR="009F3874" w:rsidRPr="00F164FD" w:rsidRDefault="00D0061B" w:rsidP="00912FD8">
            <w:pPr>
              <w:rPr>
                <w:rFonts w:ascii="Arial" w:hAnsi="Arial" w:cs="Arial"/>
                <w:color w:val="0D0D0D" w:themeColor="text1" w:themeTint="F2"/>
                <w:sz w:val="22"/>
                <w:szCs w:val="22"/>
              </w:rPr>
            </w:pPr>
            <w:r w:rsidRPr="00F164FD">
              <w:rPr>
                <w:rFonts w:ascii="Arial" w:hAnsi="Arial" w:cs="Arial"/>
                <w:color w:val="0D0D0D" w:themeColor="text1" w:themeTint="F2"/>
                <w:sz w:val="22"/>
                <w:szCs w:val="22"/>
              </w:rPr>
              <w:t>UE maximum</w:t>
            </w:r>
            <w:r w:rsidR="00B90F51" w:rsidRPr="00F164FD">
              <w:rPr>
                <w:rFonts w:ascii="Arial" w:hAnsi="Arial" w:cs="Arial"/>
                <w:color w:val="0D0D0D" w:themeColor="text1" w:themeTint="F2"/>
                <w:sz w:val="22"/>
                <w:szCs w:val="22"/>
              </w:rPr>
              <w:t xml:space="preserve"> </w:t>
            </w:r>
            <w:r w:rsidR="009F3874" w:rsidRPr="00F164FD">
              <w:rPr>
                <w:rFonts w:ascii="Arial" w:hAnsi="Arial" w:cs="Arial"/>
                <w:color w:val="0D0D0D" w:themeColor="text1" w:themeTint="F2"/>
                <w:sz w:val="22"/>
                <w:szCs w:val="22"/>
              </w:rPr>
              <w:t>p</w:t>
            </w:r>
            <w:r w:rsidR="00B90F51" w:rsidRPr="00F164FD">
              <w:rPr>
                <w:rFonts w:ascii="Arial" w:hAnsi="Arial" w:cs="Arial"/>
                <w:color w:val="0D0D0D" w:themeColor="text1" w:themeTint="F2"/>
                <w:sz w:val="22"/>
                <w:szCs w:val="22"/>
              </w:rPr>
              <w:t>ower</w:t>
            </w:r>
            <w:r w:rsidR="009F3874" w:rsidRPr="00F164FD">
              <w:rPr>
                <w:rFonts w:ascii="Arial" w:hAnsi="Arial" w:cs="Arial"/>
                <w:color w:val="0D0D0D" w:themeColor="text1" w:themeTint="F2"/>
                <w:sz w:val="22"/>
                <w:szCs w:val="22"/>
              </w:rPr>
              <w:t xml:space="preserve"> </w:t>
            </w:r>
          </w:p>
        </w:tc>
        <w:tc>
          <w:tcPr>
            <w:tcW w:w="2268" w:type="dxa"/>
          </w:tcPr>
          <w:p w:rsidR="009F3874" w:rsidRPr="00F164FD" w:rsidRDefault="00B90F51"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24 dBm/</w:t>
            </w:r>
            <w:r w:rsidR="009F3874" w:rsidRPr="00F164FD">
              <w:rPr>
                <w:rFonts w:ascii="Arial" w:hAnsi="Arial" w:cs="Arial"/>
                <w:color w:val="0D0D0D" w:themeColor="text1" w:themeTint="F2"/>
                <w:sz w:val="22"/>
                <w:szCs w:val="22"/>
              </w:rPr>
              <w:t>3.84 MHz</w:t>
            </w:r>
          </w:p>
        </w:tc>
        <w:tc>
          <w:tcPr>
            <w:tcW w:w="2693" w:type="dxa"/>
          </w:tcPr>
          <w:p w:rsidR="009F3874" w:rsidRPr="00F164FD" w:rsidRDefault="00B90F51"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23 dBm/</w:t>
            </w:r>
            <w:r w:rsidR="009F3874" w:rsidRPr="00F164FD">
              <w:rPr>
                <w:rFonts w:ascii="Arial" w:hAnsi="Arial" w:cs="Arial"/>
                <w:color w:val="0D0D0D" w:themeColor="text1" w:themeTint="F2"/>
                <w:sz w:val="22"/>
                <w:szCs w:val="22"/>
              </w:rPr>
              <w:t>4.</w:t>
            </w:r>
            <w:r w:rsidRPr="00F164FD">
              <w:rPr>
                <w:rFonts w:ascii="Arial" w:hAnsi="Arial" w:cs="Arial"/>
                <w:color w:val="0D0D0D" w:themeColor="text1" w:themeTint="F2"/>
                <w:sz w:val="22"/>
                <w:szCs w:val="22"/>
              </w:rPr>
              <w:t>5</w:t>
            </w:r>
            <w:r w:rsidR="009F3874" w:rsidRPr="00F164FD">
              <w:rPr>
                <w:rFonts w:ascii="Arial" w:hAnsi="Arial" w:cs="Arial"/>
                <w:color w:val="0D0D0D" w:themeColor="text1" w:themeTint="F2"/>
                <w:sz w:val="22"/>
                <w:szCs w:val="22"/>
              </w:rPr>
              <w:t>15 MHz</w:t>
            </w:r>
          </w:p>
        </w:tc>
      </w:tr>
      <w:tr w:rsidR="009F3874" w:rsidRPr="00F164FD" w:rsidTr="006D6E5B">
        <w:tc>
          <w:tcPr>
            <w:tcW w:w="3227" w:type="dxa"/>
            <w:vMerge/>
          </w:tcPr>
          <w:p w:rsidR="009F3874" w:rsidRPr="00F164FD" w:rsidRDefault="009F3874" w:rsidP="005E677A">
            <w:pPr>
              <w:rPr>
                <w:rFonts w:ascii="Arial" w:hAnsi="Arial" w:cs="Arial"/>
                <w:color w:val="0D0D0D" w:themeColor="text1" w:themeTint="F2"/>
                <w:sz w:val="22"/>
                <w:szCs w:val="22"/>
              </w:rPr>
            </w:pPr>
          </w:p>
        </w:tc>
        <w:tc>
          <w:tcPr>
            <w:tcW w:w="2268" w:type="dxa"/>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2.9 dBm/30kHz</w:t>
            </w:r>
          </w:p>
        </w:tc>
        <w:tc>
          <w:tcPr>
            <w:tcW w:w="2693" w:type="dxa"/>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1.2 dBm/30kHz</w:t>
            </w:r>
          </w:p>
        </w:tc>
      </w:tr>
      <w:tr w:rsidR="009F3874" w:rsidRPr="00F164FD" w:rsidTr="006D6E5B">
        <w:tc>
          <w:tcPr>
            <w:tcW w:w="3227" w:type="dxa"/>
          </w:tcPr>
          <w:p w:rsidR="009F3874" w:rsidRPr="00F164FD" w:rsidRDefault="00B90F51" w:rsidP="00CF2879">
            <w:pPr>
              <w:rPr>
                <w:rFonts w:ascii="Arial" w:hAnsi="Arial" w:cs="Arial"/>
                <w:color w:val="0D0D0D" w:themeColor="text1" w:themeTint="F2"/>
                <w:sz w:val="22"/>
                <w:szCs w:val="22"/>
              </w:rPr>
            </w:pPr>
            <w:r w:rsidRPr="00F164FD">
              <w:rPr>
                <w:rFonts w:ascii="Arial" w:hAnsi="Arial" w:cs="Arial"/>
                <w:color w:val="0D0D0D" w:themeColor="text1" w:themeTint="F2"/>
                <w:sz w:val="22"/>
                <w:szCs w:val="22"/>
              </w:rPr>
              <w:t>Antenna Gain</w:t>
            </w:r>
            <w:r w:rsidR="00CF2879">
              <w:rPr>
                <w:rFonts w:ascii="Arial" w:hAnsi="Arial" w:cs="Arial"/>
                <w:color w:val="0D0D0D" w:themeColor="text1" w:themeTint="F2"/>
                <w:sz w:val="22"/>
                <w:szCs w:val="22"/>
              </w:rPr>
              <w:t xml:space="preserve"> </w:t>
            </w:r>
            <w:r w:rsidR="009F3874" w:rsidRPr="00F164FD">
              <w:rPr>
                <w:rFonts w:ascii="Arial" w:hAnsi="Arial" w:cs="Arial"/>
                <w:color w:val="0D0D0D" w:themeColor="text1" w:themeTint="F2"/>
                <w:sz w:val="22"/>
                <w:szCs w:val="22"/>
              </w:rPr>
              <w:t>(includes losses)</w:t>
            </w:r>
          </w:p>
        </w:tc>
        <w:tc>
          <w:tcPr>
            <w:tcW w:w="2268" w:type="dxa"/>
          </w:tcPr>
          <w:p w:rsidR="009F3874" w:rsidRPr="00F164FD" w:rsidRDefault="00B90F51" w:rsidP="004A536A">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 0 dBi</w:t>
            </w:r>
          </w:p>
        </w:tc>
        <w:tc>
          <w:tcPr>
            <w:tcW w:w="2693" w:type="dxa"/>
          </w:tcPr>
          <w:p w:rsidR="009F3874" w:rsidRPr="00F164FD" w:rsidRDefault="00B90F51" w:rsidP="005E02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0 dBi</w:t>
            </w:r>
          </w:p>
        </w:tc>
      </w:tr>
      <w:tr w:rsidR="009F3874" w:rsidRPr="00F164FD" w:rsidTr="006D6E5B">
        <w:tc>
          <w:tcPr>
            <w:tcW w:w="3227" w:type="dxa"/>
            <w:vMerge w:val="restart"/>
          </w:tcPr>
          <w:p w:rsidR="009F3874" w:rsidRPr="00F164FD" w:rsidRDefault="00B90F51" w:rsidP="0047456E">
            <w:pPr>
              <w:rPr>
                <w:rFonts w:ascii="Arial" w:hAnsi="Arial" w:cs="Arial"/>
                <w:color w:val="0D0D0D" w:themeColor="text1" w:themeTint="F2"/>
                <w:sz w:val="22"/>
                <w:szCs w:val="22"/>
              </w:rPr>
            </w:pPr>
            <w:r w:rsidRPr="00F164FD">
              <w:rPr>
                <w:rFonts w:ascii="Arial" w:hAnsi="Arial" w:cs="Arial"/>
                <w:color w:val="0D0D0D" w:themeColor="text1" w:themeTint="F2"/>
                <w:sz w:val="22"/>
                <w:szCs w:val="22"/>
              </w:rPr>
              <w:t>EIRP</w:t>
            </w:r>
          </w:p>
        </w:tc>
        <w:tc>
          <w:tcPr>
            <w:tcW w:w="2268" w:type="dxa"/>
          </w:tcPr>
          <w:p w:rsidR="009F3874" w:rsidRPr="00F164FD" w:rsidRDefault="00B90F51"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24 dBm/3.84</w:t>
            </w:r>
            <w:r w:rsidR="009F3874" w:rsidRPr="00F164FD">
              <w:rPr>
                <w:rFonts w:ascii="Arial" w:hAnsi="Arial" w:cs="Arial"/>
                <w:color w:val="0D0D0D" w:themeColor="text1" w:themeTint="F2"/>
                <w:sz w:val="22"/>
                <w:szCs w:val="22"/>
              </w:rPr>
              <w:t xml:space="preserve"> MHz</w:t>
            </w:r>
          </w:p>
        </w:tc>
        <w:tc>
          <w:tcPr>
            <w:tcW w:w="2693" w:type="dxa"/>
          </w:tcPr>
          <w:p w:rsidR="009F3874" w:rsidRPr="00F164FD" w:rsidRDefault="00B90F51"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 23 dBm/</w:t>
            </w:r>
            <w:r w:rsidR="009F3874" w:rsidRPr="00F164FD">
              <w:rPr>
                <w:rFonts w:ascii="Arial" w:hAnsi="Arial" w:cs="Arial"/>
                <w:color w:val="0D0D0D" w:themeColor="text1" w:themeTint="F2"/>
                <w:sz w:val="22"/>
                <w:szCs w:val="22"/>
              </w:rPr>
              <w:t>4.515 MHz</w:t>
            </w:r>
          </w:p>
        </w:tc>
      </w:tr>
      <w:tr w:rsidR="009F3874" w:rsidRPr="00F164FD" w:rsidTr="006D6E5B">
        <w:tc>
          <w:tcPr>
            <w:tcW w:w="3227" w:type="dxa"/>
            <w:vMerge/>
            <w:tcBorders>
              <w:bottom w:val="single" w:sz="4" w:space="0" w:color="auto"/>
            </w:tcBorders>
          </w:tcPr>
          <w:p w:rsidR="009F3874" w:rsidRPr="00F164FD" w:rsidRDefault="009F3874" w:rsidP="0047456E">
            <w:pPr>
              <w:rPr>
                <w:rFonts w:ascii="Arial" w:hAnsi="Arial" w:cs="Arial"/>
                <w:color w:val="0D0D0D" w:themeColor="text1" w:themeTint="F2"/>
                <w:sz w:val="22"/>
                <w:szCs w:val="22"/>
              </w:rPr>
            </w:pPr>
          </w:p>
        </w:tc>
        <w:tc>
          <w:tcPr>
            <w:tcW w:w="2268" w:type="dxa"/>
            <w:tcBorders>
              <w:bottom w:val="single" w:sz="4" w:space="0" w:color="auto"/>
            </w:tcBorders>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2.9 dBm/30kHz</w:t>
            </w:r>
          </w:p>
        </w:tc>
        <w:tc>
          <w:tcPr>
            <w:tcW w:w="2693" w:type="dxa"/>
            <w:tcBorders>
              <w:bottom w:val="single" w:sz="4" w:space="0" w:color="auto"/>
            </w:tcBorders>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1.2 dBm/30kHz</w:t>
            </w:r>
          </w:p>
        </w:tc>
      </w:tr>
      <w:tr w:rsidR="00CF2879" w:rsidRPr="00F164FD" w:rsidTr="006D6E5B">
        <w:trPr>
          <w:trHeight w:val="289"/>
        </w:trPr>
        <w:tc>
          <w:tcPr>
            <w:tcW w:w="3227" w:type="dxa"/>
            <w:tcBorders>
              <w:left w:val="nil"/>
              <w:right w:val="nil"/>
            </w:tcBorders>
          </w:tcPr>
          <w:p w:rsidR="00CF2879" w:rsidRPr="00F164FD" w:rsidRDefault="00CF2879" w:rsidP="0047456E">
            <w:pPr>
              <w:rPr>
                <w:rFonts w:ascii="Arial" w:hAnsi="Arial" w:cs="Arial"/>
                <w:color w:val="0D0D0D" w:themeColor="text1" w:themeTint="F2"/>
                <w:sz w:val="22"/>
                <w:szCs w:val="22"/>
              </w:rPr>
            </w:pPr>
          </w:p>
        </w:tc>
        <w:tc>
          <w:tcPr>
            <w:tcW w:w="2268" w:type="dxa"/>
            <w:tcBorders>
              <w:left w:val="nil"/>
              <w:right w:val="nil"/>
            </w:tcBorders>
          </w:tcPr>
          <w:p w:rsidR="00CF2879" w:rsidRPr="00F164FD" w:rsidRDefault="00CF2879" w:rsidP="009F3874">
            <w:pPr>
              <w:jc w:val="center"/>
              <w:rPr>
                <w:rFonts w:ascii="Arial" w:hAnsi="Arial" w:cs="Arial"/>
                <w:color w:val="0D0D0D" w:themeColor="text1" w:themeTint="F2"/>
                <w:sz w:val="22"/>
                <w:szCs w:val="22"/>
              </w:rPr>
            </w:pPr>
          </w:p>
        </w:tc>
        <w:tc>
          <w:tcPr>
            <w:tcW w:w="2693" w:type="dxa"/>
            <w:tcBorders>
              <w:left w:val="nil"/>
              <w:right w:val="nil"/>
            </w:tcBorders>
          </w:tcPr>
          <w:p w:rsidR="00CF2879" w:rsidRPr="00F164FD" w:rsidRDefault="00CF2879" w:rsidP="009F3874">
            <w:pPr>
              <w:jc w:val="center"/>
              <w:rPr>
                <w:rFonts w:ascii="Arial" w:hAnsi="Arial" w:cs="Arial"/>
                <w:color w:val="0D0D0D" w:themeColor="text1" w:themeTint="F2"/>
                <w:sz w:val="22"/>
                <w:szCs w:val="22"/>
              </w:rPr>
            </w:pPr>
          </w:p>
        </w:tc>
      </w:tr>
    </w:tbl>
    <w:p w:rsidR="0034050F" w:rsidRPr="00F164FD" w:rsidRDefault="0034050F" w:rsidP="00F27615">
      <w:pPr>
        <w:rPr>
          <w:rFonts w:ascii="Arial" w:hAnsi="Arial" w:cs="Arial"/>
          <w:color w:val="0D0D0D" w:themeColor="text1" w:themeTint="F2"/>
          <w:sz w:val="22"/>
          <w:szCs w:val="22"/>
        </w:rPr>
      </w:pPr>
    </w:p>
    <w:tbl>
      <w:tblPr>
        <w:tblStyle w:val="TableGrid"/>
        <w:tblW w:w="8188" w:type="dxa"/>
        <w:tblLayout w:type="fixed"/>
        <w:tblLook w:val="01E0"/>
      </w:tblPr>
      <w:tblGrid>
        <w:gridCol w:w="3227"/>
        <w:gridCol w:w="2268"/>
        <w:gridCol w:w="2693"/>
      </w:tblGrid>
      <w:tr w:rsidR="00CF2879" w:rsidRPr="00F164FD" w:rsidTr="006D6E5B">
        <w:trPr>
          <w:trHeight w:val="573"/>
        </w:trPr>
        <w:tc>
          <w:tcPr>
            <w:tcW w:w="8188" w:type="dxa"/>
            <w:gridSpan w:val="3"/>
            <w:tcBorders>
              <w:left w:val="nil"/>
              <w:bottom w:val="single" w:sz="4" w:space="0" w:color="auto"/>
              <w:right w:val="nil"/>
            </w:tcBorders>
            <w:vAlign w:val="center"/>
          </w:tcPr>
          <w:p w:rsidR="00CF2879" w:rsidRPr="006D6E5B" w:rsidRDefault="006D6E5B" w:rsidP="006D6E5B">
            <w:pPr>
              <w:pStyle w:val="Caption"/>
              <w:spacing w:after="0"/>
              <w:rPr>
                <w:rFonts w:ascii="Arial" w:hAnsi="Arial" w:cs="Arial"/>
                <w:color w:val="A6A6A6" w:themeColor="background1" w:themeShade="A6"/>
                <w:sz w:val="22"/>
                <w:szCs w:val="22"/>
              </w:rPr>
            </w:pPr>
            <w:bookmarkStart w:id="5" w:name="_Ref303850445"/>
            <w:r w:rsidRPr="006D6E5B">
              <w:rPr>
                <w:rFonts w:ascii="Arial" w:hAnsi="Arial" w:cs="Arial"/>
                <w:color w:val="A6A6A6" w:themeColor="background1" w:themeShade="A6"/>
                <w:sz w:val="22"/>
                <w:szCs w:val="22"/>
              </w:rPr>
              <w:t xml:space="preserve">Table </w:t>
            </w:r>
            <w:r w:rsidR="00034064" w:rsidRPr="006D6E5B">
              <w:rPr>
                <w:rFonts w:ascii="Arial" w:hAnsi="Arial" w:cs="Arial"/>
                <w:bCs w:val="0"/>
                <w:color w:val="A6A6A6" w:themeColor="background1" w:themeShade="A6"/>
                <w:sz w:val="22"/>
                <w:szCs w:val="22"/>
              </w:rPr>
              <w:fldChar w:fldCharType="begin"/>
            </w:r>
            <w:r w:rsidRPr="006D6E5B">
              <w:rPr>
                <w:rFonts w:ascii="Arial" w:hAnsi="Arial" w:cs="Arial"/>
                <w:color w:val="A6A6A6" w:themeColor="background1" w:themeShade="A6"/>
                <w:sz w:val="22"/>
                <w:szCs w:val="22"/>
              </w:rPr>
              <w:instrText xml:space="preserve"> SEQ Table \* ARABIC </w:instrText>
            </w:r>
            <w:r w:rsidR="00034064" w:rsidRPr="006D6E5B">
              <w:rPr>
                <w:rFonts w:ascii="Arial" w:hAnsi="Arial" w:cs="Arial"/>
                <w:bCs w:val="0"/>
                <w:color w:val="A6A6A6" w:themeColor="background1" w:themeShade="A6"/>
                <w:sz w:val="22"/>
                <w:szCs w:val="22"/>
              </w:rPr>
              <w:fldChar w:fldCharType="separate"/>
            </w:r>
            <w:r w:rsidRPr="006D6E5B">
              <w:rPr>
                <w:rFonts w:ascii="Arial" w:hAnsi="Arial" w:cs="Arial"/>
                <w:noProof/>
                <w:color w:val="A6A6A6" w:themeColor="background1" w:themeShade="A6"/>
                <w:sz w:val="22"/>
                <w:szCs w:val="22"/>
              </w:rPr>
              <w:t>5</w:t>
            </w:r>
            <w:r w:rsidR="00034064" w:rsidRPr="006D6E5B">
              <w:rPr>
                <w:rFonts w:ascii="Arial" w:hAnsi="Arial" w:cs="Arial"/>
                <w:bCs w:val="0"/>
                <w:color w:val="A6A6A6" w:themeColor="background1" w:themeShade="A6"/>
                <w:sz w:val="22"/>
                <w:szCs w:val="22"/>
              </w:rPr>
              <w:fldChar w:fldCharType="end"/>
            </w:r>
            <w:bookmarkEnd w:id="5"/>
            <w:r w:rsidRPr="006D6E5B">
              <w:rPr>
                <w:rFonts w:ascii="Arial" w:hAnsi="Arial" w:cs="Arial"/>
                <w:color w:val="A6A6A6" w:themeColor="background1" w:themeShade="A6"/>
                <w:sz w:val="22"/>
                <w:szCs w:val="22"/>
              </w:rPr>
              <w:t xml:space="preserve"> UE receiver</w:t>
            </w:r>
          </w:p>
        </w:tc>
      </w:tr>
      <w:tr w:rsidR="009F3874" w:rsidRPr="00F164FD" w:rsidTr="006D6E5B">
        <w:tc>
          <w:tcPr>
            <w:tcW w:w="3227" w:type="dxa"/>
            <w:shd w:val="clear" w:color="auto" w:fill="D9D9D9" w:themeFill="background1" w:themeFillShade="D9"/>
          </w:tcPr>
          <w:p w:rsidR="009F3874" w:rsidRPr="00F164FD" w:rsidRDefault="009F3874" w:rsidP="0034050F">
            <w:pP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Parameter</w:t>
            </w:r>
          </w:p>
        </w:tc>
        <w:tc>
          <w:tcPr>
            <w:tcW w:w="2268" w:type="dxa"/>
            <w:shd w:val="clear" w:color="auto" w:fill="D9D9D9" w:themeFill="background1" w:themeFillShade="D9"/>
          </w:tcPr>
          <w:p w:rsidR="009F3874" w:rsidRPr="00F164FD" w:rsidRDefault="00B90F51" w:rsidP="005706C2">
            <w:pPr>
              <w:jc w:val="cente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UMTS</w:t>
            </w:r>
          </w:p>
        </w:tc>
        <w:tc>
          <w:tcPr>
            <w:tcW w:w="2693" w:type="dxa"/>
            <w:shd w:val="clear" w:color="auto" w:fill="D9D9D9" w:themeFill="background1" w:themeFillShade="D9"/>
          </w:tcPr>
          <w:p w:rsidR="009F3874" w:rsidRPr="00F164FD" w:rsidRDefault="009F3874" w:rsidP="005706C2">
            <w:pPr>
              <w:jc w:val="center"/>
              <w:rPr>
                <w:rFonts w:ascii="Arial" w:hAnsi="Arial" w:cs="Arial"/>
                <w:b/>
                <w:color w:val="0D0D0D" w:themeColor="text1" w:themeTint="F2"/>
                <w:sz w:val="22"/>
                <w:szCs w:val="22"/>
              </w:rPr>
            </w:pPr>
            <w:r w:rsidRPr="00F164FD">
              <w:rPr>
                <w:rFonts w:ascii="Arial" w:hAnsi="Arial" w:cs="Arial"/>
                <w:b/>
                <w:color w:val="0D0D0D" w:themeColor="text1" w:themeTint="F2"/>
                <w:sz w:val="22"/>
                <w:szCs w:val="22"/>
              </w:rPr>
              <w:t xml:space="preserve">LTE  </w:t>
            </w:r>
          </w:p>
        </w:tc>
      </w:tr>
      <w:tr w:rsidR="009F3874" w:rsidRPr="00F164FD" w:rsidTr="006D6E5B">
        <w:tc>
          <w:tcPr>
            <w:tcW w:w="3227" w:type="dxa"/>
          </w:tcPr>
          <w:p w:rsidR="009F3874" w:rsidRPr="00F164FD" w:rsidRDefault="009F3874" w:rsidP="006D6E5B">
            <w:pPr>
              <w:rPr>
                <w:rFonts w:ascii="Arial" w:hAnsi="Arial" w:cs="Arial"/>
                <w:color w:val="0D0D0D" w:themeColor="text1" w:themeTint="F2"/>
                <w:sz w:val="22"/>
                <w:szCs w:val="22"/>
              </w:rPr>
            </w:pPr>
            <w:r w:rsidRPr="00F164FD">
              <w:rPr>
                <w:rFonts w:ascii="Arial" w:hAnsi="Arial" w:cs="Arial"/>
                <w:color w:val="0D0D0D" w:themeColor="text1" w:themeTint="F2"/>
                <w:sz w:val="22"/>
                <w:szCs w:val="22"/>
              </w:rPr>
              <w:t>Antenna gain (including losses)</w:t>
            </w:r>
          </w:p>
        </w:tc>
        <w:tc>
          <w:tcPr>
            <w:tcW w:w="2268" w:type="dxa"/>
          </w:tcPr>
          <w:p w:rsidR="009F3874" w:rsidRPr="00F164FD" w:rsidRDefault="00B90F51" w:rsidP="005706C2">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0 dBi</w:t>
            </w:r>
          </w:p>
        </w:tc>
        <w:tc>
          <w:tcPr>
            <w:tcW w:w="2693" w:type="dxa"/>
          </w:tcPr>
          <w:p w:rsidR="009F3874" w:rsidRPr="00F164FD" w:rsidRDefault="00B90F51" w:rsidP="004A536A">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0 dBi</w:t>
            </w:r>
          </w:p>
        </w:tc>
      </w:tr>
      <w:tr w:rsidR="009F3874" w:rsidRPr="00F164FD" w:rsidTr="006D6E5B">
        <w:tc>
          <w:tcPr>
            <w:tcW w:w="3227" w:type="dxa"/>
          </w:tcPr>
          <w:p w:rsidR="009F3874" w:rsidRPr="00F164FD" w:rsidRDefault="009F3874" w:rsidP="004A536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Noise figure (F)</w:t>
            </w:r>
          </w:p>
        </w:tc>
        <w:tc>
          <w:tcPr>
            <w:tcW w:w="2268" w:type="dxa"/>
          </w:tcPr>
          <w:p w:rsidR="009F3874" w:rsidRPr="00F164FD" w:rsidRDefault="00B90F51" w:rsidP="004A536A">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9 dB</w:t>
            </w:r>
          </w:p>
        </w:tc>
        <w:tc>
          <w:tcPr>
            <w:tcW w:w="2693" w:type="dxa"/>
          </w:tcPr>
          <w:p w:rsidR="009F3874" w:rsidRPr="00F164FD" w:rsidRDefault="009F3874" w:rsidP="004A536A">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9 dB</w:t>
            </w:r>
          </w:p>
        </w:tc>
      </w:tr>
      <w:tr w:rsidR="009F3874" w:rsidRPr="00F164FD" w:rsidTr="006D6E5B">
        <w:tc>
          <w:tcPr>
            <w:tcW w:w="3227" w:type="dxa"/>
            <w:tcBorders>
              <w:bottom w:val="single" w:sz="4" w:space="0" w:color="auto"/>
            </w:tcBorders>
          </w:tcPr>
          <w:p w:rsidR="009F3874" w:rsidRPr="00F164FD" w:rsidRDefault="009F3874" w:rsidP="006D6E5B">
            <w:pPr>
              <w:rPr>
                <w:rFonts w:ascii="Arial" w:hAnsi="Arial" w:cs="Arial"/>
                <w:color w:val="0D0D0D" w:themeColor="text1" w:themeTint="F2"/>
                <w:sz w:val="22"/>
                <w:szCs w:val="22"/>
              </w:rPr>
            </w:pPr>
            <w:r w:rsidRPr="00F164FD">
              <w:rPr>
                <w:rFonts w:ascii="Arial" w:hAnsi="Arial" w:cs="Arial"/>
                <w:color w:val="0D0D0D" w:themeColor="text1" w:themeTint="F2"/>
                <w:sz w:val="22"/>
                <w:szCs w:val="22"/>
              </w:rPr>
              <w:t>Noise floor(</w:t>
            </w:r>
            <w:proofErr w:type="spellStart"/>
            <w:r w:rsidRPr="00F164FD">
              <w:rPr>
                <w:rFonts w:ascii="Arial" w:hAnsi="Arial" w:cs="Arial"/>
                <w:color w:val="0D0D0D" w:themeColor="text1" w:themeTint="F2"/>
                <w:sz w:val="22"/>
                <w:szCs w:val="22"/>
              </w:rPr>
              <w:t>kTBF</w:t>
            </w:r>
            <w:proofErr w:type="spellEnd"/>
            <w:r w:rsidRPr="00F164FD">
              <w:rPr>
                <w:rFonts w:ascii="Arial" w:hAnsi="Arial" w:cs="Arial"/>
                <w:color w:val="0D0D0D" w:themeColor="text1" w:themeTint="F2"/>
                <w:sz w:val="22"/>
                <w:szCs w:val="22"/>
              </w:rPr>
              <w:t>)</w:t>
            </w:r>
          </w:p>
        </w:tc>
        <w:tc>
          <w:tcPr>
            <w:tcW w:w="2268" w:type="dxa"/>
            <w:tcBorders>
              <w:bottom w:val="single" w:sz="4" w:space="0" w:color="auto"/>
            </w:tcBorders>
          </w:tcPr>
          <w:p w:rsidR="009F3874" w:rsidRPr="00F164FD" w:rsidRDefault="00B90F51"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-99</w:t>
            </w:r>
            <w:r w:rsidR="00AF7709" w:rsidRPr="00F164FD">
              <w:rPr>
                <w:rFonts w:ascii="Arial" w:hAnsi="Arial" w:cs="Arial"/>
                <w:color w:val="0D0D0D" w:themeColor="text1" w:themeTint="F2"/>
                <w:sz w:val="22"/>
                <w:szCs w:val="22"/>
              </w:rPr>
              <w:t>.1</w:t>
            </w:r>
            <w:r w:rsidRPr="00F164FD">
              <w:rPr>
                <w:rFonts w:ascii="Arial" w:hAnsi="Arial" w:cs="Arial"/>
                <w:color w:val="0D0D0D" w:themeColor="text1" w:themeTint="F2"/>
                <w:sz w:val="22"/>
                <w:szCs w:val="22"/>
              </w:rPr>
              <w:t xml:space="preserve"> dBm/3.84</w:t>
            </w:r>
            <w:r w:rsidR="009F3874" w:rsidRPr="00F164FD">
              <w:rPr>
                <w:rFonts w:ascii="Arial" w:hAnsi="Arial" w:cs="Arial"/>
                <w:color w:val="0D0D0D" w:themeColor="text1" w:themeTint="F2"/>
                <w:sz w:val="22"/>
                <w:szCs w:val="22"/>
              </w:rPr>
              <w:t xml:space="preserve"> MHz</w:t>
            </w:r>
          </w:p>
        </w:tc>
        <w:tc>
          <w:tcPr>
            <w:tcW w:w="2693" w:type="dxa"/>
            <w:tcBorders>
              <w:bottom w:val="single" w:sz="4" w:space="0" w:color="auto"/>
            </w:tcBorders>
          </w:tcPr>
          <w:p w:rsidR="009F3874" w:rsidRPr="00F164FD" w:rsidRDefault="009F3874" w:rsidP="009F3874">
            <w:pPr>
              <w:jc w:val="center"/>
              <w:rPr>
                <w:rFonts w:ascii="Arial" w:hAnsi="Arial" w:cs="Arial"/>
                <w:color w:val="0D0D0D" w:themeColor="text1" w:themeTint="F2"/>
                <w:sz w:val="22"/>
                <w:szCs w:val="22"/>
              </w:rPr>
            </w:pPr>
            <w:r w:rsidRPr="00F164FD">
              <w:rPr>
                <w:rFonts w:ascii="Arial" w:hAnsi="Arial" w:cs="Arial"/>
                <w:color w:val="0D0D0D" w:themeColor="text1" w:themeTint="F2"/>
                <w:sz w:val="22"/>
                <w:szCs w:val="22"/>
              </w:rPr>
              <w:t>-</w:t>
            </w:r>
            <w:r w:rsidR="00AF7709" w:rsidRPr="00F164FD">
              <w:rPr>
                <w:rFonts w:ascii="Arial" w:hAnsi="Arial" w:cs="Arial"/>
                <w:color w:val="0D0D0D" w:themeColor="text1" w:themeTint="F2"/>
                <w:sz w:val="22"/>
                <w:szCs w:val="22"/>
              </w:rPr>
              <w:t>98.4</w:t>
            </w:r>
            <w:r w:rsidRPr="00F164FD">
              <w:rPr>
                <w:rFonts w:ascii="Arial" w:hAnsi="Arial" w:cs="Arial"/>
                <w:color w:val="0D0D0D" w:themeColor="text1" w:themeTint="F2"/>
                <w:sz w:val="22"/>
                <w:szCs w:val="22"/>
              </w:rPr>
              <w:t xml:space="preserve"> dBm/4.515 MHz</w:t>
            </w:r>
          </w:p>
        </w:tc>
      </w:tr>
      <w:tr w:rsidR="00CF2879" w:rsidRPr="00F164FD" w:rsidTr="006D6E5B">
        <w:trPr>
          <w:trHeight w:val="289"/>
        </w:trPr>
        <w:tc>
          <w:tcPr>
            <w:tcW w:w="3227" w:type="dxa"/>
            <w:tcBorders>
              <w:left w:val="nil"/>
              <w:right w:val="nil"/>
            </w:tcBorders>
          </w:tcPr>
          <w:p w:rsidR="00CF2879" w:rsidRPr="00F164FD" w:rsidRDefault="00CF2879" w:rsidP="009C0D0E">
            <w:pPr>
              <w:rPr>
                <w:rFonts w:ascii="Arial" w:hAnsi="Arial" w:cs="Arial"/>
                <w:color w:val="0D0D0D" w:themeColor="text1" w:themeTint="F2"/>
                <w:sz w:val="22"/>
                <w:szCs w:val="22"/>
              </w:rPr>
            </w:pPr>
          </w:p>
        </w:tc>
        <w:tc>
          <w:tcPr>
            <w:tcW w:w="2268" w:type="dxa"/>
            <w:tcBorders>
              <w:left w:val="nil"/>
              <w:right w:val="nil"/>
            </w:tcBorders>
          </w:tcPr>
          <w:p w:rsidR="00CF2879" w:rsidRPr="00F164FD" w:rsidRDefault="00CF2879" w:rsidP="009F3874">
            <w:pPr>
              <w:jc w:val="center"/>
              <w:rPr>
                <w:rFonts w:ascii="Arial" w:hAnsi="Arial" w:cs="Arial"/>
                <w:color w:val="0D0D0D" w:themeColor="text1" w:themeTint="F2"/>
                <w:sz w:val="22"/>
                <w:szCs w:val="22"/>
              </w:rPr>
            </w:pPr>
          </w:p>
        </w:tc>
        <w:tc>
          <w:tcPr>
            <w:tcW w:w="2693" w:type="dxa"/>
            <w:tcBorders>
              <w:left w:val="nil"/>
              <w:right w:val="nil"/>
            </w:tcBorders>
          </w:tcPr>
          <w:p w:rsidR="00CF2879" w:rsidRPr="00F164FD" w:rsidRDefault="00CF2879" w:rsidP="009F3874">
            <w:pPr>
              <w:jc w:val="center"/>
              <w:rPr>
                <w:rFonts w:ascii="Arial" w:hAnsi="Arial" w:cs="Arial"/>
                <w:color w:val="0D0D0D" w:themeColor="text1" w:themeTint="F2"/>
                <w:sz w:val="22"/>
                <w:szCs w:val="22"/>
              </w:rPr>
            </w:pPr>
          </w:p>
        </w:tc>
      </w:tr>
    </w:tbl>
    <w:p w:rsidR="009C074A" w:rsidRPr="00F164FD" w:rsidRDefault="009C074A" w:rsidP="009C074A">
      <w:pPr>
        <w:pStyle w:val="Heading2"/>
        <w:rPr>
          <w:rFonts w:ascii="Arial" w:hAnsi="Arial" w:cs="Arial"/>
          <w:color w:val="0D0D0D" w:themeColor="text1" w:themeTint="F2"/>
        </w:rPr>
      </w:pPr>
      <w:r w:rsidRPr="00F164FD">
        <w:rPr>
          <w:rFonts w:ascii="Arial" w:hAnsi="Arial" w:cs="Arial"/>
          <w:color w:val="0D0D0D" w:themeColor="text1" w:themeTint="F2"/>
        </w:rPr>
        <w:t>4.</w:t>
      </w:r>
      <w:r w:rsidRPr="00F164FD">
        <w:rPr>
          <w:rFonts w:ascii="Arial" w:hAnsi="Arial" w:cs="Arial"/>
          <w:color w:val="0D0D0D" w:themeColor="text1" w:themeTint="F2"/>
        </w:rPr>
        <w:tab/>
        <w:t>Propagation Modelling</w:t>
      </w:r>
    </w:p>
    <w:p w:rsidR="009C074A" w:rsidRPr="00F164FD" w:rsidRDefault="009C074A" w:rsidP="009C074A">
      <w:pPr>
        <w:spacing w:after="60"/>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propagation model chosen for the technical framework appears in the </w:t>
      </w:r>
      <w:r w:rsidR="00526E0B" w:rsidRPr="00F164FD">
        <w:rPr>
          <w:rFonts w:ascii="Arial" w:hAnsi="Arial" w:cs="Arial"/>
          <w:color w:val="0D0D0D" w:themeColor="text1" w:themeTint="F2"/>
          <w:sz w:val="22"/>
          <w:szCs w:val="22"/>
        </w:rPr>
        <w:t>s</w:t>
      </w:r>
      <w:r w:rsidRPr="00F164FD">
        <w:rPr>
          <w:rFonts w:ascii="Arial" w:hAnsi="Arial" w:cs="Arial"/>
          <w:color w:val="0D0D0D" w:themeColor="text1" w:themeTint="F2"/>
          <w:sz w:val="22"/>
          <w:szCs w:val="22"/>
        </w:rPr>
        <w:t>ection 145 determination as part of the device boundary criterion.</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The propagation model selected for the technical framework needs to be:</w:t>
      </w:r>
    </w:p>
    <w:p w:rsidR="00921D77" w:rsidRPr="00F164FD" w:rsidRDefault="00921D77" w:rsidP="00ED3E3C">
      <w:pPr>
        <w:rPr>
          <w:rFonts w:ascii="Arial" w:hAnsi="Arial" w:cs="Arial"/>
          <w:color w:val="0D0D0D" w:themeColor="text1" w:themeTint="F2"/>
          <w:sz w:val="22"/>
          <w:szCs w:val="22"/>
        </w:rPr>
      </w:pPr>
    </w:p>
    <w:p w:rsidR="009C074A" w:rsidRPr="00F164FD" w:rsidRDefault="009C074A" w:rsidP="00F164FD">
      <w:pPr>
        <w:numPr>
          <w:ilvl w:val="0"/>
          <w:numId w:val="18"/>
        </w:numPr>
        <w:tabs>
          <w:tab w:val="clear" w:pos="720"/>
        </w:tabs>
        <w:ind w:left="426"/>
        <w:rPr>
          <w:rFonts w:ascii="Arial" w:hAnsi="Arial" w:cs="Arial"/>
          <w:color w:val="0D0D0D" w:themeColor="text1" w:themeTint="F2"/>
          <w:sz w:val="22"/>
          <w:szCs w:val="22"/>
        </w:rPr>
      </w:pPr>
      <w:r w:rsidRPr="00F164FD">
        <w:rPr>
          <w:rFonts w:ascii="Arial" w:hAnsi="Arial" w:cs="Arial"/>
          <w:color w:val="0D0D0D" w:themeColor="text1" w:themeTint="F2"/>
          <w:sz w:val="22"/>
          <w:szCs w:val="22"/>
        </w:rPr>
        <w:t>suitable for FDD systems (e.g. antenna height range);</w:t>
      </w:r>
    </w:p>
    <w:p w:rsidR="009C074A" w:rsidRPr="00F164FD" w:rsidRDefault="009C074A" w:rsidP="00F164FD">
      <w:pPr>
        <w:numPr>
          <w:ilvl w:val="0"/>
          <w:numId w:val="18"/>
        </w:numPr>
        <w:tabs>
          <w:tab w:val="clear" w:pos="720"/>
        </w:tabs>
        <w:ind w:left="426"/>
        <w:rPr>
          <w:rFonts w:ascii="Arial" w:hAnsi="Arial" w:cs="Arial"/>
          <w:color w:val="0D0D0D" w:themeColor="text1" w:themeTint="F2"/>
          <w:sz w:val="22"/>
          <w:szCs w:val="22"/>
        </w:rPr>
      </w:pPr>
      <w:r w:rsidRPr="00F164FD">
        <w:rPr>
          <w:rFonts w:ascii="Arial" w:hAnsi="Arial" w:cs="Arial"/>
          <w:color w:val="0D0D0D" w:themeColor="text1" w:themeTint="F2"/>
          <w:sz w:val="22"/>
          <w:szCs w:val="22"/>
        </w:rPr>
        <w:t>a generic model that does not require detailed information on terrain or land usage;</w:t>
      </w:r>
    </w:p>
    <w:p w:rsidR="009C074A" w:rsidRPr="00F164FD" w:rsidRDefault="009C074A" w:rsidP="00F164FD">
      <w:pPr>
        <w:numPr>
          <w:ilvl w:val="0"/>
          <w:numId w:val="18"/>
        </w:numPr>
        <w:tabs>
          <w:tab w:val="clear" w:pos="720"/>
        </w:tabs>
        <w:ind w:left="426"/>
        <w:rPr>
          <w:rFonts w:ascii="Arial" w:hAnsi="Arial" w:cs="Arial"/>
          <w:color w:val="0D0D0D" w:themeColor="text1" w:themeTint="F2"/>
          <w:sz w:val="22"/>
          <w:szCs w:val="22"/>
        </w:rPr>
      </w:pPr>
      <w:r w:rsidRPr="00F164FD">
        <w:rPr>
          <w:rFonts w:ascii="Arial" w:hAnsi="Arial" w:cs="Arial"/>
          <w:color w:val="0D0D0D" w:themeColor="text1" w:themeTint="F2"/>
          <w:sz w:val="22"/>
          <w:szCs w:val="22"/>
        </w:rPr>
        <w:t>not too complex</w:t>
      </w:r>
      <w:r w:rsidR="0047456E" w:rsidRPr="00F164FD">
        <w:rPr>
          <w:rFonts w:ascii="Arial" w:hAnsi="Arial" w:cs="Arial"/>
          <w:color w:val="0D0D0D" w:themeColor="text1" w:themeTint="F2"/>
          <w:sz w:val="22"/>
          <w:szCs w:val="22"/>
        </w:rPr>
        <w:t xml:space="preserve"> and can b</w:t>
      </w:r>
      <w:r w:rsidR="00786F1A" w:rsidRPr="00F164FD">
        <w:rPr>
          <w:rFonts w:ascii="Arial" w:hAnsi="Arial" w:cs="Arial"/>
          <w:color w:val="0D0D0D" w:themeColor="text1" w:themeTint="F2"/>
          <w:sz w:val="22"/>
          <w:szCs w:val="22"/>
        </w:rPr>
        <w:t>e</w:t>
      </w:r>
      <w:r w:rsidR="0047456E" w:rsidRPr="00F164FD">
        <w:rPr>
          <w:rFonts w:ascii="Arial" w:hAnsi="Arial" w:cs="Arial"/>
          <w:color w:val="0D0D0D" w:themeColor="text1" w:themeTint="F2"/>
          <w:sz w:val="22"/>
          <w:szCs w:val="22"/>
        </w:rPr>
        <w:t xml:space="preserve"> easily repeated with certainty</w:t>
      </w:r>
      <w:r w:rsidRPr="00F164FD">
        <w:rPr>
          <w:rFonts w:ascii="Arial" w:hAnsi="Arial" w:cs="Arial"/>
          <w:color w:val="0D0D0D" w:themeColor="text1" w:themeTint="F2"/>
          <w:sz w:val="22"/>
          <w:szCs w:val="22"/>
        </w:rPr>
        <w:t xml:space="preserve">; and </w:t>
      </w:r>
    </w:p>
    <w:p w:rsidR="009C074A" w:rsidRPr="00F164FD" w:rsidRDefault="009C074A" w:rsidP="00F164FD">
      <w:pPr>
        <w:numPr>
          <w:ilvl w:val="0"/>
          <w:numId w:val="18"/>
        </w:numPr>
        <w:tabs>
          <w:tab w:val="clear" w:pos="720"/>
        </w:tabs>
        <w:ind w:left="426"/>
        <w:rPr>
          <w:rFonts w:ascii="Arial" w:hAnsi="Arial" w:cs="Arial"/>
          <w:color w:val="0D0D0D" w:themeColor="text1" w:themeTint="F2"/>
          <w:sz w:val="22"/>
          <w:szCs w:val="22"/>
        </w:rPr>
      </w:pPr>
      <w:proofErr w:type="gramStart"/>
      <w:r w:rsidRPr="00F164FD">
        <w:rPr>
          <w:rFonts w:ascii="Arial" w:hAnsi="Arial" w:cs="Arial"/>
          <w:color w:val="0D0D0D" w:themeColor="text1" w:themeTint="F2"/>
          <w:sz w:val="22"/>
          <w:szCs w:val="22"/>
        </w:rPr>
        <w:t>suitable</w:t>
      </w:r>
      <w:proofErr w:type="gramEnd"/>
      <w:r w:rsidRPr="00F164FD">
        <w:rPr>
          <w:rFonts w:ascii="Arial" w:hAnsi="Arial" w:cs="Arial"/>
          <w:color w:val="0D0D0D" w:themeColor="text1" w:themeTint="F2"/>
          <w:sz w:val="22"/>
          <w:szCs w:val="22"/>
        </w:rPr>
        <w:t xml:space="preserve"> for use in the </w:t>
      </w:r>
      <w:r w:rsidR="004A536A" w:rsidRPr="00F164FD">
        <w:rPr>
          <w:rFonts w:ascii="Arial" w:hAnsi="Arial" w:cs="Arial"/>
          <w:color w:val="0D0D0D" w:themeColor="text1" w:themeTint="F2"/>
          <w:sz w:val="22"/>
          <w:szCs w:val="22"/>
        </w:rPr>
        <w:t>700</w:t>
      </w:r>
      <w:r w:rsidRPr="00F164FD">
        <w:rPr>
          <w:rFonts w:ascii="Arial" w:hAnsi="Arial" w:cs="Arial"/>
          <w:color w:val="0D0D0D" w:themeColor="text1" w:themeTint="F2"/>
          <w:sz w:val="22"/>
          <w:szCs w:val="22"/>
        </w:rPr>
        <w:t xml:space="preserve"> </w:t>
      </w:r>
      <w:r w:rsidR="000F43A0" w:rsidRPr="00F164FD">
        <w:rPr>
          <w:rFonts w:ascii="Arial" w:hAnsi="Arial" w:cs="Arial"/>
          <w:color w:val="0D0D0D" w:themeColor="text1" w:themeTint="F2"/>
          <w:sz w:val="22"/>
          <w:szCs w:val="22"/>
        </w:rPr>
        <w:t>MHz</w:t>
      </w:r>
      <w:r w:rsidRPr="00F164FD">
        <w:rPr>
          <w:rFonts w:ascii="Arial" w:hAnsi="Arial" w:cs="Arial"/>
          <w:color w:val="0D0D0D" w:themeColor="text1" w:themeTint="F2"/>
          <w:sz w:val="22"/>
          <w:szCs w:val="22"/>
        </w:rPr>
        <w:t xml:space="preserve"> band.</w:t>
      </w:r>
    </w:p>
    <w:p w:rsidR="009C074A" w:rsidRPr="00F164FD" w:rsidRDefault="009C074A" w:rsidP="009C074A">
      <w:pPr>
        <w:ind w:left="360"/>
        <w:rPr>
          <w:rFonts w:ascii="Arial" w:hAnsi="Arial" w:cs="Arial"/>
          <w:color w:val="0D0D0D" w:themeColor="text1" w:themeTint="F2"/>
          <w:sz w:val="22"/>
          <w:szCs w:val="22"/>
        </w:rPr>
      </w:pPr>
    </w:p>
    <w:p w:rsidR="009C074A" w:rsidRPr="00F164FD"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propagation model </w:t>
      </w:r>
      <w:r w:rsidR="002B677D" w:rsidRPr="00F164FD">
        <w:rPr>
          <w:rFonts w:ascii="Arial" w:hAnsi="Arial" w:cs="Arial"/>
          <w:color w:val="0D0D0D" w:themeColor="text1" w:themeTint="F2"/>
          <w:sz w:val="22"/>
          <w:szCs w:val="22"/>
        </w:rPr>
        <w:t xml:space="preserve">selected here </w:t>
      </w:r>
      <w:r w:rsidRPr="00F164FD">
        <w:rPr>
          <w:rFonts w:ascii="Arial" w:hAnsi="Arial" w:cs="Arial"/>
          <w:color w:val="0D0D0D" w:themeColor="text1" w:themeTint="F2"/>
          <w:sz w:val="22"/>
          <w:szCs w:val="22"/>
        </w:rPr>
        <w:t>does not need to be suitable for the detailed planning of services, and licensees are free to use any model for their own planning needs.</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The selected propagation model will be the basis of the device boundary criterion on which the ACMA may decide to reject the registration of a transmitter to be opera</w:t>
      </w:r>
      <w:r w:rsidR="00F164FD">
        <w:rPr>
          <w:rFonts w:ascii="Arial" w:hAnsi="Arial" w:cs="Arial"/>
          <w:color w:val="0D0D0D" w:themeColor="text1" w:themeTint="F2"/>
          <w:sz w:val="22"/>
          <w:szCs w:val="22"/>
        </w:rPr>
        <w:t>ted under the spectrum licence.</w:t>
      </w:r>
    </w:p>
    <w:p w:rsidR="009C074A" w:rsidRPr="00F164FD" w:rsidRDefault="009C074A" w:rsidP="009C074A">
      <w:pPr>
        <w:pStyle w:val="Heading3"/>
        <w:rPr>
          <w:rFonts w:ascii="Arial" w:hAnsi="Arial" w:cs="Arial"/>
          <w:color w:val="0D0D0D" w:themeColor="text1" w:themeTint="F2"/>
        </w:rPr>
      </w:pPr>
      <w:bookmarkStart w:id="6" w:name="_Ref309633750"/>
      <w:r w:rsidRPr="00F164FD">
        <w:rPr>
          <w:rFonts w:ascii="Arial" w:hAnsi="Arial" w:cs="Arial"/>
          <w:color w:val="0D0D0D" w:themeColor="text1" w:themeTint="F2"/>
        </w:rPr>
        <w:t>4.1</w:t>
      </w:r>
      <w:r w:rsidRPr="00F164FD">
        <w:rPr>
          <w:rFonts w:ascii="Arial" w:hAnsi="Arial" w:cs="Arial"/>
          <w:color w:val="0D0D0D" w:themeColor="text1" w:themeTint="F2"/>
        </w:rPr>
        <w:tab/>
      </w:r>
      <w:bookmarkStart w:id="7" w:name="OLE_LINK2"/>
      <w:r w:rsidRPr="00F164FD">
        <w:rPr>
          <w:rFonts w:ascii="Arial" w:hAnsi="Arial" w:cs="Arial"/>
          <w:color w:val="0D0D0D" w:themeColor="text1" w:themeTint="F2"/>
        </w:rPr>
        <w:t>Propagation modelling used overseas</w:t>
      </w:r>
      <w:bookmarkEnd w:id="6"/>
    </w:p>
    <w:p w:rsidR="009C074A"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propagation modelling in CEPT Report </w:t>
      </w:r>
      <w:r w:rsidR="004A536A" w:rsidRPr="00F164FD">
        <w:rPr>
          <w:rFonts w:ascii="Arial" w:hAnsi="Arial" w:cs="Arial"/>
          <w:color w:val="0D0D0D" w:themeColor="text1" w:themeTint="F2"/>
          <w:sz w:val="22"/>
          <w:szCs w:val="22"/>
        </w:rPr>
        <w:t>30</w:t>
      </w:r>
      <w:r w:rsidRPr="00F164FD">
        <w:rPr>
          <w:rFonts w:ascii="Arial" w:hAnsi="Arial" w:cs="Arial"/>
          <w:color w:val="0D0D0D" w:themeColor="text1" w:themeTint="F2"/>
          <w:sz w:val="22"/>
          <w:szCs w:val="22"/>
        </w:rPr>
        <w:t xml:space="preserve"> </w:t>
      </w:r>
      <w:r w:rsidR="000C12B5" w:rsidRPr="00F164FD">
        <w:rPr>
          <w:rFonts w:ascii="Arial" w:hAnsi="Arial" w:cs="Arial"/>
          <w:color w:val="0D0D0D" w:themeColor="text1" w:themeTint="F2"/>
          <w:sz w:val="22"/>
          <w:szCs w:val="22"/>
        </w:rPr>
        <w:t>(</w:t>
      </w:r>
      <w:r w:rsidRPr="00F164FD">
        <w:rPr>
          <w:rFonts w:ascii="Arial" w:hAnsi="Arial" w:cs="Arial"/>
          <w:color w:val="0D0D0D" w:themeColor="text1" w:themeTint="F2"/>
          <w:sz w:val="22"/>
          <w:szCs w:val="22"/>
        </w:rPr>
        <w:t xml:space="preserve">where the European </w:t>
      </w:r>
      <w:r w:rsidR="00A440E0" w:rsidRPr="00F164FD">
        <w:rPr>
          <w:rFonts w:ascii="Arial" w:hAnsi="Arial" w:cs="Arial"/>
          <w:color w:val="0D0D0D" w:themeColor="text1" w:themeTint="F2"/>
          <w:sz w:val="22"/>
          <w:szCs w:val="22"/>
        </w:rPr>
        <w:t>framework</w:t>
      </w:r>
      <w:r w:rsidRPr="00F164FD">
        <w:rPr>
          <w:rFonts w:ascii="Arial" w:hAnsi="Arial" w:cs="Arial"/>
          <w:color w:val="0D0D0D" w:themeColor="text1" w:themeTint="F2"/>
          <w:sz w:val="22"/>
          <w:szCs w:val="22"/>
        </w:rPr>
        <w:t xml:space="preserve"> </w:t>
      </w:r>
      <w:r w:rsidR="001A66AE" w:rsidRPr="00F164FD">
        <w:rPr>
          <w:rFonts w:ascii="Arial" w:hAnsi="Arial" w:cs="Arial"/>
          <w:color w:val="0D0D0D" w:themeColor="text1" w:themeTint="F2"/>
          <w:sz w:val="22"/>
          <w:szCs w:val="22"/>
        </w:rPr>
        <w:t>was</w:t>
      </w:r>
      <w:r w:rsidRPr="00F164FD">
        <w:rPr>
          <w:rFonts w:ascii="Arial" w:hAnsi="Arial" w:cs="Arial"/>
          <w:color w:val="0D0D0D" w:themeColor="text1" w:themeTint="F2"/>
          <w:sz w:val="22"/>
          <w:szCs w:val="22"/>
        </w:rPr>
        <w:t xml:space="preserve"> developed</w:t>
      </w:r>
      <w:r w:rsidR="000C12B5" w:rsidRPr="00F164FD">
        <w:rPr>
          <w:rFonts w:ascii="Arial" w:hAnsi="Arial" w:cs="Arial"/>
          <w:color w:val="0D0D0D" w:themeColor="text1" w:themeTint="F2"/>
          <w:sz w:val="22"/>
          <w:szCs w:val="22"/>
        </w:rPr>
        <w:t>)</w:t>
      </w:r>
      <w:r w:rsidRPr="00F164FD">
        <w:rPr>
          <w:rFonts w:ascii="Arial" w:hAnsi="Arial" w:cs="Arial"/>
          <w:color w:val="0D0D0D" w:themeColor="text1" w:themeTint="F2"/>
          <w:sz w:val="22"/>
          <w:szCs w:val="22"/>
        </w:rPr>
        <w:t xml:space="preserve"> uses </w:t>
      </w:r>
      <w:r w:rsidR="004A536A" w:rsidRPr="00F164FD">
        <w:rPr>
          <w:rFonts w:ascii="Arial" w:hAnsi="Arial" w:cs="Arial"/>
          <w:color w:val="0D0D0D" w:themeColor="text1" w:themeTint="F2"/>
          <w:sz w:val="22"/>
          <w:szCs w:val="22"/>
        </w:rPr>
        <w:t>the ITU-R JTG 5-6 propagation model</w:t>
      </w:r>
      <w:r w:rsidR="00D84DC2"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00D84DC2" w:rsidRPr="00F164FD">
        <w:rPr>
          <w:rFonts w:ascii="Arial" w:hAnsi="Arial" w:cs="Arial"/>
          <w:color w:val="0D0D0D" w:themeColor="text1" w:themeTint="F2"/>
          <w:sz w:val="22"/>
          <w:szCs w:val="22"/>
        </w:rPr>
        <w:t>The ITU-R JTG5-6 model</w:t>
      </w:r>
      <w:r w:rsidR="004A536A" w:rsidRPr="00F164FD">
        <w:rPr>
          <w:rFonts w:ascii="Arial" w:hAnsi="Arial" w:cs="Arial"/>
          <w:color w:val="0D0D0D" w:themeColor="text1" w:themeTint="F2"/>
          <w:sz w:val="22"/>
          <w:szCs w:val="22"/>
        </w:rPr>
        <w:t xml:space="preserve"> is based on </w:t>
      </w:r>
      <w:r w:rsidR="00D84DC2" w:rsidRPr="00F164FD">
        <w:rPr>
          <w:rFonts w:ascii="Arial" w:hAnsi="Arial" w:cs="Arial"/>
          <w:color w:val="0D0D0D" w:themeColor="text1" w:themeTint="F2"/>
          <w:sz w:val="22"/>
          <w:szCs w:val="22"/>
        </w:rPr>
        <w:t xml:space="preserve">three propagation models: free space for distance below 40 m; </w:t>
      </w:r>
      <w:r w:rsidR="004A536A" w:rsidRPr="00F164FD">
        <w:rPr>
          <w:rFonts w:ascii="Arial" w:hAnsi="Arial" w:cs="Arial"/>
          <w:color w:val="0D0D0D" w:themeColor="text1" w:themeTint="F2"/>
          <w:sz w:val="22"/>
          <w:szCs w:val="22"/>
        </w:rPr>
        <w:t xml:space="preserve">a </w:t>
      </w:r>
      <w:r w:rsidR="00D84DC2" w:rsidRPr="00F164FD">
        <w:rPr>
          <w:rFonts w:ascii="Arial" w:hAnsi="Arial" w:cs="Arial"/>
          <w:color w:val="0D0D0D" w:themeColor="text1" w:themeTint="F2"/>
          <w:sz w:val="22"/>
          <w:szCs w:val="22"/>
        </w:rPr>
        <w:t xml:space="preserve">modified </w:t>
      </w:r>
      <w:proofErr w:type="spellStart"/>
      <w:r w:rsidR="004A536A" w:rsidRPr="00F164FD">
        <w:rPr>
          <w:rFonts w:ascii="Arial" w:hAnsi="Arial" w:cs="Arial"/>
          <w:color w:val="0D0D0D" w:themeColor="text1" w:themeTint="F2"/>
          <w:sz w:val="22"/>
          <w:szCs w:val="22"/>
        </w:rPr>
        <w:t>Hata</w:t>
      </w:r>
      <w:proofErr w:type="spellEnd"/>
      <w:r w:rsidR="004A536A" w:rsidRPr="00F164FD">
        <w:rPr>
          <w:rFonts w:ascii="Arial" w:hAnsi="Arial" w:cs="Arial"/>
          <w:color w:val="0D0D0D" w:themeColor="text1" w:themeTint="F2"/>
          <w:sz w:val="22"/>
          <w:szCs w:val="22"/>
        </w:rPr>
        <w:t xml:space="preserve"> model for distances </w:t>
      </w:r>
      <w:r w:rsidR="00D84DC2" w:rsidRPr="00F164FD">
        <w:rPr>
          <w:rFonts w:ascii="Arial" w:hAnsi="Arial" w:cs="Arial"/>
          <w:color w:val="0D0D0D" w:themeColor="text1" w:themeTint="F2"/>
          <w:sz w:val="22"/>
          <w:szCs w:val="22"/>
        </w:rPr>
        <w:t>from</w:t>
      </w:r>
      <w:r w:rsidR="004A536A" w:rsidRPr="00F164FD">
        <w:rPr>
          <w:rFonts w:ascii="Arial" w:hAnsi="Arial" w:cs="Arial"/>
          <w:color w:val="0D0D0D" w:themeColor="text1" w:themeTint="F2"/>
          <w:sz w:val="22"/>
          <w:szCs w:val="22"/>
        </w:rPr>
        <w:t xml:space="preserve"> 0.</w:t>
      </w:r>
      <w:r w:rsidR="00D84DC2" w:rsidRPr="00F164FD">
        <w:rPr>
          <w:rFonts w:ascii="Arial" w:hAnsi="Arial" w:cs="Arial"/>
          <w:color w:val="0D0D0D" w:themeColor="text1" w:themeTint="F2"/>
          <w:sz w:val="22"/>
          <w:szCs w:val="22"/>
        </w:rPr>
        <w:t>04</w:t>
      </w:r>
      <w:r w:rsidR="004A536A" w:rsidRPr="00F164FD">
        <w:rPr>
          <w:rFonts w:ascii="Arial" w:hAnsi="Arial" w:cs="Arial"/>
          <w:color w:val="0D0D0D" w:themeColor="text1" w:themeTint="F2"/>
          <w:sz w:val="22"/>
          <w:szCs w:val="22"/>
        </w:rPr>
        <w:t xml:space="preserve"> to </w:t>
      </w:r>
      <w:r w:rsidR="00D84DC2" w:rsidRPr="00F164FD">
        <w:rPr>
          <w:rFonts w:ascii="Arial" w:hAnsi="Arial" w:cs="Arial"/>
          <w:color w:val="0D0D0D" w:themeColor="text1" w:themeTint="F2"/>
          <w:sz w:val="22"/>
          <w:szCs w:val="22"/>
        </w:rPr>
        <w:t>0.</w:t>
      </w:r>
      <w:r w:rsidR="004A536A" w:rsidRPr="00F164FD">
        <w:rPr>
          <w:rFonts w:ascii="Arial" w:hAnsi="Arial" w:cs="Arial"/>
          <w:color w:val="0D0D0D" w:themeColor="text1" w:themeTint="F2"/>
          <w:sz w:val="22"/>
          <w:szCs w:val="22"/>
        </w:rPr>
        <w:t xml:space="preserve">1 km and </w:t>
      </w:r>
      <w:r w:rsidRPr="00F164FD">
        <w:rPr>
          <w:rFonts w:ascii="Arial" w:hAnsi="Arial" w:cs="Arial"/>
          <w:color w:val="0D0D0D" w:themeColor="text1" w:themeTint="F2"/>
          <w:sz w:val="22"/>
          <w:szCs w:val="22"/>
        </w:rPr>
        <w:t>ITU-R Recommendation P.1546</w:t>
      </w:r>
      <w:r w:rsidRPr="00F164FD">
        <w:rPr>
          <w:rStyle w:val="FootnoteReference"/>
          <w:rFonts w:ascii="Arial" w:hAnsi="Arial" w:cs="Arial"/>
          <w:color w:val="0D0D0D" w:themeColor="text1" w:themeTint="F2"/>
          <w:sz w:val="22"/>
          <w:szCs w:val="22"/>
        </w:rPr>
        <w:footnoteReference w:id="2"/>
      </w:r>
      <w:r w:rsidRPr="00F164FD">
        <w:rPr>
          <w:rFonts w:ascii="Arial" w:hAnsi="Arial" w:cs="Arial"/>
          <w:color w:val="0D0D0D" w:themeColor="text1" w:themeTint="F2"/>
          <w:sz w:val="22"/>
          <w:szCs w:val="22"/>
        </w:rPr>
        <w:t xml:space="preserve"> for </w:t>
      </w:r>
      <w:r w:rsidR="00D84DC2" w:rsidRPr="00F164FD">
        <w:rPr>
          <w:rFonts w:ascii="Arial" w:hAnsi="Arial" w:cs="Arial"/>
          <w:color w:val="0D0D0D" w:themeColor="text1" w:themeTint="F2"/>
          <w:sz w:val="22"/>
          <w:szCs w:val="22"/>
        </w:rPr>
        <w:t>distances greater than 1 km.</w:t>
      </w:r>
      <w:r w:rsidR="000F43A0" w:rsidRPr="00F164FD">
        <w:rPr>
          <w:rFonts w:ascii="Arial" w:hAnsi="Arial" w:cs="Arial"/>
          <w:color w:val="0D0D0D" w:themeColor="text1" w:themeTint="F2"/>
          <w:sz w:val="22"/>
          <w:szCs w:val="22"/>
        </w:rPr>
        <w:t xml:space="preserve"> </w:t>
      </w:r>
      <w:r w:rsidR="00B86548" w:rsidRPr="00F164FD">
        <w:rPr>
          <w:rFonts w:ascii="Arial" w:hAnsi="Arial" w:cs="Arial"/>
          <w:color w:val="0D0D0D" w:themeColor="text1" w:themeTint="F2"/>
          <w:sz w:val="22"/>
          <w:szCs w:val="22"/>
        </w:rPr>
        <w:t>Distances b</w:t>
      </w:r>
      <w:r w:rsidR="00D84DC2" w:rsidRPr="00F164FD">
        <w:rPr>
          <w:rFonts w:ascii="Arial" w:hAnsi="Arial" w:cs="Arial"/>
          <w:color w:val="0D0D0D" w:themeColor="text1" w:themeTint="F2"/>
          <w:sz w:val="22"/>
          <w:szCs w:val="22"/>
        </w:rPr>
        <w:t>etween 0.1 km and 1 km are based on a blending of the results for the upper and lower distances</w:t>
      </w:r>
      <w:r w:rsidR="00EB3B12" w:rsidRPr="00F164FD">
        <w:rPr>
          <w:rFonts w:ascii="Arial" w:hAnsi="Arial" w:cs="Arial"/>
          <w:color w:val="0D0D0D" w:themeColor="text1" w:themeTint="F2"/>
          <w:sz w:val="22"/>
          <w:szCs w:val="22"/>
        </w:rPr>
        <w:t xml:space="preserve"> using both models</w:t>
      </w:r>
      <w:r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00D84DC2" w:rsidRPr="00F164FD">
        <w:rPr>
          <w:rFonts w:ascii="Arial" w:hAnsi="Arial" w:cs="Arial"/>
          <w:color w:val="0D0D0D" w:themeColor="text1" w:themeTint="F2"/>
          <w:sz w:val="22"/>
          <w:szCs w:val="22"/>
        </w:rPr>
        <w:t>Details of these models can be f</w:t>
      </w:r>
      <w:r w:rsidR="00F164FD">
        <w:rPr>
          <w:rFonts w:ascii="Arial" w:hAnsi="Arial" w:cs="Arial"/>
          <w:color w:val="0D0D0D" w:themeColor="text1" w:themeTint="F2"/>
          <w:sz w:val="22"/>
          <w:szCs w:val="22"/>
        </w:rPr>
        <w:t>ound in ITU-R Report SM.2028-1.</w:t>
      </w:r>
    </w:p>
    <w:p w:rsidR="0060073B" w:rsidRDefault="0060073B" w:rsidP="009C074A">
      <w:pPr>
        <w:rPr>
          <w:rFonts w:ascii="Arial" w:hAnsi="Arial" w:cs="Arial"/>
          <w:color w:val="0D0D0D" w:themeColor="text1" w:themeTint="F2"/>
          <w:sz w:val="22"/>
          <w:szCs w:val="22"/>
        </w:rPr>
      </w:pPr>
    </w:p>
    <w:p w:rsidR="0060073B" w:rsidRDefault="0060073B">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60073B" w:rsidRPr="00F164FD" w:rsidRDefault="0060073B" w:rsidP="009C074A">
      <w:pPr>
        <w:rPr>
          <w:rFonts w:ascii="Arial" w:hAnsi="Arial" w:cs="Arial"/>
          <w:color w:val="0D0D0D" w:themeColor="text1" w:themeTint="F2"/>
          <w:sz w:val="22"/>
          <w:szCs w:val="22"/>
        </w:rPr>
      </w:pPr>
    </w:p>
    <w:p w:rsidR="009C074A" w:rsidRPr="00F164FD" w:rsidRDefault="009C074A" w:rsidP="009C074A">
      <w:pPr>
        <w:pStyle w:val="Heading3"/>
        <w:rPr>
          <w:rFonts w:ascii="Arial" w:hAnsi="Arial" w:cs="Arial"/>
          <w:color w:val="0D0D0D" w:themeColor="text1" w:themeTint="F2"/>
        </w:rPr>
      </w:pPr>
      <w:r w:rsidRPr="00F164FD">
        <w:rPr>
          <w:rFonts w:ascii="Arial" w:hAnsi="Arial" w:cs="Arial"/>
          <w:color w:val="0D0D0D" w:themeColor="text1" w:themeTint="F2"/>
        </w:rPr>
        <w:t>4.2</w:t>
      </w:r>
      <w:r w:rsidRPr="00F164FD">
        <w:rPr>
          <w:rFonts w:ascii="Arial" w:hAnsi="Arial" w:cs="Arial"/>
          <w:color w:val="0D0D0D" w:themeColor="text1" w:themeTint="F2"/>
        </w:rPr>
        <w:tab/>
        <w:t xml:space="preserve">Proposed </w:t>
      </w:r>
      <w:r w:rsidR="007329D9" w:rsidRPr="00F164FD">
        <w:rPr>
          <w:rFonts w:ascii="Arial" w:hAnsi="Arial" w:cs="Arial"/>
          <w:color w:val="0D0D0D" w:themeColor="text1" w:themeTint="F2"/>
        </w:rPr>
        <w:t xml:space="preserve">propagation </w:t>
      </w:r>
      <w:r w:rsidR="00174352">
        <w:rPr>
          <w:rFonts w:ascii="Arial" w:hAnsi="Arial" w:cs="Arial"/>
          <w:color w:val="0D0D0D" w:themeColor="text1" w:themeTint="F2"/>
        </w:rPr>
        <w:t>model</w:t>
      </w:r>
    </w:p>
    <w:p w:rsidR="004D5C68" w:rsidRPr="00F164FD" w:rsidRDefault="00910F7E" w:rsidP="006B3F64">
      <w:pPr>
        <w:rPr>
          <w:rFonts w:ascii="Arial" w:hAnsi="Arial" w:cs="Arial"/>
          <w:color w:val="0D0D0D" w:themeColor="text1" w:themeTint="F2"/>
          <w:sz w:val="22"/>
          <w:szCs w:val="22"/>
        </w:rPr>
      </w:pPr>
      <w:r w:rsidRPr="00F164FD">
        <w:rPr>
          <w:rFonts w:ascii="Arial" w:hAnsi="Arial" w:cs="Arial"/>
          <w:color w:val="0D0D0D" w:themeColor="text1" w:themeTint="F2"/>
          <w:sz w:val="22"/>
          <w:szCs w:val="22"/>
        </w:rPr>
        <w:t>The</w:t>
      </w:r>
      <w:r w:rsidR="004D5C68" w:rsidRPr="00F164FD">
        <w:rPr>
          <w:rFonts w:ascii="Arial" w:hAnsi="Arial" w:cs="Arial"/>
          <w:color w:val="0D0D0D" w:themeColor="text1" w:themeTint="F2"/>
          <w:sz w:val="22"/>
          <w:szCs w:val="22"/>
        </w:rPr>
        <w:t>re are a range of available propagation models that could be implemented in the section 145 determination and the device boundary criterion including:</w:t>
      </w:r>
      <w:r w:rsidRPr="00F164FD">
        <w:rPr>
          <w:rFonts w:ascii="Arial" w:hAnsi="Arial" w:cs="Arial"/>
          <w:color w:val="0D0D0D" w:themeColor="text1" w:themeTint="F2"/>
          <w:sz w:val="22"/>
          <w:szCs w:val="22"/>
        </w:rPr>
        <w:t xml:space="preserve"> </w:t>
      </w:r>
      <w:r w:rsidR="004D5C68" w:rsidRPr="00F164FD">
        <w:rPr>
          <w:rFonts w:ascii="Arial" w:hAnsi="Arial" w:cs="Arial"/>
          <w:color w:val="0D0D0D" w:themeColor="text1" w:themeTint="F2"/>
          <w:sz w:val="22"/>
          <w:szCs w:val="22"/>
        </w:rPr>
        <w:t xml:space="preserve">ITU-R JTG 5-6, ITU-R P.1546, ITU-R P.526, ITU-R P.452 or ITU-R Report SM.2028 and ERC Report 68 Annex B.a.1. </w:t>
      </w:r>
      <w:r w:rsidR="00C51928" w:rsidRPr="00F164FD">
        <w:rPr>
          <w:rFonts w:ascii="Arial" w:hAnsi="Arial" w:cs="Arial"/>
          <w:color w:val="0D0D0D" w:themeColor="text1" w:themeTint="F2"/>
          <w:sz w:val="22"/>
          <w:szCs w:val="22"/>
        </w:rPr>
        <w:t>E</w:t>
      </w:r>
      <w:r w:rsidR="004D5C68" w:rsidRPr="00F164FD">
        <w:rPr>
          <w:rFonts w:ascii="Arial" w:hAnsi="Arial" w:cs="Arial"/>
          <w:color w:val="0D0D0D" w:themeColor="text1" w:themeTint="F2"/>
          <w:sz w:val="22"/>
          <w:szCs w:val="22"/>
        </w:rPr>
        <w:t>ach has its advantages or disadvantages and these must be considered when planning to implement one o</w:t>
      </w:r>
      <w:r w:rsidR="00F164FD">
        <w:rPr>
          <w:rFonts w:ascii="Arial" w:hAnsi="Arial" w:cs="Arial"/>
          <w:color w:val="0D0D0D" w:themeColor="text1" w:themeTint="F2"/>
          <w:sz w:val="22"/>
          <w:szCs w:val="22"/>
        </w:rPr>
        <w:t>r the other in the section 145.</w:t>
      </w:r>
    </w:p>
    <w:p w:rsidR="004D5C68" w:rsidRPr="00F164FD" w:rsidRDefault="004D5C68" w:rsidP="006B3F64">
      <w:pPr>
        <w:rPr>
          <w:rFonts w:ascii="Arial" w:hAnsi="Arial" w:cs="Arial"/>
          <w:color w:val="0D0D0D" w:themeColor="text1" w:themeTint="F2"/>
          <w:sz w:val="22"/>
          <w:szCs w:val="22"/>
        </w:rPr>
      </w:pPr>
    </w:p>
    <w:p w:rsidR="009C074A" w:rsidRPr="00F164FD" w:rsidRDefault="009C074A" w:rsidP="006B3F64">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proposed propagation model </w:t>
      </w:r>
      <w:bookmarkEnd w:id="7"/>
      <w:r w:rsidRPr="00F164FD">
        <w:rPr>
          <w:rFonts w:ascii="Arial" w:hAnsi="Arial" w:cs="Arial"/>
          <w:color w:val="0D0D0D" w:themeColor="text1" w:themeTint="F2"/>
          <w:sz w:val="22"/>
          <w:szCs w:val="22"/>
        </w:rPr>
        <w:t xml:space="preserve">is based on the </w:t>
      </w:r>
      <w:r w:rsidR="00526E0B" w:rsidRPr="00F164FD">
        <w:rPr>
          <w:rFonts w:ascii="Arial" w:hAnsi="Arial" w:cs="Arial"/>
          <w:color w:val="0D0D0D" w:themeColor="text1" w:themeTint="F2"/>
          <w:sz w:val="22"/>
          <w:szCs w:val="22"/>
        </w:rPr>
        <w:t>modified-</w:t>
      </w:r>
      <w:proofErr w:type="spellStart"/>
      <w:r w:rsidRPr="00F164FD">
        <w:rPr>
          <w:rFonts w:ascii="Arial" w:hAnsi="Arial" w:cs="Arial"/>
          <w:color w:val="0D0D0D" w:themeColor="text1" w:themeTint="F2"/>
          <w:sz w:val="22"/>
          <w:szCs w:val="22"/>
        </w:rPr>
        <w:t>Hata</w:t>
      </w:r>
      <w:proofErr w:type="spellEnd"/>
      <w:r w:rsidRPr="00F164FD">
        <w:rPr>
          <w:rFonts w:ascii="Arial" w:hAnsi="Arial" w:cs="Arial"/>
          <w:color w:val="0D0D0D" w:themeColor="text1" w:themeTint="F2"/>
          <w:sz w:val="22"/>
          <w:szCs w:val="22"/>
        </w:rPr>
        <w:t xml:space="preserve"> model as detailed in </w:t>
      </w:r>
      <w:r w:rsidR="00EB3B12" w:rsidRPr="00F164FD">
        <w:rPr>
          <w:rFonts w:ascii="Arial" w:hAnsi="Arial" w:cs="Arial"/>
          <w:color w:val="0D0D0D" w:themeColor="text1" w:themeTint="F2"/>
          <w:sz w:val="22"/>
          <w:szCs w:val="22"/>
        </w:rPr>
        <w:t xml:space="preserve">ITU-R Report SM.2028 and </w:t>
      </w:r>
      <w:r w:rsidRPr="00F164FD">
        <w:rPr>
          <w:rFonts w:ascii="Arial" w:hAnsi="Arial" w:cs="Arial"/>
          <w:i/>
          <w:color w:val="0D0D0D" w:themeColor="text1" w:themeTint="F2"/>
          <w:sz w:val="22"/>
          <w:szCs w:val="22"/>
        </w:rPr>
        <w:t>ERC Report 68 (Feb 2000)</w:t>
      </w:r>
      <w:r w:rsidR="00204AAE" w:rsidRPr="00F164FD">
        <w:rPr>
          <w:rFonts w:ascii="Arial" w:hAnsi="Arial" w:cs="Arial"/>
          <w:i/>
          <w:color w:val="0D0D0D" w:themeColor="text1" w:themeTint="F2"/>
          <w:sz w:val="22"/>
          <w:szCs w:val="22"/>
        </w:rPr>
        <w:t xml:space="preserve"> part b) of Appendix 1 to Annex</w:t>
      </w:r>
      <w:r w:rsidR="00631F28">
        <w:rPr>
          <w:rFonts w:ascii="Arial" w:hAnsi="Arial" w:cs="Arial"/>
          <w:i/>
          <w:color w:val="0D0D0D" w:themeColor="text1" w:themeTint="F2"/>
          <w:sz w:val="22"/>
          <w:szCs w:val="22"/>
        </w:rPr>
        <w:t> </w:t>
      </w:r>
      <w:r w:rsidR="00204AAE" w:rsidRPr="00F164FD">
        <w:rPr>
          <w:rFonts w:ascii="Arial" w:hAnsi="Arial" w:cs="Arial"/>
          <w:i/>
          <w:color w:val="0D0D0D" w:themeColor="text1" w:themeTint="F2"/>
          <w:sz w:val="22"/>
          <w:szCs w:val="22"/>
        </w:rPr>
        <w:t>2: (Reference (3)) : Propagation model</w:t>
      </w:r>
      <w:r w:rsidRPr="00F164FD">
        <w:rPr>
          <w:rFonts w:ascii="Arial" w:hAnsi="Arial" w:cs="Arial"/>
          <w:color w:val="0D0D0D" w:themeColor="text1" w:themeTint="F2"/>
          <w:sz w:val="22"/>
          <w:szCs w:val="22"/>
        </w:rPr>
        <w:t>.</w:t>
      </w:r>
    </w:p>
    <w:p w:rsidR="009C074A" w:rsidRPr="00F164FD" w:rsidRDefault="009C074A" w:rsidP="009C074A">
      <w:pPr>
        <w:rPr>
          <w:rFonts w:ascii="Arial" w:hAnsi="Arial" w:cs="Arial"/>
          <w:color w:val="0D0D0D" w:themeColor="text1" w:themeTint="F2"/>
          <w:sz w:val="22"/>
          <w:szCs w:val="22"/>
        </w:rPr>
      </w:pPr>
    </w:p>
    <w:p w:rsidR="00142B3F" w:rsidRPr="00F164FD" w:rsidRDefault="009C074A"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Th</w:t>
      </w:r>
      <w:r w:rsidR="004D5C68" w:rsidRPr="00F164FD">
        <w:rPr>
          <w:rFonts w:ascii="Arial" w:hAnsi="Arial" w:cs="Arial"/>
          <w:color w:val="0D0D0D" w:themeColor="text1" w:themeTint="F2"/>
          <w:sz w:val="22"/>
          <w:szCs w:val="22"/>
        </w:rPr>
        <w:t>is</w:t>
      </w:r>
      <w:r w:rsidRPr="00F164FD">
        <w:rPr>
          <w:rFonts w:ascii="Arial" w:hAnsi="Arial" w:cs="Arial"/>
          <w:color w:val="0D0D0D" w:themeColor="text1" w:themeTint="F2"/>
          <w:sz w:val="22"/>
          <w:szCs w:val="22"/>
        </w:rPr>
        <w:t xml:space="preserve"> model has been chosen in preference to </w:t>
      </w:r>
      <w:r w:rsidR="00526E0B" w:rsidRPr="00F164FD">
        <w:rPr>
          <w:rFonts w:ascii="Arial" w:hAnsi="Arial" w:cs="Arial"/>
          <w:color w:val="0D0D0D" w:themeColor="text1" w:themeTint="F2"/>
          <w:sz w:val="22"/>
          <w:szCs w:val="22"/>
        </w:rPr>
        <w:t>others</w:t>
      </w:r>
      <w:r w:rsidR="004D5C68"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because it is easier to implement and describe in the section 145 determination</w:t>
      </w:r>
      <w:r w:rsidR="00BC31DA" w:rsidRPr="00F164FD">
        <w:rPr>
          <w:rFonts w:ascii="Arial" w:hAnsi="Arial" w:cs="Arial"/>
          <w:color w:val="0D0D0D" w:themeColor="text1" w:themeTint="F2"/>
          <w:sz w:val="22"/>
          <w:szCs w:val="22"/>
        </w:rPr>
        <w:t xml:space="preserve"> and it aligns well with the ITU-R JTG 5-6 model and ITU-R P.1546 under certain conditions</w:t>
      </w:r>
      <w:r w:rsidR="000E25A5"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004D5C68" w:rsidRPr="00F164FD">
        <w:rPr>
          <w:rFonts w:ascii="Arial" w:hAnsi="Arial" w:cs="Arial"/>
          <w:color w:val="0D0D0D" w:themeColor="text1" w:themeTint="F2"/>
          <w:sz w:val="22"/>
          <w:szCs w:val="22"/>
        </w:rPr>
        <w:t xml:space="preserve">The P.526 and P.452 models have been excluded because they require additional terrain and clutter detail which cannot be made, or isn’t readily, </w:t>
      </w:r>
      <w:r w:rsidR="00256600" w:rsidRPr="00F164FD">
        <w:rPr>
          <w:rFonts w:ascii="Arial" w:hAnsi="Arial" w:cs="Arial"/>
          <w:color w:val="0D0D0D" w:themeColor="text1" w:themeTint="F2"/>
          <w:sz w:val="22"/>
          <w:szCs w:val="22"/>
        </w:rPr>
        <w:t xml:space="preserve">available </w:t>
      </w:r>
      <w:r w:rsidR="004D5C68" w:rsidRPr="00F164FD">
        <w:rPr>
          <w:rFonts w:ascii="Arial" w:hAnsi="Arial" w:cs="Arial"/>
          <w:color w:val="0D0D0D" w:themeColor="text1" w:themeTint="F2"/>
          <w:sz w:val="22"/>
          <w:szCs w:val="22"/>
        </w:rPr>
        <w:t>at all locations where the 700 MHz spectrum licence has been declared</w:t>
      </w:r>
      <w:r w:rsidR="00FE54FE" w:rsidRPr="00F164FD">
        <w:rPr>
          <w:rFonts w:ascii="Arial" w:hAnsi="Arial" w:cs="Arial"/>
          <w:color w:val="0D0D0D" w:themeColor="text1" w:themeTint="F2"/>
          <w:sz w:val="22"/>
          <w:szCs w:val="22"/>
        </w:rPr>
        <w:t>.</w:t>
      </w:r>
    </w:p>
    <w:p w:rsidR="00631F28" w:rsidRPr="00F164FD" w:rsidRDefault="00631F28" w:rsidP="009C074A">
      <w:pPr>
        <w:rPr>
          <w:rFonts w:ascii="Arial" w:hAnsi="Arial" w:cs="Arial"/>
          <w:color w:val="0D0D0D" w:themeColor="text1" w:themeTint="F2"/>
          <w:sz w:val="22"/>
          <w:szCs w:val="22"/>
        </w:rPr>
      </w:pPr>
    </w:p>
    <w:p w:rsidR="00256600" w:rsidRPr="00F164FD" w:rsidRDefault="00256600"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It is proposed to implement the </w:t>
      </w:r>
      <w:r w:rsidR="0007322D" w:rsidRPr="00F164FD">
        <w:rPr>
          <w:rFonts w:ascii="Arial" w:hAnsi="Arial" w:cs="Arial"/>
          <w:color w:val="0D0D0D" w:themeColor="text1" w:themeTint="F2"/>
          <w:sz w:val="22"/>
          <w:szCs w:val="22"/>
        </w:rPr>
        <w:t>sub</w:t>
      </w:r>
      <w:r w:rsidR="00B90F51" w:rsidRPr="00F164FD">
        <w:rPr>
          <w:rFonts w:ascii="Arial" w:hAnsi="Arial" w:cs="Arial"/>
          <w:color w:val="0D0D0D" w:themeColor="text1" w:themeTint="F2"/>
          <w:sz w:val="22"/>
          <w:szCs w:val="22"/>
        </w:rPr>
        <w:t>urban</w:t>
      </w:r>
      <w:r w:rsidRPr="00F164FD">
        <w:rPr>
          <w:rFonts w:ascii="Arial" w:hAnsi="Arial" w:cs="Arial"/>
          <w:color w:val="0D0D0D" w:themeColor="text1" w:themeTint="F2"/>
          <w:sz w:val="22"/>
          <w:szCs w:val="22"/>
        </w:rPr>
        <w:t xml:space="preserve"> variant of the </w:t>
      </w:r>
      <w:r w:rsidR="00912FD8" w:rsidRPr="00F164FD">
        <w:rPr>
          <w:rFonts w:ascii="Arial" w:hAnsi="Arial" w:cs="Arial"/>
          <w:color w:val="0D0D0D" w:themeColor="text1" w:themeTint="F2"/>
          <w:sz w:val="22"/>
          <w:szCs w:val="22"/>
        </w:rPr>
        <w:t>modified-</w:t>
      </w:r>
      <w:proofErr w:type="spellStart"/>
      <w:r w:rsidRPr="00F164FD">
        <w:rPr>
          <w:rFonts w:ascii="Arial" w:hAnsi="Arial" w:cs="Arial"/>
          <w:color w:val="0D0D0D" w:themeColor="text1" w:themeTint="F2"/>
          <w:sz w:val="22"/>
          <w:szCs w:val="22"/>
        </w:rPr>
        <w:t>Hata</w:t>
      </w:r>
      <w:proofErr w:type="spellEnd"/>
      <w:r w:rsidR="00D2738D"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model because it </w:t>
      </w:r>
      <w:r w:rsidR="00912FD8" w:rsidRPr="00F164FD">
        <w:rPr>
          <w:rFonts w:ascii="Arial" w:hAnsi="Arial" w:cs="Arial"/>
          <w:color w:val="0D0D0D" w:themeColor="text1" w:themeTint="F2"/>
          <w:sz w:val="22"/>
          <w:szCs w:val="22"/>
        </w:rPr>
        <w:t xml:space="preserve">offers a reasonable compromise between urban and open area models and better reflects that geographic </w:t>
      </w:r>
      <w:r w:rsidR="00526E0B" w:rsidRPr="00F164FD">
        <w:rPr>
          <w:rFonts w:ascii="Arial" w:hAnsi="Arial" w:cs="Arial"/>
          <w:color w:val="0D0D0D" w:themeColor="text1" w:themeTint="F2"/>
          <w:sz w:val="22"/>
          <w:szCs w:val="22"/>
        </w:rPr>
        <w:t>boundaries</w:t>
      </w:r>
      <w:r w:rsidR="00912FD8" w:rsidRPr="00F164FD">
        <w:rPr>
          <w:rFonts w:ascii="Arial" w:hAnsi="Arial" w:cs="Arial"/>
          <w:color w:val="0D0D0D" w:themeColor="text1" w:themeTint="F2"/>
          <w:sz w:val="22"/>
          <w:szCs w:val="22"/>
        </w:rPr>
        <w:t xml:space="preserve"> are </w:t>
      </w:r>
      <w:r w:rsidR="00D078F4" w:rsidRPr="00F164FD">
        <w:rPr>
          <w:rFonts w:ascii="Arial" w:hAnsi="Arial" w:cs="Arial"/>
          <w:color w:val="0D0D0D" w:themeColor="text1" w:themeTint="F2"/>
          <w:sz w:val="22"/>
          <w:szCs w:val="22"/>
        </w:rPr>
        <w:t xml:space="preserve">typically located </w:t>
      </w:r>
      <w:r w:rsidR="00912FD8" w:rsidRPr="00F164FD">
        <w:rPr>
          <w:rFonts w:ascii="Arial" w:hAnsi="Arial" w:cs="Arial"/>
          <w:color w:val="0D0D0D" w:themeColor="text1" w:themeTint="F2"/>
          <w:sz w:val="22"/>
          <w:szCs w:val="22"/>
        </w:rPr>
        <w:t>outside metropolitan</w:t>
      </w:r>
      <w:r w:rsidR="00463B4F" w:rsidRPr="00F164FD">
        <w:rPr>
          <w:rFonts w:ascii="Arial" w:hAnsi="Arial" w:cs="Arial"/>
          <w:color w:val="0D0D0D" w:themeColor="text1" w:themeTint="F2"/>
          <w:sz w:val="22"/>
          <w:szCs w:val="22"/>
        </w:rPr>
        <w:t xml:space="preserve"> and/or highly populated</w:t>
      </w:r>
      <w:r w:rsidR="00912FD8" w:rsidRPr="00F164FD">
        <w:rPr>
          <w:rFonts w:ascii="Arial" w:hAnsi="Arial" w:cs="Arial"/>
          <w:color w:val="0D0D0D" w:themeColor="text1" w:themeTint="F2"/>
          <w:sz w:val="22"/>
          <w:szCs w:val="22"/>
        </w:rPr>
        <w:t xml:space="preserve"> areas.</w:t>
      </w:r>
    </w:p>
    <w:p w:rsidR="00256600" w:rsidRPr="00F164FD" w:rsidRDefault="00256600" w:rsidP="009C074A">
      <w:pPr>
        <w:rPr>
          <w:rFonts w:ascii="Arial" w:hAnsi="Arial" w:cs="Arial"/>
          <w:color w:val="0D0D0D" w:themeColor="text1" w:themeTint="F2"/>
          <w:sz w:val="22"/>
          <w:szCs w:val="22"/>
        </w:rPr>
      </w:pPr>
    </w:p>
    <w:p w:rsidR="009C074A" w:rsidRPr="00F164FD" w:rsidRDefault="00142B3F" w:rsidP="009C074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w:t>
      </w:r>
      <w:r w:rsidR="00912FD8" w:rsidRPr="00F164FD">
        <w:rPr>
          <w:rFonts w:ascii="Arial" w:hAnsi="Arial" w:cs="Arial"/>
          <w:color w:val="0D0D0D" w:themeColor="text1" w:themeTint="F2"/>
          <w:sz w:val="22"/>
          <w:szCs w:val="22"/>
        </w:rPr>
        <w:t>modified-</w:t>
      </w:r>
      <w:proofErr w:type="spellStart"/>
      <w:r w:rsidR="00D2738D" w:rsidRPr="00F164FD">
        <w:rPr>
          <w:rFonts w:ascii="Arial" w:hAnsi="Arial" w:cs="Arial"/>
          <w:color w:val="0D0D0D" w:themeColor="text1" w:themeTint="F2"/>
          <w:sz w:val="22"/>
          <w:szCs w:val="22"/>
        </w:rPr>
        <w:t>Hata</w:t>
      </w:r>
      <w:proofErr w:type="spellEnd"/>
      <w:r w:rsidRPr="00F164FD">
        <w:rPr>
          <w:rFonts w:ascii="Arial" w:hAnsi="Arial" w:cs="Arial"/>
          <w:color w:val="0D0D0D" w:themeColor="text1" w:themeTint="F2"/>
          <w:sz w:val="22"/>
          <w:szCs w:val="22"/>
        </w:rPr>
        <w:t xml:space="preserve"> model is recommended for antenna height up to 200 metres and distances up to 100 kilometres, and provides acceptable results for antenna heights </w:t>
      </w:r>
      <w:r w:rsidR="00912FD8" w:rsidRPr="00F164FD">
        <w:rPr>
          <w:rFonts w:ascii="Arial" w:hAnsi="Arial" w:cs="Arial"/>
          <w:color w:val="0D0D0D" w:themeColor="text1" w:themeTint="F2"/>
          <w:sz w:val="22"/>
          <w:szCs w:val="22"/>
        </w:rPr>
        <w:t>up to</w:t>
      </w:r>
      <w:r w:rsidRPr="00F164FD">
        <w:rPr>
          <w:rFonts w:ascii="Arial" w:hAnsi="Arial" w:cs="Arial"/>
          <w:color w:val="0D0D0D" w:themeColor="text1" w:themeTint="F2"/>
          <w:sz w:val="22"/>
          <w:szCs w:val="22"/>
        </w:rPr>
        <w:t xml:space="preserve"> 500 metres.</w:t>
      </w:r>
    </w:p>
    <w:p w:rsidR="009C074A" w:rsidRPr="00F164FD" w:rsidRDefault="009C074A" w:rsidP="009C074A">
      <w:pPr>
        <w:pStyle w:val="Heading2"/>
        <w:rPr>
          <w:rFonts w:ascii="Arial" w:hAnsi="Arial" w:cs="Arial"/>
          <w:color w:val="0D0D0D" w:themeColor="text1" w:themeTint="F2"/>
        </w:rPr>
      </w:pPr>
      <w:r w:rsidRPr="00F164FD">
        <w:rPr>
          <w:rFonts w:ascii="Arial" w:hAnsi="Arial" w:cs="Arial"/>
          <w:color w:val="0D0D0D" w:themeColor="text1" w:themeTint="F2"/>
        </w:rPr>
        <w:t>5.</w:t>
      </w:r>
      <w:r w:rsidRPr="00F164FD">
        <w:rPr>
          <w:rFonts w:ascii="Arial" w:hAnsi="Arial" w:cs="Arial"/>
          <w:color w:val="0D0D0D" w:themeColor="text1" w:themeTint="F2"/>
        </w:rPr>
        <w:tab/>
        <w:t>Level of Protection</w:t>
      </w:r>
    </w:p>
    <w:p w:rsidR="009C074A" w:rsidRPr="00F164FD" w:rsidRDefault="009C074A" w:rsidP="009C074A">
      <w:pPr>
        <w:ind w:right="27"/>
        <w:rPr>
          <w:rFonts w:ascii="Arial" w:hAnsi="Arial" w:cs="Arial"/>
          <w:color w:val="0D0D0D" w:themeColor="text1" w:themeTint="F2"/>
          <w:sz w:val="22"/>
          <w:szCs w:val="22"/>
        </w:rPr>
      </w:pPr>
      <w:r w:rsidRPr="00F164FD">
        <w:rPr>
          <w:rFonts w:ascii="Arial" w:hAnsi="Arial" w:cs="Arial"/>
          <w:color w:val="0D0D0D" w:themeColor="text1" w:themeTint="F2"/>
          <w:sz w:val="22"/>
          <w:szCs w:val="22"/>
        </w:rPr>
        <w:t>The level of protection</w:t>
      </w:r>
      <w:r w:rsidR="001370F9" w:rsidRPr="00F164FD">
        <w:rPr>
          <w:rFonts w:ascii="Arial" w:hAnsi="Arial" w:cs="Arial"/>
          <w:color w:val="0D0D0D" w:themeColor="text1" w:themeTint="F2"/>
          <w:sz w:val="22"/>
          <w:szCs w:val="22"/>
        </w:rPr>
        <w:t xml:space="preserve"> (LOP)</w:t>
      </w:r>
      <w:r w:rsidRPr="00F164FD">
        <w:rPr>
          <w:rFonts w:ascii="Arial" w:hAnsi="Arial" w:cs="Arial"/>
          <w:color w:val="0D0D0D" w:themeColor="text1" w:themeTint="F2"/>
          <w:sz w:val="22"/>
          <w:szCs w:val="22"/>
        </w:rPr>
        <w:t xml:space="preserve"> is the benchmark protection given to receivers from co-channel emissions from transmitters operating in adjacent geographic licence areas.</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This benchmark level is also </w:t>
      </w:r>
      <w:r w:rsidR="001370F9" w:rsidRPr="00F164FD">
        <w:rPr>
          <w:rFonts w:ascii="Arial" w:hAnsi="Arial" w:cs="Arial"/>
          <w:color w:val="0D0D0D" w:themeColor="text1" w:themeTint="F2"/>
          <w:sz w:val="22"/>
          <w:szCs w:val="22"/>
        </w:rPr>
        <w:t xml:space="preserve">necessary </w:t>
      </w:r>
      <w:r w:rsidRPr="00F164FD">
        <w:rPr>
          <w:rFonts w:ascii="Arial" w:hAnsi="Arial" w:cs="Arial"/>
          <w:color w:val="0D0D0D" w:themeColor="text1" w:themeTint="F2"/>
          <w:sz w:val="22"/>
          <w:szCs w:val="22"/>
        </w:rPr>
        <w:t xml:space="preserve">for the calculation of the device boundary criterion </w:t>
      </w:r>
      <w:r w:rsidR="001370F9" w:rsidRPr="00F164FD">
        <w:rPr>
          <w:rFonts w:ascii="Arial" w:hAnsi="Arial" w:cs="Arial"/>
          <w:color w:val="0D0D0D" w:themeColor="text1" w:themeTint="F2"/>
          <w:sz w:val="22"/>
          <w:szCs w:val="22"/>
        </w:rPr>
        <w:t xml:space="preserve">which is </w:t>
      </w:r>
      <w:r w:rsidRPr="00F164FD">
        <w:rPr>
          <w:rFonts w:ascii="Arial" w:hAnsi="Arial" w:cs="Arial"/>
          <w:color w:val="0D0D0D" w:themeColor="text1" w:themeTint="F2"/>
          <w:sz w:val="22"/>
          <w:szCs w:val="22"/>
        </w:rPr>
        <w:t xml:space="preserve">used to determine if a transmitter is likely to cause unacceptable interference </w:t>
      </w:r>
      <w:r w:rsidR="001370F9" w:rsidRPr="00F164FD">
        <w:rPr>
          <w:rFonts w:ascii="Arial" w:hAnsi="Arial" w:cs="Arial"/>
          <w:color w:val="0D0D0D" w:themeColor="text1" w:themeTint="F2"/>
          <w:sz w:val="22"/>
          <w:szCs w:val="22"/>
        </w:rPr>
        <w:t xml:space="preserve">prior to </w:t>
      </w:r>
      <w:r w:rsidRPr="00F164FD">
        <w:rPr>
          <w:rFonts w:ascii="Arial" w:hAnsi="Arial" w:cs="Arial"/>
          <w:color w:val="0D0D0D" w:themeColor="text1" w:themeTint="F2"/>
          <w:sz w:val="22"/>
          <w:szCs w:val="22"/>
        </w:rPr>
        <w:t>the ACMA registering a transmitter and therefore limits emissions over the geographic boundaries of the licence.</w:t>
      </w:r>
    </w:p>
    <w:p w:rsidR="009C074A" w:rsidRPr="00F164FD" w:rsidRDefault="009C074A" w:rsidP="009C074A">
      <w:pPr>
        <w:ind w:right="27"/>
        <w:rPr>
          <w:rFonts w:ascii="Arial" w:hAnsi="Arial" w:cs="Arial"/>
          <w:color w:val="0D0D0D" w:themeColor="text1" w:themeTint="F2"/>
          <w:sz w:val="22"/>
          <w:szCs w:val="22"/>
        </w:rPr>
      </w:pPr>
    </w:p>
    <w:p w:rsidR="009C074A" w:rsidRPr="00F164FD" w:rsidRDefault="009C074A" w:rsidP="009C074A">
      <w:pPr>
        <w:ind w:right="27"/>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This </w:t>
      </w:r>
      <w:r w:rsidR="001370F9" w:rsidRPr="00F164FD">
        <w:rPr>
          <w:rFonts w:ascii="Arial" w:hAnsi="Arial" w:cs="Arial"/>
          <w:color w:val="0D0D0D" w:themeColor="text1" w:themeTint="F2"/>
          <w:sz w:val="22"/>
          <w:szCs w:val="22"/>
        </w:rPr>
        <w:t xml:space="preserve">LOP </w:t>
      </w:r>
      <w:r w:rsidRPr="00F164FD">
        <w:rPr>
          <w:rFonts w:ascii="Arial" w:hAnsi="Arial" w:cs="Arial"/>
          <w:color w:val="0D0D0D" w:themeColor="text1" w:themeTint="F2"/>
          <w:sz w:val="22"/>
          <w:szCs w:val="22"/>
        </w:rPr>
        <w:t>in the spectrum licence technical framework is typically based on factors including receiver sensitivity, system noise floors, protection ratios, margins and allowances.</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FDD system arrangements make the interference path a high site to low site </w:t>
      </w:r>
      <w:r w:rsidR="00526E0B" w:rsidRPr="00F164FD">
        <w:rPr>
          <w:rFonts w:ascii="Arial" w:hAnsi="Arial" w:cs="Arial"/>
          <w:color w:val="0D0D0D" w:themeColor="text1" w:themeTint="F2"/>
          <w:sz w:val="22"/>
          <w:szCs w:val="22"/>
        </w:rPr>
        <w:t>on the downlink and</w:t>
      </w:r>
      <w:r w:rsidRPr="00F164FD">
        <w:rPr>
          <w:rFonts w:ascii="Arial" w:hAnsi="Arial" w:cs="Arial"/>
          <w:color w:val="0D0D0D" w:themeColor="text1" w:themeTint="F2"/>
          <w:sz w:val="22"/>
          <w:szCs w:val="22"/>
        </w:rPr>
        <w:t xml:space="preserve"> a low site to high site propagation path</w:t>
      </w:r>
      <w:r w:rsidR="00526E0B" w:rsidRPr="00F164FD">
        <w:rPr>
          <w:rFonts w:ascii="Arial" w:hAnsi="Arial" w:cs="Arial"/>
          <w:color w:val="0D0D0D" w:themeColor="text1" w:themeTint="F2"/>
          <w:sz w:val="22"/>
          <w:szCs w:val="22"/>
        </w:rPr>
        <w:t xml:space="preserve"> on the uplink</w:t>
      </w:r>
      <w:r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This type of propagation path has higher losses compared to near free space high site to high site paths.</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This reduces the necessary separation distance from the interference source.</w:t>
      </w:r>
    </w:p>
    <w:p w:rsidR="009C074A" w:rsidRPr="00F164FD" w:rsidRDefault="009C074A" w:rsidP="009C074A">
      <w:pPr>
        <w:ind w:right="27"/>
        <w:rPr>
          <w:rFonts w:ascii="Arial" w:hAnsi="Arial" w:cs="Arial"/>
          <w:color w:val="0D0D0D" w:themeColor="text1" w:themeTint="F2"/>
          <w:sz w:val="22"/>
          <w:szCs w:val="22"/>
        </w:rPr>
      </w:pPr>
    </w:p>
    <w:p w:rsidR="009C074A" w:rsidRPr="00F164FD" w:rsidRDefault="009C074A" w:rsidP="009C074A">
      <w:pPr>
        <w:ind w:right="27"/>
        <w:rPr>
          <w:rFonts w:ascii="Arial" w:hAnsi="Arial" w:cs="Arial"/>
          <w:b/>
          <w:color w:val="0D0D0D" w:themeColor="text1" w:themeTint="F2"/>
        </w:rPr>
      </w:pPr>
      <w:r w:rsidRPr="00F164FD">
        <w:rPr>
          <w:rFonts w:ascii="Arial" w:hAnsi="Arial" w:cs="Arial"/>
          <w:b/>
          <w:color w:val="0D0D0D" w:themeColor="text1" w:themeTint="F2"/>
        </w:rPr>
        <w:t>The Protection This Level of Protection Does Not Provide</w:t>
      </w:r>
    </w:p>
    <w:p w:rsidR="009C074A" w:rsidRDefault="009C074A" w:rsidP="009C074A">
      <w:pPr>
        <w:ind w:right="27"/>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It should be noted that this </w:t>
      </w:r>
      <w:r w:rsidR="001370F9" w:rsidRPr="00F164FD">
        <w:rPr>
          <w:rFonts w:ascii="Arial" w:hAnsi="Arial" w:cs="Arial"/>
          <w:color w:val="0D0D0D" w:themeColor="text1" w:themeTint="F2"/>
          <w:sz w:val="22"/>
          <w:szCs w:val="22"/>
        </w:rPr>
        <w:t>LOP</w:t>
      </w:r>
      <w:r w:rsidRPr="00F164FD">
        <w:rPr>
          <w:rFonts w:ascii="Arial" w:hAnsi="Arial" w:cs="Arial"/>
          <w:color w:val="0D0D0D" w:themeColor="text1" w:themeTint="F2"/>
          <w:sz w:val="22"/>
          <w:szCs w:val="22"/>
        </w:rPr>
        <w:t xml:space="preserve"> does not </w:t>
      </w:r>
      <w:r w:rsidR="00857DC9" w:rsidRPr="00F164FD">
        <w:rPr>
          <w:rFonts w:ascii="Arial" w:hAnsi="Arial" w:cs="Arial"/>
          <w:color w:val="0D0D0D" w:themeColor="text1" w:themeTint="F2"/>
          <w:sz w:val="22"/>
          <w:szCs w:val="22"/>
        </w:rPr>
        <w:t xml:space="preserve">directly </w:t>
      </w:r>
      <w:r w:rsidRPr="00F164FD">
        <w:rPr>
          <w:rFonts w:ascii="Arial" w:hAnsi="Arial" w:cs="Arial"/>
          <w:color w:val="0D0D0D" w:themeColor="text1" w:themeTint="F2"/>
          <w:sz w:val="22"/>
          <w:szCs w:val="22"/>
        </w:rPr>
        <w:t xml:space="preserve">apply to emissions from devices operating in adjacent </w:t>
      </w:r>
      <w:r w:rsidR="00912FD8" w:rsidRPr="00F164FD">
        <w:rPr>
          <w:rFonts w:ascii="Arial" w:hAnsi="Arial" w:cs="Arial"/>
          <w:color w:val="0D0D0D" w:themeColor="text1" w:themeTint="F2"/>
          <w:sz w:val="22"/>
          <w:szCs w:val="22"/>
        </w:rPr>
        <w:t>frequencies</w:t>
      </w:r>
      <w:r w:rsidRPr="00F164FD">
        <w:rPr>
          <w:rFonts w:ascii="Arial" w:hAnsi="Arial" w:cs="Arial"/>
          <w:color w:val="0D0D0D" w:themeColor="text1" w:themeTint="F2"/>
          <w:sz w:val="22"/>
          <w:szCs w:val="22"/>
        </w:rPr>
        <w:t xml:space="preserve"> in the same geographic area. </w:t>
      </w:r>
      <w:r w:rsidR="00857DC9" w:rsidRPr="00F164FD">
        <w:rPr>
          <w:rFonts w:ascii="Arial" w:hAnsi="Arial" w:cs="Arial"/>
          <w:color w:val="0D0D0D" w:themeColor="text1" w:themeTint="F2"/>
          <w:sz w:val="22"/>
          <w:szCs w:val="22"/>
        </w:rPr>
        <w:t>The</w:t>
      </w:r>
      <w:r w:rsidRPr="00F164FD">
        <w:rPr>
          <w:rFonts w:ascii="Arial" w:hAnsi="Arial" w:cs="Arial"/>
          <w:color w:val="0D0D0D" w:themeColor="text1" w:themeTint="F2"/>
          <w:sz w:val="22"/>
          <w:szCs w:val="22"/>
        </w:rPr>
        <w:t xml:space="preserve"> level of protection chosen </w:t>
      </w:r>
      <w:r w:rsidR="0035379E" w:rsidRPr="00F164FD">
        <w:rPr>
          <w:rFonts w:ascii="Arial" w:hAnsi="Arial" w:cs="Arial"/>
          <w:color w:val="0D0D0D" w:themeColor="text1" w:themeTint="F2"/>
          <w:sz w:val="22"/>
          <w:szCs w:val="22"/>
        </w:rPr>
        <w:t xml:space="preserve">in that instance </w:t>
      </w:r>
      <w:r w:rsidRPr="00F164FD">
        <w:rPr>
          <w:rFonts w:ascii="Arial" w:hAnsi="Arial" w:cs="Arial"/>
          <w:color w:val="0D0D0D" w:themeColor="text1" w:themeTint="F2"/>
          <w:sz w:val="22"/>
          <w:szCs w:val="22"/>
        </w:rPr>
        <w:t xml:space="preserve">should </w:t>
      </w:r>
      <w:r w:rsidR="00912FD8" w:rsidRPr="00F164FD">
        <w:rPr>
          <w:rFonts w:ascii="Arial" w:hAnsi="Arial" w:cs="Arial"/>
          <w:color w:val="0D0D0D" w:themeColor="text1" w:themeTint="F2"/>
          <w:sz w:val="22"/>
          <w:szCs w:val="22"/>
        </w:rPr>
        <w:t>reflect those contained in the relevant radio advisory guidelines or any agreements reached between affected parties. For co-sited devices, licensees are required to take reasonable steps to work with the site manager or affected licensees to resolve any interference issues</w:t>
      </w:r>
      <w:r w:rsidRPr="00F164FD">
        <w:rPr>
          <w:rFonts w:ascii="Arial" w:hAnsi="Arial" w:cs="Arial"/>
          <w:color w:val="0D0D0D" w:themeColor="text1" w:themeTint="F2"/>
          <w:sz w:val="22"/>
          <w:szCs w:val="22"/>
        </w:rPr>
        <w:t>.</w:t>
      </w:r>
    </w:p>
    <w:p w:rsidR="0060073B" w:rsidRDefault="0060073B" w:rsidP="009C074A">
      <w:pPr>
        <w:ind w:right="27"/>
        <w:rPr>
          <w:rFonts w:ascii="Arial" w:hAnsi="Arial" w:cs="Arial"/>
          <w:color w:val="0D0D0D" w:themeColor="text1" w:themeTint="F2"/>
          <w:sz w:val="22"/>
          <w:szCs w:val="22"/>
        </w:rPr>
      </w:pPr>
    </w:p>
    <w:p w:rsidR="0060073B" w:rsidRDefault="0060073B">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60073B" w:rsidRPr="00F164FD" w:rsidRDefault="0060073B" w:rsidP="009C074A">
      <w:pPr>
        <w:ind w:right="27"/>
        <w:rPr>
          <w:rFonts w:ascii="Arial" w:hAnsi="Arial" w:cs="Arial"/>
          <w:color w:val="0D0D0D" w:themeColor="text1" w:themeTint="F2"/>
          <w:sz w:val="22"/>
          <w:szCs w:val="22"/>
        </w:rPr>
      </w:pPr>
    </w:p>
    <w:p w:rsidR="009C074A" w:rsidRPr="00F164FD" w:rsidRDefault="009C074A" w:rsidP="009C074A">
      <w:pPr>
        <w:pStyle w:val="Heading3"/>
        <w:rPr>
          <w:rFonts w:ascii="Arial" w:hAnsi="Arial" w:cs="Arial"/>
          <w:color w:val="0D0D0D" w:themeColor="text1" w:themeTint="F2"/>
        </w:rPr>
      </w:pPr>
      <w:r w:rsidRPr="00F164FD">
        <w:rPr>
          <w:rFonts w:ascii="Arial" w:hAnsi="Arial" w:cs="Arial"/>
          <w:color w:val="0D0D0D" w:themeColor="text1" w:themeTint="F2"/>
        </w:rPr>
        <w:t>5.1</w:t>
      </w:r>
      <w:r w:rsidRPr="00F164FD">
        <w:rPr>
          <w:rFonts w:ascii="Arial" w:hAnsi="Arial" w:cs="Arial"/>
          <w:color w:val="0D0D0D" w:themeColor="text1" w:themeTint="F2"/>
        </w:rPr>
        <w:tab/>
        <w:t>Levels of protection overseas</w:t>
      </w:r>
    </w:p>
    <w:p w:rsidR="00174352" w:rsidRDefault="009C074A" w:rsidP="00F164FD">
      <w:pPr>
        <w:ind w:right="27"/>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CEPT Report </w:t>
      </w:r>
      <w:r w:rsidR="00DB5BE2" w:rsidRPr="00F164FD">
        <w:rPr>
          <w:rFonts w:ascii="Arial" w:hAnsi="Arial" w:cs="Arial"/>
          <w:color w:val="0D0D0D" w:themeColor="text1" w:themeTint="F2"/>
          <w:sz w:val="22"/>
          <w:szCs w:val="22"/>
        </w:rPr>
        <w:t>30</w:t>
      </w:r>
      <w:r w:rsidRPr="00F164FD">
        <w:rPr>
          <w:rFonts w:ascii="Arial" w:hAnsi="Arial" w:cs="Arial"/>
          <w:color w:val="0D0D0D" w:themeColor="text1" w:themeTint="F2"/>
          <w:sz w:val="22"/>
          <w:szCs w:val="22"/>
        </w:rPr>
        <w:t xml:space="preserve"> </w:t>
      </w:r>
      <w:r w:rsidR="00DB5BE2" w:rsidRPr="00F164FD">
        <w:rPr>
          <w:rFonts w:ascii="Arial" w:hAnsi="Arial" w:cs="Arial"/>
          <w:color w:val="0D0D0D" w:themeColor="text1" w:themeTint="F2"/>
          <w:sz w:val="22"/>
          <w:szCs w:val="22"/>
        </w:rPr>
        <w:t xml:space="preserve">does not </w:t>
      </w:r>
      <w:r w:rsidRPr="00F164FD">
        <w:rPr>
          <w:rFonts w:ascii="Arial" w:hAnsi="Arial" w:cs="Arial"/>
          <w:color w:val="0D0D0D" w:themeColor="text1" w:themeTint="F2"/>
          <w:sz w:val="22"/>
          <w:szCs w:val="22"/>
        </w:rPr>
        <w:t xml:space="preserve">make </w:t>
      </w:r>
      <w:r w:rsidR="00E228A7" w:rsidRPr="00F164FD">
        <w:rPr>
          <w:rFonts w:ascii="Arial" w:hAnsi="Arial" w:cs="Arial"/>
          <w:color w:val="0D0D0D" w:themeColor="text1" w:themeTint="F2"/>
          <w:sz w:val="22"/>
          <w:szCs w:val="22"/>
        </w:rPr>
        <w:t>reference</w:t>
      </w:r>
      <w:r w:rsidRPr="00F164FD">
        <w:rPr>
          <w:rFonts w:ascii="Arial" w:hAnsi="Arial" w:cs="Arial"/>
          <w:color w:val="0D0D0D" w:themeColor="text1" w:themeTint="F2"/>
          <w:sz w:val="22"/>
          <w:szCs w:val="22"/>
        </w:rPr>
        <w:t xml:space="preserve"> </w:t>
      </w:r>
      <w:r w:rsidR="001370F9" w:rsidRPr="00F164FD">
        <w:rPr>
          <w:rFonts w:ascii="Arial" w:hAnsi="Arial" w:cs="Arial"/>
          <w:color w:val="0D0D0D" w:themeColor="text1" w:themeTint="F2"/>
          <w:sz w:val="22"/>
          <w:szCs w:val="22"/>
        </w:rPr>
        <w:t xml:space="preserve">to </w:t>
      </w:r>
      <w:r w:rsidR="00E228A7" w:rsidRPr="00F164FD">
        <w:rPr>
          <w:rFonts w:ascii="Arial" w:hAnsi="Arial" w:cs="Arial"/>
          <w:color w:val="0D0D0D" w:themeColor="text1" w:themeTint="F2"/>
          <w:sz w:val="22"/>
          <w:szCs w:val="22"/>
        </w:rPr>
        <w:t xml:space="preserve">a </w:t>
      </w:r>
      <w:r w:rsidRPr="00F164FD">
        <w:rPr>
          <w:rFonts w:ascii="Arial" w:hAnsi="Arial" w:cs="Arial"/>
          <w:color w:val="0D0D0D" w:themeColor="text1" w:themeTint="F2"/>
          <w:sz w:val="22"/>
          <w:szCs w:val="22"/>
        </w:rPr>
        <w:t>s</w:t>
      </w:r>
      <w:r w:rsidR="00DB5BE2" w:rsidRPr="00F164FD">
        <w:rPr>
          <w:rFonts w:ascii="Arial" w:hAnsi="Arial" w:cs="Arial"/>
          <w:color w:val="0D0D0D" w:themeColor="text1" w:themeTint="F2"/>
          <w:sz w:val="22"/>
          <w:szCs w:val="22"/>
        </w:rPr>
        <w:t>pecific</w:t>
      </w:r>
      <w:r w:rsidRPr="00F164FD">
        <w:rPr>
          <w:rFonts w:ascii="Arial" w:hAnsi="Arial" w:cs="Arial"/>
          <w:color w:val="0D0D0D" w:themeColor="text1" w:themeTint="F2"/>
          <w:sz w:val="22"/>
          <w:szCs w:val="22"/>
        </w:rPr>
        <w:t xml:space="preserve"> protection level within its studies</w:t>
      </w:r>
      <w:r w:rsidR="001370F9" w:rsidRPr="00F164FD">
        <w:rPr>
          <w:rFonts w:ascii="Arial" w:hAnsi="Arial" w:cs="Arial"/>
          <w:color w:val="0D0D0D" w:themeColor="text1" w:themeTint="F2"/>
          <w:sz w:val="22"/>
          <w:szCs w:val="22"/>
        </w:rPr>
        <w:t>,</w:t>
      </w:r>
      <w:r w:rsidR="00E228A7" w:rsidRPr="00F164FD">
        <w:rPr>
          <w:rFonts w:ascii="Arial" w:hAnsi="Arial" w:cs="Arial"/>
          <w:color w:val="0D0D0D" w:themeColor="text1" w:themeTint="F2"/>
          <w:sz w:val="22"/>
          <w:szCs w:val="22"/>
        </w:rPr>
        <w:t xml:space="preserve"> instead </w:t>
      </w:r>
      <w:r w:rsidR="007876EA" w:rsidRPr="00F164FD">
        <w:rPr>
          <w:rFonts w:ascii="Arial" w:hAnsi="Arial" w:cs="Arial"/>
          <w:color w:val="0D0D0D" w:themeColor="text1" w:themeTint="F2"/>
          <w:sz w:val="22"/>
          <w:szCs w:val="22"/>
        </w:rPr>
        <w:t xml:space="preserve">referring </w:t>
      </w:r>
      <w:r w:rsidR="00E228A7" w:rsidRPr="00F164FD">
        <w:rPr>
          <w:rFonts w:ascii="Arial" w:hAnsi="Arial" w:cs="Arial"/>
          <w:color w:val="0D0D0D" w:themeColor="text1" w:themeTint="F2"/>
          <w:sz w:val="22"/>
          <w:szCs w:val="22"/>
        </w:rPr>
        <w:t xml:space="preserve">to </w:t>
      </w:r>
      <w:r w:rsidR="003723E9" w:rsidRPr="00F164FD">
        <w:rPr>
          <w:rFonts w:ascii="Arial" w:hAnsi="Arial" w:cs="Arial"/>
          <w:color w:val="0D0D0D" w:themeColor="text1" w:themeTint="F2"/>
          <w:sz w:val="22"/>
          <w:szCs w:val="22"/>
        </w:rPr>
        <w:t xml:space="preserve">methods found </w:t>
      </w:r>
      <w:r w:rsidR="001370F9" w:rsidRPr="00F164FD">
        <w:rPr>
          <w:rFonts w:ascii="Arial" w:hAnsi="Arial" w:cs="Arial"/>
          <w:color w:val="0D0D0D" w:themeColor="text1" w:themeTint="F2"/>
          <w:sz w:val="22"/>
          <w:szCs w:val="22"/>
        </w:rPr>
        <w:t xml:space="preserve">in </w:t>
      </w:r>
      <w:r w:rsidR="00E228A7" w:rsidRPr="00F164FD">
        <w:rPr>
          <w:rFonts w:ascii="Arial" w:hAnsi="Arial" w:cs="Arial"/>
          <w:color w:val="0D0D0D" w:themeColor="text1" w:themeTint="F2"/>
          <w:sz w:val="22"/>
          <w:szCs w:val="22"/>
        </w:rPr>
        <w:t>previous studies</w:t>
      </w:r>
      <w:r w:rsidR="003723E9" w:rsidRPr="00F164FD">
        <w:rPr>
          <w:rFonts w:ascii="Arial" w:hAnsi="Arial" w:cs="Arial"/>
          <w:color w:val="0D0D0D" w:themeColor="text1" w:themeTint="F2"/>
          <w:sz w:val="22"/>
          <w:szCs w:val="22"/>
        </w:rPr>
        <w:t xml:space="preserve"> (CEPT Report 1</w:t>
      </w:r>
      <w:r w:rsidR="00F73948" w:rsidRPr="00F164FD">
        <w:rPr>
          <w:rFonts w:ascii="Arial" w:hAnsi="Arial" w:cs="Arial"/>
          <w:color w:val="0D0D0D" w:themeColor="text1" w:themeTint="F2"/>
          <w:sz w:val="22"/>
          <w:szCs w:val="22"/>
        </w:rPr>
        <w:t>1</w:t>
      </w:r>
      <w:r w:rsidR="003723E9" w:rsidRPr="00F164FD">
        <w:rPr>
          <w:rFonts w:ascii="Arial" w:hAnsi="Arial" w:cs="Arial"/>
          <w:color w:val="0D0D0D" w:themeColor="text1" w:themeTint="F2"/>
          <w:sz w:val="22"/>
          <w:szCs w:val="22"/>
        </w:rPr>
        <w:t>9, ECC Report 131)</w:t>
      </w:r>
      <w:r w:rsidR="00E228A7" w:rsidRPr="00F164FD">
        <w:rPr>
          <w:rFonts w:ascii="Arial" w:hAnsi="Arial" w:cs="Arial"/>
          <w:color w:val="0D0D0D" w:themeColor="text1" w:themeTint="F2"/>
          <w:sz w:val="22"/>
          <w:szCs w:val="22"/>
        </w:rPr>
        <w:t xml:space="preserve"> </w:t>
      </w:r>
      <w:r w:rsidR="0035379E" w:rsidRPr="00F164FD">
        <w:rPr>
          <w:rFonts w:ascii="Arial" w:hAnsi="Arial" w:cs="Arial"/>
          <w:color w:val="0D0D0D" w:themeColor="text1" w:themeTint="F2"/>
          <w:sz w:val="22"/>
          <w:szCs w:val="22"/>
        </w:rPr>
        <w:t>and</w:t>
      </w:r>
      <w:r w:rsidR="00E228A7" w:rsidRPr="00F164FD">
        <w:rPr>
          <w:rFonts w:ascii="Arial" w:hAnsi="Arial" w:cs="Arial"/>
          <w:color w:val="0D0D0D" w:themeColor="text1" w:themeTint="F2"/>
          <w:sz w:val="22"/>
          <w:szCs w:val="22"/>
        </w:rPr>
        <w:t xml:space="preserve"> </w:t>
      </w:r>
      <w:r w:rsidR="003723E9" w:rsidRPr="00F164FD">
        <w:rPr>
          <w:rFonts w:ascii="Arial" w:hAnsi="Arial" w:cs="Arial"/>
          <w:color w:val="0D0D0D" w:themeColor="text1" w:themeTint="F2"/>
          <w:sz w:val="22"/>
          <w:szCs w:val="22"/>
        </w:rPr>
        <w:t>to the GE06 Agreement trigger field strengths</w:t>
      </w:r>
      <w:r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The one of most relevance to the level of protection used in the Australian spectrum licensing is the maximum interference power density at the receiver </w:t>
      </w:r>
      <w:r w:rsidR="00256600" w:rsidRPr="00F164FD">
        <w:rPr>
          <w:rFonts w:ascii="Arial" w:hAnsi="Arial" w:cs="Arial"/>
          <w:color w:val="0D0D0D" w:themeColor="text1" w:themeTint="F2"/>
          <w:sz w:val="22"/>
          <w:szCs w:val="22"/>
        </w:rPr>
        <w:t>of</w:t>
      </w:r>
      <w:r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noBreakHyphen/>
        <w:t>115 dBm/</w:t>
      </w:r>
      <w:r w:rsidR="000F43A0" w:rsidRPr="00F164FD">
        <w:rPr>
          <w:rFonts w:ascii="Arial" w:hAnsi="Arial" w:cs="Arial"/>
          <w:color w:val="0D0D0D" w:themeColor="text1" w:themeTint="F2"/>
          <w:sz w:val="22"/>
          <w:szCs w:val="22"/>
        </w:rPr>
        <w:t xml:space="preserve"> MHz</w:t>
      </w:r>
      <w:r w:rsidRPr="00F164FD">
        <w:rPr>
          <w:rStyle w:val="FootnoteReference"/>
          <w:rFonts w:ascii="Arial" w:hAnsi="Arial" w:cs="Arial"/>
          <w:color w:val="0D0D0D" w:themeColor="text1" w:themeTint="F2"/>
          <w:sz w:val="22"/>
          <w:szCs w:val="22"/>
        </w:rPr>
        <w:footnoteReference w:id="3"/>
      </w:r>
      <w:r w:rsidRPr="00F164FD">
        <w:rPr>
          <w:rFonts w:ascii="Arial" w:hAnsi="Arial" w:cs="Arial"/>
          <w:color w:val="0D0D0D" w:themeColor="text1" w:themeTint="F2"/>
          <w:sz w:val="22"/>
          <w:szCs w:val="22"/>
        </w:rPr>
        <w:t>.</w:t>
      </w:r>
      <w:r w:rsidR="000F43A0"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ECC Report 131 extends the BEM model to terminal stations us</w:t>
      </w:r>
      <w:r w:rsidR="00D2738D" w:rsidRPr="00F164FD">
        <w:rPr>
          <w:rFonts w:ascii="Arial" w:hAnsi="Arial" w:cs="Arial"/>
          <w:color w:val="0D0D0D" w:themeColor="text1" w:themeTint="F2"/>
          <w:sz w:val="22"/>
          <w:szCs w:val="22"/>
        </w:rPr>
        <w:t>ing</w:t>
      </w:r>
      <w:r w:rsidRPr="00F164FD">
        <w:rPr>
          <w:rFonts w:ascii="Arial" w:hAnsi="Arial" w:cs="Arial"/>
          <w:color w:val="0D0D0D" w:themeColor="text1" w:themeTint="F2"/>
          <w:sz w:val="22"/>
          <w:szCs w:val="22"/>
        </w:rPr>
        <w:t xml:space="preserve"> two terminal station interference protection levels: </w:t>
      </w:r>
    </w:p>
    <w:p w:rsidR="00080F15" w:rsidRPr="00F164FD" w:rsidRDefault="009C074A" w:rsidP="00F164FD">
      <w:pPr>
        <w:ind w:right="27"/>
        <w:rPr>
          <w:rFonts w:ascii="Arial" w:hAnsi="Arial" w:cs="Arial"/>
          <w:color w:val="0D0D0D" w:themeColor="text1" w:themeTint="F2"/>
          <w:sz w:val="22"/>
          <w:szCs w:val="22"/>
        </w:rPr>
      </w:pPr>
      <w:proofErr w:type="gramStart"/>
      <w:r w:rsidRPr="00F164FD">
        <w:rPr>
          <w:rFonts w:ascii="Arial" w:hAnsi="Arial" w:cs="Arial"/>
          <w:color w:val="0D0D0D" w:themeColor="text1" w:themeTint="F2"/>
          <w:sz w:val="22"/>
          <w:szCs w:val="22"/>
        </w:rPr>
        <w:noBreakHyphen/>
        <w:t>105 dBm/</w:t>
      </w:r>
      <w:r w:rsidR="000F43A0" w:rsidRPr="00F164FD">
        <w:rPr>
          <w:rFonts w:ascii="Arial" w:hAnsi="Arial" w:cs="Arial"/>
          <w:color w:val="0D0D0D" w:themeColor="text1" w:themeTint="F2"/>
          <w:sz w:val="22"/>
          <w:szCs w:val="22"/>
        </w:rPr>
        <w:t xml:space="preserve"> MHz</w:t>
      </w:r>
      <w:r w:rsidRPr="00F164FD">
        <w:rPr>
          <w:rFonts w:ascii="Arial" w:hAnsi="Arial" w:cs="Arial"/>
          <w:color w:val="0D0D0D" w:themeColor="text1" w:themeTint="F2"/>
          <w:sz w:val="22"/>
          <w:szCs w:val="22"/>
        </w:rPr>
        <w:t xml:space="preserve"> for 3 dB noise floor increase and -111 dBm/</w:t>
      </w:r>
      <w:r w:rsidR="000F43A0" w:rsidRPr="00F164FD">
        <w:rPr>
          <w:rFonts w:ascii="Arial" w:hAnsi="Arial" w:cs="Arial"/>
          <w:color w:val="0D0D0D" w:themeColor="text1" w:themeTint="F2"/>
          <w:sz w:val="22"/>
          <w:szCs w:val="22"/>
        </w:rPr>
        <w:t xml:space="preserve"> MHz</w:t>
      </w:r>
      <w:r w:rsidRPr="00F164FD">
        <w:rPr>
          <w:rFonts w:ascii="Arial" w:hAnsi="Arial" w:cs="Arial"/>
          <w:color w:val="0D0D0D" w:themeColor="text1" w:themeTint="F2"/>
          <w:sz w:val="22"/>
          <w:szCs w:val="22"/>
        </w:rPr>
        <w:t xml:space="preserve"> for 1</w:t>
      </w:r>
      <w:r w:rsidR="00631F28">
        <w:rPr>
          <w:rFonts w:ascii="Arial" w:hAnsi="Arial" w:cs="Arial"/>
          <w:color w:val="0D0D0D" w:themeColor="text1" w:themeTint="F2"/>
          <w:sz w:val="22"/>
          <w:szCs w:val="22"/>
        </w:rPr>
        <w:t> </w:t>
      </w:r>
      <w:r w:rsidRPr="00F164FD">
        <w:rPr>
          <w:rFonts w:ascii="Arial" w:hAnsi="Arial" w:cs="Arial"/>
          <w:color w:val="0D0D0D" w:themeColor="text1" w:themeTint="F2"/>
          <w:sz w:val="22"/>
          <w:szCs w:val="22"/>
        </w:rPr>
        <w:t>dB noise floor increase.</w:t>
      </w:r>
      <w:proofErr w:type="gramEnd"/>
      <w:r w:rsidR="000F43A0" w:rsidRPr="00F164FD">
        <w:rPr>
          <w:rFonts w:ascii="Arial" w:hAnsi="Arial" w:cs="Arial"/>
          <w:color w:val="0D0D0D" w:themeColor="text1" w:themeTint="F2"/>
          <w:sz w:val="22"/>
          <w:szCs w:val="22"/>
        </w:rPr>
        <w:t xml:space="preserve"> </w:t>
      </w:r>
    </w:p>
    <w:p w:rsidR="009C074A" w:rsidRPr="00F164FD" w:rsidRDefault="009C074A" w:rsidP="009C074A">
      <w:pPr>
        <w:pStyle w:val="Heading3"/>
        <w:rPr>
          <w:rFonts w:ascii="Arial" w:hAnsi="Arial" w:cs="Arial"/>
          <w:color w:val="0D0D0D" w:themeColor="text1" w:themeTint="F2"/>
        </w:rPr>
      </w:pPr>
      <w:r w:rsidRPr="00F164FD">
        <w:rPr>
          <w:rFonts w:ascii="Arial" w:hAnsi="Arial" w:cs="Arial"/>
          <w:color w:val="0D0D0D" w:themeColor="text1" w:themeTint="F2"/>
        </w:rPr>
        <w:t>5.2</w:t>
      </w:r>
      <w:r w:rsidRPr="00F164FD">
        <w:rPr>
          <w:rFonts w:ascii="Arial" w:hAnsi="Arial" w:cs="Arial"/>
          <w:color w:val="0D0D0D" w:themeColor="text1" w:themeTint="F2"/>
        </w:rPr>
        <w:tab/>
        <w:t xml:space="preserve">Proposed Level of Protection </w:t>
      </w:r>
    </w:p>
    <w:p w:rsidR="00912FD8" w:rsidRPr="00F164FD" w:rsidRDefault="001809F1">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LOP is a compromise between the level of emissions over the geographic boundary of the licence and the anticipated protection requirements of receivers. The LOP must be met </w:t>
      </w:r>
      <w:r w:rsidR="00A4707E" w:rsidRPr="00F164FD">
        <w:rPr>
          <w:rFonts w:ascii="Arial" w:hAnsi="Arial" w:cs="Arial"/>
          <w:color w:val="0D0D0D" w:themeColor="text1" w:themeTint="F2"/>
          <w:sz w:val="22"/>
          <w:szCs w:val="22"/>
        </w:rPr>
        <w:t xml:space="preserve">at or </w:t>
      </w:r>
      <w:r w:rsidRPr="00F164FD">
        <w:rPr>
          <w:rFonts w:ascii="Arial" w:hAnsi="Arial" w:cs="Arial"/>
          <w:color w:val="0D0D0D" w:themeColor="text1" w:themeTint="F2"/>
          <w:sz w:val="22"/>
          <w:szCs w:val="22"/>
        </w:rPr>
        <w:t>within the geographic boundary of the licence following the device boundary criterion methodology of the section 145 determination.</w:t>
      </w:r>
    </w:p>
    <w:p w:rsidR="00912FD8" w:rsidRPr="00F164FD" w:rsidRDefault="00912FD8">
      <w:pPr>
        <w:rPr>
          <w:rFonts w:ascii="Arial" w:hAnsi="Arial" w:cs="Arial"/>
          <w:color w:val="0D0D0D" w:themeColor="text1" w:themeTint="F2"/>
          <w:sz w:val="22"/>
          <w:szCs w:val="22"/>
        </w:rPr>
      </w:pPr>
    </w:p>
    <w:p w:rsidR="00912FD8" w:rsidRPr="00F164FD" w:rsidRDefault="00AC5C5A">
      <w:pPr>
        <w:rPr>
          <w:rFonts w:ascii="Arial" w:hAnsi="Arial" w:cs="Arial"/>
          <w:color w:val="0D0D0D" w:themeColor="text1" w:themeTint="F2"/>
          <w:sz w:val="22"/>
          <w:szCs w:val="22"/>
        </w:rPr>
      </w:pPr>
      <w:r w:rsidRPr="00F164FD">
        <w:rPr>
          <w:rFonts w:ascii="Arial" w:hAnsi="Arial" w:cs="Arial"/>
          <w:color w:val="0D0D0D" w:themeColor="text1" w:themeTint="F2"/>
          <w:sz w:val="22"/>
          <w:szCs w:val="22"/>
        </w:rPr>
        <w:t>The</w:t>
      </w:r>
      <w:r w:rsidR="00D727B7"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 xml:space="preserve">method </w:t>
      </w:r>
      <w:r w:rsidR="00D727B7" w:rsidRPr="00F164FD">
        <w:rPr>
          <w:rFonts w:ascii="Arial" w:hAnsi="Arial" w:cs="Arial"/>
          <w:color w:val="0D0D0D" w:themeColor="text1" w:themeTint="F2"/>
          <w:sz w:val="22"/>
          <w:szCs w:val="22"/>
        </w:rPr>
        <w:t xml:space="preserve">chosen to determine </w:t>
      </w:r>
      <w:r w:rsidRPr="00F164FD">
        <w:rPr>
          <w:rFonts w:ascii="Arial" w:hAnsi="Arial" w:cs="Arial"/>
          <w:color w:val="0D0D0D" w:themeColor="text1" w:themeTint="F2"/>
          <w:sz w:val="22"/>
          <w:szCs w:val="22"/>
        </w:rPr>
        <w:t>the LOP for the 700 MHz band</w:t>
      </w:r>
      <w:r w:rsidR="00D727B7" w:rsidRPr="00F164FD">
        <w:rPr>
          <w:rFonts w:ascii="Arial" w:hAnsi="Arial" w:cs="Arial"/>
          <w:color w:val="0D0D0D" w:themeColor="text1" w:themeTint="F2"/>
          <w:sz w:val="22"/>
          <w:szCs w:val="22"/>
        </w:rPr>
        <w:t xml:space="preserve"> is </w:t>
      </w:r>
      <w:r w:rsidR="00627769" w:rsidRPr="00F164FD">
        <w:rPr>
          <w:rFonts w:ascii="Arial" w:hAnsi="Arial" w:cs="Arial"/>
          <w:color w:val="0D0D0D" w:themeColor="text1" w:themeTint="F2"/>
          <w:sz w:val="22"/>
          <w:szCs w:val="22"/>
        </w:rPr>
        <w:t xml:space="preserve">based on </w:t>
      </w:r>
      <w:r w:rsidR="00256600" w:rsidRPr="00F164FD">
        <w:rPr>
          <w:rFonts w:ascii="Arial" w:hAnsi="Arial" w:cs="Arial"/>
          <w:color w:val="0D0D0D" w:themeColor="text1" w:themeTint="F2"/>
          <w:sz w:val="22"/>
          <w:szCs w:val="22"/>
        </w:rPr>
        <w:t xml:space="preserve">the </w:t>
      </w:r>
      <w:r w:rsidR="00526E0B" w:rsidRPr="00F164FD">
        <w:rPr>
          <w:rFonts w:ascii="Arial" w:hAnsi="Arial" w:cs="Arial"/>
          <w:color w:val="0D0D0D" w:themeColor="text1" w:themeTint="F2"/>
          <w:sz w:val="22"/>
          <w:szCs w:val="22"/>
        </w:rPr>
        <w:t>reference sensitivity</w:t>
      </w:r>
      <w:r w:rsidR="00256600" w:rsidRPr="00F164FD">
        <w:rPr>
          <w:rFonts w:ascii="Arial" w:hAnsi="Arial" w:cs="Arial"/>
          <w:color w:val="0D0D0D" w:themeColor="text1" w:themeTint="F2"/>
          <w:sz w:val="22"/>
          <w:szCs w:val="22"/>
        </w:rPr>
        <w:t xml:space="preserve"> level of an LTE UE in the 700 MHz band</w:t>
      </w:r>
      <w:r w:rsidR="00D727B7" w:rsidRPr="00F164FD">
        <w:rPr>
          <w:rFonts w:ascii="Arial" w:hAnsi="Arial" w:cs="Arial"/>
          <w:color w:val="0D0D0D" w:themeColor="text1" w:themeTint="F2"/>
          <w:sz w:val="22"/>
          <w:szCs w:val="22"/>
        </w:rPr>
        <w:t>.</w:t>
      </w:r>
      <w:r w:rsidR="009D4EA9" w:rsidRPr="00F164FD">
        <w:rPr>
          <w:rFonts w:ascii="Arial" w:hAnsi="Arial" w:cs="Arial"/>
          <w:color w:val="0D0D0D" w:themeColor="text1" w:themeTint="F2"/>
          <w:sz w:val="22"/>
          <w:szCs w:val="22"/>
        </w:rPr>
        <w:t xml:space="preserve"> This method is chosen in preference to the traditional noise floor plus interference-to-noise margin </w:t>
      </w:r>
      <w:r w:rsidR="00D0061B" w:rsidRPr="00F164FD">
        <w:rPr>
          <w:rFonts w:ascii="Arial" w:hAnsi="Arial" w:cs="Arial"/>
          <w:color w:val="0D0D0D" w:themeColor="text1" w:themeTint="F2"/>
          <w:sz w:val="22"/>
          <w:szCs w:val="22"/>
        </w:rPr>
        <w:t xml:space="preserve">(I/N) </w:t>
      </w:r>
      <w:r w:rsidR="009D4EA9" w:rsidRPr="00F164FD">
        <w:rPr>
          <w:rFonts w:ascii="Arial" w:hAnsi="Arial" w:cs="Arial"/>
          <w:color w:val="0D0D0D" w:themeColor="text1" w:themeTint="F2"/>
          <w:sz w:val="22"/>
          <w:szCs w:val="22"/>
        </w:rPr>
        <w:t xml:space="preserve">of -6dB resulting in a 1dB increase in noise floor because this </w:t>
      </w:r>
      <w:r w:rsidR="003816BA" w:rsidRPr="00F164FD">
        <w:rPr>
          <w:rFonts w:ascii="Arial" w:hAnsi="Arial" w:cs="Arial"/>
          <w:color w:val="0D0D0D" w:themeColor="text1" w:themeTint="F2"/>
          <w:sz w:val="22"/>
          <w:szCs w:val="22"/>
        </w:rPr>
        <w:t>method</w:t>
      </w:r>
      <w:r w:rsidR="009D4EA9" w:rsidRPr="00F164FD">
        <w:rPr>
          <w:rFonts w:ascii="Arial" w:hAnsi="Arial" w:cs="Arial"/>
          <w:color w:val="0D0D0D" w:themeColor="text1" w:themeTint="F2"/>
          <w:sz w:val="22"/>
          <w:szCs w:val="22"/>
        </w:rPr>
        <w:t xml:space="preserve"> is the most restrictive and does not allow deployment as close to the geographic boundary.</w:t>
      </w:r>
    </w:p>
    <w:p w:rsidR="00631F28" w:rsidRPr="00F164FD" w:rsidRDefault="00631F28">
      <w:pPr>
        <w:rPr>
          <w:rFonts w:ascii="Arial" w:hAnsi="Arial" w:cs="Arial"/>
          <w:color w:val="0D0D0D" w:themeColor="text1" w:themeTint="F2"/>
          <w:sz w:val="22"/>
          <w:szCs w:val="22"/>
        </w:rPr>
      </w:pPr>
    </w:p>
    <w:p w:rsidR="00912FD8" w:rsidRPr="00F164FD" w:rsidRDefault="009D4EA9">
      <w:pPr>
        <w:rPr>
          <w:rFonts w:ascii="Arial" w:hAnsi="Arial" w:cs="Arial"/>
          <w:color w:val="0D0D0D" w:themeColor="text1" w:themeTint="F2"/>
          <w:sz w:val="22"/>
          <w:szCs w:val="22"/>
        </w:rPr>
      </w:pPr>
      <w:r w:rsidRPr="00F164FD">
        <w:rPr>
          <w:rFonts w:ascii="Arial" w:hAnsi="Arial" w:cs="Arial"/>
          <w:color w:val="0D0D0D" w:themeColor="text1" w:themeTint="F2"/>
          <w:sz w:val="22"/>
          <w:szCs w:val="22"/>
        </w:rPr>
        <w:t>Current 36-series 3GPP standards do not currently specify the Australian 700</w:t>
      </w:r>
      <w:r w:rsidR="00174352">
        <w:rPr>
          <w:rFonts w:ascii="Arial" w:hAnsi="Arial" w:cs="Arial"/>
          <w:color w:val="0D0D0D" w:themeColor="text1" w:themeTint="F2"/>
          <w:sz w:val="22"/>
          <w:szCs w:val="22"/>
        </w:rPr>
        <w:t> </w:t>
      </w:r>
      <w:r w:rsidRPr="00F164FD">
        <w:rPr>
          <w:rFonts w:ascii="Arial" w:hAnsi="Arial" w:cs="Arial"/>
          <w:color w:val="0D0D0D" w:themeColor="text1" w:themeTint="F2"/>
          <w:sz w:val="22"/>
          <w:szCs w:val="22"/>
        </w:rPr>
        <w:t>MHz band allocation as an E-UTRA operating band; however, a number of adjacent or partially overlapping bands have been specified including bands 12, 13 and 14 which cover the frequency range 698 MHz to 798 MHz.</w:t>
      </w:r>
    </w:p>
    <w:p w:rsidR="00912FD8" w:rsidRPr="00F164FD" w:rsidRDefault="00912FD8">
      <w:pPr>
        <w:rPr>
          <w:rFonts w:ascii="Arial" w:hAnsi="Arial" w:cs="Arial"/>
          <w:color w:val="0D0D0D" w:themeColor="text1" w:themeTint="F2"/>
          <w:sz w:val="22"/>
          <w:szCs w:val="22"/>
        </w:rPr>
      </w:pPr>
    </w:p>
    <w:p w:rsidR="00912FD8" w:rsidRPr="00F164FD" w:rsidRDefault="009D4EA9">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w:t>
      </w:r>
      <w:r w:rsidR="00A440E0" w:rsidRPr="00F164FD">
        <w:rPr>
          <w:rFonts w:ascii="Arial" w:hAnsi="Arial" w:cs="Arial"/>
          <w:color w:val="0D0D0D" w:themeColor="text1" w:themeTint="F2"/>
          <w:sz w:val="22"/>
          <w:szCs w:val="22"/>
        </w:rPr>
        <w:t xml:space="preserve">calculated </w:t>
      </w:r>
      <w:r w:rsidRPr="00F164FD">
        <w:rPr>
          <w:rFonts w:ascii="Arial" w:hAnsi="Arial" w:cs="Arial"/>
          <w:color w:val="0D0D0D" w:themeColor="text1" w:themeTint="F2"/>
          <w:sz w:val="22"/>
          <w:szCs w:val="22"/>
        </w:rPr>
        <w:t xml:space="preserve">reference sensitivity for a QPSK rate 1/3 channel consisting of </w:t>
      </w:r>
      <w:r w:rsidR="000B32DD" w:rsidRPr="00F164FD">
        <w:rPr>
          <w:rFonts w:ascii="Arial" w:hAnsi="Arial" w:cs="Arial"/>
          <w:color w:val="0D0D0D" w:themeColor="text1" w:themeTint="F2"/>
          <w:sz w:val="22"/>
          <w:szCs w:val="22"/>
        </w:rPr>
        <w:t>25</w:t>
      </w:r>
      <w:r w:rsidR="00631F28">
        <w:rPr>
          <w:rFonts w:ascii="Arial" w:hAnsi="Arial" w:cs="Arial"/>
          <w:color w:val="0D0D0D" w:themeColor="text1" w:themeTint="F2"/>
          <w:sz w:val="22"/>
          <w:szCs w:val="22"/>
        </w:rPr>
        <w:t> </w:t>
      </w:r>
      <w:r w:rsidRPr="00F164FD">
        <w:rPr>
          <w:rFonts w:ascii="Arial" w:hAnsi="Arial" w:cs="Arial"/>
          <w:color w:val="0D0D0D" w:themeColor="text1" w:themeTint="F2"/>
          <w:sz w:val="22"/>
          <w:szCs w:val="22"/>
        </w:rPr>
        <w:t xml:space="preserve">allocated resource blocks is </w:t>
      </w:r>
      <w:r w:rsidR="00A440E0" w:rsidRPr="00F164FD">
        <w:rPr>
          <w:rFonts w:ascii="Arial" w:hAnsi="Arial" w:cs="Arial"/>
          <w:color w:val="0D0D0D" w:themeColor="text1" w:themeTint="F2"/>
          <w:sz w:val="22"/>
          <w:szCs w:val="22"/>
        </w:rPr>
        <w:t xml:space="preserve"> </w:t>
      </w:r>
      <w:r w:rsidR="00E85633" w:rsidRPr="00F164FD">
        <w:rPr>
          <w:rFonts w:ascii="Arial" w:hAnsi="Arial" w:cs="Arial"/>
          <w:color w:val="0D0D0D" w:themeColor="text1" w:themeTint="F2"/>
          <w:sz w:val="22"/>
          <w:szCs w:val="22"/>
        </w:rPr>
        <w:t xml:space="preserve">-96.4 dBm/4.515 MHz, which </w:t>
      </w:r>
      <w:r w:rsidR="00E516DD" w:rsidRPr="00F164FD">
        <w:rPr>
          <w:rFonts w:ascii="Arial" w:hAnsi="Arial" w:cs="Arial"/>
          <w:color w:val="0D0D0D" w:themeColor="text1" w:themeTint="F2"/>
          <w:sz w:val="22"/>
          <w:szCs w:val="22"/>
        </w:rPr>
        <w:t xml:space="preserve">closely </w:t>
      </w:r>
      <w:r w:rsidR="00E85633" w:rsidRPr="00F164FD">
        <w:rPr>
          <w:rFonts w:ascii="Arial" w:hAnsi="Arial" w:cs="Arial"/>
          <w:color w:val="0D0D0D" w:themeColor="text1" w:themeTint="F2"/>
          <w:sz w:val="22"/>
          <w:szCs w:val="22"/>
        </w:rPr>
        <w:t xml:space="preserve">matches that specified in 36.101 of </w:t>
      </w:r>
      <w:r w:rsidRPr="00F164FD">
        <w:rPr>
          <w:rFonts w:ascii="Arial" w:hAnsi="Arial" w:cs="Arial"/>
          <w:color w:val="0D0D0D" w:themeColor="text1" w:themeTint="F2"/>
          <w:sz w:val="22"/>
          <w:szCs w:val="22"/>
        </w:rPr>
        <w:t>-97 dBm/4.515 MHz or -118.</w:t>
      </w:r>
      <w:r w:rsidR="00804003" w:rsidRPr="00F164FD">
        <w:rPr>
          <w:rFonts w:ascii="Arial" w:hAnsi="Arial" w:cs="Arial"/>
          <w:color w:val="0D0D0D" w:themeColor="text1" w:themeTint="F2"/>
          <w:sz w:val="22"/>
          <w:szCs w:val="22"/>
        </w:rPr>
        <w:t>8</w:t>
      </w:r>
      <w:r w:rsidRPr="00F164FD">
        <w:rPr>
          <w:rFonts w:ascii="Arial" w:hAnsi="Arial" w:cs="Arial"/>
          <w:color w:val="0D0D0D" w:themeColor="text1" w:themeTint="F2"/>
          <w:sz w:val="22"/>
          <w:szCs w:val="22"/>
        </w:rPr>
        <w:t xml:space="preserve"> dBm/30 kHz</w:t>
      </w:r>
      <w:r w:rsidR="00804003" w:rsidRPr="00F164FD">
        <w:rPr>
          <w:rStyle w:val="FootnoteReference"/>
          <w:rFonts w:ascii="Arial" w:hAnsi="Arial" w:cs="Arial"/>
          <w:color w:val="0D0D0D" w:themeColor="text1" w:themeTint="F2"/>
          <w:sz w:val="22"/>
          <w:szCs w:val="22"/>
        </w:rPr>
        <w:footnoteReference w:id="4"/>
      </w:r>
      <w:r w:rsidR="00B2433B" w:rsidRPr="00F164FD">
        <w:rPr>
          <w:rFonts w:ascii="Arial" w:hAnsi="Arial" w:cs="Arial"/>
          <w:color w:val="0D0D0D" w:themeColor="text1" w:themeTint="F2"/>
          <w:sz w:val="22"/>
          <w:szCs w:val="22"/>
        </w:rPr>
        <w:t xml:space="preserve"> for those adjacent o</w:t>
      </w:r>
      <w:r w:rsidR="00C127E1" w:rsidRPr="00F164FD">
        <w:rPr>
          <w:rFonts w:ascii="Arial" w:hAnsi="Arial" w:cs="Arial"/>
          <w:color w:val="0D0D0D" w:themeColor="text1" w:themeTint="F2"/>
          <w:sz w:val="22"/>
          <w:szCs w:val="22"/>
        </w:rPr>
        <w:t>r</w:t>
      </w:r>
      <w:r w:rsidR="00B2433B" w:rsidRPr="00F164FD">
        <w:rPr>
          <w:rFonts w:ascii="Arial" w:hAnsi="Arial" w:cs="Arial"/>
          <w:color w:val="0D0D0D" w:themeColor="text1" w:themeTint="F2"/>
          <w:sz w:val="22"/>
          <w:szCs w:val="22"/>
        </w:rPr>
        <w:t xml:space="preserve"> partially overlapping bands specified in the 36-series 3GPP standards</w:t>
      </w:r>
      <w:r w:rsidRPr="00F164FD">
        <w:rPr>
          <w:rFonts w:ascii="Arial" w:hAnsi="Arial" w:cs="Arial"/>
          <w:color w:val="0D0D0D" w:themeColor="text1" w:themeTint="F2"/>
          <w:sz w:val="22"/>
          <w:szCs w:val="22"/>
        </w:rPr>
        <w:t>.</w:t>
      </w:r>
      <w:r w:rsidR="00A4707E" w:rsidRPr="00F164FD">
        <w:rPr>
          <w:rFonts w:ascii="Arial" w:hAnsi="Arial" w:cs="Arial"/>
          <w:color w:val="0D0D0D" w:themeColor="text1" w:themeTint="F2"/>
          <w:sz w:val="22"/>
          <w:szCs w:val="22"/>
        </w:rPr>
        <w:t xml:space="preserve"> The reason for calculating rather than using the reference sensitivity from the 36 series standard is because the bands only partially overlap rather than being those in the Australian context.</w:t>
      </w:r>
      <w:r w:rsidRPr="00F164FD">
        <w:rPr>
          <w:rFonts w:ascii="Arial" w:hAnsi="Arial" w:cs="Arial"/>
          <w:color w:val="0D0D0D" w:themeColor="text1" w:themeTint="F2"/>
          <w:sz w:val="22"/>
          <w:szCs w:val="22"/>
        </w:rPr>
        <w:t xml:space="preserve"> </w:t>
      </w:r>
      <w:r w:rsidR="00474173" w:rsidRPr="00F164FD">
        <w:rPr>
          <w:rFonts w:ascii="Arial" w:hAnsi="Arial" w:cs="Arial"/>
          <w:color w:val="0D0D0D" w:themeColor="text1" w:themeTint="F2"/>
          <w:sz w:val="22"/>
          <w:szCs w:val="22"/>
        </w:rPr>
        <w:t>It has been assumed that a 2 dB implementation margin has been included in the calculation of reference sensitivity based on the formula for reference sensitivity</w:t>
      </w:r>
      <w:r w:rsidR="00A4707E" w:rsidRPr="00F164FD">
        <w:rPr>
          <w:rStyle w:val="FootnoteReference"/>
          <w:rFonts w:ascii="Arial" w:hAnsi="Arial" w:cs="Arial"/>
          <w:color w:val="0D0D0D" w:themeColor="text1" w:themeTint="F2"/>
          <w:sz w:val="22"/>
          <w:szCs w:val="22"/>
        </w:rPr>
        <w:footnoteReference w:id="5"/>
      </w:r>
      <w:r w:rsidR="00474173" w:rsidRPr="00F164FD">
        <w:rPr>
          <w:rFonts w:ascii="Arial" w:hAnsi="Arial" w:cs="Arial"/>
          <w:color w:val="0D0D0D" w:themeColor="text1" w:themeTint="F2"/>
          <w:sz w:val="22"/>
          <w:szCs w:val="22"/>
        </w:rPr>
        <w:t xml:space="preserve"> of:</w:t>
      </w:r>
    </w:p>
    <w:p w:rsidR="00912FD8" w:rsidRPr="00F164FD" w:rsidRDefault="00912FD8">
      <w:pPr>
        <w:rPr>
          <w:rFonts w:ascii="Arial" w:hAnsi="Arial" w:cs="Arial"/>
          <w:color w:val="0D0D0D" w:themeColor="text1" w:themeTint="F2"/>
          <w:sz w:val="22"/>
          <w:szCs w:val="22"/>
        </w:rPr>
      </w:pPr>
    </w:p>
    <w:p w:rsidR="00912FD8" w:rsidRPr="00F164FD" w:rsidRDefault="000B32DD">
      <w:pPr>
        <w:jc w:val="center"/>
        <w:rPr>
          <w:rFonts w:ascii="Arial" w:hAnsi="Arial" w:cs="Arial"/>
          <w:color w:val="0D0D0D" w:themeColor="text1" w:themeTint="F2"/>
          <w:sz w:val="22"/>
          <w:szCs w:val="22"/>
        </w:rPr>
      </w:pPr>
      <w:r w:rsidRPr="00F164FD">
        <w:rPr>
          <w:rFonts w:ascii="Arial" w:hAnsi="Arial" w:cs="Arial"/>
          <w:color w:val="0D0D0D" w:themeColor="text1" w:themeTint="F2"/>
          <w:position w:val="-14"/>
          <w:sz w:val="22"/>
          <w:szCs w:val="22"/>
        </w:rPr>
        <w:object w:dxaOrig="232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6.25pt;height:17.25pt" o:ole="">
            <v:imagedata r:id="rId9" o:title=""/>
          </v:shape>
          <o:OLEObject Type="Embed" ProgID="Equation.3" ShapeID="_x0000_i1025" DrawAspect="Content" ObjectID="_1403421055" r:id="rId10"/>
        </w:object>
      </w:r>
    </w:p>
    <w:p w:rsidR="00912FD8" w:rsidRPr="00F164FD" w:rsidRDefault="00912FD8">
      <w:pPr>
        <w:rPr>
          <w:rFonts w:ascii="Arial" w:hAnsi="Arial" w:cs="Arial"/>
          <w:color w:val="0D0D0D" w:themeColor="text1" w:themeTint="F2"/>
          <w:sz w:val="22"/>
          <w:szCs w:val="22"/>
        </w:rPr>
      </w:pPr>
    </w:p>
    <w:p w:rsidR="00912FD8" w:rsidRPr="00F164FD" w:rsidRDefault="00BA1045">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reference sensitivity requires a necessary signal-to-noise plus interference ratio </w:t>
      </w:r>
      <w:r w:rsidR="00D0061B" w:rsidRPr="00F164FD">
        <w:rPr>
          <w:rFonts w:ascii="Arial" w:hAnsi="Arial" w:cs="Arial"/>
          <w:color w:val="0D0D0D" w:themeColor="text1" w:themeTint="F2"/>
          <w:sz w:val="22"/>
          <w:szCs w:val="22"/>
        </w:rPr>
        <w:t xml:space="preserve">(SNIR) </w:t>
      </w:r>
      <w:r w:rsidRPr="00F164FD">
        <w:rPr>
          <w:rFonts w:ascii="Arial" w:hAnsi="Arial" w:cs="Arial"/>
          <w:color w:val="0D0D0D" w:themeColor="text1" w:themeTint="F2"/>
          <w:sz w:val="22"/>
          <w:szCs w:val="22"/>
        </w:rPr>
        <w:t xml:space="preserve">to maintain a suitable bit error rate. For LTE, using QPSK rate 1/3, the required </w:t>
      </w:r>
      <w:r w:rsidR="00D0061B" w:rsidRPr="00F164FD">
        <w:rPr>
          <w:rFonts w:ascii="Arial" w:hAnsi="Arial" w:cs="Arial"/>
          <w:color w:val="0D0D0D" w:themeColor="text1" w:themeTint="F2"/>
          <w:sz w:val="22"/>
          <w:szCs w:val="22"/>
        </w:rPr>
        <w:t xml:space="preserve">SNIR </w:t>
      </w:r>
      <w:r w:rsidRPr="00F164FD">
        <w:rPr>
          <w:rFonts w:ascii="Arial" w:hAnsi="Arial" w:cs="Arial"/>
          <w:color w:val="0D0D0D" w:themeColor="text1" w:themeTint="F2"/>
          <w:sz w:val="22"/>
          <w:szCs w:val="22"/>
        </w:rPr>
        <w:t xml:space="preserve">is </w:t>
      </w:r>
      <w:r w:rsidR="00B2433B" w:rsidRPr="00F164FD">
        <w:rPr>
          <w:rFonts w:ascii="Arial" w:hAnsi="Arial" w:cs="Arial"/>
          <w:color w:val="0D0D0D" w:themeColor="text1" w:themeTint="F2"/>
          <w:sz w:val="22"/>
          <w:szCs w:val="22"/>
        </w:rPr>
        <w:t>found</w:t>
      </w:r>
      <w:r w:rsidR="00054286" w:rsidRPr="00F164FD">
        <w:rPr>
          <w:rFonts w:ascii="Arial" w:hAnsi="Arial" w:cs="Arial"/>
          <w:color w:val="0D0D0D" w:themeColor="text1" w:themeTint="F2"/>
          <w:sz w:val="22"/>
          <w:szCs w:val="22"/>
        </w:rPr>
        <w:t xml:space="preserve"> to be </w:t>
      </w:r>
      <w:r w:rsidRPr="00F164FD">
        <w:rPr>
          <w:rFonts w:ascii="Arial" w:hAnsi="Arial" w:cs="Arial"/>
          <w:color w:val="0D0D0D" w:themeColor="text1" w:themeTint="F2"/>
          <w:sz w:val="22"/>
          <w:szCs w:val="22"/>
        </w:rPr>
        <w:t>0</w:t>
      </w:r>
      <w:r w:rsidR="00054286" w:rsidRPr="00F164FD">
        <w:rPr>
          <w:rFonts w:ascii="Arial" w:hAnsi="Arial" w:cs="Arial"/>
          <w:color w:val="0D0D0D" w:themeColor="text1" w:themeTint="F2"/>
          <w:sz w:val="22"/>
          <w:szCs w:val="22"/>
        </w:rPr>
        <w:t xml:space="preserve"> </w:t>
      </w:r>
      <w:r w:rsidRPr="00F164FD">
        <w:rPr>
          <w:rFonts w:ascii="Arial" w:hAnsi="Arial" w:cs="Arial"/>
          <w:color w:val="0D0D0D" w:themeColor="text1" w:themeTint="F2"/>
          <w:sz w:val="22"/>
          <w:szCs w:val="22"/>
        </w:rPr>
        <w:t>dB</w:t>
      </w:r>
      <w:r w:rsidR="00D0061B" w:rsidRPr="00F164FD">
        <w:rPr>
          <w:rFonts w:ascii="Arial" w:hAnsi="Arial" w:cs="Arial"/>
          <w:color w:val="0D0D0D" w:themeColor="text1" w:themeTint="F2"/>
          <w:sz w:val="22"/>
          <w:szCs w:val="22"/>
        </w:rPr>
        <w:t xml:space="preserve"> for a bit-error rate of </w:t>
      </w:r>
      <w:r w:rsidR="00693507" w:rsidRPr="00F164FD">
        <w:rPr>
          <w:rFonts w:ascii="Arial" w:hAnsi="Arial" w:cs="Arial"/>
          <w:color w:val="0D0D0D" w:themeColor="text1" w:themeTint="F2"/>
          <w:sz w:val="22"/>
          <w:szCs w:val="22"/>
        </w:rPr>
        <w:t>0.00239</w:t>
      </w:r>
    </w:p>
    <w:p w:rsidR="009D4648" w:rsidRDefault="009D4648" w:rsidP="009D4648">
      <w:pPr>
        <w:rPr>
          <w:rFonts w:ascii="Arial" w:hAnsi="Arial" w:cs="Arial"/>
          <w:color w:val="0D0D0D" w:themeColor="text1" w:themeTint="F2"/>
          <w:sz w:val="22"/>
          <w:szCs w:val="22"/>
        </w:rPr>
      </w:pPr>
    </w:p>
    <w:p w:rsidR="0060073B" w:rsidRDefault="0060073B">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60073B" w:rsidRPr="00F164FD" w:rsidRDefault="0060073B" w:rsidP="009D4648">
      <w:pPr>
        <w:rPr>
          <w:rFonts w:ascii="Arial" w:hAnsi="Arial" w:cs="Arial"/>
          <w:color w:val="0D0D0D" w:themeColor="text1" w:themeTint="F2"/>
          <w:sz w:val="22"/>
          <w:szCs w:val="22"/>
        </w:rPr>
      </w:pPr>
    </w:p>
    <w:p w:rsidR="00153A58" w:rsidRPr="00F164FD" w:rsidRDefault="009D4648" w:rsidP="009D4648">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In order to determine the minimum required signal level at a UE, it is necessary to consider a fade margin as a result of area coverage and consideration of body loss. Typical outdoor mobile coverage </w:t>
      </w:r>
      <w:r w:rsidR="00627769" w:rsidRPr="00F164FD">
        <w:rPr>
          <w:rFonts w:ascii="Arial" w:hAnsi="Arial" w:cs="Arial"/>
          <w:color w:val="0D0D0D" w:themeColor="text1" w:themeTint="F2"/>
          <w:sz w:val="22"/>
          <w:szCs w:val="22"/>
        </w:rPr>
        <w:t xml:space="preserve">probability for </w:t>
      </w:r>
      <w:r w:rsidRPr="00F164FD">
        <w:rPr>
          <w:rFonts w:ascii="Arial" w:hAnsi="Arial" w:cs="Arial"/>
          <w:color w:val="0D0D0D" w:themeColor="text1" w:themeTint="F2"/>
          <w:sz w:val="22"/>
          <w:szCs w:val="22"/>
        </w:rPr>
        <w:t xml:space="preserve">a single cell </w:t>
      </w:r>
      <w:r w:rsidR="00627769" w:rsidRPr="00F164FD">
        <w:rPr>
          <w:rFonts w:ascii="Arial" w:hAnsi="Arial" w:cs="Arial"/>
          <w:color w:val="0D0D0D" w:themeColor="text1" w:themeTint="F2"/>
          <w:sz w:val="22"/>
          <w:szCs w:val="22"/>
        </w:rPr>
        <w:t xml:space="preserve">case </w:t>
      </w:r>
      <w:r w:rsidR="00A70040" w:rsidRPr="00F164FD">
        <w:rPr>
          <w:rFonts w:ascii="Arial" w:hAnsi="Arial" w:cs="Arial"/>
          <w:color w:val="0D0D0D" w:themeColor="text1" w:themeTint="F2"/>
          <w:sz w:val="22"/>
          <w:szCs w:val="22"/>
        </w:rPr>
        <w:t xml:space="preserve">is </w:t>
      </w:r>
      <w:r w:rsidRPr="00F164FD">
        <w:rPr>
          <w:rFonts w:ascii="Arial" w:hAnsi="Arial" w:cs="Arial"/>
          <w:color w:val="0D0D0D" w:themeColor="text1" w:themeTint="F2"/>
          <w:sz w:val="22"/>
          <w:szCs w:val="22"/>
        </w:rPr>
        <w:t>95%; under a multi-cell environment with coverage overlap, the actual coverage requirement of an individual cell can be smaller.</w:t>
      </w:r>
    </w:p>
    <w:p w:rsidR="00153A58" w:rsidRPr="00F164FD" w:rsidRDefault="00153A58" w:rsidP="009D4648">
      <w:pPr>
        <w:rPr>
          <w:rFonts w:ascii="Arial" w:hAnsi="Arial" w:cs="Arial"/>
          <w:color w:val="0D0D0D" w:themeColor="text1" w:themeTint="F2"/>
          <w:sz w:val="22"/>
          <w:szCs w:val="22"/>
        </w:rPr>
      </w:pPr>
    </w:p>
    <w:p w:rsidR="00153A58" w:rsidRPr="00F164FD" w:rsidRDefault="00F1120E" w:rsidP="009D4648">
      <w:pPr>
        <w:rPr>
          <w:rFonts w:ascii="Arial" w:hAnsi="Arial" w:cs="Arial"/>
          <w:color w:val="0D0D0D" w:themeColor="text1" w:themeTint="F2"/>
          <w:sz w:val="22"/>
          <w:szCs w:val="22"/>
        </w:rPr>
      </w:pPr>
      <w:r w:rsidRPr="00F164FD">
        <w:rPr>
          <w:rFonts w:ascii="Arial" w:hAnsi="Arial" w:cs="Arial"/>
          <w:color w:val="0D0D0D" w:themeColor="text1" w:themeTint="F2"/>
          <w:sz w:val="22"/>
          <w:szCs w:val="22"/>
        </w:rPr>
        <w:t>Estimation of the area coverage probability for the single-cell case is given by the following equation</w:t>
      </w:r>
      <w:r w:rsidR="0083131B" w:rsidRPr="00F164FD">
        <w:rPr>
          <w:rStyle w:val="FootnoteReference"/>
          <w:rFonts w:ascii="Arial" w:hAnsi="Arial" w:cs="Arial"/>
          <w:color w:val="0D0D0D" w:themeColor="text1" w:themeTint="F2"/>
          <w:sz w:val="22"/>
          <w:szCs w:val="22"/>
        </w:rPr>
        <w:footnoteReference w:id="6"/>
      </w:r>
      <w:r w:rsidRPr="00F164FD">
        <w:rPr>
          <w:rFonts w:ascii="Arial" w:hAnsi="Arial" w:cs="Arial"/>
          <w:color w:val="0D0D0D" w:themeColor="text1" w:themeTint="F2"/>
          <w:sz w:val="22"/>
          <w:szCs w:val="22"/>
        </w:rPr>
        <w:t>:</w:t>
      </w:r>
    </w:p>
    <w:p w:rsidR="00F1120E" w:rsidRPr="00F164FD" w:rsidRDefault="00F1120E" w:rsidP="009D4648">
      <w:pPr>
        <w:rPr>
          <w:rFonts w:ascii="Arial" w:hAnsi="Arial" w:cs="Arial"/>
          <w:color w:val="0D0D0D" w:themeColor="text1" w:themeTint="F2"/>
          <w:sz w:val="22"/>
          <w:szCs w:val="22"/>
        </w:rPr>
      </w:pPr>
    </w:p>
    <w:p w:rsidR="005A4CB6" w:rsidRPr="00F164FD" w:rsidRDefault="007B5065">
      <w:pPr>
        <w:jc w:val="center"/>
        <w:rPr>
          <w:rFonts w:ascii="Arial" w:hAnsi="Arial" w:cs="Arial"/>
          <w:color w:val="0D0D0D" w:themeColor="text1" w:themeTint="F2"/>
          <w:sz w:val="22"/>
          <w:szCs w:val="22"/>
        </w:rPr>
      </w:pPr>
      <w:r w:rsidRPr="00F164FD">
        <w:rPr>
          <w:rFonts w:ascii="Arial" w:hAnsi="Arial" w:cs="Arial"/>
          <w:color w:val="0D0D0D" w:themeColor="text1" w:themeTint="F2"/>
          <w:position w:val="-28"/>
          <w:sz w:val="22"/>
          <w:szCs w:val="22"/>
        </w:rPr>
        <w:object w:dxaOrig="4880" w:dyaOrig="660">
          <v:shape id="_x0000_i1026" type="#_x0000_t75" style="width:243.75pt;height:33pt" o:ole="">
            <v:imagedata r:id="rId11" o:title=""/>
          </v:shape>
          <o:OLEObject Type="Embed" ProgID="Equation.3" ShapeID="_x0000_i1026" DrawAspect="Content" ObjectID="_1403421056" r:id="rId12"/>
        </w:object>
      </w:r>
    </w:p>
    <w:p w:rsidR="00F1120E" w:rsidRPr="00F164FD" w:rsidRDefault="00F1120E" w:rsidP="009D4648">
      <w:pPr>
        <w:rPr>
          <w:rFonts w:ascii="Arial" w:hAnsi="Arial" w:cs="Arial"/>
          <w:color w:val="0D0D0D" w:themeColor="text1" w:themeTint="F2"/>
          <w:sz w:val="22"/>
          <w:szCs w:val="22"/>
        </w:rPr>
      </w:pPr>
    </w:p>
    <w:p w:rsidR="00F1120E" w:rsidRPr="00F164FD" w:rsidRDefault="00F1120E" w:rsidP="009D4648">
      <w:pPr>
        <w:rPr>
          <w:rFonts w:ascii="Arial" w:hAnsi="Arial" w:cs="Arial"/>
          <w:color w:val="0D0D0D" w:themeColor="text1" w:themeTint="F2"/>
          <w:sz w:val="22"/>
          <w:szCs w:val="22"/>
        </w:rPr>
      </w:pPr>
      <w:r w:rsidRPr="00F164FD">
        <w:rPr>
          <w:rFonts w:ascii="Arial" w:hAnsi="Arial" w:cs="Arial"/>
          <w:color w:val="0D0D0D" w:themeColor="text1" w:themeTint="F2"/>
          <w:sz w:val="22"/>
          <w:szCs w:val="22"/>
        </w:rPr>
        <w:tab/>
      </w:r>
      <w:proofErr w:type="gramStart"/>
      <w:r w:rsidRPr="00F164FD">
        <w:rPr>
          <w:rFonts w:ascii="Arial" w:hAnsi="Arial" w:cs="Arial"/>
          <w:color w:val="0D0D0D" w:themeColor="text1" w:themeTint="F2"/>
          <w:sz w:val="22"/>
          <w:szCs w:val="22"/>
        </w:rPr>
        <w:t>where</w:t>
      </w:r>
      <w:proofErr w:type="gramEnd"/>
      <w:r w:rsidRPr="00F164FD">
        <w:rPr>
          <w:rFonts w:ascii="Arial" w:hAnsi="Arial" w:cs="Arial"/>
          <w:color w:val="0D0D0D" w:themeColor="text1" w:themeTint="F2"/>
          <w:sz w:val="22"/>
          <w:szCs w:val="22"/>
        </w:rPr>
        <w:t>:</w:t>
      </w:r>
    </w:p>
    <w:p w:rsidR="00F1120E" w:rsidRPr="00F164FD" w:rsidRDefault="00F1120E" w:rsidP="009D4648">
      <w:pPr>
        <w:rPr>
          <w:rFonts w:ascii="Arial" w:hAnsi="Arial" w:cs="Arial"/>
          <w:color w:val="0D0D0D" w:themeColor="text1" w:themeTint="F2"/>
          <w:sz w:val="22"/>
          <w:szCs w:val="22"/>
        </w:rPr>
      </w:pPr>
    </w:p>
    <w:p w:rsidR="005A4CB6" w:rsidRPr="00F164FD" w:rsidRDefault="00F00ADB">
      <w:pPr>
        <w:jc w:val="center"/>
        <w:rPr>
          <w:rFonts w:ascii="Arial" w:hAnsi="Arial" w:cs="Arial"/>
          <w:color w:val="0D0D0D" w:themeColor="text1" w:themeTint="F2"/>
          <w:sz w:val="22"/>
          <w:szCs w:val="22"/>
        </w:rPr>
      </w:pPr>
      <w:r w:rsidRPr="00F164FD">
        <w:rPr>
          <w:rFonts w:ascii="Arial" w:hAnsi="Arial" w:cs="Arial"/>
          <w:color w:val="0D0D0D" w:themeColor="text1" w:themeTint="F2"/>
          <w:position w:val="-26"/>
          <w:sz w:val="22"/>
          <w:szCs w:val="22"/>
        </w:rPr>
        <w:object w:dxaOrig="1020" w:dyaOrig="600">
          <v:shape id="_x0000_i1027" type="#_x0000_t75" style="width:51pt;height:30pt" o:ole="">
            <v:imagedata r:id="rId13" o:title=""/>
          </v:shape>
          <o:OLEObject Type="Embed" ProgID="Equation.3" ShapeID="_x0000_i1027" DrawAspect="Content" ObjectID="_1403421057" r:id="rId14"/>
        </w:object>
      </w:r>
    </w:p>
    <w:p w:rsidR="005A4CB6" w:rsidRPr="00F164FD" w:rsidRDefault="005A4CB6">
      <w:pPr>
        <w:jc w:val="center"/>
        <w:rPr>
          <w:rFonts w:ascii="Arial" w:hAnsi="Arial" w:cs="Arial"/>
          <w:color w:val="0D0D0D" w:themeColor="text1" w:themeTint="F2"/>
          <w:sz w:val="22"/>
          <w:szCs w:val="22"/>
        </w:rPr>
      </w:pPr>
    </w:p>
    <w:p w:rsidR="005A4CB6" w:rsidRPr="00F164FD" w:rsidRDefault="00F00ADB">
      <w:pPr>
        <w:jc w:val="center"/>
        <w:rPr>
          <w:rFonts w:ascii="Arial" w:hAnsi="Arial" w:cs="Arial"/>
          <w:color w:val="0D0D0D" w:themeColor="text1" w:themeTint="F2"/>
          <w:sz w:val="22"/>
          <w:szCs w:val="22"/>
        </w:rPr>
      </w:pPr>
      <w:r w:rsidRPr="00F164FD">
        <w:rPr>
          <w:rFonts w:ascii="Arial" w:hAnsi="Arial" w:cs="Arial"/>
          <w:color w:val="0D0D0D" w:themeColor="text1" w:themeTint="F2"/>
          <w:position w:val="-26"/>
          <w:sz w:val="22"/>
          <w:szCs w:val="22"/>
        </w:rPr>
        <w:object w:dxaOrig="1460" w:dyaOrig="600">
          <v:shape id="_x0000_i1028" type="#_x0000_t75" style="width:72.75pt;height:30pt" o:ole="">
            <v:imagedata r:id="rId15" o:title=""/>
          </v:shape>
          <o:OLEObject Type="Embed" ProgID="Equation.3" ShapeID="_x0000_i1028" DrawAspect="Content" ObjectID="_1403421058" r:id="rId16"/>
        </w:object>
      </w:r>
    </w:p>
    <w:p w:rsidR="00153A58" w:rsidRPr="00F164FD" w:rsidRDefault="00153A58" w:rsidP="009D4648">
      <w:pPr>
        <w:rPr>
          <w:rFonts w:ascii="Arial" w:hAnsi="Arial" w:cs="Arial"/>
          <w:color w:val="0D0D0D" w:themeColor="text1" w:themeTint="F2"/>
          <w:sz w:val="22"/>
          <w:szCs w:val="22"/>
        </w:rPr>
      </w:pPr>
    </w:p>
    <w:p w:rsidR="00F00ADB" w:rsidRPr="00F164FD" w:rsidRDefault="009D4648" w:rsidP="009D4648">
      <w:pPr>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Assuming a path-loss exponent </w:t>
      </w:r>
      <w:r w:rsidR="00F00ADB" w:rsidRPr="00F164FD">
        <w:rPr>
          <w:rFonts w:ascii="Arial" w:hAnsi="Arial" w:cs="Arial"/>
          <w:color w:val="0D0D0D" w:themeColor="text1" w:themeTint="F2"/>
          <w:sz w:val="22"/>
          <w:szCs w:val="22"/>
        </w:rPr>
        <w:t>(</w:t>
      </w:r>
      <w:r w:rsidR="00F00ADB" w:rsidRPr="00F164FD">
        <w:rPr>
          <w:rFonts w:ascii="Arial" w:hAnsi="Arial" w:cs="Arial"/>
          <w:color w:val="0D0D0D" w:themeColor="text1" w:themeTint="F2"/>
          <w:position w:val="-6"/>
          <w:sz w:val="22"/>
          <w:szCs w:val="22"/>
        </w:rPr>
        <w:object w:dxaOrig="180" w:dyaOrig="200">
          <v:shape id="_x0000_i1029" type="#_x0000_t75" style="width:9pt;height:10.5pt" o:ole="">
            <v:imagedata r:id="rId17" o:title=""/>
          </v:shape>
          <o:OLEObject Type="Embed" ProgID="Equation.3" ShapeID="_x0000_i1029" DrawAspect="Content" ObjectID="_1403421059" r:id="rId18"/>
        </w:object>
      </w:r>
      <w:r w:rsidR="00A70040" w:rsidRPr="00F164FD">
        <w:rPr>
          <w:rFonts w:ascii="Arial" w:hAnsi="Arial" w:cs="Arial"/>
          <w:color w:val="0D0D0D" w:themeColor="text1" w:themeTint="F2"/>
          <w:sz w:val="22"/>
          <w:szCs w:val="22"/>
        </w:rPr>
        <w:t>) of</w:t>
      </w:r>
      <w:r w:rsidRPr="00F164FD">
        <w:rPr>
          <w:rFonts w:ascii="Arial" w:hAnsi="Arial" w:cs="Arial"/>
          <w:color w:val="0D0D0D" w:themeColor="text1" w:themeTint="F2"/>
          <w:sz w:val="22"/>
          <w:szCs w:val="22"/>
        </w:rPr>
        <w:t xml:space="preserve"> 3.5 (represents typical terrain features</w:t>
      </w:r>
      <w:r w:rsidR="006E6119" w:rsidRPr="00F164FD">
        <w:rPr>
          <w:rFonts w:ascii="Arial" w:hAnsi="Arial" w:cs="Arial"/>
          <w:color w:val="0D0D0D" w:themeColor="text1" w:themeTint="F2"/>
          <w:sz w:val="22"/>
          <w:szCs w:val="22"/>
        </w:rPr>
        <w:t xml:space="preserve"> and </w:t>
      </w:r>
      <w:r w:rsidR="00F00ADB" w:rsidRPr="00F164FD">
        <w:rPr>
          <w:rFonts w:ascii="Arial" w:hAnsi="Arial" w:cs="Arial"/>
          <w:color w:val="0D0D0D" w:themeColor="text1" w:themeTint="F2"/>
          <w:sz w:val="22"/>
          <w:szCs w:val="22"/>
        </w:rPr>
        <w:t>is typical of the modified-</w:t>
      </w:r>
      <w:proofErr w:type="spellStart"/>
      <w:r w:rsidR="00F00ADB" w:rsidRPr="00F164FD">
        <w:rPr>
          <w:rFonts w:ascii="Arial" w:hAnsi="Arial" w:cs="Arial"/>
          <w:color w:val="0D0D0D" w:themeColor="text1" w:themeTint="F2"/>
          <w:sz w:val="22"/>
          <w:szCs w:val="22"/>
        </w:rPr>
        <w:t>Hata</w:t>
      </w:r>
      <w:proofErr w:type="spellEnd"/>
      <w:r w:rsidR="00F00ADB" w:rsidRPr="00F164FD">
        <w:rPr>
          <w:rFonts w:ascii="Arial" w:hAnsi="Arial" w:cs="Arial"/>
          <w:color w:val="0D0D0D" w:themeColor="text1" w:themeTint="F2"/>
          <w:sz w:val="22"/>
          <w:szCs w:val="22"/>
        </w:rPr>
        <w:t xml:space="preserve"> model</w:t>
      </w:r>
      <w:r w:rsidRPr="00F164FD">
        <w:rPr>
          <w:rFonts w:ascii="Arial" w:hAnsi="Arial" w:cs="Arial"/>
          <w:color w:val="0D0D0D" w:themeColor="text1" w:themeTint="F2"/>
          <w:sz w:val="22"/>
          <w:szCs w:val="22"/>
        </w:rPr>
        <w:t>) and a standard deviation</w:t>
      </w:r>
      <w:r w:rsidR="00F00ADB" w:rsidRPr="00F164FD">
        <w:rPr>
          <w:rFonts w:ascii="Arial" w:hAnsi="Arial" w:cs="Arial"/>
          <w:color w:val="0D0D0D" w:themeColor="text1" w:themeTint="F2"/>
          <w:sz w:val="22"/>
          <w:szCs w:val="22"/>
        </w:rPr>
        <w:t xml:space="preserve"> (</w:t>
      </w:r>
      <w:r w:rsidR="00F00ADB" w:rsidRPr="00F164FD">
        <w:rPr>
          <w:rFonts w:ascii="Arial" w:hAnsi="Arial" w:cs="Arial"/>
          <w:color w:val="0D0D0D" w:themeColor="text1" w:themeTint="F2"/>
          <w:position w:val="-6"/>
          <w:sz w:val="22"/>
          <w:szCs w:val="22"/>
        </w:rPr>
        <w:object w:dxaOrig="220" w:dyaOrig="200">
          <v:shape id="_x0000_i1030" type="#_x0000_t75" style="width:10.5pt;height:10.5pt" o:ole="">
            <v:imagedata r:id="rId19" o:title=""/>
          </v:shape>
          <o:OLEObject Type="Embed" ProgID="Equation.3" ShapeID="_x0000_i1030" DrawAspect="Content" ObjectID="_1403421060" r:id="rId20"/>
        </w:object>
      </w:r>
      <w:r w:rsidR="00F00ADB" w:rsidRPr="00F164FD">
        <w:rPr>
          <w:rFonts w:ascii="Arial" w:hAnsi="Arial" w:cs="Arial"/>
          <w:color w:val="0D0D0D" w:themeColor="text1" w:themeTint="F2"/>
          <w:sz w:val="22"/>
          <w:szCs w:val="22"/>
        </w:rPr>
        <w:t>)</w:t>
      </w:r>
      <w:r w:rsidRPr="00F164FD">
        <w:rPr>
          <w:rFonts w:ascii="Arial" w:hAnsi="Arial" w:cs="Arial"/>
          <w:color w:val="0D0D0D" w:themeColor="text1" w:themeTint="F2"/>
          <w:sz w:val="22"/>
          <w:szCs w:val="22"/>
        </w:rPr>
        <w:t xml:space="preserve"> of 7</w:t>
      </w:r>
      <w:r w:rsidR="00174352">
        <w:rPr>
          <w:rFonts w:ascii="Arial" w:hAnsi="Arial" w:cs="Arial"/>
          <w:color w:val="0D0D0D" w:themeColor="text1" w:themeTint="F2"/>
          <w:sz w:val="22"/>
          <w:szCs w:val="22"/>
        </w:rPr>
        <w:t> </w:t>
      </w:r>
      <w:r w:rsidRPr="00F164FD">
        <w:rPr>
          <w:rFonts w:ascii="Arial" w:hAnsi="Arial" w:cs="Arial"/>
          <w:color w:val="0D0D0D" w:themeColor="text1" w:themeTint="F2"/>
          <w:sz w:val="22"/>
          <w:szCs w:val="22"/>
        </w:rPr>
        <w:t>dB, results in a fading margin</w:t>
      </w:r>
      <w:r w:rsidR="00F00ADB" w:rsidRPr="00F164FD">
        <w:rPr>
          <w:rFonts w:ascii="Arial" w:hAnsi="Arial" w:cs="Arial"/>
          <w:color w:val="0D0D0D" w:themeColor="text1" w:themeTint="F2"/>
          <w:sz w:val="22"/>
          <w:szCs w:val="22"/>
        </w:rPr>
        <w:t xml:space="preserve"> (</w:t>
      </w:r>
      <w:r w:rsidR="00F00ADB" w:rsidRPr="00F164FD">
        <w:rPr>
          <w:rFonts w:ascii="Arial" w:hAnsi="Arial" w:cs="Arial"/>
          <w:color w:val="0D0D0D" w:themeColor="text1" w:themeTint="F2"/>
          <w:position w:val="-10"/>
          <w:sz w:val="22"/>
          <w:szCs w:val="22"/>
        </w:rPr>
        <w:object w:dxaOrig="620" w:dyaOrig="300">
          <v:shape id="_x0000_i1031" type="#_x0000_t75" style="width:31.5pt;height:15pt" o:ole="">
            <v:imagedata r:id="rId21" o:title=""/>
          </v:shape>
          <o:OLEObject Type="Embed" ProgID="Equation.3" ShapeID="_x0000_i1031" DrawAspect="Content" ObjectID="_1403421061" r:id="rId22"/>
        </w:object>
      </w:r>
      <w:r w:rsidR="00F00ADB" w:rsidRPr="00F164FD">
        <w:rPr>
          <w:rFonts w:ascii="Arial" w:hAnsi="Arial" w:cs="Arial"/>
          <w:color w:val="0D0D0D" w:themeColor="text1" w:themeTint="F2"/>
          <w:sz w:val="22"/>
          <w:szCs w:val="22"/>
        </w:rPr>
        <w:t>)</w:t>
      </w:r>
      <w:r w:rsidRPr="00F164FD">
        <w:rPr>
          <w:rFonts w:ascii="Arial" w:hAnsi="Arial" w:cs="Arial"/>
          <w:color w:val="0D0D0D" w:themeColor="text1" w:themeTint="F2"/>
          <w:sz w:val="22"/>
          <w:szCs w:val="22"/>
        </w:rPr>
        <w:t xml:space="preserve"> of 7.0 dB</w:t>
      </w:r>
      <w:r w:rsidR="00F00ADB" w:rsidRPr="00F164FD">
        <w:rPr>
          <w:rFonts w:ascii="Arial" w:hAnsi="Arial" w:cs="Arial"/>
          <w:color w:val="0D0D0D" w:themeColor="text1" w:themeTint="F2"/>
          <w:sz w:val="22"/>
          <w:szCs w:val="22"/>
        </w:rPr>
        <w:t xml:space="preserve"> for a single-cell area coverage probability of 95%</w:t>
      </w:r>
      <w:r w:rsidRPr="00F164FD">
        <w:rPr>
          <w:rFonts w:ascii="Arial" w:hAnsi="Arial" w:cs="Arial"/>
          <w:color w:val="0D0D0D" w:themeColor="text1" w:themeTint="F2"/>
          <w:sz w:val="22"/>
          <w:szCs w:val="22"/>
        </w:rPr>
        <w:t>.</w:t>
      </w:r>
    </w:p>
    <w:p w:rsidR="00F00ADB" w:rsidRPr="00F164FD" w:rsidRDefault="00F00ADB" w:rsidP="009D4648">
      <w:pPr>
        <w:rPr>
          <w:rFonts w:ascii="Arial" w:hAnsi="Arial" w:cs="Arial"/>
          <w:color w:val="0D0D0D" w:themeColor="text1" w:themeTint="F2"/>
          <w:sz w:val="22"/>
          <w:szCs w:val="22"/>
        </w:rPr>
      </w:pPr>
    </w:p>
    <w:p w:rsidR="005A4CB6" w:rsidRPr="00F164FD" w:rsidRDefault="00F00ADB">
      <w:pPr>
        <w:jc w:val="center"/>
        <w:rPr>
          <w:rFonts w:ascii="Arial" w:hAnsi="Arial" w:cs="Arial"/>
          <w:color w:val="0D0D0D" w:themeColor="text1" w:themeTint="F2"/>
          <w:sz w:val="22"/>
          <w:szCs w:val="22"/>
        </w:rPr>
      </w:pPr>
      <w:r w:rsidRPr="00F164FD">
        <w:rPr>
          <w:rFonts w:ascii="Arial" w:hAnsi="Arial" w:cs="Arial"/>
          <w:color w:val="0D0D0D" w:themeColor="text1" w:themeTint="F2"/>
          <w:position w:val="-38"/>
          <w:sz w:val="22"/>
          <w:szCs w:val="22"/>
        </w:rPr>
        <w:object w:dxaOrig="920" w:dyaOrig="859">
          <v:shape id="_x0000_i1032" type="#_x0000_t75" style="width:46.5pt;height:42.75pt" o:ole="">
            <v:imagedata r:id="rId23" o:title=""/>
          </v:shape>
          <o:OLEObject Type="Embed" ProgID="Equation.3" ShapeID="_x0000_i1032" DrawAspect="Content" ObjectID="_1403421062" r:id="rId24"/>
        </w:object>
      </w:r>
    </w:p>
    <w:p w:rsidR="005A4CB6" w:rsidRPr="00F164FD" w:rsidRDefault="005A4CB6">
      <w:pPr>
        <w:jc w:val="center"/>
        <w:rPr>
          <w:rFonts w:ascii="Arial" w:hAnsi="Arial" w:cs="Arial"/>
          <w:color w:val="0D0D0D" w:themeColor="text1" w:themeTint="F2"/>
          <w:sz w:val="22"/>
          <w:szCs w:val="22"/>
        </w:rPr>
      </w:pPr>
    </w:p>
    <w:p w:rsidR="005A4CB6" w:rsidRPr="00F164FD" w:rsidRDefault="00F00ADB">
      <w:pPr>
        <w:jc w:val="center"/>
        <w:rPr>
          <w:rFonts w:ascii="Arial" w:hAnsi="Arial" w:cs="Arial"/>
          <w:color w:val="0D0D0D" w:themeColor="text1" w:themeTint="F2"/>
        </w:rPr>
      </w:pPr>
      <w:r w:rsidRPr="00F164FD">
        <w:rPr>
          <w:rFonts w:ascii="Arial" w:hAnsi="Arial" w:cs="Arial"/>
          <w:color w:val="0D0D0D" w:themeColor="text1" w:themeTint="F2"/>
          <w:position w:val="-38"/>
        </w:rPr>
        <w:object w:dxaOrig="1600" w:dyaOrig="859">
          <v:shape id="_x0000_i1033" type="#_x0000_t75" style="width:80.25pt;height:42.75pt" o:ole="">
            <v:imagedata r:id="rId25" o:title=""/>
          </v:shape>
          <o:OLEObject Type="Embed" ProgID="Equation.3" ShapeID="_x0000_i1033" DrawAspect="Content" ObjectID="_1403421063" r:id="rId26"/>
        </w:object>
      </w:r>
    </w:p>
    <w:p w:rsidR="005A4CB6" w:rsidRPr="00F164FD" w:rsidRDefault="005A4CB6">
      <w:pPr>
        <w:jc w:val="center"/>
        <w:rPr>
          <w:rFonts w:ascii="Arial" w:hAnsi="Arial" w:cs="Arial"/>
          <w:color w:val="0D0D0D" w:themeColor="text1" w:themeTint="F2"/>
        </w:rPr>
      </w:pPr>
    </w:p>
    <w:p w:rsidR="005A4CB6" w:rsidRPr="00F164FD" w:rsidRDefault="007B5065">
      <w:pPr>
        <w:jc w:val="center"/>
        <w:rPr>
          <w:rFonts w:ascii="Arial" w:hAnsi="Arial" w:cs="Arial"/>
          <w:color w:val="0D0D0D" w:themeColor="text1" w:themeTint="F2"/>
          <w:sz w:val="22"/>
          <w:szCs w:val="22"/>
        </w:rPr>
      </w:pPr>
      <w:r w:rsidRPr="00F164FD">
        <w:rPr>
          <w:rFonts w:ascii="Arial" w:hAnsi="Arial" w:cs="Arial"/>
          <w:color w:val="0D0D0D" w:themeColor="text1" w:themeTint="F2"/>
          <w:position w:val="-42"/>
          <w:sz w:val="22"/>
          <w:szCs w:val="22"/>
        </w:rPr>
        <w:object w:dxaOrig="7000" w:dyaOrig="940">
          <v:shape id="_x0000_i1034" type="#_x0000_t75" style="width:350.25pt;height:46.5pt" o:ole="">
            <v:imagedata r:id="rId27" o:title=""/>
          </v:shape>
          <o:OLEObject Type="Embed" ProgID="Equation.3" ShapeID="_x0000_i1034" DrawAspect="Content" ObjectID="_1403421064" r:id="rId28"/>
        </w:object>
      </w:r>
    </w:p>
    <w:p w:rsidR="00F00ADB" w:rsidRPr="00F164FD" w:rsidRDefault="00F00ADB" w:rsidP="009D4648">
      <w:pPr>
        <w:rPr>
          <w:rFonts w:ascii="Arial" w:hAnsi="Arial" w:cs="Arial"/>
          <w:color w:val="0D0D0D" w:themeColor="text1" w:themeTint="F2"/>
          <w:sz w:val="22"/>
          <w:szCs w:val="22"/>
        </w:rPr>
      </w:pPr>
    </w:p>
    <w:p w:rsidR="009D4648" w:rsidRPr="00F164FD" w:rsidRDefault="009D4648" w:rsidP="009D4648">
      <w:pPr>
        <w:rPr>
          <w:rFonts w:ascii="Arial" w:hAnsi="Arial" w:cs="Arial"/>
          <w:color w:val="0D0D0D" w:themeColor="text1" w:themeTint="F2"/>
          <w:sz w:val="22"/>
          <w:szCs w:val="22"/>
        </w:rPr>
      </w:pPr>
      <w:r w:rsidRPr="00F164FD">
        <w:rPr>
          <w:rFonts w:ascii="Arial" w:hAnsi="Arial" w:cs="Arial"/>
          <w:color w:val="0D0D0D" w:themeColor="text1" w:themeTint="F2"/>
          <w:sz w:val="22"/>
          <w:szCs w:val="22"/>
        </w:rPr>
        <w:t>The allowed propagation loss is calculated and includes the slow fading margin for calculation of the BS to UE separation. A slow fade margin is not included in calculation of the BS to the geographic boundary</w:t>
      </w:r>
      <w:r w:rsidR="00164DF8" w:rsidRPr="00F164FD">
        <w:rPr>
          <w:rFonts w:ascii="Arial" w:hAnsi="Arial" w:cs="Arial"/>
          <w:color w:val="0D0D0D" w:themeColor="text1" w:themeTint="F2"/>
          <w:sz w:val="22"/>
          <w:szCs w:val="22"/>
        </w:rPr>
        <w:t xml:space="preserve"> which effectively adds in more conservatism – hence increasing </w:t>
      </w:r>
      <w:r w:rsidR="00C127E1" w:rsidRPr="00F164FD">
        <w:rPr>
          <w:rFonts w:ascii="Arial" w:hAnsi="Arial" w:cs="Arial"/>
          <w:color w:val="0D0D0D" w:themeColor="text1" w:themeTint="F2"/>
          <w:sz w:val="22"/>
          <w:szCs w:val="22"/>
        </w:rPr>
        <w:t xml:space="preserve">the </w:t>
      </w:r>
      <w:r w:rsidR="00164DF8" w:rsidRPr="00F164FD">
        <w:rPr>
          <w:rFonts w:ascii="Arial" w:hAnsi="Arial" w:cs="Arial"/>
          <w:color w:val="0D0D0D" w:themeColor="text1" w:themeTint="F2"/>
          <w:sz w:val="22"/>
          <w:szCs w:val="22"/>
        </w:rPr>
        <w:t>setback</w:t>
      </w:r>
      <w:r w:rsidR="00C127E1" w:rsidRPr="00F164FD">
        <w:rPr>
          <w:rFonts w:ascii="Arial" w:hAnsi="Arial" w:cs="Arial"/>
          <w:color w:val="0D0D0D" w:themeColor="text1" w:themeTint="F2"/>
          <w:sz w:val="22"/>
          <w:szCs w:val="22"/>
        </w:rPr>
        <w:t xml:space="preserve"> distance from a boundary</w:t>
      </w:r>
      <w:r w:rsidR="00164DF8" w:rsidRPr="00F164FD">
        <w:rPr>
          <w:rFonts w:ascii="Arial" w:hAnsi="Arial" w:cs="Arial"/>
          <w:color w:val="0D0D0D" w:themeColor="text1" w:themeTint="F2"/>
          <w:sz w:val="22"/>
          <w:szCs w:val="22"/>
        </w:rPr>
        <w:t>, but also means additional protection to the UE in the adjacent geographic area and vice versa</w:t>
      </w:r>
      <w:r w:rsidRPr="00F164FD">
        <w:rPr>
          <w:rFonts w:ascii="Arial" w:hAnsi="Arial" w:cs="Arial"/>
          <w:color w:val="0D0D0D" w:themeColor="text1" w:themeTint="F2"/>
          <w:sz w:val="22"/>
          <w:szCs w:val="22"/>
        </w:rPr>
        <w:t>.</w:t>
      </w:r>
    </w:p>
    <w:p w:rsidR="009D4648" w:rsidRPr="00F164FD" w:rsidRDefault="009D4648" w:rsidP="009D4648">
      <w:pPr>
        <w:rPr>
          <w:rFonts w:ascii="Arial" w:hAnsi="Arial" w:cs="Arial"/>
          <w:color w:val="0D0D0D" w:themeColor="text1" w:themeTint="F2"/>
          <w:sz w:val="22"/>
          <w:szCs w:val="22"/>
        </w:rPr>
      </w:pPr>
    </w:p>
    <w:p w:rsidR="009D4648" w:rsidRPr="00F164FD" w:rsidRDefault="009D4648" w:rsidP="009D4648">
      <w:pPr>
        <w:rPr>
          <w:rFonts w:ascii="Arial" w:hAnsi="Arial" w:cs="Arial"/>
          <w:color w:val="0D0D0D" w:themeColor="text1" w:themeTint="F2"/>
          <w:sz w:val="22"/>
          <w:szCs w:val="22"/>
        </w:rPr>
      </w:pPr>
      <w:r w:rsidRPr="00F164FD">
        <w:rPr>
          <w:rFonts w:ascii="Arial" w:hAnsi="Arial" w:cs="Arial"/>
          <w:color w:val="0D0D0D" w:themeColor="text1" w:themeTint="F2"/>
          <w:sz w:val="22"/>
          <w:szCs w:val="22"/>
        </w:rPr>
        <w:t>Body loss is set to 0 dB to account for non handheld devices, such as USB modems, which result in a larger cell radius which is considered the worst case.</w:t>
      </w:r>
    </w:p>
    <w:p w:rsidR="0060073B" w:rsidRPr="00F164FD" w:rsidRDefault="0060073B">
      <w:pPr>
        <w:rPr>
          <w:rFonts w:ascii="Arial" w:hAnsi="Arial" w:cs="Arial"/>
          <w:color w:val="0D0D0D" w:themeColor="text1" w:themeTint="F2"/>
          <w:sz w:val="22"/>
          <w:szCs w:val="22"/>
        </w:rPr>
      </w:pPr>
    </w:p>
    <w:p w:rsidR="00C21D7B" w:rsidRPr="0060073B" w:rsidRDefault="00A11F3F">
      <w:pPr>
        <w:rPr>
          <w:rFonts w:ascii="Arial" w:hAnsi="Arial" w:cs="Arial"/>
          <w:color w:val="0D0D0D" w:themeColor="text1" w:themeTint="F2"/>
        </w:rPr>
      </w:pPr>
      <w:r w:rsidRPr="00F164FD">
        <w:rPr>
          <w:rFonts w:ascii="Arial" w:hAnsi="Arial" w:cs="Arial"/>
          <w:color w:val="0D0D0D" w:themeColor="text1" w:themeTint="F2"/>
          <w:sz w:val="22"/>
          <w:szCs w:val="22"/>
        </w:rPr>
        <w:t xml:space="preserve">Using these parameters, the link budget in </w:t>
      </w:r>
      <w:fldSimple w:instr=" REF _Ref307986720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6</w:t>
        </w:r>
      </w:fldSimple>
      <w:r w:rsidRPr="00F164FD">
        <w:rPr>
          <w:rFonts w:ascii="Arial" w:hAnsi="Arial" w:cs="Arial"/>
          <w:color w:val="0D0D0D" w:themeColor="text1" w:themeTint="F2"/>
          <w:sz w:val="22"/>
          <w:szCs w:val="22"/>
        </w:rPr>
        <w:t xml:space="preserve"> can be derived. The case demonstrated is for a 5 MHz allocated channel utilising all 25 resource blocks </w:t>
      </w:r>
      <w:r w:rsidR="003B7519" w:rsidRPr="00F164FD">
        <w:rPr>
          <w:rFonts w:ascii="Arial" w:hAnsi="Arial" w:cs="Arial"/>
          <w:color w:val="0D0D0D" w:themeColor="text1" w:themeTint="F2"/>
          <w:sz w:val="22"/>
          <w:szCs w:val="22"/>
        </w:rPr>
        <w:t xml:space="preserve">for a single user </w:t>
      </w:r>
      <w:r w:rsidRPr="00F164FD">
        <w:rPr>
          <w:rFonts w:ascii="Arial" w:hAnsi="Arial" w:cs="Arial"/>
          <w:color w:val="0D0D0D" w:themeColor="text1" w:themeTint="F2"/>
          <w:sz w:val="22"/>
          <w:szCs w:val="22"/>
        </w:rPr>
        <w:t>and a cyclic prefix of 6</w:t>
      </w:r>
      <w:r w:rsidRPr="0060073B">
        <w:rPr>
          <w:rFonts w:ascii="Arial" w:hAnsi="Arial" w:cs="Arial"/>
          <w:color w:val="0D0D0D" w:themeColor="text1" w:themeTint="F2"/>
          <w:sz w:val="22"/>
          <w:szCs w:val="22"/>
        </w:rPr>
        <w:t>.</w:t>
      </w:r>
    </w:p>
    <w:p w:rsidR="0060073B" w:rsidRPr="00F164FD" w:rsidRDefault="0060073B">
      <w:pPr>
        <w:rPr>
          <w:rFonts w:ascii="Arial" w:hAnsi="Arial" w:cs="Arial"/>
          <w:color w:val="0D0D0D" w:themeColor="text1" w:themeTint="F2"/>
        </w:rPr>
      </w:pPr>
    </w:p>
    <w:tbl>
      <w:tblPr>
        <w:tblStyle w:val="TableGrid"/>
        <w:tblW w:w="8897" w:type="dxa"/>
        <w:tblLayout w:type="fixed"/>
        <w:tblLook w:val="04A0"/>
      </w:tblPr>
      <w:tblGrid>
        <w:gridCol w:w="1951"/>
        <w:gridCol w:w="1418"/>
        <w:gridCol w:w="5528"/>
      </w:tblGrid>
      <w:tr w:rsidR="0060073B" w:rsidRPr="00F164FD" w:rsidTr="0060073B">
        <w:trPr>
          <w:trHeight w:val="573"/>
        </w:trPr>
        <w:tc>
          <w:tcPr>
            <w:tcW w:w="8897" w:type="dxa"/>
            <w:gridSpan w:val="3"/>
            <w:tcBorders>
              <w:left w:val="nil"/>
              <w:right w:val="nil"/>
            </w:tcBorders>
            <w:vAlign w:val="center"/>
          </w:tcPr>
          <w:p w:rsidR="0060073B" w:rsidRPr="0060073B" w:rsidRDefault="0060073B" w:rsidP="0060073B">
            <w:pPr>
              <w:pStyle w:val="Caption"/>
              <w:spacing w:after="0"/>
              <w:rPr>
                <w:rFonts w:ascii="Arial" w:hAnsi="Arial" w:cs="Arial"/>
                <w:color w:val="A6A6A6" w:themeColor="background1" w:themeShade="A6"/>
                <w:sz w:val="22"/>
                <w:szCs w:val="22"/>
              </w:rPr>
            </w:pPr>
            <w:bookmarkStart w:id="8" w:name="_Ref307986720"/>
            <w:r w:rsidRPr="0060073B">
              <w:rPr>
                <w:rFonts w:ascii="Arial" w:hAnsi="Arial" w:cs="Arial"/>
                <w:color w:val="A6A6A6" w:themeColor="background1" w:themeShade="A6"/>
                <w:sz w:val="22"/>
                <w:szCs w:val="22"/>
              </w:rPr>
              <w:t xml:space="preserve">Table </w:t>
            </w:r>
            <w:r w:rsidR="00034064" w:rsidRPr="0060073B">
              <w:rPr>
                <w:rFonts w:ascii="Arial" w:hAnsi="Arial" w:cs="Arial"/>
                <w:color w:val="A6A6A6" w:themeColor="background1" w:themeShade="A6"/>
                <w:sz w:val="22"/>
                <w:szCs w:val="22"/>
              </w:rPr>
              <w:fldChar w:fldCharType="begin"/>
            </w:r>
            <w:r w:rsidRPr="0060073B">
              <w:rPr>
                <w:rFonts w:ascii="Arial" w:hAnsi="Arial" w:cs="Arial"/>
                <w:color w:val="A6A6A6" w:themeColor="background1" w:themeShade="A6"/>
                <w:sz w:val="22"/>
                <w:szCs w:val="22"/>
              </w:rPr>
              <w:instrText xml:space="preserve"> SEQ Table \* ARABIC </w:instrText>
            </w:r>
            <w:r w:rsidR="00034064" w:rsidRPr="0060073B">
              <w:rPr>
                <w:rFonts w:ascii="Arial" w:hAnsi="Arial" w:cs="Arial"/>
                <w:color w:val="A6A6A6" w:themeColor="background1" w:themeShade="A6"/>
                <w:sz w:val="22"/>
                <w:szCs w:val="22"/>
              </w:rPr>
              <w:fldChar w:fldCharType="separate"/>
            </w:r>
            <w:r w:rsidRPr="0060073B">
              <w:rPr>
                <w:rFonts w:ascii="Arial" w:hAnsi="Arial" w:cs="Arial"/>
                <w:noProof/>
                <w:color w:val="A6A6A6" w:themeColor="background1" w:themeShade="A6"/>
                <w:sz w:val="22"/>
                <w:szCs w:val="22"/>
              </w:rPr>
              <w:t>6</w:t>
            </w:r>
            <w:r w:rsidR="00034064" w:rsidRPr="0060073B">
              <w:rPr>
                <w:rFonts w:ascii="Arial" w:hAnsi="Arial" w:cs="Arial"/>
                <w:color w:val="A6A6A6" w:themeColor="background1" w:themeShade="A6"/>
                <w:sz w:val="22"/>
                <w:szCs w:val="22"/>
              </w:rPr>
              <w:fldChar w:fldCharType="end"/>
            </w:r>
            <w:bookmarkEnd w:id="8"/>
            <w:r w:rsidRPr="0060073B">
              <w:rPr>
                <w:rFonts w:ascii="Arial" w:hAnsi="Arial" w:cs="Arial"/>
                <w:color w:val="A6A6A6" w:themeColor="background1" w:themeShade="A6"/>
                <w:sz w:val="22"/>
                <w:szCs w:val="22"/>
              </w:rPr>
              <w:t xml:space="preserve"> BS-to-UE link budget</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Allocated bandwidth</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5 MHz</w:t>
            </w: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Resource blocks (RB)</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25</w:t>
            </w: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Sub-carriers (SC)</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300</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12 sub-carriers per resource block</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Occupied bandwidth (OB)</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4.515 MHz</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RB * 180 kHz + 15 kHz</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Cyclic prefix (CP)</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6</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 xml:space="preserve">symbols per </w:t>
            </w:r>
            <w:r w:rsidR="00821E35" w:rsidRPr="00F164FD">
              <w:rPr>
                <w:rFonts w:ascii="Arial" w:hAnsi="Arial" w:cs="Arial"/>
                <w:color w:val="0D0D0D" w:themeColor="text1" w:themeTint="F2"/>
                <w:sz w:val="20"/>
              </w:rPr>
              <w:t>slot</w:t>
            </w:r>
            <w:r w:rsidRPr="00F164FD">
              <w:rPr>
                <w:rFonts w:ascii="Arial" w:hAnsi="Arial" w:cs="Arial"/>
                <w:color w:val="0D0D0D" w:themeColor="text1" w:themeTint="F2"/>
                <w:sz w:val="20"/>
              </w:rPr>
              <w:t xml:space="preserve"> (a </w:t>
            </w:r>
            <w:r w:rsidR="00821E35" w:rsidRPr="00F164FD">
              <w:rPr>
                <w:rFonts w:ascii="Arial" w:hAnsi="Arial" w:cs="Arial"/>
                <w:color w:val="0D0D0D" w:themeColor="text1" w:themeTint="F2"/>
                <w:sz w:val="20"/>
              </w:rPr>
              <w:t xml:space="preserve">slot </w:t>
            </w:r>
            <w:r w:rsidRPr="00F164FD">
              <w:rPr>
                <w:rFonts w:ascii="Arial" w:hAnsi="Arial" w:cs="Arial"/>
                <w:color w:val="0D0D0D" w:themeColor="text1" w:themeTint="F2"/>
                <w:sz w:val="20"/>
              </w:rPr>
              <w:t xml:space="preserve">is </w:t>
            </w:r>
            <w:r w:rsidR="00821E35" w:rsidRPr="00F164FD">
              <w:rPr>
                <w:rFonts w:ascii="Arial" w:hAnsi="Arial" w:cs="Arial"/>
                <w:color w:val="0D0D0D" w:themeColor="text1" w:themeTint="F2"/>
                <w:sz w:val="20"/>
              </w:rPr>
              <w:t>half a sub frame</w:t>
            </w:r>
            <w:r w:rsidRPr="00F164FD">
              <w:rPr>
                <w:rFonts w:ascii="Arial" w:hAnsi="Arial" w:cs="Arial"/>
                <w:color w:val="0D0D0D" w:themeColor="text1" w:themeTint="F2"/>
                <w:sz w:val="20"/>
              </w:rPr>
              <w:t>)</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 xml:space="preserve">OFDMA symbols per </w:t>
            </w:r>
            <w:r w:rsidR="00821E35" w:rsidRPr="00F164FD">
              <w:rPr>
                <w:rFonts w:ascii="Arial" w:hAnsi="Arial" w:cs="Arial"/>
                <w:b/>
                <w:color w:val="0D0D0D" w:themeColor="text1" w:themeTint="F2"/>
                <w:sz w:val="20"/>
              </w:rPr>
              <w:t xml:space="preserve">sub frame </w:t>
            </w:r>
            <w:r w:rsidRPr="00F164FD">
              <w:rPr>
                <w:rFonts w:ascii="Arial" w:hAnsi="Arial" w:cs="Arial"/>
                <w:b/>
                <w:color w:val="0D0D0D" w:themeColor="text1" w:themeTint="F2"/>
                <w:sz w:val="20"/>
              </w:rPr>
              <w:t>(OS)</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12</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CP / 0.5</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Modulation symbol rate</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 xml:space="preserve">3.6 </w:t>
            </w:r>
            <w:proofErr w:type="spellStart"/>
            <w:r w:rsidRPr="00F164FD">
              <w:rPr>
                <w:rFonts w:ascii="Arial" w:hAnsi="Arial" w:cs="Arial"/>
                <w:color w:val="0D0D0D" w:themeColor="text1" w:themeTint="F2"/>
                <w:sz w:val="20"/>
              </w:rPr>
              <w:t>Msps</w:t>
            </w:r>
            <w:proofErr w:type="spellEnd"/>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(SC * OS / 0.001) / 1e6</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OFDM symbols for control channels (CC)</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3</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including PDCCH, PBCH, PHICH, PCFICH, etc</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p>
        </w:tc>
        <w:tc>
          <w:tcPr>
            <w:tcW w:w="1418" w:type="dxa"/>
          </w:tcPr>
          <w:p w:rsidR="009D4648" w:rsidRPr="00F164FD" w:rsidRDefault="009D4648" w:rsidP="00E23950">
            <w:pPr>
              <w:jc w:val="center"/>
              <w:rPr>
                <w:rFonts w:ascii="Arial" w:hAnsi="Arial" w:cs="Arial"/>
                <w:color w:val="0D0D0D" w:themeColor="text1" w:themeTint="F2"/>
                <w:sz w:val="20"/>
              </w:rPr>
            </w:pP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Modulation</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QPSK</w:t>
            </w: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Symbols (sym)</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4</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QPSK = 4, 16QAM = 16, 64QAM = 64</w:t>
            </w:r>
          </w:p>
        </w:tc>
      </w:tr>
      <w:tr w:rsidR="009D4648" w:rsidRPr="00F164FD" w:rsidTr="0060073B">
        <w:tc>
          <w:tcPr>
            <w:tcW w:w="1951" w:type="dxa"/>
          </w:tcPr>
          <w:p w:rsidR="009D4648" w:rsidRPr="00F164FD" w:rsidRDefault="00005723" w:rsidP="00045B04">
            <w:pPr>
              <w:rPr>
                <w:rFonts w:ascii="Arial" w:hAnsi="Arial" w:cs="Arial"/>
                <w:b/>
                <w:color w:val="0D0D0D" w:themeColor="text1" w:themeTint="F2"/>
                <w:sz w:val="20"/>
              </w:rPr>
            </w:pPr>
            <w:r w:rsidRPr="00F164FD">
              <w:rPr>
                <w:rFonts w:ascii="Arial" w:hAnsi="Arial" w:cs="Arial"/>
                <w:b/>
                <w:color w:val="0D0D0D" w:themeColor="text1" w:themeTint="F2"/>
                <w:sz w:val="20"/>
              </w:rPr>
              <w:t>Code r</w:t>
            </w:r>
            <w:r w:rsidR="009D4648" w:rsidRPr="00F164FD">
              <w:rPr>
                <w:rFonts w:ascii="Arial" w:hAnsi="Arial" w:cs="Arial"/>
                <w:b/>
                <w:color w:val="0D0D0D" w:themeColor="text1" w:themeTint="F2"/>
                <w:sz w:val="20"/>
              </w:rPr>
              <w:t>ate (rate)</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1/3</w:t>
            </w: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SNIR</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0 dB</w:t>
            </w: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Implementation margin (IM)</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2 dB</w:t>
            </w: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p>
        </w:tc>
        <w:tc>
          <w:tcPr>
            <w:tcW w:w="1418" w:type="dxa"/>
          </w:tcPr>
          <w:p w:rsidR="009D4648" w:rsidRPr="00F164FD" w:rsidRDefault="009D4648" w:rsidP="00E23950">
            <w:pPr>
              <w:jc w:val="center"/>
              <w:rPr>
                <w:rFonts w:ascii="Arial" w:hAnsi="Arial" w:cs="Arial"/>
                <w:color w:val="0D0D0D" w:themeColor="text1" w:themeTint="F2"/>
                <w:sz w:val="20"/>
              </w:rPr>
            </w:pP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UE noise figure (NF)</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9 dB</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36.101</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Reference sensitivity (</w:t>
            </w:r>
            <w:proofErr w:type="spellStart"/>
            <w:r w:rsidRPr="00F164FD">
              <w:rPr>
                <w:rFonts w:ascii="Arial" w:hAnsi="Arial" w:cs="Arial"/>
                <w:b/>
                <w:color w:val="0D0D0D" w:themeColor="text1" w:themeTint="F2"/>
                <w:sz w:val="20"/>
              </w:rPr>
              <w:t>refsens</w:t>
            </w:r>
            <w:proofErr w:type="spellEnd"/>
            <w:r w:rsidRPr="00F164FD">
              <w:rPr>
                <w:rFonts w:ascii="Arial" w:hAnsi="Arial" w:cs="Arial"/>
                <w:b/>
                <w:color w:val="0D0D0D" w:themeColor="text1" w:themeTint="F2"/>
                <w:sz w:val="20"/>
              </w:rPr>
              <w:t>)</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-96.43 dB</w:t>
            </w:r>
            <w:r w:rsidR="005C6A0E" w:rsidRPr="00F164FD">
              <w:rPr>
                <w:rFonts w:ascii="Arial" w:hAnsi="Arial" w:cs="Arial"/>
                <w:color w:val="0D0D0D" w:themeColor="text1" w:themeTint="F2"/>
                <w:sz w:val="20"/>
              </w:rPr>
              <w:t>m</w:t>
            </w:r>
            <w:r w:rsidRPr="00F164FD">
              <w:rPr>
                <w:rFonts w:ascii="Arial" w:hAnsi="Arial" w:cs="Arial"/>
                <w:color w:val="0D0D0D" w:themeColor="text1" w:themeTint="F2"/>
                <w:sz w:val="20"/>
              </w:rPr>
              <w:t>/4.515 MHz</w:t>
            </w:r>
          </w:p>
        </w:tc>
        <w:tc>
          <w:tcPr>
            <w:tcW w:w="5528" w:type="dxa"/>
          </w:tcPr>
          <w:p w:rsidR="009D4648" w:rsidRPr="00F164FD" w:rsidRDefault="00FB17F2" w:rsidP="00045B04">
            <w:pPr>
              <w:rPr>
                <w:rFonts w:ascii="Arial" w:hAnsi="Arial" w:cs="Arial"/>
                <w:color w:val="0D0D0D" w:themeColor="text1" w:themeTint="F2"/>
                <w:sz w:val="20"/>
              </w:rPr>
            </w:pPr>
            <w:r w:rsidRPr="00F164FD">
              <w:rPr>
                <w:rFonts w:ascii="Arial" w:hAnsi="Arial" w:cs="Arial"/>
                <w:color w:val="0D0D0D" w:themeColor="text1" w:themeTint="F2"/>
                <w:position w:val="-10"/>
              </w:rPr>
              <w:object w:dxaOrig="1740" w:dyaOrig="300">
                <v:shape id="_x0000_i1035" type="#_x0000_t75" style="width:87pt;height:15pt" o:ole="">
                  <v:imagedata r:id="rId29" o:title=""/>
                </v:shape>
                <o:OLEObject Type="Embed" ProgID="Equation.3" ShapeID="_x0000_i1035" DrawAspect="Content" ObjectID="_1403421065" r:id="rId30"/>
              </w:objec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N</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-98.43 dB</w:t>
            </w:r>
            <w:r w:rsidR="005C6A0E" w:rsidRPr="00F164FD">
              <w:rPr>
                <w:rFonts w:ascii="Arial" w:hAnsi="Arial" w:cs="Arial"/>
                <w:color w:val="0D0D0D" w:themeColor="text1" w:themeTint="F2"/>
                <w:sz w:val="20"/>
              </w:rPr>
              <w:t>m</w:t>
            </w:r>
            <w:r w:rsidRPr="00F164FD">
              <w:rPr>
                <w:rFonts w:ascii="Arial" w:hAnsi="Arial" w:cs="Arial"/>
                <w:color w:val="0D0D0D" w:themeColor="text1" w:themeTint="F2"/>
                <w:sz w:val="20"/>
              </w:rPr>
              <w:t>/4.515 MHz</w:t>
            </w:r>
          </w:p>
        </w:tc>
        <w:tc>
          <w:tcPr>
            <w:tcW w:w="5528" w:type="dxa"/>
          </w:tcPr>
          <w:p w:rsidR="009D4648" w:rsidRPr="00F164FD" w:rsidRDefault="00FB17F2" w:rsidP="00045B04">
            <w:pPr>
              <w:rPr>
                <w:rFonts w:ascii="Arial" w:hAnsi="Arial" w:cs="Arial"/>
                <w:color w:val="0D0D0D" w:themeColor="text1" w:themeTint="F2"/>
                <w:sz w:val="20"/>
              </w:rPr>
            </w:pPr>
            <w:r w:rsidRPr="00F164FD">
              <w:rPr>
                <w:rFonts w:ascii="Arial" w:hAnsi="Arial" w:cs="Arial"/>
                <w:color w:val="0D0D0D" w:themeColor="text1" w:themeTint="F2"/>
                <w:position w:val="-6"/>
                <w:sz w:val="20"/>
              </w:rPr>
              <w:object w:dxaOrig="700" w:dyaOrig="240">
                <v:shape id="_x0000_i1036" type="#_x0000_t75" style="width:35.25pt;height:12pt" o:ole="">
                  <v:imagedata r:id="rId31" o:title=""/>
                </v:shape>
                <o:OLEObject Type="Embed" ProgID="Equation.3" ShapeID="_x0000_i1036" DrawAspect="Content" ObjectID="_1403421066" r:id="rId32"/>
              </w:objec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I</w:t>
            </w:r>
            <w:r w:rsidR="00BA542E" w:rsidRPr="00F164FD">
              <w:rPr>
                <w:rFonts w:ascii="Arial" w:hAnsi="Arial" w:cs="Arial"/>
                <w:b/>
                <w:color w:val="0D0D0D" w:themeColor="text1" w:themeTint="F2"/>
                <w:sz w:val="20"/>
              </w:rPr>
              <w:t xml:space="preserve"> (or LOP)</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-100.76 dB</w:t>
            </w:r>
            <w:r w:rsidR="005C6A0E" w:rsidRPr="00F164FD">
              <w:rPr>
                <w:rFonts w:ascii="Arial" w:hAnsi="Arial" w:cs="Arial"/>
                <w:color w:val="0D0D0D" w:themeColor="text1" w:themeTint="F2"/>
                <w:sz w:val="20"/>
              </w:rPr>
              <w:t>m</w:t>
            </w:r>
            <w:r w:rsidRPr="00F164FD">
              <w:rPr>
                <w:rFonts w:ascii="Arial" w:hAnsi="Arial" w:cs="Arial"/>
                <w:color w:val="0D0D0D" w:themeColor="text1" w:themeTint="F2"/>
                <w:sz w:val="20"/>
              </w:rPr>
              <w:t>/4.515 MHz</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position w:val="-30"/>
                <w:sz w:val="20"/>
              </w:rPr>
              <w:object w:dxaOrig="2860" w:dyaOrig="700">
                <v:shape id="_x0000_i1037" type="#_x0000_t75" style="width:143.25pt;height:35.25pt" o:ole="">
                  <v:imagedata r:id="rId33" o:title=""/>
                </v:shape>
                <o:OLEObject Type="Embed" ProgID="Equation.3" ShapeID="_x0000_i1037" DrawAspect="Content" ObjectID="_1403421067" r:id="rId34"/>
              </w:objec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p>
        </w:tc>
        <w:tc>
          <w:tcPr>
            <w:tcW w:w="1418" w:type="dxa"/>
          </w:tcPr>
          <w:p w:rsidR="009D4648" w:rsidRPr="00F164FD" w:rsidRDefault="009D4648" w:rsidP="00E23950">
            <w:pPr>
              <w:jc w:val="center"/>
              <w:rPr>
                <w:rFonts w:ascii="Arial" w:hAnsi="Arial" w:cs="Arial"/>
                <w:color w:val="0D0D0D" w:themeColor="text1" w:themeTint="F2"/>
                <w:sz w:val="20"/>
              </w:rPr>
            </w:pP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Required area probability</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95 %</w:t>
            </w: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Fade margin</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7 dB</w:t>
            </w:r>
          </w:p>
        </w:tc>
        <w:tc>
          <w:tcPr>
            <w:tcW w:w="5528" w:type="dxa"/>
          </w:tcPr>
          <w:p w:rsidR="009D4648" w:rsidRPr="00F164FD" w:rsidRDefault="009D4648" w:rsidP="00045B04">
            <w:pPr>
              <w:rPr>
                <w:rFonts w:ascii="Arial" w:hAnsi="Arial" w:cs="Arial"/>
                <w:color w:val="0D0D0D" w:themeColor="text1" w:themeTint="F2"/>
                <w:sz w:val="20"/>
              </w:rPr>
            </w:pPr>
            <w:r w:rsidRPr="00F164FD">
              <w:rPr>
                <w:rFonts w:ascii="Arial" w:hAnsi="Arial" w:cs="Arial"/>
                <w:color w:val="0D0D0D" w:themeColor="text1" w:themeTint="F2"/>
                <w:sz w:val="20"/>
              </w:rPr>
              <w:t xml:space="preserve">path exponent = 3.5, </w:t>
            </w:r>
            <w:proofErr w:type="spellStart"/>
            <w:r w:rsidRPr="00F164FD">
              <w:rPr>
                <w:rFonts w:ascii="Arial" w:hAnsi="Arial" w:cs="Arial"/>
                <w:color w:val="0D0D0D" w:themeColor="text1" w:themeTint="F2"/>
                <w:sz w:val="20"/>
              </w:rPr>
              <w:t>stdev</w:t>
            </w:r>
            <w:proofErr w:type="spellEnd"/>
            <w:r w:rsidRPr="00F164FD">
              <w:rPr>
                <w:rFonts w:ascii="Arial" w:hAnsi="Arial" w:cs="Arial"/>
                <w:color w:val="0D0D0D" w:themeColor="text1" w:themeTint="F2"/>
                <w:sz w:val="20"/>
              </w:rPr>
              <w:t xml:space="preserve"> = 7 dB</w:t>
            </w: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Body loss</w:t>
            </w:r>
          </w:p>
        </w:tc>
        <w:tc>
          <w:tcPr>
            <w:tcW w:w="1418" w:type="dxa"/>
          </w:tcPr>
          <w:p w:rsidR="009D4648" w:rsidRPr="00F164FD" w:rsidRDefault="009D4648"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0 dB</w:t>
            </w: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p>
        </w:tc>
        <w:tc>
          <w:tcPr>
            <w:tcW w:w="1418" w:type="dxa"/>
          </w:tcPr>
          <w:p w:rsidR="009D4648" w:rsidRPr="00F164FD" w:rsidRDefault="009D4648" w:rsidP="00E23950">
            <w:pPr>
              <w:jc w:val="center"/>
              <w:rPr>
                <w:rFonts w:ascii="Arial" w:hAnsi="Arial" w:cs="Arial"/>
                <w:color w:val="0D0D0D" w:themeColor="text1" w:themeTint="F2"/>
                <w:sz w:val="20"/>
              </w:rPr>
            </w:pPr>
          </w:p>
        </w:tc>
        <w:tc>
          <w:tcPr>
            <w:tcW w:w="5528" w:type="dxa"/>
          </w:tcPr>
          <w:p w:rsidR="009D4648" w:rsidRPr="00F164FD" w:rsidRDefault="009D4648" w:rsidP="00045B04">
            <w:pPr>
              <w:rPr>
                <w:rFonts w:ascii="Arial" w:hAnsi="Arial" w:cs="Arial"/>
                <w:color w:val="0D0D0D" w:themeColor="text1" w:themeTint="F2"/>
                <w:sz w:val="20"/>
              </w:rPr>
            </w:pPr>
          </w:p>
        </w:tc>
      </w:tr>
      <w:tr w:rsidR="009D4648" w:rsidRPr="00F164FD" w:rsidTr="0060073B">
        <w:tc>
          <w:tcPr>
            <w:tcW w:w="1951" w:type="dxa"/>
          </w:tcPr>
          <w:p w:rsidR="009D4648" w:rsidRPr="00F164FD" w:rsidRDefault="009D4648" w:rsidP="00045B04">
            <w:pPr>
              <w:rPr>
                <w:rFonts w:ascii="Arial" w:hAnsi="Arial" w:cs="Arial"/>
                <w:b/>
                <w:color w:val="0D0D0D" w:themeColor="text1" w:themeTint="F2"/>
                <w:sz w:val="20"/>
              </w:rPr>
            </w:pPr>
            <w:r w:rsidRPr="00F164FD">
              <w:rPr>
                <w:rFonts w:ascii="Arial" w:hAnsi="Arial" w:cs="Arial"/>
                <w:b/>
                <w:color w:val="0D0D0D" w:themeColor="text1" w:themeTint="F2"/>
                <w:sz w:val="20"/>
              </w:rPr>
              <w:t>Throughput</w:t>
            </w:r>
            <w:r w:rsidR="00FB17F2" w:rsidRPr="00F164FD">
              <w:rPr>
                <w:rFonts w:ascii="Arial" w:hAnsi="Arial" w:cs="Arial"/>
                <w:b/>
                <w:color w:val="0D0D0D" w:themeColor="text1" w:themeTint="F2"/>
                <w:sz w:val="20"/>
              </w:rPr>
              <w:t xml:space="preserve"> (TP)</w:t>
            </w:r>
          </w:p>
        </w:tc>
        <w:tc>
          <w:tcPr>
            <w:tcW w:w="1418" w:type="dxa"/>
          </w:tcPr>
          <w:p w:rsidR="009D4648" w:rsidRPr="00F164FD" w:rsidRDefault="009D4648" w:rsidP="00B1234C">
            <w:pPr>
              <w:jc w:val="center"/>
              <w:rPr>
                <w:rFonts w:ascii="Arial" w:hAnsi="Arial" w:cs="Arial"/>
                <w:color w:val="0D0D0D" w:themeColor="text1" w:themeTint="F2"/>
                <w:sz w:val="20"/>
              </w:rPr>
            </w:pPr>
            <w:r w:rsidRPr="00F164FD">
              <w:rPr>
                <w:rFonts w:ascii="Arial" w:hAnsi="Arial" w:cs="Arial"/>
                <w:color w:val="0D0D0D" w:themeColor="text1" w:themeTint="F2"/>
                <w:sz w:val="20"/>
              </w:rPr>
              <w:t>0.</w:t>
            </w:r>
            <w:r w:rsidR="006C38B4" w:rsidRPr="00F164FD">
              <w:rPr>
                <w:rFonts w:ascii="Arial" w:hAnsi="Arial" w:cs="Arial"/>
                <w:color w:val="0D0D0D" w:themeColor="text1" w:themeTint="F2"/>
                <w:sz w:val="20"/>
              </w:rPr>
              <w:t>40</w:t>
            </w:r>
            <w:r w:rsidRPr="00F164FD">
              <w:rPr>
                <w:rFonts w:ascii="Arial" w:hAnsi="Arial" w:cs="Arial"/>
                <w:color w:val="0D0D0D" w:themeColor="text1" w:themeTint="F2"/>
                <w:sz w:val="20"/>
              </w:rPr>
              <w:t xml:space="preserve"> bps/Hz</w:t>
            </w:r>
          </w:p>
        </w:tc>
        <w:tc>
          <w:tcPr>
            <w:tcW w:w="5528" w:type="dxa"/>
          </w:tcPr>
          <w:p w:rsidR="009D4648" w:rsidRPr="00F164FD" w:rsidRDefault="003B7519" w:rsidP="00045B04">
            <w:pPr>
              <w:rPr>
                <w:rFonts w:ascii="Arial" w:hAnsi="Arial" w:cs="Arial"/>
                <w:color w:val="0D0D0D" w:themeColor="text1" w:themeTint="F2"/>
                <w:sz w:val="20"/>
              </w:rPr>
            </w:pPr>
            <w:r w:rsidRPr="00F164FD">
              <w:rPr>
                <w:rFonts w:ascii="Arial" w:hAnsi="Arial" w:cs="Arial"/>
                <w:color w:val="0D0D0D" w:themeColor="text1" w:themeTint="F2"/>
                <w:position w:val="-12"/>
                <w:sz w:val="20"/>
              </w:rPr>
              <w:object w:dxaOrig="5100" w:dyaOrig="380">
                <v:shape id="_x0000_i1038" type="#_x0000_t75" style="width:255.75pt;height:18.75pt" o:ole="">
                  <v:imagedata r:id="rId35" o:title=""/>
                </v:shape>
                <o:OLEObject Type="Embed" ProgID="Equation.3" ShapeID="_x0000_i1038" DrawAspect="Content" ObjectID="_1403421068" r:id="rId36"/>
              </w:object>
            </w:r>
          </w:p>
        </w:tc>
      </w:tr>
      <w:tr w:rsidR="009D4648" w:rsidRPr="00F164FD" w:rsidTr="0060073B">
        <w:tc>
          <w:tcPr>
            <w:tcW w:w="1951" w:type="dxa"/>
          </w:tcPr>
          <w:p w:rsidR="009D4648" w:rsidRPr="00F164FD" w:rsidRDefault="00FB17F2" w:rsidP="00045B04">
            <w:pPr>
              <w:rPr>
                <w:rFonts w:ascii="Arial" w:hAnsi="Arial" w:cs="Arial"/>
                <w:b/>
                <w:color w:val="0D0D0D" w:themeColor="text1" w:themeTint="F2"/>
                <w:sz w:val="20"/>
              </w:rPr>
            </w:pPr>
            <w:r w:rsidRPr="00F164FD">
              <w:rPr>
                <w:rFonts w:ascii="Arial" w:hAnsi="Arial" w:cs="Arial"/>
                <w:b/>
                <w:color w:val="0D0D0D" w:themeColor="text1" w:themeTint="F2"/>
                <w:sz w:val="20"/>
              </w:rPr>
              <w:t>Data rate</w:t>
            </w:r>
            <w:r w:rsidR="00D33F8A" w:rsidRPr="00F164FD">
              <w:rPr>
                <w:rFonts w:ascii="Arial" w:hAnsi="Arial" w:cs="Arial"/>
                <w:b/>
                <w:color w:val="0D0D0D" w:themeColor="text1" w:themeTint="F2"/>
                <w:sz w:val="20"/>
              </w:rPr>
              <w:t xml:space="preserve"> (DR)</w:t>
            </w:r>
          </w:p>
        </w:tc>
        <w:tc>
          <w:tcPr>
            <w:tcW w:w="1418" w:type="dxa"/>
          </w:tcPr>
          <w:p w:rsidR="009D4648" w:rsidRPr="00F164FD" w:rsidRDefault="006C38B4"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1800.00</w:t>
            </w:r>
            <w:r w:rsidR="009D4648" w:rsidRPr="00F164FD">
              <w:rPr>
                <w:rFonts w:ascii="Arial" w:hAnsi="Arial" w:cs="Arial"/>
                <w:color w:val="0D0D0D" w:themeColor="text1" w:themeTint="F2"/>
                <w:sz w:val="20"/>
              </w:rPr>
              <w:t xml:space="preserve"> kbps</w:t>
            </w:r>
          </w:p>
        </w:tc>
        <w:tc>
          <w:tcPr>
            <w:tcW w:w="5528" w:type="dxa"/>
          </w:tcPr>
          <w:p w:rsidR="009D4648" w:rsidRPr="00F164FD" w:rsidRDefault="006C38B4" w:rsidP="00045B04">
            <w:pPr>
              <w:rPr>
                <w:rFonts w:ascii="Arial" w:hAnsi="Arial" w:cs="Arial"/>
                <w:color w:val="0D0D0D" w:themeColor="text1" w:themeTint="F2"/>
                <w:sz w:val="20"/>
              </w:rPr>
            </w:pPr>
            <w:r w:rsidRPr="00F164FD">
              <w:rPr>
                <w:rFonts w:ascii="Arial" w:hAnsi="Arial" w:cs="Arial"/>
                <w:color w:val="0D0D0D" w:themeColor="text1" w:themeTint="F2"/>
                <w:position w:val="-12"/>
                <w:sz w:val="20"/>
              </w:rPr>
              <w:object w:dxaOrig="2720" w:dyaOrig="380">
                <v:shape id="_x0000_i1039" type="#_x0000_t75" style="width:136.5pt;height:18.75pt" o:ole="">
                  <v:imagedata r:id="rId37" o:title=""/>
                </v:shape>
                <o:OLEObject Type="Embed" ProgID="Equation.3" ShapeID="_x0000_i1039" DrawAspect="Content" ObjectID="_1403421069" r:id="rId38"/>
              </w:object>
            </w:r>
          </w:p>
        </w:tc>
      </w:tr>
      <w:tr w:rsidR="00D33F8A" w:rsidRPr="00F164FD" w:rsidTr="0060073B">
        <w:tc>
          <w:tcPr>
            <w:tcW w:w="1951" w:type="dxa"/>
          </w:tcPr>
          <w:p w:rsidR="00D33F8A" w:rsidRPr="00F164FD" w:rsidRDefault="00D33F8A" w:rsidP="00045B04">
            <w:pPr>
              <w:rPr>
                <w:rFonts w:ascii="Arial" w:hAnsi="Arial" w:cs="Arial"/>
                <w:b/>
                <w:color w:val="0D0D0D" w:themeColor="text1" w:themeTint="F2"/>
                <w:sz w:val="20"/>
              </w:rPr>
            </w:pPr>
            <w:proofErr w:type="spellStart"/>
            <w:r w:rsidRPr="00F164FD">
              <w:rPr>
                <w:rFonts w:ascii="Arial" w:hAnsi="Arial" w:cs="Arial"/>
                <w:b/>
                <w:color w:val="0D0D0D" w:themeColor="text1" w:themeTint="F2"/>
                <w:sz w:val="20"/>
              </w:rPr>
              <w:t>Eb</w:t>
            </w:r>
            <w:proofErr w:type="spellEnd"/>
            <w:r w:rsidRPr="00F164FD">
              <w:rPr>
                <w:rFonts w:ascii="Arial" w:hAnsi="Arial" w:cs="Arial"/>
                <w:b/>
                <w:color w:val="0D0D0D" w:themeColor="text1" w:themeTint="F2"/>
                <w:sz w:val="20"/>
              </w:rPr>
              <w:t>/No</w:t>
            </w:r>
          </w:p>
        </w:tc>
        <w:tc>
          <w:tcPr>
            <w:tcW w:w="1418" w:type="dxa"/>
          </w:tcPr>
          <w:p w:rsidR="00D33F8A" w:rsidRPr="00F164FD" w:rsidDel="00B1234C" w:rsidRDefault="00E8570F"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6.00</w:t>
            </w:r>
          </w:p>
        </w:tc>
        <w:tc>
          <w:tcPr>
            <w:tcW w:w="5528" w:type="dxa"/>
          </w:tcPr>
          <w:p w:rsidR="00D33F8A" w:rsidRPr="00F164FD" w:rsidRDefault="006C38B4" w:rsidP="00045B04">
            <w:pPr>
              <w:rPr>
                <w:rFonts w:ascii="Arial" w:hAnsi="Arial" w:cs="Arial"/>
                <w:color w:val="0D0D0D" w:themeColor="text1" w:themeTint="F2"/>
                <w:position w:val="-10"/>
                <w:sz w:val="20"/>
              </w:rPr>
            </w:pPr>
            <w:r w:rsidRPr="00F164FD">
              <w:rPr>
                <w:rFonts w:ascii="Arial" w:hAnsi="Arial" w:cs="Arial"/>
                <w:color w:val="0D0D0D" w:themeColor="text1" w:themeTint="F2"/>
                <w:position w:val="-26"/>
                <w:sz w:val="20"/>
              </w:rPr>
              <w:object w:dxaOrig="2360" w:dyaOrig="600">
                <v:shape id="_x0000_i1040" type="#_x0000_t75" style="width:118.5pt;height:30pt" o:ole="">
                  <v:imagedata r:id="rId39" o:title=""/>
                </v:shape>
                <o:OLEObject Type="Embed" ProgID="Equation.3" ShapeID="_x0000_i1040" DrawAspect="Content" ObjectID="_1403421070" r:id="rId40"/>
              </w:object>
            </w:r>
          </w:p>
        </w:tc>
      </w:tr>
      <w:tr w:rsidR="00D33F8A" w:rsidRPr="00F164FD" w:rsidTr="0060073B">
        <w:tc>
          <w:tcPr>
            <w:tcW w:w="1951" w:type="dxa"/>
            <w:tcBorders>
              <w:bottom w:val="single" w:sz="4" w:space="0" w:color="auto"/>
            </w:tcBorders>
          </w:tcPr>
          <w:p w:rsidR="00D33F8A" w:rsidRPr="00F164FD" w:rsidRDefault="00D33F8A" w:rsidP="00045B04">
            <w:pPr>
              <w:rPr>
                <w:rFonts w:ascii="Arial" w:hAnsi="Arial" w:cs="Arial"/>
                <w:b/>
                <w:color w:val="0D0D0D" w:themeColor="text1" w:themeTint="F2"/>
                <w:sz w:val="20"/>
              </w:rPr>
            </w:pPr>
            <w:r w:rsidRPr="00F164FD">
              <w:rPr>
                <w:rFonts w:ascii="Arial" w:hAnsi="Arial" w:cs="Arial"/>
                <w:b/>
                <w:color w:val="0D0D0D" w:themeColor="text1" w:themeTint="F2"/>
                <w:sz w:val="20"/>
              </w:rPr>
              <w:t>Bit-error rate (BER)</w:t>
            </w:r>
          </w:p>
        </w:tc>
        <w:tc>
          <w:tcPr>
            <w:tcW w:w="1418" w:type="dxa"/>
            <w:tcBorders>
              <w:bottom w:val="single" w:sz="4" w:space="0" w:color="auto"/>
            </w:tcBorders>
          </w:tcPr>
          <w:p w:rsidR="00D33F8A" w:rsidRPr="00F164FD" w:rsidDel="00B1234C" w:rsidRDefault="00D33F8A" w:rsidP="00E23950">
            <w:pPr>
              <w:jc w:val="center"/>
              <w:rPr>
                <w:rFonts w:ascii="Arial" w:hAnsi="Arial" w:cs="Arial"/>
                <w:color w:val="0D0D0D" w:themeColor="text1" w:themeTint="F2"/>
                <w:sz w:val="20"/>
              </w:rPr>
            </w:pPr>
            <w:r w:rsidRPr="00F164FD">
              <w:rPr>
                <w:rFonts w:ascii="Arial" w:hAnsi="Arial" w:cs="Arial"/>
                <w:color w:val="0D0D0D" w:themeColor="text1" w:themeTint="F2"/>
                <w:sz w:val="20"/>
              </w:rPr>
              <w:t>0.00239</w:t>
            </w:r>
          </w:p>
        </w:tc>
        <w:tc>
          <w:tcPr>
            <w:tcW w:w="5528" w:type="dxa"/>
            <w:tcBorders>
              <w:bottom w:val="single" w:sz="4" w:space="0" w:color="auto"/>
            </w:tcBorders>
          </w:tcPr>
          <w:p w:rsidR="00D33F8A" w:rsidRPr="00F164FD" w:rsidRDefault="00D33F8A" w:rsidP="00045B04">
            <w:pPr>
              <w:rPr>
                <w:rFonts w:ascii="Arial" w:hAnsi="Arial" w:cs="Arial"/>
                <w:color w:val="0D0D0D" w:themeColor="text1" w:themeTint="F2"/>
                <w:position w:val="-10"/>
                <w:sz w:val="20"/>
              </w:rPr>
            </w:pPr>
            <w:r w:rsidRPr="00F164FD">
              <w:rPr>
                <w:rFonts w:ascii="Arial" w:hAnsi="Arial" w:cs="Arial"/>
                <w:color w:val="0D0D0D" w:themeColor="text1" w:themeTint="F2"/>
                <w:sz w:val="20"/>
              </w:rPr>
              <w:t>BER curve</w:t>
            </w:r>
            <w:r w:rsidRPr="00F164FD">
              <w:rPr>
                <w:rStyle w:val="FootnoteReference"/>
                <w:rFonts w:ascii="Arial" w:hAnsi="Arial" w:cs="Arial"/>
                <w:color w:val="0D0D0D" w:themeColor="text1" w:themeTint="F2"/>
                <w:sz w:val="20"/>
              </w:rPr>
              <w:footnoteReference w:id="7"/>
            </w:r>
            <w:r w:rsidRPr="00F164FD">
              <w:rPr>
                <w:rFonts w:ascii="Arial" w:hAnsi="Arial" w:cs="Arial"/>
                <w:color w:val="0D0D0D" w:themeColor="text1" w:themeTint="F2"/>
                <w:sz w:val="20"/>
              </w:rPr>
              <w:t xml:space="preserve"> for QPSK in AWGN </w:t>
            </w:r>
            <w:r w:rsidRPr="00F164FD">
              <w:rPr>
                <w:rFonts w:ascii="Arial" w:hAnsi="Arial" w:cs="Arial"/>
                <w:color w:val="0D0D0D" w:themeColor="text1" w:themeTint="F2"/>
                <w:position w:val="-28"/>
                <w:sz w:val="20"/>
              </w:rPr>
              <w:object w:dxaOrig="1300" w:dyaOrig="660">
                <v:shape id="_x0000_i1041" type="#_x0000_t75" style="width:65.25pt;height:33pt" o:ole="">
                  <v:imagedata r:id="rId41" o:title=""/>
                </v:shape>
                <o:OLEObject Type="Embed" ProgID="Equation.3" ShapeID="_x0000_i1041" DrawAspect="Content" ObjectID="_1403421071" r:id="rId42"/>
              </w:object>
            </w:r>
          </w:p>
        </w:tc>
      </w:tr>
      <w:tr w:rsidR="0060073B" w:rsidRPr="00F164FD" w:rsidTr="0060073B">
        <w:trPr>
          <w:trHeight w:val="289"/>
        </w:trPr>
        <w:tc>
          <w:tcPr>
            <w:tcW w:w="8897" w:type="dxa"/>
            <w:gridSpan w:val="3"/>
            <w:tcBorders>
              <w:left w:val="nil"/>
              <w:right w:val="nil"/>
            </w:tcBorders>
          </w:tcPr>
          <w:p w:rsidR="0060073B" w:rsidRPr="00F164FD" w:rsidRDefault="0060073B" w:rsidP="00045B04">
            <w:pPr>
              <w:rPr>
                <w:rFonts w:ascii="Arial" w:hAnsi="Arial" w:cs="Arial"/>
                <w:color w:val="0D0D0D" w:themeColor="text1" w:themeTint="F2"/>
                <w:sz w:val="20"/>
              </w:rPr>
            </w:pPr>
          </w:p>
        </w:tc>
      </w:tr>
    </w:tbl>
    <w:p w:rsidR="0060073B" w:rsidRDefault="0060073B" w:rsidP="0060073B"/>
    <w:p w:rsidR="0060073B" w:rsidRDefault="00034064" w:rsidP="0060073B">
      <w:pPr>
        <w:rPr>
          <w:rFonts w:ascii="Arial" w:hAnsi="Arial" w:cs="Arial"/>
          <w:color w:val="0D0D0D" w:themeColor="text1" w:themeTint="F2"/>
          <w:sz w:val="22"/>
          <w:szCs w:val="22"/>
        </w:rPr>
      </w:pPr>
      <w:fldSimple w:instr=" REF _Ref307986720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6</w:t>
        </w:r>
      </w:fldSimple>
      <w:r w:rsidR="00A76BC4" w:rsidRPr="00F164FD">
        <w:rPr>
          <w:rFonts w:ascii="Arial" w:hAnsi="Arial" w:cs="Arial"/>
          <w:color w:val="0D0D0D" w:themeColor="text1" w:themeTint="F2"/>
          <w:sz w:val="22"/>
          <w:szCs w:val="22"/>
        </w:rPr>
        <w:t xml:space="preserve"> </w:t>
      </w:r>
      <w:r w:rsidR="00804003" w:rsidRPr="00F164FD">
        <w:rPr>
          <w:rFonts w:ascii="Arial" w:hAnsi="Arial" w:cs="Arial"/>
          <w:color w:val="0D0D0D" w:themeColor="text1" w:themeTint="F2"/>
          <w:sz w:val="22"/>
          <w:szCs w:val="22"/>
        </w:rPr>
        <w:t xml:space="preserve">results in a </w:t>
      </w:r>
      <w:r w:rsidR="00E85633" w:rsidRPr="00F164FD">
        <w:rPr>
          <w:rFonts w:ascii="Arial" w:hAnsi="Arial" w:cs="Arial"/>
          <w:color w:val="0D0D0D" w:themeColor="text1" w:themeTint="F2"/>
          <w:sz w:val="22"/>
          <w:szCs w:val="22"/>
        </w:rPr>
        <w:t xml:space="preserve">level of protection </w:t>
      </w:r>
      <w:r w:rsidR="007763EF" w:rsidRPr="00F164FD">
        <w:rPr>
          <w:rFonts w:ascii="Arial" w:hAnsi="Arial" w:cs="Arial"/>
          <w:color w:val="0D0D0D" w:themeColor="text1" w:themeTint="F2"/>
          <w:sz w:val="22"/>
          <w:szCs w:val="22"/>
        </w:rPr>
        <w:t>of</w:t>
      </w:r>
      <w:r w:rsidR="00E85633" w:rsidRPr="00F164FD">
        <w:rPr>
          <w:rFonts w:ascii="Arial" w:hAnsi="Arial" w:cs="Arial"/>
          <w:color w:val="0D0D0D" w:themeColor="text1" w:themeTint="F2"/>
          <w:sz w:val="22"/>
          <w:szCs w:val="22"/>
        </w:rPr>
        <w:t xml:space="preserve"> -100.76 dBm/4.515 MHz </w:t>
      </w:r>
      <w:r w:rsidR="007763EF" w:rsidRPr="00F164FD">
        <w:rPr>
          <w:rFonts w:ascii="Arial" w:hAnsi="Arial" w:cs="Arial"/>
          <w:color w:val="0D0D0D" w:themeColor="text1" w:themeTint="F2"/>
          <w:sz w:val="22"/>
          <w:szCs w:val="22"/>
        </w:rPr>
        <w:t xml:space="preserve">or </w:t>
      </w:r>
    </w:p>
    <w:p w:rsidR="00631F28" w:rsidRDefault="007763EF" w:rsidP="0060073B">
      <w:pPr>
        <w:rPr>
          <w:rFonts w:ascii="Arial" w:hAnsi="Arial" w:cs="Arial"/>
          <w:color w:val="0D0D0D" w:themeColor="text1" w:themeTint="F2"/>
          <w:sz w:val="22"/>
          <w:szCs w:val="22"/>
        </w:rPr>
      </w:pPr>
      <w:r w:rsidRPr="00F164FD">
        <w:rPr>
          <w:rFonts w:ascii="Arial" w:hAnsi="Arial" w:cs="Arial"/>
          <w:color w:val="0D0D0D" w:themeColor="text1" w:themeTint="F2"/>
          <w:sz w:val="22"/>
          <w:szCs w:val="22"/>
        </w:rPr>
        <w:t>-</w:t>
      </w:r>
      <w:r w:rsidR="00E85633" w:rsidRPr="00F164FD">
        <w:rPr>
          <w:rFonts w:ascii="Arial" w:hAnsi="Arial" w:cs="Arial"/>
          <w:color w:val="0D0D0D" w:themeColor="text1" w:themeTint="F2"/>
          <w:sz w:val="22"/>
          <w:szCs w:val="22"/>
        </w:rPr>
        <w:t>122.5</w:t>
      </w:r>
      <w:r w:rsidR="00F040E7" w:rsidRPr="00F164FD">
        <w:rPr>
          <w:rFonts w:ascii="Arial" w:hAnsi="Arial" w:cs="Arial"/>
          <w:color w:val="0D0D0D" w:themeColor="text1" w:themeTint="F2"/>
          <w:sz w:val="22"/>
          <w:szCs w:val="22"/>
        </w:rPr>
        <w:t>4</w:t>
      </w:r>
      <w:r w:rsidR="00E85633" w:rsidRPr="00F164FD">
        <w:rPr>
          <w:rFonts w:ascii="Arial" w:hAnsi="Arial" w:cs="Arial"/>
          <w:color w:val="0D0D0D" w:themeColor="text1" w:themeTint="F2"/>
          <w:sz w:val="22"/>
          <w:szCs w:val="22"/>
        </w:rPr>
        <w:t xml:space="preserve"> dBm/30 kHz</w:t>
      </w:r>
      <w:r w:rsidR="00A63924" w:rsidRPr="00F164FD">
        <w:rPr>
          <w:rFonts w:ascii="Arial" w:hAnsi="Arial" w:cs="Arial"/>
          <w:color w:val="0D0D0D" w:themeColor="text1" w:themeTint="F2"/>
          <w:sz w:val="22"/>
          <w:szCs w:val="22"/>
        </w:rPr>
        <w:t xml:space="preserve"> at the UE</w:t>
      </w:r>
      <w:r w:rsidR="00E85633" w:rsidRPr="00F164FD">
        <w:rPr>
          <w:rFonts w:ascii="Arial" w:hAnsi="Arial" w:cs="Arial"/>
          <w:color w:val="0D0D0D" w:themeColor="text1" w:themeTint="F2"/>
          <w:sz w:val="22"/>
          <w:szCs w:val="22"/>
        </w:rPr>
        <w:t>.</w:t>
      </w:r>
    </w:p>
    <w:p w:rsidR="00631F28" w:rsidRPr="00F164FD" w:rsidRDefault="00631F28">
      <w:pPr>
        <w:rPr>
          <w:rFonts w:ascii="Arial" w:hAnsi="Arial" w:cs="Arial"/>
          <w:color w:val="0D0D0D" w:themeColor="text1" w:themeTint="F2"/>
          <w:sz w:val="22"/>
          <w:szCs w:val="22"/>
        </w:rPr>
      </w:pPr>
    </w:p>
    <w:p w:rsidR="009B1E65" w:rsidRPr="00F164FD" w:rsidRDefault="00FE54FE" w:rsidP="007758F3">
      <w:pPr>
        <w:ind w:right="27"/>
        <w:rPr>
          <w:rFonts w:ascii="Arial" w:hAnsi="Arial" w:cs="Arial"/>
          <w:color w:val="0D0D0D" w:themeColor="text1" w:themeTint="F2"/>
          <w:sz w:val="22"/>
          <w:szCs w:val="22"/>
        </w:rPr>
      </w:pPr>
      <w:r w:rsidRPr="00F164FD">
        <w:rPr>
          <w:rFonts w:ascii="Arial" w:hAnsi="Arial" w:cs="Arial"/>
          <w:color w:val="0D0D0D" w:themeColor="text1" w:themeTint="F2"/>
          <w:sz w:val="22"/>
          <w:szCs w:val="22"/>
        </w:rPr>
        <w:lastRenderedPageBreak/>
        <w:t xml:space="preserve">Analysis of the calculated level of protection allows us to define the </w:t>
      </w:r>
      <w:r w:rsidR="00C40F7E" w:rsidRPr="00F164FD">
        <w:rPr>
          <w:rFonts w:ascii="Arial" w:hAnsi="Arial" w:cs="Arial"/>
          <w:color w:val="0D0D0D" w:themeColor="text1" w:themeTint="F2"/>
          <w:sz w:val="22"/>
          <w:szCs w:val="22"/>
        </w:rPr>
        <w:t xml:space="preserve">system model for coexistence across </w:t>
      </w:r>
      <w:r w:rsidR="0098311B" w:rsidRPr="00F164FD">
        <w:rPr>
          <w:rFonts w:ascii="Arial" w:hAnsi="Arial" w:cs="Arial"/>
          <w:color w:val="0D0D0D" w:themeColor="text1" w:themeTint="F2"/>
          <w:sz w:val="22"/>
          <w:szCs w:val="22"/>
        </w:rPr>
        <w:t>the licence boundary</w:t>
      </w:r>
      <w:r w:rsidR="00A440E0" w:rsidRPr="00F164FD">
        <w:rPr>
          <w:rFonts w:ascii="Arial" w:hAnsi="Arial" w:cs="Arial"/>
          <w:color w:val="0D0D0D" w:themeColor="text1" w:themeTint="F2"/>
          <w:sz w:val="22"/>
          <w:szCs w:val="22"/>
        </w:rPr>
        <w:t xml:space="preserve"> </w:t>
      </w:r>
      <w:r w:rsidR="008612BE" w:rsidRPr="00F164FD">
        <w:rPr>
          <w:rFonts w:ascii="Arial" w:hAnsi="Arial" w:cs="Arial"/>
          <w:color w:val="0D0D0D" w:themeColor="text1" w:themeTint="F2"/>
          <w:sz w:val="22"/>
          <w:szCs w:val="22"/>
        </w:rPr>
        <w:t xml:space="preserve">given in </w:t>
      </w:r>
      <w:fldSimple w:instr=" REF _Ref304814216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7</w:t>
        </w:r>
      </w:fldSimple>
      <w:r w:rsidR="008612BE" w:rsidRPr="00F164FD">
        <w:rPr>
          <w:rFonts w:ascii="Arial" w:hAnsi="Arial" w:cs="Arial"/>
          <w:color w:val="0D0D0D" w:themeColor="text1" w:themeTint="F2"/>
          <w:sz w:val="22"/>
          <w:szCs w:val="22"/>
        </w:rPr>
        <w:t>.</w:t>
      </w:r>
      <w:r w:rsidR="00912FD8" w:rsidRPr="00F164FD">
        <w:rPr>
          <w:rFonts w:ascii="Arial" w:hAnsi="Arial" w:cs="Arial"/>
          <w:color w:val="0D0D0D" w:themeColor="text1" w:themeTint="F2"/>
          <w:sz w:val="22"/>
          <w:szCs w:val="22"/>
        </w:rPr>
        <w:t xml:space="preserve"> Comparison between urban and suburban modified-</w:t>
      </w:r>
      <w:proofErr w:type="spellStart"/>
      <w:r w:rsidR="00912FD8" w:rsidRPr="00F164FD">
        <w:rPr>
          <w:rFonts w:ascii="Arial" w:hAnsi="Arial" w:cs="Arial"/>
          <w:color w:val="0D0D0D" w:themeColor="text1" w:themeTint="F2"/>
          <w:sz w:val="22"/>
          <w:szCs w:val="22"/>
        </w:rPr>
        <w:t>Hata</w:t>
      </w:r>
      <w:proofErr w:type="spellEnd"/>
      <w:r w:rsidR="00912FD8" w:rsidRPr="00F164FD">
        <w:rPr>
          <w:rFonts w:ascii="Arial" w:hAnsi="Arial" w:cs="Arial"/>
          <w:color w:val="0D0D0D" w:themeColor="text1" w:themeTint="F2"/>
          <w:sz w:val="22"/>
          <w:szCs w:val="22"/>
        </w:rPr>
        <w:t xml:space="preserve"> is provided; however, the suburban model is recommended for the purposes of calculating the device boundary criterion in section 6.</w:t>
      </w:r>
    </w:p>
    <w:p w:rsidR="00C21D7B" w:rsidRPr="00F164FD" w:rsidRDefault="00C21D7B">
      <w:pPr>
        <w:rPr>
          <w:rFonts w:ascii="Arial" w:hAnsi="Arial" w:cs="Arial"/>
          <w:color w:val="0D0D0D" w:themeColor="text1" w:themeTint="F2"/>
        </w:rPr>
      </w:pPr>
    </w:p>
    <w:tbl>
      <w:tblPr>
        <w:tblStyle w:val="TableGrid"/>
        <w:tblW w:w="0" w:type="auto"/>
        <w:tblLook w:val="04A0"/>
      </w:tblPr>
      <w:tblGrid>
        <w:gridCol w:w="3173"/>
        <w:gridCol w:w="2201"/>
        <w:gridCol w:w="2554"/>
      </w:tblGrid>
      <w:tr w:rsidR="0060073B" w:rsidRPr="00F164FD" w:rsidTr="0060073B">
        <w:trPr>
          <w:trHeight w:val="573"/>
        </w:trPr>
        <w:tc>
          <w:tcPr>
            <w:tcW w:w="0" w:type="auto"/>
            <w:gridSpan w:val="3"/>
            <w:tcBorders>
              <w:left w:val="nil"/>
              <w:right w:val="nil"/>
            </w:tcBorders>
            <w:vAlign w:val="center"/>
          </w:tcPr>
          <w:p w:rsidR="0060073B" w:rsidRPr="0060073B" w:rsidRDefault="0060073B" w:rsidP="0060073B">
            <w:pPr>
              <w:pStyle w:val="Caption"/>
              <w:spacing w:after="0"/>
              <w:rPr>
                <w:rFonts w:ascii="Arial" w:hAnsi="Arial" w:cs="Arial"/>
                <w:color w:val="A6A6A6" w:themeColor="background1" w:themeShade="A6"/>
                <w:sz w:val="22"/>
                <w:szCs w:val="22"/>
              </w:rPr>
            </w:pPr>
            <w:bookmarkStart w:id="9" w:name="_Ref304814216"/>
            <w:r w:rsidRPr="0060073B">
              <w:rPr>
                <w:rFonts w:ascii="Arial" w:hAnsi="Arial" w:cs="Arial"/>
                <w:color w:val="A6A6A6" w:themeColor="background1" w:themeShade="A6"/>
                <w:sz w:val="22"/>
                <w:szCs w:val="22"/>
              </w:rPr>
              <w:t xml:space="preserve">Table </w:t>
            </w:r>
            <w:r w:rsidR="00034064" w:rsidRPr="0060073B">
              <w:rPr>
                <w:rFonts w:ascii="Arial" w:hAnsi="Arial" w:cs="Arial"/>
                <w:color w:val="A6A6A6" w:themeColor="background1" w:themeShade="A6"/>
                <w:sz w:val="22"/>
                <w:szCs w:val="22"/>
              </w:rPr>
              <w:fldChar w:fldCharType="begin"/>
            </w:r>
            <w:r w:rsidRPr="0060073B">
              <w:rPr>
                <w:rFonts w:ascii="Arial" w:hAnsi="Arial" w:cs="Arial"/>
                <w:color w:val="A6A6A6" w:themeColor="background1" w:themeShade="A6"/>
                <w:sz w:val="22"/>
                <w:szCs w:val="22"/>
              </w:rPr>
              <w:instrText xml:space="preserve"> SEQ Table \* ARABIC </w:instrText>
            </w:r>
            <w:r w:rsidR="00034064" w:rsidRPr="0060073B">
              <w:rPr>
                <w:rFonts w:ascii="Arial" w:hAnsi="Arial" w:cs="Arial"/>
                <w:color w:val="A6A6A6" w:themeColor="background1" w:themeShade="A6"/>
                <w:sz w:val="22"/>
                <w:szCs w:val="22"/>
              </w:rPr>
              <w:fldChar w:fldCharType="separate"/>
            </w:r>
            <w:r w:rsidRPr="0060073B">
              <w:rPr>
                <w:rFonts w:ascii="Arial" w:hAnsi="Arial" w:cs="Arial"/>
                <w:noProof/>
                <w:color w:val="A6A6A6" w:themeColor="background1" w:themeShade="A6"/>
                <w:sz w:val="22"/>
                <w:szCs w:val="22"/>
              </w:rPr>
              <w:t>7</w:t>
            </w:r>
            <w:r w:rsidR="00034064" w:rsidRPr="0060073B">
              <w:rPr>
                <w:rFonts w:ascii="Arial" w:hAnsi="Arial" w:cs="Arial"/>
                <w:color w:val="A6A6A6" w:themeColor="background1" w:themeShade="A6"/>
                <w:sz w:val="22"/>
                <w:szCs w:val="22"/>
              </w:rPr>
              <w:fldChar w:fldCharType="end"/>
            </w:r>
            <w:bookmarkEnd w:id="9"/>
            <w:r w:rsidRPr="0060073B">
              <w:rPr>
                <w:rFonts w:ascii="Arial" w:hAnsi="Arial" w:cs="Arial"/>
                <w:color w:val="A6A6A6" w:themeColor="background1" w:themeShade="A6"/>
                <w:sz w:val="22"/>
                <w:szCs w:val="22"/>
              </w:rPr>
              <w:t xml:space="preserve"> System model for co-existence across the licence boundary</w:t>
            </w:r>
          </w:p>
        </w:tc>
      </w:tr>
      <w:tr w:rsidR="00B70511" w:rsidRPr="00F164FD" w:rsidTr="00E41F08">
        <w:tc>
          <w:tcPr>
            <w:tcW w:w="0" w:type="auto"/>
          </w:tcPr>
          <w:p w:rsidR="00B70511" w:rsidRPr="00F164FD" w:rsidRDefault="00B70511"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Frequency</w:t>
            </w:r>
          </w:p>
        </w:tc>
        <w:tc>
          <w:tcPr>
            <w:tcW w:w="0" w:type="auto"/>
            <w:gridSpan w:val="2"/>
            <w:vAlign w:val="center"/>
          </w:tcPr>
          <w:p w:rsidR="00B70511" w:rsidRPr="00F164FD" w:rsidRDefault="00B70511"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758 MHz</w:t>
            </w:r>
          </w:p>
        </w:tc>
      </w:tr>
      <w:tr w:rsidR="00684359" w:rsidRPr="00F164FD" w:rsidTr="00E41F08">
        <w:tc>
          <w:tcPr>
            <w:tcW w:w="0" w:type="auto"/>
          </w:tcPr>
          <w:p w:rsidR="00684359" w:rsidRPr="00F164FD" w:rsidRDefault="00684359"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BS height</w:t>
            </w:r>
          </w:p>
        </w:tc>
        <w:tc>
          <w:tcPr>
            <w:tcW w:w="0" w:type="auto"/>
            <w:gridSpan w:val="2"/>
            <w:vAlign w:val="center"/>
          </w:tcPr>
          <w:p w:rsidR="00912FD8" w:rsidRPr="00F164FD" w:rsidRDefault="00684359"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30 m</w:t>
            </w:r>
          </w:p>
        </w:tc>
      </w:tr>
      <w:tr w:rsidR="00684359" w:rsidRPr="00F164FD" w:rsidTr="00E41F08">
        <w:tc>
          <w:tcPr>
            <w:tcW w:w="0" w:type="auto"/>
          </w:tcPr>
          <w:p w:rsidR="00684359" w:rsidRPr="00F164FD" w:rsidRDefault="00684359"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MS height</w:t>
            </w:r>
          </w:p>
        </w:tc>
        <w:tc>
          <w:tcPr>
            <w:tcW w:w="0" w:type="auto"/>
            <w:gridSpan w:val="2"/>
            <w:vAlign w:val="center"/>
          </w:tcPr>
          <w:p w:rsidR="00912FD8" w:rsidRPr="00F164FD" w:rsidRDefault="00684359"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1.5 m</w:t>
            </w:r>
          </w:p>
        </w:tc>
      </w:tr>
      <w:tr w:rsidR="008612BE" w:rsidRPr="00F164FD" w:rsidTr="00E41F08">
        <w:tc>
          <w:tcPr>
            <w:tcW w:w="0" w:type="auto"/>
          </w:tcPr>
          <w:p w:rsidR="008612BE" w:rsidRPr="00F164FD" w:rsidRDefault="00B90F51"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Model</w:t>
            </w:r>
          </w:p>
        </w:tc>
        <w:tc>
          <w:tcPr>
            <w:tcW w:w="0" w:type="auto"/>
            <w:vAlign w:val="center"/>
          </w:tcPr>
          <w:p w:rsidR="008612BE" w:rsidRPr="00F164FD" w:rsidRDefault="00B90F51" w:rsidP="00E41F08">
            <w:pPr>
              <w:ind w:right="27"/>
              <w:jc w:val="center"/>
              <w:rPr>
                <w:rFonts w:ascii="Arial" w:hAnsi="Arial" w:cs="Arial"/>
                <w:b/>
                <w:color w:val="0D0D0D" w:themeColor="text1" w:themeTint="F2"/>
                <w:sz w:val="20"/>
                <w:szCs w:val="20"/>
              </w:rPr>
            </w:pPr>
            <w:r w:rsidRPr="00F164FD">
              <w:rPr>
                <w:rFonts w:ascii="Arial" w:hAnsi="Arial" w:cs="Arial"/>
                <w:b/>
                <w:color w:val="0D0D0D" w:themeColor="text1" w:themeTint="F2"/>
                <w:sz w:val="20"/>
                <w:szCs w:val="20"/>
              </w:rPr>
              <w:t xml:space="preserve">Urban </w:t>
            </w:r>
            <w:r w:rsidR="00F73948" w:rsidRPr="00F164FD">
              <w:rPr>
                <w:rFonts w:ascii="Arial" w:hAnsi="Arial" w:cs="Arial"/>
                <w:b/>
                <w:color w:val="0D0D0D" w:themeColor="text1" w:themeTint="F2"/>
                <w:sz w:val="20"/>
                <w:szCs w:val="20"/>
              </w:rPr>
              <w:t>modified-</w:t>
            </w:r>
            <w:proofErr w:type="spellStart"/>
            <w:r w:rsidR="00F73948" w:rsidRPr="00F164FD">
              <w:rPr>
                <w:rFonts w:ascii="Arial" w:hAnsi="Arial" w:cs="Arial"/>
                <w:b/>
                <w:color w:val="0D0D0D" w:themeColor="text1" w:themeTint="F2"/>
                <w:sz w:val="20"/>
                <w:szCs w:val="20"/>
              </w:rPr>
              <w:t>Hata</w:t>
            </w:r>
            <w:proofErr w:type="spellEnd"/>
          </w:p>
        </w:tc>
        <w:tc>
          <w:tcPr>
            <w:tcW w:w="0" w:type="auto"/>
            <w:vAlign w:val="center"/>
          </w:tcPr>
          <w:p w:rsidR="008612BE" w:rsidRPr="00F164FD" w:rsidRDefault="00B90F51" w:rsidP="00E41F08">
            <w:pPr>
              <w:ind w:right="27"/>
              <w:jc w:val="center"/>
              <w:rPr>
                <w:rFonts w:ascii="Arial" w:hAnsi="Arial" w:cs="Arial"/>
                <w:b/>
                <w:color w:val="0D0D0D" w:themeColor="text1" w:themeTint="F2"/>
                <w:sz w:val="20"/>
                <w:szCs w:val="20"/>
              </w:rPr>
            </w:pPr>
            <w:r w:rsidRPr="00F164FD">
              <w:rPr>
                <w:rFonts w:ascii="Arial" w:hAnsi="Arial" w:cs="Arial"/>
                <w:b/>
                <w:color w:val="0D0D0D" w:themeColor="text1" w:themeTint="F2"/>
                <w:sz w:val="20"/>
                <w:szCs w:val="20"/>
              </w:rPr>
              <w:t xml:space="preserve">Suburban </w:t>
            </w:r>
            <w:r w:rsidR="00F73948" w:rsidRPr="00F164FD">
              <w:rPr>
                <w:rFonts w:ascii="Arial" w:hAnsi="Arial" w:cs="Arial"/>
                <w:b/>
                <w:color w:val="0D0D0D" w:themeColor="text1" w:themeTint="F2"/>
                <w:sz w:val="20"/>
                <w:szCs w:val="20"/>
              </w:rPr>
              <w:t>modified-</w:t>
            </w:r>
            <w:proofErr w:type="spellStart"/>
            <w:r w:rsidR="00F73948" w:rsidRPr="00F164FD">
              <w:rPr>
                <w:rFonts w:ascii="Arial" w:hAnsi="Arial" w:cs="Arial"/>
                <w:b/>
                <w:color w:val="0D0D0D" w:themeColor="text1" w:themeTint="F2"/>
                <w:sz w:val="20"/>
                <w:szCs w:val="20"/>
              </w:rPr>
              <w:t>Hata</w:t>
            </w:r>
            <w:proofErr w:type="spellEnd"/>
          </w:p>
        </w:tc>
      </w:tr>
      <w:tr w:rsidR="008612BE" w:rsidRPr="00F164FD" w:rsidTr="00E41F08">
        <w:tc>
          <w:tcPr>
            <w:tcW w:w="0" w:type="auto"/>
          </w:tcPr>
          <w:p w:rsidR="008612BE" w:rsidRPr="00F164FD" w:rsidRDefault="008612BE"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LTE BS EIRP</w:t>
            </w:r>
          </w:p>
        </w:tc>
        <w:tc>
          <w:tcPr>
            <w:tcW w:w="0" w:type="auto"/>
            <w:gridSpan w:val="2"/>
            <w:vAlign w:val="center"/>
          </w:tcPr>
          <w:p w:rsidR="00912FD8" w:rsidRPr="00F164FD" w:rsidRDefault="008612BE"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36.2 dBm/30 kHz</w:t>
            </w:r>
          </w:p>
        </w:tc>
      </w:tr>
      <w:tr w:rsidR="008612BE" w:rsidRPr="00F164FD" w:rsidTr="00E41F08">
        <w:tc>
          <w:tcPr>
            <w:tcW w:w="0" w:type="auto"/>
          </w:tcPr>
          <w:p w:rsidR="008612BE" w:rsidRPr="00F164FD" w:rsidRDefault="008612BE" w:rsidP="007763EF">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 xml:space="preserve">UE </w:t>
            </w:r>
            <w:r w:rsidR="007763EF" w:rsidRPr="00F164FD">
              <w:rPr>
                <w:rFonts w:ascii="Arial" w:hAnsi="Arial" w:cs="Arial"/>
                <w:color w:val="0D0D0D" w:themeColor="text1" w:themeTint="F2"/>
                <w:sz w:val="20"/>
                <w:szCs w:val="20"/>
              </w:rPr>
              <w:t>reference sensitivity (</w:t>
            </w:r>
            <w:proofErr w:type="spellStart"/>
            <w:r w:rsidR="007763EF" w:rsidRPr="00F164FD">
              <w:rPr>
                <w:rFonts w:ascii="Arial" w:hAnsi="Arial" w:cs="Arial"/>
                <w:color w:val="0D0D0D" w:themeColor="text1" w:themeTint="F2"/>
                <w:sz w:val="20"/>
                <w:szCs w:val="20"/>
              </w:rPr>
              <w:t>refsen</w:t>
            </w:r>
            <w:r w:rsidR="00AA6925" w:rsidRPr="00F164FD">
              <w:rPr>
                <w:rFonts w:ascii="Arial" w:hAnsi="Arial" w:cs="Arial"/>
                <w:color w:val="0D0D0D" w:themeColor="text1" w:themeTint="F2"/>
                <w:sz w:val="20"/>
                <w:szCs w:val="20"/>
              </w:rPr>
              <w:t>s</w:t>
            </w:r>
            <w:proofErr w:type="spellEnd"/>
            <w:r w:rsidR="007763EF" w:rsidRPr="00F164FD">
              <w:rPr>
                <w:rFonts w:ascii="Arial" w:hAnsi="Arial" w:cs="Arial"/>
                <w:color w:val="0D0D0D" w:themeColor="text1" w:themeTint="F2"/>
                <w:sz w:val="20"/>
                <w:szCs w:val="20"/>
              </w:rPr>
              <w:t>)</w:t>
            </w:r>
          </w:p>
        </w:tc>
        <w:tc>
          <w:tcPr>
            <w:tcW w:w="0" w:type="auto"/>
            <w:gridSpan w:val="2"/>
            <w:vAlign w:val="center"/>
          </w:tcPr>
          <w:p w:rsidR="00912FD8" w:rsidRPr="00F164FD" w:rsidRDefault="008E62A8"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-118</w:t>
            </w:r>
            <w:r w:rsidR="002C6771" w:rsidRPr="00F164FD">
              <w:rPr>
                <w:rFonts w:ascii="Arial" w:hAnsi="Arial" w:cs="Arial"/>
                <w:color w:val="0D0D0D" w:themeColor="text1" w:themeTint="F2"/>
                <w:sz w:val="20"/>
                <w:szCs w:val="20"/>
              </w:rPr>
              <w:t>.2</w:t>
            </w:r>
            <w:r w:rsidR="00E516DD" w:rsidRPr="00F164FD">
              <w:rPr>
                <w:rFonts w:ascii="Arial" w:hAnsi="Arial" w:cs="Arial"/>
                <w:color w:val="0D0D0D" w:themeColor="text1" w:themeTint="F2"/>
                <w:sz w:val="20"/>
                <w:szCs w:val="20"/>
              </w:rPr>
              <w:t xml:space="preserve"> dBm/30 kHz</w:t>
            </w:r>
          </w:p>
        </w:tc>
      </w:tr>
      <w:tr w:rsidR="007763EF" w:rsidRPr="00F164FD" w:rsidTr="00E41F08">
        <w:tc>
          <w:tcPr>
            <w:tcW w:w="0" w:type="auto"/>
          </w:tcPr>
          <w:p w:rsidR="007763EF" w:rsidRPr="00F164FD" w:rsidRDefault="007763EF"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Body Loss (L</w:t>
            </w:r>
            <w:r w:rsidRPr="00F164FD">
              <w:rPr>
                <w:rFonts w:ascii="Arial" w:hAnsi="Arial" w:cs="Arial"/>
                <w:color w:val="0D0D0D" w:themeColor="text1" w:themeTint="F2"/>
                <w:sz w:val="20"/>
                <w:szCs w:val="20"/>
                <w:vertAlign w:val="subscript"/>
              </w:rPr>
              <w:t>b</w:t>
            </w:r>
            <w:r w:rsidRPr="00F164FD">
              <w:rPr>
                <w:rFonts w:ascii="Arial" w:hAnsi="Arial" w:cs="Arial"/>
                <w:color w:val="0D0D0D" w:themeColor="text1" w:themeTint="F2"/>
                <w:sz w:val="20"/>
                <w:szCs w:val="20"/>
              </w:rPr>
              <w:t>)</w:t>
            </w:r>
          </w:p>
        </w:tc>
        <w:tc>
          <w:tcPr>
            <w:tcW w:w="0" w:type="auto"/>
            <w:gridSpan w:val="2"/>
            <w:vAlign w:val="center"/>
          </w:tcPr>
          <w:p w:rsidR="007763EF" w:rsidRPr="00F164FD" w:rsidRDefault="007763EF"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0 dB</w:t>
            </w:r>
          </w:p>
        </w:tc>
      </w:tr>
      <w:tr w:rsidR="007763EF" w:rsidRPr="00F164FD" w:rsidTr="00E41F08">
        <w:tc>
          <w:tcPr>
            <w:tcW w:w="0" w:type="auto"/>
          </w:tcPr>
          <w:p w:rsidR="007763EF" w:rsidRPr="00F164FD" w:rsidRDefault="007763EF"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Fade Margin (FM)</w:t>
            </w:r>
          </w:p>
        </w:tc>
        <w:tc>
          <w:tcPr>
            <w:tcW w:w="0" w:type="auto"/>
            <w:gridSpan w:val="2"/>
            <w:vAlign w:val="center"/>
          </w:tcPr>
          <w:p w:rsidR="007763EF" w:rsidRPr="00F164FD" w:rsidRDefault="007763EF"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7.0 dB</w:t>
            </w:r>
          </w:p>
        </w:tc>
      </w:tr>
      <w:tr w:rsidR="008612BE" w:rsidRPr="00F164FD" w:rsidTr="00E41F08">
        <w:tc>
          <w:tcPr>
            <w:tcW w:w="0" w:type="auto"/>
          </w:tcPr>
          <w:p w:rsidR="007763EF" w:rsidRPr="00F164FD" w:rsidRDefault="008612BE"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Minimum required path loss</w:t>
            </w:r>
            <w:r w:rsidR="007763EF" w:rsidRPr="00F164FD">
              <w:rPr>
                <w:rFonts w:ascii="Arial" w:hAnsi="Arial" w:cs="Arial"/>
                <w:color w:val="0D0D0D" w:themeColor="text1" w:themeTint="F2"/>
                <w:sz w:val="20"/>
                <w:szCs w:val="20"/>
              </w:rPr>
              <w:t xml:space="preserve"> = </w:t>
            </w:r>
          </w:p>
          <w:p w:rsidR="007763EF" w:rsidRPr="00F164FD" w:rsidRDefault="007763EF"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 xml:space="preserve">EIRP – </w:t>
            </w:r>
            <w:proofErr w:type="spellStart"/>
            <w:r w:rsidRPr="00F164FD">
              <w:rPr>
                <w:rFonts w:ascii="Arial" w:hAnsi="Arial" w:cs="Arial"/>
                <w:color w:val="0D0D0D" w:themeColor="text1" w:themeTint="F2"/>
                <w:sz w:val="20"/>
                <w:szCs w:val="20"/>
              </w:rPr>
              <w:t>refsen</w:t>
            </w:r>
            <w:r w:rsidR="00A70040" w:rsidRPr="00F164FD">
              <w:rPr>
                <w:rFonts w:ascii="Arial" w:hAnsi="Arial" w:cs="Arial"/>
                <w:color w:val="0D0D0D" w:themeColor="text1" w:themeTint="F2"/>
                <w:sz w:val="20"/>
                <w:szCs w:val="20"/>
              </w:rPr>
              <w:t>s</w:t>
            </w:r>
            <w:proofErr w:type="spellEnd"/>
            <w:r w:rsidRPr="00F164FD">
              <w:rPr>
                <w:rFonts w:ascii="Arial" w:hAnsi="Arial" w:cs="Arial"/>
                <w:color w:val="0D0D0D" w:themeColor="text1" w:themeTint="F2"/>
                <w:sz w:val="20"/>
                <w:szCs w:val="20"/>
              </w:rPr>
              <w:t xml:space="preserve"> – L</w:t>
            </w:r>
            <w:r w:rsidRPr="00F164FD">
              <w:rPr>
                <w:rFonts w:ascii="Arial" w:hAnsi="Arial" w:cs="Arial"/>
                <w:color w:val="0D0D0D" w:themeColor="text1" w:themeTint="F2"/>
                <w:sz w:val="20"/>
                <w:szCs w:val="20"/>
                <w:vertAlign w:val="subscript"/>
              </w:rPr>
              <w:t>b</w:t>
            </w:r>
            <w:r w:rsidRPr="00F164FD">
              <w:rPr>
                <w:rFonts w:ascii="Arial" w:hAnsi="Arial" w:cs="Arial"/>
                <w:color w:val="0D0D0D" w:themeColor="text1" w:themeTint="F2"/>
                <w:sz w:val="20"/>
                <w:szCs w:val="20"/>
              </w:rPr>
              <w:t xml:space="preserve"> - FM</w:t>
            </w:r>
          </w:p>
        </w:tc>
        <w:tc>
          <w:tcPr>
            <w:tcW w:w="0" w:type="auto"/>
            <w:gridSpan w:val="2"/>
            <w:vAlign w:val="center"/>
          </w:tcPr>
          <w:p w:rsidR="008612BE" w:rsidRPr="00F164FD" w:rsidRDefault="007763EF"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147.4</w:t>
            </w:r>
            <w:r w:rsidR="00E516DD" w:rsidRPr="00F164FD">
              <w:rPr>
                <w:rFonts w:ascii="Arial" w:hAnsi="Arial" w:cs="Arial"/>
                <w:color w:val="0D0D0D" w:themeColor="text1" w:themeTint="F2"/>
                <w:sz w:val="20"/>
                <w:szCs w:val="20"/>
              </w:rPr>
              <w:t xml:space="preserve"> dB</w:t>
            </w:r>
          </w:p>
        </w:tc>
      </w:tr>
      <w:tr w:rsidR="008612BE" w:rsidRPr="00F164FD" w:rsidTr="00E41F08">
        <w:tc>
          <w:tcPr>
            <w:tcW w:w="0" w:type="auto"/>
          </w:tcPr>
          <w:p w:rsidR="008612BE" w:rsidRPr="00F164FD" w:rsidRDefault="002C6771"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BS to UE separation</w:t>
            </w:r>
          </w:p>
        </w:tc>
        <w:tc>
          <w:tcPr>
            <w:tcW w:w="0" w:type="auto"/>
            <w:vAlign w:val="center"/>
          </w:tcPr>
          <w:p w:rsidR="00912FD8" w:rsidRPr="00F164FD" w:rsidRDefault="00B70511"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4.</w:t>
            </w:r>
            <w:r w:rsidR="00684359" w:rsidRPr="00F164FD">
              <w:rPr>
                <w:rFonts w:ascii="Arial" w:hAnsi="Arial" w:cs="Arial"/>
                <w:color w:val="0D0D0D" w:themeColor="text1" w:themeTint="F2"/>
                <w:sz w:val="20"/>
                <w:szCs w:val="20"/>
              </w:rPr>
              <w:t>5</w:t>
            </w:r>
            <w:r w:rsidR="002C6771" w:rsidRPr="00F164FD">
              <w:rPr>
                <w:rFonts w:ascii="Arial" w:hAnsi="Arial" w:cs="Arial"/>
                <w:color w:val="0D0D0D" w:themeColor="text1" w:themeTint="F2"/>
                <w:sz w:val="20"/>
                <w:szCs w:val="20"/>
              </w:rPr>
              <w:t xml:space="preserve"> km</w:t>
            </w:r>
          </w:p>
        </w:tc>
        <w:tc>
          <w:tcPr>
            <w:tcW w:w="0" w:type="auto"/>
            <w:vAlign w:val="center"/>
          </w:tcPr>
          <w:p w:rsidR="00912FD8" w:rsidRPr="00F164FD" w:rsidRDefault="00B70511"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8.5</w:t>
            </w:r>
            <w:r w:rsidR="002C6771" w:rsidRPr="00F164FD">
              <w:rPr>
                <w:rFonts w:ascii="Arial" w:hAnsi="Arial" w:cs="Arial"/>
                <w:color w:val="0D0D0D" w:themeColor="text1" w:themeTint="F2"/>
                <w:sz w:val="20"/>
                <w:szCs w:val="20"/>
              </w:rPr>
              <w:t xml:space="preserve"> km</w:t>
            </w:r>
          </w:p>
        </w:tc>
      </w:tr>
      <w:tr w:rsidR="008612BE" w:rsidRPr="00F164FD" w:rsidTr="00E41F08">
        <w:tc>
          <w:tcPr>
            <w:tcW w:w="0" w:type="auto"/>
          </w:tcPr>
          <w:p w:rsidR="008612BE" w:rsidRPr="00F164FD" w:rsidRDefault="00B90F51"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LOP</w:t>
            </w:r>
            <w:r w:rsidR="008612BE" w:rsidRPr="00F164FD">
              <w:rPr>
                <w:rFonts w:ascii="Arial" w:hAnsi="Arial" w:cs="Arial"/>
                <w:color w:val="0D0D0D" w:themeColor="text1" w:themeTint="F2"/>
                <w:sz w:val="20"/>
                <w:szCs w:val="20"/>
              </w:rPr>
              <w:t xml:space="preserve"> at the boundary</w:t>
            </w:r>
          </w:p>
        </w:tc>
        <w:tc>
          <w:tcPr>
            <w:tcW w:w="0" w:type="auto"/>
            <w:gridSpan w:val="2"/>
            <w:vAlign w:val="center"/>
          </w:tcPr>
          <w:p w:rsidR="00912FD8" w:rsidRPr="00F164FD" w:rsidRDefault="002C6771"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-122.5 dBm/30 kHz</w:t>
            </w:r>
          </w:p>
        </w:tc>
      </w:tr>
      <w:tr w:rsidR="008612BE" w:rsidRPr="00F164FD" w:rsidTr="00E41F08">
        <w:tc>
          <w:tcPr>
            <w:tcW w:w="0" w:type="auto"/>
          </w:tcPr>
          <w:p w:rsidR="008612BE" w:rsidRPr="00F164FD" w:rsidRDefault="008612BE" w:rsidP="007758F3">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Minimum required path loss</w:t>
            </w:r>
            <w:r w:rsidR="00E41F08" w:rsidRPr="00F164FD">
              <w:rPr>
                <w:rFonts w:ascii="Arial" w:hAnsi="Arial" w:cs="Arial"/>
                <w:color w:val="0D0D0D" w:themeColor="text1" w:themeTint="F2"/>
                <w:sz w:val="20"/>
                <w:szCs w:val="20"/>
              </w:rPr>
              <w:t xml:space="preserve"> = </w:t>
            </w:r>
          </w:p>
          <w:p w:rsidR="00E41F08" w:rsidRPr="00F164FD" w:rsidRDefault="00E41F08" w:rsidP="00E41F08">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EIRP – LOP – L</w:t>
            </w:r>
            <w:r w:rsidRPr="00F164FD">
              <w:rPr>
                <w:rFonts w:ascii="Arial" w:hAnsi="Arial" w:cs="Arial"/>
                <w:color w:val="0D0D0D" w:themeColor="text1" w:themeTint="F2"/>
                <w:sz w:val="20"/>
                <w:szCs w:val="20"/>
                <w:vertAlign w:val="subscript"/>
              </w:rPr>
              <w:t>b</w:t>
            </w:r>
          </w:p>
        </w:tc>
        <w:tc>
          <w:tcPr>
            <w:tcW w:w="0" w:type="auto"/>
            <w:gridSpan w:val="2"/>
            <w:vAlign w:val="center"/>
          </w:tcPr>
          <w:p w:rsidR="00912FD8" w:rsidRPr="00F164FD" w:rsidRDefault="002C6771"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158.7 dB</w:t>
            </w:r>
          </w:p>
        </w:tc>
      </w:tr>
      <w:tr w:rsidR="008612BE" w:rsidRPr="00F164FD" w:rsidTr="00E41F08">
        <w:tc>
          <w:tcPr>
            <w:tcW w:w="0" w:type="auto"/>
          </w:tcPr>
          <w:p w:rsidR="00B2433B" w:rsidRPr="00F164FD" w:rsidRDefault="008612BE" w:rsidP="005B212B">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 xml:space="preserve">BS to </w:t>
            </w:r>
            <w:r w:rsidR="005B212B" w:rsidRPr="00F164FD">
              <w:rPr>
                <w:rFonts w:ascii="Arial" w:hAnsi="Arial" w:cs="Arial"/>
                <w:color w:val="0D0D0D" w:themeColor="text1" w:themeTint="F2"/>
                <w:sz w:val="20"/>
                <w:szCs w:val="20"/>
              </w:rPr>
              <w:t xml:space="preserve">LOP </w:t>
            </w:r>
            <w:r w:rsidR="00B2433B" w:rsidRPr="00F164FD">
              <w:rPr>
                <w:rFonts w:ascii="Arial" w:hAnsi="Arial" w:cs="Arial"/>
                <w:color w:val="0D0D0D" w:themeColor="text1" w:themeTint="F2"/>
                <w:sz w:val="20"/>
                <w:szCs w:val="20"/>
              </w:rPr>
              <w:t>boundary</w:t>
            </w:r>
          </w:p>
        </w:tc>
        <w:tc>
          <w:tcPr>
            <w:tcW w:w="0" w:type="auto"/>
            <w:vAlign w:val="center"/>
          </w:tcPr>
          <w:p w:rsidR="00912FD8" w:rsidRPr="00F164FD" w:rsidRDefault="00B172D0"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 xml:space="preserve">9.5 </w:t>
            </w:r>
            <w:r w:rsidR="002C6771" w:rsidRPr="00F164FD">
              <w:rPr>
                <w:rFonts w:ascii="Arial" w:hAnsi="Arial" w:cs="Arial"/>
                <w:color w:val="0D0D0D" w:themeColor="text1" w:themeTint="F2"/>
                <w:sz w:val="20"/>
                <w:szCs w:val="20"/>
              </w:rPr>
              <w:t>km</w:t>
            </w:r>
          </w:p>
        </w:tc>
        <w:tc>
          <w:tcPr>
            <w:tcW w:w="0" w:type="auto"/>
            <w:vAlign w:val="center"/>
          </w:tcPr>
          <w:p w:rsidR="00912FD8" w:rsidRPr="00F164FD" w:rsidRDefault="00B172D0"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17.5</w:t>
            </w:r>
            <w:r w:rsidR="002C6771" w:rsidRPr="00F164FD">
              <w:rPr>
                <w:rFonts w:ascii="Arial" w:hAnsi="Arial" w:cs="Arial"/>
                <w:color w:val="0D0D0D" w:themeColor="text1" w:themeTint="F2"/>
                <w:sz w:val="20"/>
                <w:szCs w:val="20"/>
              </w:rPr>
              <w:t xml:space="preserve"> km</w:t>
            </w:r>
          </w:p>
        </w:tc>
      </w:tr>
      <w:tr w:rsidR="008612BE" w:rsidRPr="00F164FD" w:rsidTr="0060073B">
        <w:tc>
          <w:tcPr>
            <w:tcW w:w="0" w:type="auto"/>
            <w:tcBorders>
              <w:bottom w:val="single" w:sz="4" w:space="0" w:color="auto"/>
            </w:tcBorders>
          </w:tcPr>
          <w:p w:rsidR="008612BE" w:rsidRPr="00F164FD" w:rsidRDefault="00C40F7E" w:rsidP="00C40F7E">
            <w:pPr>
              <w:ind w:right="27"/>
              <w:rPr>
                <w:rFonts w:ascii="Arial" w:hAnsi="Arial" w:cs="Arial"/>
                <w:color w:val="0D0D0D" w:themeColor="text1" w:themeTint="F2"/>
                <w:sz w:val="20"/>
                <w:szCs w:val="20"/>
              </w:rPr>
            </w:pPr>
            <w:r w:rsidRPr="00F164FD">
              <w:rPr>
                <w:rFonts w:ascii="Arial" w:hAnsi="Arial" w:cs="Arial"/>
                <w:color w:val="0D0D0D" w:themeColor="text1" w:themeTint="F2"/>
                <w:sz w:val="20"/>
                <w:szCs w:val="20"/>
              </w:rPr>
              <w:t xml:space="preserve">UE to geographic </w:t>
            </w:r>
            <w:r w:rsidR="008612BE" w:rsidRPr="00F164FD">
              <w:rPr>
                <w:rFonts w:ascii="Arial" w:hAnsi="Arial" w:cs="Arial"/>
                <w:color w:val="0D0D0D" w:themeColor="text1" w:themeTint="F2"/>
                <w:sz w:val="20"/>
                <w:szCs w:val="20"/>
              </w:rPr>
              <w:t>boundary</w:t>
            </w:r>
          </w:p>
        </w:tc>
        <w:tc>
          <w:tcPr>
            <w:tcW w:w="0" w:type="auto"/>
            <w:tcBorders>
              <w:bottom w:val="single" w:sz="4" w:space="0" w:color="auto"/>
            </w:tcBorders>
            <w:vAlign w:val="center"/>
          </w:tcPr>
          <w:p w:rsidR="00912FD8" w:rsidRPr="00F164FD" w:rsidRDefault="00B172D0"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5</w:t>
            </w:r>
            <w:r w:rsidR="0006595C" w:rsidRPr="00F164FD">
              <w:rPr>
                <w:rFonts w:ascii="Arial" w:hAnsi="Arial" w:cs="Arial"/>
                <w:color w:val="0D0D0D" w:themeColor="text1" w:themeTint="F2"/>
                <w:sz w:val="20"/>
                <w:szCs w:val="20"/>
              </w:rPr>
              <w:t xml:space="preserve"> km</w:t>
            </w:r>
          </w:p>
        </w:tc>
        <w:tc>
          <w:tcPr>
            <w:tcW w:w="0" w:type="auto"/>
            <w:tcBorders>
              <w:bottom w:val="single" w:sz="4" w:space="0" w:color="auto"/>
            </w:tcBorders>
            <w:vAlign w:val="center"/>
          </w:tcPr>
          <w:p w:rsidR="00912FD8" w:rsidRPr="00F164FD" w:rsidRDefault="00B172D0" w:rsidP="00E41F08">
            <w:pPr>
              <w:ind w:right="27"/>
              <w:jc w:val="center"/>
              <w:rPr>
                <w:rFonts w:ascii="Arial" w:hAnsi="Arial" w:cs="Arial"/>
                <w:color w:val="0D0D0D" w:themeColor="text1" w:themeTint="F2"/>
                <w:sz w:val="20"/>
                <w:szCs w:val="20"/>
              </w:rPr>
            </w:pPr>
            <w:r w:rsidRPr="00F164FD">
              <w:rPr>
                <w:rFonts w:ascii="Arial" w:hAnsi="Arial" w:cs="Arial"/>
                <w:color w:val="0D0D0D" w:themeColor="text1" w:themeTint="F2"/>
                <w:sz w:val="20"/>
                <w:szCs w:val="20"/>
              </w:rPr>
              <w:t>9.0</w:t>
            </w:r>
            <w:r w:rsidR="0006595C" w:rsidRPr="00F164FD">
              <w:rPr>
                <w:rFonts w:ascii="Arial" w:hAnsi="Arial" w:cs="Arial"/>
                <w:color w:val="0D0D0D" w:themeColor="text1" w:themeTint="F2"/>
                <w:sz w:val="20"/>
                <w:szCs w:val="20"/>
              </w:rPr>
              <w:t xml:space="preserve"> km</w:t>
            </w:r>
          </w:p>
        </w:tc>
      </w:tr>
      <w:tr w:rsidR="00A929BA" w:rsidRPr="00F164FD" w:rsidTr="00A929BA">
        <w:trPr>
          <w:trHeight w:val="289"/>
        </w:trPr>
        <w:tc>
          <w:tcPr>
            <w:tcW w:w="0" w:type="auto"/>
            <w:gridSpan w:val="3"/>
            <w:tcBorders>
              <w:left w:val="nil"/>
              <w:right w:val="nil"/>
            </w:tcBorders>
          </w:tcPr>
          <w:p w:rsidR="00A929BA" w:rsidRPr="00F164FD" w:rsidRDefault="00A929BA" w:rsidP="00E41F08">
            <w:pPr>
              <w:ind w:right="27"/>
              <w:jc w:val="center"/>
              <w:rPr>
                <w:rFonts w:ascii="Arial" w:hAnsi="Arial" w:cs="Arial"/>
                <w:color w:val="0D0D0D" w:themeColor="text1" w:themeTint="F2"/>
                <w:sz w:val="20"/>
                <w:szCs w:val="20"/>
              </w:rPr>
            </w:pPr>
          </w:p>
        </w:tc>
      </w:tr>
    </w:tbl>
    <w:p w:rsidR="0060073B" w:rsidRDefault="0060073B" w:rsidP="007758F3">
      <w:pPr>
        <w:ind w:right="27"/>
        <w:rPr>
          <w:rFonts w:ascii="Arial" w:hAnsi="Arial" w:cs="Arial"/>
          <w:color w:val="0D0D0D" w:themeColor="text1" w:themeTint="F2"/>
          <w:sz w:val="22"/>
          <w:szCs w:val="22"/>
        </w:rPr>
      </w:pPr>
    </w:p>
    <w:p w:rsidR="00317D78" w:rsidRPr="00F164FD" w:rsidRDefault="006A6B37" w:rsidP="007758F3">
      <w:pPr>
        <w:ind w:right="27"/>
        <w:rPr>
          <w:rFonts w:ascii="Arial" w:hAnsi="Arial" w:cs="Arial"/>
          <w:color w:val="0D0D0D" w:themeColor="text1" w:themeTint="F2"/>
          <w:sz w:val="22"/>
          <w:szCs w:val="22"/>
        </w:rPr>
      </w:pPr>
      <w:r w:rsidRPr="00F164FD">
        <w:rPr>
          <w:rFonts w:ascii="Arial" w:hAnsi="Arial" w:cs="Arial"/>
          <w:color w:val="0D0D0D" w:themeColor="text1" w:themeTint="F2"/>
          <w:sz w:val="22"/>
          <w:szCs w:val="22"/>
        </w:rPr>
        <w:t xml:space="preserve">The level of protection as calculated in </w:t>
      </w:r>
      <w:fldSimple w:instr=" REF _Ref307986720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6</w:t>
        </w:r>
      </w:fldSimple>
      <w:r w:rsidRPr="00F164FD">
        <w:rPr>
          <w:rFonts w:ascii="Arial" w:hAnsi="Arial" w:cs="Arial"/>
          <w:color w:val="0D0D0D" w:themeColor="text1" w:themeTint="F2"/>
          <w:sz w:val="22"/>
          <w:szCs w:val="22"/>
        </w:rPr>
        <w:t xml:space="preserve"> is the interference level allowed at the UE as a result of the SNIR. In the analysis of the </w:t>
      </w:r>
      <w:r w:rsidR="00C40F7E" w:rsidRPr="00F164FD">
        <w:rPr>
          <w:rFonts w:ascii="Arial" w:hAnsi="Arial" w:cs="Arial"/>
          <w:color w:val="0D0D0D" w:themeColor="text1" w:themeTint="F2"/>
          <w:sz w:val="22"/>
          <w:szCs w:val="22"/>
        </w:rPr>
        <w:t>system model</w:t>
      </w:r>
      <w:r w:rsidRPr="00F164FD">
        <w:rPr>
          <w:rFonts w:ascii="Arial" w:hAnsi="Arial" w:cs="Arial"/>
          <w:color w:val="0D0D0D" w:themeColor="text1" w:themeTint="F2"/>
          <w:sz w:val="22"/>
          <w:szCs w:val="22"/>
        </w:rPr>
        <w:t xml:space="preserve"> in </w:t>
      </w:r>
      <w:fldSimple w:instr=" REF _Ref304814216 \h  \* MERGEFORMAT ">
        <w:r w:rsidR="00C9613A" w:rsidRPr="00F164FD">
          <w:rPr>
            <w:rFonts w:ascii="Arial" w:hAnsi="Arial" w:cs="Arial"/>
            <w:color w:val="0D0D0D" w:themeColor="text1" w:themeTint="F2"/>
            <w:sz w:val="22"/>
            <w:szCs w:val="22"/>
          </w:rPr>
          <w:t>Table</w:t>
        </w:r>
        <w:r w:rsidR="00A929BA">
          <w:rPr>
            <w:rFonts w:ascii="Arial" w:hAnsi="Arial" w:cs="Arial"/>
            <w:color w:val="0D0D0D" w:themeColor="text1" w:themeTint="F2"/>
            <w:sz w:val="22"/>
            <w:szCs w:val="22"/>
          </w:rPr>
          <w:t> </w:t>
        </w:r>
        <w:r w:rsidR="00C9613A" w:rsidRPr="00F164FD">
          <w:rPr>
            <w:rFonts w:ascii="Arial" w:hAnsi="Arial" w:cs="Arial"/>
            <w:noProof/>
            <w:color w:val="0D0D0D" w:themeColor="text1" w:themeTint="F2"/>
            <w:sz w:val="22"/>
            <w:szCs w:val="22"/>
          </w:rPr>
          <w:t>7</w:t>
        </w:r>
      </w:fldSimple>
      <w:r w:rsidRPr="00F164FD">
        <w:rPr>
          <w:rFonts w:ascii="Arial" w:hAnsi="Arial" w:cs="Arial"/>
          <w:color w:val="0D0D0D" w:themeColor="text1" w:themeTint="F2"/>
          <w:sz w:val="22"/>
          <w:szCs w:val="22"/>
        </w:rPr>
        <w:t>, the level of protection is actually specified at the</w:t>
      </w:r>
      <w:r w:rsidR="00526E0B" w:rsidRPr="00F164FD">
        <w:rPr>
          <w:rFonts w:ascii="Arial" w:hAnsi="Arial" w:cs="Arial"/>
          <w:color w:val="0D0D0D" w:themeColor="text1" w:themeTint="F2"/>
          <w:sz w:val="22"/>
          <w:szCs w:val="22"/>
        </w:rPr>
        <w:t xml:space="preserve"> geographic</w:t>
      </w:r>
      <w:r w:rsidRPr="00F164FD">
        <w:rPr>
          <w:rFonts w:ascii="Arial" w:hAnsi="Arial" w:cs="Arial"/>
          <w:color w:val="0D0D0D" w:themeColor="text1" w:themeTint="F2"/>
          <w:sz w:val="22"/>
          <w:szCs w:val="22"/>
        </w:rPr>
        <w:t xml:space="preserve"> boundary; as a result, the level of interference from </w:t>
      </w:r>
      <w:fldSimple w:instr=" REF _Ref307986720 \h  \* MERGEFORMAT ">
        <w:r w:rsidR="00C9613A" w:rsidRPr="00F164FD">
          <w:rPr>
            <w:rFonts w:ascii="Arial" w:hAnsi="Arial" w:cs="Arial"/>
            <w:color w:val="0D0D0D" w:themeColor="text1" w:themeTint="F2"/>
            <w:sz w:val="22"/>
            <w:szCs w:val="22"/>
          </w:rPr>
          <w:t xml:space="preserve">Table </w:t>
        </w:r>
        <w:r w:rsidR="00C9613A" w:rsidRPr="00F164FD">
          <w:rPr>
            <w:rFonts w:ascii="Arial" w:hAnsi="Arial" w:cs="Arial"/>
            <w:noProof/>
            <w:color w:val="0D0D0D" w:themeColor="text1" w:themeTint="F2"/>
            <w:sz w:val="22"/>
            <w:szCs w:val="22"/>
          </w:rPr>
          <w:t>6</w:t>
        </w:r>
      </w:fldSimple>
      <w:r w:rsidRPr="00F164FD">
        <w:rPr>
          <w:rFonts w:ascii="Arial" w:hAnsi="Arial" w:cs="Arial"/>
          <w:color w:val="0D0D0D" w:themeColor="text1" w:themeTint="F2"/>
          <w:sz w:val="22"/>
          <w:szCs w:val="22"/>
        </w:rPr>
        <w:t xml:space="preserve"> is not at the UE but the boundary which for the suburban case if 9 kilometres further from the UE</w:t>
      </w:r>
      <w:r w:rsidR="00317D78" w:rsidRPr="00F164FD">
        <w:rPr>
          <w:rFonts w:ascii="Arial" w:hAnsi="Arial" w:cs="Arial"/>
          <w:color w:val="0D0D0D" w:themeColor="text1" w:themeTint="F2"/>
          <w:sz w:val="22"/>
          <w:szCs w:val="22"/>
        </w:rPr>
        <w:t xml:space="preserve"> as shown in </w:t>
      </w:r>
      <w:fldSimple w:instr=" REF _Ref307993594 \h  \* MERGEFORMAT ">
        <w:r w:rsidR="00C9613A" w:rsidRPr="00F164FD">
          <w:rPr>
            <w:rFonts w:ascii="Arial" w:hAnsi="Arial" w:cs="Arial"/>
            <w:color w:val="0D0D0D" w:themeColor="text1" w:themeTint="F2"/>
            <w:sz w:val="22"/>
            <w:szCs w:val="22"/>
          </w:rPr>
          <w:t xml:space="preserve">Figure </w:t>
        </w:r>
        <w:r w:rsidR="00C9613A" w:rsidRPr="00F164FD">
          <w:rPr>
            <w:rFonts w:ascii="Arial" w:hAnsi="Arial" w:cs="Arial"/>
            <w:noProof/>
            <w:color w:val="0D0D0D" w:themeColor="text1" w:themeTint="F2"/>
            <w:sz w:val="22"/>
            <w:szCs w:val="22"/>
          </w:rPr>
          <w:t>1</w:t>
        </w:r>
      </w:fldSimple>
      <w:r w:rsidRPr="00F164FD">
        <w:rPr>
          <w:rFonts w:ascii="Arial" w:hAnsi="Arial" w:cs="Arial"/>
          <w:color w:val="0D0D0D" w:themeColor="text1" w:themeTint="F2"/>
          <w:sz w:val="22"/>
          <w:szCs w:val="22"/>
        </w:rPr>
        <w:t>.</w:t>
      </w:r>
    </w:p>
    <w:p w:rsidR="00317D78" w:rsidRDefault="00317D78" w:rsidP="007758F3">
      <w:pPr>
        <w:ind w:right="27"/>
        <w:rPr>
          <w:rFonts w:ascii="Arial" w:hAnsi="Arial" w:cs="Arial"/>
          <w:color w:val="0D0D0D" w:themeColor="text1" w:themeTint="F2"/>
          <w:sz w:val="22"/>
          <w:szCs w:val="22"/>
        </w:rPr>
      </w:pPr>
    </w:p>
    <w:tbl>
      <w:tblPr>
        <w:tblW w:w="9645" w:type="dxa"/>
        <w:tblLayout w:type="fixed"/>
        <w:tblCellMar>
          <w:left w:w="0" w:type="dxa"/>
          <w:right w:w="0" w:type="dxa"/>
        </w:tblCellMar>
        <w:tblLook w:val="01E0"/>
      </w:tblPr>
      <w:tblGrid>
        <w:gridCol w:w="9645"/>
      </w:tblGrid>
      <w:tr w:rsidR="00A929BA" w:rsidTr="00A929BA">
        <w:trPr>
          <w:trHeight w:val="570"/>
        </w:trPr>
        <w:tc>
          <w:tcPr>
            <w:tcW w:w="9645" w:type="dxa"/>
            <w:tcBorders>
              <w:top w:val="single" w:sz="2" w:space="0" w:color="505050"/>
            </w:tcBorders>
            <w:shd w:val="clear" w:color="auto" w:fill="auto"/>
            <w:vAlign w:val="center"/>
          </w:tcPr>
          <w:p w:rsidR="00A929BA" w:rsidRPr="00A929BA" w:rsidRDefault="00A929BA" w:rsidP="00A929BA">
            <w:pPr>
              <w:pStyle w:val="Caption"/>
              <w:spacing w:after="0"/>
              <w:rPr>
                <w:color w:val="A6A6A6" w:themeColor="background1" w:themeShade="A6"/>
                <w:sz w:val="22"/>
                <w:szCs w:val="22"/>
              </w:rPr>
            </w:pPr>
            <w:bookmarkStart w:id="10" w:name="_Toc236153827"/>
            <w:r w:rsidRPr="00A929BA">
              <w:rPr>
                <w:rFonts w:ascii="Arial" w:hAnsi="Arial" w:cs="Arial"/>
                <w:color w:val="A6A6A6" w:themeColor="background1" w:themeShade="A6"/>
                <w:sz w:val="22"/>
                <w:szCs w:val="22"/>
              </w:rPr>
              <w:t xml:space="preserve">Figure </w:t>
            </w:r>
            <w:r w:rsidR="00034064" w:rsidRPr="00A929BA">
              <w:rPr>
                <w:rFonts w:ascii="Arial" w:hAnsi="Arial" w:cs="Arial"/>
                <w:color w:val="A6A6A6" w:themeColor="background1" w:themeShade="A6"/>
                <w:sz w:val="22"/>
                <w:szCs w:val="22"/>
              </w:rPr>
              <w:fldChar w:fldCharType="begin"/>
            </w:r>
            <w:r w:rsidRPr="00A929BA">
              <w:rPr>
                <w:rFonts w:ascii="Arial" w:hAnsi="Arial" w:cs="Arial"/>
                <w:color w:val="A6A6A6" w:themeColor="background1" w:themeShade="A6"/>
                <w:sz w:val="22"/>
                <w:szCs w:val="22"/>
              </w:rPr>
              <w:instrText xml:space="preserve"> SEQ Figure \* ARABIC </w:instrText>
            </w:r>
            <w:r w:rsidR="00034064" w:rsidRPr="00A929BA">
              <w:rPr>
                <w:rFonts w:ascii="Arial" w:hAnsi="Arial" w:cs="Arial"/>
                <w:color w:val="A6A6A6" w:themeColor="background1" w:themeShade="A6"/>
                <w:sz w:val="22"/>
                <w:szCs w:val="22"/>
              </w:rPr>
              <w:fldChar w:fldCharType="separate"/>
            </w:r>
            <w:r w:rsidRPr="00A929BA">
              <w:rPr>
                <w:rFonts w:ascii="Arial" w:hAnsi="Arial" w:cs="Arial"/>
                <w:noProof/>
                <w:color w:val="A6A6A6" w:themeColor="background1" w:themeShade="A6"/>
                <w:sz w:val="22"/>
                <w:szCs w:val="22"/>
              </w:rPr>
              <w:t>1</w:t>
            </w:r>
            <w:r w:rsidR="00034064" w:rsidRPr="00A929BA">
              <w:rPr>
                <w:rFonts w:ascii="Arial" w:hAnsi="Arial" w:cs="Arial"/>
                <w:color w:val="A6A6A6" w:themeColor="background1" w:themeShade="A6"/>
                <w:sz w:val="22"/>
                <w:szCs w:val="22"/>
              </w:rPr>
              <w:fldChar w:fldCharType="end"/>
            </w:r>
            <w:r w:rsidRPr="00A929BA">
              <w:rPr>
                <w:rFonts w:ascii="Arial" w:hAnsi="Arial" w:cs="Arial"/>
                <w:color w:val="A6A6A6" w:themeColor="background1" w:themeShade="A6"/>
                <w:sz w:val="22"/>
                <w:szCs w:val="22"/>
              </w:rPr>
              <w:t xml:space="preserve"> System model for co-existence across the licence boundary</w:t>
            </w:r>
          </w:p>
        </w:tc>
      </w:tr>
      <w:tr w:rsidR="00A929BA" w:rsidTr="00A929BA">
        <w:trPr>
          <w:trHeight w:val="3086"/>
        </w:trPr>
        <w:tc>
          <w:tcPr>
            <w:tcW w:w="9645" w:type="dxa"/>
            <w:shd w:val="clear" w:color="auto" w:fill="auto"/>
            <w:tcMar>
              <w:left w:w="28" w:type="dxa"/>
            </w:tcMar>
          </w:tcPr>
          <w:p w:rsidR="00A929BA" w:rsidRDefault="00034064" w:rsidP="00A929BA">
            <w:r w:rsidRPr="00034064">
              <w:rPr>
                <w:rFonts w:ascii="Arial" w:hAnsi="Arial" w:cs="Arial"/>
                <w:color w:val="0D0D0D" w:themeColor="text1" w:themeTint="F2"/>
              </w:rPr>
            </w:r>
            <w:r w:rsidRPr="00034064">
              <w:rPr>
                <w:rFonts w:ascii="Arial" w:hAnsi="Arial" w:cs="Arial"/>
                <w:color w:val="0D0D0D" w:themeColor="text1" w:themeTint="F2"/>
              </w:rPr>
              <w:pict>
                <v:group id="_x0000_s1173" editas="canvas" style="width:464.3pt;height:238.1pt;mso-position-horizontal-relative:char;mso-position-vertical-relative:line" coordorigin="1484,9564" coordsize="9286,4762">
                  <o:lock v:ext="edit" aspectratio="t"/>
                  <v:shape id="_x0000_s1174" type="#_x0000_t75" style="position:absolute;left:1484;top:9564;width:9286;height:4762" o:preferrelative="f">
                    <v:fill o:detectmouseclick="t"/>
                    <v:path o:extrusionok="t" o:connecttype="none"/>
                    <o:lock v:ext="edit" text="t"/>
                  </v:shape>
                  <v:oval id="_x0000_s1175" style="position:absolute;left:1484;top:9945;width:3994;height:3993" filled="f" strokeweight="1pt"/>
                  <v:oval id="_x0000_s1176" style="position:absolute;left:5472;top:9945;width:3994;height:3993" filled="f" strokeweight="1pt"/>
                  <v:group id="_x0000_s1177" style="position:absolute;left:3433;top:11502;width:97;height:879" coordorigin="2467,7603" coordsize="111,474">
                    <v:shapetype id="_x0000_t32" coordsize="21600,21600" o:spt="32" o:oned="t" path="m,l21600,21600e" filled="f">
                      <v:path arrowok="t" fillok="f" o:connecttype="none"/>
                      <o:lock v:ext="edit" shapetype="t"/>
                    </v:shapetype>
                    <v:shape id="_x0000_s1178" type="#_x0000_t32" style="position:absolute;left:2522;top:7703;width:0;height:374;flip:y" o:connectortype="straight" strokecolor="red"/>
                    <v:shape id="_x0000_s1179" type="#_x0000_t32" style="position:absolute;left:2467;top:7603;width:1;height:170" o:connectortype="straight" strokecolor="red" strokeweight="2.25pt"/>
                    <v:shape id="_x0000_s1180" type="#_x0000_t32" style="position:absolute;left:2577;top:7603;width:1;height:170" o:connectortype="straight" strokecolor="red" strokeweight="2.25pt"/>
                  </v:group>
                  <v:group id="_x0000_s1181" style="position:absolute;left:7421;top:11502;width:97;height:879" coordorigin="2467,7603" coordsize="111,474">
                    <v:shape id="_x0000_s1182" type="#_x0000_t32" style="position:absolute;left:2522;top:7703;width:0;height:374;flip:y" o:connectortype="straight" strokecolor="#0070c0"/>
                    <v:shape id="_x0000_s1183" type="#_x0000_t32" style="position:absolute;left:2467;top:7603;width:1;height:170" o:connectortype="straight" strokecolor="#0070c0" strokeweight="2.25pt"/>
                    <v:shape id="_x0000_s1184" type="#_x0000_t32" style="position:absolute;left:2577;top:7603;width:1;height:170" o:connectortype="straight" strokecolor="#0070c0" strokeweight="2.25pt"/>
                  </v:group>
                  <v:shape id="_x0000_s1185" type="#_x0000_t32" style="position:absolute;left:1484;top:11942;width:1978;height:14;flip:x y" o:connectortype="straight">
                    <v:stroke startarrow="block" endarrow="block"/>
                  </v:shape>
                  <v:shape id="_x0000_s1186" type="#_x0000_t32" style="position:absolute;left:7471;top:12011;width:733;height:673;flip:x y" o:connectortype="straight">
                    <v:stroke startarrow="block" endarrow="block"/>
                  </v:shape>
                  <v:shapetype id="_x0000_t202" coordsize="21600,21600" o:spt="202" path="m,l,21600r21600,l21600,xe">
                    <v:stroke joinstyle="miter"/>
                    <v:path gradientshapeok="t" o:connecttype="rect"/>
                  </v:shapetype>
                  <v:shape id="_x0000_s1187" type="#_x0000_t202" style="position:absolute;left:7823;top:12147;width:570;height:229" filled="f" stroked="f">
                    <v:textbox style="mso-next-textbox:#_x0000_s1187" inset="0,0,0,0">
                      <w:txbxContent>
                        <w:p w:rsidR="00A929BA" w:rsidRPr="00CB251A" w:rsidRDefault="00A929BA" w:rsidP="00A929BA">
                          <w:pPr>
                            <w:rPr>
                              <w:sz w:val="20"/>
                            </w:rPr>
                          </w:pPr>
                          <w:r w:rsidRPr="00CB251A">
                            <w:rPr>
                              <w:sz w:val="20"/>
                            </w:rPr>
                            <w:t>8.5 km</w:t>
                          </w:r>
                        </w:p>
                      </w:txbxContent>
                    </v:textbox>
                  </v:shape>
                  <v:shape id="_x0000_s1188" type="#_x0000_t32" style="position:absolute;left:5472;top:9564;width:1;height:4762" o:connectortype="straight" strokeweight="2.25pt">
                    <v:stroke dashstyle="1 1"/>
                  </v:shape>
                  <v:shape id="_x0000_s1189" type="#_x0000_t32" style="position:absolute;left:5472;top:11933;width:917;height:9;flip:x" o:connectortype="straight">
                    <v:stroke startarrow="block" endarrow="block"/>
                  </v:shape>
                  <v:shape id="_x0000_s1190" type="#_x0000_t202" style="position:absolute;left:5731;top:11936;width:684;height:229" filled="f" stroked="f">
                    <v:textbox style="mso-next-textbox:#_x0000_s1190" inset="0,0,0,0">
                      <w:txbxContent>
                        <w:p w:rsidR="00A929BA" w:rsidRPr="00CB251A" w:rsidRDefault="00A929BA" w:rsidP="00A929BA">
                          <w:pPr>
                            <w:rPr>
                              <w:sz w:val="20"/>
                            </w:rPr>
                          </w:pPr>
                          <w:r>
                            <w:rPr>
                              <w:sz w:val="20"/>
                            </w:rPr>
                            <w:t>9</w:t>
                          </w:r>
                          <w:r w:rsidRPr="00CB251A">
                            <w:rPr>
                              <w:sz w:val="20"/>
                            </w:rPr>
                            <w:t xml:space="preserve"> km</w:t>
                          </w:r>
                        </w:p>
                      </w:txbxContent>
                    </v:textbox>
                  </v:shape>
                  <v:shape id="_x0000_s1191" type="#_x0000_t32" style="position:absolute;left:4556;top:11942;width:916;height:1;flip:x" o:connectortype="straight">
                    <v:stroke startarrow="block" endarrow="block"/>
                  </v:shape>
                  <v:shape id="_x0000_s1192" type="#_x0000_t202" style="position:absolute;left:4836;top:11959;width:684;height:229" filled="f" stroked="f">
                    <v:textbox style="mso-next-textbox:#_x0000_s1192" inset="0,0,0,0">
                      <w:txbxContent>
                        <w:p w:rsidR="00A929BA" w:rsidRPr="00CB251A" w:rsidRDefault="00A929BA" w:rsidP="00A929BA">
                          <w:pPr>
                            <w:rPr>
                              <w:sz w:val="20"/>
                            </w:rPr>
                          </w:pPr>
                          <w:r>
                            <w:rPr>
                              <w:sz w:val="20"/>
                            </w:rPr>
                            <w:t>9</w:t>
                          </w:r>
                          <w:r w:rsidRPr="00CB251A">
                            <w:rPr>
                              <w:sz w:val="20"/>
                            </w:rPr>
                            <w:t xml:space="preserve"> km</w:t>
                          </w:r>
                        </w:p>
                      </w:txbxContent>
                    </v:textbox>
                  </v:shape>
                  <v:shape id="_x0000_s1193" type="#_x0000_t202" style="position:absolute;left:4804;top:9781;width:1440;height:184;v-text-anchor:middle" stroked="f">
                    <v:textbox style="mso-next-textbox:#_x0000_s1193;mso-fit-shape-to-text:t" inset="0,0,0,0">
                      <w:txbxContent>
                        <w:p w:rsidR="00A929BA" w:rsidRPr="00A440E0" w:rsidRDefault="00A929BA" w:rsidP="00A929BA">
                          <w:pPr>
                            <w:rPr>
                              <w:sz w:val="16"/>
                            </w:rPr>
                          </w:pPr>
                          <w:r w:rsidRPr="00A440E0">
                            <w:rPr>
                              <w:sz w:val="16"/>
                            </w:rPr>
                            <w:t>Geographic boundary</w:t>
                          </w:r>
                        </w:p>
                      </w:txbxContent>
                    </v:textbox>
                  </v:shape>
                  <v:shape id="_x0000_s1194" type="#_x0000_t202" style="position:absolute;left:7008;top:10510;width:907;height:184;v-text-anchor:middle" stroked="f">
                    <v:textbox style="mso-next-textbox:#_x0000_s1194" inset="0,0,0,0">
                      <w:txbxContent>
                        <w:p w:rsidR="00A929BA" w:rsidRPr="00A440E0" w:rsidRDefault="00A929BA" w:rsidP="00A929BA">
                          <w:pPr>
                            <w:rPr>
                              <w:sz w:val="16"/>
                            </w:rPr>
                          </w:pPr>
                          <w:r>
                            <w:rPr>
                              <w:sz w:val="16"/>
                            </w:rPr>
                            <w:t>UE</w:t>
                          </w:r>
                          <w:r w:rsidRPr="00A440E0">
                            <w:rPr>
                              <w:sz w:val="16"/>
                            </w:rPr>
                            <w:t xml:space="preserve"> boundary</w:t>
                          </w:r>
                        </w:p>
                      </w:txbxContent>
                    </v:textbox>
                  </v:shape>
                  <v:shape id="_x0000_s1195" type="#_x0000_t202" style="position:absolute;left:7927;top:10070;width:964;height:184;v-text-anchor:middle" stroked="f">
                    <v:textbox style="mso-next-textbox:#_x0000_s1195" inset="0,0,0,0">
                      <w:txbxContent>
                        <w:p w:rsidR="00A929BA" w:rsidRPr="00A440E0" w:rsidRDefault="00A929BA" w:rsidP="00A929BA">
                          <w:pPr>
                            <w:rPr>
                              <w:sz w:val="16"/>
                            </w:rPr>
                          </w:pPr>
                          <w:r>
                            <w:rPr>
                              <w:sz w:val="16"/>
                            </w:rPr>
                            <w:t>LOP</w:t>
                          </w:r>
                          <w:r w:rsidRPr="00A440E0">
                            <w:rPr>
                              <w:sz w:val="16"/>
                            </w:rPr>
                            <w:t xml:space="preserve"> boundary</w:t>
                          </w:r>
                        </w:p>
                      </w:txbxContent>
                    </v:textbox>
                  </v:shape>
                  <v:oval id="_x0000_s1196" style="position:absolute;left:6389;top:10870;width:2126;height:2125" filled="f" strokeweight="1pt">
                    <v:stroke dashstyle="dash"/>
                  </v:oval>
                  <v:oval id="_x0000_s1197" style="position:absolute;left:2430;top:10880;width:2126;height:2125" filled="f" strokeweight="1pt">
                    <v:stroke dashstyle="dash"/>
                  </v:oval>
                  <v:shape id="_x0000_s1198" type="#_x0000_t202" style="position:absolute;left:2241;top:11678;width:684;height:229" fillcolor="white [3212]" stroked="f">
                    <v:textbox style="mso-next-textbox:#_x0000_s1198" inset="0,0,0,0">
                      <w:txbxContent>
                        <w:p w:rsidR="00A929BA" w:rsidRPr="00CB251A" w:rsidRDefault="00A929BA" w:rsidP="00A929BA">
                          <w:pPr>
                            <w:rPr>
                              <w:sz w:val="20"/>
                            </w:rPr>
                          </w:pPr>
                          <w:r>
                            <w:rPr>
                              <w:sz w:val="20"/>
                            </w:rPr>
                            <w:t>17</w:t>
                          </w:r>
                          <w:r w:rsidRPr="00CB251A">
                            <w:rPr>
                              <w:sz w:val="20"/>
                            </w:rPr>
                            <w:t>.5 km</w:t>
                          </w:r>
                        </w:p>
                      </w:txbxContent>
                    </v:textbox>
                  </v:shape>
                  <w10:wrap type="none"/>
                  <w10:anchorlock/>
                </v:group>
              </w:pict>
            </w:r>
          </w:p>
        </w:tc>
      </w:tr>
      <w:tr w:rsidR="00A929BA" w:rsidTr="00A929BA">
        <w:trPr>
          <w:trHeight w:val="291"/>
        </w:trPr>
        <w:tc>
          <w:tcPr>
            <w:tcW w:w="9645" w:type="dxa"/>
            <w:tcBorders>
              <w:bottom w:val="single" w:sz="2" w:space="0" w:color="505050"/>
            </w:tcBorders>
            <w:shd w:val="clear" w:color="auto" w:fill="auto"/>
          </w:tcPr>
          <w:p w:rsidR="00A929BA" w:rsidRDefault="00A929BA" w:rsidP="00A929BA"/>
        </w:tc>
      </w:tr>
      <w:bookmarkEnd w:id="10"/>
    </w:tbl>
    <w:p w:rsidR="006A6B37" w:rsidRDefault="006A6B37" w:rsidP="007758F3">
      <w:pPr>
        <w:ind w:right="27"/>
        <w:rPr>
          <w:rFonts w:ascii="Arial" w:hAnsi="Arial" w:cs="Arial"/>
          <w:color w:val="0D0D0D" w:themeColor="text1" w:themeTint="F2"/>
          <w:sz w:val="22"/>
          <w:szCs w:val="22"/>
        </w:rPr>
      </w:pPr>
    </w:p>
    <w:p w:rsidR="00A929BA" w:rsidRPr="00631F28" w:rsidRDefault="00A929BA" w:rsidP="007758F3">
      <w:pPr>
        <w:ind w:right="27"/>
        <w:rPr>
          <w:rFonts w:ascii="Arial" w:hAnsi="Arial" w:cs="Arial"/>
          <w:color w:val="0D0D0D" w:themeColor="text1" w:themeTint="F2"/>
          <w:sz w:val="22"/>
          <w:szCs w:val="22"/>
        </w:rPr>
      </w:pPr>
    </w:p>
    <w:p w:rsidR="007758F3" w:rsidRPr="00631F28" w:rsidRDefault="006A6B37" w:rsidP="007758F3">
      <w:pPr>
        <w:ind w:right="27"/>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By </w:t>
      </w:r>
      <w:r w:rsidR="00921D77" w:rsidRPr="00631F28">
        <w:rPr>
          <w:rFonts w:ascii="Arial" w:hAnsi="Arial" w:cs="Arial"/>
          <w:color w:val="0D0D0D" w:themeColor="text1" w:themeTint="F2"/>
          <w:sz w:val="22"/>
          <w:szCs w:val="22"/>
        </w:rPr>
        <w:t>halving</w:t>
      </w:r>
      <w:r w:rsidR="00250A29" w:rsidRPr="00631F28">
        <w:rPr>
          <w:rFonts w:ascii="Arial" w:hAnsi="Arial" w:cs="Arial"/>
          <w:color w:val="0D0D0D" w:themeColor="text1" w:themeTint="F2"/>
          <w:sz w:val="22"/>
          <w:szCs w:val="22"/>
        </w:rPr>
        <w:t xml:space="preserve"> the </w:t>
      </w:r>
      <w:r w:rsidR="00E611F1" w:rsidRPr="00631F28">
        <w:rPr>
          <w:rFonts w:ascii="Arial" w:hAnsi="Arial" w:cs="Arial"/>
          <w:color w:val="0D0D0D" w:themeColor="text1" w:themeTint="F2"/>
          <w:sz w:val="22"/>
          <w:szCs w:val="22"/>
        </w:rPr>
        <w:t xml:space="preserve">UE to geographic boundary </w:t>
      </w:r>
      <w:r w:rsidR="00C40F7E" w:rsidRPr="00631F28">
        <w:rPr>
          <w:rFonts w:ascii="Arial" w:hAnsi="Arial" w:cs="Arial"/>
          <w:color w:val="0D0D0D" w:themeColor="text1" w:themeTint="F2"/>
          <w:sz w:val="22"/>
          <w:szCs w:val="22"/>
        </w:rPr>
        <w:t>distance</w:t>
      </w:r>
      <w:r w:rsidR="00250A29" w:rsidRPr="00631F28">
        <w:rPr>
          <w:rFonts w:ascii="Arial" w:hAnsi="Arial" w:cs="Arial"/>
          <w:color w:val="0D0D0D" w:themeColor="text1" w:themeTint="F2"/>
          <w:sz w:val="22"/>
          <w:szCs w:val="22"/>
        </w:rPr>
        <w:t xml:space="preserve"> on both sides of the boundary</w:t>
      </w:r>
      <w:r w:rsidRPr="00631F28">
        <w:rPr>
          <w:rFonts w:ascii="Arial" w:hAnsi="Arial" w:cs="Arial"/>
          <w:color w:val="0D0D0D" w:themeColor="text1" w:themeTint="F2"/>
          <w:sz w:val="22"/>
          <w:szCs w:val="22"/>
        </w:rPr>
        <w:t xml:space="preserve"> </w:t>
      </w:r>
      <w:r w:rsidR="00250A29" w:rsidRPr="00631F28">
        <w:rPr>
          <w:rFonts w:ascii="Arial" w:hAnsi="Arial" w:cs="Arial"/>
          <w:color w:val="0D0D0D" w:themeColor="text1" w:themeTint="F2"/>
          <w:sz w:val="22"/>
          <w:szCs w:val="22"/>
        </w:rPr>
        <w:t>the value of the LOP is now applicable at the location of the UE receiver rather than at the boundary</w:t>
      </w:r>
      <w:r w:rsidRPr="00631F28">
        <w:rPr>
          <w:rFonts w:ascii="Arial" w:hAnsi="Arial" w:cs="Arial"/>
          <w:color w:val="0D0D0D" w:themeColor="text1" w:themeTint="F2"/>
          <w:sz w:val="22"/>
          <w:szCs w:val="22"/>
        </w:rPr>
        <w:t xml:space="preserve"> which is how it was specified in </w:t>
      </w:r>
      <w:fldSimple w:instr=" REF _Ref307986720 \h  \* MERGEFORMAT ">
        <w:r w:rsidR="00C9613A" w:rsidRPr="00631F28">
          <w:rPr>
            <w:rFonts w:ascii="Arial" w:hAnsi="Arial" w:cs="Arial"/>
            <w:color w:val="0D0D0D" w:themeColor="text1" w:themeTint="F2"/>
            <w:sz w:val="22"/>
            <w:szCs w:val="22"/>
          </w:rPr>
          <w:t xml:space="preserve">Table </w:t>
        </w:r>
        <w:r w:rsidR="00C9613A" w:rsidRPr="00631F28">
          <w:rPr>
            <w:rFonts w:ascii="Arial" w:hAnsi="Arial" w:cs="Arial"/>
            <w:noProof/>
            <w:color w:val="0D0D0D" w:themeColor="text1" w:themeTint="F2"/>
            <w:sz w:val="22"/>
            <w:szCs w:val="22"/>
          </w:rPr>
          <w:t>6</w:t>
        </w:r>
      </w:fldSimple>
      <w:r w:rsidRPr="00631F28">
        <w:rPr>
          <w:rFonts w:ascii="Arial" w:hAnsi="Arial" w:cs="Arial"/>
          <w:color w:val="0D0D0D" w:themeColor="text1" w:themeTint="F2"/>
          <w:sz w:val="22"/>
          <w:szCs w:val="22"/>
        </w:rPr>
        <w:t xml:space="preserve"> for a SNIR of 0 dB</w:t>
      </w:r>
      <w:r w:rsidR="00526E0B" w:rsidRPr="00631F28">
        <w:rPr>
          <w:rFonts w:ascii="Arial" w:hAnsi="Arial" w:cs="Arial"/>
          <w:color w:val="0D0D0D" w:themeColor="text1" w:themeTint="F2"/>
          <w:sz w:val="22"/>
          <w:szCs w:val="22"/>
        </w:rPr>
        <w:t>.</w:t>
      </w:r>
      <w:r w:rsidR="00CB251A" w:rsidRPr="00631F28">
        <w:rPr>
          <w:rFonts w:ascii="Arial" w:hAnsi="Arial" w:cs="Arial"/>
          <w:color w:val="0D0D0D" w:themeColor="text1" w:themeTint="F2"/>
          <w:sz w:val="22"/>
          <w:szCs w:val="22"/>
        </w:rPr>
        <w:t xml:space="preserve"> </w:t>
      </w:r>
      <w:r w:rsidR="00526E0B" w:rsidRPr="00631F28">
        <w:rPr>
          <w:rFonts w:ascii="Arial" w:hAnsi="Arial" w:cs="Arial"/>
          <w:color w:val="0D0D0D" w:themeColor="text1" w:themeTint="F2"/>
          <w:sz w:val="22"/>
          <w:szCs w:val="22"/>
        </w:rPr>
        <w:t>A</w:t>
      </w:r>
      <w:r w:rsidR="00CB251A" w:rsidRPr="00631F28">
        <w:rPr>
          <w:rFonts w:ascii="Arial" w:hAnsi="Arial" w:cs="Arial"/>
          <w:color w:val="0D0D0D" w:themeColor="text1" w:themeTint="F2"/>
          <w:sz w:val="22"/>
          <w:szCs w:val="22"/>
        </w:rPr>
        <w:t xml:space="preserve">s a result, the reduction in path loss needs to be added to the LOP </w:t>
      </w:r>
      <w:r w:rsidR="005B368A" w:rsidRPr="00631F28">
        <w:rPr>
          <w:rFonts w:ascii="Arial" w:hAnsi="Arial" w:cs="Arial"/>
          <w:color w:val="0D0D0D" w:themeColor="text1" w:themeTint="F2"/>
          <w:sz w:val="22"/>
          <w:szCs w:val="22"/>
        </w:rPr>
        <w:t>calculated. A reduction in distance from 17.5 to 13.0</w:t>
      </w:r>
      <w:r w:rsidR="00631F28">
        <w:rPr>
          <w:rFonts w:ascii="Arial" w:hAnsi="Arial" w:cs="Arial"/>
          <w:color w:val="0D0D0D" w:themeColor="text1" w:themeTint="F2"/>
          <w:sz w:val="22"/>
          <w:szCs w:val="22"/>
        </w:rPr>
        <w:t xml:space="preserve"> </w:t>
      </w:r>
      <w:r w:rsidR="005B368A" w:rsidRPr="00631F28">
        <w:rPr>
          <w:rFonts w:ascii="Arial" w:hAnsi="Arial" w:cs="Arial"/>
          <w:color w:val="0D0D0D" w:themeColor="text1" w:themeTint="F2"/>
          <w:sz w:val="22"/>
          <w:szCs w:val="22"/>
        </w:rPr>
        <w:t>kilometres is a reduction in path loss of 4.5 dB. Adding this to the LOP of -122.5</w:t>
      </w:r>
      <w:r w:rsidR="00631F28">
        <w:rPr>
          <w:rFonts w:ascii="Arial" w:hAnsi="Arial" w:cs="Arial"/>
          <w:color w:val="0D0D0D" w:themeColor="text1" w:themeTint="F2"/>
          <w:sz w:val="22"/>
          <w:szCs w:val="22"/>
        </w:rPr>
        <w:t xml:space="preserve"> </w:t>
      </w:r>
      <w:r w:rsidR="005B368A" w:rsidRPr="00631F28">
        <w:rPr>
          <w:rFonts w:ascii="Arial" w:hAnsi="Arial" w:cs="Arial"/>
          <w:color w:val="0D0D0D" w:themeColor="text1" w:themeTint="F2"/>
          <w:sz w:val="22"/>
          <w:szCs w:val="22"/>
        </w:rPr>
        <w:t>dBm/30 kHz results in the proposed LOP for the 700 MHz band of -118</w:t>
      </w:r>
      <w:r w:rsidR="00631F28">
        <w:rPr>
          <w:rFonts w:ascii="Arial" w:hAnsi="Arial" w:cs="Arial"/>
          <w:color w:val="0D0D0D" w:themeColor="text1" w:themeTint="F2"/>
          <w:sz w:val="22"/>
          <w:szCs w:val="22"/>
        </w:rPr>
        <w:t xml:space="preserve"> </w:t>
      </w:r>
      <w:r w:rsidR="005B368A" w:rsidRPr="00631F28">
        <w:rPr>
          <w:rFonts w:ascii="Arial" w:hAnsi="Arial" w:cs="Arial"/>
          <w:color w:val="0D0D0D" w:themeColor="text1" w:themeTint="F2"/>
          <w:sz w:val="22"/>
          <w:szCs w:val="22"/>
        </w:rPr>
        <w:t>dBm/30 kHz.</w:t>
      </w:r>
    </w:p>
    <w:p w:rsidR="00250A29" w:rsidRPr="00631F28" w:rsidRDefault="00250A29" w:rsidP="007758F3">
      <w:pPr>
        <w:ind w:right="27"/>
        <w:rPr>
          <w:rFonts w:ascii="Arial" w:hAnsi="Arial" w:cs="Arial"/>
          <w:color w:val="0D0D0D" w:themeColor="text1" w:themeTint="F2"/>
          <w:sz w:val="22"/>
          <w:szCs w:val="22"/>
        </w:rPr>
      </w:pPr>
    </w:p>
    <w:p w:rsidR="00164DF8" w:rsidRDefault="00164DF8" w:rsidP="00607D74">
      <w:pPr>
        <w:ind w:right="27"/>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Licensees need to be aware that by halving the </w:t>
      </w:r>
      <w:r w:rsidR="00E611F1" w:rsidRPr="00631F28">
        <w:rPr>
          <w:rFonts w:ascii="Arial" w:hAnsi="Arial" w:cs="Arial"/>
          <w:color w:val="0D0D0D" w:themeColor="text1" w:themeTint="F2"/>
          <w:sz w:val="22"/>
          <w:szCs w:val="22"/>
        </w:rPr>
        <w:t>distance</w:t>
      </w:r>
      <w:r w:rsidRPr="00631F28">
        <w:rPr>
          <w:rFonts w:ascii="Arial" w:hAnsi="Arial" w:cs="Arial"/>
          <w:color w:val="0D0D0D" w:themeColor="text1" w:themeTint="F2"/>
          <w:sz w:val="22"/>
          <w:szCs w:val="22"/>
        </w:rPr>
        <w:t xml:space="preserve"> on either side of the boundary to allow UEs to get closer to the boundary, that the likelihood of interference across the boundary is increased; but, this occurs for both parties and is equally likely. </w:t>
      </w:r>
      <w:r w:rsidR="002D21C5" w:rsidRPr="00631F28">
        <w:rPr>
          <w:rFonts w:ascii="Arial" w:hAnsi="Arial" w:cs="Arial"/>
          <w:color w:val="0D0D0D" w:themeColor="text1" w:themeTint="F2"/>
          <w:sz w:val="22"/>
          <w:szCs w:val="22"/>
        </w:rPr>
        <w:t xml:space="preserve">Licensees are encouraged to conduct their own network planning to </w:t>
      </w:r>
      <w:r w:rsidR="00392DA9" w:rsidRPr="00631F28">
        <w:rPr>
          <w:rFonts w:ascii="Arial" w:hAnsi="Arial" w:cs="Arial"/>
          <w:color w:val="0D0D0D" w:themeColor="text1" w:themeTint="F2"/>
          <w:sz w:val="22"/>
          <w:szCs w:val="22"/>
        </w:rPr>
        <w:t>determine the likelihood</w:t>
      </w:r>
      <w:r w:rsidR="00E41A6E" w:rsidRPr="00631F28">
        <w:rPr>
          <w:rFonts w:ascii="Arial" w:hAnsi="Arial" w:cs="Arial"/>
          <w:color w:val="0D0D0D" w:themeColor="text1" w:themeTint="F2"/>
          <w:sz w:val="22"/>
          <w:szCs w:val="22"/>
        </w:rPr>
        <w:t xml:space="preserve"> of</w:t>
      </w:r>
      <w:r w:rsidR="002D21C5" w:rsidRPr="00631F28">
        <w:rPr>
          <w:rFonts w:ascii="Arial" w:hAnsi="Arial" w:cs="Arial"/>
          <w:color w:val="0D0D0D" w:themeColor="text1" w:themeTint="F2"/>
          <w:sz w:val="22"/>
          <w:szCs w:val="22"/>
        </w:rPr>
        <w:t xml:space="preserve"> interference to </w:t>
      </w:r>
      <w:r w:rsidR="00BE10C4" w:rsidRPr="00631F28">
        <w:rPr>
          <w:rFonts w:ascii="Arial" w:hAnsi="Arial" w:cs="Arial"/>
          <w:color w:val="0D0D0D" w:themeColor="text1" w:themeTint="F2"/>
          <w:sz w:val="22"/>
          <w:szCs w:val="22"/>
        </w:rPr>
        <w:t xml:space="preserve">and from </w:t>
      </w:r>
      <w:r w:rsidR="002D21C5" w:rsidRPr="00631F28">
        <w:rPr>
          <w:rFonts w:ascii="Arial" w:hAnsi="Arial" w:cs="Arial"/>
          <w:color w:val="0D0D0D" w:themeColor="text1" w:themeTint="F2"/>
          <w:sz w:val="22"/>
          <w:szCs w:val="22"/>
        </w:rPr>
        <w:t>adjacent areas.</w:t>
      </w:r>
    </w:p>
    <w:p w:rsidR="00631F28" w:rsidRPr="00631F28" w:rsidRDefault="00631F28" w:rsidP="00607D74">
      <w:pPr>
        <w:ind w:right="27"/>
        <w:rPr>
          <w:rFonts w:ascii="Arial" w:hAnsi="Arial" w:cs="Arial"/>
          <w:color w:val="0D0D0D" w:themeColor="text1" w:themeTint="F2"/>
          <w:sz w:val="22"/>
          <w:szCs w:val="22"/>
        </w:rPr>
      </w:pPr>
    </w:p>
    <w:p w:rsidR="009C074A" w:rsidRPr="00631F28" w:rsidRDefault="00F0208E" w:rsidP="00631F28">
      <w:pPr>
        <w:ind w:right="27"/>
        <w:rPr>
          <w:rFonts w:ascii="Arial" w:hAnsi="Arial" w:cs="Arial"/>
          <w:color w:val="0D0D0D" w:themeColor="text1" w:themeTint="F2"/>
          <w:sz w:val="22"/>
          <w:szCs w:val="22"/>
        </w:rPr>
      </w:pPr>
      <w:r w:rsidRPr="00631F28">
        <w:rPr>
          <w:rFonts w:ascii="Arial" w:hAnsi="Arial" w:cs="Arial"/>
          <w:color w:val="0D0D0D" w:themeColor="text1" w:themeTint="F2"/>
          <w:sz w:val="22"/>
          <w:szCs w:val="22"/>
        </w:rPr>
        <w:t>The ACMA consider the suburban propagation model is best suited to application in the 700</w:t>
      </w:r>
      <w:r w:rsidR="00631F28">
        <w:rPr>
          <w:rFonts w:ascii="Arial" w:hAnsi="Arial" w:cs="Arial"/>
          <w:color w:val="0D0D0D" w:themeColor="text1" w:themeTint="F2"/>
          <w:sz w:val="22"/>
          <w:szCs w:val="22"/>
        </w:rPr>
        <w:t> </w:t>
      </w:r>
      <w:r w:rsidRPr="00631F28">
        <w:rPr>
          <w:rFonts w:ascii="Arial" w:hAnsi="Arial" w:cs="Arial"/>
          <w:color w:val="0D0D0D" w:themeColor="text1" w:themeTint="F2"/>
          <w:sz w:val="22"/>
          <w:szCs w:val="22"/>
        </w:rPr>
        <w:t xml:space="preserve">MHz band, noting </w:t>
      </w:r>
      <w:r w:rsidR="00910F7E" w:rsidRPr="00631F28">
        <w:rPr>
          <w:rFonts w:ascii="Arial" w:hAnsi="Arial" w:cs="Arial"/>
          <w:color w:val="0D0D0D" w:themeColor="text1" w:themeTint="F2"/>
          <w:sz w:val="22"/>
          <w:szCs w:val="22"/>
        </w:rPr>
        <w:t xml:space="preserve">that </w:t>
      </w:r>
      <w:r w:rsidRPr="00631F28">
        <w:rPr>
          <w:rFonts w:ascii="Arial" w:hAnsi="Arial" w:cs="Arial"/>
          <w:color w:val="0D0D0D" w:themeColor="text1" w:themeTint="F2"/>
          <w:sz w:val="22"/>
          <w:szCs w:val="22"/>
        </w:rPr>
        <w:t xml:space="preserve">the </w:t>
      </w:r>
      <w:r w:rsidR="00910F7E" w:rsidRPr="00631F28">
        <w:rPr>
          <w:rFonts w:ascii="Arial" w:hAnsi="Arial" w:cs="Arial"/>
          <w:color w:val="0D0D0D" w:themeColor="text1" w:themeTint="F2"/>
          <w:sz w:val="22"/>
          <w:szCs w:val="22"/>
        </w:rPr>
        <w:t>geographic area boundaries are nominally located in regional or rural areas and as such, the increased clutter effects of the urban model may not be applicable.</w:t>
      </w:r>
    </w:p>
    <w:p w:rsidR="009C074A" w:rsidRPr="00F164FD" w:rsidRDefault="009C074A" w:rsidP="009C074A">
      <w:pPr>
        <w:pStyle w:val="Heading2"/>
        <w:rPr>
          <w:rFonts w:ascii="Arial" w:hAnsi="Arial" w:cs="Arial"/>
          <w:color w:val="0D0D0D" w:themeColor="text1" w:themeTint="F2"/>
        </w:rPr>
      </w:pPr>
      <w:r w:rsidRPr="00F164FD">
        <w:rPr>
          <w:rFonts w:ascii="Arial" w:hAnsi="Arial" w:cs="Arial"/>
          <w:color w:val="0D0D0D" w:themeColor="text1" w:themeTint="F2"/>
        </w:rPr>
        <w:t>6.</w:t>
      </w:r>
      <w:r w:rsidRPr="00F164FD">
        <w:rPr>
          <w:rFonts w:ascii="Arial" w:hAnsi="Arial" w:cs="Arial"/>
          <w:color w:val="0D0D0D" w:themeColor="text1" w:themeTint="F2"/>
        </w:rPr>
        <w:tab/>
        <w:t>Device Boundary Criterion</w:t>
      </w:r>
    </w:p>
    <w:p w:rsidR="009C074A" w:rsidRPr="00631F28" w:rsidRDefault="009C074A" w:rsidP="009C074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The device boundary of a transmitter, calculated using the device boundary criterion, must lie within the geographic boundary of the licence otherwise the transmitter may be declared under the </w:t>
      </w:r>
      <w:r w:rsidR="00160A2C" w:rsidRPr="00631F28">
        <w:rPr>
          <w:rFonts w:ascii="Arial" w:hAnsi="Arial" w:cs="Arial"/>
          <w:color w:val="0D0D0D" w:themeColor="text1" w:themeTint="F2"/>
          <w:sz w:val="22"/>
          <w:szCs w:val="22"/>
        </w:rPr>
        <w:t xml:space="preserve">section </w:t>
      </w:r>
      <w:r w:rsidRPr="00631F28">
        <w:rPr>
          <w:rFonts w:ascii="Arial" w:hAnsi="Arial" w:cs="Arial"/>
          <w:color w:val="0D0D0D" w:themeColor="text1" w:themeTint="F2"/>
          <w:sz w:val="22"/>
          <w:szCs w:val="22"/>
        </w:rPr>
        <w:t>145 determination to cause unacceptable interference.</w:t>
      </w:r>
      <w:r w:rsidR="000F43A0"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 xml:space="preserve">The device boundary aims to </w:t>
      </w:r>
      <w:r w:rsidR="00A76BC4" w:rsidRPr="00631F28">
        <w:rPr>
          <w:rFonts w:ascii="Arial" w:hAnsi="Arial" w:cs="Arial"/>
          <w:color w:val="0D0D0D" w:themeColor="text1" w:themeTint="F2"/>
          <w:sz w:val="22"/>
          <w:szCs w:val="22"/>
        </w:rPr>
        <w:t>manage</w:t>
      </w:r>
      <w:r w:rsidRPr="00631F28">
        <w:rPr>
          <w:rFonts w:ascii="Arial" w:hAnsi="Arial" w:cs="Arial"/>
          <w:color w:val="0D0D0D" w:themeColor="text1" w:themeTint="F2"/>
          <w:sz w:val="22"/>
          <w:szCs w:val="22"/>
        </w:rPr>
        <w:t xml:space="preserve"> co-channel interference across the geographic boundary of the licence.</w:t>
      </w:r>
      <w:r w:rsidR="000F43A0" w:rsidRPr="00631F28">
        <w:rPr>
          <w:rFonts w:ascii="Arial" w:hAnsi="Arial" w:cs="Arial"/>
          <w:color w:val="0D0D0D" w:themeColor="text1" w:themeTint="F2"/>
          <w:sz w:val="22"/>
          <w:szCs w:val="22"/>
        </w:rPr>
        <w:t xml:space="preserve"> </w:t>
      </w:r>
    </w:p>
    <w:p w:rsidR="009C074A" w:rsidRPr="00631F28" w:rsidRDefault="009C074A" w:rsidP="009C074A">
      <w:pPr>
        <w:rPr>
          <w:rFonts w:ascii="Arial" w:hAnsi="Arial" w:cs="Arial"/>
          <w:color w:val="0D0D0D" w:themeColor="text1" w:themeTint="F2"/>
          <w:sz w:val="22"/>
          <w:szCs w:val="22"/>
        </w:rPr>
      </w:pPr>
    </w:p>
    <w:p w:rsidR="007B5065" w:rsidRPr="00631F28" w:rsidRDefault="009C074A" w:rsidP="009C074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It does this by regulating the maximum radiated power level of transmitters located near the boundary of the licence.</w:t>
      </w:r>
      <w:r w:rsidR="000F43A0"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 xml:space="preserve">Alternatively it can be seen as a tool for calculating the necessary set back of transmitters from the boundary of the licence to prevent interference to receivers in the adjacent licence geographic </w:t>
      </w:r>
      <w:r w:rsidR="00A70040" w:rsidRPr="00631F28">
        <w:rPr>
          <w:rFonts w:ascii="Arial" w:hAnsi="Arial" w:cs="Arial"/>
          <w:color w:val="0D0D0D" w:themeColor="text1" w:themeTint="F2"/>
          <w:sz w:val="22"/>
          <w:szCs w:val="22"/>
        </w:rPr>
        <w:t>area without</w:t>
      </w:r>
      <w:r w:rsidR="002F485F" w:rsidRPr="00631F28">
        <w:rPr>
          <w:rFonts w:ascii="Arial" w:hAnsi="Arial" w:cs="Arial"/>
          <w:color w:val="0D0D0D" w:themeColor="text1" w:themeTint="F2"/>
          <w:sz w:val="22"/>
          <w:szCs w:val="22"/>
        </w:rPr>
        <w:t xml:space="preserve"> </w:t>
      </w:r>
      <w:r w:rsidR="005D267B" w:rsidRPr="00631F28">
        <w:rPr>
          <w:rFonts w:ascii="Arial" w:hAnsi="Arial" w:cs="Arial"/>
          <w:color w:val="0D0D0D" w:themeColor="text1" w:themeTint="F2"/>
          <w:sz w:val="22"/>
          <w:szCs w:val="22"/>
        </w:rPr>
        <w:t xml:space="preserve">the requirement for </w:t>
      </w:r>
      <w:r w:rsidR="002F485F" w:rsidRPr="00631F28">
        <w:rPr>
          <w:rFonts w:ascii="Arial" w:hAnsi="Arial" w:cs="Arial"/>
          <w:color w:val="0D0D0D" w:themeColor="text1" w:themeTint="F2"/>
          <w:sz w:val="22"/>
          <w:szCs w:val="22"/>
        </w:rPr>
        <w:t>cooperation or agreement between the licensees.</w:t>
      </w:r>
    </w:p>
    <w:p w:rsidR="007B5065" w:rsidRPr="00631F28" w:rsidRDefault="007B5065" w:rsidP="009C074A">
      <w:pPr>
        <w:rPr>
          <w:rFonts w:ascii="Arial" w:hAnsi="Arial" w:cs="Arial"/>
          <w:color w:val="0D0D0D" w:themeColor="text1" w:themeTint="F2"/>
          <w:sz w:val="22"/>
          <w:szCs w:val="22"/>
        </w:rPr>
      </w:pPr>
    </w:p>
    <w:p w:rsidR="009C074A" w:rsidRPr="00631F28" w:rsidRDefault="009C074A" w:rsidP="007B5065">
      <w:pPr>
        <w:rPr>
          <w:rFonts w:ascii="Arial" w:hAnsi="Arial" w:cs="Arial"/>
          <w:color w:val="0D0D0D" w:themeColor="text1" w:themeTint="F2"/>
          <w:sz w:val="22"/>
          <w:szCs w:val="22"/>
        </w:rPr>
      </w:pPr>
      <w:r w:rsidRPr="00631F28">
        <w:rPr>
          <w:rFonts w:ascii="Arial" w:hAnsi="Arial" w:cs="Arial"/>
          <w:color w:val="0D0D0D" w:themeColor="text1" w:themeTint="F2"/>
          <w:sz w:val="22"/>
          <w:szCs w:val="22"/>
        </w:rPr>
        <w:t>The device boundary is drawn up by applying the device boundary criterion to the radio propagation paths along radials about the proposed transmitter site.</w:t>
      </w:r>
      <w:r w:rsidR="000F43A0"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The position of the device boundary is located where the value of the device boundary criterion diminishes to zero or first becomes a negative value.</w:t>
      </w:r>
    </w:p>
    <w:p w:rsidR="009C074A" w:rsidRPr="00631F28" w:rsidRDefault="009C074A" w:rsidP="009C074A">
      <w:pPr>
        <w:rPr>
          <w:rFonts w:ascii="Arial" w:hAnsi="Arial" w:cs="Arial"/>
          <w:color w:val="0D0D0D" w:themeColor="text1" w:themeTint="F2"/>
          <w:sz w:val="22"/>
          <w:szCs w:val="22"/>
        </w:rPr>
      </w:pPr>
    </w:p>
    <w:p w:rsidR="00912FD8" w:rsidRPr="00631F28" w:rsidRDefault="009C074A" w:rsidP="00631F28">
      <w:pPr>
        <w:rPr>
          <w:rFonts w:ascii="Arial" w:hAnsi="Arial" w:cs="Arial"/>
          <w:b/>
          <w:color w:val="0D0D0D" w:themeColor="text1" w:themeTint="F2"/>
          <w:sz w:val="22"/>
          <w:szCs w:val="22"/>
        </w:rPr>
      </w:pPr>
      <w:r w:rsidRPr="00631F28">
        <w:rPr>
          <w:rFonts w:ascii="Arial" w:hAnsi="Arial" w:cs="Arial"/>
          <w:color w:val="0D0D0D" w:themeColor="text1" w:themeTint="F2"/>
          <w:sz w:val="22"/>
          <w:szCs w:val="22"/>
        </w:rPr>
        <w:t>The device boundary criterion is the difference between the horizontally radiated power of the transmitter including the level of measurement uncertainty and the modelled propagation loss of the path combined with the level of protection given to receivers in the geogra</w:t>
      </w:r>
      <w:r w:rsidR="00631F28">
        <w:rPr>
          <w:rFonts w:ascii="Arial" w:hAnsi="Arial" w:cs="Arial"/>
          <w:color w:val="0D0D0D" w:themeColor="text1" w:themeTint="F2"/>
          <w:sz w:val="22"/>
          <w:szCs w:val="22"/>
        </w:rPr>
        <w:t>phically adjacent licence area.</w:t>
      </w:r>
    </w:p>
    <w:p w:rsidR="009C074A" w:rsidRPr="00F164FD" w:rsidRDefault="009C074A" w:rsidP="009C074A">
      <w:pPr>
        <w:pStyle w:val="Heading3"/>
        <w:rPr>
          <w:rFonts w:ascii="Arial" w:hAnsi="Arial" w:cs="Arial"/>
          <w:color w:val="0D0D0D" w:themeColor="text1" w:themeTint="F2"/>
        </w:rPr>
      </w:pPr>
      <w:r w:rsidRPr="00F164FD">
        <w:rPr>
          <w:rFonts w:ascii="Arial" w:hAnsi="Arial" w:cs="Arial"/>
          <w:color w:val="0D0D0D" w:themeColor="text1" w:themeTint="F2"/>
        </w:rPr>
        <w:t>6.</w:t>
      </w:r>
      <w:r w:rsidR="00FD7F2C" w:rsidRPr="00F164FD">
        <w:rPr>
          <w:rFonts w:ascii="Arial" w:hAnsi="Arial" w:cs="Arial"/>
          <w:color w:val="0D0D0D" w:themeColor="text1" w:themeTint="F2"/>
        </w:rPr>
        <w:t>1</w:t>
      </w:r>
      <w:r w:rsidRPr="00F164FD">
        <w:rPr>
          <w:rFonts w:ascii="Arial" w:hAnsi="Arial" w:cs="Arial"/>
          <w:color w:val="0D0D0D" w:themeColor="text1" w:themeTint="F2"/>
        </w:rPr>
        <w:tab/>
        <w:t>Proposed Boundary Criterion</w:t>
      </w:r>
    </w:p>
    <w:p w:rsidR="00160A2C" w:rsidRPr="00631F28" w:rsidRDefault="005D267B" w:rsidP="009C074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A new methodology has been proposed by the ACMA for the calculation of the device boundary</w:t>
      </w:r>
      <w:r w:rsidR="00D67834" w:rsidRPr="00631F28">
        <w:rPr>
          <w:rFonts w:ascii="Arial" w:hAnsi="Arial" w:cs="Arial"/>
          <w:color w:val="0D0D0D" w:themeColor="text1" w:themeTint="F2"/>
          <w:sz w:val="22"/>
          <w:szCs w:val="22"/>
        </w:rPr>
        <w:t xml:space="preserve"> and it is intended that this methodology be used in the 700</w:t>
      </w:r>
      <w:r w:rsidR="00A929BA">
        <w:rPr>
          <w:rFonts w:ascii="Arial" w:hAnsi="Arial" w:cs="Arial"/>
          <w:color w:val="0D0D0D" w:themeColor="text1" w:themeTint="F2"/>
          <w:sz w:val="22"/>
          <w:szCs w:val="22"/>
        </w:rPr>
        <w:t> </w:t>
      </w:r>
      <w:r w:rsidR="00D67834" w:rsidRPr="00631F28">
        <w:rPr>
          <w:rFonts w:ascii="Arial" w:hAnsi="Arial" w:cs="Arial"/>
          <w:color w:val="0D0D0D" w:themeColor="text1" w:themeTint="F2"/>
          <w:sz w:val="22"/>
          <w:szCs w:val="22"/>
        </w:rPr>
        <w:t>MHz band technical framework</w:t>
      </w:r>
      <w:r w:rsidRPr="00631F28">
        <w:rPr>
          <w:rFonts w:ascii="Arial" w:hAnsi="Arial" w:cs="Arial"/>
          <w:color w:val="0D0D0D" w:themeColor="text1" w:themeTint="F2"/>
          <w:sz w:val="22"/>
          <w:szCs w:val="22"/>
        </w:rPr>
        <w:t xml:space="preserve">. </w:t>
      </w:r>
      <w:r w:rsidR="00160A2C" w:rsidRPr="00631F28">
        <w:rPr>
          <w:rFonts w:ascii="Arial" w:hAnsi="Arial" w:cs="Arial"/>
          <w:color w:val="0D0D0D" w:themeColor="text1" w:themeTint="F2"/>
          <w:sz w:val="22"/>
          <w:szCs w:val="22"/>
        </w:rPr>
        <w:t>The proposed methodology aims to improve the accuracy, reliability and ease of determining the device boundary. It also aims to provide a consistent methodology across all new and expiring spectrum licences.</w:t>
      </w:r>
    </w:p>
    <w:p w:rsidR="00160A2C" w:rsidRDefault="00160A2C" w:rsidP="009C074A">
      <w:pPr>
        <w:rPr>
          <w:rFonts w:ascii="Arial" w:hAnsi="Arial" w:cs="Arial"/>
          <w:color w:val="0D0D0D" w:themeColor="text1" w:themeTint="F2"/>
          <w:sz w:val="22"/>
          <w:szCs w:val="22"/>
        </w:rPr>
      </w:pPr>
    </w:p>
    <w:p w:rsidR="00A929BA" w:rsidRDefault="00A929BA">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A929BA" w:rsidRPr="00631F28" w:rsidRDefault="00A929BA" w:rsidP="009C074A">
      <w:pPr>
        <w:rPr>
          <w:rFonts w:ascii="Arial" w:hAnsi="Arial" w:cs="Arial"/>
          <w:color w:val="0D0D0D" w:themeColor="text1" w:themeTint="F2"/>
          <w:sz w:val="22"/>
          <w:szCs w:val="22"/>
        </w:rPr>
      </w:pPr>
    </w:p>
    <w:p w:rsidR="00160A2C" w:rsidRPr="00631F28" w:rsidRDefault="00160A2C" w:rsidP="009C074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The </w:t>
      </w:r>
      <w:r w:rsidR="005D267B" w:rsidRPr="00631F28">
        <w:rPr>
          <w:rFonts w:ascii="Arial" w:hAnsi="Arial" w:cs="Arial"/>
          <w:color w:val="0D0D0D" w:themeColor="text1" w:themeTint="F2"/>
          <w:sz w:val="22"/>
          <w:szCs w:val="22"/>
        </w:rPr>
        <w:t xml:space="preserve">new </w:t>
      </w:r>
      <w:r w:rsidRPr="00631F28">
        <w:rPr>
          <w:rFonts w:ascii="Arial" w:hAnsi="Arial" w:cs="Arial"/>
          <w:color w:val="0D0D0D" w:themeColor="text1" w:themeTint="F2"/>
          <w:sz w:val="22"/>
          <w:szCs w:val="22"/>
        </w:rPr>
        <w:t xml:space="preserve">device boundary criterion </w:t>
      </w:r>
      <w:r w:rsidR="002D6068" w:rsidRPr="00631F28">
        <w:rPr>
          <w:rFonts w:ascii="Arial" w:hAnsi="Arial" w:cs="Arial"/>
          <w:color w:val="0D0D0D" w:themeColor="text1" w:themeTint="F2"/>
          <w:sz w:val="22"/>
          <w:szCs w:val="22"/>
        </w:rPr>
        <w:t xml:space="preserve">(DBC) </w:t>
      </w:r>
      <w:r w:rsidRPr="00631F28">
        <w:rPr>
          <w:rFonts w:ascii="Arial" w:hAnsi="Arial" w:cs="Arial"/>
          <w:color w:val="0D0D0D" w:themeColor="text1" w:themeTint="F2"/>
          <w:sz w:val="22"/>
          <w:szCs w:val="22"/>
        </w:rPr>
        <w:t>is calculated along 360 radials (one degree spacing) with a step size of 500 metres. This is an increase in resolution over the device boundary criterion methodology currently employed in bands such as 800 MHz, 1800</w:t>
      </w:r>
      <w:r w:rsidR="00631F28">
        <w:rPr>
          <w:rFonts w:ascii="Arial" w:hAnsi="Arial" w:cs="Arial"/>
          <w:color w:val="0D0D0D" w:themeColor="text1" w:themeTint="F2"/>
          <w:sz w:val="22"/>
          <w:szCs w:val="22"/>
        </w:rPr>
        <w:t> </w:t>
      </w:r>
      <w:r w:rsidRPr="00631F28">
        <w:rPr>
          <w:rFonts w:ascii="Arial" w:hAnsi="Arial" w:cs="Arial"/>
          <w:color w:val="0D0D0D" w:themeColor="text1" w:themeTint="F2"/>
          <w:sz w:val="22"/>
          <w:szCs w:val="22"/>
        </w:rPr>
        <w:t xml:space="preserve">MHz and 2 GHz. The increased resolution is intended to improve the accuracy of the </w:t>
      </w:r>
      <w:r w:rsidR="002D6068" w:rsidRPr="00631F28">
        <w:rPr>
          <w:rFonts w:ascii="Arial" w:hAnsi="Arial" w:cs="Arial"/>
          <w:color w:val="0D0D0D" w:themeColor="text1" w:themeTint="F2"/>
          <w:sz w:val="22"/>
          <w:szCs w:val="22"/>
        </w:rPr>
        <w:t>DBC</w:t>
      </w:r>
      <w:r w:rsidRPr="00631F28">
        <w:rPr>
          <w:rFonts w:ascii="Arial" w:hAnsi="Arial" w:cs="Arial"/>
          <w:color w:val="0D0D0D" w:themeColor="text1" w:themeTint="F2"/>
          <w:sz w:val="22"/>
          <w:szCs w:val="22"/>
        </w:rPr>
        <w:t xml:space="preserve"> by taking better account of terrain elevations as well as facilitating deployment of devices closer to the boundary.</w:t>
      </w:r>
    </w:p>
    <w:p w:rsidR="00160A2C" w:rsidRPr="00631F28" w:rsidRDefault="00160A2C" w:rsidP="009C074A">
      <w:pPr>
        <w:rPr>
          <w:rFonts w:ascii="Arial" w:hAnsi="Arial" w:cs="Arial"/>
          <w:color w:val="0D0D0D" w:themeColor="text1" w:themeTint="F2"/>
          <w:sz w:val="22"/>
          <w:szCs w:val="22"/>
        </w:rPr>
      </w:pPr>
    </w:p>
    <w:p w:rsidR="00EB441C" w:rsidRPr="00631F28" w:rsidRDefault="00160A2C" w:rsidP="009C074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Further details of the proposed methodology can be found in the TLG Reference Paper </w:t>
      </w:r>
      <w:r w:rsidRPr="00631F28">
        <w:rPr>
          <w:rFonts w:ascii="Arial" w:hAnsi="Arial" w:cs="Arial"/>
          <w:i/>
          <w:color w:val="0D0D0D" w:themeColor="text1" w:themeTint="F2"/>
          <w:sz w:val="22"/>
          <w:szCs w:val="22"/>
        </w:rPr>
        <w:t>Proposed Device Boundary Criterion Methodology</w:t>
      </w:r>
      <w:r w:rsidRPr="00631F28">
        <w:rPr>
          <w:rFonts w:ascii="Arial" w:hAnsi="Arial" w:cs="Arial"/>
          <w:color w:val="0D0D0D" w:themeColor="text1" w:themeTint="F2"/>
          <w:sz w:val="22"/>
          <w:szCs w:val="22"/>
        </w:rPr>
        <w:t>.</w:t>
      </w:r>
    </w:p>
    <w:p w:rsidR="00AA3D2A" w:rsidRPr="00631F28" w:rsidRDefault="00AA3D2A" w:rsidP="00AA3D2A">
      <w:pPr>
        <w:rPr>
          <w:rFonts w:ascii="Arial" w:hAnsi="Arial" w:cs="Arial"/>
          <w:color w:val="0D0D0D" w:themeColor="text1" w:themeTint="F2"/>
          <w:sz w:val="22"/>
          <w:szCs w:val="22"/>
        </w:rPr>
      </w:pPr>
    </w:p>
    <w:p w:rsidR="00AA3D2A" w:rsidRPr="00631F28" w:rsidRDefault="00F0208E" w:rsidP="00AA3D2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Given the ACMA</w:t>
      </w:r>
      <w:r w:rsidR="00E069EE" w:rsidRPr="00631F28">
        <w:rPr>
          <w:rFonts w:ascii="Arial" w:hAnsi="Arial" w:cs="Arial"/>
          <w:color w:val="0D0D0D" w:themeColor="text1" w:themeTint="F2"/>
          <w:sz w:val="22"/>
          <w:szCs w:val="22"/>
        </w:rPr>
        <w:t xml:space="preserve"> considers</w:t>
      </w:r>
      <w:r w:rsidRPr="00631F28">
        <w:rPr>
          <w:rFonts w:ascii="Arial" w:hAnsi="Arial" w:cs="Arial"/>
          <w:color w:val="0D0D0D" w:themeColor="text1" w:themeTint="F2"/>
          <w:sz w:val="22"/>
          <w:szCs w:val="22"/>
        </w:rPr>
        <w:t xml:space="preserve"> the suburban model in section 5.2</w:t>
      </w:r>
      <w:r w:rsidR="00E069EE" w:rsidRPr="00631F28">
        <w:rPr>
          <w:rFonts w:ascii="Arial" w:hAnsi="Arial" w:cs="Arial"/>
          <w:color w:val="0D0D0D" w:themeColor="text1" w:themeTint="F2"/>
          <w:sz w:val="22"/>
          <w:szCs w:val="22"/>
        </w:rPr>
        <w:t xml:space="preserve"> to be appropriate</w:t>
      </w:r>
      <w:r w:rsidRPr="00631F28">
        <w:rPr>
          <w:rFonts w:ascii="Arial" w:hAnsi="Arial" w:cs="Arial"/>
          <w:color w:val="0D0D0D" w:themeColor="text1" w:themeTint="F2"/>
          <w:sz w:val="22"/>
          <w:szCs w:val="22"/>
        </w:rPr>
        <w:t>, t</w:t>
      </w:r>
      <w:r w:rsidR="00AA3D2A" w:rsidRPr="00631F28">
        <w:rPr>
          <w:rFonts w:ascii="Arial" w:hAnsi="Arial" w:cs="Arial"/>
          <w:color w:val="0D0D0D" w:themeColor="text1" w:themeTint="F2"/>
          <w:sz w:val="22"/>
          <w:szCs w:val="22"/>
        </w:rPr>
        <w:t xml:space="preserve">he proposed level of protection </w:t>
      </w:r>
      <w:proofErr w:type="gramStart"/>
      <w:r w:rsidR="00AA3D2A" w:rsidRPr="00631F28">
        <w:rPr>
          <w:rFonts w:ascii="Arial" w:hAnsi="Arial" w:cs="Arial"/>
          <w:color w:val="0D0D0D" w:themeColor="text1" w:themeTint="F2"/>
          <w:sz w:val="22"/>
          <w:szCs w:val="22"/>
        </w:rPr>
        <w:t xml:space="preserve">of </w:t>
      </w:r>
      <w:r w:rsidR="00190C52" w:rsidRPr="00631F28">
        <w:rPr>
          <w:rFonts w:ascii="Arial" w:hAnsi="Arial" w:cs="Arial"/>
          <w:color w:val="0D0D0D" w:themeColor="text1" w:themeTint="F2"/>
          <w:sz w:val="22"/>
          <w:szCs w:val="22"/>
        </w:rPr>
        <w:t>-118.0</w:t>
      </w:r>
      <w:r w:rsidR="00C51928" w:rsidRPr="00631F28">
        <w:rPr>
          <w:rFonts w:ascii="Arial" w:hAnsi="Arial" w:cs="Arial"/>
          <w:color w:val="0D0D0D" w:themeColor="text1" w:themeTint="F2"/>
          <w:sz w:val="22"/>
          <w:szCs w:val="22"/>
        </w:rPr>
        <w:t xml:space="preserve"> dBm/30kHz </w:t>
      </w:r>
      <w:r w:rsidR="00AA3D2A" w:rsidRPr="00631F28">
        <w:rPr>
          <w:rFonts w:ascii="Arial" w:hAnsi="Arial" w:cs="Arial"/>
          <w:color w:val="0D0D0D" w:themeColor="text1" w:themeTint="F2"/>
          <w:sz w:val="22"/>
          <w:szCs w:val="22"/>
        </w:rPr>
        <w:t>specified at the device boundary</w:t>
      </w:r>
      <w:proofErr w:type="gramEnd"/>
      <w:r w:rsidR="00AA3D2A" w:rsidRPr="00631F28">
        <w:rPr>
          <w:rFonts w:ascii="Arial" w:hAnsi="Arial" w:cs="Arial"/>
          <w:color w:val="0D0D0D" w:themeColor="text1" w:themeTint="F2"/>
          <w:sz w:val="22"/>
          <w:szCs w:val="22"/>
        </w:rPr>
        <w:t xml:space="preserve"> is intended to </w:t>
      </w:r>
      <w:r w:rsidR="00F364CA" w:rsidRPr="00631F28">
        <w:rPr>
          <w:rFonts w:ascii="Arial" w:hAnsi="Arial" w:cs="Arial"/>
          <w:color w:val="0D0D0D" w:themeColor="text1" w:themeTint="F2"/>
          <w:sz w:val="22"/>
          <w:szCs w:val="22"/>
        </w:rPr>
        <w:t>provide adequate base station separation from the boundary to enable co-existence between adjacent area services while not placing overly restrictive constraints on transmitter deployment</w:t>
      </w:r>
      <w:r w:rsidR="00D67834" w:rsidRPr="00631F28">
        <w:rPr>
          <w:rFonts w:ascii="Arial" w:hAnsi="Arial" w:cs="Arial"/>
          <w:color w:val="0D0D0D" w:themeColor="text1" w:themeTint="F2"/>
          <w:sz w:val="22"/>
          <w:szCs w:val="22"/>
        </w:rPr>
        <w:t xml:space="preserve"> near the geographic boundary.</w:t>
      </w:r>
    </w:p>
    <w:p w:rsidR="00B662CC" w:rsidRPr="00631F28" w:rsidRDefault="00B662CC" w:rsidP="00AA3D2A">
      <w:pPr>
        <w:rPr>
          <w:rFonts w:ascii="Arial" w:hAnsi="Arial" w:cs="Arial"/>
          <w:color w:val="0D0D0D" w:themeColor="text1" w:themeTint="F2"/>
          <w:sz w:val="22"/>
          <w:szCs w:val="22"/>
        </w:rPr>
      </w:pPr>
    </w:p>
    <w:p w:rsidR="00AA3D2A" w:rsidRPr="00631F28" w:rsidRDefault="00AA3D2A" w:rsidP="00AA3D2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The </w:t>
      </w:r>
      <w:r w:rsidR="00190C52" w:rsidRPr="00631F28">
        <w:rPr>
          <w:rFonts w:ascii="Arial" w:hAnsi="Arial" w:cs="Arial"/>
          <w:color w:val="0D0D0D" w:themeColor="text1" w:themeTint="F2"/>
          <w:sz w:val="22"/>
          <w:szCs w:val="22"/>
        </w:rPr>
        <w:t>modified-</w:t>
      </w:r>
      <w:proofErr w:type="spellStart"/>
      <w:r w:rsidR="00EC7944" w:rsidRPr="00631F28">
        <w:rPr>
          <w:rFonts w:ascii="Arial" w:hAnsi="Arial" w:cs="Arial"/>
          <w:color w:val="0D0D0D" w:themeColor="text1" w:themeTint="F2"/>
          <w:sz w:val="22"/>
          <w:szCs w:val="22"/>
        </w:rPr>
        <w:t>Hata</w:t>
      </w:r>
      <w:proofErr w:type="spellEnd"/>
      <w:r w:rsidR="00EC7944" w:rsidRPr="00631F28">
        <w:rPr>
          <w:rFonts w:ascii="Arial" w:hAnsi="Arial" w:cs="Arial"/>
          <w:color w:val="0D0D0D" w:themeColor="text1" w:themeTint="F2"/>
          <w:sz w:val="22"/>
          <w:szCs w:val="22"/>
        </w:rPr>
        <w:t xml:space="preserve"> propagation model in </w:t>
      </w:r>
      <w:r w:rsidR="00F0208E" w:rsidRPr="00631F28">
        <w:rPr>
          <w:rFonts w:ascii="Arial" w:hAnsi="Arial" w:cs="Arial"/>
          <w:color w:val="0D0D0D" w:themeColor="text1" w:themeTint="F2"/>
          <w:sz w:val="22"/>
          <w:szCs w:val="22"/>
        </w:rPr>
        <w:t>sub</w:t>
      </w:r>
      <w:r w:rsidR="00B90F51" w:rsidRPr="00631F28">
        <w:rPr>
          <w:rFonts w:ascii="Arial" w:hAnsi="Arial" w:cs="Arial"/>
          <w:color w:val="0D0D0D" w:themeColor="text1" w:themeTint="F2"/>
          <w:sz w:val="22"/>
          <w:szCs w:val="22"/>
        </w:rPr>
        <w:t>urban</w:t>
      </w:r>
      <w:r w:rsidR="00EC7944" w:rsidRPr="00631F28">
        <w:rPr>
          <w:rFonts w:ascii="Arial" w:hAnsi="Arial" w:cs="Arial"/>
          <w:color w:val="0D0D0D" w:themeColor="text1" w:themeTint="F2"/>
          <w:sz w:val="22"/>
          <w:szCs w:val="22"/>
        </w:rPr>
        <w:t xml:space="preserve"> mode from ERC Report 68 </w:t>
      </w:r>
      <w:r w:rsidRPr="00631F28">
        <w:rPr>
          <w:rFonts w:ascii="Arial" w:hAnsi="Arial" w:cs="Arial"/>
          <w:color w:val="0D0D0D" w:themeColor="text1" w:themeTint="F2"/>
          <w:sz w:val="22"/>
          <w:szCs w:val="22"/>
        </w:rPr>
        <w:t xml:space="preserve">is specified for use in the </w:t>
      </w:r>
      <w:r w:rsidR="002D6068" w:rsidRPr="00631F28">
        <w:rPr>
          <w:rFonts w:ascii="Arial" w:hAnsi="Arial" w:cs="Arial"/>
          <w:color w:val="0D0D0D" w:themeColor="text1" w:themeTint="F2"/>
          <w:sz w:val="22"/>
          <w:szCs w:val="22"/>
        </w:rPr>
        <w:t>DBC</w:t>
      </w:r>
      <w:r w:rsidRPr="00631F28">
        <w:rPr>
          <w:rFonts w:ascii="Arial" w:hAnsi="Arial" w:cs="Arial"/>
          <w:color w:val="0D0D0D" w:themeColor="text1" w:themeTint="F2"/>
          <w:sz w:val="22"/>
          <w:szCs w:val="22"/>
        </w:rPr>
        <w:t xml:space="preserve">. </w:t>
      </w:r>
      <w:r w:rsidR="00EC7944" w:rsidRPr="00631F28">
        <w:rPr>
          <w:rFonts w:ascii="Arial" w:hAnsi="Arial" w:cs="Arial"/>
          <w:color w:val="0D0D0D" w:themeColor="text1" w:themeTint="F2"/>
          <w:sz w:val="22"/>
          <w:szCs w:val="22"/>
        </w:rPr>
        <w:t xml:space="preserve">The remaining components of the DBC are included in the TLG Reference Paper – </w:t>
      </w:r>
      <w:r w:rsidR="00B90F51" w:rsidRPr="00631F28">
        <w:rPr>
          <w:rFonts w:ascii="Arial" w:hAnsi="Arial" w:cs="Arial"/>
          <w:i/>
          <w:color w:val="0D0D0D" w:themeColor="text1" w:themeTint="F2"/>
          <w:sz w:val="22"/>
          <w:szCs w:val="22"/>
        </w:rPr>
        <w:t>Proposed Device Boundary Criterion Methodology</w:t>
      </w:r>
      <w:r w:rsidR="00EC7944" w:rsidRPr="00631F28">
        <w:rPr>
          <w:rFonts w:ascii="Arial" w:hAnsi="Arial" w:cs="Arial"/>
          <w:color w:val="0D0D0D" w:themeColor="text1" w:themeTint="F2"/>
          <w:sz w:val="22"/>
          <w:szCs w:val="22"/>
        </w:rPr>
        <w:t>.</w:t>
      </w:r>
    </w:p>
    <w:p w:rsidR="00631F28" w:rsidRPr="00631F28" w:rsidRDefault="00631F28" w:rsidP="00AA3D2A">
      <w:pPr>
        <w:rPr>
          <w:rFonts w:ascii="Arial" w:hAnsi="Arial" w:cs="Arial"/>
          <w:color w:val="0D0D0D" w:themeColor="text1" w:themeTint="F2"/>
          <w:sz w:val="22"/>
          <w:szCs w:val="22"/>
        </w:rPr>
      </w:pPr>
    </w:p>
    <w:p w:rsidR="007E7F09" w:rsidRPr="00631F28" w:rsidRDefault="007E7F09" w:rsidP="00AA3D2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Because the </w:t>
      </w:r>
      <w:r w:rsidR="00F0208E" w:rsidRPr="00631F28">
        <w:rPr>
          <w:rFonts w:ascii="Arial" w:hAnsi="Arial" w:cs="Arial"/>
          <w:color w:val="0D0D0D" w:themeColor="text1" w:themeTint="F2"/>
          <w:sz w:val="22"/>
          <w:szCs w:val="22"/>
        </w:rPr>
        <w:t>modified-</w:t>
      </w:r>
      <w:proofErr w:type="spellStart"/>
      <w:r w:rsidRPr="00631F28">
        <w:rPr>
          <w:rFonts w:ascii="Arial" w:hAnsi="Arial" w:cs="Arial"/>
          <w:color w:val="0D0D0D" w:themeColor="text1" w:themeTint="F2"/>
          <w:sz w:val="22"/>
          <w:szCs w:val="22"/>
        </w:rPr>
        <w:t>Hata</w:t>
      </w:r>
      <w:proofErr w:type="spellEnd"/>
      <w:r w:rsidRPr="00631F28">
        <w:rPr>
          <w:rFonts w:ascii="Arial" w:hAnsi="Arial" w:cs="Arial"/>
          <w:color w:val="0D0D0D" w:themeColor="text1" w:themeTint="F2"/>
          <w:sz w:val="22"/>
          <w:szCs w:val="22"/>
        </w:rPr>
        <w:t xml:space="preserve"> propagation model cater</w:t>
      </w:r>
      <w:r w:rsidR="00D67834" w:rsidRPr="00631F28">
        <w:rPr>
          <w:rFonts w:ascii="Arial" w:hAnsi="Arial" w:cs="Arial"/>
          <w:color w:val="0D0D0D" w:themeColor="text1" w:themeTint="F2"/>
          <w:sz w:val="22"/>
          <w:szCs w:val="22"/>
        </w:rPr>
        <w:t>s</w:t>
      </w:r>
      <w:r w:rsidRPr="00631F28">
        <w:rPr>
          <w:rFonts w:ascii="Arial" w:hAnsi="Arial" w:cs="Arial"/>
          <w:color w:val="0D0D0D" w:themeColor="text1" w:themeTint="F2"/>
          <w:sz w:val="22"/>
          <w:szCs w:val="22"/>
        </w:rPr>
        <w:t xml:space="preserve"> well for heights </w:t>
      </w:r>
      <w:r w:rsidR="00D67834" w:rsidRPr="00631F28">
        <w:rPr>
          <w:rFonts w:ascii="Arial" w:hAnsi="Arial" w:cs="Arial"/>
          <w:color w:val="0D0D0D" w:themeColor="text1" w:themeTint="F2"/>
          <w:sz w:val="22"/>
          <w:szCs w:val="22"/>
        </w:rPr>
        <w:t xml:space="preserve">up to </w:t>
      </w:r>
      <w:r w:rsidRPr="00631F28">
        <w:rPr>
          <w:rFonts w:ascii="Arial" w:hAnsi="Arial" w:cs="Arial"/>
          <w:color w:val="0D0D0D" w:themeColor="text1" w:themeTint="F2"/>
          <w:sz w:val="22"/>
          <w:szCs w:val="22"/>
        </w:rPr>
        <w:t>200</w:t>
      </w:r>
      <w:r w:rsidR="00A929BA">
        <w:rPr>
          <w:rFonts w:ascii="Arial" w:hAnsi="Arial" w:cs="Arial"/>
          <w:color w:val="0D0D0D" w:themeColor="text1" w:themeTint="F2"/>
          <w:sz w:val="22"/>
          <w:szCs w:val="22"/>
        </w:rPr>
        <w:t> </w:t>
      </w:r>
      <w:r w:rsidRPr="00631F28">
        <w:rPr>
          <w:rFonts w:ascii="Arial" w:hAnsi="Arial" w:cs="Arial"/>
          <w:color w:val="0D0D0D" w:themeColor="text1" w:themeTint="F2"/>
          <w:sz w:val="22"/>
          <w:szCs w:val="22"/>
        </w:rPr>
        <w:t>m</w:t>
      </w:r>
      <w:r w:rsidR="00631F28">
        <w:rPr>
          <w:rFonts w:ascii="Arial" w:hAnsi="Arial" w:cs="Arial"/>
          <w:color w:val="0D0D0D" w:themeColor="text1" w:themeTint="F2"/>
          <w:sz w:val="22"/>
          <w:szCs w:val="22"/>
        </w:rPr>
        <w:t>etres</w:t>
      </w:r>
      <w:r w:rsidR="00E6777F" w:rsidRPr="00631F28">
        <w:rPr>
          <w:rFonts w:ascii="Arial" w:hAnsi="Arial" w:cs="Arial"/>
          <w:color w:val="0D0D0D" w:themeColor="text1" w:themeTint="F2"/>
          <w:sz w:val="22"/>
          <w:szCs w:val="22"/>
        </w:rPr>
        <w:t xml:space="preserve">, but </w:t>
      </w:r>
      <w:r w:rsidR="00D67834" w:rsidRPr="00631F28">
        <w:rPr>
          <w:rFonts w:ascii="Arial" w:hAnsi="Arial" w:cs="Arial"/>
          <w:color w:val="0D0D0D" w:themeColor="text1" w:themeTint="F2"/>
          <w:sz w:val="22"/>
          <w:szCs w:val="22"/>
        </w:rPr>
        <w:t xml:space="preserve">not </w:t>
      </w:r>
      <w:r w:rsidR="00E6777F" w:rsidRPr="00631F28">
        <w:rPr>
          <w:rFonts w:ascii="Arial" w:hAnsi="Arial" w:cs="Arial"/>
          <w:color w:val="0D0D0D" w:themeColor="text1" w:themeTint="F2"/>
          <w:sz w:val="22"/>
          <w:szCs w:val="22"/>
        </w:rPr>
        <w:t xml:space="preserve">particularly for heights </w:t>
      </w:r>
      <w:r w:rsidR="00D67834" w:rsidRPr="00631F28">
        <w:rPr>
          <w:rFonts w:ascii="Arial" w:hAnsi="Arial" w:cs="Arial"/>
          <w:color w:val="0D0D0D" w:themeColor="text1" w:themeTint="F2"/>
          <w:sz w:val="22"/>
          <w:szCs w:val="22"/>
        </w:rPr>
        <w:t>above</w:t>
      </w:r>
      <w:r w:rsidR="00E6777F" w:rsidRPr="00631F28">
        <w:rPr>
          <w:rFonts w:ascii="Arial" w:hAnsi="Arial" w:cs="Arial"/>
          <w:color w:val="0D0D0D" w:themeColor="text1" w:themeTint="F2"/>
          <w:sz w:val="22"/>
          <w:szCs w:val="22"/>
        </w:rPr>
        <w:t xml:space="preserve"> 500</w:t>
      </w:r>
      <w:r w:rsidR="00631F28">
        <w:rPr>
          <w:rFonts w:ascii="Arial" w:hAnsi="Arial" w:cs="Arial"/>
          <w:color w:val="0D0D0D" w:themeColor="text1" w:themeTint="F2"/>
          <w:sz w:val="22"/>
          <w:szCs w:val="22"/>
        </w:rPr>
        <w:t xml:space="preserve"> </w:t>
      </w:r>
      <w:r w:rsidR="00E6777F" w:rsidRPr="00631F28">
        <w:rPr>
          <w:rFonts w:ascii="Arial" w:hAnsi="Arial" w:cs="Arial"/>
          <w:color w:val="0D0D0D" w:themeColor="text1" w:themeTint="F2"/>
          <w:sz w:val="22"/>
          <w:szCs w:val="22"/>
        </w:rPr>
        <w:t>m</w:t>
      </w:r>
      <w:r w:rsidR="00631F28">
        <w:rPr>
          <w:rFonts w:ascii="Arial" w:hAnsi="Arial" w:cs="Arial"/>
          <w:color w:val="0D0D0D" w:themeColor="text1" w:themeTint="F2"/>
          <w:sz w:val="22"/>
          <w:szCs w:val="22"/>
        </w:rPr>
        <w:t>etres</w:t>
      </w:r>
      <w:r w:rsidR="00E6777F" w:rsidRPr="00631F28">
        <w:rPr>
          <w:rFonts w:ascii="Arial" w:hAnsi="Arial" w:cs="Arial"/>
          <w:color w:val="0D0D0D" w:themeColor="text1" w:themeTint="F2"/>
          <w:sz w:val="22"/>
          <w:szCs w:val="22"/>
        </w:rPr>
        <w:t xml:space="preserve"> (where inverse height gain becomes apparent at separation distance greater than 50</w:t>
      </w:r>
      <w:r w:rsidR="00A929BA">
        <w:rPr>
          <w:rFonts w:ascii="Arial" w:hAnsi="Arial" w:cs="Arial"/>
          <w:color w:val="0D0D0D" w:themeColor="text1" w:themeTint="F2"/>
          <w:sz w:val="22"/>
          <w:szCs w:val="22"/>
        </w:rPr>
        <w:t> </w:t>
      </w:r>
      <w:r w:rsidR="00E6777F" w:rsidRPr="00631F28">
        <w:rPr>
          <w:rFonts w:ascii="Arial" w:hAnsi="Arial" w:cs="Arial"/>
          <w:color w:val="0D0D0D" w:themeColor="text1" w:themeTint="F2"/>
          <w:sz w:val="22"/>
          <w:szCs w:val="22"/>
        </w:rPr>
        <w:t>kilometres), it is proposed to limit the maximum effective antenna height to 500 metres. A review of existing registrations in the ACMA database for 800</w:t>
      </w:r>
      <w:r w:rsidR="00A929BA">
        <w:rPr>
          <w:rFonts w:ascii="Arial" w:hAnsi="Arial" w:cs="Arial"/>
          <w:color w:val="0D0D0D" w:themeColor="text1" w:themeTint="F2"/>
          <w:sz w:val="22"/>
          <w:szCs w:val="22"/>
        </w:rPr>
        <w:t> </w:t>
      </w:r>
      <w:r w:rsidR="00E6777F" w:rsidRPr="00631F28">
        <w:rPr>
          <w:rFonts w:ascii="Arial" w:hAnsi="Arial" w:cs="Arial"/>
          <w:color w:val="0D0D0D" w:themeColor="text1" w:themeTint="F2"/>
          <w:sz w:val="22"/>
          <w:szCs w:val="22"/>
        </w:rPr>
        <w:t>MHz and 1800 MHz spectrum licences showed that an effective antenna height of 500</w:t>
      </w:r>
      <w:r w:rsidR="00631F28">
        <w:rPr>
          <w:rFonts w:ascii="Arial" w:hAnsi="Arial" w:cs="Arial"/>
          <w:color w:val="0D0D0D" w:themeColor="text1" w:themeTint="F2"/>
          <w:sz w:val="22"/>
          <w:szCs w:val="22"/>
        </w:rPr>
        <w:t> </w:t>
      </w:r>
      <w:r w:rsidR="00E6777F" w:rsidRPr="00631F28">
        <w:rPr>
          <w:rFonts w:ascii="Arial" w:hAnsi="Arial" w:cs="Arial"/>
          <w:color w:val="0D0D0D" w:themeColor="text1" w:themeTint="F2"/>
          <w:sz w:val="22"/>
          <w:szCs w:val="22"/>
        </w:rPr>
        <w:t xml:space="preserve">metres is rarely achieved because most sites pass the </w:t>
      </w:r>
      <w:r w:rsidR="0048015A" w:rsidRPr="00631F28">
        <w:rPr>
          <w:rFonts w:ascii="Arial" w:hAnsi="Arial" w:cs="Arial"/>
          <w:color w:val="0D0D0D" w:themeColor="text1" w:themeTint="F2"/>
          <w:sz w:val="22"/>
          <w:szCs w:val="22"/>
        </w:rPr>
        <w:t>DBC</w:t>
      </w:r>
      <w:r w:rsidR="00E6777F" w:rsidRPr="00631F28">
        <w:rPr>
          <w:rFonts w:ascii="Arial" w:hAnsi="Arial" w:cs="Arial"/>
          <w:color w:val="0D0D0D" w:themeColor="text1" w:themeTint="F2"/>
          <w:sz w:val="22"/>
          <w:szCs w:val="22"/>
        </w:rPr>
        <w:t xml:space="preserve"> within 20</w:t>
      </w:r>
      <w:r w:rsidR="00631F28">
        <w:rPr>
          <w:rFonts w:ascii="Arial" w:hAnsi="Arial" w:cs="Arial"/>
          <w:color w:val="0D0D0D" w:themeColor="text1" w:themeTint="F2"/>
          <w:sz w:val="22"/>
          <w:szCs w:val="22"/>
        </w:rPr>
        <w:t> </w:t>
      </w:r>
      <w:r w:rsidR="00E6777F" w:rsidRPr="00631F28">
        <w:rPr>
          <w:rFonts w:ascii="Arial" w:hAnsi="Arial" w:cs="Arial"/>
          <w:color w:val="0D0D0D" w:themeColor="text1" w:themeTint="F2"/>
          <w:sz w:val="22"/>
          <w:szCs w:val="22"/>
        </w:rPr>
        <w:t>kilometres.</w:t>
      </w:r>
    </w:p>
    <w:p w:rsidR="00B662CC" w:rsidRPr="00631F28" w:rsidRDefault="00B662CC" w:rsidP="00AA3D2A">
      <w:pPr>
        <w:rPr>
          <w:rFonts w:ascii="Arial" w:hAnsi="Arial" w:cs="Arial"/>
          <w:color w:val="0D0D0D" w:themeColor="text1" w:themeTint="F2"/>
          <w:sz w:val="22"/>
          <w:szCs w:val="22"/>
        </w:rPr>
      </w:pPr>
    </w:p>
    <w:p w:rsidR="00B662CC" w:rsidRPr="00631F28" w:rsidRDefault="00B90F51" w:rsidP="00AA3D2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Given a maximum effective base station antenna height of 500 metres and UE station effective antenna height of 1.5 metres, the propagation model as described in section 4.2, the maximum out-of-area limit from </w:t>
      </w:r>
      <w:r w:rsidR="00F578AE" w:rsidRPr="00631F28">
        <w:rPr>
          <w:rFonts w:ascii="Arial" w:hAnsi="Arial" w:cs="Arial"/>
          <w:i/>
          <w:color w:val="0D0D0D" w:themeColor="text1" w:themeTint="F2"/>
          <w:sz w:val="22"/>
          <w:szCs w:val="22"/>
        </w:rPr>
        <w:t>700 MHz TLG Discussion Paper No. 1</w:t>
      </w:r>
      <w:r w:rsidRPr="00631F28">
        <w:rPr>
          <w:rFonts w:ascii="Arial" w:hAnsi="Arial" w:cs="Arial"/>
          <w:color w:val="0D0D0D" w:themeColor="text1" w:themeTint="F2"/>
          <w:sz w:val="22"/>
          <w:szCs w:val="22"/>
        </w:rPr>
        <w:t xml:space="preserve"> of 52</w:t>
      </w:r>
      <w:r w:rsidR="00631F28">
        <w:rPr>
          <w:rFonts w:ascii="Arial" w:hAnsi="Arial" w:cs="Arial"/>
          <w:color w:val="0D0D0D" w:themeColor="text1" w:themeTint="F2"/>
          <w:sz w:val="22"/>
          <w:szCs w:val="22"/>
        </w:rPr>
        <w:t> </w:t>
      </w:r>
      <w:r w:rsidRPr="00631F28">
        <w:rPr>
          <w:rFonts w:ascii="Arial" w:hAnsi="Arial" w:cs="Arial"/>
          <w:color w:val="0D0D0D" w:themeColor="text1" w:themeTint="F2"/>
          <w:sz w:val="22"/>
          <w:szCs w:val="22"/>
        </w:rPr>
        <w:t>dBm/30kHz and the proposed level of protection in section 5.2, the maximum radial length achievable is 77 km. Devices located greater than 77 km from the boundary, will always pass the proposed DBC.</w:t>
      </w:r>
    </w:p>
    <w:p w:rsidR="00B662CC" w:rsidRPr="00631F28" w:rsidRDefault="00B662CC" w:rsidP="00AA3D2A">
      <w:pPr>
        <w:rPr>
          <w:rFonts w:ascii="Arial" w:hAnsi="Arial" w:cs="Arial"/>
          <w:color w:val="0D0D0D" w:themeColor="text1" w:themeTint="F2"/>
          <w:sz w:val="22"/>
          <w:szCs w:val="22"/>
        </w:rPr>
      </w:pPr>
    </w:p>
    <w:p w:rsidR="00B662CC" w:rsidRPr="00631F28" w:rsidRDefault="00B662CC" w:rsidP="00AA3D2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Therefore services located greater than </w:t>
      </w:r>
      <w:r w:rsidR="000204F2" w:rsidRPr="00631F28">
        <w:rPr>
          <w:rFonts w:ascii="Arial" w:hAnsi="Arial" w:cs="Arial"/>
          <w:color w:val="0D0D0D" w:themeColor="text1" w:themeTint="F2"/>
          <w:sz w:val="22"/>
          <w:szCs w:val="22"/>
        </w:rPr>
        <w:t>77</w:t>
      </w:r>
      <w:r w:rsidR="00AF6586"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km from a geographical boundary are deemed to comply with the DBC, and are taken not to cause unacceptable interference.</w:t>
      </w:r>
    </w:p>
    <w:p w:rsidR="007E7F09" w:rsidRPr="00631F28" w:rsidRDefault="007E7F09" w:rsidP="00AA3D2A">
      <w:pPr>
        <w:rPr>
          <w:rFonts w:ascii="Arial" w:hAnsi="Arial" w:cs="Arial"/>
          <w:color w:val="0D0D0D" w:themeColor="text1" w:themeTint="F2"/>
          <w:sz w:val="22"/>
          <w:szCs w:val="22"/>
        </w:rPr>
      </w:pPr>
    </w:p>
    <w:p w:rsidR="00AA3D2A" w:rsidRPr="00F164FD" w:rsidRDefault="00034064" w:rsidP="009C074A">
      <w:pPr>
        <w:rPr>
          <w:rFonts w:ascii="Arial" w:hAnsi="Arial" w:cs="Arial"/>
          <w:color w:val="0D0D0D" w:themeColor="text1" w:themeTint="F2"/>
        </w:rPr>
      </w:pPr>
      <w:r>
        <w:rPr>
          <w:rFonts w:ascii="Arial" w:hAnsi="Arial" w:cs="Arial"/>
          <w:color w:val="0D0D0D" w:themeColor="text1" w:themeTint="F2"/>
        </w:rPr>
      </w:r>
      <w:r>
        <w:rPr>
          <w:rFonts w:ascii="Arial" w:hAnsi="Arial" w:cs="Arial"/>
          <w:color w:val="0D0D0D" w:themeColor="text1" w:themeTint="F2"/>
        </w:rPr>
        <w:pict>
          <v:rect id="_x0000_s1199" style="width:459.15pt;height:530.4pt;mso-left-percent:-10001;mso-top-percent:-10001;mso-position-horizontal:absolute;mso-position-horizontal-relative:char;mso-position-vertical:absolute;mso-position-vertical-relative:line;mso-left-percent:-10001;mso-top-percent:-10001" filled="f" strokeweight="1.5pt">
            <v:textbox style="mso-next-textbox:#_x0000_s1199">
              <w:txbxContent>
                <w:p w:rsidR="00A929BA" w:rsidRPr="00D526DD" w:rsidRDefault="00A929BA" w:rsidP="007E7F09">
                  <w:pPr>
                    <w:rPr>
                      <w:b/>
                    </w:rPr>
                  </w:pPr>
                  <w:r>
                    <w:rPr>
                      <w:b/>
                    </w:rPr>
                    <w:t>Proposed d</w:t>
                  </w:r>
                  <w:r w:rsidRPr="00D526DD">
                    <w:rPr>
                      <w:b/>
                    </w:rPr>
                    <w:t>evice boundary criterion (</w:t>
                  </w:r>
                  <w:r>
                    <w:rPr>
                      <w:b/>
                    </w:rPr>
                    <w:t>Schedule 2</w:t>
                  </w:r>
                  <w:r w:rsidRPr="00D526DD">
                    <w:rPr>
                      <w:b/>
                    </w:rPr>
                    <w:t>)</w:t>
                  </w:r>
                </w:p>
                <w:p w:rsidR="00A929BA" w:rsidRPr="00D526DD" w:rsidRDefault="00A929BA" w:rsidP="007E7F09"/>
                <w:p w:rsidR="00A929BA" w:rsidRDefault="00A929BA" w:rsidP="007E7F09">
                  <w:r>
                    <w:rPr>
                      <w:b/>
                    </w:rPr>
                    <w:t>Part 3</w:t>
                  </w:r>
                  <w:r>
                    <w:rPr>
                      <w:b/>
                    </w:rPr>
                    <w:tab/>
                    <w:t>Calculation of Propagation Loss</w:t>
                  </w:r>
                </w:p>
                <w:p w:rsidR="00A929BA" w:rsidRDefault="00A929BA" w:rsidP="007E7F09">
                  <w:pPr>
                    <w:pStyle w:val="R1"/>
                    <w:spacing w:line="240" w:lineRule="auto"/>
                  </w:pPr>
                  <w:r>
                    <w:t>1.</w:t>
                  </w:r>
                  <w:r>
                    <w:tab/>
                  </w:r>
                  <w:r>
                    <w:tab/>
                    <w:t xml:space="preserve">In calculating </w:t>
                  </w:r>
                  <w:proofErr w:type="gramStart"/>
                  <w:r>
                    <w:rPr>
                      <w:i/>
                    </w:rPr>
                    <w:t>PL</w:t>
                  </w:r>
                  <w:r w:rsidRPr="00957DEE">
                    <w:rPr>
                      <w:i/>
                    </w:rPr>
                    <w:t>(</w:t>
                  </w:r>
                  <w:proofErr w:type="spellStart"/>
                  <w:proofErr w:type="gramEnd"/>
                  <w:r w:rsidRPr="00957DEE">
                    <w:rPr>
                      <w:i/>
                    </w:rPr>
                    <w:t>l</w:t>
                  </w:r>
                  <w:r>
                    <w:rPr>
                      <w:i/>
                      <w:vertAlign w:val="subscript"/>
                    </w:rPr>
                    <w:t>mn</w:t>
                  </w:r>
                  <w:proofErr w:type="spellEnd"/>
                  <w:r w:rsidRPr="00957DEE">
                    <w:rPr>
                      <w:i/>
                    </w:rPr>
                    <w:t>,</w:t>
                  </w:r>
                  <w:r>
                    <w:rPr>
                      <w:i/>
                    </w:rPr>
                    <w:t xml:space="preserve"> </w:t>
                  </w:r>
                  <w:proofErr w:type="spellStart"/>
                  <w:r w:rsidRPr="00957DEE">
                    <w:rPr>
                      <w:i/>
                    </w:rPr>
                    <w:t>L</w:t>
                  </w:r>
                  <w:r>
                    <w:rPr>
                      <w:i/>
                      <w:vertAlign w:val="subscript"/>
                    </w:rPr>
                    <w:t>nm</w:t>
                  </w:r>
                  <w:proofErr w:type="spellEnd"/>
                  <w:r w:rsidRPr="00957DEE">
                    <w:rPr>
                      <w:i/>
                    </w:rPr>
                    <w:t>)</w:t>
                  </w:r>
                  <w:r w:rsidRPr="00381190">
                    <w:t>:</w:t>
                  </w:r>
                </w:p>
                <w:p w:rsidR="00A929BA" w:rsidRDefault="00A929BA" w:rsidP="007E7F09"/>
                <w:tbl>
                  <w:tblPr>
                    <w:tblW w:w="7694" w:type="dxa"/>
                    <w:tblInd w:w="964" w:type="dxa"/>
                    <w:tblLook w:val="04A0"/>
                  </w:tblPr>
                  <w:tblGrid>
                    <w:gridCol w:w="1328"/>
                    <w:gridCol w:w="283"/>
                    <w:gridCol w:w="6083"/>
                  </w:tblGrid>
                  <w:tr w:rsidR="00A929BA" w:rsidTr="008072D1">
                    <w:tc>
                      <w:tcPr>
                        <w:tcW w:w="1328" w:type="dxa"/>
                      </w:tcPr>
                      <w:p w:rsidR="00A929BA" w:rsidRPr="00FC35DF" w:rsidRDefault="00A929BA" w:rsidP="008072D1">
                        <w:pPr>
                          <w:rPr>
                            <w:i/>
                          </w:rPr>
                        </w:pPr>
                        <w:r w:rsidRPr="00FC35DF">
                          <w:rPr>
                            <w:i/>
                          </w:rPr>
                          <w:t>f</w:t>
                        </w:r>
                      </w:p>
                    </w:tc>
                    <w:tc>
                      <w:tcPr>
                        <w:tcW w:w="0" w:type="auto"/>
                      </w:tcPr>
                      <w:p w:rsidR="00A929BA" w:rsidRDefault="00A929BA" w:rsidP="008072D1">
                        <w:r>
                          <w:t>:</w:t>
                        </w:r>
                      </w:p>
                    </w:tc>
                    <w:tc>
                      <w:tcPr>
                        <w:tcW w:w="0" w:type="auto"/>
                      </w:tcPr>
                      <w:p w:rsidR="00A929BA" w:rsidRDefault="00A929BA" w:rsidP="008072D1">
                        <w:r>
                          <w:t>centre frequency of transmitter (megahertz)</w:t>
                        </w:r>
                      </w:p>
                    </w:tc>
                  </w:tr>
                  <w:tr w:rsidR="00A929BA" w:rsidTr="008072D1">
                    <w:tc>
                      <w:tcPr>
                        <w:tcW w:w="1328" w:type="dxa"/>
                      </w:tcPr>
                      <w:p w:rsidR="00A929BA" w:rsidRDefault="00A929BA" w:rsidP="008072D1">
                        <w:proofErr w:type="spellStart"/>
                        <w:r w:rsidRPr="00FC35DF">
                          <w:rPr>
                            <w:i/>
                          </w:rPr>
                          <w:t>h</w:t>
                        </w:r>
                        <w:r w:rsidRPr="00FC35DF">
                          <w:rPr>
                            <w:i/>
                            <w:vertAlign w:val="subscript"/>
                          </w:rPr>
                          <w:t>gr</w:t>
                        </w:r>
                        <w:proofErr w:type="spellEnd"/>
                      </w:p>
                    </w:tc>
                    <w:tc>
                      <w:tcPr>
                        <w:tcW w:w="0" w:type="auto"/>
                      </w:tcPr>
                      <w:p w:rsidR="00A929BA" w:rsidRDefault="00A929BA" w:rsidP="008072D1">
                        <w:r>
                          <w:t>:</w:t>
                        </w:r>
                      </w:p>
                    </w:tc>
                    <w:tc>
                      <w:tcPr>
                        <w:tcW w:w="0" w:type="auto"/>
                      </w:tcPr>
                      <w:p w:rsidR="00A929BA" w:rsidRDefault="00A929BA" w:rsidP="008072D1">
                        <w:r>
                          <w:t>is the nominal receive antenna height above ground level being 1.5 metres</w:t>
                        </w:r>
                      </w:p>
                    </w:tc>
                  </w:tr>
                  <w:tr w:rsidR="00A929BA" w:rsidTr="008072D1">
                    <w:tc>
                      <w:tcPr>
                        <w:tcW w:w="1328" w:type="dxa"/>
                      </w:tcPr>
                      <w:p w:rsidR="00A929BA" w:rsidRPr="00FC35DF" w:rsidRDefault="00A929BA" w:rsidP="008072D1">
                        <w:pPr>
                          <w:rPr>
                            <w:i/>
                          </w:rPr>
                        </w:pPr>
                        <w:r w:rsidRPr="00FC35DF">
                          <w:rPr>
                            <w:position w:val="-14"/>
                          </w:rPr>
                          <w:object w:dxaOrig="620" w:dyaOrig="380">
                            <v:shape id="_x0000_i1044" type="#_x0000_t75" style="width:30.75pt;height:18.75pt" o:ole="">
                              <v:imagedata r:id="rId43" o:title=""/>
                            </v:shape>
                            <o:OLEObject Type="Embed" ProgID="Equation.3" ShapeID="_x0000_i1044" DrawAspect="Content" ObjectID="_1403421072" r:id="rId44"/>
                          </w:object>
                        </w:r>
                      </w:p>
                    </w:tc>
                    <w:tc>
                      <w:tcPr>
                        <w:tcW w:w="0" w:type="auto"/>
                      </w:tcPr>
                      <w:p w:rsidR="00A929BA" w:rsidRDefault="00A929BA" w:rsidP="008072D1">
                        <w:r>
                          <w:t>:</w:t>
                        </w:r>
                      </w:p>
                    </w:tc>
                    <w:tc>
                      <w:tcPr>
                        <w:tcW w:w="0" w:type="auto"/>
                      </w:tcPr>
                      <w:p w:rsidR="00A929BA" w:rsidRDefault="00A929BA" w:rsidP="008072D1">
                        <w:proofErr w:type="gramStart"/>
                        <w:r>
                          <w:t>is</w:t>
                        </w:r>
                        <w:proofErr w:type="gramEnd"/>
                        <w:r>
                          <w:t xml:space="preserve"> the transmit effective antenna height (metres) as defined in Schedule 3.</w:t>
                        </w:r>
                      </w:p>
                    </w:tc>
                  </w:tr>
                  <w:tr w:rsidR="00A929BA" w:rsidTr="008072D1">
                    <w:tc>
                      <w:tcPr>
                        <w:tcW w:w="1328" w:type="dxa"/>
                      </w:tcPr>
                      <w:p w:rsidR="00A929BA" w:rsidRPr="00FC35DF" w:rsidRDefault="00A929BA" w:rsidP="008072D1">
                        <w:pPr>
                          <w:rPr>
                            <w:i/>
                          </w:rPr>
                        </w:pPr>
                        <w:r w:rsidRPr="00FC35DF">
                          <w:rPr>
                            <w:i/>
                          </w:rPr>
                          <w:t>d(</w:t>
                        </w:r>
                        <w:proofErr w:type="spellStart"/>
                        <w:r w:rsidRPr="00FC35DF">
                          <w:rPr>
                            <w:i/>
                          </w:rPr>
                          <w:t>l</w:t>
                        </w:r>
                        <w:r w:rsidRPr="00FC35DF">
                          <w:rPr>
                            <w:i/>
                            <w:vertAlign w:val="subscript"/>
                          </w:rPr>
                          <w:t>mn</w:t>
                        </w:r>
                        <w:proofErr w:type="spellEnd"/>
                        <w:r w:rsidRPr="00FC35DF">
                          <w:rPr>
                            <w:i/>
                          </w:rPr>
                          <w:t xml:space="preserve">, </w:t>
                        </w:r>
                        <w:proofErr w:type="spellStart"/>
                        <w:r>
                          <w:rPr>
                            <w:i/>
                          </w:rPr>
                          <w:t>L</w:t>
                        </w:r>
                        <w:r w:rsidRPr="00FC35DF">
                          <w:rPr>
                            <w:i/>
                            <w:vertAlign w:val="subscript"/>
                          </w:rPr>
                          <w:t>mn</w:t>
                        </w:r>
                        <w:proofErr w:type="spellEnd"/>
                        <w:r w:rsidRPr="00FC35DF">
                          <w:rPr>
                            <w:i/>
                          </w:rPr>
                          <w:t>)</w:t>
                        </w:r>
                      </w:p>
                    </w:tc>
                    <w:tc>
                      <w:tcPr>
                        <w:tcW w:w="0" w:type="auto"/>
                      </w:tcPr>
                      <w:p w:rsidR="00A929BA" w:rsidRDefault="00A929BA" w:rsidP="008072D1">
                        <w:r>
                          <w:t>:</w:t>
                        </w:r>
                      </w:p>
                    </w:tc>
                    <w:tc>
                      <w:tcPr>
                        <w:tcW w:w="0" w:type="auto"/>
                      </w:tcPr>
                      <w:p w:rsidR="00A929BA" w:rsidRPr="00D03FBD" w:rsidRDefault="00A929BA" w:rsidP="008072D1">
                        <w:proofErr w:type="gramStart"/>
                        <w:r>
                          <w:t>is</w:t>
                        </w:r>
                        <w:proofErr w:type="gramEnd"/>
                        <w:r>
                          <w:t xml:space="preserve"> the distance in kilometres between the location of the transmitter, </w:t>
                        </w:r>
                        <w:r w:rsidRPr="00FC35DF">
                          <w:rPr>
                            <w:i/>
                          </w:rPr>
                          <w:t>(</w:t>
                        </w:r>
                        <w:proofErr w:type="spellStart"/>
                        <w:r w:rsidRPr="00FC35DF">
                          <w:rPr>
                            <w:i/>
                            <w:iCs/>
                          </w:rPr>
                          <w:t>l</w:t>
                        </w:r>
                        <w:r w:rsidRPr="00FC35DF">
                          <w:rPr>
                            <w:i/>
                            <w:iCs/>
                            <w:vertAlign w:val="subscript"/>
                          </w:rPr>
                          <w:t>t</w:t>
                        </w:r>
                        <w:proofErr w:type="spellEnd"/>
                        <w:r w:rsidRPr="00FC35DF">
                          <w:rPr>
                            <w:i/>
                          </w:rPr>
                          <w:t>, L</w:t>
                        </w:r>
                        <w:r w:rsidRPr="00FC35DF">
                          <w:rPr>
                            <w:i/>
                            <w:vertAlign w:val="subscript"/>
                          </w:rPr>
                          <w:t>t</w:t>
                        </w:r>
                        <w:r w:rsidRPr="00FC35DF">
                          <w:rPr>
                            <w:i/>
                          </w:rPr>
                          <w:t>)</w:t>
                        </w:r>
                        <w:r>
                          <w:t xml:space="preserve">, </w:t>
                        </w:r>
                        <w:r w:rsidRPr="005501FB">
                          <w:t xml:space="preserve">and </w:t>
                        </w:r>
                        <w:r>
                          <w:t xml:space="preserve">the </w:t>
                        </w:r>
                        <w:proofErr w:type="spellStart"/>
                        <w:r>
                          <w:t>m</w:t>
                        </w:r>
                        <w:r w:rsidRPr="00FC35DF">
                          <w:rPr>
                            <w:vertAlign w:val="superscript"/>
                          </w:rPr>
                          <w:t>th</w:t>
                        </w:r>
                        <w:proofErr w:type="spellEnd"/>
                        <w:r>
                          <w:t xml:space="preserve"> increment on the n</w:t>
                        </w:r>
                        <w:r w:rsidRPr="00FC35DF">
                          <w:rPr>
                            <w:vertAlign w:val="superscript"/>
                          </w:rPr>
                          <w:t>th</w:t>
                        </w:r>
                        <w:r>
                          <w:t xml:space="preserve"> radial</w:t>
                        </w:r>
                        <w:r w:rsidRPr="005501FB" w:rsidDel="009B7A35">
                          <w:t xml:space="preserve"> </w:t>
                        </w:r>
                        <w:r w:rsidRPr="00FC35DF">
                          <w:rPr>
                            <w:i/>
                          </w:rPr>
                          <w:t>(</w:t>
                        </w:r>
                        <w:proofErr w:type="spellStart"/>
                        <w:r w:rsidRPr="00FC35DF">
                          <w:rPr>
                            <w:i/>
                          </w:rPr>
                          <w:t>l</w:t>
                        </w:r>
                        <w:r w:rsidRPr="00FC35DF">
                          <w:rPr>
                            <w:i/>
                            <w:vertAlign w:val="subscript"/>
                          </w:rPr>
                          <w:t>mn</w:t>
                        </w:r>
                        <w:proofErr w:type="spellEnd"/>
                        <w:r w:rsidRPr="00FC35DF">
                          <w:rPr>
                            <w:i/>
                          </w:rPr>
                          <w:t xml:space="preserve">, </w:t>
                        </w:r>
                        <w:proofErr w:type="spellStart"/>
                        <w:r w:rsidRPr="00FC35DF">
                          <w:rPr>
                            <w:i/>
                          </w:rPr>
                          <w:t>L</w:t>
                        </w:r>
                        <w:r w:rsidRPr="00FC35DF">
                          <w:rPr>
                            <w:i/>
                            <w:vertAlign w:val="subscript"/>
                          </w:rPr>
                          <w:t>mn</w:t>
                        </w:r>
                        <w:proofErr w:type="spellEnd"/>
                        <w:r>
                          <w:rPr>
                            <w:i/>
                          </w:rPr>
                          <w:t>).</w:t>
                        </w:r>
                      </w:p>
                    </w:tc>
                  </w:tr>
                </w:tbl>
                <w:p w:rsidR="00A929BA" w:rsidRDefault="00A929BA" w:rsidP="007E7F09"/>
                <w:p w:rsidR="00A929BA" w:rsidRPr="00381190" w:rsidRDefault="00A929BA" w:rsidP="007E7F09">
                  <w:pPr>
                    <w:spacing w:before="120"/>
                    <w:ind w:left="993"/>
                  </w:pPr>
                  <w:proofErr w:type="gramStart"/>
                  <w:r>
                    <w:t>i</w:t>
                  </w:r>
                  <w:r w:rsidRPr="00381190">
                    <w:t>f</w:t>
                  </w:r>
                  <w:proofErr w:type="gramEnd"/>
                  <w:r w:rsidRPr="00381190">
                    <w:t xml:space="preserve"> </w:t>
                  </w:r>
                  <w:r w:rsidRPr="00FC35DF">
                    <w:rPr>
                      <w:position w:val="-14"/>
                    </w:rPr>
                    <w:object w:dxaOrig="620" w:dyaOrig="380">
                      <v:shape id="_x0000_i1046" type="#_x0000_t75" style="width:30.75pt;height:18.75pt" o:ole="">
                        <v:imagedata r:id="rId43" o:title=""/>
                      </v:shape>
                      <o:OLEObject Type="Embed" ProgID="Equation.3" ShapeID="_x0000_i1046" DrawAspect="Content" ObjectID="_1403421073" r:id="rId45"/>
                    </w:object>
                  </w:r>
                  <w:r w:rsidRPr="00381190">
                    <w:t xml:space="preserve"> &lt; 1.5</w:t>
                  </w:r>
                  <w:r>
                    <w:t xml:space="preserve"> metres</w:t>
                  </w:r>
                  <w:r w:rsidRPr="00381190">
                    <w:t xml:space="preserve">, then </w:t>
                  </w:r>
                  <w:r w:rsidRPr="00FC35DF">
                    <w:rPr>
                      <w:position w:val="-14"/>
                    </w:rPr>
                    <w:object w:dxaOrig="620" w:dyaOrig="380">
                      <v:shape id="_x0000_i1048" type="#_x0000_t75" style="width:30.75pt;height:18.75pt" o:ole="">
                        <v:imagedata r:id="rId43" o:title=""/>
                      </v:shape>
                      <o:OLEObject Type="Embed" ProgID="Equation.3" ShapeID="_x0000_i1048" DrawAspect="Content" ObjectID="_1403421074" r:id="rId46"/>
                    </w:object>
                  </w:r>
                  <w:r w:rsidRPr="00381190">
                    <w:t>= 1.5</w:t>
                  </w:r>
                  <w:r>
                    <w:t xml:space="preserve"> metres</w:t>
                  </w:r>
                  <w:r w:rsidRPr="00381190">
                    <w:t xml:space="preserve">; </w:t>
                  </w:r>
                  <w:r>
                    <w:t>or</w:t>
                  </w:r>
                </w:p>
                <w:p w:rsidR="00A929BA" w:rsidRPr="00381190" w:rsidRDefault="00A929BA" w:rsidP="007E7F09">
                  <w:pPr>
                    <w:spacing w:before="120"/>
                    <w:ind w:left="993"/>
                  </w:pPr>
                  <w:proofErr w:type="gramStart"/>
                  <w:r w:rsidRPr="00381190">
                    <w:t>if</w:t>
                  </w:r>
                  <w:proofErr w:type="gramEnd"/>
                  <w:r w:rsidRPr="00381190">
                    <w:t xml:space="preserve"> </w:t>
                  </w:r>
                  <w:r w:rsidRPr="00FC35DF">
                    <w:rPr>
                      <w:position w:val="-14"/>
                    </w:rPr>
                    <w:object w:dxaOrig="620" w:dyaOrig="380">
                      <v:shape id="_x0000_i1050" type="#_x0000_t75" style="width:30.75pt;height:18.75pt" o:ole="">
                        <v:imagedata r:id="rId43" o:title=""/>
                      </v:shape>
                      <o:OLEObject Type="Embed" ProgID="Equation.3" ShapeID="_x0000_i1050" DrawAspect="Content" ObjectID="_1403421075" r:id="rId47"/>
                    </w:object>
                  </w:r>
                  <w:r>
                    <w:rPr>
                      <w:position w:val="-14"/>
                    </w:rPr>
                    <w:t xml:space="preserve"> </w:t>
                  </w:r>
                  <w:r w:rsidRPr="00381190">
                    <w:t xml:space="preserve">&gt; </w:t>
                  </w:r>
                  <w:r>
                    <w:t>500</w:t>
                  </w:r>
                  <w:r w:rsidRPr="00381190">
                    <w:t xml:space="preserve"> </w:t>
                  </w:r>
                  <w:r>
                    <w:t xml:space="preserve">metres </w:t>
                  </w:r>
                  <w:r w:rsidRPr="00381190">
                    <w:t xml:space="preserve">then </w:t>
                  </w:r>
                  <w:r w:rsidRPr="00FC35DF">
                    <w:rPr>
                      <w:position w:val="-14"/>
                    </w:rPr>
                    <w:object w:dxaOrig="620" w:dyaOrig="380">
                      <v:shape id="_x0000_i1052" type="#_x0000_t75" style="width:30.75pt;height:18.75pt" o:ole="">
                        <v:imagedata r:id="rId43" o:title=""/>
                      </v:shape>
                      <o:OLEObject Type="Embed" ProgID="Equation.3" ShapeID="_x0000_i1052" DrawAspect="Content" ObjectID="_1403421076" r:id="rId48"/>
                    </w:object>
                  </w:r>
                  <w:r w:rsidRPr="00381190">
                    <w:t xml:space="preserve">= </w:t>
                  </w:r>
                  <w:r>
                    <w:t>500 metres</w:t>
                  </w:r>
                  <w:r w:rsidRPr="00381190">
                    <w:t>.</w:t>
                  </w:r>
                </w:p>
                <w:p w:rsidR="00A929BA" w:rsidRDefault="00A929BA" w:rsidP="007E7F09">
                  <w:pPr>
                    <w:rPr>
                      <w:rFonts w:ascii="Arial" w:hAnsi="Arial" w:cs="Arial"/>
                      <w:b/>
                    </w:rPr>
                  </w:pPr>
                </w:p>
                <w:p w:rsidR="00A929BA" w:rsidRDefault="00A929BA" w:rsidP="007E7F09">
                  <w:pPr>
                    <w:tabs>
                      <w:tab w:val="right" w:pos="794"/>
                    </w:tabs>
                    <w:ind w:left="964" w:hanging="964"/>
                  </w:pPr>
                  <w:r>
                    <w:t>2.</w:t>
                  </w:r>
                  <w:r>
                    <w:tab/>
                  </w:r>
                  <w:r>
                    <w:tab/>
                    <w:t xml:space="preserve">The propagation loss for the </w:t>
                  </w:r>
                  <w:proofErr w:type="spellStart"/>
                  <w:r>
                    <w:t>m</w:t>
                  </w:r>
                  <w:r>
                    <w:rPr>
                      <w:vertAlign w:val="superscript"/>
                    </w:rPr>
                    <w:t>th</w:t>
                  </w:r>
                  <w:proofErr w:type="spellEnd"/>
                  <w:r>
                    <w:t xml:space="preserve"> increment on the n</w:t>
                  </w:r>
                  <w:r>
                    <w:rPr>
                      <w:vertAlign w:val="superscript"/>
                    </w:rPr>
                    <w:t>th</w:t>
                  </w:r>
                  <w:r>
                    <w:t xml:space="preserve"> radial is established as follows:</w:t>
                  </w:r>
                  <w:r w:rsidRPr="00765523">
                    <w:t xml:space="preserve"> </w:t>
                  </w:r>
                </w:p>
                <w:p w:rsidR="00A929BA" w:rsidRDefault="00A929BA" w:rsidP="007E7F09">
                  <w:pPr>
                    <w:pStyle w:val="Schedulepara"/>
                    <w:tabs>
                      <w:tab w:val="clear" w:pos="567"/>
                      <w:tab w:val="right" w:pos="1620"/>
                    </w:tabs>
                    <w:spacing w:line="240" w:lineRule="auto"/>
                    <w:ind w:left="1979" w:hanging="1979"/>
                  </w:pPr>
                  <w:r w:rsidRPr="00381190">
                    <w:tab/>
                    <w:t>Step 1:</w:t>
                  </w:r>
                  <w:r w:rsidRPr="00381190">
                    <w:tab/>
                  </w:r>
                  <w:r>
                    <w:t>Calculate the constants required</w:t>
                  </w:r>
                </w:p>
                <w:p w:rsidR="00A929BA" w:rsidRDefault="00A929BA" w:rsidP="007E7F09">
                  <w:pPr>
                    <w:pStyle w:val="Schedulepara"/>
                    <w:tabs>
                      <w:tab w:val="clear" w:pos="567"/>
                      <w:tab w:val="right" w:pos="1620"/>
                    </w:tabs>
                    <w:spacing w:before="0" w:line="240" w:lineRule="auto"/>
                  </w:pPr>
                </w:p>
                <w:p w:rsidR="00A929BA" w:rsidRDefault="00A929BA" w:rsidP="007E7F09">
                  <w:pPr>
                    <w:ind w:left="964"/>
                    <w:rPr>
                      <w:position w:val="-14"/>
                    </w:rPr>
                  </w:pPr>
                  <w:r w:rsidRPr="000204F2">
                    <w:rPr>
                      <w:position w:val="-14"/>
                    </w:rPr>
                    <w:object w:dxaOrig="7119" w:dyaOrig="340">
                      <v:shape id="_x0000_i1054" type="#_x0000_t75" style="width:354pt;height:18pt" o:ole="">
                        <v:imagedata r:id="rId49" o:title=""/>
                      </v:shape>
                      <o:OLEObject Type="Embed" ProgID="Equation.3" ShapeID="_x0000_i1054" DrawAspect="Content" ObjectID="_1403421077" r:id="rId50"/>
                    </w:object>
                  </w:r>
                </w:p>
                <w:p w:rsidR="00A929BA" w:rsidRDefault="00A929BA" w:rsidP="007E7F09">
                  <w:pPr>
                    <w:ind w:left="964"/>
                    <w:rPr>
                      <w:position w:val="-14"/>
                    </w:rPr>
                  </w:pPr>
                </w:p>
                <w:p w:rsidR="00A929BA" w:rsidRDefault="00A929BA" w:rsidP="007E7F09">
                  <w:pPr>
                    <w:ind w:left="964"/>
                    <w:rPr>
                      <w:position w:val="-14"/>
                    </w:rPr>
                  </w:pPr>
                  <w:r w:rsidRPr="00856F04">
                    <w:rPr>
                      <w:position w:val="-14"/>
                    </w:rPr>
                    <w:object w:dxaOrig="2840" w:dyaOrig="340">
                      <v:shape id="_x0000_i1056" type="#_x0000_t75" style="width:141.75pt;height:17.25pt" o:ole="">
                        <v:imagedata r:id="rId51" o:title=""/>
                      </v:shape>
                      <o:OLEObject Type="Embed" ProgID="Equation.3" ShapeID="_x0000_i1056" DrawAspect="Content" ObjectID="_1403421078" r:id="rId52"/>
                    </w:object>
                  </w:r>
                </w:p>
                <w:p w:rsidR="00A929BA" w:rsidRDefault="00A929BA" w:rsidP="007E7F09">
                  <w:pPr>
                    <w:ind w:left="964"/>
                    <w:rPr>
                      <w:position w:val="-14"/>
                    </w:rPr>
                  </w:pPr>
                </w:p>
                <w:p w:rsidR="00A929BA" w:rsidRDefault="00A929BA">
                  <w:pPr>
                    <w:rPr>
                      <w:position w:val="-28"/>
                    </w:rPr>
                  </w:pPr>
                  <w:r w:rsidRPr="00856F04">
                    <w:rPr>
                      <w:position w:val="-28"/>
                    </w:rPr>
                    <w:object w:dxaOrig="8720" w:dyaOrig="660">
                      <v:shape id="_x0000_i1058" type="#_x0000_t75" style="width:436.5pt;height:33pt" o:ole="">
                        <v:imagedata r:id="rId53" o:title=""/>
                      </v:shape>
                      <o:OLEObject Type="Embed" ProgID="Equation.3" ShapeID="_x0000_i1058" DrawAspect="Content" ObjectID="_1403421079" r:id="rId54"/>
                    </w:object>
                  </w:r>
                </w:p>
                <w:p w:rsidR="00A929BA" w:rsidRDefault="00A929BA" w:rsidP="007E7F09">
                  <w:pPr>
                    <w:pStyle w:val="Schedulepara"/>
                    <w:tabs>
                      <w:tab w:val="clear" w:pos="567"/>
                      <w:tab w:val="right" w:pos="1620"/>
                    </w:tabs>
                    <w:spacing w:before="0" w:line="240" w:lineRule="auto"/>
                    <w:ind w:leftChars="401" w:left="1926"/>
                    <w:jc w:val="left"/>
                  </w:pPr>
                </w:p>
                <w:p w:rsidR="00A929BA" w:rsidRDefault="00A929BA" w:rsidP="007E7F09">
                  <w:pPr>
                    <w:pStyle w:val="Schedulepara"/>
                    <w:tabs>
                      <w:tab w:val="clear" w:pos="567"/>
                      <w:tab w:val="right" w:pos="1620"/>
                    </w:tabs>
                    <w:spacing w:before="0" w:line="240" w:lineRule="auto"/>
                    <w:ind w:leftChars="401" w:left="1926"/>
                    <w:jc w:val="left"/>
                  </w:pPr>
                  <w:r w:rsidRPr="00381190">
                    <w:t xml:space="preserve">Step </w:t>
                  </w:r>
                  <w:r>
                    <w:t>2</w:t>
                  </w:r>
                  <w:r w:rsidRPr="00381190">
                    <w:t>:</w:t>
                  </w:r>
                  <w:r w:rsidRPr="00381190">
                    <w:tab/>
                  </w:r>
                  <w:r w:rsidRPr="00CF1F99">
                    <w:t xml:space="preserve">Calculate the propagation loss for the </w:t>
                  </w:r>
                  <w:proofErr w:type="spellStart"/>
                  <w:r w:rsidRPr="00CF1F99">
                    <w:t>m</w:t>
                  </w:r>
                  <w:r w:rsidRPr="00633C2A">
                    <w:rPr>
                      <w:vertAlign w:val="superscript"/>
                    </w:rPr>
                    <w:t>th</w:t>
                  </w:r>
                  <w:proofErr w:type="spellEnd"/>
                  <w:r w:rsidRPr="00CF1F99">
                    <w:t xml:space="preserve"> increment on the n</w:t>
                  </w:r>
                  <w:r w:rsidRPr="00633C2A">
                    <w:rPr>
                      <w:vertAlign w:val="superscript"/>
                    </w:rPr>
                    <w:t>th</w:t>
                  </w:r>
                  <w:r w:rsidRPr="00CF1F99">
                    <w:t xml:space="preserve"> radial</w:t>
                  </w:r>
                </w:p>
                <w:p w:rsidR="00A929BA" w:rsidRDefault="00A929BA" w:rsidP="007E7F09">
                  <w:pPr>
                    <w:pStyle w:val="Schedulepara"/>
                    <w:tabs>
                      <w:tab w:val="clear" w:pos="567"/>
                      <w:tab w:val="right" w:pos="1620"/>
                    </w:tabs>
                    <w:spacing w:before="0" w:line="240" w:lineRule="auto"/>
                    <w:ind w:leftChars="401" w:left="1926"/>
                    <w:jc w:val="left"/>
                  </w:pPr>
                </w:p>
                <w:p w:rsidR="00A929BA" w:rsidRDefault="00A929BA" w:rsidP="00DD00A0">
                  <w:pPr>
                    <w:pStyle w:val="Schedulepara"/>
                    <w:tabs>
                      <w:tab w:val="clear" w:pos="567"/>
                      <w:tab w:val="right" w:pos="1620"/>
                    </w:tabs>
                    <w:spacing w:before="0" w:line="240" w:lineRule="auto"/>
                    <w:ind w:leftChars="401" w:left="1926"/>
                    <w:jc w:val="left"/>
                    <w:rPr>
                      <w:position w:val="-32"/>
                    </w:rPr>
                  </w:pPr>
                  <w:r w:rsidRPr="00390CEB">
                    <w:rPr>
                      <w:position w:val="-50"/>
                    </w:rPr>
                    <w:object w:dxaOrig="7020" w:dyaOrig="1100">
                      <v:shape id="_x0000_i1060" type="#_x0000_t75" style="width:351.75pt;height:55.5pt" o:ole="">
                        <v:imagedata r:id="rId55" o:title=""/>
                      </v:shape>
                      <o:OLEObject Type="Embed" ProgID="Equation.3" ShapeID="_x0000_i1060" DrawAspect="Content" ObjectID="_1403421080" r:id="rId56"/>
                    </w:object>
                  </w:r>
                </w:p>
                <w:p w:rsidR="00A929BA" w:rsidRDefault="00A929BA" w:rsidP="007E7F09">
                  <w:pPr>
                    <w:pStyle w:val="Schedulepara"/>
                    <w:tabs>
                      <w:tab w:val="clear" w:pos="567"/>
                      <w:tab w:val="right" w:pos="1620"/>
                    </w:tabs>
                    <w:spacing w:before="0" w:line="240" w:lineRule="auto"/>
                    <w:ind w:leftChars="401" w:left="1926"/>
                    <w:jc w:val="left"/>
                  </w:pPr>
                </w:p>
                <w:p w:rsidR="00A929BA" w:rsidRDefault="00A929BA"/>
              </w:txbxContent>
            </v:textbox>
            <w10:wrap type="none"/>
            <w10:anchorlock/>
          </v:rect>
        </w:pict>
      </w:r>
    </w:p>
    <w:p w:rsidR="00912FD8" w:rsidRPr="00F164FD" w:rsidRDefault="00912FD8">
      <w:pPr>
        <w:rPr>
          <w:rFonts w:ascii="Arial" w:hAnsi="Arial" w:cs="Arial"/>
          <w:b/>
          <w:color w:val="0D0D0D" w:themeColor="text1" w:themeTint="F2"/>
        </w:rPr>
      </w:pPr>
    </w:p>
    <w:p w:rsidR="00912FD8" w:rsidRPr="00F164FD" w:rsidRDefault="001F0E24">
      <w:pPr>
        <w:pStyle w:val="Heading3"/>
        <w:rPr>
          <w:rFonts w:ascii="Arial" w:hAnsi="Arial" w:cs="Arial"/>
          <w:color w:val="0D0D0D" w:themeColor="text1" w:themeTint="F2"/>
        </w:rPr>
      </w:pPr>
      <w:r w:rsidRPr="00F164FD">
        <w:rPr>
          <w:rFonts w:ascii="Arial" w:hAnsi="Arial" w:cs="Arial"/>
          <w:color w:val="0D0D0D" w:themeColor="text1" w:themeTint="F2"/>
        </w:rPr>
        <w:t>6.</w:t>
      </w:r>
      <w:r w:rsidR="00FD7F2C" w:rsidRPr="00F164FD">
        <w:rPr>
          <w:rFonts w:ascii="Arial" w:hAnsi="Arial" w:cs="Arial"/>
          <w:color w:val="0D0D0D" w:themeColor="text1" w:themeTint="F2"/>
        </w:rPr>
        <w:t>2</w:t>
      </w:r>
      <w:r w:rsidRPr="00F164FD">
        <w:rPr>
          <w:rFonts w:ascii="Arial" w:hAnsi="Arial" w:cs="Arial"/>
          <w:color w:val="0D0D0D" w:themeColor="text1" w:themeTint="F2"/>
        </w:rPr>
        <w:tab/>
        <w:t>Proposed New Digital Elevation Model</w:t>
      </w:r>
    </w:p>
    <w:p w:rsidR="00912FD8" w:rsidRPr="00631F28" w:rsidRDefault="001F0E24">
      <w:pPr>
        <w:rPr>
          <w:rFonts w:ascii="Arial" w:hAnsi="Arial" w:cs="Arial"/>
          <w:color w:val="0D0D0D" w:themeColor="text1" w:themeTint="F2"/>
          <w:sz w:val="22"/>
          <w:szCs w:val="22"/>
        </w:rPr>
      </w:pPr>
      <w:r w:rsidRPr="00631F28">
        <w:rPr>
          <w:rFonts w:ascii="Arial" w:hAnsi="Arial" w:cs="Arial"/>
          <w:color w:val="0D0D0D" w:themeColor="text1" w:themeTint="F2"/>
          <w:sz w:val="22"/>
          <w:szCs w:val="22"/>
        </w:rPr>
        <w:t>The ACMA intends to transition from the Australian Geodetic Datum 1966 (AGD66) to the Geocentric Datum of Australia 1994 (GDA94).</w:t>
      </w:r>
    </w:p>
    <w:p w:rsidR="00912FD8" w:rsidRPr="00631F28" w:rsidRDefault="00912FD8">
      <w:pPr>
        <w:rPr>
          <w:rFonts w:ascii="Arial" w:hAnsi="Arial" w:cs="Arial"/>
          <w:color w:val="0D0D0D" w:themeColor="text1" w:themeTint="F2"/>
          <w:sz w:val="22"/>
          <w:szCs w:val="22"/>
        </w:rPr>
      </w:pPr>
    </w:p>
    <w:p w:rsidR="00912FD8" w:rsidRDefault="001F0E24">
      <w:pPr>
        <w:rPr>
          <w:rFonts w:ascii="Arial" w:hAnsi="Arial" w:cs="Arial"/>
          <w:color w:val="0D0D0D" w:themeColor="text1" w:themeTint="F2"/>
          <w:sz w:val="22"/>
          <w:szCs w:val="22"/>
        </w:rPr>
      </w:pPr>
      <w:r w:rsidRPr="00631F28">
        <w:rPr>
          <w:rFonts w:ascii="Arial" w:hAnsi="Arial" w:cs="Arial"/>
          <w:color w:val="0D0D0D" w:themeColor="text1" w:themeTint="F2"/>
          <w:sz w:val="22"/>
          <w:szCs w:val="22"/>
        </w:rPr>
        <w:t>This change in datum will also require the Digital Elevation Model (DEM) used in spectrum licensing to also be in GDA94. Currently effective antenna heights calculations are made</w:t>
      </w:r>
      <w:r w:rsidR="004305BE"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 xml:space="preserve">using </w:t>
      </w:r>
      <w:proofErr w:type="spellStart"/>
      <w:r w:rsidRPr="00631F28">
        <w:rPr>
          <w:rFonts w:ascii="Arial" w:hAnsi="Arial" w:cs="Arial"/>
          <w:color w:val="0D0D0D" w:themeColor="text1" w:themeTint="F2"/>
          <w:sz w:val="22"/>
          <w:szCs w:val="22"/>
        </w:rPr>
        <w:t>RadDEM</w:t>
      </w:r>
      <w:proofErr w:type="spellEnd"/>
      <w:r w:rsidRPr="00631F28">
        <w:rPr>
          <w:rFonts w:ascii="Arial" w:hAnsi="Arial" w:cs="Arial"/>
          <w:color w:val="0D0D0D" w:themeColor="text1" w:themeTint="F2"/>
          <w:sz w:val="22"/>
          <w:szCs w:val="22"/>
        </w:rPr>
        <w:t xml:space="preserve">, which is a 9-second DEM and is in the AGD66 format. It is intended to use a DEM already in GDA94 rather than convert </w:t>
      </w:r>
      <w:proofErr w:type="spellStart"/>
      <w:r w:rsidRPr="00631F28">
        <w:rPr>
          <w:rFonts w:ascii="Arial" w:hAnsi="Arial" w:cs="Arial"/>
          <w:color w:val="0D0D0D" w:themeColor="text1" w:themeTint="F2"/>
          <w:sz w:val="22"/>
          <w:szCs w:val="22"/>
        </w:rPr>
        <w:t>RadDEM</w:t>
      </w:r>
      <w:proofErr w:type="spellEnd"/>
      <w:r w:rsidRPr="00631F28">
        <w:rPr>
          <w:rFonts w:ascii="Arial" w:hAnsi="Arial" w:cs="Arial"/>
          <w:color w:val="0D0D0D" w:themeColor="text1" w:themeTint="F2"/>
          <w:sz w:val="22"/>
          <w:szCs w:val="22"/>
        </w:rPr>
        <w:t xml:space="preserve"> to GDA94. The likely DEM to be used is published by </w:t>
      </w:r>
      <w:proofErr w:type="spellStart"/>
      <w:r w:rsidRPr="00631F28">
        <w:rPr>
          <w:rFonts w:ascii="Arial" w:hAnsi="Arial" w:cs="Arial"/>
          <w:color w:val="0D0D0D" w:themeColor="text1" w:themeTint="F2"/>
          <w:sz w:val="22"/>
          <w:szCs w:val="22"/>
        </w:rPr>
        <w:t>Geoscience</w:t>
      </w:r>
      <w:proofErr w:type="spellEnd"/>
      <w:r w:rsidRPr="00631F28">
        <w:rPr>
          <w:rFonts w:ascii="Arial" w:hAnsi="Arial" w:cs="Arial"/>
          <w:color w:val="0D0D0D" w:themeColor="text1" w:themeTint="F2"/>
          <w:sz w:val="22"/>
          <w:szCs w:val="22"/>
        </w:rPr>
        <w:t xml:space="preserve"> Australia and is called GEODATA 9 Second Digital Elevation Model Version 3. For more information refer to the </w:t>
      </w:r>
      <w:r w:rsidR="00B90F51" w:rsidRPr="00631F28">
        <w:rPr>
          <w:rFonts w:ascii="Arial" w:hAnsi="Arial" w:cs="Arial"/>
          <w:i/>
          <w:color w:val="0D0D0D" w:themeColor="text1" w:themeTint="F2"/>
          <w:sz w:val="22"/>
          <w:szCs w:val="22"/>
        </w:rPr>
        <w:t xml:space="preserve">TLG </w:t>
      </w:r>
      <w:r w:rsidR="004305BE" w:rsidRPr="00631F28">
        <w:rPr>
          <w:rFonts w:ascii="Arial" w:hAnsi="Arial" w:cs="Arial"/>
          <w:i/>
          <w:color w:val="0D0D0D" w:themeColor="text1" w:themeTint="F2"/>
          <w:sz w:val="22"/>
          <w:szCs w:val="22"/>
        </w:rPr>
        <w:t>R</w:t>
      </w:r>
      <w:r w:rsidR="00B90F51" w:rsidRPr="00631F28">
        <w:rPr>
          <w:rFonts w:ascii="Arial" w:hAnsi="Arial" w:cs="Arial"/>
          <w:i/>
          <w:color w:val="0D0D0D" w:themeColor="text1" w:themeTint="F2"/>
          <w:sz w:val="22"/>
          <w:szCs w:val="22"/>
        </w:rPr>
        <w:t xml:space="preserve">eference </w:t>
      </w:r>
      <w:r w:rsidR="004305BE" w:rsidRPr="00631F28">
        <w:rPr>
          <w:rFonts w:ascii="Arial" w:hAnsi="Arial" w:cs="Arial"/>
          <w:i/>
          <w:color w:val="0D0D0D" w:themeColor="text1" w:themeTint="F2"/>
          <w:sz w:val="22"/>
          <w:szCs w:val="22"/>
        </w:rPr>
        <w:t>P</w:t>
      </w:r>
      <w:r w:rsidR="00B90F51" w:rsidRPr="00631F28">
        <w:rPr>
          <w:rFonts w:ascii="Arial" w:hAnsi="Arial" w:cs="Arial"/>
          <w:i/>
          <w:color w:val="0D0D0D" w:themeColor="text1" w:themeTint="F2"/>
          <w:sz w:val="22"/>
          <w:szCs w:val="22"/>
        </w:rPr>
        <w:t xml:space="preserve">aper – </w:t>
      </w:r>
      <w:r w:rsidR="004305BE" w:rsidRPr="00631F28">
        <w:rPr>
          <w:rFonts w:ascii="Arial" w:hAnsi="Arial" w:cs="Arial"/>
          <w:i/>
          <w:color w:val="0D0D0D" w:themeColor="text1" w:themeTint="F2"/>
          <w:sz w:val="22"/>
          <w:szCs w:val="22"/>
        </w:rPr>
        <w:t>GDA94 Adoption</w:t>
      </w:r>
      <w:r w:rsidR="00631F28">
        <w:rPr>
          <w:rFonts w:ascii="Arial" w:hAnsi="Arial" w:cs="Arial"/>
          <w:color w:val="0D0D0D" w:themeColor="text1" w:themeTint="F2"/>
          <w:sz w:val="22"/>
          <w:szCs w:val="22"/>
        </w:rPr>
        <w:t>.</w:t>
      </w:r>
    </w:p>
    <w:p w:rsidR="00631F28" w:rsidRDefault="00631F28">
      <w:pPr>
        <w:rPr>
          <w:rFonts w:ascii="Arial" w:hAnsi="Arial" w:cs="Arial"/>
          <w:color w:val="0D0D0D" w:themeColor="text1" w:themeTint="F2"/>
          <w:sz w:val="22"/>
          <w:szCs w:val="22"/>
        </w:rPr>
      </w:pPr>
    </w:p>
    <w:p w:rsidR="00631F28" w:rsidRDefault="00631F28">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631F28" w:rsidRPr="00631F28" w:rsidRDefault="00631F28">
      <w:pPr>
        <w:rPr>
          <w:rFonts w:ascii="Arial" w:hAnsi="Arial" w:cs="Arial"/>
          <w:color w:val="0D0D0D" w:themeColor="text1" w:themeTint="F2"/>
          <w:sz w:val="22"/>
          <w:szCs w:val="22"/>
        </w:rPr>
      </w:pPr>
    </w:p>
    <w:p w:rsidR="009C074A" w:rsidRPr="00F164FD" w:rsidRDefault="009C074A" w:rsidP="009C074A">
      <w:pPr>
        <w:pStyle w:val="Heading2"/>
        <w:rPr>
          <w:rFonts w:ascii="Arial" w:hAnsi="Arial" w:cs="Arial"/>
          <w:color w:val="0D0D0D" w:themeColor="text1" w:themeTint="F2"/>
        </w:rPr>
      </w:pPr>
      <w:r w:rsidRPr="00F164FD">
        <w:rPr>
          <w:rFonts w:ascii="Arial" w:hAnsi="Arial" w:cs="Arial"/>
          <w:color w:val="0D0D0D" w:themeColor="text1" w:themeTint="F2"/>
        </w:rPr>
        <w:t>7.</w:t>
      </w:r>
      <w:r w:rsidRPr="00F164FD">
        <w:rPr>
          <w:rFonts w:ascii="Arial" w:hAnsi="Arial" w:cs="Arial"/>
          <w:color w:val="0D0D0D" w:themeColor="text1" w:themeTint="F2"/>
        </w:rPr>
        <w:tab/>
        <w:t>Other Device Registration Arrangements</w:t>
      </w:r>
    </w:p>
    <w:p w:rsidR="009C074A" w:rsidRPr="00631F28" w:rsidRDefault="00521B77" w:rsidP="009C074A">
      <w:pPr>
        <w:rPr>
          <w:rFonts w:ascii="Arial" w:hAnsi="Arial" w:cs="Arial"/>
          <w:color w:val="0D0D0D" w:themeColor="text1" w:themeTint="F2"/>
          <w:sz w:val="22"/>
          <w:szCs w:val="22"/>
        </w:rPr>
      </w:pPr>
      <w:r w:rsidRPr="00631F28">
        <w:rPr>
          <w:rFonts w:ascii="Arial" w:hAnsi="Arial" w:cs="Arial"/>
          <w:color w:val="0D0D0D" w:themeColor="text1" w:themeTint="F2"/>
          <w:sz w:val="22"/>
          <w:szCs w:val="22"/>
        </w:rPr>
        <w:t>O</w:t>
      </w:r>
      <w:r w:rsidR="009C074A" w:rsidRPr="00631F28">
        <w:rPr>
          <w:rFonts w:ascii="Arial" w:hAnsi="Arial" w:cs="Arial"/>
          <w:color w:val="0D0D0D" w:themeColor="text1" w:themeTint="F2"/>
          <w:sz w:val="22"/>
          <w:szCs w:val="22"/>
        </w:rPr>
        <w:t>ther device registration arrangements typically:</w:t>
      </w:r>
    </w:p>
    <w:p w:rsidR="009C074A" w:rsidRPr="00631F28" w:rsidRDefault="009C074A" w:rsidP="00631F28">
      <w:pPr>
        <w:numPr>
          <w:ilvl w:val="0"/>
          <w:numId w:val="19"/>
        </w:numPr>
        <w:tabs>
          <w:tab w:val="clear" w:pos="720"/>
        </w:tabs>
        <w:ind w:left="426"/>
        <w:rPr>
          <w:rFonts w:ascii="Arial" w:hAnsi="Arial" w:cs="Arial"/>
          <w:color w:val="0D0D0D" w:themeColor="text1" w:themeTint="F2"/>
          <w:sz w:val="22"/>
          <w:szCs w:val="22"/>
        </w:rPr>
      </w:pPr>
      <w:r w:rsidRPr="00631F28">
        <w:rPr>
          <w:rFonts w:ascii="Arial" w:hAnsi="Arial" w:cs="Arial"/>
          <w:color w:val="0D0D0D" w:themeColor="text1" w:themeTint="F2"/>
          <w:sz w:val="22"/>
          <w:szCs w:val="22"/>
        </w:rPr>
        <w:t>declar</w:t>
      </w:r>
      <w:r w:rsidR="009553DC" w:rsidRPr="00631F28">
        <w:rPr>
          <w:rFonts w:ascii="Arial" w:hAnsi="Arial" w:cs="Arial"/>
          <w:color w:val="0D0D0D" w:themeColor="text1" w:themeTint="F2"/>
          <w:sz w:val="22"/>
          <w:szCs w:val="22"/>
        </w:rPr>
        <w:t>e</w:t>
      </w:r>
      <w:r w:rsidRPr="00631F28">
        <w:rPr>
          <w:rFonts w:ascii="Arial" w:hAnsi="Arial" w:cs="Arial"/>
          <w:color w:val="0D0D0D" w:themeColor="text1" w:themeTint="F2"/>
          <w:sz w:val="22"/>
          <w:szCs w:val="22"/>
        </w:rPr>
        <w:t xml:space="preserve"> the use of low power transmitters within the licence area as not causing unacceptable interference;</w:t>
      </w:r>
    </w:p>
    <w:p w:rsidR="009C074A" w:rsidRPr="00631F28" w:rsidRDefault="009C074A" w:rsidP="00631F28">
      <w:pPr>
        <w:numPr>
          <w:ilvl w:val="0"/>
          <w:numId w:val="19"/>
        </w:numPr>
        <w:tabs>
          <w:tab w:val="clear" w:pos="720"/>
        </w:tabs>
        <w:ind w:left="426"/>
        <w:rPr>
          <w:rFonts w:ascii="Arial" w:hAnsi="Arial" w:cs="Arial"/>
          <w:color w:val="0D0D0D" w:themeColor="text1" w:themeTint="F2"/>
          <w:sz w:val="22"/>
          <w:szCs w:val="22"/>
        </w:rPr>
      </w:pPr>
      <w:r w:rsidRPr="00631F28">
        <w:rPr>
          <w:rFonts w:ascii="Arial" w:hAnsi="Arial" w:cs="Arial"/>
          <w:color w:val="0D0D0D" w:themeColor="text1" w:themeTint="F2"/>
          <w:sz w:val="22"/>
          <w:szCs w:val="22"/>
        </w:rPr>
        <w:t>defin</w:t>
      </w:r>
      <w:r w:rsidR="009553DC" w:rsidRPr="00631F28">
        <w:rPr>
          <w:rFonts w:ascii="Arial" w:hAnsi="Arial" w:cs="Arial"/>
          <w:color w:val="0D0D0D" w:themeColor="text1" w:themeTint="F2"/>
          <w:sz w:val="22"/>
          <w:szCs w:val="22"/>
        </w:rPr>
        <w:t>e</w:t>
      </w:r>
      <w:r w:rsidRPr="00631F28">
        <w:rPr>
          <w:rFonts w:ascii="Arial" w:hAnsi="Arial" w:cs="Arial"/>
          <w:color w:val="0D0D0D" w:themeColor="text1" w:themeTint="F2"/>
          <w:sz w:val="22"/>
          <w:szCs w:val="22"/>
        </w:rPr>
        <w:t xml:space="preserve"> a group of transmitters or receivers for group registration;</w:t>
      </w:r>
    </w:p>
    <w:p w:rsidR="009C074A" w:rsidRPr="00631F28" w:rsidRDefault="009C074A" w:rsidP="00631F28">
      <w:pPr>
        <w:numPr>
          <w:ilvl w:val="0"/>
          <w:numId w:val="19"/>
        </w:numPr>
        <w:tabs>
          <w:tab w:val="clear" w:pos="720"/>
        </w:tabs>
        <w:ind w:left="426"/>
        <w:rPr>
          <w:rFonts w:ascii="Arial" w:hAnsi="Arial" w:cs="Arial"/>
          <w:color w:val="0D0D0D" w:themeColor="text1" w:themeTint="F2"/>
          <w:sz w:val="22"/>
          <w:szCs w:val="22"/>
        </w:rPr>
      </w:pPr>
      <w:r w:rsidRPr="00631F28">
        <w:rPr>
          <w:rFonts w:ascii="Arial" w:hAnsi="Arial" w:cs="Arial"/>
          <w:color w:val="0D0D0D" w:themeColor="text1" w:themeTint="F2"/>
          <w:sz w:val="22"/>
          <w:szCs w:val="22"/>
        </w:rPr>
        <w:t>simplif</w:t>
      </w:r>
      <w:r w:rsidR="009553DC" w:rsidRPr="00631F28">
        <w:rPr>
          <w:rFonts w:ascii="Arial" w:hAnsi="Arial" w:cs="Arial"/>
          <w:color w:val="0D0D0D" w:themeColor="text1" w:themeTint="F2"/>
          <w:sz w:val="22"/>
          <w:szCs w:val="22"/>
        </w:rPr>
        <w:t>y the</w:t>
      </w:r>
      <w:r w:rsidRPr="00631F28">
        <w:rPr>
          <w:rFonts w:ascii="Arial" w:hAnsi="Arial" w:cs="Arial"/>
          <w:color w:val="0D0D0D" w:themeColor="text1" w:themeTint="F2"/>
          <w:sz w:val="22"/>
          <w:szCs w:val="22"/>
        </w:rPr>
        <w:t xml:space="preserve"> registration requirements for devices located well away from the geographic boundary</w:t>
      </w:r>
      <w:r w:rsidR="00B662CC" w:rsidRPr="00631F28">
        <w:rPr>
          <w:rFonts w:ascii="Arial" w:hAnsi="Arial" w:cs="Arial"/>
          <w:color w:val="0D0D0D" w:themeColor="text1" w:themeTint="F2"/>
          <w:sz w:val="22"/>
          <w:szCs w:val="22"/>
        </w:rPr>
        <w:t xml:space="preserve"> (greater than </w:t>
      </w:r>
      <w:r w:rsidR="00773354" w:rsidRPr="00631F28">
        <w:rPr>
          <w:rFonts w:ascii="Arial" w:hAnsi="Arial" w:cs="Arial"/>
          <w:color w:val="0D0D0D" w:themeColor="text1" w:themeTint="F2"/>
          <w:sz w:val="22"/>
          <w:szCs w:val="22"/>
        </w:rPr>
        <w:t>77</w:t>
      </w:r>
      <w:r w:rsidR="00B662CC" w:rsidRPr="00631F28">
        <w:rPr>
          <w:rFonts w:ascii="Arial" w:hAnsi="Arial" w:cs="Arial"/>
          <w:color w:val="0D0D0D" w:themeColor="text1" w:themeTint="F2"/>
          <w:sz w:val="22"/>
          <w:szCs w:val="22"/>
        </w:rPr>
        <w:t xml:space="preserve"> km as proposed in </w:t>
      </w:r>
      <w:r w:rsidR="00F3280C" w:rsidRPr="00631F28">
        <w:rPr>
          <w:rFonts w:ascii="Arial" w:hAnsi="Arial" w:cs="Arial"/>
          <w:color w:val="0D0D0D" w:themeColor="text1" w:themeTint="F2"/>
          <w:sz w:val="22"/>
          <w:szCs w:val="22"/>
        </w:rPr>
        <w:t>section 6.</w:t>
      </w:r>
      <w:r w:rsidR="004B27AD" w:rsidRPr="00631F28">
        <w:rPr>
          <w:rFonts w:ascii="Arial" w:hAnsi="Arial" w:cs="Arial"/>
          <w:color w:val="0D0D0D" w:themeColor="text1" w:themeTint="F2"/>
          <w:sz w:val="22"/>
          <w:szCs w:val="22"/>
        </w:rPr>
        <w:t>1</w:t>
      </w:r>
      <w:r w:rsidR="00F3280C" w:rsidRPr="00631F28">
        <w:rPr>
          <w:rFonts w:ascii="Arial" w:hAnsi="Arial" w:cs="Arial"/>
          <w:color w:val="0D0D0D" w:themeColor="text1" w:themeTint="F2"/>
          <w:sz w:val="22"/>
          <w:szCs w:val="22"/>
        </w:rPr>
        <w:t>)</w:t>
      </w:r>
      <w:r w:rsidRPr="00631F28">
        <w:rPr>
          <w:rFonts w:ascii="Arial" w:hAnsi="Arial" w:cs="Arial"/>
          <w:color w:val="0D0D0D" w:themeColor="text1" w:themeTint="F2"/>
          <w:sz w:val="22"/>
          <w:szCs w:val="22"/>
        </w:rPr>
        <w:t>;</w:t>
      </w:r>
      <w:r w:rsidR="00E86C31"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and</w:t>
      </w:r>
    </w:p>
    <w:p w:rsidR="009C074A" w:rsidRPr="00631F28" w:rsidRDefault="009C074A" w:rsidP="00631F28">
      <w:pPr>
        <w:numPr>
          <w:ilvl w:val="0"/>
          <w:numId w:val="19"/>
        </w:numPr>
        <w:tabs>
          <w:tab w:val="clear" w:pos="720"/>
        </w:tabs>
        <w:ind w:left="426"/>
        <w:rPr>
          <w:rFonts w:ascii="Arial" w:hAnsi="Arial" w:cs="Arial"/>
          <w:color w:val="0D0D0D" w:themeColor="text1" w:themeTint="F2"/>
          <w:sz w:val="22"/>
          <w:szCs w:val="22"/>
        </w:rPr>
      </w:pPr>
      <w:proofErr w:type="gramStart"/>
      <w:r w:rsidRPr="00631F28">
        <w:rPr>
          <w:rFonts w:ascii="Arial" w:hAnsi="Arial" w:cs="Arial"/>
          <w:color w:val="0D0D0D" w:themeColor="text1" w:themeTint="F2"/>
          <w:sz w:val="22"/>
          <w:szCs w:val="22"/>
        </w:rPr>
        <w:t>set</w:t>
      </w:r>
      <w:proofErr w:type="gramEnd"/>
      <w:r w:rsidRPr="00631F28">
        <w:rPr>
          <w:rFonts w:ascii="Arial" w:hAnsi="Arial" w:cs="Arial"/>
          <w:color w:val="0D0D0D" w:themeColor="text1" w:themeTint="F2"/>
          <w:sz w:val="22"/>
          <w:szCs w:val="22"/>
        </w:rPr>
        <w:t xml:space="preserve"> out deployment constraints to encourage high site </w:t>
      </w:r>
      <w:r w:rsidR="009553DC" w:rsidRPr="00631F28">
        <w:rPr>
          <w:rFonts w:ascii="Arial" w:hAnsi="Arial" w:cs="Arial"/>
          <w:color w:val="0D0D0D" w:themeColor="text1" w:themeTint="F2"/>
          <w:sz w:val="22"/>
          <w:szCs w:val="22"/>
        </w:rPr>
        <w:t xml:space="preserve">to </w:t>
      </w:r>
      <w:r w:rsidRPr="00631F28">
        <w:rPr>
          <w:rFonts w:ascii="Arial" w:hAnsi="Arial" w:cs="Arial"/>
          <w:color w:val="0D0D0D" w:themeColor="text1" w:themeTint="F2"/>
          <w:sz w:val="22"/>
          <w:szCs w:val="22"/>
        </w:rPr>
        <w:t>low site frequency selection.</w:t>
      </w:r>
    </w:p>
    <w:p w:rsidR="009C074A" w:rsidRPr="00F164FD" w:rsidRDefault="009C074A" w:rsidP="009C074A">
      <w:pPr>
        <w:pStyle w:val="Heading3"/>
        <w:rPr>
          <w:rFonts w:ascii="Arial" w:hAnsi="Arial" w:cs="Arial"/>
          <w:color w:val="0D0D0D" w:themeColor="text1" w:themeTint="F2"/>
        </w:rPr>
      </w:pPr>
      <w:bookmarkStart w:id="11" w:name="_Ref310500408"/>
      <w:r w:rsidRPr="00F164FD">
        <w:rPr>
          <w:rFonts w:ascii="Arial" w:hAnsi="Arial" w:cs="Arial"/>
          <w:color w:val="0D0D0D" w:themeColor="text1" w:themeTint="F2"/>
        </w:rPr>
        <w:t>7.1</w:t>
      </w:r>
      <w:r w:rsidRPr="00F164FD">
        <w:rPr>
          <w:rFonts w:ascii="Arial" w:hAnsi="Arial" w:cs="Arial"/>
          <w:color w:val="0D0D0D" w:themeColor="text1" w:themeTint="F2"/>
        </w:rPr>
        <w:tab/>
        <w:t xml:space="preserve">Proposed </w:t>
      </w:r>
      <w:r w:rsidR="009553DC" w:rsidRPr="00F164FD">
        <w:rPr>
          <w:rFonts w:ascii="Arial" w:hAnsi="Arial" w:cs="Arial"/>
          <w:color w:val="0D0D0D" w:themeColor="text1" w:themeTint="F2"/>
        </w:rPr>
        <w:t>registration exemption requirements</w:t>
      </w:r>
      <w:bookmarkEnd w:id="11"/>
    </w:p>
    <w:p w:rsidR="00912FD8" w:rsidRDefault="009553DC" w:rsidP="00631F28">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The proposed </w:t>
      </w:r>
      <w:r w:rsidR="00915174" w:rsidRPr="00631F28">
        <w:rPr>
          <w:rFonts w:ascii="Arial" w:hAnsi="Arial" w:cs="Arial"/>
          <w:color w:val="0D0D0D" w:themeColor="text1" w:themeTint="F2"/>
          <w:sz w:val="22"/>
          <w:szCs w:val="22"/>
        </w:rPr>
        <w:t xml:space="preserve">registration arrangements to be added to the framework that would </w:t>
      </w:r>
      <w:r w:rsidRPr="00631F28">
        <w:rPr>
          <w:rFonts w:ascii="Arial" w:hAnsi="Arial" w:cs="Arial"/>
          <w:color w:val="0D0D0D" w:themeColor="text1" w:themeTint="F2"/>
          <w:sz w:val="22"/>
          <w:szCs w:val="22"/>
        </w:rPr>
        <w:t xml:space="preserve">exempt </w:t>
      </w:r>
      <w:r w:rsidR="00915174" w:rsidRPr="00631F28">
        <w:rPr>
          <w:rFonts w:ascii="Arial" w:hAnsi="Arial" w:cs="Arial"/>
          <w:color w:val="0D0D0D" w:themeColor="text1" w:themeTint="F2"/>
          <w:sz w:val="22"/>
          <w:szCs w:val="22"/>
        </w:rPr>
        <w:t xml:space="preserve">certain </w:t>
      </w:r>
      <w:r w:rsidRPr="00631F28">
        <w:rPr>
          <w:rFonts w:ascii="Arial" w:hAnsi="Arial" w:cs="Arial"/>
          <w:color w:val="0D0D0D" w:themeColor="text1" w:themeTint="F2"/>
          <w:sz w:val="22"/>
          <w:szCs w:val="22"/>
        </w:rPr>
        <w:t>device</w:t>
      </w:r>
      <w:r w:rsidR="00915174" w:rsidRPr="00631F28">
        <w:rPr>
          <w:rFonts w:ascii="Arial" w:hAnsi="Arial" w:cs="Arial"/>
          <w:color w:val="0D0D0D" w:themeColor="text1" w:themeTint="F2"/>
          <w:sz w:val="22"/>
          <w:szCs w:val="22"/>
        </w:rPr>
        <w:t>s from the</w:t>
      </w:r>
      <w:r w:rsidRPr="00631F28">
        <w:rPr>
          <w:rFonts w:ascii="Arial" w:hAnsi="Arial" w:cs="Arial"/>
          <w:color w:val="0D0D0D" w:themeColor="text1" w:themeTint="F2"/>
          <w:sz w:val="22"/>
          <w:szCs w:val="22"/>
        </w:rPr>
        <w:t xml:space="preserve"> registration </w:t>
      </w:r>
      <w:r w:rsidR="00915174" w:rsidRPr="00631F28">
        <w:rPr>
          <w:rFonts w:ascii="Arial" w:hAnsi="Arial" w:cs="Arial"/>
          <w:color w:val="0D0D0D" w:themeColor="text1" w:themeTint="F2"/>
          <w:sz w:val="22"/>
          <w:szCs w:val="22"/>
        </w:rPr>
        <w:t xml:space="preserve">requirements </w:t>
      </w:r>
      <w:r w:rsidRPr="00631F28">
        <w:rPr>
          <w:rFonts w:ascii="Arial" w:hAnsi="Arial" w:cs="Arial"/>
          <w:color w:val="0D0D0D" w:themeColor="text1" w:themeTint="F2"/>
          <w:sz w:val="22"/>
          <w:szCs w:val="22"/>
        </w:rPr>
        <w:t>are similar to those found in other spectrum licence technical frameworks</w:t>
      </w:r>
      <w:r w:rsidR="00915174" w:rsidRPr="00631F28">
        <w:rPr>
          <w:rFonts w:ascii="Arial" w:hAnsi="Arial" w:cs="Arial"/>
          <w:color w:val="0D0D0D" w:themeColor="text1" w:themeTint="F2"/>
          <w:sz w:val="22"/>
          <w:szCs w:val="22"/>
        </w:rPr>
        <w:t>.</w:t>
      </w:r>
    </w:p>
    <w:p w:rsidR="00631F28" w:rsidRPr="00631F28" w:rsidRDefault="00631F28" w:rsidP="00631F28">
      <w:pPr>
        <w:rPr>
          <w:rFonts w:ascii="Arial" w:hAnsi="Arial" w:cs="Arial"/>
          <w:color w:val="0D0D0D" w:themeColor="text1" w:themeTint="F2"/>
          <w:sz w:val="22"/>
          <w:szCs w:val="22"/>
        </w:rPr>
      </w:pPr>
    </w:p>
    <w:p w:rsidR="00A440E0" w:rsidRDefault="009553DC" w:rsidP="00631F28">
      <w:pPr>
        <w:pStyle w:val="NormalWeb"/>
        <w:spacing w:before="0" w:beforeAutospacing="0" w:after="0" w:afterAutospacing="0"/>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It is proposed </w:t>
      </w:r>
      <w:r w:rsidR="000850D6" w:rsidRPr="00631F28">
        <w:rPr>
          <w:rFonts w:ascii="Arial" w:hAnsi="Arial" w:cs="Arial"/>
          <w:color w:val="0D0D0D" w:themeColor="text1" w:themeTint="F2"/>
          <w:sz w:val="22"/>
          <w:szCs w:val="22"/>
        </w:rPr>
        <w:t xml:space="preserve">that </w:t>
      </w:r>
      <w:r w:rsidR="00915174" w:rsidRPr="00631F28">
        <w:rPr>
          <w:rFonts w:ascii="Arial" w:hAnsi="Arial" w:cs="Arial"/>
          <w:color w:val="0D0D0D" w:themeColor="text1" w:themeTint="F2"/>
          <w:sz w:val="22"/>
          <w:szCs w:val="22"/>
        </w:rPr>
        <w:t xml:space="preserve">low power </w:t>
      </w:r>
      <w:r w:rsidRPr="00631F28">
        <w:rPr>
          <w:rFonts w:ascii="Arial" w:hAnsi="Arial" w:cs="Arial"/>
          <w:color w:val="0D0D0D" w:themeColor="text1" w:themeTint="F2"/>
          <w:sz w:val="22"/>
          <w:szCs w:val="22"/>
        </w:rPr>
        <w:t xml:space="preserve">devices </w:t>
      </w:r>
      <w:r w:rsidR="000850D6" w:rsidRPr="00631F28">
        <w:rPr>
          <w:rFonts w:ascii="Arial" w:hAnsi="Arial" w:cs="Arial"/>
          <w:color w:val="0D0D0D" w:themeColor="text1" w:themeTint="F2"/>
          <w:sz w:val="22"/>
          <w:szCs w:val="22"/>
        </w:rPr>
        <w:t>with an EIRP below</w:t>
      </w:r>
      <w:r w:rsidRPr="00631F28">
        <w:rPr>
          <w:rFonts w:ascii="Arial" w:hAnsi="Arial" w:cs="Arial"/>
          <w:color w:val="0D0D0D" w:themeColor="text1" w:themeTint="F2"/>
          <w:sz w:val="22"/>
          <w:szCs w:val="22"/>
        </w:rPr>
        <w:t xml:space="preserve"> a maximum limit </w:t>
      </w:r>
      <w:r w:rsidR="000850D6" w:rsidRPr="00631F28">
        <w:rPr>
          <w:rFonts w:ascii="Arial" w:hAnsi="Arial" w:cs="Arial"/>
          <w:color w:val="0D0D0D" w:themeColor="text1" w:themeTint="F2"/>
          <w:sz w:val="22"/>
          <w:szCs w:val="22"/>
        </w:rPr>
        <w:t>that meet emission mask requirements of the licence,</w:t>
      </w:r>
      <w:r w:rsidR="0007790D" w:rsidRPr="00631F28">
        <w:rPr>
          <w:rFonts w:ascii="Arial" w:hAnsi="Arial" w:cs="Arial"/>
          <w:color w:val="0D0D0D" w:themeColor="text1" w:themeTint="F2"/>
          <w:sz w:val="22"/>
          <w:szCs w:val="22"/>
        </w:rPr>
        <w:t xml:space="preserve"> will be deemed </w:t>
      </w:r>
      <w:r w:rsidR="000850D6" w:rsidRPr="00631F28">
        <w:rPr>
          <w:rFonts w:ascii="Arial" w:hAnsi="Arial" w:cs="Arial"/>
          <w:color w:val="0D0D0D" w:themeColor="text1" w:themeTint="F2"/>
          <w:sz w:val="22"/>
          <w:szCs w:val="22"/>
        </w:rPr>
        <w:t xml:space="preserve">as not causing unacceptable interference within the licence area </w:t>
      </w:r>
      <w:r w:rsidR="0007790D" w:rsidRPr="00631F28">
        <w:rPr>
          <w:rFonts w:ascii="Arial" w:hAnsi="Arial" w:cs="Arial"/>
          <w:color w:val="0D0D0D" w:themeColor="text1" w:themeTint="F2"/>
          <w:sz w:val="22"/>
          <w:szCs w:val="22"/>
        </w:rPr>
        <w:t xml:space="preserve">and will be exempted from the need </w:t>
      </w:r>
      <w:r w:rsidR="00D0061B" w:rsidRPr="00631F28">
        <w:rPr>
          <w:rFonts w:ascii="Arial" w:hAnsi="Arial" w:cs="Arial"/>
          <w:color w:val="0D0D0D" w:themeColor="text1" w:themeTint="F2"/>
          <w:sz w:val="22"/>
          <w:szCs w:val="22"/>
        </w:rPr>
        <w:t>to</w:t>
      </w:r>
      <w:r w:rsidRPr="00631F28">
        <w:rPr>
          <w:rFonts w:ascii="Arial" w:hAnsi="Arial" w:cs="Arial"/>
          <w:color w:val="0D0D0D" w:themeColor="text1" w:themeTint="F2"/>
          <w:sz w:val="22"/>
          <w:szCs w:val="22"/>
        </w:rPr>
        <w:t xml:space="preserve"> regist</w:t>
      </w:r>
      <w:r w:rsidR="00D0061B" w:rsidRPr="00631F28">
        <w:rPr>
          <w:rFonts w:ascii="Arial" w:hAnsi="Arial" w:cs="Arial"/>
          <w:color w:val="0D0D0D" w:themeColor="text1" w:themeTint="F2"/>
          <w:sz w:val="22"/>
          <w:szCs w:val="22"/>
        </w:rPr>
        <w:t>er</w:t>
      </w:r>
      <w:r w:rsidRPr="00631F28">
        <w:rPr>
          <w:rFonts w:ascii="Arial" w:hAnsi="Arial" w:cs="Arial"/>
          <w:color w:val="0D0D0D" w:themeColor="text1" w:themeTint="F2"/>
          <w:sz w:val="22"/>
          <w:szCs w:val="22"/>
        </w:rPr>
        <w:t xml:space="preserve">. This exemption </w:t>
      </w:r>
      <w:r w:rsidR="0007790D" w:rsidRPr="00631F28">
        <w:rPr>
          <w:rFonts w:ascii="Arial" w:hAnsi="Arial" w:cs="Arial"/>
          <w:color w:val="0D0D0D" w:themeColor="text1" w:themeTint="F2"/>
          <w:sz w:val="22"/>
          <w:szCs w:val="22"/>
        </w:rPr>
        <w:t>is intended to</w:t>
      </w:r>
      <w:r w:rsidR="000850D6"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include mobile transmitters, low powered indoor</w:t>
      </w:r>
      <w:r w:rsidR="000850D6" w:rsidRPr="00631F28">
        <w:rPr>
          <w:rFonts w:ascii="Arial" w:hAnsi="Arial" w:cs="Arial"/>
          <w:color w:val="0D0D0D" w:themeColor="text1" w:themeTint="F2"/>
          <w:sz w:val="22"/>
          <w:szCs w:val="22"/>
        </w:rPr>
        <w:t xml:space="preserve"> transmitters such as</w:t>
      </w:r>
      <w:r w:rsidRPr="00631F28">
        <w:rPr>
          <w:rFonts w:ascii="Arial" w:hAnsi="Arial" w:cs="Arial"/>
          <w:color w:val="0D0D0D" w:themeColor="text1" w:themeTint="F2"/>
          <w:sz w:val="22"/>
          <w:szCs w:val="22"/>
        </w:rPr>
        <w:t xml:space="preserve"> </w:t>
      </w:r>
      <w:proofErr w:type="spellStart"/>
      <w:r w:rsidR="000850D6" w:rsidRPr="00631F28">
        <w:rPr>
          <w:rFonts w:ascii="Arial" w:hAnsi="Arial" w:cs="Arial"/>
          <w:color w:val="0D0D0D" w:themeColor="text1" w:themeTint="F2"/>
          <w:sz w:val="22"/>
          <w:szCs w:val="22"/>
        </w:rPr>
        <w:t>femtocells</w:t>
      </w:r>
      <w:proofErr w:type="spellEnd"/>
      <w:r w:rsidR="000850D6" w:rsidRPr="00631F28">
        <w:rPr>
          <w:rStyle w:val="FootnoteReference"/>
          <w:rFonts w:ascii="Arial" w:hAnsi="Arial" w:cs="Arial"/>
          <w:color w:val="0D0D0D" w:themeColor="text1" w:themeTint="F2"/>
          <w:sz w:val="22"/>
          <w:szCs w:val="22"/>
        </w:rPr>
        <w:footnoteReference w:id="8"/>
      </w:r>
      <w:r w:rsidR="000850D6" w:rsidRPr="00631F28">
        <w:rPr>
          <w:rFonts w:ascii="Arial" w:hAnsi="Arial" w:cs="Arial"/>
          <w:color w:val="0D0D0D" w:themeColor="text1" w:themeTint="F2"/>
          <w:sz w:val="22"/>
          <w:szCs w:val="22"/>
        </w:rPr>
        <w:t xml:space="preserve"> and leaky-feeder systems</w:t>
      </w:r>
      <w:r w:rsidRPr="00631F28">
        <w:rPr>
          <w:rFonts w:ascii="Arial" w:hAnsi="Arial" w:cs="Arial"/>
          <w:color w:val="0D0D0D" w:themeColor="text1" w:themeTint="F2"/>
          <w:sz w:val="22"/>
          <w:szCs w:val="22"/>
        </w:rPr>
        <w:t>.</w:t>
      </w:r>
    </w:p>
    <w:p w:rsidR="00631F28" w:rsidRPr="00631F28" w:rsidRDefault="00631F28" w:rsidP="00631F28">
      <w:pPr>
        <w:pStyle w:val="NormalWeb"/>
        <w:spacing w:before="0" w:beforeAutospacing="0" w:after="0" w:afterAutospacing="0"/>
        <w:rPr>
          <w:rFonts w:ascii="Arial" w:hAnsi="Arial" w:cs="Arial"/>
          <w:color w:val="0D0D0D" w:themeColor="text1" w:themeTint="F2"/>
          <w:sz w:val="22"/>
          <w:szCs w:val="22"/>
        </w:rPr>
      </w:pPr>
    </w:p>
    <w:p w:rsidR="00912FD8" w:rsidRPr="00631F28" w:rsidRDefault="00C67A2F" w:rsidP="00631F28">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The proposed </w:t>
      </w:r>
      <w:r w:rsidR="00551A12" w:rsidRPr="00631F28">
        <w:rPr>
          <w:rFonts w:ascii="Arial" w:hAnsi="Arial" w:cs="Arial"/>
          <w:color w:val="0D0D0D" w:themeColor="text1" w:themeTint="F2"/>
          <w:sz w:val="22"/>
          <w:szCs w:val="22"/>
        </w:rPr>
        <w:t xml:space="preserve">registration exempt </w:t>
      </w:r>
      <w:r w:rsidRPr="00631F28">
        <w:rPr>
          <w:rFonts w:ascii="Arial" w:hAnsi="Arial" w:cs="Arial"/>
          <w:color w:val="0D0D0D" w:themeColor="text1" w:themeTint="F2"/>
          <w:sz w:val="22"/>
          <w:szCs w:val="22"/>
        </w:rPr>
        <w:t>EIRP limit for transmitter</w:t>
      </w:r>
      <w:r w:rsidR="00551A12" w:rsidRPr="00631F28">
        <w:rPr>
          <w:rFonts w:ascii="Arial" w:hAnsi="Arial" w:cs="Arial"/>
          <w:color w:val="0D0D0D" w:themeColor="text1" w:themeTint="F2"/>
          <w:sz w:val="22"/>
          <w:szCs w:val="22"/>
        </w:rPr>
        <w:t>s</w:t>
      </w:r>
      <w:r w:rsidRPr="00631F28">
        <w:rPr>
          <w:rFonts w:ascii="Arial" w:hAnsi="Arial" w:cs="Arial"/>
          <w:color w:val="0D0D0D" w:themeColor="text1" w:themeTint="F2"/>
          <w:sz w:val="22"/>
          <w:szCs w:val="22"/>
        </w:rPr>
        <w:t xml:space="preserve"> </w:t>
      </w:r>
      <w:r w:rsidR="00204AAE" w:rsidRPr="00631F28">
        <w:rPr>
          <w:rFonts w:ascii="Arial" w:hAnsi="Arial" w:cs="Arial"/>
          <w:color w:val="0D0D0D" w:themeColor="text1" w:themeTint="F2"/>
          <w:sz w:val="22"/>
          <w:szCs w:val="22"/>
        </w:rPr>
        <w:t>in the lower band (703-748</w:t>
      </w:r>
      <w:r w:rsidR="00631F28">
        <w:rPr>
          <w:rFonts w:ascii="Arial" w:hAnsi="Arial" w:cs="Arial"/>
          <w:color w:val="0D0D0D" w:themeColor="text1" w:themeTint="F2"/>
          <w:sz w:val="22"/>
          <w:szCs w:val="22"/>
        </w:rPr>
        <w:t> </w:t>
      </w:r>
      <w:r w:rsidR="00204AAE" w:rsidRPr="00631F28">
        <w:rPr>
          <w:rFonts w:ascii="Arial" w:hAnsi="Arial" w:cs="Arial"/>
          <w:color w:val="0D0D0D" w:themeColor="text1" w:themeTint="F2"/>
          <w:sz w:val="22"/>
          <w:szCs w:val="22"/>
        </w:rPr>
        <w:t xml:space="preserve">MHz) </w:t>
      </w:r>
      <w:r w:rsidRPr="00631F28">
        <w:rPr>
          <w:rFonts w:ascii="Arial" w:hAnsi="Arial" w:cs="Arial"/>
          <w:color w:val="0D0D0D" w:themeColor="text1" w:themeTint="F2"/>
          <w:sz w:val="22"/>
          <w:szCs w:val="22"/>
        </w:rPr>
        <w:t xml:space="preserve">is the maximum </w:t>
      </w:r>
      <w:r w:rsidR="00771B9A" w:rsidRPr="00631F28">
        <w:rPr>
          <w:rFonts w:ascii="Arial" w:hAnsi="Arial" w:cs="Arial"/>
          <w:color w:val="0D0D0D" w:themeColor="text1" w:themeTint="F2"/>
          <w:sz w:val="22"/>
          <w:szCs w:val="22"/>
        </w:rPr>
        <w:t xml:space="preserve">LTE </w:t>
      </w:r>
      <w:r w:rsidRPr="00631F28">
        <w:rPr>
          <w:rFonts w:ascii="Arial" w:hAnsi="Arial" w:cs="Arial"/>
          <w:color w:val="0D0D0D" w:themeColor="text1" w:themeTint="F2"/>
          <w:sz w:val="22"/>
          <w:szCs w:val="22"/>
        </w:rPr>
        <w:t xml:space="preserve">UE transmitter power of </w:t>
      </w:r>
      <w:fldSimple w:instr=" REF _Ref303850442 \h  \* MERGEFORMAT ">
        <w:r w:rsidR="00C9613A" w:rsidRPr="00631F28">
          <w:rPr>
            <w:rFonts w:ascii="Arial" w:hAnsi="Arial" w:cs="Arial"/>
            <w:color w:val="0D0D0D" w:themeColor="text1" w:themeTint="F2"/>
            <w:sz w:val="22"/>
            <w:szCs w:val="22"/>
          </w:rPr>
          <w:t xml:space="preserve">Table </w:t>
        </w:r>
        <w:r w:rsidR="00C9613A" w:rsidRPr="00631F28">
          <w:rPr>
            <w:rFonts w:ascii="Arial" w:hAnsi="Arial" w:cs="Arial"/>
            <w:noProof/>
            <w:color w:val="0D0D0D" w:themeColor="text1" w:themeTint="F2"/>
            <w:sz w:val="22"/>
            <w:szCs w:val="22"/>
          </w:rPr>
          <w:t>4</w:t>
        </w:r>
      </w:fldSimple>
      <w:r w:rsidRPr="00631F28">
        <w:rPr>
          <w:rFonts w:ascii="Arial" w:hAnsi="Arial" w:cs="Arial"/>
          <w:color w:val="0D0D0D" w:themeColor="text1" w:themeTint="F2"/>
          <w:sz w:val="22"/>
          <w:szCs w:val="22"/>
        </w:rPr>
        <w:t>, resulting in the proposed EIRP limit of 23 dBm within the occupied bandwidth of the transmitter.</w:t>
      </w:r>
    </w:p>
    <w:p w:rsidR="00106AC0" w:rsidRPr="00631F28" w:rsidRDefault="00106AC0" w:rsidP="00631F28">
      <w:pPr>
        <w:rPr>
          <w:rFonts w:ascii="Arial" w:hAnsi="Arial" w:cs="Arial"/>
          <w:color w:val="0D0D0D" w:themeColor="text1" w:themeTint="F2"/>
          <w:sz w:val="22"/>
          <w:szCs w:val="22"/>
        </w:rPr>
      </w:pPr>
    </w:p>
    <w:p w:rsidR="00106AC0" w:rsidRPr="00631F28" w:rsidRDefault="00106AC0" w:rsidP="00631F28">
      <w:pPr>
        <w:rPr>
          <w:rFonts w:ascii="Arial" w:hAnsi="Arial" w:cs="Arial"/>
          <w:color w:val="0D0D0D" w:themeColor="text1" w:themeTint="F2"/>
          <w:sz w:val="22"/>
          <w:szCs w:val="22"/>
        </w:rPr>
      </w:pPr>
      <w:r w:rsidRPr="00631F28">
        <w:rPr>
          <w:rFonts w:ascii="Arial" w:hAnsi="Arial" w:cs="Arial"/>
          <w:color w:val="0D0D0D" w:themeColor="text1" w:themeTint="F2"/>
          <w:sz w:val="22"/>
          <w:szCs w:val="22"/>
        </w:rPr>
        <w:t>To facilitate greater flexibility in the upper band (758-803 MHz), the registration exempt limit is proposed to be 30 dBm within the occupied bandwidth of the transmitter. This allows some equipment operating in the upper band to deploy utilising additional operating power or additional antenna gain without requiring registration.</w:t>
      </w:r>
    </w:p>
    <w:p w:rsidR="00912FD8" w:rsidRPr="00631F28" w:rsidRDefault="00912FD8" w:rsidP="00631F28">
      <w:pPr>
        <w:rPr>
          <w:rFonts w:ascii="Arial" w:hAnsi="Arial" w:cs="Arial"/>
          <w:color w:val="0D0D0D" w:themeColor="text1" w:themeTint="F2"/>
          <w:sz w:val="22"/>
          <w:szCs w:val="22"/>
        </w:rPr>
      </w:pPr>
    </w:p>
    <w:p w:rsidR="00912FD8" w:rsidRPr="00631F28" w:rsidRDefault="0083046B" w:rsidP="00631F28">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It should be noted that although low powered transmitters such as </w:t>
      </w:r>
      <w:proofErr w:type="spellStart"/>
      <w:r w:rsidRPr="00631F28">
        <w:rPr>
          <w:rFonts w:ascii="Arial" w:hAnsi="Arial" w:cs="Arial"/>
          <w:color w:val="0D0D0D" w:themeColor="text1" w:themeTint="F2"/>
          <w:sz w:val="22"/>
          <w:szCs w:val="22"/>
        </w:rPr>
        <w:t>femtocells</w:t>
      </w:r>
      <w:proofErr w:type="spellEnd"/>
      <w:r w:rsidRPr="00631F28">
        <w:rPr>
          <w:rFonts w:ascii="Arial" w:hAnsi="Arial" w:cs="Arial"/>
          <w:color w:val="0D0D0D" w:themeColor="text1" w:themeTint="F2"/>
          <w:sz w:val="22"/>
          <w:szCs w:val="22"/>
        </w:rPr>
        <w:t xml:space="preserve"> are exempt from the device registration requirements, it is the licensee’s responsibility to ensure that all devices operated under their spectrum licence comply with the conditions of the licence.</w:t>
      </w:r>
    </w:p>
    <w:p w:rsidR="0083046B" w:rsidRPr="00F164FD" w:rsidRDefault="0083046B" w:rsidP="0083046B">
      <w:pPr>
        <w:pStyle w:val="Heading3"/>
        <w:rPr>
          <w:rFonts w:ascii="Arial" w:hAnsi="Arial" w:cs="Arial"/>
          <w:color w:val="0D0D0D" w:themeColor="text1" w:themeTint="F2"/>
        </w:rPr>
      </w:pPr>
      <w:r w:rsidRPr="00F164FD">
        <w:rPr>
          <w:rFonts w:ascii="Arial" w:hAnsi="Arial" w:cs="Arial"/>
          <w:color w:val="0D0D0D" w:themeColor="text1" w:themeTint="F2"/>
        </w:rPr>
        <w:t>7.2</w:t>
      </w:r>
      <w:r w:rsidRPr="00F164FD">
        <w:rPr>
          <w:rFonts w:ascii="Arial" w:hAnsi="Arial" w:cs="Arial"/>
          <w:color w:val="0D0D0D" w:themeColor="text1" w:themeTint="F2"/>
        </w:rPr>
        <w:tab/>
        <w:t>Definition of groups of transmitters and receivers</w:t>
      </w:r>
    </w:p>
    <w:p w:rsidR="007B5065" w:rsidRPr="00631F28" w:rsidRDefault="007B5065" w:rsidP="001A7791">
      <w:pPr>
        <w:rPr>
          <w:rFonts w:ascii="Arial" w:hAnsi="Arial" w:cs="Arial"/>
          <w:color w:val="0D0D0D" w:themeColor="text1" w:themeTint="F2"/>
          <w:sz w:val="22"/>
          <w:szCs w:val="22"/>
        </w:rPr>
      </w:pPr>
      <w:r w:rsidRPr="00631F28">
        <w:rPr>
          <w:rFonts w:ascii="Arial" w:hAnsi="Arial" w:cs="Arial"/>
          <w:color w:val="0D0D0D" w:themeColor="text1" w:themeTint="F2"/>
          <w:sz w:val="22"/>
          <w:szCs w:val="22"/>
        </w:rPr>
        <w:t>The section 145 determination may also set out the definition of a group of transmitters and a group of receivers for the purpose of simplifying registration of those devices.</w:t>
      </w:r>
      <w:r w:rsidR="000A767E" w:rsidRPr="00631F28">
        <w:rPr>
          <w:rFonts w:ascii="Arial" w:hAnsi="Arial" w:cs="Arial"/>
          <w:color w:val="0D0D0D" w:themeColor="text1" w:themeTint="F2"/>
          <w:sz w:val="22"/>
          <w:szCs w:val="22"/>
        </w:rPr>
        <w:t xml:space="preserve"> Group registrations are defined to allow devices located within </w:t>
      </w:r>
      <w:r w:rsidR="003E0E05" w:rsidRPr="00631F28">
        <w:rPr>
          <w:rFonts w:ascii="Arial" w:hAnsi="Arial" w:cs="Arial"/>
          <w:color w:val="0D0D0D" w:themeColor="text1" w:themeTint="F2"/>
          <w:sz w:val="22"/>
          <w:szCs w:val="22"/>
        </w:rPr>
        <w:t xml:space="preserve">20 </w:t>
      </w:r>
      <w:r w:rsidR="000A767E" w:rsidRPr="00631F28">
        <w:rPr>
          <w:rFonts w:ascii="Arial" w:hAnsi="Arial" w:cs="Arial"/>
          <w:color w:val="0D0D0D" w:themeColor="text1" w:themeTint="F2"/>
          <w:sz w:val="22"/>
          <w:szCs w:val="22"/>
        </w:rPr>
        <w:t>metres of the same central point with identical emission characteristics to register as a group of transmitters or receivers.</w:t>
      </w:r>
    </w:p>
    <w:p w:rsidR="007B5065" w:rsidRPr="00631F28" w:rsidRDefault="007B5065" w:rsidP="001A7791">
      <w:pPr>
        <w:rPr>
          <w:rFonts w:ascii="Arial" w:hAnsi="Arial" w:cs="Arial"/>
          <w:color w:val="0D0D0D" w:themeColor="text1" w:themeTint="F2"/>
          <w:sz w:val="22"/>
          <w:szCs w:val="22"/>
        </w:rPr>
      </w:pPr>
    </w:p>
    <w:p w:rsidR="000A767E" w:rsidRDefault="007B5065" w:rsidP="001A7791">
      <w:pPr>
        <w:rPr>
          <w:rFonts w:ascii="Arial" w:hAnsi="Arial" w:cs="Arial"/>
          <w:color w:val="0D0D0D" w:themeColor="text1" w:themeTint="F2"/>
          <w:sz w:val="22"/>
          <w:szCs w:val="22"/>
        </w:rPr>
      </w:pPr>
      <w:r w:rsidRPr="00631F28">
        <w:rPr>
          <w:rFonts w:ascii="Arial" w:hAnsi="Arial" w:cs="Arial"/>
          <w:color w:val="0D0D0D" w:themeColor="text1" w:themeTint="F2"/>
          <w:sz w:val="22"/>
          <w:szCs w:val="22"/>
        </w:rPr>
        <w:t>Unless exempted, transmitters must always be registered as either an individual transmitter or as part of a group of transmitters. If two or more transmitters are operated for the purpose of communicating with the same receiver or group of receivers then those transmitters may be treated as a group in order to simplify the registration process.</w:t>
      </w:r>
      <w:r w:rsidR="000A767E" w:rsidRPr="00631F28">
        <w:rPr>
          <w:rFonts w:ascii="Arial" w:hAnsi="Arial" w:cs="Arial"/>
          <w:color w:val="0D0D0D" w:themeColor="text1" w:themeTint="F2"/>
          <w:sz w:val="22"/>
          <w:szCs w:val="22"/>
        </w:rPr>
        <w:t xml:space="preserve"> A transmitter shall not belong to more than one group of transmitters.</w:t>
      </w:r>
    </w:p>
    <w:p w:rsidR="00627540" w:rsidRDefault="00627540">
      <w:pPr>
        <w:spacing w:after="200" w:line="276" w:lineRule="auto"/>
        <w:rPr>
          <w:rFonts w:ascii="Arial" w:hAnsi="Arial" w:cs="Arial"/>
          <w:color w:val="0D0D0D" w:themeColor="text1" w:themeTint="F2"/>
          <w:sz w:val="22"/>
          <w:szCs w:val="22"/>
        </w:rPr>
      </w:pPr>
      <w:r>
        <w:rPr>
          <w:rFonts w:ascii="Arial" w:hAnsi="Arial" w:cs="Arial"/>
          <w:color w:val="0D0D0D" w:themeColor="text1" w:themeTint="F2"/>
          <w:sz w:val="22"/>
          <w:szCs w:val="22"/>
        </w:rPr>
        <w:br w:type="page"/>
      </w:r>
    </w:p>
    <w:p w:rsidR="00627540" w:rsidRPr="00631F28" w:rsidRDefault="00627540" w:rsidP="001A7791">
      <w:pPr>
        <w:rPr>
          <w:rFonts w:ascii="Arial" w:hAnsi="Arial" w:cs="Arial"/>
          <w:color w:val="0D0D0D" w:themeColor="text1" w:themeTint="F2"/>
          <w:sz w:val="22"/>
          <w:szCs w:val="22"/>
        </w:rPr>
      </w:pPr>
    </w:p>
    <w:p w:rsidR="00631F28" w:rsidRPr="00631F28" w:rsidRDefault="000A767E" w:rsidP="000C1E3D">
      <w:pPr>
        <w:rPr>
          <w:rFonts w:ascii="Arial" w:hAnsi="Arial" w:cs="Arial"/>
          <w:color w:val="0D0D0D" w:themeColor="text1" w:themeTint="F2"/>
          <w:sz w:val="22"/>
          <w:szCs w:val="22"/>
        </w:rPr>
      </w:pPr>
      <w:r w:rsidRPr="00631F28">
        <w:rPr>
          <w:rFonts w:ascii="Arial" w:hAnsi="Arial" w:cs="Arial"/>
          <w:color w:val="0D0D0D" w:themeColor="text1" w:themeTint="F2"/>
          <w:sz w:val="22"/>
          <w:szCs w:val="22"/>
        </w:rPr>
        <w:t>Receiver registration is not mandatory, but may be registered as either an individual receiver or as part of a group of receivers. If two or more receivers are operated for the purposes of communicating with the same transmitter or group of transmitters then those receivers may be treated as a group in order to simplify the registration process. A receiver shall not belong to more than one group of receivers.</w:t>
      </w:r>
    </w:p>
    <w:p w:rsidR="00912FD8" w:rsidRPr="00F164FD" w:rsidRDefault="00C51928">
      <w:pPr>
        <w:pStyle w:val="Heading3"/>
        <w:rPr>
          <w:rFonts w:ascii="Arial" w:hAnsi="Arial" w:cs="Arial"/>
          <w:color w:val="0D0D0D" w:themeColor="text1" w:themeTint="F2"/>
        </w:rPr>
      </w:pPr>
      <w:r w:rsidRPr="00F164FD">
        <w:rPr>
          <w:rFonts w:ascii="Arial" w:hAnsi="Arial" w:cs="Arial"/>
          <w:color w:val="0D0D0D" w:themeColor="text1" w:themeTint="F2"/>
        </w:rPr>
        <w:t>7.3</w:t>
      </w:r>
      <w:r w:rsidRPr="00F164FD">
        <w:rPr>
          <w:rFonts w:ascii="Arial" w:hAnsi="Arial" w:cs="Arial"/>
          <w:color w:val="0D0D0D" w:themeColor="text1" w:themeTint="F2"/>
        </w:rPr>
        <w:tab/>
        <w:t>Simplified registration requirements</w:t>
      </w:r>
    </w:p>
    <w:p w:rsidR="00912FD8" w:rsidRPr="00631F28" w:rsidRDefault="006235F9">
      <w:pPr>
        <w:rPr>
          <w:rFonts w:ascii="Arial" w:hAnsi="Arial" w:cs="Arial"/>
          <w:color w:val="0D0D0D" w:themeColor="text1" w:themeTint="F2"/>
          <w:sz w:val="22"/>
          <w:szCs w:val="22"/>
        </w:rPr>
      </w:pPr>
      <w:r w:rsidRPr="00631F28">
        <w:rPr>
          <w:rFonts w:ascii="Arial" w:hAnsi="Arial" w:cs="Arial"/>
          <w:color w:val="0D0D0D" w:themeColor="text1" w:themeTint="F2"/>
          <w:sz w:val="22"/>
          <w:szCs w:val="22"/>
        </w:rPr>
        <w:t>Because the suburban modified-</w:t>
      </w:r>
      <w:proofErr w:type="spellStart"/>
      <w:r w:rsidRPr="00631F28">
        <w:rPr>
          <w:rFonts w:ascii="Arial" w:hAnsi="Arial" w:cs="Arial"/>
          <w:color w:val="0D0D0D" w:themeColor="text1" w:themeTint="F2"/>
          <w:sz w:val="22"/>
          <w:szCs w:val="22"/>
        </w:rPr>
        <w:t>Hata</w:t>
      </w:r>
      <w:proofErr w:type="spellEnd"/>
      <w:r w:rsidRPr="00631F28">
        <w:rPr>
          <w:rFonts w:ascii="Arial" w:hAnsi="Arial" w:cs="Arial"/>
          <w:color w:val="0D0D0D" w:themeColor="text1" w:themeTint="F2"/>
          <w:sz w:val="22"/>
          <w:szCs w:val="22"/>
        </w:rPr>
        <w:t xml:space="preserve"> propagation model has</w:t>
      </w:r>
      <w:r w:rsidR="008340F2" w:rsidRPr="00631F28">
        <w:rPr>
          <w:rFonts w:ascii="Arial" w:hAnsi="Arial" w:cs="Arial"/>
          <w:color w:val="0D0D0D" w:themeColor="text1" w:themeTint="F2"/>
          <w:sz w:val="22"/>
          <w:szCs w:val="22"/>
        </w:rPr>
        <w:t xml:space="preserve"> specific attenuation limits for set distances, frequencies and heights, it is possible to specify a maximum distance from the geographic boundary at which a transmitter not exceeding the out-of-area emission limit and </w:t>
      </w:r>
      <w:r w:rsidR="0007790D" w:rsidRPr="00631F28">
        <w:rPr>
          <w:rFonts w:ascii="Arial" w:hAnsi="Arial" w:cs="Arial"/>
          <w:color w:val="0D0D0D" w:themeColor="text1" w:themeTint="F2"/>
          <w:sz w:val="22"/>
          <w:szCs w:val="22"/>
        </w:rPr>
        <w:t>a</w:t>
      </w:r>
      <w:r w:rsidR="008340F2" w:rsidRPr="00631F28">
        <w:rPr>
          <w:rFonts w:ascii="Arial" w:hAnsi="Arial" w:cs="Arial"/>
          <w:color w:val="0D0D0D" w:themeColor="text1" w:themeTint="F2"/>
          <w:sz w:val="22"/>
          <w:szCs w:val="22"/>
        </w:rPr>
        <w:t xml:space="preserve"> base station effective antenna height limited to 500m will pass the device boundary criterion.</w:t>
      </w:r>
    </w:p>
    <w:p w:rsidR="00912FD8" w:rsidRPr="00631F28" w:rsidRDefault="00912FD8">
      <w:pPr>
        <w:rPr>
          <w:rFonts w:ascii="Arial" w:hAnsi="Arial" w:cs="Arial"/>
          <w:color w:val="0D0D0D" w:themeColor="text1" w:themeTint="F2"/>
          <w:sz w:val="22"/>
          <w:szCs w:val="22"/>
        </w:rPr>
      </w:pPr>
    </w:p>
    <w:p w:rsidR="00912FD8" w:rsidRPr="00631F28" w:rsidRDefault="008340F2">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Therefore, based on the calculation in section 6.1, a transmitter located greater than </w:t>
      </w:r>
      <w:r w:rsidR="00773354" w:rsidRPr="00631F28">
        <w:rPr>
          <w:rFonts w:ascii="Arial" w:hAnsi="Arial" w:cs="Arial"/>
          <w:color w:val="0D0D0D" w:themeColor="text1" w:themeTint="F2"/>
          <w:sz w:val="22"/>
          <w:szCs w:val="22"/>
        </w:rPr>
        <w:t>77</w:t>
      </w:r>
      <w:r w:rsidR="00627540">
        <w:t> </w:t>
      </w:r>
      <w:r w:rsidRPr="00631F28">
        <w:rPr>
          <w:rFonts w:ascii="Arial" w:hAnsi="Arial" w:cs="Arial"/>
          <w:color w:val="0D0D0D" w:themeColor="text1" w:themeTint="F2"/>
          <w:sz w:val="22"/>
          <w:szCs w:val="22"/>
        </w:rPr>
        <w:t>km along all radials from the geographic boundary, and meeting the deployment constraints of the section 145 determination, will not require calculation of the device boundary and are deemed to pass the device boundary criterion</w:t>
      </w:r>
      <w:r w:rsidR="005D3DE7" w:rsidRPr="00631F28">
        <w:rPr>
          <w:rFonts w:ascii="Arial" w:hAnsi="Arial" w:cs="Arial"/>
          <w:color w:val="0D0D0D" w:themeColor="text1" w:themeTint="F2"/>
          <w:sz w:val="22"/>
          <w:szCs w:val="22"/>
        </w:rPr>
        <w:t xml:space="preserve"> for the purpose of registration</w:t>
      </w:r>
      <w:r w:rsidRPr="00631F28">
        <w:rPr>
          <w:rFonts w:ascii="Arial" w:hAnsi="Arial" w:cs="Arial"/>
          <w:color w:val="0D0D0D" w:themeColor="text1" w:themeTint="F2"/>
          <w:sz w:val="22"/>
          <w:szCs w:val="22"/>
        </w:rPr>
        <w:t>.</w:t>
      </w:r>
    </w:p>
    <w:p w:rsidR="009C074A" w:rsidRPr="00F164FD" w:rsidRDefault="009C074A" w:rsidP="009C074A">
      <w:pPr>
        <w:pStyle w:val="Heading3"/>
        <w:rPr>
          <w:rFonts w:ascii="Arial" w:hAnsi="Arial" w:cs="Arial"/>
          <w:color w:val="0D0D0D" w:themeColor="text1" w:themeTint="F2"/>
        </w:rPr>
      </w:pPr>
      <w:bookmarkStart w:id="12" w:name="_Ref309633721"/>
      <w:r w:rsidRPr="00F164FD">
        <w:rPr>
          <w:rFonts w:ascii="Arial" w:hAnsi="Arial" w:cs="Arial"/>
          <w:color w:val="0D0D0D" w:themeColor="text1" w:themeTint="F2"/>
        </w:rPr>
        <w:t>7.</w:t>
      </w:r>
      <w:r w:rsidR="00E86C31" w:rsidRPr="00F164FD">
        <w:rPr>
          <w:rFonts w:ascii="Arial" w:hAnsi="Arial" w:cs="Arial"/>
          <w:color w:val="0D0D0D" w:themeColor="text1" w:themeTint="F2"/>
        </w:rPr>
        <w:t>4</w:t>
      </w:r>
      <w:r w:rsidRPr="00F164FD">
        <w:rPr>
          <w:rFonts w:ascii="Arial" w:hAnsi="Arial" w:cs="Arial"/>
          <w:color w:val="0D0D0D" w:themeColor="text1" w:themeTint="F2"/>
        </w:rPr>
        <w:tab/>
        <w:t xml:space="preserve">Proposed </w:t>
      </w:r>
      <w:r w:rsidR="009553DC" w:rsidRPr="00F164FD">
        <w:rPr>
          <w:rFonts w:ascii="Arial" w:hAnsi="Arial" w:cs="Arial"/>
          <w:color w:val="0D0D0D" w:themeColor="text1" w:themeTint="F2"/>
        </w:rPr>
        <w:t xml:space="preserve">deployment </w:t>
      </w:r>
      <w:r w:rsidRPr="00F164FD">
        <w:rPr>
          <w:rFonts w:ascii="Arial" w:hAnsi="Arial" w:cs="Arial"/>
          <w:color w:val="0D0D0D" w:themeColor="text1" w:themeTint="F2"/>
        </w:rPr>
        <w:t>constraints</w:t>
      </w:r>
      <w:bookmarkEnd w:id="12"/>
    </w:p>
    <w:p w:rsidR="009C074A" w:rsidRPr="00631F28" w:rsidRDefault="009C074A" w:rsidP="00C40F7E">
      <w:pPr>
        <w:rPr>
          <w:rFonts w:ascii="Arial" w:hAnsi="Arial" w:cs="Arial"/>
          <w:color w:val="0D0D0D" w:themeColor="text1" w:themeTint="F2"/>
          <w:sz w:val="22"/>
          <w:szCs w:val="22"/>
        </w:rPr>
      </w:pPr>
      <w:r w:rsidRPr="00631F28">
        <w:rPr>
          <w:rFonts w:ascii="Arial" w:hAnsi="Arial" w:cs="Arial"/>
          <w:color w:val="0D0D0D" w:themeColor="text1" w:themeTint="F2"/>
          <w:sz w:val="22"/>
          <w:szCs w:val="22"/>
        </w:rPr>
        <w:t xml:space="preserve">To </w:t>
      </w:r>
      <w:r w:rsidR="005D3DE7" w:rsidRPr="00631F28">
        <w:rPr>
          <w:rFonts w:ascii="Arial" w:hAnsi="Arial" w:cs="Arial"/>
          <w:color w:val="0D0D0D" w:themeColor="text1" w:themeTint="F2"/>
          <w:sz w:val="22"/>
          <w:szCs w:val="22"/>
        </w:rPr>
        <w:t xml:space="preserve">maintain the site sense applicable </w:t>
      </w:r>
      <w:r w:rsidRPr="00631F28">
        <w:rPr>
          <w:rFonts w:ascii="Arial" w:hAnsi="Arial" w:cs="Arial"/>
          <w:color w:val="0D0D0D" w:themeColor="text1" w:themeTint="F2"/>
          <w:sz w:val="22"/>
          <w:szCs w:val="22"/>
        </w:rPr>
        <w:t>to FDD systems</w:t>
      </w:r>
      <w:r w:rsidR="00C40F7E" w:rsidRPr="00631F28">
        <w:rPr>
          <w:rFonts w:ascii="Arial" w:hAnsi="Arial" w:cs="Arial"/>
          <w:color w:val="0D0D0D" w:themeColor="text1" w:themeTint="F2"/>
          <w:sz w:val="22"/>
          <w:szCs w:val="22"/>
        </w:rPr>
        <w:t xml:space="preserve"> in </w:t>
      </w:r>
      <w:r w:rsidR="005D3DE7" w:rsidRPr="00631F28">
        <w:rPr>
          <w:rFonts w:ascii="Arial" w:hAnsi="Arial" w:cs="Arial"/>
          <w:color w:val="0D0D0D" w:themeColor="text1" w:themeTint="F2"/>
          <w:sz w:val="22"/>
          <w:szCs w:val="22"/>
        </w:rPr>
        <w:t xml:space="preserve">the </w:t>
      </w:r>
      <w:r w:rsidR="00C40F7E" w:rsidRPr="00631F28">
        <w:rPr>
          <w:rFonts w:ascii="Arial" w:hAnsi="Arial" w:cs="Arial"/>
          <w:color w:val="0D0D0D" w:themeColor="text1" w:themeTint="F2"/>
          <w:sz w:val="22"/>
          <w:szCs w:val="22"/>
        </w:rPr>
        <w:t>700 MHz</w:t>
      </w:r>
      <w:r w:rsidR="005D3DE7" w:rsidRPr="00631F28">
        <w:rPr>
          <w:rFonts w:ascii="Arial" w:hAnsi="Arial" w:cs="Arial"/>
          <w:color w:val="0D0D0D" w:themeColor="text1" w:themeTint="F2"/>
          <w:sz w:val="22"/>
          <w:szCs w:val="22"/>
        </w:rPr>
        <w:t xml:space="preserve"> band</w:t>
      </w:r>
      <w:r w:rsidR="00000A4B"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 xml:space="preserve">it is proposed to </w:t>
      </w:r>
      <w:r w:rsidR="00000A4B" w:rsidRPr="00631F28">
        <w:rPr>
          <w:rFonts w:ascii="Arial" w:hAnsi="Arial" w:cs="Arial"/>
          <w:color w:val="0D0D0D" w:themeColor="text1" w:themeTint="F2"/>
          <w:sz w:val="22"/>
          <w:szCs w:val="22"/>
        </w:rPr>
        <w:t xml:space="preserve">implement a maximum </w:t>
      </w:r>
      <w:r w:rsidR="00113728" w:rsidRPr="00631F28">
        <w:rPr>
          <w:rFonts w:ascii="Arial" w:hAnsi="Arial" w:cs="Arial"/>
          <w:color w:val="0D0D0D" w:themeColor="text1" w:themeTint="F2"/>
          <w:sz w:val="22"/>
          <w:szCs w:val="22"/>
        </w:rPr>
        <w:t xml:space="preserve">effective </w:t>
      </w:r>
      <w:r w:rsidR="00000A4B" w:rsidRPr="00631F28">
        <w:rPr>
          <w:rFonts w:ascii="Arial" w:hAnsi="Arial" w:cs="Arial"/>
          <w:color w:val="0D0D0D" w:themeColor="text1" w:themeTint="F2"/>
          <w:sz w:val="22"/>
          <w:szCs w:val="22"/>
        </w:rPr>
        <w:t>antenna height</w:t>
      </w:r>
      <w:r w:rsidRPr="00631F28">
        <w:rPr>
          <w:rFonts w:ascii="Arial" w:hAnsi="Arial" w:cs="Arial"/>
          <w:color w:val="0D0D0D" w:themeColor="text1" w:themeTint="F2"/>
          <w:sz w:val="22"/>
          <w:szCs w:val="22"/>
        </w:rPr>
        <w:t xml:space="preserve"> </w:t>
      </w:r>
      <w:r w:rsidR="00115B0C" w:rsidRPr="00631F28">
        <w:rPr>
          <w:rFonts w:ascii="Arial" w:hAnsi="Arial" w:cs="Arial"/>
          <w:color w:val="0D0D0D" w:themeColor="text1" w:themeTint="F2"/>
          <w:sz w:val="22"/>
          <w:szCs w:val="22"/>
        </w:rPr>
        <w:t>restriction of 1</w:t>
      </w:r>
      <w:r w:rsidR="0020277A" w:rsidRPr="00631F28">
        <w:rPr>
          <w:rFonts w:ascii="Arial" w:hAnsi="Arial" w:cs="Arial"/>
          <w:color w:val="0D0D0D" w:themeColor="text1" w:themeTint="F2"/>
          <w:sz w:val="22"/>
          <w:szCs w:val="22"/>
        </w:rPr>
        <w:t>0</w:t>
      </w:r>
      <w:r w:rsidR="00A929BA">
        <w:rPr>
          <w:rFonts w:ascii="Arial" w:hAnsi="Arial" w:cs="Arial"/>
          <w:color w:val="0D0D0D" w:themeColor="text1" w:themeTint="F2"/>
          <w:sz w:val="22"/>
          <w:szCs w:val="22"/>
        </w:rPr>
        <w:t> </w:t>
      </w:r>
      <w:r w:rsidR="00000A4B" w:rsidRPr="00631F28">
        <w:rPr>
          <w:rFonts w:ascii="Arial" w:hAnsi="Arial" w:cs="Arial"/>
          <w:color w:val="0D0D0D" w:themeColor="text1" w:themeTint="F2"/>
          <w:sz w:val="22"/>
          <w:szCs w:val="22"/>
        </w:rPr>
        <w:t xml:space="preserve">metres in </w:t>
      </w:r>
      <w:r w:rsidRPr="00631F28">
        <w:rPr>
          <w:rFonts w:ascii="Arial" w:hAnsi="Arial" w:cs="Arial"/>
          <w:color w:val="0D0D0D" w:themeColor="text1" w:themeTint="F2"/>
          <w:sz w:val="22"/>
          <w:szCs w:val="22"/>
        </w:rPr>
        <w:t xml:space="preserve">the </w:t>
      </w:r>
      <w:r w:rsidR="00DF6F4C" w:rsidRPr="00631F28">
        <w:rPr>
          <w:rFonts w:ascii="Arial" w:hAnsi="Arial" w:cs="Arial"/>
          <w:color w:val="0D0D0D" w:themeColor="text1" w:themeTint="F2"/>
          <w:sz w:val="22"/>
          <w:szCs w:val="22"/>
        </w:rPr>
        <w:t xml:space="preserve">lower </w:t>
      </w:r>
      <w:r w:rsidRPr="00631F28">
        <w:rPr>
          <w:rFonts w:ascii="Arial" w:hAnsi="Arial" w:cs="Arial"/>
          <w:color w:val="0D0D0D" w:themeColor="text1" w:themeTint="F2"/>
          <w:sz w:val="22"/>
          <w:szCs w:val="22"/>
        </w:rPr>
        <w:t xml:space="preserve">segment </w:t>
      </w:r>
      <w:r w:rsidR="00000A4B" w:rsidRPr="00631F28">
        <w:rPr>
          <w:rFonts w:ascii="Arial" w:hAnsi="Arial" w:cs="Arial"/>
          <w:color w:val="0D0D0D" w:themeColor="text1" w:themeTint="F2"/>
          <w:sz w:val="22"/>
          <w:szCs w:val="22"/>
        </w:rPr>
        <w:t>(</w:t>
      </w:r>
      <w:r w:rsidR="00FB7668" w:rsidRPr="00631F28">
        <w:rPr>
          <w:rFonts w:ascii="Arial" w:hAnsi="Arial" w:cs="Arial"/>
          <w:color w:val="0D0D0D" w:themeColor="text1" w:themeTint="F2"/>
          <w:sz w:val="22"/>
          <w:szCs w:val="22"/>
        </w:rPr>
        <w:t>7</w:t>
      </w:r>
      <w:r w:rsidRPr="00631F28">
        <w:rPr>
          <w:rFonts w:ascii="Arial" w:hAnsi="Arial" w:cs="Arial"/>
          <w:color w:val="0D0D0D" w:themeColor="text1" w:themeTint="F2"/>
          <w:sz w:val="22"/>
          <w:szCs w:val="22"/>
        </w:rPr>
        <w:t>0</w:t>
      </w:r>
      <w:r w:rsidR="00000A4B" w:rsidRPr="00631F28">
        <w:rPr>
          <w:rFonts w:ascii="Arial" w:hAnsi="Arial" w:cs="Arial"/>
          <w:color w:val="0D0D0D" w:themeColor="text1" w:themeTint="F2"/>
          <w:sz w:val="22"/>
          <w:szCs w:val="22"/>
        </w:rPr>
        <w:t>3</w:t>
      </w:r>
      <w:r w:rsidRPr="00631F28">
        <w:rPr>
          <w:rFonts w:ascii="Arial" w:hAnsi="Arial" w:cs="Arial"/>
          <w:color w:val="0D0D0D" w:themeColor="text1" w:themeTint="F2"/>
          <w:sz w:val="22"/>
          <w:szCs w:val="22"/>
        </w:rPr>
        <w:t>-</w:t>
      </w:r>
      <w:r w:rsidR="00FB7668" w:rsidRPr="00631F28">
        <w:rPr>
          <w:rFonts w:ascii="Arial" w:hAnsi="Arial" w:cs="Arial"/>
          <w:color w:val="0D0D0D" w:themeColor="text1" w:themeTint="F2"/>
          <w:sz w:val="22"/>
          <w:szCs w:val="22"/>
        </w:rPr>
        <w:t>74</w:t>
      </w:r>
      <w:r w:rsidR="00000A4B" w:rsidRPr="00631F28">
        <w:rPr>
          <w:rFonts w:ascii="Arial" w:hAnsi="Arial" w:cs="Arial"/>
          <w:color w:val="0D0D0D" w:themeColor="text1" w:themeTint="F2"/>
          <w:sz w:val="22"/>
          <w:szCs w:val="22"/>
        </w:rPr>
        <w:t>8</w:t>
      </w:r>
      <w:r w:rsidRPr="00631F28">
        <w:rPr>
          <w:rFonts w:ascii="Arial" w:hAnsi="Arial" w:cs="Arial"/>
          <w:color w:val="0D0D0D" w:themeColor="text1" w:themeTint="F2"/>
          <w:sz w:val="22"/>
          <w:szCs w:val="22"/>
        </w:rPr>
        <w:t xml:space="preserve"> </w:t>
      </w:r>
      <w:r w:rsidR="000F43A0" w:rsidRPr="00631F28">
        <w:rPr>
          <w:rFonts w:ascii="Arial" w:hAnsi="Arial" w:cs="Arial"/>
          <w:color w:val="0D0D0D" w:themeColor="text1" w:themeTint="F2"/>
          <w:sz w:val="22"/>
          <w:szCs w:val="22"/>
        </w:rPr>
        <w:t>MHz</w:t>
      </w:r>
      <w:r w:rsidR="00000A4B" w:rsidRPr="00631F28">
        <w:rPr>
          <w:rFonts w:ascii="Arial" w:hAnsi="Arial" w:cs="Arial"/>
          <w:color w:val="0D0D0D" w:themeColor="text1" w:themeTint="F2"/>
          <w:sz w:val="22"/>
          <w:szCs w:val="22"/>
        </w:rPr>
        <w:t>)</w:t>
      </w:r>
      <w:r w:rsidRPr="00631F28">
        <w:rPr>
          <w:rFonts w:ascii="Arial" w:hAnsi="Arial" w:cs="Arial"/>
          <w:color w:val="0D0D0D" w:themeColor="text1" w:themeTint="F2"/>
          <w:sz w:val="22"/>
          <w:szCs w:val="22"/>
        </w:rPr>
        <w:t>.</w:t>
      </w:r>
      <w:r w:rsidR="000F43A0" w:rsidRPr="00631F28">
        <w:rPr>
          <w:rFonts w:ascii="Arial" w:hAnsi="Arial" w:cs="Arial"/>
          <w:color w:val="0D0D0D" w:themeColor="text1" w:themeTint="F2"/>
          <w:sz w:val="22"/>
          <w:szCs w:val="22"/>
        </w:rPr>
        <w:t xml:space="preserve"> </w:t>
      </w:r>
      <w:r w:rsidRPr="00631F28">
        <w:rPr>
          <w:rFonts w:ascii="Arial" w:hAnsi="Arial" w:cs="Arial"/>
          <w:color w:val="0D0D0D" w:themeColor="text1" w:themeTint="F2"/>
          <w:sz w:val="22"/>
          <w:szCs w:val="22"/>
        </w:rPr>
        <w:t>This forces a low site to high site interference path</w:t>
      </w:r>
      <w:r w:rsidR="00C576EB" w:rsidRPr="00631F28">
        <w:rPr>
          <w:rFonts w:ascii="Arial" w:hAnsi="Arial" w:cs="Arial"/>
          <w:color w:val="0D0D0D" w:themeColor="text1" w:themeTint="F2"/>
          <w:sz w:val="22"/>
          <w:szCs w:val="22"/>
        </w:rPr>
        <w:t xml:space="preserve"> in the lower segment</w:t>
      </w:r>
      <w:r w:rsidR="006C47F5" w:rsidRPr="00631F28">
        <w:rPr>
          <w:rFonts w:ascii="Arial" w:hAnsi="Arial" w:cs="Arial"/>
          <w:color w:val="0D0D0D" w:themeColor="text1" w:themeTint="F2"/>
          <w:sz w:val="22"/>
          <w:szCs w:val="22"/>
        </w:rPr>
        <w:t xml:space="preserve"> providing protection for high sited receivers operating in this segment</w:t>
      </w:r>
      <w:r w:rsidR="00631F28">
        <w:rPr>
          <w:rFonts w:ascii="Arial" w:hAnsi="Arial" w:cs="Arial"/>
          <w:color w:val="0D0D0D" w:themeColor="text1" w:themeTint="F2"/>
          <w:sz w:val="22"/>
          <w:szCs w:val="22"/>
        </w:rPr>
        <w:t>.</w:t>
      </w:r>
    </w:p>
    <w:p w:rsidR="009C074A" w:rsidRPr="00F164FD" w:rsidRDefault="009C074A" w:rsidP="009C074A">
      <w:pPr>
        <w:rPr>
          <w:rFonts w:ascii="Arial" w:hAnsi="Arial" w:cs="Arial"/>
          <w:color w:val="0D0D0D" w:themeColor="text1" w:themeTint="F2"/>
        </w:rPr>
      </w:pPr>
    </w:p>
    <w:sectPr w:rsidR="009C074A" w:rsidRPr="00F164FD" w:rsidSect="00CF2879">
      <w:footerReference w:type="default" r:id="rId57"/>
      <w:pgSz w:w="11906" w:h="16838"/>
      <w:pgMar w:top="851" w:right="2550" w:bottom="1304" w:left="164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9BA" w:rsidRDefault="00A929BA" w:rsidP="009C074A">
      <w:r>
        <w:separator/>
      </w:r>
    </w:p>
  </w:endnote>
  <w:endnote w:type="continuationSeparator" w:id="0">
    <w:p w:rsidR="00A929BA" w:rsidRDefault="00A929BA" w:rsidP="009C07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Caslon Pro">
    <w:panose1 w:val="0205050205050A020403"/>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29BA" w:rsidRPr="000E5ED8" w:rsidRDefault="00A929BA" w:rsidP="00627540">
    <w:pPr>
      <w:pStyle w:val="Footer"/>
      <w:ind w:right="28"/>
      <w:jc w:val="right"/>
      <w:rPr>
        <w:rFonts w:ascii="Arial" w:hAnsi="Arial" w:cs="Arial"/>
        <w:color w:val="505050"/>
        <w:sz w:val="20"/>
        <w:szCs w:val="20"/>
      </w:rPr>
    </w:pPr>
    <w:r w:rsidRPr="000E5ED8">
      <w:rPr>
        <w:rFonts w:ascii="Arial" w:hAnsi="Arial" w:cs="Arial"/>
        <w:color w:val="505050"/>
        <w:sz w:val="20"/>
        <w:szCs w:val="20"/>
      </w:rPr>
      <w:t xml:space="preserve">   </w:t>
    </w:r>
    <w:r w:rsidRPr="000E5ED8">
      <w:rPr>
        <w:rFonts w:ascii="Arial" w:hAnsi="Arial" w:cs="Arial"/>
        <w:b/>
        <w:noProof/>
        <w:color w:val="505050"/>
        <w:spacing w:val="-16"/>
        <w:sz w:val="20"/>
        <w:szCs w:val="20"/>
      </w:rPr>
      <w:t>a</w:t>
    </w:r>
    <w:r w:rsidRPr="000E5ED8">
      <w:rPr>
        <w:rFonts w:ascii="Arial" w:hAnsi="Arial" w:cs="Arial"/>
        <w:b/>
        <w:noProof/>
        <w:color w:val="505050"/>
        <w:spacing w:val="-15"/>
        <w:sz w:val="20"/>
        <w:szCs w:val="20"/>
      </w:rPr>
      <w:t>c</w:t>
    </w:r>
    <w:r w:rsidRPr="000E5ED8">
      <w:rPr>
        <w:rFonts w:ascii="Arial" w:hAnsi="Arial" w:cs="Arial"/>
        <w:b/>
        <w:noProof/>
        <w:color w:val="505050"/>
        <w:spacing w:val="-16"/>
        <w:sz w:val="20"/>
        <w:szCs w:val="20"/>
      </w:rPr>
      <w:t>m</w:t>
    </w:r>
    <w:r w:rsidRPr="000E5ED8">
      <w:rPr>
        <w:rFonts w:ascii="Arial" w:hAnsi="Arial" w:cs="Arial"/>
        <w:b/>
        <w:noProof/>
        <w:color w:val="505050"/>
        <w:spacing w:val="-14"/>
        <w:sz w:val="20"/>
        <w:szCs w:val="20"/>
      </w:rPr>
      <w:t>a</w:t>
    </w:r>
    <w:r w:rsidRPr="000E5ED8">
      <w:rPr>
        <w:rFonts w:ascii="Arial" w:hAnsi="Arial" w:cs="Arial"/>
        <w:color w:val="505050"/>
        <w:sz w:val="20"/>
        <w:szCs w:val="20"/>
      </w:rPr>
      <w:t xml:space="preserve">   |   </w:t>
    </w:r>
    <w:r w:rsidR="00034064" w:rsidRPr="000E5ED8">
      <w:rPr>
        <w:rFonts w:ascii="Arial" w:hAnsi="Arial" w:cs="Arial"/>
        <w:color w:val="505050"/>
        <w:sz w:val="20"/>
        <w:szCs w:val="20"/>
      </w:rPr>
      <w:fldChar w:fldCharType="begin"/>
    </w:r>
    <w:r w:rsidRPr="000E5ED8">
      <w:rPr>
        <w:rFonts w:ascii="Arial" w:hAnsi="Arial" w:cs="Arial"/>
        <w:color w:val="505050"/>
        <w:sz w:val="20"/>
        <w:szCs w:val="20"/>
      </w:rPr>
      <w:instrText xml:space="preserve"> PAGE  \* Arabic  \* MERGEFORMAT </w:instrText>
    </w:r>
    <w:r w:rsidR="00034064" w:rsidRPr="000E5ED8">
      <w:rPr>
        <w:rFonts w:ascii="Arial" w:hAnsi="Arial" w:cs="Arial"/>
        <w:color w:val="505050"/>
        <w:sz w:val="20"/>
        <w:szCs w:val="20"/>
      </w:rPr>
      <w:fldChar w:fldCharType="separate"/>
    </w:r>
    <w:r w:rsidR="00CB4FDF">
      <w:rPr>
        <w:rFonts w:ascii="Arial" w:hAnsi="Arial" w:cs="Arial"/>
        <w:noProof/>
        <w:color w:val="505050"/>
        <w:sz w:val="20"/>
        <w:szCs w:val="20"/>
      </w:rPr>
      <w:t>15</w:t>
    </w:r>
    <w:r w:rsidR="00034064" w:rsidRPr="000E5ED8">
      <w:rPr>
        <w:rFonts w:ascii="Arial" w:hAnsi="Arial" w:cs="Arial"/>
        <w:color w:val="505050"/>
        <w:sz w:val="20"/>
        <w:szCs w:val="20"/>
      </w:rPr>
      <w:fldChar w:fldCharType="end"/>
    </w:r>
  </w:p>
  <w:p w:rsidR="00A929BA" w:rsidRPr="00627540" w:rsidRDefault="00A929BA" w:rsidP="006275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9BA" w:rsidRDefault="00A929BA" w:rsidP="009C074A">
      <w:r>
        <w:separator/>
      </w:r>
    </w:p>
  </w:footnote>
  <w:footnote w:type="continuationSeparator" w:id="0">
    <w:p w:rsidR="00A929BA" w:rsidRDefault="00A929BA" w:rsidP="009C074A">
      <w:r>
        <w:continuationSeparator/>
      </w:r>
    </w:p>
  </w:footnote>
  <w:footnote w:id="1">
    <w:p w:rsidR="00A929BA" w:rsidRPr="00CF2879" w:rsidRDefault="00A929BA" w:rsidP="009C074A">
      <w:pPr>
        <w:pStyle w:val="FootnoteText"/>
        <w:rPr>
          <w:rFonts w:ascii="Arial" w:hAnsi="Arial" w:cs="Arial"/>
          <w:sz w:val="18"/>
          <w:szCs w:val="18"/>
        </w:rPr>
      </w:pPr>
      <w:r w:rsidRPr="00CF2879">
        <w:rPr>
          <w:rStyle w:val="FootnoteReference"/>
          <w:rFonts w:ascii="Arial" w:hAnsi="Arial" w:cs="Arial"/>
          <w:sz w:val="18"/>
          <w:szCs w:val="18"/>
        </w:rPr>
        <w:footnoteRef/>
      </w:r>
      <w:r w:rsidRPr="00CF2879">
        <w:rPr>
          <w:rFonts w:ascii="Arial" w:hAnsi="Arial" w:cs="Arial"/>
          <w:sz w:val="18"/>
          <w:szCs w:val="18"/>
        </w:rPr>
        <w:t xml:space="preserve"> The licence will contain a statutory condition exempting mobile and fixed indoor devices from device registration requirements, see subsection 69 (2) of </w:t>
      </w:r>
      <w:r w:rsidRPr="00CF2879">
        <w:rPr>
          <w:rFonts w:ascii="Arial" w:hAnsi="Arial" w:cs="Arial"/>
          <w:i/>
          <w:sz w:val="18"/>
          <w:szCs w:val="18"/>
        </w:rPr>
        <w:t>the Act</w:t>
      </w:r>
      <w:r w:rsidRPr="00CF2879">
        <w:rPr>
          <w:rFonts w:ascii="Arial" w:hAnsi="Arial" w:cs="Arial"/>
          <w:sz w:val="18"/>
          <w:szCs w:val="18"/>
        </w:rPr>
        <w:t>. However while not mandatory, registration could be desirable in some circumstances, and the section 145 determination arrangements ensure this is possible.</w:t>
      </w:r>
    </w:p>
  </w:footnote>
  <w:footnote w:id="2">
    <w:p w:rsidR="00A929BA" w:rsidRPr="0060073B" w:rsidRDefault="00A929BA" w:rsidP="009C074A">
      <w:pPr>
        <w:pStyle w:val="FootnoteText"/>
        <w:rPr>
          <w:rFonts w:ascii="Arial" w:hAnsi="Arial" w:cs="Arial"/>
          <w:sz w:val="18"/>
          <w:szCs w:val="18"/>
        </w:rPr>
      </w:pPr>
      <w:r w:rsidRPr="0060073B">
        <w:rPr>
          <w:rStyle w:val="FootnoteReference"/>
          <w:rFonts w:ascii="Arial" w:hAnsi="Arial" w:cs="Arial"/>
          <w:sz w:val="18"/>
          <w:szCs w:val="18"/>
        </w:rPr>
        <w:footnoteRef/>
      </w:r>
      <w:r w:rsidRPr="0060073B">
        <w:rPr>
          <w:rFonts w:ascii="Arial" w:hAnsi="Arial" w:cs="Arial"/>
          <w:sz w:val="18"/>
          <w:szCs w:val="18"/>
        </w:rPr>
        <w:t xml:space="preserve"> International Telecommunications Union Radiocommunications sector (ITU-R) Recommendation on Propagation (P) 1546 -3 “Method for point-to-area predictions for terrestrial services in the frequency range 30  MHz to 3000  MHz”, Geneva 2007.</w:t>
      </w:r>
    </w:p>
  </w:footnote>
  <w:footnote w:id="3">
    <w:p w:rsidR="00A929BA" w:rsidRPr="0060073B" w:rsidRDefault="00A929BA" w:rsidP="009C074A">
      <w:pPr>
        <w:pStyle w:val="FootnoteText"/>
        <w:rPr>
          <w:rFonts w:ascii="Arial" w:hAnsi="Arial" w:cs="Arial"/>
          <w:sz w:val="18"/>
          <w:szCs w:val="18"/>
        </w:rPr>
      </w:pPr>
      <w:r w:rsidRPr="0060073B">
        <w:rPr>
          <w:rStyle w:val="FootnoteReference"/>
          <w:rFonts w:ascii="Arial" w:hAnsi="Arial" w:cs="Arial"/>
          <w:sz w:val="18"/>
          <w:szCs w:val="18"/>
        </w:rPr>
        <w:footnoteRef/>
      </w:r>
      <w:r w:rsidRPr="0060073B">
        <w:rPr>
          <w:rFonts w:ascii="Arial" w:hAnsi="Arial" w:cs="Arial"/>
          <w:sz w:val="18"/>
          <w:szCs w:val="18"/>
        </w:rPr>
        <w:t xml:space="preserve"> </w:t>
      </w:r>
      <w:proofErr w:type="gramStart"/>
      <w:r w:rsidRPr="0060073B">
        <w:rPr>
          <w:rFonts w:ascii="Arial" w:hAnsi="Arial" w:cs="Arial"/>
          <w:sz w:val="18"/>
          <w:szCs w:val="18"/>
        </w:rPr>
        <w:t>CEPT Report 19 Annex IV section A4.2 pg 70.</w:t>
      </w:r>
      <w:proofErr w:type="gramEnd"/>
    </w:p>
  </w:footnote>
  <w:footnote w:id="4">
    <w:p w:rsidR="00A929BA" w:rsidRPr="0060073B" w:rsidRDefault="00A929BA">
      <w:pPr>
        <w:pStyle w:val="FootnoteText"/>
        <w:rPr>
          <w:rFonts w:ascii="Arial" w:hAnsi="Arial" w:cs="Arial"/>
          <w:sz w:val="18"/>
          <w:szCs w:val="18"/>
        </w:rPr>
      </w:pPr>
      <w:r w:rsidRPr="0060073B">
        <w:rPr>
          <w:rStyle w:val="FootnoteReference"/>
          <w:rFonts w:ascii="Arial" w:hAnsi="Arial" w:cs="Arial"/>
          <w:sz w:val="18"/>
          <w:szCs w:val="18"/>
        </w:rPr>
        <w:footnoteRef/>
      </w:r>
      <w:r w:rsidRPr="0060073B">
        <w:rPr>
          <w:rFonts w:ascii="Arial" w:hAnsi="Arial" w:cs="Arial"/>
          <w:sz w:val="18"/>
          <w:szCs w:val="18"/>
        </w:rPr>
        <w:t xml:space="preserve"> In 36.101, only 16 resource blocks are allocated (the total available is 25), the reference sensitivity power is still over the entire potentially available resource blocks. Also, the reference sensitivity is specified at the antenna connector(s) of the UE. A gain of 0 dBi is assumed for each antenna port.</w:t>
      </w:r>
    </w:p>
  </w:footnote>
  <w:footnote w:id="5">
    <w:p w:rsidR="00A929BA" w:rsidRPr="00F164FD" w:rsidRDefault="00A929BA">
      <w:pPr>
        <w:pStyle w:val="FootnoteText"/>
        <w:rPr>
          <w:rFonts w:ascii="Arial" w:hAnsi="Arial" w:cs="Arial"/>
        </w:rPr>
      </w:pPr>
      <w:r w:rsidRPr="0060073B">
        <w:rPr>
          <w:rStyle w:val="FootnoteReference"/>
          <w:rFonts w:ascii="Arial" w:hAnsi="Arial" w:cs="Arial"/>
          <w:sz w:val="18"/>
          <w:szCs w:val="18"/>
        </w:rPr>
        <w:footnoteRef/>
      </w:r>
      <w:r w:rsidRPr="0060073B">
        <w:rPr>
          <w:rFonts w:ascii="Arial" w:hAnsi="Arial" w:cs="Arial"/>
          <w:sz w:val="18"/>
          <w:szCs w:val="18"/>
        </w:rPr>
        <w:t xml:space="preserve"> </w:t>
      </w:r>
      <w:proofErr w:type="spellStart"/>
      <w:proofErr w:type="gramStart"/>
      <w:r w:rsidRPr="0060073B">
        <w:rPr>
          <w:rFonts w:ascii="Arial" w:hAnsi="Arial" w:cs="Arial"/>
          <w:sz w:val="18"/>
          <w:szCs w:val="18"/>
        </w:rPr>
        <w:t>Sesia</w:t>
      </w:r>
      <w:proofErr w:type="spellEnd"/>
      <w:r w:rsidRPr="0060073B">
        <w:rPr>
          <w:rFonts w:ascii="Arial" w:hAnsi="Arial" w:cs="Arial"/>
          <w:sz w:val="18"/>
          <w:szCs w:val="18"/>
        </w:rPr>
        <w:t>.</w:t>
      </w:r>
      <w:proofErr w:type="gramEnd"/>
      <w:r w:rsidRPr="0060073B">
        <w:rPr>
          <w:rFonts w:ascii="Arial" w:hAnsi="Arial" w:cs="Arial"/>
          <w:sz w:val="18"/>
          <w:szCs w:val="18"/>
        </w:rPr>
        <w:t xml:space="preserve"> S, </w:t>
      </w:r>
      <w:proofErr w:type="spellStart"/>
      <w:r w:rsidRPr="0060073B">
        <w:rPr>
          <w:rFonts w:ascii="Arial" w:hAnsi="Arial" w:cs="Arial"/>
          <w:sz w:val="18"/>
          <w:szCs w:val="18"/>
        </w:rPr>
        <w:t>Toufik</w:t>
      </w:r>
      <w:proofErr w:type="spellEnd"/>
      <w:r w:rsidRPr="0060073B">
        <w:rPr>
          <w:rFonts w:ascii="Arial" w:hAnsi="Arial" w:cs="Arial"/>
          <w:sz w:val="18"/>
          <w:szCs w:val="18"/>
        </w:rPr>
        <w:t xml:space="preserve">. </w:t>
      </w:r>
      <w:proofErr w:type="gramStart"/>
      <w:r w:rsidRPr="0060073B">
        <w:rPr>
          <w:rFonts w:ascii="Arial" w:hAnsi="Arial" w:cs="Arial"/>
          <w:sz w:val="18"/>
          <w:szCs w:val="18"/>
        </w:rPr>
        <w:t>I, Baker.</w:t>
      </w:r>
      <w:proofErr w:type="gramEnd"/>
      <w:r w:rsidRPr="0060073B">
        <w:rPr>
          <w:rFonts w:ascii="Arial" w:hAnsi="Arial" w:cs="Arial"/>
          <w:sz w:val="18"/>
          <w:szCs w:val="18"/>
        </w:rPr>
        <w:t xml:space="preserve"> M, </w:t>
      </w:r>
      <w:r w:rsidRPr="0060073B">
        <w:rPr>
          <w:rFonts w:ascii="Arial" w:hAnsi="Arial" w:cs="Arial"/>
          <w:i/>
          <w:sz w:val="18"/>
          <w:szCs w:val="18"/>
        </w:rPr>
        <w:t>LTE – The UMTS Long Term Evolution: From Theory to Practice</w:t>
      </w:r>
      <w:r w:rsidRPr="0060073B">
        <w:rPr>
          <w:rFonts w:ascii="Arial" w:hAnsi="Arial" w:cs="Arial"/>
          <w:sz w:val="18"/>
          <w:szCs w:val="18"/>
        </w:rPr>
        <w:t>, John Wiley and Sons, 2011, pg. 479</w:t>
      </w:r>
    </w:p>
  </w:footnote>
  <w:footnote w:id="6">
    <w:p w:rsidR="00A929BA" w:rsidRPr="0060073B" w:rsidRDefault="00A929BA">
      <w:pPr>
        <w:pStyle w:val="FootnoteText"/>
        <w:rPr>
          <w:sz w:val="18"/>
          <w:szCs w:val="18"/>
        </w:rPr>
      </w:pPr>
      <w:r w:rsidRPr="0060073B">
        <w:rPr>
          <w:rStyle w:val="FootnoteReference"/>
          <w:rFonts w:ascii="Arial" w:hAnsi="Arial" w:cs="Arial"/>
          <w:sz w:val="18"/>
          <w:szCs w:val="18"/>
        </w:rPr>
        <w:footnoteRef/>
      </w:r>
      <w:r w:rsidRPr="0060073B">
        <w:rPr>
          <w:rFonts w:ascii="Arial" w:hAnsi="Arial" w:cs="Arial"/>
          <w:sz w:val="18"/>
          <w:szCs w:val="18"/>
        </w:rPr>
        <w:t xml:space="preserve"> </w:t>
      </w:r>
      <w:proofErr w:type="spellStart"/>
      <w:proofErr w:type="gramStart"/>
      <w:r w:rsidRPr="0060073B">
        <w:rPr>
          <w:rFonts w:ascii="Arial" w:hAnsi="Arial" w:cs="Arial"/>
          <w:sz w:val="18"/>
          <w:szCs w:val="18"/>
        </w:rPr>
        <w:t>Mishra</w:t>
      </w:r>
      <w:proofErr w:type="spellEnd"/>
      <w:r w:rsidRPr="0060073B">
        <w:rPr>
          <w:rFonts w:ascii="Arial" w:hAnsi="Arial" w:cs="Arial"/>
          <w:sz w:val="18"/>
          <w:szCs w:val="18"/>
        </w:rPr>
        <w:t>.</w:t>
      </w:r>
      <w:proofErr w:type="gramEnd"/>
      <w:r w:rsidRPr="0060073B">
        <w:rPr>
          <w:rFonts w:ascii="Arial" w:hAnsi="Arial" w:cs="Arial"/>
          <w:sz w:val="18"/>
          <w:szCs w:val="18"/>
        </w:rPr>
        <w:t xml:space="preserve"> A. R, </w:t>
      </w:r>
      <w:r w:rsidRPr="0060073B">
        <w:rPr>
          <w:rFonts w:ascii="Arial" w:hAnsi="Arial" w:cs="Arial"/>
          <w:i/>
          <w:sz w:val="18"/>
          <w:szCs w:val="18"/>
        </w:rPr>
        <w:t>Advanced cellular network planning and optimisation: 2G/2.5G/3G – evolution to 4G</w:t>
      </w:r>
      <w:r w:rsidRPr="0060073B">
        <w:rPr>
          <w:rFonts w:ascii="Arial" w:hAnsi="Arial" w:cs="Arial"/>
          <w:sz w:val="18"/>
          <w:szCs w:val="18"/>
        </w:rPr>
        <w:t>, John Wiley and Sons, 2007, pg. 48</w:t>
      </w:r>
    </w:p>
  </w:footnote>
  <w:footnote w:id="7">
    <w:p w:rsidR="00A929BA" w:rsidRPr="0060073B" w:rsidRDefault="00A929BA">
      <w:pPr>
        <w:pStyle w:val="FootnoteText"/>
        <w:rPr>
          <w:rFonts w:ascii="Arial" w:hAnsi="Arial" w:cs="Arial"/>
          <w:sz w:val="18"/>
          <w:szCs w:val="18"/>
        </w:rPr>
      </w:pPr>
      <w:r w:rsidRPr="0060073B">
        <w:rPr>
          <w:rStyle w:val="FootnoteReference"/>
          <w:rFonts w:ascii="Arial" w:hAnsi="Arial" w:cs="Arial"/>
          <w:sz w:val="18"/>
          <w:szCs w:val="18"/>
        </w:rPr>
        <w:footnoteRef/>
      </w:r>
      <w:r w:rsidRPr="0060073B">
        <w:rPr>
          <w:rFonts w:ascii="Arial" w:hAnsi="Arial" w:cs="Arial"/>
          <w:sz w:val="18"/>
          <w:szCs w:val="18"/>
        </w:rPr>
        <w:t xml:space="preserve"> </w:t>
      </w:r>
      <w:proofErr w:type="spellStart"/>
      <w:proofErr w:type="gramStart"/>
      <w:r w:rsidRPr="0060073B">
        <w:rPr>
          <w:rFonts w:ascii="Arial" w:hAnsi="Arial" w:cs="Arial"/>
          <w:sz w:val="18"/>
          <w:szCs w:val="18"/>
        </w:rPr>
        <w:t>Haykin</w:t>
      </w:r>
      <w:proofErr w:type="spellEnd"/>
      <w:r w:rsidRPr="0060073B">
        <w:rPr>
          <w:rFonts w:ascii="Arial" w:hAnsi="Arial" w:cs="Arial"/>
          <w:sz w:val="18"/>
          <w:szCs w:val="18"/>
        </w:rPr>
        <w:t>.</w:t>
      </w:r>
      <w:proofErr w:type="gramEnd"/>
      <w:r w:rsidRPr="0060073B">
        <w:rPr>
          <w:rFonts w:ascii="Arial" w:hAnsi="Arial" w:cs="Arial"/>
          <w:sz w:val="18"/>
          <w:szCs w:val="18"/>
        </w:rPr>
        <w:t xml:space="preserve"> </w:t>
      </w:r>
      <w:proofErr w:type="gramStart"/>
      <w:r w:rsidRPr="0060073B">
        <w:rPr>
          <w:rFonts w:ascii="Arial" w:hAnsi="Arial" w:cs="Arial"/>
          <w:sz w:val="18"/>
          <w:szCs w:val="18"/>
        </w:rPr>
        <w:t xml:space="preserve">S., </w:t>
      </w:r>
      <w:proofErr w:type="spellStart"/>
      <w:r w:rsidRPr="0060073B">
        <w:rPr>
          <w:rFonts w:ascii="Arial" w:hAnsi="Arial" w:cs="Arial"/>
          <w:sz w:val="18"/>
          <w:szCs w:val="18"/>
        </w:rPr>
        <w:t>Moher</w:t>
      </w:r>
      <w:proofErr w:type="spellEnd"/>
      <w:r w:rsidRPr="0060073B">
        <w:rPr>
          <w:rFonts w:ascii="Arial" w:hAnsi="Arial" w:cs="Arial"/>
          <w:sz w:val="18"/>
          <w:szCs w:val="18"/>
        </w:rPr>
        <w:t>.</w:t>
      </w:r>
      <w:proofErr w:type="gramEnd"/>
      <w:r w:rsidRPr="0060073B">
        <w:rPr>
          <w:rFonts w:ascii="Arial" w:hAnsi="Arial" w:cs="Arial"/>
          <w:sz w:val="18"/>
          <w:szCs w:val="18"/>
        </w:rPr>
        <w:t xml:space="preserve"> M., </w:t>
      </w:r>
      <w:r w:rsidRPr="0060073B">
        <w:rPr>
          <w:rFonts w:ascii="Arial" w:hAnsi="Arial" w:cs="Arial"/>
          <w:i/>
          <w:sz w:val="18"/>
          <w:szCs w:val="18"/>
        </w:rPr>
        <w:t>Introduction to Analog &amp; Digital Communications – Second Edition</w:t>
      </w:r>
      <w:r w:rsidRPr="0060073B">
        <w:rPr>
          <w:rFonts w:ascii="Arial" w:hAnsi="Arial" w:cs="Arial"/>
          <w:sz w:val="18"/>
          <w:szCs w:val="18"/>
        </w:rPr>
        <w:t>, John Wiley and Sons, 2007, pg. 419</w:t>
      </w:r>
    </w:p>
  </w:footnote>
  <w:footnote w:id="8">
    <w:p w:rsidR="00A929BA" w:rsidRPr="00A929BA" w:rsidRDefault="00A929BA" w:rsidP="000850D6">
      <w:pPr>
        <w:pStyle w:val="FootnoteText"/>
        <w:rPr>
          <w:rFonts w:ascii="Arial" w:hAnsi="Arial" w:cs="Arial"/>
          <w:sz w:val="18"/>
          <w:szCs w:val="18"/>
        </w:rPr>
      </w:pPr>
      <w:r w:rsidRPr="00A929BA">
        <w:rPr>
          <w:rStyle w:val="FootnoteReference"/>
          <w:rFonts w:ascii="Arial" w:hAnsi="Arial" w:cs="Arial"/>
          <w:sz w:val="18"/>
          <w:szCs w:val="18"/>
        </w:rPr>
        <w:footnoteRef/>
      </w:r>
      <w:r w:rsidRPr="00A929BA">
        <w:rPr>
          <w:rFonts w:ascii="Arial" w:hAnsi="Arial" w:cs="Arial"/>
          <w:sz w:val="18"/>
          <w:szCs w:val="18"/>
        </w:rPr>
        <w:t xml:space="preserve"> A femtocell is a fixed low power base station typically connected to the network via the customers broadband internet connection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65E6A"/>
    <w:multiLevelType w:val="hybridMultilevel"/>
    <w:tmpl w:val="A248332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A660257"/>
    <w:multiLevelType w:val="hybridMultilevel"/>
    <w:tmpl w:val="C520F3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09F285F"/>
    <w:multiLevelType w:val="hybridMultilevel"/>
    <w:tmpl w:val="E2C05FBA"/>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23E540FD"/>
    <w:multiLevelType w:val="hybridMultilevel"/>
    <w:tmpl w:val="8A008D0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6E43071"/>
    <w:multiLevelType w:val="hybridMultilevel"/>
    <w:tmpl w:val="44F49CC4"/>
    <w:lvl w:ilvl="0" w:tplc="6DD26B38">
      <w:start w:val="1"/>
      <w:numFmt w:val="bullet"/>
      <w:lvlText w:val="&gt;"/>
      <w:lvlJc w:val="left"/>
      <w:pPr>
        <w:tabs>
          <w:tab w:val="num" w:pos="720"/>
        </w:tabs>
        <w:ind w:left="720" w:hanging="360"/>
      </w:pPr>
      <w:rPr>
        <w:rFonts w:ascii="Adobe Caslon Pro" w:hAnsi="Adobe Caslon Pro"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28532F99"/>
    <w:multiLevelType w:val="hybridMultilevel"/>
    <w:tmpl w:val="7628476C"/>
    <w:lvl w:ilvl="0" w:tplc="6DD26B38">
      <w:start w:val="1"/>
      <w:numFmt w:val="bullet"/>
      <w:lvlText w:val="&gt;"/>
      <w:lvlJc w:val="left"/>
      <w:pPr>
        <w:tabs>
          <w:tab w:val="num" w:pos="720"/>
        </w:tabs>
        <w:ind w:left="720" w:hanging="360"/>
      </w:pPr>
      <w:rPr>
        <w:rFonts w:ascii="Adobe Caslon Pro" w:hAnsi="Adobe Caslon Pro"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28FB593A"/>
    <w:multiLevelType w:val="hybridMultilevel"/>
    <w:tmpl w:val="78C0F1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C0920F9"/>
    <w:multiLevelType w:val="hybridMultilevel"/>
    <w:tmpl w:val="B65678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6D53775"/>
    <w:multiLevelType w:val="hybridMultilevel"/>
    <w:tmpl w:val="23A6DEB6"/>
    <w:lvl w:ilvl="0" w:tplc="78364BD8">
      <w:start w:val="3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CF41552"/>
    <w:multiLevelType w:val="hybridMultilevel"/>
    <w:tmpl w:val="2DC8C41C"/>
    <w:lvl w:ilvl="0" w:tplc="F7B0AD34">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5F17FCF"/>
    <w:multiLevelType w:val="hybridMultilevel"/>
    <w:tmpl w:val="EBF4A0E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86C0D95"/>
    <w:multiLevelType w:val="hybridMultilevel"/>
    <w:tmpl w:val="8D1CDA1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E985718"/>
    <w:multiLevelType w:val="hybridMultilevel"/>
    <w:tmpl w:val="0E02B5E2"/>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53DA0A06"/>
    <w:multiLevelType w:val="hybridMultilevel"/>
    <w:tmpl w:val="9C3AF5C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58712A87"/>
    <w:multiLevelType w:val="hybridMultilevel"/>
    <w:tmpl w:val="5E22D576"/>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ECA2DB8"/>
    <w:multiLevelType w:val="hybridMultilevel"/>
    <w:tmpl w:val="8F7C2734"/>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66F5253A"/>
    <w:multiLevelType w:val="hybridMultilevel"/>
    <w:tmpl w:val="C012EB24"/>
    <w:lvl w:ilvl="0" w:tplc="6DD26B38">
      <w:start w:val="1"/>
      <w:numFmt w:val="bullet"/>
      <w:lvlText w:val="&gt;"/>
      <w:lvlJc w:val="left"/>
      <w:pPr>
        <w:tabs>
          <w:tab w:val="num" w:pos="720"/>
        </w:tabs>
        <w:ind w:left="720" w:hanging="360"/>
      </w:pPr>
      <w:rPr>
        <w:rFonts w:ascii="Adobe Caslon Pro" w:hAnsi="Adobe Caslon Pro"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7E7064A3"/>
    <w:multiLevelType w:val="hybridMultilevel"/>
    <w:tmpl w:val="BED6C87E"/>
    <w:lvl w:ilvl="0" w:tplc="7D081570">
      <w:start w:val="1"/>
      <w:numFmt w:val="decimal"/>
      <w:lvlText w:val="%1."/>
      <w:lvlJc w:val="left"/>
      <w:pPr>
        <w:ind w:left="1155" w:hanging="79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7E7B7F2E"/>
    <w:multiLevelType w:val="hybridMultilevel"/>
    <w:tmpl w:val="BD8634EE"/>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8"/>
  </w:num>
  <w:num w:numId="3">
    <w:abstractNumId w:val="7"/>
  </w:num>
  <w:num w:numId="4">
    <w:abstractNumId w:val="2"/>
  </w:num>
  <w:num w:numId="5">
    <w:abstractNumId w:val="15"/>
  </w:num>
  <w:num w:numId="6">
    <w:abstractNumId w:val="12"/>
  </w:num>
  <w:num w:numId="7">
    <w:abstractNumId w:val="9"/>
  </w:num>
  <w:num w:numId="8">
    <w:abstractNumId w:val="8"/>
  </w:num>
  <w:num w:numId="9">
    <w:abstractNumId w:val="1"/>
  </w:num>
  <w:num w:numId="10">
    <w:abstractNumId w:val="0"/>
  </w:num>
  <w:num w:numId="11">
    <w:abstractNumId w:val="17"/>
  </w:num>
  <w:num w:numId="12">
    <w:abstractNumId w:val="6"/>
  </w:num>
  <w:num w:numId="13">
    <w:abstractNumId w:val="10"/>
  </w:num>
  <w:num w:numId="14">
    <w:abstractNumId w:val="3"/>
  </w:num>
  <w:num w:numId="15">
    <w:abstractNumId w:val="13"/>
  </w:num>
  <w:num w:numId="16">
    <w:abstractNumId w:val="11"/>
  </w:num>
  <w:num w:numId="17">
    <w:abstractNumId w:val="16"/>
  </w:num>
  <w:num w:numId="18">
    <w:abstractNumId w:val="5"/>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81"/>
  <w:drawingGridVerticalSpacing w:val="181"/>
  <w:characterSpacingControl w:val="doNotCompress"/>
  <w:footnotePr>
    <w:footnote w:id="-1"/>
    <w:footnote w:id="0"/>
  </w:footnotePr>
  <w:endnotePr>
    <w:endnote w:id="-1"/>
    <w:endnote w:id="0"/>
  </w:endnotePr>
  <w:compat/>
  <w:rsids>
    <w:rsidRoot w:val="009C074A"/>
    <w:rsid w:val="00000906"/>
    <w:rsid w:val="00000A4B"/>
    <w:rsid w:val="00001208"/>
    <w:rsid w:val="0000222E"/>
    <w:rsid w:val="00002937"/>
    <w:rsid w:val="0000486B"/>
    <w:rsid w:val="00005723"/>
    <w:rsid w:val="00010ABA"/>
    <w:rsid w:val="00013CCE"/>
    <w:rsid w:val="000150A3"/>
    <w:rsid w:val="000204F2"/>
    <w:rsid w:val="00024903"/>
    <w:rsid w:val="00032168"/>
    <w:rsid w:val="00034064"/>
    <w:rsid w:val="000340FB"/>
    <w:rsid w:val="0004184A"/>
    <w:rsid w:val="00043434"/>
    <w:rsid w:val="00045B04"/>
    <w:rsid w:val="000464A4"/>
    <w:rsid w:val="00054286"/>
    <w:rsid w:val="00054BE3"/>
    <w:rsid w:val="00054CF7"/>
    <w:rsid w:val="00060AAB"/>
    <w:rsid w:val="0006595C"/>
    <w:rsid w:val="00071199"/>
    <w:rsid w:val="00071AE8"/>
    <w:rsid w:val="0007322D"/>
    <w:rsid w:val="0007790D"/>
    <w:rsid w:val="00080447"/>
    <w:rsid w:val="00080F15"/>
    <w:rsid w:val="000850D6"/>
    <w:rsid w:val="000862CC"/>
    <w:rsid w:val="00090170"/>
    <w:rsid w:val="00097929"/>
    <w:rsid w:val="00097AB4"/>
    <w:rsid w:val="000A1F4F"/>
    <w:rsid w:val="000A4C71"/>
    <w:rsid w:val="000A767E"/>
    <w:rsid w:val="000B0C92"/>
    <w:rsid w:val="000B32DD"/>
    <w:rsid w:val="000B4130"/>
    <w:rsid w:val="000C1015"/>
    <w:rsid w:val="000C12B5"/>
    <w:rsid w:val="000C1E3D"/>
    <w:rsid w:val="000C3C35"/>
    <w:rsid w:val="000E030B"/>
    <w:rsid w:val="000E0844"/>
    <w:rsid w:val="000E25A5"/>
    <w:rsid w:val="000E410C"/>
    <w:rsid w:val="000F06D6"/>
    <w:rsid w:val="000F43A0"/>
    <w:rsid w:val="00100D13"/>
    <w:rsid w:val="00106676"/>
    <w:rsid w:val="00106AC0"/>
    <w:rsid w:val="00113728"/>
    <w:rsid w:val="0011377B"/>
    <w:rsid w:val="001143CF"/>
    <w:rsid w:val="0011511F"/>
    <w:rsid w:val="00115B0C"/>
    <w:rsid w:val="001370F9"/>
    <w:rsid w:val="00142B3F"/>
    <w:rsid w:val="00143419"/>
    <w:rsid w:val="00153A58"/>
    <w:rsid w:val="00160724"/>
    <w:rsid w:val="00160A2C"/>
    <w:rsid w:val="00163362"/>
    <w:rsid w:val="00163CF5"/>
    <w:rsid w:val="00164DF8"/>
    <w:rsid w:val="00174352"/>
    <w:rsid w:val="001809F1"/>
    <w:rsid w:val="0018338A"/>
    <w:rsid w:val="00184844"/>
    <w:rsid w:val="00190C52"/>
    <w:rsid w:val="001A14CB"/>
    <w:rsid w:val="001A52FE"/>
    <w:rsid w:val="001A57E0"/>
    <w:rsid w:val="001A6242"/>
    <w:rsid w:val="001A66AE"/>
    <w:rsid w:val="001A7791"/>
    <w:rsid w:val="001B12B7"/>
    <w:rsid w:val="001B2D7C"/>
    <w:rsid w:val="001B5E87"/>
    <w:rsid w:val="001C5592"/>
    <w:rsid w:val="001D54A5"/>
    <w:rsid w:val="001D78DE"/>
    <w:rsid w:val="001F0E24"/>
    <w:rsid w:val="001F1088"/>
    <w:rsid w:val="001F6364"/>
    <w:rsid w:val="002001F9"/>
    <w:rsid w:val="0020277A"/>
    <w:rsid w:val="00204AAE"/>
    <w:rsid w:val="002133D5"/>
    <w:rsid w:val="00215D4C"/>
    <w:rsid w:val="00217A25"/>
    <w:rsid w:val="00223758"/>
    <w:rsid w:val="0023147F"/>
    <w:rsid w:val="0023528D"/>
    <w:rsid w:val="00240C4E"/>
    <w:rsid w:val="00246393"/>
    <w:rsid w:val="00250A29"/>
    <w:rsid w:val="0025584E"/>
    <w:rsid w:val="00256600"/>
    <w:rsid w:val="00261195"/>
    <w:rsid w:val="00261FF5"/>
    <w:rsid w:val="002706D4"/>
    <w:rsid w:val="00271640"/>
    <w:rsid w:val="002716BD"/>
    <w:rsid w:val="00271806"/>
    <w:rsid w:val="002827B5"/>
    <w:rsid w:val="00284BE9"/>
    <w:rsid w:val="00286D29"/>
    <w:rsid w:val="00295962"/>
    <w:rsid w:val="00295DFC"/>
    <w:rsid w:val="002A220F"/>
    <w:rsid w:val="002A415F"/>
    <w:rsid w:val="002B677D"/>
    <w:rsid w:val="002C0CC8"/>
    <w:rsid w:val="002C2FC9"/>
    <w:rsid w:val="002C6771"/>
    <w:rsid w:val="002C6A75"/>
    <w:rsid w:val="002C70FA"/>
    <w:rsid w:val="002D21C5"/>
    <w:rsid w:val="002D4DC1"/>
    <w:rsid w:val="002D5B1F"/>
    <w:rsid w:val="002D6068"/>
    <w:rsid w:val="002D709C"/>
    <w:rsid w:val="002E2D9F"/>
    <w:rsid w:val="002E3400"/>
    <w:rsid w:val="002E66CA"/>
    <w:rsid w:val="002E74FB"/>
    <w:rsid w:val="002F0F35"/>
    <w:rsid w:val="002F485F"/>
    <w:rsid w:val="002F55C5"/>
    <w:rsid w:val="002F6452"/>
    <w:rsid w:val="002F7924"/>
    <w:rsid w:val="003015D4"/>
    <w:rsid w:val="00301977"/>
    <w:rsid w:val="003039A6"/>
    <w:rsid w:val="00305209"/>
    <w:rsid w:val="00306C86"/>
    <w:rsid w:val="00312B6A"/>
    <w:rsid w:val="003142F0"/>
    <w:rsid w:val="00315B5A"/>
    <w:rsid w:val="00317D78"/>
    <w:rsid w:val="003218FA"/>
    <w:rsid w:val="00327187"/>
    <w:rsid w:val="0033328E"/>
    <w:rsid w:val="003342CC"/>
    <w:rsid w:val="003359B7"/>
    <w:rsid w:val="0034050F"/>
    <w:rsid w:val="00340DC8"/>
    <w:rsid w:val="00343F35"/>
    <w:rsid w:val="00347188"/>
    <w:rsid w:val="00350205"/>
    <w:rsid w:val="0035379E"/>
    <w:rsid w:val="003546A3"/>
    <w:rsid w:val="00355A86"/>
    <w:rsid w:val="0035706A"/>
    <w:rsid w:val="00362CDE"/>
    <w:rsid w:val="00364529"/>
    <w:rsid w:val="00367867"/>
    <w:rsid w:val="003723E9"/>
    <w:rsid w:val="00377429"/>
    <w:rsid w:val="00380E0F"/>
    <w:rsid w:val="003816BA"/>
    <w:rsid w:val="00381AF2"/>
    <w:rsid w:val="0038251F"/>
    <w:rsid w:val="00383D4A"/>
    <w:rsid w:val="003908F8"/>
    <w:rsid w:val="00390CEB"/>
    <w:rsid w:val="00392DA9"/>
    <w:rsid w:val="003A264E"/>
    <w:rsid w:val="003A35E6"/>
    <w:rsid w:val="003A5528"/>
    <w:rsid w:val="003A5AFB"/>
    <w:rsid w:val="003A5CE6"/>
    <w:rsid w:val="003B2C3F"/>
    <w:rsid w:val="003B7519"/>
    <w:rsid w:val="003C2AEE"/>
    <w:rsid w:val="003C5FE3"/>
    <w:rsid w:val="003E0E05"/>
    <w:rsid w:val="003E1EFC"/>
    <w:rsid w:val="003E2D24"/>
    <w:rsid w:val="003F0254"/>
    <w:rsid w:val="003F11D9"/>
    <w:rsid w:val="003F20D9"/>
    <w:rsid w:val="00404B9E"/>
    <w:rsid w:val="00405011"/>
    <w:rsid w:val="004074C7"/>
    <w:rsid w:val="00412F8F"/>
    <w:rsid w:val="00413E0B"/>
    <w:rsid w:val="0042537A"/>
    <w:rsid w:val="004305BE"/>
    <w:rsid w:val="0043657E"/>
    <w:rsid w:val="004402D7"/>
    <w:rsid w:val="00441E9B"/>
    <w:rsid w:val="004433C8"/>
    <w:rsid w:val="00445362"/>
    <w:rsid w:val="0046101C"/>
    <w:rsid w:val="00463B4F"/>
    <w:rsid w:val="00466755"/>
    <w:rsid w:val="00474173"/>
    <w:rsid w:val="0047456E"/>
    <w:rsid w:val="0048015A"/>
    <w:rsid w:val="00485182"/>
    <w:rsid w:val="0048720E"/>
    <w:rsid w:val="00491AA1"/>
    <w:rsid w:val="00492002"/>
    <w:rsid w:val="004968C9"/>
    <w:rsid w:val="004A48A1"/>
    <w:rsid w:val="004A536A"/>
    <w:rsid w:val="004B27AD"/>
    <w:rsid w:val="004C153F"/>
    <w:rsid w:val="004C1BC0"/>
    <w:rsid w:val="004C4C47"/>
    <w:rsid w:val="004D0499"/>
    <w:rsid w:val="004D5C68"/>
    <w:rsid w:val="004E1C78"/>
    <w:rsid w:val="004E41EA"/>
    <w:rsid w:val="004E5E17"/>
    <w:rsid w:val="004E677A"/>
    <w:rsid w:val="004F030A"/>
    <w:rsid w:val="004F0E73"/>
    <w:rsid w:val="004F544F"/>
    <w:rsid w:val="004F56A9"/>
    <w:rsid w:val="00500006"/>
    <w:rsid w:val="005066EF"/>
    <w:rsid w:val="005074FE"/>
    <w:rsid w:val="00507E36"/>
    <w:rsid w:val="00513DB4"/>
    <w:rsid w:val="00521B77"/>
    <w:rsid w:val="00526E0B"/>
    <w:rsid w:val="005305B0"/>
    <w:rsid w:val="00531041"/>
    <w:rsid w:val="00536D32"/>
    <w:rsid w:val="0053786A"/>
    <w:rsid w:val="005516C7"/>
    <w:rsid w:val="00551A12"/>
    <w:rsid w:val="00551CD6"/>
    <w:rsid w:val="005578C8"/>
    <w:rsid w:val="00560FB6"/>
    <w:rsid w:val="00563453"/>
    <w:rsid w:val="00565043"/>
    <w:rsid w:val="00570356"/>
    <w:rsid w:val="005706C2"/>
    <w:rsid w:val="005806C3"/>
    <w:rsid w:val="00581AD8"/>
    <w:rsid w:val="00584E39"/>
    <w:rsid w:val="005913F8"/>
    <w:rsid w:val="00595AA6"/>
    <w:rsid w:val="00596BDC"/>
    <w:rsid w:val="005A1715"/>
    <w:rsid w:val="005A4416"/>
    <w:rsid w:val="005A4CB6"/>
    <w:rsid w:val="005B13A2"/>
    <w:rsid w:val="005B212B"/>
    <w:rsid w:val="005B287D"/>
    <w:rsid w:val="005B368A"/>
    <w:rsid w:val="005C28ED"/>
    <w:rsid w:val="005C4C2F"/>
    <w:rsid w:val="005C4CF1"/>
    <w:rsid w:val="005C64E2"/>
    <w:rsid w:val="005C6A0E"/>
    <w:rsid w:val="005C7000"/>
    <w:rsid w:val="005D267B"/>
    <w:rsid w:val="005D3DE7"/>
    <w:rsid w:val="005D6E0F"/>
    <w:rsid w:val="005E0274"/>
    <w:rsid w:val="005E5191"/>
    <w:rsid w:val="005E5AFD"/>
    <w:rsid w:val="005E677A"/>
    <w:rsid w:val="005F0EB9"/>
    <w:rsid w:val="0060073B"/>
    <w:rsid w:val="00601638"/>
    <w:rsid w:val="00602400"/>
    <w:rsid w:val="00603E15"/>
    <w:rsid w:val="00606082"/>
    <w:rsid w:val="00607618"/>
    <w:rsid w:val="00607D74"/>
    <w:rsid w:val="00610B38"/>
    <w:rsid w:val="006110F5"/>
    <w:rsid w:val="00614066"/>
    <w:rsid w:val="006214D5"/>
    <w:rsid w:val="00621826"/>
    <w:rsid w:val="006233BA"/>
    <w:rsid w:val="006235F9"/>
    <w:rsid w:val="00627540"/>
    <w:rsid w:val="00627769"/>
    <w:rsid w:val="00631F28"/>
    <w:rsid w:val="006424A2"/>
    <w:rsid w:val="006445E4"/>
    <w:rsid w:val="00654AC2"/>
    <w:rsid w:val="00656F41"/>
    <w:rsid w:val="00662655"/>
    <w:rsid w:val="00662689"/>
    <w:rsid w:val="00663B6A"/>
    <w:rsid w:val="00665FF7"/>
    <w:rsid w:val="0067086E"/>
    <w:rsid w:val="00681C17"/>
    <w:rsid w:val="00684359"/>
    <w:rsid w:val="00684369"/>
    <w:rsid w:val="00693507"/>
    <w:rsid w:val="0069785F"/>
    <w:rsid w:val="006A10EA"/>
    <w:rsid w:val="006A6B37"/>
    <w:rsid w:val="006A7FA6"/>
    <w:rsid w:val="006B1E27"/>
    <w:rsid w:val="006B3F64"/>
    <w:rsid w:val="006B645B"/>
    <w:rsid w:val="006C38B4"/>
    <w:rsid w:val="006C47F5"/>
    <w:rsid w:val="006D4D06"/>
    <w:rsid w:val="006D6E5B"/>
    <w:rsid w:val="006D7A7B"/>
    <w:rsid w:val="006E04C0"/>
    <w:rsid w:val="006E6119"/>
    <w:rsid w:val="006F5F48"/>
    <w:rsid w:val="006F7102"/>
    <w:rsid w:val="006F7601"/>
    <w:rsid w:val="00704125"/>
    <w:rsid w:val="00705B25"/>
    <w:rsid w:val="007112B9"/>
    <w:rsid w:val="007212F0"/>
    <w:rsid w:val="00730872"/>
    <w:rsid w:val="007329D9"/>
    <w:rsid w:val="00732E73"/>
    <w:rsid w:val="00735383"/>
    <w:rsid w:val="00742FBF"/>
    <w:rsid w:val="00744557"/>
    <w:rsid w:val="007464DA"/>
    <w:rsid w:val="0074677A"/>
    <w:rsid w:val="00746CE0"/>
    <w:rsid w:val="00752F93"/>
    <w:rsid w:val="0075397F"/>
    <w:rsid w:val="00754DFD"/>
    <w:rsid w:val="00757E7D"/>
    <w:rsid w:val="00764D43"/>
    <w:rsid w:val="00771B9A"/>
    <w:rsid w:val="00773354"/>
    <w:rsid w:val="007758F3"/>
    <w:rsid w:val="007763EF"/>
    <w:rsid w:val="00786F1A"/>
    <w:rsid w:val="007876EA"/>
    <w:rsid w:val="007950BE"/>
    <w:rsid w:val="0079677D"/>
    <w:rsid w:val="00796ABE"/>
    <w:rsid w:val="007A008C"/>
    <w:rsid w:val="007A089D"/>
    <w:rsid w:val="007B1952"/>
    <w:rsid w:val="007B5039"/>
    <w:rsid w:val="007B5065"/>
    <w:rsid w:val="007B511D"/>
    <w:rsid w:val="007B787D"/>
    <w:rsid w:val="007C1A67"/>
    <w:rsid w:val="007C7005"/>
    <w:rsid w:val="007D1DF2"/>
    <w:rsid w:val="007D3731"/>
    <w:rsid w:val="007D6A99"/>
    <w:rsid w:val="007E7F09"/>
    <w:rsid w:val="007F387A"/>
    <w:rsid w:val="007F533E"/>
    <w:rsid w:val="0080014A"/>
    <w:rsid w:val="00804003"/>
    <w:rsid w:val="008072D1"/>
    <w:rsid w:val="008132A9"/>
    <w:rsid w:val="008135B0"/>
    <w:rsid w:val="00813D99"/>
    <w:rsid w:val="00813DBD"/>
    <w:rsid w:val="00814CDA"/>
    <w:rsid w:val="00821E35"/>
    <w:rsid w:val="008227A4"/>
    <w:rsid w:val="008302AC"/>
    <w:rsid w:val="0083046B"/>
    <w:rsid w:val="0083131B"/>
    <w:rsid w:val="00831385"/>
    <w:rsid w:val="008316E6"/>
    <w:rsid w:val="00832268"/>
    <w:rsid w:val="008340F2"/>
    <w:rsid w:val="00837BCE"/>
    <w:rsid w:val="00843FE9"/>
    <w:rsid w:val="00844915"/>
    <w:rsid w:val="00847670"/>
    <w:rsid w:val="008500C0"/>
    <w:rsid w:val="008545D0"/>
    <w:rsid w:val="00857013"/>
    <w:rsid w:val="00857DC9"/>
    <w:rsid w:val="008612BE"/>
    <w:rsid w:val="0086619E"/>
    <w:rsid w:val="008807C1"/>
    <w:rsid w:val="008817B7"/>
    <w:rsid w:val="00886ACF"/>
    <w:rsid w:val="00893905"/>
    <w:rsid w:val="00894161"/>
    <w:rsid w:val="008A21B1"/>
    <w:rsid w:val="008A595A"/>
    <w:rsid w:val="008C1E7D"/>
    <w:rsid w:val="008C6BCD"/>
    <w:rsid w:val="008D0E8D"/>
    <w:rsid w:val="008D1288"/>
    <w:rsid w:val="008D279D"/>
    <w:rsid w:val="008D696E"/>
    <w:rsid w:val="008E62A8"/>
    <w:rsid w:val="008F1C5B"/>
    <w:rsid w:val="008F3183"/>
    <w:rsid w:val="00901333"/>
    <w:rsid w:val="00903AE1"/>
    <w:rsid w:val="00905256"/>
    <w:rsid w:val="00905AF6"/>
    <w:rsid w:val="00907886"/>
    <w:rsid w:val="00910F7E"/>
    <w:rsid w:val="00912FD8"/>
    <w:rsid w:val="009140DA"/>
    <w:rsid w:val="00915174"/>
    <w:rsid w:val="00916D0D"/>
    <w:rsid w:val="00921D77"/>
    <w:rsid w:val="00923522"/>
    <w:rsid w:val="00926951"/>
    <w:rsid w:val="00926C9D"/>
    <w:rsid w:val="009347E2"/>
    <w:rsid w:val="00934DDE"/>
    <w:rsid w:val="00937771"/>
    <w:rsid w:val="00937D30"/>
    <w:rsid w:val="0094568F"/>
    <w:rsid w:val="009516F7"/>
    <w:rsid w:val="00951DC7"/>
    <w:rsid w:val="009544CE"/>
    <w:rsid w:val="009553DC"/>
    <w:rsid w:val="00964838"/>
    <w:rsid w:val="00973702"/>
    <w:rsid w:val="00973B64"/>
    <w:rsid w:val="00981896"/>
    <w:rsid w:val="0098311B"/>
    <w:rsid w:val="00990C2A"/>
    <w:rsid w:val="00990EF8"/>
    <w:rsid w:val="009A1C1A"/>
    <w:rsid w:val="009A37F6"/>
    <w:rsid w:val="009A46D0"/>
    <w:rsid w:val="009A5B4C"/>
    <w:rsid w:val="009B0038"/>
    <w:rsid w:val="009B1E06"/>
    <w:rsid w:val="009B1E65"/>
    <w:rsid w:val="009B5D7D"/>
    <w:rsid w:val="009C074A"/>
    <w:rsid w:val="009C0D0E"/>
    <w:rsid w:val="009C23E2"/>
    <w:rsid w:val="009C68F4"/>
    <w:rsid w:val="009D4648"/>
    <w:rsid w:val="009D4EA9"/>
    <w:rsid w:val="009E02CE"/>
    <w:rsid w:val="009E7566"/>
    <w:rsid w:val="009E76E2"/>
    <w:rsid w:val="009F3874"/>
    <w:rsid w:val="009F5A8D"/>
    <w:rsid w:val="009F6A21"/>
    <w:rsid w:val="009F77FD"/>
    <w:rsid w:val="00A007EA"/>
    <w:rsid w:val="00A0427A"/>
    <w:rsid w:val="00A11F3F"/>
    <w:rsid w:val="00A127A0"/>
    <w:rsid w:val="00A17906"/>
    <w:rsid w:val="00A17E44"/>
    <w:rsid w:val="00A22905"/>
    <w:rsid w:val="00A33CD3"/>
    <w:rsid w:val="00A353F8"/>
    <w:rsid w:val="00A40525"/>
    <w:rsid w:val="00A412F6"/>
    <w:rsid w:val="00A440E0"/>
    <w:rsid w:val="00A4707E"/>
    <w:rsid w:val="00A63924"/>
    <w:rsid w:val="00A70040"/>
    <w:rsid w:val="00A730AF"/>
    <w:rsid w:val="00A76BC4"/>
    <w:rsid w:val="00A81E3E"/>
    <w:rsid w:val="00A822DF"/>
    <w:rsid w:val="00A91918"/>
    <w:rsid w:val="00A929BA"/>
    <w:rsid w:val="00A95E1E"/>
    <w:rsid w:val="00AA3D2A"/>
    <w:rsid w:val="00AA6925"/>
    <w:rsid w:val="00AB488C"/>
    <w:rsid w:val="00AB4DB3"/>
    <w:rsid w:val="00AC0903"/>
    <w:rsid w:val="00AC2621"/>
    <w:rsid w:val="00AC5C5A"/>
    <w:rsid w:val="00AD2AE2"/>
    <w:rsid w:val="00AE20AB"/>
    <w:rsid w:val="00AE579A"/>
    <w:rsid w:val="00AF2245"/>
    <w:rsid w:val="00AF31CA"/>
    <w:rsid w:val="00AF6586"/>
    <w:rsid w:val="00AF7709"/>
    <w:rsid w:val="00B0594D"/>
    <w:rsid w:val="00B05C44"/>
    <w:rsid w:val="00B11EE3"/>
    <w:rsid w:val="00B1234C"/>
    <w:rsid w:val="00B125E9"/>
    <w:rsid w:val="00B161EF"/>
    <w:rsid w:val="00B172D0"/>
    <w:rsid w:val="00B2433B"/>
    <w:rsid w:val="00B422B7"/>
    <w:rsid w:val="00B45DF6"/>
    <w:rsid w:val="00B500B9"/>
    <w:rsid w:val="00B51B7D"/>
    <w:rsid w:val="00B5366A"/>
    <w:rsid w:val="00B53AD9"/>
    <w:rsid w:val="00B54601"/>
    <w:rsid w:val="00B6522A"/>
    <w:rsid w:val="00B662CC"/>
    <w:rsid w:val="00B66AE3"/>
    <w:rsid w:val="00B67FB3"/>
    <w:rsid w:val="00B70405"/>
    <w:rsid w:val="00B70511"/>
    <w:rsid w:val="00B71798"/>
    <w:rsid w:val="00B7373E"/>
    <w:rsid w:val="00B77E8E"/>
    <w:rsid w:val="00B832E1"/>
    <w:rsid w:val="00B84341"/>
    <w:rsid w:val="00B86548"/>
    <w:rsid w:val="00B86692"/>
    <w:rsid w:val="00B90F51"/>
    <w:rsid w:val="00B944AA"/>
    <w:rsid w:val="00BA0863"/>
    <w:rsid w:val="00BA1045"/>
    <w:rsid w:val="00BA150B"/>
    <w:rsid w:val="00BA542E"/>
    <w:rsid w:val="00BB029A"/>
    <w:rsid w:val="00BB65A5"/>
    <w:rsid w:val="00BB72CF"/>
    <w:rsid w:val="00BC2019"/>
    <w:rsid w:val="00BC31DA"/>
    <w:rsid w:val="00BD3D0E"/>
    <w:rsid w:val="00BD7FC6"/>
    <w:rsid w:val="00BE01C4"/>
    <w:rsid w:val="00BE10C4"/>
    <w:rsid w:val="00BE4D50"/>
    <w:rsid w:val="00BE6929"/>
    <w:rsid w:val="00BF1CB1"/>
    <w:rsid w:val="00BF1F14"/>
    <w:rsid w:val="00BF291B"/>
    <w:rsid w:val="00C03F4D"/>
    <w:rsid w:val="00C058F3"/>
    <w:rsid w:val="00C1206F"/>
    <w:rsid w:val="00C127E1"/>
    <w:rsid w:val="00C144EC"/>
    <w:rsid w:val="00C162DF"/>
    <w:rsid w:val="00C16CF4"/>
    <w:rsid w:val="00C20EC7"/>
    <w:rsid w:val="00C21D7B"/>
    <w:rsid w:val="00C22529"/>
    <w:rsid w:val="00C24394"/>
    <w:rsid w:val="00C40F7E"/>
    <w:rsid w:val="00C51417"/>
    <w:rsid w:val="00C51928"/>
    <w:rsid w:val="00C53460"/>
    <w:rsid w:val="00C53E73"/>
    <w:rsid w:val="00C576EB"/>
    <w:rsid w:val="00C60417"/>
    <w:rsid w:val="00C6142F"/>
    <w:rsid w:val="00C67A2F"/>
    <w:rsid w:val="00C7468E"/>
    <w:rsid w:val="00C9510F"/>
    <w:rsid w:val="00C9613A"/>
    <w:rsid w:val="00CA2945"/>
    <w:rsid w:val="00CB1467"/>
    <w:rsid w:val="00CB251A"/>
    <w:rsid w:val="00CB4FDF"/>
    <w:rsid w:val="00CB67C5"/>
    <w:rsid w:val="00CC1D9F"/>
    <w:rsid w:val="00CD2528"/>
    <w:rsid w:val="00CD4C34"/>
    <w:rsid w:val="00CE41E8"/>
    <w:rsid w:val="00CE76E9"/>
    <w:rsid w:val="00CF2879"/>
    <w:rsid w:val="00D0061B"/>
    <w:rsid w:val="00D0414C"/>
    <w:rsid w:val="00D078F4"/>
    <w:rsid w:val="00D1282D"/>
    <w:rsid w:val="00D13170"/>
    <w:rsid w:val="00D16198"/>
    <w:rsid w:val="00D26F1D"/>
    <w:rsid w:val="00D27072"/>
    <w:rsid w:val="00D270F4"/>
    <w:rsid w:val="00D2738D"/>
    <w:rsid w:val="00D32320"/>
    <w:rsid w:val="00D33F3F"/>
    <w:rsid w:val="00D33F8A"/>
    <w:rsid w:val="00D34931"/>
    <w:rsid w:val="00D37E8F"/>
    <w:rsid w:val="00D526DD"/>
    <w:rsid w:val="00D569FE"/>
    <w:rsid w:val="00D62097"/>
    <w:rsid w:val="00D634F0"/>
    <w:rsid w:val="00D67834"/>
    <w:rsid w:val="00D70A22"/>
    <w:rsid w:val="00D719BF"/>
    <w:rsid w:val="00D727B7"/>
    <w:rsid w:val="00D733B0"/>
    <w:rsid w:val="00D7604C"/>
    <w:rsid w:val="00D76306"/>
    <w:rsid w:val="00D84DC2"/>
    <w:rsid w:val="00D90751"/>
    <w:rsid w:val="00D922C7"/>
    <w:rsid w:val="00D97BB9"/>
    <w:rsid w:val="00DA2460"/>
    <w:rsid w:val="00DB0D33"/>
    <w:rsid w:val="00DB3330"/>
    <w:rsid w:val="00DB557A"/>
    <w:rsid w:val="00DB5BE2"/>
    <w:rsid w:val="00DC5A81"/>
    <w:rsid w:val="00DD00A0"/>
    <w:rsid w:val="00DD2498"/>
    <w:rsid w:val="00DD2F7A"/>
    <w:rsid w:val="00DE5F3A"/>
    <w:rsid w:val="00DF0FCF"/>
    <w:rsid w:val="00DF1674"/>
    <w:rsid w:val="00DF6F4C"/>
    <w:rsid w:val="00E069EE"/>
    <w:rsid w:val="00E127E2"/>
    <w:rsid w:val="00E13D85"/>
    <w:rsid w:val="00E14AD8"/>
    <w:rsid w:val="00E1531B"/>
    <w:rsid w:val="00E228A7"/>
    <w:rsid w:val="00E23950"/>
    <w:rsid w:val="00E26334"/>
    <w:rsid w:val="00E27A23"/>
    <w:rsid w:val="00E3082E"/>
    <w:rsid w:val="00E31444"/>
    <w:rsid w:val="00E40204"/>
    <w:rsid w:val="00E41A6E"/>
    <w:rsid w:val="00E41F08"/>
    <w:rsid w:val="00E42079"/>
    <w:rsid w:val="00E451B9"/>
    <w:rsid w:val="00E516DD"/>
    <w:rsid w:val="00E51FBC"/>
    <w:rsid w:val="00E611F1"/>
    <w:rsid w:val="00E6390E"/>
    <w:rsid w:val="00E66C04"/>
    <w:rsid w:val="00E6777F"/>
    <w:rsid w:val="00E730D3"/>
    <w:rsid w:val="00E752B4"/>
    <w:rsid w:val="00E85633"/>
    <w:rsid w:val="00E8570F"/>
    <w:rsid w:val="00E86C31"/>
    <w:rsid w:val="00E92A46"/>
    <w:rsid w:val="00E95654"/>
    <w:rsid w:val="00E9621E"/>
    <w:rsid w:val="00E97FD1"/>
    <w:rsid w:val="00EA2320"/>
    <w:rsid w:val="00EA3AF1"/>
    <w:rsid w:val="00EA4FB9"/>
    <w:rsid w:val="00EA51CF"/>
    <w:rsid w:val="00EB0DF4"/>
    <w:rsid w:val="00EB3B12"/>
    <w:rsid w:val="00EB441C"/>
    <w:rsid w:val="00EC03FD"/>
    <w:rsid w:val="00EC1227"/>
    <w:rsid w:val="00EC1C18"/>
    <w:rsid w:val="00EC23AD"/>
    <w:rsid w:val="00EC4D94"/>
    <w:rsid w:val="00EC7944"/>
    <w:rsid w:val="00ED1427"/>
    <w:rsid w:val="00ED3E3C"/>
    <w:rsid w:val="00EE2884"/>
    <w:rsid w:val="00EE3AB9"/>
    <w:rsid w:val="00EE7321"/>
    <w:rsid w:val="00EF3773"/>
    <w:rsid w:val="00EF6074"/>
    <w:rsid w:val="00EF62AC"/>
    <w:rsid w:val="00F00ADB"/>
    <w:rsid w:val="00F0208E"/>
    <w:rsid w:val="00F040E7"/>
    <w:rsid w:val="00F04938"/>
    <w:rsid w:val="00F05AC5"/>
    <w:rsid w:val="00F10DAB"/>
    <w:rsid w:val="00F1120E"/>
    <w:rsid w:val="00F128AF"/>
    <w:rsid w:val="00F15E42"/>
    <w:rsid w:val="00F164FD"/>
    <w:rsid w:val="00F20C9C"/>
    <w:rsid w:val="00F27615"/>
    <w:rsid w:val="00F3280B"/>
    <w:rsid w:val="00F3280C"/>
    <w:rsid w:val="00F364CA"/>
    <w:rsid w:val="00F42D86"/>
    <w:rsid w:val="00F47BFB"/>
    <w:rsid w:val="00F578AE"/>
    <w:rsid w:val="00F62A03"/>
    <w:rsid w:val="00F66E28"/>
    <w:rsid w:val="00F67913"/>
    <w:rsid w:val="00F73948"/>
    <w:rsid w:val="00F84653"/>
    <w:rsid w:val="00F847F0"/>
    <w:rsid w:val="00F909F8"/>
    <w:rsid w:val="00F9179E"/>
    <w:rsid w:val="00F93310"/>
    <w:rsid w:val="00FA1A8A"/>
    <w:rsid w:val="00FA45B0"/>
    <w:rsid w:val="00FA64CC"/>
    <w:rsid w:val="00FB17F2"/>
    <w:rsid w:val="00FB2435"/>
    <w:rsid w:val="00FB7182"/>
    <w:rsid w:val="00FB7668"/>
    <w:rsid w:val="00FC2AA5"/>
    <w:rsid w:val="00FD2629"/>
    <w:rsid w:val="00FD52DE"/>
    <w:rsid w:val="00FD6C05"/>
    <w:rsid w:val="00FD7F2C"/>
    <w:rsid w:val="00FE32F6"/>
    <w:rsid w:val="00FE3432"/>
    <w:rsid w:val="00FE3DBB"/>
    <w:rsid w:val="00FE425F"/>
    <w:rsid w:val="00FE464E"/>
    <w:rsid w:val="00FE508B"/>
    <w:rsid w:val="00FE54FE"/>
    <w:rsid w:val="00FF0A93"/>
    <w:rsid w:val="00FF3D8C"/>
    <w:rsid w:val="00FF7F1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7">
      <o:colormenu v:ext="edit" fillcolor="none [3212]" strokecolor="none"/>
    </o:shapedefaults>
    <o:shapelayout v:ext="edit">
      <o:idmap v:ext="edit" data="1"/>
      <o:rules v:ext="edit">
        <o:r id="V:Rule12" type="connector" idref="#_x0000_s1189">
          <o:proxy start="" idref="#_x0000_s1196" connectloc="2"/>
          <o:proxy end="" idref="#_x0000_s1176" connectloc="2"/>
        </o:r>
        <o:r id="V:Rule13" type="connector" idref="#_x0000_s1179"/>
        <o:r id="V:Rule14" type="connector" idref="#_x0000_s1182"/>
        <o:r id="V:Rule15" type="connector" idref="#_x0000_s1178"/>
        <o:r id="V:Rule16" type="connector" idref="#_x0000_s1180"/>
        <o:r id="V:Rule17" type="connector" idref="#_x0000_s1184"/>
        <o:r id="V:Rule18" type="connector" idref="#_x0000_s1183"/>
        <o:r id="V:Rule19" type="connector" idref="#_x0000_s1186">
          <o:proxy start="" idref="#_x0000_s1196" connectloc="5"/>
        </o:r>
        <o:r id="V:Rule20" type="connector" idref="#_x0000_s1185"/>
        <o:r id="V:Rule21" type="connector" idref="#_x0000_s1191">
          <o:proxy start="" idref="#_x0000_s1176" connectloc="2"/>
          <o:proxy end="" idref="#_x0000_s1197" connectloc="6"/>
        </o:r>
        <o:r id="V:Rule22" type="connector" idref="#_x0000_s118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74A"/>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
    <w:qFormat/>
    <w:rsid w:val="009C074A"/>
    <w:pPr>
      <w:keepNext/>
      <w:keepLines/>
      <w:spacing w:before="480" w:line="276" w:lineRule="auto"/>
      <w:outlineLvl w:val="0"/>
    </w:pPr>
    <w:rPr>
      <w:rFonts w:ascii="Cambria" w:hAnsi="Cambria"/>
      <w:b/>
      <w:bCs/>
      <w:color w:val="365F91"/>
      <w:sz w:val="28"/>
      <w:szCs w:val="28"/>
      <w:lang w:eastAsia="en-US"/>
    </w:rPr>
  </w:style>
  <w:style w:type="paragraph" w:styleId="Heading2">
    <w:name w:val="heading 2"/>
    <w:basedOn w:val="Normal"/>
    <w:next w:val="Normal"/>
    <w:link w:val="Heading2Char"/>
    <w:uiPriority w:val="9"/>
    <w:unhideWhenUsed/>
    <w:qFormat/>
    <w:rsid w:val="009C074A"/>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unhideWhenUsed/>
    <w:qFormat/>
    <w:rsid w:val="009C074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F387A"/>
    <w:pPr>
      <w:keepNext/>
      <w:keepLines/>
      <w:spacing w:before="200"/>
      <w:outlineLvl w:val="3"/>
    </w:pPr>
    <w:rPr>
      <w:rFonts w:asciiTheme="majorHAnsi" w:eastAsiaTheme="majorEastAsia" w:hAnsiTheme="majorHAnsi" w:cstheme="majorBidi"/>
      <w:b/>
      <w:bCs/>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074A"/>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9C074A"/>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9C074A"/>
    <w:rPr>
      <w:rFonts w:asciiTheme="majorHAnsi" w:eastAsiaTheme="majorEastAsia" w:hAnsiTheme="majorHAnsi" w:cstheme="majorBidi"/>
      <w:b/>
      <w:bCs/>
      <w:color w:val="4F81BD" w:themeColor="accent1"/>
      <w:sz w:val="24"/>
      <w:szCs w:val="24"/>
      <w:lang w:eastAsia="en-AU"/>
    </w:rPr>
  </w:style>
  <w:style w:type="table" w:styleId="TableGrid">
    <w:name w:val="Table Grid"/>
    <w:basedOn w:val="TableNormal"/>
    <w:rsid w:val="009C074A"/>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9C074A"/>
    <w:pPr>
      <w:spacing w:after="120"/>
    </w:pPr>
    <w:rPr>
      <w:szCs w:val="20"/>
    </w:rPr>
  </w:style>
  <w:style w:type="character" w:customStyle="1" w:styleId="BodyTextChar">
    <w:name w:val="Body Text Char"/>
    <w:basedOn w:val="DefaultParagraphFont"/>
    <w:link w:val="BodyText"/>
    <w:rsid w:val="009C074A"/>
    <w:rPr>
      <w:rFonts w:ascii="Times New Roman" w:eastAsia="Times New Roman" w:hAnsi="Times New Roman" w:cs="Times New Roman"/>
      <w:sz w:val="24"/>
      <w:szCs w:val="20"/>
      <w:lang w:eastAsia="en-AU"/>
    </w:rPr>
  </w:style>
  <w:style w:type="character" w:styleId="Hyperlink">
    <w:name w:val="Hyperlink"/>
    <w:basedOn w:val="DefaultParagraphFont"/>
    <w:rsid w:val="009C074A"/>
    <w:rPr>
      <w:color w:val="0000FF"/>
      <w:u w:val="single"/>
    </w:rPr>
  </w:style>
  <w:style w:type="paragraph" w:styleId="BalloonText">
    <w:name w:val="Balloon Text"/>
    <w:basedOn w:val="Normal"/>
    <w:link w:val="BalloonTextChar"/>
    <w:semiHidden/>
    <w:rsid w:val="009C074A"/>
    <w:rPr>
      <w:rFonts w:ascii="Tahoma" w:hAnsi="Tahoma" w:cs="Tahoma"/>
      <w:sz w:val="16"/>
      <w:szCs w:val="16"/>
    </w:rPr>
  </w:style>
  <w:style w:type="character" w:customStyle="1" w:styleId="BalloonTextChar">
    <w:name w:val="Balloon Text Char"/>
    <w:basedOn w:val="DefaultParagraphFont"/>
    <w:link w:val="BalloonText"/>
    <w:semiHidden/>
    <w:rsid w:val="009C074A"/>
    <w:rPr>
      <w:rFonts w:ascii="Tahoma" w:eastAsia="Times New Roman" w:hAnsi="Tahoma" w:cs="Tahoma"/>
      <w:sz w:val="16"/>
      <w:szCs w:val="16"/>
      <w:lang w:eastAsia="en-AU"/>
    </w:rPr>
  </w:style>
  <w:style w:type="paragraph" w:styleId="FootnoteText">
    <w:name w:val="footnote text"/>
    <w:basedOn w:val="Normal"/>
    <w:link w:val="FootnoteTextChar"/>
    <w:semiHidden/>
    <w:rsid w:val="009C074A"/>
    <w:rPr>
      <w:sz w:val="20"/>
      <w:szCs w:val="20"/>
    </w:rPr>
  </w:style>
  <w:style w:type="character" w:customStyle="1" w:styleId="FootnoteTextChar">
    <w:name w:val="Footnote Text Char"/>
    <w:basedOn w:val="DefaultParagraphFont"/>
    <w:link w:val="FootnoteText"/>
    <w:semiHidden/>
    <w:rsid w:val="009C074A"/>
    <w:rPr>
      <w:rFonts w:ascii="Times New Roman" w:eastAsia="Times New Roman" w:hAnsi="Times New Roman" w:cs="Times New Roman"/>
      <w:sz w:val="20"/>
      <w:szCs w:val="20"/>
      <w:lang w:eastAsia="en-AU"/>
    </w:rPr>
  </w:style>
  <w:style w:type="character" w:styleId="FootnoteReference">
    <w:name w:val="footnote reference"/>
    <w:basedOn w:val="DefaultParagraphFont"/>
    <w:semiHidden/>
    <w:rsid w:val="009C074A"/>
    <w:rPr>
      <w:vertAlign w:val="superscript"/>
    </w:rPr>
  </w:style>
  <w:style w:type="paragraph" w:styleId="Header">
    <w:name w:val="header"/>
    <w:basedOn w:val="Normal"/>
    <w:link w:val="HeaderChar"/>
    <w:rsid w:val="009C074A"/>
    <w:pPr>
      <w:tabs>
        <w:tab w:val="center" w:pos="4153"/>
        <w:tab w:val="right" w:pos="8306"/>
      </w:tabs>
    </w:pPr>
  </w:style>
  <w:style w:type="character" w:customStyle="1" w:styleId="HeaderChar">
    <w:name w:val="Header Char"/>
    <w:basedOn w:val="DefaultParagraphFont"/>
    <w:link w:val="Header"/>
    <w:rsid w:val="009C074A"/>
    <w:rPr>
      <w:rFonts w:ascii="Times New Roman" w:eastAsia="Times New Roman" w:hAnsi="Times New Roman" w:cs="Times New Roman"/>
      <w:sz w:val="24"/>
      <w:szCs w:val="24"/>
      <w:lang w:eastAsia="en-AU"/>
    </w:rPr>
  </w:style>
  <w:style w:type="paragraph" w:styleId="Footer">
    <w:name w:val="footer"/>
    <w:basedOn w:val="Normal"/>
    <w:link w:val="FooterChar"/>
    <w:uiPriority w:val="99"/>
    <w:rsid w:val="009C074A"/>
    <w:pPr>
      <w:tabs>
        <w:tab w:val="center" w:pos="4153"/>
        <w:tab w:val="right" w:pos="8306"/>
      </w:tabs>
    </w:pPr>
  </w:style>
  <w:style w:type="character" w:customStyle="1" w:styleId="FooterChar">
    <w:name w:val="Footer Char"/>
    <w:basedOn w:val="DefaultParagraphFont"/>
    <w:link w:val="Footer"/>
    <w:uiPriority w:val="99"/>
    <w:rsid w:val="009C074A"/>
    <w:rPr>
      <w:rFonts w:ascii="Times New Roman" w:eastAsia="Times New Roman" w:hAnsi="Times New Roman" w:cs="Times New Roman"/>
      <w:sz w:val="24"/>
      <w:szCs w:val="24"/>
      <w:lang w:eastAsia="en-AU"/>
    </w:rPr>
  </w:style>
  <w:style w:type="character" w:styleId="PageNumber">
    <w:name w:val="page number"/>
    <w:basedOn w:val="DefaultParagraphFont"/>
    <w:rsid w:val="009C074A"/>
  </w:style>
  <w:style w:type="character" w:styleId="CommentReference">
    <w:name w:val="annotation reference"/>
    <w:basedOn w:val="DefaultParagraphFont"/>
    <w:uiPriority w:val="99"/>
    <w:semiHidden/>
    <w:unhideWhenUsed/>
    <w:rsid w:val="008D279D"/>
    <w:rPr>
      <w:sz w:val="16"/>
      <w:szCs w:val="16"/>
    </w:rPr>
  </w:style>
  <w:style w:type="paragraph" w:styleId="CommentText">
    <w:name w:val="annotation text"/>
    <w:basedOn w:val="Normal"/>
    <w:link w:val="CommentTextChar"/>
    <w:uiPriority w:val="99"/>
    <w:unhideWhenUsed/>
    <w:rsid w:val="007B511D"/>
    <w:rPr>
      <w:sz w:val="20"/>
      <w:szCs w:val="20"/>
    </w:rPr>
  </w:style>
  <w:style w:type="character" w:customStyle="1" w:styleId="CommentTextChar">
    <w:name w:val="Comment Text Char"/>
    <w:basedOn w:val="DefaultParagraphFont"/>
    <w:link w:val="CommentText"/>
    <w:uiPriority w:val="99"/>
    <w:rsid w:val="007B511D"/>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8D279D"/>
    <w:rPr>
      <w:b/>
      <w:bCs/>
    </w:rPr>
  </w:style>
  <w:style w:type="character" w:customStyle="1" w:styleId="CommentSubjectChar">
    <w:name w:val="Comment Subject Char"/>
    <w:basedOn w:val="CommentTextChar"/>
    <w:link w:val="CommentSubject"/>
    <w:uiPriority w:val="99"/>
    <w:semiHidden/>
    <w:rsid w:val="008D279D"/>
    <w:rPr>
      <w:b/>
      <w:bCs/>
    </w:rPr>
  </w:style>
  <w:style w:type="paragraph" w:styleId="Caption">
    <w:name w:val="caption"/>
    <w:basedOn w:val="Normal"/>
    <w:next w:val="Normal"/>
    <w:unhideWhenUsed/>
    <w:qFormat/>
    <w:rsid w:val="00D526DD"/>
    <w:pPr>
      <w:spacing w:after="200"/>
    </w:pPr>
    <w:rPr>
      <w:b/>
      <w:bCs/>
      <w:color w:val="4F81BD" w:themeColor="accent1"/>
      <w:sz w:val="18"/>
      <w:szCs w:val="18"/>
    </w:rPr>
  </w:style>
  <w:style w:type="paragraph" w:styleId="Revision">
    <w:name w:val="Revision"/>
    <w:hidden/>
    <w:uiPriority w:val="99"/>
    <w:semiHidden/>
    <w:rsid w:val="00B77E8E"/>
    <w:pPr>
      <w:spacing w:after="0" w:line="240" w:lineRule="auto"/>
    </w:pPr>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FF7F1C"/>
    <w:pPr>
      <w:ind w:left="720"/>
      <w:contextualSpacing/>
    </w:pPr>
  </w:style>
  <w:style w:type="paragraph" w:styleId="NormalWeb">
    <w:name w:val="Normal (Web)"/>
    <w:basedOn w:val="Normal"/>
    <w:uiPriority w:val="99"/>
    <w:unhideWhenUsed/>
    <w:rsid w:val="00295962"/>
    <w:pPr>
      <w:spacing w:before="100" w:beforeAutospacing="1" w:after="100" w:afterAutospacing="1"/>
    </w:pPr>
  </w:style>
  <w:style w:type="paragraph" w:styleId="NoSpacing">
    <w:name w:val="No Spacing"/>
    <w:uiPriority w:val="1"/>
    <w:qFormat/>
    <w:rsid w:val="00B70405"/>
    <w:pPr>
      <w:spacing w:after="0" w:line="240" w:lineRule="auto"/>
    </w:pPr>
    <w:rPr>
      <w:rFonts w:ascii="Times New Roman" w:eastAsia="Times New Roman" w:hAnsi="Times New Roman" w:cs="Times New Roman"/>
      <w:sz w:val="24"/>
      <w:szCs w:val="24"/>
      <w:lang w:eastAsia="en-AU"/>
    </w:rPr>
  </w:style>
  <w:style w:type="paragraph" w:styleId="DocumentMap">
    <w:name w:val="Document Map"/>
    <w:basedOn w:val="Normal"/>
    <w:link w:val="DocumentMapChar"/>
    <w:uiPriority w:val="99"/>
    <w:semiHidden/>
    <w:unhideWhenUsed/>
    <w:rsid w:val="00786F1A"/>
    <w:rPr>
      <w:rFonts w:ascii="Tahoma" w:hAnsi="Tahoma" w:cs="Tahoma"/>
      <w:sz w:val="16"/>
      <w:szCs w:val="16"/>
    </w:rPr>
  </w:style>
  <w:style w:type="character" w:customStyle="1" w:styleId="DocumentMapChar">
    <w:name w:val="Document Map Char"/>
    <w:basedOn w:val="DefaultParagraphFont"/>
    <w:link w:val="DocumentMap"/>
    <w:uiPriority w:val="99"/>
    <w:semiHidden/>
    <w:rsid w:val="00786F1A"/>
    <w:rPr>
      <w:rFonts w:ascii="Tahoma" w:eastAsia="Times New Roman" w:hAnsi="Tahoma" w:cs="Tahoma"/>
      <w:sz w:val="16"/>
      <w:szCs w:val="16"/>
      <w:lang w:eastAsia="en-AU"/>
    </w:rPr>
  </w:style>
  <w:style w:type="paragraph" w:customStyle="1" w:styleId="R1">
    <w:name w:val="R1"/>
    <w:aliases w:val="1. or 1.(1)"/>
    <w:basedOn w:val="Normal"/>
    <w:next w:val="Normal"/>
    <w:rsid w:val="009C23E2"/>
    <w:pPr>
      <w:tabs>
        <w:tab w:val="right" w:pos="794"/>
      </w:tabs>
      <w:spacing w:before="120" w:line="260" w:lineRule="exact"/>
      <w:ind w:left="964" w:hanging="964"/>
      <w:jc w:val="both"/>
    </w:pPr>
    <w:rPr>
      <w:lang w:eastAsia="en-US"/>
    </w:rPr>
  </w:style>
  <w:style w:type="paragraph" w:customStyle="1" w:styleId="Schedulepara">
    <w:name w:val="Schedule para"/>
    <w:basedOn w:val="Normal"/>
    <w:rsid w:val="009C23E2"/>
    <w:pPr>
      <w:tabs>
        <w:tab w:val="right" w:pos="567"/>
      </w:tabs>
      <w:spacing w:before="180" w:line="260" w:lineRule="exact"/>
      <w:ind w:left="964" w:hanging="964"/>
      <w:jc w:val="both"/>
    </w:pPr>
    <w:rPr>
      <w:lang w:eastAsia="en-US"/>
    </w:rPr>
  </w:style>
  <w:style w:type="character" w:customStyle="1" w:styleId="Heading4Char">
    <w:name w:val="Heading 4 Char"/>
    <w:basedOn w:val="DefaultParagraphFont"/>
    <w:link w:val="Heading4"/>
    <w:uiPriority w:val="9"/>
    <w:rsid w:val="007F387A"/>
    <w:rPr>
      <w:rFonts w:asciiTheme="majorHAnsi" w:eastAsiaTheme="majorEastAsia" w:hAnsiTheme="majorHAnsi" w:cstheme="majorBidi"/>
      <w:b/>
      <w:bCs/>
      <w:iCs/>
      <w:color w:val="4F81BD" w:themeColor="accent1"/>
      <w:sz w:val="24"/>
      <w:szCs w:val="24"/>
      <w:lang w:eastAsia="en-AU"/>
    </w:rPr>
  </w:style>
  <w:style w:type="paragraph" w:styleId="Title">
    <w:name w:val="Title"/>
    <w:basedOn w:val="Normal"/>
    <w:next w:val="Normal"/>
    <w:link w:val="TitleChar"/>
    <w:uiPriority w:val="10"/>
    <w:qFormat/>
    <w:rsid w:val="00F164F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64FD"/>
    <w:rPr>
      <w:rFonts w:asciiTheme="majorHAnsi" w:eastAsiaTheme="majorEastAsia" w:hAnsiTheme="majorHAnsi" w:cstheme="majorBidi"/>
      <w:color w:val="17365D" w:themeColor="text2" w:themeShade="BF"/>
      <w:spacing w:val="5"/>
      <w:kern w:val="28"/>
      <w:sz w:val="52"/>
      <w:szCs w:val="52"/>
      <w:lang w:eastAsia="en-AU"/>
    </w:rPr>
  </w:style>
</w:styles>
</file>

<file path=word/webSettings.xml><?xml version="1.0" encoding="utf-8"?>
<w:webSettings xmlns:r="http://schemas.openxmlformats.org/officeDocument/2006/relationships" xmlns:w="http://schemas.openxmlformats.org/wordprocessingml/2006/main">
  <w:divs>
    <w:div w:id="118887755">
      <w:bodyDiv w:val="1"/>
      <w:marLeft w:val="0"/>
      <w:marRight w:val="0"/>
      <w:marTop w:val="0"/>
      <w:marBottom w:val="0"/>
      <w:divBdr>
        <w:top w:val="none" w:sz="0" w:space="0" w:color="auto"/>
        <w:left w:val="none" w:sz="0" w:space="0" w:color="auto"/>
        <w:bottom w:val="none" w:sz="0" w:space="0" w:color="auto"/>
        <w:right w:val="none" w:sz="0" w:space="0" w:color="auto"/>
      </w:divBdr>
    </w:div>
    <w:div w:id="429201944">
      <w:bodyDiv w:val="1"/>
      <w:marLeft w:val="0"/>
      <w:marRight w:val="0"/>
      <w:marTop w:val="0"/>
      <w:marBottom w:val="0"/>
      <w:divBdr>
        <w:top w:val="none" w:sz="0" w:space="0" w:color="auto"/>
        <w:left w:val="none" w:sz="0" w:space="0" w:color="auto"/>
        <w:bottom w:val="none" w:sz="0" w:space="0" w:color="auto"/>
        <w:right w:val="none" w:sz="0" w:space="0" w:color="auto"/>
      </w:divBdr>
    </w:div>
    <w:div w:id="438449046">
      <w:bodyDiv w:val="1"/>
      <w:marLeft w:val="0"/>
      <w:marRight w:val="0"/>
      <w:marTop w:val="0"/>
      <w:marBottom w:val="0"/>
      <w:divBdr>
        <w:top w:val="none" w:sz="0" w:space="0" w:color="auto"/>
        <w:left w:val="none" w:sz="0" w:space="0" w:color="auto"/>
        <w:bottom w:val="none" w:sz="0" w:space="0" w:color="auto"/>
        <w:right w:val="none" w:sz="0" w:space="0" w:color="auto"/>
      </w:divBdr>
    </w:div>
    <w:div w:id="692993416">
      <w:bodyDiv w:val="1"/>
      <w:marLeft w:val="0"/>
      <w:marRight w:val="0"/>
      <w:marTop w:val="0"/>
      <w:marBottom w:val="0"/>
      <w:divBdr>
        <w:top w:val="none" w:sz="0" w:space="0" w:color="auto"/>
        <w:left w:val="none" w:sz="0" w:space="0" w:color="auto"/>
        <w:bottom w:val="none" w:sz="0" w:space="0" w:color="auto"/>
        <w:right w:val="none" w:sz="0" w:space="0" w:color="auto"/>
      </w:divBdr>
    </w:div>
    <w:div w:id="726032091">
      <w:bodyDiv w:val="1"/>
      <w:marLeft w:val="0"/>
      <w:marRight w:val="0"/>
      <w:marTop w:val="0"/>
      <w:marBottom w:val="0"/>
      <w:divBdr>
        <w:top w:val="none" w:sz="0" w:space="0" w:color="auto"/>
        <w:left w:val="none" w:sz="0" w:space="0" w:color="auto"/>
        <w:bottom w:val="none" w:sz="0" w:space="0" w:color="auto"/>
        <w:right w:val="none" w:sz="0" w:space="0" w:color="auto"/>
      </w:divBdr>
    </w:div>
    <w:div w:id="928931376">
      <w:bodyDiv w:val="1"/>
      <w:marLeft w:val="0"/>
      <w:marRight w:val="0"/>
      <w:marTop w:val="0"/>
      <w:marBottom w:val="0"/>
      <w:divBdr>
        <w:top w:val="none" w:sz="0" w:space="0" w:color="auto"/>
        <w:left w:val="none" w:sz="0" w:space="0" w:color="auto"/>
        <w:bottom w:val="none" w:sz="0" w:space="0" w:color="auto"/>
        <w:right w:val="none" w:sz="0" w:space="0" w:color="auto"/>
      </w:divBdr>
    </w:div>
    <w:div w:id="1029381491">
      <w:bodyDiv w:val="1"/>
      <w:marLeft w:val="0"/>
      <w:marRight w:val="0"/>
      <w:marTop w:val="0"/>
      <w:marBottom w:val="0"/>
      <w:divBdr>
        <w:top w:val="none" w:sz="0" w:space="0" w:color="auto"/>
        <w:left w:val="none" w:sz="0" w:space="0" w:color="auto"/>
        <w:bottom w:val="none" w:sz="0" w:space="0" w:color="auto"/>
        <w:right w:val="none" w:sz="0" w:space="0" w:color="auto"/>
      </w:divBdr>
    </w:div>
    <w:div w:id="1033925480">
      <w:bodyDiv w:val="1"/>
      <w:marLeft w:val="0"/>
      <w:marRight w:val="0"/>
      <w:marTop w:val="0"/>
      <w:marBottom w:val="0"/>
      <w:divBdr>
        <w:top w:val="none" w:sz="0" w:space="0" w:color="auto"/>
        <w:left w:val="none" w:sz="0" w:space="0" w:color="auto"/>
        <w:bottom w:val="none" w:sz="0" w:space="0" w:color="auto"/>
        <w:right w:val="none" w:sz="0" w:space="0" w:color="auto"/>
      </w:divBdr>
    </w:div>
    <w:div w:id="1209340554">
      <w:bodyDiv w:val="1"/>
      <w:marLeft w:val="0"/>
      <w:marRight w:val="0"/>
      <w:marTop w:val="0"/>
      <w:marBottom w:val="0"/>
      <w:divBdr>
        <w:top w:val="none" w:sz="0" w:space="0" w:color="auto"/>
        <w:left w:val="none" w:sz="0" w:space="0" w:color="auto"/>
        <w:bottom w:val="none" w:sz="0" w:space="0" w:color="auto"/>
        <w:right w:val="none" w:sz="0" w:space="0" w:color="auto"/>
      </w:divBdr>
    </w:div>
    <w:div w:id="1210336036">
      <w:bodyDiv w:val="1"/>
      <w:marLeft w:val="0"/>
      <w:marRight w:val="0"/>
      <w:marTop w:val="0"/>
      <w:marBottom w:val="0"/>
      <w:divBdr>
        <w:top w:val="none" w:sz="0" w:space="0" w:color="auto"/>
        <w:left w:val="none" w:sz="0" w:space="0" w:color="auto"/>
        <w:bottom w:val="none" w:sz="0" w:space="0" w:color="auto"/>
        <w:right w:val="none" w:sz="0" w:space="0" w:color="auto"/>
      </w:divBdr>
    </w:div>
    <w:div w:id="1276325222">
      <w:bodyDiv w:val="1"/>
      <w:marLeft w:val="0"/>
      <w:marRight w:val="0"/>
      <w:marTop w:val="0"/>
      <w:marBottom w:val="0"/>
      <w:divBdr>
        <w:top w:val="none" w:sz="0" w:space="0" w:color="auto"/>
        <w:left w:val="none" w:sz="0" w:space="0" w:color="auto"/>
        <w:bottom w:val="none" w:sz="0" w:space="0" w:color="auto"/>
        <w:right w:val="none" w:sz="0" w:space="0" w:color="auto"/>
      </w:divBdr>
    </w:div>
    <w:div w:id="1643387286">
      <w:bodyDiv w:val="1"/>
      <w:marLeft w:val="0"/>
      <w:marRight w:val="0"/>
      <w:marTop w:val="0"/>
      <w:marBottom w:val="0"/>
      <w:divBdr>
        <w:top w:val="none" w:sz="0" w:space="0" w:color="auto"/>
        <w:left w:val="none" w:sz="0" w:space="0" w:color="auto"/>
        <w:bottom w:val="none" w:sz="0" w:space="0" w:color="auto"/>
        <w:right w:val="none" w:sz="0" w:space="0" w:color="auto"/>
      </w:divBdr>
    </w:div>
    <w:div w:id="1699550244">
      <w:bodyDiv w:val="1"/>
      <w:marLeft w:val="0"/>
      <w:marRight w:val="0"/>
      <w:marTop w:val="0"/>
      <w:marBottom w:val="0"/>
      <w:divBdr>
        <w:top w:val="none" w:sz="0" w:space="0" w:color="auto"/>
        <w:left w:val="none" w:sz="0" w:space="0" w:color="auto"/>
        <w:bottom w:val="none" w:sz="0" w:space="0" w:color="auto"/>
        <w:right w:val="none" w:sz="0" w:space="0" w:color="auto"/>
      </w:divBdr>
    </w:div>
    <w:div w:id="1855538348">
      <w:bodyDiv w:val="1"/>
      <w:marLeft w:val="0"/>
      <w:marRight w:val="0"/>
      <w:marTop w:val="0"/>
      <w:marBottom w:val="0"/>
      <w:divBdr>
        <w:top w:val="none" w:sz="0" w:space="0" w:color="auto"/>
        <w:left w:val="none" w:sz="0" w:space="0" w:color="auto"/>
        <w:bottom w:val="none" w:sz="0" w:space="0" w:color="auto"/>
        <w:right w:val="none" w:sz="0" w:space="0" w:color="auto"/>
      </w:divBdr>
    </w:div>
    <w:div w:id="1898199115">
      <w:bodyDiv w:val="1"/>
      <w:marLeft w:val="0"/>
      <w:marRight w:val="0"/>
      <w:marTop w:val="0"/>
      <w:marBottom w:val="0"/>
      <w:divBdr>
        <w:top w:val="none" w:sz="0" w:space="0" w:color="auto"/>
        <w:left w:val="none" w:sz="0" w:space="0" w:color="auto"/>
        <w:bottom w:val="none" w:sz="0" w:space="0" w:color="auto"/>
        <w:right w:val="none" w:sz="0" w:space="0" w:color="auto"/>
      </w:divBdr>
    </w:div>
    <w:div w:id="196091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oleObject" Target="embeddings/oleObject21.bin"/><Relationship Id="rId50" Type="http://schemas.openxmlformats.org/officeDocument/2006/relationships/oleObject" Target="embeddings/oleObject23.bin"/><Relationship Id="rId55" Type="http://schemas.openxmlformats.org/officeDocument/2006/relationships/image" Target="media/image23.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5.bin"/><Relationship Id="rId46" Type="http://schemas.openxmlformats.org/officeDocument/2006/relationships/oleObject" Target="embeddings/oleObject20.bin"/><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2.wmf"/><Relationship Id="rId41" Type="http://schemas.openxmlformats.org/officeDocument/2006/relationships/image" Target="media/image18.wmf"/><Relationship Id="rId54" Type="http://schemas.openxmlformats.org/officeDocument/2006/relationships/oleObject" Target="embeddings/oleObject25.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6.wmf"/><Relationship Id="rId40" Type="http://schemas.openxmlformats.org/officeDocument/2006/relationships/oleObject" Target="embeddings/oleObject16.bin"/><Relationship Id="rId45" Type="http://schemas.openxmlformats.org/officeDocument/2006/relationships/oleObject" Target="embeddings/oleObject19.bin"/><Relationship Id="rId53" Type="http://schemas.openxmlformats.org/officeDocument/2006/relationships/image" Target="media/image22.wmf"/><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image" Target="media/image20.wmf"/><Relationship Id="rId57"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8.bin"/><Relationship Id="rId52" Type="http://schemas.openxmlformats.org/officeDocument/2006/relationships/oleObject" Target="embeddings/oleObject24.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2.bin"/><Relationship Id="rId56" Type="http://schemas.openxmlformats.org/officeDocument/2006/relationships/oleObject" Target="embeddings/oleObject26.bin"/><Relationship Id="rId8" Type="http://schemas.openxmlformats.org/officeDocument/2006/relationships/image" Target="media/image1.jpeg"/><Relationship Id="rId51" Type="http://schemas.openxmlformats.org/officeDocument/2006/relationships/image" Target="media/image21.wmf"/><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3566E-1300-4D4D-89C9-A25DD9BFF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15</Pages>
  <Words>4411</Words>
  <Characters>25149</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Technical Framework Development700 MHz Spectrum Licence Band - TLG Paper 2</vt:lpstr>
    </vt:vector>
  </TitlesOfParts>
  <Company>Australian Communications and Media Authority</Company>
  <LinksUpToDate>false</LinksUpToDate>
  <CharactersWithSpaces>29501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Framework Development700 MHz Spectrum Licence Band - TLG Paper 2</dc:title>
  <dc:creator>ACMA</dc:creator>
  <cp:lastModifiedBy>Australian Communications and Media Authority</cp:lastModifiedBy>
  <cp:revision>10</cp:revision>
  <cp:lastPrinted>2011-12-01T23:49:00Z</cp:lastPrinted>
  <dcterms:created xsi:type="dcterms:W3CDTF">2012-03-05T05:17:00Z</dcterms:created>
  <dcterms:modified xsi:type="dcterms:W3CDTF">2012-07-10T00:21:00Z</dcterms:modified>
</cp:coreProperties>
</file>