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845" w:rsidRPr="00F73845" w:rsidRDefault="00F73845" w:rsidP="0051090E">
      <w:pPr>
        <w:pStyle w:val="Heading1"/>
        <w:spacing w:before="0"/>
        <w:jc w:val="center"/>
        <w:rPr>
          <w:rFonts w:ascii="Arial" w:hAnsi="Arial" w:cs="Arial"/>
          <w:color w:val="auto"/>
        </w:rPr>
      </w:pPr>
      <w:bookmarkStart w:id="0" w:name="_Toc316561958"/>
      <w:bookmarkStart w:id="1" w:name="_Toc320194048"/>
      <w:bookmarkStart w:id="2" w:name="_Toc320194294"/>
      <w:r w:rsidRPr="00F73845">
        <w:rPr>
          <w:rFonts w:ascii="Arial" w:hAnsi="Arial" w:cs="Arial"/>
          <w:noProof/>
          <w:color w:val="auto"/>
          <w:lang w:eastAsia="en-AU"/>
        </w:rPr>
        <w:drawing>
          <wp:inline distT="0" distB="0" distL="0" distR="0">
            <wp:extent cx="5724525" cy="819150"/>
            <wp:effectExtent l="19050" t="0" r="9525" b="0"/>
            <wp:docPr id="2" name="Picture 1" descr="H:\AAA - daily web work\ACMA_Masthead__GREYSCALE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AA - daily web work\ACMA_Masthead__GREYSCALE_A4.jpg"/>
                    <pic:cNvPicPr>
                      <a:picLocks noChangeAspect="1" noChangeArrowheads="1"/>
                    </pic:cNvPicPr>
                  </pic:nvPicPr>
                  <pic:blipFill>
                    <a:blip r:embed="rId10" cstate="print"/>
                    <a:srcRect/>
                    <a:stretch>
                      <a:fillRect/>
                    </a:stretch>
                  </pic:blipFill>
                  <pic:spPr bwMode="auto">
                    <a:xfrm>
                      <a:off x="0" y="0"/>
                      <a:ext cx="5724525" cy="819150"/>
                    </a:xfrm>
                    <a:prstGeom prst="rect">
                      <a:avLst/>
                    </a:prstGeom>
                    <a:noFill/>
                    <a:ln w="9525">
                      <a:noFill/>
                      <a:miter lim="800000"/>
                      <a:headEnd/>
                      <a:tailEnd/>
                    </a:ln>
                  </pic:spPr>
                </pic:pic>
              </a:graphicData>
            </a:graphic>
          </wp:inline>
        </w:drawing>
      </w:r>
    </w:p>
    <w:p w:rsidR="00F73845" w:rsidRDefault="00F73845" w:rsidP="0051090E">
      <w:pPr>
        <w:pStyle w:val="Heading1"/>
        <w:spacing w:before="0"/>
        <w:jc w:val="center"/>
        <w:rPr>
          <w:rFonts w:ascii="Arial" w:hAnsi="Arial" w:cs="Arial"/>
          <w:color w:val="auto"/>
        </w:rPr>
      </w:pPr>
    </w:p>
    <w:p w:rsidR="007A1DA7" w:rsidRDefault="007A1DA7" w:rsidP="007A1DA7"/>
    <w:p w:rsidR="007A1DA7" w:rsidRPr="007A1DA7" w:rsidRDefault="007A1DA7" w:rsidP="007A1DA7"/>
    <w:p w:rsidR="0051090E" w:rsidRPr="007A1DA7" w:rsidRDefault="0051090E" w:rsidP="007A1DA7">
      <w:pPr>
        <w:rPr>
          <w:rFonts w:asciiTheme="majorHAnsi" w:hAnsiTheme="majorHAnsi"/>
          <w:sz w:val="52"/>
          <w:szCs w:val="52"/>
        </w:rPr>
      </w:pPr>
      <w:bookmarkStart w:id="3" w:name="OLE_LINK9"/>
      <w:bookmarkStart w:id="4" w:name="OLE_LINK10"/>
      <w:r w:rsidRPr="007A1DA7">
        <w:rPr>
          <w:rFonts w:asciiTheme="majorHAnsi" w:hAnsiTheme="majorHAnsi"/>
          <w:sz w:val="52"/>
          <w:szCs w:val="52"/>
        </w:rPr>
        <w:t>Technical Framework Development</w:t>
      </w:r>
      <w:bookmarkEnd w:id="0"/>
      <w:bookmarkEnd w:id="1"/>
      <w:bookmarkEnd w:id="2"/>
      <w:r w:rsidR="00F73845" w:rsidRPr="007A1DA7">
        <w:rPr>
          <w:rFonts w:asciiTheme="majorHAnsi" w:hAnsiTheme="majorHAnsi"/>
          <w:sz w:val="52"/>
          <w:szCs w:val="52"/>
        </w:rPr>
        <w:br/>
      </w:r>
      <w:bookmarkStart w:id="5" w:name="_Toc316561959"/>
      <w:bookmarkStart w:id="6" w:name="_Toc320194049"/>
      <w:bookmarkStart w:id="7" w:name="_Toc320194295"/>
      <w:r w:rsidRPr="007A1DA7">
        <w:rPr>
          <w:rFonts w:asciiTheme="majorHAnsi" w:hAnsiTheme="majorHAnsi"/>
          <w:sz w:val="52"/>
          <w:szCs w:val="52"/>
        </w:rPr>
        <w:t>700 MHz Spectrum Licence Band</w:t>
      </w:r>
      <w:bookmarkEnd w:id="5"/>
      <w:bookmarkEnd w:id="6"/>
      <w:bookmarkEnd w:id="7"/>
    </w:p>
    <w:bookmarkEnd w:id="3"/>
    <w:bookmarkEnd w:id="4"/>
    <w:p w:rsidR="0051090E" w:rsidRPr="00F73845" w:rsidRDefault="0051090E" w:rsidP="0051090E">
      <w:pPr>
        <w:rPr>
          <w:rFonts w:ascii="Arial" w:hAnsi="Arial" w:cs="Arial"/>
          <w:sz w:val="16"/>
          <w:szCs w:val="16"/>
        </w:rPr>
      </w:pPr>
    </w:p>
    <w:p w:rsidR="0051090E" w:rsidRPr="007A1DA7" w:rsidRDefault="0051090E" w:rsidP="007A1DA7">
      <w:pPr>
        <w:pStyle w:val="Heading2"/>
        <w:rPr>
          <w:rFonts w:ascii="Arial" w:hAnsi="Arial" w:cs="Arial"/>
          <w:color w:val="808080" w:themeColor="background1" w:themeShade="80"/>
          <w:sz w:val="28"/>
          <w:szCs w:val="28"/>
        </w:rPr>
      </w:pPr>
      <w:r w:rsidRPr="007A1DA7">
        <w:rPr>
          <w:rFonts w:ascii="Arial" w:hAnsi="Arial" w:cs="Arial"/>
          <w:color w:val="808080" w:themeColor="background1" w:themeShade="80"/>
          <w:sz w:val="28"/>
          <w:szCs w:val="28"/>
        </w:rPr>
        <w:t>Radiocommunications Advisory Guidelines</w:t>
      </w:r>
      <w:r w:rsidR="00F73845" w:rsidRPr="007A1DA7">
        <w:rPr>
          <w:rFonts w:ascii="Arial" w:hAnsi="Arial" w:cs="Arial"/>
          <w:color w:val="808080" w:themeColor="background1" w:themeShade="80"/>
          <w:sz w:val="28"/>
          <w:szCs w:val="28"/>
        </w:rPr>
        <w:br/>
      </w:r>
      <w:r w:rsidRPr="007A1DA7">
        <w:rPr>
          <w:rFonts w:ascii="Arial" w:hAnsi="Arial" w:cs="Arial"/>
          <w:color w:val="808080" w:themeColor="background1" w:themeShade="80"/>
          <w:sz w:val="28"/>
          <w:szCs w:val="28"/>
        </w:rPr>
        <w:t>Methodology and parameters for the development of digital television coverage maps and exclusion zones</w:t>
      </w:r>
    </w:p>
    <w:p w:rsidR="0051090E" w:rsidRDefault="0051090E" w:rsidP="0051090E">
      <w:pPr>
        <w:rPr>
          <w:rFonts w:ascii="Arial" w:hAnsi="Arial" w:cs="Arial"/>
        </w:rPr>
      </w:pPr>
    </w:p>
    <w:p w:rsidR="007A1DA7" w:rsidRDefault="007A1DA7">
      <w:pPr>
        <w:rPr>
          <w:rFonts w:ascii="Arial" w:hAnsi="Arial" w:cs="Arial"/>
        </w:rPr>
      </w:pPr>
      <w:r>
        <w:rPr>
          <w:rFonts w:ascii="Arial" w:hAnsi="Arial" w:cs="Arial"/>
        </w:rPr>
        <w:br w:type="page"/>
      </w:r>
    </w:p>
    <w:p w:rsidR="007A1DA7" w:rsidRPr="00F73845" w:rsidRDefault="007A1DA7" w:rsidP="0051090E">
      <w:pPr>
        <w:rPr>
          <w:rFonts w:ascii="Arial" w:hAnsi="Arial" w:cs="Arial"/>
        </w:rPr>
      </w:pPr>
    </w:p>
    <w:p w:rsidR="0051090E" w:rsidRPr="00F73845" w:rsidRDefault="0051090E" w:rsidP="0051090E">
      <w:pPr>
        <w:pStyle w:val="Heading2"/>
        <w:rPr>
          <w:rFonts w:ascii="Arial" w:hAnsi="Arial" w:cs="Arial"/>
          <w:color w:val="auto"/>
        </w:rPr>
      </w:pPr>
      <w:r w:rsidRPr="00F73845">
        <w:rPr>
          <w:rFonts w:ascii="Arial" w:hAnsi="Arial" w:cs="Arial"/>
          <w:color w:val="auto"/>
        </w:rPr>
        <w:t>Example coverage map with exclusion zone</w:t>
      </w:r>
    </w:p>
    <w:p w:rsidR="0051090E" w:rsidRPr="00F73845" w:rsidRDefault="0051090E">
      <w:pPr>
        <w:rPr>
          <w:rFonts w:ascii="Arial" w:hAnsi="Arial" w:cs="Arial"/>
        </w:rPr>
      </w:pPr>
      <w:r w:rsidRPr="00F73845">
        <w:rPr>
          <w:rFonts w:ascii="Arial" w:hAnsi="Arial" w:cs="Arial"/>
        </w:rPr>
        <w:t xml:space="preserve">This document serves as an </w:t>
      </w:r>
      <w:r w:rsidR="00CB4B76" w:rsidRPr="00F73845">
        <w:rPr>
          <w:rFonts w:ascii="Arial" w:hAnsi="Arial" w:cs="Arial"/>
        </w:rPr>
        <w:t xml:space="preserve">informative </w:t>
      </w:r>
      <w:r w:rsidRPr="00F73845">
        <w:rPr>
          <w:rFonts w:ascii="Arial" w:hAnsi="Arial" w:cs="Arial"/>
        </w:rPr>
        <w:t>Annex to the “700 MHz DTV map generation methodology” document (“the Methodology document”) posted on the TLG – 700 MHz Band Sharepoint site on 11 May 2012.</w:t>
      </w:r>
    </w:p>
    <w:p w:rsidR="0051090E" w:rsidRPr="00F73845" w:rsidRDefault="0051090E">
      <w:pPr>
        <w:rPr>
          <w:rFonts w:ascii="Arial" w:hAnsi="Arial" w:cs="Arial"/>
        </w:rPr>
      </w:pPr>
      <w:r w:rsidRPr="00F73845">
        <w:rPr>
          <w:rFonts w:ascii="Arial" w:hAnsi="Arial" w:cs="Arial"/>
        </w:rPr>
        <w:t>Figure 1 shows the individual components towards the generation of the exclusion zone for the protection of incumbent DTV services in the 700 MHz band</w:t>
      </w:r>
      <w:r w:rsidR="00812702" w:rsidRPr="00F73845">
        <w:rPr>
          <w:rFonts w:ascii="Arial" w:hAnsi="Arial" w:cs="Arial"/>
        </w:rPr>
        <w:t xml:space="preserve"> from spectrum licensed services</w:t>
      </w:r>
      <w:r w:rsidRPr="00F73845">
        <w:rPr>
          <w:rFonts w:ascii="Arial" w:hAnsi="Arial" w:cs="Arial"/>
        </w:rPr>
        <w:t>, prior to the completion of restack. These are:</w:t>
      </w:r>
    </w:p>
    <w:p w:rsidR="0051090E" w:rsidRPr="00F73845" w:rsidRDefault="0051090E" w:rsidP="00F73845">
      <w:pPr>
        <w:pStyle w:val="ListParagraph"/>
        <w:numPr>
          <w:ilvl w:val="0"/>
          <w:numId w:val="2"/>
        </w:numPr>
        <w:ind w:left="426"/>
        <w:rPr>
          <w:rFonts w:ascii="Arial" w:hAnsi="Arial" w:cs="Arial"/>
        </w:rPr>
      </w:pPr>
      <w:r w:rsidRPr="00F73845">
        <w:rPr>
          <w:rFonts w:ascii="Arial" w:hAnsi="Arial" w:cs="Arial"/>
        </w:rPr>
        <w:t>the DTV coverage area boundary</w:t>
      </w:r>
    </w:p>
    <w:p w:rsidR="0051090E" w:rsidRPr="00F73845" w:rsidRDefault="0051090E" w:rsidP="00F73845">
      <w:pPr>
        <w:pStyle w:val="ListParagraph"/>
        <w:numPr>
          <w:ilvl w:val="0"/>
          <w:numId w:val="2"/>
        </w:numPr>
        <w:ind w:left="426"/>
        <w:rPr>
          <w:rFonts w:ascii="Arial" w:hAnsi="Arial" w:cs="Arial"/>
        </w:rPr>
      </w:pPr>
      <w:r w:rsidRPr="00F73845">
        <w:rPr>
          <w:rFonts w:ascii="Arial" w:hAnsi="Arial" w:cs="Arial"/>
        </w:rPr>
        <w:t>the “back-of-antenna” exclusion zone component</w:t>
      </w:r>
    </w:p>
    <w:p w:rsidR="0051090E" w:rsidRPr="00F73845" w:rsidRDefault="0051090E" w:rsidP="00F73845">
      <w:pPr>
        <w:pStyle w:val="ListParagraph"/>
        <w:numPr>
          <w:ilvl w:val="0"/>
          <w:numId w:val="2"/>
        </w:numPr>
        <w:ind w:left="426"/>
        <w:rPr>
          <w:rFonts w:ascii="Arial" w:hAnsi="Arial" w:cs="Arial"/>
        </w:rPr>
      </w:pPr>
      <w:r w:rsidRPr="00F73845">
        <w:rPr>
          <w:rFonts w:ascii="Arial" w:hAnsi="Arial" w:cs="Arial"/>
        </w:rPr>
        <w:t>the “main beam” exclusion zone component</w:t>
      </w:r>
    </w:p>
    <w:p w:rsidR="0051090E" w:rsidRPr="00F73845" w:rsidRDefault="0051090E" w:rsidP="00F73845">
      <w:pPr>
        <w:pStyle w:val="ListParagraph"/>
        <w:numPr>
          <w:ilvl w:val="0"/>
          <w:numId w:val="2"/>
        </w:numPr>
        <w:ind w:left="426"/>
        <w:rPr>
          <w:rFonts w:ascii="Arial" w:hAnsi="Arial" w:cs="Arial"/>
        </w:rPr>
      </w:pPr>
      <w:r w:rsidRPr="00F73845">
        <w:rPr>
          <w:rFonts w:ascii="Arial" w:hAnsi="Arial" w:cs="Arial"/>
        </w:rPr>
        <w:t xml:space="preserve">the </w:t>
      </w:r>
      <w:r w:rsidR="00812702" w:rsidRPr="00F73845">
        <w:rPr>
          <w:rFonts w:ascii="Arial" w:hAnsi="Arial" w:cs="Arial"/>
        </w:rPr>
        <w:t>“</w:t>
      </w:r>
      <w:r w:rsidRPr="00F73845">
        <w:rPr>
          <w:rFonts w:ascii="Arial" w:hAnsi="Arial" w:cs="Arial"/>
        </w:rPr>
        <w:t>total exclusion zone</w:t>
      </w:r>
      <w:r w:rsidR="00812702" w:rsidRPr="00F73845">
        <w:rPr>
          <w:rFonts w:ascii="Arial" w:hAnsi="Arial" w:cs="Arial"/>
        </w:rPr>
        <w:t>” (a combination of (b) and (c))</w:t>
      </w:r>
    </w:p>
    <w:p w:rsidR="0051090E" w:rsidRPr="00F73845" w:rsidRDefault="0051090E">
      <w:pPr>
        <w:rPr>
          <w:rFonts w:ascii="Arial" w:hAnsi="Arial" w:cs="Arial"/>
        </w:rPr>
      </w:pPr>
      <w:r w:rsidRPr="00F73845">
        <w:rPr>
          <w:rFonts w:ascii="Arial" w:hAnsi="Arial" w:cs="Arial"/>
        </w:rPr>
        <w:t xml:space="preserve">Referring to Table 2 in Section 2.1 of the Methodology document, the coverage edge boundary is defined as the “coverage edge at minimum median field strength”. The coverage area, bounded by the minimum median field strength </w:t>
      </w:r>
      <w:proofErr w:type="gramStart"/>
      <w:r w:rsidRPr="00F73845">
        <w:rPr>
          <w:rFonts w:ascii="Arial" w:hAnsi="Arial" w:cs="Arial"/>
        </w:rPr>
        <w:t>of 54 dBµV/m,</w:t>
      </w:r>
      <w:proofErr w:type="gramEnd"/>
      <w:r w:rsidRPr="00F73845">
        <w:rPr>
          <w:rFonts w:ascii="Arial" w:hAnsi="Arial" w:cs="Arial"/>
        </w:rPr>
        <w:t xml:space="preserve"> is shown in light green in Figure 1. </w:t>
      </w:r>
    </w:p>
    <w:p w:rsidR="0051090E" w:rsidRPr="00F73845" w:rsidRDefault="00CB4B76">
      <w:pPr>
        <w:rPr>
          <w:rFonts w:ascii="Arial" w:hAnsi="Arial" w:cs="Arial"/>
        </w:rPr>
      </w:pPr>
      <w:r w:rsidRPr="00F73845">
        <w:rPr>
          <w:rFonts w:ascii="Arial" w:hAnsi="Arial" w:cs="Arial"/>
        </w:rPr>
        <w:t xml:space="preserve">Referring to Section 3.5, </w:t>
      </w:r>
      <w:r w:rsidR="00812702" w:rsidRPr="00F73845">
        <w:rPr>
          <w:rFonts w:ascii="Arial" w:hAnsi="Arial" w:cs="Arial"/>
        </w:rPr>
        <w:t>there is</w:t>
      </w:r>
      <w:r w:rsidRPr="00F73845">
        <w:rPr>
          <w:rFonts w:ascii="Arial" w:hAnsi="Arial" w:cs="Arial"/>
        </w:rPr>
        <w:t xml:space="preserve"> a geographic separation requirement of 43 km from the DTV coverage edge, as explained in Section 3.2. T</w:t>
      </w:r>
      <w:r w:rsidR="0051090E" w:rsidRPr="00F73845">
        <w:rPr>
          <w:rFonts w:ascii="Arial" w:hAnsi="Arial" w:cs="Arial"/>
        </w:rPr>
        <w:t xml:space="preserve">he </w:t>
      </w:r>
      <w:r w:rsidRPr="00F73845">
        <w:rPr>
          <w:rFonts w:ascii="Arial" w:hAnsi="Arial" w:cs="Arial"/>
        </w:rPr>
        <w:t>“</w:t>
      </w:r>
      <w:r w:rsidR="0051090E" w:rsidRPr="00F73845">
        <w:rPr>
          <w:rFonts w:ascii="Arial" w:hAnsi="Arial" w:cs="Arial"/>
        </w:rPr>
        <w:t>back-of-antenna</w:t>
      </w:r>
      <w:r w:rsidRPr="00F73845">
        <w:rPr>
          <w:rFonts w:ascii="Arial" w:hAnsi="Arial" w:cs="Arial"/>
        </w:rPr>
        <w:t>”</w:t>
      </w:r>
      <w:r w:rsidR="0051090E" w:rsidRPr="00F73845">
        <w:rPr>
          <w:rFonts w:ascii="Arial" w:hAnsi="Arial" w:cs="Arial"/>
        </w:rPr>
        <w:t xml:space="preserve"> exclusion zone component</w:t>
      </w:r>
      <w:r w:rsidRPr="00F73845">
        <w:rPr>
          <w:rFonts w:ascii="Arial" w:hAnsi="Arial" w:cs="Arial"/>
        </w:rPr>
        <w:t xml:space="preserve"> (or its boundary where overlapped by the main beam component) is shown in pink in Figure 1</w:t>
      </w:r>
      <w:r w:rsidR="0051090E" w:rsidRPr="00F73845">
        <w:rPr>
          <w:rFonts w:ascii="Arial" w:hAnsi="Arial" w:cs="Arial"/>
        </w:rPr>
        <w:t>.</w:t>
      </w:r>
    </w:p>
    <w:p w:rsidR="00F73845" w:rsidRPr="00F73845" w:rsidRDefault="00925F58">
      <w:pPr>
        <w:rPr>
          <w:rFonts w:ascii="Arial" w:hAnsi="Arial" w:cs="Arial"/>
        </w:rPr>
      </w:pPr>
      <w:r w:rsidRPr="00F73845">
        <w:rPr>
          <w:rFonts w:ascii="Arial" w:hAnsi="Arial" w:cs="Arial"/>
        </w:rPr>
        <w:t xml:space="preserve">Referring to Section 3.5, </w:t>
      </w:r>
      <w:r w:rsidR="00812702" w:rsidRPr="00F73845">
        <w:rPr>
          <w:rFonts w:ascii="Arial" w:hAnsi="Arial" w:cs="Arial"/>
        </w:rPr>
        <w:t>there is</w:t>
      </w:r>
      <w:r w:rsidRPr="00F73845">
        <w:rPr>
          <w:rFonts w:ascii="Arial" w:hAnsi="Arial" w:cs="Arial"/>
        </w:rPr>
        <w:t xml:space="preserve"> a geographic separation requirement of 79 km from the DTV transmitter site, as explained in Section 3.3. The “main beam” exclusion zone component is shown in red </w:t>
      </w:r>
      <w:proofErr w:type="spellStart"/>
      <w:r w:rsidRPr="00F73845">
        <w:rPr>
          <w:rFonts w:ascii="Arial" w:hAnsi="Arial" w:cs="Arial"/>
        </w:rPr>
        <w:t>in</w:t>
      </w:r>
      <w:proofErr w:type="spellEnd"/>
      <w:r w:rsidRPr="00F73845">
        <w:rPr>
          <w:rFonts w:ascii="Arial" w:hAnsi="Arial" w:cs="Arial"/>
        </w:rPr>
        <w:t xml:space="preserve"> Figure 1.</w:t>
      </w:r>
    </w:p>
    <w:p w:rsidR="00925F58" w:rsidRPr="00F73845" w:rsidRDefault="00925F58">
      <w:pPr>
        <w:rPr>
          <w:rFonts w:ascii="Arial" w:hAnsi="Arial" w:cs="Arial"/>
        </w:rPr>
      </w:pPr>
      <w:r w:rsidRPr="00F73845">
        <w:rPr>
          <w:rFonts w:ascii="Arial" w:hAnsi="Arial" w:cs="Arial"/>
        </w:rPr>
        <w:t>Finally, as explained in Section 3.5 of the Methodology document, “the total exclusion zone [is] formed from the outer envelope of the overlay of both the corresponding ‘main beam’ and ‘back-of-antenna’ exclusion zone components.”</w:t>
      </w:r>
      <w:r w:rsidR="00C409B5" w:rsidRPr="00F73845">
        <w:rPr>
          <w:rFonts w:ascii="Arial" w:hAnsi="Arial" w:cs="Arial"/>
        </w:rPr>
        <w:t xml:space="preserve"> The boundary of the total exclusion zone is shown by the dotted line in Figure 1.</w:t>
      </w:r>
    </w:p>
    <w:p w:rsidR="00CB4B76" w:rsidRDefault="00CB4B76">
      <w:pPr>
        <w:rPr>
          <w:rFonts w:ascii="Arial" w:hAnsi="Arial" w:cs="Arial"/>
        </w:rPr>
      </w:pPr>
      <w:r w:rsidRPr="00F73845">
        <w:rPr>
          <w:rFonts w:ascii="Arial" w:hAnsi="Arial" w:cs="Arial"/>
        </w:rPr>
        <w:t>It is reiterated explicitly that such exclusion zones will be generated for each incumbent DTV service in the 700 MHz band.</w:t>
      </w:r>
    </w:p>
    <w:p w:rsidR="007A1DA7" w:rsidRDefault="007A1DA7">
      <w:pPr>
        <w:rPr>
          <w:rFonts w:ascii="Arial" w:hAnsi="Arial" w:cs="Arial"/>
        </w:rPr>
      </w:pPr>
    </w:p>
    <w:p w:rsidR="007A1DA7" w:rsidRDefault="007A1DA7">
      <w:pPr>
        <w:rPr>
          <w:rFonts w:ascii="Arial" w:hAnsi="Arial" w:cs="Arial"/>
        </w:rPr>
      </w:pPr>
      <w:r>
        <w:rPr>
          <w:rFonts w:ascii="Arial" w:hAnsi="Arial" w:cs="Arial"/>
        </w:rPr>
        <w:br w:type="page"/>
      </w:r>
    </w:p>
    <w:p w:rsidR="007A1DA7" w:rsidRDefault="007A1DA7">
      <w:pPr>
        <w:rPr>
          <w:rFonts w:ascii="Arial" w:hAnsi="Arial" w:cs="Arial"/>
        </w:rPr>
      </w:pPr>
    </w:p>
    <w:tbl>
      <w:tblPr>
        <w:tblW w:w="9645" w:type="dxa"/>
        <w:tblLayout w:type="fixed"/>
        <w:tblCellMar>
          <w:left w:w="0" w:type="dxa"/>
          <w:right w:w="0" w:type="dxa"/>
        </w:tblCellMar>
        <w:tblLook w:val="01E0"/>
      </w:tblPr>
      <w:tblGrid>
        <w:gridCol w:w="9645"/>
      </w:tblGrid>
      <w:tr w:rsidR="007A1DA7" w:rsidTr="00B36712">
        <w:trPr>
          <w:trHeight w:val="570"/>
        </w:trPr>
        <w:tc>
          <w:tcPr>
            <w:tcW w:w="9645" w:type="dxa"/>
            <w:tcBorders>
              <w:top w:val="single" w:sz="2" w:space="0" w:color="505050"/>
            </w:tcBorders>
            <w:shd w:val="clear" w:color="auto" w:fill="auto"/>
            <w:vAlign w:val="center"/>
          </w:tcPr>
          <w:p w:rsidR="007A1DA7" w:rsidRPr="007A1DA7" w:rsidRDefault="007A1DA7" w:rsidP="007A1DA7">
            <w:pPr>
              <w:pStyle w:val="Caption"/>
            </w:pPr>
            <w:bookmarkStart w:id="8" w:name="_Toc236153827"/>
            <w:r>
              <w:t xml:space="preserve">Figure </w:t>
            </w:r>
            <w:fldSimple w:instr=" SEQ Figure \* ARABIC  ">
              <w:r>
                <w:rPr>
                  <w:noProof/>
                </w:rPr>
                <w:t>1</w:t>
              </w:r>
            </w:fldSimple>
            <w:r>
              <w:t xml:space="preserve"> Total exclusion zone bounded by the dotted line, comprised of the main beam exclusion zone component (red), and the back-of-antenna exclusion zone component (pink) around the DTV coverage area (light green)</w:t>
            </w:r>
            <w:r>
              <w:br/>
            </w:r>
          </w:p>
        </w:tc>
      </w:tr>
      <w:tr w:rsidR="007A1DA7" w:rsidTr="00B36712">
        <w:trPr>
          <w:trHeight w:val="3086"/>
        </w:trPr>
        <w:tc>
          <w:tcPr>
            <w:tcW w:w="9645" w:type="dxa"/>
            <w:shd w:val="clear" w:color="auto" w:fill="auto"/>
            <w:tcMar>
              <w:left w:w="28" w:type="dxa"/>
            </w:tcMar>
          </w:tcPr>
          <w:p w:rsidR="007A1DA7" w:rsidRDefault="007A1DA7" w:rsidP="00B36712">
            <w:r w:rsidRPr="00F73845">
              <w:rPr>
                <w:rFonts w:ascii="Arial" w:hAnsi="Arial" w:cs="Arial"/>
                <w:noProof/>
                <w:lang w:eastAsia="en-AU"/>
              </w:rPr>
              <w:drawing>
                <wp:inline distT="0" distB="0" distL="0" distR="0">
                  <wp:extent cx="5727700" cy="5713095"/>
                  <wp:effectExtent l="19050" t="0" r="6350"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5727700" cy="5713095"/>
                          </a:xfrm>
                          <a:prstGeom prst="rect">
                            <a:avLst/>
                          </a:prstGeom>
                          <a:noFill/>
                          <a:ln w="9525">
                            <a:noFill/>
                            <a:miter lim="800000"/>
                            <a:headEnd/>
                            <a:tailEnd/>
                          </a:ln>
                        </pic:spPr>
                      </pic:pic>
                    </a:graphicData>
                  </a:graphic>
                </wp:inline>
              </w:drawing>
            </w:r>
          </w:p>
        </w:tc>
      </w:tr>
      <w:tr w:rsidR="007A1DA7" w:rsidTr="00B36712">
        <w:trPr>
          <w:trHeight w:val="291"/>
        </w:trPr>
        <w:tc>
          <w:tcPr>
            <w:tcW w:w="9645" w:type="dxa"/>
            <w:tcBorders>
              <w:bottom w:val="single" w:sz="2" w:space="0" w:color="505050"/>
            </w:tcBorders>
            <w:shd w:val="clear" w:color="auto" w:fill="auto"/>
          </w:tcPr>
          <w:p w:rsidR="007A1DA7" w:rsidRDefault="007A1DA7" w:rsidP="00B36712"/>
        </w:tc>
      </w:tr>
      <w:bookmarkEnd w:id="8"/>
    </w:tbl>
    <w:p w:rsidR="007A1DA7" w:rsidRDefault="007A1DA7">
      <w:pPr>
        <w:rPr>
          <w:rFonts w:ascii="Arial" w:hAnsi="Arial" w:cs="Arial"/>
        </w:rPr>
      </w:pPr>
    </w:p>
    <w:p w:rsidR="0051090E" w:rsidRPr="00F73845" w:rsidRDefault="0051090E">
      <w:pPr>
        <w:rPr>
          <w:rFonts w:ascii="Arial" w:hAnsi="Arial" w:cs="Arial"/>
        </w:rPr>
      </w:pPr>
    </w:p>
    <w:sectPr w:rsidR="0051090E" w:rsidRPr="00F73845" w:rsidSect="00F73845">
      <w:footerReference w:type="default" r:id="rId12"/>
      <w:pgSz w:w="11906" w:h="16838"/>
      <w:pgMar w:top="851" w:right="1418"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3845" w:rsidRDefault="00F73845" w:rsidP="00F73845">
      <w:pPr>
        <w:spacing w:after="0" w:line="240" w:lineRule="auto"/>
      </w:pPr>
      <w:r>
        <w:separator/>
      </w:r>
    </w:p>
  </w:endnote>
  <w:endnote w:type="continuationSeparator" w:id="0">
    <w:p w:rsidR="00F73845" w:rsidRDefault="00F73845" w:rsidP="00F738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3845" w:rsidRPr="000E5ED8" w:rsidRDefault="00F73845" w:rsidP="00F73845">
    <w:pPr>
      <w:pStyle w:val="Footer"/>
      <w:ind w:right="28"/>
      <w:jc w:val="right"/>
      <w:rPr>
        <w:rFonts w:ascii="Arial" w:hAnsi="Arial" w:cs="Arial"/>
        <w:color w:val="505050"/>
        <w:sz w:val="20"/>
        <w:szCs w:val="20"/>
      </w:rPr>
    </w:pPr>
    <w:r w:rsidRPr="000E5ED8">
      <w:rPr>
        <w:rFonts w:ascii="Arial" w:hAnsi="Arial" w:cs="Arial"/>
        <w:color w:val="505050"/>
        <w:sz w:val="20"/>
        <w:szCs w:val="20"/>
      </w:rPr>
      <w:t xml:space="preserve">   </w:t>
    </w:r>
    <w:r w:rsidRPr="000E5ED8">
      <w:rPr>
        <w:rFonts w:ascii="Arial" w:hAnsi="Arial" w:cs="Arial"/>
        <w:b/>
        <w:noProof/>
        <w:color w:val="505050"/>
        <w:spacing w:val="-16"/>
        <w:sz w:val="20"/>
        <w:szCs w:val="20"/>
      </w:rPr>
      <w:t>a</w:t>
    </w:r>
    <w:r w:rsidRPr="000E5ED8">
      <w:rPr>
        <w:rFonts w:ascii="Arial" w:hAnsi="Arial" w:cs="Arial"/>
        <w:b/>
        <w:noProof/>
        <w:color w:val="505050"/>
        <w:spacing w:val="-15"/>
        <w:sz w:val="20"/>
        <w:szCs w:val="20"/>
      </w:rPr>
      <w:t>c</w:t>
    </w:r>
    <w:r w:rsidRPr="000E5ED8">
      <w:rPr>
        <w:rFonts w:ascii="Arial" w:hAnsi="Arial" w:cs="Arial"/>
        <w:b/>
        <w:noProof/>
        <w:color w:val="505050"/>
        <w:spacing w:val="-16"/>
        <w:sz w:val="20"/>
        <w:szCs w:val="20"/>
      </w:rPr>
      <w:t>m</w:t>
    </w:r>
    <w:r w:rsidRPr="000E5ED8">
      <w:rPr>
        <w:rFonts w:ascii="Arial" w:hAnsi="Arial" w:cs="Arial"/>
        <w:b/>
        <w:noProof/>
        <w:color w:val="505050"/>
        <w:spacing w:val="-14"/>
        <w:sz w:val="20"/>
        <w:szCs w:val="20"/>
      </w:rPr>
      <w:t>a</w:t>
    </w:r>
    <w:r w:rsidRPr="000E5ED8">
      <w:rPr>
        <w:rFonts w:ascii="Arial" w:hAnsi="Arial" w:cs="Arial"/>
        <w:color w:val="505050"/>
        <w:sz w:val="20"/>
        <w:szCs w:val="20"/>
      </w:rPr>
      <w:t xml:space="preserve">   |   </w:t>
    </w:r>
    <w:r w:rsidR="00F67FB2" w:rsidRPr="000E5ED8">
      <w:rPr>
        <w:rFonts w:ascii="Arial" w:hAnsi="Arial" w:cs="Arial"/>
        <w:color w:val="505050"/>
        <w:sz w:val="20"/>
        <w:szCs w:val="20"/>
      </w:rPr>
      <w:fldChar w:fldCharType="begin"/>
    </w:r>
    <w:r w:rsidRPr="000E5ED8">
      <w:rPr>
        <w:rFonts w:ascii="Arial" w:hAnsi="Arial" w:cs="Arial"/>
        <w:color w:val="505050"/>
        <w:sz w:val="20"/>
        <w:szCs w:val="20"/>
      </w:rPr>
      <w:instrText xml:space="preserve"> PAGE  \* Arabic  \* MERGEFORMAT </w:instrText>
    </w:r>
    <w:r w:rsidR="00F67FB2" w:rsidRPr="000E5ED8">
      <w:rPr>
        <w:rFonts w:ascii="Arial" w:hAnsi="Arial" w:cs="Arial"/>
        <w:color w:val="505050"/>
        <w:sz w:val="20"/>
        <w:szCs w:val="20"/>
      </w:rPr>
      <w:fldChar w:fldCharType="separate"/>
    </w:r>
    <w:r w:rsidR="007A1DA7">
      <w:rPr>
        <w:rFonts w:ascii="Arial" w:hAnsi="Arial" w:cs="Arial"/>
        <w:noProof/>
        <w:color w:val="505050"/>
        <w:sz w:val="20"/>
        <w:szCs w:val="20"/>
      </w:rPr>
      <w:t>1</w:t>
    </w:r>
    <w:r w:rsidR="00F67FB2" w:rsidRPr="000E5ED8">
      <w:rPr>
        <w:rFonts w:ascii="Arial" w:hAnsi="Arial" w:cs="Arial"/>
        <w:color w:val="505050"/>
        <w:sz w:val="20"/>
        <w:szCs w:val="20"/>
      </w:rPr>
      <w:fldChar w:fldCharType="end"/>
    </w:r>
  </w:p>
  <w:p w:rsidR="00F73845" w:rsidRDefault="00F738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3845" w:rsidRDefault="00F73845" w:rsidP="00F73845">
      <w:pPr>
        <w:spacing w:after="0" w:line="240" w:lineRule="auto"/>
      </w:pPr>
      <w:r>
        <w:separator/>
      </w:r>
    </w:p>
  </w:footnote>
  <w:footnote w:type="continuationSeparator" w:id="0">
    <w:p w:rsidR="00F73845" w:rsidRDefault="00F73845" w:rsidP="00F738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D3C38"/>
    <w:multiLevelType w:val="hybridMultilevel"/>
    <w:tmpl w:val="53F45356"/>
    <w:lvl w:ilvl="0" w:tplc="7B20E638">
      <w:start w:val="1"/>
      <w:numFmt w:val="lowerLetter"/>
      <w:lvlText w:val="%1)"/>
      <w:lvlJc w:val="left"/>
      <w:pPr>
        <w:ind w:left="720" w:hanging="360"/>
      </w:pPr>
      <w:rPr>
        <w:rFonts w:asciiTheme="minorHAnsi" w:eastAsiaTheme="minorHAnsi" w:hAnsiTheme="minorHAnsi" w:cstheme="minorBid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A3F6210"/>
    <w:multiLevelType w:val="multilevel"/>
    <w:tmpl w:val="97C62B3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1090E"/>
    <w:rsid w:val="001240C9"/>
    <w:rsid w:val="001B119C"/>
    <w:rsid w:val="003D2143"/>
    <w:rsid w:val="004C6222"/>
    <w:rsid w:val="0051090E"/>
    <w:rsid w:val="005C3A3C"/>
    <w:rsid w:val="006614C9"/>
    <w:rsid w:val="007307D8"/>
    <w:rsid w:val="007A1DA7"/>
    <w:rsid w:val="007E0644"/>
    <w:rsid w:val="00812702"/>
    <w:rsid w:val="008815B2"/>
    <w:rsid w:val="00925F58"/>
    <w:rsid w:val="00B472A0"/>
    <w:rsid w:val="00C409B5"/>
    <w:rsid w:val="00CB4B76"/>
    <w:rsid w:val="00F67FB2"/>
    <w:rsid w:val="00F73845"/>
    <w:rsid w:val="00FD1B5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C9"/>
  </w:style>
  <w:style w:type="paragraph" w:styleId="Heading1">
    <w:name w:val="heading 1"/>
    <w:basedOn w:val="Normal"/>
    <w:next w:val="Normal"/>
    <w:link w:val="Heading1Char"/>
    <w:uiPriority w:val="9"/>
    <w:qFormat/>
    <w:rsid w:val="005109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1090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0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090E"/>
    <w:rPr>
      <w:rFonts w:ascii="Tahoma" w:hAnsi="Tahoma" w:cs="Tahoma"/>
      <w:sz w:val="16"/>
      <w:szCs w:val="16"/>
    </w:rPr>
  </w:style>
  <w:style w:type="character" w:customStyle="1" w:styleId="Heading1Char">
    <w:name w:val="Heading 1 Char"/>
    <w:basedOn w:val="DefaultParagraphFont"/>
    <w:link w:val="Heading1"/>
    <w:uiPriority w:val="9"/>
    <w:rsid w:val="0051090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1090E"/>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51090E"/>
    <w:pPr>
      <w:ind w:left="720"/>
      <w:contextualSpacing/>
    </w:pPr>
  </w:style>
  <w:style w:type="paragraph" w:styleId="Title">
    <w:name w:val="Title"/>
    <w:basedOn w:val="Normal"/>
    <w:next w:val="Normal"/>
    <w:link w:val="TitleChar"/>
    <w:uiPriority w:val="10"/>
    <w:qFormat/>
    <w:rsid w:val="00F7384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7384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F7384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3845"/>
  </w:style>
  <w:style w:type="paragraph" w:styleId="Footer">
    <w:name w:val="footer"/>
    <w:basedOn w:val="Normal"/>
    <w:link w:val="FooterChar"/>
    <w:uiPriority w:val="99"/>
    <w:unhideWhenUsed/>
    <w:rsid w:val="00F73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3845"/>
  </w:style>
  <w:style w:type="paragraph" w:styleId="Caption">
    <w:name w:val="caption"/>
    <w:basedOn w:val="Normal"/>
    <w:next w:val="Normal"/>
    <w:qFormat/>
    <w:rsid w:val="007A1DA7"/>
    <w:pPr>
      <w:spacing w:after="0" w:line="240" w:lineRule="atLeast"/>
    </w:pPr>
    <w:rPr>
      <w:rFonts w:ascii="HelveticaNeueLT Std" w:eastAsia="Times New Roman" w:hAnsi="HelveticaNeueLT Std" w:cs="Times New Roman"/>
      <w:b/>
      <w:bCs/>
      <w:color w:val="808285"/>
      <w:sz w:val="20"/>
      <w:szCs w:val="20"/>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EDECA5E8665348B2FAE347CDFE4D3E" ma:contentTypeVersion="0" ma:contentTypeDescription="Create a new document." ma:contentTypeScope="" ma:versionID="55137f176ca5143ebd69ff26f34c3f7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0F8FC5-0CBB-4A6B-892A-D1E1B9E77AB7}">
  <ds:schemaRefs>
    <ds:schemaRef ds:uri="http://schemas.microsoft.com/sharepoint/v3/contenttype/forms"/>
  </ds:schemaRefs>
</ds:datastoreItem>
</file>

<file path=customXml/itemProps2.xml><?xml version="1.0" encoding="utf-8"?>
<ds:datastoreItem xmlns:ds="http://schemas.openxmlformats.org/officeDocument/2006/customXml" ds:itemID="{477754FC-EBC8-401E-AD05-99C0ACF13E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85C44F-DF1C-4F90-9B4E-0A6C8B6BD5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345</Words>
  <Characters>1969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Communications and Media Authority</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Framework Development700 MHz Spectrum Licence Band - Example exclusion zone map</dc:title>
  <dc:subject/>
  <dc:creator>ACMA</dc:creator>
  <cp:keywords/>
  <dc:description/>
  <cp:lastModifiedBy>Australian Communications and Media Authority</cp:lastModifiedBy>
  <cp:revision>10</cp:revision>
  <dcterms:created xsi:type="dcterms:W3CDTF">2012-05-18T01:43:00Z</dcterms:created>
  <dcterms:modified xsi:type="dcterms:W3CDTF">2012-07-10T00:54:00Z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0x010100C6EDECA5E8665348B2FAE347CDFE4D3E</vt:lpwstr>
  </property>
</Properties>
</file>