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945" w:rsidRPr="002D54B4" w:rsidRDefault="00DF2945" w:rsidP="009522DD">
      <w:pPr>
        <w:pStyle w:val="Heading1"/>
        <w:spacing w:before="0"/>
        <w:jc w:val="center"/>
        <w:rPr>
          <w:rFonts w:ascii="Arial" w:hAnsi="Arial" w:cs="Arial"/>
          <w:color w:val="0D0D0D" w:themeColor="text1" w:themeTint="F2"/>
        </w:rPr>
      </w:pPr>
      <w:bookmarkStart w:id="0" w:name="_Toc316561958"/>
      <w:bookmarkStart w:id="1" w:name="_Toc320194048"/>
      <w:bookmarkStart w:id="2" w:name="_Toc320194294"/>
      <w:r w:rsidRPr="002D54B4">
        <w:rPr>
          <w:rFonts w:ascii="Arial" w:hAnsi="Arial" w:cs="Arial"/>
          <w:noProof/>
          <w:color w:val="0D0D0D" w:themeColor="text1" w:themeTint="F2"/>
          <w:lang w:eastAsia="en-AU"/>
        </w:rPr>
        <w:drawing>
          <wp:inline distT="0" distB="0" distL="0" distR="0">
            <wp:extent cx="5724525" cy="819150"/>
            <wp:effectExtent l="19050" t="0" r="9525" b="0"/>
            <wp:docPr id="2" name="Picture 1" descr="H:\AAA - daily web work\ACMA_Masthead__GREYSCALE_A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AA - daily web work\ACMA_Masthead__GREYSCALE_A4.jpg"/>
                    <pic:cNvPicPr>
                      <a:picLocks noChangeAspect="1" noChangeArrowheads="1"/>
                    </pic:cNvPicPr>
                  </pic:nvPicPr>
                  <pic:blipFill>
                    <a:blip r:embed="rId11" cstate="print"/>
                    <a:srcRect/>
                    <a:stretch>
                      <a:fillRect/>
                    </a:stretch>
                  </pic:blipFill>
                  <pic:spPr bwMode="auto">
                    <a:xfrm>
                      <a:off x="0" y="0"/>
                      <a:ext cx="5724525" cy="819150"/>
                    </a:xfrm>
                    <a:prstGeom prst="rect">
                      <a:avLst/>
                    </a:prstGeom>
                    <a:noFill/>
                    <a:ln w="9525">
                      <a:noFill/>
                      <a:miter lim="800000"/>
                      <a:headEnd/>
                      <a:tailEnd/>
                    </a:ln>
                  </pic:spPr>
                </pic:pic>
              </a:graphicData>
            </a:graphic>
          </wp:inline>
        </w:drawing>
      </w:r>
    </w:p>
    <w:p w:rsidR="00DF2945" w:rsidRDefault="00DF2945" w:rsidP="009522DD">
      <w:pPr>
        <w:pStyle w:val="Heading1"/>
        <w:spacing w:before="0"/>
        <w:jc w:val="center"/>
        <w:rPr>
          <w:rFonts w:ascii="Arial" w:hAnsi="Arial" w:cs="Arial"/>
          <w:color w:val="0D0D0D" w:themeColor="text1" w:themeTint="F2"/>
        </w:rPr>
      </w:pPr>
    </w:p>
    <w:p w:rsidR="009A1FB4" w:rsidRPr="009A1FB4" w:rsidRDefault="009A1FB4" w:rsidP="009A1FB4"/>
    <w:p w:rsidR="009522DD" w:rsidRPr="00B66C42" w:rsidRDefault="009522DD" w:rsidP="00B66C42">
      <w:pPr>
        <w:rPr>
          <w:rFonts w:asciiTheme="majorHAnsi" w:hAnsiTheme="majorHAnsi"/>
          <w:sz w:val="52"/>
          <w:szCs w:val="52"/>
        </w:rPr>
      </w:pPr>
      <w:bookmarkStart w:id="3" w:name="OLE_LINK1"/>
      <w:bookmarkStart w:id="4" w:name="OLE_LINK2"/>
      <w:r w:rsidRPr="00B66C42">
        <w:rPr>
          <w:rFonts w:asciiTheme="majorHAnsi" w:hAnsiTheme="majorHAnsi"/>
          <w:sz w:val="52"/>
          <w:szCs w:val="52"/>
        </w:rPr>
        <w:t>Technical Framework Development</w:t>
      </w:r>
      <w:bookmarkStart w:id="5" w:name="_Toc316561959"/>
      <w:bookmarkStart w:id="6" w:name="_Toc320194049"/>
      <w:bookmarkStart w:id="7" w:name="_Toc320194295"/>
      <w:bookmarkEnd w:id="0"/>
      <w:bookmarkEnd w:id="1"/>
      <w:bookmarkEnd w:id="2"/>
      <w:r w:rsidRPr="00B66C42">
        <w:rPr>
          <w:rFonts w:asciiTheme="majorHAnsi" w:hAnsiTheme="majorHAnsi"/>
          <w:sz w:val="52"/>
          <w:szCs w:val="52"/>
        </w:rPr>
        <w:t>700 MHz Spectrum Licence Band</w:t>
      </w:r>
      <w:bookmarkEnd w:id="5"/>
      <w:bookmarkEnd w:id="6"/>
      <w:bookmarkEnd w:id="7"/>
    </w:p>
    <w:bookmarkEnd w:id="3"/>
    <w:bookmarkEnd w:id="4"/>
    <w:p w:rsidR="009522DD" w:rsidRPr="00B66C42" w:rsidRDefault="009522DD" w:rsidP="00974E0E">
      <w:pPr>
        <w:pStyle w:val="Heading2"/>
        <w:rPr>
          <w:rFonts w:ascii="Arial" w:hAnsi="Arial" w:cs="Arial"/>
          <w:color w:val="808080" w:themeColor="background1" w:themeShade="80"/>
          <w:sz w:val="28"/>
          <w:szCs w:val="28"/>
        </w:rPr>
      </w:pPr>
      <w:r w:rsidRPr="00B66C42">
        <w:rPr>
          <w:rFonts w:ascii="Arial" w:hAnsi="Arial" w:cs="Arial"/>
          <w:color w:val="808080" w:themeColor="background1" w:themeShade="80"/>
          <w:sz w:val="28"/>
          <w:szCs w:val="28"/>
        </w:rPr>
        <w:t>Radiocommunications Advisory Guidelines</w:t>
      </w:r>
      <w:r w:rsidR="00DF2945" w:rsidRPr="00B66C42">
        <w:rPr>
          <w:rFonts w:ascii="Arial" w:hAnsi="Arial" w:cs="Arial"/>
          <w:color w:val="808080" w:themeColor="background1" w:themeShade="80"/>
          <w:sz w:val="28"/>
          <w:szCs w:val="28"/>
        </w:rPr>
        <w:t xml:space="preserve"> </w:t>
      </w:r>
      <w:r w:rsidRPr="00B66C42">
        <w:rPr>
          <w:rFonts w:ascii="Arial" w:hAnsi="Arial" w:cs="Arial"/>
          <w:color w:val="808080" w:themeColor="background1" w:themeShade="80"/>
          <w:sz w:val="28"/>
          <w:szCs w:val="28"/>
        </w:rPr>
        <w:t>M</w:t>
      </w:r>
      <w:r w:rsidR="002D54B4" w:rsidRPr="00B66C42">
        <w:rPr>
          <w:rFonts w:ascii="Arial" w:hAnsi="Arial" w:cs="Arial"/>
          <w:color w:val="808080" w:themeColor="background1" w:themeShade="80"/>
          <w:sz w:val="28"/>
          <w:szCs w:val="28"/>
        </w:rPr>
        <w:t>ethodology and</w:t>
      </w:r>
      <w:r w:rsidR="00B66C42">
        <w:rPr>
          <w:rFonts w:ascii="Arial" w:hAnsi="Arial" w:cs="Arial"/>
          <w:color w:val="808080" w:themeColor="background1" w:themeShade="80"/>
          <w:sz w:val="28"/>
          <w:szCs w:val="28"/>
        </w:rPr>
        <w:t xml:space="preserve"> </w:t>
      </w:r>
      <w:r w:rsidR="002D54B4" w:rsidRPr="00B66C42">
        <w:rPr>
          <w:rFonts w:ascii="Arial" w:hAnsi="Arial" w:cs="Arial"/>
          <w:color w:val="808080" w:themeColor="background1" w:themeShade="80"/>
          <w:sz w:val="28"/>
          <w:szCs w:val="28"/>
        </w:rPr>
        <w:t>p</w:t>
      </w:r>
      <w:r w:rsidR="0019697D" w:rsidRPr="00B66C42">
        <w:rPr>
          <w:rFonts w:ascii="Arial" w:hAnsi="Arial" w:cs="Arial"/>
          <w:color w:val="808080" w:themeColor="background1" w:themeShade="80"/>
          <w:sz w:val="28"/>
          <w:szCs w:val="28"/>
        </w:rPr>
        <w:t>arameters for the development of</w:t>
      </w:r>
      <w:r w:rsidR="00DF2945" w:rsidRPr="00B66C42">
        <w:rPr>
          <w:rFonts w:ascii="Arial" w:hAnsi="Arial" w:cs="Arial"/>
          <w:color w:val="808080" w:themeColor="background1" w:themeShade="80"/>
          <w:sz w:val="28"/>
          <w:szCs w:val="28"/>
        </w:rPr>
        <w:t xml:space="preserve"> </w:t>
      </w:r>
      <w:r w:rsidR="0019697D" w:rsidRPr="00B66C42">
        <w:rPr>
          <w:rFonts w:ascii="Arial" w:hAnsi="Arial" w:cs="Arial"/>
          <w:color w:val="808080" w:themeColor="background1" w:themeShade="80"/>
          <w:sz w:val="28"/>
          <w:szCs w:val="28"/>
        </w:rPr>
        <w:t>d</w:t>
      </w:r>
      <w:r w:rsidRPr="00B66C42">
        <w:rPr>
          <w:rFonts w:ascii="Arial" w:hAnsi="Arial" w:cs="Arial"/>
          <w:color w:val="808080" w:themeColor="background1" w:themeShade="80"/>
          <w:sz w:val="28"/>
          <w:szCs w:val="28"/>
        </w:rPr>
        <w:t>igital television coverage</w:t>
      </w:r>
      <w:r w:rsidR="00B66C42">
        <w:rPr>
          <w:rFonts w:ascii="Arial" w:hAnsi="Arial" w:cs="Arial"/>
          <w:color w:val="808080" w:themeColor="background1" w:themeShade="80"/>
          <w:sz w:val="28"/>
          <w:szCs w:val="28"/>
        </w:rPr>
        <w:t xml:space="preserve"> </w:t>
      </w:r>
      <w:r w:rsidR="0019697D" w:rsidRPr="00B66C42">
        <w:rPr>
          <w:rFonts w:ascii="Arial" w:hAnsi="Arial" w:cs="Arial"/>
          <w:color w:val="808080" w:themeColor="background1" w:themeShade="80"/>
          <w:sz w:val="28"/>
          <w:szCs w:val="28"/>
        </w:rPr>
        <w:t xml:space="preserve">maps </w:t>
      </w:r>
      <w:r w:rsidR="002D54B4" w:rsidRPr="00B66C42">
        <w:rPr>
          <w:rFonts w:ascii="Arial" w:hAnsi="Arial" w:cs="Arial"/>
          <w:color w:val="808080" w:themeColor="background1" w:themeShade="80"/>
          <w:sz w:val="28"/>
          <w:szCs w:val="28"/>
        </w:rPr>
        <w:t xml:space="preserve">and </w:t>
      </w:r>
      <w:r w:rsidR="00C9136A" w:rsidRPr="00B66C42">
        <w:rPr>
          <w:rFonts w:ascii="Arial" w:hAnsi="Arial" w:cs="Arial"/>
          <w:color w:val="808080" w:themeColor="background1" w:themeShade="80"/>
          <w:sz w:val="28"/>
          <w:szCs w:val="28"/>
        </w:rPr>
        <w:t>exclusion zones</w:t>
      </w:r>
    </w:p>
    <w:p w:rsidR="009522DD" w:rsidRDefault="009522DD" w:rsidP="00936B31">
      <w:pPr>
        <w:rPr>
          <w:rFonts w:ascii="Arial" w:hAnsi="Arial" w:cs="Arial"/>
          <w:color w:val="0D0D0D" w:themeColor="text1" w:themeTint="F2"/>
        </w:rPr>
      </w:pPr>
    </w:p>
    <w:p w:rsidR="009A1FB4" w:rsidRDefault="009A1FB4">
      <w:pPr>
        <w:rPr>
          <w:rFonts w:ascii="Arial" w:hAnsi="Arial" w:cs="Arial"/>
          <w:color w:val="0D0D0D" w:themeColor="text1" w:themeTint="F2"/>
        </w:rPr>
      </w:pPr>
      <w:r>
        <w:rPr>
          <w:rFonts w:ascii="Arial" w:hAnsi="Arial" w:cs="Arial"/>
          <w:color w:val="0D0D0D" w:themeColor="text1" w:themeTint="F2"/>
        </w:rPr>
        <w:br w:type="page"/>
      </w:r>
    </w:p>
    <w:p w:rsidR="009A1FB4" w:rsidRPr="002D54B4" w:rsidRDefault="009A1FB4" w:rsidP="00936B31">
      <w:pPr>
        <w:rPr>
          <w:rFonts w:ascii="Arial" w:hAnsi="Arial" w:cs="Arial"/>
          <w:color w:val="0D0D0D" w:themeColor="text1" w:themeTint="F2"/>
        </w:rPr>
      </w:pPr>
    </w:p>
    <w:p w:rsidR="00936B31" w:rsidRPr="002D54B4" w:rsidRDefault="00936B31" w:rsidP="002D54B4">
      <w:pPr>
        <w:pStyle w:val="Heading2"/>
        <w:numPr>
          <w:ilvl w:val="0"/>
          <w:numId w:val="5"/>
        </w:numPr>
        <w:ind w:left="993"/>
        <w:rPr>
          <w:rFonts w:ascii="Arial" w:hAnsi="Arial" w:cs="Arial"/>
          <w:color w:val="0D0D0D" w:themeColor="text1" w:themeTint="F2"/>
        </w:rPr>
      </w:pPr>
      <w:r w:rsidRPr="002D54B4">
        <w:rPr>
          <w:rFonts w:ascii="Arial" w:hAnsi="Arial" w:cs="Arial"/>
          <w:color w:val="0D0D0D" w:themeColor="text1" w:themeTint="F2"/>
        </w:rPr>
        <w:t>Introduction</w:t>
      </w:r>
    </w:p>
    <w:p w:rsidR="00EC5160" w:rsidRPr="002D54B4" w:rsidRDefault="004E4DAE" w:rsidP="00EC5160">
      <w:pPr>
        <w:rPr>
          <w:rFonts w:ascii="Arial" w:hAnsi="Arial" w:cs="Arial"/>
          <w:color w:val="0D0D0D" w:themeColor="text1" w:themeTint="F2"/>
        </w:rPr>
      </w:pPr>
      <w:r w:rsidRPr="002D54B4">
        <w:rPr>
          <w:rFonts w:ascii="Arial" w:hAnsi="Arial" w:cs="Arial"/>
          <w:color w:val="0D0D0D" w:themeColor="text1" w:themeTint="F2"/>
        </w:rPr>
        <w:t>TLG Discussion Paper #3, identified two scenarios which required the management of interference to digital television (DTV) receivers, these were:</w:t>
      </w:r>
    </w:p>
    <w:p w:rsidR="00EC5160" w:rsidRPr="002D54B4" w:rsidRDefault="004E4DAE" w:rsidP="003A74B3">
      <w:pPr>
        <w:pStyle w:val="ListParagraph"/>
        <w:numPr>
          <w:ilvl w:val="0"/>
          <w:numId w:val="24"/>
        </w:numPr>
        <w:ind w:left="426"/>
        <w:rPr>
          <w:rFonts w:ascii="Arial" w:hAnsi="Arial" w:cs="Arial"/>
          <w:color w:val="0D0D0D" w:themeColor="text1" w:themeTint="F2"/>
        </w:rPr>
      </w:pPr>
      <w:r w:rsidRPr="002D54B4">
        <w:rPr>
          <w:rFonts w:ascii="Arial" w:hAnsi="Arial" w:cs="Arial"/>
          <w:color w:val="0D0D0D" w:themeColor="text1" w:themeTint="F2"/>
        </w:rPr>
        <w:t>DTV receivers operating below 694 MHz; and</w:t>
      </w:r>
    </w:p>
    <w:p w:rsidR="00EC5160" w:rsidRPr="002D54B4" w:rsidRDefault="004E4DAE" w:rsidP="003A74B3">
      <w:pPr>
        <w:pStyle w:val="ListParagraph"/>
        <w:numPr>
          <w:ilvl w:val="0"/>
          <w:numId w:val="24"/>
        </w:numPr>
        <w:ind w:left="426"/>
        <w:rPr>
          <w:rFonts w:ascii="Arial" w:hAnsi="Arial" w:cs="Arial"/>
          <w:color w:val="0D0D0D" w:themeColor="text1" w:themeTint="F2"/>
        </w:rPr>
      </w:pPr>
      <w:r w:rsidRPr="002D54B4">
        <w:rPr>
          <w:rFonts w:ascii="Arial" w:hAnsi="Arial" w:cs="Arial"/>
          <w:color w:val="0D0D0D" w:themeColor="text1" w:themeTint="F2"/>
        </w:rPr>
        <w:t>Incumbent DTV receivers operating in the 700 MHz band.</w:t>
      </w:r>
    </w:p>
    <w:p w:rsidR="00EC5160" w:rsidRPr="002D54B4" w:rsidRDefault="004E4DAE" w:rsidP="00EC5160">
      <w:pPr>
        <w:rPr>
          <w:rFonts w:ascii="Arial" w:hAnsi="Arial" w:cs="Arial"/>
          <w:color w:val="0D0D0D" w:themeColor="text1" w:themeTint="F2"/>
        </w:rPr>
      </w:pPr>
      <w:r w:rsidRPr="002D54B4">
        <w:rPr>
          <w:rFonts w:ascii="Arial" w:hAnsi="Arial" w:cs="Arial"/>
          <w:color w:val="0D0D0D" w:themeColor="text1" w:themeTint="F2"/>
        </w:rPr>
        <w:t>This paper provide</w:t>
      </w:r>
      <w:r w:rsidR="008E37AF" w:rsidRPr="002D54B4">
        <w:rPr>
          <w:rFonts w:ascii="Arial" w:hAnsi="Arial" w:cs="Arial"/>
          <w:color w:val="0D0D0D" w:themeColor="text1" w:themeTint="F2"/>
        </w:rPr>
        <w:t>s</w:t>
      </w:r>
      <w:r w:rsidRPr="002D54B4">
        <w:rPr>
          <w:rFonts w:ascii="Arial" w:hAnsi="Arial" w:cs="Arial"/>
          <w:color w:val="0D0D0D" w:themeColor="text1" w:themeTint="F2"/>
        </w:rPr>
        <w:t xml:space="preserve"> details of the methodology and parameters that will be used to develop the maps </w:t>
      </w:r>
      <w:r w:rsidR="008E37AF" w:rsidRPr="002D54B4">
        <w:rPr>
          <w:rFonts w:ascii="Arial" w:hAnsi="Arial" w:cs="Arial"/>
          <w:color w:val="0D0D0D" w:themeColor="text1" w:themeTint="F2"/>
        </w:rPr>
        <w:t>to</w:t>
      </w:r>
      <w:r w:rsidRPr="002D54B4">
        <w:rPr>
          <w:rFonts w:ascii="Arial" w:hAnsi="Arial" w:cs="Arial"/>
          <w:color w:val="0D0D0D" w:themeColor="text1" w:themeTint="F2"/>
        </w:rPr>
        <w:t xml:space="preserve"> be published by the ACMA to assist spectrum licensees to comply with the conditions specified on their spectrum licences.</w:t>
      </w:r>
    </w:p>
    <w:p w:rsidR="00FD34F3" w:rsidRPr="002D54B4" w:rsidRDefault="00FE5F3B">
      <w:pPr>
        <w:rPr>
          <w:rFonts w:ascii="Arial" w:hAnsi="Arial" w:cs="Arial"/>
          <w:color w:val="0D0D0D" w:themeColor="text1" w:themeTint="F2"/>
        </w:rPr>
      </w:pPr>
      <w:r w:rsidRPr="002D54B4">
        <w:rPr>
          <w:rFonts w:ascii="Arial" w:hAnsi="Arial" w:cs="Arial"/>
          <w:color w:val="0D0D0D" w:themeColor="text1" w:themeTint="F2"/>
        </w:rPr>
        <w:t>B</w:t>
      </w:r>
      <w:r w:rsidR="00CE0A86" w:rsidRPr="002D54B4">
        <w:rPr>
          <w:rFonts w:ascii="Arial" w:hAnsi="Arial" w:cs="Arial"/>
          <w:color w:val="0D0D0D" w:themeColor="text1" w:themeTint="F2"/>
        </w:rPr>
        <w:t>oth cases identified above and detailed in Sections 5.2 and 5.5 of TLG Discussion Paper #3 will require the production of maps depicting predicted DTV coverage areas</w:t>
      </w:r>
      <w:r w:rsidRPr="002D54B4">
        <w:rPr>
          <w:rFonts w:ascii="Arial" w:hAnsi="Arial" w:cs="Arial"/>
          <w:color w:val="0D0D0D" w:themeColor="text1" w:themeTint="F2"/>
        </w:rPr>
        <w:t>.</w:t>
      </w:r>
    </w:p>
    <w:p w:rsidR="002753A9" w:rsidRPr="002D54B4" w:rsidRDefault="00BA095B" w:rsidP="002753A9">
      <w:pPr>
        <w:pStyle w:val="Heading3"/>
        <w:numPr>
          <w:ilvl w:val="1"/>
          <w:numId w:val="5"/>
        </w:numPr>
        <w:ind w:left="720"/>
        <w:rPr>
          <w:rFonts w:ascii="Arial" w:hAnsi="Arial" w:cs="Arial"/>
          <w:color w:val="0D0D0D" w:themeColor="text1" w:themeTint="F2"/>
        </w:rPr>
      </w:pPr>
      <w:r w:rsidRPr="002D54B4">
        <w:rPr>
          <w:rFonts w:ascii="Arial" w:hAnsi="Arial" w:cs="Arial"/>
          <w:color w:val="0D0D0D" w:themeColor="text1" w:themeTint="F2"/>
        </w:rPr>
        <w:t>DTV Receivers below 694 MHz</w:t>
      </w:r>
    </w:p>
    <w:p w:rsidR="00BA095B" w:rsidRPr="002D54B4" w:rsidRDefault="008562E6" w:rsidP="001B1FBA">
      <w:pPr>
        <w:rPr>
          <w:rFonts w:ascii="Arial" w:hAnsi="Arial" w:cs="Arial"/>
          <w:color w:val="0D0D0D" w:themeColor="text1" w:themeTint="F2"/>
        </w:rPr>
      </w:pPr>
      <w:r w:rsidRPr="002D54B4">
        <w:rPr>
          <w:rFonts w:ascii="Arial" w:hAnsi="Arial" w:cs="Arial"/>
          <w:color w:val="0D0D0D" w:themeColor="text1" w:themeTint="F2"/>
        </w:rPr>
        <w:t xml:space="preserve">As outlined in Section 5.2 of the TLG Discussion Paper #3, </w:t>
      </w:r>
      <w:r w:rsidR="00BA095B" w:rsidRPr="002D54B4">
        <w:rPr>
          <w:rFonts w:ascii="Arial" w:hAnsi="Arial" w:cs="Arial"/>
          <w:color w:val="0D0D0D" w:themeColor="text1" w:themeTint="F2"/>
        </w:rPr>
        <w:t>the ACMA will publish a series of maps showing predicted coverage from digital television transmitters to identify the areas where television channels 49, 50 and 51 are in use/planned and where the implementation of the –40 dBm/MHz limit</w:t>
      </w:r>
      <w:r w:rsidR="004E10BD" w:rsidRPr="002D54B4">
        <w:rPr>
          <w:rStyle w:val="FootnoteReference"/>
          <w:rFonts w:ascii="Arial" w:hAnsi="Arial" w:cs="Arial"/>
          <w:color w:val="0D0D0D" w:themeColor="text1" w:themeTint="F2"/>
        </w:rPr>
        <w:footnoteReference w:id="1"/>
      </w:r>
      <w:r w:rsidR="00BA095B" w:rsidRPr="002D54B4">
        <w:rPr>
          <w:rFonts w:ascii="Arial" w:hAnsi="Arial" w:cs="Arial"/>
          <w:color w:val="0D0D0D" w:themeColor="text1" w:themeTint="F2"/>
        </w:rPr>
        <w:t xml:space="preserve"> is required in the range 673–694 MHz.</w:t>
      </w:r>
      <w:r w:rsidR="00FE5F3B" w:rsidRPr="002D54B4">
        <w:rPr>
          <w:rFonts w:ascii="Arial" w:hAnsi="Arial" w:cs="Arial"/>
          <w:color w:val="0D0D0D" w:themeColor="text1" w:themeTint="F2"/>
        </w:rPr>
        <w:t xml:space="preserve"> </w:t>
      </w:r>
      <w:r w:rsidR="00F47C86" w:rsidRPr="002D54B4">
        <w:rPr>
          <w:rFonts w:ascii="Arial" w:hAnsi="Arial" w:cs="Arial"/>
          <w:color w:val="0D0D0D" w:themeColor="text1" w:themeTint="F2"/>
        </w:rPr>
        <w:t xml:space="preserve"> </w:t>
      </w:r>
      <w:proofErr w:type="gramStart"/>
      <w:r w:rsidR="00FE5F3B" w:rsidRPr="002D54B4">
        <w:rPr>
          <w:rFonts w:ascii="Arial" w:hAnsi="Arial" w:cs="Arial"/>
          <w:color w:val="0D0D0D" w:themeColor="text1" w:themeTint="F2"/>
        </w:rPr>
        <w:t>In other areas, and in the same frequency range, an out-of-band limit of –34 dBm/MHz applies</w:t>
      </w:r>
      <w:r w:rsidR="004E10BD" w:rsidRPr="002D54B4">
        <w:rPr>
          <w:rFonts w:ascii="Arial" w:hAnsi="Arial" w:cs="Arial"/>
          <w:color w:val="0D0D0D" w:themeColor="text1" w:themeTint="F2"/>
          <w:vertAlign w:val="superscript"/>
        </w:rPr>
        <w:t>1</w:t>
      </w:r>
      <w:r w:rsidR="00FE5F3B" w:rsidRPr="002D54B4">
        <w:rPr>
          <w:rFonts w:ascii="Arial" w:hAnsi="Arial" w:cs="Arial"/>
          <w:color w:val="0D0D0D" w:themeColor="text1" w:themeTint="F2"/>
        </w:rPr>
        <w:t>.</w:t>
      </w:r>
      <w:proofErr w:type="gramEnd"/>
    </w:p>
    <w:p w:rsidR="00E6401A" w:rsidRPr="002D54B4" w:rsidRDefault="00A51A19" w:rsidP="001B1FBA">
      <w:pPr>
        <w:rPr>
          <w:rFonts w:ascii="Arial" w:hAnsi="Arial" w:cs="Arial"/>
          <w:color w:val="0D0D0D" w:themeColor="text1" w:themeTint="F2"/>
        </w:rPr>
      </w:pPr>
      <w:r w:rsidRPr="002D54B4">
        <w:rPr>
          <w:rFonts w:ascii="Arial" w:hAnsi="Arial" w:cs="Arial"/>
          <w:color w:val="0D0D0D" w:themeColor="text1" w:themeTint="F2"/>
        </w:rPr>
        <w:t>The methodology and parameters for determining the DTV coverage areas are outlined in Section 2.</w:t>
      </w:r>
    </w:p>
    <w:p w:rsidR="002753A9" w:rsidRPr="002D54B4" w:rsidRDefault="00AD4B0D" w:rsidP="002753A9">
      <w:pPr>
        <w:pStyle w:val="Heading3"/>
        <w:numPr>
          <w:ilvl w:val="1"/>
          <w:numId w:val="5"/>
        </w:numPr>
        <w:ind w:left="720"/>
        <w:rPr>
          <w:rFonts w:ascii="Arial" w:hAnsi="Arial" w:cs="Arial"/>
          <w:color w:val="0D0D0D" w:themeColor="text1" w:themeTint="F2"/>
        </w:rPr>
      </w:pPr>
      <w:r w:rsidRPr="002D54B4">
        <w:rPr>
          <w:rFonts w:ascii="Arial" w:hAnsi="Arial" w:cs="Arial"/>
          <w:color w:val="0D0D0D" w:themeColor="text1" w:themeTint="F2"/>
        </w:rPr>
        <w:t xml:space="preserve">Incumbent </w:t>
      </w:r>
      <w:r w:rsidR="00BA095B" w:rsidRPr="002D54B4">
        <w:rPr>
          <w:rFonts w:ascii="Arial" w:hAnsi="Arial" w:cs="Arial"/>
          <w:color w:val="0D0D0D" w:themeColor="text1" w:themeTint="F2"/>
        </w:rPr>
        <w:t>DTV Receivers operating in the 700 MHz Band</w:t>
      </w:r>
    </w:p>
    <w:p w:rsidR="002D54B4" w:rsidRDefault="002B22D5" w:rsidP="00E6401A">
      <w:pPr>
        <w:rPr>
          <w:rFonts w:ascii="Arial" w:hAnsi="Arial" w:cs="Arial"/>
          <w:color w:val="0D0D0D" w:themeColor="text1" w:themeTint="F2"/>
        </w:rPr>
      </w:pPr>
      <w:r w:rsidRPr="002D54B4">
        <w:rPr>
          <w:rFonts w:ascii="Arial" w:hAnsi="Arial" w:cs="Arial"/>
          <w:color w:val="0D0D0D" w:themeColor="text1" w:themeTint="F2"/>
        </w:rPr>
        <w:t xml:space="preserve">As outlined in Section 5.5 of the TLG Discussion Paper #3, potential interference </w:t>
      </w:r>
      <w:r w:rsidR="00700384" w:rsidRPr="002D54B4">
        <w:rPr>
          <w:rFonts w:ascii="Arial" w:hAnsi="Arial" w:cs="Arial"/>
          <w:color w:val="0D0D0D" w:themeColor="text1" w:themeTint="F2"/>
        </w:rPr>
        <w:t xml:space="preserve">from spectrum-licensed transmitters operating in the 700MHz band to incumbent DTV services would need to be </w:t>
      </w:r>
      <w:r w:rsidR="00B63567" w:rsidRPr="002D54B4">
        <w:rPr>
          <w:rFonts w:ascii="Arial" w:hAnsi="Arial" w:cs="Arial"/>
          <w:color w:val="0D0D0D" w:themeColor="text1" w:themeTint="F2"/>
        </w:rPr>
        <w:t xml:space="preserve">mitigated </w:t>
      </w:r>
      <w:r w:rsidR="00700384" w:rsidRPr="002D54B4">
        <w:rPr>
          <w:rFonts w:ascii="Arial" w:hAnsi="Arial" w:cs="Arial"/>
          <w:color w:val="0D0D0D" w:themeColor="text1" w:themeTint="F2"/>
        </w:rPr>
        <w:t xml:space="preserve">until they are restacked to channels below 694 MHz.  </w:t>
      </w:r>
      <w:r w:rsidRPr="002D54B4">
        <w:rPr>
          <w:rFonts w:ascii="Arial" w:hAnsi="Arial" w:cs="Arial"/>
          <w:color w:val="0D0D0D" w:themeColor="text1" w:themeTint="F2"/>
        </w:rPr>
        <w:t xml:space="preserve">Where a </w:t>
      </w:r>
      <w:r w:rsidR="00616B36" w:rsidRPr="002D54B4">
        <w:rPr>
          <w:rFonts w:ascii="Arial" w:hAnsi="Arial" w:cs="Arial"/>
          <w:color w:val="0D0D0D" w:themeColor="text1" w:themeTint="F2"/>
        </w:rPr>
        <w:t>DTV</w:t>
      </w:r>
      <w:r w:rsidRPr="002D54B4">
        <w:rPr>
          <w:rFonts w:ascii="Arial" w:hAnsi="Arial" w:cs="Arial"/>
          <w:color w:val="0D0D0D" w:themeColor="text1" w:themeTint="F2"/>
        </w:rPr>
        <w:t xml:space="preserve"> service continues to operate in the 694–820 MHz frequency range, deployment of spectrum licensed transmitters will be subject to exclusion zones around the </w:t>
      </w:r>
      <w:r w:rsidR="00616B36" w:rsidRPr="002D54B4">
        <w:rPr>
          <w:rFonts w:ascii="Arial" w:hAnsi="Arial" w:cs="Arial"/>
          <w:color w:val="0D0D0D" w:themeColor="text1" w:themeTint="F2"/>
        </w:rPr>
        <w:t>DTV</w:t>
      </w:r>
      <w:r w:rsidRPr="002D54B4">
        <w:rPr>
          <w:rFonts w:ascii="Arial" w:hAnsi="Arial" w:cs="Arial"/>
          <w:color w:val="0D0D0D" w:themeColor="text1" w:themeTint="F2"/>
        </w:rPr>
        <w:t xml:space="preserve"> transmitter </w:t>
      </w:r>
      <w:r w:rsidR="0082046C" w:rsidRPr="002D54B4">
        <w:rPr>
          <w:rFonts w:ascii="Arial" w:hAnsi="Arial" w:cs="Arial"/>
          <w:color w:val="0D0D0D" w:themeColor="text1" w:themeTint="F2"/>
        </w:rPr>
        <w:t xml:space="preserve">within which </w:t>
      </w:r>
      <w:r w:rsidRPr="002D54B4">
        <w:rPr>
          <w:rFonts w:ascii="Arial" w:hAnsi="Arial" w:cs="Arial"/>
          <w:color w:val="0D0D0D" w:themeColor="text1" w:themeTint="F2"/>
        </w:rPr>
        <w:t xml:space="preserve">spectrum licensed </w:t>
      </w:r>
      <w:r w:rsidR="00FE5F3B" w:rsidRPr="002D54B4">
        <w:rPr>
          <w:rFonts w:ascii="Arial" w:hAnsi="Arial" w:cs="Arial"/>
          <w:color w:val="0D0D0D" w:themeColor="text1" w:themeTint="F2"/>
        </w:rPr>
        <w:t xml:space="preserve">transmitters </w:t>
      </w:r>
      <w:r w:rsidR="00E6401A">
        <w:rPr>
          <w:rFonts w:ascii="Arial" w:hAnsi="Arial" w:cs="Arial"/>
          <w:color w:val="0D0D0D" w:themeColor="text1" w:themeTint="F2"/>
        </w:rPr>
        <w:t>cannot be deployed.</w:t>
      </w:r>
    </w:p>
    <w:p w:rsidR="00EC5160" w:rsidRPr="002D54B4" w:rsidRDefault="00953BCD" w:rsidP="00EC5160">
      <w:pPr>
        <w:rPr>
          <w:rFonts w:ascii="Arial" w:hAnsi="Arial" w:cs="Arial"/>
          <w:color w:val="0D0D0D" w:themeColor="text1" w:themeTint="F2"/>
        </w:rPr>
      </w:pPr>
      <w:r w:rsidRPr="002D54B4">
        <w:rPr>
          <w:rFonts w:ascii="Arial" w:hAnsi="Arial" w:cs="Arial"/>
          <w:color w:val="0D0D0D" w:themeColor="text1" w:themeTint="F2"/>
        </w:rPr>
        <w:t xml:space="preserve">Exclusion zones are greater than the broadcast service coverage area, and their composition is explained in Section 3. </w:t>
      </w:r>
      <w:r w:rsidR="00FE5F3B" w:rsidRPr="002D54B4">
        <w:rPr>
          <w:rFonts w:ascii="Arial" w:hAnsi="Arial" w:cs="Arial"/>
          <w:color w:val="0D0D0D" w:themeColor="text1" w:themeTint="F2"/>
        </w:rPr>
        <w:t>I</w:t>
      </w:r>
      <w:r w:rsidRPr="002D54B4">
        <w:rPr>
          <w:rFonts w:ascii="Arial" w:hAnsi="Arial" w:cs="Arial"/>
          <w:color w:val="0D0D0D" w:themeColor="text1" w:themeTint="F2"/>
        </w:rPr>
        <w:t xml:space="preserve">t is important to note that a component of the exclusion zone also requires the definition of the coverage area for incumbent DTV services in the 700 MHz band, as detailed in Section 2. </w:t>
      </w:r>
      <w:r w:rsidR="008E37AF" w:rsidRPr="002D54B4">
        <w:rPr>
          <w:rFonts w:ascii="Arial" w:hAnsi="Arial" w:cs="Arial"/>
          <w:color w:val="0D0D0D" w:themeColor="text1" w:themeTint="F2"/>
        </w:rPr>
        <w:t>Again, t</w:t>
      </w:r>
      <w:r w:rsidR="002B22D5" w:rsidRPr="002D54B4">
        <w:rPr>
          <w:rFonts w:ascii="Arial" w:hAnsi="Arial" w:cs="Arial"/>
          <w:color w:val="0D0D0D" w:themeColor="text1" w:themeTint="F2"/>
        </w:rPr>
        <w:t>he ACMA will publish a series of maps identifying the</w:t>
      </w:r>
      <w:r w:rsidR="008E37AF" w:rsidRPr="002D54B4">
        <w:rPr>
          <w:rFonts w:ascii="Arial" w:hAnsi="Arial" w:cs="Arial"/>
          <w:color w:val="0D0D0D" w:themeColor="text1" w:themeTint="F2"/>
        </w:rPr>
        <w:t>se</w:t>
      </w:r>
      <w:r w:rsidR="009A1FB4">
        <w:rPr>
          <w:rFonts w:ascii="Arial" w:hAnsi="Arial" w:cs="Arial"/>
          <w:color w:val="0D0D0D" w:themeColor="text1" w:themeTint="F2"/>
        </w:rPr>
        <w:t xml:space="preserve"> exclusion zones.</w:t>
      </w:r>
    </w:p>
    <w:p w:rsidR="009A1FB4" w:rsidRDefault="009A1FB4">
      <w:pPr>
        <w:rPr>
          <w:rFonts w:ascii="Arial" w:hAnsi="Arial" w:cs="Arial"/>
          <w:color w:val="0D0D0D" w:themeColor="text1" w:themeTint="F2"/>
        </w:rPr>
      </w:pPr>
      <w:r>
        <w:rPr>
          <w:rFonts w:ascii="Arial" w:hAnsi="Arial" w:cs="Arial"/>
          <w:color w:val="0D0D0D" w:themeColor="text1" w:themeTint="F2"/>
        </w:rPr>
        <w:br w:type="page"/>
      </w:r>
    </w:p>
    <w:p w:rsidR="009A1FB4" w:rsidRDefault="009A1FB4" w:rsidP="006605FF">
      <w:pPr>
        <w:rPr>
          <w:rFonts w:ascii="Arial" w:hAnsi="Arial" w:cs="Arial"/>
          <w:color w:val="0D0D0D" w:themeColor="text1" w:themeTint="F2"/>
        </w:rPr>
      </w:pPr>
    </w:p>
    <w:p w:rsidR="00A0671F" w:rsidRPr="002D54B4" w:rsidRDefault="00645219" w:rsidP="006605FF">
      <w:pPr>
        <w:rPr>
          <w:rFonts w:ascii="Arial" w:hAnsi="Arial" w:cs="Arial"/>
          <w:color w:val="0D0D0D" w:themeColor="text1" w:themeTint="F2"/>
        </w:rPr>
      </w:pPr>
      <w:r w:rsidRPr="002D54B4">
        <w:rPr>
          <w:rFonts w:ascii="Arial" w:hAnsi="Arial" w:cs="Arial"/>
          <w:color w:val="0D0D0D" w:themeColor="text1" w:themeTint="F2"/>
        </w:rPr>
        <w:t>Th</w:t>
      </w:r>
      <w:r w:rsidR="00A51A19" w:rsidRPr="002D54B4">
        <w:rPr>
          <w:rFonts w:ascii="Arial" w:hAnsi="Arial" w:cs="Arial"/>
          <w:color w:val="0D0D0D" w:themeColor="text1" w:themeTint="F2"/>
        </w:rPr>
        <w:t xml:space="preserve">e buffer distance will be based on </w:t>
      </w:r>
      <w:r w:rsidR="00A0671F" w:rsidRPr="002D54B4">
        <w:rPr>
          <w:rFonts w:ascii="Arial" w:hAnsi="Arial" w:cs="Arial"/>
          <w:color w:val="0D0D0D" w:themeColor="text1" w:themeTint="F2"/>
        </w:rPr>
        <w:t xml:space="preserve">the largest separation distance </w:t>
      </w:r>
      <w:r w:rsidR="00A51A19" w:rsidRPr="002D54B4">
        <w:rPr>
          <w:rFonts w:ascii="Arial" w:hAnsi="Arial" w:cs="Arial"/>
          <w:color w:val="0D0D0D" w:themeColor="text1" w:themeTint="F2"/>
        </w:rPr>
        <w:t xml:space="preserve">required </w:t>
      </w:r>
      <w:r w:rsidR="00A0671F" w:rsidRPr="002D54B4">
        <w:rPr>
          <w:rFonts w:ascii="Arial" w:hAnsi="Arial" w:cs="Arial"/>
          <w:color w:val="0D0D0D" w:themeColor="text1" w:themeTint="F2"/>
        </w:rPr>
        <w:t xml:space="preserve">to </w:t>
      </w:r>
      <w:r w:rsidR="00A51A19" w:rsidRPr="002D54B4">
        <w:rPr>
          <w:rFonts w:ascii="Arial" w:hAnsi="Arial" w:cs="Arial"/>
          <w:color w:val="0D0D0D" w:themeColor="text1" w:themeTint="F2"/>
        </w:rPr>
        <w:t xml:space="preserve">manage </w:t>
      </w:r>
      <w:r w:rsidR="00A0671F" w:rsidRPr="002D54B4">
        <w:rPr>
          <w:rFonts w:ascii="Arial" w:hAnsi="Arial" w:cs="Arial"/>
          <w:i/>
          <w:color w:val="0D0D0D" w:themeColor="text1" w:themeTint="F2"/>
        </w:rPr>
        <w:t>co-channel</w:t>
      </w:r>
      <w:r w:rsidR="0082046C" w:rsidRPr="002D54B4">
        <w:rPr>
          <w:rFonts w:ascii="Arial" w:hAnsi="Arial" w:cs="Arial"/>
          <w:color w:val="0D0D0D" w:themeColor="text1" w:themeTint="F2"/>
        </w:rPr>
        <w:t xml:space="preserve"> </w:t>
      </w:r>
      <w:r w:rsidR="00A0671F" w:rsidRPr="002D54B4">
        <w:rPr>
          <w:rFonts w:ascii="Arial" w:hAnsi="Arial" w:cs="Arial"/>
          <w:color w:val="0D0D0D" w:themeColor="text1" w:themeTint="F2"/>
        </w:rPr>
        <w:t>interference</w:t>
      </w:r>
      <w:r w:rsidR="00A51A19" w:rsidRPr="002D54B4" w:rsidDel="00A51A19">
        <w:rPr>
          <w:rFonts w:ascii="Arial" w:hAnsi="Arial" w:cs="Arial"/>
          <w:color w:val="0D0D0D" w:themeColor="text1" w:themeTint="F2"/>
        </w:rPr>
        <w:t xml:space="preserve"> </w:t>
      </w:r>
      <w:r w:rsidR="002571DD" w:rsidRPr="002D54B4">
        <w:rPr>
          <w:rFonts w:ascii="Arial" w:hAnsi="Arial" w:cs="Arial"/>
          <w:color w:val="0D0D0D" w:themeColor="text1" w:themeTint="F2"/>
        </w:rPr>
        <w:t>between</w:t>
      </w:r>
      <w:r w:rsidR="002D1A12" w:rsidRPr="002D54B4">
        <w:rPr>
          <w:rFonts w:ascii="Arial" w:hAnsi="Arial" w:cs="Arial"/>
          <w:color w:val="0D0D0D" w:themeColor="text1" w:themeTint="F2"/>
        </w:rPr>
        <w:t xml:space="preserve"> </w:t>
      </w:r>
      <w:r w:rsidR="009F05A8" w:rsidRPr="002D54B4">
        <w:rPr>
          <w:rFonts w:ascii="Arial" w:hAnsi="Arial" w:cs="Arial"/>
          <w:color w:val="0D0D0D" w:themeColor="text1" w:themeTint="F2"/>
        </w:rPr>
        <w:t xml:space="preserve">spectrum-licensed </w:t>
      </w:r>
      <w:r w:rsidR="00A51A19" w:rsidRPr="002D54B4">
        <w:rPr>
          <w:rFonts w:ascii="Arial" w:hAnsi="Arial" w:cs="Arial"/>
          <w:color w:val="0D0D0D" w:themeColor="text1" w:themeTint="F2"/>
        </w:rPr>
        <w:t>transmitters</w:t>
      </w:r>
      <w:r w:rsidR="009F05A8" w:rsidRPr="002D54B4">
        <w:rPr>
          <w:rFonts w:ascii="Arial" w:hAnsi="Arial" w:cs="Arial"/>
          <w:color w:val="0D0D0D" w:themeColor="text1" w:themeTint="F2"/>
        </w:rPr>
        <w:t xml:space="preserve"> and DTV receivers</w:t>
      </w:r>
      <w:r w:rsidR="00242224" w:rsidRPr="002D54B4">
        <w:rPr>
          <w:rFonts w:ascii="Arial" w:hAnsi="Arial" w:cs="Arial"/>
          <w:color w:val="0D0D0D" w:themeColor="text1" w:themeTint="F2"/>
        </w:rPr>
        <w:t>.  As LTE is considered the most likely technology to be deployed in the near future LTE parameters have been used to determine the separation criteria. LTE base stations parameters were used in the analysis as</w:t>
      </w:r>
      <w:r w:rsidR="009F05A8" w:rsidRPr="002D54B4">
        <w:rPr>
          <w:rFonts w:ascii="Arial" w:hAnsi="Arial" w:cs="Arial"/>
          <w:color w:val="0D0D0D" w:themeColor="text1" w:themeTint="F2"/>
        </w:rPr>
        <w:t xml:space="preserve"> </w:t>
      </w:r>
      <w:r w:rsidR="00313B61" w:rsidRPr="002D54B4">
        <w:rPr>
          <w:rFonts w:ascii="Arial" w:hAnsi="Arial" w:cs="Arial"/>
          <w:color w:val="0D0D0D" w:themeColor="text1" w:themeTint="F2"/>
        </w:rPr>
        <w:t xml:space="preserve">the </w:t>
      </w:r>
      <w:r w:rsidR="00242224" w:rsidRPr="002D54B4">
        <w:rPr>
          <w:rFonts w:ascii="Arial" w:hAnsi="Arial" w:cs="Arial"/>
          <w:color w:val="0D0D0D" w:themeColor="text1" w:themeTint="F2"/>
        </w:rPr>
        <w:t xml:space="preserve">higher </w:t>
      </w:r>
      <w:r w:rsidR="00313B61" w:rsidRPr="002D54B4">
        <w:rPr>
          <w:rFonts w:ascii="Arial" w:hAnsi="Arial" w:cs="Arial"/>
          <w:color w:val="0D0D0D" w:themeColor="text1" w:themeTint="F2"/>
        </w:rPr>
        <w:t>EIRP and antenna height</w:t>
      </w:r>
      <w:r w:rsidR="00242224" w:rsidRPr="002D54B4">
        <w:rPr>
          <w:rFonts w:ascii="Arial" w:hAnsi="Arial" w:cs="Arial"/>
          <w:color w:val="0D0D0D" w:themeColor="text1" w:themeTint="F2"/>
        </w:rPr>
        <w:t>s compared with</w:t>
      </w:r>
      <w:r w:rsidR="00313B61" w:rsidRPr="002D54B4">
        <w:rPr>
          <w:rFonts w:ascii="Arial" w:hAnsi="Arial" w:cs="Arial"/>
          <w:color w:val="0D0D0D" w:themeColor="text1" w:themeTint="F2"/>
        </w:rPr>
        <w:t xml:space="preserve"> </w:t>
      </w:r>
      <w:r w:rsidR="00242224" w:rsidRPr="002D54B4">
        <w:rPr>
          <w:rFonts w:ascii="Arial" w:hAnsi="Arial" w:cs="Arial"/>
          <w:color w:val="0D0D0D" w:themeColor="text1" w:themeTint="F2"/>
        </w:rPr>
        <w:t xml:space="preserve">LTE user equipment (UE) would require larger </w:t>
      </w:r>
      <w:r w:rsidR="00313B61" w:rsidRPr="002D54B4">
        <w:rPr>
          <w:rFonts w:ascii="Arial" w:hAnsi="Arial" w:cs="Arial"/>
          <w:color w:val="0D0D0D" w:themeColor="text1" w:themeTint="F2"/>
        </w:rPr>
        <w:t xml:space="preserve">geographical separation </w:t>
      </w:r>
      <w:r w:rsidR="009F05A8" w:rsidRPr="002D54B4">
        <w:rPr>
          <w:rFonts w:ascii="Arial" w:hAnsi="Arial" w:cs="Arial"/>
          <w:color w:val="0D0D0D" w:themeColor="text1" w:themeTint="F2"/>
        </w:rPr>
        <w:t xml:space="preserve">to </w:t>
      </w:r>
      <w:r w:rsidR="00B63567" w:rsidRPr="002D54B4">
        <w:rPr>
          <w:rFonts w:ascii="Arial" w:hAnsi="Arial" w:cs="Arial"/>
          <w:color w:val="0D0D0D" w:themeColor="text1" w:themeTint="F2"/>
        </w:rPr>
        <w:t xml:space="preserve">mitigate interference to </w:t>
      </w:r>
      <w:r w:rsidR="0082046C" w:rsidRPr="002D54B4">
        <w:rPr>
          <w:rFonts w:ascii="Arial" w:hAnsi="Arial" w:cs="Arial"/>
          <w:color w:val="0D0D0D" w:themeColor="text1" w:themeTint="F2"/>
        </w:rPr>
        <w:t>DTV receivers.</w:t>
      </w:r>
    </w:p>
    <w:p w:rsidR="003A74B3" w:rsidRPr="009A1FB4" w:rsidRDefault="00242224" w:rsidP="008C0FF3">
      <w:pPr>
        <w:rPr>
          <w:rFonts w:ascii="Arial" w:hAnsi="Arial" w:cs="Arial"/>
          <w:color w:val="0D0D0D" w:themeColor="text1" w:themeTint="F2"/>
        </w:rPr>
      </w:pPr>
      <w:r w:rsidRPr="002D54B4">
        <w:rPr>
          <w:rFonts w:ascii="Arial" w:hAnsi="Arial" w:cs="Arial"/>
          <w:color w:val="0D0D0D" w:themeColor="text1" w:themeTint="F2"/>
        </w:rPr>
        <w:t xml:space="preserve">The methodology and parameters for determining the geographic separation requirement, and its application to define exclusion zones, </w:t>
      </w:r>
      <w:r w:rsidR="00FE5F3B" w:rsidRPr="002D54B4">
        <w:rPr>
          <w:rFonts w:ascii="Arial" w:hAnsi="Arial" w:cs="Arial"/>
          <w:color w:val="0D0D0D" w:themeColor="text1" w:themeTint="F2"/>
        </w:rPr>
        <w:t xml:space="preserve">is </w:t>
      </w:r>
      <w:r w:rsidRPr="002D54B4">
        <w:rPr>
          <w:rFonts w:ascii="Arial" w:hAnsi="Arial" w:cs="Arial"/>
          <w:color w:val="0D0D0D" w:themeColor="text1" w:themeTint="F2"/>
        </w:rPr>
        <w:t>outlined in Section 3.</w:t>
      </w:r>
    </w:p>
    <w:p w:rsidR="00721C84" w:rsidRPr="002D54B4" w:rsidRDefault="004110A3" w:rsidP="00721C84">
      <w:pPr>
        <w:pStyle w:val="Heading2"/>
        <w:numPr>
          <w:ilvl w:val="0"/>
          <w:numId w:val="5"/>
        </w:numPr>
        <w:rPr>
          <w:rFonts w:ascii="Arial" w:hAnsi="Arial" w:cs="Arial"/>
          <w:color w:val="0D0D0D" w:themeColor="text1" w:themeTint="F2"/>
        </w:rPr>
      </w:pPr>
      <w:r w:rsidRPr="002D54B4">
        <w:rPr>
          <w:rFonts w:ascii="Arial" w:hAnsi="Arial" w:cs="Arial"/>
          <w:color w:val="0D0D0D" w:themeColor="text1" w:themeTint="F2"/>
        </w:rPr>
        <w:t>Definition of DT</w:t>
      </w:r>
      <w:r w:rsidR="008D5C09" w:rsidRPr="002D54B4">
        <w:rPr>
          <w:rFonts w:ascii="Arial" w:hAnsi="Arial" w:cs="Arial"/>
          <w:color w:val="0D0D0D" w:themeColor="text1" w:themeTint="F2"/>
        </w:rPr>
        <w:t>V</w:t>
      </w:r>
      <w:r w:rsidRPr="002D54B4">
        <w:rPr>
          <w:rFonts w:ascii="Arial" w:hAnsi="Arial" w:cs="Arial"/>
          <w:color w:val="0D0D0D" w:themeColor="text1" w:themeTint="F2"/>
        </w:rPr>
        <w:t xml:space="preserve"> Coverage Areas</w:t>
      </w:r>
    </w:p>
    <w:p w:rsidR="006730C9" w:rsidRPr="002D54B4" w:rsidRDefault="004110A3" w:rsidP="00480FE3">
      <w:pPr>
        <w:pStyle w:val="Heading3"/>
        <w:rPr>
          <w:rFonts w:ascii="Arial" w:hAnsi="Arial" w:cs="Arial"/>
          <w:color w:val="0D0D0D" w:themeColor="text1" w:themeTint="F2"/>
        </w:rPr>
      </w:pPr>
      <w:r w:rsidRPr="002D54B4">
        <w:rPr>
          <w:rFonts w:ascii="Arial" w:hAnsi="Arial" w:cs="Arial"/>
          <w:color w:val="0D0D0D" w:themeColor="text1" w:themeTint="F2"/>
        </w:rPr>
        <w:t xml:space="preserve"> </w:t>
      </w:r>
      <w:r w:rsidR="006730C9" w:rsidRPr="002D54B4">
        <w:rPr>
          <w:rFonts w:ascii="Arial" w:hAnsi="Arial" w:cs="Arial"/>
          <w:color w:val="0D0D0D" w:themeColor="text1" w:themeTint="F2"/>
        </w:rPr>
        <w:t>2.</w:t>
      </w:r>
      <w:r w:rsidR="00480FE3" w:rsidRPr="002D54B4">
        <w:rPr>
          <w:rFonts w:ascii="Arial" w:hAnsi="Arial" w:cs="Arial"/>
          <w:color w:val="0D0D0D" w:themeColor="text1" w:themeTint="F2"/>
        </w:rPr>
        <w:t>1</w:t>
      </w:r>
      <w:r w:rsidR="006730C9" w:rsidRPr="002D54B4">
        <w:rPr>
          <w:rFonts w:ascii="Arial" w:hAnsi="Arial" w:cs="Arial"/>
          <w:color w:val="0D0D0D" w:themeColor="text1" w:themeTint="F2"/>
        </w:rPr>
        <w:tab/>
      </w:r>
      <w:r w:rsidR="006C5DA5" w:rsidRPr="002D54B4">
        <w:rPr>
          <w:rFonts w:ascii="Arial" w:hAnsi="Arial" w:cs="Arial"/>
          <w:color w:val="0D0D0D" w:themeColor="text1" w:themeTint="F2"/>
        </w:rPr>
        <w:t>Prediction parameters</w:t>
      </w:r>
    </w:p>
    <w:p w:rsidR="006730C9" w:rsidRPr="002D54B4" w:rsidRDefault="006C5DA5" w:rsidP="00721C84">
      <w:pPr>
        <w:rPr>
          <w:rFonts w:ascii="Arial" w:hAnsi="Arial" w:cs="Arial"/>
          <w:color w:val="0D0D0D" w:themeColor="text1" w:themeTint="F2"/>
        </w:rPr>
      </w:pPr>
      <w:r w:rsidRPr="002D54B4">
        <w:rPr>
          <w:rFonts w:ascii="Arial" w:hAnsi="Arial" w:cs="Arial"/>
          <w:color w:val="0D0D0D" w:themeColor="text1" w:themeTint="F2"/>
        </w:rPr>
        <w:t xml:space="preserve">The following </w:t>
      </w:r>
      <w:r w:rsidR="00006B36" w:rsidRPr="002D54B4">
        <w:rPr>
          <w:rFonts w:ascii="Arial" w:hAnsi="Arial" w:cs="Arial"/>
          <w:color w:val="0D0D0D" w:themeColor="text1" w:themeTint="F2"/>
        </w:rPr>
        <w:t xml:space="preserve">parameters will be used to determine the coverage areas used </w:t>
      </w:r>
      <w:r w:rsidR="00FE5F3B" w:rsidRPr="002D54B4">
        <w:rPr>
          <w:rFonts w:ascii="Arial" w:hAnsi="Arial" w:cs="Arial"/>
          <w:color w:val="0D0D0D" w:themeColor="text1" w:themeTint="F2"/>
        </w:rPr>
        <w:t xml:space="preserve">to generate </w:t>
      </w:r>
      <w:r w:rsidR="00006B36" w:rsidRPr="002D54B4">
        <w:rPr>
          <w:rFonts w:ascii="Arial" w:hAnsi="Arial" w:cs="Arial"/>
          <w:color w:val="0D0D0D" w:themeColor="text1" w:themeTint="F2"/>
        </w:rPr>
        <w:t xml:space="preserve">maps defining areas where requirements </w:t>
      </w:r>
      <w:r w:rsidR="00FA1398" w:rsidRPr="002D54B4">
        <w:rPr>
          <w:rFonts w:ascii="Arial" w:hAnsi="Arial" w:cs="Arial"/>
          <w:color w:val="0D0D0D" w:themeColor="text1" w:themeTint="F2"/>
        </w:rPr>
        <w:t xml:space="preserve">specified by spectrum licence conditions </w:t>
      </w:r>
      <w:r w:rsidR="00006B36" w:rsidRPr="002D54B4">
        <w:rPr>
          <w:rFonts w:ascii="Arial" w:hAnsi="Arial" w:cs="Arial"/>
          <w:color w:val="0D0D0D" w:themeColor="text1" w:themeTint="F2"/>
        </w:rPr>
        <w:t>must be met.</w:t>
      </w:r>
    </w:p>
    <w:tbl>
      <w:tblPr>
        <w:tblStyle w:val="TableGrid"/>
        <w:tblW w:w="9297" w:type="dxa"/>
        <w:tblLook w:val="04A0"/>
      </w:tblPr>
      <w:tblGrid>
        <w:gridCol w:w="3254"/>
        <w:gridCol w:w="3021"/>
        <w:gridCol w:w="3022"/>
      </w:tblGrid>
      <w:tr w:rsidR="00E6401A" w:rsidRPr="002D54B4" w:rsidTr="00E6401A">
        <w:trPr>
          <w:cantSplit/>
          <w:trHeight w:val="573"/>
          <w:tblHeader/>
        </w:trPr>
        <w:tc>
          <w:tcPr>
            <w:tcW w:w="9297" w:type="dxa"/>
            <w:gridSpan w:val="3"/>
            <w:tcBorders>
              <w:left w:val="nil"/>
              <w:right w:val="nil"/>
            </w:tcBorders>
            <w:shd w:val="clear" w:color="auto" w:fill="auto"/>
            <w:vAlign w:val="center"/>
          </w:tcPr>
          <w:p w:rsidR="00E6401A" w:rsidRPr="002D54B4" w:rsidRDefault="00E6401A" w:rsidP="00E6401A">
            <w:pPr>
              <w:rPr>
                <w:rFonts w:ascii="Arial" w:hAnsi="Arial" w:cs="Arial"/>
                <w:b/>
                <w:color w:val="0D0D0D" w:themeColor="text1" w:themeTint="F2"/>
                <w:sz w:val="20"/>
                <w:szCs w:val="20"/>
              </w:rPr>
            </w:pPr>
            <w:r w:rsidRPr="003A74B3">
              <w:rPr>
                <w:rFonts w:ascii="Arial" w:hAnsi="Arial" w:cs="Arial"/>
                <w:b/>
                <w:color w:val="A6A6A6" w:themeColor="background1" w:themeShade="A6"/>
              </w:rPr>
              <w:t>Table 2</w:t>
            </w:r>
            <w:r>
              <w:rPr>
                <w:rFonts w:ascii="Arial" w:hAnsi="Arial" w:cs="Arial"/>
                <w:b/>
                <w:color w:val="A6A6A6" w:themeColor="background1" w:themeShade="A6"/>
              </w:rPr>
              <w:t xml:space="preserve"> </w:t>
            </w:r>
            <w:r w:rsidRPr="003A74B3">
              <w:rPr>
                <w:rFonts w:ascii="Arial" w:hAnsi="Arial" w:cs="Arial"/>
                <w:b/>
                <w:color w:val="A6A6A6" w:themeColor="background1" w:themeShade="A6"/>
              </w:rPr>
              <w:t>Parameters used for the definition of DTV coverage areas</w:t>
            </w:r>
          </w:p>
        </w:tc>
      </w:tr>
      <w:tr w:rsidR="00007043" w:rsidRPr="002D54B4" w:rsidTr="002D54B4">
        <w:trPr>
          <w:cantSplit/>
          <w:tblHeader/>
        </w:trPr>
        <w:tc>
          <w:tcPr>
            <w:tcW w:w="3254" w:type="dxa"/>
            <w:vMerge w:val="restart"/>
            <w:shd w:val="clear" w:color="auto" w:fill="F2F2F2" w:themeFill="background1" w:themeFillShade="F2"/>
          </w:tcPr>
          <w:p w:rsidR="00007043" w:rsidRPr="002D54B4" w:rsidDel="00D72BAE" w:rsidRDefault="00007043" w:rsidP="0059511C">
            <w:pPr>
              <w:rPr>
                <w:rFonts w:ascii="Arial" w:hAnsi="Arial" w:cs="Arial"/>
                <w:b/>
                <w:color w:val="0D0D0D" w:themeColor="text1" w:themeTint="F2"/>
                <w:sz w:val="20"/>
                <w:szCs w:val="20"/>
              </w:rPr>
            </w:pPr>
            <w:r w:rsidRPr="002D54B4">
              <w:rPr>
                <w:rFonts w:ascii="Arial" w:hAnsi="Arial" w:cs="Arial"/>
                <w:b/>
                <w:color w:val="0D0D0D" w:themeColor="text1" w:themeTint="F2"/>
                <w:sz w:val="20"/>
                <w:szCs w:val="20"/>
              </w:rPr>
              <w:t>Parameter</w:t>
            </w:r>
          </w:p>
        </w:tc>
        <w:tc>
          <w:tcPr>
            <w:tcW w:w="6043" w:type="dxa"/>
            <w:gridSpan w:val="2"/>
            <w:shd w:val="clear" w:color="auto" w:fill="F2F2F2" w:themeFill="background1" w:themeFillShade="F2"/>
          </w:tcPr>
          <w:p w:rsidR="002753A9" w:rsidRPr="002D54B4" w:rsidRDefault="002753A9" w:rsidP="002753A9">
            <w:pPr>
              <w:jc w:val="center"/>
              <w:rPr>
                <w:rFonts w:ascii="Arial" w:hAnsi="Arial" w:cs="Arial"/>
                <w:b/>
                <w:color w:val="0D0D0D" w:themeColor="text1" w:themeTint="F2"/>
                <w:sz w:val="20"/>
                <w:szCs w:val="20"/>
              </w:rPr>
            </w:pPr>
            <w:r w:rsidRPr="002D54B4">
              <w:rPr>
                <w:rFonts w:ascii="Arial" w:hAnsi="Arial" w:cs="Arial"/>
                <w:b/>
                <w:color w:val="0D0D0D" w:themeColor="text1" w:themeTint="F2"/>
                <w:sz w:val="20"/>
                <w:szCs w:val="20"/>
              </w:rPr>
              <w:t>Value/Source</w:t>
            </w:r>
          </w:p>
        </w:tc>
      </w:tr>
      <w:tr w:rsidR="00007043" w:rsidRPr="002D54B4" w:rsidTr="002D54B4">
        <w:trPr>
          <w:cantSplit/>
          <w:tblHeader/>
        </w:trPr>
        <w:tc>
          <w:tcPr>
            <w:tcW w:w="3254" w:type="dxa"/>
            <w:vMerge/>
            <w:shd w:val="clear" w:color="auto" w:fill="F2F2F2" w:themeFill="background1" w:themeFillShade="F2"/>
          </w:tcPr>
          <w:p w:rsidR="00007043" w:rsidRPr="002D54B4" w:rsidDel="00D72BAE" w:rsidRDefault="00007043" w:rsidP="0059511C">
            <w:pPr>
              <w:rPr>
                <w:rFonts w:ascii="Arial" w:hAnsi="Arial" w:cs="Arial"/>
                <w:b/>
                <w:color w:val="0D0D0D" w:themeColor="text1" w:themeTint="F2"/>
                <w:sz w:val="20"/>
                <w:szCs w:val="20"/>
              </w:rPr>
            </w:pPr>
          </w:p>
        </w:tc>
        <w:tc>
          <w:tcPr>
            <w:tcW w:w="3021" w:type="dxa"/>
            <w:shd w:val="clear" w:color="auto" w:fill="F2F2F2" w:themeFill="background1" w:themeFillShade="F2"/>
          </w:tcPr>
          <w:p w:rsidR="00007043" w:rsidRPr="002D54B4" w:rsidDel="00D72BAE" w:rsidRDefault="002753A9" w:rsidP="002D54B4">
            <w:pPr>
              <w:spacing w:after="200" w:line="276" w:lineRule="auto"/>
              <w:rPr>
                <w:rFonts w:ascii="Arial" w:hAnsi="Arial" w:cs="Arial"/>
                <w:b/>
                <w:color w:val="0D0D0D" w:themeColor="text1" w:themeTint="F2"/>
                <w:sz w:val="20"/>
                <w:szCs w:val="20"/>
              </w:rPr>
            </w:pPr>
            <w:r w:rsidRPr="002D54B4">
              <w:rPr>
                <w:rFonts w:ascii="Arial" w:hAnsi="Arial" w:cs="Arial"/>
                <w:b/>
                <w:color w:val="0D0D0D" w:themeColor="text1" w:themeTint="F2"/>
                <w:sz w:val="20"/>
                <w:szCs w:val="20"/>
              </w:rPr>
              <w:t>For DTV services in 673–694 MHz</w:t>
            </w:r>
          </w:p>
        </w:tc>
        <w:tc>
          <w:tcPr>
            <w:tcW w:w="3022" w:type="dxa"/>
            <w:shd w:val="clear" w:color="auto" w:fill="F2F2F2" w:themeFill="background1" w:themeFillShade="F2"/>
          </w:tcPr>
          <w:p w:rsidR="00007043" w:rsidRPr="002D54B4" w:rsidDel="00D72BAE" w:rsidRDefault="00007043" w:rsidP="002D54B4">
            <w:pPr>
              <w:spacing w:after="200" w:line="276" w:lineRule="auto"/>
              <w:rPr>
                <w:rFonts w:ascii="Arial" w:hAnsi="Arial" w:cs="Arial"/>
                <w:b/>
                <w:color w:val="0D0D0D" w:themeColor="text1" w:themeTint="F2"/>
                <w:sz w:val="20"/>
                <w:szCs w:val="20"/>
              </w:rPr>
            </w:pPr>
            <w:r w:rsidRPr="002D54B4">
              <w:rPr>
                <w:rFonts w:ascii="Arial" w:hAnsi="Arial" w:cs="Arial"/>
                <w:b/>
                <w:color w:val="0D0D0D" w:themeColor="text1" w:themeTint="F2"/>
                <w:sz w:val="20"/>
                <w:szCs w:val="20"/>
              </w:rPr>
              <w:t>For incumbent DTV services in the 700 MHz Band</w:t>
            </w:r>
          </w:p>
        </w:tc>
      </w:tr>
      <w:tr w:rsidR="00006B36" w:rsidRPr="002D54B4" w:rsidTr="0059511C">
        <w:trPr>
          <w:cantSplit/>
          <w:tblHeader/>
        </w:trPr>
        <w:tc>
          <w:tcPr>
            <w:tcW w:w="3254" w:type="dxa"/>
          </w:tcPr>
          <w:p w:rsidR="00006B36" w:rsidRPr="002D54B4" w:rsidRDefault="00006B36" w:rsidP="00007043">
            <w:pPr>
              <w:rPr>
                <w:rFonts w:ascii="Arial" w:hAnsi="Arial" w:cs="Arial"/>
                <w:color w:val="0D0D0D" w:themeColor="text1" w:themeTint="F2"/>
                <w:sz w:val="20"/>
                <w:szCs w:val="20"/>
              </w:rPr>
            </w:pPr>
            <w:r w:rsidRPr="002D54B4">
              <w:rPr>
                <w:rFonts w:ascii="Arial" w:hAnsi="Arial" w:cs="Arial"/>
                <w:color w:val="0D0D0D" w:themeColor="text1" w:themeTint="F2"/>
                <w:sz w:val="20"/>
                <w:szCs w:val="20"/>
              </w:rPr>
              <w:t>DT</w:t>
            </w:r>
            <w:r w:rsidR="00007043" w:rsidRPr="002D54B4">
              <w:rPr>
                <w:rFonts w:ascii="Arial" w:hAnsi="Arial" w:cs="Arial"/>
                <w:color w:val="0D0D0D" w:themeColor="text1" w:themeTint="F2"/>
                <w:sz w:val="20"/>
                <w:szCs w:val="20"/>
              </w:rPr>
              <w:t>V</w:t>
            </w:r>
            <w:r w:rsidRPr="002D54B4">
              <w:rPr>
                <w:rFonts w:ascii="Arial" w:hAnsi="Arial" w:cs="Arial"/>
                <w:color w:val="0D0D0D" w:themeColor="text1" w:themeTint="F2"/>
                <w:sz w:val="20"/>
                <w:szCs w:val="20"/>
              </w:rPr>
              <w:t xml:space="preserve"> Services</w:t>
            </w:r>
          </w:p>
        </w:tc>
        <w:tc>
          <w:tcPr>
            <w:tcW w:w="3021" w:type="dxa"/>
          </w:tcPr>
          <w:p w:rsidR="00006B36" w:rsidRPr="002D54B4" w:rsidRDefault="001D376E" w:rsidP="0059511C">
            <w:pPr>
              <w:rPr>
                <w:rFonts w:ascii="Arial" w:hAnsi="Arial" w:cs="Arial"/>
                <w:color w:val="0D0D0D" w:themeColor="text1" w:themeTint="F2"/>
                <w:sz w:val="20"/>
                <w:szCs w:val="20"/>
              </w:rPr>
            </w:pPr>
            <w:r w:rsidRPr="002D54B4">
              <w:rPr>
                <w:rFonts w:ascii="Arial" w:hAnsi="Arial" w:cs="Arial"/>
                <w:color w:val="0D0D0D" w:themeColor="text1" w:themeTint="F2"/>
                <w:sz w:val="20"/>
                <w:szCs w:val="20"/>
              </w:rPr>
              <w:t>Restacked TLAP s</w:t>
            </w:r>
            <w:r w:rsidR="00006B36" w:rsidRPr="002D54B4">
              <w:rPr>
                <w:rFonts w:ascii="Arial" w:hAnsi="Arial" w:cs="Arial"/>
                <w:color w:val="0D0D0D" w:themeColor="text1" w:themeTint="F2"/>
                <w:sz w:val="20"/>
                <w:szCs w:val="20"/>
              </w:rPr>
              <w:t xml:space="preserve">ervices in Channels 49, 50, 51 </w:t>
            </w:r>
          </w:p>
        </w:tc>
        <w:tc>
          <w:tcPr>
            <w:tcW w:w="3022" w:type="dxa"/>
          </w:tcPr>
          <w:p w:rsidR="00006B36" w:rsidRPr="002D54B4" w:rsidRDefault="001D376E" w:rsidP="0059511C">
            <w:pPr>
              <w:rPr>
                <w:rFonts w:ascii="Arial" w:hAnsi="Arial" w:cs="Arial"/>
                <w:color w:val="0D0D0D" w:themeColor="text1" w:themeTint="F2"/>
                <w:sz w:val="20"/>
                <w:szCs w:val="20"/>
              </w:rPr>
            </w:pPr>
            <w:r w:rsidRPr="002D54B4">
              <w:rPr>
                <w:rFonts w:ascii="Arial" w:hAnsi="Arial" w:cs="Arial"/>
                <w:color w:val="0D0D0D" w:themeColor="text1" w:themeTint="F2"/>
                <w:sz w:val="20"/>
                <w:szCs w:val="20"/>
              </w:rPr>
              <w:t>Operating s</w:t>
            </w:r>
            <w:r w:rsidR="00006B36" w:rsidRPr="002D54B4">
              <w:rPr>
                <w:rFonts w:ascii="Arial" w:hAnsi="Arial" w:cs="Arial"/>
                <w:color w:val="0D0D0D" w:themeColor="text1" w:themeTint="F2"/>
                <w:sz w:val="20"/>
                <w:szCs w:val="20"/>
              </w:rPr>
              <w:t>ervices in Channels 52–69</w:t>
            </w:r>
          </w:p>
        </w:tc>
      </w:tr>
      <w:tr w:rsidR="00700BB9" w:rsidRPr="002D54B4" w:rsidTr="006730C9">
        <w:trPr>
          <w:cantSplit/>
          <w:tblHeader/>
        </w:trPr>
        <w:tc>
          <w:tcPr>
            <w:tcW w:w="3254" w:type="dxa"/>
          </w:tcPr>
          <w:p w:rsidR="00700BB9" w:rsidRPr="002D54B4" w:rsidRDefault="00007043" w:rsidP="0059511C">
            <w:pPr>
              <w:rPr>
                <w:rFonts w:ascii="Arial" w:hAnsi="Arial" w:cs="Arial"/>
                <w:color w:val="0D0D0D" w:themeColor="text1" w:themeTint="F2"/>
                <w:sz w:val="20"/>
                <w:szCs w:val="20"/>
              </w:rPr>
            </w:pPr>
            <w:r w:rsidRPr="002D54B4">
              <w:rPr>
                <w:rFonts w:ascii="Arial" w:hAnsi="Arial" w:cs="Arial"/>
                <w:color w:val="0D0D0D" w:themeColor="text1" w:themeTint="F2"/>
                <w:sz w:val="20"/>
                <w:szCs w:val="20"/>
              </w:rPr>
              <w:t xml:space="preserve">DTV </w:t>
            </w:r>
            <w:r w:rsidR="00006B36" w:rsidRPr="002D54B4">
              <w:rPr>
                <w:rFonts w:ascii="Arial" w:hAnsi="Arial" w:cs="Arial"/>
                <w:color w:val="0D0D0D" w:themeColor="text1" w:themeTint="F2"/>
                <w:sz w:val="20"/>
                <w:szCs w:val="20"/>
              </w:rPr>
              <w:t>Tx</w:t>
            </w:r>
            <w:r w:rsidR="00700BB9" w:rsidRPr="002D54B4">
              <w:rPr>
                <w:rFonts w:ascii="Arial" w:hAnsi="Arial" w:cs="Arial"/>
                <w:color w:val="0D0D0D" w:themeColor="text1" w:themeTint="F2"/>
                <w:sz w:val="20"/>
                <w:szCs w:val="20"/>
              </w:rPr>
              <w:t xml:space="preserve"> Coordinates</w:t>
            </w:r>
          </w:p>
        </w:tc>
        <w:tc>
          <w:tcPr>
            <w:tcW w:w="6043" w:type="dxa"/>
            <w:gridSpan w:val="2"/>
          </w:tcPr>
          <w:p w:rsidR="00700BB9" w:rsidRPr="002D54B4" w:rsidRDefault="00700BB9" w:rsidP="0059511C">
            <w:pPr>
              <w:rPr>
                <w:rFonts w:ascii="Arial" w:hAnsi="Arial" w:cs="Arial"/>
                <w:color w:val="0D0D0D" w:themeColor="text1" w:themeTint="F2"/>
                <w:sz w:val="20"/>
                <w:szCs w:val="20"/>
              </w:rPr>
            </w:pPr>
            <w:r w:rsidRPr="002D54B4">
              <w:rPr>
                <w:rFonts w:ascii="Arial" w:hAnsi="Arial" w:cs="Arial"/>
                <w:color w:val="0D0D0D" w:themeColor="text1" w:themeTint="F2"/>
                <w:sz w:val="20"/>
                <w:szCs w:val="20"/>
              </w:rPr>
              <w:t>Planning Data</w:t>
            </w:r>
            <w:r w:rsidR="00006B36" w:rsidRPr="002D54B4">
              <w:rPr>
                <w:rFonts w:ascii="Arial" w:hAnsi="Arial" w:cs="Arial"/>
                <w:color w:val="0D0D0D" w:themeColor="text1" w:themeTint="F2"/>
                <w:sz w:val="20"/>
                <w:szCs w:val="20"/>
              </w:rPr>
              <w:t xml:space="preserve"> coordinates</w:t>
            </w:r>
          </w:p>
        </w:tc>
      </w:tr>
      <w:tr w:rsidR="00700BB9" w:rsidRPr="002D54B4" w:rsidTr="006730C9">
        <w:trPr>
          <w:cantSplit/>
          <w:tblHeader/>
        </w:trPr>
        <w:tc>
          <w:tcPr>
            <w:tcW w:w="3254" w:type="dxa"/>
          </w:tcPr>
          <w:p w:rsidR="00700BB9" w:rsidRPr="002D54B4" w:rsidRDefault="00007043" w:rsidP="0059511C">
            <w:pPr>
              <w:rPr>
                <w:rFonts w:ascii="Arial" w:hAnsi="Arial" w:cs="Arial"/>
                <w:color w:val="0D0D0D" w:themeColor="text1" w:themeTint="F2"/>
                <w:sz w:val="20"/>
                <w:szCs w:val="20"/>
              </w:rPr>
            </w:pPr>
            <w:r w:rsidRPr="002D54B4">
              <w:rPr>
                <w:rFonts w:ascii="Arial" w:hAnsi="Arial" w:cs="Arial"/>
                <w:color w:val="0D0D0D" w:themeColor="text1" w:themeTint="F2"/>
                <w:sz w:val="20"/>
                <w:szCs w:val="20"/>
              </w:rPr>
              <w:t xml:space="preserve">DTV </w:t>
            </w:r>
            <w:r w:rsidR="00700BB9" w:rsidRPr="002D54B4">
              <w:rPr>
                <w:rFonts w:ascii="Arial" w:hAnsi="Arial" w:cs="Arial"/>
                <w:color w:val="0D0D0D" w:themeColor="text1" w:themeTint="F2"/>
                <w:sz w:val="20"/>
                <w:szCs w:val="20"/>
              </w:rPr>
              <w:t>Tx Antenna Height</w:t>
            </w:r>
          </w:p>
        </w:tc>
        <w:tc>
          <w:tcPr>
            <w:tcW w:w="6043" w:type="dxa"/>
            <w:gridSpan w:val="2"/>
          </w:tcPr>
          <w:p w:rsidR="00700BB9" w:rsidRPr="002D54B4" w:rsidRDefault="00700BB9" w:rsidP="00006B36">
            <w:pPr>
              <w:rPr>
                <w:rFonts w:ascii="Arial" w:hAnsi="Arial" w:cs="Arial"/>
                <w:color w:val="0D0D0D" w:themeColor="text1" w:themeTint="F2"/>
                <w:sz w:val="20"/>
                <w:szCs w:val="20"/>
              </w:rPr>
            </w:pPr>
            <w:r w:rsidRPr="002D54B4">
              <w:rPr>
                <w:rFonts w:ascii="Arial" w:hAnsi="Arial" w:cs="Arial"/>
                <w:color w:val="0D0D0D" w:themeColor="text1" w:themeTint="F2"/>
                <w:sz w:val="20"/>
                <w:szCs w:val="20"/>
              </w:rPr>
              <w:t>Planning Data</w:t>
            </w:r>
            <w:r w:rsidR="00006B36" w:rsidRPr="002D54B4">
              <w:rPr>
                <w:rFonts w:ascii="Arial" w:hAnsi="Arial" w:cs="Arial"/>
                <w:color w:val="0D0D0D" w:themeColor="text1" w:themeTint="F2"/>
                <w:sz w:val="20"/>
                <w:szCs w:val="20"/>
              </w:rPr>
              <w:t xml:space="preserve"> antenna height</w:t>
            </w:r>
          </w:p>
        </w:tc>
      </w:tr>
      <w:tr w:rsidR="00700BB9" w:rsidRPr="002D54B4" w:rsidTr="006730C9">
        <w:trPr>
          <w:cantSplit/>
          <w:tblHeader/>
        </w:trPr>
        <w:tc>
          <w:tcPr>
            <w:tcW w:w="3254" w:type="dxa"/>
          </w:tcPr>
          <w:p w:rsidR="00700BB9" w:rsidRPr="002D54B4" w:rsidRDefault="00007043" w:rsidP="0059511C">
            <w:pPr>
              <w:rPr>
                <w:rFonts w:ascii="Arial" w:hAnsi="Arial" w:cs="Arial"/>
                <w:color w:val="0D0D0D" w:themeColor="text1" w:themeTint="F2"/>
                <w:sz w:val="20"/>
                <w:szCs w:val="20"/>
              </w:rPr>
            </w:pPr>
            <w:r w:rsidRPr="002D54B4">
              <w:rPr>
                <w:rFonts w:ascii="Arial" w:hAnsi="Arial" w:cs="Arial"/>
                <w:color w:val="0D0D0D" w:themeColor="text1" w:themeTint="F2"/>
                <w:sz w:val="20"/>
                <w:szCs w:val="20"/>
              </w:rPr>
              <w:t xml:space="preserve">DTV </w:t>
            </w:r>
            <w:r w:rsidR="00700BB9" w:rsidRPr="002D54B4">
              <w:rPr>
                <w:rFonts w:ascii="Arial" w:hAnsi="Arial" w:cs="Arial"/>
                <w:color w:val="0D0D0D" w:themeColor="text1" w:themeTint="F2"/>
                <w:sz w:val="20"/>
                <w:szCs w:val="20"/>
              </w:rPr>
              <w:t>Tx Antenna Radiation Pattern/Envelope</w:t>
            </w:r>
          </w:p>
        </w:tc>
        <w:tc>
          <w:tcPr>
            <w:tcW w:w="6043" w:type="dxa"/>
            <w:gridSpan w:val="2"/>
          </w:tcPr>
          <w:p w:rsidR="00700BB9" w:rsidRPr="002D54B4" w:rsidRDefault="00700BB9" w:rsidP="0059511C">
            <w:pPr>
              <w:rPr>
                <w:rFonts w:ascii="Arial" w:hAnsi="Arial" w:cs="Arial"/>
                <w:color w:val="0D0D0D" w:themeColor="text1" w:themeTint="F2"/>
                <w:sz w:val="20"/>
                <w:szCs w:val="20"/>
              </w:rPr>
            </w:pPr>
            <w:r w:rsidRPr="002D54B4">
              <w:rPr>
                <w:rFonts w:ascii="Arial" w:hAnsi="Arial" w:cs="Arial"/>
                <w:color w:val="0D0D0D" w:themeColor="text1" w:themeTint="F2"/>
                <w:sz w:val="20"/>
                <w:szCs w:val="20"/>
              </w:rPr>
              <w:t>Planning Data HRP envelope</w:t>
            </w:r>
          </w:p>
        </w:tc>
      </w:tr>
      <w:tr w:rsidR="00006B36" w:rsidRPr="002D54B4" w:rsidTr="0059511C">
        <w:trPr>
          <w:cantSplit/>
          <w:tblHeader/>
        </w:trPr>
        <w:tc>
          <w:tcPr>
            <w:tcW w:w="3254" w:type="dxa"/>
          </w:tcPr>
          <w:p w:rsidR="00006B36" w:rsidRPr="002D54B4" w:rsidRDefault="00007043" w:rsidP="0059511C">
            <w:pPr>
              <w:rPr>
                <w:rFonts w:ascii="Arial" w:hAnsi="Arial" w:cs="Arial"/>
                <w:color w:val="0D0D0D" w:themeColor="text1" w:themeTint="F2"/>
                <w:sz w:val="20"/>
                <w:szCs w:val="20"/>
              </w:rPr>
            </w:pPr>
            <w:r w:rsidRPr="002D54B4">
              <w:rPr>
                <w:rFonts w:ascii="Arial" w:hAnsi="Arial" w:cs="Arial"/>
                <w:color w:val="0D0D0D" w:themeColor="text1" w:themeTint="F2"/>
                <w:sz w:val="20"/>
                <w:szCs w:val="20"/>
              </w:rPr>
              <w:t xml:space="preserve">DTV </w:t>
            </w:r>
            <w:r w:rsidR="00006B36" w:rsidRPr="002D54B4">
              <w:rPr>
                <w:rFonts w:ascii="Arial" w:hAnsi="Arial" w:cs="Arial"/>
                <w:color w:val="0D0D0D" w:themeColor="text1" w:themeTint="F2"/>
                <w:sz w:val="20"/>
                <w:szCs w:val="20"/>
              </w:rPr>
              <w:t>Tx ERP</w:t>
            </w:r>
          </w:p>
        </w:tc>
        <w:tc>
          <w:tcPr>
            <w:tcW w:w="3021" w:type="dxa"/>
          </w:tcPr>
          <w:p w:rsidR="00006B36" w:rsidRPr="002D54B4" w:rsidRDefault="0019697D" w:rsidP="007E112C">
            <w:pPr>
              <w:rPr>
                <w:rFonts w:ascii="Arial" w:hAnsi="Arial" w:cs="Arial"/>
                <w:color w:val="0D0D0D" w:themeColor="text1" w:themeTint="F2"/>
                <w:sz w:val="20"/>
                <w:szCs w:val="20"/>
              </w:rPr>
            </w:pPr>
            <w:r w:rsidRPr="002D54B4">
              <w:rPr>
                <w:rFonts w:ascii="Arial" w:hAnsi="Arial" w:cs="Arial"/>
                <w:color w:val="0D0D0D" w:themeColor="text1" w:themeTint="F2"/>
                <w:sz w:val="20"/>
                <w:szCs w:val="20"/>
              </w:rPr>
              <w:t>Max. of the ERPs in TLAP and Planning Data</w:t>
            </w:r>
          </w:p>
        </w:tc>
        <w:tc>
          <w:tcPr>
            <w:tcW w:w="3022" w:type="dxa"/>
          </w:tcPr>
          <w:p w:rsidR="00006B36" w:rsidRPr="002D54B4" w:rsidRDefault="00006B36" w:rsidP="0059511C">
            <w:pPr>
              <w:rPr>
                <w:rFonts w:ascii="Arial" w:hAnsi="Arial" w:cs="Arial"/>
                <w:color w:val="0D0D0D" w:themeColor="text1" w:themeTint="F2"/>
                <w:sz w:val="20"/>
                <w:szCs w:val="20"/>
              </w:rPr>
            </w:pPr>
            <w:r w:rsidRPr="002D54B4">
              <w:rPr>
                <w:rFonts w:ascii="Arial" w:hAnsi="Arial" w:cs="Arial"/>
                <w:color w:val="0D0D0D" w:themeColor="text1" w:themeTint="F2"/>
                <w:sz w:val="20"/>
                <w:szCs w:val="20"/>
              </w:rPr>
              <w:t>Planning Data max. ERP</w:t>
            </w:r>
            <w:r w:rsidR="00B06F52" w:rsidRPr="002D54B4">
              <w:rPr>
                <w:rFonts w:ascii="Arial" w:hAnsi="Arial" w:cs="Arial"/>
                <w:color w:val="0D0D0D" w:themeColor="text1" w:themeTint="F2"/>
                <w:sz w:val="20"/>
                <w:szCs w:val="20"/>
              </w:rPr>
              <w:t xml:space="preserve"> for operating services</w:t>
            </w:r>
          </w:p>
        </w:tc>
      </w:tr>
      <w:tr w:rsidR="00700BB9" w:rsidRPr="002D54B4" w:rsidTr="006730C9">
        <w:trPr>
          <w:cantSplit/>
          <w:tblHeader/>
        </w:trPr>
        <w:tc>
          <w:tcPr>
            <w:tcW w:w="3254" w:type="dxa"/>
          </w:tcPr>
          <w:p w:rsidR="00700BB9" w:rsidRPr="002D54B4" w:rsidRDefault="008E3D1E" w:rsidP="0059511C">
            <w:pPr>
              <w:rPr>
                <w:rFonts w:ascii="Arial" w:hAnsi="Arial" w:cs="Arial"/>
                <w:color w:val="0D0D0D" w:themeColor="text1" w:themeTint="F2"/>
                <w:sz w:val="20"/>
                <w:szCs w:val="20"/>
              </w:rPr>
            </w:pPr>
            <w:r w:rsidRPr="002D54B4">
              <w:rPr>
                <w:rFonts w:ascii="Arial" w:hAnsi="Arial" w:cs="Arial"/>
                <w:color w:val="0D0D0D" w:themeColor="text1" w:themeTint="F2"/>
                <w:sz w:val="20"/>
                <w:szCs w:val="20"/>
              </w:rPr>
              <w:t>Minimum m</w:t>
            </w:r>
            <w:r w:rsidR="00700BB9" w:rsidRPr="002D54B4">
              <w:rPr>
                <w:rFonts w:ascii="Arial" w:hAnsi="Arial" w:cs="Arial"/>
                <w:color w:val="0D0D0D" w:themeColor="text1" w:themeTint="F2"/>
                <w:sz w:val="20"/>
                <w:szCs w:val="20"/>
              </w:rPr>
              <w:t xml:space="preserve">edian field strength </w:t>
            </w:r>
            <w:r w:rsidR="002753A9" w:rsidRPr="002D54B4">
              <w:rPr>
                <w:rFonts w:ascii="Arial" w:hAnsi="Arial" w:cs="Arial"/>
                <w:color w:val="0D0D0D" w:themeColor="text1" w:themeTint="F2"/>
                <w:sz w:val="20"/>
                <w:szCs w:val="20"/>
              </w:rPr>
              <w:t>(@ 10m) at coverage edge</w:t>
            </w:r>
            <w:r w:rsidR="00B06F52" w:rsidRPr="002D54B4">
              <w:rPr>
                <w:rFonts w:ascii="Arial" w:hAnsi="Arial" w:cs="Arial"/>
                <w:color w:val="0D0D0D" w:themeColor="text1" w:themeTint="F2"/>
                <w:sz w:val="20"/>
                <w:szCs w:val="20"/>
              </w:rPr>
              <w:t xml:space="preserve"> to protect 80% of locations</w:t>
            </w:r>
          </w:p>
        </w:tc>
        <w:tc>
          <w:tcPr>
            <w:tcW w:w="6043" w:type="dxa"/>
            <w:gridSpan w:val="2"/>
          </w:tcPr>
          <w:p w:rsidR="00700BB9" w:rsidRPr="002D54B4" w:rsidRDefault="008E3D1E" w:rsidP="00A11B2F">
            <w:pPr>
              <w:rPr>
                <w:rFonts w:ascii="Arial" w:hAnsi="Arial" w:cs="Arial"/>
                <w:color w:val="0D0D0D" w:themeColor="text1" w:themeTint="F2"/>
                <w:sz w:val="20"/>
                <w:szCs w:val="20"/>
              </w:rPr>
            </w:pPr>
            <w:r w:rsidRPr="002D54B4">
              <w:rPr>
                <w:rFonts w:ascii="Arial" w:hAnsi="Arial" w:cs="Arial"/>
                <w:color w:val="0D0D0D" w:themeColor="text1" w:themeTint="F2"/>
                <w:sz w:val="20"/>
                <w:szCs w:val="20"/>
              </w:rPr>
              <w:t xml:space="preserve">54 </w:t>
            </w:r>
            <w:proofErr w:type="spellStart"/>
            <w:r w:rsidRPr="002D54B4">
              <w:rPr>
                <w:rFonts w:ascii="Arial" w:hAnsi="Arial" w:cs="Arial"/>
                <w:color w:val="0D0D0D" w:themeColor="text1" w:themeTint="F2"/>
                <w:sz w:val="20"/>
                <w:szCs w:val="20"/>
              </w:rPr>
              <w:t>dBuV</w:t>
            </w:r>
            <w:proofErr w:type="spellEnd"/>
            <w:r w:rsidRPr="002D54B4">
              <w:rPr>
                <w:rFonts w:ascii="Arial" w:hAnsi="Arial" w:cs="Arial"/>
                <w:color w:val="0D0D0D" w:themeColor="text1" w:themeTint="F2"/>
                <w:sz w:val="20"/>
                <w:szCs w:val="20"/>
              </w:rPr>
              <w:t>/m</w:t>
            </w:r>
          </w:p>
        </w:tc>
      </w:tr>
      <w:tr w:rsidR="00700BB9" w:rsidRPr="002D54B4" w:rsidTr="006730C9">
        <w:trPr>
          <w:cantSplit/>
          <w:tblHeader/>
        </w:trPr>
        <w:tc>
          <w:tcPr>
            <w:tcW w:w="3254" w:type="dxa"/>
          </w:tcPr>
          <w:p w:rsidR="00700BB9" w:rsidRPr="002D54B4" w:rsidRDefault="00700BB9" w:rsidP="0059511C">
            <w:pPr>
              <w:rPr>
                <w:rFonts w:ascii="Arial" w:hAnsi="Arial" w:cs="Arial"/>
                <w:color w:val="0D0D0D" w:themeColor="text1" w:themeTint="F2"/>
                <w:sz w:val="20"/>
                <w:szCs w:val="20"/>
              </w:rPr>
            </w:pPr>
            <w:r w:rsidRPr="002D54B4">
              <w:rPr>
                <w:rFonts w:ascii="Arial" w:hAnsi="Arial" w:cs="Arial"/>
                <w:color w:val="0D0D0D" w:themeColor="text1" w:themeTint="F2"/>
                <w:sz w:val="20"/>
                <w:szCs w:val="20"/>
              </w:rPr>
              <w:t>Propagation prediction model</w:t>
            </w:r>
          </w:p>
        </w:tc>
        <w:tc>
          <w:tcPr>
            <w:tcW w:w="6043" w:type="dxa"/>
            <w:gridSpan w:val="2"/>
          </w:tcPr>
          <w:p w:rsidR="00700BB9" w:rsidRPr="002D54B4" w:rsidRDefault="002753A9" w:rsidP="0059511C">
            <w:pPr>
              <w:rPr>
                <w:rFonts w:ascii="Arial" w:hAnsi="Arial" w:cs="Arial"/>
                <w:color w:val="0D0D0D" w:themeColor="text1" w:themeTint="F2"/>
                <w:sz w:val="20"/>
                <w:szCs w:val="20"/>
              </w:rPr>
            </w:pPr>
            <w:r w:rsidRPr="002D54B4">
              <w:rPr>
                <w:rFonts w:ascii="Arial" w:hAnsi="Arial" w:cs="Arial"/>
                <w:color w:val="0D0D0D" w:themeColor="text1" w:themeTint="F2"/>
                <w:sz w:val="20"/>
                <w:szCs w:val="20"/>
              </w:rPr>
              <w:t>CRC Predict</w:t>
            </w:r>
            <w:r w:rsidR="00AB4839" w:rsidRPr="002D54B4">
              <w:rPr>
                <w:rStyle w:val="FootnoteReference"/>
                <w:rFonts w:ascii="Arial" w:hAnsi="Arial" w:cs="Arial"/>
                <w:color w:val="0D0D0D" w:themeColor="text1" w:themeTint="F2"/>
                <w:sz w:val="20"/>
                <w:szCs w:val="20"/>
              </w:rPr>
              <w:footnoteReference w:id="2"/>
            </w:r>
          </w:p>
        </w:tc>
      </w:tr>
      <w:tr w:rsidR="00A14727" w:rsidRPr="002D54B4" w:rsidTr="006730C9">
        <w:trPr>
          <w:cantSplit/>
          <w:tblHeader/>
        </w:trPr>
        <w:tc>
          <w:tcPr>
            <w:tcW w:w="3254" w:type="dxa"/>
          </w:tcPr>
          <w:p w:rsidR="00A14727" w:rsidRPr="002D54B4" w:rsidRDefault="00A14727" w:rsidP="0059511C">
            <w:pPr>
              <w:rPr>
                <w:rFonts w:ascii="Arial" w:hAnsi="Arial" w:cs="Arial"/>
                <w:color w:val="0D0D0D" w:themeColor="text1" w:themeTint="F2"/>
                <w:sz w:val="20"/>
                <w:szCs w:val="20"/>
              </w:rPr>
            </w:pPr>
            <w:r w:rsidRPr="002D54B4">
              <w:rPr>
                <w:rFonts w:ascii="Arial" w:hAnsi="Arial" w:cs="Arial"/>
                <w:color w:val="0D0D0D" w:themeColor="text1" w:themeTint="F2"/>
                <w:sz w:val="20"/>
                <w:szCs w:val="20"/>
              </w:rPr>
              <w:t>Time percentage</w:t>
            </w:r>
          </w:p>
        </w:tc>
        <w:tc>
          <w:tcPr>
            <w:tcW w:w="6043" w:type="dxa"/>
            <w:gridSpan w:val="2"/>
          </w:tcPr>
          <w:p w:rsidR="00A14727" w:rsidRPr="002D54B4" w:rsidRDefault="00A14727" w:rsidP="0059511C">
            <w:pPr>
              <w:rPr>
                <w:rFonts w:ascii="Arial" w:hAnsi="Arial" w:cs="Arial"/>
                <w:color w:val="0D0D0D" w:themeColor="text1" w:themeTint="F2"/>
                <w:sz w:val="20"/>
                <w:szCs w:val="20"/>
              </w:rPr>
            </w:pPr>
            <w:r w:rsidRPr="002D54B4">
              <w:rPr>
                <w:rFonts w:ascii="Arial" w:hAnsi="Arial" w:cs="Arial"/>
                <w:color w:val="0D0D0D" w:themeColor="text1" w:themeTint="F2"/>
                <w:sz w:val="20"/>
                <w:szCs w:val="20"/>
              </w:rPr>
              <w:t>50%</w:t>
            </w:r>
          </w:p>
        </w:tc>
      </w:tr>
      <w:tr w:rsidR="00B06F52" w:rsidRPr="002D54B4" w:rsidTr="006730C9">
        <w:trPr>
          <w:cantSplit/>
          <w:tblHeader/>
        </w:trPr>
        <w:tc>
          <w:tcPr>
            <w:tcW w:w="3254" w:type="dxa"/>
          </w:tcPr>
          <w:p w:rsidR="00B06F52" w:rsidRPr="002D54B4" w:rsidRDefault="00B06F52" w:rsidP="0059511C">
            <w:pPr>
              <w:rPr>
                <w:rFonts w:ascii="Arial" w:hAnsi="Arial" w:cs="Arial"/>
                <w:color w:val="0D0D0D" w:themeColor="text1" w:themeTint="F2"/>
                <w:sz w:val="20"/>
                <w:szCs w:val="20"/>
              </w:rPr>
            </w:pPr>
            <w:r w:rsidRPr="002D54B4">
              <w:rPr>
                <w:rFonts w:ascii="Arial" w:hAnsi="Arial" w:cs="Arial"/>
                <w:color w:val="0D0D0D" w:themeColor="text1" w:themeTint="F2"/>
                <w:sz w:val="20"/>
                <w:szCs w:val="20"/>
              </w:rPr>
              <w:t>Location percentage</w:t>
            </w:r>
          </w:p>
        </w:tc>
        <w:tc>
          <w:tcPr>
            <w:tcW w:w="6043" w:type="dxa"/>
            <w:gridSpan w:val="2"/>
          </w:tcPr>
          <w:p w:rsidR="00B06F52" w:rsidRPr="002D54B4" w:rsidRDefault="00B06F52" w:rsidP="0059511C">
            <w:pPr>
              <w:rPr>
                <w:rFonts w:ascii="Arial" w:hAnsi="Arial" w:cs="Arial"/>
                <w:color w:val="0D0D0D" w:themeColor="text1" w:themeTint="F2"/>
                <w:sz w:val="20"/>
                <w:szCs w:val="20"/>
              </w:rPr>
            </w:pPr>
            <w:r w:rsidRPr="002D54B4">
              <w:rPr>
                <w:rFonts w:ascii="Arial" w:hAnsi="Arial" w:cs="Arial"/>
                <w:color w:val="0D0D0D" w:themeColor="text1" w:themeTint="F2"/>
                <w:sz w:val="20"/>
                <w:szCs w:val="20"/>
              </w:rPr>
              <w:t>50 %</w:t>
            </w:r>
            <w:r w:rsidRPr="002D54B4">
              <w:rPr>
                <w:rStyle w:val="FootnoteReference"/>
                <w:rFonts w:ascii="Arial" w:hAnsi="Arial" w:cs="Arial"/>
                <w:color w:val="0D0D0D" w:themeColor="text1" w:themeTint="F2"/>
                <w:sz w:val="20"/>
                <w:szCs w:val="20"/>
              </w:rPr>
              <w:footnoteReference w:id="3"/>
            </w:r>
          </w:p>
        </w:tc>
      </w:tr>
      <w:tr w:rsidR="00700BB9" w:rsidRPr="002D54B4" w:rsidTr="006730C9">
        <w:trPr>
          <w:cantSplit/>
          <w:tblHeader/>
        </w:trPr>
        <w:tc>
          <w:tcPr>
            <w:tcW w:w="3254" w:type="dxa"/>
          </w:tcPr>
          <w:p w:rsidR="00700BB9" w:rsidRPr="002D54B4" w:rsidRDefault="00700BB9" w:rsidP="0059511C">
            <w:pPr>
              <w:rPr>
                <w:rFonts w:ascii="Arial" w:hAnsi="Arial" w:cs="Arial"/>
                <w:color w:val="0D0D0D" w:themeColor="text1" w:themeTint="F2"/>
                <w:sz w:val="20"/>
                <w:szCs w:val="20"/>
              </w:rPr>
            </w:pPr>
            <w:r w:rsidRPr="002D54B4">
              <w:rPr>
                <w:rFonts w:ascii="Arial" w:hAnsi="Arial" w:cs="Arial"/>
                <w:color w:val="0D0D0D" w:themeColor="text1" w:themeTint="F2"/>
                <w:sz w:val="20"/>
                <w:szCs w:val="20"/>
              </w:rPr>
              <w:t>Digital elevation model</w:t>
            </w:r>
          </w:p>
        </w:tc>
        <w:tc>
          <w:tcPr>
            <w:tcW w:w="6043" w:type="dxa"/>
            <w:gridSpan w:val="2"/>
          </w:tcPr>
          <w:p w:rsidR="00700BB9" w:rsidRPr="002D54B4" w:rsidRDefault="008E3D1E" w:rsidP="0059511C">
            <w:pPr>
              <w:rPr>
                <w:rFonts w:ascii="Arial" w:hAnsi="Arial" w:cs="Arial"/>
                <w:color w:val="0D0D0D" w:themeColor="text1" w:themeTint="F2"/>
                <w:sz w:val="20"/>
                <w:szCs w:val="20"/>
              </w:rPr>
            </w:pPr>
            <w:r w:rsidRPr="002D54B4">
              <w:rPr>
                <w:rFonts w:ascii="Arial" w:hAnsi="Arial" w:cs="Arial"/>
                <w:color w:val="0D0D0D" w:themeColor="text1" w:themeTint="F2"/>
                <w:sz w:val="20"/>
                <w:szCs w:val="20"/>
              </w:rPr>
              <w:t>SRTM DEM (3 second resolution)</w:t>
            </w:r>
          </w:p>
        </w:tc>
      </w:tr>
      <w:tr w:rsidR="00EE6811" w:rsidRPr="002D54B4" w:rsidTr="006730C9">
        <w:trPr>
          <w:cantSplit/>
          <w:tblHeader/>
        </w:trPr>
        <w:tc>
          <w:tcPr>
            <w:tcW w:w="3254" w:type="dxa"/>
          </w:tcPr>
          <w:p w:rsidR="00EE6811" w:rsidRPr="002D54B4" w:rsidRDefault="00EE6811" w:rsidP="0059511C">
            <w:pPr>
              <w:rPr>
                <w:rFonts w:ascii="Arial" w:hAnsi="Arial" w:cs="Arial"/>
                <w:color w:val="0D0D0D" w:themeColor="text1" w:themeTint="F2"/>
                <w:sz w:val="20"/>
                <w:szCs w:val="20"/>
              </w:rPr>
            </w:pPr>
            <w:r w:rsidRPr="002D54B4">
              <w:rPr>
                <w:rFonts w:ascii="Arial" w:hAnsi="Arial" w:cs="Arial"/>
                <w:color w:val="0D0D0D" w:themeColor="text1" w:themeTint="F2"/>
                <w:sz w:val="20"/>
                <w:szCs w:val="20"/>
              </w:rPr>
              <w:t>Clutter data</w:t>
            </w:r>
          </w:p>
        </w:tc>
        <w:tc>
          <w:tcPr>
            <w:tcW w:w="6043" w:type="dxa"/>
            <w:gridSpan w:val="2"/>
          </w:tcPr>
          <w:p w:rsidR="00EE6811" w:rsidRPr="002D54B4" w:rsidRDefault="00EE6811" w:rsidP="0059511C">
            <w:pPr>
              <w:rPr>
                <w:rFonts w:ascii="Arial" w:hAnsi="Arial" w:cs="Arial"/>
                <w:color w:val="0D0D0D" w:themeColor="text1" w:themeTint="F2"/>
                <w:sz w:val="20"/>
                <w:szCs w:val="20"/>
              </w:rPr>
            </w:pPr>
            <w:r w:rsidRPr="002D54B4">
              <w:rPr>
                <w:rFonts w:ascii="Arial" w:hAnsi="Arial" w:cs="Arial"/>
                <w:color w:val="0D0D0D" w:themeColor="text1" w:themeTint="F2"/>
                <w:sz w:val="20"/>
                <w:szCs w:val="20"/>
              </w:rPr>
              <w:t>Not included</w:t>
            </w:r>
          </w:p>
        </w:tc>
      </w:tr>
      <w:tr w:rsidR="00700BB9" w:rsidRPr="002D54B4" w:rsidTr="006730C9">
        <w:trPr>
          <w:cantSplit/>
          <w:tblHeader/>
        </w:trPr>
        <w:tc>
          <w:tcPr>
            <w:tcW w:w="3254" w:type="dxa"/>
          </w:tcPr>
          <w:p w:rsidR="00700BB9" w:rsidRPr="002D54B4" w:rsidRDefault="00700BB9" w:rsidP="0059511C">
            <w:pPr>
              <w:rPr>
                <w:rFonts w:ascii="Arial" w:hAnsi="Arial" w:cs="Arial"/>
                <w:color w:val="0D0D0D" w:themeColor="text1" w:themeTint="F2"/>
                <w:sz w:val="20"/>
                <w:szCs w:val="20"/>
              </w:rPr>
            </w:pPr>
            <w:r w:rsidRPr="002D54B4">
              <w:rPr>
                <w:rFonts w:ascii="Arial" w:hAnsi="Arial" w:cs="Arial"/>
                <w:color w:val="0D0D0D" w:themeColor="text1" w:themeTint="F2"/>
                <w:sz w:val="20"/>
                <w:szCs w:val="20"/>
              </w:rPr>
              <w:t>Out-of-licence area coverage</w:t>
            </w:r>
          </w:p>
        </w:tc>
        <w:tc>
          <w:tcPr>
            <w:tcW w:w="6043" w:type="dxa"/>
            <w:gridSpan w:val="2"/>
          </w:tcPr>
          <w:p w:rsidR="00700BB9" w:rsidRPr="002D54B4" w:rsidRDefault="00700BB9" w:rsidP="0059511C">
            <w:pPr>
              <w:rPr>
                <w:rFonts w:ascii="Arial" w:hAnsi="Arial" w:cs="Arial"/>
                <w:color w:val="0D0D0D" w:themeColor="text1" w:themeTint="F2"/>
                <w:sz w:val="20"/>
                <w:szCs w:val="20"/>
              </w:rPr>
            </w:pPr>
            <w:r w:rsidRPr="002D54B4">
              <w:rPr>
                <w:rFonts w:ascii="Arial" w:hAnsi="Arial" w:cs="Arial"/>
                <w:color w:val="0D0D0D" w:themeColor="text1" w:themeTint="F2"/>
                <w:sz w:val="20"/>
                <w:szCs w:val="20"/>
              </w:rPr>
              <w:t>Only include locations within the intended licence area (i.e. out-of-area licence area rec</w:t>
            </w:r>
            <w:r w:rsidR="003A74B3">
              <w:rPr>
                <w:rFonts w:ascii="Arial" w:hAnsi="Arial" w:cs="Arial"/>
                <w:color w:val="0D0D0D" w:themeColor="text1" w:themeTint="F2"/>
                <w:sz w:val="20"/>
                <w:szCs w:val="20"/>
              </w:rPr>
              <w:t>eption will not be protected).</w:t>
            </w:r>
          </w:p>
        </w:tc>
      </w:tr>
      <w:tr w:rsidR="006362CE" w:rsidRPr="002D54B4" w:rsidTr="00E6401A">
        <w:trPr>
          <w:cantSplit/>
          <w:tblHeader/>
        </w:trPr>
        <w:tc>
          <w:tcPr>
            <w:tcW w:w="3254" w:type="dxa"/>
            <w:tcBorders>
              <w:bottom w:val="single" w:sz="4" w:space="0" w:color="000000" w:themeColor="text1"/>
            </w:tcBorders>
          </w:tcPr>
          <w:p w:rsidR="006362CE" w:rsidRPr="002D54B4" w:rsidRDefault="008E3D1E" w:rsidP="006362CE">
            <w:pPr>
              <w:rPr>
                <w:rFonts w:ascii="Arial" w:hAnsi="Arial" w:cs="Arial"/>
                <w:color w:val="0D0D0D" w:themeColor="text1" w:themeTint="F2"/>
                <w:sz w:val="20"/>
                <w:szCs w:val="20"/>
              </w:rPr>
            </w:pPr>
            <w:r w:rsidRPr="002D54B4">
              <w:rPr>
                <w:rFonts w:ascii="Arial" w:hAnsi="Arial" w:cs="Arial"/>
                <w:color w:val="0D0D0D" w:themeColor="text1" w:themeTint="F2"/>
                <w:sz w:val="20"/>
                <w:szCs w:val="20"/>
              </w:rPr>
              <w:lastRenderedPageBreak/>
              <w:t>Coverage area boundary</w:t>
            </w:r>
          </w:p>
        </w:tc>
        <w:tc>
          <w:tcPr>
            <w:tcW w:w="3021" w:type="dxa"/>
            <w:tcBorders>
              <w:bottom w:val="single" w:sz="4" w:space="0" w:color="000000" w:themeColor="text1"/>
            </w:tcBorders>
          </w:tcPr>
          <w:p w:rsidR="006362CE" w:rsidRPr="002D54B4" w:rsidRDefault="007E112C" w:rsidP="002C3537">
            <w:pPr>
              <w:rPr>
                <w:rFonts w:ascii="Arial" w:hAnsi="Arial" w:cs="Arial"/>
                <w:color w:val="0D0D0D" w:themeColor="text1" w:themeTint="F2"/>
                <w:sz w:val="20"/>
                <w:szCs w:val="20"/>
              </w:rPr>
            </w:pPr>
            <w:r w:rsidRPr="002D54B4">
              <w:rPr>
                <w:rFonts w:ascii="Arial" w:hAnsi="Arial" w:cs="Arial"/>
                <w:color w:val="0D0D0D" w:themeColor="text1" w:themeTint="F2"/>
                <w:sz w:val="20"/>
                <w:szCs w:val="20"/>
              </w:rPr>
              <w:t xml:space="preserve">Coverage edge at minimum median field strength—unless </w:t>
            </w:r>
            <w:proofErr w:type="gramStart"/>
            <w:r w:rsidRPr="002D54B4">
              <w:rPr>
                <w:rFonts w:ascii="Arial" w:hAnsi="Arial" w:cs="Arial"/>
                <w:color w:val="0D0D0D" w:themeColor="text1" w:themeTint="F2"/>
                <w:sz w:val="20"/>
                <w:szCs w:val="20"/>
              </w:rPr>
              <w:t>a higher</w:t>
            </w:r>
            <w:proofErr w:type="gramEnd"/>
            <w:r w:rsidRPr="002D54B4">
              <w:rPr>
                <w:rFonts w:ascii="Arial" w:hAnsi="Arial" w:cs="Arial"/>
                <w:color w:val="0D0D0D" w:themeColor="text1" w:themeTint="F2"/>
                <w:sz w:val="20"/>
                <w:szCs w:val="20"/>
              </w:rPr>
              <w:t xml:space="preserve"> field strength (relative to the planning threshold for that band) is provided by another DTV service. </w:t>
            </w:r>
            <w:proofErr w:type="gramStart"/>
            <w:r w:rsidRPr="002D54B4">
              <w:rPr>
                <w:rFonts w:ascii="Arial" w:hAnsi="Arial" w:cs="Arial"/>
                <w:color w:val="0D0D0D" w:themeColor="text1" w:themeTint="F2"/>
                <w:sz w:val="20"/>
                <w:szCs w:val="20"/>
              </w:rPr>
              <w:t>i.e</w:t>
            </w:r>
            <w:proofErr w:type="gramEnd"/>
            <w:r w:rsidRPr="002D54B4">
              <w:rPr>
                <w:rFonts w:ascii="Arial" w:hAnsi="Arial" w:cs="Arial"/>
                <w:color w:val="0D0D0D" w:themeColor="text1" w:themeTint="F2"/>
                <w:sz w:val="20"/>
                <w:szCs w:val="20"/>
              </w:rPr>
              <w:t xml:space="preserve">. a maximum server </w:t>
            </w:r>
            <w:r w:rsidR="002C3537" w:rsidRPr="002D54B4">
              <w:rPr>
                <w:rFonts w:ascii="Arial" w:hAnsi="Arial" w:cs="Arial"/>
                <w:color w:val="0D0D0D" w:themeColor="text1" w:themeTint="F2"/>
                <w:sz w:val="20"/>
                <w:szCs w:val="20"/>
              </w:rPr>
              <w:t xml:space="preserve">prediction </w:t>
            </w:r>
            <w:r w:rsidRPr="002D54B4">
              <w:rPr>
                <w:rFonts w:ascii="Arial" w:hAnsi="Arial" w:cs="Arial"/>
                <w:color w:val="0D0D0D" w:themeColor="text1" w:themeTint="F2"/>
                <w:sz w:val="20"/>
                <w:szCs w:val="20"/>
              </w:rPr>
              <w:t>analysis is used to determine the coverage area.</w:t>
            </w:r>
          </w:p>
        </w:tc>
        <w:tc>
          <w:tcPr>
            <w:tcW w:w="3022" w:type="dxa"/>
            <w:tcBorders>
              <w:bottom w:val="single" w:sz="4" w:space="0" w:color="000000" w:themeColor="text1"/>
            </w:tcBorders>
          </w:tcPr>
          <w:p w:rsidR="004745A7" w:rsidRPr="002D54B4" w:rsidRDefault="002753A9" w:rsidP="003A74B3">
            <w:pPr>
              <w:rPr>
                <w:rFonts w:ascii="Arial" w:hAnsi="Arial" w:cs="Arial"/>
                <w:color w:val="0D0D0D" w:themeColor="text1" w:themeTint="F2"/>
                <w:sz w:val="20"/>
                <w:szCs w:val="20"/>
              </w:rPr>
            </w:pPr>
            <w:r w:rsidRPr="002D54B4">
              <w:rPr>
                <w:rFonts w:ascii="Arial" w:hAnsi="Arial" w:cs="Arial"/>
                <w:color w:val="0D0D0D" w:themeColor="text1" w:themeTint="F2"/>
                <w:sz w:val="20"/>
                <w:szCs w:val="20"/>
              </w:rPr>
              <w:t>Coverage edge at minimum median field strength</w:t>
            </w:r>
            <w:r w:rsidR="00EE6811" w:rsidRPr="002D54B4">
              <w:rPr>
                <w:rFonts w:ascii="Arial" w:hAnsi="Arial" w:cs="Arial"/>
                <w:color w:val="0D0D0D" w:themeColor="text1" w:themeTint="F2"/>
                <w:sz w:val="20"/>
                <w:szCs w:val="20"/>
              </w:rPr>
              <w:t>—</w:t>
            </w:r>
            <w:r w:rsidR="00C70AE1" w:rsidRPr="002D54B4">
              <w:rPr>
                <w:rFonts w:ascii="Arial" w:hAnsi="Arial" w:cs="Arial"/>
                <w:color w:val="0D0D0D" w:themeColor="text1" w:themeTint="F2"/>
                <w:sz w:val="20"/>
                <w:szCs w:val="20"/>
              </w:rPr>
              <w:t>unless Planning Data includes an Advisory Note (or similar) with another value (e.g. 67 dBµV/m)</w:t>
            </w:r>
            <w:r w:rsidR="00EE6811" w:rsidRPr="002D54B4">
              <w:rPr>
                <w:rFonts w:ascii="Arial" w:hAnsi="Arial" w:cs="Arial"/>
                <w:color w:val="0D0D0D" w:themeColor="text1" w:themeTint="F2"/>
                <w:sz w:val="20"/>
                <w:szCs w:val="20"/>
              </w:rPr>
              <w:t>.</w:t>
            </w:r>
          </w:p>
        </w:tc>
      </w:tr>
      <w:tr w:rsidR="00E6401A" w:rsidRPr="002D54B4" w:rsidTr="00E6401A">
        <w:trPr>
          <w:cantSplit/>
          <w:trHeight w:val="289"/>
          <w:tblHeader/>
        </w:trPr>
        <w:tc>
          <w:tcPr>
            <w:tcW w:w="3254" w:type="dxa"/>
            <w:tcBorders>
              <w:left w:val="nil"/>
              <w:right w:val="nil"/>
            </w:tcBorders>
          </w:tcPr>
          <w:p w:rsidR="00E6401A" w:rsidRPr="002D54B4" w:rsidRDefault="00E6401A" w:rsidP="006362CE">
            <w:pPr>
              <w:rPr>
                <w:rFonts w:ascii="Arial" w:hAnsi="Arial" w:cs="Arial"/>
                <w:color w:val="0D0D0D" w:themeColor="text1" w:themeTint="F2"/>
                <w:sz w:val="20"/>
                <w:szCs w:val="20"/>
              </w:rPr>
            </w:pPr>
          </w:p>
        </w:tc>
        <w:tc>
          <w:tcPr>
            <w:tcW w:w="3021" w:type="dxa"/>
            <w:tcBorders>
              <w:left w:val="nil"/>
              <w:right w:val="nil"/>
            </w:tcBorders>
          </w:tcPr>
          <w:p w:rsidR="00E6401A" w:rsidRPr="002D54B4" w:rsidRDefault="00E6401A" w:rsidP="002C3537">
            <w:pPr>
              <w:rPr>
                <w:rFonts w:ascii="Arial" w:hAnsi="Arial" w:cs="Arial"/>
                <w:color w:val="0D0D0D" w:themeColor="text1" w:themeTint="F2"/>
                <w:sz w:val="20"/>
                <w:szCs w:val="20"/>
              </w:rPr>
            </w:pPr>
          </w:p>
        </w:tc>
        <w:tc>
          <w:tcPr>
            <w:tcW w:w="3022" w:type="dxa"/>
            <w:tcBorders>
              <w:left w:val="nil"/>
              <w:right w:val="nil"/>
            </w:tcBorders>
          </w:tcPr>
          <w:p w:rsidR="00E6401A" w:rsidRPr="002D54B4" w:rsidRDefault="00E6401A" w:rsidP="003A74B3">
            <w:pPr>
              <w:rPr>
                <w:rFonts w:ascii="Arial" w:hAnsi="Arial" w:cs="Arial"/>
                <w:color w:val="0D0D0D" w:themeColor="text1" w:themeTint="F2"/>
                <w:sz w:val="20"/>
                <w:szCs w:val="20"/>
              </w:rPr>
            </w:pPr>
          </w:p>
        </w:tc>
      </w:tr>
    </w:tbl>
    <w:p w:rsidR="003A74B3" w:rsidRDefault="003A74B3">
      <w:pPr>
        <w:rPr>
          <w:rFonts w:ascii="Arial" w:hAnsi="Arial" w:cs="Arial"/>
          <w:color w:val="0D0D0D" w:themeColor="text1" w:themeTint="F2"/>
          <w:sz w:val="20"/>
          <w:szCs w:val="20"/>
        </w:rPr>
      </w:pPr>
    </w:p>
    <w:p w:rsidR="002D54B4" w:rsidRDefault="0019697D">
      <w:pPr>
        <w:rPr>
          <w:rFonts w:ascii="Arial" w:hAnsi="Arial" w:cs="Arial"/>
          <w:color w:val="0D0D0D" w:themeColor="text1" w:themeTint="F2"/>
        </w:rPr>
      </w:pPr>
      <w:r w:rsidRPr="003A74B3">
        <w:rPr>
          <w:rFonts w:ascii="Arial" w:hAnsi="Arial" w:cs="Arial"/>
          <w:b/>
          <w:color w:val="0D0D0D" w:themeColor="text1" w:themeTint="F2"/>
          <w:sz w:val="20"/>
          <w:szCs w:val="20"/>
        </w:rPr>
        <w:t>NOTE</w:t>
      </w:r>
      <w:r w:rsidR="003A74B3">
        <w:rPr>
          <w:rFonts w:ascii="Arial" w:hAnsi="Arial" w:cs="Arial"/>
          <w:color w:val="0D0D0D" w:themeColor="text1" w:themeTint="F2"/>
          <w:sz w:val="20"/>
          <w:szCs w:val="20"/>
        </w:rPr>
        <w:t xml:space="preserve">: </w:t>
      </w:r>
      <w:r w:rsidRPr="002D54B4">
        <w:rPr>
          <w:rFonts w:ascii="Arial" w:hAnsi="Arial" w:cs="Arial"/>
          <w:color w:val="0D0D0D" w:themeColor="text1" w:themeTint="F2"/>
          <w:sz w:val="20"/>
          <w:szCs w:val="20"/>
        </w:rPr>
        <w:t xml:space="preserve">For an explanation of Television Licence Area Plans (TLAPs) and the associated Planning Data, see Annex </w:t>
      </w:r>
      <w:r w:rsidR="00097747" w:rsidRPr="002D54B4">
        <w:rPr>
          <w:rFonts w:ascii="Arial" w:hAnsi="Arial" w:cs="Arial"/>
          <w:color w:val="0D0D0D" w:themeColor="text1" w:themeTint="F2"/>
          <w:sz w:val="20"/>
          <w:szCs w:val="20"/>
        </w:rPr>
        <w:t>A</w:t>
      </w:r>
      <w:r w:rsidRPr="002D54B4">
        <w:rPr>
          <w:rFonts w:ascii="Arial" w:hAnsi="Arial" w:cs="Arial"/>
          <w:color w:val="0D0D0D" w:themeColor="text1" w:themeTint="F2"/>
          <w:sz w:val="20"/>
          <w:szCs w:val="20"/>
        </w:rPr>
        <w:t>.</w:t>
      </w:r>
    </w:p>
    <w:p w:rsidR="002753A9" w:rsidRPr="002D54B4" w:rsidRDefault="00137DE5" w:rsidP="002753A9">
      <w:pPr>
        <w:pStyle w:val="Heading2"/>
        <w:numPr>
          <w:ilvl w:val="0"/>
          <w:numId w:val="5"/>
        </w:numPr>
        <w:rPr>
          <w:rFonts w:ascii="Arial" w:hAnsi="Arial" w:cs="Arial"/>
          <w:color w:val="0D0D0D" w:themeColor="text1" w:themeTint="F2"/>
        </w:rPr>
      </w:pPr>
      <w:r w:rsidRPr="002D54B4">
        <w:rPr>
          <w:rFonts w:ascii="Arial" w:hAnsi="Arial" w:cs="Arial"/>
          <w:color w:val="0D0D0D" w:themeColor="text1" w:themeTint="F2"/>
        </w:rPr>
        <w:t>Geographical separation distance requirement</w:t>
      </w:r>
      <w:proofErr w:type="gramStart"/>
      <w:r w:rsidR="001F05D0" w:rsidRPr="002D54B4">
        <w:rPr>
          <w:rFonts w:ascii="Arial" w:hAnsi="Arial" w:cs="Arial"/>
          <w:color w:val="0D0D0D" w:themeColor="text1" w:themeTint="F2"/>
        </w:rPr>
        <w:t>:</w:t>
      </w:r>
      <w:proofErr w:type="gramEnd"/>
      <w:r w:rsidR="001F05D0" w:rsidRPr="002D54B4">
        <w:rPr>
          <w:rFonts w:ascii="Arial" w:hAnsi="Arial" w:cs="Arial"/>
          <w:color w:val="0D0D0D" w:themeColor="text1" w:themeTint="F2"/>
        </w:rPr>
        <w:br/>
        <w:t>Incumbent DTV services in the 700 MHz band</w:t>
      </w:r>
    </w:p>
    <w:p w:rsidR="002753A9" w:rsidRPr="002D54B4" w:rsidRDefault="00D72BAE" w:rsidP="002D54B4">
      <w:pPr>
        <w:pStyle w:val="Heading3"/>
        <w:numPr>
          <w:ilvl w:val="1"/>
          <w:numId w:val="5"/>
        </w:numPr>
        <w:ind w:left="0" w:hanging="66"/>
        <w:rPr>
          <w:rFonts w:ascii="Arial" w:hAnsi="Arial" w:cs="Arial"/>
          <w:color w:val="0D0D0D" w:themeColor="text1" w:themeTint="F2"/>
        </w:rPr>
      </w:pPr>
      <w:r w:rsidRPr="002D54B4">
        <w:rPr>
          <w:rFonts w:ascii="Arial" w:hAnsi="Arial" w:cs="Arial"/>
          <w:color w:val="0D0D0D" w:themeColor="text1" w:themeTint="F2"/>
        </w:rPr>
        <w:t xml:space="preserve">Protection </w:t>
      </w:r>
      <w:r w:rsidR="00A4018A" w:rsidRPr="002D54B4">
        <w:rPr>
          <w:rFonts w:ascii="Arial" w:hAnsi="Arial" w:cs="Arial"/>
          <w:color w:val="0D0D0D" w:themeColor="text1" w:themeTint="F2"/>
        </w:rPr>
        <w:t xml:space="preserve">criteria for </w:t>
      </w:r>
      <w:r w:rsidRPr="002D54B4">
        <w:rPr>
          <w:rFonts w:ascii="Arial" w:hAnsi="Arial" w:cs="Arial"/>
          <w:color w:val="0D0D0D" w:themeColor="text1" w:themeTint="F2"/>
        </w:rPr>
        <w:t>DT</w:t>
      </w:r>
      <w:r w:rsidR="00A4018A" w:rsidRPr="002D54B4">
        <w:rPr>
          <w:rFonts w:ascii="Arial" w:hAnsi="Arial" w:cs="Arial"/>
          <w:color w:val="0D0D0D" w:themeColor="text1" w:themeTint="F2"/>
        </w:rPr>
        <w:t>V</w:t>
      </w:r>
      <w:r w:rsidRPr="002D54B4">
        <w:rPr>
          <w:rFonts w:ascii="Arial" w:hAnsi="Arial" w:cs="Arial"/>
          <w:color w:val="0D0D0D" w:themeColor="text1" w:themeTint="F2"/>
        </w:rPr>
        <w:t xml:space="preserve"> services</w:t>
      </w:r>
    </w:p>
    <w:p w:rsidR="001335C8" w:rsidRDefault="00721C84" w:rsidP="00721C84">
      <w:pPr>
        <w:rPr>
          <w:rFonts w:ascii="Arial" w:hAnsi="Arial" w:cs="Arial"/>
          <w:color w:val="0D0D0D" w:themeColor="text1" w:themeTint="F2"/>
        </w:rPr>
      </w:pPr>
      <w:r w:rsidRPr="002D54B4">
        <w:rPr>
          <w:rFonts w:ascii="Arial" w:hAnsi="Arial" w:cs="Arial"/>
          <w:color w:val="0D0D0D" w:themeColor="text1" w:themeTint="F2"/>
        </w:rPr>
        <w:t xml:space="preserve">According to the procedures adopted for planning of digital terrestrial television broadcasting services in Australia, protection of </w:t>
      </w:r>
      <w:r w:rsidR="00D74706" w:rsidRPr="002D54B4">
        <w:rPr>
          <w:rFonts w:ascii="Arial" w:hAnsi="Arial" w:cs="Arial"/>
          <w:color w:val="0D0D0D" w:themeColor="text1" w:themeTint="F2"/>
        </w:rPr>
        <w:t xml:space="preserve">DTV </w:t>
      </w:r>
      <w:r w:rsidRPr="002D54B4">
        <w:rPr>
          <w:rFonts w:ascii="Arial" w:hAnsi="Arial" w:cs="Arial"/>
          <w:color w:val="0D0D0D" w:themeColor="text1" w:themeTint="F2"/>
        </w:rPr>
        <w:t xml:space="preserve">receivers is achieved by satisfying protection ratio requirements, for which the maximum permissible interfering field strength at the receiving antenna depends on the wanted field strength at the receiving antenna. In order to protect </w:t>
      </w:r>
      <w:r w:rsidR="00D74706" w:rsidRPr="002D54B4">
        <w:rPr>
          <w:rFonts w:ascii="Arial" w:hAnsi="Arial" w:cs="Arial"/>
          <w:color w:val="0D0D0D" w:themeColor="text1" w:themeTint="F2"/>
        </w:rPr>
        <w:t xml:space="preserve">DTV </w:t>
      </w:r>
      <w:r w:rsidRPr="002D54B4">
        <w:rPr>
          <w:rFonts w:ascii="Arial" w:hAnsi="Arial" w:cs="Arial"/>
          <w:color w:val="0D0D0D" w:themeColor="text1" w:themeTint="F2"/>
        </w:rPr>
        <w:t xml:space="preserve">receivers at the edge of coverage, the protection ratio must be satisfied for the minimum median field strength </w:t>
      </w:r>
      <w:proofErr w:type="spellStart"/>
      <w:r w:rsidRPr="002D54B4">
        <w:rPr>
          <w:rFonts w:ascii="Arial" w:hAnsi="Arial" w:cs="Arial"/>
          <w:i/>
          <w:color w:val="0D0D0D" w:themeColor="text1" w:themeTint="F2"/>
        </w:rPr>
        <w:t>E</w:t>
      </w:r>
      <w:r w:rsidRPr="002D54B4">
        <w:rPr>
          <w:rFonts w:ascii="Arial" w:hAnsi="Arial" w:cs="Arial"/>
          <w:i/>
          <w:color w:val="0D0D0D" w:themeColor="text1" w:themeTint="F2"/>
          <w:vertAlign w:val="subscript"/>
        </w:rPr>
        <w:t>med</w:t>
      </w:r>
      <w:proofErr w:type="spellEnd"/>
      <w:r w:rsidRPr="002D54B4">
        <w:rPr>
          <w:rFonts w:ascii="Arial" w:hAnsi="Arial" w:cs="Arial"/>
          <w:color w:val="0D0D0D" w:themeColor="text1" w:themeTint="F2"/>
        </w:rPr>
        <w:t>.</w:t>
      </w:r>
      <w:r w:rsidR="00F62CD5" w:rsidRPr="002D54B4">
        <w:rPr>
          <w:rFonts w:ascii="Arial" w:hAnsi="Arial" w:cs="Arial"/>
          <w:color w:val="0D0D0D" w:themeColor="text1" w:themeTint="F2"/>
        </w:rPr>
        <w:t xml:space="preserve"> The calculation of </w:t>
      </w:r>
      <w:proofErr w:type="spellStart"/>
      <w:r w:rsidR="00F62CD5" w:rsidRPr="002D54B4">
        <w:rPr>
          <w:rFonts w:ascii="Arial" w:hAnsi="Arial" w:cs="Arial"/>
          <w:i/>
          <w:color w:val="0D0D0D" w:themeColor="text1" w:themeTint="F2"/>
        </w:rPr>
        <w:t>E</w:t>
      </w:r>
      <w:r w:rsidR="00F62CD5" w:rsidRPr="002D54B4">
        <w:rPr>
          <w:rFonts w:ascii="Arial" w:hAnsi="Arial" w:cs="Arial"/>
          <w:i/>
          <w:color w:val="0D0D0D" w:themeColor="text1" w:themeTint="F2"/>
          <w:vertAlign w:val="subscript"/>
        </w:rPr>
        <w:t>med</w:t>
      </w:r>
      <w:proofErr w:type="spellEnd"/>
      <w:r w:rsidR="00F62CD5" w:rsidRPr="002D54B4">
        <w:rPr>
          <w:rFonts w:ascii="Arial" w:hAnsi="Arial" w:cs="Arial"/>
          <w:color w:val="0D0D0D" w:themeColor="text1" w:themeTint="F2"/>
        </w:rPr>
        <w:t xml:space="preserve"> for Band V </w:t>
      </w:r>
      <w:r w:rsidR="00D74706" w:rsidRPr="002D54B4">
        <w:rPr>
          <w:rFonts w:ascii="Arial" w:hAnsi="Arial" w:cs="Arial"/>
          <w:color w:val="0D0D0D" w:themeColor="text1" w:themeTint="F2"/>
        </w:rPr>
        <w:t xml:space="preserve">digital terrestrial television broadcasting </w:t>
      </w:r>
      <w:r w:rsidR="007721BC" w:rsidRPr="002D54B4">
        <w:rPr>
          <w:rFonts w:ascii="Arial" w:hAnsi="Arial" w:cs="Arial"/>
          <w:color w:val="0D0D0D" w:themeColor="text1" w:themeTint="F2"/>
        </w:rPr>
        <w:t>(DTTB)</w:t>
      </w:r>
      <w:r w:rsidR="007E112C" w:rsidRPr="002D54B4">
        <w:rPr>
          <w:rFonts w:ascii="Arial" w:hAnsi="Arial" w:cs="Arial"/>
          <w:color w:val="0D0D0D" w:themeColor="text1" w:themeTint="F2"/>
        </w:rPr>
        <w:t xml:space="preserve"> </w:t>
      </w:r>
      <w:r w:rsidR="00F62CD5" w:rsidRPr="002D54B4">
        <w:rPr>
          <w:rFonts w:ascii="Arial" w:hAnsi="Arial" w:cs="Arial"/>
          <w:color w:val="0D0D0D" w:themeColor="text1" w:themeTint="F2"/>
        </w:rPr>
        <w:t xml:space="preserve">services is documented in the </w:t>
      </w:r>
      <w:r w:rsidR="00F62CD5" w:rsidRPr="002D54B4">
        <w:rPr>
          <w:rFonts w:ascii="Arial" w:hAnsi="Arial" w:cs="Arial"/>
          <w:i/>
          <w:color w:val="0D0D0D" w:themeColor="text1" w:themeTint="F2"/>
        </w:rPr>
        <w:t>DTTB Planning Handbook</w:t>
      </w:r>
      <w:r w:rsidR="00FB7EB1" w:rsidRPr="002D54B4">
        <w:rPr>
          <w:rFonts w:ascii="Arial" w:hAnsi="Arial" w:cs="Arial"/>
          <w:color w:val="0D0D0D" w:themeColor="text1" w:themeTint="F2"/>
        </w:rPr>
        <w:t xml:space="preserve">. </w:t>
      </w:r>
      <w:r w:rsidR="00FE5F3B" w:rsidRPr="002D54B4">
        <w:rPr>
          <w:rFonts w:ascii="Arial" w:hAnsi="Arial" w:cs="Arial"/>
          <w:color w:val="0D0D0D" w:themeColor="text1" w:themeTint="F2"/>
        </w:rPr>
        <w:t xml:space="preserve">The </w:t>
      </w:r>
      <w:r w:rsidR="00FB7EB1" w:rsidRPr="002D54B4">
        <w:rPr>
          <w:rFonts w:ascii="Arial" w:hAnsi="Arial" w:cs="Arial"/>
          <w:color w:val="0D0D0D" w:themeColor="text1" w:themeTint="F2"/>
        </w:rPr>
        <w:t xml:space="preserve">minimum median field strength at 10 m antenna height translates to the minimum field strength being received in at least 80% of locations for rural environments. </w:t>
      </w:r>
      <w:r w:rsidR="00D640B7" w:rsidRPr="002D54B4">
        <w:rPr>
          <w:rFonts w:ascii="Arial" w:hAnsi="Arial" w:cs="Arial"/>
          <w:color w:val="0D0D0D" w:themeColor="text1" w:themeTint="F2"/>
        </w:rPr>
        <w:t xml:space="preserve">Minimum field strengths (at 10 m antenna height) are higher for suburban and urban environments (mainly to </w:t>
      </w:r>
      <w:r w:rsidR="00D72BAE" w:rsidRPr="002D54B4">
        <w:rPr>
          <w:rFonts w:ascii="Arial" w:hAnsi="Arial" w:cs="Arial"/>
          <w:color w:val="0D0D0D" w:themeColor="text1" w:themeTint="F2"/>
        </w:rPr>
        <w:t xml:space="preserve">account for </w:t>
      </w:r>
      <w:r w:rsidR="003307F5" w:rsidRPr="002D54B4">
        <w:rPr>
          <w:rFonts w:ascii="Arial" w:hAnsi="Arial" w:cs="Arial"/>
          <w:color w:val="0D0D0D" w:themeColor="text1" w:themeTint="F2"/>
        </w:rPr>
        <w:t xml:space="preserve">losses attributed to lower </w:t>
      </w:r>
      <w:r w:rsidR="00D640B7" w:rsidRPr="002D54B4">
        <w:rPr>
          <w:rFonts w:ascii="Arial" w:hAnsi="Arial" w:cs="Arial"/>
          <w:color w:val="0D0D0D" w:themeColor="text1" w:themeTint="F2"/>
        </w:rPr>
        <w:t>antenna height</w:t>
      </w:r>
      <w:r w:rsidR="003307F5" w:rsidRPr="002D54B4">
        <w:rPr>
          <w:rFonts w:ascii="Arial" w:hAnsi="Arial" w:cs="Arial"/>
          <w:color w:val="0D0D0D" w:themeColor="text1" w:themeTint="F2"/>
        </w:rPr>
        <w:t xml:space="preserve"> and </w:t>
      </w:r>
      <w:r w:rsidR="00FE5F3B" w:rsidRPr="002D54B4">
        <w:rPr>
          <w:rFonts w:ascii="Arial" w:hAnsi="Arial" w:cs="Arial"/>
          <w:color w:val="0D0D0D" w:themeColor="text1" w:themeTint="F2"/>
        </w:rPr>
        <w:t xml:space="preserve">antenna </w:t>
      </w:r>
      <w:r w:rsidR="003307F5" w:rsidRPr="002D54B4">
        <w:rPr>
          <w:rFonts w:ascii="Arial" w:hAnsi="Arial" w:cs="Arial"/>
          <w:color w:val="0D0D0D" w:themeColor="text1" w:themeTint="F2"/>
        </w:rPr>
        <w:t>gain</w:t>
      </w:r>
      <w:r w:rsidR="00D640B7" w:rsidRPr="002D54B4">
        <w:rPr>
          <w:rFonts w:ascii="Arial" w:hAnsi="Arial" w:cs="Arial"/>
          <w:color w:val="0D0D0D" w:themeColor="text1" w:themeTint="F2"/>
        </w:rPr>
        <w:t xml:space="preserve">), meaning that satisfying protection ratio requirements leads to smaller separation distances, and so </w:t>
      </w:r>
      <w:r w:rsidR="00B5430F" w:rsidRPr="002D54B4">
        <w:rPr>
          <w:rFonts w:ascii="Arial" w:hAnsi="Arial" w:cs="Arial"/>
          <w:color w:val="0D0D0D" w:themeColor="text1" w:themeTint="F2"/>
        </w:rPr>
        <w:t xml:space="preserve">the case of a rural environment </w:t>
      </w:r>
      <w:r w:rsidR="00FE5F3B" w:rsidRPr="002D54B4">
        <w:rPr>
          <w:rFonts w:ascii="Arial" w:hAnsi="Arial" w:cs="Arial"/>
          <w:color w:val="0D0D0D" w:themeColor="text1" w:themeTint="F2"/>
        </w:rPr>
        <w:t xml:space="preserve">has been </w:t>
      </w:r>
      <w:r w:rsidR="0059735F" w:rsidRPr="002D54B4">
        <w:rPr>
          <w:rFonts w:ascii="Arial" w:hAnsi="Arial" w:cs="Arial"/>
          <w:color w:val="0D0D0D" w:themeColor="text1" w:themeTint="F2"/>
        </w:rPr>
        <w:t>adopted</w:t>
      </w:r>
      <w:r w:rsidR="00B5430F" w:rsidRPr="002D54B4">
        <w:rPr>
          <w:rFonts w:ascii="Arial" w:hAnsi="Arial" w:cs="Arial"/>
          <w:color w:val="0D0D0D" w:themeColor="text1" w:themeTint="F2"/>
        </w:rPr>
        <w:t xml:space="preserve"> as a worst-case</w:t>
      </w:r>
      <w:r w:rsidR="0059735F" w:rsidRPr="002D54B4">
        <w:rPr>
          <w:rFonts w:ascii="Arial" w:hAnsi="Arial" w:cs="Arial"/>
          <w:color w:val="0D0D0D" w:themeColor="text1" w:themeTint="F2"/>
        </w:rPr>
        <w:t xml:space="preserve"> scenario</w:t>
      </w:r>
      <w:r w:rsidR="00B5430F" w:rsidRPr="002D54B4">
        <w:rPr>
          <w:rFonts w:ascii="Arial" w:hAnsi="Arial" w:cs="Arial"/>
          <w:color w:val="0D0D0D" w:themeColor="text1" w:themeTint="F2"/>
        </w:rPr>
        <w:t>.</w:t>
      </w:r>
      <w:r w:rsidR="00F42CC1" w:rsidRPr="002D54B4">
        <w:rPr>
          <w:rFonts w:ascii="Arial" w:hAnsi="Arial" w:cs="Arial"/>
          <w:color w:val="0D0D0D" w:themeColor="text1" w:themeTint="F2"/>
        </w:rPr>
        <w:t xml:space="preserve"> </w:t>
      </w:r>
      <w:r w:rsidR="00CF5FF7" w:rsidRPr="002D54B4">
        <w:rPr>
          <w:rFonts w:ascii="Arial" w:hAnsi="Arial" w:cs="Arial"/>
          <w:color w:val="0D0D0D" w:themeColor="text1" w:themeTint="F2"/>
        </w:rPr>
        <w:t>The receive antenna height of the victim DT</w:t>
      </w:r>
      <w:r w:rsidR="007721BC" w:rsidRPr="002D54B4">
        <w:rPr>
          <w:rFonts w:ascii="Arial" w:hAnsi="Arial" w:cs="Arial"/>
          <w:color w:val="0D0D0D" w:themeColor="text1" w:themeTint="F2"/>
        </w:rPr>
        <w:t>V</w:t>
      </w:r>
      <w:r w:rsidR="00CF5FF7" w:rsidRPr="002D54B4">
        <w:rPr>
          <w:rFonts w:ascii="Arial" w:hAnsi="Arial" w:cs="Arial"/>
          <w:color w:val="0D0D0D" w:themeColor="text1" w:themeTint="F2"/>
        </w:rPr>
        <w:t xml:space="preserve"> service is 10 m</w:t>
      </w:r>
      <w:r w:rsidR="00FE5F3B" w:rsidRPr="002D54B4">
        <w:rPr>
          <w:rFonts w:ascii="Arial" w:hAnsi="Arial" w:cs="Arial"/>
          <w:color w:val="0D0D0D" w:themeColor="text1" w:themeTint="F2"/>
        </w:rPr>
        <w:t>. This is aligned</w:t>
      </w:r>
      <w:r w:rsidR="00CF5FF7" w:rsidRPr="002D54B4">
        <w:rPr>
          <w:rFonts w:ascii="Arial" w:hAnsi="Arial" w:cs="Arial"/>
          <w:color w:val="0D0D0D" w:themeColor="text1" w:themeTint="F2"/>
        </w:rPr>
        <w:t xml:space="preserve"> with</w:t>
      </w:r>
      <w:r w:rsidR="00FE5F3B" w:rsidRPr="002D54B4">
        <w:rPr>
          <w:rFonts w:ascii="Arial" w:hAnsi="Arial" w:cs="Arial"/>
          <w:color w:val="0D0D0D" w:themeColor="text1" w:themeTint="F2"/>
        </w:rPr>
        <w:t xml:space="preserve"> the assumption of</w:t>
      </w:r>
      <w:r w:rsidR="00CF5FF7" w:rsidRPr="002D54B4">
        <w:rPr>
          <w:rFonts w:ascii="Arial" w:hAnsi="Arial" w:cs="Arial"/>
          <w:color w:val="0D0D0D" w:themeColor="text1" w:themeTint="F2"/>
        </w:rPr>
        <w:t xml:space="preserve"> fixed reception</w:t>
      </w:r>
      <w:r w:rsidR="00FE5F3B" w:rsidRPr="002D54B4">
        <w:rPr>
          <w:rFonts w:ascii="Arial" w:hAnsi="Arial" w:cs="Arial"/>
          <w:color w:val="0D0D0D" w:themeColor="text1" w:themeTint="F2"/>
        </w:rPr>
        <w:t xml:space="preserve"> using a directional receive antenna, on which</w:t>
      </w:r>
      <w:r w:rsidR="00CF5FF7" w:rsidRPr="002D54B4">
        <w:rPr>
          <w:rFonts w:ascii="Arial" w:hAnsi="Arial" w:cs="Arial"/>
          <w:color w:val="0D0D0D" w:themeColor="text1" w:themeTint="F2"/>
        </w:rPr>
        <w:t xml:space="preserve"> planning of digital television broadcasting in Australia</w:t>
      </w:r>
      <w:r w:rsidR="00FE5F3B" w:rsidRPr="002D54B4">
        <w:rPr>
          <w:rFonts w:ascii="Arial" w:hAnsi="Arial" w:cs="Arial"/>
          <w:color w:val="0D0D0D" w:themeColor="text1" w:themeTint="F2"/>
        </w:rPr>
        <w:t xml:space="preserve"> is based</w:t>
      </w:r>
      <w:r w:rsidR="00CF5FF7" w:rsidRPr="002D54B4">
        <w:rPr>
          <w:rStyle w:val="FootnoteReference"/>
          <w:rFonts w:ascii="Arial" w:hAnsi="Arial" w:cs="Arial"/>
          <w:color w:val="0D0D0D" w:themeColor="text1" w:themeTint="F2"/>
        </w:rPr>
        <w:footnoteReference w:id="4"/>
      </w:r>
      <w:r w:rsidR="00CF5FF7" w:rsidRPr="002D54B4">
        <w:rPr>
          <w:rFonts w:ascii="Arial" w:hAnsi="Arial" w:cs="Arial"/>
          <w:color w:val="0D0D0D" w:themeColor="text1" w:themeTint="F2"/>
        </w:rPr>
        <w:t>.</w:t>
      </w:r>
    </w:p>
    <w:p w:rsidR="009A1FB4" w:rsidRDefault="009A1FB4">
      <w:pPr>
        <w:rPr>
          <w:rFonts w:ascii="Arial" w:hAnsi="Arial" w:cs="Arial"/>
          <w:color w:val="0D0D0D" w:themeColor="text1" w:themeTint="F2"/>
        </w:rPr>
      </w:pPr>
      <w:r>
        <w:rPr>
          <w:rFonts w:ascii="Arial" w:hAnsi="Arial" w:cs="Arial"/>
          <w:color w:val="0D0D0D" w:themeColor="text1" w:themeTint="F2"/>
        </w:rPr>
        <w:br w:type="page"/>
      </w:r>
    </w:p>
    <w:p w:rsidR="009A1FB4" w:rsidRPr="002D54B4" w:rsidRDefault="009A1FB4" w:rsidP="00721C84">
      <w:pPr>
        <w:rPr>
          <w:rFonts w:ascii="Arial" w:hAnsi="Arial" w:cs="Arial"/>
          <w:color w:val="0D0D0D" w:themeColor="text1" w:themeTint="F2"/>
        </w:rPr>
      </w:pPr>
    </w:p>
    <w:tbl>
      <w:tblPr>
        <w:tblStyle w:val="TableGrid"/>
        <w:tblW w:w="8613" w:type="dxa"/>
        <w:tblLook w:val="04A0"/>
      </w:tblPr>
      <w:tblGrid>
        <w:gridCol w:w="3652"/>
        <w:gridCol w:w="1834"/>
        <w:gridCol w:w="292"/>
        <w:gridCol w:w="2835"/>
      </w:tblGrid>
      <w:tr w:rsidR="00E6401A" w:rsidRPr="002D54B4" w:rsidTr="00E6401A">
        <w:trPr>
          <w:trHeight w:val="573"/>
        </w:trPr>
        <w:tc>
          <w:tcPr>
            <w:tcW w:w="8613" w:type="dxa"/>
            <w:gridSpan w:val="4"/>
            <w:tcBorders>
              <w:left w:val="nil"/>
              <w:right w:val="nil"/>
            </w:tcBorders>
            <w:shd w:val="clear" w:color="auto" w:fill="auto"/>
            <w:vAlign w:val="center"/>
          </w:tcPr>
          <w:p w:rsidR="00E6401A" w:rsidRPr="002D54B4" w:rsidRDefault="00E6401A" w:rsidP="00E6401A">
            <w:pPr>
              <w:rPr>
                <w:rFonts w:ascii="Arial" w:hAnsi="Arial" w:cs="Arial"/>
                <w:b/>
                <w:color w:val="0D0D0D" w:themeColor="text1" w:themeTint="F2"/>
                <w:sz w:val="20"/>
                <w:szCs w:val="20"/>
              </w:rPr>
            </w:pPr>
            <w:r w:rsidRPr="003A74B3">
              <w:rPr>
                <w:rFonts w:ascii="Arial" w:hAnsi="Arial" w:cs="Arial"/>
                <w:b/>
                <w:color w:val="A6A6A6" w:themeColor="background1" w:themeShade="A6"/>
              </w:rPr>
              <w:t>Table 3</w:t>
            </w:r>
            <w:r>
              <w:rPr>
                <w:rFonts w:ascii="Arial" w:hAnsi="Arial" w:cs="Arial"/>
                <w:b/>
                <w:color w:val="A6A6A6" w:themeColor="background1" w:themeShade="A6"/>
              </w:rPr>
              <w:t xml:space="preserve"> </w:t>
            </w:r>
            <w:r w:rsidRPr="003A74B3">
              <w:rPr>
                <w:rFonts w:ascii="Arial" w:hAnsi="Arial" w:cs="Arial"/>
                <w:b/>
                <w:color w:val="A6A6A6" w:themeColor="background1" w:themeShade="A6"/>
              </w:rPr>
              <w:t>Parameters for determining protection requirements (at the coverage edge) for DTV services in the digital dividend</w:t>
            </w:r>
          </w:p>
        </w:tc>
      </w:tr>
      <w:tr w:rsidR="00D72BAE" w:rsidRPr="002D54B4" w:rsidTr="00E6401A">
        <w:tc>
          <w:tcPr>
            <w:tcW w:w="3652" w:type="dxa"/>
            <w:vMerge w:val="restart"/>
            <w:shd w:val="clear" w:color="auto" w:fill="F2F2F2" w:themeFill="background1" w:themeFillShade="F2"/>
          </w:tcPr>
          <w:p w:rsidR="00D72BAE" w:rsidRPr="002D54B4" w:rsidRDefault="00226A3C" w:rsidP="00721C84">
            <w:pPr>
              <w:spacing w:after="200" w:line="276" w:lineRule="auto"/>
              <w:rPr>
                <w:rFonts w:ascii="Arial" w:hAnsi="Arial" w:cs="Arial"/>
                <w:b/>
                <w:color w:val="0D0D0D" w:themeColor="text1" w:themeTint="F2"/>
                <w:sz w:val="20"/>
                <w:szCs w:val="20"/>
              </w:rPr>
            </w:pPr>
            <w:r w:rsidRPr="002D54B4">
              <w:rPr>
                <w:rFonts w:ascii="Arial" w:hAnsi="Arial" w:cs="Arial"/>
                <w:b/>
                <w:color w:val="0D0D0D" w:themeColor="text1" w:themeTint="F2"/>
                <w:sz w:val="20"/>
                <w:szCs w:val="20"/>
              </w:rPr>
              <w:t>Parameter</w:t>
            </w:r>
          </w:p>
        </w:tc>
        <w:tc>
          <w:tcPr>
            <w:tcW w:w="4961" w:type="dxa"/>
            <w:gridSpan w:val="3"/>
            <w:shd w:val="clear" w:color="auto" w:fill="F2F2F2" w:themeFill="background1" w:themeFillShade="F2"/>
          </w:tcPr>
          <w:p w:rsidR="00D72BAE" w:rsidRPr="002D54B4" w:rsidRDefault="00226A3C" w:rsidP="00721C84">
            <w:pPr>
              <w:spacing w:after="200" w:line="276" w:lineRule="auto"/>
              <w:rPr>
                <w:rFonts w:ascii="Arial" w:hAnsi="Arial" w:cs="Arial"/>
                <w:b/>
                <w:color w:val="0D0D0D" w:themeColor="text1" w:themeTint="F2"/>
                <w:sz w:val="20"/>
                <w:szCs w:val="20"/>
              </w:rPr>
            </w:pPr>
            <w:r w:rsidRPr="002D54B4">
              <w:rPr>
                <w:rFonts w:ascii="Arial" w:hAnsi="Arial" w:cs="Arial"/>
                <w:b/>
                <w:color w:val="0D0D0D" w:themeColor="text1" w:themeTint="F2"/>
                <w:sz w:val="20"/>
                <w:szCs w:val="20"/>
              </w:rPr>
              <w:t>Value</w:t>
            </w:r>
          </w:p>
        </w:tc>
      </w:tr>
      <w:tr w:rsidR="00D72BAE" w:rsidRPr="002D54B4" w:rsidTr="00E6401A">
        <w:trPr>
          <w:trHeight w:val="485"/>
        </w:trPr>
        <w:tc>
          <w:tcPr>
            <w:tcW w:w="3652" w:type="dxa"/>
            <w:vMerge/>
            <w:shd w:val="clear" w:color="auto" w:fill="F2F2F2" w:themeFill="background1" w:themeFillShade="F2"/>
          </w:tcPr>
          <w:p w:rsidR="00D72BAE" w:rsidRPr="002D54B4" w:rsidRDefault="00D72BAE" w:rsidP="00721C84">
            <w:pPr>
              <w:spacing w:after="200" w:line="276" w:lineRule="auto"/>
              <w:rPr>
                <w:rFonts w:ascii="Arial" w:hAnsi="Arial" w:cs="Arial"/>
                <w:b/>
                <w:color w:val="0D0D0D" w:themeColor="text1" w:themeTint="F2"/>
                <w:sz w:val="20"/>
                <w:szCs w:val="20"/>
              </w:rPr>
            </w:pPr>
          </w:p>
        </w:tc>
        <w:tc>
          <w:tcPr>
            <w:tcW w:w="2126" w:type="dxa"/>
            <w:gridSpan w:val="2"/>
            <w:shd w:val="clear" w:color="auto" w:fill="F2F2F2" w:themeFill="background1" w:themeFillShade="F2"/>
          </w:tcPr>
          <w:p w:rsidR="00D72BAE" w:rsidRPr="002D54B4" w:rsidRDefault="00226A3C" w:rsidP="007721BC">
            <w:pPr>
              <w:spacing w:after="120" w:line="276" w:lineRule="auto"/>
              <w:rPr>
                <w:rFonts w:ascii="Arial" w:hAnsi="Arial" w:cs="Arial"/>
                <w:b/>
                <w:color w:val="0D0D0D" w:themeColor="text1" w:themeTint="F2"/>
                <w:sz w:val="20"/>
                <w:szCs w:val="20"/>
              </w:rPr>
            </w:pPr>
            <w:r w:rsidRPr="002D54B4">
              <w:rPr>
                <w:rFonts w:ascii="Arial" w:hAnsi="Arial" w:cs="Arial"/>
                <w:b/>
                <w:color w:val="0D0D0D" w:themeColor="text1" w:themeTint="F2"/>
                <w:sz w:val="20"/>
                <w:szCs w:val="20"/>
              </w:rPr>
              <w:t>Unwanted signal entering DT</w:t>
            </w:r>
            <w:r w:rsidR="007721BC" w:rsidRPr="002D54B4">
              <w:rPr>
                <w:rFonts w:ascii="Arial" w:hAnsi="Arial" w:cs="Arial"/>
                <w:b/>
                <w:color w:val="0D0D0D" w:themeColor="text1" w:themeTint="F2"/>
                <w:sz w:val="20"/>
                <w:szCs w:val="20"/>
              </w:rPr>
              <w:t>V</w:t>
            </w:r>
            <w:r w:rsidRPr="002D54B4">
              <w:rPr>
                <w:rFonts w:ascii="Arial" w:hAnsi="Arial" w:cs="Arial"/>
                <w:b/>
                <w:color w:val="0D0D0D" w:themeColor="text1" w:themeTint="F2"/>
                <w:sz w:val="20"/>
                <w:szCs w:val="20"/>
              </w:rPr>
              <w:t xml:space="preserve"> </w:t>
            </w:r>
            <w:proofErr w:type="spellStart"/>
            <w:r w:rsidRPr="002D54B4">
              <w:rPr>
                <w:rFonts w:ascii="Arial" w:hAnsi="Arial" w:cs="Arial"/>
                <w:b/>
                <w:color w:val="0D0D0D" w:themeColor="text1" w:themeTint="F2"/>
                <w:sz w:val="20"/>
                <w:szCs w:val="20"/>
              </w:rPr>
              <w:t>rx</w:t>
            </w:r>
            <w:proofErr w:type="spellEnd"/>
            <w:r w:rsidRPr="002D54B4">
              <w:rPr>
                <w:rFonts w:ascii="Arial" w:hAnsi="Arial" w:cs="Arial"/>
                <w:b/>
                <w:color w:val="0D0D0D" w:themeColor="text1" w:themeTint="F2"/>
                <w:sz w:val="20"/>
                <w:szCs w:val="20"/>
              </w:rPr>
              <w:t xml:space="preserve"> antenna main beam</w:t>
            </w:r>
          </w:p>
        </w:tc>
        <w:tc>
          <w:tcPr>
            <w:tcW w:w="2835" w:type="dxa"/>
            <w:shd w:val="clear" w:color="auto" w:fill="F2F2F2" w:themeFill="background1" w:themeFillShade="F2"/>
          </w:tcPr>
          <w:p w:rsidR="00D72BAE" w:rsidRPr="002D54B4" w:rsidRDefault="00226A3C" w:rsidP="007721BC">
            <w:pPr>
              <w:spacing w:after="120" w:line="276" w:lineRule="auto"/>
              <w:rPr>
                <w:rFonts w:ascii="Arial" w:hAnsi="Arial" w:cs="Arial"/>
                <w:b/>
                <w:color w:val="0D0D0D" w:themeColor="text1" w:themeTint="F2"/>
                <w:sz w:val="20"/>
                <w:szCs w:val="20"/>
              </w:rPr>
            </w:pPr>
            <w:r w:rsidRPr="002D54B4">
              <w:rPr>
                <w:rFonts w:ascii="Arial" w:hAnsi="Arial" w:cs="Arial"/>
                <w:b/>
                <w:color w:val="0D0D0D" w:themeColor="text1" w:themeTint="F2"/>
                <w:sz w:val="20"/>
                <w:szCs w:val="20"/>
              </w:rPr>
              <w:t>Unwanted signal entering rear of DT</w:t>
            </w:r>
            <w:r w:rsidR="007721BC" w:rsidRPr="002D54B4">
              <w:rPr>
                <w:rFonts w:ascii="Arial" w:hAnsi="Arial" w:cs="Arial"/>
                <w:b/>
                <w:color w:val="0D0D0D" w:themeColor="text1" w:themeTint="F2"/>
                <w:sz w:val="20"/>
                <w:szCs w:val="20"/>
              </w:rPr>
              <w:t>V</w:t>
            </w:r>
            <w:r w:rsidRPr="002D54B4">
              <w:rPr>
                <w:rFonts w:ascii="Arial" w:hAnsi="Arial" w:cs="Arial"/>
                <w:b/>
                <w:color w:val="0D0D0D" w:themeColor="text1" w:themeTint="F2"/>
                <w:sz w:val="20"/>
                <w:szCs w:val="20"/>
              </w:rPr>
              <w:t xml:space="preserve"> </w:t>
            </w:r>
            <w:proofErr w:type="spellStart"/>
            <w:r w:rsidRPr="002D54B4">
              <w:rPr>
                <w:rFonts w:ascii="Arial" w:hAnsi="Arial" w:cs="Arial"/>
                <w:b/>
                <w:color w:val="0D0D0D" w:themeColor="text1" w:themeTint="F2"/>
                <w:sz w:val="20"/>
                <w:szCs w:val="20"/>
              </w:rPr>
              <w:t>rx</w:t>
            </w:r>
            <w:proofErr w:type="spellEnd"/>
            <w:r w:rsidRPr="002D54B4">
              <w:rPr>
                <w:rFonts w:ascii="Arial" w:hAnsi="Arial" w:cs="Arial"/>
                <w:b/>
                <w:color w:val="0D0D0D" w:themeColor="text1" w:themeTint="F2"/>
                <w:sz w:val="20"/>
                <w:szCs w:val="20"/>
              </w:rPr>
              <w:t xml:space="preserve"> antenna</w:t>
            </w:r>
          </w:p>
        </w:tc>
      </w:tr>
      <w:tr w:rsidR="000D63D2" w:rsidRPr="002D54B4" w:rsidTr="00E6401A">
        <w:tc>
          <w:tcPr>
            <w:tcW w:w="3652" w:type="dxa"/>
          </w:tcPr>
          <w:p w:rsidR="000D63D2" w:rsidRPr="002D54B4" w:rsidRDefault="000D63D2" w:rsidP="00977FA0">
            <w:pPr>
              <w:spacing w:line="276" w:lineRule="auto"/>
              <w:rPr>
                <w:rFonts w:ascii="Arial" w:hAnsi="Arial" w:cs="Arial"/>
                <w:color w:val="0D0D0D" w:themeColor="text1" w:themeTint="F2"/>
                <w:sz w:val="20"/>
                <w:szCs w:val="20"/>
              </w:rPr>
            </w:pPr>
            <w:r w:rsidRPr="002D54B4">
              <w:rPr>
                <w:rFonts w:ascii="Arial" w:hAnsi="Arial" w:cs="Arial"/>
                <w:color w:val="0D0D0D" w:themeColor="text1" w:themeTint="F2"/>
                <w:sz w:val="20"/>
                <w:szCs w:val="20"/>
              </w:rPr>
              <w:t>Receive antenna height (m)</w:t>
            </w:r>
          </w:p>
        </w:tc>
        <w:tc>
          <w:tcPr>
            <w:tcW w:w="4961" w:type="dxa"/>
            <w:gridSpan w:val="3"/>
          </w:tcPr>
          <w:p w:rsidR="000D63D2" w:rsidRPr="002D54B4" w:rsidRDefault="000D63D2" w:rsidP="00D72BAE">
            <w:pPr>
              <w:jc w:val="center"/>
              <w:rPr>
                <w:rFonts w:ascii="Arial" w:hAnsi="Arial" w:cs="Arial"/>
                <w:color w:val="0D0D0D" w:themeColor="text1" w:themeTint="F2"/>
                <w:sz w:val="20"/>
                <w:szCs w:val="20"/>
              </w:rPr>
            </w:pPr>
            <w:r w:rsidRPr="002D54B4">
              <w:rPr>
                <w:rFonts w:ascii="Arial" w:hAnsi="Arial" w:cs="Arial"/>
                <w:color w:val="0D0D0D" w:themeColor="text1" w:themeTint="F2"/>
                <w:sz w:val="20"/>
                <w:szCs w:val="20"/>
              </w:rPr>
              <w:t>10</w:t>
            </w:r>
          </w:p>
        </w:tc>
      </w:tr>
      <w:tr w:rsidR="00D72BAE" w:rsidRPr="002D54B4" w:rsidTr="00E6401A">
        <w:tc>
          <w:tcPr>
            <w:tcW w:w="3652" w:type="dxa"/>
          </w:tcPr>
          <w:p w:rsidR="00D72BAE" w:rsidRPr="002D54B4" w:rsidRDefault="000D63D2" w:rsidP="00977FA0">
            <w:pPr>
              <w:spacing w:line="276" w:lineRule="auto"/>
              <w:rPr>
                <w:rFonts w:ascii="Arial" w:hAnsi="Arial" w:cs="Arial"/>
                <w:color w:val="0D0D0D" w:themeColor="text1" w:themeTint="F2"/>
                <w:sz w:val="20"/>
                <w:szCs w:val="20"/>
              </w:rPr>
            </w:pPr>
            <w:r w:rsidRPr="002D54B4">
              <w:rPr>
                <w:rFonts w:ascii="Arial" w:hAnsi="Arial" w:cs="Arial"/>
                <w:color w:val="0D0D0D" w:themeColor="text1" w:themeTint="F2"/>
                <w:sz w:val="20"/>
                <w:szCs w:val="20"/>
              </w:rPr>
              <w:t>Minimum median field strength</w:t>
            </w:r>
            <w:r w:rsidR="00977FA0" w:rsidRPr="002D54B4">
              <w:rPr>
                <w:rFonts w:ascii="Arial" w:hAnsi="Arial" w:cs="Arial"/>
                <w:color w:val="0D0D0D" w:themeColor="text1" w:themeTint="F2"/>
                <w:sz w:val="20"/>
                <w:szCs w:val="20"/>
              </w:rPr>
              <w:br/>
              <w:t>(for 80% of loc.),</w:t>
            </w:r>
            <w:r w:rsidR="00977FA0" w:rsidRPr="002D54B4">
              <w:rPr>
                <w:rFonts w:ascii="Arial" w:hAnsi="Arial" w:cs="Arial"/>
                <w:i/>
                <w:color w:val="0D0D0D" w:themeColor="text1" w:themeTint="F2"/>
                <w:sz w:val="20"/>
                <w:szCs w:val="20"/>
              </w:rPr>
              <w:t xml:space="preserve"> </w:t>
            </w:r>
            <w:proofErr w:type="spellStart"/>
            <w:r w:rsidR="00226A3C" w:rsidRPr="002D54B4">
              <w:rPr>
                <w:rFonts w:ascii="Arial" w:hAnsi="Arial" w:cs="Arial"/>
                <w:i/>
                <w:color w:val="0D0D0D" w:themeColor="text1" w:themeTint="F2"/>
                <w:sz w:val="20"/>
                <w:szCs w:val="20"/>
              </w:rPr>
              <w:t>E</w:t>
            </w:r>
            <w:r w:rsidR="00226A3C" w:rsidRPr="002D54B4">
              <w:rPr>
                <w:rFonts w:ascii="Arial" w:hAnsi="Arial" w:cs="Arial"/>
                <w:i/>
                <w:color w:val="0D0D0D" w:themeColor="text1" w:themeTint="F2"/>
                <w:sz w:val="20"/>
                <w:szCs w:val="20"/>
                <w:vertAlign w:val="subscript"/>
              </w:rPr>
              <w:t>med</w:t>
            </w:r>
            <w:proofErr w:type="spellEnd"/>
            <w:r w:rsidR="00D72BAE" w:rsidRPr="002D54B4">
              <w:rPr>
                <w:rFonts w:ascii="Arial" w:hAnsi="Arial" w:cs="Arial"/>
                <w:color w:val="0D0D0D" w:themeColor="text1" w:themeTint="F2"/>
                <w:sz w:val="20"/>
                <w:szCs w:val="20"/>
              </w:rPr>
              <w:t xml:space="preserve"> (dBµV/m)</w:t>
            </w:r>
          </w:p>
        </w:tc>
        <w:tc>
          <w:tcPr>
            <w:tcW w:w="4961" w:type="dxa"/>
            <w:gridSpan w:val="3"/>
          </w:tcPr>
          <w:p w:rsidR="00324AEF" w:rsidRPr="002D54B4" w:rsidRDefault="00D72BAE">
            <w:pPr>
              <w:jc w:val="center"/>
              <w:rPr>
                <w:rFonts w:ascii="Arial" w:hAnsi="Arial" w:cs="Arial"/>
                <w:color w:val="0D0D0D" w:themeColor="text1" w:themeTint="F2"/>
                <w:sz w:val="20"/>
                <w:szCs w:val="20"/>
              </w:rPr>
            </w:pPr>
            <w:r w:rsidRPr="002D54B4">
              <w:rPr>
                <w:rFonts w:ascii="Arial" w:hAnsi="Arial" w:cs="Arial"/>
                <w:color w:val="0D0D0D" w:themeColor="text1" w:themeTint="F2"/>
                <w:sz w:val="20"/>
                <w:szCs w:val="20"/>
              </w:rPr>
              <w:t>54</w:t>
            </w:r>
          </w:p>
        </w:tc>
      </w:tr>
      <w:tr w:rsidR="00D72BAE" w:rsidRPr="002D54B4" w:rsidTr="00E6401A">
        <w:tc>
          <w:tcPr>
            <w:tcW w:w="3652" w:type="dxa"/>
          </w:tcPr>
          <w:p w:rsidR="00D74706" w:rsidRPr="002D54B4" w:rsidRDefault="001B06A2" w:rsidP="00721C84">
            <w:pPr>
              <w:rPr>
                <w:rFonts w:ascii="Arial" w:hAnsi="Arial" w:cs="Arial"/>
                <w:color w:val="0D0D0D" w:themeColor="text1" w:themeTint="F2"/>
                <w:sz w:val="20"/>
                <w:szCs w:val="20"/>
              </w:rPr>
            </w:pPr>
            <w:r w:rsidRPr="002D54B4">
              <w:rPr>
                <w:rFonts w:ascii="Arial" w:hAnsi="Arial" w:cs="Arial"/>
                <w:color w:val="0D0D0D" w:themeColor="text1" w:themeTint="F2"/>
                <w:sz w:val="20"/>
                <w:szCs w:val="20"/>
              </w:rPr>
              <w:t>Protection ratio (dB)</w:t>
            </w:r>
          </w:p>
          <w:p w:rsidR="00D74706" w:rsidRPr="002D54B4" w:rsidRDefault="00D74706" w:rsidP="00721C84">
            <w:pPr>
              <w:rPr>
                <w:rFonts w:ascii="Arial" w:hAnsi="Arial" w:cs="Arial"/>
                <w:color w:val="0D0D0D" w:themeColor="text1" w:themeTint="F2"/>
                <w:sz w:val="20"/>
                <w:szCs w:val="20"/>
              </w:rPr>
            </w:pPr>
            <w:r w:rsidRPr="002D54B4">
              <w:rPr>
                <w:rFonts w:ascii="Arial" w:hAnsi="Arial" w:cs="Arial"/>
                <w:color w:val="0D0D0D" w:themeColor="text1" w:themeTint="F2"/>
                <w:sz w:val="20"/>
                <w:szCs w:val="20"/>
              </w:rPr>
              <w:t>(for DVB-T 64QAM, CR=3/4)</w:t>
            </w:r>
          </w:p>
        </w:tc>
        <w:tc>
          <w:tcPr>
            <w:tcW w:w="4961" w:type="dxa"/>
            <w:gridSpan w:val="3"/>
          </w:tcPr>
          <w:p w:rsidR="00324AEF" w:rsidRPr="002D54B4" w:rsidRDefault="00226A3C">
            <w:pPr>
              <w:jc w:val="center"/>
              <w:rPr>
                <w:rFonts w:ascii="Arial" w:hAnsi="Arial" w:cs="Arial"/>
                <w:color w:val="0D0D0D" w:themeColor="text1" w:themeTint="F2"/>
                <w:sz w:val="20"/>
                <w:szCs w:val="20"/>
              </w:rPr>
            </w:pPr>
            <w:r w:rsidRPr="002D54B4">
              <w:rPr>
                <w:rFonts w:ascii="Arial" w:hAnsi="Arial" w:cs="Arial"/>
                <w:color w:val="0D0D0D" w:themeColor="text1" w:themeTint="F2"/>
                <w:sz w:val="20"/>
                <w:szCs w:val="20"/>
              </w:rPr>
              <w:t>21</w:t>
            </w:r>
          </w:p>
        </w:tc>
      </w:tr>
      <w:tr w:rsidR="001A4614" w:rsidRPr="002D54B4" w:rsidTr="00E6401A">
        <w:tc>
          <w:tcPr>
            <w:tcW w:w="3652" w:type="dxa"/>
          </w:tcPr>
          <w:p w:rsidR="001A4614" w:rsidRPr="002D54B4" w:rsidRDefault="001A4614" w:rsidP="00F93D6A">
            <w:pPr>
              <w:spacing w:line="276" w:lineRule="auto"/>
              <w:rPr>
                <w:rFonts w:ascii="Arial" w:hAnsi="Arial" w:cs="Arial"/>
                <w:color w:val="0D0D0D" w:themeColor="text1" w:themeTint="F2"/>
                <w:sz w:val="20"/>
                <w:szCs w:val="20"/>
              </w:rPr>
            </w:pPr>
            <w:r w:rsidRPr="002D54B4">
              <w:rPr>
                <w:rFonts w:ascii="Arial" w:hAnsi="Arial" w:cs="Arial"/>
                <w:color w:val="0D0D0D" w:themeColor="text1" w:themeTint="F2"/>
                <w:sz w:val="20"/>
                <w:szCs w:val="20"/>
              </w:rPr>
              <w:t xml:space="preserve">PCF (dB) </w:t>
            </w:r>
            <w:r w:rsidR="00F93D6A" w:rsidRPr="002D54B4">
              <w:rPr>
                <w:rFonts w:ascii="Arial" w:hAnsi="Arial" w:cs="Arial"/>
                <w:color w:val="0D0D0D" w:themeColor="text1" w:themeTint="F2"/>
                <w:sz w:val="20"/>
                <w:szCs w:val="20"/>
              </w:rPr>
              <w:t>(</w:t>
            </w:r>
            <w:r w:rsidRPr="002D54B4">
              <w:rPr>
                <w:rFonts w:ascii="Arial" w:hAnsi="Arial" w:cs="Arial"/>
                <w:color w:val="0D0D0D" w:themeColor="text1" w:themeTint="F2"/>
                <w:sz w:val="20"/>
                <w:szCs w:val="20"/>
              </w:rPr>
              <w:t xml:space="preserve">for </w:t>
            </w:r>
            <w:r w:rsidR="00977FA0" w:rsidRPr="002D54B4">
              <w:rPr>
                <w:rFonts w:ascii="Arial" w:hAnsi="Arial" w:cs="Arial"/>
                <w:color w:val="0D0D0D" w:themeColor="text1" w:themeTint="F2"/>
                <w:sz w:val="20"/>
                <w:szCs w:val="20"/>
              </w:rPr>
              <w:t>80</w:t>
            </w:r>
            <w:r w:rsidRPr="002D54B4">
              <w:rPr>
                <w:rFonts w:ascii="Arial" w:hAnsi="Arial" w:cs="Arial"/>
                <w:color w:val="0D0D0D" w:themeColor="text1" w:themeTint="F2"/>
                <w:sz w:val="20"/>
                <w:szCs w:val="20"/>
              </w:rPr>
              <w:t>% of locations</w:t>
            </w:r>
            <w:r w:rsidR="00F93D6A" w:rsidRPr="002D54B4">
              <w:rPr>
                <w:rFonts w:ascii="Arial" w:hAnsi="Arial" w:cs="Arial"/>
                <w:color w:val="0D0D0D" w:themeColor="text1" w:themeTint="F2"/>
                <w:sz w:val="20"/>
                <w:szCs w:val="20"/>
              </w:rPr>
              <w:t>)</w:t>
            </w:r>
            <w:r w:rsidRPr="002D54B4">
              <w:rPr>
                <w:rFonts w:ascii="Arial" w:hAnsi="Arial" w:cs="Arial"/>
                <w:color w:val="0D0D0D" w:themeColor="text1" w:themeTint="F2"/>
                <w:sz w:val="20"/>
                <w:szCs w:val="20"/>
              </w:rPr>
              <w:br/>
            </w:r>
            <w:r w:rsidR="007B2EA2" w:rsidRPr="002D54B4">
              <w:rPr>
                <w:rFonts w:ascii="Arial" w:hAnsi="Arial" w:cs="Arial"/>
                <w:color w:val="0D0D0D" w:themeColor="text1" w:themeTint="F2"/>
                <w:sz w:val="20"/>
                <w:szCs w:val="20"/>
              </w:rPr>
              <w:t xml:space="preserve">= </w:t>
            </w:r>
            <w:proofErr w:type="spellStart"/>
            <w:r w:rsidRPr="002D54B4">
              <w:rPr>
                <w:rFonts w:ascii="Arial" w:hAnsi="Arial" w:cs="Arial"/>
                <w:i/>
                <w:color w:val="0D0D0D" w:themeColor="text1" w:themeTint="F2"/>
                <w:sz w:val="20"/>
                <w:szCs w:val="20"/>
              </w:rPr>
              <w:t>Q</w:t>
            </w:r>
            <w:r w:rsidRPr="002D54B4">
              <w:rPr>
                <w:rFonts w:ascii="Arial" w:hAnsi="Arial" w:cs="Arial"/>
                <w:i/>
                <w:color w:val="0D0D0D" w:themeColor="text1" w:themeTint="F2"/>
                <w:sz w:val="20"/>
                <w:szCs w:val="20"/>
                <w:vertAlign w:val="subscript"/>
              </w:rPr>
              <w:t>i</w:t>
            </w:r>
            <w:proofErr w:type="spellEnd"/>
            <w:r w:rsidRPr="002D54B4">
              <w:rPr>
                <w:rFonts w:ascii="Arial" w:hAnsi="Arial" w:cs="Arial"/>
                <w:color w:val="0D0D0D" w:themeColor="text1" w:themeTint="F2"/>
                <w:sz w:val="20"/>
                <w:szCs w:val="20"/>
              </w:rPr>
              <w:t>(</w:t>
            </w:r>
            <w:r w:rsidR="00977FA0" w:rsidRPr="002D54B4">
              <w:rPr>
                <w:rFonts w:ascii="Arial" w:hAnsi="Arial" w:cs="Arial"/>
                <w:color w:val="0D0D0D" w:themeColor="text1" w:themeTint="F2"/>
                <w:sz w:val="20"/>
                <w:szCs w:val="20"/>
              </w:rPr>
              <w:t>0.8</w:t>
            </w:r>
            <w:r w:rsidRPr="002D54B4">
              <w:rPr>
                <w:rFonts w:ascii="Arial" w:hAnsi="Arial" w:cs="Arial"/>
                <w:color w:val="0D0D0D" w:themeColor="text1" w:themeTint="F2"/>
                <w:sz w:val="20"/>
                <w:szCs w:val="20"/>
              </w:rPr>
              <w:t>)</w:t>
            </w:r>
            <m:oMath>
              <m:rad>
                <m:radPr>
                  <m:degHide m:val="on"/>
                  <m:ctrlPr>
                    <w:rPr>
                      <w:rFonts w:ascii="Cambria Math" w:hAnsi="Arial" w:cs="Arial"/>
                      <w:i/>
                      <w:color w:val="0D0D0D" w:themeColor="text1" w:themeTint="F2"/>
                      <w:sz w:val="20"/>
                      <w:szCs w:val="20"/>
                    </w:rPr>
                  </m:ctrlPr>
                </m:radPr>
                <m:deg/>
                <m:e>
                  <m:sSubSup>
                    <m:sSubSupPr>
                      <m:ctrlPr>
                        <w:rPr>
                          <w:rFonts w:ascii="Cambria Math" w:hAnsi="Arial" w:cs="Arial"/>
                          <w:i/>
                          <w:color w:val="0D0D0D" w:themeColor="text1" w:themeTint="F2"/>
                          <w:sz w:val="20"/>
                          <w:szCs w:val="20"/>
                        </w:rPr>
                      </m:ctrlPr>
                    </m:sSubSupPr>
                    <m:e>
                      <m:r>
                        <w:rPr>
                          <w:rFonts w:ascii="Cambria Math" w:hAnsi="Cambria Math" w:cs="Arial"/>
                          <w:color w:val="0D0D0D" w:themeColor="text1" w:themeTint="F2"/>
                          <w:sz w:val="20"/>
                          <w:szCs w:val="20"/>
                        </w:rPr>
                        <m:t>σ</m:t>
                      </m:r>
                    </m:e>
                    <m:sub>
                      <m:r>
                        <w:rPr>
                          <w:rFonts w:ascii="Cambria Math" w:hAnsi="Cambria Math" w:cs="Arial"/>
                          <w:color w:val="0D0D0D" w:themeColor="text1" w:themeTint="F2"/>
                          <w:sz w:val="20"/>
                          <w:szCs w:val="20"/>
                        </w:rPr>
                        <m:t>w</m:t>
                      </m:r>
                    </m:sub>
                    <m:sup>
                      <m:r>
                        <w:rPr>
                          <w:rFonts w:ascii="Cambria Math" w:hAnsi="Arial" w:cs="Arial"/>
                          <w:color w:val="0D0D0D" w:themeColor="text1" w:themeTint="F2"/>
                          <w:sz w:val="20"/>
                          <w:szCs w:val="20"/>
                        </w:rPr>
                        <m:t>2</m:t>
                      </m:r>
                    </m:sup>
                  </m:sSubSup>
                  <m:r>
                    <w:rPr>
                      <w:rFonts w:ascii="Cambria Math" w:hAnsi="Arial" w:cs="Arial"/>
                      <w:color w:val="0D0D0D" w:themeColor="text1" w:themeTint="F2"/>
                      <w:sz w:val="20"/>
                      <w:szCs w:val="20"/>
                    </w:rPr>
                    <m:t>+</m:t>
                  </m:r>
                  <m:sSubSup>
                    <m:sSubSupPr>
                      <m:ctrlPr>
                        <w:rPr>
                          <w:rFonts w:ascii="Cambria Math" w:hAnsi="Arial" w:cs="Arial"/>
                          <w:i/>
                          <w:color w:val="0D0D0D" w:themeColor="text1" w:themeTint="F2"/>
                          <w:sz w:val="20"/>
                          <w:szCs w:val="20"/>
                        </w:rPr>
                      </m:ctrlPr>
                    </m:sSubSupPr>
                    <m:e>
                      <m:r>
                        <w:rPr>
                          <w:rFonts w:ascii="Cambria Math" w:hAnsi="Cambria Math" w:cs="Arial"/>
                          <w:color w:val="0D0D0D" w:themeColor="text1" w:themeTint="F2"/>
                          <w:sz w:val="20"/>
                          <w:szCs w:val="20"/>
                        </w:rPr>
                        <m:t>σ</m:t>
                      </m:r>
                    </m:e>
                    <m:sub>
                      <m:r>
                        <w:rPr>
                          <w:rFonts w:ascii="Cambria Math" w:hAnsi="Cambria Math" w:cs="Arial"/>
                          <w:color w:val="0D0D0D" w:themeColor="text1" w:themeTint="F2"/>
                          <w:sz w:val="20"/>
                          <w:szCs w:val="20"/>
                        </w:rPr>
                        <m:t>u</m:t>
                      </m:r>
                    </m:sub>
                    <m:sup>
                      <m:r>
                        <w:rPr>
                          <w:rFonts w:ascii="Cambria Math" w:hAnsi="Arial" w:cs="Arial"/>
                          <w:color w:val="0D0D0D" w:themeColor="text1" w:themeTint="F2"/>
                          <w:sz w:val="20"/>
                          <w:szCs w:val="20"/>
                        </w:rPr>
                        <m:t>2</m:t>
                      </m:r>
                    </m:sup>
                  </m:sSubSup>
                </m:e>
              </m:rad>
            </m:oMath>
          </w:p>
        </w:tc>
        <w:tc>
          <w:tcPr>
            <w:tcW w:w="4961" w:type="dxa"/>
            <w:gridSpan w:val="3"/>
          </w:tcPr>
          <w:p w:rsidR="001A4614" w:rsidRPr="002D54B4" w:rsidRDefault="001A4614" w:rsidP="001B06A2">
            <w:pPr>
              <w:jc w:val="center"/>
              <w:rPr>
                <w:rFonts w:ascii="Arial" w:hAnsi="Arial" w:cs="Arial"/>
                <w:color w:val="0D0D0D" w:themeColor="text1" w:themeTint="F2"/>
                <w:sz w:val="20"/>
                <w:szCs w:val="20"/>
              </w:rPr>
            </w:pPr>
            <w:r w:rsidRPr="002D54B4">
              <w:rPr>
                <w:rFonts w:ascii="Arial" w:hAnsi="Arial" w:cs="Arial"/>
                <w:color w:val="0D0D0D" w:themeColor="text1" w:themeTint="F2"/>
                <w:sz w:val="20"/>
                <w:szCs w:val="20"/>
              </w:rPr>
              <w:t>6.5</w:t>
            </w:r>
          </w:p>
        </w:tc>
      </w:tr>
      <w:tr w:rsidR="001B06A2" w:rsidRPr="002D54B4" w:rsidTr="00E6401A">
        <w:tc>
          <w:tcPr>
            <w:tcW w:w="3652" w:type="dxa"/>
          </w:tcPr>
          <w:p w:rsidR="001B06A2" w:rsidRPr="002D54B4" w:rsidRDefault="00226A3C" w:rsidP="00BA062F">
            <w:pPr>
              <w:rPr>
                <w:rFonts w:ascii="Arial" w:hAnsi="Arial" w:cs="Arial"/>
                <w:color w:val="0D0D0D" w:themeColor="text1" w:themeTint="F2"/>
                <w:sz w:val="20"/>
                <w:szCs w:val="20"/>
              </w:rPr>
            </w:pPr>
            <w:proofErr w:type="spellStart"/>
            <w:r w:rsidRPr="002D54B4">
              <w:rPr>
                <w:rFonts w:ascii="Arial" w:hAnsi="Arial" w:cs="Arial"/>
                <w:i/>
                <w:color w:val="0D0D0D" w:themeColor="text1" w:themeTint="F2"/>
                <w:sz w:val="20"/>
                <w:szCs w:val="20"/>
              </w:rPr>
              <w:t>D</w:t>
            </w:r>
            <w:r w:rsidRPr="002D54B4">
              <w:rPr>
                <w:rFonts w:ascii="Arial" w:hAnsi="Arial" w:cs="Arial"/>
                <w:i/>
                <w:color w:val="0D0D0D" w:themeColor="text1" w:themeTint="F2"/>
                <w:sz w:val="20"/>
                <w:szCs w:val="20"/>
                <w:vertAlign w:val="subscript"/>
              </w:rPr>
              <w:t>az</w:t>
            </w:r>
            <w:proofErr w:type="spellEnd"/>
            <w:r w:rsidR="001B06A2" w:rsidRPr="002D54B4">
              <w:rPr>
                <w:rFonts w:ascii="Arial" w:hAnsi="Arial" w:cs="Arial"/>
                <w:color w:val="0D0D0D" w:themeColor="text1" w:themeTint="F2"/>
                <w:sz w:val="20"/>
                <w:szCs w:val="20"/>
              </w:rPr>
              <w:t xml:space="preserve"> + </w:t>
            </w:r>
            <w:proofErr w:type="spellStart"/>
            <w:r w:rsidRPr="002D54B4">
              <w:rPr>
                <w:rFonts w:ascii="Arial" w:hAnsi="Arial" w:cs="Arial"/>
                <w:i/>
                <w:color w:val="0D0D0D" w:themeColor="text1" w:themeTint="F2"/>
                <w:sz w:val="20"/>
                <w:szCs w:val="20"/>
              </w:rPr>
              <w:t>D</w:t>
            </w:r>
            <w:r w:rsidRPr="002D54B4">
              <w:rPr>
                <w:rFonts w:ascii="Arial" w:hAnsi="Arial" w:cs="Arial"/>
                <w:i/>
                <w:color w:val="0D0D0D" w:themeColor="text1" w:themeTint="F2"/>
                <w:sz w:val="20"/>
                <w:szCs w:val="20"/>
                <w:vertAlign w:val="subscript"/>
              </w:rPr>
              <w:t>pol</w:t>
            </w:r>
            <w:proofErr w:type="spellEnd"/>
            <w:r w:rsidR="001A4614" w:rsidRPr="002D54B4">
              <w:rPr>
                <w:rFonts w:ascii="Arial" w:hAnsi="Arial" w:cs="Arial"/>
                <w:i/>
                <w:color w:val="0D0D0D" w:themeColor="text1" w:themeTint="F2"/>
                <w:sz w:val="20"/>
                <w:szCs w:val="20"/>
              </w:rPr>
              <w:t xml:space="preserve"> </w:t>
            </w:r>
            <w:r w:rsidR="001A4614" w:rsidRPr="002D54B4">
              <w:rPr>
                <w:rFonts w:ascii="Arial" w:hAnsi="Arial" w:cs="Arial"/>
                <w:color w:val="0D0D0D" w:themeColor="text1" w:themeTint="F2"/>
                <w:sz w:val="20"/>
                <w:szCs w:val="20"/>
              </w:rPr>
              <w:t>(dB)</w:t>
            </w:r>
            <w:r w:rsidR="00BA062F" w:rsidRPr="002D54B4">
              <w:rPr>
                <w:rStyle w:val="FootnoteReference"/>
                <w:rFonts w:ascii="Arial" w:hAnsi="Arial" w:cs="Arial"/>
                <w:color w:val="0D0D0D" w:themeColor="text1" w:themeTint="F2"/>
                <w:sz w:val="20"/>
                <w:szCs w:val="20"/>
              </w:rPr>
              <w:t xml:space="preserve"> </w:t>
            </w:r>
            <w:r w:rsidR="00BA062F" w:rsidRPr="002D54B4">
              <w:rPr>
                <w:rStyle w:val="FootnoteReference"/>
                <w:rFonts w:ascii="Arial" w:hAnsi="Arial" w:cs="Arial"/>
                <w:color w:val="0D0D0D" w:themeColor="text1" w:themeTint="F2"/>
                <w:sz w:val="20"/>
                <w:szCs w:val="20"/>
              </w:rPr>
              <w:footnoteReference w:id="5"/>
            </w:r>
            <w:r w:rsidR="00AB4839" w:rsidRPr="002D54B4">
              <w:rPr>
                <w:rFonts w:ascii="Arial" w:hAnsi="Arial" w:cs="Arial"/>
                <w:color w:val="0D0D0D" w:themeColor="text1" w:themeTint="F2"/>
                <w:sz w:val="20"/>
                <w:szCs w:val="20"/>
                <w:vertAlign w:val="superscript"/>
              </w:rPr>
              <w:t>,</w:t>
            </w:r>
            <w:r w:rsidR="004C7548" w:rsidRPr="002D54B4">
              <w:rPr>
                <w:rStyle w:val="FootnoteReference"/>
                <w:rFonts w:ascii="Arial" w:hAnsi="Arial" w:cs="Arial"/>
                <w:color w:val="0D0D0D" w:themeColor="text1" w:themeTint="F2"/>
                <w:sz w:val="20"/>
                <w:szCs w:val="20"/>
              </w:rPr>
              <w:footnoteReference w:id="6"/>
            </w:r>
          </w:p>
        </w:tc>
        <w:tc>
          <w:tcPr>
            <w:tcW w:w="1834" w:type="dxa"/>
            <w:tcBorders>
              <w:right w:val="single" w:sz="4" w:space="0" w:color="auto"/>
            </w:tcBorders>
          </w:tcPr>
          <w:p w:rsidR="001B06A2" w:rsidRPr="002D54B4" w:rsidRDefault="001B06A2" w:rsidP="001B06A2">
            <w:pPr>
              <w:jc w:val="center"/>
              <w:rPr>
                <w:rFonts w:ascii="Arial" w:hAnsi="Arial" w:cs="Arial"/>
                <w:color w:val="0D0D0D" w:themeColor="text1" w:themeTint="F2"/>
                <w:sz w:val="20"/>
                <w:szCs w:val="20"/>
              </w:rPr>
            </w:pPr>
            <w:r w:rsidRPr="002D54B4">
              <w:rPr>
                <w:rFonts w:ascii="Arial" w:hAnsi="Arial" w:cs="Arial"/>
                <w:color w:val="0D0D0D" w:themeColor="text1" w:themeTint="F2"/>
                <w:sz w:val="20"/>
                <w:szCs w:val="20"/>
              </w:rPr>
              <w:t>3</w:t>
            </w:r>
          </w:p>
        </w:tc>
        <w:tc>
          <w:tcPr>
            <w:tcW w:w="3127" w:type="dxa"/>
            <w:gridSpan w:val="2"/>
            <w:tcBorders>
              <w:left w:val="single" w:sz="4" w:space="0" w:color="auto"/>
            </w:tcBorders>
          </w:tcPr>
          <w:p w:rsidR="001B06A2" w:rsidRPr="002D54B4" w:rsidRDefault="001B06A2" w:rsidP="001B06A2">
            <w:pPr>
              <w:jc w:val="center"/>
              <w:rPr>
                <w:rFonts w:ascii="Arial" w:hAnsi="Arial" w:cs="Arial"/>
                <w:color w:val="0D0D0D" w:themeColor="text1" w:themeTint="F2"/>
                <w:sz w:val="20"/>
                <w:szCs w:val="20"/>
              </w:rPr>
            </w:pPr>
            <w:r w:rsidRPr="002D54B4">
              <w:rPr>
                <w:rFonts w:ascii="Arial" w:hAnsi="Arial" w:cs="Arial"/>
                <w:color w:val="0D0D0D" w:themeColor="text1" w:themeTint="F2"/>
                <w:sz w:val="20"/>
                <w:szCs w:val="20"/>
              </w:rPr>
              <w:t>16</w:t>
            </w:r>
          </w:p>
        </w:tc>
      </w:tr>
      <w:tr w:rsidR="001B06A2" w:rsidRPr="002D54B4" w:rsidTr="00E6401A">
        <w:tc>
          <w:tcPr>
            <w:tcW w:w="3652" w:type="dxa"/>
            <w:tcBorders>
              <w:bottom w:val="single" w:sz="4" w:space="0" w:color="000000" w:themeColor="text1"/>
            </w:tcBorders>
          </w:tcPr>
          <w:p w:rsidR="001B06A2" w:rsidRPr="002D54B4" w:rsidRDefault="000D63D2" w:rsidP="00721C84">
            <w:pPr>
              <w:rPr>
                <w:rFonts w:ascii="Arial" w:hAnsi="Arial" w:cs="Arial"/>
                <w:color w:val="0D0D0D" w:themeColor="text1" w:themeTint="F2"/>
                <w:sz w:val="20"/>
                <w:szCs w:val="20"/>
              </w:rPr>
            </w:pPr>
            <w:r w:rsidRPr="002D54B4">
              <w:rPr>
                <w:rFonts w:ascii="Arial" w:hAnsi="Arial" w:cs="Arial"/>
                <w:color w:val="0D0D0D" w:themeColor="text1" w:themeTint="F2"/>
                <w:sz w:val="20"/>
                <w:szCs w:val="20"/>
              </w:rPr>
              <w:t>Maximum interfering field strength,</w:t>
            </w:r>
            <w:r w:rsidRPr="002D54B4">
              <w:rPr>
                <w:rFonts w:ascii="Arial" w:hAnsi="Arial" w:cs="Arial"/>
                <w:color w:val="0D0D0D" w:themeColor="text1" w:themeTint="F2"/>
                <w:sz w:val="20"/>
                <w:szCs w:val="20"/>
              </w:rPr>
              <w:br/>
            </w:r>
            <w:proofErr w:type="spellStart"/>
            <w:r w:rsidR="00226A3C" w:rsidRPr="002D54B4">
              <w:rPr>
                <w:rFonts w:ascii="Arial" w:hAnsi="Arial" w:cs="Arial"/>
                <w:i/>
                <w:color w:val="0D0D0D" w:themeColor="text1" w:themeTint="F2"/>
                <w:sz w:val="20"/>
                <w:szCs w:val="20"/>
              </w:rPr>
              <w:t>E</w:t>
            </w:r>
            <w:r w:rsidR="00226A3C" w:rsidRPr="002D54B4">
              <w:rPr>
                <w:rFonts w:ascii="Arial" w:hAnsi="Arial" w:cs="Arial"/>
                <w:i/>
                <w:color w:val="0D0D0D" w:themeColor="text1" w:themeTint="F2"/>
                <w:sz w:val="20"/>
                <w:szCs w:val="20"/>
                <w:vertAlign w:val="subscript"/>
              </w:rPr>
              <w:t>i_max</w:t>
            </w:r>
            <w:proofErr w:type="spellEnd"/>
            <w:r w:rsidR="00226A3C" w:rsidRPr="002D54B4">
              <w:rPr>
                <w:rFonts w:ascii="Arial" w:hAnsi="Arial" w:cs="Arial"/>
                <w:color w:val="0D0D0D" w:themeColor="text1" w:themeTint="F2"/>
                <w:sz w:val="20"/>
                <w:szCs w:val="20"/>
                <w:vertAlign w:val="subscript"/>
              </w:rPr>
              <w:t xml:space="preserve"> </w:t>
            </w:r>
            <w:r w:rsidRPr="002D54B4">
              <w:rPr>
                <w:rFonts w:ascii="Arial" w:hAnsi="Arial" w:cs="Arial"/>
                <w:color w:val="0D0D0D" w:themeColor="text1" w:themeTint="F2"/>
                <w:sz w:val="20"/>
                <w:szCs w:val="20"/>
              </w:rPr>
              <w:t>(dBµV/m) (rounded)</w:t>
            </w:r>
          </w:p>
        </w:tc>
        <w:tc>
          <w:tcPr>
            <w:tcW w:w="1834" w:type="dxa"/>
            <w:tcBorders>
              <w:bottom w:val="single" w:sz="4" w:space="0" w:color="000000" w:themeColor="text1"/>
              <w:right w:val="single" w:sz="4" w:space="0" w:color="auto"/>
            </w:tcBorders>
          </w:tcPr>
          <w:p w:rsidR="001B06A2" w:rsidRPr="002D54B4" w:rsidRDefault="000D63D2" w:rsidP="000D63D2">
            <w:pPr>
              <w:jc w:val="center"/>
              <w:rPr>
                <w:rFonts w:ascii="Arial" w:hAnsi="Arial" w:cs="Arial"/>
                <w:color w:val="0D0D0D" w:themeColor="text1" w:themeTint="F2"/>
                <w:sz w:val="20"/>
                <w:szCs w:val="20"/>
              </w:rPr>
            </w:pPr>
            <w:r w:rsidRPr="002D54B4">
              <w:rPr>
                <w:rFonts w:ascii="Arial" w:hAnsi="Arial" w:cs="Arial"/>
                <w:color w:val="0D0D0D" w:themeColor="text1" w:themeTint="F2"/>
                <w:sz w:val="20"/>
                <w:szCs w:val="20"/>
              </w:rPr>
              <w:t>30 dBµV/m</w:t>
            </w:r>
          </w:p>
        </w:tc>
        <w:tc>
          <w:tcPr>
            <w:tcW w:w="3127" w:type="dxa"/>
            <w:gridSpan w:val="2"/>
            <w:tcBorders>
              <w:left w:val="single" w:sz="4" w:space="0" w:color="auto"/>
              <w:bottom w:val="single" w:sz="4" w:space="0" w:color="000000" w:themeColor="text1"/>
            </w:tcBorders>
          </w:tcPr>
          <w:p w:rsidR="001B06A2" w:rsidRPr="002D54B4" w:rsidRDefault="000D63D2" w:rsidP="000D63D2">
            <w:pPr>
              <w:jc w:val="center"/>
              <w:rPr>
                <w:rFonts w:ascii="Arial" w:hAnsi="Arial" w:cs="Arial"/>
                <w:color w:val="0D0D0D" w:themeColor="text1" w:themeTint="F2"/>
                <w:sz w:val="20"/>
                <w:szCs w:val="20"/>
              </w:rPr>
            </w:pPr>
            <w:r w:rsidRPr="002D54B4">
              <w:rPr>
                <w:rFonts w:ascii="Arial" w:hAnsi="Arial" w:cs="Arial"/>
                <w:color w:val="0D0D0D" w:themeColor="text1" w:themeTint="F2"/>
                <w:sz w:val="20"/>
                <w:szCs w:val="20"/>
              </w:rPr>
              <w:t>43 dBµV/m</w:t>
            </w:r>
          </w:p>
        </w:tc>
      </w:tr>
      <w:tr w:rsidR="00E6401A" w:rsidRPr="002D54B4" w:rsidTr="00E6401A">
        <w:trPr>
          <w:trHeight w:val="289"/>
        </w:trPr>
        <w:tc>
          <w:tcPr>
            <w:tcW w:w="3652" w:type="dxa"/>
            <w:tcBorders>
              <w:left w:val="nil"/>
              <w:right w:val="nil"/>
            </w:tcBorders>
          </w:tcPr>
          <w:p w:rsidR="00E6401A" w:rsidRPr="002D54B4" w:rsidRDefault="00E6401A" w:rsidP="00721C84">
            <w:pPr>
              <w:rPr>
                <w:rFonts w:ascii="Arial" w:hAnsi="Arial" w:cs="Arial"/>
                <w:color w:val="0D0D0D" w:themeColor="text1" w:themeTint="F2"/>
                <w:sz w:val="20"/>
                <w:szCs w:val="20"/>
              </w:rPr>
            </w:pPr>
          </w:p>
        </w:tc>
        <w:tc>
          <w:tcPr>
            <w:tcW w:w="1834" w:type="dxa"/>
            <w:tcBorders>
              <w:left w:val="nil"/>
              <w:right w:val="nil"/>
            </w:tcBorders>
          </w:tcPr>
          <w:p w:rsidR="00E6401A" w:rsidRPr="002D54B4" w:rsidRDefault="00E6401A" w:rsidP="000D63D2">
            <w:pPr>
              <w:jc w:val="center"/>
              <w:rPr>
                <w:rFonts w:ascii="Arial" w:hAnsi="Arial" w:cs="Arial"/>
                <w:color w:val="0D0D0D" w:themeColor="text1" w:themeTint="F2"/>
                <w:sz w:val="20"/>
                <w:szCs w:val="20"/>
              </w:rPr>
            </w:pPr>
          </w:p>
        </w:tc>
        <w:tc>
          <w:tcPr>
            <w:tcW w:w="3127" w:type="dxa"/>
            <w:gridSpan w:val="2"/>
            <w:tcBorders>
              <w:left w:val="nil"/>
              <w:right w:val="nil"/>
            </w:tcBorders>
          </w:tcPr>
          <w:p w:rsidR="00E6401A" w:rsidRPr="002D54B4" w:rsidRDefault="00E6401A" w:rsidP="000D63D2">
            <w:pPr>
              <w:jc w:val="center"/>
              <w:rPr>
                <w:rFonts w:ascii="Arial" w:hAnsi="Arial" w:cs="Arial"/>
                <w:color w:val="0D0D0D" w:themeColor="text1" w:themeTint="F2"/>
                <w:sz w:val="20"/>
                <w:szCs w:val="20"/>
              </w:rPr>
            </w:pPr>
          </w:p>
        </w:tc>
      </w:tr>
    </w:tbl>
    <w:p w:rsidR="00953BCD" w:rsidRPr="002D54B4" w:rsidRDefault="001F05D0" w:rsidP="00953BCD">
      <w:pPr>
        <w:pStyle w:val="Heading3"/>
        <w:numPr>
          <w:ilvl w:val="1"/>
          <w:numId w:val="5"/>
        </w:numPr>
        <w:rPr>
          <w:rFonts w:ascii="Arial" w:hAnsi="Arial" w:cs="Arial"/>
          <w:color w:val="0D0D0D" w:themeColor="text1" w:themeTint="F2"/>
        </w:rPr>
      </w:pPr>
      <w:r w:rsidRPr="002D54B4">
        <w:rPr>
          <w:rFonts w:ascii="Arial" w:hAnsi="Arial" w:cs="Arial"/>
          <w:color w:val="0D0D0D" w:themeColor="text1" w:themeTint="F2"/>
        </w:rPr>
        <w:t>”Back-of-antenna” Exclusion zone component</w:t>
      </w:r>
    </w:p>
    <w:p w:rsidR="00953BCD" w:rsidRPr="002D54B4" w:rsidRDefault="00953BCD" w:rsidP="00953BCD">
      <w:pPr>
        <w:rPr>
          <w:rFonts w:ascii="Arial" w:hAnsi="Arial" w:cs="Arial"/>
          <w:color w:val="0D0D0D" w:themeColor="text1" w:themeTint="F2"/>
        </w:rPr>
      </w:pPr>
      <w:r w:rsidRPr="002D54B4">
        <w:rPr>
          <w:rFonts w:ascii="Arial" w:hAnsi="Arial" w:cs="Arial"/>
          <w:color w:val="0D0D0D" w:themeColor="text1" w:themeTint="F2"/>
        </w:rPr>
        <w:t xml:space="preserve">Spectrum licensed transmitters will only be allowed to be introduced into areas where they can operate co-channel with </w:t>
      </w:r>
      <w:r w:rsidRPr="002D54B4">
        <w:rPr>
          <w:rFonts w:ascii="Arial" w:hAnsi="Arial" w:cs="Arial"/>
          <w:i/>
          <w:color w:val="0D0D0D" w:themeColor="text1" w:themeTint="F2"/>
        </w:rPr>
        <w:t>any</w:t>
      </w:r>
      <w:r w:rsidRPr="002D54B4">
        <w:rPr>
          <w:rFonts w:ascii="Arial" w:hAnsi="Arial" w:cs="Arial"/>
          <w:color w:val="0D0D0D" w:themeColor="text1" w:themeTint="F2"/>
        </w:rPr>
        <w:t xml:space="preserve"> DTV service in the 700 MHz band. This means that a spectrum licensed transmitter must be geographically separated from the edge of a DTV coverage area by a buffer distance such that no interference will be caused to receivers of that DTV service. If the spectrum licensed base station tra</w:t>
      </w:r>
      <w:r w:rsidR="00450D6E" w:rsidRPr="002D54B4">
        <w:rPr>
          <w:rFonts w:ascii="Arial" w:hAnsi="Arial" w:cs="Arial"/>
          <w:color w:val="0D0D0D" w:themeColor="text1" w:themeTint="F2"/>
        </w:rPr>
        <w:t>n</w:t>
      </w:r>
      <w:r w:rsidRPr="002D54B4">
        <w:rPr>
          <w:rFonts w:ascii="Arial" w:hAnsi="Arial" w:cs="Arial"/>
          <w:color w:val="0D0D0D" w:themeColor="text1" w:themeTint="F2"/>
        </w:rPr>
        <w:t xml:space="preserve">smitter is situated some specified minimum distance from the edge of coverage, then the path to the nearest DTV receiving location will be perpendicular to the coverage edge, and hence into the </w:t>
      </w:r>
      <w:r w:rsidR="00730BBF" w:rsidRPr="002D54B4">
        <w:rPr>
          <w:rFonts w:ascii="Arial" w:hAnsi="Arial" w:cs="Arial"/>
          <w:color w:val="0D0D0D" w:themeColor="text1" w:themeTint="F2"/>
        </w:rPr>
        <w:t>rear</w:t>
      </w:r>
      <w:r w:rsidR="00730BBF" w:rsidRPr="002D54B4">
        <w:rPr>
          <w:rFonts w:ascii="Arial" w:hAnsi="Arial" w:cs="Arial"/>
          <w:color w:val="0D0D0D" w:themeColor="text1" w:themeTint="F2"/>
          <w:vertAlign w:val="superscript"/>
        </w:rPr>
        <w:t>4</w:t>
      </w:r>
      <w:r w:rsidR="00730BBF" w:rsidRPr="002D54B4">
        <w:rPr>
          <w:rFonts w:ascii="Arial" w:hAnsi="Arial" w:cs="Arial"/>
          <w:color w:val="0D0D0D" w:themeColor="text1" w:themeTint="F2"/>
        </w:rPr>
        <w:t xml:space="preserve"> </w:t>
      </w:r>
      <w:r w:rsidRPr="002D54B4">
        <w:rPr>
          <w:rFonts w:ascii="Arial" w:hAnsi="Arial" w:cs="Arial"/>
          <w:color w:val="0D0D0D" w:themeColor="text1" w:themeTint="F2"/>
        </w:rPr>
        <w:t xml:space="preserve">of a DTV receiving antenna at that location (see Figure 1). </w:t>
      </w:r>
      <w:r w:rsidR="00450D6E" w:rsidRPr="002D54B4">
        <w:rPr>
          <w:rFonts w:ascii="Arial" w:hAnsi="Arial" w:cs="Arial"/>
          <w:color w:val="0D0D0D" w:themeColor="text1" w:themeTint="F2"/>
        </w:rPr>
        <w:t>In addition, if this minimum separation distance is satisfied at the edge of coverage, then there is an even greater distance to DTV receivers within the coverage area, and the geographic separation requirement is satisfied everywhere within the coverage area.</w:t>
      </w:r>
    </w:p>
    <w:p w:rsidR="009A1FB4" w:rsidRDefault="009A1FB4">
      <w:pPr>
        <w:rPr>
          <w:rFonts w:ascii="Arial" w:hAnsi="Arial" w:cs="Arial"/>
          <w:color w:val="0D0D0D" w:themeColor="text1" w:themeTint="F2"/>
        </w:rPr>
      </w:pPr>
      <w:r>
        <w:rPr>
          <w:rFonts w:ascii="Arial" w:hAnsi="Arial" w:cs="Arial"/>
          <w:color w:val="0D0D0D" w:themeColor="text1" w:themeTint="F2"/>
        </w:rPr>
        <w:br w:type="page"/>
      </w:r>
    </w:p>
    <w:p w:rsidR="009A1FB4" w:rsidRDefault="009A1FB4" w:rsidP="00953BCD">
      <w:pPr>
        <w:rPr>
          <w:rFonts w:ascii="Arial" w:hAnsi="Arial" w:cs="Arial"/>
          <w:color w:val="0D0D0D" w:themeColor="text1" w:themeTint="F2"/>
        </w:rPr>
      </w:pPr>
    </w:p>
    <w:p w:rsidR="00953BCD" w:rsidRPr="002D54B4" w:rsidRDefault="00953BCD" w:rsidP="00953BCD">
      <w:pPr>
        <w:rPr>
          <w:rFonts w:ascii="Arial" w:hAnsi="Arial" w:cs="Arial"/>
          <w:color w:val="0D0D0D" w:themeColor="text1" w:themeTint="F2"/>
        </w:rPr>
      </w:pPr>
      <w:r w:rsidRPr="002D54B4">
        <w:rPr>
          <w:rFonts w:ascii="Arial" w:hAnsi="Arial" w:cs="Arial"/>
          <w:color w:val="0D0D0D" w:themeColor="text1" w:themeTint="F2"/>
        </w:rPr>
        <w:t>This situation suffic</w:t>
      </w:r>
      <w:r w:rsidR="00450D6E" w:rsidRPr="002D54B4">
        <w:rPr>
          <w:rFonts w:ascii="Arial" w:hAnsi="Arial" w:cs="Arial"/>
          <w:color w:val="0D0D0D" w:themeColor="text1" w:themeTint="F2"/>
        </w:rPr>
        <w:t>es</w:t>
      </w:r>
      <w:r w:rsidRPr="002D54B4">
        <w:rPr>
          <w:rFonts w:ascii="Arial" w:hAnsi="Arial" w:cs="Arial"/>
          <w:color w:val="0D0D0D" w:themeColor="text1" w:themeTint="F2"/>
        </w:rPr>
        <w:t xml:space="preserve"> for DTV services with a large coverage area; however, for cases of DTV services with small coverage areas the critical separation distance may be dictated by unwanted signals entering the main beam of the DTV receive antenna as introduced in Section 3</w:t>
      </w:r>
      <w:r w:rsidR="00450D6E" w:rsidRPr="002D54B4">
        <w:rPr>
          <w:rFonts w:ascii="Arial" w:hAnsi="Arial" w:cs="Arial"/>
          <w:color w:val="0D0D0D" w:themeColor="text1" w:themeTint="F2"/>
        </w:rPr>
        <w:t>.3</w:t>
      </w:r>
      <w:r w:rsidRPr="002D54B4">
        <w:rPr>
          <w:rFonts w:ascii="Arial" w:hAnsi="Arial" w:cs="Arial"/>
          <w:color w:val="0D0D0D" w:themeColor="text1" w:themeTint="F2"/>
        </w:rPr>
        <w:t>.</w:t>
      </w:r>
    </w:p>
    <w:p w:rsidR="00953BCD" w:rsidRPr="002D54B4" w:rsidRDefault="00953BCD" w:rsidP="00953BCD">
      <w:pPr>
        <w:rPr>
          <w:rFonts w:ascii="Arial" w:hAnsi="Arial" w:cs="Arial"/>
          <w:color w:val="0D0D0D" w:themeColor="text1" w:themeTint="F2"/>
        </w:rPr>
      </w:pPr>
    </w:p>
    <w:p w:rsidR="00953BCD" w:rsidRPr="002D54B4" w:rsidRDefault="00516CD0" w:rsidP="00953BCD">
      <w:pPr>
        <w:rPr>
          <w:rFonts w:ascii="Arial" w:hAnsi="Arial" w:cs="Arial"/>
          <w:color w:val="0D0D0D" w:themeColor="text1" w:themeTint="F2"/>
        </w:rPr>
      </w:pPr>
      <w:r w:rsidRPr="00516CD0">
        <w:rPr>
          <w:rFonts w:ascii="Arial" w:hAnsi="Arial" w:cs="Arial"/>
          <w:b/>
          <w:noProof/>
          <w:color w:val="0D0D0D" w:themeColor="text1" w:themeTint="F2"/>
          <w:lang w:val="en-US"/>
        </w:rPr>
        <w:pict>
          <v:group id="_x0000_s1073" style="position:absolute;margin-left:52pt;margin-top:.9pt;width:230.75pt;height:208.5pt;z-index:251704320" coordorigin="2480,4075" coordsize="4615,4170">
            <v:oval id="_x0000_s1074" style="position:absolute;left:2992;top:4075;width:4103;height:4170" fillcolor="#f2dbdb [661]">
              <v:stroke dashstyle="dash"/>
            </v:oval>
            <v:oval id="_x0000_s1075" style="position:absolute;left:3555;top:4570;width:3030;height:3135" fillcolor="#cfc" stroked="f"/>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76" type="#_x0000_t5" style="position:absolute;left:4942;top:6084;width:143;height:225" fillcolor="#00b050"/>
            <v:shapetype id="_x0000_t32" coordsize="21600,21600" o:spt="32" o:oned="t" path="m,l21600,21600e" filled="f">
              <v:path arrowok="t" fillok="f" o:connecttype="none"/>
              <o:lock v:ext="edit" shapetype="t"/>
            </v:shapetype>
            <v:shape id="_x0000_s1077" type="#_x0000_t32" style="position:absolute;left:3555;top:6161;width:1387;height:0;flip:x" o:connectortype="straight" strokecolor="#00b050" strokeweight="1.5pt"/>
            <v:shape id="_x0000_s1078" type="#_x0000_t5" style="position:absolute;left:2849;top:6160;width:143;height:143" fillcolor="red"/>
            <v:shape id="_x0000_s1079" type="#_x0000_t5" style="position:absolute;left:3525;top:6091;width:142;height:128;rotation:-270;flip:y" fillcolor="black [3213]"/>
            <v:shapetype id="_x0000_t202" coordsize="21600,21600" o:spt="202" path="m,l,21600r21600,l21600,xe">
              <v:stroke joinstyle="miter"/>
              <v:path gradientshapeok="t" o:connecttype="rect"/>
            </v:shapetype>
            <v:shape id="_x0000_s1080" type="#_x0000_t202" style="position:absolute;left:4719;top:5762;width:1334;height:397;mso-width-relative:margin;mso-height-relative:margin" filled="f" stroked="f">
              <v:textbox>
                <w:txbxContent>
                  <w:p w:rsidR="00035506" w:rsidRPr="00FA13B7" w:rsidRDefault="00035506" w:rsidP="00953BCD">
                    <w:pPr>
                      <w:rPr>
                        <w:sz w:val="16"/>
                        <w:szCs w:val="16"/>
                      </w:rPr>
                    </w:pPr>
                    <w:r>
                      <w:rPr>
                        <w:sz w:val="16"/>
                        <w:szCs w:val="16"/>
                      </w:rPr>
                      <w:t>DTV</w:t>
                    </w:r>
                    <w:r w:rsidRPr="00FA13B7">
                      <w:rPr>
                        <w:sz w:val="16"/>
                        <w:szCs w:val="16"/>
                      </w:rPr>
                      <w:t xml:space="preserve"> </w:t>
                    </w:r>
                    <w:proofErr w:type="spellStart"/>
                    <w:proofErr w:type="gramStart"/>
                    <w:r w:rsidRPr="00FA13B7">
                      <w:rPr>
                        <w:sz w:val="16"/>
                        <w:szCs w:val="16"/>
                      </w:rPr>
                      <w:t>tx</w:t>
                    </w:r>
                    <w:proofErr w:type="spellEnd"/>
                    <w:proofErr w:type="gramEnd"/>
                    <w:r w:rsidRPr="00FA13B7">
                      <w:rPr>
                        <w:sz w:val="16"/>
                        <w:szCs w:val="16"/>
                      </w:rPr>
                      <w:t xml:space="preserve"> station</w:t>
                    </w:r>
                  </w:p>
                </w:txbxContent>
              </v:textbox>
            </v:shape>
            <v:shape id="_x0000_s1081" type="#_x0000_t202" style="position:absolute;left:3295;top:5763;width:905;height:397;mso-width-relative:margin;mso-height-relative:margin" filled="f" stroked="f">
              <v:textbox>
                <w:txbxContent>
                  <w:p w:rsidR="00035506" w:rsidRPr="00FA13B7" w:rsidRDefault="00035506" w:rsidP="00953BCD">
                    <w:pPr>
                      <w:rPr>
                        <w:sz w:val="16"/>
                        <w:szCs w:val="16"/>
                      </w:rPr>
                    </w:pPr>
                    <w:r>
                      <w:rPr>
                        <w:sz w:val="16"/>
                        <w:szCs w:val="16"/>
                      </w:rPr>
                      <w:t>DTV</w:t>
                    </w:r>
                    <w:r w:rsidRPr="00FA13B7">
                      <w:rPr>
                        <w:sz w:val="16"/>
                        <w:szCs w:val="16"/>
                      </w:rPr>
                      <w:t xml:space="preserve"> </w:t>
                    </w:r>
                    <w:proofErr w:type="spellStart"/>
                    <w:proofErr w:type="gramStart"/>
                    <w:r>
                      <w:rPr>
                        <w:sz w:val="16"/>
                        <w:szCs w:val="16"/>
                      </w:rPr>
                      <w:t>rx</w:t>
                    </w:r>
                    <w:proofErr w:type="spellEnd"/>
                    <w:proofErr w:type="gramEnd"/>
                  </w:p>
                </w:txbxContent>
              </v:textbox>
            </v:shape>
            <v:shape id="_x0000_s1082" type="#_x0000_t202" style="position:absolute;left:2480;top:6325;width:905;height:397;mso-width-relative:margin;mso-height-relative:margin" filled="f" stroked="f">
              <v:textbox>
                <w:txbxContent>
                  <w:p w:rsidR="00035506" w:rsidRPr="00FA13B7" w:rsidRDefault="00035506" w:rsidP="00953BCD">
                    <w:pPr>
                      <w:rPr>
                        <w:sz w:val="16"/>
                        <w:szCs w:val="16"/>
                      </w:rPr>
                    </w:pPr>
                    <w:r>
                      <w:rPr>
                        <w:sz w:val="16"/>
                        <w:szCs w:val="16"/>
                      </w:rPr>
                      <w:t>SL BS</w:t>
                    </w:r>
                  </w:p>
                </w:txbxContent>
              </v:textbox>
            </v:shape>
            <v:shape id="_x0000_s1083" type="#_x0000_t202" style="position:absolute;left:4500;top:4667;width:1223;height:735;mso-width-relative:margin;mso-height-relative:margin" filled="f" stroked="f">
              <v:textbox>
                <w:txbxContent>
                  <w:p w:rsidR="00035506" w:rsidRPr="00CB070E" w:rsidRDefault="00035506" w:rsidP="00953BCD">
                    <w:pPr>
                      <w:jc w:val="center"/>
                      <w:rPr>
                        <w:b/>
                        <w:sz w:val="16"/>
                        <w:szCs w:val="16"/>
                      </w:rPr>
                    </w:pPr>
                    <w:r>
                      <w:rPr>
                        <w:b/>
                        <w:sz w:val="16"/>
                        <w:szCs w:val="16"/>
                      </w:rPr>
                      <w:t>DTV</w:t>
                    </w:r>
                    <w:r w:rsidRPr="00CB070E">
                      <w:rPr>
                        <w:b/>
                        <w:sz w:val="16"/>
                        <w:szCs w:val="16"/>
                      </w:rPr>
                      <w:t xml:space="preserve"> coverage area</w:t>
                    </w:r>
                  </w:p>
                </w:txbxContent>
              </v:textbox>
            </v:shape>
            <v:shape id="_x0000_s1084" type="#_x0000_t202" style="position:absolute;left:4389;top:4173;width:1334;height:397;mso-width-relative:margin;mso-height-relative:margin" filled="f" stroked="f">
              <v:textbox>
                <w:txbxContent>
                  <w:p w:rsidR="00035506" w:rsidRPr="00CB070E" w:rsidRDefault="00035506" w:rsidP="00953BCD">
                    <w:pPr>
                      <w:jc w:val="center"/>
                      <w:rPr>
                        <w:b/>
                        <w:sz w:val="16"/>
                        <w:szCs w:val="16"/>
                      </w:rPr>
                    </w:pPr>
                    <w:r w:rsidRPr="00CB070E">
                      <w:rPr>
                        <w:b/>
                        <w:sz w:val="16"/>
                        <w:szCs w:val="16"/>
                      </w:rPr>
                      <w:t>Exclusion zone</w:t>
                    </w:r>
                  </w:p>
                </w:txbxContent>
              </v:textbox>
            </v:shape>
          </v:group>
        </w:pict>
      </w:r>
    </w:p>
    <w:p w:rsidR="00953BCD" w:rsidRPr="002D54B4" w:rsidRDefault="00953BCD" w:rsidP="00953BCD">
      <w:pPr>
        <w:rPr>
          <w:rFonts w:ascii="Arial" w:hAnsi="Arial" w:cs="Arial"/>
          <w:color w:val="0D0D0D" w:themeColor="text1" w:themeTint="F2"/>
        </w:rPr>
      </w:pPr>
    </w:p>
    <w:p w:rsidR="00953BCD" w:rsidRPr="002D54B4" w:rsidRDefault="00953BCD" w:rsidP="00953BCD">
      <w:pPr>
        <w:rPr>
          <w:rFonts w:ascii="Arial" w:hAnsi="Arial" w:cs="Arial"/>
          <w:color w:val="0D0D0D" w:themeColor="text1" w:themeTint="F2"/>
        </w:rPr>
      </w:pPr>
    </w:p>
    <w:p w:rsidR="00953BCD" w:rsidRPr="002D54B4" w:rsidRDefault="00953BCD" w:rsidP="00953BCD">
      <w:pPr>
        <w:rPr>
          <w:rFonts w:ascii="Arial" w:hAnsi="Arial" w:cs="Arial"/>
          <w:color w:val="0D0D0D" w:themeColor="text1" w:themeTint="F2"/>
        </w:rPr>
      </w:pPr>
    </w:p>
    <w:p w:rsidR="00953BCD" w:rsidRPr="002D54B4" w:rsidRDefault="00516CD0" w:rsidP="00953BCD">
      <w:pPr>
        <w:rPr>
          <w:rFonts w:ascii="Arial" w:hAnsi="Arial" w:cs="Arial"/>
          <w:color w:val="0D0D0D" w:themeColor="text1" w:themeTint="F2"/>
        </w:rPr>
      </w:pPr>
      <w:r w:rsidRPr="00516CD0">
        <w:rPr>
          <w:rFonts w:ascii="Arial" w:hAnsi="Arial" w:cs="Arial"/>
          <w:noProof/>
          <w:color w:val="0D0D0D" w:themeColor="text1" w:themeTint="F2"/>
          <w:lang w:val="en-US"/>
        </w:rPr>
        <w:pict>
          <v:shape id="_x0000_s1072" type="#_x0000_t32" style="position:absolute;margin-left:77.6pt;margin-top:3.4pt;width:28.15pt;height:0;flip:x;z-index:251703296" o:connectortype="straight" strokecolor="red" strokeweight="1.5pt"/>
        </w:pict>
      </w:r>
    </w:p>
    <w:p w:rsidR="00953BCD" w:rsidRPr="002D54B4" w:rsidRDefault="00953BCD" w:rsidP="00953BCD">
      <w:pPr>
        <w:rPr>
          <w:rFonts w:ascii="Arial" w:hAnsi="Arial" w:cs="Arial"/>
          <w:color w:val="0D0D0D" w:themeColor="text1" w:themeTint="F2"/>
        </w:rPr>
      </w:pPr>
    </w:p>
    <w:p w:rsidR="00953BCD" w:rsidRPr="002D54B4" w:rsidRDefault="00953BCD" w:rsidP="00953BCD">
      <w:pPr>
        <w:rPr>
          <w:rFonts w:ascii="Arial" w:hAnsi="Arial" w:cs="Arial"/>
          <w:color w:val="0D0D0D" w:themeColor="text1" w:themeTint="F2"/>
        </w:rPr>
      </w:pPr>
    </w:p>
    <w:p w:rsidR="00953BCD" w:rsidRPr="002D54B4" w:rsidRDefault="00953BCD" w:rsidP="00953BCD">
      <w:pPr>
        <w:rPr>
          <w:rFonts w:ascii="Arial" w:hAnsi="Arial" w:cs="Arial"/>
          <w:b/>
          <w:color w:val="0D0D0D" w:themeColor="text1" w:themeTint="F2"/>
        </w:rPr>
      </w:pPr>
    </w:p>
    <w:p w:rsidR="00953BCD" w:rsidRPr="002D54B4" w:rsidRDefault="00953BCD" w:rsidP="00953BCD">
      <w:pPr>
        <w:rPr>
          <w:rFonts w:ascii="Arial" w:hAnsi="Arial" w:cs="Arial"/>
          <w:b/>
          <w:color w:val="0D0D0D" w:themeColor="text1" w:themeTint="F2"/>
        </w:rPr>
      </w:pPr>
    </w:p>
    <w:p w:rsidR="003A74B3" w:rsidRPr="00E6401A" w:rsidRDefault="00953BCD" w:rsidP="00E6401A">
      <w:pPr>
        <w:spacing w:after="0"/>
        <w:rPr>
          <w:rFonts w:ascii="Arial" w:hAnsi="Arial" w:cs="Arial"/>
          <w:color w:val="0D0D0D" w:themeColor="text1" w:themeTint="F2"/>
          <w:sz w:val="20"/>
          <w:szCs w:val="20"/>
        </w:rPr>
      </w:pPr>
      <w:r w:rsidRPr="003A74B3">
        <w:rPr>
          <w:rFonts w:ascii="Arial" w:hAnsi="Arial" w:cs="Arial"/>
          <w:b/>
          <w:i/>
          <w:color w:val="0D0D0D" w:themeColor="text1" w:themeTint="F2"/>
          <w:sz w:val="20"/>
          <w:szCs w:val="20"/>
        </w:rPr>
        <w:t>Figure 1</w:t>
      </w:r>
      <w:r w:rsidRPr="003A74B3">
        <w:rPr>
          <w:rFonts w:ascii="Arial" w:hAnsi="Arial" w:cs="Arial"/>
          <w:i/>
          <w:color w:val="0D0D0D" w:themeColor="text1" w:themeTint="F2"/>
          <w:sz w:val="20"/>
          <w:szCs w:val="20"/>
        </w:rPr>
        <w:t>—For any single DTV receiver at the edge of coverage, the nearest a co-channel LTE base station can be to it, while respecting the geographic separation requirement for all points around the DTV coverage edge, is for the LTE base station to be towards the rear of the DTV receive antenna, which is pointing towards the DTV transmitting station.</w:t>
      </w:r>
    </w:p>
    <w:p w:rsidR="001F05D0" w:rsidRPr="002D54B4" w:rsidRDefault="003A74B3" w:rsidP="001F05D0">
      <w:pPr>
        <w:pStyle w:val="Heading3"/>
        <w:numPr>
          <w:ilvl w:val="1"/>
          <w:numId w:val="5"/>
        </w:numPr>
        <w:rPr>
          <w:rFonts w:ascii="Arial" w:hAnsi="Arial" w:cs="Arial"/>
          <w:color w:val="0D0D0D" w:themeColor="text1" w:themeTint="F2"/>
        </w:rPr>
      </w:pPr>
      <w:r w:rsidRPr="002D54B4">
        <w:rPr>
          <w:rFonts w:ascii="Arial" w:hAnsi="Arial" w:cs="Arial"/>
          <w:color w:val="0D0D0D" w:themeColor="text1" w:themeTint="F2"/>
        </w:rPr>
        <w:t xml:space="preserve"> </w:t>
      </w:r>
      <w:r w:rsidR="001F05D0" w:rsidRPr="002D54B4">
        <w:rPr>
          <w:rFonts w:ascii="Arial" w:hAnsi="Arial" w:cs="Arial"/>
          <w:color w:val="0D0D0D" w:themeColor="text1" w:themeTint="F2"/>
        </w:rPr>
        <w:t>“Main-beam” exclusion zone component</w:t>
      </w:r>
    </w:p>
    <w:p w:rsidR="001F05D0" w:rsidRDefault="001F05D0" w:rsidP="001F05D0">
      <w:pPr>
        <w:rPr>
          <w:rFonts w:ascii="Arial" w:hAnsi="Arial" w:cs="Arial"/>
          <w:color w:val="0D0D0D" w:themeColor="text1" w:themeTint="F2"/>
        </w:rPr>
      </w:pPr>
      <w:r w:rsidRPr="002D54B4">
        <w:rPr>
          <w:rFonts w:ascii="Arial" w:hAnsi="Arial" w:cs="Arial"/>
          <w:color w:val="0D0D0D" w:themeColor="text1" w:themeTint="F2"/>
        </w:rPr>
        <w:t xml:space="preserve">If the geographic separation requirement for unwanted signals entering the back of the DTV receive antenna is satisfied at the edge of coverage, </w:t>
      </w:r>
      <w:r w:rsidR="00450D6E" w:rsidRPr="002D54B4">
        <w:rPr>
          <w:rFonts w:ascii="Arial" w:hAnsi="Arial" w:cs="Arial"/>
          <w:color w:val="0D0D0D" w:themeColor="text1" w:themeTint="F2"/>
        </w:rPr>
        <w:t>it</w:t>
      </w:r>
      <w:r w:rsidRPr="002D54B4">
        <w:rPr>
          <w:rFonts w:ascii="Arial" w:hAnsi="Arial" w:cs="Arial"/>
          <w:color w:val="0D0D0D" w:themeColor="text1" w:themeTint="F2"/>
        </w:rPr>
        <w:t xml:space="preserve"> is satisfied everywhere within the coverage area, as explained in Section 3.2. However, this is not the case for unwanted signals entering the main beam of the DTV receive antenna. This is because the main-beam separation decreases below the required level as the </w:t>
      </w:r>
      <w:r w:rsidRPr="00E6401A">
        <w:rPr>
          <w:rFonts w:ascii="Arial" w:hAnsi="Arial" w:cs="Arial"/>
          <w:i/>
          <w:color w:val="0D0D0D" w:themeColor="text1" w:themeTint="F2"/>
        </w:rPr>
        <w:t>receiving</w:t>
      </w:r>
      <w:r w:rsidRPr="002D54B4">
        <w:rPr>
          <w:rFonts w:ascii="Arial" w:hAnsi="Arial" w:cs="Arial"/>
          <w:color w:val="0D0D0D" w:themeColor="text1" w:themeTint="F2"/>
        </w:rPr>
        <w:t xml:space="preserve"> location nears the DTV transmitter (i.e. further within the coverage area). Because assumptions cannot be made about the field strength within the coverage area, </w:t>
      </w:r>
      <w:r w:rsidR="006A78DA" w:rsidRPr="002D54B4">
        <w:rPr>
          <w:rFonts w:ascii="Arial" w:hAnsi="Arial" w:cs="Arial"/>
          <w:color w:val="0D0D0D" w:themeColor="text1" w:themeTint="F2"/>
        </w:rPr>
        <w:t xml:space="preserve">a </w:t>
      </w:r>
      <w:r w:rsidRPr="002D54B4">
        <w:rPr>
          <w:rFonts w:ascii="Arial" w:hAnsi="Arial" w:cs="Arial"/>
          <w:color w:val="0D0D0D" w:themeColor="text1" w:themeTint="F2"/>
        </w:rPr>
        <w:t xml:space="preserve">conservative approach is taken </w:t>
      </w:r>
      <w:r w:rsidR="006A78DA" w:rsidRPr="002D54B4">
        <w:rPr>
          <w:rFonts w:ascii="Arial" w:hAnsi="Arial" w:cs="Arial"/>
          <w:color w:val="0D0D0D" w:themeColor="text1" w:themeTint="F2"/>
        </w:rPr>
        <w:t xml:space="preserve">such </w:t>
      </w:r>
      <w:r w:rsidRPr="002D54B4">
        <w:rPr>
          <w:rFonts w:ascii="Arial" w:hAnsi="Arial" w:cs="Arial"/>
          <w:color w:val="0D0D0D" w:themeColor="text1" w:themeTint="F2"/>
        </w:rPr>
        <w:t>that the separation requirement must be satisfied everywhere within the coverage area, including at the DTV transmitter (see Figure 2).</w:t>
      </w:r>
    </w:p>
    <w:p w:rsidR="009A1FB4" w:rsidRDefault="009A1FB4">
      <w:pPr>
        <w:rPr>
          <w:rFonts w:ascii="Arial" w:hAnsi="Arial" w:cs="Arial"/>
          <w:color w:val="0D0D0D" w:themeColor="text1" w:themeTint="F2"/>
        </w:rPr>
      </w:pPr>
      <w:r>
        <w:rPr>
          <w:rFonts w:ascii="Arial" w:hAnsi="Arial" w:cs="Arial"/>
          <w:color w:val="0D0D0D" w:themeColor="text1" w:themeTint="F2"/>
        </w:rPr>
        <w:br w:type="page"/>
      </w:r>
    </w:p>
    <w:p w:rsidR="009A1FB4" w:rsidRPr="002D54B4" w:rsidRDefault="009A1FB4" w:rsidP="001F05D0">
      <w:pPr>
        <w:rPr>
          <w:rFonts w:ascii="Arial" w:hAnsi="Arial" w:cs="Arial"/>
          <w:color w:val="0D0D0D" w:themeColor="text1" w:themeTint="F2"/>
        </w:rPr>
      </w:pPr>
    </w:p>
    <w:p w:rsidR="001F05D0" w:rsidRPr="002D54B4" w:rsidRDefault="00516CD0" w:rsidP="001F05D0">
      <w:pPr>
        <w:rPr>
          <w:rFonts w:ascii="Arial" w:hAnsi="Arial" w:cs="Arial"/>
          <w:color w:val="0D0D0D" w:themeColor="text1" w:themeTint="F2"/>
        </w:rPr>
      </w:pPr>
      <w:r>
        <w:rPr>
          <w:rFonts w:ascii="Arial" w:hAnsi="Arial" w:cs="Arial"/>
          <w:noProof/>
          <w:color w:val="0D0D0D" w:themeColor="text1" w:themeTint="F2"/>
          <w:lang w:eastAsia="en-AU"/>
        </w:rPr>
        <w:pict>
          <v:group id="_x0000_s1115" style="position:absolute;margin-left:3pt;margin-top:1.7pt;width:205.15pt;height:168.85pt;z-index:251734016" coordorigin="1344,3073" coordsize="4103,3377" o:regroupid="2">
            <v:oval id="_x0000_s1100" style="position:absolute;left:1344;top:3073;width:3441;height:3377" o:regroupid="3" fillcolor="#f2dbdb [661]">
              <v:stroke dashstyle="dash"/>
            </v:oval>
            <v:oval id="_x0000_s1101" style="position:absolute;left:1816;top:3474;width:2541;height:2539" o:regroupid="3" fillcolor="#cfc" stroked="f">
              <v:stroke dashstyle="dash"/>
            </v:oval>
            <v:shape id="_x0000_s1102" type="#_x0000_t202" style="position:absolute;left:2792;top:4439;width:1119;height:322;mso-width-relative:margin;mso-height-relative:margin" o:regroupid="3" filled="f" stroked="f">
              <v:textbox style="mso-next-textbox:#_x0000_s1102">
                <w:txbxContent>
                  <w:p w:rsidR="00035506" w:rsidRPr="00FA13B7" w:rsidRDefault="00035506" w:rsidP="001F05D0">
                    <w:pPr>
                      <w:rPr>
                        <w:sz w:val="16"/>
                        <w:szCs w:val="16"/>
                      </w:rPr>
                    </w:pPr>
                    <w:r>
                      <w:rPr>
                        <w:sz w:val="16"/>
                        <w:szCs w:val="16"/>
                      </w:rPr>
                      <w:t>DTV</w:t>
                    </w:r>
                    <w:r w:rsidRPr="00FA13B7">
                      <w:rPr>
                        <w:sz w:val="16"/>
                        <w:szCs w:val="16"/>
                      </w:rPr>
                      <w:t xml:space="preserve"> </w:t>
                    </w:r>
                    <w:proofErr w:type="spellStart"/>
                    <w:proofErr w:type="gramStart"/>
                    <w:r w:rsidRPr="00FA13B7">
                      <w:rPr>
                        <w:sz w:val="16"/>
                        <w:szCs w:val="16"/>
                      </w:rPr>
                      <w:t>tx</w:t>
                    </w:r>
                    <w:proofErr w:type="spellEnd"/>
                    <w:proofErr w:type="gramEnd"/>
                    <w:r w:rsidRPr="00FA13B7">
                      <w:rPr>
                        <w:sz w:val="16"/>
                        <w:szCs w:val="16"/>
                      </w:rPr>
                      <w:t xml:space="preserve"> station</w:t>
                    </w:r>
                  </w:p>
                </w:txbxContent>
              </v:textbox>
            </v:shape>
            <v:shape id="_x0000_s1103" type="#_x0000_t202" style="position:absolute;left:1497;top:4439;width:759;height:322;mso-width-relative:margin;mso-height-relative:margin" o:regroupid="3" filled="f" stroked="f">
              <v:textbox style="mso-next-textbox:#_x0000_s1103">
                <w:txbxContent>
                  <w:p w:rsidR="00035506" w:rsidRPr="00FA13B7" w:rsidRDefault="00035506" w:rsidP="001F05D0">
                    <w:pPr>
                      <w:rPr>
                        <w:sz w:val="16"/>
                        <w:szCs w:val="16"/>
                      </w:rPr>
                    </w:pPr>
                    <w:r>
                      <w:rPr>
                        <w:sz w:val="16"/>
                        <w:szCs w:val="16"/>
                      </w:rPr>
                      <w:t>DTV</w:t>
                    </w:r>
                    <w:r w:rsidRPr="00FA13B7">
                      <w:rPr>
                        <w:sz w:val="16"/>
                        <w:szCs w:val="16"/>
                      </w:rPr>
                      <w:t xml:space="preserve"> </w:t>
                    </w:r>
                    <w:proofErr w:type="spellStart"/>
                    <w:proofErr w:type="gramStart"/>
                    <w:r>
                      <w:rPr>
                        <w:sz w:val="16"/>
                        <w:szCs w:val="16"/>
                      </w:rPr>
                      <w:t>rx</w:t>
                    </w:r>
                    <w:proofErr w:type="spellEnd"/>
                    <w:proofErr w:type="gramEnd"/>
                  </w:p>
                </w:txbxContent>
              </v:textbox>
            </v:shape>
            <v:shape id="_x0000_s1104" type="#_x0000_t202" style="position:absolute;left:2609;top:3552;width:1025;height:596;mso-width-relative:margin;mso-height-relative:margin" o:regroupid="3" filled="f" stroked="f">
              <v:textbox style="mso-next-textbox:#_x0000_s1104">
                <w:txbxContent>
                  <w:p w:rsidR="00035506" w:rsidRPr="00CB070E" w:rsidRDefault="00035506" w:rsidP="001F05D0">
                    <w:pPr>
                      <w:jc w:val="center"/>
                      <w:rPr>
                        <w:b/>
                        <w:sz w:val="16"/>
                        <w:szCs w:val="16"/>
                      </w:rPr>
                    </w:pPr>
                    <w:r>
                      <w:rPr>
                        <w:b/>
                        <w:sz w:val="16"/>
                        <w:szCs w:val="16"/>
                      </w:rPr>
                      <w:t>DTV</w:t>
                    </w:r>
                    <w:r w:rsidRPr="00CB070E">
                      <w:rPr>
                        <w:b/>
                        <w:sz w:val="16"/>
                        <w:szCs w:val="16"/>
                      </w:rPr>
                      <w:t xml:space="preserve"> coverage area</w:t>
                    </w:r>
                  </w:p>
                </w:txbxContent>
              </v:textbox>
            </v:shape>
            <v:shape id="_x0000_s1105" type="#_x0000_t202" style="position:absolute;left:2498;top:3152;width:1294;height:322;mso-width-relative:margin;mso-height-relative:margin" o:regroupid="3" filled="f" stroked="f">
              <v:textbox style="mso-next-textbox:#_x0000_s1105">
                <w:txbxContent>
                  <w:p w:rsidR="00035506" w:rsidRPr="00CB070E" w:rsidRDefault="00035506" w:rsidP="001F05D0">
                    <w:pPr>
                      <w:jc w:val="center"/>
                      <w:rPr>
                        <w:b/>
                        <w:sz w:val="16"/>
                        <w:szCs w:val="16"/>
                      </w:rPr>
                    </w:pPr>
                    <w:r w:rsidRPr="00CB070E">
                      <w:rPr>
                        <w:b/>
                        <w:sz w:val="16"/>
                        <w:szCs w:val="16"/>
                      </w:rPr>
                      <w:t>Exclusion zone</w:t>
                    </w:r>
                  </w:p>
                </w:txbxContent>
              </v:textbox>
            </v:shape>
            <v:group id="_x0000_s1106" style="position:absolute;left:1797;top:4700;width:3650;height:517" coordorigin="3337,2526" coordsize="4353,638" o:regroupid="3">
              <v:shape id="_x0000_s1107" type="#_x0000_t5" style="position:absolute;left:6900;top:2600;width:143;height:143" fillcolor="red"/>
              <v:shape id="_x0000_s1108" type="#_x0000_t202" style="position:absolute;left:6785;top:2767;width:905;height:397;mso-width-relative:margin;mso-height-relative:margin" filled="f" stroked="f">
                <v:textbox style="mso-next-textbox:#_x0000_s1108">
                  <w:txbxContent>
                    <w:p w:rsidR="00035506" w:rsidRPr="00FA13B7" w:rsidRDefault="00035506" w:rsidP="001F05D0">
                      <w:pPr>
                        <w:rPr>
                          <w:sz w:val="16"/>
                          <w:szCs w:val="16"/>
                        </w:rPr>
                      </w:pPr>
                      <w:r>
                        <w:rPr>
                          <w:sz w:val="16"/>
                          <w:szCs w:val="16"/>
                        </w:rPr>
                        <w:t>SL BS</w:t>
                      </w:r>
                    </w:p>
                  </w:txbxContent>
                </v:textbox>
              </v:shape>
              <v:shape id="_x0000_s1109" type="#_x0000_t32" style="position:absolute;left:3360;top:2600;width:3540;height:1;flip:x" o:connectortype="straight" strokecolor="red" strokeweight="1.5pt"/>
              <v:shape id="_x0000_s1110" type="#_x0000_t5" style="position:absolute;left:3330;top:2533;width:142;height:128;rotation:-270;flip:y" fillcolor="black [3213]"/>
              <v:shape id="_x0000_s1111" type="#_x0000_t5" style="position:absolute;left:4747;top:2526;width:143;height:225" fillcolor="#00b050"/>
            </v:group>
          </v:group>
        </w:pict>
      </w:r>
    </w:p>
    <w:p w:rsidR="001F05D0" w:rsidRPr="002D54B4" w:rsidRDefault="001F05D0" w:rsidP="001F05D0">
      <w:pPr>
        <w:rPr>
          <w:rFonts w:ascii="Arial" w:hAnsi="Arial" w:cs="Arial"/>
          <w:color w:val="0D0D0D" w:themeColor="text1" w:themeTint="F2"/>
        </w:rPr>
      </w:pPr>
    </w:p>
    <w:p w:rsidR="001F05D0" w:rsidRPr="002D54B4" w:rsidRDefault="001F05D0" w:rsidP="001F05D0">
      <w:pPr>
        <w:rPr>
          <w:rFonts w:ascii="Arial" w:hAnsi="Arial" w:cs="Arial"/>
          <w:color w:val="0D0D0D" w:themeColor="text1" w:themeTint="F2"/>
        </w:rPr>
      </w:pPr>
    </w:p>
    <w:p w:rsidR="001F05D0" w:rsidRPr="002D54B4" w:rsidRDefault="00516CD0" w:rsidP="001F05D0">
      <w:pPr>
        <w:rPr>
          <w:rFonts w:ascii="Arial" w:hAnsi="Arial" w:cs="Arial"/>
          <w:color w:val="0D0D0D" w:themeColor="text1" w:themeTint="F2"/>
        </w:rPr>
      </w:pPr>
      <w:r>
        <w:rPr>
          <w:rFonts w:ascii="Arial" w:hAnsi="Arial" w:cs="Arial"/>
          <w:noProof/>
          <w:color w:val="0D0D0D" w:themeColor="text1" w:themeTint="F2"/>
          <w:lang w:eastAsia="en-AU"/>
        </w:rPr>
        <w:pict>
          <v:shape id="_x0000_s1112" type="#_x0000_t32" style="position:absolute;margin-left:23.2pt;margin-top:9.7pt;width:58.15pt;height:0;flip:x;z-index:251725824" o:connectortype="straight" o:regroupid="2" strokecolor="#00b050" strokeweight="1.5pt"/>
        </w:pict>
      </w:r>
    </w:p>
    <w:p w:rsidR="001F05D0" w:rsidRPr="002D54B4" w:rsidRDefault="001F05D0" w:rsidP="001F05D0">
      <w:pPr>
        <w:rPr>
          <w:rFonts w:ascii="Arial" w:hAnsi="Arial" w:cs="Arial"/>
          <w:color w:val="0D0D0D" w:themeColor="text1" w:themeTint="F2"/>
        </w:rPr>
      </w:pPr>
    </w:p>
    <w:p w:rsidR="001F05D0" w:rsidRPr="002D54B4" w:rsidRDefault="001F05D0" w:rsidP="001F05D0">
      <w:pPr>
        <w:rPr>
          <w:rFonts w:ascii="Arial" w:hAnsi="Arial" w:cs="Arial"/>
          <w:color w:val="0D0D0D" w:themeColor="text1" w:themeTint="F2"/>
        </w:rPr>
      </w:pPr>
    </w:p>
    <w:p w:rsidR="001F05D0" w:rsidRPr="002D54B4" w:rsidRDefault="001F05D0" w:rsidP="001F05D0">
      <w:pPr>
        <w:rPr>
          <w:rFonts w:ascii="Arial" w:hAnsi="Arial" w:cs="Arial"/>
          <w:color w:val="0D0D0D" w:themeColor="text1" w:themeTint="F2"/>
        </w:rPr>
      </w:pPr>
    </w:p>
    <w:p w:rsidR="001F05D0" w:rsidRPr="002D54B4" w:rsidRDefault="00516CD0" w:rsidP="001F05D0">
      <w:pPr>
        <w:rPr>
          <w:rFonts w:ascii="Arial" w:hAnsi="Arial" w:cs="Arial"/>
          <w:color w:val="0D0D0D" w:themeColor="text1" w:themeTint="F2"/>
        </w:rPr>
      </w:pPr>
      <w:r>
        <w:rPr>
          <w:rFonts w:ascii="Arial" w:hAnsi="Arial" w:cs="Arial"/>
          <w:noProof/>
          <w:color w:val="0D0D0D" w:themeColor="text1" w:themeTint="F2"/>
          <w:lang w:eastAsia="en-AU"/>
        </w:rPr>
        <w:pict>
          <v:group id="_x0000_s1114" style="position:absolute;margin-left:2.85pt;margin-top:19.05pt;width:318.95pt;height:281.7pt;z-index:251723776" coordorigin="1497,6982" coordsize="6379,5634">
            <v:oval id="_x0000_s1086" style="position:absolute;left:1497;top:6982;width:5726;height:5634" o:regroupid="2" fillcolor="#f2dbdb [661]">
              <v:stroke dashstyle="dash"/>
            </v:oval>
            <v:oval id="_x0000_s1087" style="position:absolute;left:3097;top:8533;width:2506;height:2543" o:regroupid="2" fillcolor="#cfc" stroked="f">
              <v:stroke dashstyle="dash"/>
            </v:oval>
            <v:group id="_x0000_s1088" style="position:absolute;left:4276;top:9739;width:3600;height:524" coordorigin="4890,9338" coordsize="4353,646" o:regroupid="2">
              <v:shape id="_x0000_s1089" type="#_x0000_t5" style="position:absolute;left:8453;top:9420;width:143;height:143" fillcolor="red"/>
              <v:shape id="_x0000_s1090" type="#_x0000_t202" style="position:absolute;left:8338;top:9587;width:905;height:397;mso-width-relative:margin;mso-height-relative:margin" filled="f" stroked="f">
                <v:textbox style="mso-next-textbox:#_x0000_s1090">
                  <w:txbxContent>
                    <w:p w:rsidR="00035506" w:rsidRPr="00FA13B7" w:rsidRDefault="00035506" w:rsidP="001F05D0">
                      <w:pPr>
                        <w:rPr>
                          <w:sz w:val="16"/>
                          <w:szCs w:val="16"/>
                        </w:rPr>
                      </w:pPr>
                      <w:r>
                        <w:rPr>
                          <w:sz w:val="16"/>
                          <w:szCs w:val="16"/>
                        </w:rPr>
                        <w:t>SL BS</w:t>
                      </w:r>
                    </w:p>
                  </w:txbxContent>
                </v:textbox>
              </v:shape>
              <v:shape id="_x0000_s1091" type="#_x0000_t32" style="position:absolute;left:4913;top:9420;width:3540;height:1;flip:x" o:connectortype="straight" strokecolor="red" strokeweight="1.5pt"/>
              <v:shape id="_x0000_s1092" type="#_x0000_t5" style="position:absolute;left:4883;top:9353;width:142;height:128;rotation:-270;flip:y" fillcolor="black [3213]"/>
              <v:shape id="_x0000_s1093" type="#_x0000_t5" style="position:absolute;left:4913;top:9338;width:143;height:225" fillcolor="#00b050"/>
            </v:group>
            <v:shape id="_x0000_s1094" type="#_x0000_t202" style="position:absolute;left:3534;top:7432;width:1655;height:638;mso-width-relative:margin;mso-height-relative:margin" o:regroupid="2" filled="f" stroked="f">
              <v:textbox style="mso-next-textbox:#_x0000_s1094">
                <w:txbxContent>
                  <w:p w:rsidR="00035506" w:rsidRPr="00CB070E" w:rsidRDefault="00035506" w:rsidP="001F05D0">
                    <w:pPr>
                      <w:jc w:val="center"/>
                      <w:rPr>
                        <w:b/>
                        <w:sz w:val="16"/>
                        <w:szCs w:val="16"/>
                      </w:rPr>
                    </w:pPr>
                    <w:r w:rsidRPr="00CB070E">
                      <w:rPr>
                        <w:b/>
                        <w:sz w:val="16"/>
                        <w:szCs w:val="16"/>
                      </w:rPr>
                      <w:t>Exclusion zone</w:t>
                    </w:r>
                  </w:p>
                </w:txbxContent>
              </v:textbox>
            </v:shape>
            <v:shape id="_x0000_s1095" type="#_x0000_t202" style="position:absolute;left:3792;top:8661;width:1012;height:597;mso-width-relative:margin;mso-height-relative:margin" o:regroupid="2" filled="f" stroked="f">
              <v:textbox style="mso-next-textbox:#_x0000_s1095">
                <w:txbxContent>
                  <w:p w:rsidR="00035506" w:rsidRPr="00CB070E" w:rsidRDefault="00035506" w:rsidP="001F05D0">
                    <w:pPr>
                      <w:jc w:val="center"/>
                      <w:rPr>
                        <w:b/>
                        <w:sz w:val="16"/>
                        <w:szCs w:val="16"/>
                      </w:rPr>
                    </w:pPr>
                    <w:r>
                      <w:rPr>
                        <w:b/>
                        <w:sz w:val="16"/>
                        <w:szCs w:val="16"/>
                      </w:rPr>
                      <w:t>DTV</w:t>
                    </w:r>
                    <w:r w:rsidRPr="00CB070E">
                      <w:rPr>
                        <w:b/>
                        <w:sz w:val="16"/>
                        <w:szCs w:val="16"/>
                      </w:rPr>
                      <w:t xml:space="preserve"> coverage area</w:t>
                    </w:r>
                  </w:p>
                </w:txbxContent>
              </v:textbox>
            </v:shape>
            <v:shape id="_x0000_s1096" type="#_x0000_t202" style="position:absolute;left:4086;top:9941;width:1103;height:322;mso-width-relative:margin;mso-height-relative:margin" o:regroupid="2" filled="f" stroked="f">
              <v:textbox style="mso-next-textbox:#_x0000_s1096">
                <w:txbxContent>
                  <w:p w:rsidR="00035506" w:rsidRPr="00FA13B7" w:rsidRDefault="00035506" w:rsidP="001F05D0">
                    <w:pPr>
                      <w:rPr>
                        <w:sz w:val="16"/>
                        <w:szCs w:val="16"/>
                      </w:rPr>
                    </w:pPr>
                    <w:r>
                      <w:rPr>
                        <w:sz w:val="16"/>
                        <w:szCs w:val="16"/>
                      </w:rPr>
                      <w:t>DTV</w:t>
                    </w:r>
                    <w:r w:rsidRPr="00FA13B7">
                      <w:rPr>
                        <w:sz w:val="16"/>
                        <w:szCs w:val="16"/>
                      </w:rPr>
                      <w:t xml:space="preserve"> </w:t>
                    </w:r>
                    <w:proofErr w:type="spellStart"/>
                    <w:proofErr w:type="gramStart"/>
                    <w:r w:rsidRPr="00FA13B7">
                      <w:rPr>
                        <w:sz w:val="16"/>
                        <w:szCs w:val="16"/>
                      </w:rPr>
                      <w:t>tx</w:t>
                    </w:r>
                    <w:proofErr w:type="spellEnd"/>
                    <w:proofErr w:type="gramEnd"/>
                    <w:r w:rsidRPr="00FA13B7">
                      <w:rPr>
                        <w:sz w:val="16"/>
                        <w:szCs w:val="16"/>
                      </w:rPr>
                      <w:t xml:space="preserve"> station</w:t>
                    </w:r>
                  </w:p>
                </w:txbxContent>
              </v:textbox>
            </v:shape>
            <v:shape id="_x0000_s1097" type="#_x0000_t202" style="position:absolute;left:3534;top:9510;width:848;height:350;mso-width-relative:margin;mso-height-relative:margin" o:regroupid="2" filled="f" stroked="f">
              <v:textbox style="mso-next-textbox:#_x0000_s1097">
                <w:txbxContent>
                  <w:p w:rsidR="00035506" w:rsidRPr="00FA13B7" w:rsidRDefault="00035506" w:rsidP="001F05D0">
                    <w:pPr>
                      <w:rPr>
                        <w:sz w:val="16"/>
                        <w:szCs w:val="16"/>
                      </w:rPr>
                    </w:pPr>
                    <w:r>
                      <w:rPr>
                        <w:sz w:val="16"/>
                        <w:szCs w:val="16"/>
                      </w:rPr>
                      <w:t>DTV</w:t>
                    </w:r>
                    <w:r w:rsidRPr="00FA13B7">
                      <w:rPr>
                        <w:sz w:val="16"/>
                        <w:szCs w:val="16"/>
                      </w:rPr>
                      <w:t xml:space="preserve"> </w:t>
                    </w:r>
                    <w:proofErr w:type="spellStart"/>
                    <w:proofErr w:type="gramStart"/>
                    <w:r>
                      <w:rPr>
                        <w:sz w:val="16"/>
                        <w:szCs w:val="16"/>
                      </w:rPr>
                      <w:t>rx</w:t>
                    </w:r>
                    <w:proofErr w:type="spellEnd"/>
                    <w:proofErr w:type="gramEnd"/>
                  </w:p>
                </w:txbxContent>
              </v:textbox>
            </v:shape>
          </v:group>
        </w:pict>
      </w:r>
      <w:r w:rsidR="001F05D0" w:rsidRPr="002D54B4">
        <w:rPr>
          <w:rFonts w:ascii="Arial" w:hAnsi="Arial" w:cs="Arial"/>
          <w:color w:val="0D0D0D" w:themeColor="text1" w:themeTint="F2"/>
        </w:rPr>
        <w:tab/>
      </w:r>
      <w:r w:rsidR="001F05D0" w:rsidRPr="002D54B4">
        <w:rPr>
          <w:rFonts w:ascii="Arial" w:hAnsi="Arial" w:cs="Arial"/>
          <w:color w:val="0D0D0D" w:themeColor="text1" w:themeTint="F2"/>
        </w:rPr>
        <w:tab/>
      </w:r>
      <w:r w:rsidR="001F05D0" w:rsidRPr="002D54B4">
        <w:rPr>
          <w:rFonts w:ascii="Arial" w:hAnsi="Arial" w:cs="Arial"/>
          <w:color w:val="0D0D0D" w:themeColor="text1" w:themeTint="F2"/>
        </w:rPr>
        <w:tab/>
      </w:r>
      <w:r w:rsidR="001F05D0" w:rsidRPr="002D54B4">
        <w:rPr>
          <w:rFonts w:ascii="Arial" w:hAnsi="Arial" w:cs="Arial"/>
          <w:color w:val="0D0D0D" w:themeColor="text1" w:themeTint="F2"/>
        </w:rPr>
        <w:tab/>
        <w:t>(a)</w:t>
      </w:r>
    </w:p>
    <w:p w:rsidR="001F05D0" w:rsidRPr="002D54B4" w:rsidRDefault="001F05D0" w:rsidP="001F05D0">
      <w:pPr>
        <w:rPr>
          <w:rFonts w:ascii="Arial" w:hAnsi="Arial" w:cs="Arial"/>
          <w:color w:val="0D0D0D" w:themeColor="text1" w:themeTint="F2"/>
        </w:rPr>
      </w:pPr>
    </w:p>
    <w:p w:rsidR="001F05D0" w:rsidRPr="002D54B4" w:rsidRDefault="001F05D0" w:rsidP="001F05D0">
      <w:pPr>
        <w:rPr>
          <w:rFonts w:ascii="Arial" w:hAnsi="Arial" w:cs="Arial"/>
          <w:color w:val="0D0D0D" w:themeColor="text1" w:themeTint="F2"/>
        </w:rPr>
      </w:pPr>
    </w:p>
    <w:p w:rsidR="001F05D0" w:rsidRPr="002D54B4" w:rsidRDefault="001F05D0" w:rsidP="001F05D0">
      <w:pPr>
        <w:rPr>
          <w:rFonts w:ascii="Arial" w:hAnsi="Arial" w:cs="Arial"/>
          <w:color w:val="0D0D0D" w:themeColor="text1" w:themeTint="F2"/>
        </w:rPr>
      </w:pPr>
    </w:p>
    <w:p w:rsidR="001F05D0" w:rsidRPr="002D54B4" w:rsidRDefault="001F05D0" w:rsidP="001F05D0">
      <w:pPr>
        <w:rPr>
          <w:rFonts w:ascii="Arial" w:hAnsi="Arial" w:cs="Arial"/>
          <w:color w:val="0D0D0D" w:themeColor="text1" w:themeTint="F2"/>
        </w:rPr>
      </w:pPr>
    </w:p>
    <w:p w:rsidR="001F05D0" w:rsidRPr="002D54B4" w:rsidRDefault="001F05D0" w:rsidP="001F05D0">
      <w:pPr>
        <w:rPr>
          <w:rFonts w:ascii="Arial" w:hAnsi="Arial" w:cs="Arial"/>
          <w:color w:val="0D0D0D" w:themeColor="text1" w:themeTint="F2"/>
        </w:rPr>
      </w:pPr>
    </w:p>
    <w:p w:rsidR="001F05D0" w:rsidRPr="002D54B4" w:rsidRDefault="001F05D0" w:rsidP="001F05D0">
      <w:pPr>
        <w:rPr>
          <w:rFonts w:ascii="Arial" w:hAnsi="Arial" w:cs="Arial"/>
          <w:color w:val="0D0D0D" w:themeColor="text1" w:themeTint="F2"/>
        </w:rPr>
      </w:pPr>
    </w:p>
    <w:p w:rsidR="001F05D0" w:rsidRPr="002D54B4" w:rsidRDefault="001F05D0" w:rsidP="001F05D0">
      <w:pPr>
        <w:rPr>
          <w:rFonts w:ascii="Arial" w:hAnsi="Arial" w:cs="Arial"/>
          <w:color w:val="0D0D0D" w:themeColor="text1" w:themeTint="F2"/>
        </w:rPr>
      </w:pPr>
    </w:p>
    <w:p w:rsidR="001F05D0" w:rsidRPr="002D54B4" w:rsidRDefault="001F05D0" w:rsidP="001F05D0">
      <w:pPr>
        <w:rPr>
          <w:rFonts w:ascii="Arial" w:hAnsi="Arial" w:cs="Arial"/>
          <w:color w:val="0D0D0D" w:themeColor="text1" w:themeTint="F2"/>
        </w:rPr>
      </w:pPr>
    </w:p>
    <w:p w:rsidR="001F05D0" w:rsidRPr="002D54B4" w:rsidRDefault="001F05D0" w:rsidP="001F05D0">
      <w:pPr>
        <w:rPr>
          <w:rFonts w:ascii="Arial" w:hAnsi="Arial" w:cs="Arial"/>
          <w:color w:val="0D0D0D" w:themeColor="text1" w:themeTint="F2"/>
        </w:rPr>
      </w:pPr>
    </w:p>
    <w:p w:rsidR="001F05D0" w:rsidRPr="002D54B4" w:rsidRDefault="001F05D0" w:rsidP="001F05D0">
      <w:pPr>
        <w:rPr>
          <w:rFonts w:ascii="Arial" w:hAnsi="Arial" w:cs="Arial"/>
          <w:color w:val="0D0D0D" w:themeColor="text1" w:themeTint="F2"/>
        </w:rPr>
      </w:pPr>
    </w:p>
    <w:p w:rsidR="001F05D0" w:rsidRDefault="001F05D0" w:rsidP="001F05D0">
      <w:pPr>
        <w:rPr>
          <w:rFonts w:ascii="Arial" w:hAnsi="Arial" w:cs="Arial"/>
          <w:color w:val="0D0D0D" w:themeColor="text1" w:themeTint="F2"/>
        </w:rPr>
      </w:pPr>
    </w:p>
    <w:p w:rsidR="00E6401A" w:rsidRPr="002D54B4" w:rsidRDefault="00E6401A" w:rsidP="001F05D0">
      <w:pPr>
        <w:rPr>
          <w:rFonts w:ascii="Arial" w:hAnsi="Arial" w:cs="Arial"/>
          <w:color w:val="0D0D0D" w:themeColor="text1" w:themeTint="F2"/>
        </w:rPr>
      </w:pPr>
    </w:p>
    <w:p w:rsidR="001F05D0" w:rsidRPr="002D54B4" w:rsidRDefault="001F05D0" w:rsidP="001F05D0">
      <w:pPr>
        <w:rPr>
          <w:rFonts w:ascii="Arial" w:hAnsi="Arial" w:cs="Arial"/>
          <w:b/>
          <w:i/>
          <w:color w:val="0D0D0D" w:themeColor="text1" w:themeTint="F2"/>
        </w:rPr>
      </w:pPr>
      <w:r w:rsidRPr="002D54B4">
        <w:rPr>
          <w:rFonts w:ascii="Arial" w:hAnsi="Arial" w:cs="Arial"/>
          <w:color w:val="0D0D0D" w:themeColor="text1" w:themeTint="F2"/>
        </w:rPr>
        <w:tab/>
      </w:r>
      <w:r w:rsidRPr="002D54B4">
        <w:rPr>
          <w:rFonts w:ascii="Arial" w:hAnsi="Arial" w:cs="Arial"/>
          <w:color w:val="0D0D0D" w:themeColor="text1" w:themeTint="F2"/>
        </w:rPr>
        <w:tab/>
      </w:r>
      <w:r w:rsidRPr="002D54B4">
        <w:rPr>
          <w:rFonts w:ascii="Arial" w:hAnsi="Arial" w:cs="Arial"/>
          <w:color w:val="0D0D0D" w:themeColor="text1" w:themeTint="F2"/>
        </w:rPr>
        <w:tab/>
      </w:r>
      <w:r w:rsidRPr="002D54B4">
        <w:rPr>
          <w:rFonts w:ascii="Arial" w:hAnsi="Arial" w:cs="Arial"/>
          <w:color w:val="0D0D0D" w:themeColor="text1" w:themeTint="F2"/>
        </w:rPr>
        <w:tab/>
        <w:t>(b)</w:t>
      </w:r>
    </w:p>
    <w:p w:rsidR="001F05D0" w:rsidRPr="003A74B3" w:rsidRDefault="001F05D0" w:rsidP="001F05D0">
      <w:pPr>
        <w:rPr>
          <w:rFonts w:ascii="Arial" w:hAnsi="Arial" w:cs="Arial"/>
          <w:i/>
          <w:color w:val="0D0D0D" w:themeColor="text1" w:themeTint="F2"/>
          <w:sz w:val="20"/>
          <w:szCs w:val="20"/>
        </w:rPr>
      </w:pPr>
      <w:r w:rsidRPr="003A74B3">
        <w:rPr>
          <w:rFonts w:ascii="Arial" w:hAnsi="Arial" w:cs="Arial"/>
          <w:b/>
          <w:i/>
          <w:color w:val="0D0D0D" w:themeColor="text1" w:themeTint="F2"/>
          <w:sz w:val="20"/>
          <w:szCs w:val="20"/>
        </w:rPr>
        <w:t>Figure 2</w:t>
      </w:r>
      <w:r w:rsidRPr="003A74B3">
        <w:rPr>
          <w:rFonts w:ascii="Arial" w:hAnsi="Arial" w:cs="Arial"/>
          <w:i/>
          <w:color w:val="0D0D0D" w:themeColor="text1" w:themeTint="F2"/>
          <w:sz w:val="20"/>
          <w:szCs w:val="20"/>
        </w:rPr>
        <w:t>—Exclusion zone component for unwanted signals entering the main beam of a DTV receive antenna located (a) at the edge of coverage; and (b) within the coverage area.</w:t>
      </w:r>
    </w:p>
    <w:p w:rsidR="007E112C" w:rsidRPr="002D54B4" w:rsidRDefault="0019697D" w:rsidP="001F05D0">
      <w:pPr>
        <w:rPr>
          <w:rFonts w:ascii="Arial" w:hAnsi="Arial" w:cs="Arial"/>
          <w:color w:val="0D0D0D" w:themeColor="text1" w:themeTint="F2"/>
        </w:rPr>
      </w:pPr>
      <w:r w:rsidRPr="002D54B4">
        <w:rPr>
          <w:rFonts w:ascii="Arial" w:hAnsi="Arial" w:cs="Arial"/>
          <w:color w:val="0D0D0D" w:themeColor="text1" w:themeTint="F2"/>
        </w:rPr>
        <w:t>The final exclusion zone will be a combination of both the back-of-the-antenna and main-beam exclusion zones</w:t>
      </w:r>
      <w:r w:rsidR="004C0E61" w:rsidRPr="002D54B4">
        <w:rPr>
          <w:rFonts w:ascii="Arial" w:hAnsi="Arial" w:cs="Arial"/>
          <w:color w:val="0D0D0D" w:themeColor="text1" w:themeTint="F2"/>
        </w:rPr>
        <w:t xml:space="preserve"> described above.</w:t>
      </w:r>
    </w:p>
    <w:p w:rsidR="009A1FB4" w:rsidRDefault="009A1FB4">
      <w:pPr>
        <w:rPr>
          <w:rFonts w:ascii="Arial" w:eastAsiaTheme="majorEastAsia" w:hAnsi="Arial" w:cs="Arial"/>
          <w:b/>
          <w:bCs/>
          <w:color w:val="0D0D0D" w:themeColor="text1" w:themeTint="F2"/>
        </w:rPr>
      </w:pPr>
      <w:r>
        <w:rPr>
          <w:rFonts w:ascii="Arial" w:hAnsi="Arial" w:cs="Arial"/>
          <w:color w:val="0D0D0D" w:themeColor="text1" w:themeTint="F2"/>
        </w:rPr>
        <w:br w:type="page"/>
      </w:r>
    </w:p>
    <w:p w:rsidR="00035506" w:rsidRDefault="00035506" w:rsidP="00035506">
      <w:pPr>
        <w:pStyle w:val="Heading3"/>
        <w:rPr>
          <w:rFonts w:ascii="Arial" w:hAnsi="Arial" w:cs="Arial"/>
          <w:color w:val="0D0D0D" w:themeColor="text1" w:themeTint="F2"/>
        </w:rPr>
      </w:pPr>
    </w:p>
    <w:p w:rsidR="008275FF" w:rsidRPr="002D54B4" w:rsidRDefault="00F93D6A" w:rsidP="00035506">
      <w:pPr>
        <w:pStyle w:val="Heading3"/>
        <w:numPr>
          <w:ilvl w:val="1"/>
          <w:numId w:val="5"/>
        </w:numPr>
        <w:spacing w:before="0" w:line="240" w:lineRule="auto"/>
        <w:ind w:left="1077"/>
        <w:rPr>
          <w:rFonts w:ascii="Arial" w:hAnsi="Arial" w:cs="Arial"/>
          <w:color w:val="0D0D0D" w:themeColor="text1" w:themeTint="F2"/>
        </w:rPr>
      </w:pPr>
      <w:r w:rsidRPr="002D54B4">
        <w:rPr>
          <w:rFonts w:ascii="Arial" w:hAnsi="Arial" w:cs="Arial"/>
          <w:color w:val="0D0D0D" w:themeColor="text1" w:themeTint="F2"/>
        </w:rPr>
        <w:t>Spectrum Licensed</w:t>
      </w:r>
      <w:r w:rsidR="008275FF" w:rsidRPr="002D54B4">
        <w:rPr>
          <w:rFonts w:ascii="Arial" w:hAnsi="Arial" w:cs="Arial"/>
          <w:color w:val="0D0D0D" w:themeColor="text1" w:themeTint="F2"/>
        </w:rPr>
        <w:t xml:space="preserve"> Base Station</w:t>
      </w:r>
      <w:r w:rsidR="00A4018A" w:rsidRPr="002D54B4">
        <w:rPr>
          <w:rFonts w:ascii="Arial" w:hAnsi="Arial" w:cs="Arial"/>
          <w:color w:val="0D0D0D" w:themeColor="text1" w:themeTint="F2"/>
        </w:rPr>
        <w:t xml:space="preserve"> Parameters</w:t>
      </w:r>
      <w:r w:rsidR="00F67E23" w:rsidRPr="002D54B4">
        <w:rPr>
          <w:rFonts w:ascii="Arial" w:hAnsi="Arial" w:cs="Arial"/>
          <w:color w:val="0D0D0D" w:themeColor="text1" w:themeTint="F2"/>
        </w:rPr>
        <w:t xml:space="preserve"> and Unwanted Signal Propagation</w:t>
      </w:r>
    </w:p>
    <w:p w:rsidR="008275FF" w:rsidRPr="002D54B4" w:rsidRDefault="00B26C9C" w:rsidP="00EF3EDD">
      <w:pPr>
        <w:rPr>
          <w:rFonts w:ascii="Arial" w:hAnsi="Arial" w:cs="Arial"/>
          <w:color w:val="0D0D0D" w:themeColor="text1" w:themeTint="F2"/>
        </w:rPr>
      </w:pPr>
      <w:r w:rsidRPr="002D54B4">
        <w:rPr>
          <w:rFonts w:ascii="Arial" w:hAnsi="Arial" w:cs="Arial"/>
          <w:color w:val="0D0D0D" w:themeColor="text1" w:themeTint="F2"/>
        </w:rPr>
        <w:t>Table 4 lists the parameters adopted for the spectrum licensed base station transmitters</w:t>
      </w:r>
      <w:r w:rsidR="00F93D6A" w:rsidRPr="002D54B4">
        <w:rPr>
          <w:rFonts w:ascii="Arial" w:hAnsi="Arial" w:cs="Arial"/>
          <w:color w:val="0D0D0D" w:themeColor="text1" w:themeTint="F2"/>
        </w:rPr>
        <w:t>.</w:t>
      </w:r>
      <w:r w:rsidRPr="002D54B4">
        <w:rPr>
          <w:rFonts w:ascii="Arial" w:hAnsi="Arial" w:cs="Arial"/>
          <w:color w:val="0D0D0D" w:themeColor="text1" w:themeTint="F2"/>
        </w:rPr>
        <w:t xml:space="preserve"> </w:t>
      </w:r>
    </w:p>
    <w:tbl>
      <w:tblPr>
        <w:tblStyle w:val="TableGrid"/>
        <w:tblW w:w="0" w:type="auto"/>
        <w:tblLook w:val="04A0"/>
      </w:tblPr>
      <w:tblGrid>
        <w:gridCol w:w="4248"/>
        <w:gridCol w:w="3081"/>
      </w:tblGrid>
      <w:tr w:rsidR="00E6401A" w:rsidRPr="002D54B4" w:rsidTr="00E6401A">
        <w:trPr>
          <w:trHeight w:val="573"/>
        </w:trPr>
        <w:tc>
          <w:tcPr>
            <w:tcW w:w="7329" w:type="dxa"/>
            <w:gridSpan w:val="2"/>
            <w:tcBorders>
              <w:left w:val="nil"/>
              <w:right w:val="nil"/>
            </w:tcBorders>
            <w:vAlign w:val="center"/>
          </w:tcPr>
          <w:p w:rsidR="00E6401A" w:rsidRPr="003A74B3" w:rsidRDefault="00E6401A" w:rsidP="00E6401A">
            <w:pPr>
              <w:rPr>
                <w:rFonts w:ascii="Arial" w:hAnsi="Arial" w:cs="Arial"/>
                <w:color w:val="0D0D0D" w:themeColor="text1" w:themeTint="F2"/>
                <w:sz w:val="20"/>
                <w:szCs w:val="20"/>
              </w:rPr>
            </w:pPr>
            <w:r w:rsidRPr="003A74B3">
              <w:rPr>
                <w:rFonts w:ascii="Arial" w:hAnsi="Arial" w:cs="Arial"/>
                <w:b/>
                <w:color w:val="A6A6A6" w:themeColor="background1" w:themeShade="A6"/>
              </w:rPr>
              <w:t>Table 4</w:t>
            </w:r>
            <w:r>
              <w:rPr>
                <w:rFonts w:ascii="Arial" w:hAnsi="Arial" w:cs="Arial"/>
                <w:b/>
                <w:color w:val="A6A6A6" w:themeColor="background1" w:themeShade="A6"/>
              </w:rPr>
              <w:t xml:space="preserve"> </w:t>
            </w:r>
            <w:r w:rsidRPr="003A74B3">
              <w:rPr>
                <w:rFonts w:ascii="Arial" w:hAnsi="Arial" w:cs="Arial"/>
                <w:b/>
                <w:color w:val="A6A6A6" w:themeColor="background1" w:themeShade="A6"/>
              </w:rPr>
              <w:t>Base station parameters to determine geographic separation requirement</w:t>
            </w:r>
          </w:p>
        </w:tc>
      </w:tr>
      <w:tr w:rsidR="008275FF" w:rsidRPr="002D54B4" w:rsidTr="00324AEF">
        <w:tc>
          <w:tcPr>
            <w:tcW w:w="4248" w:type="dxa"/>
          </w:tcPr>
          <w:p w:rsidR="008275FF" w:rsidRPr="003A74B3" w:rsidRDefault="008275FF" w:rsidP="00DF5FDB">
            <w:pPr>
              <w:rPr>
                <w:rFonts w:ascii="Arial" w:hAnsi="Arial" w:cs="Arial"/>
                <w:color w:val="0D0D0D" w:themeColor="text1" w:themeTint="F2"/>
                <w:sz w:val="20"/>
                <w:szCs w:val="20"/>
              </w:rPr>
            </w:pPr>
            <w:r w:rsidRPr="003A74B3">
              <w:rPr>
                <w:rFonts w:ascii="Arial" w:hAnsi="Arial" w:cs="Arial"/>
                <w:color w:val="0D0D0D" w:themeColor="text1" w:themeTint="F2"/>
                <w:sz w:val="20"/>
                <w:szCs w:val="20"/>
              </w:rPr>
              <w:t>EIRP</w:t>
            </w:r>
          </w:p>
        </w:tc>
        <w:tc>
          <w:tcPr>
            <w:tcW w:w="3081" w:type="dxa"/>
          </w:tcPr>
          <w:p w:rsidR="008275FF" w:rsidRPr="003A74B3" w:rsidRDefault="008275FF" w:rsidP="00DF5FDB">
            <w:pPr>
              <w:rPr>
                <w:rFonts w:ascii="Arial" w:hAnsi="Arial" w:cs="Arial"/>
                <w:color w:val="0D0D0D" w:themeColor="text1" w:themeTint="F2"/>
                <w:sz w:val="20"/>
                <w:szCs w:val="20"/>
              </w:rPr>
            </w:pPr>
            <w:r w:rsidRPr="003A74B3">
              <w:rPr>
                <w:rFonts w:ascii="Arial" w:hAnsi="Arial" w:cs="Arial"/>
                <w:color w:val="0D0D0D" w:themeColor="text1" w:themeTint="F2"/>
                <w:sz w:val="20"/>
                <w:szCs w:val="20"/>
              </w:rPr>
              <w:t>5</w:t>
            </w:r>
            <w:r w:rsidR="00814B76" w:rsidRPr="003A74B3">
              <w:rPr>
                <w:rFonts w:ascii="Arial" w:hAnsi="Arial" w:cs="Arial"/>
                <w:color w:val="0D0D0D" w:themeColor="text1" w:themeTint="F2"/>
                <w:sz w:val="20"/>
                <w:szCs w:val="20"/>
              </w:rPr>
              <w:t>8</w:t>
            </w:r>
            <w:r w:rsidRPr="003A74B3">
              <w:rPr>
                <w:rFonts w:ascii="Arial" w:hAnsi="Arial" w:cs="Arial"/>
                <w:color w:val="0D0D0D" w:themeColor="text1" w:themeTint="F2"/>
                <w:sz w:val="20"/>
                <w:szCs w:val="20"/>
              </w:rPr>
              <w:t xml:space="preserve"> dBm</w:t>
            </w:r>
            <w:r w:rsidRPr="003A74B3">
              <w:rPr>
                <w:rStyle w:val="FootnoteReference"/>
                <w:rFonts w:ascii="Arial" w:hAnsi="Arial" w:cs="Arial"/>
                <w:color w:val="0D0D0D" w:themeColor="text1" w:themeTint="F2"/>
                <w:sz w:val="20"/>
                <w:szCs w:val="20"/>
              </w:rPr>
              <w:footnoteReference w:id="7"/>
            </w:r>
          </w:p>
        </w:tc>
      </w:tr>
      <w:tr w:rsidR="008275FF" w:rsidRPr="002D54B4" w:rsidTr="003A74B3">
        <w:trPr>
          <w:trHeight w:val="70"/>
        </w:trPr>
        <w:tc>
          <w:tcPr>
            <w:tcW w:w="4248" w:type="dxa"/>
          </w:tcPr>
          <w:p w:rsidR="008275FF" w:rsidRPr="003A74B3" w:rsidRDefault="008275FF" w:rsidP="00AF55A1">
            <w:pPr>
              <w:rPr>
                <w:rFonts w:ascii="Arial" w:hAnsi="Arial" w:cs="Arial"/>
                <w:color w:val="0D0D0D" w:themeColor="text1" w:themeTint="F2"/>
                <w:sz w:val="20"/>
                <w:szCs w:val="20"/>
              </w:rPr>
            </w:pPr>
            <w:r w:rsidRPr="003A74B3">
              <w:rPr>
                <w:rFonts w:ascii="Arial" w:hAnsi="Arial" w:cs="Arial"/>
                <w:color w:val="0D0D0D" w:themeColor="text1" w:themeTint="F2"/>
                <w:sz w:val="20"/>
                <w:szCs w:val="20"/>
              </w:rPr>
              <w:t>ERP = EIRP – 2.2 dBi</w:t>
            </w:r>
          </w:p>
        </w:tc>
        <w:tc>
          <w:tcPr>
            <w:tcW w:w="3081" w:type="dxa"/>
          </w:tcPr>
          <w:p w:rsidR="008275FF" w:rsidRPr="003A74B3" w:rsidRDefault="008275FF" w:rsidP="00AF55A1">
            <w:pPr>
              <w:rPr>
                <w:rFonts w:ascii="Arial" w:hAnsi="Arial" w:cs="Arial"/>
                <w:color w:val="0D0D0D" w:themeColor="text1" w:themeTint="F2"/>
                <w:sz w:val="20"/>
                <w:szCs w:val="20"/>
              </w:rPr>
            </w:pPr>
            <w:r w:rsidRPr="003A74B3">
              <w:rPr>
                <w:rFonts w:ascii="Arial" w:hAnsi="Arial" w:cs="Arial"/>
                <w:color w:val="0D0D0D" w:themeColor="text1" w:themeTint="F2"/>
                <w:sz w:val="20"/>
                <w:szCs w:val="20"/>
              </w:rPr>
              <w:t>2</w:t>
            </w:r>
            <w:r w:rsidR="004E10BD" w:rsidRPr="003A74B3">
              <w:rPr>
                <w:rFonts w:ascii="Arial" w:hAnsi="Arial" w:cs="Arial"/>
                <w:color w:val="0D0D0D" w:themeColor="text1" w:themeTint="F2"/>
                <w:sz w:val="20"/>
                <w:szCs w:val="20"/>
              </w:rPr>
              <w:t>5</w:t>
            </w:r>
            <w:r w:rsidRPr="003A74B3">
              <w:rPr>
                <w:rFonts w:ascii="Arial" w:hAnsi="Arial" w:cs="Arial"/>
                <w:color w:val="0D0D0D" w:themeColor="text1" w:themeTint="F2"/>
                <w:sz w:val="20"/>
                <w:szCs w:val="20"/>
              </w:rPr>
              <w:t xml:space="preserve">.8 </w:t>
            </w:r>
            <w:proofErr w:type="spellStart"/>
            <w:r w:rsidRPr="003A74B3">
              <w:rPr>
                <w:rFonts w:ascii="Arial" w:hAnsi="Arial" w:cs="Arial"/>
                <w:color w:val="0D0D0D" w:themeColor="text1" w:themeTint="F2"/>
                <w:sz w:val="20"/>
                <w:szCs w:val="20"/>
              </w:rPr>
              <w:t>dBW</w:t>
            </w:r>
            <w:proofErr w:type="spellEnd"/>
          </w:p>
        </w:tc>
      </w:tr>
      <w:tr w:rsidR="008275FF" w:rsidRPr="002D54B4" w:rsidTr="00E6401A">
        <w:tc>
          <w:tcPr>
            <w:tcW w:w="4248" w:type="dxa"/>
            <w:tcBorders>
              <w:bottom w:val="single" w:sz="4" w:space="0" w:color="000000" w:themeColor="text1"/>
            </w:tcBorders>
          </w:tcPr>
          <w:p w:rsidR="008275FF" w:rsidRPr="003A74B3" w:rsidRDefault="008275FF" w:rsidP="00AF55A1">
            <w:pPr>
              <w:rPr>
                <w:rFonts w:ascii="Arial" w:hAnsi="Arial" w:cs="Arial"/>
                <w:color w:val="0D0D0D" w:themeColor="text1" w:themeTint="F2"/>
                <w:sz w:val="20"/>
                <w:szCs w:val="20"/>
              </w:rPr>
            </w:pPr>
            <w:r w:rsidRPr="003A74B3">
              <w:rPr>
                <w:rFonts w:ascii="Arial" w:hAnsi="Arial" w:cs="Arial"/>
                <w:color w:val="0D0D0D" w:themeColor="text1" w:themeTint="F2"/>
                <w:sz w:val="20"/>
                <w:szCs w:val="20"/>
              </w:rPr>
              <w:t>Effective transmit antenna height</w:t>
            </w:r>
          </w:p>
        </w:tc>
        <w:tc>
          <w:tcPr>
            <w:tcW w:w="3081" w:type="dxa"/>
            <w:tcBorders>
              <w:bottom w:val="single" w:sz="4" w:space="0" w:color="000000" w:themeColor="text1"/>
            </w:tcBorders>
          </w:tcPr>
          <w:p w:rsidR="008275FF" w:rsidRPr="003A74B3" w:rsidRDefault="008275FF" w:rsidP="00AF55A1">
            <w:pPr>
              <w:rPr>
                <w:rFonts w:ascii="Arial" w:hAnsi="Arial" w:cs="Arial"/>
                <w:color w:val="0D0D0D" w:themeColor="text1" w:themeTint="F2"/>
                <w:sz w:val="20"/>
                <w:szCs w:val="20"/>
              </w:rPr>
            </w:pPr>
            <w:r w:rsidRPr="003A74B3">
              <w:rPr>
                <w:rFonts w:ascii="Arial" w:hAnsi="Arial" w:cs="Arial"/>
                <w:color w:val="0D0D0D" w:themeColor="text1" w:themeTint="F2"/>
                <w:sz w:val="20"/>
                <w:szCs w:val="20"/>
              </w:rPr>
              <w:t>150 m</w:t>
            </w:r>
          </w:p>
        </w:tc>
      </w:tr>
      <w:tr w:rsidR="00E6401A" w:rsidRPr="002D54B4" w:rsidTr="00035506">
        <w:trPr>
          <w:trHeight w:val="289"/>
        </w:trPr>
        <w:tc>
          <w:tcPr>
            <w:tcW w:w="7329" w:type="dxa"/>
            <w:gridSpan w:val="2"/>
            <w:tcBorders>
              <w:left w:val="nil"/>
              <w:right w:val="nil"/>
            </w:tcBorders>
          </w:tcPr>
          <w:p w:rsidR="00E6401A" w:rsidRPr="003A74B3" w:rsidRDefault="00E6401A" w:rsidP="00AF55A1">
            <w:pPr>
              <w:rPr>
                <w:rFonts w:ascii="Arial" w:hAnsi="Arial" w:cs="Arial"/>
                <w:color w:val="0D0D0D" w:themeColor="text1" w:themeTint="F2"/>
                <w:sz w:val="20"/>
                <w:szCs w:val="20"/>
              </w:rPr>
            </w:pPr>
          </w:p>
        </w:tc>
      </w:tr>
    </w:tbl>
    <w:p w:rsidR="00F93D6A" w:rsidRPr="002D54B4" w:rsidRDefault="00F93D6A" w:rsidP="00EF3EDD">
      <w:pPr>
        <w:rPr>
          <w:rFonts w:ascii="Arial" w:hAnsi="Arial" w:cs="Arial"/>
          <w:color w:val="0D0D0D" w:themeColor="text1" w:themeTint="F2"/>
        </w:rPr>
      </w:pPr>
    </w:p>
    <w:p w:rsidR="00A14727" w:rsidRPr="002D54B4" w:rsidRDefault="004C0E61" w:rsidP="00F93D6A">
      <w:pPr>
        <w:rPr>
          <w:rFonts w:ascii="Arial" w:hAnsi="Arial" w:cs="Arial"/>
          <w:color w:val="0D0D0D" w:themeColor="text1" w:themeTint="F2"/>
        </w:rPr>
      </w:pPr>
      <w:r w:rsidRPr="002D54B4">
        <w:rPr>
          <w:rFonts w:ascii="Arial" w:hAnsi="Arial" w:cs="Arial"/>
          <w:color w:val="0D0D0D" w:themeColor="text1" w:themeTint="F2"/>
        </w:rPr>
        <w:t xml:space="preserve">To determine a generalised separation requirement from </w:t>
      </w:r>
      <w:r w:rsidR="00FD34F3" w:rsidRPr="002D54B4">
        <w:rPr>
          <w:rFonts w:ascii="Arial" w:hAnsi="Arial" w:cs="Arial"/>
          <w:color w:val="0D0D0D" w:themeColor="text1" w:themeTint="F2"/>
        </w:rPr>
        <w:t>spectrum-licensed base station transmitter</w:t>
      </w:r>
      <w:r w:rsidR="00863A4A" w:rsidRPr="002D54B4">
        <w:rPr>
          <w:rFonts w:ascii="Arial" w:hAnsi="Arial" w:cs="Arial"/>
          <w:color w:val="0D0D0D" w:themeColor="text1" w:themeTint="F2"/>
        </w:rPr>
        <w:t>s</w:t>
      </w:r>
      <w:r w:rsidR="007E112C" w:rsidRPr="002D54B4">
        <w:rPr>
          <w:rFonts w:ascii="Arial" w:hAnsi="Arial" w:cs="Arial"/>
          <w:color w:val="0D0D0D" w:themeColor="text1" w:themeTint="F2"/>
        </w:rPr>
        <w:t>,</w:t>
      </w:r>
      <w:r w:rsidR="006D0A3F" w:rsidRPr="002D54B4">
        <w:rPr>
          <w:rFonts w:ascii="Arial" w:hAnsi="Arial" w:cs="Arial"/>
          <w:color w:val="0D0D0D" w:themeColor="text1" w:themeTint="F2"/>
        </w:rPr>
        <w:t xml:space="preserve"> </w:t>
      </w:r>
      <w:r w:rsidRPr="002D54B4">
        <w:rPr>
          <w:rFonts w:ascii="Arial" w:hAnsi="Arial" w:cs="Arial"/>
          <w:color w:val="0D0D0D" w:themeColor="text1" w:themeTint="F2"/>
        </w:rPr>
        <w:t>the</w:t>
      </w:r>
      <w:r w:rsidR="00FA42CC" w:rsidRPr="002D54B4">
        <w:rPr>
          <w:rFonts w:ascii="Arial" w:hAnsi="Arial" w:cs="Arial"/>
          <w:color w:val="0D0D0D" w:themeColor="text1" w:themeTint="F2"/>
        </w:rPr>
        <w:t xml:space="preserve"> use</w:t>
      </w:r>
      <w:r w:rsidRPr="002D54B4">
        <w:rPr>
          <w:rFonts w:ascii="Arial" w:hAnsi="Arial" w:cs="Arial"/>
          <w:color w:val="0D0D0D" w:themeColor="text1" w:themeTint="F2"/>
        </w:rPr>
        <w:t xml:space="preserve"> of</w:t>
      </w:r>
      <w:r w:rsidR="00FA42CC" w:rsidRPr="002D54B4">
        <w:rPr>
          <w:rFonts w:ascii="Arial" w:hAnsi="Arial" w:cs="Arial"/>
          <w:color w:val="0D0D0D" w:themeColor="text1" w:themeTint="F2"/>
        </w:rPr>
        <w:t xml:space="preserve"> propagation models </w:t>
      </w:r>
      <w:r w:rsidRPr="002D54B4">
        <w:rPr>
          <w:rFonts w:ascii="Arial" w:hAnsi="Arial" w:cs="Arial"/>
          <w:color w:val="0D0D0D" w:themeColor="text1" w:themeTint="F2"/>
        </w:rPr>
        <w:t xml:space="preserve">requiring the use of </w:t>
      </w:r>
      <w:r w:rsidR="00FA42CC" w:rsidRPr="002D54B4">
        <w:rPr>
          <w:rFonts w:ascii="Arial" w:hAnsi="Arial" w:cs="Arial"/>
          <w:color w:val="0D0D0D" w:themeColor="text1" w:themeTint="F2"/>
        </w:rPr>
        <w:t xml:space="preserve">detailed terrain information, such as </w:t>
      </w:r>
      <w:r w:rsidR="00F93D6A" w:rsidRPr="002D54B4">
        <w:rPr>
          <w:rFonts w:ascii="Arial" w:hAnsi="Arial" w:cs="Arial"/>
          <w:color w:val="0D0D0D" w:themeColor="text1" w:themeTint="F2"/>
        </w:rPr>
        <w:t xml:space="preserve">the </w:t>
      </w:r>
      <w:r w:rsidR="00FA42CC" w:rsidRPr="002D54B4">
        <w:rPr>
          <w:rFonts w:ascii="Arial" w:hAnsi="Arial" w:cs="Arial"/>
          <w:color w:val="0D0D0D" w:themeColor="text1" w:themeTint="F2"/>
        </w:rPr>
        <w:t xml:space="preserve">diffraction-based </w:t>
      </w:r>
      <w:r w:rsidR="00F93D6A" w:rsidRPr="002D54B4">
        <w:rPr>
          <w:rFonts w:ascii="Arial" w:hAnsi="Arial" w:cs="Arial"/>
          <w:color w:val="0D0D0D" w:themeColor="text1" w:themeTint="F2"/>
        </w:rPr>
        <w:t xml:space="preserve">propagation </w:t>
      </w:r>
      <w:r w:rsidR="00FA42CC" w:rsidRPr="002D54B4">
        <w:rPr>
          <w:rFonts w:ascii="Arial" w:hAnsi="Arial" w:cs="Arial"/>
          <w:color w:val="0D0D0D" w:themeColor="text1" w:themeTint="F2"/>
        </w:rPr>
        <w:t>model</w:t>
      </w:r>
      <w:r w:rsidR="00F93D6A" w:rsidRPr="002D54B4">
        <w:rPr>
          <w:rFonts w:ascii="Arial" w:hAnsi="Arial" w:cs="Arial"/>
          <w:color w:val="0D0D0D" w:themeColor="text1" w:themeTint="F2"/>
        </w:rPr>
        <w:t xml:space="preserve"> CRC Predict</w:t>
      </w:r>
      <w:r w:rsidR="007E112C" w:rsidRPr="002D54B4">
        <w:rPr>
          <w:rFonts w:ascii="Arial" w:hAnsi="Arial" w:cs="Arial"/>
          <w:color w:val="0D0D0D" w:themeColor="text1" w:themeTint="F2"/>
        </w:rPr>
        <w:t>,</w:t>
      </w:r>
      <w:r w:rsidRPr="002D54B4">
        <w:rPr>
          <w:rFonts w:ascii="Arial" w:hAnsi="Arial" w:cs="Arial"/>
          <w:color w:val="0D0D0D" w:themeColor="text1" w:themeTint="F2"/>
        </w:rPr>
        <w:t xml:space="preserve"> would not be appropriate</w:t>
      </w:r>
      <w:r w:rsidR="00FA42CC" w:rsidRPr="002D54B4">
        <w:rPr>
          <w:rFonts w:ascii="Arial" w:hAnsi="Arial" w:cs="Arial"/>
          <w:color w:val="0D0D0D" w:themeColor="text1" w:themeTint="F2"/>
        </w:rPr>
        <w:t xml:space="preserve">. </w:t>
      </w:r>
      <w:r w:rsidR="00F93D6A" w:rsidRPr="002D54B4">
        <w:rPr>
          <w:rFonts w:ascii="Arial" w:hAnsi="Arial" w:cs="Arial"/>
          <w:color w:val="0D0D0D" w:themeColor="text1" w:themeTint="F2"/>
        </w:rPr>
        <w:t xml:space="preserve">Given the large </w:t>
      </w:r>
      <w:r w:rsidR="00CF5FF7" w:rsidRPr="002D54B4">
        <w:rPr>
          <w:rFonts w:ascii="Arial" w:hAnsi="Arial" w:cs="Arial"/>
          <w:color w:val="0D0D0D" w:themeColor="text1" w:themeTint="F2"/>
        </w:rPr>
        <w:t>separation distances expected to result</w:t>
      </w:r>
      <w:r w:rsidR="00D06D75" w:rsidRPr="002D54B4">
        <w:rPr>
          <w:rFonts w:ascii="Arial" w:hAnsi="Arial" w:cs="Arial"/>
          <w:color w:val="0D0D0D" w:themeColor="text1" w:themeTint="F2"/>
        </w:rPr>
        <w:t xml:space="preserve">, </w:t>
      </w:r>
      <w:r w:rsidR="00A14727" w:rsidRPr="002D54B4">
        <w:rPr>
          <w:rFonts w:ascii="Arial" w:hAnsi="Arial" w:cs="Arial"/>
          <w:color w:val="0D0D0D" w:themeColor="text1" w:themeTint="F2"/>
        </w:rPr>
        <w:t xml:space="preserve">the use of </w:t>
      </w:r>
      <w:r w:rsidR="00D06D75" w:rsidRPr="002D54B4">
        <w:rPr>
          <w:rFonts w:ascii="Arial" w:hAnsi="Arial" w:cs="Arial"/>
          <w:color w:val="0D0D0D" w:themeColor="text1" w:themeTint="F2"/>
        </w:rPr>
        <w:t>Recommend</w:t>
      </w:r>
      <w:r w:rsidR="003A3F59" w:rsidRPr="002D54B4">
        <w:rPr>
          <w:rFonts w:ascii="Arial" w:hAnsi="Arial" w:cs="Arial"/>
          <w:color w:val="0D0D0D" w:themeColor="text1" w:themeTint="F2"/>
        </w:rPr>
        <w:t xml:space="preserve">ation ITU-R P.1546 </w:t>
      </w:r>
      <w:r w:rsidR="00A14727" w:rsidRPr="002D54B4">
        <w:rPr>
          <w:rFonts w:ascii="Arial" w:hAnsi="Arial" w:cs="Arial"/>
          <w:color w:val="0D0D0D" w:themeColor="text1" w:themeTint="F2"/>
        </w:rPr>
        <w:t xml:space="preserve">is </w:t>
      </w:r>
      <w:proofErr w:type="gramStart"/>
      <w:r w:rsidR="00A14727" w:rsidRPr="002D54B4">
        <w:rPr>
          <w:rFonts w:ascii="Arial" w:hAnsi="Arial" w:cs="Arial"/>
          <w:color w:val="0D0D0D" w:themeColor="text1" w:themeTint="F2"/>
        </w:rPr>
        <w:t>proposed</w:t>
      </w:r>
      <w:r w:rsidR="00863A4A" w:rsidRPr="002D54B4">
        <w:rPr>
          <w:rFonts w:ascii="Arial" w:hAnsi="Arial" w:cs="Arial"/>
          <w:color w:val="0D0D0D" w:themeColor="text1" w:themeTint="F2"/>
          <w:vertAlign w:val="superscript"/>
        </w:rPr>
        <w:t xml:space="preserve"> </w:t>
      </w:r>
      <w:proofErr w:type="gramEnd"/>
      <w:r w:rsidR="00A14727" w:rsidRPr="002D54B4">
        <w:rPr>
          <w:rStyle w:val="FootnoteReference"/>
          <w:rFonts w:ascii="Arial" w:hAnsi="Arial" w:cs="Arial"/>
          <w:color w:val="0D0D0D" w:themeColor="text1" w:themeTint="F2"/>
        </w:rPr>
        <w:footnoteReference w:id="8"/>
      </w:r>
      <w:r w:rsidR="00D06D75" w:rsidRPr="002D54B4">
        <w:rPr>
          <w:rFonts w:ascii="Arial" w:hAnsi="Arial" w:cs="Arial"/>
          <w:color w:val="0D0D0D" w:themeColor="text1" w:themeTint="F2"/>
        </w:rPr>
        <w:t>.</w:t>
      </w:r>
      <w:r w:rsidR="006D0A3F" w:rsidRPr="002D54B4">
        <w:rPr>
          <w:rFonts w:ascii="Arial" w:hAnsi="Arial" w:cs="Arial"/>
          <w:color w:val="0D0D0D" w:themeColor="text1" w:themeTint="F2"/>
        </w:rPr>
        <w:t xml:space="preserve"> ERC Report 68 (Report ITU-R SM.2028) states, in using the “Modified </w:t>
      </w:r>
      <w:proofErr w:type="spellStart"/>
      <w:r w:rsidR="006D0A3F" w:rsidRPr="002D54B4">
        <w:rPr>
          <w:rFonts w:ascii="Arial" w:hAnsi="Arial" w:cs="Arial"/>
          <w:color w:val="0D0D0D" w:themeColor="text1" w:themeTint="F2"/>
        </w:rPr>
        <w:t>Hata</w:t>
      </w:r>
      <w:proofErr w:type="spellEnd"/>
      <w:r w:rsidR="006D0A3F" w:rsidRPr="002D54B4">
        <w:rPr>
          <w:rFonts w:ascii="Arial" w:hAnsi="Arial" w:cs="Arial"/>
          <w:color w:val="0D0D0D" w:themeColor="text1" w:themeTint="F2"/>
        </w:rPr>
        <w:t>” propagation model in that report, that “</w:t>
      </w:r>
      <w:r w:rsidR="006D0A3F" w:rsidRPr="002D54B4">
        <w:rPr>
          <w:rFonts w:ascii="Arial" w:hAnsi="Arial" w:cs="Arial"/>
          <w:snapToGrid w:val="0"/>
          <w:color w:val="0D0D0D" w:themeColor="text1" w:themeTint="F2"/>
          <w:lang w:val="en-GB"/>
        </w:rPr>
        <w:t xml:space="preserve">care should be taken when propagation distances are expected to be above 20 km”, and hence it is </w:t>
      </w:r>
      <w:r w:rsidR="00F01BC8" w:rsidRPr="002D54B4">
        <w:rPr>
          <w:rFonts w:ascii="Arial" w:hAnsi="Arial" w:cs="Arial"/>
          <w:snapToGrid w:val="0"/>
          <w:color w:val="0D0D0D" w:themeColor="text1" w:themeTint="F2"/>
          <w:lang w:val="en-GB"/>
        </w:rPr>
        <w:t>considered</w:t>
      </w:r>
      <w:r w:rsidR="006D0A3F" w:rsidRPr="002D54B4">
        <w:rPr>
          <w:rFonts w:ascii="Arial" w:hAnsi="Arial" w:cs="Arial"/>
          <w:snapToGrid w:val="0"/>
          <w:color w:val="0D0D0D" w:themeColor="text1" w:themeTint="F2"/>
          <w:lang w:val="en-GB"/>
        </w:rPr>
        <w:t xml:space="preserve"> that the “Modified </w:t>
      </w:r>
      <w:proofErr w:type="spellStart"/>
      <w:r w:rsidR="006D0A3F" w:rsidRPr="002D54B4">
        <w:rPr>
          <w:rFonts w:ascii="Arial" w:hAnsi="Arial" w:cs="Arial"/>
          <w:snapToGrid w:val="0"/>
          <w:color w:val="0D0D0D" w:themeColor="text1" w:themeTint="F2"/>
          <w:lang w:val="en-GB"/>
        </w:rPr>
        <w:t>Hata</w:t>
      </w:r>
      <w:proofErr w:type="spellEnd"/>
      <w:r w:rsidR="006D0A3F" w:rsidRPr="002D54B4">
        <w:rPr>
          <w:rFonts w:ascii="Arial" w:hAnsi="Arial" w:cs="Arial"/>
          <w:snapToGrid w:val="0"/>
          <w:color w:val="0D0D0D" w:themeColor="text1" w:themeTint="F2"/>
          <w:lang w:val="en-GB"/>
        </w:rPr>
        <w:t xml:space="preserve">” model is </w:t>
      </w:r>
      <w:r w:rsidRPr="002D54B4">
        <w:rPr>
          <w:rFonts w:ascii="Arial" w:hAnsi="Arial" w:cs="Arial"/>
          <w:snapToGrid w:val="0"/>
          <w:color w:val="0D0D0D" w:themeColor="text1" w:themeTint="F2"/>
          <w:lang w:val="en-GB"/>
        </w:rPr>
        <w:t xml:space="preserve">not </w:t>
      </w:r>
      <w:r w:rsidR="006D0A3F" w:rsidRPr="002D54B4">
        <w:rPr>
          <w:rFonts w:ascii="Arial" w:hAnsi="Arial" w:cs="Arial"/>
          <w:snapToGrid w:val="0"/>
          <w:color w:val="0D0D0D" w:themeColor="text1" w:themeTint="F2"/>
          <w:lang w:val="en-GB"/>
        </w:rPr>
        <w:t xml:space="preserve">appropriate to use </w:t>
      </w:r>
      <w:r w:rsidR="00F01BC8" w:rsidRPr="002D54B4">
        <w:rPr>
          <w:rFonts w:ascii="Arial" w:hAnsi="Arial" w:cs="Arial"/>
          <w:snapToGrid w:val="0"/>
          <w:color w:val="0D0D0D" w:themeColor="text1" w:themeTint="F2"/>
          <w:lang w:val="en-GB"/>
        </w:rPr>
        <w:t>in this situation</w:t>
      </w:r>
      <w:r w:rsidR="006D0A3F" w:rsidRPr="002D54B4">
        <w:rPr>
          <w:rFonts w:ascii="Arial" w:hAnsi="Arial" w:cs="Arial"/>
          <w:snapToGrid w:val="0"/>
          <w:color w:val="0D0D0D" w:themeColor="text1" w:themeTint="F2"/>
          <w:lang w:val="en-GB"/>
        </w:rPr>
        <w:t>.</w:t>
      </w:r>
    </w:p>
    <w:p w:rsidR="00A14727" w:rsidRPr="002D54B4" w:rsidRDefault="00B26C9C" w:rsidP="00F93D6A">
      <w:pPr>
        <w:rPr>
          <w:rFonts w:ascii="Arial" w:hAnsi="Arial" w:cs="Arial"/>
          <w:color w:val="0D0D0D" w:themeColor="text1" w:themeTint="F2"/>
        </w:rPr>
      </w:pPr>
      <w:r w:rsidRPr="002D54B4">
        <w:rPr>
          <w:rFonts w:ascii="Arial" w:hAnsi="Arial" w:cs="Arial"/>
          <w:color w:val="0D0D0D" w:themeColor="text1" w:themeTint="F2"/>
        </w:rPr>
        <w:t xml:space="preserve">Recommendation ITU-R P.1546 calculates field strength at distance </w:t>
      </w:r>
      <w:r w:rsidRPr="002D54B4">
        <w:rPr>
          <w:rFonts w:ascii="Arial" w:hAnsi="Arial" w:cs="Arial"/>
          <w:i/>
          <w:color w:val="0D0D0D" w:themeColor="text1" w:themeTint="F2"/>
        </w:rPr>
        <w:t>d</w:t>
      </w:r>
      <w:r w:rsidRPr="002D54B4">
        <w:rPr>
          <w:rFonts w:ascii="Arial" w:hAnsi="Arial" w:cs="Arial"/>
          <w:color w:val="0D0D0D" w:themeColor="text1" w:themeTint="F2"/>
        </w:rPr>
        <w:t xml:space="preserve"> (km) depending on the </w:t>
      </w:r>
      <w:r w:rsidR="002753A9" w:rsidRPr="002D54B4">
        <w:rPr>
          <w:rFonts w:ascii="Arial" w:hAnsi="Arial" w:cs="Arial"/>
          <w:i/>
          <w:color w:val="0D0D0D" w:themeColor="text1" w:themeTint="F2"/>
        </w:rPr>
        <w:t>effective</w:t>
      </w:r>
      <w:r w:rsidRPr="002D54B4">
        <w:rPr>
          <w:rFonts w:ascii="Arial" w:hAnsi="Arial" w:cs="Arial"/>
          <w:color w:val="0D0D0D" w:themeColor="text1" w:themeTint="F2"/>
        </w:rPr>
        <w:t xml:space="preserve"> antenna height </w:t>
      </w:r>
      <w:proofErr w:type="spellStart"/>
      <w:r w:rsidRPr="002D54B4">
        <w:rPr>
          <w:rFonts w:ascii="Arial" w:hAnsi="Arial" w:cs="Arial"/>
          <w:i/>
          <w:color w:val="0D0D0D" w:themeColor="text1" w:themeTint="F2"/>
        </w:rPr>
        <w:t>h</w:t>
      </w:r>
      <w:r w:rsidR="002753A9" w:rsidRPr="002D54B4">
        <w:rPr>
          <w:rFonts w:ascii="Arial" w:hAnsi="Arial" w:cs="Arial"/>
          <w:i/>
          <w:color w:val="0D0D0D" w:themeColor="text1" w:themeTint="F2"/>
          <w:vertAlign w:val="subscript"/>
        </w:rPr>
        <w:t>eff</w:t>
      </w:r>
      <w:proofErr w:type="spellEnd"/>
      <w:r w:rsidR="002753A9" w:rsidRPr="002D54B4">
        <w:rPr>
          <w:rFonts w:ascii="Arial" w:hAnsi="Arial" w:cs="Arial"/>
          <w:color w:val="0D0D0D" w:themeColor="text1" w:themeTint="F2"/>
        </w:rPr>
        <w:t>, which</w:t>
      </w:r>
      <w:r w:rsidRPr="002D54B4">
        <w:rPr>
          <w:rFonts w:ascii="Arial" w:hAnsi="Arial" w:cs="Arial"/>
          <w:color w:val="0D0D0D" w:themeColor="text1" w:themeTint="F2"/>
        </w:rPr>
        <w:t xml:space="preserve"> is defined as the height of the transmitting antenna above the average height of the terrain between 3 km and 15 km from the transmitting antenna. </w:t>
      </w:r>
      <w:r w:rsidR="006D0A3F" w:rsidRPr="002D54B4">
        <w:rPr>
          <w:rFonts w:ascii="Arial" w:hAnsi="Arial" w:cs="Arial"/>
          <w:color w:val="0D0D0D" w:themeColor="text1" w:themeTint="F2"/>
        </w:rPr>
        <w:t xml:space="preserve">The accepted value for the base station antenna height (above ground) is 30 m. This may constitute a correct </w:t>
      </w:r>
      <w:r w:rsidR="006D0A3F" w:rsidRPr="002D54B4">
        <w:rPr>
          <w:rFonts w:ascii="Arial" w:hAnsi="Arial" w:cs="Arial"/>
          <w:i/>
          <w:color w:val="0D0D0D" w:themeColor="text1" w:themeTint="F2"/>
        </w:rPr>
        <w:t xml:space="preserve">effective </w:t>
      </w:r>
      <w:r w:rsidR="006D0A3F" w:rsidRPr="002D54B4">
        <w:rPr>
          <w:rFonts w:ascii="Arial" w:hAnsi="Arial" w:cs="Arial"/>
          <w:color w:val="0D0D0D" w:themeColor="text1" w:themeTint="F2"/>
        </w:rPr>
        <w:t>antenna height for calculation of propagation over shorter distances over which terrain height may not vary significantly. However, over long distances, t</w:t>
      </w:r>
      <w:r w:rsidR="00863A4A" w:rsidRPr="002D54B4">
        <w:rPr>
          <w:rFonts w:ascii="Arial" w:hAnsi="Arial" w:cs="Arial"/>
          <w:color w:val="0D0D0D" w:themeColor="text1" w:themeTint="F2"/>
        </w:rPr>
        <w:t xml:space="preserve">he effective antenna height is </w:t>
      </w:r>
      <w:r w:rsidRPr="002D54B4">
        <w:rPr>
          <w:rFonts w:ascii="Arial" w:hAnsi="Arial" w:cs="Arial"/>
          <w:color w:val="0D0D0D" w:themeColor="text1" w:themeTint="F2"/>
        </w:rPr>
        <w:t>often considerably higher than the height of the antenna above the ground</w:t>
      </w:r>
      <w:r w:rsidR="00863A4A" w:rsidRPr="002D54B4">
        <w:rPr>
          <w:rFonts w:ascii="Arial" w:hAnsi="Arial" w:cs="Arial"/>
          <w:color w:val="0D0D0D" w:themeColor="text1" w:themeTint="F2"/>
        </w:rPr>
        <w:t xml:space="preserve">. </w:t>
      </w:r>
      <w:r w:rsidR="006D0A3F" w:rsidRPr="002D54B4">
        <w:rPr>
          <w:rFonts w:ascii="Arial" w:hAnsi="Arial" w:cs="Arial"/>
          <w:color w:val="0D0D0D" w:themeColor="text1" w:themeTint="F2"/>
        </w:rPr>
        <w:t xml:space="preserve">Analysis of existing IMT base stations revealed that the effective antenna height for the majority of base stations did not exceed </w:t>
      </w:r>
      <w:r w:rsidR="00863A4A" w:rsidRPr="002D54B4">
        <w:rPr>
          <w:rFonts w:ascii="Arial" w:hAnsi="Arial" w:cs="Arial"/>
          <w:color w:val="0D0D0D" w:themeColor="text1" w:themeTint="F2"/>
        </w:rPr>
        <w:t>150 m.</w:t>
      </w:r>
    </w:p>
    <w:p w:rsidR="007E112C" w:rsidRPr="002D54B4" w:rsidRDefault="00A14727" w:rsidP="00F93D6A">
      <w:pPr>
        <w:rPr>
          <w:rFonts w:ascii="Arial" w:hAnsi="Arial" w:cs="Arial"/>
          <w:color w:val="0D0D0D" w:themeColor="text1" w:themeTint="F2"/>
        </w:rPr>
      </w:pPr>
      <w:r w:rsidRPr="002D54B4">
        <w:rPr>
          <w:rFonts w:ascii="Arial" w:hAnsi="Arial" w:cs="Arial"/>
          <w:color w:val="0D0D0D" w:themeColor="text1" w:themeTint="F2"/>
        </w:rPr>
        <w:t>O</w:t>
      </w:r>
      <w:r w:rsidR="001E1AB9" w:rsidRPr="002D54B4">
        <w:rPr>
          <w:rFonts w:ascii="Arial" w:hAnsi="Arial" w:cs="Arial"/>
          <w:color w:val="0D0D0D" w:themeColor="text1" w:themeTint="F2"/>
        </w:rPr>
        <w:t>nly 1% time curves of Recommendation ITU-R P.1546 should be used for the calculation of interfering/unwanted signal field strengths</w:t>
      </w:r>
      <w:r w:rsidRPr="002D54B4">
        <w:rPr>
          <w:rStyle w:val="FootnoteReference"/>
          <w:rFonts w:ascii="Arial" w:hAnsi="Arial" w:cs="Arial"/>
          <w:color w:val="0D0D0D" w:themeColor="text1" w:themeTint="F2"/>
        </w:rPr>
        <w:footnoteReference w:id="9"/>
      </w:r>
      <w:r w:rsidR="001E1AB9" w:rsidRPr="002D54B4">
        <w:rPr>
          <w:rFonts w:ascii="Arial" w:hAnsi="Arial" w:cs="Arial"/>
          <w:color w:val="0D0D0D" w:themeColor="text1" w:themeTint="F2"/>
        </w:rPr>
        <w:t>.</w:t>
      </w:r>
      <w:r w:rsidR="004D6F17" w:rsidRPr="002D54B4">
        <w:rPr>
          <w:rFonts w:ascii="Arial" w:hAnsi="Arial" w:cs="Arial"/>
          <w:color w:val="0D0D0D" w:themeColor="text1" w:themeTint="F2"/>
        </w:rPr>
        <w:t xml:space="preserve"> </w:t>
      </w:r>
      <w:r w:rsidR="006D0A3F" w:rsidRPr="002D54B4">
        <w:rPr>
          <w:rFonts w:ascii="Arial" w:hAnsi="Arial" w:cs="Arial"/>
          <w:color w:val="0D0D0D" w:themeColor="text1" w:themeTint="F2"/>
        </w:rPr>
        <w:t>Location variability has been taken into account in the minimum median field s</w:t>
      </w:r>
      <w:r w:rsidR="001A1830" w:rsidRPr="002D54B4">
        <w:rPr>
          <w:rFonts w:ascii="Arial" w:hAnsi="Arial" w:cs="Arial"/>
          <w:color w:val="0D0D0D" w:themeColor="text1" w:themeTint="F2"/>
        </w:rPr>
        <w:t>trength and PCF in Table 3, and should not also be incorporated in the use of the propagation model.</w:t>
      </w:r>
    </w:p>
    <w:p w:rsidR="003A74B3" w:rsidRDefault="003A74B3">
      <w:pPr>
        <w:rPr>
          <w:rFonts w:ascii="Arial" w:hAnsi="Arial" w:cs="Arial"/>
          <w:color w:val="0D0D0D" w:themeColor="text1" w:themeTint="F2"/>
        </w:rPr>
      </w:pPr>
      <w:r>
        <w:rPr>
          <w:rFonts w:ascii="Arial" w:hAnsi="Arial" w:cs="Arial"/>
          <w:color w:val="0D0D0D" w:themeColor="text1" w:themeTint="F2"/>
        </w:rPr>
        <w:br w:type="page"/>
      </w:r>
    </w:p>
    <w:p w:rsidR="00B4590C" w:rsidRPr="002D54B4" w:rsidRDefault="00B4590C" w:rsidP="00035506">
      <w:pPr>
        <w:spacing w:after="0" w:line="240" w:lineRule="auto"/>
        <w:rPr>
          <w:rFonts w:ascii="Arial" w:hAnsi="Arial" w:cs="Arial"/>
          <w:color w:val="0D0D0D" w:themeColor="text1" w:themeTint="F2"/>
        </w:rPr>
      </w:pPr>
    </w:p>
    <w:p w:rsidR="003E6B0A" w:rsidRPr="002D54B4" w:rsidRDefault="002C4407">
      <w:pPr>
        <w:pStyle w:val="Heading3"/>
        <w:numPr>
          <w:ilvl w:val="1"/>
          <w:numId w:val="5"/>
        </w:numPr>
        <w:rPr>
          <w:rFonts w:ascii="Arial" w:hAnsi="Arial" w:cs="Arial"/>
          <w:color w:val="0D0D0D" w:themeColor="text1" w:themeTint="F2"/>
        </w:rPr>
      </w:pPr>
      <w:r w:rsidRPr="002D54B4">
        <w:rPr>
          <w:rFonts w:ascii="Arial" w:hAnsi="Arial" w:cs="Arial"/>
          <w:color w:val="0D0D0D" w:themeColor="text1" w:themeTint="F2"/>
        </w:rPr>
        <w:t>Exclusion zones</w:t>
      </w:r>
    </w:p>
    <w:p w:rsidR="002C4407" w:rsidRPr="002D54B4" w:rsidRDefault="002C4407" w:rsidP="002C4407">
      <w:pPr>
        <w:rPr>
          <w:rFonts w:ascii="Arial" w:hAnsi="Arial" w:cs="Arial"/>
          <w:color w:val="0D0D0D" w:themeColor="text1" w:themeTint="F2"/>
        </w:rPr>
      </w:pPr>
      <w:r w:rsidRPr="002D54B4">
        <w:rPr>
          <w:rFonts w:ascii="Arial" w:hAnsi="Arial" w:cs="Arial"/>
          <w:color w:val="0D0D0D" w:themeColor="text1" w:themeTint="F2"/>
        </w:rPr>
        <w:t xml:space="preserve">Using the </w:t>
      </w:r>
      <w:r w:rsidR="00E83F43" w:rsidRPr="002D54B4">
        <w:rPr>
          <w:rFonts w:ascii="Arial" w:hAnsi="Arial" w:cs="Arial"/>
          <w:color w:val="0D0D0D" w:themeColor="text1" w:themeTint="F2"/>
        </w:rPr>
        <w:t xml:space="preserve">DTV protection requirements listed in Table 3, the base station parameters listed in Table 4, and the propagation model (and parameters) </w:t>
      </w:r>
      <w:r w:rsidRPr="002D54B4">
        <w:rPr>
          <w:rFonts w:ascii="Arial" w:hAnsi="Arial" w:cs="Arial"/>
          <w:color w:val="0D0D0D" w:themeColor="text1" w:themeTint="F2"/>
        </w:rPr>
        <w:t xml:space="preserve">described in </w:t>
      </w:r>
      <w:r w:rsidR="00E83F43" w:rsidRPr="002D54B4">
        <w:rPr>
          <w:rFonts w:ascii="Arial" w:hAnsi="Arial" w:cs="Arial"/>
          <w:color w:val="0D0D0D" w:themeColor="text1" w:themeTint="F2"/>
        </w:rPr>
        <w:t>S</w:t>
      </w:r>
      <w:r w:rsidRPr="002D54B4">
        <w:rPr>
          <w:rFonts w:ascii="Arial" w:hAnsi="Arial" w:cs="Arial"/>
          <w:color w:val="0D0D0D" w:themeColor="text1" w:themeTint="F2"/>
        </w:rPr>
        <w:t>ection</w:t>
      </w:r>
      <w:r w:rsidR="00E83F43" w:rsidRPr="002D54B4">
        <w:rPr>
          <w:rFonts w:ascii="Arial" w:hAnsi="Arial" w:cs="Arial"/>
          <w:color w:val="0D0D0D" w:themeColor="text1" w:themeTint="F2"/>
        </w:rPr>
        <w:t xml:space="preserve"> 3.4,</w:t>
      </w:r>
      <w:r w:rsidRPr="002D54B4">
        <w:rPr>
          <w:rFonts w:ascii="Arial" w:hAnsi="Arial" w:cs="Arial"/>
          <w:color w:val="0D0D0D" w:themeColor="text1" w:themeTint="F2"/>
        </w:rPr>
        <w:t xml:space="preserve"> the following </w:t>
      </w:r>
      <w:r w:rsidR="00E83F43" w:rsidRPr="002D54B4">
        <w:rPr>
          <w:rFonts w:ascii="Arial" w:hAnsi="Arial" w:cs="Arial"/>
          <w:color w:val="0D0D0D" w:themeColor="text1" w:themeTint="F2"/>
        </w:rPr>
        <w:t xml:space="preserve">geographic </w:t>
      </w:r>
      <w:r w:rsidRPr="002D54B4">
        <w:rPr>
          <w:rFonts w:ascii="Arial" w:hAnsi="Arial" w:cs="Arial"/>
          <w:color w:val="0D0D0D" w:themeColor="text1" w:themeTint="F2"/>
        </w:rPr>
        <w:t>separation requirements have been developed.</w:t>
      </w:r>
    </w:p>
    <w:tbl>
      <w:tblPr>
        <w:tblStyle w:val="TableGrid"/>
        <w:tblW w:w="8188" w:type="dxa"/>
        <w:tblLook w:val="04A0"/>
      </w:tblPr>
      <w:tblGrid>
        <w:gridCol w:w="3652"/>
        <w:gridCol w:w="4536"/>
      </w:tblGrid>
      <w:tr w:rsidR="00E6401A" w:rsidRPr="002D54B4" w:rsidTr="00035506">
        <w:trPr>
          <w:trHeight w:val="573"/>
        </w:trPr>
        <w:tc>
          <w:tcPr>
            <w:tcW w:w="8188" w:type="dxa"/>
            <w:gridSpan w:val="2"/>
            <w:tcBorders>
              <w:left w:val="nil"/>
              <w:bottom w:val="single" w:sz="4" w:space="0" w:color="000000" w:themeColor="text1"/>
              <w:right w:val="nil"/>
            </w:tcBorders>
            <w:shd w:val="clear" w:color="auto" w:fill="auto"/>
            <w:vAlign w:val="center"/>
          </w:tcPr>
          <w:p w:rsidR="00E6401A" w:rsidRPr="002D54B4" w:rsidRDefault="00E6401A" w:rsidP="00E6401A">
            <w:pPr>
              <w:rPr>
                <w:rFonts w:ascii="Arial" w:hAnsi="Arial" w:cs="Arial"/>
                <w:b/>
                <w:color w:val="0D0D0D" w:themeColor="text1" w:themeTint="F2"/>
              </w:rPr>
            </w:pPr>
            <w:r w:rsidRPr="003A74B3">
              <w:rPr>
                <w:rFonts w:ascii="Arial" w:hAnsi="Arial" w:cs="Arial"/>
                <w:b/>
                <w:color w:val="A6A6A6" w:themeColor="background1" w:themeShade="A6"/>
              </w:rPr>
              <w:t>Table 5</w:t>
            </w:r>
            <w:r w:rsidRPr="003A74B3">
              <w:rPr>
                <w:rFonts w:ascii="Arial" w:hAnsi="Arial" w:cs="Arial"/>
                <w:color w:val="A6A6A6" w:themeColor="background1" w:themeShade="A6"/>
              </w:rPr>
              <w:t>—</w:t>
            </w:r>
            <w:r w:rsidRPr="003A74B3">
              <w:rPr>
                <w:rFonts w:ascii="Arial" w:hAnsi="Arial" w:cs="Arial"/>
                <w:b/>
                <w:color w:val="A6A6A6" w:themeColor="background1" w:themeShade="A6"/>
              </w:rPr>
              <w:t>Geographic separation requirement required to not exceed the maximum permissible interfering signal field strengths in Table 3.</w:t>
            </w:r>
          </w:p>
        </w:tc>
      </w:tr>
      <w:tr w:rsidR="008866AD" w:rsidRPr="002D54B4" w:rsidTr="00035506">
        <w:tc>
          <w:tcPr>
            <w:tcW w:w="3652" w:type="dxa"/>
            <w:shd w:val="clear" w:color="auto" w:fill="D9D9D9" w:themeFill="background1" w:themeFillShade="D9"/>
          </w:tcPr>
          <w:p w:rsidR="008866AD" w:rsidRPr="002D54B4" w:rsidRDefault="008866AD" w:rsidP="00DF5FDB">
            <w:pPr>
              <w:spacing w:after="200" w:line="276" w:lineRule="auto"/>
              <w:rPr>
                <w:rFonts w:ascii="Arial" w:hAnsi="Arial" w:cs="Arial"/>
                <w:b/>
                <w:color w:val="0D0D0D" w:themeColor="text1" w:themeTint="F2"/>
              </w:rPr>
            </w:pPr>
            <w:r w:rsidRPr="002D54B4">
              <w:rPr>
                <w:rFonts w:ascii="Arial" w:hAnsi="Arial" w:cs="Arial"/>
                <w:b/>
                <w:color w:val="0D0D0D" w:themeColor="text1" w:themeTint="F2"/>
              </w:rPr>
              <w:t>Exclusion zone component</w:t>
            </w:r>
          </w:p>
        </w:tc>
        <w:tc>
          <w:tcPr>
            <w:tcW w:w="4536" w:type="dxa"/>
            <w:shd w:val="clear" w:color="auto" w:fill="D9D9D9" w:themeFill="background1" w:themeFillShade="D9"/>
          </w:tcPr>
          <w:p w:rsidR="008866AD" w:rsidRPr="002D54B4" w:rsidRDefault="002753A9" w:rsidP="00DF5FDB">
            <w:pPr>
              <w:spacing w:after="200" w:line="276" w:lineRule="auto"/>
              <w:rPr>
                <w:rFonts w:ascii="Arial" w:hAnsi="Arial" w:cs="Arial"/>
                <w:b/>
                <w:color w:val="0D0D0D" w:themeColor="text1" w:themeTint="F2"/>
              </w:rPr>
            </w:pPr>
            <w:r w:rsidRPr="002D54B4">
              <w:rPr>
                <w:rFonts w:ascii="Arial" w:hAnsi="Arial" w:cs="Arial"/>
                <w:b/>
                <w:color w:val="0D0D0D" w:themeColor="text1" w:themeTint="F2"/>
              </w:rPr>
              <w:t>Geographic separation requirement</w:t>
            </w:r>
          </w:p>
        </w:tc>
      </w:tr>
      <w:tr w:rsidR="008866AD" w:rsidRPr="002D54B4" w:rsidTr="00E6401A">
        <w:tc>
          <w:tcPr>
            <w:tcW w:w="3652" w:type="dxa"/>
            <w:shd w:val="clear" w:color="auto" w:fill="auto"/>
          </w:tcPr>
          <w:p w:rsidR="008866AD" w:rsidRPr="002D54B4" w:rsidRDefault="008866AD" w:rsidP="00DF5FDB">
            <w:pPr>
              <w:rPr>
                <w:rFonts w:ascii="Arial" w:hAnsi="Arial" w:cs="Arial"/>
                <w:color w:val="0D0D0D" w:themeColor="text1" w:themeTint="F2"/>
              </w:rPr>
            </w:pPr>
            <w:r w:rsidRPr="002D54B4">
              <w:rPr>
                <w:rFonts w:ascii="Arial" w:hAnsi="Arial" w:cs="Arial"/>
                <w:color w:val="0D0D0D" w:themeColor="text1" w:themeTint="F2"/>
              </w:rPr>
              <w:t>Back of antenna</w:t>
            </w:r>
          </w:p>
        </w:tc>
        <w:tc>
          <w:tcPr>
            <w:tcW w:w="4536" w:type="dxa"/>
            <w:shd w:val="clear" w:color="auto" w:fill="auto"/>
          </w:tcPr>
          <w:p w:rsidR="008866AD" w:rsidRPr="002D54B4" w:rsidRDefault="007B2EA2" w:rsidP="00DF5FDB">
            <w:pPr>
              <w:rPr>
                <w:rFonts w:ascii="Arial" w:hAnsi="Arial" w:cs="Arial"/>
                <w:color w:val="0D0D0D" w:themeColor="text1" w:themeTint="F2"/>
              </w:rPr>
            </w:pPr>
            <w:r w:rsidRPr="002D54B4">
              <w:rPr>
                <w:rFonts w:ascii="Arial" w:hAnsi="Arial" w:cs="Arial"/>
                <w:color w:val="0D0D0D" w:themeColor="text1" w:themeTint="F2"/>
              </w:rPr>
              <w:t xml:space="preserve">43 </w:t>
            </w:r>
            <w:r w:rsidR="002753A9" w:rsidRPr="002D54B4">
              <w:rPr>
                <w:rFonts w:ascii="Arial" w:hAnsi="Arial" w:cs="Arial"/>
                <w:color w:val="0D0D0D" w:themeColor="text1" w:themeTint="F2"/>
              </w:rPr>
              <w:t>km</w:t>
            </w:r>
          </w:p>
        </w:tc>
      </w:tr>
      <w:tr w:rsidR="00480FE3" w:rsidRPr="002D54B4" w:rsidTr="00E6401A">
        <w:tc>
          <w:tcPr>
            <w:tcW w:w="3652" w:type="dxa"/>
            <w:tcBorders>
              <w:bottom w:val="single" w:sz="4" w:space="0" w:color="000000" w:themeColor="text1"/>
            </w:tcBorders>
            <w:shd w:val="clear" w:color="auto" w:fill="auto"/>
          </w:tcPr>
          <w:p w:rsidR="00480FE3" w:rsidRPr="002D54B4" w:rsidRDefault="00480FE3" w:rsidP="00DF5FDB">
            <w:pPr>
              <w:rPr>
                <w:rFonts w:ascii="Arial" w:hAnsi="Arial" w:cs="Arial"/>
                <w:color w:val="0D0D0D" w:themeColor="text1" w:themeTint="F2"/>
              </w:rPr>
            </w:pPr>
            <w:r w:rsidRPr="002D54B4">
              <w:rPr>
                <w:rFonts w:ascii="Arial" w:hAnsi="Arial" w:cs="Arial"/>
                <w:color w:val="0D0D0D" w:themeColor="text1" w:themeTint="F2"/>
              </w:rPr>
              <w:t>Main beam</w:t>
            </w:r>
          </w:p>
        </w:tc>
        <w:tc>
          <w:tcPr>
            <w:tcW w:w="4536" w:type="dxa"/>
            <w:tcBorders>
              <w:bottom w:val="single" w:sz="4" w:space="0" w:color="000000" w:themeColor="text1"/>
            </w:tcBorders>
            <w:shd w:val="clear" w:color="auto" w:fill="auto"/>
          </w:tcPr>
          <w:p w:rsidR="00480FE3" w:rsidRPr="002D54B4" w:rsidRDefault="00480FE3" w:rsidP="00DF5FDB">
            <w:pPr>
              <w:rPr>
                <w:rFonts w:ascii="Arial" w:hAnsi="Arial" w:cs="Arial"/>
                <w:color w:val="0D0D0D" w:themeColor="text1" w:themeTint="F2"/>
              </w:rPr>
            </w:pPr>
            <w:r w:rsidRPr="002D54B4">
              <w:rPr>
                <w:rFonts w:ascii="Arial" w:hAnsi="Arial" w:cs="Arial"/>
                <w:color w:val="0D0D0D" w:themeColor="text1" w:themeTint="F2"/>
              </w:rPr>
              <w:t>79 km</w:t>
            </w:r>
          </w:p>
        </w:tc>
      </w:tr>
      <w:tr w:rsidR="00E6401A" w:rsidRPr="002D54B4" w:rsidTr="00E6401A">
        <w:trPr>
          <w:trHeight w:val="289"/>
        </w:trPr>
        <w:tc>
          <w:tcPr>
            <w:tcW w:w="3652" w:type="dxa"/>
            <w:tcBorders>
              <w:left w:val="nil"/>
              <w:right w:val="nil"/>
            </w:tcBorders>
            <w:shd w:val="clear" w:color="auto" w:fill="auto"/>
          </w:tcPr>
          <w:p w:rsidR="00E6401A" w:rsidRPr="002D54B4" w:rsidRDefault="00E6401A" w:rsidP="00DF5FDB">
            <w:pPr>
              <w:rPr>
                <w:rFonts w:ascii="Arial" w:hAnsi="Arial" w:cs="Arial"/>
                <w:color w:val="0D0D0D" w:themeColor="text1" w:themeTint="F2"/>
              </w:rPr>
            </w:pPr>
          </w:p>
        </w:tc>
        <w:tc>
          <w:tcPr>
            <w:tcW w:w="4536" w:type="dxa"/>
            <w:tcBorders>
              <w:left w:val="nil"/>
              <w:right w:val="nil"/>
            </w:tcBorders>
            <w:shd w:val="clear" w:color="auto" w:fill="auto"/>
          </w:tcPr>
          <w:p w:rsidR="00E6401A" w:rsidRPr="002D54B4" w:rsidRDefault="00E6401A" w:rsidP="00DF5FDB">
            <w:pPr>
              <w:rPr>
                <w:rFonts w:ascii="Arial" w:hAnsi="Arial" w:cs="Arial"/>
                <w:color w:val="0D0D0D" w:themeColor="text1" w:themeTint="F2"/>
              </w:rPr>
            </w:pPr>
          </w:p>
        </w:tc>
      </w:tr>
    </w:tbl>
    <w:p w:rsidR="00537D80" w:rsidRPr="002D54B4" w:rsidRDefault="00537D80" w:rsidP="00EF3EDD">
      <w:pPr>
        <w:rPr>
          <w:rFonts w:ascii="Arial" w:hAnsi="Arial" w:cs="Arial"/>
          <w:b/>
          <w:color w:val="0D0D0D" w:themeColor="text1" w:themeTint="F2"/>
        </w:rPr>
      </w:pPr>
    </w:p>
    <w:p w:rsidR="003E6B0A" w:rsidRPr="002D54B4" w:rsidRDefault="0019697D">
      <w:pPr>
        <w:rPr>
          <w:rFonts w:ascii="Arial" w:hAnsi="Arial" w:cs="Arial"/>
          <w:color w:val="0D0D0D" w:themeColor="text1" w:themeTint="F2"/>
        </w:rPr>
      </w:pPr>
      <w:r w:rsidRPr="002D54B4">
        <w:rPr>
          <w:rFonts w:ascii="Arial" w:hAnsi="Arial" w:cs="Arial"/>
          <w:color w:val="0D0D0D" w:themeColor="text1" w:themeTint="F2"/>
        </w:rPr>
        <w:t>For the “back-of-antenna” component of the exclusion zone</w:t>
      </w:r>
      <w:r w:rsidR="00E83F43" w:rsidRPr="002D54B4">
        <w:rPr>
          <w:rFonts w:ascii="Arial" w:hAnsi="Arial" w:cs="Arial"/>
          <w:color w:val="0D0D0D" w:themeColor="text1" w:themeTint="F2"/>
        </w:rPr>
        <w:t>, i</w:t>
      </w:r>
      <w:r w:rsidR="00726866" w:rsidRPr="002D54B4">
        <w:rPr>
          <w:rFonts w:ascii="Arial" w:hAnsi="Arial" w:cs="Arial"/>
          <w:color w:val="0D0D0D" w:themeColor="text1" w:themeTint="F2"/>
        </w:rPr>
        <w:t xml:space="preserve">t is proposed that the </w:t>
      </w:r>
      <w:r w:rsidR="00726866" w:rsidRPr="002D54B4">
        <w:rPr>
          <w:rFonts w:ascii="Arial" w:hAnsi="Arial" w:cs="Arial"/>
          <w:b/>
          <w:color w:val="0D0D0D" w:themeColor="text1" w:themeTint="F2"/>
        </w:rPr>
        <w:t xml:space="preserve">geographic separation requirement of </w:t>
      </w:r>
      <w:r w:rsidR="007B2EA2" w:rsidRPr="002D54B4">
        <w:rPr>
          <w:rFonts w:ascii="Arial" w:hAnsi="Arial" w:cs="Arial"/>
          <w:b/>
          <w:color w:val="0D0D0D" w:themeColor="text1" w:themeTint="F2"/>
        </w:rPr>
        <w:t xml:space="preserve">43 </w:t>
      </w:r>
      <w:r w:rsidR="00726866" w:rsidRPr="002D54B4">
        <w:rPr>
          <w:rFonts w:ascii="Arial" w:hAnsi="Arial" w:cs="Arial"/>
          <w:b/>
          <w:color w:val="0D0D0D" w:themeColor="text1" w:themeTint="F2"/>
        </w:rPr>
        <w:t xml:space="preserve">km </w:t>
      </w:r>
      <w:r w:rsidR="00726866" w:rsidRPr="002D54B4">
        <w:rPr>
          <w:rFonts w:ascii="Arial" w:hAnsi="Arial" w:cs="Arial"/>
          <w:color w:val="0D0D0D" w:themeColor="text1" w:themeTint="F2"/>
        </w:rPr>
        <w:t>be applied to the edge of the DTV coverage area</w:t>
      </w:r>
      <w:r w:rsidR="00E83F43" w:rsidRPr="002D54B4">
        <w:rPr>
          <w:rFonts w:ascii="Arial" w:hAnsi="Arial" w:cs="Arial"/>
          <w:color w:val="0D0D0D" w:themeColor="text1" w:themeTint="F2"/>
        </w:rPr>
        <w:t>,</w:t>
      </w:r>
      <w:r w:rsidR="00726866" w:rsidRPr="002D54B4">
        <w:rPr>
          <w:rFonts w:ascii="Arial" w:hAnsi="Arial" w:cs="Arial"/>
          <w:color w:val="0D0D0D" w:themeColor="text1" w:themeTint="F2"/>
        </w:rPr>
        <w:t xml:space="preserve"> as the width of the buffer zone</w:t>
      </w:r>
      <w:r w:rsidR="00E83F43" w:rsidRPr="002D54B4">
        <w:rPr>
          <w:rFonts w:ascii="Arial" w:hAnsi="Arial" w:cs="Arial"/>
          <w:color w:val="0D0D0D" w:themeColor="text1" w:themeTint="F2"/>
        </w:rPr>
        <w:t>, as explained in Section 3.2</w:t>
      </w:r>
      <w:r w:rsidR="00726866" w:rsidRPr="002D54B4">
        <w:rPr>
          <w:rFonts w:ascii="Arial" w:hAnsi="Arial" w:cs="Arial"/>
          <w:color w:val="0D0D0D" w:themeColor="text1" w:themeTint="F2"/>
        </w:rPr>
        <w:t>.</w:t>
      </w:r>
    </w:p>
    <w:p w:rsidR="003E6B0A" w:rsidRPr="002D54B4" w:rsidRDefault="0019697D">
      <w:pPr>
        <w:rPr>
          <w:rFonts w:ascii="Arial" w:hAnsi="Arial" w:cs="Arial"/>
          <w:color w:val="0D0D0D" w:themeColor="text1" w:themeTint="F2"/>
        </w:rPr>
      </w:pPr>
      <w:r w:rsidRPr="002D54B4">
        <w:rPr>
          <w:rFonts w:ascii="Arial" w:hAnsi="Arial" w:cs="Arial"/>
          <w:color w:val="0D0D0D" w:themeColor="text1" w:themeTint="F2"/>
        </w:rPr>
        <w:t xml:space="preserve">For the “main-beam” component of the exclusion zone, </w:t>
      </w:r>
      <w:r w:rsidR="00E83F43" w:rsidRPr="002D54B4">
        <w:rPr>
          <w:rFonts w:ascii="Arial" w:hAnsi="Arial" w:cs="Arial"/>
          <w:color w:val="0D0D0D" w:themeColor="text1" w:themeTint="F2"/>
        </w:rPr>
        <w:t>i</w:t>
      </w:r>
      <w:r w:rsidR="002753A9" w:rsidRPr="002D54B4">
        <w:rPr>
          <w:rFonts w:ascii="Arial" w:hAnsi="Arial" w:cs="Arial"/>
          <w:color w:val="0D0D0D" w:themeColor="text1" w:themeTint="F2"/>
        </w:rPr>
        <w:t xml:space="preserve">t is proposed that the </w:t>
      </w:r>
      <w:r w:rsidR="004E71D5" w:rsidRPr="002D54B4">
        <w:rPr>
          <w:rFonts w:ascii="Arial" w:hAnsi="Arial" w:cs="Arial"/>
          <w:b/>
          <w:color w:val="0D0D0D" w:themeColor="text1" w:themeTint="F2"/>
        </w:rPr>
        <w:t>geographic</w:t>
      </w:r>
      <w:r w:rsidR="002753A9" w:rsidRPr="002D54B4">
        <w:rPr>
          <w:rFonts w:ascii="Arial" w:hAnsi="Arial" w:cs="Arial"/>
          <w:b/>
          <w:color w:val="0D0D0D" w:themeColor="text1" w:themeTint="F2"/>
        </w:rPr>
        <w:t xml:space="preserve"> separation </w:t>
      </w:r>
      <w:r w:rsidR="004E71D5" w:rsidRPr="002D54B4">
        <w:rPr>
          <w:rFonts w:ascii="Arial" w:hAnsi="Arial" w:cs="Arial"/>
          <w:b/>
          <w:color w:val="0D0D0D" w:themeColor="text1" w:themeTint="F2"/>
        </w:rPr>
        <w:t>requirement</w:t>
      </w:r>
      <w:r w:rsidR="002753A9" w:rsidRPr="002D54B4">
        <w:rPr>
          <w:rFonts w:ascii="Arial" w:hAnsi="Arial" w:cs="Arial"/>
          <w:b/>
          <w:color w:val="0D0D0D" w:themeColor="text1" w:themeTint="F2"/>
        </w:rPr>
        <w:t xml:space="preserve"> of </w:t>
      </w:r>
      <w:r w:rsidR="007B2EA2" w:rsidRPr="002D54B4">
        <w:rPr>
          <w:rFonts w:ascii="Arial" w:hAnsi="Arial" w:cs="Arial"/>
          <w:b/>
          <w:color w:val="0D0D0D" w:themeColor="text1" w:themeTint="F2"/>
        </w:rPr>
        <w:t xml:space="preserve">79 </w:t>
      </w:r>
      <w:r w:rsidR="002753A9" w:rsidRPr="002D54B4">
        <w:rPr>
          <w:rFonts w:ascii="Arial" w:hAnsi="Arial" w:cs="Arial"/>
          <w:b/>
          <w:color w:val="0D0D0D" w:themeColor="text1" w:themeTint="F2"/>
        </w:rPr>
        <w:t xml:space="preserve">km </w:t>
      </w:r>
      <w:r w:rsidR="002753A9" w:rsidRPr="002D54B4">
        <w:rPr>
          <w:rFonts w:ascii="Arial" w:hAnsi="Arial" w:cs="Arial"/>
          <w:color w:val="0D0D0D" w:themeColor="text1" w:themeTint="F2"/>
        </w:rPr>
        <w:t xml:space="preserve">be applied </w:t>
      </w:r>
      <w:r w:rsidR="00480FE3" w:rsidRPr="002D54B4">
        <w:rPr>
          <w:rFonts w:ascii="Arial" w:hAnsi="Arial" w:cs="Arial"/>
          <w:color w:val="0D0D0D" w:themeColor="text1" w:themeTint="F2"/>
        </w:rPr>
        <w:t xml:space="preserve">at </w:t>
      </w:r>
      <w:r w:rsidR="002753A9" w:rsidRPr="002D54B4">
        <w:rPr>
          <w:rFonts w:ascii="Arial" w:hAnsi="Arial" w:cs="Arial"/>
          <w:color w:val="0D0D0D" w:themeColor="text1" w:themeTint="F2"/>
        </w:rPr>
        <w:t>the DT</w:t>
      </w:r>
      <w:r w:rsidR="00726866" w:rsidRPr="002D54B4">
        <w:rPr>
          <w:rFonts w:ascii="Arial" w:hAnsi="Arial" w:cs="Arial"/>
          <w:color w:val="0D0D0D" w:themeColor="text1" w:themeTint="F2"/>
        </w:rPr>
        <w:t>V</w:t>
      </w:r>
      <w:r w:rsidR="002753A9" w:rsidRPr="002D54B4">
        <w:rPr>
          <w:rFonts w:ascii="Arial" w:hAnsi="Arial" w:cs="Arial"/>
          <w:color w:val="0D0D0D" w:themeColor="text1" w:themeTint="F2"/>
        </w:rPr>
        <w:t xml:space="preserve"> transmitter site</w:t>
      </w:r>
      <w:r w:rsidR="00E83F43" w:rsidRPr="002D54B4">
        <w:rPr>
          <w:rFonts w:ascii="Arial" w:hAnsi="Arial" w:cs="Arial"/>
          <w:color w:val="0D0D0D" w:themeColor="text1" w:themeTint="F2"/>
        </w:rPr>
        <w:t>, as explained in Section 3.3</w:t>
      </w:r>
      <w:r w:rsidR="004E71D5" w:rsidRPr="002D54B4">
        <w:rPr>
          <w:rFonts w:ascii="Arial" w:hAnsi="Arial" w:cs="Arial"/>
          <w:color w:val="0D0D0D" w:themeColor="text1" w:themeTint="F2"/>
        </w:rPr>
        <w:t>.</w:t>
      </w:r>
    </w:p>
    <w:p w:rsidR="00814B76" w:rsidRPr="002D54B4" w:rsidRDefault="002C3537">
      <w:pPr>
        <w:rPr>
          <w:rFonts w:ascii="Arial" w:hAnsi="Arial" w:cs="Arial"/>
          <w:i/>
          <w:color w:val="0D0D0D" w:themeColor="text1" w:themeTint="F2"/>
        </w:rPr>
      </w:pPr>
      <w:r w:rsidRPr="002D54B4">
        <w:rPr>
          <w:rFonts w:ascii="Arial" w:hAnsi="Arial" w:cs="Arial"/>
          <w:color w:val="0D0D0D" w:themeColor="text1" w:themeTint="F2"/>
        </w:rPr>
        <w:t xml:space="preserve">The maps </w:t>
      </w:r>
      <w:r w:rsidR="00C9136A" w:rsidRPr="002D54B4">
        <w:rPr>
          <w:rFonts w:ascii="Arial" w:hAnsi="Arial" w:cs="Arial"/>
          <w:color w:val="0D0D0D" w:themeColor="text1" w:themeTint="F2"/>
        </w:rPr>
        <w:t>to</w:t>
      </w:r>
      <w:r w:rsidRPr="002D54B4">
        <w:rPr>
          <w:rFonts w:ascii="Arial" w:hAnsi="Arial" w:cs="Arial"/>
          <w:color w:val="0D0D0D" w:themeColor="text1" w:themeTint="F2"/>
        </w:rPr>
        <w:t xml:space="preserve"> be published f</w:t>
      </w:r>
      <w:r w:rsidR="00E5600E" w:rsidRPr="002D54B4">
        <w:rPr>
          <w:rFonts w:ascii="Arial" w:hAnsi="Arial" w:cs="Arial"/>
          <w:color w:val="0D0D0D" w:themeColor="text1" w:themeTint="F2"/>
        </w:rPr>
        <w:t xml:space="preserve">or each incumbent DTV service in the 700 MHz Band, </w:t>
      </w:r>
      <w:r w:rsidRPr="002D54B4">
        <w:rPr>
          <w:rFonts w:ascii="Arial" w:hAnsi="Arial" w:cs="Arial"/>
          <w:color w:val="0D0D0D" w:themeColor="text1" w:themeTint="F2"/>
        </w:rPr>
        <w:t xml:space="preserve">will be </w:t>
      </w:r>
      <w:r w:rsidR="00E5600E" w:rsidRPr="002D54B4">
        <w:rPr>
          <w:rFonts w:ascii="Arial" w:hAnsi="Arial" w:cs="Arial"/>
          <w:color w:val="0D0D0D" w:themeColor="text1" w:themeTint="F2"/>
        </w:rPr>
        <w:t xml:space="preserve">the total exclusion zone </w:t>
      </w:r>
      <w:r w:rsidR="00726866" w:rsidRPr="002D54B4">
        <w:rPr>
          <w:rFonts w:ascii="Arial" w:hAnsi="Arial" w:cs="Arial"/>
          <w:color w:val="0D0D0D" w:themeColor="text1" w:themeTint="F2"/>
        </w:rPr>
        <w:t xml:space="preserve">formed from the </w:t>
      </w:r>
      <w:r w:rsidR="00D010B3" w:rsidRPr="002D54B4">
        <w:rPr>
          <w:rFonts w:ascii="Arial" w:hAnsi="Arial" w:cs="Arial"/>
          <w:color w:val="0D0D0D" w:themeColor="text1" w:themeTint="F2"/>
        </w:rPr>
        <w:t xml:space="preserve">outer envelope of the </w:t>
      </w:r>
      <w:r w:rsidR="00726866" w:rsidRPr="002D54B4">
        <w:rPr>
          <w:rFonts w:ascii="Arial" w:hAnsi="Arial" w:cs="Arial"/>
          <w:color w:val="0D0D0D" w:themeColor="text1" w:themeTint="F2"/>
        </w:rPr>
        <w:t>overlay of both</w:t>
      </w:r>
      <w:r w:rsidR="00E83F43" w:rsidRPr="002D54B4">
        <w:rPr>
          <w:rFonts w:ascii="Arial" w:hAnsi="Arial" w:cs="Arial"/>
          <w:color w:val="0D0D0D" w:themeColor="text1" w:themeTint="F2"/>
        </w:rPr>
        <w:t xml:space="preserve"> the corresponding</w:t>
      </w:r>
      <w:r w:rsidR="00726866" w:rsidRPr="002D54B4">
        <w:rPr>
          <w:rFonts w:ascii="Arial" w:hAnsi="Arial" w:cs="Arial"/>
          <w:color w:val="0D0D0D" w:themeColor="text1" w:themeTint="F2"/>
        </w:rPr>
        <w:t xml:space="preserve"> “main-beam” and “back-of-antenna” exclusion zone components.</w:t>
      </w:r>
    </w:p>
    <w:p w:rsidR="003E6B0A" w:rsidRPr="002D54B4" w:rsidRDefault="00AB64DD">
      <w:pPr>
        <w:pStyle w:val="Heading2"/>
        <w:numPr>
          <w:ilvl w:val="0"/>
          <w:numId w:val="5"/>
        </w:numPr>
        <w:rPr>
          <w:rFonts w:ascii="Arial" w:hAnsi="Arial" w:cs="Arial"/>
          <w:color w:val="0D0D0D" w:themeColor="text1" w:themeTint="F2"/>
        </w:rPr>
      </w:pPr>
      <w:bookmarkStart w:id="8" w:name="_Toc320194066"/>
      <w:bookmarkStart w:id="9" w:name="_Toc320194312"/>
      <w:r w:rsidRPr="002D54B4">
        <w:rPr>
          <w:rFonts w:ascii="Arial" w:hAnsi="Arial" w:cs="Arial"/>
          <w:color w:val="0D0D0D" w:themeColor="text1" w:themeTint="F2"/>
        </w:rPr>
        <w:t>Comment Period</w:t>
      </w:r>
      <w:bookmarkEnd w:id="8"/>
      <w:bookmarkEnd w:id="9"/>
    </w:p>
    <w:p w:rsidR="00AB64DD" w:rsidRPr="002D54B4" w:rsidRDefault="00AB64DD" w:rsidP="00AB64DD">
      <w:pPr>
        <w:spacing w:before="60" w:after="120"/>
        <w:rPr>
          <w:rFonts w:ascii="Arial" w:hAnsi="Arial" w:cs="Arial"/>
          <w:color w:val="0D0D0D" w:themeColor="text1" w:themeTint="F2"/>
        </w:rPr>
      </w:pPr>
      <w:r w:rsidRPr="002D54B4">
        <w:rPr>
          <w:rFonts w:ascii="Arial" w:hAnsi="Arial" w:cs="Arial"/>
          <w:color w:val="0D0D0D" w:themeColor="text1" w:themeTint="F2"/>
        </w:rPr>
        <w:t xml:space="preserve">The period for submission of comments on the </w:t>
      </w:r>
      <w:r w:rsidR="00763AA6" w:rsidRPr="002D54B4">
        <w:rPr>
          <w:rFonts w:ascii="Arial" w:hAnsi="Arial" w:cs="Arial"/>
          <w:color w:val="0D0D0D" w:themeColor="text1" w:themeTint="F2"/>
        </w:rPr>
        <w:t>proposals</w:t>
      </w:r>
      <w:r w:rsidRPr="002D54B4">
        <w:rPr>
          <w:rFonts w:ascii="Arial" w:hAnsi="Arial" w:cs="Arial"/>
          <w:color w:val="0D0D0D" w:themeColor="text1" w:themeTint="F2"/>
        </w:rPr>
        <w:t xml:space="preserve"> made in this paper closes 18</w:t>
      </w:r>
      <w:r w:rsidRPr="002D54B4">
        <w:rPr>
          <w:rFonts w:ascii="Arial" w:hAnsi="Arial" w:cs="Arial"/>
          <w:color w:val="0D0D0D" w:themeColor="text1" w:themeTint="F2"/>
          <w:vertAlign w:val="superscript"/>
        </w:rPr>
        <w:t>th</w:t>
      </w:r>
      <w:r w:rsidRPr="002D54B4">
        <w:rPr>
          <w:rFonts w:ascii="Arial" w:hAnsi="Arial" w:cs="Arial"/>
          <w:color w:val="0D0D0D" w:themeColor="text1" w:themeTint="F2"/>
        </w:rPr>
        <w:t xml:space="preserve"> May 2012.</w:t>
      </w:r>
    </w:p>
    <w:p w:rsidR="006431AA" w:rsidRPr="002D54B4" w:rsidRDefault="006431AA">
      <w:pPr>
        <w:rPr>
          <w:rFonts w:ascii="Arial" w:hAnsi="Arial" w:cs="Arial"/>
          <w:i/>
          <w:color w:val="0D0D0D" w:themeColor="text1" w:themeTint="F2"/>
        </w:rPr>
      </w:pPr>
      <w:r w:rsidRPr="002D54B4">
        <w:rPr>
          <w:rFonts w:ascii="Arial" w:hAnsi="Arial" w:cs="Arial"/>
          <w:i/>
          <w:color w:val="0D0D0D" w:themeColor="text1" w:themeTint="F2"/>
        </w:rPr>
        <w:br w:type="page"/>
      </w:r>
    </w:p>
    <w:p w:rsidR="006431AA" w:rsidRPr="003A74B3" w:rsidRDefault="006431AA" w:rsidP="003A74B3">
      <w:pPr>
        <w:pStyle w:val="Heading2"/>
        <w:jc w:val="right"/>
        <w:rPr>
          <w:rFonts w:ascii="Arial" w:hAnsi="Arial" w:cs="Arial"/>
          <w:color w:val="0D0D0D" w:themeColor="text1" w:themeTint="F2"/>
          <w:sz w:val="28"/>
          <w:szCs w:val="28"/>
        </w:rPr>
      </w:pPr>
      <w:r w:rsidRPr="003A74B3">
        <w:rPr>
          <w:rFonts w:ascii="Arial" w:hAnsi="Arial" w:cs="Arial"/>
          <w:color w:val="0D0D0D" w:themeColor="text1" w:themeTint="F2"/>
          <w:sz w:val="28"/>
          <w:szCs w:val="28"/>
        </w:rPr>
        <w:lastRenderedPageBreak/>
        <w:t xml:space="preserve">ANNEX </w:t>
      </w:r>
      <w:r w:rsidR="00097747" w:rsidRPr="003A74B3">
        <w:rPr>
          <w:rFonts w:ascii="Arial" w:hAnsi="Arial" w:cs="Arial"/>
          <w:color w:val="0D0D0D" w:themeColor="text1" w:themeTint="F2"/>
          <w:sz w:val="28"/>
          <w:szCs w:val="28"/>
        </w:rPr>
        <w:t>A</w:t>
      </w:r>
    </w:p>
    <w:p w:rsidR="00380ECF" w:rsidRPr="002D54B4" w:rsidRDefault="00380ECF" w:rsidP="00380ECF">
      <w:pPr>
        <w:pStyle w:val="Heading3"/>
        <w:rPr>
          <w:rFonts w:ascii="Arial" w:eastAsiaTheme="minorHAnsi" w:hAnsi="Arial" w:cs="Arial"/>
          <w:color w:val="0D0D0D" w:themeColor="text1" w:themeTint="F2"/>
        </w:rPr>
      </w:pPr>
      <w:r w:rsidRPr="002D54B4">
        <w:rPr>
          <w:rFonts w:ascii="Arial" w:eastAsiaTheme="minorHAnsi" w:hAnsi="Arial" w:cs="Arial"/>
          <w:color w:val="0D0D0D" w:themeColor="text1" w:themeTint="F2"/>
        </w:rPr>
        <w:t>Television Licence Area Plans</w:t>
      </w:r>
    </w:p>
    <w:p w:rsidR="00380ECF" w:rsidRPr="002D54B4" w:rsidRDefault="00380ECF" w:rsidP="00380ECF">
      <w:pPr>
        <w:spacing w:line="240" w:lineRule="auto"/>
        <w:rPr>
          <w:rFonts w:ascii="Arial" w:hAnsi="Arial" w:cs="Arial"/>
          <w:color w:val="0D0D0D" w:themeColor="text1" w:themeTint="F2"/>
        </w:rPr>
      </w:pPr>
      <w:r w:rsidRPr="002D54B4">
        <w:rPr>
          <w:rFonts w:ascii="Arial" w:hAnsi="Arial" w:cs="Arial"/>
          <w:color w:val="0D0D0D" w:themeColor="text1" w:themeTint="F2"/>
        </w:rPr>
        <w:t xml:space="preserve">Television Licence area plans (TLAPs) are the long term planning instrument for television broadcasting services. TLAPs reflect the requirements of subsection 26(1B) of the </w:t>
      </w:r>
      <w:r w:rsidRPr="002D54B4">
        <w:rPr>
          <w:rFonts w:ascii="Arial" w:hAnsi="Arial" w:cs="Arial"/>
          <w:i/>
          <w:color w:val="0D0D0D" w:themeColor="text1" w:themeTint="F2"/>
        </w:rPr>
        <w:t>Broadcasting Services Act 1992</w:t>
      </w:r>
      <w:r w:rsidRPr="002D54B4">
        <w:rPr>
          <w:rFonts w:ascii="Arial" w:hAnsi="Arial" w:cs="Arial"/>
          <w:color w:val="0D0D0D" w:themeColor="text1" w:themeTint="F2"/>
        </w:rPr>
        <w:t xml:space="preserve"> and come into effect after the end of a simulcast period, replacing the Licence Area Plans (LAPs) and Digital Channel Plans (DCPs).</w:t>
      </w:r>
    </w:p>
    <w:p w:rsidR="00380ECF" w:rsidRPr="002D54B4" w:rsidRDefault="00380ECF" w:rsidP="00380ECF">
      <w:pPr>
        <w:spacing w:line="240" w:lineRule="auto"/>
        <w:rPr>
          <w:rFonts w:ascii="Arial" w:hAnsi="Arial" w:cs="Arial"/>
          <w:color w:val="0D0D0D" w:themeColor="text1" w:themeTint="F2"/>
        </w:rPr>
      </w:pPr>
      <w:r w:rsidRPr="002D54B4">
        <w:rPr>
          <w:rFonts w:ascii="Arial" w:hAnsi="Arial" w:cs="Arial"/>
          <w:color w:val="0D0D0D" w:themeColor="text1" w:themeTint="F2"/>
        </w:rPr>
        <w:t>TLAPs were designed to help define and delineate the restack of digital television channels. In general, TLAPs:</w:t>
      </w:r>
    </w:p>
    <w:p w:rsidR="00380ECF" w:rsidRPr="002D54B4" w:rsidRDefault="00380ECF" w:rsidP="003A74B3">
      <w:pPr>
        <w:pStyle w:val="ListParagraph"/>
        <w:numPr>
          <w:ilvl w:val="0"/>
          <w:numId w:val="23"/>
        </w:numPr>
        <w:spacing w:before="80" w:line="240" w:lineRule="auto"/>
        <w:ind w:left="426"/>
        <w:contextualSpacing w:val="0"/>
        <w:rPr>
          <w:rFonts w:ascii="Arial" w:hAnsi="Arial" w:cs="Arial"/>
          <w:color w:val="0D0D0D" w:themeColor="text1" w:themeTint="F2"/>
        </w:rPr>
      </w:pPr>
      <w:r w:rsidRPr="002D54B4">
        <w:rPr>
          <w:rFonts w:ascii="Arial" w:hAnsi="Arial" w:cs="Arial"/>
          <w:color w:val="0D0D0D" w:themeColor="text1" w:themeTint="F2"/>
        </w:rPr>
        <w:t>specify the channels that are to be available in specified parts of a particular licence area to provide commercial television broadcasting services, national television broadcasting services and other television broadcasting services</w:t>
      </w:r>
    </w:p>
    <w:p w:rsidR="00380ECF" w:rsidRPr="002D54B4" w:rsidRDefault="00380ECF" w:rsidP="003A74B3">
      <w:pPr>
        <w:pStyle w:val="ListParagraph"/>
        <w:numPr>
          <w:ilvl w:val="0"/>
          <w:numId w:val="23"/>
        </w:numPr>
        <w:spacing w:before="80" w:line="240" w:lineRule="auto"/>
        <w:ind w:left="426"/>
        <w:contextualSpacing w:val="0"/>
        <w:rPr>
          <w:rFonts w:ascii="Arial" w:hAnsi="Arial" w:cs="Arial"/>
          <w:color w:val="0D0D0D" w:themeColor="text1" w:themeTint="F2"/>
        </w:rPr>
      </w:pPr>
      <w:r w:rsidRPr="002D54B4">
        <w:rPr>
          <w:rFonts w:ascii="Arial" w:hAnsi="Arial" w:cs="Arial"/>
          <w:color w:val="0D0D0D" w:themeColor="text1" w:themeTint="F2"/>
        </w:rPr>
        <w:t>allot channels to particular providers of television broadcasting services</w:t>
      </w:r>
    </w:p>
    <w:p w:rsidR="00380ECF" w:rsidRPr="002D54B4" w:rsidRDefault="00380ECF" w:rsidP="003A74B3">
      <w:pPr>
        <w:pStyle w:val="ListParagraph"/>
        <w:numPr>
          <w:ilvl w:val="0"/>
          <w:numId w:val="23"/>
        </w:numPr>
        <w:spacing w:before="80" w:line="240" w:lineRule="auto"/>
        <w:ind w:left="426"/>
        <w:contextualSpacing w:val="0"/>
        <w:rPr>
          <w:rFonts w:ascii="Arial" w:hAnsi="Arial" w:cs="Arial"/>
          <w:color w:val="0D0D0D" w:themeColor="text1" w:themeTint="F2"/>
        </w:rPr>
      </w:pPr>
      <w:r w:rsidRPr="002D54B4">
        <w:rPr>
          <w:rFonts w:ascii="Arial" w:hAnsi="Arial" w:cs="Arial"/>
          <w:color w:val="0D0D0D" w:themeColor="text1" w:themeTint="F2"/>
        </w:rPr>
        <w:t>determine the characteristics, including technical specifications, of broadcasting services that are to be available in particular areas of Australia with the use of the broadcasting service bands</w:t>
      </w:r>
    </w:p>
    <w:p w:rsidR="00380ECF" w:rsidRPr="002D54B4" w:rsidRDefault="00380ECF" w:rsidP="003A74B3">
      <w:pPr>
        <w:pStyle w:val="ListParagraph"/>
        <w:numPr>
          <w:ilvl w:val="0"/>
          <w:numId w:val="23"/>
        </w:numPr>
        <w:spacing w:before="80" w:line="240" w:lineRule="auto"/>
        <w:ind w:left="426"/>
        <w:contextualSpacing w:val="0"/>
        <w:rPr>
          <w:rFonts w:ascii="Arial" w:hAnsi="Arial" w:cs="Arial"/>
          <w:color w:val="0D0D0D" w:themeColor="text1" w:themeTint="F2"/>
        </w:rPr>
      </w:pPr>
      <w:proofErr w:type="gramStart"/>
      <w:r w:rsidRPr="002D54B4">
        <w:rPr>
          <w:rFonts w:ascii="Arial" w:hAnsi="Arial" w:cs="Arial"/>
          <w:color w:val="0D0D0D" w:themeColor="text1" w:themeTint="F2"/>
        </w:rPr>
        <w:t>enable</w:t>
      </w:r>
      <w:proofErr w:type="gramEnd"/>
      <w:r w:rsidRPr="002D54B4">
        <w:rPr>
          <w:rFonts w:ascii="Arial" w:hAnsi="Arial" w:cs="Arial"/>
          <w:color w:val="0D0D0D" w:themeColor="text1" w:themeTint="F2"/>
        </w:rPr>
        <w:t xml:space="preserve"> the ACMA to determine additional specifications and technical limitations, or to determine events or circumstances related to the use of a particular channel.</w:t>
      </w:r>
    </w:p>
    <w:p w:rsidR="00380ECF" w:rsidRPr="002D54B4" w:rsidRDefault="00380ECF" w:rsidP="00380ECF">
      <w:pPr>
        <w:spacing w:line="240" w:lineRule="auto"/>
        <w:rPr>
          <w:rFonts w:ascii="Arial" w:hAnsi="Arial" w:cs="Arial"/>
          <w:color w:val="0D0D0D" w:themeColor="text1" w:themeTint="F2"/>
        </w:rPr>
      </w:pPr>
      <w:r w:rsidRPr="002D54B4">
        <w:rPr>
          <w:rFonts w:ascii="Arial" w:hAnsi="Arial" w:cs="Arial"/>
          <w:color w:val="0D0D0D" w:themeColor="text1" w:themeTint="F2"/>
        </w:rPr>
        <w:t xml:space="preserve">In order to maintain a simple and administratively efficient instrument, the key defining characteristics of the right to use the broadcasting spectrum were identified. The ‘characteristics’ and ‘technical specifications’ of the transmission of services proposed to be determined are the ‘maximum effective radiated power (ERP)’ and ‘polarisation’ of the transmission. These, characteristics, combined with the channel allotted, define the right to use the broadcasting spectrum in the manner planned. </w:t>
      </w:r>
    </w:p>
    <w:p w:rsidR="00380ECF" w:rsidRPr="002D54B4" w:rsidRDefault="00380ECF" w:rsidP="00380ECF">
      <w:pPr>
        <w:pStyle w:val="Heading3"/>
        <w:rPr>
          <w:rFonts w:ascii="Arial" w:eastAsiaTheme="minorHAnsi" w:hAnsi="Arial" w:cs="Arial"/>
          <w:color w:val="0D0D0D" w:themeColor="text1" w:themeTint="F2"/>
        </w:rPr>
      </w:pPr>
      <w:r w:rsidRPr="002D54B4">
        <w:rPr>
          <w:rFonts w:ascii="Arial" w:eastAsiaTheme="minorHAnsi" w:hAnsi="Arial" w:cs="Arial"/>
          <w:color w:val="0D0D0D" w:themeColor="text1" w:themeTint="F2"/>
        </w:rPr>
        <w:t>Planning data</w:t>
      </w:r>
    </w:p>
    <w:p w:rsidR="00380ECF" w:rsidRPr="002D54B4" w:rsidRDefault="00380ECF" w:rsidP="00380ECF">
      <w:pPr>
        <w:spacing w:line="240" w:lineRule="auto"/>
        <w:rPr>
          <w:rFonts w:ascii="Arial" w:hAnsi="Arial" w:cs="Arial"/>
          <w:color w:val="0D0D0D" w:themeColor="text1" w:themeTint="F2"/>
        </w:rPr>
      </w:pPr>
      <w:r w:rsidRPr="002D54B4">
        <w:rPr>
          <w:rFonts w:ascii="Arial" w:hAnsi="Arial" w:cs="Arial"/>
          <w:color w:val="0D0D0D" w:themeColor="text1" w:themeTint="F2"/>
        </w:rPr>
        <w:t xml:space="preserve">Other information previously included in LAPs and DCPs, such as detailed site coordinates, and antenna pattern and height, are now included in separate planning data documents which are published with the TLAPs. Some of these matters will be dealt with by conditions imposed on the relevant apparatus licence under the </w:t>
      </w:r>
      <w:r w:rsidRPr="002D54B4">
        <w:rPr>
          <w:rFonts w:ascii="Arial" w:hAnsi="Arial" w:cs="Arial"/>
          <w:i/>
          <w:color w:val="0D0D0D" w:themeColor="text1" w:themeTint="F2"/>
        </w:rPr>
        <w:t>Radiocommunications Act 1992</w:t>
      </w:r>
      <w:r w:rsidRPr="002D54B4">
        <w:rPr>
          <w:rFonts w:ascii="Arial" w:hAnsi="Arial" w:cs="Arial"/>
          <w:color w:val="0D0D0D" w:themeColor="text1" w:themeTint="F2"/>
        </w:rPr>
        <w:t>. These planning data documents will be used by the ACMA in considering whether to issue or vary relevant transmitter licences, as operation of a transmitter in a way that is inconsistent with the planning data documents could lead to interference issues.</w:t>
      </w:r>
    </w:p>
    <w:p w:rsidR="00315B86" w:rsidRPr="002D54B4" w:rsidRDefault="00315B86" w:rsidP="00315B86">
      <w:pPr>
        <w:spacing w:line="240" w:lineRule="auto"/>
        <w:rPr>
          <w:rFonts w:ascii="Arial" w:hAnsi="Arial" w:cs="Arial"/>
          <w:color w:val="0D0D0D" w:themeColor="text1" w:themeTint="F2"/>
        </w:rPr>
      </w:pPr>
      <w:r w:rsidRPr="002D54B4">
        <w:rPr>
          <w:rFonts w:ascii="Arial" w:hAnsi="Arial" w:cs="Arial"/>
          <w:color w:val="0D0D0D" w:themeColor="text1" w:themeTint="F2"/>
        </w:rPr>
        <w:t xml:space="preserve">Previous </w:t>
      </w:r>
      <w:hyperlink r:id="rId12" w:history="1">
        <w:r w:rsidRPr="003A74B3">
          <w:rPr>
            <w:rStyle w:val="Hyperlink"/>
            <w:rFonts w:ascii="Arial" w:hAnsi="Arial" w:cs="Arial"/>
          </w:rPr>
          <w:t>draft TLAPs</w:t>
        </w:r>
      </w:hyperlink>
      <w:r w:rsidRPr="002D54B4">
        <w:rPr>
          <w:rFonts w:ascii="Arial" w:hAnsi="Arial" w:cs="Arial"/>
          <w:color w:val="0D0D0D" w:themeColor="text1" w:themeTint="F2"/>
        </w:rPr>
        <w:t xml:space="preserve"> released for comment and </w:t>
      </w:r>
      <w:hyperlink r:id="rId13" w:history="1">
        <w:r w:rsidRPr="003A74B3">
          <w:rPr>
            <w:rStyle w:val="Hyperlink"/>
            <w:rFonts w:ascii="Arial" w:hAnsi="Arial" w:cs="Arial"/>
          </w:rPr>
          <w:t>final TLAPs</w:t>
        </w:r>
      </w:hyperlink>
      <w:r w:rsidRPr="002D54B4">
        <w:rPr>
          <w:rFonts w:ascii="Arial" w:hAnsi="Arial" w:cs="Arial"/>
          <w:color w:val="0D0D0D" w:themeColor="text1" w:themeTint="F2"/>
        </w:rPr>
        <w:t xml:space="preserve"> issued by the ACMA, can be found on the ACMA website, along with the associated Planning Data.</w:t>
      </w:r>
    </w:p>
    <w:p w:rsidR="006431AA" w:rsidRPr="002D54B4" w:rsidRDefault="006431AA" w:rsidP="006431AA">
      <w:pPr>
        <w:rPr>
          <w:rFonts w:ascii="Arial" w:hAnsi="Arial" w:cs="Arial"/>
          <w:color w:val="0D0D0D" w:themeColor="text1" w:themeTint="F2"/>
        </w:rPr>
      </w:pPr>
    </w:p>
    <w:sectPr w:rsidR="006431AA" w:rsidRPr="002D54B4" w:rsidSect="00E6401A">
      <w:footerReference w:type="default" r:id="rId14"/>
      <w:pgSz w:w="11906" w:h="16838" w:code="9"/>
      <w:pgMar w:top="851" w:right="2550" w:bottom="1440" w:left="164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5506" w:rsidRDefault="00035506" w:rsidP="00D044B6">
      <w:pPr>
        <w:spacing w:after="0" w:line="240" w:lineRule="auto"/>
      </w:pPr>
      <w:r>
        <w:separator/>
      </w:r>
    </w:p>
  </w:endnote>
  <w:endnote w:type="continuationSeparator" w:id="0">
    <w:p w:rsidR="00035506" w:rsidRDefault="00035506" w:rsidP="00D044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dobe Arabic">
    <w:panose1 w:val="02040503050201020203"/>
    <w:charset w:val="00"/>
    <w:family w:val="roman"/>
    <w:notTrueType/>
    <w:pitch w:val="variable"/>
    <w:sig w:usb0="8000202F" w:usb1="8000A04A" w:usb2="00000008" w:usb3="00000000" w:csb0="00000041" w:csb1="00000000"/>
  </w:font>
  <w:font w:name="Adobe Caslon Pro">
    <w:panose1 w:val="0205050205050A020403"/>
    <w:charset w:val="00"/>
    <w:family w:val="roman"/>
    <w:notTrueType/>
    <w:pitch w:val="variable"/>
    <w:sig w:usb0="00000007" w:usb1="00000001" w:usb2="00000000" w:usb3="00000000" w:csb0="00000093"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A00002EF" w:usb1="420020E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506" w:rsidRPr="000E5ED8" w:rsidRDefault="00035506" w:rsidP="00D50347">
    <w:pPr>
      <w:pStyle w:val="Footer"/>
      <w:ind w:right="28"/>
      <w:jc w:val="right"/>
      <w:rPr>
        <w:rFonts w:ascii="Arial" w:hAnsi="Arial" w:cs="Arial"/>
        <w:color w:val="505050"/>
        <w:sz w:val="20"/>
        <w:szCs w:val="20"/>
      </w:rPr>
    </w:pPr>
    <w:r w:rsidRPr="000E5ED8">
      <w:rPr>
        <w:rFonts w:ascii="Arial" w:hAnsi="Arial" w:cs="Arial"/>
        <w:color w:val="505050"/>
        <w:sz w:val="20"/>
        <w:szCs w:val="20"/>
      </w:rPr>
      <w:t xml:space="preserve">   </w:t>
    </w:r>
    <w:r w:rsidRPr="000E5ED8">
      <w:rPr>
        <w:rFonts w:ascii="Arial" w:hAnsi="Arial" w:cs="Arial"/>
        <w:b/>
        <w:noProof/>
        <w:color w:val="505050"/>
        <w:spacing w:val="-16"/>
        <w:sz w:val="20"/>
        <w:szCs w:val="20"/>
      </w:rPr>
      <w:t>a</w:t>
    </w:r>
    <w:r w:rsidRPr="000E5ED8">
      <w:rPr>
        <w:rFonts w:ascii="Arial" w:hAnsi="Arial" w:cs="Arial"/>
        <w:b/>
        <w:noProof/>
        <w:color w:val="505050"/>
        <w:spacing w:val="-15"/>
        <w:sz w:val="20"/>
        <w:szCs w:val="20"/>
      </w:rPr>
      <w:t>c</w:t>
    </w:r>
    <w:r w:rsidRPr="000E5ED8">
      <w:rPr>
        <w:rFonts w:ascii="Arial" w:hAnsi="Arial" w:cs="Arial"/>
        <w:b/>
        <w:noProof/>
        <w:color w:val="505050"/>
        <w:spacing w:val="-16"/>
        <w:sz w:val="20"/>
        <w:szCs w:val="20"/>
      </w:rPr>
      <w:t>m</w:t>
    </w:r>
    <w:r w:rsidRPr="000E5ED8">
      <w:rPr>
        <w:rFonts w:ascii="Arial" w:hAnsi="Arial" w:cs="Arial"/>
        <w:b/>
        <w:noProof/>
        <w:color w:val="505050"/>
        <w:spacing w:val="-14"/>
        <w:sz w:val="20"/>
        <w:szCs w:val="20"/>
      </w:rPr>
      <w:t>a</w:t>
    </w:r>
    <w:r w:rsidRPr="000E5ED8">
      <w:rPr>
        <w:rFonts w:ascii="Arial" w:hAnsi="Arial" w:cs="Arial"/>
        <w:color w:val="505050"/>
        <w:sz w:val="20"/>
        <w:szCs w:val="20"/>
      </w:rPr>
      <w:t xml:space="preserve">   |   </w:t>
    </w:r>
    <w:r w:rsidR="00516CD0" w:rsidRPr="000E5ED8">
      <w:rPr>
        <w:rFonts w:ascii="Arial" w:hAnsi="Arial" w:cs="Arial"/>
        <w:color w:val="505050"/>
        <w:sz w:val="20"/>
        <w:szCs w:val="20"/>
      </w:rPr>
      <w:fldChar w:fldCharType="begin"/>
    </w:r>
    <w:r w:rsidRPr="000E5ED8">
      <w:rPr>
        <w:rFonts w:ascii="Arial" w:hAnsi="Arial" w:cs="Arial"/>
        <w:color w:val="505050"/>
        <w:sz w:val="20"/>
        <w:szCs w:val="20"/>
      </w:rPr>
      <w:instrText xml:space="preserve"> PAGE  \* Arabic  \* MERGEFORMAT </w:instrText>
    </w:r>
    <w:r w:rsidR="00516CD0" w:rsidRPr="000E5ED8">
      <w:rPr>
        <w:rFonts w:ascii="Arial" w:hAnsi="Arial" w:cs="Arial"/>
        <w:color w:val="505050"/>
        <w:sz w:val="20"/>
        <w:szCs w:val="20"/>
      </w:rPr>
      <w:fldChar w:fldCharType="separate"/>
    </w:r>
    <w:r w:rsidR="009A1FB4">
      <w:rPr>
        <w:rFonts w:ascii="Arial" w:hAnsi="Arial" w:cs="Arial"/>
        <w:noProof/>
        <w:color w:val="505050"/>
        <w:sz w:val="20"/>
        <w:szCs w:val="20"/>
      </w:rPr>
      <w:t>1</w:t>
    </w:r>
    <w:r w:rsidR="00516CD0" w:rsidRPr="000E5ED8">
      <w:rPr>
        <w:rFonts w:ascii="Arial" w:hAnsi="Arial" w:cs="Arial"/>
        <w:color w:val="505050"/>
        <w:sz w:val="20"/>
        <w:szCs w:val="20"/>
      </w:rPr>
      <w:fldChar w:fldCharType="end"/>
    </w:r>
  </w:p>
  <w:p w:rsidR="00035506" w:rsidRDefault="0003550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5506" w:rsidRDefault="00035506" w:rsidP="00D044B6">
      <w:pPr>
        <w:spacing w:after="0" w:line="240" w:lineRule="auto"/>
      </w:pPr>
      <w:r>
        <w:separator/>
      </w:r>
    </w:p>
  </w:footnote>
  <w:footnote w:type="continuationSeparator" w:id="0">
    <w:p w:rsidR="00035506" w:rsidRDefault="00035506" w:rsidP="00D044B6">
      <w:pPr>
        <w:spacing w:after="0" w:line="240" w:lineRule="auto"/>
      </w:pPr>
      <w:r>
        <w:continuationSeparator/>
      </w:r>
    </w:p>
  </w:footnote>
  <w:footnote w:id="1">
    <w:p w:rsidR="00035506" w:rsidRPr="00AC2652" w:rsidRDefault="00035506">
      <w:pPr>
        <w:pStyle w:val="FootnoteText"/>
        <w:rPr>
          <w:sz w:val="18"/>
          <w:szCs w:val="18"/>
        </w:rPr>
      </w:pPr>
      <w:r w:rsidRPr="00AC2652">
        <w:rPr>
          <w:rStyle w:val="FootnoteReference"/>
          <w:sz w:val="18"/>
          <w:szCs w:val="18"/>
        </w:rPr>
        <w:footnoteRef/>
      </w:r>
      <w:r w:rsidRPr="00AC2652">
        <w:rPr>
          <w:sz w:val="18"/>
          <w:szCs w:val="18"/>
        </w:rPr>
        <w:t xml:space="preserve"> </w:t>
      </w:r>
      <w:proofErr w:type="gramStart"/>
      <w:r w:rsidRPr="00AC2652">
        <w:rPr>
          <w:sz w:val="18"/>
          <w:szCs w:val="18"/>
        </w:rPr>
        <w:t>Averaged over a 7 MHz channel.</w:t>
      </w:r>
      <w:proofErr w:type="gramEnd"/>
    </w:p>
  </w:footnote>
  <w:footnote w:id="2">
    <w:p w:rsidR="00035506" w:rsidRPr="00AC2652" w:rsidRDefault="00035506">
      <w:pPr>
        <w:pStyle w:val="FootnoteText"/>
        <w:rPr>
          <w:sz w:val="18"/>
          <w:szCs w:val="18"/>
        </w:rPr>
      </w:pPr>
      <w:r w:rsidRPr="00AC2652">
        <w:rPr>
          <w:rStyle w:val="FootnoteReference"/>
          <w:sz w:val="18"/>
          <w:szCs w:val="18"/>
        </w:rPr>
        <w:footnoteRef/>
      </w:r>
      <w:r w:rsidRPr="00AC2652">
        <w:rPr>
          <w:sz w:val="18"/>
          <w:szCs w:val="18"/>
        </w:rPr>
        <w:t xml:space="preserve"> ACMA engineers have used this propagation model to perform restack channel planning and to indicate coverage areas in data that DBCDE has used to generate the maps contained in the MySwitch tool (www.digitalready.gov.au).</w:t>
      </w:r>
    </w:p>
  </w:footnote>
  <w:footnote w:id="3">
    <w:p w:rsidR="00035506" w:rsidRDefault="00035506">
      <w:pPr>
        <w:pStyle w:val="FootnoteText"/>
      </w:pPr>
      <w:r w:rsidRPr="00AC2652">
        <w:rPr>
          <w:rStyle w:val="FootnoteReference"/>
          <w:sz w:val="18"/>
          <w:szCs w:val="18"/>
        </w:rPr>
        <w:footnoteRef/>
      </w:r>
      <w:r w:rsidRPr="00AC2652">
        <w:rPr>
          <w:sz w:val="18"/>
          <w:szCs w:val="18"/>
        </w:rPr>
        <w:t xml:space="preserve"> </w:t>
      </w:r>
      <w:proofErr w:type="gramStart"/>
      <w:r w:rsidRPr="00AC2652">
        <w:rPr>
          <w:sz w:val="18"/>
          <w:szCs w:val="18"/>
        </w:rPr>
        <w:t>In the calculation of median field strength.</w:t>
      </w:r>
      <w:proofErr w:type="gramEnd"/>
      <w:r w:rsidRPr="00AC2652">
        <w:rPr>
          <w:sz w:val="18"/>
          <w:szCs w:val="18"/>
        </w:rPr>
        <w:t xml:space="preserve"> Correction factors to account for location variability have been taken into account to protect higher percentages of locations.</w:t>
      </w:r>
    </w:p>
  </w:footnote>
  <w:footnote w:id="4">
    <w:p w:rsidR="00035506" w:rsidRPr="00AC2652" w:rsidRDefault="00035506" w:rsidP="00CF5FF7">
      <w:pPr>
        <w:pStyle w:val="FootnoteText"/>
        <w:rPr>
          <w:sz w:val="18"/>
          <w:szCs w:val="18"/>
          <w:lang w:val="en-US"/>
        </w:rPr>
      </w:pPr>
      <w:r w:rsidRPr="00AC2652">
        <w:rPr>
          <w:rStyle w:val="FootnoteReference"/>
          <w:sz w:val="18"/>
          <w:szCs w:val="18"/>
        </w:rPr>
        <w:footnoteRef/>
      </w:r>
      <w:r w:rsidRPr="00AC2652">
        <w:rPr>
          <w:sz w:val="18"/>
          <w:szCs w:val="18"/>
        </w:rPr>
        <w:t xml:space="preserve"> </w:t>
      </w:r>
      <w:r w:rsidRPr="00AC2652">
        <w:rPr>
          <w:sz w:val="18"/>
          <w:szCs w:val="18"/>
          <w:lang w:val="en-US"/>
        </w:rPr>
        <w:t>Because, in the assessment of co-channel interference to the coverage edge, both wanted and unwanted signals are transmitted from distant sources, it can be assumed that both would experience a similar amount of antenna height loss, when the receive antenna is not actually at 10 m.</w:t>
      </w:r>
    </w:p>
  </w:footnote>
  <w:footnote w:id="5">
    <w:p w:rsidR="00035506" w:rsidRPr="00AC2652" w:rsidRDefault="00035506" w:rsidP="00BA062F">
      <w:pPr>
        <w:pStyle w:val="FootnoteText"/>
        <w:rPr>
          <w:rFonts w:ascii="Arial" w:hAnsi="Arial" w:cs="Arial"/>
          <w:sz w:val="18"/>
          <w:szCs w:val="18"/>
          <w:lang w:val="en-US"/>
        </w:rPr>
      </w:pPr>
      <w:r w:rsidRPr="00AC2652">
        <w:rPr>
          <w:rStyle w:val="FootnoteReference"/>
          <w:sz w:val="18"/>
          <w:szCs w:val="18"/>
        </w:rPr>
        <w:footnoteRef/>
      </w:r>
      <w:r w:rsidRPr="00AC2652">
        <w:rPr>
          <w:sz w:val="18"/>
          <w:szCs w:val="18"/>
        </w:rPr>
        <w:t xml:space="preserve"> </w:t>
      </w:r>
      <w:r w:rsidRPr="00AC2652">
        <w:rPr>
          <w:sz w:val="18"/>
          <w:szCs w:val="18"/>
          <w:lang w:val="en-US"/>
        </w:rPr>
        <w:t xml:space="preserve">As per Recommendation ITU-R BT.419, the “rear” of a UHF receive antenna has an </w:t>
      </w:r>
      <w:proofErr w:type="spellStart"/>
      <w:r w:rsidRPr="00AC2652">
        <w:rPr>
          <w:sz w:val="18"/>
          <w:szCs w:val="18"/>
          <w:lang w:val="en-US"/>
        </w:rPr>
        <w:t>azimuthal</w:t>
      </w:r>
      <w:proofErr w:type="spellEnd"/>
      <w:r w:rsidRPr="00AC2652">
        <w:rPr>
          <w:sz w:val="18"/>
          <w:szCs w:val="18"/>
          <w:lang w:val="en-US"/>
        </w:rPr>
        <w:t xml:space="preserve"> discrimination of 16 dB over the range of azimuths between 60º–300º.</w:t>
      </w:r>
    </w:p>
  </w:footnote>
  <w:footnote w:id="6">
    <w:p w:rsidR="00035506" w:rsidRPr="004C7548" w:rsidRDefault="00035506">
      <w:pPr>
        <w:pStyle w:val="FootnoteText"/>
      </w:pPr>
      <w:r w:rsidRPr="00AC2652">
        <w:rPr>
          <w:rStyle w:val="FootnoteReference"/>
          <w:sz w:val="18"/>
          <w:szCs w:val="18"/>
        </w:rPr>
        <w:footnoteRef/>
      </w:r>
      <w:r w:rsidRPr="00AC2652">
        <w:rPr>
          <w:sz w:val="18"/>
          <w:szCs w:val="18"/>
        </w:rPr>
        <w:t xml:space="preserve">  When unwanted LTE BS signals enter the DTV receive antenna main beam, and they are slant (45º) polarised, there is a polarisation discrimination (</w:t>
      </w:r>
      <w:proofErr w:type="spellStart"/>
      <w:r w:rsidRPr="00AC2652">
        <w:rPr>
          <w:i/>
          <w:sz w:val="18"/>
          <w:szCs w:val="18"/>
        </w:rPr>
        <w:t>D</w:t>
      </w:r>
      <w:r w:rsidRPr="00AC2652">
        <w:rPr>
          <w:i/>
          <w:sz w:val="18"/>
          <w:szCs w:val="18"/>
          <w:vertAlign w:val="subscript"/>
        </w:rPr>
        <w:t>pol</w:t>
      </w:r>
      <w:proofErr w:type="spellEnd"/>
      <w:r w:rsidRPr="00AC2652">
        <w:rPr>
          <w:sz w:val="18"/>
          <w:szCs w:val="18"/>
        </w:rPr>
        <w:t>) of 3 dB is assumed.</w:t>
      </w:r>
    </w:p>
  </w:footnote>
  <w:footnote w:id="7">
    <w:p w:rsidR="00035506" w:rsidRPr="00AC2652" w:rsidRDefault="00035506">
      <w:pPr>
        <w:pStyle w:val="FootnoteText"/>
        <w:rPr>
          <w:sz w:val="18"/>
          <w:szCs w:val="18"/>
        </w:rPr>
      </w:pPr>
      <w:r w:rsidRPr="00AC2652">
        <w:rPr>
          <w:rStyle w:val="FootnoteReference"/>
          <w:sz w:val="18"/>
          <w:szCs w:val="18"/>
        </w:rPr>
        <w:footnoteRef/>
      </w:r>
      <w:r w:rsidRPr="00AC2652">
        <w:rPr>
          <w:sz w:val="18"/>
          <w:szCs w:val="18"/>
        </w:rPr>
        <w:t xml:space="preserve"> </w:t>
      </w:r>
      <w:proofErr w:type="gramStart"/>
      <w:r w:rsidRPr="00AC2652">
        <w:rPr>
          <w:sz w:val="18"/>
          <w:szCs w:val="18"/>
        </w:rPr>
        <w:t>TLG Discussion Paper #2.</w:t>
      </w:r>
      <w:proofErr w:type="gramEnd"/>
    </w:p>
  </w:footnote>
  <w:footnote w:id="8">
    <w:p w:rsidR="00035506" w:rsidRPr="00AC2652" w:rsidRDefault="00035506">
      <w:pPr>
        <w:pStyle w:val="FootnoteText"/>
        <w:rPr>
          <w:sz w:val="18"/>
          <w:szCs w:val="18"/>
          <w:lang w:val="en-US"/>
        </w:rPr>
      </w:pPr>
      <w:r w:rsidRPr="00AC2652">
        <w:rPr>
          <w:rStyle w:val="FootnoteReference"/>
          <w:sz w:val="18"/>
          <w:szCs w:val="18"/>
        </w:rPr>
        <w:footnoteRef/>
      </w:r>
      <w:r w:rsidRPr="00AC2652">
        <w:rPr>
          <w:sz w:val="18"/>
          <w:szCs w:val="18"/>
        </w:rPr>
        <w:t xml:space="preserve"> Without detailed terrain information, neither diffraction losses nor clearance angles can be calculated, which results in their being no difference between the path loss calculated with versions 1 through 4 of Recommendation ITU-R P.1546.</w:t>
      </w:r>
    </w:p>
  </w:footnote>
  <w:footnote w:id="9">
    <w:p w:rsidR="00035506" w:rsidRPr="00A14727" w:rsidRDefault="00035506">
      <w:pPr>
        <w:pStyle w:val="FootnoteText"/>
        <w:rPr>
          <w:lang w:val="en-US"/>
        </w:rPr>
      </w:pPr>
      <w:r w:rsidRPr="00AC2652">
        <w:rPr>
          <w:rStyle w:val="FootnoteReference"/>
          <w:sz w:val="18"/>
          <w:szCs w:val="18"/>
        </w:rPr>
        <w:footnoteRef/>
      </w:r>
      <w:r w:rsidRPr="00AC2652">
        <w:rPr>
          <w:sz w:val="18"/>
          <w:szCs w:val="18"/>
        </w:rPr>
        <w:t xml:space="preserve"> ITU-R Working Party 3K in its Liaison Statement to the JTG 5-6.</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7609C"/>
    <w:multiLevelType w:val="hybridMultilevel"/>
    <w:tmpl w:val="BE2C311C"/>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70D334F"/>
    <w:multiLevelType w:val="hybridMultilevel"/>
    <w:tmpl w:val="2E1E9E66"/>
    <w:lvl w:ilvl="0" w:tplc="6D4C9498">
      <w:start w:val="1"/>
      <w:numFmt w:val="upp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78A78EC"/>
    <w:multiLevelType w:val="hybridMultilevel"/>
    <w:tmpl w:val="6D40C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FF567E"/>
    <w:multiLevelType w:val="hybridMultilevel"/>
    <w:tmpl w:val="DD5CB518"/>
    <w:lvl w:ilvl="0" w:tplc="8E2E0288">
      <w:start w:val="1"/>
      <w:numFmt w:val="bullet"/>
      <w:lvlText w:val="&gt;"/>
      <w:lvlJc w:val="left"/>
      <w:pPr>
        <w:ind w:left="720" w:hanging="360"/>
      </w:pPr>
      <w:rPr>
        <w:rFonts w:ascii="Adobe Arabic" w:hAnsi="Adobe Arabic"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97A37A6"/>
    <w:multiLevelType w:val="hybridMultilevel"/>
    <w:tmpl w:val="35A432EA"/>
    <w:lvl w:ilvl="0" w:tplc="6DD26B38">
      <w:start w:val="1"/>
      <w:numFmt w:val="bullet"/>
      <w:lvlText w:val="&gt;"/>
      <w:lvlJc w:val="left"/>
      <w:pPr>
        <w:ind w:left="720" w:hanging="360"/>
      </w:pPr>
      <w:rPr>
        <w:rFonts w:ascii="Adobe Caslon Pro" w:hAnsi="Adobe Caslon Pro"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BAF7069"/>
    <w:multiLevelType w:val="hybridMultilevel"/>
    <w:tmpl w:val="7FBE05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1104EE0"/>
    <w:multiLevelType w:val="multilevel"/>
    <w:tmpl w:val="97C62B36"/>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11CE45FB"/>
    <w:multiLevelType w:val="multilevel"/>
    <w:tmpl w:val="97C62B36"/>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nsid w:val="135B4107"/>
    <w:multiLevelType w:val="hybridMultilevel"/>
    <w:tmpl w:val="B64CF3E4"/>
    <w:lvl w:ilvl="0" w:tplc="6DD26B38">
      <w:start w:val="1"/>
      <w:numFmt w:val="bullet"/>
      <w:lvlText w:val="&gt;"/>
      <w:lvlJc w:val="left"/>
      <w:pPr>
        <w:ind w:left="720" w:hanging="360"/>
      </w:pPr>
      <w:rPr>
        <w:rFonts w:ascii="Adobe Caslon Pro" w:hAnsi="Adobe Caslon Pro"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7D27ACD"/>
    <w:multiLevelType w:val="hybridMultilevel"/>
    <w:tmpl w:val="BF5243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CC037F2"/>
    <w:multiLevelType w:val="hybridMultilevel"/>
    <w:tmpl w:val="13ECC47E"/>
    <w:lvl w:ilvl="0" w:tplc="0C090001">
      <w:start w:val="1"/>
      <w:numFmt w:val="bullet"/>
      <w:lvlText w:val=""/>
      <w:lvlJc w:val="left"/>
      <w:pPr>
        <w:ind w:left="750" w:hanging="360"/>
      </w:pPr>
      <w:rPr>
        <w:rFonts w:ascii="Symbol" w:hAnsi="Symbol" w:hint="default"/>
      </w:rPr>
    </w:lvl>
    <w:lvl w:ilvl="1" w:tplc="0C090003">
      <w:start w:val="1"/>
      <w:numFmt w:val="bullet"/>
      <w:lvlText w:val="o"/>
      <w:lvlJc w:val="left"/>
      <w:pPr>
        <w:ind w:left="1470" w:hanging="360"/>
      </w:pPr>
      <w:rPr>
        <w:rFonts w:ascii="Courier New" w:hAnsi="Courier New" w:cs="Courier New" w:hint="default"/>
      </w:rPr>
    </w:lvl>
    <w:lvl w:ilvl="2" w:tplc="0C090005" w:tentative="1">
      <w:start w:val="1"/>
      <w:numFmt w:val="bullet"/>
      <w:lvlText w:val=""/>
      <w:lvlJc w:val="left"/>
      <w:pPr>
        <w:ind w:left="2190" w:hanging="360"/>
      </w:pPr>
      <w:rPr>
        <w:rFonts w:ascii="Wingdings" w:hAnsi="Wingdings" w:hint="default"/>
      </w:rPr>
    </w:lvl>
    <w:lvl w:ilvl="3" w:tplc="0C090001" w:tentative="1">
      <w:start w:val="1"/>
      <w:numFmt w:val="bullet"/>
      <w:lvlText w:val=""/>
      <w:lvlJc w:val="left"/>
      <w:pPr>
        <w:ind w:left="2910" w:hanging="360"/>
      </w:pPr>
      <w:rPr>
        <w:rFonts w:ascii="Symbol" w:hAnsi="Symbol" w:hint="default"/>
      </w:rPr>
    </w:lvl>
    <w:lvl w:ilvl="4" w:tplc="0C090003" w:tentative="1">
      <w:start w:val="1"/>
      <w:numFmt w:val="bullet"/>
      <w:lvlText w:val="o"/>
      <w:lvlJc w:val="left"/>
      <w:pPr>
        <w:ind w:left="3630" w:hanging="360"/>
      </w:pPr>
      <w:rPr>
        <w:rFonts w:ascii="Courier New" w:hAnsi="Courier New" w:cs="Courier New" w:hint="default"/>
      </w:rPr>
    </w:lvl>
    <w:lvl w:ilvl="5" w:tplc="0C090005" w:tentative="1">
      <w:start w:val="1"/>
      <w:numFmt w:val="bullet"/>
      <w:lvlText w:val=""/>
      <w:lvlJc w:val="left"/>
      <w:pPr>
        <w:ind w:left="4350" w:hanging="360"/>
      </w:pPr>
      <w:rPr>
        <w:rFonts w:ascii="Wingdings" w:hAnsi="Wingdings" w:hint="default"/>
      </w:rPr>
    </w:lvl>
    <w:lvl w:ilvl="6" w:tplc="0C090001" w:tentative="1">
      <w:start w:val="1"/>
      <w:numFmt w:val="bullet"/>
      <w:lvlText w:val=""/>
      <w:lvlJc w:val="left"/>
      <w:pPr>
        <w:ind w:left="5070" w:hanging="360"/>
      </w:pPr>
      <w:rPr>
        <w:rFonts w:ascii="Symbol" w:hAnsi="Symbol" w:hint="default"/>
      </w:rPr>
    </w:lvl>
    <w:lvl w:ilvl="7" w:tplc="0C090003" w:tentative="1">
      <w:start w:val="1"/>
      <w:numFmt w:val="bullet"/>
      <w:lvlText w:val="o"/>
      <w:lvlJc w:val="left"/>
      <w:pPr>
        <w:ind w:left="5790" w:hanging="360"/>
      </w:pPr>
      <w:rPr>
        <w:rFonts w:ascii="Courier New" w:hAnsi="Courier New" w:cs="Courier New" w:hint="default"/>
      </w:rPr>
    </w:lvl>
    <w:lvl w:ilvl="8" w:tplc="0C090005" w:tentative="1">
      <w:start w:val="1"/>
      <w:numFmt w:val="bullet"/>
      <w:lvlText w:val=""/>
      <w:lvlJc w:val="left"/>
      <w:pPr>
        <w:ind w:left="6510" w:hanging="360"/>
      </w:pPr>
      <w:rPr>
        <w:rFonts w:ascii="Wingdings" w:hAnsi="Wingdings" w:hint="default"/>
      </w:rPr>
    </w:lvl>
  </w:abstractNum>
  <w:abstractNum w:abstractNumId="11">
    <w:nsid w:val="30B95721"/>
    <w:multiLevelType w:val="hybridMultilevel"/>
    <w:tmpl w:val="A4BE8A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27D2EA6"/>
    <w:multiLevelType w:val="hybridMultilevel"/>
    <w:tmpl w:val="6CC41970"/>
    <w:lvl w:ilvl="0" w:tplc="6346E0FE">
      <w:start w:val="1"/>
      <w:numFmt w:val="lowerLetter"/>
      <w:lvlText w:val="%1)"/>
      <w:lvlJc w:val="left"/>
      <w:pPr>
        <w:ind w:left="720" w:hanging="360"/>
      </w:pPr>
      <w:rPr>
        <w:rFonts w:asciiTheme="minorHAnsi" w:eastAsiaTheme="minorHAnsi" w:hAnsiTheme="minorHAnsi" w:cstheme="minorBidi"/>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D842162"/>
    <w:multiLevelType w:val="multilevel"/>
    <w:tmpl w:val="97C62B36"/>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nsid w:val="49453174"/>
    <w:multiLevelType w:val="hybridMultilevel"/>
    <w:tmpl w:val="F7FE73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9F86642"/>
    <w:multiLevelType w:val="hybridMultilevel"/>
    <w:tmpl w:val="6FB86E38"/>
    <w:lvl w:ilvl="0" w:tplc="0C09000B">
      <w:start w:val="1"/>
      <w:numFmt w:val="bullet"/>
      <w:lvlText w:val=""/>
      <w:lvlJc w:val="left"/>
      <w:pPr>
        <w:ind w:left="720" w:hanging="360"/>
      </w:pPr>
      <w:rPr>
        <w:rFonts w:ascii="Wingdings" w:hAnsi="Wingdings"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6">
    <w:nsid w:val="595A101D"/>
    <w:multiLevelType w:val="hybridMultilevel"/>
    <w:tmpl w:val="C2EEA296"/>
    <w:lvl w:ilvl="0" w:tplc="C0145106">
      <w:start w:val="2"/>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A3F6210"/>
    <w:multiLevelType w:val="multilevel"/>
    <w:tmpl w:val="97C62B36"/>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nsid w:val="6DD12CB3"/>
    <w:multiLevelType w:val="hybridMultilevel"/>
    <w:tmpl w:val="1FD20D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703A3ABF"/>
    <w:multiLevelType w:val="hybridMultilevel"/>
    <w:tmpl w:val="EE3E6C7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70F37512"/>
    <w:multiLevelType w:val="hybridMultilevel"/>
    <w:tmpl w:val="21B690D0"/>
    <w:lvl w:ilvl="0" w:tplc="8D6E45B2">
      <w:start w:val="1"/>
      <w:numFmt w:val="lowerRoman"/>
      <w:lvlText w:val="(%1)"/>
      <w:lvlJc w:val="left"/>
      <w:pPr>
        <w:ind w:left="1760" w:hanging="720"/>
      </w:pPr>
      <w:rPr>
        <w:rFonts w:hint="default"/>
      </w:rPr>
    </w:lvl>
    <w:lvl w:ilvl="1" w:tplc="0C090019" w:tentative="1">
      <w:start w:val="1"/>
      <w:numFmt w:val="lowerLetter"/>
      <w:lvlText w:val="%2."/>
      <w:lvlJc w:val="left"/>
      <w:pPr>
        <w:ind w:left="2120" w:hanging="360"/>
      </w:pPr>
    </w:lvl>
    <w:lvl w:ilvl="2" w:tplc="0C09001B" w:tentative="1">
      <w:start w:val="1"/>
      <w:numFmt w:val="lowerRoman"/>
      <w:lvlText w:val="%3."/>
      <w:lvlJc w:val="right"/>
      <w:pPr>
        <w:ind w:left="2840" w:hanging="180"/>
      </w:pPr>
    </w:lvl>
    <w:lvl w:ilvl="3" w:tplc="0C09000F" w:tentative="1">
      <w:start w:val="1"/>
      <w:numFmt w:val="decimal"/>
      <w:lvlText w:val="%4."/>
      <w:lvlJc w:val="left"/>
      <w:pPr>
        <w:ind w:left="3560" w:hanging="360"/>
      </w:pPr>
    </w:lvl>
    <w:lvl w:ilvl="4" w:tplc="0C090019" w:tentative="1">
      <w:start w:val="1"/>
      <w:numFmt w:val="lowerLetter"/>
      <w:lvlText w:val="%5."/>
      <w:lvlJc w:val="left"/>
      <w:pPr>
        <w:ind w:left="4280" w:hanging="360"/>
      </w:pPr>
    </w:lvl>
    <w:lvl w:ilvl="5" w:tplc="0C09001B" w:tentative="1">
      <w:start w:val="1"/>
      <w:numFmt w:val="lowerRoman"/>
      <w:lvlText w:val="%6."/>
      <w:lvlJc w:val="right"/>
      <w:pPr>
        <w:ind w:left="5000" w:hanging="180"/>
      </w:pPr>
    </w:lvl>
    <w:lvl w:ilvl="6" w:tplc="0C09000F" w:tentative="1">
      <w:start w:val="1"/>
      <w:numFmt w:val="decimal"/>
      <w:lvlText w:val="%7."/>
      <w:lvlJc w:val="left"/>
      <w:pPr>
        <w:ind w:left="5720" w:hanging="360"/>
      </w:pPr>
    </w:lvl>
    <w:lvl w:ilvl="7" w:tplc="0C090019" w:tentative="1">
      <w:start w:val="1"/>
      <w:numFmt w:val="lowerLetter"/>
      <w:lvlText w:val="%8."/>
      <w:lvlJc w:val="left"/>
      <w:pPr>
        <w:ind w:left="6440" w:hanging="360"/>
      </w:pPr>
    </w:lvl>
    <w:lvl w:ilvl="8" w:tplc="0C09001B" w:tentative="1">
      <w:start w:val="1"/>
      <w:numFmt w:val="lowerRoman"/>
      <w:lvlText w:val="%9."/>
      <w:lvlJc w:val="right"/>
      <w:pPr>
        <w:ind w:left="7160" w:hanging="180"/>
      </w:pPr>
    </w:lvl>
  </w:abstractNum>
  <w:abstractNum w:abstractNumId="21">
    <w:nsid w:val="793D645A"/>
    <w:multiLevelType w:val="multilevel"/>
    <w:tmpl w:val="97C62B36"/>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nsid w:val="7EAD122E"/>
    <w:multiLevelType w:val="hybridMultilevel"/>
    <w:tmpl w:val="29786A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8"/>
  </w:num>
  <w:num w:numId="2">
    <w:abstractNumId w:val="19"/>
  </w:num>
  <w:num w:numId="3">
    <w:abstractNumId w:val="12"/>
  </w:num>
  <w:num w:numId="4">
    <w:abstractNumId w:val="1"/>
  </w:num>
  <w:num w:numId="5">
    <w:abstractNumId w:val="17"/>
  </w:num>
  <w:num w:numId="6">
    <w:abstractNumId w:val="5"/>
  </w:num>
  <w:num w:numId="7">
    <w:abstractNumId w:val="11"/>
  </w:num>
  <w:num w:numId="8">
    <w:abstractNumId w:val="14"/>
  </w:num>
  <w:num w:numId="9">
    <w:abstractNumId w:val="0"/>
  </w:num>
  <w:num w:numId="10">
    <w:abstractNumId w:val="2"/>
  </w:num>
  <w:num w:numId="11">
    <w:abstractNumId w:val="20"/>
  </w:num>
  <w:num w:numId="12">
    <w:abstractNumId w:val="13"/>
  </w:num>
  <w:num w:numId="1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0"/>
  </w:num>
  <w:num w:numId="16">
    <w:abstractNumId w:val="16"/>
  </w:num>
  <w:num w:numId="17">
    <w:abstractNumId w:val="9"/>
  </w:num>
  <w:num w:numId="18">
    <w:abstractNumId w:val="6"/>
  </w:num>
  <w:num w:numId="19">
    <w:abstractNumId w:val="21"/>
  </w:num>
  <w:num w:numId="20">
    <w:abstractNumId w:val="7"/>
  </w:num>
  <w:num w:numId="21">
    <w:abstractNumId w:val="22"/>
  </w:num>
  <w:num w:numId="22">
    <w:abstractNumId w:val="3"/>
  </w:num>
  <w:num w:numId="23">
    <w:abstractNumId w:val="8"/>
  </w:num>
  <w:num w:numId="2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14337">
      <o:colormru v:ext="edit" colors="#6f9,#cfc"/>
      <o:colormenu v:ext="edit" fillcolor="none [661]" strokecolor="none"/>
    </o:shapedefaults>
  </w:hdrShapeDefaults>
  <w:footnotePr>
    <w:footnote w:id="-1"/>
    <w:footnote w:id="0"/>
  </w:footnotePr>
  <w:endnotePr>
    <w:endnote w:id="-1"/>
    <w:endnote w:id="0"/>
  </w:endnotePr>
  <w:compat/>
  <w:rsids>
    <w:rsidRoot w:val="006605FF"/>
    <w:rsid w:val="0000603D"/>
    <w:rsid w:val="00006B36"/>
    <w:rsid w:val="00007043"/>
    <w:rsid w:val="000116BE"/>
    <w:rsid w:val="00011C32"/>
    <w:rsid w:val="0001622B"/>
    <w:rsid w:val="0002608E"/>
    <w:rsid w:val="0003339D"/>
    <w:rsid w:val="00035506"/>
    <w:rsid w:val="000503EE"/>
    <w:rsid w:val="000521AC"/>
    <w:rsid w:val="0006054D"/>
    <w:rsid w:val="00062539"/>
    <w:rsid w:val="00065393"/>
    <w:rsid w:val="00075429"/>
    <w:rsid w:val="000764B0"/>
    <w:rsid w:val="00082E9C"/>
    <w:rsid w:val="000908F8"/>
    <w:rsid w:val="000915D6"/>
    <w:rsid w:val="000966D5"/>
    <w:rsid w:val="00096946"/>
    <w:rsid w:val="00097747"/>
    <w:rsid w:val="000A0E2C"/>
    <w:rsid w:val="000A26DB"/>
    <w:rsid w:val="000A2A07"/>
    <w:rsid w:val="000A6538"/>
    <w:rsid w:val="000B426B"/>
    <w:rsid w:val="000B76E7"/>
    <w:rsid w:val="000B7919"/>
    <w:rsid w:val="000C08D2"/>
    <w:rsid w:val="000C3B19"/>
    <w:rsid w:val="000C5EC9"/>
    <w:rsid w:val="000C7EC2"/>
    <w:rsid w:val="000D63D2"/>
    <w:rsid w:val="000D7DA7"/>
    <w:rsid w:val="000E3014"/>
    <w:rsid w:val="000E5ED8"/>
    <w:rsid w:val="000F1B4A"/>
    <w:rsid w:val="000F1D85"/>
    <w:rsid w:val="000F6F4B"/>
    <w:rsid w:val="0011311D"/>
    <w:rsid w:val="0011639C"/>
    <w:rsid w:val="00120E54"/>
    <w:rsid w:val="00131332"/>
    <w:rsid w:val="001335C8"/>
    <w:rsid w:val="00137DE5"/>
    <w:rsid w:val="00141BA8"/>
    <w:rsid w:val="00146313"/>
    <w:rsid w:val="001475C4"/>
    <w:rsid w:val="00152554"/>
    <w:rsid w:val="00152E69"/>
    <w:rsid w:val="0015367A"/>
    <w:rsid w:val="00154066"/>
    <w:rsid w:val="001564B9"/>
    <w:rsid w:val="00156948"/>
    <w:rsid w:val="00160692"/>
    <w:rsid w:val="00163275"/>
    <w:rsid w:val="00173F00"/>
    <w:rsid w:val="00175765"/>
    <w:rsid w:val="00181A89"/>
    <w:rsid w:val="00182C41"/>
    <w:rsid w:val="0018528D"/>
    <w:rsid w:val="00185403"/>
    <w:rsid w:val="001866BC"/>
    <w:rsid w:val="0019539D"/>
    <w:rsid w:val="001955B5"/>
    <w:rsid w:val="0019697D"/>
    <w:rsid w:val="00197695"/>
    <w:rsid w:val="001978FB"/>
    <w:rsid w:val="001A03D3"/>
    <w:rsid w:val="001A1830"/>
    <w:rsid w:val="001A4614"/>
    <w:rsid w:val="001A5399"/>
    <w:rsid w:val="001B06A2"/>
    <w:rsid w:val="001B1FBA"/>
    <w:rsid w:val="001B3DAB"/>
    <w:rsid w:val="001B6A68"/>
    <w:rsid w:val="001C0916"/>
    <w:rsid w:val="001D1E8D"/>
    <w:rsid w:val="001D376E"/>
    <w:rsid w:val="001E1AB9"/>
    <w:rsid w:val="001E222E"/>
    <w:rsid w:val="001E7462"/>
    <w:rsid w:val="001F05D0"/>
    <w:rsid w:val="001F0C33"/>
    <w:rsid w:val="001F42CC"/>
    <w:rsid w:val="001F7CCD"/>
    <w:rsid w:val="002038E2"/>
    <w:rsid w:val="00206E75"/>
    <w:rsid w:val="00206F64"/>
    <w:rsid w:val="00212E58"/>
    <w:rsid w:val="00213717"/>
    <w:rsid w:val="00220F33"/>
    <w:rsid w:val="00226A3C"/>
    <w:rsid w:val="00231792"/>
    <w:rsid w:val="0023437C"/>
    <w:rsid w:val="00240B69"/>
    <w:rsid w:val="00242224"/>
    <w:rsid w:val="00244239"/>
    <w:rsid w:val="00244D19"/>
    <w:rsid w:val="002571DD"/>
    <w:rsid w:val="00265F58"/>
    <w:rsid w:val="002673EA"/>
    <w:rsid w:val="002753A9"/>
    <w:rsid w:val="00275944"/>
    <w:rsid w:val="0027623F"/>
    <w:rsid w:val="002820FB"/>
    <w:rsid w:val="00282C32"/>
    <w:rsid w:val="002A155C"/>
    <w:rsid w:val="002A5E72"/>
    <w:rsid w:val="002A7826"/>
    <w:rsid w:val="002B22D5"/>
    <w:rsid w:val="002B6F80"/>
    <w:rsid w:val="002C3537"/>
    <w:rsid w:val="002C4407"/>
    <w:rsid w:val="002D0868"/>
    <w:rsid w:val="002D1A12"/>
    <w:rsid w:val="002D3BED"/>
    <w:rsid w:val="002D54B4"/>
    <w:rsid w:val="002E01EA"/>
    <w:rsid w:val="002E1670"/>
    <w:rsid w:val="002E59AF"/>
    <w:rsid w:val="002F363B"/>
    <w:rsid w:val="002F7591"/>
    <w:rsid w:val="00313B61"/>
    <w:rsid w:val="00315B86"/>
    <w:rsid w:val="00315F41"/>
    <w:rsid w:val="003217BA"/>
    <w:rsid w:val="00324AEF"/>
    <w:rsid w:val="003307F5"/>
    <w:rsid w:val="003330F3"/>
    <w:rsid w:val="00334009"/>
    <w:rsid w:val="00341B06"/>
    <w:rsid w:val="003508B3"/>
    <w:rsid w:val="003511A9"/>
    <w:rsid w:val="00362B9D"/>
    <w:rsid w:val="00363F73"/>
    <w:rsid w:val="00372E37"/>
    <w:rsid w:val="00380ECF"/>
    <w:rsid w:val="0038182A"/>
    <w:rsid w:val="003819E9"/>
    <w:rsid w:val="00383313"/>
    <w:rsid w:val="00384B1B"/>
    <w:rsid w:val="00390D75"/>
    <w:rsid w:val="00391737"/>
    <w:rsid w:val="00396659"/>
    <w:rsid w:val="003A0878"/>
    <w:rsid w:val="003A3F59"/>
    <w:rsid w:val="003A74B3"/>
    <w:rsid w:val="003B68FE"/>
    <w:rsid w:val="003B6CE1"/>
    <w:rsid w:val="003B6F9A"/>
    <w:rsid w:val="003C0AA5"/>
    <w:rsid w:val="003C0CAD"/>
    <w:rsid w:val="003C0FC6"/>
    <w:rsid w:val="003C3CA0"/>
    <w:rsid w:val="003D705D"/>
    <w:rsid w:val="003E039E"/>
    <w:rsid w:val="003E1D7D"/>
    <w:rsid w:val="003E3540"/>
    <w:rsid w:val="003E6B0A"/>
    <w:rsid w:val="003F046A"/>
    <w:rsid w:val="003F3333"/>
    <w:rsid w:val="003F6850"/>
    <w:rsid w:val="0040060D"/>
    <w:rsid w:val="00406CC2"/>
    <w:rsid w:val="004110A3"/>
    <w:rsid w:val="00411B5B"/>
    <w:rsid w:val="0042754E"/>
    <w:rsid w:val="00431677"/>
    <w:rsid w:val="00441479"/>
    <w:rsid w:val="0044169E"/>
    <w:rsid w:val="00442080"/>
    <w:rsid w:val="00444DB4"/>
    <w:rsid w:val="00445726"/>
    <w:rsid w:val="00450D6E"/>
    <w:rsid w:val="00454D03"/>
    <w:rsid w:val="004560DC"/>
    <w:rsid w:val="004561A9"/>
    <w:rsid w:val="00460CF4"/>
    <w:rsid w:val="00464E5A"/>
    <w:rsid w:val="00466199"/>
    <w:rsid w:val="00471621"/>
    <w:rsid w:val="00471AB5"/>
    <w:rsid w:val="004745A7"/>
    <w:rsid w:val="004751A9"/>
    <w:rsid w:val="00475C56"/>
    <w:rsid w:val="00476CF6"/>
    <w:rsid w:val="00480FE3"/>
    <w:rsid w:val="00483B69"/>
    <w:rsid w:val="00483C57"/>
    <w:rsid w:val="00487901"/>
    <w:rsid w:val="00491FAE"/>
    <w:rsid w:val="004A4A64"/>
    <w:rsid w:val="004B108A"/>
    <w:rsid w:val="004B5CEB"/>
    <w:rsid w:val="004C0075"/>
    <w:rsid w:val="004C0E61"/>
    <w:rsid w:val="004C7548"/>
    <w:rsid w:val="004D09EB"/>
    <w:rsid w:val="004D2F56"/>
    <w:rsid w:val="004D4966"/>
    <w:rsid w:val="004D4D24"/>
    <w:rsid w:val="004D69DB"/>
    <w:rsid w:val="004D6A5A"/>
    <w:rsid w:val="004D6F17"/>
    <w:rsid w:val="004E10BD"/>
    <w:rsid w:val="004E4DAE"/>
    <w:rsid w:val="004E71D5"/>
    <w:rsid w:val="004F59C1"/>
    <w:rsid w:val="00516BDF"/>
    <w:rsid w:val="00516CD0"/>
    <w:rsid w:val="00516F76"/>
    <w:rsid w:val="00524741"/>
    <w:rsid w:val="00524CA0"/>
    <w:rsid w:val="00526FEE"/>
    <w:rsid w:val="0053276E"/>
    <w:rsid w:val="00533986"/>
    <w:rsid w:val="00533987"/>
    <w:rsid w:val="00536425"/>
    <w:rsid w:val="00537D80"/>
    <w:rsid w:val="0054067D"/>
    <w:rsid w:val="0054185E"/>
    <w:rsid w:val="005429DF"/>
    <w:rsid w:val="00545D38"/>
    <w:rsid w:val="00547465"/>
    <w:rsid w:val="00574D6C"/>
    <w:rsid w:val="005769F1"/>
    <w:rsid w:val="00586F7C"/>
    <w:rsid w:val="005870A7"/>
    <w:rsid w:val="005870B6"/>
    <w:rsid w:val="0059511C"/>
    <w:rsid w:val="0059735F"/>
    <w:rsid w:val="005A12FF"/>
    <w:rsid w:val="005B0B26"/>
    <w:rsid w:val="005B2B28"/>
    <w:rsid w:val="005D074F"/>
    <w:rsid w:val="005D122E"/>
    <w:rsid w:val="00612644"/>
    <w:rsid w:val="00616409"/>
    <w:rsid w:val="00616B36"/>
    <w:rsid w:val="00624562"/>
    <w:rsid w:val="006362CE"/>
    <w:rsid w:val="006400CB"/>
    <w:rsid w:val="006422C3"/>
    <w:rsid w:val="00642951"/>
    <w:rsid w:val="006431AA"/>
    <w:rsid w:val="00644E2A"/>
    <w:rsid w:val="00645219"/>
    <w:rsid w:val="00647538"/>
    <w:rsid w:val="00650DFC"/>
    <w:rsid w:val="00651EEB"/>
    <w:rsid w:val="0065354D"/>
    <w:rsid w:val="006605FF"/>
    <w:rsid w:val="00663463"/>
    <w:rsid w:val="006714C3"/>
    <w:rsid w:val="006727B7"/>
    <w:rsid w:val="006730C9"/>
    <w:rsid w:val="00687E8C"/>
    <w:rsid w:val="006970BF"/>
    <w:rsid w:val="006A6AD5"/>
    <w:rsid w:val="006A78DA"/>
    <w:rsid w:val="006B1812"/>
    <w:rsid w:val="006B2550"/>
    <w:rsid w:val="006B40E9"/>
    <w:rsid w:val="006B5361"/>
    <w:rsid w:val="006B64B2"/>
    <w:rsid w:val="006B75F8"/>
    <w:rsid w:val="006C5DA5"/>
    <w:rsid w:val="006C6ABB"/>
    <w:rsid w:val="006D0A3F"/>
    <w:rsid w:val="006D5DEF"/>
    <w:rsid w:val="006D68DD"/>
    <w:rsid w:val="006E2927"/>
    <w:rsid w:val="006E6E75"/>
    <w:rsid w:val="006F2A44"/>
    <w:rsid w:val="006F3EB5"/>
    <w:rsid w:val="00700384"/>
    <w:rsid w:val="00700502"/>
    <w:rsid w:val="00700BB9"/>
    <w:rsid w:val="00710579"/>
    <w:rsid w:val="0071481A"/>
    <w:rsid w:val="00717294"/>
    <w:rsid w:val="00721C84"/>
    <w:rsid w:val="00724FB7"/>
    <w:rsid w:val="00726866"/>
    <w:rsid w:val="00730BBF"/>
    <w:rsid w:val="00745254"/>
    <w:rsid w:val="0074595F"/>
    <w:rsid w:val="00753AF8"/>
    <w:rsid w:val="00756D75"/>
    <w:rsid w:val="00763936"/>
    <w:rsid w:val="00763AA6"/>
    <w:rsid w:val="00764BCA"/>
    <w:rsid w:val="00771701"/>
    <w:rsid w:val="007721BC"/>
    <w:rsid w:val="00774780"/>
    <w:rsid w:val="00781923"/>
    <w:rsid w:val="0078214C"/>
    <w:rsid w:val="00782C46"/>
    <w:rsid w:val="00786A70"/>
    <w:rsid w:val="007951E4"/>
    <w:rsid w:val="0079674D"/>
    <w:rsid w:val="00796EF6"/>
    <w:rsid w:val="007B0D41"/>
    <w:rsid w:val="007B2EA2"/>
    <w:rsid w:val="007C3B8F"/>
    <w:rsid w:val="007D0237"/>
    <w:rsid w:val="007D6530"/>
    <w:rsid w:val="007E112C"/>
    <w:rsid w:val="007E39DF"/>
    <w:rsid w:val="007F158B"/>
    <w:rsid w:val="007F1C3B"/>
    <w:rsid w:val="008005CC"/>
    <w:rsid w:val="00805419"/>
    <w:rsid w:val="00805E4A"/>
    <w:rsid w:val="00812CAD"/>
    <w:rsid w:val="00814B76"/>
    <w:rsid w:val="00820255"/>
    <w:rsid w:val="0082046C"/>
    <w:rsid w:val="00823EEF"/>
    <w:rsid w:val="00826228"/>
    <w:rsid w:val="00826AA9"/>
    <w:rsid w:val="008275FF"/>
    <w:rsid w:val="00841267"/>
    <w:rsid w:val="00847AD3"/>
    <w:rsid w:val="00852C49"/>
    <w:rsid w:val="008562E6"/>
    <w:rsid w:val="0086355C"/>
    <w:rsid w:val="00863A4A"/>
    <w:rsid w:val="008660C9"/>
    <w:rsid w:val="00866392"/>
    <w:rsid w:val="00871360"/>
    <w:rsid w:val="008810E6"/>
    <w:rsid w:val="008819B3"/>
    <w:rsid w:val="008828E0"/>
    <w:rsid w:val="008840D1"/>
    <w:rsid w:val="00886336"/>
    <w:rsid w:val="008866AD"/>
    <w:rsid w:val="00886A22"/>
    <w:rsid w:val="0089328A"/>
    <w:rsid w:val="00895460"/>
    <w:rsid w:val="008A2DF0"/>
    <w:rsid w:val="008B6478"/>
    <w:rsid w:val="008B7DEB"/>
    <w:rsid w:val="008C0FF3"/>
    <w:rsid w:val="008C66E6"/>
    <w:rsid w:val="008D0F1F"/>
    <w:rsid w:val="008D414F"/>
    <w:rsid w:val="008D440D"/>
    <w:rsid w:val="008D5C09"/>
    <w:rsid w:val="008D62A6"/>
    <w:rsid w:val="008D63A2"/>
    <w:rsid w:val="008D7897"/>
    <w:rsid w:val="008E16CD"/>
    <w:rsid w:val="008E37AF"/>
    <w:rsid w:val="008E3D1E"/>
    <w:rsid w:val="008E3E25"/>
    <w:rsid w:val="008E67EF"/>
    <w:rsid w:val="008F14D7"/>
    <w:rsid w:val="008F3329"/>
    <w:rsid w:val="008F509B"/>
    <w:rsid w:val="008F6C03"/>
    <w:rsid w:val="009006B5"/>
    <w:rsid w:val="00902CC6"/>
    <w:rsid w:val="00904464"/>
    <w:rsid w:val="00915B08"/>
    <w:rsid w:val="00920EA7"/>
    <w:rsid w:val="00921C55"/>
    <w:rsid w:val="009265DF"/>
    <w:rsid w:val="00926ABE"/>
    <w:rsid w:val="00931072"/>
    <w:rsid w:val="009332DF"/>
    <w:rsid w:val="00936B31"/>
    <w:rsid w:val="009378A3"/>
    <w:rsid w:val="00937D3A"/>
    <w:rsid w:val="009406BA"/>
    <w:rsid w:val="00943A55"/>
    <w:rsid w:val="00947115"/>
    <w:rsid w:val="00947D55"/>
    <w:rsid w:val="00951146"/>
    <w:rsid w:val="009522DD"/>
    <w:rsid w:val="00953976"/>
    <w:rsid w:val="00953BCD"/>
    <w:rsid w:val="0095547C"/>
    <w:rsid w:val="0096399E"/>
    <w:rsid w:val="00967732"/>
    <w:rsid w:val="00974E0E"/>
    <w:rsid w:val="00977FA0"/>
    <w:rsid w:val="009842FF"/>
    <w:rsid w:val="009848E6"/>
    <w:rsid w:val="00985C18"/>
    <w:rsid w:val="00985CEA"/>
    <w:rsid w:val="009A1E21"/>
    <w:rsid w:val="009A1FB4"/>
    <w:rsid w:val="009A3276"/>
    <w:rsid w:val="009A3463"/>
    <w:rsid w:val="009A5EAC"/>
    <w:rsid w:val="009B6F56"/>
    <w:rsid w:val="009C1E35"/>
    <w:rsid w:val="009C3B78"/>
    <w:rsid w:val="009F05A8"/>
    <w:rsid w:val="009F4951"/>
    <w:rsid w:val="00A012A2"/>
    <w:rsid w:val="00A04318"/>
    <w:rsid w:val="00A04CBB"/>
    <w:rsid w:val="00A0671F"/>
    <w:rsid w:val="00A11B2F"/>
    <w:rsid w:val="00A13A19"/>
    <w:rsid w:val="00A14727"/>
    <w:rsid w:val="00A15458"/>
    <w:rsid w:val="00A172AD"/>
    <w:rsid w:val="00A175C9"/>
    <w:rsid w:val="00A30736"/>
    <w:rsid w:val="00A35283"/>
    <w:rsid w:val="00A37C7D"/>
    <w:rsid w:val="00A4018A"/>
    <w:rsid w:val="00A406A4"/>
    <w:rsid w:val="00A463D5"/>
    <w:rsid w:val="00A46C57"/>
    <w:rsid w:val="00A51A19"/>
    <w:rsid w:val="00A5322F"/>
    <w:rsid w:val="00A56B63"/>
    <w:rsid w:val="00A5770B"/>
    <w:rsid w:val="00A6548B"/>
    <w:rsid w:val="00A73118"/>
    <w:rsid w:val="00A76BF2"/>
    <w:rsid w:val="00A84641"/>
    <w:rsid w:val="00A86827"/>
    <w:rsid w:val="00A9347E"/>
    <w:rsid w:val="00AB049C"/>
    <w:rsid w:val="00AB1B71"/>
    <w:rsid w:val="00AB4839"/>
    <w:rsid w:val="00AB4882"/>
    <w:rsid w:val="00AB64DD"/>
    <w:rsid w:val="00AC2652"/>
    <w:rsid w:val="00AC2EC6"/>
    <w:rsid w:val="00AD0F5D"/>
    <w:rsid w:val="00AD1729"/>
    <w:rsid w:val="00AD3F13"/>
    <w:rsid w:val="00AD4B0D"/>
    <w:rsid w:val="00AF0BA6"/>
    <w:rsid w:val="00AF1094"/>
    <w:rsid w:val="00AF55A1"/>
    <w:rsid w:val="00B03C87"/>
    <w:rsid w:val="00B06F52"/>
    <w:rsid w:val="00B10851"/>
    <w:rsid w:val="00B1177D"/>
    <w:rsid w:val="00B11FBC"/>
    <w:rsid w:val="00B15246"/>
    <w:rsid w:val="00B23634"/>
    <w:rsid w:val="00B25263"/>
    <w:rsid w:val="00B26C9C"/>
    <w:rsid w:val="00B31200"/>
    <w:rsid w:val="00B371A4"/>
    <w:rsid w:val="00B412D6"/>
    <w:rsid w:val="00B4590C"/>
    <w:rsid w:val="00B45B2F"/>
    <w:rsid w:val="00B4670A"/>
    <w:rsid w:val="00B52FBD"/>
    <w:rsid w:val="00B53E17"/>
    <w:rsid w:val="00B5430F"/>
    <w:rsid w:val="00B544CC"/>
    <w:rsid w:val="00B63567"/>
    <w:rsid w:val="00B66C42"/>
    <w:rsid w:val="00B672F3"/>
    <w:rsid w:val="00B73638"/>
    <w:rsid w:val="00B82EAD"/>
    <w:rsid w:val="00B84AC6"/>
    <w:rsid w:val="00BA062F"/>
    <w:rsid w:val="00BA095B"/>
    <w:rsid w:val="00BA4913"/>
    <w:rsid w:val="00BA4DF9"/>
    <w:rsid w:val="00BA53B6"/>
    <w:rsid w:val="00BB4E9F"/>
    <w:rsid w:val="00BB6B36"/>
    <w:rsid w:val="00BC14FD"/>
    <w:rsid w:val="00BC4923"/>
    <w:rsid w:val="00BD55A5"/>
    <w:rsid w:val="00BD631E"/>
    <w:rsid w:val="00BE0822"/>
    <w:rsid w:val="00BE7567"/>
    <w:rsid w:val="00BF444A"/>
    <w:rsid w:val="00C007A2"/>
    <w:rsid w:val="00C01112"/>
    <w:rsid w:val="00C02BB9"/>
    <w:rsid w:val="00C33120"/>
    <w:rsid w:val="00C42F64"/>
    <w:rsid w:val="00C43121"/>
    <w:rsid w:val="00C461BE"/>
    <w:rsid w:val="00C46582"/>
    <w:rsid w:val="00C57509"/>
    <w:rsid w:val="00C61BB9"/>
    <w:rsid w:val="00C65144"/>
    <w:rsid w:val="00C7065F"/>
    <w:rsid w:val="00C70AE1"/>
    <w:rsid w:val="00C739A2"/>
    <w:rsid w:val="00C83C2A"/>
    <w:rsid w:val="00C863E6"/>
    <w:rsid w:val="00C86E1D"/>
    <w:rsid w:val="00C9136A"/>
    <w:rsid w:val="00C92271"/>
    <w:rsid w:val="00C972D7"/>
    <w:rsid w:val="00CA2EF1"/>
    <w:rsid w:val="00CA45E0"/>
    <w:rsid w:val="00CB070E"/>
    <w:rsid w:val="00CB591B"/>
    <w:rsid w:val="00CC6845"/>
    <w:rsid w:val="00CC7F13"/>
    <w:rsid w:val="00CD0953"/>
    <w:rsid w:val="00CD57B9"/>
    <w:rsid w:val="00CD5EDC"/>
    <w:rsid w:val="00CE0A86"/>
    <w:rsid w:val="00CE2BA8"/>
    <w:rsid w:val="00CE2CD4"/>
    <w:rsid w:val="00CE56A0"/>
    <w:rsid w:val="00CE5841"/>
    <w:rsid w:val="00CE7342"/>
    <w:rsid w:val="00CF5EF5"/>
    <w:rsid w:val="00CF5FF7"/>
    <w:rsid w:val="00CF67FF"/>
    <w:rsid w:val="00CF7C86"/>
    <w:rsid w:val="00D010B3"/>
    <w:rsid w:val="00D044B6"/>
    <w:rsid w:val="00D06D75"/>
    <w:rsid w:val="00D1309B"/>
    <w:rsid w:val="00D13E96"/>
    <w:rsid w:val="00D25107"/>
    <w:rsid w:val="00D274F7"/>
    <w:rsid w:val="00D302ED"/>
    <w:rsid w:val="00D304DA"/>
    <w:rsid w:val="00D32D57"/>
    <w:rsid w:val="00D428C1"/>
    <w:rsid w:val="00D47725"/>
    <w:rsid w:val="00D50347"/>
    <w:rsid w:val="00D55F4C"/>
    <w:rsid w:val="00D56195"/>
    <w:rsid w:val="00D6332A"/>
    <w:rsid w:val="00D640B7"/>
    <w:rsid w:val="00D65118"/>
    <w:rsid w:val="00D65D26"/>
    <w:rsid w:val="00D65DB8"/>
    <w:rsid w:val="00D71496"/>
    <w:rsid w:val="00D727F3"/>
    <w:rsid w:val="00D72BAE"/>
    <w:rsid w:val="00D732F3"/>
    <w:rsid w:val="00D737D8"/>
    <w:rsid w:val="00D74706"/>
    <w:rsid w:val="00D763DE"/>
    <w:rsid w:val="00D82C75"/>
    <w:rsid w:val="00D83C77"/>
    <w:rsid w:val="00D916D2"/>
    <w:rsid w:val="00D9350A"/>
    <w:rsid w:val="00D97885"/>
    <w:rsid w:val="00D97CB3"/>
    <w:rsid w:val="00DC2CE5"/>
    <w:rsid w:val="00DD1D5C"/>
    <w:rsid w:val="00DD3047"/>
    <w:rsid w:val="00DD30FE"/>
    <w:rsid w:val="00DD6586"/>
    <w:rsid w:val="00DD711A"/>
    <w:rsid w:val="00DE476C"/>
    <w:rsid w:val="00DE5056"/>
    <w:rsid w:val="00DF2945"/>
    <w:rsid w:val="00DF5FDB"/>
    <w:rsid w:val="00E0173F"/>
    <w:rsid w:val="00E01DD9"/>
    <w:rsid w:val="00E129E3"/>
    <w:rsid w:val="00E1664F"/>
    <w:rsid w:val="00E24C5D"/>
    <w:rsid w:val="00E30872"/>
    <w:rsid w:val="00E33797"/>
    <w:rsid w:val="00E44823"/>
    <w:rsid w:val="00E46465"/>
    <w:rsid w:val="00E55B4C"/>
    <w:rsid w:val="00E5600E"/>
    <w:rsid w:val="00E624A2"/>
    <w:rsid w:val="00E62A66"/>
    <w:rsid w:val="00E6401A"/>
    <w:rsid w:val="00E65F1C"/>
    <w:rsid w:val="00E71198"/>
    <w:rsid w:val="00E73D97"/>
    <w:rsid w:val="00E7769E"/>
    <w:rsid w:val="00E77910"/>
    <w:rsid w:val="00E83F43"/>
    <w:rsid w:val="00E907A7"/>
    <w:rsid w:val="00E92C99"/>
    <w:rsid w:val="00E940F8"/>
    <w:rsid w:val="00E95997"/>
    <w:rsid w:val="00EA0143"/>
    <w:rsid w:val="00EB333D"/>
    <w:rsid w:val="00EB7D8E"/>
    <w:rsid w:val="00EC0E1F"/>
    <w:rsid w:val="00EC5160"/>
    <w:rsid w:val="00ED206F"/>
    <w:rsid w:val="00ED2BFB"/>
    <w:rsid w:val="00EE3DA9"/>
    <w:rsid w:val="00EE6811"/>
    <w:rsid w:val="00EF1740"/>
    <w:rsid w:val="00EF2214"/>
    <w:rsid w:val="00EF2A0F"/>
    <w:rsid w:val="00EF3EDD"/>
    <w:rsid w:val="00EF53DA"/>
    <w:rsid w:val="00F01BC8"/>
    <w:rsid w:val="00F108AB"/>
    <w:rsid w:val="00F10C4B"/>
    <w:rsid w:val="00F10D05"/>
    <w:rsid w:val="00F12F5E"/>
    <w:rsid w:val="00F22280"/>
    <w:rsid w:val="00F30225"/>
    <w:rsid w:val="00F33045"/>
    <w:rsid w:val="00F36FAB"/>
    <w:rsid w:val="00F42500"/>
    <w:rsid w:val="00F4261F"/>
    <w:rsid w:val="00F42CC1"/>
    <w:rsid w:val="00F47C86"/>
    <w:rsid w:val="00F55AAD"/>
    <w:rsid w:val="00F60270"/>
    <w:rsid w:val="00F61712"/>
    <w:rsid w:val="00F62CD5"/>
    <w:rsid w:val="00F6614B"/>
    <w:rsid w:val="00F67E23"/>
    <w:rsid w:val="00F712F9"/>
    <w:rsid w:val="00F721FB"/>
    <w:rsid w:val="00F7247A"/>
    <w:rsid w:val="00F73C70"/>
    <w:rsid w:val="00F7452D"/>
    <w:rsid w:val="00F766BA"/>
    <w:rsid w:val="00F77FF2"/>
    <w:rsid w:val="00F8349D"/>
    <w:rsid w:val="00F87ECD"/>
    <w:rsid w:val="00F90CE0"/>
    <w:rsid w:val="00F93D6A"/>
    <w:rsid w:val="00F9573A"/>
    <w:rsid w:val="00F96F5A"/>
    <w:rsid w:val="00FA0AC7"/>
    <w:rsid w:val="00FA1398"/>
    <w:rsid w:val="00FA13B7"/>
    <w:rsid w:val="00FA42CC"/>
    <w:rsid w:val="00FA5284"/>
    <w:rsid w:val="00FB06FE"/>
    <w:rsid w:val="00FB7186"/>
    <w:rsid w:val="00FB79A5"/>
    <w:rsid w:val="00FB7EB1"/>
    <w:rsid w:val="00FC613D"/>
    <w:rsid w:val="00FD34F3"/>
    <w:rsid w:val="00FE23B2"/>
    <w:rsid w:val="00FE5F3B"/>
    <w:rsid w:val="00FE7321"/>
    <w:rsid w:val="00FE7794"/>
    <w:rsid w:val="00FF60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colormru v:ext="edit" colors="#6f9,#cfc"/>
      <o:colormenu v:ext="edit" fillcolor="none [661]" strokecolor="none"/>
    </o:shapedefaults>
    <o:shapelayout v:ext="edit">
      <o:idmap v:ext="edit" data="1"/>
      <o:rules v:ext="edit">
        <o:r id="V:Rule6" type="connector" idref="#_x0000_s1091"/>
        <o:r id="V:Rule7" type="connector" idref="#_x0000_s1077"/>
        <o:r id="V:Rule8" type="connector" idref="#_x0000_s1072"/>
        <o:r id="V:Rule9" type="connector" idref="#_x0000_s1112"/>
        <o:r id="V:Rule10" type="connector" idref="#_x0000_s1109"/>
      </o:rules>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5FF"/>
  </w:style>
  <w:style w:type="paragraph" w:styleId="Heading1">
    <w:name w:val="heading 1"/>
    <w:basedOn w:val="Normal"/>
    <w:next w:val="Normal"/>
    <w:link w:val="Heading1Char"/>
    <w:uiPriority w:val="9"/>
    <w:qFormat/>
    <w:rsid w:val="009522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36B3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06D7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275F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71DD"/>
    <w:pPr>
      <w:ind w:left="720"/>
      <w:contextualSpacing/>
    </w:pPr>
  </w:style>
  <w:style w:type="table" w:styleId="TableGrid">
    <w:name w:val="Table Grid"/>
    <w:basedOn w:val="TableNormal"/>
    <w:uiPriority w:val="59"/>
    <w:rsid w:val="002571D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D044B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044B6"/>
    <w:rPr>
      <w:sz w:val="20"/>
      <w:szCs w:val="20"/>
    </w:rPr>
  </w:style>
  <w:style w:type="character" w:styleId="FootnoteReference">
    <w:name w:val="footnote reference"/>
    <w:basedOn w:val="DefaultParagraphFont"/>
    <w:uiPriority w:val="99"/>
    <w:semiHidden/>
    <w:unhideWhenUsed/>
    <w:rsid w:val="00D044B6"/>
    <w:rPr>
      <w:vertAlign w:val="superscript"/>
    </w:rPr>
  </w:style>
  <w:style w:type="character" w:customStyle="1" w:styleId="Heading2Char">
    <w:name w:val="Heading 2 Char"/>
    <w:basedOn w:val="DefaultParagraphFont"/>
    <w:link w:val="Heading2"/>
    <w:uiPriority w:val="9"/>
    <w:rsid w:val="00936B31"/>
    <w:rPr>
      <w:rFonts w:asciiTheme="majorHAnsi" w:eastAsiaTheme="majorEastAsia" w:hAnsiTheme="majorHAnsi" w:cstheme="majorBidi"/>
      <w:b/>
      <w:bCs/>
      <w:color w:val="4F81BD" w:themeColor="accent1"/>
      <w:sz w:val="26"/>
      <w:szCs w:val="26"/>
    </w:rPr>
  </w:style>
  <w:style w:type="paragraph" w:customStyle="1" w:styleId="Equation">
    <w:name w:val="Equation"/>
    <w:basedOn w:val="Normal"/>
    <w:rsid w:val="00FE23B2"/>
    <w:pPr>
      <w:tabs>
        <w:tab w:val="left" w:pos="794"/>
        <w:tab w:val="center" w:pos="4820"/>
        <w:tab w:val="right" w:pos="9639"/>
      </w:tabs>
      <w:overflowPunct w:val="0"/>
      <w:autoSpaceDE w:val="0"/>
      <w:autoSpaceDN w:val="0"/>
      <w:adjustRightInd w:val="0"/>
      <w:spacing w:before="120" w:after="0" w:line="240" w:lineRule="auto"/>
      <w:jc w:val="both"/>
      <w:textAlignment w:val="baseline"/>
    </w:pPr>
    <w:rPr>
      <w:rFonts w:ascii="Times New Roman" w:eastAsia="Times New Roman" w:hAnsi="Times New Roman" w:cs="Times New Roman"/>
      <w:sz w:val="24"/>
      <w:szCs w:val="20"/>
      <w:lang w:val="fr-FR"/>
    </w:rPr>
  </w:style>
  <w:style w:type="paragraph" w:customStyle="1" w:styleId="Equationlegend">
    <w:name w:val="Equation_legend"/>
    <w:basedOn w:val="NormalIndent"/>
    <w:rsid w:val="00FE23B2"/>
    <w:pPr>
      <w:tabs>
        <w:tab w:val="right" w:pos="1701"/>
        <w:tab w:val="left" w:pos="1985"/>
      </w:tabs>
      <w:overflowPunct w:val="0"/>
      <w:autoSpaceDE w:val="0"/>
      <w:autoSpaceDN w:val="0"/>
      <w:adjustRightInd w:val="0"/>
      <w:spacing w:before="80" w:after="0" w:line="240" w:lineRule="auto"/>
      <w:ind w:left="1985" w:hanging="1985"/>
      <w:jc w:val="both"/>
      <w:textAlignment w:val="baseline"/>
    </w:pPr>
    <w:rPr>
      <w:rFonts w:ascii="Times New Roman" w:eastAsia="Times New Roman" w:hAnsi="Times New Roman" w:cs="Times New Roman"/>
      <w:sz w:val="24"/>
      <w:szCs w:val="20"/>
      <w:lang w:val="en-US"/>
    </w:rPr>
  </w:style>
  <w:style w:type="paragraph" w:styleId="NormalIndent">
    <w:name w:val="Normal Indent"/>
    <w:basedOn w:val="Normal"/>
    <w:uiPriority w:val="99"/>
    <w:semiHidden/>
    <w:unhideWhenUsed/>
    <w:rsid w:val="00FE23B2"/>
    <w:pPr>
      <w:ind w:left="720"/>
    </w:pPr>
  </w:style>
  <w:style w:type="character" w:styleId="PlaceholderText">
    <w:name w:val="Placeholder Text"/>
    <w:basedOn w:val="DefaultParagraphFont"/>
    <w:uiPriority w:val="99"/>
    <w:semiHidden/>
    <w:rsid w:val="00886A22"/>
    <w:rPr>
      <w:color w:val="808080"/>
    </w:rPr>
  </w:style>
  <w:style w:type="paragraph" w:styleId="BalloonText">
    <w:name w:val="Balloon Text"/>
    <w:basedOn w:val="Normal"/>
    <w:link w:val="BalloonTextChar"/>
    <w:uiPriority w:val="99"/>
    <w:semiHidden/>
    <w:unhideWhenUsed/>
    <w:rsid w:val="00886A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6A22"/>
    <w:rPr>
      <w:rFonts w:ascii="Tahoma" w:hAnsi="Tahoma" w:cs="Tahoma"/>
      <w:sz w:val="16"/>
      <w:szCs w:val="16"/>
    </w:rPr>
  </w:style>
  <w:style w:type="character" w:customStyle="1" w:styleId="Heading3Char">
    <w:name w:val="Heading 3 Char"/>
    <w:basedOn w:val="DefaultParagraphFont"/>
    <w:link w:val="Heading3"/>
    <w:uiPriority w:val="9"/>
    <w:rsid w:val="00D06D75"/>
    <w:rPr>
      <w:rFonts w:asciiTheme="majorHAnsi" w:eastAsiaTheme="majorEastAsia" w:hAnsiTheme="majorHAnsi" w:cstheme="majorBidi"/>
      <w:b/>
      <w:bCs/>
      <w:color w:val="4F81BD" w:themeColor="accent1"/>
    </w:rPr>
  </w:style>
  <w:style w:type="character" w:styleId="CommentReference">
    <w:name w:val="annotation reference"/>
    <w:basedOn w:val="DefaultParagraphFont"/>
    <w:uiPriority w:val="99"/>
    <w:semiHidden/>
    <w:unhideWhenUsed/>
    <w:rsid w:val="00A37C7D"/>
    <w:rPr>
      <w:sz w:val="16"/>
      <w:szCs w:val="16"/>
    </w:rPr>
  </w:style>
  <w:style w:type="paragraph" w:styleId="CommentText">
    <w:name w:val="annotation text"/>
    <w:basedOn w:val="Normal"/>
    <w:link w:val="CommentTextChar"/>
    <w:uiPriority w:val="99"/>
    <w:semiHidden/>
    <w:unhideWhenUsed/>
    <w:rsid w:val="00A37C7D"/>
    <w:pPr>
      <w:spacing w:line="240" w:lineRule="auto"/>
    </w:pPr>
    <w:rPr>
      <w:sz w:val="20"/>
      <w:szCs w:val="20"/>
    </w:rPr>
  </w:style>
  <w:style w:type="character" w:customStyle="1" w:styleId="CommentTextChar">
    <w:name w:val="Comment Text Char"/>
    <w:basedOn w:val="DefaultParagraphFont"/>
    <w:link w:val="CommentText"/>
    <w:uiPriority w:val="99"/>
    <w:semiHidden/>
    <w:rsid w:val="00A37C7D"/>
    <w:rPr>
      <w:sz w:val="20"/>
      <w:szCs w:val="20"/>
    </w:rPr>
  </w:style>
  <w:style w:type="paragraph" w:styleId="CommentSubject">
    <w:name w:val="annotation subject"/>
    <w:basedOn w:val="CommentText"/>
    <w:next w:val="CommentText"/>
    <w:link w:val="CommentSubjectChar"/>
    <w:uiPriority w:val="99"/>
    <w:semiHidden/>
    <w:unhideWhenUsed/>
    <w:rsid w:val="00A37C7D"/>
    <w:rPr>
      <w:b/>
      <w:bCs/>
    </w:rPr>
  </w:style>
  <w:style w:type="character" w:customStyle="1" w:styleId="CommentSubjectChar">
    <w:name w:val="Comment Subject Char"/>
    <w:basedOn w:val="CommentTextChar"/>
    <w:link w:val="CommentSubject"/>
    <w:uiPriority w:val="99"/>
    <w:semiHidden/>
    <w:rsid w:val="00A37C7D"/>
    <w:rPr>
      <w:b/>
      <w:bCs/>
    </w:rPr>
  </w:style>
  <w:style w:type="character" w:styleId="Hyperlink">
    <w:name w:val="Hyperlink"/>
    <w:basedOn w:val="DefaultParagraphFont"/>
    <w:uiPriority w:val="99"/>
    <w:unhideWhenUsed/>
    <w:rsid w:val="00866392"/>
    <w:rPr>
      <w:color w:val="0000FF"/>
      <w:u w:val="single"/>
    </w:rPr>
  </w:style>
  <w:style w:type="character" w:styleId="FollowedHyperlink">
    <w:name w:val="FollowedHyperlink"/>
    <w:basedOn w:val="DefaultParagraphFont"/>
    <w:uiPriority w:val="99"/>
    <w:semiHidden/>
    <w:unhideWhenUsed/>
    <w:rsid w:val="00866392"/>
    <w:rPr>
      <w:color w:val="800080"/>
      <w:u w:val="single"/>
    </w:rPr>
  </w:style>
  <w:style w:type="paragraph" w:styleId="Revision">
    <w:name w:val="Revision"/>
    <w:hidden/>
    <w:uiPriority w:val="99"/>
    <w:semiHidden/>
    <w:rsid w:val="00BE0822"/>
    <w:pPr>
      <w:spacing w:after="0" w:line="240" w:lineRule="auto"/>
    </w:pPr>
  </w:style>
  <w:style w:type="character" w:customStyle="1" w:styleId="Heading4Char">
    <w:name w:val="Heading 4 Char"/>
    <w:basedOn w:val="DefaultParagraphFont"/>
    <w:link w:val="Heading4"/>
    <w:uiPriority w:val="9"/>
    <w:rsid w:val="008275FF"/>
    <w:rPr>
      <w:rFonts w:asciiTheme="majorHAnsi" w:eastAsiaTheme="majorEastAsia" w:hAnsiTheme="majorHAnsi" w:cstheme="majorBidi"/>
      <w:b/>
      <w:bCs/>
      <w:i/>
      <w:iCs/>
      <w:color w:val="4F81BD" w:themeColor="accent1"/>
    </w:rPr>
  </w:style>
  <w:style w:type="paragraph" w:styleId="Header">
    <w:name w:val="header"/>
    <w:basedOn w:val="Normal"/>
    <w:link w:val="HeaderChar"/>
    <w:uiPriority w:val="99"/>
    <w:semiHidden/>
    <w:unhideWhenUsed/>
    <w:rsid w:val="004E4DA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E4DAE"/>
  </w:style>
  <w:style w:type="paragraph" w:styleId="Footer">
    <w:name w:val="footer"/>
    <w:basedOn w:val="Normal"/>
    <w:link w:val="FooterChar"/>
    <w:uiPriority w:val="99"/>
    <w:unhideWhenUsed/>
    <w:rsid w:val="004E4D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4E4DAE"/>
  </w:style>
  <w:style w:type="paragraph" w:styleId="NormalWeb">
    <w:name w:val="Normal (Web)"/>
    <w:basedOn w:val="Normal"/>
    <w:uiPriority w:val="99"/>
    <w:semiHidden/>
    <w:unhideWhenUsed/>
    <w:rsid w:val="009406BA"/>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1Char">
    <w:name w:val="Heading 1 Char"/>
    <w:basedOn w:val="DefaultParagraphFont"/>
    <w:link w:val="Heading1"/>
    <w:uiPriority w:val="9"/>
    <w:rsid w:val="009522DD"/>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2D54B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D54B4"/>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divs>
    <w:div w:id="76169832">
      <w:bodyDiv w:val="1"/>
      <w:marLeft w:val="0"/>
      <w:marRight w:val="0"/>
      <w:marTop w:val="0"/>
      <w:marBottom w:val="0"/>
      <w:divBdr>
        <w:top w:val="none" w:sz="0" w:space="0" w:color="auto"/>
        <w:left w:val="none" w:sz="0" w:space="0" w:color="auto"/>
        <w:bottom w:val="none" w:sz="0" w:space="0" w:color="auto"/>
        <w:right w:val="none" w:sz="0" w:space="0" w:color="auto"/>
      </w:divBdr>
    </w:div>
    <w:div w:id="612249293">
      <w:bodyDiv w:val="1"/>
      <w:marLeft w:val="0"/>
      <w:marRight w:val="0"/>
      <w:marTop w:val="0"/>
      <w:marBottom w:val="0"/>
      <w:divBdr>
        <w:top w:val="none" w:sz="0" w:space="0" w:color="auto"/>
        <w:left w:val="none" w:sz="0" w:space="0" w:color="auto"/>
        <w:bottom w:val="none" w:sz="0" w:space="0" w:color="auto"/>
        <w:right w:val="none" w:sz="0" w:space="0" w:color="auto"/>
      </w:divBdr>
    </w:div>
    <w:div w:id="1148597312">
      <w:bodyDiv w:val="1"/>
      <w:marLeft w:val="0"/>
      <w:marRight w:val="0"/>
      <w:marTop w:val="0"/>
      <w:marBottom w:val="0"/>
      <w:divBdr>
        <w:top w:val="none" w:sz="0" w:space="0" w:color="auto"/>
        <w:left w:val="none" w:sz="0" w:space="0" w:color="auto"/>
        <w:bottom w:val="none" w:sz="0" w:space="0" w:color="auto"/>
        <w:right w:val="none" w:sz="0" w:space="0" w:color="auto"/>
      </w:divBdr>
    </w:div>
    <w:div w:id="1305307912">
      <w:bodyDiv w:val="1"/>
      <w:marLeft w:val="0"/>
      <w:marRight w:val="0"/>
      <w:marTop w:val="0"/>
      <w:marBottom w:val="0"/>
      <w:divBdr>
        <w:top w:val="none" w:sz="0" w:space="0" w:color="auto"/>
        <w:left w:val="none" w:sz="0" w:space="0" w:color="auto"/>
        <w:bottom w:val="none" w:sz="0" w:space="0" w:color="auto"/>
        <w:right w:val="none" w:sz="0" w:space="0" w:color="auto"/>
      </w:divBdr>
    </w:div>
    <w:div w:id="1413819343">
      <w:bodyDiv w:val="1"/>
      <w:marLeft w:val="0"/>
      <w:marRight w:val="0"/>
      <w:marTop w:val="0"/>
      <w:marBottom w:val="0"/>
      <w:divBdr>
        <w:top w:val="none" w:sz="0" w:space="0" w:color="auto"/>
        <w:left w:val="none" w:sz="0" w:space="0" w:color="auto"/>
        <w:bottom w:val="none" w:sz="0" w:space="0" w:color="auto"/>
        <w:right w:val="none" w:sz="0" w:space="0" w:color="auto"/>
      </w:divBdr>
    </w:div>
    <w:div w:id="1664354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cma.gov.au/WEB/STANDARD/pc=PC_41016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acma.gov.au/WEB/STANDARD/pc=PC_410169"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6EDECA5E8665348B2FAE347CDFE4D3E" ma:contentTypeVersion="0" ma:contentTypeDescription="Create a new document." ma:contentTypeScope="" ma:versionID="55137f176ca5143ebd69ff26f34c3f72">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7217D-5093-4796-AE5F-84D1F15D90C1}">
  <ds:schemaRefs>
    <ds:schemaRef ds:uri="http://schemas.microsoft.com/sharepoint/v3/contenttype/forms"/>
  </ds:schemaRefs>
</ds:datastoreItem>
</file>

<file path=customXml/itemProps2.xml><?xml version="1.0" encoding="utf-8"?>
<ds:datastoreItem xmlns:ds="http://schemas.openxmlformats.org/officeDocument/2006/customXml" ds:itemID="{FA5F61DC-26AD-4F00-B438-DD33761F88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932A161-81FA-4ABA-B35E-DEDD6615FC9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1208EA7-8918-4489-AC13-B0E7D9486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10</Pages>
  <Words>2329</Words>
  <Characters>13279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Technical Framework Development700 MHz Spectrum Licence Band</vt:lpstr>
    </vt:vector>
  </TitlesOfParts>
  <Company>Australian Communications and Media Authority</Company>
  <LinksUpToDate>false</LinksUpToDate>
  <CharactersWithSpaces>15577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Framework Development700 MHz Spectrum Licence Band</dc:title>
  <dc:creator>ACMA</dc:creator>
  <cp:lastModifiedBy>Australian Communications and Media Authority</cp:lastModifiedBy>
  <cp:revision>13</cp:revision>
  <cp:lastPrinted>2012-05-10T04:11:00Z</cp:lastPrinted>
  <dcterms:created xsi:type="dcterms:W3CDTF">2012-05-30T06:23:00Z</dcterms:created>
  <dcterms:modified xsi:type="dcterms:W3CDTF">2012-07-10T00:24:00Z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0x010100C6EDECA5E8665348B2FAE347CDFE4D3E</vt:lpwstr>
  </property>
</Properties>
</file>