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06E" w:rsidRDefault="00AB306E" w:rsidP="00647590">
      <w:pPr>
        <w:pStyle w:val="Heading1"/>
        <w:jc w:val="center"/>
        <w:rPr>
          <w:rFonts w:ascii="Arial" w:hAnsi="Arial" w:cs="Arial"/>
          <w:color w:val="auto"/>
        </w:rPr>
      </w:pPr>
      <w:r w:rsidRPr="00AB306E">
        <w:rPr>
          <w:rFonts w:ascii="Arial" w:hAnsi="Arial" w:cs="Arial"/>
          <w:noProof/>
          <w:color w:val="auto"/>
          <w:lang w:eastAsia="en-AU"/>
        </w:rPr>
        <w:drawing>
          <wp:inline distT="0" distB="0" distL="0" distR="0">
            <wp:extent cx="5724525" cy="819150"/>
            <wp:effectExtent l="19050" t="0" r="9525" b="0"/>
            <wp:docPr id="1" name="Picture 1" descr="H:\AAA - daily web work\ACMA_Masthead__GREYSCALE_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AA - daily web work\ACMA_Masthead__GREYSCALE_A4.jpg"/>
                    <pic:cNvPicPr>
                      <a:picLocks noChangeAspect="1" noChangeArrowheads="1"/>
                    </pic:cNvPicPr>
                  </pic:nvPicPr>
                  <pic:blipFill>
                    <a:blip r:embed="rId8" cstate="print"/>
                    <a:srcRect/>
                    <a:stretch>
                      <a:fillRect/>
                    </a:stretch>
                  </pic:blipFill>
                  <pic:spPr bwMode="auto">
                    <a:xfrm>
                      <a:off x="0" y="0"/>
                      <a:ext cx="5724525" cy="819150"/>
                    </a:xfrm>
                    <a:prstGeom prst="rect">
                      <a:avLst/>
                    </a:prstGeom>
                    <a:noFill/>
                    <a:ln w="9525">
                      <a:noFill/>
                      <a:miter lim="800000"/>
                      <a:headEnd/>
                      <a:tailEnd/>
                    </a:ln>
                  </pic:spPr>
                </pic:pic>
              </a:graphicData>
            </a:graphic>
          </wp:inline>
        </w:drawing>
      </w:r>
    </w:p>
    <w:p w:rsidR="00AB306E" w:rsidRPr="00AB306E" w:rsidRDefault="00AB306E" w:rsidP="00AB306E">
      <w:pPr>
        <w:rPr>
          <w:lang w:eastAsia="en-US"/>
        </w:rPr>
      </w:pPr>
    </w:p>
    <w:p w:rsidR="003D5CFF" w:rsidRPr="003D5CFF" w:rsidRDefault="003D5CFF" w:rsidP="003D5CFF">
      <w:pPr>
        <w:rPr>
          <w:rFonts w:ascii="Arial" w:hAnsi="Arial" w:cs="Arial"/>
        </w:rPr>
      </w:pPr>
      <w:bookmarkStart w:id="0" w:name="OLE_LINK11"/>
      <w:bookmarkStart w:id="1" w:name="OLE_LINK12"/>
    </w:p>
    <w:p w:rsidR="00647590" w:rsidRPr="003D5CFF" w:rsidRDefault="00647590" w:rsidP="003D5CFF">
      <w:pPr>
        <w:rPr>
          <w:rFonts w:asciiTheme="majorHAnsi" w:hAnsiTheme="majorHAnsi"/>
          <w:sz w:val="52"/>
          <w:szCs w:val="52"/>
        </w:rPr>
      </w:pPr>
      <w:r w:rsidRPr="003D5CFF">
        <w:rPr>
          <w:rFonts w:asciiTheme="majorHAnsi" w:hAnsiTheme="majorHAnsi"/>
          <w:sz w:val="52"/>
          <w:szCs w:val="52"/>
        </w:rPr>
        <w:t>Technical Framework Development</w:t>
      </w:r>
      <w:r w:rsidR="00736CCB" w:rsidRPr="003D5CFF">
        <w:rPr>
          <w:rFonts w:asciiTheme="majorHAnsi" w:hAnsiTheme="majorHAnsi"/>
          <w:sz w:val="52"/>
          <w:szCs w:val="52"/>
        </w:rPr>
        <w:t xml:space="preserve"> </w:t>
      </w:r>
      <w:r w:rsidR="00990E23" w:rsidRPr="003D5CFF">
        <w:rPr>
          <w:rFonts w:asciiTheme="majorHAnsi" w:hAnsiTheme="majorHAnsi"/>
          <w:sz w:val="52"/>
          <w:szCs w:val="52"/>
        </w:rPr>
        <w:t>700</w:t>
      </w:r>
      <w:r w:rsidR="0037570F" w:rsidRPr="003D5CFF">
        <w:rPr>
          <w:rFonts w:asciiTheme="majorHAnsi" w:hAnsiTheme="majorHAnsi"/>
          <w:sz w:val="52"/>
          <w:szCs w:val="52"/>
        </w:rPr>
        <w:t xml:space="preserve"> </w:t>
      </w:r>
      <w:r w:rsidR="00990E23" w:rsidRPr="003D5CFF">
        <w:rPr>
          <w:rFonts w:asciiTheme="majorHAnsi" w:hAnsiTheme="majorHAnsi"/>
          <w:sz w:val="52"/>
          <w:szCs w:val="52"/>
        </w:rPr>
        <w:t>M</w:t>
      </w:r>
      <w:r w:rsidRPr="003D5CFF">
        <w:rPr>
          <w:rFonts w:asciiTheme="majorHAnsi" w:hAnsiTheme="majorHAnsi"/>
          <w:sz w:val="52"/>
          <w:szCs w:val="52"/>
        </w:rPr>
        <w:t>Hz Spectrum Licence Band</w:t>
      </w:r>
    </w:p>
    <w:bookmarkEnd w:id="0"/>
    <w:bookmarkEnd w:id="1"/>
    <w:p w:rsidR="00647590" w:rsidRPr="00AB306E" w:rsidRDefault="00647590" w:rsidP="00647590">
      <w:pPr>
        <w:jc w:val="center"/>
        <w:rPr>
          <w:rFonts w:ascii="Arial" w:hAnsi="Arial" w:cs="Arial"/>
          <w:b/>
        </w:rPr>
      </w:pPr>
    </w:p>
    <w:p w:rsidR="00647590" w:rsidRPr="003D5CFF" w:rsidRDefault="00647590" w:rsidP="00537452">
      <w:pPr>
        <w:rPr>
          <w:rFonts w:ascii="Arial" w:hAnsi="Arial" w:cs="Arial"/>
          <w:b/>
          <w:color w:val="808080" w:themeColor="background1" w:themeShade="80"/>
          <w:sz w:val="28"/>
          <w:szCs w:val="28"/>
        </w:rPr>
      </w:pPr>
      <w:r w:rsidRPr="003D5CFF">
        <w:rPr>
          <w:rFonts w:ascii="Arial" w:hAnsi="Arial" w:cs="Arial"/>
          <w:b/>
          <w:color w:val="808080" w:themeColor="background1" w:themeShade="80"/>
          <w:sz w:val="28"/>
          <w:szCs w:val="28"/>
        </w:rPr>
        <w:t>TLG-Discussion Paper No. 1</w:t>
      </w:r>
      <w:r w:rsidR="00AB306E" w:rsidRPr="003D5CFF">
        <w:rPr>
          <w:rFonts w:ascii="Arial" w:hAnsi="Arial" w:cs="Arial"/>
          <w:b/>
          <w:color w:val="808080" w:themeColor="background1" w:themeShade="80"/>
          <w:sz w:val="28"/>
          <w:szCs w:val="28"/>
        </w:rPr>
        <w:br/>
      </w:r>
      <w:r w:rsidRPr="003D5CFF">
        <w:rPr>
          <w:rFonts w:ascii="Arial" w:hAnsi="Arial" w:cs="Arial"/>
          <w:b/>
          <w:color w:val="808080" w:themeColor="background1" w:themeShade="80"/>
          <w:sz w:val="28"/>
          <w:szCs w:val="28"/>
        </w:rPr>
        <w:t>Design Requirements for the Technical Framework</w:t>
      </w:r>
      <w:r w:rsidR="00AB306E" w:rsidRPr="003D5CFF">
        <w:rPr>
          <w:rFonts w:ascii="Arial" w:hAnsi="Arial" w:cs="Arial"/>
          <w:b/>
          <w:color w:val="808080" w:themeColor="background1" w:themeShade="80"/>
          <w:sz w:val="28"/>
          <w:szCs w:val="28"/>
        </w:rPr>
        <w:br/>
      </w:r>
      <w:r w:rsidRPr="003D5CFF">
        <w:rPr>
          <w:rFonts w:ascii="Arial" w:hAnsi="Arial" w:cs="Arial"/>
          <w:b/>
          <w:color w:val="808080" w:themeColor="background1" w:themeShade="80"/>
          <w:sz w:val="28"/>
          <w:szCs w:val="28"/>
        </w:rPr>
        <w:t>Reference Technologies / Standard Trading Units / Core Condition</w:t>
      </w:r>
    </w:p>
    <w:p w:rsidR="004333C8" w:rsidRDefault="004333C8" w:rsidP="00647590">
      <w:pPr>
        <w:rPr>
          <w:rFonts w:ascii="Arial" w:hAnsi="Arial" w:cs="Arial"/>
        </w:rPr>
      </w:pPr>
    </w:p>
    <w:p w:rsidR="003F2551" w:rsidRPr="00AB306E" w:rsidRDefault="003F2551" w:rsidP="00647590">
      <w:pPr>
        <w:rPr>
          <w:rFonts w:ascii="Arial" w:hAnsi="Arial" w:cs="Arial"/>
        </w:rPr>
      </w:pPr>
    </w:p>
    <w:p w:rsidR="00647590" w:rsidRPr="00AB306E" w:rsidRDefault="00647590" w:rsidP="004333C8">
      <w:pPr>
        <w:rPr>
          <w:rFonts w:ascii="Arial" w:hAnsi="Arial" w:cs="Arial"/>
          <w:sz w:val="22"/>
          <w:szCs w:val="22"/>
        </w:rPr>
      </w:pPr>
      <w:r w:rsidRPr="00AB306E">
        <w:rPr>
          <w:rFonts w:ascii="Arial" w:hAnsi="Arial" w:cs="Arial"/>
          <w:sz w:val="22"/>
          <w:szCs w:val="22"/>
        </w:rPr>
        <w:t>Document Release Information</w:t>
      </w:r>
    </w:p>
    <w:tbl>
      <w:tblPr>
        <w:tblW w:w="8590" w:type="dxa"/>
        <w:jc w:val="center"/>
        <w:tblInd w:w="-5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9"/>
        <w:gridCol w:w="2126"/>
        <w:gridCol w:w="5245"/>
      </w:tblGrid>
      <w:tr w:rsidR="00647590" w:rsidRPr="00AB306E" w:rsidTr="00736CCB">
        <w:trPr>
          <w:jc w:val="center"/>
        </w:trPr>
        <w:tc>
          <w:tcPr>
            <w:tcW w:w="1219" w:type="dxa"/>
            <w:shd w:val="clear" w:color="auto" w:fill="BFBFBF" w:themeFill="background1" w:themeFillShade="BF"/>
          </w:tcPr>
          <w:p w:rsidR="00647590" w:rsidRPr="00965359" w:rsidRDefault="00647590" w:rsidP="004333C8">
            <w:pPr>
              <w:jc w:val="center"/>
              <w:rPr>
                <w:rFonts w:ascii="Arial" w:hAnsi="Arial" w:cs="Arial"/>
                <w:b/>
                <w:sz w:val="20"/>
                <w:szCs w:val="20"/>
              </w:rPr>
            </w:pPr>
            <w:r w:rsidRPr="00965359">
              <w:rPr>
                <w:rFonts w:ascii="Arial" w:hAnsi="Arial" w:cs="Arial"/>
                <w:b/>
                <w:sz w:val="20"/>
                <w:szCs w:val="20"/>
              </w:rPr>
              <w:t>Version</w:t>
            </w:r>
          </w:p>
        </w:tc>
        <w:tc>
          <w:tcPr>
            <w:tcW w:w="2126" w:type="dxa"/>
            <w:shd w:val="clear" w:color="auto" w:fill="BFBFBF" w:themeFill="background1" w:themeFillShade="BF"/>
          </w:tcPr>
          <w:p w:rsidR="00647590" w:rsidRPr="00965359" w:rsidRDefault="00647590" w:rsidP="00736CCB">
            <w:pPr>
              <w:rPr>
                <w:rFonts w:ascii="Arial" w:hAnsi="Arial" w:cs="Arial"/>
                <w:b/>
                <w:sz w:val="20"/>
                <w:szCs w:val="20"/>
              </w:rPr>
            </w:pPr>
            <w:r w:rsidRPr="00965359">
              <w:rPr>
                <w:rFonts w:ascii="Arial" w:hAnsi="Arial" w:cs="Arial"/>
                <w:b/>
                <w:sz w:val="20"/>
                <w:szCs w:val="20"/>
              </w:rPr>
              <w:t>Date of Release</w:t>
            </w:r>
          </w:p>
        </w:tc>
        <w:tc>
          <w:tcPr>
            <w:tcW w:w="5245" w:type="dxa"/>
            <w:shd w:val="clear" w:color="auto" w:fill="BFBFBF" w:themeFill="background1" w:themeFillShade="BF"/>
          </w:tcPr>
          <w:p w:rsidR="00647590" w:rsidRPr="00965359" w:rsidRDefault="00647590" w:rsidP="00736CCB">
            <w:pPr>
              <w:rPr>
                <w:rFonts w:ascii="Arial" w:hAnsi="Arial" w:cs="Arial"/>
                <w:b/>
                <w:sz w:val="20"/>
                <w:szCs w:val="20"/>
              </w:rPr>
            </w:pPr>
            <w:r w:rsidRPr="00965359">
              <w:rPr>
                <w:rFonts w:ascii="Arial" w:hAnsi="Arial" w:cs="Arial"/>
                <w:b/>
                <w:sz w:val="20"/>
                <w:szCs w:val="20"/>
              </w:rPr>
              <w:t>Remarks</w:t>
            </w:r>
          </w:p>
        </w:tc>
      </w:tr>
      <w:tr w:rsidR="00647590" w:rsidRPr="00AB306E" w:rsidTr="00736CCB">
        <w:trPr>
          <w:jc w:val="center"/>
        </w:trPr>
        <w:tc>
          <w:tcPr>
            <w:tcW w:w="1219" w:type="dxa"/>
          </w:tcPr>
          <w:p w:rsidR="00647590" w:rsidRPr="00965359" w:rsidRDefault="00647590" w:rsidP="004333C8">
            <w:pPr>
              <w:jc w:val="center"/>
              <w:rPr>
                <w:rFonts w:ascii="Arial" w:hAnsi="Arial" w:cs="Arial"/>
                <w:sz w:val="20"/>
                <w:szCs w:val="20"/>
              </w:rPr>
            </w:pPr>
            <w:r w:rsidRPr="00965359">
              <w:rPr>
                <w:rFonts w:ascii="Arial" w:hAnsi="Arial" w:cs="Arial"/>
                <w:sz w:val="20"/>
                <w:szCs w:val="20"/>
              </w:rPr>
              <w:t>1</w:t>
            </w:r>
          </w:p>
        </w:tc>
        <w:tc>
          <w:tcPr>
            <w:tcW w:w="2126" w:type="dxa"/>
          </w:tcPr>
          <w:p w:rsidR="00647590" w:rsidRPr="00965359" w:rsidRDefault="00FA4DF9" w:rsidP="00736CCB">
            <w:pPr>
              <w:rPr>
                <w:rFonts w:ascii="Arial" w:hAnsi="Arial" w:cs="Arial"/>
                <w:sz w:val="20"/>
                <w:szCs w:val="20"/>
              </w:rPr>
            </w:pPr>
            <w:r w:rsidRPr="00965359">
              <w:rPr>
                <w:rFonts w:ascii="Arial" w:hAnsi="Arial" w:cs="Arial"/>
                <w:sz w:val="20"/>
                <w:szCs w:val="20"/>
              </w:rPr>
              <w:t>12</w:t>
            </w:r>
            <w:r w:rsidR="004333C8" w:rsidRPr="00965359">
              <w:rPr>
                <w:rFonts w:ascii="Arial" w:hAnsi="Arial" w:cs="Arial"/>
                <w:sz w:val="20"/>
                <w:szCs w:val="20"/>
              </w:rPr>
              <w:t xml:space="preserve"> October 2011</w:t>
            </w:r>
          </w:p>
        </w:tc>
        <w:tc>
          <w:tcPr>
            <w:tcW w:w="5245" w:type="dxa"/>
          </w:tcPr>
          <w:p w:rsidR="00647590" w:rsidRPr="00965359" w:rsidRDefault="00647590" w:rsidP="00736CCB">
            <w:pPr>
              <w:rPr>
                <w:rFonts w:ascii="Arial" w:hAnsi="Arial" w:cs="Arial"/>
                <w:sz w:val="20"/>
                <w:szCs w:val="20"/>
              </w:rPr>
            </w:pPr>
            <w:r w:rsidRPr="00965359">
              <w:rPr>
                <w:rFonts w:ascii="Arial" w:hAnsi="Arial" w:cs="Arial"/>
                <w:sz w:val="20"/>
                <w:szCs w:val="20"/>
              </w:rPr>
              <w:t>Initial Release</w:t>
            </w:r>
          </w:p>
        </w:tc>
      </w:tr>
      <w:tr w:rsidR="00647590" w:rsidRPr="00AB306E" w:rsidTr="00736CCB">
        <w:trPr>
          <w:jc w:val="center"/>
        </w:trPr>
        <w:tc>
          <w:tcPr>
            <w:tcW w:w="1219" w:type="dxa"/>
          </w:tcPr>
          <w:p w:rsidR="00183132" w:rsidRPr="00965359" w:rsidRDefault="001372D5">
            <w:pPr>
              <w:jc w:val="center"/>
              <w:rPr>
                <w:rFonts w:ascii="Arial" w:hAnsi="Arial" w:cs="Arial"/>
                <w:sz w:val="20"/>
                <w:szCs w:val="20"/>
              </w:rPr>
            </w:pPr>
            <w:r w:rsidRPr="00965359">
              <w:rPr>
                <w:rFonts w:ascii="Arial" w:hAnsi="Arial" w:cs="Arial"/>
                <w:sz w:val="20"/>
                <w:szCs w:val="20"/>
              </w:rPr>
              <w:t>2</w:t>
            </w:r>
          </w:p>
        </w:tc>
        <w:tc>
          <w:tcPr>
            <w:tcW w:w="2126" w:type="dxa"/>
          </w:tcPr>
          <w:p w:rsidR="00183132" w:rsidRPr="00965359" w:rsidRDefault="001372D5" w:rsidP="00736CCB">
            <w:pPr>
              <w:rPr>
                <w:rFonts w:ascii="Arial" w:hAnsi="Arial" w:cs="Arial"/>
                <w:sz w:val="20"/>
                <w:szCs w:val="20"/>
              </w:rPr>
            </w:pPr>
            <w:r w:rsidRPr="00965359">
              <w:rPr>
                <w:rFonts w:ascii="Arial" w:hAnsi="Arial" w:cs="Arial"/>
                <w:sz w:val="20"/>
                <w:szCs w:val="20"/>
              </w:rPr>
              <w:t>16 December 2011</w:t>
            </w:r>
          </w:p>
        </w:tc>
        <w:tc>
          <w:tcPr>
            <w:tcW w:w="5245" w:type="dxa"/>
          </w:tcPr>
          <w:p w:rsidR="00647590" w:rsidRPr="00965359" w:rsidRDefault="00676956" w:rsidP="00736CCB">
            <w:pPr>
              <w:rPr>
                <w:rFonts w:ascii="Arial" w:hAnsi="Arial" w:cs="Arial"/>
                <w:sz w:val="20"/>
                <w:szCs w:val="20"/>
              </w:rPr>
            </w:pPr>
            <w:r w:rsidRPr="00965359">
              <w:rPr>
                <w:rFonts w:ascii="Arial" w:hAnsi="Arial" w:cs="Arial"/>
                <w:sz w:val="20"/>
                <w:szCs w:val="20"/>
              </w:rPr>
              <w:t>Changes to proposed out-of-area and out-of-band limits</w:t>
            </w:r>
            <w:r w:rsidR="00DB3A22" w:rsidRPr="00965359">
              <w:rPr>
                <w:rFonts w:ascii="Arial" w:hAnsi="Arial" w:cs="Arial"/>
                <w:sz w:val="20"/>
                <w:szCs w:val="20"/>
              </w:rPr>
              <w:t>, following comments in response to version 1</w:t>
            </w:r>
          </w:p>
        </w:tc>
      </w:tr>
      <w:tr w:rsidR="00DB3A22" w:rsidRPr="00AB306E" w:rsidTr="00736CCB">
        <w:trPr>
          <w:jc w:val="center"/>
        </w:trPr>
        <w:tc>
          <w:tcPr>
            <w:tcW w:w="1219" w:type="dxa"/>
          </w:tcPr>
          <w:p w:rsidR="00DB3A22" w:rsidRPr="00965359" w:rsidRDefault="00DB3A22">
            <w:pPr>
              <w:jc w:val="center"/>
              <w:rPr>
                <w:rFonts w:ascii="Arial" w:hAnsi="Arial" w:cs="Arial"/>
                <w:sz w:val="20"/>
                <w:szCs w:val="20"/>
              </w:rPr>
            </w:pPr>
            <w:r w:rsidRPr="00965359">
              <w:rPr>
                <w:rFonts w:ascii="Arial" w:hAnsi="Arial" w:cs="Arial"/>
                <w:sz w:val="20"/>
                <w:szCs w:val="20"/>
              </w:rPr>
              <w:t>Final</w:t>
            </w:r>
          </w:p>
        </w:tc>
        <w:tc>
          <w:tcPr>
            <w:tcW w:w="2126" w:type="dxa"/>
          </w:tcPr>
          <w:p w:rsidR="00DB3A22" w:rsidRPr="00965359" w:rsidRDefault="00DB3A22" w:rsidP="00736CCB">
            <w:pPr>
              <w:rPr>
                <w:rFonts w:ascii="Arial" w:hAnsi="Arial" w:cs="Arial"/>
                <w:sz w:val="20"/>
                <w:szCs w:val="20"/>
              </w:rPr>
            </w:pPr>
            <w:r w:rsidRPr="00965359">
              <w:rPr>
                <w:rFonts w:ascii="Arial" w:hAnsi="Arial" w:cs="Arial"/>
                <w:sz w:val="20"/>
                <w:szCs w:val="20"/>
              </w:rPr>
              <w:t>1 March 2012</w:t>
            </w:r>
          </w:p>
        </w:tc>
        <w:tc>
          <w:tcPr>
            <w:tcW w:w="5245" w:type="dxa"/>
          </w:tcPr>
          <w:p w:rsidR="00DB3A22" w:rsidRPr="00965359" w:rsidRDefault="00DB3A22" w:rsidP="00736CCB">
            <w:pPr>
              <w:rPr>
                <w:rFonts w:ascii="Arial" w:hAnsi="Arial" w:cs="Arial"/>
                <w:sz w:val="20"/>
                <w:szCs w:val="20"/>
              </w:rPr>
            </w:pPr>
            <w:r w:rsidRPr="00965359">
              <w:rPr>
                <w:rFonts w:ascii="Arial" w:hAnsi="Arial" w:cs="Arial"/>
                <w:sz w:val="20"/>
                <w:szCs w:val="20"/>
              </w:rPr>
              <w:t>Finalised with only minor changes from version 2</w:t>
            </w:r>
          </w:p>
        </w:tc>
      </w:tr>
    </w:tbl>
    <w:p w:rsidR="00647590" w:rsidRDefault="00647590" w:rsidP="00647590">
      <w:pPr>
        <w:rPr>
          <w:rFonts w:ascii="Arial" w:hAnsi="Arial" w:cs="Arial"/>
        </w:rPr>
      </w:pPr>
    </w:p>
    <w:p w:rsidR="003D5CFF" w:rsidRDefault="003D5CFF">
      <w:pPr>
        <w:spacing w:after="200" w:line="276" w:lineRule="auto"/>
        <w:rPr>
          <w:rFonts w:ascii="Arial" w:hAnsi="Arial" w:cs="Arial"/>
        </w:rPr>
      </w:pPr>
      <w:r>
        <w:rPr>
          <w:rFonts w:ascii="Arial" w:hAnsi="Arial" w:cs="Arial"/>
        </w:rPr>
        <w:br w:type="page"/>
      </w:r>
    </w:p>
    <w:p w:rsidR="003D5CFF" w:rsidRPr="00AB306E" w:rsidRDefault="003D5CFF" w:rsidP="00647590">
      <w:pPr>
        <w:rPr>
          <w:rFonts w:ascii="Arial" w:hAnsi="Arial" w:cs="Arial"/>
        </w:rPr>
      </w:pPr>
    </w:p>
    <w:p w:rsidR="004228CC" w:rsidRPr="00AB306E" w:rsidRDefault="00647590" w:rsidP="00647590">
      <w:pPr>
        <w:pStyle w:val="Heading2"/>
        <w:numPr>
          <w:ilvl w:val="0"/>
          <w:numId w:val="4"/>
        </w:numPr>
        <w:rPr>
          <w:rFonts w:ascii="Arial" w:hAnsi="Arial" w:cs="Arial"/>
          <w:color w:val="auto"/>
        </w:rPr>
      </w:pPr>
      <w:r w:rsidRPr="00AB306E">
        <w:rPr>
          <w:rFonts w:ascii="Arial" w:hAnsi="Arial" w:cs="Arial"/>
          <w:color w:val="auto"/>
        </w:rPr>
        <w:t>Background</w:t>
      </w:r>
    </w:p>
    <w:p w:rsidR="00647590" w:rsidRPr="00AB306E" w:rsidRDefault="006A0CD9" w:rsidP="004228CC">
      <w:pPr>
        <w:pStyle w:val="Heading2"/>
        <w:numPr>
          <w:ilvl w:val="1"/>
          <w:numId w:val="4"/>
        </w:numPr>
        <w:rPr>
          <w:rFonts w:ascii="Arial" w:hAnsi="Arial" w:cs="Arial"/>
          <w:color w:val="auto"/>
        </w:rPr>
      </w:pPr>
      <w:r w:rsidRPr="00AB306E">
        <w:rPr>
          <w:rFonts w:ascii="Arial" w:hAnsi="Arial" w:cs="Arial"/>
          <w:color w:val="auto"/>
        </w:rPr>
        <w:t xml:space="preserve"> </w:t>
      </w:r>
      <w:r w:rsidR="004228CC" w:rsidRPr="00AB306E">
        <w:rPr>
          <w:rFonts w:ascii="Arial" w:hAnsi="Arial" w:cs="Arial"/>
          <w:color w:val="auto"/>
        </w:rPr>
        <w:t>T</w:t>
      </w:r>
      <w:r w:rsidRPr="00AB306E">
        <w:rPr>
          <w:rFonts w:ascii="Arial" w:hAnsi="Arial" w:cs="Arial"/>
          <w:color w:val="auto"/>
        </w:rPr>
        <w:t>he technical framework</w:t>
      </w:r>
    </w:p>
    <w:p w:rsidR="00647590" w:rsidRPr="00AB306E" w:rsidRDefault="00647590" w:rsidP="00AB306E">
      <w:pPr>
        <w:pStyle w:val="ACMABodyText"/>
        <w:rPr>
          <w:rFonts w:ascii="Arial" w:eastAsia="Batang" w:hAnsi="Arial" w:cs="Arial"/>
          <w:snapToGrid/>
          <w:sz w:val="22"/>
          <w:szCs w:val="22"/>
          <w:lang w:eastAsia="ko-KR"/>
        </w:rPr>
      </w:pPr>
      <w:r w:rsidRPr="00AB306E">
        <w:rPr>
          <w:rFonts w:ascii="Arial" w:eastAsia="Batang" w:hAnsi="Arial" w:cs="Arial"/>
          <w:snapToGrid/>
          <w:sz w:val="22"/>
          <w:szCs w:val="22"/>
          <w:lang w:eastAsia="ko-KR"/>
        </w:rPr>
        <w:t xml:space="preserve">The technical framework of </w:t>
      </w:r>
      <w:r w:rsidR="00BA520D" w:rsidRPr="00AB306E">
        <w:rPr>
          <w:rFonts w:ascii="Arial" w:eastAsia="Batang" w:hAnsi="Arial" w:cs="Arial"/>
          <w:snapToGrid/>
          <w:sz w:val="22"/>
          <w:szCs w:val="22"/>
          <w:lang w:eastAsia="ko-KR"/>
        </w:rPr>
        <w:t>a</w:t>
      </w:r>
      <w:r w:rsidRPr="00AB306E">
        <w:rPr>
          <w:rFonts w:ascii="Arial" w:eastAsia="Batang" w:hAnsi="Arial" w:cs="Arial"/>
          <w:snapToGrid/>
          <w:sz w:val="22"/>
          <w:szCs w:val="22"/>
          <w:lang w:eastAsia="ko-KR"/>
        </w:rPr>
        <w:t xml:space="preserve"> Spectrum Licence </w:t>
      </w:r>
      <w:r w:rsidR="008D1578" w:rsidRPr="00AB306E">
        <w:rPr>
          <w:rFonts w:ascii="Arial" w:eastAsia="Batang" w:hAnsi="Arial" w:cs="Arial"/>
          <w:snapToGrid/>
          <w:sz w:val="22"/>
          <w:szCs w:val="22"/>
          <w:lang w:eastAsia="ko-KR"/>
        </w:rPr>
        <w:t>consists of the following 3</w:t>
      </w:r>
      <w:r w:rsidR="009B55EE">
        <w:rPr>
          <w:rFonts w:ascii="Arial" w:eastAsia="Batang" w:hAnsi="Arial" w:cs="Arial"/>
          <w:snapToGrid/>
          <w:sz w:val="22"/>
          <w:szCs w:val="22"/>
          <w:lang w:eastAsia="ko-KR"/>
        </w:rPr>
        <w:t> </w:t>
      </w:r>
      <w:r w:rsidR="008D1578" w:rsidRPr="00AB306E">
        <w:rPr>
          <w:rFonts w:ascii="Arial" w:eastAsia="Batang" w:hAnsi="Arial" w:cs="Arial"/>
          <w:snapToGrid/>
          <w:sz w:val="22"/>
          <w:szCs w:val="22"/>
          <w:lang w:eastAsia="ko-KR"/>
        </w:rPr>
        <w:t>interlocking components</w:t>
      </w:r>
      <w:r w:rsidRPr="00AB306E">
        <w:rPr>
          <w:rFonts w:ascii="Arial" w:eastAsia="Batang" w:hAnsi="Arial" w:cs="Arial"/>
          <w:snapToGrid/>
          <w:sz w:val="22"/>
          <w:szCs w:val="22"/>
          <w:lang w:eastAsia="ko-KR"/>
        </w:rPr>
        <w:t>:</w:t>
      </w:r>
    </w:p>
    <w:p w:rsidR="00647590" w:rsidRPr="00AB306E" w:rsidRDefault="00F06134" w:rsidP="00AB306E">
      <w:pPr>
        <w:pStyle w:val="ListParagraph"/>
        <w:numPr>
          <w:ilvl w:val="0"/>
          <w:numId w:val="7"/>
        </w:numPr>
        <w:ind w:left="426"/>
        <w:rPr>
          <w:rFonts w:ascii="Arial" w:hAnsi="Arial" w:cs="Arial"/>
        </w:rPr>
      </w:pPr>
      <w:r w:rsidRPr="00AB306E">
        <w:rPr>
          <w:rFonts w:ascii="Arial" w:hAnsi="Arial" w:cs="Arial"/>
        </w:rPr>
        <w:t>The Marketing or Conversion Plan including the Draft Licence;</w:t>
      </w:r>
    </w:p>
    <w:p w:rsidR="00647590" w:rsidRPr="00AB306E" w:rsidRDefault="00F06134" w:rsidP="00AB306E">
      <w:pPr>
        <w:pStyle w:val="ListParagraph"/>
        <w:numPr>
          <w:ilvl w:val="0"/>
          <w:numId w:val="7"/>
        </w:numPr>
        <w:ind w:left="426"/>
        <w:rPr>
          <w:rFonts w:ascii="Arial" w:hAnsi="Arial" w:cs="Arial"/>
        </w:rPr>
      </w:pPr>
      <w:r w:rsidRPr="00AB306E">
        <w:rPr>
          <w:rFonts w:ascii="Arial" w:hAnsi="Arial" w:cs="Arial"/>
        </w:rPr>
        <w:t>The Section 145 Determination of Unacceptable Interference; and</w:t>
      </w:r>
    </w:p>
    <w:p w:rsidR="00647590" w:rsidRPr="00AB306E" w:rsidRDefault="00F06134" w:rsidP="00AB306E">
      <w:pPr>
        <w:pStyle w:val="ListParagraph"/>
        <w:numPr>
          <w:ilvl w:val="0"/>
          <w:numId w:val="7"/>
        </w:numPr>
        <w:ind w:left="426"/>
        <w:rPr>
          <w:rFonts w:ascii="Arial" w:hAnsi="Arial" w:cs="Arial"/>
        </w:rPr>
      </w:pPr>
      <w:r w:rsidRPr="00AB306E">
        <w:rPr>
          <w:rFonts w:ascii="Arial" w:hAnsi="Arial" w:cs="Arial"/>
        </w:rPr>
        <w:t>The Section 262 Advisory Guidelines.</w:t>
      </w:r>
    </w:p>
    <w:p w:rsidR="00647590" w:rsidRPr="00AB306E" w:rsidRDefault="00647590" w:rsidP="00AB306E">
      <w:pPr>
        <w:rPr>
          <w:rFonts w:ascii="Arial" w:hAnsi="Arial" w:cs="Arial"/>
          <w:sz w:val="22"/>
          <w:szCs w:val="22"/>
        </w:rPr>
      </w:pPr>
      <w:r w:rsidRPr="00AB306E">
        <w:rPr>
          <w:rFonts w:ascii="Arial" w:hAnsi="Arial" w:cs="Arial"/>
          <w:sz w:val="22"/>
          <w:szCs w:val="22"/>
        </w:rPr>
        <w:t>The technical framework defines the spectrum licence asset and its relationship to other spectrum users.</w:t>
      </w:r>
      <w:r w:rsidR="00285262" w:rsidRPr="00AB306E">
        <w:rPr>
          <w:rFonts w:ascii="Arial" w:hAnsi="Arial" w:cs="Arial"/>
          <w:sz w:val="22"/>
          <w:szCs w:val="22"/>
        </w:rPr>
        <w:t xml:space="preserve"> </w:t>
      </w:r>
      <w:r w:rsidRPr="00AB306E">
        <w:rPr>
          <w:rFonts w:ascii="Arial" w:hAnsi="Arial" w:cs="Arial"/>
          <w:sz w:val="22"/>
          <w:szCs w:val="22"/>
        </w:rPr>
        <w:t>In doing so the framework provides arrangements to manage interference and provide legal c</w:t>
      </w:r>
      <w:r w:rsidR="00C35AE9">
        <w:rPr>
          <w:rFonts w:ascii="Arial" w:hAnsi="Arial" w:cs="Arial"/>
          <w:sz w:val="22"/>
          <w:szCs w:val="22"/>
        </w:rPr>
        <w:t>ertainty about licensee rights.</w:t>
      </w:r>
    </w:p>
    <w:p w:rsidR="00647590" w:rsidRPr="00AB306E" w:rsidRDefault="00647590" w:rsidP="00AB306E">
      <w:pPr>
        <w:pStyle w:val="ACMABodyText"/>
        <w:rPr>
          <w:rFonts w:ascii="Arial" w:eastAsia="Batang" w:hAnsi="Arial" w:cs="Arial"/>
          <w:snapToGrid/>
          <w:sz w:val="22"/>
          <w:szCs w:val="22"/>
          <w:lang w:eastAsia="ko-KR"/>
        </w:rPr>
      </w:pPr>
      <w:r w:rsidRPr="00AB306E">
        <w:rPr>
          <w:rFonts w:ascii="Arial" w:eastAsia="Batang" w:hAnsi="Arial" w:cs="Arial"/>
          <w:snapToGrid/>
          <w:sz w:val="22"/>
          <w:szCs w:val="22"/>
          <w:lang w:eastAsia="ko-KR"/>
        </w:rPr>
        <w:t>The objectives of technical frameworks are to:</w:t>
      </w:r>
    </w:p>
    <w:p w:rsidR="00647590" w:rsidRPr="00AB306E" w:rsidRDefault="00F06134" w:rsidP="00AB306E">
      <w:pPr>
        <w:pStyle w:val="ListParagraph"/>
        <w:numPr>
          <w:ilvl w:val="0"/>
          <w:numId w:val="8"/>
        </w:numPr>
        <w:ind w:left="426"/>
        <w:rPr>
          <w:rFonts w:ascii="Arial" w:hAnsi="Arial" w:cs="Arial"/>
        </w:rPr>
      </w:pPr>
      <w:r w:rsidRPr="00AB306E">
        <w:rPr>
          <w:rFonts w:ascii="Arial" w:hAnsi="Arial" w:cs="Arial"/>
        </w:rPr>
        <w:t>minimise the negotiation necessary between licensees;</w:t>
      </w:r>
    </w:p>
    <w:p w:rsidR="00647590" w:rsidRPr="00AB306E" w:rsidRDefault="00F06134" w:rsidP="00AB306E">
      <w:pPr>
        <w:pStyle w:val="ListParagraph"/>
        <w:numPr>
          <w:ilvl w:val="0"/>
          <w:numId w:val="8"/>
        </w:numPr>
        <w:ind w:left="426"/>
        <w:rPr>
          <w:rFonts w:ascii="Arial" w:hAnsi="Arial" w:cs="Arial"/>
        </w:rPr>
      </w:pPr>
      <w:r w:rsidRPr="00AB306E">
        <w:rPr>
          <w:rFonts w:ascii="Arial" w:hAnsi="Arial" w:cs="Arial"/>
        </w:rPr>
        <w:t>maximise flexibility for the deployment of services;</w:t>
      </w:r>
    </w:p>
    <w:p w:rsidR="00647590" w:rsidRPr="00AB306E" w:rsidRDefault="00F06134" w:rsidP="00AB306E">
      <w:pPr>
        <w:pStyle w:val="ListParagraph"/>
        <w:numPr>
          <w:ilvl w:val="0"/>
          <w:numId w:val="8"/>
        </w:numPr>
        <w:ind w:left="426"/>
        <w:rPr>
          <w:rFonts w:ascii="Arial" w:hAnsi="Arial" w:cs="Arial"/>
        </w:rPr>
      </w:pPr>
      <w:r w:rsidRPr="00AB306E">
        <w:rPr>
          <w:rFonts w:ascii="Arial" w:hAnsi="Arial" w:cs="Arial"/>
        </w:rPr>
        <w:t>maximise the efficiency with which the spectrum is used; and to</w:t>
      </w:r>
    </w:p>
    <w:p w:rsidR="00AB306E" w:rsidRPr="00AB306E" w:rsidRDefault="00647590" w:rsidP="00AB306E">
      <w:pPr>
        <w:rPr>
          <w:rFonts w:ascii="Arial" w:hAnsi="Arial" w:cs="Arial"/>
          <w:sz w:val="22"/>
          <w:szCs w:val="22"/>
        </w:rPr>
      </w:pPr>
      <w:r w:rsidRPr="00AB306E">
        <w:rPr>
          <w:rFonts w:ascii="Arial" w:hAnsi="Arial" w:cs="Arial"/>
          <w:sz w:val="22"/>
          <w:szCs w:val="22"/>
        </w:rPr>
        <w:t xml:space="preserve">The technical framework of the spectrum licence is developed by the ACMA to fulfil its requirements under the </w:t>
      </w:r>
      <w:r w:rsidRPr="00AB306E">
        <w:rPr>
          <w:rFonts w:ascii="Arial" w:hAnsi="Arial" w:cs="Arial"/>
          <w:i/>
          <w:sz w:val="22"/>
          <w:szCs w:val="22"/>
        </w:rPr>
        <w:t>Radiocommunications Act 1992</w:t>
      </w:r>
      <w:r w:rsidR="00BF4B2D" w:rsidRPr="00AB306E">
        <w:rPr>
          <w:rFonts w:ascii="Arial" w:hAnsi="Arial" w:cs="Arial"/>
          <w:i/>
          <w:sz w:val="22"/>
          <w:szCs w:val="22"/>
        </w:rPr>
        <w:t xml:space="preserve"> (</w:t>
      </w:r>
      <w:r w:rsidRPr="00AB306E">
        <w:rPr>
          <w:rFonts w:ascii="Arial" w:hAnsi="Arial" w:cs="Arial"/>
          <w:i/>
          <w:sz w:val="22"/>
          <w:szCs w:val="22"/>
        </w:rPr>
        <w:t>the Act</w:t>
      </w:r>
      <w:r w:rsidR="00BF4B2D" w:rsidRPr="00AB306E">
        <w:rPr>
          <w:rFonts w:ascii="Arial" w:hAnsi="Arial" w:cs="Arial"/>
          <w:i/>
          <w:sz w:val="22"/>
          <w:szCs w:val="22"/>
        </w:rPr>
        <w:t>)</w:t>
      </w:r>
      <w:r w:rsidRPr="00AB306E">
        <w:rPr>
          <w:rFonts w:ascii="Arial" w:hAnsi="Arial" w:cs="Arial"/>
          <w:sz w:val="22"/>
          <w:szCs w:val="22"/>
        </w:rPr>
        <w:t>.</w:t>
      </w:r>
      <w:r w:rsidR="00285262" w:rsidRPr="00AB306E">
        <w:rPr>
          <w:rFonts w:ascii="Arial" w:hAnsi="Arial" w:cs="Arial"/>
          <w:sz w:val="22"/>
          <w:szCs w:val="22"/>
        </w:rPr>
        <w:t xml:space="preserve"> </w:t>
      </w:r>
      <w:r w:rsidRPr="00AB306E">
        <w:rPr>
          <w:rFonts w:ascii="Arial" w:hAnsi="Arial" w:cs="Arial"/>
          <w:sz w:val="22"/>
          <w:szCs w:val="22"/>
        </w:rPr>
        <w:t>The framework is developed by ACMA in consultation with industry through the Technical Liaison Group (TLG).</w:t>
      </w:r>
    </w:p>
    <w:p w:rsidR="006A0CD9" w:rsidRPr="00AB306E" w:rsidRDefault="004228CC" w:rsidP="00AB306E">
      <w:pPr>
        <w:pStyle w:val="Heading2"/>
        <w:numPr>
          <w:ilvl w:val="1"/>
          <w:numId w:val="4"/>
        </w:numPr>
        <w:rPr>
          <w:rFonts w:ascii="Arial" w:hAnsi="Arial" w:cs="Arial"/>
          <w:color w:val="auto"/>
        </w:rPr>
      </w:pPr>
      <w:r w:rsidRPr="00AB306E">
        <w:rPr>
          <w:rFonts w:ascii="Arial" w:hAnsi="Arial" w:cs="Arial"/>
          <w:color w:val="auto"/>
        </w:rPr>
        <w:t>T</w:t>
      </w:r>
      <w:r w:rsidR="006A0CD9" w:rsidRPr="00AB306E">
        <w:rPr>
          <w:rFonts w:ascii="Arial" w:hAnsi="Arial" w:cs="Arial"/>
          <w:color w:val="auto"/>
        </w:rPr>
        <w:t>he digital dividend</w:t>
      </w:r>
    </w:p>
    <w:p w:rsidR="00990E23" w:rsidRPr="00AB306E" w:rsidRDefault="00647590" w:rsidP="00AB306E">
      <w:pPr>
        <w:keepLines/>
        <w:rPr>
          <w:rFonts w:ascii="Arial" w:hAnsi="Arial" w:cs="Arial"/>
          <w:sz w:val="22"/>
          <w:szCs w:val="22"/>
        </w:rPr>
      </w:pPr>
      <w:r w:rsidRPr="00AB306E">
        <w:rPr>
          <w:rFonts w:ascii="Arial" w:hAnsi="Arial" w:cs="Arial"/>
          <w:sz w:val="22"/>
          <w:szCs w:val="22"/>
        </w:rPr>
        <w:t xml:space="preserve">The </w:t>
      </w:r>
      <w:r w:rsidR="00990E23" w:rsidRPr="00AB306E">
        <w:rPr>
          <w:rFonts w:ascii="Arial" w:hAnsi="Arial" w:cs="Arial"/>
          <w:sz w:val="22"/>
          <w:szCs w:val="22"/>
        </w:rPr>
        <w:t xml:space="preserve">transition </w:t>
      </w:r>
      <w:r w:rsidR="005A659D" w:rsidRPr="00AB306E">
        <w:rPr>
          <w:rFonts w:ascii="Arial" w:hAnsi="Arial" w:cs="Arial"/>
          <w:sz w:val="22"/>
          <w:szCs w:val="22"/>
        </w:rPr>
        <w:t>from</w:t>
      </w:r>
      <w:r w:rsidR="00990E23" w:rsidRPr="00AB306E">
        <w:rPr>
          <w:rFonts w:ascii="Arial" w:hAnsi="Arial" w:cs="Arial"/>
          <w:sz w:val="22"/>
          <w:szCs w:val="22"/>
        </w:rPr>
        <w:t xml:space="preserve"> analogue to digital television </w:t>
      </w:r>
      <w:r w:rsidR="00BF4B2D" w:rsidRPr="00AB306E">
        <w:rPr>
          <w:rFonts w:ascii="Arial" w:hAnsi="Arial" w:cs="Arial"/>
          <w:sz w:val="22"/>
          <w:szCs w:val="22"/>
        </w:rPr>
        <w:t>will make</w:t>
      </w:r>
      <w:r w:rsidR="00990E23" w:rsidRPr="00AB306E">
        <w:rPr>
          <w:rFonts w:ascii="Arial" w:hAnsi="Arial" w:cs="Arial"/>
          <w:sz w:val="22"/>
          <w:szCs w:val="22"/>
        </w:rPr>
        <w:t xml:space="preserve"> available spectrum in the UHF </w:t>
      </w:r>
      <w:r w:rsidR="00B1609F" w:rsidRPr="00AB306E">
        <w:rPr>
          <w:rFonts w:ascii="Arial" w:hAnsi="Arial" w:cs="Arial"/>
          <w:sz w:val="22"/>
          <w:szCs w:val="22"/>
        </w:rPr>
        <w:t>b</w:t>
      </w:r>
      <w:r w:rsidR="00990E23" w:rsidRPr="00AB306E">
        <w:rPr>
          <w:rFonts w:ascii="Arial" w:hAnsi="Arial" w:cs="Arial"/>
          <w:sz w:val="22"/>
          <w:szCs w:val="22"/>
        </w:rPr>
        <w:t>and for new services</w:t>
      </w:r>
      <w:r w:rsidR="006318B8" w:rsidRPr="00AB306E">
        <w:rPr>
          <w:rFonts w:ascii="Arial" w:hAnsi="Arial" w:cs="Arial"/>
          <w:sz w:val="22"/>
          <w:szCs w:val="22"/>
        </w:rPr>
        <w:t>. This block of spectrum is often known as</w:t>
      </w:r>
      <w:r w:rsidR="00990E23" w:rsidRPr="00AB306E">
        <w:rPr>
          <w:rFonts w:ascii="Arial" w:hAnsi="Arial" w:cs="Arial"/>
          <w:sz w:val="22"/>
          <w:szCs w:val="22"/>
        </w:rPr>
        <w:t xml:space="preserve"> </w:t>
      </w:r>
      <w:r w:rsidR="006318B8" w:rsidRPr="00AB306E">
        <w:rPr>
          <w:rFonts w:ascii="Arial" w:hAnsi="Arial" w:cs="Arial"/>
          <w:sz w:val="22"/>
          <w:szCs w:val="22"/>
        </w:rPr>
        <w:t xml:space="preserve">the </w:t>
      </w:r>
      <w:r w:rsidR="00B1609F" w:rsidRPr="00AB306E">
        <w:rPr>
          <w:rFonts w:ascii="Arial" w:hAnsi="Arial" w:cs="Arial"/>
          <w:i/>
          <w:sz w:val="22"/>
          <w:szCs w:val="22"/>
        </w:rPr>
        <w:t>d</w:t>
      </w:r>
      <w:r w:rsidR="00990E23" w:rsidRPr="00AB306E">
        <w:rPr>
          <w:rFonts w:ascii="Arial" w:hAnsi="Arial" w:cs="Arial"/>
          <w:i/>
          <w:sz w:val="22"/>
          <w:szCs w:val="22"/>
        </w:rPr>
        <w:t xml:space="preserve">igital </w:t>
      </w:r>
      <w:r w:rsidR="00B1609F" w:rsidRPr="00AB306E">
        <w:rPr>
          <w:rFonts w:ascii="Arial" w:hAnsi="Arial" w:cs="Arial"/>
          <w:i/>
          <w:sz w:val="22"/>
          <w:szCs w:val="22"/>
        </w:rPr>
        <w:t>d</w:t>
      </w:r>
      <w:r w:rsidR="00990E23" w:rsidRPr="00AB306E">
        <w:rPr>
          <w:rFonts w:ascii="Arial" w:hAnsi="Arial" w:cs="Arial"/>
          <w:i/>
          <w:sz w:val="22"/>
          <w:szCs w:val="22"/>
        </w:rPr>
        <w:t>ividend</w:t>
      </w:r>
      <w:r w:rsidR="00990E23" w:rsidRPr="00AB306E">
        <w:rPr>
          <w:rFonts w:ascii="Arial" w:hAnsi="Arial" w:cs="Arial"/>
          <w:sz w:val="22"/>
          <w:szCs w:val="22"/>
        </w:rPr>
        <w:t>.</w:t>
      </w:r>
      <w:r w:rsidR="00285262" w:rsidRPr="00AB306E">
        <w:rPr>
          <w:rFonts w:ascii="Arial" w:hAnsi="Arial" w:cs="Arial"/>
          <w:sz w:val="22"/>
          <w:szCs w:val="22"/>
        </w:rPr>
        <w:t xml:space="preserve"> </w:t>
      </w:r>
      <w:r w:rsidR="00346B9B" w:rsidRPr="00AB306E">
        <w:rPr>
          <w:rFonts w:ascii="Arial" w:hAnsi="Arial" w:cs="Arial"/>
          <w:sz w:val="22"/>
          <w:szCs w:val="22"/>
        </w:rPr>
        <w:t>O</w:t>
      </w:r>
      <w:r w:rsidR="00F41849" w:rsidRPr="00AB306E">
        <w:rPr>
          <w:rFonts w:ascii="Arial" w:hAnsi="Arial" w:cs="Arial"/>
          <w:sz w:val="22"/>
          <w:szCs w:val="22"/>
        </w:rPr>
        <w:t xml:space="preserve">n </w:t>
      </w:r>
      <w:r w:rsidR="000674AE" w:rsidRPr="00AB306E">
        <w:rPr>
          <w:rFonts w:ascii="Arial" w:hAnsi="Arial" w:cs="Arial"/>
          <w:sz w:val="22"/>
          <w:szCs w:val="22"/>
        </w:rPr>
        <w:t>24</w:t>
      </w:r>
      <w:r w:rsidR="00AB306E">
        <w:rPr>
          <w:rFonts w:ascii="Arial" w:hAnsi="Arial" w:cs="Arial"/>
          <w:sz w:val="22"/>
          <w:szCs w:val="22"/>
        </w:rPr>
        <w:t> </w:t>
      </w:r>
      <w:r w:rsidR="000674AE" w:rsidRPr="00AB306E">
        <w:rPr>
          <w:rFonts w:ascii="Arial" w:hAnsi="Arial" w:cs="Arial"/>
          <w:sz w:val="22"/>
          <w:szCs w:val="22"/>
        </w:rPr>
        <w:t>June</w:t>
      </w:r>
      <w:r w:rsidR="00F41849" w:rsidRPr="00AB306E">
        <w:rPr>
          <w:rFonts w:ascii="Arial" w:hAnsi="Arial" w:cs="Arial"/>
          <w:sz w:val="22"/>
          <w:szCs w:val="22"/>
        </w:rPr>
        <w:t xml:space="preserve"> 2010</w:t>
      </w:r>
      <w:r w:rsidR="00346B9B" w:rsidRPr="00AB306E">
        <w:rPr>
          <w:rFonts w:ascii="Arial" w:hAnsi="Arial" w:cs="Arial"/>
          <w:sz w:val="22"/>
          <w:szCs w:val="22"/>
        </w:rPr>
        <w:t>,</w:t>
      </w:r>
      <w:r w:rsidR="00F41849" w:rsidRPr="00AB306E">
        <w:rPr>
          <w:rFonts w:ascii="Arial" w:hAnsi="Arial" w:cs="Arial"/>
          <w:sz w:val="22"/>
          <w:szCs w:val="22"/>
        </w:rPr>
        <w:t xml:space="preserve"> </w:t>
      </w:r>
      <w:r w:rsidR="00990E23" w:rsidRPr="00AB306E">
        <w:rPr>
          <w:rFonts w:ascii="Arial" w:hAnsi="Arial" w:cs="Arial"/>
          <w:sz w:val="22"/>
          <w:szCs w:val="22"/>
        </w:rPr>
        <w:t xml:space="preserve">after </w:t>
      </w:r>
      <w:r w:rsidR="00412E07" w:rsidRPr="00AB306E">
        <w:rPr>
          <w:rFonts w:ascii="Arial" w:hAnsi="Arial" w:cs="Arial"/>
          <w:sz w:val="22"/>
          <w:szCs w:val="22"/>
        </w:rPr>
        <w:t>examining responses to a discussion paper</w:t>
      </w:r>
      <w:r w:rsidR="006A0CD9" w:rsidRPr="00AB306E">
        <w:rPr>
          <w:rStyle w:val="FootnoteReference"/>
          <w:rFonts w:ascii="Arial" w:hAnsi="Arial" w:cs="Arial"/>
          <w:sz w:val="22"/>
          <w:szCs w:val="22"/>
        </w:rPr>
        <w:footnoteReference w:id="1"/>
      </w:r>
      <w:r w:rsidR="00412E07" w:rsidRPr="00AB306E">
        <w:rPr>
          <w:rFonts w:ascii="Arial" w:hAnsi="Arial" w:cs="Arial"/>
          <w:sz w:val="22"/>
          <w:szCs w:val="22"/>
        </w:rPr>
        <w:t xml:space="preserve"> on possible uses of this spectrum</w:t>
      </w:r>
      <w:r w:rsidR="00B1609F" w:rsidRPr="00AB306E">
        <w:rPr>
          <w:rFonts w:ascii="Arial" w:hAnsi="Arial" w:cs="Arial"/>
          <w:sz w:val="22"/>
          <w:szCs w:val="22"/>
        </w:rPr>
        <w:t>,</w:t>
      </w:r>
      <w:r w:rsidR="00412E07" w:rsidRPr="00AB306E">
        <w:rPr>
          <w:rFonts w:ascii="Arial" w:hAnsi="Arial" w:cs="Arial"/>
          <w:sz w:val="22"/>
          <w:szCs w:val="22"/>
        </w:rPr>
        <w:t xml:space="preserve"> </w:t>
      </w:r>
      <w:r w:rsidR="00346B9B" w:rsidRPr="00AB306E">
        <w:rPr>
          <w:rFonts w:ascii="Arial" w:hAnsi="Arial" w:cs="Arial"/>
          <w:sz w:val="22"/>
          <w:szCs w:val="22"/>
        </w:rPr>
        <w:t xml:space="preserve">The Minister for Broadband Communications and the Digital Economy </w:t>
      </w:r>
      <w:r w:rsidR="00412E07" w:rsidRPr="00AB306E">
        <w:rPr>
          <w:rFonts w:ascii="Arial" w:hAnsi="Arial" w:cs="Arial"/>
          <w:sz w:val="22"/>
          <w:szCs w:val="22"/>
        </w:rPr>
        <w:t>identified 126</w:t>
      </w:r>
      <w:r w:rsidR="00B5667F">
        <w:rPr>
          <w:rFonts w:ascii="Arial" w:hAnsi="Arial" w:cs="Arial"/>
          <w:sz w:val="22"/>
          <w:szCs w:val="22"/>
        </w:rPr>
        <w:t> </w:t>
      </w:r>
      <w:r w:rsidR="00412E07" w:rsidRPr="00AB306E">
        <w:rPr>
          <w:rFonts w:ascii="Arial" w:hAnsi="Arial" w:cs="Arial"/>
          <w:sz w:val="22"/>
          <w:szCs w:val="22"/>
        </w:rPr>
        <w:t>MHz</w:t>
      </w:r>
      <w:r w:rsidR="00346B9B" w:rsidRPr="00AB306E">
        <w:rPr>
          <w:rFonts w:ascii="Arial" w:hAnsi="Arial" w:cs="Arial"/>
          <w:sz w:val="22"/>
          <w:szCs w:val="22"/>
        </w:rPr>
        <w:t xml:space="preserve"> –</w:t>
      </w:r>
      <w:r w:rsidR="00412E07" w:rsidRPr="00AB306E">
        <w:rPr>
          <w:rFonts w:ascii="Arial" w:hAnsi="Arial" w:cs="Arial"/>
          <w:sz w:val="22"/>
          <w:szCs w:val="22"/>
        </w:rPr>
        <w:t xml:space="preserve"> </w:t>
      </w:r>
      <w:r w:rsidR="00275BDA" w:rsidRPr="00AB306E">
        <w:rPr>
          <w:rFonts w:ascii="Arial" w:hAnsi="Arial" w:cs="Arial"/>
          <w:sz w:val="22"/>
          <w:szCs w:val="22"/>
        </w:rPr>
        <w:t>from</w:t>
      </w:r>
      <w:r w:rsidR="00346B9B" w:rsidRPr="00AB306E">
        <w:rPr>
          <w:rFonts w:ascii="Arial" w:hAnsi="Arial" w:cs="Arial"/>
          <w:sz w:val="22"/>
          <w:szCs w:val="22"/>
        </w:rPr>
        <w:t xml:space="preserve"> </w:t>
      </w:r>
      <w:r w:rsidR="00F41849" w:rsidRPr="00AB306E">
        <w:rPr>
          <w:rFonts w:ascii="Arial" w:hAnsi="Arial" w:cs="Arial"/>
          <w:sz w:val="22"/>
          <w:szCs w:val="22"/>
        </w:rPr>
        <w:t>694</w:t>
      </w:r>
      <w:r w:rsidR="00B5667F">
        <w:rPr>
          <w:rFonts w:ascii="Arial" w:hAnsi="Arial" w:cs="Arial"/>
          <w:sz w:val="22"/>
          <w:szCs w:val="22"/>
        </w:rPr>
        <w:t xml:space="preserve"> </w:t>
      </w:r>
      <w:r w:rsidR="00E33BDB" w:rsidRPr="00AB306E">
        <w:rPr>
          <w:rFonts w:ascii="Arial" w:hAnsi="Arial" w:cs="Arial"/>
          <w:sz w:val="22"/>
          <w:szCs w:val="22"/>
        </w:rPr>
        <w:t>MHz</w:t>
      </w:r>
      <w:r w:rsidR="00B1609F" w:rsidRPr="00AB306E">
        <w:rPr>
          <w:rFonts w:ascii="Arial" w:hAnsi="Arial" w:cs="Arial"/>
          <w:sz w:val="22"/>
          <w:szCs w:val="22"/>
        </w:rPr>
        <w:t xml:space="preserve"> </w:t>
      </w:r>
      <w:r w:rsidR="00275BDA" w:rsidRPr="00AB306E">
        <w:rPr>
          <w:rFonts w:ascii="Arial" w:hAnsi="Arial" w:cs="Arial"/>
          <w:sz w:val="22"/>
          <w:szCs w:val="22"/>
        </w:rPr>
        <w:t>to</w:t>
      </w:r>
      <w:r w:rsidR="00412E07" w:rsidRPr="00AB306E">
        <w:rPr>
          <w:rFonts w:ascii="Arial" w:hAnsi="Arial" w:cs="Arial"/>
          <w:sz w:val="22"/>
          <w:szCs w:val="22"/>
        </w:rPr>
        <w:t xml:space="preserve"> </w:t>
      </w:r>
      <w:r w:rsidR="00F41849" w:rsidRPr="00AB306E">
        <w:rPr>
          <w:rFonts w:ascii="Arial" w:hAnsi="Arial" w:cs="Arial"/>
          <w:sz w:val="22"/>
          <w:szCs w:val="22"/>
        </w:rPr>
        <w:t>820</w:t>
      </w:r>
      <w:r w:rsidR="00B5667F">
        <w:rPr>
          <w:rFonts w:ascii="Arial" w:hAnsi="Arial" w:cs="Arial"/>
          <w:sz w:val="22"/>
          <w:szCs w:val="22"/>
        </w:rPr>
        <w:t xml:space="preserve"> </w:t>
      </w:r>
      <w:r w:rsidR="00E33BDB" w:rsidRPr="00AB306E">
        <w:rPr>
          <w:rFonts w:ascii="Arial" w:hAnsi="Arial" w:cs="Arial"/>
          <w:sz w:val="22"/>
          <w:szCs w:val="22"/>
        </w:rPr>
        <w:t>MHz</w:t>
      </w:r>
      <w:r w:rsidR="00346B9B" w:rsidRPr="00AB306E">
        <w:rPr>
          <w:rFonts w:ascii="Arial" w:hAnsi="Arial" w:cs="Arial"/>
          <w:sz w:val="22"/>
          <w:szCs w:val="22"/>
        </w:rPr>
        <w:t xml:space="preserve"> –</w:t>
      </w:r>
      <w:r w:rsidR="00412E07" w:rsidRPr="00AB306E">
        <w:rPr>
          <w:rFonts w:ascii="Arial" w:hAnsi="Arial" w:cs="Arial"/>
          <w:sz w:val="22"/>
          <w:szCs w:val="22"/>
        </w:rPr>
        <w:t xml:space="preserve"> to be reallocated </w:t>
      </w:r>
      <w:r w:rsidR="006A0CD9" w:rsidRPr="00AB306E">
        <w:rPr>
          <w:rFonts w:ascii="Arial" w:hAnsi="Arial" w:cs="Arial"/>
          <w:sz w:val="22"/>
          <w:szCs w:val="22"/>
        </w:rPr>
        <w:t>from broadcasting services to</w:t>
      </w:r>
      <w:r w:rsidR="00412E07" w:rsidRPr="00AB306E">
        <w:rPr>
          <w:rFonts w:ascii="Arial" w:hAnsi="Arial" w:cs="Arial"/>
          <w:sz w:val="22"/>
          <w:szCs w:val="22"/>
        </w:rPr>
        <w:t xml:space="preserve"> </w:t>
      </w:r>
      <w:r w:rsidR="00B1609F" w:rsidRPr="00AB306E">
        <w:rPr>
          <w:rFonts w:ascii="Arial" w:hAnsi="Arial" w:cs="Arial"/>
          <w:sz w:val="22"/>
          <w:szCs w:val="22"/>
        </w:rPr>
        <w:t xml:space="preserve">support </w:t>
      </w:r>
      <w:r w:rsidR="006A0CD9" w:rsidRPr="00AB306E">
        <w:rPr>
          <w:rFonts w:ascii="Arial" w:hAnsi="Arial" w:cs="Arial"/>
          <w:sz w:val="22"/>
          <w:szCs w:val="22"/>
        </w:rPr>
        <w:t>new services.</w:t>
      </w:r>
      <w:r w:rsidR="00285262" w:rsidRPr="00AB306E">
        <w:rPr>
          <w:rFonts w:ascii="Arial" w:hAnsi="Arial" w:cs="Arial"/>
          <w:sz w:val="22"/>
          <w:szCs w:val="22"/>
        </w:rPr>
        <w:t xml:space="preserve"> </w:t>
      </w:r>
      <w:r w:rsidR="006A0CD9" w:rsidRPr="00AB306E">
        <w:rPr>
          <w:rFonts w:ascii="Arial" w:hAnsi="Arial" w:cs="Arial"/>
          <w:sz w:val="22"/>
          <w:szCs w:val="22"/>
        </w:rPr>
        <w:t xml:space="preserve">The ACMA has identified </w:t>
      </w:r>
      <w:r w:rsidR="001C0D06" w:rsidRPr="00AB306E">
        <w:rPr>
          <w:rFonts w:ascii="Arial" w:hAnsi="Arial" w:cs="Arial"/>
          <w:sz w:val="22"/>
          <w:szCs w:val="22"/>
        </w:rPr>
        <w:t>the opportunity</w:t>
      </w:r>
      <w:r w:rsidR="009A7448" w:rsidRPr="00AB306E">
        <w:rPr>
          <w:rFonts w:ascii="Arial" w:hAnsi="Arial" w:cs="Arial"/>
          <w:sz w:val="22"/>
          <w:szCs w:val="22"/>
        </w:rPr>
        <w:t xml:space="preserve"> to provide support for the </w:t>
      </w:r>
      <w:r w:rsidR="001C0D06" w:rsidRPr="00AB306E">
        <w:rPr>
          <w:rFonts w:ascii="Arial" w:hAnsi="Arial" w:cs="Arial"/>
          <w:sz w:val="22"/>
          <w:szCs w:val="22"/>
        </w:rPr>
        <w:t>introduction</w:t>
      </w:r>
      <w:r w:rsidR="009A7448" w:rsidRPr="00AB306E">
        <w:rPr>
          <w:rFonts w:ascii="Arial" w:hAnsi="Arial" w:cs="Arial"/>
          <w:sz w:val="22"/>
          <w:szCs w:val="22"/>
        </w:rPr>
        <w:t xml:space="preserve"> of </w:t>
      </w:r>
      <w:r w:rsidR="00B1609F" w:rsidRPr="00AB306E">
        <w:rPr>
          <w:rFonts w:ascii="Arial" w:hAnsi="Arial" w:cs="Arial"/>
          <w:sz w:val="22"/>
          <w:szCs w:val="22"/>
        </w:rPr>
        <w:t xml:space="preserve">next generation </w:t>
      </w:r>
      <w:r w:rsidR="00204243" w:rsidRPr="00AB306E">
        <w:rPr>
          <w:rFonts w:ascii="Arial" w:hAnsi="Arial" w:cs="Arial"/>
          <w:sz w:val="22"/>
          <w:szCs w:val="22"/>
        </w:rPr>
        <w:t>mobile telecommunication or Wireless Access Services</w:t>
      </w:r>
      <w:r w:rsidR="006A0CD9" w:rsidRPr="00AB306E">
        <w:rPr>
          <w:rFonts w:ascii="Arial" w:hAnsi="Arial" w:cs="Arial"/>
          <w:sz w:val="22"/>
          <w:szCs w:val="22"/>
        </w:rPr>
        <w:t xml:space="preserve"> (WAS)</w:t>
      </w:r>
      <w:r w:rsidR="009A7448" w:rsidRPr="00AB306E">
        <w:rPr>
          <w:rFonts w:ascii="Arial" w:hAnsi="Arial" w:cs="Arial"/>
          <w:sz w:val="22"/>
          <w:szCs w:val="22"/>
        </w:rPr>
        <w:t xml:space="preserve"> within this spectrum</w:t>
      </w:r>
      <w:r w:rsidR="00412E07" w:rsidRPr="00AB306E">
        <w:rPr>
          <w:rFonts w:ascii="Arial" w:hAnsi="Arial" w:cs="Arial"/>
          <w:sz w:val="22"/>
          <w:szCs w:val="22"/>
        </w:rPr>
        <w:t>.</w:t>
      </w:r>
    </w:p>
    <w:p w:rsidR="00990E23" w:rsidRPr="00AB306E" w:rsidRDefault="00990E23" w:rsidP="00AB306E">
      <w:pPr>
        <w:keepLines/>
        <w:rPr>
          <w:rFonts w:ascii="Arial" w:hAnsi="Arial" w:cs="Arial"/>
          <w:sz w:val="22"/>
          <w:szCs w:val="22"/>
        </w:rPr>
      </w:pPr>
    </w:p>
    <w:p w:rsidR="00D1039D" w:rsidRPr="00AB306E" w:rsidRDefault="009A7448" w:rsidP="00AB306E">
      <w:pPr>
        <w:keepLines/>
        <w:rPr>
          <w:rFonts w:ascii="Arial" w:hAnsi="Arial" w:cs="Arial"/>
          <w:sz w:val="22"/>
          <w:szCs w:val="22"/>
        </w:rPr>
      </w:pPr>
      <w:r w:rsidRPr="00AB306E">
        <w:rPr>
          <w:rFonts w:ascii="Arial" w:hAnsi="Arial" w:cs="Arial"/>
          <w:sz w:val="22"/>
          <w:szCs w:val="22"/>
        </w:rPr>
        <w:t>Around the world</w:t>
      </w:r>
      <w:r w:rsidR="00275BDA" w:rsidRPr="00AB306E">
        <w:rPr>
          <w:rFonts w:ascii="Arial" w:hAnsi="Arial" w:cs="Arial"/>
          <w:sz w:val="22"/>
          <w:szCs w:val="22"/>
        </w:rPr>
        <w:t>,</w:t>
      </w:r>
      <w:r w:rsidRPr="00AB306E">
        <w:rPr>
          <w:rFonts w:ascii="Arial" w:hAnsi="Arial" w:cs="Arial"/>
          <w:sz w:val="22"/>
          <w:szCs w:val="22"/>
        </w:rPr>
        <w:t xml:space="preserve"> s</w:t>
      </w:r>
      <w:r w:rsidR="00990E23" w:rsidRPr="00AB306E">
        <w:rPr>
          <w:rFonts w:ascii="Arial" w:hAnsi="Arial" w:cs="Arial"/>
          <w:sz w:val="22"/>
          <w:szCs w:val="22"/>
        </w:rPr>
        <w:t xml:space="preserve">imilar changes </w:t>
      </w:r>
      <w:r w:rsidRPr="00AB306E">
        <w:rPr>
          <w:rFonts w:ascii="Arial" w:hAnsi="Arial" w:cs="Arial"/>
          <w:sz w:val="22"/>
          <w:szCs w:val="22"/>
        </w:rPr>
        <w:t xml:space="preserve">in spectrum use </w:t>
      </w:r>
      <w:r w:rsidR="00990E23" w:rsidRPr="00AB306E">
        <w:rPr>
          <w:rFonts w:ascii="Arial" w:hAnsi="Arial" w:cs="Arial"/>
          <w:sz w:val="22"/>
          <w:szCs w:val="22"/>
        </w:rPr>
        <w:t xml:space="preserve">are occurring </w:t>
      </w:r>
      <w:r w:rsidRPr="00AB306E">
        <w:rPr>
          <w:rFonts w:ascii="Arial" w:hAnsi="Arial" w:cs="Arial"/>
          <w:sz w:val="22"/>
          <w:szCs w:val="22"/>
        </w:rPr>
        <w:t>as a result of the</w:t>
      </w:r>
      <w:r w:rsidR="00990E23" w:rsidRPr="00AB306E">
        <w:rPr>
          <w:rFonts w:ascii="Arial" w:hAnsi="Arial" w:cs="Arial"/>
          <w:sz w:val="22"/>
          <w:szCs w:val="22"/>
        </w:rPr>
        <w:t xml:space="preserve"> </w:t>
      </w:r>
      <w:r w:rsidRPr="00AB306E">
        <w:rPr>
          <w:rFonts w:ascii="Arial" w:hAnsi="Arial" w:cs="Arial"/>
          <w:sz w:val="22"/>
          <w:szCs w:val="22"/>
        </w:rPr>
        <w:t>adoption of</w:t>
      </w:r>
      <w:r w:rsidR="00990E23" w:rsidRPr="00AB306E">
        <w:rPr>
          <w:rFonts w:ascii="Arial" w:hAnsi="Arial" w:cs="Arial"/>
          <w:sz w:val="22"/>
          <w:szCs w:val="22"/>
        </w:rPr>
        <w:t xml:space="preserve"> </w:t>
      </w:r>
      <w:r w:rsidR="00412E07" w:rsidRPr="00AB306E">
        <w:rPr>
          <w:rFonts w:ascii="Arial" w:hAnsi="Arial" w:cs="Arial"/>
          <w:sz w:val="22"/>
          <w:szCs w:val="22"/>
        </w:rPr>
        <w:t>d</w:t>
      </w:r>
      <w:r w:rsidR="00990E23" w:rsidRPr="00AB306E">
        <w:rPr>
          <w:rFonts w:ascii="Arial" w:hAnsi="Arial" w:cs="Arial"/>
          <w:sz w:val="22"/>
          <w:szCs w:val="22"/>
        </w:rPr>
        <w:t>igital television</w:t>
      </w:r>
      <w:r w:rsidRPr="00AB306E">
        <w:rPr>
          <w:rFonts w:ascii="Arial" w:hAnsi="Arial" w:cs="Arial"/>
          <w:sz w:val="22"/>
          <w:szCs w:val="22"/>
        </w:rPr>
        <w:t xml:space="preserve"> systems</w:t>
      </w:r>
      <w:r w:rsidR="00443477" w:rsidRPr="00AB306E">
        <w:rPr>
          <w:rFonts w:ascii="Arial" w:hAnsi="Arial" w:cs="Arial"/>
          <w:sz w:val="22"/>
          <w:szCs w:val="22"/>
        </w:rPr>
        <w:t>.</w:t>
      </w:r>
      <w:r w:rsidR="00285262" w:rsidRPr="00AB306E">
        <w:rPr>
          <w:rFonts w:ascii="Arial" w:hAnsi="Arial" w:cs="Arial"/>
          <w:sz w:val="22"/>
          <w:szCs w:val="22"/>
        </w:rPr>
        <w:t xml:space="preserve"> </w:t>
      </w:r>
      <w:r w:rsidR="00275BDA" w:rsidRPr="00AB306E">
        <w:rPr>
          <w:rFonts w:ascii="Arial" w:hAnsi="Arial" w:cs="Arial"/>
          <w:sz w:val="22"/>
          <w:szCs w:val="22"/>
        </w:rPr>
        <w:t xml:space="preserve">The spectrum </w:t>
      </w:r>
      <w:r w:rsidR="006318B8" w:rsidRPr="00AB306E">
        <w:rPr>
          <w:rFonts w:ascii="Arial" w:hAnsi="Arial" w:cs="Arial"/>
          <w:sz w:val="22"/>
          <w:szCs w:val="22"/>
        </w:rPr>
        <w:t xml:space="preserve">which will </w:t>
      </w:r>
      <w:r w:rsidR="00275BDA" w:rsidRPr="00AB306E">
        <w:rPr>
          <w:rFonts w:ascii="Arial" w:hAnsi="Arial" w:cs="Arial"/>
          <w:sz w:val="22"/>
          <w:szCs w:val="22"/>
        </w:rPr>
        <w:t>becom</w:t>
      </w:r>
      <w:r w:rsidR="006318B8" w:rsidRPr="00AB306E">
        <w:rPr>
          <w:rFonts w:ascii="Arial" w:hAnsi="Arial" w:cs="Arial"/>
          <w:sz w:val="22"/>
          <w:szCs w:val="22"/>
        </w:rPr>
        <w:t>e</w:t>
      </w:r>
      <w:r w:rsidR="00275BDA" w:rsidRPr="00AB306E">
        <w:rPr>
          <w:rFonts w:ascii="Arial" w:hAnsi="Arial" w:cs="Arial"/>
          <w:sz w:val="22"/>
          <w:szCs w:val="22"/>
        </w:rPr>
        <w:t xml:space="preserve"> available does not align internationally from region to region, mainly due to h</w:t>
      </w:r>
      <w:r w:rsidR="00412E07" w:rsidRPr="00AB306E">
        <w:rPr>
          <w:rFonts w:ascii="Arial" w:hAnsi="Arial" w:cs="Arial"/>
          <w:sz w:val="22"/>
          <w:szCs w:val="22"/>
        </w:rPr>
        <w:t>istorical differences</w:t>
      </w:r>
      <w:r w:rsidR="006318B8" w:rsidRPr="00AB306E">
        <w:rPr>
          <w:rFonts w:ascii="Arial" w:hAnsi="Arial" w:cs="Arial"/>
          <w:sz w:val="22"/>
          <w:szCs w:val="22"/>
        </w:rPr>
        <w:t xml:space="preserve"> in </w:t>
      </w:r>
      <w:r w:rsidR="00204243" w:rsidRPr="00AB306E">
        <w:rPr>
          <w:rFonts w:ascii="Arial" w:hAnsi="Arial" w:cs="Arial"/>
          <w:sz w:val="22"/>
          <w:szCs w:val="22"/>
        </w:rPr>
        <w:t xml:space="preserve">the frequency bands used </w:t>
      </w:r>
      <w:r w:rsidR="001C0D06" w:rsidRPr="00AB306E">
        <w:rPr>
          <w:rFonts w:ascii="Arial" w:hAnsi="Arial" w:cs="Arial"/>
          <w:sz w:val="22"/>
          <w:szCs w:val="22"/>
        </w:rPr>
        <w:t>for</w:t>
      </w:r>
      <w:r w:rsidR="00204243" w:rsidRPr="00AB306E">
        <w:rPr>
          <w:rFonts w:ascii="Arial" w:hAnsi="Arial" w:cs="Arial"/>
          <w:sz w:val="22"/>
          <w:szCs w:val="22"/>
        </w:rPr>
        <w:t xml:space="preserve"> </w:t>
      </w:r>
      <w:r w:rsidR="00412E07" w:rsidRPr="00AB306E">
        <w:rPr>
          <w:rFonts w:ascii="Arial" w:hAnsi="Arial" w:cs="Arial"/>
          <w:sz w:val="22"/>
          <w:szCs w:val="22"/>
        </w:rPr>
        <w:t xml:space="preserve">television </w:t>
      </w:r>
      <w:r w:rsidR="00204243" w:rsidRPr="00AB306E">
        <w:rPr>
          <w:rFonts w:ascii="Arial" w:hAnsi="Arial" w:cs="Arial"/>
          <w:sz w:val="22"/>
          <w:szCs w:val="22"/>
        </w:rPr>
        <w:t xml:space="preserve">and </w:t>
      </w:r>
      <w:r w:rsidR="001C0D06" w:rsidRPr="00AB306E">
        <w:rPr>
          <w:rFonts w:ascii="Arial" w:hAnsi="Arial" w:cs="Arial"/>
          <w:sz w:val="22"/>
          <w:szCs w:val="22"/>
        </w:rPr>
        <w:t>other</w:t>
      </w:r>
      <w:r w:rsidR="00204243" w:rsidRPr="00AB306E">
        <w:rPr>
          <w:rFonts w:ascii="Arial" w:hAnsi="Arial" w:cs="Arial"/>
          <w:sz w:val="22"/>
          <w:szCs w:val="22"/>
        </w:rPr>
        <w:t xml:space="preserve"> </w:t>
      </w:r>
      <w:r w:rsidR="00CF1A28" w:rsidRPr="00AB306E">
        <w:rPr>
          <w:rFonts w:ascii="Arial" w:hAnsi="Arial" w:cs="Arial"/>
          <w:sz w:val="22"/>
          <w:szCs w:val="22"/>
        </w:rPr>
        <w:t>radiocommunications</w:t>
      </w:r>
      <w:r w:rsidR="001C0D06" w:rsidRPr="00AB306E">
        <w:rPr>
          <w:rFonts w:ascii="Arial" w:hAnsi="Arial" w:cs="Arial"/>
          <w:sz w:val="22"/>
          <w:szCs w:val="22"/>
        </w:rPr>
        <w:t xml:space="preserve"> </w:t>
      </w:r>
      <w:r w:rsidR="00204243" w:rsidRPr="00AB306E">
        <w:rPr>
          <w:rFonts w:ascii="Arial" w:hAnsi="Arial" w:cs="Arial"/>
          <w:sz w:val="22"/>
          <w:szCs w:val="22"/>
        </w:rPr>
        <w:t>services</w:t>
      </w:r>
      <w:r w:rsidR="00412E07" w:rsidRPr="00AB306E">
        <w:rPr>
          <w:rFonts w:ascii="Arial" w:hAnsi="Arial" w:cs="Arial"/>
          <w:sz w:val="22"/>
          <w:szCs w:val="22"/>
        </w:rPr>
        <w:t>.</w:t>
      </w:r>
    </w:p>
    <w:p w:rsidR="00990E23" w:rsidRPr="00AB306E" w:rsidRDefault="00990E23" w:rsidP="00AB306E">
      <w:pPr>
        <w:keepLines/>
        <w:rPr>
          <w:rFonts w:ascii="Arial" w:hAnsi="Arial" w:cs="Arial"/>
          <w:sz w:val="22"/>
          <w:szCs w:val="22"/>
        </w:rPr>
      </w:pPr>
    </w:p>
    <w:p w:rsidR="00F233C2" w:rsidRDefault="001C0D06" w:rsidP="00AB306E">
      <w:pPr>
        <w:keepLines/>
        <w:rPr>
          <w:rFonts w:ascii="Arial" w:hAnsi="Arial" w:cs="Arial"/>
          <w:sz w:val="22"/>
          <w:szCs w:val="22"/>
        </w:rPr>
      </w:pPr>
      <w:r w:rsidRPr="00AB306E">
        <w:rPr>
          <w:rFonts w:ascii="Arial" w:hAnsi="Arial" w:cs="Arial"/>
          <w:sz w:val="22"/>
          <w:szCs w:val="22"/>
        </w:rPr>
        <w:t>T</w:t>
      </w:r>
      <w:r w:rsidR="00D1039D" w:rsidRPr="00AB306E">
        <w:rPr>
          <w:rFonts w:ascii="Arial" w:hAnsi="Arial" w:cs="Arial"/>
          <w:sz w:val="22"/>
          <w:szCs w:val="22"/>
        </w:rPr>
        <w:t xml:space="preserve">he increasing demand for spectrum for mobile broadband telecommunications services </w:t>
      </w:r>
      <w:r w:rsidRPr="00AB306E">
        <w:rPr>
          <w:rFonts w:ascii="Arial" w:hAnsi="Arial" w:cs="Arial"/>
          <w:sz w:val="22"/>
          <w:szCs w:val="22"/>
        </w:rPr>
        <w:t xml:space="preserve">around the world </w:t>
      </w:r>
      <w:r w:rsidR="00D1039D" w:rsidRPr="00AB306E">
        <w:rPr>
          <w:rFonts w:ascii="Arial" w:hAnsi="Arial" w:cs="Arial"/>
          <w:sz w:val="22"/>
          <w:szCs w:val="22"/>
        </w:rPr>
        <w:t xml:space="preserve">has seen </w:t>
      </w:r>
      <w:r w:rsidR="00327945" w:rsidRPr="00AB306E">
        <w:rPr>
          <w:rFonts w:ascii="Arial" w:hAnsi="Arial" w:cs="Arial"/>
          <w:sz w:val="22"/>
          <w:szCs w:val="22"/>
        </w:rPr>
        <w:t xml:space="preserve">a </w:t>
      </w:r>
      <w:r w:rsidR="00D1039D" w:rsidRPr="00AB306E">
        <w:rPr>
          <w:rFonts w:ascii="Arial" w:hAnsi="Arial" w:cs="Arial"/>
          <w:sz w:val="22"/>
          <w:szCs w:val="22"/>
        </w:rPr>
        <w:t xml:space="preserve">significant </w:t>
      </w:r>
      <w:r w:rsidR="00327945" w:rsidRPr="00AB306E">
        <w:rPr>
          <w:rFonts w:ascii="Arial" w:hAnsi="Arial" w:cs="Arial"/>
          <w:sz w:val="22"/>
          <w:szCs w:val="22"/>
        </w:rPr>
        <w:t>proportion</w:t>
      </w:r>
      <w:r w:rsidR="00D1039D" w:rsidRPr="00AB306E">
        <w:rPr>
          <w:rFonts w:ascii="Arial" w:hAnsi="Arial" w:cs="Arial"/>
          <w:sz w:val="22"/>
          <w:szCs w:val="22"/>
        </w:rPr>
        <w:t xml:space="preserve"> of the </w:t>
      </w:r>
      <w:r w:rsidR="00327945" w:rsidRPr="00AB306E">
        <w:rPr>
          <w:rFonts w:ascii="Arial" w:hAnsi="Arial" w:cs="Arial"/>
          <w:sz w:val="22"/>
          <w:szCs w:val="22"/>
        </w:rPr>
        <w:t xml:space="preserve">world-wide </w:t>
      </w:r>
      <w:r w:rsidR="00D1039D" w:rsidRPr="00AB306E">
        <w:rPr>
          <w:rFonts w:ascii="Arial" w:hAnsi="Arial" w:cs="Arial"/>
          <w:sz w:val="22"/>
          <w:szCs w:val="22"/>
        </w:rPr>
        <w:t xml:space="preserve">digital dividend </w:t>
      </w:r>
      <w:r w:rsidR="00346B9B" w:rsidRPr="00AB306E">
        <w:rPr>
          <w:rFonts w:ascii="Arial" w:hAnsi="Arial" w:cs="Arial"/>
          <w:sz w:val="22"/>
          <w:szCs w:val="22"/>
        </w:rPr>
        <w:t xml:space="preserve">spectrum </w:t>
      </w:r>
      <w:r w:rsidR="00D1039D" w:rsidRPr="00AB306E">
        <w:rPr>
          <w:rFonts w:ascii="Arial" w:hAnsi="Arial" w:cs="Arial"/>
          <w:sz w:val="22"/>
          <w:szCs w:val="22"/>
        </w:rPr>
        <w:t>being allocated to support</w:t>
      </w:r>
      <w:r w:rsidR="008B1B27" w:rsidRPr="00AB306E">
        <w:rPr>
          <w:rFonts w:ascii="Arial" w:hAnsi="Arial" w:cs="Arial"/>
          <w:sz w:val="22"/>
          <w:szCs w:val="22"/>
        </w:rPr>
        <w:t xml:space="preserve"> </w:t>
      </w:r>
      <w:r w:rsidR="00D47FDF" w:rsidRPr="00AB306E">
        <w:rPr>
          <w:rFonts w:ascii="Arial" w:hAnsi="Arial" w:cs="Arial"/>
          <w:sz w:val="22"/>
          <w:szCs w:val="22"/>
        </w:rPr>
        <w:t>WAS</w:t>
      </w:r>
      <w:r w:rsidR="00346B9B" w:rsidRPr="00AB306E">
        <w:rPr>
          <w:rFonts w:ascii="Arial" w:hAnsi="Arial" w:cs="Arial"/>
          <w:sz w:val="22"/>
          <w:szCs w:val="22"/>
        </w:rPr>
        <w:t xml:space="preserve"> </w:t>
      </w:r>
      <w:r w:rsidR="00275BDA" w:rsidRPr="00AB306E">
        <w:rPr>
          <w:rFonts w:ascii="Arial" w:hAnsi="Arial" w:cs="Arial"/>
          <w:sz w:val="22"/>
          <w:szCs w:val="22"/>
        </w:rPr>
        <w:t>– in pa</w:t>
      </w:r>
      <w:r w:rsidR="008B1B27" w:rsidRPr="00AB306E">
        <w:rPr>
          <w:rFonts w:ascii="Arial" w:hAnsi="Arial" w:cs="Arial"/>
          <w:sz w:val="22"/>
          <w:szCs w:val="22"/>
        </w:rPr>
        <w:t xml:space="preserve">rticular </w:t>
      </w:r>
      <w:r w:rsidR="008D1578" w:rsidRPr="00AB306E">
        <w:rPr>
          <w:rFonts w:ascii="Arial" w:hAnsi="Arial" w:cs="Arial"/>
          <w:sz w:val="22"/>
          <w:szCs w:val="22"/>
        </w:rPr>
        <w:t>next</w:t>
      </w:r>
      <w:r w:rsidR="00F233C2" w:rsidRPr="00AB306E">
        <w:rPr>
          <w:rFonts w:ascii="Arial" w:hAnsi="Arial" w:cs="Arial"/>
          <w:sz w:val="22"/>
          <w:szCs w:val="22"/>
        </w:rPr>
        <w:t xml:space="preserve"> generation systems </w:t>
      </w:r>
      <w:r w:rsidR="00D81FE3" w:rsidRPr="00AB306E">
        <w:rPr>
          <w:rFonts w:ascii="Arial" w:hAnsi="Arial" w:cs="Arial"/>
          <w:sz w:val="22"/>
          <w:szCs w:val="22"/>
        </w:rPr>
        <w:t>such as</w:t>
      </w:r>
      <w:r w:rsidR="00F233C2" w:rsidRPr="00AB306E">
        <w:rPr>
          <w:rFonts w:ascii="Arial" w:hAnsi="Arial" w:cs="Arial"/>
          <w:sz w:val="22"/>
          <w:szCs w:val="22"/>
        </w:rPr>
        <w:t xml:space="preserve"> LTE. </w:t>
      </w:r>
      <w:r w:rsidR="00D43670" w:rsidRPr="00AB306E">
        <w:rPr>
          <w:rFonts w:ascii="Arial" w:hAnsi="Arial" w:cs="Arial"/>
          <w:sz w:val="22"/>
          <w:szCs w:val="22"/>
        </w:rPr>
        <w:t>This demand</w:t>
      </w:r>
      <w:r w:rsidRPr="00AB306E">
        <w:rPr>
          <w:rFonts w:ascii="Arial" w:hAnsi="Arial" w:cs="Arial"/>
          <w:sz w:val="22"/>
          <w:szCs w:val="22"/>
        </w:rPr>
        <w:t xml:space="preserve"> has</w:t>
      </w:r>
      <w:r w:rsidR="00BF4B2D" w:rsidRPr="00AB306E">
        <w:rPr>
          <w:rFonts w:ascii="Arial" w:hAnsi="Arial" w:cs="Arial"/>
          <w:sz w:val="22"/>
          <w:szCs w:val="22"/>
        </w:rPr>
        <w:t>,</w:t>
      </w:r>
      <w:r w:rsidRPr="00AB306E">
        <w:rPr>
          <w:rFonts w:ascii="Arial" w:hAnsi="Arial" w:cs="Arial"/>
          <w:sz w:val="22"/>
          <w:szCs w:val="22"/>
        </w:rPr>
        <w:t xml:space="preserve"> </w:t>
      </w:r>
      <w:r w:rsidR="00BF4B2D" w:rsidRPr="00AB306E">
        <w:rPr>
          <w:rFonts w:ascii="Arial" w:hAnsi="Arial" w:cs="Arial"/>
          <w:sz w:val="22"/>
          <w:szCs w:val="22"/>
        </w:rPr>
        <w:t xml:space="preserve">particularly </w:t>
      </w:r>
      <w:r w:rsidRPr="00AB306E">
        <w:rPr>
          <w:rFonts w:ascii="Arial" w:hAnsi="Arial" w:cs="Arial"/>
          <w:sz w:val="22"/>
          <w:szCs w:val="22"/>
        </w:rPr>
        <w:t>in</w:t>
      </w:r>
      <w:r w:rsidR="00EA12D6" w:rsidRPr="00AB306E">
        <w:rPr>
          <w:rFonts w:ascii="Arial" w:hAnsi="Arial" w:cs="Arial"/>
          <w:sz w:val="22"/>
          <w:szCs w:val="22"/>
        </w:rPr>
        <w:t xml:space="preserve"> high density</w:t>
      </w:r>
      <w:r w:rsidR="00346B9B" w:rsidRPr="00AB306E">
        <w:rPr>
          <w:rFonts w:ascii="Arial" w:hAnsi="Arial" w:cs="Arial"/>
          <w:sz w:val="22"/>
          <w:szCs w:val="22"/>
        </w:rPr>
        <w:t xml:space="preserve"> areas,</w:t>
      </w:r>
      <w:r w:rsidR="00EA12D6" w:rsidRPr="00AB306E">
        <w:rPr>
          <w:rFonts w:ascii="Arial" w:hAnsi="Arial" w:cs="Arial"/>
          <w:sz w:val="22"/>
          <w:szCs w:val="22"/>
        </w:rPr>
        <w:t xml:space="preserve"> </w:t>
      </w:r>
      <w:r w:rsidR="00D43670" w:rsidRPr="00AB306E">
        <w:rPr>
          <w:rFonts w:ascii="Arial" w:hAnsi="Arial" w:cs="Arial"/>
          <w:sz w:val="22"/>
          <w:szCs w:val="22"/>
        </w:rPr>
        <w:t xml:space="preserve">been for spectrum to support </w:t>
      </w:r>
      <w:r w:rsidR="00EA12D6" w:rsidRPr="00AB306E">
        <w:rPr>
          <w:rFonts w:ascii="Arial" w:hAnsi="Arial" w:cs="Arial"/>
          <w:sz w:val="22"/>
          <w:szCs w:val="22"/>
        </w:rPr>
        <w:t>broad</w:t>
      </w:r>
      <w:r w:rsidR="00D43670" w:rsidRPr="00AB306E">
        <w:rPr>
          <w:rFonts w:ascii="Arial" w:hAnsi="Arial" w:cs="Arial"/>
          <w:sz w:val="22"/>
          <w:szCs w:val="22"/>
        </w:rPr>
        <w:t xml:space="preserve"> </w:t>
      </w:r>
      <w:r w:rsidR="00EA12D6" w:rsidRPr="00AB306E">
        <w:rPr>
          <w:rFonts w:ascii="Arial" w:hAnsi="Arial" w:cs="Arial"/>
          <w:sz w:val="22"/>
          <w:szCs w:val="22"/>
        </w:rPr>
        <w:t>band</w:t>
      </w:r>
      <w:r w:rsidR="00D43670" w:rsidRPr="00AB306E">
        <w:rPr>
          <w:rFonts w:ascii="Arial" w:hAnsi="Arial" w:cs="Arial"/>
          <w:sz w:val="22"/>
          <w:szCs w:val="22"/>
        </w:rPr>
        <w:t>width</w:t>
      </w:r>
      <w:r w:rsidR="006318B8" w:rsidRPr="00AB306E">
        <w:rPr>
          <w:rFonts w:ascii="Arial" w:hAnsi="Arial" w:cs="Arial"/>
          <w:sz w:val="22"/>
          <w:szCs w:val="22"/>
        </w:rPr>
        <w:t>,</w:t>
      </w:r>
      <w:r w:rsidR="00EA12D6" w:rsidRPr="00AB306E">
        <w:rPr>
          <w:rFonts w:ascii="Arial" w:hAnsi="Arial" w:cs="Arial"/>
          <w:sz w:val="22"/>
          <w:szCs w:val="22"/>
        </w:rPr>
        <w:t xml:space="preserve"> two</w:t>
      </w:r>
      <w:r w:rsidR="006318B8" w:rsidRPr="00AB306E">
        <w:rPr>
          <w:rFonts w:ascii="Arial" w:hAnsi="Arial" w:cs="Arial"/>
          <w:sz w:val="22"/>
          <w:szCs w:val="22"/>
        </w:rPr>
        <w:t>-</w:t>
      </w:r>
      <w:r w:rsidR="00EA12D6" w:rsidRPr="00AB306E">
        <w:rPr>
          <w:rFonts w:ascii="Arial" w:hAnsi="Arial" w:cs="Arial"/>
          <w:sz w:val="22"/>
          <w:szCs w:val="22"/>
        </w:rPr>
        <w:t>frequency systems.</w:t>
      </w:r>
    </w:p>
    <w:p w:rsidR="003F2551" w:rsidRDefault="003F2551" w:rsidP="00AB306E">
      <w:pPr>
        <w:keepLines/>
        <w:rPr>
          <w:rFonts w:ascii="Arial" w:hAnsi="Arial" w:cs="Arial"/>
          <w:sz w:val="22"/>
          <w:szCs w:val="22"/>
        </w:rPr>
      </w:pPr>
    </w:p>
    <w:p w:rsidR="003F2551" w:rsidRDefault="003F2551">
      <w:pPr>
        <w:spacing w:after="200" w:line="276" w:lineRule="auto"/>
        <w:rPr>
          <w:rFonts w:ascii="Arial" w:hAnsi="Arial" w:cs="Arial"/>
          <w:sz w:val="22"/>
          <w:szCs w:val="22"/>
        </w:rPr>
      </w:pPr>
      <w:r>
        <w:rPr>
          <w:rFonts w:ascii="Arial" w:hAnsi="Arial" w:cs="Arial"/>
          <w:sz w:val="22"/>
          <w:szCs w:val="22"/>
        </w:rPr>
        <w:br w:type="page"/>
      </w:r>
    </w:p>
    <w:p w:rsidR="003F2551" w:rsidRPr="00AB306E" w:rsidRDefault="003F2551" w:rsidP="00AB306E">
      <w:pPr>
        <w:keepLines/>
        <w:rPr>
          <w:rFonts w:ascii="Arial" w:hAnsi="Arial" w:cs="Arial"/>
          <w:sz w:val="22"/>
          <w:szCs w:val="22"/>
        </w:rPr>
      </w:pPr>
    </w:p>
    <w:p w:rsidR="00A721E2" w:rsidRPr="00AB306E" w:rsidRDefault="006318B8" w:rsidP="00AB306E">
      <w:pPr>
        <w:pStyle w:val="Heading2"/>
        <w:rPr>
          <w:rFonts w:ascii="Arial" w:hAnsi="Arial" w:cs="Arial"/>
          <w:color w:val="auto"/>
        </w:rPr>
      </w:pPr>
      <w:r w:rsidRPr="00AB306E">
        <w:rPr>
          <w:rFonts w:ascii="Arial" w:hAnsi="Arial" w:cs="Arial"/>
          <w:color w:val="auto"/>
        </w:rPr>
        <w:t xml:space="preserve">1.3 </w:t>
      </w:r>
      <w:r w:rsidR="00CF1A28" w:rsidRPr="00AB306E">
        <w:rPr>
          <w:rFonts w:ascii="Arial" w:hAnsi="Arial" w:cs="Arial"/>
          <w:color w:val="auto"/>
        </w:rPr>
        <w:t>Channelling</w:t>
      </w:r>
      <w:r w:rsidRPr="00AB306E">
        <w:rPr>
          <w:rFonts w:ascii="Arial" w:hAnsi="Arial" w:cs="Arial"/>
          <w:color w:val="auto"/>
        </w:rPr>
        <w:t xml:space="preserve"> arrangements</w:t>
      </w:r>
    </w:p>
    <w:p w:rsidR="00AF4180" w:rsidRPr="00AB306E" w:rsidRDefault="001E657D" w:rsidP="00AB306E">
      <w:pPr>
        <w:keepLines/>
        <w:rPr>
          <w:rFonts w:ascii="Arial" w:hAnsi="Arial" w:cs="Arial"/>
          <w:sz w:val="22"/>
          <w:szCs w:val="22"/>
        </w:rPr>
      </w:pPr>
      <w:r w:rsidRPr="00AB306E">
        <w:rPr>
          <w:rFonts w:ascii="Arial" w:hAnsi="Arial" w:cs="Arial"/>
          <w:sz w:val="22"/>
          <w:szCs w:val="22"/>
        </w:rPr>
        <w:t>By aligning with a major established international set of arrangements in the band, Australia will be able</w:t>
      </w:r>
      <w:r w:rsidR="00CF1A28" w:rsidRPr="00AB306E">
        <w:rPr>
          <w:rFonts w:ascii="Arial" w:hAnsi="Arial" w:cs="Arial"/>
          <w:sz w:val="22"/>
          <w:szCs w:val="22"/>
        </w:rPr>
        <w:t xml:space="preserve"> to take advantage of </w:t>
      </w:r>
      <w:r w:rsidRPr="00AB306E">
        <w:rPr>
          <w:rFonts w:ascii="Arial" w:hAnsi="Arial" w:cs="Arial"/>
          <w:sz w:val="22"/>
          <w:szCs w:val="22"/>
        </w:rPr>
        <w:t>economies of scale – providing lower costs for both service providers and end users – a</w:t>
      </w:r>
      <w:r w:rsidR="008D1578" w:rsidRPr="00AB306E">
        <w:rPr>
          <w:rFonts w:ascii="Arial" w:hAnsi="Arial" w:cs="Arial"/>
          <w:sz w:val="22"/>
          <w:szCs w:val="22"/>
        </w:rPr>
        <w:t>s well as</w:t>
      </w:r>
      <w:r w:rsidRPr="00AB306E">
        <w:rPr>
          <w:rFonts w:ascii="Arial" w:hAnsi="Arial" w:cs="Arial"/>
          <w:sz w:val="22"/>
          <w:szCs w:val="22"/>
        </w:rPr>
        <w:t xml:space="preserve"> easier and wider roaming capabilities for users</w:t>
      </w:r>
      <w:r w:rsidR="00DF6BA3">
        <w:rPr>
          <w:rFonts w:ascii="Arial" w:hAnsi="Arial" w:cs="Arial"/>
          <w:sz w:val="22"/>
          <w:szCs w:val="22"/>
        </w:rPr>
        <w:t>.</w:t>
      </w:r>
    </w:p>
    <w:p w:rsidR="006E15CD" w:rsidRPr="00AB306E" w:rsidRDefault="006E15CD" w:rsidP="00AB306E">
      <w:pPr>
        <w:keepLines/>
        <w:rPr>
          <w:rFonts w:ascii="Arial" w:hAnsi="Arial" w:cs="Arial"/>
          <w:b/>
          <w:sz w:val="22"/>
          <w:szCs w:val="22"/>
        </w:rPr>
      </w:pPr>
    </w:p>
    <w:p w:rsidR="00736CCB" w:rsidRDefault="00123585" w:rsidP="003F2551">
      <w:pPr>
        <w:keepLines/>
        <w:rPr>
          <w:rFonts w:ascii="Arial" w:hAnsi="Arial" w:cs="Arial"/>
          <w:sz w:val="22"/>
          <w:szCs w:val="22"/>
        </w:rPr>
      </w:pPr>
      <w:r w:rsidRPr="00AB306E">
        <w:rPr>
          <w:rFonts w:ascii="Arial" w:hAnsi="Arial" w:cs="Arial"/>
          <w:sz w:val="22"/>
          <w:szCs w:val="22"/>
        </w:rPr>
        <w:t>T</w:t>
      </w:r>
      <w:r w:rsidR="00F233C2" w:rsidRPr="00AB306E">
        <w:rPr>
          <w:rFonts w:ascii="Arial" w:hAnsi="Arial" w:cs="Arial"/>
          <w:sz w:val="22"/>
          <w:szCs w:val="22"/>
        </w:rPr>
        <w:t>he A</w:t>
      </w:r>
      <w:r w:rsidR="009C5B65" w:rsidRPr="00AB306E">
        <w:rPr>
          <w:rFonts w:ascii="Arial" w:hAnsi="Arial" w:cs="Arial"/>
          <w:sz w:val="22"/>
          <w:szCs w:val="22"/>
        </w:rPr>
        <w:t xml:space="preserve">sia </w:t>
      </w:r>
      <w:r w:rsidR="00F233C2" w:rsidRPr="00AB306E">
        <w:rPr>
          <w:rFonts w:ascii="Arial" w:hAnsi="Arial" w:cs="Arial"/>
          <w:sz w:val="22"/>
          <w:szCs w:val="22"/>
        </w:rPr>
        <w:t>P</w:t>
      </w:r>
      <w:r w:rsidR="009C5B65" w:rsidRPr="00AB306E">
        <w:rPr>
          <w:rFonts w:ascii="Arial" w:hAnsi="Arial" w:cs="Arial"/>
          <w:sz w:val="22"/>
          <w:szCs w:val="22"/>
        </w:rPr>
        <w:t xml:space="preserve">acific </w:t>
      </w:r>
      <w:r w:rsidR="00F233C2" w:rsidRPr="00AB306E">
        <w:rPr>
          <w:rFonts w:ascii="Arial" w:hAnsi="Arial" w:cs="Arial"/>
          <w:sz w:val="22"/>
          <w:szCs w:val="22"/>
        </w:rPr>
        <w:t>T</w:t>
      </w:r>
      <w:r w:rsidR="009C5B65" w:rsidRPr="00AB306E">
        <w:rPr>
          <w:rFonts w:ascii="Arial" w:hAnsi="Arial" w:cs="Arial"/>
          <w:sz w:val="22"/>
          <w:szCs w:val="22"/>
        </w:rPr>
        <w:t>e</w:t>
      </w:r>
      <w:r w:rsidR="003E0F2E" w:rsidRPr="00AB306E">
        <w:rPr>
          <w:rFonts w:ascii="Arial" w:hAnsi="Arial" w:cs="Arial"/>
          <w:sz w:val="22"/>
          <w:szCs w:val="22"/>
        </w:rPr>
        <w:t>lecommunity</w:t>
      </w:r>
      <w:r w:rsidR="00AF4180" w:rsidRPr="00AB306E">
        <w:rPr>
          <w:rFonts w:ascii="Arial" w:hAnsi="Arial" w:cs="Arial"/>
          <w:sz w:val="22"/>
          <w:szCs w:val="22"/>
        </w:rPr>
        <w:t xml:space="preserve"> (APT),</w:t>
      </w:r>
      <w:r w:rsidR="003E0F2E" w:rsidRPr="00AB306E">
        <w:rPr>
          <w:rFonts w:ascii="Arial" w:hAnsi="Arial" w:cs="Arial"/>
          <w:sz w:val="22"/>
          <w:szCs w:val="22"/>
        </w:rPr>
        <w:t xml:space="preserve"> </w:t>
      </w:r>
      <w:r w:rsidR="00AF4180" w:rsidRPr="00AB306E">
        <w:rPr>
          <w:rFonts w:ascii="Arial" w:hAnsi="Arial" w:cs="Arial"/>
          <w:sz w:val="22"/>
          <w:szCs w:val="22"/>
        </w:rPr>
        <w:t>through</w:t>
      </w:r>
      <w:r w:rsidR="003E0F2E" w:rsidRPr="00AB306E">
        <w:rPr>
          <w:rFonts w:ascii="Arial" w:hAnsi="Arial" w:cs="Arial"/>
          <w:sz w:val="22"/>
          <w:szCs w:val="22"/>
        </w:rPr>
        <w:t xml:space="preserve"> </w:t>
      </w:r>
      <w:r w:rsidR="00172B74" w:rsidRPr="00AB306E">
        <w:rPr>
          <w:rFonts w:ascii="Arial" w:hAnsi="Arial" w:cs="Arial"/>
          <w:sz w:val="22"/>
          <w:szCs w:val="22"/>
        </w:rPr>
        <w:t>its</w:t>
      </w:r>
      <w:r w:rsidR="00DF6BA3">
        <w:rPr>
          <w:rFonts w:ascii="Arial" w:hAnsi="Arial" w:cs="Arial"/>
          <w:sz w:val="22"/>
          <w:szCs w:val="22"/>
        </w:rPr>
        <w:t xml:space="preserve"> </w:t>
      </w:r>
      <w:r w:rsidR="00F233C2" w:rsidRPr="00AB306E">
        <w:rPr>
          <w:rFonts w:ascii="Arial" w:hAnsi="Arial" w:cs="Arial"/>
          <w:sz w:val="22"/>
          <w:szCs w:val="22"/>
        </w:rPr>
        <w:t xml:space="preserve">Wireless </w:t>
      </w:r>
      <w:r w:rsidR="00BF4B2D" w:rsidRPr="00AB306E">
        <w:rPr>
          <w:rFonts w:ascii="Arial" w:hAnsi="Arial" w:cs="Arial"/>
          <w:sz w:val="22"/>
          <w:szCs w:val="22"/>
        </w:rPr>
        <w:t xml:space="preserve">Group </w:t>
      </w:r>
      <w:r w:rsidR="009C5B65" w:rsidRPr="00AB306E">
        <w:rPr>
          <w:rFonts w:ascii="Arial" w:hAnsi="Arial" w:cs="Arial"/>
          <w:sz w:val="22"/>
          <w:szCs w:val="22"/>
        </w:rPr>
        <w:t>(AW</w:t>
      </w:r>
      <w:r w:rsidR="00BF4B2D" w:rsidRPr="00AB306E">
        <w:rPr>
          <w:rFonts w:ascii="Arial" w:hAnsi="Arial" w:cs="Arial"/>
          <w:sz w:val="22"/>
          <w:szCs w:val="22"/>
        </w:rPr>
        <w:t>G</w:t>
      </w:r>
      <w:r w:rsidR="009C5B65" w:rsidRPr="00AB306E">
        <w:rPr>
          <w:rFonts w:ascii="Arial" w:hAnsi="Arial" w:cs="Arial"/>
          <w:sz w:val="22"/>
          <w:szCs w:val="22"/>
        </w:rPr>
        <w:t>)</w:t>
      </w:r>
      <w:r w:rsidR="00AF4180" w:rsidRPr="00AB306E">
        <w:rPr>
          <w:rFonts w:ascii="Arial" w:hAnsi="Arial" w:cs="Arial"/>
          <w:sz w:val="22"/>
          <w:szCs w:val="22"/>
        </w:rPr>
        <w:t>,</w:t>
      </w:r>
      <w:r w:rsidR="009C5B65" w:rsidRPr="00AB306E">
        <w:rPr>
          <w:rFonts w:ascii="Arial" w:hAnsi="Arial" w:cs="Arial"/>
          <w:sz w:val="22"/>
          <w:szCs w:val="22"/>
        </w:rPr>
        <w:t xml:space="preserve"> </w:t>
      </w:r>
      <w:r w:rsidR="00172B74" w:rsidRPr="00AB306E">
        <w:rPr>
          <w:rFonts w:ascii="Arial" w:hAnsi="Arial" w:cs="Arial"/>
          <w:sz w:val="22"/>
          <w:szCs w:val="22"/>
        </w:rPr>
        <w:t xml:space="preserve">has </w:t>
      </w:r>
      <w:r w:rsidR="00F233C2" w:rsidRPr="00AB306E">
        <w:rPr>
          <w:rFonts w:ascii="Arial" w:hAnsi="Arial" w:cs="Arial"/>
          <w:sz w:val="22"/>
          <w:szCs w:val="22"/>
        </w:rPr>
        <w:t>develop</w:t>
      </w:r>
      <w:r w:rsidR="00970C8B" w:rsidRPr="00AB306E">
        <w:rPr>
          <w:rFonts w:ascii="Arial" w:hAnsi="Arial" w:cs="Arial"/>
          <w:sz w:val="22"/>
          <w:szCs w:val="22"/>
        </w:rPr>
        <w:t>ed</w:t>
      </w:r>
      <w:r w:rsidR="00F233C2" w:rsidRPr="00AB306E">
        <w:rPr>
          <w:rFonts w:ascii="Arial" w:hAnsi="Arial" w:cs="Arial"/>
          <w:sz w:val="22"/>
          <w:szCs w:val="22"/>
        </w:rPr>
        <w:t xml:space="preserve"> a </w:t>
      </w:r>
      <w:r w:rsidR="003E0F2E" w:rsidRPr="00AB306E">
        <w:rPr>
          <w:rFonts w:ascii="Arial" w:hAnsi="Arial" w:cs="Arial"/>
          <w:sz w:val="22"/>
          <w:szCs w:val="22"/>
        </w:rPr>
        <w:t>regional</w:t>
      </w:r>
      <w:r w:rsidRPr="00AB306E">
        <w:rPr>
          <w:rFonts w:ascii="Arial" w:hAnsi="Arial" w:cs="Arial"/>
          <w:sz w:val="22"/>
          <w:szCs w:val="22"/>
        </w:rPr>
        <w:t>ly</w:t>
      </w:r>
      <w:r w:rsidR="003E0F2E" w:rsidRPr="00AB306E">
        <w:rPr>
          <w:rFonts w:ascii="Arial" w:hAnsi="Arial" w:cs="Arial"/>
          <w:sz w:val="22"/>
          <w:szCs w:val="22"/>
        </w:rPr>
        <w:t xml:space="preserve"> </w:t>
      </w:r>
      <w:r w:rsidR="00F233C2" w:rsidRPr="00AB306E">
        <w:rPr>
          <w:rFonts w:ascii="Arial" w:hAnsi="Arial" w:cs="Arial"/>
          <w:sz w:val="22"/>
          <w:szCs w:val="22"/>
        </w:rPr>
        <w:t xml:space="preserve">harmonised </w:t>
      </w:r>
      <w:r w:rsidR="00970C8B" w:rsidRPr="00AB306E">
        <w:rPr>
          <w:rFonts w:ascii="Arial" w:hAnsi="Arial" w:cs="Arial"/>
          <w:sz w:val="22"/>
          <w:szCs w:val="22"/>
        </w:rPr>
        <w:t>arrangement for</w:t>
      </w:r>
      <w:r w:rsidRPr="00AB306E">
        <w:rPr>
          <w:rFonts w:ascii="Arial" w:hAnsi="Arial" w:cs="Arial"/>
          <w:sz w:val="22"/>
          <w:szCs w:val="22"/>
        </w:rPr>
        <w:t xml:space="preserve"> the digital dividend spectrum</w:t>
      </w:r>
      <w:r w:rsidR="003E0F2E" w:rsidRPr="00AB306E">
        <w:rPr>
          <w:rFonts w:ascii="Arial" w:hAnsi="Arial" w:cs="Arial"/>
          <w:sz w:val="22"/>
          <w:szCs w:val="22"/>
        </w:rPr>
        <w:t>.</w:t>
      </w:r>
      <w:r w:rsidR="00F233C2" w:rsidRPr="00AB306E">
        <w:rPr>
          <w:rFonts w:ascii="Arial" w:hAnsi="Arial" w:cs="Arial"/>
          <w:sz w:val="22"/>
          <w:szCs w:val="22"/>
        </w:rPr>
        <w:t xml:space="preserve"> </w:t>
      </w:r>
      <w:r w:rsidR="00970C8B" w:rsidRPr="00AB306E">
        <w:rPr>
          <w:rFonts w:ascii="Arial" w:hAnsi="Arial" w:cs="Arial"/>
          <w:sz w:val="22"/>
          <w:szCs w:val="22"/>
        </w:rPr>
        <w:t xml:space="preserve">This </w:t>
      </w:r>
      <w:r w:rsidR="00A6531A" w:rsidRPr="00AB306E">
        <w:rPr>
          <w:rFonts w:ascii="Arial" w:hAnsi="Arial" w:cs="Arial"/>
          <w:sz w:val="22"/>
          <w:szCs w:val="22"/>
        </w:rPr>
        <w:t xml:space="preserve">harmonised arrangement </w:t>
      </w:r>
      <w:r w:rsidR="00970C8B" w:rsidRPr="00AB306E">
        <w:rPr>
          <w:rFonts w:ascii="Arial" w:hAnsi="Arial" w:cs="Arial"/>
          <w:sz w:val="22"/>
          <w:szCs w:val="22"/>
        </w:rPr>
        <w:t xml:space="preserve">can </w:t>
      </w:r>
      <w:r w:rsidR="00A6531A" w:rsidRPr="00AB306E">
        <w:rPr>
          <w:rFonts w:ascii="Arial" w:hAnsi="Arial" w:cs="Arial"/>
          <w:sz w:val="22"/>
          <w:szCs w:val="22"/>
        </w:rPr>
        <w:t xml:space="preserve">provide participating countries with the same benefits mentioned </w:t>
      </w:r>
      <w:r w:rsidR="00F5465A" w:rsidRPr="00AB306E">
        <w:rPr>
          <w:rFonts w:ascii="Arial" w:hAnsi="Arial" w:cs="Arial"/>
          <w:sz w:val="22"/>
          <w:szCs w:val="22"/>
        </w:rPr>
        <w:t>above</w:t>
      </w:r>
      <w:r w:rsidR="00A6531A" w:rsidRPr="00AB306E">
        <w:rPr>
          <w:rFonts w:ascii="Arial" w:hAnsi="Arial" w:cs="Arial"/>
          <w:sz w:val="22"/>
          <w:szCs w:val="22"/>
        </w:rPr>
        <w:t>.</w:t>
      </w:r>
    </w:p>
    <w:p w:rsidR="003F2551" w:rsidRDefault="003F2551" w:rsidP="003F2551">
      <w:pPr>
        <w:keepLines/>
        <w:rPr>
          <w:rFonts w:ascii="Arial" w:hAnsi="Arial" w:cs="Arial"/>
          <w:sz w:val="22"/>
          <w:szCs w:val="22"/>
        </w:rPr>
      </w:pPr>
    </w:p>
    <w:p w:rsidR="00A721E2" w:rsidRDefault="00097420" w:rsidP="00AB306E">
      <w:pPr>
        <w:keepLines/>
        <w:rPr>
          <w:rFonts w:ascii="Arial" w:hAnsi="Arial" w:cs="Arial"/>
          <w:sz w:val="22"/>
          <w:szCs w:val="22"/>
        </w:rPr>
      </w:pPr>
      <w:r w:rsidRPr="00AB306E">
        <w:rPr>
          <w:rFonts w:ascii="Arial" w:hAnsi="Arial" w:cs="Arial"/>
          <w:sz w:val="22"/>
          <w:szCs w:val="22"/>
        </w:rPr>
        <w:t>The AW</w:t>
      </w:r>
      <w:r w:rsidR="008D1578" w:rsidRPr="00AB306E">
        <w:rPr>
          <w:rFonts w:ascii="Arial" w:hAnsi="Arial" w:cs="Arial"/>
          <w:sz w:val="22"/>
          <w:szCs w:val="22"/>
        </w:rPr>
        <w:t>G</w:t>
      </w:r>
      <w:r w:rsidRPr="00AB306E">
        <w:rPr>
          <w:rFonts w:ascii="Arial" w:hAnsi="Arial" w:cs="Arial"/>
          <w:sz w:val="22"/>
          <w:szCs w:val="22"/>
        </w:rPr>
        <w:t xml:space="preserve"> </w:t>
      </w:r>
      <w:r w:rsidR="005A2BC2" w:rsidRPr="00AB306E">
        <w:rPr>
          <w:rFonts w:ascii="Arial" w:hAnsi="Arial" w:cs="Arial"/>
          <w:sz w:val="22"/>
          <w:szCs w:val="22"/>
        </w:rPr>
        <w:t>frequency division duplex (</w:t>
      </w:r>
      <w:r w:rsidRPr="00AB306E">
        <w:rPr>
          <w:rFonts w:ascii="Arial" w:hAnsi="Arial" w:cs="Arial"/>
          <w:sz w:val="22"/>
          <w:szCs w:val="22"/>
        </w:rPr>
        <w:t>FDD</w:t>
      </w:r>
      <w:r w:rsidR="005A2BC2" w:rsidRPr="00AB306E">
        <w:rPr>
          <w:rFonts w:ascii="Arial" w:hAnsi="Arial" w:cs="Arial"/>
          <w:sz w:val="22"/>
          <w:szCs w:val="22"/>
        </w:rPr>
        <w:t>)</w:t>
      </w:r>
      <w:r w:rsidRPr="00AB306E">
        <w:rPr>
          <w:rFonts w:ascii="Arial" w:hAnsi="Arial" w:cs="Arial"/>
          <w:sz w:val="22"/>
          <w:szCs w:val="22"/>
        </w:rPr>
        <w:t xml:space="preserve"> </w:t>
      </w:r>
      <w:r w:rsidR="00970C8B" w:rsidRPr="00AB306E">
        <w:rPr>
          <w:rFonts w:ascii="Arial" w:hAnsi="Arial" w:cs="Arial"/>
          <w:sz w:val="22"/>
          <w:szCs w:val="22"/>
        </w:rPr>
        <w:t>plan published in APT/AWF</w:t>
      </w:r>
      <w:r w:rsidR="00557E6E" w:rsidRPr="00AB306E">
        <w:rPr>
          <w:rFonts w:ascii="Arial" w:hAnsi="Arial" w:cs="Arial"/>
          <w:sz w:val="22"/>
          <w:szCs w:val="22"/>
        </w:rPr>
        <w:t>/REP-</w:t>
      </w:r>
      <w:r w:rsidR="00970C8B" w:rsidRPr="00AB306E">
        <w:rPr>
          <w:rFonts w:ascii="Arial" w:hAnsi="Arial" w:cs="Arial"/>
          <w:sz w:val="22"/>
          <w:szCs w:val="22"/>
        </w:rPr>
        <w:t>14</w:t>
      </w:r>
      <w:r w:rsidR="00557E6E" w:rsidRPr="00AB306E">
        <w:rPr>
          <w:rStyle w:val="FootnoteReference"/>
          <w:rFonts w:ascii="Arial" w:hAnsi="Arial" w:cs="Arial"/>
          <w:sz w:val="22"/>
          <w:szCs w:val="22"/>
        </w:rPr>
        <w:footnoteReference w:id="2"/>
      </w:r>
      <w:r w:rsidR="00970C8B" w:rsidRPr="00AB306E">
        <w:rPr>
          <w:rFonts w:ascii="Arial" w:hAnsi="Arial" w:cs="Arial"/>
          <w:sz w:val="22"/>
          <w:szCs w:val="22"/>
        </w:rPr>
        <w:t xml:space="preserve"> </w:t>
      </w:r>
      <w:r w:rsidR="00BF7338" w:rsidRPr="00AB306E">
        <w:rPr>
          <w:rFonts w:ascii="Arial" w:hAnsi="Arial" w:cs="Arial"/>
          <w:sz w:val="22"/>
          <w:szCs w:val="22"/>
        </w:rPr>
        <w:t>consists of</w:t>
      </w:r>
      <w:r w:rsidRPr="00AB306E">
        <w:rPr>
          <w:rFonts w:ascii="Arial" w:hAnsi="Arial" w:cs="Arial"/>
          <w:sz w:val="22"/>
          <w:szCs w:val="22"/>
        </w:rPr>
        <w:t xml:space="preserve"> </w:t>
      </w:r>
      <w:r w:rsidR="00D96784" w:rsidRPr="00AB306E">
        <w:rPr>
          <w:rFonts w:ascii="Arial" w:hAnsi="Arial" w:cs="Arial"/>
          <w:sz w:val="22"/>
          <w:szCs w:val="22"/>
        </w:rPr>
        <w:t>a pair of 45</w:t>
      </w:r>
      <w:r w:rsidR="00DF6BA3">
        <w:rPr>
          <w:rFonts w:ascii="Arial" w:hAnsi="Arial" w:cs="Arial"/>
          <w:sz w:val="22"/>
          <w:szCs w:val="22"/>
        </w:rPr>
        <w:t xml:space="preserve"> </w:t>
      </w:r>
      <w:r w:rsidR="00D96784" w:rsidRPr="00AB306E">
        <w:rPr>
          <w:rFonts w:ascii="Arial" w:hAnsi="Arial" w:cs="Arial"/>
          <w:sz w:val="22"/>
          <w:szCs w:val="22"/>
        </w:rPr>
        <w:t>MHz</w:t>
      </w:r>
      <w:r w:rsidRPr="00AB306E">
        <w:rPr>
          <w:rFonts w:ascii="Arial" w:hAnsi="Arial" w:cs="Arial"/>
          <w:sz w:val="22"/>
          <w:szCs w:val="22"/>
        </w:rPr>
        <w:t xml:space="preserve"> </w:t>
      </w:r>
      <w:r w:rsidR="00D96784" w:rsidRPr="00AB306E">
        <w:rPr>
          <w:rFonts w:ascii="Arial" w:hAnsi="Arial" w:cs="Arial"/>
          <w:sz w:val="22"/>
          <w:szCs w:val="22"/>
        </w:rPr>
        <w:t>blocks</w:t>
      </w:r>
      <w:r w:rsidR="00BF7338" w:rsidRPr="00AB306E">
        <w:rPr>
          <w:rFonts w:ascii="Arial" w:hAnsi="Arial" w:cs="Arial"/>
          <w:sz w:val="22"/>
          <w:szCs w:val="22"/>
        </w:rPr>
        <w:t xml:space="preserve"> with a 10</w:t>
      </w:r>
      <w:r w:rsidR="00DF6BA3">
        <w:rPr>
          <w:rFonts w:ascii="Arial" w:hAnsi="Arial" w:cs="Arial"/>
          <w:sz w:val="22"/>
          <w:szCs w:val="22"/>
        </w:rPr>
        <w:t xml:space="preserve"> </w:t>
      </w:r>
      <w:r w:rsidR="00BF7338" w:rsidRPr="00AB306E">
        <w:rPr>
          <w:rFonts w:ascii="Arial" w:hAnsi="Arial" w:cs="Arial"/>
          <w:sz w:val="22"/>
          <w:szCs w:val="22"/>
        </w:rPr>
        <w:t xml:space="preserve">MHz mid-band gap, and uses </w:t>
      </w:r>
      <w:r w:rsidR="00BF7338" w:rsidRPr="00AB306E">
        <w:rPr>
          <w:rFonts w:ascii="Arial" w:hAnsi="Arial" w:cs="Arial"/>
          <w:i/>
          <w:sz w:val="22"/>
          <w:szCs w:val="22"/>
        </w:rPr>
        <w:t>conventional duplex</w:t>
      </w:r>
      <w:r w:rsidR="00BF7338" w:rsidRPr="00AB306E">
        <w:rPr>
          <w:rFonts w:ascii="Arial" w:hAnsi="Arial" w:cs="Arial"/>
          <w:sz w:val="22"/>
          <w:szCs w:val="22"/>
        </w:rPr>
        <w:t xml:space="preserve"> – with the mobile transmit in the lower block and the base transmit in the upper block.</w:t>
      </w:r>
    </w:p>
    <w:p w:rsidR="00736CCB" w:rsidRDefault="00736CCB" w:rsidP="00AB306E">
      <w:pPr>
        <w:keepLines/>
        <w:rPr>
          <w:rFonts w:ascii="Arial" w:hAnsi="Arial" w:cs="Arial"/>
          <w:sz w:val="22"/>
          <w:szCs w:val="22"/>
        </w:rPr>
      </w:pPr>
    </w:p>
    <w:tbl>
      <w:tblPr>
        <w:tblW w:w="9645" w:type="dxa"/>
        <w:tblLayout w:type="fixed"/>
        <w:tblCellMar>
          <w:left w:w="0" w:type="dxa"/>
          <w:right w:w="0" w:type="dxa"/>
        </w:tblCellMar>
        <w:tblLook w:val="01E0"/>
      </w:tblPr>
      <w:tblGrid>
        <w:gridCol w:w="9645"/>
      </w:tblGrid>
      <w:tr w:rsidR="00736CCB" w:rsidTr="00D93D73">
        <w:trPr>
          <w:trHeight w:val="291"/>
        </w:trPr>
        <w:tc>
          <w:tcPr>
            <w:tcW w:w="9645" w:type="dxa"/>
            <w:tcBorders>
              <w:bottom w:val="single" w:sz="2" w:space="0" w:color="505050"/>
            </w:tcBorders>
            <w:shd w:val="clear" w:color="auto" w:fill="auto"/>
          </w:tcPr>
          <w:p w:rsidR="00736CCB" w:rsidRDefault="00736CCB" w:rsidP="00D93D73"/>
        </w:tc>
      </w:tr>
    </w:tbl>
    <w:p w:rsidR="00736CCB" w:rsidRDefault="00736CCB" w:rsidP="00736CCB"/>
    <w:p w:rsidR="00736CCB" w:rsidRDefault="00736CCB" w:rsidP="00736CCB"/>
    <w:tbl>
      <w:tblPr>
        <w:tblW w:w="9645" w:type="dxa"/>
        <w:tblLayout w:type="fixed"/>
        <w:tblCellMar>
          <w:left w:w="0" w:type="dxa"/>
          <w:right w:w="0" w:type="dxa"/>
        </w:tblCellMar>
        <w:tblLook w:val="01E0"/>
      </w:tblPr>
      <w:tblGrid>
        <w:gridCol w:w="9645"/>
      </w:tblGrid>
      <w:tr w:rsidR="00736CCB" w:rsidTr="00D93D73">
        <w:trPr>
          <w:trHeight w:val="570"/>
        </w:trPr>
        <w:tc>
          <w:tcPr>
            <w:tcW w:w="9645" w:type="dxa"/>
            <w:tcBorders>
              <w:top w:val="single" w:sz="2" w:space="0" w:color="505050"/>
            </w:tcBorders>
            <w:shd w:val="clear" w:color="auto" w:fill="auto"/>
            <w:vAlign w:val="center"/>
          </w:tcPr>
          <w:p w:rsidR="00736CCB" w:rsidRPr="00D93D73" w:rsidRDefault="00736CCB" w:rsidP="00736CCB">
            <w:pPr>
              <w:keepLines/>
              <w:rPr>
                <w:b/>
                <w:color w:val="A6A6A6" w:themeColor="background1" w:themeShade="A6"/>
              </w:rPr>
            </w:pPr>
            <w:r w:rsidRPr="00D93D73">
              <w:rPr>
                <w:rFonts w:ascii="Arial" w:hAnsi="Arial" w:cs="Arial"/>
                <w:b/>
                <w:color w:val="A6A6A6" w:themeColor="background1" w:themeShade="A6"/>
                <w:sz w:val="22"/>
                <w:szCs w:val="22"/>
              </w:rPr>
              <w:t>Figure 1 AWG FDD proposed digital dividend arrangements</w:t>
            </w:r>
          </w:p>
        </w:tc>
      </w:tr>
      <w:tr w:rsidR="00736CCB" w:rsidTr="00D93D73">
        <w:trPr>
          <w:trHeight w:val="3086"/>
        </w:trPr>
        <w:tc>
          <w:tcPr>
            <w:tcW w:w="9645" w:type="dxa"/>
            <w:shd w:val="clear" w:color="auto" w:fill="auto"/>
            <w:tcMar>
              <w:left w:w="28" w:type="dxa"/>
            </w:tcMar>
          </w:tcPr>
          <w:p w:rsidR="00736CCB" w:rsidRDefault="00736CCB" w:rsidP="00D93D73">
            <w:r w:rsidRPr="00AB306E">
              <w:rPr>
                <w:rFonts w:ascii="Arial" w:hAnsi="Arial" w:cs="Arial"/>
                <w:noProof/>
                <w:lang w:eastAsia="en-AU"/>
              </w:rPr>
              <w:drawing>
                <wp:inline distT="0" distB="0" distL="0" distR="0">
                  <wp:extent cx="5726514" cy="1811547"/>
                  <wp:effectExtent l="19050" t="0" r="7536"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b="-9028"/>
                          <a:stretch>
                            <a:fillRect/>
                          </a:stretch>
                        </pic:blipFill>
                        <pic:spPr bwMode="auto">
                          <a:xfrm>
                            <a:off x="0" y="0"/>
                            <a:ext cx="5726514" cy="1811547"/>
                          </a:xfrm>
                          <a:prstGeom prst="rect">
                            <a:avLst/>
                          </a:prstGeom>
                          <a:noFill/>
                          <a:ln w="9525">
                            <a:noFill/>
                            <a:miter lim="800000"/>
                            <a:headEnd/>
                            <a:tailEnd/>
                          </a:ln>
                        </pic:spPr>
                      </pic:pic>
                    </a:graphicData>
                  </a:graphic>
                </wp:inline>
              </w:drawing>
            </w:r>
          </w:p>
        </w:tc>
      </w:tr>
      <w:tr w:rsidR="00736CCB" w:rsidTr="00D93D73">
        <w:trPr>
          <w:trHeight w:val="291"/>
        </w:trPr>
        <w:tc>
          <w:tcPr>
            <w:tcW w:w="9645" w:type="dxa"/>
            <w:tcBorders>
              <w:bottom w:val="single" w:sz="2" w:space="0" w:color="505050"/>
            </w:tcBorders>
            <w:shd w:val="clear" w:color="auto" w:fill="auto"/>
          </w:tcPr>
          <w:p w:rsidR="00736CCB" w:rsidRDefault="00736CCB" w:rsidP="00D93D73"/>
        </w:tc>
      </w:tr>
    </w:tbl>
    <w:p w:rsidR="00AB306E" w:rsidRPr="00DF6BA3" w:rsidRDefault="00AB306E" w:rsidP="00C63094">
      <w:pPr>
        <w:jc w:val="both"/>
        <w:rPr>
          <w:rFonts w:ascii="Arial" w:hAnsi="Arial" w:cs="Arial"/>
          <w:sz w:val="22"/>
          <w:szCs w:val="22"/>
        </w:rPr>
      </w:pPr>
    </w:p>
    <w:p w:rsidR="00A6531A" w:rsidRPr="00AB306E" w:rsidRDefault="00080A35" w:rsidP="00AB306E">
      <w:pPr>
        <w:rPr>
          <w:rFonts w:ascii="Arial" w:hAnsi="Arial" w:cs="Arial"/>
          <w:sz w:val="22"/>
          <w:szCs w:val="22"/>
        </w:rPr>
      </w:pPr>
      <w:r w:rsidRPr="00AB306E">
        <w:rPr>
          <w:rFonts w:ascii="Arial" w:hAnsi="Arial" w:cs="Arial"/>
          <w:sz w:val="22"/>
          <w:szCs w:val="22"/>
        </w:rPr>
        <w:t xml:space="preserve">The AWG also developed a </w:t>
      </w:r>
      <w:r w:rsidR="005A2BC2" w:rsidRPr="00AB306E">
        <w:rPr>
          <w:rFonts w:ascii="Arial" w:hAnsi="Arial" w:cs="Arial"/>
          <w:sz w:val="22"/>
          <w:szCs w:val="22"/>
        </w:rPr>
        <w:t>time division duplex (</w:t>
      </w:r>
      <w:r w:rsidRPr="00AB306E">
        <w:rPr>
          <w:rFonts w:ascii="Arial" w:hAnsi="Arial" w:cs="Arial"/>
          <w:sz w:val="22"/>
          <w:szCs w:val="22"/>
        </w:rPr>
        <w:t>TDD</w:t>
      </w:r>
      <w:r w:rsidR="005A2BC2" w:rsidRPr="00AB306E">
        <w:rPr>
          <w:rFonts w:ascii="Arial" w:hAnsi="Arial" w:cs="Arial"/>
          <w:sz w:val="22"/>
          <w:szCs w:val="22"/>
        </w:rPr>
        <w:t>)</w:t>
      </w:r>
      <w:r w:rsidRPr="00AB306E">
        <w:rPr>
          <w:rFonts w:ascii="Arial" w:hAnsi="Arial" w:cs="Arial"/>
          <w:sz w:val="22"/>
          <w:szCs w:val="22"/>
        </w:rPr>
        <w:t xml:space="preserve"> arrangement for the band (see APT/AWF/REP-14) .</w:t>
      </w:r>
      <w:r w:rsidR="00277F05" w:rsidRPr="00AB306E">
        <w:rPr>
          <w:rFonts w:ascii="Arial" w:hAnsi="Arial" w:cs="Arial"/>
          <w:sz w:val="22"/>
          <w:szCs w:val="22"/>
        </w:rPr>
        <w:t xml:space="preserve">These arrangements </w:t>
      </w:r>
      <w:r w:rsidR="00D40255" w:rsidRPr="00AB306E">
        <w:rPr>
          <w:rFonts w:ascii="Arial" w:hAnsi="Arial" w:cs="Arial"/>
          <w:sz w:val="22"/>
          <w:szCs w:val="22"/>
        </w:rPr>
        <w:t xml:space="preserve">occupy </w:t>
      </w:r>
      <w:r w:rsidR="00A721E2" w:rsidRPr="00AB306E">
        <w:rPr>
          <w:rFonts w:ascii="Arial" w:hAnsi="Arial" w:cs="Arial"/>
          <w:sz w:val="22"/>
          <w:szCs w:val="22"/>
        </w:rPr>
        <w:t>108</w:t>
      </w:r>
      <w:r w:rsidR="00AB306E">
        <w:rPr>
          <w:rFonts w:ascii="Arial" w:hAnsi="Arial" w:cs="Arial"/>
          <w:sz w:val="22"/>
          <w:szCs w:val="22"/>
        </w:rPr>
        <w:t xml:space="preserve"> </w:t>
      </w:r>
      <w:r w:rsidR="00E33BDB" w:rsidRPr="00AB306E">
        <w:rPr>
          <w:rFonts w:ascii="Arial" w:hAnsi="Arial" w:cs="Arial"/>
          <w:sz w:val="22"/>
          <w:szCs w:val="22"/>
        </w:rPr>
        <w:t>MHz</w:t>
      </w:r>
      <w:r w:rsidR="00A721E2" w:rsidRPr="00AB306E">
        <w:rPr>
          <w:rFonts w:ascii="Arial" w:hAnsi="Arial" w:cs="Arial"/>
          <w:sz w:val="22"/>
          <w:szCs w:val="22"/>
        </w:rPr>
        <w:t xml:space="preserve"> of spectrum </w:t>
      </w:r>
      <w:r w:rsidR="00F22783" w:rsidRPr="00AB306E">
        <w:rPr>
          <w:rFonts w:ascii="Arial" w:hAnsi="Arial" w:cs="Arial"/>
          <w:sz w:val="22"/>
          <w:szCs w:val="22"/>
        </w:rPr>
        <w:t xml:space="preserve">– from </w:t>
      </w:r>
      <w:r w:rsidR="00D40255" w:rsidRPr="00AB306E">
        <w:rPr>
          <w:rFonts w:ascii="Arial" w:hAnsi="Arial" w:cs="Arial"/>
          <w:sz w:val="22"/>
          <w:szCs w:val="22"/>
        </w:rPr>
        <w:t>698 to 806</w:t>
      </w:r>
      <w:r w:rsidR="00AB306E">
        <w:rPr>
          <w:rFonts w:ascii="Arial" w:hAnsi="Arial" w:cs="Arial"/>
          <w:sz w:val="22"/>
          <w:szCs w:val="22"/>
        </w:rPr>
        <w:t> </w:t>
      </w:r>
      <w:r w:rsidR="00E33BDB" w:rsidRPr="00AB306E">
        <w:rPr>
          <w:rFonts w:ascii="Arial" w:hAnsi="Arial" w:cs="Arial"/>
          <w:sz w:val="22"/>
          <w:szCs w:val="22"/>
        </w:rPr>
        <w:t>MHz</w:t>
      </w:r>
      <w:r w:rsidR="00D40255" w:rsidRPr="00AB306E">
        <w:rPr>
          <w:rFonts w:ascii="Arial" w:hAnsi="Arial" w:cs="Arial"/>
          <w:sz w:val="22"/>
          <w:szCs w:val="22"/>
        </w:rPr>
        <w:t xml:space="preserve"> </w:t>
      </w:r>
      <w:r w:rsidR="00A721E2" w:rsidRPr="00AB306E">
        <w:rPr>
          <w:rFonts w:ascii="Arial" w:hAnsi="Arial" w:cs="Arial"/>
          <w:sz w:val="22"/>
          <w:szCs w:val="22"/>
        </w:rPr>
        <w:t>–</w:t>
      </w:r>
      <w:r w:rsidR="0055361C" w:rsidRPr="00AB306E">
        <w:rPr>
          <w:rFonts w:ascii="Arial" w:hAnsi="Arial" w:cs="Arial"/>
          <w:sz w:val="22"/>
          <w:szCs w:val="22"/>
        </w:rPr>
        <w:t xml:space="preserve"> </w:t>
      </w:r>
      <w:r w:rsidR="004D2DE0" w:rsidRPr="00AB306E">
        <w:rPr>
          <w:rFonts w:ascii="Arial" w:hAnsi="Arial" w:cs="Arial"/>
          <w:sz w:val="22"/>
          <w:szCs w:val="22"/>
        </w:rPr>
        <w:t xml:space="preserve">which is wholly </w:t>
      </w:r>
      <w:r w:rsidR="00F22783" w:rsidRPr="00AB306E">
        <w:rPr>
          <w:rFonts w:ascii="Arial" w:hAnsi="Arial" w:cs="Arial"/>
          <w:sz w:val="22"/>
          <w:szCs w:val="22"/>
        </w:rPr>
        <w:t xml:space="preserve">contained </w:t>
      </w:r>
      <w:r w:rsidR="00D40255" w:rsidRPr="00AB306E">
        <w:rPr>
          <w:rFonts w:ascii="Arial" w:hAnsi="Arial" w:cs="Arial"/>
          <w:sz w:val="22"/>
          <w:szCs w:val="22"/>
        </w:rPr>
        <w:t>within the 126</w:t>
      </w:r>
      <w:r w:rsidR="009B55EE">
        <w:rPr>
          <w:rFonts w:ascii="Arial" w:hAnsi="Arial" w:cs="Arial"/>
          <w:sz w:val="22"/>
          <w:szCs w:val="22"/>
        </w:rPr>
        <w:t> </w:t>
      </w:r>
      <w:r w:rsidR="00E33BDB" w:rsidRPr="00AB306E">
        <w:rPr>
          <w:rFonts w:ascii="Arial" w:hAnsi="Arial" w:cs="Arial"/>
          <w:sz w:val="22"/>
          <w:szCs w:val="22"/>
        </w:rPr>
        <w:t>MHz</w:t>
      </w:r>
      <w:r w:rsidR="00D40255" w:rsidRPr="00AB306E">
        <w:rPr>
          <w:rFonts w:ascii="Arial" w:hAnsi="Arial" w:cs="Arial"/>
          <w:sz w:val="22"/>
          <w:szCs w:val="22"/>
        </w:rPr>
        <w:t xml:space="preserve"> </w:t>
      </w:r>
      <w:r w:rsidR="0055361C" w:rsidRPr="00AB306E">
        <w:rPr>
          <w:rFonts w:ascii="Arial" w:hAnsi="Arial" w:cs="Arial"/>
          <w:sz w:val="22"/>
          <w:szCs w:val="22"/>
        </w:rPr>
        <w:t>identified as the Australian</w:t>
      </w:r>
      <w:r w:rsidR="00C35AE9">
        <w:rPr>
          <w:rFonts w:ascii="Arial" w:hAnsi="Arial" w:cs="Arial"/>
          <w:sz w:val="22"/>
          <w:szCs w:val="22"/>
        </w:rPr>
        <w:t xml:space="preserve"> digital dividend.</w:t>
      </w:r>
    </w:p>
    <w:p w:rsidR="00F22783" w:rsidRPr="00AB306E" w:rsidRDefault="00F22783" w:rsidP="00AB306E">
      <w:pPr>
        <w:rPr>
          <w:rFonts w:ascii="Arial" w:hAnsi="Arial" w:cs="Arial"/>
          <w:sz w:val="22"/>
          <w:szCs w:val="22"/>
        </w:rPr>
      </w:pPr>
    </w:p>
    <w:p w:rsidR="00F5465A" w:rsidRDefault="00F5465A" w:rsidP="00AB306E">
      <w:pPr>
        <w:rPr>
          <w:rFonts w:ascii="Arial" w:hAnsi="Arial" w:cs="Arial"/>
          <w:sz w:val="22"/>
          <w:szCs w:val="22"/>
        </w:rPr>
      </w:pPr>
      <w:r w:rsidRPr="00AB306E">
        <w:rPr>
          <w:rFonts w:ascii="Arial" w:hAnsi="Arial" w:cs="Arial"/>
          <w:sz w:val="22"/>
          <w:szCs w:val="22"/>
        </w:rPr>
        <w:t>Following consideration of several established international band arrangements</w:t>
      </w:r>
      <w:r w:rsidR="00A6531A" w:rsidRPr="00AB306E">
        <w:rPr>
          <w:rFonts w:ascii="Arial" w:hAnsi="Arial" w:cs="Arial"/>
          <w:sz w:val="22"/>
          <w:szCs w:val="22"/>
        </w:rPr>
        <w:t xml:space="preserve">, </w:t>
      </w:r>
      <w:r w:rsidRPr="00AB306E">
        <w:rPr>
          <w:rFonts w:ascii="Arial" w:hAnsi="Arial" w:cs="Arial"/>
          <w:sz w:val="22"/>
          <w:szCs w:val="22"/>
        </w:rPr>
        <w:t xml:space="preserve">including those from the USA and Europe, </w:t>
      </w:r>
      <w:r w:rsidR="00A6531A" w:rsidRPr="00AB306E">
        <w:rPr>
          <w:rFonts w:ascii="Arial" w:hAnsi="Arial" w:cs="Arial"/>
          <w:sz w:val="22"/>
          <w:szCs w:val="22"/>
        </w:rPr>
        <w:t>the ACMA intends fo</w:t>
      </w:r>
      <w:r w:rsidR="00F609B4" w:rsidRPr="00AB306E">
        <w:rPr>
          <w:rFonts w:ascii="Arial" w:hAnsi="Arial" w:cs="Arial"/>
          <w:sz w:val="22"/>
          <w:szCs w:val="22"/>
        </w:rPr>
        <w:t>r Australia to follow the plan developed by</w:t>
      </w:r>
      <w:r w:rsidR="00A6531A" w:rsidRPr="00AB306E">
        <w:rPr>
          <w:rFonts w:ascii="Arial" w:hAnsi="Arial" w:cs="Arial"/>
          <w:sz w:val="22"/>
          <w:szCs w:val="22"/>
        </w:rPr>
        <w:t xml:space="preserve"> the AWG. Due to the difference in the </w:t>
      </w:r>
      <w:r w:rsidRPr="00AB306E">
        <w:rPr>
          <w:rFonts w:ascii="Arial" w:hAnsi="Arial" w:cs="Arial"/>
          <w:sz w:val="22"/>
          <w:szCs w:val="22"/>
        </w:rPr>
        <w:t>exact frequency boundaries between Australia’s Digital Dividend and the AWG plan,</w:t>
      </w:r>
      <w:r w:rsidR="00A6531A" w:rsidRPr="00AB306E">
        <w:rPr>
          <w:rFonts w:ascii="Arial" w:hAnsi="Arial" w:cs="Arial"/>
          <w:sz w:val="22"/>
          <w:szCs w:val="22"/>
        </w:rPr>
        <w:t xml:space="preserve"> the lower guard band (between proposed WAS and broadcast television services) in Australia will be 9</w:t>
      </w:r>
      <w:r w:rsidR="00AB306E">
        <w:rPr>
          <w:rFonts w:ascii="Arial" w:hAnsi="Arial" w:cs="Arial"/>
          <w:sz w:val="22"/>
          <w:szCs w:val="22"/>
        </w:rPr>
        <w:t xml:space="preserve"> </w:t>
      </w:r>
      <w:r w:rsidR="00E33BDB" w:rsidRPr="00AB306E">
        <w:rPr>
          <w:rFonts w:ascii="Arial" w:hAnsi="Arial" w:cs="Arial"/>
          <w:sz w:val="22"/>
          <w:szCs w:val="22"/>
        </w:rPr>
        <w:t>MHz</w:t>
      </w:r>
      <w:r w:rsidR="00A6531A" w:rsidRPr="00AB306E">
        <w:rPr>
          <w:rFonts w:ascii="Arial" w:hAnsi="Arial" w:cs="Arial"/>
          <w:sz w:val="22"/>
          <w:szCs w:val="22"/>
        </w:rPr>
        <w:t xml:space="preserve"> wide</w:t>
      </w:r>
      <w:r w:rsidRPr="00AB306E">
        <w:rPr>
          <w:rFonts w:ascii="Arial" w:hAnsi="Arial" w:cs="Arial"/>
          <w:sz w:val="22"/>
          <w:szCs w:val="22"/>
        </w:rPr>
        <w:t>, as opposed to 5</w:t>
      </w:r>
      <w:r w:rsidR="00AB306E">
        <w:rPr>
          <w:rFonts w:ascii="Arial" w:hAnsi="Arial" w:cs="Arial"/>
          <w:sz w:val="22"/>
          <w:szCs w:val="22"/>
        </w:rPr>
        <w:t xml:space="preserve"> </w:t>
      </w:r>
      <w:r w:rsidRPr="00AB306E">
        <w:rPr>
          <w:rFonts w:ascii="Arial" w:hAnsi="Arial" w:cs="Arial"/>
          <w:sz w:val="22"/>
          <w:szCs w:val="22"/>
        </w:rPr>
        <w:t>MHz in many other Asia-Pacific nations</w:t>
      </w:r>
      <w:r w:rsidR="00C35AE9">
        <w:rPr>
          <w:rFonts w:ascii="Arial" w:hAnsi="Arial" w:cs="Arial"/>
          <w:sz w:val="22"/>
          <w:szCs w:val="22"/>
        </w:rPr>
        <w:t>.</w:t>
      </w:r>
    </w:p>
    <w:p w:rsidR="003F2551" w:rsidRDefault="003F2551" w:rsidP="00AB306E">
      <w:pPr>
        <w:rPr>
          <w:rFonts w:ascii="Arial" w:hAnsi="Arial" w:cs="Arial"/>
          <w:sz w:val="22"/>
          <w:szCs w:val="22"/>
        </w:rPr>
      </w:pPr>
    </w:p>
    <w:p w:rsidR="003F2551" w:rsidRDefault="003F2551">
      <w:pPr>
        <w:spacing w:after="200" w:line="276" w:lineRule="auto"/>
        <w:rPr>
          <w:rFonts w:ascii="Arial" w:hAnsi="Arial" w:cs="Arial"/>
          <w:sz w:val="22"/>
          <w:szCs w:val="22"/>
        </w:rPr>
      </w:pPr>
      <w:r>
        <w:rPr>
          <w:rFonts w:ascii="Arial" w:hAnsi="Arial" w:cs="Arial"/>
          <w:sz w:val="22"/>
          <w:szCs w:val="22"/>
        </w:rPr>
        <w:br w:type="page"/>
      </w:r>
    </w:p>
    <w:p w:rsidR="003F2551" w:rsidRPr="00AB306E" w:rsidDel="00F5465A" w:rsidRDefault="003F2551" w:rsidP="00AB306E">
      <w:pPr>
        <w:rPr>
          <w:rFonts w:ascii="Arial" w:hAnsi="Arial" w:cs="Arial"/>
          <w:sz w:val="22"/>
          <w:szCs w:val="22"/>
        </w:rPr>
      </w:pPr>
    </w:p>
    <w:p w:rsidR="00647590" w:rsidRPr="00AB306E" w:rsidRDefault="00647590" w:rsidP="00AB306E">
      <w:pPr>
        <w:pStyle w:val="Heading2"/>
        <w:numPr>
          <w:ilvl w:val="0"/>
          <w:numId w:val="4"/>
        </w:numPr>
        <w:rPr>
          <w:rFonts w:ascii="Arial" w:hAnsi="Arial" w:cs="Arial"/>
          <w:color w:val="auto"/>
        </w:rPr>
      </w:pPr>
      <w:r w:rsidRPr="00AB306E">
        <w:rPr>
          <w:rFonts w:ascii="Arial" w:hAnsi="Arial" w:cs="Arial"/>
          <w:color w:val="auto"/>
        </w:rPr>
        <w:t>Introduction</w:t>
      </w:r>
    </w:p>
    <w:p w:rsidR="00647590" w:rsidRPr="00AB306E" w:rsidRDefault="00647590" w:rsidP="00AB306E">
      <w:pPr>
        <w:pStyle w:val="ACMABodyText"/>
        <w:rPr>
          <w:rFonts w:ascii="Arial" w:eastAsia="Batang" w:hAnsi="Arial" w:cs="Arial"/>
          <w:snapToGrid/>
          <w:sz w:val="22"/>
          <w:szCs w:val="22"/>
          <w:lang w:eastAsia="ko-KR"/>
        </w:rPr>
      </w:pPr>
      <w:r w:rsidRPr="00AB306E">
        <w:rPr>
          <w:rFonts w:ascii="Arial" w:eastAsia="Batang" w:hAnsi="Arial" w:cs="Arial"/>
          <w:snapToGrid/>
          <w:sz w:val="22"/>
          <w:szCs w:val="22"/>
          <w:lang w:eastAsia="ko-KR"/>
        </w:rPr>
        <w:t xml:space="preserve">This </w:t>
      </w:r>
      <w:r w:rsidR="00097420" w:rsidRPr="00AB306E">
        <w:rPr>
          <w:rFonts w:ascii="Arial" w:eastAsia="Batang" w:hAnsi="Arial" w:cs="Arial"/>
          <w:snapToGrid/>
          <w:sz w:val="22"/>
          <w:szCs w:val="22"/>
          <w:lang w:eastAsia="ko-KR"/>
        </w:rPr>
        <w:t xml:space="preserve">is the first of three </w:t>
      </w:r>
      <w:r w:rsidRPr="00AB306E">
        <w:rPr>
          <w:rFonts w:ascii="Arial" w:eastAsia="Batang" w:hAnsi="Arial" w:cs="Arial"/>
          <w:snapToGrid/>
          <w:sz w:val="22"/>
          <w:szCs w:val="22"/>
          <w:lang w:eastAsia="ko-KR"/>
        </w:rPr>
        <w:t>discussion paper</w:t>
      </w:r>
      <w:r w:rsidR="00097420" w:rsidRPr="00AB306E">
        <w:rPr>
          <w:rFonts w:ascii="Arial" w:eastAsia="Batang" w:hAnsi="Arial" w:cs="Arial"/>
          <w:snapToGrid/>
          <w:sz w:val="22"/>
          <w:szCs w:val="22"/>
          <w:lang w:eastAsia="ko-KR"/>
        </w:rPr>
        <w:t>s</w:t>
      </w:r>
      <w:r w:rsidR="008D1578" w:rsidRPr="00AB306E">
        <w:rPr>
          <w:rStyle w:val="FootnoteReference"/>
          <w:rFonts w:ascii="Arial" w:eastAsia="Batang" w:hAnsi="Arial" w:cs="Arial"/>
          <w:snapToGrid/>
          <w:sz w:val="22"/>
          <w:szCs w:val="22"/>
          <w:lang w:eastAsia="ko-KR"/>
        </w:rPr>
        <w:footnoteReference w:id="3"/>
      </w:r>
      <w:r w:rsidR="00097420" w:rsidRPr="00AB306E">
        <w:rPr>
          <w:rFonts w:ascii="Arial" w:eastAsia="Batang" w:hAnsi="Arial" w:cs="Arial"/>
          <w:snapToGrid/>
          <w:sz w:val="22"/>
          <w:szCs w:val="22"/>
          <w:lang w:eastAsia="ko-KR"/>
        </w:rPr>
        <w:t xml:space="preserve"> which will </w:t>
      </w:r>
      <w:r w:rsidR="00EB3B78" w:rsidRPr="00AB306E">
        <w:rPr>
          <w:rFonts w:ascii="Arial" w:eastAsia="Batang" w:hAnsi="Arial" w:cs="Arial"/>
          <w:snapToGrid/>
          <w:sz w:val="22"/>
          <w:szCs w:val="22"/>
          <w:lang w:eastAsia="ko-KR"/>
        </w:rPr>
        <w:t>provide information on the various aspects of the technical framework. This paper</w:t>
      </w:r>
      <w:r w:rsidRPr="00AB306E">
        <w:rPr>
          <w:rFonts w:ascii="Arial" w:eastAsia="Batang" w:hAnsi="Arial" w:cs="Arial"/>
          <w:snapToGrid/>
          <w:sz w:val="22"/>
          <w:szCs w:val="22"/>
          <w:lang w:eastAsia="ko-KR"/>
        </w:rPr>
        <w:t xml:space="preserve"> looks at the following basic items of the technical framework;</w:t>
      </w:r>
    </w:p>
    <w:p w:rsidR="00647590" w:rsidRPr="00AB306E" w:rsidRDefault="00647590" w:rsidP="00AB306E">
      <w:pPr>
        <w:numPr>
          <w:ilvl w:val="0"/>
          <w:numId w:val="9"/>
        </w:numPr>
        <w:tabs>
          <w:tab w:val="clear" w:pos="720"/>
        </w:tabs>
        <w:spacing w:before="60"/>
        <w:ind w:left="426"/>
        <w:rPr>
          <w:rFonts w:ascii="Arial" w:hAnsi="Arial" w:cs="Arial"/>
          <w:sz w:val="22"/>
          <w:szCs w:val="22"/>
        </w:rPr>
      </w:pPr>
      <w:r w:rsidRPr="00AB306E">
        <w:rPr>
          <w:rFonts w:ascii="Arial" w:hAnsi="Arial" w:cs="Arial"/>
          <w:sz w:val="22"/>
          <w:szCs w:val="22"/>
        </w:rPr>
        <w:t>the reference technologies;</w:t>
      </w:r>
    </w:p>
    <w:p w:rsidR="00647590" w:rsidRPr="00AB306E" w:rsidRDefault="00647590" w:rsidP="00AB306E">
      <w:pPr>
        <w:numPr>
          <w:ilvl w:val="0"/>
          <w:numId w:val="9"/>
        </w:numPr>
        <w:tabs>
          <w:tab w:val="clear" w:pos="720"/>
        </w:tabs>
        <w:spacing w:before="60"/>
        <w:ind w:left="426"/>
        <w:rPr>
          <w:rFonts w:ascii="Arial" w:hAnsi="Arial" w:cs="Arial"/>
          <w:sz w:val="22"/>
          <w:szCs w:val="22"/>
        </w:rPr>
      </w:pPr>
      <w:r w:rsidRPr="00AB306E">
        <w:rPr>
          <w:rFonts w:ascii="Arial" w:hAnsi="Arial" w:cs="Arial"/>
          <w:sz w:val="22"/>
          <w:szCs w:val="22"/>
        </w:rPr>
        <w:t>the standard trading unit</w:t>
      </w:r>
      <w:r w:rsidR="00163BB0" w:rsidRPr="00AB306E">
        <w:rPr>
          <w:rFonts w:ascii="Arial" w:hAnsi="Arial" w:cs="Arial"/>
          <w:sz w:val="22"/>
          <w:szCs w:val="22"/>
        </w:rPr>
        <w:t xml:space="preserve"> </w:t>
      </w:r>
      <w:r w:rsidRPr="00AB306E">
        <w:rPr>
          <w:rFonts w:ascii="Arial" w:hAnsi="Arial" w:cs="Arial"/>
          <w:sz w:val="22"/>
          <w:szCs w:val="22"/>
        </w:rPr>
        <w:t>and minimum contiguous bandwidth</w:t>
      </w:r>
      <w:r w:rsidR="005A2BC2" w:rsidRPr="00AB306E">
        <w:rPr>
          <w:rFonts w:ascii="Arial" w:hAnsi="Arial" w:cs="Arial"/>
          <w:sz w:val="22"/>
          <w:szCs w:val="22"/>
        </w:rPr>
        <w:t xml:space="preserve"> (MCB)</w:t>
      </w:r>
      <w:r w:rsidRPr="00AB306E">
        <w:rPr>
          <w:rFonts w:ascii="Arial" w:hAnsi="Arial" w:cs="Arial"/>
          <w:sz w:val="22"/>
          <w:szCs w:val="22"/>
        </w:rPr>
        <w:t>;</w:t>
      </w:r>
    </w:p>
    <w:p w:rsidR="00647590" w:rsidRPr="00AB306E" w:rsidRDefault="00647590" w:rsidP="00AB306E">
      <w:pPr>
        <w:numPr>
          <w:ilvl w:val="0"/>
          <w:numId w:val="9"/>
        </w:numPr>
        <w:tabs>
          <w:tab w:val="clear" w:pos="720"/>
        </w:tabs>
        <w:spacing w:before="60"/>
        <w:ind w:left="426"/>
        <w:rPr>
          <w:rFonts w:ascii="Arial" w:hAnsi="Arial" w:cs="Arial"/>
          <w:sz w:val="22"/>
          <w:szCs w:val="22"/>
        </w:rPr>
      </w:pPr>
      <w:r w:rsidRPr="00AB306E">
        <w:rPr>
          <w:rFonts w:ascii="Arial" w:hAnsi="Arial" w:cs="Arial"/>
          <w:sz w:val="22"/>
          <w:szCs w:val="22"/>
        </w:rPr>
        <w:t>the out-of-area emission limit; and</w:t>
      </w:r>
    </w:p>
    <w:p w:rsidR="00647590" w:rsidRPr="00AB306E" w:rsidRDefault="00647590" w:rsidP="00AB306E">
      <w:pPr>
        <w:numPr>
          <w:ilvl w:val="0"/>
          <w:numId w:val="9"/>
        </w:numPr>
        <w:tabs>
          <w:tab w:val="clear" w:pos="720"/>
        </w:tabs>
        <w:spacing w:before="60"/>
        <w:ind w:left="426"/>
        <w:rPr>
          <w:rFonts w:ascii="Arial" w:hAnsi="Arial" w:cs="Arial"/>
          <w:sz w:val="22"/>
          <w:szCs w:val="22"/>
        </w:rPr>
      </w:pPr>
      <w:proofErr w:type="gramStart"/>
      <w:r w:rsidRPr="00AB306E">
        <w:rPr>
          <w:rFonts w:ascii="Arial" w:hAnsi="Arial" w:cs="Arial"/>
          <w:sz w:val="22"/>
          <w:szCs w:val="22"/>
        </w:rPr>
        <w:t>the</w:t>
      </w:r>
      <w:proofErr w:type="gramEnd"/>
      <w:r w:rsidRPr="00AB306E">
        <w:rPr>
          <w:rFonts w:ascii="Arial" w:hAnsi="Arial" w:cs="Arial"/>
          <w:sz w:val="22"/>
          <w:szCs w:val="22"/>
        </w:rPr>
        <w:t xml:space="preserve"> out-of-band emission limits.</w:t>
      </w:r>
    </w:p>
    <w:p w:rsidR="009B55EE" w:rsidRDefault="009B55EE" w:rsidP="003F2551">
      <w:pPr>
        <w:spacing w:line="276" w:lineRule="auto"/>
        <w:rPr>
          <w:rFonts w:ascii="Arial" w:hAnsi="Arial" w:cs="Arial"/>
          <w:sz w:val="22"/>
          <w:szCs w:val="22"/>
        </w:rPr>
      </w:pPr>
    </w:p>
    <w:p w:rsidR="00647590" w:rsidRPr="00AB306E" w:rsidRDefault="00647590" w:rsidP="00AB306E">
      <w:pPr>
        <w:spacing w:before="240"/>
        <w:rPr>
          <w:rFonts w:ascii="Arial" w:hAnsi="Arial" w:cs="Arial"/>
          <w:sz w:val="22"/>
          <w:szCs w:val="22"/>
        </w:rPr>
      </w:pPr>
      <w:r w:rsidRPr="00AB306E">
        <w:rPr>
          <w:rFonts w:ascii="Arial" w:hAnsi="Arial" w:cs="Arial"/>
          <w:sz w:val="22"/>
          <w:szCs w:val="22"/>
        </w:rPr>
        <w:t xml:space="preserve">The last two items, together with the frequency and geographic boundaries, make up the core conditions of the spectrum licence as defined in Section 66 of </w:t>
      </w:r>
      <w:r w:rsidRPr="00AB306E">
        <w:rPr>
          <w:rFonts w:ascii="Arial" w:hAnsi="Arial" w:cs="Arial"/>
          <w:i/>
          <w:sz w:val="22"/>
          <w:szCs w:val="22"/>
        </w:rPr>
        <w:t>the Act</w:t>
      </w:r>
      <w:r w:rsidRPr="00AB306E">
        <w:rPr>
          <w:rFonts w:ascii="Arial" w:hAnsi="Arial" w:cs="Arial"/>
          <w:sz w:val="22"/>
          <w:szCs w:val="22"/>
        </w:rPr>
        <w:t>.</w:t>
      </w:r>
      <w:r w:rsidR="00285262" w:rsidRPr="00AB306E">
        <w:rPr>
          <w:rFonts w:ascii="Arial" w:hAnsi="Arial" w:cs="Arial"/>
          <w:sz w:val="22"/>
          <w:szCs w:val="22"/>
        </w:rPr>
        <w:t xml:space="preserve"> </w:t>
      </w:r>
      <w:r w:rsidRPr="00AB306E">
        <w:rPr>
          <w:rFonts w:ascii="Arial" w:hAnsi="Arial" w:cs="Arial"/>
          <w:sz w:val="22"/>
          <w:szCs w:val="22"/>
        </w:rPr>
        <w:t xml:space="preserve">This discussion paper examines each of these four items of the framework, </w:t>
      </w:r>
      <w:r w:rsidR="00EB3B78" w:rsidRPr="00AB306E">
        <w:rPr>
          <w:rFonts w:ascii="Arial" w:hAnsi="Arial" w:cs="Arial"/>
          <w:sz w:val="22"/>
          <w:szCs w:val="22"/>
        </w:rPr>
        <w:t>considering the specifications of the reference technologies, the</w:t>
      </w:r>
      <w:r w:rsidRPr="00AB306E">
        <w:rPr>
          <w:rFonts w:ascii="Arial" w:hAnsi="Arial" w:cs="Arial"/>
          <w:sz w:val="22"/>
          <w:szCs w:val="22"/>
        </w:rPr>
        <w:t xml:space="preserve"> arrangements in place overseas</w:t>
      </w:r>
      <w:r w:rsidR="00EB3B78" w:rsidRPr="00AB306E">
        <w:rPr>
          <w:rFonts w:ascii="Arial" w:hAnsi="Arial" w:cs="Arial"/>
          <w:sz w:val="22"/>
          <w:szCs w:val="22"/>
        </w:rPr>
        <w:t>,</w:t>
      </w:r>
      <w:r w:rsidRPr="00AB306E">
        <w:rPr>
          <w:rFonts w:ascii="Arial" w:hAnsi="Arial" w:cs="Arial"/>
          <w:sz w:val="22"/>
          <w:szCs w:val="22"/>
        </w:rPr>
        <w:t xml:space="preserve"> and propos</w:t>
      </w:r>
      <w:r w:rsidR="004B620D" w:rsidRPr="00AB306E">
        <w:rPr>
          <w:rFonts w:ascii="Arial" w:hAnsi="Arial" w:cs="Arial"/>
          <w:sz w:val="22"/>
          <w:szCs w:val="22"/>
        </w:rPr>
        <w:t>ed</w:t>
      </w:r>
      <w:r w:rsidRPr="00AB306E">
        <w:rPr>
          <w:rFonts w:ascii="Arial" w:hAnsi="Arial" w:cs="Arial"/>
          <w:sz w:val="22"/>
          <w:szCs w:val="22"/>
        </w:rPr>
        <w:t xml:space="preserve"> arrangements </w:t>
      </w:r>
      <w:r w:rsidR="00EB3B78" w:rsidRPr="00AB306E">
        <w:rPr>
          <w:rFonts w:ascii="Arial" w:hAnsi="Arial" w:cs="Arial"/>
          <w:sz w:val="22"/>
          <w:szCs w:val="22"/>
        </w:rPr>
        <w:t xml:space="preserve">to be put in place </w:t>
      </w:r>
      <w:r w:rsidRPr="00AB306E">
        <w:rPr>
          <w:rFonts w:ascii="Arial" w:hAnsi="Arial" w:cs="Arial"/>
          <w:sz w:val="22"/>
          <w:szCs w:val="22"/>
        </w:rPr>
        <w:t>in Australia.</w:t>
      </w:r>
      <w:r w:rsidR="00285262" w:rsidRPr="00AB306E">
        <w:rPr>
          <w:rFonts w:ascii="Arial" w:hAnsi="Arial" w:cs="Arial"/>
          <w:sz w:val="22"/>
          <w:szCs w:val="22"/>
        </w:rPr>
        <w:t xml:space="preserve"> </w:t>
      </w:r>
      <w:r w:rsidRPr="00AB306E">
        <w:rPr>
          <w:rFonts w:ascii="Arial" w:hAnsi="Arial" w:cs="Arial"/>
          <w:sz w:val="22"/>
          <w:szCs w:val="22"/>
        </w:rPr>
        <w:t xml:space="preserve">An outline of the reasoning leading to selection of the proposed </w:t>
      </w:r>
      <w:r w:rsidR="004B3A66" w:rsidRPr="00AB306E">
        <w:rPr>
          <w:rFonts w:ascii="Arial" w:hAnsi="Arial" w:cs="Arial"/>
          <w:sz w:val="22"/>
          <w:szCs w:val="22"/>
        </w:rPr>
        <w:t xml:space="preserve">values for each item </w:t>
      </w:r>
      <w:r w:rsidRPr="00AB306E">
        <w:rPr>
          <w:rFonts w:ascii="Arial" w:hAnsi="Arial" w:cs="Arial"/>
          <w:sz w:val="22"/>
          <w:szCs w:val="22"/>
        </w:rPr>
        <w:t>is provided.</w:t>
      </w:r>
    </w:p>
    <w:p w:rsidR="00647590" w:rsidRPr="00AB306E" w:rsidRDefault="00647590" w:rsidP="00AB306E">
      <w:pPr>
        <w:spacing w:before="240"/>
        <w:rPr>
          <w:rFonts w:ascii="Arial" w:hAnsi="Arial" w:cs="Arial"/>
          <w:sz w:val="22"/>
          <w:szCs w:val="22"/>
        </w:rPr>
      </w:pPr>
      <w:r w:rsidRPr="00AB306E">
        <w:rPr>
          <w:rFonts w:ascii="Arial" w:hAnsi="Arial" w:cs="Arial"/>
          <w:sz w:val="22"/>
          <w:szCs w:val="22"/>
        </w:rPr>
        <w:t xml:space="preserve">This is a discussion paper and the views and suggestions of the members of the </w:t>
      </w:r>
      <w:r w:rsidR="004B620D" w:rsidRPr="00AB306E">
        <w:rPr>
          <w:rFonts w:ascii="Arial" w:hAnsi="Arial" w:cs="Arial"/>
          <w:sz w:val="22"/>
          <w:szCs w:val="22"/>
        </w:rPr>
        <w:t>TLG</w:t>
      </w:r>
      <w:r w:rsidRPr="00AB306E">
        <w:rPr>
          <w:rFonts w:ascii="Arial" w:hAnsi="Arial" w:cs="Arial"/>
          <w:sz w:val="22"/>
          <w:szCs w:val="22"/>
        </w:rPr>
        <w:t xml:space="preserve"> are sought as to the relevance and suit</w:t>
      </w:r>
      <w:r w:rsidR="00C35AE9">
        <w:rPr>
          <w:rFonts w:ascii="Arial" w:hAnsi="Arial" w:cs="Arial"/>
          <w:sz w:val="22"/>
          <w:szCs w:val="22"/>
        </w:rPr>
        <w:t>ability of the proposed values.</w:t>
      </w:r>
    </w:p>
    <w:p w:rsidR="00647590" w:rsidRPr="00AB306E" w:rsidRDefault="00647590" w:rsidP="00AB306E">
      <w:pPr>
        <w:pStyle w:val="Heading2"/>
        <w:numPr>
          <w:ilvl w:val="0"/>
          <w:numId w:val="4"/>
        </w:numPr>
        <w:rPr>
          <w:rFonts w:ascii="Arial" w:hAnsi="Arial" w:cs="Arial"/>
          <w:color w:val="auto"/>
        </w:rPr>
      </w:pPr>
      <w:r w:rsidRPr="00AB306E">
        <w:rPr>
          <w:rFonts w:ascii="Arial" w:hAnsi="Arial" w:cs="Arial"/>
          <w:color w:val="auto"/>
        </w:rPr>
        <w:t>Reference Technologies</w:t>
      </w:r>
    </w:p>
    <w:p w:rsidR="00647590" w:rsidRPr="00AB306E" w:rsidRDefault="00647590" w:rsidP="00AB306E">
      <w:pPr>
        <w:keepNext/>
        <w:rPr>
          <w:rFonts w:ascii="Arial" w:hAnsi="Arial" w:cs="Arial"/>
          <w:sz w:val="22"/>
          <w:szCs w:val="22"/>
        </w:rPr>
      </w:pPr>
      <w:r w:rsidRPr="00AB306E">
        <w:rPr>
          <w:rFonts w:ascii="Arial" w:hAnsi="Arial" w:cs="Arial"/>
          <w:sz w:val="22"/>
          <w:szCs w:val="22"/>
        </w:rPr>
        <w:t>The proposed reference technologies that will be specifically considered in the de</w:t>
      </w:r>
      <w:r w:rsidR="00C35AE9">
        <w:rPr>
          <w:rFonts w:ascii="Arial" w:hAnsi="Arial" w:cs="Arial"/>
          <w:sz w:val="22"/>
          <w:szCs w:val="22"/>
        </w:rPr>
        <w:t>velopment of the framework are:</w:t>
      </w:r>
    </w:p>
    <w:p w:rsidR="00647590" w:rsidRPr="00AB306E" w:rsidRDefault="00647590" w:rsidP="00AB306E">
      <w:pPr>
        <w:tabs>
          <w:tab w:val="left" w:pos="1985"/>
          <w:tab w:val="left" w:pos="3261"/>
          <w:tab w:val="left" w:pos="5954"/>
        </w:tabs>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28"/>
        <w:gridCol w:w="1150"/>
        <w:gridCol w:w="2746"/>
        <w:gridCol w:w="1946"/>
      </w:tblGrid>
      <w:tr w:rsidR="00BA0048" w:rsidRPr="00AB306E" w:rsidTr="00AA06B1">
        <w:tc>
          <w:tcPr>
            <w:tcW w:w="2376" w:type="dxa"/>
            <w:shd w:val="clear" w:color="auto" w:fill="auto"/>
          </w:tcPr>
          <w:p w:rsidR="00BA0048" w:rsidRPr="00AB306E" w:rsidRDefault="00BA0048" w:rsidP="00AB306E">
            <w:pPr>
              <w:tabs>
                <w:tab w:val="left" w:pos="1985"/>
                <w:tab w:val="left" w:pos="3261"/>
                <w:tab w:val="left" w:pos="5954"/>
              </w:tabs>
              <w:rPr>
                <w:rFonts w:ascii="Arial" w:hAnsi="Arial" w:cs="Arial"/>
              </w:rPr>
            </w:pPr>
            <w:r w:rsidRPr="00AB306E">
              <w:rPr>
                <w:rFonts w:ascii="Arial" w:hAnsi="Arial" w:cs="Arial"/>
              </w:rPr>
              <w:t>UMTS (UTRA)</w:t>
            </w:r>
          </w:p>
        </w:tc>
        <w:tc>
          <w:tcPr>
            <w:tcW w:w="1311" w:type="dxa"/>
            <w:shd w:val="clear" w:color="auto" w:fill="auto"/>
          </w:tcPr>
          <w:p w:rsidR="00BA0048" w:rsidRPr="00AB306E" w:rsidRDefault="00BA0048" w:rsidP="00AB306E">
            <w:pPr>
              <w:tabs>
                <w:tab w:val="left" w:pos="1985"/>
                <w:tab w:val="left" w:pos="3261"/>
                <w:tab w:val="left" w:pos="5954"/>
              </w:tabs>
              <w:rPr>
                <w:rFonts w:ascii="Arial" w:hAnsi="Arial" w:cs="Arial"/>
              </w:rPr>
            </w:pPr>
            <w:r w:rsidRPr="00AB306E">
              <w:rPr>
                <w:rFonts w:ascii="Arial" w:hAnsi="Arial" w:cs="Arial"/>
              </w:rPr>
              <w:t>New</w:t>
            </w:r>
          </w:p>
        </w:tc>
        <w:tc>
          <w:tcPr>
            <w:tcW w:w="3256" w:type="dxa"/>
            <w:shd w:val="clear" w:color="auto" w:fill="auto"/>
          </w:tcPr>
          <w:p w:rsidR="00BA0048" w:rsidRPr="00AB306E" w:rsidRDefault="00BA0048" w:rsidP="00AB306E">
            <w:pPr>
              <w:tabs>
                <w:tab w:val="left" w:pos="1985"/>
                <w:tab w:val="left" w:pos="3261"/>
                <w:tab w:val="left" w:pos="5954"/>
              </w:tabs>
              <w:rPr>
                <w:rFonts w:ascii="Arial" w:hAnsi="Arial" w:cs="Arial"/>
              </w:rPr>
            </w:pPr>
            <w:r w:rsidRPr="00AB306E">
              <w:rPr>
                <w:rFonts w:ascii="Arial" w:hAnsi="Arial" w:cs="Arial"/>
              </w:rPr>
              <w:t>Two frequency</w:t>
            </w:r>
            <w:r w:rsidR="008765B6" w:rsidRPr="00AB306E">
              <w:rPr>
                <w:rFonts w:ascii="Arial" w:hAnsi="Arial" w:cs="Arial"/>
              </w:rPr>
              <w:t xml:space="preserve"> (FDD)</w:t>
            </w:r>
          </w:p>
        </w:tc>
        <w:tc>
          <w:tcPr>
            <w:tcW w:w="2299" w:type="dxa"/>
            <w:shd w:val="clear" w:color="auto" w:fill="auto"/>
          </w:tcPr>
          <w:p w:rsidR="00BA0048" w:rsidRPr="00AB306E" w:rsidRDefault="00BA0048" w:rsidP="00AB306E">
            <w:pPr>
              <w:tabs>
                <w:tab w:val="left" w:pos="1985"/>
                <w:tab w:val="left" w:pos="3261"/>
                <w:tab w:val="left" w:pos="5954"/>
              </w:tabs>
              <w:rPr>
                <w:rFonts w:ascii="Arial" w:hAnsi="Arial" w:cs="Arial"/>
              </w:rPr>
            </w:pPr>
            <w:r w:rsidRPr="00AB306E">
              <w:rPr>
                <w:rFonts w:ascii="Arial" w:hAnsi="Arial" w:cs="Arial"/>
              </w:rPr>
              <w:t>Fixed and mobile</w:t>
            </w:r>
          </w:p>
        </w:tc>
      </w:tr>
      <w:tr w:rsidR="00BA0048" w:rsidRPr="00AB306E" w:rsidTr="00AA06B1">
        <w:tc>
          <w:tcPr>
            <w:tcW w:w="2376" w:type="dxa"/>
            <w:shd w:val="clear" w:color="auto" w:fill="auto"/>
          </w:tcPr>
          <w:p w:rsidR="00BA0048" w:rsidRPr="00AB306E" w:rsidRDefault="00BA0048" w:rsidP="00AB306E">
            <w:pPr>
              <w:tabs>
                <w:tab w:val="left" w:pos="1985"/>
                <w:tab w:val="left" w:pos="3261"/>
                <w:tab w:val="left" w:pos="5954"/>
              </w:tabs>
              <w:rPr>
                <w:rFonts w:ascii="Arial" w:hAnsi="Arial" w:cs="Arial"/>
              </w:rPr>
            </w:pPr>
            <w:r w:rsidRPr="00AB306E">
              <w:rPr>
                <w:rFonts w:ascii="Arial" w:hAnsi="Arial" w:cs="Arial"/>
              </w:rPr>
              <w:t>LTE (E-UTRA)</w:t>
            </w:r>
          </w:p>
        </w:tc>
        <w:tc>
          <w:tcPr>
            <w:tcW w:w="1311" w:type="dxa"/>
            <w:shd w:val="clear" w:color="auto" w:fill="auto"/>
          </w:tcPr>
          <w:p w:rsidR="00BA0048" w:rsidRPr="00AB306E" w:rsidRDefault="00BA0048" w:rsidP="00AB306E">
            <w:pPr>
              <w:tabs>
                <w:tab w:val="left" w:pos="1985"/>
                <w:tab w:val="left" w:pos="3261"/>
                <w:tab w:val="left" w:pos="5954"/>
              </w:tabs>
              <w:rPr>
                <w:rFonts w:ascii="Arial" w:hAnsi="Arial" w:cs="Arial"/>
              </w:rPr>
            </w:pPr>
            <w:r w:rsidRPr="00AB306E">
              <w:rPr>
                <w:rFonts w:ascii="Arial" w:hAnsi="Arial" w:cs="Arial"/>
              </w:rPr>
              <w:t>New</w:t>
            </w:r>
          </w:p>
        </w:tc>
        <w:tc>
          <w:tcPr>
            <w:tcW w:w="3256" w:type="dxa"/>
            <w:shd w:val="clear" w:color="auto" w:fill="auto"/>
          </w:tcPr>
          <w:p w:rsidR="00BA0048" w:rsidRPr="00AB306E" w:rsidRDefault="00BA0048" w:rsidP="00AB306E">
            <w:pPr>
              <w:tabs>
                <w:tab w:val="left" w:pos="1985"/>
                <w:tab w:val="left" w:pos="3261"/>
                <w:tab w:val="left" w:pos="5954"/>
              </w:tabs>
              <w:rPr>
                <w:rFonts w:ascii="Arial" w:hAnsi="Arial" w:cs="Arial"/>
              </w:rPr>
            </w:pPr>
            <w:r w:rsidRPr="00AB306E">
              <w:rPr>
                <w:rFonts w:ascii="Arial" w:hAnsi="Arial" w:cs="Arial"/>
              </w:rPr>
              <w:t>Two frequency</w:t>
            </w:r>
            <w:r w:rsidR="008765B6" w:rsidRPr="00AB306E">
              <w:rPr>
                <w:rFonts w:ascii="Arial" w:hAnsi="Arial" w:cs="Arial"/>
              </w:rPr>
              <w:t xml:space="preserve"> (FDD)</w:t>
            </w:r>
          </w:p>
        </w:tc>
        <w:tc>
          <w:tcPr>
            <w:tcW w:w="2299" w:type="dxa"/>
            <w:shd w:val="clear" w:color="auto" w:fill="auto"/>
          </w:tcPr>
          <w:p w:rsidR="00BA0048" w:rsidRPr="00AB306E" w:rsidRDefault="00BA0048" w:rsidP="00AB306E">
            <w:pPr>
              <w:tabs>
                <w:tab w:val="left" w:pos="1985"/>
                <w:tab w:val="left" w:pos="3261"/>
                <w:tab w:val="left" w:pos="5954"/>
              </w:tabs>
              <w:rPr>
                <w:rFonts w:ascii="Arial" w:hAnsi="Arial" w:cs="Arial"/>
              </w:rPr>
            </w:pPr>
            <w:r w:rsidRPr="00AB306E">
              <w:rPr>
                <w:rFonts w:ascii="Arial" w:hAnsi="Arial" w:cs="Arial"/>
              </w:rPr>
              <w:t>Fixed and mobile</w:t>
            </w:r>
          </w:p>
        </w:tc>
      </w:tr>
    </w:tbl>
    <w:p w:rsidR="00AA06B1" w:rsidRPr="00AB306E" w:rsidRDefault="00AA06B1" w:rsidP="00AB306E">
      <w:pPr>
        <w:rPr>
          <w:rFonts w:ascii="Arial" w:hAnsi="Arial" w:cs="Arial"/>
          <w:sz w:val="22"/>
          <w:szCs w:val="22"/>
        </w:rPr>
      </w:pPr>
    </w:p>
    <w:p w:rsidR="00AB306E" w:rsidRPr="00AB306E" w:rsidRDefault="00647590" w:rsidP="009B55EE">
      <w:pPr>
        <w:rPr>
          <w:rFonts w:ascii="Arial" w:hAnsi="Arial" w:cs="Arial"/>
          <w:sz w:val="22"/>
          <w:szCs w:val="22"/>
        </w:rPr>
      </w:pPr>
      <w:r w:rsidRPr="00AB306E">
        <w:rPr>
          <w:rFonts w:ascii="Arial" w:hAnsi="Arial" w:cs="Arial"/>
          <w:sz w:val="22"/>
          <w:szCs w:val="22"/>
        </w:rPr>
        <w:t>This does not exclude other technologies from being used under the framework</w:t>
      </w:r>
      <w:r w:rsidR="001B68F0" w:rsidRPr="00AB306E">
        <w:rPr>
          <w:rFonts w:ascii="Arial" w:hAnsi="Arial" w:cs="Arial"/>
          <w:sz w:val="22"/>
          <w:szCs w:val="22"/>
        </w:rPr>
        <w:t>;</w:t>
      </w:r>
      <w:r w:rsidR="005A6C7B" w:rsidRPr="00AB306E">
        <w:rPr>
          <w:rFonts w:ascii="Arial" w:hAnsi="Arial" w:cs="Arial"/>
          <w:sz w:val="22"/>
          <w:szCs w:val="22"/>
        </w:rPr>
        <w:t xml:space="preserve"> </w:t>
      </w:r>
      <w:r w:rsidR="001B68F0" w:rsidRPr="00AB306E">
        <w:rPr>
          <w:rFonts w:ascii="Arial" w:hAnsi="Arial" w:cs="Arial"/>
          <w:sz w:val="22"/>
          <w:szCs w:val="22"/>
        </w:rPr>
        <w:t>r</w:t>
      </w:r>
      <w:r w:rsidRPr="00AB306E">
        <w:rPr>
          <w:rFonts w:ascii="Arial" w:hAnsi="Arial" w:cs="Arial"/>
          <w:sz w:val="22"/>
          <w:szCs w:val="22"/>
        </w:rPr>
        <w:t xml:space="preserve">ather, it is proposed that the framework will be developed with specific reference to these technologies. </w:t>
      </w:r>
      <w:r w:rsidR="000278FB" w:rsidRPr="00AB306E">
        <w:rPr>
          <w:rFonts w:ascii="Arial" w:hAnsi="Arial" w:cs="Arial"/>
          <w:sz w:val="22"/>
          <w:szCs w:val="22"/>
        </w:rPr>
        <w:t>As there has been little interest in the use of TDD systems in this band in Australia, o</w:t>
      </w:r>
      <w:r w:rsidR="00080A35" w:rsidRPr="00AB306E">
        <w:rPr>
          <w:rFonts w:ascii="Arial" w:hAnsi="Arial" w:cs="Arial"/>
          <w:sz w:val="22"/>
          <w:szCs w:val="22"/>
        </w:rPr>
        <w:t xml:space="preserve">nly FDD </w:t>
      </w:r>
      <w:r w:rsidRPr="00AB306E">
        <w:rPr>
          <w:rFonts w:ascii="Arial" w:hAnsi="Arial" w:cs="Arial"/>
          <w:sz w:val="22"/>
          <w:szCs w:val="22"/>
        </w:rPr>
        <w:t>technologies</w:t>
      </w:r>
      <w:r w:rsidR="00080A35" w:rsidRPr="00AB306E">
        <w:rPr>
          <w:rFonts w:ascii="Arial" w:hAnsi="Arial" w:cs="Arial"/>
          <w:sz w:val="22"/>
          <w:szCs w:val="22"/>
        </w:rPr>
        <w:t xml:space="preserve"> are being considered</w:t>
      </w:r>
      <w:r w:rsidR="000278FB" w:rsidRPr="00AB306E">
        <w:rPr>
          <w:rFonts w:ascii="Arial" w:hAnsi="Arial" w:cs="Arial"/>
          <w:sz w:val="22"/>
          <w:szCs w:val="22"/>
        </w:rPr>
        <w:t>.</w:t>
      </w:r>
      <w:r w:rsidR="008D1578" w:rsidRPr="00AB306E">
        <w:rPr>
          <w:rFonts w:ascii="Arial" w:hAnsi="Arial" w:cs="Arial"/>
          <w:sz w:val="22"/>
          <w:szCs w:val="22"/>
        </w:rPr>
        <w:t xml:space="preserve"> </w:t>
      </w:r>
      <w:r w:rsidR="000278FB" w:rsidRPr="00AB306E">
        <w:rPr>
          <w:rFonts w:ascii="Arial" w:hAnsi="Arial" w:cs="Arial"/>
          <w:sz w:val="22"/>
          <w:szCs w:val="22"/>
        </w:rPr>
        <w:t>T</w:t>
      </w:r>
      <w:r w:rsidR="00080A35" w:rsidRPr="00AB306E">
        <w:rPr>
          <w:rFonts w:ascii="Arial" w:hAnsi="Arial" w:cs="Arial"/>
          <w:sz w:val="22"/>
          <w:szCs w:val="22"/>
        </w:rPr>
        <w:t>he</w:t>
      </w:r>
      <w:r w:rsidR="008D1578" w:rsidRPr="00AB306E">
        <w:rPr>
          <w:rFonts w:ascii="Arial" w:hAnsi="Arial" w:cs="Arial"/>
          <w:sz w:val="22"/>
          <w:szCs w:val="22"/>
        </w:rPr>
        <w:t xml:space="preserve"> proposed framework will be optimised to support FDD</w:t>
      </w:r>
      <w:r w:rsidR="00080A35" w:rsidRPr="00AB306E">
        <w:rPr>
          <w:rFonts w:ascii="Arial" w:hAnsi="Arial" w:cs="Arial"/>
          <w:sz w:val="22"/>
          <w:szCs w:val="22"/>
        </w:rPr>
        <w:t xml:space="preserve"> in line with band arrangements developed by the AWG for FDD</w:t>
      </w:r>
      <w:r w:rsidR="000278FB" w:rsidRPr="00AB306E">
        <w:rPr>
          <w:rFonts w:ascii="Arial" w:hAnsi="Arial" w:cs="Arial"/>
          <w:sz w:val="22"/>
          <w:szCs w:val="22"/>
        </w:rPr>
        <w:t>.</w:t>
      </w:r>
    </w:p>
    <w:p w:rsidR="00F82BEA" w:rsidRPr="00AB306E" w:rsidRDefault="00647590" w:rsidP="00D93D73">
      <w:pPr>
        <w:pStyle w:val="Heading2"/>
        <w:numPr>
          <w:ilvl w:val="0"/>
          <w:numId w:val="4"/>
        </w:numPr>
        <w:rPr>
          <w:rFonts w:ascii="Arial" w:hAnsi="Arial" w:cs="Arial"/>
          <w:color w:val="auto"/>
        </w:rPr>
      </w:pPr>
      <w:r w:rsidRPr="00AB306E">
        <w:rPr>
          <w:rFonts w:ascii="Arial" w:hAnsi="Arial" w:cs="Arial"/>
          <w:color w:val="auto"/>
        </w:rPr>
        <w:t>Standard Trading Unit and Minimum Contiguous Bandwidth</w:t>
      </w:r>
    </w:p>
    <w:p w:rsidR="00892701" w:rsidRPr="00AB306E" w:rsidRDefault="00EA2FC5" w:rsidP="00AB306E">
      <w:pPr>
        <w:rPr>
          <w:rFonts w:ascii="Arial" w:hAnsi="Arial" w:cs="Arial"/>
        </w:rPr>
      </w:pPr>
      <w:r w:rsidRPr="00AB306E">
        <w:rPr>
          <w:rFonts w:ascii="Arial" w:hAnsi="Arial" w:cs="Arial"/>
          <w:sz w:val="22"/>
          <w:szCs w:val="22"/>
        </w:rPr>
        <w:t xml:space="preserve">Previously, spectrum licence technical frameworks were based on </w:t>
      </w:r>
      <w:r w:rsidR="000278FB" w:rsidRPr="00AB306E">
        <w:rPr>
          <w:rFonts w:ascii="Arial" w:hAnsi="Arial" w:cs="Arial"/>
          <w:sz w:val="22"/>
          <w:szCs w:val="22"/>
        </w:rPr>
        <w:t xml:space="preserve">the </w:t>
      </w:r>
      <w:r w:rsidRPr="00AB306E">
        <w:rPr>
          <w:rFonts w:ascii="Arial" w:hAnsi="Arial" w:cs="Arial"/>
          <w:sz w:val="22"/>
          <w:szCs w:val="22"/>
        </w:rPr>
        <w:t>use of a Standard Trading Unit (STU) that defined the minimum unit for the trading of spec</w:t>
      </w:r>
      <w:r w:rsidR="00E20753" w:rsidRPr="00AB306E">
        <w:rPr>
          <w:rFonts w:ascii="Arial" w:hAnsi="Arial" w:cs="Arial"/>
          <w:sz w:val="22"/>
          <w:szCs w:val="22"/>
        </w:rPr>
        <w:t>trum under spectrum licen</w:t>
      </w:r>
      <w:r w:rsidR="000278FB" w:rsidRPr="00AB306E">
        <w:rPr>
          <w:rFonts w:ascii="Arial" w:hAnsi="Arial" w:cs="Arial"/>
          <w:sz w:val="22"/>
          <w:szCs w:val="22"/>
        </w:rPr>
        <w:t>ces</w:t>
      </w:r>
      <w:r w:rsidR="00E20753" w:rsidRPr="00AB306E">
        <w:rPr>
          <w:rFonts w:ascii="Arial" w:hAnsi="Arial" w:cs="Arial"/>
          <w:sz w:val="22"/>
          <w:szCs w:val="22"/>
        </w:rPr>
        <w:t xml:space="preserve">. </w:t>
      </w:r>
      <w:r w:rsidRPr="00AB306E">
        <w:rPr>
          <w:rFonts w:ascii="Arial" w:hAnsi="Arial" w:cs="Arial"/>
          <w:sz w:val="22"/>
          <w:szCs w:val="22"/>
        </w:rPr>
        <w:t>The size of the STU was defined in terms of both geographic area and</w:t>
      </w:r>
      <w:r w:rsidR="00AB306E">
        <w:rPr>
          <w:rFonts w:ascii="Arial" w:hAnsi="Arial" w:cs="Arial"/>
          <w:sz w:val="22"/>
          <w:szCs w:val="22"/>
        </w:rPr>
        <w:t xml:space="preserve"> frequency bandwidth.</w:t>
      </w:r>
    </w:p>
    <w:p w:rsidR="00892701" w:rsidRPr="00AB306E" w:rsidRDefault="00F97F5A" w:rsidP="00C63094">
      <w:pPr>
        <w:pStyle w:val="Heading3"/>
        <w:jc w:val="both"/>
        <w:rPr>
          <w:rFonts w:ascii="Arial" w:hAnsi="Arial" w:cs="Arial"/>
          <w:color w:val="auto"/>
        </w:rPr>
      </w:pPr>
      <w:r w:rsidRPr="00AB306E">
        <w:rPr>
          <w:rFonts w:ascii="Arial" w:hAnsi="Arial" w:cs="Arial"/>
          <w:color w:val="auto"/>
        </w:rPr>
        <w:t xml:space="preserve">4.1 </w:t>
      </w:r>
      <w:r w:rsidRPr="00AB306E">
        <w:rPr>
          <w:rFonts w:ascii="Arial" w:hAnsi="Arial" w:cs="Arial"/>
          <w:color w:val="auto"/>
        </w:rPr>
        <w:tab/>
      </w:r>
      <w:r w:rsidR="00892701" w:rsidRPr="00AB306E">
        <w:rPr>
          <w:rFonts w:ascii="Arial" w:hAnsi="Arial" w:cs="Arial"/>
          <w:color w:val="auto"/>
        </w:rPr>
        <w:t>STU - Geographic</w:t>
      </w:r>
    </w:p>
    <w:p w:rsidR="00EA2FC5" w:rsidRPr="00AB306E" w:rsidRDefault="00EA2FC5" w:rsidP="00AB306E">
      <w:pPr>
        <w:rPr>
          <w:rFonts w:ascii="Arial" w:hAnsi="Arial" w:cs="Arial"/>
          <w:sz w:val="22"/>
          <w:szCs w:val="22"/>
        </w:rPr>
      </w:pPr>
      <w:r w:rsidRPr="00AB306E">
        <w:rPr>
          <w:rFonts w:ascii="Arial" w:hAnsi="Arial" w:cs="Arial"/>
          <w:sz w:val="22"/>
          <w:szCs w:val="22"/>
        </w:rPr>
        <w:t xml:space="preserve">The geographic </w:t>
      </w:r>
      <w:r w:rsidR="00892701" w:rsidRPr="00AB306E">
        <w:rPr>
          <w:rFonts w:ascii="Arial" w:hAnsi="Arial" w:cs="Arial"/>
          <w:sz w:val="22"/>
          <w:szCs w:val="22"/>
        </w:rPr>
        <w:t>STU has previously been</w:t>
      </w:r>
      <w:r w:rsidRPr="00AB306E">
        <w:rPr>
          <w:rFonts w:ascii="Arial" w:hAnsi="Arial" w:cs="Arial"/>
          <w:sz w:val="22"/>
          <w:szCs w:val="22"/>
        </w:rPr>
        <w:t xml:space="preserve"> defined using the ACMA’s Spectrum Map Grid</w:t>
      </w:r>
      <w:r w:rsidR="00892701" w:rsidRPr="00AB306E">
        <w:rPr>
          <w:rFonts w:ascii="Arial" w:hAnsi="Arial" w:cs="Arial"/>
          <w:sz w:val="22"/>
          <w:szCs w:val="22"/>
        </w:rPr>
        <w:t xml:space="preserve"> (SMG). The </w:t>
      </w:r>
      <w:r w:rsidR="00163BB0" w:rsidRPr="00AB306E">
        <w:rPr>
          <w:rFonts w:ascii="Arial" w:hAnsi="Arial" w:cs="Arial"/>
          <w:sz w:val="22"/>
          <w:szCs w:val="22"/>
        </w:rPr>
        <w:t xml:space="preserve">current </w:t>
      </w:r>
      <w:r w:rsidR="00892701" w:rsidRPr="00AB306E">
        <w:rPr>
          <w:rFonts w:ascii="Arial" w:hAnsi="Arial" w:cs="Arial"/>
          <w:sz w:val="22"/>
          <w:szCs w:val="22"/>
        </w:rPr>
        <w:t>SMG</w:t>
      </w:r>
      <w:r w:rsidRPr="00AB306E">
        <w:rPr>
          <w:rFonts w:ascii="Arial" w:hAnsi="Arial" w:cs="Arial"/>
          <w:sz w:val="22"/>
          <w:szCs w:val="22"/>
        </w:rPr>
        <w:t xml:space="preserve"> </w:t>
      </w:r>
      <w:r w:rsidR="00892701" w:rsidRPr="00AB306E">
        <w:rPr>
          <w:rFonts w:ascii="Arial" w:hAnsi="Arial" w:cs="Arial"/>
          <w:sz w:val="22"/>
          <w:szCs w:val="22"/>
        </w:rPr>
        <w:t>is</w:t>
      </w:r>
      <w:r w:rsidRPr="00AB306E">
        <w:rPr>
          <w:rFonts w:ascii="Arial" w:hAnsi="Arial" w:cs="Arial"/>
          <w:sz w:val="22"/>
          <w:szCs w:val="22"/>
        </w:rPr>
        <w:t xml:space="preserve"> referenced to the Australian Geo</w:t>
      </w:r>
      <w:r w:rsidR="000278FB" w:rsidRPr="00AB306E">
        <w:rPr>
          <w:rFonts w:ascii="Arial" w:hAnsi="Arial" w:cs="Arial"/>
          <w:sz w:val="22"/>
          <w:szCs w:val="22"/>
        </w:rPr>
        <w:t>detic</w:t>
      </w:r>
      <w:r w:rsidRPr="00AB306E">
        <w:rPr>
          <w:rFonts w:ascii="Arial" w:hAnsi="Arial" w:cs="Arial"/>
          <w:sz w:val="22"/>
          <w:szCs w:val="22"/>
        </w:rPr>
        <w:t xml:space="preserve"> Datum </w:t>
      </w:r>
      <w:r w:rsidR="000278FB" w:rsidRPr="00AB306E">
        <w:rPr>
          <w:rFonts w:ascii="Arial" w:hAnsi="Arial" w:cs="Arial"/>
          <w:sz w:val="22"/>
          <w:szCs w:val="22"/>
        </w:rPr>
        <w:t>1966 (</w:t>
      </w:r>
      <w:r w:rsidRPr="00AB306E">
        <w:rPr>
          <w:rFonts w:ascii="Arial" w:hAnsi="Arial" w:cs="Arial"/>
          <w:sz w:val="22"/>
          <w:szCs w:val="22"/>
        </w:rPr>
        <w:t>AGD66</w:t>
      </w:r>
      <w:r w:rsidR="000278FB" w:rsidRPr="00AB306E">
        <w:rPr>
          <w:rFonts w:ascii="Arial" w:hAnsi="Arial" w:cs="Arial"/>
          <w:sz w:val="22"/>
          <w:szCs w:val="22"/>
        </w:rPr>
        <w:t>)</w:t>
      </w:r>
      <w:r w:rsidRPr="00AB306E">
        <w:rPr>
          <w:rFonts w:ascii="Arial" w:hAnsi="Arial" w:cs="Arial"/>
          <w:sz w:val="22"/>
          <w:szCs w:val="22"/>
        </w:rPr>
        <w:t xml:space="preserve">.  See Figure </w:t>
      </w:r>
      <w:r w:rsidR="000278FB" w:rsidRPr="00AB306E">
        <w:rPr>
          <w:rFonts w:ascii="Arial" w:hAnsi="Arial" w:cs="Arial"/>
          <w:sz w:val="22"/>
          <w:szCs w:val="22"/>
        </w:rPr>
        <w:t>2</w:t>
      </w:r>
      <w:r w:rsidRPr="00AB306E">
        <w:rPr>
          <w:rFonts w:ascii="Arial" w:hAnsi="Arial" w:cs="Arial"/>
          <w:sz w:val="22"/>
          <w:szCs w:val="22"/>
        </w:rPr>
        <w:t>.</w:t>
      </w:r>
    </w:p>
    <w:p w:rsidR="00EA2FC5" w:rsidRDefault="00EA2FC5" w:rsidP="00AB306E">
      <w:pPr>
        <w:rPr>
          <w:rFonts w:ascii="Arial" w:hAnsi="Arial" w:cs="Arial"/>
          <w:sz w:val="22"/>
          <w:szCs w:val="22"/>
        </w:rPr>
      </w:pPr>
    </w:p>
    <w:p w:rsidR="003F2551" w:rsidRDefault="003F2551">
      <w:pPr>
        <w:spacing w:after="200" w:line="276" w:lineRule="auto"/>
        <w:rPr>
          <w:rFonts w:ascii="Arial" w:hAnsi="Arial" w:cs="Arial"/>
          <w:sz w:val="22"/>
          <w:szCs w:val="22"/>
        </w:rPr>
      </w:pPr>
      <w:r>
        <w:rPr>
          <w:rFonts w:ascii="Arial" w:hAnsi="Arial" w:cs="Arial"/>
          <w:sz w:val="22"/>
          <w:szCs w:val="22"/>
        </w:rPr>
        <w:br w:type="page"/>
      </w:r>
    </w:p>
    <w:p w:rsidR="003F2551" w:rsidRPr="00AB306E" w:rsidRDefault="003F2551" w:rsidP="00AB306E">
      <w:pPr>
        <w:rPr>
          <w:rFonts w:ascii="Arial" w:hAnsi="Arial" w:cs="Arial"/>
          <w:sz w:val="22"/>
          <w:szCs w:val="22"/>
        </w:rPr>
      </w:pPr>
    </w:p>
    <w:p w:rsidR="00EA2FC5" w:rsidRPr="00AB306E" w:rsidRDefault="00EA2FC5" w:rsidP="00AB306E">
      <w:pPr>
        <w:rPr>
          <w:rFonts w:ascii="Arial" w:hAnsi="Arial" w:cs="Arial"/>
          <w:sz w:val="22"/>
          <w:szCs w:val="22"/>
        </w:rPr>
      </w:pPr>
      <w:r w:rsidRPr="00AB306E" w:rsidDel="00CB628A">
        <w:rPr>
          <w:rFonts w:ascii="Arial" w:hAnsi="Arial" w:cs="Arial"/>
          <w:sz w:val="22"/>
          <w:szCs w:val="22"/>
        </w:rPr>
        <w:t xml:space="preserve">Since 2000, all spatial data published by the Commonwealth and state surveying and mapping agencies – excepting unrevised historic data – has used </w:t>
      </w:r>
      <w:r w:rsidRPr="00AB306E">
        <w:rPr>
          <w:rFonts w:ascii="Arial" w:hAnsi="Arial" w:cs="Arial"/>
          <w:sz w:val="22"/>
          <w:szCs w:val="22"/>
        </w:rPr>
        <w:t>the Geocentric Datum of Australia 1994 (</w:t>
      </w:r>
      <w:r w:rsidRPr="00AB306E" w:rsidDel="00CB628A">
        <w:rPr>
          <w:rFonts w:ascii="Arial" w:hAnsi="Arial" w:cs="Arial"/>
          <w:sz w:val="22"/>
          <w:szCs w:val="22"/>
        </w:rPr>
        <w:t>GDA94</w:t>
      </w:r>
      <w:r w:rsidRPr="00AB306E">
        <w:rPr>
          <w:rFonts w:ascii="Arial" w:hAnsi="Arial" w:cs="Arial"/>
          <w:sz w:val="22"/>
          <w:szCs w:val="22"/>
        </w:rPr>
        <w:t>)</w:t>
      </w:r>
      <w:r w:rsidRPr="00AB306E" w:rsidDel="00CB628A">
        <w:rPr>
          <w:rFonts w:ascii="Arial" w:hAnsi="Arial" w:cs="Arial"/>
          <w:sz w:val="22"/>
          <w:szCs w:val="22"/>
        </w:rPr>
        <w:t>.</w:t>
      </w:r>
      <w:r w:rsidRPr="00AB306E">
        <w:rPr>
          <w:rFonts w:ascii="Arial" w:hAnsi="Arial" w:cs="Arial"/>
          <w:sz w:val="22"/>
          <w:szCs w:val="22"/>
        </w:rPr>
        <w:t xml:space="preserve">  GDA94 is an Earth-centred datum compatible with satellite-based navigation systems and other major international geographic systems, such as the World Geodetic System 1984 (WGS84).</w:t>
      </w:r>
    </w:p>
    <w:p w:rsidR="00EA2FC5" w:rsidRPr="00AB306E" w:rsidRDefault="00EA2FC5" w:rsidP="00AB306E">
      <w:pPr>
        <w:rPr>
          <w:rFonts w:ascii="Arial" w:hAnsi="Arial" w:cs="Arial"/>
          <w:sz w:val="22"/>
          <w:szCs w:val="22"/>
        </w:rPr>
      </w:pPr>
    </w:p>
    <w:p w:rsidR="00EA2FC5" w:rsidRPr="00AB306E" w:rsidRDefault="00EA2FC5" w:rsidP="00AB306E">
      <w:pPr>
        <w:rPr>
          <w:rFonts w:ascii="Arial" w:hAnsi="Arial" w:cs="Arial"/>
          <w:sz w:val="22"/>
          <w:szCs w:val="22"/>
        </w:rPr>
      </w:pPr>
      <w:r w:rsidRPr="00AB306E">
        <w:rPr>
          <w:rFonts w:ascii="Arial" w:hAnsi="Arial" w:cs="Arial"/>
          <w:sz w:val="22"/>
          <w:szCs w:val="22"/>
        </w:rPr>
        <w:t xml:space="preserve">The ACMA is currently in the process of updating its systems </w:t>
      </w:r>
      <w:r w:rsidR="00163BB0" w:rsidRPr="00AB306E">
        <w:rPr>
          <w:rFonts w:ascii="Arial" w:hAnsi="Arial" w:cs="Arial"/>
          <w:sz w:val="22"/>
          <w:szCs w:val="22"/>
        </w:rPr>
        <w:t xml:space="preserve">to </w:t>
      </w:r>
      <w:r w:rsidRPr="00AB306E">
        <w:rPr>
          <w:rFonts w:ascii="Arial" w:hAnsi="Arial" w:cs="Arial"/>
          <w:sz w:val="22"/>
          <w:szCs w:val="22"/>
        </w:rPr>
        <w:t>make use of GDA94 across its entire radiocommunications database.  This new datum provides better alignment with the coordinates generated by the GPS system among other advantages.  The change of datum however leads to a non uniform translation of points along a line so altering the shape and areas within the grid.  It has been decided to minimise the impact of this by aligning old and new licence areas at the corners of the grid to minimise changes in licence areas.</w:t>
      </w:r>
    </w:p>
    <w:p w:rsidR="009B55EE" w:rsidRPr="00AB306E" w:rsidRDefault="009B55EE" w:rsidP="00AB306E">
      <w:pPr>
        <w:rPr>
          <w:rFonts w:ascii="Arial" w:hAnsi="Arial" w:cs="Arial"/>
          <w:sz w:val="22"/>
          <w:szCs w:val="22"/>
        </w:rPr>
      </w:pPr>
    </w:p>
    <w:p w:rsidR="00892701" w:rsidRPr="00AB306E" w:rsidRDefault="00892701" w:rsidP="00AB306E">
      <w:pPr>
        <w:rPr>
          <w:rFonts w:ascii="Arial" w:hAnsi="Arial" w:cs="Arial"/>
          <w:sz w:val="22"/>
          <w:szCs w:val="22"/>
        </w:rPr>
      </w:pPr>
      <w:r w:rsidRPr="00AB306E">
        <w:rPr>
          <w:rFonts w:ascii="Arial" w:hAnsi="Arial" w:cs="Arial"/>
          <w:sz w:val="22"/>
          <w:szCs w:val="22"/>
        </w:rPr>
        <w:t xml:space="preserve">The ACMA, in its ongoing review of spectrum license technical frameworks, has decided to move away from specifying an STU in each band to increase flexibility and better facilitate secondary trading particularly in remote and regional areas. </w:t>
      </w:r>
      <w:r w:rsidR="00163BB0" w:rsidRPr="00AB306E">
        <w:rPr>
          <w:rFonts w:ascii="Arial" w:hAnsi="Arial" w:cs="Arial"/>
          <w:sz w:val="22"/>
          <w:szCs w:val="22"/>
        </w:rPr>
        <w:t>As part of this move, the ACMA has decided to adopt a uniform 5 minutes of arc map grid and use existing coordinates specified using AGD66 datum used for mapping and surveying converted to GDA94; this results in coordinates that are no long a</w:t>
      </w:r>
      <w:r w:rsidR="00C35AE9">
        <w:rPr>
          <w:rFonts w:ascii="Arial" w:hAnsi="Arial" w:cs="Arial"/>
          <w:sz w:val="22"/>
          <w:szCs w:val="22"/>
        </w:rPr>
        <w:t>ccurate to two decimal places.</w:t>
      </w:r>
    </w:p>
    <w:p w:rsidR="00EA2FC5" w:rsidRPr="00AB306E" w:rsidRDefault="00EA2FC5" w:rsidP="00AB306E">
      <w:pPr>
        <w:rPr>
          <w:rFonts w:ascii="Arial" w:hAnsi="Arial" w:cs="Arial"/>
          <w:sz w:val="22"/>
          <w:szCs w:val="22"/>
        </w:rPr>
      </w:pPr>
    </w:p>
    <w:p w:rsidR="00892701" w:rsidRDefault="00892701" w:rsidP="00AB306E">
      <w:pPr>
        <w:rPr>
          <w:rFonts w:ascii="Arial" w:hAnsi="Arial" w:cs="Arial"/>
          <w:sz w:val="22"/>
          <w:szCs w:val="22"/>
        </w:rPr>
      </w:pPr>
      <w:r w:rsidRPr="00AB306E">
        <w:rPr>
          <w:rFonts w:ascii="Arial" w:hAnsi="Arial" w:cs="Arial"/>
          <w:sz w:val="22"/>
          <w:szCs w:val="22"/>
        </w:rPr>
        <w:t>The ACMA will be conducting further consultation on issues su</w:t>
      </w:r>
      <w:r w:rsidR="00F97F5A" w:rsidRPr="00AB306E">
        <w:rPr>
          <w:rFonts w:ascii="Arial" w:hAnsi="Arial" w:cs="Arial"/>
          <w:sz w:val="22"/>
          <w:szCs w:val="22"/>
        </w:rPr>
        <w:t>rrounding the future of the SMG</w:t>
      </w:r>
      <w:r w:rsidRPr="00AB306E">
        <w:rPr>
          <w:rFonts w:ascii="Arial" w:hAnsi="Arial" w:cs="Arial"/>
          <w:sz w:val="22"/>
          <w:szCs w:val="22"/>
        </w:rPr>
        <w:t xml:space="preserve"> and the change of datum</w:t>
      </w:r>
      <w:r w:rsidR="00F97F5A" w:rsidRPr="00AB306E">
        <w:rPr>
          <w:rFonts w:ascii="Arial" w:hAnsi="Arial" w:cs="Arial"/>
          <w:sz w:val="22"/>
          <w:szCs w:val="22"/>
        </w:rPr>
        <w:t>, however preliminary views or discussion are welcome during the current technical framework development process.</w:t>
      </w:r>
      <w:r w:rsidR="008D1578" w:rsidRPr="00AB306E">
        <w:rPr>
          <w:rFonts w:ascii="Arial" w:hAnsi="Arial" w:cs="Arial"/>
          <w:sz w:val="22"/>
          <w:szCs w:val="22"/>
        </w:rPr>
        <w:t xml:space="preserve"> Refer to the TLG Reference Paper on GDA94 adoption for more information.</w:t>
      </w:r>
    </w:p>
    <w:p w:rsidR="00D93D73" w:rsidRDefault="00D93D73" w:rsidP="00AB306E">
      <w:pPr>
        <w:rPr>
          <w:rFonts w:ascii="Arial" w:hAnsi="Arial" w:cs="Arial"/>
          <w:sz w:val="22"/>
          <w:szCs w:val="22"/>
        </w:rPr>
      </w:pPr>
    </w:p>
    <w:tbl>
      <w:tblPr>
        <w:tblW w:w="9645" w:type="dxa"/>
        <w:tblLayout w:type="fixed"/>
        <w:tblCellMar>
          <w:left w:w="0" w:type="dxa"/>
          <w:right w:w="0" w:type="dxa"/>
        </w:tblCellMar>
        <w:tblLook w:val="01E0"/>
      </w:tblPr>
      <w:tblGrid>
        <w:gridCol w:w="9645"/>
      </w:tblGrid>
      <w:tr w:rsidR="00D93D73" w:rsidTr="00D93D73">
        <w:trPr>
          <w:trHeight w:val="291"/>
        </w:trPr>
        <w:tc>
          <w:tcPr>
            <w:tcW w:w="9645" w:type="dxa"/>
            <w:tcBorders>
              <w:bottom w:val="single" w:sz="2" w:space="0" w:color="505050"/>
            </w:tcBorders>
            <w:shd w:val="clear" w:color="auto" w:fill="auto"/>
          </w:tcPr>
          <w:p w:rsidR="00D93D73" w:rsidRDefault="00D93D73" w:rsidP="00D93D73"/>
        </w:tc>
      </w:tr>
    </w:tbl>
    <w:p w:rsidR="00D93D73" w:rsidRDefault="00D93D73" w:rsidP="00D93D73"/>
    <w:p w:rsidR="00D93D73" w:rsidRDefault="00D93D73" w:rsidP="00D93D73"/>
    <w:tbl>
      <w:tblPr>
        <w:tblW w:w="9645" w:type="dxa"/>
        <w:tblLayout w:type="fixed"/>
        <w:tblCellMar>
          <w:left w:w="0" w:type="dxa"/>
          <w:right w:w="0" w:type="dxa"/>
        </w:tblCellMar>
        <w:tblLook w:val="01E0"/>
      </w:tblPr>
      <w:tblGrid>
        <w:gridCol w:w="9645"/>
      </w:tblGrid>
      <w:tr w:rsidR="00D93D73" w:rsidTr="00D93D73">
        <w:trPr>
          <w:trHeight w:val="570"/>
        </w:trPr>
        <w:tc>
          <w:tcPr>
            <w:tcW w:w="9645" w:type="dxa"/>
            <w:tcBorders>
              <w:top w:val="single" w:sz="2" w:space="0" w:color="505050"/>
            </w:tcBorders>
            <w:shd w:val="clear" w:color="auto" w:fill="auto"/>
            <w:vAlign w:val="center"/>
          </w:tcPr>
          <w:p w:rsidR="00D93D73" w:rsidRPr="00A74B5E" w:rsidRDefault="00D93D73" w:rsidP="00D93D73">
            <w:pPr>
              <w:pStyle w:val="Caption"/>
            </w:pPr>
            <w:r>
              <w:t>Figure 2</w:t>
            </w:r>
          </w:p>
        </w:tc>
      </w:tr>
      <w:tr w:rsidR="00D93D73" w:rsidTr="00D93D73">
        <w:trPr>
          <w:trHeight w:val="3086"/>
        </w:trPr>
        <w:tc>
          <w:tcPr>
            <w:tcW w:w="9645" w:type="dxa"/>
            <w:shd w:val="clear" w:color="auto" w:fill="auto"/>
            <w:tcMar>
              <w:left w:w="28" w:type="dxa"/>
            </w:tcMar>
          </w:tcPr>
          <w:p w:rsidR="00D93D73" w:rsidRDefault="00D93D73" w:rsidP="00D93D73">
            <w:r w:rsidRPr="00AB306E">
              <w:rPr>
                <w:rFonts w:ascii="Arial" w:hAnsi="Arial" w:cs="Arial"/>
                <w:noProof/>
                <w:lang w:eastAsia="en-AU"/>
              </w:rPr>
              <w:drawing>
                <wp:inline distT="0" distB="0" distL="0" distR="0">
                  <wp:extent cx="2839468" cy="2376000"/>
                  <wp:effectExtent l="19050" t="19050" r="18032" b="2430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tretch>
                            <a:fillRect/>
                          </a:stretch>
                        </pic:blipFill>
                        <pic:spPr bwMode="auto">
                          <a:xfrm>
                            <a:off x="0" y="0"/>
                            <a:ext cx="2839468" cy="2376000"/>
                          </a:xfrm>
                          <a:prstGeom prst="rect">
                            <a:avLst/>
                          </a:prstGeom>
                          <a:noFill/>
                          <a:ln w="9525">
                            <a:solidFill>
                              <a:schemeClr val="tx1"/>
                            </a:solidFill>
                            <a:miter lim="800000"/>
                            <a:headEnd/>
                            <a:tailEnd/>
                          </a:ln>
                        </pic:spPr>
                      </pic:pic>
                    </a:graphicData>
                  </a:graphic>
                </wp:inline>
              </w:drawing>
            </w:r>
            <w:r w:rsidRPr="00AB306E">
              <w:rPr>
                <w:rFonts w:ascii="Arial" w:hAnsi="Arial" w:cs="Arial"/>
                <w:noProof/>
                <w:lang w:eastAsia="en-AU"/>
              </w:rPr>
              <w:drawing>
                <wp:inline distT="0" distB="0" distL="0" distR="0">
                  <wp:extent cx="2587429" cy="2376000"/>
                  <wp:effectExtent l="19050" t="19050" r="22421" b="24300"/>
                  <wp:docPr id="8" name="Picture 2" descr="SMG 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G new.png"/>
                          <pic:cNvPicPr/>
                        </pic:nvPicPr>
                        <pic:blipFill>
                          <a:blip r:embed="rId11" cstate="print"/>
                          <a:stretch>
                            <a:fillRect/>
                          </a:stretch>
                        </pic:blipFill>
                        <pic:spPr>
                          <a:xfrm>
                            <a:off x="0" y="0"/>
                            <a:ext cx="2587429" cy="2376000"/>
                          </a:xfrm>
                          <a:prstGeom prst="rect">
                            <a:avLst/>
                          </a:prstGeom>
                          <a:ln>
                            <a:solidFill>
                              <a:schemeClr val="tx1"/>
                            </a:solidFill>
                          </a:ln>
                        </pic:spPr>
                      </pic:pic>
                    </a:graphicData>
                  </a:graphic>
                </wp:inline>
              </w:drawing>
            </w:r>
          </w:p>
        </w:tc>
      </w:tr>
      <w:tr w:rsidR="00D93D73" w:rsidTr="00D93D73">
        <w:trPr>
          <w:trHeight w:val="291"/>
        </w:trPr>
        <w:tc>
          <w:tcPr>
            <w:tcW w:w="9645" w:type="dxa"/>
            <w:tcBorders>
              <w:bottom w:val="single" w:sz="2" w:space="0" w:color="505050"/>
            </w:tcBorders>
            <w:shd w:val="clear" w:color="auto" w:fill="auto"/>
          </w:tcPr>
          <w:p w:rsidR="00D93D73" w:rsidRDefault="00D93D73" w:rsidP="00D93D73"/>
        </w:tc>
      </w:tr>
    </w:tbl>
    <w:p w:rsidR="00F97F5A" w:rsidRPr="00AB306E" w:rsidRDefault="00F97F5A" w:rsidP="00AB306E">
      <w:pPr>
        <w:rPr>
          <w:rFonts w:ascii="Arial" w:hAnsi="Arial" w:cs="Arial"/>
          <w:sz w:val="22"/>
          <w:szCs w:val="22"/>
        </w:rPr>
      </w:pPr>
    </w:p>
    <w:p w:rsidR="00647590" w:rsidRPr="00AB306E" w:rsidRDefault="00DB5A61" w:rsidP="00D93D73">
      <w:pPr>
        <w:rPr>
          <w:rFonts w:ascii="Arial" w:hAnsi="Arial" w:cs="Arial"/>
          <w:i/>
          <w:sz w:val="20"/>
          <w:szCs w:val="20"/>
        </w:rPr>
      </w:pPr>
      <w:r w:rsidRPr="00AB306E">
        <w:rPr>
          <w:rFonts w:ascii="Arial" w:hAnsi="Arial" w:cs="Arial"/>
          <w:b/>
          <w:i/>
          <w:sz w:val="20"/>
          <w:szCs w:val="20"/>
        </w:rPr>
        <w:t>Left:</w:t>
      </w:r>
      <w:r w:rsidR="002B0B48" w:rsidRPr="00AB306E">
        <w:rPr>
          <w:rFonts w:ascii="Arial" w:hAnsi="Arial" w:cs="Arial"/>
          <w:i/>
          <w:sz w:val="20"/>
          <w:szCs w:val="20"/>
        </w:rPr>
        <w:t xml:space="preserve"> </w:t>
      </w:r>
      <w:r w:rsidR="00EA2FC5" w:rsidRPr="00AB306E">
        <w:rPr>
          <w:rFonts w:ascii="Arial" w:hAnsi="Arial" w:cs="Arial"/>
          <w:i/>
          <w:sz w:val="20"/>
          <w:szCs w:val="20"/>
        </w:rPr>
        <w:t>The original S</w:t>
      </w:r>
      <w:r w:rsidR="00647590" w:rsidRPr="00AB306E">
        <w:rPr>
          <w:rFonts w:ascii="Arial" w:hAnsi="Arial" w:cs="Arial"/>
          <w:i/>
          <w:sz w:val="20"/>
          <w:szCs w:val="20"/>
        </w:rPr>
        <w:t>pectrum Map Grid</w:t>
      </w:r>
      <w:r w:rsidR="00EA2FC5" w:rsidRPr="00AB306E">
        <w:rPr>
          <w:rFonts w:ascii="Arial" w:hAnsi="Arial" w:cs="Arial"/>
          <w:i/>
          <w:sz w:val="20"/>
          <w:szCs w:val="20"/>
        </w:rPr>
        <w:t xml:space="preserve">. </w:t>
      </w:r>
      <w:r w:rsidR="002B0B48" w:rsidRPr="00AB306E">
        <w:rPr>
          <w:rFonts w:ascii="Arial" w:hAnsi="Arial" w:cs="Arial"/>
          <w:b/>
          <w:i/>
          <w:sz w:val="20"/>
          <w:szCs w:val="20"/>
        </w:rPr>
        <w:t>Right:</w:t>
      </w:r>
      <w:r w:rsidR="002B0B48" w:rsidRPr="00AB306E">
        <w:rPr>
          <w:rFonts w:ascii="Arial" w:hAnsi="Arial" w:cs="Arial"/>
          <w:i/>
          <w:sz w:val="20"/>
          <w:szCs w:val="20"/>
        </w:rPr>
        <w:t xml:space="preserve"> T</w:t>
      </w:r>
      <w:r w:rsidR="00EA2FC5" w:rsidRPr="00AB306E">
        <w:rPr>
          <w:rFonts w:ascii="Arial" w:hAnsi="Arial" w:cs="Arial"/>
          <w:i/>
          <w:sz w:val="20"/>
          <w:szCs w:val="20"/>
        </w:rPr>
        <w:t>he new SMG (down to only the first two levels of resolution). The red squares are 3 degrees to a side, while the black are 1 degree. These are broken down</w:t>
      </w:r>
      <w:r w:rsidR="00F97F5A" w:rsidRPr="00AB306E">
        <w:rPr>
          <w:rFonts w:ascii="Arial" w:hAnsi="Arial" w:cs="Arial"/>
          <w:i/>
          <w:sz w:val="20"/>
          <w:szCs w:val="20"/>
        </w:rPr>
        <w:t xml:space="preserve"> into two</w:t>
      </w:r>
      <w:r w:rsidR="00EA2FC5" w:rsidRPr="00AB306E">
        <w:rPr>
          <w:rFonts w:ascii="Arial" w:hAnsi="Arial" w:cs="Arial"/>
          <w:i/>
          <w:sz w:val="20"/>
          <w:szCs w:val="20"/>
        </w:rPr>
        <w:t xml:space="preserve"> further levels of resolution</w:t>
      </w:r>
      <w:r w:rsidR="00E47D4A" w:rsidRPr="00AB306E">
        <w:rPr>
          <w:rFonts w:ascii="Arial" w:hAnsi="Arial" w:cs="Arial"/>
          <w:i/>
          <w:sz w:val="20"/>
          <w:szCs w:val="20"/>
        </w:rPr>
        <w:t xml:space="preserve"> (not shown here)</w:t>
      </w:r>
      <w:r w:rsidR="00EA2FC5" w:rsidRPr="00AB306E">
        <w:rPr>
          <w:rFonts w:ascii="Arial" w:hAnsi="Arial" w:cs="Arial"/>
          <w:i/>
          <w:sz w:val="20"/>
          <w:szCs w:val="20"/>
        </w:rPr>
        <w:t>, finishing with squares 5 minutes to a side.</w:t>
      </w:r>
    </w:p>
    <w:p w:rsidR="00647590" w:rsidRPr="00AB306E" w:rsidRDefault="00647590" w:rsidP="00647590">
      <w:pPr>
        <w:rPr>
          <w:rFonts w:ascii="Arial" w:hAnsi="Arial" w:cs="Arial"/>
        </w:rPr>
      </w:pPr>
    </w:p>
    <w:p w:rsidR="00E10CC6" w:rsidRPr="00AB306E" w:rsidRDefault="00F97F5A" w:rsidP="00AB306E">
      <w:pPr>
        <w:pStyle w:val="Heading3"/>
        <w:rPr>
          <w:rFonts w:ascii="Arial" w:hAnsi="Arial" w:cs="Arial"/>
          <w:color w:val="auto"/>
        </w:rPr>
      </w:pPr>
      <w:r w:rsidRPr="00AB306E">
        <w:rPr>
          <w:rFonts w:ascii="Arial" w:hAnsi="Arial" w:cs="Arial"/>
          <w:color w:val="auto"/>
        </w:rPr>
        <w:t>4.2</w:t>
      </w:r>
      <w:r w:rsidRPr="00AB306E">
        <w:rPr>
          <w:rFonts w:ascii="Arial" w:hAnsi="Arial" w:cs="Arial"/>
          <w:color w:val="auto"/>
        </w:rPr>
        <w:tab/>
      </w:r>
      <w:r w:rsidR="00F06134" w:rsidRPr="00AB306E">
        <w:rPr>
          <w:rFonts w:ascii="Arial" w:hAnsi="Arial" w:cs="Arial"/>
          <w:color w:val="auto"/>
        </w:rPr>
        <w:t>STU - Frequency</w:t>
      </w:r>
    </w:p>
    <w:p w:rsidR="00647590" w:rsidRPr="00AB306E" w:rsidRDefault="00D85823" w:rsidP="00AB306E">
      <w:pPr>
        <w:rPr>
          <w:rFonts w:ascii="Arial" w:hAnsi="Arial" w:cs="Arial"/>
        </w:rPr>
      </w:pPr>
      <w:r w:rsidRPr="00AB306E">
        <w:rPr>
          <w:rFonts w:ascii="Arial" w:hAnsi="Arial" w:cs="Arial"/>
          <w:sz w:val="22"/>
          <w:szCs w:val="22"/>
        </w:rPr>
        <w:t>The bandwidths specified for STUs in previous spectrum licence frameworks were typically chosen to be the bandwidth necessary to support one radiocommunications channel using the most likely technology to operate in the band.</w:t>
      </w:r>
      <w:r w:rsidR="00892701" w:rsidRPr="00AB306E">
        <w:rPr>
          <w:rFonts w:ascii="Arial" w:hAnsi="Arial" w:cs="Arial"/>
          <w:sz w:val="22"/>
          <w:szCs w:val="22"/>
        </w:rPr>
        <w:t xml:space="preserve"> </w:t>
      </w:r>
      <w:r w:rsidRPr="00AB306E">
        <w:rPr>
          <w:rFonts w:ascii="Arial" w:hAnsi="Arial" w:cs="Arial"/>
          <w:sz w:val="22"/>
          <w:szCs w:val="22"/>
        </w:rPr>
        <w:t>Under the new spectrum licence arrangements</w:t>
      </w:r>
      <w:r w:rsidR="002B0B48" w:rsidRPr="00AB306E">
        <w:rPr>
          <w:rFonts w:ascii="Arial" w:hAnsi="Arial" w:cs="Arial"/>
          <w:sz w:val="22"/>
          <w:szCs w:val="22"/>
        </w:rPr>
        <w:t>,</w:t>
      </w:r>
      <w:r w:rsidRPr="00AB306E">
        <w:rPr>
          <w:rFonts w:ascii="Arial" w:hAnsi="Arial" w:cs="Arial"/>
          <w:sz w:val="22"/>
          <w:szCs w:val="22"/>
        </w:rPr>
        <w:t xml:space="preserve"> </w:t>
      </w:r>
      <w:r w:rsidR="002B0B48" w:rsidRPr="00AB306E">
        <w:rPr>
          <w:rFonts w:ascii="Arial" w:hAnsi="Arial" w:cs="Arial"/>
          <w:sz w:val="22"/>
          <w:szCs w:val="22"/>
        </w:rPr>
        <w:t xml:space="preserve">the </w:t>
      </w:r>
      <w:r w:rsidRPr="00AB306E">
        <w:rPr>
          <w:rFonts w:ascii="Arial" w:hAnsi="Arial" w:cs="Arial"/>
          <w:sz w:val="22"/>
          <w:szCs w:val="22"/>
        </w:rPr>
        <w:t>ACMA is adopting a minimum tradable bandwidth of 1 Hz for all new spectrum licenses to maximise trading flexibility.</w:t>
      </w:r>
    </w:p>
    <w:p w:rsidR="00647590" w:rsidRPr="00AB306E" w:rsidRDefault="00F97F5A" w:rsidP="00AB306E">
      <w:pPr>
        <w:pStyle w:val="Heading3"/>
        <w:rPr>
          <w:rFonts w:ascii="Arial" w:hAnsi="Arial" w:cs="Arial"/>
          <w:color w:val="auto"/>
        </w:rPr>
      </w:pPr>
      <w:r w:rsidRPr="00AB306E">
        <w:rPr>
          <w:rFonts w:ascii="Arial" w:hAnsi="Arial" w:cs="Arial"/>
          <w:color w:val="auto"/>
        </w:rPr>
        <w:t>4</w:t>
      </w:r>
      <w:r w:rsidR="00647590" w:rsidRPr="00AB306E">
        <w:rPr>
          <w:rFonts w:ascii="Arial" w:hAnsi="Arial" w:cs="Arial"/>
          <w:color w:val="auto"/>
        </w:rPr>
        <w:t>.</w:t>
      </w:r>
      <w:r w:rsidRPr="00AB306E">
        <w:rPr>
          <w:rFonts w:ascii="Arial" w:hAnsi="Arial" w:cs="Arial"/>
          <w:color w:val="auto"/>
        </w:rPr>
        <w:t>3</w:t>
      </w:r>
      <w:r w:rsidR="00647590" w:rsidRPr="00AB306E">
        <w:rPr>
          <w:rFonts w:ascii="Arial" w:hAnsi="Arial" w:cs="Arial"/>
          <w:color w:val="auto"/>
        </w:rPr>
        <w:tab/>
      </w:r>
      <w:r w:rsidR="00F612EB" w:rsidRPr="00AB306E">
        <w:rPr>
          <w:rFonts w:ascii="Arial" w:hAnsi="Arial" w:cs="Arial"/>
          <w:color w:val="auto"/>
        </w:rPr>
        <w:t>Auction lots</w:t>
      </w:r>
    </w:p>
    <w:p w:rsidR="009B55EE" w:rsidRPr="00AB306E" w:rsidRDefault="00647590" w:rsidP="00AB306E">
      <w:pPr>
        <w:rPr>
          <w:rFonts w:ascii="Arial" w:hAnsi="Arial" w:cs="Arial"/>
          <w:sz w:val="22"/>
          <w:szCs w:val="22"/>
        </w:rPr>
      </w:pPr>
      <w:r w:rsidRPr="00AB306E">
        <w:rPr>
          <w:rFonts w:ascii="Arial" w:hAnsi="Arial" w:cs="Arial"/>
          <w:sz w:val="22"/>
          <w:szCs w:val="22"/>
        </w:rPr>
        <w:t xml:space="preserve">The geographic areas of the auction lots will be constructed from units in the ACMA’s </w:t>
      </w:r>
      <w:r w:rsidR="004F58B3" w:rsidRPr="00AB306E">
        <w:rPr>
          <w:rFonts w:ascii="Arial" w:hAnsi="Arial" w:cs="Arial"/>
          <w:sz w:val="22"/>
          <w:szCs w:val="22"/>
        </w:rPr>
        <w:t>new s</w:t>
      </w:r>
      <w:r w:rsidRPr="00AB306E">
        <w:rPr>
          <w:rFonts w:ascii="Arial" w:hAnsi="Arial" w:cs="Arial"/>
          <w:sz w:val="22"/>
          <w:szCs w:val="22"/>
        </w:rPr>
        <w:t xml:space="preserve">pectrum </w:t>
      </w:r>
      <w:r w:rsidR="004F58B3" w:rsidRPr="00AB306E">
        <w:rPr>
          <w:rFonts w:ascii="Arial" w:hAnsi="Arial" w:cs="Arial"/>
          <w:sz w:val="22"/>
          <w:szCs w:val="22"/>
        </w:rPr>
        <w:t>m</w:t>
      </w:r>
      <w:r w:rsidRPr="00AB306E">
        <w:rPr>
          <w:rFonts w:ascii="Arial" w:hAnsi="Arial" w:cs="Arial"/>
          <w:sz w:val="22"/>
          <w:szCs w:val="22"/>
        </w:rPr>
        <w:t xml:space="preserve">ap </w:t>
      </w:r>
      <w:r w:rsidR="004F58B3" w:rsidRPr="00AB306E">
        <w:rPr>
          <w:rFonts w:ascii="Arial" w:hAnsi="Arial" w:cs="Arial"/>
          <w:sz w:val="22"/>
          <w:szCs w:val="22"/>
        </w:rPr>
        <w:t>g</w:t>
      </w:r>
      <w:r w:rsidRPr="00AB306E">
        <w:rPr>
          <w:rFonts w:ascii="Arial" w:hAnsi="Arial" w:cs="Arial"/>
          <w:sz w:val="22"/>
          <w:szCs w:val="22"/>
        </w:rPr>
        <w:t>rid</w:t>
      </w:r>
      <w:r w:rsidR="004F58B3" w:rsidRPr="00AB306E">
        <w:rPr>
          <w:rFonts w:ascii="Arial" w:hAnsi="Arial" w:cs="Arial"/>
          <w:sz w:val="22"/>
          <w:szCs w:val="22"/>
        </w:rPr>
        <w:t xml:space="preserve"> specified in coordinates referenced to GDA94</w:t>
      </w:r>
      <w:r w:rsidRPr="00AB306E">
        <w:rPr>
          <w:rFonts w:ascii="Arial" w:hAnsi="Arial" w:cs="Arial"/>
          <w:sz w:val="22"/>
          <w:szCs w:val="22"/>
        </w:rPr>
        <w:t>.</w:t>
      </w:r>
      <w:r w:rsidR="00285262" w:rsidRPr="00AB306E">
        <w:rPr>
          <w:rFonts w:ascii="Arial" w:hAnsi="Arial" w:cs="Arial"/>
          <w:sz w:val="22"/>
          <w:szCs w:val="22"/>
        </w:rPr>
        <w:t xml:space="preserve"> </w:t>
      </w:r>
      <w:r w:rsidRPr="00AB306E">
        <w:rPr>
          <w:rFonts w:ascii="Arial" w:hAnsi="Arial" w:cs="Arial"/>
          <w:sz w:val="22"/>
          <w:szCs w:val="22"/>
        </w:rPr>
        <w:t xml:space="preserve">The frequency limits of the auction lots will be </w:t>
      </w:r>
      <w:r w:rsidR="00F97F5A" w:rsidRPr="00AB306E">
        <w:rPr>
          <w:rFonts w:ascii="Arial" w:hAnsi="Arial" w:cs="Arial"/>
          <w:sz w:val="22"/>
          <w:szCs w:val="22"/>
        </w:rPr>
        <w:t xml:space="preserve">constructed with bandwidths that are </w:t>
      </w:r>
      <w:r w:rsidR="0007117D" w:rsidRPr="00AB306E">
        <w:rPr>
          <w:rFonts w:ascii="Arial" w:hAnsi="Arial" w:cs="Arial"/>
          <w:sz w:val="22"/>
          <w:szCs w:val="22"/>
        </w:rPr>
        <w:t>eq</w:t>
      </w:r>
      <w:r w:rsidR="00F97F5A" w:rsidRPr="00AB306E">
        <w:rPr>
          <w:rFonts w:ascii="Arial" w:hAnsi="Arial" w:cs="Arial"/>
          <w:sz w:val="22"/>
          <w:szCs w:val="22"/>
        </w:rPr>
        <w:t>ual to or greater than the MCB.</w:t>
      </w:r>
    </w:p>
    <w:p w:rsidR="00234A5E" w:rsidRPr="00AB306E" w:rsidRDefault="00F97F5A" w:rsidP="00AB306E">
      <w:pPr>
        <w:pStyle w:val="Heading3"/>
        <w:rPr>
          <w:rFonts w:ascii="Arial" w:hAnsi="Arial" w:cs="Arial"/>
          <w:color w:val="auto"/>
        </w:rPr>
      </w:pPr>
      <w:r w:rsidRPr="00AB306E">
        <w:rPr>
          <w:rFonts w:ascii="Arial" w:hAnsi="Arial" w:cs="Arial"/>
          <w:color w:val="auto"/>
        </w:rPr>
        <w:t>4</w:t>
      </w:r>
      <w:r w:rsidR="00647590" w:rsidRPr="00AB306E">
        <w:rPr>
          <w:rFonts w:ascii="Arial" w:hAnsi="Arial" w:cs="Arial"/>
          <w:color w:val="auto"/>
        </w:rPr>
        <w:t>.</w:t>
      </w:r>
      <w:r w:rsidRPr="00AB306E">
        <w:rPr>
          <w:rFonts w:ascii="Arial" w:hAnsi="Arial" w:cs="Arial"/>
          <w:color w:val="auto"/>
        </w:rPr>
        <w:t>4</w:t>
      </w:r>
      <w:r w:rsidR="00647590" w:rsidRPr="00AB306E">
        <w:rPr>
          <w:rFonts w:ascii="Arial" w:hAnsi="Arial" w:cs="Arial"/>
          <w:color w:val="auto"/>
        </w:rPr>
        <w:tab/>
        <w:t>Minimum Contiguous Bandwidth</w:t>
      </w:r>
    </w:p>
    <w:p w:rsidR="00234A5E" w:rsidRPr="00AB306E" w:rsidRDefault="00234A5E" w:rsidP="00AB306E">
      <w:pPr>
        <w:rPr>
          <w:rFonts w:ascii="Arial" w:hAnsi="Arial" w:cs="Arial"/>
          <w:sz w:val="22"/>
          <w:szCs w:val="22"/>
        </w:rPr>
      </w:pPr>
      <w:r w:rsidRPr="00AB306E">
        <w:rPr>
          <w:rFonts w:ascii="Arial" w:hAnsi="Arial" w:cs="Arial"/>
          <w:sz w:val="22"/>
          <w:szCs w:val="22"/>
        </w:rPr>
        <w:t xml:space="preserve">Typically the MCB under a spectrum licence has been chosen based on both system technical requirements and marketing goals.  From a technical perspective, the MCB should be at least the minimum bandwidth to support a service. </w:t>
      </w:r>
    </w:p>
    <w:p w:rsidR="00234A5E" w:rsidRPr="00AB306E" w:rsidRDefault="00234A5E" w:rsidP="00AB306E">
      <w:pPr>
        <w:rPr>
          <w:rFonts w:ascii="Arial" w:hAnsi="Arial" w:cs="Arial"/>
          <w:sz w:val="22"/>
          <w:szCs w:val="22"/>
        </w:rPr>
      </w:pPr>
    </w:p>
    <w:p w:rsidR="001D3F0B" w:rsidRPr="00AB306E" w:rsidRDefault="00647590" w:rsidP="00AB306E">
      <w:pPr>
        <w:rPr>
          <w:rFonts w:ascii="Arial" w:hAnsi="Arial" w:cs="Arial"/>
          <w:sz w:val="22"/>
          <w:szCs w:val="22"/>
        </w:rPr>
      </w:pPr>
      <w:r w:rsidRPr="00AB306E">
        <w:rPr>
          <w:rFonts w:ascii="Arial" w:hAnsi="Arial" w:cs="Arial"/>
          <w:sz w:val="22"/>
          <w:szCs w:val="22"/>
        </w:rPr>
        <w:t xml:space="preserve">The proposed minimum contiguous bandwidth </w:t>
      </w:r>
      <w:r w:rsidR="00234A5E" w:rsidRPr="00AB306E">
        <w:rPr>
          <w:rFonts w:ascii="Arial" w:hAnsi="Arial" w:cs="Arial"/>
          <w:sz w:val="22"/>
          <w:szCs w:val="22"/>
        </w:rPr>
        <w:t>in the 700</w:t>
      </w:r>
      <w:r w:rsidR="00DF6BA3">
        <w:rPr>
          <w:rFonts w:ascii="Arial" w:hAnsi="Arial" w:cs="Arial"/>
          <w:sz w:val="22"/>
          <w:szCs w:val="22"/>
        </w:rPr>
        <w:t xml:space="preserve"> </w:t>
      </w:r>
      <w:r w:rsidR="00234A5E" w:rsidRPr="00AB306E">
        <w:rPr>
          <w:rFonts w:ascii="Arial" w:hAnsi="Arial" w:cs="Arial"/>
          <w:sz w:val="22"/>
          <w:szCs w:val="22"/>
        </w:rPr>
        <w:t xml:space="preserve">MHz band </w:t>
      </w:r>
      <w:r w:rsidRPr="00AB306E">
        <w:rPr>
          <w:rFonts w:ascii="Arial" w:hAnsi="Arial" w:cs="Arial"/>
          <w:sz w:val="22"/>
          <w:szCs w:val="22"/>
        </w:rPr>
        <w:t xml:space="preserve">is </w:t>
      </w:r>
      <w:r w:rsidR="00234A5E" w:rsidRPr="00AB306E">
        <w:rPr>
          <w:rFonts w:ascii="Arial" w:hAnsi="Arial" w:cs="Arial"/>
          <w:sz w:val="22"/>
          <w:szCs w:val="22"/>
        </w:rPr>
        <w:t>5</w:t>
      </w:r>
      <w:r w:rsidR="00DF6BA3">
        <w:rPr>
          <w:rFonts w:ascii="Arial" w:hAnsi="Arial" w:cs="Arial"/>
          <w:sz w:val="22"/>
          <w:szCs w:val="22"/>
        </w:rPr>
        <w:t xml:space="preserve"> </w:t>
      </w:r>
      <w:r w:rsidR="00234A5E" w:rsidRPr="00AB306E">
        <w:rPr>
          <w:rFonts w:ascii="Arial" w:hAnsi="Arial" w:cs="Arial"/>
          <w:sz w:val="22"/>
          <w:szCs w:val="22"/>
        </w:rPr>
        <w:t xml:space="preserve">MHz. </w:t>
      </w:r>
      <w:r w:rsidR="004B620D" w:rsidRPr="00AB306E">
        <w:rPr>
          <w:rFonts w:ascii="Arial" w:hAnsi="Arial" w:cs="Arial"/>
          <w:sz w:val="22"/>
          <w:szCs w:val="22"/>
        </w:rPr>
        <w:t>This</w:t>
      </w:r>
      <w:r w:rsidR="00234A5E" w:rsidRPr="00AB306E">
        <w:rPr>
          <w:rFonts w:ascii="Arial" w:hAnsi="Arial" w:cs="Arial"/>
          <w:sz w:val="22"/>
          <w:szCs w:val="22"/>
        </w:rPr>
        <w:t xml:space="preserve"> accommodates most current high speed wireless access systems and has been used overseas as a minimum licence block size. </w:t>
      </w:r>
      <w:r w:rsidR="001D3F0B" w:rsidRPr="00AB306E">
        <w:rPr>
          <w:rFonts w:ascii="Arial" w:hAnsi="Arial" w:cs="Arial"/>
          <w:sz w:val="22"/>
          <w:szCs w:val="22"/>
        </w:rPr>
        <w:t xml:space="preserve">A smaller value of MCB would increase the opportunity for the band to be fragmented or broken into </w:t>
      </w:r>
      <w:r w:rsidR="007B7FAD" w:rsidRPr="00AB306E">
        <w:rPr>
          <w:rFonts w:ascii="Arial" w:hAnsi="Arial" w:cs="Arial"/>
          <w:sz w:val="22"/>
          <w:szCs w:val="22"/>
        </w:rPr>
        <w:t>licence blocks</w:t>
      </w:r>
      <w:r w:rsidR="001D3F0B" w:rsidRPr="00AB306E">
        <w:rPr>
          <w:rFonts w:ascii="Arial" w:hAnsi="Arial" w:cs="Arial"/>
          <w:sz w:val="22"/>
          <w:szCs w:val="22"/>
        </w:rPr>
        <w:t xml:space="preserve"> that are not aligned with international arrangements, causing potential inefficiencies in the use of the band. A larger value </w:t>
      </w:r>
      <w:r w:rsidR="004B620D" w:rsidRPr="00AB306E">
        <w:rPr>
          <w:rFonts w:ascii="Arial" w:hAnsi="Arial" w:cs="Arial"/>
          <w:sz w:val="22"/>
          <w:szCs w:val="22"/>
        </w:rPr>
        <w:t>may</w:t>
      </w:r>
      <w:r w:rsidR="001D3F0B" w:rsidRPr="00AB306E">
        <w:rPr>
          <w:rFonts w:ascii="Arial" w:hAnsi="Arial" w:cs="Arial"/>
          <w:sz w:val="22"/>
          <w:szCs w:val="22"/>
        </w:rPr>
        <w:t xml:space="preserve"> reduce the potential for competition in the band </w:t>
      </w:r>
      <w:r w:rsidR="00234A5E" w:rsidRPr="00AB306E">
        <w:rPr>
          <w:rFonts w:ascii="Arial" w:hAnsi="Arial" w:cs="Arial"/>
          <w:sz w:val="22"/>
          <w:szCs w:val="22"/>
        </w:rPr>
        <w:t>and place limitations on how spectrum can be traded.</w:t>
      </w:r>
    </w:p>
    <w:p w:rsidR="00234A5E" w:rsidRPr="00AB306E" w:rsidRDefault="00234A5E" w:rsidP="00AB306E">
      <w:pPr>
        <w:rPr>
          <w:rFonts w:ascii="Arial" w:hAnsi="Arial" w:cs="Arial"/>
          <w:b/>
          <w:sz w:val="22"/>
          <w:szCs w:val="22"/>
        </w:rPr>
      </w:pPr>
    </w:p>
    <w:p w:rsidR="001D3F0B" w:rsidRPr="00AB306E" w:rsidRDefault="001D3F0B" w:rsidP="00AB306E">
      <w:pPr>
        <w:rPr>
          <w:rFonts w:ascii="Arial" w:hAnsi="Arial" w:cs="Arial"/>
          <w:sz w:val="22"/>
          <w:szCs w:val="22"/>
        </w:rPr>
      </w:pPr>
      <w:r w:rsidRPr="00AB306E">
        <w:rPr>
          <w:rFonts w:ascii="Arial" w:hAnsi="Arial" w:cs="Arial"/>
          <w:sz w:val="22"/>
          <w:szCs w:val="22"/>
        </w:rPr>
        <w:t xml:space="preserve">To further enhance trading flexibility the amended </w:t>
      </w:r>
      <w:r w:rsidRPr="00AB306E">
        <w:rPr>
          <w:rFonts w:ascii="Arial" w:hAnsi="Arial" w:cs="Arial"/>
          <w:i/>
          <w:sz w:val="22"/>
          <w:szCs w:val="22"/>
        </w:rPr>
        <w:t>Radiocommunications (Trading Rules for Spectrum Licences) Determination 1998</w:t>
      </w:r>
      <w:r w:rsidRPr="00AB306E">
        <w:rPr>
          <w:rFonts w:ascii="Arial" w:hAnsi="Arial" w:cs="Arial"/>
          <w:sz w:val="22"/>
          <w:szCs w:val="22"/>
        </w:rPr>
        <w:t xml:space="preserve"> will define the MCB as a ‘recommended’ value. Any spectrum trades where the resultant licences have a contiguous bandwidth of less than the recommended MCB will not be allowed unless approved by the ACMA.</w:t>
      </w:r>
    </w:p>
    <w:p w:rsidR="00234A5E" w:rsidRPr="00AB306E" w:rsidRDefault="00234A5E" w:rsidP="00AB306E">
      <w:pPr>
        <w:rPr>
          <w:rFonts w:ascii="Arial" w:hAnsi="Arial" w:cs="Arial"/>
          <w:sz w:val="22"/>
          <w:szCs w:val="22"/>
        </w:rPr>
      </w:pPr>
    </w:p>
    <w:p w:rsidR="00234A5E" w:rsidRPr="00AB306E" w:rsidRDefault="00234A5E" w:rsidP="00AB306E">
      <w:pPr>
        <w:pBdr>
          <w:top w:val="single" w:sz="12" w:space="1" w:color="auto"/>
          <w:left w:val="single" w:sz="12" w:space="4" w:color="auto"/>
          <w:bottom w:val="single" w:sz="12" w:space="1" w:color="auto"/>
          <w:right w:val="single" w:sz="12" w:space="4" w:color="auto"/>
        </w:pBdr>
        <w:rPr>
          <w:rFonts w:ascii="Arial" w:hAnsi="Arial" w:cs="Arial"/>
          <w:sz w:val="22"/>
          <w:szCs w:val="22"/>
        </w:rPr>
      </w:pPr>
      <w:r w:rsidRPr="00AB306E">
        <w:rPr>
          <w:rFonts w:ascii="Arial" w:hAnsi="Arial" w:cs="Arial"/>
          <w:b/>
          <w:i/>
          <w:sz w:val="22"/>
          <w:szCs w:val="22"/>
        </w:rPr>
        <w:t xml:space="preserve">The proposed </w:t>
      </w:r>
      <w:r w:rsidR="00F612EB" w:rsidRPr="00AB306E">
        <w:rPr>
          <w:rFonts w:ascii="Arial" w:hAnsi="Arial" w:cs="Arial"/>
          <w:b/>
          <w:i/>
          <w:sz w:val="22"/>
          <w:szCs w:val="22"/>
        </w:rPr>
        <w:t xml:space="preserve">recommended </w:t>
      </w:r>
      <w:r w:rsidRPr="00AB306E">
        <w:rPr>
          <w:rFonts w:ascii="Arial" w:hAnsi="Arial" w:cs="Arial"/>
          <w:b/>
          <w:i/>
          <w:sz w:val="22"/>
          <w:szCs w:val="22"/>
        </w:rPr>
        <w:t>minimum contiguous bandwidth for the new technical framework for the 700</w:t>
      </w:r>
      <w:r w:rsidR="00DF6BA3">
        <w:rPr>
          <w:rFonts w:ascii="Arial" w:hAnsi="Arial" w:cs="Arial"/>
          <w:b/>
          <w:i/>
          <w:sz w:val="22"/>
          <w:szCs w:val="22"/>
        </w:rPr>
        <w:t xml:space="preserve"> </w:t>
      </w:r>
      <w:r w:rsidR="00E33BDB" w:rsidRPr="00AB306E">
        <w:rPr>
          <w:rFonts w:ascii="Arial" w:hAnsi="Arial" w:cs="Arial"/>
          <w:b/>
          <w:i/>
          <w:sz w:val="22"/>
          <w:szCs w:val="22"/>
        </w:rPr>
        <w:t>MHz</w:t>
      </w:r>
      <w:r w:rsidRPr="00AB306E">
        <w:rPr>
          <w:rFonts w:ascii="Arial" w:hAnsi="Arial" w:cs="Arial"/>
          <w:b/>
          <w:i/>
          <w:sz w:val="22"/>
          <w:szCs w:val="22"/>
        </w:rPr>
        <w:t xml:space="preserve"> band is 5</w:t>
      </w:r>
      <w:r w:rsidR="00DF6BA3">
        <w:rPr>
          <w:rFonts w:ascii="Arial" w:hAnsi="Arial" w:cs="Arial"/>
          <w:b/>
          <w:i/>
          <w:sz w:val="22"/>
          <w:szCs w:val="22"/>
        </w:rPr>
        <w:t xml:space="preserve"> </w:t>
      </w:r>
      <w:r w:rsidR="00E33BDB" w:rsidRPr="00AB306E">
        <w:rPr>
          <w:rFonts w:ascii="Arial" w:hAnsi="Arial" w:cs="Arial"/>
          <w:b/>
          <w:i/>
          <w:sz w:val="22"/>
          <w:szCs w:val="22"/>
        </w:rPr>
        <w:t>MHz</w:t>
      </w:r>
      <w:r w:rsidRPr="00AB306E">
        <w:rPr>
          <w:rFonts w:ascii="Arial" w:hAnsi="Arial" w:cs="Arial"/>
          <w:b/>
          <w:i/>
          <w:sz w:val="22"/>
          <w:szCs w:val="22"/>
        </w:rPr>
        <w:t>.</w:t>
      </w:r>
    </w:p>
    <w:p w:rsidR="00234A5E" w:rsidRPr="00AB306E" w:rsidRDefault="00234A5E" w:rsidP="00234A5E">
      <w:pPr>
        <w:rPr>
          <w:rFonts w:ascii="Arial" w:hAnsi="Arial" w:cs="Arial"/>
        </w:rPr>
      </w:pPr>
    </w:p>
    <w:p w:rsidR="00647590" w:rsidRPr="00AB306E" w:rsidRDefault="00647590" w:rsidP="00AB306E">
      <w:pPr>
        <w:pStyle w:val="Heading2"/>
        <w:numPr>
          <w:ilvl w:val="0"/>
          <w:numId w:val="4"/>
        </w:numPr>
        <w:rPr>
          <w:rFonts w:ascii="Arial" w:hAnsi="Arial" w:cs="Arial"/>
          <w:color w:val="auto"/>
        </w:rPr>
      </w:pPr>
      <w:r w:rsidRPr="00AB306E">
        <w:rPr>
          <w:rFonts w:ascii="Arial" w:hAnsi="Arial" w:cs="Arial"/>
          <w:color w:val="auto"/>
        </w:rPr>
        <w:t>Out-of-Area Emission Limit (a licence core condition)</w:t>
      </w:r>
    </w:p>
    <w:p w:rsidR="00647590" w:rsidRPr="00AB306E" w:rsidRDefault="00647590" w:rsidP="00AB306E">
      <w:pPr>
        <w:rPr>
          <w:rFonts w:ascii="Arial" w:hAnsi="Arial" w:cs="Arial"/>
          <w:sz w:val="22"/>
          <w:szCs w:val="22"/>
        </w:rPr>
      </w:pPr>
      <w:r w:rsidRPr="00AB306E">
        <w:rPr>
          <w:rFonts w:ascii="Arial" w:hAnsi="Arial" w:cs="Arial"/>
          <w:sz w:val="22"/>
          <w:szCs w:val="22"/>
        </w:rPr>
        <w:t>Emissions that fall outside the geographic area of a spectrum licence are limited by a core condition of the licence.</w:t>
      </w:r>
      <w:r w:rsidR="00285262" w:rsidRPr="00AB306E">
        <w:rPr>
          <w:rFonts w:ascii="Arial" w:hAnsi="Arial" w:cs="Arial"/>
          <w:sz w:val="22"/>
          <w:szCs w:val="22"/>
        </w:rPr>
        <w:t xml:space="preserve"> </w:t>
      </w:r>
      <w:r w:rsidRPr="00AB306E">
        <w:rPr>
          <w:rFonts w:ascii="Arial" w:hAnsi="Arial" w:cs="Arial"/>
          <w:sz w:val="22"/>
          <w:szCs w:val="22"/>
        </w:rPr>
        <w:t>The form of this condition (</w:t>
      </w:r>
      <w:r w:rsidR="005A2BC2" w:rsidRPr="00AB306E">
        <w:rPr>
          <w:rFonts w:ascii="Arial" w:hAnsi="Arial" w:cs="Arial"/>
          <w:sz w:val="22"/>
          <w:szCs w:val="22"/>
        </w:rPr>
        <w:t xml:space="preserve">to be </w:t>
      </w:r>
      <w:r w:rsidRPr="00AB306E">
        <w:rPr>
          <w:rFonts w:ascii="Arial" w:hAnsi="Arial" w:cs="Arial"/>
          <w:sz w:val="22"/>
          <w:szCs w:val="22"/>
        </w:rPr>
        <w:t>found in the draft licence in the marketing plan) places an overall cap on the horizontally radiated true mean power anywhere in the area of the licen</w:t>
      </w:r>
      <w:r w:rsidR="004B620D" w:rsidRPr="00AB306E">
        <w:rPr>
          <w:rFonts w:ascii="Arial" w:hAnsi="Arial" w:cs="Arial"/>
          <w:sz w:val="22"/>
          <w:szCs w:val="22"/>
        </w:rPr>
        <w:t>c</w:t>
      </w:r>
      <w:r w:rsidRPr="00AB306E">
        <w:rPr>
          <w:rFonts w:ascii="Arial" w:hAnsi="Arial" w:cs="Arial"/>
          <w:sz w:val="22"/>
          <w:szCs w:val="22"/>
        </w:rPr>
        <w:t>e and thus towards adjacent licen</w:t>
      </w:r>
      <w:r w:rsidR="004B620D" w:rsidRPr="00AB306E">
        <w:rPr>
          <w:rFonts w:ascii="Arial" w:hAnsi="Arial" w:cs="Arial"/>
          <w:sz w:val="22"/>
          <w:szCs w:val="22"/>
        </w:rPr>
        <w:t>c</w:t>
      </w:r>
      <w:r w:rsidRPr="00AB306E">
        <w:rPr>
          <w:rFonts w:ascii="Arial" w:hAnsi="Arial" w:cs="Arial"/>
          <w:sz w:val="22"/>
          <w:szCs w:val="22"/>
        </w:rPr>
        <w:t>es.</w:t>
      </w:r>
    </w:p>
    <w:p w:rsidR="00647590" w:rsidRDefault="00647590" w:rsidP="00AB306E">
      <w:pPr>
        <w:rPr>
          <w:rFonts w:ascii="Arial" w:hAnsi="Arial" w:cs="Arial"/>
          <w:sz w:val="22"/>
          <w:szCs w:val="22"/>
        </w:rPr>
      </w:pPr>
    </w:p>
    <w:p w:rsidR="003F2551" w:rsidRDefault="003F2551">
      <w:pPr>
        <w:spacing w:after="200" w:line="276" w:lineRule="auto"/>
        <w:rPr>
          <w:rFonts w:ascii="Arial" w:hAnsi="Arial" w:cs="Arial"/>
          <w:sz w:val="22"/>
          <w:szCs w:val="22"/>
        </w:rPr>
      </w:pPr>
      <w:r>
        <w:rPr>
          <w:rFonts w:ascii="Arial" w:hAnsi="Arial" w:cs="Arial"/>
          <w:sz w:val="22"/>
          <w:szCs w:val="22"/>
        </w:rPr>
        <w:br w:type="page"/>
      </w:r>
    </w:p>
    <w:p w:rsidR="003F2551" w:rsidRPr="00AB306E" w:rsidRDefault="003F2551" w:rsidP="00AB306E">
      <w:pPr>
        <w:rPr>
          <w:rFonts w:ascii="Arial" w:hAnsi="Arial" w:cs="Arial"/>
          <w:sz w:val="22"/>
          <w:szCs w:val="22"/>
        </w:rPr>
      </w:pPr>
    </w:p>
    <w:p w:rsidR="00647590" w:rsidRPr="00AB306E" w:rsidRDefault="00647590" w:rsidP="00AB306E">
      <w:pPr>
        <w:rPr>
          <w:rFonts w:ascii="Arial" w:hAnsi="Arial" w:cs="Arial"/>
          <w:sz w:val="22"/>
          <w:szCs w:val="22"/>
        </w:rPr>
      </w:pPr>
      <w:r w:rsidRPr="00AB306E">
        <w:rPr>
          <w:rFonts w:ascii="Arial" w:hAnsi="Arial" w:cs="Arial"/>
          <w:sz w:val="22"/>
          <w:szCs w:val="22"/>
        </w:rPr>
        <w:t>Expressing the limit this way helps to control the maximum level of radiated signal from stations within the licence area.</w:t>
      </w:r>
      <w:r w:rsidR="00285262" w:rsidRPr="00AB306E">
        <w:rPr>
          <w:rFonts w:ascii="Arial" w:hAnsi="Arial" w:cs="Arial"/>
          <w:sz w:val="22"/>
          <w:szCs w:val="22"/>
        </w:rPr>
        <w:t xml:space="preserve"> </w:t>
      </w:r>
      <w:r w:rsidRPr="00AB306E">
        <w:rPr>
          <w:rFonts w:ascii="Arial" w:hAnsi="Arial" w:cs="Arial"/>
          <w:sz w:val="22"/>
          <w:szCs w:val="22"/>
        </w:rPr>
        <w:t xml:space="preserve">The limit directly affects the risk of receiver overload and the levels of site generated intermodulation products that may cause interference </w:t>
      </w:r>
      <w:r w:rsidR="001225C4" w:rsidRPr="00AB306E">
        <w:rPr>
          <w:rFonts w:ascii="Arial" w:hAnsi="Arial" w:cs="Arial"/>
          <w:sz w:val="22"/>
          <w:szCs w:val="22"/>
        </w:rPr>
        <w:t>to receivers in close proximity</w:t>
      </w:r>
      <w:r w:rsidRPr="00AB306E">
        <w:rPr>
          <w:rFonts w:ascii="Arial" w:hAnsi="Arial" w:cs="Arial"/>
          <w:sz w:val="22"/>
          <w:szCs w:val="22"/>
        </w:rPr>
        <w:t>.</w:t>
      </w:r>
    </w:p>
    <w:p w:rsidR="00647590" w:rsidRPr="00AB306E" w:rsidRDefault="00647590" w:rsidP="00AB306E">
      <w:pPr>
        <w:rPr>
          <w:rFonts w:ascii="Arial" w:hAnsi="Arial" w:cs="Arial"/>
          <w:sz w:val="22"/>
          <w:szCs w:val="22"/>
        </w:rPr>
      </w:pPr>
    </w:p>
    <w:p w:rsidR="00647590" w:rsidRPr="00AB306E" w:rsidRDefault="001225C4" w:rsidP="009B55EE">
      <w:pPr>
        <w:rPr>
          <w:rFonts w:ascii="Arial" w:hAnsi="Arial" w:cs="Arial"/>
          <w:sz w:val="22"/>
          <w:szCs w:val="22"/>
        </w:rPr>
      </w:pPr>
      <w:r w:rsidRPr="00AB306E">
        <w:rPr>
          <w:rFonts w:ascii="Arial" w:hAnsi="Arial" w:cs="Arial"/>
          <w:sz w:val="22"/>
          <w:szCs w:val="22"/>
        </w:rPr>
        <w:t>Another</w:t>
      </w:r>
      <w:r w:rsidR="00647590" w:rsidRPr="00AB306E">
        <w:rPr>
          <w:rFonts w:ascii="Arial" w:hAnsi="Arial" w:cs="Arial"/>
          <w:sz w:val="22"/>
          <w:szCs w:val="22"/>
        </w:rPr>
        <w:t xml:space="preserve"> part of the technical framework </w:t>
      </w:r>
      <w:r w:rsidRPr="00AB306E">
        <w:rPr>
          <w:rFonts w:ascii="Arial" w:hAnsi="Arial" w:cs="Arial"/>
          <w:sz w:val="22"/>
          <w:szCs w:val="22"/>
        </w:rPr>
        <w:t>helps to</w:t>
      </w:r>
      <w:r w:rsidR="00647590" w:rsidRPr="00AB306E">
        <w:rPr>
          <w:rFonts w:ascii="Arial" w:hAnsi="Arial" w:cs="Arial"/>
          <w:sz w:val="22"/>
          <w:szCs w:val="22"/>
        </w:rPr>
        <w:t xml:space="preserve"> control the level of emissions across the geographic boundary between co-frequency areas</w:t>
      </w:r>
      <w:r w:rsidRPr="00AB306E">
        <w:rPr>
          <w:rFonts w:ascii="Arial" w:hAnsi="Arial" w:cs="Arial"/>
          <w:sz w:val="22"/>
          <w:szCs w:val="22"/>
        </w:rPr>
        <w:t>; this part is</w:t>
      </w:r>
      <w:r w:rsidR="00647590" w:rsidRPr="00AB306E">
        <w:rPr>
          <w:rFonts w:ascii="Arial" w:hAnsi="Arial" w:cs="Arial"/>
          <w:sz w:val="22"/>
          <w:szCs w:val="22"/>
        </w:rPr>
        <w:t xml:space="preserve"> found in the Determination of Unacceptable Interference made under Section 145 of </w:t>
      </w:r>
      <w:r w:rsidR="00647590" w:rsidRPr="00AB306E">
        <w:rPr>
          <w:rFonts w:ascii="Arial" w:hAnsi="Arial" w:cs="Arial"/>
          <w:i/>
          <w:sz w:val="22"/>
          <w:szCs w:val="22"/>
        </w:rPr>
        <w:t>the Act</w:t>
      </w:r>
      <w:r w:rsidR="00647590" w:rsidRPr="00AB306E">
        <w:rPr>
          <w:rFonts w:ascii="Arial" w:hAnsi="Arial" w:cs="Arial"/>
          <w:sz w:val="22"/>
          <w:szCs w:val="22"/>
        </w:rPr>
        <w:t xml:space="preserve">. The Out-of-Area </w:t>
      </w:r>
      <w:r w:rsidR="00163BB0" w:rsidRPr="00AB306E">
        <w:rPr>
          <w:rFonts w:ascii="Arial" w:hAnsi="Arial" w:cs="Arial"/>
          <w:sz w:val="22"/>
          <w:szCs w:val="22"/>
        </w:rPr>
        <w:t>e</w:t>
      </w:r>
      <w:r w:rsidR="00647590" w:rsidRPr="00AB306E">
        <w:rPr>
          <w:rFonts w:ascii="Arial" w:hAnsi="Arial" w:cs="Arial"/>
          <w:sz w:val="22"/>
          <w:szCs w:val="22"/>
        </w:rPr>
        <w:t xml:space="preserve">mission </w:t>
      </w:r>
      <w:r w:rsidR="00163BB0" w:rsidRPr="00AB306E">
        <w:rPr>
          <w:rFonts w:ascii="Arial" w:hAnsi="Arial" w:cs="Arial"/>
          <w:sz w:val="22"/>
          <w:szCs w:val="22"/>
        </w:rPr>
        <w:t>l</w:t>
      </w:r>
      <w:r w:rsidR="00647590" w:rsidRPr="00AB306E">
        <w:rPr>
          <w:rFonts w:ascii="Arial" w:hAnsi="Arial" w:cs="Arial"/>
          <w:sz w:val="22"/>
          <w:szCs w:val="22"/>
        </w:rPr>
        <w:t xml:space="preserve">imit in the licence is generally chosen to </w:t>
      </w:r>
      <w:r w:rsidRPr="00AB306E">
        <w:rPr>
          <w:rFonts w:ascii="Arial" w:hAnsi="Arial" w:cs="Arial"/>
          <w:sz w:val="22"/>
          <w:szCs w:val="22"/>
        </w:rPr>
        <w:t>encompass</w:t>
      </w:r>
      <w:r w:rsidR="00647590" w:rsidRPr="00AB306E">
        <w:rPr>
          <w:rFonts w:ascii="Arial" w:hAnsi="Arial" w:cs="Arial"/>
          <w:sz w:val="22"/>
          <w:szCs w:val="22"/>
        </w:rPr>
        <w:t xml:space="preserve"> </w:t>
      </w:r>
      <w:r w:rsidRPr="00AB306E">
        <w:rPr>
          <w:rFonts w:ascii="Arial" w:hAnsi="Arial" w:cs="Arial"/>
          <w:sz w:val="22"/>
          <w:szCs w:val="22"/>
        </w:rPr>
        <w:t xml:space="preserve">transmitter powers </w:t>
      </w:r>
      <w:r w:rsidR="00647590" w:rsidRPr="00AB306E">
        <w:rPr>
          <w:rFonts w:ascii="Arial" w:hAnsi="Arial" w:cs="Arial"/>
          <w:sz w:val="22"/>
          <w:szCs w:val="22"/>
        </w:rPr>
        <w:t>likely to be implemented</w:t>
      </w:r>
      <w:r w:rsidR="002B0B48" w:rsidRPr="00AB306E">
        <w:rPr>
          <w:rFonts w:ascii="Arial" w:hAnsi="Arial" w:cs="Arial"/>
          <w:sz w:val="22"/>
          <w:szCs w:val="22"/>
        </w:rPr>
        <w:t>,</w:t>
      </w:r>
      <w:r w:rsidR="00647590" w:rsidRPr="00AB306E">
        <w:rPr>
          <w:rFonts w:ascii="Arial" w:hAnsi="Arial" w:cs="Arial"/>
          <w:sz w:val="22"/>
          <w:szCs w:val="22"/>
        </w:rPr>
        <w:t xml:space="preserve"> </w:t>
      </w:r>
      <w:r w:rsidRPr="00AB306E">
        <w:rPr>
          <w:rFonts w:ascii="Arial" w:hAnsi="Arial" w:cs="Arial"/>
          <w:sz w:val="22"/>
          <w:szCs w:val="22"/>
        </w:rPr>
        <w:t xml:space="preserve">while </w:t>
      </w:r>
      <w:r w:rsidR="002B0B48" w:rsidRPr="00AB306E">
        <w:rPr>
          <w:rFonts w:ascii="Arial" w:hAnsi="Arial" w:cs="Arial"/>
          <w:sz w:val="22"/>
          <w:szCs w:val="22"/>
        </w:rPr>
        <w:t xml:space="preserve">also </w:t>
      </w:r>
      <w:r w:rsidR="002912B6" w:rsidRPr="00AB306E">
        <w:rPr>
          <w:rFonts w:ascii="Arial" w:hAnsi="Arial" w:cs="Arial"/>
          <w:sz w:val="22"/>
          <w:szCs w:val="22"/>
        </w:rPr>
        <w:t>allow</w:t>
      </w:r>
      <w:r w:rsidRPr="00AB306E">
        <w:rPr>
          <w:rFonts w:ascii="Arial" w:hAnsi="Arial" w:cs="Arial"/>
          <w:sz w:val="22"/>
          <w:szCs w:val="22"/>
        </w:rPr>
        <w:t>ing</w:t>
      </w:r>
      <w:r w:rsidR="002912B6" w:rsidRPr="00AB306E">
        <w:rPr>
          <w:rFonts w:ascii="Arial" w:hAnsi="Arial" w:cs="Arial"/>
          <w:sz w:val="22"/>
          <w:szCs w:val="22"/>
        </w:rPr>
        <w:t xml:space="preserve"> for </w:t>
      </w:r>
      <w:r w:rsidRPr="00AB306E">
        <w:rPr>
          <w:rFonts w:ascii="Arial" w:hAnsi="Arial" w:cs="Arial"/>
          <w:sz w:val="22"/>
          <w:szCs w:val="22"/>
        </w:rPr>
        <w:t>likely</w:t>
      </w:r>
      <w:r w:rsidR="00647590" w:rsidRPr="00AB306E">
        <w:rPr>
          <w:rFonts w:ascii="Arial" w:hAnsi="Arial" w:cs="Arial"/>
          <w:sz w:val="22"/>
          <w:szCs w:val="22"/>
        </w:rPr>
        <w:t xml:space="preserve"> technology developments.</w:t>
      </w:r>
    </w:p>
    <w:p w:rsidR="00647590" w:rsidRPr="00AB306E" w:rsidRDefault="00DF6BA3" w:rsidP="00AB306E">
      <w:pPr>
        <w:pStyle w:val="Heading3"/>
        <w:rPr>
          <w:rFonts w:ascii="Arial" w:hAnsi="Arial" w:cs="Arial"/>
          <w:color w:val="auto"/>
        </w:rPr>
      </w:pPr>
      <w:r>
        <w:rPr>
          <w:rFonts w:ascii="Arial" w:hAnsi="Arial" w:cs="Arial"/>
          <w:color w:val="auto"/>
        </w:rPr>
        <w:t>5.1</w:t>
      </w:r>
      <w:r>
        <w:rPr>
          <w:rFonts w:ascii="Arial" w:hAnsi="Arial" w:cs="Arial"/>
          <w:color w:val="auto"/>
        </w:rPr>
        <w:tab/>
        <w:t>Overseas limits</w:t>
      </w:r>
    </w:p>
    <w:p w:rsidR="001330BF" w:rsidRPr="00AB306E" w:rsidRDefault="001330BF" w:rsidP="00C63094">
      <w:pPr>
        <w:jc w:val="both"/>
        <w:rPr>
          <w:rFonts w:ascii="Arial" w:hAnsi="Arial" w:cs="Arial"/>
          <w:lang w:eastAsia="en-US"/>
        </w:rPr>
      </w:pPr>
    </w:p>
    <w:p w:rsidR="001330BF" w:rsidRPr="00AB306E" w:rsidRDefault="001330BF" w:rsidP="00C63094">
      <w:pPr>
        <w:jc w:val="both"/>
        <w:rPr>
          <w:rFonts w:ascii="Arial" w:hAnsi="Arial" w:cs="Arial"/>
          <w:b/>
          <w:lang w:eastAsia="en-US"/>
        </w:rPr>
      </w:pPr>
      <w:r w:rsidRPr="00AB306E">
        <w:rPr>
          <w:rFonts w:ascii="Arial" w:hAnsi="Arial" w:cs="Arial"/>
          <w:b/>
          <w:lang w:eastAsia="en-US"/>
        </w:rPr>
        <w:t>Europe</w:t>
      </w:r>
    </w:p>
    <w:p w:rsidR="00647590" w:rsidRDefault="00647590" w:rsidP="00AB306E">
      <w:pPr>
        <w:rPr>
          <w:rFonts w:ascii="Arial" w:hAnsi="Arial" w:cs="Arial"/>
          <w:sz w:val="22"/>
          <w:szCs w:val="22"/>
        </w:rPr>
      </w:pPr>
      <w:r w:rsidRPr="00AB306E">
        <w:rPr>
          <w:rFonts w:ascii="Arial" w:hAnsi="Arial" w:cs="Arial"/>
          <w:sz w:val="22"/>
          <w:szCs w:val="22"/>
        </w:rPr>
        <w:t xml:space="preserve">The </w:t>
      </w:r>
      <w:r w:rsidR="00097469" w:rsidRPr="00AB306E">
        <w:rPr>
          <w:rFonts w:ascii="Arial" w:hAnsi="Arial" w:cs="Arial"/>
          <w:sz w:val="22"/>
          <w:szCs w:val="22"/>
        </w:rPr>
        <w:t xml:space="preserve">European </w:t>
      </w:r>
      <w:r w:rsidR="005A2BC2" w:rsidRPr="00AB306E">
        <w:rPr>
          <w:rFonts w:ascii="Arial" w:hAnsi="Arial" w:cs="Arial"/>
          <w:sz w:val="22"/>
          <w:szCs w:val="22"/>
        </w:rPr>
        <w:t>block edge mask (</w:t>
      </w:r>
      <w:r w:rsidRPr="00AB306E">
        <w:rPr>
          <w:rFonts w:ascii="Arial" w:hAnsi="Arial" w:cs="Arial"/>
          <w:sz w:val="22"/>
          <w:szCs w:val="22"/>
        </w:rPr>
        <w:t>BEM</w:t>
      </w:r>
      <w:r w:rsidR="005A2BC2" w:rsidRPr="00AB306E">
        <w:rPr>
          <w:rFonts w:ascii="Arial" w:hAnsi="Arial" w:cs="Arial"/>
          <w:sz w:val="22"/>
          <w:szCs w:val="22"/>
        </w:rPr>
        <w:t>)</w:t>
      </w:r>
      <w:r w:rsidRPr="00AB306E">
        <w:rPr>
          <w:rFonts w:ascii="Arial" w:hAnsi="Arial" w:cs="Arial"/>
          <w:sz w:val="22"/>
          <w:szCs w:val="22"/>
        </w:rPr>
        <w:t xml:space="preserve"> model </w:t>
      </w:r>
      <w:r w:rsidR="00F97C2C" w:rsidRPr="00AB306E">
        <w:rPr>
          <w:rFonts w:ascii="Arial" w:hAnsi="Arial" w:cs="Arial"/>
          <w:sz w:val="22"/>
          <w:szCs w:val="22"/>
        </w:rPr>
        <w:t xml:space="preserve">is derived </w:t>
      </w:r>
      <w:r w:rsidR="00C63094" w:rsidRPr="00AB306E">
        <w:rPr>
          <w:rFonts w:ascii="Arial" w:hAnsi="Arial" w:cs="Arial"/>
          <w:sz w:val="22"/>
          <w:szCs w:val="22"/>
        </w:rPr>
        <w:t xml:space="preserve">using studies described </w:t>
      </w:r>
      <w:r w:rsidRPr="00AB306E">
        <w:rPr>
          <w:rFonts w:ascii="Arial" w:hAnsi="Arial" w:cs="Arial"/>
          <w:sz w:val="22"/>
          <w:szCs w:val="22"/>
        </w:rPr>
        <w:t xml:space="preserve">in </w:t>
      </w:r>
      <w:r w:rsidR="00DB5A61" w:rsidRPr="00AB306E">
        <w:rPr>
          <w:rFonts w:ascii="Arial" w:hAnsi="Arial" w:cs="Arial"/>
          <w:sz w:val="22"/>
          <w:szCs w:val="22"/>
        </w:rPr>
        <w:t>CEPT Report 30</w:t>
      </w:r>
      <w:r w:rsidR="00F97C2C" w:rsidRPr="00AB306E">
        <w:rPr>
          <w:rFonts w:ascii="Arial" w:hAnsi="Arial" w:cs="Arial"/>
          <w:sz w:val="22"/>
          <w:szCs w:val="22"/>
        </w:rPr>
        <w:t xml:space="preserve"> </w:t>
      </w:r>
      <w:r w:rsidR="00C63094" w:rsidRPr="00AB306E">
        <w:rPr>
          <w:rFonts w:ascii="Arial" w:hAnsi="Arial" w:cs="Arial"/>
          <w:sz w:val="22"/>
          <w:szCs w:val="22"/>
        </w:rPr>
        <w:t xml:space="preserve">with the final values </w:t>
      </w:r>
      <w:r w:rsidR="00F97C2C" w:rsidRPr="00AB306E">
        <w:rPr>
          <w:rFonts w:ascii="Arial" w:hAnsi="Arial" w:cs="Arial"/>
          <w:sz w:val="22"/>
          <w:szCs w:val="22"/>
        </w:rPr>
        <w:t xml:space="preserve">set out in </w:t>
      </w:r>
      <w:r w:rsidR="00283614" w:rsidRPr="00AB306E">
        <w:rPr>
          <w:rFonts w:ascii="Arial" w:hAnsi="Arial" w:cs="Arial"/>
          <w:sz w:val="22"/>
          <w:szCs w:val="22"/>
        </w:rPr>
        <w:t>decision 2010/267/EU. It</w:t>
      </w:r>
      <w:r w:rsidR="005E7F18" w:rsidRPr="00AB306E">
        <w:rPr>
          <w:rFonts w:ascii="Arial" w:hAnsi="Arial" w:cs="Arial"/>
          <w:sz w:val="22"/>
          <w:szCs w:val="22"/>
        </w:rPr>
        <w:t xml:space="preserve"> sets out a set of common, least restrictive conditions optimised</w:t>
      </w:r>
      <w:r w:rsidR="00D65B82" w:rsidRPr="00AB306E">
        <w:rPr>
          <w:rFonts w:ascii="Arial" w:hAnsi="Arial" w:cs="Arial"/>
          <w:sz w:val="22"/>
          <w:szCs w:val="22"/>
        </w:rPr>
        <w:t xml:space="preserve"> for,</w:t>
      </w:r>
      <w:r w:rsidR="005E7F18" w:rsidRPr="00AB306E">
        <w:rPr>
          <w:rFonts w:ascii="Arial" w:hAnsi="Arial" w:cs="Arial"/>
          <w:sz w:val="22"/>
          <w:szCs w:val="22"/>
        </w:rPr>
        <w:t xml:space="preserve"> but not</w:t>
      </w:r>
      <w:r w:rsidR="00356D7E" w:rsidRPr="00AB306E">
        <w:rPr>
          <w:rFonts w:ascii="Arial" w:hAnsi="Arial" w:cs="Arial"/>
          <w:sz w:val="22"/>
          <w:szCs w:val="22"/>
        </w:rPr>
        <w:t xml:space="preserve"> limited to, fixed/mobile communications networks.</w:t>
      </w:r>
      <w:r w:rsidR="00285262" w:rsidRPr="00AB306E">
        <w:rPr>
          <w:rFonts w:ascii="Arial" w:hAnsi="Arial" w:cs="Arial"/>
          <w:sz w:val="22"/>
          <w:szCs w:val="22"/>
        </w:rPr>
        <w:t xml:space="preserve"> </w:t>
      </w:r>
      <w:r w:rsidR="001F5FF8" w:rsidRPr="00AB306E">
        <w:rPr>
          <w:rFonts w:ascii="Arial" w:hAnsi="Arial" w:cs="Arial"/>
          <w:sz w:val="22"/>
          <w:szCs w:val="22"/>
        </w:rPr>
        <w:t>It</w:t>
      </w:r>
      <w:r w:rsidR="00356D7E" w:rsidRPr="00AB306E">
        <w:rPr>
          <w:rFonts w:ascii="Arial" w:hAnsi="Arial" w:cs="Arial"/>
          <w:sz w:val="22"/>
          <w:szCs w:val="22"/>
        </w:rPr>
        <w:t xml:space="preserve"> suggests adoption of </w:t>
      </w:r>
      <w:r w:rsidR="00C62824" w:rsidRPr="00AB306E">
        <w:rPr>
          <w:rFonts w:ascii="Arial" w:hAnsi="Arial" w:cs="Arial"/>
          <w:sz w:val="22"/>
          <w:szCs w:val="22"/>
        </w:rPr>
        <w:t>maximum in-block EIRP</w:t>
      </w:r>
      <w:r w:rsidRPr="00AB306E">
        <w:rPr>
          <w:rFonts w:ascii="Arial" w:hAnsi="Arial" w:cs="Arial"/>
          <w:sz w:val="22"/>
          <w:szCs w:val="22"/>
        </w:rPr>
        <w:t xml:space="preserve"> limits</w:t>
      </w:r>
      <w:r w:rsidR="00D65B82" w:rsidRPr="00AB306E">
        <w:rPr>
          <w:rFonts w:ascii="Arial" w:hAnsi="Arial" w:cs="Arial"/>
          <w:sz w:val="22"/>
          <w:szCs w:val="22"/>
        </w:rPr>
        <w:t xml:space="preserve"> of 64</w:t>
      </w:r>
      <w:r w:rsidR="00E33BDB" w:rsidRPr="00AB306E">
        <w:rPr>
          <w:rFonts w:ascii="Arial" w:hAnsi="Arial" w:cs="Arial"/>
          <w:sz w:val="22"/>
          <w:szCs w:val="22"/>
        </w:rPr>
        <w:t>dB</w:t>
      </w:r>
      <w:r w:rsidR="00D65B82" w:rsidRPr="00AB306E">
        <w:rPr>
          <w:rFonts w:ascii="Arial" w:hAnsi="Arial" w:cs="Arial"/>
          <w:sz w:val="22"/>
          <w:szCs w:val="22"/>
        </w:rPr>
        <w:t>m</w:t>
      </w:r>
      <w:r w:rsidR="001229FE" w:rsidRPr="00AB306E">
        <w:rPr>
          <w:rFonts w:ascii="Arial" w:hAnsi="Arial" w:cs="Arial"/>
          <w:sz w:val="22"/>
          <w:szCs w:val="22"/>
        </w:rPr>
        <w:t>/5</w:t>
      </w:r>
      <w:r w:rsidR="00C62824" w:rsidRPr="00AB306E">
        <w:rPr>
          <w:rFonts w:ascii="Arial" w:hAnsi="Arial" w:cs="Arial"/>
          <w:sz w:val="22"/>
          <w:szCs w:val="22"/>
        </w:rPr>
        <w:t>MHz</w:t>
      </w:r>
      <w:r w:rsidRPr="00AB306E">
        <w:rPr>
          <w:rFonts w:ascii="Arial" w:hAnsi="Arial" w:cs="Arial"/>
          <w:sz w:val="22"/>
          <w:szCs w:val="22"/>
        </w:rPr>
        <w:t xml:space="preserve"> </w:t>
      </w:r>
      <w:r w:rsidR="00F60E55" w:rsidRPr="00AB306E">
        <w:rPr>
          <w:rFonts w:ascii="Arial" w:hAnsi="Arial" w:cs="Arial"/>
          <w:sz w:val="22"/>
          <w:szCs w:val="22"/>
        </w:rPr>
        <w:t xml:space="preserve">for fixed base stations </w:t>
      </w:r>
      <w:r w:rsidRPr="00AB306E">
        <w:rPr>
          <w:rFonts w:ascii="Arial" w:hAnsi="Arial" w:cs="Arial"/>
          <w:sz w:val="22"/>
          <w:szCs w:val="22"/>
        </w:rPr>
        <w:t xml:space="preserve">and </w:t>
      </w:r>
      <w:r w:rsidR="00D65B82" w:rsidRPr="00AB306E">
        <w:rPr>
          <w:rFonts w:ascii="Arial" w:hAnsi="Arial" w:cs="Arial"/>
          <w:sz w:val="22"/>
          <w:szCs w:val="22"/>
        </w:rPr>
        <w:t>23</w:t>
      </w:r>
      <w:r w:rsidR="00E33BDB" w:rsidRPr="00AB306E">
        <w:rPr>
          <w:rFonts w:ascii="Arial" w:hAnsi="Arial" w:cs="Arial"/>
          <w:sz w:val="22"/>
          <w:szCs w:val="22"/>
        </w:rPr>
        <w:t>dB</w:t>
      </w:r>
      <w:r w:rsidR="00D65B82" w:rsidRPr="00AB306E">
        <w:rPr>
          <w:rFonts w:ascii="Arial" w:hAnsi="Arial" w:cs="Arial"/>
          <w:sz w:val="22"/>
          <w:szCs w:val="22"/>
        </w:rPr>
        <w:t>m</w:t>
      </w:r>
      <w:r w:rsidR="00C62824" w:rsidRPr="00AB306E">
        <w:rPr>
          <w:rFonts w:ascii="Arial" w:hAnsi="Arial" w:cs="Arial"/>
          <w:sz w:val="22"/>
          <w:szCs w:val="22"/>
        </w:rPr>
        <w:t>/10MHz</w:t>
      </w:r>
      <w:r w:rsidR="00D65B82" w:rsidRPr="00AB306E">
        <w:rPr>
          <w:rFonts w:ascii="Arial" w:hAnsi="Arial" w:cs="Arial"/>
          <w:sz w:val="22"/>
          <w:szCs w:val="22"/>
        </w:rPr>
        <w:t xml:space="preserve"> </w:t>
      </w:r>
      <w:r w:rsidR="00F60E55" w:rsidRPr="00AB306E">
        <w:rPr>
          <w:rFonts w:ascii="Arial" w:hAnsi="Arial" w:cs="Arial"/>
          <w:sz w:val="22"/>
          <w:szCs w:val="22"/>
        </w:rPr>
        <w:t>for terminal stations</w:t>
      </w:r>
      <w:r w:rsidRPr="00AB306E">
        <w:rPr>
          <w:rFonts w:ascii="Arial" w:hAnsi="Arial" w:cs="Arial"/>
          <w:sz w:val="22"/>
          <w:szCs w:val="22"/>
        </w:rPr>
        <w:t>.</w:t>
      </w:r>
    </w:p>
    <w:p w:rsidR="009B55EE" w:rsidRPr="00AB306E" w:rsidRDefault="009B55EE" w:rsidP="00AB306E">
      <w:pPr>
        <w:rPr>
          <w:rFonts w:ascii="Arial" w:hAnsi="Arial" w:cs="Arial"/>
          <w:sz w:val="22"/>
          <w:szCs w:val="22"/>
        </w:rPr>
      </w:pPr>
    </w:p>
    <w:p w:rsidR="00647590" w:rsidRPr="00AB306E" w:rsidRDefault="00647590" w:rsidP="00AB306E">
      <w:pPr>
        <w:rPr>
          <w:rFonts w:ascii="Arial" w:hAnsi="Arial" w:cs="Arial"/>
          <w:sz w:val="22"/>
          <w:szCs w:val="22"/>
        </w:rPr>
      </w:pPr>
      <w:r w:rsidRPr="00AB306E">
        <w:rPr>
          <w:rFonts w:ascii="Arial" w:hAnsi="Arial" w:cs="Arial"/>
          <w:sz w:val="22"/>
          <w:szCs w:val="22"/>
        </w:rPr>
        <w:t xml:space="preserve">The limits </w:t>
      </w:r>
      <w:r w:rsidR="001F5FF8" w:rsidRPr="00AB306E">
        <w:rPr>
          <w:rFonts w:ascii="Arial" w:hAnsi="Arial" w:cs="Arial"/>
          <w:sz w:val="22"/>
          <w:szCs w:val="22"/>
        </w:rPr>
        <w:t>in the European model</w:t>
      </w:r>
      <w:r w:rsidRPr="00AB306E">
        <w:rPr>
          <w:rFonts w:ascii="Arial" w:hAnsi="Arial" w:cs="Arial"/>
          <w:sz w:val="22"/>
          <w:szCs w:val="22"/>
        </w:rPr>
        <w:t xml:space="preserve"> are based on an </w:t>
      </w:r>
      <w:r w:rsidR="005E7F18" w:rsidRPr="00AB306E">
        <w:rPr>
          <w:rFonts w:ascii="Arial" w:hAnsi="Arial" w:cs="Arial"/>
          <w:sz w:val="22"/>
          <w:szCs w:val="22"/>
        </w:rPr>
        <w:t xml:space="preserve">Urban </w:t>
      </w:r>
      <w:r w:rsidR="00FA4DF9" w:rsidRPr="00AB306E">
        <w:rPr>
          <w:rFonts w:ascii="Arial" w:hAnsi="Arial" w:cs="Arial"/>
          <w:sz w:val="22"/>
          <w:szCs w:val="22"/>
        </w:rPr>
        <w:t xml:space="preserve">Macro-cell model (an example is shown in </w:t>
      </w:r>
      <w:r w:rsidRPr="00AB306E">
        <w:rPr>
          <w:rFonts w:ascii="Arial" w:hAnsi="Arial" w:cs="Arial"/>
          <w:sz w:val="22"/>
          <w:szCs w:val="22"/>
        </w:rPr>
        <w:t xml:space="preserve">figure </w:t>
      </w:r>
      <w:r w:rsidR="005A2BC2" w:rsidRPr="00AB306E">
        <w:rPr>
          <w:rFonts w:ascii="Arial" w:hAnsi="Arial" w:cs="Arial"/>
          <w:sz w:val="22"/>
          <w:szCs w:val="22"/>
        </w:rPr>
        <w:t>3</w:t>
      </w:r>
      <w:r w:rsidRPr="00AB306E">
        <w:rPr>
          <w:rFonts w:ascii="Arial" w:hAnsi="Arial" w:cs="Arial"/>
          <w:sz w:val="22"/>
          <w:szCs w:val="22"/>
        </w:rPr>
        <w:t xml:space="preserve">) and current </w:t>
      </w:r>
      <w:r w:rsidR="00163BB0" w:rsidRPr="00AB306E">
        <w:rPr>
          <w:rFonts w:ascii="Arial" w:hAnsi="Arial" w:cs="Arial"/>
          <w:sz w:val="22"/>
          <w:szCs w:val="22"/>
        </w:rPr>
        <w:t xml:space="preserve">mobile </w:t>
      </w:r>
      <w:r w:rsidRPr="00AB306E">
        <w:rPr>
          <w:rFonts w:ascii="Arial" w:hAnsi="Arial" w:cs="Arial"/>
          <w:sz w:val="22"/>
          <w:szCs w:val="22"/>
        </w:rPr>
        <w:t>equipment technology.</w:t>
      </w:r>
      <w:r w:rsidR="00285262" w:rsidRPr="00AB306E">
        <w:rPr>
          <w:rFonts w:ascii="Arial" w:hAnsi="Arial" w:cs="Arial"/>
          <w:sz w:val="22"/>
          <w:szCs w:val="22"/>
        </w:rPr>
        <w:t xml:space="preserve"> </w:t>
      </w:r>
      <w:r w:rsidR="001229FE" w:rsidRPr="00AB306E">
        <w:rPr>
          <w:rFonts w:ascii="Arial" w:hAnsi="Arial" w:cs="Arial"/>
          <w:sz w:val="22"/>
          <w:szCs w:val="22"/>
        </w:rPr>
        <w:t>The</w:t>
      </w:r>
      <w:r w:rsidRPr="00AB306E">
        <w:rPr>
          <w:rFonts w:ascii="Arial" w:hAnsi="Arial" w:cs="Arial"/>
          <w:sz w:val="22"/>
          <w:szCs w:val="22"/>
        </w:rPr>
        <w:t xml:space="preserve"> figure</w:t>
      </w:r>
      <w:r w:rsidR="0023141C" w:rsidRPr="00AB306E">
        <w:rPr>
          <w:rFonts w:ascii="Arial" w:hAnsi="Arial" w:cs="Arial"/>
          <w:sz w:val="22"/>
          <w:szCs w:val="22"/>
        </w:rPr>
        <w:t xml:space="preserve"> of</w:t>
      </w:r>
      <w:r w:rsidRPr="00AB306E">
        <w:rPr>
          <w:rFonts w:ascii="Arial" w:hAnsi="Arial" w:cs="Arial"/>
          <w:sz w:val="22"/>
          <w:szCs w:val="22"/>
        </w:rPr>
        <w:t xml:space="preserve"> </w:t>
      </w:r>
      <w:r w:rsidR="0034663D" w:rsidRPr="00AB306E">
        <w:rPr>
          <w:rFonts w:ascii="Arial" w:hAnsi="Arial" w:cs="Arial"/>
          <w:sz w:val="22"/>
          <w:szCs w:val="22"/>
        </w:rPr>
        <w:t>6</w:t>
      </w:r>
      <w:r w:rsidR="003864EE" w:rsidRPr="00AB306E">
        <w:rPr>
          <w:rFonts w:ascii="Arial" w:hAnsi="Arial" w:cs="Arial"/>
          <w:sz w:val="22"/>
          <w:szCs w:val="22"/>
        </w:rPr>
        <w:t>4</w:t>
      </w:r>
      <w:r w:rsidR="00E33BDB" w:rsidRPr="00AB306E">
        <w:rPr>
          <w:rFonts w:ascii="Arial" w:hAnsi="Arial" w:cs="Arial"/>
          <w:sz w:val="22"/>
          <w:szCs w:val="22"/>
        </w:rPr>
        <w:t>dB</w:t>
      </w:r>
      <w:r w:rsidRPr="00AB306E">
        <w:rPr>
          <w:rFonts w:ascii="Arial" w:hAnsi="Arial" w:cs="Arial"/>
          <w:sz w:val="22"/>
          <w:szCs w:val="22"/>
        </w:rPr>
        <w:t>m/</w:t>
      </w:r>
      <w:r w:rsidR="003864EE" w:rsidRPr="00AB306E">
        <w:rPr>
          <w:rFonts w:ascii="Arial" w:hAnsi="Arial" w:cs="Arial"/>
          <w:sz w:val="22"/>
          <w:szCs w:val="22"/>
        </w:rPr>
        <w:t>5</w:t>
      </w:r>
      <w:r w:rsidRPr="00AB306E">
        <w:rPr>
          <w:rFonts w:ascii="Arial" w:hAnsi="Arial" w:cs="Arial"/>
          <w:sz w:val="22"/>
          <w:szCs w:val="22"/>
        </w:rPr>
        <w:t>MHz allows for larger rural cells.</w:t>
      </w:r>
      <w:r w:rsidR="00285262" w:rsidRPr="00AB306E">
        <w:rPr>
          <w:rFonts w:ascii="Arial" w:hAnsi="Arial" w:cs="Arial"/>
          <w:sz w:val="22"/>
          <w:szCs w:val="22"/>
        </w:rPr>
        <w:t xml:space="preserve"> </w:t>
      </w:r>
      <w:r w:rsidRPr="00AB306E">
        <w:rPr>
          <w:rFonts w:ascii="Arial" w:hAnsi="Arial" w:cs="Arial"/>
          <w:sz w:val="22"/>
          <w:szCs w:val="22"/>
        </w:rPr>
        <w:t>In these cases base stations are likely to have greater antenna height and physical separation from user terminal units than in urban areas.</w:t>
      </w:r>
    </w:p>
    <w:p w:rsidR="00647590" w:rsidRPr="00AB306E" w:rsidRDefault="00647590" w:rsidP="00AB306E">
      <w:pPr>
        <w:rPr>
          <w:rFonts w:ascii="Arial" w:hAnsi="Arial" w:cs="Arial"/>
          <w:sz w:val="22"/>
          <w:szCs w:val="22"/>
        </w:rPr>
      </w:pPr>
    </w:p>
    <w:p w:rsidR="00FA4DF9" w:rsidRPr="00AB306E" w:rsidRDefault="00FA4DF9" w:rsidP="00AB306E">
      <w:pPr>
        <w:rPr>
          <w:rFonts w:ascii="Arial" w:hAnsi="Arial" w:cs="Arial"/>
          <w:sz w:val="22"/>
          <w:szCs w:val="22"/>
        </w:rPr>
      </w:pPr>
      <w:r w:rsidRPr="00AB306E">
        <w:rPr>
          <w:rFonts w:ascii="Arial" w:hAnsi="Arial" w:cs="Arial"/>
          <w:sz w:val="22"/>
          <w:szCs w:val="22"/>
        </w:rPr>
        <w:t>Note that radiated power mobile for mobile and nomadic devices are considered during develo</w:t>
      </w:r>
      <w:r w:rsidR="00DF6BA3">
        <w:rPr>
          <w:rFonts w:ascii="Arial" w:hAnsi="Arial" w:cs="Arial"/>
          <w:sz w:val="22"/>
          <w:szCs w:val="22"/>
        </w:rPr>
        <w:t xml:space="preserve">pment of licence conditions on </w:t>
      </w:r>
      <w:r w:rsidRPr="00AB306E">
        <w:rPr>
          <w:rFonts w:ascii="Arial" w:hAnsi="Arial" w:cs="Arial"/>
          <w:sz w:val="22"/>
          <w:szCs w:val="22"/>
        </w:rPr>
        <w:t>exemption from registration requireme</w:t>
      </w:r>
      <w:r w:rsidR="00DF6BA3">
        <w:rPr>
          <w:rFonts w:ascii="Arial" w:hAnsi="Arial" w:cs="Arial"/>
          <w:sz w:val="22"/>
          <w:szCs w:val="22"/>
        </w:rPr>
        <w:t xml:space="preserve">nts (aka class licensing) and </w:t>
      </w:r>
      <w:r w:rsidR="00C35AE9">
        <w:rPr>
          <w:rFonts w:ascii="Arial" w:hAnsi="Arial" w:cs="Arial"/>
          <w:sz w:val="22"/>
          <w:szCs w:val="22"/>
        </w:rPr>
        <w:t xml:space="preserve">development of a </w:t>
      </w:r>
      <w:r w:rsidRPr="00AB306E">
        <w:rPr>
          <w:rFonts w:ascii="Arial" w:hAnsi="Arial" w:cs="Arial"/>
          <w:sz w:val="22"/>
          <w:szCs w:val="22"/>
        </w:rPr>
        <w:t xml:space="preserve">determination of unacceptable interference made under s145 of </w:t>
      </w:r>
      <w:r w:rsidRPr="00AB306E">
        <w:rPr>
          <w:rFonts w:ascii="Arial" w:hAnsi="Arial" w:cs="Arial"/>
          <w:i/>
          <w:iCs/>
          <w:sz w:val="22"/>
          <w:szCs w:val="22"/>
        </w:rPr>
        <w:t>the Act</w:t>
      </w:r>
      <w:r w:rsidRPr="00AB306E">
        <w:rPr>
          <w:rFonts w:ascii="Arial" w:hAnsi="Arial" w:cs="Arial"/>
          <w:sz w:val="22"/>
          <w:szCs w:val="22"/>
        </w:rPr>
        <w:t xml:space="preserve"> - both are discussed in as part of the 2</w:t>
      </w:r>
      <w:r w:rsidRPr="00AB306E">
        <w:rPr>
          <w:rFonts w:ascii="Arial" w:hAnsi="Arial" w:cs="Arial"/>
          <w:sz w:val="22"/>
          <w:szCs w:val="22"/>
          <w:vertAlign w:val="superscript"/>
        </w:rPr>
        <w:t>nd</w:t>
      </w:r>
      <w:r w:rsidRPr="00AB306E">
        <w:rPr>
          <w:rFonts w:ascii="Arial" w:hAnsi="Arial" w:cs="Arial"/>
          <w:sz w:val="22"/>
          <w:szCs w:val="22"/>
        </w:rPr>
        <w:t xml:space="preserve"> TLG pape</w:t>
      </w:r>
      <w:r w:rsidR="009B55EE">
        <w:rPr>
          <w:rFonts w:ascii="Arial" w:hAnsi="Arial" w:cs="Arial"/>
          <w:sz w:val="22"/>
          <w:szCs w:val="22"/>
        </w:rPr>
        <w:t>r on registration requirements.</w:t>
      </w:r>
    </w:p>
    <w:p w:rsidR="00FA4DF9" w:rsidRPr="00AB306E" w:rsidRDefault="00FA4DF9" w:rsidP="00AB306E">
      <w:pPr>
        <w:rPr>
          <w:rFonts w:ascii="Arial" w:hAnsi="Arial" w:cs="Arial"/>
          <w:sz w:val="22"/>
          <w:szCs w:val="22"/>
        </w:rPr>
      </w:pPr>
    </w:p>
    <w:p w:rsidR="00FA4DF9" w:rsidRPr="00AB306E" w:rsidRDefault="00647590" w:rsidP="00AB306E">
      <w:pPr>
        <w:rPr>
          <w:rFonts w:ascii="Arial" w:hAnsi="Arial" w:cs="Arial"/>
          <w:sz w:val="22"/>
          <w:szCs w:val="22"/>
        </w:rPr>
      </w:pPr>
      <w:r w:rsidRPr="00AB306E">
        <w:rPr>
          <w:rFonts w:ascii="Arial" w:hAnsi="Arial" w:cs="Arial"/>
          <w:sz w:val="22"/>
          <w:szCs w:val="22"/>
        </w:rPr>
        <w:t>This figure is a suitable starting point for consideration of the likely maximum horizontally radiated true mean power to feed into an Australian spectrum licence out-of-area emission limit.</w:t>
      </w:r>
      <w:r w:rsidR="00285262" w:rsidRPr="00AB306E">
        <w:rPr>
          <w:rFonts w:ascii="Arial" w:hAnsi="Arial" w:cs="Arial"/>
          <w:sz w:val="22"/>
          <w:szCs w:val="22"/>
        </w:rPr>
        <w:t xml:space="preserve"> </w:t>
      </w:r>
      <w:r w:rsidR="00FA4DF9" w:rsidRPr="00AB306E">
        <w:rPr>
          <w:rFonts w:ascii="Arial" w:hAnsi="Arial" w:cs="Arial"/>
          <w:sz w:val="22"/>
          <w:szCs w:val="22"/>
        </w:rPr>
        <w:t xml:space="preserve">Note that radiated power mobile for mobile and nomadic devices are considered during development of licence conditions on exemption from registration requirements (class licensing) and development of a determination of unacceptable interference made under s145 of </w:t>
      </w:r>
      <w:r w:rsidR="00FA4DF9" w:rsidRPr="00AB306E">
        <w:rPr>
          <w:rFonts w:ascii="Arial" w:hAnsi="Arial" w:cs="Arial"/>
          <w:i/>
          <w:iCs/>
          <w:sz w:val="22"/>
          <w:szCs w:val="22"/>
        </w:rPr>
        <w:t>the Act</w:t>
      </w:r>
      <w:r w:rsidR="00FA4DF9" w:rsidRPr="00AB306E">
        <w:rPr>
          <w:rFonts w:ascii="Arial" w:hAnsi="Arial" w:cs="Arial"/>
          <w:sz w:val="22"/>
          <w:szCs w:val="22"/>
        </w:rPr>
        <w:t xml:space="preserve"> - both are discussed in as part of the 2</w:t>
      </w:r>
      <w:r w:rsidR="00FA4DF9" w:rsidRPr="00AB306E">
        <w:rPr>
          <w:rFonts w:ascii="Arial" w:hAnsi="Arial" w:cs="Arial"/>
          <w:sz w:val="22"/>
          <w:szCs w:val="22"/>
          <w:vertAlign w:val="superscript"/>
        </w:rPr>
        <w:t>nd</w:t>
      </w:r>
      <w:r w:rsidR="00FA4DF9" w:rsidRPr="00AB306E">
        <w:rPr>
          <w:rFonts w:ascii="Arial" w:hAnsi="Arial" w:cs="Arial"/>
          <w:sz w:val="22"/>
          <w:szCs w:val="22"/>
        </w:rPr>
        <w:t xml:space="preserve"> TLG paper on regist</w:t>
      </w:r>
      <w:r w:rsidR="00DF6BA3">
        <w:rPr>
          <w:rFonts w:ascii="Arial" w:hAnsi="Arial" w:cs="Arial"/>
          <w:sz w:val="22"/>
          <w:szCs w:val="22"/>
        </w:rPr>
        <w:t>ration requirements.</w:t>
      </w:r>
    </w:p>
    <w:p w:rsidR="005A2BC2" w:rsidRDefault="005A2BC2" w:rsidP="00AB306E">
      <w:pPr>
        <w:rPr>
          <w:rFonts w:ascii="Arial" w:hAnsi="Arial" w:cs="Arial"/>
          <w:sz w:val="22"/>
          <w:szCs w:val="22"/>
        </w:rPr>
      </w:pPr>
    </w:p>
    <w:p w:rsidR="003F2551" w:rsidRDefault="003F2551">
      <w:pPr>
        <w:spacing w:after="200" w:line="276" w:lineRule="auto"/>
        <w:rPr>
          <w:rFonts w:ascii="Arial" w:hAnsi="Arial" w:cs="Arial"/>
          <w:sz w:val="22"/>
          <w:szCs w:val="22"/>
        </w:rPr>
      </w:pPr>
      <w:r>
        <w:rPr>
          <w:rFonts w:ascii="Arial" w:hAnsi="Arial" w:cs="Arial"/>
          <w:sz w:val="22"/>
          <w:szCs w:val="22"/>
        </w:rPr>
        <w:br w:type="page"/>
      </w:r>
    </w:p>
    <w:p w:rsidR="003F2551" w:rsidRPr="00AB306E" w:rsidRDefault="003F2551" w:rsidP="00AB306E">
      <w:pPr>
        <w:rPr>
          <w:rFonts w:ascii="Arial" w:hAnsi="Arial" w:cs="Arial"/>
          <w:sz w:val="22"/>
          <w:szCs w:val="22"/>
        </w:rPr>
      </w:pPr>
    </w:p>
    <w:p w:rsidR="00D65B82" w:rsidRPr="00AB306E" w:rsidRDefault="00647590" w:rsidP="00AB306E">
      <w:pPr>
        <w:rPr>
          <w:rFonts w:ascii="Arial" w:hAnsi="Arial" w:cs="Arial"/>
          <w:sz w:val="22"/>
          <w:szCs w:val="22"/>
        </w:rPr>
      </w:pPr>
      <w:r w:rsidRPr="00AB306E">
        <w:rPr>
          <w:rFonts w:ascii="Arial" w:hAnsi="Arial" w:cs="Arial"/>
          <w:sz w:val="22"/>
          <w:szCs w:val="22"/>
        </w:rPr>
        <w:t xml:space="preserve">The European figure </w:t>
      </w:r>
      <w:r w:rsidR="00784229" w:rsidRPr="00AB306E">
        <w:rPr>
          <w:rFonts w:ascii="Arial" w:hAnsi="Arial" w:cs="Arial"/>
          <w:sz w:val="22"/>
          <w:szCs w:val="22"/>
        </w:rPr>
        <w:t xml:space="preserve">for larger rural areas </w:t>
      </w:r>
      <w:r w:rsidRPr="00AB306E">
        <w:rPr>
          <w:rFonts w:ascii="Arial" w:hAnsi="Arial" w:cs="Arial"/>
          <w:sz w:val="22"/>
          <w:szCs w:val="22"/>
        </w:rPr>
        <w:t>can be converted to the form used in Australian spectrum licences</w:t>
      </w:r>
      <w:r w:rsidR="00D65B82" w:rsidRPr="00AB306E">
        <w:rPr>
          <w:rFonts w:ascii="Arial" w:hAnsi="Arial" w:cs="Arial"/>
          <w:sz w:val="22"/>
          <w:szCs w:val="22"/>
        </w:rPr>
        <w:t xml:space="preserve"> -</w:t>
      </w:r>
      <w:r w:rsidRPr="00AB306E">
        <w:rPr>
          <w:rFonts w:ascii="Arial" w:hAnsi="Arial" w:cs="Arial"/>
          <w:sz w:val="22"/>
          <w:szCs w:val="22"/>
        </w:rPr>
        <w:t xml:space="preserve"> that of a maximum horizontally radiated true mean power </w:t>
      </w:r>
      <w:r w:rsidR="00D65B82" w:rsidRPr="00AB306E">
        <w:rPr>
          <w:rFonts w:ascii="Arial" w:hAnsi="Arial" w:cs="Arial"/>
          <w:sz w:val="22"/>
          <w:szCs w:val="22"/>
        </w:rPr>
        <w:t xml:space="preserve">- </w:t>
      </w:r>
      <w:r w:rsidRPr="00AB306E">
        <w:rPr>
          <w:rFonts w:ascii="Arial" w:hAnsi="Arial" w:cs="Arial"/>
          <w:sz w:val="22"/>
          <w:szCs w:val="22"/>
        </w:rPr>
        <w:t>by adjusting for bandwidth</w:t>
      </w:r>
    </w:p>
    <w:p w:rsidR="00D65B82" w:rsidRPr="00AB306E" w:rsidRDefault="00D65B82" w:rsidP="00647590">
      <w:pPr>
        <w:rPr>
          <w:rFonts w:ascii="Arial" w:hAnsi="Arial" w:cs="Arial"/>
          <w:sz w:val="22"/>
          <w:szCs w:val="22"/>
        </w:rPr>
      </w:pPr>
    </w:p>
    <w:p w:rsidR="00097469" w:rsidRPr="00AB306E" w:rsidRDefault="00647590" w:rsidP="00AB306E">
      <w:pPr>
        <w:jc w:val="center"/>
        <w:rPr>
          <w:rFonts w:ascii="Arial" w:hAnsi="Arial" w:cs="Arial"/>
          <w:sz w:val="22"/>
          <w:szCs w:val="22"/>
        </w:rPr>
      </w:pPr>
      <w:r w:rsidRPr="00AB306E">
        <w:rPr>
          <w:rFonts w:ascii="Arial" w:hAnsi="Arial" w:cs="Arial"/>
          <w:sz w:val="22"/>
          <w:szCs w:val="22"/>
        </w:rPr>
        <w:t>6</w:t>
      </w:r>
      <w:r w:rsidR="005E7F18" w:rsidRPr="00AB306E">
        <w:rPr>
          <w:rFonts w:ascii="Arial" w:hAnsi="Arial" w:cs="Arial"/>
          <w:sz w:val="22"/>
          <w:szCs w:val="22"/>
        </w:rPr>
        <w:t>4</w:t>
      </w:r>
      <w:r w:rsidR="00E33BDB" w:rsidRPr="00AB306E">
        <w:rPr>
          <w:rFonts w:ascii="Arial" w:hAnsi="Arial" w:cs="Arial"/>
          <w:sz w:val="22"/>
          <w:szCs w:val="22"/>
        </w:rPr>
        <w:t>dB</w:t>
      </w:r>
      <w:r w:rsidRPr="00AB306E">
        <w:rPr>
          <w:rFonts w:ascii="Arial" w:hAnsi="Arial" w:cs="Arial"/>
          <w:sz w:val="22"/>
          <w:szCs w:val="22"/>
        </w:rPr>
        <w:t xml:space="preserve">m/5MHz - </w:t>
      </w:r>
      <w:proofErr w:type="gramStart"/>
      <w:r w:rsidR="00B74D0C" w:rsidRPr="00AB306E">
        <w:rPr>
          <w:rFonts w:ascii="Arial" w:hAnsi="Arial" w:cs="Arial"/>
          <w:sz w:val="22"/>
          <w:szCs w:val="22"/>
        </w:rPr>
        <w:t>10log(</w:t>
      </w:r>
      <w:proofErr w:type="gramEnd"/>
      <w:r w:rsidR="00B74D0C" w:rsidRPr="00AB306E">
        <w:rPr>
          <w:rFonts w:ascii="Arial" w:hAnsi="Arial" w:cs="Arial"/>
          <w:sz w:val="22"/>
          <w:szCs w:val="22"/>
        </w:rPr>
        <w:t>5MHz/30kHz)</w:t>
      </w:r>
      <w:r w:rsidRPr="00AB306E">
        <w:rPr>
          <w:rFonts w:ascii="Arial" w:hAnsi="Arial" w:cs="Arial"/>
          <w:sz w:val="22"/>
          <w:szCs w:val="22"/>
        </w:rPr>
        <w:t xml:space="preserve"> = </w:t>
      </w:r>
      <w:r w:rsidR="00545780" w:rsidRPr="00AB306E">
        <w:rPr>
          <w:rFonts w:ascii="Arial" w:hAnsi="Arial" w:cs="Arial"/>
          <w:sz w:val="22"/>
          <w:szCs w:val="22"/>
        </w:rPr>
        <w:t>42</w:t>
      </w:r>
      <w:r w:rsidR="00E33BDB" w:rsidRPr="00AB306E">
        <w:rPr>
          <w:rFonts w:ascii="Arial" w:hAnsi="Arial" w:cs="Arial"/>
          <w:sz w:val="22"/>
          <w:szCs w:val="22"/>
        </w:rPr>
        <w:t>dB</w:t>
      </w:r>
      <w:r w:rsidRPr="00AB306E">
        <w:rPr>
          <w:rFonts w:ascii="Arial" w:hAnsi="Arial" w:cs="Arial"/>
          <w:sz w:val="22"/>
          <w:szCs w:val="22"/>
        </w:rPr>
        <w:t>m EIRP/30kHz</w:t>
      </w:r>
      <w:r w:rsidR="00684206" w:rsidRPr="00AB306E">
        <w:rPr>
          <w:rFonts w:ascii="Arial" w:hAnsi="Arial" w:cs="Arial"/>
          <w:sz w:val="22"/>
          <w:szCs w:val="22"/>
        </w:rPr>
        <w:t>.</w:t>
      </w:r>
    </w:p>
    <w:p w:rsidR="00C243CA" w:rsidRDefault="00C243CA" w:rsidP="00C243CA">
      <w:pPr>
        <w:rPr>
          <w:rFonts w:ascii="Arial" w:hAnsi="Arial" w:cs="Arial"/>
          <w:sz w:val="22"/>
          <w:szCs w:val="22"/>
        </w:rPr>
      </w:pPr>
    </w:p>
    <w:tbl>
      <w:tblPr>
        <w:tblW w:w="9645" w:type="dxa"/>
        <w:tblLayout w:type="fixed"/>
        <w:tblCellMar>
          <w:left w:w="0" w:type="dxa"/>
          <w:right w:w="0" w:type="dxa"/>
        </w:tblCellMar>
        <w:tblLook w:val="01E0"/>
      </w:tblPr>
      <w:tblGrid>
        <w:gridCol w:w="9645"/>
      </w:tblGrid>
      <w:tr w:rsidR="00081056" w:rsidTr="00B36712">
        <w:trPr>
          <w:trHeight w:val="570"/>
        </w:trPr>
        <w:tc>
          <w:tcPr>
            <w:tcW w:w="9645" w:type="dxa"/>
            <w:tcBorders>
              <w:top w:val="single" w:sz="2" w:space="0" w:color="505050"/>
            </w:tcBorders>
            <w:shd w:val="clear" w:color="auto" w:fill="auto"/>
            <w:vAlign w:val="center"/>
          </w:tcPr>
          <w:p w:rsidR="00081056" w:rsidRPr="00081056" w:rsidRDefault="00081056" w:rsidP="00081056">
            <w:pPr>
              <w:pStyle w:val="Caption"/>
              <w:rPr>
                <w:b w:val="0"/>
              </w:rPr>
            </w:pPr>
            <w:r>
              <w:t>Figure 3 Urban macro-cell model</w:t>
            </w:r>
          </w:p>
        </w:tc>
      </w:tr>
      <w:tr w:rsidR="00081056" w:rsidTr="00B36712">
        <w:trPr>
          <w:trHeight w:val="3086"/>
        </w:trPr>
        <w:tc>
          <w:tcPr>
            <w:tcW w:w="9645" w:type="dxa"/>
            <w:shd w:val="clear" w:color="auto" w:fill="auto"/>
            <w:tcMar>
              <w:left w:w="28" w:type="dxa"/>
            </w:tcMar>
          </w:tcPr>
          <w:p w:rsidR="00081056" w:rsidRDefault="00081056" w:rsidP="00B36712">
            <w:r>
              <w:rPr>
                <w:rFonts w:ascii="Arial" w:hAnsi="Arial" w:cs="Arial"/>
              </w:rPr>
            </w:r>
            <w:r>
              <w:rPr>
                <w:rFonts w:ascii="Arial" w:hAnsi="Arial" w:cs="Arial"/>
              </w:rPr>
              <w:pict>
                <v:group id="_x0000_s1057" editas="canvas" style="width:425.2pt;height:255.1pt;mso-position-horizontal-relative:char;mso-position-vertical-relative:line" coordorigin="2355,10155"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8" type="#_x0000_t75" style="position:absolute;left:2355;top:10155;width:7200;height:4320" o:preferrelative="f" stroked="t">
                    <v:fill o:detectmouseclick="t"/>
                    <v:path o:extrusionok="t" o:connecttype="none"/>
                    <o:lock v:ext="edit" text="t"/>
                  </v:shape>
                  <v:oval id="_x0000_s1059" style="position:absolute;left:3253;top:11123;width:3286;height:2312"/>
                  <v:line id="_x0000_s1060" style="position:absolute" from="4833,10626" to="4834,12314"/>
                  <v:line id="_x0000_s1061" style="position:absolute;flip:x" from="4960,11555" to="7727,14156"/>
                  <v:line id="_x0000_s1062" style="position:absolute" from="6141,11071" to="7626,11642">
                    <v:stroke startarrow="block" endarrow="block"/>
                  </v:line>
                  <v:shapetype id="_x0000_t202" coordsize="21600,21600" o:spt="202" path="m,l,21600r21600,l21600,xe">
                    <v:stroke joinstyle="miter"/>
                    <v:path gradientshapeok="t" o:connecttype="rect"/>
                  </v:shapetype>
                  <v:shape id="_x0000_s1063" type="#_x0000_t202" style="position:absolute;left:6859;top:10944;width:1214;height:331" stroked="f">
                    <v:textbox style="mso-next-textbox:#_x0000_s1063">
                      <w:txbxContent>
                        <w:p w:rsidR="00081056" w:rsidRDefault="00081056" w:rsidP="00081056">
                          <w:r>
                            <w:t>20 km</w:t>
                          </w:r>
                        </w:p>
                      </w:txbxContent>
                    </v:textbox>
                  </v:shape>
                  <v:line id="_x0000_s1064" style="position:absolute;flip:y" from="3651,10703" to="6522,13433"/>
                  <v:line id="_x0000_s1065" style="position:absolute;flip:x y" from="3158,11554" to="9062,14195"/>
                  <v:shape id="_x0000_s1066" type="#_x0000_t202" style="position:absolute;left:3149;top:10462;width:1167;height:661" stroked="f">
                    <v:textbox inset="0,0,0,0">
                      <w:txbxContent>
                        <w:p w:rsidR="00081056" w:rsidRDefault="00081056" w:rsidP="00081056">
                          <w:pPr>
                            <w:rPr>
                              <w:sz w:val="20"/>
                              <w:szCs w:val="20"/>
                            </w:rPr>
                          </w:pPr>
                          <w:r>
                            <w:rPr>
                              <w:sz w:val="20"/>
                              <w:szCs w:val="20"/>
                            </w:rPr>
                            <w:t>Base Station</w:t>
                          </w:r>
                        </w:p>
                        <w:p w:rsidR="00081056" w:rsidRDefault="00081056" w:rsidP="00081056">
                          <w:pPr>
                            <w:rPr>
                              <w:sz w:val="20"/>
                              <w:szCs w:val="20"/>
                            </w:rPr>
                          </w:pPr>
                          <w:r>
                            <w:rPr>
                              <w:sz w:val="20"/>
                              <w:szCs w:val="20"/>
                            </w:rPr>
                            <w:t>Maximum EIRP 64dBm/5MHz</w:t>
                          </w:r>
                        </w:p>
                        <w:p w:rsidR="00081056" w:rsidRDefault="00081056" w:rsidP="00081056">
                          <w:pPr>
                            <w:rPr>
                              <w:sz w:val="20"/>
                              <w:szCs w:val="20"/>
                            </w:rPr>
                          </w:pPr>
                        </w:p>
                      </w:txbxContent>
                    </v:textbox>
                  </v:shape>
                  <v:line id="_x0000_s1067" style="position:absolute" from="4876,10644" to="4877,10809" strokeweight="2.75pt"/>
                  <v:line id="_x0000_s1068" style="position:absolute" from="4786,10646" to="4788,10811" strokeweight="2.75pt"/>
                  <v:shape id="_x0000_s1069" type="#_x0000_t202" style="position:absolute;left:4316;top:11477;width:470;height:388" stroked="f">
                    <v:textbox inset="0,0,0,0">
                      <w:txbxContent>
                        <w:p w:rsidR="00081056" w:rsidRPr="007234CA" w:rsidRDefault="00081056" w:rsidP="00081056">
                          <w:pPr>
                            <w:rPr>
                              <w:sz w:val="18"/>
                            </w:rPr>
                          </w:pPr>
                          <w:r w:rsidRPr="007234CA">
                            <w:rPr>
                              <w:sz w:val="18"/>
                            </w:rPr>
                            <w:t>Height 30 m</w:t>
                          </w:r>
                        </w:p>
                      </w:txbxContent>
                    </v:textbox>
                  </v:shape>
                  <v:line id="_x0000_s1070" style="position:absolute" from="3884,13072" to="3887,13238" strokeweight="2.75pt"/>
                  <v:shape id="_x0000_s1071" type="#_x0000_t202" style="position:absolute;left:3651;top:13547;width:1080;height:609" stroked="f">
                    <v:textbox inset="0,0,0,0">
                      <w:txbxContent>
                        <w:p w:rsidR="00081056" w:rsidRPr="007234CA" w:rsidRDefault="00081056" w:rsidP="00081056">
                          <w:pPr>
                            <w:rPr>
                              <w:sz w:val="18"/>
                            </w:rPr>
                          </w:pPr>
                          <w:r>
                            <w:rPr>
                              <w:sz w:val="18"/>
                            </w:rPr>
                            <w:t xml:space="preserve">Terminal Station </w:t>
                          </w:r>
                        </w:p>
                      </w:txbxContent>
                    </v:textbox>
                  </v:shape>
                  <w10:wrap type="none"/>
                  <w10:anchorlock/>
                </v:group>
              </w:pict>
            </w:r>
          </w:p>
        </w:tc>
      </w:tr>
      <w:tr w:rsidR="00081056" w:rsidTr="00B36712">
        <w:trPr>
          <w:trHeight w:val="291"/>
        </w:trPr>
        <w:tc>
          <w:tcPr>
            <w:tcW w:w="9645" w:type="dxa"/>
            <w:tcBorders>
              <w:bottom w:val="single" w:sz="2" w:space="0" w:color="505050"/>
            </w:tcBorders>
            <w:shd w:val="clear" w:color="auto" w:fill="auto"/>
          </w:tcPr>
          <w:p w:rsidR="00081056" w:rsidRDefault="00081056" w:rsidP="00B36712"/>
        </w:tc>
      </w:tr>
    </w:tbl>
    <w:p w:rsidR="00C243CA" w:rsidRPr="00AB306E" w:rsidRDefault="00C243CA" w:rsidP="00AB306E">
      <w:pPr>
        <w:rPr>
          <w:rFonts w:ascii="Arial" w:hAnsi="Arial" w:cs="Arial"/>
          <w:sz w:val="22"/>
          <w:szCs w:val="22"/>
        </w:rPr>
      </w:pPr>
    </w:p>
    <w:p w:rsidR="00FF4439" w:rsidRPr="00AB306E" w:rsidRDefault="0020646E" w:rsidP="00AB306E">
      <w:pPr>
        <w:rPr>
          <w:rFonts w:ascii="Arial" w:hAnsi="Arial" w:cs="Arial"/>
          <w:i/>
          <w:sz w:val="22"/>
          <w:szCs w:val="22"/>
        </w:rPr>
      </w:pPr>
      <w:r w:rsidRPr="00AB306E">
        <w:rPr>
          <w:rFonts w:ascii="Arial" w:hAnsi="Arial" w:cs="Arial"/>
          <w:i/>
          <w:sz w:val="22"/>
          <w:szCs w:val="22"/>
        </w:rPr>
        <w:t xml:space="preserve">Note that CEPT Report 30 utilises a number of different values in its analysis in different sections of the report. </w:t>
      </w:r>
      <w:r w:rsidR="001E4755" w:rsidRPr="00AB306E">
        <w:rPr>
          <w:rFonts w:ascii="Arial" w:hAnsi="Arial" w:cs="Arial"/>
          <w:i/>
          <w:sz w:val="22"/>
          <w:szCs w:val="22"/>
        </w:rPr>
        <w:t>It should also be n</w:t>
      </w:r>
      <w:r w:rsidRPr="00AB306E">
        <w:rPr>
          <w:rFonts w:ascii="Arial" w:hAnsi="Arial" w:cs="Arial"/>
          <w:i/>
          <w:sz w:val="22"/>
          <w:szCs w:val="22"/>
        </w:rPr>
        <w:t>ote</w:t>
      </w:r>
      <w:r w:rsidR="001E4755" w:rsidRPr="00AB306E">
        <w:rPr>
          <w:rFonts w:ascii="Arial" w:hAnsi="Arial" w:cs="Arial"/>
          <w:i/>
          <w:sz w:val="22"/>
          <w:szCs w:val="22"/>
        </w:rPr>
        <w:t>d</w:t>
      </w:r>
      <w:r w:rsidRPr="00AB306E">
        <w:rPr>
          <w:rFonts w:ascii="Arial" w:hAnsi="Arial" w:cs="Arial"/>
          <w:i/>
          <w:sz w:val="22"/>
          <w:szCs w:val="22"/>
        </w:rPr>
        <w:t xml:space="preserve"> that cell size is dependent on data rates and included losses, such as wall and body loss, and the values in Figure </w:t>
      </w:r>
      <w:r w:rsidR="005916F4" w:rsidRPr="00AB306E">
        <w:rPr>
          <w:rFonts w:ascii="Arial" w:hAnsi="Arial" w:cs="Arial"/>
          <w:i/>
          <w:sz w:val="22"/>
          <w:szCs w:val="22"/>
        </w:rPr>
        <w:t>3</w:t>
      </w:r>
      <w:r w:rsidRPr="00AB306E">
        <w:rPr>
          <w:rFonts w:ascii="Arial" w:hAnsi="Arial" w:cs="Arial"/>
          <w:i/>
          <w:sz w:val="22"/>
          <w:szCs w:val="22"/>
        </w:rPr>
        <w:t xml:space="preserve"> are representative only.</w:t>
      </w:r>
    </w:p>
    <w:p w:rsidR="009B55EE" w:rsidRPr="00AB306E" w:rsidRDefault="009B55EE" w:rsidP="00AB306E">
      <w:pPr>
        <w:rPr>
          <w:rFonts w:ascii="Arial" w:hAnsi="Arial" w:cs="Arial"/>
          <w:sz w:val="22"/>
          <w:szCs w:val="22"/>
        </w:rPr>
      </w:pPr>
    </w:p>
    <w:p w:rsidR="001330BF" w:rsidRPr="00AB306E" w:rsidRDefault="001330BF" w:rsidP="00C63094">
      <w:pPr>
        <w:jc w:val="both"/>
        <w:rPr>
          <w:rFonts w:ascii="Arial" w:hAnsi="Arial" w:cs="Arial"/>
          <w:b/>
        </w:rPr>
      </w:pPr>
      <w:r w:rsidRPr="00AB306E">
        <w:rPr>
          <w:rFonts w:ascii="Arial" w:hAnsi="Arial" w:cs="Arial"/>
          <w:b/>
        </w:rPr>
        <w:t>USA</w:t>
      </w:r>
    </w:p>
    <w:p w:rsidR="00D52A8E" w:rsidRPr="00AB306E" w:rsidRDefault="00784229" w:rsidP="00AB306E">
      <w:pPr>
        <w:rPr>
          <w:rFonts w:ascii="Arial" w:hAnsi="Arial" w:cs="Arial"/>
          <w:b/>
          <w:sz w:val="22"/>
          <w:szCs w:val="22"/>
        </w:rPr>
      </w:pPr>
      <w:r w:rsidRPr="00AB306E">
        <w:rPr>
          <w:rFonts w:ascii="Arial" w:hAnsi="Arial" w:cs="Arial"/>
          <w:sz w:val="22"/>
          <w:szCs w:val="22"/>
        </w:rPr>
        <w:t>In the US</w:t>
      </w:r>
      <w:r w:rsidR="001330BF" w:rsidRPr="00AB306E">
        <w:rPr>
          <w:rFonts w:ascii="Arial" w:hAnsi="Arial" w:cs="Arial"/>
          <w:sz w:val="22"/>
          <w:szCs w:val="22"/>
        </w:rPr>
        <w:t>,</w:t>
      </w:r>
      <w:r w:rsidR="004A4BD0" w:rsidRPr="00AB306E">
        <w:rPr>
          <w:rFonts w:ascii="Arial" w:hAnsi="Arial" w:cs="Arial"/>
          <w:sz w:val="22"/>
          <w:szCs w:val="22"/>
        </w:rPr>
        <w:t xml:space="preserve"> t</w:t>
      </w:r>
      <w:r w:rsidR="00D52A8E" w:rsidRPr="00AB306E">
        <w:rPr>
          <w:rFonts w:ascii="Arial" w:hAnsi="Arial" w:cs="Arial"/>
          <w:sz w:val="22"/>
          <w:szCs w:val="22"/>
        </w:rPr>
        <w:t xml:space="preserve">he </w:t>
      </w:r>
      <w:r w:rsidR="00097469" w:rsidRPr="00AB306E">
        <w:rPr>
          <w:rFonts w:ascii="Arial" w:hAnsi="Arial" w:cs="Arial"/>
          <w:sz w:val="22"/>
          <w:szCs w:val="22"/>
        </w:rPr>
        <w:t>FCC</w:t>
      </w:r>
      <w:r w:rsidR="00C243CA" w:rsidRPr="00AB306E">
        <w:rPr>
          <w:rFonts w:ascii="Arial" w:hAnsi="Arial" w:cs="Arial"/>
          <w:sz w:val="22"/>
          <w:szCs w:val="22"/>
        </w:rPr>
        <w:t xml:space="preserve"> has adopted a number of</w:t>
      </w:r>
      <w:r w:rsidR="00D52A8E" w:rsidRPr="00AB306E">
        <w:rPr>
          <w:rFonts w:ascii="Arial" w:hAnsi="Arial" w:cs="Arial"/>
          <w:sz w:val="22"/>
          <w:szCs w:val="22"/>
        </w:rPr>
        <w:t xml:space="preserve"> </w:t>
      </w:r>
      <w:r w:rsidR="00C243CA" w:rsidRPr="00AB306E">
        <w:rPr>
          <w:rFonts w:ascii="Arial" w:hAnsi="Arial" w:cs="Arial"/>
          <w:sz w:val="22"/>
          <w:szCs w:val="22"/>
        </w:rPr>
        <w:t>radiated emission limits across the digital dividend auction lots that depend upon</w:t>
      </w:r>
      <w:r w:rsidR="00D52A8E" w:rsidRPr="00AB306E">
        <w:rPr>
          <w:rFonts w:ascii="Arial" w:hAnsi="Arial" w:cs="Arial"/>
          <w:sz w:val="22"/>
          <w:szCs w:val="22"/>
        </w:rPr>
        <w:t xml:space="preserve"> antenna height</w:t>
      </w:r>
      <w:r w:rsidR="00C243CA" w:rsidRPr="00AB306E">
        <w:rPr>
          <w:rFonts w:ascii="Arial" w:hAnsi="Arial" w:cs="Arial"/>
          <w:sz w:val="22"/>
          <w:szCs w:val="22"/>
        </w:rPr>
        <w:t>, bandwidth and service type.</w:t>
      </w:r>
    </w:p>
    <w:p w:rsidR="001330BF" w:rsidRPr="00AB306E" w:rsidRDefault="001330BF" w:rsidP="00AB306E">
      <w:pPr>
        <w:rPr>
          <w:rFonts w:ascii="Arial" w:hAnsi="Arial" w:cs="Arial"/>
          <w:sz w:val="22"/>
          <w:szCs w:val="22"/>
        </w:rPr>
      </w:pPr>
    </w:p>
    <w:p w:rsidR="00DF080B" w:rsidRPr="00AB306E" w:rsidRDefault="00B74D0C" w:rsidP="00AB306E">
      <w:pPr>
        <w:rPr>
          <w:rFonts w:ascii="Arial" w:hAnsi="Arial" w:cs="Arial"/>
          <w:sz w:val="22"/>
          <w:szCs w:val="22"/>
        </w:rPr>
      </w:pPr>
      <w:r w:rsidRPr="00AB306E">
        <w:rPr>
          <w:rFonts w:ascii="Arial" w:hAnsi="Arial" w:cs="Arial"/>
          <w:sz w:val="22"/>
          <w:szCs w:val="22"/>
        </w:rPr>
        <w:t>Effective radiated power (ERP) must not exceed 1</w:t>
      </w:r>
      <w:r w:rsidR="009E27F9" w:rsidRPr="00AB306E">
        <w:rPr>
          <w:rFonts w:ascii="Arial" w:hAnsi="Arial" w:cs="Arial"/>
          <w:sz w:val="22"/>
          <w:szCs w:val="22"/>
        </w:rPr>
        <w:t>000 W (measured per</w:t>
      </w:r>
      <w:r w:rsidR="00E33BDB" w:rsidRPr="00AB306E">
        <w:rPr>
          <w:rFonts w:ascii="Arial" w:hAnsi="Arial" w:cs="Arial"/>
          <w:sz w:val="22"/>
          <w:szCs w:val="22"/>
        </w:rPr>
        <w:t xml:space="preserve"> MHz</w:t>
      </w:r>
      <w:r w:rsidR="009E27F9" w:rsidRPr="00AB306E">
        <w:rPr>
          <w:rFonts w:ascii="Arial" w:hAnsi="Arial" w:cs="Arial"/>
          <w:sz w:val="22"/>
          <w:szCs w:val="22"/>
        </w:rPr>
        <w:t xml:space="preserve"> when the emission bandwidth is greater than 1</w:t>
      </w:r>
      <w:r w:rsidR="00DF6BA3">
        <w:rPr>
          <w:rFonts w:ascii="Arial" w:hAnsi="Arial" w:cs="Arial"/>
          <w:sz w:val="22"/>
          <w:szCs w:val="22"/>
        </w:rPr>
        <w:t xml:space="preserve"> </w:t>
      </w:r>
      <w:r w:rsidR="009E27F9" w:rsidRPr="00AB306E">
        <w:rPr>
          <w:rFonts w:ascii="Arial" w:hAnsi="Arial" w:cs="Arial"/>
          <w:sz w:val="22"/>
          <w:szCs w:val="22"/>
        </w:rPr>
        <w:t xml:space="preserve">MHz) for antennas </w:t>
      </w:r>
      <w:r w:rsidRPr="00AB306E">
        <w:rPr>
          <w:rFonts w:ascii="Arial" w:hAnsi="Arial" w:cs="Arial"/>
          <w:sz w:val="22"/>
          <w:szCs w:val="22"/>
        </w:rPr>
        <w:t xml:space="preserve">up to 305m </w:t>
      </w:r>
      <w:r w:rsidR="009E27F9" w:rsidRPr="00AB306E">
        <w:rPr>
          <w:rFonts w:ascii="Arial" w:hAnsi="Arial" w:cs="Arial"/>
          <w:sz w:val="22"/>
          <w:szCs w:val="22"/>
        </w:rPr>
        <w:t>height above average terrain. The maximum allowed ERP is then reduced for antennas higher than 305m.</w:t>
      </w:r>
      <w:r w:rsidRPr="00AB306E">
        <w:rPr>
          <w:rFonts w:ascii="Arial" w:hAnsi="Arial" w:cs="Arial"/>
          <w:sz w:val="22"/>
          <w:szCs w:val="22"/>
        </w:rPr>
        <w:t xml:space="preserve"> </w:t>
      </w:r>
    </w:p>
    <w:p w:rsidR="00D52A8E" w:rsidRPr="00AB306E" w:rsidRDefault="00D52A8E" w:rsidP="00AB306E">
      <w:pPr>
        <w:rPr>
          <w:rFonts w:ascii="Arial" w:hAnsi="Arial" w:cs="Arial"/>
          <w:sz w:val="22"/>
          <w:szCs w:val="22"/>
        </w:rPr>
      </w:pPr>
    </w:p>
    <w:p w:rsidR="00647590" w:rsidRDefault="00500DE9" w:rsidP="00AB306E">
      <w:pPr>
        <w:rPr>
          <w:rFonts w:ascii="Arial" w:hAnsi="Arial" w:cs="Arial"/>
          <w:sz w:val="22"/>
          <w:szCs w:val="22"/>
        </w:rPr>
      </w:pPr>
      <w:r w:rsidRPr="00AB306E">
        <w:rPr>
          <w:rFonts w:ascii="Arial" w:hAnsi="Arial" w:cs="Arial"/>
          <w:sz w:val="22"/>
          <w:szCs w:val="22"/>
        </w:rPr>
        <w:t>I</w:t>
      </w:r>
      <w:r w:rsidR="00DE7D31" w:rsidRPr="00AB306E">
        <w:rPr>
          <w:rFonts w:ascii="Arial" w:hAnsi="Arial" w:cs="Arial"/>
          <w:sz w:val="22"/>
          <w:szCs w:val="22"/>
        </w:rPr>
        <w:t>n any unpaired spectrum blocks, fixed or base station</w:t>
      </w:r>
      <w:r w:rsidRPr="00AB306E">
        <w:rPr>
          <w:rFonts w:ascii="Arial" w:hAnsi="Arial" w:cs="Arial"/>
          <w:sz w:val="22"/>
          <w:szCs w:val="22"/>
        </w:rPr>
        <w:t>s</w:t>
      </w:r>
      <w:r w:rsidR="00DE7D31" w:rsidRPr="00AB306E">
        <w:rPr>
          <w:rFonts w:ascii="Arial" w:hAnsi="Arial" w:cs="Arial"/>
          <w:sz w:val="22"/>
          <w:szCs w:val="22"/>
        </w:rPr>
        <w:t xml:space="preserve"> </w:t>
      </w:r>
      <w:r w:rsidRPr="00AB306E">
        <w:rPr>
          <w:rFonts w:ascii="Arial" w:hAnsi="Arial" w:cs="Arial"/>
          <w:sz w:val="22"/>
          <w:szCs w:val="22"/>
        </w:rPr>
        <w:t>may not exceed</w:t>
      </w:r>
      <w:r w:rsidR="00DE7D31" w:rsidRPr="00AB306E">
        <w:rPr>
          <w:rFonts w:ascii="Arial" w:hAnsi="Arial" w:cs="Arial"/>
          <w:sz w:val="22"/>
          <w:szCs w:val="22"/>
        </w:rPr>
        <w:t xml:space="preserve"> an ERP </w:t>
      </w:r>
      <w:r w:rsidRPr="00AB306E">
        <w:rPr>
          <w:rFonts w:ascii="Arial" w:hAnsi="Arial" w:cs="Arial"/>
          <w:sz w:val="22"/>
          <w:szCs w:val="22"/>
        </w:rPr>
        <w:t xml:space="preserve">of </w:t>
      </w:r>
      <w:r w:rsidR="00DE7D31" w:rsidRPr="00AB306E">
        <w:rPr>
          <w:rFonts w:ascii="Arial" w:hAnsi="Arial" w:cs="Arial"/>
          <w:sz w:val="22"/>
          <w:szCs w:val="22"/>
        </w:rPr>
        <w:t xml:space="preserve">up to a total of 50 kW within </w:t>
      </w:r>
      <w:r w:rsidRPr="00AB306E">
        <w:rPr>
          <w:rFonts w:ascii="Arial" w:hAnsi="Arial" w:cs="Arial"/>
          <w:sz w:val="22"/>
          <w:szCs w:val="22"/>
        </w:rPr>
        <w:t>the</w:t>
      </w:r>
      <w:r w:rsidR="00DE7D31" w:rsidRPr="00AB306E">
        <w:rPr>
          <w:rFonts w:ascii="Arial" w:hAnsi="Arial" w:cs="Arial"/>
          <w:sz w:val="22"/>
          <w:szCs w:val="22"/>
        </w:rPr>
        <w:t xml:space="preserve"> 6</w:t>
      </w:r>
      <w:r w:rsidR="00DF6BA3">
        <w:rPr>
          <w:rFonts w:ascii="Arial" w:hAnsi="Arial" w:cs="Arial"/>
          <w:sz w:val="22"/>
          <w:szCs w:val="22"/>
        </w:rPr>
        <w:t xml:space="preserve"> </w:t>
      </w:r>
      <w:r w:rsidR="00E33BDB" w:rsidRPr="00AB306E">
        <w:rPr>
          <w:rFonts w:ascii="Arial" w:hAnsi="Arial" w:cs="Arial"/>
          <w:sz w:val="22"/>
          <w:szCs w:val="22"/>
        </w:rPr>
        <w:t>MHz</w:t>
      </w:r>
      <w:r w:rsidR="00DE7D31" w:rsidRPr="00AB306E">
        <w:rPr>
          <w:rFonts w:ascii="Arial" w:hAnsi="Arial" w:cs="Arial"/>
          <w:sz w:val="22"/>
          <w:szCs w:val="22"/>
        </w:rPr>
        <w:t xml:space="preserve"> spectrum block</w:t>
      </w:r>
      <w:r w:rsidR="001330BF" w:rsidRPr="00AB306E">
        <w:rPr>
          <w:rFonts w:ascii="Arial" w:hAnsi="Arial" w:cs="Arial"/>
          <w:sz w:val="22"/>
          <w:szCs w:val="22"/>
        </w:rPr>
        <w:t>,</w:t>
      </w:r>
      <w:r w:rsidR="00DE7D31" w:rsidRPr="00AB306E">
        <w:rPr>
          <w:rFonts w:ascii="Arial" w:hAnsi="Arial" w:cs="Arial"/>
          <w:sz w:val="22"/>
          <w:szCs w:val="22"/>
        </w:rPr>
        <w:t xml:space="preserve"> </w:t>
      </w:r>
      <w:r w:rsidR="005F7A8F" w:rsidRPr="00AB306E">
        <w:rPr>
          <w:rFonts w:ascii="Arial" w:hAnsi="Arial" w:cs="Arial"/>
          <w:sz w:val="22"/>
          <w:szCs w:val="22"/>
        </w:rPr>
        <w:t xml:space="preserve">and </w:t>
      </w:r>
      <w:r w:rsidR="00DE7D31" w:rsidRPr="00AB306E">
        <w:rPr>
          <w:rFonts w:ascii="Arial" w:hAnsi="Arial" w:cs="Arial"/>
          <w:sz w:val="22"/>
          <w:szCs w:val="22"/>
          <w:lang w:eastAsia="en-AU"/>
        </w:rPr>
        <w:t>the power flux density that would be produced by such stations</w:t>
      </w:r>
      <w:r w:rsidR="001330BF" w:rsidRPr="00AB306E">
        <w:rPr>
          <w:rFonts w:ascii="Arial" w:hAnsi="Arial" w:cs="Arial"/>
          <w:sz w:val="22"/>
          <w:szCs w:val="22"/>
          <w:lang w:eastAsia="en-AU"/>
        </w:rPr>
        <w:t xml:space="preserve"> </w:t>
      </w:r>
      <w:r w:rsidR="00163BB0" w:rsidRPr="00AB306E">
        <w:rPr>
          <w:rFonts w:ascii="Arial" w:hAnsi="Arial" w:cs="Arial"/>
          <w:sz w:val="22"/>
          <w:szCs w:val="22"/>
          <w:lang w:eastAsia="en-AU"/>
        </w:rPr>
        <w:t>– through a</w:t>
      </w:r>
      <w:r w:rsidR="00DE7D31" w:rsidRPr="00AB306E">
        <w:rPr>
          <w:rFonts w:ascii="Arial" w:hAnsi="Arial" w:cs="Arial"/>
          <w:sz w:val="22"/>
          <w:szCs w:val="22"/>
          <w:lang w:eastAsia="en-AU"/>
        </w:rPr>
        <w:t xml:space="preserve"> combination of antenna height and vertical gain pattern</w:t>
      </w:r>
      <w:r w:rsidR="005916F4" w:rsidRPr="00AB306E">
        <w:rPr>
          <w:rFonts w:ascii="Arial" w:hAnsi="Arial" w:cs="Arial"/>
          <w:sz w:val="22"/>
          <w:szCs w:val="22"/>
          <w:lang w:eastAsia="en-AU"/>
        </w:rPr>
        <w:t xml:space="preserve"> – does </w:t>
      </w:r>
      <w:r w:rsidR="00DE7D31" w:rsidRPr="00AB306E">
        <w:rPr>
          <w:rFonts w:ascii="Arial" w:hAnsi="Arial" w:cs="Arial"/>
          <w:sz w:val="22"/>
          <w:szCs w:val="22"/>
          <w:lang w:eastAsia="en-AU"/>
        </w:rPr>
        <w:t>not exceed 3000</w:t>
      </w:r>
      <w:r w:rsidR="005A2BC2" w:rsidRPr="00AB306E">
        <w:rPr>
          <w:rFonts w:ascii="Arial" w:hAnsi="Arial" w:cs="Arial"/>
          <w:sz w:val="22"/>
          <w:szCs w:val="22"/>
        </w:rPr>
        <w:t>µW/m</w:t>
      </w:r>
      <w:r w:rsidR="005A2BC2" w:rsidRPr="00AB306E">
        <w:rPr>
          <w:rFonts w:ascii="Arial" w:hAnsi="Arial" w:cs="Arial"/>
          <w:sz w:val="22"/>
          <w:szCs w:val="22"/>
          <w:vertAlign w:val="superscript"/>
        </w:rPr>
        <w:t>2</w:t>
      </w:r>
      <w:r w:rsidR="005A2BC2" w:rsidRPr="00AB306E">
        <w:rPr>
          <w:rFonts w:ascii="Arial" w:hAnsi="Arial" w:cs="Arial"/>
          <w:sz w:val="22"/>
          <w:szCs w:val="22"/>
          <w:lang w:eastAsia="en-AU"/>
        </w:rPr>
        <w:t xml:space="preserve"> o</w:t>
      </w:r>
      <w:r w:rsidR="00DE7D31" w:rsidRPr="00AB306E">
        <w:rPr>
          <w:rFonts w:ascii="Arial" w:hAnsi="Arial" w:cs="Arial"/>
          <w:sz w:val="22"/>
          <w:szCs w:val="22"/>
          <w:lang w:eastAsia="en-AU"/>
        </w:rPr>
        <w:t>n the grou</w:t>
      </w:r>
      <w:r w:rsidR="00E33BDB" w:rsidRPr="00AB306E">
        <w:rPr>
          <w:rFonts w:ascii="Arial" w:hAnsi="Arial" w:cs="Arial"/>
          <w:sz w:val="22"/>
          <w:szCs w:val="22"/>
          <w:lang w:eastAsia="en-AU"/>
        </w:rPr>
        <w:t>nd over the area extending to 1</w:t>
      </w:r>
      <w:r w:rsidR="00DE7D31" w:rsidRPr="00AB306E">
        <w:rPr>
          <w:rFonts w:ascii="Arial" w:hAnsi="Arial" w:cs="Arial"/>
          <w:sz w:val="22"/>
          <w:szCs w:val="22"/>
          <w:lang w:eastAsia="en-AU"/>
        </w:rPr>
        <w:t>km from the base of the antenna</w:t>
      </w:r>
      <w:r w:rsidRPr="00AB306E">
        <w:rPr>
          <w:rFonts w:ascii="Arial" w:hAnsi="Arial" w:cs="Arial"/>
          <w:sz w:val="22"/>
          <w:szCs w:val="22"/>
          <w:lang w:eastAsia="en-AU"/>
        </w:rPr>
        <w:t>.</w:t>
      </w:r>
      <w:r w:rsidR="00285262" w:rsidRPr="00AB306E">
        <w:rPr>
          <w:rFonts w:ascii="Arial" w:hAnsi="Arial" w:cs="Arial"/>
          <w:sz w:val="22"/>
          <w:szCs w:val="22"/>
          <w:lang w:eastAsia="en-AU"/>
        </w:rPr>
        <w:t xml:space="preserve"> </w:t>
      </w:r>
      <w:r w:rsidRPr="00AB306E">
        <w:rPr>
          <w:rFonts w:ascii="Arial" w:hAnsi="Arial" w:cs="Arial"/>
          <w:sz w:val="22"/>
          <w:szCs w:val="22"/>
          <w:lang w:eastAsia="en-AU"/>
        </w:rPr>
        <w:t>For control or mobile stations the limit is 30</w:t>
      </w:r>
      <w:r w:rsidR="001D1DE9" w:rsidRPr="00AB306E">
        <w:rPr>
          <w:rFonts w:ascii="Arial" w:hAnsi="Arial" w:cs="Arial"/>
          <w:sz w:val="22"/>
          <w:szCs w:val="22"/>
          <w:lang w:eastAsia="en-AU"/>
        </w:rPr>
        <w:t>W</w:t>
      </w:r>
      <w:r w:rsidRPr="00AB306E">
        <w:rPr>
          <w:rFonts w:ascii="Arial" w:hAnsi="Arial" w:cs="Arial"/>
          <w:sz w:val="22"/>
          <w:szCs w:val="22"/>
          <w:lang w:eastAsia="en-AU"/>
        </w:rPr>
        <w:t xml:space="preserve"> ERP </w:t>
      </w:r>
      <w:r w:rsidR="00B91DAB" w:rsidRPr="00AB306E">
        <w:rPr>
          <w:rFonts w:ascii="Arial" w:hAnsi="Arial" w:cs="Arial"/>
          <w:sz w:val="22"/>
          <w:szCs w:val="22"/>
          <w:lang w:eastAsia="en-AU"/>
        </w:rPr>
        <w:t xml:space="preserve">(47dBm EIRP) </w:t>
      </w:r>
      <w:r w:rsidR="001D1DE9" w:rsidRPr="00AB306E">
        <w:rPr>
          <w:rFonts w:ascii="Arial" w:hAnsi="Arial" w:cs="Arial"/>
          <w:sz w:val="22"/>
          <w:szCs w:val="22"/>
          <w:lang w:eastAsia="en-AU"/>
        </w:rPr>
        <w:t>and for portable stations 3W</w:t>
      </w:r>
      <w:r w:rsidRPr="00AB306E">
        <w:rPr>
          <w:rFonts w:ascii="Arial" w:hAnsi="Arial" w:cs="Arial"/>
          <w:sz w:val="22"/>
          <w:szCs w:val="22"/>
          <w:lang w:eastAsia="en-AU"/>
        </w:rPr>
        <w:t xml:space="preserve"> ERP</w:t>
      </w:r>
      <w:r w:rsidR="00B91DAB" w:rsidRPr="00AB306E">
        <w:rPr>
          <w:rFonts w:ascii="Arial" w:hAnsi="Arial" w:cs="Arial"/>
          <w:sz w:val="22"/>
          <w:szCs w:val="22"/>
          <w:lang w:eastAsia="en-AU"/>
        </w:rPr>
        <w:t xml:space="preserve"> (4.7dBm EIRP)</w:t>
      </w:r>
      <w:r w:rsidRPr="00AB306E">
        <w:rPr>
          <w:rFonts w:ascii="Arial" w:hAnsi="Arial" w:cs="Arial"/>
          <w:sz w:val="22"/>
          <w:szCs w:val="22"/>
          <w:lang w:eastAsia="en-AU"/>
        </w:rPr>
        <w:t>.</w:t>
      </w:r>
      <w:r w:rsidR="00285262" w:rsidRPr="00AB306E">
        <w:rPr>
          <w:rFonts w:ascii="Arial" w:hAnsi="Arial" w:cs="Arial"/>
          <w:sz w:val="22"/>
          <w:szCs w:val="22"/>
          <w:lang w:eastAsia="en-AU"/>
        </w:rPr>
        <w:t xml:space="preserve"> </w:t>
      </w:r>
      <w:r w:rsidR="00AD4E00" w:rsidRPr="00AB306E">
        <w:rPr>
          <w:rFonts w:ascii="Arial" w:hAnsi="Arial" w:cs="Arial"/>
          <w:sz w:val="22"/>
          <w:szCs w:val="22"/>
        </w:rPr>
        <w:t xml:space="preserve">The </w:t>
      </w:r>
      <w:r w:rsidR="001D1DE9" w:rsidRPr="00AB306E">
        <w:rPr>
          <w:rFonts w:ascii="Arial" w:hAnsi="Arial" w:cs="Arial"/>
          <w:sz w:val="22"/>
          <w:szCs w:val="22"/>
        </w:rPr>
        <w:t>1000W</w:t>
      </w:r>
      <w:r w:rsidR="004A4BD0" w:rsidRPr="00AB306E">
        <w:rPr>
          <w:rFonts w:ascii="Arial" w:hAnsi="Arial" w:cs="Arial"/>
          <w:sz w:val="22"/>
          <w:szCs w:val="22"/>
        </w:rPr>
        <w:t xml:space="preserve"> ERP/MHz </w:t>
      </w:r>
      <w:r w:rsidR="00AD4E00" w:rsidRPr="00AB306E">
        <w:rPr>
          <w:rFonts w:ascii="Arial" w:hAnsi="Arial" w:cs="Arial"/>
          <w:sz w:val="22"/>
          <w:szCs w:val="22"/>
        </w:rPr>
        <w:t xml:space="preserve">limit </w:t>
      </w:r>
      <w:r w:rsidR="00D52A8E" w:rsidRPr="00AB306E">
        <w:rPr>
          <w:rFonts w:ascii="Arial" w:hAnsi="Arial" w:cs="Arial"/>
          <w:sz w:val="22"/>
          <w:szCs w:val="22"/>
        </w:rPr>
        <w:t xml:space="preserve">is </w:t>
      </w:r>
      <w:r w:rsidR="004A4BD0" w:rsidRPr="00AB306E">
        <w:rPr>
          <w:rFonts w:ascii="Arial" w:hAnsi="Arial" w:cs="Arial"/>
          <w:sz w:val="22"/>
          <w:szCs w:val="22"/>
        </w:rPr>
        <w:t>equivalent to</w:t>
      </w:r>
      <w:r w:rsidR="00D52A8E" w:rsidRPr="00AB306E">
        <w:rPr>
          <w:rFonts w:ascii="Arial" w:hAnsi="Arial" w:cs="Arial"/>
          <w:sz w:val="22"/>
          <w:szCs w:val="22"/>
        </w:rPr>
        <w:t xml:space="preserve"> 62.15</w:t>
      </w:r>
      <w:r w:rsidR="00E33BDB" w:rsidRPr="00AB306E">
        <w:rPr>
          <w:rFonts w:ascii="Arial" w:hAnsi="Arial" w:cs="Arial"/>
          <w:sz w:val="22"/>
          <w:szCs w:val="22"/>
        </w:rPr>
        <w:t>dB</w:t>
      </w:r>
      <w:r w:rsidR="00D52A8E" w:rsidRPr="00AB306E">
        <w:rPr>
          <w:rFonts w:ascii="Arial" w:hAnsi="Arial" w:cs="Arial"/>
          <w:sz w:val="22"/>
          <w:szCs w:val="22"/>
        </w:rPr>
        <w:t>m</w:t>
      </w:r>
      <w:r w:rsidR="00B45E22" w:rsidRPr="00AB306E">
        <w:rPr>
          <w:rFonts w:ascii="Arial" w:hAnsi="Arial" w:cs="Arial"/>
          <w:sz w:val="22"/>
          <w:szCs w:val="22"/>
        </w:rPr>
        <w:t xml:space="preserve"> EIRP/MHz</w:t>
      </w:r>
      <w:r w:rsidR="00AE5298" w:rsidRPr="00AB306E">
        <w:rPr>
          <w:rFonts w:ascii="Arial" w:hAnsi="Arial" w:cs="Arial"/>
          <w:sz w:val="22"/>
          <w:szCs w:val="22"/>
        </w:rPr>
        <w:t xml:space="preserve"> or 47</w:t>
      </w:r>
      <w:r w:rsidR="00E33BDB" w:rsidRPr="00AB306E">
        <w:rPr>
          <w:rFonts w:ascii="Arial" w:hAnsi="Arial" w:cs="Arial"/>
          <w:sz w:val="22"/>
          <w:szCs w:val="22"/>
        </w:rPr>
        <w:t>dB</w:t>
      </w:r>
      <w:r w:rsidR="00AE5298" w:rsidRPr="00AB306E">
        <w:rPr>
          <w:rFonts w:ascii="Arial" w:hAnsi="Arial" w:cs="Arial"/>
          <w:sz w:val="22"/>
          <w:szCs w:val="22"/>
        </w:rPr>
        <w:t>m EIRP/30kHz</w:t>
      </w:r>
      <w:r w:rsidR="004A4BD0" w:rsidRPr="00AB306E">
        <w:rPr>
          <w:rFonts w:ascii="Arial" w:hAnsi="Arial" w:cs="Arial"/>
          <w:sz w:val="22"/>
          <w:szCs w:val="22"/>
        </w:rPr>
        <w:t>.</w:t>
      </w:r>
    </w:p>
    <w:p w:rsidR="00235C26" w:rsidRDefault="00235C26" w:rsidP="00AB306E">
      <w:pPr>
        <w:rPr>
          <w:rFonts w:ascii="Arial" w:hAnsi="Arial" w:cs="Arial"/>
          <w:sz w:val="22"/>
          <w:szCs w:val="22"/>
        </w:rPr>
      </w:pPr>
    </w:p>
    <w:p w:rsidR="00235C26" w:rsidRDefault="00235C26">
      <w:pPr>
        <w:spacing w:after="200" w:line="276" w:lineRule="auto"/>
        <w:rPr>
          <w:rFonts w:ascii="Arial" w:hAnsi="Arial" w:cs="Arial"/>
          <w:sz w:val="22"/>
          <w:szCs w:val="22"/>
        </w:rPr>
      </w:pPr>
      <w:r>
        <w:rPr>
          <w:rFonts w:ascii="Arial" w:hAnsi="Arial" w:cs="Arial"/>
          <w:sz w:val="22"/>
          <w:szCs w:val="22"/>
        </w:rPr>
        <w:br w:type="page"/>
      </w:r>
    </w:p>
    <w:p w:rsidR="00235C26" w:rsidRPr="00AB306E" w:rsidRDefault="00235C26" w:rsidP="00AB306E">
      <w:pPr>
        <w:rPr>
          <w:rFonts w:ascii="Arial" w:hAnsi="Arial" w:cs="Arial"/>
          <w:b/>
          <w:sz w:val="22"/>
          <w:szCs w:val="22"/>
        </w:rPr>
      </w:pPr>
    </w:p>
    <w:p w:rsidR="00647590" w:rsidRPr="00AB306E" w:rsidRDefault="00647590" w:rsidP="00C63094">
      <w:pPr>
        <w:pStyle w:val="Heading3"/>
        <w:jc w:val="both"/>
        <w:rPr>
          <w:rFonts w:ascii="Arial" w:hAnsi="Arial" w:cs="Arial"/>
          <w:color w:val="auto"/>
        </w:rPr>
      </w:pPr>
      <w:r w:rsidRPr="00AB306E">
        <w:rPr>
          <w:rFonts w:ascii="Arial" w:hAnsi="Arial" w:cs="Arial"/>
          <w:color w:val="auto"/>
        </w:rPr>
        <w:t>5.2</w:t>
      </w:r>
      <w:r w:rsidRPr="00AB306E">
        <w:rPr>
          <w:rFonts w:ascii="Arial" w:hAnsi="Arial" w:cs="Arial"/>
          <w:color w:val="auto"/>
        </w:rPr>
        <w:tab/>
        <w:t>Proposed Out-of-Area Emission Limit</w:t>
      </w:r>
    </w:p>
    <w:p w:rsidR="00647590" w:rsidRPr="00AB306E" w:rsidRDefault="00647590" w:rsidP="00AB306E">
      <w:pPr>
        <w:rPr>
          <w:rFonts w:ascii="Arial" w:hAnsi="Arial" w:cs="Arial"/>
          <w:sz w:val="22"/>
          <w:szCs w:val="22"/>
        </w:rPr>
      </w:pPr>
      <w:r w:rsidRPr="00AB306E">
        <w:rPr>
          <w:rFonts w:ascii="Arial" w:hAnsi="Arial" w:cs="Arial"/>
          <w:sz w:val="22"/>
          <w:szCs w:val="22"/>
        </w:rPr>
        <w:t xml:space="preserve">The </w:t>
      </w:r>
      <w:r w:rsidR="009E27F9" w:rsidRPr="00AB306E">
        <w:rPr>
          <w:rFonts w:ascii="Arial" w:hAnsi="Arial" w:cs="Arial"/>
          <w:sz w:val="22"/>
          <w:szCs w:val="22"/>
        </w:rPr>
        <w:t>value proposed</w:t>
      </w:r>
      <w:r w:rsidRPr="00AB306E">
        <w:rPr>
          <w:rFonts w:ascii="Arial" w:hAnsi="Arial" w:cs="Arial"/>
          <w:sz w:val="22"/>
          <w:szCs w:val="22"/>
        </w:rPr>
        <w:t xml:space="preserve"> for the Out-of-Area Emission limit is based on the maximum in-block limit identified in the European arrangements with an additional factor of </w:t>
      </w:r>
      <w:r w:rsidR="00822606" w:rsidRPr="00AB306E">
        <w:rPr>
          <w:rFonts w:ascii="Arial" w:hAnsi="Arial" w:cs="Arial"/>
          <w:sz w:val="22"/>
          <w:szCs w:val="22"/>
        </w:rPr>
        <w:t>5</w:t>
      </w:r>
      <w:r w:rsidR="00E33BDB" w:rsidRPr="00AB306E">
        <w:rPr>
          <w:rFonts w:ascii="Arial" w:hAnsi="Arial" w:cs="Arial"/>
          <w:sz w:val="22"/>
          <w:szCs w:val="22"/>
        </w:rPr>
        <w:t>dB</w:t>
      </w:r>
      <w:r w:rsidRPr="00AB306E">
        <w:rPr>
          <w:rFonts w:ascii="Arial" w:hAnsi="Arial" w:cs="Arial"/>
          <w:sz w:val="22"/>
          <w:szCs w:val="22"/>
        </w:rPr>
        <w:t xml:space="preserve"> added to cover future technological development</w:t>
      </w:r>
      <w:r w:rsidR="009E27F9" w:rsidRPr="00AB306E">
        <w:rPr>
          <w:rFonts w:ascii="Arial" w:hAnsi="Arial" w:cs="Arial"/>
          <w:sz w:val="22"/>
          <w:szCs w:val="22"/>
        </w:rPr>
        <w:t>s that may occur</w:t>
      </w:r>
      <w:r w:rsidRPr="00AB306E">
        <w:rPr>
          <w:rFonts w:ascii="Arial" w:hAnsi="Arial" w:cs="Arial"/>
          <w:sz w:val="22"/>
          <w:szCs w:val="22"/>
        </w:rPr>
        <w:t xml:space="preserve"> over the period of </w:t>
      </w:r>
      <w:r w:rsidR="009E27F9" w:rsidRPr="00AB306E">
        <w:rPr>
          <w:rFonts w:ascii="Arial" w:hAnsi="Arial" w:cs="Arial"/>
          <w:sz w:val="22"/>
          <w:szCs w:val="22"/>
        </w:rPr>
        <w:t xml:space="preserve">the </w:t>
      </w:r>
      <w:r w:rsidRPr="00AB306E">
        <w:rPr>
          <w:rFonts w:ascii="Arial" w:hAnsi="Arial" w:cs="Arial"/>
          <w:sz w:val="22"/>
          <w:szCs w:val="22"/>
        </w:rPr>
        <w:t>licence.</w:t>
      </w:r>
    </w:p>
    <w:p w:rsidR="00647590" w:rsidRPr="00AB306E" w:rsidRDefault="00647590" w:rsidP="00AB306E">
      <w:pPr>
        <w:rPr>
          <w:rFonts w:ascii="Arial" w:eastAsia="Times New Roman" w:hAnsi="Arial" w:cs="Arial"/>
          <w:b/>
          <w:bCs/>
          <w:sz w:val="22"/>
          <w:szCs w:val="22"/>
          <w:lang w:eastAsia="en-US"/>
        </w:rPr>
      </w:pPr>
    </w:p>
    <w:p w:rsidR="00647590" w:rsidRPr="00AB306E" w:rsidRDefault="00647590" w:rsidP="00AB306E">
      <w:pPr>
        <w:pBdr>
          <w:top w:val="single" w:sz="12" w:space="1" w:color="auto"/>
          <w:left w:val="single" w:sz="12" w:space="4" w:color="auto"/>
          <w:bottom w:val="single" w:sz="12" w:space="1" w:color="auto"/>
          <w:right w:val="single" w:sz="12" w:space="4" w:color="auto"/>
        </w:pBdr>
        <w:rPr>
          <w:rFonts w:ascii="Arial" w:hAnsi="Arial" w:cs="Arial"/>
          <w:b/>
          <w:i/>
          <w:sz w:val="22"/>
          <w:szCs w:val="22"/>
        </w:rPr>
      </w:pPr>
      <w:r w:rsidRPr="00AB306E">
        <w:rPr>
          <w:rFonts w:ascii="Arial" w:hAnsi="Arial" w:cs="Arial"/>
          <w:b/>
          <w:i/>
          <w:sz w:val="22"/>
          <w:szCs w:val="22"/>
        </w:rPr>
        <w:t xml:space="preserve">The proposed out-of-area limit is </w:t>
      </w:r>
      <w:r w:rsidR="008210D4" w:rsidRPr="00AB306E">
        <w:rPr>
          <w:rFonts w:ascii="Arial" w:hAnsi="Arial" w:cs="Arial"/>
          <w:b/>
          <w:i/>
          <w:sz w:val="22"/>
          <w:szCs w:val="22"/>
        </w:rPr>
        <w:t>47</w:t>
      </w:r>
      <w:r w:rsidR="00E33BDB" w:rsidRPr="00AB306E">
        <w:rPr>
          <w:rFonts w:ascii="Arial" w:hAnsi="Arial" w:cs="Arial"/>
          <w:b/>
          <w:i/>
          <w:sz w:val="22"/>
          <w:szCs w:val="22"/>
        </w:rPr>
        <w:t>dB</w:t>
      </w:r>
      <w:r w:rsidRPr="00AB306E">
        <w:rPr>
          <w:rFonts w:ascii="Arial" w:hAnsi="Arial" w:cs="Arial"/>
          <w:b/>
          <w:i/>
          <w:sz w:val="22"/>
          <w:szCs w:val="22"/>
        </w:rPr>
        <w:t>m EIRP per 30</w:t>
      </w:r>
      <w:r w:rsidR="00DF6BA3">
        <w:rPr>
          <w:rFonts w:ascii="Arial" w:hAnsi="Arial" w:cs="Arial"/>
          <w:b/>
          <w:i/>
          <w:sz w:val="22"/>
          <w:szCs w:val="22"/>
        </w:rPr>
        <w:t xml:space="preserve"> </w:t>
      </w:r>
      <w:r w:rsidR="00E33BDB" w:rsidRPr="00AB306E">
        <w:rPr>
          <w:rFonts w:ascii="Arial" w:hAnsi="Arial" w:cs="Arial"/>
          <w:b/>
          <w:i/>
          <w:sz w:val="22"/>
          <w:szCs w:val="22"/>
        </w:rPr>
        <w:t>kHz</w:t>
      </w:r>
      <w:r w:rsidRPr="00AB306E">
        <w:rPr>
          <w:rFonts w:ascii="Arial" w:hAnsi="Arial" w:cs="Arial"/>
          <w:b/>
          <w:i/>
          <w:sz w:val="22"/>
          <w:szCs w:val="22"/>
        </w:rPr>
        <w:t xml:space="preserve"> for licenses in the </w:t>
      </w:r>
      <w:r w:rsidR="00BB63BB" w:rsidRPr="00AB306E">
        <w:rPr>
          <w:rFonts w:ascii="Arial" w:hAnsi="Arial" w:cs="Arial"/>
          <w:b/>
          <w:i/>
          <w:sz w:val="22"/>
          <w:szCs w:val="22"/>
        </w:rPr>
        <w:t>700</w:t>
      </w:r>
      <w:r w:rsidR="00DF6BA3">
        <w:rPr>
          <w:rFonts w:ascii="Arial" w:hAnsi="Arial" w:cs="Arial"/>
          <w:b/>
          <w:i/>
          <w:sz w:val="22"/>
          <w:szCs w:val="22"/>
        </w:rPr>
        <w:t xml:space="preserve"> </w:t>
      </w:r>
      <w:r w:rsidR="00E33BDB" w:rsidRPr="00AB306E">
        <w:rPr>
          <w:rFonts w:ascii="Arial" w:hAnsi="Arial" w:cs="Arial"/>
          <w:b/>
          <w:i/>
          <w:sz w:val="22"/>
          <w:szCs w:val="22"/>
        </w:rPr>
        <w:t>MHz</w:t>
      </w:r>
      <w:r w:rsidRPr="00AB306E">
        <w:rPr>
          <w:rFonts w:ascii="Arial" w:hAnsi="Arial" w:cs="Arial"/>
          <w:b/>
          <w:i/>
          <w:sz w:val="22"/>
          <w:szCs w:val="22"/>
        </w:rPr>
        <w:t xml:space="preserve"> band.</w:t>
      </w:r>
    </w:p>
    <w:p w:rsidR="00647590" w:rsidRPr="00DF6BA3" w:rsidRDefault="00647590" w:rsidP="00AB306E">
      <w:pPr>
        <w:rPr>
          <w:rFonts w:ascii="Arial" w:hAnsi="Arial" w:cs="Arial"/>
          <w:b/>
          <w:i/>
          <w:sz w:val="22"/>
          <w:szCs w:val="22"/>
        </w:rPr>
      </w:pPr>
    </w:p>
    <w:p w:rsidR="00647590" w:rsidRDefault="00647590" w:rsidP="00AB306E">
      <w:pPr>
        <w:rPr>
          <w:rFonts w:ascii="Arial" w:hAnsi="Arial" w:cs="Arial"/>
          <w:sz w:val="22"/>
          <w:szCs w:val="22"/>
        </w:rPr>
      </w:pPr>
      <w:r w:rsidRPr="00DF6BA3">
        <w:rPr>
          <w:rFonts w:ascii="Arial" w:hAnsi="Arial" w:cs="Arial"/>
          <w:sz w:val="22"/>
          <w:szCs w:val="22"/>
        </w:rPr>
        <w:t xml:space="preserve">This limit is </w:t>
      </w:r>
      <w:r w:rsidR="00DE51DD" w:rsidRPr="00DF6BA3">
        <w:rPr>
          <w:rFonts w:ascii="Arial" w:hAnsi="Arial" w:cs="Arial"/>
          <w:sz w:val="22"/>
          <w:szCs w:val="22"/>
        </w:rPr>
        <w:t xml:space="preserve">less than </w:t>
      </w:r>
      <w:r w:rsidRPr="00DF6BA3">
        <w:rPr>
          <w:rFonts w:ascii="Arial" w:hAnsi="Arial" w:cs="Arial"/>
          <w:sz w:val="22"/>
          <w:szCs w:val="22"/>
        </w:rPr>
        <w:t xml:space="preserve">that found in the </w:t>
      </w:r>
      <w:r w:rsidR="00DE51DD" w:rsidRPr="00DF6BA3">
        <w:rPr>
          <w:rFonts w:ascii="Arial" w:hAnsi="Arial" w:cs="Arial"/>
          <w:sz w:val="22"/>
          <w:szCs w:val="22"/>
        </w:rPr>
        <w:t>800</w:t>
      </w:r>
      <w:r w:rsidR="00DF6BA3">
        <w:rPr>
          <w:rFonts w:ascii="Arial" w:hAnsi="Arial" w:cs="Arial"/>
          <w:sz w:val="22"/>
          <w:szCs w:val="22"/>
        </w:rPr>
        <w:t xml:space="preserve"> </w:t>
      </w:r>
      <w:r w:rsidR="00E33BDB" w:rsidRPr="00DF6BA3">
        <w:rPr>
          <w:rFonts w:ascii="Arial" w:hAnsi="Arial" w:cs="Arial"/>
          <w:sz w:val="22"/>
          <w:szCs w:val="22"/>
        </w:rPr>
        <w:t>MHz</w:t>
      </w:r>
      <w:r w:rsidR="00DE51DD" w:rsidRPr="00DF6BA3">
        <w:rPr>
          <w:rFonts w:ascii="Arial" w:hAnsi="Arial" w:cs="Arial"/>
          <w:sz w:val="22"/>
          <w:szCs w:val="22"/>
        </w:rPr>
        <w:t xml:space="preserve"> (5</w:t>
      </w:r>
      <w:r w:rsidR="00C0588B" w:rsidRPr="00DF6BA3">
        <w:rPr>
          <w:rFonts w:ascii="Arial" w:hAnsi="Arial" w:cs="Arial"/>
          <w:sz w:val="22"/>
          <w:szCs w:val="22"/>
        </w:rPr>
        <w:t>9</w:t>
      </w:r>
      <w:r w:rsidR="00E33BDB" w:rsidRPr="00DF6BA3">
        <w:rPr>
          <w:rFonts w:ascii="Arial" w:hAnsi="Arial" w:cs="Arial"/>
          <w:sz w:val="22"/>
          <w:szCs w:val="22"/>
        </w:rPr>
        <w:t>dB</w:t>
      </w:r>
      <w:r w:rsidR="00784229" w:rsidRPr="00DF6BA3">
        <w:rPr>
          <w:rFonts w:ascii="Arial" w:hAnsi="Arial" w:cs="Arial"/>
          <w:sz w:val="22"/>
          <w:szCs w:val="22"/>
        </w:rPr>
        <w:t>m</w:t>
      </w:r>
      <w:r w:rsidR="00AD7898" w:rsidRPr="00DF6BA3">
        <w:rPr>
          <w:rFonts w:ascii="Arial" w:hAnsi="Arial" w:cs="Arial"/>
          <w:sz w:val="22"/>
          <w:szCs w:val="22"/>
        </w:rPr>
        <w:t xml:space="preserve"> EIRP/</w:t>
      </w:r>
      <w:r w:rsidR="00DE51DD" w:rsidRPr="00DF6BA3">
        <w:rPr>
          <w:rFonts w:ascii="Arial" w:hAnsi="Arial" w:cs="Arial"/>
          <w:sz w:val="22"/>
          <w:szCs w:val="22"/>
        </w:rPr>
        <w:t>30</w:t>
      </w:r>
      <w:r w:rsidR="00E33BDB" w:rsidRPr="00DF6BA3">
        <w:rPr>
          <w:rFonts w:ascii="Arial" w:hAnsi="Arial" w:cs="Arial"/>
          <w:sz w:val="22"/>
          <w:szCs w:val="22"/>
        </w:rPr>
        <w:t>kHz</w:t>
      </w:r>
      <w:r w:rsidR="00DE51DD" w:rsidRPr="00DF6BA3">
        <w:rPr>
          <w:rFonts w:ascii="Arial" w:hAnsi="Arial" w:cs="Arial"/>
          <w:sz w:val="22"/>
          <w:szCs w:val="22"/>
        </w:rPr>
        <w:t>)</w:t>
      </w:r>
      <w:r w:rsidR="00285262" w:rsidRPr="00DF6BA3">
        <w:rPr>
          <w:rFonts w:ascii="Arial" w:hAnsi="Arial" w:cs="Arial"/>
          <w:sz w:val="22"/>
          <w:szCs w:val="22"/>
        </w:rPr>
        <w:t xml:space="preserve"> </w:t>
      </w:r>
      <w:r w:rsidR="00C0588B" w:rsidRPr="00DF6BA3">
        <w:rPr>
          <w:rFonts w:ascii="Arial" w:hAnsi="Arial" w:cs="Arial"/>
          <w:sz w:val="22"/>
          <w:szCs w:val="22"/>
        </w:rPr>
        <w:t>allow</w:t>
      </w:r>
      <w:r w:rsidR="00FA4F4B" w:rsidRPr="00DF6BA3">
        <w:rPr>
          <w:rFonts w:ascii="Arial" w:hAnsi="Arial" w:cs="Arial"/>
          <w:sz w:val="22"/>
          <w:szCs w:val="22"/>
        </w:rPr>
        <w:t>ing</w:t>
      </w:r>
      <w:r w:rsidR="00C0588B" w:rsidRPr="00DF6BA3">
        <w:rPr>
          <w:rFonts w:ascii="Arial" w:hAnsi="Arial" w:cs="Arial"/>
          <w:sz w:val="22"/>
          <w:szCs w:val="22"/>
        </w:rPr>
        <w:t xml:space="preserve"> the framework to accommodate closer adjacent channel base station </w:t>
      </w:r>
      <w:r w:rsidR="00784229" w:rsidRPr="00DF6BA3">
        <w:rPr>
          <w:rFonts w:ascii="Arial" w:hAnsi="Arial" w:cs="Arial"/>
          <w:sz w:val="22"/>
          <w:szCs w:val="22"/>
        </w:rPr>
        <w:t>location</w:t>
      </w:r>
      <w:r w:rsidR="00163BB0" w:rsidRPr="00DF6BA3">
        <w:rPr>
          <w:rFonts w:ascii="Arial" w:hAnsi="Arial" w:cs="Arial"/>
          <w:sz w:val="22"/>
          <w:szCs w:val="22"/>
        </w:rPr>
        <w:t>s</w:t>
      </w:r>
      <w:r w:rsidR="00C0588B" w:rsidRPr="00DF6BA3">
        <w:rPr>
          <w:rFonts w:ascii="Arial" w:hAnsi="Arial" w:cs="Arial"/>
          <w:sz w:val="22"/>
          <w:szCs w:val="22"/>
        </w:rPr>
        <w:t xml:space="preserve"> due to </w:t>
      </w:r>
      <w:r w:rsidR="00784229" w:rsidRPr="00DF6BA3">
        <w:rPr>
          <w:rFonts w:ascii="Arial" w:hAnsi="Arial" w:cs="Arial"/>
          <w:sz w:val="22"/>
          <w:szCs w:val="22"/>
        </w:rPr>
        <w:t xml:space="preserve">the </w:t>
      </w:r>
      <w:r w:rsidR="00E2190E" w:rsidRPr="00DF6BA3">
        <w:rPr>
          <w:rFonts w:ascii="Arial" w:hAnsi="Arial" w:cs="Arial"/>
          <w:sz w:val="22"/>
          <w:szCs w:val="22"/>
        </w:rPr>
        <w:t>reduced</w:t>
      </w:r>
      <w:r w:rsidR="00784229" w:rsidRPr="00DF6BA3">
        <w:rPr>
          <w:rFonts w:ascii="Arial" w:hAnsi="Arial" w:cs="Arial"/>
          <w:sz w:val="22"/>
          <w:szCs w:val="22"/>
        </w:rPr>
        <w:t xml:space="preserve"> risk of </w:t>
      </w:r>
      <w:r w:rsidR="00C0588B" w:rsidRPr="00DF6BA3">
        <w:rPr>
          <w:rFonts w:ascii="Arial" w:hAnsi="Arial" w:cs="Arial"/>
          <w:sz w:val="22"/>
          <w:szCs w:val="22"/>
        </w:rPr>
        <w:t>intermodulation product interference and receiver overload.</w:t>
      </w:r>
    </w:p>
    <w:p w:rsidR="009B55EE" w:rsidRPr="00DF6BA3" w:rsidRDefault="009B55EE" w:rsidP="00AB306E">
      <w:pPr>
        <w:rPr>
          <w:rFonts w:ascii="Arial" w:hAnsi="Arial" w:cs="Arial"/>
          <w:sz w:val="22"/>
          <w:szCs w:val="22"/>
        </w:rPr>
      </w:pPr>
    </w:p>
    <w:p w:rsidR="00647590" w:rsidRPr="00AB306E" w:rsidRDefault="00FC7C67" w:rsidP="009B55EE">
      <w:pPr>
        <w:rPr>
          <w:rStyle w:val="Heading2Char"/>
          <w:rFonts w:ascii="Arial" w:eastAsia="Batang" w:hAnsi="Arial" w:cs="Arial"/>
          <w:color w:val="auto"/>
        </w:rPr>
      </w:pPr>
      <w:r w:rsidRPr="00AB306E">
        <w:rPr>
          <w:rFonts w:ascii="Arial" w:eastAsia="Times New Roman" w:hAnsi="Arial" w:cs="Arial"/>
          <w:b/>
          <w:bCs/>
          <w:sz w:val="26"/>
          <w:szCs w:val="26"/>
          <w:lang w:eastAsia="en-US"/>
        </w:rPr>
        <w:t>6</w:t>
      </w:r>
      <w:r w:rsidR="00647590" w:rsidRPr="00AB306E">
        <w:rPr>
          <w:rFonts w:ascii="Arial" w:eastAsia="Times New Roman" w:hAnsi="Arial" w:cs="Arial"/>
          <w:b/>
          <w:bCs/>
          <w:sz w:val="26"/>
          <w:szCs w:val="26"/>
          <w:lang w:eastAsia="en-US"/>
        </w:rPr>
        <w:tab/>
      </w:r>
      <w:r w:rsidR="00647590" w:rsidRPr="00AB306E">
        <w:rPr>
          <w:rStyle w:val="Heading2Char"/>
          <w:rFonts w:ascii="Arial" w:eastAsia="Batang" w:hAnsi="Arial" w:cs="Arial"/>
          <w:color w:val="auto"/>
        </w:rPr>
        <w:t>Out-of-Band Emission Limits (a licence core condition)</w:t>
      </w:r>
    </w:p>
    <w:p w:rsidR="00647590" w:rsidRPr="00AB306E" w:rsidRDefault="00647590" w:rsidP="00AB306E">
      <w:pPr>
        <w:rPr>
          <w:rFonts w:ascii="Arial" w:hAnsi="Arial" w:cs="Arial"/>
          <w:sz w:val="22"/>
          <w:szCs w:val="22"/>
        </w:rPr>
      </w:pPr>
      <w:r w:rsidRPr="00AB306E">
        <w:rPr>
          <w:rFonts w:ascii="Arial" w:hAnsi="Arial" w:cs="Arial"/>
          <w:sz w:val="22"/>
          <w:szCs w:val="22"/>
        </w:rPr>
        <w:t>Out-of-band emission limits are another core condition of the licence.</w:t>
      </w:r>
      <w:r w:rsidR="00285262" w:rsidRPr="00AB306E">
        <w:rPr>
          <w:rFonts w:ascii="Arial" w:hAnsi="Arial" w:cs="Arial"/>
          <w:sz w:val="22"/>
          <w:szCs w:val="22"/>
        </w:rPr>
        <w:t xml:space="preserve"> </w:t>
      </w:r>
      <w:r w:rsidRPr="00AB306E">
        <w:rPr>
          <w:rFonts w:ascii="Arial" w:hAnsi="Arial" w:cs="Arial"/>
          <w:sz w:val="22"/>
          <w:szCs w:val="22"/>
        </w:rPr>
        <w:t>These limits control emissions affecting licensees in adjacent holdings across the frequency boundaries of the licence.</w:t>
      </w:r>
      <w:r w:rsidR="00285262" w:rsidRPr="00AB306E">
        <w:rPr>
          <w:rFonts w:ascii="Arial" w:hAnsi="Arial" w:cs="Arial"/>
          <w:sz w:val="22"/>
          <w:szCs w:val="22"/>
        </w:rPr>
        <w:t xml:space="preserve"> </w:t>
      </w:r>
      <w:r w:rsidRPr="00AB306E">
        <w:rPr>
          <w:rFonts w:ascii="Arial" w:hAnsi="Arial" w:cs="Arial"/>
          <w:sz w:val="22"/>
          <w:szCs w:val="22"/>
        </w:rPr>
        <w:t xml:space="preserve">These limits also include requirements for </w:t>
      </w:r>
      <w:r w:rsidR="00612EBF" w:rsidRPr="00AB306E">
        <w:rPr>
          <w:rFonts w:ascii="Arial" w:hAnsi="Arial" w:cs="Arial"/>
          <w:sz w:val="22"/>
          <w:szCs w:val="22"/>
        </w:rPr>
        <w:t xml:space="preserve">unwanted emissions – both </w:t>
      </w:r>
      <w:r w:rsidRPr="00AB306E">
        <w:rPr>
          <w:rFonts w:ascii="Arial" w:hAnsi="Arial" w:cs="Arial"/>
          <w:sz w:val="22"/>
          <w:szCs w:val="22"/>
        </w:rPr>
        <w:t xml:space="preserve">spurious and </w:t>
      </w:r>
      <w:r w:rsidR="00612EBF" w:rsidRPr="00AB306E">
        <w:rPr>
          <w:rFonts w:ascii="Arial" w:hAnsi="Arial" w:cs="Arial"/>
          <w:sz w:val="22"/>
          <w:szCs w:val="22"/>
        </w:rPr>
        <w:t>non-</w:t>
      </w:r>
      <w:r w:rsidRPr="00AB306E">
        <w:rPr>
          <w:rFonts w:ascii="Arial" w:hAnsi="Arial" w:cs="Arial"/>
          <w:sz w:val="22"/>
          <w:szCs w:val="22"/>
        </w:rPr>
        <w:t>spurious.</w:t>
      </w:r>
    </w:p>
    <w:p w:rsidR="00647590" w:rsidRPr="00AB306E" w:rsidRDefault="00647590" w:rsidP="00AB306E">
      <w:pPr>
        <w:rPr>
          <w:rFonts w:ascii="Arial" w:hAnsi="Arial" w:cs="Arial"/>
          <w:sz w:val="22"/>
          <w:szCs w:val="22"/>
        </w:rPr>
      </w:pPr>
    </w:p>
    <w:p w:rsidR="00647590" w:rsidRPr="00AB306E" w:rsidRDefault="00647590" w:rsidP="00AB306E">
      <w:pPr>
        <w:rPr>
          <w:rFonts w:ascii="Arial" w:hAnsi="Arial" w:cs="Arial"/>
          <w:sz w:val="22"/>
          <w:szCs w:val="22"/>
        </w:rPr>
      </w:pPr>
      <w:r w:rsidRPr="00AB306E">
        <w:rPr>
          <w:rFonts w:ascii="Arial" w:hAnsi="Arial" w:cs="Arial"/>
          <w:sz w:val="22"/>
          <w:szCs w:val="22"/>
        </w:rPr>
        <w:t>Non-spurious unwanted emissions are modulation-generated noise or intermodulation products caused by the transmission of information, or broadband noise generated by the transmitter.</w:t>
      </w:r>
      <w:r w:rsidR="00285262" w:rsidRPr="00AB306E">
        <w:rPr>
          <w:rFonts w:ascii="Arial" w:hAnsi="Arial" w:cs="Arial"/>
          <w:sz w:val="22"/>
          <w:szCs w:val="22"/>
        </w:rPr>
        <w:t xml:space="preserve"> </w:t>
      </w:r>
      <w:r w:rsidRPr="00AB306E">
        <w:rPr>
          <w:rFonts w:ascii="Arial" w:hAnsi="Arial" w:cs="Arial"/>
          <w:sz w:val="22"/>
          <w:szCs w:val="22"/>
        </w:rPr>
        <w:t>Spurious emissions are emissions including intermodulation products, harmonics and frequency conversion products not associated with the transmission of information by the transmitter.</w:t>
      </w:r>
    </w:p>
    <w:p w:rsidR="00FB5AB1" w:rsidRPr="00AB306E" w:rsidRDefault="00FB5AB1" w:rsidP="00AB306E">
      <w:pPr>
        <w:rPr>
          <w:rFonts w:ascii="Arial" w:hAnsi="Arial" w:cs="Arial"/>
          <w:sz w:val="22"/>
          <w:szCs w:val="22"/>
        </w:rPr>
      </w:pPr>
    </w:p>
    <w:p w:rsidR="00FB5AB1" w:rsidRPr="00AB306E" w:rsidRDefault="00FB5AB1" w:rsidP="00AB306E">
      <w:pPr>
        <w:rPr>
          <w:rFonts w:ascii="Arial" w:hAnsi="Arial" w:cs="Arial"/>
          <w:sz w:val="22"/>
          <w:szCs w:val="22"/>
        </w:rPr>
      </w:pPr>
      <w:r w:rsidRPr="00AB306E">
        <w:rPr>
          <w:rFonts w:ascii="Arial" w:hAnsi="Arial" w:cs="Arial"/>
          <w:sz w:val="22"/>
          <w:szCs w:val="22"/>
        </w:rPr>
        <w:t xml:space="preserve">The required values for out-of-band emissions to </w:t>
      </w:r>
      <w:r w:rsidR="004B620D" w:rsidRPr="00AB306E">
        <w:rPr>
          <w:rFonts w:ascii="Arial" w:hAnsi="Arial" w:cs="Arial"/>
          <w:sz w:val="22"/>
          <w:szCs w:val="22"/>
        </w:rPr>
        <w:t xml:space="preserve">enable coexistence with </w:t>
      </w:r>
      <w:r w:rsidRPr="00AB306E">
        <w:rPr>
          <w:rFonts w:ascii="Arial" w:hAnsi="Arial" w:cs="Arial"/>
          <w:sz w:val="22"/>
          <w:szCs w:val="22"/>
        </w:rPr>
        <w:t>adjacent broadcast services (520-694</w:t>
      </w:r>
      <w:r w:rsidR="00DF6BA3">
        <w:rPr>
          <w:rFonts w:ascii="Arial" w:hAnsi="Arial" w:cs="Arial"/>
          <w:sz w:val="22"/>
          <w:szCs w:val="22"/>
        </w:rPr>
        <w:t xml:space="preserve"> </w:t>
      </w:r>
      <w:r w:rsidRPr="00AB306E">
        <w:rPr>
          <w:rFonts w:ascii="Arial" w:hAnsi="Arial" w:cs="Arial"/>
          <w:sz w:val="22"/>
          <w:szCs w:val="22"/>
        </w:rPr>
        <w:t xml:space="preserve">MHz) </w:t>
      </w:r>
      <w:r w:rsidR="00D8386A" w:rsidRPr="00AB306E">
        <w:rPr>
          <w:rFonts w:ascii="Arial" w:hAnsi="Arial" w:cs="Arial"/>
          <w:sz w:val="22"/>
          <w:szCs w:val="22"/>
        </w:rPr>
        <w:t xml:space="preserve">given the use of the AWG </w:t>
      </w:r>
      <w:r w:rsidR="001E4755" w:rsidRPr="00AB306E">
        <w:rPr>
          <w:rFonts w:ascii="Arial" w:hAnsi="Arial" w:cs="Arial"/>
          <w:sz w:val="22"/>
          <w:szCs w:val="22"/>
        </w:rPr>
        <w:t xml:space="preserve">FDD </w:t>
      </w:r>
      <w:r w:rsidR="00D8386A" w:rsidRPr="00AB306E">
        <w:rPr>
          <w:rFonts w:ascii="Arial" w:hAnsi="Arial" w:cs="Arial"/>
          <w:sz w:val="22"/>
          <w:szCs w:val="22"/>
        </w:rPr>
        <w:t xml:space="preserve">band plan </w:t>
      </w:r>
      <w:r w:rsidR="00DF080B" w:rsidRPr="00AB306E">
        <w:rPr>
          <w:rFonts w:ascii="Arial" w:hAnsi="Arial" w:cs="Arial"/>
          <w:sz w:val="22"/>
          <w:szCs w:val="22"/>
        </w:rPr>
        <w:t>has been discussed and studied</w:t>
      </w:r>
      <w:r w:rsidRPr="00AB306E">
        <w:rPr>
          <w:rFonts w:ascii="Arial" w:hAnsi="Arial" w:cs="Arial"/>
          <w:sz w:val="22"/>
          <w:szCs w:val="22"/>
        </w:rPr>
        <w:t xml:space="preserve"> </w:t>
      </w:r>
      <w:r w:rsidR="00D8386A" w:rsidRPr="00AB306E">
        <w:rPr>
          <w:rFonts w:ascii="Arial" w:hAnsi="Arial" w:cs="Arial"/>
          <w:sz w:val="22"/>
          <w:szCs w:val="22"/>
        </w:rPr>
        <w:t>within</w:t>
      </w:r>
      <w:r w:rsidRPr="00AB306E">
        <w:rPr>
          <w:rFonts w:ascii="Arial" w:hAnsi="Arial" w:cs="Arial"/>
          <w:sz w:val="22"/>
          <w:szCs w:val="22"/>
        </w:rPr>
        <w:t xml:space="preserve"> the AWG. </w:t>
      </w:r>
    </w:p>
    <w:p w:rsidR="00CA1837" w:rsidRPr="00AB306E" w:rsidRDefault="00CA1837" w:rsidP="00AB306E">
      <w:pPr>
        <w:rPr>
          <w:rFonts w:ascii="Arial" w:hAnsi="Arial" w:cs="Arial"/>
          <w:sz w:val="22"/>
          <w:szCs w:val="22"/>
        </w:rPr>
      </w:pPr>
    </w:p>
    <w:p w:rsidR="00CA1837" w:rsidRPr="00AB306E" w:rsidRDefault="00CA1837" w:rsidP="00AB306E">
      <w:pPr>
        <w:rPr>
          <w:rFonts w:ascii="Arial" w:hAnsi="Arial" w:cs="Arial"/>
          <w:sz w:val="22"/>
          <w:szCs w:val="22"/>
        </w:rPr>
      </w:pPr>
      <w:r w:rsidRPr="00AB306E">
        <w:rPr>
          <w:rFonts w:ascii="Arial" w:hAnsi="Arial" w:cs="Arial"/>
          <w:sz w:val="22"/>
          <w:szCs w:val="22"/>
        </w:rPr>
        <w:t xml:space="preserve">A new Report </w:t>
      </w:r>
      <w:r w:rsidR="002F0915" w:rsidRPr="00AB306E">
        <w:rPr>
          <w:rFonts w:ascii="Arial" w:hAnsi="Arial" w:cs="Arial"/>
          <w:sz w:val="22"/>
          <w:szCs w:val="22"/>
        </w:rPr>
        <w:t xml:space="preserve">(AWG-11/OUT-10) </w:t>
      </w:r>
      <w:r w:rsidRPr="00AB306E">
        <w:rPr>
          <w:rFonts w:ascii="Arial" w:hAnsi="Arial" w:cs="Arial"/>
          <w:sz w:val="22"/>
          <w:szCs w:val="22"/>
        </w:rPr>
        <w:t>developed by the AWG concluded that the average out of band emissions of IMT UE (or mobile handset), measured over the bandwidth of the applicable television channel in the country of deployment, must not exceed -34</w:t>
      </w:r>
      <w:r w:rsidR="00E33BDB" w:rsidRPr="00AB306E">
        <w:rPr>
          <w:rFonts w:ascii="Arial" w:hAnsi="Arial" w:cs="Arial"/>
          <w:sz w:val="22"/>
          <w:szCs w:val="22"/>
        </w:rPr>
        <w:t>dB</w:t>
      </w:r>
      <w:r w:rsidRPr="00AB306E">
        <w:rPr>
          <w:rFonts w:ascii="Arial" w:hAnsi="Arial" w:cs="Arial"/>
          <w:sz w:val="22"/>
          <w:szCs w:val="22"/>
        </w:rPr>
        <w:t xml:space="preserve">m/MHz </w:t>
      </w:r>
      <w:r w:rsidR="002F0915" w:rsidRPr="00AB306E">
        <w:rPr>
          <w:rFonts w:ascii="Arial" w:hAnsi="Arial" w:cs="Arial"/>
          <w:sz w:val="22"/>
          <w:szCs w:val="22"/>
        </w:rPr>
        <w:t>in the broadcast band</w:t>
      </w:r>
      <w:r w:rsidRPr="00AB306E">
        <w:rPr>
          <w:rFonts w:ascii="Arial" w:hAnsi="Arial" w:cs="Arial"/>
          <w:sz w:val="22"/>
          <w:szCs w:val="22"/>
        </w:rPr>
        <w:t xml:space="preserve"> below 694</w:t>
      </w:r>
      <w:r w:rsidR="009B55EE">
        <w:rPr>
          <w:rFonts w:ascii="Arial" w:hAnsi="Arial" w:cs="Arial"/>
          <w:sz w:val="22"/>
          <w:szCs w:val="22"/>
        </w:rPr>
        <w:t> </w:t>
      </w:r>
      <w:r w:rsidR="00E33BDB" w:rsidRPr="00AB306E">
        <w:rPr>
          <w:rFonts w:ascii="Arial" w:hAnsi="Arial" w:cs="Arial"/>
          <w:sz w:val="22"/>
          <w:szCs w:val="22"/>
        </w:rPr>
        <w:t>MHz</w:t>
      </w:r>
      <w:r w:rsidRPr="00AB306E">
        <w:rPr>
          <w:rFonts w:ascii="Arial" w:hAnsi="Arial" w:cs="Arial"/>
          <w:sz w:val="22"/>
          <w:szCs w:val="22"/>
        </w:rPr>
        <w:t>.</w:t>
      </w:r>
    </w:p>
    <w:p w:rsidR="00CA1837" w:rsidRPr="00AB306E" w:rsidRDefault="00CA1837" w:rsidP="00AB306E">
      <w:pPr>
        <w:rPr>
          <w:rFonts w:ascii="Arial" w:hAnsi="Arial" w:cs="Arial"/>
          <w:sz w:val="22"/>
          <w:szCs w:val="22"/>
        </w:rPr>
      </w:pPr>
    </w:p>
    <w:p w:rsidR="00CA1837" w:rsidRPr="00C35AE9" w:rsidRDefault="00CA1837" w:rsidP="00AB306E">
      <w:pPr>
        <w:rPr>
          <w:rFonts w:ascii="Arial" w:hAnsi="Arial" w:cs="Arial"/>
          <w:sz w:val="22"/>
          <w:szCs w:val="22"/>
        </w:rPr>
      </w:pPr>
      <w:r w:rsidRPr="00AB306E">
        <w:rPr>
          <w:rFonts w:ascii="Arial" w:hAnsi="Arial" w:cs="Arial"/>
          <w:sz w:val="22"/>
          <w:szCs w:val="22"/>
        </w:rPr>
        <w:t>The Report also provided guidance that if further reductions in emissions were required in certain circumstances, such as where digital television broadcasting services operate immediately below 694</w:t>
      </w:r>
      <w:r w:rsidR="00DF6BA3">
        <w:rPr>
          <w:rFonts w:ascii="Arial" w:hAnsi="Arial" w:cs="Arial"/>
          <w:sz w:val="22"/>
          <w:szCs w:val="22"/>
        </w:rPr>
        <w:t xml:space="preserve"> </w:t>
      </w:r>
      <w:r w:rsidR="00E33BDB" w:rsidRPr="00AB306E">
        <w:rPr>
          <w:rFonts w:ascii="Arial" w:hAnsi="Arial" w:cs="Arial"/>
          <w:sz w:val="22"/>
          <w:szCs w:val="22"/>
        </w:rPr>
        <w:t>MHz</w:t>
      </w:r>
      <w:r w:rsidRPr="00AB306E">
        <w:rPr>
          <w:rFonts w:ascii="Arial" w:hAnsi="Arial" w:cs="Arial"/>
          <w:sz w:val="22"/>
          <w:szCs w:val="22"/>
        </w:rPr>
        <w:t xml:space="preserve">, administrations </w:t>
      </w:r>
      <w:r w:rsidR="002F0915" w:rsidRPr="00AB306E">
        <w:rPr>
          <w:rFonts w:ascii="Arial" w:hAnsi="Arial" w:cs="Arial"/>
          <w:sz w:val="22"/>
          <w:szCs w:val="22"/>
        </w:rPr>
        <w:t>could</w:t>
      </w:r>
      <w:r w:rsidRPr="00AB306E">
        <w:rPr>
          <w:rFonts w:ascii="Arial" w:hAnsi="Arial" w:cs="Arial"/>
          <w:sz w:val="22"/>
          <w:szCs w:val="22"/>
        </w:rPr>
        <w:t xml:space="preserve"> implement, on a local basis, network and operational deployment measures</w:t>
      </w:r>
      <w:r w:rsidR="002F0915" w:rsidRPr="00AB306E">
        <w:rPr>
          <w:rFonts w:ascii="Arial" w:hAnsi="Arial" w:cs="Arial"/>
          <w:sz w:val="22"/>
          <w:szCs w:val="22"/>
        </w:rPr>
        <w:t xml:space="preserve"> that </w:t>
      </w:r>
      <w:r w:rsidRPr="00AB306E">
        <w:rPr>
          <w:rFonts w:ascii="Arial" w:hAnsi="Arial" w:cs="Arial"/>
          <w:sz w:val="22"/>
          <w:szCs w:val="22"/>
        </w:rPr>
        <w:t>would have the effect of further lowering the emissions into the adjacent broadc</w:t>
      </w:r>
      <w:r w:rsidR="002F0915" w:rsidRPr="00AB306E">
        <w:rPr>
          <w:rFonts w:ascii="Arial" w:hAnsi="Arial" w:cs="Arial"/>
          <w:sz w:val="22"/>
          <w:szCs w:val="22"/>
        </w:rPr>
        <w:t>ast band below 694</w:t>
      </w:r>
      <w:r w:rsidR="00DF6BA3">
        <w:rPr>
          <w:rFonts w:ascii="Arial" w:hAnsi="Arial" w:cs="Arial"/>
          <w:sz w:val="22"/>
          <w:szCs w:val="22"/>
        </w:rPr>
        <w:t xml:space="preserve"> </w:t>
      </w:r>
      <w:r w:rsidR="00E33BDB" w:rsidRPr="00AB306E">
        <w:rPr>
          <w:rFonts w:ascii="Arial" w:hAnsi="Arial" w:cs="Arial"/>
          <w:sz w:val="22"/>
          <w:szCs w:val="22"/>
        </w:rPr>
        <w:t>MHz</w:t>
      </w:r>
      <w:r w:rsidR="002F0915" w:rsidRPr="00AB306E">
        <w:rPr>
          <w:rFonts w:ascii="Arial" w:hAnsi="Arial" w:cs="Arial"/>
          <w:sz w:val="22"/>
          <w:szCs w:val="22"/>
        </w:rPr>
        <w:t xml:space="preserve"> by up to </w:t>
      </w:r>
      <w:r w:rsidRPr="00AB306E">
        <w:rPr>
          <w:rFonts w:ascii="Arial" w:hAnsi="Arial" w:cs="Arial"/>
          <w:sz w:val="22"/>
          <w:szCs w:val="22"/>
        </w:rPr>
        <w:t>6</w:t>
      </w:r>
      <w:r w:rsidR="00E33BDB" w:rsidRPr="00AB306E">
        <w:rPr>
          <w:rFonts w:ascii="Arial" w:hAnsi="Arial" w:cs="Arial"/>
          <w:sz w:val="22"/>
          <w:szCs w:val="22"/>
        </w:rPr>
        <w:t>dB</w:t>
      </w:r>
      <w:r w:rsidRPr="00AB306E">
        <w:rPr>
          <w:rFonts w:ascii="Arial" w:hAnsi="Arial" w:cs="Arial"/>
          <w:sz w:val="22"/>
          <w:szCs w:val="22"/>
        </w:rPr>
        <w:t xml:space="preserve">. </w:t>
      </w:r>
      <w:r w:rsidR="002F0915" w:rsidRPr="00AB306E">
        <w:rPr>
          <w:rFonts w:ascii="Arial" w:hAnsi="Arial" w:cs="Arial"/>
          <w:sz w:val="22"/>
          <w:szCs w:val="22"/>
        </w:rPr>
        <w:t>It was also noted that t</w:t>
      </w:r>
      <w:r w:rsidRPr="00AB306E">
        <w:rPr>
          <w:rFonts w:ascii="Arial" w:hAnsi="Arial" w:cs="Arial"/>
          <w:sz w:val="22"/>
          <w:szCs w:val="22"/>
        </w:rPr>
        <w:t xml:space="preserve">his </w:t>
      </w:r>
      <w:r w:rsidR="002F0915" w:rsidRPr="00C35AE9">
        <w:rPr>
          <w:rFonts w:ascii="Arial" w:hAnsi="Arial" w:cs="Arial"/>
          <w:sz w:val="22"/>
          <w:szCs w:val="22"/>
        </w:rPr>
        <w:t xml:space="preserve">extra reduction </w:t>
      </w:r>
      <w:r w:rsidRPr="00C35AE9">
        <w:rPr>
          <w:rFonts w:ascii="Arial" w:hAnsi="Arial" w:cs="Arial"/>
          <w:sz w:val="22"/>
          <w:szCs w:val="22"/>
        </w:rPr>
        <w:t xml:space="preserve">would have no impact on the </w:t>
      </w:r>
      <w:r w:rsidR="002F0915" w:rsidRPr="00C35AE9">
        <w:rPr>
          <w:rFonts w:ascii="Arial" w:hAnsi="Arial" w:cs="Arial"/>
          <w:sz w:val="22"/>
          <w:szCs w:val="22"/>
        </w:rPr>
        <w:t xml:space="preserve">equipment </w:t>
      </w:r>
      <w:r w:rsidRPr="00C35AE9">
        <w:rPr>
          <w:rFonts w:ascii="Arial" w:hAnsi="Arial" w:cs="Arial"/>
          <w:sz w:val="22"/>
          <w:szCs w:val="22"/>
        </w:rPr>
        <w:t xml:space="preserve">specifications </w:t>
      </w:r>
      <w:r w:rsidR="002F0915" w:rsidRPr="00C35AE9">
        <w:rPr>
          <w:rFonts w:ascii="Arial" w:hAnsi="Arial" w:cs="Arial"/>
          <w:sz w:val="22"/>
          <w:szCs w:val="22"/>
        </w:rPr>
        <w:t xml:space="preserve">or </w:t>
      </w:r>
      <w:r w:rsidRPr="00C35AE9">
        <w:rPr>
          <w:rFonts w:ascii="Arial" w:hAnsi="Arial" w:cs="Arial"/>
          <w:sz w:val="22"/>
          <w:szCs w:val="22"/>
        </w:rPr>
        <w:t xml:space="preserve">requirements </w:t>
      </w:r>
      <w:r w:rsidR="002F0915" w:rsidRPr="00C35AE9">
        <w:rPr>
          <w:rFonts w:ascii="Arial" w:hAnsi="Arial" w:cs="Arial"/>
          <w:sz w:val="22"/>
          <w:szCs w:val="22"/>
        </w:rPr>
        <w:t xml:space="preserve">but could </w:t>
      </w:r>
      <w:r w:rsidRPr="00C35AE9">
        <w:rPr>
          <w:rFonts w:ascii="Arial" w:hAnsi="Arial" w:cs="Arial"/>
          <w:sz w:val="22"/>
          <w:szCs w:val="22"/>
        </w:rPr>
        <w:t>be achieved solely through network implementation by operators.</w:t>
      </w:r>
    </w:p>
    <w:p w:rsidR="00647590" w:rsidRPr="00AB306E" w:rsidRDefault="00FC7C67" w:rsidP="00AB306E">
      <w:pPr>
        <w:pStyle w:val="Heading3"/>
        <w:rPr>
          <w:rFonts w:ascii="Arial" w:hAnsi="Arial" w:cs="Arial"/>
          <w:color w:val="auto"/>
        </w:rPr>
      </w:pPr>
      <w:r w:rsidRPr="00AB306E">
        <w:rPr>
          <w:rFonts w:ascii="Arial" w:hAnsi="Arial" w:cs="Arial"/>
          <w:color w:val="auto"/>
        </w:rPr>
        <w:t>6</w:t>
      </w:r>
      <w:r w:rsidR="00647590" w:rsidRPr="00AB306E">
        <w:rPr>
          <w:rFonts w:ascii="Arial" w:hAnsi="Arial" w:cs="Arial"/>
          <w:color w:val="auto"/>
        </w:rPr>
        <w:t>.1</w:t>
      </w:r>
      <w:r w:rsidR="00647590" w:rsidRPr="00AB306E">
        <w:rPr>
          <w:rFonts w:ascii="Arial" w:hAnsi="Arial" w:cs="Arial"/>
          <w:color w:val="auto"/>
        </w:rPr>
        <w:tab/>
        <w:t>Overseas Limits</w:t>
      </w:r>
    </w:p>
    <w:p w:rsidR="00871500" w:rsidRPr="00AB306E" w:rsidRDefault="00871500" w:rsidP="00C63094">
      <w:pPr>
        <w:jc w:val="both"/>
        <w:rPr>
          <w:rFonts w:ascii="Arial" w:hAnsi="Arial" w:cs="Arial"/>
          <w:lang w:eastAsia="en-US"/>
        </w:rPr>
      </w:pPr>
    </w:p>
    <w:p w:rsidR="00871500" w:rsidRPr="00AB306E" w:rsidRDefault="00871500" w:rsidP="00C63094">
      <w:pPr>
        <w:jc w:val="both"/>
        <w:rPr>
          <w:rFonts w:ascii="Arial" w:hAnsi="Arial" w:cs="Arial"/>
          <w:b/>
          <w:lang w:eastAsia="en-US"/>
        </w:rPr>
      </w:pPr>
      <w:r w:rsidRPr="00AB306E">
        <w:rPr>
          <w:rFonts w:ascii="Arial" w:hAnsi="Arial" w:cs="Arial"/>
          <w:b/>
          <w:lang w:eastAsia="en-US"/>
        </w:rPr>
        <w:t>Europe</w:t>
      </w:r>
    </w:p>
    <w:p w:rsidR="00647590" w:rsidRPr="00AB306E" w:rsidRDefault="000575B5" w:rsidP="00AB306E">
      <w:pPr>
        <w:rPr>
          <w:rFonts w:ascii="Arial" w:hAnsi="Arial" w:cs="Arial"/>
          <w:sz w:val="22"/>
          <w:szCs w:val="22"/>
        </w:rPr>
      </w:pPr>
      <w:r w:rsidRPr="00AB306E">
        <w:rPr>
          <w:rFonts w:ascii="Arial" w:hAnsi="Arial" w:cs="Arial"/>
          <w:sz w:val="22"/>
          <w:szCs w:val="22"/>
        </w:rPr>
        <w:t xml:space="preserve">The </w:t>
      </w:r>
      <w:r w:rsidR="002B61A2" w:rsidRPr="00AB306E">
        <w:rPr>
          <w:rFonts w:ascii="Arial" w:hAnsi="Arial" w:cs="Arial"/>
          <w:sz w:val="22"/>
          <w:szCs w:val="22"/>
        </w:rPr>
        <w:t>Europe</w:t>
      </w:r>
      <w:r w:rsidRPr="00AB306E">
        <w:rPr>
          <w:rFonts w:ascii="Arial" w:hAnsi="Arial" w:cs="Arial"/>
          <w:sz w:val="22"/>
          <w:szCs w:val="22"/>
        </w:rPr>
        <w:t xml:space="preserve">an </w:t>
      </w:r>
      <w:r w:rsidR="00647590" w:rsidRPr="00AB306E">
        <w:rPr>
          <w:rFonts w:ascii="Arial" w:hAnsi="Arial" w:cs="Arial"/>
          <w:sz w:val="22"/>
          <w:szCs w:val="22"/>
        </w:rPr>
        <w:t xml:space="preserve">baseline </w:t>
      </w:r>
      <w:r w:rsidR="006E1CE3" w:rsidRPr="00AB306E">
        <w:rPr>
          <w:rFonts w:ascii="Arial" w:hAnsi="Arial" w:cs="Arial"/>
          <w:sz w:val="22"/>
          <w:szCs w:val="22"/>
        </w:rPr>
        <w:t xml:space="preserve">out-of-band emission </w:t>
      </w:r>
      <w:r w:rsidR="00647590" w:rsidRPr="00AB306E">
        <w:rPr>
          <w:rFonts w:ascii="Arial" w:hAnsi="Arial" w:cs="Arial"/>
          <w:sz w:val="22"/>
          <w:szCs w:val="22"/>
        </w:rPr>
        <w:t>level</w:t>
      </w:r>
      <w:r w:rsidR="001F5FF8" w:rsidRPr="00AB306E">
        <w:rPr>
          <w:rFonts w:ascii="Arial" w:hAnsi="Arial" w:cs="Arial"/>
          <w:sz w:val="22"/>
          <w:szCs w:val="22"/>
        </w:rPr>
        <w:t xml:space="preserve">s </w:t>
      </w:r>
      <w:r w:rsidR="00515FC2" w:rsidRPr="00AB306E">
        <w:rPr>
          <w:rFonts w:ascii="Arial" w:hAnsi="Arial" w:cs="Arial"/>
          <w:sz w:val="22"/>
          <w:szCs w:val="22"/>
        </w:rPr>
        <w:t>for base station transmissions</w:t>
      </w:r>
      <w:r w:rsidR="00647590" w:rsidRPr="00AB306E">
        <w:rPr>
          <w:rFonts w:ascii="Arial" w:hAnsi="Arial" w:cs="Arial"/>
          <w:sz w:val="22"/>
          <w:szCs w:val="22"/>
        </w:rPr>
        <w:t xml:space="preserve"> </w:t>
      </w:r>
      <w:r w:rsidR="006E1CE3" w:rsidRPr="00AB306E">
        <w:rPr>
          <w:rFonts w:ascii="Arial" w:hAnsi="Arial" w:cs="Arial"/>
          <w:sz w:val="22"/>
          <w:szCs w:val="22"/>
        </w:rPr>
        <w:t xml:space="preserve">falling </w:t>
      </w:r>
      <w:r w:rsidR="007417A5" w:rsidRPr="00AB306E">
        <w:rPr>
          <w:rFonts w:ascii="Arial" w:hAnsi="Arial" w:cs="Arial"/>
          <w:sz w:val="22"/>
          <w:szCs w:val="22"/>
        </w:rPr>
        <w:t xml:space="preserve">in </w:t>
      </w:r>
      <w:r w:rsidR="00647590" w:rsidRPr="00AB306E">
        <w:rPr>
          <w:rFonts w:ascii="Arial" w:hAnsi="Arial" w:cs="Arial"/>
          <w:sz w:val="22"/>
          <w:szCs w:val="22"/>
        </w:rPr>
        <w:t xml:space="preserve">the </w:t>
      </w:r>
      <w:r w:rsidR="007417A5" w:rsidRPr="00AB306E">
        <w:rPr>
          <w:rFonts w:ascii="Arial" w:hAnsi="Arial" w:cs="Arial"/>
          <w:sz w:val="22"/>
          <w:szCs w:val="22"/>
        </w:rPr>
        <w:t>FDD uplink</w:t>
      </w:r>
      <w:r w:rsidR="00FC1F98" w:rsidRPr="00AB306E">
        <w:rPr>
          <w:rFonts w:ascii="Arial" w:hAnsi="Arial" w:cs="Arial"/>
          <w:sz w:val="22"/>
          <w:szCs w:val="22"/>
        </w:rPr>
        <w:t xml:space="preserve"> band</w:t>
      </w:r>
      <w:r w:rsidR="00515FC2" w:rsidRPr="00AB306E">
        <w:rPr>
          <w:rFonts w:ascii="Arial" w:hAnsi="Arial" w:cs="Arial"/>
          <w:sz w:val="22"/>
          <w:szCs w:val="22"/>
        </w:rPr>
        <w:t>,</w:t>
      </w:r>
      <w:r w:rsidR="007417A5" w:rsidRPr="00AB306E">
        <w:rPr>
          <w:rFonts w:ascii="Arial" w:hAnsi="Arial" w:cs="Arial"/>
          <w:sz w:val="22"/>
          <w:szCs w:val="22"/>
        </w:rPr>
        <w:t xml:space="preserve"> or in </w:t>
      </w:r>
      <w:r w:rsidR="00F96B53" w:rsidRPr="00AB306E">
        <w:rPr>
          <w:rFonts w:ascii="Arial" w:hAnsi="Arial" w:cs="Arial"/>
          <w:sz w:val="22"/>
          <w:szCs w:val="22"/>
        </w:rPr>
        <w:t>the mid-band gap</w:t>
      </w:r>
      <w:r w:rsidR="00515FC2" w:rsidRPr="00AB306E">
        <w:rPr>
          <w:rFonts w:ascii="Arial" w:hAnsi="Arial" w:cs="Arial"/>
          <w:sz w:val="22"/>
          <w:szCs w:val="22"/>
        </w:rPr>
        <w:t>,</w:t>
      </w:r>
      <w:r w:rsidR="00647590" w:rsidRPr="00AB306E">
        <w:rPr>
          <w:rFonts w:ascii="Arial" w:hAnsi="Arial" w:cs="Arial"/>
          <w:sz w:val="22"/>
          <w:szCs w:val="22"/>
        </w:rPr>
        <w:t xml:space="preserve"> is </w:t>
      </w:r>
      <w:r w:rsidR="00647590" w:rsidRPr="00AB306E">
        <w:rPr>
          <w:rFonts w:ascii="Arial" w:hAnsi="Arial" w:cs="Arial"/>
          <w:sz w:val="22"/>
          <w:szCs w:val="22"/>
        </w:rPr>
        <w:noBreakHyphen/>
        <w:t>4</w:t>
      </w:r>
      <w:r w:rsidR="007417A5" w:rsidRPr="00AB306E">
        <w:rPr>
          <w:rFonts w:ascii="Arial" w:hAnsi="Arial" w:cs="Arial"/>
          <w:sz w:val="22"/>
          <w:szCs w:val="22"/>
        </w:rPr>
        <w:t>9.5</w:t>
      </w:r>
      <w:r w:rsidR="00E33BDB" w:rsidRPr="00AB306E">
        <w:rPr>
          <w:rFonts w:ascii="Arial" w:hAnsi="Arial" w:cs="Arial"/>
          <w:sz w:val="22"/>
          <w:szCs w:val="22"/>
        </w:rPr>
        <w:t>dB</w:t>
      </w:r>
      <w:r w:rsidR="00647590" w:rsidRPr="00AB306E">
        <w:rPr>
          <w:rFonts w:ascii="Arial" w:hAnsi="Arial" w:cs="Arial"/>
          <w:sz w:val="22"/>
          <w:szCs w:val="22"/>
        </w:rPr>
        <w:t>m/</w:t>
      </w:r>
      <w:r w:rsidR="007417A5" w:rsidRPr="00AB306E">
        <w:rPr>
          <w:rFonts w:ascii="Arial" w:hAnsi="Arial" w:cs="Arial"/>
          <w:sz w:val="22"/>
          <w:szCs w:val="22"/>
        </w:rPr>
        <w:t>5</w:t>
      </w:r>
      <w:r w:rsidR="00647590" w:rsidRPr="00AB306E">
        <w:rPr>
          <w:rFonts w:ascii="Arial" w:hAnsi="Arial" w:cs="Arial"/>
          <w:sz w:val="22"/>
          <w:szCs w:val="22"/>
        </w:rPr>
        <w:t>MHz.</w:t>
      </w:r>
      <w:r w:rsidR="00285262" w:rsidRPr="00AB306E">
        <w:rPr>
          <w:rFonts w:ascii="Arial" w:hAnsi="Arial" w:cs="Arial"/>
          <w:sz w:val="22"/>
          <w:szCs w:val="22"/>
        </w:rPr>
        <w:t xml:space="preserve"> </w:t>
      </w:r>
      <w:r w:rsidR="00647590" w:rsidRPr="00AB306E">
        <w:rPr>
          <w:rFonts w:ascii="Arial" w:hAnsi="Arial" w:cs="Arial"/>
          <w:sz w:val="22"/>
          <w:szCs w:val="22"/>
        </w:rPr>
        <w:t xml:space="preserve">The baseline level for terminal station transmitters </w:t>
      </w:r>
      <w:r w:rsidR="007417A5" w:rsidRPr="00AB306E">
        <w:rPr>
          <w:rFonts w:ascii="Arial" w:hAnsi="Arial" w:cs="Arial"/>
          <w:sz w:val="22"/>
          <w:szCs w:val="22"/>
        </w:rPr>
        <w:t>in</w:t>
      </w:r>
      <w:r w:rsidR="00AD7898" w:rsidRPr="00AB306E">
        <w:rPr>
          <w:rFonts w:ascii="Arial" w:hAnsi="Arial" w:cs="Arial"/>
          <w:sz w:val="22"/>
          <w:szCs w:val="22"/>
        </w:rPr>
        <w:t>to</w:t>
      </w:r>
      <w:r w:rsidR="007417A5" w:rsidRPr="00AB306E">
        <w:rPr>
          <w:rFonts w:ascii="Arial" w:hAnsi="Arial" w:cs="Arial"/>
          <w:sz w:val="22"/>
          <w:szCs w:val="22"/>
        </w:rPr>
        <w:t xml:space="preserve"> the FDD downlink </w:t>
      </w:r>
      <w:r w:rsidR="00FC1F98" w:rsidRPr="00AB306E">
        <w:rPr>
          <w:rFonts w:ascii="Arial" w:hAnsi="Arial" w:cs="Arial"/>
          <w:sz w:val="22"/>
          <w:szCs w:val="22"/>
        </w:rPr>
        <w:t xml:space="preserve">band </w:t>
      </w:r>
      <w:r w:rsidR="007417A5" w:rsidRPr="00AB306E">
        <w:rPr>
          <w:rFonts w:ascii="Arial" w:hAnsi="Arial" w:cs="Arial"/>
          <w:sz w:val="22"/>
          <w:szCs w:val="22"/>
        </w:rPr>
        <w:t>is -37</w:t>
      </w:r>
      <w:r w:rsidR="00E33BDB" w:rsidRPr="00AB306E">
        <w:rPr>
          <w:rFonts w:ascii="Arial" w:hAnsi="Arial" w:cs="Arial"/>
          <w:sz w:val="22"/>
          <w:szCs w:val="22"/>
        </w:rPr>
        <w:t>dB</w:t>
      </w:r>
      <w:r w:rsidR="007417A5" w:rsidRPr="00AB306E">
        <w:rPr>
          <w:rFonts w:ascii="Arial" w:hAnsi="Arial" w:cs="Arial"/>
          <w:sz w:val="22"/>
          <w:szCs w:val="22"/>
        </w:rPr>
        <w:t>m/5MHz</w:t>
      </w:r>
      <w:r w:rsidR="00F96B53" w:rsidRPr="00AB306E">
        <w:rPr>
          <w:rFonts w:ascii="Arial" w:hAnsi="Arial" w:cs="Arial"/>
          <w:sz w:val="22"/>
          <w:szCs w:val="22"/>
        </w:rPr>
        <w:t>.</w:t>
      </w:r>
      <w:r w:rsidR="00285262" w:rsidRPr="00AB306E">
        <w:rPr>
          <w:rFonts w:ascii="Arial" w:hAnsi="Arial" w:cs="Arial"/>
          <w:sz w:val="22"/>
          <w:szCs w:val="22"/>
        </w:rPr>
        <w:t xml:space="preserve"> </w:t>
      </w:r>
      <w:r w:rsidR="00F96B53" w:rsidRPr="00AB306E">
        <w:rPr>
          <w:rFonts w:ascii="Arial" w:hAnsi="Arial" w:cs="Arial"/>
          <w:sz w:val="22"/>
          <w:szCs w:val="22"/>
        </w:rPr>
        <w:t xml:space="preserve">These limits apply in these band </w:t>
      </w:r>
      <w:r w:rsidR="00F96B53" w:rsidRPr="00AB306E">
        <w:rPr>
          <w:rFonts w:ascii="Arial" w:hAnsi="Arial" w:cs="Arial"/>
          <w:sz w:val="22"/>
          <w:szCs w:val="22"/>
        </w:rPr>
        <w:lastRenderedPageBreak/>
        <w:t>segment</w:t>
      </w:r>
      <w:r w:rsidR="0091231D" w:rsidRPr="00AB306E">
        <w:rPr>
          <w:rFonts w:ascii="Arial" w:hAnsi="Arial" w:cs="Arial"/>
          <w:sz w:val="22"/>
          <w:szCs w:val="22"/>
        </w:rPr>
        <w:t>s</w:t>
      </w:r>
      <w:r w:rsidR="00F96B53" w:rsidRPr="00AB306E">
        <w:rPr>
          <w:rFonts w:ascii="Arial" w:hAnsi="Arial" w:cs="Arial"/>
          <w:sz w:val="22"/>
          <w:szCs w:val="22"/>
        </w:rPr>
        <w:t xml:space="preserve"> independent of actual FDD or TDD use.</w:t>
      </w:r>
      <w:r w:rsidR="00285262" w:rsidRPr="00AB306E">
        <w:rPr>
          <w:rFonts w:ascii="Arial" w:hAnsi="Arial" w:cs="Arial"/>
          <w:sz w:val="22"/>
          <w:szCs w:val="22"/>
        </w:rPr>
        <w:t xml:space="preserve"> </w:t>
      </w:r>
      <w:r w:rsidR="00647590" w:rsidRPr="00AB306E">
        <w:rPr>
          <w:rFonts w:ascii="Arial" w:hAnsi="Arial" w:cs="Arial"/>
          <w:sz w:val="22"/>
          <w:szCs w:val="22"/>
        </w:rPr>
        <w:t>The differences in these t</w:t>
      </w:r>
      <w:r w:rsidR="00F96B53" w:rsidRPr="00AB306E">
        <w:rPr>
          <w:rFonts w:ascii="Arial" w:hAnsi="Arial" w:cs="Arial"/>
          <w:sz w:val="22"/>
          <w:szCs w:val="22"/>
        </w:rPr>
        <w:t>wo</w:t>
      </w:r>
      <w:r w:rsidR="00647590" w:rsidRPr="00AB306E">
        <w:rPr>
          <w:rFonts w:ascii="Arial" w:hAnsi="Arial" w:cs="Arial"/>
          <w:sz w:val="22"/>
          <w:szCs w:val="22"/>
        </w:rPr>
        <w:t xml:space="preserve"> figures primarily reflect the differences in interference risk due to transmitter antenna location and height. (See CEPT Report </w:t>
      </w:r>
      <w:r w:rsidR="007417A5" w:rsidRPr="00AB306E">
        <w:rPr>
          <w:rFonts w:ascii="Arial" w:hAnsi="Arial" w:cs="Arial"/>
          <w:sz w:val="22"/>
          <w:szCs w:val="22"/>
        </w:rPr>
        <w:t>30</w:t>
      </w:r>
      <w:r w:rsidR="00647590" w:rsidRPr="00AB306E">
        <w:rPr>
          <w:rFonts w:ascii="Arial" w:hAnsi="Arial" w:cs="Arial"/>
          <w:sz w:val="22"/>
          <w:szCs w:val="22"/>
        </w:rPr>
        <w:t xml:space="preserve"> </w:t>
      </w:r>
      <w:r w:rsidR="007E1A1A" w:rsidRPr="00AB306E">
        <w:rPr>
          <w:rFonts w:ascii="Arial" w:hAnsi="Arial" w:cs="Arial"/>
          <w:sz w:val="22"/>
          <w:szCs w:val="22"/>
        </w:rPr>
        <w:t>T</w:t>
      </w:r>
      <w:r w:rsidR="00647590" w:rsidRPr="00AB306E">
        <w:rPr>
          <w:rFonts w:ascii="Arial" w:hAnsi="Arial" w:cs="Arial"/>
          <w:sz w:val="22"/>
          <w:szCs w:val="22"/>
        </w:rPr>
        <w:t xml:space="preserve">ables </w:t>
      </w:r>
      <w:r w:rsidR="007E1A1A" w:rsidRPr="00AB306E">
        <w:rPr>
          <w:rFonts w:ascii="Arial" w:hAnsi="Arial" w:cs="Arial"/>
          <w:sz w:val="22"/>
          <w:szCs w:val="22"/>
        </w:rPr>
        <w:t>10 and 16</w:t>
      </w:r>
      <w:r w:rsidR="00647590" w:rsidRPr="00AB306E">
        <w:rPr>
          <w:rFonts w:ascii="Arial" w:hAnsi="Arial" w:cs="Arial"/>
          <w:sz w:val="22"/>
          <w:szCs w:val="22"/>
        </w:rPr>
        <w:t>)</w:t>
      </w:r>
      <w:r w:rsidR="002F0915" w:rsidRPr="00AB306E">
        <w:rPr>
          <w:rFonts w:ascii="Arial" w:hAnsi="Arial" w:cs="Arial"/>
          <w:sz w:val="22"/>
          <w:szCs w:val="22"/>
        </w:rPr>
        <w:t>.</w:t>
      </w:r>
    </w:p>
    <w:p w:rsidR="00647590" w:rsidRPr="00AB306E" w:rsidRDefault="00647590" w:rsidP="00AB306E">
      <w:pPr>
        <w:rPr>
          <w:rFonts w:ascii="Arial" w:hAnsi="Arial" w:cs="Arial"/>
          <w:sz w:val="22"/>
          <w:szCs w:val="22"/>
        </w:rPr>
      </w:pPr>
    </w:p>
    <w:p w:rsidR="00F96B53" w:rsidRPr="00AB306E" w:rsidRDefault="00647590" w:rsidP="00AB306E">
      <w:pPr>
        <w:rPr>
          <w:rFonts w:ascii="Arial" w:hAnsi="Arial" w:cs="Arial"/>
          <w:sz w:val="22"/>
          <w:szCs w:val="22"/>
        </w:rPr>
      </w:pPr>
      <w:r w:rsidRPr="00AB306E">
        <w:rPr>
          <w:rFonts w:ascii="Arial" w:hAnsi="Arial" w:cs="Arial"/>
          <w:sz w:val="22"/>
          <w:szCs w:val="22"/>
        </w:rPr>
        <w:t xml:space="preserve">The shoulders of the European base station </w:t>
      </w:r>
      <w:r w:rsidR="001D1DE9" w:rsidRPr="00AB306E">
        <w:rPr>
          <w:rFonts w:ascii="Arial" w:hAnsi="Arial" w:cs="Arial"/>
          <w:sz w:val="22"/>
          <w:szCs w:val="22"/>
        </w:rPr>
        <w:t>BEM</w:t>
      </w:r>
      <w:r w:rsidR="00E2190E" w:rsidRPr="00AB306E">
        <w:rPr>
          <w:rFonts w:ascii="Arial" w:hAnsi="Arial" w:cs="Arial"/>
          <w:sz w:val="22"/>
          <w:szCs w:val="22"/>
        </w:rPr>
        <w:t xml:space="preserve"> </w:t>
      </w:r>
      <w:r w:rsidRPr="00AB306E">
        <w:rPr>
          <w:rFonts w:ascii="Arial" w:hAnsi="Arial" w:cs="Arial"/>
          <w:sz w:val="22"/>
          <w:szCs w:val="22"/>
        </w:rPr>
        <w:t>fall</w:t>
      </w:r>
      <w:r w:rsidR="00FC1F98" w:rsidRPr="00AB306E">
        <w:rPr>
          <w:rFonts w:ascii="Arial" w:hAnsi="Arial" w:cs="Arial"/>
          <w:sz w:val="22"/>
          <w:szCs w:val="22"/>
        </w:rPr>
        <w:t>ing</w:t>
      </w:r>
      <w:r w:rsidRPr="00AB306E">
        <w:rPr>
          <w:rFonts w:ascii="Arial" w:hAnsi="Arial" w:cs="Arial"/>
          <w:sz w:val="22"/>
          <w:szCs w:val="22"/>
        </w:rPr>
        <w:t xml:space="preserve"> on the 5</w:t>
      </w:r>
      <w:r w:rsidR="00DF6BA3">
        <w:rPr>
          <w:rFonts w:ascii="Arial" w:hAnsi="Arial" w:cs="Arial"/>
          <w:sz w:val="22"/>
          <w:szCs w:val="22"/>
        </w:rPr>
        <w:t xml:space="preserve"> </w:t>
      </w:r>
      <w:r w:rsidR="00E33BDB" w:rsidRPr="00AB306E">
        <w:rPr>
          <w:rFonts w:ascii="Arial" w:hAnsi="Arial" w:cs="Arial"/>
          <w:sz w:val="22"/>
          <w:szCs w:val="22"/>
        </w:rPr>
        <w:t>MHz</w:t>
      </w:r>
      <w:r w:rsidRPr="00AB306E">
        <w:rPr>
          <w:rFonts w:ascii="Arial" w:hAnsi="Arial" w:cs="Arial"/>
          <w:sz w:val="22"/>
          <w:szCs w:val="22"/>
        </w:rPr>
        <w:t xml:space="preserve"> blocks adjacent either side of the licence band </w:t>
      </w:r>
      <w:r w:rsidR="00FC1F98" w:rsidRPr="00AB306E">
        <w:rPr>
          <w:rFonts w:ascii="Arial" w:hAnsi="Arial" w:cs="Arial"/>
          <w:sz w:val="22"/>
          <w:szCs w:val="22"/>
        </w:rPr>
        <w:t>limit the maximum emission level</w:t>
      </w:r>
      <w:r w:rsidRPr="00AB306E">
        <w:rPr>
          <w:rFonts w:ascii="Arial" w:hAnsi="Arial" w:cs="Arial"/>
          <w:sz w:val="22"/>
          <w:szCs w:val="22"/>
        </w:rPr>
        <w:t xml:space="preserve"> </w:t>
      </w:r>
      <w:r w:rsidR="00FC1F98" w:rsidRPr="00AB306E">
        <w:rPr>
          <w:rFonts w:ascii="Arial" w:hAnsi="Arial" w:cs="Arial"/>
          <w:sz w:val="22"/>
          <w:szCs w:val="22"/>
        </w:rPr>
        <w:t>to</w:t>
      </w:r>
    </w:p>
    <w:p w:rsidR="00F96B53" w:rsidRPr="00AB306E" w:rsidRDefault="00647590" w:rsidP="00AB306E">
      <w:pPr>
        <w:rPr>
          <w:rFonts w:ascii="Arial" w:hAnsi="Arial" w:cs="Arial"/>
          <w:sz w:val="22"/>
          <w:szCs w:val="22"/>
        </w:rPr>
      </w:pPr>
      <w:r w:rsidRPr="00AB306E">
        <w:rPr>
          <w:rFonts w:ascii="Arial" w:hAnsi="Arial" w:cs="Arial"/>
          <w:sz w:val="22"/>
          <w:szCs w:val="22"/>
        </w:rPr>
        <w:t>+</w:t>
      </w:r>
      <w:r w:rsidR="007E1A1A" w:rsidRPr="00AB306E">
        <w:rPr>
          <w:rFonts w:ascii="Arial" w:hAnsi="Arial" w:cs="Arial"/>
          <w:sz w:val="22"/>
          <w:szCs w:val="22"/>
        </w:rPr>
        <w:t>22</w:t>
      </w:r>
      <w:r w:rsidR="00E33BDB" w:rsidRPr="00AB306E">
        <w:rPr>
          <w:rFonts w:ascii="Arial" w:hAnsi="Arial" w:cs="Arial"/>
          <w:sz w:val="22"/>
          <w:szCs w:val="22"/>
        </w:rPr>
        <w:t>dB</w:t>
      </w:r>
      <w:r w:rsidRPr="00AB306E">
        <w:rPr>
          <w:rFonts w:ascii="Arial" w:hAnsi="Arial" w:cs="Arial"/>
          <w:sz w:val="22"/>
          <w:szCs w:val="22"/>
        </w:rPr>
        <w:t>m/</w:t>
      </w:r>
      <w:r w:rsidR="007E1A1A" w:rsidRPr="00AB306E">
        <w:rPr>
          <w:rFonts w:ascii="Arial" w:hAnsi="Arial" w:cs="Arial"/>
          <w:sz w:val="22"/>
          <w:szCs w:val="22"/>
        </w:rPr>
        <w:t>5</w:t>
      </w:r>
      <w:r w:rsidRPr="00AB306E">
        <w:rPr>
          <w:rFonts w:ascii="Arial" w:hAnsi="Arial" w:cs="Arial"/>
          <w:sz w:val="22"/>
          <w:szCs w:val="22"/>
        </w:rPr>
        <w:t>MHz.</w:t>
      </w:r>
      <w:r w:rsidR="00285262" w:rsidRPr="00AB306E">
        <w:rPr>
          <w:rFonts w:ascii="Arial" w:hAnsi="Arial" w:cs="Arial"/>
          <w:sz w:val="22"/>
          <w:szCs w:val="22"/>
        </w:rPr>
        <w:t xml:space="preserve"> </w:t>
      </w:r>
      <w:proofErr w:type="gramStart"/>
      <w:r w:rsidR="007E1A1A" w:rsidRPr="00AB306E">
        <w:rPr>
          <w:rFonts w:ascii="Arial" w:hAnsi="Arial" w:cs="Arial"/>
          <w:sz w:val="22"/>
          <w:szCs w:val="22"/>
        </w:rPr>
        <w:t>Between</w:t>
      </w:r>
      <w:proofErr w:type="gramEnd"/>
      <w:r w:rsidR="007E1A1A" w:rsidRPr="00AB306E">
        <w:rPr>
          <w:rFonts w:ascii="Arial" w:hAnsi="Arial" w:cs="Arial"/>
          <w:sz w:val="22"/>
          <w:szCs w:val="22"/>
        </w:rPr>
        <w:t xml:space="preserve"> 5 and 10</w:t>
      </w:r>
      <w:r w:rsidR="00E33BDB" w:rsidRPr="00AB306E">
        <w:rPr>
          <w:rFonts w:ascii="Arial" w:hAnsi="Arial" w:cs="Arial"/>
          <w:sz w:val="22"/>
          <w:szCs w:val="22"/>
        </w:rPr>
        <w:t>MHz</w:t>
      </w:r>
      <w:r w:rsidR="007E1A1A" w:rsidRPr="00AB306E">
        <w:rPr>
          <w:rFonts w:ascii="Arial" w:hAnsi="Arial" w:cs="Arial"/>
          <w:sz w:val="22"/>
          <w:szCs w:val="22"/>
        </w:rPr>
        <w:t xml:space="preserve"> either side </w:t>
      </w:r>
      <w:r w:rsidR="00AB2567" w:rsidRPr="00AB306E">
        <w:rPr>
          <w:rFonts w:ascii="Arial" w:hAnsi="Arial" w:cs="Arial"/>
          <w:sz w:val="22"/>
          <w:szCs w:val="22"/>
        </w:rPr>
        <w:t xml:space="preserve">of the licence </w:t>
      </w:r>
      <w:r w:rsidR="00C35AE9">
        <w:rPr>
          <w:rFonts w:ascii="Arial" w:hAnsi="Arial" w:cs="Arial"/>
          <w:sz w:val="22"/>
          <w:szCs w:val="22"/>
        </w:rPr>
        <w:t>the limit is</w:t>
      </w:r>
    </w:p>
    <w:p w:rsidR="007E1A1A" w:rsidRPr="00AB306E" w:rsidRDefault="007E1A1A" w:rsidP="00AB306E">
      <w:pPr>
        <w:rPr>
          <w:rFonts w:ascii="Arial" w:hAnsi="Arial" w:cs="Arial"/>
          <w:sz w:val="22"/>
          <w:szCs w:val="22"/>
        </w:rPr>
      </w:pPr>
      <w:r w:rsidRPr="00AB306E">
        <w:rPr>
          <w:rFonts w:ascii="Arial" w:hAnsi="Arial" w:cs="Arial"/>
          <w:sz w:val="22"/>
          <w:szCs w:val="22"/>
        </w:rPr>
        <w:t>+18</w:t>
      </w:r>
      <w:r w:rsidR="00E33BDB" w:rsidRPr="00AB306E">
        <w:rPr>
          <w:rFonts w:ascii="Arial" w:hAnsi="Arial" w:cs="Arial"/>
          <w:sz w:val="22"/>
          <w:szCs w:val="22"/>
        </w:rPr>
        <w:t>dB</w:t>
      </w:r>
      <w:r w:rsidRPr="00AB306E">
        <w:rPr>
          <w:rFonts w:ascii="Arial" w:hAnsi="Arial" w:cs="Arial"/>
          <w:sz w:val="22"/>
          <w:szCs w:val="22"/>
        </w:rPr>
        <w:t xml:space="preserve">m/5MHz and in the rest of the downlink segment </w:t>
      </w:r>
      <w:r w:rsidR="00384057" w:rsidRPr="00AB306E">
        <w:rPr>
          <w:rFonts w:ascii="Arial" w:hAnsi="Arial" w:cs="Arial"/>
          <w:sz w:val="22"/>
          <w:szCs w:val="22"/>
        </w:rPr>
        <w:t xml:space="preserve">the limit is </w:t>
      </w:r>
      <w:r w:rsidRPr="00AB306E">
        <w:rPr>
          <w:rFonts w:ascii="Arial" w:hAnsi="Arial" w:cs="Arial"/>
          <w:sz w:val="22"/>
          <w:szCs w:val="22"/>
        </w:rPr>
        <w:t>+11</w:t>
      </w:r>
      <w:r w:rsidR="00E33BDB" w:rsidRPr="00AB306E">
        <w:rPr>
          <w:rFonts w:ascii="Arial" w:hAnsi="Arial" w:cs="Arial"/>
          <w:sz w:val="22"/>
          <w:szCs w:val="22"/>
        </w:rPr>
        <w:t>dB</w:t>
      </w:r>
      <w:r w:rsidRPr="00AB306E">
        <w:rPr>
          <w:rFonts w:ascii="Arial" w:hAnsi="Arial" w:cs="Arial"/>
          <w:sz w:val="22"/>
          <w:szCs w:val="22"/>
        </w:rPr>
        <w:t>m/MHz.</w:t>
      </w:r>
    </w:p>
    <w:p w:rsidR="007E1A1A" w:rsidRPr="00AB306E" w:rsidRDefault="007E1A1A" w:rsidP="00AB306E">
      <w:pPr>
        <w:rPr>
          <w:rFonts w:ascii="Arial" w:hAnsi="Arial" w:cs="Arial"/>
          <w:sz w:val="22"/>
          <w:szCs w:val="22"/>
        </w:rPr>
      </w:pPr>
    </w:p>
    <w:p w:rsidR="00F20698" w:rsidRPr="00AB306E" w:rsidRDefault="00647590" w:rsidP="00AB306E">
      <w:pPr>
        <w:rPr>
          <w:rFonts w:ascii="Arial" w:hAnsi="Arial" w:cs="Arial"/>
          <w:sz w:val="22"/>
          <w:szCs w:val="22"/>
        </w:rPr>
      </w:pPr>
      <w:r w:rsidRPr="00AB306E">
        <w:rPr>
          <w:rFonts w:ascii="Arial" w:hAnsi="Arial" w:cs="Arial"/>
          <w:sz w:val="22"/>
          <w:szCs w:val="22"/>
        </w:rPr>
        <w:t xml:space="preserve">The shoulders of </w:t>
      </w:r>
      <w:r w:rsidR="008E55E5" w:rsidRPr="00AB306E">
        <w:rPr>
          <w:rFonts w:ascii="Arial" w:hAnsi="Arial" w:cs="Arial"/>
          <w:sz w:val="22"/>
          <w:szCs w:val="22"/>
        </w:rPr>
        <w:t xml:space="preserve">the European </w:t>
      </w:r>
      <w:r w:rsidRPr="00AB306E">
        <w:rPr>
          <w:rFonts w:ascii="Arial" w:hAnsi="Arial" w:cs="Arial"/>
          <w:sz w:val="22"/>
          <w:szCs w:val="22"/>
        </w:rPr>
        <w:t>terminal station</w:t>
      </w:r>
      <w:r w:rsidR="008E55E5" w:rsidRPr="00AB306E">
        <w:rPr>
          <w:rFonts w:ascii="Arial" w:hAnsi="Arial" w:cs="Arial"/>
          <w:sz w:val="22"/>
          <w:szCs w:val="22"/>
        </w:rPr>
        <w:t xml:space="preserve"> </w:t>
      </w:r>
      <w:r w:rsidR="00E2190E" w:rsidRPr="00AB306E">
        <w:rPr>
          <w:rFonts w:ascii="Arial" w:hAnsi="Arial" w:cs="Arial"/>
          <w:sz w:val="22"/>
          <w:szCs w:val="22"/>
        </w:rPr>
        <w:t>BEM</w:t>
      </w:r>
      <w:r w:rsidRPr="00AB306E">
        <w:rPr>
          <w:rFonts w:ascii="Arial" w:hAnsi="Arial" w:cs="Arial"/>
          <w:sz w:val="22"/>
          <w:szCs w:val="22"/>
        </w:rPr>
        <w:t xml:space="preserve"> </w:t>
      </w:r>
      <w:r w:rsidR="00AB2567" w:rsidRPr="00AB306E">
        <w:rPr>
          <w:rFonts w:ascii="Arial" w:hAnsi="Arial" w:cs="Arial"/>
          <w:sz w:val="22"/>
          <w:szCs w:val="22"/>
        </w:rPr>
        <w:t xml:space="preserve">are </w:t>
      </w:r>
      <w:r w:rsidR="008E55E5" w:rsidRPr="00AB306E">
        <w:rPr>
          <w:rFonts w:ascii="Arial" w:hAnsi="Arial" w:cs="Arial"/>
          <w:sz w:val="22"/>
          <w:szCs w:val="22"/>
        </w:rPr>
        <w:t xml:space="preserve">also </w:t>
      </w:r>
      <w:r w:rsidR="00AB2567" w:rsidRPr="00AB306E">
        <w:rPr>
          <w:rFonts w:ascii="Arial" w:hAnsi="Arial" w:cs="Arial"/>
          <w:sz w:val="22"/>
          <w:szCs w:val="22"/>
        </w:rPr>
        <w:t>specified for</w:t>
      </w:r>
      <w:r w:rsidRPr="00AB306E">
        <w:rPr>
          <w:rFonts w:ascii="Arial" w:hAnsi="Arial" w:cs="Arial"/>
          <w:sz w:val="22"/>
          <w:szCs w:val="22"/>
        </w:rPr>
        <w:t xml:space="preserve"> two 5</w:t>
      </w:r>
      <w:r w:rsidR="00DF6BA3">
        <w:rPr>
          <w:rFonts w:ascii="Arial" w:hAnsi="Arial" w:cs="Arial"/>
          <w:sz w:val="22"/>
          <w:szCs w:val="22"/>
        </w:rPr>
        <w:t xml:space="preserve"> </w:t>
      </w:r>
      <w:r w:rsidR="00E33BDB" w:rsidRPr="00AB306E">
        <w:rPr>
          <w:rFonts w:ascii="Arial" w:hAnsi="Arial" w:cs="Arial"/>
          <w:sz w:val="22"/>
          <w:szCs w:val="22"/>
        </w:rPr>
        <w:t>MHz</w:t>
      </w:r>
      <w:r w:rsidRPr="00AB306E">
        <w:rPr>
          <w:rFonts w:ascii="Arial" w:hAnsi="Arial" w:cs="Arial"/>
          <w:sz w:val="22"/>
          <w:szCs w:val="22"/>
        </w:rPr>
        <w:t xml:space="preserve"> blocks on both sides of the licence band</w:t>
      </w:r>
      <w:r w:rsidR="008E55E5" w:rsidRPr="00AB306E">
        <w:rPr>
          <w:rFonts w:ascii="Arial" w:hAnsi="Arial" w:cs="Arial"/>
          <w:sz w:val="22"/>
          <w:szCs w:val="22"/>
        </w:rPr>
        <w:t xml:space="preserve"> or block</w:t>
      </w:r>
      <w:r w:rsidRPr="00AB306E">
        <w:rPr>
          <w:rFonts w:ascii="Arial" w:hAnsi="Arial" w:cs="Arial"/>
          <w:sz w:val="22"/>
          <w:szCs w:val="22"/>
        </w:rPr>
        <w:t>.</w:t>
      </w:r>
      <w:r w:rsidR="00285262" w:rsidRPr="00AB306E">
        <w:rPr>
          <w:rFonts w:ascii="Arial" w:hAnsi="Arial" w:cs="Arial"/>
          <w:sz w:val="22"/>
          <w:szCs w:val="22"/>
        </w:rPr>
        <w:t xml:space="preserve"> </w:t>
      </w:r>
      <w:r w:rsidR="00612EBF" w:rsidRPr="00AB306E">
        <w:rPr>
          <w:rFonts w:ascii="Arial" w:hAnsi="Arial" w:cs="Arial"/>
          <w:sz w:val="22"/>
          <w:szCs w:val="22"/>
        </w:rPr>
        <w:t xml:space="preserve">The </w:t>
      </w:r>
      <w:r w:rsidRPr="00AB306E">
        <w:rPr>
          <w:rFonts w:ascii="Arial" w:hAnsi="Arial" w:cs="Arial"/>
          <w:sz w:val="22"/>
          <w:szCs w:val="22"/>
        </w:rPr>
        <w:t xml:space="preserve">first </w:t>
      </w:r>
      <w:r w:rsidR="00AB2567" w:rsidRPr="00AB306E">
        <w:rPr>
          <w:rFonts w:ascii="Arial" w:hAnsi="Arial" w:cs="Arial"/>
          <w:sz w:val="22"/>
          <w:szCs w:val="22"/>
        </w:rPr>
        <w:t>5</w:t>
      </w:r>
      <w:r w:rsidR="00DF6BA3">
        <w:rPr>
          <w:rFonts w:ascii="Arial" w:hAnsi="Arial" w:cs="Arial"/>
          <w:sz w:val="22"/>
          <w:szCs w:val="22"/>
        </w:rPr>
        <w:t xml:space="preserve"> </w:t>
      </w:r>
      <w:r w:rsidR="00E33BDB" w:rsidRPr="00AB306E">
        <w:rPr>
          <w:rFonts w:ascii="Arial" w:hAnsi="Arial" w:cs="Arial"/>
          <w:sz w:val="22"/>
          <w:szCs w:val="22"/>
        </w:rPr>
        <w:t>MHz</w:t>
      </w:r>
      <w:r w:rsidR="00AB2567" w:rsidRPr="00AB306E">
        <w:rPr>
          <w:rFonts w:ascii="Arial" w:hAnsi="Arial" w:cs="Arial"/>
          <w:sz w:val="22"/>
          <w:szCs w:val="22"/>
        </w:rPr>
        <w:t xml:space="preserve"> </w:t>
      </w:r>
      <w:r w:rsidRPr="00AB306E">
        <w:rPr>
          <w:rFonts w:ascii="Arial" w:hAnsi="Arial" w:cs="Arial"/>
          <w:sz w:val="22"/>
          <w:szCs w:val="22"/>
        </w:rPr>
        <w:t>block on either side of the licence has a maximum level of +1.6</w:t>
      </w:r>
      <w:r w:rsidR="00E33BDB" w:rsidRPr="00AB306E">
        <w:rPr>
          <w:rFonts w:ascii="Arial" w:hAnsi="Arial" w:cs="Arial"/>
          <w:sz w:val="22"/>
          <w:szCs w:val="22"/>
        </w:rPr>
        <w:t>dB</w:t>
      </w:r>
      <w:r w:rsidRPr="00AB306E">
        <w:rPr>
          <w:rFonts w:ascii="Arial" w:hAnsi="Arial" w:cs="Arial"/>
          <w:sz w:val="22"/>
          <w:szCs w:val="22"/>
        </w:rPr>
        <w:t>m/5MHz</w:t>
      </w:r>
      <w:r w:rsidR="008E55E5" w:rsidRPr="00AB306E">
        <w:rPr>
          <w:rFonts w:ascii="Arial" w:hAnsi="Arial" w:cs="Arial"/>
          <w:sz w:val="22"/>
          <w:szCs w:val="22"/>
        </w:rPr>
        <w:t xml:space="preserve"> </w:t>
      </w:r>
      <w:r w:rsidRPr="00AB306E">
        <w:rPr>
          <w:rFonts w:ascii="Arial" w:hAnsi="Arial" w:cs="Arial"/>
          <w:sz w:val="22"/>
          <w:szCs w:val="22"/>
        </w:rPr>
        <w:t xml:space="preserve">and </w:t>
      </w:r>
      <w:r w:rsidR="00AB2567" w:rsidRPr="00AB306E">
        <w:rPr>
          <w:rFonts w:ascii="Arial" w:hAnsi="Arial" w:cs="Arial"/>
          <w:sz w:val="22"/>
          <w:szCs w:val="22"/>
        </w:rPr>
        <w:t xml:space="preserve">in </w:t>
      </w:r>
      <w:r w:rsidRPr="00AB306E">
        <w:rPr>
          <w:rFonts w:ascii="Arial" w:hAnsi="Arial" w:cs="Arial"/>
          <w:sz w:val="22"/>
          <w:szCs w:val="22"/>
        </w:rPr>
        <w:t>the outer blocks either side of the licensed band a level of -</w:t>
      </w:r>
      <w:r w:rsidR="008E55E5" w:rsidRPr="00AB306E">
        <w:rPr>
          <w:rFonts w:ascii="Arial" w:hAnsi="Arial" w:cs="Arial"/>
          <w:sz w:val="22"/>
          <w:szCs w:val="22"/>
        </w:rPr>
        <w:t>6</w:t>
      </w:r>
      <w:r w:rsidR="00E33BDB" w:rsidRPr="00AB306E">
        <w:rPr>
          <w:rFonts w:ascii="Arial" w:hAnsi="Arial" w:cs="Arial"/>
          <w:sz w:val="22"/>
          <w:szCs w:val="22"/>
        </w:rPr>
        <w:t>dB</w:t>
      </w:r>
      <w:r w:rsidRPr="00AB306E">
        <w:rPr>
          <w:rFonts w:ascii="Arial" w:hAnsi="Arial" w:cs="Arial"/>
          <w:sz w:val="22"/>
          <w:szCs w:val="22"/>
        </w:rPr>
        <w:t>m/5MHz.</w:t>
      </w:r>
    </w:p>
    <w:p w:rsidR="00F20698" w:rsidRPr="00AB306E" w:rsidRDefault="00F20698" w:rsidP="00AB306E">
      <w:pPr>
        <w:rPr>
          <w:rFonts w:ascii="Arial" w:hAnsi="Arial" w:cs="Arial"/>
          <w:sz w:val="22"/>
          <w:szCs w:val="22"/>
        </w:rPr>
      </w:pPr>
    </w:p>
    <w:p w:rsidR="00DB2D16" w:rsidRPr="00AB306E" w:rsidRDefault="00937A36" w:rsidP="00AB306E">
      <w:pPr>
        <w:rPr>
          <w:rFonts w:ascii="Arial" w:hAnsi="Arial" w:cs="Arial"/>
          <w:sz w:val="22"/>
          <w:szCs w:val="22"/>
        </w:rPr>
      </w:pPr>
      <w:r w:rsidRPr="00AB306E">
        <w:rPr>
          <w:rFonts w:ascii="Arial" w:hAnsi="Arial" w:cs="Arial"/>
          <w:sz w:val="22"/>
          <w:szCs w:val="22"/>
        </w:rPr>
        <w:t>The European arrangements adopt</w:t>
      </w:r>
      <w:r w:rsidR="00612EBF" w:rsidRPr="00AB306E">
        <w:rPr>
          <w:rFonts w:ascii="Arial" w:hAnsi="Arial" w:cs="Arial"/>
          <w:sz w:val="22"/>
          <w:szCs w:val="22"/>
        </w:rPr>
        <w:t>ed</w:t>
      </w:r>
      <w:r w:rsidRPr="00AB306E">
        <w:rPr>
          <w:rFonts w:ascii="Arial" w:hAnsi="Arial" w:cs="Arial"/>
          <w:sz w:val="22"/>
          <w:szCs w:val="22"/>
        </w:rPr>
        <w:t xml:space="preserve"> reverse duplex arrangement</w:t>
      </w:r>
      <w:r w:rsidR="00612EBF" w:rsidRPr="00AB306E">
        <w:rPr>
          <w:rFonts w:ascii="Arial" w:hAnsi="Arial" w:cs="Arial"/>
          <w:sz w:val="22"/>
          <w:szCs w:val="22"/>
        </w:rPr>
        <w:t>s</w:t>
      </w:r>
      <w:r w:rsidRPr="00AB306E">
        <w:rPr>
          <w:rFonts w:ascii="Arial" w:hAnsi="Arial" w:cs="Arial"/>
          <w:sz w:val="22"/>
          <w:szCs w:val="22"/>
        </w:rPr>
        <w:t xml:space="preserve"> where the downlink or base station transmit band is adjacent to the television broadcast band.</w:t>
      </w:r>
      <w:r w:rsidR="00285262" w:rsidRPr="00AB306E">
        <w:rPr>
          <w:rFonts w:ascii="Arial" w:hAnsi="Arial" w:cs="Arial"/>
          <w:sz w:val="22"/>
          <w:szCs w:val="22"/>
        </w:rPr>
        <w:t xml:space="preserve"> </w:t>
      </w:r>
      <w:r w:rsidR="00DB2D16" w:rsidRPr="00AB306E">
        <w:rPr>
          <w:rFonts w:ascii="Arial" w:hAnsi="Arial" w:cs="Arial"/>
          <w:sz w:val="22"/>
          <w:szCs w:val="22"/>
        </w:rPr>
        <w:t xml:space="preserve">These </w:t>
      </w:r>
      <w:r w:rsidR="00E2190E" w:rsidRPr="00AB306E">
        <w:rPr>
          <w:rFonts w:ascii="Arial" w:hAnsi="Arial" w:cs="Arial"/>
          <w:sz w:val="22"/>
          <w:szCs w:val="22"/>
        </w:rPr>
        <w:t>BEM</w:t>
      </w:r>
      <w:r w:rsidR="00DB2D16" w:rsidRPr="00AB306E">
        <w:rPr>
          <w:rFonts w:ascii="Arial" w:hAnsi="Arial" w:cs="Arial"/>
          <w:sz w:val="22"/>
          <w:szCs w:val="22"/>
        </w:rPr>
        <w:t xml:space="preserve"> emission limits are subject to addition</w:t>
      </w:r>
      <w:r w:rsidR="002F0915" w:rsidRPr="00AB306E">
        <w:rPr>
          <w:rFonts w:ascii="Arial" w:hAnsi="Arial" w:cs="Arial"/>
          <w:sz w:val="22"/>
          <w:szCs w:val="22"/>
        </w:rPr>
        <w:t>al</w:t>
      </w:r>
      <w:r w:rsidR="00DB2D16" w:rsidRPr="00AB306E">
        <w:rPr>
          <w:rFonts w:ascii="Arial" w:hAnsi="Arial" w:cs="Arial"/>
          <w:sz w:val="22"/>
          <w:szCs w:val="22"/>
        </w:rPr>
        <w:t xml:space="preserve"> limitations.</w:t>
      </w:r>
      <w:r w:rsidR="00285262" w:rsidRPr="00AB306E">
        <w:rPr>
          <w:rFonts w:ascii="Arial" w:hAnsi="Arial" w:cs="Arial"/>
          <w:sz w:val="22"/>
          <w:szCs w:val="22"/>
        </w:rPr>
        <w:t xml:space="preserve"> </w:t>
      </w:r>
      <w:r w:rsidR="00EB26BC" w:rsidRPr="00AB306E">
        <w:rPr>
          <w:rFonts w:ascii="Arial" w:hAnsi="Arial" w:cs="Arial"/>
          <w:sz w:val="22"/>
          <w:szCs w:val="22"/>
        </w:rPr>
        <w:t>Base station e</w:t>
      </w:r>
      <w:r w:rsidR="00DB2D16" w:rsidRPr="00AB306E">
        <w:rPr>
          <w:rFonts w:ascii="Arial" w:hAnsi="Arial" w:cs="Arial"/>
          <w:sz w:val="22"/>
          <w:szCs w:val="22"/>
        </w:rPr>
        <w:t>mission</w:t>
      </w:r>
      <w:r w:rsidR="00515FC2" w:rsidRPr="00AB306E">
        <w:rPr>
          <w:rFonts w:ascii="Arial" w:hAnsi="Arial" w:cs="Arial"/>
          <w:sz w:val="22"/>
          <w:szCs w:val="22"/>
        </w:rPr>
        <w:t xml:space="preserve">s in the guard band (between </w:t>
      </w:r>
      <w:r w:rsidR="00DB2D16" w:rsidRPr="00AB306E">
        <w:rPr>
          <w:rFonts w:ascii="Arial" w:hAnsi="Arial" w:cs="Arial"/>
          <w:sz w:val="22"/>
          <w:szCs w:val="22"/>
        </w:rPr>
        <w:t xml:space="preserve">broadcasting </w:t>
      </w:r>
      <w:r w:rsidR="00515FC2" w:rsidRPr="00AB306E">
        <w:rPr>
          <w:rFonts w:ascii="Arial" w:hAnsi="Arial" w:cs="Arial"/>
          <w:sz w:val="22"/>
          <w:szCs w:val="22"/>
        </w:rPr>
        <w:t>and</w:t>
      </w:r>
      <w:r w:rsidR="00DB2D16" w:rsidRPr="00AB306E">
        <w:rPr>
          <w:rFonts w:ascii="Arial" w:hAnsi="Arial" w:cs="Arial"/>
          <w:sz w:val="22"/>
          <w:szCs w:val="22"/>
        </w:rPr>
        <w:t xml:space="preserve"> downlink</w:t>
      </w:r>
      <w:r w:rsidR="00515FC2" w:rsidRPr="00AB306E">
        <w:rPr>
          <w:rFonts w:ascii="Arial" w:hAnsi="Arial" w:cs="Arial"/>
          <w:sz w:val="22"/>
          <w:szCs w:val="22"/>
        </w:rPr>
        <w:t>)</w:t>
      </w:r>
      <w:r w:rsidR="00DB2D16" w:rsidRPr="00AB306E">
        <w:rPr>
          <w:rFonts w:ascii="Arial" w:hAnsi="Arial" w:cs="Arial"/>
          <w:sz w:val="22"/>
          <w:szCs w:val="22"/>
        </w:rPr>
        <w:t xml:space="preserve"> </w:t>
      </w:r>
      <w:r w:rsidR="00EB26BC" w:rsidRPr="00AB306E">
        <w:rPr>
          <w:rFonts w:ascii="Arial" w:hAnsi="Arial" w:cs="Arial"/>
          <w:sz w:val="22"/>
          <w:szCs w:val="22"/>
        </w:rPr>
        <w:t>are limited to</w:t>
      </w:r>
      <w:r w:rsidR="00FC1F98" w:rsidRPr="00AB306E">
        <w:rPr>
          <w:rFonts w:ascii="Arial" w:hAnsi="Arial" w:cs="Arial"/>
          <w:sz w:val="22"/>
          <w:szCs w:val="22"/>
        </w:rPr>
        <w:t xml:space="preserve"> </w:t>
      </w:r>
      <w:r w:rsidR="00DB2D16" w:rsidRPr="00AB306E">
        <w:rPr>
          <w:rFonts w:ascii="Arial" w:hAnsi="Arial" w:cs="Arial"/>
          <w:sz w:val="22"/>
          <w:szCs w:val="22"/>
        </w:rPr>
        <w:t>17.4</w:t>
      </w:r>
      <w:r w:rsidR="00E33BDB" w:rsidRPr="00AB306E">
        <w:rPr>
          <w:rFonts w:ascii="Arial" w:hAnsi="Arial" w:cs="Arial"/>
          <w:sz w:val="22"/>
          <w:szCs w:val="22"/>
        </w:rPr>
        <w:t>dB</w:t>
      </w:r>
      <w:r w:rsidR="00DB2D16" w:rsidRPr="00AB306E">
        <w:rPr>
          <w:rFonts w:ascii="Arial" w:hAnsi="Arial" w:cs="Arial"/>
          <w:sz w:val="22"/>
          <w:szCs w:val="22"/>
        </w:rPr>
        <w:t>m/MHz.</w:t>
      </w:r>
      <w:r w:rsidR="00285262" w:rsidRPr="00AB306E">
        <w:rPr>
          <w:rFonts w:ascii="Arial" w:hAnsi="Arial" w:cs="Arial"/>
          <w:sz w:val="22"/>
          <w:szCs w:val="22"/>
        </w:rPr>
        <w:t xml:space="preserve"> </w:t>
      </w:r>
    </w:p>
    <w:p w:rsidR="00A4193A" w:rsidRPr="00AB306E" w:rsidRDefault="00A4193A" w:rsidP="00AB306E">
      <w:pPr>
        <w:rPr>
          <w:rFonts w:ascii="Arial" w:hAnsi="Arial" w:cs="Arial"/>
          <w:sz w:val="22"/>
          <w:szCs w:val="22"/>
        </w:rPr>
      </w:pPr>
    </w:p>
    <w:p w:rsidR="00F20698" w:rsidRPr="00AB306E" w:rsidRDefault="008E55E5" w:rsidP="00AB306E">
      <w:pPr>
        <w:rPr>
          <w:rFonts w:ascii="Arial" w:hAnsi="Arial" w:cs="Arial"/>
          <w:sz w:val="22"/>
          <w:szCs w:val="22"/>
        </w:rPr>
      </w:pPr>
      <w:r w:rsidRPr="00AB306E">
        <w:rPr>
          <w:rFonts w:ascii="Arial" w:hAnsi="Arial" w:cs="Arial"/>
          <w:sz w:val="22"/>
          <w:szCs w:val="22"/>
        </w:rPr>
        <w:t>Emissions</w:t>
      </w:r>
      <w:r w:rsidR="005F7A8F" w:rsidRPr="00AB306E">
        <w:rPr>
          <w:rFonts w:ascii="Arial" w:hAnsi="Arial" w:cs="Arial"/>
          <w:sz w:val="22"/>
          <w:szCs w:val="22"/>
        </w:rPr>
        <w:t xml:space="preserve"> from a base station which fall </w:t>
      </w:r>
      <w:r w:rsidRPr="00AB306E">
        <w:rPr>
          <w:rFonts w:ascii="Arial" w:hAnsi="Arial" w:cs="Arial"/>
          <w:sz w:val="22"/>
          <w:szCs w:val="22"/>
        </w:rPr>
        <w:t>in</w:t>
      </w:r>
      <w:r w:rsidR="005F7A8F" w:rsidRPr="00AB306E">
        <w:rPr>
          <w:rFonts w:ascii="Arial" w:hAnsi="Arial" w:cs="Arial"/>
          <w:sz w:val="22"/>
          <w:szCs w:val="22"/>
        </w:rPr>
        <w:t>to</w:t>
      </w:r>
      <w:r w:rsidRPr="00AB306E">
        <w:rPr>
          <w:rFonts w:ascii="Arial" w:hAnsi="Arial" w:cs="Arial"/>
          <w:sz w:val="22"/>
          <w:szCs w:val="22"/>
        </w:rPr>
        <w:t xml:space="preserve"> the adjacent spectrum used by broadcasting</w:t>
      </w:r>
      <w:r w:rsidR="001E218A" w:rsidRPr="00AB306E">
        <w:rPr>
          <w:rFonts w:ascii="Arial" w:hAnsi="Arial" w:cs="Arial"/>
          <w:sz w:val="22"/>
          <w:szCs w:val="22"/>
        </w:rPr>
        <w:t xml:space="preserve"> </w:t>
      </w:r>
      <w:r w:rsidR="00F20698" w:rsidRPr="00AB306E">
        <w:rPr>
          <w:rFonts w:ascii="Arial" w:hAnsi="Arial" w:cs="Arial"/>
          <w:sz w:val="22"/>
          <w:szCs w:val="22"/>
        </w:rPr>
        <w:t>are broken down into three cases depending on the level of protection given to the broadcasting service</w:t>
      </w:r>
      <w:r w:rsidR="00465CD5" w:rsidRPr="00AB306E">
        <w:rPr>
          <w:rFonts w:ascii="Arial" w:hAnsi="Arial" w:cs="Arial"/>
          <w:sz w:val="22"/>
          <w:szCs w:val="22"/>
        </w:rPr>
        <w:t xml:space="preserve"> and </w:t>
      </w:r>
      <w:r w:rsidR="005F7A8F" w:rsidRPr="00AB306E">
        <w:rPr>
          <w:rFonts w:ascii="Arial" w:hAnsi="Arial" w:cs="Arial"/>
          <w:sz w:val="22"/>
          <w:szCs w:val="22"/>
        </w:rPr>
        <w:t xml:space="preserve">the </w:t>
      </w:r>
      <w:r w:rsidR="009E27F9" w:rsidRPr="00AB306E">
        <w:rPr>
          <w:rFonts w:ascii="Arial" w:hAnsi="Arial" w:cs="Arial"/>
          <w:sz w:val="22"/>
          <w:szCs w:val="22"/>
        </w:rPr>
        <w:t>EIRP</w:t>
      </w:r>
      <w:r w:rsidR="005F7A8F" w:rsidRPr="00AB306E">
        <w:rPr>
          <w:rFonts w:ascii="Arial" w:hAnsi="Arial" w:cs="Arial"/>
          <w:sz w:val="22"/>
          <w:szCs w:val="22"/>
        </w:rPr>
        <w:t xml:space="preserve"> </w:t>
      </w:r>
      <w:r w:rsidR="00465CD5" w:rsidRPr="00AB306E">
        <w:rPr>
          <w:rFonts w:ascii="Arial" w:hAnsi="Arial" w:cs="Arial"/>
          <w:sz w:val="22"/>
          <w:szCs w:val="22"/>
        </w:rPr>
        <w:t xml:space="preserve">of the </w:t>
      </w:r>
      <w:r w:rsidR="003864EE" w:rsidRPr="00AB306E">
        <w:rPr>
          <w:rFonts w:ascii="Arial" w:hAnsi="Arial" w:cs="Arial"/>
          <w:sz w:val="22"/>
          <w:szCs w:val="22"/>
        </w:rPr>
        <w:t>base station</w:t>
      </w:r>
      <w:r w:rsidR="00465CD5" w:rsidRPr="00AB306E">
        <w:rPr>
          <w:rFonts w:ascii="Arial" w:hAnsi="Arial" w:cs="Arial"/>
          <w:sz w:val="22"/>
          <w:szCs w:val="22"/>
        </w:rPr>
        <w:t xml:space="preserve"> transmitter</w:t>
      </w:r>
      <w:r w:rsidR="00F20698" w:rsidRPr="00AB306E">
        <w:rPr>
          <w:rFonts w:ascii="Arial" w:hAnsi="Arial" w:cs="Arial"/>
          <w:sz w:val="22"/>
          <w:szCs w:val="22"/>
        </w:rPr>
        <w:t>.</w:t>
      </w:r>
    </w:p>
    <w:p w:rsidR="00465CD5" w:rsidRPr="00AB306E" w:rsidRDefault="00465CD5" w:rsidP="00AB306E">
      <w:pPr>
        <w:rPr>
          <w:rFonts w:ascii="Arial" w:hAnsi="Arial" w:cs="Arial"/>
          <w:sz w:val="22"/>
          <w:szCs w:val="22"/>
        </w:rPr>
      </w:pPr>
    </w:p>
    <w:tbl>
      <w:tblPr>
        <w:tblStyle w:val="TableGrid"/>
        <w:tblW w:w="8330" w:type="dxa"/>
        <w:tblLook w:val="04A0"/>
      </w:tblPr>
      <w:tblGrid>
        <w:gridCol w:w="2838"/>
        <w:gridCol w:w="5492"/>
      </w:tblGrid>
      <w:tr w:rsidR="00515FC2" w:rsidRPr="00AB306E" w:rsidTr="00D93D73">
        <w:tc>
          <w:tcPr>
            <w:tcW w:w="8330" w:type="dxa"/>
            <w:gridSpan w:val="2"/>
          </w:tcPr>
          <w:p w:rsidR="00515FC2" w:rsidRPr="00AB306E" w:rsidRDefault="00515FC2" w:rsidP="00515FC2">
            <w:pPr>
              <w:ind w:left="851" w:hanging="851"/>
              <w:rPr>
                <w:rFonts w:ascii="Arial" w:hAnsi="Arial" w:cs="Arial"/>
                <w:b/>
              </w:rPr>
            </w:pPr>
            <w:r w:rsidRPr="00AB306E">
              <w:rPr>
                <w:rFonts w:ascii="Arial" w:hAnsi="Arial" w:cs="Arial"/>
                <w:b/>
              </w:rPr>
              <w:t>Case A: Within a protected broadcasting channel:</w:t>
            </w:r>
          </w:p>
        </w:tc>
      </w:tr>
      <w:tr w:rsidR="00871500" w:rsidRPr="00AB306E" w:rsidTr="00D93D73">
        <w:tc>
          <w:tcPr>
            <w:tcW w:w="2838" w:type="dxa"/>
            <w:shd w:val="clear" w:color="auto" w:fill="D9D9D9" w:themeFill="background1" w:themeFillShade="D9"/>
          </w:tcPr>
          <w:p w:rsidR="00871500" w:rsidRPr="00AB306E" w:rsidRDefault="00871500" w:rsidP="00515FC2">
            <w:pPr>
              <w:rPr>
                <w:rFonts w:ascii="Arial" w:hAnsi="Arial" w:cs="Arial"/>
              </w:rPr>
            </w:pPr>
            <w:r w:rsidRPr="00AB306E">
              <w:rPr>
                <w:rFonts w:ascii="Arial" w:hAnsi="Arial" w:cs="Arial"/>
              </w:rPr>
              <w:t>WAS Tx power (P)</w:t>
            </w:r>
          </w:p>
        </w:tc>
        <w:tc>
          <w:tcPr>
            <w:tcW w:w="5492" w:type="dxa"/>
            <w:shd w:val="clear" w:color="auto" w:fill="D9D9D9" w:themeFill="background1" w:themeFillShade="D9"/>
          </w:tcPr>
          <w:p w:rsidR="00871500" w:rsidRPr="00AB306E" w:rsidRDefault="00871500" w:rsidP="00515FC2">
            <w:pPr>
              <w:rPr>
                <w:rFonts w:ascii="Arial" w:hAnsi="Arial" w:cs="Arial"/>
              </w:rPr>
            </w:pPr>
            <w:r w:rsidRPr="00AB306E">
              <w:rPr>
                <w:rFonts w:ascii="Arial" w:hAnsi="Arial" w:cs="Arial"/>
              </w:rPr>
              <w:t>Required out-of-band level within broadcast channel</w:t>
            </w:r>
          </w:p>
        </w:tc>
      </w:tr>
      <w:tr w:rsidR="00871500" w:rsidRPr="00AB306E" w:rsidTr="00D93D73">
        <w:tc>
          <w:tcPr>
            <w:tcW w:w="2838" w:type="dxa"/>
          </w:tcPr>
          <w:p w:rsidR="00871500" w:rsidRPr="00AB306E" w:rsidRDefault="00871500" w:rsidP="00515FC2">
            <w:pPr>
              <w:rPr>
                <w:rFonts w:ascii="Arial" w:hAnsi="Arial" w:cs="Arial"/>
              </w:rPr>
            </w:pPr>
            <w:r w:rsidRPr="00AB306E">
              <w:rPr>
                <w:rFonts w:ascii="Arial" w:hAnsi="Arial" w:cs="Arial"/>
              </w:rPr>
              <w:t>P</w:t>
            </w:r>
            <w:r w:rsidR="009E27F9" w:rsidRPr="00AB306E">
              <w:rPr>
                <w:rFonts w:ascii="Arial" w:hAnsi="Arial" w:cs="Arial"/>
              </w:rPr>
              <w:t xml:space="preserve"> </w:t>
            </w:r>
            <w:r w:rsidRPr="00AB306E">
              <w:rPr>
                <w:rFonts w:ascii="Arial" w:hAnsi="Arial" w:cs="Arial"/>
                <w:u w:val="single"/>
              </w:rPr>
              <w:t>&gt;</w:t>
            </w:r>
            <w:r w:rsidR="009E27F9" w:rsidRPr="00AB306E">
              <w:rPr>
                <w:rFonts w:ascii="Arial" w:hAnsi="Arial" w:cs="Arial"/>
                <w:u w:val="single"/>
              </w:rPr>
              <w:t xml:space="preserve"> </w:t>
            </w:r>
            <w:r w:rsidRPr="00AB306E">
              <w:rPr>
                <w:rFonts w:ascii="Arial" w:hAnsi="Arial" w:cs="Arial"/>
              </w:rPr>
              <w:t>59</w:t>
            </w:r>
            <w:r w:rsidR="00E33BDB" w:rsidRPr="00AB306E">
              <w:rPr>
                <w:rFonts w:ascii="Arial" w:hAnsi="Arial" w:cs="Arial"/>
              </w:rPr>
              <w:t>dB</w:t>
            </w:r>
            <w:r w:rsidRPr="00AB306E">
              <w:rPr>
                <w:rFonts w:ascii="Arial" w:hAnsi="Arial" w:cs="Arial"/>
              </w:rPr>
              <w:t>m</w:t>
            </w:r>
            <w:r w:rsidR="009E27F9" w:rsidRPr="00AB306E">
              <w:rPr>
                <w:rFonts w:ascii="Arial" w:hAnsi="Arial" w:cs="Arial"/>
              </w:rPr>
              <w:t>/10MHz</w:t>
            </w:r>
          </w:p>
        </w:tc>
        <w:tc>
          <w:tcPr>
            <w:tcW w:w="5492" w:type="dxa"/>
          </w:tcPr>
          <w:p w:rsidR="00871500" w:rsidRPr="00AB306E" w:rsidRDefault="00871500" w:rsidP="001D1DE9">
            <w:pPr>
              <w:rPr>
                <w:rFonts w:ascii="Arial" w:hAnsi="Arial" w:cs="Arial"/>
              </w:rPr>
            </w:pPr>
            <w:r w:rsidRPr="00AB306E">
              <w:rPr>
                <w:rFonts w:ascii="Arial" w:hAnsi="Arial" w:cs="Arial"/>
              </w:rPr>
              <w:t>0</w:t>
            </w:r>
            <w:r w:rsidR="00E33BDB" w:rsidRPr="00AB306E">
              <w:rPr>
                <w:rFonts w:ascii="Arial" w:hAnsi="Arial" w:cs="Arial"/>
              </w:rPr>
              <w:t>dB</w:t>
            </w:r>
            <w:r w:rsidRPr="00AB306E">
              <w:rPr>
                <w:rFonts w:ascii="Arial" w:hAnsi="Arial" w:cs="Arial"/>
              </w:rPr>
              <w:t>m/8MHz (-9</w:t>
            </w:r>
            <w:r w:rsidR="00E33BDB" w:rsidRPr="00AB306E">
              <w:rPr>
                <w:rFonts w:ascii="Arial" w:hAnsi="Arial" w:cs="Arial"/>
              </w:rPr>
              <w:t>dB</w:t>
            </w:r>
            <w:r w:rsidR="001D1DE9" w:rsidRPr="00AB306E">
              <w:rPr>
                <w:rFonts w:ascii="Arial" w:hAnsi="Arial" w:cs="Arial"/>
              </w:rPr>
              <w:t xml:space="preserve">m/MHz or </w:t>
            </w:r>
            <w:r w:rsidR="001D1DE9" w:rsidRPr="00AB306E">
              <w:rPr>
                <w:rFonts w:ascii="Arial" w:hAnsi="Arial" w:cs="Arial"/>
              </w:rPr>
              <w:noBreakHyphen/>
              <w:t>24.2</w:t>
            </w:r>
            <w:r w:rsidR="00E33BDB" w:rsidRPr="00AB306E">
              <w:rPr>
                <w:rFonts w:ascii="Arial" w:hAnsi="Arial" w:cs="Arial"/>
              </w:rPr>
              <w:t>dB</w:t>
            </w:r>
            <w:r w:rsidRPr="00AB306E">
              <w:rPr>
                <w:rFonts w:ascii="Arial" w:hAnsi="Arial" w:cs="Arial"/>
              </w:rPr>
              <w:t>m/30kHz)</w:t>
            </w:r>
          </w:p>
        </w:tc>
      </w:tr>
      <w:tr w:rsidR="00871500" w:rsidRPr="00AB306E" w:rsidTr="00D93D73">
        <w:tc>
          <w:tcPr>
            <w:tcW w:w="2838" w:type="dxa"/>
          </w:tcPr>
          <w:p w:rsidR="00871500" w:rsidRPr="00AB306E" w:rsidRDefault="009E27F9" w:rsidP="00515FC2">
            <w:pPr>
              <w:rPr>
                <w:rFonts w:ascii="Arial" w:hAnsi="Arial" w:cs="Arial"/>
              </w:rPr>
            </w:pPr>
            <w:r w:rsidRPr="00AB306E">
              <w:rPr>
                <w:rFonts w:ascii="Arial" w:hAnsi="Arial" w:cs="Arial"/>
              </w:rPr>
              <w:t xml:space="preserve">36 </w:t>
            </w:r>
            <w:r w:rsidR="00871500" w:rsidRPr="00AB306E">
              <w:rPr>
                <w:rFonts w:ascii="Arial" w:hAnsi="Arial" w:cs="Arial"/>
                <w:u w:val="single"/>
              </w:rPr>
              <w:t>&lt;</w:t>
            </w:r>
            <w:r w:rsidRPr="00AB306E">
              <w:rPr>
                <w:rFonts w:ascii="Arial" w:hAnsi="Arial" w:cs="Arial"/>
                <w:u w:val="single"/>
              </w:rPr>
              <w:t xml:space="preserve"> </w:t>
            </w:r>
            <w:r w:rsidR="00871500" w:rsidRPr="00AB306E">
              <w:rPr>
                <w:rFonts w:ascii="Arial" w:hAnsi="Arial" w:cs="Arial"/>
              </w:rPr>
              <w:t>P</w:t>
            </w:r>
            <w:r w:rsidRPr="00AB306E">
              <w:rPr>
                <w:rFonts w:ascii="Arial" w:hAnsi="Arial" w:cs="Arial"/>
              </w:rPr>
              <w:t xml:space="preserve"> </w:t>
            </w:r>
            <w:r w:rsidR="00871500" w:rsidRPr="00AB306E">
              <w:rPr>
                <w:rFonts w:ascii="Arial" w:hAnsi="Arial" w:cs="Arial"/>
              </w:rPr>
              <w:t>&lt;</w:t>
            </w:r>
            <w:r w:rsidRPr="00AB306E">
              <w:rPr>
                <w:rFonts w:ascii="Arial" w:hAnsi="Arial" w:cs="Arial"/>
              </w:rPr>
              <w:t xml:space="preserve"> </w:t>
            </w:r>
            <w:r w:rsidR="00871500" w:rsidRPr="00AB306E">
              <w:rPr>
                <w:rFonts w:ascii="Arial" w:hAnsi="Arial" w:cs="Arial"/>
              </w:rPr>
              <w:t>59</w:t>
            </w:r>
            <w:r w:rsidR="00E33BDB" w:rsidRPr="00AB306E">
              <w:rPr>
                <w:rFonts w:ascii="Arial" w:hAnsi="Arial" w:cs="Arial"/>
              </w:rPr>
              <w:t>dB</w:t>
            </w:r>
            <w:r w:rsidR="00871500" w:rsidRPr="00AB306E">
              <w:rPr>
                <w:rFonts w:ascii="Arial" w:hAnsi="Arial" w:cs="Arial"/>
              </w:rPr>
              <w:t>m</w:t>
            </w:r>
            <w:r w:rsidRPr="00AB306E">
              <w:rPr>
                <w:rFonts w:ascii="Arial" w:hAnsi="Arial" w:cs="Arial"/>
              </w:rPr>
              <w:t>/10MHz</w:t>
            </w:r>
          </w:p>
        </w:tc>
        <w:tc>
          <w:tcPr>
            <w:tcW w:w="5492" w:type="dxa"/>
          </w:tcPr>
          <w:p w:rsidR="00871500" w:rsidRPr="00AB306E" w:rsidRDefault="00871500" w:rsidP="00515FC2">
            <w:pPr>
              <w:rPr>
                <w:rFonts w:ascii="Arial" w:hAnsi="Arial" w:cs="Arial"/>
              </w:rPr>
            </w:pPr>
            <w:r w:rsidRPr="00AB306E">
              <w:rPr>
                <w:rFonts w:ascii="Arial" w:hAnsi="Arial" w:cs="Arial"/>
              </w:rPr>
              <w:t>P-59</w:t>
            </w:r>
            <w:r w:rsidR="00E33BDB" w:rsidRPr="00AB306E">
              <w:rPr>
                <w:rFonts w:ascii="Arial" w:hAnsi="Arial" w:cs="Arial"/>
              </w:rPr>
              <w:t>dB</w:t>
            </w:r>
            <w:r w:rsidRPr="00AB306E">
              <w:rPr>
                <w:rFonts w:ascii="Arial" w:hAnsi="Arial" w:cs="Arial"/>
              </w:rPr>
              <w:t>m/8MHz</w:t>
            </w:r>
          </w:p>
        </w:tc>
      </w:tr>
      <w:tr w:rsidR="00871500" w:rsidRPr="00AB306E" w:rsidTr="00D93D73">
        <w:tc>
          <w:tcPr>
            <w:tcW w:w="2838" w:type="dxa"/>
          </w:tcPr>
          <w:p w:rsidR="00871500" w:rsidRPr="00AB306E" w:rsidRDefault="00871500" w:rsidP="00515FC2">
            <w:pPr>
              <w:rPr>
                <w:rFonts w:ascii="Arial" w:hAnsi="Arial" w:cs="Arial"/>
              </w:rPr>
            </w:pPr>
            <w:r w:rsidRPr="00AB306E">
              <w:rPr>
                <w:rFonts w:ascii="Arial" w:hAnsi="Arial" w:cs="Arial"/>
              </w:rPr>
              <w:t>P</w:t>
            </w:r>
            <w:r w:rsidR="009E27F9" w:rsidRPr="00AB306E">
              <w:rPr>
                <w:rFonts w:ascii="Arial" w:hAnsi="Arial" w:cs="Arial"/>
              </w:rPr>
              <w:t xml:space="preserve"> </w:t>
            </w:r>
            <w:r w:rsidRPr="00AB306E">
              <w:rPr>
                <w:rFonts w:ascii="Arial" w:hAnsi="Arial" w:cs="Arial"/>
              </w:rPr>
              <w:t>&lt;</w:t>
            </w:r>
            <w:r w:rsidR="009E27F9" w:rsidRPr="00AB306E">
              <w:rPr>
                <w:rFonts w:ascii="Arial" w:hAnsi="Arial" w:cs="Arial"/>
              </w:rPr>
              <w:t xml:space="preserve"> 36</w:t>
            </w:r>
            <w:r w:rsidR="00E33BDB" w:rsidRPr="00AB306E">
              <w:rPr>
                <w:rFonts w:ascii="Arial" w:hAnsi="Arial" w:cs="Arial"/>
              </w:rPr>
              <w:t>dB</w:t>
            </w:r>
            <w:r w:rsidRPr="00AB306E">
              <w:rPr>
                <w:rFonts w:ascii="Arial" w:hAnsi="Arial" w:cs="Arial"/>
              </w:rPr>
              <w:t>m</w:t>
            </w:r>
            <w:r w:rsidR="009E27F9" w:rsidRPr="00AB306E">
              <w:rPr>
                <w:rFonts w:ascii="Arial" w:hAnsi="Arial" w:cs="Arial"/>
              </w:rPr>
              <w:t>/10MHz</w:t>
            </w:r>
          </w:p>
        </w:tc>
        <w:tc>
          <w:tcPr>
            <w:tcW w:w="5492" w:type="dxa"/>
          </w:tcPr>
          <w:p w:rsidR="00871500" w:rsidRPr="00AB306E" w:rsidRDefault="00871500" w:rsidP="00515FC2">
            <w:pPr>
              <w:rPr>
                <w:rFonts w:ascii="Arial" w:hAnsi="Arial" w:cs="Arial"/>
              </w:rPr>
            </w:pPr>
            <w:r w:rsidRPr="00AB306E">
              <w:rPr>
                <w:rFonts w:ascii="Arial" w:hAnsi="Arial" w:cs="Arial"/>
              </w:rPr>
              <w:t>-23</w:t>
            </w:r>
            <w:r w:rsidR="00E33BDB" w:rsidRPr="00AB306E">
              <w:rPr>
                <w:rFonts w:ascii="Arial" w:hAnsi="Arial" w:cs="Arial"/>
              </w:rPr>
              <w:t>dB</w:t>
            </w:r>
            <w:r w:rsidRPr="00AB306E">
              <w:rPr>
                <w:rFonts w:ascii="Arial" w:hAnsi="Arial" w:cs="Arial"/>
              </w:rPr>
              <w:t>m/8MHz (-32</w:t>
            </w:r>
            <w:r w:rsidR="00E33BDB" w:rsidRPr="00AB306E">
              <w:rPr>
                <w:rFonts w:ascii="Arial" w:hAnsi="Arial" w:cs="Arial"/>
              </w:rPr>
              <w:t>dB</w:t>
            </w:r>
            <w:r w:rsidRPr="00AB306E">
              <w:rPr>
                <w:rFonts w:ascii="Arial" w:hAnsi="Arial" w:cs="Arial"/>
              </w:rPr>
              <w:t xml:space="preserve">m/MHz or </w:t>
            </w:r>
            <w:r w:rsidRPr="00AB306E">
              <w:rPr>
                <w:rFonts w:ascii="Arial" w:hAnsi="Arial" w:cs="Arial"/>
              </w:rPr>
              <w:noBreakHyphen/>
              <w:t>47.2</w:t>
            </w:r>
            <w:r w:rsidR="00E33BDB" w:rsidRPr="00AB306E">
              <w:rPr>
                <w:rFonts w:ascii="Arial" w:hAnsi="Arial" w:cs="Arial"/>
              </w:rPr>
              <w:t>dB</w:t>
            </w:r>
            <w:r w:rsidRPr="00AB306E">
              <w:rPr>
                <w:rFonts w:ascii="Arial" w:hAnsi="Arial" w:cs="Arial"/>
              </w:rPr>
              <w:t>m/30kHz)</w:t>
            </w:r>
          </w:p>
        </w:tc>
      </w:tr>
    </w:tbl>
    <w:p w:rsidR="00465CD5" w:rsidRDefault="00465CD5" w:rsidP="00515FC2">
      <w:pPr>
        <w:rPr>
          <w:rFonts w:ascii="Arial" w:hAnsi="Arial" w:cs="Arial"/>
        </w:rPr>
      </w:pPr>
    </w:p>
    <w:p w:rsidR="00235C26" w:rsidRPr="00AB306E" w:rsidRDefault="00235C26" w:rsidP="00515FC2">
      <w:pPr>
        <w:rPr>
          <w:rFonts w:ascii="Arial" w:hAnsi="Arial" w:cs="Arial"/>
        </w:rPr>
      </w:pPr>
    </w:p>
    <w:tbl>
      <w:tblPr>
        <w:tblStyle w:val="TableGrid"/>
        <w:tblW w:w="8330" w:type="dxa"/>
        <w:tblLook w:val="04A0"/>
      </w:tblPr>
      <w:tblGrid>
        <w:gridCol w:w="2838"/>
        <w:gridCol w:w="5492"/>
      </w:tblGrid>
      <w:tr w:rsidR="00871500" w:rsidRPr="00AB306E" w:rsidTr="00D93D73">
        <w:tc>
          <w:tcPr>
            <w:tcW w:w="8330" w:type="dxa"/>
            <w:gridSpan w:val="2"/>
          </w:tcPr>
          <w:p w:rsidR="00871500" w:rsidRPr="00AB306E" w:rsidRDefault="00871500" w:rsidP="00871500">
            <w:pPr>
              <w:ind w:left="851" w:hanging="851"/>
              <w:rPr>
                <w:rFonts w:ascii="Arial" w:hAnsi="Arial" w:cs="Arial"/>
                <w:b/>
              </w:rPr>
            </w:pPr>
            <w:r w:rsidRPr="00AB306E">
              <w:rPr>
                <w:rFonts w:ascii="Arial" w:hAnsi="Arial" w:cs="Arial"/>
                <w:b/>
              </w:rPr>
              <w:t xml:space="preserve">Case B: Within a broadcasting channel with intermediate level of protection </w:t>
            </w:r>
          </w:p>
        </w:tc>
      </w:tr>
      <w:tr w:rsidR="00871500" w:rsidRPr="00AB306E" w:rsidTr="00D93D73">
        <w:tc>
          <w:tcPr>
            <w:tcW w:w="2838" w:type="dxa"/>
            <w:shd w:val="clear" w:color="auto" w:fill="D9D9D9" w:themeFill="background1" w:themeFillShade="D9"/>
          </w:tcPr>
          <w:p w:rsidR="00871500" w:rsidRPr="00AB306E" w:rsidRDefault="00871500" w:rsidP="00A17BAA">
            <w:pPr>
              <w:rPr>
                <w:rFonts w:ascii="Arial" w:hAnsi="Arial" w:cs="Arial"/>
              </w:rPr>
            </w:pPr>
            <w:r w:rsidRPr="00AB306E">
              <w:rPr>
                <w:rFonts w:ascii="Arial" w:hAnsi="Arial" w:cs="Arial"/>
              </w:rPr>
              <w:t>WAS Tx power (P)</w:t>
            </w:r>
          </w:p>
        </w:tc>
        <w:tc>
          <w:tcPr>
            <w:tcW w:w="5492" w:type="dxa"/>
            <w:shd w:val="clear" w:color="auto" w:fill="D9D9D9" w:themeFill="background1" w:themeFillShade="D9"/>
          </w:tcPr>
          <w:p w:rsidR="00871500" w:rsidRPr="00AB306E" w:rsidRDefault="00871500" w:rsidP="00A17BAA">
            <w:pPr>
              <w:rPr>
                <w:rFonts w:ascii="Arial" w:hAnsi="Arial" w:cs="Arial"/>
              </w:rPr>
            </w:pPr>
            <w:r w:rsidRPr="00AB306E">
              <w:rPr>
                <w:rFonts w:ascii="Arial" w:hAnsi="Arial" w:cs="Arial"/>
              </w:rPr>
              <w:t>Required out-of-band level within broadcast channel</w:t>
            </w:r>
          </w:p>
        </w:tc>
      </w:tr>
      <w:tr w:rsidR="00871500" w:rsidRPr="00AB306E" w:rsidTr="00D93D73">
        <w:tc>
          <w:tcPr>
            <w:tcW w:w="2838" w:type="dxa"/>
          </w:tcPr>
          <w:p w:rsidR="00871500" w:rsidRPr="00AB306E" w:rsidRDefault="00871500" w:rsidP="00A17BAA">
            <w:pPr>
              <w:rPr>
                <w:rFonts w:ascii="Arial" w:hAnsi="Arial" w:cs="Arial"/>
              </w:rPr>
            </w:pPr>
            <w:r w:rsidRPr="00AB306E">
              <w:rPr>
                <w:rFonts w:ascii="Arial" w:hAnsi="Arial" w:cs="Arial"/>
              </w:rPr>
              <w:t>P</w:t>
            </w:r>
            <w:r w:rsidR="009E27F9" w:rsidRPr="00AB306E">
              <w:rPr>
                <w:rFonts w:ascii="Arial" w:hAnsi="Arial" w:cs="Arial"/>
              </w:rPr>
              <w:t xml:space="preserve"> </w:t>
            </w:r>
            <w:r w:rsidRPr="00AB306E">
              <w:rPr>
                <w:rFonts w:ascii="Arial" w:hAnsi="Arial" w:cs="Arial"/>
                <w:u w:val="single"/>
              </w:rPr>
              <w:t>&gt;</w:t>
            </w:r>
            <w:r w:rsidR="009E27F9" w:rsidRPr="00AB306E">
              <w:rPr>
                <w:rFonts w:ascii="Arial" w:hAnsi="Arial" w:cs="Arial"/>
                <w:u w:val="single"/>
              </w:rPr>
              <w:t xml:space="preserve"> </w:t>
            </w:r>
            <w:r w:rsidRPr="00AB306E">
              <w:rPr>
                <w:rFonts w:ascii="Arial" w:hAnsi="Arial" w:cs="Arial"/>
              </w:rPr>
              <w:t>59</w:t>
            </w:r>
            <w:r w:rsidR="00E33BDB" w:rsidRPr="00AB306E">
              <w:rPr>
                <w:rFonts w:ascii="Arial" w:hAnsi="Arial" w:cs="Arial"/>
              </w:rPr>
              <w:t>dB</w:t>
            </w:r>
            <w:r w:rsidRPr="00AB306E">
              <w:rPr>
                <w:rFonts w:ascii="Arial" w:hAnsi="Arial" w:cs="Arial"/>
              </w:rPr>
              <w:t>m</w:t>
            </w:r>
            <w:r w:rsidR="009E27F9" w:rsidRPr="00AB306E">
              <w:rPr>
                <w:rFonts w:ascii="Arial" w:hAnsi="Arial" w:cs="Arial"/>
              </w:rPr>
              <w:t>/10MHz</w:t>
            </w:r>
          </w:p>
        </w:tc>
        <w:tc>
          <w:tcPr>
            <w:tcW w:w="5492" w:type="dxa"/>
          </w:tcPr>
          <w:p w:rsidR="00871500" w:rsidRPr="00AB306E" w:rsidRDefault="00871500" w:rsidP="001D1DE9">
            <w:pPr>
              <w:rPr>
                <w:rFonts w:ascii="Arial" w:hAnsi="Arial" w:cs="Arial"/>
              </w:rPr>
            </w:pPr>
            <w:r w:rsidRPr="00AB306E">
              <w:rPr>
                <w:rFonts w:ascii="Arial" w:hAnsi="Arial" w:cs="Arial"/>
              </w:rPr>
              <w:t>5</w:t>
            </w:r>
            <w:r w:rsidR="00E33BDB" w:rsidRPr="00AB306E">
              <w:rPr>
                <w:rFonts w:ascii="Arial" w:hAnsi="Arial" w:cs="Arial"/>
              </w:rPr>
              <w:t>dB</w:t>
            </w:r>
            <w:r w:rsidRPr="00AB306E">
              <w:rPr>
                <w:rFonts w:ascii="Arial" w:hAnsi="Arial" w:cs="Arial"/>
              </w:rPr>
              <w:t>m/8MHz (-4</w:t>
            </w:r>
            <w:r w:rsidR="00E33BDB" w:rsidRPr="00AB306E">
              <w:rPr>
                <w:rFonts w:ascii="Arial" w:hAnsi="Arial" w:cs="Arial"/>
              </w:rPr>
              <w:t>dB</w:t>
            </w:r>
            <w:r w:rsidRPr="00AB306E">
              <w:rPr>
                <w:rFonts w:ascii="Arial" w:hAnsi="Arial" w:cs="Arial"/>
              </w:rPr>
              <w:t xml:space="preserve">m/MHz or </w:t>
            </w:r>
            <w:r w:rsidRPr="00AB306E">
              <w:rPr>
                <w:rFonts w:ascii="Arial" w:hAnsi="Arial" w:cs="Arial"/>
              </w:rPr>
              <w:noBreakHyphen/>
              <w:t>19</w:t>
            </w:r>
            <w:r w:rsidR="001D1DE9" w:rsidRPr="00AB306E">
              <w:rPr>
                <w:rFonts w:ascii="Arial" w:hAnsi="Arial" w:cs="Arial"/>
              </w:rPr>
              <w:t>.2</w:t>
            </w:r>
            <w:r w:rsidR="00E33BDB" w:rsidRPr="00AB306E">
              <w:rPr>
                <w:rFonts w:ascii="Arial" w:hAnsi="Arial" w:cs="Arial"/>
              </w:rPr>
              <w:t>dB</w:t>
            </w:r>
            <w:r w:rsidRPr="00AB306E">
              <w:rPr>
                <w:rFonts w:ascii="Arial" w:hAnsi="Arial" w:cs="Arial"/>
              </w:rPr>
              <w:t>m/30kHz)</w:t>
            </w:r>
          </w:p>
        </w:tc>
      </w:tr>
      <w:tr w:rsidR="00871500" w:rsidRPr="00AB306E" w:rsidTr="00D93D73">
        <w:tc>
          <w:tcPr>
            <w:tcW w:w="2838" w:type="dxa"/>
          </w:tcPr>
          <w:p w:rsidR="00871500" w:rsidRPr="00AB306E" w:rsidRDefault="009E27F9" w:rsidP="00A17BAA">
            <w:pPr>
              <w:rPr>
                <w:rFonts w:ascii="Arial" w:hAnsi="Arial" w:cs="Arial"/>
              </w:rPr>
            </w:pPr>
            <w:r w:rsidRPr="00AB306E">
              <w:rPr>
                <w:rFonts w:ascii="Arial" w:hAnsi="Arial" w:cs="Arial"/>
              </w:rPr>
              <w:t xml:space="preserve">36 </w:t>
            </w:r>
            <w:r w:rsidR="00871500" w:rsidRPr="00AB306E">
              <w:rPr>
                <w:rFonts w:ascii="Arial" w:hAnsi="Arial" w:cs="Arial"/>
                <w:u w:val="single"/>
              </w:rPr>
              <w:t>&lt;</w:t>
            </w:r>
            <w:r w:rsidRPr="00AB306E">
              <w:rPr>
                <w:rFonts w:ascii="Arial" w:hAnsi="Arial" w:cs="Arial"/>
                <w:u w:val="single"/>
              </w:rPr>
              <w:t xml:space="preserve"> </w:t>
            </w:r>
            <w:r w:rsidR="00871500" w:rsidRPr="00AB306E">
              <w:rPr>
                <w:rFonts w:ascii="Arial" w:hAnsi="Arial" w:cs="Arial"/>
              </w:rPr>
              <w:t>P</w:t>
            </w:r>
            <w:r w:rsidRPr="00AB306E">
              <w:rPr>
                <w:rFonts w:ascii="Arial" w:hAnsi="Arial" w:cs="Arial"/>
              </w:rPr>
              <w:t xml:space="preserve"> </w:t>
            </w:r>
            <w:r w:rsidR="00871500" w:rsidRPr="00AB306E">
              <w:rPr>
                <w:rFonts w:ascii="Arial" w:hAnsi="Arial" w:cs="Arial"/>
              </w:rPr>
              <w:t>&lt;</w:t>
            </w:r>
            <w:r w:rsidRPr="00AB306E">
              <w:rPr>
                <w:rFonts w:ascii="Arial" w:hAnsi="Arial" w:cs="Arial"/>
              </w:rPr>
              <w:t xml:space="preserve"> </w:t>
            </w:r>
            <w:r w:rsidR="00871500" w:rsidRPr="00AB306E">
              <w:rPr>
                <w:rFonts w:ascii="Arial" w:hAnsi="Arial" w:cs="Arial"/>
              </w:rPr>
              <w:t>59</w:t>
            </w:r>
            <w:r w:rsidR="00E33BDB" w:rsidRPr="00AB306E">
              <w:rPr>
                <w:rFonts w:ascii="Arial" w:hAnsi="Arial" w:cs="Arial"/>
              </w:rPr>
              <w:t>dB</w:t>
            </w:r>
            <w:r w:rsidR="00871500" w:rsidRPr="00AB306E">
              <w:rPr>
                <w:rFonts w:ascii="Arial" w:hAnsi="Arial" w:cs="Arial"/>
              </w:rPr>
              <w:t>m</w:t>
            </w:r>
            <w:r w:rsidRPr="00AB306E">
              <w:rPr>
                <w:rFonts w:ascii="Arial" w:hAnsi="Arial" w:cs="Arial"/>
              </w:rPr>
              <w:t>/10MHz</w:t>
            </w:r>
          </w:p>
        </w:tc>
        <w:tc>
          <w:tcPr>
            <w:tcW w:w="5492" w:type="dxa"/>
          </w:tcPr>
          <w:p w:rsidR="00871500" w:rsidRPr="00AB306E" w:rsidRDefault="00871500" w:rsidP="00A17BAA">
            <w:pPr>
              <w:rPr>
                <w:rFonts w:ascii="Arial" w:hAnsi="Arial" w:cs="Arial"/>
              </w:rPr>
            </w:pPr>
            <w:r w:rsidRPr="00AB306E">
              <w:rPr>
                <w:rFonts w:ascii="Arial" w:hAnsi="Arial" w:cs="Arial"/>
              </w:rPr>
              <w:t>P-49</w:t>
            </w:r>
            <w:r w:rsidR="00E33BDB" w:rsidRPr="00AB306E">
              <w:rPr>
                <w:rFonts w:ascii="Arial" w:hAnsi="Arial" w:cs="Arial"/>
              </w:rPr>
              <w:t>dB</w:t>
            </w:r>
            <w:r w:rsidRPr="00AB306E">
              <w:rPr>
                <w:rFonts w:ascii="Arial" w:hAnsi="Arial" w:cs="Arial"/>
              </w:rPr>
              <w:t>m/8MHz</w:t>
            </w:r>
          </w:p>
        </w:tc>
      </w:tr>
      <w:tr w:rsidR="00871500" w:rsidRPr="00AB306E" w:rsidTr="00D93D73">
        <w:tc>
          <w:tcPr>
            <w:tcW w:w="2838" w:type="dxa"/>
          </w:tcPr>
          <w:p w:rsidR="00871500" w:rsidRPr="00AB306E" w:rsidRDefault="00871500" w:rsidP="00A17BAA">
            <w:pPr>
              <w:rPr>
                <w:rFonts w:ascii="Arial" w:hAnsi="Arial" w:cs="Arial"/>
              </w:rPr>
            </w:pPr>
            <w:r w:rsidRPr="00AB306E">
              <w:rPr>
                <w:rFonts w:ascii="Arial" w:hAnsi="Arial" w:cs="Arial"/>
              </w:rPr>
              <w:t>P</w:t>
            </w:r>
            <w:r w:rsidR="009E27F9" w:rsidRPr="00AB306E">
              <w:rPr>
                <w:rFonts w:ascii="Arial" w:hAnsi="Arial" w:cs="Arial"/>
              </w:rPr>
              <w:t xml:space="preserve"> </w:t>
            </w:r>
            <w:r w:rsidRPr="00AB306E">
              <w:rPr>
                <w:rFonts w:ascii="Arial" w:hAnsi="Arial" w:cs="Arial"/>
              </w:rPr>
              <w:t>&lt;</w:t>
            </w:r>
            <w:r w:rsidR="009E27F9" w:rsidRPr="00AB306E">
              <w:rPr>
                <w:rFonts w:ascii="Arial" w:hAnsi="Arial" w:cs="Arial"/>
              </w:rPr>
              <w:t xml:space="preserve"> 36</w:t>
            </w:r>
            <w:r w:rsidR="00E33BDB" w:rsidRPr="00AB306E">
              <w:rPr>
                <w:rFonts w:ascii="Arial" w:hAnsi="Arial" w:cs="Arial"/>
              </w:rPr>
              <w:t>dB</w:t>
            </w:r>
            <w:r w:rsidRPr="00AB306E">
              <w:rPr>
                <w:rFonts w:ascii="Arial" w:hAnsi="Arial" w:cs="Arial"/>
              </w:rPr>
              <w:t>m</w:t>
            </w:r>
            <w:r w:rsidR="009E27F9" w:rsidRPr="00AB306E">
              <w:rPr>
                <w:rFonts w:ascii="Arial" w:hAnsi="Arial" w:cs="Arial"/>
              </w:rPr>
              <w:t>/10MHz</w:t>
            </w:r>
          </w:p>
        </w:tc>
        <w:tc>
          <w:tcPr>
            <w:tcW w:w="5492" w:type="dxa"/>
          </w:tcPr>
          <w:p w:rsidR="00871500" w:rsidRPr="00AB306E" w:rsidRDefault="00871500" w:rsidP="001D1DE9">
            <w:pPr>
              <w:rPr>
                <w:rFonts w:ascii="Arial" w:hAnsi="Arial" w:cs="Arial"/>
              </w:rPr>
            </w:pPr>
            <w:r w:rsidRPr="00AB306E">
              <w:rPr>
                <w:rFonts w:ascii="Arial" w:hAnsi="Arial" w:cs="Arial"/>
              </w:rPr>
              <w:t>-13</w:t>
            </w:r>
            <w:r w:rsidR="00E33BDB" w:rsidRPr="00AB306E">
              <w:rPr>
                <w:rFonts w:ascii="Arial" w:hAnsi="Arial" w:cs="Arial"/>
              </w:rPr>
              <w:t>dB</w:t>
            </w:r>
            <w:r w:rsidRPr="00AB306E">
              <w:rPr>
                <w:rFonts w:ascii="Arial" w:hAnsi="Arial" w:cs="Arial"/>
              </w:rPr>
              <w:t>m/8MHz (-22</w:t>
            </w:r>
            <w:r w:rsidR="00E33BDB" w:rsidRPr="00AB306E">
              <w:rPr>
                <w:rFonts w:ascii="Arial" w:hAnsi="Arial" w:cs="Arial"/>
              </w:rPr>
              <w:t>dB</w:t>
            </w:r>
            <w:r w:rsidRPr="00AB306E">
              <w:rPr>
                <w:rFonts w:ascii="Arial" w:hAnsi="Arial" w:cs="Arial"/>
              </w:rPr>
              <w:t xml:space="preserve">m/MHz or </w:t>
            </w:r>
            <w:r w:rsidRPr="00AB306E">
              <w:rPr>
                <w:rFonts w:ascii="Arial" w:hAnsi="Arial" w:cs="Arial"/>
              </w:rPr>
              <w:noBreakHyphen/>
              <w:t>37.2</w:t>
            </w:r>
            <w:r w:rsidR="001D1DE9" w:rsidRPr="00AB306E">
              <w:rPr>
                <w:rFonts w:ascii="Arial" w:hAnsi="Arial" w:cs="Arial"/>
              </w:rPr>
              <w:t xml:space="preserve"> </w:t>
            </w:r>
            <w:r w:rsidR="00E33BDB" w:rsidRPr="00AB306E">
              <w:rPr>
                <w:rFonts w:ascii="Arial" w:hAnsi="Arial" w:cs="Arial"/>
              </w:rPr>
              <w:t>dB</w:t>
            </w:r>
            <w:r w:rsidRPr="00AB306E">
              <w:rPr>
                <w:rFonts w:ascii="Arial" w:hAnsi="Arial" w:cs="Arial"/>
              </w:rPr>
              <w:t>m/30kHz)</w:t>
            </w:r>
          </w:p>
        </w:tc>
      </w:tr>
    </w:tbl>
    <w:p w:rsidR="00871500" w:rsidRPr="00AB306E" w:rsidRDefault="00871500" w:rsidP="00AB306E">
      <w:pPr>
        <w:rPr>
          <w:rFonts w:ascii="Arial" w:hAnsi="Arial" w:cs="Arial"/>
        </w:rPr>
      </w:pPr>
    </w:p>
    <w:p w:rsidR="00871500" w:rsidRPr="00AB306E" w:rsidRDefault="00871500" w:rsidP="00871500">
      <w:pPr>
        <w:rPr>
          <w:rFonts w:ascii="Arial" w:hAnsi="Arial" w:cs="Arial"/>
        </w:rPr>
      </w:pPr>
    </w:p>
    <w:tbl>
      <w:tblPr>
        <w:tblStyle w:val="TableGrid"/>
        <w:tblW w:w="8330" w:type="dxa"/>
        <w:tblLook w:val="04A0"/>
      </w:tblPr>
      <w:tblGrid>
        <w:gridCol w:w="8330"/>
      </w:tblGrid>
      <w:tr w:rsidR="00871500" w:rsidRPr="00AB306E" w:rsidTr="00D93D73">
        <w:tc>
          <w:tcPr>
            <w:tcW w:w="8330" w:type="dxa"/>
          </w:tcPr>
          <w:p w:rsidR="00871500" w:rsidRPr="00AB306E" w:rsidRDefault="00871500" w:rsidP="00871500">
            <w:pPr>
              <w:ind w:left="851" w:hanging="851"/>
              <w:rPr>
                <w:rFonts w:ascii="Arial" w:hAnsi="Arial" w:cs="Arial"/>
                <w:b/>
              </w:rPr>
            </w:pPr>
            <w:r w:rsidRPr="00AB306E">
              <w:rPr>
                <w:rFonts w:ascii="Arial" w:hAnsi="Arial" w:cs="Arial"/>
                <w:b/>
              </w:rPr>
              <w:t xml:space="preserve">Case C: Within a broadcasting channel with no specific level of protection </w:t>
            </w:r>
          </w:p>
        </w:tc>
      </w:tr>
      <w:tr w:rsidR="00871500" w:rsidRPr="00AB306E" w:rsidTr="00D93D73">
        <w:tc>
          <w:tcPr>
            <w:tcW w:w="8330" w:type="dxa"/>
          </w:tcPr>
          <w:p w:rsidR="00871500" w:rsidRPr="00AB306E" w:rsidRDefault="00871500" w:rsidP="00871500">
            <w:pPr>
              <w:jc w:val="center"/>
              <w:rPr>
                <w:rFonts w:ascii="Arial" w:hAnsi="Arial" w:cs="Arial"/>
              </w:rPr>
            </w:pPr>
            <w:r w:rsidRPr="00AB306E">
              <w:rPr>
                <w:rFonts w:ascii="Arial" w:hAnsi="Arial" w:cs="Arial"/>
              </w:rPr>
              <w:t>22</w:t>
            </w:r>
            <w:r w:rsidR="00E33BDB" w:rsidRPr="00AB306E">
              <w:rPr>
                <w:rFonts w:ascii="Arial" w:hAnsi="Arial" w:cs="Arial"/>
              </w:rPr>
              <w:t>dB</w:t>
            </w:r>
            <w:r w:rsidRPr="00AB306E">
              <w:rPr>
                <w:rFonts w:ascii="Arial" w:hAnsi="Arial" w:cs="Arial"/>
              </w:rPr>
              <w:t>m/8MHz (13</w:t>
            </w:r>
            <w:r w:rsidR="00E33BDB" w:rsidRPr="00AB306E">
              <w:rPr>
                <w:rFonts w:ascii="Arial" w:hAnsi="Arial" w:cs="Arial"/>
              </w:rPr>
              <w:t>dB</w:t>
            </w:r>
            <w:r w:rsidRPr="00AB306E">
              <w:rPr>
                <w:rFonts w:ascii="Arial" w:hAnsi="Arial" w:cs="Arial"/>
              </w:rPr>
              <w:t xml:space="preserve">m/MHz or </w:t>
            </w:r>
            <w:r w:rsidRPr="00AB306E">
              <w:rPr>
                <w:rFonts w:ascii="Arial" w:hAnsi="Arial" w:cs="Arial"/>
              </w:rPr>
              <w:noBreakHyphen/>
              <w:t>2.2</w:t>
            </w:r>
            <w:r w:rsidR="00E33BDB" w:rsidRPr="00AB306E">
              <w:rPr>
                <w:rFonts w:ascii="Arial" w:hAnsi="Arial" w:cs="Arial"/>
              </w:rPr>
              <w:t>dB</w:t>
            </w:r>
            <w:r w:rsidRPr="00AB306E">
              <w:rPr>
                <w:rFonts w:ascii="Arial" w:hAnsi="Arial" w:cs="Arial"/>
              </w:rPr>
              <w:t>m/30kHz)</w:t>
            </w:r>
          </w:p>
        </w:tc>
      </w:tr>
    </w:tbl>
    <w:p w:rsidR="00D93D73" w:rsidRDefault="00D93D73" w:rsidP="00DF6BA3">
      <w:pPr>
        <w:rPr>
          <w:rFonts w:ascii="Arial" w:hAnsi="Arial" w:cs="Arial"/>
          <w:sz w:val="22"/>
          <w:szCs w:val="22"/>
        </w:rPr>
      </w:pPr>
    </w:p>
    <w:p w:rsidR="00235C26" w:rsidRDefault="00235C26">
      <w:pPr>
        <w:spacing w:after="200" w:line="276" w:lineRule="auto"/>
        <w:rPr>
          <w:rFonts w:ascii="Arial" w:hAnsi="Arial" w:cs="Arial"/>
          <w:sz w:val="22"/>
          <w:szCs w:val="22"/>
        </w:rPr>
      </w:pPr>
      <w:r>
        <w:rPr>
          <w:rFonts w:ascii="Arial" w:hAnsi="Arial" w:cs="Arial"/>
          <w:sz w:val="22"/>
          <w:szCs w:val="22"/>
        </w:rPr>
        <w:br w:type="page"/>
      </w:r>
    </w:p>
    <w:p w:rsidR="00235C26" w:rsidRPr="00DF6BA3" w:rsidRDefault="00235C26" w:rsidP="00DF6BA3">
      <w:pPr>
        <w:rPr>
          <w:rFonts w:ascii="Arial" w:hAnsi="Arial" w:cs="Arial"/>
          <w:sz w:val="22"/>
          <w:szCs w:val="22"/>
        </w:rPr>
      </w:pPr>
    </w:p>
    <w:p w:rsidR="007226B1" w:rsidRPr="00DF6BA3" w:rsidRDefault="008577C4" w:rsidP="00DF6BA3">
      <w:pPr>
        <w:rPr>
          <w:rFonts w:ascii="Arial" w:hAnsi="Arial" w:cs="Arial"/>
          <w:sz w:val="22"/>
          <w:szCs w:val="22"/>
        </w:rPr>
      </w:pPr>
      <w:r w:rsidRPr="00DF6BA3">
        <w:rPr>
          <w:rFonts w:ascii="Arial" w:hAnsi="Arial" w:cs="Arial"/>
          <w:sz w:val="22"/>
          <w:szCs w:val="22"/>
        </w:rPr>
        <w:t>The following table summarises the limits from base station and user equipment into various frequency ranges.</w:t>
      </w:r>
    </w:p>
    <w:p w:rsidR="008577C4" w:rsidRPr="00DF6BA3" w:rsidRDefault="008577C4" w:rsidP="00DF6BA3">
      <w:pPr>
        <w:rPr>
          <w:rFonts w:ascii="Arial" w:hAnsi="Arial" w:cs="Arial"/>
          <w:sz w:val="22"/>
          <w:szCs w:val="22"/>
        </w:rPr>
      </w:pPr>
    </w:p>
    <w:tbl>
      <w:tblPr>
        <w:tblStyle w:val="TableGrid"/>
        <w:tblW w:w="8817" w:type="dxa"/>
        <w:jc w:val="center"/>
        <w:tblLook w:val="04A0"/>
      </w:tblPr>
      <w:tblGrid>
        <w:gridCol w:w="3147"/>
        <w:gridCol w:w="3119"/>
        <w:gridCol w:w="2551"/>
      </w:tblGrid>
      <w:tr w:rsidR="00D93D73" w:rsidRPr="00AB306E" w:rsidTr="00D93D73">
        <w:trPr>
          <w:trHeight w:val="573"/>
          <w:jc w:val="center"/>
        </w:trPr>
        <w:tc>
          <w:tcPr>
            <w:tcW w:w="8817" w:type="dxa"/>
            <w:gridSpan w:val="3"/>
            <w:tcBorders>
              <w:left w:val="nil"/>
              <w:right w:val="nil"/>
            </w:tcBorders>
            <w:shd w:val="clear" w:color="auto" w:fill="auto"/>
          </w:tcPr>
          <w:p w:rsidR="00D93D73" w:rsidRPr="00AB306E" w:rsidRDefault="00D93D73" w:rsidP="000A4A7C">
            <w:pPr>
              <w:rPr>
                <w:rFonts w:ascii="Arial" w:hAnsi="Arial" w:cs="Arial"/>
              </w:rPr>
            </w:pPr>
          </w:p>
        </w:tc>
      </w:tr>
      <w:tr w:rsidR="000A4A7C" w:rsidRPr="00AB306E" w:rsidTr="00D93D73">
        <w:trPr>
          <w:jc w:val="center"/>
        </w:trPr>
        <w:tc>
          <w:tcPr>
            <w:tcW w:w="3147" w:type="dxa"/>
            <w:shd w:val="clear" w:color="auto" w:fill="D9D9D9" w:themeFill="background1" w:themeFillShade="D9"/>
          </w:tcPr>
          <w:p w:rsidR="000A4A7C" w:rsidRPr="00AB306E" w:rsidRDefault="000A4A7C" w:rsidP="000A4A7C">
            <w:pPr>
              <w:rPr>
                <w:rFonts w:ascii="Arial" w:hAnsi="Arial" w:cs="Arial"/>
              </w:rPr>
            </w:pPr>
          </w:p>
        </w:tc>
        <w:tc>
          <w:tcPr>
            <w:tcW w:w="3119" w:type="dxa"/>
            <w:shd w:val="clear" w:color="auto" w:fill="D9D9D9" w:themeFill="background1" w:themeFillShade="D9"/>
          </w:tcPr>
          <w:p w:rsidR="000A4A7C" w:rsidRPr="00AB306E" w:rsidRDefault="000A4A7C" w:rsidP="000A4A7C">
            <w:pPr>
              <w:rPr>
                <w:rFonts w:ascii="Arial" w:hAnsi="Arial" w:cs="Arial"/>
              </w:rPr>
            </w:pPr>
            <w:r w:rsidRPr="00AB306E">
              <w:rPr>
                <w:rFonts w:ascii="Arial" w:hAnsi="Arial" w:cs="Arial"/>
              </w:rPr>
              <w:t>Base Station</w:t>
            </w:r>
          </w:p>
        </w:tc>
        <w:tc>
          <w:tcPr>
            <w:tcW w:w="2551" w:type="dxa"/>
            <w:shd w:val="clear" w:color="auto" w:fill="D9D9D9" w:themeFill="background1" w:themeFillShade="D9"/>
          </w:tcPr>
          <w:p w:rsidR="000A4A7C" w:rsidRPr="00AB306E" w:rsidRDefault="000A4A7C" w:rsidP="000A4A7C">
            <w:pPr>
              <w:rPr>
                <w:rFonts w:ascii="Arial" w:hAnsi="Arial" w:cs="Arial"/>
              </w:rPr>
            </w:pPr>
            <w:r w:rsidRPr="00AB306E">
              <w:rPr>
                <w:rFonts w:ascii="Arial" w:hAnsi="Arial" w:cs="Arial"/>
              </w:rPr>
              <w:t>Terminal</w:t>
            </w:r>
          </w:p>
        </w:tc>
      </w:tr>
      <w:tr w:rsidR="000A4A7C" w:rsidRPr="00AB306E" w:rsidTr="00D93D73">
        <w:trPr>
          <w:jc w:val="center"/>
        </w:trPr>
        <w:tc>
          <w:tcPr>
            <w:tcW w:w="3147" w:type="dxa"/>
          </w:tcPr>
          <w:p w:rsidR="000A4A7C" w:rsidRPr="00AB306E" w:rsidRDefault="000A4A7C" w:rsidP="000A4A7C">
            <w:pPr>
              <w:rPr>
                <w:rFonts w:ascii="Arial" w:hAnsi="Arial" w:cs="Arial"/>
              </w:rPr>
            </w:pPr>
            <w:r w:rsidRPr="00AB306E">
              <w:rPr>
                <w:rFonts w:ascii="Arial" w:hAnsi="Arial" w:cs="Arial"/>
              </w:rPr>
              <w:t>In-Band</w:t>
            </w:r>
          </w:p>
        </w:tc>
        <w:tc>
          <w:tcPr>
            <w:tcW w:w="3119" w:type="dxa"/>
          </w:tcPr>
          <w:p w:rsidR="000A4A7C" w:rsidRPr="00AB306E" w:rsidRDefault="000A4A7C" w:rsidP="000A4A7C">
            <w:pPr>
              <w:rPr>
                <w:rFonts w:ascii="Arial" w:hAnsi="Arial" w:cs="Arial"/>
              </w:rPr>
            </w:pPr>
            <w:r w:rsidRPr="00AB306E">
              <w:rPr>
                <w:rFonts w:ascii="Arial" w:hAnsi="Arial" w:cs="Arial"/>
              </w:rPr>
              <w:t>+64</w:t>
            </w:r>
            <w:r w:rsidR="00E33BDB" w:rsidRPr="00AB306E">
              <w:rPr>
                <w:rFonts w:ascii="Arial" w:hAnsi="Arial" w:cs="Arial"/>
              </w:rPr>
              <w:t>dB</w:t>
            </w:r>
            <w:r w:rsidRPr="00AB306E">
              <w:rPr>
                <w:rFonts w:ascii="Arial" w:hAnsi="Arial" w:cs="Arial"/>
              </w:rPr>
              <w:t>m/5</w:t>
            </w:r>
            <w:r w:rsidR="00E33BDB" w:rsidRPr="00AB306E">
              <w:rPr>
                <w:rFonts w:ascii="Arial" w:hAnsi="Arial" w:cs="Arial"/>
              </w:rPr>
              <w:t>MHz</w:t>
            </w:r>
          </w:p>
        </w:tc>
        <w:tc>
          <w:tcPr>
            <w:tcW w:w="2551" w:type="dxa"/>
          </w:tcPr>
          <w:p w:rsidR="000A4A7C" w:rsidRPr="00AB306E" w:rsidRDefault="000A4A7C" w:rsidP="000A4A7C">
            <w:pPr>
              <w:rPr>
                <w:rFonts w:ascii="Arial" w:hAnsi="Arial" w:cs="Arial"/>
              </w:rPr>
            </w:pPr>
            <w:r w:rsidRPr="00AB306E">
              <w:rPr>
                <w:rFonts w:ascii="Arial" w:hAnsi="Arial" w:cs="Arial"/>
              </w:rPr>
              <w:t>+23</w:t>
            </w:r>
            <w:r w:rsidR="00E33BDB" w:rsidRPr="00AB306E">
              <w:rPr>
                <w:rFonts w:ascii="Arial" w:hAnsi="Arial" w:cs="Arial"/>
              </w:rPr>
              <w:t>dB</w:t>
            </w:r>
            <w:r w:rsidRPr="00AB306E">
              <w:rPr>
                <w:rFonts w:ascii="Arial" w:hAnsi="Arial" w:cs="Arial"/>
              </w:rPr>
              <w:t>m/5MHz</w:t>
            </w:r>
          </w:p>
        </w:tc>
      </w:tr>
      <w:tr w:rsidR="000A4A7C" w:rsidRPr="00AB306E" w:rsidTr="00D93D73">
        <w:trPr>
          <w:jc w:val="center"/>
        </w:trPr>
        <w:tc>
          <w:tcPr>
            <w:tcW w:w="3147" w:type="dxa"/>
          </w:tcPr>
          <w:p w:rsidR="000A4A7C" w:rsidRPr="00AB306E" w:rsidRDefault="000A4A7C" w:rsidP="000A4A7C">
            <w:pPr>
              <w:rPr>
                <w:rFonts w:ascii="Arial" w:hAnsi="Arial" w:cs="Arial"/>
              </w:rPr>
            </w:pPr>
            <w:r w:rsidRPr="00AB306E">
              <w:rPr>
                <w:rFonts w:ascii="Arial" w:hAnsi="Arial" w:cs="Arial"/>
              </w:rPr>
              <w:t>0-5</w:t>
            </w:r>
            <w:r w:rsidR="00E33BDB" w:rsidRPr="00AB306E">
              <w:rPr>
                <w:rFonts w:ascii="Arial" w:hAnsi="Arial" w:cs="Arial"/>
              </w:rPr>
              <w:t>MHz</w:t>
            </w:r>
            <w:r w:rsidRPr="00AB306E">
              <w:rPr>
                <w:rFonts w:ascii="Arial" w:hAnsi="Arial" w:cs="Arial"/>
              </w:rPr>
              <w:t xml:space="preserve"> from edge</w:t>
            </w:r>
          </w:p>
        </w:tc>
        <w:tc>
          <w:tcPr>
            <w:tcW w:w="3119" w:type="dxa"/>
          </w:tcPr>
          <w:p w:rsidR="000A4A7C" w:rsidRPr="00AB306E" w:rsidRDefault="000A4A7C" w:rsidP="000A4A7C">
            <w:pPr>
              <w:rPr>
                <w:rFonts w:ascii="Arial" w:hAnsi="Arial" w:cs="Arial"/>
              </w:rPr>
            </w:pPr>
            <w:r w:rsidRPr="00AB306E">
              <w:rPr>
                <w:rFonts w:ascii="Arial" w:hAnsi="Arial" w:cs="Arial"/>
              </w:rPr>
              <w:t>+22</w:t>
            </w:r>
            <w:r w:rsidR="00E33BDB" w:rsidRPr="00AB306E">
              <w:rPr>
                <w:rFonts w:ascii="Arial" w:hAnsi="Arial" w:cs="Arial"/>
              </w:rPr>
              <w:t>dB</w:t>
            </w:r>
            <w:r w:rsidRPr="00AB306E">
              <w:rPr>
                <w:rFonts w:ascii="Arial" w:hAnsi="Arial" w:cs="Arial"/>
              </w:rPr>
              <w:t>m/5MHz</w:t>
            </w:r>
          </w:p>
        </w:tc>
        <w:tc>
          <w:tcPr>
            <w:tcW w:w="2551" w:type="dxa"/>
          </w:tcPr>
          <w:p w:rsidR="000A4A7C" w:rsidRPr="00AB306E" w:rsidRDefault="000A4A7C" w:rsidP="000A4A7C">
            <w:pPr>
              <w:rPr>
                <w:rFonts w:ascii="Arial" w:hAnsi="Arial" w:cs="Arial"/>
              </w:rPr>
            </w:pPr>
            <w:r w:rsidRPr="00AB306E">
              <w:rPr>
                <w:rFonts w:ascii="Arial" w:hAnsi="Arial" w:cs="Arial"/>
              </w:rPr>
              <w:t>+1.6</w:t>
            </w:r>
            <w:r w:rsidR="00E33BDB" w:rsidRPr="00AB306E">
              <w:rPr>
                <w:rFonts w:ascii="Arial" w:hAnsi="Arial" w:cs="Arial"/>
              </w:rPr>
              <w:t>dB</w:t>
            </w:r>
            <w:r w:rsidRPr="00AB306E">
              <w:rPr>
                <w:rFonts w:ascii="Arial" w:hAnsi="Arial" w:cs="Arial"/>
              </w:rPr>
              <w:t>m/5</w:t>
            </w:r>
            <w:r w:rsidR="00E33BDB" w:rsidRPr="00AB306E">
              <w:rPr>
                <w:rFonts w:ascii="Arial" w:hAnsi="Arial" w:cs="Arial"/>
              </w:rPr>
              <w:t>MHz</w:t>
            </w:r>
          </w:p>
        </w:tc>
      </w:tr>
      <w:tr w:rsidR="000A4A7C" w:rsidRPr="00AB306E" w:rsidTr="00D93D73">
        <w:trPr>
          <w:jc w:val="center"/>
        </w:trPr>
        <w:tc>
          <w:tcPr>
            <w:tcW w:w="3147" w:type="dxa"/>
          </w:tcPr>
          <w:p w:rsidR="000A4A7C" w:rsidRPr="00AB306E" w:rsidRDefault="000A4A7C" w:rsidP="000A4A7C">
            <w:pPr>
              <w:rPr>
                <w:rFonts w:ascii="Arial" w:hAnsi="Arial" w:cs="Arial"/>
              </w:rPr>
            </w:pPr>
            <w:r w:rsidRPr="00AB306E">
              <w:rPr>
                <w:rFonts w:ascii="Arial" w:hAnsi="Arial" w:cs="Arial"/>
              </w:rPr>
              <w:t>5-10</w:t>
            </w:r>
            <w:r w:rsidR="00E33BDB" w:rsidRPr="00AB306E">
              <w:rPr>
                <w:rFonts w:ascii="Arial" w:hAnsi="Arial" w:cs="Arial"/>
              </w:rPr>
              <w:t>MHz</w:t>
            </w:r>
            <w:r w:rsidRPr="00AB306E">
              <w:rPr>
                <w:rFonts w:ascii="Arial" w:hAnsi="Arial" w:cs="Arial"/>
              </w:rPr>
              <w:t xml:space="preserve"> from edge</w:t>
            </w:r>
          </w:p>
        </w:tc>
        <w:tc>
          <w:tcPr>
            <w:tcW w:w="3119" w:type="dxa"/>
          </w:tcPr>
          <w:p w:rsidR="000A4A7C" w:rsidRPr="00AB306E" w:rsidRDefault="000A4A7C" w:rsidP="000A4A7C">
            <w:pPr>
              <w:rPr>
                <w:rFonts w:ascii="Arial" w:hAnsi="Arial" w:cs="Arial"/>
              </w:rPr>
            </w:pPr>
            <w:r w:rsidRPr="00AB306E">
              <w:rPr>
                <w:rFonts w:ascii="Arial" w:hAnsi="Arial" w:cs="Arial"/>
              </w:rPr>
              <w:t>+18</w:t>
            </w:r>
            <w:r w:rsidR="00E33BDB" w:rsidRPr="00AB306E">
              <w:rPr>
                <w:rFonts w:ascii="Arial" w:hAnsi="Arial" w:cs="Arial"/>
              </w:rPr>
              <w:t>dB</w:t>
            </w:r>
            <w:r w:rsidRPr="00AB306E">
              <w:rPr>
                <w:rFonts w:ascii="Arial" w:hAnsi="Arial" w:cs="Arial"/>
              </w:rPr>
              <w:t>m/5MHz</w:t>
            </w:r>
          </w:p>
        </w:tc>
        <w:tc>
          <w:tcPr>
            <w:tcW w:w="2551" w:type="dxa"/>
          </w:tcPr>
          <w:p w:rsidR="000A4A7C" w:rsidRPr="00AB306E" w:rsidRDefault="000A4A7C" w:rsidP="000A4A7C">
            <w:pPr>
              <w:rPr>
                <w:rFonts w:ascii="Arial" w:hAnsi="Arial" w:cs="Arial"/>
              </w:rPr>
            </w:pPr>
            <w:r w:rsidRPr="00AB306E">
              <w:rPr>
                <w:rFonts w:ascii="Arial" w:hAnsi="Arial" w:cs="Arial"/>
              </w:rPr>
              <w:t>-6</w:t>
            </w:r>
            <w:r w:rsidR="00E33BDB" w:rsidRPr="00AB306E">
              <w:rPr>
                <w:rFonts w:ascii="Arial" w:hAnsi="Arial" w:cs="Arial"/>
              </w:rPr>
              <w:t>dB</w:t>
            </w:r>
            <w:r w:rsidRPr="00AB306E">
              <w:rPr>
                <w:rFonts w:ascii="Arial" w:hAnsi="Arial" w:cs="Arial"/>
              </w:rPr>
              <w:t>m/5MHz</w:t>
            </w:r>
          </w:p>
        </w:tc>
      </w:tr>
      <w:tr w:rsidR="000A4A7C" w:rsidRPr="00AB306E" w:rsidTr="00D93D73">
        <w:trPr>
          <w:jc w:val="center"/>
        </w:trPr>
        <w:tc>
          <w:tcPr>
            <w:tcW w:w="3147" w:type="dxa"/>
          </w:tcPr>
          <w:p w:rsidR="000A4A7C" w:rsidRPr="00AB306E" w:rsidRDefault="000A4A7C" w:rsidP="000A4A7C">
            <w:pPr>
              <w:rPr>
                <w:rFonts w:ascii="Arial" w:hAnsi="Arial" w:cs="Arial"/>
              </w:rPr>
            </w:pPr>
          </w:p>
        </w:tc>
        <w:tc>
          <w:tcPr>
            <w:tcW w:w="3119" w:type="dxa"/>
          </w:tcPr>
          <w:p w:rsidR="000A4A7C" w:rsidRPr="00AB306E" w:rsidRDefault="000A4A7C" w:rsidP="000A4A7C">
            <w:pPr>
              <w:rPr>
                <w:rFonts w:ascii="Arial" w:hAnsi="Arial" w:cs="Arial"/>
              </w:rPr>
            </w:pPr>
          </w:p>
        </w:tc>
        <w:tc>
          <w:tcPr>
            <w:tcW w:w="2551" w:type="dxa"/>
          </w:tcPr>
          <w:p w:rsidR="000A4A7C" w:rsidRPr="00AB306E" w:rsidRDefault="000A4A7C" w:rsidP="000A4A7C">
            <w:pPr>
              <w:rPr>
                <w:rFonts w:ascii="Arial" w:hAnsi="Arial" w:cs="Arial"/>
              </w:rPr>
            </w:pPr>
          </w:p>
        </w:tc>
      </w:tr>
      <w:tr w:rsidR="000A4A7C" w:rsidRPr="00AB306E" w:rsidTr="00D93D73">
        <w:trPr>
          <w:jc w:val="center"/>
        </w:trPr>
        <w:tc>
          <w:tcPr>
            <w:tcW w:w="3147" w:type="dxa"/>
          </w:tcPr>
          <w:p w:rsidR="000A4A7C" w:rsidRPr="00AB306E" w:rsidRDefault="00D3065C" w:rsidP="000A4A7C">
            <w:pPr>
              <w:rPr>
                <w:rFonts w:ascii="Arial" w:hAnsi="Arial" w:cs="Arial"/>
              </w:rPr>
            </w:pPr>
            <w:r w:rsidRPr="00AB306E">
              <w:rPr>
                <w:rFonts w:ascii="Arial" w:hAnsi="Arial" w:cs="Arial"/>
              </w:rPr>
              <w:t>U</w:t>
            </w:r>
            <w:r w:rsidR="000A4A7C" w:rsidRPr="00AB306E">
              <w:rPr>
                <w:rFonts w:ascii="Arial" w:hAnsi="Arial" w:cs="Arial"/>
              </w:rPr>
              <w:t xml:space="preserve">plink </w:t>
            </w:r>
          </w:p>
        </w:tc>
        <w:tc>
          <w:tcPr>
            <w:tcW w:w="3119" w:type="dxa"/>
          </w:tcPr>
          <w:p w:rsidR="000A4A7C" w:rsidRPr="00AB306E" w:rsidRDefault="000A4A7C" w:rsidP="000A4A7C">
            <w:pPr>
              <w:rPr>
                <w:rFonts w:ascii="Arial" w:hAnsi="Arial" w:cs="Arial"/>
              </w:rPr>
            </w:pPr>
            <w:r w:rsidRPr="00AB306E">
              <w:rPr>
                <w:rFonts w:ascii="Arial" w:hAnsi="Arial" w:cs="Arial"/>
              </w:rPr>
              <w:t>-49.5</w:t>
            </w:r>
            <w:r w:rsidR="00E33BDB" w:rsidRPr="00AB306E">
              <w:rPr>
                <w:rFonts w:ascii="Arial" w:hAnsi="Arial" w:cs="Arial"/>
              </w:rPr>
              <w:t>dB</w:t>
            </w:r>
            <w:r w:rsidRPr="00AB306E">
              <w:rPr>
                <w:rFonts w:ascii="Arial" w:hAnsi="Arial" w:cs="Arial"/>
              </w:rPr>
              <w:t>m/5MHz</w:t>
            </w:r>
          </w:p>
        </w:tc>
        <w:tc>
          <w:tcPr>
            <w:tcW w:w="2551" w:type="dxa"/>
          </w:tcPr>
          <w:p w:rsidR="000A4A7C" w:rsidRPr="00AB306E" w:rsidRDefault="000A4A7C" w:rsidP="000A4A7C">
            <w:pPr>
              <w:rPr>
                <w:rFonts w:ascii="Arial" w:hAnsi="Arial" w:cs="Arial"/>
              </w:rPr>
            </w:pPr>
            <w:r w:rsidRPr="00AB306E">
              <w:rPr>
                <w:rFonts w:ascii="Arial" w:hAnsi="Arial" w:cs="Arial"/>
              </w:rPr>
              <w:t>-6</w:t>
            </w:r>
            <w:r w:rsidR="00E33BDB" w:rsidRPr="00AB306E">
              <w:rPr>
                <w:rFonts w:ascii="Arial" w:hAnsi="Arial" w:cs="Arial"/>
              </w:rPr>
              <w:t>dB</w:t>
            </w:r>
            <w:r w:rsidRPr="00AB306E">
              <w:rPr>
                <w:rFonts w:ascii="Arial" w:hAnsi="Arial" w:cs="Arial"/>
              </w:rPr>
              <w:t>m/5MHz</w:t>
            </w:r>
          </w:p>
        </w:tc>
      </w:tr>
      <w:tr w:rsidR="000A4A7C" w:rsidRPr="00AB306E" w:rsidTr="00D93D73">
        <w:trPr>
          <w:jc w:val="center"/>
        </w:trPr>
        <w:tc>
          <w:tcPr>
            <w:tcW w:w="3147" w:type="dxa"/>
          </w:tcPr>
          <w:p w:rsidR="000A4A7C" w:rsidRPr="00AB306E" w:rsidRDefault="00D3065C" w:rsidP="000A4A7C">
            <w:pPr>
              <w:rPr>
                <w:rFonts w:ascii="Arial" w:hAnsi="Arial" w:cs="Arial"/>
              </w:rPr>
            </w:pPr>
            <w:r w:rsidRPr="00AB306E">
              <w:rPr>
                <w:rFonts w:ascii="Arial" w:hAnsi="Arial" w:cs="Arial"/>
              </w:rPr>
              <w:t>D</w:t>
            </w:r>
            <w:r w:rsidR="000A4A7C" w:rsidRPr="00AB306E">
              <w:rPr>
                <w:rFonts w:ascii="Arial" w:hAnsi="Arial" w:cs="Arial"/>
              </w:rPr>
              <w:t>ownlink</w:t>
            </w:r>
          </w:p>
        </w:tc>
        <w:tc>
          <w:tcPr>
            <w:tcW w:w="3119" w:type="dxa"/>
          </w:tcPr>
          <w:p w:rsidR="000A4A7C" w:rsidRPr="00AB306E" w:rsidRDefault="000A4A7C" w:rsidP="000A4A7C">
            <w:pPr>
              <w:rPr>
                <w:rFonts w:ascii="Arial" w:hAnsi="Arial" w:cs="Arial"/>
              </w:rPr>
            </w:pPr>
            <w:r w:rsidRPr="00AB306E">
              <w:rPr>
                <w:rFonts w:ascii="Arial" w:hAnsi="Arial" w:cs="Arial"/>
              </w:rPr>
              <w:t>+18</w:t>
            </w:r>
            <w:r w:rsidR="00E33BDB" w:rsidRPr="00AB306E">
              <w:rPr>
                <w:rFonts w:ascii="Arial" w:hAnsi="Arial" w:cs="Arial"/>
              </w:rPr>
              <w:t>dB</w:t>
            </w:r>
            <w:r w:rsidRPr="00AB306E">
              <w:rPr>
                <w:rFonts w:ascii="Arial" w:hAnsi="Arial" w:cs="Arial"/>
              </w:rPr>
              <w:t>m/5MHz</w:t>
            </w:r>
          </w:p>
        </w:tc>
        <w:tc>
          <w:tcPr>
            <w:tcW w:w="2551" w:type="dxa"/>
          </w:tcPr>
          <w:p w:rsidR="000A4A7C" w:rsidRPr="00AB306E" w:rsidRDefault="000A4A7C" w:rsidP="000A4A7C">
            <w:pPr>
              <w:rPr>
                <w:rFonts w:ascii="Arial" w:hAnsi="Arial" w:cs="Arial"/>
              </w:rPr>
            </w:pPr>
            <w:r w:rsidRPr="00AB306E">
              <w:rPr>
                <w:rFonts w:ascii="Arial" w:hAnsi="Arial" w:cs="Arial"/>
              </w:rPr>
              <w:t>-37</w:t>
            </w:r>
            <w:r w:rsidR="00E33BDB" w:rsidRPr="00AB306E">
              <w:rPr>
                <w:rFonts w:ascii="Arial" w:hAnsi="Arial" w:cs="Arial"/>
              </w:rPr>
              <w:t>dB</w:t>
            </w:r>
            <w:r w:rsidRPr="00AB306E">
              <w:rPr>
                <w:rFonts w:ascii="Arial" w:hAnsi="Arial" w:cs="Arial"/>
              </w:rPr>
              <w:t>m/5MHz</w:t>
            </w:r>
          </w:p>
        </w:tc>
      </w:tr>
      <w:tr w:rsidR="000A4A7C" w:rsidRPr="00AB306E" w:rsidTr="00D93D73">
        <w:trPr>
          <w:jc w:val="center"/>
        </w:trPr>
        <w:tc>
          <w:tcPr>
            <w:tcW w:w="3147" w:type="dxa"/>
          </w:tcPr>
          <w:p w:rsidR="000A4A7C" w:rsidRPr="00AB306E" w:rsidRDefault="000A4A7C" w:rsidP="000A4A7C">
            <w:pPr>
              <w:rPr>
                <w:rFonts w:ascii="Arial" w:hAnsi="Arial" w:cs="Arial"/>
              </w:rPr>
            </w:pPr>
            <w:r w:rsidRPr="00AB306E">
              <w:rPr>
                <w:rFonts w:ascii="Arial" w:hAnsi="Arial" w:cs="Arial"/>
              </w:rPr>
              <w:t>Guard Band</w:t>
            </w:r>
          </w:p>
        </w:tc>
        <w:tc>
          <w:tcPr>
            <w:tcW w:w="3119" w:type="dxa"/>
          </w:tcPr>
          <w:p w:rsidR="000A4A7C" w:rsidRPr="00AB306E" w:rsidRDefault="000A4A7C" w:rsidP="000A4A7C">
            <w:pPr>
              <w:rPr>
                <w:rFonts w:ascii="Arial" w:hAnsi="Arial" w:cs="Arial"/>
              </w:rPr>
            </w:pPr>
            <w:r w:rsidRPr="00AB306E">
              <w:rPr>
                <w:rFonts w:ascii="Arial" w:hAnsi="Arial" w:cs="Arial"/>
              </w:rPr>
              <w:t>+22</w:t>
            </w:r>
            <w:r w:rsidR="00E33BDB" w:rsidRPr="00AB306E">
              <w:rPr>
                <w:rFonts w:ascii="Arial" w:hAnsi="Arial" w:cs="Arial"/>
              </w:rPr>
              <w:t>dB</w:t>
            </w:r>
            <w:r w:rsidRPr="00AB306E">
              <w:rPr>
                <w:rFonts w:ascii="Arial" w:hAnsi="Arial" w:cs="Arial"/>
              </w:rPr>
              <w:t>m/5</w:t>
            </w:r>
            <w:r w:rsidR="00E33BDB" w:rsidRPr="00AB306E">
              <w:rPr>
                <w:rFonts w:ascii="Arial" w:hAnsi="Arial" w:cs="Arial"/>
              </w:rPr>
              <w:t>MHz</w:t>
            </w:r>
          </w:p>
        </w:tc>
        <w:tc>
          <w:tcPr>
            <w:tcW w:w="2551" w:type="dxa"/>
          </w:tcPr>
          <w:p w:rsidR="000A4A7C" w:rsidRPr="00AB306E" w:rsidRDefault="000A4A7C" w:rsidP="000A4A7C">
            <w:pPr>
              <w:rPr>
                <w:rFonts w:ascii="Arial" w:hAnsi="Arial" w:cs="Arial"/>
              </w:rPr>
            </w:pPr>
            <w:r w:rsidRPr="00AB306E">
              <w:rPr>
                <w:rFonts w:ascii="Arial" w:hAnsi="Arial" w:cs="Arial"/>
              </w:rPr>
              <w:t>-37</w:t>
            </w:r>
            <w:r w:rsidR="00E33BDB" w:rsidRPr="00AB306E">
              <w:rPr>
                <w:rFonts w:ascii="Arial" w:hAnsi="Arial" w:cs="Arial"/>
              </w:rPr>
              <w:t>dB</w:t>
            </w:r>
            <w:r w:rsidRPr="00AB306E">
              <w:rPr>
                <w:rFonts w:ascii="Arial" w:hAnsi="Arial" w:cs="Arial"/>
              </w:rPr>
              <w:t>m/5MHz</w:t>
            </w:r>
          </w:p>
        </w:tc>
      </w:tr>
      <w:tr w:rsidR="000A4A7C" w:rsidRPr="00AB306E" w:rsidTr="00D93D73">
        <w:trPr>
          <w:jc w:val="center"/>
        </w:trPr>
        <w:tc>
          <w:tcPr>
            <w:tcW w:w="3147" w:type="dxa"/>
          </w:tcPr>
          <w:p w:rsidR="000A4A7C" w:rsidRPr="00AB306E" w:rsidRDefault="00C35AE9" w:rsidP="00D93D73">
            <w:pPr>
              <w:rPr>
                <w:rFonts w:ascii="Arial" w:hAnsi="Arial" w:cs="Arial"/>
              </w:rPr>
            </w:pPr>
            <w:r>
              <w:rPr>
                <w:rFonts w:ascii="Arial" w:hAnsi="Arial" w:cs="Arial"/>
              </w:rPr>
              <w:t>TV Broadcasting</w:t>
            </w:r>
            <w:r w:rsidR="00D93D73">
              <w:rPr>
                <w:rFonts w:ascii="Arial" w:hAnsi="Arial" w:cs="Arial"/>
              </w:rPr>
              <w:t xml:space="preserve"> </w:t>
            </w:r>
            <w:r w:rsidR="000A4A7C" w:rsidRPr="00AB306E">
              <w:rPr>
                <w:rFonts w:ascii="Arial" w:hAnsi="Arial" w:cs="Arial"/>
              </w:rPr>
              <w:t>(CASE A)</w:t>
            </w:r>
            <w:r w:rsidR="003864EE" w:rsidRPr="00AB306E">
              <w:rPr>
                <w:rFonts w:ascii="Arial" w:hAnsi="Arial" w:cs="Arial"/>
              </w:rPr>
              <w:t>*</w:t>
            </w:r>
          </w:p>
        </w:tc>
        <w:tc>
          <w:tcPr>
            <w:tcW w:w="3119" w:type="dxa"/>
          </w:tcPr>
          <w:p w:rsidR="000A4A7C" w:rsidRPr="00AB306E" w:rsidRDefault="000A4A7C" w:rsidP="000A4A7C">
            <w:pPr>
              <w:rPr>
                <w:rFonts w:ascii="Arial" w:hAnsi="Arial" w:cs="Arial"/>
              </w:rPr>
            </w:pPr>
            <w:r w:rsidRPr="00AB306E">
              <w:rPr>
                <w:rFonts w:ascii="Arial" w:hAnsi="Arial" w:cs="Arial"/>
              </w:rPr>
              <w:t>0dBm/8MHz</w:t>
            </w:r>
            <w:r w:rsidR="00603705" w:rsidRPr="00AB306E">
              <w:rPr>
                <w:rFonts w:ascii="Arial" w:hAnsi="Arial" w:cs="Arial"/>
              </w:rPr>
              <w:t xml:space="preserve"> or</w:t>
            </w:r>
          </w:p>
          <w:p w:rsidR="000A4A7C" w:rsidRPr="00AB306E" w:rsidRDefault="00DF6BA3" w:rsidP="000A4A7C">
            <w:pPr>
              <w:rPr>
                <w:rFonts w:ascii="Arial" w:hAnsi="Arial" w:cs="Arial"/>
              </w:rPr>
            </w:pPr>
            <w:r>
              <w:rPr>
                <w:rFonts w:ascii="Arial" w:hAnsi="Arial" w:cs="Arial"/>
              </w:rPr>
              <w:t>-23dBm/8MHz,or</w:t>
            </w:r>
          </w:p>
          <w:p w:rsidR="000A4A7C" w:rsidRPr="00AB306E" w:rsidRDefault="000A4A7C" w:rsidP="000A4A7C">
            <w:pPr>
              <w:rPr>
                <w:rFonts w:ascii="Arial" w:hAnsi="Arial" w:cs="Arial"/>
              </w:rPr>
            </w:pPr>
            <w:r w:rsidRPr="00AB306E">
              <w:rPr>
                <w:rFonts w:ascii="Arial" w:hAnsi="Arial" w:cs="Arial"/>
              </w:rPr>
              <w:t>P-59</w:t>
            </w:r>
            <w:r w:rsidR="00E33BDB" w:rsidRPr="00AB306E">
              <w:rPr>
                <w:rFonts w:ascii="Arial" w:hAnsi="Arial" w:cs="Arial"/>
              </w:rPr>
              <w:t>dB</w:t>
            </w:r>
            <w:r w:rsidRPr="00AB306E">
              <w:rPr>
                <w:rFonts w:ascii="Arial" w:hAnsi="Arial" w:cs="Arial"/>
              </w:rPr>
              <w:t>m/8MHz</w:t>
            </w:r>
          </w:p>
        </w:tc>
        <w:tc>
          <w:tcPr>
            <w:tcW w:w="2551" w:type="dxa"/>
          </w:tcPr>
          <w:p w:rsidR="000A4A7C" w:rsidRPr="00AB306E" w:rsidRDefault="000A4A7C" w:rsidP="000A4A7C">
            <w:pPr>
              <w:rPr>
                <w:rFonts w:ascii="Arial" w:hAnsi="Arial" w:cs="Arial"/>
              </w:rPr>
            </w:pPr>
            <w:r w:rsidRPr="00AB306E">
              <w:rPr>
                <w:rFonts w:ascii="Arial" w:hAnsi="Arial" w:cs="Arial"/>
              </w:rPr>
              <w:t>-50</w:t>
            </w:r>
            <w:r w:rsidR="00E33BDB" w:rsidRPr="00AB306E">
              <w:rPr>
                <w:rFonts w:ascii="Arial" w:hAnsi="Arial" w:cs="Arial"/>
              </w:rPr>
              <w:t>dB</w:t>
            </w:r>
            <w:r w:rsidRPr="00AB306E">
              <w:rPr>
                <w:rFonts w:ascii="Arial" w:hAnsi="Arial" w:cs="Arial"/>
              </w:rPr>
              <w:t>m/8MHz</w:t>
            </w:r>
          </w:p>
        </w:tc>
      </w:tr>
      <w:tr w:rsidR="000A4A7C" w:rsidRPr="00AB306E" w:rsidTr="00D93D73">
        <w:trPr>
          <w:jc w:val="center"/>
        </w:trPr>
        <w:tc>
          <w:tcPr>
            <w:tcW w:w="3147" w:type="dxa"/>
          </w:tcPr>
          <w:p w:rsidR="000A4A7C" w:rsidRPr="00AB306E" w:rsidRDefault="00C35AE9" w:rsidP="00D93D73">
            <w:pPr>
              <w:rPr>
                <w:rFonts w:ascii="Arial" w:hAnsi="Arial" w:cs="Arial"/>
              </w:rPr>
            </w:pPr>
            <w:r>
              <w:rPr>
                <w:rFonts w:ascii="Arial" w:hAnsi="Arial" w:cs="Arial"/>
              </w:rPr>
              <w:t>TV Broadcasting</w:t>
            </w:r>
            <w:r w:rsidR="00D93D73">
              <w:rPr>
                <w:rFonts w:ascii="Arial" w:hAnsi="Arial" w:cs="Arial"/>
              </w:rPr>
              <w:t xml:space="preserve"> </w:t>
            </w:r>
            <w:r w:rsidR="000A4A7C" w:rsidRPr="00AB306E">
              <w:rPr>
                <w:rFonts w:ascii="Arial" w:hAnsi="Arial" w:cs="Arial"/>
              </w:rPr>
              <w:t>(CASE B)</w:t>
            </w:r>
            <w:r w:rsidR="003864EE" w:rsidRPr="00AB306E">
              <w:rPr>
                <w:rFonts w:ascii="Arial" w:hAnsi="Arial" w:cs="Arial"/>
              </w:rPr>
              <w:t>*</w:t>
            </w:r>
          </w:p>
        </w:tc>
        <w:tc>
          <w:tcPr>
            <w:tcW w:w="3119" w:type="dxa"/>
          </w:tcPr>
          <w:p w:rsidR="000A4A7C" w:rsidRPr="00AB306E" w:rsidRDefault="000A4A7C" w:rsidP="000A4A7C">
            <w:pPr>
              <w:rPr>
                <w:rFonts w:ascii="Arial" w:hAnsi="Arial" w:cs="Arial"/>
              </w:rPr>
            </w:pPr>
            <w:r w:rsidRPr="00AB306E">
              <w:rPr>
                <w:rFonts w:ascii="Arial" w:hAnsi="Arial" w:cs="Arial"/>
              </w:rPr>
              <w:t>5dBm/8MHz</w:t>
            </w:r>
            <w:r w:rsidR="00603705" w:rsidRPr="00AB306E">
              <w:rPr>
                <w:rFonts w:ascii="Arial" w:hAnsi="Arial" w:cs="Arial"/>
              </w:rPr>
              <w:t xml:space="preserve"> or</w:t>
            </w:r>
          </w:p>
          <w:p w:rsidR="000A4A7C" w:rsidRPr="00AB306E" w:rsidRDefault="00DF6BA3" w:rsidP="000A4A7C">
            <w:pPr>
              <w:rPr>
                <w:rFonts w:ascii="Arial" w:hAnsi="Arial" w:cs="Arial"/>
              </w:rPr>
            </w:pPr>
            <w:r>
              <w:rPr>
                <w:rFonts w:ascii="Arial" w:hAnsi="Arial" w:cs="Arial"/>
              </w:rPr>
              <w:t>-33dBm/8MHz,or</w:t>
            </w:r>
          </w:p>
          <w:p w:rsidR="000A4A7C" w:rsidRPr="00AB306E" w:rsidRDefault="000A4A7C" w:rsidP="000A4A7C">
            <w:pPr>
              <w:rPr>
                <w:rFonts w:ascii="Arial" w:hAnsi="Arial" w:cs="Arial"/>
              </w:rPr>
            </w:pPr>
            <w:r w:rsidRPr="00AB306E">
              <w:rPr>
                <w:rFonts w:ascii="Arial" w:hAnsi="Arial" w:cs="Arial"/>
              </w:rPr>
              <w:t>P-49</w:t>
            </w:r>
            <w:r w:rsidR="00E33BDB" w:rsidRPr="00AB306E">
              <w:rPr>
                <w:rFonts w:ascii="Arial" w:hAnsi="Arial" w:cs="Arial"/>
              </w:rPr>
              <w:t>dB</w:t>
            </w:r>
            <w:r w:rsidRPr="00AB306E">
              <w:rPr>
                <w:rFonts w:ascii="Arial" w:hAnsi="Arial" w:cs="Arial"/>
              </w:rPr>
              <w:t>m/8MHz</w:t>
            </w:r>
          </w:p>
        </w:tc>
        <w:tc>
          <w:tcPr>
            <w:tcW w:w="2551" w:type="dxa"/>
          </w:tcPr>
          <w:p w:rsidR="000A4A7C" w:rsidRPr="00AB306E" w:rsidRDefault="000A4A7C" w:rsidP="000A4A7C">
            <w:pPr>
              <w:rPr>
                <w:rFonts w:ascii="Arial" w:hAnsi="Arial" w:cs="Arial"/>
              </w:rPr>
            </w:pPr>
            <w:r w:rsidRPr="00AB306E">
              <w:rPr>
                <w:rFonts w:ascii="Arial" w:hAnsi="Arial" w:cs="Arial"/>
              </w:rPr>
              <w:t>-50</w:t>
            </w:r>
            <w:r w:rsidR="00E33BDB" w:rsidRPr="00AB306E">
              <w:rPr>
                <w:rFonts w:ascii="Arial" w:hAnsi="Arial" w:cs="Arial"/>
              </w:rPr>
              <w:t>dB</w:t>
            </w:r>
            <w:r w:rsidRPr="00AB306E">
              <w:rPr>
                <w:rFonts w:ascii="Arial" w:hAnsi="Arial" w:cs="Arial"/>
              </w:rPr>
              <w:t>m/8MHz</w:t>
            </w:r>
          </w:p>
        </w:tc>
      </w:tr>
      <w:tr w:rsidR="000A4A7C" w:rsidRPr="00AB306E" w:rsidTr="00D93D73">
        <w:trPr>
          <w:jc w:val="center"/>
        </w:trPr>
        <w:tc>
          <w:tcPr>
            <w:tcW w:w="3147" w:type="dxa"/>
            <w:tcBorders>
              <w:bottom w:val="single" w:sz="4" w:space="0" w:color="000000" w:themeColor="text1"/>
            </w:tcBorders>
          </w:tcPr>
          <w:p w:rsidR="000A4A7C" w:rsidRPr="00AB306E" w:rsidRDefault="00C35AE9" w:rsidP="00D93D73">
            <w:pPr>
              <w:rPr>
                <w:rFonts w:ascii="Arial" w:hAnsi="Arial" w:cs="Arial"/>
              </w:rPr>
            </w:pPr>
            <w:r>
              <w:rPr>
                <w:rFonts w:ascii="Arial" w:hAnsi="Arial" w:cs="Arial"/>
              </w:rPr>
              <w:t>TV Broadcasting</w:t>
            </w:r>
            <w:r w:rsidR="00D93D73">
              <w:rPr>
                <w:rFonts w:ascii="Arial" w:hAnsi="Arial" w:cs="Arial"/>
              </w:rPr>
              <w:t xml:space="preserve"> </w:t>
            </w:r>
            <w:r w:rsidR="000A4A7C" w:rsidRPr="00AB306E">
              <w:rPr>
                <w:rFonts w:ascii="Arial" w:hAnsi="Arial" w:cs="Arial"/>
              </w:rPr>
              <w:t>(CASE C)</w:t>
            </w:r>
            <w:r w:rsidR="003864EE" w:rsidRPr="00AB306E">
              <w:rPr>
                <w:rFonts w:ascii="Arial" w:hAnsi="Arial" w:cs="Arial"/>
              </w:rPr>
              <w:t>*</w:t>
            </w:r>
          </w:p>
        </w:tc>
        <w:tc>
          <w:tcPr>
            <w:tcW w:w="3119" w:type="dxa"/>
            <w:tcBorders>
              <w:bottom w:val="single" w:sz="4" w:space="0" w:color="000000" w:themeColor="text1"/>
            </w:tcBorders>
          </w:tcPr>
          <w:p w:rsidR="000A4A7C" w:rsidRPr="00AB306E" w:rsidRDefault="000A4A7C" w:rsidP="000A4A7C">
            <w:pPr>
              <w:rPr>
                <w:rFonts w:ascii="Arial" w:hAnsi="Arial" w:cs="Arial"/>
              </w:rPr>
            </w:pPr>
            <w:r w:rsidRPr="00AB306E">
              <w:rPr>
                <w:rFonts w:ascii="Arial" w:hAnsi="Arial" w:cs="Arial"/>
              </w:rPr>
              <w:t>22</w:t>
            </w:r>
            <w:r w:rsidR="00E33BDB" w:rsidRPr="00AB306E">
              <w:rPr>
                <w:rFonts w:ascii="Arial" w:hAnsi="Arial" w:cs="Arial"/>
              </w:rPr>
              <w:t>dB</w:t>
            </w:r>
            <w:r w:rsidRPr="00AB306E">
              <w:rPr>
                <w:rFonts w:ascii="Arial" w:hAnsi="Arial" w:cs="Arial"/>
              </w:rPr>
              <w:t>m/8MHz</w:t>
            </w:r>
          </w:p>
        </w:tc>
        <w:tc>
          <w:tcPr>
            <w:tcW w:w="2551" w:type="dxa"/>
            <w:tcBorders>
              <w:bottom w:val="single" w:sz="4" w:space="0" w:color="000000" w:themeColor="text1"/>
            </w:tcBorders>
          </w:tcPr>
          <w:p w:rsidR="000A4A7C" w:rsidRPr="00AB306E" w:rsidRDefault="000A4A7C" w:rsidP="000A4A7C">
            <w:pPr>
              <w:rPr>
                <w:rFonts w:ascii="Arial" w:hAnsi="Arial" w:cs="Arial"/>
              </w:rPr>
            </w:pPr>
            <w:r w:rsidRPr="00AB306E">
              <w:rPr>
                <w:rFonts w:ascii="Arial" w:hAnsi="Arial" w:cs="Arial"/>
              </w:rPr>
              <w:t>-50</w:t>
            </w:r>
            <w:r w:rsidR="00E33BDB" w:rsidRPr="00AB306E">
              <w:rPr>
                <w:rFonts w:ascii="Arial" w:hAnsi="Arial" w:cs="Arial"/>
              </w:rPr>
              <w:t>dB</w:t>
            </w:r>
            <w:r w:rsidRPr="00AB306E">
              <w:rPr>
                <w:rFonts w:ascii="Arial" w:hAnsi="Arial" w:cs="Arial"/>
              </w:rPr>
              <w:t>m/8MHz</w:t>
            </w:r>
          </w:p>
        </w:tc>
      </w:tr>
      <w:tr w:rsidR="00D93D73" w:rsidRPr="00AB306E" w:rsidTr="00D93D73">
        <w:trPr>
          <w:trHeight w:val="289"/>
          <w:jc w:val="center"/>
        </w:trPr>
        <w:tc>
          <w:tcPr>
            <w:tcW w:w="8817" w:type="dxa"/>
            <w:gridSpan w:val="3"/>
            <w:tcBorders>
              <w:left w:val="nil"/>
              <w:right w:val="nil"/>
            </w:tcBorders>
          </w:tcPr>
          <w:p w:rsidR="00D93D73" w:rsidRPr="00AB306E" w:rsidRDefault="00D93D73" w:rsidP="000A4A7C">
            <w:pPr>
              <w:rPr>
                <w:rFonts w:ascii="Arial" w:hAnsi="Arial" w:cs="Arial"/>
              </w:rPr>
            </w:pPr>
          </w:p>
        </w:tc>
      </w:tr>
    </w:tbl>
    <w:p w:rsidR="000575B5" w:rsidRPr="00DF6BA3" w:rsidRDefault="00DB5A61" w:rsidP="00961A50">
      <w:pPr>
        <w:rPr>
          <w:rFonts w:ascii="Arial" w:hAnsi="Arial" w:cs="Arial"/>
          <w:i/>
          <w:sz w:val="20"/>
          <w:szCs w:val="20"/>
        </w:rPr>
      </w:pPr>
      <w:r w:rsidRPr="00DF6BA3">
        <w:rPr>
          <w:rFonts w:ascii="Arial" w:hAnsi="Arial" w:cs="Arial"/>
          <w:i/>
          <w:sz w:val="20"/>
          <w:szCs w:val="20"/>
        </w:rPr>
        <w:t>*See the previous table</w:t>
      </w:r>
      <w:r w:rsidR="003A0FAC" w:rsidRPr="00DF6BA3">
        <w:rPr>
          <w:rFonts w:ascii="Arial" w:hAnsi="Arial" w:cs="Arial"/>
          <w:i/>
          <w:sz w:val="20"/>
          <w:szCs w:val="20"/>
        </w:rPr>
        <w:t>s</w:t>
      </w:r>
      <w:r w:rsidRPr="00DF6BA3">
        <w:rPr>
          <w:rFonts w:ascii="Arial" w:hAnsi="Arial" w:cs="Arial"/>
          <w:i/>
          <w:sz w:val="20"/>
          <w:szCs w:val="20"/>
        </w:rPr>
        <w:t xml:space="preserve"> for details of cases A, B and C</w:t>
      </w:r>
    </w:p>
    <w:p w:rsidR="003864EE" w:rsidRPr="00DF6BA3" w:rsidRDefault="003864EE" w:rsidP="00961A50">
      <w:pPr>
        <w:rPr>
          <w:rFonts w:ascii="Arial" w:hAnsi="Arial" w:cs="Arial"/>
          <w:sz w:val="22"/>
          <w:szCs w:val="22"/>
        </w:rPr>
      </w:pPr>
    </w:p>
    <w:p w:rsidR="00871500" w:rsidRPr="00AB306E" w:rsidRDefault="00871500" w:rsidP="00C63094">
      <w:pPr>
        <w:jc w:val="both"/>
        <w:rPr>
          <w:rFonts w:ascii="Arial" w:hAnsi="Arial" w:cs="Arial"/>
          <w:b/>
        </w:rPr>
      </w:pPr>
      <w:r w:rsidRPr="00AB306E">
        <w:rPr>
          <w:rFonts w:ascii="Arial" w:hAnsi="Arial" w:cs="Arial"/>
          <w:b/>
        </w:rPr>
        <w:t>USA</w:t>
      </w:r>
    </w:p>
    <w:p w:rsidR="009B55EE" w:rsidRDefault="003A0FAC" w:rsidP="00DF6BA3">
      <w:pPr>
        <w:rPr>
          <w:rFonts w:ascii="Arial" w:hAnsi="Arial" w:cs="Arial"/>
          <w:sz w:val="22"/>
          <w:szCs w:val="22"/>
        </w:rPr>
      </w:pPr>
      <w:r w:rsidRPr="00DF6BA3">
        <w:rPr>
          <w:rFonts w:ascii="Arial" w:hAnsi="Arial" w:cs="Arial"/>
          <w:sz w:val="22"/>
          <w:szCs w:val="22"/>
        </w:rPr>
        <w:t>In t</w:t>
      </w:r>
      <w:r w:rsidR="000575B5" w:rsidRPr="00DF6BA3">
        <w:rPr>
          <w:rFonts w:ascii="Arial" w:hAnsi="Arial" w:cs="Arial"/>
          <w:sz w:val="22"/>
          <w:szCs w:val="22"/>
        </w:rPr>
        <w:t>he US</w:t>
      </w:r>
      <w:r w:rsidRPr="00DF6BA3">
        <w:rPr>
          <w:rFonts w:ascii="Arial" w:hAnsi="Arial" w:cs="Arial"/>
          <w:sz w:val="22"/>
          <w:szCs w:val="22"/>
        </w:rPr>
        <w:t>, the</w:t>
      </w:r>
      <w:r w:rsidR="000575B5" w:rsidRPr="00DF6BA3">
        <w:rPr>
          <w:rFonts w:ascii="Arial" w:hAnsi="Arial" w:cs="Arial"/>
          <w:sz w:val="22"/>
          <w:szCs w:val="22"/>
        </w:rPr>
        <w:t xml:space="preserve"> FCC arrangements f</w:t>
      </w:r>
      <w:r w:rsidR="00961A50" w:rsidRPr="00DF6BA3">
        <w:rPr>
          <w:rFonts w:ascii="Arial" w:hAnsi="Arial" w:cs="Arial"/>
          <w:sz w:val="22"/>
          <w:szCs w:val="22"/>
        </w:rPr>
        <w:t>or op</w:t>
      </w:r>
      <w:r w:rsidR="005F0915" w:rsidRPr="00DF6BA3">
        <w:rPr>
          <w:rFonts w:ascii="Arial" w:hAnsi="Arial" w:cs="Arial"/>
          <w:sz w:val="22"/>
          <w:szCs w:val="22"/>
        </w:rPr>
        <w:t xml:space="preserve">erations in the </w:t>
      </w:r>
      <w:r w:rsidR="00DF6BA3">
        <w:rPr>
          <w:rFonts w:ascii="Arial" w:hAnsi="Arial" w:cs="Arial"/>
          <w:sz w:val="22"/>
          <w:szCs w:val="22"/>
        </w:rPr>
        <w:t>range 698-</w:t>
      </w:r>
      <w:r w:rsidR="005F0915" w:rsidRPr="00DF6BA3">
        <w:rPr>
          <w:rFonts w:ascii="Arial" w:hAnsi="Arial" w:cs="Arial"/>
          <w:sz w:val="22"/>
          <w:szCs w:val="22"/>
        </w:rPr>
        <w:t>746</w:t>
      </w:r>
      <w:r w:rsidR="00DF6BA3">
        <w:rPr>
          <w:rFonts w:ascii="Arial" w:hAnsi="Arial" w:cs="Arial"/>
          <w:sz w:val="22"/>
          <w:szCs w:val="22"/>
        </w:rPr>
        <w:t xml:space="preserve"> </w:t>
      </w:r>
      <w:r w:rsidR="00E33BDB" w:rsidRPr="00DF6BA3">
        <w:rPr>
          <w:rFonts w:ascii="Arial" w:hAnsi="Arial" w:cs="Arial"/>
          <w:sz w:val="22"/>
          <w:szCs w:val="22"/>
        </w:rPr>
        <w:t>MHz</w:t>
      </w:r>
      <w:r w:rsidR="000575B5" w:rsidRPr="00DF6BA3">
        <w:rPr>
          <w:rFonts w:ascii="Arial" w:hAnsi="Arial" w:cs="Arial"/>
          <w:sz w:val="22"/>
          <w:szCs w:val="22"/>
        </w:rPr>
        <w:t xml:space="preserve"> </w:t>
      </w:r>
      <w:r w:rsidR="005F0915" w:rsidRPr="00DF6BA3">
        <w:rPr>
          <w:rFonts w:ascii="Arial" w:hAnsi="Arial" w:cs="Arial"/>
          <w:sz w:val="22"/>
          <w:szCs w:val="22"/>
        </w:rPr>
        <w:t>specify that</w:t>
      </w:r>
      <w:r w:rsidR="00961A50" w:rsidRPr="00DF6BA3">
        <w:rPr>
          <w:rFonts w:ascii="Arial" w:hAnsi="Arial" w:cs="Arial"/>
          <w:sz w:val="22"/>
          <w:szCs w:val="22"/>
        </w:rPr>
        <w:t xml:space="preserve"> the power of any emission outsid</w:t>
      </w:r>
      <w:r w:rsidR="00290109" w:rsidRPr="00DF6BA3">
        <w:rPr>
          <w:rFonts w:ascii="Arial" w:hAnsi="Arial" w:cs="Arial"/>
          <w:sz w:val="22"/>
          <w:szCs w:val="22"/>
        </w:rPr>
        <w:t>e a licensee’s frequency band(s)</w:t>
      </w:r>
      <w:r w:rsidR="00961A50" w:rsidRPr="00DF6BA3">
        <w:rPr>
          <w:rFonts w:ascii="Arial" w:hAnsi="Arial" w:cs="Arial"/>
          <w:sz w:val="22"/>
          <w:szCs w:val="22"/>
        </w:rPr>
        <w:t xml:space="preserve"> of operation </w:t>
      </w:r>
      <w:r w:rsidR="005F0915" w:rsidRPr="00DF6BA3">
        <w:rPr>
          <w:rFonts w:ascii="Arial" w:hAnsi="Arial" w:cs="Arial"/>
          <w:sz w:val="22"/>
          <w:szCs w:val="22"/>
        </w:rPr>
        <w:t>must be</w:t>
      </w:r>
      <w:r w:rsidR="00961A50" w:rsidRPr="00DF6BA3">
        <w:rPr>
          <w:rFonts w:ascii="Arial" w:hAnsi="Arial" w:cs="Arial"/>
          <w:sz w:val="22"/>
          <w:szCs w:val="22"/>
        </w:rPr>
        <w:t xml:space="preserve"> below the </w:t>
      </w:r>
      <w:r w:rsidR="005A7FA9" w:rsidRPr="00DF6BA3">
        <w:rPr>
          <w:rFonts w:ascii="Arial" w:hAnsi="Arial" w:cs="Arial"/>
          <w:sz w:val="22"/>
          <w:szCs w:val="22"/>
        </w:rPr>
        <w:t xml:space="preserve">in-band </w:t>
      </w:r>
      <w:r w:rsidR="00961A50" w:rsidRPr="00DF6BA3">
        <w:rPr>
          <w:rFonts w:ascii="Arial" w:hAnsi="Arial" w:cs="Arial"/>
          <w:sz w:val="22"/>
          <w:szCs w:val="22"/>
        </w:rPr>
        <w:t>transmitter power (</w:t>
      </w:r>
      <w:r w:rsidR="00DB5A61" w:rsidRPr="00DF6BA3">
        <w:rPr>
          <w:rFonts w:ascii="Arial" w:hAnsi="Arial" w:cs="Arial"/>
          <w:i/>
          <w:sz w:val="22"/>
          <w:szCs w:val="22"/>
        </w:rPr>
        <w:t>P</w:t>
      </w:r>
      <w:r w:rsidR="005A7FA9" w:rsidRPr="00DF6BA3">
        <w:rPr>
          <w:rFonts w:ascii="Arial" w:hAnsi="Arial" w:cs="Arial"/>
          <w:sz w:val="22"/>
          <w:szCs w:val="22"/>
        </w:rPr>
        <w:t>)</w:t>
      </w:r>
      <w:r w:rsidR="00961A50" w:rsidRPr="00DF6BA3">
        <w:rPr>
          <w:rFonts w:ascii="Arial" w:hAnsi="Arial" w:cs="Arial"/>
          <w:sz w:val="22"/>
          <w:szCs w:val="22"/>
        </w:rPr>
        <w:t xml:space="preserve"> by at least </w:t>
      </w:r>
    </w:p>
    <w:p w:rsidR="00961A50" w:rsidRPr="00DF6BA3" w:rsidRDefault="00961A50" w:rsidP="00DF6BA3">
      <w:pPr>
        <w:rPr>
          <w:rFonts w:ascii="Arial" w:hAnsi="Arial" w:cs="Arial"/>
          <w:sz w:val="22"/>
          <w:szCs w:val="22"/>
        </w:rPr>
      </w:pPr>
      <w:r w:rsidRPr="00DF6BA3">
        <w:rPr>
          <w:rFonts w:ascii="Arial" w:hAnsi="Arial" w:cs="Arial"/>
          <w:sz w:val="22"/>
          <w:szCs w:val="22"/>
        </w:rPr>
        <w:t>43 + 10 log (</w:t>
      </w:r>
      <w:r w:rsidR="00DB5A61" w:rsidRPr="00DF6BA3">
        <w:rPr>
          <w:rFonts w:ascii="Arial" w:hAnsi="Arial" w:cs="Arial"/>
          <w:i/>
          <w:sz w:val="22"/>
          <w:szCs w:val="22"/>
        </w:rPr>
        <w:t>P</w:t>
      </w:r>
      <w:proofErr w:type="gramStart"/>
      <w:r w:rsidRPr="00DF6BA3">
        <w:rPr>
          <w:rFonts w:ascii="Arial" w:hAnsi="Arial" w:cs="Arial"/>
          <w:sz w:val="22"/>
          <w:szCs w:val="22"/>
        </w:rPr>
        <w:t>)</w:t>
      </w:r>
      <w:r w:rsidR="00E33BDB" w:rsidRPr="00DF6BA3">
        <w:rPr>
          <w:rFonts w:ascii="Arial" w:hAnsi="Arial" w:cs="Arial"/>
          <w:sz w:val="22"/>
          <w:szCs w:val="22"/>
        </w:rPr>
        <w:t>dB</w:t>
      </w:r>
      <w:proofErr w:type="gramEnd"/>
      <w:r w:rsidRPr="00DF6BA3">
        <w:rPr>
          <w:rFonts w:ascii="Arial" w:hAnsi="Arial" w:cs="Arial"/>
          <w:sz w:val="22"/>
          <w:szCs w:val="22"/>
        </w:rPr>
        <w:t>.</w:t>
      </w:r>
      <w:r w:rsidR="00285262" w:rsidRPr="00DF6BA3">
        <w:rPr>
          <w:rFonts w:ascii="Arial" w:hAnsi="Arial" w:cs="Arial"/>
          <w:sz w:val="22"/>
          <w:szCs w:val="22"/>
        </w:rPr>
        <w:t xml:space="preserve"> </w:t>
      </w:r>
      <w:r w:rsidR="005A7FA9" w:rsidRPr="00DF6BA3">
        <w:rPr>
          <w:rFonts w:ascii="Arial" w:hAnsi="Arial" w:cs="Arial"/>
          <w:sz w:val="22"/>
          <w:szCs w:val="22"/>
        </w:rPr>
        <w:t xml:space="preserve">The power, </w:t>
      </w:r>
      <w:r w:rsidR="00DB5A61" w:rsidRPr="00DF6BA3">
        <w:rPr>
          <w:rFonts w:ascii="Arial" w:hAnsi="Arial" w:cs="Arial"/>
          <w:i/>
          <w:sz w:val="22"/>
          <w:szCs w:val="22"/>
        </w:rPr>
        <w:t>P</w:t>
      </w:r>
      <w:r w:rsidR="005A7FA9" w:rsidRPr="00DF6BA3">
        <w:rPr>
          <w:rFonts w:ascii="Arial" w:hAnsi="Arial" w:cs="Arial"/>
          <w:sz w:val="22"/>
          <w:szCs w:val="22"/>
        </w:rPr>
        <w:t xml:space="preserve">, is measured in watts. </w:t>
      </w:r>
      <w:r w:rsidRPr="00DF6BA3">
        <w:rPr>
          <w:rFonts w:ascii="Arial" w:hAnsi="Arial" w:cs="Arial"/>
          <w:sz w:val="22"/>
          <w:szCs w:val="22"/>
        </w:rPr>
        <w:t>Compliance with this provision is based on the use of measurement instrumentation employing a resolution bandwidth of 100</w:t>
      </w:r>
      <w:r w:rsidR="00DF6BA3">
        <w:rPr>
          <w:rFonts w:ascii="Arial" w:hAnsi="Arial" w:cs="Arial"/>
          <w:sz w:val="22"/>
          <w:szCs w:val="22"/>
        </w:rPr>
        <w:t xml:space="preserve"> </w:t>
      </w:r>
      <w:r w:rsidR="00E33BDB" w:rsidRPr="00DF6BA3">
        <w:rPr>
          <w:rFonts w:ascii="Arial" w:hAnsi="Arial" w:cs="Arial"/>
          <w:sz w:val="22"/>
          <w:szCs w:val="22"/>
        </w:rPr>
        <w:t>kHz</w:t>
      </w:r>
      <w:r w:rsidRPr="00DF6BA3">
        <w:rPr>
          <w:rFonts w:ascii="Arial" w:hAnsi="Arial" w:cs="Arial"/>
          <w:sz w:val="22"/>
          <w:szCs w:val="22"/>
        </w:rPr>
        <w:t xml:space="preserve"> or greater. However, in the 100</w:t>
      </w:r>
      <w:r w:rsidR="00DF6BA3">
        <w:rPr>
          <w:rFonts w:ascii="Arial" w:hAnsi="Arial" w:cs="Arial"/>
          <w:sz w:val="22"/>
          <w:szCs w:val="22"/>
        </w:rPr>
        <w:t xml:space="preserve"> </w:t>
      </w:r>
      <w:r w:rsidR="00E33BDB" w:rsidRPr="00DF6BA3">
        <w:rPr>
          <w:rFonts w:ascii="Arial" w:hAnsi="Arial" w:cs="Arial"/>
          <w:sz w:val="22"/>
          <w:szCs w:val="22"/>
        </w:rPr>
        <w:t>kHz</w:t>
      </w:r>
      <w:r w:rsidRPr="00DF6BA3">
        <w:rPr>
          <w:rFonts w:ascii="Arial" w:hAnsi="Arial" w:cs="Arial"/>
          <w:sz w:val="22"/>
          <w:szCs w:val="22"/>
        </w:rPr>
        <w:t xml:space="preserve"> bands immediately outside and adjacent to a licensee’s frequency block, a resolution bandwidth of at least 30</w:t>
      </w:r>
      <w:r w:rsidR="00DF6BA3">
        <w:rPr>
          <w:rFonts w:ascii="Arial" w:hAnsi="Arial" w:cs="Arial"/>
          <w:sz w:val="22"/>
          <w:szCs w:val="22"/>
        </w:rPr>
        <w:t xml:space="preserve"> </w:t>
      </w:r>
      <w:r w:rsidR="00E33BDB" w:rsidRPr="00DF6BA3">
        <w:rPr>
          <w:rFonts w:ascii="Arial" w:hAnsi="Arial" w:cs="Arial"/>
          <w:sz w:val="22"/>
          <w:szCs w:val="22"/>
        </w:rPr>
        <w:t>kHz</w:t>
      </w:r>
      <w:r w:rsidRPr="00DF6BA3">
        <w:rPr>
          <w:rFonts w:ascii="Arial" w:hAnsi="Arial" w:cs="Arial"/>
          <w:sz w:val="22"/>
          <w:szCs w:val="22"/>
        </w:rPr>
        <w:t xml:space="preserve"> may be </w:t>
      </w:r>
      <w:proofErr w:type="gramStart"/>
      <w:r w:rsidRPr="00DF6BA3">
        <w:rPr>
          <w:rFonts w:ascii="Arial" w:hAnsi="Arial" w:cs="Arial"/>
          <w:sz w:val="22"/>
          <w:szCs w:val="22"/>
        </w:rPr>
        <w:t>employed</w:t>
      </w:r>
      <w:r w:rsidR="005F0915" w:rsidRPr="00DF6BA3">
        <w:rPr>
          <w:rFonts w:ascii="Arial" w:hAnsi="Arial" w:cs="Arial"/>
          <w:sz w:val="22"/>
          <w:szCs w:val="22"/>
        </w:rPr>
        <w:t>.</w:t>
      </w:r>
      <w:proofErr w:type="gramEnd"/>
    </w:p>
    <w:p w:rsidR="00961A50" w:rsidRPr="00DF6BA3" w:rsidRDefault="00961A50" w:rsidP="00DF6BA3">
      <w:pPr>
        <w:rPr>
          <w:rFonts w:ascii="Arial" w:hAnsi="Arial" w:cs="Arial"/>
          <w:sz w:val="22"/>
          <w:szCs w:val="22"/>
        </w:rPr>
      </w:pPr>
    </w:p>
    <w:p w:rsidR="00961A50" w:rsidRPr="00DF6BA3" w:rsidRDefault="00961A50" w:rsidP="00DF6BA3">
      <w:pPr>
        <w:rPr>
          <w:rFonts w:ascii="Arial" w:hAnsi="Arial" w:cs="Arial"/>
          <w:sz w:val="22"/>
          <w:szCs w:val="22"/>
        </w:rPr>
      </w:pPr>
      <w:r w:rsidRPr="00DF6BA3">
        <w:rPr>
          <w:rFonts w:ascii="Arial" w:hAnsi="Arial" w:cs="Arial"/>
          <w:sz w:val="22"/>
          <w:szCs w:val="22"/>
        </w:rPr>
        <w:t xml:space="preserve">For operations in </w:t>
      </w:r>
      <w:r w:rsidR="009E4F48" w:rsidRPr="00DF6BA3">
        <w:rPr>
          <w:rFonts w:ascii="Arial" w:hAnsi="Arial" w:cs="Arial"/>
          <w:sz w:val="22"/>
          <w:szCs w:val="22"/>
        </w:rPr>
        <w:t>both halves of the paired spectrum in the upper band (746</w:t>
      </w:r>
      <w:r w:rsidR="00DF6BA3">
        <w:rPr>
          <w:rFonts w:ascii="Arial" w:hAnsi="Arial" w:cs="Arial"/>
          <w:sz w:val="22"/>
          <w:szCs w:val="22"/>
        </w:rPr>
        <w:t>-</w:t>
      </w:r>
      <w:r w:rsidR="009E4F48" w:rsidRPr="00DF6BA3">
        <w:rPr>
          <w:rFonts w:ascii="Arial" w:hAnsi="Arial" w:cs="Arial"/>
          <w:sz w:val="22"/>
          <w:szCs w:val="22"/>
        </w:rPr>
        <w:t>758</w:t>
      </w:r>
      <w:r w:rsidR="00DF6BA3">
        <w:rPr>
          <w:rFonts w:ascii="Arial" w:hAnsi="Arial" w:cs="Arial"/>
          <w:sz w:val="22"/>
          <w:szCs w:val="22"/>
        </w:rPr>
        <w:t xml:space="preserve"> </w:t>
      </w:r>
      <w:r w:rsidR="00E33BDB" w:rsidRPr="00DF6BA3">
        <w:rPr>
          <w:rFonts w:ascii="Arial" w:hAnsi="Arial" w:cs="Arial"/>
          <w:sz w:val="22"/>
          <w:szCs w:val="22"/>
        </w:rPr>
        <w:t>MHz</w:t>
      </w:r>
      <w:r w:rsidR="00DF6BA3">
        <w:rPr>
          <w:rFonts w:ascii="Arial" w:hAnsi="Arial" w:cs="Arial"/>
          <w:sz w:val="22"/>
          <w:szCs w:val="22"/>
        </w:rPr>
        <w:t xml:space="preserve"> and </w:t>
      </w:r>
      <w:r w:rsidRPr="00DF6BA3">
        <w:rPr>
          <w:rFonts w:ascii="Arial" w:hAnsi="Arial" w:cs="Arial"/>
          <w:sz w:val="22"/>
          <w:szCs w:val="22"/>
        </w:rPr>
        <w:t>776</w:t>
      </w:r>
      <w:r w:rsidR="00DF6BA3">
        <w:rPr>
          <w:rFonts w:ascii="Arial" w:hAnsi="Arial" w:cs="Arial"/>
          <w:sz w:val="22"/>
          <w:szCs w:val="22"/>
        </w:rPr>
        <w:t>-</w:t>
      </w:r>
      <w:r w:rsidRPr="00DF6BA3">
        <w:rPr>
          <w:rFonts w:ascii="Arial" w:hAnsi="Arial" w:cs="Arial"/>
          <w:sz w:val="22"/>
          <w:szCs w:val="22"/>
        </w:rPr>
        <w:t>788</w:t>
      </w:r>
      <w:r w:rsidR="00DF6BA3">
        <w:rPr>
          <w:rFonts w:ascii="Arial" w:hAnsi="Arial" w:cs="Arial"/>
          <w:sz w:val="22"/>
          <w:szCs w:val="22"/>
        </w:rPr>
        <w:t xml:space="preserve"> </w:t>
      </w:r>
      <w:r w:rsidR="00E33BDB" w:rsidRPr="00DF6BA3">
        <w:rPr>
          <w:rFonts w:ascii="Arial" w:hAnsi="Arial" w:cs="Arial"/>
          <w:sz w:val="22"/>
          <w:szCs w:val="22"/>
        </w:rPr>
        <w:t>MHz</w:t>
      </w:r>
      <w:r w:rsidR="009E4F48" w:rsidRPr="00DF6BA3">
        <w:rPr>
          <w:rFonts w:ascii="Arial" w:hAnsi="Arial" w:cs="Arial"/>
          <w:sz w:val="22"/>
          <w:szCs w:val="22"/>
        </w:rPr>
        <w:t>)</w:t>
      </w:r>
      <w:r w:rsidRPr="00DF6BA3">
        <w:rPr>
          <w:rFonts w:ascii="Arial" w:hAnsi="Arial" w:cs="Arial"/>
          <w:sz w:val="22"/>
          <w:szCs w:val="22"/>
        </w:rPr>
        <w:t>, the power of any emission outside the licensee’s frequency band(s) of operation shall be attenuated below the transmitter</w:t>
      </w:r>
      <w:r w:rsidR="00285262" w:rsidRPr="00DF6BA3">
        <w:rPr>
          <w:rFonts w:ascii="Arial" w:hAnsi="Arial" w:cs="Arial"/>
          <w:sz w:val="22"/>
          <w:szCs w:val="22"/>
        </w:rPr>
        <w:t xml:space="preserve"> </w:t>
      </w:r>
      <w:r w:rsidRPr="00DF6BA3">
        <w:rPr>
          <w:rFonts w:ascii="Arial" w:hAnsi="Arial" w:cs="Arial"/>
          <w:sz w:val="22"/>
          <w:szCs w:val="22"/>
        </w:rPr>
        <w:t>power (P) by at least 43 + 10 log (P</w:t>
      </w:r>
      <w:proofErr w:type="gramStart"/>
      <w:r w:rsidRPr="00DF6BA3">
        <w:rPr>
          <w:rFonts w:ascii="Arial" w:hAnsi="Arial" w:cs="Arial"/>
          <w:sz w:val="22"/>
          <w:szCs w:val="22"/>
        </w:rPr>
        <w:t>)</w:t>
      </w:r>
      <w:r w:rsidR="00E33BDB" w:rsidRPr="00DF6BA3">
        <w:rPr>
          <w:rFonts w:ascii="Arial" w:hAnsi="Arial" w:cs="Arial"/>
          <w:sz w:val="22"/>
          <w:szCs w:val="22"/>
        </w:rPr>
        <w:t>dB</w:t>
      </w:r>
      <w:proofErr w:type="gramEnd"/>
      <w:r w:rsidRPr="00DF6BA3">
        <w:rPr>
          <w:rFonts w:ascii="Arial" w:hAnsi="Arial" w:cs="Arial"/>
          <w:sz w:val="22"/>
          <w:szCs w:val="22"/>
        </w:rPr>
        <w:t>;</w:t>
      </w:r>
    </w:p>
    <w:p w:rsidR="00DF6BA3" w:rsidRDefault="00DF6BA3" w:rsidP="00DF6BA3">
      <w:pPr>
        <w:rPr>
          <w:rFonts w:ascii="Arial" w:hAnsi="Arial" w:cs="Arial"/>
          <w:sz w:val="22"/>
          <w:szCs w:val="22"/>
        </w:rPr>
      </w:pPr>
    </w:p>
    <w:p w:rsidR="005A7FA9" w:rsidRPr="00DF6BA3" w:rsidRDefault="00961A50" w:rsidP="00DF6BA3">
      <w:pPr>
        <w:rPr>
          <w:rFonts w:ascii="Arial" w:hAnsi="Arial" w:cs="Arial"/>
          <w:sz w:val="22"/>
          <w:szCs w:val="22"/>
        </w:rPr>
      </w:pPr>
      <w:r w:rsidRPr="00DF6BA3">
        <w:rPr>
          <w:rFonts w:ascii="Arial" w:hAnsi="Arial" w:cs="Arial"/>
          <w:sz w:val="22"/>
          <w:szCs w:val="22"/>
        </w:rPr>
        <w:t xml:space="preserve">For operation in the </w:t>
      </w:r>
      <w:r w:rsidR="009E4F48" w:rsidRPr="00DF6BA3">
        <w:rPr>
          <w:rFonts w:ascii="Arial" w:hAnsi="Arial" w:cs="Arial"/>
          <w:sz w:val="22"/>
          <w:szCs w:val="22"/>
        </w:rPr>
        <w:t>public safely bands (</w:t>
      </w:r>
      <w:r w:rsidRPr="00DF6BA3">
        <w:rPr>
          <w:rFonts w:ascii="Arial" w:hAnsi="Arial" w:cs="Arial"/>
          <w:sz w:val="22"/>
          <w:szCs w:val="22"/>
        </w:rPr>
        <w:t>763-775</w:t>
      </w:r>
      <w:r w:rsidR="00DF6BA3">
        <w:rPr>
          <w:rFonts w:ascii="Arial" w:hAnsi="Arial" w:cs="Arial"/>
          <w:sz w:val="22"/>
          <w:szCs w:val="22"/>
        </w:rPr>
        <w:t xml:space="preserve"> </w:t>
      </w:r>
      <w:r w:rsidR="00E33BDB" w:rsidRPr="00DF6BA3">
        <w:rPr>
          <w:rFonts w:ascii="Arial" w:hAnsi="Arial" w:cs="Arial"/>
          <w:sz w:val="22"/>
          <w:szCs w:val="22"/>
        </w:rPr>
        <w:t>MHz</w:t>
      </w:r>
      <w:r w:rsidRPr="00DF6BA3">
        <w:rPr>
          <w:rFonts w:ascii="Arial" w:hAnsi="Arial" w:cs="Arial"/>
          <w:sz w:val="22"/>
          <w:szCs w:val="22"/>
        </w:rPr>
        <w:t xml:space="preserve"> and 793-805</w:t>
      </w:r>
      <w:r w:rsidR="00DF6BA3">
        <w:rPr>
          <w:rFonts w:ascii="Arial" w:hAnsi="Arial" w:cs="Arial"/>
          <w:sz w:val="22"/>
          <w:szCs w:val="22"/>
        </w:rPr>
        <w:t xml:space="preserve"> </w:t>
      </w:r>
      <w:r w:rsidR="00E33BDB" w:rsidRPr="00DF6BA3">
        <w:rPr>
          <w:rFonts w:ascii="Arial" w:hAnsi="Arial" w:cs="Arial"/>
          <w:sz w:val="22"/>
          <w:szCs w:val="22"/>
        </w:rPr>
        <w:t>MHz</w:t>
      </w:r>
      <w:r w:rsidR="009E4F48" w:rsidRPr="00DF6BA3">
        <w:rPr>
          <w:rFonts w:ascii="Arial" w:hAnsi="Arial" w:cs="Arial"/>
          <w:sz w:val="22"/>
          <w:szCs w:val="22"/>
        </w:rPr>
        <w:t>)</w:t>
      </w:r>
      <w:r w:rsidRPr="00DF6BA3">
        <w:rPr>
          <w:rFonts w:ascii="Arial" w:hAnsi="Arial" w:cs="Arial"/>
          <w:sz w:val="22"/>
          <w:szCs w:val="22"/>
        </w:rPr>
        <w:t>, the power of any emission outside the licensee’s frequency band(s) of operation shall be attenuated below the transmitter power (</w:t>
      </w:r>
      <w:r w:rsidR="002A7D84" w:rsidRPr="00DF6BA3">
        <w:rPr>
          <w:rFonts w:ascii="Arial" w:hAnsi="Arial" w:cs="Arial"/>
          <w:sz w:val="22"/>
          <w:szCs w:val="22"/>
        </w:rPr>
        <w:t>P</w:t>
      </w:r>
      <w:r w:rsidRPr="00DF6BA3">
        <w:rPr>
          <w:rFonts w:ascii="Arial" w:hAnsi="Arial" w:cs="Arial"/>
          <w:sz w:val="22"/>
          <w:szCs w:val="22"/>
        </w:rPr>
        <w:t>) by a factor not less than</w:t>
      </w:r>
      <w:r w:rsidR="005A7FA9" w:rsidRPr="00DF6BA3">
        <w:rPr>
          <w:rFonts w:ascii="Arial" w:hAnsi="Arial" w:cs="Arial"/>
          <w:sz w:val="22"/>
          <w:szCs w:val="22"/>
        </w:rPr>
        <w:t>:</w:t>
      </w:r>
    </w:p>
    <w:p w:rsidR="00812E75" w:rsidRPr="00DF6BA3" w:rsidRDefault="009E4F48" w:rsidP="00DF6BA3">
      <w:pPr>
        <w:pStyle w:val="ListParagraph"/>
        <w:numPr>
          <w:ilvl w:val="0"/>
          <w:numId w:val="10"/>
        </w:numPr>
        <w:ind w:left="426"/>
        <w:rPr>
          <w:rFonts w:ascii="Arial" w:hAnsi="Arial" w:cs="Arial"/>
        </w:rPr>
      </w:pPr>
      <w:r w:rsidRPr="00DF6BA3">
        <w:rPr>
          <w:rFonts w:ascii="Arial" w:hAnsi="Arial" w:cs="Arial"/>
        </w:rPr>
        <w:t xml:space="preserve">Base and fixed stations: </w:t>
      </w:r>
      <w:r w:rsidR="00961A50" w:rsidRPr="00DF6BA3">
        <w:rPr>
          <w:rFonts w:ascii="Arial" w:hAnsi="Arial" w:cs="Arial"/>
        </w:rPr>
        <w:t>76 + 10 log (P</w:t>
      </w:r>
      <w:r w:rsidRPr="00DF6BA3">
        <w:rPr>
          <w:rFonts w:ascii="Arial" w:hAnsi="Arial" w:cs="Arial"/>
        </w:rPr>
        <w:t>)</w:t>
      </w:r>
      <w:r w:rsidR="00E33BDB" w:rsidRPr="00DF6BA3">
        <w:rPr>
          <w:rFonts w:ascii="Arial" w:hAnsi="Arial" w:cs="Arial"/>
        </w:rPr>
        <w:t>dB</w:t>
      </w:r>
      <w:r w:rsidRPr="00DF6BA3">
        <w:rPr>
          <w:rFonts w:ascii="Arial" w:hAnsi="Arial" w:cs="Arial"/>
        </w:rPr>
        <w:t xml:space="preserve"> in a 6.25</w:t>
      </w:r>
      <w:r w:rsidR="00DF6BA3">
        <w:rPr>
          <w:rFonts w:ascii="Arial" w:hAnsi="Arial" w:cs="Arial"/>
        </w:rPr>
        <w:t xml:space="preserve"> </w:t>
      </w:r>
      <w:r w:rsidR="00E33BDB" w:rsidRPr="00DF6BA3">
        <w:rPr>
          <w:rFonts w:ascii="Arial" w:hAnsi="Arial" w:cs="Arial"/>
        </w:rPr>
        <w:t>kHz</w:t>
      </w:r>
      <w:r w:rsidRPr="00DF6BA3">
        <w:rPr>
          <w:rFonts w:ascii="Arial" w:hAnsi="Arial" w:cs="Arial"/>
        </w:rPr>
        <w:t xml:space="preserve"> band segment</w:t>
      </w:r>
    </w:p>
    <w:p w:rsidR="005365B8" w:rsidRPr="00DF6BA3" w:rsidRDefault="009E4F48" w:rsidP="00DF6BA3">
      <w:pPr>
        <w:pStyle w:val="ListParagraph"/>
        <w:numPr>
          <w:ilvl w:val="0"/>
          <w:numId w:val="10"/>
        </w:numPr>
        <w:ind w:left="426"/>
        <w:rPr>
          <w:rFonts w:ascii="Arial" w:hAnsi="Arial" w:cs="Arial"/>
        </w:rPr>
      </w:pPr>
      <w:r w:rsidRPr="00DF6BA3">
        <w:rPr>
          <w:rFonts w:ascii="Arial" w:hAnsi="Arial" w:cs="Arial"/>
        </w:rPr>
        <w:t xml:space="preserve">Mobile and portable stations: </w:t>
      </w:r>
      <w:r w:rsidR="00961A50" w:rsidRPr="00DF6BA3">
        <w:rPr>
          <w:rFonts w:ascii="Arial" w:hAnsi="Arial" w:cs="Arial"/>
        </w:rPr>
        <w:t>65 + 10 log (P)</w:t>
      </w:r>
      <w:r w:rsidR="00E33BDB" w:rsidRPr="00DF6BA3">
        <w:rPr>
          <w:rFonts w:ascii="Arial" w:hAnsi="Arial" w:cs="Arial"/>
        </w:rPr>
        <w:t>dB</w:t>
      </w:r>
      <w:r w:rsidR="00812E75" w:rsidRPr="00DF6BA3">
        <w:rPr>
          <w:rFonts w:ascii="Arial" w:hAnsi="Arial" w:cs="Arial"/>
        </w:rPr>
        <w:t xml:space="preserve"> in a 6.25</w:t>
      </w:r>
      <w:r w:rsidR="00DF6BA3">
        <w:rPr>
          <w:rFonts w:ascii="Arial" w:hAnsi="Arial" w:cs="Arial"/>
        </w:rPr>
        <w:t xml:space="preserve"> </w:t>
      </w:r>
      <w:r w:rsidR="00E33BDB" w:rsidRPr="00DF6BA3">
        <w:rPr>
          <w:rFonts w:ascii="Arial" w:hAnsi="Arial" w:cs="Arial"/>
        </w:rPr>
        <w:t>kHz</w:t>
      </w:r>
      <w:r w:rsidR="00812E75" w:rsidRPr="00DF6BA3">
        <w:rPr>
          <w:rFonts w:ascii="Arial" w:hAnsi="Arial" w:cs="Arial"/>
        </w:rPr>
        <w:t xml:space="preserve"> band segment</w:t>
      </w:r>
    </w:p>
    <w:p w:rsidR="009B55EE" w:rsidRPr="009B55EE" w:rsidRDefault="009B55EE" w:rsidP="00C63094">
      <w:pPr>
        <w:jc w:val="both"/>
        <w:rPr>
          <w:rFonts w:ascii="Arial" w:hAnsi="Arial" w:cs="Arial"/>
        </w:rPr>
      </w:pPr>
    </w:p>
    <w:p w:rsidR="00812E75" w:rsidRPr="00AB306E" w:rsidRDefault="00812E75" w:rsidP="00C63094">
      <w:pPr>
        <w:jc w:val="both"/>
        <w:rPr>
          <w:rFonts w:ascii="Arial" w:hAnsi="Arial" w:cs="Arial"/>
          <w:b/>
        </w:rPr>
      </w:pPr>
      <w:r w:rsidRPr="00AB306E">
        <w:rPr>
          <w:rFonts w:ascii="Arial" w:hAnsi="Arial" w:cs="Arial"/>
          <w:b/>
        </w:rPr>
        <w:t>3GPP</w:t>
      </w:r>
    </w:p>
    <w:p w:rsidR="00D93D73" w:rsidRDefault="00812E75" w:rsidP="009B55EE">
      <w:pPr>
        <w:rPr>
          <w:rFonts w:ascii="Arial" w:hAnsi="Arial" w:cs="Arial"/>
          <w:sz w:val="22"/>
          <w:szCs w:val="22"/>
        </w:rPr>
      </w:pPr>
      <w:r w:rsidRPr="00DF6BA3">
        <w:rPr>
          <w:rFonts w:ascii="Arial" w:hAnsi="Arial" w:cs="Arial"/>
          <w:sz w:val="22"/>
          <w:szCs w:val="22"/>
        </w:rPr>
        <w:t>O</w:t>
      </w:r>
      <w:r w:rsidR="002A7D84" w:rsidRPr="00DF6BA3">
        <w:rPr>
          <w:rFonts w:ascii="Arial" w:hAnsi="Arial" w:cs="Arial"/>
          <w:sz w:val="22"/>
          <w:szCs w:val="22"/>
        </w:rPr>
        <w:t xml:space="preserve">ut-of band limits for LTE equipment </w:t>
      </w:r>
      <w:r w:rsidRPr="00DF6BA3">
        <w:rPr>
          <w:rFonts w:ascii="Arial" w:hAnsi="Arial" w:cs="Arial"/>
          <w:sz w:val="22"/>
          <w:szCs w:val="22"/>
        </w:rPr>
        <w:t xml:space="preserve">in the 3GPP standards </w:t>
      </w:r>
      <w:r w:rsidR="002A7D84" w:rsidRPr="00DF6BA3">
        <w:rPr>
          <w:rFonts w:ascii="Arial" w:hAnsi="Arial" w:cs="Arial"/>
          <w:sz w:val="22"/>
          <w:szCs w:val="22"/>
        </w:rPr>
        <w:t>are specified at the transmitter output rather than as radiated power levels from a station.</w:t>
      </w:r>
      <w:r w:rsidR="00285262" w:rsidRPr="00DF6BA3">
        <w:rPr>
          <w:rFonts w:ascii="Arial" w:hAnsi="Arial" w:cs="Arial"/>
          <w:sz w:val="22"/>
          <w:szCs w:val="22"/>
        </w:rPr>
        <w:t xml:space="preserve"> </w:t>
      </w:r>
      <w:r w:rsidR="002A7D84" w:rsidRPr="00DF6BA3">
        <w:rPr>
          <w:rFonts w:ascii="Arial" w:hAnsi="Arial" w:cs="Arial"/>
          <w:sz w:val="22"/>
          <w:szCs w:val="22"/>
        </w:rPr>
        <w:t>Practical radiated limits can be calculated from the 3GPP standards limits by t</w:t>
      </w:r>
      <w:r w:rsidR="009E4F48" w:rsidRPr="00DF6BA3">
        <w:rPr>
          <w:rFonts w:ascii="Arial" w:hAnsi="Arial" w:cs="Arial"/>
          <w:sz w:val="22"/>
          <w:szCs w:val="22"/>
        </w:rPr>
        <w:t xml:space="preserve">aking into account </w:t>
      </w:r>
      <w:r w:rsidR="009D3DAE" w:rsidRPr="00DF6BA3">
        <w:rPr>
          <w:rFonts w:ascii="Arial" w:hAnsi="Arial" w:cs="Arial"/>
          <w:sz w:val="22"/>
          <w:szCs w:val="22"/>
        </w:rPr>
        <w:t xml:space="preserve">other factors such as </w:t>
      </w:r>
      <w:r w:rsidR="009E4F48" w:rsidRPr="00DF6BA3">
        <w:rPr>
          <w:rFonts w:ascii="Arial" w:hAnsi="Arial" w:cs="Arial"/>
          <w:sz w:val="22"/>
          <w:szCs w:val="22"/>
        </w:rPr>
        <w:t>antenna gain</w:t>
      </w:r>
      <w:r w:rsidR="002A7D84" w:rsidRPr="00DF6BA3">
        <w:rPr>
          <w:rFonts w:ascii="Arial" w:hAnsi="Arial" w:cs="Arial"/>
          <w:sz w:val="22"/>
          <w:szCs w:val="22"/>
        </w:rPr>
        <w:t xml:space="preserve"> </w:t>
      </w:r>
      <w:r w:rsidR="00F47701" w:rsidRPr="00DF6BA3">
        <w:rPr>
          <w:rFonts w:ascii="Arial" w:hAnsi="Arial" w:cs="Arial"/>
          <w:sz w:val="22"/>
          <w:szCs w:val="22"/>
        </w:rPr>
        <w:t>(See CEPT Report 30 Annex</w:t>
      </w:r>
      <w:r w:rsidR="001D1DE9" w:rsidRPr="00DF6BA3">
        <w:rPr>
          <w:rFonts w:ascii="Arial" w:hAnsi="Arial" w:cs="Arial"/>
          <w:sz w:val="22"/>
          <w:szCs w:val="22"/>
        </w:rPr>
        <w:t>es</w:t>
      </w:r>
      <w:r w:rsidR="00F47701" w:rsidRPr="00DF6BA3">
        <w:rPr>
          <w:rFonts w:ascii="Arial" w:hAnsi="Arial" w:cs="Arial"/>
          <w:sz w:val="22"/>
          <w:szCs w:val="22"/>
        </w:rPr>
        <w:t xml:space="preserve"> 3 and 5).</w:t>
      </w:r>
    </w:p>
    <w:p w:rsidR="00D93D73" w:rsidRDefault="00D93D73" w:rsidP="00DF6BA3">
      <w:pPr>
        <w:rPr>
          <w:rFonts w:ascii="Arial" w:hAnsi="Arial" w:cs="Arial"/>
          <w:sz w:val="22"/>
          <w:szCs w:val="22"/>
        </w:rPr>
      </w:pPr>
    </w:p>
    <w:p w:rsidR="00235C26" w:rsidRDefault="00235C26">
      <w:pPr>
        <w:spacing w:after="200" w:line="276" w:lineRule="auto"/>
        <w:rPr>
          <w:rFonts w:ascii="Arial" w:hAnsi="Arial" w:cs="Arial"/>
          <w:sz w:val="22"/>
          <w:szCs w:val="22"/>
        </w:rPr>
      </w:pPr>
      <w:r>
        <w:rPr>
          <w:rFonts w:ascii="Arial" w:hAnsi="Arial" w:cs="Arial"/>
          <w:sz w:val="22"/>
          <w:szCs w:val="22"/>
        </w:rPr>
        <w:br w:type="page"/>
      </w:r>
    </w:p>
    <w:p w:rsidR="00235C26" w:rsidRPr="00DF6BA3" w:rsidRDefault="00235C26" w:rsidP="00DF6BA3">
      <w:pPr>
        <w:rPr>
          <w:rFonts w:ascii="Arial" w:hAnsi="Arial" w:cs="Arial"/>
          <w:sz w:val="22"/>
          <w:szCs w:val="22"/>
        </w:rPr>
      </w:pPr>
    </w:p>
    <w:p w:rsidR="003864EE" w:rsidRPr="00AB306E" w:rsidRDefault="003864EE" w:rsidP="00C63094">
      <w:pPr>
        <w:jc w:val="both"/>
        <w:rPr>
          <w:rFonts w:ascii="Arial" w:hAnsi="Arial" w:cs="Arial"/>
          <w:b/>
        </w:rPr>
      </w:pPr>
      <w:r w:rsidRPr="00AB306E">
        <w:rPr>
          <w:rFonts w:ascii="Arial" w:hAnsi="Arial" w:cs="Arial"/>
          <w:b/>
        </w:rPr>
        <w:t>Proposed limits</w:t>
      </w:r>
    </w:p>
    <w:p w:rsidR="00EE467E" w:rsidRPr="00DF6BA3" w:rsidRDefault="00A30F40" w:rsidP="00DF6BA3">
      <w:pPr>
        <w:rPr>
          <w:rFonts w:ascii="Arial" w:hAnsi="Arial" w:cs="Arial"/>
          <w:sz w:val="22"/>
          <w:szCs w:val="22"/>
        </w:rPr>
      </w:pPr>
      <w:r w:rsidRPr="00DF6BA3">
        <w:rPr>
          <w:rFonts w:ascii="Arial" w:hAnsi="Arial" w:cs="Arial"/>
          <w:sz w:val="22"/>
          <w:szCs w:val="22"/>
        </w:rPr>
        <w:t xml:space="preserve">The </w:t>
      </w:r>
      <w:r w:rsidR="00BD6DCE" w:rsidRPr="00DF6BA3">
        <w:rPr>
          <w:rFonts w:ascii="Arial" w:hAnsi="Arial" w:cs="Arial"/>
          <w:sz w:val="22"/>
          <w:szCs w:val="22"/>
        </w:rPr>
        <w:t xml:space="preserve">proposed limits for the technical </w:t>
      </w:r>
      <w:r w:rsidR="003A0FAC" w:rsidRPr="00DF6BA3">
        <w:rPr>
          <w:rFonts w:ascii="Arial" w:hAnsi="Arial" w:cs="Arial"/>
          <w:sz w:val="22"/>
          <w:szCs w:val="22"/>
        </w:rPr>
        <w:t>framework</w:t>
      </w:r>
      <w:r w:rsidR="00BD6DCE" w:rsidRPr="00DF6BA3">
        <w:rPr>
          <w:rFonts w:ascii="Arial" w:hAnsi="Arial" w:cs="Arial"/>
          <w:sz w:val="22"/>
          <w:szCs w:val="22"/>
        </w:rPr>
        <w:t xml:space="preserve"> for </w:t>
      </w:r>
      <w:r w:rsidRPr="00DF6BA3">
        <w:rPr>
          <w:rFonts w:ascii="Arial" w:hAnsi="Arial" w:cs="Arial"/>
          <w:sz w:val="22"/>
          <w:szCs w:val="22"/>
        </w:rPr>
        <w:t xml:space="preserve">the terminal stations are based on 3GPP values for a </w:t>
      </w:r>
      <w:r w:rsidR="00A56D93" w:rsidRPr="00DF6BA3">
        <w:rPr>
          <w:rFonts w:ascii="Arial" w:hAnsi="Arial" w:cs="Arial"/>
          <w:sz w:val="22"/>
          <w:szCs w:val="22"/>
        </w:rPr>
        <w:t>5</w:t>
      </w:r>
      <w:r w:rsidR="00DF6BA3">
        <w:rPr>
          <w:rFonts w:ascii="Arial" w:hAnsi="Arial" w:cs="Arial"/>
          <w:sz w:val="22"/>
          <w:szCs w:val="22"/>
        </w:rPr>
        <w:t xml:space="preserve"> </w:t>
      </w:r>
      <w:r w:rsidRPr="00DF6BA3">
        <w:rPr>
          <w:rFonts w:ascii="Arial" w:hAnsi="Arial" w:cs="Arial"/>
          <w:sz w:val="22"/>
          <w:szCs w:val="22"/>
        </w:rPr>
        <w:t>MHz</w:t>
      </w:r>
      <w:r w:rsidR="00E04E78" w:rsidRPr="00DF6BA3">
        <w:rPr>
          <w:rFonts w:ascii="Arial" w:hAnsi="Arial" w:cs="Arial"/>
          <w:sz w:val="22"/>
          <w:szCs w:val="22"/>
        </w:rPr>
        <w:t xml:space="preserve"> E-UTRA</w:t>
      </w:r>
      <w:r w:rsidRPr="00DF6BA3">
        <w:rPr>
          <w:rFonts w:ascii="Arial" w:hAnsi="Arial" w:cs="Arial"/>
          <w:sz w:val="22"/>
          <w:szCs w:val="22"/>
        </w:rPr>
        <w:t xml:space="preserve"> channel</w:t>
      </w:r>
      <w:r w:rsidR="00E04E78" w:rsidRPr="00DF6BA3">
        <w:rPr>
          <w:rStyle w:val="FootnoteReference"/>
          <w:rFonts w:ascii="Arial" w:hAnsi="Arial" w:cs="Arial"/>
          <w:sz w:val="22"/>
          <w:szCs w:val="22"/>
        </w:rPr>
        <w:footnoteReference w:id="4"/>
      </w:r>
      <w:r w:rsidRPr="00DF6BA3">
        <w:rPr>
          <w:rFonts w:ascii="Arial" w:hAnsi="Arial" w:cs="Arial"/>
          <w:sz w:val="22"/>
          <w:szCs w:val="22"/>
        </w:rPr>
        <w:t xml:space="preserve">, with an additional requirement for out-of-band emissions falling within the broadcasting band below </w:t>
      </w:r>
      <w:r w:rsidR="00EE467E" w:rsidRPr="00DF6BA3">
        <w:rPr>
          <w:rFonts w:ascii="Arial" w:hAnsi="Arial" w:cs="Arial"/>
          <w:sz w:val="22"/>
          <w:szCs w:val="22"/>
        </w:rPr>
        <w:t>6</w:t>
      </w:r>
      <w:r w:rsidRPr="00DF6BA3">
        <w:rPr>
          <w:rFonts w:ascii="Arial" w:hAnsi="Arial" w:cs="Arial"/>
          <w:sz w:val="22"/>
          <w:szCs w:val="22"/>
        </w:rPr>
        <w:t>94</w:t>
      </w:r>
      <w:r w:rsidR="00DF6BA3">
        <w:rPr>
          <w:rFonts w:ascii="Arial" w:hAnsi="Arial" w:cs="Arial"/>
          <w:sz w:val="22"/>
          <w:szCs w:val="22"/>
        </w:rPr>
        <w:t xml:space="preserve"> </w:t>
      </w:r>
      <w:r w:rsidRPr="00DF6BA3">
        <w:rPr>
          <w:rFonts w:ascii="Arial" w:hAnsi="Arial" w:cs="Arial"/>
          <w:sz w:val="22"/>
          <w:szCs w:val="22"/>
        </w:rPr>
        <w:t>MHz.</w:t>
      </w:r>
      <w:r w:rsidR="00BD6DCE" w:rsidRPr="00DF6BA3">
        <w:rPr>
          <w:rFonts w:ascii="Arial" w:hAnsi="Arial" w:cs="Arial"/>
          <w:sz w:val="22"/>
          <w:szCs w:val="22"/>
        </w:rPr>
        <w:t xml:space="preserve"> </w:t>
      </w:r>
      <w:r w:rsidR="009C3E5C" w:rsidRPr="00DF6BA3">
        <w:rPr>
          <w:rFonts w:ascii="Arial" w:hAnsi="Arial" w:cs="Arial"/>
          <w:sz w:val="22"/>
          <w:szCs w:val="22"/>
        </w:rPr>
        <w:t xml:space="preserve">This additional requirement is based on the limit described in AWG-11/OUT-10. While the level of -34dBm/MHz gives a very low probability of interference, it is proposed to allow </w:t>
      </w:r>
      <w:r w:rsidR="00EE467E" w:rsidRPr="00DF6BA3">
        <w:rPr>
          <w:rFonts w:ascii="Arial" w:hAnsi="Arial" w:cs="Arial"/>
          <w:sz w:val="22"/>
          <w:szCs w:val="22"/>
        </w:rPr>
        <w:t>additional protection for broadcasting services operating below 694</w:t>
      </w:r>
      <w:r w:rsidR="00DF6BA3">
        <w:rPr>
          <w:rFonts w:ascii="Arial" w:hAnsi="Arial" w:cs="Arial"/>
          <w:sz w:val="22"/>
          <w:szCs w:val="22"/>
        </w:rPr>
        <w:t xml:space="preserve"> </w:t>
      </w:r>
      <w:r w:rsidR="00EE467E" w:rsidRPr="00DF6BA3">
        <w:rPr>
          <w:rFonts w:ascii="Arial" w:hAnsi="Arial" w:cs="Arial"/>
          <w:sz w:val="22"/>
          <w:szCs w:val="22"/>
        </w:rPr>
        <w:t>MHz. The original proposal was to impose a simple single limit of -37dBm/MHz. A new more complex scheme is now proposed which more closely follows the AWG decision.</w:t>
      </w:r>
    </w:p>
    <w:p w:rsidR="00EE467E" w:rsidRPr="00DF6BA3" w:rsidRDefault="00EE467E" w:rsidP="00DF6BA3">
      <w:pPr>
        <w:rPr>
          <w:rFonts w:ascii="Arial" w:hAnsi="Arial" w:cs="Arial"/>
          <w:sz w:val="22"/>
          <w:szCs w:val="22"/>
        </w:rPr>
      </w:pPr>
    </w:p>
    <w:p w:rsidR="00EE467E" w:rsidRPr="00DF6BA3" w:rsidRDefault="00EE467E" w:rsidP="00DF6BA3">
      <w:pPr>
        <w:rPr>
          <w:rFonts w:ascii="Arial" w:hAnsi="Arial" w:cs="Arial"/>
          <w:sz w:val="22"/>
          <w:szCs w:val="22"/>
        </w:rPr>
      </w:pPr>
      <w:r w:rsidRPr="00DF6BA3">
        <w:rPr>
          <w:rFonts w:ascii="Arial" w:hAnsi="Arial" w:cs="Arial"/>
          <w:sz w:val="22"/>
          <w:szCs w:val="22"/>
        </w:rPr>
        <w:t>The proposed out-of-band emission levels are now designed to provide extra protection to broadcasting services by requiring the spectrum licensed devices to meet a stricter mask while operating in areas of Australia designated for use of the top three television broadcasting channels (49 to 51). All devices will be required to achieve a level of -40dBm/MHz for emissions falling below 673</w:t>
      </w:r>
      <w:r w:rsidR="009B55EE">
        <w:rPr>
          <w:rFonts w:ascii="Arial" w:hAnsi="Arial" w:cs="Arial"/>
          <w:sz w:val="22"/>
          <w:szCs w:val="22"/>
        </w:rPr>
        <w:t> </w:t>
      </w:r>
      <w:r w:rsidRPr="00DF6BA3">
        <w:rPr>
          <w:rFonts w:ascii="Arial" w:hAnsi="Arial" w:cs="Arial"/>
          <w:sz w:val="22"/>
          <w:szCs w:val="22"/>
        </w:rPr>
        <w:t>MHz (ie from the top of TV channel 48 and below), while devices operating in an area designated for use of channels 49 to 51 will be required to meet the -40dBm/MHz limit from the 694</w:t>
      </w:r>
      <w:r w:rsidR="00DF6BA3">
        <w:rPr>
          <w:rFonts w:ascii="Arial" w:hAnsi="Arial" w:cs="Arial"/>
          <w:sz w:val="22"/>
          <w:szCs w:val="22"/>
        </w:rPr>
        <w:t xml:space="preserve"> </w:t>
      </w:r>
      <w:r w:rsidRPr="00DF6BA3">
        <w:rPr>
          <w:rFonts w:ascii="Arial" w:hAnsi="Arial" w:cs="Arial"/>
          <w:sz w:val="22"/>
          <w:szCs w:val="22"/>
        </w:rPr>
        <w:t>MHz boundary.</w:t>
      </w:r>
    </w:p>
    <w:p w:rsidR="00EE467E" w:rsidRPr="00DF6BA3" w:rsidRDefault="00EE467E" w:rsidP="00DF6BA3">
      <w:pPr>
        <w:rPr>
          <w:rFonts w:ascii="Arial" w:hAnsi="Arial" w:cs="Arial"/>
          <w:sz w:val="22"/>
          <w:szCs w:val="22"/>
        </w:rPr>
      </w:pPr>
    </w:p>
    <w:p w:rsidR="00EE467E" w:rsidRPr="00DF6BA3" w:rsidRDefault="00EE467E" w:rsidP="00DF6BA3">
      <w:pPr>
        <w:rPr>
          <w:rFonts w:ascii="Arial" w:hAnsi="Arial" w:cs="Arial"/>
          <w:sz w:val="22"/>
          <w:szCs w:val="22"/>
        </w:rPr>
      </w:pPr>
      <w:r w:rsidRPr="00DF6BA3">
        <w:rPr>
          <w:rFonts w:ascii="Arial" w:hAnsi="Arial" w:cs="Arial"/>
          <w:sz w:val="22"/>
          <w:szCs w:val="22"/>
        </w:rPr>
        <w:t>The exact wording of these restrictions, and the definition of the areas within which the more stringent criteria will apply, have yet to be determined. The ACMA currently seek comments on the general approach being proposed, and TLG members will have the opportunity to comment on the specifics of the wording and definition</w:t>
      </w:r>
      <w:r w:rsidR="00C35AE9">
        <w:rPr>
          <w:rFonts w:ascii="Arial" w:hAnsi="Arial" w:cs="Arial"/>
          <w:sz w:val="22"/>
          <w:szCs w:val="22"/>
        </w:rPr>
        <w:t>s once they are developed.</w:t>
      </w:r>
    </w:p>
    <w:p w:rsidR="00B855B1" w:rsidRPr="00DF6BA3" w:rsidRDefault="00B855B1" w:rsidP="00DF6BA3">
      <w:pPr>
        <w:rPr>
          <w:rFonts w:ascii="Arial" w:hAnsi="Arial" w:cs="Arial"/>
          <w:sz w:val="22"/>
          <w:szCs w:val="22"/>
        </w:rPr>
      </w:pPr>
    </w:p>
    <w:p w:rsidR="00F90BAE" w:rsidRPr="00DF6BA3" w:rsidRDefault="00605153" w:rsidP="00DF6BA3">
      <w:pPr>
        <w:rPr>
          <w:rFonts w:ascii="Arial" w:hAnsi="Arial" w:cs="Arial"/>
          <w:sz w:val="22"/>
          <w:szCs w:val="22"/>
        </w:rPr>
      </w:pPr>
      <w:r w:rsidRPr="00DF6BA3">
        <w:rPr>
          <w:rFonts w:ascii="Arial" w:hAnsi="Arial" w:cs="Arial"/>
          <w:sz w:val="22"/>
          <w:szCs w:val="22"/>
        </w:rPr>
        <w:t xml:space="preserve">The proposed </w:t>
      </w:r>
      <w:r w:rsidR="00603705" w:rsidRPr="00DF6BA3">
        <w:rPr>
          <w:rFonts w:ascii="Arial" w:hAnsi="Arial" w:cs="Arial"/>
          <w:sz w:val="22"/>
          <w:szCs w:val="22"/>
        </w:rPr>
        <w:t xml:space="preserve">limits for </w:t>
      </w:r>
      <w:r w:rsidR="00557E90" w:rsidRPr="00DF6BA3">
        <w:rPr>
          <w:rFonts w:ascii="Arial" w:hAnsi="Arial" w:cs="Arial"/>
          <w:sz w:val="22"/>
          <w:szCs w:val="22"/>
        </w:rPr>
        <w:t xml:space="preserve">base stations </w:t>
      </w:r>
      <w:r w:rsidR="00603705" w:rsidRPr="00DF6BA3">
        <w:rPr>
          <w:rFonts w:ascii="Arial" w:hAnsi="Arial" w:cs="Arial"/>
          <w:sz w:val="22"/>
          <w:szCs w:val="22"/>
        </w:rPr>
        <w:t xml:space="preserve">are based on </w:t>
      </w:r>
      <w:r w:rsidR="00194F36" w:rsidRPr="00DF6BA3">
        <w:rPr>
          <w:rFonts w:ascii="Arial" w:hAnsi="Arial" w:cs="Arial"/>
          <w:sz w:val="22"/>
          <w:szCs w:val="22"/>
        </w:rPr>
        <w:t xml:space="preserve">a combination of </w:t>
      </w:r>
      <w:r w:rsidR="003864EE" w:rsidRPr="00DF6BA3">
        <w:rPr>
          <w:rFonts w:ascii="Arial" w:hAnsi="Arial" w:cs="Arial"/>
          <w:sz w:val="22"/>
          <w:szCs w:val="22"/>
        </w:rPr>
        <w:t xml:space="preserve">the European </w:t>
      </w:r>
      <w:r w:rsidR="00BD6DCE" w:rsidRPr="00DF6BA3">
        <w:rPr>
          <w:rFonts w:ascii="Arial" w:hAnsi="Arial" w:cs="Arial"/>
          <w:sz w:val="22"/>
          <w:szCs w:val="22"/>
        </w:rPr>
        <w:t>values</w:t>
      </w:r>
      <w:r w:rsidR="00194F36" w:rsidRPr="00DF6BA3">
        <w:rPr>
          <w:rFonts w:ascii="Arial" w:hAnsi="Arial" w:cs="Arial"/>
          <w:sz w:val="22"/>
          <w:szCs w:val="22"/>
        </w:rPr>
        <w:t xml:space="preserve"> and the values currently being used, or proposed, in the 800</w:t>
      </w:r>
      <w:r w:rsidR="009B55EE">
        <w:rPr>
          <w:rFonts w:ascii="Arial" w:hAnsi="Arial" w:cs="Arial"/>
          <w:sz w:val="22"/>
          <w:szCs w:val="22"/>
        </w:rPr>
        <w:t> </w:t>
      </w:r>
      <w:r w:rsidR="00194F36" w:rsidRPr="00DF6BA3">
        <w:rPr>
          <w:rFonts w:ascii="Arial" w:hAnsi="Arial" w:cs="Arial"/>
          <w:sz w:val="22"/>
          <w:szCs w:val="22"/>
        </w:rPr>
        <w:t>MHz band in Australia</w:t>
      </w:r>
      <w:r w:rsidR="00BD6DCE" w:rsidRPr="00DF6BA3">
        <w:rPr>
          <w:rFonts w:ascii="Arial" w:hAnsi="Arial" w:cs="Arial"/>
          <w:sz w:val="22"/>
          <w:szCs w:val="22"/>
        </w:rPr>
        <w:t xml:space="preserve">. </w:t>
      </w:r>
      <w:r w:rsidR="003864EE" w:rsidRPr="00DF6BA3">
        <w:rPr>
          <w:rFonts w:ascii="Arial" w:hAnsi="Arial" w:cs="Arial"/>
          <w:sz w:val="22"/>
          <w:szCs w:val="22"/>
        </w:rPr>
        <w:t xml:space="preserve">In order to </w:t>
      </w:r>
      <w:r w:rsidR="00BD6DCE" w:rsidRPr="00DF6BA3">
        <w:rPr>
          <w:rFonts w:ascii="Arial" w:hAnsi="Arial" w:cs="Arial"/>
          <w:sz w:val="22"/>
          <w:szCs w:val="22"/>
        </w:rPr>
        <w:t>help preserve options for future planning of the frequencies above 803</w:t>
      </w:r>
      <w:r w:rsidR="00DF6BA3">
        <w:rPr>
          <w:rFonts w:ascii="Arial" w:hAnsi="Arial" w:cs="Arial"/>
          <w:sz w:val="22"/>
          <w:szCs w:val="22"/>
        </w:rPr>
        <w:t xml:space="preserve"> </w:t>
      </w:r>
      <w:r w:rsidR="00BD6DCE" w:rsidRPr="00DF6BA3">
        <w:rPr>
          <w:rFonts w:ascii="Arial" w:hAnsi="Arial" w:cs="Arial"/>
          <w:sz w:val="22"/>
          <w:szCs w:val="22"/>
        </w:rPr>
        <w:t xml:space="preserve">MHz, an additional requirement </w:t>
      </w:r>
      <w:r w:rsidR="008D1D1A" w:rsidRPr="00DF6BA3">
        <w:rPr>
          <w:rFonts w:ascii="Arial" w:hAnsi="Arial" w:cs="Arial"/>
          <w:sz w:val="22"/>
          <w:szCs w:val="22"/>
        </w:rPr>
        <w:t>is proposed for</w:t>
      </w:r>
      <w:r w:rsidR="00BD6DCE" w:rsidRPr="00DF6BA3">
        <w:rPr>
          <w:rFonts w:ascii="Arial" w:hAnsi="Arial" w:cs="Arial"/>
          <w:sz w:val="22"/>
          <w:szCs w:val="22"/>
        </w:rPr>
        <w:t xml:space="preserve"> out-of-band emissions above 806</w:t>
      </w:r>
      <w:r w:rsidR="00DF6BA3">
        <w:rPr>
          <w:rFonts w:ascii="Arial" w:hAnsi="Arial" w:cs="Arial"/>
          <w:sz w:val="22"/>
          <w:szCs w:val="22"/>
        </w:rPr>
        <w:t xml:space="preserve"> </w:t>
      </w:r>
      <w:r w:rsidR="00BD6DCE" w:rsidRPr="00DF6BA3">
        <w:rPr>
          <w:rFonts w:ascii="Arial" w:hAnsi="Arial" w:cs="Arial"/>
          <w:sz w:val="22"/>
          <w:szCs w:val="22"/>
        </w:rPr>
        <w:t>MHz</w:t>
      </w:r>
      <w:r w:rsidR="00603705" w:rsidRPr="00DF6BA3">
        <w:rPr>
          <w:rFonts w:ascii="Arial" w:hAnsi="Arial" w:cs="Arial"/>
          <w:sz w:val="22"/>
          <w:szCs w:val="22"/>
        </w:rPr>
        <w:t>.</w:t>
      </w:r>
      <w:r w:rsidR="00BD6DCE" w:rsidRPr="00DF6BA3">
        <w:rPr>
          <w:rFonts w:ascii="Arial" w:hAnsi="Arial" w:cs="Arial"/>
          <w:sz w:val="22"/>
          <w:szCs w:val="22"/>
        </w:rPr>
        <w:t xml:space="preserve"> </w:t>
      </w:r>
      <w:r w:rsidR="008D1D1A" w:rsidRPr="00DF6BA3">
        <w:rPr>
          <w:rFonts w:ascii="Arial" w:hAnsi="Arial" w:cs="Arial"/>
          <w:sz w:val="22"/>
          <w:szCs w:val="22"/>
        </w:rPr>
        <w:t>Since there is not yet any decision on what will eventually occupy this vacant spectrum, t</w:t>
      </w:r>
      <w:r w:rsidR="00DB5A61" w:rsidRPr="00DF6BA3">
        <w:rPr>
          <w:rFonts w:ascii="Arial" w:hAnsi="Arial" w:cs="Arial"/>
          <w:sz w:val="22"/>
          <w:szCs w:val="22"/>
        </w:rPr>
        <w:t>h</w:t>
      </w:r>
      <w:r w:rsidR="00194F36" w:rsidRPr="00DF6BA3">
        <w:rPr>
          <w:rFonts w:ascii="Arial" w:hAnsi="Arial" w:cs="Arial"/>
          <w:sz w:val="22"/>
          <w:szCs w:val="22"/>
        </w:rPr>
        <w:t>ese</w:t>
      </w:r>
      <w:r w:rsidR="00DB5A61" w:rsidRPr="00DF6BA3">
        <w:rPr>
          <w:rFonts w:ascii="Arial" w:hAnsi="Arial" w:cs="Arial"/>
          <w:sz w:val="22"/>
          <w:szCs w:val="22"/>
        </w:rPr>
        <w:t xml:space="preserve"> value</w:t>
      </w:r>
      <w:r w:rsidR="00194F36" w:rsidRPr="00DF6BA3">
        <w:rPr>
          <w:rFonts w:ascii="Arial" w:hAnsi="Arial" w:cs="Arial"/>
          <w:sz w:val="22"/>
          <w:szCs w:val="22"/>
        </w:rPr>
        <w:t>s</w:t>
      </w:r>
      <w:r w:rsidR="00DB5A61" w:rsidRPr="00DF6BA3">
        <w:rPr>
          <w:rFonts w:ascii="Arial" w:hAnsi="Arial" w:cs="Arial"/>
          <w:sz w:val="22"/>
          <w:szCs w:val="22"/>
        </w:rPr>
        <w:t xml:space="preserve"> </w:t>
      </w:r>
      <w:r w:rsidR="008D1D1A" w:rsidRPr="00DF6BA3">
        <w:rPr>
          <w:rFonts w:ascii="Arial" w:hAnsi="Arial" w:cs="Arial"/>
          <w:sz w:val="22"/>
          <w:szCs w:val="22"/>
        </w:rPr>
        <w:t>ha</w:t>
      </w:r>
      <w:r w:rsidR="00194F36" w:rsidRPr="00DF6BA3">
        <w:rPr>
          <w:rFonts w:ascii="Arial" w:hAnsi="Arial" w:cs="Arial"/>
          <w:sz w:val="22"/>
          <w:szCs w:val="22"/>
        </w:rPr>
        <w:t>ve</w:t>
      </w:r>
      <w:r w:rsidR="008D1D1A" w:rsidRPr="00DF6BA3">
        <w:rPr>
          <w:rFonts w:ascii="Arial" w:hAnsi="Arial" w:cs="Arial"/>
          <w:sz w:val="22"/>
          <w:szCs w:val="22"/>
        </w:rPr>
        <w:t xml:space="preserve"> been determined</w:t>
      </w:r>
      <w:r w:rsidR="00DB5A61" w:rsidRPr="00DF6BA3">
        <w:rPr>
          <w:rFonts w:ascii="Arial" w:hAnsi="Arial" w:cs="Arial"/>
          <w:sz w:val="22"/>
          <w:szCs w:val="22"/>
        </w:rPr>
        <w:t xml:space="preserve"> based on</w:t>
      </w:r>
      <w:r w:rsidR="008B7FE4" w:rsidRPr="00DF6BA3">
        <w:rPr>
          <w:rFonts w:ascii="Arial" w:hAnsi="Arial" w:cs="Arial"/>
          <w:sz w:val="22"/>
          <w:szCs w:val="22"/>
        </w:rPr>
        <w:t xml:space="preserve"> </w:t>
      </w:r>
      <w:r w:rsidR="002F6804" w:rsidRPr="00DF6BA3">
        <w:rPr>
          <w:rFonts w:ascii="Arial" w:hAnsi="Arial" w:cs="Arial"/>
          <w:sz w:val="22"/>
          <w:szCs w:val="22"/>
        </w:rPr>
        <w:t xml:space="preserve">both </w:t>
      </w:r>
      <w:r w:rsidR="008B7FE4" w:rsidRPr="00DF6BA3">
        <w:rPr>
          <w:rFonts w:ascii="Arial" w:hAnsi="Arial" w:cs="Arial"/>
          <w:sz w:val="22"/>
          <w:szCs w:val="22"/>
        </w:rPr>
        <w:t>the values given in 3GPP TS36.104</w:t>
      </w:r>
      <w:r w:rsidR="001D1DE9" w:rsidRPr="00DF6BA3">
        <w:rPr>
          <w:rFonts w:ascii="Arial" w:hAnsi="Arial" w:cs="Arial"/>
          <w:sz w:val="22"/>
          <w:szCs w:val="22"/>
        </w:rPr>
        <w:t xml:space="preserve"> v10.3.0</w:t>
      </w:r>
      <w:r w:rsidR="002F6804" w:rsidRPr="00DF6BA3">
        <w:rPr>
          <w:rFonts w:ascii="Arial" w:hAnsi="Arial" w:cs="Arial"/>
          <w:sz w:val="22"/>
          <w:szCs w:val="22"/>
        </w:rPr>
        <w:t xml:space="preserve"> and the European values,</w:t>
      </w:r>
      <w:r w:rsidR="008B7FE4" w:rsidRPr="00DF6BA3">
        <w:rPr>
          <w:rFonts w:ascii="Arial" w:hAnsi="Arial" w:cs="Arial"/>
          <w:sz w:val="22"/>
          <w:szCs w:val="22"/>
        </w:rPr>
        <w:t xml:space="preserve"> with </w:t>
      </w:r>
      <w:r w:rsidR="002F6804" w:rsidRPr="00DF6BA3">
        <w:rPr>
          <w:rFonts w:ascii="Arial" w:hAnsi="Arial" w:cs="Arial"/>
          <w:sz w:val="22"/>
          <w:szCs w:val="22"/>
        </w:rPr>
        <w:t>an additional 10-15</w:t>
      </w:r>
      <w:r w:rsidR="00E33BDB" w:rsidRPr="00DF6BA3">
        <w:rPr>
          <w:rFonts w:ascii="Arial" w:hAnsi="Arial" w:cs="Arial"/>
          <w:sz w:val="22"/>
          <w:szCs w:val="22"/>
        </w:rPr>
        <w:t>dB</w:t>
      </w:r>
      <w:r w:rsidR="002F6804" w:rsidRPr="00DF6BA3">
        <w:rPr>
          <w:rFonts w:ascii="Arial" w:hAnsi="Arial" w:cs="Arial"/>
          <w:sz w:val="22"/>
          <w:szCs w:val="22"/>
        </w:rPr>
        <w:t xml:space="preserve"> of filtering</w:t>
      </w:r>
      <w:r w:rsidR="008B7FE4" w:rsidRPr="00DF6BA3">
        <w:rPr>
          <w:rFonts w:ascii="Arial" w:hAnsi="Arial" w:cs="Arial"/>
          <w:sz w:val="22"/>
          <w:szCs w:val="22"/>
        </w:rPr>
        <w:t xml:space="preserve">. It is also </w:t>
      </w:r>
      <w:r w:rsidR="002335DE" w:rsidRPr="00DF6BA3">
        <w:rPr>
          <w:rFonts w:ascii="Arial" w:hAnsi="Arial" w:cs="Arial"/>
          <w:sz w:val="22"/>
          <w:szCs w:val="22"/>
        </w:rPr>
        <w:t>in line with</w:t>
      </w:r>
      <w:r w:rsidR="00551768" w:rsidRPr="00DF6BA3">
        <w:rPr>
          <w:rFonts w:ascii="Arial" w:hAnsi="Arial" w:cs="Arial"/>
          <w:sz w:val="22"/>
          <w:szCs w:val="22"/>
        </w:rPr>
        <w:t xml:space="preserve"> </w:t>
      </w:r>
      <w:r w:rsidR="002F6804" w:rsidRPr="00DF6BA3">
        <w:rPr>
          <w:rFonts w:ascii="Arial" w:hAnsi="Arial" w:cs="Arial"/>
          <w:sz w:val="22"/>
          <w:szCs w:val="22"/>
        </w:rPr>
        <w:t xml:space="preserve">the </w:t>
      </w:r>
      <w:r w:rsidR="008B7FE4" w:rsidRPr="00DF6BA3">
        <w:rPr>
          <w:rFonts w:ascii="Arial" w:hAnsi="Arial" w:cs="Arial"/>
          <w:sz w:val="22"/>
          <w:szCs w:val="22"/>
        </w:rPr>
        <w:t>out-of-band values currently proposed for the 890</w:t>
      </w:r>
      <w:r w:rsidR="00DF6BA3">
        <w:rPr>
          <w:rFonts w:ascii="Arial" w:hAnsi="Arial" w:cs="Arial"/>
          <w:sz w:val="22"/>
          <w:szCs w:val="22"/>
        </w:rPr>
        <w:t xml:space="preserve"> </w:t>
      </w:r>
      <w:r w:rsidR="00C80EE6" w:rsidRPr="00DF6BA3">
        <w:rPr>
          <w:rFonts w:ascii="Arial" w:hAnsi="Arial" w:cs="Arial"/>
          <w:sz w:val="22"/>
          <w:szCs w:val="22"/>
        </w:rPr>
        <w:t>MHz boundary in the 800</w:t>
      </w:r>
      <w:r w:rsidR="00DF6BA3">
        <w:rPr>
          <w:rFonts w:ascii="Arial" w:hAnsi="Arial" w:cs="Arial"/>
          <w:sz w:val="22"/>
          <w:szCs w:val="22"/>
        </w:rPr>
        <w:t xml:space="preserve"> </w:t>
      </w:r>
      <w:r w:rsidR="00C80EE6" w:rsidRPr="00DF6BA3">
        <w:rPr>
          <w:rFonts w:ascii="Arial" w:hAnsi="Arial" w:cs="Arial"/>
          <w:sz w:val="22"/>
          <w:szCs w:val="22"/>
        </w:rPr>
        <w:t>MHz band</w:t>
      </w:r>
      <w:r w:rsidR="00C80EE6" w:rsidRPr="00DF6BA3">
        <w:rPr>
          <w:rStyle w:val="FootnoteReference"/>
          <w:rFonts w:ascii="Arial" w:hAnsi="Arial" w:cs="Arial"/>
          <w:sz w:val="22"/>
          <w:szCs w:val="22"/>
        </w:rPr>
        <w:footnoteReference w:id="5"/>
      </w:r>
      <w:r w:rsidR="00C80EE6" w:rsidRPr="00DF6BA3">
        <w:rPr>
          <w:rFonts w:ascii="Arial" w:hAnsi="Arial" w:cs="Arial"/>
          <w:sz w:val="22"/>
          <w:szCs w:val="22"/>
        </w:rPr>
        <w:t>.</w:t>
      </w:r>
    </w:p>
    <w:p w:rsidR="00FA4DF9" w:rsidRPr="00DF6BA3" w:rsidRDefault="00FA4DF9" w:rsidP="00DF6BA3">
      <w:pPr>
        <w:rPr>
          <w:rFonts w:ascii="Arial" w:hAnsi="Arial" w:cs="Arial"/>
          <w:sz w:val="22"/>
          <w:szCs w:val="22"/>
        </w:rPr>
      </w:pPr>
    </w:p>
    <w:p w:rsidR="00DF6BA3" w:rsidRDefault="00DF6BA3">
      <w:pPr>
        <w:spacing w:after="200" w:line="276" w:lineRule="auto"/>
        <w:rPr>
          <w:rFonts w:ascii="Arial" w:hAnsi="Arial" w:cs="Arial"/>
          <w:sz w:val="22"/>
          <w:szCs w:val="22"/>
        </w:rPr>
      </w:pPr>
      <w:r>
        <w:rPr>
          <w:rFonts w:ascii="Arial" w:hAnsi="Arial" w:cs="Arial"/>
          <w:sz w:val="22"/>
          <w:szCs w:val="22"/>
        </w:rPr>
        <w:br w:type="page"/>
      </w:r>
    </w:p>
    <w:p w:rsidR="00647590" w:rsidRPr="00DF6BA3" w:rsidRDefault="00647590" w:rsidP="00DF6BA3">
      <w:pPr>
        <w:rPr>
          <w:rFonts w:ascii="Arial" w:hAnsi="Arial" w:cs="Arial"/>
          <w:sz w:val="22"/>
          <w:szCs w:val="22"/>
        </w:rPr>
      </w:pPr>
    </w:p>
    <w:p w:rsidR="00647590" w:rsidRPr="00DF6BA3" w:rsidRDefault="000D0045" w:rsidP="00DF6BA3">
      <w:pPr>
        <w:pBdr>
          <w:top w:val="single" w:sz="12" w:space="1" w:color="auto"/>
          <w:left w:val="single" w:sz="12" w:space="4" w:color="auto"/>
          <w:bottom w:val="single" w:sz="12" w:space="1" w:color="auto"/>
          <w:right w:val="single" w:sz="12" w:space="4" w:color="auto"/>
        </w:pBdr>
        <w:rPr>
          <w:rFonts w:ascii="Arial" w:hAnsi="Arial" w:cs="Arial"/>
          <w:b/>
          <w:i/>
          <w:sz w:val="22"/>
          <w:szCs w:val="22"/>
        </w:rPr>
      </w:pPr>
      <w:r w:rsidRPr="00DF6BA3">
        <w:rPr>
          <w:rFonts w:ascii="Arial" w:hAnsi="Arial" w:cs="Arial"/>
          <w:b/>
          <w:i/>
          <w:sz w:val="22"/>
          <w:szCs w:val="22"/>
        </w:rPr>
        <w:t xml:space="preserve">Proposed </w:t>
      </w:r>
      <w:r w:rsidR="00475C27" w:rsidRPr="00DF6BA3">
        <w:rPr>
          <w:rFonts w:ascii="Arial" w:hAnsi="Arial" w:cs="Arial"/>
          <w:b/>
          <w:i/>
          <w:sz w:val="22"/>
          <w:szCs w:val="22"/>
        </w:rPr>
        <w:t xml:space="preserve">non-spurious </w:t>
      </w:r>
      <w:r w:rsidRPr="00DF6BA3">
        <w:rPr>
          <w:rFonts w:ascii="Arial" w:hAnsi="Arial" w:cs="Arial"/>
          <w:b/>
          <w:i/>
          <w:sz w:val="22"/>
          <w:szCs w:val="22"/>
        </w:rPr>
        <w:t>out-of-band emission limits</w:t>
      </w:r>
    </w:p>
    <w:p w:rsidR="00444F1F" w:rsidRPr="00DF6BA3" w:rsidRDefault="00444F1F" w:rsidP="00DF6BA3">
      <w:pPr>
        <w:pBdr>
          <w:top w:val="single" w:sz="12" w:space="1" w:color="auto"/>
          <w:left w:val="single" w:sz="12" w:space="4" w:color="auto"/>
          <w:bottom w:val="single" w:sz="12" w:space="1" w:color="auto"/>
          <w:right w:val="single" w:sz="12" w:space="4" w:color="auto"/>
        </w:pBdr>
        <w:rPr>
          <w:rFonts w:ascii="Arial" w:hAnsi="Arial" w:cs="Arial"/>
          <w:b/>
          <w:i/>
          <w:sz w:val="22"/>
          <w:szCs w:val="22"/>
        </w:rPr>
      </w:pPr>
    </w:p>
    <w:p w:rsidR="002D4B5B" w:rsidRPr="00DF6BA3" w:rsidRDefault="00A16910" w:rsidP="00DF6BA3">
      <w:pPr>
        <w:pBdr>
          <w:top w:val="single" w:sz="12" w:space="1" w:color="auto"/>
          <w:left w:val="single" w:sz="12" w:space="4" w:color="auto"/>
          <w:bottom w:val="single" w:sz="12" w:space="1" w:color="auto"/>
          <w:right w:val="single" w:sz="12" w:space="4" w:color="auto"/>
        </w:pBdr>
        <w:rPr>
          <w:rFonts w:ascii="Arial" w:hAnsi="Arial" w:cs="Arial"/>
          <w:sz w:val="22"/>
          <w:szCs w:val="22"/>
        </w:rPr>
      </w:pPr>
      <w:r w:rsidRPr="00DF6BA3">
        <w:rPr>
          <w:rFonts w:ascii="Arial" w:hAnsi="Arial" w:cs="Arial"/>
          <w:sz w:val="22"/>
          <w:szCs w:val="22"/>
        </w:rPr>
        <w:t xml:space="preserve">For </w:t>
      </w:r>
      <w:r w:rsidR="00475C27" w:rsidRPr="00DF6BA3">
        <w:rPr>
          <w:rFonts w:ascii="Arial" w:hAnsi="Arial" w:cs="Arial"/>
          <w:sz w:val="22"/>
          <w:szCs w:val="22"/>
        </w:rPr>
        <w:t>transmitters operating in the lower band (70</w:t>
      </w:r>
      <w:r w:rsidR="001F0FB4" w:rsidRPr="00DF6BA3">
        <w:rPr>
          <w:rFonts w:ascii="Arial" w:hAnsi="Arial" w:cs="Arial"/>
          <w:sz w:val="22"/>
          <w:szCs w:val="22"/>
        </w:rPr>
        <w:t>3</w:t>
      </w:r>
      <w:r w:rsidR="00475C27" w:rsidRPr="00DF6BA3">
        <w:rPr>
          <w:rFonts w:ascii="Arial" w:hAnsi="Arial" w:cs="Arial"/>
          <w:sz w:val="22"/>
          <w:szCs w:val="22"/>
        </w:rPr>
        <w:t>-74</w:t>
      </w:r>
      <w:r w:rsidR="001F0FB4" w:rsidRPr="00DF6BA3">
        <w:rPr>
          <w:rFonts w:ascii="Arial" w:hAnsi="Arial" w:cs="Arial"/>
          <w:sz w:val="22"/>
          <w:szCs w:val="22"/>
        </w:rPr>
        <w:t>8</w:t>
      </w:r>
      <w:r w:rsidR="00DF6BA3">
        <w:rPr>
          <w:rFonts w:ascii="Arial" w:hAnsi="Arial" w:cs="Arial"/>
          <w:sz w:val="22"/>
          <w:szCs w:val="22"/>
        </w:rPr>
        <w:t xml:space="preserve"> </w:t>
      </w:r>
      <w:r w:rsidR="00E33BDB" w:rsidRPr="00DF6BA3">
        <w:rPr>
          <w:rFonts w:ascii="Arial" w:hAnsi="Arial" w:cs="Arial"/>
          <w:sz w:val="22"/>
          <w:szCs w:val="22"/>
        </w:rPr>
        <w:t>MHz</w:t>
      </w:r>
      <w:r w:rsidR="00475C27" w:rsidRPr="00DF6BA3">
        <w:rPr>
          <w:rFonts w:ascii="Arial" w:hAnsi="Arial" w:cs="Arial"/>
          <w:sz w:val="22"/>
          <w:szCs w:val="22"/>
        </w:rPr>
        <w:t>)</w:t>
      </w:r>
      <w:r w:rsidR="00641F41" w:rsidRPr="00DF6BA3">
        <w:rPr>
          <w:rFonts w:ascii="Arial" w:hAnsi="Arial" w:cs="Arial"/>
          <w:sz w:val="22"/>
          <w:szCs w:val="22"/>
        </w:rPr>
        <w:t xml:space="preserve"> emissions falling</w:t>
      </w:r>
      <w:r w:rsidR="002D4B5B" w:rsidRPr="00DF6BA3">
        <w:rPr>
          <w:rFonts w:ascii="Arial" w:hAnsi="Arial" w:cs="Arial"/>
          <w:sz w:val="22"/>
          <w:szCs w:val="22"/>
        </w:rPr>
        <w:t>:</w:t>
      </w:r>
    </w:p>
    <w:p w:rsidR="0098673A" w:rsidRPr="00DF6BA3" w:rsidRDefault="002D4B5B" w:rsidP="00DF6BA3">
      <w:pPr>
        <w:pBdr>
          <w:top w:val="single" w:sz="12" w:space="1" w:color="auto"/>
          <w:left w:val="single" w:sz="12" w:space="4" w:color="auto"/>
          <w:bottom w:val="single" w:sz="12" w:space="1" w:color="auto"/>
          <w:right w:val="single" w:sz="12" w:space="4" w:color="auto"/>
        </w:pBdr>
        <w:ind w:left="426" w:hanging="426"/>
        <w:rPr>
          <w:rFonts w:ascii="Arial" w:hAnsi="Arial" w:cs="Arial"/>
          <w:sz w:val="22"/>
          <w:szCs w:val="22"/>
        </w:rPr>
      </w:pPr>
      <w:r w:rsidRPr="00DF6BA3">
        <w:rPr>
          <w:rFonts w:ascii="Arial" w:hAnsi="Arial" w:cs="Arial"/>
          <w:sz w:val="22"/>
          <w:szCs w:val="22"/>
        </w:rPr>
        <w:t>(a)</w:t>
      </w:r>
      <w:r w:rsidR="00285262" w:rsidRPr="00DF6BA3">
        <w:rPr>
          <w:rFonts w:ascii="Arial" w:hAnsi="Arial" w:cs="Arial"/>
          <w:sz w:val="22"/>
          <w:szCs w:val="22"/>
        </w:rPr>
        <w:t xml:space="preserve"> </w:t>
      </w:r>
      <w:proofErr w:type="gramStart"/>
      <w:r w:rsidR="00711C3E" w:rsidRPr="00DF6BA3">
        <w:rPr>
          <w:rFonts w:ascii="Arial" w:hAnsi="Arial" w:cs="Arial"/>
          <w:sz w:val="22"/>
          <w:szCs w:val="22"/>
        </w:rPr>
        <w:t>above</w:t>
      </w:r>
      <w:proofErr w:type="gramEnd"/>
      <w:r w:rsidR="009C4157" w:rsidRPr="00DF6BA3">
        <w:rPr>
          <w:rFonts w:ascii="Arial" w:hAnsi="Arial" w:cs="Arial"/>
          <w:sz w:val="22"/>
          <w:szCs w:val="22"/>
        </w:rPr>
        <w:t xml:space="preserve"> 69</w:t>
      </w:r>
      <w:r w:rsidR="004B7BB5" w:rsidRPr="00DF6BA3">
        <w:rPr>
          <w:rFonts w:ascii="Arial" w:hAnsi="Arial" w:cs="Arial"/>
          <w:sz w:val="22"/>
          <w:szCs w:val="22"/>
        </w:rPr>
        <w:t>4</w:t>
      </w:r>
      <w:r w:rsidR="00DF6BA3">
        <w:rPr>
          <w:rFonts w:ascii="Arial" w:hAnsi="Arial" w:cs="Arial"/>
          <w:sz w:val="22"/>
          <w:szCs w:val="22"/>
        </w:rPr>
        <w:t xml:space="preserve"> </w:t>
      </w:r>
      <w:r w:rsidR="00E33BDB" w:rsidRPr="00DF6BA3">
        <w:rPr>
          <w:rFonts w:ascii="Arial" w:hAnsi="Arial" w:cs="Arial"/>
          <w:sz w:val="22"/>
          <w:szCs w:val="22"/>
        </w:rPr>
        <w:t>MHz</w:t>
      </w:r>
      <w:r w:rsidR="00711C3E" w:rsidRPr="00DF6BA3">
        <w:rPr>
          <w:rFonts w:ascii="Arial" w:hAnsi="Arial" w:cs="Arial"/>
          <w:sz w:val="22"/>
          <w:szCs w:val="22"/>
        </w:rPr>
        <w:t>,</w:t>
      </w:r>
      <w:r w:rsidR="009C4157" w:rsidRPr="00DF6BA3">
        <w:rPr>
          <w:rFonts w:ascii="Arial" w:hAnsi="Arial" w:cs="Arial"/>
          <w:sz w:val="22"/>
          <w:szCs w:val="22"/>
        </w:rPr>
        <w:t xml:space="preserve"> at </w:t>
      </w:r>
      <w:r w:rsidR="008C790C" w:rsidRPr="00DF6BA3">
        <w:rPr>
          <w:rFonts w:ascii="Arial" w:hAnsi="Arial" w:cs="Arial"/>
          <w:sz w:val="22"/>
          <w:szCs w:val="22"/>
        </w:rPr>
        <w:t>frequencies</w:t>
      </w:r>
      <w:r w:rsidR="009C4157" w:rsidRPr="00DF6BA3">
        <w:rPr>
          <w:rFonts w:ascii="Arial" w:hAnsi="Arial" w:cs="Arial"/>
          <w:sz w:val="22"/>
          <w:szCs w:val="22"/>
        </w:rPr>
        <w:t xml:space="preserve"> </w:t>
      </w:r>
      <w:r w:rsidR="00475C27" w:rsidRPr="00DF6BA3">
        <w:rPr>
          <w:rFonts w:ascii="Arial" w:hAnsi="Arial" w:cs="Arial"/>
          <w:sz w:val="22"/>
          <w:szCs w:val="22"/>
        </w:rPr>
        <w:t>offset from the upper and lower limits of the licence:</w:t>
      </w:r>
    </w:p>
    <w:p w:rsidR="0098673A" w:rsidRPr="00DF6BA3" w:rsidRDefault="00475C27" w:rsidP="00DF6BA3">
      <w:pPr>
        <w:pBdr>
          <w:top w:val="single" w:sz="12" w:space="1" w:color="auto"/>
          <w:left w:val="single" w:sz="12" w:space="4" w:color="auto"/>
          <w:bottom w:val="single" w:sz="12" w:space="1" w:color="auto"/>
          <w:right w:val="single" w:sz="12" w:space="4" w:color="auto"/>
        </w:pBdr>
        <w:ind w:firstLine="284"/>
        <w:rPr>
          <w:rFonts w:ascii="Arial" w:hAnsi="Arial" w:cs="Arial"/>
          <w:sz w:val="22"/>
          <w:szCs w:val="22"/>
        </w:rPr>
      </w:pPr>
      <w:r w:rsidRPr="00DF6BA3">
        <w:rPr>
          <w:rFonts w:ascii="Arial" w:hAnsi="Arial" w:cs="Arial"/>
          <w:sz w:val="22"/>
          <w:szCs w:val="22"/>
        </w:rPr>
        <w:t>(i)</w:t>
      </w:r>
      <w:r w:rsidRPr="00DF6BA3">
        <w:rPr>
          <w:rFonts w:ascii="Arial" w:hAnsi="Arial" w:cs="Arial"/>
          <w:sz w:val="22"/>
          <w:szCs w:val="22"/>
        </w:rPr>
        <w:tab/>
      </w:r>
      <w:proofErr w:type="gramStart"/>
      <w:r w:rsidR="0098673A" w:rsidRPr="00DF6BA3">
        <w:rPr>
          <w:rFonts w:ascii="Arial" w:hAnsi="Arial" w:cs="Arial"/>
          <w:sz w:val="22"/>
          <w:szCs w:val="22"/>
        </w:rPr>
        <w:t>between</w:t>
      </w:r>
      <w:proofErr w:type="gramEnd"/>
      <w:r w:rsidR="0098673A" w:rsidRPr="00DF6BA3">
        <w:rPr>
          <w:rFonts w:ascii="Arial" w:hAnsi="Arial" w:cs="Arial"/>
          <w:sz w:val="22"/>
          <w:szCs w:val="22"/>
        </w:rPr>
        <w:t xml:space="preserve"> 0</w:t>
      </w:r>
      <w:r w:rsidR="00DF6BA3">
        <w:rPr>
          <w:rFonts w:ascii="Arial" w:hAnsi="Arial" w:cs="Arial"/>
          <w:sz w:val="22"/>
          <w:szCs w:val="22"/>
        </w:rPr>
        <w:t xml:space="preserve"> </w:t>
      </w:r>
      <w:r w:rsidR="00E33BDB" w:rsidRPr="00DF6BA3">
        <w:rPr>
          <w:rFonts w:ascii="Arial" w:hAnsi="Arial" w:cs="Arial"/>
          <w:sz w:val="22"/>
          <w:szCs w:val="22"/>
        </w:rPr>
        <w:t>MHz</w:t>
      </w:r>
      <w:r w:rsidR="0098673A" w:rsidRPr="00DF6BA3">
        <w:rPr>
          <w:rFonts w:ascii="Arial" w:hAnsi="Arial" w:cs="Arial"/>
          <w:sz w:val="22"/>
          <w:szCs w:val="22"/>
        </w:rPr>
        <w:t xml:space="preserve"> and 1</w:t>
      </w:r>
      <w:r w:rsidR="00DF6BA3">
        <w:rPr>
          <w:rFonts w:ascii="Arial" w:hAnsi="Arial" w:cs="Arial"/>
          <w:sz w:val="22"/>
          <w:szCs w:val="22"/>
        </w:rPr>
        <w:t xml:space="preserve"> </w:t>
      </w:r>
      <w:r w:rsidR="00E33BDB" w:rsidRPr="00DF6BA3">
        <w:rPr>
          <w:rFonts w:ascii="Arial" w:hAnsi="Arial" w:cs="Arial"/>
          <w:sz w:val="22"/>
          <w:szCs w:val="22"/>
        </w:rPr>
        <w:t>MHz</w:t>
      </w:r>
      <w:r w:rsidR="00711C3E" w:rsidRPr="00DF6BA3">
        <w:rPr>
          <w:rFonts w:ascii="Arial" w:hAnsi="Arial" w:cs="Arial"/>
          <w:sz w:val="22"/>
          <w:szCs w:val="22"/>
        </w:rPr>
        <w:t xml:space="preserve"> – a</w:t>
      </w:r>
      <w:r w:rsidR="0098673A" w:rsidRPr="00DF6BA3">
        <w:rPr>
          <w:rFonts w:ascii="Arial" w:hAnsi="Arial" w:cs="Arial"/>
          <w:sz w:val="22"/>
          <w:szCs w:val="22"/>
        </w:rPr>
        <w:t xml:space="preserve"> </w:t>
      </w:r>
      <w:r w:rsidR="00711C3E" w:rsidRPr="00DF6BA3">
        <w:rPr>
          <w:rFonts w:ascii="Arial" w:hAnsi="Arial" w:cs="Arial"/>
          <w:sz w:val="22"/>
          <w:szCs w:val="22"/>
        </w:rPr>
        <w:t>radiated maximum true mean</w:t>
      </w:r>
    </w:p>
    <w:p w:rsidR="0098673A" w:rsidRPr="00DF6BA3" w:rsidRDefault="0098673A" w:rsidP="00DF6BA3">
      <w:pPr>
        <w:pBdr>
          <w:top w:val="single" w:sz="12" w:space="1" w:color="auto"/>
          <w:left w:val="single" w:sz="12" w:space="4" w:color="auto"/>
          <w:bottom w:val="single" w:sz="12" w:space="1" w:color="auto"/>
          <w:right w:val="single" w:sz="12" w:space="4" w:color="auto"/>
        </w:pBdr>
        <w:ind w:firstLine="284"/>
        <w:rPr>
          <w:rFonts w:ascii="Arial" w:hAnsi="Arial" w:cs="Arial"/>
          <w:sz w:val="22"/>
          <w:szCs w:val="22"/>
        </w:rPr>
      </w:pPr>
      <w:r w:rsidRPr="00DF6BA3">
        <w:rPr>
          <w:rFonts w:ascii="Arial" w:hAnsi="Arial" w:cs="Arial"/>
          <w:sz w:val="22"/>
          <w:szCs w:val="22"/>
        </w:rPr>
        <w:t xml:space="preserve">    </w:t>
      </w:r>
      <w:r w:rsidR="00E04E78" w:rsidRPr="00DF6BA3">
        <w:rPr>
          <w:rFonts w:ascii="Arial" w:hAnsi="Arial" w:cs="Arial"/>
          <w:sz w:val="22"/>
          <w:szCs w:val="22"/>
        </w:rPr>
        <w:tab/>
      </w:r>
      <w:proofErr w:type="gramStart"/>
      <w:r w:rsidR="00711C3E" w:rsidRPr="00DF6BA3">
        <w:rPr>
          <w:rFonts w:ascii="Arial" w:hAnsi="Arial" w:cs="Arial"/>
          <w:sz w:val="22"/>
          <w:szCs w:val="22"/>
        </w:rPr>
        <w:t>power</w:t>
      </w:r>
      <w:proofErr w:type="gramEnd"/>
      <w:r w:rsidRPr="00DF6BA3">
        <w:rPr>
          <w:rFonts w:ascii="Arial" w:hAnsi="Arial" w:cs="Arial"/>
          <w:sz w:val="22"/>
          <w:szCs w:val="22"/>
        </w:rPr>
        <w:t xml:space="preserve"> of -</w:t>
      </w:r>
      <w:r w:rsidR="008210D4" w:rsidRPr="00DF6BA3">
        <w:rPr>
          <w:rFonts w:ascii="Arial" w:hAnsi="Arial" w:cs="Arial"/>
          <w:sz w:val="22"/>
          <w:szCs w:val="22"/>
        </w:rPr>
        <w:t>15</w:t>
      </w:r>
      <w:r w:rsidR="00E33BDB" w:rsidRPr="00DF6BA3">
        <w:rPr>
          <w:rFonts w:ascii="Arial" w:hAnsi="Arial" w:cs="Arial"/>
          <w:sz w:val="22"/>
          <w:szCs w:val="22"/>
        </w:rPr>
        <w:t>dB</w:t>
      </w:r>
      <w:r w:rsidR="00711C3E" w:rsidRPr="00DF6BA3">
        <w:rPr>
          <w:rFonts w:ascii="Arial" w:hAnsi="Arial" w:cs="Arial"/>
          <w:sz w:val="22"/>
          <w:szCs w:val="22"/>
        </w:rPr>
        <w:t>m/30</w:t>
      </w:r>
      <w:r w:rsidR="00E33BDB" w:rsidRPr="00DF6BA3">
        <w:rPr>
          <w:rFonts w:ascii="Arial" w:hAnsi="Arial" w:cs="Arial"/>
          <w:sz w:val="22"/>
          <w:szCs w:val="22"/>
        </w:rPr>
        <w:t>kHz</w:t>
      </w:r>
      <w:r w:rsidRPr="00DF6BA3">
        <w:rPr>
          <w:rFonts w:ascii="Arial" w:hAnsi="Arial" w:cs="Arial"/>
          <w:sz w:val="22"/>
          <w:szCs w:val="22"/>
        </w:rPr>
        <w:t>;</w:t>
      </w:r>
    </w:p>
    <w:p w:rsidR="0098673A" w:rsidRPr="00DF6BA3" w:rsidRDefault="0098673A" w:rsidP="00DF6BA3">
      <w:pPr>
        <w:pBdr>
          <w:top w:val="single" w:sz="12" w:space="1" w:color="auto"/>
          <w:left w:val="single" w:sz="12" w:space="4" w:color="auto"/>
          <w:bottom w:val="single" w:sz="12" w:space="1" w:color="auto"/>
          <w:right w:val="single" w:sz="12" w:space="4" w:color="auto"/>
        </w:pBdr>
        <w:ind w:firstLine="284"/>
        <w:rPr>
          <w:rFonts w:ascii="Arial" w:hAnsi="Arial" w:cs="Arial"/>
          <w:sz w:val="22"/>
          <w:szCs w:val="22"/>
        </w:rPr>
      </w:pPr>
      <w:r w:rsidRPr="00DF6BA3">
        <w:rPr>
          <w:rFonts w:ascii="Arial" w:hAnsi="Arial" w:cs="Arial"/>
          <w:sz w:val="22"/>
          <w:szCs w:val="22"/>
        </w:rPr>
        <w:t>(ii)</w:t>
      </w:r>
      <w:r w:rsidRPr="00DF6BA3">
        <w:rPr>
          <w:rFonts w:ascii="Arial" w:hAnsi="Arial" w:cs="Arial"/>
          <w:sz w:val="22"/>
          <w:szCs w:val="22"/>
        </w:rPr>
        <w:tab/>
      </w:r>
      <w:proofErr w:type="gramStart"/>
      <w:r w:rsidR="00711C3E" w:rsidRPr="00DF6BA3">
        <w:rPr>
          <w:rFonts w:ascii="Arial" w:hAnsi="Arial" w:cs="Arial"/>
          <w:sz w:val="22"/>
          <w:szCs w:val="22"/>
        </w:rPr>
        <w:t>between</w:t>
      </w:r>
      <w:proofErr w:type="gramEnd"/>
      <w:r w:rsidR="00711C3E" w:rsidRPr="00DF6BA3">
        <w:rPr>
          <w:rFonts w:ascii="Arial" w:hAnsi="Arial" w:cs="Arial"/>
          <w:sz w:val="22"/>
          <w:szCs w:val="22"/>
        </w:rPr>
        <w:t xml:space="preserve"> 1</w:t>
      </w:r>
      <w:r w:rsidR="00DF6BA3">
        <w:rPr>
          <w:rFonts w:ascii="Arial" w:hAnsi="Arial" w:cs="Arial"/>
          <w:sz w:val="22"/>
          <w:szCs w:val="22"/>
        </w:rPr>
        <w:t xml:space="preserve"> </w:t>
      </w:r>
      <w:r w:rsidR="00E33BDB" w:rsidRPr="00DF6BA3">
        <w:rPr>
          <w:rFonts w:ascii="Arial" w:hAnsi="Arial" w:cs="Arial"/>
          <w:sz w:val="22"/>
          <w:szCs w:val="22"/>
        </w:rPr>
        <w:t>MHz</w:t>
      </w:r>
      <w:r w:rsidR="00711C3E" w:rsidRPr="00DF6BA3">
        <w:rPr>
          <w:rFonts w:ascii="Arial" w:hAnsi="Arial" w:cs="Arial"/>
          <w:sz w:val="22"/>
          <w:szCs w:val="22"/>
        </w:rPr>
        <w:t xml:space="preserve"> and</w:t>
      </w:r>
      <w:r w:rsidRPr="00DF6BA3">
        <w:rPr>
          <w:rFonts w:ascii="Arial" w:hAnsi="Arial" w:cs="Arial"/>
          <w:sz w:val="22"/>
          <w:szCs w:val="22"/>
        </w:rPr>
        <w:t xml:space="preserve"> </w:t>
      </w:r>
      <w:r w:rsidR="00711C3E" w:rsidRPr="00DF6BA3">
        <w:rPr>
          <w:rFonts w:ascii="Arial" w:hAnsi="Arial" w:cs="Arial"/>
          <w:sz w:val="22"/>
          <w:szCs w:val="22"/>
        </w:rPr>
        <w:t>5</w:t>
      </w:r>
      <w:r w:rsidR="00DF6BA3">
        <w:rPr>
          <w:rFonts w:ascii="Arial" w:hAnsi="Arial" w:cs="Arial"/>
          <w:sz w:val="22"/>
          <w:szCs w:val="22"/>
        </w:rPr>
        <w:t xml:space="preserve"> </w:t>
      </w:r>
      <w:r w:rsidR="00E33BDB" w:rsidRPr="00DF6BA3">
        <w:rPr>
          <w:rFonts w:ascii="Arial" w:hAnsi="Arial" w:cs="Arial"/>
          <w:sz w:val="22"/>
          <w:szCs w:val="22"/>
        </w:rPr>
        <w:t>MHz</w:t>
      </w:r>
      <w:r w:rsidRPr="00DF6BA3">
        <w:rPr>
          <w:rFonts w:ascii="Arial" w:hAnsi="Arial" w:cs="Arial"/>
          <w:sz w:val="22"/>
          <w:szCs w:val="22"/>
        </w:rPr>
        <w:t xml:space="preserve"> </w:t>
      </w:r>
      <w:r w:rsidR="00711C3E" w:rsidRPr="00DF6BA3">
        <w:rPr>
          <w:rFonts w:ascii="Arial" w:hAnsi="Arial" w:cs="Arial"/>
          <w:sz w:val="22"/>
          <w:szCs w:val="22"/>
        </w:rPr>
        <w:t>– a radiated maximum true mean</w:t>
      </w:r>
    </w:p>
    <w:p w:rsidR="0098673A" w:rsidRPr="00DF6BA3" w:rsidRDefault="0098673A" w:rsidP="00DF6BA3">
      <w:pPr>
        <w:pBdr>
          <w:top w:val="single" w:sz="12" w:space="1" w:color="auto"/>
          <w:left w:val="single" w:sz="12" w:space="4" w:color="auto"/>
          <w:bottom w:val="single" w:sz="12" w:space="1" w:color="auto"/>
          <w:right w:val="single" w:sz="12" w:space="4" w:color="auto"/>
        </w:pBdr>
        <w:ind w:firstLine="284"/>
        <w:rPr>
          <w:rFonts w:ascii="Arial" w:hAnsi="Arial" w:cs="Arial"/>
          <w:sz w:val="22"/>
          <w:szCs w:val="22"/>
        </w:rPr>
      </w:pPr>
      <w:r w:rsidRPr="00DF6BA3">
        <w:rPr>
          <w:rFonts w:ascii="Arial" w:hAnsi="Arial" w:cs="Arial"/>
          <w:sz w:val="22"/>
          <w:szCs w:val="22"/>
        </w:rPr>
        <w:t xml:space="preserve">    </w:t>
      </w:r>
      <w:r w:rsidR="00E04E78" w:rsidRPr="00DF6BA3">
        <w:rPr>
          <w:rFonts w:ascii="Arial" w:hAnsi="Arial" w:cs="Arial"/>
          <w:sz w:val="22"/>
          <w:szCs w:val="22"/>
        </w:rPr>
        <w:tab/>
      </w:r>
      <w:proofErr w:type="gramStart"/>
      <w:r w:rsidRPr="00DF6BA3">
        <w:rPr>
          <w:rFonts w:ascii="Arial" w:hAnsi="Arial" w:cs="Arial"/>
          <w:sz w:val="22"/>
          <w:szCs w:val="22"/>
        </w:rPr>
        <w:t>power</w:t>
      </w:r>
      <w:proofErr w:type="gramEnd"/>
      <w:r w:rsidRPr="00DF6BA3">
        <w:rPr>
          <w:rFonts w:ascii="Arial" w:hAnsi="Arial" w:cs="Arial"/>
          <w:sz w:val="22"/>
          <w:szCs w:val="22"/>
        </w:rPr>
        <w:t xml:space="preserve"> of -1</w:t>
      </w:r>
      <w:r w:rsidR="00711C3E" w:rsidRPr="00DF6BA3">
        <w:rPr>
          <w:rFonts w:ascii="Arial" w:hAnsi="Arial" w:cs="Arial"/>
          <w:sz w:val="22"/>
          <w:szCs w:val="22"/>
        </w:rPr>
        <w:t>0</w:t>
      </w:r>
      <w:r w:rsidR="00E33BDB" w:rsidRPr="00DF6BA3">
        <w:rPr>
          <w:rFonts w:ascii="Arial" w:hAnsi="Arial" w:cs="Arial"/>
          <w:sz w:val="22"/>
          <w:szCs w:val="22"/>
        </w:rPr>
        <w:t>dB</w:t>
      </w:r>
      <w:r w:rsidRPr="00DF6BA3">
        <w:rPr>
          <w:rFonts w:ascii="Arial" w:hAnsi="Arial" w:cs="Arial"/>
          <w:sz w:val="22"/>
          <w:szCs w:val="22"/>
        </w:rPr>
        <w:t xml:space="preserve">m/MHz; </w:t>
      </w:r>
    </w:p>
    <w:p w:rsidR="008C790C" w:rsidRPr="00DF6BA3" w:rsidRDefault="009C4157" w:rsidP="00DF6BA3">
      <w:pPr>
        <w:pBdr>
          <w:top w:val="single" w:sz="12" w:space="1" w:color="auto"/>
          <w:left w:val="single" w:sz="12" w:space="4" w:color="auto"/>
          <w:bottom w:val="single" w:sz="12" w:space="1" w:color="auto"/>
          <w:right w:val="single" w:sz="12" w:space="4" w:color="auto"/>
        </w:pBdr>
        <w:ind w:firstLine="284"/>
        <w:rPr>
          <w:rFonts w:ascii="Arial" w:hAnsi="Arial" w:cs="Arial"/>
          <w:sz w:val="22"/>
          <w:szCs w:val="22"/>
        </w:rPr>
      </w:pPr>
      <w:r w:rsidRPr="00DF6BA3">
        <w:rPr>
          <w:rFonts w:ascii="Arial" w:hAnsi="Arial" w:cs="Arial"/>
          <w:sz w:val="22"/>
          <w:szCs w:val="22"/>
        </w:rPr>
        <w:t>(</w:t>
      </w:r>
      <w:r w:rsidR="00711C3E" w:rsidRPr="00DF6BA3">
        <w:rPr>
          <w:rFonts w:ascii="Arial" w:hAnsi="Arial" w:cs="Arial"/>
          <w:sz w:val="22"/>
          <w:szCs w:val="22"/>
        </w:rPr>
        <w:t>i</w:t>
      </w:r>
      <w:r w:rsidRPr="00DF6BA3">
        <w:rPr>
          <w:rFonts w:ascii="Arial" w:hAnsi="Arial" w:cs="Arial"/>
          <w:sz w:val="22"/>
          <w:szCs w:val="22"/>
        </w:rPr>
        <w:t>ii)</w:t>
      </w:r>
      <w:r w:rsidRPr="00DF6BA3">
        <w:rPr>
          <w:rFonts w:ascii="Arial" w:hAnsi="Arial" w:cs="Arial"/>
          <w:sz w:val="22"/>
          <w:szCs w:val="22"/>
        </w:rPr>
        <w:tab/>
      </w:r>
      <w:proofErr w:type="gramStart"/>
      <w:r w:rsidR="00711C3E" w:rsidRPr="00DF6BA3">
        <w:rPr>
          <w:rFonts w:ascii="Arial" w:hAnsi="Arial" w:cs="Arial"/>
          <w:sz w:val="22"/>
          <w:szCs w:val="22"/>
        </w:rPr>
        <w:t>between</w:t>
      </w:r>
      <w:proofErr w:type="gramEnd"/>
      <w:r w:rsidRPr="00DF6BA3">
        <w:rPr>
          <w:rFonts w:ascii="Arial" w:hAnsi="Arial" w:cs="Arial"/>
          <w:sz w:val="22"/>
          <w:szCs w:val="22"/>
        </w:rPr>
        <w:t xml:space="preserve"> 5</w:t>
      </w:r>
      <w:r w:rsidR="00DF6BA3">
        <w:rPr>
          <w:rFonts w:ascii="Arial" w:hAnsi="Arial" w:cs="Arial"/>
          <w:sz w:val="22"/>
          <w:szCs w:val="22"/>
        </w:rPr>
        <w:t xml:space="preserve"> </w:t>
      </w:r>
      <w:r w:rsidR="00E33BDB" w:rsidRPr="00DF6BA3">
        <w:rPr>
          <w:rFonts w:ascii="Arial" w:hAnsi="Arial" w:cs="Arial"/>
          <w:sz w:val="22"/>
          <w:szCs w:val="22"/>
        </w:rPr>
        <w:t>MHz</w:t>
      </w:r>
      <w:r w:rsidRPr="00DF6BA3">
        <w:rPr>
          <w:rFonts w:ascii="Arial" w:hAnsi="Arial" w:cs="Arial"/>
          <w:sz w:val="22"/>
          <w:szCs w:val="22"/>
        </w:rPr>
        <w:t xml:space="preserve"> </w:t>
      </w:r>
      <w:r w:rsidR="00711C3E" w:rsidRPr="00DF6BA3">
        <w:rPr>
          <w:rFonts w:ascii="Arial" w:hAnsi="Arial" w:cs="Arial"/>
          <w:sz w:val="22"/>
          <w:szCs w:val="22"/>
        </w:rPr>
        <w:t>and 10</w:t>
      </w:r>
      <w:r w:rsidR="00DF6BA3">
        <w:rPr>
          <w:rFonts w:ascii="Arial" w:hAnsi="Arial" w:cs="Arial"/>
          <w:sz w:val="22"/>
          <w:szCs w:val="22"/>
        </w:rPr>
        <w:t xml:space="preserve"> </w:t>
      </w:r>
      <w:r w:rsidR="00E33BDB" w:rsidRPr="00DF6BA3">
        <w:rPr>
          <w:rFonts w:ascii="Arial" w:hAnsi="Arial" w:cs="Arial"/>
          <w:sz w:val="22"/>
          <w:szCs w:val="22"/>
        </w:rPr>
        <w:t>MHz</w:t>
      </w:r>
      <w:r w:rsidR="00711C3E" w:rsidRPr="00DF6BA3">
        <w:rPr>
          <w:rFonts w:ascii="Arial" w:hAnsi="Arial" w:cs="Arial"/>
          <w:sz w:val="22"/>
          <w:szCs w:val="22"/>
        </w:rPr>
        <w:t xml:space="preserve"> – a radiated maximum true mean </w:t>
      </w:r>
    </w:p>
    <w:p w:rsidR="009C4157" w:rsidRPr="00DF6BA3" w:rsidRDefault="00285262" w:rsidP="00DF6BA3">
      <w:pPr>
        <w:pBdr>
          <w:top w:val="single" w:sz="12" w:space="1" w:color="auto"/>
          <w:left w:val="single" w:sz="12" w:space="4" w:color="auto"/>
          <w:bottom w:val="single" w:sz="12" w:space="1" w:color="auto"/>
          <w:right w:val="single" w:sz="12" w:space="4" w:color="auto"/>
        </w:pBdr>
        <w:ind w:firstLine="284"/>
        <w:rPr>
          <w:rFonts w:ascii="Arial" w:hAnsi="Arial" w:cs="Arial"/>
          <w:sz w:val="22"/>
          <w:szCs w:val="22"/>
        </w:rPr>
      </w:pPr>
      <w:r w:rsidRPr="00DF6BA3">
        <w:rPr>
          <w:rFonts w:ascii="Arial" w:hAnsi="Arial" w:cs="Arial"/>
          <w:sz w:val="22"/>
          <w:szCs w:val="22"/>
        </w:rPr>
        <w:t xml:space="preserve">   </w:t>
      </w:r>
      <w:r w:rsidR="00711C3E" w:rsidRPr="00DF6BA3">
        <w:rPr>
          <w:rFonts w:ascii="Arial" w:hAnsi="Arial" w:cs="Arial"/>
          <w:sz w:val="22"/>
          <w:szCs w:val="22"/>
        </w:rPr>
        <w:t xml:space="preserve"> </w:t>
      </w:r>
      <w:r w:rsidR="00E04E78" w:rsidRPr="00DF6BA3">
        <w:rPr>
          <w:rFonts w:ascii="Arial" w:hAnsi="Arial" w:cs="Arial"/>
          <w:sz w:val="22"/>
          <w:szCs w:val="22"/>
        </w:rPr>
        <w:tab/>
      </w:r>
      <w:proofErr w:type="gramStart"/>
      <w:r w:rsidR="009C4157" w:rsidRPr="00DF6BA3">
        <w:rPr>
          <w:rFonts w:ascii="Arial" w:hAnsi="Arial" w:cs="Arial"/>
          <w:sz w:val="22"/>
          <w:szCs w:val="22"/>
        </w:rPr>
        <w:t>power</w:t>
      </w:r>
      <w:proofErr w:type="gramEnd"/>
      <w:r w:rsidR="009C4157" w:rsidRPr="00DF6BA3">
        <w:rPr>
          <w:rFonts w:ascii="Arial" w:hAnsi="Arial" w:cs="Arial"/>
          <w:sz w:val="22"/>
          <w:szCs w:val="22"/>
        </w:rPr>
        <w:t xml:space="preserve"> of</w:t>
      </w:r>
      <w:r w:rsidRPr="00DF6BA3">
        <w:rPr>
          <w:rFonts w:ascii="Arial" w:hAnsi="Arial" w:cs="Arial"/>
          <w:sz w:val="22"/>
          <w:szCs w:val="22"/>
        </w:rPr>
        <w:t xml:space="preserve"> </w:t>
      </w:r>
      <w:r w:rsidR="005406B7" w:rsidRPr="00DF6BA3">
        <w:rPr>
          <w:rFonts w:ascii="Arial" w:hAnsi="Arial" w:cs="Arial"/>
          <w:sz w:val="22"/>
          <w:szCs w:val="22"/>
        </w:rPr>
        <w:t>-13</w:t>
      </w:r>
      <w:r w:rsidR="00E33BDB" w:rsidRPr="00DF6BA3">
        <w:rPr>
          <w:rFonts w:ascii="Arial" w:hAnsi="Arial" w:cs="Arial"/>
          <w:sz w:val="22"/>
          <w:szCs w:val="22"/>
        </w:rPr>
        <w:t>dB</w:t>
      </w:r>
      <w:r w:rsidR="009B5F0B" w:rsidRPr="00DF6BA3">
        <w:rPr>
          <w:rFonts w:ascii="Arial" w:hAnsi="Arial" w:cs="Arial"/>
          <w:sz w:val="22"/>
          <w:szCs w:val="22"/>
        </w:rPr>
        <w:t>m/MHz</w:t>
      </w:r>
      <w:r w:rsidR="009C4157" w:rsidRPr="00DF6BA3">
        <w:rPr>
          <w:rFonts w:ascii="Arial" w:hAnsi="Arial" w:cs="Arial"/>
          <w:sz w:val="22"/>
          <w:szCs w:val="22"/>
        </w:rPr>
        <w:t>;</w:t>
      </w:r>
      <w:r w:rsidR="00241E5E" w:rsidRPr="00DF6BA3">
        <w:rPr>
          <w:rFonts w:ascii="Arial" w:hAnsi="Arial" w:cs="Arial"/>
          <w:sz w:val="22"/>
          <w:szCs w:val="22"/>
        </w:rPr>
        <w:t xml:space="preserve"> </w:t>
      </w:r>
    </w:p>
    <w:p w:rsidR="00A059EB" w:rsidRPr="00DF6BA3" w:rsidRDefault="00711C3E" w:rsidP="00DF6BA3">
      <w:pPr>
        <w:pBdr>
          <w:top w:val="single" w:sz="12" w:space="1" w:color="auto"/>
          <w:left w:val="single" w:sz="12" w:space="4" w:color="auto"/>
          <w:bottom w:val="single" w:sz="12" w:space="1" w:color="auto"/>
          <w:right w:val="single" w:sz="12" w:space="4" w:color="auto"/>
        </w:pBdr>
        <w:ind w:firstLine="284"/>
        <w:rPr>
          <w:rFonts w:ascii="Arial" w:hAnsi="Arial" w:cs="Arial"/>
          <w:sz w:val="22"/>
          <w:szCs w:val="22"/>
        </w:rPr>
      </w:pPr>
      <w:r w:rsidRPr="00DF6BA3">
        <w:rPr>
          <w:rFonts w:ascii="Arial" w:hAnsi="Arial" w:cs="Arial"/>
          <w:sz w:val="22"/>
          <w:szCs w:val="22"/>
        </w:rPr>
        <w:t>(iv</w:t>
      </w:r>
      <w:r w:rsidR="009C4157" w:rsidRPr="00DF6BA3">
        <w:rPr>
          <w:rFonts w:ascii="Arial" w:hAnsi="Arial" w:cs="Arial"/>
          <w:sz w:val="22"/>
          <w:szCs w:val="22"/>
        </w:rPr>
        <w:t>)</w:t>
      </w:r>
      <w:r w:rsidRPr="00DF6BA3">
        <w:rPr>
          <w:rFonts w:ascii="Arial" w:hAnsi="Arial" w:cs="Arial"/>
          <w:sz w:val="22"/>
          <w:szCs w:val="22"/>
        </w:rPr>
        <w:tab/>
      </w:r>
      <w:proofErr w:type="gramStart"/>
      <w:r w:rsidRPr="00DF6BA3">
        <w:rPr>
          <w:rFonts w:ascii="Arial" w:hAnsi="Arial" w:cs="Arial"/>
          <w:sz w:val="22"/>
          <w:szCs w:val="22"/>
        </w:rPr>
        <w:t>greater</w:t>
      </w:r>
      <w:proofErr w:type="gramEnd"/>
      <w:r w:rsidRPr="00DF6BA3">
        <w:rPr>
          <w:rFonts w:ascii="Arial" w:hAnsi="Arial" w:cs="Arial"/>
          <w:sz w:val="22"/>
          <w:szCs w:val="22"/>
        </w:rPr>
        <w:t xml:space="preserve"> than 10</w:t>
      </w:r>
      <w:r w:rsidR="00DF6BA3">
        <w:rPr>
          <w:rFonts w:ascii="Arial" w:hAnsi="Arial" w:cs="Arial"/>
          <w:sz w:val="22"/>
          <w:szCs w:val="22"/>
        </w:rPr>
        <w:t xml:space="preserve"> </w:t>
      </w:r>
      <w:r w:rsidR="00E33BDB" w:rsidRPr="00DF6BA3">
        <w:rPr>
          <w:rFonts w:ascii="Arial" w:hAnsi="Arial" w:cs="Arial"/>
          <w:sz w:val="22"/>
          <w:szCs w:val="22"/>
        </w:rPr>
        <w:t>MHz</w:t>
      </w:r>
      <w:r w:rsidR="00241E5E" w:rsidRPr="00DF6BA3">
        <w:rPr>
          <w:rFonts w:ascii="Arial" w:hAnsi="Arial" w:cs="Arial"/>
          <w:sz w:val="22"/>
          <w:szCs w:val="22"/>
        </w:rPr>
        <w:t xml:space="preserve"> </w:t>
      </w:r>
      <w:r w:rsidR="008C790C" w:rsidRPr="00DF6BA3">
        <w:rPr>
          <w:rFonts w:ascii="Arial" w:hAnsi="Arial" w:cs="Arial"/>
          <w:sz w:val="22"/>
          <w:szCs w:val="22"/>
        </w:rPr>
        <w:t>–</w:t>
      </w:r>
      <w:r w:rsidR="00B54D3A" w:rsidRPr="00DF6BA3">
        <w:rPr>
          <w:rFonts w:ascii="Arial" w:hAnsi="Arial" w:cs="Arial"/>
          <w:sz w:val="22"/>
          <w:szCs w:val="22"/>
        </w:rPr>
        <w:t xml:space="preserve"> </w:t>
      </w:r>
      <w:r w:rsidR="00241E5E" w:rsidRPr="00DF6BA3">
        <w:rPr>
          <w:rFonts w:ascii="Arial" w:hAnsi="Arial" w:cs="Arial"/>
          <w:sz w:val="22"/>
          <w:szCs w:val="22"/>
        </w:rPr>
        <w:t>a</w:t>
      </w:r>
      <w:r w:rsidR="00B54D3A" w:rsidRPr="00DF6BA3">
        <w:rPr>
          <w:rFonts w:ascii="Arial" w:hAnsi="Arial" w:cs="Arial"/>
          <w:sz w:val="22"/>
          <w:szCs w:val="22"/>
        </w:rPr>
        <w:t xml:space="preserve"> </w:t>
      </w:r>
      <w:r w:rsidR="008C790C" w:rsidRPr="00DF6BA3">
        <w:rPr>
          <w:rFonts w:ascii="Arial" w:hAnsi="Arial" w:cs="Arial"/>
          <w:sz w:val="22"/>
          <w:szCs w:val="22"/>
        </w:rPr>
        <w:t>r</w:t>
      </w:r>
      <w:r w:rsidR="00B54D3A" w:rsidRPr="00DF6BA3">
        <w:rPr>
          <w:rFonts w:ascii="Arial" w:hAnsi="Arial" w:cs="Arial"/>
          <w:sz w:val="22"/>
          <w:szCs w:val="22"/>
        </w:rPr>
        <w:t>adiated</w:t>
      </w:r>
      <w:r w:rsidR="008C790C" w:rsidRPr="00DF6BA3">
        <w:rPr>
          <w:rFonts w:ascii="Arial" w:hAnsi="Arial" w:cs="Arial"/>
          <w:sz w:val="22"/>
          <w:szCs w:val="22"/>
        </w:rPr>
        <w:t xml:space="preserve"> </w:t>
      </w:r>
      <w:r w:rsidR="00B54D3A" w:rsidRPr="00DF6BA3">
        <w:rPr>
          <w:rFonts w:ascii="Arial" w:hAnsi="Arial" w:cs="Arial"/>
          <w:sz w:val="22"/>
          <w:szCs w:val="22"/>
        </w:rPr>
        <w:t>maximum true mean</w:t>
      </w:r>
      <w:r w:rsidRPr="00DF6BA3">
        <w:rPr>
          <w:rFonts w:ascii="Arial" w:hAnsi="Arial" w:cs="Arial"/>
          <w:sz w:val="22"/>
          <w:szCs w:val="22"/>
        </w:rPr>
        <w:t xml:space="preserve"> power</w:t>
      </w:r>
    </w:p>
    <w:p w:rsidR="00B54D3A" w:rsidRPr="00DF6BA3" w:rsidRDefault="00285262" w:rsidP="00DF6BA3">
      <w:pPr>
        <w:pBdr>
          <w:top w:val="single" w:sz="12" w:space="1" w:color="auto"/>
          <w:left w:val="single" w:sz="12" w:space="4" w:color="auto"/>
          <w:bottom w:val="single" w:sz="12" w:space="1" w:color="auto"/>
          <w:right w:val="single" w:sz="12" w:space="4" w:color="auto"/>
        </w:pBdr>
        <w:ind w:firstLine="284"/>
        <w:rPr>
          <w:rFonts w:ascii="Arial" w:hAnsi="Arial" w:cs="Arial"/>
          <w:sz w:val="22"/>
          <w:szCs w:val="22"/>
        </w:rPr>
      </w:pPr>
      <w:r w:rsidRPr="00DF6BA3">
        <w:rPr>
          <w:rFonts w:ascii="Arial" w:hAnsi="Arial" w:cs="Arial"/>
          <w:sz w:val="22"/>
          <w:szCs w:val="22"/>
        </w:rPr>
        <w:t xml:space="preserve">    </w:t>
      </w:r>
      <w:r w:rsidR="00E04E78" w:rsidRPr="00DF6BA3">
        <w:rPr>
          <w:rFonts w:ascii="Arial" w:hAnsi="Arial" w:cs="Arial"/>
          <w:sz w:val="22"/>
          <w:szCs w:val="22"/>
        </w:rPr>
        <w:tab/>
      </w:r>
      <w:r w:rsidR="009B5F0B" w:rsidRPr="00DF6BA3">
        <w:rPr>
          <w:rFonts w:ascii="Arial" w:hAnsi="Arial" w:cs="Arial"/>
          <w:sz w:val="22"/>
          <w:szCs w:val="22"/>
        </w:rPr>
        <w:t>-</w:t>
      </w:r>
      <w:r w:rsidR="00711C3E" w:rsidRPr="00DF6BA3">
        <w:rPr>
          <w:rFonts w:ascii="Arial" w:hAnsi="Arial" w:cs="Arial"/>
          <w:sz w:val="22"/>
          <w:szCs w:val="22"/>
        </w:rPr>
        <w:t>25</w:t>
      </w:r>
      <w:r w:rsidR="00E33BDB" w:rsidRPr="00DF6BA3">
        <w:rPr>
          <w:rFonts w:ascii="Arial" w:hAnsi="Arial" w:cs="Arial"/>
          <w:sz w:val="22"/>
          <w:szCs w:val="22"/>
        </w:rPr>
        <w:t>dB</w:t>
      </w:r>
      <w:r w:rsidR="00711C3E" w:rsidRPr="00DF6BA3">
        <w:rPr>
          <w:rFonts w:ascii="Arial" w:hAnsi="Arial" w:cs="Arial"/>
          <w:sz w:val="22"/>
          <w:szCs w:val="22"/>
        </w:rPr>
        <w:t>m/MHz</w:t>
      </w:r>
      <w:r w:rsidR="00E37A16" w:rsidRPr="00DF6BA3">
        <w:rPr>
          <w:rFonts w:ascii="Arial" w:hAnsi="Arial" w:cs="Arial"/>
          <w:sz w:val="22"/>
          <w:szCs w:val="22"/>
        </w:rPr>
        <w:t>;</w:t>
      </w:r>
      <w:r w:rsidR="00140BCF" w:rsidRPr="00DF6BA3">
        <w:rPr>
          <w:rFonts w:ascii="Arial" w:hAnsi="Arial" w:cs="Arial"/>
          <w:sz w:val="22"/>
          <w:szCs w:val="22"/>
        </w:rPr>
        <w:t xml:space="preserve"> </w:t>
      </w:r>
    </w:p>
    <w:p w:rsidR="00B855B1" w:rsidRPr="00DF6BA3" w:rsidRDefault="00E37A16" w:rsidP="00DF6BA3">
      <w:pPr>
        <w:pBdr>
          <w:top w:val="single" w:sz="12" w:space="1" w:color="auto"/>
          <w:left w:val="single" w:sz="12" w:space="4" w:color="auto"/>
          <w:bottom w:val="single" w:sz="12" w:space="1" w:color="auto"/>
          <w:right w:val="single" w:sz="12" w:space="4" w:color="auto"/>
        </w:pBdr>
        <w:ind w:left="426" w:hanging="426"/>
        <w:rPr>
          <w:rFonts w:ascii="Arial" w:hAnsi="Arial" w:cs="Arial"/>
          <w:sz w:val="22"/>
          <w:szCs w:val="22"/>
        </w:rPr>
      </w:pPr>
      <w:r w:rsidRPr="00DF6BA3">
        <w:rPr>
          <w:rFonts w:ascii="Arial" w:hAnsi="Arial" w:cs="Arial"/>
          <w:sz w:val="22"/>
          <w:szCs w:val="22"/>
        </w:rPr>
        <w:t>(b)</w:t>
      </w:r>
      <w:r w:rsidR="00285262" w:rsidRPr="00DF6BA3">
        <w:rPr>
          <w:rFonts w:ascii="Arial" w:hAnsi="Arial" w:cs="Arial"/>
          <w:sz w:val="22"/>
          <w:szCs w:val="22"/>
        </w:rPr>
        <w:t xml:space="preserve"> </w:t>
      </w:r>
      <w:proofErr w:type="gramStart"/>
      <w:r w:rsidR="00B855B1" w:rsidRPr="00DF6BA3">
        <w:rPr>
          <w:rFonts w:ascii="Arial" w:hAnsi="Arial" w:cs="Arial"/>
          <w:sz w:val="22"/>
          <w:szCs w:val="22"/>
        </w:rPr>
        <w:t>between</w:t>
      </w:r>
      <w:proofErr w:type="gramEnd"/>
      <w:r w:rsidR="00B855B1" w:rsidRPr="00DF6BA3">
        <w:rPr>
          <w:rFonts w:ascii="Arial" w:hAnsi="Arial" w:cs="Arial"/>
          <w:sz w:val="22"/>
          <w:szCs w:val="22"/>
        </w:rPr>
        <w:t xml:space="preserve"> 673-</w:t>
      </w:r>
      <w:r w:rsidRPr="00DF6BA3">
        <w:rPr>
          <w:rFonts w:ascii="Arial" w:hAnsi="Arial" w:cs="Arial"/>
          <w:sz w:val="22"/>
          <w:szCs w:val="22"/>
        </w:rPr>
        <w:t>694</w:t>
      </w:r>
      <w:r w:rsidR="00C35AE9">
        <w:rPr>
          <w:rFonts w:ascii="Arial" w:hAnsi="Arial" w:cs="Arial"/>
          <w:sz w:val="22"/>
          <w:szCs w:val="22"/>
        </w:rPr>
        <w:t xml:space="preserve"> </w:t>
      </w:r>
      <w:r w:rsidR="00E33BDB" w:rsidRPr="00DF6BA3">
        <w:rPr>
          <w:rFonts w:ascii="Arial" w:hAnsi="Arial" w:cs="Arial"/>
          <w:sz w:val="22"/>
          <w:szCs w:val="22"/>
        </w:rPr>
        <w:t>MHz</w:t>
      </w:r>
      <w:r w:rsidR="00B855B1" w:rsidRPr="00DF6BA3">
        <w:rPr>
          <w:rFonts w:ascii="Arial" w:hAnsi="Arial" w:cs="Arial"/>
          <w:sz w:val="22"/>
          <w:szCs w:val="22"/>
        </w:rPr>
        <w:t>:</w:t>
      </w:r>
    </w:p>
    <w:p w:rsidR="00B855B1" w:rsidRPr="00DF6BA3" w:rsidRDefault="00232F3A" w:rsidP="00DF6BA3">
      <w:pPr>
        <w:pBdr>
          <w:top w:val="single" w:sz="12" w:space="1" w:color="auto"/>
          <w:left w:val="single" w:sz="12" w:space="4" w:color="auto"/>
          <w:bottom w:val="single" w:sz="12" w:space="1" w:color="auto"/>
          <w:right w:val="single" w:sz="12" w:space="4" w:color="auto"/>
        </w:pBdr>
        <w:ind w:firstLine="284"/>
        <w:rPr>
          <w:rFonts w:ascii="Arial" w:hAnsi="Arial" w:cs="Arial"/>
          <w:sz w:val="22"/>
          <w:szCs w:val="22"/>
        </w:rPr>
      </w:pPr>
      <w:r w:rsidRPr="00DF6BA3">
        <w:rPr>
          <w:rFonts w:ascii="Arial" w:hAnsi="Arial" w:cs="Arial"/>
          <w:sz w:val="22"/>
          <w:szCs w:val="22"/>
        </w:rPr>
        <w:t>(i) while operating in an area designated for use of</w:t>
      </w:r>
      <w:r w:rsidR="00EE467E" w:rsidRPr="00DF6BA3">
        <w:rPr>
          <w:rFonts w:ascii="Arial" w:hAnsi="Arial" w:cs="Arial"/>
          <w:sz w:val="22"/>
          <w:szCs w:val="22"/>
        </w:rPr>
        <w:t xml:space="preserve"> television</w:t>
      </w:r>
      <w:r w:rsidRPr="00DF6BA3">
        <w:rPr>
          <w:rFonts w:ascii="Arial" w:hAnsi="Arial" w:cs="Arial"/>
          <w:sz w:val="22"/>
          <w:szCs w:val="22"/>
        </w:rPr>
        <w:t xml:space="preserve"> broadcasting channels 49</w:t>
      </w:r>
      <w:r w:rsidR="00C35AE9">
        <w:rPr>
          <w:rFonts w:ascii="Arial" w:hAnsi="Arial" w:cs="Arial"/>
          <w:sz w:val="22"/>
          <w:szCs w:val="22"/>
        </w:rPr>
        <w:t>,</w:t>
      </w:r>
      <w:r w:rsidR="00676956" w:rsidRPr="00DF6BA3">
        <w:rPr>
          <w:rFonts w:ascii="Arial" w:hAnsi="Arial" w:cs="Arial"/>
          <w:sz w:val="22"/>
          <w:szCs w:val="22"/>
        </w:rPr>
        <w:br/>
        <w:t xml:space="preserve">             </w:t>
      </w:r>
      <w:r w:rsidR="00EE467E" w:rsidRPr="00DF6BA3">
        <w:rPr>
          <w:rFonts w:ascii="Arial" w:hAnsi="Arial" w:cs="Arial"/>
          <w:sz w:val="22"/>
          <w:szCs w:val="22"/>
        </w:rPr>
        <w:t xml:space="preserve">50 and </w:t>
      </w:r>
      <w:r w:rsidRPr="00DF6BA3">
        <w:rPr>
          <w:rFonts w:ascii="Arial" w:hAnsi="Arial" w:cs="Arial"/>
          <w:sz w:val="22"/>
          <w:szCs w:val="22"/>
        </w:rPr>
        <w:t xml:space="preserve">51, </w:t>
      </w:r>
      <w:r w:rsidR="00B855B1" w:rsidRPr="00DF6BA3">
        <w:rPr>
          <w:rFonts w:ascii="Arial" w:hAnsi="Arial" w:cs="Arial"/>
          <w:sz w:val="22"/>
          <w:szCs w:val="22"/>
        </w:rPr>
        <w:t>a radiated maximum true mean power of -40</w:t>
      </w:r>
      <w:r w:rsidRPr="00DF6BA3">
        <w:rPr>
          <w:rFonts w:ascii="Arial" w:hAnsi="Arial" w:cs="Arial"/>
          <w:sz w:val="22"/>
          <w:szCs w:val="22"/>
        </w:rPr>
        <w:t>dBm/M</w:t>
      </w:r>
      <w:r w:rsidR="00B855B1" w:rsidRPr="00DF6BA3">
        <w:rPr>
          <w:rFonts w:ascii="Arial" w:hAnsi="Arial" w:cs="Arial"/>
          <w:sz w:val="22"/>
          <w:szCs w:val="22"/>
        </w:rPr>
        <w:t>Hz</w:t>
      </w:r>
      <w:r w:rsidRPr="00DF6BA3">
        <w:rPr>
          <w:rFonts w:ascii="Arial" w:hAnsi="Arial" w:cs="Arial"/>
          <w:sz w:val="22"/>
          <w:szCs w:val="22"/>
        </w:rPr>
        <w:t xml:space="preserve"> (averaged over a</w:t>
      </w:r>
      <w:r w:rsidR="00676956" w:rsidRPr="00DF6BA3">
        <w:rPr>
          <w:rFonts w:ascii="Arial" w:hAnsi="Arial" w:cs="Arial"/>
          <w:sz w:val="22"/>
          <w:szCs w:val="22"/>
        </w:rPr>
        <w:br/>
        <w:t xml:space="preserve">             </w:t>
      </w:r>
      <w:r w:rsidRPr="00DF6BA3">
        <w:rPr>
          <w:rFonts w:ascii="Arial" w:hAnsi="Arial" w:cs="Arial"/>
          <w:sz w:val="22"/>
          <w:szCs w:val="22"/>
        </w:rPr>
        <w:t>7</w:t>
      </w:r>
      <w:r w:rsidR="00DF6BA3">
        <w:rPr>
          <w:rFonts w:ascii="Arial" w:hAnsi="Arial" w:cs="Arial"/>
          <w:sz w:val="22"/>
          <w:szCs w:val="22"/>
        </w:rPr>
        <w:t xml:space="preserve"> </w:t>
      </w:r>
      <w:r w:rsidRPr="00DF6BA3">
        <w:rPr>
          <w:rFonts w:ascii="Arial" w:hAnsi="Arial" w:cs="Arial"/>
          <w:sz w:val="22"/>
          <w:szCs w:val="22"/>
        </w:rPr>
        <w:t>MHz bandwidth)</w:t>
      </w:r>
      <w:r w:rsidR="00B855B1" w:rsidRPr="00DF6BA3">
        <w:rPr>
          <w:rFonts w:ascii="Arial" w:hAnsi="Arial" w:cs="Arial"/>
          <w:sz w:val="22"/>
          <w:szCs w:val="22"/>
        </w:rPr>
        <w:t>;</w:t>
      </w:r>
    </w:p>
    <w:p w:rsidR="00B855B1" w:rsidRPr="00DF6BA3" w:rsidRDefault="00B855B1" w:rsidP="00DF6BA3">
      <w:pPr>
        <w:pBdr>
          <w:top w:val="single" w:sz="12" w:space="1" w:color="auto"/>
          <w:left w:val="single" w:sz="12" w:space="4" w:color="auto"/>
          <w:bottom w:val="single" w:sz="12" w:space="1" w:color="auto"/>
          <w:right w:val="single" w:sz="12" w:space="4" w:color="auto"/>
        </w:pBdr>
        <w:ind w:firstLine="284"/>
        <w:rPr>
          <w:rFonts w:ascii="Arial" w:hAnsi="Arial" w:cs="Arial"/>
          <w:sz w:val="22"/>
          <w:szCs w:val="22"/>
        </w:rPr>
      </w:pPr>
      <w:r w:rsidRPr="00DF6BA3">
        <w:rPr>
          <w:rFonts w:ascii="Arial" w:hAnsi="Arial" w:cs="Arial"/>
          <w:sz w:val="22"/>
          <w:szCs w:val="22"/>
        </w:rPr>
        <w:t>(ii)</w:t>
      </w:r>
      <w:r w:rsidRPr="00DF6BA3">
        <w:rPr>
          <w:rFonts w:ascii="Arial" w:hAnsi="Arial" w:cs="Arial"/>
          <w:sz w:val="22"/>
          <w:szCs w:val="22"/>
        </w:rPr>
        <w:tab/>
      </w:r>
      <w:proofErr w:type="gramStart"/>
      <w:r w:rsidR="00232F3A" w:rsidRPr="00DF6BA3">
        <w:rPr>
          <w:rFonts w:ascii="Arial" w:hAnsi="Arial" w:cs="Arial"/>
          <w:sz w:val="22"/>
          <w:szCs w:val="22"/>
        </w:rPr>
        <w:t>while</w:t>
      </w:r>
      <w:proofErr w:type="gramEnd"/>
      <w:r w:rsidR="00232F3A" w:rsidRPr="00DF6BA3">
        <w:rPr>
          <w:rFonts w:ascii="Arial" w:hAnsi="Arial" w:cs="Arial"/>
          <w:sz w:val="22"/>
          <w:szCs w:val="22"/>
        </w:rPr>
        <w:t xml:space="preserve"> operating in any other area, a radi</w:t>
      </w:r>
      <w:r w:rsidR="00C35AE9">
        <w:rPr>
          <w:rFonts w:ascii="Arial" w:hAnsi="Arial" w:cs="Arial"/>
          <w:sz w:val="22"/>
          <w:szCs w:val="22"/>
        </w:rPr>
        <w:t>ated maximum true mean power of</w:t>
      </w:r>
      <w:r w:rsidR="00676956" w:rsidRPr="00DF6BA3">
        <w:rPr>
          <w:rFonts w:ascii="Arial" w:hAnsi="Arial" w:cs="Arial"/>
          <w:sz w:val="22"/>
          <w:szCs w:val="22"/>
        </w:rPr>
        <w:br/>
        <w:t xml:space="preserve">            </w:t>
      </w:r>
      <w:r w:rsidR="00232F3A" w:rsidRPr="00DF6BA3">
        <w:rPr>
          <w:rFonts w:ascii="Arial" w:hAnsi="Arial" w:cs="Arial"/>
          <w:sz w:val="22"/>
          <w:szCs w:val="22"/>
        </w:rPr>
        <w:t>-34dBm/MHz (averaged over a 7</w:t>
      </w:r>
      <w:r w:rsidR="00DF6BA3">
        <w:rPr>
          <w:rFonts w:ascii="Arial" w:hAnsi="Arial" w:cs="Arial"/>
          <w:sz w:val="22"/>
          <w:szCs w:val="22"/>
        </w:rPr>
        <w:t xml:space="preserve"> </w:t>
      </w:r>
      <w:r w:rsidR="00232F3A" w:rsidRPr="00DF6BA3">
        <w:rPr>
          <w:rFonts w:ascii="Arial" w:hAnsi="Arial" w:cs="Arial"/>
          <w:sz w:val="22"/>
          <w:szCs w:val="22"/>
        </w:rPr>
        <w:t>MHz bandwidth)</w:t>
      </w:r>
    </w:p>
    <w:p w:rsidR="00183132" w:rsidRPr="00DF6BA3" w:rsidRDefault="00232F3A" w:rsidP="00DF6BA3">
      <w:pPr>
        <w:pBdr>
          <w:top w:val="single" w:sz="12" w:space="1" w:color="auto"/>
          <w:left w:val="single" w:sz="12" w:space="4" w:color="auto"/>
          <w:bottom w:val="single" w:sz="12" w:space="1" w:color="auto"/>
          <w:right w:val="single" w:sz="12" w:space="4" w:color="auto"/>
        </w:pBdr>
        <w:rPr>
          <w:rFonts w:ascii="Arial" w:hAnsi="Arial" w:cs="Arial"/>
          <w:sz w:val="22"/>
          <w:szCs w:val="22"/>
        </w:rPr>
      </w:pPr>
      <w:r w:rsidRPr="00DF6BA3">
        <w:rPr>
          <w:rFonts w:ascii="Arial" w:hAnsi="Arial" w:cs="Arial"/>
          <w:sz w:val="22"/>
          <w:szCs w:val="22"/>
        </w:rPr>
        <w:t xml:space="preserve">(c) </w:t>
      </w:r>
      <w:proofErr w:type="gramStart"/>
      <w:r w:rsidRPr="00DF6BA3">
        <w:rPr>
          <w:rFonts w:ascii="Arial" w:hAnsi="Arial" w:cs="Arial"/>
          <w:sz w:val="22"/>
          <w:szCs w:val="22"/>
        </w:rPr>
        <w:t>below</w:t>
      </w:r>
      <w:proofErr w:type="gramEnd"/>
      <w:r w:rsidRPr="00DF6BA3">
        <w:rPr>
          <w:rFonts w:ascii="Arial" w:hAnsi="Arial" w:cs="Arial"/>
          <w:sz w:val="22"/>
          <w:szCs w:val="22"/>
        </w:rPr>
        <w:t xml:space="preserve"> 673</w:t>
      </w:r>
      <w:r w:rsidR="00DF6BA3">
        <w:rPr>
          <w:rFonts w:ascii="Arial" w:hAnsi="Arial" w:cs="Arial"/>
          <w:sz w:val="22"/>
          <w:szCs w:val="22"/>
        </w:rPr>
        <w:t xml:space="preserve"> </w:t>
      </w:r>
      <w:r w:rsidRPr="00DF6BA3">
        <w:rPr>
          <w:rFonts w:ascii="Arial" w:hAnsi="Arial" w:cs="Arial"/>
          <w:sz w:val="22"/>
          <w:szCs w:val="22"/>
        </w:rPr>
        <w:t>MHz</w:t>
      </w:r>
    </w:p>
    <w:p w:rsidR="00183132" w:rsidRPr="00DF6BA3" w:rsidRDefault="005E2952" w:rsidP="00DF6BA3">
      <w:pPr>
        <w:pBdr>
          <w:top w:val="single" w:sz="12" w:space="1" w:color="auto"/>
          <w:left w:val="single" w:sz="12" w:space="4" w:color="auto"/>
          <w:bottom w:val="single" w:sz="12" w:space="1" w:color="auto"/>
          <w:right w:val="single" w:sz="12" w:space="4" w:color="auto"/>
        </w:pBdr>
        <w:rPr>
          <w:rFonts w:ascii="Arial" w:hAnsi="Arial" w:cs="Arial"/>
          <w:sz w:val="22"/>
          <w:szCs w:val="22"/>
        </w:rPr>
      </w:pPr>
      <w:r w:rsidRPr="00DF6BA3">
        <w:rPr>
          <w:rFonts w:ascii="Arial" w:hAnsi="Arial" w:cs="Arial"/>
          <w:sz w:val="22"/>
          <w:szCs w:val="22"/>
        </w:rPr>
        <w:t xml:space="preserve"> </w:t>
      </w:r>
      <w:r w:rsidR="00676956" w:rsidRPr="00DF6BA3">
        <w:rPr>
          <w:rFonts w:ascii="Arial" w:hAnsi="Arial" w:cs="Arial"/>
          <w:sz w:val="22"/>
          <w:szCs w:val="22"/>
        </w:rPr>
        <w:t xml:space="preserve">            </w:t>
      </w:r>
      <w:proofErr w:type="gramStart"/>
      <w:r w:rsidRPr="00DF6BA3">
        <w:rPr>
          <w:rFonts w:ascii="Arial" w:hAnsi="Arial" w:cs="Arial"/>
          <w:sz w:val="22"/>
          <w:szCs w:val="22"/>
        </w:rPr>
        <w:t>a</w:t>
      </w:r>
      <w:proofErr w:type="gramEnd"/>
      <w:r w:rsidR="00232F3A" w:rsidRPr="00DF6BA3">
        <w:rPr>
          <w:rFonts w:ascii="Arial" w:hAnsi="Arial" w:cs="Arial"/>
          <w:sz w:val="22"/>
          <w:szCs w:val="22"/>
        </w:rPr>
        <w:t xml:space="preserve"> radiated maximum true mean power of -40dBm/MHz (averaged over a 7</w:t>
      </w:r>
      <w:r w:rsidR="00DF6BA3">
        <w:rPr>
          <w:rFonts w:ascii="Arial" w:hAnsi="Arial" w:cs="Arial"/>
          <w:sz w:val="22"/>
          <w:szCs w:val="22"/>
        </w:rPr>
        <w:t xml:space="preserve"> </w:t>
      </w:r>
      <w:r w:rsidR="00232F3A" w:rsidRPr="00DF6BA3">
        <w:rPr>
          <w:rFonts w:ascii="Arial" w:hAnsi="Arial" w:cs="Arial"/>
          <w:sz w:val="22"/>
          <w:szCs w:val="22"/>
        </w:rPr>
        <w:t>MHz</w:t>
      </w:r>
      <w:r w:rsidR="00676956" w:rsidRPr="00DF6BA3">
        <w:rPr>
          <w:rFonts w:ascii="Arial" w:hAnsi="Arial" w:cs="Arial"/>
          <w:sz w:val="22"/>
          <w:szCs w:val="22"/>
        </w:rPr>
        <w:br/>
        <w:t xml:space="preserve">             </w:t>
      </w:r>
      <w:r w:rsidR="00232F3A" w:rsidRPr="00DF6BA3">
        <w:rPr>
          <w:rFonts w:ascii="Arial" w:hAnsi="Arial" w:cs="Arial"/>
          <w:sz w:val="22"/>
          <w:szCs w:val="22"/>
        </w:rPr>
        <w:t>bandwidth).</w:t>
      </w:r>
    </w:p>
    <w:p w:rsidR="00232F3A" w:rsidRPr="00DF6BA3" w:rsidRDefault="00232F3A" w:rsidP="00DF6BA3">
      <w:pPr>
        <w:pBdr>
          <w:top w:val="single" w:sz="12" w:space="1" w:color="auto"/>
          <w:left w:val="single" w:sz="12" w:space="4" w:color="auto"/>
          <w:bottom w:val="single" w:sz="12" w:space="1" w:color="auto"/>
          <w:right w:val="single" w:sz="12" w:space="4" w:color="auto"/>
        </w:pBdr>
        <w:ind w:firstLine="284"/>
        <w:rPr>
          <w:rFonts w:ascii="Arial" w:hAnsi="Arial" w:cs="Arial"/>
          <w:sz w:val="22"/>
          <w:szCs w:val="22"/>
        </w:rPr>
      </w:pPr>
    </w:p>
    <w:p w:rsidR="0054492F" w:rsidRPr="00DF6BA3" w:rsidRDefault="00B54D3A" w:rsidP="00DF6BA3">
      <w:pPr>
        <w:pBdr>
          <w:top w:val="single" w:sz="12" w:space="1" w:color="auto"/>
          <w:left w:val="single" w:sz="12" w:space="4" w:color="auto"/>
          <w:bottom w:val="single" w:sz="12" w:space="1" w:color="auto"/>
          <w:right w:val="single" w:sz="12" w:space="4" w:color="auto"/>
        </w:pBdr>
        <w:rPr>
          <w:rFonts w:ascii="Arial" w:hAnsi="Arial" w:cs="Arial"/>
          <w:sz w:val="22"/>
          <w:szCs w:val="22"/>
        </w:rPr>
      </w:pPr>
      <w:r w:rsidRPr="00DF6BA3">
        <w:rPr>
          <w:rFonts w:ascii="Arial" w:hAnsi="Arial" w:cs="Arial"/>
          <w:sz w:val="22"/>
          <w:szCs w:val="22"/>
        </w:rPr>
        <w:t>For transmitters operating in the upper band</w:t>
      </w:r>
      <w:r w:rsidR="00BE776C" w:rsidRPr="00DF6BA3">
        <w:rPr>
          <w:rFonts w:ascii="Arial" w:hAnsi="Arial" w:cs="Arial"/>
          <w:sz w:val="22"/>
          <w:szCs w:val="22"/>
        </w:rPr>
        <w:t xml:space="preserve"> </w:t>
      </w:r>
      <w:r w:rsidR="008E3C42" w:rsidRPr="00DF6BA3">
        <w:rPr>
          <w:rFonts w:ascii="Arial" w:hAnsi="Arial" w:cs="Arial"/>
          <w:sz w:val="22"/>
          <w:szCs w:val="22"/>
        </w:rPr>
        <w:t>(75</w:t>
      </w:r>
      <w:r w:rsidR="001F0FB4" w:rsidRPr="00DF6BA3">
        <w:rPr>
          <w:rFonts w:ascii="Arial" w:hAnsi="Arial" w:cs="Arial"/>
          <w:sz w:val="22"/>
          <w:szCs w:val="22"/>
        </w:rPr>
        <w:t>8</w:t>
      </w:r>
      <w:r w:rsidR="00C35AE9">
        <w:rPr>
          <w:rFonts w:ascii="Arial" w:hAnsi="Arial" w:cs="Arial"/>
          <w:sz w:val="22"/>
          <w:szCs w:val="22"/>
        </w:rPr>
        <w:t>-</w:t>
      </w:r>
      <w:r w:rsidR="00FB2270" w:rsidRPr="00DF6BA3">
        <w:rPr>
          <w:rFonts w:ascii="Arial" w:hAnsi="Arial" w:cs="Arial"/>
          <w:sz w:val="22"/>
          <w:szCs w:val="22"/>
        </w:rPr>
        <w:t>80</w:t>
      </w:r>
      <w:r w:rsidR="001F0FB4" w:rsidRPr="00DF6BA3">
        <w:rPr>
          <w:rFonts w:ascii="Arial" w:hAnsi="Arial" w:cs="Arial"/>
          <w:sz w:val="22"/>
          <w:szCs w:val="22"/>
        </w:rPr>
        <w:t>3</w:t>
      </w:r>
      <w:r w:rsidR="00DF6BA3">
        <w:rPr>
          <w:rFonts w:ascii="Arial" w:hAnsi="Arial" w:cs="Arial"/>
          <w:sz w:val="22"/>
          <w:szCs w:val="22"/>
        </w:rPr>
        <w:t xml:space="preserve"> </w:t>
      </w:r>
      <w:r w:rsidR="00E33BDB" w:rsidRPr="00DF6BA3">
        <w:rPr>
          <w:rFonts w:ascii="Arial" w:hAnsi="Arial" w:cs="Arial"/>
          <w:sz w:val="22"/>
          <w:szCs w:val="22"/>
        </w:rPr>
        <w:t>MHz</w:t>
      </w:r>
      <w:r w:rsidR="008E3C42" w:rsidRPr="00DF6BA3">
        <w:rPr>
          <w:rFonts w:ascii="Arial" w:hAnsi="Arial" w:cs="Arial"/>
          <w:sz w:val="22"/>
          <w:szCs w:val="22"/>
        </w:rPr>
        <w:t>)</w:t>
      </w:r>
      <w:r w:rsidRPr="00DF6BA3">
        <w:rPr>
          <w:rFonts w:ascii="Arial" w:hAnsi="Arial" w:cs="Arial"/>
          <w:sz w:val="22"/>
          <w:szCs w:val="22"/>
        </w:rPr>
        <w:t xml:space="preserve"> </w:t>
      </w:r>
      <w:r w:rsidR="009C093D" w:rsidRPr="00DF6BA3">
        <w:rPr>
          <w:rFonts w:ascii="Arial" w:hAnsi="Arial" w:cs="Arial"/>
          <w:sz w:val="22"/>
          <w:szCs w:val="22"/>
        </w:rPr>
        <w:t>emissions falling</w:t>
      </w:r>
      <w:r w:rsidR="0054492F" w:rsidRPr="00DF6BA3">
        <w:rPr>
          <w:rFonts w:ascii="Arial" w:hAnsi="Arial" w:cs="Arial"/>
          <w:sz w:val="22"/>
          <w:szCs w:val="22"/>
        </w:rPr>
        <w:t>:</w:t>
      </w:r>
    </w:p>
    <w:p w:rsidR="00B54D3A" w:rsidRPr="00DF6BA3" w:rsidRDefault="0054492F" w:rsidP="00DF6BA3">
      <w:pPr>
        <w:pBdr>
          <w:top w:val="single" w:sz="12" w:space="1" w:color="auto"/>
          <w:left w:val="single" w:sz="12" w:space="4" w:color="auto"/>
          <w:bottom w:val="single" w:sz="12" w:space="1" w:color="auto"/>
          <w:right w:val="single" w:sz="12" w:space="4" w:color="auto"/>
        </w:pBdr>
        <w:ind w:left="426" w:hanging="426"/>
        <w:rPr>
          <w:rFonts w:ascii="Arial" w:hAnsi="Arial" w:cs="Arial"/>
          <w:sz w:val="22"/>
          <w:szCs w:val="22"/>
        </w:rPr>
      </w:pPr>
      <w:r w:rsidRPr="00DF6BA3">
        <w:rPr>
          <w:rFonts w:ascii="Arial" w:hAnsi="Arial" w:cs="Arial"/>
          <w:sz w:val="22"/>
          <w:szCs w:val="22"/>
        </w:rPr>
        <w:t>(a)</w:t>
      </w:r>
      <w:r w:rsidR="00285262" w:rsidRPr="00DF6BA3">
        <w:rPr>
          <w:rFonts w:ascii="Arial" w:hAnsi="Arial" w:cs="Arial"/>
          <w:sz w:val="22"/>
          <w:szCs w:val="22"/>
        </w:rPr>
        <w:t xml:space="preserve"> </w:t>
      </w:r>
      <w:proofErr w:type="gramStart"/>
      <w:r w:rsidR="009E5B36" w:rsidRPr="00DF6BA3">
        <w:rPr>
          <w:rFonts w:ascii="Arial" w:hAnsi="Arial" w:cs="Arial"/>
          <w:sz w:val="22"/>
          <w:szCs w:val="22"/>
        </w:rPr>
        <w:t>between</w:t>
      </w:r>
      <w:proofErr w:type="gramEnd"/>
      <w:r w:rsidR="00711C3E" w:rsidRPr="00DF6BA3">
        <w:rPr>
          <w:rFonts w:ascii="Arial" w:hAnsi="Arial" w:cs="Arial"/>
          <w:sz w:val="22"/>
          <w:szCs w:val="22"/>
        </w:rPr>
        <w:t xml:space="preserve"> </w:t>
      </w:r>
      <w:r w:rsidR="009E5B36" w:rsidRPr="00DF6BA3">
        <w:rPr>
          <w:rFonts w:ascii="Arial" w:hAnsi="Arial" w:cs="Arial"/>
          <w:sz w:val="22"/>
          <w:szCs w:val="22"/>
        </w:rPr>
        <w:t>748-806</w:t>
      </w:r>
      <w:r w:rsidR="00DF6BA3">
        <w:rPr>
          <w:rFonts w:ascii="Arial" w:hAnsi="Arial" w:cs="Arial"/>
          <w:sz w:val="22"/>
          <w:szCs w:val="22"/>
        </w:rPr>
        <w:t xml:space="preserve"> </w:t>
      </w:r>
      <w:r w:rsidR="00E33BDB" w:rsidRPr="00DF6BA3">
        <w:rPr>
          <w:rFonts w:ascii="Arial" w:hAnsi="Arial" w:cs="Arial"/>
          <w:sz w:val="22"/>
          <w:szCs w:val="22"/>
        </w:rPr>
        <w:t>MHz</w:t>
      </w:r>
      <w:r w:rsidR="00711C3E" w:rsidRPr="00DF6BA3">
        <w:rPr>
          <w:rFonts w:ascii="Arial" w:hAnsi="Arial" w:cs="Arial"/>
          <w:sz w:val="22"/>
          <w:szCs w:val="22"/>
        </w:rPr>
        <w:t>,</w:t>
      </w:r>
      <w:r w:rsidR="00B54D3A" w:rsidRPr="00DF6BA3">
        <w:rPr>
          <w:rFonts w:ascii="Arial" w:hAnsi="Arial" w:cs="Arial"/>
          <w:sz w:val="22"/>
          <w:szCs w:val="22"/>
        </w:rPr>
        <w:t xml:space="preserve"> at </w:t>
      </w:r>
      <w:r w:rsidR="009C093D" w:rsidRPr="00DF6BA3">
        <w:rPr>
          <w:rFonts w:ascii="Arial" w:hAnsi="Arial" w:cs="Arial"/>
          <w:sz w:val="22"/>
          <w:szCs w:val="22"/>
        </w:rPr>
        <w:t>frequencies</w:t>
      </w:r>
      <w:r w:rsidR="00B54D3A" w:rsidRPr="00DF6BA3">
        <w:rPr>
          <w:rFonts w:ascii="Arial" w:hAnsi="Arial" w:cs="Arial"/>
          <w:sz w:val="22"/>
          <w:szCs w:val="22"/>
        </w:rPr>
        <w:t xml:space="preserve"> offset from the upper and lower limits of the licence:</w:t>
      </w:r>
      <w:r w:rsidR="0006308C" w:rsidRPr="00DF6BA3">
        <w:rPr>
          <w:rFonts w:ascii="Arial" w:hAnsi="Arial" w:cs="Arial"/>
          <w:sz w:val="22"/>
          <w:szCs w:val="22"/>
        </w:rPr>
        <w:t xml:space="preserve"> </w:t>
      </w:r>
    </w:p>
    <w:p w:rsidR="00B54D3A" w:rsidRPr="00DF6BA3" w:rsidRDefault="00B54D3A" w:rsidP="00DF6BA3">
      <w:pPr>
        <w:pBdr>
          <w:top w:val="single" w:sz="12" w:space="1" w:color="auto"/>
          <w:left w:val="single" w:sz="12" w:space="4" w:color="auto"/>
          <w:bottom w:val="single" w:sz="12" w:space="1" w:color="auto"/>
          <w:right w:val="single" w:sz="12" w:space="4" w:color="auto"/>
        </w:pBdr>
        <w:ind w:firstLine="284"/>
        <w:rPr>
          <w:rFonts w:ascii="Arial" w:hAnsi="Arial" w:cs="Arial"/>
          <w:sz w:val="22"/>
          <w:szCs w:val="22"/>
        </w:rPr>
      </w:pPr>
      <w:r w:rsidRPr="00DF6BA3">
        <w:rPr>
          <w:rFonts w:ascii="Arial" w:hAnsi="Arial" w:cs="Arial"/>
          <w:sz w:val="22"/>
          <w:szCs w:val="22"/>
        </w:rPr>
        <w:t>(i)</w:t>
      </w:r>
      <w:r w:rsidRPr="00DF6BA3">
        <w:rPr>
          <w:rFonts w:ascii="Arial" w:hAnsi="Arial" w:cs="Arial"/>
          <w:sz w:val="22"/>
          <w:szCs w:val="22"/>
        </w:rPr>
        <w:tab/>
      </w:r>
      <w:proofErr w:type="gramStart"/>
      <w:r w:rsidR="00711C3E" w:rsidRPr="00DF6BA3">
        <w:rPr>
          <w:rFonts w:ascii="Arial" w:hAnsi="Arial" w:cs="Arial"/>
          <w:sz w:val="22"/>
          <w:szCs w:val="22"/>
        </w:rPr>
        <w:t>between</w:t>
      </w:r>
      <w:proofErr w:type="gramEnd"/>
      <w:r w:rsidR="00711C3E" w:rsidRPr="00DF6BA3">
        <w:rPr>
          <w:rFonts w:ascii="Arial" w:hAnsi="Arial" w:cs="Arial"/>
          <w:sz w:val="22"/>
          <w:szCs w:val="22"/>
        </w:rPr>
        <w:t xml:space="preserve"> </w:t>
      </w:r>
      <w:r w:rsidRPr="00DF6BA3">
        <w:rPr>
          <w:rFonts w:ascii="Arial" w:hAnsi="Arial" w:cs="Arial"/>
          <w:sz w:val="22"/>
          <w:szCs w:val="22"/>
        </w:rPr>
        <w:t>0</w:t>
      </w:r>
      <w:r w:rsidR="00DF6BA3">
        <w:rPr>
          <w:rFonts w:ascii="Arial" w:hAnsi="Arial" w:cs="Arial"/>
          <w:sz w:val="22"/>
          <w:szCs w:val="22"/>
        </w:rPr>
        <w:t xml:space="preserve"> </w:t>
      </w:r>
      <w:r w:rsidR="00E33BDB" w:rsidRPr="00DF6BA3">
        <w:rPr>
          <w:rFonts w:ascii="Arial" w:hAnsi="Arial" w:cs="Arial"/>
          <w:sz w:val="22"/>
          <w:szCs w:val="22"/>
        </w:rPr>
        <w:t>MHz</w:t>
      </w:r>
      <w:r w:rsidR="00334719" w:rsidRPr="00DF6BA3">
        <w:rPr>
          <w:rFonts w:ascii="Arial" w:hAnsi="Arial" w:cs="Arial"/>
          <w:sz w:val="22"/>
          <w:szCs w:val="22"/>
        </w:rPr>
        <w:t xml:space="preserve"> and</w:t>
      </w:r>
      <w:r w:rsidRPr="00DF6BA3">
        <w:rPr>
          <w:rFonts w:ascii="Arial" w:hAnsi="Arial" w:cs="Arial"/>
          <w:sz w:val="22"/>
          <w:szCs w:val="22"/>
        </w:rPr>
        <w:t xml:space="preserve"> </w:t>
      </w:r>
      <w:r w:rsidR="009C323E" w:rsidRPr="00DF6BA3">
        <w:rPr>
          <w:rFonts w:ascii="Arial" w:hAnsi="Arial" w:cs="Arial"/>
          <w:sz w:val="22"/>
          <w:szCs w:val="22"/>
        </w:rPr>
        <w:t>5</w:t>
      </w:r>
      <w:r w:rsidR="00DF6BA3">
        <w:rPr>
          <w:rFonts w:ascii="Arial" w:hAnsi="Arial" w:cs="Arial"/>
          <w:sz w:val="22"/>
          <w:szCs w:val="22"/>
        </w:rPr>
        <w:t xml:space="preserve"> </w:t>
      </w:r>
      <w:r w:rsidR="00E33BDB" w:rsidRPr="00DF6BA3">
        <w:rPr>
          <w:rFonts w:ascii="Arial" w:hAnsi="Arial" w:cs="Arial"/>
          <w:sz w:val="22"/>
          <w:szCs w:val="22"/>
        </w:rPr>
        <w:t>MHz</w:t>
      </w:r>
      <w:r w:rsidRPr="00DF6BA3">
        <w:rPr>
          <w:rFonts w:ascii="Arial" w:hAnsi="Arial" w:cs="Arial"/>
          <w:sz w:val="22"/>
          <w:szCs w:val="22"/>
        </w:rPr>
        <w:t xml:space="preserve"> – a radiated maximum true mean</w:t>
      </w:r>
      <w:r w:rsidR="00C35AE9">
        <w:rPr>
          <w:rFonts w:ascii="Arial" w:hAnsi="Arial" w:cs="Arial"/>
          <w:sz w:val="22"/>
          <w:szCs w:val="22"/>
        </w:rPr>
        <w:t xml:space="preserve"> </w:t>
      </w:r>
      <w:r w:rsidR="009C093D" w:rsidRPr="00DF6BA3">
        <w:rPr>
          <w:rFonts w:ascii="Arial" w:hAnsi="Arial" w:cs="Arial"/>
          <w:sz w:val="22"/>
          <w:szCs w:val="22"/>
        </w:rPr>
        <w:t>p</w:t>
      </w:r>
      <w:r w:rsidRPr="00DF6BA3">
        <w:rPr>
          <w:rFonts w:ascii="Arial" w:hAnsi="Arial" w:cs="Arial"/>
          <w:sz w:val="22"/>
          <w:szCs w:val="22"/>
        </w:rPr>
        <w:t>ower</w:t>
      </w:r>
      <w:r w:rsidR="009C093D" w:rsidRPr="00DF6BA3">
        <w:rPr>
          <w:rFonts w:ascii="Arial" w:hAnsi="Arial" w:cs="Arial"/>
          <w:sz w:val="22"/>
          <w:szCs w:val="22"/>
        </w:rPr>
        <w:t xml:space="preserve"> </w:t>
      </w:r>
      <w:r w:rsidR="005406B7" w:rsidRPr="00DF6BA3">
        <w:rPr>
          <w:rFonts w:ascii="Arial" w:hAnsi="Arial" w:cs="Arial"/>
          <w:sz w:val="22"/>
          <w:szCs w:val="22"/>
        </w:rPr>
        <w:t>of +15</w:t>
      </w:r>
      <w:r w:rsidR="00E33BDB" w:rsidRPr="00DF6BA3">
        <w:rPr>
          <w:rFonts w:ascii="Arial" w:hAnsi="Arial" w:cs="Arial"/>
          <w:sz w:val="22"/>
          <w:szCs w:val="22"/>
        </w:rPr>
        <w:t>dB</w:t>
      </w:r>
      <w:r w:rsidRPr="00DF6BA3">
        <w:rPr>
          <w:rFonts w:ascii="Arial" w:hAnsi="Arial" w:cs="Arial"/>
          <w:sz w:val="22"/>
          <w:szCs w:val="22"/>
        </w:rPr>
        <w:t>m/MHz;</w:t>
      </w:r>
    </w:p>
    <w:p w:rsidR="00334719" w:rsidRPr="00DF6BA3" w:rsidRDefault="00B54D3A" w:rsidP="00DF6BA3">
      <w:pPr>
        <w:pBdr>
          <w:top w:val="single" w:sz="12" w:space="1" w:color="auto"/>
          <w:left w:val="single" w:sz="12" w:space="4" w:color="auto"/>
          <w:bottom w:val="single" w:sz="12" w:space="1" w:color="auto"/>
          <w:right w:val="single" w:sz="12" w:space="4" w:color="auto"/>
        </w:pBdr>
        <w:ind w:firstLine="284"/>
        <w:rPr>
          <w:rFonts w:ascii="Arial" w:hAnsi="Arial" w:cs="Arial"/>
          <w:sz w:val="22"/>
          <w:szCs w:val="22"/>
        </w:rPr>
      </w:pPr>
      <w:r w:rsidRPr="00DF6BA3">
        <w:rPr>
          <w:rFonts w:ascii="Arial" w:hAnsi="Arial" w:cs="Arial"/>
          <w:sz w:val="22"/>
          <w:szCs w:val="22"/>
        </w:rPr>
        <w:t>(ii)</w:t>
      </w:r>
      <w:r w:rsidRPr="00DF6BA3">
        <w:rPr>
          <w:rFonts w:ascii="Arial" w:hAnsi="Arial" w:cs="Arial"/>
          <w:sz w:val="22"/>
          <w:szCs w:val="22"/>
        </w:rPr>
        <w:tab/>
      </w:r>
      <w:proofErr w:type="gramStart"/>
      <w:r w:rsidR="00334719" w:rsidRPr="00DF6BA3">
        <w:rPr>
          <w:rFonts w:ascii="Arial" w:hAnsi="Arial" w:cs="Arial"/>
          <w:sz w:val="22"/>
          <w:szCs w:val="22"/>
        </w:rPr>
        <w:t>between</w:t>
      </w:r>
      <w:proofErr w:type="gramEnd"/>
      <w:r w:rsidR="008D7687" w:rsidRPr="00DF6BA3">
        <w:rPr>
          <w:rFonts w:ascii="Arial" w:hAnsi="Arial" w:cs="Arial"/>
          <w:sz w:val="22"/>
          <w:szCs w:val="22"/>
        </w:rPr>
        <w:t xml:space="preserve"> </w:t>
      </w:r>
      <w:r w:rsidR="00334719" w:rsidRPr="00DF6BA3">
        <w:rPr>
          <w:rFonts w:ascii="Arial" w:hAnsi="Arial" w:cs="Arial"/>
          <w:sz w:val="22"/>
          <w:szCs w:val="22"/>
        </w:rPr>
        <w:t>5</w:t>
      </w:r>
      <w:r w:rsidR="00DF6BA3">
        <w:rPr>
          <w:rFonts w:ascii="Arial" w:hAnsi="Arial" w:cs="Arial"/>
          <w:sz w:val="22"/>
          <w:szCs w:val="22"/>
        </w:rPr>
        <w:t xml:space="preserve"> </w:t>
      </w:r>
      <w:r w:rsidR="00E33BDB" w:rsidRPr="00DF6BA3">
        <w:rPr>
          <w:rFonts w:ascii="Arial" w:hAnsi="Arial" w:cs="Arial"/>
          <w:sz w:val="22"/>
          <w:szCs w:val="22"/>
        </w:rPr>
        <w:t>MHz</w:t>
      </w:r>
      <w:r w:rsidR="00334719" w:rsidRPr="00DF6BA3">
        <w:rPr>
          <w:rFonts w:ascii="Arial" w:hAnsi="Arial" w:cs="Arial"/>
          <w:sz w:val="22"/>
          <w:szCs w:val="22"/>
        </w:rPr>
        <w:t xml:space="preserve"> and 10</w:t>
      </w:r>
      <w:r w:rsidR="00DF6BA3">
        <w:rPr>
          <w:rFonts w:ascii="Arial" w:hAnsi="Arial" w:cs="Arial"/>
          <w:sz w:val="22"/>
          <w:szCs w:val="22"/>
        </w:rPr>
        <w:t xml:space="preserve"> </w:t>
      </w:r>
      <w:r w:rsidR="00334719" w:rsidRPr="00DF6BA3">
        <w:rPr>
          <w:rFonts w:ascii="Arial" w:hAnsi="Arial" w:cs="Arial"/>
          <w:sz w:val="22"/>
          <w:szCs w:val="22"/>
        </w:rPr>
        <w:t>MHz</w:t>
      </w:r>
      <w:r w:rsidR="00140BCF" w:rsidRPr="00DF6BA3">
        <w:rPr>
          <w:rFonts w:ascii="Arial" w:hAnsi="Arial" w:cs="Arial"/>
          <w:sz w:val="22"/>
          <w:szCs w:val="22"/>
        </w:rPr>
        <w:t xml:space="preserve"> </w:t>
      </w:r>
      <w:r w:rsidRPr="00DF6BA3">
        <w:rPr>
          <w:rFonts w:ascii="Arial" w:hAnsi="Arial" w:cs="Arial"/>
          <w:sz w:val="22"/>
          <w:szCs w:val="22"/>
        </w:rPr>
        <w:t>– a radiated</w:t>
      </w:r>
      <w:r w:rsidR="008D7687" w:rsidRPr="00DF6BA3">
        <w:rPr>
          <w:rFonts w:ascii="Arial" w:hAnsi="Arial" w:cs="Arial"/>
          <w:sz w:val="22"/>
          <w:szCs w:val="22"/>
        </w:rPr>
        <w:t xml:space="preserve"> maximum true mean</w:t>
      </w:r>
      <w:r w:rsidR="00E04E78" w:rsidRPr="00DF6BA3">
        <w:rPr>
          <w:rFonts w:ascii="Arial" w:hAnsi="Arial" w:cs="Arial"/>
          <w:sz w:val="22"/>
          <w:szCs w:val="22"/>
        </w:rPr>
        <w:t xml:space="preserve"> </w:t>
      </w:r>
      <w:r w:rsidRPr="00DF6BA3">
        <w:rPr>
          <w:rFonts w:ascii="Arial" w:hAnsi="Arial" w:cs="Arial"/>
          <w:sz w:val="22"/>
          <w:szCs w:val="22"/>
        </w:rPr>
        <w:t>power</w:t>
      </w:r>
      <w:r w:rsidR="00140BCF" w:rsidRPr="00DF6BA3">
        <w:rPr>
          <w:rFonts w:ascii="Arial" w:hAnsi="Arial" w:cs="Arial"/>
          <w:sz w:val="22"/>
          <w:szCs w:val="22"/>
        </w:rPr>
        <w:t xml:space="preserve"> </w:t>
      </w:r>
      <w:r w:rsidR="00334719" w:rsidRPr="00DF6BA3">
        <w:rPr>
          <w:rFonts w:ascii="Arial" w:hAnsi="Arial" w:cs="Arial"/>
          <w:sz w:val="22"/>
          <w:szCs w:val="22"/>
        </w:rPr>
        <w:t>of</w:t>
      </w:r>
      <w:r w:rsidR="00C35AE9">
        <w:rPr>
          <w:rFonts w:ascii="Arial" w:hAnsi="Arial" w:cs="Arial"/>
          <w:sz w:val="22"/>
          <w:szCs w:val="22"/>
        </w:rPr>
        <w:t xml:space="preserve"> </w:t>
      </w:r>
    </w:p>
    <w:p w:rsidR="00140BCF" w:rsidRPr="00DF6BA3" w:rsidRDefault="009C323E" w:rsidP="00DF6BA3">
      <w:pPr>
        <w:pBdr>
          <w:top w:val="single" w:sz="12" w:space="1" w:color="auto"/>
          <w:left w:val="single" w:sz="12" w:space="4" w:color="auto"/>
          <w:bottom w:val="single" w:sz="12" w:space="1" w:color="auto"/>
          <w:right w:val="single" w:sz="12" w:space="4" w:color="auto"/>
        </w:pBdr>
        <w:ind w:firstLine="720"/>
        <w:rPr>
          <w:rFonts w:ascii="Arial" w:hAnsi="Arial" w:cs="Arial"/>
          <w:sz w:val="22"/>
          <w:szCs w:val="22"/>
        </w:rPr>
      </w:pPr>
      <w:r w:rsidRPr="00DF6BA3">
        <w:rPr>
          <w:rFonts w:ascii="Arial" w:hAnsi="Arial" w:cs="Arial"/>
          <w:sz w:val="22"/>
          <w:szCs w:val="22"/>
        </w:rPr>
        <w:t>+11</w:t>
      </w:r>
      <w:r w:rsidR="00E33BDB" w:rsidRPr="00DF6BA3">
        <w:rPr>
          <w:rFonts w:ascii="Arial" w:hAnsi="Arial" w:cs="Arial"/>
          <w:sz w:val="22"/>
          <w:szCs w:val="22"/>
        </w:rPr>
        <w:t>dB</w:t>
      </w:r>
      <w:r w:rsidRPr="00DF6BA3">
        <w:rPr>
          <w:rFonts w:ascii="Arial" w:hAnsi="Arial" w:cs="Arial"/>
          <w:sz w:val="22"/>
          <w:szCs w:val="22"/>
        </w:rPr>
        <w:t>m/MHz</w:t>
      </w:r>
      <w:r w:rsidR="00B54D3A" w:rsidRPr="00DF6BA3">
        <w:rPr>
          <w:rFonts w:ascii="Arial" w:hAnsi="Arial" w:cs="Arial"/>
          <w:sz w:val="22"/>
          <w:szCs w:val="22"/>
        </w:rPr>
        <w:t>;</w:t>
      </w:r>
    </w:p>
    <w:p w:rsidR="00334719" w:rsidRPr="00DF6BA3" w:rsidRDefault="00334719" w:rsidP="00DF6BA3">
      <w:pPr>
        <w:pBdr>
          <w:top w:val="single" w:sz="12" w:space="1" w:color="auto"/>
          <w:left w:val="single" w:sz="12" w:space="4" w:color="auto"/>
          <w:bottom w:val="single" w:sz="12" w:space="1" w:color="auto"/>
          <w:right w:val="single" w:sz="12" w:space="4" w:color="auto"/>
        </w:pBdr>
        <w:rPr>
          <w:rFonts w:ascii="Arial" w:hAnsi="Arial" w:cs="Arial"/>
          <w:sz w:val="22"/>
          <w:szCs w:val="22"/>
        </w:rPr>
      </w:pPr>
      <w:r w:rsidRPr="00DF6BA3">
        <w:rPr>
          <w:rFonts w:ascii="Arial" w:hAnsi="Arial" w:cs="Arial"/>
          <w:sz w:val="22"/>
          <w:szCs w:val="22"/>
        </w:rPr>
        <w:t xml:space="preserve">    (iii) </w:t>
      </w:r>
      <w:proofErr w:type="gramStart"/>
      <w:r w:rsidRPr="00DF6BA3">
        <w:rPr>
          <w:rFonts w:ascii="Arial" w:hAnsi="Arial" w:cs="Arial"/>
          <w:sz w:val="22"/>
          <w:szCs w:val="22"/>
        </w:rPr>
        <w:t>greater</w:t>
      </w:r>
      <w:proofErr w:type="gramEnd"/>
      <w:r w:rsidRPr="00DF6BA3">
        <w:rPr>
          <w:rFonts w:ascii="Arial" w:hAnsi="Arial" w:cs="Arial"/>
          <w:sz w:val="22"/>
          <w:szCs w:val="22"/>
        </w:rPr>
        <w:t xml:space="preserve"> than 10</w:t>
      </w:r>
      <w:r w:rsidR="00DF6BA3">
        <w:rPr>
          <w:rFonts w:ascii="Arial" w:hAnsi="Arial" w:cs="Arial"/>
          <w:sz w:val="22"/>
          <w:szCs w:val="22"/>
        </w:rPr>
        <w:t xml:space="preserve"> </w:t>
      </w:r>
      <w:r w:rsidRPr="00DF6BA3">
        <w:rPr>
          <w:rFonts w:ascii="Arial" w:hAnsi="Arial" w:cs="Arial"/>
          <w:sz w:val="22"/>
          <w:szCs w:val="22"/>
        </w:rPr>
        <w:t>MHz – a radiated maximum true mean power of +9dBm/MHz.</w:t>
      </w:r>
    </w:p>
    <w:p w:rsidR="0054492F" w:rsidRPr="00DF6BA3" w:rsidRDefault="0039636E" w:rsidP="00DF6BA3">
      <w:pPr>
        <w:pBdr>
          <w:top w:val="single" w:sz="12" w:space="1" w:color="auto"/>
          <w:left w:val="single" w:sz="12" w:space="4" w:color="auto"/>
          <w:bottom w:val="single" w:sz="12" w:space="1" w:color="auto"/>
          <w:right w:val="single" w:sz="12" w:space="4" w:color="auto"/>
        </w:pBdr>
        <w:ind w:left="426" w:hanging="426"/>
        <w:rPr>
          <w:rFonts w:ascii="Arial" w:hAnsi="Arial" w:cs="Arial"/>
          <w:sz w:val="22"/>
          <w:szCs w:val="22"/>
        </w:rPr>
      </w:pPr>
      <w:r w:rsidRPr="00DF6BA3">
        <w:rPr>
          <w:rFonts w:ascii="Arial" w:hAnsi="Arial" w:cs="Arial"/>
          <w:sz w:val="22"/>
          <w:szCs w:val="22"/>
        </w:rPr>
        <w:t>(</w:t>
      </w:r>
      <w:r w:rsidR="0054492F" w:rsidRPr="00DF6BA3">
        <w:rPr>
          <w:rFonts w:ascii="Arial" w:hAnsi="Arial" w:cs="Arial"/>
          <w:sz w:val="22"/>
          <w:szCs w:val="22"/>
        </w:rPr>
        <w:t>b</w:t>
      </w:r>
      <w:r w:rsidRPr="00DF6BA3">
        <w:rPr>
          <w:rFonts w:ascii="Arial" w:hAnsi="Arial" w:cs="Arial"/>
          <w:sz w:val="22"/>
          <w:szCs w:val="22"/>
        </w:rPr>
        <w:t>)</w:t>
      </w:r>
      <w:r w:rsidR="00285262" w:rsidRPr="00DF6BA3">
        <w:rPr>
          <w:rFonts w:ascii="Arial" w:hAnsi="Arial" w:cs="Arial"/>
          <w:sz w:val="22"/>
          <w:szCs w:val="22"/>
        </w:rPr>
        <w:t xml:space="preserve"> </w:t>
      </w:r>
      <w:proofErr w:type="gramStart"/>
      <w:r w:rsidR="002335DE" w:rsidRPr="00DF6BA3">
        <w:rPr>
          <w:rFonts w:ascii="Arial" w:hAnsi="Arial" w:cs="Arial"/>
          <w:sz w:val="22"/>
          <w:szCs w:val="22"/>
        </w:rPr>
        <w:t>between</w:t>
      </w:r>
      <w:proofErr w:type="gramEnd"/>
      <w:r w:rsidR="003A0FAC" w:rsidRPr="00DF6BA3">
        <w:rPr>
          <w:rFonts w:ascii="Arial" w:hAnsi="Arial" w:cs="Arial"/>
          <w:sz w:val="22"/>
          <w:szCs w:val="22"/>
        </w:rPr>
        <w:t xml:space="preserve"> 806</w:t>
      </w:r>
      <w:r w:rsidR="002335DE" w:rsidRPr="00DF6BA3">
        <w:rPr>
          <w:rFonts w:ascii="Arial" w:hAnsi="Arial" w:cs="Arial"/>
          <w:sz w:val="22"/>
          <w:szCs w:val="22"/>
        </w:rPr>
        <w:t>-813</w:t>
      </w:r>
      <w:r w:rsidR="00DF6BA3">
        <w:rPr>
          <w:rFonts w:ascii="Arial" w:hAnsi="Arial" w:cs="Arial"/>
          <w:sz w:val="22"/>
          <w:szCs w:val="22"/>
        </w:rPr>
        <w:t xml:space="preserve"> </w:t>
      </w:r>
      <w:r w:rsidR="003A0FAC" w:rsidRPr="00DF6BA3">
        <w:rPr>
          <w:rFonts w:ascii="Arial" w:hAnsi="Arial" w:cs="Arial"/>
          <w:sz w:val="22"/>
          <w:szCs w:val="22"/>
        </w:rPr>
        <w:t>MHz</w:t>
      </w:r>
      <w:r w:rsidR="00F70CC4" w:rsidRPr="00DF6BA3">
        <w:rPr>
          <w:rFonts w:ascii="Arial" w:hAnsi="Arial" w:cs="Arial"/>
          <w:sz w:val="22"/>
          <w:szCs w:val="22"/>
        </w:rPr>
        <w:t xml:space="preserve"> – a radiated maximum true </w:t>
      </w:r>
      <w:r w:rsidR="00DB5A61" w:rsidRPr="00DF6BA3">
        <w:rPr>
          <w:rFonts w:ascii="Arial" w:hAnsi="Arial" w:cs="Arial"/>
          <w:sz w:val="22"/>
          <w:szCs w:val="22"/>
        </w:rPr>
        <w:t>mean power of</w:t>
      </w:r>
      <w:r w:rsidR="00C80EE6" w:rsidRPr="00DF6BA3">
        <w:rPr>
          <w:rFonts w:ascii="Arial" w:hAnsi="Arial" w:cs="Arial"/>
          <w:sz w:val="22"/>
          <w:szCs w:val="22"/>
        </w:rPr>
        <w:t xml:space="preserve"> </w:t>
      </w:r>
      <w:r w:rsidR="002335DE" w:rsidRPr="00DF6BA3">
        <w:rPr>
          <w:rFonts w:ascii="Arial" w:hAnsi="Arial" w:cs="Arial"/>
          <w:sz w:val="22"/>
          <w:szCs w:val="22"/>
        </w:rPr>
        <w:t>-6dBm/MHz</w:t>
      </w:r>
    </w:p>
    <w:p w:rsidR="00647590" w:rsidRPr="00DF6BA3" w:rsidRDefault="002335DE" w:rsidP="00C35AE9">
      <w:pPr>
        <w:pBdr>
          <w:top w:val="single" w:sz="12" w:space="1" w:color="auto"/>
          <w:left w:val="single" w:sz="12" w:space="4" w:color="auto"/>
          <w:bottom w:val="single" w:sz="12" w:space="1" w:color="auto"/>
          <w:right w:val="single" w:sz="12" w:space="4" w:color="auto"/>
        </w:pBdr>
        <w:tabs>
          <w:tab w:val="left" w:pos="426"/>
        </w:tabs>
        <w:rPr>
          <w:rFonts w:ascii="Arial" w:hAnsi="Arial" w:cs="Arial"/>
          <w:sz w:val="22"/>
          <w:szCs w:val="22"/>
        </w:rPr>
      </w:pPr>
      <w:r w:rsidRPr="00DF6BA3">
        <w:rPr>
          <w:rFonts w:ascii="Arial" w:hAnsi="Arial" w:cs="Arial"/>
          <w:sz w:val="22"/>
          <w:szCs w:val="22"/>
        </w:rPr>
        <w:t>(c)</w:t>
      </w:r>
      <w:r w:rsidR="00056335" w:rsidRPr="00DF6BA3">
        <w:rPr>
          <w:rFonts w:ascii="Arial" w:hAnsi="Arial" w:cs="Arial"/>
          <w:sz w:val="22"/>
          <w:szCs w:val="22"/>
        </w:rPr>
        <w:t xml:space="preserve"> </w:t>
      </w:r>
      <w:proofErr w:type="gramStart"/>
      <w:r w:rsidR="00056335" w:rsidRPr="00DF6BA3">
        <w:rPr>
          <w:rFonts w:ascii="Arial" w:hAnsi="Arial" w:cs="Arial"/>
          <w:sz w:val="22"/>
          <w:szCs w:val="22"/>
        </w:rPr>
        <w:t>above</w:t>
      </w:r>
      <w:proofErr w:type="gramEnd"/>
      <w:r w:rsidR="00056335" w:rsidRPr="00DF6BA3">
        <w:rPr>
          <w:rFonts w:ascii="Arial" w:hAnsi="Arial" w:cs="Arial"/>
          <w:sz w:val="22"/>
          <w:szCs w:val="22"/>
        </w:rPr>
        <w:t xml:space="preserve"> 813</w:t>
      </w:r>
      <w:r w:rsidR="00DF6BA3">
        <w:rPr>
          <w:rFonts w:ascii="Arial" w:hAnsi="Arial" w:cs="Arial"/>
          <w:sz w:val="22"/>
          <w:szCs w:val="22"/>
        </w:rPr>
        <w:t xml:space="preserve"> </w:t>
      </w:r>
      <w:r w:rsidR="00056335" w:rsidRPr="00DF6BA3">
        <w:rPr>
          <w:rFonts w:ascii="Arial" w:hAnsi="Arial" w:cs="Arial"/>
          <w:sz w:val="22"/>
          <w:szCs w:val="22"/>
        </w:rPr>
        <w:t>MHz and</w:t>
      </w:r>
      <w:r w:rsidRPr="00DF6BA3">
        <w:rPr>
          <w:rFonts w:ascii="Arial" w:hAnsi="Arial" w:cs="Arial"/>
          <w:sz w:val="22"/>
          <w:szCs w:val="22"/>
        </w:rPr>
        <w:t xml:space="preserve"> below 748</w:t>
      </w:r>
      <w:r w:rsidR="00DF6BA3">
        <w:rPr>
          <w:rFonts w:ascii="Arial" w:hAnsi="Arial" w:cs="Arial"/>
          <w:sz w:val="22"/>
          <w:szCs w:val="22"/>
        </w:rPr>
        <w:t xml:space="preserve"> </w:t>
      </w:r>
      <w:r w:rsidRPr="00DF6BA3">
        <w:rPr>
          <w:rFonts w:ascii="Arial" w:hAnsi="Arial" w:cs="Arial"/>
          <w:sz w:val="22"/>
          <w:szCs w:val="22"/>
        </w:rPr>
        <w:t>MHz – a radiated m</w:t>
      </w:r>
      <w:r w:rsidR="00194F36" w:rsidRPr="00DF6BA3">
        <w:rPr>
          <w:rFonts w:ascii="Arial" w:hAnsi="Arial" w:cs="Arial"/>
          <w:sz w:val="22"/>
          <w:szCs w:val="22"/>
        </w:rPr>
        <w:t xml:space="preserve">aximum true mean power </w:t>
      </w:r>
      <w:r w:rsidR="00194F36" w:rsidRPr="00DF6BA3">
        <w:rPr>
          <w:rFonts w:ascii="Arial" w:hAnsi="Arial" w:cs="Arial"/>
          <w:sz w:val="22"/>
          <w:szCs w:val="22"/>
        </w:rPr>
        <w:br/>
      </w:r>
      <w:r w:rsidR="00194F36" w:rsidRPr="00DF6BA3">
        <w:rPr>
          <w:rFonts w:ascii="Arial" w:hAnsi="Arial" w:cs="Arial"/>
          <w:sz w:val="22"/>
          <w:szCs w:val="22"/>
        </w:rPr>
        <w:tab/>
        <w:t>of -15</w:t>
      </w:r>
      <w:r w:rsidRPr="00DF6BA3">
        <w:rPr>
          <w:rFonts w:ascii="Arial" w:hAnsi="Arial" w:cs="Arial"/>
          <w:sz w:val="22"/>
          <w:szCs w:val="22"/>
        </w:rPr>
        <w:t>dBm/MHz.</w:t>
      </w:r>
    </w:p>
    <w:p w:rsidR="00647590" w:rsidRPr="00DF6BA3" w:rsidRDefault="00647590" w:rsidP="00DF6BA3">
      <w:pPr>
        <w:rPr>
          <w:rFonts w:ascii="Arial" w:hAnsi="Arial" w:cs="Arial"/>
          <w:sz w:val="22"/>
          <w:szCs w:val="22"/>
        </w:rPr>
      </w:pPr>
    </w:p>
    <w:p w:rsidR="00647590" w:rsidRPr="00DF6BA3" w:rsidRDefault="00DB5A61" w:rsidP="00DF6BA3">
      <w:pPr>
        <w:rPr>
          <w:rFonts w:ascii="Arial" w:hAnsi="Arial" w:cs="Arial"/>
          <w:sz w:val="22"/>
          <w:szCs w:val="22"/>
        </w:rPr>
      </w:pPr>
      <w:r w:rsidRPr="00DF6BA3">
        <w:rPr>
          <w:rFonts w:ascii="Arial" w:hAnsi="Arial" w:cs="Arial"/>
          <w:sz w:val="22"/>
          <w:szCs w:val="22"/>
        </w:rPr>
        <w:t>Note that these limits would apply to all devices operating under a spectrum licence in the 700</w:t>
      </w:r>
      <w:r w:rsidR="00DF6BA3">
        <w:rPr>
          <w:rFonts w:ascii="Arial" w:hAnsi="Arial" w:cs="Arial"/>
          <w:sz w:val="22"/>
          <w:szCs w:val="22"/>
        </w:rPr>
        <w:t> </w:t>
      </w:r>
      <w:r w:rsidR="00E33BDB" w:rsidRPr="00DF6BA3">
        <w:rPr>
          <w:rFonts w:ascii="Arial" w:hAnsi="Arial" w:cs="Arial"/>
          <w:sz w:val="22"/>
          <w:szCs w:val="22"/>
        </w:rPr>
        <w:t>MHz</w:t>
      </w:r>
      <w:r w:rsidRPr="00DF6BA3">
        <w:rPr>
          <w:rFonts w:ascii="Arial" w:hAnsi="Arial" w:cs="Arial"/>
          <w:sz w:val="22"/>
          <w:szCs w:val="22"/>
        </w:rPr>
        <w:t xml:space="preserve"> band. Devices which are exempt from registration (e.g. mobile handsets) are not exempt from the core conditions of the licence under which they operate.</w:t>
      </w:r>
    </w:p>
    <w:p w:rsidR="00FA4DF9" w:rsidRPr="00AB306E" w:rsidRDefault="00FA4DF9">
      <w:pPr>
        <w:spacing w:after="200" w:line="276" w:lineRule="auto"/>
        <w:rPr>
          <w:rFonts w:ascii="Arial" w:hAnsi="Arial" w:cs="Arial"/>
        </w:rPr>
      </w:pPr>
      <w:r w:rsidRPr="00AB306E">
        <w:rPr>
          <w:rFonts w:ascii="Arial" w:hAnsi="Arial" w:cs="Arial"/>
        </w:rPr>
        <w:br w:type="page"/>
      </w:r>
    </w:p>
    <w:p w:rsidR="00DF6BA3" w:rsidRPr="00DF6BA3" w:rsidRDefault="00DF6BA3" w:rsidP="00DF6BA3">
      <w:pPr>
        <w:rPr>
          <w:rFonts w:ascii="Arial" w:hAnsi="Arial" w:cs="Arial"/>
          <w:sz w:val="22"/>
          <w:szCs w:val="22"/>
        </w:rPr>
      </w:pPr>
    </w:p>
    <w:p w:rsidR="00551768" w:rsidRPr="00DF6BA3" w:rsidRDefault="00551768" w:rsidP="00DF6BA3">
      <w:pPr>
        <w:rPr>
          <w:rFonts w:ascii="Arial" w:hAnsi="Arial" w:cs="Arial"/>
          <w:sz w:val="22"/>
          <w:szCs w:val="22"/>
        </w:rPr>
      </w:pPr>
      <w:r w:rsidRPr="00DF6BA3">
        <w:rPr>
          <w:rFonts w:ascii="Arial" w:hAnsi="Arial" w:cs="Arial"/>
          <w:sz w:val="22"/>
          <w:szCs w:val="22"/>
        </w:rPr>
        <w:t>Figures 4 and 5 illustrate these proposed out-of-band emission limits. In both figures, the blue lines indicate emission limits at the edge of the entire lower band block (703-748</w:t>
      </w:r>
      <w:r w:rsidR="00C35AE9">
        <w:rPr>
          <w:rFonts w:ascii="Arial" w:hAnsi="Arial" w:cs="Arial"/>
          <w:sz w:val="22"/>
          <w:szCs w:val="22"/>
        </w:rPr>
        <w:t xml:space="preserve"> </w:t>
      </w:r>
      <w:r w:rsidRPr="00DF6BA3">
        <w:rPr>
          <w:rFonts w:ascii="Arial" w:hAnsi="Arial" w:cs="Arial"/>
          <w:sz w:val="22"/>
          <w:szCs w:val="22"/>
        </w:rPr>
        <w:t>MHz), while the red lines illustrate the limits for a hypothetical licence located somewhere within the band.</w:t>
      </w:r>
      <w:r w:rsidR="00134928" w:rsidRPr="00DF6BA3">
        <w:rPr>
          <w:rFonts w:ascii="Arial" w:hAnsi="Arial" w:cs="Arial"/>
          <w:sz w:val="22"/>
          <w:szCs w:val="22"/>
        </w:rPr>
        <w:t xml:space="preserve"> In figure 4, the black dashed line between 673-694</w:t>
      </w:r>
      <w:r w:rsidR="00C35AE9">
        <w:rPr>
          <w:rFonts w:ascii="Arial" w:hAnsi="Arial" w:cs="Arial"/>
          <w:sz w:val="22"/>
          <w:szCs w:val="22"/>
        </w:rPr>
        <w:t xml:space="preserve"> </w:t>
      </w:r>
      <w:r w:rsidR="00134928" w:rsidRPr="00DF6BA3">
        <w:rPr>
          <w:rFonts w:ascii="Arial" w:hAnsi="Arial" w:cs="Arial"/>
          <w:sz w:val="22"/>
          <w:szCs w:val="22"/>
        </w:rPr>
        <w:t>MHz indicated the out-of-band requirement for devices operating in an area designated for use of broadcasting channels 49</w:t>
      </w:r>
      <w:r w:rsidR="00EE467E" w:rsidRPr="00DF6BA3">
        <w:rPr>
          <w:rFonts w:ascii="Arial" w:hAnsi="Arial" w:cs="Arial"/>
          <w:sz w:val="22"/>
          <w:szCs w:val="22"/>
        </w:rPr>
        <w:t xml:space="preserve"> to </w:t>
      </w:r>
      <w:r w:rsidR="00134928" w:rsidRPr="00DF6BA3">
        <w:rPr>
          <w:rFonts w:ascii="Arial" w:hAnsi="Arial" w:cs="Arial"/>
          <w:sz w:val="22"/>
          <w:szCs w:val="22"/>
        </w:rPr>
        <w:t>51.</w:t>
      </w:r>
    </w:p>
    <w:p w:rsidR="00D93D73" w:rsidRPr="003610E1" w:rsidRDefault="00D93D73" w:rsidP="00D93D73"/>
    <w:tbl>
      <w:tblPr>
        <w:tblW w:w="9645" w:type="dxa"/>
        <w:tblLayout w:type="fixed"/>
        <w:tblCellMar>
          <w:left w:w="0" w:type="dxa"/>
          <w:right w:w="0" w:type="dxa"/>
        </w:tblCellMar>
        <w:tblLook w:val="01E0"/>
      </w:tblPr>
      <w:tblGrid>
        <w:gridCol w:w="9645"/>
      </w:tblGrid>
      <w:tr w:rsidR="00D93D73" w:rsidTr="00D93D73">
        <w:trPr>
          <w:trHeight w:val="570"/>
        </w:trPr>
        <w:tc>
          <w:tcPr>
            <w:tcW w:w="9645" w:type="dxa"/>
            <w:tcBorders>
              <w:top w:val="single" w:sz="2" w:space="0" w:color="505050"/>
            </w:tcBorders>
            <w:shd w:val="clear" w:color="auto" w:fill="auto"/>
            <w:vAlign w:val="center"/>
          </w:tcPr>
          <w:p w:rsidR="00D93D73" w:rsidRPr="00A74B5E" w:rsidRDefault="00D93D73" w:rsidP="00D93D73">
            <w:pPr>
              <w:pStyle w:val="Caption"/>
            </w:pPr>
            <w:bookmarkStart w:id="2" w:name="_Toc236153827"/>
            <w:r>
              <w:t>Figure 4 Proposed out-of-band lower band emission limits</w:t>
            </w:r>
          </w:p>
        </w:tc>
      </w:tr>
      <w:tr w:rsidR="00D93D73" w:rsidTr="00D93D73">
        <w:trPr>
          <w:trHeight w:val="3086"/>
        </w:trPr>
        <w:tc>
          <w:tcPr>
            <w:tcW w:w="9645" w:type="dxa"/>
            <w:shd w:val="clear" w:color="auto" w:fill="auto"/>
            <w:tcMar>
              <w:left w:w="28" w:type="dxa"/>
            </w:tcMar>
          </w:tcPr>
          <w:p w:rsidR="00D93D73" w:rsidRDefault="00D93D73" w:rsidP="00D93D73">
            <w:r w:rsidRPr="00AB306E">
              <w:rPr>
                <w:rFonts w:ascii="Arial" w:hAnsi="Arial" w:cs="Arial"/>
                <w:noProof/>
                <w:lang w:eastAsia="en-AU"/>
              </w:rPr>
              <w:drawing>
                <wp:inline distT="0" distB="0" distL="0" distR="0">
                  <wp:extent cx="5415692" cy="3458109"/>
                  <wp:effectExtent l="19050" t="19050" r="13558" b="28041"/>
                  <wp:docPr id="9" name="Picture 3" descr="graph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1.png"/>
                          <pic:cNvPicPr/>
                        </pic:nvPicPr>
                        <pic:blipFill>
                          <a:blip r:embed="rId12" cstate="print"/>
                          <a:stretch>
                            <a:fillRect/>
                          </a:stretch>
                        </pic:blipFill>
                        <pic:spPr>
                          <a:xfrm>
                            <a:off x="0" y="0"/>
                            <a:ext cx="5415692" cy="3458109"/>
                          </a:xfrm>
                          <a:prstGeom prst="rect">
                            <a:avLst/>
                          </a:prstGeom>
                          <a:ln>
                            <a:solidFill>
                              <a:schemeClr val="tx1"/>
                            </a:solidFill>
                          </a:ln>
                        </pic:spPr>
                      </pic:pic>
                    </a:graphicData>
                  </a:graphic>
                </wp:inline>
              </w:drawing>
            </w:r>
          </w:p>
        </w:tc>
      </w:tr>
      <w:tr w:rsidR="00D93D73" w:rsidTr="00D93D73">
        <w:trPr>
          <w:trHeight w:val="291"/>
        </w:trPr>
        <w:tc>
          <w:tcPr>
            <w:tcW w:w="9645" w:type="dxa"/>
            <w:tcBorders>
              <w:bottom w:val="single" w:sz="2" w:space="0" w:color="505050"/>
            </w:tcBorders>
            <w:shd w:val="clear" w:color="auto" w:fill="auto"/>
          </w:tcPr>
          <w:p w:rsidR="00D93D73" w:rsidRDefault="00D93D73" w:rsidP="00D93D73"/>
        </w:tc>
      </w:tr>
    </w:tbl>
    <w:p w:rsidR="00D93D73" w:rsidRDefault="00D93D73" w:rsidP="00D93D73"/>
    <w:p w:rsidR="009B55EE" w:rsidRDefault="009B55EE">
      <w:pPr>
        <w:spacing w:after="200" w:line="276" w:lineRule="auto"/>
      </w:pPr>
      <w:r>
        <w:br w:type="page"/>
      </w:r>
    </w:p>
    <w:p w:rsidR="009B55EE" w:rsidRPr="003610E1" w:rsidRDefault="009B55EE" w:rsidP="00D93D73"/>
    <w:tbl>
      <w:tblPr>
        <w:tblW w:w="9645" w:type="dxa"/>
        <w:tblLayout w:type="fixed"/>
        <w:tblCellMar>
          <w:left w:w="0" w:type="dxa"/>
          <w:right w:w="0" w:type="dxa"/>
        </w:tblCellMar>
        <w:tblLook w:val="01E0"/>
      </w:tblPr>
      <w:tblGrid>
        <w:gridCol w:w="9645"/>
      </w:tblGrid>
      <w:tr w:rsidR="00D93D73" w:rsidTr="00D93D73">
        <w:trPr>
          <w:trHeight w:val="570"/>
        </w:trPr>
        <w:tc>
          <w:tcPr>
            <w:tcW w:w="9645" w:type="dxa"/>
            <w:tcBorders>
              <w:top w:val="single" w:sz="2" w:space="0" w:color="505050"/>
            </w:tcBorders>
            <w:shd w:val="clear" w:color="auto" w:fill="auto"/>
            <w:vAlign w:val="center"/>
          </w:tcPr>
          <w:p w:rsidR="00D93D73" w:rsidRPr="00A74B5E" w:rsidRDefault="00D93D73" w:rsidP="009B55EE">
            <w:pPr>
              <w:pStyle w:val="Caption"/>
            </w:pPr>
            <w:r>
              <w:t>Figure 5 Proposed out-of-band upper band</w:t>
            </w:r>
            <w:r w:rsidR="009B55EE">
              <w:t xml:space="preserve"> emission limits</w:t>
            </w:r>
          </w:p>
        </w:tc>
      </w:tr>
      <w:tr w:rsidR="00D93D73" w:rsidTr="00D93D73">
        <w:trPr>
          <w:trHeight w:val="3086"/>
        </w:trPr>
        <w:tc>
          <w:tcPr>
            <w:tcW w:w="9645" w:type="dxa"/>
            <w:shd w:val="clear" w:color="auto" w:fill="auto"/>
            <w:tcMar>
              <w:left w:w="28" w:type="dxa"/>
            </w:tcMar>
          </w:tcPr>
          <w:p w:rsidR="00D93D73" w:rsidRDefault="00D93D73" w:rsidP="00D93D73">
            <w:r w:rsidRPr="00AB306E">
              <w:rPr>
                <w:rFonts w:ascii="Arial" w:hAnsi="Arial" w:cs="Arial"/>
                <w:noProof/>
                <w:lang w:eastAsia="en-AU"/>
              </w:rPr>
              <w:drawing>
                <wp:inline distT="0" distB="0" distL="0" distR="0">
                  <wp:extent cx="5424501" cy="3492000"/>
                  <wp:effectExtent l="19050" t="19050" r="23799" b="13200"/>
                  <wp:docPr id="10" name="Picture 4" descr="graph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2.png"/>
                          <pic:cNvPicPr/>
                        </pic:nvPicPr>
                        <pic:blipFill>
                          <a:blip r:embed="rId13" cstate="print"/>
                          <a:stretch>
                            <a:fillRect/>
                          </a:stretch>
                        </pic:blipFill>
                        <pic:spPr>
                          <a:xfrm>
                            <a:off x="0" y="0"/>
                            <a:ext cx="5424501" cy="3492000"/>
                          </a:xfrm>
                          <a:prstGeom prst="rect">
                            <a:avLst/>
                          </a:prstGeom>
                          <a:ln>
                            <a:solidFill>
                              <a:schemeClr val="tx1"/>
                            </a:solidFill>
                          </a:ln>
                        </pic:spPr>
                      </pic:pic>
                    </a:graphicData>
                  </a:graphic>
                </wp:inline>
              </w:drawing>
            </w:r>
          </w:p>
        </w:tc>
      </w:tr>
      <w:tr w:rsidR="00D93D73" w:rsidTr="00D93D73">
        <w:trPr>
          <w:trHeight w:val="291"/>
        </w:trPr>
        <w:tc>
          <w:tcPr>
            <w:tcW w:w="9645" w:type="dxa"/>
            <w:tcBorders>
              <w:bottom w:val="single" w:sz="2" w:space="0" w:color="505050"/>
            </w:tcBorders>
            <w:shd w:val="clear" w:color="auto" w:fill="auto"/>
          </w:tcPr>
          <w:p w:rsidR="00D93D73" w:rsidRDefault="00D93D73" w:rsidP="00D93D73"/>
        </w:tc>
      </w:tr>
    </w:tbl>
    <w:bookmarkEnd w:id="2"/>
    <w:p w:rsidR="00647590" w:rsidRPr="00AB306E" w:rsidRDefault="00647590" w:rsidP="00647590">
      <w:pPr>
        <w:pStyle w:val="Heading3"/>
        <w:rPr>
          <w:rFonts w:ascii="Arial" w:hAnsi="Arial" w:cs="Arial"/>
          <w:color w:val="auto"/>
        </w:rPr>
      </w:pPr>
      <w:r w:rsidRPr="00AB306E">
        <w:rPr>
          <w:rFonts w:ascii="Arial" w:hAnsi="Arial" w:cs="Arial"/>
          <w:color w:val="auto"/>
        </w:rPr>
        <w:t>6.3</w:t>
      </w:r>
      <w:r w:rsidRPr="00AB306E">
        <w:rPr>
          <w:rFonts w:ascii="Arial" w:hAnsi="Arial" w:cs="Arial"/>
          <w:color w:val="auto"/>
        </w:rPr>
        <w:tab/>
        <w:t>Proposed Out-of-Band Spurious emission limits</w:t>
      </w:r>
    </w:p>
    <w:p w:rsidR="00647590" w:rsidRPr="00DF6BA3" w:rsidRDefault="00647590" w:rsidP="00DF6BA3">
      <w:pPr>
        <w:rPr>
          <w:rFonts w:ascii="Arial" w:hAnsi="Arial" w:cs="Arial"/>
          <w:sz w:val="22"/>
          <w:szCs w:val="22"/>
        </w:rPr>
      </w:pPr>
      <w:r w:rsidRPr="00DF6BA3">
        <w:rPr>
          <w:rFonts w:ascii="Arial" w:hAnsi="Arial" w:cs="Arial"/>
          <w:sz w:val="22"/>
          <w:szCs w:val="22"/>
        </w:rPr>
        <w:t>The proposed limits for spurious emissions have been based on arrangements and limits found in CEPT/ERC/REC 74-01 and ITU-R Radio Regulations Appendix 3</w:t>
      </w:r>
      <w:r w:rsidR="000A4A7C" w:rsidRPr="00DF6BA3">
        <w:rPr>
          <w:rFonts w:ascii="Arial" w:hAnsi="Arial" w:cs="Arial"/>
          <w:sz w:val="22"/>
          <w:szCs w:val="22"/>
        </w:rPr>
        <w:t xml:space="preserve"> and ITU-R Recommendation SM 329</w:t>
      </w:r>
      <w:r w:rsidRPr="00DF6BA3">
        <w:rPr>
          <w:rFonts w:ascii="Arial" w:hAnsi="Arial" w:cs="Arial"/>
          <w:sz w:val="22"/>
          <w:szCs w:val="22"/>
        </w:rPr>
        <w:t>.</w:t>
      </w:r>
      <w:r w:rsidR="008D1578" w:rsidRPr="00DF6BA3">
        <w:rPr>
          <w:rFonts w:ascii="Arial" w:hAnsi="Arial" w:cs="Arial"/>
          <w:sz w:val="22"/>
          <w:szCs w:val="22"/>
        </w:rPr>
        <w:t xml:space="preserve"> These limits are applicable outside of the band 758-803</w:t>
      </w:r>
      <w:r w:rsidR="00C35AE9">
        <w:rPr>
          <w:rFonts w:ascii="Arial" w:hAnsi="Arial" w:cs="Arial"/>
          <w:sz w:val="22"/>
          <w:szCs w:val="22"/>
        </w:rPr>
        <w:t xml:space="preserve"> </w:t>
      </w:r>
      <w:r w:rsidR="008D1578" w:rsidRPr="00DF6BA3">
        <w:rPr>
          <w:rFonts w:ascii="Arial" w:hAnsi="Arial" w:cs="Arial"/>
          <w:sz w:val="22"/>
          <w:szCs w:val="22"/>
        </w:rPr>
        <w:t>MHz.</w:t>
      </w:r>
    </w:p>
    <w:p w:rsidR="00647590" w:rsidRPr="00DF6BA3" w:rsidRDefault="00647590" w:rsidP="00DF6BA3">
      <w:pPr>
        <w:rPr>
          <w:rFonts w:ascii="Arial" w:hAnsi="Arial" w:cs="Arial"/>
          <w:sz w:val="22"/>
          <w:szCs w:val="22"/>
        </w:rPr>
      </w:pPr>
    </w:p>
    <w:p w:rsidR="00647590" w:rsidRPr="00DF6BA3" w:rsidRDefault="00647590" w:rsidP="00DF6BA3">
      <w:pPr>
        <w:pBdr>
          <w:top w:val="single" w:sz="12" w:space="1" w:color="auto"/>
          <w:left w:val="single" w:sz="12" w:space="4" w:color="auto"/>
          <w:bottom w:val="single" w:sz="12" w:space="1" w:color="auto"/>
          <w:right w:val="single" w:sz="12" w:space="4" w:color="auto"/>
        </w:pBdr>
        <w:rPr>
          <w:rFonts w:ascii="Arial" w:hAnsi="Arial" w:cs="Arial"/>
          <w:b/>
          <w:i/>
          <w:sz w:val="22"/>
          <w:szCs w:val="22"/>
        </w:rPr>
      </w:pPr>
      <w:r w:rsidRPr="00DF6BA3">
        <w:rPr>
          <w:rFonts w:ascii="Arial" w:hAnsi="Arial" w:cs="Arial"/>
          <w:b/>
          <w:i/>
          <w:sz w:val="22"/>
          <w:szCs w:val="22"/>
        </w:rPr>
        <w:t xml:space="preserve">The proposed maximum permissible level of spurious emissions from a transmitter operated under </w:t>
      </w:r>
      <w:r w:rsidR="00A233F3" w:rsidRPr="00DF6BA3">
        <w:rPr>
          <w:rFonts w:ascii="Arial" w:hAnsi="Arial" w:cs="Arial"/>
          <w:b/>
          <w:i/>
          <w:sz w:val="22"/>
          <w:szCs w:val="22"/>
        </w:rPr>
        <w:t>a 700</w:t>
      </w:r>
      <w:r w:rsidR="00C35AE9">
        <w:rPr>
          <w:rFonts w:ascii="Arial" w:hAnsi="Arial" w:cs="Arial"/>
          <w:b/>
          <w:i/>
          <w:sz w:val="22"/>
          <w:szCs w:val="22"/>
        </w:rPr>
        <w:t xml:space="preserve"> </w:t>
      </w:r>
      <w:r w:rsidR="00E33BDB" w:rsidRPr="00DF6BA3">
        <w:rPr>
          <w:rFonts w:ascii="Arial" w:hAnsi="Arial" w:cs="Arial"/>
          <w:b/>
          <w:i/>
          <w:sz w:val="22"/>
          <w:szCs w:val="22"/>
        </w:rPr>
        <w:t>MHz</w:t>
      </w:r>
      <w:r w:rsidR="000A4A7C" w:rsidRPr="00DF6BA3">
        <w:rPr>
          <w:rFonts w:ascii="Arial" w:hAnsi="Arial" w:cs="Arial"/>
          <w:b/>
          <w:i/>
          <w:sz w:val="22"/>
          <w:szCs w:val="22"/>
        </w:rPr>
        <w:t xml:space="preserve"> band spectrum</w:t>
      </w:r>
      <w:r w:rsidRPr="00DF6BA3">
        <w:rPr>
          <w:rFonts w:ascii="Arial" w:hAnsi="Arial" w:cs="Arial"/>
          <w:b/>
          <w:i/>
          <w:sz w:val="22"/>
          <w:szCs w:val="22"/>
        </w:rPr>
        <w:t xml:space="preserve"> licence is a radiated mean power of:</w:t>
      </w:r>
    </w:p>
    <w:p w:rsidR="00444F1F" w:rsidRPr="00DF6BA3" w:rsidRDefault="00444F1F" w:rsidP="00DF6BA3">
      <w:pPr>
        <w:pBdr>
          <w:top w:val="single" w:sz="12" w:space="1" w:color="auto"/>
          <w:left w:val="single" w:sz="12" w:space="4" w:color="auto"/>
          <w:bottom w:val="single" w:sz="12" w:space="1" w:color="auto"/>
          <w:right w:val="single" w:sz="12" w:space="4" w:color="auto"/>
        </w:pBdr>
        <w:rPr>
          <w:rFonts w:ascii="Arial" w:hAnsi="Arial" w:cs="Arial"/>
          <w:b/>
          <w:i/>
          <w:sz w:val="22"/>
          <w:szCs w:val="22"/>
        </w:rPr>
      </w:pPr>
    </w:p>
    <w:p w:rsidR="00647590" w:rsidRPr="00DF6BA3" w:rsidRDefault="00647590" w:rsidP="00DF6BA3">
      <w:pPr>
        <w:pBdr>
          <w:top w:val="single" w:sz="12" w:space="1" w:color="auto"/>
          <w:left w:val="single" w:sz="12" w:space="4" w:color="auto"/>
          <w:bottom w:val="single" w:sz="12" w:space="1" w:color="auto"/>
          <w:right w:val="single" w:sz="12" w:space="4" w:color="auto"/>
        </w:pBdr>
        <w:ind w:firstLine="720"/>
        <w:rPr>
          <w:rFonts w:ascii="Arial" w:hAnsi="Arial" w:cs="Arial"/>
          <w:sz w:val="22"/>
          <w:szCs w:val="22"/>
        </w:rPr>
      </w:pPr>
      <w:r w:rsidRPr="00DF6BA3">
        <w:rPr>
          <w:rFonts w:ascii="Arial" w:hAnsi="Arial" w:cs="Arial"/>
          <w:sz w:val="22"/>
          <w:szCs w:val="22"/>
        </w:rPr>
        <w:t>-36</w:t>
      </w:r>
      <w:r w:rsidR="00E33BDB" w:rsidRPr="00DF6BA3">
        <w:rPr>
          <w:rFonts w:ascii="Arial" w:hAnsi="Arial" w:cs="Arial"/>
          <w:sz w:val="22"/>
          <w:szCs w:val="22"/>
        </w:rPr>
        <w:t>dB</w:t>
      </w:r>
      <w:r w:rsidRPr="00DF6BA3">
        <w:rPr>
          <w:rFonts w:ascii="Arial" w:hAnsi="Arial" w:cs="Arial"/>
          <w:sz w:val="22"/>
          <w:szCs w:val="22"/>
        </w:rPr>
        <w:t>m per 1</w:t>
      </w:r>
      <w:r w:rsidR="00C35AE9">
        <w:rPr>
          <w:rFonts w:ascii="Arial" w:hAnsi="Arial" w:cs="Arial"/>
          <w:sz w:val="22"/>
          <w:szCs w:val="22"/>
        </w:rPr>
        <w:t xml:space="preserve"> </w:t>
      </w:r>
      <w:r w:rsidR="00E33BDB" w:rsidRPr="00DF6BA3">
        <w:rPr>
          <w:rFonts w:ascii="Arial" w:hAnsi="Arial" w:cs="Arial"/>
          <w:sz w:val="22"/>
          <w:szCs w:val="22"/>
        </w:rPr>
        <w:t>kHz</w:t>
      </w:r>
      <w:r w:rsidRPr="00DF6BA3">
        <w:rPr>
          <w:rFonts w:ascii="Arial" w:hAnsi="Arial" w:cs="Arial"/>
          <w:sz w:val="22"/>
          <w:szCs w:val="22"/>
        </w:rPr>
        <w:t xml:space="preserve"> within the band 9</w:t>
      </w:r>
      <w:r w:rsidR="00C35AE9">
        <w:rPr>
          <w:rFonts w:ascii="Arial" w:hAnsi="Arial" w:cs="Arial"/>
          <w:sz w:val="22"/>
          <w:szCs w:val="22"/>
        </w:rPr>
        <w:t xml:space="preserve"> </w:t>
      </w:r>
      <w:r w:rsidR="00E33BDB" w:rsidRPr="00DF6BA3">
        <w:rPr>
          <w:rFonts w:ascii="Arial" w:hAnsi="Arial" w:cs="Arial"/>
          <w:sz w:val="22"/>
          <w:szCs w:val="22"/>
        </w:rPr>
        <w:t>kHz</w:t>
      </w:r>
      <w:r w:rsidRPr="00DF6BA3">
        <w:rPr>
          <w:rFonts w:ascii="Arial" w:hAnsi="Arial" w:cs="Arial"/>
          <w:sz w:val="22"/>
          <w:szCs w:val="22"/>
        </w:rPr>
        <w:t xml:space="preserve"> to 150</w:t>
      </w:r>
      <w:r w:rsidR="00C35AE9">
        <w:rPr>
          <w:rFonts w:ascii="Arial" w:hAnsi="Arial" w:cs="Arial"/>
          <w:sz w:val="22"/>
          <w:szCs w:val="22"/>
        </w:rPr>
        <w:t xml:space="preserve"> </w:t>
      </w:r>
      <w:r w:rsidR="00E33BDB" w:rsidRPr="00DF6BA3">
        <w:rPr>
          <w:rFonts w:ascii="Arial" w:hAnsi="Arial" w:cs="Arial"/>
          <w:sz w:val="22"/>
          <w:szCs w:val="22"/>
        </w:rPr>
        <w:t>kHz</w:t>
      </w:r>
      <w:r w:rsidRPr="00DF6BA3">
        <w:rPr>
          <w:rFonts w:ascii="Arial" w:hAnsi="Arial" w:cs="Arial"/>
          <w:sz w:val="22"/>
          <w:szCs w:val="22"/>
        </w:rPr>
        <w:t>;</w:t>
      </w:r>
    </w:p>
    <w:p w:rsidR="00647590" w:rsidRPr="00DF6BA3" w:rsidRDefault="00647590" w:rsidP="00DF6BA3">
      <w:pPr>
        <w:pBdr>
          <w:top w:val="single" w:sz="12" w:space="1" w:color="auto"/>
          <w:left w:val="single" w:sz="12" w:space="4" w:color="auto"/>
          <w:bottom w:val="single" w:sz="12" w:space="1" w:color="auto"/>
          <w:right w:val="single" w:sz="12" w:space="4" w:color="auto"/>
        </w:pBdr>
        <w:ind w:firstLine="720"/>
        <w:rPr>
          <w:rFonts w:ascii="Arial" w:hAnsi="Arial" w:cs="Arial"/>
          <w:sz w:val="22"/>
          <w:szCs w:val="22"/>
        </w:rPr>
      </w:pPr>
      <w:r w:rsidRPr="00DF6BA3">
        <w:rPr>
          <w:rFonts w:ascii="Arial" w:hAnsi="Arial" w:cs="Arial"/>
          <w:sz w:val="22"/>
          <w:szCs w:val="22"/>
        </w:rPr>
        <w:t>-36</w:t>
      </w:r>
      <w:r w:rsidR="00E33BDB" w:rsidRPr="00DF6BA3">
        <w:rPr>
          <w:rFonts w:ascii="Arial" w:hAnsi="Arial" w:cs="Arial"/>
          <w:sz w:val="22"/>
          <w:szCs w:val="22"/>
        </w:rPr>
        <w:t>dB</w:t>
      </w:r>
      <w:r w:rsidRPr="00DF6BA3">
        <w:rPr>
          <w:rFonts w:ascii="Arial" w:hAnsi="Arial" w:cs="Arial"/>
          <w:sz w:val="22"/>
          <w:szCs w:val="22"/>
        </w:rPr>
        <w:t>m per 10</w:t>
      </w:r>
      <w:r w:rsidR="00C35AE9">
        <w:rPr>
          <w:rFonts w:ascii="Arial" w:hAnsi="Arial" w:cs="Arial"/>
          <w:sz w:val="22"/>
          <w:szCs w:val="22"/>
        </w:rPr>
        <w:t xml:space="preserve"> </w:t>
      </w:r>
      <w:r w:rsidR="00E33BDB" w:rsidRPr="00DF6BA3">
        <w:rPr>
          <w:rFonts w:ascii="Arial" w:hAnsi="Arial" w:cs="Arial"/>
          <w:sz w:val="22"/>
          <w:szCs w:val="22"/>
        </w:rPr>
        <w:t>kHz</w:t>
      </w:r>
      <w:r w:rsidRPr="00DF6BA3">
        <w:rPr>
          <w:rFonts w:ascii="Arial" w:hAnsi="Arial" w:cs="Arial"/>
          <w:sz w:val="22"/>
          <w:szCs w:val="22"/>
        </w:rPr>
        <w:t xml:space="preserve"> within the band 150</w:t>
      </w:r>
      <w:r w:rsidR="00C35AE9">
        <w:rPr>
          <w:rFonts w:ascii="Arial" w:hAnsi="Arial" w:cs="Arial"/>
          <w:sz w:val="22"/>
          <w:szCs w:val="22"/>
        </w:rPr>
        <w:t xml:space="preserve"> </w:t>
      </w:r>
      <w:r w:rsidR="00E33BDB" w:rsidRPr="00DF6BA3">
        <w:rPr>
          <w:rFonts w:ascii="Arial" w:hAnsi="Arial" w:cs="Arial"/>
          <w:sz w:val="22"/>
          <w:szCs w:val="22"/>
        </w:rPr>
        <w:t>kHz</w:t>
      </w:r>
      <w:r w:rsidRPr="00DF6BA3">
        <w:rPr>
          <w:rFonts w:ascii="Arial" w:hAnsi="Arial" w:cs="Arial"/>
          <w:sz w:val="22"/>
          <w:szCs w:val="22"/>
        </w:rPr>
        <w:t xml:space="preserve"> to 30</w:t>
      </w:r>
      <w:r w:rsidR="00C35AE9">
        <w:rPr>
          <w:rFonts w:ascii="Arial" w:hAnsi="Arial" w:cs="Arial"/>
          <w:sz w:val="22"/>
          <w:szCs w:val="22"/>
        </w:rPr>
        <w:t xml:space="preserve"> </w:t>
      </w:r>
      <w:r w:rsidR="00E33BDB" w:rsidRPr="00DF6BA3">
        <w:rPr>
          <w:rFonts w:ascii="Arial" w:hAnsi="Arial" w:cs="Arial"/>
          <w:sz w:val="22"/>
          <w:szCs w:val="22"/>
        </w:rPr>
        <w:t>MHz</w:t>
      </w:r>
      <w:r w:rsidRPr="00DF6BA3">
        <w:rPr>
          <w:rFonts w:ascii="Arial" w:hAnsi="Arial" w:cs="Arial"/>
          <w:sz w:val="22"/>
          <w:szCs w:val="22"/>
        </w:rPr>
        <w:t>;</w:t>
      </w:r>
    </w:p>
    <w:p w:rsidR="00647590" w:rsidRPr="00DF6BA3" w:rsidRDefault="00647590" w:rsidP="00DF6BA3">
      <w:pPr>
        <w:pBdr>
          <w:top w:val="single" w:sz="12" w:space="1" w:color="auto"/>
          <w:left w:val="single" w:sz="12" w:space="4" w:color="auto"/>
          <w:bottom w:val="single" w:sz="12" w:space="1" w:color="auto"/>
          <w:right w:val="single" w:sz="12" w:space="4" w:color="auto"/>
        </w:pBdr>
        <w:ind w:firstLine="720"/>
        <w:rPr>
          <w:rFonts w:ascii="Arial" w:hAnsi="Arial" w:cs="Arial"/>
          <w:sz w:val="22"/>
          <w:szCs w:val="22"/>
        </w:rPr>
      </w:pPr>
      <w:r w:rsidRPr="00DF6BA3">
        <w:rPr>
          <w:rFonts w:ascii="Arial" w:hAnsi="Arial" w:cs="Arial"/>
          <w:sz w:val="22"/>
          <w:szCs w:val="22"/>
        </w:rPr>
        <w:t>-36</w:t>
      </w:r>
      <w:r w:rsidR="00E33BDB" w:rsidRPr="00DF6BA3">
        <w:rPr>
          <w:rFonts w:ascii="Arial" w:hAnsi="Arial" w:cs="Arial"/>
          <w:sz w:val="22"/>
          <w:szCs w:val="22"/>
        </w:rPr>
        <w:t>dB</w:t>
      </w:r>
      <w:r w:rsidRPr="00DF6BA3">
        <w:rPr>
          <w:rFonts w:ascii="Arial" w:hAnsi="Arial" w:cs="Arial"/>
          <w:sz w:val="22"/>
          <w:szCs w:val="22"/>
        </w:rPr>
        <w:t>m per 100</w:t>
      </w:r>
      <w:r w:rsidR="00C35AE9">
        <w:rPr>
          <w:rFonts w:ascii="Arial" w:hAnsi="Arial" w:cs="Arial"/>
          <w:sz w:val="22"/>
          <w:szCs w:val="22"/>
        </w:rPr>
        <w:t xml:space="preserve"> </w:t>
      </w:r>
      <w:r w:rsidR="00E33BDB" w:rsidRPr="00DF6BA3">
        <w:rPr>
          <w:rFonts w:ascii="Arial" w:hAnsi="Arial" w:cs="Arial"/>
          <w:sz w:val="22"/>
          <w:szCs w:val="22"/>
        </w:rPr>
        <w:t>kHz</w:t>
      </w:r>
      <w:r w:rsidRPr="00DF6BA3">
        <w:rPr>
          <w:rFonts w:ascii="Arial" w:hAnsi="Arial" w:cs="Arial"/>
          <w:sz w:val="22"/>
          <w:szCs w:val="22"/>
        </w:rPr>
        <w:t xml:space="preserve"> within the band 30</w:t>
      </w:r>
      <w:r w:rsidR="00C35AE9">
        <w:rPr>
          <w:rFonts w:ascii="Arial" w:hAnsi="Arial" w:cs="Arial"/>
          <w:sz w:val="22"/>
          <w:szCs w:val="22"/>
        </w:rPr>
        <w:t xml:space="preserve"> </w:t>
      </w:r>
      <w:r w:rsidR="00E33BDB" w:rsidRPr="00DF6BA3">
        <w:rPr>
          <w:rFonts w:ascii="Arial" w:hAnsi="Arial" w:cs="Arial"/>
          <w:sz w:val="22"/>
          <w:szCs w:val="22"/>
        </w:rPr>
        <w:t>MHz</w:t>
      </w:r>
      <w:r w:rsidRPr="00DF6BA3">
        <w:rPr>
          <w:rFonts w:ascii="Arial" w:hAnsi="Arial" w:cs="Arial"/>
          <w:sz w:val="22"/>
          <w:szCs w:val="22"/>
        </w:rPr>
        <w:t xml:space="preserve"> to 1</w:t>
      </w:r>
      <w:r w:rsidR="00C35AE9">
        <w:rPr>
          <w:rFonts w:ascii="Arial" w:hAnsi="Arial" w:cs="Arial"/>
          <w:sz w:val="22"/>
          <w:szCs w:val="22"/>
        </w:rPr>
        <w:t xml:space="preserve"> </w:t>
      </w:r>
      <w:r w:rsidR="00E33BDB" w:rsidRPr="00DF6BA3">
        <w:rPr>
          <w:rFonts w:ascii="Arial" w:hAnsi="Arial" w:cs="Arial"/>
          <w:sz w:val="22"/>
          <w:szCs w:val="22"/>
        </w:rPr>
        <w:t>GHz</w:t>
      </w:r>
      <w:r w:rsidRPr="00DF6BA3">
        <w:rPr>
          <w:rFonts w:ascii="Arial" w:hAnsi="Arial" w:cs="Arial"/>
          <w:sz w:val="22"/>
          <w:szCs w:val="22"/>
        </w:rPr>
        <w:t>; and</w:t>
      </w:r>
    </w:p>
    <w:p w:rsidR="00647590" w:rsidRPr="00DF6BA3" w:rsidRDefault="00647590" w:rsidP="00DF6BA3">
      <w:pPr>
        <w:pBdr>
          <w:top w:val="single" w:sz="12" w:space="1" w:color="auto"/>
          <w:left w:val="single" w:sz="12" w:space="4" w:color="auto"/>
          <w:bottom w:val="single" w:sz="12" w:space="1" w:color="auto"/>
          <w:right w:val="single" w:sz="12" w:space="4" w:color="auto"/>
        </w:pBdr>
        <w:ind w:firstLine="720"/>
        <w:rPr>
          <w:rFonts w:ascii="Arial" w:hAnsi="Arial" w:cs="Arial"/>
          <w:sz w:val="22"/>
          <w:szCs w:val="22"/>
        </w:rPr>
      </w:pPr>
      <w:proofErr w:type="gramStart"/>
      <w:r w:rsidRPr="00DF6BA3">
        <w:rPr>
          <w:rFonts w:ascii="Arial" w:hAnsi="Arial" w:cs="Arial"/>
          <w:sz w:val="22"/>
          <w:szCs w:val="22"/>
        </w:rPr>
        <w:t>-30</w:t>
      </w:r>
      <w:r w:rsidR="00E33BDB" w:rsidRPr="00DF6BA3">
        <w:rPr>
          <w:rFonts w:ascii="Arial" w:hAnsi="Arial" w:cs="Arial"/>
          <w:sz w:val="22"/>
          <w:szCs w:val="22"/>
        </w:rPr>
        <w:t>dB</w:t>
      </w:r>
      <w:r w:rsidRPr="00DF6BA3">
        <w:rPr>
          <w:rFonts w:ascii="Arial" w:hAnsi="Arial" w:cs="Arial"/>
          <w:sz w:val="22"/>
          <w:szCs w:val="22"/>
        </w:rPr>
        <w:t>m per 1</w:t>
      </w:r>
      <w:r w:rsidR="00C35AE9">
        <w:rPr>
          <w:rFonts w:ascii="Arial" w:hAnsi="Arial" w:cs="Arial"/>
          <w:sz w:val="22"/>
          <w:szCs w:val="22"/>
        </w:rPr>
        <w:t xml:space="preserve"> </w:t>
      </w:r>
      <w:r w:rsidR="00E33BDB" w:rsidRPr="00DF6BA3">
        <w:rPr>
          <w:rFonts w:ascii="Arial" w:hAnsi="Arial" w:cs="Arial"/>
          <w:sz w:val="22"/>
          <w:szCs w:val="22"/>
        </w:rPr>
        <w:t>MHz</w:t>
      </w:r>
      <w:r w:rsidRPr="00DF6BA3">
        <w:rPr>
          <w:rFonts w:ascii="Arial" w:hAnsi="Arial" w:cs="Arial"/>
          <w:sz w:val="22"/>
          <w:szCs w:val="22"/>
        </w:rPr>
        <w:t xml:space="preserve"> within the band 1</w:t>
      </w:r>
      <w:r w:rsidR="00C35AE9">
        <w:rPr>
          <w:rFonts w:ascii="Arial" w:hAnsi="Arial" w:cs="Arial"/>
          <w:sz w:val="22"/>
          <w:szCs w:val="22"/>
        </w:rPr>
        <w:t xml:space="preserve"> </w:t>
      </w:r>
      <w:r w:rsidR="00E33BDB" w:rsidRPr="00DF6BA3">
        <w:rPr>
          <w:rFonts w:ascii="Arial" w:hAnsi="Arial" w:cs="Arial"/>
          <w:sz w:val="22"/>
          <w:szCs w:val="22"/>
        </w:rPr>
        <w:t>GHz</w:t>
      </w:r>
      <w:r w:rsidRPr="00DF6BA3">
        <w:rPr>
          <w:rFonts w:ascii="Arial" w:hAnsi="Arial" w:cs="Arial"/>
          <w:sz w:val="22"/>
          <w:szCs w:val="22"/>
        </w:rPr>
        <w:t xml:space="preserve"> to 12.5</w:t>
      </w:r>
      <w:r w:rsidR="00C35AE9">
        <w:rPr>
          <w:rFonts w:ascii="Arial" w:hAnsi="Arial" w:cs="Arial"/>
          <w:sz w:val="22"/>
          <w:szCs w:val="22"/>
        </w:rPr>
        <w:t xml:space="preserve"> </w:t>
      </w:r>
      <w:r w:rsidR="00E33BDB" w:rsidRPr="00DF6BA3">
        <w:rPr>
          <w:rFonts w:ascii="Arial" w:hAnsi="Arial" w:cs="Arial"/>
          <w:sz w:val="22"/>
          <w:szCs w:val="22"/>
        </w:rPr>
        <w:t>GHz</w:t>
      </w:r>
      <w:r w:rsidRPr="00DF6BA3">
        <w:rPr>
          <w:rFonts w:ascii="Arial" w:hAnsi="Arial" w:cs="Arial"/>
          <w:sz w:val="22"/>
          <w:szCs w:val="22"/>
        </w:rPr>
        <w:t>.</w:t>
      </w:r>
      <w:proofErr w:type="gramEnd"/>
    </w:p>
    <w:p w:rsidR="00444F1F" w:rsidRPr="00DF6BA3" w:rsidRDefault="00444F1F" w:rsidP="00DF6BA3">
      <w:pPr>
        <w:pBdr>
          <w:top w:val="single" w:sz="12" w:space="1" w:color="auto"/>
          <w:left w:val="single" w:sz="12" w:space="4" w:color="auto"/>
          <w:bottom w:val="single" w:sz="12" w:space="1" w:color="auto"/>
          <w:right w:val="single" w:sz="12" w:space="4" w:color="auto"/>
        </w:pBdr>
        <w:ind w:firstLine="720"/>
        <w:rPr>
          <w:rFonts w:ascii="Arial" w:hAnsi="Arial" w:cs="Arial"/>
          <w:sz w:val="22"/>
          <w:szCs w:val="22"/>
        </w:rPr>
      </w:pPr>
    </w:p>
    <w:p w:rsidR="00647590" w:rsidRPr="00DF6BA3" w:rsidRDefault="00647590" w:rsidP="00DF6BA3">
      <w:pPr>
        <w:rPr>
          <w:rFonts w:ascii="Arial" w:hAnsi="Arial" w:cs="Arial"/>
          <w:sz w:val="22"/>
          <w:szCs w:val="22"/>
        </w:rPr>
      </w:pPr>
    </w:p>
    <w:p w:rsidR="009B55EE" w:rsidRDefault="009B55EE">
      <w:pPr>
        <w:spacing w:after="200" w:line="276" w:lineRule="auto"/>
        <w:rPr>
          <w:rFonts w:ascii="Arial" w:hAnsi="Arial" w:cs="Arial"/>
          <w:sz w:val="22"/>
          <w:szCs w:val="22"/>
        </w:rPr>
      </w:pPr>
      <w:r>
        <w:rPr>
          <w:rFonts w:ascii="Arial" w:hAnsi="Arial" w:cs="Arial"/>
          <w:sz w:val="22"/>
          <w:szCs w:val="22"/>
        </w:rPr>
        <w:br w:type="page"/>
      </w:r>
    </w:p>
    <w:p w:rsidR="00961A50" w:rsidRDefault="00961A50" w:rsidP="00DF6BA3">
      <w:pPr>
        <w:rPr>
          <w:rFonts w:ascii="Arial" w:hAnsi="Arial" w:cs="Arial"/>
          <w:sz w:val="22"/>
          <w:szCs w:val="22"/>
        </w:rPr>
      </w:pPr>
    </w:p>
    <w:p w:rsidR="009B55EE" w:rsidRPr="00DF6BA3" w:rsidRDefault="009B55EE" w:rsidP="00DF6BA3">
      <w:pPr>
        <w:rPr>
          <w:rFonts w:ascii="Arial" w:hAnsi="Arial" w:cs="Arial"/>
          <w:sz w:val="22"/>
          <w:szCs w:val="22"/>
        </w:rPr>
      </w:pPr>
    </w:p>
    <w:p w:rsidR="00647590" w:rsidRPr="00DF6BA3" w:rsidRDefault="00647590" w:rsidP="00DF6BA3">
      <w:pPr>
        <w:pBdr>
          <w:top w:val="single" w:sz="12" w:space="1" w:color="auto"/>
          <w:left w:val="single" w:sz="12" w:space="4" w:color="auto"/>
          <w:bottom w:val="single" w:sz="12" w:space="1" w:color="auto"/>
          <w:right w:val="single" w:sz="12" w:space="4" w:color="auto"/>
        </w:pBdr>
        <w:rPr>
          <w:rFonts w:ascii="Arial" w:hAnsi="Arial" w:cs="Arial"/>
          <w:b/>
          <w:i/>
          <w:sz w:val="22"/>
          <w:szCs w:val="22"/>
        </w:rPr>
      </w:pPr>
      <w:r w:rsidRPr="00DF6BA3">
        <w:rPr>
          <w:rFonts w:ascii="Arial" w:hAnsi="Arial" w:cs="Arial"/>
          <w:b/>
          <w:i/>
          <w:sz w:val="22"/>
          <w:szCs w:val="22"/>
        </w:rPr>
        <w:t xml:space="preserve">The proposed maximum permissible level of spurious emissions from a receiver operated under </w:t>
      </w:r>
      <w:r w:rsidR="000A4A7C" w:rsidRPr="00DF6BA3">
        <w:rPr>
          <w:rFonts w:ascii="Arial" w:hAnsi="Arial" w:cs="Arial"/>
          <w:b/>
          <w:i/>
          <w:sz w:val="22"/>
          <w:szCs w:val="22"/>
        </w:rPr>
        <w:t>a 700</w:t>
      </w:r>
      <w:r w:rsidR="00C35AE9">
        <w:rPr>
          <w:rFonts w:ascii="Arial" w:hAnsi="Arial" w:cs="Arial"/>
          <w:b/>
          <w:i/>
          <w:sz w:val="22"/>
          <w:szCs w:val="22"/>
        </w:rPr>
        <w:t xml:space="preserve"> </w:t>
      </w:r>
      <w:r w:rsidR="00E33BDB" w:rsidRPr="00DF6BA3">
        <w:rPr>
          <w:rFonts w:ascii="Arial" w:hAnsi="Arial" w:cs="Arial"/>
          <w:b/>
          <w:i/>
          <w:sz w:val="22"/>
          <w:szCs w:val="22"/>
        </w:rPr>
        <w:t>MHz</w:t>
      </w:r>
      <w:r w:rsidR="000A4A7C" w:rsidRPr="00DF6BA3">
        <w:rPr>
          <w:rFonts w:ascii="Arial" w:hAnsi="Arial" w:cs="Arial"/>
          <w:b/>
          <w:i/>
          <w:sz w:val="22"/>
          <w:szCs w:val="22"/>
        </w:rPr>
        <w:t xml:space="preserve"> spectrum</w:t>
      </w:r>
      <w:r w:rsidRPr="00DF6BA3">
        <w:rPr>
          <w:rFonts w:ascii="Arial" w:hAnsi="Arial" w:cs="Arial"/>
          <w:b/>
          <w:i/>
          <w:sz w:val="22"/>
          <w:szCs w:val="22"/>
        </w:rPr>
        <w:t xml:space="preserve"> licence is a radiated mean power of:</w:t>
      </w:r>
    </w:p>
    <w:p w:rsidR="00444F1F" w:rsidRPr="00DF6BA3" w:rsidRDefault="00444F1F" w:rsidP="00DF6BA3">
      <w:pPr>
        <w:pBdr>
          <w:top w:val="single" w:sz="12" w:space="1" w:color="auto"/>
          <w:left w:val="single" w:sz="12" w:space="4" w:color="auto"/>
          <w:bottom w:val="single" w:sz="12" w:space="1" w:color="auto"/>
          <w:right w:val="single" w:sz="12" w:space="4" w:color="auto"/>
        </w:pBdr>
        <w:rPr>
          <w:rFonts w:ascii="Arial" w:hAnsi="Arial" w:cs="Arial"/>
          <w:b/>
          <w:i/>
          <w:sz w:val="22"/>
          <w:szCs w:val="22"/>
        </w:rPr>
      </w:pPr>
    </w:p>
    <w:p w:rsidR="00647590" w:rsidRPr="00DF6BA3" w:rsidRDefault="00647590" w:rsidP="00DF6BA3">
      <w:pPr>
        <w:pBdr>
          <w:top w:val="single" w:sz="12" w:space="1" w:color="auto"/>
          <w:left w:val="single" w:sz="12" w:space="4" w:color="auto"/>
          <w:bottom w:val="single" w:sz="12" w:space="1" w:color="auto"/>
          <w:right w:val="single" w:sz="12" w:space="4" w:color="auto"/>
        </w:pBdr>
        <w:ind w:firstLine="720"/>
        <w:rPr>
          <w:rFonts w:ascii="Arial" w:hAnsi="Arial" w:cs="Arial"/>
          <w:sz w:val="22"/>
          <w:szCs w:val="22"/>
        </w:rPr>
      </w:pPr>
      <w:r w:rsidRPr="00DF6BA3">
        <w:rPr>
          <w:rFonts w:ascii="Arial" w:hAnsi="Arial" w:cs="Arial"/>
          <w:sz w:val="22"/>
          <w:szCs w:val="22"/>
        </w:rPr>
        <w:t>-57</w:t>
      </w:r>
      <w:r w:rsidR="00E33BDB" w:rsidRPr="00DF6BA3">
        <w:rPr>
          <w:rFonts w:ascii="Arial" w:hAnsi="Arial" w:cs="Arial"/>
          <w:sz w:val="22"/>
          <w:szCs w:val="22"/>
        </w:rPr>
        <w:t>dB</w:t>
      </w:r>
      <w:r w:rsidRPr="00DF6BA3">
        <w:rPr>
          <w:rFonts w:ascii="Arial" w:hAnsi="Arial" w:cs="Arial"/>
          <w:sz w:val="22"/>
          <w:szCs w:val="22"/>
        </w:rPr>
        <w:t>m per 100</w:t>
      </w:r>
      <w:r w:rsidR="00C35AE9">
        <w:rPr>
          <w:rFonts w:ascii="Arial" w:hAnsi="Arial" w:cs="Arial"/>
          <w:sz w:val="22"/>
          <w:szCs w:val="22"/>
        </w:rPr>
        <w:t xml:space="preserve"> </w:t>
      </w:r>
      <w:r w:rsidR="00E33BDB" w:rsidRPr="00DF6BA3">
        <w:rPr>
          <w:rFonts w:ascii="Arial" w:hAnsi="Arial" w:cs="Arial"/>
          <w:sz w:val="22"/>
          <w:szCs w:val="22"/>
        </w:rPr>
        <w:t>kHz</w:t>
      </w:r>
      <w:r w:rsidRPr="00DF6BA3">
        <w:rPr>
          <w:rFonts w:ascii="Arial" w:hAnsi="Arial" w:cs="Arial"/>
          <w:sz w:val="22"/>
          <w:szCs w:val="22"/>
        </w:rPr>
        <w:t xml:space="preserve"> within the band 30</w:t>
      </w:r>
      <w:r w:rsidR="00C35AE9">
        <w:rPr>
          <w:rFonts w:ascii="Arial" w:hAnsi="Arial" w:cs="Arial"/>
          <w:sz w:val="22"/>
          <w:szCs w:val="22"/>
        </w:rPr>
        <w:t xml:space="preserve"> </w:t>
      </w:r>
      <w:r w:rsidR="00E33BDB" w:rsidRPr="00DF6BA3">
        <w:rPr>
          <w:rFonts w:ascii="Arial" w:hAnsi="Arial" w:cs="Arial"/>
          <w:sz w:val="22"/>
          <w:szCs w:val="22"/>
        </w:rPr>
        <w:t>MHz</w:t>
      </w:r>
      <w:r w:rsidRPr="00DF6BA3">
        <w:rPr>
          <w:rFonts w:ascii="Arial" w:hAnsi="Arial" w:cs="Arial"/>
          <w:sz w:val="22"/>
          <w:szCs w:val="22"/>
        </w:rPr>
        <w:t xml:space="preserve"> to 1</w:t>
      </w:r>
      <w:r w:rsidR="00C35AE9">
        <w:rPr>
          <w:rFonts w:ascii="Arial" w:hAnsi="Arial" w:cs="Arial"/>
          <w:sz w:val="22"/>
          <w:szCs w:val="22"/>
        </w:rPr>
        <w:t xml:space="preserve"> </w:t>
      </w:r>
      <w:r w:rsidR="00E33BDB" w:rsidRPr="00DF6BA3">
        <w:rPr>
          <w:rFonts w:ascii="Arial" w:hAnsi="Arial" w:cs="Arial"/>
          <w:sz w:val="22"/>
          <w:szCs w:val="22"/>
        </w:rPr>
        <w:t>GHz</w:t>
      </w:r>
      <w:r w:rsidRPr="00DF6BA3">
        <w:rPr>
          <w:rFonts w:ascii="Arial" w:hAnsi="Arial" w:cs="Arial"/>
          <w:sz w:val="22"/>
          <w:szCs w:val="22"/>
        </w:rPr>
        <w:t>; and</w:t>
      </w:r>
    </w:p>
    <w:p w:rsidR="00647590" w:rsidRPr="00DF6BA3" w:rsidRDefault="00647590" w:rsidP="00DF6BA3">
      <w:pPr>
        <w:pBdr>
          <w:top w:val="single" w:sz="12" w:space="1" w:color="auto"/>
          <w:left w:val="single" w:sz="12" w:space="4" w:color="auto"/>
          <w:bottom w:val="single" w:sz="12" w:space="1" w:color="auto"/>
          <w:right w:val="single" w:sz="12" w:space="4" w:color="auto"/>
        </w:pBdr>
        <w:ind w:firstLine="720"/>
        <w:rPr>
          <w:rFonts w:ascii="Arial" w:hAnsi="Arial" w:cs="Arial"/>
          <w:sz w:val="22"/>
          <w:szCs w:val="22"/>
        </w:rPr>
      </w:pPr>
      <w:proofErr w:type="gramStart"/>
      <w:r w:rsidRPr="00DF6BA3">
        <w:rPr>
          <w:rFonts w:ascii="Arial" w:hAnsi="Arial" w:cs="Arial"/>
          <w:sz w:val="22"/>
          <w:szCs w:val="22"/>
        </w:rPr>
        <w:t>-47</w:t>
      </w:r>
      <w:r w:rsidR="00E33BDB" w:rsidRPr="00DF6BA3">
        <w:rPr>
          <w:rFonts w:ascii="Arial" w:hAnsi="Arial" w:cs="Arial"/>
          <w:sz w:val="22"/>
          <w:szCs w:val="22"/>
        </w:rPr>
        <w:t>dB</w:t>
      </w:r>
      <w:r w:rsidRPr="00DF6BA3">
        <w:rPr>
          <w:rFonts w:ascii="Arial" w:hAnsi="Arial" w:cs="Arial"/>
          <w:sz w:val="22"/>
          <w:szCs w:val="22"/>
        </w:rPr>
        <w:t>m per 1</w:t>
      </w:r>
      <w:r w:rsidR="00C35AE9">
        <w:rPr>
          <w:rFonts w:ascii="Arial" w:hAnsi="Arial" w:cs="Arial"/>
          <w:sz w:val="22"/>
          <w:szCs w:val="22"/>
        </w:rPr>
        <w:t xml:space="preserve"> </w:t>
      </w:r>
      <w:r w:rsidR="00E33BDB" w:rsidRPr="00DF6BA3">
        <w:rPr>
          <w:rFonts w:ascii="Arial" w:hAnsi="Arial" w:cs="Arial"/>
          <w:sz w:val="22"/>
          <w:szCs w:val="22"/>
        </w:rPr>
        <w:t>MHz</w:t>
      </w:r>
      <w:r w:rsidRPr="00DF6BA3">
        <w:rPr>
          <w:rFonts w:ascii="Arial" w:hAnsi="Arial" w:cs="Arial"/>
          <w:sz w:val="22"/>
          <w:szCs w:val="22"/>
        </w:rPr>
        <w:t xml:space="preserve"> within the band 1</w:t>
      </w:r>
      <w:r w:rsidR="00C35AE9">
        <w:rPr>
          <w:rFonts w:ascii="Arial" w:hAnsi="Arial" w:cs="Arial"/>
          <w:sz w:val="22"/>
          <w:szCs w:val="22"/>
        </w:rPr>
        <w:t xml:space="preserve"> </w:t>
      </w:r>
      <w:r w:rsidR="00E33BDB" w:rsidRPr="00DF6BA3">
        <w:rPr>
          <w:rFonts w:ascii="Arial" w:hAnsi="Arial" w:cs="Arial"/>
          <w:sz w:val="22"/>
          <w:szCs w:val="22"/>
        </w:rPr>
        <w:t>GHz</w:t>
      </w:r>
      <w:r w:rsidRPr="00DF6BA3">
        <w:rPr>
          <w:rFonts w:ascii="Arial" w:hAnsi="Arial" w:cs="Arial"/>
          <w:sz w:val="22"/>
          <w:szCs w:val="22"/>
        </w:rPr>
        <w:t xml:space="preserve"> to 12.5</w:t>
      </w:r>
      <w:r w:rsidR="00C35AE9">
        <w:rPr>
          <w:rFonts w:ascii="Arial" w:hAnsi="Arial" w:cs="Arial"/>
          <w:sz w:val="22"/>
          <w:szCs w:val="22"/>
        </w:rPr>
        <w:t xml:space="preserve"> </w:t>
      </w:r>
      <w:r w:rsidR="00E33BDB" w:rsidRPr="00DF6BA3">
        <w:rPr>
          <w:rFonts w:ascii="Arial" w:hAnsi="Arial" w:cs="Arial"/>
          <w:sz w:val="22"/>
          <w:szCs w:val="22"/>
        </w:rPr>
        <w:t>GHz</w:t>
      </w:r>
      <w:r w:rsidRPr="00DF6BA3">
        <w:rPr>
          <w:rFonts w:ascii="Arial" w:hAnsi="Arial" w:cs="Arial"/>
          <w:sz w:val="22"/>
          <w:szCs w:val="22"/>
        </w:rPr>
        <w:t>.</w:t>
      </w:r>
      <w:proofErr w:type="gramEnd"/>
    </w:p>
    <w:p w:rsidR="00444F1F" w:rsidRPr="00DF6BA3" w:rsidRDefault="00444F1F" w:rsidP="00DF6BA3">
      <w:pPr>
        <w:pBdr>
          <w:top w:val="single" w:sz="12" w:space="1" w:color="auto"/>
          <w:left w:val="single" w:sz="12" w:space="4" w:color="auto"/>
          <w:bottom w:val="single" w:sz="12" w:space="1" w:color="auto"/>
          <w:right w:val="single" w:sz="12" w:space="4" w:color="auto"/>
        </w:pBdr>
        <w:ind w:firstLine="720"/>
        <w:rPr>
          <w:rFonts w:ascii="Arial" w:hAnsi="Arial" w:cs="Arial"/>
          <w:sz w:val="22"/>
          <w:szCs w:val="22"/>
        </w:rPr>
      </w:pPr>
    </w:p>
    <w:p w:rsidR="00647590" w:rsidRPr="00DF6BA3" w:rsidRDefault="00647590" w:rsidP="00DF6BA3">
      <w:pPr>
        <w:rPr>
          <w:rFonts w:ascii="Arial" w:hAnsi="Arial" w:cs="Arial"/>
          <w:sz w:val="22"/>
          <w:szCs w:val="22"/>
        </w:rPr>
      </w:pPr>
    </w:p>
    <w:p w:rsidR="00647590" w:rsidRPr="00DF6BA3" w:rsidRDefault="000A4A7C" w:rsidP="00DF6BA3">
      <w:pPr>
        <w:rPr>
          <w:rFonts w:ascii="Arial" w:hAnsi="Arial" w:cs="Arial"/>
          <w:sz w:val="22"/>
          <w:szCs w:val="22"/>
        </w:rPr>
      </w:pPr>
      <w:r w:rsidRPr="00DF6BA3">
        <w:rPr>
          <w:rFonts w:ascii="Arial" w:hAnsi="Arial" w:cs="Arial"/>
          <w:sz w:val="22"/>
          <w:szCs w:val="22"/>
        </w:rPr>
        <w:t>The limits proposed are</w:t>
      </w:r>
      <w:r w:rsidR="00647590" w:rsidRPr="00DF6BA3">
        <w:rPr>
          <w:rFonts w:ascii="Arial" w:hAnsi="Arial" w:cs="Arial"/>
          <w:sz w:val="22"/>
          <w:szCs w:val="22"/>
        </w:rPr>
        <w:t xml:space="preserve"> comparable with limits set out in the 2</w:t>
      </w:r>
      <w:r w:rsidR="00C35AE9">
        <w:rPr>
          <w:rFonts w:ascii="Arial" w:hAnsi="Arial" w:cs="Arial"/>
          <w:sz w:val="22"/>
          <w:szCs w:val="22"/>
        </w:rPr>
        <w:t xml:space="preserve"> </w:t>
      </w:r>
      <w:r w:rsidR="00E33BDB" w:rsidRPr="00DF6BA3">
        <w:rPr>
          <w:rFonts w:ascii="Arial" w:hAnsi="Arial" w:cs="Arial"/>
          <w:sz w:val="22"/>
          <w:szCs w:val="22"/>
        </w:rPr>
        <w:t>GHz</w:t>
      </w:r>
      <w:r w:rsidR="00647590" w:rsidRPr="00DF6BA3">
        <w:rPr>
          <w:rFonts w:ascii="Arial" w:hAnsi="Arial" w:cs="Arial"/>
          <w:sz w:val="22"/>
          <w:szCs w:val="22"/>
        </w:rPr>
        <w:t xml:space="preserve"> and 3.4</w:t>
      </w:r>
      <w:r w:rsidR="009B55EE">
        <w:rPr>
          <w:rFonts w:ascii="Arial" w:hAnsi="Arial" w:cs="Arial"/>
          <w:sz w:val="22"/>
          <w:szCs w:val="22"/>
        </w:rPr>
        <w:t> </w:t>
      </w:r>
      <w:r w:rsidR="00E33BDB" w:rsidRPr="00DF6BA3">
        <w:rPr>
          <w:rFonts w:ascii="Arial" w:hAnsi="Arial" w:cs="Arial"/>
          <w:sz w:val="22"/>
          <w:szCs w:val="22"/>
        </w:rPr>
        <w:t>GHz</w:t>
      </w:r>
      <w:r w:rsidR="00647590" w:rsidRPr="00DF6BA3">
        <w:rPr>
          <w:rFonts w:ascii="Arial" w:hAnsi="Arial" w:cs="Arial"/>
          <w:sz w:val="22"/>
          <w:szCs w:val="22"/>
        </w:rPr>
        <w:t xml:space="preserve"> spectrum licences.</w:t>
      </w:r>
      <w:r w:rsidR="00285262" w:rsidRPr="00DF6BA3">
        <w:rPr>
          <w:rFonts w:ascii="Arial" w:hAnsi="Arial" w:cs="Arial"/>
          <w:sz w:val="22"/>
          <w:szCs w:val="22"/>
        </w:rPr>
        <w:t xml:space="preserve"> </w:t>
      </w:r>
      <w:r w:rsidR="00647590" w:rsidRPr="00DF6BA3">
        <w:rPr>
          <w:rFonts w:ascii="Arial" w:hAnsi="Arial" w:cs="Arial"/>
          <w:sz w:val="22"/>
          <w:szCs w:val="22"/>
        </w:rPr>
        <w:t>The limits for out-of band-emission limits in the band have not been matched to the level of the spurious emissions.</w:t>
      </w:r>
      <w:r w:rsidR="00285262" w:rsidRPr="00DF6BA3">
        <w:rPr>
          <w:rFonts w:ascii="Arial" w:hAnsi="Arial" w:cs="Arial"/>
          <w:sz w:val="22"/>
          <w:szCs w:val="22"/>
        </w:rPr>
        <w:t xml:space="preserve"> </w:t>
      </w:r>
      <w:r w:rsidR="00647590" w:rsidRPr="00DF6BA3">
        <w:rPr>
          <w:rFonts w:ascii="Arial" w:hAnsi="Arial" w:cs="Arial"/>
          <w:sz w:val="22"/>
          <w:szCs w:val="22"/>
        </w:rPr>
        <w:t>The emission levels are based on the less demanding of the limits for fixed services and for mobile services specified in CEPT/ERC/REC 74-01.</w:t>
      </w:r>
    </w:p>
    <w:p w:rsidR="00951DBD" w:rsidRPr="00DF6BA3" w:rsidRDefault="00951DBD" w:rsidP="00DF6BA3">
      <w:pPr>
        <w:rPr>
          <w:rFonts w:ascii="Arial" w:hAnsi="Arial" w:cs="Arial"/>
          <w:sz w:val="22"/>
          <w:szCs w:val="22"/>
        </w:rPr>
      </w:pPr>
    </w:p>
    <w:sectPr w:rsidR="00951DBD" w:rsidRPr="00DF6BA3" w:rsidSect="00736CCB">
      <w:footerReference w:type="default" r:id="rId14"/>
      <w:pgSz w:w="11906" w:h="16838"/>
      <w:pgMar w:top="851" w:right="2834" w:bottom="144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D73" w:rsidRDefault="00D93D73" w:rsidP="00647590">
      <w:r>
        <w:separator/>
      </w:r>
    </w:p>
  </w:endnote>
  <w:endnote w:type="continuationSeparator" w:id="0">
    <w:p w:rsidR="00D93D73" w:rsidRDefault="00D93D73" w:rsidP="00647590">
      <w:r>
        <w:continuationSeparator/>
      </w:r>
    </w:p>
  </w:endnote>
</w:endnotes>
</file>

<file path=word/fontTable.xml><?xml version="1.0" encoding="utf-8"?>
<w:fonts xmlns:r="http://schemas.openxmlformats.org/officeDocument/2006/relationships" xmlns:w="http://schemas.openxmlformats.org/wordprocessingml/2006/main">
  <w:font w:name="Adobe Caslon Pro">
    <w:panose1 w:val="0205050205050A020403"/>
    <w:charset w:val="00"/>
    <w:family w:val="roman"/>
    <w:notTrueType/>
    <w:pitch w:val="variable"/>
    <w:sig w:usb0="00000007" w:usb1="00000001"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NeueLT Std">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D73" w:rsidRPr="000E5ED8" w:rsidRDefault="00D93D73" w:rsidP="00C35AE9">
    <w:pPr>
      <w:pStyle w:val="Footer"/>
      <w:ind w:right="28"/>
      <w:jc w:val="right"/>
      <w:rPr>
        <w:rFonts w:ascii="Arial" w:hAnsi="Arial" w:cs="Arial"/>
        <w:color w:val="505050"/>
        <w:sz w:val="20"/>
        <w:szCs w:val="20"/>
      </w:rPr>
    </w:pPr>
    <w:r w:rsidRPr="000E5ED8">
      <w:rPr>
        <w:rFonts w:ascii="Arial" w:hAnsi="Arial" w:cs="Arial"/>
        <w:color w:val="505050"/>
        <w:sz w:val="20"/>
        <w:szCs w:val="20"/>
      </w:rPr>
      <w:t xml:space="preserve">   </w:t>
    </w:r>
    <w:r w:rsidRPr="000E5ED8">
      <w:rPr>
        <w:rFonts w:ascii="Arial" w:hAnsi="Arial" w:cs="Arial"/>
        <w:b/>
        <w:noProof/>
        <w:color w:val="505050"/>
        <w:spacing w:val="-16"/>
        <w:sz w:val="20"/>
        <w:szCs w:val="20"/>
      </w:rPr>
      <w:t>a</w:t>
    </w:r>
    <w:r w:rsidRPr="000E5ED8">
      <w:rPr>
        <w:rFonts w:ascii="Arial" w:hAnsi="Arial" w:cs="Arial"/>
        <w:b/>
        <w:noProof/>
        <w:color w:val="505050"/>
        <w:spacing w:val="-15"/>
        <w:sz w:val="20"/>
        <w:szCs w:val="20"/>
      </w:rPr>
      <w:t>c</w:t>
    </w:r>
    <w:r w:rsidRPr="000E5ED8">
      <w:rPr>
        <w:rFonts w:ascii="Arial" w:hAnsi="Arial" w:cs="Arial"/>
        <w:b/>
        <w:noProof/>
        <w:color w:val="505050"/>
        <w:spacing w:val="-16"/>
        <w:sz w:val="20"/>
        <w:szCs w:val="20"/>
      </w:rPr>
      <w:t>m</w:t>
    </w:r>
    <w:r w:rsidRPr="000E5ED8">
      <w:rPr>
        <w:rFonts w:ascii="Arial" w:hAnsi="Arial" w:cs="Arial"/>
        <w:b/>
        <w:noProof/>
        <w:color w:val="505050"/>
        <w:spacing w:val="-14"/>
        <w:sz w:val="20"/>
        <w:szCs w:val="20"/>
      </w:rPr>
      <w:t>a</w:t>
    </w:r>
    <w:r w:rsidRPr="000E5ED8">
      <w:rPr>
        <w:rFonts w:ascii="Arial" w:hAnsi="Arial" w:cs="Arial"/>
        <w:color w:val="505050"/>
        <w:sz w:val="20"/>
        <w:szCs w:val="20"/>
      </w:rPr>
      <w:t xml:space="preserve">   |   </w:t>
    </w:r>
    <w:r w:rsidR="00830C46" w:rsidRPr="000E5ED8">
      <w:rPr>
        <w:rFonts w:ascii="Arial" w:hAnsi="Arial" w:cs="Arial"/>
        <w:color w:val="505050"/>
        <w:sz w:val="20"/>
        <w:szCs w:val="20"/>
      </w:rPr>
      <w:fldChar w:fldCharType="begin"/>
    </w:r>
    <w:r w:rsidRPr="000E5ED8">
      <w:rPr>
        <w:rFonts w:ascii="Arial" w:hAnsi="Arial" w:cs="Arial"/>
        <w:color w:val="505050"/>
        <w:sz w:val="20"/>
        <w:szCs w:val="20"/>
      </w:rPr>
      <w:instrText xml:space="preserve"> PAGE  \* Arabic  \* MERGEFORMAT </w:instrText>
    </w:r>
    <w:r w:rsidR="00830C46" w:rsidRPr="000E5ED8">
      <w:rPr>
        <w:rFonts w:ascii="Arial" w:hAnsi="Arial" w:cs="Arial"/>
        <w:color w:val="505050"/>
        <w:sz w:val="20"/>
        <w:szCs w:val="20"/>
      </w:rPr>
      <w:fldChar w:fldCharType="separate"/>
    </w:r>
    <w:r w:rsidR="00235C26">
      <w:rPr>
        <w:rFonts w:ascii="Arial" w:hAnsi="Arial" w:cs="Arial"/>
        <w:noProof/>
        <w:color w:val="505050"/>
        <w:sz w:val="20"/>
        <w:szCs w:val="20"/>
      </w:rPr>
      <w:t>16</w:t>
    </w:r>
    <w:r w:rsidR="00830C46" w:rsidRPr="000E5ED8">
      <w:rPr>
        <w:rFonts w:ascii="Arial" w:hAnsi="Arial" w:cs="Arial"/>
        <w:color w:val="505050"/>
        <w:sz w:val="20"/>
        <w:szCs w:val="20"/>
      </w:rPr>
      <w:fldChar w:fldCharType="end"/>
    </w:r>
  </w:p>
  <w:p w:rsidR="00D93D73" w:rsidRDefault="00D93D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D73" w:rsidRDefault="00D93D73" w:rsidP="00647590">
      <w:r>
        <w:separator/>
      </w:r>
    </w:p>
  </w:footnote>
  <w:footnote w:type="continuationSeparator" w:id="0">
    <w:p w:rsidR="00D93D73" w:rsidRDefault="00D93D73" w:rsidP="00647590">
      <w:r>
        <w:continuationSeparator/>
      </w:r>
    </w:p>
  </w:footnote>
  <w:footnote w:id="1">
    <w:p w:rsidR="00D93D73" w:rsidRPr="00D93D73" w:rsidRDefault="00D93D73" w:rsidP="006A0CD9">
      <w:pPr>
        <w:pStyle w:val="FootnoteText"/>
        <w:rPr>
          <w:rFonts w:ascii="Arial" w:hAnsi="Arial" w:cs="Arial"/>
          <w:sz w:val="18"/>
          <w:szCs w:val="18"/>
        </w:rPr>
      </w:pPr>
      <w:r w:rsidRPr="00D93D73">
        <w:rPr>
          <w:rStyle w:val="FootnoteReference"/>
          <w:rFonts w:ascii="Arial" w:hAnsi="Arial" w:cs="Arial"/>
          <w:sz w:val="18"/>
          <w:szCs w:val="18"/>
        </w:rPr>
        <w:footnoteRef/>
      </w:r>
      <w:r w:rsidRPr="00D93D73">
        <w:rPr>
          <w:rFonts w:ascii="Arial" w:hAnsi="Arial" w:cs="Arial"/>
          <w:sz w:val="18"/>
          <w:szCs w:val="18"/>
        </w:rPr>
        <w:t xml:space="preserve"> </w:t>
      </w:r>
      <w:hyperlink r:id="rId1" w:history="1">
        <w:r w:rsidRPr="00D93D73">
          <w:rPr>
            <w:rStyle w:val="Hyperlink"/>
            <w:rFonts w:ascii="Arial" w:hAnsi="Arial" w:cs="Arial"/>
            <w:sz w:val="18"/>
            <w:szCs w:val="18"/>
          </w:rPr>
          <w:t>http://www.dbcde.gov.au/consultation_and_submissions/digital_dividend</w:t>
        </w:r>
      </w:hyperlink>
    </w:p>
  </w:footnote>
  <w:footnote w:id="2">
    <w:p w:rsidR="00D93D73" w:rsidRPr="00D93D73" w:rsidRDefault="00D93D73">
      <w:pPr>
        <w:pStyle w:val="FootnoteText"/>
        <w:rPr>
          <w:rFonts w:ascii="Arial" w:hAnsi="Arial" w:cs="Arial"/>
          <w:sz w:val="18"/>
          <w:szCs w:val="18"/>
        </w:rPr>
      </w:pPr>
      <w:r w:rsidRPr="00D93D73">
        <w:rPr>
          <w:rStyle w:val="FootnoteReference"/>
          <w:rFonts w:ascii="Arial" w:hAnsi="Arial" w:cs="Arial"/>
          <w:sz w:val="18"/>
          <w:szCs w:val="18"/>
        </w:rPr>
        <w:footnoteRef/>
      </w:r>
      <w:r w:rsidRPr="00D93D73">
        <w:rPr>
          <w:rFonts w:ascii="Arial" w:hAnsi="Arial" w:cs="Arial"/>
          <w:sz w:val="18"/>
          <w:szCs w:val="18"/>
        </w:rPr>
        <w:t xml:space="preserve"> </w:t>
      </w:r>
      <w:hyperlink r:id="rId2" w:history="1">
        <w:r w:rsidRPr="00D93D73">
          <w:rPr>
            <w:rStyle w:val="Hyperlink"/>
            <w:rFonts w:ascii="Arial" w:hAnsi="Arial" w:cs="Arial"/>
            <w:sz w:val="18"/>
            <w:szCs w:val="18"/>
          </w:rPr>
          <w:t>http://www.apt.int/AWF-RECREP</w:t>
        </w:r>
      </w:hyperlink>
    </w:p>
  </w:footnote>
  <w:footnote w:id="3">
    <w:p w:rsidR="00D93D73" w:rsidRPr="00D93D73" w:rsidRDefault="00D93D73">
      <w:pPr>
        <w:pStyle w:val="FootnoteText"/>
        <w:rPr>
          <w:rFonts w:ascii="Arial" w:hAnsi="Arial" w:cs="Arial"/>
          <w:sz w:val="18"/>
          <w:szCs w:val="18"/>
        </w:rPr>
      </w:pPr>
      <w:r w:rsidRPr="00D93D73">
        <w:rPr>
          <w:rStyle w:val="FootnoteReference"/>
          <w:rFonts w:ascii="Arial" w:hAnsi="Arial" w:cs="Arial"/>
          <w:sz w:val="18"/>
          <w:szCs w:val="18"/>
        </w:rPr>
        <w:footnoteRef/>
      </w:r>
      <w:r w:rsidRPr="00D93D73">
        <w:rPr>
          <w:rFonts w:ascii="Arial" w:hAnsi="Arial" w:cs="Arial"/>
          <w:sz w:val="18"/>
          <w:szCs w:val="18"/>
        </w:rPr>
        <w:t xml:space="preserve"> A second paper will look at system and propagation modelling leading to the development of the determination of unacceptable interference. A third paper will look at the interference protection to and from systems operating in adjacent spectrum.</w:t>
      </w:r>
    </w:p>
  </w:footnote>
  <w:footnote w:id="4">
    <w:p w:rsidR="00D93D73" w:rsidRPr="009B55EE" w:rsidRDefault="00D93D73">
      <w:pPr>
        <w:pStyle w:val="FootnoteText"/>
        <w:rPr>
          <w:rFonts w:ascii="Arial" w:hAnsi="Arial" w:cs="Arial"/>
          <w:sz w:val="18"/>
          <w:szCs w:val="18"/>
        </w:rPr>
      </w:pPr>
      <w:r w:rsidRPr="009B55EE">
        <w:rPr>
          <w:rStyle w:val="FootnoteReference"/>
          <w:rFonts w:ascii="Arial" w:hAnsi="Arial" w:cs="Arial"/>
          <w:sz w:val="18"/>
          <w:szCs w:val="18"/>
        </w:rPr>
        <w:footnoteRef/>
      </w:r>
      <w:r w:rsidRPr="009B55EE">
        <w:rPr>
          <w:rFonts w:ascii="Arial" w:hAnsi="Arial" w:cs="Arial"/>
          <w:sz w:val="18"/>
          <w:szCs w:val="18"/>
        </w:rPr>
        <w:t xml:space="preserve"> 3GPP TS36.101 v10.3.0</w:t>
      </w:r>
    </w:p>
  </w:footnote>
  <w:footnote w:id="5">
    <w:p w:rsidR="00D93D73" w:rsidRPr="009B55EE" w:rsidRDefault="00D93D73">
      <w:pPr>
        <w:pStyle w:val="FootnoteText"/>
        <w:rPr>
          <w:sz w:val="18"/>
          <w:szCs w:val="18"/>
        </w:rPr>
      </w:pPr>
      <w:r w:rsidRPr="009B55EE">
        <w:rPr>
          <w:rStyle w:val="FootnoteReference"/>
          <w:rFonts w:ascii="Arial" w:hAnsi="Arial" w:cs="Arial"/>
          <w:sz w:val="18"/>
          <w:szCs w:val="18"/>
        </w:rPr>
        <w:footnoteRef/>
      </w:r>
      <w:r w:rsidRPr="009B55EE">
        <w:rPr>
          <w:rFonts w:ascii="Arial" w:hAnsi="Arial" w:cs="Arial"/>
          <w:sz w:val="18"/>
          <w:szCs w:val="18"/>
        </w:rPr>
        <w:t xml:space="preserve"> The current proposal for out-of-band emissions within the ongoing 800 MHz TLG discussion include values of: </w:t>
      </w:r>
      <w:r w:rsidRPr="009B55EE">
        <w:rPr>
          <w:rFonts w:ascii="Arial" w:hAnsi="Arial" w:cs="Arial"/>
          <w:sz w:val="18"/>
          <w:szCs w:val="18"/>
        </w:rPr>
        <w:br/>
        <w:t xml:space="preserve"> -21.5dBm/30kHz (-6.3dBm/MHz) for offsets greater than 5 MHz and; -30dBm/30kHz (-14.8dBm/MHz) for offsets greater than 10 MHz.</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A0AF4"/>
    <w:multiLevelType w:val="hybridMultilevel"/>
    <w:tmpl w:val="E85EF78A"/>
    <w:lvl w:ilvl="0" w:tplc="6DD26B38">
      <w:start w:val="1"/>
      <w:numFmt w:val="bullet"/>
      <w:lvlText w:val="&gt;"/>
      <w:lvlJc w:val="left"/>
      <w:pPr>
        <w:ind w:left="1440" w:hanging="360"/>
      </w:pPr>
      <w:rPr>
        <w:rFonts w:ascii="Adobe Caslon Pro" w:hAnsi="Adobe Caslon Pro"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nsid w:val="146A6829"/>
    <w:multiLevelType w:val="hybridMultilevel"/>
    <w:tmpl w:val="CE1CB1A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2C0920F9"/>
    <w:multiLevelType w:val="hybridMultilevel"/>
    <w:tmpl w:val="B656781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31275F48"/>
    <w:multiLevelType w:val="multilevel"/>
    <w:tmpl w:val="BE0EBD5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0"/>
      <w:lvlText w:val="%1.%2.%3"/>
      <w:lvlJc w:val="left"/>
      <w:pPr>
        <w:tabs>
          <w:tab w:val="num" w:pos="720"/>
        </w:tabs>
        <w:ind w:left="720" w:hanging="720"/>
      </w:pPr>
      <w:rPr>
        <w:rFonts w:hint="default"/>
      </w:rPr>
    </w:lvl>
    <w:lvl w:ilvl="3">
      <w:start w:val="1"/>
      <w:numFmt w:val="decimal"/>
      <w:lvlRestart w:val="1"/>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4064010C"/>
    <w:multiLevelType w:val="hybridMultilevel"/>
    <w:tmpl w:val="CC046AD6"/>
    <w:lvl w:ilvl="0" w:tplc="6DD26B38">
      <w:start w:val="1"/>
      <w:numFmt w:val="bullet"/>
      <w:lvlText w:val="&gt;"/>
      <w:lvlJc w:val="left"/>
      <w:pPr>
        <w:ind w:left="1440" w:hanging="360"/>
      </w:pPr>
      <w:rPr>
        <w:rFonts w:ascii="Adobe Caslon Pro" w:hAnsi="Adobe Caslon Pro"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4AC071AE"/>
    <w:multiLevelType w:val="hybridMultilevel"/>
    <w:tmpl w:val="CBD8DBA2"/>
    <w:lvl w:ilvl="0" w:tplc="6DD26B38">
      <w:start w:val="1"/>
      <w:numFmt w:val="bullet"/>
      <w:lvlText w:val="&gt;"/>
      <w:lvlJc w:val="left"/>
      <w:pPr>
        <w:ind w:left="720" w:hanging="360"/>
      </w:pPr>
      <w:rPr>
        <w:rFonts w:ascii="Adobe Caslon Pro" w:hAnsi="Adobe Caslon Pro"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F0B2DB3"/>
    <w:multiLevelType w:val="hybridMultilevel"/>
    <w:tmpl w:val="D854862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nsid w:val="58712A87"/>
    <w:multiLevelType w:val="hybridMultilevel"/>
    <w:tmpl w:val="5E22D576"/>
    <w:lvl w:ilvl="0" w:tplc="6D1A05E8">
      <w:start w:val="1"/>
      <w:numFmt w:val="bullet"/>
      <w:lvlText w:val=""/>
      <w:lvlJc w:val="left"/>
      <w:pPr>
        <w:tabs>
          <w:tab w:val="num" w:pos="720"/>
        </w:tabs>
        <w:ind w:left="720" w:hanging="360"/>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5C9D4706"/>
    <w:multiLevelType w:val="hybridMultilevel"/>
    <w:tmpl w:val="E952764A"/>
    <w:lvl w:ilvl="0" w:tplc="6DD26B38">
      <w:start w:val="1"/>
      <w:numFmt w:val="bullet"/>
      <w:lvlText w:val="&gt;"/>
      <w:lvlJc w:val="left"/>
      <w:pPr>
        <w:tabs>
          <w:tab w:val="num" w:pos="720"/>
        </w:tabs>
        <w:ind w:left="720" w:hanging="360"/>
      </w:pPr>
      <w:rPr>
        <w:rFonts w:ascii="Adobe Caslon Pro" w:hAnsi="Adobe Caslon Pro"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77BD6FD0"/>
    <w:multiLevelType w:val="hybridMultilevel"/>
    <w:tmpl w:val="BD1673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2"/>
  </w:num>
  <w:num w:numId="4">
    <w:abstractNumId w:val="3"/>
  </w:num>
  <w:num w:numId="5">
    <w:abstractNumId w:val="6"/>
  </w:num>
  <w:num w:numId="6">
    <w:abstractNumId w:val="9"/>
  </w:num>
  <w:num w:numId="7">
    <w:abstractNumId w:val="4"/>
  </w:num>
  <w:num w:numId="8">
    <w:abstractNumId w:val="0"/>
  </w:num>
  <w:num w:numId="9">
    <w:abstractNumId w:va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47590"/>
    <w:rsid w:val="000003C6"/>
    <w:rsid w:val="00006918"/>
    <w:rsid w:val="0002297F"/>
    <w:rsid w:val="000278FB"/>
    <w:rsid w:val="00043DA1"/>
    <w:rsid w:val="00056335"/>
    <w:rsid w:val="000575B5"/>
    <w:rsid w:val="00061700"/>
    <w:rsid w:val="0006308C"/>
    <w:rsid w:val="00065E11"/>
    <w:rsid w:val="000674AE"/>
    <w:rsid w:val="000702A7"/>
    <w:rsid w:val="0007117D"/>
    <w:rsid w:val="00080A35"/>
    <w:rsid w:val="00081056"/>
    <w:rsid w:val="00081F4E"/>
    <w:rsid w:val="00087F59"/>
    <w:rsid w:val="000908BE"/>
    <w:rsid w:val="00094115"/>
    <w:rsid w:val="00097420"/>
    <w:rsid w:val="00097469"/>
    <w:rsid w:val="000A4995"/>
    <w:rsid w:val="000A4A7C"/>
    <w:rsid w:val="000D0045"/>
    <w:rsid w:val="000D6B2B"/>
    <w:rsid w:val="000E2B71"/>
    <w:rsid w:val="000E2DF0"/>
    <w:rsid w:val="000E7AC9"/>
    <w:rsid w:val="000F4E69"/>
    <w:rsid w:val="00101D65"/>
    <w:rsid w:val="00116393"/>
    <w:rsid w:val="001225C4"/>
    <w:rsid w:val="001229FE"/>
    <w:rsid w:val="00123585"/>
    <w:rsid w:val="00132CD9"/>
    <w:rsid w:val="001330BF"/>
    <w:rsid w:val="00134928"/>
    <w:rsid w:val="001351C3"/>
    <w:rsid w:val="00135E88"/>
    <w:rsid w:val="001372D5"/>
    <w:rsid w:val="00140BCF"/>
    <w:rsid w:val="00145153"/>
    <w:rsid w:val="00163BB0"/>
    <w:rsid w:val="00167DFC"/>
    <w:rsid w:val="00172B74"/>
    <w:rsid w:val="001740CB"/>
    <w:rsid w:val="00183132"/>
    <w:rsid w:val="00194F36"/>
    <w:rsid w:val="00195B28"/>
    <w:rsid w:val="001A371A"/>
    <w:rsid w:val="001A3A4B"/>
    <w:rsid w:val="001B68F0"/>
    <w:rsid w:val="001C0D06"/>
    <w:rsid w:val="001C13E8"/>
    <w:rsid w:val="001D1403"/>
    <w:rsid w:val="001D1DE9"/>
    <w:rsid w:val="001D3F0B"/>
    <w:rsid w:val="001D419A"/>
    <w:rsid w:val="001D6D62"/>
    <w:rsid w:val="001E0D67"/>
    <w:rsid w:val="001E218A"/>
    <w:rsid w:val="001E276D"/>
    <w:rsid w:val="001E4755"/>
    <w:rsid w:val="001E657D"/>
    <w:rsid w:val="001F0FB4"/>
    <w:rsid w:val="001F5FF8"/>
    <w:rsid w:val="00204243"/>
    <w:rsid w:val="002050C3"/>
    <w:rsid w:val="0020646E"/>
    <w:rsid w:val="002071C4"/>
    <w:rsid w:val="00210BA5"/>
    <w:rsid w:val="00220A00"/>
    <w:rsid w:val="00225A03"/>
    <w:rsid w:val="0023141C"/>
    <w:rsid w:val="00232F3A"/>
    <w:rsid w:val="0023343C"/>
    <w:rsid w:val="002335DE"/>
    <w:rsid w:val="00234A5E"/>
    <w:rsid w:val="00235C26"/>
    <w:rsid w:val="00241E5E"/>
    <w:rsid w:val="00257A75"/>
    <w:rsid w:val="00257CE2"/>
    <w:rsid w:val="00260C6E"/>
    <w:rsid w:val="00264495"/>
    <w:rsid w:val="00265513"/>
    <w:rsid w:val="00270659"/>
    <w:rsid w:val="00275BDA"/>
    <w:rsid w:val="00277F05"/>
    <w:rsid w:val="00283614"/>
    <w:rsid w:val="00285262"/>
    <w:rsid w:val="00290109"/>
    <w:rsid w:val="002912B6"/>
    <w:rsid w:val="002A7D84"/>
    <w:rsid w:val="002B0B48"/>
    <w:rsid w:val="002B39D4"/>
    <w:rsid w:val="002B61A2"/>
    <w:rsid w:val="002D491A"/>
    <w:rsid w:val="002D4B5B"/>
    <w:rsid w:val="002E0C11"/>
    <w:rsid w:val="002E6B10"/>
    <w:rsid w:val="002F0915"/>
    <w:rsid w:val="002F6804"/>
    <w:rsid w:val="00300BCE"/>
    <w:rsid w:val="00311C37"/>
    <w:rsid w:val="003273BD"/>
    <w:rsid w:val="00327646"/>
    <w:rsid w:val="00327945"/>
    <w:rsid w:val="00334719"/>
    <w:rsid w:val="00336826"/>
    <w:rsid w:val="0034663D"/>
    <w:rsid w:val="00346B9B"/>
    <w:rsid w:val="00356D7E"/>
    <w:rsid w:val="003601D3"/>
    <w:rsid w:val="00372036"/>
    <w:rsid w:val="0037570F"/>
    <w:rsid w:val="00384057"/>
    <w:rsid w:val="00385DD7"/>
    <w:rsid w:val="003864EE"/>
    <w:rsid w:val="0039636E"/>
    <w:rsid w:val="003A0FAC"/>
    <w:rsid w:val="003A204B"/>
    <w:rsid w:val="003A51C7"/>
    <w:rsid w:val="003A6378"/>
    <w:rsid w:val="003B5620"/>
    <w:rsid w:val="003C6247"/>
    <w:rsid w:val="003D4299"/>
    <w:rsid w:val="003D5CFF"/>
    <w:rsid w:val="003E0F2E"/>
    <w:rsid w:val="003E1E40"/>
    <w:rsid w:val="003E54BB"/>
    <w:rsid w:val="003E7DEA"/>
    <w:rsid w:val="003F2551"/>
    <w:rsid w:val="003F5095"/>
    <w:rsid w:val="0040612E"/>
    <w:rsid w:val="00412E07"/>
    <w:rsid w:val="00413B12"/>
    <w:rsid w:val="004151A4"/>
    <w:rsid w:val="0042266B"/>
    <w:rsid w:val="004228CC"/>
    <w:rsid w:val="004333C8"/>
    <w:rsid w:val="00436843"/>
    <w:rsid w:val="00442DE8"/>
    <w:rsid w:val="00443477"/>
    <w:rsid w:val="00444F1F"/>
    <w:rsid w:val="0045456F"/>
    <w:rsid w:val="004552B8"/>
    <w:rsid w:val="0046163B"/>
    <w:rsid w:val="00465CD5"/>
    <w:rsid w:val="004660FA"/>
    <w:rsid w:val="00466A11"/>
    <w:rsid w:val="00472744"/>
    <w:rsid w:val="004732D2"/>
    <w:rsid w:val="00473C65"/>
    <w:rsid w:val="00475C27"/>
    <w:rsid w:val="00483ECE"/>
    <w:rsid w:val="00486142"/>
    <w:rsid w:val="00486884"/>
    <w:rsid w:val="004874C1"/>
    <w:rsid w:val="0048794D"/>
    <w:rsid w:val="00494407"/>
    <w:rsid w:val="00497EE0"/>
    <w:rsid w:val="004A3C98"/>
    <w:rsid w:val="004A4BD0"/>
    <w:rsid w:val="004A5F8B"/>
    <w:rsid w:val="004A64F6"/>
    <w:rsid w:val="004B3862"/>
    <w:rsid w:val="004B3A66"/>
    <w:rsid w:val="004B620D"/>
    <w:rsid w:val="004B7BB5"/>
    <w:rsid w:val="004C171C"/>
    <w:rsid w:val="004C383A"/>
    <w:rsid w:val="004C7208"/>
    <w:rsid w:val="004D0640"/>
    <w:rsid w:val="004D1F4A"/>
    <w:rsid w:val="004D2DE0"/>
    <w:rsid w:val="004F58B3"/>
    <w:rsid w:val="0050080D"/>
    <w:rsid w:val="00500DE9"/>
    <w:rsid w:val="00515A36"/>
    <w:rsid w:val="00515FC2"/>
    <w:rsid w:val="00520601"/>
    <w:rsid w:val="005365B8"/>
    <w:rsid w:val="00537452"/>
    <w:rsid w:val="005406B7"/>
    <w:rsid w:val="0054492F"/>
    <w:rsid w:val="00545780"/>
    <w:rsid w:val="00551768"/>
    <w:rsid w:val="0055361C"/>
    <w:rsid w:val="00557E6E"/>
    <w:rsid w:val="00557E90"/>
    <w:rsid w:val="00574F75"/>
    <w:rsid w:val="005916F4"/>
    <w:rsid w:val="0059483E"/>
    <w:rsid w:val="005A084F"/>
    <w:rsid w:val="005A0DFA"/>
    <w:rsid w:val="005A2BC2"/>
    <w:rsid w:val="005A63DF"/>
    <w:rsid w:val="005A659D"/>
    <w:rsid w:val="005A6C7B"/>
    <w:rsid w:val="005A7FA9"/>
    <w:rsid w:val="005B09C7"/>
    <w:rsid w:val="005B4AC0"/>
    <w:rsid w:val="005C2F32"/>
    <w:rsid w:val="005C5EEB"/>
    <w:rsid w:val="005C76AA"/>
    <w:rsid w:val="005E2952"/>
    <w:rsid w:val="005E4BD7"/>
    <w:rsid w:val="005E7F18"/>
    <w:rsid w:val="005F0915"/>
    <w:rsid w:val="005F7A8F"/>
    <w:rsid w:val="00603705"/>
    <w:rsid w:val="00603C06"/>
    <w:rsid w:val="00605153"/>
    <w:rsid w:val="00605A16"/>
    <w:rsid w:val="00606264"/>
    <w:rsid w:val="006113FF"/>
    <w:rsid w:val="00612EBF"/>
    <w:rsid w:val="006211FB"/>
    <w:rsid w:val="00624591"/>
    <w:rsid w:val="006318B8"/>
    <w:rsid w:val="0063226A"/>
    <w:rsid w:val="00635FDF"/>
    <w:rsid w:val="00641F41"/>
    <w:rsid w:val="006446E9"/>
    <w:rsid w:val="00647590"/>
    <w:rsid w:val="00651BC9"/>
    <w:rsid w:val="006577D1"/>
    <w:rsid w:val="006679E3"/>
    <w:rsid w:val="00667C80"/>
    <w:rsid w:val="00675A10"/>
    <w:rsid w:val="00676956"/>
    <w:rsid w:val="00684206"/>
    <w:rsid w:val="0069352C"/>
    <w:rsid w:val="006A0CD9"/>
    <w:rsid w:val="006A25E5"/>
    <w:rsid w:val="006A3729"/>
    <w:rsid w:val="006A3A0B"/>
    <w:rsid w:val="006A5B28"/>
    <w:rsid w:val="006C533E"/>
    <w:rsid w:val="006C63CD"/>
    <w:rsid w:val="006E15CD"/>
    <w:rsid w:val="006E1CE3"/>
    <w:rsid w:val="006F5E38"/>
    <w:rsid w:val="007008AC"/>
    <w:rsid w:val="007017CA"/>
    <w:rsid w:val="00710265"/>
    <w:rsid w:val="00711C3E"/>
    <w:rsid w:val="00711C47"/>
    <w:rsid w:val="00712482"/>
    <w:rsid w:val="00712FB4"/>
    <w:rsid w:val="007226B1"/>
    <w:rsid w:val="007305C2"/>
    <w:rsid w:val="007321E2"/>
    <w:rsid w:val="0073408F"/>
    <w:rsid w:val="00734DB3"/>
    <w:rsid w:val="00736A05"/>
    <w:rsid w:val="00736CCB"/>
    <w:rsid w:val="007417A5"/>
    <w:rsid w:val="00756F30"/>
    <w:rsid w:val="007604D1"/>
    <w:rsid w:val="00784229"/>
    <w:rsid w:val="007934A3"/>
    <w:rsid w:val="007B7884"/>
    <w:rsid w:val="007B7FAD"/>
    <w:rsid w:val="007D41A8"/>
    <w:rsid w:val="007D44E5"/>
    <w:rsid w:val="007E1A1A"/>
    <w:rsid w:val="007E6C9D"/>
    <w:rsid w:val="007E71E3"/>
    <w:rsid w:val="007F04CF"/>
    <w:rsid w:val="00804D5C"/>
    <w:rsid w:val="00812E75"/>
    <w:rsid w:val="00817F72"/>
    <w:rsid w:val="008210D4"/>
    <w:rsid w:val="00822606"/>
    <w:rsid w:val="00824E92"/>
    <w:rsid w:val="00826CC9"/>
    <w:rsid w:val="00830C46"/>
    <w:rsid w:val="00851F23"/>
    <w:rsid w:val="00854D49"/>
    <w:rsid w:val="008554FC"/>
    <w:rsid w:val="008577C4"/>
    <w:rsid w:val="00871500"/>
    <w:rsid w:val="00875B7B"/>
    <w:rsid w:val="008765B6"/>
    <w:rsid w:val="00876D82"/>
    <w:rsid w:val="00877F94"/>
    <w:rsid w:val="00892701"/>
    <w:rsid w:val="008A2E0A"/>
    <w:rsid w:val="008A3257"/>
    <w:rsid w:val="008B0D2D"/>
    <w:rsid w:val="008B1367"/>
    <w:rsid w:val="008B1B27"/>
    <w:rsid w:val="008B4BDC"/>
    <w:rsid w:val="008B7FE4"/>
    <w:rsid w:val="008C790C"/>
    <w:rsid w:val="008D07DE"/>
    <w:rsid w:val="008D1578"/>
    <w:rsid w:val="008D1D1A"/>
    <w:rsid w:val="008D5922"/>
    <w:rsid w:val="008D7687"/>
    <w:rsid w:val="008E3C42"/>
    <w:rsid w:val="008E45DF"/>
    <w:rsid w:val="008E4A8E"/>
    <w:rsid w:val="008E55E5"/>
    <w:rsid w:val="008E6360"/>
    <w:rsid w:val="00905C4E"/>
    <w:rsid w:val="00910E0A"/>
    <w:rsid w:val="0091231D"/>
    <w:rsid w:val="00912597"/>
    <w:rsid w:val="0091272E"/>
    <w:rsid w:val="009223EF"/>
    <w:rsid w:val="009370E9"/>
    <w:rsid w:val="00937A36"/>
    <w:rsid w:val="00944F2D"/>
    <w:rsid w:val="00951DBD"/>
    <w:rsid w:val="00961A50"/>
    <w:rsid w:val="00965359"/>
    <w:rsid w:val="00970C8B"/>
    <w:rsid w:val="00973631"/>
    <w:rsid w:val="0098656A"/>
    <w:rsid w:val="0098673A"/>
    <w:rsid w:val="00990E23"/>
    <w:rsid w:val="00993D9B"/>
    <w:rsid w:val="00996F97"/>
    <w:rsid w:val="009A011F"/>
    <w:rsid w:val="009A7448"/>
    <w:rsid w:val="009B487A"/>
    <w:rsid w:val="009B511B"/>
    <w:rsid w:val="009B55EE"/>
    <w:rsid w:val="009B5F0B"/>
    <w:rsid w:val="009B6023"/>
    <w:rsid w:val="009C093D"/>
    <w:rsid w:val="009C323E"/>
    <w:rsid w:val="009C3E5C"/>
    <w:rsid w:val="009C4157"/>
    <w:rsid w:val="009C5B65"/>
    <w:rsid w:val="009D3DAE"/>
    <w:rsid w:val="009E1CC9"/>
    <w:rsid w:val="009E27F9"/>
    <w:rsid w:val="009E35B2"/>
    <w:rsid w:val="009E4F48"/>
    <w:rsid w:val="009E5B36"/>
    <w:rsid w:val="009F5A54"/>
    <w:rsid w:val="009F5F04"/>
    <w:rsid w:val="00A015C4"/>
    <w:rsid w:val="00A059EB"/>
    <w:rsid w:val="00A07F3F"/>
    <w:rsid w:val="00A13B05"/>
    <w:rsid w:val="00A16910"/>
    <w:rsid w:val="00A17BAA"/>
    <w:rsid w:val="00A233F3"/>
    <w:rsid w:val="00A246D1"/>
    <w:rsid w:val="00A26EF8"/>
    <w:rsid w:val="00A30F40"/>
    <w:rsid w:val="00A31A57"/>
    <w:rsid w:val="00A4193A"/>
    <w:rsid w:val="00A422F1"/>
    <w:rsid w:val="00A5595C"/>
    <w:rsid w:val="00A56B5C"/>
    <w:rsid w:val="00A56BA4"/>
    <w:rsid w:val="00A56D93"/>
    <w:rsid w:val="00A57A8D"/>
    <w:rsid w:val="00A62D1B"/>
    <w:rsid w:val="00A6331D"/>
    <w:rsid w:val="00A6531A"/>
    <w:rsid w:val="00A70DD5"/>
    <w:rsid w:val="00A721E2"/>
    <w:rsid w:val="00A90CFC"/>
    <w:rsid w:val="00A94F4A"/>
    <w:rsid w:val="00A96378"/>
    <w:rsid w:val="00A9659C"/>
    <w:rsid w:val="00AA06B1"/>
    <w:rsid w:val="00AA4C49"/>
    <w:rsid w:val="00AB2567"/>
    <w:rsid w:val="00AB306E"/>
    <w:rsid w:val="00AB736C"/>
    <w:rsid w:val="00AD1BA1"/>
    <w:rsid w:val="00AD26CA"/>
    <w:rsid w:val="00AD4E00"/>
    <w:rsid w:val="00AD53F9"/>
    <w:rsid w:val="00AD7898"/>
    <w:rsid w:val="00AE5298"/>
    <w:rsid w:val="00AF4180"/>
    <w:rsid w:val="00B05C62"/>
    <w:rsid w:val="00B06B3D"/>
    <w:rsid w:val="00B073A5"/>
    <w:rsid w:val="00B13618"/>
    <w:rsid w:val="00B1609F"/>
    <w:rsid w:val="00B23547"/>
    <w:rsid w:val="00B24999"/>
    <w:rsid w:val="00B25382"/>
    <w:rsid w:val="00B43727"/>
    <w:rsid w:val="00B45E22"/>
    <w:rsid w:val="00B53B14"/>
    <w:rsid w:val="00B54D3A"/>
    <w:rsid w:val="00B5667F"/>
    <w:rsid w:val="00B566D8"/>
    <w:rsid w:val="00B62806"/>
    <w:rsid w:val="00B630B9"/>
    <w:rsid w:val="00B6311A"/>
    <w:rsid w:val="00B63F3F"/>
    <w:rsid w:val="00B66EC5"/>
    <w:rsid w:val="00B732F7"/>
    <w:rsid w:val="00B7355A"/>
    <w:rsid w:val="00B74D0C"/>
    <w:rsid w:val="00B855B1"/>
    <w:rsid w:val="00B85DE4"/>
    <w:rsid w:val="00B91DAB"/>
    <w:rsid w:val="00BA0048"/>
    <w:rsid w:val="00BA453C"/>
    <w:rsid w:val="00BA4A04"/>
    <w:rsid w:val="00BA520D"/>
    <w:rsid w:val="00BB63BB"/>
    <w:rsid w:val="00BC3C28"/>
    <w:rsid w:val="00BC69CB"/>
    <w:rsid w:val="00BD2021"/>
    <w:rsid w:val="00BD6DCE"/>
    <w:rsid w:val="00BE0549"/>
    <w:rsid w:val="00BE47A6"/>
    <w:rsid w:val="00BE4AE1"/>
    <w:rsid w:val="00BE776C"/>
    <w:rsid w:val="00BF4B2D"/>
    <w:rsid w:val="00BF7338"/>
    <w:rsid w:val="00C03EFB"/>
    <w:rsid w:val="00C04FA5"/>
    <w:rsid w:val="00C0588B"/>
    <w:rsid w:val="00C060D5"/>
    <w:rsid w:val="00C13A3C"/>
    <w:rsid w:val="00C13C6E"/>
    <w:rsid w:val="00C14E43"/>
    <w:rsid w:val="00C15DF3"/>
    <w:rsid w:val="00C243CA"/>
    <w:rsid w:val="00C25942"/>
    <w:rsid w:val="00C275E7"/>
    <w:rsid w:val="00C341BF"/>
    <w:rsid w:val="00C35AE9"/>
    <w:rsid w:val="00C40673"/>
    <w:rsid w:val="00C505FC"/>
    <w:rsid w:val="00C57F21"/>
    <w:rsid w:val="00C60D82"/>
    <w:rsid w:val="00C62824"/>
    <w:rsid w:val="00C63094"/>
    <w:rsid w:val="00C70A44"/>
    <w:rsid w:val="00C80EE6"/>
    <w:rsid w:val="00C84213"/>
    <w:rsid w:val="00C93B49"/>
    <w:rsid w:val="00CA17CD"/>
    <w:rsid w:val="00CA1837"/>
    <w:rsid w:val="00CA3391"/>
    <w:rsid w:val="00CA35A7"/>
    <w:rsid w:val="00CA5869"/>
    <w:rsid w:val="00CB3491"/>
    <w:rsid w:val="00CB7DDE"/>
    <w:rsid w:val="00CC40F1"/>
    <w:rsid w:val="00CC7814"/>
    <w:rsid w:val="00CD749A"/>
    <w:rsid w:val="00CE00E0"/>
    <w:rsid w:val="00CE41E8"/>
    <w:rsid w:val="00CF1A28"/>
    <w:rsid w:val="00CF69C3"/>
    <w:rsid w:val="00CF7057"/>
    <w:rsid w:val="00D00E11"/>
    <w:rsid w:val="00D1039D"/>
    <w:rsid w:val="00D3065C"/>
    <w:rsid w:val="00D34FE6"/>
    <w:rsid w:val="00D40255"/>
    <w:rsid w:val="00D41DD8"/>
    <w:rsid w:val="00D43670"/>
    <w:rsid w:val="00D47FDF"/>
    <w:rsid w:val="00D508C1"/>
    <w:rsid w:val="00D52A8E"/>
    <w:rsid w:val="00D54E29"/>
    <w:rsid w:val="00D57265"/>
    <w:rsid w:val="00D65B82"/>
    <w:rsid w:val="00D676F7"/>
    <w:rsid w:val="00D81FE3"/>
    <w:rsid w:val="00D8386A"/>
    <w:rsid w:val="00D85823"/>
    <w:rsid w:val="00D93D73"/>
    <w:rsid w:val="00D95F59"/>
    <w:rsid w:val="00D96784"/>
    <w:rsid w:val="00DA089D"/>
    <w:rsid w:val="00DA0E8A"/>
    <w:rsid w:val="00DA604D"/>
    <w:rsid w:val="00DB2D16"/>
    <w:rsid w:val="00DB350A"/>
    <w:rsid w:val="00DB3A22"/>
    <w:rsid w:val="00DB5A61"/>
    <w:rsid w:val="00DD18B5"/>
    <w:rsid w:val="00DE2C32"/>
    <w:rsid w:val="00DE421C"/>
    <w:rsid w:val="00DE4E9C"/>
    <w:rsid w:val="00DE51DD"/>
    <w:rsid w:val="00DE6E8A"/>
    <w:rsid w:val="00DE7D31"/>
    <w:rsid w:val="00DF0783"/>
    <w:rsid w:val="00DF080B"/>
    <w:rsid w:val="00DF4629"/>
    <w:rsid w:val="00DF60F2"/>
    <w:rsid w:val="00DF6BA3"/>
    <w:rsid w:val="00E02FB2"/>
    <w:rsid w:val="00E04E78"/>
    <w:rsid w:val="00E10CC6"/>
    <w:rsid w:val="00E11B7A"/>
    <w:rsid w:val="00E20753"/>
    <w:rsid w:val="00E2190E"/>
    <w:rsid w:val="00E26B13"/>
    <w:rsid w:val="00E271C5"/>
    <w:rsid w:val="00E31855"/>
    <w:rsid w:val="00E33BDB"/>
    <w:rsid w:val="00E35F7C"/>
    <w:rsid w:val="00E37A16"/>
    <w:rsid w:val="00E47D4A"/>
    <w:rsid w:val="00E7371E"/>
    <w:rsid w:val="00E73DA2"/>
    <w:rsid w:val="00E75B80"/>
    <w:rsid w:val="00E76853"/>
    <w:rsid w:val="00E845BD"/>
    <w:rsid w:val="00E96761"/>
    <w:rsid w:val="00EA0DD0"/>
    <w:rsid w:val="00EA12D6"/>
    <w:rsid w:val="00EA1BA6"/>
    <w:rsid w:val="00EA2FC5"/>
    <w:rsid w:val="00EA5712"/>
    <w:rsid w:val="00EB26BC"/>
    <w:rsid w:val="00EB3B78"/>
    <w:rsid w:val="00EC2FE8"/>
    <w:rsid w:val="00EC56AF"/>
    <w:rsid w:val="00EC63DC"/>
    <w:rsid w:val="00EE467E"/>
    <w:rsid w:val="00EF2BBB"/>
    <w:rsid w:val="00F06134"/>
    <w:rsid w:val="00F20698"/>
    <w:rsid w:val="00F22783"/>
    <w:rsid w:val="00F233C2"/>
    <w:rsid w:val="00F23741"/>
    <w:rsid w:val="00F27A07"/>
    <w:rsid w:val="00F27BCE"/>
    <w:rsid w:val="00F34269"/>
    <w:rsid w:val="00F34AB2"/>
    <w:rsid w:val="00F41849"/>
    <w:rsid w:val="00F47701"/>
    <w:rsid w:val="00F47C23"/>
    <w:rsid w:val="00F5465A"/>
    <w:rsid w:val="00F57EA0"/>
    <w:rsid w:val="00F6039E"/>
    <w:rsid w:val="00F609B4"/>
    <w:rsid w:val="00F60E55"/>
    <w:rsid w:val="00F612EB"/>
    <w:rsid w:val="00F62909"/>
    <w:rsid w:val="00F63066"/>
    <w:rsid w:val="00F65070"/>
    <w:rsid w:val="00F70CC4"/>
    <w:rsid w:val="00F82BEA"/>
    <w:rsid w:val="00F90897"/>
    <w:rsid w:val="00F90BAE"/>
    <w:rsid w:val="00F96B53"/>
    <w:rsid w:val="00F97C2C"/>
    <w:rsid w:val="00F97F5A"/>
    <w:rsid w:val="00FA2287"/>
    <w:rsid w:val="00FA4DF9"/>
    <w:rsid w:val="00FA4F4B"/>
    <w:rsid w:val="00FB2270"/>
    <w:rsid w:val="00FB5AB1"/>
    <w:rsid w:val="00FC1297"/>
    <w:rsid w:val="00FC1F98"/>
    <w:rsid w:val="00FC7C67"/>
    <w:rsid w:val="00FD2165"/>
    <w:rsid w:val="00FE5226"/>
    <w:rsid w:val="00FF443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7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590"/>
    <w:pPr>
      <w:spacing w:after="0" w:line="240" w:lineRule="auto"/>
    </w:pPr>
    <w:rPr>
      <w:rFonts w:ascii="Times New Roman" w:eastAsia="Batang" w:hAnsi="Times New Roman" w:cs="Times New Roman"/>
      <w:sz w:val="24"/>
      <w:szCs w:val="24"/>
      <w:lang w:eastAsia="ko-KR"/>
    </w:rPr>
  </w:style>
  <w:style w:type="paragraph" w:styleId="Heading1">
    <w:name w:val="heading 1"/>
    <w:basedOn w:val="Normal"/>
    <w:next w:val="Normal"/>
    <w:link w:val="Heading1Char"/>
    <w:uiPriority w:val="9"/>
    <w:qFormat/>
    <w:rsid w:val="00647590"/>
    <w:pPr>
      <w:keepNext/>
      <w:keepLines/>
      <w:spacing w:before="480" w:line="276" w:lineRule="auto"/>
      <w:outlineLvl w:val="0"/>
    </w:pPr>
    <w:rPr>
      <w:rFonts w:ascii="Cambria" w:eastAsia="Times New Roman" w:hAnsi="Cambria"/>
      <w:b/>
      <w:bCs/>
      <w:color w:val="365F91"/>
      <w:sz w:val="28"/>
      <w:szCs w:val="28"/>
      <w:lang w:eastAsia="en-US"/>
    </w:rPr>
  </w:style>
  <w:style w:type="paragraph" w:styleId="Heading2">
    <w:name w:val="heading 2"/>
    <w:basedOn w:val="Normal"/>
    <w:next w:val="Normal"/>
    <w:link w:val="Heading2Char"/>
    <w:uiPriority w:val="9"/>
    <w:unhideWhenUsed/>
    <w:qFormat/>
    <w:rsid w:val="00647590"/>
    <w:pPr>
      <w:keepNext/>
      <w:keepLines/>
      <w:spacing w:before="200" w:line="276" w:lineRule="auto"/>
      <w:outlineLvl w:val="1"/>
    </w:pPr>
    <w:rPr>
      <w:rFonts w:ascii="Cambria" w:eastAsia="Times New Roman" w:hAnsi="Cambria"/>
      <w:b/>
      <w:bCs/>
      <w:color w:val="4F81BD"/>
      <w:sz w:val="26"/>
      <w:szCs w:val="26"/>
      <w:lang w:eastAsia="en-US"/>
    </w:rPr>
  </w:style>
  <w:style w:type="paragraph" w:styleId="Heading3">
    <w:name w:val="heading 3"/>
    <w:basedOn w:val="Normal"/>
    <w:next w:val="Normal"/>
    <w:link w:val="Heading3Char"/>
    <w:uiPriority w:val="9"/>
    <w:unhideWhenUsed/>
    <w:qFormat/>
    <w:rsid w:val="00647590"/>
    <w:pPr>
      <w:keepNext/>
      <w:keepLines/>
      <w:spacing w:before="200" w:line="276" w:lineRule="auto"/>
      <w:outlineLvl w:val="2"/>
    </w:pPr>
    <w:rPr>
      <w:rFonts w:ascii="Cambria" w:eastAsia="Times New Roman" w:hAnsi="Cambria"/>
      <w:b/>
      <w:bCs/>
      <w:color w:val="4F81BD"/>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7590"/>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647590"/>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647590"/>
    <w:rPr>
      <w:rFonts w:ascii="Cambria" w:eastAsia="Times New Roman" w:hAnsi="Cambria" w:cs="Times New Roman"/>
      <w:b/>
      <w:bCs/>
      <w:color w:val="4F81BD"/>
    </w:rPr>
  </w:style>
  <w:style w:type="paragraph" w:styleId="FootnoteText">
    <w:name w:val="footnote text"/>
    <w:basedOn w:val="Normal"/>
    <w:link w:val="FootnoteTextChar"/>
    <w:semiHidden/>
    <w:rsid w:val="00647590"/>
    <w:rPr>
      <w:rFonts w:eastAsia="Times New Roman"/>
      <w:sz w:val="20"/>
      <w:szCs w:val="20"/>
      <w:lang w:eastAsia="en-AU"/>
    </w:rPr>
  </w:style>
  <w:style w:type="character" w:customStyle="1" w:styleId="FootnoteTextChar">
    <w:name w:val="Footnote Text Char"/>
    <w:basedOn w:val="DefaultParagraphFont"/>
    <w:link w:val="FootnoteText"/>
    <w:semiHidden/>
    <w:rsid w:val="00647590"/>
    <w:rPr>
      <w:rFonts w:ascii="Times New Roman" w:eastAsia="Times New Roman" w:hAnsi="Times New Roman" w:cs="Times New Roman"/>
      <w:sz w:val="20"/>
      <w:szCs w:val="20"/>
      <w:lang w:eastAsia="en-AU"/>
    </w:rPr>
  </w:style>
  <w:style w:type="character" w:styleId="FootnoteReference">
    <w:name w:val="footnote reference"/>
    <w:basedOn w:val="DefaultParagraphFont"/>
    <w:semiHidden/>
    <w:rsid w:val="00647590"/>
    <w:rPr>
      <w:vertAlign w:val="superscript"/>
    </w:rPr>
  </w:style>
  <w:style w:type="paragraph" w:styleId="ListParagraph">
    <w:name w:val="List Paragraph"/>
    <w:basedOn w:val="Normal"/>
    <w:uiPriority w:val="34"/>
    <w:qFormat/>
    <w:rsid w:val="00647590"/>
    <w:pPr>
      <w:spacing w:after="200" w:line="276" w:lineRule="auto"/>
      <w:ind w:left="720"/>
      <w:contextualSpacing/>
    </w:pPr>
    <w:rPr>
      <w:rFonts w:ascii="Calibri" w:eastAsia="Calibri" w:hAnsi="Calibri"/>
      <w:sz w:val="22"/>
      <w:szCs w:val="22"/>
      <w:lang w:eastAsia="en-US"/>
    </w:rPr>
  </w:style>
  <w:style w:type="paragraph" w:customStyle="1" w:styleId="ACMABodyText">
    <w:name w:val="ACMA Body Text"/>
    <w:link w:val="ACMABodyTextChar"/>
    <w:rsid w:val="00647590"/>
    <w:pPr>
      <w:suppressAutoHyphens/>
      <w:spacing w:before="80" w:after="120" w:line="280" w:lineRule="atLeast"/>
    </w:pPr>
    <w:rPr>
      <w:rFonts w:ascii="Times New Roman" w:eastAsia="Times New Roman" w:hAnsi="Times New Roman" w:cs="Times New Roman"/>
      <w:snapToGrid w:val="0"/>
      <w:sz w:val="24"/>
      <w:szCs w:val="20"/>
    </w:rPr>
  </w:style>
  <w:style w:type="character" w:customStyle="1" w:styleId="ACMABodyTextChar">
    <w:name w:val="ACMA Body Text Char"/>
    <w:basedOn w:val="DefaultParagraphFont"/>
    <w:link w:val="ACMABodyText"/>
    <w:rsid w:val="00647590"/>
    <w:rPr>
      <w:rFonts w:ascii="Times New Roman" w:eastAsia="Times New Roman" w:hAnsi="Times New Roman" w:cs="Times New Roman"/>
      <w:snapToGrid w:val="0"/>
      <w:sz w:val="24"/>
      <w:szCs w:val="20"/>
    </w:rPr>
  </w:style>
  <w:style w:type="character" w:styleId="Hyperlink">
    <w:name w:val="Hyperlink"/>
    <w:basedOn w:val="DefaultParagraphFont"/>
    <w:rsid w:val="00647590"/>
    <w:rPr>
      <w:color w:val="0000FF"/>
      <w:u w:val="single"/>
    </w:rPr>
  </w:style>
  <w:style w:type="paragraph" w:styleId="BodyText">
    <w:name w:val="Body Text"/>
    <w:basedOn w:val="Normal"/>
    <w:link w:val="BodyTextChar"/>
    <w:rsid w:val="00647590"/>
    <w:pPr>
      <w:spacing w:after="120"/>
    </w:pPr>
    <w:rPr>
      <w:rFonts w:eastAsia="Times New Roman"/>
      <w:szCs w:val="20"/>
      <w:lang w:eastAsia="en-AU"/>
    </w:rPr>
  </w:style>
  <w:style w:type="character" w:customStyle="1" w:styleId="BodyTextChar">
    <w:name w:val="Body Text Char"/>
    <w:basedOn w:val="DefaultParagraphFont"/>
    <w:link w:val="BodyText"/>
    <w:rsid w:val="00647590"/>
    <w:rPr>
      <w:rFonts w:ascii="Times New Roman" w:eastAsia="Times New Roman" w:hAnsi="Times New Roman" w:cs="Times New Roman"/>
      <w:sz w:val="24"/>
      <w:szCs w:val="20"/>
      <w:lang w:eastAsia="en-AU"/>
    </w:rPr>
  </w:style>
  <w:style w:type="paragraph" w:styleId="BalloonText">
    <w:name w:val="Balloon Text"/>
    <w:basedOn w:val="Normal"/>
    <w:link w:val="BalloonTextChar"/>
    <w:uiPriority w:val="99"/>
    <w:semiHidden/>
    <w:unhideWhenUsed/>
    <w:rsid w:val="00647590"/>
    <w:rPr>
      <w:rFonts w:ascii="Tahoma" w:hAnsi="Tahoma" w:cs="Tahoma"/>
      <w:sz w:val="16"/>
      <w:szCs w:val="16"/>
    </w:rPr>
  </w:style>
  <w:style w:type="character" w:customStyle="1" w:styleId="BalloonTextChar">
    <w:name w:val="Balloon Text Char"/>
    <w:basedOn w:val="DefaultParagraphFont"/>
    <w:link w:val="BalloonText"/>
    <w:uiPriority w:val="99"/>
    <w:semiHidden/>
    <w:rsid w:val="00647590"/>
    <w:rPr>
      <w:rFonts w:ascii="Tahoma" w:eastAsia="Batang" w:hAnsi="Tahoma" w:cs="Tahoma"/>
      <w:sz w:val="16"/>
      <w:szCs w:val="16"/>
      <w:lang w:eastAsia="ko-KR"/>
    </w:rPr>
  </w:style>
  <w:style w:type="table" w:styleId="TableGrid">
    <w:name w:val="Table Grid"/>
    <w:basedOn w:val="TableNormal"/>
    <w:uiPriority w:val="59"/>
    <w:rsid w:val="000575B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F4B2D"/>
    <w:rPr>
      <w:sz w:val="16"/>
      <w:szCs w:val="16"/>
    </w:rPr>
  </w:style>
  <w:style w:type="paragraph" w:styleId="CommentText">
    <w:name w:val="annotation text"/>
    <w:basedOn w:val="Normal"/>
    <w:link w:val="CommentTextChar"/>
    <w:uiPriority w:val="99"/>
    <w:unhideWhenUsed/>
    <w:rsid w:val="00BF4B2D"/>
    <w:rPr>
      <w:sz w:val="20"/>
      <w:szCs w:val="20"/>
    </w:rPr>
  </w:style>
  <w:style w:type="character" w:customStyle="1" w:styleId="CommentTextChar">
    <w:name w:val="Comment Text Char"/>
    <w:basedOn w:val="DefaultParagraphFont"/>
    <w:link w:val="CommentText"/>
    <w:uiPriority w:val="99"/>
    <w:rsid w:val="00BF4B2D"/>
    <w:rPr>
      <w:rFonts w:ascii="Times New Roman" w:eastAsia="Batang" w:hAnsi="Times New Roman" w:cs="Times New Roman"/>
      <w:sz w:val="20"/>
      <w:szCs w:val="20"/>
      <w:lang w:eastAsia="ko-KR"/>
    </w:rPr>
  </w:style>
  <w:style w:type="paragraph" w:styleId="CommentSubject">
    <w:name w:val="annotation subject"/>
    <w:basedOn w:val="CommentText"/>
    <w:next w:val="CommentText"/>
    <w:link w:val="CommentSubjectChar"/>
    <w:uiPriority w:val="99"/>
    <w:semiHidden/>
    <w:unhideWhenUsed/>
    <w:rsid w:val="00BF4B2D"/>
    <w:rPr>
      <w:b/>
      <w:bCs/>
    </w:rPr>
  </w:style>
  <w:style w:type="character" w:customStyle="1" w:styleId="CommentSubjectChar">
    <w:name w:val="Comment Subject Char"/>
    <w:basedOn w:val="CommentTextChar"/>
    <w:link w:val="CommentSubject"/>
    <w:uiPriority w:val="99"/>
    <w:semiHidden/>
    <w:rsid w:val="00BF4B2D"/>
    <w:rPr>
      <w:b/>
      <w:bCs/>
    </w:rPr>
  </w:style>
  <w:style w:type="paragraph" w:styleId="Title">
    <w:name w:val="Title"/>
    <w:basedOn w:val="Normal"/>
    <w:next w:val="Normal"/>
    <w:link w:val="TitleChar"/>
    <w:uiPriority w:val="10"/>
    <w:qFormat/>
    <w:rsid w:val="00AB306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B306E"/>
    <w:rPr>
      <w:rFonts w:asciiTheme="majorHAnsi" w:eastAsiaTheme="majorEastAsia" w:hAnsiTheme="majorHAnsi" w:cstheme="majorBidi"/>
      <w:color w:val="17365D" w:themeColor="text2" w:themeShade="BF"/>
      <w:spacing w:val="5"/>
      <w:kern w:val="28"/>
      <w:sz w:val="52"/>
      <w:szCs w:val="52"/>
      <w:lang w:eastAsia="ko-KR"/>
    </w:rPr>
  </w:style>
  <w:style w:type="paragraph" w:styleId="Header">
    <w:name w:val="header"/>
    <w:basedOn w:val="Normal"/>
    <w:link w:val="HeaderChar"/>
    <w:uiPriority w:val="99"/>
    <w:semiHidden/>
    <w:unhideWhenUsed/>
    <w:rsid w:val="00C35AE9"/>
    <w:pPr>
      <w:tabs>
        <w:tab w:val="center" w:pos="4513"/>
        <w:tab w:val="right" w:pos="9026"/>
      </w:tabs>
    </w:pPr>
  </w:style>
  <w:style w:type="character" w:customStyle="1" w:styleId="HeaderChar">
    <w:name w:val="Header Char"/>
    <w:basedOn w:val="DefaultParagraphFont"/>
    <w:link w:val="Header"/>
    <w:uiPriority w:val="99"/>
    <w:semiHidden/>
    <w:rsid w:val="00C35AE9"/>
    <w:rPr>
      <w:rFonts w:ascii="Times New Roman" w:eastAsia="Batang" w:hAnsi="Times New Roman" w:cs="Times New Roman"/>
      <w:sz w:val="24"/>
      <w:szCs w:val="24"/>
      <w:lang w:eastAsia="ko-KR"/>
    </w:rPr>
  </w:style>
  <w:style w:type="paragraph" w:styleId="Footer">
    <w:name w:val="footer"/>
    <w:basedOn w:val="Normal"/>
    <w:link w:val="FooterChar"/>
    <w:uiPriority w:val="99"/>
    <w:semiHidden/>
    <w:unhideWhenUsed/>
    <w:rsid w:val="00C35AE9"/>
    <w:pPr>
      <w:tabs>
        <w:tab w:val="center" w:pos="4513"/>
        <w:tab w:val="right" w:pos="9026"/>
      </w:tabs>
    </w:pPr>
  </w:style>
  <w:style w:type="character" w:customStyle="1" w:styleId="FooterChar">
    <w:name w:val="Footer Char"/>
    <w:basedOn w:val="DefaultParagraphFont"/>
    <w:link w:val="Footer"/>
    <w:uiPriority w:val="99"/>
    <w:semiHidden/>
    <w:rsid w:val="00C35AE9"/>
    <w:rPr>
      <w:rFonts w:ascii="Times New Roman" w:eastAsia="Batang" w:hAnsi="Times New Roman" w:cs="Times New Roman"/>
      <w:sz w:val="24"/>
      <w:szCs w:val="24"/>
      <w:lang w:eastAsia="ko-KR"/>
    </w:rPr>
  </w:style>
  <w:style w:type="paragraph" w:styleId="Caption">
    <w:name w:val="caption"/>
    <w:basedOn w:val="Normal"/>
    <w:next w:val="Normal"/>
    <w:qFormat/>
    <w:rsid w:val="00736CCB"/>
    <w:pPr>
      <w:spacing w:line="240" w:lineRule="atLeast"/>
    </w:pPr>
    <w:rPr>
      <w:rFonts w:ascii="HelveticaNeueLT Std" w:eastAsia="Times New Roman" w:hAnsi="HelveticaNeueLT Std"/>
      <w:b/>
      <w:bCs/>
      <w:color w:val="808285"/>
      <w:sz w:val="20"/>
      <w:szCs w:val="20"/>
      <w:lang w:eastAsia="en-AU"/>
    </w:rPr>
  </w:style>
</w:styles>
</file>

<file path=word/webSettings.xml><?xml version="1.0" encoding="utf-8"?>
<w:webSettings xmlns:r="http://schemas.openxmlformats.org/officeDocument/2006/relationships" xmlns:w="http://schemas.openxmlformats.org/wordprocessingml/2006/main">
  <w:divs>
    <w:div w:id="38738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apt.int/AWF-RECREP" TargetMode="External"/><Relationship Id="rId1" Type="http://schemas.openxmlformats.org/officeDocument/2006/relationships/hyperlink" Target="http://www.dbcde.gov.au/consultation_and_submissions/digital_divide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9D51C-3C47-4065-9AE4-1E398464A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16</Pages>
  <Words>4231</Words>
  <Characters>24117</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Technical Framework Development700 MHz Spectrum Licence Band - TLG Paper 1</vt:lpstr>
    </vt:vector>
  </TitlesOfParts>
  <Company>Australian Communications and Media Authority</Company>
  <LinksUpToDate>false</LinksUpToDate>
  <CharactersWithSpaces>28292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Framework Development700 MHz Spectrum Licence Band - TLG Paper 1</dc:title>
  <dc:creator>ACMA</dc:creator>
  <cp:lastModifiedBy>Australian Communications and Media Authority</cp:lastModifiedBy>
  <cp:revision>15</cp:revision>
  <cp:lastPrinted>2011-07-29T04:04:00Z</cp:lastPrinted>
  <dcterms:created xsi:type="dcterms:W3CDTF">2012-07-09T00:15:00Z</dcterms:created>
  <dcterms:modified xsi:type="dcterms:W3CDTF">2012-07-10T00:48:00Z</dcterms:modified>
</cp:coreProperties>
</file>