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A70FF" w14:textId="730818B9" w:rsidR="00F06E14" w:rsidRPr="00C97518" w:rsidRDefault="007514C0" w:rsidP="00A47E79">
      <w:pPr>
        <w:pStyle w:val="ACMAReportTitle"/>
      </w:pPr>
      <w:r w:rsidRPr="00C97518">
        <w:t>Expiring spectrum licences</w:t>
      </w:r>
      <w:r w:rsidR="00EB0CC0" w:rsidRPr="00C97518">
        <w:rPr>
          <w:rFonts w:cs="Arial"/>
        </w:rPr>
        <w:t>—technical framework for the 2 GHz band</w:t>
      </w:r>
    </w:p>
    <w:p w14:paraId="17FDAA60" w14:textId="087C8F2E" w:rsidR="00F06E14" w:rsidRPr="00C97518" w:rsidRDefault="00C97518" w:rsidP="00F06E14">
      <w:pPr>
        <w:pStyle w:val="ACMAReportSubTitle"/>
      </w:pPr>
      <w:r>
        <w:rPr>
          <w:rFonts w:cs="Arial"/>
          <w:color w:val="7F7F7F" w:themeColor="text1" w:themeTint="80"/>
          <w:sz w:val="48"/>
        </w:rPr>
        <w:t>Paper Two</w:t>
      </w:r>
    </w:p>
    <w:p w14:paraId="6D0CB8EA" w14:textId="5FDBABA0" w:rsidR="00C97736" w:rsidRPr="00C97518" w:rsidRDefault="00C97518" w:rsidP="005D4087">
      <w:pPr>
        <w:pStyle w:val="ACMAReportDate"/>
        <w:spacing w:after="720"/>
      </w:pPr>
      <w:r w:rsidRPr="00C97518">
        <w:t>March</w:t>
      </w:r>
      <w:r w:rsidR="0021347F" w:rsidRPr="00C97518">
        <w:t xml:space="preserve"> </w:t>
      </w:r>
      <w:r w:rsidR="00EB0CC0" w:rsidRPr="00C97518">
        <w:t>201</w:t>
      </w:r>
      <w:r w:rsidR="0021347F" w:rsidRPr="00C97518">
        <w:t>5</w:t>
      </w:r>
    </w:p>
    <w:p w14:paraId="780DCACA" w14:textId="13ABED79" w:rsidR="00C97736" w:rsidRPr="00C97518" w:rsidRDefault="00C97736" w:rsidP="00681BAB">
      <w:pPr>
        <w:tabs>
          <w:tab w:val="left" w:pos="7011"/>
        </w:tabs>
        <w:rPr>
          <w:rFonts w:cs="Arial"/>
        </w:rPr>
        <w:sectPr w:rsidR="00C97736" w:rsidRPr="00C97518" w:rsidSect="00FB2EA1">
          <w:headerReference w:type="even" r:id="rId12"/>
          <w:headerReference w:type="default" r:id="rId13"/>
          <w:footerReference w:type="even" r:id="rId14"/>
          <w:footerReference w:type="default" r:id="rId15"/>
          <w:headerReference w:type="first" r:id="rId16"/>
          <w:footerReference w:type="first" r:id="rId17"/>
          <w:pgSz w:w="11906" w:h="16838" w:code="9"/>
          <w:pgMar w:top="3924" w:right="1797" w:bottom="1134" w:left="1134" w:header="709" w:footer="454" w:gutter="0"/>
          <w:cols w:space="708"/>
          <w:docGrid w:linePitch="360"/>
        </w:sectPr>
      </w:pPr>
    </w:p>
    <w:p w14:paraId="67DD1A43" w14:textId="77777777" w:rsidR="0005011A" w:rsidRPr="00C97518" w:rsidRDefault="0005011A" w:rsidP="00FC07B9">
      <w:pPr>
        <w:pStyle w:val="ACMACorporateAddressHeader"/>
      </w:pPr>
      <w:r w:rsidRPr="00C97518">
        <w:lastRenderedPageBreak/>
        <w:t>Canberra</w:t>
      </w:r>
    </w:p>
    <w:p w14:paraId="28455834" w14:textId="77777777" w:rsidR="0005011A" w:rsidRPr="00C97518" w:rsidRDefault="0005011A" w:rsidP="00FC07B9">
      <w:pPr>
        <w:pStyle w:val="ACMACorporateAddresses"/>
      </w:pPr>
      <w:r w:rsidRPr="00C97518">
        <w:t xml:space="preserve">Red Building </w:t>
      </w:r>
      <w:r w:rsidRPr="00C97518">
        <w:br/>
        <w:t>Benjamin Offices</w:t>
      </w:r>
      <w:r w:rsidRPr="00C97518">
        <w:br/>
        <w:t xml:space="preserve">Chan Street </w:t>
      </w:r>
      <w:r w:rsidRPr="00C97518">
        <w:br/>
        <w:t>Belconnen ACT</w:t>
      </w:r>
    </w:p>
    <w:p w14:paraId="075590E5" w14:textId="77777777" w:rsidR="0005011A" w:rsidRPr="00C97518" w:rsidRDefault="0005011A" w:rsidP="00FC07B9">
      <w:pPr>
        <w:pStyle w:val="ACMACorporateAddresses"/>
      </w:pPr>
      <w:r w:rsidRPr="00C97518">
        <w:t>PO Box 78</w:t>
      </w:r>
      <w:r w:rsidRPr="00C97518">
        <w:br/>
        <w:t>Belconnen ACT 2616</w:t>
      </w:r>
    </w:p>
    <w:p w14:paraId="78A45809" w14:textId="77777777" w:rsidR="00FE1823" w:rsidRPr="00C97518" w:rsidRDefault="0005011A" w:rsidP="00FC07B9">
      <w:pPr>
        <w:pStyle w:val="ACMACorporateAddresses"/>
      </w:pPr>
      <w:r w:rsidRPr="00C97518">
        <w:t>T</w:t>
      </w:r>
      <w:r w:rsidR="00537604" w:rsidRPr="00C97518">
        <w:tab/>
      </w:r>
      <w:r w:rsidRPr="00C97518">
        <w:t>+61 2 6219 5555</w:t>
      </w:r>
      <w:r w:rsidRPr="00C97518">
        <w:br/>
        <w:t>F</w:t>
      </w:r>
      <w:r w:rsidR="00537604" w:rsidRPr="00C97518">
        <w:tab/>
      </w:r>
      <w:r w:rsidRPr="00C97518">
        <w:t>+61 2 6219 5353</w:t>
      </w:r>
    </w:p>
    <w:p w14:paraId="53D24FF9" w14:textId="77777777" w:rsidR="0005011A" w:rsidRPr="00C97518" w:rsidRDefault="0005011A" w:rsidP="00FC07B9">
      <w:pPr>
        <w:pStyle w:val="ACMACorporateAddressHeader"/>
      </w:pPr>
      <w:r w:rsidRPr="00C97518">
        <w:t>Melbourne</w:t>
      </w:r>
    </w:p>
    <w:p w14:paraId="4652E34A" w14:textId="77777777" w:rsidR="0005011A" w:rsidRPr="00C97518" w:rsidRDefault="0005011A" w:rsidP="00FC07B9">
      <w:pPr>
        <w:pStyle w:val="ACMACorporateAddresses"/>
      </w:pPr>
      <w:r w:rsidRPr="00C97518">
        <w:t xml:space="preserve">Level 32 </w:t>
      </w:r>
      <w:r w:rsidRPr="00C97518">
        <w:br/>
        <w:t>Melbourne Central Tower</w:t>
      </w:r>
      <w:r w:rsidRPr="00C97518">
        <w:br/>
        <w:t xml:space="preserve">360 Elizabeth Street </w:t>
      </w:r>
      <w:r w:rsidR="008C10F4" w:rsidRPr="00C97518">
        <w:br/>
      </w:r>
      <w:r w:rsidRPr="00C97518">
        <w:t>Melbourne VIC</w:t>
      </w:r>
    </w:p>
    <w:p w14:paraId="74E673EF" w14:textId="77777777" w:rsidR="0005011A" w:rsidRPr="00C97518" w:rsidRDefault="0005011A" w:rsidP="00FC07B9">
      <w:pPr>
        <w:pStyle w:val="ACMACorporateAddresses"/>
      </w:pPr>
      <w:r w:rsidRPr="00C97518">
        <w:t>PO Box 13112</w:t>
      </w:r>
      <w:r w:rsidRPr="00C97518">
        <w:br/>
        <w:t xml:space="preserve">Law Courts </w:t>
      </w:r>
      <w:r w:rsidRPr="00C97518">
        <w:br/>
        <w:t>Melbourne VIC 8010</w:t>
      </w:r>
    </w:p>
    <w:p w14:paraId="47FA80CC" w14:textId="77777777" w:rsidR="0005011A" w:rsidRPr="00C97518" w:rsidRDefault="0005011A" w:rsidP="00FC07B9">
      <w:pPr>
        <w:pStyle w:val="ACMACorporateAddresses"/>
      </w:pPr>
      <w:r w:rsidRPr="00C97518">
        <w:t>T</w:t>
      </w:r>
      <w:r w:rsidR="00140318" w:rsidRPr="00C97518">
        <w:tab/>
      </w:r>
      <w:r w:rsidRPr="00C97518">
        <w:t>+61 3 9963 6800</w:t>
      </w:r>
      <w:r w:rsidRPr="00C97518">
        <w:br/>
        <w:t>F</w:t>
      </w:r>
      <w:r w:rsidR="00140318" w:rsidRPr="00C97518">
        <w:tab/>
      </w:r>
      <w:r w:rsidRPr="00C97518">
        <w:t>+61 3 9963 6899</w:t>
      </w:r>
    </w:p>
    <w:p w14:paraId="702BFE61" w14:textId="77777777" w:rsidR="0005011A" w:rsidRPr="00C97518" w:rsidRDefault="0005011A" w:rsidP="00FC07B9">
      <w:pPr>
        <w:pStyle w:val="ACMACorporateAddressHeader"/>
      </w:pPr>
      <w:r w:rsidRPr="00C97518">
        <w:t>Sydney</w:t>
      </w:r>
    </w:p>
    <w:p w14:paraId="62CABB22" w14:textId="77777777" w:rsidR="0005011A" w:rsidRPr="00C97518" w:rsidRDefault="0005011A" w:rsidP="00FC07B9">
      <w:pPr>
        <w:pStyle w:val="ACMACorporateAddresses"/>
      </w:pPr>
      <w:r w:rsidRPr="00C97518">
        <w:t xml:space="preserve">Level 5 </w:t>
      </w:r>
      <w:r w:rsidRPr="00C97518">
        <w:br/>
        <w:t>The Bay Centre</w:t>
      </w:r>
      <w:r w:rsidRPr="00C97518">
        <w:br/>
        <w:t xml:space="preserve">65 Pirrama Road </w:t>
      </w:r>
      <w:r w:rsidRPr="00C97518">
        <w:br/>
        <w:t>Pyrmont NSW</w:t>
      </w:r>
    </w:p>
    <w:p w14:paraId="1679F6C6" w14:textId="77777777" w:rsidR="0005011A" w:rsidRPr="00C97518" w:rsidRDefault="0005011A" w:rsidP="00FC07B9">
      <w:pPr>
        <w:pStyle w:val="ACMACorporateAddresses"/>
      </w:pPr>
      <w:r w:rsidRPr="00C97518">
        <w:t>PO Box Q500</w:t>
      </w:r>
      <w:r w:rsidRPr="00C97518">
        <w:br/>
        <w:t xml:space="preserve">Queen Victoria Building </w:t>
      </w:r>
      <w:r w:rsidRPr="00C97518">
        <w:br/>
        <w:t>NSW 1230</w:t>
      </w:r>
    </w:p>
    <w:p w14:paraId="5FFCC13A" w14:textId="77777777" w:rsidR="0005011A" w:rsidRPr="00C97518" w:rsidRDefault="0005011A" w:rsidP="00FC07B9">
      <w:pPr>
        <w:pStyle w:val="ACMACorporateAddresses"/>
      </w:pPr>
      <w:r w:rsidRPr="00C97518">
        <w:t>T</w:t>
      </w:r>
      <w:r w:rsidR="00140318" w:rsidRPr="00C97518">
        <w:tab/>
      </w:r>
      <w:r w:rsidRPr="00C97518">
        <w:t>+61 2 9334 7700</w:t>
      </w:r>
      <w:r w:rsidR="00140318" w:rsidRPr="00C97518">
        <w:t xml:space="preserve"> or</w:t>
      </w:r>
      <w:r w:rsidRPr="00C97518">
        <w:t xml:space="preserve"> 1800 226 667</w:t>
      </w:r>
      <w:r w:rsidRPr="00C97518">
        <w:br/>
        <w:t>F</w:t>
      </w:r>
      <w:r w:rsidR="00140318" w:rsidRPr="00C97518">
        <w:tab/>
      </w:r>
      <w:r w:rsidRPr="00C97518">
        <w:t>+61 2 9334 7799</w:t>
      </w:r>
    </w:p>
    <w:p w14:paraId="7E8DA9DB" w14:textId="77777777" w:rsidR="00140318" w:rsidRPr="00C97518" w:rsidRDefault="00140318" w:rsidP="00FC07B9">
      <w:pPr>
        <w:pStyle w:val="ACMACopyrightHeader"/>
      </w:pPr>
      <w:r w:rsidRPr="00C97518">
        <w:t>Copyright notice</w:t>
      </w:r>
    </w:p>
    <w:p w14:paraId="1BBA23F5" w14:textId="77777777" w:rsidR="00140318" w:rsidRPr="00C97518" w:rsidRDefault="00623FF9" w:rsidP="00623FF9">
      <w:pPr>
        <w:pStyle w:val="ACMACClogo"/>
      </w:pPr>
      <w:r w:rsidRPr="00C97518">
        <w:rPr>
          <w:noProof/>
        </w:rPr>
        <w:drawing>
          <wp:inline distT="0" distB="0" distL="0" distR="0" wp14:anchorId="3345645A" wp14:editId="0827927C">
            <wp:extent cx="838200" cy="295275"/>
            <wp:effectExtent l="0" t="0" r="0" b="0"/>
            <wp:docPr id="1" name="Picture 1" title="Creative Commons log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8"/>
                    </pic:cNvPr>
                    <pic:cNvPicPr>
                      <a:picLocks noChangeAspect="1" noChangeArrowheads="1"/>
                    </pic:cNvPicPr>
                  </pic:nvPicPr>
                  <pic:blipFill>
                    <a:blip r:embed="rId19" cstate="print"/>
                    <a:srcRect/>
                    <a:stretch>
                      <a:fillRect/>
                    </a:stretch>
                  </pic:blipFill>
                  <pic:spPr bwMode="auto">
                    <a:xfrm>
                      <a:off x="0" y="0"/>
                      <a:ext cx="838200" cy="295275"/>
                    </a:xfrm>
                    <a:prstGeom prst="rect">
                      <a:avLst/>
                    </a:prstGeom>
                    <a:noFill/>
                  </pic:spPr>
                </pic:pic>
              </a:graphicData>
            </a:graphic>
          </wp:inline>
        </w:drawing>
      </w:r>
    </w:p>
    <w:p w14:paraId="4F0228F9" w14:textId="77777777" w:rsidR="00140318" w:rsidRPr="00C97518" w:rsidRDefault="0040559F" w:rsidP="00FC07B9">
      <w:pPr>
        <w:pStyle w:val="ACMACorporateAddresses"/>
        <w:rPr>
          <w:rStyle w:val="Hyperlink"/>
        </w:rPr>
      </w:pPr>
      <w:hyperlink r:id="rId20" w:tooltip="Creative Commons Licenses" w:history="1">
        <w:r w:rsidR="00140318" w:rsidRPr="00C97518">
          <w:rPr>
            <w:rStyle w:val="Hyperlink"/>
          </w:rPr>
          <w:t>http://creativecommons.org/licenses/by/3.0/au/</w:t>
        </w:r>
      </w:hyperlink>
    </w:p>
    <w:p w14:paraId="20EAB06D" w14:textId="77777777" w:rsidR="00140318" w:rsidRPr="00C97518" w:rsidRDefault="00140318" w:rsidP="00FC07B9">
      <w:pPr>
        <w:pStyle w:val="ACMACorporateAddresses"/>
      </w:pPr>
      <w:r w:rsidRPr="00C97518">
        <w:t xml:space="preserve">With the exception of coats of arms, logos, emblems, images, other third-party material or devices protected by a trademark, this content is licensed under the Creative Commons Australia Attribution 3.0 Licence. </w:t>
      </w:r>
    </w:p>
    <w:p w14:paraId="667F0283" w14:textId="1BB73D0C" w:rsidR="00140318" w:rsidRPr="00C97518" w:rsidRDefault="00140318" w:rsidP="00FC07B9">
      <w:pPr>
        <w:pStyle w:val="ACMACorporateAddresses"/>
      </w:pPr>
      <w:r w:rsidRPr="00C97518">
        <w:t>We request attribution as: © Commonwealth of Australia (Australian Communic</w:t>
      </w:r>
      <w:r w:rsidR="008408FF" w:rsidRPr="00C97518">
        <w:t>ations and Media Authority) 201</w:t>
      </w:r>
      <w:r w:rsidR="00C97518" w:rsidRPr="00C97518">
        <w:t>6</w:t>
      </w:r>
      <w:r w:rsidRPr="00C97518">
        <w:t>.</w:t>
      </w:r>
    </w:p>
    <w:p w14:paraId="31904F48" w14:textId="77777777" w:rsidR="00140318" w:rsidRPr="00C97518" w:rsidRDefault="00140318" w:rsidP="00FC07B9">
      <w:pPr>
        <w:pStyle w:val="ACMACorporateAddresses"/>
      </w:pPr>
      <w:r w:rsidRPr="00C97518">
        <w:t>All other rights are reserved.</w:t>
      </w:r>
    </w:p>
    <w:p w14:paraId="083E4205" w14:textId="77777777" w:rsidR="00140318" w:rsidRPr="00C97518" w:rsidRDefault="00140318" w:rsidP="00FC07B9">
      <w:pPr>
        <w:pStyle w:val="ACMACorporateAddresses"/>
      </w:pPr>
      <w:r w:rsidRPr="00C97518">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7776A85" w14:textId="77777777" w:rsidR="00140318" w:rsidRPr="00C97518" w:rsidRDefault="00140318" w:rsidP="00FC07B9">
      <w:pPr>
        <w:pStyle w:val="ACMACorporateAddresses"/>
      </w:pPr>
      <w:r w:rsidRPr="00C97518">
        <w:t>Written enquiries may be sent to:</w:t>
      </w:r>
    </w:p>
    <w:p w14:paraId="1B3E4CB5" w14:textId="77777777" w:rsidR="00D16FE3" w:rsidRPr="00C97518" w:rsidRDefault="00140318" w:rsidP="00D16FE3">
      <w:pPr>
        <w:pStyle w:val="ACMACorporateAddresses"/>
        <w:rPr>
          <w:rStyle w:val="Hyperlink"/>
        </w:rPr>
      </w:pPr>
      <w:r w:rsidRPr="00C97518">
        <w:t>Manager, Editorial and Design</w:t>
      </w:r>
      <w:r w:rsidR="00623FF9" w:rsidRPr="00C97518">
        <w:br/>
      </w:r>
      <w:r w:rsidRPr="00C97518">
        <w:t>PO Box 13112</w:t>
      </w:r>
      <w:r w:rsidR="00623FF9" w:rsidRPr="00C97518">
        <w:br/>
      </w:r>
      <w:r w:rsidRPr="00C97518">
        <w:t>Law Courts</w:t>
      </w:r>
      <w:r w:rsidR="00623FF9" w:rsidRPr="00C97518">
        <w:br/>
      </w:r>
      <w:r w:rsidRPr="00C97518">
        <w:t>Melbourne VIC 8010</w:t>
      </w:r>
      <w:r w:rsidR="00623FF9" w:rsidRPr="00C97518">
        <w:br/>
      </w:r>
      <w:r w:rsidRPr="00C97518">
        <w:t>Tel: 03 9963 6968</w:t>
      </w:r>
      <w:r w:rsidR="00623FF9" w:rsidRPr="00C97518">
        <w:br/>
      </w:r>
      <w:r w:rsidRPr="00C97518">
        <w:t xml:space="preserve">Email: </w:t>
      </w:r>
      <w:hyperlink r:id="rId21" w:history="1">
        <w:r w:rsidRPr="00C97518">
          <w:rPr>
            <w:rStyle w:val="Hyperlink"/>
          </w:rPr>
          <w:t>candinfo@acma.gov.au</w:t>
        </w:r>
      </w:hyperlink>
    </w:p>
    <w:p w14:paraId="40116DCE" w14:textId="77777777" w:rsidR="00D16FE3" w:rsidRPr="00C97518" w:rsidRDefault="00D16FE3" w:rsidP="00D16FE3">
      <w:pPr>
        <w:pStyle w:val="ACMACorporateAddresses"/>
        <w:rPr>
          <w:rStyle w:val="Hyperlink"/>
        </w:rPr>
      </w:pPr>
    </w:p>
    <w:p w14:paraId="77AE5E8F" w14:textId="77777777" w:rsidR="00D16FE3" w:rsidRPr="00C97518" w:rsidRDefault="00D16FE3" w:rsidP="00D16FE3">
      <w:pPr>
        <w:pStyle w:val="ACMACorporateAddresses"/>
        <w:sectPr w:rsidR="00D16FE3" w:rsidRPr="00C97518" w:rsidSect="005C2C6F">
          <w:headerReference w:type="even" r:id="rId22"/>
          <w:headerReference w:type="default" r:id="rId23"/>
          <w:footerReference w:type="even" r:id="rId24"/>
          <w:footerReference w:type="default" r:id="rId25"/>
          <w:pgSz w:w="11906" w:h="16838" w:code="9"/>
          <w:pgMar w:top="3924" w:right="1797" w:bottom="697" w:left="1134" w:header="709" w:footer="119" w:gutter="0"/>
          <w:cols w:space="708"/>
          <w:docGrid w:linePitch="360"/>
        </w:sectPr>
      </w:pPr>
    </w:p>
    <w:p w14:paraId="2F4570FF" w14:textId="77777777" w:rsidR="008C6B48" w:rsidRDefault="00473CE6">
      <w:pPr>
        <w:pStyle w:val="TOC1"/>
        <w:rPr>
          <w:rFonts w:asciiTheme="minorHAnsi" w:eastAsiaTheme="minorEastAsia" w:hAnsiTheme="minorHAnsi" w:cstheme="minorBidi"/>
          <w:b w:val="0"/>
          <w:spacing w:val="0"/>
          <w:sz w:val="22"/>
          <w:szCs w:val="22"/>
        </w:rPr>
      </w:pPr>
      <w:r w:rsidRPr="00C97518">
        <w:rPr>
          <w:rFonts w:cs="Arial"/>
        </w:rPr>
        <w:fldChar w:fldCharType="begin"/>
      </w:r>
      <w:r w:rsidRPr="00C97518">
        <w:rPr>
          <w:rFonts w:cs="Arial"/>
        </w:rPr>
        <w:instrText xml:space="preserve"> TOC \o "1-3" \h \z \u </w:instrText>
      </w:r>
      <w:r w:rsidRPr="00C97518">
        <w:rPr>
          <w:rFonts w:cs="Arial"/>
        </w:rPr>
        <w:fldChar w:fldCharType="separate"/>
      </w:r>
      <w:hyperlink w:anchor="_Toc444690620" w:history="1">
        <w:r w:rsidR="008C6B48" w:rsidRPr="0010059D">
          <w:rPr>
            <w:rStyle w:val="Hyperlink"/>
          </w:rPr>
          <w:t>Introduction</w:t>
        </w:r>
        <w:r w:rsidR="008C6B48">
          <w:rPr>
            <w:webHidden/>
          </w:rPr>
          <w:tab/>
        </w:r>
        <w:r w:rsidR="008C6B48">
          <w:rPr>
            <w:webHidden/>
          </w:rPr>
          <w:fldChar w:fldCharType="begin"/>
        </w:r>
        <w:r w:rsidR="008C6B48">
          <w:rPr>
            <w:webHidden/>
          </w:rPr>
          <w:instrText xml:space="preserve"> PAGEREF _Toc444690620 \h </w:instrText>
        </w:r>
        <w:r w:rsidR="008C6B48">
          <w:rPr>
            <w:webHidden/>
          </w:rPr>
        </w:r>
        <w:r w:rsidR="008C6B48">
          <w:rPr>
            <w:webHidden/>
          </w:rPr>
          <w:fldChar w:fldCharType="separate"/>
        </w:r>
        <w:r w:rsidR="008C6B48">
          <w:rPr>
            <w:webHidden/>
          </w:rPr>
          <w:t>5</w:t>
        </w:r>
        <w:r w:rsidR="008C6B48">
          <w:rPr>
            <w:webHidden/>
          </w:rPr>
          <w:fldChar w:fldCharType="end"/>
        </w:r>
      </w:hyperlink>
    </w:p>
    <w:p w14:paraId="160CA997" w14:textId="77777777" w:rsidR="008C6B48" w:rsidRDefault="0040559F">
      <w:pPr>
        <w:pStyle w:val="TOC2"/>
        <w:rPr>
          <w:rFonts w:asciiTheme="minorHAnsi" w:eastAsiaTheme="minorEastAsia" w:hAnsiTheme="minorHAnsi" w:cstheme="minorBidi"/>
          <w:spacing w:val="0"/>
          <w:sz w:val="22"/>
          <w:szCs w:val="22"/>
        </w:rPr>
      </w:pPr>
      <w:hyperlink w:anchor="_Toc444690621" w:history="1">
        <w:r w:rsidR="008C6B48" w:rsidRPr="0010059D">
          <w:rPr>
            <w:rStyle w:val="Hyperlink"/>
          </w:rPr>
          <w:t>Impact on timeframe</w:t>
        </w:r>
        <w:r w:rsidR="008C6B48">
          <w:rPr>
            <w:webHidden/>
          </w:rPr>
          <w:tab/>
        </w:r>
        <w:r w:rsidR="008C6B48">
          <w:rPr>
            <w:webHidden/>
          </w:rPr>
          <w:fldChar w:fldCharType="begin"/>
        </w:r>
        <w:r w:rsidR="008C6B48">
          <w:rPr>
            <w:webHidden/>
          </w:rPr>
          <w:instrText xml:space="preserve"> PAGEREF _Toc444690621 \h </w:instrText>
        </w:r>
        <w:r w:rsidR="008C6B48">
          <w:rPr>
            <w:webHidden/>
          </w:rPr>
        </w:r>
        <w:r w:rsidR="008C6B48">
          <w:rPr>
            <w:webHidden/>
          </w:rPr>
          <w:fldChar w:fldCharType="separate"/>
        </w:r>
        <w:r w:rsidR="008C6B48">
          <w:rPr>
            <w:webHidden/>
          </w:rPr>
          <w:t>5</w:t>
        </w:r>
        <w:r w:rsidR="008C6B48">
          <w:rPr>
            <w:webHidden/>
          </w:rPr>
          <w:fldChar w:fldCharType="end"/>
        </w:r>
      </w:hyperlink>
    </w:p>
    <w:p w14:paraId="7ED2B17F" w14:textId="77777777" w:rsidR="008C6B48" w:rsidRDefault="0040559F">
      <w:pPr>
        <w:pStyle w:val="TOC2"/>
        <w:rPr>
          <w:rFonts w:asciiTheme="minorHAnsi" w:eastAsiaTheme="minorEastAsia" w:hAnsiTheme="minorHAnsi" w:cstheme="minorBidi"/>
          <w:spacing w:val="0"/>
          <w:sz w:val="22"/>
          <w:szCs w:val="22"/>
        </w:rPr>
      </w:pPr>
      <w:hyperlink w:anchor="_Toc444690622" w:history="1">
        <w:r w:rsidR="008C6B48" w:rsidRPr="0010059D">
          <w:rPr>
            <w:rStyle w:val="Hyperlink"/>
          </w:rPr>
          <w:t>The ACMA’s role</w:t>
        </w:r>
        <w:r w:rsidR="008C6B48">
          <w:rPr>
            <w:webHidden/>
          </w:rPr>
          <w:tab/>
        </w:r>
        <w:r w:rsidR="008C6B48">
          <w:rPr>
            <w:webHidden/>
          </w:rPr>
          <w:fldChar w:fldCharType="begin"/>
        </w:r>
        <w:r w:rsidR="008C6B48">
          <w:rPr>
            <w:webHidden/>
          </w:rPr>
          <w:instrText xml:space="preserve"> PAGEREF _Toc444690622 \h </w:instrText>
        </w:r>
        <w:r w:rsidR="008C6B48">
          <w:rPr>
            <w:webHidden/>
          </w:rPr>
        </w:r>
        <w:r w:rsidR="008C6B48">
          <w:rPr>
            <w:webHidden/>
          </w:rPr>
          <w:fldChar w:fldCharType="separate"/>
        </w:r>
        <w:r w:rsidR="008C6B48">
          <w:rPr>
            <w:webHidden/>
          </w:rPr>
          <w:t>6</w:t>
        </w:r>
        <w:r w:rsidR="008C6B48">
          <w:rPr>
            <w:webHidden/>
          </w:rPr>
          <w:fldChar w:fldCharType="end"/>
        </w:r>
      </w:hyperlink>
    </w:p>
    <w:p w14:paraId="73F06110" w14:textId="77777777" w:rsidR="008C6B48" w:rsidRDefault="0040559F">
      <w:pPr>
        <w:pStyle w:val="TOC2"/>
        <w:rPr>
          <w:rFonts w:asciiTheme="minorHAnsi" w:eastAsiaTheme="minorEastAsia" w:hAnsiTheme="minorHAnsi" w:cstheme="minorBidi"/>
          <w:spacing w:val="0"/>
          <w:sz w:val="22"/>
          <w:szCs w:val="22"/>
        </w:rPr>
      </w:pPr>
      <w:hyperlink w:anchor="_Toc444690623" w:history="1">
        <w:r w:rsidR="008C6B48" w:rsidRPr="0010059D">
          <w:rPr>
            <w:rStyle w:val="Hyperlink"/>
          </w:rPr>
          <w:t>Scope</w:t>
        </w:r>
        <w:r w:rsidR="008C6B48">
          <w:rPr>
            <w:webHidden/>
          </w:rPr>
          <w:tab/>
        </w:r>
        <w:r w:rsidR="008C6B48">
          <w:rPr>
            <w:webHidden/>
          </w:rPr>
          <w:fldChar w:fldCharType="begin"/>
        </w:r>
        <w:r w:rsidR="008C6B48">
          <w:rPr>
            <w:webHidden/>
          </w:rPr>
          <w:instrText xml:space="preserve"> PAGEREF _Toc444690623 \h </w:instrText>
        </w:r>
        <w:r w:rsidR="008C6B48">
          <w:rPr>
            <w:webHidden/>
          </w:rPr>
        </w:r>
        <w:r w:rsidR="008C6B48">
          <w:rPr>
            <w:webHidden/>
          </w:rPr>
          <w:fldChar w:fldCharType="separate"/>
        </w:r>
        <w:r w:rsidR="008C6B48">
          <w:rPr>
            <w:webHidden/>
          </w:rPr>
          <w:t>7</w:t>
        </w:r>
        <w:r w:rsidR="008C6B48">
          <w:rPr>
            <w:webHidden/>
          </w:rPr>
          <w:fldChar w:fldCharType="end"/>
        </w:r>
      </w:hyperlink>
    </w:p>
    <w:p w14:paraId="67C89813" w14:textId="77777777" w:rsidR="008C6B48" w:rsidRDefault="0040559F">
      <w:pPr>
        <w:pStyle w:val="TOC1"/>
        <w:rPr>
          <w:rFonts w:asciiTheme="minorHAnsi" w:eastAsiaTheme="minorEastAsia" w:hAnsiTheme="minorHAnsi" w:cstheme="minorBidi"/>
          <w:b w:val="0"/>
          <w:spacing w:val="0"/>
          <w:sz w:val="22"/>
          <w:szCs w:val="22"/>
        </w:rPr>
      </w:pPr>
      <w:hyperlink w:anchor="_Toc444690624" w:history="1">
        <w:r w:rsidR="008C6B48" w:rsidRPr="0010059D">
          <w:rPr>
            <w:rStyle w:val="Hyperlink"/>
          </w:rPr>
          <w:t>Proposed technical framework revisions</w:t>
        </w:r>
        <w:r w:rsidR="008C6B48">
          <w:rPr>
            <w:webHidden/>
          </w:rPr>
          <w:tab/>
        </w:r>
        <w:r w:rsidR="008C6B48">
          <w:rPr>
            <w:webHidden/>
          </w:rPr>
          <w:fldChar w:fldCharType="begin"/>
        </w:r>
        <w:r w:rsidR="008C6B48">
          <w:rPr>
            <w:webHidden/>
          </w:rPr>
          <w:instrText xml:space="preserve"> PAGEREF _Toc444690624 \h </w:instrText>
        </w:r>
        <w:r w:rsidR="008C6B48">
          <w:rPr>
            <w:webHidden/>
          </w:rPr>
        </w:r>
        <w:r w:rsidR="008C6B48">
          <w:rPr>
            <w:webHidden/>
          </w:rPr>
          <w:fldChar w:fldCharType="separate"/>
        </w:r>
        <w:r w:rsidR="008C6B48">
          <w:rPr>
            <w:webHidden/>
          </w:rPr>
          <w:t>8</w:t>
        </w:r>
        <w:r w:rsidR="008C6B48">
          <w:rPr>
            <w:webHidden/>
          </w:rPr>
          <w:fldChar w:fldCharType="end"/>
        </w:r>
      </w:hyperlink>
    </w:p>
    <w:p w14:paraId="157EF516" w14:textId="77777777" w:rsidR="008C6B48" w:rsidRDefault="0040559F">
      <w:pPr>
        <w:pStyle w:val="TOC2"/>
        <w:rPr>
          <w:rFonts w:asciiTheme="minorHAnsi" w:eastAsiaTheme="minorEastAsia" w:hAnsiTheme="minorHAnsi" w:cstheme="minorBidi"/>
          <w:spacing w:val="0"/>
          <w:sz w:val="22"/>
          <w:szCs w:val="22"/>
        </w:rPr>
      </w:pPr>
      <w:hyperlink w:anchor="_Toc444690625" w:history="1">
        <w:r w:rsidR="008C6B48" w:rsidRPr="0010059D">
          <w:rPr>
            <w:rStyle w:val="Hyperlink"/>
          </w:rPr>
          <w:t>Conditions on the spectrum licence</w:t>
        </w:r>
        <w:r w:rsidR="008C6B48">
          <w:rPr>
            <w:webHidden/>
          </w:rPr>
          <w:tab/>
        </w:r>
        <w:r w:rsidR="008C6B48">
          <w:rPr>
            <w:webHidden/>
          </w:rPr>
          <w:fldChar w:fldCharType="begin"/>
        </w:r>
        <w:r w:rsidR="008C6B48">
          <w:rPr>
            <w:webHidden/>
          </w:rPr>
          <w:instrText xml:space="preserve"> PAGEREF _Toc444690625 \h </w:instrText>
        </w:r>
        <w:r w:rsidR="008C6B48">
          <w:rPr>
            <w:webHidden/>
          </w:rPr>
        </w:r>
        <w:r w:rsidR="008C6B48">
          <w:rPr>
            <w:webHidden/>
          </w:rPr>
          <w:fldChar w:fldCharType="separate"/>
        </w:r>
        <w:r w:rsidR="008C6B48">
          <w:rPr>
            <w:webHidden/>
          </w:rPr>
          <w:t>8</w:t>
        </w:r>
        <w:r w:rsidR="008C6B48">
          <w:rPr>
            <w:webHidden/>
          </w:rPr>
          <w:fldChar w:fldCharType="end"/>
        </w:r>
      </w:hyperlink>
    </w:p>
    <w:p w14:paraId="428CFAD9" w14:textId="77777777" w:rsidR="008C6B48" w:rsidRDefault="0040559F">
      <w:pPr>
        <w:pStyle w:val="TOC2"/>
        <w:rPr>
          <w:rFonts w:asciiTheme="minorHAnsi" w:eastAsiaTheme="minorEastAsia" w:hAnsiTheme="minorHAnsi" w:cstheme="minorBidi"/>
          <w:spacing w:val="0"/>
          <w:sz w:val="22"/>
          <w:szCs w:val="22"/>
        </w:rPr>
      </w:pPr>
      <w:hyperlink w:anchor="_Toc444690626" w:history="1">
        <w:r w:rsidR="008C6B48" w:rsidRPr="0010059D">
          <w:rPr>
            <w:rStyle w:val="Hyperlink"/>
          </w:rPr>
          <w:t>Unacceptable levels of interference</w:t>
        </w:r>
        <w:r w:rsidR="008C6B48">
          <w:rPr>
            <w:webHidden/>
          </w:rPr>
          <w:tab/>
        </w:r>
        <w:r w:rsidR="008C6B48">
          <w:rPr>
            <w:webHidden/>
          </w:rPr>
          <w:fldChar w:fldCharType="begin"/>
        </w:r>
        <w:r w:rsidR="008C6B48">
          <w:rPr>
            <w:webHidden/>
          </w:rPr>
          <w:instrText xml:space="preserve"> PAGEREF _Toc444690626 \h </w:instrText>
        </w:r>
        <w:r w:rsidR="008C6B48">
          <w:rPr>
            <w:webHidden/>
          </w:rPr>
        </w:r>
        <w:r w:rsidR="008C6B48">
          <w:rPr>
            <w:webHidden/>
          </w:rPr>
          <w:fldChar w:fldCharType="separate"/>
        </w:r>
        <w:r w:rsidR="008C6B48">
          <w:rPr>
            <w:webHidden/>
          </w:rPr>
          <w:t>10</w:t>
        </w:r>
        <w:r w:rsidR="008C6B48">
          <w:rPr>
            <w:webHidden/>
          </w:rPr>
          <w:fldChar w:fldCharType="end"/>
        </w:r>
      </w:hyperlink>
    </w:p>
    <w:p w14:paraId="358036F7" w14:textId="77777777" w:rsidR="008C6B48" w:rsidRDefault="0040559F">
      <w:pPr>
        <w:pStyle w:val="TOC2"/>
        <w:rPr>
          <w:rFonts w:asciiTheme="minorHAnsi" w:eastAsiaTheme="minorEastAsia" w:hAnsiTheme="minorHAnsi" w:cstheme="minorBidi"/>
          <w:spacing w:val="0"/>
          <w:sz w:val="22"/>
          <w:szCs w:val="22"/>
        </w:rPr>
      </w:pPr>
      <w:hyperlink w:anchor="_Toc444690627" w:history="1">
        <w:r w:rsidR="008C6B48" w:rsidRPr="0010059D">
          <w:rPr>
            <w:rStyle w:val="Hyperlink"/>
          </w:rPr>
          <w:t>Radiocommunications advisory guidelines</w:t>
        </w:r>
        <w:r w:rsidR="008C6B48">
          <w:rPr>
            <w:webHidden/>
          </w:rPr>
          <w:tab/>
        </w:r>
        <w:r w:rsidR="008C6B48">
          <w:rPr>
            <w:webHidden/>
          </w:rPr>
          <w:fldChar w:fldCharType="begin"/>
        </w:r>
        <w:r w:rsidR="008C6B48">
          <w:rPr>
            <w:webHidden/>
          </w:rPr>
          <w:instrText xml:space="preserve"> PAGEREF _Toc444690627 \h </w:instrText>
        </w:r>
        <w:r w:rsidR="008C6B48">
          <w:rPr>
            <w:webHidden/>
          </w:rPr>
        </w:r>
        <w:r w:rsidR="008C6B48">
          <w:rPr>
            <w:webHidden/>
          </w:rPr>
          <w:fldChar w:fldCharType="separate"/>
        </w:r>
        <w:r w:rsidR="008C6B48">
          <w:rPr>
            <w:webHidden/>
          </w:rPr>
          <w:t>11</w:t>
        </w:r>
        <w:r w:rsidR="008C6B48">
          <w:rPr>
            <w:webHidden/>
          </w:rPr>
          <w:fldChar w:fldCharType="end"/>
        </w:r>
      </w:hyperlink>
    </w:p>
    <w:p w14:paraId="12C97D4C" w14:textId="77777777" w:rsidR="008C6B48" w:rsidRDefault="0040559F">
      <w:pPr>
        <w:pStyle w:val="TOC3"/>
        <w:rPr>
          <w:rFonts w:asciiTheme="minorHAnsi" w:eastAsiaTheme="minorEastAsia" w:hAnsiTheme="minorHAnsi" w:cstheme="minorBidi"/>
        </w:rPr>
      </w:pPr>
      <w:hyperlink w:anchor="_Toc444690628" w:history="1">
        <w:r w:rsidR="008C6B48" w:rsidRPr="0010059D">
          <w:rPr>
            <w:rStyle w:val="Hyperlink"/>
          </w:rPr>
          <w:t>Managing interference from spectrum-licensed transmitters</w:t>
        </w:r>
        <w:r w:rsidR="008C6B48">
          <w:rPr>
            <w:webHidden/>
          </w:rPr>
          <w:tab/>
        </w:r>
        <w:r w:rsidR="008C6B48">
          <w:rPr>
            <w:webHidden/>
          </w:rPr>
          <w:fldChar w:fldCharType="begin"/>
        </w:r>
        <w:r w:rsidR="008C6B48">
          <w:rPr>
            <w:webHidden/>
          </w:rPr>
          <w:instrText xml:space="preserve"> PAGEREF _Toc444690628 \h </w:instrText>
        </w:r>
        <w:r w:rsidR="008C6B48">
          <w:rPr>
            <w:webHidden/>
          </w:rPr>
        </w:r>
        <w:r w:rsidR="008C6B48">
          <w:rPr>
            <w:webHidden/>
          </w:rPr>
          <w:fldChar w:fldCharType="separate"/>
        </w:r>
        <w:r w:rsidR="008C6B48">
          <w:rPr>
            <w:webHidden/>
          </w:rPr>
          <w:t>11</w:t>
        </w:r>
        <w:r w:rsidR="008C6B48">
          <w:rPr>
            <w:webHidden/>
          </w:rPr>
          <w:fldChar w:fldCharType="end"/>
        </w:r>
      </w:hyperlink>
    </w:p>
    <w:p w14:paraId="56D87EBC" w14:textId="77777777" w:rsidR="008C6B48" w:rsidRDefault="0040559F">
      <w:pPr>
        <w:pStyle w:val="TOC3"/>
        <w:rPr>
          <w:rFonts w:asciiTheme="minorHAnsi" w:eastAsiaTheme="minorEastAsia" w:hAnsiTheme="minorHAnsi" w:cstheme="minorBidi"/>
        </w:rPr>
      </w:pPr>
      <w:hyperlink w:anchor="_Toc444690629" w:history="1">
        <w:r w:rsidR="008C6B48" w:rsidRPr="0010059D">
          <w:rPr>
            <w:rStyle w:val="Hyperlink"/>
          </w:rPr>
          <w:t>Managing interference to spectrum-licensed receivers</w:t>
        </w:r>
        <w:r w:rsidR="008C6B48">
          <w:rPr>
            <w:webHidden/>
          </w:rPr>
          <w:tab/>
        </w:r>
        <w:r w:rsidR="008C6B48">
          <w:rPr>
            <w:webHidden/>
          </w:rPr>
          <w:fldChar w:fldCharType="begin"/>
        </w:r>
        <w:r w:rsidR="008C6B48">
          <w:rPr>
            <w:webHidden/>
          </w:rPr>
          <w:instrText xml:space="preserve"> PAGEREF _Toc444690629 \h </w:instrText>
        </w:r>
        <w:r w:rsidR="008C6B48">
          <w:rPr>
            <w:webHidden/>
          </w:rPr>
        </w:r>
        <w:r w:rsidR="008C6B48">
          <w:rPr>
            <w:webHidden/>
          </w:rPr>
          <w:fldChar w:fldCharType="separate"/>
        </w:r>
        <w:r w:rsidR="008C6B48">
          <w:rPr>
            <w:webHidden/>
          </w:rPr>
          <w:t>12</w:t>
        </w:r>
        <w:r w:rsidR="008C6B48">
          <w:rPr>
            <w:webHidden/>
          </w:rPr>
          <w:fldChar w:fldCharType="end"/>
        </w:r>
      </w:hyperlink>
    </w:p>
    <w:p w14:paraId="4A82DFFE" w14:textId="77777777" w:rsidR="008C6B48" w:rsidRDefault="0040559F">
      <w:pPr>
        <w:pStyle w:val="TOC1"/>
        <w:rPr>
          <w:rFonts w:asciiTheme="minorHAnsi" w:eastAsiaTheme="minorEastAsia" w:hAnsiTheme="minorHAnsi" w:cstheme="minorBidi"/>
          <w:b w:val="0"/>
          <w:spacing w:val="0"/>
          <w:sz w:val="22"/>
          <w:szCs w:val="22"/>
        </w:rPr>
      </w:pPr>
      <w:hyperlink w:anchor="_Toc444690630" w:history="1">
        <w:r w:rsidR="008C6B48" w:rsidRPr="0010059D">
          <w:rPr>
            <w:rStyle w:val="Hyperlink"/>
          </w:rPr>
          <w:t>Attachment A—2 GHz spectrum licence band arrangements (paired segment)</w:t>
        </w:r>
        <w:r w:rsidR="008C6B48">
          <w:rPr>
            <w:webHidden/>
          </w:rPr>
          <w:tab/>
        </w:r>
        <w:r w:rsidR="008C6B48">
          <w:rPr>
            <w:webHidden/>
          </w:rPr>
          <w:fldChar w:fldCharType="begin"/>
        </w:r>
        <w:r w:rsidR="008C6B48">
          <w:rPr>
            <w:webHidden/>
          </w:rPr>
          <w:instrText xml:space="preserve"> PAGEREF _Toc444690630 \h </w:instrText>
        </w:r>
        <w:r w:rsidR="008C6B48">
          <w:rPr>
            <w:webHidden/>
          </w:rPr>
        </w:r>
        <w:r w:rsidR="008C6B48">
          <w:rPr>
            <w:webHidden/>
          </w:rPr>
          <w:fldChar w:fldCharType="separate"/>
        </w:r>
        <w:r w:rsidR="008C6B48">
          <w:rPr>
            <w:webHidden/>
          </w:rPr>
          <w:t>13</w:t>
        </w:r>
        <w:r w:rsidR="008C6B48">
          <w:rPr>
            <w:webHidden/>
          </w:rPr>
          <w:fldChar w:fldCharType="end"/>
        </w:r>
      </w:hyperlink>
    </w:p>
    <w:p w14:paraId="19D7EA1E" w14:textId="77777777" w:rsidR="008C6B48" w:rsidRDefault="0040559F">
      <w:pPr>
        <w:pStyle w:val="TOC1"/>
        <w:rPr>
          <w:rFonts w:asciiTheme="minorHAnsi" w:eastAsiaTheme="minorEastAsia" w:hAnsiTheme="minorHAnsi" w:cstheme="minorBidi"/>
          <w:b w:val="0"/>
          <w:spacing w:val="0"/>
          <w:sz w:val="22"/>
          <w:szCs w:val="22"/>
        </w:rPr>
      </w:pPr>
      <w:hyperlink w:anchor="_Toc444690631" w:history="1">
        <w:r w:rsidR="008C6B48" w:rsidRPr="0010059D">
          <w:rPr>
            <w:rStyle w:val="Hyperlink"/>
          </w:rPr>
          <w:t>Attachment B—Proposed changes to the conditions of the 2 GHz spectrum licences</w:t>
        </w:r>
        <w:r w:rsidR="008C6B48">
          <w:rPr>
            <w:webHidden/>
          </w:rPr>
          <w:tab/>
        </w:r>
        <w:r w:rsidR="008C6B48">
          <w:rPr>
            <w:webHidden/>
          </w:rPr>
          <w:fldChar w:fldCharType="begin"/>
        </w:r>
        <w:r w:rsidR="008C6B48">
          <w:rPr>
            <w:webHidden/>
          </w:rPr>
          <w:instrText xml:space="preserve"> PAGEREF _Toc444690631 \h </w:instrText>
        </w:r>
        <w:r w:rsidR="008C6B48">
          <w:rPr>
            <w:webHidden/>
          </w:rPr>
        </w:r>
        <w:r w:rsidR="008C6B48">
          <w:rPr>
            <w:webHidden/>
          </w:rPr>
          <w:fldChar w:fldCharType="separate"/>
        </w:r>
        <w:r w:rsidR="008C6B48">
          <w:rPr>
            <w:webHidden/>
          </w:rPr>
          <w:t>15</w:t>
        </w:r>
        <w:r w:rsidR="008C6B48">
          <w:rPr>
            <w:webHidden/>
          </w:rPr>
          <w:fldChar w:fldCharType="end"/>
        </w:r>
      </w:hyperlink>
    </w:p>
    <w:p w14:paraId="0B3D4862" w14:textId="77777777" w:rsidR="008C6B48" w:rsidRDefault="0040559F">
      <w:pPr>
        <w:pStyle w:val="TOC2"/>
        <w:rPr>
          <w:rFonts w:asciiTheme="minorHAnsi" w:eastAsiaTheme="minorEastAsia" w:hAnsiTheme="minorHAnsi" w:cstheme="minorBidi"/>
          <w:spacing w:val="0"/>
          <w:sz w:val="22"/>
          <w:szCs w:val="22"/>
        </w:rPr>
      </w:pPr>
      <w:hyperlink w:anchor="_Toc444690632" w:history="1">
        <w:r w:rsidR="008C6B48" w:rsidRPr="0010059D">
          <w:rPr>
            <w:rStyle w:val="Hyperlink"/>
          </w:rPr>
          <w:t>B1</w:t>
        </w:r>
        <w:r w:rsidR="008C6B48">
          <w:rPr>
            <w:rFonts w:asciiTheme="minorHAnsi" w:eastAsiaTheme="minorEastAsia" w:hAnsiTheme="minorHAnsi" w:cstheme="minorBidi"/>
            <w:spacing w:val="0"/>
            <w:sz w:val="22"/>
            <w:szCs w:val="22"/>
          </w:rPr>
          <w:tab/>
        </w:r>
        <w:r w:rsidR="008C6B48" w:rsidRPr="0010059D">
          <w:rPr>
            <w:rStyle w:val="Hyperlink"/>
            <w:lang w:eastAsia="en-US"/>
          </w:rPr>
          <w:t>Unwanted emission limits</w:t>
        </w:r>
        <w:r w:rsidR="008C6B48">
          <w:rPr>
            <w:webHidden/>
          </w:rPr>
          <w:tab/>
        </w:r>
        <w:r w:rsidR="008C6B48">
          <w:rPr>
            <w:webHidden/>
          </w:rPr>
          <w:fldChar w:fldCharType="begin"/>
        </w:r>
        <w:r w:rsidR="008C6B48">
          <w:rPr>
            <w:webHidden/>
          </w:rPr>
          <w:instrText xml:space="preserve"> PAGEREF _Toc444690632 \h </w:instrText>
        </w:r>
        <w:r w:rsidR="008C6B48">
          <w:rPr>
            <w:webHidden/>
          </w:rPr>
        </w:r>
        <w:r w:rsidR="008C6B48">
          <w:rPr>
            <w:webHidden/>
          </w:rPr>
          <w:fldChar w:fldCharType="separate"/>
        </w:r>
        <w:r w:rsidR="008C6B48">
          <w:rPr>
            <w:webHidden/>
          </w:rPr>
          <w:t>15</w:t>
        </w:r>
        <w:r w:rsidR="008C6B48">
          <w:rPr>
            <w:webHidden/>
          </w:rPr>
          <w:fldChar w:fldCharType="end"/>
        </w:r>
      </w:hyperlink>
    </w:p>
    <w:p w14:paraId="490E9604" w14:textId="77777777" w:rsidR="008C6B48" w:rsidRDefault="0040559F">
      <w:pPr>
        <w:pStyle w:val="TOC2"/>
        <w:rPr>
          <w:rFonts w:asciiTheme="minorHAnsi" w:eastAsiaTheme="minorEastAsia" w:hAnsiTheme="minorHAnsi" w:cstheme="minorBidi"/>
          <w:spacing w:val="0"/>
          <w:sz w:val="22"/>
          <w:szCs w:val="22"/>
        </w:rPr>
      </w:pPr>
      <w:hyperlink w:anchor="_Toc444690633" w:history="1">
        <w:r w:rsidR="008C6B48" w:rsidRPr="0010059D">
          <w:rPr>
            <w:rStyle w:val="Hyperlink"/>
          </w:rPr>
          <w:t>B2</w:t>
        </w:r>
        <w:r w:rsidR="008C6B48">
          <w:rPr>
            <w:rFonts w:asciiTheme="minorHAnsi" w:eastAsiaTheme="minorEastAsia" w:hAnsiTheme="minorHAnsi" w:cstheme="minorBidi"/>
            <w:spacing w:val="0"/>
            <w:sz w:val="22"/>
            <w:szCs w:val="22"/>
          </w:rPr>
          <w:tab/>
        </w:r>
        <w:r w:rsidR="008C6B48" w:rsidRPr="0010059D">
          <w:rPr>
            <w:rStyle w:val="Hyperlink"/>
          </w:rPr>
          <w:t>Additional s</w:t>
        </w:r>
        <w:r w:rsidR="008C6B48" w:rsidRPr="0010059D">
          <w:rPr>
            <w:rStyle w:val="Hyperlink"/>
            <w:lang w:eastAsia="en-US"/>
          </w:rPr>
          <w:t>purious emission limit requirements</w:t>
        </w:r>
        <w:r w:rsidR="008C6B48">
          <w:rPr>
            <w:webHidden/>
          </w:rPr>
          <w:tab/>
        </w:r>
        <w:r w:rsidR="008C6B48">
          <w:rPr>
            <w:webHidden/>
          </w:rPr>
          <w:fldChar w:fldCharType="begin"/>
        </w:r>
        <w:r w:rsidR="008C6B48">
          <w:rPr>
            <w:webHidden/>
          </w:rPr>
          <w:instrText xml:space="preserve"> PAGEREF _Toc444690633 \h </w:instrText>
        </w:r>
        <w:r w:rsidR="008C6B48">
          <w:rPr>
            <w:webHidden/>
          </w:rPr>
        </w:r>
        <w:r w:rsidR="008C6B48">
          <w:rPr>
            <w:webHidden/>
          </w:rPr>
          <w:fldChar w:fldCharType="separate"/>
        </w:r>
        <w:r w:rsidR="008C6B48">
          <w:rPr>
            <w:webHidden/>
          </w:rPr>
          <w:t>20</w:t>
        </w:r>
        <w:r w:rsidR="008C6B48">
          <w:rPr>
            <w:webHidden/>
          </w:rPr>
          <w:fldChar w:fldCharType="end"/>
        </w:r>
      </w:hyperlink>
    </w:p>
    <w:p w14:paraId="4F9DFD0E" w14:textId="77777777" w:rsidR="008C6B48" w:rsidRDefault="0040559F">
      <w:pPr>
        <w:pStyle w:val="TOC2"/>
        <w:rPr>
          <w:rFonts w:asciiTheme="minorHAnsi" w:eastAsiaTheme="minorEastAsia" w:hAnsiTheme="minorHAnsi" w:cstheme="minorBidi"/>
          <w:spacing w:val="0"/>
          <w:sz w:val="22"/>
          <w:szCs w:val="22"/>
        </w:rPr>
      </w:pPr>
      <w:hyperlink w:anchor="_Toc444690634" w:history="1">
        <w:r w:rsidR="008C6B48" w:rsidRPr="0010059D">
          <w:rPr>
            <w:rStyle w:val="Hyperlink"/>
          </w:rPr>
          <w:t>B3</w:t>
        </w:r>
        <w:r w:rsidR="008C6B48">
          <w:rPr>
            <w:rFonts w:asciiTheme="minorHAnsi" w:eastAsiaTheme="minorEastAsia" w:hAnsiTheme="minorHAnsi" w:cstheme="minorBidi"/>
            <w:spacing w:val="0"/>
            <w:sz w:val="22"/>
            <w:szCs w:val="22"/>
          </w:rPr>
          <w:tab/>
        </w:r>
        <w:r w:rsidR="008C6B48" w:rsidRPr="0010059D">
          <w:rPr>
            <w:rStyle w:val="Hyperlink"/>
          </w:rPr>
          <w:t>Out-of-area e</w:t>
        </w:r>
        <w:r w:rsidR="008C6B48" w:rsidRPr="0010059D">
          <w:rPr>
            <w:rStyle w:val="Hyperlink"/>
            <w:lang w:eastAsia="en-US"/>
          </w:rPr>
          <w:t>mission limit</w:t>
        </w:r>
        <w:r w:rsidR="008C6B48">
          <w:rPr>
            <w:webHidden/>
          </w:rPr>
          <w:tab/>
        </w:r>
        <w:r w:rsidR="008C6B48">
          <w:rPr>
            <w:webHidden/>
          </w:rPr>
          <w:fldChar w:fldCharType="begin"/>
        </w:r>
        <w:r w:rsidR="008C6B48">
          <w:rPr>
            <w:webHidden/>
          </w:rPr>
          <w:instrText xml:space="preserve"> PAGEREF _Toc444690634 \h </w:instrText>
        </w:r>
        <w:r w:rsidR="008C6B48">
          <w:rPr>
            <w:webHidden/>
          </w:rPr>
        </w:r>
        <w:r w:rsidR="008C6B48">
          <w:rPr>
            <w:webHidden/>
          </w:rPr>
          <w:fldChar w:fldCharType="separate"/>
        </w:r>
        <w:r w:rsidR="008C6B48">
          <w:rPr>
            <w:webHidden/>
          </w:rPr>
          <w:t>22</w:t>
        </w:r>
        <w:r w:rsidR="008C6B48">
          <w:rPr>
            <w:webHidden/>
          </w:rPr>
          <w:fldChar w:fldCharType="end"/>
        </w:r>
      </w:hyperlink>
    </w:p>
    <w:p w14:paraId="7B01E79C" w14:textId="77777777" w:rsidR="008C6B48" w:rsidRDefault="0040559F">
      <w:pPr>
        <w:pStyle w:val="TOC2"/>
        <w:rPr>
          <w:rFonts w:asciiTheme="minorHAnsi" w:eastAsiaTheme="minorEastAsia" w:hAnsiTheme="minorHAnsi" w:cstheme="minorBidi"/>
          <w:spacing w:val="0"/>
          <w:sz w:val="22"/>
          <w:szCs w:val="22"/>
        </w:rPr>
      </w:pPr>
      <w:hyperlink w:anchor="_Toc444690635" w:history="1">
        <w:r w:rsidR="008C6B48" w:rsidRPr="0010059D">
          <w:rPr>
            <w:rStyle w:val="Hyperlink"/>
          </w:rPr>
          <w:t>B4</w:t>
        </w:r>
        <w:r w:rsidR="008C6B48">
          <w:rPr>
            <w:rFonts w:asciiTheme="minorHAnsi" w:eastAsiaTheme="minorEastAsia" w:hAnsiTheme="minorHAnsi" w:cstheme="minorBidi"/>
            <w:spacing w:val="0"/>
            <w:sz w:val="22"/>
            <w:szCs w:val="22"/>
          </w:rPr>
          <w:tab/>
        </w:r>
        <w:r w:rsidR="008C6B48" w:rsidRPr="0010059D">
          <w:rPr>
            <w:rStyle w:val="Hyperlink"/>
          </w:rPr>
          <w:t>Exemption from registration requirements</w:t>
        </w:r>
        <w:r w:rsidR="008C6B48">
          <w:rPr>
            <w:webHidden/>
          </w:rPr>
          <w:tab/>
        </w:r>
        <w:r w:rsidR="008C6B48">
          <w:rPr>
            <w:webHidden/>
          </w:rPr>
          <w:fldChar w:fldCharType="begin"/>
        </w:r>
        <w:r w:rsidR="008C6B48">
          <w:rPr>
            <w:webHidden/>
          </w:rPr>
          <w:instrText xml:space="preserve"> PAGEREF _Toc444690635 \h </w:instrText>
        </w:r>
        <w:r w:rsidR="008C6B48">
          <w:rPr>
            <w:webHidden/>
          </w:rPr>
        </w:r>
        <w:r w:rsidR="008C6B48">
          <w:rPr>
            <w:webHidden/>
          </w:rPr>
          <w:fldChar w:fldCharType="separate"/>
        </w:r>
        <w:r w:rsidR="008C6B48">
          <w:rPr>
            <w:webHidden/>
          </w:rPr>
          <w:t>22</w:t>
        </w:r>
        <w:r w:rsidR="008C6B48">
          <w:rPr>
            <w:webHidden/>
          </w:rPr>
          <w:fldChar w:fldCharType="end"/>
        </w:r>
      </w:hyperlink>
    </w:p>
    <w:p w14:paraId="131F5099" w14:textId="77777777" w:rsidR="008C6B48" w:rsidRDefault="0040559F">
      <w:pPr>
        <w:pStyle w:val="TOC1"/>
        <w:rPr>
          <w:rFonts w:asciiTheme="minorHAnsi" w:eastAsiaTheme="minorEastAsia" w:hAnsiTheme="minorHAnsi" w:cstheme="minorBidi"/>
          <w:b w:val="0"/>
          <w:spacing w:val="0"/>
          <w:sz w:val="22"/>
          <w:szCs w:val="22"/>
        </w:rPr>
      </w:pPr>
      <w:hyperlink w:anchor="_Toc444690636" w:history="1">
        <w:r w:rsidR="008C6B48" w:rsidRPr="0010059D">
          <w:rPr>
            <w:rStyle w:val="Hyperlink"/>
          </w:rPr>
          <w:t>Attachment C—Proposed changes to the section 145 determination for the 2 GHz band</w:t>
        </w:r>
        <w:r w:rsidR="008C6B48">
          <w:rPr>
            <w:webHidden/>
          </w:rPr>
          <w:tab/>
        </w:r>
        <w:r w:rsidR="008C6B48">
          <w:rPr>
            <w:webHidden/>
          </w:rPr>
          <w:fldChar w:fldCharType="begin"/>
        </w:r>
        <w:r w:rsidR="008C6B48">
          <w:rPr>
            <w:webHidden/>
          </w:rPr>
          <w:instrText xml:space="preserve"> PAGEREF _Toc444690636 \h </w:instrText>
        </w:r>
        <w:r w:rsidR="008C6B48">
          <w:rPr>
            <w:webHidden/>
          </w:rPr>
        </w:r>
        <w:r w:rsidR="008C6B48">
          <w:rPr>
            <w:webHidden/>
          </w:rPr>
          <w:fldChar w:fldCharType="separate"/>
        </w:r>
        <w:r w:rsidR="008C6B48">
          <w:rPr>
            <w:webHidden/>
          </w:rPr>
          <w:t>23</w:t>
        </w:r>
        <w:r w:rsidR="008C6B48">
          <w:rPr>
            <w:webHidden/>
          </w:rPr>
          <w:fldChar w:fldCharType="end"/>
        </w:r>
      </w:hyperlink>
    </w:p>
    <w:p w14:paraId="3363BA0D" w14:textId="77777777" w:rsidR="008C6B48" w:rsidRDefault="0040559F">
      <w:pPr>
        <w:pStyle w:val="TOC2"/>
        <w:rPr>
          <w:rFonts w:asciiTheme="minorHAnsi" w:eastAsiaTheme="minorEastAsia" w:hAnsiTheme="minorHAnsi" w:cstheme="minorBidi"/>
          <w:spacing w:val="0"/>
          <w:sz w:val="22"/>
          <w:szCs w:val="22"/>
        </w:rPr>
      </w:pPr>
      <w:hyperlink w:anchor="_Toc444690637" w:history="1">
        <w:r w:rsidR="008C6B48" w:rsidRPr="0010059D">
          <w:rPr>
            <w:rStyle w:val="Hyperlink"/>
          </w:rPr>
          <w:t xml:space="preserve">C1 </w:t>
        </w:r>
        <w:r w:rsidR="008C6B48">
          <w:rPr>
            <w:rFonts w:asciiTheme="minorHAnsi" w:eastAsiaTheme="minorEastAsia" w:hAnsiTheme="minorHAnsi" w:cstheme="minorBidi"/>
            <w:spacing w:val="0"/>
            <w:sz w:val="22"/>
            <w:szCs w:val="22"/>
          </w:rPr>
          <w:tab/>
        </w:r>
        <w:r w:rsidR="008C6B48" w:rsidRPr="0010059D">
          <w:rPr>
            <w:rStyle w:val="Hyperlink"/>
          </w:rPr>
          <w:t>System model</w:t>
        </w:r>
        <w:r w:rsidR="008C6B48">
          <w:rPr>
            <w:webHidden/>
          </w:rPr>
          <w:tab/>
        </w:r>
        <w:r w:rsidR="008C6B48">
          <w:rPr>
            <w:webHidden/>
          </w:rPr>
          <w:fldChar w:fldCharType="begin"/>
        </w:r>
        <w:r w:rsidR="008C6B48">
          <w:rPr>
            <w:webHidden/>
          </w:rPr>
          <w:instrText xml:space="preserve"> PAGEREF _Toc444690637 \h </w:instrText>
        </w:r>
        <w:r w:rsidR="008C6B48">
          <w:rPr>
            <w:webHidden/>
          </w:rPr>
        </w:r>
        <w:r w:rsidR="008C6B48">
          <w:rPr>
            <w:webHidden/>
          </w:rPr>
          <w:fldChar w:fldCharType="separate"/>
        </w:r>
        <w:r w:rsidR="008C6B48">
          <w:rPr>
            <w:webHidden/>
          </w:rPr>
          <w:t>23</w:t>
        </w:r>
        <w:r w:rsidR="008C6B48">
          <w:rPr>
            <w:webHidden/>
          </w:rPr>
          <w:fldChar w:fldCharType="end"/>
        </w:r>
      </w:hyperlink>
    </w:p>
    <w:p w14:paraId="13E54E9B" w14:textId="77777777" w:rsidR="008C6B48" w:rsidRDefault="0040559F">
      <w:pPr>
        <w:pStyle w:val="TOC2"/>
        <w:rPr>
          <w:rFonts w:asciiTheme="minorHAnsi" w:eastAsiaTheme="minorEastAsia" w:hAnsiTheme="minorHAnsi" w:cstheme="minorBidi"/>
          <w:spacing w:val="0"/>
          <w:sz w:val="22"/>
          <w:szCs w:val="22"/>
        </w:rPr>
      </w:pPr>
      <w:hyperlink w:anchor="_Toc444690638" w:history="1">
        <w:r w:rsidR="008C6B48" w:rsidRPr="0010059D">
          <w:rPr>
            <w:rStyle w:val="Hyperlink"/>
          </w:rPr>
          <w:t>C2</w:t>
        </w:r>
        <w:r w:rsidR="008C6B48">
          <w:rPr>
            <w:rFonts w:asciiTheme="minorHAnsi" w:eastAsiaTheme="minorEastAsia" w:hAnsiTheme="minorHAnsi" w:cstheme="minorBidi"/>
            <w:spacing w:val="0"/>
            <w:sz w:val="22"/>
            <w:szCs w:val="22"/>
          </w:rPr>
          <w:tab/>
        </w:r>
        <w:r w:rsidR="008C6B48" w:rsidRPr="0010059D">
          <w:rPr>
            <w:rStyle w:val="Hyperlink"/>
            <w:lang w:eastAsia="en-US"/>
          </w:rPr>
          <w:t xml:space="preserve">Level of </w:t>
        </w:r>
        <w:r w:rsidR="008C6B48" w:rsidRPr="0010059D">
          <w:rPr>
            <w:rStyle w:val="Hyperlink"/>
          </w:rPr>
          <w:t>protection</w:t>
        </w:r>
        <w:r w:rsidR="008C6B48">
          <w:rPr>
            <w:webHidden/>
          </w:rPr>
          <w:tab/>
        </w:r>
        <w:r w:rsidR="008C6B48">
          <w:rPr>
            <w:webHidden/>
          </w:rPr>
          <w:fldChar w:fldCharType="begin"/>
        </w:r>
        <w:r w:rsidR="008C6B48">
          <w:rPr>
            <w:webHidden/>
          </w:rPr>
          <w:instrText xml:space="preserve"> PAGEREF _Toc444690638 \h </w:instrText>
        </w:r>
        <w:r w:rsidR="008C6B48">
          <w:rPr>
            <w:webHidden/>
          </w:rPr>
        </w:r>
        <w:r w:rsidR="008C6B48">
          <w:rPr>
            <w:webHidden/>
          </w:rPr>
          <w:fldChar w:fldCharType="separate"/>
        </w:r>
        <w:r w:rsidR="008C6B48">
          <w:rPr>
            <w:webHidden/>
          </w:rPr>
          <w:t>24</w:t>
        </w:r>
        <w:r w:rsidR="008C6B48">
          <w:rPr>
            <w:webHidden/>
          </w:rPr>
          <w:fldChar w:fldCharType="end"/>
        </w:r>
      </w:hyperlink>
    </w:p>
    <w:p w14:paraId="5F054787" w14:textId="77777777" w:rsidR="008C6B48" w:rsidRDefault="0040559F">
      <w:pPr>
        <w:pStyle w:val="TOC2"/>
        <w:rPr>
          <w:rFonts w:asciiTheme="minorHAnsi" w:eastAsiaTheme="minorEastAsia" w:hAnsiTheme="minorHAnsi" w:cstheme="minorBidi"/>
          <w:spacing w:val="0"/>
          <w:sz w:val="22"/>
          <w:szCs w:val="22"/>
        </w:rPr>
      </w:pPr>
      <w:hyperlink w:anchor="_Toc444690639" w:history="1">
        <w:r w:rsidR="008C6B48" w:rsidRPr="0010059D">
          <w:rPr>
            <w:rStyle w:val="Hyperlink"/>
          </w:rPr>
          <w:t>C3</w:t>
        </w:r>
        <w:r w:rsidR="008C6B48">
          <w:rPr>
            <w:rFonts w:asciiTheme="minorHAnsi" w:eastAsiaTheme="minorEastAsia" w:hAnsiTheme="minorHAnsi" w:cstheme="minorBidi"/>
            <w:spacing w:val="0"/>
            <w:sz w:val="22"/>
            <w:szCs w:val="22"/>
          </w:rPr>
          <w:tab/>
        </w:r>
        <w:r w:rsidR="008C6B48" w:rsidRPr="0010059D">
          <w:rPr>
            <w:rStyle w:val="Hyperlink"/>
            <w:lang w:eastAsia="en-US"/>
          </w:rPr>
          <w:t>Propagation modelling</w:t>
        </w:r>
        <w:r w:rsidR="008C6B48">
          <w:rPr>
            <w:webHidden/>
          </w:rPr>
          <w:tab/>
        </w:r>
        <w:r w:rsidR="008C6B48">
          <w:rPr>
            <w:webHidden/>
          </w:rPr>
          <w:fldChar w:fldCharType="begin"/>
        </w:r>
        <w:r w:rsidR="008C6B48">
          <w:rPr>
            <w:webHidden/>
          </w:rPr>
          <w:instrText xml:space="preserve"> PAGEREF _Toc444690639 \h </w:instrText>
        </w:r>
        <w:r w:rsidR="008C6B48">
          <w:rPr>
            <w:webHidden/>
          </w:rPr>
        </w:r>
        <w:r w:rsidR="008C6B48">
          <w:rPr>
            <w:webHidden/>
          </w:rPr>
          <w:fldChar w:fldCharType="separate"/>
        </w:r>
        <w:r w:rsidR="008C6B48">
          <w:rPr>
            <w:webHidden/>
          </w:rPr>
          <w:t>24</w:t>
        </w:r>
        <w:r w:rsidR="008C6B48">
          <w:rPr>
            <w:webHidden/>
          </w:rPr>
          <w:fldChar w:fldCharType="end"/>
        </w:r>
      </w:hyperlink>
    </w:p>
    <w:p w14:paraId="68960139" w14:textId="77777777" w:rsidR="008C6B48" w:rsidRDefault="0040559F">
      <w:pPr>
        <w:pStyle w:val="TOC2"/>
        <w:rPr>
          <w:rFonts w:asciiTheme="minorHAnsi" w:eastAsiaTheme="minorEastAsia" w:hAnsiTheme="minorHAnsi" w:cstheme="minorBidi"/>
          <w:spacing w:val="0"/>
          <w:sz w:val="22"/>
          <w:szCs w:val="22"/>
        </w:rPr>
      </w:pPr>
      <w:hyperlink w:anchor="_Toc444690640" w:history="1">
        <w:r w:rsidR="008C6B48" w:rsidRPr="0010059D">
          <w:rPr>
            <w:rStyle w:val="Hyperlink"/>
          </w:rPr>
          <w:t xml:space="preserve">C4 </w:t>
        </w:r>
        <w:r w:rsidR="008C6B48">
          <w:rPr>
            <w:rFonts w:asciiTheme="minorHAnsi" w:eastAsiaTheme="minorEastAsia" w:hAnsiTheme="minorHAnsi" w:cstheme="minorBidi"/>
            <w:spacing w:val="0"/>
            <w:sz w:val="22"/>
            <w:szCs w:val="22"/>
          </w:rPr>
          <w:tab/>
        </w:r>
        <w:r w:rsidR="008C6B48" w:rsidRPr="0010059D">
          <w:rPr>
            <w:rStyle w:val="Hyperlink"/>
          </w:rPr>
          <w:t>Device boundary criterion</w:t>
        </w:r>
        <w:r w:rsidR="008C6B48">
          <w:rPr>
            <w:webHidden/>
          </w:rPr>
          <w:tab/>
        </w:r>
        <w:r w:rsidR="008C6B48">
          <w:rPr>
            <w:webHidden/>
          </w:rPr>
          <w:fldChar w:fldCharType="begin"/>
        </w:r>
        <w:r w:rsidR="008C6B48">
          <w:rPr>
            <w:webHidden/>
          </w:rPr>
          <w:instrText xml:space="preserve"> PAGEREF _Toc444690640 \h </w:instrText>
        </w:r>
        <w:r w:rsidR="008C6B48">
          <w:rPr>
            <w:webHidden/>
          </w:rPr>
        </w:r>
        <w:r w:rsidR="008C6B48">
          <w:rPr>
            <w:webHidden/>
          </w:rPr>
          <w:fldChar w:fldCharType="separate"/>
        </w:r>
        <w:r w:rsidR="008C6B48">
          <w:rPr>
            <w:webHidden/>
          </w:rPr>
          <w:t>25</w:t>
        </w:r>
        <w:r w:rsidR="008C6B48">
          <w:rPr>
            <w:webHidden/>
          </w:rPr>
          <w:fldChar w:fldCharType="end"/>
        </w:r>
      </w:hyperlink>
    </w:p>
    <w:p w14:paraId="5DB9D939" w14:textId="77777777" w:rsidR="008C6B48" w:rsidRDefault="0040559F">
      <w:pPr>
        <w:pStyle w:val="TOC2"/>
        <w:rPr>
          <w:rFonts w:asciiTheme="minorHAnsi" w:eastAsiaTheme="minorEastAsia" w:hAnsiTheme="minorHAnsi" w:cstheme="minorBidi"/>
          <w:spacing w:val="0"/>
          <w:sz w:val="22"/>
          <w:szCs w:val="22"/>
        </w:rPr>
      </w:pPr>
      <w:hyperlink w:anchor="_Toc444690641" w:history="1">
        <w:r w:rsidR="008C6B48" w:rsidRPr="0010059D">
          <w:rPr>
            <w:rStyle w:val="Hyperlink"/>
          </w:rPr>
          <w:t xml:space="preserve">C5 </w:t>
        </w:r>
        <w:r w:rsidR="008C6B48">
          <w:rPr>
            <w:rFonts w:asciiTheme="minorHAnsi" w:eastAsiaTheme="minorEastAsia" w:hAnsiTheme="minorHAnsi" w:cstheme="minorBidi"/>
            <w:spacing w:val="0"/>
            <w:sz w:val="22"/>
            <w:szCs w:val="22"/>
          </w:rPr>
          <w:tab/>
        </w:r>
        <w:r w:rsidR="008C6B48" w:rsidRPr="0010059D">
          <w:rPr>
            <w:rStyle w:val="Hyperlink"/>
          </w:rPr>
          <w:t>Groups of transmitters and receivers</w:t>
        </w:r>
        <w:r w:rsidR="008C6B48">
          <w:rPr>
            <w:webHidden/>
          </w:rPr>
          <w:tab/>
        </w:r>
        <w:r w:rsidR="008C6B48">
          <w:rPr>
            <w:webHidden/>
          </w:rPr>
          <w:fldChar w:fldCharType="begin"/>
        </w:r>
        <w:r w:rsidR="008C6B48">
          <w:rPr>
            <w:webHidden/>
          </w:rPr>
          <w:instrText xml:space="preserve"> PAGEREF _Toc444690641 \h </w:instrText>
        </w:r>
        <w:r w:rsidR="008C6B48">
          <w:rPr>
            <w:webHidden/>
          </w:rPr>
        </w:r>
        <w:r w:rsidR="008C6B48">
          <w:rPr>
            <w:webHidden/>
          </w:rPr>
          <w:fldChar w:fldCharType="separate"/>
        </w:r>
        <w:r w:rsidR="008C6B48">
          <w:rPr>
            <w:webHidden/>
          </w:rPr>
          <w:t>27</w:t>
        </w:r>
        <w:r w:rsidR="008C6B48">
          <w:rPr>
            <w:webHidden/>
          </w:rPr>
          <w:fldChar w:fldCharType="end"/>
        </w:r>
      </w:hyperlink>
    </w:p>
    <w:p w14:paraId="3DCF40AA" w14:textId="77777777" w:rsidR="008C6B48" w:rsidRDefault="0040559F">
      <w:pPr>
        <w:pStyle w:val="TOC2"/>
        <w:rPr>
          <w:rFonts w:asciiTheme="minorHAnsi" w:eastAsiaTheme="minorEastAsia" w:hAnsiTheme="minorHAnsi" w:cstheme="minorBidi"/>
          <w:spacing w:val="0"/>
          <w:sz w:val="22"/>
          <w:szCs w:val="22"/>
        </w:rPr>
      </w:pPr>
      <w:hyperlink w:anchor="_Toc444690642" w:history="1">
        <w:r w:rsidR="008C6B48" w:rsidRPr="0010059D">
          <w:rPr>
            <w:rStyle w:val="Hyperlink"/>
          </w:rPr>
          <w:t xml:space="preserve">C6 </w:t>
        </w:r>
        <w:r w:rsidR="008C6B48">
          <w:rPr>
            <w:rFonts w:asciiTheme="minorHAnsi" w:eastAsiaTheme="minorEastAsia" w:hAnsiTheme="minorHAnsi" w:cstheme="minorBidi"/>
            <w:spacing w:val="0"/>
            <w:sz w:val="22"/>
            <w:szCs w:val="22"/>
          </w:rPr>
          <w:tab/>
        </w:r>
        <w:r w:rsidR="008C6B48" w:rsidRPr="0010059D">
          <w:rPr>
            <w:rStyle w:val="Hyperlink"/>
          </w:rPr>
          <w:t>Deployment constraints</w:t>
        </w:r>
        <w:r w:rsidR="008C6B48">
          <w:rPr>
            <w:webHidden/>
          </w:rPr>
          <w:tab/>
        </w:r>
        <w:r w:rsidR="008C6B48">
          <w:rPr>
            <w:webHidden/>
          </w:rPr>
          <w:fldChar w:fldCharType="begin"/>
        </w:r>
        <w:r w:rsidR="008C6B48">
          <w:rPr>
            <w:webHidden/>
          </w:rPr>
          <w:instrText xml:space="preserve"> PAGEREF _Toc444690642 \h </w:instrText>
        </w:r>
        <w:r w:rsidR="008C6B48">
          <w:rPr>
            <w:webHidden/>
          </w:rPr>
        </w:r>
        <w:r w:rsidR="008C6B48">
          <w:rPr>
            <w:webHidden/>
          </w:rPr>
          <w:fldChar w:fldCharType="separate"/>
        </w:r>
        <w:r w:rsidR="008C6B48">
          <w:rPr>
            <w:webHidden/>
          </w:rPr>
          <w:t>27</w:t>
        </w:r>
        <w:r w:rsidR="008C6B48">
          <w:rPr>
            <w:webHidden/>
          </w:rPr>
          <w:fldChar w:fldCharType="end"/>
        </w:r>
      </w:hyperlink>
    </w:p>
    <w:p w14:paraId="6785890C" w14:textId="77777777" w:rsidR="008C6B48" w:rsidRDefault="008C6B48">
      <w:pPr>
        <w:pStyle w:val="TOC1"/>
        <w:rPr>
          <w:rStyle w:val="Hyperlink"/>
        </w:rPr>
      </w:pPr>
    </w:p>
    <w:p w14:paraId="52F0953F" w14:textId="77777777" w:rsidR="008C6B48" w:rsidRDefault="0040559F">
      <w:pPr>
        <w:pStyle w:val="TOC1"/>
        <w:rPr>
          <w:rFonts w:asciiTheme="minorHAnsi" w:eastAsiaTheme="minorEastAsia" w:hAnsiTheme="minorHAnsi" w:cstheme="minorBidi"/>
          <w:b w:val="0"/>
          <w:spacing w:val="0"/>
          <w:sz w:val="22"/>
          <w:szCs w:val="22"/>
        </w:rPr>
      </w:pPr>
      <w:hyperlink w:anchor="_Toc444690643" w:history="1">
        <w:r w:rsidR="008C6B48" w:rsidRPr="0010059D">
          <w:rPr>
            <w:rStyle w:val="Hyperlink"/>
          </w:rPr>
          <w:t>Attachment D—Proposed changes to the Radiocommunications Advisory Guidelines for managing interference from 2 GHz spectrum-licenced transmitters</w:t>
        </w:r>
        <w:r w:rsidR="008C6B48">
          <w:rPr>
            <w:webHidden/>
          </w:rPr>
          <w:tab/>
        </w:r>
        <w:r w:rsidR="008C6B48">
          <w:rPr>
            <w:webHidden/>
          </w:rPr>
          <w:fldChar w:fldCharType="begin"/>
        </w:r>
        <w:r w:rsidR="008C6B48">
          <w:rPr>
            <w:webHidden/>
          </w:rPr>
          <w:instrText xml:space="preserve"> PAGEREF _Toc444690643 \h </w:instrText>
        </w:r>
        <w:r w:rsidR="008C6B48">
          <w:rPr>
            <w:webHidden/>
          </w:rPr>
        </w:r>
        <w:r w:rsidR="008C6B48">
          <w:rPr>
            <w:webHidden/>
          </w:rPr>
          <w:fldChar w:fldCharType="separate"/>
        </w:r>
        <w:r w:rsidR="008C6B48">
          <w:rPr>
            <w:webHidden/>
          </w:rPr>
          <w:t>28</w:t>
        </w:r>
        <w:r w:rsidR="008C6B48">
          <w:rPr>
            <w:webHidden/>
          </w:rPr>
          <w:fldChar w:fldCharType="end"/>
        </w:r>
      </w:hyperlink>
    </w:p>
    <w:p w14:paraId="729A6368" w14:textId="77777777" w:rsidR="008C6B48" w:rsidRDefault="0040559F">
      <w:pPr>
        <w:pStyle w:val="TOC2"/>
        <w:rPr>
          <w:rFonts w:asciiTheme="minorHAnsi" w:eastAsiaTheme="minorEastAsia" w:hAnsiTheme="minorHAnsi" w:cstheme="minorBidi"/>
          <w:spacing w:val="0"/>
          <w:sz w:val="22"/>
          <w:szCs w:val="22"/>
        </w:rPr>
      </w:pPr>
      <w:hyperlink w:anchor="_Toc444690644" w:history="1">
        <w:r w:rsidR="008C6B48" w:rsidRPr="0010059D">
          <w:rPr>
            <w:rStyle w:val="Hyperlink"/>
            <w:lang w:eastAsia="en-US"/>
          </w:rPr>
          <w:t>D1</w:t>
        </w:r>
        <w:r w:rsidR="008C6B48">
          <w:rPr>
            <w:rFonts w:asciiTheme="minorHAnsi" w:eastAsiaTheme="minorEastAsia" w:hAnsiTheme="minorHAnsi" w:cstheme="minorBidi"/>
            <w:spacing w:val="0"/>
            <w:sz w:val="22"/>
            <w:szCs w:val="22"/>
          </w:rPr>
          <w:tab/>
        </w:r>
        <w:r w:rsidR="008C6B48" w:rsidRPr="0010059D">
          <w:rPr>
            <w:rStyle w:val="Hyperlink"/>
            <w:lang w:eastAsia="en-US"/>
          </w:rPr>
          <w:t>Point-to-point fixed service receivers</w:t>
        </w:r>
        <w:r w:rsidR="008C6B48">
          <w:rPr>
            <w:webHidden/>
          </w:rPr>
          <w:tab/>
        </w:r>
        <w:r w:rsidR="008C6B48">
          <w:rPr>
            <w:webHidden/>
          </w:rPr>
          <w:fldChar w:fldCharType="begin"/>
        </w:r>
        <w:r w:rsidR="008C6B48">
          <w:rPr>
            <w:webHidden/>
          </w:rPr>
          <w:instrText xml:space="preserve"> PAGEREF _Toc444690644 \h </w:instrText>
        </w:r>
        <w:r w:rsidR="008C6B48">
          <w:rPr>
            <w:webHidden/>
          </w:rPr>
        </w:r>
        <w:r w:rsidR="008C6B48">
          <w:rPr>
            <w:webHidden/>
          </w:rPr>
          <w:fldChar w:fldCharType="separate"/>
        </w:r>
        <w:r w:rsidR="008C6B48">
          <w:rPr>
            <w:webHidden/>
          </w:rPr>
          <w:t>28</w:t>
        </w:r>
        <w:r w:rsidR="008C6B48">
          <w:rPr>
            <w:webHidden/>
          </w:rPr>
          <w:fldChar w:fldCharType="end"/>
        </w:r>
      </w:hyperlink>
    </w:p>
    <w:p w14:paraId="27E47E99" w14:textId="77777777" w:rsidR="008C6B48" w:rsidRDefault="0040559F">
      <w:pPr>
        <w:pStyle w:val="TOC2"/>
        <w:rPr>
          <w:rFonts w:asciiTheme="minorHAnsi" w:eastAsiaTheme="minorEastAsia" w:hAnsiTheme="minorHAnsi" w:cstheme="minorBidi"/>
          <w:spacing w:val="0"/>
          <w:sz w:val="22"/>
          <w:szCs w:val="22"/>
        </w:rPr>
      </w:pPr>
      <w:hyperlink w:anchor="_Toc444690645" w:history="1">
        <w:r w:rsidR="008C6B48" w:rsidRPr="0010059D">
          <w:rPr>
            <w:rStyle w:val="Hyperlink"/>
            <w:lang w:eastAsia="en-US"/>
          </w:rPr>
          <w:t>D2</w:t>
        </w:r>
        <w:r w:rsidR="008C6B48">
          <w:rPr>
            <w:rFonts w:asciiTheme="minorHAnsi" w:eastAsiaTheme="minorEastAsia" w:hAnsiTheme="minorHAnsi" w:cstheme="minorBidi"/>
            <w:spacing w:val="0"/>
            <w:sz w:val="22"/>
            <w:szCs w:val="22"/>
          </w:rPr>
          <w:tab/>
        </w:r>
        <w:r w:rsidR="008C6B48" w:rsidRPr="0010059D">
          <w:rPr>
            <w:rStyle w:val="Hyperlink"/>
            <w:lang w:eastAsia="en-US"/>
          </w:rPr>
          <w:t>Mobile satellite service</w:t>
        </w:r>
        <w:r w:rsidR="008C6B48">
          <w:rPr>
            <w:webHidden/>
          </w:rPr>
          <w:tab/>
        </w:r>
        <w:r w:rsidR="008C6B48">
          <w:rPr>
            <w:webHidden/>
          </w:rPr>
          <w:fldChar w:fldCharType="begin"/>
        </w:r>
        <w:r w:rsidR="008C6B48">
          <w:rPr>
            <w:webHidden/>
          </w:rPr>
          <w:instrText xml:space="preserve"> PAGEREF _Toc444690645 \h </w:instrText>
        </w:r>
        <w:r w:rsidR="008C6B48">
          <w:rPr>
            <w:webHidden/>
          </w:rPr>
        </w:r>
        <w:r w:rsidR="008C6B48">
          <w:rPr>
            <w:webHidden/>
          </w:rPr>
          <w:fldChar w:fldCharType="separate"/>
        </w:r>
        <w:r w:rsidR="008C6B48">
          <w:rPr>
            <w:webHidden/>
          </w:rPr>
          <w:t>28</w:t>
        </w:r>
        <w:r w:rsidR="008C6B48">
          <w:rPr>
            <w:webHidden/>
          </w:rPr>
          <w:fldChar w:fldCharType="end"/>
        </w:r>
      </w:hyperlink>
    </w:p>
    <w:p w14:paraId="03D98A21" w14:textId="77777777" w:rsidR="008C6B48" w:rsidRDefault="0040559F">
      <w:pPr>
        <w:pStyle w:val="TOC2"/>
        <w:rPr>
          <w:rFonts w:asciiTheme="minorHAnsi" w:eastAsiaTheme="minorEastAsia" w:hAnsiTheme="minorHAnsi" w:cstheme="minorBidi"/>
          <w:spacing w:val="0"/>
          <w:sz w:val="22"/>
          <w:szCs w:val="22"/>
        </w:rPr>
      </w:pPr>
      <w:hyperlink w:anchor="_Toc444690646" w:history="1">
        <w:r w:rsidR="008C6B48" w:rsidRPr="0010059D">
          <w:rPr>
            <w:rStyle w:val="Hyperlink"/>
            <w:lang w:eastAsia="en-US"/>
          </w:rPr>
          <w:t>D3</w:t>
        </w:r>
        <w:r w:rsidR="008C6B48">
          <w:rPr>
            <w:rFonts w:asciiTheme="minorHAnsi" w:eastAsiaTheme="minorEastAsia" w:hAnsiTheme="minorHAnsi" w:cstheme="minorBidi"/>
            <w:spacing w:val="0"/>
            <w:sz w:val="22"/>
            <w:szCs w:val="22"/>
          </w:rPr>
          <w:tab/>
        </w:r>
        <w:r w:rsidR="008C6B48" w:rsidRPr="0010059D">
          <w:rPr>
            <w:rStyle w:val="Hyperlink"/>
            <w:lang w:eastAsia="en-US"/>
          </w:rPr>
          <w:t>Cordless telecommunications services</w:t>
        </w:r>
        <w:r w:rsidR="008C6B48">
          <w:rPr>
            <w:webHidden/>
          </w:rPr>
          <w:tab/>
        </w:r>
        <w:r w:rsidR="008C6B48">
          <w:rPr>
            <w:webHidden/>
          </w:rPr>
          <w:fldChar w:fldCharType="begin"/>
        </w:r>
        <w:r w:rsidR="008C6B48">
          <w:rPr>
            <w:webHidden/>
          </w:rPr>
          <w:instrText xml:space="preserve"> PAGEREF _Toc444690646 \h </w:instrText>
        </w:r>
        <w:r w:rsidR="008C6B48">
          <w:rPr>
            <w:webHidden/>
          </w:rPr>
        </w:r>
        <w:r w:rsidR="008C6B48">
          <w:rPr>
            <w:webHidden/>
          </w:rPr>
          <w:fldChar w:fldCharType="separate"/>
        </w:r>
        <w:r w:rsidR="008C6B48">
          <w:rPr>
            <w:webHidden/>
          </w:rPr>
          <w:t>28</w:t>
        </w:r>
        <w:r w:rsidR="008C6B48">
          <w:rPr>
            <w:webHidden/>
          </w:rPr>
          <w:fldChar w:fldCharType="end"/>
        </w:r>
      </w:hyperlink>
    </w:p>
    <w:p w14:paraId="4B94BF99" w14:textId="77777777" w:rsidR="008C6B48" w:rsidRDefault="0040559F">
      <w:pPr>
        <w:pStyle w:val="TOC2"/>
        <w:rPr>
          <w:rFonts w:asciiTheme="minorHAnsi" w:eastAsiaTheme="minorEastAsia" w:hAnsiTheme="minorHAnsi" w:cstheme="minorBidi"/>
          <w:spacing w:val="0"/>
          <w:sz w:val="22"/>
          <w:szCs w:val="22"/>
        </w:rPr>
      </w:pPr>
      <w:hyperlink w:anchor="_Toc444690647" w:history="1">
        <w:r w:rsidR="008C6B48" w:rsidRPr="0010059D">
          <w:rPr>
            <w:rStyle w:val="Hyperlink"/>
            <w:lang w:eastAsia="en-US"/>
          </w:rPr>
          <w:t>D4</w:t>
        </w:r>
        <w:r w:rsidR="008C6B48">
          <w:rPr>
            <w:rFonts w:asciiTheme="minorHAnsi" w:eastAsiaTheme="minorEastAsia" w:hAnsiTheme="minorHAnsi" w:cstheme="minorBidi"/>
            <w:spacing w:val="0"/>
            <w:sz w:val="22"/>
            <w:szCs w:val="22"/>
          </w:rPr>
          <w:tab/>
        </w:r>
        <w:r w:rsidR="008C6B48" w:rsidRPr="0010059D">
          <w:rPr>
            <w:rStyle w:val="Hyperlink"/>
            <w:lang w:eastAsia="en-US"/>
          </w:rPr>
          <w:t>Space services</w:t>
        </w:r>
        <w:r w:rsidR="008C6B48">
          <w:rPr>
            <w:webHidden/>
          </w:rPr>
          <w:tab/>
        </w:r>
        <w:r w:rsidR="008C6B48">
          <w:rPr>
            <w:webHidden/>
          </w:rPr>
          <w:fldChar w:fldCharType="begin"/>
        </w:r>
        <w:r w:rsidR="008C6B48">
          <w:rPr>
            <w:webHidden/>
          </w:rPr>
          <w:instrText xml:space="preserve"> PAGEREF _Toc444690647 \h </w:instrText>
        </w:r>
        <w:r w:rsidR="008C6B48">
          <w:rPr>
            <w:webHidden/>
          </w:rPr>
        </w:r>
        <w:r w:rsidR="008C6B48">
          <w:rPr>
            <w:webHidden/>
          </w:rPr>
          <w:fldChar w:fldCharType="separate"/>
        </w:r>
        <w:r w:rsidR="008C6B48">
          <w:rPr>
            <w:webHidden/>
          </w:rPr>
          <w:t>29</w:t>
        </w:r>
        <w:r w:rsidR="008C6B48">
          <w:rPr>
            <w:webHidden/>
          </w:rPr>
          <w:fldChar w:fldCharType="end"/>
        </w:r>
      </w:hyperlink>
    </w:p>
    <w:p w14:paraId="24871F7C" w14:textId="77777777" w:rsidR="008C6B48" w:rsidRDefault="0040559F">
      <w:pPr>
        <w:pStyle w:val="TOC2"/>
        <w:rPr>
          <w:rFonts w:asciiTheme="minorHAnsi" w:eastAsiaTheme="minorEastAsia" w:hAnsiTheme="minorHAnsi" w:cstheme="minorBidi"/>
          <w:spacing w:val="0"/>
          <w:sz w:val="22"/>
          <w:szCs w:val="22"/>
        </w:rPr>
      </w:pPr>
      <w:hyperlink w:anchor="_Toc444690648" w:history="1">
        <w:r w:rsidR="008C6B48" w:rsidRPr="0010059D">
          <w:rPr>
            <w:rStyle w:val="Hyperlink"/>
            <w:lang w:eastAsia="en-US"/>
          </w:rPr>
          <w:t>D5</w:t>
        </w:r>
        <w:r w:rsidR="008C6B48">
          <w:rPr>
            <w:rFonts w:asciiTheme="minorHAnsi" w:eastAsiaTheme="minorEastAsia" w:hAnsiTheme="minorHAnsi" w:cstheme="minorBidi"/>
            <w:spacing w:val="0"/>
            <w:sz w:val="22"/>
            <w:szCs w:val="22"/>
          </w:rPr>
          <w:tab/>
        </w:r>
        <w:r w:rsidR="008C6B48" w:rsidRPr="0010059D">
          <w:rPr>
            <w:rStyle w:val="Hyperlink"/>
            <w:lang w:eastAsia="en-US"/>
          </w:rPr>
          <w:t>Television outside broadcast (TVOB) services</w:t>
        </w:r>
        <w:r w:rsidR="008C6B48">
          <w:rPr>
            <w:webHidden/>
          </w:rPr>
          <w:tab/>
        </w:r>
        <w:r w:rsidR="008C6B48">
          <w:rPr>
            <w:webHidden/>
          </w:rPr>
          <w:fldChar w:fldCharType="begin"/>
        </w:r>
        <w:r w:rsidR="008C6B48">
          <w:rPr>
            <w:webHidden/>
          </w:rPr>
          <w:instrText xml:space="preserve"> PAGEREF _Toc444690648 \h </w:instrText>
        </w:r>
        <w:r w:rsidR="008C6B48">
          <w:rPr>
            <w:webHidden/>
          </w:rPr>
        </w:r>
        <w:r w:rsidR="008C6B48">
          <w:rPr>
            <w:webHidden/>
          </w:rPr>
          <w:fldChar w:fldCharType="separate"/>
        </w:r>
        <w:r w:rsidR="008C6B48">
          <w:rPr>
            <w:webHidden/>
          </w:rPr>
          <w:t>29</w:t>
        </w:r>
        <w:r w:rsidR="008C6B48">
          <w:rPr>
            <w:webHidden/>
          </w:rPr>
          <w:fldChar w:fldCharType="end"/>
        </w:r>
      </w:hyperlink>
    </w:p>
    <w:p w14:paraId="6ECF95C9" w14:textId="77777777" w:rsidR="008C6B48" w:rsidRDefault="0040559F">
      <w:pPr>
        <w:pStyle w:val="TOC2"/>
        <w:rPr>
          <w:rFonts w:asciiTheme="minorHAnsi" w:eastAsiaTheme="minorEastAsia" w:hAnsiTheme="minorHAnsi" w:cstheme="minorBidi"/>
          <w:spacing w:val="0"/>
          <w:sz w:val="22"/>
          <w:szCs w:val="22"/>
        </w:rPr>
      </w:pPr>
      <w:hyperlink w:anchor="_Toc444690649" w:history="1">
        <w:r w:rsidR="008C6B48" w:rsidRPr="0010059D">
          <w:rPr>
            <w:rStyle w:val="Hyperlink"/>
            <w:lang w:eastAsia="en-US"/>
          </w:rPr>
          <w:t>D6</w:t>
        </w:r>
        <w:r w:rsidR="008C6B48">
          <w:rPr>
            <w:rFonts w:asciiTheme="minorHAnsi" w:eastAsiaTheme="minorEastAsia" w:hAnsiTheme="minorHAnsi" w:cstheme="minorBidi"/>
            <w:spacing w:val="0"/>
            <w:sz w:val="22"/>
            <w:szCs w:val="22"/>
          </w:rPr>
          <w:tab/>
        </w:r>
        <w:r w:rsidR="008C6B48" w:rsidRPr="0010059D">
          <w:rPr>
            <w:rStyle w:val="Hyperlink"/>
            <w:lang w:eastAsia="en-US"/>
          </w:rPr>
          <w:t>Public telecommunications services</w:t>
        </w:r>
        <w:r w:rsidR="008C6B48">
          <w:rPr>
            <w:webHidden/>
          </w:rPr>
          <w:tab/>
        </w:r>
        <w:r w:rsidR="008C6B48">
          <w:rPr>
            <w:webHidden/>
          </w:rPr>
          <w:fldChar w:fldCharType="begin"/>
        </w:r>
        <w:r w:rsidR="008C6B48">
          <w:rPr>
            <w:webHidden/>
          </w:rPr>
          <w:instrText xml:space="preserve"> PAGEREF _Toc444690649 \h </w:instrText>
        </w:r>
        <w:r w:rsidR="008C6B48">
          <w:rPr>
            <w:webHidden/>
          </w:rPr>
        </w:r>
        <w:r w:rsidR="008C6B48">
          <w:rPr>
            <w:webHidden/>
          </w:rPr>
          <w:fldChar w:fldCharType="separate"/>
        </w:r>
        <w:r w:rsidR="008C6B48">
          <w:rPr>
            <w:webHidden/>
          </w:rPr>
          <w:t>29</w:t>
        </w:r>
        <w:r w:rsidR="008C6B48">
          <w:rPr>
            <w:webHidden/>
          </w:rPr>
          <w:fldChar w:fldCharType="end"/>
        </w:r>
      </w:hyperlink>
    </w:p>
    <w:p w14:paraId="2CB233A3" w14:textId="77777777" w:rsidR="008C6B48" w:rsidRDefault="0040559F">
      <w:pPr>
        <w:pStyle w:val="TOC2"/>
        <w:rPr>
          <w:rFonts w:asciiTheme="minorHAnsi" w:eastAsiaTheme="minorEastAsia" w:hAnsiTheme="minorHAnsi" w:cstheme="minorBidi"/>
          <w:spacing w:val="0"/>
          <w:sz w:val="22"/>
          <w:szCs w:val="22"/>
        </w:rPr>
      </w:pPr>
      <w:hyperlink w:anchor="_Toc444690650" w:history="1">
        <w:r w:rsidR="008C6B48" w:rsidRPr="0010059D">
          <w:rPr>
            <w:rStyle w:val="Hyperlink"/>
            <w:lang w:eastAsia="en-US"/>
          </w:rPr>
          <w:t>D7</w:t>
        </w:r>
        <w:r w:rsidR="008C6B48">
          <w:rPr>
            <w:rFonts w:asciiTheme="minorHAnsi" w:eastAsiaTheme="minorEastAsia" w:hAnsiTheme="minorHAnsi" w:cstheme="minorBidi"/>
            <w:spacing w:val="0"/>
            <w:sz w:val="22"/>
            <w:szCs w:val="22"/>
          </w:rPr>
          <w:tab/>
        </w:r>
        <w:r w:rsidR="008C6B48" w:rsidRPr="0010059D">
          <w:rPr>
            <w:rStyle w:val="Hyperlink"/>
            <w:lang w:eastAsia="en-US"/>
          </w:rPr>
          <w:t>Class-licensed services</w:t>
        </w:r>
        <w:r w:rsidR="008C6B48">
          <w:rPr>
            <w:webHidden/>
          </w:rPr>
          <w:tab/>
        </w:r>
        <w:r w:rsidR="008C6B48">
          <w:rPr>
            <w:webHidden/>
          </w:rPr>
          <w:fldChar w:fldCharType="begin"/>
        </w:r>
        <w:r w:rsidR="008C6B48">
          <w:rPr>
            <w:webHidden/>
          </w:rPr>
          <w:instrText xml:space="preserve"> PAGEREF _Toc444690650 \h </w:instrText>
        </w:r>
        <w:r w:rsidR="008C6B48">
          <w:rPr>
            <w:webHidden/>
          </w:rPr>
        </w:r>
        <w:r w:rsidR="008C6B48">
          <w:rPr>
            <w:webHidden/>
          </w:rPr>
          <w:fldChar w:fldCharType="separate"/>
        </w:r>
        <w:r w:rsidR="008C6B48">
          <w:rPr>
            <w:webHidden/>
          </w:rPr>
          <w:t>29</w:t>
        </w:r>
        <w:r w:rsidR="008C6B48">
          <w:rPr>
            <w:webHidden/>
          </w:rPr>
          <w:fldChar w:fldCharType="end"/>
        </w:r>
      </w:hyperlink>
    </w:p>
    <w:p w14:paraId="4B73B22E" w14:textId="77777777" w:rsidR="008C6B48" w:rsidRDefault="0040559F">
      <w:pPr>
        <w:pStyle w:val="TOC1"/>
        <w:rPr>
          <w:rFonts w:asciiTheme="minorHAnsi" w:eastAsiaTheme="minorEastAsia" w:hAnsiTheme="minorHAnsi" w:cstheme="minorBidi"/>
          <w:b w:val="0"/>
          <w:spacing w:val="0"/>
          <w:sz w:val="22"/>
          <w:szCs w:val="22"/>
        </w:rPr>
      </w:pPr>
      <w:hyperlink w:anchor="_Toc444690651" w:history="1">
        <w:r w:rsidR="008C6B48" w:rsidRPr="0010059D">
          <w:rPr>
            <w:rStyle w:val="Hyperlink"/>
          </w:rPr>
          <w:t>Attachment E—Proposed changes to the Radiocommunications Advisory Guidelines for managing interference to 2 GHz spectrum licenced receivers</w:t>
        </w:r>
        <w:r w:rsidR="008C6B48">
          <w:rPr>
            <w:webHidden/>
          </w:rPr>
          <w:tab/>
        </w:r>
        <w:r w:rsidR="008C6B48">
          <w:rPr>
            <w:webHidden/>
          </w:rPr>
          <w:fldChar w:fldCharType="begin"/>
        </w:r>
        <w:r w:rsidR="008C6B48">
          <w:rPr>
            <w:webHidden/>
          </w:rPr>
          <w:instrText xml:space="preserve"> PAGEREF _Toc444690651 \h </w:instrText>
        </w:r>
        <w:r w:rsidR="008C6B48">
          <w:rPr>
            <w:webHidden/>
          </w:rPr>
        </w:r>
        <w:r w:rsidR="008C6B48">
          <w:rPr>
            <w:webHidden/>
          </w:rPr>
          <w:fldChar w:fldCharType="separate"/>
        </w:r>
        <w:r w:rsidR="008C6B48">
          <w:rPr>
            <w:webHidden/>
          </w:rPr>
          <w:t>30</w:t>
        </w:r>
        <w:r w:rsidR="008C6B48">
          <w:rPr>
            <w:webHidden/>
          </w:rPr>
          <w:fldChar w:fldCharType="end"/>
        </w:r>
      </w:hyperlink>
    </w:p>
    <w:p w14:paraId="308770DE" w14:textId="77777777" w:rsidR="008C6B48" w:rsidRDefault="0040559F">
      <w:pPr>
        <w:pStyle w:val="TOC2"/>
        <w:rPr>
          <w:rFonts w:asciiTheme="minorHAnsi" w:eastAsiaTheme="minorEastAsia" w:hAnsiTheme="minorHAnsi" w:cstheme="minorBidi"/>
          <w:spacing w:val="0"/>
          <w:sz w:val="22"/>
          <w:szCs w:val="22"/>
        </w:rPr>
      </w:pPr>
      <w:hyperlink w:anchor="_Toc444690652" w:history="1">
        <w:r w:rsidR="008C6B48" w:rsidRPr="0010059D">
          <w:rPr>
            <w:rStyle w:val="Hyperlink"/>
            <w:lang w:eastAsia="en-US"/>
          </w:rPr>
          <w:t>E1</w:t>
        </w:r>
        <w:r w:rsidR="008C6B48">
          <w:rPr>
            <w:rFonts w:asciiTheme="minorHAnsi" w:eastAsiaTheme="minorEastAsia" w:hAnsiTheme="minorHAnsi" w:cstheme="minorBidi"/>
            <w:spacing w:val="0"/>
            <w:sz w:val="22"/>
            <w:szCs w:val="22"/>
          </w:rPr>
          <w:tab/>
        </w:r>
        <w:r w:rsidR="008C6B48" w:rsidRPr="0010059D">
          <w:rPr>
            <w:rStyle w:val="Hyperlink"/>
            <w:lang w:eastAsia="en-US"/>
          </w:rPr>
          <w:t>Notional receiver performance level</w:t>
        </w:r>
        <w:r w:rsidR="008C6B48">
          <w:rPr>
            <w:webHidden/>
          </w:rPr>
          <w:tab/>
        </w:r>
        <w:r w:rsidR="008C6B48">
          <w:rPr>
            <w:webHidden/>
          </w:rPr>
          <w:fldChar w:fldCharType="begin"/>
        </w:r>
        <w:r w:rsidR="008C6B48">
          <w:rPr>
            <w:webHidden/>
          </w:rPr>
          <w:instrText xml:space="preserve"> PAGEREF _Toc444690652 \h </w:instrText>
        </w:r>
        <w:r w:rsidR="008C6B48">
          <w:rPr>
            <w:webHidden/>
          </w:rPr>
        </w:r>
        <w:r w:rsidR="008C6B48">
          <w:rPr>
            <w:webHidden/>
          </w:rPr>
          <w:fldChar w:fldCharType="separate"/>
        </w:r>
        <w:r w:rsidR="008C6B48">
          <w:rPr>
            <w:webHidden/>
          </w:rPr>
          <w:t>30</w:t>
        </w:r>
        <w:r w:rsidR="008C6B48">
          <w:rPr>
            <w:webHidden/>
          </w:rPr>
          <w:fldChar w:fldCharType="end"/>
        </w:r>
      </w:hyperlink>
    </w:p>
    <w:p w14:paraId="5701CC8A" w14:textId="77777777" w:rsidR="008C6B48" w:rsidRDefault="0040559F">
      <w:pPr>
        <w:pStyle w:val="TOC3"/>
        <w:tabs>
          <w:tab w:val="left" w:pos="885"/>
        </w:tabs>
        <w:rPr>
          <w:rFonts w:asciiTheme="minorHAnsi" w:eastAsiaTheme="minorEastAsia" w:hAnsiTheme="minorHAnsi" w:cstheme="minorBidi"/>
        </w:rPr>
      </w:pPr>
      <w:hyperlink w:anchor="_Toc444690653" w:history="1">
        <w:r w:rsidR="008C6B48" w:rsidRPr="0010059D">
          <w:rPr>
            <w:rStyle w:val="Hyperlink"/>
          </w:rPr>
          <w:t>E1.1</w:t>
        </w:r>
        <w:r w:rsidR="008C6B48">
          <w:rPr>
            <w:rFonts w:asciiTheme="minorHAnsi" w:eastAsiaTheme="minorEastAsia" w:hAnsiTheme="minorHAnsi" w:cstheme="minorBidi"/>
          </w:rPr>
          <w:tab/>
        </w:r>
        <w:r w:rsidR="008C6B48" w:rsidRPr="0010059D">
          <w:rPr>
            <w:rStyle w:val="Hyperlink"/>
          </w:rPr>
          <w:t>Adjacent channel selectivity</w:t>
        </w:r>
        <w:r w:rsidR="008C6B48">
          <w:rPr>
            <w:webHidden/>
          </w:rPr>
          <w:tab/>
        </w:r>
        <w:r w:rsidR="008C6B48">
          <w:rPr>
            <w:webHidden/>
          </w:rPr>
          <w:fldChar w:fldCharType="begin"/>
        </w:r>
        <w:r w:rsidR="008C6B48">
          <w:rPr>
            <w:webHidden/>
          </w:rPr>
          <w:instrText xml:space="preserve"> PAGEREF _Toc444690653 \h </w:instrText>
        </w:r>
        <w:r w:rsidR="008C6B48">
          <w:rPr>
            <w:webHidden/>
          </w:rPr>
        </w:r>
        <w:r w:rsidR="008C6B48">
          <w:rPr>
            <w:webHidden/>
          </w:rPr>
          <w:fldChar w:fldCharType="separate"/>
        </w:r>
        <w:r w:rsidR="008C6B48">
          <w:rPr>
            <w:webHidden/>
          </w:rPr>
          <w:t>30</w:t>
        </w:r>
        <w:r w:rsidR="008C6B48">
          <w:rPr>
            <w:webHidden/>
          </w:rPr>
          <w:fldChar w:fldCharType="end"/>
        </w:r>
      </w:hyperlink>
    </w:p>
    <w:p w14:paraId="7B10A671" w14:textId="77777777" w:rsidR="008C6B48" w:rsidRDefault="0040559F">
      <w:pPr>
        <w:pStyle w:val="TOC3"/>
        <w:tabs>
          <w:tab w:val="left" w:pos="885"/>
        </w:tabs>
        <w:rPr>
          <w:rFonts w:asciiTheme="minorHAnsi" w:eastAsiaTheme="minorEastAsia" w:hAnsiTheme="minorHAnsi" w:cstheme="minorBidi"/>
        </w:rPr>
      </w:pPr>
      <w:hyperlink w:anchor="_Toc444690654" w:history="1">
        <w:r w:rsidR="008C6B48" w:rsidRPr="0010059D">
          <w:rPr>
            <w:rStyle w:val="Hyperlink"/>
          </w:rPr>
          <w:t>E1.2</w:t>
        </w:r>
        <w:r w:rsidR="008C6B48">
          <w:rPr>
            <w:rFonts w:asciiTheme="minorHAnsi" w:eastAsiaTheme="minorEastAsia" w:hAnsiTheme="minorHAnsi" w:cstheme="minorBidi"/>
          </w:rPr>
          <w:tab/>
        </w:r>
        <w:r w:rsidR="008C6B48" w:rsidRPr="0010059D">
          <w:rPr>
            <w:rStyle w:val="Hyperlink"/>
          </w:rPr>
          <w:t>Intermodulation response rejection</w:t>
        </w:r>
        <w:r w:rsidR="008C6B48">
          <w:rPr>
            <w:webHidden/>
          </w:rPr>
          <w:tab/>
        </w:r>
        <w:r w:rsidR="008C6B48">
          <w:rPr>
            <w:webHidden/>
          </w:rPr>
          <w:fldChar w:fldCharType="begin"/>
        </w:r>
        <w:r w:rsidR="008C6B48">
          <w:rPr>
            <w:webHidden/>
          </w:rPr>
          <w:instrText xml:space="preserve"> PAGEREF _Toc444690654 \h </w:instrText>
        </w:r>
        <w:r w:rsidR="008C6B48">
          <w:rPr>
            <w:webHidden/>
          </w:rPr>
        </w:r>
        <w:r w:rsidR="008C6B48">
          <w:rPr>
            <w:webHidden/>
          </w:rPr>
          <w:fldChar w:fldCharType="separate"/>
        </w:r>
        <w:r w:rsidR="008C6B48">
          <w:rPr>
            <w:webHidden/>
          </w:rPr>
          <w:t>30</w:t>
        </w:r>
        <w:r w:rsidR="008C6B48">
          <w:rPr>
            <w:webHidden/>
          </w:rPr>
          <w:fldChar w:fldCharType="end"/>
        </w:r>
      </w:hyperlink>
    </w:p>
    <w:p w14:paraId="48CE34DC" w14:textId="77777777" w:rsidR="008C6B48" w:rsidRDefault="0040559F">
      <w:pPr>
        <w:pStyle w:val="TOC3"/>
        <w:tabs>
          <w:tab w:val="left" w:pos="885"/>
        </w:tabs>
        <w:rPr>
          <w:rFonts w:asciiTheme="minorHAnsi" w:eastAsiaTheme="minorEastAsia" w:hAnsiTheme="minorHAnsi" w:cstheme="minorBidi"/>
        </w:rPr>
      </w:pPr>
      <w:hyperlink w:anchor="_Toc444690655" w:history="1">
        <w:r w:rsidR="008C6B48" w:rsidRPr="0010059D">
          <w:rPr>
            <w:rStyle w:val="Hyperlink"/>
          </w:rPr>
          <w:t>E1.3</w:t>
        </w:r>
        <w:r w:rsidR="008C6B48">
          <w:rPr>
            <w:rFonts w:asciiTheme="minorHAnsi" w:eastAsiaTheme="minorEastAsia" w:hAnsiTheme="minorHAnsi" w:cstheme="minorBidi"/>
          </w:rPr>
          <w:tab/>
        </w:r>
        <w:r w:rsidR="008C6B48" w:rsidRPr="0010059D">
          <w:rPr>
            <w:rStyle w:val="Hyperlink"/>
          </w:rPr>
          <w:t>Receiver blocking</w:t>
        </w:r>
        <w:r w:rsidR="008C6B48">
          <w:rPr>
            <w:webHidden/>
          </w:rPr>
          <w:tab/>
        </w:r>
        <w:r w:rsidR="008C6B48">
          <w:rPr>
            <w:webHidden/>
          </w:rPr>
          <w:fldChar w:fldCharType="begin"/>
        </w:r>
        <w:r w:rsidR="008C6B48">
          <w:rPr>
            <w:webHidden/>
          </w:rPr>
          <w:instrText xml:space="preserve"> PAGEREF _Toc444690655 \h </w:instrText>
        </w:r>
        <w:r w:rsidR="008C6B48">
          <w:rPr>
            <w:webHidden/>
          </w:rPr>
        </w:r>
        <w:r w:rsidR="008C6B48">
          <w:rPr>
            <w:webHidden/>
          </w:rPr>
          <w:fldChar w:fldCharType="separate"/>
        </w:r>
        <w:r w:rsidR="008C6B48">
          <w:rPr>
            <w:webHidden/>
          </w:rPr>
          <w:t>31</w:t>
        </w:r>
        <w:r w:rsidR="008C6B48">
          <w:rPr>
            <w:webHidden/>
          </w:rPr>
          <w:fldChar w:fldCharType="end"/>
        </w:r>
      </w:hyperlink>
    </w:p>
    <w:p w14:paraId="29CEC6D9" w14:textId="77777777" w:rsidR="008C6B48" w:rsidRDefault="0040559F">
      <w:pPr>
        <w:pStyle w:val="TOC3"/>
        <w:tabs>
          <w:tab w:val="left" w:pos="885"/>
        </w:tabs>
        <w:rPr>
          <w:rFonts w:asciiTheme="minorHAnsi" w:eastAsiaTheme="minorEastAsia" w:hAnsiTheme="minorHAnsi" w:cstheme="minorBidi"/>
        </w:rPr>
      </w:pPr>
      <w:hyperlink w:anchor="_Toc444690656" w:history="1">
        <w:r w:rsidR="008C6B48" w:rsidRPr="0010059D">
          <w:rPr>
            <w:rStyle w:val="Hyperlink"/>
          </w:rPr>
          <w:t>E1.4</w:t>
        </w:r>
        <w:r w:rsidR="008C6B48">
          <w:rPr>
            <w:rFonts w:asciiTheme="minorHAnsi" w:eastAsiaTheme="minorEastAsia" w:hAnsiTheme="minorHAnsi" w:cstheme="minorBidi"/>
          </w:rPr>
          <w:tab/>
        </w:r>
        <w:r w:rsidR="008C6B48" w:rsidRPr="0010059D">
          <w:rPr>
            <w:rStyle w:val="Hyperlink"/>
          </w:rPr>
          <w:t>Receiver antenna and feeder losses</w:t>
        </w:r>
        <w:r w:rsidR="008C6B48">
          <w:rPr>
            <w:webHidden/>
          </w:rPr>
          <w:tab/>
        </w:r>
        <w:r w:rsidR="008C6B48">
          <w:rPr>
            <w:webHidden/>
          </w:rPr>
          <w:fldChar w:fldCharType="begin"/>
        </w:r>
        <w:r w:rsidR="008C6B48">
          <w:rPr>
            <w:webHidden/>
          </w:rPr>
          <w:instrText xml:space="preserve"> PAGEREF _Toc444690656 \h </w:instrText>
        </w:r>
        <w:r w:rsidR="008C6B48">
          <w:rPr>
            <w:webHidden/>
          </w:rPr>
        </w:r>
        <w:r w:rsidR="008C6B48">
          <w:rPr>
            <w:webHidden/>
          </w:rPr>
          <w:fldChar w:fldCharType="separate"/>
        </w:r>
        <w:r w:rsidR="008C6B48">
          <w:rPr>
            <w:webHidden/>
          </w:rPr>
          <w:t>32</w:t>
        </w:r>
        <w:r w:rsidR="008C6B48">
          <w:rPr>
            <w:webHidden/>
          </w:rPr>
          <w:fldChar w:fldCharType="end"/>
        </w:r>
      </w:hyperlink>
    </w:p>
    <w:p w14:paraId="7CAF2E06" w14:textId="77777777" w:rsidR="008C6B48" w:rsidRDefault="0040559F">
      <w:pPr>
        <w:pStyle w:val="TOC2"/>
        <w:rPr>
          <w:rFonts w:asciiTheme="minorHAnsi" w:eastAsiaTheme="minorEastAsia" w:hAnsiTheme="minorHAnsi" w:cstheme="minorBidi"/>
          <w:spacing w:val="0"/>
          <w:sz w:val="22"/>
          <w:szCs w:val="22"/>
        </w:rPr>
      </w:pPr>
      <w:hyperlink w:anchor="_Toc444690657" w:history="1">
        <w:r w:rsidR="008C6B48" w:rsidRPr="0010059D">
          <w:rPr>
            <w:rStyle w:val="Hyperlink"/>
            <w:lang w:eastAsia="en-US"/>
          </w:rPr>
          <w:t>E2</w:t>
        </w:r>
        <w:r w:rsidR="008C6B48">
          <w:rPr>
            <w:rFonts w:asciiTheme="minorHAnsi" w:eastAsiaTheme="minorEastAsia" w:hAnsiTheme="minorHAnsi" w:cstheme="minorBidi"/>
            <w:spacing w:val="0"/>
            <w:sz w:val="22"/>
            <w:szCs w:val="22"/>
          </w:rPr>
          <w:tab/>
        </w:r>
        <w:r w:rsidR="008C6B48" w:rsidRPr="0010059D">
          <w:rPr>
            <w:rStyle w:val="Hyperlink"/>
            <w:lang w:eastAsia="en-US"/>
          </w:rPr>
          <w:t>Compatibility requirement</w:t>
        </w:r>
        <w:r w:rsidR="008C6B48">
          <w:rPr>
            <w:webHidden/>
          </w:rPr>
          <w:tab/>
        </w:r>
        <w:r w:rsidR="008C6B48">
          <w:rPr>
            <w:webHidden/>
          </w:rPr>
          <w:fldChar w:fldCharType="begin"/>
        </w:r>
        <w:r w:rsidR="008C6B48">
          <w:rPr>
            <w:webHidden/>
          </w:rPr>
          <w:instrText xml:space="preserve"> PAGEREF _Toc444690657 \h </w:instrText>
        </w:r>
        <w:r w:rsidR="008C6B48">
          <w:rPr>
            <w:webHidden/>
          </w:rPr>
        </w:r>
        <w:r w:rsidR="008C6B48">
          <w:rPr>
            <w:webHidden/>
          </w:rPr>
          <w:fldChar w:fldCharType="separate"/>
        </w:r>
        <w:r w:rsidR="008C6B48">
          <w:rPr>
            <w:webHidden/>
          </w:rPr>
          <w:t>32</w:t>
        </w:r>
        <w:r w:rsidR="008C6B48">
          <w:rPr>
            <w:webHidden/>
          </w:rPr>
          <w:fldChar w:fldCharType="end"/>
        </w:r>
      </w:hyperlink>
    </w:p>
    <w:p w14:paraId="2BF74EA6" w14:textId="21F6EB5C" w:rsidR="000A4A51" w:rsidRPr="00C97518" w:rsidRDefault="00473CE6">
      <w:pPr>
        <w:rPr>
          <w:rFonts w:cs="Arial"/>
        </w:rPr>
      </w:pPr>
      <w:r w:rsidRPr="00C97518">
        <w:rPr>
          <w:rFonts w:cs="Arial"/>
          <w:noProof/>
          <w:spacing w:val="-14"/>
          <w:sz w:val="28"/>
        </w:rPr>
        <w:fldChar w:fldCharType="end"/>
      </w:r>
    </w:p>
    <w:p w14:paraId="49910F18" w14:textId="77777777" w:rsidR="004D56FF" w:rsidRPr="00C97518" w:rsidRDefault="004D56FF">
      <w:pPr>
        <w:rPr>
          <w:rFonts w:cs="Arial"/>
        </w:rPr>
        <w:sectPr w:rsidR="004D56FF" w:rsidRPr="00C97518" w:rsidSect="00FB2EA1">
          <w:headerReference w:type="even" r:id="rId26"/>
          <w:headerReference w:type="default" r:id="rId27"/>
          <w:footerReference w:type="even" r:id="rId28"/>
          <w:footerReference w:type="default" r:id="rId29"/>
          <w:footerReference w:type="first" r:id="rId30"/>
          <w:pgSz w:w="11906" w:h="16838" w:code="9"/>
          <w:pgMar w:top="3646" w:right="3101" w:bottom="1134" w:left="1134" w:header="709" w:footer="119" w:gutter="0"/>
          <w:cols w:space="708"/>
          <w:titlePg/>
          <w:docGrid w:linePitch="360"/>
        </w:sectPr>
      </w:pPr>
    </w:p>
    <w:p w14:paraId="3F9598E4" w14:textId="77777777" w:rsidR="00A47E79" w:rsidRPr="00C97518" w:rsidRDefault="00A47E79" w:rsidP="00B020FB">
      <w:pPr>
        <w:pStyle w:val="Heading1"/>
      </w:pPr>
      <w:bookmarkStart w:id="0" w:name="_Toc425928789"/>
      <w:bookmarkStart w:id="1" w:name="_Toc444690620"/>
      <w:r w:rsidRPr="00C97518">
        <w:t>Introduction</w:t>
      </w:r>
      <w:bookmarkEnd w:id="0"/>
      <w:bookmarkEnd w:id="1"/>
    </w:p>
    <w:p w14:paraId="69172A62" w14:textId="35DC9A77" w:rsidR="00627A36" w:rsidRPr="00C97518" w:rsidRDefault="00627A36" w:rsidP="00627A36">
      <w:pPr>
        <w:rPr>
          <w:rFonts w:cs="Arial"/>
        </w:rPr>
      </w:pPr>
      <w:r w:rsidRPr="00C97518">
        <w:rPr>
          <w:rFonts w:cs="Arial"/>
        </w:rPr>
        <w:t xml:space="preserve">The Australian Communications and Media Authority (the ACMA) develops a technical framework for each spectrum-licensed band. Each framework is a collection of technical and regulatory conditions applicable to the use of radiocommunications devices in </w:t>
      </w:r>
      <w:r w:rsidR="006F5AB0" w:rsidRPr="00C97518">
        <w:rPr>
          <w:rFonts w:cs="Arial"/>
        </w:rPr>
        <w:t>the</w:t>
      </w:r>
      <w:r w:rsidRPr="00C97518">
        <w:rPr>
          <w:rFonts w:cs="Arial"/>
        </w:rPr>
        <w:t xml:space="preserve"> spectrum-licensed band. The purpose</w:t>
      </w:r>
      <w:r w:rsidRPr="00C97518" w:rsidDel="00F774CE">
        <w:rPr>
          <w:rFonts w:cs="Arial"/>
        </w:rPr>
        <w:t xml:space="preserve"> </w:t>
      </w:r>
      <w:r w:rsidRPr="00C97518">
        <w:rPr>
          <w:rFonts w:cs="Arial"/>
        </w:rPr>
        <w:t>of the technical framework is to define the technical conditions and constraints under which a device may be deployed and operated within the specified geographic area and frequency band of the licence.</w:t>
      </w:r>
    </w:p>
    <w:p w14:paraId="38C1DD59" w14:textId="422F3C5D" w:rsidR="00627A36" w:rsidRPr="00C97518" w:rsidRDefault="00627A36" w:rsidP="00627A36">
      <w:pPr>
        <w:rPr>
          <w:rFonts w:cs="Arial"/>
        </w:rPr>
      </w:pPr>
      <w:r w:rsidRPr="00C97518">
        <w:rPr>
          <w:rFonts w:cs="Arial"/>
        </w:rPr>
        <w:t>Although the technical framework is optimised for technologies</w:t>
      </w:r>
      <w:r w:rsidR="008E5568" w:rsidRPr="00C97518">
        <w:rPr>
          <w:rFonts w:cs="Arial"/>
        </w:rPr>
        <w:t>,</w:t>
      </w:r>
      <w:r w:rsidRPr="00C97518">
        <w:rPr>
          <w:rFonts w:cs="Arial"/>
        </w:rPr>
        <w:t xml:space="preserve"> or services most likely to be deployed in the band, it is intended to be technology-flexible. This means licensees can operate any type of radiocommunications device for any purpose, provided they comply with the technical framework relevant to the licence. </w:t>
      </w:r>
    </w:p>
    <w:p w14:paraId="005580D1" w14:textId="0B2B6EB6" w:rsidR="00627A36" w:rsidRPr="00C97518" w:rsidRDefault="00627A36" w:rsidP="00627A36">
      <w:pPr>
        <w:rPr>
          <w:rFonts w:cs="Arial"/>
        </w:rPr>
      </w:pPr>
      <w:r w:rsidRPr="00C97518">
        <w:rPr>
          <w:rFonts w:cs="Arial"/>
        </w:rPr>
        <w:t>The frequency range 1920–1980 MHz and 2110</w:t>
      </w:r>
      <w:r w:rsidR="008E5568" w:rsidRPr="00C97518">
        <w:rPr>
          <w:rFonts w:cs="Arial"/>
        </w:rPr>
        <w:t>–</w:t>
      </w:r>
      <w:r w:rsidRPr="00C97518">
        <w:rPr>
          <w:rFonts w:cs="Arial"/>
        </w:rPr>
        <w:t xml:space="preserve">2170 MHz (the 2 GHz band) is currently allocated via the issue of spectrum licences in various regional and metropolitan areas (see Attachment A, </w:t>
      </w:r>
      <w:r w:rsidRPr="00C97518">
        <w:rPr>
          <w:rFonts w:cs="Arial"/>
          <w:i/>
        </w:rPr>
        <w:t xml:space="preserve">2 GHz </w:t>
      </w:r>
      <w:r w:rsidR="008E5568" w:rsidRPr="00C97518">
        <w:rPr>
          <w:rFonts w:cs="Arial"/>
          <w:i/>
        </w:rPr>
        <w:t>s</w:t>
      </w:r>
      <w:r w:rsidRPr="00C97518">
        <w:rPr>
          <w:rFonts w:cs="Arial"/>
          <w:i/>
        </w:rPr>
        <w:t xml:space="preserve">pectrum </w:t>
      </w:r>
      <w:r w:rsidR="008E5568" w:rsidRPr="00C97518">
        <w:rPr>
          <w:rFonts w:cs="Arial"/>
          <w:i/>
        </w:rPr>
        <w:t>l</w:t>
      </w:r>
      <w:r w:rsidRPr="00C97518">
        <w:rPr>
          <w:rFonts w:cs="Arial"/>
          <w:i/>
        </w:rPr>
        <w:t xml:space="preserve">icence </w:t>
      </w:r>
      <w:r w:rsidR="008E5568" w:rsidRPr="00C97518">
        <w:rPr>
          <w:rFonts w:cs="Arial"/>
          <w:i/>
        </w:rPr>
        <w:t>b</w:t>
      </w:r>
      <w:r w:rsidRPr="00C97518">
        <w:rPr>
          <w:rFonts w:cs="Arial"/>
          <w:i/>
        </w:rPr>
        <w:t xml:space="preserve">and </w:t>
      </w:r>
      <w:r w:rsidR="008E5568" w:rsidRPr="00C97518">
        <w:rPr>
          <w:rFonts w:cs="Arial"/>
          <w:i/>
        </w:rPr>
        <w:t>a</w:t>
      </w:r>
      <w:r w:rsidRPr="00C97518">
        <w:rPr>
          <w:rFonts w:cs="Arial"/>
          <w:i/>
        </w:rPr>
        <w:t>rrangements</w:t>
      </w:r>
      <w:r w:rsidRPr="00C97518">
        <w:rPr>
          <w:rFonts w:cs="Arial"/>
        </w:rPr>
        <w:t>). Existing spectrum licences in the band are due to expire on 1</w:t>
      </w:r>
      <w:r w:rsidR="002F603B" w:rsidRPr="00C97518">
        <w:rPr>
          <w:rFonts w:cs="Arial"/>
        </w:rPr>
        <w:t>1 October</w:t>
      </w:r>
      <w:r w:rsidRPr="00C97518">
        <w:rPr>
          <w:rFonts w:cs="Arial"/>
        </w:rPr>
        <w:t xml:space="preserve"> 201</w:t>
      </w:r>
      <w:r w:rsidR="002F603B" w:rsidRPr="00C97518">
        <w:rPr>
          <w:rFonts w:cs="Arial"/>
        </w:rPr>
        <w:t>7</w:t>
      </w:r>
      <w:r w:rsidRPr="00C97518">
        <w:rPr>
          <w:rFonts w:cs="Arial"/>
        </w:rPr>
        <w:t xml:space="preserve">. The ACMA reviews the technical framework for a spectrum-licensed band as licences approach expiry. This helps to ensure the framework remains current and can manage interference across the tenure period of spectrum licences in a particular band, which may be up to 15 years. </w:t>
      </w:r>
    </w:p>
    <w:p w14:paraId="6B3B9176" w14:textId="6B1E9335" w:rsidR="00627A36" w:rsidRPr="00C97518" w:rsidRDefault="00627A36" w:rsidP="00627A36">
      <w:pPr>
        <w:rPr>
          <w:rFonts w:cs="Arial"/>
        </w:rPr>
      </w:pPr>
      <w:r w:rsidRPr="00C97518">
        <w:rPr>
          <w:rFonts w:cs="Arial"/>
        </w:rPr>
        <w:t xml:space="preserve">This paper provides information and seeks comment on the </w:t>
      </w:r>
      <w:r w:rsidR="0084332C" w:rsidRPr="00C97518">
        <w:rPr>
          <w:rFonts w:cs="Arial"/>
        </w:rPr>
        <w:t xml:space="preserve">proposed </w:t>
      </w:r>
      <w:r w:rsidRPr="00C97518">
        <w:rPr>
          <w:rFonts w:cs="Arial"/>
        </w:rPr>
        <w:t xml:space="preserve">revised technical framework </w:t>
      </w:r>
      <w:r w:rsidR="00810E0E" w:rsidRPr="00C97518">
        <w:rPr>
          <w:rFonts w:cs="Arial"/>
        </w:rPr>
        <w:t>for</w:t>
      </w:r>
      <w:r w:rsidRPr="00C97518">
        <w:rPr>
          <w:rFonts w:cs="Arial"/>
        </w:rPr>
        <w:t xml:space="preserve"> spectrum licences in the </w:t>
      </w:r>
      <w:r w:rsidR="002F603B" w:rsidRPr="00C97518">
        <w:rPr>
          <w:rFonts w:cs="Arial"/>
        </w:rPr>
        <w:t>2</w:t>
      </w:r>
      <w:r w:rsidRPr="00C97518">
        <w:rPr>
          <w:rFonts w:cs="Arial"/>
        </w:rPr>
        <w:t xml:space="preserve"> GHz band. The ACMA’s intention is that the updated framework will apply to any licences reissued or reallocated in this band from </w:t>
      </w:r>
      <w:r w:rsidR="002F603B" w:rsidRPr="00C97518">
        <w:rPr>
          <w:rFonts w:cs="Arial"/>
        </w:rPr>
        <w:t>12 October 2017.</w:t>
      </w:r>
    </w:p>
    <w:p w14:paraId="6D679D40" w14:textId="0EBCC145" w:rsidR="00EE5FB9" w:rsidRPr="00C97518" w:rsidRDefault="00EE5FB9" w:rsidP="00270E6C">
      <w:pPr>
        <w:spacing w:after="80"/>
        <w:rPr>
          <w:rFonts w:cs="Arial"/>
        </w:rPr>
      </w:pPr>
      <w:r w:rsidRPr="00C97518">
        <w:rPr>
          <w:rFonts w:cs="Arial"/>
        </w:rPr>
        <w:t>The following draft legislative instruments that form part of the proposed revised 2 GHz Technical Framework are available on the ACMA website:</w:t>
      </w:r>
    </w:p>
    <w:p w14:paraId="3B089E35" w14:textId="1C42FA29" w:rsidR="00EE5FB9" w:rsidRPr="00C97518" w:rsidRDefault="00EE5FB9" w:rsidP="00EE5FB9">
      <w:pPr>
        <w:pStyle w:val="ListBullet"/>
        <w:keepNext/>
        <w:numPr>
          <w:ilvl w:val="0"/>
          <w:numId w:val="1"/>
        </w:numPr>
      </w:pPr>
      <w:r w:rsidRPr="00C97518">
        <w:t>the Radiocommunications (Unacceptable Levels of Interference – 2 GHz Band) Determination 2016</w:t>
      </w:r>
      <w:r w:rsidR="008E5568" w:rsidRPr="00C97518">
        <w:t>,</w:t>
      </w:r>
      <w:r w:rsidRPr="00C97518">
        <w:t xml:space="preserve"> made under section 145 of the Act</w:t>
      </w:r>
    </w:p>
    <w:p w14:paraId="54AA17C4" w14:textId="5083B9A8" w:rsidR="00EE5FB9" w:rsidRPr="00C97518" w:rsidRDefault="00EE5FB9" w:rsidP="00EE5FB9">
      <w:pPr>
        <w:pStyle w:val="ListBullet"/>
        <w:keepNext/>
        <w:numPr>
          <w:ilvl w:val="0"/>
          <w:numId w:val="1"/>
        </w:numPr>
      </w:pPr>
      <w:r w:rsidRPr="00C97518">
        <w:t>the Radiocommunications Advisory Guidelines (Managing Interference from Spectrum Licensed Transmitters – 2 GHz Band) 2016</w:t>
      </w:r>
      <w:r w:rsidR="008E5568" w:rsidRPr="00C97518">
        <w:t>,</w:t>
      </w:r>
      <w:r w:rsidRPr="00C97518">
        <w:t xml:space="preserve"> made under section 262 of the Act</w:t>
      </w:r>
    </w:p>
    <w:p w14:paraId="1C5EA31B" w14:textId="50D14BA3" w:rsidR="00EE5FB9" w:rsidRPr="00C97518" w:rsidRDefault="00EE5FB9" w:rsidP="00270E6C">
      <w:pPr>
        <w:pStyle w:val="ListBullet"/>
        <w:keepNext/>
        <w:numPr>
          <w:ilvl w:val="0"/>
          <w:numId w:val="1"/>
        </w:numPr>
        <w:spacing w:after="240"/>
      </w:pPr>
      <w:r w:rsidRPr="00C97518">
        <w:t>the Radiocommunications Advisory Guidelines (Managing Interference to Spectrum Licensed Receivers – 2 GHz Band) 2016</w:t>
      </w:r>
      <w:r w:rsidR="008E5568" w:rsidRPr="00C97518">
        <w:t>,</w:t>
      </w:r>
      <w:r w:rsidRPr="00C97518">
        <w:t xml:space="preserve"> ma</w:t>
      </w:r>
      <w:r w:rsidR="00722214" w:rsidRPr="00C97518">
        <w:t>de under section 262 of the Act.</w:t>
      </w:r>
      <w:r w:rsidRPr="00C97518">
        <w:t xml:space="preserve"> </w:t>
      </w:r>
    </w:p>
    <w:p w14:paraId="75A401AC" w14:textId="46F6B0D2" w:rsidR="00EE5FB9" w:rsidRPr="00C97518" w:rsidRDefault="00EE5FB9" w:rsidP="00EE5FB9">
      <w:pPr>
        <w:rPr>
          <w:rFonts w:cs="Arial"/>
        </w:rPr>
      </w:pPr>
      <w:r w:rsidRPr="00C97518">
        <w:rPr>
          <w:rFonts w:cs="Arial"/>
        </w:rPr>
        <w:t>The draft sample spectrum licence</w:t>
      </w:r>
      <w:r w:rsidR="0084071B" w:rsidRPr="00C97518">
        <w:rPr>
          <w:rFonts w:cs="Arial"/>
        </w:rPr>
        <w:t>,</w:t>
      </w:r>
      <w:r w:rsidRPr="00C97518">
        <w:rPr>
          <w:rFonts w:cs="Arial"/>
        </w:rPr>
        <w:t xml:space="preserve"> which includes the Core Conditions, Statutory Conditions, Other Conditions and Licence Notes</w:t>
      </w:r>
      <w:r w:rsidR="0084071B" w:rsidRPr="00C97518">
        <w:rPr>
          <w:rFonts w:cs="Arial"/>
        </w:rPr>
        <w:t xml:space="preserve"> that </w:t>
      </w:r>
      <w:r w:rsidRPr="00C97518">
        <w:rPr>
          <w:rFonts w:cs="Arial"/>
        </w:rPr>
        <w:t>will apply for the new spectrum licence term</w:t>
      </w:r>
      <w:r w:rsidR="008E5568" w:rsidRPr="00C97518">
        <w:rPr>
          <w:rFonts w:cs="Arial"/>
        </w:rPr>
        <w:t>,</w:t>
      </w:r>
      <w:r w:rsidRPr="00C97518">
        <w:rPr>
          <w:rFonts w:cs="Arial"/>
        </w:rPr>
        <w:t xml:space="preserve"> is also available on the ACMA website. </w:t>
      </w:r>
    </w:p>
    <w:p w14:paraId="67485D45" w14:textId="77379AD2" w:rsidR="002F603B" w:rsidRPr="00C97518" w:rsidRDefault="00B67522" w:rsidP="002F603B">
      <w:pPr>
        <w:pStyle w:val="Heading2"/>
      </w:pPr>
      <w:bookmarkStart w:id="2" w:name="_Toc403740549"/>
      <w:bookmarkStart w:id="3" w:name="_Toc404333444"/>
      <w:bookmarkStart w:id="4" w:name="_Toc444690621"/>
      <w:r w:rsidRPr="00C97518">
        <w:t xml:space="preserve">Impact on </w:t>
      </w:r>
      <w:bookmarkEnd w:id="2"/>
      <w:bookmarkEnd w:id="3"/>
      <w:r w:rsidRPr="00C97518">
        <w:t>t</w:t>
      </w:r>
      <w:r w:rsidR="00B62279" w:rsidRPr="00C97518">
        <w:t>imeframe</w:t>
      </w:r>
      <w:bookmarkEnd w:id="4"/>
      <w:r w:rsidR="002F603B" w:rsidRPr="00C97518">
        <w:t xml:space="preserve"> </w:t>
      </w:r>
    </w:p>
    <w:p w14:paraId="5E2EFC9A" w14:textId="77777777" w:rsidR="00B62279" w:rsidRPr="00C97518" w:rsidRDefault="00B62279" w:rsidP="002F603B">
      <w:pPr>
        <w:rPr>
          <w:rFonts w:cs="Arial"/>
        </w:rPr>
      </w:pPr>
      <w:r w:rsidRPr="00C97518">
        <w:rPr>
          <w:rFonts w:cs="Arial"/>
        </w:rPr>
        <w:t>The ACMA’s policy is to provide incumbent and prospective licensees with certainty, where possible, regarding the outcome of expiring spectrum licences in each band, approximately 18 months before expiry of the licence/s.</w:t>
      </w:r>
    </w:p>
    <w:p w14:paraId="4AD8F663" w14:textId="778620DA" w:rsidR="002F603B" w:rsidRPr="00C97518" w:rsidRDefault="00473C10" w:rsidP="00473C10">
      <w:pPr>
        <w:rPr>
          <w:rFonts w:cs="Arial"/>
          <w:szCs w:val="20"/>
        </w:rPr>
      </w:pPr>
      <w:r w:rsidRPr="00C97518">
        <w:rPr>
          <w:rFonts w:cs="Arial"/>
        </w:rPr>
        <w:t>Consistent with this policy, the ACMA expects to complete the necessary processes for the 2 GHz band</w:t>
      </w:r>
      <w:r w:rsidR="008E5568" w:rsidRPr="00C97518">
        <w:rPr>
          <w:rFonts w:cs="Arial"/>
        </w:rPr>
        <w:t>,</w:t>
      </w:r>
      <w:r w:rsidRPr="00C97518">
        <w:rPr>
          <w:rFonts w:cs="Arial"/>
        </w:rPr>
        <w:t xml:space="preserve"> with a view to achieving reissue of licences in June 2016</w:t>
      </w:r>
      <w:r w:rsidR="008E5568" w:rsidRPr="00C97518">
        <w:rPr>
          <w:rFonts w:cs="Arial"/>
        </w:rPr>
        <w:t>,</w:t>
      </w:r>
      <w:r w:rsidRPr="00C97518">
        <w:rPr>
          <w:rFonts w:cs="Arial"/>
        </w:rPr>
        <w:t xml:space="preserve"> </w:t>
      </w:r>
      <w:r w:rsidR="008E5568" w:rsidRPr="00C97518">
        <w:rPr>
          <w:rFonts w:cs="Arial"/>
        </w:rPr>
        <w:t xml:space="preserve">with </w:t>
      </w:r>
      <w:r w:rsidRPr="00C97518">
        <w:rPr>
          <w:rFonts w:cs="Arial"/>
        </w:rPr>
        <w:t>payment by 30 May 2016.</w:t>
      </w:r>
      <w:r w:rsidR="0084071B" w:rsidRPr="00C97518">
        <w:rPr>
          <w:rFonts w:cs="Arial"/>
        </w:rPr>
        <w:t xml:space="preserve"> </w:t>
      </w:r>
      <w:r w:rsidR="00E82D9F" w:rsidRPr="00C97518">
        <w:rPr>
          <w:rFonts w:cs="Arial"/>
        </w:rPr>
        <w:t>T</w:t>
      </w:r>
      <w:r w:rsidR="00B62279" w:rsidRPr="00C97518">
        <w:rPr>
          <w:rFonts w:cs="Arial"/>
        </w:rPr>
        <w:t xml:space="preserve">he ACMA </w:t>
      </w:r>
      <w:r w:rsidRPr="00C97518">
        <w:rPr>
          <w:rFonts w:cs="Arial"/>
        </w:rPr>
        <w:t>will not establish</w:t>
      </w:r>
      <w:r w:rsidR="002F603B" w:rsidRPr="00C97518">
        <w:rPr>
          <w:rFonts w:cs="Arial"/>
        </w:rPr>
        <w:t xml:space="preserve"> a </w:t>
      </w:r>
      <w:r w:rsidR="008E5568" w:rsidRPr="00C97518">
        <w:rPr>
          <w:rFonts w:cs="Arial"/>
        </w:rPr>
        <w:t>t</w:t>
      </w:r>
      <w:r w:rsidR="002F603B" w:rsidRPr="00C97518">
        <w:rPr>
          <w:rFonts w:cs="Arial"/>
        </w:rPr>
        <w:t xml:space="preserve">echnical </w:t>
      </w:r>
      <w:r w:rsidR="008E5568" w:rsidRPr="00C97518">
        <w:rPr>
          <w:rFonts w:cs="Arial"/>
        </w:rPr>
        <w:t>l</w:t>
      </w:r>
      <w:r w:rsidR="002F603B" w:rsidRPr="00C97518">
        <w:rPr>
          <w:rFonts w:cs="Arial"/>
        </w:rPr>
        <w:t xml:space="preserve">iaison </w:t>
      </w:r>
      <w:r w:rsidR="008E5568" w:rsidRPr="00C97518">
        <w:rPr>
          <w:rFonts w:cs="Arial"/>
        </w:rPr>
        <w:t>g</w:t>
      </w:r>
      <w:r w:rsidR="002F603B" w:rsidRPr="00C97518">
        <w:rPr>
          <w:rFonts w:cs="Arial"/>
        </w:rPr>
        <w:t>roup (TLG)</w:t>
      </w:r>
      <w:r w:rsidR="00B62279" w:rsidRPr="00C97518">
        <w:rPr>
          <w:rStyle w:val="FootnoteReference"/>
          <w:rFonts w:cs="Arial"/>
        </w:rPr>
        <w:footnoteReference w:id="2"/>
      </w:r>
      <w:r w:rsidR="00E82D9F" w:rsidRPr="00C97518">
        <w:rPr>
          <w:rFonts w:cs="Arial"/>
        </w:rPr>
        <w:t xml:space="preserve"> as has been the case in spectrum licence re-issue processes in other </w:t>
      </w:r>
      <w:r w:rsidR="0084071B" w:rsidRPr="00C97518">
        <w:rPr>
          <w:rFonts w:cs="Arial"/>
        </w:rPr>
        <w:t>spectrum-licensed</w:t>
      </w:r>
      <w:r w:rsidR="00E82D9F" w:rsidRPr="00C97518">
        <w:rPr>
          <w:rFonts w:cs="Arial"/>
        </w:rPr>
        <w:t xml:space="preserve"> bands</w:t>
      </w:r>
      <w:r w:rsidR="002F603B" w:rsidRPr="00C97518">
        <w:rPr>
          <w:rFonts w:cs="Arial"/>
        </w:rPr>
        <w:t xml:space="preserve">. </w:t>
      </w:r>
      <w:r w:rsidR="00A75061" w:rsidRPr="00C97518">
        <w:rPr>
          <w:rFonts w:cs="Arial"/>
        </w:rPr>
        <w:t>In preparing the proposed technical framework,</w:t>
      </w:r>
      <w:r w:rsidR="00B62279" w:rsidRPr="00C97518">
        <w:rPr>
          <w:rFonts w:cs="Arial"/>
        </w:rPr>
        <w:t xml:space="preserve"> the ACMA has undertaken its own analysis of the technical environment regarding current and future deployments in the 2 </w:t>
      </w:r>
      <w:r w:rsidR="00B62279" w:rsidRPr="00C97518">
        <w:rPr>
          <w:rFonts w:cs="Arial"/>
          <w:szCs w:val="20"/>
        </w:rPr>
        <w:t>GHz band for incorporation in the technical framework.</w:t>
      </w:r>
    </w:p>
    <w:p w14:paraId="19BFF00C" w14:textId="50009670" w:rsidR="0084332C" w:rsidRPr="00C97518" w:rsidRDefault="00CD3660" w:rsidP="0084332C">
      <w:pPr>
        <w:rPr>
          <w:rFonts w:ascii="Times New Roman" w:hAnsi="Times New Roman"/>
          <w:szCs w:val="20"/>
        </w:rPr>
      </w:pPr>
      <w:r w:rsidRPr="00C97518">
        <w:rPr>
          <w:rFonts w:cs="Arial"/>
          <w:szCs w:val="20"/>
        </w:rPr>
        <w:t xml:space="preserve">The </w:t>
      </w:r>
      <w:r w:rsidR="0084332C" w:rsidRPr="00C97518">
        <w:rPr>
          <w:rFonts w:cs="Arial"/>
          <w:szCs w:val="20"/>
        </w:rPr>
        <w:t xml:space="preserve">proposed revised technical framework for the </w:t>
      </w:r>
      <w:r w:rsidRPr="00C97518">
        <w:rPr>
          <w:rFonts w:cs="Arial"/>
          <w:szCs w:val="20"/>
        </w:rPr>
        <w:t xml:space="preserve">2 GHz band </w:t>
      </w:r>
      <w:r w:rsidR="0084332C" w:rsidRPr="00C97518">
        <w:rPr>
          <w:rFonts w:cs="Arial"/>
          <w:szCs w:val="20"/>
        </w:rPr>
        <w:t xml:space="preserve">also incorporates the evidence obtained and improvements learned </w:t>
      </w:r>
      <w:r w:rsidR="008E5568" w:rsidRPr="00C97518">
        <w:rPr>
          <w:rFonts w:cs="Arial"/>
          <w:szCs w:val="20"/>
        </w:rPr>
        <w:t xml:space="preserve">from </w:t>
      </w:r>
      <w:r w:rsidR="0084332C" w:rsidRPr="00C97518">
        <w:rPr>
          <w:rFonts w:cs="Arial"/>
          <w:szCs w:val="20"/>
        </w:rPr>
        <w:t>a similar process for the 800 MHz, 1800 MHz, 2.3 GHz and 3.4 GHz bands</w:t>
      </w:r>
      <w:r w:rsidRPr="00C97518">
        <w:rPr>
          <w:rFonts w:cs="Arial"/>
          <w:szCs w:val="20"/>
        </w:rPr>
        <w:t>. As a result, the complexity in developing the</w:t>
      </w:r>
      <w:r w:rsidR="0084332C" w:rsidRPr="00C97518">
        <w:rPr>
          <w:rFonts w:cs="Arial"/>
          <w:szCs w:val="20"/>
        </w:rPr>
        <w:t xml:space="preserve"> proposed revised</w:t>
      </w:r>
      <w:r w:rsidRPr="00C97518">
        <w:rPr>
          <w:rFonts w:cs="Arial"/>
          <w:szCs w:val="20"/>
        </w:rPr>
        <w:t xml:space="preserve"> technical framework for the reissu</w:t>
      </w:r>
      <w:r w:rsidR="0084332C" w:rsidRPr="00C97518">
        <w:rPr>
          <w:rFonts w:cs="Arial"/>
          <w:szCs w:val="20"/>
        </w:rPr>
        <w:t>ing</w:t>
      </w:r>
      <w:r w:rsidRPr="00C97518">
        <w:rPr>
          <w:rFonts w:cs="Arial"/>
          <w:szCs w:val="20"/>
        </w:rPr>
        <w:t xml:space="preserve"> </w:t>
      </w:r>
      <w:r w:rsidR="00A75061" w:rsidRPr="00C97518">
        <w:rPr>
          <w:rFonts w:cs="Arial"/>
          <w:szCs w:val="20"/>
        </w:rPr>
        <w:t>of the</w:t>
      </w:r>
      <w:r w:rsidRPr="00C97518">
        <w:rPr>
          <w:rFonts w:cs="Arial"/>
          <w:szCs w:val="20"/>
        </w:rPr>
        <w:t xml:space="preserve"> 2 GHz band </w:t>
      </w:r>
      <w:r w:rsidR="00564E62" w:rsidRPr="00C97518">
        <w:rPr>
          <w:rFonts w:cs="Arial"/>
          <w:szCs w:val="20"/>
        </w:rPr>
        <w:t>spectrum licences i</w:t>
      </w:r>
      <w:r w:rsidRPr="00C97518">
        <w:rPr>
          <w:rFonts w:cs="Arial"/>
          <w:szCs w:val="20"/>
        </w:rPr>
        <w:t xml:space="preserve">s relatively low. </w:t>
      </w:r>
    </w:p>
    <w:p w14:paraId="583D5A5C" w14:textId="147A0913" w:rsidR="00EE5FB9" w:rsidRPr="00C97518" w:rsidRDefault="002F603B" w:rsidP="00EE5FB9">
      <w:pPr>
        <w:rPr>
          <w:rFonts w:cs="Arial"/>
          <w:szCs w:val="20"/>
        </w:rPr>
      </w:pPr>
      <w:r w:rsidRPr="00C97518">
        <w:rPr>
          <w:rFonts w:cs="Arial"/>
          <w:szCs w:val="20"/>
        </w:rPr>
        <w:t xml:space="preserve">The </w:t>
      </w:r>
      <w:r w:rsidR="00B67522" w:rsidRPr="00C97518">
        <w:rPr>
          <w:rFonts w:cs="Arial"/>
          <w:szCs w:val="20"/>
        </w:rPr>
        <w:t xml:space="preserve">proposed </w:t>
      </w:r>
      <w:r w:rsidR="0084332C" w:rsidRPr="00C97518">
        <w:rPr>
          <w:rFonts w:cs="Arial"/>
          <w:szCs w:val="20"/>
        </w:rPr>
        <w:t>revised</w:t>
      </w:r>
      <w:r w:rsidR="00B67522" w:rsidRPr="00C97518">
        <w:rPr>
          <w:rFonts w:cs="Arial"/>
          <w:szCs w:val="20"/>
        </w:rPr>
        <w:t xml:space="preserve"> </w:t>
      </w:r>
      <w:r w:rsidRPr="00C97518">
        <w:rPr>
          <w:rFonts w:cs="Arial"/>
          <w:szCs w:val="20"/>
        </w:rPr>
        <w:t>technical framework can generally be considered evolutionary in nature rather than making any substantial impact on the existing arrangements.</w:t>
      </w:r>
      <w:r w:rsidR="0021347F" w:rsidRPr="00C97518">
        <w:rPr>
          <w:rFonts w:cs="Arial"/>
          <w:szCs w:val="20"/>
        </w:rPr>
        <w:t xml:space="preserve"> Attachments B, </w:t>
      </w:r>
      <w:r w:rsidR="00EE5FB9" w:rsidRPr="00C97518">
        <w:rPr>
          <w:rFonts w:cs="Arial"/>
          <w:szCs w:val="20"/>
        </w:rPr>
        <w:t>C</w:t>
      </w:r>
      <w:r w:rsidR="0021347F" w:rsidRPr="00C97518">
        <w:rPr>
          <w:rFonts w:cs="Arial"/>
          <w:szCs w:val="20"/>
        </w:rPr>
        <w:t xml:space="preserve">, </w:t>
      </w:r>
      <w:r w:rsidR="00EE5FB9" w:rsidRPr="00C97518">
        <w:rPr>
          <w:rFonts w:cs="Arial"/>
          <w:szCs w:val="20"/>
        </w:rPr>
        <w:t>D</w:t>
      </w:r>
      <w:r w:rsidR="0021347F" w:rsidRPr="00C97518">
        <w:rPr>
          <w:rFonts w:cs="Arial"/>
          <w:szCs w:val="20"/>
        </w:rPr>
        <w:t xml:space="preserve"> and </w:t>
      </w:r>
      <w:r w:rsidR="00EE5FB9" w:rsidRPr="00C97518">
        <w:rPr>
          <w:rFonts w:cs="Arial"/>
          <w:szCs w:val="20"/>
        </w:rPr>
        <w:t>E</w:t>
      </w:r>
      <w:r w:rsidR="0021347F" w:rsidRPr="00C97518">
        <w:rPr>
          <w:rFonts w:cs="Arial"/>
          <w:szCs w:val="20"/>
        </w:rPr>
        <w:t xml:space="preserve"> provide a detailed explanation of the proposed amendments to the technical framework in a similar format to that </w:t>
      </w:r>
      <w:r w:rsidR="008E5568" w:rsidRPr="00C97518">
        <w:rPr>
          <w:rFonts w:cs="Arial"/>
          <w:szCs w:val="20"/>
        </w:rPr>
        <w:t xml:space="preserve">used </w:t>
      </w:r>
      <w:r w:rsidR="0021347F" w:rsidRPr="00C97518">
        <w:rPr>
          <w:rFonts w:cs="Arial"/>
          <w:szCs w:val="20"/>
        </w:rPr>
        <w:t>in the development of the technical liaison group papers for recently reissued spectrum licensed bands.</w:t>
      </w:r>
      <w:r w:rsidR="00EE5FB9" w:rsidRPr="00C97518">
        <w:rPr>
          <w:rFonts w:cs="Arial"/>
          <w:szCs w:val="20"/>
        </w:rPr>
        <w:t xml:space="preserve"> </w:t>
      </w:r>
    </w:p>
    <w:p w14:paraId="332A0B8E" w14:textId="77018C61" w:rsidR="00A47E79" w:rsidRPr="00C97518" w:rsidRDefault="008E5568" w:rsidP="00B67522">
      <w:pPr>
        <w:pStyle w:val="Heading2"/>
      </w:pPr>
      <w:bookmarkStart w:id="5" w:name="_Ref423084717"/>
      <w:bookmarkStart w:id="6" w:name="_Toc425928790"/>
      <w:bookmarkStart w:id="7" w:name="_Toc444690622"/>
      <w:r w:rsidRPr="00C97518">
        <w:t xml:space="preserve">The </w:t>
      </w:r>
      <w:r w:rsidR="00A47E79" w:rsidRPr="00C97518">
        <w:t>ACMA</w:t>
      </w:r>
      <w:r w:rsidRPr="00C97518">
        <w:t>’s</w:t>
      </w:r>
      <w:r w:rsidR="00A47E79" w:rsidRPr="00C97518">
        <w:t xml:space="preserve"> role</w:t>
      </w:r>
      <w:bookmarkEnd w:id="5"/>
      <w:bookmarkEnd w:id="6"/>
      <w:bookmarkEnd w:id="7"/>
    </w:p>
    <w:p w14:paraId="30E32BE1" w14:textId="77777777" w:rsidR="00341D7B" w:rsidRPr="00C97518" w:rsidRDefault="00341D7B" w:rsidP="00341D7B">
      <w:pPr>
        <w:keepNext/>
        <w:spacing w:after="80"/>
        <w:rPr>
          <w:rFonts w:cs="Arial"/>
          <w:color w:val="000000"/>
          <w:szCs w:val="20"/>
        </w:rPr>
      </w:pPr>
      <w:r w:rsidRPr="00C97518">
        <w:rPr>
          <w:rFonts w:cs="Arial"/>
          <w:szCs w:val="20"/>
        </w:rPr>
        <w:t xml:space="preserve">Section 9 of the </w:t>
      </w:r>
      <w:r w:rsidRPr="00C97518">
        <w:rPr>
          <w:rFonts w:cs="Arial"/>
          <w:i/>
          <w:iCs/>
          <w:szCs w:val="20"/>
        </w:rPr>
        <w:t>Australian Communications and Media Authority</w:t>
      </w:r>
      <w:r w:rsidRPr="00C97518">
        <w:rPr>
          <w:rFonts w:cs="Arial"/>
          <w:i/>
          <w:iCs/>
        </w:rPr>
        <w:t xml:space="preserve"> Act 2005</w:t>
      </w:r>
      <w:r w:rsidRPr="00C97518">
        <w:rPr>
          <w:rFonts w:cs="Arial"/>
        </w:rPr>
        <w:t xml:space="preserve"> (the ACMA Act) sets out the spectrum management functions of the ACMA including:</w:t>
      </w:r>
    </w:p>
    <w:p w14:paraId="16172903" w14:textId="77777777" w:rsidR="00341D7B" w:rsidRPr="00C97518" w:rsidRDefault="00341D7B" w:rsidP="00341D7B">
      <w:pPr>
        <w:pStyle w:val="ListBullet"/>
        <w:keepNext/>
        <w:numPr>
          <w:ilvl w:val="0"/>
          <w:numId w:val="1"/>
        </w:numPr>
      </w:pPr>
      <w:r w:rsidRPr="00C97518">
        <w:t xml:space="preserve">to manage the radiofrequency spectrum in accordance with the </w:t>
      </w:r>
      <w:r w:rsidRPr="00C97518">
        <w:rPr>
          <w:i/>
        </w:rPr>
        <w:t>Radiocommunications Act 1992</w:t>
      </w:r>
      <w:r w:rsidRPr="00C97518">
        <w:t xml:space="preserve"> (the Act)</w:t>
      </w:r>
    </w:p>
    <w:p w14:paraId="118D1C81" w14:textId="77777777" w:rsidR="00341D7B" w:rsidRPr="00C97518" w:rsidRDefault="00341D7B" w:rsidP="00341D7B">
      <w:pPr>
        <w:pStyle w:val="ListBulletLast"/>
        <w:keepNext/>
        <w:numPr>
          <w:ilvl w:val="0"/>
          <w:numId w:val="1"/>
        </w:numPr>
      </w:pPr>
      <w:r w:rsidRPr="00C97518">
        <w:t>to advise and assist the radiocommunications community.</w:t>
      </w:r>
    </w:p>
    <w:p w14:paraId="6D8B2E1E" w14:textId="7AFE5FC5" w:rsidR="00341D7B" w:rsidRPr="00C97518" w:rsidRDefault="0084332C" w:rsidP="00341D7B">
      <w:pPr>
        <w:spacing w:after="80"/>
        <w:rPr>
          <w:rFonts w:cs="Arial"/>
        </w:rPr>
      </w:pPr>
      <w:r w:rsidRPr="00C97518">
        <w:rPr>
          <w:rFonts w:cs="Arial"/>
        </w:rPr>
        <w:t>T</w:t>
      </w:r>
      <w:r w:rsidR="00341D7B" w:rsidRPr="00C97518">
        <w:rPr>
          <w:rFonts w:cs="Arial"/>
        </w:rPr>
        <w:t xml:space="preserve">he spectrum management functions set out in </w:t>
      </w:r>
      <w:r w:rsidRPr="00C97518">
        <w:rPr>
          <w:rFonts w:cs="Arial"/>
        </w:rPr>
        <w:t xml:space="preserve">section 9 of </w:t>
      </w:r>
      <w:r w:rsidR="00341D7B" w:rsidRPr="00C97518">
        <w:rPr>
          <w:rFonts w:cs="Arial"/>
        </w:rPr>
        <w:t>the ACMA Act</w:t>
      </w:r>
      <w:r w:rsidRPr="00C97518">
        <w:rPr>
          <w:rFonts w:cs="Arial"/>
        </w:rPr>
        <w:t xml:space="preserve"> is related to</w:t>
      </w:r>
      <w:r w:rsidR="008E5568" w:rsidRPr="00C97518">
        <w:rPr>
          <w:rFonts w:cs="Arial"/>
        </w:rPr>
        <w:t>,</w:t>
      </w:r>
      <w:r w:rsidRPr="00C97518">
        <w:rPr>
          <w:rFonts w:cs="Arial"/>
        </w:rPr>
        <w:t xml:space="preserve"> and </w:t>
      </w:r>
      <w:r w:rsidR="008E5568" w:rsidRPr="00C97518">
        <w:rPr>
          <w:rFonts w:cs="Arial"/>
        </w:rPr>
        <w:t>consistent</w:t>
      </w:r>
      <w:r w:rsidRPr="00C97518">
        <w:rPr>
          <w:rFonts w:cs="Arial"/>
        </w:rPr>
        <w:t xml:space="preserve"> with</w:t>
      </w:r>
      <w:r w:rsidR="008E5568" w:rsidRPr="00C97518">
        <w:rPr>
          <w:rFonts w:cs="Arial"/>
        </w:rPr>
        <w:t>,</w:t>
      </w:r>
      <w:r w:rsidR="00341D7B" w:rsidRPr="00C97518">
        <w:rPr>
          <w:rFonts w:cs="Arial"/>
        </w:rPr>
        <w:t xml:space="preserve"> the object </w:t>
      </w:r>
      <w:r w:rsidR="00465C7C" w:rsidRPr="00C97518">
        <w:rPr>
          <w:rFonts w:cs="Arial"/>
        </w:rPr>
        <w:t xml:space="preserve">set out in section 3 </w:t>
      </w:r>
      <w:r w:rsidR="00341D7B" w:rsidRPr="00C97518">
        <w:rPr>
          <w:rFonts w:cs="Arial"/>
        </w:rPr>
        <w:t xml:space="preserve">of the Act for </w:t>
      </w:r>
      <w:r w:rsidR="00465C7C" w:rsidRPr="00C97518">
        <w:rPr>
          <w:rFonts w:cs="Arial"/>
        </w:rPr>
        <w:t xml:space="preserve">the </w:t>
      </w:r>
      <w:r w:rsidR="00341D7B" w:rsidRPr="00C97518">
        <w:rPr>
          <w:rFonts w:cs="Arial"/>
        </w:rPr>
        <w:t xml:space="preserve">management of the radiofrequency spectrum in order to achieve a number of goals, </w:t>
      </w:r>
      <w:r w:rsidR="00465C7C" w:rsidRPr="00C97518">
        <w:rPr>
          <w:rFonts w:cs="Arial"/>
        </w:rPr>
        <w:t>and particularly relevant to the present circumstances is to</w:t>
      </w:r>
      <w:r w:rsidR="00341D7B" w:rsidRPr="00C97518">
        <w:rPr>
          <w:rFonts w:cs="Arial"/>
        </w:rPr>
        <w:t>:</w:t>
      </w:r>
      <w:r w:rsidR="00465C7C" w:rsidRPr="00C97518">
        <w:rPr>
          <w:rFonts w:cs="Arial"/>
        </w:rPr>
        <w:t xml:space="preserve"> </w:t>
      </w:r>
    </w:p>
    <w:p w14:paraId="0F752A04" w14:textId="77777777" w:rsidR="00341D7B" w:rsidRPr="00C97518" w:rsidRDefault="00341D7B" w:rsidP="00341D7B">
      <w:pPr>
        <w:pStyle w:val="ListBulletLast"/>
        <w:numPr>
          <w:ilvl w:val="0"/>
          <w:numId w:val="1"/>
        </w:numPr>
      </w:pPr>
      <w:r w:rsidRPr="00C97518">
        <w:t>maximise, by ensuring the efficient allocation and use of the spectrum, the overall public benefit derived from using the radiofrequency spectrum.</w:t>
      </w:r>
    </w:p>
    <w:p w14:paraId="6EAA4334" w14:textId="0BAD106B" w:rsidR="00A47E79" w:rsidRPr="00C97518" w:rsidRDefault="00A47E79" w:rsidP="00761967">
      <w:pPr>
        <w:keepNext/>
        <w:keepLines/>
        <w:spacing w:after="80"/>
      </w:pPr>
      <w:r w:rsidRPr="00C97518">
        <w:t xml:space="preserve">The ACMA is also guided by the </w:t>
      </w:r>
      <w:hyperlink r:id="rId31" w:history="1">
        <w:r w:rsidRPr="00C97518">
          <w:rPr>
            <w:rStyle w:val="Hyperlink"/>
            <w:rFonts w:cs="Arial"/>
            <w:i/>
          </w:rPr>
          <w:t>Principles for Spectrum Management</w:t>
        </w:r>
      </w:hyperlink>
      <w:r w:rsidRPr="00C97518">
        <w:rPr>
          <w:rStyle w:val="FootnoteReference"/>
          <w:rFonts w:cs="Arial"/>
        </w:rPr>
        <w:footnoteReference w:id="3"/>
      </w:r>
      <w:r w:rsidRPr="00C97518" w:rsidDel="00DA0B78">
        <w:rPr>
          <w:i/>
        </w:rPr>
        <w:t xml:space="preserve"> </w:t>
      </w:r>
      <w:r w:rsidRPr="00C97518">
        <w:t>(the Principles), which are:</w:t>
      </w:r>
    </w:p>
    <w:p w14:paraId="14E119B4" w14:textId="77777777" w:rsidR="00A47E79" w:rsidRPr="00C97518" w:rsidRDefault="00A47E79" w:rsidP="00537EFC">
      <w:pPr>
        <w:pStyle w:val="ListNumber2"/>
        <w:keepNext/>
        <w:keepLines/>
        <w:numPr>
          <w:ilvl w:val="0"/>
          <w:numId w:val="13"/>
        </w:numPr>
      </w:pPr>
      <w:r w:rsidRPr="00C97518">
        <w:t>Allocate spectrum to the highest value use or uses</w:t>
      </w:r>
      <w:r w:rsidR="00236A33" w:rsidRPr="00C97518">
        <w:t>.</w:t>
      </w:r>
    </w:p>
    <w:p w14:paraId="1AA3D2F4" w14:textId="77777777" w:rsidR="00A47E79" w:rsidRPr="00C97518" w:rsidRDefault="00A47E79" w:rsidP="00537EFC">
      <w:pPr>
        <w:pStyle w:val="ListNumber2"/>
        <w:keepNext/>
        <w:keepLines/>
        <w:numPr>
          <w:ilvl w:val="0"/>
          <w:numId w:val="13"/>
        </w:numPr>
      </w:pPr>
      <w:r w:rsidRPr="00C97518">
        <w:t>Enable and encourage spectrum to move to its highest value use or uses</w:t>
      </w:r>
      <w:r w:rsidR="00236A33" w:rsidRPr="00C97518">
        <w:t>.</w:t>
      </w:r>
    </w:p>
    <w:p w14:paraId="19E095D6" w14:textId="77777777" w:rsidR="00A47E79" w:rsidRPr="00C97518" w:rsidRDefault="00A47E79" w:rsidP="00537EFC">
      <w:pPr>
        <w:pStyle w:val="ListNumber2"/>
        <w:keepNext/>
        <w:keepLines/>
        <w:numPr>
          <w:ilvl w:val="0"/>
          <w:numId w:val="13"/>
        </w:numPr>
      </w:pPr>
      <w:r w:rsidRPr="00C97518">
        <w:t>Use the least cost and least restrictive approach to achieving policy objectives</w:t>
      </w:r>
      <w:r w:rsidR="00236A33" w:rsidRPr="00C97518">
        <w:t>.</w:t>
      </w:r>
    </w:p>
    <w:p w14:paraId="57E0F940" w14:textId="77777777" w:rsidR="00A47E79" w:rsidRPr="00C97518" w:rsidRDefault="00A47E79" w:rsidP="00537EFC">
      <w:pPr>
        <w:pStyle w:val="ListNumber2"/>
        <w:keepNext/>
        <w:keepLines/>
        <w:numPr>
          <w:ilvl w:val="0"/>
          <w:numId w:val="13"/>
        </w:numPr>
      </w:pPr>
      <w:r w:rsidRPr="00C97518">
        <w:t>To the extent possible, promote both certainty and flexibility</w:t>
      </w:r>
      <w:r w:rsidR="00236A33" w:rsidRPr="00C97518">
        <w:t>.</w:t>
      </w:r>
    </w:p>
    <w:p w14:paraId="6CC6E32A" w14:textId="77777777" w:rsidR="00A47E79" w:rsidRPr="00C97518" w:rsidRDefault="00A47E79" w:rsidP="00537EFC">
      <w:pPr>
        <w:pStyle w:val="ListNumber2"/>
        <w:numPr>
          <w:ilvl w:val="0"/>
          <w:numId w:val="13"/>
        </w:numPr>
        <w:spacing w:after="240"/>
      </w:pPr>
      <w:r w:rsidRPr="00C97518">
        <w:t>Balance the cost of interference and the benefits of greater spectrum utilisation.</w:t>
      </w:r>
    </w:p>
    <w:p w14:paraId="2505B713" w14:textId="0584AE20" w:rsidR="007A5B24" w:rsidRPr="00C97518" w:rsidRDefault="007A5B24" w:rsidP="007A5B24">
      <w:pPr>
        <w:spacing w:before="240" w:after="80"/>
        <w:rPr>
          <w:rFonts w:cs="Arial"/>
        </w:rPr>
      </w:pPr>
      <w:r w:rsidRPr="00C97518">
        <w:rPr>
          <w:rFonts w:cs="Arial"/>
        </w:rPr>
        <w:t xml:space="preserve">The technical framework </w:t>
      </w:r>
      <w:r w:rsidR="00A75061" w:rsidRPr="00C97518">
        <w:rPr>
          <w:rFonts w:cs="Arial"/>
        </w:rPr>
        <w:t>proposed</w:t>
      </w:r>
      <w:r w:rsidRPr="00C97518">
        <w:rPr>
          <w:rFonts w:cs="Arial"/>
        </w:rPr>
        <w:t xml:space="preserve"> in this paper focuses </w:t>
      </w:r>
      <w:r w:rsidR="00465C7C" w:rsidRPr="00C97518">
        <w:rPr>
          <w:rFonts w:cs="Arial"/>
        </w:rPr>
        <w:t xml:space="preserve">in particular </w:t>
      </w:r>
      <w:r w:rsidRPr="00C97518">
        <w:rPr>
          <w:rFonts w:cs="Arial"/>
        </w:rPr>
        <w:t xml:space="preserve">on supporting </w:t>
      </w:r>
      <w:r w:rsidR="007514C0" w:rsidRPr="00C97518">
        <w:rPr>
          <w:rFonts w:cs="Arial"/>
        </w:rPr>
        <w:t>P</w:t>
      </w:r>
      <w:r w:rsidRPr="00C97518">
        <w:rPr>
          <w:rFonts w:cs="Arial"/>
        </w:rPr>
        <w:t>rinciples 2, 4 and 5.</w:t>
      </w:r>
    </w:p>
    <w:p w14:paraId="674D0E45" w14:textId="65906F17" w:rsidR="007A5B24" w:rsidRPr="00C97518" w:rsidRDefault="007A5B24" w:rsidP="007A5B24">
      <w:pPr>
        <w:spacing w:before="240" w:after="80"/>
        <w:rPr>
          <w:rFonts w:cs="Arial"/>
        </w:rPr>
      </w:pPr>
      <w:r w:rsidRPr="00C97518">
        <w:rPr>
          <w:rFonts w:cs="Arial"/>
        </w:rPr>
        <w:t xml:space="preserve">These </w:t>
      </w:r>
      <w:r w:rsidR="007514C0" w:rsidRPr="00C97518">
        <w:rPr>
          <w:rFonts w:cs="Arial"/>
        </w:rPr>
        <w:t>P</w:t>
      </w:r>
      <w:r w:rsidRPr="00C97518">
        <w:rPr>
          <w:rFonts w:cs="Arial"/>
        </w:rPr>
        <w:t xml:space="preserve">rinciples are supported by: </w:t>
      </w:r>
    </w:p>
    <w:p w14:paraId="12295A04" w14:textId="506D0A38" w:rsidR="007A5B24" w:rsidRPr="00C97518" w:rsidRDefault="007A5B24" w:rsidP="00270E6C">
      <w:pPr>
        <w:pStyle w:val="ListBulletLast"/>
        <w:numPr>
          <w:ilvl w:val="0"/>
          <w:numId w:val="1"/>
        </w:numPr>
        <w:spacing w:after="80"/>
      </w:pPr>
      <w:r w:rsidRPr="00C97518">
        <w:t>Optimising the technical framework for use by internationally harmonised next-generation mobile technologies, while providing flexibility for 2 GHz</w:t>
      </w:r>
      <w:r w:rsidR="00B67522" w:rsidRPr="00C97518">
        <w:t xml:space="preserve"> band</w:t>
      </w:r>
      <w:r w:rsidRPr="00C97518">
        <w:t xml:space="preserve"> spectrum licensees to deploy other technologies</w:t>
      </w:r>
      <w:r w:rsidR="00C25C8A" w:rsidRPr="00C97518">
        <w:t>,</w:t>
      </w:r>
      <w:r w:rsidRPr="00C97518">
        <w:t xml:space="preserve"> if and when they desire.</w:t>
      </w:r>
    </w:p>
    <w:p w14:paraId="576F02F9" w14:textId="23265877" w:rsidR="007A5B24" w:rsidRPr="00C97518" w:rsidRDefault="007A5B24" w:rsidP="00270E6C">
      <w:pPr>
        <w:pStyle w:val="ListBulletLast"/>
        <w:numPr>
          <w:ilvl w:val="0"/>
          <w:numId w:val="1"/>
        </w:numPr>
        <w:spacing w:after="80"/>
      </w:pPr>
      <w:r w:rsidRPr="00C97518">
        <w:t>Providing certainty through the development of appropriate core conditions on the licence and clear guidance on how interference is managed</w:t>
      </w:r>
      <w:r w:rsidR="00C25C8A" w:rsidRPr="00C97518">
        <w:t>,</w:t>
      </w:r>
      <w:r w:rsidRPr="00C97518">
        <w:t xml:space="preserve"> both to and from devices operating under </w:t>
      </w:r>
      <w:r w:rsidR="00B67522" w:rsidRPr="00C97518">
        <w:t>the</w:t>
      </w:r>
      <w:r w:rsidRPr="00C97518">
        <w:t xml:space="preserve"> 2 GHz band spectrum licence.</w:t>
      </w:r>
    </w:p>
    <w:p w14:paraId="58D1FB26" w14:textId="77777777" w:rsidR="007A5B24" w:rsidRPr="00C97518" w:rsidRDefault="007A5B24" w:rsidP="00270E6C">
      <w:pPr>
        <w:pStyle w:val="ListBulletLast"/>
        <w:numPr>
          <w:ilvl w:val="0"/>
          <w:numId w:val="1"/>
        </w:numPr>
        <w:spacing w:after="80"/>
      </w:pPr>
      <w:r w:rsidRPr="00C97518">
        <w:t>Providing flexibility by allowing</w:t>
      </w:r>
      <w:r w:rsidR="00B67522" w:rsidRPr="00C97518">
        <w:t xml:space="preserve"> the</w:t>
      </w:r>
      <w:r w:rsidRPr="00C97518">
        <w:t xml:space="preserve"> 2 GHz spectrum licensees to come to agreement on various aspects of the interference management framework to implement different arrangements.</w:t>
      </w:r>
    </w:p>
    <w:p w14:paraId="0A9CC1D7" w14:textId="77777777" w:rsidR="007A5B24" w:rsidRPr="00C97518" w:rsidRDefault="007A5B24" w:rsidP="00341D7B">
      <w:pPr>
        <w:pStyle w:val="ListBulletLast"/>
        <w:numPr>
          <w:ilvl w:val="0"/>
          <w:numId w:val="1"/>
        </w:numPr>
      </w:pPr>
      <w:r w:rsidRPr="00C97518">
        <w:t>Allowing higher levels of emissions to leave the geographical area of a spectrum licence in order to support services being deployed closer to the boundary.</w:t>
      </w:r>
    </w:p>
    <w:p w14:paraId="0048C1F5" w14:textId="4B083058" w:rsidR="00681BAB" w:rsidRPr="00C97518" w:rsidRDefault="00681BAB" w:rsidP="00681BAB">
      <w:pPr>
        <w:pStyle w:val="Heading2"/>
      </w:pPr>
      <w:bookmarkStart w:id="8" w:name="_Toc444690623"/>
      <w:r w:rsidRPr="00C97518">
        <w:t>Scope</w:t>
      </w:r>
      <w:bookmarkEnd w:id="8"/>
    </w:p>
    <w:p w14:paraId="3AC51133" w14:textId="40E1F43B" w:rsidR="007A5B24" w:rsidRPr="00C97518" w:rsidRDefault="00BC5DB2" w:rsidP="00681BAB">
      <w:pPr>
        <w:spacing w:after="80"/>
        <w:rPr>
          <w:rFonts w:cs="Arial"/>
        </w:rPr>
      </w:pPr>
      <w:r w:rsidRPr="00C97518">
        <w:rPr>
          <w:rFonts w:cs="Arial"/>
        </w:rPr>
        <w:t>Initially</w:t>
      </w:r>
      <w:r w:rsidR="00C25C8A" w:rsidRPr="00C97518">
        <w:rPr>
          <w:rFonts w:cs="Arial"/>
        </w:rPr>
        <w:t>,</w:t>
      </w:r>
      <w:r w:rsidRPr="00C97518">
        <w:rPr>
          <w:rFonts w:cs="Arial"/>
        </w:rPr>
        <w:t xml:space="preserve"> when the 2 GHz spectrum licences were offered</w:t>
      </w:r>
      <w:r w:rsidR="00C25C8A" w:rsidRPr="00C97518">
        <w:rPr>
          <w:rFonts w:cs="Arial"/>
        </w:rPr>
        <w:t>,</w:t>
      </w:r>
      <w:r w:rsidRPr="00C97518">
        <w:rPr>
          <w:rFonts w:cs="Arial"/>
        </w:rPr>
        <w:t xml:space="preserve"> they included a paired and unpaired segment. The unpaired segment included:</w:t>
      </w:r>
    </w:p>
    <w:p w14:paraId="2F767199" w14:textId="41760015" w:rsidR="00BC5DB2" w:rsidRPr="00C97518" w:rsidRDefault="00BC5DB2" w:rsidP="00341D7B">
      <w:pPr>
        <w:pStyle w:val="ListBulletLast"/>
        <w:numPr>
          <w:ilvl w:val="0"/>
          <w:numId w:val="1"/>
        </w:numPr>
      </w:pPr>
      <w:r w:rsidRPr="00C97518">
        <w:t>20 MHz of spectrum in the band 1900</w:t>
      </w:r>
      <w:r w:rsidR="00C25C8A" w:rsidRPr="00C97518">
        <w:t>–</w:t>
      </w:r>
      <w:r w:rsidRPr="00C97518">
        <w:t>1920 MHz in Sydney, Melbourne, Adelaide, Perth, Brisbane, Canberra, Darwin and Hobart.</w:t>
      </w:r>
    </w:p>
    <w:p w14:paraId="41932E4B" w14:textId="4A85C133" w:rsidR="00BC5DB2" w:rsidRPr="00C97518" w:rsidRDefault="00BC5DB2" w:rsidP="00BC5DB2">
      <w:pPr>
        <w:pStyle w:val="ListBullet"/>
        <w:tabs>
          <w:tab w:val="clear" w:pos="295"/>
        </w:tabs>
        <w:spacing w:after="240"/>
        <w:ind w:left="0" w:firstLine="0"/>
      </w:pPr>
      <w:r w:rsidRPr="00C97518">
        <w:t xml:space="preserve">This unpaired segment is outside the scope of the revised technical framework for the 2 GHz band. </w:t>
      </w:r>
      <w:r w:rsidR="00332438" w:rsidRPr="00C97518">
        <w:t xml:space="preserve">This is because the unpaired segment was not included </w:t>
      </w:r>
      <w:r w:rsidR="006F5AB0" w:rsidRPr="00C97518">
        <w:t>i</w:t>
      </w:r>
      <w:r w:rsidR="00332438" w:rsidRPr="00C97518">
        <w:t>n the Minister</w:t>
      </w:r>
      <w:r w:rsidR="003459FB" w:rsidRPr="00C97518">
        <w:t>’</w:t>
      </w:r>
      <w:r w:rsidR="00332438" w:rsidRPr="00C97518">
        <w:t>s Class of Service Determination</w:t>
      </w:r>
      <w:r w:rsidR="006F5AB0" w:rsidRPr="00C97518">
        <w:rPr>
          <w:rStyle w:val="FootnoteReference"/>
        </w:rPr>
        <w:footnoteReference w:id="4"/>
      </w:r>
      <w:r w:rsidR="00332438" w:rsidRPr="00C97518">
        <w:t xml:space="preserve"> and there have been no expressions of interest to reissue these licenses from existing licensee</w:t>
      </w:r>
      <w:r w:rsidR="006F5AB0" w:rsidRPr="00C97518">
        <w:t>s</w:t>
      </w:r>
      <w:r w:rsidR="00332438" w:rsidRPr="00C97518">
        <w:t xml:space="preserve">. For this </w:t>
      </w:r>
      <w:r w:rsidR="00C25C8A" w:rsidRPr="00C97518">
        <w:t>reason,</w:t>
      </w:r>
      <w:r w:rsidR="00332438" w:rsidRPr="00C97518">
        <w:t xml:space="preserve"> the ACMA </w:t>
      </w:r>
      <w:r w:rsidR="00100D32" w:rsidRPr="00C97518">
        <w:t>intends</w:t>
      </w:r>
      <w:r w:rsidR="00332438" w:rsidRPr="00C97518">
        <w:t xml:space="preserve"> to allow these licences to expire</w:t>
      </w:r>
      <w:r w:rsidR="00C25C8A" w:rsidRPr="00C97518">
        <w:t>,</w:t>
      </w:r>
      <w:r w:rsidR="00A60A99" w:rsidRPr="00C97518">
        <w:t xml:space="preserve"> and will run a separate process to determine the best future use of this spectrum.</w:t>
      </w:r>
    </w:p>
    <w:p w14:paraId="7562FBAD" w14:textId="36283167" w:rsidR="00BC5DB2" w:rsidRPr="00C97518" w:rsidRDefault="00BC5DB2" w:rsidP="0027403F">
      <w:pPr>
        <w:pStyle w:val="ListBullet"/>
        <w:tabs>
          <w:tab w:val="clear" w:pos="295"/>
        </w:tabs>
        <w:ind w:left="0" w:firstLine="0"/>
      </w:pPr>
      <w:r w:rsidRPr="00C97518">
        <w:t>The paired segment</w:t>
      </w:r>
      <w:r w:rsidR="00A75061" w:rsidRPr="00C97518">
        <w:t>s</w:t>
      </w:r>
      <w:r w:rsidRPr="00C97518">
        <w:t xml:space="preserve"> included:</w:t>
      </w:r>
    </w:p>
    <w:p w14:paraId="505A080B" w14:textId="55ABD21B" w:rsidR="00BC5DB2" w:rsidRPr="00C97518" w:rsidRDefault="00BC5DB2" w:rsidP="0027403F">
      <w:pPr>
        <w:pStyle w:val="ListBulletLast"/>
        <w:numPr>
          <w:ilvl w:val="0"/>
          <w:numId w:val="1"/>
        </w:numPr>
        <w:spacing w:after="80"/>
      </w:pPr>
      <w:r w:rsidRPr="00C97518">
        <w:t>2 x 60 MHz in the 1920</w:t>
      </w:r>
      <w:r w:rsidR="00C25C8A" w:rsidRPr="00C97518">
        <w:t>–</w:t>
      </w:r>
      <w:r w:rsidRPr="00C97518">
        <w:t>1980 MHz/2110</w:t>
      </w:r>
      <w:r w:rsidR="00C25C8A" w:rsidRPr="00C97518">
        <w:t>–</w:t>
      </w:r>
      <w:r w:rsidRPr="00C97518">
        <w:t xml:space="preserve">2170 MHz bands in Sydney, Melbourne, Adelaide, Perth, Brisbane, Darwin and Hobart </w:t>
      </w:r>
    </w:p>
    <w:p w14:paraId="35F7F5CC" w14:textId="3E05074E" w:rsidR="00BC5DB2" w:rsidRPr="00C97518" w:rsidRDefault="00BC5DB2" w:rsidP="0027403F">
      <w:pPr>
        <w:pStyle w:val="ListBulletLast"/>
        <w:numPr>
          <w:ilvl w:val="0"/>
          <w:numId w:val="1"/>
        </w:numPr>
        <w:spacing w:after="80"/>
      </w:pPr>
      <w:r w:rsidRPr="00C97518">
        <w:t>2 x 45 MHz in the 1935</w:t>
      </w:r>
      <w:r w:rsidR="00C25C8A" w:rsidRPr="00C97518">
        <w:t>–</w:t>
      </w:r>
      <w:r w:rsidRPr="00C97518">
        <w:t>1980 MHz/2125</w:t>
      </w:r>
      <w:r w:rsidR="00C25C8A" w:rsidRPr="00C97518">
        <w:t>–</w:t>
      </w:r>
      <w:r w:rsidRPr="00C97518">
        <w:t>2170 MHz bands in Canberra</w:t>
      </w:r>
    </w:p>
    <w:p w14:paraId="499C55B8" w14:textId="553070A2" w:rsidR="00BC5DB2" w:rsidRPr="00C97518" w:rsidRDefault="00BC5DB2" w:rsidP="00341D7B">
      <w:pPr>
        <w:pStyle w:val="ListBulletLast"/>
        <w:numPr>
          <w:ilvl w:val="0"/>
          <w:numId w:val="1"/>
        </w:numPr>
      </w:pPr>
      <w:r w:rsidRPr="00C97518">
        <w:t>2 x 20 MHz in the 1960</w:t>
      </w:r>
      <w:r w:rsidR="00C25C8A" w:rsidRPr="00C97518">
        <w:t>–</w:t>
      </w:r>
      <w:r w:rsidRPr="00C97518">
        <w:t>1980 MHz/2150</w:t>
      </w:r>
      <w:r w:rsidR="00C25C8A" w:rsidRPr="00C97518">
        <w:t>–</w:t>
      </w:r>
      <w:r w:rsidRPr="00C97518">
        <w:t>2170 MHz bands in regional areas.</w:t>
      </w:r>
    </w:p>
    <w:p w14:paraId="1BA481C8" w14:textId="420BEB13" w:rsidR="002C4953" w:rsidRPr="00C97518" w:rsidRDefault="002C4953" w:rsidP="0027403F">
      <w:r w:rsidRPr="00C97518">
        <w:t xml:space="preserve">It should be noted that there are some parts of the 2 GHz band that were never sold as spectrum licences. These parts have since reverted to apparatus licensing. </w:t>
      </w:r>
    </w:p>
    <w:p w14:paraId="4BAADC4A" w14:textId="16AED610" w:rsidR="007A5B24" w:rsidRPr="00C97518" w:rsidRDefault="002C4953" w:rsidP="0027403F">
      <w:r w:rsidRPr="00C97518">
        <w:t xml:space="preserve">The revised technical framework described in this discussion paper only applies to the paired segments of the 2 GHz band that are subject to spectrum licensing </w:t>
      </w:r>
      <w:r w:rsidR="00C25C8A" w:rsidRPr="00C97518">
        <w:t>after 11 </w:t>
      </w:r>
      <w:r w:rsidRPr="00C97518">
        <w:t xml:space="preserve">October 2017. However, the revised technical framework has </w:t>
      </w:r>
      <w:r w:rsidR="00892425" w:rsidRPr="00C97518">
        <w:t>been designed</w:t>
      </w:r>
      <w:r w:rsidRPr="00C97518">
        <w:t xml:space="preserve"> to allow for the future re-incorporation of any segments of the 2 GHz</w:t>
      </w:r>
      <w:r w:rsidR="006F5AB0" w:rsidRPr="00C97518">
        <w:t xml:space="preserve"> band</w:t>
      </w:r>
      <w:r w:rsidRPr="00C97518">
        <w:t xml:space="preserve"> that have reverted to apparatus licensing, if and when desired. </w:t>
      </w:r>
    </w:p>
    <w:p w14:paraId="74D1D5D3" w14:textId="77777777" w:rsidR="00A47E79" w:rsidRPr="00C97518" w:rsidRDefault="007A5B24" w:rsidP="00B020FB">
      <w:pPr>
        <w:pStyle w:val="Heading1"/>
      </w:pPr>
      <w:bookmarkStart w:id="9" w:name="_Toc444690624"/>
      <w:r w:rsidRPr="00C97518">
        <w:t>Proposed technical framework revisions</w:t>
      </w:r>
      <w:bookmarkEnd w:id="9"/>
    </w:p>
    <w:p w14:paraId="310502C7" w14:textId="761E3C31" w:rsidR="007A5B24" w:rsidRPr="00C97518" w:rsidRDefault="007A5B24" w:rsidP="007A5B24">
      <w:pPr>
        <w:spacing w:after="80"/>
        <w:rPr>
          <w:rFonts w:cs="Arial"/>
        </w:rPr>
      </w:pPr>
      <w:bookmarkStart w:id="10" w:name="OLE_LINK6"/>
      <w:r w:rsidRPr="00C97518">
        <w:rPr>
          <w:rFonts w:cs="Arial"/>
        </w:rPr>
        <w:t>A technical framework consists of three interlocking regulatory elements provided for under the</w:t>
      </w:r>
      <w:r w:rsidR="00564E62" w:rsidRPr="00C97518">
        <w:rPr>
          <w:rFonts w:cs="Arial"/>
        </w:rPr>
        <w:t xml:space="preserve"> Act</w:t>
      </w:r>
      <w:r w:rsidRPr="00C97518">
        <w:rPr>
          <w:rFonts w:cs="Arial"/>
        </w:rPr>
        <w:t>:</w:t>
      </w:r>
    </w:p>
    <w:p w14:paraId="28486157" w14:textId="40F1A1E8" w:rsidR="007A5B24" w:rsidRPr="00C97518" w:rsidRDefault="007A5B24" w:rsidP="00A8495B">
      <w:pPr>
        <w:pStyle w:val="ListBullet"/>
        <w:numPr>
          <w:ilvl w:val="0"/>
          <w:numId w:val="1"/>
        </w:numPr>
      </w:pPr>
      <w:r w:rsidRPr="00C97518">
        <w:t>The conditions specified on the spectrum licence</w:t>
      </w:r>
      <w:r w:rsidR="00C25C8A" w:rsidRPr="00C97518">
        <w:t>—</w:t>
      </w:r>
      <w:r w:rsidRPr="00C97518">
        <w:t xml:space="preserve">in particular, the core conditions that define the spectrum space (both frequency and geographical area) and the level of emissions permitted inside and across the frequency boundaries of the licence (section 66 of the Act). </w:t>
      </w:r>
    </w:p>
    <w:p w14:paraId="7BCB004C" w14:textId="642E1BE1" w:rsidR="007A5B24" w:rsidRPr="00C97518" w:rsidRDefault="007A5B24" w:rsidP="00A8495B">
      <w:pPr>
        <w:pStyle w:val="ListBullet"/>
        <w:numPr>
          <w:ilvl w:val="0"/>
          <w:numId w:val="1"/>
        </w:numPr>
      </w:pPr>
      <w:r w:rsidRPr="00C97518">
        <w:t xml:space="preserve">A determination of unacceptable interference for the purpose of device registration in each band (section 145 of the Act). </w:t>
      </w:r>
    </w:p>
    <w:p w14:paraId="35D75E91" w14:textId="57F06958" w:rsidR="007A5B24" w:rsidRPr="00C97518" w:rsidRDefault="007A5B24" w:rsidP="0027403F">
      <w:pPr>
        <w:pStyle w:val="ListBullet"/>
        <w:numPr>
          <w:ilvl w:val="0"/>
          <w:numId w:val="1"/>
        </w:numPr>
        <w:spacing w:after="240"/>
      </w:pPr>
      <w:r w:rsidRPr="00C97518">
        <w:t>Radiocommunications advisory guidelines that provide assistance and advice for coordination with stations in other services when and where required (section 262 of the Act).</w:t>
      </w:r>
    </w:p>
    <w:p w14:paraId="2253BD5D" w14:textId="77777777" w:rsidR="000A683C" w:rsidRPr="00C97518" w:rsidRDefault="007A5B24" w:rsidP="000A683C">
      <w:pPr>
        <w:rPr>
          <w:rFonts w:cs="Arial"/>
          <w:snapToGrid w:val="0"/>
          <w:lang w:eastAsia="en-US"/>
        </w:rPr>
      </w:pPr>
      <w:r w:rsidRPr="00C97518">
        <w:rPr>
          <w:rFonts w:cs="Arial"/>
          <w:snapToGrid w:val="0"/>
          <w:lang w:eastAsia="en-US"/>
        </w:rPr>
        <w:t xml:space="preserve">Each of these three components of the technical framework has been reviewed as part of this assessment of the 2 GHz spectrum licence technical framework. Proposed changes to each element of the framework are discussed in detail below. </w:t>
      </w:r>
    </w:p>
    <w:p w14:paraId="019466B7" w14:textId="77777777" w:rsidR="000A683C" w:rsidRPr="00C97518" w:rsidRDefault="000A683C" w:rsidP="000A683C">
      <w:pPr>
        <w:rPr>
          <w:rFonts w:cs="Arial"/>
          <w:bCs/>
          <w:iCs/>
        </w:rPr>
      </w:pPr>
      <w:r w:rsidRPr="00C97518">
        <w:rPr>
          <w:rFonts w:cs="Arial"/>
          <w:bCs/>
          <w:iCs/>
        </w:rPr>
        <w:t xml:space="preserve">A more comprehensive explanation of spectrum licence technical frameworks is provided in the document </w:t>
      </w:r>
      <w:hyperlink r:id="rId32" w:history="1">
        <w:r w:rsidRPr="00C97518">
          <w:rPr>
            <w:rStyle w:val="Hyperlink"/>
            <w:rFonts w:cs="Arial"/>
            <w:bCs/>
            <w:i/>
            <w:iCs/>
          </w:rPr>
          <w:t>Know your obligations—Spectrum licensees</w:t>
        </w:r>
      </w:hyperlink>
      <w:r w:rsidRPr="00C97518">
        <w:rPr>
          <w:rFonts w:cs="Arial"/>
          <w:bCs/>
          <w:iCs/>
        </w:rPr>
        <w:t>.</w:t>
      </w:r>
    </w:p>
    <w:p w14:paraId="35352A5C" w14:textId="77777777" w:rsidR="007A5B24" w:rsidRPr="00C97518" w:rsidRDefault="007A5B24" w:rsidP="007A5B24">
      <w:pPr>
        <w:pStyle w:val="Heading2"/>
      </w:pPr>
      <w:bookmarkStart w:id="11" w:name="_Toc403740552"/>
      <w:bookmarkStart w:id="12" w:name="_Toc404333447"/>
      <w:bookmarkStart w:id="13" w:name="_Toc444690625"/>
      <w:r w:rsidRPr="00C97518">
        <w:t>Conditions on the spectrum licence</w:t>
      </w:r>
      <w:bookmarkEnd w:id="11"/>
      <w:bookmarkEnd w:id="12"/>
      <w:bookmarkEnd w:id="13"/>
    </w:p>
    <w:p w14:paraId="53A6E7E2" w14:textId="3D06304F" w:rsidR="007A5B24" w:rsidRPr="00C97518" w:rsidRDefault="007A5B24" w:rsidP="007A5B24">
      <w:pPr>
        <w:spacing w:before="80" w:after="80"/>
        <w:rPr>
          <w:rFonts w:cs="Arial"/>
          <w:bCs/>
          <w:iCs/>
        </w:rPr>
      </w:pPr>
      <w:r w:rsidRPr="00C97518">
        <w:rPr>
          <w:rFonts w:cs="Arial"/>
          <w:bCs/>
          <w:iCs/>
        </w:rPr>
        <w:t>Each spectrum licence includes both core conditions and statutory conditions specified under relevant sections of the Act. The Act also provides that other specific conditions may be included by the ACMA.</w:t>
      </w:r>
    </w:p>
    <w:p w14:paraId="451AB3FD" w14:textId="77777777" w:rsidR="007A5B24" w:rsidRPr="00C97518" w:rsidRDefault="007A5B24" w:rsidP="0027403F">
      <w:pPr>
        <w:pStyle w:val="ListBullet"/>
        <w:numPr>
          <w:ilvl w:val="0"/>
          <w:numId w:val="1"/>
        </w:numPr>
      </w:pPr>
      <w:r w:rsidRPr="00C97518">
        <w:rPr>
          <w:b/>
        </w:rPr>
        <w:t>Core conditions</w:t>
      </w:r>
      <w:r w:rsidRPr="00C97518">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2C77BBD7" w14:textId="77777777" w:rsidR="007A5B24" w:rsidRPr="00C97518" w:rsidRDefault="007A5B24" w:rsidP="0027403F">
      <w:pPr>
        <w:pStyle w:val="ListBullet"/>
        <w:numPr>
          <w:ilvl w:val="0"/>
          <w:numId w:val="1"/>
        </w:numPr>
      </w:pPr>
      <w:r w:rsidRPr="00C97518">
        <w:rPr>
          <w:b/>
        </w:rPr>
        <w:t>Statutory conditions</w:t>
      </w:r>
      <w:r w:rsidRPr="00C97518">
        <w:t>—required under sections 67 to 69A, these conditions include information about payment of charges, use by third parties, residency, registration of transmitters and devices exempt from registration. These conditions are included in all spectrum licences.</w:t>
      </w:r>
    </w:p>
    <w:p w14:paraId="086DF329" w14:textId="77777777" w:rsidR="007A5B24" w:rsidRPr="00C97518" w:rsidRDefault="007A5B24" w:rsidP="0027403F">
      <w:pPr>
        <w:pStyle w:val="ListBullet"/>
        <w:numPr>
          <w:ilvl w:val="0"/>
          <w:numId w:val="1"/>
        </w:numPr>
        <w:spacing w:after="240"/>
      </w:pPr>
      <w:r w:rsidRPr="00C97518">
        <w:rPr>
          <w:b/>
        </w:rPr>
        <w:t>Other conditions</w:t>
      </w:r>
      <w:r w:rsidRPr="00C97518">
        <w:t>—conditions placed on licences under section 71 generally provide for the efficient management of the spectrum and administration of the Act. These conditions may vary from one band or licence to another.</w:t>
      </w:r>
    </w:p>
    <w:p w14:paraId="7D162D61" w14:textId="31780A49" w:rsidR="007A5B24" w:rsidRPr="00C97518" w:rsidRDefault="007A5B24" w:rsidP="007A5B24">
      <w:pPr>
        <w:spacing w:after="80"/>
      </w:pPr>
      <w:r w:rsidRPr="00C97518">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56D7D900" w14:textId="77777777" w:rsidR="007A5B24" w:rsidRPr="00C97518" w:rsidRDefault="007A5B24" w:rsidP="0027403F">
      <w:pPr>
        <w:pStyle w:val="ListBullet"/>
        <w:numPr>
          <w:ilvl w:val="0"/>
          <w:numId w:val="1"/>
        </w:numPr>
      </w:pPr>
      <w:r w:rsidRPr="00C97518">
        <w:t>the part or parts of the spectrum in which operation of radiocommunications devices is authorised under the licence (frequency range of operation)</w:t>
      </w:r>
    </w:p>
    <w:p w14:paraId="31ACAB18" w14:textId="77777777" w:rsidR="007A5B24" w:rsidRPr="00C97518" w:rsidRDefault="007A5B24" w:rsidP="0027403F">
      <w:pPr>
        <w:pStyle w:val="ListBullet"/>
        <w:numPr>
          <w:ilvl w:val="0"/>
          <w:numId w:val="1"/>
        </w:numPr>
      </w:pPr>
      <w:r w:rsidRPr="00C97518">
        <w:t>the maximum permitted level of radio emission, in parts of the spectrum outside the frequency range specified on the licence, that may be caused by operation of radiocommunications devices under the licence (outside-the-band emission)</w:t>
      </w:r>
    </w:p>
    <w:p w14:paraId="482C863E" w14:textId="77777777" w:rsidR="007A5B24" w:rsidRPr="00C97518" w:rsidRDefault="007A5B24" w:rsidP="0027403F">
      <w:pPr>
        <w:pStyle w:val="ListBullet"/>
        <w:numPr>
          <w:ilvl w:val="0"/>
          <w:numId w:val="1"/>
        </w:numPr>
      </w:pPr>
      <w:r w:rsidRPr="00C97518">
        <w:t>the area within which operation of radiocommunications devices is authorised under the licence (geographic area of operation)</w:t>
      </w:r>
    </w:p>
    <w:p w14:paraId="6F26E026" w14:textId="77777777" w:rsidR="007A5B24" w:rsidRPr="00C97518" w:rsidRDefault="007A5B24" w:rsidP="0027403F">
      <w:pPr>
        <w:pStyle w:val="ListBullet"/>
        <w:numPr>
          <w:ilvl w:val="0"/>
          <w:numId w:val="1"/>
        </w:numPr>
        <w:spacing w:after="240"/>
      </w:pPr>
      <w:r w:rsidRPr="00C97518">
        <w:t>the maximum permitted level of radio emission that may be caused by the operation of radiocommunications devices under the licence (outside-the-area emission).</w:t>
      </w:r>
    </w:p>
    <w:p w14:paraId="4171F3A9" w14:textId="101BD0B5" w:rsidR="007A5B24" w:rsidRPr="00C97518" w:rsidRDefault="006A5688" w:rsidP="0027403F">
      <w:pPr>
        <w:spacing w:after="80"/>
      </w:pPr>
      <w:r w:rsidRPr="00C97518">
        <w:t xml:space="preserve">Details of the changes to the conditions that are proposed to take effect for reissued or reallocated spectrum licences in the 2 GHz band are outlined in Attachment B. These include: </w:t>
      </w:r>
    </w:p>
    <w:p w14:paraId="4B9D7CED" w14:textId="0205EB15" w:rsidR="007A5B24" w:rsidRPr="00C97518" w:rsidRDefault="007A5B24" w:rsidP="0027403F">
      <w:pPr>
        <w:pStyle w:val="ListBullet"/>
        <w:numPr>
          <w:ilvl w:val="0"/>
          <w:numId w:val="1"/>
        </w:numPr>
      </w:pPr>
      <w:r w:rsidRPr="00C97518">
        <w:t>Changes to the core conditions relating to out-of-band</w:t>
      </w:r>
      <w:r w:rsidR="00D92F7B" w:rsidRPr="00C97518">
        <w:t>, non</w:t>
      </w:r>
      <w:r w:rsidR="00A75061" w:rsidRPr="00C97518">
        <w:t>-</w:t>
      </w:r>
      <w:r w:rsidR="00D92F7B" w:rsidRPr="00C97518">
        <w:t>spurious</w:t>
      </w:r>
      <w:r w:rsidRPr="00C97518">
        <w:t xml:space="preserve"> and spurious emissions (Licence Schedule 2 core conditions 2–1</w:t>
      </w:r>
      <w:r w:rsidR="00C97518">
        <w:t>4</w:t>
      </w:r>
      <w:r w:rsidRPr="00C97518">
        <w:t xml:space="preserve">) include: </w:t>
      </w:r>
    </w:p>
    <w:p w14:paraId="7E01CAA3" w14:textId="77777777" w:rsidR="00C97518" w:rsidRPr="00C97518" w:rsidRDefault="00C97518" w:rsidP="00C97518">
      <w:pPr>
        <w:pStyle w:val="ListBullet2"/>
      </w:pPr>
      <w:r w:rsidRPr="00C97518">
        <w:t xml:space="preserve">adoption of an ‘unwanted emission limit’ that both spurious and out-of-band emissions must meet. This removes any confusion regarding overlap between the spurious and out-of-band domains. </w:t>
      </w:r>
    </w:p>
    <w:p w14:paraId="36228EA7" w14:textId="29F9F97E" w:rsidR="00C97518" w:rsidRPr="00C97518" w:rsidRDefault="00C97518" w:rsidP="00C97518">
      <w:pPr>
        <w:pStyle w:val="ListBullet2"/>
      </w:pPr>
      <w:r>
        <w:t>adoption of</w:t>
      </w:r>
      <w:r w:rsidRPr="00C97518">
        <w:t xml:space="preserve"> unwanted emission limit</w:t>
      </w:r>
      <w:r w:rsidR="00FA661D">
        <w:t>s</w:t>
      </w:r>
      <w:r w:rsidRPr="00C97518">
        <w:t xml:space="preserve"> to better reflect standards developed for Long Te</w:t>
      </w:r>
      <w:r>
        <w:t>rm Evolution (LTE) technologies,</w:t>
      </w:r>
      <w:r w:rsidRPr="00C97518">
        <w:t xml:space="preserve"> </w:t>
      </w:r>
      <w:r>
        <w:t>t</w:t>
      </w:r>
      <w:r w:rsidRPr="00C97518">
        <w:t xml:space="preserve">his takes into account the differences between user terminals and base stations. However, changes also ensure that existing 3G services operating under 2 GHz band licences can seamlessly migrate to the new framework without modification. </w:t>
      </w:r>
    </w:p>
    <w:p w14:paraId="4FF1174D" w14:textId="75E51D81" w:rsidR="007A5B24" w:rsidRPr="00C97518" w:rsidRDefault="00B62E36" w:rsidP="0027403F">
      <w:pPr>
        <w:pStyle w:val="ListBullet2"/>
      </w:pPr>
      <w:r w:rsidRPr="00C97518">
        <w:t>unwanted emission</w:t>
      </w:r>
      <w:r w:rsidR="00C97518">
        <w:t>s below 2110 MHz</w:t>
      </w:r>
      <w:r w:rsidR="00FA661D">
        <w:t xml:space="preserve"> have</w:t>
      </w:r>
      <w:r w:rsidR="00C97518">
        <w:t xml:space="preserve">, for interference management purposes, been made more stringent than </w:t>
      </w:r>
      <w:r w:rsidR="00875C42" w:rsidRPr="00C97518">
        <w:t xml:space="preserve">those </w:t>
      </w:r>
      <w:r w:rsidR="001A32C4" w:rsidRPr="00C97518">
        <w:t xml:space="preserve">defined by </w:t>
      </w:r>
      <w:r w:rsidR="00875C42" w:rsidRPr="00C97518">
        <w:t xml:space="preserve">the </w:t>
      </w:r>
      <w:r w:rsidR="001A32C4" w:rsidRPr="00C97518">
        <w:t>3</w:t>
      </w:r>
      <w:r w:rsidR="008402A7" w:rsidRPr="00C97518">
        <w:rPr>
          <w:vertAlign w:val="superscript"/>
        </w:rPr>
        <w:t>rd</w:t>
      </w:r>
      <w:r w:rsidR="008402A7" w:rsidRPr="00C97518">
        <w:t xml:space="preserve"> </w:t>
      </w:r>
      <w:r w:rsidR="001A32C4" w:rsidRPr="00C97518">
        <w:t>G</w:t>
      </w:r>
      <w:r w:rsidR="008402A7" w:rsidRPr="00C97518">
        <w:t xml:space="preserve">eneration </w:t>
      </w:r>
      <w:r w:rsidR="001A32C4" w:rsidRPr="00C97518">
        <w:t>P</w:t>
      </w:r>
      <w:r w:rsidR="008402A7" w:rsidRPr="00C97518">
        <w:t xml:space="preserve">artnership </w:t>
      </w:r>
      <w:r w:rsidR="001A32C4" w:rsidRPr="00C97518">
        <w:t>P</w:t>
      </w:r>
      <w:r w:rsidR="008402A7" w:rsidRPr="00C97518">
        <w:t>roject (3GPP)</w:t>
      </w:r>
      <w:r w:rsidR="007A5B24" w:rsidRPr="00C97518">
        <w:t>.</w:t>
      </w:r>
    </w:p>
    <w:p w14:paraId="3FAA9853" w14:textId="19AB271A" w:rsidR="00B62E36" w:rsidRPr="00C97518" w:rsidRDefault="00B62E36" w:rsidP="0027403F">
      <w:pPr>
        <w:pStyle w:val="ListBullet2"/>
      </w:pPr>
      <w:r w:rsidRPr="00C97518">
        <w:t xml:space="preserve">spurious emissions </w:t>
      </w:r>
      <w:r w:rsidR="00FA661D">
        <w:t xml:space="preserve">are required </w:t>
      </w:r>
      <w:r w:rsidRPr="00C97518">
        <w:t xml:space="preserve">to meet both the unwanted emission limit (radiated power limit) as well as a limit measured at the antenna port. The latter matches the spurious emission limits defined by 3GPP and removes complications involved in defining a frequency response for antennas so a radiated spurious emission limit can be defined. </w:t>
      </w:r>
    </w:p>
    <w:p w14:paraId="240B685C" w14:textId="77777777" w:rsidR="00B62E36" w:rsidRPr="00C97518" w:rsidRDefault="00B62E36" w:rsidP="00B62E36">
      <w:pPr>
        <w:pStyle w:val="ListBullet2"/>
        <w:numPr>
          <w:ilvl w:val="0"/>
          <w:numId w:val="0"/>
        </w:numPr>
        <w:ind w:left="845"/>
      </w:pPr>
    </w:p>
    <w:p w14:paraId="7883844C" w14:textId="77777777" w:rsidR="007A5B24" w:rsidRPr="00C97518" w:rsidRDefault="007A5B24" w:rsidP="007A5B24">
      <w:pPr>
        <w:spacing w:after="80"/>
      </w:pPr>
      <w:r w:rsidRPr="00C97518">
        <w:t>Particular changes to other conditions on licences proposed for reissued or reallocated spectrum licences in the 2 GHz band include:</w:t>
      </w:r>
    </w:p>
    <w:p w14:paraId="68774CB8" w14:textId="7159FB52" w:rsidR="007A5B24" w:rsidRPr="00C97518" w:rsidRDefault="007A5B24" w:rsidP="0027403F">
      <w:pPr>
        <w:pStyle w:val="ListBullet"/>
        <w:numPr>
          <w:ilvl w:val="0"/>
          <w:numId w:val="1"/>
        </w:numPr>
      </w:pPr>
      <w:r w:rsidRPr="00C97518">
        <w:t>refining the definition for devices that are exempt from registration to allow for the deployment of femtocells</w:t>
      </w:r>
      <w:r w:rsidR="00C077DB" w:rsidRPr="00C97518">
        <w:t xml:space="preserve"> and other outdoor fixed terminals below the defined emission limit</w:t>
      </w:r>
      <w:r w:rsidR="00B62E36" w:rsidRPr="00C97518">
        <w:t>. This means that any device operating with an EIRP equal to or less than of 25 dBm per occupied bandwidth will be exempt from registration.</w:t>
      </w:r>
      <w:r w:rsidR="00C077DB" w:rsidRPr="00C97518">
        <w:t xml:space="preserve"> </w:t>
      </w:r>
    </w:p>
    <w:p w14:paraId="43C72B73" w14:textId="5DEB0627" w:rsidR="00CE4E5C" w:rsidRPr="00C97518" w:rsidRDefault="00CE4E5C" w:rsidP="0027403F">
      <w:pPr>
        <w:pStyle w:val="ListBullet"/>
        <w:numPr>
          <w:ilvl w:val="0"/>
          <w:numId w:val="1"/>
        </w:numPr>
        <w:spacing w:after="240"/>
      </w:pPr>
      <w:r w:rsidRPr="00C97518">
        <w:t>including high altitude platform stations (HAPS) as transmitters that are exempt from registration if they do not exceed a power flux density of -12</w:t>
      </w:r>
      <w:r w:rsidR="00B62E36" w:rsidRPr="00C97518">
        <w:t>1.5</w:t>
      </w:r>
      <w:r w:rsidRPr="00C97518">
        <w:t xml:space="preserve"> dBW/m</w:t>
      </w:r>
      <w:r w:rsidRPr="00C97518">
        <w:rPr>
          <w:vertAlign w:val="superscript"/>
        </w:rPr>
        <w:t>2</w:t>
      </w:r>
      <w:r w:rsidRPr="00C97518">
        <w:t xml:space="preserve">/MHz at any point on the </w:t>
      </w:r>
      <w:r w:rsidR="00C077DB" w:rsidRPr="00C97518">
        <w:t>E</w:t>
      </w:r>
      <w:r w:rsidRPr="00C97518">
        <w:t>arth’s surface, in line with</w:t>
      </w:r>
      <w:r w:rsidR="00B62E36" w:rsidRPr="00C97518">
        <w:t xml:space="preserve"> ITU-R Recommendation M.1456.</w:t>
      </w:r>
      <w:r w:rsidRPr="00C97518">
        <w:t xml:space="preserve"> </w:t>
      </w:r>
    </w:p>
    <w:p w14:paraId="43B47E8B" w14:textId="79E8C33D" w:rsidR="007A5B24" w:rsidRPr="00C97518" w:rsidRDefault="00465C7C" w:rsidP="007A5B24">
      <w:r w:rsidRPr="00C97518">
        <w:t>There are a</w:t>
      </w:r>
      <w:r w:rsidR="007A5B24" w:rsidRPr="00C97518">
        <w:t xml:space="preserve"> number of other</w:t>
      </w:r>
      <w:r w:rsidRPr="00C97518">
        <w:t xml:space="preserve"> minor or consequential</w:t>
      </w:r>
      <w:r w:rsidR="007A5B24" w:rsidRPr="00C97518">
        <w:t xml:space="preserve"> amendments to the text, format and definitions in the licence </w:t>
      </w:r>
      <w:r w:rsidRPr="00C97518">
        <w:t xml:space="preserve">that </w:t>
      </w:r>
      <w:r w:rsidR="007A5B24" w:rsidRPr="00C97518">
        <w:t>are also proposed</w:t>
      </w:r>
      <w:r w:rsidR="00B130B1" w:rsidRPr="00C97518">
        <w:t xml:space="preserve">, including the use of the </w:t>
      </w:r>
      <w:r w:rsidR="00B130B1" w:rsidRPr="00C97518">
        <w:rPr>
          <w:i/>
        </w:rPr>
        <w:t>Hierarchical Cell Identification Scheme (HCIS)</w:t>
      </w:r>
      <w:r w:rsidR="00B130B1" w:rsidRPr="00C97518">
        <w:t xml:space="preserve"> to describe geographic areas in the </w:t>
      </w:r>
      <w:r w:rsidR="00B130B1" w:rsidRPr="00C97518">
        <w:rPr>
          <w:i/>
        </w:rPr>
        <w:t xml:space="preserve">Australian Spectrum Map Grid 2012 </w:t>
      </w:r>
      <w:r w:rsidR="00B130B1" w:rsidRPr="00C97518">
        <w:t>published by the ACMA</w:t>
      </w:r>
      <w:r w:rsidR="007A5B24" w:rsidRPr="00C97518">
        <w:t xml:space="preserve">. These changes are aimed at improving clarity and aligning the spectrum licence template for the </w:t>
      </w:r>
      <w:r w:rsidR="00C33533" w:rsidRPr="00C97518">
        <w:t>2</w:t>
      </w:r>
      <w:r w:rsidR="007A5B24" w:rsidRPr="00C97518">
        <w:t xml:space="preserve"> GHz band with other bands.</w:t>
      </w:r>
    </w:p>
    <w:p w14:paraId="0DDB38E1" w14:textId="77777777" w:rsidR="007A5B24" w:rsidRPr="00C97518" w:rsidRDefault="007A5B24" w:rsidP="007A5B24">
      <w:pPr>
        <w:pStyle w:val="Heading2"/>
        <w:keepLines/>
      </w:pPr>
      <w:bookmarkStart w:id="14" w:name="_Ref312164882"/>
      <w:bookmarkStart w:id="15" w:name="_Ref312338073"/>
      <w:bookmarkStart w:id="16" w:name="_Toc328403871"/>
      <w:bookmarkStart w:id="17" w:name="_Toc403740553"/>
      <w:bookmarkStart w:id="18" w:name="_Toc404333448"/>
      <w:bookmarkStart w:id="19" w:name="_Toc444690626"/>
      <w:r w:rsidRPr="00C97518">
        <w:t>Unacceptable levels of interference</w:t>
      </w:r>
      <w:bookmarkEnd w:id="14"/>
      <w:bookmarkEnd w:id="15"/>
      <w:bookmarkEnd w:id="16"/>
      <w:bookmarkEnd w:id="17"/>
      <w:bookmarkEnd w:id="18"/>
      <w:bookmarkEnd w:id="19"/>
    </w:p>
    <w:p w14:paraId="2E21BAF9" w14:textId="651CE35C" w:rsidR="007A5B24" w:rsidRPr="00C97518" w:rsidRDefault="007A5B24" w:rsidP="007A5B24">
      <w:pPr>
        <w:keepNext/>
        <w:keepLines/>
      </w:pPr>
      <w:r w:rsidRPr="00C97518">
        <w:t>Spectrum licensees are required to register a radiocommunications transmitter in the Register of Radiocommunications Licences before they may be operated under the licence, unless the transmitter is of a kind exempt from registration under the licence.</w:t>
      </w:r>
    </w:p>
    <w:p w14:paraId="5F0EB4E0" w14:textId="44A8B06F" w:rsidR="007A5B24" w:rsidRPr="00C97518" w:rsidRDefault="007A5B24" w:rsidP="007A5B24">
      <w:pPr>
        <w:keepLines/>
      </w:pPr>
      <w:r w:rsidRPr="00C97518">
        <w:t>Subsection 145(1) of the Act gives the ACMA the power to refuse to register a radiocommunications transmitter if it is satisfied that the operation of the transmitter could cause an unacceptable level of interference to the operation of other radiocommunications devices. The ACMA makes a determination under subsection 145(4) of the Act (section 145 determinations) that sets out the unacceptable levels of interference for each spectrum-licensed band.</w:t>
      </w:r>
    </w:p>
    <w:p w14:paraId="523DEE15" w14:textId="77777777" w:rsidR="007A5B24" w:rsidRPr="00C97518" w:rsidRDefault="007A5B24" w:rsidP="007A5B24">
      <w:pPr>
        <w:spacing w:after="80"/>
        <w:rPr>
          <w:rFonts w:cs="Arial"/>
        </w:rPr>
      </w:pPr>
      <w:r w:rsidRPr="00C97518">
        <w:rPr>
          <w:rFonts w:cs="Arial"/>
        </w:rPr>
        <w:t>The section 145 determinations set out the circumstances in which devices may cause unacceptable levels of interference. These circumstances include:</w:t>
      </w:r>
    </w:p>
    <w:p w14:paraId="2CE38D5F" w14:textId="77777777" w:rsidR="007A5B24" w:rsidRPr="00C97518" w:rsidRDefault="007A5B24" w:rsidP="00A8495B">
      <w:pPr>
        <w:pStyle w:val="ListBullet"/>
        <w:numPr>
          <w:ilvl w:val="0"/>
          <w:numId w:val="1"/>
        </w:numPr>
      </w:pPr>
      <w:r w:rsidRPr="00C97518">
        <w:t>if any part of the device boundary falls outside the licensed geographical area of the licence</w:t>
      </w:r>
    </w:p>
    <w:p w14:paraId="30B34503" w14:textId="77777777" w:rsidR="007A5B24" w:rsidRPr="00C97518" w:rsidRDefault="007A5B24" w:rsidP="00A8495B">
      <w:pPr>
        <w:pStyle w:val="ListBullet"/>
        <w:numPr>
          <w:ilvl w:val="0"/>
          <w:numId w:val="1"/>
        </w:numPr>
      </w:pPr>
      <w:r w:rsidRPr="00C97518">
        <w:t>if the operation of the transmitter will cause a breach of a core condition of the licence</w:t>
      </w:r>
    </w:p>
    <w:p w14:paraId="686B5336" w14:textId="77777777" w:rsidR="007A5B24" w:rsidRPr="00C97518" w:rsidRDefault="007A5B24" w:rsidP="0027403F">
      <w:pPr>
        <w:pStyle w:val="ListBullet"/>
        <w:numPr>
          <w:ilvl w:val="0"/>
          <w:numId w:val="1"/>
        </w:numPr>
        <w:spacing w:after="240"/>
      </w:pPr>
      <w:r w:rsidRPr="00C97518">
        <w:t>if the deployment of the device is outside the deployment constraints set for the band.</w:t>
      </w:r>
    </w:p>
    <w:p w14:paraId="786437A0" w14:textId="317FD59C" w:rsidR="007A5B24" w:rsidRPr="00C97518" w:rsidRDefault="007A5B24" w:rsidP="007A5B24">
      <w:pPr>
        <w:spacing w:after="80"/>
      </w:pPr>
      <w:r w:rsidRPr="00C97518">
        <w:t xml:space="preserve">The ACMA is proposing to revoke the existing section 145 determination for the </w:t>
      </w:r>
      <w:r w:rsidR="00C33533" w:rsidRPr="00C97518">
        <w:t>2</w:t>
      </w:r>
      <w:r w:rsidRPr="00C97518">
        <w:t> GHz</w:t>
      </w:r>
      <w:r w:rsidRPr="00C97518">
        <w:rPr>
          <w:rStyle w:val="FootnoteReference"/>
          <w:rFonts w:cs="Arial"/>
        </w:rPr>
        <w:t xml:space="preserve"> </w:t>
      </w:r>
      <w:r w:rsidRPr="00C97518">
        <w:t>band and replace it with a new determination.</w:t>
      </w:r>
      <w:r w:rsidRPr="00C97518">
        <w:rPr>
          <w:rStyle w:val="FootnoteReference"/>
          <w:rFonts w:cs="Arial"/>
        </w:rPr>
        <w:footnoteReference w:id="5"/>
      </w:r>
      <w:r w:rsidRPr="00C97518">
        <w:t xml:space="preserve"> </w:t>
      </w:r>
      <w:r w:rsidR="006A5688" w:rsidRPr="00C97518">
        <w:rPr>
          <w:rFonts w:cs="Arial"/>
        </w:rPr>
        <w:t xml:space="preserve">Details of the </w:t>
      </w:r>
      <w:r w:rsidR="006A5688" w:rsidRPr="00C97518">
        <w:t xml:space="preserve">differences between the existing determination and the new determination </w:t>
      </w:r>
      <w:r w:rsidR="006A5688" w:rsidRPr="00C97518">
        <w:rPr>
          <w:rFonts w:cs="Arial"/>
        </w:rPr>
        <w:t xml:space="preserve">are outlined in Attachment </w:t>
      </w:r>
      <w:r w:rsidR="00EE5FB9" w:rsidRPr="00C97518">
        <w:rPr>
          <w:rFonts w:cs="Arial"/>
        </w:rPr>
        <w:t>C</w:t>
      </w:r>
      <w:r w:rsidR="00C25C8A" w:rsidRPr="00C97518">
        <w:rPr>
          <w:rFonts w:cs="Arial"/>
        </w:rPr>
        <w:t>,</w:t>
      </w:r>
      <w:r w:rsidR="006A5688" w:rsidRPr="00C97518">
        <w:rPr>
          <w:rFonts w:cs="Arial"/>
        </w:rPr>
        <w:t xml:space="preserve"> with a draft of the </w:t>
      </w:r>
      <w:r w:rsidR="006A5688" w:rsidRPr="00C97518">
        <w:t>Radiocommunications (Unacceptable Levels of Interference – 2 GHz Band) Determination 201</w:t>
      </w:r>
      <w:r w:rsidR="00D614CF" w:rsidRPr="00C97518">
        <w:t>6</w:t>
      </w:r>
      <w:r w:rsidR="006A5688" w:rsidRPr="00C97518">
        <w:rPr>
          <w:b/>
          <w:i/>
        </w:rPr>
        <w:t xml:space="preserve"> </w:t>
      </w:r>
      <w:r w:rsidR="00EE5FB9" w:rsidRPr="00C97518">
        <w:rPr>
          <w:rFonts w:cs="Arial"/>
        </w:rPr>
        <w:t>available on the ACMA website</w:t>
      </w:r>
      <w:r w:rsidR="006A5688" w:rsidRPr="00C97518">
        <w:rPr>
          <w:rFonts w:cs="Arial"/>
        </w:rPr>
        <w:t xml:space="preserve">. </w:t>
      </w:r>
      <w:r w:rsidRPr="00C97518">
        <w:t>Some of the key proposed differences between the existing determination and the new determination are:</w:t>
      </w:r>
    </w:p>
    <w:p w14:paraId="37B6DC61" w14:textId="0A9AEBA2" w:rsidR="007A5B24" w:rsidRPr="00C97518" w:rsidRDefault="007A5B24" w:rsidP="0027403F">
      <w:pPr>
        <w:pStyle w:val="ListBullet"/>
        <w:numPr>
          <w:ilvl w:val="0"/>
          <w:numId w:val="1"/>
        </w:numPr>
      </w:pPr>
      <w:r w:rsidRPr="00C97518">
        <w:t>A revised device boundary criterion (DBC) method</w:t>
      </w:r>
      <w:r w:rsidR="00A75061" w:rsidRPr="00C97518">
        <w:t>. The revised</w:t>
      </w:r>
      <w:r w:rsidRPr="00C97518">
        <w:t xml:space="preserve"> method is now similar to that curre</w:t>
      </w:r>
      <w:r w:rsidR="00C077DB" w:rsidRPr="00C97518">
        <w:t>ntly implemented in the 700 MHz</w:t>
      </w:r>
      <w:r w:rsidRPr="00C97518">
        <w:t>,</w:t>
      </w:r>
      <w:r w:rsidR="00C077DB" w:rsidRPr="00C97518">
        <w:t xml:space="preserve"> </w:t>
      </w:r>
      <w:r w:rsidR="00A75061" w:rsidRPr="00C97518">
        <w:t>800 MHz, 1800 MHz and 2.5 </w:t>
      </w:r>
      <w:r w:rsidRPr="00C97518">
        <w:t>GHz bands. This includes simplifying the calculation for effective antenna height as well as a greater resolution for calculation points (to improve accuracy and better reflect actual terrain)—in this case, performing calculations along 360 one-degree radials every 500 metres.</w:t>
      </w:r>
    </w:p>
    <w:p w14:paraId="7D313466" w14:textId="77777777" w:rsidR="007A5B24" w:rsidRPr="00C97518" w:rsidRDefault="007A5B24" w:rsidP="0027403F">
      <w:pPr>
        <w:pStyle w:val="ListBullet"/>
        <w:numPr>
          <w:ilvl w:val="0"/>
          <w:numId w:val="1"/>
        </w:numPr>
      </w:pPr>
      <w:r w:rsidRPr="00C97518">
        <w:t>Use of a new digital elevation model (DEM-9S) based on the GDA94 datum. DEM-9S is made available by Geoscience Australia.</w:t>
      </w:r>
    </w:p>
    <w:p w14:paraId="63B431FA" w14:textId="505BCFE5" w:rsidR="007A5B24" w:rsidRDefault="006A6B0A" w:rsidP="00FA661D">
      <w:pPr>
        <w:pStyle w:val="ListBullet"/>
        <w:numPr>
          <w:ilvl w:val="0"/>
          <w:numId w:val="1"/>
        </w:numPr>
      </w:pPr>
      <w:r w:rsidRPr="00C97518">
        <w:t>Allow devices that were registered under a 2 GHz band spectrum licence that expires on 11 October 2017 to be exempt from the device boundary criterion when being re-registered under a re-issued spectrum licence. A provision to this clause is that specific technical parameters used for coordination do not change.</w:t>
      </w:r>
    </w:p>
    <w:p w14:paraId="0E342F31" w14:textId="77777777" w:rsidR="00FA661D" w:rsidRDefault="00FA661D" w:rsidP="00FA661D">
      <w:pPr>
        <w:pStyle w:val="ListBullet"/>
        <w:numPr>
          <w:ilvl w:val="0"/>
          <w:numId w:val="1"/>
        </w:numPr>
      </w:pPr>
      <w:r>
        <w:t xml:space="preserve">Removed the ‘Towns mobile list’ method for group registration, this is replaced by the new and simpler registration exemption provisions specified on the licence. </w:t>
      </w:r>
    </w:p>
    <w:p w14:paraId="0DA9574F" w14:textId="03031D02" w:rsidR="00FA661D" w:rsidRDefault="00FA661D" w:rsidP="00FA661D">
      <w:pPr>
        <w:pStyle w:val="ListBullet"/>
        <w:numPr>
          <w:ilvl w:val="0"/>
          <w:numId w:val="1"/>
        </w:numPr>
      </w:pPr>
      <w:r>
        <w:t>Removed HAPS transmitters from the Determination and define conditions for their operation on the licence that allow them to be exempt from registration.</w:t>
      </w:r>
    </w:p>
    <w:p w14:paraId="0EC5C41A" w14:textId="77777777" w:rsidR="00FA661D" w:rsidRDefault="00FA661D" w:rsidP="00FA661D">
      <w:pPr>
        <w:pStyle w:val="ListBullet"/>
        <w:numPr>
          <w:ilvl w:val="0"/>
          <w:numId w:val="1"/>
        </w:numPr>
      </w:pPr>
      <w:r>
        <w:t xml:space="preserve">Removed unnecessary deployment constraints that apply to devices exempt from registration. </w:t>
      </w:r>
    </w:p>
    <w:p w14:paraId="5400C55A" w14:textId="5CA695F0" w:rsidR="00FA661D" w:rsidRDefault="00FA661D" w:rsidP="00FA661D">
      <w:pPr>
        <w:pStyle w:val="ListBullet"/>
        <w:numPr>
          <w:ilvl w:val="0"/>
          <w:numId w:val="1"/>
        </w:numPr>
      </w:pPr>
      <w:r>
        <w:t xml:space="preserve">Reduced the distance from the boundary, from 70 km to 46 km, at which a transmitter is deemed to meet the device boundary criteria. </w:t>
      </w:r>
    </w:p>
    <w:p w14:paraId="3C9FF878" w14:textId="77777777" w:rsidR="00FA661D" w:rsidRDefault="00FA661D" w:rsidP="00FA661D">
      <w:pPr>
        <w:pStyle w:val="ListBullet"/>
        <w:numPr>
          <w:ilvl w:val="0"/>
          <w:numId w:val="1"/>
        </w:numPr>
      </w:pPr>
      <w:r>
        <w:t>Allowed the device boundary to be exceeded at geographical boundaries at the outer edge of the ASMG.</w:t>
      </w:r>
    </w:p>
    <w:p w14:paraId="367FE173" w14:textId="77777777" w:rsidR="00FA661D" w:rsidRPr="00C97518" w:rsidRDefault="00FA661D" w:rsidP="00FA661D">
      <w:pPr>
        <w:pStyle w:val="ListBullet"/>
        <w:tabs>
          <w:tab w:val="clear" w:pos="295"/>
        </w:tabs>
        <w:spacing w:after="240"/>
        <w:ind w:firstLine="0"/>
      </w:pPr>
    </w:p>
    <w:p w14:paraId="1DC83E72" w14:textId="77777777" w:rsidR="007A5B24" w:rsidRPr="00C97518" w:rsidRDefault="007A5B24" w:rsidP="007A5B24">
      <w:pPr>
        <w:pStyle w:val="Heading2"/>
      </w:pPr>
      <w:bookmarkStart w:id="20" w:name="_Ref312338161"/>
      <w:bookmarkStart w:id="21" w:name="_Ref312338219"/>
      <w:bookmarkStart w:id="22" w:name="_Ref314129073"/>
      <w:bookmarkStart w:id="23" w:name="_Toc328403872"/>
      <w:bookmarkStart w:id="24" w:name="_Toc403740554"/>
      <w:bookmarkStart w:id="25" w:name="_Toc404333449"/>
      <w:bookmarkStart w:id="26" w:name="_Toc444690627"/>
      <w:r w:rsidRPr="00C97518">
        <w:t>Radiocommunications advisory guidelines</w:t>
      </w:r>
      <w:bookmarkEnd w:id="20"/>
      <w:bookmarkEnd w:id="21"/>
      <w:bookmarkEnd w:id="22"/>
      <w:bookmarkEnd w:id="23"/>
      <w:bookmarkEnd w:id="24"/>
      <w:bookmarkEnd w:id="25"/>
      <w:bookmarkEnd w:id="26"/>
    </w:p>
    <w:p w14:paraId="2610703C" w14:textId="16857B27" w:rsidR="007A5B24" w:rsidRPr="00C97518" w:rsidRDefault="007A5B24" w:rsidP="007A5B24">
      <w:pPr>
        <w:rPr>
          <w:rFonts w:cs="Arial"/>
        </w:rPr>
      </w:pPr>
      <w:r w:rsidRPr="00C97518">
        <w:rPr>
          <w:rFonts w:cs="Arial"/>
        </w:rPr>
        <w:t>Further guidance on interference management with other services is provided in Radiocommunications Advisory Guidelines (RAGs) made under section 262 of the Act. RAGs can refer to any aspect of radiocommunications or radio emissions.</w:t>
      </w:r>
    </w:p>
    <w:p w14:paraId="5FAE78F3" w14:textId="15E0EB20" w:rsidR="007A5B24" w:rsidRPr="00C97518" w:rsidRDefault="007A5B24" w:rsidP="007A5B24">
      <w:pPr>
        <w:rPr>
          <w:rFonts w:cs="Arial"/>
        </w:rPr>
      </w:pPr>
      <w:r w:rsidRPr="00C97518">
        <w:rPr>
          <w:rFonts w:cs="Arial"/>
        </w:rPr>
        <w:t xml:space="preserve">Generally, RAGs include provisions to help assess the possible interference between spectrum-licensed devices and services operating under spectrum, apparatus or class licences. Potentially affected services are identified in the RAGs to enable licensees to assess and mitigate the risk of interference </w:t>
      </w:r>
      <w:r w:rsidR="00564E62" w:rsidRPr="00C97518">
        <w:rPr>
          <w:rFonts w:cs="Arial"/>
        </w:rPr>
        <w:t>between</w:t>
      </w:r>
      <w:r w:rsidRPr="00C97518">
        <w:rPr>
          <w:rFonts w:cs="Arial"/>
        </w:rPr>
        <w:t xml:space="preserve"> these services.</w:t>
      </w:r>
    </w:p>
    <w:p w14:paraId="4362E33C" w14:textId="1C42AA3A" w:rsidR="007A5B24" w:rsidRPr="00C97518" w:rsidRDefault="00465C7C" w:rsidP="007A5B24">
      <w:pPr>
        <w:rPr>
          <w:rFonts w:cs="Arial"/>
        </w:rPr>
      </w:pPr>
      <w:r w:rsidRPr="00C97518">
        <w:rPr>
          <w:rFonts w:cs="Arial"/>
        </w:rPr>
        <w:t>It is important to note that w</w:t>
      </w:r>
      <w:r w:rsidR="007A5B24" w:rsidRPr="00C97518">
        <w:rPr>
          <w:rFonts w:cs="Arial"/>
        </w:rPr>
        <w:t>here a case of interference arises between a spectrum-licensed service and another service, the ACMA will refer to the provisions of the RAGs in resolving the matter.</w:t>
      </w:r>
    </w:p>
    <w:p w14:paraId="43B45049" w14:textId="2AEA6A99" w:rsidR="007A5B24" w:rsidRPr="00C97518" w:rsidRDefault="007A5B24" w:rsidP="007A5B24">
      <w:pPr>
        <w:spacing w:after="80"/>
        <w:rPr>
          <w:rFonts w:cs="Arial"/>
        </w:rPr>
      </w:pPr>
      <w:r w:rsidRPr="00C97518">
        <w:rPr>
          <w:rFonts w:cs="Arial"/>
        </w:rPr>
        <w:t xml:space="preserve">Currently, there are two section 262 guidelines relevant to the deployment of services in the </w:t>
      </w:r>
      <w:r w:rsidR="00C33533" w:rsidRPr="00C97518">
        <w:rPr>
          <w:rFonts w:cs="Arial"/>
        </w:rPr>
        <w:t>2</w:t>
      </w:r>
      <w:r w:rsidRPr="00C97518">
        <w:rPr>
          <w:rFonts w:cs="Arial"/>
        </w:rPr>
        <w:t> GHz band:</w:t>
      </w:r>
    </w:p>
    <w:p w14:paraId="7778D20A" w14:textId="77777777" w:rsidR="007A5B24" w:rsidRPr="00C97518" w:rsidRDefault="0040559F" w:rsidP="00A8495B">
      <w:pPr>
        <w:pStyle w:val="ListBullet"/>
        <w:numPr>
          <w:ilvl w:val="0"/>
          <w:numId w:val="1"/>
        </w:numPr>
        <w:rPr>
          <w:rStyle w:val="Hyperlink"/>
          <w:rFonts w:cs="Arial"/>
        </w:rPr>
      </w:pPr>
      <w:hyperlink r:id="rId33" w:history="1">
        <w:r w:rsidR="007A5B24" w:rsidRPr="00C97518">
          <w:rPr>
            <w:rStyle w:val="Hyperlink"/>
          </w:rPr>
          <w:t xml:space="preserve">Radiocommunications Advisory Guidelines (Managing Interference to Apparatus Licensed Receivers - </w:t>
        </w:r>
        <w:r w:rsidR="000A683C" w:rsidRPr="00C97518">
          <w:rPr>
            <w:rStyle w:val="Hyperlink"/>
          </w:rPr>
          <w:t>2</w:t>
        </w:r>
        <w:r w:rsidR="007A5B24" w:rsidRPr="00C97518">
          <w:rPr>
            <w:rStyle w:val="Hyperlink"/>
          </w:rPr>
          <w:t xml:space="preserve"> GHz Band) 20</w:t>
        </w:r>
        <w:r w:rsidR="000A683C" w:rsidRPr="00C97518">
          <w:rPr>
            <w:rStyle w:val="Hyperlink"/>
          </w:rPr>
          <w:t>15</w:t>
        </w:r>
      </w:hyperlink>
    </w:p>
    <w:p w14:paraId="711EBB72" w14:textId="77777777" w:rsidR="007A5B24" w:rsidRPr="00C97518" w:rsidRDefault="0040559F" w:rsidP="0027403F">
      <w:pPr>
        <w:pStyle w:val="ListBullet"/>
        <w:numPr>
          <w:ilvl w:val="0"/>
          <w:numId w:val="1"/>
        </w:numPr>
        <w:spacing w:after="240"/>
        <w:rPr>
          <w:rFonts w:cs="Arial"/>
        </w:rPr>
      </w:pPr>
      <w:hyperlink r:id="rId34" w:history="1">
        <w:r w:rsidR="007A5B24" w:rsidRPr="00C97518">
          <w:rPr>
            <w:rStyle w:val="Hyperlink"/>
          </w:rPr>
          <w:t>Radiocommunications Advisory Guidelines (</w:t>
        </w:r>
        <w:r w:rsidR="000A683C" w:rsidRPr="00C97518">
          <w:rPr>
            <w:rStyle w:val="Hyperlink"/>
          </w:rPr>
          <w:t>Protection of Apparatus-licensed and Class-licensed Receivers</w:t>
        </w:r>
        <w:r w:rsidR="007A5B24" w:rsidRPr="00C97518">
          <w:rPr>
            <w:rStyle w:val="Hyperlink"/>
          </w:rPr>
          <w:t xml:space="preserve"> - </w:t>
        </w:r>
        <w:r w:rsidR="000A683C" w:rsidRPr="00C97518">
          <w:rPr>
            <w:rStyle w:val="Hyperlink"/>
          </w:rPr>
          <w:t>2</w:t>
        </w:r>
        <w:r w:rsidR="007A5B24" w:rsidRPr="00C97518">
          <w:rPr>
            <w:rStyle w:val="Hyperlink"/>
          </w:rPr>
          <w:t xml:space="preserve"> GHz Band) 20</w:t>
        </w:r>
      </w:hyperlink>
      <w:r w:rsidR="000A683C" w:rsidRPr="00C97518">
        <w:rPr>
          <w:rStyle w:val="Hyperlink"/>
        </w:rPr>
        <w:t>15</w:t>
      </w:r>
      <w:r w:rsidR="007A5B24" w:rsidRPr="00C97518">
        <w:rPr>
          <w:rFonts w:cs="Arial"/>
        </w:rPr>
        <w:t>.</w:t>
      </w:r>
    </w:p>
    <w:p w14:paraId="430A0152" w14:textId="4F36E8A8" w:rsidR="007A5B24" w:rsidRPr="00C97518" w:rsidRDefault="007A5B24" w:rsidP="007A5B24">
      <w:r w:rsidRPr="00C97518">
        <w:t xml:space="preserve">The ACMA proposes to revoke and remake these RAGs to include updated requirements for existing services and take into account new services that have </w:t>
      </w:r>
      <w:r w:rsidR="00A75061" w:rsidRPr="00C97518">
        <w:t xml:space="preserve">been </w:t>
      </w:r>
      <w:r w:rsidRPr="00C97518">
        <w:t>or will soon be deployed. The ACMA also proposes to modify the titles of the RAGs to ensure consistency in the terminology used across various spectrum-licensed bands.</w:t>
      </w:r>
    </w:p>
    <w:p w14:paraId="71E178D5" w14:textId="77777777" w:rsidR="007A5B24" w:rsidRPr="00C97518" w:rsidRDefault="007A5B24" w:rsidP="007A5B24">
      <w:pPr>
        <w:pStyle w:val="Heading3"/>
        <w:numPr>
          <w:ilvl w:val="2"/>
          <w:numId w:val="0"/>
        </w:numPr>
        <w:ind w:left="720" w:hanging="720"/>
      </w:pPr>
      <w:bookmarkStart w:id="27" w:name="_Toc328403749"/>
      <w:bookmarkStart w:id="28" w:name="_Toc328403873"/>
      <w:bookmarkStart w:id="29" w:name="_Toc367692837"/>
      <w:bookmarkStart w:id="30" w:name="_Toc367693441"/>
      <w:bookmarkStart w:id="31" w:name="_Toc367881973"/>
      <w:bookmarkStart w:id="32" w:name="_Toc403740555"/>
      <w:bookmarkStart w:id="33" w:name="_Toc404333450"/>
      <w:bookmarkStart w:id="34" w:name="_Toc444690628"/>
      <w:bookmarkEnd w:id="27"/>
      <w:r w:rsidRPr="00C97518">
        <w:t>Managing interference from spectrum-licensed transmitters</w:t>
      </w:r>
      <w:bookmarkEnd w:id="28"/>
      <w:bookmarkEnd w:id="29"/>
      <w:bookmarkEnd w:id="30"/>
      <w:bookmarkEnd w:id="31"/>
      <w:bookmarkEnd w:id="32"/>
      <w:bookmarkEnd w:id="33"/>
      <w:bookmarkEnd w:id="34"/>
    </w:p>
    <w:p w14:paraId="71E57F9B" w14:textId="6653A3C9" w:rsidR="007A5B24" w:rsidRPr="00C97518" w:rsidRDefault="007A5B24" w:rsidP="0027403F">
      <w:pPr>
        <w:rPr>
          <w:rFonts w:cs="Arial"/>
        </w:rPr>
      </w:pPr>
      <w:r w:rsidRPr="00C97518">
        <w:rPr>
          <w:rFonts w:cs="Arial"/>
        </w:rPr>
        <w:t xml:space="preserve">The </w:t>
      </w:r>
      <w:hyperlink r:id="rId35" w:history="1">
        <w:hyperlink r:id="rId36" w:history="1">
          <w:r w:rsidR="000A683C" w:rsidRPr="00C97518">
            <w:rPr>
              <w:rStyle w:val="Hyperlink"/>
            </w:rPr>
            <w:t>Radiocommunications Advisory Guidelines (Managing Interference to Apparatus Licensed Receivers - 2 GHz Band) 2015</w:t>
          </w:r>
        </w:hyperlink>
      </w:hyperlink>
      <w:r w:rsidR="00465C7C" w:rsidRPr="00C97518">
        <w:rPr>
          <w:rFonts w:cs="Arial"/>
        </w:rPr>
        <w:t xml:space="preserve"> (existing guidelines) provide guidance on the protection of adjacent band apparatus and class</w:t>
      </w:r>
      <w:r w:rsidR="009B5964" w:rsidRPr="00C97518">
        <w:rPr>
          <w:rFonts w:cs="Arial"/>
        </w:rPr>
        <w:t>-</w:t>
      </w:r>
      <w:r w:rsidR="00465C7C" w:rsidRPr="00C97518">
        <w:rPr>
          <w:rFonts w:cs="Arial"/>
        </w:rPr>
        <w:t>licensed receivers from interference from spectrum-licensed transmitters. The existing guidelines i</w:t>
      </w:r>
      <w:r w:rsidRPr="00C97518">
        <w:rPr>
          <w:rFonts w:cs="Arial"/>
        </w:rPr>
        <w:t>dentif</w:t>
      </w:r>
      <w:r w:rsidR="00465C7C" w:rsidRPr="00C97518">
        <w:rPr>
          <w:rFonts w:cs="Arial"/>
        </w:rPr>
        <w:t>y</w:t>
      </w:r>
      <w:r w:rsidRPr="00C97518">
        <w:rPr>
          <w:rFonts w:cs="Arial"/>
        </w:rPr>
        <w:t xml:space="preserve"> th</w:t>
      </w:r>
      <w:r w:rsidR="00A75061" w:rsidRPr="00C97518">
        <w:rPr>
          <w:rFonts w:cs="Arial"/>
        </w:rPr>
        <w:t xml:space="preserve">e types of </w:t>
      </w:r>
      <w:r w:rsidRPr="00C97518">
        <w:rPr>
          <w:rFonts w:cs="Arial"/>
        </w:rPr>
        <w:t xml:space="preserve">apparatus-licensed services potentially affected by transmitters operated under a spectrum licence in the </w:t>
      </w:r>
      <w:r w:rsidR="000A683C" w:rsidRPr="00C97518">
        <w:rPr>
          <w:rFonts w:cs="Arial"/>
        </w:rPr>
        <w:t>2</w:t>
      </w:r>
      <w:r w:rsidR="00A05B45" w:rsidRPr="00C97518">
        <w:rPr>
          <w:rFonts w:cs="Arial"/>
        </w:rPr>
        <w:t> </w:t>
      </w:r>
      <w:r w:rsidRPr="00C97518">
        <w:rPr>
          <w:rFonts w:cs="Arial"/>
        </w:rPr>
        <w:t xml:space="preserve">GHz band. </w:t>
      </w:r>
      <w:r w:rsidR="00564E62" w:rsidRPr="00C97518">
        <w:rPr>
          <w:rFonts w:cs="Arial"/>
        </w:rPr>
        <w:t xml:space="preserve">The existing guidelines </w:t>
      </w:r>
      <w:r w:rsidRPr="00C97518">
        <w:rPr>
          <w:rFonts w:cs="Arial"/>
        </w:rPr>
        <w:t xml:space="preserve">also </w:t>
      </w:r>
      <w:r w:rsidR="00564E62" w:rsidRPr="00C97518">
        <w:rPr>
          <w:rFonts w:cs="Arial"/>
        </w:rPr>
        <w:t>explain</w:t>
      </w:r>
      <w:r w:rsidRPr="00C97518">
        <w:rPr>
          <w:rFonts w:cs="Arial"/>
        </w:rPr>
        <w:t xml:space="preserve"> the protection criteria and coordination arrangements that apply to these services by reference to various RALIs, international standards and the ACMA’s technical studies.</w:t>
      </w:r>
      <w:r w:rsidRPr="00C97518">
        <w:rPr>
          <w:rStyle w:val="FootnoteReference"/>
          <w:rFonts w:cs="Arial"/>
        </w:rPr>
        <w:footnoteReference w:id="6"/>
      </w:r>
    </w:p>
    <w:p w14:paraId="0C5D63CF" w14:textId="31BF388E" w:rsidR="007A5B24" w:rsidRPr="00C97518" w:rsidRDefault="006A5688" w:rsidP="007A5B24">
      <w:pPr>
        <w:spacing w:after="80"/>
      </w:pPr>
      <w:r w:rsidRPr="00C97518">
        <w:rPr>
          <w:rFonts w:cs="Arial"/>
        </w:rPr>
        <w:t xml:space="preserve">Details of the </w:t>
      </w:r>
      <w:r w:rsidRPr="00C97518">
        <w:t>differences between the existing guideline</w:t>
      </w:r>
      <w:r w:rsidR="00465C7C" w:rsidRPr="00C97518">
        <w:t>s</w:t>
      </w:r>
      <w:r w:rsidRPr="00C97518">
        <w:t xml:space="preserve"> and the </w:t>
      </w:r>
      <w:r w:rsidR="00465C7C" w:rsidRPr="00C97518">
        <w:t xml:space="preserve">proposed </w:t>
      </w:r>
      <w:r w:rsidRPr="00C97518">
        <w:t>new guideline</w:t>
      </w:r>
      <w:r w:rsidR="00465C7C" w:rsidRPr="00C97518">
        <w:t>s</w:t>
      </w:r>
      <w:r w:rsidRPr="00C97518">
        <w:t xml:space="preserve"> </w:t>
      </w:r>
      <w:r w:rsidRPr="00C97518">
        <w:rPr>
          <w:rFonts w:cs="Arial"/>
        </w:rPr>
        <w:t xml:space="preserve">are outlined in Attachment </w:t>
      </w:r>
      <w:r w:rsidR="00EE5FB9" w:rsidRPr="00C97518">
        <w:rPr>
          <w:rFonts w:cs="Arial"/>
        </w:rPr>
        <w:t>D</w:t>
      </w:r>
      <w:r w:rsidR="009B5964" w:rsidRPr="00C97518">
        <w:rPr>
          <w:rFonts w:cs="Arial"/>
        </w:rPr>
        <w:t>,</w:t>
      </w:r>
      <w:r w:rsidRPr="00C97518">
        <w:rPr>
          <w:rFonts w:cs="Arial"/>
        </w:rPr>
        <w:t xml:space="preserve"> with a draft of the </w:t>
      </w:r>
      <w:r w:rsidRPr="00C97518">
        <w:t>Radiocommunications Advisory Guidelines (Managing Interference from Spectrum Licensed Transmitters – 2 GHz Band) 201</w:t>
      </w:r>
      <w:r w:rsidR="00D614CF" w:rsidRPr="00C97518">
        <w:t>6</w:t>
      </w:r>
      <w:r w:rsidRPr="00C97518">
        <w:rPr>
          <w:b/>
          <w:lang w:eastAsia="ja-JP"/>
        </w:rPr>
        <w:t xml:space="preserve"> </w:t>
      </w:r>
      <w:r w:rsidR="00EE5FB9" w:rsidRPr="00C97518">
        <w:rPr>
          <w:rFonts w:cs="Arial"/>
        </w:rPr>
        <w:t>available on the ACMA website</w:t>
      </w:r>
      <w:r w:rsidRPr="00C97518">
        <w:rPr>
          <w:rFonts w:cs="Arial"/>
        </w:rPr>
        <w:t xml:space="preserve">. </w:t>
      </w:r>
      <w:r w:rsidR="00325BF2" w:rsidRPr="00C97518">
        <w:t xml:space="preserve">Some of the key differences between the </w:t>
      </w:r>
      <w:r w:rsidR="00465C7C" w:rsidRPr="00C97518">
        <w:t>existing</w:t>
      </w:r>
      <w:r w:rsidR="00325BF2" w:rsidRPr="00C97518">
        <w:t xml:space="preserve"> guideline</w:t>
      </w:r>
      <w:r w:rsidR="00465C7C" w:rsidRPr="00C97518">
        <w:t>s</w:t>
      </w:r>
      <w:r w:rsidR="00325BF2" w:rsidRPr="00C97518">
        <w:t xml:space="preserve"> and the </w:t>
      </w:r>
      <w:r w:rsidR="00465C7C" w:rsidRPr="00C97518">
        <w:t xml:space="preserve">proposed </w:t>
      </w:r>
      <w:r w:rsidR="00325BF2" w:rsidRPr="00C97518">
        <w:t xml:space="preserve">new </w:t>
      </w:r>
      <w:r w:rsidR="00465C7C" w:rsidRPr="00C97518">
        <w:t xml:space="preserve">guidelines </w:t>
      </w:r>
      <w:r w:rsidR="00325BF2" w:rsidRPr="00C97518">
        <w:t>are</w:t>
      </w:r>
      <w:r w:rsidR="007A5B24" w:rsidRPr="00C97518">
        <w:t>:</w:t>
      </w:r>
    </w:p>
    <w:p w14:paraId="75CAB178" w14:textId="7DD2FBB0" w:rsidR="00474A59" w:rsidRPr="00C97518" w:rsidRDefault="00474A59" w:rsidP="00A8495B">
      <w:pPr>
        <w:pStyle w:val="ListBullet"/>
        <w:numPr>
          <w:ilvl w:val="0"/>
          <w:numId w:val="1"/>
        </w:numPr>
      </w:pPr>
      <w:r w:rsidRPr="00C97518">
        <w:t>update to existing guidelines for point-to-point fixed services,</w:t>
      </w:r>
      <w:r w:rsidR="001620A2" w:rsidRPr="00C97518">
        <w:t xml:space="preserve"> </w:t>
      </w:r>
      <w:r w:rsidRPr="00C97518">
        <w:t>mobile satellite services, space services</w:t>
      </w:r>
      <w:r w:rsidR="006A6B0A" w:rsidRPr="00C97518">
        <w:t>, public telecommunications services (PTS)</w:t>
      </w:r>
      <w:r w:rsidRPr="00C97518">
        <w:t xml:space="preserve"> and television outside broadcast (TVOB) services</w:t>
      </w:r>
      <w:r w:rsidR="00FA661D">
        <w:t>.</w:t>
      </w:r>
    </w:p>
    <w:p w14:paraId="7C074E6A" w14:textId="6F88D7A3" w:rsidR="00474A59" w:rsidRPr="00C97518" w:rsidRDefault="00474A59" w:rsidP="00FA661D">
      <w:pPr>
        <w:pStyle w:val="ListBullet"/>
        <w:numPr>
          <w:ilvl w:val="0"/>
          <w:numId w:val="1"/>
        </w:numPr>
      </w:pPr>
      <w:r w:rsidRPr="00C97518">
        <w:t xml:space="preserve">removal of provisions no longer required for </w:t>
      </w:r>
      <w:r w:rsidR="00FA661D" w:rsidRPr="00FA661D">
        <w:t xml:space="preserve">Multipoint Distribution Systems </w:t>
      </w:r>
      <w:r w:rsidR="00FA661D">
        <w:t xml:space="preserve">and </w:t>
      </w:r>
      <w:r w:rsidRPr="00C97518">
        <w:t>cordless telephone service</w:t>
      </w:r>
      <w:r w:rsidR="00FA661D">
        <w:t>s.</w:t>
      </w:r>
      <w:r w:rsidRPr="00C97518">
        <w:t xml:space="preserve"> </w:t>
      </w:r>
    </w:p>
    <w:p w14:paraId="3F58223B" w14:textId="73113B75" w:rsidR="00474A59" w:rsidRDefault="00474A59" w:rsidP="0027403F">
      <w:pPr>
        <w:pStyle w:val="ListBullet"/>
        <w:numPr>
          <w:ilvl w:val="0"/>
          <w:numId w:val="1"/>
        </w:numPr>
        <w:spacing w:after="240"/>
      </w:pPr>
      <w:r w:rsidRPr="00C97518">
        <w:t>the addition of new provisions for class licensed services and public telecommunications services operated under apparatus licence</w:t>
      </w:r>
      <w:r w:rsidR="00A75061" w:rsidRPr="00C97518">
        <w:t>s</w:t>
      </w:r>
      <w:r w:rsidRPr="00C97518">
        <w:t>.</w:t>
      </w:r>
    </w:p>
    <w:p w14:paraId="5EE8405F" w14:textId="77777777" w:rsidR="00FA661D" w:rsidRPr="00FA661D" w:rsidRDefault="00FA661D" w:rsidP="00FA661D">
      <w:pPr>
        <w:pStyle w:val="ListBullet"/>
        <w:numPr>
          <w:ilvl w:val="0"/>
          <w:numId w:val="1"/>
        </w:numPr>
      </w:pPr>
      <w:r w:rsidRPr="00FA661D">
        <w:t xml:space="preserve">Removal of the schedule relating to propagation models, and replacing it with a reference to ITU-R Recommendation P.1144 </w:t>
      </w:r>
      <w:r w:rsidRPr="00FA661D">
        <w:rPr>
          <w:i/>
        </w:rPr>
        <w:t>Guide to the application of the propagation methods of Radiocommunications Study Group 3</w:t>
      </w:r>
      <w:r w:rsidRPr="00FA661D">
        <w:t>; and</w:t>
      </w:r>
    </w:p>
    <w:p w14:paraId="0EFA7393" w14:textId="77777777" w:rsidR="00FA661D" w:rsidRPr="00FA661D" w:rsidRDefault="00FA661D" w:rsidP="00FA661D">
      <w:pPr>
        <w:pStyle w:val="ListBullet"/>
        <w:numPr>
          <w:ilvl w:val="0"/>
          <w:numId w:val="1"/>
        </w:numPr>
      </w:pPr>
      <w:r w:rsidRPr="00FA661D">
        <w:t>Updating of references to ITU-R and other documents incorporated by reference.</w:t>
      </w:r>
    </w:p>
    <w:p w14:paraId="759B390B" w14:textId="77777777" w:rsidR="00FA661D" w:rsidRPr="00C97518" w:rsidRDefault="00FA661D" w:rsidP="00FA661D">
      <w:pPr>
        <w:pStyle w:val="ListBullet"/>
        <w:tabs>
          <w:tab w:val="clear" w:pos="295"/>
        </w:tabs>
        <w:spacing w:after="240"/>
        <w:ind w:firstLine="0"/>
      </w:pPr>
    </w:p>
    <w:p w14:paraId="16BBC2CA" w14:textId="77777777" w:rsidR="007A5B24" w:rsidRPr="00C97518" w:rsidRDefault="007A5B24" w:rsidP="0027403F">
      <w:pPr>
        <w:pStyle w:val="Heading3"/>
        <w:spacing w:before="360"/>
      </w:pPr>
      <w:bookmarkStart w:id="35" w:name="_Toc328403874"/>
      <w:bookmarkStart w:id="36" w:name="_Toc367692838"/>
      <w:bookmarkStart w:id="37" w:name="_Toc367693442"/>
      <w:bookmarkStart w:id="38" w:name="_Toc367881974"/>
      <w:bookmarkStart w:id="39" w:name="_Toc403740556"/>
      <w:bookmarkStart w:id="40" w:name="_Toc404333451"/>
      <w:bookmarkStart w:id="41" w:name="_Toc444690629"/>
      <w:r w:rsidRPr="00C97518">
        <w:t>Managing interference to spectrum-licensed receivers</w:t>
      </w:r>
      <w:bookmarkEnd w:id="35"/>
      <w:bookmarkEnd w:id="36"/>
      <w:bookmarkEnd w:id="37"/>
      <w:bookmarkEnd w:id="38"/>
      <w:bookmarkEnd w:id="39"/>
      <w:bookmarkEnd w:id="40"/>
      <w:bookmarkEnd w:id="41"/>
    </w:p>
    <w:p w14:paraId="3C2C8CEF" w14:textId="22C9D3C0" w:rsidR="007A5B24" w:rsidRPr="00C97518" w:rsidRDefault="007A5B24" w:rsidP="000A683C">
      <w:pPr>
        <w:rPr>
          <w:rFonts w:cs="Arial"/>
        </w:rPr>
      </w:pPr>
      <w:r w:rsidRPr="00C97518">
        <w:rPr>
          <w:rFonts w:cs="Arial"/>
        </w:rPr>
        <w:t xml:space="preserve">The </w:t>
      </w:r>
      <w:hyperlink r:id="rId37" w:history="1">
        <w:r w:rsidR="000A683C" w:rsidRPr="00C97518">
          <w:rPr>
            <w:rStyle w:val="Hyperlink"/>
          </w:rPr>
          <w:t>Radiocommunications Advisory Guidelines (Protection of Apparatus-licensed and Class-licensed Receivers - 2 GHz Band) 20</w:t>
        </w:r>
      </w:hyperlink>
      <w:r w:rsidR="000A683C" w:rsidRPr="00C97518">
        <w:rPr>
          <w:rStyle w:val="Hyperlink"/>
        </w:rPr>
        <w:t>15</w:t>
      </w:r>
      <w:r w:rsidR="00325BF2" w:rsidRPr="00C97518">
        <w:rPr>
          <w:rFonts w:cs="Arial"/>
        </w:rPr>
        <w:t xml:space="preserve"> </w:t>
      </w:r>
      <w:r w:rsidR="00465C7C" w:rsidRPr="00C97518">
        <w:rPr>
          <w:rFonts w:cs="Arial"/>
        </w:rPr>
        <w:t xml:space="preserve">(existing guidelines) </w:t>
      </w:r>
      <w:r w:rsidRPr="00C97518">
        <w:rPr>
          <w:rFonts w:cs="Arial"/>
        </w:rPr>
        <w:t>provid</w:t>
      </w:r>
      <w:r w:rsidR="00CD3660" w:rsidRPr="00C97518">
        <w:rPr>
          <w:rFonts w:cs="Arial"/>
        </w:rPr>
        <w:t>e</w:t>
      </w:r>
      <w:r w:rsidR="00325BF2" w:rsidRPr="00C97518">
        <w:rPr>
          <w:rFonts w:cs="Arial"/>
        </w:rPr>
        <w:t>s</w:t>
      </w:r>
      <w:r w:rsidRPr="00C97518">
        <w:rPr>
          <w:rFonts w:cs="Arial"/>
        </w:rPr>
        <w:t xml:space="preserve"> guidance on the management of out-of-band interference to receivers operating under a </w:t>
      </w:r>
      <w:r w:rsidR="000A683C" w:rsidRPr="00C97518">
        <w:rPr>
          <w:rFonts w:cs="Arial"/>
        </w:rPr>
        <w:t>2</w:t>
      </w:r>
      <w:r w:rsidRPr="00C97518">
        <w:rPr>
          <w:rFonts w:cs="Arial"/>
        </w:rPr>
        <w:t xml:space="preserve"> GHz band spectrum licence.</w:t>
      </w:r>
      <w:r w:rsidR="00325BF2" w:rsidRPr="00C97518">
        <w:rPr>
          <w:rFonts w:cs="Arial"/>
        </w:rPr>
        <w:t xml:space="preserve"> </w:t>
      </w:r>
      <w:r w:rsidR="00465C7C" w:rsidRPr="00C97518">
        <w:rPr>
          <w:rFonts w:cs="Arial"/>
        </w:rPr>
        <w:t>The existing guidelines</w:t>
      </w:r>
      <w:r w:rsidRPr="00C97518">
        <w:rPr>
          <w:rFonts w:cs="Arial"/>
        </w:rPr>
        <w:t xml:space="preserve"> also provide some guidance on the management of in-band interference. </w:t>
      </w:r>
    </w:p>
    <w:p w14:paraId="14278697" w14:textId="77777777" w:rsidR="007A5B24" w:rsidRPr="00C97518" w:rsidRDefault="007A5B24" w:rsidP="007A5B24">
      <w:pPr>
        <w:keepLines/>
        <w:rPr>
          <w:lang w:eastAsia="ja-JP"/>
        </w:rPr>
      </w:pPr>
      <w:r w:rsidRPr="00C97518">
        <w:rPr>
          <w:lang w:eastAsia="ja-JP"/>
        </w:rPr>
        <w:t>A key part of the management of this type of interference is the specification of a notional receiver performance level and a compatibility requirement. This provides a base for the operators of radiocommunications transmitters to coordinate their services against. For this reason, t</w:t>
      </w:r>
      <w:r w:rsidRPr="00C97518">
        <w:t>he ACMA recommends that all receivers operating under a spectrum licence have a performance level at least equal to the notional performance level.</w:t>
      </w:r>
    </w:p>
    <w:p w14:paraId="4B63198F" w14:textId="2BA65EDA" w:rsidR="007A5B24" w:rsidRPr="00C97518" w:rsidRDefault="006A5688" w:rsidP="007A5B24">
      <w:pPr>
        <w:spacing w:after="80"/>
        <w:rPr>
          <w:rFonts w:cs="Arial"/>
          <w:lang w:eastAsia="ja-JP"/>
        </w:rPr>
      </w:pPr>
      <w:r w:rsidRPr="00C97518">
        <w:rPr>
          <w:rFonts w:cs="Arial"/>
        </w:rPr>
        <w:t xml:space="preserve">Details of the </w:t>
      </w:r>
      <w:r w:rsidRPr="00C97518">
        <w:t>differences between the existing guideline</w:t>
      </w:r>
      <w:r w:rsidR="00465C7C" w:rsidRPr="00C97518">
        <w:t>s</w:t>
      </w:r>
      <w:r w:rsidRPr="00C97518">
        <w:t xml:space="preserve"> and the </w:t>
      </w:r>
      <w:r w:rsidR="00465C7C" w:rsidRPr="00C97518">
        <w:t xml:space="preserve">proposed </w:t>
      </w:r>
      <w:r w:rsidRPr="00C97518">
        <w:t>new guideline</w:t>
      </w:r>
      <w:r w:rsidR="00465C7C" w:rsidRPr="00C97518">
        <w:t>s</w:t>
      </w:r>
      <w:r w:rsidRPr="00C97518">
        <w:t xml:space="preserve"> </w:t>
      </w:r>
      <w:r w:rsidRPr="00C97518">
        <w:rPr>
          <w:rFonts w:cs="Arial"/>
        </w:rPr>
        <w:t xml:space="preserve">are outlined in Attachment </w:t>
      </w:r>
      <w:r w:rsidR="00EE5FB9" w:rsidRPr="00C97518">
        <w:rPr>
          <w:rFonts w:cs="Arial"/>
        </w:rPr>
        <w:t>E</w:t>
      </w:r>
      <w:r w:rsidR="009B5964" w:rsidRPr="00C97518">
        <w:rPr>
          <w:rFonts w:cs="Arial"/>
        </w:rPr>
        <w:t>,</w:t>
      </w:r>
      <w:r w:rsidRPr="00C97518">
        <w:rPr>
          <w:rFonts w:cs="Arial"/>
        </w:rPr>
        <w:t xml:space="preserve"> with a draft of the </w:t>
      </w:r>
      <w:r w:rsidRPr="00C97518">
        <w:t>Radiocommunications Advisory Guidelines (Managing Interference to Spectrum Licensed Receivers – 2 GHz Band) 201</w:t>
      </w:r>
      <w:r w:rsidR="00D614CF" w:rsidRPr="00C97518">
        <w:t>6</w:t>
      </w:r>
      <w:r w:rsidRPr="00C97518">
        <w:rPr>
          <w:b/>
          <w:lang w:eastAsia="ja-JP"/>
        </w:rPr>
        <w:t xml:space="preserve"> </w:t>
      </w:r>
      <w:r w:rsidR="00EE5FB9" w:rsidRPr="00C97518">
        <w:rPr>
          <w:rFonts w:cs="Arial"/>
        </w:rPr>
        <w:t>available on the ACMA website</w:t>
      </w:r>
      <w:r w:rsidRPr="00C97518">
        <w:rPr>
          <w:rFonts w:cs="Arial"/>
        </w:rPr>
        <w:t xml:space="preserve">. </w:t>
      </w:r>
      <w:r w:rsidR="00325BF2" w:rsidRPr="00C97518">
        <w:t xml:space="preserve">Some of the key differences between the </w:t>
      </w:r>
      <w:r w:rsidR="00465C7C" w:rsidRPr="00C97518">
        <w:t>existing</w:t>
      </w:r>
      <w:r w:rsidR="00325BF2" w:rsidRPr="00C97518">
        <w:t xml:space="preserve"> guideline</w:t>
      </w:r>
      <w:r w:rsidR="00465C7C" w:rsidRPr="00C97518">
        <w:t>s</w:t>
      </w:r>
      <w:r w:rsidR="00325BF2" w:rsidRPr="00C97518">
        <w:t xml:space="preserve"> and the </w:t>
      </w:r>
      <w:r w:rsidR="00465C7C" w:rsidRPr="00C97518">
        <w:t xml:space="preserve">proposed </w:t>
      </w:r>
      <w:r w:rsidR="00325BF2" w:rsidRPr="00C97518">
        <w:t xml:space="preserve">new </w:t>
      </w:r>
      <w:r w:rsidR="00465C7C" w:rsidRPr="00C97518">
        <w:t xml:space="preserve">guidelines </w:t>
      </w:r>
      <w:r w:rsidR="00325BF2" w:rsidRPr="00C97518">
        <w:t>are</w:t>
      </w:r>
      <w:r w:rsidR="007A5B24" w:rsidRPr="00C97518">
        <w:rPr>
          <w:rFonts w:cs="Arial"/>
          <w:lang w:eastAsia="ja-JP"/>
        </w:rPr>
        <w:t>:</w:t>
      </w:r>
    </w:p>
    <w:p w14:paraId="33D86076" w14:textId="77777777" w:rsidR="007A5B24" w:rsidRPr="00C97518" w:rsidRDefault="007A5B24" w:rsidP="00CF461F">
      <w:pPr>
        <w:pStyle w:val="ListBullet"/>
        <w:numPr>
          <w:ilvl w:val="0"/>
          <w:numId w:val="1"/>
        </w:numPr>
      </w:pPr>
      <w:r w:rsidRPr="00C97518">
        <w:t>updates to the adjacent channel selectivity, intermodulation and blocking parameters of the notional receiver performance level to suit existing and future mobile technologies</w:t>
      </w:r>
    </w:p>
    <w:p w14:paraId="0EF95CB9" w14:textId="00490FBE" w:rsidR="007A5B24" w:rsidRPr="00C97518" w:rsidRDefault="007A5B24" w:rsidP="0027403F">
      <w:pPr>
        <w:pStyle w:val="ListBullet"/>
        <w:numPr>
          <w:ilvl w:val="0"/>
          <w:numId w:val="1"/>
        </w:numPr>
        <w:spacing w:after="240"/>
      </w:pPr>
      <w:r w:rsidRPr="00C97518">
        <w:t>changes to the compatibility requirement to better reflect existing and future mobile technologies</w:t>
      </w:r>
      <w:r w:rsidR="009B5964" w:rsidRPr="00C97518">
        <w:t>.</w:t>
      </w:r>
    </w:p>
    <w:p w14:paraId="669C1D4E" w14:textId="26A220AA" w:rsidR="00A47E79" w:rsidRPr="00C97518" w:rsidRDefault="00627A36" w:rsidP="006E6081">
      <w:pPr>
        <w:pStyle w:val="Heading1"/>
      </w:pPr>
      <w:bookmarkStart w:id="42" w:name="_Toc328403752"/>
      <w:bookmarkStart w:id="43" w:name="_Appendix_A-_Currently"/>
      <w:bookmarkStart w:id="44" w:name="_Ref412720953"/>
      <w:bookmarkStart w:id="45" w:name="_Toc425928850"/>
      <w:bookmarkStart w:id="46" w:name="_Toc444690630"/>
      <w:bookmarkEnd w:id="10"/>
      <w:bookmarkEnd w:id="42"/>
      <w:bookmarkEnd w:id="43"/>
      <w:r w:rsidRPr="00C97518">
        <w:t>Attachment A</w:t>
      </w:r>
      <w:r w:rsidR="00F8383F" w:rsidRPr="00C97518">
        <w:t>—</w:t>
      </w:r>
      <w:r w:rsidRPr="00C97518">
        <w:t xml:space="preserve">2 GHz </w:t>
      </w:r>
      <w:r w:rsidR="009B5964" w:rsidRPr="00C97518">
        <w:t>s</w:t>
      </w:r>
      <w:r w:rsidRPr="00C97518">
        <w:t xml:space="preserve">pectrum </w:t>
      </w:r>
      <w:r w:rsidR="009B5964" w:rsidRPr="00C97518">
        <w:t>l</w:t>
      </w:r>
      <w:r w:rsidRPr="00C97518">
        <w:t xml:space="preserve">icence </w:t>
      </w:r>
      <w:r w:rsidR="009B5964" w:rsidRPr="00C97518">
        <w:t>b</w:t>
      </w:r>
      <w:r w:rsidRPr="00C97518">
        <w:t xml:space="preserve">and </w:t>
      </w:r>
      <w:r w:rsidR="009B5964" w:rsidRPr="00C97518">
        <w:t>a</w:t>
      </w:r>
      <w:r w:rsidRPr="00C97518">
        <w:t>rrangements</w:t>
      </w:r>
      <w:bookmarkEnd w:id="44"/>
      <w:bookmarkEnd w:id="45"/>
      <w:r w:rsidR="00C706DA" w:rsidRPr="00C97518">
        <w:t xml:space="preserve"> (paired segment)</w:t>
      </w:r>
      <w:bookmarkEnd w:id="46"/>
    </w:p>
    <w:p w14:paraId="66D87688" w14:textId="004BD6E5" w:rsidR="00BA0B8B" w:rsidRPr="00C97518" w:rsidRDefault="00BA0B8B" w:rsidP="00E75F2B">
      <w:pPr>
        <w:rPr>
          <w:lang w:eastAsia="en-US" w:bidi="he-IL"/>
        </w:rPr>
      </w:pPr>
      <w:r w:rsidRPr="00C97518">
        <w:rPr>
          <w:lang w:eastAsia="en-US" w:bidi="he-IL"/>
        </w:rPr>
        <w:t xml:space="preserve">The 2 GHz spectrum licence band </w:t>
      </w:r>
      <w:r w:rsidR="00C706DA" w:rsidRPr="00C97518">
        <w:rPr>
          <w:lang w:eastAsia="en-US" w:bidi="he-IL"/>
        </w:rPr>
        <w:t xml:space="preserve">(the paired segment) is contained within the </w:t>
      </w:r>
      <w:r w:rsidRPr="00C97518">
        <w:rPr>
          <w:lang w:eastAsia="en-US" w:bidi="he-IL"/>
        </w:rPr>
        <w:t>1920</w:t>
      </w:r>
      <w:r w:rsidR="009B5964" w:rsidRPr="00C97518">
        <w:rPr>
          <w:lang w:eastAsia="en-US" w:bidi="he-IL"/>
        </w:rPr>
        <w:t>–</w:t>
      </w:r>
      <w:r w:rsidRPr="00C97518">
        <w:rPr>
          <w:lang w:eastAsia="en-US" w:bidi="he-IL"/>
        </w:rPr>
        <w:t>1980 MHz and 2110</w:t>
      </w:r>
      <w:r w:rsidR="009B5964" w:rsidRPr="00C97518">
        <w:rPr>
          <w:lang w:eastAsia="en-US" w:bidi="he-IL"/>
        </w:rPr>
        <w:t>–</w:t>
      </w:r>
      <w:r w:rsidRPr="00C97518">
        <w:rPr>
          <w:lang w:eastAsia="en-US" w:bidi="he-IL"/>
        </w:rPr>
        <w:t>2170 MHz</w:t>
      </w:r>
      <w:r w:rsidR="00C706DA" w:rsidRPr="00C97518">
        <w:rPr>
          <w:lang w:eastAsia="en-US" w:bidi="he-IL"/>
        </w:rPr>
        <w:t xml:space="preserve"> frequency ranges</w:t>
      </w:r>
      <w:r w:rsidRPr="00C97518">
        <w:rPr>
          <w:lang w:eastAsia="en-US" w:bidi="he-IL"/>
        </w:rPr>
        <w:t xml:space="preserve">. </w:t>
      </w:r>
      <w:r w:rsidR="00C706DA" w:rsidRPr="00C97518">
        <w:rPr>
          <w:lang w:eastAsia="en-US" w:bidi="he-IL"/>
        </w:rPr>
        <w:t>The portion of the band that is subject to spectrum licensing differs in metropolitan, regional and remote areas of Australia.</w:t>
      </w:r>
    </w:p>
    <w:p w14:paraId="0144B1CD" w14:textId="00F0E116" w:rsidR="00BA0B8B" w:rsidRPr="00C97518" w:rsidRDefault="00BA0B8B" w:rsidP="0027403F">
      <w:pPr>
        <w:rPr>
          <w:lang w:eastAsia="en-US" w:bidi="he-IL"/>
        </w:rPr>
      </w:pPr>
      <w:r w:rsidRPr="00C97518">
        <w:rPr>
          <w:lang w:eastAsia="en-US" w:bidi="he-IL"/>
        </w:rPr>
        <w:t xml:space="preserve">Figure </w:t>
      </w:r>
      <w:r w:rsidR="00EE7329" w:rsidRPr="00C97518">
        <w:rPr>
          <w:lang w:eastAsia="en-US" w:bidi="he-IL"/>
        </w:rPr>
        <w:t>A</w:t>
      </w:r>
      <w:r w:rsidRPr="00C97518">
        <w:rPr>
          <w:lang w:eastAsia="en-US" w:bidi="he-IL"/>
        </w:rPr>
        <w:t xml:space="preserve">1 indicates the areas and frequencies that are subject to spectrum licensing in the 2 GHz band. Figure </w:t>
      </w:r>
      <w:r w:rsidR="00EE7329" w:rsidRPr="00C97518">
        <w:rPr>
          <w:lang w:eastAsia="en-US" w:bidi="he-IL"/>
        </w:rPr>
        <w:t>A</w:t>
      </w:r>
      <w:r w:rsidRPr="00C97518">
        <w:rPr>
          <w:lang w:eastAsia="en-US" w:bidi="he-IL"/>
        </w:rPr>
        <w:t>2 provides a summary of current arrangements in the 1900</w:t>
      </w:r>
      <w:r w:rsidR="009B5964" w:rsidRPr="00C97518">
        <w:rPr>
          <w:lang w:eastAsia="en-US" w:bidi="he-IL"/>
        </w:rPr>
        <w:t>–</w:t>
      </w:r>
      <w:r w:rsidRPr="00C97518">
        <w:rPr>
          <w:lang w:eastAsia="en-US" w:bidi="he-IL"/>
        </w:rPr>
        <w:t>2200 MHz band.</w:t>
      </w:r>
    </w:p>
    <w:p w14:paraId="2E476D0A" w14:textId="614B9B36" w:rsidR="00BA0B8B" w:rsidRPr="00C97518" w:rsidRDefault="00BA0B8B" w:rsidP="00BA0B8B">
      <w:pPr>
        <w:spacing w:after="120" w:line="240" w:lineRule="auto"/>
        <w:rPr>
          <w:rFonts w:cs="Arial"/>
          <w:b/>
          <w:bCs/>
          <w:szCs w:val="20"/>
          <w:lang w:eastAsia="en-US" w:bidi="he-IL"/>
        </w:rPr>
      </w:pPr>
      <w:r w:rsidRPr="00C97518">
        <w:rPr>
          <w:b/>
          <w:szCs w:val="20"/>
          <w:lang w:eastAsia="en-US" w:bidi="he-IL"/>
        </w:rPr>
        <w:t xml:space="preserve">Figure </w:t>
      </w:r>
      <w:r w:rsidR="00EE7329" w:rsidRPr="00C97518">
        <w:rPr>
          <w:b/>
          <w:szCs w:val="20"/>
          <w:lang w:eastAsia="en-US" w:bidi="he-IL"/>
        </w:rPr>
        <w:t>A</w:t>
      </w:r>
      <w:r w:rsidRPr="00C97518">
        <w:rPr>
          <w:b/>
          <w:szCs w:val="20"/>
          <w:lang w:eastAsia="en-US" w:bidi="he-IL"/>
        </w:rPr>
        <w:t xml:space="preserve">1: </w:t>
      </w:r>
      <w:r w:rsidRPr="00C97518">
        <w:rPr>
          <w:rFonts w:cs="Arial"/>
          <w:b/>
          <w:bCs/>
          <w:szCs w:val="20"/>
          <w:lang w:eastAsia="en-US" w:bidi="he-IL"/>
        </w:rPr>
        <w:t xml:space="preserve">Areas </w:t>
      </w:r>
      <w:r w:rsidR="00564E62" w:rsidRPr="00C97518">
        <w:rPr>
          <w:rFonts w:cs="Arial"/>
          <w:b/>
          <w:bCs/>
          <w:szCs w:val="20"/>
          <w:lang w:eastAsia="en-US" w:bidi="he-IL"/>
        </w:rPr>
        <w:t xml:space="preserve">and frequencies </w:t>
      </w:r>
      <w:r w:rsidRPr="00C97518">
        <w:rPr>
          <w:rFonts w:cs="Arial"/>
          <w:b/>
          <w:bCs/>
          <w:szCs w:val="20"/>
          <w:lang w:eastAsia="en-US" w:bidi="he-IL"/>
        </w:rPr>
        <w:t>corresponding to the 2 GHz spectrum licence band</w:t>
      </w:r>
    </w:p>
    <w:p w14:paraId="052EF759" w14:textId="77777777" w:rsidR="00BA0B8B" w:rsidRPr="00C97518" w:rsidRDefault="00BA0B8B" w:rsidP="00BA0B8B">
      <w:pPr>
        <w:spacing w:after="0" w:line="240" w:lineRule="auto"/>
        <w:rPr>
          <w:rFonts w:cs="Arial"/>
          <w:szCs w:val="20"/>
          <w:lang w:eastAsia="en-US" w:bidi="he-IL"/>
        </w:rPr>
      </w:pPr>
      <w:r w:rsidRPr="00C97518">
        <w:rPr>
          <w:rFonts w:cs="Arial"/>
          <w:noProof/>
          <w:szCs w:val="20"/>
        </w:rPr>
        <w:drawing>
          <wp:inline distT="0" distB="0" distL="0" distR="0" wp14:anchorId="7EE1D9CF" wp14:editId="09BC7312">
            <wp:extent cx="4314825" cy="3165727"/>
            <wp:effectExtent l="0" t="0" r="0" b="0"/>
            <wp:docPr id="19" name="Picture 19" descr="Areas corresponding to by the 2 GHz spectrum licence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kerans\AppData\Local\Microsoft\Windows\Temporary Internet Files\Content.Outlook\WNIEVTI0\first_consultation_paper_maps_03.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317523" cy="3167706"/>
                    </a:xfrm>
                    <a:prstGeom prst="rect">
                      <a:avLst/>
                    </a:prstGeom>
                    <a:noFill/>
                    <a:ln>
                      <a:noFill/>
                    </a:ln>
                  </pic:spPr>
                </pic:pic>
              </a:graphicData>
            </a:graphic>
          </wp:inline>
        </w:drawing>
      </w:r>
      <w:r w:rsidRPr="00C97518">
        <w:rPr>
          <w:rFonts w:cs="Arial"/>
          <w:noProof/>
          <w:szCs w:val="20"/>
          <w:highlight w:val="yellow"/>
          <w:lang w:eastAsia="en-US" w:bidi="he-IL"/>
        </w:rPr>
        <w:t xml:space="preserve"> </w:t>
      </w:r>
    </w:p>
    <w:p w14:paraId="75D3B538" w14:textId="77777777" w:rsidR="00BA0B8B" w:rsidRPr="00C97518" w:rsidRDefault="00BA0B8B" w:rsidP="00BA0B8B">
      <w:pPr>
        <w:spacing w:after="0" w:line="240" w:lineRule="auto"/>
        <w:rPr>
          <w:rFonts w:cs="Arial"/>
          <w:szCs w:val="20"/>
          <w:lang w:eastAsia="en-US" w:bidi="he-IL"/>
        </w:rPr>
      </w:pPr>
    </w:p>
    <w:p w14:paraId="55DC25C5" w14:textId="7B17455B" w:rsidR="00BA0B8B" w:rsidRPr="00C97518" w:rsidRDefault="00BA0B8B" w:rsidP="00BA0B8B">
      <w:pPr>
        <w:keepNext/>
        <w:keepLines/>
        <w:spacing w:after="120" w:line="240" w:lineRule="auto"/>
        <w:rPr>
          <w:szCs w:val="20"/>
          <w:lang w:eastAsia="en-US" w:bidi="he-IL"/>
        </w:rPr>
      </w:pPr>
      <w:r w:rsidRPr="00C97518">
        <w:rPr>
          <w:b/>
          <w:szCs w:val="20"/>
          <w:lang w:eastAsia="en-US" w:bidi="he-IL"/>
        </w:rPr>
        <w:t xml:space="preserve">Figure </w:t>
      </w:r>
      <w:r w:rsidR="00EE7329" w:rsidRPr="00C97518">
        <w:rPr>
          <w:b/>
          <w:szCs w:val="20"/>
          <w:lang w:eastAsia="en-US" w:bidi="he-IL"/>
        </w:rPr>
        <w:t>A</w:t>
      </w:r>
      <w:r w:rsidRPr="00C97518">
        <w:rPr>
          <w:b/>
          <w:szCs w:val="20"/>
          <w:lang w:eastAsia="en-US" w:bidi="he-IL"/>
        </w:rPr>
        <w:t xml:space="preserve">2: </w:t>
      </w:r>
      <w:r w:rsidRPr="00C97518">
        <w:rPr>
          <w:rFonts w:cs="Arial"/>
          <w:b/>
          <w:bCs/>
          <w:szCs w:val="20"/>
          <w:lang w:eastAsia="en-US" w:bidi="he-IL"/>
        </w:rPr>
        <w:t>Summary of existing arrangements in the 1900</w:t>
      </w:r>
      <w:r w:rsidR="009B5964" w:rsidRPr="00C97518">
        <w:rPr>
          <w:rFonts w:cs="Arial"/>
          <w:b/>
          <w:bCs/>
          <w:szCs w:val="20"/>
          <w:lang w:eastAsia="en-US" w:bidi="he-IL"/>
        </w:rPr>
        <w:t>–</w:t>
      </w:r>
      <w:r w:rsidRPr="00C97518">
        <w:rPr>
          <w:rFonts w:cs="Arial"/>
          <w:b/>
          <w:bCs/>
          <w:szCs w:val="20"/>
          <w:lang w:eastAsia="en-US" w:bidi="he-IL"/>
        </w:rPr>
        <w:t>2200 MHz band</w:t>
      </w:r>
      <w:r w:rsidRPr="00C97518">
        <w:rPr>
          <w:szCs w:val="20"/>
          <w:lang w:eastAsia="en-US" w:bidi="he-IL"/>
        </w:rPr>
        <w:t xml:space="preserve"> </w:t>
      </w:r>
    </w:p>
    <w:tbl>
      <w:tblPr>
        <w:tblStyle w:val="TableGrid3"/>
        <w:tblW w:w="0" w:type="auto"/>
        <w:tblCellMar>
          <w:top w:w="57" w:type="dxa"/>
          <w:bottom w:w="57" w:type="dxa"/>
        </w:tblCellMar>
        <w:tblLook w:val="04A0" w:firstRow="1" w:lastRow="0" w:firstColumn="1" w:lastColumn="0" w:noHBand="0" w:noVBand="1"/>
        <w:tblDescription w:val="Summary of existing arrangements in the 1900–2200 MHz band "/>
      </w:tblPr>
      <w:tblGrid>
        <w:gridCol w:w="1235"/>
        <w:gridCol w:w="1330"/>
        <w:gridCol w:w="1278"/>
        <w:gridCol w:w="646"/>
        <w:gridCol w:w="646"/>
        <w:gridCol w:w="1278"/>
        <w:gridCol w:w="1248"/>
      </w:tblGrid>
      <w:tr w:rsidR="00BA0B8B" w:rsidRPr="00C97518" w14:paraId="7C957642" w14:textId="77777777" w:rsidTr="0027403F">
        <w:trPr>
          <w:trHeight w:val="699"/>
          <w:tblHeader/>
        </w:trPr>
        <w:tc>
          <w:tcPr>
            <w:tcW w:w="1235" w:type="dxa"/>
          </w:tcPr>
          <w:p w14:paraId="79A1DD4A" w14:textId="77777777" w:rsidR="00BA0B8B" w:rsidRPr="00C97518" w:rsidRDefault="00BA0B8B" w:rsidP="0027403F">
            <w:pPr>
              <w:pStyle w:val="TableHeading"/>
              <w:keepNext/>
              <w:keepLines/>
              <w:rPr>
                <w:lang w:bidi="he-IL"/>
              </w:rPr>
            </w:pPr>
            <w:r w:rsidRPr="00C97518">
              <w:rPr>
                <w:lang w:bidi="he-IL"/>
              </w:rPr>
              <w:t>Frequency (MHz)</w:t>
            </w:r>
          </w:p>
        </w:tc>
        <w:tc>
          <w:tcPr>
            <w:tcW w:w="1330" w:type="dxa"/>
            <w:tcBorders>
              <w:bottom w:val="single" w:sz="4" w:space="0" w:color="auto"/>
            </w:tcBorders>
          </w:tcPr>
          <w:p w14:paraId="51B36135" w14:textId="77777777" w:rsidR="00BA0B8B" w:rsidRPr="00C97518" w:rsidRDefault="00BA0B8B" w:rsidP="0027403F">
            <w:pPr>
              <w:pStyle w:val="TableHeading"/>
              <w:keepNext/>
              <w:keepLines/>
              <w:rPr>
                <w:lang w:bidi="he-IL"/>
              </w:rPr>
            </w:pPr>
            <w:r w:rsidRPr="00C97518">
              <w:rPr>
                <w:lang w:bidi="he-IL"/>
              </w:rPr>
              <w:t>Melbourne</w:t>
            </w:r>
          </w:p>
          <w:p w14:paraId="69A51BDF" w14:textId="77777777" w:rsidR="00BA0B8B" w:rsidRPr="00C97518" w:rsidRDefault="00BA0B8B" w:rsidP="0027403F">
            <w:pPr>
              <w:pStyle w:val="TableHeading"/>
              <w:keepNext/>
              <w:keepLines/>
              <w:rPr>
                <w:lang w:bidi="he-IL"/>
              </w:rPr>
            </w:pPr>
            <w:r w:rsidRPr="00C97518">
              <w:rPr>
                <w:lang w:bidi="he-IL"/>
              </w:rPr>
              <w:t>Sydney</w:t>
            </w:r>
          </w:p>
        </w:tc>
        <w:tc>
          <w:tcPr>
            <w:tcW w:w="1278" w:type="dxa"/>
            <w:tcBorders>
              <w:bottom w:val="single" w:sz="4" w:space="0" w:color="auto"/>
            </w:tcBorders>
          </w:tcPr>
          <w:p w14:paraId="7E2B303F" w14:textId="77777777" w:rsidR="00BA0B8B" w:rsidRPr="00C97518" w:rsidRDefault="00BA0B8B" w:rsidP="0027403F">
            <w:pPr>
              <w:pStyle w:val="TableHeading"/>
              <w:keepNext/>
              <w:keepLines/>
              <w:rPr>
                <w:lang w:bidi="he-IL"/>
              </w:rPr>
            </w:pPr>
            <w:r w:rsidRPr="00C97518">
              <w:rPr>
                <w:lang w:bidi="he-IL"/>
              </w:rPr>
              <w:t>Adelaide</w:t>
            </w:r>
          </w:p>
          <w:p w14:paraId="59E6D2DA" w14:textId="77777777" w:rsidR="00BA0B8B" w:rsidRPr="00C97518" w:rsidRDefault="00BA0B8B" w:rsidP="0027403F">
            <w:pPr>
              <w:pStyle w:val="TableHeading"/>
              <w:keepNext/>
              <w:keepLines/>
              <w:rPr>
                <w:lang w:bidi="he-IL"/>
              </w:rPr>
            </w:pPr>
            <w:r w:rsidRPr="00C97518">
              <w:rPr>
                <w:lang w:bidi="he-IL"/>
              </w:rPr>
              <w:t>Brisbane</w:t>
            </w:r>
          </w:p>
          <w:p w14:paraId="0733D9AE" w14:textId="77777777" w:rsidR="00BA0B8B" w:rsidRPr="00C97518" w:rsidRDefault="00BA0B8B" w:rsidP="0027403F">
            <w:pPr>
              <w:pStyle w:val="TableHeading"/>
              <w:keepNext/>
              <w:keepLines/>
              <w:rPr>
                <w:lang w:bidi="he-IL"/>
              </w:rPr>
            </w:pPr>
            <w:r w:rsidRPr="00C97518">
              <w:rPr>
                <w:lang w:bidi="he-IL"/>
              </w:rPr>
              <w:t>Perth</w:t>
            </w:r>
          </w:p>
        </w:tc>
        <w:tc>
          <w:tcPr>
            <w:tcW w:w="1292" w:type="dxa"/>
            <w:gridSpan w:val="2"/>
            <w:tcBorders>
              <w:bottom w:val="single" w:sz="4" w:space="0" w:color="auto"/>
            </w:tcBorders>
          </w:tcPr>
          <w:p w14:paraId="6B328B93" w14:textId="77777777" w:rsidR="00BA0B8B" w:rsidRPr="00C97518" w:rsidRDefault="00BA0B8B" w:rsidP="0027403F">
            <w:pPr>
              <w:pStyle w:val="TableHeading"/>
              <w:keepNext/>
              <w:keepLines/>
              <w:rPr>
                <w:lang w:bidi="he-IL"/>
              </w:rPr>
            </w:pPr>
            <w:r w:rsidRPr="00C97518">
              <w:rPr>
                <w:lang w:bidi="he-IL"/>
              </w:rPr>
              <w:t>Canberra</w:t>
            </w:r>
          </w:p>
          <w:p w14:paraId="0D217C6B" w14:textId="77777777" w:rsidR="00BA0B8B" w:rsidRPr="00C97518" w:rsidRDefault="00BA0B8B" w:rsidP="0027403F">
            <w:pPr>
              <w:pStyle w:val="TableHeading"/>
              <w:keepNext/>
              <w:keepLines/>
              <w:rPr>
                <w:lang w:bidi="he-IL"/>
              </w:rPr>
            </w:pPr>
            <w:r w:rsidRPr="00C97518">
              <w:rPr>
                <w:lang w:bidi="he-IL"/>
              </w:rPr>
              <w:t>Darwin</w:t>
            </w:r>
          </w:p>
          <w:p w14:paraId="58AECBA4" w14:textId="77777777" w:rsidR="00BA0B8B" w:rsidRPr="00C97518" w:rsidRDefault="00BA0B8B" w:rsidP="0027403F">
            <w:pPr>
              <w:pStyle w:val="TableHeading"/>
              <w:keepNext/>
              <w:keepLines/>
              <w:rPr>
                <w:lang w:bidi="he-IL"/>
              </w:rPr>
            </w:pPr>
            <w:r w:rsidRPr="00C97518">
              <w:rPr>
                <w:lang w:bidi="he-IL"/>
              </w:rPr>
              <w:t>Hobart</w:t>
            </w:r>
          </w:p>
        </w:tc>
        <w:tc>
          <w:tcPr>
            <w:tcW w:w="1278" w:type="dxa"/>
            <w:tcBorders>
              <w:bottom w:val="single" w:sz="4" w:space="0" w:color="auto"/>
            </w:tcBorders>
          </w:tcPr>
          <w:p w14:paraId="44C74A50" w14:textId="77777777" w:rsidR="00BA0B8B" w:rsidRPr="00C97518" w:rsidRDefault="00BA0B8B" w:rsidP="0027403F">
            <w:pPr>
              <w:pStyle w:val="TableHeading"/>
              <w:keepNext/>
              <w:keepLines/>
              <w:rPr>
                <w:lang w:bidi="he-IL"/>
              </w:rPr>
            </w:pPr>
            <w:r w:rsidRPr="00C97518">
              <w:rPr>
                <w:lang w:bidi="he-IL"/>
              </w:rPr>
              <w:t>Regional</w:t>
            </w:r>
          </w:p>
        </w:tc>
        <w:tc>
          <w:tcPr>
            <w:tcW w:w="1248" w:type="dxa"/>
            <w:tcBorders>
              <w:bottom w:val="single" w:sz="4" w:space="0" w:color="auto"/>
            </w:tcBorders>
          </w:tcPr>
          <w:p w14:paraId="2C7AC2F2" w14:textId="77777777" w:rsidR="00BA0B8B" w:rsidRPr="00C97518" w:rsidRDefault="00BA0B8B" w:rsidP="0027403F">
            <w:pPr>
              <w:pStyle w:val="TableHeading"/>
              <w:keepNext/>
              <w:keepLines/>
              <w:rPr>
                <w:lang w:bidi="he-IL"/>
              </w:rPr>
            </w:pPr>
            <w:r w:rsidRPr="00C97518">
              <w:rPr>
                <w:lang w:bidi="he-IL"/>
              </w:rPr>
              <w:t>Remote</w:t>
            </w:r>
          </w:p>
        </w:tc>
      </w:tr>
      <w:tr w:rsidR="00C706DA" w:rsidRPr="00C97518" w14:paraId="3F494DBB" w14:textId="77777777" w:rsidTr="0027403F">
        <w:tc>
          <w:tcPr>
            <w:tcW w:w="1235" w:type="dxa"/>
          </w:tcPr>
          <w:p w14:paraId="0CE6B299" w14:textId="77777777" w:rsidR="00C706DA" w:rsidRPr="00C97518" w:rsidRDefault="00C706DA" w:rsidP="00BA0B8B">
            <w:pPr>
              <w:keepNext/>
              <w:keepLines/>
              <w:spacing w:after="0" w:line="240" w:lineRule="auto"/>
              <w:rPr>
                <w:sz w:val="16"/>
                <w:szCs w:val="16"/>
                <w:lang w:bidi="he-IL"/>
              </w:rPr>
            </w:pPr>
            <w:r w:rsidRPr="00C97518">
              <w:rPr>
                <w:sz w:val="16"/>
                <w:szCs w:val="16"/>
                <w:lang w:bidi="he-IL"/>
              </w:rPr>
              <w:t>1900–1920</w:t>
            </w:r>
          </w:p>
        </w:tc>
        <w:tc>
          <w:tcPr>
            <w:tcW w:w="1330" w:type="dxa"/>
            <w:tcBorders>
              <w:bottom w:val="single" w:sz="4" w:space="0" w:color="auto"/>
              <w:right w:val="nil"/>
            </w:tcBorders>
            <w:shd w:val="clear" w:color="auto" w:fill="632423" w:themeFill="accent2" w:themeFillShade="80"/>
          </w:tcPr>
          <w:p w14:paraId="095E4B5C" w14:textId="77777777" w:rsidR="00C706DA" w:rsidRPr="00C97518" w:rsidRDefault="00C706DA"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632423" w:themeFill="accent2" w:themeFillShade="80"/>
          </w:tcPr>
          <w:p w14:paraId="017DCF9C" w14:textId="77777777" w:rsidR="00C706DA" w:rsidRPr="00C97518" w:rsidRDefault="00C706DA" w:rsidP="00BA0B8B">
            <w:pPr>
              <w:keepNext/>
              <w:keepLines/>
              <w:spacing w:after="0" w:line="240" w:lineRule="auto"/>
              <w:rPr>
                <w:sz w:val="16"/>
                <w:szCs w:val="16"/>
                <w:lang w:bidi="he-IL"/>
              </w:rPr>
            </w:pPr>
          </w:p>
        </w:tc>
        <w:tc>
          <w:tcPr>
            <w:tcW w:w="646" w:type="dxa"/>
            <w:tcBorders>
              <w:left w:val="nil"/>
              <w:bottom w:val="single" w:sz="4" w:space="0" w:color="auto"/>
              <w:right w:val="nil"/>
            </w:tcBorders>
            <w:shd w:val="clear" w:color="auto" w:fill="632423" w:themeFill="accent2" w:themeFillShade="80"/>
          </w:tcPr>
          <w:p w14:paraId="333534C5" w14:textId="77777777" w:rsidR="00C706DA" w:rsidRPr="00C97518" w:rsidRDefault="00C706DA" w:rsidP="00BA0B8B">
            <w:pPr>
              <w:keepNext/>
              <w:keepLines/>
              <w:spacing w:after="0" w:line="240" w:lineRule="auto"/>
              <w:rPr>
                <w:sz w:val="16"/>
                <w:szCs w:val="16"/>
                <w:lang w:bidi="he-IL"/>
              </w:rPr>
            </w:pPr>
          </w:p>
        </w:tc>
        <w:tc>
          <w:tcPr>
            <w:tcW w:w="646" w:type="dxa"/>
            <w:tcBorders>
              <w:left w:val="nil"/>
              <w:bottom w:val="single" w:sz="4" w:space="0" w:color="auto"/>
              <w:right w:val="single" w:sz="4" w:space="0" w:color="auto"/>
            </w:tcBorders>
            <w:shd w:val="clear" w:color="auto" w:fill="632423" w:themeFill="accent2" w:themeFillShade="80"/>
          </w:tcPr>
          <w:p w14:paraId="52923637" w14:textId="46AE9920" w:rsidR="00C706DA" w:rsidRPr="00C97518" w:rsidRDefault="00C706DA" w:rsidP="00BA0B8B">
            <w:pPr>
              <w:keepNext/>
              <w:keepLines/>
              <w:spacing w:after="0" w:line="240" w:lineRule="auto"/>
              <w:rPr>
                <w:sz w:val="16"/>
                <w:szCs w:val="16"/>
                <w:lang w:bidi="he-IL"/>
              </w:rPr>
            </w:pPr>
          </w:p>
        </w:tc>
        <w:tc>
          <w:tcPr>
            <w:tcW w:w="1278" w:type="dxa"/>
            <w:tcBorders>
              <w:left w:val="single" w:sz="4" w:space="0" w:color="auto"/>
              <w:bottom w:val="single" w:sz="4" w:space="0" w:color="auto"/>
              <w:right w:val="nil"/>
            </w:tcBorders>
            <w:shd w:val="clear" w:color="auto" w:fill="FF66FF"/>
          </w:tcPr>
          <w:p w14:paraId="4E36ABB4" w14:textId="77777777" w:rsidR="00C706DA" w:rsidRPr="00C97518" w:rsidRDefault="00C706DA"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FF66FF"/>
          </w:tcPr>
          <w:p w14:paraId="226607E3" w14:textId="77777777" w:rsidR="00C706DA" w:rsidRPr="00C97518" w:rsidRDefault="00C706DA" w:rsidP="00BA0B8B">
            <w:pPr>
              <w:keepNext/>
              <w:keepLines/>
              <w:spacing w:after="0" w:line="240" w:lineRule="auto"/>
              <w:rPr>
                <w:sz w:val="16"/>
                <w:szCs w:val="16"/>
                <w:lang w:bidi="he-IL"/>
              </w:rPr>
            </w:pPr>
          </w:p>
        </w:tc>
      </w:tr>
      <w:tr w:rsidR="00BA0B8B" w:rsidRPr="00C97518" w14:paraId="77900657" w14:textId="77777777" w:rsidTr="0027403F">
        <w:tc>
          <w:tcPr>
            <w:tcW w:w="1235" w:type="dxa"/>
          </w:tcPr>
          <w:p w14:paraId="7A37D69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1920–1930</w:t>
            </w:r>
          </w:p>
        </w:tc>
        <w:tc>
          <w:tcPr>
            <w:tcW w:w="1330" w:type="dxa"/>
            <w:tcBorders>
              <w:bottom w:val="nil"/>
              <w:right w:val="nil"/>
            </w:tcBorders>
            <w:shd w:val="clear" w:color="auto" w:fill="FFFF00"/>
          </w:tcPr>
          <w:p w14:paraId="4B30995A"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2277EF95" w14:textId="77777777" w:rsidR="00BA0B8B" w:rsidRPr="00C97518" w:rsidRDefault="00BA0B8B" w:rsidP="00BA0B8B">
            <w:pPr>
              <w:keepNext/>
              <w:keepLines/>
              <w:spacing w:after="0" w:line="240" w:lineRule="auto"/>
              <w:rPr>
                <w:sz w:val="16"/>
                <w:szCs w:val="16"/>
                <w:lang w:bidi="he-IL"/>
              </w:rPr>
            </w:pPr>
          </w:p>
        </w:tc>
        <w:tc>
          <w:tcPr>
            <w:tcW w:w="1292" w:type="dxa"/>
            <w:gridSpan w:val="2"/>
            <w:tcBorders>
              <w:bottom w:val="nil"/>
              <w:right w:val="single" w:sz="4" w:space="0" w:color="auto"/>
            </w:tcBorders>
            <w:shd w:val="clear" w:color="auto" w:fill="00B050"/>
          </w:tcPr>
          <w:p w14:paraId="6E2EF175" w14:textId="77777777" w:rsidR="00BA0B8B" w:rsidRPr="00C97518" w:rsidRDefault="00BA0B8B" w:rsidP="00BA0B8B">
            <w:pPr>
              <w:keepNext/>
              <w:keepLines/>
              <w:spacing w:after="0" w:line="240" w:lineRule="auto"/>
              <w:rPr>
                <w:sz w:val="16"/>
                <w:szCs w:val="16"/>
                <w:lang w:bidi="he-IL"/>
              </w:rPr>
            </w:pPr>
          </w:p>
        </w:tc>
        <w:tc>
          <w:tcPr>
            <w:tcW w:w="1278" w:type="dxa"/>
            <w:tcBorders>
              <w:left w:val="single" w:sz="4" w:space="0" w:color="auto"/>
              <w:bottom w:val="nil"/>
              <w:right w:val="nil"/>
            </w:tcBorders>
            <w:shd w:val="clear" w:color="auto" w:fill="99FF66"/>
          </w:tcPr>
          <w:p w14:paraId="19F1F68A"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nil"/>
            </w:tcBorders>
            <w:shd w:val="clear" w:color="auto" w:fill="99FF66"/>
          </w:tcPr>
          <w:p w14:paraId="728BC84C" w14:textId="77777777" w:rsidR="00BA0B8B" w:rsidRPr="00C97518" w:rsidRDefault="00BA0B8B" w:rsidP="00BA0B8B">
            <w:pPr>
              <w:keepNext/>
              <w:keepLines/>
              <w:spacing w:after="0" w:line="240" w:lineRule="auto"/>
              <w:rPr>
                <w:sz w:val="16"/>
                <w:szCs w:val="16"/>
                <w:lang w:bidi="he-IL"/>
              </w:rPr>
            </w:pPr>
          </w:p>
        </w:tc>
      </w:tr>
      <w:tr w:rsidR="00BA0B8B" w:rsidRPr="00C97518" w14:paraId="356AF0DF" w14:textId="77777777" w:rsidTr="0027403F">
        <w:tc>
          <w:tcPr>
            <w:tcW w:w="1235" w:type="dxa"/>
          </w:tcPr>
          <w:p w14:paraId="6B5025D3"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1930–1935</w:t>
            </w:r>
          </w:p>
        </w:tc>
        <w:tc>
          <w:tcPr>
            <w:tcW w:w="1330" w:type="dxa"/>
            <w:tcBorders>
              <w:top w:val="nil"/>
              <w:bottom w:val="nil"/>
            </w:tcBorders>
            <w:shd w:val="clear" w:color="auto" w:fill="FFFF00"/>
          </w:tcPr>
          <w:p w14:paraId="7CC7F0FB" w14:textId="77777777" w:rsidR="00BA0B8B" w:rsidRPr="00C97518" w:rsidRDefault="00BA0B8B" w:rsidP="00BA0B8B">
            <w:pPr>
              <w:keepNext/>
              <w:keepLines/>
              <w:spacing w:after="0" w:line="240" w:lineRule="auto"/>
              <w:rPr>
                <w:sz w:val="16"/>
                <w:szCs w:val="16"/>
                <w:lang w:bidi="he-IL"/>
              </w:rPr>
            </w:pPr>
          </w:p>
        </w:tc>
        <w:tc>
          <w:tcPr>
            <w:tcW w:w="1278" w:type="dxa"/>
            <w:tcBorders>
              <w:bottom w:val="single" w:sz="4" w:space="0" w:color="auto"/>
              <w:right w:val="nil"/>
            </w:tcBorders>
            <w:shd w:val="clear" w:color="auto" w:fill="00B050"/>
          </w:tcPr>
          <w:p w14:paraId="1D74CB97"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single" w:sz="4" w:space="0" w:color="auto"/>
            </w:tcBorders>
            <w:shd w:val="clear" w:color="auto" w:fill="00B050"/>
          </w:tcPr>
          <w:p w14:paraId="24B323D1"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single" w:sz="4" w:space="0" w:color="auto"/>
              <w:bottom w:val="nil"/>
              <w:right w:val="nil"/>
            </w:tcBorders>
            <w:shd w:val="clear" w:color="auto" w:fill="99FF66"/>
          </w:tcPr>
          <w:p w14:paraId="0771D91A"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35A27B8F" w14:textId="77777777" w:rsidR="00BA0B8B" w:rsidRPr="00C97518" w:rsidRDefault="00BA0B8B" w:rsidP="00BA0B8B">
            <w:pPr>
              <w:keepNext/>
              <w:keepLines/>
              <w:spacing w:after="0" w:line="240" w:lineRule="auto"/>
              <w:rPr>
                <w:sz w:val="16"/>
                <w:szCs w:val="16"/>
                <w:lang w:bidi="he-IL"/>
              </w:rPr>
            </w:pPr>
          </w:p>
        </w:tc>
      </w:tr>
      <w:tr w:rsidR="00BA0B8B" w:rsidRPr="00C97518" w14:paraId="5308650D" w14:textId="77777777" w:rsidTr="0027403F">
        <w:tc>
          <w:tcPr>
            <w:tcW w:w="1235" w:type="dxa"/>
          </w:tcPr>
          <w:p w14:paraId="62A75F45"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1935–1960</w:t>
            </w:r>
          </w:p>
        </w:tc>
        <w:tc>
          <w:tcPr>
            <w:tcW w:w="1330" w:type="dxa"/>
            <w:tcBorders>
              <w:top w:val="nil"/>
              <w:bottom w:val="nil"/>
              <w:right w:val="nil"/>
            </w:tcBorders>
            <w:shd w:val="clear" w:color="auto" w:fill="FFFF00"/>
          </w:tcPr>
          <w:p w14:paraId="49FEC61D"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nil"/>
              <w:right w:val="nil"/>
            </w:tcBorders>
            <w:shd w:val="clear" w:color="auto" w:fill="FFFF00"/>
          </w:tcPr>
          <w:p w14:paraId="4E031D87"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nil"/>
            </w:tcBorders>
            <w:shd w:val="clear" w:color="auto" w:fill="FFFF00"/>
          </w:tcPr>
          <w:p w14:paraId="68909976" w14:textId="77777777" w:rsidR="00BA0B8B" w:rsidRPr="00C97518" w:rsidRDefault="00BA0B8B" w:rsidP="00BA0B8B">
            <w:pPr>
              <w:keepNext/>
              <w:keepLines/>
              <w:spacing w:after="0" w:line="240" w:lineRule="auto"/>
              <w:rPr>
                <w:sz w:val="16"/>
                <w:szCs w:val="16"/>
                <w:lang w:bidi="he-IL"/>
              </w:rPr>
            </w:pPr>
          </w:p>
        </w:tc>
        <w:tc>
          <w:tcPr>
            <w:tcW w:w="1278" w:type="dxa"/>
            <w:tcBorders>
              <w:top w:val="nil"/>
              <w:bottom w:val="single" w:sz="4" w:space="0" w:color="auto"/>
              <w:right w:val="nil"/>
            </w:tcBorders>
            <w:shd w:val="clear" w:color="auto" w:fill="99FF66"/>
          </w:tcPr>
          <w:p w14:paraId="0E5C2068"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7F53F5C4" w14:textId="77777777" w:rsidR="00BA0B8B" w:rsidRPr="00C97518" w:rsidRDefault="00BA0B8B" w:rsidP="00BA0B8B">
            <w:pPr>
              <w:keepNext/>
              <w:keepLines/>
              <w:spacing w:after="0" w:line="240" w:lineRule="auto"/>
              <w:rPr>
                <w:sz w:val="16"/>
                <w:szCs w:val="16"/>
                <w:lang w:bidi="he-IL"/>
              </w:rPr>
            </w:pPr>
          </w:p>
        </w:tc>
      </w:tr>
      <w:tr w:rsidR="00BA0B8B" w:rsidRPr="00C97518" w14:paraId="4440CF53" w14:textId="77777777" w:rsidTr="0027403F">
        <w:tc>
          <w:tcPr>
            <w:tcW w:w="1235" w:type="dxa"/>
          </w:tcPr>
          <w:p w14:paraId="04197F84"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1960–1980</w:t>
            </w:r>
          </w:p>
        </w:tc>
        <w:tc>
          <w:tcPr>
            <w:tcW w:w="1330" w:type="dxa"/>
            <w:tcBorders>
              <w:top w:val="nil"/>
              <w:bottom w:val="single" w:sz="4" w:space="0" w:color="auto"/>
              <w:right w:val="nil"/>
            </w:tcBorders>
            <w:shd w:val="clear" w:color="auto" w:fill="FFFF00"/>
          </w:tcPr>
          <w:p w14:paraId="613D8B9F"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nil"/>
              <w:bottom w:val="single" w:sz="4" w:space="0" w:color="auto"/>
              <w:right w:val="nil"/>
            </w:tcBorders>
            <w:shd w:val="clear" w:color="auto" w:fill="FFFF00"/>
          </w:tcPr>
          <w:p w14:paraId="11223419"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nil"/>
            </w:tcBorders>
            <w:shd w:val="clear" w:color="auto" w:fill="FFFF00"/>
          </w:tcPr>
          <w:p w14:paraId="683554AF"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60FEA0DA" w14:textId="77777777" w:rsidR="00BA0B8B" w:rsidRPr="00C97518" w:rsidRDefault="00BA0B8B" w:rsidP="00BA0B8B">
            <w:pPr>
              <w:keepNext/>
              <w:keepLines/>
              <w:spacing w:after="0" w:line="240" w:lineRule="auto"/>
              <w:rPr>
                <w:sz w:val="16"/>
                <w:szCs w:val="16"/>
                <w:lang w:bidi="he-IL"/>
              </w:rPr>
            </w:pPr>
          </w:p>
        </w:tc>
        <w:tc>
          <w:tcPr>
            <w:tcW w:w="1248" w:type="dxa"/>
            <w:tcBorders>
              <w:top w:val="nil"/>
              <w:bottom w:val="single" w:sz="4" w:space="0" w:color="auto"/>
            </w:tcBorders>
            <w:shd w:val="clear" w:color="auto" w:fill="99FF66"/>
          </w:tcPr>
          <w:p w14:paraId="236DBEE3" w14:textId="77777777" w:rsidR="00BA0B8B" w:rsidRPr="00C97518" w:rsidRDefault="00BA0B8B" w:rsidP="00BA0B8B">
            <w:pPr>
              <w:keepNext/>
              <w:keepLines/>
              <w:spacing w:after="0" w:line="240" w:lineRule="auto"/>
              <w:rPr>
                <w:sz w:val="16"/>
                <w:szCs w:val="16"/>
                <w:lang w:bidi="he-IL"/>
              </w:rPr>
            </w:pPr>
          </w:p>
        </w:tc>
      </w:tr>
      <w:tr w:rsidR="00BA0B8B" w:rsidRPr="00C97518" w14:paraId="0591D757" w14:textId="77777777" w:rsidTr="0027403F">
        <w:tc>
          <w:tcPr>
            <w:tcW w:w="1235" w:type="dxa"/>
          </w:tcPr>
          <w:p w14:paraId="055E7A3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1980–2010</w:t>
            </w:r>
          </w:p>
        </w:tc>
        <w:tc>
          <w:tcPr>
            <w:tcW w:w="1330" w:type="dxa"/>
            <w:tcBorders>
              <w:bottom w:val="single" w:sz="4" w:space="0" w:color="auto"/>
              <w:right w:val="nil"/>
            </w:tcBorders>
            <w:shd w:val="clear" w:color="auto" w:fill="FF5050"/>
          </w:tcPr>
          <w:p w14:paraId="148392BC"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FF5050"/>
          </w:tcPr>
          <w:p w14:paraId="16A0E85A"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FF5050"/>
          </w:tcPr>
          <w:p w14:paraId="35FE850F"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FF5050"/>
          </w:tcPr>
          <w:p w14:paraId="00436B6B"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FF5050"/>
          </w:tcPr>
          <w:p w14:paraId="357C889E" w14:textId="77777777" w:rsidR="00BA0B8B" w:rsidRPr="00C97518" w:rsidRDefault="00BA0B8B" w:rsidP="00BA0B8B">
            <w:pPr>
              <w:keepNext/>
              <w:keepLines/>
              <w:spacing w:after="0" w:line="240" w:lineRule="auto"/>
              <w:rPr>
                <w:sz w:val="16"/>
                <w:szCs w:val="16"/>
                <w:lang w:bidi="he-IL"/>
              </w:rPr>
            </w:pPr>
          </w:p>
        </w:tc>
      </w:tr>
      <w:tr w:rsidR="00BA0B8B" w:rsidRPr="00C97518" w14:paraId="0244439A" w14:textId="77777777" w:rsidTr="0027403F">
        <w:tc>
          <w:tcPr>
            <w:tcW w:w="1235" w:type="dxa"/>
          </w:tcPr>
          <w:p w14:paraId="46FEE07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2010–2025</w:t>
            </w:r>
          </w:p>
        </w:tc>
        <w:tc>
          <w:tcPr>
            <w:tcW w:w="1330" w:type="dxa"/>
            <w:tcBorders>
              <w:bottom w:val="single" w:sz="4" w:space="0" w:color="auto"/>
              <w:right w:val="nil"/>
            </w:tcBorders>
            <w:shd w:val="clear" w:color="auto" w:fill="00B0F0"/>
          </w:tcPr>
          <w:p w14:paraId="3AF660D1"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00B0F0"/>
          </w:tcPr>
          <w:p w14:paraId="18ED0A1E"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00B0F0"/>
          </w:tcPr>
          <w:p w14:paraId="58A9F2B8"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00B0F0"/>
          </w:tcPr>
          <w:p w14:paraId="0AD1642C"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00B0F0"/>
          </w:tcPr>
          <w:p w14:paraId="1DFCB1F8" w14:textId="77777777" w:rsidR="00BA0B8B" w:rsidRPr="00C97518" w:rsidRDefault="00BA0B8B" w:rsidP="00BA0B8B">
            <w:pPr>
              <w:keepNext/>
              <w:keepLines/>
              <w:spacing w:after="0" w:line="240" w:lineRule="auto"/>
              <w:rPr>
                <w:sz w:val="16"/>
                <w:szCs w:val="16"/>
                <w:lang w:bidi="he-IL"/>
              </w:rPr>
            </w:pPr>
          </w:p>
        </w:tc>
      </w:tr>
      <w:tr w:rsidR="00BA0B8B" w:rsidRPr="00C97518" w14:paraId="224CEC2F" w14:textId="77777777" w:rsidTr="0027403F">
        <w:tc>
          <w:tcPr>
            <w:tcW w:w="1235" w:type="dxa"/>
          </w:tcPr>
          <w:p w14:paraId="0FE20985"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2025–2110</w:t>
            </w:r>
          </w:p>
        </w:tc>
        <w:tc>
          <w:tcPr>
            <w:tcW w:w="1330" w:type="dxa"/>
            <w:tcBorders>
              <w:bottom w:val="single" w:sz="4" w:space="0" w:color="auto"/>
              <w:right w:val="nil"/>
            </w:tcBorders>
            <w:shd w:val="clear" w:color="auto" w:fill="BFBFBF" w:themeFill="background1" w:themeFillShade="BF"/>
          </w:tcPr>
          <w:p w14:paraId="6D93EAFD"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BFBFBF" w:themeFill="background1" w:themeFillShade="BF"/>
          </w:tcPr>
          <w:p w14:paraId="5EAADB2D"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BFBFBF" w:themeFill="background1" w:themeFillShade="BF"/>
          </w:tcPr>
          <w:p w14:paraId="5BA74382"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BFBFBF" w:themeFill="background1" w:themeFillShade="BF"/>
          </w:tcPr>
          <w:p w14:paraId="3AD5BD3A"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BFBFBF" w:themeFill="background1" w:themeFillShade="BF"/>
          </w:tcPr>
          <w:p w14:paraId="34C91C3C" w14:textId="77777777" w:rsidR="00BA0B8B" w:rsidRPr="00C97518" w:rsidRDefault="00BA0B8B" w:rsidP="00BA0B8B">
            <w:pPr>
              <w:keepNext/>
              <w:keepLines/>
              <w:spacing w:after="0" w:line="240" w:lineRule="auto"/>
              <w:rPr>
                <w:sz w:val="16"/>
                <w:szCs w:val="16"/>
                <w:lang w:bidi="he-IL"/>
              </w:rPr>
            </w:pPr>
          </w:p>
        </w:tc>
      </w:tr>
      <w:tr w:rsidR="00BA0B8B" w:rsidRPr="00C97518" w14:paraId="14B659D9" w14:textId="77777777" w:rsidTr="0027403F">
        <w:tc>
          <w:tcPr>
            <w:tcW w:w="1235" w:type="dxa"/>
          </w:tcPr>
          <w:p w14:paraId="7C0D9E5D"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2110–2120</w:t>
            </w:r>
          </w:p>
        </w:tc>
        <w:tc>
          <w:tcPr>
            <w:tcW w:w="1330" w:type="dxa"/>
            <w:tcBorders>
              <w:bottom w:val="nil"/>
              <w:right w:val="nil"/>
            </w:tcBorders>
            <w:shd w:val="clear" w:color="auto" w:fill="FFFF00"/>
          </w:tcPr>
          <w:p w14:paraId="31814714"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47909651" w14:textId="77777777" w:rsidR="00BA0B8B" w:rsidRPr="00C97518" w:rsidRDefault="00BA0B8B" w:rsidP="00BA0B8B">
            <w:pPr>
              <w:keepNext/>
              <w:keepLines/>
              <w:spacing w:after="0" w:line="240" w:lineRule="auto"/>
              <w:rPr>
                <w:sz w:val="16"/>
                <w:szCs w:val="16"/>
                <w:lang w:bidi="he-IL"/>
              </w:rPr>
            </w:pPr>
          </w:p>
        </w:tc>
        <w:tc>
          <w:tcPr>
            <w:tcW w:w="1292" w:type="dxa"/>
            <w:gridSpan w:val="2"/>
            <w:tcBorders>
              <w:bottom w:val="nil"/>
              <w:right w:val="single" w:sz="4" w:space="0" w:color="auto"/>
            </w:tcBorders>
            <w:shd w:val="clear" w:color="auto" w:fill="00B050"/>
          </w:tcPr>
          <w:p w14:paraId="10E38948" w14:textId="77777777" w:rsidR="00BA0B8B" w:rsidRPr="00C97518" w:rsidRDefault="00BA0B8B" w:rsidP="00BA0B8B">
            <w:pPr>
              <w:keepNext/>
              <w:keepLines/>
              <w:spacing w:after="0" w:line="240" w:lineRule="auto"/>
              <w:rPr>
                <w:sz w:val="16"/>
                <w:szCs w:val="16"/>
                <w:lang w:bidi="he-IL"/>
              </w:rPr>
            </w:pPr>
          </w:p>
        </w:tc>
        <w:tc>
          <w:tcPr>
            <w:tcW w:w="1278" w:type="dxa"/>
            <w:tcBorders>
              <w:left w:val="single" w:sz="4" w:space="0" w:color="auto"/>
              <w:bottom w:val="nil"/>
              <w:right w:val="nil"/>
            </w:tcBorders>
            <w:shd w:val="clear" w:color="auto" w:fill="99FF66"/>
          </w:tcPr>
          <w:p w14:paraId="04163932"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nil"/>
            </w:tcBorders>
            <w:shd w:val="clear" w:color="auto" w:fill="99FF66"/>
          </w:tcPr>
          <w:p w14:paraId="639CE2D1" w14:textId="77777777" w:rsidR="00BA0B8B" w:rsidRPr="00C97518" w:rsidRDefault="00BA0B8B" w:rsidP="00BA0B8B">
            <w:pPr>
              <w:keepNext/>
              <w:keepLines/>
              <w:spacing w:after="0" w:line="240" w:lineRule="auto"/>
              <w:rPr>
                <w:sz w:val="16"/>
                <w:szCs w:val="16"/>
                <w:lang w:bidi="he-IL"/>
              </w:rPr>
            </w:pPr>
          </w:p>
        </w:tc>
      </w:tr>
      <w:tr w:rsidR="00BA0B8B" w:rsidRPr="00C97518" w14:paraId="26D469E1" w14:textId="77777777" w:rsidTr="0027403F">
        <w:tc>
          <w:tcPr>
            <w:tcW w:w="1235" w:type="dxa"/>
          </w:tcPr>
          <w:p w14:paraId="32A19F37"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2120–2125</w:t>
            </w:r>
          </w:p>
        </w:tc>
        <w:tc>
          <w:tcPr>
            <w:tcW w:w="1330" w:type="dxa"/>
            <w:tcBorders>
              <w:top w:val="nil"/>
              <w:bottom w:val="nil"/>
            </w:tcBorders>
            <w:shd w:val="clear" w:color="auto" w:fill="FFFF00"/>
          </w:tcPr>
          <w:p w14:paraId="7D65E275" w14:textId="77777777" w:rsidR="00BA0B8B" w:rsidRPr="00C97518" w:rsidRDefault="00BA0B8B" w:rsidP="00BA0B8B">
            <w:pPr>
              <w:keepNext/>
              <w:keepLines/>
              <w:spacing w:after="0" w:line="240" w:lineRule="auto"/>
              <w:rPr>
                <w:sz w:val="16"/>
                <w:szCs w:val="16"/>
                <w:lang w:bidi="he-IL"/>
              </w:rPr>
            </w:pPr>
          </w:p>
        </w:tc>
        <w:tc>
          <w:tcPr>
            <w:tcW w:w="1278" w:type="dxa"/>
            <w:tcBorders>
              <w:bottom w:val="single" w:sz="4" w:space="0" w:color="auto"/>
              <w:right w:val="nil"/>
            </w:tcBorders>
            <w:shd w:val="clear" w:color="auto" w:fill="00B050"/>
          </w:tcPr>
          <w:p w14:paraId="48ADAEC5"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single" w:sz="4" w:space="0" w:color="auto"/>
            </w:tcBorders>
            <w:shd w:val="clear" w:color="auto" w:fill="00B050"/>
          </w:tcPr>
          <w:p w14:paraId="4A16969B"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single" w:sz="4" w:space="0" w:color="auto"/>
              <w:bottom w:val="nil"/>
              <w:right w:val="nil"/>
            </w:tcBorders>
            <w:shd w:val="clear" w:color="auto" w:fill="99FF66"/>
          </w:tcPr>
          <w:p w14:paraId="5F9C8662"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12DC41C9" w14:textId="77777777" w:rsidR="00BA0B8B" w:rsidRPr="00C97518" w:rsidRDefault="00BA0B8B" w:rsidP="00BA0B8B">
            <w:pPr>
              <w:keepNext/>
              <w:keepLines/>
              <w:spacing w:after="0" w:line="240" w:lineRule="auto"/>
              <w:rPr>
                <w:sz w:val="16"/>
                <w:szCs w:val="16"/>
                <w:lang w:bidi="he-IL"/>
              </w:rPr>
            </w:pPr>
          </w:p>
        </w:tc>
      </w:tr>
      <w:tr w:rsidR="00BA0B8B" w:rsidRPr="00C97518" w14:paraId="30B0BA77" w14:textId="77777777" w:rsidTr="0027403F">
        <w:tc>
          <w:tcPr>
            <w:tcW w:w="1235" w:type="dxa"/>
          </w:tcPr>
          <w:p w14:paraId="3DEE9682"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2125–2150</w:t>
            </w:r>
          </w:p>
        </w:tc>
        <w:tc>
          <w:tcPr>
            <w:tcW w:w="1330" w:type="dxa"/>
            <w:tcBorders>
              <w:top w:val="nil"/>
              <w:bottom w:val="nil"/>
              <w:right w:val="nil"/>
            </w:tcBorders>
            <w:shd w:val="clear" w:color="auto" w:fill="FFFF00"/>
          </w:tcPr>
          <w:p w14:paraId="0510D4CB"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nil"/>
              <w:right w:val="nil"/>
            </w:tcBorders>
            <w:shd w:val="clear" w:color="auto" w:fill="FFFF00"/>
          </w:tcPr>
          <w:p w14:paraId="71C021DF"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nil"/>
            </w:tcBorders>
            <w:shd w:val="clear" w:color="auto" w:fill="FFFF00"/>
          </w:tcPr>
          <w:p w14:paraId="72E055B4" w14:textId="77777777" w:rsidR="00BA0B8B" w:rsidRPr="00C97518" w:rsidRDefault="00BA0B8B" w:rsidP="00BA0B8B">
            <w:pPr>
              <w:keepNext/>
              <w:keepLines/>
              <w:spacing w:after="0" w:line="240" w:lineRule="auto"/>
              <w:rPr>
                <w:sz w:val="16"/>
                <w:szCs w:val="16"/>
                <w:lang w:bidi="he-IL"/>
              </w:rPr>
            </w:pPr>
          </w:p>
        </w:tc>
        <w:tc>
          <w:tcPr>
            <w:tcW w:w="1278" w:type="dxa"/>
            <w:tcBorders>
              <w:top w:val="nil"/>
              <w:bottom w:val="single" w:sz="4" w:space="0" w:color="auto"/>
              <w:right w:val="nil"/>
            </w:tcBorders>
            <w:shd w:val="clear" w:color="auto" w:fill="99FF66"/>
          </w:tcPr>
          <w:p w14:paraId="2344D799"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230FD024" w14:textId="77777777" w:rsidR="00BA0B8B" w:rsidRPr="00C97518" w:rsidRDefault="00BA0B8B" w:rsidP="00BA0B8B">
            <w:pPr>
              <w:keepNext/>
              <w:keepLines/>
              <w:spacing w:after="0" w:line="240" w:lineRule="auto"/>
              <w:rPr>
                <w:sz w:val="16"/>
                <w:szCs w:val="16"/>
                <w:lang w:bidi="he-IL"/>
              </w:rPr>
            </w:pPr>
          </w:p>
        </w:tc>
      </w:tr>
      <w:tr w:rsidR="00BA0B8B" w:rsidRPr="00C97518" w14:paraId="66A6FDC4" w14:textId="77777777" w:rsidTr="0027403F">
        <w:tc>
          <w:tcPr>
            <w:tcW w:w="1235" w:type="dxa"/>
          </w:tcPr>
          <w:p w14:paraId="06EE225A"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2150–2170</w:t>
            </w:r>
          </w:p>
        </w:tc>
        <w:tc>
          <w:tcPr>
            <w:tcW w:w="1330" w:type="dxa"/>
            <w:tcBorders>
              <w:top w:val="nil"/>
              <w:bottom w:val="single" w:sz="4" w:space="0" w:color="auto"/>
              <w:right w:val="nil"/>
            </w:tcBorders>
            <w:shd w:val="clear" w:color="auto" w:fill="FFFF00"/>
          </w:tcPr>
          <w:p w14:paraId="78A8963B"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nil"/>
              <w:bottom w:val="single" w:sz="4" w:space="0" w:color="auto"/>
              <w:right w:val="nil"/>
            </w:tcBorders>
            <w:shd w:val="clear" w:color="auto" w:fill="FFFF00"/>
          </w:tcPr>
          <w:p w14:paraId="769856D5"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nil"/>
            </w:tcBorders>
            <w:shd w:val="clear" w:color="auto" w:fill="FFFF00"/>
          </w:tcPr>
          <w:p w14:paraId="4D481DE4"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62AF9F0C" w14:textId="77777777" w:rsidR="00BA0B8B" w:rsidRPr="00C97518" w:rsidRDefault="00BA0B8B" w:rsidP="00BA0B8B">
            <w:pPr>
              <w:keepNext/>
              <w:keepLines/>
              <w:spacing w:after="0" w:line="240" w:lineRule="auto"/>
              <w:rPr>
                <w:sz w:val="16"/>
                <w:szCs w:val="16"/>
                <w:lang w:bidi="he-IL"/>
              </w:rPr>
            </w:pPr>
          </w:p>
        </w:tc>
        <w:tc>
          <w:tcPr>
            <w:tcW w:w="1248" w:type="dxa"/>
            <w:tcBorders>
              <w:top w:val="nil"/>
              <w:bottom w:val="single" w:sz="4" w:space="0" w:color="auto"/>
            </w:tcBorders>
            <w:shd w:val="clear" w:color="auto" w:fill="99FF66"/>
          </w:tcPr>
          <w:p w14:paraId="06758CCB" w14:textId="77777777" w:rsidR="00BA0B8B" w:rsidRPr="00C97518" w:rsidRDefault="00BA0B8B" w:rsidP="00BA0B8B">
            <w:pPr>
              <w:keepNext/>
              <w:keepLines/>
              <w:spacing w:after="0" w:line="240" w:lineRule="auto"/>
              <w:rPr>
                <w:sz w:val="16"/>
                <w:szCs w:val="16"/>
                <w:lang w:bidi="he-IL"/>
              </w:rPr>
            </w:pPr>
          </w:p>
        </w:tc>
      </w:tr>
      <w:tr w:rsidR="00BA0B8B" w:rsidRPr="00C97518" w14:paraId="7104C15B" w14:textId="77777777" w:rsidTr="0027403F">
        <w:tc>
          <w:tcPr>
            <w:tcW w:w="1235" w:type="dxa"/>
          </w:tcPr>
          <w:p w14:paraId="2F6246FC"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2170–2200</w:t>
            </w:r>
          </w:p>
        </w:tc>
        <w:tc>
          <w:tcPr>
            <w:tcW w:w="1330" w:type="dxa"/>
            <w:tcBorders>
              <w:right w:val="nil"/>
            </w:tcBorders>
            <w:shd w:val="clear" w:color="auto" w:fill="FF5050"/>
          </w:tcPr>
          <w:p w14:paraId="6849F1E8" w14:textId="77777777" w:rsidR="00BA0B8B" w:rsidRPr="00C97518" w:rsidRDefault="00BA0B8B" w:rsidP="00BA0B8B">
            <w:pPr>
              <w:keepNext/>
              <w:keepLines/>
              <w:spacing w:after="0" w:line="240" w:lineRule="auto"/>
              <w:rPr>
                <w:sz w:val="16"/>
                <w:szCs w:val="16"/>
                <w:lang w:bidi="he-IL"/>
              </w:rPr>
            </w:pPr>
          </w:p>
        </w:tc>
        <w:tc>
          <w:tcPr>
            <w:tcW w:w="1278" w:type="dxa"/>
            <w:tcBorders>
              <w:left w:val="nil"/>
              <w:right w:val="nil"/>
            </w:tcBorders>
            <w:shd w:val="clear" w:color="auto" w:fill="FF5050"/>
          </w:tcPr>
          <w:p w14:paraId="77D2529B"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right w:val="nil"/>
            </w:tcBorders>
            <w:shd w:val="clear" w:color="auto" w:fill="FF5050"/>
          </w:tcPr>
          <w:p w14:paraId="5AB7F1C7" w14:textId="77777777" w:rsidR="00BA0B8B" w:rsidRPr="00C97518" w:rsidRDefault="00BA0B8B" w:rsidP="00BA0B8B">
            <w:pPr>
              <w:keepNext/>
              <w:keepLines/>
              <w:spacing w:after="0" w:line="240" w:lineRule="auto"/>
              <w:rPr>
                <w:sz w:val="16"/>
                <w:szCs w:val="16"/>
                <w:lang w:bidi="he-IL"/>
              </w:rPr>
            </w:pPr>
          </w:p>
        </w:tc>
        <w:tc>
          <w:tcPr>
            <w:tcW w:w="1278" w:type="dxa"/>
            <w:tcBorders>
              <w:left w:val="nil"/>
              <w:right w:val="nil"/>
            </w:tcBorders>
            <w:shd w:val="clear" w:color="auto" w:fill="FF5050"/>
          </w:tcPr>
          <w:p w14:paraId="5DC347AB" w14:textId="77777777" w:rsidR="00BA0B8B" w:rsidRPr="00C97518" w:rsidRDefault="00BA0B8B" w:rsidP="00BA0B8B">
            <w:pPr>
              <w:keepNext/>
              <w:keepLines/>
              <w:spacing w:after="0" w:line="240" w:lineRule="auto"/>
              <w:rPr>
                <w:sz w:val="16"/>
                <w:szCs w:val="16"/>
                <w:lang w:bidi="he-IL"/>
              </w:rPr>
            </w:pPr>
          </w:p>
        </w:tc>
        <w:tc>
          <w:tcPr>
            <w:tcW w:w="1248" w:type="dxa"/>
            <w:tcBorders>
              <w:left w:val="nil"/>
            </w:tcBorders>
            <w:shd w:val="clear" w:color="auto" w:fill="FF5050"/>
          </w:tcPr>
          <w:p w14:paraId="27A145F0" w14:textId="77777777" w:rsidR="00BA0B8B" w:rsidRPr="00C97518" w:rsidRDefault="00BA0B8B" w:rsidP="00BA0B8B">
            <w:pPr>
              <w:keepNext/>
              <w:keepLines/>
              <w:spacing w:after="0" w:line="240" w:lineRule="auto"/>
              <w:rPr>
                <w:sz w:val="16"/>
                <w:szCs w:val="16"/>
                <w:lang w:bidi="he-IL"/>
              </w:rPr>
            </w:pPr>
          </w:p>
        </w:tc>
      </w:tr>
    </w:tbl>
    <w:p w14:paraId="5E7AB099" w14:textId="77777777" w:rsidR="00BA0B8B" w:rsidRPr="00C97518" w:rsidRDefault="00BA0B8B" w:rsidP="0027403F">
      <w:pPr>
        <w:keepNext/>
        <w:keepLines/>
        <w:spacing w:before="240" w:after="120" w:line="240" w:lineRule="auto"/>
        <w:rPr>
          <w:b/>
          <w:szCs w:val="20"/>
          <w:lang w:eastAsia="en-US" w:bidi="he-IL"/>
        </w:rPr>
      </w:pPr>
      <w:r w:rsidRPr="00C97518">
        <w:rPr>
          <w:b/>
          <w:szCs w:val="20"/>
          <w:lang w:eastAsia="en-US" w:bidi="he-IL"/>
        </w:rPr>
        <w:t>Key:</w:t>
      </w:r>
    </w:p>
    <w:tbl>
      <w:tblPr>
        <w:tblStyle w:val="TableGrid3"/>
        <w:tblW w:w="0" w:type="auto"/>
        <w:tblInd w:w="-10" w:type="dxa"/>
        <w:tblCellMar>
          <w:top w:w="57" w:type="dxa"/>
          <w:bottom w:w="57" w:type="dxa"/>
        </w:tblCellMar>
        <w:tblLook w:val="04A0" w:firstRow="1" w:lastRow="0" w:firstColumn="1" w:lastColumn="0" w:noHBand="0" w:noVBand="1"/>
        <w:tblDescription w:val="key to figure."/>
      </w:tblPr>
      <w:tblGrid>
        <w:gridCol w:w="279"/>
        <w:gridCol w:w="283"/>
        <w:gridCol w:w="7098"/>
      </w:tblGrid>
      <w:tr w:rsidR="00C706DA" w:rsidRPr="00C97518" w14:paraId="22CA1E0E" w14:textId="77777777" w:rsidTr="0027403F">
        <w:trPr>
          <w:tblHeader/>
        </w:trPr>
        <w:tc>
          <w:tcPr>
            <w:tcW w:w="279" w:type="dxa"/>
            <w:tcBorders>
              <w:bottom w:val="single" w:sz="4" w:space="0" w:color="auto"/>
              <w:right w:val="single" w:sz="4" w:space="0" w:color="auto"/>
            </w:tcBorders>
            <w:shd w:val="clear" w:color="auto" w:fill="632423" w:themeFill="accent2" w:themeFillShade="80"/>
          </w:tcPr>
          <w:p w14:paraId="2E159104" w14:textId="77777777" w:rsidR="00C706DA" w:rsidRPr="00C97518" w:rsidRDefault="00C706DA" w:rsidP="00BA0B8B">
            <w:pPr>
              <w:keepNext/>
              <w:keepLines/>
              <w:spacing w:after="0" w:line="240" w:lineRule="auto"/>
              <w:rPr>
                <w:lang w:bidi="he-IL"/>
              </w:rPr>
            </w:pPr>
          </w:p>
        </w:tc>
        <w:tc>
          <w:tcPr>
            <w:tcW w:w="283" w:type="dxa"/>
            <w:tcBorders>
              <w:top w:val="nil"/>
              <w:left w:val="single" w:sz="4" w:space="0" w:color="auto"/>
              <w:bottom w:val="nil"/>
              <w:right w:val="nil"/>
            </w:tcBorders>
          </w:tcPr>
          <w:p w14:paraId="0C6919ED" w14:textId="77777777" w:rsidR="00C706DA" w:rsidRPr="00C97518" w:rsidRDefault="00C706DA" w:rsidP="00BA0B8B">
            <w:pPr>
              <w:keepNext/>
              <w:keepLines/>
              <w:spacing w:after="0" w:line="240" w:lineRule="auto"/>
              <w:rPr>
                <w:lang w:bidi="he-IL"/>
              </w:rPr>
            </w:pPr>
          </w:p>
        </w:tc>
        <w:tc>
          <w:tcPr>
            <w:tcW w:w="7098" w:type="dxa"/>
            <w:tcBorders>
              <w:top w:val="nil"/>
              <w:left w:val="nil"/>
              <w:bottom w:val="nil"/>
              <w:right w:val="nil"/>
            </w:tcBorders>
          </w:tcPr>
          <w:p w14:paraId="371459E9" w14:textId="4E99B655" w:rsidR="00C706DA" w:rsidRPr="00C97518" w:rsidRDefault="00C706DA" w:rsidP="00BA0B8B">
            <w:pPr>
              <w:keepNext/>
              <w:keepLines/>
              <w:spacing w:after="0" w:line="240" w:lineRule="auto"/>
              <w:rPr>
                <w:lang w:bidi="he-IL"/>
              </w:rPr>
            </w:pPr>
            <w:r w:rsidRPr="00C97518">
              <w:rPr>
                <w:lang w:bidi="he-IL"/>
              </w:rPr>
              <w:t xml:space="preserve">Spectrum </w:t>
            </w:r>
            <w:r w:rsidR="009B5964" w:rsidRPr="00C97518">
              <w:rPr>
                <w:lang w:bidi="he-IL"/>
              </w:rPr>
              <w:t>l</w:t>
            </w:r>
            <w:r w:rsidRPr="00C97518">
              <w:rPr>
                <w:lang w:bidi="he-IL"/>
              </w:rPr>
              <w:t>icence: 2 GHz unpaired segment</w:t>
            </w:r>
          </w:p>
        </w:tc>
      </w:tr>
      <w:tr w:rsidR="00BA0B8B" w:rsidRPr="00C97518" w14:paraId="350F06AF" w14:textId="77777777" w:rsidTr="0027403F">
        <w:tc>
          <w:tcPr>
            <w:tcW w:w="279" w:type="dxa"/>
            <w:tcBorders>
              <w:bottom w:val="single" w:sz="4" w:space="0" w:color="auto"/>
              <w:right w:val="single" w:sz="4" w:space="0" w:color="auto"/>
            </w:tcBorders>
            <w:shd w:val="clear" w:color="auto" w:fill="FF66FF"/>
          </w:tcPr>
          <w:p w14:paraId="23D5D731"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5DAD4512"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5B3FAE4F" w14:textId="2B73EE64"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Point-to-point, </w:t>
            </w:r>
            <w:r w:rsidR="00E75F2B" w:rsidRPr="00C97518">
              <w:rPr>
                <w:lang w:bidi="he-IL"/>
              </w:rPr>
              <w:t>p</w:t>
            </w:r>
            <w:r w:rsidRPr="00C97518">
              <w:rPr>
                <w:lang w:bidi="he-IL"/>
              </w:rPr>
              <w:t>oint-to-multipoint (</w:t>
            </w:r>
            <w:r w:rsidR="00564E62" w:rsidRPr="00C97518">
              <w:rPr>
                <w:lang w:bidi="he-IL"/>
              </w:rPr>
              <w:t>Broadband wireless access (</w:t>
            </w:r>
            <w:r w:rsidRPr="00C97518">
              <w:rPr>
                <w:lang w:bidi="he-IL"/>
              </w:rPr>
              <w:t>BWA</w:t>
            </w:r>
            <w:r w:rsidR="00564E62" w:rsidRPr="00C97518">
              <w:rPr>
                <w:lang w:bidi="he-IL"/>
              </w:rPr>
              <w:t>)</w:t>
            </w:r>
            <w:r w:rsidRPr="00C97518">
              <w:rPr>
                <w:lang w:bidi="he-IL"/>
              </w:rPr>
              <w:t>)</w:t>
            </w:r>
          </w:p>
        </w:tc>
      </w:tr>
      <w:tr w:rsidR="00BA0B8B" w:rsidRPr="00C97518" w14:paraId="1208F4BD" w14:textId="77777777" w:rsidTr="0027403F">
        <w:tc>
          <w:tcPr>
            <w:tcW w:w="279" w:type="dxa"/>
            <w:tcBorders>
              <w:right w:val="single" w:sz="4" w:space="0" w:color="auto"/>
            </w:tcBorders>
            <w:shd w:val="clear" w:color="auto" w:fill="FFFF00"/>
          </w:tcPr>
          <w:p w14:paraId="1C803654"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7DB0E451"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0633F349" w14:textId="41C2B22A" w:rsidR="00BA0B8B" w:rsidRPr="00C97518" w:rsidRDefault="00BA0B8B" w:rsidP="00BA0B8B">
            <w:pPr>
              <w:keepNext/>
              <w:keepLines/>
              <w:spacing w:after="0" w:line="240" w:lineRule="auto"/>
              <w:rPr>
                <w:lang w:bidi="he-IL"/>
              </w:rPr>
            </w:pPr>
            <w:r w:rsidRPr="00C97518">
              <w:rPr>
                <w:lang w:bidi="he-IL"/>
              </w:rPr>
              <w:t xml:space="preserve">Spectrum </w:t>
            </w:r>
            <w:r w:rsidR="009B5964" w:rsidRPr="00C97518">
              <w:rPr>
                <w:lang w:bidi="he-IL"/>
              </w:rPr>
              <w:t>l</w:t>
            </w:r>
            <w:r w:rsidRPr="00C97518">
              <w:rPr>
                <w:lang w:bidi="he-IL"/>
              </w:rPr>
              <w:t>icenced: 2 GHz</w:t>
            </w:r>
            <w:r w:rsidR="00C706DA" w:rsidRPr="00C97518">
              <w:rPr>
                <w:lang w:bidi="he-IL"/>
              </w:rPr>
              <w:t xml:space="preserve"> paired segment</w:t>
            </w:r>
          </w:p>
        </w:tc>
      </w:tr>
      <w:tr w:rsidR="00E43CDB" w:rsidRPr="00C97518" w14:paraId="29DDE18B" w14:textId="77777777" w:rsidTr="0027403F">
        <w:tc>
          <w:tcPr>
            <w:tcW w:w="279" w:type="dxa"/>
            <w:tcBorders>
              <w:right w:val="single" w:sz="4" w:space="0" w:color="auto"/>
            </w:tcBorders>
            <w:shd w:val="clear" w:color="auto" w:fill="00B050"/>
          </w:tcPr>
          <w:p w14:paraId="09A5D949" w14:textId="77777777" w:rsidR="00E43CDB" w:rsidRPr="00C97518" w:rsidRDefault="00E43CDB" w:rsidP="00BA0B8B">
            <w:pPr>
              <w:keepNext/>
              <w:keepLines/>
              <w:spacing w:after="0" w:line="240" w:lineRule="auto"/>
              <w:rPr>
                <w:lang w:bidi="he-IL"/>
              </w:rPr>
            </w:pPr>
          </w:p>
        </w:tc>
        <w:tc>
          <w:tcPr>
            <w:tcW w:w="283" w:type="dxa"/>
            <w:tcBorders>
              <w:top w:val="nil"/>
              <w:left w:val="single" w:sz="4" w:space="0" w:color="auto"/>
              <w:bottom w:val="nil"/>
              <w:right w:val="nil"/>
            </w:tcBorders>
          </w:tcPr>
          <w:p w14:paraId="3A8D795F" w14:textId="77777777" w:rsidR="00E43CDB" w:rsidRPr="00C97518" w:rsidRDefault="00E43CDB" w:rsidP="00BA0B8B">
            <w:pPr>
              <w:keepNext/>
              <w:keepLines/>
              <w:spacing w:after="0" w:line="240" w:lineRule="auto"/>
              <w:rPr>
                <w:lang w:bidi="he-IL"/>
              </w:rPr>
            </w:pPr>
          </w:p>
        </w:tc>
        <w:tc>
          <w:tcPr>
            <w:tcW w:w="7098" w:type="dxa"/>
            <w:tcBorders>
              <w:top w:val="nil"/>
              <w:left w:val="nil"/>
              <w:bottom w:val="nil"/>
              <w:right w:val="nil"/>
            </w:tcBorders>
          </w:tcPr>
          <w:p w14:paraId="6075FFA9" w14:textId="7D3CB148" w:rsidR="00E43CDB" w:rsidRPr="00C97518" w:rsidRDefault="00E43CD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icenced: Embargoed</w:t>
            </w:r>
          </w:p>
        </w:tc>
      </w:tr>
      <w:tr w:rsidR="00BA0B8B" w:rsidRPr="00C97518" w14:paraId="1538FFB9" w14:textId="77777777" w:rsidTr="0027403F">
        <w:tc>
          <w:tcPr>
            <w:tcW w:w="279" w:type="dxa"/>
            <w:tcBorders>
              <w:right w:val="single" w:sz="4" w:space="0" w:color="auto"/>
            </w:tcBorders>
            <w:shd w:val="clear" w:color="auto" w:fill="99FF66"/>
          </w:tcPr>
          <w:p w14:paraId="7CA1B97E"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635617E0"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78DEC503" w14:textId="3C8BB002" w:rsidR="00BA0B8B" w:rsidRPr="00C97518" w:rsidRDefault="00BA0B8B" w:rsidP="007E48EF">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w:t>
            </w:r>
            <w:r w:rsidR="00564E62" w:rsidRPr="00C97518">
              <w:rPr>
                <w:lang w:bidi="he-IL"/>
              </w:rPr>
              <w:t xml:space="preserve">public mobile telecommunications service </w:t>
            </w:r>
            <w:r w:rsidR="007E48EF" w:rsidRPr="00C97518">
              <w:rPr>
                <w:lang w:bidi="he-IL"/>
              </w:rPr>
              <w:t>(</w:t>
            </w:r>
            <w:r w:rsidRPr="00C97518">
              <w:rPr>
                <w:lang w:bidi="he-IL"/>
              </w:rPr>
              <w:t>PMTS</w:t>
            </w:r>
            <w:r w:rsidR="007E48EF" w:rsidRPr="00C97518">
              <w:rPr>
                <w:lang w:bidi="he-IL"/>
              </w:rPr>
              <w:t>)</w:t>
            </w:r>
            <w:r w:rsidRPr="00C97518">
              <w:rPr>
                <w:lang w:bidi="he-IL"/>
              </w:rPr>
              <w:t xml:space="preserve"> Class B, </w:t>
            </w:r>
            <w:r w:rsidR="00E75F2B" w:rsidRPr="00C97518">
              <w:rPr>
                <w:lang w:bidi="he-IL"/>
              </w:rPr>
              <w:t>p</w:t>
            </w:r>
            <w:r w:rsidRPr="00C97518">
              <w:rPr>
                <w:lang w:bidi="he-IL"/>
              </w:rPr>
              <w:t xml:space="preserve">oint-to-point </w:t>
            </w:r>
          </w:p>
        </w:tc>
      </w:tr>
      <w:tr w:rsidR="00BA0B8B" w:rsidRPr="00C97518" w14:paraId="0DC04BE7" w14:textId="77777777" w:rsidTr="0027403F">
        <w:tc>
          <w:tcPr>
            <w:tcW w:w="279" w:type="dxa"/>
            <w:tcBorders>
              <w:right w:val="single" w:sz="4" w:space="0" w:color="auto"/>
            </w:tcBorders>
            <w:shd w:val="clear" w:color="auto" w:fill="FF5050"/>
          </w:tcPr>
          <w:p w14:paraId="46B72AF5"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7BF7CF2B"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6CD3A07A" w14:textId="297201B1"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w:t>
            </w:r>
            <w:r w:rsidR="007E48EF" w:rsidRPr="00C97518">
              <w:rPr>
                <w:lang w:bidi="he-IL"/>
              </w:rPr>
              <w:t>Television outside broadcast (</w:t>
            </w:r>
            <w:r w:rsidRPr="00C97518">
              <w:rPr>
                <w:lang w:bidi="he-IL"/>
              </w:rPr>
              <w:t>TVOB</w:t>
            </w:r>
            <w:r w:rsidR="007E48EF" w:rsidRPr="00C97518">
              <w:rPr>
                <w:lang w:bidi="he-IL"/>
              </w:rPr>
              <w:t>)</w:t>
            </w:r>
            <w:r w:rsidRPr="00C97518">
              <w:rPr>
                <w:lang w:bidi="he-IL"/>
              </w:rPr>
              <w:t xml:space="preserve"> (with some localized restrictions)</w:t>
            </w:r>
          </w:p>
        </w:tc>
      </w:tr>
      <w:tr w:rsidR="00BA0B8B" w:rsidRPr="00C97518" w14:paraId="47827F58" w14:textId="77777777" w:rsidTr="0027403F">
        <w:tc>
          <w:tcPr>
            <w:tcW w:w="279" w:type="dxa"/>
            <w:tcBorders>
              <w:right w:val="single" w:sz="4" w:space="0" w:color="auto"/>
            </w:tcBorders>
            <w:shd w:val="clear" w:color="auto" w:fill="00B0F0"/>
          </w:tcPr>
          <w:p w14:paraId="252C9FD5"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3BFC69B9"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5D70B2A6" w14:textId="252AFE44"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TVOB (with some localized restrictions), </w:t>
            </w:r>
            <w:r w:rsidR="00E75F2B" w:rsidRPr="00C97518">
              <w:rPr>
                <w:lang w:bidi="he-IL"/>
              </w:rPr>
              <w:t>p</w:t>
            </w:r>
            <w:r w:rsidRPr="00C97518">
              <w:rPr>
                <w:lang w:bidi="he-IL"/>
              </w:rPr>
              <w:t>oint-to-point</w:t>
            </w:r>
          </w:p>
        </w:tc>
      </w:tr>
      <w:tr w:rsidR="00BA0B8B" w:rsidRPr="00C97518" w14:paraId="6D4456D9" w14:textId="77777777" w:rsidTr="0027403F">
        <w:trPr>
          <w:trHeight w:val="270"/>
        </w:trPr>
        <w:tc>
          <w:tcPr>
            <w:tcW w:w="279" w:type="dxa"/>
            <w:tcBorders>
              <w:bottom w:val="single" w:sz="4" w:space="0" w:color="auto"/>
              <w:right w:val="single" w:sz="4" w:space="0" w:color="auto"/>
            </w:tcBorders>
            <w:shd w:val="clear" w:color="auto" w:fill="BFBFBF" w:themeFill="background1" w:themeFillShade="BF"/>
          </w:tcPr>
          <w:p w14:paraId="745C222A" w14:textId="77777777" w:rsidR="00BA0B8B" w:rsidRPr="00C97518" w:rsidRDefault="00BA0B8B" w:rsidP="00BA0B8B">
            <w:pPr>
              <w:keepNext/>
              <w:keepLines/>
              <w:spacing w:after="0" w:line="240" w:lineRule="auto"/>
              <w:rPr>
                <w:lang w:bidi="he-IL"/>
              </w:rPr>
            </w:pPr>
          </w:p>
        </w:tc>
        <w:tc>
          <w:tcPr>
            <w:tcW w:w="283" w:type="dxa"/>
            <w:vMerge w:val="restart"/>
            <w:tcBorders>
              <w:top w:val="nil"/>
              <w:left w:val="single" w:sz="4" w:space="0" w:color="auto"/>
              <w:right w:val="nil"/>
            </w:tcBorders>
          </w:tcPr>
          <w:p w14:paraId="0D97A53D" w14:textId="77777777" w:rsidR="00BA0B8B" w:rsidRPr="00C97518" w:rsidRDefault="00BA0B8B" w:rsidP="00BA0B8B">
            <w:pPr>
              <w:keepNext/>
              <w:keepLines/>
              <w:spacing w:after="0" w:line="240" w:lineRule="auto"/>
              <w:rPr>
                <w:lang w:bidi="he-IL"/>
              </w:rPr>
            </w:pPr>
          </w:p>
        </w:tc>
        <w:tc>
          <w:tcPr>
            <w:tcW w:w="7098" w:type="dxa"/>
            <w:vMerge w:val="restart"/>
            <w:tcBorders>
              <w:top w:val="nil"/>
              <w:left w:val="nil"/>
              <w:right w:val="nil"/>
            </w:tcBorders>
          </w:tcPr>
          <w:p w14:paraId="0DAAD1EE" w14:textId="56D23CC2"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Space </w:t>
            </w:r>
            <w:r w:rsidR="009B5964" w:rsidRPr="00C97518">
              <w:rPr>
                <w:lang w:bidi="he-IL"/>
              </w:rPr>
              <w:t>o</w:t>
            </w:r>
            <w:r w:rsidRPr="00C97518">
              <w:rPr>
                <w:lang w:bidi="he-IL"/>
              </w:rPr>
              <w:t xml:space="preserve">perations, Earth </w:t>
            </w:r>
            <w:r w:rsidR="009B5964" w:rsidRPr="00C97518">
              <w:rPr>
                <w:lang w:bidi="he-IL"/>
              </w:rPr>
              <w:t>e</w:t>
            </w:r>
            <w:r w:rsidRPr="00C97518">
              <w:rPr>
                <w:lang w:bidi="he-IL"/>
              </w:rPr>
              <w:t xml:space="preserve">xploration </w:t>
            </w:r>
            <w:r w:rsidR="009B5964" w:rsidRPr="00C97518">
              <w:rPr>
                <w:lang w:bidi="he-IL"/>
              </w:rPr>
              <w:t>s</w:t>
            </w:r>
            <w:r w:rsidRPr="00C97518">
              <w:rPr>
                <w:lang w:bidi="he-IL"/>
              </w:rPr>
              <w:t xml:space="preserve">atellite, </w:t>
            </w:r>
            <w:r w:rsidR="00E75F2B" w:rsidRPr="00C97518">
              <w:rPr>
                <w:lang w:bidi="he-IL"/>
              </w:rPr>
              <w:t>s</w:t>
            </w:r>
            <w:r w:rsidRPr="00C97518">
              <w:rPr>
                <w:lang w:bidi="he-IL"/>
              </w:rPr>
              <w:t xml:space="preserve">pace research, </w:t>
            </w:r>
            <w:r w:rsidR="00E75F2B" w:rsidRPr="00C97518">
              <w:rPr>
                <w:lang w:bidi="he-IL"/>
              </w:rPr>
              <w:t>p</w:t>
            </w:r>
            <w:r w:rsidRPr="00C97518">
              <w:rPr>
                <w:lang w:bidi="he-IL"/>
              </w:rPr>
              <w:t>oint-to-point, TVOB</w:t>
            </w:r>
          </w:p>
        </w:tc>
      </w:tr>
      <w:tr w:rsidR="00BA0B8B" w:rsidRPr="00C97518" w14:paraId="316B1A11" w14:textId="77777777" w:rsidTr="0027403F">
        <w:trPr>
          <w:trHeight w:val="270"/>
        </w:trPr>
        <w:tc>
          <w:tcPr>
            <w:tcW w:w="279" w:type="dxa"/>
            <w:tcBorders>
              <w:top w:val="single" w:sz="4" w:space="0" w:color="auto"/>
              <w:left w:val="nil"/>
              <w:bottom w:val="nil"/>
              <w:right w:val="nil"/>
            </w:tcBorders>
            <w:shd w:val="clear" w:color="auto" w:fill="auto"/>
          </w:tcPr>
          <w:p w14:paraId="71C4B64B" w14:textId="77777777" w:rsidR="00BA0B8B" w:rsidRPr="00C97518" w:rsidRDefault="00BA0B8B" w:rsidP="00BA0B8B">
            <w:pPr>
              <w:spacing w:after="0" w:line="240" w:lineRule="auto"/>
              <w:rPr>
                <w:lang w:bidi="he-IL"/>
              </w:rPr>
            </w:pPr>
          </w:p>
        </w:tc>
        <w:tc>
          <w:tcPr>
            <w:tcW w:w="283" w:type="dxa"/>
            <w:vMerge/>
            <w:tcBorders>
              <w:left w:val="nil"/>
              <w:bottom w:val="nil"/>
              <w:right w:val="nil"/>
            </w:tcBorders>
          </w:tcPr>
          <w:p w14:paraId="22925801" w14:textId="77777777" w:rsidR="00BA0B8B" w:rsidRPr="00C97518" w:rsidRDefault="00BA0B8B" w:rsidP="00BA0B8B">
            <w:pPr>
              <w:spacing w:after="0" w:line="240" w:lineRule="auto"/>
              <w:rPr>
                <w:lang w:bidi="he-IL"/>
              </w:rPr>
            </w:pPr>
          </w:p>
        </w:tc>
        <w:tc>
          <w:tcPr>
            <w:tcW w:w="7098" w:type="dxa"/>
            <w:vMerge/>
            <w:tcBorders>
              <w:left w:val="nil"/>
              <w:bottom w:val="nil"/>
              <w:right w:val="nil"/>
            </w:tcBorders>
          </w:tcPr>
          <w:p w14:paraId="6346E279" w14:textId="77777777" w:rsidR="00BA0B8B" w:rsidRPr="00C97518" w:rsidRDefault="00BA0B8B" w:rsidP="00BA0B8B">
            <w:pPr>
              <w:spacing w:after="0" w:line="240" w:lineRule="auto"/>
              <w:rPr>
                <w:lang w:bidi="he-IL"/>
              </w:rPr>
            </w:pPr>
          </w:p>
        </w:tc>
      </w:tr>
    </w:tbl>
    <w:p w14:paraId="07219C3A" w14:textId="77777777" w:rsidR="00BA0B8B" w:rsidRPr="00C97518" w:rsidRDefault="00BA0B8B" w:rsidP="00BA0B8B"/>
    <w:p w14:paraId="2763DBC6" w14:textId="65BC20B3" w:rsidR="006A5688" w:rsidRPr="00C97518" w:rsidRDefault="006A5688" w:rsidP="006A5688">
      <w:pPr>
        <w:pStyle w:val="Heading1"/>
      </w:pPr>
      <w:bookmarkStart w:id="47" w:name="_Toc444690631"/>
      <w:r w:rsidRPr="00C97518">
        <w:t>Attachment B—Proposed changes to the conditions of the 2 GHz spectrum licences</w:t>
      </w:r>
      <w:bookmarkEnd w:id="47"/>
    </w:p>
    <w:p w14:paraId="39E346CA" w14:textId="7C89133C" w:rsidR="00C629A8" w:rsidRPr="00C97518" w:rsidRDefault="009B7888" w:rsidP="009B7888">
      <w:pPr>
        <w:pStyle w:val="Heading2"/>
        <w:ind w:left="567" w:hanging="567"/>
      </w:pPr>
      <w:bookmarkStart w:id="48" w:name="_Toc437508115"/>
      <w:bookmarkStart w:id="49" w:name="_Toc437508420"/>
      <w:bookmarkStart w:id="50" w:name="_Toc437530154"/>
      <w:bookmarkStart w:id="51" w:name="_Toc444690632"/>
      <w:r w:rsidRPr="00C97518">
        <w:t>B1</w:t>
      </w:r>
      <w:r w:rsidRPr="00C97518">
        <w:tab/>
      </w:r>
      <w:r w:rsidR="006A6B0A" w:rsidRPr="00C97518">
        <w:rPr>
          <w:rFonts w:eastAsiaTheme="minorEastAsia"/>
          <w:szCs w:val="22"/>
          <w:lang w:eastAsia="en-US"/>
        </w:rPr>
        <w:t>Unwanted</w:t>
      </w:r>
      <w:r w:rsidRPr="00C97518">
        <w:rPr>
          <w:rFonts w:eastAsiaTheme="minorEastAsia"/>
          <w:szCs w:val="22"/>
          <w:lang w:eastAsia="en-US"/>
        </w:rPr>
        <w:t xml:space="preserve"> emission limits</w:t>
      </w:r>
      <w:bookmarkEnd w:id="48"/>
      <w:bookmarkEnd w:id="49"/>
      <w:bookmarkEnd w:id="50"/>
      <w:bookmarkEnd w:id="51"/>
    </w:p>
    <w:p w14:paraId="31B3E740" w14:textId="3DF243DF" w:rsidR="006A6B0A" w:rsidRPr="00C97518" w:rsidRDefault="006A6B0A" w:rsidP="0027403F">
      <w:r w:rsidRPr="00C97518">
        <w:t xml:space="preserve">It is proposed to define an ‘unwanted emission limit’ </w:t>
      </w:r>
      <w:r w:rsidR="00FB74D3" w:rsidRPr="00C97518">
        <w:t xml:space="preserve">(as a radiated emission limit) </w:t>
      </w:r>
      <w:r w:rsidRPr="00C97518">
        <w:t>rather than separate spurious and non-spurious radiated emission limits. This removes any confusion regarding overlap between the spurious and out-of-band domains. It also better accounts for the different frequency offsets that the spurious domain starts for devices such as UMTS and LTE user terminals</w:t>
      </w:r>
      <w:r w:rsidR="00FA661D">
        <w:t xml:space="preserve"> (UEs)</w:t>
      </w:r>
      <w:r w:rsidRPr="00C97518">
        <w:t xml:space="preserve">. For example the spurious domain starts at an offset of 25 MHz and </w:t>
      </w:r>
      <w:r w:rsidR="00FB74D3" w:rsidRPr="00C97518">
        <w:t>10</w:t>
      </w:r>
      <w:r w:rsidRPr="00C97518">
        <w:t xml:space="preserve"> MHz for </w:t>
      </w:r>
      <w:r w:rsidR="00FA661D">
        <w:t>U</w:t>
      </w:r>
      <w:r w:rsidRPr="00C97518">
        <w:t xml:space="preserve">E devices operating with a 20 MHz and </w:t>
      </w:r>
      <w:r w:rsidR="00FB74D3" w:rsidRPr="00C97518">
        <w:t>5</w:t>
      </w:r>
      <w:r w:rsidRPr="00C97518">
        <w:t xml:space="preserve"> MHz channel size respectively.</w:t>
      </w:r>
    </w:p>
    <w:p w14:paraId="5DBB3EDE" w14:textId="4E08F5B1" w:rsidR="006A6B0A" w:rsidRPr="00C97518" w:rsidRDefault="00FB74D3" w:rsidP="0027403F">
      <w:pPr>
        <w:rPr>
          <w:u w:val="single"/>
        </w:rPr>
      </w:pPr>
      <w:r w:rsidRPr="00C97518">
        <w:rPr>
          <w:u w:val="single"/>
        </w:rPr>
        <w:t>Unwanted Emission Limits within the 2110-2170 MHz band</w:t>
      </w:r>
    </w:p>
    <w:p w14:paraId="076DAED9" w14:textId="6B76C34E" w:rsidR="00C00817" w:rsidRPr="00C97518" w:rsidRDefault="002F6442" w:rsidP="0027403F">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w:t>
      </w:r>
      <w:r>
        <w:t>i</w:t>
      </w:r>
      <w:r w:rsidR="009B7888" w:rsidRPr="00C97518">
        <w:t xml:space="preserve">t is proposed </w:t>
      </w:r>
      <w:r w:rsidR="00665401" w:rsidRPr="00C97518">
        <w:t>that</w:t>
      </w:r>
      <w:r w:rsidR="009B7888" w:rsidRPr="00C97518">
        <w:t xml:space="preserve"> the r</w:t>
      </w:r>
      <w:r w:rsidR="009B7888" w:rsidRPr="00C97518">
        <w:rPr>
          <w:rFonts w:eastAsiaTheme="minorEastAsia"/>
          <w:szCs w:val="22"/>
          <w:lang w:eastAsia="en-US"/>
        </w:rPr>
        <w:t xml:space="preserve">adiated </w:t>
      </w:r>
      <w:r w:rsidR="00FB74D3" w:rsidRPr="00C97518">
        <w:rPr>
          <w:rFonts w:eastAsiaTheme="minorEastAsia"/>
          <w:szCs w:val="22"/>
          <w:lang w:eastAsia="en-US"/>
        </w:rPr>
        <w:t>unwanted</w:t>
      </w:r>
      <w:r w:rsidR="009B7888" w:rsidRPr="00C97518">
        <w:rPr>
          <w:rFonts w:eastAsiaTheme="minorEastAsia"/>
          <w:szCs w:val="22"/>
          <w:lang w:eastAsia="en-US"/>
        </w:rPr>
        <w:t xml:space="preserve"> emission limits </w:t>
      </w:r>
      <w:r w:rsidR="00FB74D3" w:rsidRPr="00C97518">
        <w:rPr>
          <w:rFonts w:eastAsiaTheme="minorEastAsia"/>
          <w:szCs w:val="22"/>
          <w:lang w:eastAsia="en-US"/>
        </w:rPr>
        <w:t>within</w:t>
      </w:r>
      <w:r w:rsidR="00AF4EC6" w:rsidRPr="00C97518">
        <w:rPr>
          <w:rFonts w:eastAsiaTheme="minorEastAsia"/>
          <w:szCs w:val="22"/>
          <w:lang w:eastAsia="en-US"/>
        </w:rPr>
        <w:t xml:space="preserve"> the 2110</w:t>
      </w:r>
      <w:r w:rsidR="00E75F2B" w:rsidRPr="00C97518">
        <w:rPr>
          <w:rFonts w:eastAsiaTheme="minorEastAsia"/>
          <w:szCs w:val="22"/>
          <w:lang w:eastAsia="en-US"/>
        </w:rPr>
        <w:t>–</w:t>
      </w:r>
      <w:r w:rsidR="00AF4EC6" w:rsidRPr="00C97518">
        <w:rPr>
          <w:rFonts w:eastAsiaTheme="minorEastAsia"/>
          <w:szCs w:val="22"/>
          <w:lang w:eastAsia="en-US"/>
        </w:rPr>
        <w:t xml:space="preserve">2170 MHz band </w:t>
      </w:r>
      <w:r w:rsidR="00C00817" w:rsidRPr="00C97518">
        <w:rPr>
          <w:rFonts w:eastAsiaTheme="minorEastAsia"/>
          <w:szCs w:val="22"/>
          <w:lang w:eastAsia="en-US"/>
        </w:rPr>
        <w:t xml:space="preserve">be </w:t>
      </w:r>
      <w:r w:rsidR="009B7888" w:rsidRPr="00C97518">
        <w:rPr>
          <w:rFonts w:eastAsiaTheme="minorEastAsia"/>
          <w:szCs w:val="22"/>
          <w:lang w:eastAsia="en-US"/>
        </w:rPr>
        <w:t>based on</w:t>
      </w:r>
      <w:r w:rsidR="00C00817" w:rsidRPr="00C97518">
        <w:rPr>
          <w:rFonts w:eastAsiaTheme="minorEastAsia"/>
          <w:szCs w:val="22"/>
          <w:lang w:eastAsia="en-US"/>
        </w:rPr>
        <w:t>:</w:t>
      </w:r>
      <w:r w:rsidR="009B7888" w:rsidRPr="00C97518">
        <w:rPr>
          <w:rFonts w:eastAsiaTheme="minorEastAsia"/>
          <w:szCs w:val="22"/>
          <w:lang w:eastAsia="en-US"/>
        </w:rPr>
        <w:t xml:space="preserve"> </w:t>
      </w:r>
    </w:p>
    <w:p w14:paraId="78570ECF" w14:textId="7B4C7EFB" w:rsidR="00C00817" w:rsidRPr="00C97518" w:rsidRDefault="00CE2EBC" w:rsidP="00C00817">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the levels stated in </w:t>
      </w:r>
      <w:r w:rsidR="009B7888" w:rsidRPr="00C97518">
        <w:rPr>
          <w:rFonts w:ascii="Arial" w:eastAsia="Times New Roman" w:hAnsi="Arial" w:cs="Times New Roman"/>
          <w:sz w:val="20"/>
          <w:lang w:eastAsia="en-AU"/>
        </w:rPr>
        <w:t xml:space="preserve">3GPP 36.104 </w:t>
      </w:r>
      <w:r w:rsidRPr="00C97518">
        <w:rPr>
          <w:rFonts w:ascii="Arial" w:eastAsia="Times New Roman" w:hAnsi="Arial" w:cs="Times New Roman"/>
          <w:sz w:val="20"/>
          <w:lang w:eastAsia="en-AU"/>
        </w:rPr>
        <w:t xml:space="preserve">for </w:t>
      </w:r>
      <w:r w:rsidR="00C00817" w:rsidRPr="00C97518">
        <w:rPr>
          <w:rFonts w:ascii="Arial" w:eastAsia="Times New Roman" w:hAnsi="Arial" w:cs="Times New Roman"/>
          <w:sz w:val="20"/>
          <w:lang w:eastAsia="en-AU"/>
        </w:rPr>
        <w:t xml:space="preserve">Category B (option 1) </w:t>
      </w:r>
      <w:r w:rsidRPr="00C97518">
        <w:rPr>
          <w:rFonts w:ascii="Arial" w:eastAsia="Times New Roman" w:hAnsi="Arial" w:cs="Times New Roman"/>
          <w:sz w:val="20"/>
          <w:lang w:eastAsia="en-AU"/>
        </w:rPr>
        <w:t>wide-area base station</w:t>
      </w:r>
      <w:r w:rsidR="007E48EF" w:rsidRPr="00C97518">
        <w:rPr>
          <w:rFonts w:ascii="Arial" w:eastAsia="Times New Roman" w:hAnsi="Arial" w:cs="Times New Roman"/>
          <w:sz w:val="20"/>
          <w:lang w:eastAsia="en-AU"/>
        </w:rPr>
        <w:t>s</w:t>
      </w:r>
      <w:r w:rsidRPr="00C97518">
        <w:rPr>
          <w:rFonts w:ascii="Arial" w:eastAsia="Times New Roman" w:hAnsi="Arial" w:cs="Times New Roman"/>
          <w:sz w:val="20"/>
          <w:lang w:eastAsia="en-AU"/>
        </w:rPr>
        <w:t xml:space="preserve"> operating in bands greater than 1 GHz</w:t>
      </w:r>
      <w:r w:rsidR="00006ECD" w:rsidRPr="00C97518">
        <w:rPr>
          <w:rFonts w:eastAsia="Times New Roman" w:cs="Times New Roman"/>
          <w:sz w:val="20"/>
          <w:vertAlign w:val="superscript"/>
          <w:lang w:eastAsia="en-AU"/>
        </w:rPr>
        <w:footnoteReference w:id="7"/>
      </w:r>
      <w:r w:rsidR="00C00817" w:rsidRPr="00C97518">
        <w:rPr>
          <w:rFonts w:ascii="Arial" w:eastAsia="Times New Roman" w:hAnsi="Arial" w:cs="Times New Roman"/>
          <w:sz w:val="20"/>
          <w:lang w:eastAsia="en-AU"/>
        </w:rPr>
        <w:t>;</w:t>
      </w:r>
      <w:r w:rsidRPr="00C97518">
        <w:rPr>
          <w:rFonts w:ascii="Arial" w:eastAsia="Times New Roman" w:hAnsi="Arial" w:cs="Times New Roman"/>
          <w:sz w:val="20"/>
          <w:vertAlign w:val="superscript"/>
          <w:lang w:eastAsia="en-AU"/>
        </w:rPr>
        <w:t xml:space="preserve"> </w:t>
      </w:r>
    </w:p>
    <w:p w14:paraId="67731F33" w14:textId="1E841FF0" w:rsidR="00C00817" w:rsidRPr="00C97518" w:rsidRDefault="00A358D7" w:rsidP="00C00817">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 xml:space="preserve">the addition of a </w:t>
      </w:r>
      <w:r w:rsidR="00C00817" w:rsidRPr="00C97518">
        <w:rPr>
          <w:rFonts w:ascii="Arial" w:eastAsia="Times New Roman" w:hAnsi="Arial" w:cs="Times New Roman"/>
          <w:sz w:val="20"/>
          <w:lang w:eastAsia="en-AU"/>
        </w:rPr>
        <w:t>1</w:t>
      </w:r>
      <w:r w:rsidR="00923954">
        <w:rPr>
          <w:rFonts w:ascii="Arial" w:eastAsia="Times New Roman" w:hAnsi="Arial" w:cs="Times New Roman"/>
          <w:sz w:val="20"/>
          <w:lang w:eastAsia="en-AU"/>
        </w:rPr>
        <w:t>9</w:t>
      </w:r>
      <w:r w:rsidR="00C00817" w:rsidRPr="00C97518">
        <w:rPr>
          <w:rFonts w:ascii="Arial" w:eastAsia="Times New Roman" w:hAnsi="Arial" w:cs="Times New Roman"/>
          <w:sz w:val="20"/>
          <w:lang w:eastAsia="en-AU"/>
        </w:rPr>
        <w:t xml:space="preserve"> dBi antenna gain</w:t>
      </w:r>
      <w:r w:rsidR="00923954">
        <w:rPr>
          <w:rFonts w:ascii="Arial" w:eastAsia="Times New Roman" w:hAnsi="Arial" w:cs="Times New Roman"/>
          <w:sz w:val="20"/>
          <w:lang w:eastAsia="en-AU"/>
        </w:rPr>
        <w:t xml:space="preserve"> and 1 dB feeder loss</w:t>
      </w:r>
      <w:r w:rsidR="00C00817" w:rsidRPr="00C97518">
        <w:rPr>
          <w:rFonts w:ascii="Arial" w:eastAsia="Times New Roman" w:hAnsi="Arial" w:cs="Times New Roman"/>
          <w:sz w:val="20"/>
          <w:lang w:eastAsia="en-AU"/>
        </w:rPr>
        <w:t>, this is based in the analysis of current 2 GHz band device registrations shown in Figure B1</w:t>
      </w:r>
      <w:r w:rsidR="00656396" w:rsidRPr="00C97518">
        <w:rPr>
          <w:rFonts w:ascii="Arial" w:eastAsia="Times New Roman" w:hAnsi="Arial" w:cs="Times New Roman"/>
          <w:sz w:val="20"/>
          <w:lang w:eastAsia="en-AU"/>
        </w:rPr>
        <w:t>.1</w:t>
      </w:r>
      <w:r w:rsidR="00C00817" w:rsidRPr="00C97518">
        <w:rPr>
          <w:rFonts w:ascii="Arial" w:eastAsia="Times New Roman" w:hAnsi="Arial" w:cs="Times New Roman"/>
          <w:sz w:val="20"/>
          <w:lang w:eastAsia="en-AU"/>
        </w:rPr>
        <w:t xml:space="preserve">. Eighty-two per cent of current device registrations have an antenna gain of 19 dBi or less. </w:t>
      </w:r>
    </w:p>
    <w:p w14:paraId="3CAF1933" w14:textId="77777777" w:rsidR="00C00817" w:rsidRPr="00C97518" w:rsidRDefault="00C00817" w:rsidP="00C00817"/>
    <w:p w14:paraId="405DE202" w14:textId="1F713DA0" w:rsidR="00CE2EBC" w:rsidRPr="00C97518" w:rsidRDefault="00CE2EBC" w:rsidP="00C00817">
      <w:r w:rsidRPr="00C97518">
        <w:t xml:space="preserve">The </w:t>
      </w:r>
      <w:r w:rsidR="00C00817" w:rsidRPr="00C97518">
        <w:t>resulting</w:t>
      </w:r>
      <w:r w:rsidRPr="00C97518">
        <w:t xml:space="preserve"> radiated </w:t>
      </w:r>
      <w:r w:rsidR="00C00817" w:rsidRPr="00C97518">
        <w:t>unwanted</w:t>
      </w:r>
      <w:r w:rsidRPr="00C97518">
        <w:t xml:space="preserve"> emission limits </w:t>
      </w:r>
      <w:r w:rsidR="008C3AB0" w:rsidRPr="00C97518">
        <w:t>within</w:t>
      </w:r>
      <w:r w:rsidR="00006ECD" w:rsidRPr="00C97518">
        <w:t xml:space="preserve"> the 2110</w:t>
      </w:r>
      <w:r w:rsidR="00E75F2B" w:rsidRPr="00C97518">
        <w:t>–</w:t>
      </w:r>
      <w:r w:rsidR="00006ECD" w:rsidRPr="00C97518">
        <w:t xml:space="preserve">2170 MHz band </w:t>
      </w:r>
      <w:r w:rsidRPr="00C97518">
        <w:t>are shown in Table B1</w:t>
      </w:r>
      <w:r w:rsidR="00BA6F28" w:rsidRPr="00C97518">
        <w:t>.1</w:t>
      </w:r>
      <w:r w:rsidRPr="00C97518">
        <w:t xml:space="preserve">. </w:t>
      </w:r>
    </w:p>
    <w:p w14:paraId="4C8A4593" w14:textId="5655ED4E" w:rsidR="00CE2EBC" w:rsidRPr="00C97518" w:rsidRDefault="00CE2EBC" w:rsidP="00CE2EBC">
      <w:pPr>
        <w:pStyle w:val="ACMATableHeader"/>
        <w:numPr>
          <w:ilvl w:val="0"/>
          <w:numId w:val="0"/>
        </w:numPr>
        <w:ind w:left="964" w:hanging="964"/>
      </w:pPr>
      <w:r w:rsidRPr="00C97518">
        <w:t>Table B1</w:t>
      </w:r>
      <w:r w:rsidR="00BA6F28" w:rsidRPr="00C97518">
        <w:t>.1</w:t>
      </w:r>
      <w:r w:rsidRPr="00C97518">
        <w:t>:</w:t>
      </w:r>
      <w:r w:rsidRPr="00C97518">
        <w:tab/>
        <w:t>R</w:t>
      </w:r>
      <w:r w:rsidRPr="00C97518">
        <w:rPr>
          <w:rFonts w:eastAsiaTheme="minorEastAsia"/>
          <w:szCs w:val="22"/>
          <w:lang w:eastAsia="en-US"/>
        </w:rPr>
        <w:t xml:space="preserve">adiated </w:t>
      </w:r>
      <w:r w:rsidR="00C00817" w:rsidRPr="00C97518">
        <w:rPr>
          <w:rFonts w:eastAsiaTheme="minorEastAsia"/>
          <w:szCs w:val="22"/>
          <w:lang w:eastAsia="en-US"/>
        </w:rPr>
        <w:t>unwanted</w:t>
      </w:r>
      <w:r w:rsidRPr="00C97518">
        <w:rPr>
          <w:rFonts w:eastAsiaTheme="minorEastAsia"/>
          <w:szCs w:val="22"/>
          <w:lang w:eastAsia="en-US"/>
        </w:rPr>
        <w:t xml:space="preserve"> emission limits</w:t>
      </w:r>
      <w:r w:rsidR="00AF4EC6" w:rsidRPr="00C97518">
        <w:rPr>
          <w:rFonts w:eastAsiaTheme="minorEastAsia"/>
          <w:szCs w:val="22"/>
          <w:lang w:eastAsia="en-US"/>
        </w:rPr>
        <w:t xml:space="preserve"> </w:t>
      </w:r>
      <w:r w:rsidR="00C00817" w:rsidRPr="00C97518">
        <w:rPr>
          <w:rFonts w:eastAsiaTheme="minorEastAsia"/>
          <w:szCs w:val="22"/>
          <w:lang w:eastAsia="en-US"/>
        </w:rPr>
        <w:t>within</w:t>
      </w:r>
      <w:r w:rsidR="00AF4EC6" w:rsidRPr="00C97518">
        <w:rPr>
          <w:rFonts w:eastAsiaTheme="minorEastAsia"/>
          <w:szCs w:val="22"/>
          <w:lang w:eastAsia="en-US"/>
        </w:rPr>
        <w:t xml:space="preserve"> the 2110</w:t>
      </w:r>
      <w:r w:rsidR="00E75F2B" w:rsidRPr="00C97518">
        <w:rPr>
          <w:rFonts w:eastAsiaTheme="minorEastAsia"/>
          <w:szCs w:val="22"/>
          <w:lang w:eastAsia="en-US"/>
        </w:rPr>
        <w:t>–</w:t>
      </w:r>
      <w:r w:rsidR="00AF4EC6" w:rsidRPr="00C97518">
        <w:rPr>
          <w:rFonts w:eastAsiaTheme="minorEastAsia"/>
          <w:szCs w:val="22"/>
          <w:lang w:eastAsia="en-US"/>
        </w:rPr>
        <w:t>2170 MHz band</w:t>
      </w:r>
      <w:r w:rsidRPr="00C97518">
        <w:t xml:space="preserve">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E2EBC" w:rsidRPr="00C97518" w14:paraId="5857E194" w14:textId="77777777" w:rsidTr="00AF4EC6">
        <w:trPr>
          <w:tblHeader/>
        </w:trPr>
        <w:tc>
          <w:tcPr>
            <w:tcW w:w="2539" w:type="dxa"/>
            <w:tcBorders>
              <w:top w:val="single" w:sz="4" w:space="0" w:color="auto"/>
              <w:left w:val="nil"/>
              <w:bottom w:val="single" w:sz="4" w:space="0" w:color="auto"/>
              <w:right w:val="nil"/>
            </w:tcBorders>
            <w:shd w:val="clear" w:color="auto" w:fill="404040" w:themeFill="text1" w:themeFillTint="BF"/>
          </w:tcPr>
          <w:p w14:paraId="59A5F577" w14:textId="0486397B" w:rsidR="00CE2EBC" w:rsidRPr="00C97518" w:rsidRDefault="00AF4EC6">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4E40D6D0" w14:textId="77777777" w:rsidR="00AF4EC6" w:rsidRPr="00C97518" w:rsidRDefault="00AF4EC6" w:rsidP="00AF4EC6">
            <w:pPr>
              <w:pStyle w:val="TableHeading"/>
              <w:jc w:val="center"/>
              <w:rPr>
                <w:color w:val="FFFFFF" w:themeColor="background1"/>
              </w:rPr>
            </w:pPr>
            <w:r w:rsidRPr="00C97518">
              <w:rPr>
                <w:color w:val="FFFFFF" w:themeColor="background1"/>
              </w:rPr>
              <w:t>Radiated maximum true mean power</w:t>
            </w:r>
          </w:p>
          <w:p w14:paraId="6F9BEB6C" w14:textId="287DB6AA" w:rsidR="00CE2EBC" w:rsidRPr="00C97518" w:rsidRDefault="00AF4EC6" w:rsidP="00AF4EC6">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4BA371F7" w14:textId="2E5B392B" w:rsidR="00CE2EBC" w:rsidRPr="00C97518" w:rsidRDefault="00AF4EC6" w:rsidP="00AF4EC6">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CE2EBC" w:rsidRPr="00C97518" w14:paraId="61B7481E" w14:textId="77777777" w:rsidTr="00AF4EC6">
        <w:trPr>
          <w:tblHeader/>
        </w:trPr>
        <w:tc>
          <w:tcPr>
            <w:tcW w:w="2539" w:type="dxa"/>
            <w:tcBorders>
              <w:top w:val="single" w:sz="4" w:space="0" w:color="auto"/>
              <w:left w:val="nil"/>
              <w:bottom w:val="single" w:sz="4" w:space="0" w:color="auto"/>
              <w:right w:val="nil"/>
            </w:tcBorders>
          </w:tcPr>
          <w:p w14:paraId="423CC139" w14:textId="70C379A3" w:rsidR="00CE2EBC" w:rsidRPr="00C97518" w:rsidRDefault="00CE2EBC">
            <w:pPr>
              <w:pStyle w:val="TableBody"/>
              <w:keepNext/>
              <w:keepLines/>
              <w:rPr>
                <w:rFonts w:cs="Arial"/>
              </w:rPr>
            </w:pPr>
            <w:r w:rsidRPr="00C97518">
              <w:rPr>
                <w:rFonts w:cs="Arial"/>
              </w:rPr>
              <w:t>0 kHz ≤ f</w:t>
            </w:r>
            <w:r w:rsidRPr="00C97518">
              <w:rPr>
                <w:rFonts w:cs="Arial"/>
                <w:vertAlign w:val="subscript"/>
              </w:rPr>
              <w:t>offset</w:t>
            </w:r>
            <w:r w:rsidRPr="00C97518">
              <w:rPr>
                <w:rFonts w:cs="Arial"/>
              </w:rPr>
              <w:t xml:space="preserve"> &lt; 5 MHz</w:t>
            </w:r>
          </w:p>
        </w:tc>
        <w:tc>
          <w:tcPr>
            <w:tcW w:w="3818" w:type="dxa"/>
            <w:tcBorders>
              <w:top w:val="single" w:sz="4" w:space="0" w:color="auto"/>
              <w:left w:val="nil"/>
              <w:bottom w:val="single" w:sz="4" w:space="0" w:color="auto"/>
              <w:right w:val="nil"/>
            </w:tcBorders>
          </w:tcPr>
          <w:p w14:paraId="3E75C43B" w14:textId="203BFA13" w:rsidR="00CE2EBC" w:rsidRPr="00C97518" w:rsidRDefault="00923954" w:rsidP="00AF4EC6">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lang w:eastAsia="en-US"/>
                      </w:rPr>
                    </m:ctrlPr>
                  </m:dPr>
                  <m:e>
                    <m:f>
                      <m:fPr>
                        <m:type m:val="lin"/>
                        <m:ctrlPr>
                          <w:rPr>
                            <w:rFonts w:ascii="Cambria Math" w:eastAsiaTheme="minorEastAsia" w:hAnsi="Cambria Math"/>
                            <w:i/>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tcPr>
          <w:p w14:paraId="46F5E0A1" w14:textId="593F883B" w:rsidR="00CE2EBC" w:rsidRPr="00C97518" w:rsidRDefault="00AF4EC6" w:rsidP="00AF4EC6">
            <w:pPr>
              <w:pStyle w:val="TableBody"/>
              <w:keepNext/>
              <w:keepLines/>
              <w:jc w:val="center"/>
              <w:rPr>
                <w:rFonts w:cs="Arial"/>
              </w:rPr>
            </w:pPr>
            <w:r w:rsidRPr="00C97518">
              <w:rPr>
                <w:rFonts w:cs="Arial"/>
              </w:rPr>
              <w:t>100 kHz</w:t>
            </w:r>
          </w:p>
        </w:tc>
      </w:tr>
      <w:tr w:rsidR="00CE2EBC" w:rsidRPr="00C97518" w14:paraId="3F1F7DF8" w14:textId="77777777" w:rsidTr="00AF4EC6">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4AE01DF9" w14:textId="6E151042" w:rsidR="00CE2EBC" w:rsidRPr="00C97518" w:rsidRDefault="00AF4EC6">
            <w:pPr>
              <w:pStyle w:val="TableBody"/>
              <w:keepNext/>
              <w:keepLines/>
              <w:rPr>
                <w:rFonts w:cs="Arial"/>
              </w:rPr>
            </w:pPr>
            <w:r w:rsidRPr="00C97518">
              <w:rPr>
                <w:rFonts w:cs="Arial"/>
              </w:rPr>
              <w:t>5 MHz ≤ f</w:t>
            </w:r>
            <w:r w:rsidRPr="00C97518">
              <w:rPr>
                <w:rFonts w:cs="Arial"/>
                <w:vertAlign w:val="subscript"/>
              </w:rPr>
              <w:t>offset</w:t>
            </w:r>
            <w:r w:rsidRPr="00C97518">
              <w:rPr>
                <w:rFonts w:cs="Arial"/>
              </w:rPr>
              <w:t xml:space="preserve"> &lt; 10 MHz</w:t>
            </w:r>
          </w:p>
        </w:tc>
        <w:tc>
          <w:tcPr>
            <w:tcW w:w="3818" w:type="dxa"/>
            <w:tcBorders>
              <w:top w:val="single" w:sz="4" w:space="0" w:color="auto"/>
              <w:left w:val="nil"/>
              <w:bottom w:val="single" w:sz="4" w:space="0" w:color="auto"/>
              <w:right w:val="nil"/>
            </w:tcBorders>
            <w:shd w:val="clear" w:color="auto" w:fill="F2F2F2" w:themeFill="background1" w:themeFillShade="F2"/>
          </w:tcPr>
          <w:p w14:paraId="4F56999D" w14:textId="5FA7AD91" w:rsidR="00CE2EBC" w:rsidRPr="00C97518" w:rsidRDefault="00923954" w:rsidP="00AF4EC6">
            <w:pPr>
              <w:pStyle w:val="TableBody"/>
              <w:keepNext/>
              <w:keepLines/>
              <w:jc w:val="center"/>
              <w:rPr>
                <w:rFonts w:cs="Arial"/>
              </w:rPr>
            </w:pPr>
            <w:r>
              <w:rPr>
                <w:rFonts w:cs="Arial"/>
              </w:rPr>
              <w:t>4</w:t>
            </w:r>
          </w:p>
        </w:tc>
        <w:tc>
          <w:tcPr>
            <w:tcW w:w="2295" w:type="dxa"/>
            <w:tcBorders>
              <w:top w:val="single" w:sz="4" w:space="0" w:color="auto"/>
              <w:left w:val="nil"/>
              <w:bottom w:val="single" w:sz="4" w:space="0" w:color="auto"/>
              <w:right w:val="nil"/>
            </w:tcBorders>
            <w:shd w:val="clear" w:color="auto" w:fill="F2F2F2" w:themeFill="background1" w:themeFillShade="F2"/>
          </w:tcPr>
          <w:p w14:paraId="484FF965" w14:textId="1F2D04F0" w:rsidR="00CE2EBC" w:rsidRPr="00C97518" w:rsidRDefault="00AF4EC6" w:rsidP="00AF4EC6">
            <w:pPr>
              <w:pStyle w:val="TableBody"/>
              <w:keepNext/>
              <w:keepLines/>
              <w:jc w:val="center"/>
              <w:rPr>
                <w:rFonts w:cs="Arial"/>
              </w:rPr>
            </w:pPr>
            <w:r w:rsidRPr="00C97518">
              <w:rPr>
                <w:rFonts w:cs="Arial"/>
              </w:rPr>
              <w:t>100 kHz</w:t>
            </w:r>
          </w:p>
        </w:tc>
      </w:tr>
      <w:tr w:rsidR="00CE2EBC" w:rsidRPr="00C97518" w14:paraId="3910B4EB" w14:textId="77777777" w:rsidTr="00AF4EC6">
        <w:trPr>
          <w:tblHeader/>
        </w:trPr>
        <w:tc>
          <w:tcPr>
            <w:tcW w:w="2539" w:type="dxa"/>
            <w:tcBorders>
              <w:top w:val="single" w:sz="4" w:space="0" w:color="auto"/>
              <w:left w:val="nil"/>
              <w:bottom w:val="single" w:sz="4" w:space="0" w:color="auto"/>
              <w:right w:val="nil"/>
            </w:tcBorders>
          </w:tcPr>
          <w:p w14:paraId="6C142E8B" w14:textId="7E59F9C9" w:rsidR="00CE2EBC" w:rsidRPr="00C97518" w:rsidRDefault="00AF4EC6">
            <w:pPr>
              <w:pStyle w:val="TableBody"/>
              <w:keepNext/>
              <w:keepLines/>
              <w:rPr>
                <w:rFonts w:cs="Arial"/>
              </w:rPr>
            </w:pPr>
            <w:r w:rsidRPr="00C97518">
              <w:rPr>
                <w:rFonts w:cs="Arial"/>
              </w:rPr>
              <w:t>f</w:t>
            </w:r>
            <w:r w:rsidRPr="00C97518">
              <w:rPr>
                <w:rFonts w:cs="Arial"/>
                <w:vertAlign w:val="subscript"/>
              </w:rPr>
              <w:t>offset</w:t>
            </w:r>
            <w:r w:rsidRPr="00C97518">
              <w:rPr>
                <w:rFonts w:cs="Arial"/>
              </w:rPr>
              <w:t xml:space="preserve"> </w:t>
            </w:r>
            <w:r w:rsidRPr="00C97518">
              <w:rPr>
                <w:rFonts w:eastAsiaTheme="minorEastAsia"/>
                <w:szCs w:val="20"/>
                <w:lang w:eastAsia="en-US"/>
              </w:rPr>
              <w:t xml:space="preserve">≥ </w:t>
            </w:r>
            <w:r w:rsidRPr="00C97518">
              <w:rPr>
                <w:rFonts w:cs="Arial"/>
              </w:rPr>
              <w:t>10 MHz</w:t>
            </w:r>
          </w:p>
        </w:tc>
        <w:tc>
          <w:tcPr>
            <w:tcW w:w="3818" w:type="dxa"/>
            <w:tcBorders>
              <w:top w:val="single" w:sz="4" w:space="0" w:color="auto"/>
              <w:left w:val="nil"/>
              <w:bottom w:val="single" w:sz="4" w:space="0" w:color="auto"/>
              <w:right w:val="nil"/>
            </w:tcBorders>
          </w:tcPr>
          <w:p w14:paraId="36306A9C" w14:textId="12FF3BFF" w:rsidR="00CE2EBC" w:rsidRPr="00C97518" w:rsidRDefault="00923954" w:rsidP="00AF4EC6">
            <w:pPr>
              <w:pStyle w:val="TableBody"/>
              <w:keepNext/>
              <w:keepLines/>
              <w:jc w:val="center"/>
              <w:rPr>
                <w:rFonts w:cs="Arial"/>
              </w:rPr>
            </w:pPr>
            <w:r>
              <w:rPr>
                <w:rFonts w:cs="Arial"/>
              </w:rPr>
              <w:t>3</w:t>
            </w:r>
          </w:p>
        </w:tc>
        <w:tc>
          <w:tcPr>
            <w:tcW w:w="2295" w:type="dxa"/>
            <w:tcBorders>
              <w:top w:val="single" w:sz="4" w:space="0" w:color="auto"/>
              <w:left w:val="nil"/>
              <w:bottom w:val="single" w:sz="4" w:space="0" w:color="auto"/>
              <w:right w:val="nil"/>
            </w:tcBorders>
          </w:tcPr>
          <w:p w14:paraId="7A76C280" w14:textId="1D233046" w:rsidR="00CE2EBC" w:rsidRPr="00C97518" w:rsidRDefault="00AF4EC6" w:rsidP="00AF4EC6">
            <w:pPr>
              <w:pStyle w:val="TableBody"/>
              <w:keepNext/>
              <w:keepLines/>
              <w:jc w:val="center"/>
              <w:rPr>
                <w:rFonts w:cs="Arial"/>
              </w:rPr>
            </w:pPr>
            <w:r w:rsidRPr="00C97518">
              <w:rPr>
                <w:rFonts w:cs="Arial"/>
              </w:rPr>
              <w:t>1 MHz</w:t>
            </w:r>
          </w:p>
        </w:tc>
      </w:tr>
    </w:tbl>
    <w:p w14:paraId="68C4E4C9" w14:textId="77777777" w:rsidR="00AF4EC6" w:rsidRPr="00C97518" w:rsidRDefault="00AF4EC6" w:rsidP="0027403F">
      <w:pPr>
        <w:pStyle w:val="ACMASpaceaftertable"/>
      </w:pPr>
    </w:p>
    <w:p w14:paraId="19F45283" w14:textId="78722001" w:rsidR="00AF4EC6" w:rsidRPr="00C97518" w:rsidRDefault="00AF4EC6" w:rsidP="00AF4EC6">
      <w:pPr>
        <w:pStyle w:val="ACMAFigureHeader"/>
        <w:keepNext/>
        <w:keepLines/>
        <w:numPr>
          <w:ilvl w:val="0"/>
          <w:numId w:val="0"/>
        </w:numPr>
        <w:ind w:left="1021" w:hanging="1021"/>
        <w:rPr>
          <w:rFonts w:ascii="Times New Roman" w:hAnsi="Times New Roman"/>
        </w:rPr>
      </w:pPr>
      <w:r w:rsidRPr="00C97518">
        <w:t>Figure B1</w:t>
      </w:r>
      <w:r w:rsidR="00656396" w:rsidRPr="00C97518">
        <w:t>.1</w:t>
      </w:r>
      <w:r w:rsidRPr="00C97518">
        <w:t>:</w:t>
      </w:r>
      <w:r w:rsidRPr="00C97518">
        <w:tab/>
        <w:t>Antenna gain of device registrations in 2110</w:t>
      </w:r>
      <w:r w:rsidR="00E75F2B" w:rsidRPr="00C97518">
        <w:t>–</w:t>
      </w:r>
      <w:r w:rsidRPr="00C97518">
        <w:t>2170 MHz</w:t>
      </w:r>
    </w:p>
    <w:p w14:paraId="316DA23F" w14:textId="23AA8621" w:rsidR="00CE2EBC" w:rsidRPr="00C97518" w:rsidRDefault="00CE2EBC" w:rsidP="0027403F">
      <w:pPr>
        <w:spacing w:before="120" w:after="0"/>
        <w:ind w:left="720" w:hanging="720"/>
        <w:rPr>
          <w:rFonts w:eastAsiaTheme="minorEastAsia"/>
          <w:sz w:val="24"/>
          <w:szCs w:val="22"/>
          <w:lang w:eastAsia="en-US"/>
        </w:rPr>
      </w:pPr>
      <w:r w:rsidRPr="00C97518">
        <w:rPr>
          <w:noProof/>
        </w:rPr>
        <w:drawing>
          <wp:inline distT="0" distB="0" distL="0" distR="0" wp14:anchorId="5FE873C2" wp14:editId="0D3226DA">
            <wp:extent cx="5362575" cy="3009900"/>
            <wp:effectExtent l="0" t="0" r="9525" b="0"/>
            <wp:docPr id="3" name="Chart 3" descr="Antenna gain of device registrations in 2110–2170 MHz"/>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1DEF06CE" w14:textId="77777777" w:rsidR="00E75F2B" w:rsidRPr="00C97518" w:rsidRDefault="00E75F2B" w:rsidP="0027403F">
      <w:pPr>
        <w:pStyle w:val="ACMASpaceaftertable"/>
        <w:rPr>
          <w:rFonts w:eastAsiaTheme="minorEastAsia"/>
          <w:lang w:eastAsia="en-US"/>
        </w:rPr>
      </w:pPr>
    </w:p>
    <w:p w14:paraId="47155482" w14:textId="276FE2E2" w:rsidR="00C00817" w:rsidRPr="00C97518" w:rsidRDefault="00C00817" w:rsidP="00C00817">
      <w:pPr>
        <w:rPr>
          <w:u w:val="single"/>
        </w:rPr>
      </w:pPr>
      <w:r w:rsidRPr="00C97518">
        <w:rPr>
          <w:u w:val="single"/>
        </w:rPr>
        <w:t>Unwanted Emission Limits from the 2110 MHz band edge</w:t>
      </w:r>
    </w:p>
    <w:p w14:paraId="6130E360" w14:textId="1993E14E" w:rsidR="008C3AB0" w:rsidRPr="00C97518" w:rsidRDefault="007552D9" w:rsidP="008C3AB0">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i</w:t>
      </w:r>
      <w:r w:rsidR="00665401" w:rsidRPr="00C97518">
        <w:t xml:space="preserve">t is proposed that </w:t>
      </w:r>
      <w:r w:rsidR="008C3AB0" w:rsidRPr="00C97518">
        <w:t>the r</w:t>
      </w:r>
      <w:r w:rsidR="008C3AB0" w:rsidRPr="00C97518">
        <w:rPr>
          <w:rFonts w:eastAsiaTheme="minorEastAsia"/>
          <w:szCs w:val="22"/>
          <w:lang w:eastAsia="en-US"/>
        </w:rPr>
        <w:t xml:space="preserve">adiated unwanted emission limits below 2110 MHz be based on: </w:t>
      </w:r>
    </w:p>
    <w:p w14:paraId="2B8FC83F" w14:textId="0A002CD7" w:rsidR="008C3AB0" w:rsidRPr="00C97518" w:rsidRDefault="00665401" w:rsidP="008C3AB0">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from 0-4 MHz below the band edge (2106-2110 MHz), </w:t>
      </w:r>
      <w:r w:rsidR="008C3AB0" w:rsidRPr="00C97518">
        <w:rPr>
          <w:rFonts w:ascii="Arial" w:eastAsia="Times New Roman" w:hAnsi="Arial" w:cs="Times New Roman"/>
          <w:sz w:val="20"/>
          <w:lang w:eastAsia="en-AU"/>
        </w:rPr>
        <w:t>the levels stated in 3GPP 36.104 for Category B (option 1) wide-area base stations operating in bands greater than 1 GHz</w:t>
      </w:r>
      <w:r w:rsidR="008C3AB0" w:rsidRPr="00C97518">
        <w:rPr>
          <w:rFonts w:eastAsia="Times New Roman" w:cs="Times New Roman"/>
          <w:sz w:val="20"/>
          <w:vertAlign w:val="superscript"/>
          <w:lang w:eastAsia="en-AU"/>
        </w:rPr>
        <w:footnoteReference w:id="8"/>
      </w:r>
      <w:r w:rsidR="00A358D7">
        <w:rPr>
          <w:rFonts w:ascii="Arial" w:eastAsia="Times New Roman" w:hAnsi="Arial" w:cs="Times New Roman"/>
          <w:sz w:val="20"/>
          <w:lang w:eastAsia="en-AU"/>
        </w:rPr>
        <w:t>, with the addition of a</w:t>
      </w:r>
      <w:r w:rsidRPr="00C97518">
        <w:rPr>
          <w:rFonts w:ascii="Arial" w:eastAsia="Times New Roman" w:hAnsi="Arial" w:cs="Times New Roman"/>
          <w:sz w:val="20"/>
          <w:lang w:eastAsia="en-AU"/>
        </w:rPr>
        <w:t xml:space="preserve"> 1</w:t>
      </w:r>
      <w:r w:rsidR="00923954">
        <w:rPr>
          <w:rFonts w:ascii="Arial" w:eastAsia="Times New Roman" w:hAnsi="Arial" w:cs="Times New Roman"/>
          <w:sz w:val="20"/>
          <w:lang w:eastAsia="en-AU"/>
        </w:rPr>
        <w:t>8</w:t>
      </w:r>
      <w:r w:rsidRPr="00C97518">
        <w:rPr>
          <w:rFonts w:ascii="Arial" w:eastAsia="Times New Roman" w:hAnsi="Arial" w:cs="Times New Roman"/>
          <w:sz w:val="20"/>
          <w:lang w:eastAsia="en-AU"/>
        </w:rPr>
        <w:t xml:space="preserve"> dBi gain antenna</w:t>
      </w:r>
      <w:r w:rsidR="00923954">
        <w:rPr>
          <w:rFonts w:ascii="Arial" w:eastAsia="Times New Roman" w:hAnsi="Arial" w:cs="Times New Roman"/>
          <w:sz w:val="20"/>
          <w:lang w:eastAsia="en-AU"/>
        </w:rPr>
        <w:t xml:space="preserve"> (including feeder loss)</w:t>
      </w:r>
      <w:r w:rsidR="008C3AB0" w:rsidRPr="00C97518">
        <w:rPr>
          <w:rFonts w:ascii="Arial" w:eastAsia="Times New Roman" w:hAnsi="Arial" w:cs="Times New Roman"/>
          <w:sz w:val="20"/>
          <w:lang w:eastAsia="en-AU"/>
        </w:rPr>
        <w:t>;</w:t>
      </w:r>
      <w:r w:rsidR="008C3AB0" w:rsidRPr="00C97518">
        <w:rPr>
          <w:rFonts w:ascii="Arial" w:eastAsia="Times New Roman" w:hAnsi="Arial" w:cs="Times New Roman"/>
          <w:sz w:val="20"/>
          <w:vertAlign w:val="superscript"/>
          <w:lang w:eastAsia="en-AU"/>
        </w:rPr>
        <w:t xml:space="preserve"> </w:t>
      </w:r>
    </w:p>
    <w:p w14:paraId="4601E1B8" w14:textId="38DDCB6E" w:rsidR="008C3AB0" w:rsidRPr="00C97518" w:rsidRDefault="00665401" w:rsidP="008C3AB0">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from 4-10 MHz below the band edge</w:t>
      </w:r>
      <w:r w:rsidR="002F6442">
        <w:rPr>
          <w:rFonts w:ascii="Arial" w:eastAsia="Times New Roman" w:hAnsi="Arial" w:cs="Times New Roman"/>
          <w:sz w:val="20"/>
          <w:lang w:eastAsia="en-AU"/>
        </w:rPr>
        <w:t xml:space="preserve"> </w:t>
      </w:r>
      <w:r w:rsidR="002F6442" w:rsidRPr="00C97518">
        <w:rPr>
          <w:rFonts w:ascii="Arial" w:eastAsia="Times New Roman" w:hAnsi="Arial" w:cs="Times New Roman"/>
          <w:sz w:val="20"/>
          <w:lang w:eastAsia="en-AU"/>
        </w:rPr>
        <w:t>(2100-2106 MHz)</w:t>
      </w:r>
      <w:r w:rsidRPr="00C97518">
        <w:rPr>
          <w:rFonts w:ascii="Arial" w:eastAsia="Times New Roman" w:hAnsi="Arial" w:cs="Times New Roman"/>
          <w:sz w:val="20"/>
          <w:lang w:eastAsia="en-AU"/>
        </w:rPr>
        <w:t>, the existing non-spurious emission limits defined for 2 GHz spectrum licences; and</w:t>
      </w:r>
    </w:p>
    <w:p w14:paraId="7F6EB282" w14:textId="2FD209A3" w:rsidR="00665401" w:rsidRPr="00C97518" w:rsidRDefault="00665401" w:rsidP="008C3AB0">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10 MHz </w:t>
      </w:r>
      <w:r w:rsidR="00594548" w:rsidRPr="00C97518">
        <w:rPr>
          <w:rFonts w:ascii="Arial" w:eastAsia="Times New Roman" w:hAnsi="Arial" w:cs="Times New Roman"/>
          <w:sz w:val="20"/>
          <w:lang w:eastAsia="en-AU"/>
        </w:rPr>
        <w:t xml:space="preserve">below the band edge </w:t>
      </w:r>
      <w:r w:rsidRPr="00C97518">
        <w:rPr>
          <w:rFonts w:ascii="Arial" w:eastAsia="Times New Roman" w:hAnsi="Arial" w:cs="Times New Roman"/>
          <w:sz w:val="20"/>
          <w:lang w:eastAsia="en-AU"/>
        </w:rPr>
        <w:t xml:space="preserve">(below 2100 MHz), a radiated </w:t>
      </w:r>
      <w:r w:rsidR="002F6442">
        <w:rPr>
          <w:rFonts w:ascii="Arial" w:eastAsia="Times New Roman" w:hAnsi="Arial" w:cs="Times New Roman"/>
          <w:sz w:val="20"/>
          <w:lang w:eastAsia="en-AU"/>
        </w:rPr>
        <w:t xml:space="preserve">power </w:t>
      </w:r>
      <w:r w:rsidRPr="00C97518">
        <w:rPr>
          <w:rFonts w:ascii="Arial" w:eastAsia="Times New Roman" w:hAnsi="Arial" w:cs="Times New Roman"/>
          <w:sz w:val="20"/>
          <w:lang w:eastAsia="en-AU"/>
        </w:rPr>
        <w:t>level of -11 dBm/MHz.</w:t>
      </w:r>
    </w:p>
    <w:p w14:paraId="513D1899" w14:textId="77777777" w:rsidR="008C3AB0" w:rsidRPr="00C97518" w:rsidRDefault="008C3AB0" w:rsidP="008C3AB0"/>
    <w:p w14:paraId="22472D6A" w14:textId="21736950" w:rsidR="00665401" w:rsidRPr="00C97518" w:rsidRDefault="00665401" w:rsidP="008C3AB0">
      <w:r w:rsidRPr="00C97518">
        <w:t xml:space="preserve">A stricter unwanted emission level is defined below 2110 MHz to provide coexistence with Television Outside Broadcasting (TOB) services operating in 2010-2110 MHz frequency range. RALI FX21 indicates that TOB services operate at frequencies below 2106 MHz. Therefore, the unwanted emission limits have been relaxed in the 2106-2110 MHz frequency range. However, in order to maintain a similar interference environment as currently exists below 2106 MHz, the </w:t>
      </w:r>
      <w:r w:rsidR="002F6442">
        <w:t>same</w:t>
      </w:r>
      <w:r w:rsidRPr="00C97518">
        <w:t xml:space="preserve"> emission limits </w:t>
      </w:r>
      <w:r w:rsidR="002F6442">
        <w:t xml:space="preserve">are </w:t>
      </w:r>
      <w:r w:rsidRPr="00C97518">
        <w:t xml:space="preserve">defined </w:t>
      </w:r>
      <w:r w:rsidR="002F6442">
        <w:t>in the 2100-</w:t>
      </w:r>
      <w:r w:rsidRPr="00C97518">
        <w:t>2106 MHz</w:t>
      </w:r>
      <w:r w:rsidR="002F6442">
        <w:t xml:space="preserve"> range</w:t>
      </w:r>
      <w:r w:rsidRPr="00C97518">
        <w:t>.</w:t>
      </w:r>
      <w:r w:rsidR="002F6442">
        <w:t xml:space="preserve"> Emissions below 2100 MHz have been made 10 dB stricter than currently defined levels.</w:t>
      </w:r>
    </w:p>
    <w:p w14:paraId="396A19DF" w14:textId="639BF48F" w:rsidR="00665401" w:rsidRPr="00C97518" w:rsidRDefault="00665401" w:rsidP="008C3AB0">
      <w:r w:rsidRPr="00C97518">
        <w:t xml:space="preserve">The unwanted emission limit below 2100 MHz is based on the spurious emission limit for </w:t>
      </w:r>
      <w:r w:rsidR="002F6442">
        <w:t xml:space="preserve">an </w:t>
      </w:r>
      <w:r w:rsidRPr="00C97518">
        <w:t xml:space="preserve">LTE base station </w:t>
      </w:r>
      <w:r w:rsidR="00594548" w:rsidRPr="00C97518">
        <w:t>transmitters with the addition of a 19 dBi gain antenna. 3GPP 36.104</w:t>
      </w:r>
      <w:r w:rsidR="00594548" w:rsidRPr="00C97518">
        <w:rPr>
          <w:vertAlign w:val="superscript"/>
        </w:rPr>
        <w:footnoteReference w:id="9"/>
      </w:r>
      <w:r w:rsidR="00594548" w:rsidRPr="00C97518">
        <w:t xml:space="preserve"> defines the spurious domain for LTE base stations commencing </w:t>
      </w:r>
      <w:r w:rsidR="00594548" w:rsidRPr="00C97518">
        <w:rPr>
          <w:rFonts w:cs="Arial"/>
        </w:rPr>
        <w:t>±</w:t>
      </w:r>
      <w:r w:rsidR="00594548" w:rsidRPr="00C97518">
        <w:t xml:space="preserve"> 10 MHz outside the 2110-2170 MHz band.</w:t>
      </w:r>
    </w:p>
    <w:p w14:paraId="7ADD3C1A" w14:textId="63845F5F" w:rsidR="00BA6F28" w:rsidRPr="00C97518" w:rsidRDefault="00BA6F28" w:rsidP="00BA6F28">
      <w:r w:rsidRPr="00C97518">
        <w:t xml:space="preserve">The resulting radiated unwanted emission limits below 2110 MHz are shown in Table B1.2. </w:t>
      </w:r>
    </w:p>
    <w:p w14:paraId="5DE2AD97" w14:textId="24A04ED9" w:rsidR="00C00817" w:rsidRPr="00C97518" w:rsidRDefault="00C00817" w:rsidP="00C00817">
      <w:pPr>
        <w:pStyle w:val="ACMATableHeader"/>
        <w:numPr>
          <w:ilvl w:val="0"/>
          <w:numId w:val="0"/>
        </w:numPr>
        <w:ind w:left="964" w:hanging="964"/>
      </w:pPr>
      <w:r w:rsidRPr="00C97518">
        <w:t>Table B1</w:t>
      </w:r>
      <w:r w:rsidR="00BA6F28" w:rsidRPr="00C97518">
        <w:t>.2</w:t>
      </w:r>
      <w:r w:rsidRPr="00C97518">
        <w:t>:</w:t>
      </w:r>
      <w:r w:rsidRPr="00C97518">
        <w:tab/>
        <w:t>R</w:t>
      </w:r>
      <w:r w:rsidRPr="00C97518">
        <w:rPr>
          <w:rFonts w:eastAsiaTheme="minorEastAsia"/>
          <w:szCs w:val="22"/>
          <w:lang w:eastAsia="en-US"/>
        </w:rPr>
        <w:t xml:space="preserve">adiated unwanted emission limits </w:t>
      </w:r>
      <w:r w:rsidR="00594548" w:rsidRPr="00C97518">
        <w:rPr>
          <w:rFonts w:eastAsiaTheme="minorEastAsia"/>
          <w:szCs w:val="22"/>
          <w:lang w:eastAsia="en-US"/>
        </w:rPr>
        <w:t>below</w:t>
      </w:r>
      <w:r w:rsidRPr="00C97518">
        <w:rPr>
          <w:rFonts w:eastAsiaTheme="minorEastAsia"/>
          <w:szCs w:val="22"/>
          <w:lang w:eastAsia="en-US"/>
        </w:rPr>
        <w:t xml:space="preserve"> the 2110 MHz band</w:t>
      </w:r>
      <w:r w:rsidRPr="00C97518">
        <w:t xml:space="preserve"> edge</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00817" w:rsidRPr="00C97518" w14:paraId="40AEF937" w14:textId="77777777" w:rsidTr="00C00817">
        <w:trPr>
          <w:trHeight w:val="547"/>
          <w:tblHeader/>
        </w:trPr>
        <w:tc>
          <w:tcPr>
            <w:tcW w:w="2539" w:type="dxa"/>
            <w:tcBorders>
              <w:top w:val="single" w:sz="4" w:space="0" w:color="auto"/>
              <w:left w:val="nil"/>
              <w:bottom w:val="single" w:sz="4" w:space="0" w:color="auto"/>
              <w:right w:val="nil"/>
            </w:tcBorders>
            <w:shd w:val="clear" w:color="auto" w:fill="404040" w:themeFill="text1" w:themeFillTint="BF"/>
          </w:tcPr>
          <w:p w14:paraId="5C2A6D52" w14:textId="77777777" w:rsidR="00C00817" w:rsidRPr="00C97518" w:rsidRDefault="00C00817" w:rsidP="00150E2F">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62B0B91B" w14:textId="77777777" w:rsidR="00C00817" w:rsidRPr="00C97518" w:rsidRDefault="00C00817" w:rsidP="00150E2F">
            <w:pPr>
              <w:pStyle w:val="TableHeading"/>
              <w:jc w:val="center"/>
              <w:rPr>
                <w:color w:val="FFFFFF" w:themeColor="background1"/>
              </w:rPr>
            </w:pPr>
            <w:r w:rsidRPr="00C97518">
              <w:rPr>
                <w:color w:val="FFFFFF" w:themeColor="background1"/>
              </w:rPr>
              <w:t>Radiated maximum true mean power</w:t>
            </w:r>
          </w:p>
          <w:p w14:paraId="30BA243D" w14:textId="77777777" w:rsidR="00C00817" w:rsidRPr="00C97518" w:rsidRDefault="00C00817" w:rsidP="00150E2F">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700D136C" w14:textId="77777777" w:rsidR="00C00817" w:rsidRPr="00C97518" w:rsidRDefault="00C00817" w:rsidP="00150E2F">
            <w:pPr>
              <w:pStyle w:val="TableHeading"/>
              <w:jc w:val="center"/>
              <w:rPr>
                <w:color w:val="FFFFFF" w:themeColor="background1"/>
              </w:rPr>
            </w:pPr>
            <w:r w:rsidRPr="00C97518">
              <w:rPr>
                <w:color w:val="FFFFFF" w:themeColor="background1"/>
              </w:rPr>
              <w:t>Specified bandwidth</w:t>
            </w:r>
          </w:p>
        </w:tc>
      </w:tr>
      <w:tr w:rsidR="00C00817" w:rsidRPr="00C97518" w14:paraId="5190E66E" w14:textId="77777777" w:rsidTr="00150E2F">
        <w:trPr>
          <w:tblHeader/>
        </w:trPr>
        <w:tc>
          <w:tcPr>
            <w:tcW w:w="2539" w:type="dxa"/>
            <w:tcBorders>
              <w:top w:val="single" w:sz="4" w:space="0" w:color="auto"/>
              <w:left w:val="nil"/>
              <w:bottom w:val="single" w:sz="4" w:space="0" w:color="auto"/>
              <w:right w:val="nil"/>
            </w:tcBorders>
            <w:vAlign w:val="center"/>
          </w:tcPr>
          <w:p w14:paraId="139B8AE0" w14:textId="3EECF1FE" w:rsidR="00C00817" w:rsidRPr="00C97518" w:rsidRDefault="00C00817" w:rsidP="00C00817">
            <w:pPr>
              <w:pStyle w:val="TableBody"/>
              <w:keepNext/>
              <w:keepLines/>
              <w:rPr>
                <w:rFonts w:cs="Arial"/>
              </w:rPr>
            </w:pPr>
            <w:r w:rsidRPr="00C97518">
              <w:rPr>
                <w:rFonts w:eastAsiaTheme="minorEastAsia"/>
                <w:szCs w:val="20"/>
                <w:lang w:eastAsia="en-US"/>
              </w:rPr>
              <w:t>0 kHz ≤ f</w:t>
            </w:r>
            <w:r w:rsidRPr="00C97518">
              <w:rPr>
                <w:rFonts w:eastAsiaTheme="minorEastAsia"/>
                <w:szCs w:val="20"/>
                <w:vertAlign w:val="subscript"/>
                <w:lang w:eastAsia="en-US"/>
              </w:rPr>
              <w:t>offset</w:t>
            </w:r>
            <w:r w:rsidRPr="00C97518">
              <w:rPr>
                <w:rFonts w:eastAsiaTheme="minorEastAsia"/>
                <w:szCs w:val="20"/>
                <w:lang w:eastAsia="en-US"/>
              </w:rPr>
              <w:t xml:space="preserve"> &lt; 4 MHz</w:t>
            </w:r>
          </w:p>
        </w:tc>
        <w:tc>
          <w:tcPr>
            <w:tcW w:w="3818" w:type="dxa"/>
            <w:tcBorders>
              <w:top w:val="single" w:sz="4" w:space="0" w:color="auto"/>
              <w:left w:val="nil"/>
              <w:bottom w:val="single" w:sz="4" w:space="0" w:color="auto"/>
              <w:right w:val="nil"/>
            </w:tcBorders>
            <w:vAlign w:val="center"/>
          </w:tcPr>
          <w:p w14:paraId="512B6953" w14:textId="3F1BD532" w:rsidR="00C00817" w:rsidRPr="00C97518" w:rsidRDefault="00923954" w:rsidP="00C00817">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szCs w:val="20"/>
                        <w:lang w:eastAsia="en-US"/>
                      </w:rPr>
                    </m:ctrlPr>
                  </m:dPr>
                  <m:e>
                    <m:f>
                      <m:fPr>
                        <m:type m:val="lin"/>
                        <m:ctrlPr>
                          <w:rPr>
                            <w:rFonts w:ascii="Cambria Math" w:eastAsiaTheme="minorEastAsia" w:hAnsi="Cambria Math"/>
                            <w:i/>
                            <w:szCs w:val="20"/>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szCs w:val="20"/>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szCs w:val="20"/>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vAlign w:val="center"/>
          </w:tcPr>
          <w:p w14:paraId="0974669A" w14:textId="56869797"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618FF8B4" w14:textId="77777777" w:rsidTr="00150E2F">
        <w:trPr>
          <w:tblHeader/>
        </w:trPr>
        <w:tc>
          <w:tcPr>
            <w:tcW w:w="2539" w:type="dxa"/>
            <w:tcBorders>
              <w:top w:val="single" w:sz="4" w:space="0" w:color="auto"/>
              <w:left w:val="nil"/>
              <w:bottom w:val="single" w:sz="4" w:space="0" w:color="auto"/>
              <w:right w:val="nil"/>
            </w:tcBorders>
            <w:shd w:val="clear" w:color="auto" w:fill="F2F2F2" w:themeFill="background1" w:themeFillShade="F2"/>
            <w:vAlign w:val="center"/>
          </w:tcPr>
          <w:p w14:paraId="3EE4E48D" w14:textId="3270B246" w:rsidR="00C00817" w:rsidRPr="00C97518" w:rsidRDefault="00C00817" w:rsidP="00C00817">
            <w:pPr>
              <w:pStyle w:val="TableBody"/>
              <w:keepNext/>
              <w:keepLines/>
              <w:rPr>
                <w:rFonts w:cs="Arial"/>
              </w:rPr>
            </w:pPr>
            <w:r w:rsidRPr="00C97518">
              <w:rPr>
                <w:rFonts w:eastAsiaTheme="minorEastAsia"/>
                <w:szCs w:val="20"/>
                <w:lang w:eastAsia="en-US"/>
              </w:rPr>
              <w:t>4 MHz ≤ f</w:t>
            </w:r>
            <w:r w:rsidRPr="00C97518">
              <w:rPr>
                <w:rFonts w:eastAsiaTheme="minorEastAsia"/>
                <w:szCs w:val="20"/>
                <w:vertAlign w:val="subscript"/>
                <w:lang w:eastAsia="en-US"/>
              </w:rPr>
              <w:t>offset</w:t>
            </w:r>
            <w:r w:rsidRPr="00C97518">
              <w:rPr>
                <w:rFonts w:eastAsiaTheme="minorEastAsia"/>
                <w:szCs w:val="20"/>
                <w:lang w:eastAsia="en-US"/>
              </w:rPr>
              <w:t xml:space="preserve"> &lt; 5 MHz</w:t>
            </w:r>
          </w:p>
        </w:tc>
        <w:tc>
          <w:tcPr>
            <w:tcW w:w="3818" w:type="dxa"/>
            <w:tcBorders>
              <w:top w:val="single" w:sz="4" w:space="0" w:color="auto"/>
              <w:left w:val="nil"/>
              <w:bottom w:val="single" w:sz="4" w:space="0" w:color="auto"/>
              <w:right w:val="nil"/>
            </w:tcBorders>
            <w:shd w:val="clear" w:color="auto" w:fill="F2F2F2" w:themeFill="background1" w:themeFillShade="F2"/>
            <w:vAlign w:val="center"/>
          </w:tcPr>
          <w:p w14:paraId="6E20BFD9" w14:textId="062D9C8F" w:rsidR="00C00817" w:rsidRPr="00C97518" w:rsidRDefault="00C00817" w:rsidP="00C00817">
            <w:pPr>
              <w:pStyle w:val="TableBody"/>
              <w:keepNext/>
              <w:keepLines/>
              <w:jc w:val="center"/>
              <w:rPr>
                <w:rFonts w:cs="Arial"/>
              </w:rPr>
            </w:pPr>
            <m:oMathPara>
              <m:oMath>
                <m:r>
                  <w:rPr>
                    <w:rFonts w:ascii="Cambria Math" w:hAnsi="Cambria Math"/>
                    <w:szCs w:val="22"/>
                    <w:lang w:eastAsia="en-US"/>
                  </w:rPr>
                  <m:t>-4</m:t>
                </m:r>
              </m:oMath>
            </m:oMathPara>
          </w:p>
        </w:tc>
        <w:tc>
          <w:tcPr>
            <w:tcW w:w="2295" w:type="dxa"/>
            <w:tcBorders>
              <w:top w:val="single" w:sz="4" w:space="0" w:color="auto"/>
              <w:left w:val="nil"/>
              <w:bottom w:val="single" w:sz="4" w:space="0" w:color="auto"/>
              <w:right w:val="nil"/>
            </w:tcBorders>
            <w:shd w:val="clear" w:color="auto" w:fill="F2F2F2" w:themeFill="background1" w:themeFillShade="F2"/>
            <w:vAlign w:val="center"/>
          </w:tcPr>
          <w:p w14:paraId="796CE4BC" w14:textId="73786857"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5912C8C4" w14:textId="77777777" w:rsidTr="00150E2F">
        <w:trPr>
          <w:tblHeader/>
        </w:trPr>
        <w:tc>
          <w:tcPr>
            <w:tcW w:w="2539" w:type="dxa"/>
            <w:tcBorders>
              <w:top w:val="single" w:sz="4" w:space="0" w:color="auto"/>
              <w:left w:val="nil"/>
              <w:bottom w:val="single" w:sz="4" w:space="0" w:color="auto"/>
              <w:right w:val="nil"/>
            </w:tcBorders>
            <w:vAlign w:val="center"/>
          </w:tcPr>
          <w:p w14:paraId="6B450DB2" w14:textId="77F25C63" w:rsidR="00C00817" w:rsidRPr="00C97518" w:rsidRDefault="00C00817" w:rsidP="00C00817">
            <w:pPr>
              <w:pStyle w:val="TableBody"/>
              <w:keepNext/>
              <w:keepLines/>
              <w:rPr>
                <w:rFonts w:cs="Arial"/>
              </w:rPr>
            </w:pPr>
            <w:r w:rsidRPr="00C97518">
              <w:rPr>
                <w:rFonts w:eastAsiaTheme="minorEastAsia"/>
                <w:szCs w:val="20"/>
                <w:lang w:eastAsia="en-US"/>
              </w:rPr>
              <w:t>5 MHz ≤ f</w:t>
            </w:r>
            <w:r w:rsidRPr="00C97518">
              <w:rPr>
                <w:rFonts w:eastAsiaTheme="minorEastAsia"/>
                <w:szCs w:val="20"/>
                <w:vertAlign w:val="subscript"/>
                <w:lang w:eastAsia="en-US"/>
              </w:rPr>
              <w:t>offset</w:t>
            </w:r>
            <w:r w:rsidRPr="00C97518">
              <w:rPr>
                <w:rFonts w:eastAsiaTheme="minorEastAsia"/>
                <w:szCs w:val="20"/>
                <w:lang w:eastAsia="en-US"/>
              </w:rPr>
              <w:t xml:space="preserve"> &lt; 10 MHz</w:t>
            </w:r>
          </w:p>
        </w:tc>
        <w:tc>
          <w:tcPr>
            <w:tcW w:w="3818" w:type="dxa"/>
            <w:tcBorders>
              <w:top w:val="single" w:sz="4" w:space="0" w:color="auto"/>
              <w:left w:val="nil"/>
              <w:bottom w:val="single" w:sz="4" w:space="0" w:color="auto"/>
              <w:right w:val="nil"/>
            </w:tcBorders>
            <w:vAlign w:val="center"/>
          </w:tcPr>
          <w:p w14:paraId="532B4C9D" w14:textId="55413C55" w:rsidR="00C00817" w:rsidRPr="00C97518" w:rsidRDefault="00C00817" w:rsidP="00C00817">
            <w:pPr>
              <w:pStyle w:val="TableBody"/>
              <w:keepNext/>
              <w:keepLines/>
              <w:jc w:val="center"/>
              <w:rPr>
                <w:rFonts w:cs="Arial"/>
              </w:rPr>
            </w:pPr>
            <m:oMathPara>
              <m:oMath>
                <m:r>
                  <w:rPr>
                    <w:rFonts w:ascii="Cambria Math" w:hAnsi="Cambria Math"/>
                    <w:szCs w:val="22"/>
                    <w:lang w:eastAsia="en-US"/>
                  </w:rPr>
                  <m:t>-1</m:t>
                </m:r>
              </m:oMath>
            </m:oMathPara>
          </w:p>
        </w:tc>
        <w:tc>
          <w:tcPr>
            <w:tcW w:w="2295" w:type="dxa"/>
            <w:tcBorders>
              <w:top w:val="single" w:sz="4" w:space="0" w:color="auto"/>
              <w:left w:val="nil"/>
              <w:bottom w:val="single" w:sz="4" w:space="0" w:color="auto"/>
              <w:right w:val="nil"/>
            </w:tcBorders>
            <w:vAlign w:val="center"/>
          </w:tcPr>
          <w:p w14:paraId="3F27130E" w14:textId="1F0509F5"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r w:rsidR="00C00817" w:rsidRPr="00C97518" w14:paraId="42C07A79" w14:textId="77777777" w:rsidTr="00150E2F">
        <w:trPr>
          <w:tblHeader/>
        </w:trPr>
        <w:tc>
          <w:tcPr>
            <w:tcW w:w="2539" w:type="dxa"/>
            <w:tcBorders>
              <w:top w:val="single" w:sz="4" w:space="0" w:color="auto"/>
              <w:left w:val="nil"/>
              <w:bottom w:val="single" w:sz="4" w:space="0" w:color="auto"/>
              <w:right w:val="nil"/>
            </w:tcBorders>
            <w:vAlign w:val="center"/>
          </w:tcPr>
          <w:p w14:paraId="1C8BB4CF" w14:textId="1F5BABF6" w:rsidR="00C00817" w:rsidRPr="00C97518" w:rsidRDefault="00C00817" w:rsidP="00C00817">
            <w:pPr>
              <w:pStyle w:val="TableBody"/>
              <w:keepNext/>
              <w:keepLines/>
              <w:rPr>
                <w:rFonts w:cs="Arial"/>
              </w:rPr>
            </w:pPr>
            <w:r w:rsidRPr="00C97518">
              <w:rPr>
                <w:rFonts w:eastAsiaTheme="minorEastAsia"/>
                <w:szCs w:val="20"/>
                <w:lang w:eastAsia="en-US"/>
              </w:rPr>
              <w:t>f</w:t>
            </w:r>
            <w:r w:rsidRPr="00C97518">
              <w:rPr>
                <w:rFonts w:eastAsiaTheme="minorEastAsia"/>
                <w:szCs w:val="20"/>
                <w:vertAlign w:val="subscript"/>
                <w:lang w:eastAsia="en-US"/>
              </w:rPr>
              <w:t>offset</w:t>
            </w:r>
            <w:r w:rsidRPr="00C97518">
              <w:rPr>
                <w:rFonts w:eastAsiaTheme="minorEastAsia"/>
                <w:szCs w:val="20"/>
                <w:lang w:eastAsia="en-US"/>
              </w:rPr>
              <w:t xml:space="preserve"> ≥ 10 MHz</w:t>
            </w:r>
          </w:p>
        </w:tc>
        <w:tc>
          <w:tcPr>
            <w:tcW w:w="3818" w:type="dxa"/>
            <w:tcBorders>
              <w:top w:val="single" w:sz="4" w:space="0" w:color="auto"/>
              <w:left w:val="nil"/>
              <w:bottom w:val="single" w:sz="4" w:space="0" w:color="auto"/>
              <w:right w:val="nil"/>
            </w:tcBorders>
            <w:vAlign w:val="center"/>
          </w:tcPr>
          <w:p w14:paraId="36A43D0B" w14:textId="7C3FDA26" w:rsidR="00C00817" w:rsidRPr="00C97518" w:rsidRDefault="00C00817" w:rsidP="00C00817">
            <w:pPr>
              <w:pStyle w:val="TableBody"/>
              <w:keepNext/>
              <w:keepLines/>
              <w:jc w:val="center"/>
              <w:rPr>
                <w:rFonts w:cs="Arial"/>
              </w:rPr>
            </w:pPr>
            <m:oMath>
              <m:r>
                <w:rPr>
                  <w:rFonts w:ascii="Cambria Math" w:hAnsi="Cambria Math"/>
                  <w:szCs w:val="22"/>
                  <w:lang w:eastAsia="en-US"/>
                </w:rPr>
                <m:t>-</m:t>
              </m:r>
            </m:oMath>
            <w:r w:rsidR="00923954">
              <w:rPr>
                <w:szCs w:val="22"/>
                <w:lang w:eastAsia="en-US"/>
              </w:rPr>
              <w:t>12</w:t>
            </w:r>
          </w:p>
        </w:tc>
        <w:tc>
          <w:tcPr>
            <w:tcW w:w="2295" w:type="dxa"/>
            <w:tcBorders>
              <w:top w:val="single" w:sz="4" w:space="0" w:color="auto"/>
              <w:left w:val="nil"/>
              <w:bottom w:val="single" w:sz="4" w:space="0" w:color="auto"/>
              <w:right w:val="nil"/>
            </w:tcBorders>
            <w:vAlign w:val="center"/>
          </w:tcPr>
          <w:p w14:paraId="55C6B2A6" w14:textId="3A36B296"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bl>
    <w:p w14:paraId="40ACE863" w14:textId="77777777" w:rsidR="00C00817" w:rsidRPr="00C97518" w:rsidRDefault="00C00817" w:rsidP="00C00817">
      <w:pPr>
        <w:pStyle w:val="ACMASpaceaftertable"/>
      </w:pPr>
    </w:p>
    <w:p w14:paraId="4AC2E8E9" w14:textId="06F8CC52" w:rsidR="00C00817" w:rsidRPr="00C97518" w:rsidRDefault="00C00817" w:rsidP="00C00817">
      <w:pPr>
        <w:rPr>
          <w:u w:val="single"/>
        </w:rPr>
      </w:pPr>
      <w:r w:rsidRPr="00C97518">
        <w:rPr>
          <w:u w:val="single"/>
        </w:rPr>
        <w:t>Unwanted Emission Limits from the 2170 MHz band edge</w:t>
      </w:r>
    </w:p>
    <w:p w14:paraId="224839BD" w14:textId="39F15973" w:rsidR="00594548" w:rsidRPr="00C97518" w:rsidRDefault="007552D9" w:rsidP="00594548">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i</w:t>
      </w:r>
      <w:r w:rsidR="00594548" w:rsidRPr="00C97518">
        <w:t>t is proposed that the r</w:t>
      </w:r>
      <w:r w:rsidR="00594548" w:rsidRPr="00C97518">
        <w:rPr>
          <w:rFonts w:eastAsiaTheme="minorEastAsia"/>
          <w:szCs w:val="22"/>
          <w:lang w:eastAsia="en-US"/>
        </w:rPr>
        <w:t xml:space="preserve">adiated unwanted emission limits above 2170 MHz be based on: </w:t>
      </w:r>
    </w:p>
    <w:p w14:paraId="47DBCC5F" w14:textId="3A2304C1" w:rsidR="00594548" w:rsidRPr="00C97518" w:rsidRDefault="00594548" w:rsidP="00594548">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from 0-10 MHz above the band edge (2170-2180 MHz), the levels stated in 3GPP 36.104 for Category B (option 1) wide-area base stations operating in bands greater than 1 GHz</w:t>
      </w:r>
      <w:r w:rsidRPr="00C97518">
        <w:rPr>
          <w:rFonts w:eastAsia="Times New Roman" w:cs="Times New Roman"/>
          <w:sz w:val="20"/>
          <w:vertAlign w:val="superscript"/>
          <w:lang w:eastAsia="en-AU"/>
        </w:rPr>
        <w:footnoteReference w:id="10"/>
      </w:r>
      <w:r w:rsidR="00A358D7">
        <w:rPr>
          <w:rFonts w:ascii="Arial" w:eastAsia="Times New Roman" w:hAnsi="Arial" w:cs="Times New Roman"/>
          <w:sz w:val="20"/>
          <w:lang w:eastAsia="en-AU"/>
        </w:rPr>
        <w:t>, with the addition of a</w:t>
      </w:r>
      <w:r w:rsidRPr="00C97518">
        <w:rPr>
          <w:rFonts w:ascii="Arial" w:eastAsia="Times New Roman" w:hAnsi="Arial" w:cs="Times New Roman"/>
          <w:sz w:val="20"/>
          <w:lang w:eastAsia="en-AU"/>
        </w:rPr>
        <w:t xml:space="preserve"> 1</w:t>
      </w:r>
      <w:r w:rsidR="00FA661D">
        <w:rPr>
          <w:rFonts w:ascii="Arial" w:eastAsia="Times New Roman" w:hAnsi="Arial" w:cs="Times New Roman"/>
          <w:sz w:val="20"/>
          <w:lang w:eastAsia="en-AU"/>
        </w:rPr>
        <w:t>9</w:t>
      </w:r>
      <w:r w:rsidRPr="00C97518">
        <w:rPr>
          <w:rFonts w:ascii="Arial" w:eastAsia="Times New Roman" w:hAnsi="Arial" w:cs="Times New Roman"/>
          <w:sz w:val="20"/>
          <w:lang w:eastAsia="en-AU"/>
        </w:rPr>
        <w:t xml:space="preserve"> dBi gain antenna;</w:t>
      </w:r>
      <w:r w:rsidRPr="00C97518">
        <w:rPr>
          <w:rFonts w:ascii="Arial" w:eastAsia="Times New Roman" w:hAnsi="Arial" w:cs="Times New Roman"/>
          <w:sz w:val="20"/>
          <w:vertAlign w:val="superscript"/>
          <w:lang w:eastAsia="en-AU"/>
        </w:rPr>
        <w:t xml:space="preserve"> and</w:t>
      </w:r>
    </w:p>
    <w:p w14:paraId="5BE37535" w14:textId="66A714A3" w:rsidR="00594548" w:rsidRPr="00C97518" w:rsidRDefault="00594548" w:rsidP="00594548">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10 MHz above the band edge (above 2180 MHz), a radiated level of -11 dBm/MHz.</w:t>
      </w:r>
    </w:p>
    <w:p w14:paraId="401449EC" w14:textId="77777777" w:rsidR="00594548" w:rsidRPr="00C97518" w:rsidRDefault="00594548" w:rsidP="00594548"/>
    <w:p w14:paraId="6564AA24" w14:textId="593778B5" w:rsidR="00594548" w:rsidRPr="00C97518" w:rsidRDefault="00594548" w:rsidP="00594548">
      <w:r w:rsidRPr="00C97518">
        <w:t>The levels defined mirror the out-of-band and spurious emission limits defined for an LTE base station in 3GPP 36.104</w:t>
      </w:r>
      <w:r w:rsidRPr="00C97518">
        <w:rPr>
          <w:vertAlign w:val="superscript"/>
        </w:rPr>
        <w:footnoteReference w:id="11"/>
      </w:r>
      <w:r w:rsidRPr="00C97518">
        <w:t xml:space="preserve">, with the addition of appropriately assumed antenna gain. </w:t>
      </w:r>
    </w:p>
    <w:p w14:paraId="1548729F" w14:textId="1761FA28" w:rsidR="00594548" w:rsidRPr="00C97518" w:rsidRDefault="00594548" w:rsidP="00594548">
      <w:r w:rsidRPr="00C97518">
        <w:t>The unwanted emission limit below 2100 MHz is based on the spurious emission limit for LTE base station transmitters with the addition of a 19 dBi gain antenna. 3GPP 36.104</w:t>
      </w:r>
      <w:r w:rsidRPr="00C97518">
        <w:rPr>
          <w:vertAlign w:val="superscript"/>
        </w:rPr>
        <w:footnoteReference w:id="12"/>
      </w:r>
      <w:r w:rsidRPr="00C97518">
        <w:t xml:space="preserve"> defines the spurious domain for LTE base stations commencing </w:t>
      </w:r>
      <w:r w:rsidRPr="00C97518">
        <w:rPr>
          <w:rFonts w:cs="Arial"/>
        </w:rPr>
        <w:t>±</w:t>
      </w:r>
      <w:r w:rsidRPr="00C97518">
        <w:t xml:space="preserve"> 10 MHz outside the 2110-2170 MHz band.</w:t>
      </w:r>
    </w:p>
    <w:p w14:paraId="6DEC5F75" w14:textId="602F4BF8" w:rsidR="00BA6F28" w:rsidRPr="00C97518" w:rsidRDefault="00BA6F28" w:rsidP="00BA6F28">
      <w:r w:rsidRPr="00C97518">
        <w:t xml:space="preserve">The resulting radiated unwanted emission limits above 2170 MHz band are shown in Table B1.3. </w:t>
      </w:r>
    </w:p>
    <w:p w14:paraId="51D22882" w14:textId="77777777" w:rsidR="00BA6F28" w:rsidRPr="00C97518" w:rsidRDefault="00BA6F28">
      <w:pPr>
        <w:spacing w:after="0" w:line="240" w:lineRule="auto"/>
        <w:rPr>
          <w:b/>
          <w:bCs/>
          <w:color w:val="323232"/>
          <w:szCs w:val="20"/>
        </w:rPr>
      </w:pPr>
      <w:r w:rsidRPr="00C97518">
        <w:br w:type="page"/>
      </w:r>
    </w:p>
    <w:p w14:paraId="2EF75A9C" w14:textId="1182610F" w:rsidR="00C00817" w:rsidRPr="00C97518" w:rsidRDefault="00C00817" w:rsidP="00C00817">
      <w:pPr>
        <w:pStyle w:val="ACMATableHeader"/>
        <w:numPr>
          <w:ilvl w:val="0"/>
          <w:numId w:val="0"/>
        </w:numPr>
        <w:ind w:left="964" w:hanging="964"/>
      </w:pPr>
      <w:r w:rsidRPr="00C97518">
        <w:t>Table B1</w:t>
      </w:r>
      <w:r w:rsidR="00BA6F28" w:rsidRPr="00C97518">
        <w:t>.3</w:t>
      </w:r>
      <w:r w:rsidRPr="00C97518">
        <w:t>:</w:t>
      </w:r>
      <w:r w:rsidRPr="00C97518">
        <w:tab/>
        <w:t>R</w:t>
      </w:r>
      <w:r w:rsidRPr="00C97518">
        <w:rPr>
          <w:rFonts w:eastAsiaTheme="minorEastAsia"/>
          <w:szCs w:val="22"/>
          <w:lang w:eastAsia="en-US"/>
        </w:rPr>
        <w:t xml:space="preserve">adiated unwanted emission limits </w:t>
      </w:r>
      <w:r w:rsidR="00594548" w:rsidRPr="00C97518">
        <w:rPr>
          <w:rFonts w:eastAsiaTheme="minorEastAsia"/>
          <w:szCs w:val="22"/>
          <w:lang w:eastAsia="en-US"/>
        </w:rPr>
        <w:t>above</w:t>
      </w:r>
      <w:r w:rsidRPr="00C97518">
        <w:rPr>
          <w:rFonts w:eastAsiaTheme="minorEastAsia"/>
          <w:szCs w:val="22"/>
          <w:lang w:eastAsia="en-US"/>
        </w:rPr>
        <w:t xml:space="preserve"> the 2170 MHz band</w:t>
      </w:r>
      <w:r w:rsidRPr="00C97518">
        <w:t xml:space="preserve"> edge</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00817" w:rsidRPr="00C97518" w14:paraId="52643265" w14:textId="77777777" w:rsidTr="00150E2F">
        <w:trPr>
          <w:trHeight w:val="547"/>
          <w:tblHeader/>
        </w:trPr>
        <w:tc>
          <w:tcPr>
            <w:tcW w:w="2539" w:type="dxa"/>
            <w:tcBorders>
              <w:top w:val="single" w:sz="4" w:space="0" w:color="auto"/>
              <w:left w:val="nil"/>
              <w:bottom w:val="single" w:sz="4" w:space="0" w:color="auto"/>
              <w:right w:val="nil"/>
            </w:tcBorders>
            <w:shd w:val="clear" w:color="auto" w:fill="404040" w:themeFill="text1" w:themeFillTint="BF"/>
          </w:tcPr>
          <w:p w14:paraId="625BD1E9" w14:textId="77777777" w:rsidR="00C00817" w:rsidRPr="00C97518" w:rsidRDefault="00C00817" w:rsidP="00150E2F">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7790BD2B" w14:textId="77777777" w:rsidR="00C00817" w:rsidRPr="00C97518" w:rsidRDefault="00C00817" w:rsidP="00150E2F">
            <w:pPr>
              <w:pStyle w:val="TableHeading"/>
              <w:jc w:val="center"/>
              <w:rPr>
                <w:color w:val="FFFFFF" w:themeColor="background1"/>
              </w:rPr>
            </w:pPr>
            <w:r w:rsidRPr="00C97518">
              <w:rPr>
                <w:color w:val="FFFFFF" w:themeColor="background1"/>
              </w:rPr>
              <w:t>Radiated maximum true mean power</w:t>
            </w:r>
          </w:p>
          <w:p w14:paraId="06B61F8C" w14:textId="77777777" w:rsidR="00C00817" w:rsidRPr="00C97518" w:rsidRDefault="00C00817" w:rsidP="00150E2F">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13E4FA54" w14:textId="77777777" w:rsidR="00C00817" w:rsidRPr="00C97518" w:rsidRDefault="00C00817" w:rsidP="00150E2F">
            <w:pPr>
              <w:pStyle w:val="TableHeading"/>
              <w:jc w:val="center"/>
              <w:rPr>
                <w:color w:val="FFFFFF" w:themeColor="background1"/>
              </w:rPr>
            </w:pPr>
            <w:r w:rsidRPr="00C97518">
              <w:rPr>
                <w:color w:val="FFFFFF" w:themeColor="background1"/>
              </w:rPr>
              <w:t>Specified bandwidth</w:t>
            </w:r>
          </w:p>
        </w:tc>
      </w:tr>
      <w:tr w:rsidR="00C00817" w:rsidRPr="00C97518" w14:paraId="37EDE665" w14:textId="77777777" w:rsidTr="00150E2F">
        <w:trPr>
          <w:tblHeader/>
        </w:trPr>
        <w:tc>
          <w:tcPr>
            <w:tcW w:w="2539" w:type="dxa"/>
            <w:tcBorders>
              <w:top w:val="single" w:sz="4" w:space="0" w:color="auto"/>
              <w:left w:val="nil"/>
              <w:bottom w:val="single" w:sz="4" w:space="0" w:color="auto"/>
              <w:right w:val="nil"/>
            </w:tcBorders>
            <w:vAlign w:val="center"/>
          </w:tcPr>
          <w:p w14:paraId="68EE2A46" w14:textId="19FC123A" w:rsidR="00C00817" w:rsidRPr="00C97518" w:rsidRDefault="00C00817" w:rsidP="00C00817">
            <w:pPr>
              <w:pStyle w:val="TableBody"/>
              <w:keepNext/>
              <w:keepLines/>
              <w:rPr>
                <w:rFonts w:cs="Arial"/>
              </w:rPr>
            </w:pPr>
            <w:r w:rsidRPr="00C97518">
              <w:rPr>
                <w:rFonts w:eastAsiaTheme="minorEastAsia"/>
                <w:szCs w:val="20"/>
                <w:lang w:eastAsia="en-US"/>
              </w:rPr>
              <w:t>0 kHz ≤ f</w:t>
            </w:r>
            <w:r w:rsidRPr="00C97518">
              <w:rPr>
                <w:rFonts w:eastAsiaTheme="minorEastAsia"/>
                <w:szCs w:val="20"/>
                <w:vertAlign w:val="subscript"/>
                <w:lang w:eastAsia="en-US"/>
              </w:rPr>
              <w:t>offset</w:t>
            </w:r>
            <w:r w:rsidRPr="00C97518">
              <w:rPr>
                <w:rFonts w:eastAsiaTheme="minorEastAsia"/>
                <w:szCs w:val="20"/>
                <w:lang w:eastAsia="en-US"/>
              </w:rPr>
              <w:t xml:space="preserve"> &lt; 5 MHz</w:t>
            </w:r>
          </w:p>
        </w:tc>
        <w:tc>
          <w:tcPr>
            <w:tcW w:w="3818" w:type="dxa"/>
            <w:tcBorders>
              <w:top w:val="single" w:sz="4" w:space="0" w:color="auto"/>
              <w:left w:val="nil"/>
              <w:bottom w:val="single" w:sz="4" w:space="0" w:color="auto"/>
              <w:right w:val="nil"/>
            </w:tcBorders>
            <w:vAlign w:val="center"/>
          </w:tcPr>
          <w:p w14:paraId="13D8BA9D" w14:textId="1210FF81" w:rsidR="00C00817" w:rsidRPr="00C97518" w:rsidRDefault="00923954" w:rsidP="00C00817">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szCs w:val="20"/>
                        <w:lang w:eastAsia="en-US"/>
                      </w:rPr>
                    </m:ctrlPr>
                  </m:dPr>
                  <m:e>
                    <m:f>
                      <m:fPr>
                        <m:type m:val="lin"/>
                        <m:ctrlPr>
                          <w:rPr>
                            <w:rFonts w:ascii="Cambria Math" w:eastAsiaTheme="minorEastAsia" w:hAnsi="Cambria Math"/>
                            <w:i/>
                            <w:szCs w:val="20"/>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szCs w:val="20"/>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szCs w:val="20"/>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vAlign w:val="center"/>
          </w:tcPr>
          <w:p w14:paraId="7C7BE42F" w14:textId="5DDB87D5"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2F05B520" w14:textId="77777777" w:rsidTr="00150E2F">
        <w:trPr>
          <w:tblHeader/>
        </w:trPr>
        <w:tc>
          <w:tcPr>
            <w:tcW w:w="2539" w:type="dxa"/>
            <w:tcBorders>
              <w:top w:val="single" w:sz="4" w:space="0" w:color="auto"/>
              <w:left w:val="nil"/>
              <w:bottom w:val="single" w:sz="4" w:space="0" w:color="auto"/>
              <w:right w:val="nil"/>
            </w:tcBorders>
            <w:shd w:val="clear" w:color="auto" w:fill="F2F2F2" w:themeFill="background1" w:themeFillShade="F2"/>
            <w:vAlign w:val="center"/>
          </w:tcPr>
          <w:p w14:paraId="3CAC8C54" w14:textId="1C934689" w:rsidR="00C00817" w:rsidRPr="00C97518" w:rsidRDefault="00C00817" w:rsidP="00C00817">
            <w:pPr>
              <w:pStyle w:val="TableBody"/>
              <w:keepNext/>
              <w:keepLines/>
              <w:rPr>
                <w:rFonts w:cs="Arial"/>
              </w:rPr>
            </w:pPr>
            <w:r w:rsidRPr="00C97518">
              <w:rPr>
                <w:rFonts w:eastAsiaTheme="minorEastAsia"/>
                <w:szCs w:val="20"/>
                <w:lang w:eastAsia="en-US"/>
              </w:rPr>
              <w:t>5 MHz ≤ f</w:t>
            </w:r>
            <w:r w:rsidRPr="00C97518">
              <w:rPr>
                <w:rFonts w:eastAsiaTheme="minorEastAsia"/>
                <w:szCs w:val="20"/>
                <w:vertAlign w:val="subscript"/>
                <w:lang w:eastAsia="en-US"/>
              </w:rPr>
              <w:t>offset</w:t>
            </w:r>
            <w:r w:rsidRPr="00C97518">
              <w:rPr>
                <w:rFonts w:eastAsiaTheme="minorEastAsia"/>
                <w:szCs w:val="20"/>
                <w:lang w:eastAsia="en-US"/>
              </w:rPr>
              <w:t xml:space="preserve"> &lt; 10 MHz</w:t>
            </w:r>
          </w:p>
        </w:tc>
        <w:tc>
          <w:tcPr>
            <w:tcW w:w="3818" w:type="dxa"/>
            <w:tcBorders>
              <w:top w:val="single" w:sz="4" w:space="0" w:color="auto"/>
              <w:left w:val="nil"/>
              <w:bottom w:val="single" w:sz="4" w:space="0" w:color="auto"/>
              <w:right w:val="nil"/>
            </w:tcBorders>
            <w:shd w:val="clear" w:color="auto" w:fill="F2F2F2" w:themeFill="background1" w:themeFillShade="F2"/>
            <w:vAlign w:val="center"/>
          </w:tcPr>
          <w:p w14:paraId="429051F9" w14:textId="6334D4D5" w:rsidR="00C00817" w:rsidRPr="00C97518" w:rsidRDefault="00923954" w:rsidP="00923954">
            <w:pPr>
              <w:pStyle w:val="TableBody"/>
              <w:keepNext/>
              <w:keepLines/>
              <w:jc w:val="center"/>
              <w:rPr>
                <w:rFonts w:cs="Arial"/>
              </w:rPr>
            </w:pPr>
            <m:oMathPara>
              <m:oMath>
                <m:r>
                  <w:rPr>
                    <w:rFonts w:ascii="Cambria Math" w:hAnsi="Cambria Math" w:cs="Arial"/>
                  </w:rPr>
                  <m:t>4</m:t>
                </m:r>
              </m:oMath>
            </m:oMathPara>
          </w:p>
        </w:tc>
        <w:tc>
          <w:tcPr>
            <w:tcW w:w="2295" w:type="dxa"/>
            <w:tcBorders>
              <w:top w:val="single" w:sz="4" w:space="0" w:color="auto"/>
              <w:left w:val="nil"/>
              <w:bottom w:val="single" w:sz="4" w:space="0" w:color="auto"/>
              <w:right w:val="nil"/>
            </w:tcBorders>
            <w:shd w:val="clear" w:color="auto" w:fill="F2F2F2" w:themeFill="background1" w:themeFillShade="F2"/>
            <w:vAlign w:val="center"/>
          </w:tcPr>
          <w:p w14:paraId="35A5A708" w14:textId="343ACD39"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284FB8B8" w14:textId="77777777" w:rsidTr="00150E2F">
        <w:trPr>
          <w:tblHeader/>
        </w:trPr>
        <w:tc>
          <w:tcPr>
            <w:tcW w:w="2539" w:type="dxa"/>
            <w:tcBorders>
              <w:top w:val="single" w:sz="4" w:space="0" w:color="auto"/>
              <w:left w:val="nil"/>
              <w:bottom w:val="single" w:sz="4" w:space="0" w:color="auto"/>
              <w:right w:val="nil"/>
            </w:tcBorders>
            <w:vAlign w:val="center"/>
          </w:tcPr>
          <w:p w14:paraId="09025097" w14:textId="7D31D64E" w:rsidR="00C00817" w:rsidRPr="00C97518" w:rsidRDefault="00C00817" w:rsidP="00C00817">
            <w:pPr>
              <w:pStyle w:val="TableBody"/>
              <w:keepNext/>
              <w:keepLines/>
              <w:rPr>
                <w:rFonts w:cs="Arial"/>
              </w:rPr>
            </w:pPr>
            <w:r w:rsidRPr="00C97518">
              <w:rPr>
                <w:rFonts w:eastAsiaTheme="minorEastAsia"/>
                <w:szCs w:val="20"/>
                <w:lang w:eastAsia="en-US"/>
              </w:rPr>
              <w:t>f</w:t>
            </w:r>
            <w:r w:rsidRPr="00C97518">
              <w:rPr>
                <w:rFonts w:eastAsiaTheme="minorEastAsia"/>
                <w:szCs w:val="20"/>
                <w:vertAlign w:val="subscript"/>
                <w:lang w:eastAsia="en-US"/>
              </w:rPr>
              <w:t>offset</w:t>
            </w:r>
            <w:r w:rsidRPr="00C97518">
              <w:rPr>
                <w:rFonts w:eastAsiaTheme="minorEastAsia"/>
                <w:szCs w:val="20"/>
                <w:lang w:eastAsia="en-US"/>
              </w:rPr>
              <w:t xml:space="preserve"> ≥ 10 MHz</w:t>
            </w:r>
          </w:p>
        </w:tc>
        <w:tc>
          <w:tcPr>
            <w:tcW w:w="3818" w:type="dxa"/>
            <w:tcBorders>
              <w:top w:val="single" w:sz="4" w:space="0" w:color="auto"/>
              <w:left w:val="nil"/>
              <w:bottom w:val="single" w:sz="4" w:space="0" w:color="auto"/>
              <w:right w:val="nil"/>
            </w:tcBorders>
            <w:vAlign w:val="center"/>
          </w:tcPr>
          <w:p w14:paraId="38DA5AAB" w14:textId="355AE40E" w:rsidR="00C00817" w:rsidRPr="00C97518" w:rsidRDefault="00C00817" w:rsidP="00C00817">
            <w:pPr>
              <w:pStyle w:val="TableBody"/>
              <w:keepNext/>
              <w:keepLines/>
              <w:jc w:val="center"/>
              <w:rPr>
                <w:rFonts w:cs="Arial"/>
              </w:rPr>
            </w:pPr>
            <m:oMath>
              <m:r>
                <w:rPr>
                  <w:rFonts w:ascii="Cambria Math" w:hAnsi="Cambria Math"/>
                  <w:szCs w:val="22"/>
                  <w:lang w:eastAsia="en-US"/>
                </w:rPr>
                <m:t>-</m:t>
              </m:r>
            </m:oMath>
            <w:r w:rsidR="00923954">
              <w:rPr>
                <w:szCs w:val="22"/>
                <w:lang w:eastAsia="en-US"/>
              </w:rPr>
              <w:t>12</w:t>
            </w:r>
          </w:p>
        </w:tc>
        <w:tc>
          <w:tcPr>
            <w:tcW w:w="2295" w:type="dxa"/>
            <w:tcBorders>
              <w:top w:val="single" w:sz="4" w:space="0" w:color="auto"/>
              <w:left w:val="nil"/>
              <w:bottom w:val="single" w:sz="4" w:space="0" w:color="auto"/>
              <w:right w:val="nil"/>
            </w:tcBorders>
            <w:vAlign w:val="center"/>
          </w:tcPr>
          <w:p w14:paraId="2BD5133C" w14:textId="265A97F0"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bl>
    <w:p w14:paraId="31C7ED2D" w14:textId="77777777" w:rsidR="00C00817" w:rsidRPr="00C97518" w:rsidRDefault="00C00817" w:rsidP="0027403F"/>
    <w:p w14:paraId="2248F0F6" w14:textId="4D7FF48E" w:rsidR="00C00817" w:rsidRPr="00C97518" w:rsidRDefault="00C00817" w:rsidP="00C00817">
      <w:pPr>
        <w:rPr>
          <w:u w:val="single"/>
        </w:rPr>
      </w:pPr>
      <w:r w:rsidRPr="00C97518">
        <w:rPr>
          <w:u w:val="single"/>
        </w:rPr>
        <w:t>Unwanted Emission Limits within the 1920-1980 MHz band</w:t>
      </w:r>
    </w:p>
    <w:p w14:paraId="6350DA3E" w14:textId="16B3E8FC" w:rsidR="00C00817" w:rsidRPr="00C97518" w:rsidRDefault="00A358D7" w:rsidP="00C00817">
      <w:pPr>
        <w:rPr>
          <w:rFonts w:eastAsiaTheme="minorEastAsia"/>
          <w:szCs w:val="22"/>
          <w:lang w:eastAsia="en-US"/>
        </w:rPr>
      </w:pPr>
      <w:r w:rsidRPr="00C97518">
        <w:rPr>
          <w:rFonts w:eastAsiaTheme="minorEastAsia"/>
          <w:szCs w:val="22"/>
          <w:lang w:eastAsia="en-US"/>
        </w:rPr>
        <w:t>For devices operating in the 1920-1980 MHz band,</w:t>
      </w:r>
      <w:r w:rsidRPr="00C97518">
        <w:t xml:space="preserve"> </w:t>
      </w:r>
      <w:r>
        <w:t xml:space="preserve">it is proposed that </w:t>
      </w:r>
      <w:r w:rsidR="00C00817" w:rsidRPr="00C97518">
        <w:t>the r</w:t>
      </w:r>
      <w:r w:rsidR="00C00817" w:rsidRPr="00C97518">
        <w:rPr>
          <w:rFonts w:eastAsiaTheme="minorEastAsia"/>
          <w:szCs w:val="22"/>
          <w:lang w:eastAsia="en-US"/>
        </w:rPr>
        <w:t xml:space="preserve">adiated unwanted emission limits within the 1920-1980 MHz band be based on: </w:t>
      </w:r>
    </w:p>
    <w:p w14:paraId="51C42808" w14:textId="77777777" w:rsidR="008C3AB0" w:rsidRPr="00C97518" w:rsidRDefault="00C00817" w:rsidP="00C00817">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the general limits for user terminals stated in 3GPP 36.101</w:t>
      </w:r>
      <w:r w:rsidRPr="00C97518">
        <w:rPr>
          <w:rStyle w:val="FootnoteReference"/>
        </w:rPr>
        <w:footnoteReference w:id="13"/>
      </w:r>
      <w:r w:rsidR="008C3AB0" w:rsidRPr="00C97518">
        <w:rPr>
          <w:rFonts w:ascii="Arial" w:eastAsia="Times New Roman" w:hAnsi="Arial" w:cs="Times New Roman"/>
          <w:sz w:val="20"/>
          <w:lang w:eastAsia="en-AU"/>
        </w:rPr>
        <w:t>. Specifically:</w:t>
      </w:r>
    </w:p>
    <w:p w14:paraId="0A09B09C" w14:textId="4F968998" w:rsidR="008C3AB0" w:rsidRPr="00C97518" w:rsidRDefault="008C3AB0" w:rsidP="008C3AB0">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the 5 MHz </w:t>
      </w:r>
      <w:r w:rsidR="00A358D7">
        <w:rPr>
          <w:rFonts w:ascii="Arial" w:eastAsia="Times New Roman" w:hAnsi="Arial" w:cs="Times New Roman"/>
          <w:sz w:val="20"/>
          <w:lang w:eastAsia="en-AU"/>
        </w:rPr>
        <w:t>channel</w:t>
      </w:r>
      <w:r w:rsidRPr="00C97518">
        <w:rPr>
          <w:rFonts w:ascii="Arial" w:eastAsia="Times New Roman" w:hAnsi="Arial" w:cs="Times New Roman"/>
          <w:sz w:val="20"/>
          <w:lang w:eastAsia="en-AU"/>
        </w:rPr>
        <w:t xml:space="preserve"> limit is used in the first 1 MHz</w:t>
      </w:r>
      <w:r w:rsidR="00C00817" w:rsidRPr="00C97518">
        <w:rPr>
          <w:rFonts w:ascii="Arial" w:eastAsia="Times New Roman" w:hAnsi="Arial" w:cs="Times New Roman"/>
          <w:sz w:val="20"/>
          <w:lang w:eastAsia="en-AU"/>
        </w:rPr>
        <w:t>;</w:t>
      </w:r>
    </w:p>
    <w:p w14:paraId="258C7687" w14:textId="7B305766" w:rsidR="008C3AB0" w:rsidRPr="00C97518" w:rsidRDefault="008C3AB0" w:rsidP="008C3AB0">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1-5 MHz is based on a 20 MHz channel limit;</w:t>
      </w:r>
    </w:p>
    <w:p w14:paraId="529370A5" w14:textId="4D5035C6" w:rsidR="00C00817" w:rsidRPr="00C97518" w:rsidRDefault="00C00817" w:rsidP="008C3AB0">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vertAlign w:val="superscript"/>
          <w:lang w:eastAsia="en-AU"/>
        </w:rPr>
        <w:t xml:space="preserve"> </w:t>
      </w:r>
      <w:r w:rsidR="008C3AB0" w:rsidRPr="00C97518">
        <w:rPr>
          <w:rFonts w:ascii="Arial" w:eastAsia="Times New Roman" w:hAnsi="Arial" w:cs="Times New Roman"/>
          <w:sz w:val="20"/>
          <w:lang w:eastAsia="en-AU"/>
        </w:rPr>
        <w:t>A level of -13 dBm/MHz is set for frequency offsets greater than 5 MHz;</w:t>
      </w:r>
    </w:p>
    <w:p w14:paraId="7D55584F" w14:textId="68E51226" w:rsidR="00C00817" w:rsidRPr="00C97518" w:rsidRDefault="00C00817" w:rsidP="00C00817">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the addition of a 0 dBi antenna gain</w:t>
      </w:r>
      <w:r w:rsidR="008C3AB0" w:rsidRPr="00C97518">
        <w:rPr>
          <w:rFonts w:ascii="Arial" w:eastAsia="Times New Roman" w:hAnsi="Arial" w:cs="Times New Roman"/>
          <w:sz w:val="20"/>
          <w:lang w:eastAsia="en-AU"/>
        </w:rPr>
        <w:t xml:space="preserve"> which is common for user terminals</w:t>
      </w:r>
      <w:r w:rsidRPr="00C97518">
        <w:rPr>
          <w:rFonts w:ascii="Arial" w:eastAsia="Times New Roman" w:hAnsi="Arial" w:cs="Times New Roman"/>
          <w:sz w:val="20"/>
          <w:lang w:eastAsia="en-AU"/>
        </w:rPr>
        <w:t>.</w:t>
      </w:r>
      <w:r w:rsidR="008C3AB0" w:rsidRPr="00C97518">
        <w:rPr>
          <w:rFonts w:ascii="Arial" w:eastAsia="Times New Roman" w:hAnsi="Arial" w:cs="Times New Roman"/>
          <w:sz w:val="20"/>
          <w:lang w:eastAsia="en-AU"/>
        </w:rPr>
        <w:t xml:space="preserve"> </w:t>
      </w:r>
    </w:p>
    <w:p w14:paraId="4E29BDE4" w14:textId="77777777" w:rsidR="00C00817" w:rsidRPr="00C97518" w:rsidRDefault="00C00817" w:rsidP="00C00817"/>
    <w:p w14:paraId="042DCF5A" w14:textId="4A3BE1AC" w:rsidR="008C3AB0" w:rsidRPr="00C97518" w:rsidRDefault="008C3AB0" w:rsidP="00C00817">
      <w:r w:rsidRPr="00C97518">
        <w:t>The emission limit has been for</w:t>
      </w:r>
      <w:r w:rsidR="00A358D7">
        <w:t xml:space="preserve">med to ensure everything from an LTE (or UMTS) </w:t>
      </w:r>
      <w:r w:rsidRPr="00C97518">
        <w:t>UE using a 5 MHz channel to a</w:t>
      </w:r>
      <w:r w:rsidR="007552D9" w:rsidRPr="00C97518">
        <w:t>n LTE</w:t>
      </w:r>
      <w:r w:rsidRPr="00C97518">
        <w:t xml:space="preserve"> UE employing 20 MHz + 20 MHz carrier aggregation can operate in the </w:t>
      </w:r>
      <w:r w:rsidR="007552D9" w:rsidRPr="00C97518">
        <w:t xml:space="preserve">2 GHz </w:t>
      </w:r>
      <w:r w:rsidRPr="00C97518">
        <w:t xml:space="preserve">band. The out-of-band emission limits for the </w:t>
      </w:r>
      <w:r w:rsidR="007552D9" w:rsidRPr="00C97518">
        <w:t>latter</w:t>
      </w:r>
      <w:r w:rsidRPr="00C97518">
        <w:t xml:space="preserve"> case drop to -25 dBm/MHz at an offset of 39.8 MHz. However, by the time one licensee has access to two 20 MHz channels and an offset of 39.8 MHz is reached, the emissions are already well outside the 1920-1980 MHz frequency range. Therefore the unwanted emission limit does not dr</w:t>
      </w:r>
      <w:r w:rsidR="00A358D7">
        <w:t>op below -13 dBm/MHz within the 1920-1980 MHz</w:t>
      </w:r>
      <w:r w:rsidRPr="00C97518">
        <w:t xml:space="preserve"> frequency range. </w:t>
      </w:r>
    </w:p>
    <w:p w14:paraId="3266C2F3" w14:textId="38B15FA0" w:rsidR="00C00817" w:rsidRPr="00C97518" w:rsidRDefault="00C00817" w:rsidP="00C00817">
      <w:r w:rsidRPr="00C97518">
        <w:t xml:space="preserve">The resulting radiated unwanted emission limits </w:t>
      </w:r>
      <w:r w:rsidR="008C3AB0" w:rsidRPr="00C97518">
        <w:t>within</w:t>
      </w:r>
      <w:r w:rsidRPr="00C97518">
        <w:t xml:space="preserve"> the </w:t>
      </w:r>
      <w:r w:rsidR="008C3AB0" w:rsidRPr="00C97518">
        <w:t>1920-1980</w:t>
      </w:r>
      <w:r w:rsidRPr="00C97518">
        <w:t xml:space="preserve"> MHz band are shown in </w:t>
      </w:r>
      <w:r w:rsidR="008C3AB0" w:rsidRPr="00C97518">
        <w:rPr>
          <w:rFonts w:eastAsiaTheme="minorEastAsia"/>
          <w:szCs w:val="22"/>
          <w:lang w:eastAsia="en-US"/>
        </w:rPr>
        <w:t xml:space="preserve">Table </w:t>
      </w:r>
      <w:r w:rsidR="00BA6F28" w:rsidRPr="00C97518">
        <w:rPr>
          <w:rFonts w:eastAsiaTheme="minorEastAsia"/>
          <w:szCs w:val="22"/>
          <w:lang w:eastAsia="en-US"/>
        </w:rPr>
        <w:t>B1.4</w:t>
      </w:r>
      <w:r w:rsidRPr="00C97518">
        <w:t xml:space="preserve">. </w:t>
      </w:r>
    </w:p>
    <w:p w14:paraId="445969B0" w14:textId="7ED633C7" w:rsidR="00AF4EC6" w:rsidRPr="00C97518" w:rsidRDefault="00AF4EC6" w:rsidP="00AF4EC6">
      <w:pPr>
        <w:pStyle w:val="ACMATableHeader"/>
        <w:numPr>
          <w:ilvl w:val="0"/>
          <w:numId w:val="0"/>
        </w:numPr>
        <w:ind w:left="964" w:hanging="964"/>
      </w:pPr>
      <w:r w:rsidRPr="00C97518">
        <w:t>Table B</w:t>
      </w:r>
      <w:r w:rsidR="00BA6F28" w:rsidRPr="00C97518">
        <w:t>1.4</w:t>
      </w:r>
      <w:r w:rsidRPr="00C97518">
        <w:t>:</w:t>
      </w:r>
      <w:r w:rsidRPr="00C97518">
        <w:tab/>
        <w:t>R</w:t>
      </w:r>
      <w:r w:rsidRPr="00C97518">
        <w:rPr>
          <w:rFonts w:eastAsiaTheme="minorEastAsia"/>
          <w:szCs w:val="22"/>
          <w:lang w:eastAsia="en-US"/>
        </w:rPr>
        <w:t xml:space="preserve">adiated </w:t>
      </w:r>
      <w:r w:rsidR="008C3AB0" w:rsidRPr="00C97518">
        <w:rPr>
          <w:rFonts w:eastAsiaTheme="minorEastAsia"/>
          <w:szCs w:val="22"/>
          <w:lang w:eastAsia="en-US"/>
        </w:rPr>
        <w:t>unwanted</w:t>
      </w:r>
      <w:r w:rsidRPr="00C97518">
        <w:rPr>
          <w:rFonts w:eastAsiaTheme="minorEastAsia"/>
          <w:szCs w:val="22"/>
          <w:lang w:eastAsia="en-US"/>
        </w:rPr>
        <w:t xml:space="preserve"> emission limits </w:t>
      </w:r>
      <w:r w:rsidR="008C3AB0" w:rsidRPr="00C97518">
        <w:rPr>
          <w:rFonts w:eastAsiaTheme="minorEastAsia"/>
          <w:szCs w:val="22"/>
          <w:lang w:eastAsia="en-US"/>
        </w:rPr>
        <w:t>within</w:t>
      </w:r>
      <w:r w:rsidRPr="00C97518">
        <w:rPr>
          <w:rFonts w:eastAsiaTheme="minorEastAsia"/>
          <w:szCs w:val="22"/>
          <w:lang w:eastAsia="en-US"/>
        </w:rPr>
        <w:t xml:space="preserve"> the </w:t>
      </w:r>
      <w:r w:rsidR="00006ECD" w:rsidRPr="00C97518">
        <w:rPr>
          <w:rFonts w:eastAsiaTheme="minorEastAsia"/>
          <w:szCs w:val="22"/>
          <w:lang w:eastAsia="en-US"/>
        </w:rPr>
        <w:t>1920</w:t>
      </w:r>
      <w:r w:rsidR="00E75F2B" w:rsidRPr="00C97518">
        <w:rPr>
          <w:rFonts w:eastAsiaTheme="minorEastAsia"/>
          <w:szCs w:val="22"/>
          <w:lang w:eastAsia="en-US"/>
        </w:rPr>
        <w:t>–</w:t>
      </w:r>
      <w:r w:rsidR="00006ECD" w:rsidRPr="00C97518">
        <w:rPr>
          <w:rFonts w:eastAsiaTheme="minorEastAsia"/>
          <w:szCs w:val="22"/>
          <w:lang w:eastAsia="en-US"/>
        </w:rPr>
        <w:t>1980</w:t>
      </w:r>
      <w:r w:rsidRPr="00C97518">
        <w:rPr>
          <w:rFonts w:eastAsiaTheme="minorEastAsia"/>
          <w:szCs w:val="22"/>
          <w:lang w:eastAsia="en-US"/>
        </w:rPr>
        <w:t xml:space="preserve"> MHz band</w:t>
      </w:r>
      <w:r w:rsidRPr="00C97518">
        <w:t xml:space="preserve">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AF4EC6" w:rsidRPr="00C97518" w14:paraId="5CCF7D67" w14:textId="77777777" w:rsidTr="003D00D5">
        <w:trPr>
          <w:tblHeader/>
        </w:trPr>
        <w:tc>
          <w:tcPr>
            <w:tcW w:w="2539" w:type="dxa"/>
            <w:tcBorders>
              <w:top w:val="single" w:sz="4" w:space="0" w:color="auto"/>
              <w:left w:val="nil"/>
              <w:bottom w:val="single" w:sz="4" w:space="0" w:color="auto"/>
              <w:right w:val="nil"/>
            </w:tcBorders>
            <w:shd w:val="clear" w:color="auto" w:fill="404040" w:themeFill="text1" w:themeFillTint="BF"/>
          </w:tcPr>
          <w:p w14:paraId="35385E08" w14:textId="77777777" w:rsidR="00AF4EC6" w:rsidRPr="00C97518" w:rsidRDefault="00AF4EC6" w:rsidP="003D00D5">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4E7C19A5" w14:textId="77777777" w:rsidR="00AF4EC6" w:rsidRPr="00C97518" w:rsidRDefault="00AF4EC6" w:rsidP="003D00D5">
            <w:pPr>
              <w:pStyle w:val="TableHeading"/>
              <w:jc w:val="center"/>
              <w:rPr>
                <w:color w:val="FFFFFF" w:themeColor="background1"/>
              </w:rPr>
            </w:pPr>
            <w:r w:rsidRPr="00C97518">
              <w:rPr>
                <w:color w:val="FFFFFF" w:themeColor="background1"/>
              </w:rPr>
              <w:t>Radiated maximum true mean power</w:t>
            </w:r>
          </w:p>
          <w:p w14:paraId="09F0A663" w14:textId="77777777" w:rsidR="00AF4EC6" w:rsidRPr="00C97518" w:rsidRDefault="00AF4EC6" w:rsidP="003D00D5">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702BD677" w14:textId="3858E473" w:rsidR="00AF4EC6" w:rsidRPr="00C97518" w:rsidRDefault="00AF4EC6" w:rsidP="003D00D5">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AF4EC6" w:rsidRPr="00C97518" w14:paraId="5E124F1C" w14:textId="77777777" w:rsidTr="003D00D5">
        <w:trPr>
          <w:tblHeader/>
        </w:trPr>
        <w:tc>
          <w:tcPr>
            <w:tcW w:w="2539" w:type="dxa"/>
            <w:tcBorders>
              <w:top w:val="single" w:sz="4" w:space="0" w:color="auto"/>
              <w:left w:val="nil"/>
              <w:bottom w:val="single" w:sz="4" w:space="0" w:color="auto"/>
              <w:right w:val="nil"/>
            </w:tcBorders>
          </w:tcPr>
          <w:p w14:paraId="1F0AC118" w14:textId="5E81A91C" w:rsidR="00AF4EC6" w:rsidRPr="00C97518" w:rsidRDefault="00AF4EC6" w:rsidP="00006ECD">
            <w:pPr>
              <w:pStyle w:val="TableBody"/>
              <w:keepNext/>
              <w:keepLines/>
              <w:rPr>
                <w:rFonts w:cs="Arial"/>
              </w:rPr>
            </w:pPr>
            <w:r w:rsidRPr="00C97518">
              <w:rPr>
                <w:rFonts w:cs="Arial"/>
              </w:rPr>
              <w:t>0 kHz ≤ f</w:t>
            </w:r>
            <w:r w:rsidRPr="00C97518">
              <w:rPr>
                <w:rFonts w:cs="Arial"/>
                <w:vertAlign w:val="subscript"/>
              </w:rPr>
              <w:t>offset</w:t>
            </w:r>
            <w:r w:rsidRPr="00C97518">
              <w:rPr>
                <w:rFonts w:cs="Arial"/>
              </w:rPr>
              <w:t xml:space="preserve"> &lt; </w:t>
            </w:r>
            <w:r w:rsidR="00006ECD" w:rsidRPr="00C97518">
              <w:rPr>
                <w:rFonts w:cs="Arial"/>
              </w:rPr>
              <w:t>1</w:t>
            </w:r>
            <w:r w:rsidRPr="00C97518">
              <w:rPr>
                <w:rFonts w:cs="Arial"/>
              </w:rPr>
              <w:t xml:space="preserve"> MHz</w:t>
            </w:r>
          </w:p>
        </w:tc>
        <w:tc>
          <w:tcPr>
            <w:tcW w:w="3818" w:type="dxa"/>
            <w:tcBorders>
              <w:top w:val="single" w:sz="4" w:space="0" w:color="auto"/>
              <w:left w:val="nil"/>
              <w:bottom w:val="single" w:sz="4" w:space="0" w:color="auto"/>
              <w:right w:val="nil"/>
            </w:tcBorders>
          </w:tcPr>
          <w:p w14:paraId="7A9E860A" w14:textId="0C48B0AD" w:rsidR="00AF4EC6" w:rsidRPr="00C97518" w:rsidRDefault="00006ECD" w:rsidP="003D00D5">
            <w:pPr>
              <w:pStyle w:val="TableBody"/>
              <w:keepNext/>
              <w:keepLines/>
              <w:jc w:val="center"/>
              <w:rPr>
                <w:rFonts w:cs="Arial"/>
              </w:rPr>
            </w:pPr>
            <w:r w:rsidRPr="00C97518">
              <w:rPr>
                <w:rFonts w:cs="Arial"/>
              </w:rPr>
              <w:t>-15</w:t>
            </w:r>
          </w:p>
        </w:tc>
        <w:tc>
          <w:tcPr>
            <w:tcW w:w="2295" w:type="dxa"/>
            <w:tcBorders>
              <w:top w:val="single" w:sz="4" w:space="0" w:color="auto"/>
              <w:left w:val="nil"/>
              <w:bottom w:val="single" w:sz="4" w:space="0" w:color="auto"/>
              <w:right w:val="nil"/>
            </w:tcBorders>
          </w:tcPr>
          <w:p w14:paraId="2E89230C" w14:textId="067FC3AD" w:rsidR="00AF4EC6" w:rsidRPr="00C97518" w:rsidRDefault="00006ECD" w:rsidP="003D00D5">
            <w:pPr>
              <w:pStyle w:val="TableBody"/>
              <w:keepNext/>
              <w:keepLines/>
              <w:jc w:val="center"/>
              <w:rPr>
                <w:rFonts w:cs="Arial"/>
              </w:rPr>
            </w:pPr>
            <w:r w:rsidRPr="00C97518">
              <w:rPr>
                <w:rFonts w:cs="Arial"/>
              </w:rPr>
              <w:t>30</w:t>
            </w:r>
            <w:r w:rsidR="00AF4EC6" w:rsidRPr="00C97518">
              <w:rPr>
                <w:rFonts w:cs="Arial"/>
              </w:rPr>
              <w:t xml:space="preserve"> kHz</w:t>
            </w:r>
          </w:p>
        </w:tc>
      </w:tr>
      <w:tr w:rsidR="00AF4EC6" w:rsidRPr="00C97518" w14:paraId="7A96A0D5" w14:textId="77777777" w:rsidTr="003D00D5">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7F71D782" w14:textId="1C4D393E" w:rsidR="00AF4EC6" w:rsidRPr="00C97518" w:rsidRDefault="00006ECD" w:rsidP="00006ECD">
            <w:pPr>
              <w:pStyle w:val="TableBody"/>
              <w:keepNext/>
              <w:keepLines/>
              <w:rPr>
                <w:rFonts w:cs="Arial"/>
              </w:rPr>
            </w:pPr>
            <w:r w:rsidRPr="00C97518">
              <w:rPr>
                <w:rFonts w:cs="Arial"/>
              </w:rPr>
              <w:t>1</w:t>
            </w:r>
            <w:r w:rsidR="00AF4EC6" w:rsidRPr="00C97518">
              <w:rPr>
                <w:rFonts w:cs="Arial"/>
              </w:rPr>
              <w:t xml:space="preserve"> MHz ≤ f</w:t>
            </w:r>
            <w:r w:rsidR="00AF4EC6" w:rsidRPr="00C97518">
              <w:rPr>
                <w:rFonts w:cs="Arial"/>
                <w:vertAlign w:val="subscript"/>
              </w:rPr>
              <w:t>offset</w:t>
            </w:r>
            <w:r w:rsidR="00AF4EC6" w:rsidRPr="00C97518">
              <w:rPr>
                <w:rFonts w:cs="Arial"/>
              </w:rPr>
              <w:t xml:space="preserve"> &lt; </w:t>
            </w:r>
            <w:r w:rsidRPr="00C97518">
              <w:rPr>
                <w:rFonts w:cs="Arial"/>
              </w:rPr>
              <w:t>5</w:t>
            </w:r>
            <w:r w:rsidR="00AF4EC6" w:rsidRPr="00C97518">
              <w:rPr>
                <w:rFonts w:cs="Arial"/>
              </w:rPr>
              <w:t xml:space="preserve"> MHz</w:t>
            </w:r>
          </w:p>
        </w:tc>
        <w:tc>
          <w:tcPr>
            <w:tcW w:w="3818" w:type="dxa"/>
            <w:tcBorders>
              <w:top w:val="single" w:sz="4" w:space="0" w:color="auto"/>
              <w:left w:val="nil"/>
              <w:bottom w:val="single" w:sz="4" w:space="0" w:color="auto"/>
              <w:right w:val="nil"/>
            </w:tcBorders>
            <w:shd w:val="clear" w:color="auto" w:fill="F2F2F2" w:themeFill="background1" w:themeFillShade="F2"/>
          </w:tcPr>
          <w:p w14:paraId="4D659D79" w14:textId="5BAE9C29" w:rsidR="00AF4EC6" w:rsidRPr="00C97518" w:rsidRDefault="00006ECD" w:rsidP="003D00D5">
            <w:pPr>
              <w:pStyle w:val="TableBody"/>
              <w:keepNext/>
              <w:keepLines/>
              <w:jc w:val="center"/>
              <w:rPr>
                <w:rFonts w:cs="Arial"/>
              </w:rPr>
            </w:pPr>
            <w:r w:rsidRPr="00C97518">
              <w:rPr>
                <w:rFonts w:cs="Arial"/>
              </w:rPr>
              <w:t>-10</w:t>
            </w:r>
          </w:p>
        </w:tc>
        <w:tc>
          <w:tcPr>
            <w:tcW w:w="2295" w:type="dxa"/>
            <w:tcBorders>
              <w:top w:val="single" w:sz="4" w:space="0" w:color="auto"/>
              <w:left w:val="nil"/>
              <w:bottom w:val="single" w:sz="4" w:space="0" w:color="auto"/>
              <w:right w:val="nil"/>
            </w:tcBorders>
            <w:shd w:val="clear" w:color="auto" w:fill="F2F2F2" w:themeFill="background1" w:themeFillShade="F2"/>
          </w:tcPr>
          <w:p w14:paraId="4E56FF8D" w14:textId="7F44A922" w:rsidR="00AF4EC6" w:rsidRPr="00C97518" w:rsidRDefault="00AF4EC6" w:rsidP="00006ECD">
            <w:pPr>
              <w:pStyle w:val="TableBody"/>
              <w:keepNext/>
              <w:keepLines/>
              <w:jc w:val="center"/>
              <w:rPr>
                <w:rFonts w:cs="Arial"/>
              </w:rPr>
            </w:pPr>
            <w:r w:rsidRPr="00C97518">
              <w:rPr>
                <w:rFonts w:cs="Arial"/>
              </w:rPr>
              <w:t xml:space="preserve">1 </w:t>
            </w:r>
            <w:r w:rsidR="00006ECD" w:rsidRPr="00C97518">
              <w:rPr>
                <w:rFonts w:cs="Arial"/>
              </w:rPr>
              <w:t>M</w:t>
            </w:r>
            <w:r w:rsidRPr="00C97518">
              <w:rPr>
                <w:rFonts w:cs="Arial"/>
              </w:rPr>
              <w:t>Hz</w:t>
            </w:r>
          </w:p>
        </w:tc>
      </w:tr>
      <w:tr w:rsidR="00AF4EC6" w:rsidRPr="00C97518" w14:paraId="7C6C343F" w14:textId="77777777" w:rsidTr="003D00D5">
        <w:trPr>
          <w:tblHeader/>
        </w:trPr>
        <w:tc>
          <w:tcPr>
            <w:tcW w:w="2539" w:type="dxa"/>
            <w:tcBorders>
              <w:top w:val="single" w:sz="4" w:space="0" w:color="auto"/>
              <w:left w:val="nil"/>
              <w:bottom w:val="single" w:sz="4" w:space="0" w:color="auto"/>
              <w:right w:val="nil"/>
            </w:tcBorders>
          </w:tcPr>
          <w:p w14:paraId="7FA4F8B2" w14:textId="2EC106CF" w:rsidR="00AF4EC6" w:rsidRPr="00C97518" w:rsidRDefault="00006ECD" w:rsidP="00006ECD">
            <w:pPr>
              <w:pStyle w:val="TableBody"/>
              <w:keepNext/>
              <w:keepLines/>
              <w:rPr>
                <w:rFonts w:cs="Arial"/>
              </w:rPr>
            </w:pPr>
            <w:r w:rsidRPr="00C97518">
              <w:rPr>
                <w:rFonts w:cs="Arial"/>
              </w:rPr>
              <w:t>5 MHz ≤ f</w:t>
            </w:r>
            <w:r w:rsidRPr="00C97518">
              <w:rPr>
                <w:rFonts w:cs="Arial"/>
                <w:vertAlign w:val="subscript"/>
              </w:rPr>
              <w:t>offset</w:t>
            </w:r>
            <w:r w:rsidRPr="00C97518">
              <w:rPr>
                <w:rFonts w:cs="Arial"/>
              </w:rPr>
              <w:t xml:space="preserve"> &lt; 20 MHz</w:t>
            </w:r>
          </w:p>
        </w:tc>
        <w:tc>
          <w:tcPr>
            <w:tcW w:w="3818" w:type="dxa"/>
            <w:tcBorders>
              <w:top w:val="single" w:sz="4" w:space="0" w:color="auto"/>
              <w:left w:val="nil"/>
              <w:bottom w:val="single" w:sz="4" w:space="0" w:color="auto"/>
              <w:right w:val="nil"/>
            </w:tcBorders>
          </w:tcPr>
          <w:p w14:paraId="76E5C576" w14:textId="54A9BD64" w:rsidR="00AF4EC6" w:rsidRPr="00C97518" w:rsidRDefault="00006ECD" w:rsidP="003D00D5">
            <w:pPr>
              <w:pStyle w:val="TableBody"/>
              <w:keepNext/>
              <w:keepLines/>
              <w:jc w:val="center"/>
              <w:rPr>
                <w:rFonts w:cs="Arial"/>
              </w:rPr>
            </w:pPr>
            <w:r w:rsidRPr="00C97518">
              <w:rPr>
                <w:rFonts w:cs="Arial"/>
              </w:rPr>
              <w:t>-13</w:t>
            </w:r>
          </w:p>
        </w:tc>
        <w:tc>
          <w:tcPr>
            <w:tcW w:w="2295" w:type="dxa"/>
            <w:tcBorders>
              <w:top w:val="single" w:sz="4" w:space="0" w:color="auto"/>
              <w:left w:val="nil"/>
              <w:bottom w:val="single" w:sz="4" w:space="0" w:color="auto"/>
              <w:right w:val="nil"/>
            </w:tcBorders>
          </w:tcPr>
          <w:p w14:paraId="67D5495C" w14:textId="77777777" w:rsidR="00AF4EC6" w:rsidRPr="00C97518" w:rsidRDefault="00AF4EC6" w:rsidP="003D00D5">
            <w:pPr>
              <w:pStyle w:val="TableBody"/>
              <w:keepNext/>
              <w:keepLines/>
              <w:jc w:val="center"/>
              <w:rPr>
                <w:rFonts w:cs="Arial"/>
              </w:rPr>
            </w:pPr>
            <w:r w:rsidRPr="00C97518">
              <w:rPr>
                <w:rFonts w:cs="Arial"/>
              </w:rPr>
              <w:t>1 MHz</w:t>
            </w:r>
          </w:p>
        </w:tc>
      </w:tr>
      <w:tr w:rsidR="00006ECD" w:rsidRPr="00C97518" w14:paraId="0830ABF7" w14:textId="77777777" w:rsidTr="003D00D5">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0B32E6EE" w14:textId="223E3ECD" w:rsidR="00006ECD" w:rsidRPr="00C97518" w:rsidRDefault="00006ECD" w:rsidP="00006ECD">
            <w:pPr>
              <w:pStyle w:val="TableBody"/>
              <w:keepNext/>
              <w:keepLines/>
              <w:rPr>
                <w:rFonts w:cs="Arial"/>
              </w:rPr>
            </w:pPr>
            <w:r w:rsidRPr="00C97518">
              <w:rPr>
                <w:rFonts w:cs="Arial"/>
              </w:rPr>
              <w:t>f</w:t>
            </w:r>
            <w:r w:rsidRPr="00C97518">
              <w:rPr>
                <w:rFonts w:cs="Arial"/>
                <w:vertAlign w:val="subscript"/>
              </w:rPr>
              <w:t>offset</w:t>
            </w:r>
            <w:r w:rsidRPr="00C97518">
              <w:rPr>
                <w:rFonts w:cs="Arial"/>
              </w:rPr>
              <w:t xml:space="preserve"> </w:t>
            </w:r>
            <w:r w:rsidRPr="00C97518">
              <w:rPr>
                <w:rFonts w:eastAsiaTheme="minorEastAsia"/>
                <w:szCs w:val="20"/>
                <w:lang w:eastAsia="en-US"/>
              </w:rPr>
              <w:t>≥</w:t>
            </w:r>
            <w:r w:rsidRPr="00C97518">
              <w:rPr>
                <w:rFonts w:cs="Arial"/>
              </w:rPr>
              <w:t xml:space="preserve"> 20 MHz</w:t>
            </w:r>
          </w:p>
        </w:tc>
        <w:tc>
          <w:tcPr>
            <w:tcW w:w="3818" w:type="dxa"/>
            <w:tcBorders>
              <w:top w:val="single" w:sz="4" w:space="0" w:color="auto"/>
              <w:left w:val="nil"/>
              <w:bottom w:val="single" w:sz="4" w:space="0" w:color="auto"/>
              <w:right w:val="nil"/>
            </w:tcBorders>
            <w:shd w:val="clear" w:color="auto" w:fill="F2F2F2" w:themeFill="background1" w:themeFillShade="F2"/>
          </w:tcPr>
          <w:p w14:paraId="3AD1FDFF" w14:textId="0ED37FC5" w:rsidR="00006ECD" w:rsidRPr="00C97518" w:rsidRDefault="00006ECD" w:rsidP="00006ECD">
            <w:pPr>
              <w:pStyle w:val="TableBody"/>
              <w:keepNext/>
              <w:keepLines/>
              <w:jc w:val="center"/>
              <w:rPr>
                <w:rFonts w:cs="Arial"/>
              </w:rPr>
            </w:pPr>
            <w:r w:rsidRPr="00C97518">
              <w:rPr>
                <w:rFonts w:cs="Arial"/>
              </w:rPr>
              <w:t>-25</w:t>
            </w:r>
          </w:p>
        </w:tc>
        <w:tc>
          <w:tcPr>
            <w:tcW w:w="2295" w:type="dxa"/>
            <w:tcBorders>
              <w:top w:val="single" w:sz="4" w:space="0" w:color="auto"/>
              <w:left w:val="nil"/>
              <w:bottom w:val="single" w:sz="4" w:space="0" w:color="auto"/>
              <w:right w:val="nil"/>
            </w:tcBorders>
            <w:shd w:val="clear" w:color="auto" w:fill="F2F2F2" w:themeFill="background1" w:themeFillShade="F2"/>
          </w:tcPr>
          <w:p w14:paraId="2509E8B2" w14:textId="5BB43319" w:rsidR="00006ECD" w:rsidRPr="00C97518" w:rsidRDefault="00006ECD" w:rsidP="00006ECD">
            <w:pPr>
              <w:pStyle w:val="TableBody"/>
              <w:keepNext/>
              <w:keepLines/>
              <w:jc w:val="center"/>
              <w:rPr>
                <w:rFonts w:cs="Arial"/>
              </w:rPr>
            </w:pPr>
            <w:r w:rsidRPr="00C97518">
              <w:rPr>
                <w:rFonts w:cs="Arial"/>
              </w:rPr>
              <w:t>1 MHz</w:t>
            </w:r>
          </w:p>
        </w:tc>
      </w:tr>
    </w:tbl>
    <w:p w14:paraId="3DF9C0FE" w14:textId="77777777" w:rsidR="00CE2EBC" w:rsidRPr="00C97518" w:rsidRDefault="00CE2EBC" w:rsidP="0027403F">
      <w:pPr>
        <w:pStyle w:val="ACMASpaceaftertable"/>
        <w:rPr>
          <w:rFonts w:eastAsiaTheme="minorEastAsia"/>
          <w:lang w:eastAsia="en-US"/>
        </w:rPr>
      </w:pPr>
    </w:p>
    <w:p w14:paraId="42FB198E" w14:textId="77777777" w:rsidR="00BA6F28" w:rsidRPr="00C97518" w:rsidRDefault="00BA6F28">
      <w:pPr>
        <w:spacing w:after="0" w:line="240" w:lineRule="auto"/>
        <w:rPr>
          <w:u w:val="single"/>
        </w:rPr>
      </w:pPr>
      <w:r w:rsidRPr="00C97518">
        <w:rPr>
          <w:u w:val="single"/>
        </w:rPr>
        <w:br w:type="page"/>
      </w:r>
    </w:p>
    <w:p w14:paraId="6589D309" w14:textId="07AE40DD" w:rsidR="007552D9" w:rsidRPr="00C97518" w:rsidRDefault="007552D9" w:rsidP="007552D9">
      <w:pPr>
        <w:rPr>
          <w:u w:val="single"/>
        </w:rPr>
      </w:pPr>
      <w:r w:rsidRPr="00C97518">
        <w:rPr>
          <w:u w:val="single"/>
        </w:rPr>
        <w:t xml:space="preserve">Unwanted Emission Limits below 1920 MHz and above 1980 MHz </w:t>
      </w:r>
    </w:p>
    <w:p w14:paraId="7371EE69" w14:textId="0EFDCBEA" w:rsidR="007552D9" w:rsidRPr="00C97518" w:rsidRDefault="007552D9" w:rsidP="007552D9">
      <w:pPr>
        <w:rPr>
          <w:rFonts w:eastAsiaTheme="minorEastAsia"/>
          <w:szCs w:val="22"/>
          <w:lang w:eastAsia="en-US"/>
        </w:rPr>
      </w:pPr>
      <w:r w:rsidRPr="00C97518">
        <w:rPr>
          <w:rFonts w:eastAsiaTheme="minorEastAsia"/>
          <w:szCs w:val="22"/>
          <w:lang w:eastAsia="en-US"/>
        </w:rPr>
        <w:t>For devices operating in the 1920-1980 MHz band,</w:t>
      </w:r>
      <w:r w:rsidRPr="00C97518">
        <w:t xml:space="preserve"> it is proposed</w:t>
      </w:r>
      <w:r w:rsidR="00A358D7">
        <w:t xml:space="preserve"> that</w:t>
      </w:r>
      <w:r w:rsidRPr="00C97518">
        <w:t xml:space="preserve"> the r</w:t>
      </w:r>
      <w:r w:rsidRPr="00C97518">
        <w:rPr>
          <w:rFonts w:eastAsiaTheme="minorEastAsia"/>
          <w:szCs w:val="22"/>
          <w:lang w:eastAsia="en-US"/>
        </w:rPr>
        <w:t xml:space="preserve">adiated unwanted emission limits below 1920 MHz and above 1980 MHz be based on: </w:t>
      </w:r>
    </w:p>
    <w:p w14:paraId="74D432CB" w14:textId="6229BAE2" w:rsidR="007552D9" w:rsidRPr="00C97518" w:rsidRDefault="007552D9" w:rsidP="007552D9">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from 0-45 MHz offset, the general limits for user terminals stated in 3GPP 36.101</w:t>
      </w:r>
      <w:r w:rsidRPr="00C97518">
        <w:rPr>
          <w:rStyle w:val="FootnoteReference"/>
        </w:rPr>
        <w:footnoteReference w:id="14"/>
      </w:r>
      <w:r w:rsidRPr="00C97518">
        <w:rPr>
          <w:rFonts w:ascii="Arial" w:eastAsia="Times New Roman" w:hAnsi="Arial" w:cs="Times New Roman"/>
          <w:sz w:val="20"/>
          <w:lang w:eastAsia="en-AU"/>
        </w:rPr>
        <w:t xml:space="preserve"> with the addition of a 0 dBi antenna gain. Specifically:</w:t>
      </w:r>
    </w:p>
    <w:p w14:paraId="0BAD914E" w14:textId="060F59DA" w:rsidR="007552D9" w:rsidRPr="00C97518" w:rsidRDefault="007552D9" w:rsidP="007552D9">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0-1 MHz offsets, the 5 MHz bandwidth limit emission;</w:t>
      </w:r>
    </w:p>
    <w:p w14:paraId="1CAC250B" w14:textId="1CB3D2CC" w:rsidR="007552D9" w:rsidRPr="00C97518" w:rsidRDefault="007552D9" w:rsidP="007552D9">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1-5 MHz offsets, the 20 MHz channel limit emissions (which also corresponds to 20 MHz + 20 MHz carrier aggregation emission limits);</w:t>
      </w:r>
    </w:p>
    <w:p w14:paraId="1315EA52" w14:textId="4CD7C9FA" w:rsidR="007552D9" w:rsidRPr="00C97518" w:rsidRDefault="007552D9" w:rsidP="007552D9">
      <w:pPr>
        <w:pStyle w:val="ListParagraph"/>
        <w:numPr>
          <w:ilvl w:val="1"/>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5-45 MHz offsets, 20 MHz + 20 MHz carrier aggregation emission limits;</w:t>
      </w:r>
    </w:p>
    <w:p w14:paraId="4ACAFEAA" w14:textId="4C62AB81" w:rsidR="007552D9" w:rsidRPr="00C97518" w:rsidRDefault="007552D9" w:rsidP="007552D9">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At offsets greater than 45 MHz, a level of -30 dBm/MHz. </w:t>
      </w:r>
    </w:p>
    <w:p w14:paraId="6898A668" w14:textId="77777777" w:rsidR="007552D9" w:rsidRPr="00C97518" w:rsidRDefault="007552D9" w:rsidP="007552D9"/>
    <w:p w14:paraId="514B4003" w14:textId="55E8BAE0" w:rsidR="007552D9" w:rsidRPr="00C97518" w:rsidRDefault="007552D9" w:rsidP="007552D9">
      <w:r w:rsidRPr="00C97518">
        <w:t xml:space="preserve">The </w:t>
      </w:r>
      <w:r w:rsidR="00A358D7">
        <w:t xml:space="preserve">unwanted </w:t>
      </w:r>
      <w:r w:rsidRPr="00C97518">
        <w:t xml:space="preserve">emission limit has been </w:t>
      </w:r>
      <w:r w:rsidR="00A358D7">
        <w:t>develope</w:t>
      </w:r>
      <w:r w:rsidRPr="00C97518">
        <w:t xml:space="preserve">d to ensure everything from a UE using a 5 MHz channel to an LTE UE employing 20 MHz + 20 MHz carrier aggregation can operate in the 2 GHz band. The unwanted emission limits at offsets greater than 45 MHz from the band edge are based on the commencement of the spurious domain </w:t>
      </w:r>
      <w:r w:rsidR="00A358D7">
        <w:t xml:space="preserve">for an </w:t>
      </w:r>
      <w:r w:rsidR="00A358D7" w:rsidRPr="00C97518">
        <w:t>LTE UE employing 20 MHz + 20 MHz carrier aggregation</w:t>
      </w:r>
      <w:r w:rsidR="00A358D7">
        <w:t>,</w:t>
      </w:r>
      <w:r w:rsidR="00A358D7" w:rsidRPr="00C97518">
        <w:t xml:space="preserve"> </w:t>
      </w:r>
      <w:r w:rsidRPr="00C97518">
        <w:t>as defined in 3GPP 36.101</w:t>
      </w:r>
      <w:r w:rsidRPr="00C97518">
        <w:rPr>
          <w:rStyle w:val="FootnoteReference"/>
        </w:rPr>
        <w:footnoteReference w:id="15"/>
      </w:r>
      <w:r w:rsidRPr="00C97518">
        <w:t>.</w:t>
      </w:r>
    </w:p>
    <w:p w14:paraId="5E3AD64E" w14:textId="52D9206C" w:rsidR="007552D9" w:rsidRPr="00C97518" w:rsidRDefault="007552D9" w:rsidP="007552D9">
      <w:r w:rsidRPr="00C97518">
        <w:t xml:space="preserve">The resulting radiated unwanted emission limits </w:t>
      </w:r>
      <w:r w:rsidR="00BA6F28" w:rsidRPr="00C97518">
        <w:t xml:space="preserve">below </w:t>
      </w:r>
      <w:r w:rsidRPr="00C97518">
        <w:t>1920</w:t>
      </w:r>
      <w:r w:rsidR="00BA6F28" w:rsidRPr="00C97518">
        <w:t xml:space="preserve"> MHz and above </w:t>
      </w:r>
      <w:r w:rsidRPr="00C97518">
        <w:t xml:space="preserve">1980 MHz band are shown in </w:t>
      </w:r>
      <w:r w:rsidRPr="00C97518">
        <w:rPr>
          <w:rFonts w:eastAsiaTheme="minorEastAsia"/>
          <w:szCs w:val="22"/>
          <w:lang w:eastAsia="en-US"/>
        </w:rPr>
        <w:t xml:space="preserve">Table </w:t>
      </w:r>
      <w:r w:rsidR="00BA6F28" w:rsidRPr="00C97518">
        <w:rPr>
          <w:rFonts w:eastAsiaTheme="minorEastAsia"/>
          <w:szCs w:val="22"/>
          <w:lang w:eastAsia="en-US"/>
        </w:rPr>
        <w:t>B1.5</w:t>
      </w:r>
      <w:r w:rsidRPr="00C97518">
        <w:t xml:space="preserve">. </w:t>
      </w:r>
    </w:p>
    <w:p w14:paraId="123C5644" w14:textId="7B880108" w:rsidR="007552D9" w:rsidRPr="00C97518" w:rsidRDefault="007552D9" w:rsidP="007552D9">
      <w:pPr>
        <w:pStyle w:val="ACMATableHeader"/>
        <w:numPr>
          <w:ilvl w:val="0"/>
          <w:numId w:val="0"/>
        </w:numPr>
        <w:ind w:left="964" w:hanging="964"/>
      </w:pPr>
      <w:r w:rsidRPr="00C97518">
        <w:t>Table B</w:t>
      </w:r>
      <w:r w:rsidR="00BA6F28" w:rsidRPr="00C97518">
        <w:t>1.5</w:t>
      </w:r>
      <w:r w:rsidRPr="00C97518">
        <w:t>:</w:t>
      </w:r>
      <w:r w:rsidRPr="00C97518">
        <w:tab/>
        <w:t>R</w:t>
      </w:r>
      <w:r w:rsidRPr="00C97518">
        <w:rPr>
          <w:rFonts w:eastAsiaTheme="minorEastAsia"/>
          <w:szCs w:val="22"/>
          <w:lang w:eastAsia="en-US"/>
        </w:rPr>
        <w:t xml:space="preserve">adiated unwanted emission limits below 1920 MHz and above 1980 MHz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694"/>
        <w:gridCol w:w="3827"/>
        <w:gridCol w:w="2131"/>
      </w:tblGrid>
      <w:tr w:rsidR="007552D9" w:rsidRPr="00C97518" w14:paraId="2ADAF514" w14:textId="77777777" w:rsidTr="00045C86">
        <w:trPr>
          <w:tblHeader/>
        </w:trPr>
        <w:tc>
          <w:tcPr>
            <w:tcW w:w="2694" w:type="dxa"/>
            <w:tcBorders>
              <w:top w:val="single" w:sz="4" w:space="0" w:color="auto"/>
              <w:left w:val="nil"/>
              <w:bottom w:val="single" w:sz="4" w:space="0" w:color="auto"/>
              <w:right w:val="nil"/>
            </w:tcBorders>
            <w:shd w:val="clear" w:color="auto" w:fill="404040" w:themeFill="text1" w:themeFillTint="BF"/>
          </w:tcPr>
          <w:p w14:paraId="2FC61FB5" w14:textId="77777777" w:rsidR="007552D9" w:rsidRPr="00C97518" w:rsidRDefault="007552D9" w:rsidP="00150E2F">
            <w:pPr>
              <w:pStyle w:val="TableHeading"/>
              <w:rPr>
                <w:color w:val="FFFFFF" w:themeColor="background1"/>
              </w:rPr>
            </w:pPr>
            <w:r w:rsidRPr="00C97518">
              <w:rPr>
                <w:color w:val="FFFFFF" w:themeColor="background1"/>
              </w:rPr>
              <w:t>Frequency offset range</w:t>
            </w:r>
          </w:p>
        </w:tc>
        <w:tc>
          <w:tcPr>
            <w:tcW w:w="3827" w:type="dxa"/>
            <w:tcBorders>
              <w:top w:val="single" w:sz="4" w:space="0" w:color="auto"/>
              <w:left w:val="nil"/>
              <w:bottom w:val="single" w:sz="4" w:space="0" w:color="auto"/>
              <w:right w:val="nil"/>
            </w:tcBorders>
            <w:shd w:val="clear" w:color="auto" w:fill="404040" w:themeFill="text1" w:themeFillTint="BF"/>
          </w:tcPr>
          <w:p w14:paraId="5EBB34A6" w14:textId="77777777" w:rsidR="007552D9" w:rsidRPr="00C97518" w:rsidRDefault="007552D9" w:rsidP="00150E2F">
            <w:pPr>
              <w:pStyle w:val="TableHeading"/>
              <w:jc w:val="center"/>
              <w:rPr>
                <w:color w:val="FFFFFF" w:themeColor="background1"/>
              </w:rPr>
            </w:pPr>
            <w:r w:rsidRPr="00C97518">
              <w:rPr>
                <w:color w:val="FFFFFF" w:themeColor="background1"/>
              </w:rPr>
              <w:t>Radiated maximum true mean power</w:t>
            </w:r>
          </w:p>
          <w:p w14:paraId="4EDFB299" w14:textId="77777777" w:rsidR="007552D9" w:rsidRPr="00C97518" w:rsidRDefault="007552D9" w:rsidP="00150E2F">
            <w:pPr>
              <w:pStyle w:val="TableHeading"/>
              <w:jc w:val="center"/>
              <w:rPr>
                <w:color w:val="FFFFFF" w:themeColor="background1"/>
              </w:rPr>
            </w:pPr>
            <w:r w:rsidRPr="00C97518">
              <w:rPr>
                <w:color w:val="FFFFFF" w:themeColor="background1"/>
              </w:rPr>
              <w:t>(dBm EIRP)</w:t>
            </w:r>
          </w:p>
        </w:tc>
        <w:tc>
          <w:tcPr>
            <w:tcW w:w="2131" w:type="dxa"/>
            <w:tcBorders>
              <w:top w:val="single" w:sz="4" w:space="0" w:color="auto"/>
              <w:left w:val="nil"/>
              <w:bottom w:val="single" w:sz="4" w:space="0" w:color="auto"/>
              <w:right w:val="nil"/>
            </w:tcBorders>
            <w:shd w:val="clear" w:color="auto" w:fill="404040" w:themeFill="text1" w:themeFillTint="BF"/>
          </w:tcPr>
          <w:p w14:paraId="76D37FCE" w14:textId="77777777" w:rsidR="007552D9" w:rsidRPr="00C97518" w:rsidRDefault="007552D9" w:rsidP="00150E2F">
            <w:pPr>
              <w:pStyle w:val="TableHeading"/>
              <w:jc w:val="center"/>
              <w:rPr>
                <w:color w:val="FFFFFF" w:themeColor="background1"/>
              </w:rPr>
            </w:pPr>
            <w:r w:rsidRPr="00C97518">
              <w:rPr>
                <w:color w:val="FFFFFF" w:themeColor="background1"/>
              </w:rPr>
              <w:t>Specified bandwidth</w:t>
            </w:r>
          </w:p>
        </w:tc>
      </w:tr>
      <w:tr w:rsidR="007552D9" w:rsidRPr="00C97518" w14:paraId="7D1A146E" w14:textId="77777777" w:rsidTr="00045C86">
        <w:trPr>
          <w:tblHeader/>
        </w:trPr>
        <w:tc>
          <w:tcPr>
            <w:tcW w:w="2694" w:type="dxa"/>
            <w:tcBorders>
              <w:top w:val="single" w:sz="4" w:space="0" w:color="auto"/>
              <w:left w:val="nil"/>
              <w:bottom w:val="single" w:sz="4" w:space="0" w:color="auto"/>
              <w:right w:val="nil"/>
            </w:tcBorders>
          </w:tcPr>
          <w:p w14:paraId="2CF8C1D4" w14:textId="77777777" w:rsidR="007552D9" w:rsidRPr="00C97518" w:rsidRDefault="007552D9" w:rsidP="00150E2F">
            <w:pPr>
              <w:pStyle w:val="TableBody"/>
              <w:keepNext/>
              <w:keepLines/>
              <w:rPr>
                <w:rFonts w:cs="Arial"/>
              </w:rPr>
            </w:pPr>
            <w:r w:rsidRPr="00C97518">
              <w:rPr>
                <w:rFonts w:cs="Arial"/>
              </w:rPr>
              <w:t>0 kHz ≤ f</w:t>
            </w:r>
            <w:r w:rsidRPr="00C97518">
              <w:rPr>
                <w:rFonts w:cs="Arial"/>
                <w:vertAlign w:val="subscript"/>
              </w:rPr>
              <w:t>offset</w:t>
            </w:r>
            <w:r w:rsidRPr="00C97518">
              <w:rPr>
                <w:rFonts w:cs="Arial"/>
              </w:rPr>
              <w:t xml:space="preserve"> &lt; 1 MHz</w:t>
            </w:r>
          </w:p>
        </w:tc>
        <w:tc>
          <w:tcPr>
            <w:tcW w:w="3827" w:type="dxa"/>
            <w:tcBorders>
              <w:top w:val="single" w:sz="4" w:space="0" w:color="auto"/>
              <w:left w:val="nil"/>
              <w:bottom w:val="single" w:sz="4" w:space="0" w:color="auto"/>
              <w:right w:val="nil"/>
            </w:tcBorders>
          </w:tcPr>
          <w:p w14:paraId="5E30B961" w14:textId="77777777" w:rsidR="007552D9" w:rsidRPr="00C97518" w:rsidRDefault="007552D9" w:rsidP="00150E2F">
            <w:pPr>
              <w:pStyle w:val="TableBody"/>
              <w:keepNext/>
              <w:keepLines/>
              <w:jc w:val="center"/>
              <w:rPr>
                <w:rFonts w:cs="Arial"/>
              </w:rPr>
            </w:pPr>
            <w:r w:rsidRPr="00C97518">
              <w:rPr>
                <w:rFonts w:cs="Arial"/>
              </w:rPr>
              <w:t>-15</w:t>
            </w:r>
          </w:p>
        </w:tc>
        <w:tc>
          <w:tcPr>
            <w:tcW w:w="2131" w:type="dxa"/>
            <w:tcBorders>
              <w:top w:val="single" w:sz="4" w:space="0" w:color="auto"/>
              <w:left w:val="nil"/>
              <w:bottom w:val="single" w:sz="4" w:space="0" w:color="auto"/>
              <w:right w:val="nil"/>
            </w:tcBorders>
          </w:tcPr>
          <w:p w14:paraId="0E44B680" w14:textId="77777777" w:rsidR="007552D9" w:rsidRPr="00C97518" w:rsidRDefault="007552D9" w:rsidP="00150E2F">
            <w:pPr>
              <w:pStyle w:val="TableBody"/>
              <w:keepNext/>
              <w:keepLines/>
              <w:jc w:val="center"/>
              <w:rPr>
                <w:rFonts w:cs="Arial"/>
              </w:rPr>
            </w:pPr>
            <w:r w:rsidRPr="00C97518">
              <w:rPr>
                <w:rFonts w:cs="Arial"/>
              </w:rPr>
              <w:t>30 kHz</w:t>
            </w:r>
          </w:p>
        </w:tc>
      </w:tr>
      <w:tr w:rsidR="007552D9" w:rsidRPr="00C97518" w14:paraId="249AD54C" w14:textId="77777777" w:rsidTr="00045C86">
        <w:trPr>
          <w:tblHeader/>
        </w:trPr>
        <w:tc>
          <w:tcPr>
            <w:tcW w:w="2694" w:type="dxa"/>
            <w:tcBorders>
              <w:top w:val="single" w:sz="4" w:space="0" w:color="auto"/>
              <w:left w:val="nil"/>
              <w:bottom w:val="single" w:sz="4" w:space="0" w:color="auto"/>
              <w:right w:val="nil"/>
            </w:tcBorders>
            <w:shd w:val="clear" w:color="auto" w:fill="F2F2F2" w:themeFill="background1" w:themeFillShade="F2"/>
          </w:tcPr>
          <w:p w14:paraId="6C8EA82F" w14:textId="77777777" w:rsidR="007552D9" w:rsidRPr="00C97518" w:rsidRDefault="007552D9" w:rsidP="00150E2F">
            <w:pPr>
              <w:pStyle w:val="TableBody"/>
              <w:keepNext/>
              <w:keepLines/>
              <w:rPr>
                <w:rFonts w:cs="Arial"/>
              </w:rPr>
            </w:pPr>
            <w:r w:rsidRPr="00C97518">
              <w:rPr>
                <w:rFonts w:cs="Arial"/>
              </w:rPr>
              <w:t>1 MHz ≤ f</w:t>
            </w:r>
            <w:r w:rsidRPr="00C97518">
              <w:rPr>
                <w:rFonts w:cs="Arial"/>
                <w:vertAlign w:val="subscript"/>
              </w:rPr>
              <w:t>offset</w:t>
            </w:r>
            <w:r w:rsidRPr="00C97518">
              <w:rPr>
                <w:rFonts w:cs="Arial"/>
              </w:rPr>
              <w:t xml:space="preserve"> &lt; 5 MHz</w:t>
            </w:r>
          </w:p>
        </w:tc>
        <w:tc>
          <w:tcPr>
            <w:tcW w:w="3827" w:type="dxa"/>
            <w:tcBorders>
              <w:top w:val="single" w:sz="4" w:space="0" w:color="auto"/>
              <w:left w:val="nil"/>
              <w:bottom w:val="single" w:sz="4" w:space="0" w:color="auto"/>
              <w:right w:val="nil"/>
            </w:tcBorders>
            <w:shd w:val="clear" w:color="auto" w:fill="F2F2F2" w:themeFill="background1" w:themeFillShade="F2"/>
          </w:tcPr>
          <w:p w14:paraId="37D70664" w14:textId="77777777" w:rsidR="007552D9" w:rsidRPr="00C97518" w:rsidRDefault="007552D9" w:rsidP="00150E2F">
            <w:pPr>
              <w:pStyle w:val="TableBody"/>
              <w:keepNext/>
              <w:keepLines/>
              <w:jc w:val="center"/>
              <w:rPr>
                <w:rFonts w:cs="Arial"/>
              </w:rPr>
            </w:pPr>
            <w:r w:rsidRPr="00C97518">
              <w:rPr>
                <w:rFonts w:cs="Arial"/>
              </w:rPr>
              <w:t>-10</w:t>
            </w:r>
          </w:p>
        </w:tc>
        <w:tc>
          <w:tcPr>
            <w:tcW w:w="2131" w:type="dxa"/>
            <w:tcBorders>
              <w:top w:val="single" w:sz="4" w:space="0" w:color="auto"/>
              <w:left w:val="nil"/>
              <w:bottom w:val="single" w:sz="4" w:space="0" w:color="auto"/>
              <w:right w:val="nil"/>
            </w:tcBorders>
            <w:shd w:val="clear" w:color="auto" w:fill="F2F2F2" w:themeFill="background1" w:themeFillShade="F2"/>
          </w:tcPr>
          <w:p w14:paraId="4F1CF2C8" w14:textId="77777777" w:rsidR="007552D9" w:rsidRPr="00C97518" w:rsidRDefault="007552D9" w:rsidP="00150E2F">
            <w:pPr>
              <w:pStyle w:val="TableBody"/>
              <w:keepNext/>
              <w:keepLines/>
              <w:jc w:val="center"/>
              <w:rPr>
                <w:rFonts w:cs="Arial"/>
              </w:rPr>
            </w:pPr>
            <w:r w:rsidRPr="00C97518">
              <w:rPr>
                <w:rFonts w:cs="Arial"/>
              </w:rPr>
              <w:t>1 MHz</w:t>
            </w:r>
          </w:p>
        </w:tc>
      </w:tr>
      <w:tr w:rsidR="007552D9" w:rsidRPr="00C97518" w14:paraId="0DD5C286" w14:textId="77777777" w:rsidTr="00045C86">
        <w:trPr>
          <w:tblHeader/>
        </w:trPr>
        <w:tc>
          <w:tcPr>
            <w:tcW w:w="2694" w:type="dxa"/>
            <w:tcBorders>
              <w:top w:val="single" w:sz="4" w:space="0" w:color="auto"/>
              <w:left w:val="nil"/>
              <w:bottom w:val="single" w:sz="4" w:space="0" w:color="auto"/>
              <w:right w:val="nil"/>
            </w:tcBorders>
          </w:tcPr>
          <w:p w14:paraId="62F59B00" w14:textId="2BA920F0" w:rsidR="007552D9" w:rsidRPr="00C97518" w:rsidRDefault="007552D9" w:rsidP="00045C86">
            <w:pPr>
              <w:pStyle w:val="TableBody"/>
              <w:keepNext/>
              <w:keepLines/>
              <w:rPr>
                <w:rFonts w:cs="Arial"/>
              </w:rPr>
            </w:pPr>
            <w:r w:rsidRPr="00C97518">
              <w:rPr>
                <w:rFonts w:cs="Arial"/>
              </w:rPr>
              <w:t>5 MHz ≤ f</w:t>
            </w:r>
            <w:r w:rsidRPr="00C97518">
              <w:rPr>
                <w:rFonts w:cs="Arial"/>
                <w:vertAlign w:val="subscript"/>
              </w:rPr>
              <w:t>offset</w:t>
            </w:r>
            <w:r w:rsidRPr="00C97518">
              <w:rPr>
                <w:rFonts w:cs="Arial"/>
              </w:rPr>
              <w:t xml:space="preserve"> &lt; </w:t>
            </w:r>
            <w:r w:rsidR="00045C86" w:rsidRPr="00C97518">
              <w:rPr>
                <w:rFonts w:cs="Arial"/>
              </w:rPr>
              <w:t>39.8</w:t>
            </w:r>
            <w:r w:rsidRPr="00C97518">
              <w:rPr>
                <w:rFonts w:cs="Arial"/>
              </w:rPr>
              <w:t xml:space="preserve"> MHz</w:t>
            </w:r>
          </w:p>
        </w:tc>
        <w:tc>
          <w:tcPr>
            <w:tcW w:w="3827" w:type="dxa"/>
            <w:tcBorders>
              <w:top w:val="single" w:sz="4" w:space="0" w:color="auto"/>
              <w:left w:val="nil"/>
              <w:bottom w:val="single" w:sz="4" w:space="0" w:color="auto"/>
              <w:right w:val="nil"/>
            </w:tcBorders>
          </w:tcPr>
          <w:p w14:paraId="03483967" w14:textId="77777777" w:rsidR="007552D9" w:rsidRPr="00C97518" w:rsidRDefault="007552D9" w:rsidP="00150E2F">
            <w:pPr>
              <w:pStyle w:val="TableBody"/>
              <w:keepNext/>
              <w:keepLines/>
              <w:jc w:val="center"/>
              <w:rPr>
                <w:rFonts w:cs="Arial"/>
              </w:rPr>
            </w:pPr>
            <w:r w:rsidRPr="00C97518">
              <w:rPr>
                <w:rFonts w:cs="Arial"/>
              </w:rPr>
              <w:t>-13</w:t>
            </w:r>
          </w:p>
        </w:tc>
        <w:tc>
          <w:tcPr>
            <w:tcW w:w="2131" w:type="dxa"/>
            <w:tcBorders>
              <w:top w:val="single" w:sz="4" w:space="0" w:color="auto"/>
              <w:left w:val="nil"/>
              <w:bottom w:val="single" w:sz="4" w:space="0" w:color="auto"/>
              <w:right w:val="nil"/>
            </w:tcBorders>
          </w:tcPr>
          <w:p w14:paraId="04CED533" w14:textId="77777777" w:rsidR="007552D9" w:rsidRPr="00C97518" w:rsidRDefault="007552D9" w:rsidP="00150E2F">
            <w:pPr>
              <w:pStyle w:val="TableBody"/>
              <w:keepNext/>
              <w:keepLines/>
              <w:jc w:val="center"/>
              <w:rPr>
                <w:rFonts w:cs="Arial"/>
              </w:rPr>
            </w:pPr>
            <w:r w:rsidRPr="00C97518">
              <w:rPr>
                <w:rFonts w:cs="Arial"/>
              </w:rPr>
              <w:t>1 MHz</w:t>
            </w:r>
          </w:p>
        </w:tc>
      </w:tr>
      <w:tr w:rsidR="00045C86" w:rsidRPr="00C97518" w14:paraId="3CEF73E5" w14:textId="77777777" w:rsidTr="00045C86">
        <w:trPr>
          <w:tblHeader/>
        </w:trPr>
        <w:tc>
          <w:tcPr>
            <w:tcW w:w="2694" w:type="dxa"/>
            <w:tcBorders>
              <w:top w:val="single" w:sz="4" w:space="0" w:color="auto"/>
              <w:left w:val="nil"/>
              <w:bottom w:val="single" w:sz="4" w:space="0" w:color="auto"/>
              <w:right w:val="nil"/>
            </w:tcBorders>
          </w:tcPr>
          <w:p w14:paraId="47EE106C" w14:textId="36132419" w:rsidR="00045C86" w:rsidRPr="00C97518" w:rsidRDefault="00045C86" w:rsidP="00045C86">
            <w:pPr>
              <w:pStyle w:val="TableBody"/>
              <w:keepNext/>
              <w:keepLines/>
              <w:rPr>
                <w:rFonts w:cs="Arial"/>
              </w:rPr>
            </w:pPr>
            <w:r w:rsidRPr="00C97518">
              <w:rPr>
                <w:rFonts w:cs="Arial"/>
              </w:rPr>
              <w:t>39.8 MHz ≤ f</w:t>
            </w:r>
            <w:r w:rsidRPr="00C97518">
              <w:rPr>
                <w:rFonts w:cs="Arial"/>
                <w:vertAlign w:val="subscript"/>
              </w:rPr>
              <w:t>offset</w:t>
            </w:r>
            <w:r w:rsidRPr="00C97518">
              <w:rPr>
                <w:rFonts w:cs="Arial"/>
              </w:rPr>
              <w:t xml:space="preserve"> &lt; 45 MHz</w:t>
            </w:r>
          </w:p>
        </w:tc>
        <w:tc>
          <w:tcPr>
            <w:tcW w:w="3827" w:type="dxa"/>
            <w:tcBorders>
              <w:top w:val="single" w:sz="4" w:space="0" w:color="auto"/>
              <w:left w:val="nil"/>
              <w:bottom w:val="single" w:sz="4" w:space="0" w:color="auto"/>
              <w:right w:val="nil"/>
            </w:tcBorders>
          </w:tcPr>
          <w:p w14:paraId="12F8E84A" w14:textId="61939189" w:rsidR="00045C86" w:rsidRPr="00C97518" w:rsidRDefault="00045C86" w:rsidP="00150E2F">
            <w:pPr>
              <w:pStyle w:val="TableBody"/>
              <w:keepNext/>
              <w:keepLines/>
              <w:jc w:val="center"/>
              <w:rPr>
                <w:rFonts w:cs="Arial"/>
              </w:rPr>
            </w:pPr>
            <w:r w:rsidRPr="00C97518">
              <w:rPr>
                <w:rFonts w:cs="Arial"/>
              </w:rPr>
              <w:t>-25</w:t>
            </w:r>
          </w:p>
        </w:tc>
        <w:tc>
          <w:tcPr>
            <w:tcW w:w="2131" w:type="dxa"/>
            <w:tcBorders>
              <w:top w:val="single" w:sz="4" w:space="0" w:color="auto"/>
              <w:left w:val="nil"/>
              <w:bottom w:val="single" w:sz="4" w:space="0" w:color="auto"/>
              <w:right w:val="nil"/>
            </w:tcBorders>
          </w:tcPr>
          <w:p w14:paraId="71F41C52" w14:textId="259A9272" w:rsidR="00045C86" w:rsidRPr="00C97518" w:rsidRDefault="00045C86" w:rsidP="00150E2F">
            <w:pPr>
              <w:pStyle w:val="TableBody"/>
              <w:keepNext/>
              <w:keepLines/>
              <w:jc w:val="center"/>
              <w:rPr>
                <w:rFonts w:cs="Arial"/>
              </w:rPr>
            </w:pPr>
            <w:r w:rsidRPr="00C97518">
              <w:rPr>
                <w:rFonts w:cs="Arial"/>
              </w:rPr>
              <w:t>1 MHz</w:t>
            </w:r>
          </w:p>
        </w:tc>
      </w:tr>
      <w:tr w:rsidR="007552D9" w:rsidRPr="00C97518" w14:paraId="1D8C98E7" w14:textId="77777777" w:rsidTr="00045C86">
        <w:trPr>
          <w:tblHeader/>
        </w:trPr>
        <w:tc>
          <w:tcPr>
            <w:tcW w:w="2694" w:type="dxa"/>
            <w:tcBorders>
              <w:top w:val="single" w:sz="4" w:space="0" w:color="auto"/>
              <w:left w:val="nil"/>
              <w:bottom w:val="single" w:sz="4" w:space="0" w:color="auto"/>
              <w:right w:val="nil"/>
            </w:tcBorders>
            <w:shd w:val="clear" w:color="auto" w:fill="F2F2F2" w:themeFill="background1" w:themeFillShade="F2"/>
          </w:tcPr>
          <w:p w14:paraId="5C94539A" w14:textId="2E2B7001" w:rsidR="007552D9" w:rsidRPr="00C97518" w:rsidRDefault="007552D9" w:rsidP="00045C86">
            <w:pPr>
              <w:pStyle w:val="TableBody"/>
              <w:keepNext/>
              <w:keepLines/>
              <w:rPr>
                <w:rFonts w:cs="Arial"/>
              </w:rPr>
            </w:pPr>
            <w:r w:rsidRPr="00C97518">
              <w:rPr>
                <w:rFonts w:cs="Arial"/>
              </w:rPr>
              <w:t>f</w:t>
            </w:r>
            <w:r w:rsidRPr="00C97518">
              <w:rPr>
                <w:rFonts w:cs="Arial"/>
                <w:vertAlign w:val="subscript"/>
              </w:rPr>
              <w:t>offset</w:t>
            </w:r>
            <w:r w:rsidRPr="00C97518">
              <w:rPr>
                <w:rFonts w:cs="Arial"/>
              </w:rPr>
              <w:t xml:space="preserve"> </w:t>
            </w:r>
            <w:r w:rsidRPr="00C97518">
              <w:rPr>
                <w:rFonts w:eastAsiaTheme="minorEastAsia"/>
                <w:szCs w:val="20"/>
                <w:lang w:eastAsia="en-US"/>
              </w:rPr>
              <w:t>≥</w:t>
            </w:r>
            <w:r w:rsidRPr="00C97518">
              <w:rPr>
                <w:rFonts w:cs="Arial"/>
              </w:rPr>
              <w:t xml:space="preserve"> </w:t>
            </w:r>
            <w:r w:rsidR="00045C86" w:rsidRPr="00C97518">
              <w:rPr>
                <w:rFonts w:cs="Arial"/>
              </w:rPr>
              <w:t>45</w:t>
            </w:r>
            <w:r w:rsidRPr="00C97518">
              <w:rPr>
                <w:rFonts w:cs="Arial"/>
              </w:rPr>
              <w:t xml:space="preserve"> MHz</w:t>
            </w:r>
          </w:p>
        </w:tc>
        <w:tc>
          <w:tcPr>
            <w:tcW w:w="3827" w:type="dxa"/>
            <w:tcBorders>
              <w:top w:val="single" w:sz="4" w:space="0" w:color="auto"/>
              <w:left w:val="nil"/>
              <w:bottom w:val="single" w:sz="4" w:space="0" w:color="auto"/>
              <w:right w:val="nil"/>
            </w:tcBorders>
            <w:shd w:val="clear" w:color="auto" w:fill="F2F2F2" w:themeFill="background1" w:themeFillShade="F2"/>
          </w:tcPr>
          <w:p w14:paraId="41583019" w14:textId="613DC084" w:rsidR="007552D9" w:rsidRPr="00C97518" w:rsidRDefault="007552D9" w:rsidP="00045C86">
            <w:pPr>
              <w:pStyle w:val="TableBody"/>
              <w:keepNext/>
              <w:keepLines/>
              <w:jc w:val="center"/>
              <w:rPr>
                <w:rFonts w:cs="Arial"/>
              </w:rPr>
            </w:pPr>
            <w:r w:rsidRPr="00C97518">
              <w:rPr>
                <w:rFonts w:cs="Arial"/>
              </w:rPr>
              <w:t>-</w:t>
            </w:r>
            <w:r w:rsidR="00045C86" w:rsidRPr="00C97518">
              <w:rPr>
                <w:rFonts w:cs="Arial"/>
              </w:rPr>
              <w:t>30</w:t>
            </w:r>
          </w:p>
        </w:tc>
        <w:tc>
          <w:tcPr>
            <w:tcW w:w="2131" w:type="dxa"/>
            <w:tcBorders>
              <w:top w:val="single" w:sz="4" w:space="0" w:color="auto"/>
              <w:left w:val="nil"/>
              <w:bottom w:val="single" w:sz="4" w:space="0" w:color="auto"/>
              <w:right w:val="nil"/>
            </w:tcBorders>
            <w:shd w:val="clear" w:color="auto" w:fill="F2F2F2" w:themeFill="background1" w:themeFillShade="F2"/>
          </w:tcPr>
          <w:p w14:paraId="6F39F583" w14:textId="77777777" w:rsidR="007552D9" w:rsidRPr="00C97518" w:rsidRDefault="007552D9" w:rsidP="00150E2F">
            <w:pPr>
              <w:pStyle w:val="TableBody"/>
              <w:keepNext/>
              <w:keepLines/>
              <w:jc w:val="center"/>
              <w:rPr>
                <w:rFonts w:cs="Arial"/>
              </w:rPr>
            </w:pPr>
            <w:r w:rsidRPr="00C97518">
              <w:rPr>
                <w:rFonts w:cs="Arial"/>
              </w:rPr>
              <w:t>1 MHz</w:t>
            </w:r>
          </w:p>
        </w:tc>
      </w:tr>
    </w:tbl>
    <w:p w14:paraId="35D2A891" w14:textId="77777777" w:rsidR="007552D9" w:rsidRPr="00C97518" w:rsidRDefault="007552D9" w:rsidP="007552D9">
      <w:pPr>
        <w:pStyle w:val="ACMASpaceaftertable"/>
        <w:rPr>
          <w:rFonts w:eastAsiaTheme="minorEastAsia"/>
          <w:lang w:eastAsia="en-US"/>
        </w:rPr>
      </w:pPr>
    </w:p>
    <w:p w14:paraId="25A79DBC" w14:textId="30418006" w:rsidR="00150E2F" w:rsidRPr="00C97518" w:rsidRDefault="00150E2F" w:rsidP="00150E2F">
      <w:pPr>
        <w:rPr>
          <w:u w:val="single"/>
        </w:rPr>
      </w:pPr>
      <w:r w:rsidRPr="00C97518">
        <w:rPr>
          <w:u w:val="single"/>
        </w:rPr>
        <w:t xml:space="preserve">Comparison of unwanted emission limits </w:t>
      </w:r>
    </w:p>
    <w:p w14:paraId="06D1224C" w14:textId="3514967D" w:rsidR="00150E2F" w:rsidRPr="00C97518" w:rsidRDefault="00150E2F" w:rsidP="00150E2F">
      <w:pPr>
        <w:pStyle w:val="ACMASpaceaftertable"/>
        <w:rPr>
          <w:rFonts w:eastAsiaTheme="minorEastAsia"/>
          <w:szCs w:val="22"/>
          <w:lang w:eastAsia="en-US"/>
        </w:rPr>
      </w:pPr>
      <w:r w:rsidRPr="00C97518">
        <w:rPr>
          <w:rFonts w:eastAsiaTheme="minorEastAsia"/>
          <w:szCs w:val="22"/>
          <w:lang w:eastAsia="en-US"/>
        </w:rPr>
        <w:t xml:space="preserve">Figure B1.2 visually compares the proposed unwanted emission limits </w:t>
      </w:r>
      <w:r w:rsidR="00D21E6B">
        <w:rPr>
          <w:rFonts w:eastAsiaTheme="minorEastAsia"/>
          <w:szCs w:val="22"/>
          <w:lang w:eastAsia="en-US"/>
        </w:rPr>
        <w:t>against</w:t>
      </w:r>
      <w:r w:rsidRPr="00C97518">
        <w:rPr>
          <w:rFonts w:eastAsiaTheme="minorEastAsia"/>
          <w:szCs w:val="22"/>
          <w:lang w:eastAsia="en-US"/>
        </w:rPr>
        <w:t xml:space="preserve"> the current 2 GHz band radiated emission limits. </w:t>
      </w:r>
    </w:p>
    <w:p w14:paraId="64EBD5D6" w14:textId="46774D8E" w:rsidR="00150E2F" w:rsidRPr="00C97518" w:rsidRDefault="00150E2F">
      <w:pPr>
        <w:spacing w:after="0" w:line="240" w:lineRule="auto"/>
        <w:rPr>
          <w:rFonts w:eastAsiaTheme="minorEastAsia" w:cs="Arial"/>
          <w:szCs w:val="22"/>
          <w:lang w:eastAsia="en-US"/>
        </w:rPr>
      </w:pPr>
      <w:r w:rsidRPr="00C97518">
        <w:rPr>
          <w:rFonts w:eastAsiaTheme="minorEastAsia"/>
          <w:szCs w:val="22"/>
          <w:lang w:eastAsia="en-US"/>
        </w:rPr>
        <w:br w:type="page"/>
      </w:r>
    </w:p>
    <w:p w14:paraId="227EA24A" w14:textId="2B48B686" w:rsidR="00656396" w:rsidRPr="00C97518" w:rsidRDefault="00656396" w:rsidP="00656396">
      <w:pPr>
        <w:pStyle w:val="ACMAFigureHeader"/>
        <w:keepNext/>
        <w:keepLines/>
        <w:numPr>
          <w:ilvl w:val="0"/>
          <w:numId w:val="0"/>
        </w:numPr>
        <w:rPr>
          <w:rFonts w:ascii="Times New Roman" w:hAnsi="Times New Roman"/>
        </w:rPr>
      </w:pPr>
      <w:r w:rsidRPr="00C97518">
        <w:t>Figure B1.2:</w:t>
      </w:r>
      <w:r w:rsidRPr="00C97518">
        <w:tab/>
        <w:t>C</w:t>
      </w:r>
      <w:r w:rsidRPr="00C97518">
        <w:rPr>
          <w:rFonts w:eastAsiaTheme="minorEastAsia"/>
          <w:szCs w:val="22"/>
          <w:lang w:eastAsia="en-US"/>
        </w:rPr>
        <w:t>omparison of the proposed unwanted emission limits and the current 2 GHz band radiated emission limits</w:t>
      </w:r>
    </w:p>
    <w:p w14:paraId="69E7201E" w14:textId="0B2C4432" w:rsidR="00150E2F" w:rsidRPr="00C97518" w:rsidRDefault="0040559F" w:rsidP="00150E2F">
      <w:pPr>
        <w:pStyle w:val="ACMASpaceaftertable"/>
        <w:rPr>
          <w:rFonts w:eastAsiaTheme="minorEastAsia"/>
          <w:lang w:eastAsia="en-US"/>
        </w:rPr>
      </w:pPr>
      <w:r>
        <w:rPr>
          <w:noProof/>
        </w:rPr>
        <w:drawing>
          <wp:inline distT="0" distB="0" distL="0" distR="0" wp14:anchorId="3C40E51E" wp14:editId="09DC7A1D">
            <wp:extent cx="4871085" cy="3657600"/>
            <wp:effectExtent l="0" t="0" r="5715"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3B1307E6" w14:textId="54B73011" w:rsidR="00150E2F" w:rsidRPr="00C97518" w:rsidRDefault="0040559F" w:rsidP="00150E2F">
      <w:pPr>
        <w:pStyle w:val="ACMASpaceaftertable"/>
        <w:rPr>
          <w:rFonts w:eastAsiaTheme="minorEastAsia"/>
          <w:lang w:eastAsia="en-US"/>
        </w:rPr>
      </w:pPr>
      <w:r>
        <w:rPr>
          <w:noProof/>
        </w:rPr>
        <w:drawing>
          <wp:inline distT="0" distB="0" distL="0" distR="0" wp14:anchorId="12BBDF02" wp14:editId="169C6BB3">
            <wp:extent cx="4871085" cy="3538331"/>
            <wp:effectExtent l="0" t="0" r="5715" b="508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201D7895" w14:textId="77777777" w:rsidR="00150E2F" w:rsidRPr="00C97518" w:rsidRDefault="00150E2F" w:rsidP="007552D9">
      <w:pPr>
        <w:pStyle w:val="ACMASpaceaftertable"/>
        <w:rPr>
          <w:rFonts w:eastAsiaTheme="minorEastAsia"/>
          <w:lang w:eastAsia="en-US"/>
        </w:rPr>
      </w:pPr>
    </w:p>
    <w:p w14:paraId="0EFE7B9D" w14:textId="007EE704" w:rsidR="00E2707F" w:rsidRPr="00C97518" w:rsidRDefault="00E2707F" w:rsidP="00E2707F">
      <w:pPr>
        <w:pStyle w:val="Heading2"/>
        <w:ind w:left="567" w:hanging="567"/>
      </w:pPr>
      <w:bookmarkStart w:id="52" w:name="_Toc437508116"/>
      <w:bookmarkStart w:id="53" w:name="_Toc437508421"/>
      <w:bookmarkStart w:id="54" w:name="_Toc437530155"/>
      <w:bookmarkStart w:id="55" w:name="_Toc444690633"/>
      <w:r w:rsidRPr="00C97518">
        <w:t>B2</w:t>
      </w:r>
      <w:r w:rsidRPr="00C97518">
        <w:tab/>
      </w:r>
      <w:r w:rsidR="00BA6F28" w:rsidRPr="00C97518">
        <w:t>Additional s</w:t>
      </w:r>
      <w:r w:rsidRPr="00C97518">
        <w:rPr>
          <w:rFonts w:eastAsiaTheme="minorEastAsia"/>
          <w:szCs w:val="22"/>
          <w:lang w:eastAsia="en-US"/>
        </w:rPr>
        <w:t>purious emission limit</w:t>
      </w:r>
      <w:bookmarkEnd w:id="52"/>
      <w:bookmarkEnd w:id="53"/>
      <w:bookmarkEnd w:id="54"/>
      <w:r w:rsidR="00BA6F28" w:rsidRPr="00C97518">
        <w:rPr>
          <w:rFonts w:eastAsiaTheme="minorEastAsia"/>
          <w:szCs w:val="22"/>
          <w:lang w:eastAsia="en-US"/>
        </w:rPr>
        <w:t xml:space="preserve"> requirements</w:t>
      </w:r>
      <w:bookmarkEnd w:id="55"/>
      <w:r w:rsidRPr="00C97518">
        <w:rPr>
          <w:rFonts w:eastAsiaTheme="minorEastAsia"/>
          <w:szCs w:val="22"/>
          <w:lang w:eastAsia="en-US"/>
        </w:rPr>
        <w:t xml:space="preserve"> </w:t>
      </w:r>
    </w:p>
    <w:p w14:paraId="4CC71D8E" w14:textId="36179E75" w:rsidR="00150E2F" w:rsidRPr="00C97518" w:rsidRDefault="00DC0FCA" w:rsidP="0027403F">
      <w:r w:rsidRPr="00C97518">
        <w:t>In addition to the unwanted radiated power limits, spurious emission limits have also been defined at the antenna connector of the device. Therefore spurious emissions must meet both the ‘unwanted emission limit’ defined in section B1 and ‘the spurious emission limit’ defined in this section. This allows spurious emission limits to be defined the same way as specified in 3GPP standards. It also removes complications involved in defining a frequency response for antennas so a radiated spurious emission limit can be defined.</w:t>
      </w:r>
    </w:p>
    <w:p w14:paraId="77FBA35F" w14:textId="3ABD7350" w:rsidR="00F13B89" w:rsidRPr="00C97518" w:rsidRDefault="00F13B89" w:rsidP="00F13B89">
      <w:r w:rsidRPr="00C97518">
        <w:t>The proposed transmitter spurious emission limits for the 1920-1980 MHz and 2110-2170 MHz frequency ranges are the levels</w:t>
      </w:r>
      <w:r w:rsidRPr="00C97518" w:rsidDel="00DA1A12">
        <w:t xml:space="preserve"> </w:t>
      </w:r>
      <w:r w:rsidRPr="00C97518">
        <w:t>defined in 3GPP 36.101</w:t>
      </w:r>
      <w:r w:rsidRPr="00C97518">
        <w:rPr>
          <w:rStyle w:val="FootnoteReference"/>
        </w:rPr>
        <w:footnoteReference w:id="16"/>
      </w:r>
      <w:r w:rsidRPr="00C97518">
        <w:t xml:space="preserve"> (for UEs) and 3GPP 36.104</w:t>
      </w:r>
      <w:r w:rsidRPr="00C97518">
        <w:rPr>
          <w:rStyle w:val="FootnoteReference"/>
        </w:rPr>
        <w:footnoteReference w:id="17"/>
      </w:r>
      <w:r w:rsidRPr="00C97518">
        <w:t xml:space="preserve"> (for base stations) respectively. These levels are defined at the antenna connector.</w:t>
      </w:r>
    </w:p>
    <w:p w14:paraId="530CE0F7" w14:textId="7FBC1AF1" w:rsidR="00F13B89" w:rsidRPr="00C97518" w:rsidRDefault="00E2707F" w:rsidP="00F13B89">
      <w:r w:rsidRPr="00C97518">
        <w:t>3GPP 36.101</w:t>
      </w:r>
      <w:r w:rsidR="008C0005" w:rsidRPr="00C97518">
        <w:rPr>
          <w:rStyle w:val="FootnoteReference"/>
        </w:rPr>
        <w:footnoteReference w:id="18"/>
      </w:r>
      <w:r w:rsidR="008C0005" w:rsidRPr="00C97518">
        <w:t xml:space="preserve"> and 36.104</w:t>
      </w:r>
      <w:r w:rsidR="008C0005" w:rsidRPr="00C97518">
        <w:rPr>
          <w:rStyle w:val="FootnoteReference"/>
        </w:rPr>
        <w:footnoteReference w:id="19"/>
      </w:r>
      <w:r w:rsidRPr="00C97518">
        <w:t xml:space="preserve"> defines the boundary between the E-UTRA out of band and spurious emission domain. </w:t>
      </w:r>
      <w:r w:rsidR="00DC0FCA" w:rsidRPr="00C97518">
        <w:t>For LTE (and UMTS) base sta</w:t>
      </w:r>
      <w:r w:rsidR="00F13B89" w:rsidRPr="00C97518">
        <w:t xml:space="preserve">tions the </w:t>
      </w:r>
      <w:r w:rsidR="00A0576F" w:rsidRPr="00C97518">
        <w:t xml:space="preserve">transmitter </w:t>
      </w:r>
      <w:r w:rsidR="00F13B89" w:rsidRPr="00C97518">
        <w:t>spurious domain starting</w:t>
      </w:r>
      <w:r w:rsidR="00DC0FCA" w:rsidRPr="00C97518">
        <w:t xml:space="preserve"> ±10 MHz from the band edge. However, the </w:t>
      </w:r>
      <w:r w:rsidR="00A0576F" w:rsidRPr="00C97518">
        <w:t xml:space="preserve">transmitter </w:t>
      </w:r>
      <w:r w:rsidR="00DC0FCA" w:rsidRPr="00C97518">
        <w:t xml:space="preserve">spurious domain for LTE (and UMTS) user terminals starts at different frequency offsets depending on the relevant channel sizes. </w:t>
      </w:r>
      <w:r w:rsidR="00F13B89" w:rsidRPr="00C97518">
        <w:t xml:space="preserve">For this reason the spurious emission limit requirement is defined to start at the worst case offset from the 1920-1980 MHz band edge. The worst case relates to an LTE UE employing 20 MHz + 20 MHz carrier aggregation. In this scenario the spurious domain is deemed to start at offsets greater than 45 MHz from the band edge. </w:t>
      </w:r>
    </w:p>
    <w:p w14:paraId="6E629119" w14:textId="0ABAB6D6" w:rsidR="00A0576F" w:rsidRPr="00C97518" w:rsidRDefault="00373E8D" w:rsidP="00656396">
      <w:r>
        <w:t>Receiver spurious emission limits are defined in table B2.2.</w:t>
      </w:r>
      <w:r w:rsidRPr="00C97518">
        <w:t xml:space="preserve"> </w:t>
      </w:r>
      <w:r w:rsidR="00A0576F" w:rsidRPr="00C97518">
        <w:t>For</w:t>
      </w:r>
      <w:r>
        <w:t xml:space="preserve"> UEs</w:t>
      </w:r>
      <w:r w:rsidR="00A0576F" w:rsidRPr="00C97518">
        <w:t xml:space="preserve"> </w:t>
      </w:r>
      <w:r>
        <w:t xml:space="preserve">operating in the 1920-1980 MHz band, </w:t>
      </w:r>
      <w:r w:rsidRPr="00C97518">
        <w:t>3GPP 36.101</w:t>
      </w:r>
      <w:r w:rsidRPr="00C97518">
        <w:rPr>
          <w:rStyle w:val="FootnoteReference"/>
        </w:rPr>
        <w:footnoteReference w:id="20"/>
      </w:r>
      <w:r w:rsidRPr="00C97518">
        <w:t xml:space="preserve"> </w:t>
      </w:r>
      <w:r>
        <w:t>defines the receiver spurious limits applying across the entire frequency range (i.e. both inside and outside the 1920-1980 MHz band). For base stations</w:t>
      </w:r>
      <w:r w:rsidRPr="00C97518">
        <w:t xml:space="preserve"> </w:t>
      </w:r>
      <w:r>
        <w:t xml:space="preserve">operating in the 2110-2170 MHz band, </w:t>
      </w:r>
      <w:r w:rsidRPr="00C97518">
        <w:t>3GPP 36.104</w:t>
      </w:r>
      <w:r w:rsidRPr="00C97518">
        <w:rPr>
          <w:rStyle w:val="FootnoteReference"/>
        </w:rPr>
        <w:footnoteReference w:id="21"/>
      </w:r>
      <w:r w:rsidRPr="00C97518">
        <w:t xml:space="preserve"> </w:t>
      </w:r>
      <w:r>
        <w:t xml:space="preserve">defines that the limits do not apply within the 2100-2180 MHz frequency range. </w:t>
      </w:r>
    </w:p>
    <w:p w14:paraId="03CC92AD" w14:textId="4EE72AB0" w:rsidR="00656396" w:rsidRPr="00C97518" w:rsidRDefault="00656396" w:rsidP="00656396">
      <w:r w:rsidRPr="00C97518">
        <w:t xml:space="preserve">The resulting radiated transmitter and receiver spurious emission limits are shown in </w:t>
      </w:r>
      <w:r w:rsidRPr="00C97518">
        <w:rPr>
          <w:rFonts w:eastAsiaTheme="minorEastAsia"/>
          <w:szCs w:val="22"/>
          <w:lang w:eastAsia="en-US"/>
        </w:rPr>
        <w:t>Table B2.1 and Table B2.2 respectively</w:t>
      </w:r>
      <w:r w:rsidRPr="00C97518">
        <w:t xml:space="preserve">. </w:t>
      </w:r>
      <w:r w:rsidR="00F85B5D">
        <w:t>Since these limits, as specified, do not meet the definition of a radio emission</w:t>
      </w:r>
      <w:r w:rsidR="00F85B5D">
        <w:rPr>
          <w:rStyle w:val="FootnoteReference"/>
        </w:rPr>
        <w:footnoteReference w:id="22"/>
      </w:r>
      <w:r w:rsidR="00F85B5D">
        <w:t xml:space="preserve"> as applied to section 66(1)(b) of the Radiocommunications Act (emissions outside the frequency limits of the licence), they will be included in Schedule 4 ‘Other Conditions’ of the licence. It is intended that the ‘unwanted emission limits’ will satisfy the requirements of 66(1)(b) of the Radiocommunications Act.</w:t>
      </w:r>
    </w:p>
    <w:p w14:paraId="3804DC2D" w14:textId="77777777" w:rsidR="00373E8D" w:rsidRDefault="00373E8D" w:rsidP="00F13B89">
      <w:pPr>
        <w:pStyle w:val="ACMATableHeader"/>
        <w:numPr>
          <w:ilvl w:val="0"/>
          <w:numId w:val="0"/>
        </w:numPr>
      </w:pPr>
    </w:p>
    <w:p w14:paraId="298F588C" w14:textId="77777777" w:rsidR="007775DA" w:rsidRDefault="007775DA">
      <w:pPr>
        <w:spacing w:after="0" w:line="240" w:lineRule="auto"/>
        <w:rPr>
          <w:b/>
          <w:bCs/>
          <w:color w:val="323232"/>
          <w:szCs w:val="20"/>
        </w:rPr>
      </w:pPr>
      <w:r>
        <w:br w:type="page"/>
      </w:r>
    </w:p>
    <w:p w14:paraId="45D954C2" w14:textId="0E09D079" w:rsidR="002E6A30" w:rsidRPr="00C97518" w:rsidRDefault="00F13B89" w:rsidP="00F13B89">
      <w:pPr>
        <w:pStyle w:val="ACMATableHeader"/>
        <w:numPr>
          <w:ilvl w:val="0"/>
          <w:numId w:val="0"/>
        </w:numPr>
      </w:pPr>
      <w:r w:rsidRPr="00C97518">
        <w:t>Table B2.1</w:t>
      </w:r>
      <w:r w:rsidR="002E6A30" w:rsidRPr="00C97518">
        <w:t>:</w:t>
      </w:r>
      <w:r w:rsidR="002E6A30" w:rsidRPr="00C97518">
        <w:tab/>
        <w:t>R</w:t>
      </w:r>
      <w:r w:rsidR="002E6A30" w:rsidRPr="00C97518">
        <w:rPr>
          <w:rFonts w:eastAsiaTheme="minorEastAsia"/>
          <w:szCs w:val="22"/>
          <w:lang w:eastAsia="en-US"/>
        </w:rPr>
        <w:t>adiocommunications transmitter spurious emission limits</w:t>
      </w:r>
      <w:r w:rsidRPr="00C97518">
        <w:rPr>
          <w:rFonts w:eastAsiaTheme="minorEastAsia"/>
          <w:szCs w:val="22"/>
          <w:lang w:eastAsia="en-US"/>
        </w:rPr>
        <w:t xml:space="preserve"> at antenna connector. For transmitters in the 1920-1980 MHz frequency range this applies outside the 1875-2025 MHz</w:t>
      </w:r>
      <w:r w:rsidR="002E6A30" w:rsidRPr="00C97518">
        <w:t xml:space="preserve"> </w:t>
      </w:r>
      <w:r w:rsidRPr="00C97518">
        <w:t xml:space="preserve">band. </w:t>
      </w:r>
      <w:r w:rsidRPr="00C97518">
        <w:rPr>
          <w:rFonts w:eastAsiaTheme="minorEastAsia"/>
          <w:szCs w:val="22"/>
          <w:lang w:eastAsia="en-US"/>
        </w:rPr>
        <w:t>For transmitters in the 2110-2170 MHz frequency range this applies outside the 2100-2180 MHz</w:t>
      </w:r>
      <w:r w:rsidRPr="00C97518">
        <w:t xml:space="preserve"> band.</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2E6A30" w:rsidRPr="00C97518" w14:paraId="2FAF00C7" w14:textId="77777777" w:rsidTr="003D00D5">
        <w:trPr>
          <w:tblHeader/>
        </w:trPr>
        <w:tc>
          <w:tcPr>
            <w:tcW w:w="2539" w:type="dxa"/>
            <w:tcBorders>
              <w:top w:val="single" w:sz="4" w:space="0" w:color="auto"/>
              <w:left w:val="nil"/>
              <w:bottom w:val="single" w:sz="4" w:space="0" w:color="auto"/>
              <w:right w:val="nil"/>
            </w:tcBorders>
            <w:shd w:val="clear" w:color="auto" w:fill="404040" w:themeFill="text1" w:themeFillTint="BF"/>
          </w:tcPr>
          <w:p w14:paraId="3D9562E7" w14:textId="343FCB2C" w:rsidR="002E6A30" w:rsidRPr="00C97518" w:rsidRDefault="002E6A30" w:rsidP="002E6A30">
            <w:pPr>
              <w:pStyle w:val="TableHeading"/>
              <w:rPr>
                <w:color w:val="FFFFFF" w:themeColor="background1"/>
              </w:rPr>
            </w:pPr>
            <w:r w:rsidRPr="00C97518">
              <w:rPr>
                <w:color w:val="FFFFFF" w:themeColor="background1"/>
              </w:rPr>
              <w:t>Frequency range (f)</w:t>
            </w:r>
          </w:p>
        </w:tc>
        <w:tc>
          <w:tcPr>
            <w:tcW w:w="3818" w:type="dxa"/>
            <w:tcBorders>
              <w:top w:val="single" w:sz="4" w:space="0" w:color="auto"/>
              <w:left w:val="nil"/>
              <w:bottom w:val="single" w:sz="4" w:space="0" w:color="auto"/>
              <w:right w:val="nil"/>
            </w:tcBorders>
            <w:shd w:val="clear" w:color="auto" w:fill="404040" w:themeFill="text1" w:themeFillTint="BF"/>
          </w:tcPr>
          <w:p w14:paraId="29A7FE41" w14:textId="77777777" w:rsidR="00F85B5D" w:rsidRDefault="002E6A30" w:rsidP="00F85B5D">
            <w:pPr>
              <w:pStyle w:val="TableHeading"/>
              <w:jc w:val="center"/>
              <w:rPr>
                <w:color w:val="FFFFFF" w:themeColor="background1"/>
              </w:rPr>
            </w:pPr>
            <w:r w:rsidRPr="00C97518">
              <w:rPr>
                <w:color w:val="FFFFFF" w:themeColor="background1"/>
              </w:rPr>
              <w:t>Radiated mean power</w:t>
            </w:r>
            <w:r w:rsidR="00F85B5D">
              <w:rPr>
                <w:color w:val="FFFFFF" w:themeColor="background1"/>
              </w:rPr>
              <w:t xml:space="preserve"> </w:t>
            </w:r>
            <w:r w:rsidRPr="00C97518">
              <w:rPr>
                <w:color w:val="FFFFFF" w:themeColor="background1"/>
              </w:rPr>
              <w:t>(dBm EIRP)</w:t>
            </w:r>
            <w:r w:rsidR="00F85B5D">
              <w:rPr>
                <w:color w:val="FFFFFF" w:themeColor="background1"/>
              </w:rPr>
              <w:t xml:space="preserve"> </w:t>
            </w:r>
          </w:p>
          <w:p w14:paraId="4A487F0B" w14:textId="2CD1CFE4" w:rsidR="002E6A30" w:rsidRPr="00C97518" w:rsidRDefault="00F85B5D" w:rsidP="00F85B5D">
            <w:pPr>
              <w:pStyle w:val="TableHeading"/>
              <w:jc w:val="center"/>
              <w:rPr>
                <w:color w:val="FFFFFF" w:themeColor="background1"/>
              </w:rPr>
            </w:pPr>
            <w:r>
              <w:rPr>
                <w:color w:val="FFFFFF" w:themeColor="background1"/>
              </w:rPr>
              <w:t>at the antenna connector</w:t>
            </w:r>
          </w:p>
        </w:tc>
        <w:tc>
          <w:tcPr>
            <w:tcW w:w="2295" w:type="dxa"/>
            <w:tcBorders>
              <w:top w:val="single" w:sz="4" w:space="0" w:color="auto"/>
              <w:left w:val="nil"/>
              <w:bottom w:val="single" w:sz="4" w:space="0" w:color="auto"/>
              <w:right w:val="nil"/>
            </w:tcBorders>
            <w:shd w:val="clear" w:color="auto" w:fill="404040" w:themeFill="text1" w:themeFillTint="BF"/>
          </w:tcPr>
          <w:p w14:paraId="5A3EA0E3" w14:textId="6E0DDC34" w:rsidR="002E6A30" w:rsidRPr="00C97518" w:rsidRDefault="002E6A30" w:rsidP="003D00D5">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2E6A30" w:rsidRPr="00C97518" w14:paraId="11FF11A2" w14:textId="77777777" w:rsidTr="003D00D5">
        <w:trPr>
          <w:tblHeader/>
        </w:trPr>
        <w:tc>
          <w:tcPr>
            <w:tcW w:w="2539" w:type="dxa"/>
            <w:tcBorders>
              <w:top w:val="single" w:sz="4" w:space="0" w:color="auto"/>
              <w:left w:val="nil"/>
              <w:bottom w:val="single" w:sz="4" w:space="0" w:color="auto"/>
              <w:right w:val="nil"/>
            </w:tcBorders>
          </w:tcPr>
          <w:p w14:paraId="67BDA3BD" w14:textId="54EABFBC" w:rsidR="002E6A30" w:rsidRPr="00C97518" w:rsidRDefault="002E6A30" w:rsidP="002E6A30">
            <w:pPr>
              <w:pStyle w:val="TableBody"/>
              <w:keepNext/>
              <w:keepLines/>
              <w:rPr>
                <w:rFonts w:cs="Arial"/>
              </w:rPr>
            </w:pPr>
            <w:r w:rsidRPr="00C97518">
              <w:rPr>
                <w:rFonts w:cs="Arial"/>
              </w:rPr>
              <w:t>9 kHz ≤ f &lt; 150 kHz</w:t>
            </w:r>
          </w:p>
        </w:tc>
        <w:tc>
          <w:tcPr>
            <w:tcW w:w="3818" w:type="dxa"/>
            <w:tcBorders>
              <w:top w:val="single" w:sz="4" w:space="0" w:color="auto"/>
              <w:left w:val="nil"/>
              <w:bottom w:val="single" w:sz="4" w:space="0" w:color="auto"/>
              <w:right w:val="nil"/>
            </w:tcBorders>
          </w:tcPr>
          <w:p w14:paraId="713F7481" w14:textId="6C34CFF5"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tcPr>
          <w:p w14:paraId="2A6579D1" w14:textId="6ECB433C" w:rsidR="002E6A30" w:rsidRPr="00C97518" w:rsidRDefault="002E6A30" w:rsidP="002E6A30">
            <w:pPr>
              <w:pStyle w:val="TableBody"/>
              <w:keepNext/>
              <w:keepLines/>
              <w:jc w:val="center"/>
              <w:rPr>
                <w:rFonts w:cs="Arial"/>
              </w:rPr>
            </w:pPr>
            <w:r w:rsidRPr="00C97518">
              <w:rPr>
                <w:rFonts w:cs="Arial"/>
              </w:rPr>
              <w:t>1 kHz</w:t>
            </w:r>
          </w:p>
        </w:tc>
      </w:tr>
      <w:tr w:rsidR="002E6A30" w:rsidRPr="00C97518" w14:paraId="176305AE" w14:textId="77777777" w:rsidTr="003D00D5">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01542B01" w14:textId="782192D0" w:rsidR="002E6A30" w:rsidRPr="00C97518" w:rsidRDefault="002E6A30" w:rsidP="002E6A30">
            <w:pPr>
              <w:pStyle w:val="TableBody"/>
              <w:keepNext/>
              <w:keepLines/>
              <w:rPr>
                <w:rFonts w:cs="Arial"/>
              </w:rPr>
            </w:pPr>
            <w:r w:rsidRPr="00C97518">
              <w:rPr>
                <w:rFonts w:cs="Arial"/>
              </w:rPr>
              <w:t>150 kHz ≤ f &lt; 30 MHz</w:t>
            </w:r>
          </w:p>
        </w:tc>
        <w:tc>
          <w:tcPr>
            <w:tcW w:w="3818" w:type="dxa"/>
            <w:tcBorders>
              <w:top w:val="single" w:sz="4" w:space="0" w:color="auto"/>
              <w:left w:val="nil"/>
              <w:bottom w:val="single" w:sz="4" w:space="0" w:color="auto"/>
              <w:right w:val="nil"/>
            </w:tcBorders>
            <w:shd w:val="clear" w:color="auto" w:fill="F2F2F2" w:themeFill="background1" w:themeFillShade="F2"/>
          </w:tcPr>
          <w:p w14:paraId="15026CDA" w14:textId="411AD886"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shd w:val="clear" w:color="auto" w:fill="F2F2F2" w:themeFill="background1" w:themeFillShade="F2"/>
          </w:tcPr>
          <w:p w14:paraId="1916B679" w14:textId="78B1863B" w:rsidR="002E6A30" w:rsidRPr="00C97518" w:rsidRDefault="002E6A30" w:rsidP="002E6A30">
            <w:pPr>
              <w:pStyle w:val="TableBody"/>
              <w:keepNext/>
              <w:keepLines/>
              <w:jc w:val="center"/>
              <w:rPr>
                <w:rFonts w:cs="Arial"/>
              </w:rPr>
            </w:pPr>
            <w:r w:rsidRPr="00C97518">
              <w:rPr>
                <w:rFonts w:cs="Arial"/>
              </w:rPr>
              <w:t>10 kHz</w:t>
            </w:r>
          </w:p>
        </w:tc>
      </w:tr>
      <w:tr w:rsidR="002E6A30" w:rsidRPr="00C97518" w14:paraId="636CFFC1" w14:textId="77777777" w:rsidTr="003D00D5">
        <w:trPr>
          <w:tblHeader/>
        </w:trPr>
        <w:tc>
          <w:tcPr>
            <w:tcW w:w="2539" w:type="dxa"/>
            <w:tcBorders>
              <w:top w:val="single" w:sz="4" w:space="0" w:color="auto"/>
              <w:left w:val="nil"/>
              <w:bottom w:val="single" w:sz="4" w:space="0" w:color="auto"/>
              <w:right w:val="nil"/>
            </w:tcBorders>
          </w:tcPr>
          <w:p w14:paraId="4CDDAB81" w14:textId="7739265C" w:rsidR="002E6A30" w:rsidRPr="00C97518" w:rsidRDefault="002E6A30" w:rsidP="002E6A30">
            <w:pPr>
              <w:pStyle w:val="TableBody"/>
              <w:keepNext/>
              <w:keepLines/>
              <w:rPr>
                <w:rFonts w:cs="Arial"/>
              </w:rPr>
            </w:pPr>
            <w:r w:rsidRPr="00C97518">
              <w:rPr>
                <w:rFonts w:cs="Arial"/>
              </w:rPr>
              <w:t>30 MHz ≤ f &lt; 1 GHz</w:t>
            </w:r>
          </w:p>
        </w:tc>
        <w:tc>
          <w:tcPr>
            <w:tcW w:w="3818" w:type="dxa"/>
            <w:tcBorders>
              <w:top w:val="single" w:sz="4" w:space="0" w:color="auto"/>
              <w:left w:val="nil"/>
              <w:bottom w:val="single" w:sz="4" w:space="0" w:color="auto"/>
              <w:right w:val="nil"/>
            </w:tcBorders>
          </w:tcPr>
          <w:p w14:paraId="6F095A66" w14:textId="3DF16386"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tcPr>
          <w:p w14:paraId="54DDFE2E" w14:textId="4BDAECC2" w:rsidR="002E6A30" w:rsidRPr="00C97518" w:rsidRDefault="002E6A30" w:rsidP="002E6A30">
            <w:pPr>
              <w:pStyle w:val="TableBody"/>
              <w:keepNext/>
              <w:keepLines/>
              <w:jc w:val="center"/>
              <w:rPr>
                <w:rFonts w:cs="Arial"/>
              </w:rPr>
            </w:pPr>
            <w:r w:rsidRPr="00C97518">
              <w:rPr>
                <w:rFonts w:cs="Arial"/>
              </w:rPr>
              <w:t>100 kHz</w:t>
            </w:r>
          </w:p>
        </w:tc>
      </w:tr>
      <w:tr w:rsidR="002E6A30" w:rsidRPr="00C97518" w14:paraId="1113E933" w14:textId="77777777" w:rsidTr="002E6A30">
        <w:trPr>
          <w:trHeight w:val="96"/>
          <w:tblHeader/>
        </w:trPr>
        <w:tc>
          <w:tcPr>
            <w:tcW w:w="2539" w:type="dxa"/>
            <w:tcBorders>
              <w:top w:val="single" w:sz="4" w:space="0" w:color="auto"/>
              <w:left w:val="nil"/>
              <w:bottom w:val="single" w:sz="4" w:space="0" w:color="auto"/>
              <w:right w:val="nil"/>
            </w:tcBorders>
            <w:shd w:val="clear" w:color="auto" w:fill="F2F2F2" w:themeFill="background1" w:themeFillShade="F2"/>
          </w:tcPr>
          <w:p w14:paraId="679C6F2B" w14:textId="25AB9506" w:rsidR="002E6A30" w:rsidRPr="00C97518" w:rsidRDefault="002E6A30" w:rsidP="002E6A30">
            <w:pPr>
              <w:pStyle w:val="TableBody"/>
              <w:keepNext/>
              <w:keepLines/>
              <w:rPr>
                <w:rFonts w:cs="Arial"/>
              </w:rPr>
            </w:pPr>
            <w:r w:rsidRPr="00C97518">
              <w:rPr>
                <w:rFonts w:cs="Arial"/>
              </w:rPr>
              <w:t>1 MHz ≤ f &lt; 12.75 GHz</w:t>
            </w:r>
          </w:p>
        </w:tc>
        <w:tc>
          <w:tcPr>
            <w:tcW w:w="3818" w:type="dxa"/>
            <w:tcBorders>
              <w:top w:val="single" w:sz="4" w:space="0" w:color="auto"/>
              <w:left w:val="nil"/>
              <w:bottom w:val="single" w:sz="4" w:space="0" w:color="auto"/>
              <w:right w:val="nil"/>
            </w:tcBorders>
            <w:shd w:val="clear" w:color="auto" w:fill="F2F2F2" w:themeFill="background1" w:themeFillShade="F2"/>
          </w:tcPr>
          <w:p w14:paraId="7761BF93" w14:textId="7083D329" w:rsidR="002E6A30" w:rsidRPr="00C97518" w:rsidRDefault="002E6A30" w:rsidP="003D00D5">
            <w:pPr>
              <w:pStyle w:val="TableBody"/>
              <w:keepNext/>
              <w:keepLines/>
              <w:jc w:val="center"/>
              <w:rPr>
                <w:rFonts w:cs="Arial"/>
              </w:rPr>
            </w:pPr>
            <w:r w:rsidRPr="00C97518">
              <w:rPr>
                <w:rFonts w:cs="Arial"/>
              </w:rPr>
              <w:t>-30</w:t>
            </w:r>
          </w:p>
        </w:tc>
        <w:tc>
          <w:tcPr>
            <w:tcW w:w="2295" w:type="dxa"/>
            <w:tcBorders>
              <w:top w:val="single" w:sz="4" w:space="0" w:color="auto"/>
              <w:left w:val="nil"/>
              <w:bottom w:val="single" w:sz="4" w:space="0" w:color="auto"/>
              <w:right w:val="nil"/>
            </w:tcBorders>
            <w:shd w:val="clear" w:color="auto" w:fill="F2F2F2" w:themeFill="background1" w:themeFillShade="F2"/>
          </w:tcPr>
          <w:p w14:paraId="7BFF6D60" w14:textId="77777777" w:rsidR="002E6A30" w:rsidRPr="00C97518" w:rsidRDefault="002E6A30" w:rsidP="003D00D5">
            <w:pPr>
              <w:pStyle w:val="TableBody"/>
              <w:keepNext/>
              <w:keepLines/>
              <w:jc w:val="center"/>
              <w:rPr>
                <w:rFonts w:cs="Arial"/>
              </w:rPr>
            </w:pPr>
            <w:r w:rsidRPr="00C97518">
              <w:rPr>
                <w:rFonts w:cs="Arial"/>
              </w:rPr>
              <w:t>1 MHz</w:t>
            </w:r>
          </w:p>
        </w:tc>
      </w:tr>
    </w:tbl>
    <w:p w14:paraId="7B44BB3D" w14:textId="77777777" w:rsidR="007775DA" w:rsidRDefault="007775DA">
      <w:pPr>
        <w:spacing w:after="0" w:line="240" w:lineRule="auto"/>
      </w:pPr>
    </w:p>
    <w:p w14:paraId="16CFFED6" w14:textId="77777777" w:rsidR="007775DA" w:rsidRDefault="007775DA">
      <w:pPr>
        <w:spacing w:after="0" w:line="240" w:lineRule="auto"/>
      </w:pPr>
    </w:p>
    <w:p w14:paraId="1987F3BA" w14:textId="77777777" w:rsidR="007775DA" w:rsidRDefault="007775DA" w:rsidP="00F13B89">
      <w:pPr>
        <w:pStyle w:val="ACMATableHeader"/>
        <w:numPr>
          <w:ilvl w:val="0"/>
          <w:numId w:val="0"/>
        </w:numPr>
      </w:pPr>
    </w:p>
    <w:p w14:paraId="2564DCEB" w14:textId="4F1E3922" w:rsidR="002E6A30" w:rsidRPr="00C97518" w:rsidRDefault="00F13B89" w:rsidP="00F13B89">
      <w:pPr>
        <w:pStyle w:val="ACMATableHeader"/>
        <w:numPr>
          <w:ilvl w:val="0"/>
          <w:numId w:val="0"/>
        </w:numPr>
      </w:pPr>
      <w:r w:rsidRPr="00C97518">
        <w:t>Table B2.2</w:t>
      </w:r>
      <w:r w:rsidR="002E6A30" w:rsidRPr="00C97518">
        <w:t>:</w:t>
      </w:r>
      <w:r w:rsidR="002E6A30" w:rsidRPr="00C97518">
        <w:tab/>
        <w:t>R</w:t>
      </w:r>
      <w:r w:rsidR="002E6A30" w:rsidRPr="00C97518">
        <w:rPr>
          <w:rFonts w:eastAsiaTheme="minorEastAsia"/>
          <w:szCs w:val="22"/>
          <w:lang w:eastAsia="en-US"/>
        </w:rPr>
        <w:t xml:space="preserve">adiocommunications </w:t>
      </w:r>
      <w:r w:rsidR="00ED2B8D" w:rsidRPr="00C97518">
        <w:rPr>
          <w:rFonts w:eastAsiaTheme="minorEastAsia"/>
          <w:szCs w:val="22"/>
          <w:lang w:eastAsia="en-US"/>
        </w:rPr>
        <w:t>receiver</w:t>
      </w:r>
      <w:r w:rsidR="002E6A30" w:rsidRPr="00C97518">
        <w:rPr>
          <w:rFonts w:eastAsiaTheme="minorEastAsia"/>
          <w:szCs w:val="22"/>
          <w:lang w:eastAsia="en-US"/>
        </w:rPr>
        <w:t xml:space="preserve"> spurious emission limits</w:t>
      </w:r>
      <w:r w:rsidR="002E6A30" w:rsidRPr="00C97518">
        <w:t xml:space="preserve"> </w:t>
      </w:r>
      <w:r w:rsidRPr="00C97518">
        <w:rPr>
          <w:rFonts w:eastAsiaTheme="minorEastAsia"/>
          <w:szCs w:val="22"/>
          <w:lang w:eastAsia="en-US"/>
        </w:rPr>
        <w:t xml:space="preserve">at antenna connector. </w:t>
      </w:r>
      <w:r w:rsidR="00373E8D" w:rsidRPr="00C97518">
        <w:rPr>
          <w:rFonts w:eastAsiaTheme="minorEastAsia"/>
          <w:szCs w:val="22"/>
          <w:lang w:eastAsia="en-US"/>
        </w:rPr>
        <w:t xml:space="preserve">For </w:t>
      </w:r>
      <w:r w:rsidR="00373E8D">
        <w:rPr>
          <w:rFonts w:eastAsiaTheme="minorEastAsia"/>
          <w:szCs w:val="22"/>
          <w:lang w:eastAsia="en-US"/>
        </w:rPr>
        <w:t>receivers</w:t>
      </w:r>
      <w:r w:rsidR="00373E8D" w:rsidRPr="00C97518">
        <w:rPr>
          <w:rFonts w:eastAsiaTheme="minorEastAsia"/>
          <w:szCs w:val="22"/>
          <w:lang w:eastAsia="en-US"/>
        </w:rPr>
        <w:t xml:space="preserve"> in the 1920-1980 MHz frequency range this applies outside </w:t>
      </w:r>
      <w:r w:rsidR="00373E8D">
        <w:rPr>
          <w:rFonts w:eastAsiaTheme="minorEastAsia"/>
          <w:szCs w:val="22"/>
          <w:lang w:eastAsia="en-US"/>
        </w:rPr>
        <w:t>across the entire 30 MHz to 12.75 GHz frequency range</w:t>
      </w:r>
      <w:r w:rsidR="00373E8D" w:rsidRPr="00C97518">
        <w:t xml:space="preserve">. </w:t>
      </w:r>
      <w:r w:rsidR="00373E8D" w:rsidRPr="00C97518">
        <w:rPr>
          <w:rFonts w:eastAsiaTheme="minorEastAsia"/>
          <w:szCs w:val="22"/>
          <w:lang w:eastAsia="en-US"/>
        </w:rPr>
        <w:t xml:space="preserve">For </w:t>
      </w:r>
      <w:r w:rsidR="00373E8D">
        <w:rPr>
          <w:rFonts w:eastAsiaTheme="minorEastAsia"/>
          <w:szCs w:val="22"/>
          <w:lang w:eastAsia="en-US"/>
        </w:rPr>
        <w:t xml:space="preserve">receivers </w:t>
      </w:r>
      <w:r w:rsidR="00373E8D" w:rsidRPr="00C97518">
        <w:rPr>
          <w:rFonts w:eastAsiaTheme="minorEastAsia"/>
          <w:szCs w:val="22"/>
          <w:lang w:eastAsia="en-US"/>
        </w:rPr>
        <w:t>in the 2110-2170 MHz frequency range this applies outside the 2100-2180 MHz</w:t>
      </w:r>
      <w:r w:rsidR="00373E8D" w:rsidRPr="00C97518">
        <w:t xml:space="preserve"> band.</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2E6A30" w:rsidRPr="00C97518" w14:paraId="1595D480" w14:textId="77777777" w:rsidTr="003D00D5">
        <w:trPr>
          <w:tblHeader/>
        </w:trPr>
        <w:tc>
          <w:tcPr>
            <w:tcW w:w="2539" w:type="dxa"/>
            <w:tcBorders>
              <w:top w:val="single" w:sz="4" w:space="0" w:color="auto"/>
              <w:left w:val="nil"/>
              <w:bottom w:val="single" w:sz="4" w:space="0" w:color="auto"/>
              <w:right w:val="nil"/>
            </w:tcBorders>
            <w:shd w:val="clear" w:color="auto" w:fill="404040" w:themeFill="text1" w:themeFillTint="BF"/>
          </w:tcPr>
          <w:p w14:paraId="297BDE7E" w14:textId="77777777" w:rsidR="002E6A30" w:rsidRPr="00C97518" w:rsidRDefault="002E6A30" w:rsidP="003D00D5">
            <w:pPr>
              <w:pStyle w:val="TableHeading"/>
              <w:rPr>
                <w:color w:val="FFFFFF" w:themeColor="background1"/>
              </w:rPr>
            </w:pPr>
            <w:r w:rsidRPr="00C97518">
              <w:rPr>
                <w:color w:val="FFFFFF" w:themeColor="background1"/>
              </w:rPr>
              <w:t>Frequency range (f)</w:t>
            </w:r>
          </w:p>
        </w:tc>
        <w:tc>
          <w:tcPr>
            <w:tcW w:w="3818" w:type="dxa"/>
            <w:tcBorders>
              <w:top w:val="single" w:sz="4" w:space="0" w:color="auto"/>
              <w:left w:val="nil"/>
              <w:bottom w:val="single" w:sz="4" w:space="0" w:color="auto"/>
              <w:right w:val="nil"/>
            </w:tcBorders>
            <w:shd w:val="clear" w:color="auto" w:fill="404040" w:themeFill="text1" w:themeFillTint="BF"/>
          </w:tcPr>
          <w:p w14:paraId="090F072D" w14:textId="77777777" w:rsidR="00F85B5D" w:rsidRDefault="002E6A30" w:rsidP="00F85B5D">
            <w:pPr>
              <w:pStyle w:val="TableHeading"/>
              <w:jc w:val="center"/>
              <w:rPr>
                <w:color w:val="FFFFFF" w:themeColor="background1"/>
              </w:rPr>
            </w:pPr>
            <w:r w:rsidRPr="00C97518">
              <w:rPr>
                <w:color w:val="FFFFFF" w:themeColor="background1"/>
              </w:rPr>
              <w:t>Radiated mean power</w:t>
            </w:r>
            <w:r w:rsidR="00F85B5D">
              <w:rPr>
                <w:color w:val="FFFFFF" w:themeColor="background1"/>
              </w:rPr>
              <w:t xml:space="preserve"> </w:t>
            </w:r>
            <w:r w:rsidRPr="00C97518">
              <w:rPr>
                <w:color w:val="FFFFFF" w:themeColor="background1"/>
              </w:rPr>
              <w:t>(dBm EIRP)</w:t>
            </w:r>
            <w:r w:rsidR="00F85B5D">
              <w:rPr>
                <w:color w:val="FFFFFF" w:themeColor="background1"/>
              </w:rPr>
              <w:t xml:space="preserve"> </w:t>
            </w:r>
          </w:p>
          <w:p w14:paraId="4EA3A31A" w14:textId="20930D76" w:rsidR="002E6A30" w:rsidRPr="00C97518" w:rsidRDefault="00F85B5D" w:rsidP="00F85B5D">
            <w:pPr>
              <w:pStyle w:val="TableHeading"/>
              <w:jc w:val="center"/>
              <w:rPr>
                <w:color w:val="FFFFFF" w:themeColor="background1"/>
              </w:rPr>
            </w:pPr>
            <w:r>
              <w:rPr>
                <w:color w:val="FFFFFF" w:themeColor="background1"/>
              </w:rPr>
              <w:t>at the antenna connector</w:t>
            </w:r>
          </w:p>
        </w:tc>
        <w:tc>
          <w:tcPr>
            <w:tcW w:w="2295" w:type="dxa"/>
            <w:tcBorders>
              <w:top w:val="single" w:sz="4" w:space="0" w:color="auto"/>
              <w:left w:val="nil"/>
              <w:bottom w:val="single" w:sz="4" w:space="0" w:color="auto"/>
              <w:right w:val="nil"/>
            </w:tcBorders>
            <w:shd w:val="clear" w:color="auto" w:fill="404040" w:themeFill="text1" w:themeFillTint="BF"/>
          </w:tcPr>
          <w:p w14:paraId="76B4EA85" w14:textId="71CD73D3" w:rsidR="002E6A30" w:rsidRPr="00C97518" w:rsidRDefault="002E6A30" w:rsidP="003D00D5">
            <w:pPr>
              <w:pStyle w:val="TableHeading"/>
              <w:jc w:val="center"/>
              <w:rPr>
                <w:color w:val="FFFFFF" w:themeColor="background1"/>
              </w:rPr>
            </w:pPr>
            <w:r w:rsidRPr="00C97518">
              <w:rPr>
                <w:color w:val="FFFFFF" w:themeColor="background1"/>
              </w:rPr>
              <w:t xml:space="preserve">Specified </w:t>
            </w:r>
            <w:r w:rsidR="00550DAD" w:rsidRPr="00C97518">
              <w:rPr>
                <w:color w:val="FFFFFF" w:themeColor="background1"/>
              </w:rPr>
              <w:t>b</w:t>
            </w:r>
            <w:r w:rsidRPr="00C97518">
              <w:rPr>
                <w:color w:val="FFFFFF" w:themeColor="background1"/>
              </w:rPr>
              <w:t>andwidth</w:t>
            </w:r>
          </w:p>
        </w:tc>
      </w:tr>
      <w:tr w:rsidR="002E6A30" w:rsidRPr="00C97518" w14:paraId="0538A090" w14:textId="77777777" w:rsidTr="003D00D5">
        <w:trPr>
          <w:tblHeader/>
        </w:trPr>
        <w:tc>
          <w:tcPr>
            <w:tcW w:w="2539" w:type="dxa"/>
            <w:tcBorders>
              <w:top w:val="single" w:sz="4" w:space="0" w:color="auto"/>
              <w:left w:val="nil"/>
              <w:bottom w:val="single" w:sz="4" w:space="0" w:color="auto"/>
              <w:right w:val="nil"/>
            </w:tcBorders>
          </w:tcPr>
          <w:p w14:paraId="7671B789" w14:textId="77777777" w:rsidR="002E6A30" w:rsidRPr="00C97518" w:rsidRDefault="002E6A30" w:rsidP="003D00D5">
            <w:pPr>
              <w:pStyle w:val="TableBody"/>
              <w:keepNext/>
              <w:keepLines/>
              <w:rPr>
                <w:rFonts w:cs="Arial"/>
              </w:rPr>
            </w:pPr>
            <w:r w:rsidRPr="00C97518">
              <w:rPr>
                <w:rFonts w:cs="Arial"/>
              </w:rPr>
              <w:t>30 MHz ≤ f &lt; 1 GHz</w:t>
            </w:r>
          </w:p>
        </w:tc>
        <w:tc>
          <w:tcPr>
            <w:tcW w:w="3818" w:type="dxa"/>
            <w:tcBorders>
              <w:top w:val="single" w:sz="4" w:space="0" w:color="auto"/>
              <w:left w:val="nil"/>
              <w:bottom w:val="single" w:sz="4" w:space="0" w:color="auto"/>
              <w:right w:val="nil"/>
            </w:tcBorders>
          </w:tcPr>
          <w:p w14:paraId="039B0214" w14:textId="2F95AB05" w:rsidR="002E6A30" w:rsidRPr="00C97518" w:rsidRDefault="002E6A30" w:rsidP="003D00D5">
            <w:pPr>
              <w:pStyle w:val="TableBody"/>
              <w:keepNext/>
              <w:keepLines/>
              <w:jc w:val="center"/>
              <w:rPr>
                <w:rFonts w:cs="Arial"/>
              </w:rPr>
            </w:pPr>
            <w:r w:rsidRPr="00C97518">
              <w:rPr>
                <w:rFonts w:cs="Arial"/>
              </w:rPr>
              <w:t>-57</w:t>
            </w:r>
          </w:p>
        </w:tc>
        <w:tc>
          <w:tcPr>
            <w:tcW w:w="2295" w:type="dxa"/>
            <w:tcBorders>
              <w:top w:val="single" w:sz="4" w:space="0" w:color="auto"/>
              <w:left w:val="nil"/>
              <w:bottom w:val="single" w:sz="4" w:space="0" w:color="auto"/>
              <w:right w:val="nil"/>
            </w:tcBorders>
          </w:tcPr>
          <w:p w14:paraId="6CAB5DC1" w14:textId="77777777" w:rsidR="002E6A30" w:rsidRPr="00C97518" w:rsidRDefault="002E6A30" w:rsidP="003D00D5">
            <w:pPr>
              <w:pStyle w:val="TableBody"/>
              <w:keepNext/>
              <w:keepLines/>
              <w:jc w:val="center"/>
              <w:rPr>
                <w:rFonts w:cs="Arial"/>
              </w:rPr>
            </w:pPr>
            <w:r w:rsidRPr="00C97518">
              <w:rPr>
                <w:rFonts w:cs="Arial"/>
              </w:rPr>
              <w:t>100 kHz</w:t>
            </w:r>
          </w:p>
        </w:tc>
      </w:tr>
      <w:tr w:rsidR="002E6A30" w:rsidRPr="00C97518" w14:paraId="79C38404" w14:textId="77777777" w:rsidTr="003D00D5">
        <w:trPr>
          <w:trHeight w:val="96"/>
          <w:tblHeader/>
        </w:trPr>
        <w:tc>
          <w:tcPr>
            <w:tcW w:w="2539" w:type="dxa"/>
            <w:tcBorders>
              <w:top w:val="single" w:sz="4" w:space="0" w:color="auto"/>
              <w:left w:val="nil"/>
              <w:bottom w:val="single" w:sz="4" w:space="0" w:color="auto"/>
              <w:right w:val="nil"/>
            </w:tcBorders>
            <w:shd w:val="clear" w:color="auto" w:fill="F2F2F2" w:themeFill="background1" w:themeFillShade="F2"/>
          </w:tcPr>
          <w:p w14:paraId="68747A12" w14:textId="77777777" w:rsidR="002E6A30" w:rsidRPr="00C97518" w:rsidRDefault="002E6A30" w:rsidP="003D00D5">
            <w:pPr>
              <w:pStyle w:val="TableBody"/>
              <w:keepNext/>
              <w:keepLines/>
              <w:rPr>
                <w:rFonts w:cs="Arial"/>
              </w:rPr>
            </w:pPr>
            <w:r w:rsidRPr="00C97518">
              <w:rPr>
                <w:rFonts w:cs="Arial"/>
              </w:rPr>
              <w:t>1 MHz ≤ f &lt; 12.75 GHz</w:t>
            </w:r>
          </w:p>
        </w:tc>
        <w:tc>
          <w:tcPr>
            <w:tcW w:w="3818" w:type="dxa"/>
            <w:tcBorders>
              <w:top w:val="single" w:sz="4" w:space="0" w:color="auto"/>
              <w:left w:val="nil"/>
              <w:bottom w:val="single" w:sz="4" w:space="0" w:color="auto"/>
              <w:right w:val="nil"/>
            </w:tcBorders>
            <w:shd w:val="clear" w:color="auto" w:fill="F2F2F2" w:themeFill="background1" w:themeFillShade="F2"/>
          </w:tcPr>
          <w:p w14:paraId="577BE27F" w14:textId="1BCEA69A" w:rsidR="002E6A30" w:rsidRPr="00C97518" w:rsidRDefault="002E6A30" w:rsidP="003D00D5">
            <w:pPr>
              <w:pStyle w:val="TableBody"/>
              <w:keepNext/>
              <w:keepLines/>
              <w:jc w:val="center"/>
              <w:rPr>
                <w:rFonts w:cs="Arial"/>
              </w:rPr>
            </w:pPr>
            <w:r w:rsidRPr="00C97518">
              <w:rPr>
                <w:rFonts w:cs="Arial"/>
              </w:rPr>
              <w:t>-47</w:t>
            </w:r>
          </w:p>
        </w:tc>
        <w:tc>
          <w:tcPr>
            <w:tcW w:w="2295" w:type="dxa"/>
            <w:tcBorders>
              <w:top w:val="single" w:sz="4" w:space="0" w:color="auto"/>
              <w:left w:val="nil"/>
              <w:bottom w:val="single" w:sz="4" w:space="0" w:color="auto"/>
              <w:right w:val="nil"/>
            </w:tcBorders>
            <w:shd w:val="clear" w:color="auto" w:fill="F2F2F2" w:themeFill="background1" w:themeFillShade="F2"/>
          </w:tcPr>
          <w:p w14:paraId="46AD19CC" w14:textId="77777777" w:rsidR="002E6A30" w:rsidRPr="00C97518" w:rsidRDefault="002E6A30" w:rsidP="003D00D5">
            <w:pPr>
              <w:pStyle w:val="TableBody"/>
              <w:keepNext/>
              <w:keepLines/>
              <w:jc w:val="center"/>
              <w:rPr>
                <w:rFonts w:cs="Arial"/>
              </w:rPr>
            </w:pPr>
            <w:r w:rsidRPr="00C97518">
              <w:rPr>
                <w:rFonts w:cs="Arial"/>
              </w:rPr>
              <w:t>1 MHz</w:t>
            </w:r>
          </w:p>
        </w:tc>
      </w:tr>
    </w:tbl>
    <w:p w14:paraId="17480CE5" w14:textId="77777777" w:rsidR="005C1FDB" w:rsidRDefault="005C1FDB" w:rsidP="005C1FDB">
      <w:pPr>
        <w:spacing w:after="0" w:line="240" w:lineRule="auto"/>
      </w:pPr>
    </w:p>
    <w:p w14:paraId="12AAB993" w14:textId="77777777" w:rsidR="00373E8D" w:rsidRPr="00C97518" w:rsidRDefault="00373E8D" w:rsidP="005C1FDB">
      <w:pPr>
        <w:spacing w:after="0" w:line="240" w:lineRule="auto"/>
      </w:pPr>
    </w:p>
    <w:p w14:paraId="591C3192" w14:textId="6EE08EF4" w:rsidR="00ED2B8D" w:rsidRPr="00C97518" w:rsidRDefault="00ED2B8D" w:rsidP="00ED2B8D">
      <w:pPr>
        <w:pStyle w:val="Heading2"/>
        <w:ind w:left="567" w:hanging="567"/>
      </w:pPr>
      <w:bookmarkStart w:id="56" w:name="_Toc437508117"/>
      <w:bookmarkStart w:id="57" w:name="_Toc437508422"/>
      <w:bookmarkStart w:id="58" w:name="_Toc437530156"/>
      <w:bookmarkStart w:id="59" w:name="_Toc444690634"/>
      <w:r w:rsidRPr="00C97518">
        <w:t>B</w:t>
      </w:r>
      <w:r w:rsidR="005C1FDB" w:rsidRPr="00C97518">
        <w:t>3</w:t>
      </w:r>
      <w:r w:rsidRPr="00C97518">
        <w:tab/>
        <w:t>Out-of-area e</w:t>
      </w:r>
      <w:r w:rsidRPr="00C97518">
        <w:rPr>
          <w:rFonts w:eastAsiaTheme="minorEastAsia"/>
          <w:szCs w:val="22"/>
          <w:lang w:eastAsia="en-US"/>
        </w:rPr>
        <w:t>mission limit</w:t>
      </w:r>
      <w:bookmarkEnd w:id="56"/>
      <w:bookmarkEnd w:id="57"/>
      <w:bookmarkEnd w:id="58"/>
      <w:bookmarkEnd w:id="59"/>
      <w:r w:rsidRPr="00C97518">
        <w:rPr>
          <w:rFonts w:eastAsiaTheme="minorEastAsia"/>
          <w:szCs w:val="22"/>
          <w:lang w:eastAsia="en-US"/>
        </w:rPr>
        <w:t xml:space="preserve"> </w:t>
      </w:r>
    </w:p>
    <w:p w14:paraId="3D593D9A" w14:textId="45CA655E" w:rsidR="00E91BC8" w:rsidRPr="00C97518" w:rsidRDefault="00630FB1" w:rsidP="0027403F">
      <w:r w:rsidRPr="00C97518">
        <w:t>The current framework sets the horizontally radiated power for the out-of-area emission limit to 55 dBm per 30 kHz (equivalent to 77.2 dBm per 5 MHz)</w:t>
      </w:r>
      <w:r w:rsidR="00E91BC8" w:rsidRPr="00C97518">
        <w:t xml:space="preserve">. </w:t>
      </w:r>
    </w:p>
    <w:p w14:paraId="626840FB" w14:textId="20D17E62" w:rsidR="00100D32" w:rsidRPr="00C97518" w:rsidRDefault="00513E76" w:rsidP="0027403F">
      <w:r w:rsidRPr="00C97518">
        <w:t xml:space="preserve">It is proposed that </w:t>
      </w:r>
      <w:r w:rsidR="00656396" w:rsidRPr="00C97518">
        <w:t>the current the out-of-area emission limit be maintained, but defined in a 5 MHz reference bandwidth</w:t>
      </w:r>
      <w:r w:rsidR="00D21E6B">
        <w:t xml:space="preserve"> (i.e. as </w:t>
      </w:r>
      <w:r w:rsidR="00D21E6B" w:rsidRPr="00C97518">
        <w:t>77.2 dBm per 5 MHz</w:t>
      </w:r>
      <w:r w:rsidR="00D21E6B">
        <w:t>)</w:t>
      </w:r>
      <w:r w:rsidR="00656396" w:rsidRPr="00C97518">
        <w:t>. This will support</w:t>
      </w:r>
      <w:r w:rsidR="00D21E6B">
        <w:t xml:space="preserve"> </w:t>
      </w:r>
      <w:r w:rsidR="00656396" w:rsidRPr="00C97518">
        <w:t xml:space="preserve">4x4 and higher order MIMO schemes, beam forming and higher gain antenna deployments in the future. </w:t>
      </w:r>
    </w:p>
    <w:p w14:paraId="54BD400A" w14:textId="77777777" w:rsidR="00656396" w:rsidRPr="00C97518" w:rsidRDefault="00656396" w:rsidP="005C1FDB">
      <w:pPr>
        <w:pStyle w:val="Heading2"/>
        <w:ind w:left="567" w:hanging="567"/>
      </w:pPr>
      <w:bookmarkStart w:id="60" w:name="_Toc437508118"/>
      <w:bookmarkStart w:id="61" w:name="_Toc437508423"/>
      <w:bookmarkStart w:id="62" w:name="_Toc437530157"/>
    </w:p>
    <w:p w14:paraId="25288F98" w14:textId="2BFE5704" w:rsidR="005C1FDB" w:rsidRPr="00C97518" w:rsidRDefault="005C1FDB" w:rsidP="005C1FDB">
      <w:pPr>
        <w:pStyle w:val="Heading2"/>
        <w:ind w:left="567" w:hanging="567"/>
      </w:pPr>
      <w:bookmarkStart w:id="63" w:name="_Toc444690635"/>
      <w:r w:rsidRPr="00C97518">
        <w:t>B4</w:t>
      </w:r>
      <w:r w:rsidRPr="00C97518">
        <w:tab/>
        <w:t>Exemption from registration requirements</w:t>
      </w:r>
      <w:bookmarkEnd w:id="60"/>
      <w:bookmarkEnd w:id="61"/>
      <w:bookmarkEnd w:id="62"/>
      <w:bookmarkEnd w:id="63"/>
      <w:r w:rsidRPr="00C97518">
        <w:rPr>
          <w:rFonts w:eastAsiaTheme="minorEastAsia"/>
          <w:szCs w:val="22"/>
          <w:lang w:eastAsia="en-US"/>
        </w:rPr>
        <w:t xml:space="preserve"> </w:t>
      </w:r>
    </w:p>
    <w:p w14:paraId="0C9141E5" w14:textId="2F6526D0" w:rsidR="005C1FDB" w:rsidRPr="00C97518" w:rsidRDefault="005C1FDB" w:rsidP="0027403F">
      <w:r w:rsidRPr="00C97518">
        <w:t xml:space="preserve">It is proposed that </w:t>
      </w:r>
      <w:r w:rsidR="00C5480D" w:rsidRPr="00C97518">
        <w:t xml:space="preserve">transmitters operating </w:t>
      </w:r>
      <w:r w:rsidRPr="00C97518">
        <w:t>in the 2 GHz band with a maximum EIRP of less than or equal to 25 dBm per occupied bandwidth</w:t>
      </w:r>
      <w:r w:rsidR="00C5480D" w:rsidRPr="00C97518">
        <w:t xml:space="preserve"> be exempt from registration requirements</w:t>
      </w:r>
      <w:r w:rsidRPr="00C97518">
        <w:t xml:space="preserve">. This is based on the </w:t>
      </w:r>
      <w:r w:rsidR="0027403F" w:rsidRPr="00C97518">
        <w:t>user equipment (</w:t>
      </w:r>
      <w:r w:rsidR="00FE4954" w:rsidRPr="00C97518">
        <w:t>UE</w:t>
      </w:r>
      <w:r w:rsidR="0027403F" w:rsidRPr="00C97518">
        <w:t>)</w:t>
      </w:r>
      <w:r w:rsidR="00FE4954" w:rsidRPr="00C97518">
        <w:t xml:space="preserve"> maximum output power of 23 dBm plus the 2</w:t>
      </w:r>
      <w:r w:rsidR="00C5480D" w:rsidRPr="00C97518">
        <w:t> </w:t>
      </w:r>
      <w:r w:rsidR="00FE4954" w:rsidRPr="00C97518">
        <w:t>dB tolerance defined in 3GPP 36.101</w:t>
      </w:r>
      <w:r w:rsidR="00550DAD" w:rsidRPr="00C97518">
        <w:t>.</w:t>
      </w:r>
      <w:r w:rsidR="00FE4954" w:rsidRPr="00C97518">
        <w:rPr>
          <w:rStyle w:val="FootnoteReference"/>
        </w:rPr>
        <w:footnoteReference w:id="23"/>
      </w:r>
      <w:r w:rsidRPr="00C97518">
        <w:t xml:space="preserve"> </w:t>
      </w:r>
      <w:r w:rsidR="00C5480D" w:rsidRPr="00C97518">
        <w:t xml:space="preserve">Previously, this exemption applied only to mobile terminals and indoor fixed terminals. The exemption now extends to all transmitters below </w:t>
      </w:r>
      <w:r w:rsidR="0079278B" w:rsidRPr="00C97518">
        <w:t xml:space="preserve">this </w:t>
      </w:r>
      <w:r w:rsidR="00C5480D" w:rsidRPr="00C97518">
        <w:t>EIRP</w:t>
      </w:r>
      <w:r w:rsidR="00550DAD" w:rsidRPr="00C97518">
        <w:t>,</w:t>
      </w:r>
      <w:r w:rsidR="00C5480D" w:rsidRPr="00C97518">
        <w:t xml:space="preserve"> including outdoor fixed transmitters</w:t>
      </w:r>
      <w:r w:rsidR="00C077DB" w:rsidRPr="00C97518">
        <w:t xml:space="preserve"> such as </w:t>
      </w:r>
      <w:r w:rsidR="00C5480D" w:rsidRPr="00C97518">
        <w:t xml:space="preserve">femotocells.  </w:t>
      </w:r>
    </w:p>
    <w:p w14:paraId="11921A90" w14:textId="1E1201A5" w:rsidR="005C1FDB" w:rsidRPr="00C97518" w:rsidRDefault="00FE4954" w:rsidP="007169B9">
      <w:pPr>
        <w:spacing w:after="0" w:line="240" w:lineRule="auto"/>
      </w:pPr>
      <w:r w:rsidRPr="00C97518">
        <w:t>It is proposed that HAPS transmitters</w:t>
      </w:r>
      <w:r w:rsidR="00C5480D" w:rsidRPr="00C97518">
        <w:t xml:space="preserve"> operating in the 2 GHz band</w:t>
      </w:r>
      <w:r w:rsidRPr="00C97518">
        <w:t xml:space="preserve"> also be exempted from registration</w:t>
      </w:r>
      <w:r w:rsidR="00C5480D" w:rsidRPr="00C97518">
        <w:t xml:space="preserve"> if the </w:t>
      </w:r>
      <w:r w:rsidR="005C1FDB" w:rsidRPr="00C97518">
        <w:t>emissions outside any frequency band-geographical area combination of the licence</w:t>
      </w:r>
      <w:r w:rsidR="00C5480D" w:rsidRPr="00C97518">
        <w:t xml:space="preserve"> do</w:t>
      </w:r>
      <w:r w:rsidR="005C1FDB" w:rsidRPr="00C97518">
        <w:t xml:space="preserve"> not exceed a power flux density of -12</w:t>
      </w:r>
      <w:r w:rsidR="00656396" w:rsidRPr="00C97518">
        <w:t>1.5</w:t>
      </w:r>
      <w:r w:rsidR="005C1FDB" w:rsidRPr="00C97518">
        <w:t xml:space="preserve"> dBW/m</w:t>
      </w:r>
      <w:r w:rsidR="005C1FDB" w:rsidRPr="00C97518">
        <w:rPr>
          <w:vertAlign w:val="superscript"/>
        </w:rPr>
        <w:t>2</w:t>
      </w:r>
      <w:r w:rsidR="005C1FDB" w:rsidRPr="00C97518">
        <w:t xml:space="preserve">/MHz at any point on the </w:t>
      </w:r>
      <w:r w:rsidR="00C5480D" w:rsidRPr="00C97518">
        <w:t>E</w:t>
      </w:r>
      <w:r w:rsidR="005C1FDB" w:rsidRPr="00C97518">
        <w:t xml:space="preserve">arth’s surface. </w:t>
      </w:r>
      <w:r w:rsidR="00656396" w:rsidRPr="00C97518">
        <w:rPr>
          <w:rFonts w:cs="Arial"/>
          <w:bCs/>
        </w:rPr>
        <w:t xml:space="preserve">This </w:t>
      </w:r>
      <w:r w:rsidR="00656396" w:rsidRPr="00C97518">
        <w:t>matches the level defined in ITU-R Recommendation M.1456.</w:t>
      </w:r>
      <w:bookmarkStart w:id="64" w:name="_GoBack"/>
      <w:bookmarkEnd w:id="64"/>
    </w:p>
    <w:p w14:paraId="0743B9BC" w14:textId="2E406EDA" w:rsidR="006A5688" w:rsidRPr="00C97518" w:rsidRDefault="006A5688" w:rsidP="006A5688">
      <w:pPr>
        <w:pStyle w:val="Heading1"/>
      </w:pPr>
      <w:bookmarkStart w:id="65" w:name="_Toc444690636"/>
      <w:r w:rsidRPr="00C97518">
        <w:t>Attachment C</w:t>
      </w:r>
      <w:r w:rsidR="00550DAD" w:rsidRPr="00C97518">
        <w:t>—</w:t>
      </w:r>
      <w:r w:rsidRPr="00C97518">
        <w:t>Proposed changes to the section 145 determination for the 2 GHz</w:t>
      </w:r>
      <w:r w:rsidR="0015484B" w:rsidRPr="00C97518">
        <w:t xml:space="preserve"> </w:t>
      </w:r>
      <w:r w:rsidRPr="00C97518">
        <w:t>band</w:t>
      </w:r>
      <w:bookmarkEnd w:id="65"/>
      <w:r w:rsidRPr="00C97518">
        <w:t xml:space="preserve"> </w:t>
      </w:r>
    </w:p>
    <w:p w14:paraId="4251B4B7" w14:textId="5C5E8E26" w:rsidR="004B0E26" w:rsidRPr="00C97518" w:rsidRDefault="004B0E26" w:rsidP="0027403F">
      <w:pPr>
        <w:spacing w:after="80"/>
        <w:rPr>
          <w:rFonts w:cs="Arial"/>
          <w:szCs w:val="20"/>
        </w:rPr>
      </w:pPr>
      <w:r w:rsidRPr="00C97518">
        <w:t xml:space="preserve">This attachment looks in detail at the following items of the technical framework that </w:t>
      </w:r>
      <w:r w:rsidRPr="00C97518">
        <w:rPr>
          <w:rFonts w:cs="Arial"/>
          <w:szCs w:val="20"/>
        </w:rPr>
        <w:t xml:space="preserve">are used to develop the section 145 </w:t>
      </w:r>
      <w:r w:rsidR="002E3EB5" w:rsidRPr="00C97518">
        <w:rPr>
          <w:rFonts w:cs="Arial"/>
          <w:szCs w:val="20"/>
        </w:rPr>
        <w:t xml:space="preserve">Unacceptable levels of interference </w:t>
      </w:r>
      <w:r w:rsidRPr="00C97518">
        <w:rPr>
          <w:rFonts w:cs="Arial"/>
          <w:szCs w:val="20"/>
        </w:rPr>
        <w:t>determination</w:t>
      </w:r>
      <w:r w:rsidR="002E3EB5" w:rsidRPr="00C97518">
        <w:rPr>
          <w:rFonts w:cs="Arial"/>
          <w:szCs w:val="20"/>
        </w:rPr>
        <w:t xml:space="preserve"> (section 145 determination)</w:t>
      </w:r>
      <w:r w:rsidRPr="00C97518">
        <w:rPr>
          <w:rFonts w:cs="Arial"/>
          <w:szCs w:val="20"/>
        </w:rPr>
        <w:t>:</w:t>
      </w:r>
    </w:p>
    <w:p w14:paraId="538E9F28" w14:textId="77777777" w:rsidR="004B0E26" w:rsidRPr="00C97518" w:rsidRDefault="004B0E26" w:rsidP="00CF461F">
      <w:pPr>
        <w:pStyle w:val="ListBullet"/>
        <w:numPr>
          <w:ilvl w:val="0"/>
          <w:numId w:val="1"/>
        </w:numPr>
      </w:pPr>
      <w:r w:rsidRPr="00C97518">
        <w:t>system models</w:t>
      </w:r>
    </w:p>
    <w:p w14:paraId="217C90BC" w14:textId="77777777" w:rsidR="004B0E26" w:rsidRPr="00C97518" w:rsidRDefault="004B0E26" w:rsidP="00CF461F">
      <w:pPr>
        <w:pStyle w:val="ListBullet"/>
        <w:numPr>
          <w:ilvl w:val="0"/>
          <w:numId w:val="1"/>
        </w:numPr>
      </w:pPr>
      <w:r w:rsidRPr="00C97518">
        <w:t>level of protection</w:t>
      </w:r>
    </w:p>
    <w:p w14:paraId="42C92F8C" w14:textId="77777777" w:rsidR="004B0E26" w:rsidRPr="00C97518" w:rsidRDefault="004B0E26" w:rsidP="00CF461F">
      <w:pPr>
        <w:pStyle w:val="ListBullet"/>
        <w:numPr>
          <w:ilvl w:val="0"/>
          <w:numId w:val="1"/>
        </w:numPr>
      </w:pPr>
      <w:r w:rsidRPr="00C97518">
        <w:t>propagation modelling</w:t>
      </w:r>
    </w:p>
    <w:p w14:paraId="3B31F0FD" w14:textId="77777777" w:rsidR="004B0E26" w:rsidRPr="00C97518" w:rsidRDefault="004B0E26" w:rsidP="00CF461F">
      <w:pPr>
        <w:pStyle w:val="ListBullet"/>
        <w:numPr>
          <w:ilvl w:val="0"/>
          <w:numId w:val="1"/>
        </w:numPr>
      </w:pPr>
      <w:r w:rsidRPr="00C97518">
        <w:t>groups of transmitters and receivers</w:t>
      </w:r>
    </w:p>
    <w:p w14:paraId="05F6FFAB" w14:textId="77777777" w:rsidR="004B0E26" w:rsidRPr="00C97518" w:rsidRDefault="004B0E26" w:rsidP="00CF461F">
      <w:pPr>
        <w:pStyle w:val="ListBullet"/>
        <w:numPr>
          <w:ilvl w:val="0"/>
          <w:numId w:val="1"/>
        </w:numPr>
      </w:pPr>
      <w:r w:rsidRPr="00C97518">
        <w:t>device boundary criterion</w:t>
      </w:r>
    </w:p>
    <w:p w14:paraId="6FBAE9DB" w14:textId="4FBD4D3A" w:rsidR="004B0E26" w:rsidRPr="00C97518" w:rsidRDefault="004B0E26" w:rsidP="00CF461F">
      <w:pPr>
        <w:pStyle w:val="ListBullet"/>
        <w:numPr>
          <w:ilvl w:val="0"/>
          <w:numId w:val="1"/>
        </w:numPr>
      </w:pPr>
      <w:r w:rsidRPr="00C97518">
        <w:t>deployment constraints</w:t>
      </w:r>
      <w:r w:rsidR="00550DAD" w:rsidRPr="00C97518">
        <w:t>.</w:t>
      </w:r>
    </w:p>
    <w:p w14:paraId="5613CE97" w14:textId="2F6ACD61" w:rsidR="004B0E26" w:rsidRPr="00C97518" w:rsidRDefault="00EE5FB9" w:rsidP="00473CE6">
      <w:pPr>
        <w:pStyle w:val="Heading2"/>
        <w:ind w:left="567" w:hanging="567"/>
      </w:pPr>
      <w:bookmarkStart w:id="66" w:name="_Toc437508121"/>
      <w:bookmarkStart w:id="67" w:name="_Toc437508426"/>
      <w:bookmarkStart w:id="68" w:name="_Toc437530159"/>
      <w:bookmarkStart w:id="69" w:name="_Toc444690637"/>
      <w:r w:rsidRPr="00C97518">
        <w:t>C</w:t>
      </w:r>
      <w:r w:rsidR="00BF7E38" w:rsidRPr="00C97518">
        <w:t xml:space="preserve">1 </w:t>
      </w:r>
      <w:r w:rsidR="00473CE6" w:rsidRPr="00C97518">
        <w:tab/>
      </w:r>
      <w:r w:rsidR="00BF7E38" w:rsidRPr="00C97518">
        <w:t>System model</w:t>
      </w:r>
      <w:bookmarkEnd w:id="66"/>
      <w:bookmarkEnd w:id="67"/>
      <w:bookmarkEnd w:id="68"/>
      <w:bookmarkEnd w:id="69"/>
    </w:p>
    <w:p w14:paraId="50E95231" w14:textId="775C2629" w:rsidR="004B0E26" w:rsidRPr="00C97518" w:rsidRDefault="004B0E26" w:rsidP="004B0E26">
      <w:r w:rsidRPr="00C97518">
        <w:t xml:space="preserve">System models are used to simplify the analysis of the technical framework with regard to the reference technologies. The reference technologies applicable to the 2 GHz band are shown in </w:t>
      </w:r>
      <w:r w:rsidR="00CF461F" w:rsidRPr="00C97518">
        <w:t xml:space="preserve">Table </w:t>
      </w:r>
      <w:r w:rsidR="00EE5FB9" w:rsidRPr="00C97518">
        <w:t>C</w:t>
      </w:r>
      <w:r w:rsidR="00CF461F" w:rsidRPr="00C97518">
        <w:t>1</w:t>
      </w:r>
      <w:r w:rsidRPr="00C97518">
        <w:t xml:space="preserve">. </w:t>
      </w:r>
    </w:p>
    <w:p w14:paraId="31B8CF0F" w14:textId="598B72D5" w:rsidR="00CF461F" w:rsidRPr="00C97518" w:rsidRDefault="00CF461F" w:rsidP="00CF461F">
      <w:pPr>
        <w:pStyle w:val="ACMATableHeader"/>
        <w:numPr>
          <w:ilvl w:val="0"/>
          <w:numId w:val="0"/>
        </w:numPr>
        <w:ind w:left="964" w:hanging="964"/>
      </w:pPr>
      <w:r w:rsidRPr="00C97518">
        <w:t xml:space="preserve">Table </w:t>
      </w:r>
      <w:r w:rsidR="00EE5FB9" w:rsidRPr="00C97518">
        <w:t>C</w:t>
      </w:r>
      <w:r w:rsidRPr="00C97518">
        <w:t>1:</w:t>
      </w:r>
      <w:r w:rsidRPr="00C97518">
        <w:tab/>
        <w:t>Reference technologies</w:t>
      </w:r>
    </w:p>
    <w:tbl>
      <w:tblPr>
        <w:tblW w:w="8364"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Pr>
      <w:tblGrid>
        <w:gridCol w:w="3261"/>
        <w:gridCol w:w="5103"/>
      </w:tblGrid>
      <w:tr w:rsidR="00CF461F" w:rsidRPr="00C97518" w14:paraId="6850460D" w14:textId="77777777" w:rsidTr="00CF461F">
        <w:trPr>
          <w:tblHeader/>
        </w:trPr>
        <w:tc>
          <w:tcPr>
            <w:tcW w:w="3261" w:type="dxa"/>
            <w:tcBorders>
              <w:top w:val="single" w:sz="4" w:space="0" w:color="auto"/>
              <w:left w:val="nil"/>
              <w:bottom w:val="single" w:sz="4" w:space="0" w:color="auto"/>
              <w:right w:val="nil"/>
            </w:tcBorders>
            <w:shd w:val="clear" w:color="auto" w:fill="404040" w:themeFill="text1" w:themeFillTint="BF"/>
          </w:tcPr>
          <w:p w14:paraId="788BE328" w14:textId="587F2679" w:rsidR="00CF461F" w:rsidRPr="00C97518" w:rsidRDefault="00CF461F" w:rsidP="00CF461F">
            <w:pPr>
              <w:pStyle w:val="TableHeading"/>
              <w:rPr>
                <w:color w:val="FFFFFF" w:themeColor="background1"/>
              </w:rPr>
            </w:pPr>
            <w:r w:rsidRPr="00C97518">
              <w:rPr>
                <w:color w:val="FFFFFF" w:themeColor="background1"/>
              </w:rPr>
              <w:t>Reference technology</w:t>
            </w:r>
          </w:p>
        </w:tc>
        <w:tc>
          <w:tcPr>
            <w:tcW w:w="5103" w:type="dxa"/>
            <w:tcBorders>
              <w:top w:val="single" w:sz="4" w:space="0" w:color="auto"/>
              <w:left w:val="nil"/>
              <w:bottom w:val="single" w:sz="4" w:space="0" w:color="auto"/>
              <w:right w:val="nil"/>
            </w:tcBorders>
            <w:shd w:val="clear" w:color="auto" w:fill="404040" w:themeFill="text1" w:themeFillTint="BF"/>
          </w:tcPr>
          <w:p w14:paraId="0974FE66" w14:textId="2ECF0EFF" w:rsidR="00CF461F" w:rsidRPr="00C97518" w:rsidRDefault="00CF461F" w:rsidP="00CF461F">
            <w:pPr>
              <w:pStyle w:val="TableHeading"/>
              <w:rPr>
                <w:color w:val="FFFFFF" w:themeColor="background1"/>
              </w:rPr>
            </w:pPr>
            <w:r w:rsidRPr="00C97518">
              <w:rPr>
                <w:color w:val="FFFFFF" w:themeColor="background1"/>
              </w:rPr>
              <w:t>Applicable standards and reports</w:t>
            </w:r>
          </w:p>
        </w:tc>
      </w:tr>
      <w:tr w:rsidR="00CF461F" w:rsidRPr="00C97518" w14:paraId="64D381C9" w14:textId="77777777" w:rsidTr="00CF461F">
        <w:trPr>
          <w:tblHeader/>
        </w:trPr>
        <w:tc>
          <w:tcPr>
            <w:tcW w:w="3261" w:type="dxa"/>
            <w:tcBorders>
              <w:top w:val="single" w:sz="4" w:space="0" w:color="auto"/>
              <w:left w:val="nil"/>
              <w:bottom w:val="single" w:sz="4" w:space="0" w:color="auto"/>
              <w:right w:val="nil"/>
            </w:tcBorders>
          </w:tcPr>
          <w:p w14:paraId="65265C82" w14:textId="5B0A3BDC" w:rsidR="00CF461F" w:rsidRPr="00C97518" w:rsidRDefault="00CF461F" w:rsidP="00CF461F">
            <w:pPr>
              <w:tabs>
                <w:tab w:val="left" w:pos="1985"/>
                <w:tab w:val="left" w:pos="3261"/>
                <w:tab w:val="left" w:pos="5954"/>
              </w:tabs>
              <w:spacing w:after="0" w:line="240" w:lineRule="auto"/>
              <w:rPr>
                <w:rFonts w:cs="Arial"/>
              </w:rPr>
            </w:pPr>
            <w:r w:rsidRPr="00C97518">
              <w:rPr>
                <w:rFonts w:cs="Arial"/>
              </w:rPr>
              <w:t>UMTS</w:t>
            </w:r>
          </w:p>
          <w:p w14:paraId="6A9C46FF" w14:textId="0BB7D500" w:rsidR="00CF461F" w:rsidRPr="00C97518" w:rsidRDefault="00CF461F" w:rsidP="00CF461F">
            <w:pPr>
              <w:pStyle w:val="TableBody"/>
              <w:keepNext/>
              <w:keepLines/>
              <w:rPr>
                <w:rFonts w:cs="Arial"/>
              </w:rPr>
            </w:pPr>
            <w:r w:rsidRPr="00C97518">
              <w:rPr>
                <w:rFonts w:cs="Arial"/>
              </w:rPr>
              <w:t>(UTRA, WCDMA, HSPA, HSPA+)</w:t>
            </w:r>
          </w:p>
        </w:tc>
        <w:tc>
          <w:tcPr>
            <w:tcW w:w="5103" w:type="dxa"/>
            <w:tcBorders>
              <w:top w:val="single" w:sz="4" w:space="0" w:color="auto"/>
              <w:left w:val="nil"/>
              <w:bottom w:val="single" w:sz="4" w:space="0" w:color="auto"/>
              <w:right w:val="nil"/>
            </w:tcBorders>
          </w:tcPr>
          <w:p w14:paraId="085CA285" w14:textId="199264EF" w:rsidR="00CF461F" w:rsidRPr="00C97518" w:rsidRDefault="00CF461F" w:rsidP="00D76BE9">
            <w:pPr>
              <w:pStyle w:val="TableBody"/>
              <w:keepNext/>
              <w:keepLines/>
              <w:rPr>
                <w:rFonts w:cs="Arial"/>
              </w:rPr>
            </w:pPr>
            <w:r w:rsidRPr="00C97518">
              <w:rPr>
                <w:rFonts w:cs="Arial"/>
              </w:rPr>
              <w:t>ITU-R Report M.2039-</w:t>
            </w:r>
            <w:r w:rsidR="00D76BE9" w:rsidRPr="00C97518">
              <w:rPr>
                <w:rFonts w:cs="Arial"/>
              </w:rPr>
              <w:t>3</w:t>
            </w:r>
            <w:r w:rsidRPr="00C97518">
              <w:rPr>
                <w:rFonts w:cs="Arial"/>
              </w:rPr>
              <w:t xml:space="preserve">, 3GPP TS 25.101, 3GPP TS 25.104, 3GPP TS </w:t>
            </w:r>
            <w:r w:rsidR="00D76BE9" w:rsidRPr="00C97518">
              <w:rPr>
                <w:rFonts w:cs="Arial"/>
              </w:rPr>
              <w:t>25</w:t>
            </w:r>
            <w:r w:rsidRPr="00C97518">
              <w:rPr>
                <w:rFonts w:cs="Arial"/>
              </w:rPr>
              <w:t>.942</w:t>
            </w:r>
          </w:p>
        </w:tc>
      </w:tr>
      <w:tr w:rsidR="00CF461F" w:rsidRPr="00C97518" w14:paraId="1B2F4ECA" w14:textId="77777777" w:rsidTr="00CF461F">
        <w:trPr>
          <w:tblHeader/>
        </w:trPr>
        <w:tc>
          <w:tcPr>
            <w:tcW w:w="3261" w:type="dxa"/>
            <w:tcBorders>
              <w:top w:val="single" w:sz="4" w:space="0" w:color="auto"/>
              <w:left w:val="nil"/>
              <w:bottom w:val="single" w:sz="4" w:space="0" w:color="auto"/>
              <w:right w:val="nil"/>
            </w:tcBorders>
            <w:shd w:val="clear" w:color="auto" w:fill="F2F2F2" w:themeFill="background1" w:themeFillShade="F2"/>
          </w:tcPr>
          <w:p w14:paraId="3E5CD3E6" w14:textId="7914F493" w:rsidR="00CF461F" w:rsidRPr="00C97518" w:rsidRDefault="00CF461F" w:rsidP="00CF461F">
            <w:pPr>
              <w:tabs>
                <w:tab w:val="left" w:pos="1985"/>
                <w:tab w:val="left" w:pos="3261"/>
                <w:tab w:val="left" w:pos="5954"/>
              </w:tabs>
              <w:spacing w:after="0" w:line="240" w:lineRule="auto"/>
              <w:rPr>
                <w:rFonts w:cs="Arial"/>
              </w:rPr>
            </w:pPr>
            <w:r w:rsidRPr="00C97518">
              <w:rPr>
                <w:rFonts w:cs="Arial"/>
              </w:rPr>
              <w:t>LTE</w:t>
            </w:r>
          </w:p>
          <w:p w14:paraId="2126E213" w14:textId="0A39E631" w:rsidR="00CF461F" w:rsidRPr="00C97518" w:rsidRDefault="00CF461F" w:rsidP="00CF461F">
            <w:pPr>
              <w:pStyle w:val="TableBody"/>
              <w:keepNext/>
              <w:keepLines/>
              <w:rPr>
                <w:rFonts w:cs="Arial"/>
              </w:rPr>
            </w:pPr>
            <w:r w:rsidRPr="00C97518">
              <w:rPr>
                <w:rFonts w:cs="Arial"/>
              </w:rPr>
              <w:t>(E-UTRA, LTE-Advanced)</w:t>
            </w:r>
          </w:p>
        </w:tc>
        <w:tc>
          <w:tcPr>
            <w:tcW w:w="5103" w:type="dxa"/>
            <w:tcBorders>
              <w:top w:val="single" w:sz="4" w:space="0" w:color="auto"/>
              <w:left w:val="nil"/>
              <w:bottom w:val="single" w:sz="4" w:space="0" w:color="auto"/>
              <w:right w:val="nil"/>
            </w:tcBorders>
            <w:shd w:val="clear" w:color="auto" w:fill="F2F2F2" w:themeFill="background1" w:themeFillShade="F2"/>
          </w:tcPr>
          <w:p w14:paraId="6BBBB583" w14:textId="761CF0B9" w:rsidR="00CF461F" w:rsidRPr="00C97518" w:rsidRDefault="00CF461F" w:rsidP="00D76BE9">
            <w:pPr>
              <w:pStyle w:val="TableBody"/>
              <w:keepNext/>
              <w:keepLines/>
              <w:rPr>
                <w:rFonts w:cs="Arial"/>
              </w:rPr>
            </w:pPr>
            <w:r w:rsidRPr="00C97518">
              <w:rPr>
                <w:rFonts w:cs="Arial"/>
              </w:rPr>
              <w:t>ITU-R Report M.</w:t>
            </w:r>
            <w:r w:rsidR="00D76BE9" w:rsidRPr="00C97518">
              <w:rPr>
                <w:rFonts w:cs="Arial"/>
              </w:rPr>
              <w:t>2292-0</w:t>
            </w:r>
            <w:r w:rsidRPr="00C97518">
              <w:rPr>
                <w:rFonts w:cs="Arial"/>
              </w:rPr>
              <w:t>, 3GPP TS 36.101, 3GPP TS 36.104, 3GPP TS 36.942</w:t>
            </w:r>
          </w:p>
        </w:tc>
      </w:tr>
    </w:tbl>
    <w:p w14:paraId="15852351" w14:textId="77777777" w:rsidR="00955EF2" w:rsidRPr="00C97518" w:rsidRDefault="00955EF2" w:rsidP="0027403F">
      <w:pPr>
        <w:pStyle w:val="ACMASpaceaftertable"/>
      </w:pPr>
    </w:p>
    <w:p w14:paraId="31B0F829" w14:textId="77777777" w:rsidR="004B0E26" w:rsidRPr="00C97518" w:rsidRDefault="004B0E26" w:rsidP="004B0E26">
      <w:r w:rsidRPr="00C97518">
        <w:t>The development of the system models does not exclude the use of other technologies under the licence. The system models for the deployment are simply a tool for the development of the technical framework.</w:t>
      </w:r>
    </w:p>
    <w:p w14:paraId="6D2D0A4B" w14:textId="3F298FD6" w:rsidR="004B0E26" w:rsidRPr="00C97518" w:rsidRDefault="004B0E26" w:rsidP="004B0E26">
      <w:r w:rsidRPr="00C97518">
        <w:t>It is proposed that the system model be optimised for FDD services, as existing services operating under the 2 GHz spectrum licence</w:t>
      </w:r>
      <w:r w:rsidR="00550DAD" w:rsidRPr="00C97518">
        <w:t>,</w:t>
      </w:r>
      <w:r w:rsidRPr="00C97518">
        <w:t xml:space="preserve"> are deployed in this manner.</w:t>
      </w:r>
      <w:r w:rsidR="00194889" w:rsidRPr="00C97518">
        <w:t xml:space="preserve"> Table </w:t>
      </w:r>
      <w:r w:rsidR="00EE5FB9" w:rsidRPr="00C97518">
        <w:t>C</w:t>
      </w:r>
      <w:r w:rsidR="00194889" w:rsidRPr="00C97518">
        <w:t>2 shows the user equipment receiver parameters necessary for determination of the level of protection.</w:t>
      </w:r>
      <w:r w:rsidRPr="00C97518">
        <w:t xml:space="preserve"> </w:t>
      </w:r>
    </w:p>
    <w:p w14:paraId="5D0A4B44" w14:textId="48BAC6E6" w:rsidR="00D561DF" w:rsidRPr="00C97518" w:rsidRDefault="00D561DF" w:rsidP="00D561DF">
      <w:pPr>
        <w:pStyle w:val="ACMATableHeader"/>
        <w:keepNext/>
        <w:keepLines/>
        <w:numPr>
          <w:ilvl w:val="0"/>
          <w:numId w:val="0"/>
        </w:numPr>
        <w:ind w:left="964" w:hanging="964"/>
      </w:pPr>
      <w:r w:rsidRPr="00C97518">
        <w:t xml:space="preserve">Table </w:t>
      </w:r>
      <w:r w:rsidR="00EE5FB9" w:rsidRPr="00C97518">
        <w:t>C</w:t>
      </w:r>
      <w:r w:rsidR="00194889" w:rsidRPr="00C97518">
        <w:t>2</w:t>
      </w:r>
      <w:r w:rsidRPr="00C97518">
        <w:t>:</w:t>
      </w:r>
      <w:r w:rsidRPr="00C97518">
        <w:tab/>
        <w:t xml:space="preserve">UE </w:t>
      </w:r>
      <w:r w:rsidR="00550DAD" w:rsidRPr="00C97518">
        <w:t>r</w:t>
      </w:r>
      <w:r w:rsidRPr="00C97518">
        <w:t>eceiver</w:t>
      </w:r>
    </w:p>
    <w:tbl>
      <w:tblPr>
        <w:tblW w:w="754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3107"/>
        <w:gridCol w:w="2162"/>
        <w:gridCol w:w="2273"/>
      </w:tblGrid>
      <w:tr w:rsidR="00D561DF" w:rsidRPr="00C97518" w14:paraId="7FEBF978" w14:textId="77777777" w:rsidTr="007169B9">
        <w:trPr>
          <w:tblHeader/>
        </w:trPr>
        <w:tc>
          <w:tcPr>
            <w:tcW w:w="3107" w:type="dxa"/>
            <w:tcBorders>
              <w:top w:val="single" w:sz="4" w:space="0" w:color="auto"/>
              <w:left w:val="nil"/>
              <w:bottom w:val="single" w:sz="4" w:space="0" w:color="auto"/>
              <w:right w:val="nil"/>
            </w:tcBorders>
            <w:shd w:val="clear" w:color="auto" w:fill="404040" w:themeFill="text1" w:themeFillTint="BF"/>
          </w:tcPr>
          <w:p w14:paraId="6EF65D9F" w14:textId="77777777" w:rsidR="00D561DF" w:rsidRPr="00C97518" w:rsidRDefault="00D561DF" w:rsidP="00183C45">
            <w:pPr>
              <w:pStyle w:val="TableHeading"/>
              <w:keepNext/>
              <w:keepLines/>
              <w:rPr>
                <w:color w:val="FFFFFF" w:themeColor="background1"/>
              </w:rPr>
            </w:pPr>
            <w:r w:rsidRPr="00C97518">
              <w:rPr>
                <w:color w:val="FFFFFF" w:themeColor="background1"/>
              </w:rPr>
              <w:t>Parameter</w:t>
            </w:r>
          </w:p>
        </w:tc>
        <w:tc>
          <w:tcPr>
            <w:tcW w:w="2162" w:type="dxa"/>
            <w:tcBorders>
              <w:top w:val="single" w:sz="4" w:space="0" w:color="auto"/>
              <w:left w:val="nil"/>
              <w:bottom w:val="single" w:sz="4" w:space="0" w:color="auto"/>
              <w:right w:val="nil"/>
            </w:tcBorders>
            <w:shd w:val="clear" w:color="auto" w:fill="404040" w:themeFill="text1" w:themeFillTint="BF"/>
          </w:tcPr>
          <w:p w14:paraId="7C728881" w14:textId="77777777" w:rsidR="00D561DF" w:rsidRPr="00C97518" w:rsidRDefault="00D561DF" w:rsidP="00183C45">
            <w:pPr>
              <w:pStyle w:val="TableHeading"/>
              <w:keepNext/>
              <w:keepLines/>
              <w:jc w:val="center"/>
              <w:rPr>
                <w:color w:val="FFFFFF" w:themeColor="background1"/>
              </w:rPr>
            </w:pPr>
            <w:r w:rsidRPr="00C97518">
              <w:rPr>
                <w:color w:val="FFFFFF" w:themeColor="background1"/>
              </w:rPr>
              <w:t>UMTS</w:t>
            </w:r>
          </w:p>
        </w:tc>
        <w:tc>
          <w:tcPr>
            <w:tcW w:w="2273" w:type="dxa"/>
            <w:tcBorders>
              <w:top w:val="single" w:sz="4" w:space="0" w:color="auto"/>
              <w:left w:val="nil"/>
              <w:bottom w:val="single" w:sz="4" w:space="0" w:color="auto"/>
              <w:right w:val="nil"/>
            </w:tcBorders>
            <w:shd w:val="clear" w:color="auto" w:fill="404040" w:themeFill="text1" w:themeFillTint="BF"/>
          </w:tcPr>
          <w:p w14:paraId="50EBC4DC" w14:textId="77777777" w:rsidR="00D561DF" w:rsidRPr="00C97518" w:rsidRDefault="00D561DF" w:rsidP="00183C45">
            <w:pPr>
              <w:pStyle w:val="TableHeading"/>
              <w:keepNext/>
              <w:keepLines/>
              <w:jc w:val="center"/>
              <w:rPr>
                <w:color w:val="FFFFFF" w:themeColor="background1"/>
              </w:rPr>
            </w:pPr>
            <w:r w:rsidRPr="00C97518">
              <w:rPr>
                <w:color w:val="FFFFFF" w:themeColor="background1"/>
              </w:rPr>
              <w:t>LTE</w:t>
            </w:r>
          </w:p>
        </w:tc>
      </w:tr>
      <w:tr w:rsidR="00D561DF" w:rsidRPr="00C97518" w14:paraId="01250EE7"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1ACE70B9" w14:textId="77777777" w:rsidR="00D561DF" w:rsidRPr="00C97518" w:rsidRDefault="00D561DF" w:rsidP="00183C45">
            <w:pPr>
              <w:keepNext/>
              <w:spacing w:after="0" w:line="240" w:lineRule="auto"/>
              <w:rPr>
                <w:rFonts w:cs="Arial"/>
              </w:rPr>
            </w:pPr>
            <w:r w:rsidRPr="00C97518">
              <w:rPr>
                <w:rFonts w:cs="Arial"/>
              </w:rPr>
              <w:t>Antenna gain (including losses)</w:t>
            </w:r>
          </w:p>
        </w:tc>
        <w:tc>
          <w:tcPr>
            <w:tcW w:w="4435" w:type="dxa"/>
            <w:gridSpan w:val="2"/>
            <w:tcBorders>
              <w:top w:val="single" w:sz="4" w:space="0" w:color="auto"/>
              <w:left w:val="nil"/>
              <w:bottom w:val="single" w:sz="4" w:space="0" w:color="auto"/>
              <w:right w:val="nil"/>
            </w:tcBorders>
            <w:shd w:val="clear" w:color="auto" w:fill="F2F2F2" w:themeFill="background1" w:themeFillShade="F2"/>
          </w:tcPr>
          <w:p w14:paraId="7CC7340F" w14:textId="315B7218" w:rsidR="00D561DF" w:rsidRPr="00C97518" w:rsidRDefault="00994762" w:rsidP="00183C45">
            <w:pPr>
              <w:pStyle w:val="TableBody"/>
              <w:keepNext/>
              <w:keepLines/>
              <w:jc w:val="center"/>
              <w:rPr>
                <w:rFonts w:cs="Arial"/>
              </w:rPr>
            </w:pPr>
            <w:r w:rsidRPr="00C97518">
              <w:rPr>
                <w:rFonts w:cs="Arial"/>
              </w:rPr>
              <w:t>0</w:t>
            </w:r>
            <w:r w:rsidR="00D561DF" w:rsidRPr="00C97518">
              <w:rPr>
                <w:rFonts w:cs="Arial"/>
              </w:rPr>
              <w:t xml:space="preserve"> dBi</w:t>
            </w:r>
          </w:p>
        </w:tc>
      </w:tr>
      <w:tr w:rsidR="00194889" w:rsidRPr="00C97518" w14:paraId="597CF9FF" w14:textId="77777777" w:rsidTr="007169B9">
        <w:trPr>
          <w:tblHeader/>
        </w:trPr>
        <w:tc>
          <w:tcPr>
            <w:tcW w:w="3107" w:type="dxa"/>
            <w:tcBorders>
              <w:top w:val="single" w:sz="4" w:space="0" w:color="auto"/>
              <w:left w:val="nil"/>
              <w:bottom w:val="single" w:sz="4" w:space="0" w:color="auto"/>
              <w:right w:val="nil"/>
            </w:tcBorders>
          </w:tcPr>
          <w:p w14:paraId="05F55F67" w14:textId="4FA616B9" w:rsidR="00194889" w:rsidRPr="00C97518" w:rsidRDefault="00194889" w:rsidP="00183C45">
            <w:pPr>
              <w:keepNext/>
              <w:spacing w:after="0" w:line="240" w:lineRule="auto"/>
              <w:rPr>
                <w:rFonts w:cs="Arial"/>
              </w:rPr>
            </w:pPr>
            <w:r w:rsidRPr="00C97518">
              <w:rPr>
                <w:rFonts w:cs="Arial"/>
              </w:rPr>
              <w:t>Antenna height (AGL)</w:t>
            </w:r>
          </w:p>
        </w:tc>
        <w:tc>
          <w:tcPr>
            <w:tcW w:w="4435" w:type="dxa"/>
            <w:gridSpan w:val="2"/>
            <w:tcBorders>
              <w:top w:val="single" w:sz="4" w:space="0" w:color="auto"/>
              <w:left w:val="nil"/>
              <w:bottom w:val="single" w:sz="4" w:space="0" w:color="auto"/>
              <w:right w:val="nil"/>
            </w:tcBorders>
          </w:tcPr>
          <w:p w14:paraId="3159B4E1" w14:textId="561AD04D" w:rsidR="00194889" w:rsidRPr="00C97518" w:rsidRDefault="00194889" w:rsidP="00183C45">
            <w:pPr>
              <w:pStyle w:val="TableBody"/>
              <w:keepNext/>
              <w:keepLines/>
              <w:jc w:val="center"/>
              <w:rPr>
                <w:rFonts w:cs="Arial"/>
              </w:rPr>
            </w:pPr>
            <w:r w:rsidRPr="00C97518">
              <w:rPr>
                <w:rFonts w:cs="Arial"/>
              </w:rPr>
              <w:t>1.5 m</w:t>
            </w:r>
          </w:p>
        </w:tc>
      </w:tr>
      <w:tr w:rsidR="00994762" w:rsidRPr="00C97518" w14:paraId="4DA74060"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05B95351" w14:textId="77777777" w:rsidR="00994762" w:rsidRPr="00C97518" w:rsidRDefault="00994762" w:rsidP="00994762">
            <w:pPr>
              <w:pStyle w:val="TableBody"/>
              <w:keepNext/>
              <w:keepLines/>
              <w:rPr>
                <w:rFonts w:cs="Arial"/>
              </w:rPr>
            </w:pPr>
            <w:r w:rsidRPr="00C97518">
              <w:rPr>
                <w:rFonts w:cs="Arial"/>
              </w:rPr>
              <w:t>Noise figure (F)</w:t>
            </w:r>
          </w:p>
        </w:tc>
        <w:tc>
          <w:tcPr>
            <w:tcW w:w="2162" w:type="dxa"/>
            <w:tcBorders>
              <w:top w:val="single" w:sz="4" w:space="0" w:color="auto"/>
              <w:left w:val="nil"/>
              <w:bottom w:val="single" w:sz="4" w:space="0" w:color="auto"/>
              <w:right w:val="nil"/>
            </w:tcBorders>
            <w:shd w:val="clear" w:color="auto" w:fill="F2F2F2" w:themeFill="background1" w:themeFillShade="F2"/>
          </w:tcPr>
          <w:p w14:paraId="31BE0206" w14:textId="5DC84E78" w:rsidR="00994762" w:rsidRPr="00C97518" w:rsidRDefault="00994762" w:rsidP="00994762">
            <w:pPr>
              <w:pStyle w:val="TableBody"/>
              <w:keepNext/>
              <w:keepLines/>
              <w:jc w:val="center"/>
              <w:rPr>
                <w:rFonts w:cs="Arial"/>
              </w:rPr>
            </w:pPr>
            <w:r w:rsidRPr="00C97518">
              <w:rPr>
                <w:rFonts w:cs="Arial"/>
              </w:rPr>
              <w:t>9 dB</w:t>
            </w:r>
          </w:p>
        </w:tc>
        <w:tc>
          <w:tcPr>
            <w:tcW w:w="2273" w:type="dxa"/>
            <w:tcBorders>
              <w:top w:val="single" w:sz="4" w:space="0" w:color="auto"/>
              <w:left w:val="nil"/>
              <w:bottom w:val="single" w:sz="4" w:space="0" w:color="auto"/>
              <w:right w:val="nil"/>
            </w:tcBorders>
            <w:shd w:val="clear" w:color="auto" w:fill="F2F2F2" w:themeFill="background1" w:themeFillShade="F2"/>
          </w:tcPr>
          <w:p w14:paraId="61607CF9" w14:textId="41849392" w:rsidR="00994762" w:rsidRPr="00C97518" w:rsidRDefault="00994762" w:rsidP="00994762">
            <w:pPr>
              <w:pStyle w:val="TableBody"/>
              <w:keepNext/>
              <w:keepLines/>
              <w:jc w:val="center"/>
              <w:rPr>
                <w:rFonts w:cs="Arial"/>
              </w:rPr>
            </w:pPr>
            <w:r w:rsidRPr="00C97518">
              <w:rPr>
                <w:rFonts w:cs="Arial"/>
              </w:rPr>
              <w:t>9 dB</w:t>
            </w:r>
          </w:p>
        </w:tc>
      </w:tr>
      <w:tr w:rsidR="00994762" w:rsidRPr="00C97518" w14:paraId="68F4E8FD" w14:textId="77777777" w:rsidTr="007169B9">
        <w:trPr>
          <w:tblHeader/>
        </w:trPr>
        <w:tc>
          <w:tcPr>
            <w:tcW w:w="3107" w:type="dxa"/>
            <w:tcBorders>
              <w:top w:val="single" w:sz="4" w:space="0" w:color="auto"/>
              <w:left w:val="nil"/>
              <w:bottom w:val="single" w:sz="4" w:space="0" w:color="auto"/>
              <w:right w:val="nil"/>
            </w:tcBorders>
          </w:tcPr>
          <w:p w14:paraId="245D71DA" w14:textId="77777777" w:rsidR="00994762" w:rsidRPr="00C97518" w:rsidRDefault="00994762" w:rsidP="00994762">
            <w:pPr>
              <w:keepNext/>
              <w:keepLines/>
              <w:spacing w:after="0" w:line="240" w:lineRule="auto"/>
              <w:rPr>
                <w:rFonts w:cs="Arial"/>
              </w:rPr>
            </w:pPr>
            <w:r w:rsidRPr="00C97518">
              <w:rPr>
                <w:rFonts w:cs="Arial"/>
              </w:rPr>
              <w:t>Noise floor (kTBF)</w:t>
            </w:r>
          </w:p>
        </w:tc>
        <w:tc>
          <w:tcPr>
            <w:tcW w:w="2162" w:type="dxa"/>
            <w:tcBorders>
              <w:top w:val="single" w:sz="4" w:space="0" w:color="auto"/>
              <w:left w:val="nil"/>
              <w:bottom w:val="single" w:sz="4" w:space="0" w:color="auto"/>
              <w:right w:val="nil"/>
            </w:tcBorders>
          </w:tcPr>
          <w:p w14:paraId="11F5996A" w14:textId="3026337E" w:rsidR="00994762" w:rsidRPr="00C97518" w:rsidRDefault="00994762" w:rsidP="00994762">
            <w:pPr>
              <w:keepNext/>
              <w:keepLines/>
              <w:spacing w:after="0" w:line="240" w:lineRule="auto"/>
              <w:jc w:val="center"/>
              <w:rPr>
                <w:rFonts w:cs="Arial"/>
              </w:rPr>
            </w:pPr>
            <w:r w:rsidRPr="00C97518">
              <w:rPr>
                <w:rFonts w:cs="Arial"/>
              </w:rPr>
              <w:t>-99.1</w:t>
            </w:r>
            <w:r w:rsidR="00FC2513" w:rsidRPr="00C97518">
              <w:rPr>
                <w:rFonts w:cs="Arial"/>
              </w:rPr>
              <w:t>3</w:t>
            </w:r>
            <w:r w:rsidRPr="00C97518">
              <w:rPr>
                <w:rFonts w:cs="Arial"/>
              </w:rPr>
              <w:t xml:space="preserve"> dBm/3.84 MHz</w:t>
            </w:r>
          </w:p>
        </w:tc>
        <w:tc>
          <w:tcPr>
            <w:tcW w:w="2273" w:type="dxa"/>
            <w:tcBorders>
              <w:top w:val="single" w:sz="4" w:space="0" w:color="auto"/>
              <w:left w:val="nil"/>
              <w:bottom w:val="single" w:sz="4" w:space="0" w:color="auto"/>
              <w:right w:val="nil"/>
            </w:tcBorders>
          </w:tcPr>
          <w:p w14:paraId="471AC498" w14:textId="449240D0" w:rsidR="00994762" w:rsidRPr="00C97518" w:rsidRDefault="00994762" w:rsidP="00994762">
            <w:pPr>
              <w:keepNext/>
              <w:keepLines/>
              <w:spacing w:after="0" w:line="240" w:lineRule="auto"/>
              <w:jc w:val="center"/>
              <w:rPr>
                <w:rFonts w:cs="Arial"/>
              </w:rPr>
            </w:pPr>
            <w:r w:rsidRPr="00C97518">
              <w:rPr>
                <w:rFonts w:cs="Arial"/>
              </w:rPr>
              <w:t>-98.4</w:t>
            </w:r>
            <w:r w:rsidR="00FC2513" w:rsidRPr="00C97518">
              <w:rPr>
                <w:rFonts w:cs="Arial"/>
              </w:rPr>
              <w:t>3</w:t>
            </w:r>
            <w:r w:rsidRPr="00C97518">
              <w:rPr>
                <w:rFonts w:cs="Arial"/>
              </w:rPr>
              <w:t xml:space="preserve"> dBm/4.515 MHz</w:t>
            </w:r>
          </w:p>
        </w:tc>
      </w:tr>
      <w:tr w:rsidR="00D561DF" w:rsidRPr="00C97518" w14:paraId="466F1119"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169B0FB9" w14:textId="77777777" w:rsidR="00D561DF" w:rsidRPr="00C97518" w:rsidRDefault="00D561DF" w:rsidP="00183C45">
            <w:pPr>
              <w:pStyle w:val="TableBody"/>
              <w:keepNext/>
              <w:keepLines/>
              <w:rPr>
                <w:rFonts w:cs="Arial"/>
              </w:rPr>
            </w:pPr>
            <w:r w:rsidRPr="00C97518">
              <w:rPr>
                <w:rFonts w:cs="Arial"/>
              </w:rPr>
              <w:t>Reference sensitivity</w:t>
            </w:r>
          </w:p>
        </w:tc>
        <w:tc>
          <w:tcPr>
            <w:tcW w:w="2162" w:type="dxa"/>
            <w:tcBorders>
              <w:top w:val="single" w:sz="4" w:space="0" w:color="auto"/>
              <w:left w:val="nil"/>
              <w:bottom w:val="single" w:sz="4" w:space="0" w:color="auto"/>
              <w:right w:val="nil"/>
            </w:tcBorders>
            <w:shd w:val="clear" w:color="auto" w:fill="F2F2F2" w:themeFill="background1" w:themeFillShade="F2"/>
          </w:tcPr>
          <w:p w14:paraId="55B6EF91" w14:textId="39CD55D0" w:rsidR="00D561DF" w:rsidRPr="00C97518" w:rsidRDefault="00B10591" w:rsidP="00717547">
            <w:pPr>
              <w:pStyle w:val="TableBody"/>
              <w:keepNext/>
              <w:keepLines/>
              <w:jc w:val="center"/>
              <w:rPr>
                <w:rFonts w:cs="Arial"/>
              </w:rPr>
            </w:pPr>
            <w:r w:rsidRPr="00C97518">
              <w:rPr>
                <w:rFonts w:cs="Arial"/>
              </w:rPr>
              <w:t>-113 dBm/3.84 MHz</w:t>
            </w:r>
            <w:r w:rsidRPr="00C97518">
              <w:rPr>
                <w:rStyle w:val="FootnoteReference"/>
                <w:rFonts w:cs="Arial"/>
              </w:rPr>
              <w:footnoteReference w:id="24"/>
            </w:r>
          </w:p>
        </w:tc>
        <w:tc>
          <w:tcPr>
            <w:tcW w:w="2273" w:type="dxa"/>
            <w:tcBorders>
              <w:top w:val="single" w:sz="4" w:space="0" w:color="auto"/>
              <w:left w:val="nil"/>
              <w:bottom w:val="single" w:sz="4" w:space="0" w:color="auto"/>
              <w:right w:val="nil"/>
            </w:tcBorders>
            <w:shd w:val="clear" w:color="auto" w:fill="F2F2F2" w:themeFill="background1" w:themeFillShade="F2"/>
          </w:tcPr>
          <w:p w14:paraId="661172D4" w14:textId="1561D5C5" w:rsidR="00D561DF" w:rsidRPr="00C97518" w:rsidRDefault="00994762" w:rsidP="00183C45">
            <w:pPr>
              <w:pStyle w:val="TableBody"/>
              <w:keepNext/>
              <w:keepLines/>
              <w:jc w:val="center"/>
              <w:rPr>
                <w:rFonts w:cs="Arial"/>
              </w:rPr>
            </w:pPr>
            <w:r w:rsidRPr="00C97518">
              <w:rPr>
                <w:rFonts w:cs="Arial"/>
              </w:rPr>
              <w:t>-100 dBm/5 MHz</w:t>
            </w:r>
          </w:p>
        </w:tc>
      </w:tr>
    </w:tbl>
    <w:p w14:paraId="40EE665D" w14:textId="406D45B0" w:rsidR="004B0E26" w:rsidRPr="00C97518" w:rsidRDefault="004B0E26" w:rsidP="0027403F">
      <w:pPr>
        <w:pStyle w:val="ACMASpaceaftertable"/>
      </w:pPr>
    </w:p>
    <w:p w14:paraId="49D2A81E" w14:textId="3F0EBA1C" w:rsidR="00C91B77" w:rsidRPr="00C97518" w:rsidRDefault="00EE5FB9" w:rsidP="005915A4">
      <w:pPr>
        <w:pStyle w:val="Heading2"/>
      </w:pPr>
      <w:bookmarkStart w:id="70" w:name="_Toc437508122"/>
      <w:bookmarkStart w:id="71" w:name="_Toc437508427"/>
      <w:bookmarkStart w:id="72" w:name="_Toc437530160"/>
      <w:bookmarkStart w:id="73" w:name="_Toc444690638"/>
      <w:r w:rsidRPr="00C97518">
        <w:t>C</w:t>
      </w:r>
      <w:r w:rsidR="00A8552C" w:rsidRPr="00C97518">
        <w:t>2</w:t>
      </w:r>
      <w:r w:rsidR="00C91B77" w:rsidRPr="00C97518">
        <w:tab/>
      </w:r>
      <w:r w:rsidR="00C91B77" w:rsidRPr="00C97518">
        <w:rPr>
          <w:rFonts w:eastAsiaTheme="minorEastAsia"/>
          <w:lang w:eastAsia="en-US"/>
        </w:rPr>
        <w:t xml:space="preserve">Level of </w:t>
      </w:r>
      <w:r w:rsidR="00C91B77" w:rsidRPr="00C97518">
        <w:rPr>
          <w:rFonts w:eastAsiaTheme="minorEastAsia"/>
        </w:rPr>
        <w:t>protection</w:t>
      </w:r>
      <w:bookmarkEnd w:id="70"/>
      <w:bookmarkEnd w:id="71"/>
      <w:bookmarkEnd w:id="72"/>
      <w:bookmarkEnd w:id="73"/>
    </w:p>
    <w:p w14:paraId="31886024" w14:textId="1D94156E" w:rsidR="00C91B77" w:rsidRPr="00C97518" w:rsidRDefault="00C91B77" w:rsidP="00C91B77">
      <w:r w:rsidRPr="00C97518">
        <w:t>The level of protection (LOP) is the benchmark protection given to receivers from co-channel emissions from transmitters operating in adjacent geographic licence areas. The level of protection is a compromise between the level of emissions over the geographic boundary of the licence and the protection requirements of receivers</w:t>
      </w:r>
      <w:r w:rsidR="003475C3" w:rsidRPr="00C97518">
        <w:t>.</w:t>
      </w:r>
    </w:p>
    <w:p w14:paraId="0896276A" w14:textId="2E5A4969" w:rsidR="003475C3" w:rsidRPr="00C97518" w:rsidRDefault="003475C3" w:rsidP="00C91B77">
      <w:r w:rsidRPr="00C97518">
        <w:t>This benchmark level is necessary for the calculation of the device boundary criterion.</w:t>
      </w:r>
    </w:p>
    <w:p w14:paraId="2D83182A" w14:textId="401B06E7" w:rsidR="003475C3" w:rsidRPr="00C97518" w:rsidRDefault="00225A67" w:rsidP="0027403F">
      <w:pPr>
        <w:spacing w:after="80"/>
      </w:pPr>
      <w:r w:rsidRPr="00C97518">
        <w:t>Two</w:t>
      </w:r>
      <w:r w:rsidR="003475C3" w:rsidRPr="00C97518">
        <w:t xml:space="preserve"> methods are </w:t>
      </w:r>
      <w:r w:rsidRPr="00C97518">
        <w:t>proposed</w:t>
      </w:r>
      <w:r w:rsidR="003475C3" w:rsidRPr="00C97518">
        <w:t xml:space="preserve"> for determining the LOP:</w:t>
      </w:r>
    </w:p>
    <w:p w14:paraId="1942C4E6" w14:textId="2B7D14C2" w:rsidR="003475C3" w:rsidRPr="00C97518" w:rsidRDefault="00550DAD" w:rsidP="00537EFC">
      <w:pPr>
        <w:pStyle w:val="ListNumber2"/>
        <w:keepNext/>
        <w:keepLines/>
        <w:numPr>
          <w:ilvl w:val="0"/>
          <w:numId w:val="14"/>
        </w:numPr>
      </w:pPr>
      <w:r w:rsidRPr="00C97518">
        <w:t>n</w:t>
      </w:r>
      <w:r w:rsidR="003475C3" w:rsidRPr="00C97518">
        <w:t>oise floor plus interference-to-noise margin (I/N) of -6 dB resulting in a 1 dB increase in noise floor</w:t>
      </w:r>
      <w:r w:rsidR="00225A67" w:rsidRPr="00C97518">
        <w:t xml:space="preserve"> (equivalent to –104 dBm per 5 MHz); </w:t>
      </w:r>
    </w:p>
    <w:p w14:paraId="31886387" w14:textId="398EEA14" w:rsidR="003475C3" w:rsidRPr="00C97518" w:rsidRDefault="00225A67" w:rsidP="00537EFC">
      <w:pPr>
        <w:pStyle w:val="ListNumber2"/>
        <w:keepNext/>
        <w:keepLines/>
        <w:numPr>
          <w:ilvl w:val="0"/>
          <w:numId w:val="14"/>
        </w:numPr>
      </w:pPr>
      <w:r w:rsidRPr="00C97518">
        <w:t xml:space="preserve">maintain the LOP </w:t>
      </w:r>
      <w:r w:rsidR="002E3EB5" w:rsidRPr="00C97518">
        <w:t xml:space="preserve">of -96 dBm/5MHz as </w:t>
      </w:r>
      <w:r w:rsidRPr="00C97518">
        <w:t>defined in the existing section 145 determination.</w:t>
      </w:r>
    </w:p>
    <w:p w14:paraId="74CD5293" w14:textId="77777777" w:rsidR="00225A67" w:rsidRPr="00C97518" w:rsidRDefault="00225A67" w:rsidP="00225A67">
      <w:pPr>
        <w:pStyle w:val="ListNumber2"/>
        <w:keepNext/>
        <w:keepLines/>
        <w:ind w:left="360"/>
      </w:pPr>
    </w:p>
    <w:p w14:paraId="09B778E8" w14:textId="30140380" w:rsidR="003475C3" w:rsidRPr="00C97518" w:rsidRDefault="003475C3" w:rsidP="00994762">
      <w:pPr>
        <w:pBdr>
          <w:top w:val="single" w:sz="12" w:space="1" w:color="auto"/>
          <w:left w:val="single" w:sz="12" w:space="4" w:color="auto"/>
          <w:bottom w:val="single" w:sz="12" w:space="1" w:color="auto"/>
          <w:right w:val="single" w:sz="12" w:space="4" w:color="auto"/>
        </w:pBdr>
        <w:jc w:val="both"/>
      </w:pPr>
      <w:r w:rsidRPr="00C97518">
        <w:t xml:space="preserve">To </w:t>
      </w:r>
      <w:r w:rsidR="00225A67" w:rsidRPr="00C97518">
        <w:t>maintain the existing</w:t>
      </w:r>
      <w:r w:rsidRPr="00C97518">
        <w:t xml:space="preserve"> deployment flexibility in the 2 GHz band, </w:t>
      </w:r>
      <w:r w:rsidR="00225A67" w:rsidRPr="00C97518">
        <w:t xml:space="preserve">it is proposed to maintain the existing LOP of </w:t>
      </w:r>
      <w:bookmarkStart w:id="74" w:name="LOP"/>
      <w:r w:rsidR="00225A67" w:rsidRPr="00C97518">
        <w:t>-96</w:t>
      </w:r>
      <w:r w:rsidRPr="00C97518">
        <w:t xml:space="preserve"> dBm per 5 MHz</w:t>
      </w:r>
      <w:bookmarkEnd w:id="74"/>
      <w:r w:rsidRPr="00C97518">
        <w:t>.</w:t>
      </w:r>
      <w:r w:rsidR="00225A67" w:rsidRPr="00C97518">
        <w:t xml:space="preserve"> This will help to minimise dead zones close to geographical boundaries.</w:t>
      </w:r>
      <w:r w:rsidR="00D21E6B">
        <w:t xml:space="preserve"> </w:t>
      </w:r>
    </w:p>
    <w:p w14:paraId="0A9798CB" w14:textId="77777777" w:rsidR="00225A67" w:rsidRPr="00C97518" w:rsidRDefault="00225A67" w:rsidP="003D00D5">
      <w:pPr>
        <w:pStyle w:val="Heading2"/>
        <w:ind w:left="567" w:hanging="567"/>
      </w:pPr>
      <w:bookmarkStart w:id="75" w:name="_Toc437508123"/>
      <w:bookmarkStart w:id="76" w:name="_Toc437508428"/>
      <w:bookmarkStart w:id="77" w:name="_Toc437530161"/>
    </w:p>
    <w:p w14:paraId="5D5F99B1" w14:textId="68367222" w:rsidR="003D00D5" w:rsidRPr="00C97518" w:rsidRDefault="00EE5FB9" w:rsidP="003D00D5">
      <w:pPr>
        <w:pStyle w:val="Heading2"/>
        <w:ind w:left="567" w:hanging="567"/>
      </w:pPr>
      <w:bookmarkStart w:id="78" w:name="_Toc444690639"/>
      <w:r w:rsidRPr="00C97518">
        <w:t>C</w:t>
      </w:r>
      <w:r w:rsidR="00A8552C" w:rsidRPr="00C97518">
        <w:t>3</w:t>
      </w:r>
      <w:r w:rsidR="003D00D5" w:rsidRPr="00C97518">
        <w:tab/>
      </w:r>
      <w:r w:rsidR="003D00D5" w:rsidRPr="00C97518">
        <w:rPr>
          <w:rFonts w:eastAsiaTheme="minorEastAsia"/>
          <w:szCs w:val="22"/>
          <w:lang w:eastAsia="en-US"/>
        </w:rPr>
        <w:t>Propagation modelling</w:t>
      </w:r>
      <w:bookmarkEnd w:id="75"/>
      <w:bookmarkEnd w:id="76"/>
      <w:bookmarkEnd w:id="77"/>
      <w:bookmarkEnd w:id="78"/>
    </w:p>
    <w:p w14:paraId="3983AB5A" w14:textId="550FFAA4" w:rsidR="00A00131" w:rsidRPr="00C97518" w:rsidRDefault="00A00131" w:rsidP="0027403F">
      <w:pPr>
        <w:spacing w:after="80"/>
      </w:pPr>
      <w:r w:rsidRPr="00C97518">
        <w:t xml:space="preserve">The propagation model chosen for the technical framework appears in the </w:t>
      </w:r>
      <w:r w:rsidR="002E3EB5" w:rsidRPr="00C97518">
        <w:t>section 145</w:t>
      </w:r>
      <w:r w:rsidRPr="00C97518">
        <w:t xml:space="preserve"> determination as part of the device boundary criterion. The propagation model selected for the technical framework needs to be:</w:t>
      </w:r>
    </w:p>
    <w:p w14:paraId="0B5170E4" w14:textId="77777777" w:rsidR="00A00131" w:rsidRPr="00C97518" w:rsidRDefault="00A00131" w:rsidP="00AF7B5F">
      <w:pPr>
        <w:pStyle w:val="ListBullet"/>
        <w:numPr>
          <w:ilvl w:val="0"/>
          <w:numId w:val="1"/>
        </w:numPr>
      </w:pPr>
      <w:r w:rsidRPr="00C97518">
        <w:t>suitable for FDD systems</w:t>
      </w:r>
    </w:p>
    <w:p w14:paraId="4E64A276" w14:textId="77777777" w:rsidR="00A00131" w:rsidRPr="00C97518" w:rsidRDefault="00A00131" w:rsidP="00AF7B5F">
      <w:pPr>
        <w:pStyle w:val="ListBullet"/>
        <w:numPr>
          <w:ilvl w:val="0"/>
          <w:numId w:val="1"/>
        </w:numPr>
      </w:pPr>
      <w:r w:rsidRPr="00C97518">
        <w:t>a generic model that does not require detailed information on terrain or land usage</w:t>
      </w:r>
    </w:p>
    <w:p w14:paraId="05B95539" w14:textId="47E53EB1" w:rsidR="00A00131" w:rsidRPr="00C97518" w:rsidRDefault="00A00131" w:rsidP="00AF7B5F">
      <w:pPr>
        <w:pStyle w:val="ListBullet"/>
        <w:numPr>
          <w:ilvl w:val="0"/>
          <w:numId w:val="1"/>
        </w:numPr>
      </w:pPr>
      <w:r w:rsidRPr="00C97518">
        <w:t>not too complex and ca</w:t>
      </w:r>
      <w:r w:rsidR="008029AF" w:rsidRPr="00C97518">
        <w:t>pable of</w:t>
      </w:r>
      <w:r w:rsidRPr="00C97518">
        <w:t xml:space="preserve"> be</w:t>
      </w:r>
      <w:r w:rsidR="008029AF" w:rsidRPr="00C97518">
        <w:t>ing</w:t>
      </w:r>
      <w:r w:rsidRPr="00C97518">
        <w:t xml:space="preserve"> repeated with certainty</w:t>
      </w:r>
    </w:p>
    <w:p w14:paraId="58C92A92" w14:textId="440D88A1" w:rsidR="00AF7B5F" w:rsidRPr="00C97518" w:rsidRDefault="008029AF" w:rsidP="0027403F">
      <w:pPr>
        <w:pStyle w:val="ListBullet"/>
        <w:numPr>
          <w:ilvl w:val="0"/>
          <w:numId w:val="1"/>
        </w:numPr>
        <w:spacing w:after="240"/>
      </w:pPr>
      <w:r w:rsidRPr="00C97518">
        <w:t>suitable for use</w:t>
      </w:r>
      <w:r w:rsidR="00A00131" w:rsidRPr="00C97518">
        <w:t xml:space="preserve"> in the 2 GHz band</w:t>
      </w:r>
      <w:r w:rsidR="00A82AD0" w:rsidRPr="00C97518">
        <w:t>.</w:t>
      </w:r>
    </w:p>
    <w:p w14:paraId="4D702CA3" w14:textId="5F917104" w:rsidR="00A00131" w:rsidRPr="00C97518" w:rsidRDefault="00A00131" w:rsidP="00A00131">
      <w:pPr>
        <w:pStyle w:val="CommentText"/>
      </w:pPr>
      <w:r w:rsidRPr="00C97518">
        <w:t>The propagation model selected does not need to be suitable for the detailed planning of services</w:t>
      </w:r>
      <w:r w:rsidR="00A82AD0" w:rsidRPr="00C97518">
        <w:t>,</w:t>
      </w:r>
      <w:r w:rsidRPr="00C97518">
        <w:t xml:space="preserve"> and licensees are free to use any model for their own planning needs. The selected propagation model will be the basis of the device boundary criterion on which the ACMA may decide to reject the registration of a transmitter to be operated under the spectrum licence.</w:t>
      </w:r>
    </w:p>
    <w:p w14:paraId="7A38F390" w14:textId="49464D4A" w:rsidR="009A77C1" w:rsidRPr="00C97518" w:rsidRDefault="00B7585E" w:rsidP="0027403F">
      <w:r w:rsidRPr="00C97518">
        <w:t xml:space="preserve">The ACMA proposes to use the </w:t>
      </w:r>
      <w:r w:rsidR="009A77C1" w:rsidRPr="00C97518">
        <w:t xml:space="preserve">modified </w:t>
      </w:r>
      <w:r w:rsidRPr="00C97518">
        <w:t>HATA</w:t>
      </w:r>
      <w:r w:rsidR="00EB01B3" w:rsidRPr="00C97518">
        <w:t xml:space="preserve"> suburban</w:t>
      </w:r>
      <w:r w:rsidRPr="00C97518">
        <w:t xml:space="preserve"> propagation model, as defined in </w:t>
      </w:r>
      <w:r w:rsidR="00EB01B3" w:rsidRPr="00C97518">
        <w:t>ERC Report 68</w:t>
      </w:r>
      <w:r w:rsidRPr="00C97518">
        <w:t xml:space="preserve">, </w:t>
      </w:r>
      <w:r w:rsidR="009A77C1" w:rsidRPr="00C97518">
        <w:t>in</w:t>
      </w:r>
      <w:r w:rsidRPr="00C97518">
        <w:t xml:space="preserve"> device boundary calculations. </w:t>
      </w:r>
      <w:r w:rsidR="009A77C1" w:rsidRPr="00C97518">
        <w:t xml:space="preserve">This means the relevant equation for </w:t>
      </w:r>
      <w:r w:rsidR="008029AF" w:rsidRPr="00C97518">
        <w:t xml:space="preserve">the </w:t>
      </w:r>
      <w:r w:rsidR="009A77C1" w:rsidRPr="00C97518">
        <w:t>1500</w:t>
      </w:r>
      <w:r w:rsidR="00A82AD0" w:rsidRPr="00C97518">
        <w:t>–</w:t>
      </w:r>
      <w:r w:rsidR="009A77C1" w:rsidRPr="00C97518">
        <w:t>2000 MHz and 2000</w:t>
      </w:r>
      <w:r w:rsidR="00A82AD0" w:rsidRPr="00C97518">
        <w:t>–</w:t>
      </w:r>
      <w:r w:rsidR="009A77C1" w:rsidRPr="00C97518">
        <w:t>3000 MHz frequency ranges will be used for the 1920</w:t>
      </w:r>
      <w:r w:rsidR="00A82AD0" w:rsidRPr="00C97518">
        <w:t>–</w:t>
      </w:r>
      <w:r w:rsidR="009A77C1" w:rsidRPr="00C97518">
        <w:t>1980 MHz and 2110</w:t>
      </w:r>
      <w:r w:rsidR="00A82AD0" w:rsidRPr="00C97518">
        <w:t>–</w:t>
      </w:r>
      <w:r w:rsidR="009A77C1" w:rsidRPr="00C97518">
        <w:t xml:space="preserve">2170 MHz bands respectively. </w:t>
      </w:r>
    </w:p>
    <w:p w14:paraId="767796AB" w14:textId="0E7C473D" w:rsidR="00672D35" w:rsidRPr="00C97518" w:rsidRDefault="00A00131" w:rsidP="0027403F">
      <w:r w:rsidRPr="00C97518" w:rsidDel="00B7585E">
        <w:t xml:space="preserve">The </w:t>
      </w:r>
      <w:r w:rsidR="008029AF" w:rsidRPr="00C97518">
        <w:t xml:space="preserve">proposed </w:t>
      </w:r>
      <w:r w:rsidR="00355B3F" w:rsidRPr="00C97518" w:rsidDel="00B7585E">
        <w:t xml:space="preserve">implementation of </w:t>
      </w:r>
      <w:r w:rsidR="00B7585E" w:rsidRPr="00C97518">
        <w:t xml:space="preserve">this propagation model in the device boundary criteria </w:t>
      </w:r>
      <w:r w:rsidRPr="00C97518">
        <w:t xml:space="preserve">is provided in </w:t>
      </w:r>
      <w:r w:rsidR="00EE5FB9" w:rsidRPr="00C97518">
        <w:rPr>
          <w:rFonts w:cs="Arial"/>
        </w:rPr>
        <w:t xml:space="preserve">the draft of the </w:t>
      </w:r>
      <w:r w:rsidR="00EE5FB9" w:rsidRPr="00C97518">
        <w:t>Radiocommunications (Unacceptable Levels of Interference – 2 GHz Band) Determination 2016</w:t>
      </w:r>
      <w:r w:rsidR="00A82AD0" w:rsidRPr="00C97518">
        <w:rPr>
          <w:rFonts w:cs="Arial"/>
        </w:rPr>
        <w:t>,</w:t>
      </w:r>
      <w:r w:rsidR="00EE5FB9" w:rsidRPr="00C97518">
        <w:rPr>
          <w:rFonts w:cs="Arial"/>
        </w:rPr>
        <w:t xml:space="preserve"> available on the ACMA website</w:t>
      </w:r>
      <w:r w:rsidRPr="00C97518">
        <w:t>.</w:t>
      </w:r>
    </w:p>
    <w:p w14:paraId="2F708BE7" w14:textId="3F82592C" w:rsidR="00D92412" w:rsidRPr="00C97518" w:rsidRDefault="00EE5FB9" w:rsidP="00473CE6">
      <w:pPr>
        <w:pStyle w:val="Heading2"/>
        <w:ind w:left="567" w:hanging="567"/>
      </w:pPr>
      <w:bookmarkStart w:id="79" w:name="_Toc437508124"/>
      <w:bookmarkStart w:id="80" w:name="_Toc437508429"/>
      <w:bookmarkStart w:id="81" w:name="_Toc437530162"/>
      <w:bookmarkStart w:id="82" w:name="_Toc444690640"/>
      <w:r w:rsidRPr="00C97518">
        <w:t>C</w:t>
      </w:r>
      <w:r w:rsidR="00D92412" w:rsidRPr="00C97518">
        <w:t xml:space="preserve">4 </w:t>
      </w:r>
      <w:r w:rsidR="00473CE6" w:rsidRPr="00C97518">
        <w:tab/>
      </w:r>
      <w:r w:rsidR="00D92412" w:rsidRPr="00C97518">
        <w:t>Device boundary criterion</w:t>
      </w:r>
      <w:bookmarkEnd w:id="79"/>
      <w:bookmarkEnd w:id="80"/>
      <w:bookmarkEnd w:id="81"/>
      <w:bookmarkEnd w:id="82"/>
    </w:p>
    <w:p w14:paraId="598482E1" w14:textId="50C5B61E" w:rsidR="00136E26" w:rsidRPr="00C97518" w:rsidRDefault="00136E26" w:rsidP="00305CBF">
      <w:r w:rsidRPr="00C97518">
        <w:t>The device boundary of a radiocommunications transmitter, calculated using the device boundary criterion, must lie within the geographic boundary of the licence; otherwise the transmitter may be declared under the subsection 145(4) determination to cause unacceptable interference.</w:t>
      </w:r>
    </w:p>
    <w:p w14:paraId="4B9DE055" w14:textId="77777777" w:rsidR="00136E26" w:rsidRPr="00C97518" w:rsidRDefault="00136E26" w:rsidP="00136E26">
      <w:r w:rsidRPr="00C97518">
        <w:t xml:space="preserve">Further description of the device boundary and the methodology updated for spectrum licensing is available in </w:t>
      </w:r>
      <w:r w:rsidRPr="00C97518">
        <w:rPr>
          <w:i/>
        </w:rPr>
        <w:t>SPP 02/12</w:t>
      </w:r>
      <w:r w:rsidRPr="00C97518">
        <w:t xml:space="preserve"> – </w:t>
      </w:r>
      <w:r w:rsidRPr="00C97518">
        <w:rPr>
          <w:i/>
        </w:rPr>
        <w:t>Device boundary methodology</w:t>
      </w:r>
      <w:r w:rsidRPr="00C97518">
        <w:t>. It mirrors the methodology put in place for the new/revised technical frameworks for the 800 MHz, 1800 MHz, 700 MHz and 2.5 GHz bands.</w:t>
      </w:r>
    </w:p>
    <w:p w14:paraId="4DA23BCA" w14:textId="1FC271C9" w:rsidR="00136E26" w:rsidRPr="00C97518" w:rsidRDefault="00136E26" w:rsidP="00136E26">
      <w:r w:rsidRPr="00C97518">
        <w:t xml:space="preserve">The ACMA considers the propagation model in section </w:t>
      </w:r>
      <w:r w:rsidR="00537EFC" w:rsidRPr="00C97518">
        <w:t>C</w:t>
      </w:r>
      <w:r w:rsidRPr="00C97518">
        <w:t xml:space="preserve">3 </w:t>
      </w:r>
      <w:r w:rsidR="008029AF" w:rsidRPr="00C97518">
        <w:t xml:space="preserve">of this attachment </w:t>
      </w:r>
      <w:r w:rsidRPr="00C97518">
        <w:t xml:space="preserve">and the level of protection </w:t>
      </w:r>
      <w:r w:rsidR="00A82AD0" w:rsidRPr="00C97518">
        <w:t xml:space="preserve">in </w:t>
      </w:r>
      <w:r w:rsidRPr="00C97518">
        <w:t xml:space="preserve">section </w:t>
      </w:r>
      <w:r w:rsidR="00537EFC" w:rsidRPr="00C97518">
        <w:t>C</w:t>
      </w:r>
      <w:r w:rsidRPr="00C97518">
        <w:t xml:space="preserve">2 </w:t>
      </w:r>
      <w:r w:rsidR="008029AF" w:rsidRPr="00C97518">
        <w:t xml:space="preserve">of this attachment </w:t>
      </w:r>
      <w:r w:rsidRPr="00C97518">
        <w:t>to be appropriate to provide adequate radiocommunications transmitter separation from the geographic boundary</w:t>
      </w:r>
      <w:r w:rsidR="00A82AD0" w:rsidRPr="00C97518">
        <w:t>. It will</w:t>
      </w:r>
      <w:r w:rsidRPr="00C97518">
        <w:t xml:space="preserve"> enable co-existence between adjacent area services</w:t>
      </w:r>
      <w:r w:rsidR="00A82AD0" w:rsidRPr="00C97518">
        <w:t>,</w:t>
      </w:r>
      <w:r w:rsidRPr="00C97518">
        <w:t xml:space="preserve"> while not placing overly restrictive constraints on transmitter deployment near the geographic boundary.</w:t>
      </w:r>
    </w:p>
    <w:p w14:paraId="63DC9DA8" w14:textId="46F54189" w:rsidR="00136E26" w:rsidRPr="00C97518" w:rsidRDefault="00136E26" w:rsidP="00136E26">
      <w:r w:rsidRPr="00C97518">
        <w:t xml:space="preserve">In recent technical frameworks, development has resulted in an effective antenna height cap of 500 metres being chosen </w:t>
      </w:r>
      <w:r w:rsidR="008029AF" w:rsidRPr="00C97518">
        <w:t>(</w:t>
      </w:r>
      <w:r w:rsidRPr="00C97518">
        <w:t>though occasionally, some site scenarios may result in an effective antenna height greater than this level</w:t>
      </w:r>
      <w:r w:rsidR="008029AF" w:rsidRPr="00C97518">
        <w:t>)</w:t>
      </w:r>
      <w:r w:rsidRPr="00C97518">
        <w:t xml:space="preserve">. It is </w:t>
      </w:r>
      <w:r w:rsidR="008029AF" w:rsidRPr="00C97518">
        <w:t xml:space="preserve">proposed </w:t>
      </w:r>
      <w:r w:rsidRPr="00C97518">
        <w:t>to maintain this effective antenna height restriction in the 2 GHz band.</w:t>
      </w:r>
    </w:p>
    <w:p w14:paraId="21992EBE" w14:textId="77777777" w:rsidR="00136E26" w:rsidRPr="00C97518" w:rsidRDefault="00136E26" w:rsidP="0027403F">
      <w:pPr>
        <w:spacing w:after="80"/>
      </w:pPr>
      <w:r w:rsidRPr="00C97518">
        <w:t xml:space="preserve">Note that the implementation of the proposed methodology in </w:t>
      </w:r>
      <w:r w:rsidRPr="00C97518">
        <w:rPr>
          <w:i/>
        </w:rPr>
        <w:t>SPP 02/12</w:t>
      </w:r>
      <w:r w:rsidRPr="00C97518">
        <w:t xml:space="preserve"> – </w:t>
      </w:r>
      <w:r w:rsidRPr="00C97518">
        <w:rPr>
          <w:i/>
        </w:rPr>
        <w:t>Device boundary methodology</w:t>
      </w:r>
      <w:r w:rsidRPr="00C97518">
        <w:t xml:space="preserve"> requires the definition of two variables:</w:t>
      </w:r>
    </w:p>
    <w:p w14:paraId="0CA2FA68" w14:textId="17DE5B6B" w:rsidR="00136E26" w:rsidRPr="00C97518" w:rsidRDefault="00136E26" w:rsidP="0027403F">
      <w:pPr>
        <w:pStyle w:val="ListBullet"/>
        <w:numPr>
          <w:ilvl w:val="0"/>
          <w:numId w:val="1"/>
        </w:numPr>
      </w:pPr>
      <w:r w:rsidRPr="00C97518">
        <w:t>h</w:t>
      </w:r>
      <w:r w:rsidRPr="00C97518">
        <w:rPr>
          <w:vertAlign w:val="subscript"/>
        </w:rPr>
        <w:t>gr</w:t>
      </w:r>
      <w:r w:rsidRPr="00C97518">
        <w:t xml:space="preserve"> = nominal receive antenna height above ground level (m)</w:t>
      </w:r>
    </w:p>
    <w:p w14:paraId="636D10EA" w14:textId="77777777" w:rsidR="00136E26" w:rsidRPr="00C97518" w:rsidRDefault="00136E26" w:rsidP="0027403F">
      <w:pPr>
        <w:pStyle w:val="ListBullet"/>
        <w:numPr>
          <w:ilvl w:val="0"/>
          <w:numId w:val="1"/>
        </w:numPr>
        <w:spacing w:after="240"/>
      </w:pPr>
      <w:r w:rsidRPr="00C97518">
        <w:t>G</w:t>
      </w:r>
      <w:r w:rsidRPr="00C97518">
        <w:rPr>
          <w:vertAlign w:val="subscript"/>
        </w:rPr>
        <w:t>r</w:t>
      </w:r>
      <w:r w:rsidRPr="00C97518">
        <w:t xml:space="preserve"> = nominal receiving antenna gain including feeder loss set (dBi).</w:t>
      </w:r>
    </w:p>
    <w:p w14:paraId="4CDD17E8" w14:textId="0CEFBCF6" w:rsidR="00136E26" w:rsidRPr="00C97518" w:rsidRDefault="00136E26" w:rsidP="00136E26">
      <w:r w:rsidRPr="00C97518">
        <w:t xml:space="preserve">Based on the </w:t>
      </w:r>
      <w:r w:rsidRPr="00C97518">
        <w:rPr>
          <w:i/>
        </w:rPr>
        <w:t>LOP</w:t>
      </w:r>
      <w:r w:rsidRPr="00C97518">
        <w:t xml:space="preserve"> values derived in section </w:t>
      </w:r>
      <w:r w:rsidR="00537EFC" w:rsidRPr="00C97518">
        <w:t>C</w:t>
      </w:r>
      <w:r w:rsidRPr="00C97518">
        <w:t>2</w:t>
      </w:r>
      <w:r w:rsidR="008029AF" w:rsidRPr="00C97518">
        <w:t xml:space="preserve"> of this attachment</w:t>
      </w:r>
      <w:r w:rsidRPr="00C97518">
        <w:t xml:space="preserve">, the values for these parameters </w:t>
      </w:r>
      <w:r w:rsidR="008029AF" w:rsidRPr="00C97518">
        <w:t>are</w:t>
      </w:r>
      <w:r w:rsidRPr="00C97518">
        <w:t xml:space="preserve"> set to </w:t>
      </w:r>
      <w:r w:rsidRPr="00C97518">
        <w:rPr>
          <w:i/>
        </w:rPr>
        <w:t>h</w:t>
      </w:r>
      <w:r w:rsidRPr="00C97518">
        <w:rPr>
          <w:i/>
          <w:vertAlign w:val="subscript"/>
        </w:rPr>
        <w:t>gr</w:t>
      </w:r>
      <w:r w:rsidRPr="00C97518">
        <w:t xml:space="preserve"> = 1.5 m and </w:t>
      </w:r>
      <w:r w:rsidRPr="00C97518">
        <w:rPr>
          <w:i/>
        </w:rPr>
        <w:t>G</w:t>
      </w:r>
      <w:r w:rsidRPr="00C97518">
        <w:rPr>
          <w:i/>
          <w:vertAlign w:val="subscript"/>
        </w:rPr>
        <w:t>r</w:t>
      </w:r>
      <w:r w:rsidRPr="00C97518">
        <w:t xml:space="preserve"> = 0 dBi at the boundary. </w:t>
      </w:r>
    </w:p>
    <w:p w14:paraId="1426BFB8" w14:textId="1BA02836" w:rsidR="002E3EB5" w:rsidRPr="00C97518" w:rsidRDefault="00136E26" w:rsidP="002E3EB5">
      <w:r w:rsidRPr="00C97518">
        <w:t xml:space="preserve">Assuming a maximum base station height of 500 metres, the propagation model described in section </w:t>
      </w:r>
      <w:r w:rsidR="00537EFC" w:rsidRPr="00C97518">
        <w:t>C</w:t>
      </w:r>
      <w:r w:rsidR="00F22A5C" w:rsidRPr="00C97518">
        <w:t>3</w:t>
      </w:r>
      <w:r w:rsidRPr="00C97518">
        <w:t xml:space="preserve">, the outside the area emission limit of section </w:t>
      </w:r>
      <w:r w:rsidR="00F22A5C" w:rsidRPr="00C97518">
        <w:t>B3</w:t>
      </w:r>
      <w:r w:rsidRPr="00C97518">
        <w:t xml:space="preserve"> (</w:t>
      </w:r>
      <w:r w:rsidR="002E3EB5" w:rsidRPr="00C97518">
        <w:t>77.2</w:t>
      </w:r>
      <w:r w:rsidR="0008727F" w:rsidRPr="00C97518">
        <w:t> </w:t>
      </w:r>
      <w:r w:rsidRPr="00C97518">
        <w:t xml:space="preserve">dBm per 5 MHz) and the proposed level of protection </w:t>
      </w:r>
      <w:r w:rsidR="008029AF" w:rsidRPr="00C97518">
        <w:t>in</w:t>
      </w:r>
      <w:r w:rsidRPr="00C97518">
        <w:t xml:space="preserve"> section </w:t>
      </w:r>
      <w:r w:rsidR="00537EFC" w:rsidRPr="00C97518">
        <w:t>C</w:t>
      </w:r>
      <w:r w:rsidR="00F22A5C" w:rsidRPr="00C97518">
        <w:t>2</w:t>
      </w:r>
      <w:r w:rsidR="008029AF" w:rsidRPr="00C97518">
        <w:t xml:space="preserve"> of this attachment</w:t>
      </w:r>
      <w:r w:rsidRPr="00C97518">
        <w:t xml:space="preserve">, the maximum radial length achievable is </w:t>
      </w:r>
      <w:r w:rsidR="0008727F" w:rsidRPr="00C97518">
        <w:t xml:space="preserve">approximately </w:t>
      </w:r>
      <w:r w:rsidR="002E3EB5" w:rsidRPr="00C97518">
        <w:t>46</w:t>
      </w:r>
      <w:r w:rsidR="0008727F" w:rsidRPr="00C97518">
        <w:t xml:space="preserve"> </w:t>
      </w:r>
      <w:r w:rsidRPr="00C97518">
        <w:t>kilometres.</w:t>
      </w:r>
      <w:r w:rsidR="002E3EB5" w:rsidRPr="00C97518">
        <w:t xml:space="preserve"> This is based on a propagation loss of LOP-EIRP</w:t>
      </w:r>
      <w:r w:rsidR="002E3EB5" w:rsidRPr="00C97518">
        <w:rPr>
          <w:vertAlign w:val="subscript"/>
        </w:rPr>
        <w:t>max</w:t>
      </w:r>
      <w:r w:rsidR="002E3EB5" w:rsidRPr="00C97518">
        <w:t>-G</w:t>
      </w:r>
      <w:r w:rsidR="002E3EB5" w:rsidRPr="00C97518">
        <w:rPr>
          <w:vertAlign w:val="subscript"/>
        </w:rPr>
        <w:t>Rx</w:t>
      </w:r>
      <w:r w:rsidR="002E3EB5" w:rsidRPr="00C97518">
        <w:t xml:space="preserve"> = -96 dBm/5MHz – 77.2 – 0 = 173 dB (assuming H</w:t>
      </w:r>
      <w:r w:rsidR="002E3EB5" w:rsidRPr="00C97518">
        <w:rPr>
          <w:vertAlign w:val="subscript"/>
        </w:rPr>
        <w:t>b</w:t>
      </w:r>
      <w:r w:rsidR="002E3EB5" w:rsidRPr="00C97518">
        <w:t xml:space="preserve"> = 500m and H</w:t>
      </w:r>
      <w:r w:rsidR="002E3EB5" w:rsidRPr="00C97518">
        <w:rPr>
          <w:vertAlign w:val="subscript"/>
        </w:rPr>
        <w:t>m</w:t>
      </w:r>
      <w:r w:rsidR="002E3EB5" w:rsidRPr="00C97518">
        <w:t xml:space="preserve"> = 1.5m).</w:t>
      </w:r>
    </w:p>
    <w:p w14:paraId="69D9906E" w14:textId="51ADC75C" w:rsidR="00136E26" w:rsidRPr="00C97518" w:rsidRDefault="00136E26" w:rsidP="00136E26">
      <w:r w:rsidRPr="00C97518">
        <w:t xml:space="preserve">Therefore, devices located greater than </w:t>
      </w:r>
      <w:r w:rsidR="002E3EB5" w:rsidRPr="00C97518">
        <w:t>46</w:t>
      </w:r>
      <w:r w:rsidR="0008727F" w:rsidRPr="00C97518">
        <w:t xml:space="preserve"> </w:t>
      </w:r>
      <w:r w:rsidRPr="00C97518">
        <w:t>kilometres from the geographic boundary of the licence</w:t>
      </w:r>
      <w:r w:rsidR="00524B34" w:rsidRPr="00C97518">
        <w:t xml:space="preserve"> </w:t>
      </w:r>
      <w:r w:rsidR="00F22A5C" w:rsidRPr="00C97518">
        <w:t xml:space="preserve">that </w:t>
      </w:r>
      <w:r w:rsidRPr="00C97518">
        <w:t xml:space="preserve">meet the core conditions of the licence, are deemed to comply with the device boundary criterion </w:t>
      </w:r>
      <w:r w:rsidR="004D3FEF" w:rsidRPr="00C97518">
        <w:t>because</w:t>
      </w:r>
      <w:r w:rsidRPr="00C97518">
        <w:t xml:space="preserve"> of the radio horizon, and are taken not to cause unacceptable interference.</w:t>
      </w:r>
    </w:p>
    <w:p w14:paraId="248E6911" w14:textId="545B7178" w:rsidR="00B2671D" w:rsidRPr="00C97518" w:rsidRDefault="00D21E6B" w:rsidP="00D21E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Pr>
          <w:b/>
        </w:rPr>
        <w:t>T</w:t>
      </w:r>
      <w:r w:rsidR="00136E26" w:rsidRPr="00C97518">
        <w:rPr>
          <w:b/>
        </w:rPr>
        <w:t>he follow</w:t>
      </w:r>
      <w:r w:rsidR="008029AF" w:rsidRPr="00C97518">
        <w:rPr>
          <w:b/>
        </w:rPr>
        <w:t>ing</w:t>
      </w:r>
      <w:r w:rsidR="00136E26" w:rsidRPr="00C97518">
        <w:rPr>
          <w:b/>
        </w:rPr>
        <w:t xml:space="preserve"> parameters </w:t>
      </w:r>
      <w:r>
        <w:rPr>
          <w:b/>
        </w:rPr>
        <w:t xml:space="preserve">are proposed </w:t>
      </w:r>
      <w:r w:rsidR="00136E26" w:rsidRPr="00C97518">
        <w:rPr>
          <w:b/>
        </w:rPr>
        <w:t>for the device boundary criterion:</w:t>
      </w:r>
    </w:p>
    <w:p w14:paraId="066176F0" w14:textId="71BA171D"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nominal receive antenna height above ground level, h</w:t>
      </w:r>
      <w:r w:rsidRPr="00C97518">
        <w:rPr>
          <w:b/>
          <w:vertAlign w:val="subscript"/>
        </w:rPr>
        <w:t>gr</w:t>
      </w:r>
      <w:r w:rsidRPr="00C97518">
        <w:rPr>
          <w:b/>
        </w:rPr>
        <w:t xml:space="preserve"> = 1.5 metres </w:t>
      </w:r>
    </w:p>
    <w:p w14:paraId="641C8CC8" w14:textId="3E100857"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nominal receiving antenna gain, G</w:t>
      </w:r>
      <w:r w:rsidRPr="00C97518">
        <w:rPr>
          <w:b/>
          <w:vertAlign w:val="subscript"/>
        </w:rPr>
        <w:t xml:space="preserve">r </w:t>
      </w:r>
      <w:r w:rsidRPr="00C97518">
        <w:rPr>
          <w:b/>
        </w:rPr>
        <w:t>= 0 dBi</w:t>
      </w:r>
    </w:p>
    <w:p w14:paraId="56DB02A6" w14:textId="4EC26CF8"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maximum radial length of </w:t>
      </w:r>
      <w:r w:rsidR="002E3EB5" w:rsidRPr="00C97518">
        <w:rPr>
          <w:b/>
        </w:rPr>
        <w:t>46</w:t>
      </w:r>
      <w:r w:rsidR="0008727F" w:rsidRPr="00C97518">
        <w:rPr>
          <w:b/>
        </w:rPr>
        <w:t xml:space="preserve"> </w:t>
      </w:r>
      <w:r w:rsidR="004D3FEF" w:rsidRPr="00C97518">
        <w:rPr>
          <w:b/>
        </w:rPr>
        <w:t>kilometres.</w:t>
      </w:r>
    </w:p>
    <w:p w14:paraId="25F3CDE8" w14:textId="651C0EB4" w:rsidR="00136E26" w:rsidRPr="00C97518" w:rsidRDefault="00136E26" w:rsidP="0027403F">
      <w:pPr>
        <w:spacing w:before="240"/>
      </w:pPr>
      <w:r w:rsidRPr="00C97518">
        <w:t xml:space="preserve">An indicative Schedule 2 of the subsection 145(4) determination is provided in </w:t>
      </w:r>
      <w:r w:rsidR="00537EFC" w:rsidRPr="00C97518">
        <w:rPr>
          <w:rFonts w:cs="Arial"/>
        </w:rPr>
        <w:t xml:space="preserve">the draft of the </w:t>
      </w:r>
      <w:r w:rsidR="00537EFC" w:rsidRPr="000743A8">
        <w:rPr>
          <w:i/>
        </w:rPr>
        <w:t>Radiocommunications (Unacceptable Levels of Interference – 2 GHz Band) Determination 2016</w:t>
      </w:r>
      <w:r w:rsidR="004D3FEF" w:rsidRPr="00C97518">
        <w:rPr>
          <w:rFonts w:cs="Arial"/>
        </w:rPr>
        <w:t>,</w:t>
      </w:r>
      <w:r w:rsidR="00537EFC" w:rsidRPr="00C97518">
        <w:rPr>
          <w:rFonts w:cs="Arial"/>
        </w:rPr>
        <w:t xml:space="preserve"> available on the ACMA website</w:t>
      </w:r>
      <w:r w:rsidR="00537EFC" w:rsidRPr="00C97518">
        <w:t>.</w:t>
      </w:r>
    </w:p>
    <w:p w14:paraId="152F1181" w14:textId="2574A2A1" w:rsidR="00136E26" w:rsidRPr="00C97518" w:rsidRDefault="000743A8" w:rsidP="0027403F">
      <w:pPr>
        <w:spacing w:before="60" w:after="60"/>
      </w:pPr>
      <w:bookmarkStart w:id="83" w:name="_Ref337820541"/>
      <w:bookmarkStart w:id="84" w:name="_Ref337820548"/>
      <w:bookmarkStart w:id="85" w:name="_Toc369166809"/>
      <w:bookmarkStart w:id="86" w:name="_Toc437508125"/>
      <w:bookmarkStart w:id="87" w:name="_Toc437508430"/>
      <w:bookmarkStart w:id="88" w:name="_Toc437530163"/>
      <w:r>
        <w:rPr>
          <w:b/>
        </w:rPr>
        <w:t>Specified situations that the DBC does not apply</w:t>
      </w:r>
      <w:bookmarkEnd w:id="83"/>
      <w:bookmarkEnd w:id="84"/>
      <w:bookmarkEnd w:id="85"/>
      <w:bookmarkEnd w:id="86"/>
      <w:bookmarkEnd w:id="87"/>
      <w:bookmarkEnd w:id="88"/>
    </w:p>
    <w:p w14:paraId="2E6A654E" w14:textId="3BCBD85D" w:rsidR="000743A8" w:rsidRDefault="000743A8" w:rsidP="0027403F">
      <w:pPr>
        <w:keepNext/>
        <w:keepLines/>
        <w:spacing w:after="80"/>
      </w:pPr>
      <w:r>
        <w:t>D</w:t>
      </w:r>
      <w:r w:rsidRPr="00FB338E">
        <w:t xml:space="preserve">evices that were registered under a 2 GHz band spectrum licence that expired on 11 October 2017 </w:t>
      </w:r>
      <w:r>
        <w:t>will</w:t>
      </w:r>
      <w:r w:rsidRPr="00FB338E">
        <w:t xml:space="preserve"> be exempt from the device boundary criteria when being re-registered under a re-issued spectrum licence, provided technical parameters used for coordination do not change</w:t>
      </w:r>
    </w:p>
    <w:p w14:paraId="4A18CD90" w14:textId="1A07E0D5" w:rsidR="00136E26" w:rsidRPr="00C97518" w:rsidRDefault="00136E26" w:rsidP="0027403F">
      <w:pPr>
        <w:keepNext/>
        <w:keepLines/>
        <w:spacing w:after="80"/>
        <w:rPr>
          <w:rFonts w:cs="Arial"/>
          <w:szCs w:val="20"/>
        </w:rPr>
      </w:pPr>
      <w:r w:rsidRPr="00C97518">
        <w:t xml:space="preserve">Where a part of the device boundary lies outside the boundary of the </w:t>
      </w:r>
      <w:r w:rsidR="00312BA0" w:rsidRPr="00C97518">
        <w:t>Australian Spectrum Map Grid 2012 (</w:t>
      </w:r>
      <w:r w:rsidRPr="00C97518">
        <w:t>ASMG</w:t>
      </w:r>
      <w:r w:rsidR="00312BA0" w:rsidRPr="00C97518">
        <w:t>)</w:t>
      </w:r>
      <w:r w:rsidRPr="00C97518">
        <w:rPr>
          <w:rStyle w:val="FootnoteReference"/>
        </w:rPr>
        <w:footnoteReference w:id="25"/>
      </w:r>
      <w:r w:rsidRPr="00C97518">
        <w:t xml:space="preserve">, then </w:t>
      </w:r>
      <w:r w:rsidR="00D464BD" w:rsidRPr="00C97518">
        <w:t xml:space="preserve">further </w:t>
      </w:r>
      <w:r w:rsidRPr="00C97518">
        <w:t xml:space="preserve">additional consideration </w:t>
      </w:r>
      <w:r w:rsidR="00D464BD" w:rsidRPr="00C97518">
        <w:t>need to be given</w:t>
      </w:r>
      <w:r w:rsidRPr="00C97518">
        <w:t xml:space="preserve"> to whether the device causes a level of interference taken to be unacceptable in calculation of the device boundary. A radiocommunications transmitter operated under a spectrum licence is taken not to be unacceptable for those parts of the device boundary where the device boundary:</w:t>
      </w:r>
    </w:p>
    <w:p w14:paraId="3E2FF8D4" w14:textId="22C0D03E" w:rsidR="00C760AC" w:rsidRPr="00C97518" w:rsidRDefault="00136E26" w:rsidP="00537EFC">
      <w:pPr>
        <w:pStyle w:val="ListNumber2"/>
        <w:keepNext/>
        <w:keepLines/>
        <w:numPr>
          <w:ilvl w:val="0"/>
          <w:numId w:val="15"/>
        </w:numPr>
      </w:pPr>
      <w:r w:rsidRPr="00C97518">
        <w:t>lies outside the boundary of the ASMG; and</w:t>
      </w:r>
    </w:p>
    <w:p w14:paraId="02953686" w14:textId="5169A94B" w:rsidR="00136E26" w:rsidRPr="00C97518" w:rsidRDefault="00136E26" w:rsidP="00537EFC">
      <w:pPr>
        <w:pStyle w:val="ListNumber2"/>
        <w:keepNext/>
        <w:keepLines/>
        <w:numPr>
          <w:ilvl w:val="0"/>
          <w:numId w:val="15"/>
        </w:numPr>
      </w:pPr>
      <w:r w:rsidRPr="00C97518">
        <w:t>is connected to a radial that:</w:t>
      </w:r>
    </w:p>
    <w:p w14:paraId="22605C94" w14:textId="4C4FEC2A" w:rsidR="005D630F" w:rsidRPr="00C97518" w:rsidRDefault="005D630F" w:rsidP="00537EFC">
      <w:pPr>
        <w:pStyle w:val="ListNumber2"/>
        <w:numPr>
          <w:ilvl w:val="1"/>
          <w:numId w:val="12"/>
        </w:numPr>
        <w:ind w:left="709"/>
      </w:pPr>
      <w:r w:rsidRPr="00C97518">
        <w:t>is mentioned in Part 1 of Schedule 2</w:t>
      </w:r>
      <w:r w:rsidR="002A7AEE" w:rsidRPr="00C97518">
        <w:t xml:space="preserve"> of the subsection 145(4) determination</w:t>
      </w:r>
      <w:r w:rsidRPr="00C97518">
        <w:t>; and</w:t>
      </w:r>
    </w:p>
    <w:p w14:paraId="393F14DF" w14:textId="30A43C77" w:rsidR="00305CBF" w:rsidRPr="00C97518" w:rsidRDefault="004D3FEF" w:rsidP="0027403F">
      <w:pPr>
        <w:pStyle w:val="ListNumber2"/>
        <w:numPr>
          <w:ilvl w:val="1"/>
          <w:numId w:val="12"/>
        </w:numPr>
        <w:spacing w:after="240"/>
        <w:ind w:left="709"/>
      </w:pPr>
      <w:r w:rsidRPr="00C97518">
        <w:t>d</w:t>
      </w:r>
      <w:r w:rsidR="005D630F" w:rsidRPr="00C97518">
        <w:t>oes not cross the geographic area of another licence</w:t>
      </w:r>
      <w:r w:rsidRPr="00C97518">
        <w:t>.</w:t>
      </w:r>
    </w:p>
    <w:p w14:paraId="0F64BFBA" w14:textId="51EF36F5" w:rsidR="00EE7329" w:rsidRPr="00C97518" w:rsidRDefault="00136E26" w:rsidP="0027403F">
      <w:pPr>
        <w:rPr>
          <w:szCs w:val="20"/>
          <w:lang w:eastAsia="en-US" w:bidi="he-IL"/>
        </w:rPr>
      </w:pPr>
      <w:r w:rsidRPr="00C97518">
        <w:t xml:space="preserve">This is illustrated in </w:t>
      </w:r>
      <w:r w:rsidR="0011700E" w:rsidRPr="00C97518">
        <w:t xml:space="preserve">Figure </w:t>
      </w:r>
      <w:r w:rsidR="00537EFC" w:rsidRPr="00C97518">
        <w:t>C</w:t>
      </w:r>
      <w:r w:rsidR="00EE7329" w:rsidRPr="00C97518">
        <w:t>1</w:t>
      </w:r>
      <w:r w:rsidRPr="00C97518">
        <w:t>, where the resulting DBC pass point is located outside the ASMG, and illustrates a fail if the radial crosses the geographic area of another licence.</w:t>
      </w:r>
    </w:p>
    <w:p w14:paraId="36B614C0" w14:textId="211A4C55" w:rsidR="00EE7329" w:rsidRPr="00C97518" w:rsidRDefault="00EE7329" w:rsidP="005D4087">
      <w:pPr>
        <w:spacing w:after="120" w:line="240" w:lineRule="auto"/>
      </w:pPr>
      <w:r w:rsidRPr="00C97518">
        <w:rPr>
          <w:b/>
          <w:szCs w:val="20"/>
          <w:lang w:eastAsia="en-US" w:bidi="he-IL"/>
        </w:rPr>
        <w:t xml:space="preserve">Figure </w:t>
      </w:r>
      <w:r w:rsidR="00537EFC" w:rsidRPr="00C97518">
        <w:rPr>
          <w:b/>
          <w:szCs w:val="20"/>
          <w:lang w:eastAsia="en-US" w:bidi="he-IL"/>
        </w:rPr>
        <w:t>C</w:t>
      </w:r>
      <w:r w:rsidRPr="00C97518">
        <w:rPr>
          <w:b/>
          <w:szCs w:val="20"/>
          <w:lang w:eastAsia="en-US" w:bidi="he-IL"/>
        </w:rPr>
        <w:t xml:space="preserve">1: </w:t>
      </w:r>
      <w:r w:rsidRPr="00C97518">
        <w:rPr>
          <w:rFonts w:cs="Arial"/>
          <w:b/>
          <w:bCs/>
          <w:szCs w:val="20"/>
          <w:lang w:eastAsia="en-US" w:bidi="he-IL"/>
        </w:rPr>
        <w:t>The DBC and ASMG</w:t>
      </w:r>
    </w:p>
    <w:p w14:paraId="53A1857B" w14:textId="77777777" w:rsidR="00136E26" w:rsidRPr="00C97518" w:rsidRDefault="00136E26" w:rsidP="0027403F">
      <w:pPr>
        <w:spacing w:after="360"/>
      </w:pPr>
      <w:r w:rsidRPr="00C97518">
        <w:rPr>
          <w:noProof/>
        </w:rPr>
        <mc:AlternateContent>
          <mc:Choice Requires="wpc">
            <w:drawing>
              <wp:inline distT="0" distB="0" distL="0" distR="0" wp14:anchorId="1ABFE90B" wp14:editId="4217FC04">
                <wp:extent cx="3093085" cy="2286000"/>
                <wp:effectExtent l="0" t="0" r="50165" b="0"/>
                <wp:docPr id="16" name="Canvas 16" descr="The DBC and ASM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AutoShape 15"/>
                        <wps:cNvCnPr>
                          <a:cxnSpLocks noChangeShapeType="1"/>
                        </wps:cNvCnPr>
                        <wps:spPr bwMode="auto">
                          <a:xfrm flipV="1">
                            <a:off x="514350" y="1160145"/>
                            <a:ext cx="482600" cy="575945"/>
                          </a:xfrm>
                          <a:prstGeom prst="straightConnector1">
                            <a:avLst/>
                          </a:prstGeom>
                          <a:noFill/>
                          <a:ln w="15875">
                            <a:solidFill>
                              <a:srgbClr val="00B050"/>
                            </a:solidFill>
                            <a:round/>
                            <a:headEnd type="oval" w="med" len="med"/>
                            <a:tailEnd type="oval" w="med" len="med"/>
                          </a:ln>
                          <a:extLst>
                            <a:ext uri="{909E8E84-426E-40DD-AFC4-6F175D3DCCD1}">
                              <a14:hiddenFill xmlns:a14="http://schemas.microsoft.com/office/drawing/2010/main">
                                <a:noFill/>
                              </a14:hiddenFill>
                            </a:ext>
                          </a:extLst>
                        </wps:spPr>
                        <wps:bodyPr/>
                      </wps:wsp>
                      <wps:wsp>
                        <wps:cNvPr id="6" name="AutoShape 16"/>
                        <wps:cNvCnPr>
                          <a:cxnSpLocks noChangeShapeType="1"/>
                        </wps:cNvCnPr>
                        <wps:spPr bwMode="auto">
                          <a:xfrm rot="10800000">
                            <a:off x="0" y="260350"/>
                            <a:ext cx="1687830" cy="84328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AutoShape 17"/>
                        <wps:cNvCnPr>
                          <a:cxnSpLocks noChangeShapeType="1"/>
                        </wps:cNvCnPr>
                        <wps:spPr bwMode="auto">
                          <a:xfrm rot="5400000">
                            <a:off x="1141730" y="594995"/>
                            <a:ext cx="2123440" cy="1005840"/>
                          </a:xfrm>
                          <a:prstGeom prst="bentConnector3">
                            <a:avLst>
                              <a:gd name="adj1" fmla="val 50000"/>
                            </a:avLst>
                          </a:prstGeom>
                          <a:noFill/>
                          <a:ln w="9525">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8" name="Text Box 18"/>
                        <wps:cNvSpPr txBox="1">
                          <a:spLocks noChangeArrowheads="1"/>
                        </wps:cNvSpPr>
                        <wps:spPr bwMode="auto">
                          <a:xfrm>
                            <a:off x="2487930" y="436245"/>
                            <a:ext cx="456810" cy="37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08911" w14:textId="77777777" w:rsidR="0040559F" w:rsidRDefault="0040559F" w:rsidP="00136E26">
                              <w:r>
                                <w:t>ASMG</w:t>
                              </w:r>
                            </w:p>
                          </w:txbxContent>
                        </wps:txbx>
                        <wps:bodyPr rot="0" vert="horz" wrap="square" lIns="36000" tIns="36000" rIns="36000" bIns="36000" anchor="ctr" anchorCtr="0" upright="1">
                          <a:spAutoFit/>
                        </wps:bodyPr>
                      </wps:wsp>
                      <wps:wsp>
                        <wps:cNvPr id="9" name="Text Box 19"/>
                        <wps:cNvSpPr txBox="1">
                          <a:spLocks noChangeArrowheads="1"/>
                        </wps:cNvSpPr>
                        <wps:spPr bwMode="auto">
                          <a:xfrm>
                            <a:off x="854075" y="862965"/>
                            <a:ext cx="575945"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72B17" w14:textId="77777777" w:rsidR="0040559F" w:rsidRPr="00C90AD3" w:rsidRDefault="0040559F" w:rsidP="00136E26">
                              <w:pPr>
                                <w:rPr>
                                  <w:sz w:val="16"/>
                                </w:rPr>
                              </w:pPr>
                              <w:r>
                                <w:rPr>
                                  <w:sz w:val="16"/>
                                </w:rPr>
                                <w:t>Licensee 1</w:t>
                              </w:r>
                            </w:p>
                          </w:txbxContent>
                        </wps:txbx>
                        <wps:bodyPr rot="0" vert="horz" wrap="square" lIns="36000" tIns="36000" rIns="36000" bIns="36000" anchor="ctr" anchorCtr="0" upright="1">
                          <a:noAutofit/>
                        </wps:bodyPr>
                      </wps:wsp>
                      <wps:wsp>
                        <wps:cNvPr id="10" name="Text Box 20"/>
                        <wps:cNvSpPr txBox="1">
                          <a:spLocks noChangeArrowheads="1"/>
                        </wps:cNvSpPr>
                        <wps:spPr bwMode="auto">
                          <a:xfrm>
                            <a:off x="105410" y="347980"/>
                            <a:ext cx="575945"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0CE9FE" w14:textId="77777777" w:rsidR="0040559F" w:rsidRPr="00C90AD3" w:rsidRDefault="0040559F" w:rsidP="00136E26">
                              <w:pPr>
                                <w:rPr>
                                  <w:sz w:val="16"/>
                                </w:rPr>
                              </w:pPr>
                              <w:r>
                                <w:rPr>
                                  <w:sz w:val="16"/>
                                </w:rPr>
                                <w:t>Licensee 2</w:t>
                              </w:r>
                            </w:p>
                          </w:txbxContent>
                        </wps:txbx>
                        <wps:bodyPr rot="0" vert="horz" wrap="square" lIns="36000" tIns="36000" rIns="36000" bIns="36000" anchor="ctr" anchorCtr="0" upright="1">
                          <a:noAutofit/>
                        </wps:bodyPr>
                      </wps:wsp>
                      <wps:wsp>
                        <wps:cNvPr id="11" name="Freeform 21"/>
                        <wps:cNvSpPr>
                          <a:spLocks/>
                        </wps:cNvSpPr>
                        <wps:spPr bwMode="auto">
                          <a:xfrm>
                            <a:off x="638810" y="0"/>
                            <a:ext cx="1367155" cy="2201545"/>
                          </a:xfrm>
                          <a:custGeom>
                            <a:avLst/>
                            <a:gdLst>
                              <a:gd name="T0" fmla="*/ 0 w 2153"/>
                              <a:gd name="T1" fmla="*/ 3467 h 3467"/>
                              <a:gd name="T2" fmla="*/ 44 w 2153"/>
                              <a:gd name="T3" fmla="*/ 3390 h 3467"/>
                              <a:gd name="T4" fmla="*/ 332 w 2153"/>
                              <a:gd name="T5" fmla="*/ 3257 h 3467"/>
                              <a:gd name="T6" fmla="*/ 388 w 2153"/>
                              <a:gd name="T7" fmla="*/ 3157 h 3467"/>
                              <a:gd name="T8" fmla="*/ 476 w 2153"/>
                              <a:gd name="T9" fmla="*/ 2858 h 3467"/>
                              <a:gd name="T10" fmla="*/ 510 w 2153"/>
                              <a:gd name="T11" fmla="*/ 2825 h 3467"/>
                              <a:gd name="T12" fmla="*/ 576 w 2153"/>
                              <a:gd name="T13" fmla="*/ 2803 h 3467"/>
                              <a:gd name="T14" fmla="*/ 676 w 2153"/>
                              <a:gd name="T15" fmla="*/ 2747 h 3467"/>
                              <a:gd name="T16" fmla="*/ 764 w 2153"/>
                              <a:gd name="T17" fmla="*/ 2703 h 3467"/>
                              <a:gd name="T18" fmla="*/ 864 w 2153"/>
                              <a:gd name="T19" fmla="*/ 2614 h 3467"/>
                              <a:gd name="T20" fmla="*/ 942 w 2153"/>
                              <a:gd name="T21" fmla="*/ 2570 h 3467"/>
                              <a:gd name="T22" fmla="*/ 1041 w 2153"/>
                              <a:gd name="T23" fmla="*/ 2426 h 3467"/>
                              <a:gd name="T24" fmla="*/ 1052 w 2153"/>
                              <a:gd name="T25" fmla="*/ 2393 h 3467"/>
                              <a:gd name="T26" fmla="*/ 1086 w 2153"/>
                              <a:gd name="T27" fmla="*/ 2348 h 3467"/>
                              <a:gd name="T28" fmla="*/ 1119 w 2153"/>
                              <a:gd name="T29" fmla="*/ 2260 h 3467"/>
                              <a:gd name="T30" fmla="*/ 1274 w 2153"/>
                              <a:gd name="T31" fmla="*/ 1983 h 3467"/>
                              <a:gd name="T32" fmla="*/ 1285 w 2153"/>
                              <a:gd name="T33" fmla="*/ 1950 h 3467"/>
                              <a:gd name="T34" fmla="*/ 1418 w 2153"/>
                              <a:gd name="T35" fmla="*/ 1883 h 3467"/>
                              <a:gd name="T36" fmla="*/ 1518 w 2153"/>
                              <a:gd name="T37" fmla="*/ 1828 h 3467"/>
                              <a:gd name="T38" fmla="*/ 1640 w 2153"/>
                              <a:gd name="T39" fmla="*/ 1617 h 3467"/>
                              <a:gd name="T40" fmla="*/ 1662 w 2153"/>
                              <a:gd name="T41" fmla="*/ 1584 h 3467"/>
                              <a:gd name="T42" fmla="*/ 1695 w 2153"/>
                              <a:gd name="T43" fmla="*/ 1573 h 3467"/>
                              <a:gd name="T44" fmla="*/ 1795 w 2153"/>
                              <a:gd name="T45" fmla="*/ 1484 h 3467"/>
                              <a:gd name="T46" fmla="*/ 1872 w 2153"/>
                              <a:gd name="T47" fmla="*/ 1340 h 3467"/>
                              <a:gd name="T48" fmla="*/ 1905 w 2153"/>
                              <a:gd name="T49" fmla="*/ 1041 h 3467"/>
                              <a:gd name="T50" fmla="*/ 1939 w 2153"/>
                              <a:gd name="T51" fmla="*/ 853 h 3467"/>
                              <a:gd name="T52" fmla="*/ 2005 w 2153"/>
                              <a:gd name="T53" fmla="*/ 709 h 3467"/>
                              <a:gd name="T54" fmla="*/ 2049 w 2153"/>
                              <a:gd name="T55" fmla="*/ 643 h 3467"/>
                              <a:gd name="T56" fmla="*/ 2083 w 2153"/>
                              <a:gd name="T57" fmla="*/ 587 h 3467"/>
                              <a:gd name="T58" fmla="*/ 2138 w 2153"/>
                              <a:gd name="T59" fmla="*/ 377 h 3467"/>
                              <a:gd name="T60" fmla="*/ 2149 w 2153"/>
                              <a:gd name="T61" fmla="*/ 0 h 3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153" h="3467">
                                <a:moveTo>
                                  <a:pt x="0" y="3467"/>
                                </a:moveTo>
                                <a:cubicBezTo>
                                  <a:pt x="16" y="3442"/>
                                  <a:pt x="23" y="3411"/>
                                  <a:pt x="44" y="3390"/>
                                </a:cubicBezTo>
                                <a:cubicBezTo>
                                  <a:pt x="120" y="3314"/>
                                  <a:pt x="236" y="3289"/>
                                  <a:pt x="332" y="3257"/>
                                </a:cubicBezTo>
                                <a:cubicBezTo>
                                  <a:pt x="383" y="3180"/>
                                  <a:pt x="368" y="3216"/>
                                  <a:pt x="388" y="3157"/>
                                </a:cubicBezTo>
                                <a:cubicBezTo>
                                  <a:pt x="393" y="3049"/>
                                  <a:pt x="352" y="2899"/>
                                  <a:pt x="476" y="2858"/>
                                </a:cubicBezTo>
                                <a:cubicBezTo>
                                  <a:pt x="487" y="2847"/>
                                  <a:pt x="496" y="2833"/>
                                  <a:pt x="510" y="2825"/>
                                </a:cubicBezTo>
                                <a:cubicBezTo>
                                  <a:pt x="530" y="2814"/>
                                  <a:pt x="576" y="2803"/>
                                  <a:pt x="576" y="2803"/>
                                </a:cubicBezTo>
                                <a:cubicBezTo>
                                  <a:pt x="653" y="2752"/>
                                  <a:pt x="617" y="2767"/>
                                  <a:pt x="676" y="2747"/>
                                </a:cubicBezTo>
                                <a:cubicBezTo>
                                  <a:pt x="803" y="2652"/>
                                  <a:pt x="644" y="2762"/>
                                  <a:pt x="764" y="2703"/>
                                </a:cubicBezTo>
                                <a:cubicBezTo>
                                  <a:pt x="802" y="2684"/>
                                  <a:pt x="830" y="2638"/>
                                  <a:pt x="864" y="2614"/>
                                </a:cubicBezTo>
                                <a:cubicBezTo>
                                  <a:pt x="888" y="2597"/>
                                  <a:pt x="917" y="2586"/>
                                  <a:pt x="942" y="2570"/>
                                </a:cubicBezTo>
                                <a:cubicBezTo>
                                  <a:pt x="974" y="2521"/>
                                  <a:pt x="1000" y="2467"/>
                                  <a:pt x="1041" y="2426"/>
                                </a:cubicBezTo>
                                <a:cubicBezTo>
                                  <a:pt x="1045" y="2415"/>
                                  <a:pt x="1046" y="2403"/>
                                  <a:pt x="1052" y="2393"/>
                                </a:cubicBezTo>
                                <a:cubicBezTo>
                                  <a:pt x="1061" y="2377"/>
                                  <a:pt x="1078" y="2365"/>
                                  <a:pt x="1086" y="2348"/>
                                </a:cubicBezTo>
                                <a:cubicBezTo>
                                  <a:pt x="1152" y="2202"/>
                                  <a:pt x="1050" y="2364"/>
                                  <a:pt x="1119" y="2260"/>
                                </a:cubicBezTo>
                                <a:cubicBezTo>
                                  <a:pt x="1139" y="2177"/>
                                  <a:pt x="1212" y="2045"/>
                                  <a:pt x="1274" y="1983"/>
                                </a:cubicBezTo>
                                <a:cubicBezTo>
                                  <a:pt x="1278" y="1972"/>
                                  <a:pt x="1277" y="1958"/>
                                  <a:pt x="1285" y="1950"/>
                                </a:cubicBezTo>
                                <a:cubicBezTo>
                                  <a:pt x="1392" y="1843"/>
                                  <a:pt x="1308" y="1956"/>
                                  <a:pt x="1418" y="1883"/>
                                </a:cubicBezTo>
                                <a:cubicBezTo>
                                  <a:pt x="1494" y="1832"/>
                                  <a:pt x="1459" y="1847"/>
                                  <a:pt x="1518" y="1828"/>
                                </a:cubicBezTo>
                                <a:cubicBezTo>
                                  <a:pt x="1544" y="1750"/>
                                  <a:pt x="1583" y="1674"/>
                                  <a:pt x="1640" y="1617"/>
                                </a:cubicBezTo>
                                <a:cubicBezTo>
                                  <a:pt x="1649" y="1608"/>
                                  <a:pt x="1652" y="1592"/>
                                  <a:pt x="1662" y="1584"/>
                                </a:cubicBezTo>
                                <a:cubicBezTo>
                                  <a:pt x="1671" y="1577"/>
                                  <a:pt x="1684" y="1577"/>
                                  <a:pt x="1695" y="1573"/>
                                </a:cubicBezTo>
                                <a:cubicBezTo>
                                  <a:pt x="1771" y="1497"/>
                                  <a:pt x="1735" y="1524"/>
                                  <a:pt x="1795" y="1484"/>
                                </a:cubicBezTo>
                                <a:cubicBezTo>
                                  <a:pt x="1825" y="1438"/>
                                  <a:pt x="1842" y="1387"/>
                                  <a:pt x="1872" y="1340"/>
                                </a:cubicBezTo>
                                <a:cubicBezTo>
                                  <a:pt x="1916" y="1162"/>
                                  <a:pt x="1880" y="1332"/>
                                  <a:pt x="1905" y="1041"/>
                                </a:cubicBezTo>
                                <a:cubicBezTo>
                                  <a:pt x="1910" y="982"/>
                                  <a:pt x="1927" y="911"/>
                                  <a:pt x="1939" y="853"/>
                                </a:cubicBezTo>
                                <a:cubicBezTo>
                                  <a:pt x="1950" y="795"/>
                                  <a:pt x="1972" y="759"/>
                                  <a:pt x="2005" y="709"/>
                                </a:cubicBezTo>
                                <a:cubicBezTo>
                                  <a:pt x="2020" y="687"/>
                                  <a:pt x="2049" y="643"/>
                                  <a:pt x="2049" y="643"/>
                                </a:cubicBezTo>
                                <a:cubicBezTo>
                                  <a:pt x="2079" y="550"/>
                                  <a:pt x="2037" y="661"/>
                                  <a:pt x="2083" y="587"/>
                                </a:cubicBezTo>
                                <a:cubicBezTo>
                                  <a:pt x="2110" y="544"/>
                                  <a:pt x="2125" y="428"/>
                                  <a:pt x="2138" y="377"/>
                                </a:cubicBezTo>
                                <a:cubicBezTo>
                                  <a:pt x="2153" y="133"/>
                                  <a:pt x="2149" y="258"/>
                                  <a:pt x="2149"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2"/>
                        <wps:cNvSpPr txBox="1">
                          <a:spLocks noChangeArrowheads="1"/>
                        </wps:cNvSpPr>
                        <wps:spPr bwMode="auto">
                          <a:xfrm>
                            <a:off x="1746885" y="103505"/>
                            <a:ext cx="5041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9B0E7" w14:textId="77777777" w:rsidR="0040559F" w:rsidRPr="00C90AD3" w:rsidRDefault="0040559F" w:rsidP="00136E26">
                              <w:pPr>
                                <w:rPr>
                                  <w:sz w:val="16"/>
                                </w:rPr>
                              </w:pPr>
                              <w:r w:rsidRPr="00C90AD3">
                                <w:rPr>
                                  <w:sz w:val="16"/>
                                </w:rPr>
                                <w:t>Coastline</w:t>
                              </w:r>
                            </w:p>
                          </w:txbxContent>
                        </wps:txbx>
                        <wps:bodyPr rot="0" vert="horz" wrap="square" lIns="36000" tIns="36000" rIns="36000" bIns="36000" anchor="ctr" anchorCtr="0" upright="1">
                          <a:noAutofit/>
                        </wps:bodyPr>
                      </wps:wsp>
                      <wps:wsp>
                        <wps:cNvPr id="13" name="AutoShape 23"/>
                        <wps:cNvCnPr>
                          <a:cxnSpLocks noChangeShapeType="1"/>
                        </wps:cNvCnPr>
                        <wps:spPr bwMode="auto">
                          <a:xfrm flipV="1">
                            <a:off x="511810" y="774065"/>
                            <a:ext cx="2581275" cy="963295"/>
                          </a:xfrm>
                          <a:prstGeom prst="straightConnector1">
                            <a:avLst/>
                          </a:prstGeom>
                          <a:noFill/>
                          <a:ln w="15875">
                            <a:solidFill>
                              <a:srgbClr val="FF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14" name="AutoShape 24"/>
                        <wps:cNvCnPr>
                          <a:cxnSpLocks noChangeShapeType="1"/>
                        </wps:cNvCnPr>
                        <wps:spPr bwMode="auto">
                          <a:xfrm flipV="1">
                            <a:off x="509905" y="1320800"/>
                            <a:ext cx="2566670" cy="421005"/>
                          </a:xfrm>
                          <a:prstGeom prst="straightConnector1">
                            <a:avLst/>
                          </a:prstGeom>
                          <a:noFill/>
                          <a:ln w="15875">
                            <a:solidFill>
                              <a:srgbClr val="00B050"/>
                            </a:solidFill>
                            <a:round/>
                            <a:headEnd type="oval" w="med" len="med"/>
                            <a:tailEnd type="oval" w="med" len="med"/>
                          </a:ln>
                          <a:extLst>
                            <a:ext uri="{909E8E84-426E-40DD-AFC4-6F175D3DCCD1}">
                              <a14:hiddenFill xmlns:a14="http://schemas.microsoft.com/office/drawing/2010/main">
                                <a:noFill/>
                              </a14:hiddenFill>
                            </a:ext>
                          </a:extLst>
                        </wps:spPr>
                        <wps:bodyPr/>
                      </wps:wsp>
                      <wps:wsp>
                        <wps:cNvPr id="15" name="Oval 25"/>
                        <wps:cNvSpPr>
                          <a:spLocks noChangeArrowheads="1"/>
                        </wps:cNvSpPr>
                        <wps:spPr bwMode="auto">
                          <a:xfrm>
                            <a:off x="406400" y="1653540"/>
                            <a:ext cx="189865" cy="1898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1ABFE90B" id="Canvas 16" o:spid="_x0000_s1026" editas="canvas" alt="The DBC and ASMG" style="width:243.55pt;height:180pt;mso-position-horizontal-relative:char;mso-position-vertical-relative:line" coordsize="3093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e DBC and ASMG" style="position:absolute;width:30930;height:22860;visibility:visible;mso-wrap-style:square">
                  <v:fill o:detectmouseclick="t"/>
                  <v:path o:connecttype="none"/>
                </v:shape>
                <v:shapetype id="_x0000_t32" coordsize="21600,21600" o:spt="32" o:oned="t" path="m,l21600,21600e" filled="f">
                  <v:path arrowok="t" fillok="f" o:connecttype="none"/>
                  <o:lock v:ext="edit" shapetype="t"/>
                </v:shapetype>
                <v:shape id="AutoShape 15" o:spid="_x0000_s1028" type="#_x0000_t32" style="position:absolute;left:5143;top:11601;width:4826;height:57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4HIsQAAADaAAAADwAAAGRycy9kb3ducmV2LnhtbESPQWsCMRSE70L/Q3iF3jSxtGJXo5Rl&#10;C71UcFsK3h7Jc3dx87JsUl37640geBxm5htmuR5cK47Uh8azhulEgSA23jZcafj5/hjPQYSIbLH1&#10;TBrOFGC9ehgtMbP+xFs6lrESCcIhQw11jF0mZTA1OQwT3xEnb+97hzHJvpK2x1OCu1Y+KzWTDhtO&#10;CzV2lNdkDuWf06DOhSnNv935l438fcuVmn8VB62fHof3BYhIQ7yHb+1Pq+EVrlfSDZCr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gcixAAAANoAAAAPAAAAAAAAAAAA&#10;AAAAAKECAABkcnMvZG93bnJldi54bWxQSwUGAAAAAAQABAD5AAAAkgMAAAAA&#10;" strokecolor="#00b050" strokeweight="1.25pt">
                  <v:stroke startarrow="oval" endarrow="oval"/>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 o:spid="_x0000_s1029" type="#_x0000_t34" style="position:absolute;top:2603;width:16878;height:8433;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z9TMEAAADaAAAADwAAAGRycy9kb3ducmV2LnhtbESPS4sCMRCE78L+h9ALXmTN7ILOOhpl&#10;kRX06OPirZn0PHDSGZLojP/eCILHoqq+ohar3jTiRs7XlhV8jxMQxLnVNZcKTsfN1y8IH5A1NpZJ&#10;wZ08rJYfgwVm2na8p9shlCJC2GeooAqhzaT0eUUG/di2xNErrDMYonSl1A67CDeN/EmSqTRYc1yo&#10;sKV1RfnlcDUKNqP06GT9P5tRR+mkSOV5lxZKDT/7vzmIQH14h1/trVYwheeVeAP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P1MwQAAANoAAAAPAAAAAAAAAAAAAAAA&#10;AKECAABkcnMvZG93bnJldi54bWxQSwUGAAAAAAQABAD5AAAAjwMAAAAA&#10;"/>
                <v:shape id="AutoShape 17" o:spid="_x0000_s1030" type="#_x0000_t34" style="position:absolute;left:11416;top:5950;width:21235;height:1005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DvpsEAAADaAAAADwAAAGRycy9kb3ducmV2LnhtbESPT4vCMBTE7wt+h/AEb2uqLup2jSKC&#10;oMf6Bzw+mrdN2ealNLFWP/1GEDwOM/MbZrHqbCVaanzpWMFomIAgzp0uuVBwOm4/5yB8QNZYOSYF&#10;d/KwWvY+Fphqd+OM2kMoRISwT1GBCaFOpfS5IYt+6Gri6P26xmKIsimkbvAW4baS4ySZSoslxwWD&#10;NW0M5X+Hq1UQYV/f9+y8nsjj+fLY781l22ZKDfrd+gdEoC68w6/2TiuYwfNKv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O+mwQAAANoAAAAPAAAAAAAAAAAAAAAA&#10;AKECAABkcnMvZG93bnJldi54bWxQSwUGAAAAAAQABAD5AAAAjwMAAAAA&#10;">
                  <v:stroke dashstyle="longDash"/>
                </v:shape>
                <v:shapetype id="_x0000_t202" coordsize="21600,21600" o:spt="202" path="m,l,21600r21600,l21600,xe">
                  <v:stroke joinstyle="miter"/>
                  <v:path gradientshapeok="t" o:connecttype="rect"/>
                </v:shapetype>
                <v:shape id="Text Box 18" o:spid="_x0000_s1031" type="#_x0000_t202" style="position:absolute;left:24879;top:4362;width:4568;height:37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I/MEA&#10;AADaAAAADwAAAGRycy9kb3ducmV2LnhtbERPy2oCMRTdF/oP4Rbc1cy4KGU0ii0tCHVRpwVxd5nc&#10;eejkJkwyD/16syh0eTjv1WYyrRio841lBek8AUFcWN1wpeD35/P5FYQPyBpby6TgSh4268eHFWba&#10;jnygIQ+ViCHsM1RQh+AyKX1Rk0E/t444cqXtDIYIu0rqDscYblq5SJIXabDh2FCjo/eaikveGwX9&#10;7S05YnrG79NXPuzHD1fmpVNq9jRtlyACTeFf/OfeaQVxa7wSb4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yPzBAAAA2gAAAA8AAAAAAAAAAAAAAAAAmAIAAGRycy9kb3du&#10;cmV2LnhtbFBLBQYAAAAABAAEAPUAAACGAwAAAAA=&#10;" stroked="f">
                  <v:textbox style="mso-fit-shape-to-text:t" inset="1mm,1mm,1mm,1mm">
                    <w:txbxContent>
                      <w:p w14:paraId="4D308911" w14:textId="77777777" w:rsidR="0040559F" w:rsidRDefault="0040559F" w:rsidP="00136E26">
                        <w:r>
                          <w:t>ASMG</w:t>
                        </w:r>
                      </w:p>
                    </w:txbxContent>
                  </v:textbox>
                </v:shape>
                <v:shape id="Text Box 19" o:spid="_x0000_s1032" type="#_x0000_t202" style="position:absolute;left:8540;top:8629;width:5760;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nUcMA&#10;AADaAAAADwAAAGRycy9kb3ducmV2LnhtbESPT4vCMBTE74LfIbwFL6KpHlytRhGlu+JF/IPnZ/Ns&#10;yzYvpYm2++03C4LHYWZ+wyxWrSnFk2pXWFYwGkYgiFOrC84UXM7JYArCeWSNpWVS8EsOVstuZ4Gx&#10;tg0f6XnymQgQdjEqyL2vYildmpNBN7QVcfDutjbog6wzqWtsAtyUchxFE2mw4LCQY0WbnNKf08Mo&#10;sGZ7+0z2h+99f7e5zraTpLl+lUr1Ptr1HISn1r/Dr/ZOK5jB/5V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nUcMAAADaAAAADwAAAAAAAAAAAAAAAACYAgAAZHJzL2Rv&#10;d25yZXYueG1sUEsFBgAAAAAEAAQA9QAAAIgDAAAAAA==&#10;" stroked="f">
                  <v:textbox inset="1mm,1mm,1mm,1mm">
                    <w:txbxContent>
                      <w:p w14:paraId="5A072B17" w14:textId="77777777" w:rsidR="0040559F" w:rsidRPr="00C90AD3" w:rsidRDefault="0040559F" w:rsidP="00136E26">
                        <w:pPr>
                          <w:rPr>
                            <w:sz w:val="16"/>
                          </w:rPr>
                        </w:pPr>
                        <w:r>
                          <w:rPr>
                            <w:sz w:val="16"/>
                          </w:rPr>
                          <w:t>Licensee 1</w:t>
                        </w:r>
                      </w:p>
                    </w:txbxContent>
                  </v:textbox>
                </v:shape>
                <v:shape id="Text Box 20" o:spid="_x0000_s1033" type="#_x0000_t202" style="position:absolute;left:1054;top:3479;width:5759;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tp3cUA&#10;AADbAAAADwAAAGRycy9kb3ducmV2LnhtbESPQW/CMAyF70j8h8hIu6CRbgfYOgKaQGWIC1o3cfYa&#10;r63WOFUTaPfv8QGJm633/N7n5XpwjbpQF2rPBp5mCSjiwtuaSwPfX9njC6gQkS02nsnAPwVYr8aj&#10;JabW9/xJlzyWSkI4pGigirFNtQ5FRQ7DzLfEov36zmGUtSu17bCXcNfo5ySZa4c1S0OFLW0qKv7y&#10;szPg3fZnkR2OH4fpfnN63c6z/rRrjHmYDO9voCIN8W6+Xe+t4Au9/CID6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2ndxQAAANsAAAAPAAAAAAAAAAAAAAAAAJgCAABkcnMv&#10;ZG93bnJldi54bWxQSwUGAAAAAAQABAD1AAAAigMAAAAA&#10;" stroked="f">
                  <v:textbox inset="1mm,1mm,1mm,1mm">
                    <w:txbxContent>
                      <w:p w14:paraId="600CE9FE" w14:textId="77777777" w:rsidR="0040559F" w:rsidRPr="00C90AD3" w:rsidRDefault="0040559F" w:rsidP="00136E26">
                        <w:pPr>
                          <w:rPr>
                            <w:sz w:val="16"/>
                          </w:rPr>
                        </w:pPr>
                        <w:r>
                          <w:rPr>
                            <w:sz w:val="16"/>
                          </w:rPr>
                          <w:t>Licensee 2</w:t>
                        </w:r>
                      </w:p>
                    </w:txbxContent>
                  </v:textbox>
                </v:shape>
                <v:shape id="Freeform 21" o:spid="_x0000_s1034" style="position:absolute;left:6388;width:13671;height:22015;visibility:visible;mso-wrap-style:square;v-text-anchor:top" coordsize="2153,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zyBsAA&#10;AADbAAAADwAAAGRycy9kb3ducmV2LnhtbERPTYvCMBC9C/6HMII3TV1EpGsUEQruZcGq7B6HZrat&#10;NpOSZLX6640geJvH+5zFqjONuJDztWUFk3ECgriwuuZSwWGfjeYgfEDW2FgmBTfysFr2ewtMtb3y&#10;ji55KEUMYZ+igiqENpXSFxUZ9GPbEkfuzzqDIUJXSu3wGsNNIz+SZCYN1hwbKmxpU1Fxzv+Ngr07&#10;3e+0/fn2mZ2S/cqP01/MlBoOuvUniEBdeItf7q2O8yfw/CUe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BzyBsAAAADbAAAADwAAAAAAAAAAAAAAAACYAgAAZHJzL2Rvd25y&#10;ZXYueG1sUEsFBgAAAAAEAAQA9QAAAIUDAAAAAA==&#10;" path="m,3467v16,-25,23,-56,44,-77c120,3314,236,3289,332,3257v51,-77,36,-41,56,-100c393,3049,352,2899,476,2858v11,-11,20,-25,34,-33c530,2814,576,2803,576,2803v77,-51,41,-36,100,-56c803,2652,644,2762,764,2703v38,-19,66,-65,100,-89c888,2597,917,2586,942,2570v32,-49,58,-103,99,-144c1045,2415,1046,2403,1052,2393v9,-16,26,-28,34,-45c1152,2202,1050,2364,1119,2260v20,-83,93,-215,155,-277c1278,1972,1277,1958,1285,1950v107,-107,23,6,133,-67c1494,1832,1459,1847,1518,1828v26,-78,65,-154,122,-211c1649,1608,1652,1592,1662,1584v9,-7,22,-7,33,-11c1771,1497,1735,1524,1795,1484v30,-46,47,-97,77,-144c1916,1162,1880,1332,1905,1041v5,-59,22,-130,34,-188c1950,795,1972,759,2005,709v15,-22,44,-66,44,-66c2079,550,2037,661,2083,587v27,-43,42,-159,55,-210c2153,133,2149,258,2149,e" filled="f">
                  <v:path arrowok="t" o:connecttype="custom" o:connectlocs="0,2201545;27940,2152650;210820,2068195;246380,2004695;302260,1814830;323850,1793875;365760,1779905;429260,1744345;485140,1716405;548640,1659890;598170,1631950;661035,1540510;668020,1519555;689610,1490980;710565,1435100;808990,1259205;815975,1238250;900430,1195705;963930,1160780;1041400,1026795;1055370,1005840;1076325,998855;1139825,942340;1188720,850900;1209675,661035;1231265,541655;1273175,450215;1301115,408305;1322705,372745;1357630,239395;1364615,0" o:connectangles="0,0,0,0,0,0,0,0,0,0,0,0,0,0,0,0,0,0,0,0,0,0,0,0,0,0,0,0,0,0,0"/>
                </v:shape>
                <v:shape id="Text Box 22" o:spid="_x0000_s1035" type="#_x0000_t202" style="position:absolute;left:17468;top:1035;width:5042;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McMA&#10;AADbAAAADwAAAGRycy9kb3ducmV2LnhtbERPTWvCQBC9F/wPywi9FLPRQ1rTrCJK2uBFquJ5mh2T&#10;YHY2ZLcm/ffdQqG3ebzPydajacWdetdYVjCPYhDEpdUNVwrOp3z2AsJ5ZI2tZVLwTQ7Wq8lDhqm2&#10;A3/Q/egrEULYpaig9r5LpXRlTQZdZDviwF1tb9AH2FdS9ziEcNPKRRwn0mDDoaHGjrY1lbfjl1Fg&#10;ze7zOd8f3vdPxfay3CX5cHlrlXqcjptXEJ5G/y/+cxc6zF/A7y/h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SMcMAAADbAAAADwAAAAAAAAAAAAAAAACYAgAAZHJzL2Rv&#10;d25yZXYueG1sUEsFBgAAAAAEAAQA9QAAAIgDAAAAAA==&#10;" stroked="f">
                  <v:textbox inset="1mm,1mm,1mm,1mm">
                    <w:txbxContent>
                      <w:p w14:paraId="6A79B0E7" w14:textId="77777777" w:rsidR="0040559F" w:rsidRPr="00C90AD3" w:rsidRDefault="0040559F" w:rsidP="00136E26">
                        <w:pPr>
                          <w:rPr>
                            <w:sz w:val="16"/>
                          </w:rPr>
                        </w:pPr>
                        <w:r w:rsidRPr="00C90AD3">
                          <w:rPr>
                            <w:sz w:val="16"/>
                          </w:rPr>
                          <w:t>Coastline</w:t>
                        </w:r>
                      </w:p>
                    </w:txbxContent>
                  </v:textbox>
                </v:shape>
                <v:shape id="AutoShape 23" o:spid="_x0000_s1036" type="#_x0000_t32" style="position:absolute;left:5118;top:7740;width:25812;height:96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0D8EAAADbAAAADwAAAGRycy9kb3ducmV2LnhtbERPTWvCQBC9C/6HZQRvurEtUtNspChF&#10;b1Zb8Dpmp9lgdjZm1xj/fVco9DaP9znZsre16Kj1lWMFs2kCgrhwuuJSwffXx+QVhA/IGmvHpOBO&#10;Hpb5cJBhqt2N99QdQiliCPsUFZgQmlRKXxiy6KeuIY7cj2sthgjbUuoWbzHc1vIpSebSYsWxwWBD&#10;K0PF+XC1CrrdJzdH87Kwl321OoU13xfzjVLjUf/+BiJQH/7Ff+6tjvOf4fFLPEDm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iTQPwQAAANsAAAAPAAAAAAAAAAAAAAAA&#10;AKECAABkcnMvZG93bnJldi54bWxQSwUGAAAAAAQABAD5AAAAjwMAAAAA&#10;" strokecolor="red" strokeweight="1.25pt">
                  <v:stroke startarrow="oval" endarrow="oval"/>
                </v:shape>
                <v:shape id="AutoShape 24" o:spid="_x0000_s1037" type="#_x0000_t32" style="position:absolute;left:5099;top:13208;width:25666;height:42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AWIcEAAADbAAAADwAAAGRycy9kb3ducmV2LnhtbERPTWsCMRC9F/wPYQRvNamI6NYoRRS8&#10;KHQVwduQTHcXN5NlE3X115tCobd5vM+ZLztXixu1ofKs4WOoQBAbbysuNBwPm/cpiBCRLdaeScOD&#10;AiwXvbc5Ztbf+ZtueSxECuGQoYYyxiaTMpiSHIahb4gT9+NbhzHBtpC2xXsKd7UcKTWRDitODSU2&#10;tCrJXPKr06Aea5Obpz378V6eZiulprv1RetBv/v6BBGpi//iP/fWpvlj+P0lHS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QBYhwQAAANsAAAAPAAAAAAAAAAAAAAAA&#10;AKECAABkcnMvZG93bnJldi54bWxQSwUGAAAAAAQABAD5AAAAjwMAAAAA&#10;" strokecolor="#00b050" strokeweight="1.25pt">
                  <v:stroke startarrow="oval" endarrow="oval"/>
                </v:shape>
                <v:oval id="Oval 25" o:spid="_x0000_s1038" style="position:absolute;left:4064;top:16535;width:189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w10:anchorlock/>
              </v:group>
            </w:pict>
          </mc:Fallback>
        </mc:AlternateContent>
      </w:r>
    </w:p>
    <w:p w14:paraId="1739892C" w14:textId="37F28B55" w:rsidR="00672D35" w:rsidRPr="00C97518" w:rsidRDefault="00537EFC" w:rsidP="00BC2A05">
      <w:pPr>
        <w:pStyle w:val="Heading2"/>
      </w:pPr>
      <w:bookmarkStart w:id="89" w:name="_Toc437508126"/>
      <w:bookmarkStart w:id="90" w:name="_Toc437508431"/>
      <w:bookmarkStart w:id="91" w:name="_Toc437530164"/>
      <w:bookmarkStart w:id="92" w:name="_Toc444690641"/>
      <w:r w:rsidRPr="00C97518">
        <w:t>C</w:t>
      </w:r>
      <w:r w:rsidR="00D92412" w:rsidRPr="00C97518">
        <w:t>5</w:t>
      </w:r>
      <w:r w:rsidR="007C6A1D" w:rsidRPr="00C97518">
        <w:t xml:space="preserve"> </w:t>
      </w:r>
      <w:r w:rsidR="00473CE6" w:rsidRPr="00C97518">
        <w:tab/>
      </w:r>
      <w:r w:rsidR="007C6A1D" w:rsidRPr="00C97518">
        <w:t>Groups of transmitters and receivers</w:t>
      </w:r>
      <w:bookmarkEnd w:id="89"/>
      <w:bookmarkEnd w:id="90"/>
      <w:bookmarkEnd w:id="91"/>
      <w:bookmarkEnd w:id="92"/>
    </w:p>
    <w:p w14:paraId="379A4A50" w14:textId="0C51FE45" w:rsidR="00F967EC" w:rsidRPr="00C97518" w:rsidRDefault="00F967EC" w:rsidP="00F967EC">
      <w:r w:rsidRPr="00C97518">
        <w:t>Group registration arrangements provide additional flexibility to licensees when deploying systems within the band. Two or more fixed transmitters may be registered as a group of transmitters if all transmitters in the group have the same centre frequency</w:t>
      </w:r>
      <w:r w:rsidR="004D3FEF" w:rsidRPr="00C97518">
        <w:t xml:space="preserve"> and </w:t>
      </w:r>
      <w:r w:rsidRPr="00C97518">
        <w:t>emission designator</w:t>
      </w:r>
      <w:r w:rsidR="004D3FEF" w:rsidRPr="00C97518">
        <w:t>,</w:t>
      </w:r>
      <w:r w:rsidRPr="00C97518">
        <w:t xml:space="preserve"> and the associated antennas have the same identification number.</w:t>
      </w:r>
    </w:p>
    <w:p w14:paraId="355812FF" w14:textId="6F999346" w:rsidR="007C6A1D" w:rsidRPr="00C97518" w:rsidRDefault="00F967EC" w:rsidP="004D3FEF">
      <w:r w:rsidRPr="00C97518">
        <w:t>Two or more fixed receivers may be registered as a group of receivers if the associated antennas have the same identification number and all receivers are associated with either a single transmitter or a group.</w:t>
      </w:r>
    </w:p>
    <w:p w14:paraId="1A6D566F" w14:textId="59E1EFE3" w:rsidR="00F967EC" w:rsidRPr="00C97518" w:rsidRDefault="00F967EC" w:rsidP="004D3FEF">
      <w:r w:rsidRPr="00C97518">
        <w:t>Current arrangements permit a fixed transmitter or receiver to belong to more than one group.</w:t>
      </w:r>
    </w:p>
    <w:p w14:paraId="205E709C" w14:textId="4C5346C4" w:rsidR="00F967EC" w:rsidRPr="00C97518" w:rsidRDefault="00F967EC" w:rsidP="004D3FEF">
      <w:r w:rsidRPr="00C97518">
        <w:t xml:space="preserve">In the TLGs for the 800 MHz, 1800 MHz, 700 MHz and 2.5 GHz bands, the consensus was for group registration to primarily support the registration of systems that have their antenna phase centres located within a defined proximity (20 metres in this case). Additionally, the parameters of the equipment being considered in the group should be essentially identical, and a </w:t>
      </w:r>
      <w:r w:rsidR="002A7AEE" w:rsidRPr="00C97518">
        <w:t xml:space="preserve">radiocommunications </w:t>
      </w:r>
      <w:r w:rsidRPr="00C97518">
        <w:t xml:space="preserve">transmitter or </w:t>
      </w:r>
      <w:r w:rsidR="002A7AEE" w:rsidRPr="00C97518">
        <w:t xml:space="preserve">radiocommunications </w:t>
      </w:r>
      <w:r w:rsidRPr="00C97518">
        <w:t>receiver can only belong to one group.</w:t>
      </w:r>
    </w:p>
    <w:p w14:paraId="56DB40BF" w14:textId="31CEA3E5" w:rsidR="00F967EC" w:rsidRPr="00C97518" w:rsidRDefault="00F967EC" w:rsidP="00C65E91">
      <w:r w:rsidRPr="00C97518">
        <w:t>The ACMA propose</w:t>
      </w:r>
      <w:r w:rsidR="004D3FEF" w:rsidRPr="00C97518">
        <w:t>s</w:t>
      </w:r>
      <w:r w:rsidRPr="00C97518">
        <w:t xml:space="preserve"> that when determining the location of a group of radiocommunications transmitters, the location is the centre point between the phase centre</w:t>
      </w:r>
      <w:r w:rsidR="002A7AEE" w:rsidRPr="00C97518">
        <w:t>s</w:t>
      </w:r>
      <w:r w:rsidRPr="00C97518">
        <w:t xml:space="preserve"> of each radiocommunications transmitter antenna within the group.</w:t>
      </w:r>
    </w:p>
    <w:p w14:paraId="7FD37762" w14:textId="2D5DE78A" w:rsidR="00F967EC" w:rsidRPr="00C97518" w:rsidRDefault="00F967EC" w:rsidP="00C65E91">
      <w:r w:rsidRPr="00C97518">
        <w:t>The</w:t>
      </w:r>
      <w:r w:rsidR="002A7AEE" w:rsidRPr="00C97518">
        <w:t xml:space="preserve"> proposed </w:t>
      </w:r>
      <w:r w:rsidRPr="00C97518">
        <w:t xml:space="preserve">implementation of group registration applicable in the 2 GHz band is provided in </w:t>
      </w:r>
      <w:r w:rsidR="00537EFC" w:rsidRPr="00C97518">
        <w:rPr>
          <w:rFonts w:cs="Arial"/>
        </w:rPr>
        <w:t xml:space="preserve">the draft of the </w:t>
      </w:r>
      <w:r w:rsidR="00537EFC" w:rsidRPr="00C97518">
        <w:t>Radiocommunications (Unacceptable Levels of Interference – 2 GHz Band) Determination 2016</w:t>
      </w:r>
      <w:r w:rsidR="004D3FEF" w:rsidRPr="00C97518">
        <w:rPr>
          <w:rFonts w:cs="Arial"/>
        </w:rPr>
        <w:t>,</w:t>
      </w:r>
      <w:r w:rsidR="00537EFC" w:rsidRPr="00C97518">
        <w:rPr>
          <w:rFonts w:cs="Arial"/>
        </w:rPr>
        <w:t xml:space="preserve"> available on the ACMA website</w:t>
      </w:r>
      <w:r w:rsidRPr="00C97518">
        <w:t>.</w:t>
      </w:r>
    </w:p>
    <w:p w14:paraId="67DF6504" w14:textId="77A08673" w:rsidR="007C6A1D" w:rsidRPr="00C97518" w:rsidRDefault="00537EFC" w:rsidP="007C6A1D">
      <w:pPr>
        <w:pStyle w:val="Heading2"/>
      </w:pPr>
      <w:bookmarkStart w:id="93" w:name="_Toc437508127"/>
      <w:bookmarkStart w:id="94" w:name="_Toc437508432"/>
      <w:bookmarkStart w:id="95" w:name="_Toc437530165"/>
      <w:bookmarkStart w:id="96" w:name="_Toc444690642"/>
      <w:r w:rsidRPr="00C97518">
        <w:t>C</w:t>
      </w:r>
      <w:r w:rsidR="00A8552C" w:rsidRPr="00C97518">
        <w:t>6</w:t>
      </w:r>
      <w:r w:rsidR="007C6A1D" w:rsidRPr="00C97518">
        <w:t xml:space="preserve"> </w:t>
      </w:r>
      <w:r w:rsidR="00473CE6" w:rsidRPr="00C97518">
        <w:tab/>
      </w:r>
      <w:r w:rsidR="007C6A1D" w:rsidRPr="00C97518">
        <w:t>Deployment constraints</w:t>
      </w:r>
      <w:bookmarkEnd w:id="93"/>
      <w:bookmarkEnd w:id="94"/>
      <w:bookmarkEnd w:id="95"/>
      <w:bookmarkEnd w:id="96"/>
    </w:p>
    <w:p w14:paraId="414CF102" w14:textId="5DD41134" w:rsidR="00BC2A05" w:rsidRPr="00C97518" w:rsidRDefault="009A1F21" w:rsidP="00C65E91">
      <w:r w:rsidRPr="00C97518">
        <w:t>The existing 2 GHz technical framework permit</w:t>
      </w:r>
      <w:r w:rsidR="002A7AEE" w:rsidRPr="00C97518">
        <w:t>s</w:t>
      </w:r>
      <w:r w:rsidRPr="00C97518">
        <w:t xml:space="preserve"> high altitude platform stations (HAPS) located on an object 20 to 50 </w:t>
      </w:r>
      <w:r w:rsidR="004D3FEF" w:rsidRPr="00C97518">
        <w:t xml:space="preserve">kilometres </w:t>
      </w:r>
      <w:r w:rsidRPr="00C97518">
        <w:t xml:space="preserve">in altitude, at a specified, nominal, fixed point relative to the earth. </w:t>
      </w:r>
    </w:p>
    <w:p w14:paraId="47E960AE" w14:textId="74110758" w:rsidR="009A1F21" w:rsidRPr="00C97518" w:rsidRDefault="009A1F21" w:rsidP="00C65E91">
      <w:r w:rsidRPr="00C97518">
        <w:t xml:space="preserve">Notionally, the HAPS station </w:t>
      </w:r>
      <w:r w:rsidR="002A7AEE" w:rsidRPr="00C97518">
        <w:t>i</w:t>
      </w:r>
      <w:r w:rsidRPr="00C97518">
        <w:t xml:space="preserve">s taken not to cause unacceptable interference if it </w:t>
      </w:r>
      <w:r w:rsidR="002A7AEE" w:rsidRPr="00C97518">
        <w:t xml:space="preserve">is </w:t>
      </w:r>
      <w:r w:rsidRPr="00C97518">
        <w:t>operated in accordance with the core condition</w:t>
      </w:r>
      <w:r w:rsidR="002A7AEE" w:rsidRPr="00C97518">
        <w:t>s</w:t>
      </w:r>
      <w:r w:rsidRPr="00C97518">
        <w:t xml:space="preserve"> of the licence.</w:t>
      </w:r>
    </w:p>
    <w:p w14:paraId="1E619075" w14:textId="5DDE0F10" w:rsidR="009A1F21" w:rsidRPr="00C97518" w:rsidRDefault="009A1F21" w:rsidP="00C65E91">
      <w:r w:rsidRPr="00C97518">
        <w:t>It is proposed</w:t>
      </w:r>
      <w:r w:rsidR="002A7AEE" w:rsidRPr="00C97518">
        <w:t>,</w:t>
      </w:r>
      <w:r w:rsidRPr="00C97518">
        <w:t xml:space="preserve"> rather than make the HAPS transmitters </w:t>
      </w:r>
      <w:r w:rsidR="002A7AEE" w:rsidRPr="00C97518">
        <w:t>subject to</w:t>
      </w:r>
      <w:r w:rsidRPr="00C97518">
        <w:t xml:space="preserve"> registration under the new framework, that they be exempt from registration. See section B4</w:t>
      </w:r>
      <w:r w:rsidR="002A7AEE" w:rsidRPr="00C97518">
        <w:t xml:space="preserve"> of attachment B to this consultation paper</w:t>
      </w:r>
      <w:r w:rsidRPr="00C97518">
        <w:t xml:space="preserve"> for further detail.</w:t>
      </w:r>
    </w:p>
    <w:p w14:paraId="5F64096A" w14:textId="69763453" w:rsidR="003F1895" w:rsidRPr="00C97518" w:rsidRDefault="003F1895" w:rsidP="00C65E91">
      <w:r w:rsidRPr="00C97518">
        <w:t xml:space="preserve">Licensees should be aware that constraints apply to some transmitters operated under the registration exempt requirements proposed in section </w:t>
      </w:r>
      <w:r w:rsidR="0061471E" w:rsidRPr="00C97518">
        <w:t>B4</w:t>
      </w:r>
      <w:r w:rsidR="002A7AEE" w:rsidRPr="00C97518">
        <w:t xml:space="preserve"> of attachment B to this consultation paper</w:t>
      </w:r>
      <w:r w:rsidRPr="00C97518">
        <w:t xml:space="preserve">. </w:t>
      </w:r>
    </w:p>
    <w:p w14:paraId="0A99EFF7" w14:textId="4E7F437B" w:rsidR="00BC2A05" w:rsidRPr="00C97518" w:rsidRDefault="00BC2A05" w:rsidP="00C65E91">
      <w:pPr>
        <w:jc w:val="center"/>
        <w:rPr>
          <w:rFonts w:cs="Arial"/>
        </w:rPr>
      </w:pPr>
    </w:p>
    <w:p w14:paraId="478FC591" w14:textId="542BC795" w:rsidR="006A5688" w:rsidRPr="00C97518" w:rsidRDefault="006A5688" w:rsidP="006A5688">
      <w:pPr>
        <w:pStyle w:val="Heading1"/>
      </w:pPr>
      <w:bookmarkStart w:id="97" w:name="_Toc444690643"/>
      <w:r w:rsidRPr="00C97518">
        <w:t xml:space="preserve">Attachment </w:t>
      </w:r>
      <w:r w:rsidR="00537EFC" w:rsidRPr="00C97518">
        <w:t>D</w:t>
      </w:r>
      <w:r w:rsidR="004D3FEF" w:rsidRPr="00C97518">
        <w:t>—</w:t>
      </w:r>
      <w:r w:rsidR="004871A2" w:rsidRPr="00C97518">
        <w:t>Proposed changes to the Radiocommunications Advisory Guideline</w:t>
      </w:r>
      <w:r w:rsidR="0021332A" w:rsidRPr="00C97518">
        <w:t>s</w:t>
      </w:r>
      <w:r w:rsidR="004871A2" w:rsidRPr="00C97518">
        <w:t xml:space="preserve"> for managing interference from 2 GHz s</w:t>
      </w:r>
      <w:r w:rsidRPr="00C97518">
        <w:t>pectrum</w:t>
      </w:r>
      <w:r w:rsidR="004D3FEF" w:rsidRPr="00C97518">
        <w:t>-</w:t>
      </w:r>
      <w:r w:rsidR="004871A2" w:rsidRPr="00C97518">
        <w:t>l</w:t>
      </w:r>
      <w:r w:rsidRPr="00C97518">
        <w:t>icence</w:t>
      </w:r>
      <w:r w:rsidR="004871A2" w:rsidRPr="00C97518">
        <w:t>d transmitters</w:t>
      </w:r>
      <w:bookmarkEnd w:id="97"/>
    </w:p>
    <w:p w14:paraId="49BC3A80" w14:textId="2B5D32CC" w:rsidR="00A44688" w:rsidRPr="00C97518" w:rsidRDefault="00A44688" w:rsidP="00A44688">
      <w:r w:rsidRPr="00C97518">
        <w:t xml:space="preserve">The major substantive changes that are proposed in making the Radiocommunications Advisory Guidelines (Managing Interference from Spectrum Licensed Receivers – 2 GHz Band) </w:t>
      </w:r>
      <w:r w:rsidR="00D614CF" w:rsidRPr="00C97518">
        <w:t>2016</w:t>
      </w:r>
      <w:r w:rsidR="004D3FEF" w:rsidRPr="00C97518">
        <w:t>,</w:t>
      </w:r>
      <w:r w:rsidR="00D614CF" w:rsidRPr="00C97518">
        <w:rPr>
          <w:i/>
        </w:rPr>
        <w:t xml:space="preserve"> </w:t>
      </w:r>
      <w:r w:rsidRPr="00C97518">
        <w:t>compared with</w:t>
      </w:r>
      <w:r w:rsidR="002A7AEE" w:rsidRPr="00C97518">
        <w:t xml:space="preserve"> the</w:t>
      </w:r>
      <w:r w:rsidRPr="00C97518">
        <w:t xml:space="preserve"> </w:t>
      </w:r>
      <w:hyperlink r:id="rId42" w:history="1">
        <w:r w:rsidRPr="00C97518">
          <w:rPr>
            <w:rStyle w:val="Hyperlink"/>
          </w:rPr>
          <w:t>Radiocommunications Advisory Guidelines (Protection of Apparatus-licensed and Class-licensed Receivers — 2 GHz Band) 2015</w:t>
        </w:r>
      </w:hyperlink>
      <w:r w:rsidRPr="00C97518">
        <w:t xml:space="preserve"> are provided below. </w:t>
      </w:r>
    </w:p>
    <w:p w14:paraId="213F2ACF" w14:textId="1B312CB8" w:rsidR="00A44688" w:rsidRPr="00C97518" w:rsidRDefault="00A44688" w:rsidP="00955EF2">
      <w:pPr>
        <w:rPr>
          <w:rFonts w:eastAsiaTheme="minorEastAsia"/>
          <w:szCs w:val="22"/>
          <w:lang w:eastAsia="en-US"/>
        </w:rPr>
      </w:pPr>
      <w:r w:rsidRPr="00C97518">
        <w:t>A number of wording and structural changes are also proposed. These changes are in line with those that have occurred in reviews of technical frameworks in other spectrum licensed bands.</w:t>
      </w:r>
    </w:p>
    <w:p w14:paraId="04D0BA2F" w14:textId="3B50D99B" w:rsidR="006A5688" w:rsidRPr="00C97518" w:rsidRDefault="00537EFC" w:rsidP="007867F0">
      <w:pPr>
        <w:pStyle w:val="Heading2"/>
        <w:ind w:left="567" w:hanging="567"/>
        <w:rPr>
          <w:rFonts w:eastAsiaTheme="minorEastAsia"/>
          <w:szCs w:val="22"/>
          <w:lang w:eastAsia="en-US"/>
        </w:rPr>
      </w:pPr>
      <w:bookmarkStart w:id="98" w:name="_Toc437508131"/>
      <w:bookmarkStart w:id="99" w:name="_Toc437508436"/>
      <w:bookmarkStart w:id="100" w:name="_Toc437530168"/>
      <w:bookmarkStart w:id="101" w:name="_Toc444690644"/>
      <w:r w:rsidRPr="00C97518">
        <w:rPr>
          <w:rFonts w:eastAsiaTheme="minorEastAsia"/>
          <w:szCs w:val="22"/>
          <w:lang w:eastAsia="en-US"/>
        </w:rPr>
        <w:t>D</w:t>
      </w:r>
      <w:r w:rsidR="006A0C46" w:rsidRPr="00C97518">
        <w:rPr>
          <w:rFonts w:eastAsiaTheme="minorEastAsia"/>
          <w:szCs w:val="22"/>
          <w:lang w:eastAsia="en-US"/>
        </w:rPr>
        <w:t>1</w:t>
      </w:r>
      <w:r w:rsidR="006A0C46" w:rsidRPr="00C97518">
        <w:rPr>
          <w:rFonts w:eastAsiaTheme="minorEastAsia"/>
          <w:szCs w:val="22"/>
          <w:lang w:eastAsia="en-US"/>
        </w:rPr>
        <w:tab/>
        <w:t>Point-to-</w:t>
      </w:r>
      <w:r w:rsidR="007867F0" w:rsidRPr="00C97518">
        <w:rPr>
          <w:rFonts w:eastAsiaTheme="minorEastAsia"/>
          <w:szCs w:val="22"/>
          <w:lang w:eastAsia="en-US"/>
        </w:rPr>
        <w:t>point fixed service receivers</w:t>
      </w:r>
      <w:bookmarkEnd w:id="98"/>
      <w:bookmarkEnd w:id="99"/>
      <w:bookmarkEnd w:id="100"/>
      <w:bookmarkEnd w:id="101"/>
    </w:p>
    <w:p w14:paraId="0D8BCAF8" w14:textId="022965DF" w:rsidR="008B6581" w:rsidRPr="00C97518" w:rsidRDefault="008B6581" w:rsidP="008B6581">
      <w:r w:rsidRPr="00C97518">
        <w:t>Point-to-point fixed services operat</w:t>
      </w:r>
      <w:r w:rsidR="006832C8" w:rsidRPr="00C97518">
        <w:t>e</w:t>
      </w:r>
      <w:r w:rsidRPr="00C97518">
        <w:t xml:space="preserve"> in and adjacent to the 2 GHz spectrum licensed band. Point-to-point fixed</w:t>
      </w:r>
      <w:r w:rsidR="00552CA3" w:rsidRPr="00C97518">
        <w:t xml:space="preserve"> receiver</w:t>
      </w:r>
      <w:r w:rsidRPr="00C97518">
        <w:t>s</w:t>
      </w:r>
      <w:r w:rsidR="00552CA3" w:rsidRPr="00C97518">
        <w:t xml:space="preserve"> </w:t>
      </w:r>
      <w:r w:rsidRPr="00C97518">
        <w:t>are</w:t>
      </w:r>
      <w:r w:rsidR="00552CA3" w:rsidRPr="00C97518">
        <w:t xml:space="preserve"> category 1 or category 2 device</w:t>
      </w:r>
      <w:r w:rsidRPr="00C97518">
        <w:t>s</w:t>
      </w:r>
      <w:r w:rsidR="004D3FEF" w:rsidRPr="00C97518">
        <w:t>,</w:t>
      </w:r>
      <w:r w:rsidRPr="00C97518">
        <w:t xml:space="preserve"> </w:t>
      </w:r>
      <w:r w:rsidR="004D3FEF" w:rsidRPr="00C97518">
        <w:t xml:space="preserve">depending </w:t>
      </w:r>
      <w:r w:rsidRPr="00C97518">
        <w:t xml:space="preserve">on when the </w:t>
      </w:r>
      <w:r w:rsidR="00BD4ECE" w:rsidRPr="00C97518">
        <w:t>point-to-point fixed licence was issued</w:t>
      </w:r>
      <w:r w:rsidRPr="00C97518">
        <w:t xml:space="preserve">. </w:t>
      </w:r>
    </w:p>
    <w:p w14:paraId="1E339EDC" w14:textId="2C6344C6" w:rsidR="008B6581" w:rsidRPr="00C97518" w:rsidRDefault="008B6581" w:rsidP="008B6581">
      <w:r w:rsidRPr="00C97518">
        <w:t xml:space="preserve">As the </w:t>
      </w:r>
      <w:r w:rsidR="00552CA3" w:rsidRPr="00C97518">
        <w:t xml:space="preserve">device </w:t>
      </w:r>
      <w:r w:rsidRPr="00C97518">
        <w:t xml:space="preserve">boundary methodology in the 2 GHz band is proposed to change (see section </w:t>
      </w:r>
      <w:r w:rsidR="005E2B57" w:rsidRPr="00C97518">
        <w:t>C</w:t>
      </w:r>
      <w:r w:rsidRPr="00C97518">
        <w:t xml:space="preserve">4), the continued use of 4 December 2000 to define which category a fixed service </w:t>
      </w:r>
      <w:r w:rsidR="002A7AEE" w:rsidRPr="00C97518">
        <w:t>falls within</w:t>
      </w:r>
      <w:r w:rsidRPr="00C97518">
        <w:t xml:space="preserve"> is not preferred. </w:t>
      </w:r>
    </w:p>
    <w:p w14:paraId="176084FC" w14:textId="45E9B608" w:rsidR="00552CA3" w:rsidRPr="00C97518" w:rsidRDefault="006832C8" w:rsidP="007867F0">
      <w:r w:rsidRPr="00C97518">
        <w:t>It is proposed that for the</w:t>
      </w:r>
      <w:r w:rsidR="00552CA3" w:rsidRPr="00C97518">
        <w:t xml:space="preserve"> purpose of th</w:t>
      </w:r>
      <w:r w:rsidR="00BD4ECE" w:rsidRPr="00C97518">
        <w:t>ese</w:t>
      </w:r>
      <w:r w:rsidR="00552CA3" w:rsidRPr="00C97518">
        <w:t xml:space="preserve"> </w:t>
      </w:r>
      <w:r w:rsidR="008B6581" w:rsidRPr="00C97518">
        <w:t>guideline</w:t>
      </w:r>
      <w:r w:rsidR="00BD4ECE" w:rsidRPr="00C97518">
        <w:t>s</w:t>
      </w:r>
      <w:r w:rsidR="008B6581" w:rsidRPr="00C97518">
        <w:t>,</w:t>
      </w:r>
      <w:r w:rsidR="00552CA3" w:rsidRPr="00C97518">
        <w:t xml:space="preserve"> </w:t>
      </w:r>
      <w:r w:rsidR="008B6581" w:rsidRPr="00C97518">
        <w:t>category 1 devices are those registered before 12 October 2017, and category 2 thereafter</w:t>
      </w:r>
      <w:r w:rsidR="004D3FEF" w:rsidRPr="00C97518">
        <w:t>—</w:t>
      </w:r>
      <w:r w:rsidR="00552CA3" w:rsidRPr="00C97518">
        <w:t>that is</w:t>
      </w:r>
      <w:r w:rsidRPr="00C97518">
        <w:t>,</w:t>
      </w:r>
      <w:r w:rsidR="00552CA3" w:rsidRPr="00C97518">
        <w:t xml:space="preserve"> </w:t>
      </w:r>
      <w:r w:rsidR="00BD4ECE" w:rsidRPr="00C97518">
        <w:t>the proposed</w:t>
      </w:r>
      <w:r w:rsidR="00552CA3" w:rsidRPr="00C97518">
        <w:t xml:space="preserve"> change</w:t>
      </w:r>
      <w:r w:rsidR="00BD4ECE" w:rsidRPr="00C97518">
        <w:t xml:space="preserve"> is</w:t>
      </w:r>
      <w:r w:rsidR="00552CA3" w:rsidRPr="00C97518">
        <w:t xml:space="preserve"> from 4 December 2000 to 12 October 2017.</w:t>
      </w:r>
    </w:p>
    <w:p w14:paraId="6928DA62" w14:textId="7130EE8C" w:rsidR="007867F0" w:rsidRPr="00C97518" w:rsidRDefault="00552CA3" w:rsidP="004D3FEF">
      <w:r w:rsidRPr="00C97518">
        <w:t xml:space="preserve">Changing this date to 12 October 2017 assumes that existing point-to-point fixed licences issued in the band meet the existing device boundary criteria. Analysis has shown that </w:t>
      </w:r>
      <w:r w:rsidR="00BC57CD" w:rsidRPr="00C97518">
        <w:t xml:space="preserve">there is only </w:t>
      </w:r>
      <w:r w:rsidRPr="00C97518">
        <w:t xml:space="preserve">one point-to-point licence </w:t>
      </w:r>
      <w:r w:rsidR="00BD4ECE" w:rsidRPr="00C97518">
        <w:t xml:space="preserve">that </w:t>
      </w:r>
      <w:r w:rsidRPr="00C97518">
        <w:t>is co-channel and within 200</w:t>
      </w:r>
      <w:r w:rsidR="00BA3331" w:rsidRPr="00C97518">
        <w:t xml:space="preserve"> </w:t>
      </w:r>
      <w:r w:rsidRPr="00C97518">
        <w:t>k</w:t>
      </w:r>
      <w:r w:rsidR="00BD4ECE" w:rsidRPr="00C97518">
        <w:t>ilometres</w:t>
      </w:r>
      <w:r w:rsidRPr="00C97518">
        <w:t xml:space="preserve"> of a 2 GHz spectrum licence boundary</w:t>
      </w:r>
      <w:r w:rsidR="004D3FEF" w:rsidRPr="00C97518">
        <w:t>,</w:t>
      </w:r>
      <w:r w:rsidRPr="00C97518">
        <w:t xml:space="preserve"> which was approved on 12 December 2001</w:t>
      </w:r>
      <w:r w:rsidRPr="00C97518" w:rsidDel="00E84EDA">
        <w:t xml:space="preserve">. </w:t>
      </w:r>
      <w:r w:rsidR="00BC57CD" w:rsidRPr="00C97518">
        <w:t xml:space="preserve"> </w:t>
      </w:r>
      <w:r w:rsidR="00E84EDA" w:rsidRPr="00C97518">
        <w:t xml:space="preserve"> </w:t>
      </w:r>
    </w:p>
    <w:p w14:paraId="5F4EDDAE" w14:textId="003FBA29" w:rsidR="007867F0" w:rsidRPr="00C97518" w:rsidRDefault="00537EFC" w:rsidP="00104753">
      <w:pPr>
        <w:pStyle w:val="Heading2"/>
        <w:ind w:left="567" w:hanging="567"/>
        <w:rPr>
          <w:rFonts w:eastAsiaTheme="minorEastAsia"/>
          <w:szCs w:val="22"/>
          <w:lang w:eastAsia="en-US"/>
        </w:rPr>
      </w:pPr>
      <w:bookmarkStart w:id="102" w:name="_Toc437508132"/>
      <w:bookmarkStart w:id="103" w:name="_Toc437508437"/>
      <w:bookmarkStart w:id="104" w:name="_Toc437530169"/>
      <w:bookmarkStart w:id="105" w:name="_Toc444690645"/>
      <w:r w:rsidRPr="00C97518">
        <w:rPr>
          <w:rFonts w:eastAsiaTheme="minorEastAsia"/>
          <w:szCs w:val="22"/>
          <w:lang w:eastAsia="en-US"/>
        </w:rPr>
        <w:t>D</w:t>
      </w:r>
      <w:r w:rsidR="00104753" w:rsidRPr="00C97518">
        <w:rPr>
          <w:rFonts w:eastAsiaTheme="minorEastAsia"/>
          <w:szCs w:val="22"/>
          <w:lang w:eastAsia="en-US"/>
        </w:rPr>
        <w:t>2</w:t>
      </w:r>
      <w:r w:rsidR="007867F0" w:rsidRPr="00C97518">
        <w:rPr>
          <w:rFonts w:eastAsiaTheme="minorEastAsia"/>
          <w:szCs w:val="22"/>
          <w:lang w:eastAsia="en-US"/>
        </w:rPr>
        <w:tab/>
        <w:t>M</w:t>
      </w:r>
      <w:r w:rsidR="006A0C46" w:rsidRPr="00C97518">
        <w:rPr>
          <w:rFonts w:eastAsiaTheme="minorEastAsia"/>
          <w:szCs w:val="22"/>
          <w:lang w:eastAsia="en-US"/>
        </w:rPr>
        <w:t>obile s</w:t>
      </w:r>
      <w:r w:rsidR="007867F0" w:rsidRPr="00C97518">
        <w:rPr>
          <w:rFonts w:eastAsiaTheme="minorEastAsia"/>
          <w:szCs w:val="22"/>
          <w:lang w:eastAsia="en-US"/>
        </w:rPr>
        <w:t xml:space="preserve">atellite </w:t>
      </w:r>
      <w:r w:rsidR="006A0C46" w:rsidRPr="00C97518">
        <w:rPr>
          <w:rFonts w:eastAsiaTheme="minorEastAsia"/>
          <w:szCs w:val="22"/>
          <w:lang w:eastAsia="en-US"/>
        </w:rPr>
        <w:t>s</w:t>
      </w:r>
      <w:r w:rsidR="007867F0" w:rsidRPr="00C97518">
        <w:rPr>
          <w:rFonts w:eastAsiaTheme="minorEastAsia"/>
          <w:szCs w:val="22"/>
          <w:lang w:eastAsia="en-US"/>
        </w:rPr>
        <w:t>ervice</w:t>
      </w:r>
      <w:bookmarkEnd w:id="102"/>
      <w:bookmarkEnd w:id="103"/>
      <w:bookmarkEnd w:id="104"/>
      <w:bookmarkEnd w:id="105"/>
    </w:p>
    <w:p w14:paraId="6EBE6C58" w14:textId="046611DF" w:rsidR="006A0C46" w:rsidRPr="00C97518" w:rsidRDefault="006A0C46" w:rsidP="006A0C46">
      <w:r w:rsidRPr="00C97518">
        <w:t>While there are some wording changes, the substance</w:t>
      </w:r>
      <w:r w:rsidR="004C164A" w:rsidRPr="00C97518">
        <w:t xml:space="preserve"> of this part is unchanged</w:t>
      </w:r>
      <w:r w:rsidR="00D3534E" w:rsidRPr="00C97518">
        <w:t>.</w:t>
      </w:r>
    </w:p>
    <w:p w14:paraId="3531672B" w14:textId="62BC060D" w:rsidR="00104753" w:rsidRPr="00C97518" w:rsidRDefault="00537EFC" w:rsidP="006A0C46">
      <w:pPr>
        <w:pStyle w:val="Heading2"/>
        <w:ind w:left="567" w:hanging="567"/>
        <w:rPr>
          <w:rFonts w:eastAsiaTheme="minorEastAsia"/>
          <w:szCs w:val="22"/>
          <w:lang w:eastAsia="en-US"/>
        </w:rPr>
      </w:pPr>
      <w:bookmarkStart w:id="106" w:name="_Toc437508133"/>
      <w:bookmarkStart w:id="107" w:name="_Toc437508438"/>
      <w:bookmarkStart w:id="108" w:name="_Toc437530170"/>
      <w:bookmarkStart w:id="109" w:name="_Toc444690646"/>
      <w:r w:rsidRPr="00C97518">
        <w:rPr>
          <w:rFonts w:eastAsiaTheme="minorEastAsia"/>
          <w:szCs w:val="22"/>
          <w:lang w:eastAsia="en-US"/>
        </w:rPr>
        <w:t>D</w:t>
      </w:r>
      <w:r w:rsidR="00104753" w:rsidRPr="00C97518">
        <w:rPr>
          <w:rFonts w:eastAsiaTheme="minorEastAsia"/>
          <w:szCs w:val="22"/>
          <w:lang w:eastAsia="en-US"/>
        </w:rPr>
        <w:t>3</w:t>
      </w:r>
      <w:r w:rsidR="00104753" w:rsidRPr="00C97518">
        <w:rPr>
          <w:rFonts w:eastAsiaTheme="minorEastAsia"/>
          <w:szCs w:val="22"/>
          <w:lang w:eastAsia="en-US"/>
        </w:rPr>
        <w:tab/>
        <w:t>Cordless telecommunications services</w:t>
      </w:r>
      <w:bookmarkEnd w:id="106"/>
      <w:bookmarkEnd w:id="107"/>
      <w:bookmarkEnd w:id="108"/>
      <w:bookmarkEnd w:id="109"/>
    </w:p>
    <w:p w14:paraId="5D93C6AB" w14:textId="289789BE" w:rsidR="000D6192" w:rsidRPr="00C97518" w:rsidRDefault="00104753" w:rsidP="005D4087">
      <w:pPr>
        <w:rPr>
          <w:rFonts w:eastAsiaTheme="minorEastAsia"/>
          <w:szCs w:val="22"/>
          <w:lang w:eastAsia="en-US"/>
        </w:rPr>
      </w:pPr>
      <w:r w:rsidRPr="00C97518">
        <w:t>This part has been deleted due to the removal of the 1900</w:t>
      </w:r>
      <w:r w:rsidR="004D3FEF" w:rsidRPr="00C97518">
        <w:t>–</w:t>
      </w:r>
      <w:r w:rsidRPr="00C97518">
        <w:t>1920 MHz band from the scope of the technical framework. Cordless telecommunications services are therefore no longer an adjacent band service for frequencies covered by this technical framework</w:t>
      </w:r>
      <w:r w:rsidR="004C164A" w:rsidRPr="00C97518">
        <w:t>.</w:t>
      </w:r>
      <w:r w:rsidRPr="00C97518">
        <w:t xml:space="preserve"> </w:t>
      </w:r>
      <w:bookmarkStart w:id="110" w:name="_Toc437508134"/>
      <w:bookmarkStart w:id="111" w:name="_Toc437508439"/>
      <w:bookmarkStart w:id="112" w:name="_Toc437530171"/>
    </w:p>
    <w:p w14:paraId="11964D86" w14:textId="588BFB17" w:rsidR="00104753" w:rsidRPr="00C97518" w:rsidRDefault="00537EFC" w:rsidP="000D6192">
      <w:pPr>
        <w:pStyle w:val="Heading2"/>
        <w:ind w:left="567" w:hanging="567"/>
        <w:rPr>
          <w:rFonts w:eastAsiaTheme="minorEastAsia"/>
          <w:szCs w:val="22"/>
          <w:lang w:eastAsia="en-US"/>
        </w:rPr>
      </w:pPr>
      <w:bookmarkStart w:id="113" w:name="_Toc444690647"/>
      <w:r w:rsidRPr="00C97518">
        <w:rPr>
          <w:rFonts w:eastAsiaTheme="minorEastAsia"/>
          <w:szCs w:val="22"/>
          <w:lang w:eastAsia="en-US"/>
        </w:rPr>
        <w:t>D</w:t>
      </w:r>
      <w:r w:rsidR="00104753" w:rsidRPr="00C97518">
        <w:rPr>
          <w:rFonts w:eastAsiaTheme="minorEastAsia"/>
          <w:szCs w:val="22"/>
          <w:lang w:eastAsia="en-US"/>
        </w:rPr>
        <w:t>4</w:t>
      </w:r>
      <w:r w:rsidR="00104753" w:rsidRPr="00C97518">
        <w:rPr>
          <w:rFonts w:eastAsiaTheme="minorEastAsia"/>
          <w:szCs w:val="22"/>
          <w:lang w:eastAsia="en-US"/>
        </w:rPr>
        <w:tab/>
        <w:t xml:space="preserve">Space </w:t>
      </w:r>
      <w:r w:rsidR="000D6192" w:rsidRPr="00C97518">
        <w:rPr>
          <w:rFonts w:eastAsiaTheme="minorEastAsia"/>
          <w:szCs w:val="22"/>
          <w:lang w:eastAsia="en-US"/>
        </w:rPr>
        <w:t>s</w:t>
      </w:r>
      <w:r w:rsidR="00104753" w:rsidRPr="00C97518">
        <w:rPr>
          <w:rFonts w:eastAsiaTheme="minorEastAsia"/>
          <w:szCs w:val="22"/>
          <w:lang w:eastAsia="en-US"/>
        </w:rPr>
        <w:t>ervices</w:t>
      </w:r>
      <w:bookmarkEnd w:id="110"/>
      <w:bookmarkEnd w:id="111"/>
      <w:bookmarkEnd w:id="112"/>
      <w:bookmarkEnd w:id="113"/>
    </w:p>
    <w:p w14:paraId="4852D1F9" w14:textId="48FBC0C7" w:rsidR="00104753" w:rsidRPr="00C97518" w:rsidRDefault="00104753" w:rsidP="00104753">
      <w:r w:rsidRPr="00C97518">
        <w:t xml:space="preserve">The section </w:t>
      </w:r>
      <w:r w:rsidR="000D6192" w:rsidRPr="00C97518">
        <w:t>‘</w:t>
      </w:r>
      <w:r w:rsidRPr="00C97518">
        <w:t>Additional information on space service protection</w:t>
      </w:r>
      <w:r w:rsidR="000D6192" w:rsidRPr="00C97518">
        <w:t>’</w:t>
      </w:r>
      <w:r w:rsidRPr="00C97518">
        <w:t xml:space="preserve"> has been removed due to the suppression of the ITU-R Recommendations previously referred to in this section. The use of ITU-R Recommendation M.1456 is sufficiently covered elsewhere in th</w:t>
      </w:r>
      <w:r w:rsidR="00BD4ECE" w:rsidRPr="00C97518">
        <w:t>ese</w:t>
      </w:r>
      <w:r w:rsidRPr="00C97518">
        <w:t xml:space="preserve"> </w:t>
      </w:r>
      <w:r w:rsidR="00D3534E" w:rsidRPr="00C97518">
        <w:t>guideline</w:t>
      </w:r>
      <w:r w:rsidR="00BD4ECE" w:rsidRPr="00C97518">
        <w:t>s</w:t>
      </w:r>
      <w:r w:rsidRPr="00C97518">
        <w:t xml:space="preserve">. </w:t>
      </w:r>
    </w:p>
    <w:p w14:paraId="581DF4CA" w14:textId="4E41FA94" w:rsidR="00104753" w:rsidRPr="00C97518" w:rsidRDefault="00537EFC" w:rsidP="00104753">
      <w:pPr>
        <w:pStyle w:val="Heading2"/>
        <w:ind w:left="567" w:hanging="567"/>
        <w:rPr>
          <w:rFonts w:eastAsiaTheme="minorEastAsia"/>
          <w:szCs w:val="22"/>
          <w:lang w:eastAsia="en-US"/>
        </w:rPr>
      </w:pPr>
      <w:bookmarkStart w:id="114" w:name="_Toc437508135"/>
      <w:bookmarkStart w:id="115" w:name="_Toc437508440"/>
      <w:bookmarkStart w:id="116" w:name="_Toc437530172"/>
      <w:bookmarkStart w:id="117" w:name="_Toc444690648"/>
      <w:r w:rsidRPr="00C97518">
        <w:rPr>
          <w:rFonts w:eastAsiaTheme="minorEastAsia"/>
          <w:szCs w:val="22"/>
          <w:lang w:eastAsia="en-US"/>
        </w:rPr>
        <w:t>D</w:t>
      </w:r>
      <w:r w:rsidR="00104753" w:rsidRPr="00C97518">
        <w:rPr>
          <w:rFonts w:eastAsiaTheme="minorEastAsia"/>
          <w:szCs w:val="22"/>
          <w:lang w:eastAsia="en-US"/>
        </w:rPr>
        <w:t>5</w:t>
      </w:r>
      <w:r w:rsidR="00104753" w:rsidRPr="00C97518">
        <w:rPr>
          <w:rFonts w:eastAsiaTheme="minorEastAsia"/>
          <w:szCs w:val="22"/>
          <w:lang w:eastAsia="en-US"/>
        </w:rPr>
        <w:tab/>
        <w:t>Television outside broadcast (TVOB) services</w:t>
      </w:r>
      <w:bookmarkEnd w:id="114"/>
      <w:bookmarkEnd w:id="115"/>
      <w:bookmarkEnd w:id="116"/>
      <w:bookmarkEnd w:id="117"/>
    </w:p>
    <w:p w14:paraId="1044D954" w14:textId="01A24FAF" w:rsidR="00104753" w:rsidRPr="00C97518" w:rsidRDefault="006A0C46" w:rsidP="00104753">
      <w:r w:rsidRPr="00C97518">
        <w:t>This part is unchanged.</w:t>
      </w:r>
      <w:r w:rsidR="003E61B8" w:rsidRPr="00C97518">
        <w:t xml:space="preserve"> However, an amendment will be made to RALI FX21 before existing spectrum licences expire. This amendment will ensure that, when considering the first-in-time registration status with respect to adjacent-frequency Television Outside Broadcast (TOB) services, the original registration dates for existing devices that are re-registered under the renewed spectrum licences will apply. A provision to this clause is that specific technical parameters used for coordination do not change. </w:t>
      </w:r>
    </w:p>
    <w:p w14:paraId="268D227A" w14:textId="4051C789" w:rsidR="006A0C46" w:rsidRPr="00C97518" w:rsidRDefault="00537EFC" w:rsidP="006A0C46">
      <w:pPr>
        <w:pStyle w:val="Heading2"/>
        <w:ind w:left="567" w:hanging="567"/>
        <w:rPr>
          <w:rFonts w:eastAsiaTheme="minorEastAsia"/>
          <w:szCs w:val="22"/>
          <w:lang w:eastAsia="en-US"/>
        </w:rPr>
      </w:pPr>
      <w:bookmarkStart w:id="118" w:name="_Toc437508136"/>
      <w:bookmarkStart w:id="119" w:name="_Toc437508441"/>
      <w:bookmarkStart w:id="120" w:name="_Toc437530173"/>
      <w:bookmarkStart w:id="121" w:name="_Toc444690649"/>
      <w:r w:rsidRPr="00C97518">
        <w:rPr>
          <w:rFonts w:eastAsiaTheme="minorEastAsia"/>
          <w:szCs w:val="22"/>
          <w:lang w:eastAsia="en-US"/>
        </w:rPr>
        <w:t>D</w:t>
      </w:r>
      <w:r w:rsidR="006A0C46" w:rsidRPr="00C97518">
        <w:rPr>
          <w:rFonts w:eastAsiaTheme="minorEastAsia"/>
          <w:szCs w:val="22"/>
          <w:lang w:eastAsia="en-US"/>
        </w:rPr>
        <w:t>6</w:t>
      </w:r>
      <w:r w:rsidR="006A0C46" w:rsidRPr="00C97518">
        <w:rPr>
          <w:rFonts w:eastAsiaTheme="minorEastAsia"/>
          <w:szCs w:val="22"/>
          <w:lang w:eastAsia="en-US"/>
        </w:rPr>
        <w:tab/>
        <w:t>Public telecommunications services</w:t>
      </w:r>
      <w:bookmarkEnd w:id="118"/>
      <w:bookmarkEnd w:id="119"/>
      <w:bookmarkEnd w:id="120"/>
      <w:bookmarkEnd w:id="121"/>
    </w:p>
    <w:p w14:paraId="0F706FCD" w14:textId="73A85190" w:rsidR="006A0C46" w:rsidRPr="00C97518" w:rsidRDefault="006A0C46" w:rsidP="006A0C46">
      <w:r w:rsidRPr="00C97518">
        <w:t>This is a new part added to the</w:t>
      </w:r>
      <w:r w:rsidR="00BD4ECE" w:rsidRPr="00C97518">
        <w:t>se</w:t>
      </w:r>
      <w:r w:rsidRPr="00C97518">
        <w:t xml:space="preserve"> </w:t>
      </w:r>
      <w:r w:rsidR="008A165D" w:rsidRPr="00C97518">
        <w:t>guideline</w:t>
      </w:r>
      <w:r w:rsidR="00BD4ECE" w:rsidRPr="00C97518">
        <w:t>s</w:t>
      </w:r>
      <w:r w:rsidR="008A165D" w:rsidRPr="00C97518">
        <w:t xml:space="preserve"> </w:t>
      </w:r>
      <w:r w:rsidRPr="00C97518">
        <w:t xml:space="preserve">regarding public telecommunications services (PTS) operating under apparatus licences in the 2 GHz band. Transmitters operating in accordance with the conditions of the spectrum licence are taken not to cause unacceptable interference to these services. </w:t>
      </w:r>
    </w:p>
    <w:p w14:paraId="606BB08C" w14:textId="12805811" w:rsidR="006A0C46" w:rsidRPr="00C97518" w:rsidRDefault="00537EFC" w:rsidP="006A0C46">
      <w:pPr>
        <w:pStyle w:val="Heading2"/>
        <w:ind w:left="567" w:hanging="567"/>
        <w:rPr>
          <w:rFonts w:eastAsiaTheme="minorEastAsia"/>
          <w:szCs w:val="22"/>
          <w:lang w:eastAsia="en-US"/>
        </w:rPr>
      </w:pPr>
      <w:bookmarkStart w:id="122" w:name="_Toc437508137"/>
      <w:bookmarkStart w:id="123" w:name="_Toc437508442"/>
      <w:bookmarkStart w:id="124" w:name="_Toc437530174"/>
      <w:bookmarkStart w:id="125" w:name="_Toc444690650"/>
      <w:r w:rsidRPr="00C97518">
        <w:rPr>
          <w:rFonts w:eastAsiaTheme="minorEastAsia"/>
          <w:szCs w:val="22"/>
          <w:lang w:eastAsia="en-US"/>
        </w:rPr>
        <w:t>D</w:t>
      </w:r>
      <w:r w:rsidR="006A0C46" w:rsidRPr="00C97518">
        <w:rPr>
          <w:rFonts w:eastAsiaTheme="minorEastAsia"/>
          <w:szCs w:val="22"/>
          <w:lang w:eastAsia="en-US"/>
        </w:rPr>
        <w:t>7</w:t>
      </w:r>
      <w:r w:rsidR="006A0C46" w:rsidRPr="00C97518">
        <w:rPr>
          <w:rFonts w:eastAsiaTheme="minorEastAsia"/>
          <w:szCs w:val="22"/>
          <w:lang w:eastAsia="en-US"/>
        </w:rPr>
        <w:tab/>
        <w:t>Class</w:t>
      </w:r>
      <w:r w:rsidR="000D6192" w:rsidRPr="00C97518">
        <w:rPr>
          <w:rFonts w:eastAsiaTheme="minorEastAsia"/>
          <w:szCs w:val="22"/>
          <w:lang w:eastAsia="en-US"/>
        </w:rPr>
        <w:t>-l</w:t>
      </w:r>
      <w:r w:rsidR="006A0C46" w:rsidRPr="00C97518">
        <w:rPr>
          <w:rFonts w:eastAsiaTheme="minorEastAsia"/>
          <w:szCs w:val="22"/>
          <w:lang w:eastAsia="en-US"/>
        </w:rPr>
        <w:t xml:space="preserve">icensed </w:t>
      </w:r>
      <w:r w:rsidR="000D6192" w:rsidRPr="00C97518">
        <w:rPr>
          <w:rFonts w:eastAsiaTheme="minorEastAsia"/>
          <w:szCs w:val="22"/>
          <w:lang w:eastAsia="en-US"/>
        </w:rPr>
        <w:t>s</w:t>
      </w:r>
      <w:r w:rsidR="006A0C46" w:rsidRPr="00C97518">
        <w:rPr>
          <w:rFonts w:eastAsiaTheme="minorEastAsia"/>
          <w:szCs w:val="22"/>
          <w:lang w:eastAsia="en-US"/>
        </w:rPr>
        <w:t>ervices</w:t>
      </w:r>
      <w:bookmarkEnd w:id="122"/>
      <w:bookmarkEnd w:id="123"/>
      <w:bookmarkEnd w:id="124"/>
      <w:bookmarkEnd w:id="125"/>
    </w:p>
    <w:p w14:paraId="06CD8C3B" w14:textId="2A92C158" w:rsidR="00104753" w:rsidRPr="00C97518" w:rsidRDefault="006A0C46" w:rsidP="006A5688">
      <w:pPr>
        <w:sectPr w:rsidR="00104753" w:rsidRPr="00C97518" w:rsidSect="00FB2EA1">
          <w:headerReference w:type="even" r:id="rId43"/>
          <w:headerReference w:type="default" r:id="rId44"/>
          <w:footerReference w:type="even" r:id="rId45"/>
          <w:footerReference w:type="default" r:id="rId46"/>
          <w:pgSz w:w="11906" w:h="16838" w:code="9"/>
          <w:pgMar w:top="1945" w:right="3101" w:bottom="1134" w:left="1134" w:header="709" w:footer="119" w:gutter="0"/>
          <w:cols w:space="708"/>
          <w:docGrid w:linePitch="360"/>
        </w:sectPr>
      </w:pPr>
      <w:r w:rsidRPr="00C97518">
        <w:t>This is a new part added to the</w:t>
      </w:r>
      <w:r w:rsidR="00BD4ECE" w:rsidRPr="00C97518">
        <w:t>se</w:t>
      </w:r>
      <w:r w:rsidRPr="00C97518">
        <w:t xml:space="preserve"> </w:t>
      </w:r>
      <w:r w:rsidR="008A165D" w:rsidRPr="00C97518">
        <w:t>guideline</w:t>
      </w:r>
      <w:r w:rsidR="00BD4ECE" w:rsidRPr="00C97518">
        <w:t>s</w:t>
      </w:r>
      <w:r w:rsidR="008A165D" w:rsidRPr="00C97518">
        <w:t xml:space="preserve"> </w:t>
      </w:r>
      <w:r w:rsidRPr="00C97518">
        <w:t xml:space="preserve">regarding </w:t>
      </w:r>
      <w:r w:rsidR="008A165D" w:rsidRPr="00C97518">
        <w:t>radiocommunication</w:t>
      </w:r>
      <w:r w:rsidR="00BD4ECE" w:rsidRPr="00C97518">
        <w:t>s</w:t>
      </w:r>
      <w:r w:rsidR="008A165D" w:rsidRPr="00C97518">
        <w:t xml:space="preserve"> </w:t>
      </w:r>
      <w:r w:rsidRPr="00C97518">
        <w:t>devices operated under various class licences. Transmitters operating in accordance with the conditions of the spectrum licence are taken not to cause unacceptable interference to these services.</w:t>
      </w:r>
    </w:p>
    <w:p w14:paraId="20BDCBD4" w14:textId="2B343A17" w:rsidR="006A5688" w:rsidRPr="00C97518" w:rsidRDefault="006A5688" w:rsidP="006A5688">
      <w:pPr>
        <w:pStyle w:val="Heading1"/>
      </w:pPr>
      <w:bookmarkStart w:id="126" w:name="_Toc444690651"/>
      <w:r w:rsidRPr="00C97518">
        <w:t xml:space="preserve">Attachment </w:t>
      </w:r>
      <w:r w:rsidR="00537EFC" w:rsidRPr="00C97518">
        <w:t>E</w:t>
      </w:r>
      <w:r w:rsidRPr="00C97518">
        <w:t>—</w:t>
      </w:r>
      <w:r w:rsidR="004871A2" w:rsidRPr="00C97518">
        <w:t>Proposed changes to the Radiocommunications Advisory Guideline</w:t>
      </w:r>
      <w:r w:rsidR="0021332A" w:rsidRPr="00C97518">
        <w:t>s</w:t>
      </w:r>
      <w:r w:rsidR="004871A2" w:rsidRPr="00C97518">
        <w:t xml:space="preserve"> for managing interference to 2 GHz spectrum licenced receivers</w:t>
      </w:r>
      <w:bookmarkEnd w:id="126"/>
    </w:p>
    <w:p w14:paraId="2C414E1F" w14:textId="1C5BB2E5" w:rsidR="006A5688" w:rsidRPr="00C97518" w:rsidRDefault="00846358" w:rsidP="006A5688">
      <w:r w:rsidRPr="00C97518">
        <w:t xml:space="preserve">While there are a number of wording and structural changes in Parts 1 to 3 of </w:t>
      </w:r>
      <w:bookmarkStart w:id="127" w:name="Citation"/>
      <w:r w:rsidR="00BD4ECE" w:rsidRPr="00C97518">
        <w:t xml:space="preserve">the proposed </w:t>
      </w:r>
      <w:r w:rsidRPr="00C97518">
        <w:t xml:space="preserve">Radiocommunications Advisory Guidelines (Managing Interference to Spectrum Licensed Receivers – 2 GHz Band) </w:t>
      </w:r>
      <w:bookmarkEnd w:id="127"/>
      <w:r w:rsidRPr="00C97518">
        <w:t>201</w:t>
      </w:r>
      <w:r w:rsidR="00D614CF" w:rsidRPr="00C97518">
        <w:t>6</w:t>
      </w:r>
      <w:r w:rsidR="00305FEB" w:rsidRPr="00C97518">
        <w:t>,</w:t>
      </w:r>
      <w:r w:rsidRPr="00C97518">
        <w:t xml:space="preserve"> compared with </w:t>
      </w:r>
      <w:r w:rsidR="00BD4ECE" w:rsidRPr="00C97518">
        <w:t xml:space="preserve">the </w:t>
      </w:r>
      <w:hyperlink r:id="rId47"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these proposed changes do not affect the substance of the document. These changes are in line with those that have occurred in reviews of technical frameworks in other spectrum licensed bands. </w:t>
      </w:r>
    </w:p>
    <w:p w14:paraId="379D2823" w14:textId="63EB13C4" w:rsidR="00846358" w:rsidRPr="00C97518" w:rsidRDefault="00846358" w:rsidP="006A5688">
      <w:r w:rsidRPr="00C97518">
        <w:t xml:space="preserve">The major substantive changes that are proposed </w:t>
      </w:r>
      <w:r w:rsidR="00BD4ECE" w:rsidRPr="00C97518">
        <w:t>concern</w:t>
      </w:r>
      <w:r w:rsidRPr="00C97518">
        <w:t xml:space="preserve"> the notional receiver performance level and the compatibility requirement</w:t>
      </w:r>
      <w:r w:rsidR="00A44688" w:rsidRPr="00C97518">
        <w:t>.</w:t>
      </w:r>
    </w:p>
    <w:p w14:paraId="0CFAEEAE" w14:textId="36AEA2CC" w:rsidR="00846358" w:rsidRPr="00C97518" w:rsidRDefault="00537EFC" w:rsidP="00846358">
      <w:pPr>
        <w:pStyle w:val="Heading2"/>
        <w:ind w:left="567" w:hanging="567"/>
        <w:rPr>
          <w:rFonts w:eastAsiaTheme="minorEastAsia"/>
          <w:szCs w:val="22"/>
          <w:lang w:eastAsia="en-US"/>
        </w:rPr>
      </w:pPr>
      <w:bookmarkStart w:id="128" w:name="_Toc437508140"/>
      <w:bookmarkStart w:id="129" w:name="_Toc437508445"/>
      <w:bookmarkStart w:id="130" w:name="_Toc437530176"/>
      <w:bookmarkStart w:id="131" w:name="_Toc444690652"/>
      <w:r w:rsidRPr="00C97518">
        <w:rPr>
          <w:rFonts w:eastAsiaTheme="minorEastAsia"/>
          <w:szCs w:val="22"/>
          <w:lang w:eastAsia="en-US"/>
        </w:rPr>
        <w:t>E</w:t>
      </w:r>
      <w:r w:rsidR="00846358" w:rsidRPr="00C97518">
        <w:rPr>
          <w:rFonts w:eastAsiaTheme="minorEastAsia"/>
          <w:szCs w:val="22"/>
          <w:lang w:eastAsia="en-US"/>
        </w:rPr>
        <w:t>1</w:t>
      </w:r>
      <w:r w:rsidR="00846358" w:rsidRPr="00C97518">
        <w:rPr>
          <w:rFonts w:eastAsiaTheme="minorEastAsia"/>
          <w:szCs w:val="22"/>
          <w:lang w:eastAsia="en-US"/>
        </w:rPr>
        <w:tab/>
        <w:t>Notional receiver performance level</w:t>
      </w:r>
      <w:bookmarkEnd w:id="128"/>
      <w:bookmarkEnd w:id="129"/>
      <w:bookmarkEnd w:id="130"/>
      <w:bookmarkEnd w:id="131"/>
    </w:p>
    <w:p w14:paraId="11A34A8D" w14:textId="03B5755A" w:rsidR="00846358" w:rsidRPr="00C97518" w:rsidRDefault="00537EFC" w:rsidP="00846358">
      <w:pPr>
        <w:pStyle w:val="Heading3"/>
      </w:pPr>
      <w:bookmarkStart w:id="132" w:name="_Toc437508141"/>
      <w:bookmarkStart w:id="133" w:name="_Toc437508446"/>
      <w:bookmarkStart w:id="134" w:name="_Toc437530177"/>
      <w:bookmarkStart w:id="135" w:name="_Toc444690653"/>
      <w:r w:rsidRPr="00C97518">
        <w:t>E</w:t>
      </w:r>
      <w:r w:rsidR="00846358" w:rsidRPr="00C97518">
        <w:t>1.1</w:t>
      </w:r>
      <w:r w:rsidR="00846358" w:rsidRPr="00C97518">
        <w:tab/>
        <w:t>Adjacent channel selectivity</w:t>
      </w:r>
      <w:bookmarkEnd w:id="132"/>
      <w:bookmarkEnd w:id="133"/>
      <w:bookmarkEnd w:id="134"/>
      <w:bookmarkEnd w:id="135"/>
    </w:p>
    <w:p w14:paraId="208E75A0" w14:textId="0305790E" w:rsidR="00EE2A8B" w:rsidRPr="00C97518" w:rsidRDefault="00EE2A8B" w:rsidP="00EE2A8B">
      <w:r w:rsidRPr="00C97518">
        <w:t>Receiver Adjacent Channel Selectivity (ACS) is a measure of the ability of a receiver to receive a wanted signal without exceeding a specified degradation in output quality due to the presence of an unwanted adjacent channel signal. The value</w:t>
      </w:r>
      <w:r w:rsidR="00BD4ECE" w:rsidRPr="00C97518">
        <w:t xml:space="preserve"> currently</w:t>
      </w:r>
      <w:r w:rsidRPr="00C97518">
        <w:t xml:space="preserve"> stated in</w:t>
      </w:r>
      <w:r w:rsidR="00BD4ECE" w:rsidRPr="00C97518">
        <w:t xml:space="preserve"> the</w:t>
      </w:r>
      <w:r w:rsidRPr="00C97518">
        <w:t xml:space="preserve"> </w:t>
      </w:r>
      <w:hyperlink r:id="rId48"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w:t>
      </w:r>
      <w:r w:rsidR="00BD4ECE" w:rsidRPr="00C97518">
        <w:t>is</w:t>
      </w:r>
      <w:r w:rsidRPr="00C97518">
        <w:t xml:space="preserve"> 45 dB measured at an offset of 5 MHz. </w:t>
      </w:r>
    </w:p>
    <w:p w14:paraId="5910B584" w14:textId="12347D4D" w:rsidR="00F05C2C" w:rsidRPr="00C97518" w:rsidRDefault="00EE2A8B" w:rsidP="00EE2A8B">
      <w:r w:rsidRPr="00C97518">
        <w:t xml:space="preserve">The minimum ACS value </w:t>
      </w:r>
      <w:r w:rsidRPr="00C97518">
        <w:rPr>
          <w:rFonts w:eastAsiaTheme="minorEastAsia"/>
          <w:szCs w:val="22"/>
          <w:lang w:eastAsia="en-US"/>
        </w:rPr>
        <w:t xml:space="preserve">stated in </w:t>
      </w:r>
      <w:r w:rsidRPr="00C97518">
        <w:t>3GPP 36.104</w:t>
      </w:r>
      <w:r w:rsidRPr="00C97518">
        <w:rPr>
          <w:rStyle w:val="FootnoteReference"/>
        </w:rPr>
        <w:footnoteReference w:id="26"/>
      </w:r>
      <w:r w:rsidRPr="00C97518">
        <w:t xml:space="preserve"> for LTE base station receivers is specified in the form of an unwanted signal level at a given offset from the wanted signal edge. This can be converted to the form of a wanted to unwanted signal ratio by reference to the wanted signal used for the measurement. </w:t>
      </w:r>
      <w:r w:rsidR="00773F21" w:rsidRPr="00C97518">
        <w:t>For example,</w:t>
      </w:r>
      <w:r w:rsidRPr="00C97518">
        <w:t xml:space="preserve"> the wanted level for a 5 MHz channel is -95.5 dBm and the unwanted level is -52 dBm, therefore the ACS expressed as a ratio of wanted to unwanted is: </w:t>
      </w:r>
    </w:p>
    <w:p w14:paraId="2D5770B0" w14:textId="296673B8" w:rsidR="00EE2A8B" w:rsidRPr="00C97518" w:rsidRDefault="00EE2A8B" w:rsidP="00955EF2">
      <w:pPr>
        <w:jc w:val="center"/>
      </w:pPr>
      <w:r w:rsidRPr="00C97518">
        <w:t>-52 dBm – -95.5 dBm = 43.5</w:t>
      </w:r>
      <w:r w:rsidR="00773F21" w:rsidRPr="00C97518">
        <w:t> </w:t>
      </w:r>
      <w:r w:rsidRPr="00C97518">
        <w:t>dB.</w:t>
      </w:r>
    </w:p>
    <w:p w14:paraId="35EC525D" w14:textId="0B6E5773" w:rsidR="00846358" w:rsidRPr="00C97518" w:rsidRDefault="00EE2A8B" w:rsidP="00846358">
      <w:r w:rsidRPr="00C97518">
        <w:t>Therefore, i</w:t>
      </w:r>
      <w:r w:rsidR="00B85CF5" w:rsidRPr="00C97518">
        <w:t>t is proposed that adjacent channel selectivity shall b</w:t>
      </w:r>
      <w:r w:rsidR="008A1505" w:rsidRPr="00C97518">
        <w:t>e greater than or equal to 43.5 </w:t>
      </w:r>
      <w:r w:rsidR="00B85CF5" w:rsidRPr="00C97518">
        <w:t>dB with a frequency offset of less than 5 MHz</w:t>
      </w:r>
      <w:r w:rsidRPr="00C97518">
        <w:t xml:space="preserve"> based on the LTE specification</w:t>
      </w:r>
      <w:r w:rsidR="00B85CF5" w:rsidRPr="00C97518">
        <w:t xml:space="preserve">. </w:t>
      </w:r>
    </w:p>
    <w:p w14:paraId="6BA6A8F7" w14:textId="4D8A5307" w:rsidR="00846358" w:rsidRPr="00C97518" w:rsidRDefault="00537EFC" w:rsidP="00846358">
      <w:pPr>
        <w:pStyle w:val="Heading3"/>
      </w:pPr>
      <w:bookmarkStart w:id="136" w:name="_Toc437508142"/>
      <w:bookmarkStart w:id="137" w:name="_Toc437508447"/>
      <w:bookmarkStart w:id="138" w:name="_Toc437530178"/>
      <w:bookmarkStart w:id="139" w:name="_Toc444690654"/>
      <w:r w:rsidRPr="00C97518">
        <w:t>E</w:t>
      </w:r>
      <w:r w:rsidR="00846358" w:rsidRPr="00C97518">
        <w:t>1.2</w:t>
      </w:r>
      <w:r w:rsidR="00846358" w:rsidRPr="00C97518">
        <w:tab/>
      </w:r>
      <w:r w:rsidR="00B85CF5" w:rsidRPr="00C97518">
        <w:t>I</w:t>
      </w:r>
      <w:r w:rsidR="00846358" w:rsidRPr="00C97518">
        <w:t xml:space="preserve">ntermodulation </w:t>
      </w:r>
      <w:r w:rsidR="00B85CF5" w:rsidRPr="00C97518">
        <w:t xml:space="preserve">response </w:t>
      </w:r>
      <w:r w:rsidR="00846358" w:rsidRPr="00C97518">
        <w:t>rejection</w:t>
      </w:r>
      <w:bookmarkEnd w:id="136"/>
      <w:bookmarkEnd w:id="137"/>
      <w:bookmarkEnd w:id="138"/>
      <w:bookmarkEnd w:id="139"/>
    </w:p>
    <w:p w14:paraId="10A83D61" w14:textId="591E5C12" w:rsidR="00EE2A8B" w:rsidRPr="00C97518" w:rsidRDefault="00EE2A8B" w:rsidP="00EE2A8B">
      <w:r w:rsidRPr="00C97518">
        <w:t xml:space="preserve">Receiver intermodulation rejection is a measure of the ability of a receiver to receive the wanted signal without exceeding a specified degradation in output quality caused by the presence of two or more unwanted signals with a specific amplitude and frequency relationship to the wanted signal frequency. Receiver intermodulation rejection is a function of the receiver </w:t>
      </w:r>
      <w:r w:rsidR="00524B34" w:rsidRPr="00C97518">
        <w:t>front-end</w:t>
      </w:r>
      <w:r w:rsidRPr="00C97518">
        <w:t xml:space="preserve"> linearity and the radio frequency filter characteristic.</w:t>
      </w:r>
    </w:p>
    <w:p w14:paraId="6D29B4C2" w14:textId="77777777" w:rsidR="00453EEF" w:rsidRPr="00C97518" w:rsidRDefault="00EE2A8B" w:rsidP="00EE2A8B">
      <w:r w:rsidRPr="00C97518">
        <w:t xml:space="preserve">Technology standards state the power levels of the interfering signals and the offsets from the receivers tuned frequency. Frequency offsets are typically based on a multiple of the technology’s channel bandwidth, and therefore specific offsets for different technologies will vary. </w:t>
      </w:r>
    </w:p>
    <w:p w14:paraId="43DADB56" w14:textId="6D81381F" w:rsidR="00453EEF" w:rsidRPr="00C97518" w:rsidRDefault="00453EEF" w:rsidP="00EE2A8B">
      <w:r w:rsidRPr="00C97518">
        <w:t xml:space="preserve">The value for receiver intermodulation rejection value </w:t>
      </w:r>
      <w:r w:rsidR="00BD4ECE" w:rsidRPr="00C97518">
        <w:t xml:space="preserve">currently </w:t>
      </w:r>
      <w:r w:rsidRPr="00C97518">
        <w:t xml:space="preserve">stated in </w:t>
      </w:r>
      <w:hyperlink r:id="rId49"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s -54 dB, per 1 MHz at an offset of 20 MHz or more. The intermodulation requirement </w:t>
      </w:r>
      <w:r w:rsidRPr="00C97518">
        <w:rPr>
          <w:rFonts w:eastAsiaTheme="minorEastAsia"/>
          <w:szCs w:val="22"/>
          <w:lang w:eastAsia="en-US"/>
        </w:rPr>
        <w:t xml:space="preserve">stated in </w:t>
      </w:r>
      <w:r w:rsidRPr="00C97518">
        <w:t>3GPP 36.104</w:t>
      </w:r>
      <w:r w:rsidRPr="00C97518">
        <w:rPr>
          <w:rStyle w:val="FootnoteReference"/>
        </w:rPr>
        <w:footnoteReference w:id="27"/>
      </w:r>
      <w:r w:rsidRPr="00C97518">
        <w:t xml:space="preserve"> for LTE base station receivers is -52 dBm starting at offsets of 2.5 MHz.</w:t>
      </w:r>
    </w:p>
    <w:p w14:paraId="3E714866" w14:textId="70F84DE8" w:rsidR="00846358" w:rsidRPr="00C97518" w:rsidRDefault="00B85CF5" w:rsidP="00846358">
      <w:r w:rsidRPr="00C97518">
        <w:t xml:space="preserve">A receiver intermodulation rejection level of -52 dBm per occupied bandwidth for each out-of-band signal at frequency offsets greater than or equal to 5 MHz from the upper and lower frequency limit of the licence under which the radiocommunications receiver operates is proposed. </w:t>
      </w:r>
    </w:p>
    <w:p w14:paraId="1AF35948" w14:textId="41C49AA0" w:rsidR="00846358" w:rsidRPr="00C97518" w:rsidRDefault="00537EFC" w:rsidP="00846358">
      <w:pPr>
        <w:pStyle w:val="Heading3"/>
      </w:pPr>
      <w:bookmarkStart w:id="140" w:name="_Toc437508143"/>
      <w:bookmarkStart w:id="141" w:name="_Toc437508448"/>
      <w:bookmarkStart w:id="142" w:name="_Toc437530179"/>
      <w:bookmarkStart w:id="143" w:name="_Toc444690655"/>
      <w:r w:rsidRPr="00C97518">
        <w:t>E</w:t>
      </w:r>
      <w:r w:rsidR="00846358" w:rsidRPr="00C97518">
        <w:t>1.3</w:t>
      </w:r>
      <w:r w:rsidR="00846358" w:rsidRPr="00C97518">
        <w:tab/>
        <w:t>Receiver blocking</w:t>
      </w:r>
      <w:bookmarkEnd w:id="140"/>
      <w:bookmarkEnd w:id="141"/>
      <w:bookmarkEnd w:id="142"/>
      <w:bookmarkEnd w:id="143"/>
    </w:p>
    <w:p w14:paraId="150DC82F" w14:textId="57944744" w:rsidR="00453EEF" w:rsidRPr="00C97518" w:rsidRDefault="00453EEF" w:rsidP="00453EEF">
      <w:r w:rsidRPr="00C97518">
        <w:t xml:space="preserve">Receiver blocking is a measure of the ability of a receiver to receive the wanted signal in the presence of a </w:t>
      </w:r>
      <w:r w:rsidR="00524B34" w:rsidRPr="00C97518">
        <w:t>high-level</w:t>
      </w:r>
      <w:r w:rsidRPr="00C97518">
        <w:t xml:space="preserve"> unwanted signal on frequencies other than the adjacent channel. High levels of unwanted signal can change the operating point of the RF amplifier or mixer stages</w:t>
      </w:r>
      <w:r w:rsidR="00141727" w:rsidRPr="00C97518">
        <w:t>,</w:t>
      </w:r>
      <w:r w:rsidRPr="00C97518">
        <w:t xml:space="preserve"> reducing receiver sensitivity </w:t>
      </w:r>
      <w:r w:rsidR="00141727" w:rsidRPr="00C97518">
        <w:t xml:space="preserve">and </w:t>
      </w:r>
      <w:r w:rsidRPr="00C97518">
        <w:t>effectively blocking the reception of low level wanted signals.</w:t>
      </w:r>
    </w:p>
    <w:p w14:paraId="6A1B6204" w14:textId="28F7396F" w:rsidR="00453EEF" w:rsidRPr="00C97518" w:rsidRDefault="00453EEF" w:rsidP="00453EEF">
      <w:r w:rsidRPr="00C97518">
        <w:t xml:space="preserve">The </w:t>
      </w:r>
      <w:r w:rsidR="00524B34" w:rsidRPr="00C97518">
        <w:t>receiver-blocking</w:t>
      </w:r>
      <w:r w:rsidRPr="00C97518">
        <w:t xml:space="preserve"> requirement is specified as an absolute level rather than a ratio</w:t>
      </w:r>
      <w:r w:rsidR="00141727" w:rsidRPr="00C97518">
        <w:t>,</w:t>
      </w:r>
      <w:r w:rsidRPr="00C97518">
        <w:t xml:space="preserve"> so its relationship to equipment standards is clear, and is not reliant on other aspects such as the minimum wanted level or the receiver noise floor</w:t>
      </w:r>
      <w:r w:rsidR="00141727" w:rsidRPr="00C97518">
        <w:t>,</w:t>
      </w:r>
      <w:r w:rsidRPr="00C97518">
        <w:t xml:space="preserve"> which vary across technologies.</w:t>
      </w:r>
    </w:p>
    <w:p w14:paraId="0A9B866E" w14:textId="28AE5F1D" w:rsidR="00453EEF" w:rsidRPr="00C97518" w:rsidRDefault="00453EEF" w:rsidP="005D4087">
      <w:pPr>
        <w:spacing w:after="80"/>
        <w:rPr>
          <w:rStyle w:val="Hyperlink"/>
        </w:rPr>
      </w:pPr>
      <w:r w:rsidRPr="00C97518">
        <w:t xml:space="preserve">The </w:t>
      </w:r>
      <w:r w:rsidR="00524B34" w:rsidRPr="00C97518">
        <w:t>receiver-blocking</w:t>
      </w:r>
      <w:r w:rsidRPr="00C97518">
        <w:t xml:space="preserve"> requirement</w:t>
      </w:r>
      <w:r w:rsidR="00BD4ECE" w:rsidRPr="00C97518">
        <w:t>s</w:t>
      </w:r>
      <w:r w:rsidRPr="00C97518">
        <w:t xml:space="preserve"> </w:t>
      </w:r>
      <w:r w:rsidR="00BD4ECE" w:rsidRPr="00C97518">
        <w:t xml:space="preserve">currently </w:t>
      </w:r>
      <w:r w:rsidRPr="00C97518">
        <w:t>stated in</w:t>
      </w:r>
      <w:r w:rsidR="00BD4ECE" w:rsidRPr="00C97518">
        <w:t xml:space="preserve"> the</w:t>
      </w:r>
      <w:r w:rsidRPr="00C97518">
        <w:t xml:space="preserve"> </w:t>
      </w:r>
      <w:hyperlink r:id="rId50" w:history="1">
        <w:r w:rsidRPr="00C97518">
          <w:rPr>
            <w:rStyle w:val="Hyperlink"/>
          </w:rPr>
          <w:t>Radiocommunications Advisory Guidelines (Protection of Apparatus-licensed and Class-licensed Receivers - 2 GHz Band) 2015</w:t>
        </w:r>
      </w:hyperlink>
      <w:r w:rsidR="005D4087" w:rsidRPr="00C97518">
        <w:t xml:space="preserve"> </w:t>
      </w:r>
      <w:r w:rsidR="00BD4ECE" w:rsidRPr="00C97518">
        <w:t>are</w:t>
      </w:r>
      <w:r w:rsidRPr="00C97518">
        <w:t>:</w:t>
      </w:r>
      <w:r w:rsidR="00BD4ECE" w:rsidRPr="00C97518">
        <w:t xml:space="preserve"> </w:t>
      </w:r>
    </w:p>
    <w:p w14:paraId="70B1BB7A" w14:textId="093CDE88" w:rsidR="00453EEF" w:rsidRPr="00C97518" w:rsidRDefault="00453EEF" w:rsidP="00537EFC">
      <w:pPr>
        <w:pStyle w:val="ListBullet"/>
        <w:numPr>
          <w:ilvl w:val="0"/>
          <w:numId w:val="1"/>
        </w:numPr>
      </w:pPr>
      <w:r w:rsidRPr="00C97518">
        <w:t>a signal level of -46 dBm per 1 MHz with a frequency offset of 10 MHz or more</w:t>
      </w:r>
    </w:p>
    <w:p w14:paraId="6D72247D" w14:textId="77777777" w:rsidR="00453EEF" w:rsidRPr="00C97518" w:rsidRDefault="00453EEF" w:rsidP="005D4087">
      <w:pPr>
        <w:pStyle w:val="ListBullet"/>
        <w:numPr>
          <w:ilvl w:val="0"/>
          <w:numId w:val="1"/>
        </w:numPr>
        <w:spacing w:after="240"/>
      </w:pPr>
      <w:r w:rsidRPr="00C97518">
        <w:t xml:space="preserve">a signal level of -21 dBm per 1 MHz for frequencies outside the band 1880 to 2190 MHz. </w:t>
      </w:r>
    </w:p>
    <w:p w14:paraId="233DC359" w14:textId="0A73BED5" w:rsidR="00B85CF5" w:rsidRPr="00C97518" w:rsidRDefault="00B85CF5" w:rsidP="005D4087">
      <w:pPr>
        <w:spacing w:after="80"/>
      </w:pPr>
      <w:r w:rsidRPr="00C97518">
        <w:t>The following receiver blocking requirement</w:t>
      </w:r>
      <w:r w:rsidR="00BD4ECE" w:rsidRPr="00C97518">
        <w:t>s are</w:t>
      </w:r>
      <w:r w:rsidRPr="00C97518">
        <w:t xml:space="preserve"> proposed:</w:t>
      </w:r>
    </w:p>
    <w:p w14:paraId="137BEE99" w14:textId="607AF3DA" w:rsidR="00B85CF5" w:rsidRPr="00C97518" w:rsidRDefault="00B85CF5" w:rsidP="00B85CF5">
      <w:pPr>
        <w:pStyle w:val="ListBullet"/>
        <w:numPr>
          <w:ilvl w:val="0"/>
          <w:numId w:val="1"/>
        </w:numPr>
      </w:pPr>
      <w:r w:rsidRPr="00C97518">
        <w:t>-43 dBm per 5 MHz at frequency offsets greater than 5 MHz from the frequency limit of the licence</w:t>
      </w:r>
    </w:p>
    <w:p w14:paraId="147D1F14" w14:textId="0DB6D247" w:rsidR="00B85CF5" w:rsidRPr="00C97518" w:rsidRDefault="00B85CF5" w:rsidP="005D4087">
      <w:pPr>
        <w:pStyle w:val="ListBullet"/>
        <w:numPr>
          <w:ilvl w:val="0"/>
          <w:numId w:val="1"/>
        </w:numPr>
        <w:spacing w:after="240"/>
      </w:pPr>
      <w:r w:rsidRPr="00C97518">
        <w:t>a total mean power of -15 dBm for frequencies outside the band 1900 MHz to 2000 MHz.</w:t>
      </w:r>
    </w:p>
    <w:p w14:paraId="398252F6" w14:textId="438577AD" w:rsidR="008A1505" w:rsidRPr="00C97518" w:rsidRDefault="00856C50" w:rsidP="00B85CF5">
      <w:r w:rsidRPr="00C97518">
        <w:t>Th</w:t>
      </w:r>
      <w:r w:rsidR="009D7410" w:rsidRPr="00C97518">
        <w:t xml:space="preserve">ese proposed requirements </w:t>
      </w:r>
      <w:r w:rsidRPr="00C97518">
        <w:t xml:space="preserve">mirror the receiver blocking requirement </w:t>
      </w:r>
      <w:r w:rsidRPr="00C97518">
        <w:rPr>
          <w:rFonts w:eastAsiaTheme="minorEastAsia"/>
          <w:szCs w:val="22"/>
          <w:lang w:eastAsia="en-US"/>
        </w:rPr>
        <w:t xml:space="preserve">stated in </w:t>
      </w:r>
      <w:r w:rsidRPr="00C97518">
        <w:t>3GPP 36.104</w:t>
      </w:r>
      <w:r w:rsidRPr="00C97518">
        <w:rPr>
          <w:rStyle w:val="FootnoteReference"/>
        </w:rPr>
        <w:footnoteReference w:id="28"/>
      </w:r>
      <w:r w:rsidR="00FD61E0" w:rsidRPr="00C97518">
        <w:t xml:space="preserve"> for wide area base stations.</w:t>
      </w:r>
    </w:p>
    <w:p w14:paraId="2F3DC93D" w14:textId="59DC26A9" w:rsidR="00B85CF5" w:rsidRPr="00C97518" w:rsidRDefault="00537EFC" w:rsidP="00B85CF5">
      <w:pPr>
        <w:pStyle w:val="Heading3"/>
      </w:pPr>
      <w:bookmarkStart w:id="144" w:name="_Toc437508144"/>
      <w:bookmarkStart w:id="145" w:name="_Toc437508449"/>
      <w:bookmarkStart w:id="146" w:name="_Toc437530180"/>
      <w:bookmarkStart w:id="147" w:name="_Toc444690656"/>
      <w:r w:rsidRPr="00C97518">
        <w:t>E</w:t>
      </w:r>
      <w:r w:rsidR="00B85CF5" w:rsidRPr="00C97518">
        <w:t>1.4</w:t>
      </w:r>
      <w:r w:rsidR="00B85CF5" w:rsidRPr="00C97518">
        <w:tab/>
        <w:t>Receiver antenna and feeder losses</w:t>
      </w:r>
      <w:bookmarkEnd w:id="144"/>
      <w:bookmarkEnd w:id="145"/>
      <w:bookmarkEnd w:id="146"/>
      <w:bookmarkEnd w:id="147"/>
    </w:p>
    <w:p w14:paraId="5C4920FE" w14:textId="67F8E229" w:rsidR="00846358" w:rsidRPr="00C97518" w:rsidRDefault="00B85CF5" w:rsidP="00846358">
      <w:r w:rsidRPr="00C97518">
        <w:t xml:space="preserve">A notional antenna gain (including losses) of 18 dBi is proposed. </w:t>
      </w:r>
      <w:r w:rsidR="008A1505" w:rsidRPr="00C97518">
        <w:t xml:space="preserve">The justification for this figure is outlined in </w:t>
      </w:r>
      <w:r w:rsidR="009D7410" w:rsidRPr="00C97518">
        <w:t>s</w:t>
      </w:r>
      <w:r w:rsidR="008A1505" w:rsidRPr="00C97518">
        <w:t>ection B1</w:t>
      </w:r>
      <w:r w:rsidR="009D7410" w:rsidRPr="00C97518">
        <w:t xml:space="preserve"> of attachment B of this consultation paper</w:t>
      </w:r>
      <w:r w:rsidR="008A1505" w:rsidRPr="00C97518">
        <w:t xml:space="preserve">. </w:t>
      </w:r>
    </w:p>
    <w:p w14:paraId="2BCFD6AF" w14:textId="23334DCD" w:rsidR="00846358" w:rsidRPr="00C97518" w:rsidRDefault="00537EFC" w:rsidP="00846358">
      <w:pPr>
        <w:pStyle w:val="Heading2"/>
        <w:ind w:left="567" w:hanging="567"/>
        <w:rPr>
          <w:rFonts w:eastAsiaTheme="minorEastAsia"/>
          <w:szCs w:val="22"/>
          <w:lang w:eastAsia="en-US"/>
        </w:rPr>
      </w:pPr>
      <w:bookmarkStart w:id="148" w:name="_Toc437508145"/>
      <w:bookmarkStart w:id="149" w:name="_Toc437508450"/>
      <w:bookmarkStart w:id="150" w:name="_Toc437530181"/>
      <w:bookmarkStart w:id="151" w:name="_Toc444690657"/>
      <w:r w:rsidRPr="00C97518">
        <w:rPr>
          <w:rFonts w:eastAsiaTheme="minorEastAsia"/>
          <w:szCs w:val="22"/>
          <w:lang w:eastAsia="en-US"/>
        </w:rPr>
        <w:t>E</w:t>
      </w:r>
      <w:r w:rsidR="00846358" w:rsidRPr="00C97518">
        <w:rPr>
          <w:rFonts w:eastAsiaTheme="minorEastAsia"/>
          <w:szCs w:val="22"/>
          <w:lang w:eastAsia="en-US"/>
        </w:rPr>
        <w:t>2</w:t>
      </w:r>
      <w:r w:rsidR="00846358" w:rsidRPr="00C97518">
        <w:rPr>
          <w:rFonts w:eastAsiaTheme="minorEastAsia"/>
          <w:szCs w:val="22"/>
          <w:lang w:eastAsia="en-US"/>
        </w:rPr>
        <w:tab/>
        <w:t>Compatibility requirement</w:t>
      </w:r>
      <w:bookmarkEnd w:id="148"/>
      <w:bookmarkEnd w:id="149"/>
      <w:bookmarkEnd w:id="150"/>
      <w:bookmarkEnd w:id="151"/>
    </w:p>
    <w:p w14:paraId="3768C015" w14:textId="66C17086" w:rsidR="00FD61E0" w:rsidRPr="00C97518" w:rsidRDefault="00FD61E0" w:rsidP="00FD61E0">
      <w:r w:rsidRPr="00C97518">
        <w:t>The present maximum unwanted signal level is -126 dBm for more than one per cent of the time in any one-hour period, when measured as mean power within a 30 kHz rectangular bandwidth that is within the frequency band of the spectrum licence. This is equivalent to a maximum unwanted signal of approximately -104 dBm/5MHz.</w:t>
      </w:r>
    </w:p>
    <w:p w14:paraId="7DC2F01C" w14:textId="15DB9C6F" w:rsidR="006F132F" w:rsidRPr="00C97518" w:rsidRDefault="00FD61E0" w:rsidP="006A5688">
      <w:r w:rsidRPr="00C97518">
        <w:t>It is proposed to change this to a</w:t>
      </w:r>
      <w:r w:rsidR="00B85CF5" w:rsidRPr="00C97518">
        <w:t xml:space="preserve"> </w:t>
      </w:r>
      <w:r w:rsidRPr="00C97518">
        <w:t>maximum</w:t>
      </w:r>
      <w:r w:rsidR="00B85CF5" w:rsidRPr="00C97518">
        <w:t xml:space="preserve"> unwanted </w:t>
      </w:r>
      <w:r w:rsidRPr="00C97518">
        <w:t xml:space="preserve">signal level of </w:t>
      </w:r>
      <w:r w:rsidR="00B85CF5" w:rsidRPr="00C97518">
        <w:t xml:space="preserve">ratio of </w:t>
      </w:r>
      <w:r w:rsidR="006F132F" w:rsidRPr="00C97518">
        <w:t>-108 dBm/5MHz</w:t>
      </w:r>
      <w:r w:rsidRPr="00C97518">
        <w:t xml:space="preserve"> is proposed</w:t>
      </w:r>
      <w:r w:rsidR="00B85CF5" w:rsidRPr="00C97518">
        <w:t>.</w:t>
      </w:r>
      <w:r w:rsidRPr="00C97518">
        <w:t xml:space="preserve"> This results in an I/N of -6 dB and matches the maximum interference level defined in </w:t>
      </w:r>
      <w:r w:rsidRPr="00C97518">
        <w:rPr>
          <w:rFonts w:cs="Arial"/>
        </w:rPr>
        <w:t>ITU-R Report M.2292-0.</w:t>
      </w:r>
    </w:p>
    <w:sectPr w:rsidR="006F132F" w:rsidRPr="00C97518" w:rsidSect="00FB2EA1">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389EC" w14:textId="77777777" w:rsidR="0040559F" w:rsidRDefault="0040559F">
      <w:r>
        <w:separator/>
      </w:r>
    </w:p>
  </w:endnote>
  <w:endnote w:type="continuationSeparator" w:id="0">
    <w:p w14:paraId="77F3D603" w14:textId="77777777" w:rsidR="0040559F" w:rsidRDefault="0040559F">
      <w:r>
        <w:continuationSeparator/>
      </w:r>
    </w:p>
  </w:endnote>
  <w:endnote w:type="continuationNotice" w:id="1">
    <w:p w14:paraId="4BD6F80F" w14:textId="77777777" w:rsidR="0040559F" w:rsidRDefault="004055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Malgun Gothic"/>
    <w:panose1 w:val="00000000000000000000"/>
    <w:charset w:val="00"/>
    <w:family w:val="swiss"/>
    <w:notTrueType/>
    <w:pitch w:val="variable"/>
    <w:sig w:usb0="00000003" w:usb1="40002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879AD" w14:textId="77777777" w:rsidR="0040559F" w:rsidRDefault="0040559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FA52F" w14:textId="77777777" w:rsidR="0040559F" w:rsidRPr="00622A3B" w:rsidRDefault="0040559F" w:rsidP="0076196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7775DA">
      <w:rPr>
        <w:noProof/>
        <w:color w:val="505050"/>
      </w:rPr>
      <w:t>31</w:t>
    </w:r>
    <w:r w:rsidRPr="00575AC5">
      <w:rPr>
        <w:color w:val="505050"/>
      </w:rPr>
      <w:fldChar w:fldCharType="end"/>
    </w:r>
  </w:p>
  <w:p w14:paraId="2340F83C" w14:textId="77777777" w:rsidR="0040559F" w:rsidRDefault="004055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11C09" w14:textId="77777777" w:rsidR="0040559F" w:rsidRPr="00A5474E" w:rsidRDefault="0040559F" w:rsidP="00A5474E">
    <w:pPr>
      <w:pStyle w:val="Footer"/>
    </w:pPr>
    <w:r>
      <w:rPr>
        <w:noProof/>
      </w:rPr>
      <w:drawing>
        <wp:inline distT="0" distB="0" distL="0" distR="0" wp14:anchorId="7A1A6127" wp14:editId="610E15D1">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A46E4" w14:textId="77777777" w:rsidR="0040559F" w:rsidRDefault="0040559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9DCC6" w14:textId="77777777" w:rsidR="0040559F" w:rsidRDefault="0040559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BD35B" w14:textId="77777777" w:rsidR="0040559F" w:rsidRDefault="004055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8F4E6" w14:textId="77777777" w:rsidR="0040559F" w:rsidRPr="00622A3B" w:rsidRDefault="0040559F"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7775DA">
      <w:rPr>
        <w:noProof/>
        <w:color w:val="505050"/>
      </w:rPr>
      <w:t>iv</w:t>
    </w:r>
    <w:r w:rsidRPr="002E4DDC">
      <w:rPr>
        <w:color w:val="505050"/>
      </w:rPr>
      <w:fldChar w:fldCharType="end"/>
    </w:r>
  </w:p>
  <w:p w14:paraId="59F81D8E" w14:textId="77777777" w:rsidR="0040559F" w:rsidRPr="00A5474E" w:rsidRDefault="0040559F"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B5F70" w14:textId="77777777" w:rsidR="0040559F" w:rsidRPr="00622A3B" w:rsidRDefault="0040559F"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4094526" w14:textId="77777777" w:rsidR="0040559F" w:rsidRPr="00A5474E" w:rsidRDefault="0040559F"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1C9A" w14:textId="77777777" w:rsidR="0040559F" w:rsidRPr="00622A3B" w:rsidRDefault="0040559F"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7775DA">
      <w:rPr>
        <w:noProof/>
        <w:color w:val="505050"/>
      </w:rPr>
      <w:t>iii</w:t>
    </w:r>
    <w:r w:rsidRPr="002E4DDC">
      <w:rPr>
        <w:color w:val="505050"/>
      </w:rPr>
      <w:fldChar w:fldCharType="end"/>
    </w:r>
  </w:p>
  <w:p w14:paraId="50040EB2" w14:textId="77777777" w:rsidR="0040559F" w:rsidRPr="00A5474E" w:rsidRDefault="0040559F"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B9C1" w14:textId="77777777" w:rsidR="0040559F" w:rsidRPr="00622A3B" w:rsidRDefault="0040559F" w:rsidP="00761967">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7775DA">
      <w:rPr>
        <w:noProof/>
      </w:rPr>
      <w:t>32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27BF0D76" w14:textId="77777777" w:rsidR="0040559F" w:rsidRDefault="00405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BA758" w14:textId="77777777" w:rsidR="0040559F" w:rsidRDefault="0040559F">
      <w:r>
        <w:separator/>
      </w:r>
    </w:p>
  </w:footnote>
  <w:footnote w:type="continuationSeparator" w:id="0">
    <w:p w14:paraId="433DB879" w14:textId="77777777" w:rsidR="0040559F" w:rsidRDefault="0040559F">
      <w:r>
        <w:continuationSeparator/>
      </w:r>
    </w:p>
  </w:footnote>
  <w:footnote w:type="continuationNotice" w:id="1">
    <w:p w14:paraId="32B9EDC2" w14:textId="77777777" w:rsidR="0040559F" w:rsidRDefault="0040559F">
      <w:pPr>
        <w:spacing w:after="0" w:line="240" w:lineRule="auto"/>
      </w:pPr>
    </w:p>
  </w:footnote>
  <w:footnote w:id="2">
    <w:p w14:paraId="7467EE7B" w14:textId="77777777" w:rsidR="0040559F" w:rsidRDefault="0040559F" w:rsidP="00341D7B">
      <w:pPr>
        <w:pStyle w:val="FootnoteText"/>
        <w:spacing w:after="0"/>
      </w:pPr>
      <w:r>
        <w:rPr>
          <w:rStyle w:val="FootnoteReference"/>
        </w:rPr>
        <w:footnoteRef/>
      </w:r>
      <w:r>
        <w:t xml:space="preserve"> </w:t>
      </w:r>
      <w:r w:rsidRPr="00B62279">
        <w:t>A TLG is a short-term advisory body convened by the ACMA as a forum for consultation between the ACMA, industry and other stakeholders with an interest in the technical aspects of spectrum licences.</w:t>
      </w:r>
    </w:p>
  </w:footnote>
  <w:footnote w:id="3">
    <w:p w14:paraId="4F832990" w14:textId="77777777" w:rsidR="0040559F" w:rsidRDefault="0040559F" w:rsidP="00B020FB">
      <w:pPr>
        <w:pStyle w:val="FootnoteText"/>
        <w:spacing w:after="0"/>
      </w:pPr>
      <w:r>
        <w:rPr>
          <w:rStyle w:val="FootnoteReference"/>
        </w:rPr>
        <w:footnoteRef/>
      </w:r>
      <w:r>
        <w:t xml:space="preserve"> Available on the </w:t>
      </w:r>
      <w:hyperlink r:id="rId1" w:history="1">
        <w:r w:rsidRPr="005E6B5C">
          <w:rPr>
            <w:rStyle w:val="Hyperlink"/>
          </w:rPr>
          <w:t>ACMA website</w:t>
        </w:r>
      </w:hyperlink>
      <w:r>
        <w:t>.</w:t>
      </w:r>
    </w:p>
  </w:footnote>
  <w:footnote w:id="4">
    <w:p w14:paraId="08518EB5" w14:textId="73515477" w:rsidR="0040559F" w:rsidRDefault="0040559F" w:rsidP="006F5AB0">
      <w:pPr>
        <w:pStyle w:val="FootnoteText"/>
        <w:spacing w:after="0"/>
      </w:pPr>
      <w:r>
        <w:rPr>
          <w:rStyle w:val="FootnoteReference"/>
        </w:rPr>
        <w:footnoteRef/>
      </w:r>
      <w:r>
        <w:t xml:space="preserve"> </w:t>
      </w:r>
      <w:hyperlink r:id="rId2" w:history="1">
        <w:r w:rsidRPr="006F5AB0">
          <w:rPr>
            <w:rStyle w:val="Hyperlink"/>
          </w:rPr>
          <w:t>Radiocommunications (Class of Services) Determination 2012</w:t>
        </w:r>
      </w:hyperlink>
    </w:p>
  </w:footnote>
  <w:footnote w:id="5">
    <w:p w14:paraId="75DE56AC" w14:textId="77777777" w:rsidR="0040559F" w:rsidRDefault="0040559F" w:rsidP="005D4087">
      <w:pPr>
        <w:pStyle w:val="FootnoteText"/>
        <w:spacing w:after="0"/>
      </w:pPr>
      <w:r>
        <w:rPr>
          <w:rStyle w:val="FootnoteReference"/>
        </w:rPr>
        <w:footnoteRef/>
      </w:r>
      <w:r>
        <w:t xml:space="preserve"> The current </w:t>
      </w:r>
      <w:r w:rsidRPr="00B94FAB">
        <w:rPr>
          <w:rStyle w:val="ACMAFootnoteTextCharChar"/>
        </w:rPr>
        <w:t>Radiocommunications (</w:t>
      </w:r>
      <w:r w:rsidRPr="007514C0">
        <w:rPr>
          <w:rStyle w:val="ACMAFootnoteTextCharChar"/>
        </w:rPr>
        <w:t>Unacceptable Levels of Interference—2 GHz Band) Determination</w:t>
      </w:r>
      <w:r w:rsidRPr="00B94FAB">
        <w:rPr>
          <w:rStyle w:val="ACMAFootnoteTextCharChar"/>
        </w:rPr>
        <w:t xml:space="preserve"> 20</w:t>
      </w:r>
      <w:r>
        <w:rPr>
          <w:rStyle w:val="ACMAFootnoteTextCharChar"/>
        </w:rPr>
        <w:t>15</w:t>
      </w:r>
      <w:r>
        <w:rPr>
          <w:rStyle w:val="ACMAFootnoteTextCharChar"/>
          <w:i/>
        </w:rPr>
        <w:t xml:space="preserve"> </w:t>
      </w:r>
      <w:r w:rsidRPr="00DE5858">
        <w:rPr>
          <w:rStyle w:val="ACMAFootnoteTextCharChar"/>
        </w:rPr>
        <w:t xml:space="preserve">is available at </w:t>
      </w:r>
      <w:hyperlink r:id="rId3" w:history="1">
        <w:r w:rsidRPr="00F5311E">
          <w:rPr>
            <w:rStyle w:val="Hyperlink"/>
          </w:rPr>
          <w:t>www.comlaw.gov.au</w:t>
        </w:r>
      </w:hyperlink>
      <w:r w:rsidRPr="00FF22A3">
        <w:rPr>
          <w:rStyle w:val="ACMAFootnoteTextCharChar"/>
        </w:rPr>
        <w:t>.</w:t>
      </w:r>
    </w:p>
  </w:footnote>
  <w:footnote w:id="6">
    <w:p w14:paraId="6DAFEAC2" w14:textId="77777777" w:rsidR="0040559F" w:rsidRDefault="0040559F" w:rsidP="005D4087">
      <w:pPr>
        <w:pStyle w:val="FootnoteText"/>
        <w:spacing w:after="0"/>
      </w:pPr>
      <w:r>
        <w:rPr>
          <w:rStyle w:val="FootnoteReference"/>
        </w:rPr>
        <w:footnoteRef/>
      </w:r>
      <w:r>
        <w:t xml:space="preserve"> A full list of RALIs currently in-force is available on the </w:t>
      </w:r>
      <w:hyperlink r:id="rId4" w:history="1">
        <w:r w:rsidRPr="00F5311E">
          <w:rPr>
            <w:rStyle w:val="Hyperlink"/>
          </w:rPr>
          <w:t>ACMA website</w:t>
        </w:r>
      </w:hyperlink>
      <w:r>
        <w:t>.</w:t>
      </w:r>
    </w:p>
  </w:footnote>
  <w:footnote w:id="7">
    <w:p w14:paraId="6842C599" w14:textId="58F0BFB0" w:rsidR="0040559F" w:rsidRDefault="0040559F" w:rsidP="005D4087">
      <w:pPr>
        <w:pStyle w:val="FootnoteText"/>
        <w:spacing w:after="0"/>
      </w:pPr>
      <w:r>
        <w:rPr>
          <w:rStyle w:val="FootnoteReference"/>
        </w:rPr>
        <w:footnoteRef/>
      </w:r>
      <w:r>
        <w:t xml:space="preserve"> See Table 6.6.3.2.1-6 of </w:t>
      </w:r>
      <w:hyperlink r:id="rId5" w:history="1">
        <w:r w:rsidRPr="00006ECD">
          <w:rPr>
            <w:rStyle w:val="Hyperlink"/>
          </w:rPr>
          <w:t>3GPP TS 36.104 version 12.8.0 Release 12</w:t>
        </w:r>
      </w:hyperlink>
      <w:r>
        <w:t>.</w:t>
      </w:r>
    </w:p>
  </w:footnote>
  <w:footnote w:id="8">
    <w:p w14:paraId="147B2B35" w14:textId="77777777" w:rsidR="0040559F" w:rsidRDefault="0040559F" w:rsidP="008C3AB0">
      <w:pPr>
        <w:pStyle w:val="FootnoteText"/>
        <w:spacing w:after="0"/>
      </w:pPr>
      <w:r>
        <w:rPr>
          <w:rStyle w:val="FootnoteReference"/>
        </w:rPr>
        <w:footnoteRef/>
      </w:r>
      <w:r>
        <w:t xml:space="preserve"> See Table 6.6.3.2.1-6 of </w:t>
      </w:r>
      <w:hyperlink r:id="rId6" w:history="1">
        <w:r w:rsidRPr="00006ECD">
          <w:rPr>
            <w:rStyle w:val="Hyperlink"/>
          </w:rPr>
          <w:t>3GPP TS 36.104 version 12.8.0 Release 12</w:t>
        </w:r>
      </w:hyperlink>
      <w:r>
        <w:t>.</w:t>
      </w:r>
    </w:p>
  </w:footnote>
  <w:footnote w:id="9">
    <w:p w14:paraId="7576DD61" w14:textId="77777777" w:rsidR="0040559F" w:rsidRDefault="0040559F" w:rsidP="00594548">
      <w:pPr>
        <w:pStyle w:val="FootnoteText"/>
        <w:spacing w:after="0"/>
      </w:pPr>
      <w:r>
        <w:rPr>
          <w:rStyle w:val="FootnoteReference"/>
        </w:rPr>
        <w:footnoteRef/>
      </w:r>
      <w:r>
        <w:t xml:space="preserve"> See Table 6.6.3.2.1-6 of </w:t>
      </w:r>
      <w:hyperlink r:id="rId7" w:history="1">
        <w:r w:rsidRPr="00006ECD">
          <w:rPr>
            <w:rStyle w:val="Hyperlink"/>
          </w:rPr>
          <w:t>3GPP TS 36.104 version 12.8.0 Release 12</w:t>
        </w:r>
      </w:hyperlink>
      <w:r>
        <w:t>.</w:t>
      </w:r>
    </w:p>
  </w:footnote>
  <w:footnote w:id="10">
    <w:p w14:paraId="6A286230" w14:textId="77777777" w:rsidR="0040559F" w:rsidRDefault="0040559F" w:rsidP="00594548">
      <w:pPr>
        <w:pStyle w:val="FootnoteText"/>
        <w:spacing w:after="0"/>
      </w:pPr>
      <w:r>
        <w:rPr>
          <w:rStyle w:val="FootnoteReference"/>
        </w:rPr>
        <w:footnoteRef/>
      </w:r>
      <w:r>
        <w:t xml:space="preserve"> See Table 6.6.3.2.1-6 of </w:t>
      </w:r>
      <w:hyperlink r:id="rId8" w:history="1">
        <w:r w:rsidRPr="00006ECD">
          <w:rPr>
            <w:rStyle w:val="Hyperlink"/>
          </w:rPr>
          <w:t>3GPP TS 36.104 version 12.8.0 Release 12</w:t>
        </w:r>
      </w:hyperlink>
      <w:r>
        <w:t>.</w:t>
      </w:r>
    </w:p>
  </w:footnote>
  <w:footnote w:id="11">
    <w:p w14:paraId="7BE493DB" w14:textId="77777777" w:rsidR="0040559F" w:rsidRDefault="0040559F" w:rsidP="00594548">
      <w:pPr>
        <w:pStyle w:val="FootnoteText"/>
        <w:spacing w:after="0"/>
      </w:pPr>
      <w:r>
        <w:rPr>
          <w:rStyle w:val="FootnoteReference"/>
        </w:rPr>
        <w:footnoteRef/>
      </w:r>
      <w:r>
        <w:t xml:space="preserve"> See Table 6.6.3.2.1-6 of </w:t>
      </w:r>
      <w:hyperlink r:id="rId9" w:history="1">
        <w:r w:rsidRPr="00006ECD">
          <w:rPr>
            <w:rStyle w:val="Hyperlink"/>
          </w:rPr>
          <w:t>3GPP TS 36.104 version 12.8.0 Release 12</w:t>
        </w:r>
      </w:hyperlink>
      <w:r>
        <w:t>.</w:t>
      </w:r>
    </w:p>
  </w:footnote>
  <w:footnote w:id="12">
    <w:p w14:paraId="2A4BB098" w14:textId="77777777" w:rsidR="0040559F" w:rsidRDefault="0040559F" w:rsidP="00594548">
      <w:pPr>
        <w:pStyle w:val="FootnoteText"/>
        <w:spacing w:after="0"/>
      </w:pPr>
      <w:r>
        <w:rPr>
          <w:rStyle w:val="FootnoteReference"/>
        </w:rPr>
        <w:footnoteRef/>
      </w:r>
      <w:r>
        <w:t xml:space="preserve"> See Table 6.6.3.2.1-6 of </w:t>
      </w:r>
      <w:hyperlink r:id="rId10" w:history="1">
        <w:r w:rsidRPr="00006ECD">
          <w:rPr>
            <w:rStyle w:val="Hyperlink"/>
          </w:rPr>
          <w:t>3GPP TS 36.104 version 12.8.0 Release 12</w:t>
        </w:r>
      </w:hyperlink>
      <w:r>
        <w:t>.</w:t>
      </w:r>
    </w:p>
  </w:footnote>
  <w:footnote w:id="13">
    <w:p w14:paraId="609D0853" w14:textId="77777777" w:rsidR="0040559F" w:rsidRDefault="0040559F" w:rsidP="00C00817">
      <w:pPr>
        <w:pStyle w:val="FootnoteText"/>
        <w:spacing w:after="0"/>
      </w:pPr>
      <w:r>
        <w:rPr>
          <w:rStyle w:val="FootnoteReference"/>
        </w:rPr>
        <w:footnoteRef/>
      </w:r>
      <w:r>
        <w:t xml:space="preserve"> See Table 6.6.2.1.1-1 of </w:t>
      </w:r>
      <w:hyperlink r:id="rId11" w:history="1">
        <w:r w:rsidRPr="00006ECD">
          <w:rPr>
            <w:rStyle w:val="Hyperlink"/>
          </w:rPr>
          <w:t>3GPP TS 36.101 version 12.9.0 Release 12</w:t>
        </w:r>
      </w:hyperlink>
      <w:r>
        <w:t>.</w:t>
      </w:r>
    </w:p>
  </w:footnote>
  <w:footnote w:id="14">
    <w:p w14:paraId="6D998390" w14:textId="77777777" w:rsidR="0040559F" w:rsidRDefault="0040559F" w:rsidP="007552D9">
      <w:pPr>
        <w:pStyle w:val="FootnoteText"/>
        <w:spacing w:after="0"/>
      </w:pPr>
      <w:r>
        <w:rPr>
          <w:rStyle w:val="FootnoteReference"/>
        </w:rPr>
        <w:footnoteRef/>
      </w:r>
      <w:r>
        <w:t xml:space="preserve"> See Table 6.6.2.1.1-1 of </w:t>
      </w:r>
      <w:hyperlink r:id="rId12" w:history="1">
        <w:r w:rsidRPr="00006ECD">
          <w:rPr>
            <w:rStyle w:val="Hyperlink"/>
          </w:rPr>
          <w:t>3GPP TS 36.101 version 12.9.0 Release 12</w:t>
        </w:r>
      </w:hyperlink>
      <w:r>
        <w:t>.</w:t>
      </w:r>
    </w:p>
  </w:footnote>
  <w:footnote w:id="15">
    <w:p w14:paraId="29009D93" w14:textId="77777777" w:rsidR="0040559F" w:rsidRDefault="0040559F" w:rsidP="007552D9">
      <w:pPr>
        <w:pStyle w:val="FootnoteText"/>
        <w:spacing w:after="0"/>
      </w:pPr>
      <w:r>
        <w:rPr>
          <w:rStyle w:val="FootnoteReference"/>
        </w:rPr>
        <w:footnoteRef/>
      </w:r>
      <w:r>
        <w:t xml:space="preserve"> See Table 6.6.2.1.1-1 of </w:t>
      </w:r>
      <w:hyperlink r:id="rId13" w:history="1">
        <w:r w:rsidRPr="00006ECD">
          <w:rPr>
            <w:rStyle w:val="Hyperlink"/>
          </w:rPr>
          <w:t>3GPP TS 36.101 version 12.9.0 Release 12</w:t>
        </w:r>
      </w:hyperlink>
      <w:r>
        <w:t>.</w:t>
      </w:r>
    </w:p>
  </w:footnote>
  <w:footnote w:id="16">
    <w:p w14:paraId="63E251BA" w14:textId="77777777" w:rsidR="0040559F" w:rsidRDefault="0040559F" w:rsidP="00F13B89">
      <w:pPr>
        <w:pStyle w:val="FootnoteText"/>
        <w:spacing w:after="0"/>
      </w:pPr>
      <w:r>
        <w:rPr>
          <w:rStyle w:val="FootnoteReference"/>
        </w:rPr>
        <w:footnoteRef/>
      </w:r>
      <w:r>
        <w:t xml:space="preserve"> See Table 6.6.3.1-2 of </w:t>
      </w:r>
      <w:hyperlink r:id="rId14" w:history="1">
        <w:r w:rsidRPr="00006ECD">
          <w:rPr>
            <w:rStyle w:val="Hyperlink"/>
          </w:rPr>
          <w:t>3GPP TS 36.101 version 12.9.0 Release 12</w:t>
        </w:r>
      </w:hyperlink>
      <w:r>
        <w:t>.</w:t>
      </w:r>
    </w:p>
  </w:footnote>
  <w:footnote w:id="17">
    <w:p w14:paraId="7C663491" w14:textId="77777777" w:rsidR="0040559F" w:rsidRDefault="0040559F" w:rsidP="00F13B89">
      <w:pPr>
        <w:pStyle w:val="FootnoteText"/>
        <w:spacing w:after="0"/>
      </w:pPr>
      <w:r>
        <w:rPr>
          <w:rStyle w:val="FootnoteReference"/>
        </w:rPr>
        <w:footnoteRef/>
      </w:r>
      <w:r>
        <w:t xml:space="preserve"> See Table 6.6.4.1.2.1-1 of </w:t>
      </w:r>
      <w:hyperlink r:id="rId15" w:history="1">
        <w:r w:rsidRPr="00006ECD">
          <w:rPr>
            <w:rStyle w:val="Hyperlink"/>
          </w:rPr>
          <w:t>3GPP TS 36.104 version 12.8.0 Release 12</w:t>
        </w:r>
      </w:hyperlink>
      <w:r>
        <w:t>.</w:t>
      </w:r>
    </w:p>
  </w:footnote>
  <w:footnote w:id="18">
    <w:p w14:paraId="61BE73CD" w14:textId="77777777" w:rsidR="0040559F" w:rsidRDefault="0040559F" w:rsidP="008C0005">
      <w:pPr>
        <w:pStyle w:val="FootnoteText"/>
        <w:spacing w:after="0"/>
      </w:pPr>
      <w:r>
        <w:rPr>
          <w:rStyle w:val="FootnoteReference"/>
        </w:rPr>
        <w:footnoteRef/>
      </w:r>
      <w:r>
        <w:t xml:space="preserve"> See Table 6.6.3.1-1 of </w:t>
      </w:r>
      <w:hyperlink r:id="rId16" w:history="1">
        <w:r w:rsidRPr="00006ECD">
          <w:rPr>
            <w:rStyle w:val="Hyperlink"/>
          </w:rPr>
          <w:t>3GPP TS 36.101 version 12.9.0 Release 12</w:t>
        </w:r>
      </w:hyperlink>
      <w:r>
        <w:t>.</w:t>
      </w:r>
    </w:p>
  </w:footnote>
  <w:footnote w:id="19">
    <w:p w14:paraId="7C15694D" w14:textId="77777777" w:rsidR="0040559F" w:rsidRDefault="0040559F" w:rsidP="008C0005">
      <w:pPr>
        <w:pStyle w:val="FootnoteText"/>
        <w:spacing w:after="0"/>
      </w:pPr>
      <w:r>
        <w:rPr>
          <w:rStyle w:val="FootnoteReference"/>
        </w:rPr>
        <w:footnoteRef/>
      </w:r>
      <w:r>
        <w:t xml:space="preserve"> See Section 6.6.4 of </w:t>
      </w:r>
      <w:hyperlink r:id="rId17" w:history="1">
        <w:r w:rsidRPr="00006ECD">
          <w:rPr>
            <w:rStyle w:val="Hyperlink"/>
          </w:rPr>
          <w:t>3GPP TS 36.104 version 12.8.0 Release 12</w:t>
        </w:r>
      </w:hyperlink>
      <w:r>
        <w:t>.</w:t>
      </w:r>
    </w:p>
  </w:footnote>
  <w:footnote w:id="20">
    <w:p w14:paraId="13FB643F" w14:textId="77777777" w:rsidR="0040559F" w:rsidRDefault="0040559F" w:rsidP="00373E8D">
      <w:pPr>
        <w:pStyle w:val="FootnoteText"/>
        <w:spacing w:after="0"/>
      </w:pPr>
      <w:r>
        <w:rPr>
          <w:rStyle w:val="FootnoteReference"/>
        </w:rPr>
        <w:footnoteRef/>
      </w:r>
      <w:r>
        <w:t xml:space="preserve"> See Table 6.6.3.1-1 of </w:t>
      </w:r>
      <w:hyperlink r:id="rId18" w:history="1">
        <w:r w:rsidRPr="00006ECD">
          <w:rPr>
            <w:rStyle w:val="Hyperlink"/>
          </w:rPr>
          <w:t>3GPP TS 36.101 version 12.9.0 Release 12</w:t>
        </w:r>
      </w:hyperlink>
      <w:r>
        <w:t>.</w:t>
      </w:r>
    </w:p>
  </w:footnote>
  <w:footnote w:id="21">
    <w:p w14:paraId="6BD9990E" w14:textId="77777777" w:rsidR="0040559F" w:rsidRDefault="0040559F" w:rsidP="00373E8D">
      <w:pPr>
        <w:pStyle w:val="FootnoteText"/>
        <w:spacing w:after="0"/>
      </w:pPr>
      <w:r>
        <w:rPr>
          <w:rStyle w:val="FootnoteReference"/>
        </w:rPr>
        <w:footnoteRef/>
      </w:r>
      <w:r>
        <w:t xml:space="preserve"> See Section 6.6.4 of </w:t>
      </w:r>
      <w:hyperlink r:id="rId19" w:history="1">
        <w:r w:rsidRPr="00006ECD">
          <w:rPr>
            <w:rStyle w:val="Hyperlink"/>
          </w:rPr>
          <w:t>3GPP TS 36.104 version 12.8.0 Release 12</w:t>
        </w:r>
      </w:hyperlink>
      <w:r>
        <w:t>.</w:t>
      </w:r>
    </w:p>
  </w:footnote>
  <w:footnote w:id="22">
    <w:p w14:paraId="7751C618" w14:textId="1347F0F9" w:rsidR="0040559F" w:rsidRDefault="0040559F">
      <w:pPr>
        <w:pStyle w:val="FootnoteText"/>
      </w:pPr>
      <w:r>
        <w:rPr>
          <w:rStyle w:val="FootnoteReference"/>
        </w:rPr>
        <w:footnoteRef/>
      </w:r>
      <w:r>
        <w:t xml:space="preserve"> Section 8(1) of the Radiocommunications Act defines a radio emission as the emission of electromagnetic energy at frequencies less than 420 THz without continuous artificial guide.</w:t>
      </w:r>
    </w:p>
  </w:footnote>
  <w:footnote w:id="23">
    <w:p w14:paraId="31604614" w14:textId="69DCF0D3" w:rsidR="0040559F" w:rsidRDefault="0040559F" w:rsidP="00FE4954">
      <w:pPr>
        <w:pStyle w:val="FootnoteText"/>
        <w:spacing w:after="0"/>
      </w:pPr>
      <w:r>
        <w:rPr>
          <w:rStyle w:val="FootnoteReference"/>
        </w:rPr>
        <w:footnoteRef/>
      </w:r>
      <w:r>
        <w:t xml:space="preserve"> See Table 6.2.2-1 (EUTRA band 1) of </w:t>
      </w:r>
      <w:hyperlink r:id="rId20" w:history="1">
        <w:r w:rsidRPr="00006ECD">
          <w:rPr>
            <w:rStyle w:val="Hyperlink"/>
          </w:rPr>
          <w:t>3GPP TS 36.101 version 12.9.0 Release 12</w:t>
        </w:r>
      </w:hyperlink>
      <w:r>
        <w:t>.</w:t>
      </w:r>
    </w:p>
  </w:footnote>
  <w:footnote w:id="24">
    <w:p w14:paraId="0E780E50" w14:textId="0866313A" w:rsidR="0040559F" w:rsidRDefault="0040559F" w:rsidP="00A712D6">
      <w:pPr>
        <w:pStyle w:val="FootnoteText"/>
        <w:spacing w:after="0"/>
      </w:pPr>
      <w:r>
        <w:rPr>
          <w:rStyle w:val="FootnoteReference"/>
        </w:rPr>
        <w:footnoteRef/>
      </w:r>
      <w:r>
        <w:t xml:space="preserve"> Applicable for DC-HSDPA (see Table 7.3 in </w:t>
      </w:r>
      <w:r w:rsidRPr="00B10591">
        <w:t>25.101</w:t>
      </w:r>
      <w:r>
        <w:t>)</w:t>
      </w:r>
    </w:p>
  </w:footnote>
  <w:footnote w:id="25">
    <w:p w14:paraId="2320EFF5" w14:textId="374E48FB" w:rsidR="0040559F" w:rsidRDefault="0040559F" w:rsidP="005D4087">
      <w:pPr>
        <w:pStyle w:val="FootnoteText"/>
        <w:spacing w:after="0"/>
      </w:pPr>
      <w:r>
        <w:rPr>
          <w:rStyle w:val="FootnoteReference"/>
        </w:rPr>
        <w:footnoteRef/>
      </w:r>
      <w:r>
        <w:t xml:space="preserve"> Available at: </w:t>
      </w:r>
      <w:hyperlink r:id="rId21" w:history="1">
        <w:r w:rsidRPr="00D23B2B">
          <w:rPr>
            <w:rStyle w:val="Hyperlink"/>
          </w:rPr>
          <w:t>http://www.acma.gov.au/webwr/_assets/main/lib410188/australian_spectrum_map_grid_28feb2012.pdf</w:t>
        </w:r>
      </w:hyperlink>
      <w:r>
        <w:t xml:space="preserve"> </w:t>
      </w:r>
    </w:p>
  </w:footnote>
  <w:footnote w:id="26">
    <w:p w14:paraId="2D6BED24" w14:textId="41011E72" w:rsidR="0040559F" w:rsidRDefault="0040559F" w:rsidP="005D4087">
      <w:pPr>
        <w:pStyle w:val="FootnoteText"/>
        <w:spacing w:after="0"/>
      </w:pPr>
      <w:r>
        <w:rPr>
          <w:rStyle w:val="FootnoteReference"/>
        </w:rPr>
        <w:footnoteRef/>
      </w:r>
      <w:r>
        <w:t xml:space="preserve"> See Table 7.5.1-3 of </w:t>
      </w:r>
      <w:hyperlink r:id="rId22" w:history="1">
        <w:r w:rsidRPr="00006ECD">
          <w:rPr>
            <w:rStyle w:val="Hyperlink"/>
          </w:rPr>
          <w:t>3GPP TS 36.104 version 12.8.0 Release 12</w:t>
        </w:r>
      </w:hyperlink>
      <w:r>
        <w:t>.</w:t>
      </w:r>
    </w:p>
  </w:footnote>
  <w:footnote w:id="27">
    <w:p w14:paraId="609EB6E2" w14:textId="5E6DD9A0" w:rsidR="0040559F" w:rsidRDefault="0040559F" w:rsidP="00856C50">
      <w:pPr>
        <w:pStyle w:val="FootnoteText"/>
        <w:spacing w:after="0" w:line="240" w:lineRule="auto"/>
      </w:pPr>
      <w:r>
        <w:rPr>
          <w:rStyle w:val="FootnoteReference"/>
        </w:rPr>
        <w:footnoteRef/>
      </w:r>
      <w:r>
        <w:t xml:space="preserve"> See Table 7.8.1-1 and Table 7.8.1-2 of </w:t>
      </w:r>
      <w:hyperlink r:id="rId23" w:history="1">
        <w:r w:rsidRPr="00006ECD">
          <w:rPr>
            <w:rStyle w:val="Hyperlink"/>
          </w:rPr>
          <w:t>3GPP TS 36.104 version 12.8.0 Release 12</w:t>
        </w:r>
      </w:hyperlink>
      <w:r>
        <w:t>.</w:t>
      </w:r>
    </w:p>
  </w:footnote>
  <w:footnote w:id="28">
    <w:p w14:paraId="34D73019" w14:textId="57EB1E5F" w:rsidR="0040559F" w:rsidRDefault="0040559F" w:rsidP="00856C50">
      <w:pPr>
        <w:pStyle w:val="FootnoteText"/>
        <w:spacing w:after="0" w:line="240" w:lineRule="auto"/>
      </w:pPr>
      <w:r>
        <w:rPr>
          <w:rStyle w:val="FootnoteReference"/>
        </w:rPr>
        <w:footnoteRef/>
      </w:r>
      <w:r>
        <w:t xml:space="preserve"> See Table 7.6.1-1 and Table 7.6.1-2 of </w:t>
      </w:r>
      <w:hyperlink r:id="rId24" w:history="1">
        <w:r w:rsidRPr="00006ECD">
          <w:rPr>
            <w:rStyle w:val="Hyperlink"/>
          </w:rPr>
          <w:t>3GPP TS 36.104 version 12.8.0 Release 12</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4FEC6" w14:textId="77777777" w:rsidR="0040559F" w:rsidRDefault="004055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54C13" w14:textId="77777777" w:rsidR="0040559F" w:rsidRPr="00A5474E" w:rsidRDefault="0040559F" w:rsidP="00A5474E">
    <w:pPr>
      <w:pStyle w:val="Header"/>
    </w:pPr>
    <w:r>
      <w:rPr>
        <w:noProof/>
      </w:rPr>
      <w:drawing>
        <wp:inline distT="0" distB="0" distL="0" distR="0" wp14:anchorId="4A3C1FEE" wp14:editId="7FA1B7F0">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17365" w14:textId="77777777" w:rsidR="0040559F" w:rsidRPr="00A5474E" w:rsidRDefault="0040559F"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46847" w14:textId="77777777" w:rsidR="0040559F" w:rsidRDefault="0040559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5D6C" w14:textId="77777777" w:rsidR="0040559F" w:rsidRDefault="0040559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40559F" w14:paraId="4F2968B9" w14:textId="77777777" w:rsidTr="00B020FB">
      <w:trPr>
        <w:trHeight w:hRule="exact" w:val="988"/>
      </w:trPr>
      <w:tc>
        <w:tcPr>
          <w:tcW w:w="7678" w:type="dxa"/>
          <w:shd w:val="clear" w:color="auto" w:fill="auto"/>
        </w:tcPr>
        <w:p w14:paraId="1AB5E546" w14:textId="77777777" w:rsidR="0040559F" w:rsidRDefault="0040559F" w:rsidP="00971914">
          <w:pPr>
            <w:pStyle w:val="Header"/>
          </w:pPr>
        </w:p>
      </w:tc>
    </w:tr>
    <w:tr w:rsidR="0040559F" w14:paraId="51BA5814" w14:textId="77777777" w:rsidTr="00B020FB">
      <w:tc>
        <w:tcPr>
          <w:tcW w:w="7678" w:type="dxa"/>
          <w:shd w:val="clear" w:color="auto" w:fill="auto"/>
        </w:tcPr>
        <w:p w14:paraId="02A36730" w14:textId="77777777" w:rsidR="0040559F" w:rsidRDefault="0040559F" w:rsidP="00971914">
          <w:pPr>
            <w:pStyle w:val="GridTable31"/>
          </w:pPr>
          <w:r>
            <w:t xml:space="preserve">Contents </w:t>
          </w:r>
          <w:r w:rsidRPr="00915B1C">
            <w:rPr>
              <w:b w:val="0"/>
              <w:spacing w:val="0"/>
              <w:sz w:val="28"/>
              <w:szCs w:val="28"/>
            </w:rPr>
            <w:t>(Continued)</w:t>
          </w:r>
        </w:p>
      </w:tc>
    </w:tr>
    <w:tr w:rsidR="0040559F" w14:paraId="33AE3AB0" w14:textId="77777777" w:rsidTr="00B020FB">
      <w:trPr>
        <w:trHeight w:val="1220"/>
      </w:trPr>
      <w:tc>
        <w:tcPr>
          <w:tcW w:w="7678" w:type="dxa"/>
          <w:shd w:val="clear" w:color="auto" w:fill="auto"/>
        </w:tcPr>
        <w:p w14:paraId="74D1E795" w14:textId="77777777" w:rsidR="0040559F" w:rsidRDefault="0040559F" w:rsidP="00971914"/>
      </w:tc>
    </w:tr>
  </w:tbl>
  <w:p w14:paraId="3E0E39A5" w14:textId="77777777" w:rsidR="0040559F" w:rsidRDefault="0040559F" w:rsidP="009719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40559F" w14:paraId="62895D6A" w14:textId="77777777" w:rsidTr="00B020FB">
      <w:trPr>
        <w:trHeight w:hRule="exact" w:val="988"/>
      </w:trPr>
      <w:tc>
        <w:tcPr>
          <w:tcW w:w="7678" w:type="dxa"/>
          <w:shd w:val="clear" w:color="auto" w:fill="auto"/>
        </w:tcPr>
        <w:p w14:paraId="4AE8DD94" w14:textId="77777777" w:rsidR="0040559F" w:rsidRDefault="0040559F" w:rsidP="00971914">
          <w:pPr>
            <w:pStyle w:val="Header"/>
          </w:pPr>
        </w:p>
      </w:tc>
    </w:tr>
    <w:tr w:rsidR="0040559F" w14:paraId="67D500E0" w14:textId="77777777" w:rsidTr="00B020FB">
      <w:tc>
        <w:tcPr>
          <w:tcW w:w="7678" w:type="dxa"/>
          <w:shd w:val="clear" w:color="auto" w:fill="auto"/>
        </w:tcPr>
        <w:p w14:paraId="4AD1A5DE" w14:textId="77777777" w:rsidR="0040559F" w:rsidRDefault="0040559F" w:rsidP="00971914">
          <w:pPr>
            <w:pStyle w:val="GridTable31"/>
          </w:pPr>
          <w:r>
            <w:t xml:space="preserve">Contents </w:t>
          </w:r>
          <w:r w:rsidRPr="00915B1C">
            <w:rPr>
              <w:b w:val="0"/>
              <w:spacing w:val="0"/>
              <w:sz w:val="28"/>
              <w:szCs w:val="28"/>
            </w:rPr>
            <w:t>(Continued)</w:t>
          </w:r>
        </w:p>
      </w:tc>
    </w:tr>
    <w:tr w:rsidR="0040559F" w14:paraId="282D5657" w14:textId="77777777" w:rsidTr="00B020FB">
      <w:trPr>
        <w:trHeight w:val="1220"/>
      </w:trPr>
      <w:tc>
        <w:tcPr>
          <w:tcW w:w="7678" w:type="dxa"/>
          <w:shd w:val="clear" w:color="auto" w:fill="auto"/>
        </w:tcPr>
        <w:p w14:paraId="718F794C" w14:textId="77777777" w:rsidR="0040559F" w:rsidRDefault="0040559F" w:rsidP="00971914"/>
      </w:tc>
    </w:tr>
  </w:tbl>
  <w:p w14:paraId="6E5619A6" w14:textId="77777777" w:rsidR="0040559F" w:rsidRPr="00A5474E" w:rsidRDefault="0040559F"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7F8E0" w14:textId="77777777" w:rsidR="0040559F" w:rsidRDefault="0040559F">
    <w:pPr>
      <w:pStyle w:val="Header"/>
    </w:pPr>
  </w:p>
  <w:p w14:paraId="5EF36684" w14:textId="77777777" w:rsidR="0040559F" w:rsidRDefault="0040559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6C1EF" w14:textId="77777777" w:rsidR="0040559F" w:rsidRDefault="0040559F">
    <w:pPr>
      <w:pStyle w:val="Header"/>
    </w:pPr>
  </w:p>
  <w:p w14:paraId="3A9AC604" w14:textId="77777777" w:rsidR="0040559F" w:rsidRDefault="004055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902A06"/>
    <w:lvl w:ilvl="0">
      <w:start w:val="1"/>
      <w:numFmt w:val="decimal"/>
      <w:lvlText w:val="%1."/>
      <w:lvlJc w:val="left"/>
      <w:pPr>
        <w:tabs>
          <w:tab w:val="num" w:pos="1492"/>
        </w:tabs>
        <w:ind w:left="1492" w:hanging="360"/>
      </w:pPr>
    </w:lvl>
  </w:abstractNum>
  <w:abstractNum w:abstractNumId="1">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nsid w:val="FFFFFF88"/>
    <w:multiLevelType w:val="singleLevel"/>
    <w:tmpl w:val="0C09000F"/>
    <w:lvl w:ilvl="0">
      <w:start w:val="1"/>
      <w:numFmt w:val="decimal"/>
      <w:lvlText w:val="%1."/>
      <w:lvlJc w:val="left"/>
      <w:pPr>
        <w:ind w:left="360" w:hanging="360"/>
      </w:pPr>
      <w:rPr>
        <w:rFonts w:hint="default"/>
        <w:caps/>
        <w:sz w:val="20"/>
      </w:rPr>
    </w:lvl>
  </w:abstractNum>
  <w:abstractNum w:abstractNumId="3">
    <w:nsid w:val="FFFFFF89"/>
    <w:multiLevelType w:val="singleLevel"/>
    <w:tmpl w:val="D590A170"/>
    <w:lvl w:ilvl="0">
      <w:start w:val="1"/>
      <w:numFmt w:val="bullet"/>
      <w:lvlText w:val="&gt;"/>
      <w:lvlJc w:val="left"/>
      <w:pPr>
        <w:tabs>
          <w:tab w:val="num" w:pos="295"/>
        </w:tabs>
        <w:ind w:left="295" w:hanging="295"/>
      </w:pPr>
      <w:rPr>
        <w:rFonts w:ascii="HelveticaNeueLT Std Lt" w:hAnsi="HelveticaNeueLT Std Lt" w:hint="default"/>
        <w:sz w:val="20"/>
      </w:rPr>
    </w:lvl>
  </w:abstractNum>
  <w:abstractNum w:abstractNumId="4">
    <w:nsid w:val="0D5B1BB6"/>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281D1869"/>
    <w:multiLevelType w:val="hybridMultilevel"/>
    <w:tmpl w:val="B53EAB90"/>
    <w:lvl w:ilvl="0" w:tplc="0F660798">
      <w:start w:val="1"/>
      <w:numFmt w:val="decimal"/>
      <w:pStyle w:val="ACMAHeading3"/>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nsid w:val="2F5A5080"/>
    <w:multiLevelType w:val="hybridMultilevel"/>
    <w:tmpl w:val="24705096"/>
    <w:lvl w:ilvl="0" w:tplc="2668C79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8">
    <w:nsid w:val="4BB36184"/>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539010BC"/>
    <w:multiLevelType w:val="hybridMultilevel"/>
    <w:tmpl w:val="73E488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980CED"/>
    <w:multiLevelType w:val="hybridMultilevel"/>
    <w:tmpl w:val="42AE8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2B4E55"/>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5D1943FA"/>
    <w:multiLevelType w:val="hybridMultilevel"/>
    <w:tmpl w:val="14CA10E0"/>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4">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6"/>
  </w:num>
  <w:num w:numId="5">
    <w:abstractNumId w:val="15"/>
  </w:num>
  <w:num w:numId="6">
    <w:abstractNumId w:val="11"/>
  </w:num>
  <w:num w:numId="7">
    <w:abstractNumId w:val="14"/>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3"/>
  </w:num>
  <w:num w:numId="13">
    <w:abstractNumId w:val="4"/>
  </w:num>
  <w:num w:numId="14">
    <w:abstractNumId w:val="8"/>
  </w:num>
  <w:num w:numId="15">
    <w:abstractNumId w:val="12"/>
  </w:num>
  <w:num w:numId="16">
    <w:abstractNumId w:val="0"/>
  </w:num>
  <w:num w:numId="17">
    <w:abstractNumId w:val="9"/>
  </w:num>
  <w:num w:numId="1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5529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5"/>
    <w:rsid w:val="0000153C"/>
    <w:rsid w:val="00006ECD"/>
    <w:rsid w:val="00006F7F"/>
    <w:rsid w:val="00010667"/>
    <w:rsid w:val="000129D5"/>
    <w:rsid w:val="00013C1D"/>
    <w:rsid w:val="00015AE7"/>
    <w:rsid w:val="00016DE6"/>
    <w:rsid w:val="00016E21"/>
    <w:rsid w:val="0001719C"/>
    <w:rsid w:val="00021F98"/>
    <w:rsid w:val="00024087"/>
    <w:rsid w:val="00026F91"/>
    <w:rsid w:val="00036F5E"/>
    <w:rsid w:val="00044D51"/>
    <w:rsid w:val="00045C86"/>
    <w:rsid w:val="0005011A"/>
    <w:rsid w:val="0005045A"/>
    <w:rsid w:val="00051C1E"/>
    <w:rsid w:val="000539F9"/>
    <w:rsid w:val="00054C27"/>
    <w:rsid w:val="000550FC"/>
    <w:rsid w:val="0005562D"/>
    <w:rsid w:val="00055EC3"/>
    <w:rsid w:val="000563CE"/>
    <w:rsid w:val="00060A1E"/>
    <w:rsid w:val="000659B6"/>
    <w:rsid w:val="0006722A"/>
    <w:rsid w:val="00070707"/>
    <w:rsid w:val="00071A05"/>
    <w:rsid w:val="000732CF"/>
    <w:rsid w:val="000743A8"/>
    <w:rsid w:val="00074B5C"/>
    <w:rsid w:val="00075B96"/>
    <w:rsid w:val="00080F61"/>
    <w:rsid w:val="0008196A"/>
    <w:rsid w:val="0008727F"/>
    <w:rsid w:val="0008729D"/>
    <w:rsid w:val="00087BA8"/>
    <w:rsid w:val="0009063E"/>
    <w:rsid w:val="000915ED"/>
    <w:rsid w:val="0009209D"/>
    <w:rsid w:val="000969BD"/>
    <w:rsid w:val="000969BF"/>
    <w:rsid w:val="000A0C22"/>
    <w:rsid w:val="000A3C43"/>
    <w:rsid w:val="000A4A51"/>
    <w:rsid w:val="000A5D2B"/>
    <w:rsid w:val="000A683C"/>
    <w:rsid w:val="000B119C"/>
    <w:rsid w:val="000B5DE3"/>
    <w:rsid w:val="000C0A57"/>
    <w:rsid w:val="000C230C"/>
    <w:rsid w:val="000C6AB4"/>
    <w:rsid w:val="000D6192"/>
    <w:rsid w:val="000D71D9"/>
    <w:rsid w:val="000D76E0"/>
    <w:rsid w:val="000D7E8B"/>
    <w:rsid w:val="000E3724"/>
    <w:rsid w:val="000E4449"/>
    <w:rsid w:val="000E5235"/>
    <w:rsid w:val="000E6097"/>
    <w:rsid w:val="00100B7D"/>
    <w:rsid w:val="00100D32"/>
    <w:rsid w:val="00103829"/>
    <w:rsid w:val="00103CE3"/>
    <w:rsid w:val="00104753"/>
    <w:rsid w:val="00111FCE"/>
    <w:rsid w:val="00112131"/>
    <w:rsid w:val="001123F1"/>
    <w:rsid w:val="0011700E"/>
    <w:rsid w:val="001201C2"/>
    <w:rsid w:val="001229A5"/>
    <w:rsid w:val="00124035"/>
    <w:rsid w:val="0012489B"/>
    <w:rsid w:val="00130017"/>
    <w:rsid w:val="00130F91"/>
    <w:rsid w:val="001349ED"/>
    <w:rsid w:val="00136E26"/>
    <w:rsid w:val="00137424"/>
    <w:rsid w:val="00140318"/>
    <w:rsid w:val="00141727"/>
    <w:rsid w:val="00141AD9"/>
    <w:rsid w:val="00146CE6"/>
    <w:rsid w:val="00150E2F"/>
    <w:rsid w:val="00152903"/>
    <w:rsid w:val="0015484B"/>
    <w:rsid w:val="00154F50"/>
    <w:rsid w:val="0015614F"/>
    <w:rsid w:val="001577C2"/>
    <w:rsid w:val="001620A2"/>
    <w:rsid w:val="001633C4"/>
    <w:rsid w:val="00170594"/>
    <w:rsid w:val="00171591"/>
    <w:rsid w:val="00173981"/>
    <w:rsid w:val="0017458D"/>
    <w:rsid w:val="0017719D"/>
    <w:rsid w:val="0018231E"/>
    <w:rsid w:val="00183C45"/>
    <w:rsid w:val="00185CAB"/>
    <w:rsid w:val="001875B7"/>
    <w:rsid w:val="00187CB3"/>
    <w:rsid w:val="0019050A"/>
    <w:rsid w:val="001910D4"/>
    <w:rsid w:val="00192019"/>
    <w:rsid w:val="001929A5"/>
    <w:rsid w:val="00192CB0"/>
    <w:rsid w:val="00192E8C"/>
    <w:rsid w:val="00194889"/>
    <w:rsid w:val="001976E3"/>
    <w:rsid w:val="001A0CAE"/>
    <w:rsid w:val="001A32C4"/>
    <w:rsid w:val="001A44EC"/>
    <w:rsid w:val="001B1620"/>
    <w:rsid w:val="001B58AA"/>
    <w:rsid w:val="001B7E48"/>
    <w:rsid w:val="001C17CE"/>
    <w:rsid w:val="001C36CA"/>
    <w:rsid w:val="001C44D1"/>
    <w:rsid w:val="001C6AEE"/>
    <w:rsid w:val="001C7630"/>
    <w:rsid w:val="001D599F"/>
    <w:rsid w:val="001D6B19"/>
    <w:rsid w:val="001D6D15"/>
    <w:rsid w:val="001E5204"/>
    <w:rsid w:val="001E61AF"/>
    <w:rsid w:val="001E729B"/>
    <w:rsid w:val="001F444A"/>
    <w:rsid w:val="001F7558"/>
    <w:rsid w:val="00205B57"/>
    <w:rsid w:val="0021332A"/>
    <w:rsid w:val="0021347F"/>
    <w:rsid w:val="002157E0"/>
    <w:rsid w:val="00216A57"/>
    <w:rsid w:val="0022334F"/>
    <w:rsid w:val="00225460"/>
    <w:rsid w:val="00225A67"/>
    <w:rsid w:val="00226819"/>
    <w:rsid w:val="00233101"/>
    <w:rsid w:val="00233817"/>
    <w:rsid w:val="002367FF"/>
    <w:rsid w:val="00236A33"/>
    <w:rsid w:val="00240CE9"/>
    <w:rsid w:val="00241596"/>
    <w:rsid w:val="002434BA"/>
    <w:rsid w:val="00246089"/>
    <w:rsid w:val="00246093"/>
    <w:rsid w:val="00246702"/>
    <w:rsid w:val="00247C59"/>
    <w:rsid w:val="00247F2E"/>
    <w:rsid w:val="00250ADC"/>
    <w:rsid w:val="00250B07"/>
    <w:rsid w:val="00253122"/>
    <w:rsid w:val="00257553"/>
    <w:rsid w:val="00260FB2"/>
    <w:rsid w:val="00262128"/>
    <w:rsid w:val="00270E6C"/>
    <w:rsid w:val="0027165D"/>
    <w:rsid w:val="00272290"/>
    <w:rsid w:val="00273623"/>
    <w:rsid w:val="00273CEB"/>
    <w:rsid w:val="0027403F"/>
    <w:rsid w:val="002800DF"/>
    <w:rsid w:val="00281C89"/>
    <w:rsid w:val="0028282F"/>
    <w:rsid w:val="002928AF"/>
    <w:rsid w:val="002928C7"/>
    <w:rsid w:val="00294EAC"/>
    <w:rsid w:val="0029593B"/>
    <w:rsid w:val="00296E04"/>
    <w:rsid w:val="00297FC5"/>
    <w:rsid w:val="002A0417"/>
    <w:rsid w:val="002A16D8"/>
    <w:rsid w:val="002A1BC8"/>
    <w:rsid w:val="002A3EF2"/>
    <w:rsid w:val="002A5B72"/>
    <w:rsid w:val="002A7AEE"/>
    <w:rsid w:val="002B09C5"/>
    <w:rsid w:val="002B0DED"/>
    <w:rsid w:val="002B19A2"/>
    <w:rsid w:val="002B381A"/>
    <w:rsid w:val="002B4FCC"/>
    <w:rsid w:val="002B7408"/>
    <w:rsid w:val="002B7CFD"/>
    <w:rsid w:val="002C210F"/>
    <w:rsid w:val="002C4953"/>
    <w:rsid w:val="002C503A"/>
    <w:rsid w:val="002D2821"/>
    <w:rsid w:val="002D3600"/>
    <w:rsid w:val="002D3EB6"/>
    <w:rsid w:val="002E3EB5"/>
    <w:rsid w:val="002E4DDC"/>
    <w:rsid w:val="002E6A30"/>
    <w:rsid w:val="002F1803"/>
    <w:rsid w:val="002F42F4"/>
    <w:rsid w:val="002F603B"/>
    <w:rsid w:val="002F6442"/>
    <w:rsid w:val="00302480"/>
    <w:rsid w:val="0030292F"/>
    <w:rsid w:val="00305CBF"/>
    <w:rsid w:val="00305FEB"/>
    <w:rsid w:val="00310C06"/>
    <w:rsid w:val="00312BA0"/>
    <w:rsid w:val="003165E6"/>
    <w:rsid w:val="003221CF"/>
    <w:rsid w:val="00322897"/>
    <w:rsid w:val="003233ED"/>
    <w:rsid w:val="00324D9F"/>
    <w:rsid w:val="00325BF2"/>
    <w:rsid w:val="00327948"/>
    <w:rsid w:val="0033000F"/>
    <w:rsid w:val="00330DEC"/>
    <w:rsid w:val="00332011"/>
    <w:rsid w:val="00332438"/>
    <w:rsid w:val="00332518"/>
    <w:rsid w:val="00332925"/>
    <w:rsid w:val="003332ED"/>
    <w:rsid w:val="00333627"/>
    <w:rsid w:val="003368DC"/>
    <w:rsid w:val="00337FA7"/>
    <w:rsid w:val="00341D7B"/>
    <w:rsid w:val="00345927"/>
    <w:rsid w:val="003459FB"/>
    <w:rsid w:val="00347439"/>
    <w:rsid w:val="003475C3"/>
    <w:rsid w:val="00350584"/>
    <w:rsid w:val="00351857"/>
    <w:rsid w:val="00355B3F"/>
    <w:rsid w:val="0035693C"/>
    <w:rsid w:val="00357301"/>
    <w:rsid w:val="003610E1"/>
    <w:rsid w:val="003671BE"/>
    <w:rsid w:val="0037161B"/>
    <w:rsid w:val="003720F1"/>
    <w:rsid w:val="00372485"/>
    <w:rsid w:val="0037252A"/>
    <w:rsid w:val="00372EBF"/>
    <w:rsid w:val="00373200"/>
    <w:rsid w:val="00373E8D"/>
    <w:rsid w:val="00375EF5"/>
    <w:rsid w:val="003767A5"/>
    <w:rsid w:val="0038291F"/>
    <w:rsid w:val="00385254"/>
    <w:rsid w:val="003867A3"/>
    <w:rsid w:val="00387B1B"/>
    <w:rsid w:val="00391A22"/>
    <w:rsid w:val="003A5F5B"/>
    <w:rsid w:val="003A789A"/>
    <w:rsid w:val="003B12EC"/>
    <w:rsid w:val="003B54ED"/>
    <w:rsid w:val="003C2448"/>
    <w:rsid w:val="003C4423"/>
    <w:rsid w:val="003C77E0"/>
    <w:rsid w:val="003D00D5"/>
    <w:rsid w:val="003D17D7"/>
    <w:rsid w:val="003D2678"/>
    <w:rsid w:val="003D71A3"/>
    <w:rsid w:val="003E2B8A"/>
    <w:rsid w:val="003E47D4"/>
    <w:rsid w:val="003E61B8"/>
    <w:rsid w:val="003E7C1B"/>
    <w:rsid w:val="003F03D9"/>
    <w:rsid w:val="003F10EE"/>
    <w:rsid w:val="003F16F6"/>
    <w:rsid w:val="003F1895"/>
    <w:rsid w:val="003F19DC"/>
    <w:rsid w:val="003F2AEE"/>
    <w:rsid w:val="003F4DC7"/>
    <w:rsid w:val="003F5235"/>
    <w:rsid w:val="00401B53"/>
    <w:rsid w:val="004027E4"/>
    <w:rsid w:val="0040559F"/>
    <w:rsid w:val="004063A5"/>
    <w:rsid w:val="0041071D"/>
    <w:rsid w:val="00414AFC"/>
    <w:rsid w:val="004151A7"/>
    <w:rsid w:val="00415310"/>
    <w:rsid w:val="00421709"/>
    <w:rsid w:val="00423763"/>
    <w:rsid w:val="00423968"/>
    <w:rsid w:val="0042762F"/>
    <w:rsid w:val="00427DC7"/>
    <w:rsid w:val="00431107"/>
    <w:rsid w:val="00431613"/>
    <w:rsid w:val="00431792"/>
    <w:rsid w:val="0043297A"/>
    <w:rsid w:val="00432EB2"/>
    <w:rsid w:val="0043714F"/>
    <w:rsid w:val="004403FA"/>
    <w:rsid w:val="00442FB9"/>
    <w:rsid w:val="004438B5"/>
    <w:rsid w:val="00447037"/>
    <w:rsid w:val="0045124D"/>
    <w:rsid w:val="00453EEF"/>
    <w:rsid w:val="00454596"/>
    <w:rsid w:val="00454918"/>
    <w:rsid w:val="0045605D"/>
    <w:rsid w:val="0046135B"/>
    <w:rsid w:val="0046487C"/>
    <w:rsid w:val="00465035"/>
    <w:rsid w:val="00465C7C"/>
    <w:rsid w:val="004718CC"/>
    <w:rsid w:val="00473C10"/>
    <w:rsid w:val="00473CE6"/>
    <w:rsid w:val="00474A59"/>
    <w:rsid w:val="004772A3"/>
    <w:rsid w:val="00481695"/>
    <w:rsid w:val="00484D99"/>
    <w:rsid w:val="00485034"/>
    <w:rsid w:val="004854DA"/>
    <w:rsid w:val="004871A2"/>
    <w:rsid w:val="0049081D"/>
    <w:rsid w:val="00495A96"/>
    <w:rsid w:val="00495BB3"/>
    <w:rsid w:val="00497C1B"/>
    <w:rsid w:val="00497D85"/>
    <w:rsid w:val="004A56BB"/>
    <w:rsid w:val="004A685E"/>
    <w:rsid w:val="004B0E26"/>
    <w:rsid w:val="004B10CC"/>
    <w:rsid w:val="004B1751"/>
    <w:rsid w:val="004B17BA"/>
    <w:rsid w:val="004C0253"/>
    <w:rsid w:val="004C164A"/>
    <w:rsid w:val="004C6B58"/>
    <w:rsid w:val="004D0120"/>
    <w:rsid w:val="004D3FEF"/>
    <w:rsid w:val="004D56FF"/>
    <w:rsid w:val="004D7922"/>
    <w:rsid w:val="004E39D3"/>
    <w:rsid w:val="004E420D"/>
    <w:rsid w:val="004E508A"/>
    <w:rsid w:val="004E616D"/>
    <w:rsid w:val="004F15ED"/>
    <w:rsid w:val="004F1BDE"/>
    <w:rsid w:val="004F2CEE"/>
    <w:rsid w:val="004F556E"/>
    <w:rsid w:val="004F6A8D"/>
    <w:rsid w:val="004F7F44"/>
    <w:rsid w:val="00500AF2"/>
    <w:rsid w:val="00501573"/>
    <w:rsid w:val="005030BA"/>
    <w:rsid w:val="005037B4"/>
    <w:rsid w:val="00503BA9"/>
    <w:rsid w:val="00505A6C"/>
    <w:rsid w:val="005079BF"/>
    <w:rsid w:val="005109B0"/>
    <w:rsid w:val="00513E76"/>
    <w:rsid w:val="00514C4D"/>
    <w:rsid w:val="00516599"/>
    <w:rsid w:val="00520A4A"/>
    <w:rsid w:val="00520CB5"/>
    <w:rsid w:val="005219E7"/>
    <w:rsid w:val="00524B34"/>
    <w:rsid w:val="00527183"/>
    <w:rsid w:val="00531B9A"/>
    <w:rsid w:val="00531D15"/>
    <w:rsid w:val="00537604"/>
    <w:rsid w:val="00537EFC"/>
    <w:rsid w:val="00540DA5"/>
    <w:rsid w:val="00541290"/>
    <w:rsid w:val="00542377"/>
    <w:rsid w:val="00546359"/>
    <w:rsid w:val="005476EB"/>
    <w:rsid w:val="00550DAD"/>
    <w:rsid w:val="00551782"/>
    <w:rsid w:val="00552CA3"/>
    <w:rsid w:val="00562251"/>
    <w:rsid w:val="00563EF1"/>
    <w:rsid w:val="00564503"/>
    <w:rsid w:val="00564DAB"/>
    <w:rsid w:val="00564E62"/>
    <w:rsid w:val="00566AB4"/>
    <w:rsid w:val="00575AC5"/>
    <w:rsid w:val="0057605D"/>
    <w:rsid w:val="00581347"/>
    <w:rsid w:val="005815FF"/>
    <w:rsid w:val="00581AC9"/>
    <w:rsid w:val="005849F8"/>
    <w:rsid w:val="005915A4"/>
    <w:rsid w:val="0059355E"/>
    <w:rsid w:val="005938DF"/>
    <w:rsid w:val="00594548"/>
    <w:rsid w:val="00594E9C"/>
    <w:rsid w:val="00596FCD"/>
    <w:rsid w:val="005A099B"/>
    <w:rsid w:val="005A2D9C"/>
    <w:rsid w:val="005A55FE"/>
    <w:rsid w:val="005A6A11"/>
    <w:rsid w:val="005C1FDB"/>
    <w:rsid w:val="005C2759"/>
    <w:rsid w:val="005C2C6F"/>
    <w:rsid w:val="005D2502"/>
    <w:rsid w:val="005D4087"/>
    <w:rsid w:val="005D47F3"/>
    <w:rsid w:val="005D49BF"/>
    <w:rsid w:val="005D630F"/>
    <w:rsid w:val="005D6F4E"/>
    <w:rsid w:val="005E0413"/>
    <w:rsid w:val="005E2B57"/>
    <w:rsid w:val="005E3ACD"/>
    <w:rsid w:val="005E7226"/>
    <w:rsid w:val="005E7A57"/>
    <w:rsid w:val="005F24B0"/>
    <w:rsid w:val="00601AD4"/>
    <w:rsid w:val="00604315"/>
    <w:rsid w:val="00604E26"/>
    <w:rsid w:val="006052CF"/>
    <w:rsid w:val="00607B8D"/>
    <w:rsid w:val="00611F5C"/>
    <w:rsid w:val="006128E7"/>
    <w:rsid w:val="0061471E"/>
    <w:rsid w:val="00616E09"/>
    <w:rsid w:val="00617B3C"/>
    <w:rsid w:val="00621350"/>
    <w:rsid w:val="00622A3B"/>
    <w:rsid w:val="00622EEA"/>
    <w:rsid w:val="0062396C"/>
    <w:rsid w:val="00623FF9"/>
    <w:rsid w:val="00626894"/>
    <w:rsid w:val="00627A36"/>
    <w:rsid w:val="00627CDF"/>
    <w:rsid w:val="00627D4E"/>
    <w:rsid w:val="00630FB1"/>
    <w:rsid w:val="00634478"/>
    <w:rsid w:val="00640931"/>
    <w:rsid w:val="00644101"/>
    <w:rsid w:val="00644373"/>
    <w:rsid w:val="00645915"/>
    <w:rsid w:val="006519C3"/>
    <w:rsid w:val="00652B30"/>
    <w:rsid w:val="00656345"/>
    <w:rsid w:val="00656396"/>
    <w:rsid w:val="006569F7"/>
    <w:rsid w:val="00656DC6"/>
    <w:rsid w:val="00664110"/>
    <w:rsid w:val="00664D17"/>
    <w:rsid w:val="00665401"/>
    <w:rsid w:val="00666520"/>
    <w:rsid w:val="00667C5B"/>
    <w:rsid w:val="00667F11"/>
    <w:rsid w:val="00672D35"/>
    <w:rsid w:val="00677465"/>
    <w:rsid w:val="00681BAB"/>
    <w:rsid w:val="00682861"/>
    <w:rsid w:val="006832C8"/>
    <w:rsid w:val="00692CDE"/>
    <w:rsid w:val="00693073"/>
    <w:rsid w:val="00696EA8"/>
    <w:rsid w:val="006977FF"/>
    <w:rsid w:val="00697E13"/>
    <w:rsid w:val="006A01FA"/>
    <w:rsid w:val="006A0C46"/>
    <w:rsid w:val="006A0E9E"/>
    <w:rsid w:val="006A25C7"/>
    <w:rsid w:val="006A3D8A"/>
    <w:rsid w:val="006A4AAD"/>
    <w:rsid w:val="006A5688"/>
    <w:rsid w:val="006A6B0A"/>
    <w:rsid w:val="006A6DA2"/>
    <w:rsid w:val="006A75E4"/>
    <w:rsid w:val="006A7AB2"/>
    <w:rsid w:val="006B5717"/>
    <w:rsid w:val="006B582F"/>
    <w:rsid w:val="006C0CEB"/>
    <w:rsid w:val="006C3B1E"/>
    <w:rsid w:val="006C47FD"/>
    <w:rsid w:val="006C70A0"/>
    <w:rsid w:val="006D27CB"/>
    <w:rsid w:val="006D2F08"/>
    <w:rsid w:val="006D576C"/>
    <w:rsid w:val="006D5865"/>
    <w:rsid w:val="006D6124"/>
    <w:rsid w:val="006E2F5C"/>
    <w:rsid w:val="006E399B"/>
    <w:rsid w:val="006E4B1B"/>
    <w:rsid w:val="006E5445"/>
    <w:rsid w:val="006E6081"/>
    <w:rsid w:val="006E7D93"/>
    <w:rsid w:val="006F132F"/>
    <w:rsid w:val="006F1B96"/>
    <w:rsid w:val="006F21A0"/>
    <w:rsid w:val="006F5AB0"/>
    <w:rsid w:val="007029A3"/>
    <w:rsid w:val="0070539F"/>
    <w:rsid w:val="00706E4E"/>
    <w:rsid w:val="0070791C"/>
    <w:rsid w:val="0071383C"/>
    <w:rsid w:val="007141A7"/>
    <w:rsid w:val="0071601C"/>
    <w:rsid w:val="007169B9"/>
    <w:rsid w:val="00717547"/>
    <w:rsid w:val="00721032"/>
    <w:rsid w:val="00721B55"/>
    <w:rsid w:val="00722214"/>
    <w:rsid w:val="0072439C"/>
    <w:rsid w:val="00726CE4"/>
    <w:rsid w:val="00734143"/>
    <w:rsid w:val="00735FF5"/>
    <w:rsid w:val="00737E47"/>
    <w:rsid w:val="00740EAC"/>
    <w:rsid w:val="00742877"/>
    <w:rsid w:val="00744956"/>
    <w:rsid w:val="00745A5C"/>
    <w:rsid w:val="0074605F"/>
    <w:rsid w:val="00747E94"/>
    <w:rsid w:val="007514C0"/>
    <w:rsid w:val="007552D9"/>
    <w:rsid w:val="00761967"/>
    <w:rsid w:val="00766749"/>
    <w:rsid w:val="00767C1B"/>
    <w:rsid w:val="007714A9"/>
    <w:rsid w:val="00771F8A"/>
    <w:rsid w:val="00773F21"/>
    <w:rsid w:val="0077421F"/>
    <w:rsid w:val="00774F88"/>
    <w:rsid w:val="00774FDB"/>
    <w:rsid w:val="007775DA"/>
    <w:rsid w:val="00777A32"/>
    <w:rsid w:val="00777BA2"/>
    <w:rsid w:val="00781408"/>
    <w:rsid w:val="00783FB2"/>
    <w:rsid w:val="00784F7F"/>
    <w:rsid w:val="007867F0"/>
    <w:rsid w:val="007912CE"/>
    <w:rsid w:val="007920DF"/>
    <w:rsid w:val="0079278B"/>
    <w:rsid w:val="00796F25"/>
    <w:rsid w:val="007A10E4"/>
    <w:rsid w:val="007A2E98"/>
    <w:rsid w:val="007A3BA3"/>
    <w:rsid w:val="007A5B24"/>
    <w:rsid w:val="007A6CC0"/>
    <w:rsid w:val="007A7FEC"/>
    <w:rsid w:val="007B0231"/>
    <w:rsid w:val="007B1499"/>
    <w:rsid w:val="007B1BBF"/>
    <w:rsid w:val="007B2275"/>
    <w:rsid w:val="007B2960"/>
    <w:rsid w:val="007B355D"/>
    <w:rsid w:val="007B7980"/>
    <w:rsid w:val="007C5D5A"/>
    <w:rsid w:val="007C607F"/>
    <w:rsid w:val="007C6A1D"/>
    <w:rsid w:val="007C79DD"/>
    <w:rsid w:val="007D1A97"/>
    <w:rsid w:val="007D2CD6"/>
    <w:rsid w:val="007D3063"/>
    <w:rsid w:val="007D3CEB"/>
    <w:rsid w:val="007D6FB9"/>
    <w:rsid w:val="007D7D0F"/>
    <w:rsid w:val="007E0630"/>
    <w:rsid w:val="007E48EF"/>
    <w:rsid w:val="007E6AF7"/>
    <w:rsid w:val="007E6FD5"/>
    <w:rsid w:val="007E7683"/>
    <w:rsid w:val="007F0DE2"/>
    <w:rsid w:val="007F49FA"/>
    <w:rsid w:val="007F54C4"/>
    <w:rsid w:val="007F6E9A"/>
    <w:rsid w:val="008018CD"/>
    <w:rsid w:val="008029AF"/>
    <w:rsid w:val="008044D4"/>
    <w:rsid w:val="00805477"/>
    <w:rsid w:val="00810AB4"/>
    <w:rsid w:val="00810E0E"/>
    <w:rsid w:val="008117F5"/>
    <w:rsid w:val="00817B56"/>
    <w:rsid w:val="00821A88"/>
    <w:rsid w:val="0082495D"/>
    <w:rsid w:val="00826573"/>
    <w:rsid w:val="00827217"/>
    <w:rsid w:val="00831901"/>
    <w:rsid w:val="00831AC3"/>
    <w:rsid w:val="00836827"/>
    <w:rsid w:val="008402A7"/>
    <w:rsid w:val="0084071B"/>
    <w:rsid w:val="008408FF"/>
    <w:rsid w:val="00841B3C"/>
    <w:rsid w:val="0084332C"/>
    <w:rsid w:val="00846358"/>
    <w:rsid w:val="00851F3F"/>
    <w:rsid w:val="00856C50"/>
    <w:rsid w:val="00856EDC"/>
    <w:rsid w:val="008623B5"/>
    <w:rsid w:val="00870ABA"/>
    <w:rsid w:val="008710E1"/>
    <w:rsid w:val="008716E5"/>
    <w:rsid w:val="00873B41"/>
    <w:rsid w:val="00875C42"/>
    <w:rsid w:val="00881A11"/>
    <w:rsid w:val="00881CA9"/>
    <w:rsid w:val="00883628"/>
    <w:rsid w:val="00885544"/>
    <w:rsid w:val="0088634E"/>
    <w:rsid w:val="00886822"/>
    <w:rsid w:val="00886D0A"/>
    <w:rsid w:val="00890F20"/>
    <w:rsid w:val="00891B49"/>
    <w:rsid w:val="00892425"/>
    <w:rsid w:val="00893AB8"/>
    <w:rsid w:val="008969C5"/>
    <w:rsid w:val="008A04C8"/>
    <w:rsid w:val="008A050A"/>
    <w:rsid w:val="008A1505"/>
    <w:rsid w:val="008A165D"/>
    <w:rsid w:val="008A1F40"/>
    <w:rsid w:val="008A6913"/>
    <w:rsid w:val="008B5CF5"/>
    <w:rsid w:val="008B6581"/>
    <w:rsid w:val="008B70F3"/>
    <w:rsid w:val="008B76DF"/>
    <w:rsid w:val="008C0005"/>
    <w:rsid w:val="008C10F4"/>
    <w:rsid w:val="008C3AB0"/>
    <w:rsid w:val="008C65F7"/>
    <w:rsid w:val="008C6B48"/>
    <w:rsid w:val="008C738A"/>
    <w:rsid w:val="008D34C2"/>
    <w:rsid w:val="008E4767"/>
    <w:rsid w:val="008E5568"/>
    <w:rsid w:val="008E7A8C"/>
    <w:rsid w:val="00903285"/>
    <w:rsid w:val="00904614"/>
    <w:rsid w:val="00906F40"/>
    <w:rsid w:val="0090731E"/>
    <w:rsid w:val="009075FB"/>
    <w:rsid w:val="00915B1C"/>
    <w:rsid w:val="009174F3"/>
    <w:rsid w:val="0091797D"/>
    <w:rsid w:val="009207B5"/>
    <w:rsid w:val="00920F64"/>
    <w:rsid w:val="00923954"/>
    <w:rsid w:val="00923CBA"/>
    <w:rsid w:val="00926703"/>
    <w:rsid w:val="00927691"/>
    <w:rsid w:val="00927A5F"/>
    <w:rsid w:val="009302F9"/>
    <w:rsid w:val="00933308"/>
    <w:rsid w:val="00934649"/>
    <w:rsid w:val="00935B63"/>
    <w:rsid w:val="0094078F"/>
    <w:rsid w:val="00940FA3"/>
    <w:rsid w:val="00941849"/>
    <w:rsid w:val="00941C7E"/>
    <w:rsid w:val="00941FB0"/>
    <w:rsid w:val="00942553"/>
    <w:rsid w:val="009426D4"/>
    <w:rsid w:val="00947F25"/>
    <w:rsid w:val="00950159"/>
    <w:rsid w:val="009519F2"/>
    <w:rsid w:val="00953145"/>
    <w:rsid w:val="0095490B"/>
    <w:rsid w:val="00955EF2"/>
    <w:rsid w:val="00960414"/>
    <w:rsid w:val="009650C7"/>
    <w:rsid w:val="00971914"/>
    <w:rsid w:val="009725C3"/>
    <w:rsid w:val="00974363"/>
    <w:rsid w:val="00976ECE"/>
    <w:rsid w:val="00977D14"/>
    <w:rsid w:val="00981898"/>
    <w:rsid w:val="0099209B"/>
    <w:rsid w:val="00994762"/>
    <w:rsid w:val="0099577C"/>
    <w:rsid w:val="009959FE"/>
    <w:rsid w:val="009A1F21"/>
    <w:rsid w:val="009A2073"/>
    <w:rsid w:val="009A77C1"/>
    <w:rsid w:val="009B06C6"/>
    <w:rsid w:val="009B4E9E"/>
    <w:rsid w:val="009B5964"/>
    <w:rsid w:val="009B7888"/>
    <w:rsid w:val="009B7E20"/>
    <w:rsid w:val="009C1690"/>
    <w:rsid w:val="009C4434"/>
    <w:rsid w:val="009C4F6C"/>
    <w:rsid w:val="009C5896"/>
    <w:rsid w:val="009C6881"/>
    <w:rsid w:val="009C7759"/>
    <w:rsid w:val="009D043D"/>
    <w:rsid w:val="009D6C71"/>
    <w:rsid w:val="009D7410"/>
    <w:rsid w:val="009E039F"/>
    <w:rsid w:val="009E0631"/>
    <w:rsid w:val="009E16D0"/>
    <w:rsid w:val="009E38FD"/>
    <w:rsid w:val="009E5A1E"/>
    <w:rsid w:val="009E6791"/>
    <w:rsid w:val="009E73BD"/>
    <w:rsid w:val="009F13D6"/>
    <w:rsid w:val="009F3811"/>
    <w:rsid w:val="009F4C6B"/>
    <w:rsid w:val="009F4E4B"/>
    <w:rsid w:val="009F69FE"/>
    <w:rsid w:val="009F78A8"/>
    <w:rsid w:val="00A00131"/>
    <w:rsid w:val="00A016F1"/>
    <w:rsid w:val="00A02AD6"/>
    <w:rsid w:val="00A03B98"/>
    <w:rsid w:val="00A0576F"/>
    <w:rsid w:val="00A05B45"/>
    <w:rsid w:val="00A07096"/>
    <w:rsid w:val="00A07318"/>
    <w:rsid w:val="00A11370"/>
    <w:rsid w:val="00A167E8"/>
    <w:rsid w:val="00A17B38"/>
    <w:rsid w:val="00A224CE"/>
    <w:rsid w:val="00A22522"/>
    <w:rsid w:val="00A24AFD"/>
    <w:rsid w:val="00A24F5C"/>
    <w:rsid w:val="00A26FD6"/>
    <w:rsid w:val="00A304F6"/>
    <w:rsid w:val="00A3109E"/>
    <w:rsid w:val="00A32F96"/>
    <w:rsid w:val="00A33082"/>
    <w:rsid w:val="00A358D7"/>
    <w:rsid w:val="00A40871"/>
    <w:rsid w:val="00A40BC9"/>
    <w:rsid w:val="00A412AB"/>
    <w:rsid w:val="00A41483"/>
    <w:rsid w:val="00A4193E"/>
    <w:rsid w:val="00A440E0"/>
    <w:rsid w:val="00A442EF"/>
    <w:rsid w:val="00A44688"/>
    <w:rsid w:val="00A47E79"/>
    <w:rsid w:val="00A51D1A"/>
    <w:rsid w:val="00A53E68"/>
    <w:rsid w:val="00A5418D"/>
    <w:rsid w:val="00A5474E"/>
    <w:rsid w:val="00A55B38"/>
    <w:rsid w:val="00A60A99"/>
    <w:rsid w:val="00A65842"/>
    <w:rsid w:val="00A67C4E"/>
    <w:rsid w:val="00A70ADF"/>
    <w:rsid w:val="00A712D6"/>
    <w:rsid w:val="00A71466"/>
    <w:rsid w:val="00A74B5E"/>
    <w:rsid w:val="00A75061"/>
    <w:rsid w:val="00A81BED"/>
    <w:rsid w:val="00A81EC4"/>
    <w:rsid w:val="00A824AE"/>
    <w:rsid w:val="00A82AD0"/>
    <w:rsid w:val="00A83DED"/>
    <w:rsid w:val="00A8495B"/>
    <w:rsid w:val="00A8552C"/>
    <w:rsid w:val="00A92380"/>
    <w:rsid w:val="00A94808"/>
    <w:rsid w:val="00A961E8"/>
    <w:rsid w:val="00A967FD"/>
    <w:rsid w:val="00A973BE"/>
    <w:rsid w:val="00AB156C"/>
    <w:rsid w:val="00AB578C"/>
    <w:rsid w:val="00AB6814"/>
    <w:rsid w:val="00AC04BA"/>
    <w:rsid w:val="00AC0E39"/>
    <w:rsid w:val="00AC723B"/>
    <w:rsid w:val="00AD3082"/>
    <w:rsid w:val="00AD4AD0"/>
    <w:rsid w:val="00AD4D4E"/>
    <w:rsid w:val="00AD5436"/>
    <w:rsid w:val="00AD60CD"/>
    <w:rsid w:val="00AD6C8C"/>
    <w:rsid w:val="00AD6F87"/>
    <w:rsid w:val="00AD71FD"/>
    <w:rsid w:val="00AE078D"/>
    <w:rsid w:val="00AE091D"/>
    <w:rsid w:val="00AE3B60"/>
    <w:rsid w:val="00AE48C3"/>
    <w:rsid w:val="00AE53A1"/>
    <w:rsid w:val="00AF2484"/>
    <w:rsid w:val="00AF4EC6"/>
    <w:rsid w:val="00AF63E7"/>
    <w:rsid w:val="00AF7377"/>
    <w:rsid w:val="00AF7B5F"/>
    <w:rsid w:val="00B0165D"/>
    <w:rsid w:val="00B020CB"/>
    <w:rsid w:val="00B020FB"/>
    <w:rsid w:val="00B031F3"/>
    <w:rsid w:val="00B052A4"/>
    <w:rsid w:val="00B10591"/>
    <w:rsid w:val="00B125DE"/>
    <w:rsid w:val="00B130B1"/>
    <w:rsid w:val="00B13FDD"/>
    <w:rsid w:val="00B22EB2"/>
    <w:rsid w:val="00B240B6"/>
    <w:rsid w:val="00B2671D"/>
    <w:rsid w:val="00B27442"/>
    <w:rsid w:val="00B31167"/>
    <w:rsid w:val="00B329D8"/>
    <w:rsid w:val="00B32BB9"/>
    <w:rsid w:val="00B33AE1"/>
    <w:rsid w:val="00B37C38"/>
    <w:rsid w:val="00B40536"/>
    <w:rsid w:val="00B4288C"/>
    <w:rsid w:val="00B42E07"/>
    <w:rsid w:val="00B43262"/>
    <w:rsid w:val="00B44100"/>
    <w:rsid w:val="00B46CBA"/>
    <w:rsid w:val="00B46F94"/>
    <w:rsid w:val="00B61F03"/>
    <w:rsid w:val="00B62279"/>
    <w:rsid w:val="00B626E4"/>
    <w:rsid w:val="00B62E36"/>
    <w:rsid w:val="00B65071"/>
    <w:rsid w:val="00B65808"/>
    <w:rsid w:val="00B67522"/>
    <w:rsid w:val="00B72F4A"/>
    <w:rsid w:val="00B7585E"/>
    <w:rsid w:val="00B76BBA"/>
    <w:rsid w:val="00B81B05"/>
    <w:rsid w:val="00B81D59"/>
    <w:rsid w:val="00B83C27"/>
    <w:rsid w:val="00B8479F"/>
    <w:rsid w:val="00B84BC3"/>
    <w:rsid w:val="00B84BDD"/>
    <w:rsid w:val="00B85CF5"/>
    <w:rsid w:val="00B9027F"/>
    <w:rsid w:val="00B92812"/>
    <w:rsid w:val="00BA0B8B"/>
    <w:rsid w:val="00BA3331"/>
    <w:rsid w:val="00BA6F28"/>
    <w:rsid w:val="00BB45A1"/>
    <w:rsid w:val="00BB7686"/>
    <w:rsid w:val="00BC23F9"/>
    <w:rsid w:val="00BC2A05"/>
    <w:rsid w:val="00BC3038"/>
    <w:rsid w:val="00BC3421"/>
    <w:rsid w:val="00BC57CD"/>
    <w:rsid w:val="00BC5DB2"/>
    <w:rsid w:val="00BC732C"/>
    <w:rsid w:val="00BD022D"/>
    <w:rsid w:val="00BD376F"/>
    <w:rsid w:val="00BD4ECE"/>
    <w:rsid w:val="00BE2580"/>
    <w:rsid w:val="00BE266D"/>
    <w:rsid w:val="00BE3938"/>
    <w:rsid w:val="00BE4C11"/>
    <w:rsid w:val="00BE71C0"/>
    <w:rsid w:val="00BF54CE"/>
    <w:rsid w:val="00BF610C"/>
    <w:rsid w:val="00BF7E38"/>
    <w:rsid w:val="00C0060B"/>
    <w:rsid w:val="00C00817"/>
    <w:rsid w:val="00C0277D"/>
    <w:rsid w:val="00C053A1"/>
    <w:rsid w:val="00C077DB"/>
    <w:rsid w:val="00C1300E"/>
    <w:rsid w:val="00C149F5"/>
    <w:rsid w:val="00C16198"/>
    <w:rsid w:val="00C2083D"/>
    <w:rsid w:val="00C24A53"/>
    <w:rsid w:val="00C25C8A"/>
    <w:rsid w:val="00C26D3D"/>
    <w:rsid w:val="00C26EB7"/>
    <w:rsid w:val="00C33533"/>
    <w:rsid w:val="00C360FD"/>
    <w:rsid w:val="00C4032F"/>
    <w:rsid w:val="00C41C7D"/>
    <w:rsid w:val="00C44047"/>
    <w:rsid w:val="00C44655"/>
    <w:rsid w:val="00C45155"/>
    <w:rsid w:val="00C5480D"/>
    <w:rsid w:val="00C5498F"/>
    <w:rsid w:val="00C55235"/>
    <w:rsid w:val="00C6166C"/>
    <w:rsid w:val="00C629A8"/>
    <w:rsid w:val="00C64CD0"/>
    <w:rsid w:val="00C65E91"/>
    <w:rsid w:val="00C6684F"/>
    <w:rsid w:val="00C706DA"/>
    <w:rsid w:val="00C70E70"/>
    <w:rsid w:val="00C71F6A"/>
    <w:rsid w:val="00C75F8D"/>
    <w:rsid w:val="00C760AC"/>
    <w:rsid w:val="00C77380"/>
    <w:rsid w:val="00C91B77"/>
    <w:rsid w:val="00C92A6E"/>
    <w:rsid w:val="00C93E21"/>
    <w:rsid w:val="00C93FB1"/>
    <w:rsid w:val="00C97518"/>
    <w:rsid w:val="00C97736"/>
    <w:rsid w:val="00CA345A"/>
    <w:rsid w:val="00CB0BBE"/>
    <w:rsid w:val="00CB1E82"/>
    <w:rsid w:val="00CB4BA8"/>
    <w:rsid w:val="00CB4E8B"/>
    <w:rsid w:val="00CB52D7"/>
    <w:rsid w:val="00CC2504"/>
    <w:rsid w:val="00CC6732"/>
    <w:rsid w:val="00CD15F3"/>
    <w:rsid w:val="00CD181D"/>
    <w:rsid w:val="00CD3660"/>
    <w:rsid w:val="00CE2EBC"/>
    <w:rsid w:val="00CE3B0E"/>
    <w:rsid w:val="00CE3C96"/>
    <w:rsid w:val="00CE4E5C"/>
    <w:rsid w:val="00CE51A8"/>
    <w:rsid w:val="00CE59DD"/>
    <w:rsid w:val="00CE6B5A"/>
    <w:rsid w:val="00CF369B"/>
    <w:rsid w:val="00CF461F"/>
    <w:rsid w:val="00CF74B0"/>
    <w:rsid w:val="00D00E28"/>
    <w:rsid w:val="00D0269E"/>
    <w:rsid w:val="00D06495"/>
    <w:rsid w:val="00D15810"/>
    <w:rsid w:val="00D16D4E"/>
    <w:rsid w:val="00D16FE3"/>
    <w:rsid w:val="00D21E6B"/>
    <w:rsid w:val="00D27F41"/>
    <w:rsid w:val="00D3534E"/>
    <w:rsid w:val="00D36441"/>
    <w:rsid w:val="00D4064E"/>
    <w:rsid w:val="00D44E9B"/>
    <w:rsid w:val="00D464BD"/>
    <w:rsid w:val="00D47AEB"/>
    <w:rsid w:val="00D50DB9"/>
    <w:rsid w:val="00D52C43"/>
    <w:rsid w:val="00D561DF"/>
    <w:rsid w:val="00D5691F"/>
    <w:rsid w:val="00D573F7"/>
    <w:rsid w:val="00D6129F"/>
    <w:rsid w:val="00D614CF"/>
    <w:rsid w:val="00D61B34"/>
    <w:rsid w:val="00D6507F"/>
    <w:rsid w:val="00D72816"/>
    <w:rsid w:val="00D730BC"/>
    <w:rsid w:val="00D73912"/>
    <w:rsid w:val="00D76385"/>
    <w:rsid w:val="00D76BE9"/>
    <w:rsid w:val="00D81383"/>
    <w:rsid w:val="00D85226"/>
    <w:rsid w:val="00D86695"/>
    <w:rsid w:val="00D870D1"/>
    <w:rsid w:val="00D87B94"/>
    <w:rsid w:val="00D92412"/>
    <w:rsid w:val="00D92D49"/>
    <w:rsid w:val="00D92EC1"/>
    <w:rsid w:val="00D92F7B"/>
    <w:rsid w:val="00D96DEA"/>
    <w:rsid w:val="00DA1A12"/>
    <w:rsid w:val="00DA4E41"/>
    <w:rsid w:val="00DA6084"/>
    <w:rsid w:val="00DB117A"/>
    <w:rsid w:val="00DB5173"/>
    <w:rsid w:val="00DB7873"/>
    <w:rsid w:val="00DC0FCA"/>
    <w:rsid w:val="00DC187B"/>
    <w:rsid w:val="00DC1955"/>
    <w:rsid w:val="00DC5989"/>
    <w:rsid w:val="00DC6129"/>
    <w:rsid w:val="00DD73C2"/>
    <w:rsid w:val="00DE125F"/>
    <w:rsid w:val="00DE319B"/>
    <w:rsid w:val="00DE50DF"/>
    <w:rsid w:val="00DE52D5"/>
    <w:rsid w:val="00DE5557"/>
    <w:rsid w:val="00DF34FE"/>
    <w:rsid w:val="00DF56AA"/>
    <w:rsid w:val="00DF78E7"/>
    <w:rsid w:val="00E01633"/>
    <w:rsid w:val="00E01D40"/>
    <w:rsid w:val="00E069B0"/>
    <w:rsid w:val="00E110E0"/>
    <w:rsid w:val="00E14FB8"/>
    <w:rsid w:val="00E15371"/>
    <w:rsid w:val="00E219DE"/>
    <w:rsid w:val="00E21CA2"/>
    <w:rsid w:val="00E24010"/>
    <w:rsid w:val="00E24104"/>
    <w:rsid w:val="00E259A5"/>
    <w:rsid w:val="00E2707F"/>
    <w:rsid w:val="00E302D0"/>
    <w:rsid w:val="00E30860"/>
    <w:rsid w:val="00E35707"/>
    <w:rsid w:val="00E36AA1"/>
    <w:rsid w:val="00E41ECB"/>
    <w:rsid w:val="00E42800"/>
    <w:rsid w:val="00E43CDB"/>
    <w:rsid w:val="00E45777"/>
    <w:rsid w:val="00E54FDB"/>
    <w:rsid w:val="00E557E9"/>
    <w:rsid w:val="00E5617D"/>
    <w:rsid w:val="00E563D7"/>
    <w:rsid w:val="00E620F7"/>
    <w:rsid w:val="00E626B8"/>
    <w:rsid w:val="00E663F4"/>
    <w:rsid w:val="00E666F2"/>
    <w:rsid w:val="00E66DD4"/>
    <w:rsid w:val="00E74346"/>
    <w:rsid w:val="00E748CC"/>
    <w:rsid w:val="00E75415"/>
    <w:rsid w:val="00E75F2B"/>
    <w:rsid w:val="00E775B1"/>
    <w:rsid w:val="00E77B34"/>
    <w:rsid w:val="00E8152A"/>
    <w:rsid w:val="00E82D9F"/>
    <w:rsid w:val="00E84EDA"/>
    <w:rsid w:val="00E87C3D"/>
    <w:rsid w:val="00E91BC8"/>
    <w:rsid w:val="00E93629"/>
    <w:rsid w:val="00E93B5C"/>
    <w:rsid w:val="00E94CEC"/>
    <w:rsid w:val="00EA04EF"/>
    <w:rsid w:val="00EA5F80"/>
    <w:rsid w:val="00EA6F19"/>
    <w:rsid w:val="00EB01B3"/>
    <w:rsid w:val="00EB0CC0"/>
    <w:rsid w:val="00EB7090"/>
    <w:rsid w:val="00EC1BBE"/>
    <w:rsid w:val="00EC5CD7"/>
    <w:rsid w:val="00EC7A30"/>
    <w:rsid w:val="00ED09FF"/>
    <w:rsid w:val="00ED1A83"/>
    <w:rsid w:val="00ED2079"/>
    <w:rsid w:val="00ED2291"/>
    <w:rsid w:val="00ED2B8D"/>
    <w:rsid w:val="00ED37C9"/>
    <w:rsid w:val="00EE146C"/>
    <w:rsid w:val="00EE14A7"/>
    <w:rsid w:val="00EE2A8B"/>
    <w:rsid w:val="00EE42ED"/>
    <w:rsid w:val="00EE4B20"/>
    <w:rsid w:val="00EE5FB3"/>
    <w:rsid w:val="00EE5FB9"/>
    <w:rsid w:val="00EE7329"/>
    <w:rsid w:val="00EE7F79"/>
    <w:rsid w:val="00EF5471"/>
    <w:rsid w:val="00EF715A"/>
    <w:rsid w:val="00F0300D"/>
    <w:rsid w:val="00F05C2C"/>
    <w:rsid w:val="00F06E14"/>
    <w:rsid w:val="00F12768"/>
    <w:rsid w:val="00F13B89"/>
    <w:rsid w:val="00F179D4"/>
    <w:rsid w:val="00F205B6"/>
    <w:rsid w:val="00F217DF"/>
    <w:rsid w:val="00F22A5C"/>
    <w:rsid w:val="00F24F57"/>
    <w:rsid w:val="00F26322"/>
    <w:rsid w:val="00F33C56"/>
    <w:rsid w:val="00F347C7"/>
    <w:rsid w:val="00F34848"/>
    <w:rsid w:val="00F36FD7"/>
    <w:rsid w:val="00F41ED0"/>
    <w:rsid w:val="00F42D46"/>
    <w:rsid w:val="00F4496C"/>
    <w:rsid w:val="00F44B17"/>
    <w:rsid w:val="00F44F3A"/>
    <w:rsid w:val="00F511B6"/>
    <w:rsid w:val="00F51F10"/>
    <w:rsid w:val="00F529A5"/>
    <w:rsid w:val="00F53069"/>
    <w:rsid w:val="00F55D6F"/>
    <w:rsid w:val="00F60F00"/>
    <w:rsid w:val="00F614C0"/>
    <w:rsid w:val="00F77E28"/>
    <w:rsid w:val="00F8383F"/>
    <w:rsid w:val="00F83848"/>
    <w:rsid w:val="00F85B5D"/>
    <w:rsid w:val="00F92E09"/>
    <w:rsid w:val="00F967EC"/>
    <w:rsid w:val="00F975E9"/>
    <w:rsid w:val="00FA10E6"/>
    <w:rsid w:val="00FA1B7D"/>
    <w:rsid w:val="00FA661D"/>
    <w:rsid w:val="00FB132D"/>
    <w:rsid w:val="00FB2EA1"/>
    <w:rsid w:val="00FB5FBB"/>
    <w:rsid w:val="00FB74D3"/>
    <w:rsid w:val="00FC07B9"/>
    <w:rsid w:val="00FC196F"/>
    <w:rsid w:val="00FC2513"/>
    <w:rsid w:val="00FC4E21"/>
    <w:rsid w:val="00FC5F6D"/>
    <w:rsid w:val="00FD0107"/>
    <w:rsid w:val="00FD2C2F"/>
    <w:rsid w:val="00FD2D63"/>
    <w:rsid w:val="00FD3B31"/>
    <w:rsid w:val="00FD61E0"/>
    <w:rsid w:val="00FE1823"/>
    <w:rsid w:val="00FE487A"/>
    <w:rsid w:val="00FE4954"/>
    <w:rsid w:val="00FF0569"/>
    <w:rsid w:val="00FF11D2"/>
    <w:rsid w:val="00FF206E"/>
    <w:rsid w:val="00FF3C69"/>
    <w:rsid w:val="00FF6E0A"/>
    <w:rsid w:val="00FF72B6"/>
    <w:rsid w:val="00FF7E12"/>
    <w:rsid w:val="00FF7F2B"/>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colormru v:ext="edit" colors="red,#4d4d4f"/>
    </o:shapedefaults>
    <o:shapelayout v:ext="edit">
      <o:idmap v:ext="edit" data="1"/>
    </o:shapelayout>
  </w:shapeDefaults>
  <w:decimalSymbol w:val="."/>
  <w:listSeparator w:val=","/>
  <w14:docId w14:val="77D1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4"/>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4"/>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4"/>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tabs>
        <w:tab w:val="num" w:pos="295"/>
      </w:tabs>
      <w:spacing w:after="80"/>
      <w:ind w:left="295" w:hanging="295"/>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spacing w:after="80"/>
    </w:pPr>
  </w:style>
  <w:style w:type="paragraph" w:styleId="ListNumber2">
    <w:name w:val="List Number 2"/>
    <w:basedOn w:val="Normal"/>
    <w:qFormat/>
    <w:rsid w:val="00247C59"/>
    <w:pPr>
      <w:spacing w:after="80"/>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6"/>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5"/>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customStyle="1" w:styleId="ReportTitle">
    <w:name w:val="Report Title"/>
    <w:basedOn w:val="Normal"/>
    <w:rsid w:val="00A47E79"/>
    <w:pPr>
      <w:spacing w:after="0" w:line="560" w:lineRule="exact"/>
    </w:pPr>
    <w:rPr>
      <w:b/>
      <w:color w:val="4D4D4F"/>
      <w:spacing w:val="-28"/>
      <w:sz w:val="53"/>
    </w:rPr>
  </w:style>
  <w:style w:type="paragraph" w:customStyle="1" w:styleId="ReportSubtitle">
    <w:name w:val="Report Sub title"/>
    <w:basedOn w:val="Normal"/>
    <w:rsid w:val="00A47E79"/>
    <w:pPr>
      <w:spacing w:after="0" w:line="560" w:lineRule="exact"/>
    </w:pPr>
    <w:rPr>
      <w:color w:val="808285"/>
      <w:spacing w:val="-28"/>
      <w:sz w:val="53"/>
    </w:rPr>
  </w:style>
  <w:style w:type="paragraph" w:customStyle="1" w:styleId="ReportDate">
    <w:name w:val="Report Date"/>
    <w:basedOn w:val="ReportSubtitle"/>
    <w:rsid w:val="00A47E79"/>
    <w:pPr>
      <w:spacing w:line="240" w:lineRule="auto"/>
    </w:pPr>
    <w:rPr>
      <w:caps/>
      <w:spacing w:val="-10"/>
      <w:sz w:val="20"/>
    </w:rPr>
  </w:style>
  <w:style w:type="paragraph" w:customStyle="1" w:styleId="Bodysubheader0">
    <w:name w:val="Body sub header"/>
    <w:basedOn w:val="Normal"/>
    <w:next w:val="Normal"/>
    <w:rsid w:val="00A47E79"/>
    <w:pPr>
      <w:spacing w:after="0"/>
    </w:pPr>
    <w:rPr>
      <w:b/>
      <w:i/>
    </w:rPr>
  </w:style>
  <w:style w:type="paragraph" w:customStyle="1" w:styleId="ExecSummaryHeading">
    <w:name w:val="Exec Summary Heading"/>
    <w:basedOn w:val="Normal"/>
    <w:rsid w:val="00A47E79"/>
    <w:pPr>
      <w:spacing w:after="1440" w:line="550" w:lineRule="exact"/>
    </w:pPr>
    <w:rPr>
      <w:b/>
      <w:color w:val="4D4D4F"/>
      <w:spacing w:val="-18"/>
      <w:sz w:val="53"/>
    </w:rPr>
  </w:style>
  <w:style w:type="paragraph" w:styleId="TOC9">
    <w:name w:val="toc 9"/>
    <w:aliases w:val="TOC ExecSumm"/>
    <w:basedOn w:val="Normal"/>
    <w:next w:val="Normal"/>
    <w:uiPriority w:val="39"/>
    <w:rsid w:val="00A47E79"/>
    <w:pPr>
      <w:tabs>
        <w:tab w:val="right" w:pos="7660"/>
      </w:tabs>
      <w:spacing w:before="280" w:after="0" w:line="320" w:lineRule="exact"/>
    </w:pPr>
    <w:rPr>
      <w:b/>
      <w:noProof/>
      <w:color w:val="808285"/>
      <w:sz w:val="28"/>
      <w:szCs w:val="28"/>
    </w:rPr>
  </w:style>
  <w:style w:type="paragraph" w:customStyle="1" w:styleId="ChapterHeading">
    <w:name w:val="Chapter Heading"/>
    <w:basedOn w:val="Normal"/>
    <w:rsid w:val="00A47E79"/>
    <w:pPr>
      <w:spacing w:after="0" w:line="560" w:lineRule="exact"/>
    </w:pPr>
    <w:rPr>
      <w:color w:val="808285"/>
      <w:spacing w:val="-28"/>
      <w:sz w:val="53"/>
    </w:rPr>
  </w:style>
  <w:style w:type="character" w:customStyle="1" w:styleId="apple-style-span">
    <w:name w:val="apple-style-span"/>
    <w:basedOn w:val="DefaultParagraphFont"/>
    <w:rsid w:val="00A47E79"/>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uiPriority w:val="99"/>
    <w:rsid w:val="00A47E79"/>
    <w:rPr>
      <w:rFonts w:ascii="Arial" w:hAnsi="Arial"/>
      <w:sz w:val="16"/>
      <w:szCs w:val="16"/>
    </w:rPr>
  </w:style>
  <w:style w:type="paragraph" w:styleId="ListParagraph">
    <w:name w:val="List Paragraph"/>
    <w:basedOn w:val="Normal"/>
    <w:uiPriority w:val="34"/>
    <w:qFormat/>
    <w:rsid w:val="00A47E79"/>
    <w:pPr>
      <w:spacing w:after="0" w:line="240" w:lineRule="auto"/>
      <w:ind w:left="720"/>
      <w:contextualSpacing/>
    </w:pPr>
    <w:rPr>
      <w:rFonts w:asciiTheme="minorHAnsi" w:eastAsiaTheme="minorEastAsia" w:hAnsiTheme="minorHAnsi" w:cstheme="minorBidi"/>
      <w:sz w:val="24"/>
      <w:lang w:eastAsia="en-US"/>
    </w:rPr>
  </w:style>
  <w:style w:type="paragraph" w:customStyle="1" w:styleId="ACMABodyText">
    <w:name w:val="ACMA Body Text"/>
    <w:link w:val="ACMABodyTextChar"/>
    <w:rsid w:val="00A47E79"/>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locked/>
    <w:rsid w:val="00A47E79"/>
    <w:rPr>
      <w:snapToGrid w:val="0"/>
      <w:szCs w:val="20"/>
      <w:lang w:eastAsia="en-US"/>
    </w:rPr>
  </w:style>
  <w:style w:type="paragraph" w:customStyle="1" w:styleId="ACMAHeading3">
    <w:name w:val="ACMA Heading 3"/>
    <w:next w:val="ACMABodyText"/>
    <w:rsid w:val="00A47E79"/>
    <w:pPr>
      <w:keepNext/>
      <w:numPr>
        <w:numId w:val="9"/>
      </w:numPr>
      <w:suppressAutoHyphens/>
      <w:spacing w:before="240"/>
      <w:ind w:left="0" w:firstLine="0"/>
      <w:outlineLvl w:val="3"/>
    </w:pPr>
    <w:rPr>
      <w:rFonts w:ascii="Arial" w:hAnsi="Arial"/>
      <w:b/>
      <w:szCs w:val="20"/>
      <w:lang w:val="en-US" w:eastAsia="en-US"/>
    </w:rPr>
  </w:style>
  <w:style w:type="paragraph" w:customStyle="1" w:styleId="ACMANumberedList">
    <w:name w:val="ACMA Numbered List"/>
    <w:rsid w:val="00A47E79"/>
    <w:pPr>
      <w:tabs>
        <w:tab w:val="num" w:pos="360"/>
      </w:tabs>
      <w:spacing w:before="20" w:after="20"/>
    </w:pPr>
    <w:rPr>
      <w:szCs w:val="20"/>
      <w:lang w:eastAsia="en-US"/>
    </w:rPr>
  </w:style>
  <w:style w:type="paragraph" w:customStyle="1" w:styleId="Summary">
    <w:name w:val="Summary"/>
    <w:basedOn w:val="Normal"/>
    <w:next w:val="Normal"/>
    <w:autoRedefine/>
    <w:rsid w:val="00A47E79"/>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pPr>
    <w:rPr>
      <w:rFonts w:ascii="Times New Roman" w:hAnsi="Times New Roman"/>
      <w:sz w:val="22"/>
      <w:szCs w:val="20"/>
      <w:lang w:val="es-ES_tradnl" w:eastAsia="en-US"/>
    </w:rPr>
  </w:style>
  <w:style w:type="character" w:customStyle="1" w:styleId="Heading1Char">
    <w:name w:val="Heading 1 Char"/>
    <w:basedOn w:val="DefaultParagraphFont"/>
    <w:link w:val="Heading1"/>
    <w:rsid w:val="00A47E79"/>
    <w:rPr>
      <w:rFonts w:ascii="Arial" w:hAnsi="Arial" w:cs="Arial"/>
      <w:bCs/>
      <w:color w:val="323232"/>
      <w:kern w:val="32"/>
      <w:sz w:val="53"/>
      <w:szCs w:val="32"/>
    </w:rPr>
  </w:style>
  <w:style w:type="character" w:customStyle="1" w:styleId="Heading2Char">
    <w:name w:val="Heading 2 Char"/>
    <w:basedOn w:val="DefaultParagraphFont"/>
    <w:link w:val="Heading2"/>
    <w:rsid w:val="00A47E79"/>
    <w:rPr>
      <w:rFonts w:ascii="Arial" w:hAnsi="Arial" w:cs="Arial"/>
      <w:b/>
      <w:bCs/>
      <w:iCs/>
      <w:sz w:val="28"/>
      <w:szCs w:val="28"/>
    </w:rPr>
  </w:style>
  <w:style w:type="character" w:customStyle="1" w:styleId="Heading3Char">
    <w:name w:val="Heading 3 Char"/>
    <w:basedOn w:val="DefaultParagraphFont"/>
    <w:link w:val="Heading3"/>
    <w:rsid w:val="00A47E79"/>
    <w:rPr>
      <w:rFonts w:ascii="Arial" w:hAnsi="Arial" w:cs="Arial"/>
      <w:b/>
      <w:bCs/>
      <w:sz w:val="20"/>
      <w:szCs w:val="26"/>
    </w:rPr>
  </w:style>
  <w:style w:type="paragraph" w:styleId="Revision">
    <w:name w:val="Revision"/>
    <w:hidden/>
    <w:uiPriority w:val="99"/>
    <w:semiHidden/>
    <w:rsid w:val="00A47E79"/>
    <w:rPr>
      <w:rFonts w:ascii="Arial" w:hAnsi="Arial"/>
      <w:sz w:val="20"/>
    </w:rPr>
  </w:style>
  <w:style w:type="paragraph" w:customStyle="1" w:styleId="Default">
    <w:name w:val="Default"/>
    <w:rsid w:val="00A47E79"/>
    <w:pPr>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A47E79"/>
    <w:pPr>
      <w:spacing w:before="100" w:beforeAutospacing="1" w:after="100" w:afterAutospacing="1" w:line="240" w:lineRule="auto"/>
    </w:pPr>
    <w:rPr>
      <w:rFonts w:ascii="Times New Roman" w:hAnsi="Times New Roman"/>
      <w:sz w:val="24"/>
    </w:rPr>
  </w:style>
  <w:style w:type="paragraph" w:customStyle="1" w:styleId="ACMABulletLevel1">
    <w:name w:val="ACMA Bullet Level 1"/>
    <w:rsid w:val="00A47E79"/>
    <w:pPr>
      <w:numPr>
        <w:numId w:val="10"/>
      </w:numPr>
      <w:spacing w:after="120"/>
    </w:pPr>
    <w:rPr>
      <w:szCs w:val="20"/>
      <w:lang w:eastAsia="en-US"/>
    </w:rPr>
  </w:style>
  <w:style w:type="character" w:customStyle="1" w:styleId="ACMAFootnoteTextCharChar">
    <w:name w:val="ACMA Footnote Text Char Char"/>
    <w:basedOn w:val="DefaultParagraphFont"/>
    <w:rsid w:val="007A5B24"/>
    <w:rPr>
      <w:lang w:val="en-AU" w:eastAsia="en-US" w:bidi="ar-SA"/>
    </w:rPr>
  </w:style>
  <w:style w:type="paragraph" w:customStyle="1" w:styleId="P1">
    <w:name w:val="P1"/>
    <w:aliases w:val="(a)"/>
    <w:basedOn w:val="Normal"/>
    <w:rsid w:val="005C1FDB"/>
    <w:pPr>
      <w:keepLines/>
      <w:tabs>
        <w:tab w:val="right" w:pos="1191"/>
      </w:tabs>
      <w:spacing w:before="60" w:after="0" w:line="260" w:lineRule="exact"/>
      <w:ind w:left="1418" w:hanging="1418"/>
      <w:jc w:val="both"/>
    </w:pPr>
    <w:rPr>
      <w:rFonts w:ascii="Times New Roman" w:hAnsi="Times New Roman"/>
      <w:sz w:val="24"/>
    </w:rPr>
  </w:style>
  <w:style w:type="paragraph" w:customStyle="1" w:styleId="definition">
    <w:name w:val="definition"/>
    <w:basedOn w:val="Normal"/>
    <w:link w:val="definitionChar"/>
    <w:rsid w:val="007867F0"/>
    <w:pPr>
      <w:spacing w:before="80" w:after="0" w:line="260" w:lineRule="exact"/>
      <w:ind w:left="964"/>
      <w:jc w:val="both"/>
    </w:pPr>
    <w:rPr>
      <w:rFonts w:ascii="Times New Roman" w:hAnsi="Times New Roman"/>
      <w:noProof/>
      <w:sz w:val="24"/>
      <w:lang w:eastAsia="en-US"/>
    </w:rPr>
  </w:style>
  <w:style w:type="character" w:customStyle="1" w:styleId="definitionChar">
    <w:name w:val="definition Char"/>
    <w:link w:val="definition"/>
    <w:rsid w:val="007867F0"/>
    <w:rPr>
      <w:noProof/>
      <w:lang w:eastAsia="en-US"/>
    </w:rPr>
  </w:style>
  <w:style w:type="character" w:customStyle="1" w:styleId="CharPartText">
    <w:name w:val="CharPartText"/>
    <w:basedOn w:val="DefaultParagraphFont"/>
    <w:rsid w:val="007867F0"/>
  </w:style>
  <w:style w:type="table" w:customStyle="1" w:styleId="TableGrid1">
    <w:name w:val="Table Grid1"/>
    <w:basedOn w:val="TableNormal"/>
    <w:next w:val="TableGrid"/>
    <w:rsid w:val="009046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9046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qFormat/>
    <w:rsid w:val="00846358"/>
    <w:pPr>
      <w:spacing w:before="480" w:after="0" w:line="240" w:lineRule="auto"/>
    </w:pPr>
    <w:rPr>
      <w:rFonts w:cs="Arial"/>
      <w:b/>
      <w:bCs/>
      <w:sz w:val="40"/>
      <w:szCs w:val="40"/>
    </w:rPr>
  </w:style>
  <w:style w:type="character" w:customStyle="1" w:styleId="TitleChar">
    <w:name w:val="Title Char"/>
    <w:basedOn w:val="DefaultParagraphFont"/>
    <w:link w:val="Title"/>
    <w:rsid w:val="00846358"/>
    <w:rPr>
      <w:rFonts w:ascii="Arial" w:hAnsi="Arial" w:cs="Arial"/>
      <w:b/>
      <w:bCs/>
      <w:sz w:val="40"/>
      <w:szCs w:val="40"/>
    </w:rPr>
  </w:style>
  <w:style w:type="table" w:customStyle="1" w:styleId="TableGrid3">
    <w:name w:val="Table Grid3"/>
    <w:basedOn w:val="TableNormal"/>
    <w:next w:val="TableGrid"/>
    <w:uiPriority w:val="39"/>
    <w:rsid w:val="00BA0B8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07180">
      <w:bodyDiv w:val="1"/>
      <w:marLeft w:val="0"/>
      <w:marRight w:val="0"/>
      <w:marTop w:val="0"/>
      <w:marBottom w:val="0"/>
      <w:divBdr>
        <w:top w:val="none" w:sz="0" w:space="0" w:color="auto"/>
        <w:left w:val="none" w:sz="0" w:space="0" w:color="auto"/>
        <w:bottom w:val="none" w:sz="0" w:space="0" w:color="auto"/>
        <w:right w:val="none" w:sz="0" w:space="0" w:color="auto"/>
      </w:divBdr>
    </w:div>
    <w:div w:id="69694345">
      <w:bodyDiv w:val="1"/>
      <w:marLeft w:val="0"/>
      <w:marRight w:val="0"/>
      <w:marTop w:val="0"/>
      <w:marBottom w:val="0"/>
      <w:divBdr>
        <w:top w:val="none" w:sz="0" w:space="0" w:color="auto"/>
        <w:left w:val="none" w:sz="0" w:space="0" w:color="auto"/>
        <w:bottom w:val="none" w:sz="0" w:space="0" w:color="auto"/>
        <w:right w:val="none" w:sz="0" w:space="0" w:color="auto"/>
      </w:divBdr>
    </w:div>
    <w:div w:id="226571257">
      <w:bodyDiv w:val="1"/>
      <w:marLeft w:val="0"/>
      <w:marRight w:val="0"/>
      <w:marTop w:val="0"/>
      <w:marBottom w:val="0"/>
      <w:divBdr>
        <w:top w:val="none" w:sz="0" w:space="0" w:color="auto"/>
        <w:left w:val="none" w:sz="0" w:space="0" w:color="auto"/>
        <w:bottom w:val="none" w:sz="0" w:space="0" w:color="auto"/>
        <w:right w:val="none" w:sz="0" w:space="0" w:color="auto"/>
      </w:divBdr>
    </w:div>
    <w:div w:id="1094397091">
      <w:bodyDiv w:val="1"/>
      <w:marLeft w:val="0"/>
      <w:marRight w:val="0"/>
      <w:marTop w:val="0"/>
      <w:marBottom w:val="0"/>
      <w:divBdr>
        <w:top w:val="none" w:sz="0" w:space="0" w:color="auto"/>
        <w:left w:val="none" w:sz="0" w:space="0" w:color="auto"/>
        <w:bottom w:val="none" w:sz="0" w:space="0" w:color="auto"/>
        <w:right w:val="none" w:sz="0" w:space="0" w:color="auto"/>
      </w:divBdr>
    </w:div>
    <w:div w:id="1182624681">
      <w:bodyDiv w:val="1"/>
      <w:marLeft w:val="0"/>
      <w:marRight w:val="0"/>
      <w:marTop w:val="0"/>
      <w:marBottom w:val="0"/>
      <w:divBdr>
        <w:top w:val="none" w:sz="0" w:space="0" w:color="auto"/>
        <w:left w:val="none" w:sz="0" w:space="0" w:color="auto"/>
        <w:bottom w:val="none" w:sz="0" w:space="0" w:color="auto"/>
        <w:right w:val="none" w:sz="0" w:space="0" w:color="auto"/>
      </w:divBdr>
    </w:div>
    <w:div w:id="1375500378">
      <w:bodyDiv w:val="1"/>
      <w:marLeft w:val="0"/>
      <w:marRight w:val="0"/>
      <w:marTop w:val="0"/>
      <w:marBottom w:val="0"/>
      <w:divBdr>
        <w:top w:val="none" w:sz="0" w:space="0" w:color="auto"/>
        <w:left w:val="none" w:sz="0" w:space="0" w:color="auto"/>
        <w:bottom w:val="none" w:sz="0" w:space="0" w:color="auto"/>
        <w:right w:val="none" w:sz="0" w:space="0" w:color="auto"/>
      </w:divBdr>
    </w:div>
    <w:div w:id="1667054647">
      <w:bodyDiv w:val="1"/>
      <w:marLeft w:val="0"/>
      <w:marRight w:val="0"/>
      <w:marTop w:val="0"/>
      <w:marBottom w:val="0"/>
      <w:divBdr>
        <w:top w:val="none" w:sz="0" w:space="0" w:color="auto"/>
        <w:left w:val="none" w:sz="0" w:space="0" w:color="auto"/>
        <w:bottom w:val="none" w:sz="0" w:space="0" w:color="auto"/>
        <w:right w:val="none" w:sz="0" w:space="0" w:color="auto"/>
      </w:divBdr>
    </w:div>
    <w:div w:id="1738548051">
      <w:bodyDiv w:val="1"/>
      <w:marLeft w:val="0"/>
      <w:marRight w:val="0"/>
      <w:marTop w:val="0"/>
      <w:marBottom w:val="0"/>
      <w:divBdr>
        <w:top w:val="none" w:sz="0" w:space="0" w:color="auto"/>
        <w:left w:val="none" w:sz="0" w:space="0" w:color="auto"/>
        <w:bottom w:val="none" w:sz="0" w:space="0" w:color="auto"/>
        <w:right w:val="none" w:sz="0" w:space="0" w:color="auto"/>
      </w:divBdr>
    </w:div>
    <w:div w:id="1817607531">
      <w:bodyDiv w:val="1"/>
      <w:marLeft w:val="0"/>
      <w:marRight w:val="0"/>
      <w:marTop w:val="0"/>
      <w:marBottom w:val="0"/>
      <w:divBdr>
        <w:top w:val="none" w:sz="0" w:space="0" w:color="auto"/>
        <w:left w:val="none" w:sz="0" w:space="0" w:color="auto"/>
        <w:bottom w:val="none" w:sz="0" w:space="0" w:color="auto"/>
        <w:right w:val="none" w:sz="0" w:space="0" w:color="auto"/>
      </w:divBdr>
    </w:div>
    <w:div w:id="1854489617">
      <w:bodyDiv w:val="1"/>
      <w:marLeft w:val="0"/>
      <w:marRight w:val="0"/>
      <w:marTop w:val="0"/>
      <w:marBottom w:val="0"/>
      <w:divBdr>
        <w:top w:val="none" w:sz="0" w:space="0" w:color="auto"/>
        <w:left w:val="none" w:sz="0" w:space="0" w:color="auto"/>
        <w:bottom w:val="none" w:sz="0" w:space="0" w:color="auto"/>
        <w:right w:val="none" w:sz="0" w:space="0" w:color="auto"/>
      </w:divBdr>
    </w:div>
    <w:div w:id="1931890963">
      <w:bodyDiv w:val="1"/>
      <w:marLeft w:val="0"/>
      <w:marRight w:val="0"/>
      <w:marTop w:val="0"/>
      <w:marBottom w:val="0"/>
      <w:divBdr>
        <w:top w:val="none" w:sz="0" w:space="0" w:color="auto"/>
        <w:left w:val="none" w:sz="0" w:space="0" w:color="auto"/>
        <w:bottom w:val="none" w:sz="0" w:space="0" w:color="auto"/>
        <w:right w:val="none" w:sz="0" w:space="0" w:color="auto"/>
      </w:divBdr>
    </w:div>
    <w:div w:id="2032030267">
      <w:bodyDiv w:val="1"/>
      <w:marLeft w:val="0"/>
      <w:marRight w:val="0"/>
      <w:marTop w:val="0"/>
      <w:marBottom w:val="0"/>
      <w:divBdr>
        <w:top w:val="none" w:sz="0" w:space="0" w:color="auto"/>
        <w:left w:val="none" w:sz="0" w:space="0" w:color="auto"/>
        <w:bottom w:val="none" w:sz="0" w:space="0" w:color="auto"/>
        <w:right w:val="none" w:sz="0" w:space="0" w:color="auto"/>
      </w:divBdr>
    </w:div>
    <w:div w:id="211192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i.creativecommons.org/l/by/3.0/88x31.png" TargetMode="External"/><Relationship Id="rId26" Type="http://schemas.openxmlformats.org/officeDocument/2006/relationships/header" Target="header6.xml"/><Relationship Id="rId39"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hyperlink" Target="mailto:candinfo@acma.gov.au" TargetMode="External"/><Relationship Id="rId34" Type="http://schemas.openxmlformats.org/officeDocument/2006/relationships/hyperlink" Target="https://www.comlaw.gov.au/Details/F2015L00721" TargetMode="External"/><Relationship Id="rId42" Type="http://schemas.openxmlformats.org/officeDocument/2006/relationships/hyperlink" Target="https://www.comlaw.gov.au/Details/F2015L00721" TargetMode="External"/><Relationship Id="rId47" Type="http://schemas.openxmlformats.org/officeDocument/2006/relationships/hyperlink" Target="https://www.comlaw.gov.au/Details/F2015L00721" TargetMode="External"/><Relationship Id="rId50" Type="http://schemas.openxmlformats.org/officeDocument/2006/relationships/hyperlink" Target="https://www.comlaw.gov.au/Details/F2015L00721"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yperlink" Target="https://www.comlaw.gov.au/Details/F2015L00722" TargetMode="External"/><Relationship Id="rId38" Type="http://schemas.openxmlformats.org/officeDocument/2006/relationships/image" Target="media/image4.png"/><Relationship Id="rId46"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creativecommons.org/licenses/by/3.0/au/" TargetMode="External"/><Relationship Id="rId29" Type="http://schemas.openxmlformats.org/officeDocument/2006/relationships/footer" Target="footer7.xml"/><Relationship Id="rId41"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yperlink" Target="http://www.acma.gov.au/theACMA/Library/Industry-library/Spectrum/know-your-obligationshelp-for-spectrum-licensees" TargetMode="External"/><Relationship Id="rId37" Type="http://schemas.openxmlformats.org/officeDocument/2006/relationships/hyperlink" Target="https://www.comlaw.gov.au/Details/F2015L00721" TargetMode="External"/><Relationship Id="rId40" Type="http://schemas.openxmlformats.org/officeDocument/2006/relationships/chart" Target="charts/chart2.xml"/><Relationship Id="rId45"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6.xml"/><Relationship Id="rId36" Type="http://schemas.openxmlformats.org/officeDocument/2006/relationships/hyperlink" Target="https://www.comlaw.gov.au/Details/F2015L00722" TargetMode="External"/><Relationship Id="rId49" Type="http://schemas.openxmlformats.org/officeDocument/2006/relationships/hyperlink" Target="https://www.comlaw.gov.au/Details/F2015L00721" TargetMode="Externa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yperlink" Target="http://www.acma.gov.au/theACMA/About/The-ACMA-story/Facilitating/decisionmaking-process-fyso-25-1" TargetMode="External"/><Relationship Id="rId44" Type="http://schemas.openxmlformats.org/officeDocument/2006/relationships/header" Target="header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hyperlink" Target="http://www.comlaw.gov.au/Details/F2009C00972" TargetMode="External"/><Relationship Id="rId43" Type="http://schemas.openxmlformats.org/officeDocument/2006/relationships/header" Target="header8.xml"/><Relationship Id="rId48" Type="http://schemas.openxmlformats.org/officeDocument/2006/relationships/hyperlink" Target="https://www.comlaw.gov.au/Details/F2015L00721" TargetMode="External"/><Relationship Id="rId8" Type="http://schemas.openxmlformats.org/officeDocument/2006/relationships/settings" Target="settings.xml"/><Relationship Id="rId51"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tsi.org/deliver/etsi_ts/136100_136199/136104/12.09.00_60/ts_136104v120900p.pdf" TargetMode="External"/><Relationship Id="rId13" Type="http://schemas.openxmlformats.org/officeDocument/2006/relationships/hyperlink" Target="http://www.etsi.org/deliver/etsi_ts/136100_136199/136101/12.09.00_60/ts_136101v120900p.pdf" TargetMode="External"/><Relationship Id="rId18" Type="http://schemas.openxmlformats.org/officeDocument/2006/relationships/hyperlink" Target="http://www.etsi.org/deliver/etsi_ts/136100_136199/136101/12.09.00_60/ts_136101v120900p.pdf" TargetMode="External"/><Relationship Id="rId3" Type="http://schemas.openxmlformats.org/officeDocument/2006/relationships/hyperlink" Target="http://www.comlaw.gov.au" TargetMode="External"/><Relationship Id="rId21" Type="http://schemas.openxmlformats.org/officeDocument/2006/relationships/hyperlink" Target="http://www.acma.gov.au/webwr/_assets/main/lib410188/australian_spectrum_map_grid_28feb2012.pdf" TargetMode="External"/><Relationship Id="rId7" Type="http://schemas.openxmlformats.org/officeDocument/2006/relationships/hyperlink" Target="http://www.etsi.org/deliver/etsi_ts/136100_136199/136104/12.09.00_60/ts_136104v120900p.pdf" TargetMode="External"/><Relationship Id="rId12" Type="http://schemas.openxmlformats.org/officeDocument/2006/relationships/hyperlink" Target="http://www.etsi.org/deliver/etsi_ts/136100_136199/136101/12.09.00_60/ts_136101v120900p.pdf" TargetMode="External"/><Relationship Id="rId17" Type="http://schemas.openxmlformats.org/officeDocument/2006/relationships/hyperlink" Target="http://www.etsi.org/deliver/etsi_ts/136100_136199/136104/12.09.00_60/ts_136104v120900p.pdf" TargetMode="External"/><Relationship Id="rId2" Type="http://schemas.openxmlformats.org/officeDocument/2006/relationships/hyperlink" Target="https://www.comlaw.gov.au/Details/F2012L00235" TargetMode="External"/><Relationship Id="rId16" Type="http://schemas.openxmlformats.org/officeDocument/2006/relationships/hyperlink" Target="http://www.etsi.org/deliver/etsi_ts/136100_136199/136101/12.09.00_60/ts_136101v120900p.pdf" TargetMode="External"/><Relationship Id="rId20" Type="http://schemas.openxmlformats.org/officeDocument/2006/relationships/hyperlink" Target="http://www.etsi.org/deliver/etsi_ts/136100_136199/136101/12.09.00_60/ts_136101v120900p.pdf" TargetMode="External"/><Relationship Id="rId1" Type="http://schemas.openxmlformats.org/officeDocument/2006/relationships/hyperlink" Target="http://www.acma.gov.au/Industry/Spectrum/Spectrum-planning/About-spectrum-planning/principles-for-spectrum-management" TargetMode="External"/><Relationship Id="rId6" Type="http://schemas.openxmlformats.org/officeDocument/2006/relationships/hyperlink" Target="http://www.etsi.org/deliver/etsi_ts/136100_136199/136104/12.09.00_60/ts_136104v120900p.pdf" TargetMode="External"/><Relationship Id="rId11" Type="http://schemas.openxmlformats.org/officeDocument/2006/relationships/hyperlink" Target="http://www.etsi.org/deliver/etsi_ts/136100_136199/136101/12.09.00_60/ts_136101v120900p.pdf" TargetMode="External"/><Relationship Id="rId24" Type="http://schemas.openxmlformats.org/officeDocument/2006/relationships/hyperlink" Target="http://www.etsi.org/deliver/etsi_ts/136100_136199/136104/12.09.00_60/ts_136104v120900p.pdf" TargetMode="External"/><Relationship Id="rId5" Type="http://schemas.openxmlformats.org/officeDocument/2006/relationships/hyperlink" Target="http://www.etsi.org/deliver/etsi_ts/136100_136199/136104/12.09.00_60/ts_136104v120900p.pdf" TargetMode="External"/><Relationship Id="rId15" Type="http://schemas.openxmlformats.org/officeDocument/2006/relationships/hyperlink" Target="http://www.etsi.org/deliver/etsi_ts/136100_136199/136104/12.09.00_60/ts_136104v120900p.pdf" TargetMode="External"/><Relationship Id="rId23" Type="http://schemas.openxmlformats.org/officeDocument/2006/relationships/hyperlink" Target="http://www.etsi.org/deliver/etsi_ts/136100_136199/136104/12.09.00_60/ts_136104v120900p.pdf" TargetMode="External"/><Relationship Id="rId10" Type="http://schemas.openxmlformats.org/officeDocument/2006/relationships/hyperlink" Target="http://www.etsi.org/deliver/etsi_ts/136100_136199/136104/12.09.00_60/ts_136104v120900p.pdf" TargetMode="External"/><Relationship Id="rId19" Type="http://schemas.openxmlformats.org/officeDocument/2006/relationships/hyperlink" Target="http://www.etsi.org/deliver/etsi_ts/136100_136199/136104/12.09.00_60/ts_136104v120900p.pdf" TargetMode="External"/><Relationship Id="rId4" Type="http://schemas.openxmlformats.org/officeDocument/2006/relationships/hyperlink" Target="http://www.acma.gov.au/Industry/Spectrum/Spectrum-planning/Frequency-assignment-and-coordination/frequency-assignment-requirements-spectrum-planning-acma" TargetMode="External"/><Relationship Id="rId9" Type="http://schemas.openxmlformats.org/officeDocument/2006/relationships/hyperlink" Target="http://www.etsi.org/deliver/etsi_ts/136100_136199/136104/12.09.00_60/ts_136104v120900p.pdf" TargetMode="External"/><Relationship Id="rId14" Type="http://schemas.openxmlformats.org/officeDocument/2006/relationships/hyperlink" Target="http://www.etsi.org/deliver/etsi_ts/136100_136199/136101/12.09.00_60/ts_136101v120900p.pdf" TargetMode="External"/><Relationship Id="rId22" Type="http://schemas.openxmlformats.org/officeDocument/2006/relationships/hyperlink" Target="http://www.etsi.org/deliver/etsi_ts/136100_136199/136104/12.09.00_60/ts_136104v120900p.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acact01srvp2\SPT$\Bridget\2%20GHz%20Spectrum%20Licence%20Renewal\New%202%20GHz%20Legislative%20instruments\Antenna%20Gai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CACT01SRVP2\groupdata$\SPT\DavidG\2GHz%20SL\Instruments\OOB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ACACT01SRVP2\groupdata$\SPT\DavidG\2GHz%20SL\Instruments\OOB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08616662704019"/>
          <c:y val="0.15649789029535865"/>
          <c:w val="0.62315100488105057"/>
          <c:h val="0.65614638360078403"/>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Sheet1!$A$2:$A$55</c:f>
              <c:numCache>
                <c:formatCode>General</c:formatCode>
                <c:ptCount val="54"/>
                <c:pt idx="0">
                  <c:v>0</c:v>
                </c:pt>
                <c:pt idx="1">
                  <c:v>2</c:v>
                </c:pt>
                <c:pt idx="2">
                  <c:v>2.2000000000000002</c:v>
                </c:pt>
                <c:pt idx="3">
                  <c:v>7.7</c:v>
                </c:pt>
                <c:pt idx="4">
                  <c:v>8</c:v>
                </c:pt>
                <c:pt idx="5">
                  <c:v>8.1999999999999993</c:v>
                </c:pt>
                <c:pt idx="6">
                  <c:v>9</c:v>
                </c:pt>
                <c:pt idx="7">
                  <c:v>10</c:v>
                </c:pt>
                <c:pt idx="8">
                  <c:v>10.6</c:v>
                </c:pt>
                <c:pt idx="9">
                  <c:v>11</c:v>
                </c:pt>
                <c:pt idx="10">
                  <c:v>11.2</c:v>
                </c:pt>
                <c:pt idx="11">
                  <c:v>12</c:v>
                </c:pt>
                <c:pt idx="12">
                  <c:v>13.6</c:v>
                </c:pt>
                <c:pt idx="13">
                  <c:v>14</c:v>
                </c:pt>
                <c:pt idx="14">
                  <c:v>14.5</c:v>
                </c:pt>
                <c:pt idx="15">
                  <c:v>15</c:v>
                </c:pt>
                <c:pt idx="16">
                  <c:v>15.1</c:v>
                </c:pt>
                <c:pt idx="17">
                  <c:v>15.2</c:v>
                </c:pt>
                <c:pt idx="18">
                  <c:v>15.3</c:v>
                </c:pt>
                <c:pt idx="19">
                  <c:v>15.5</c:v>
                </c:pt>
                <c:pt idx="20">
                  <c:v>15.9</c:v>
                </c:pt>
                <c:pt idx="21">
                  <c:v>16</c:v>
                </c:pt>
                <c:pt idx="22">
                  <c:v>16.2</c:v>
                </c:pt>
                <c:pt idx="23">
                  <c:v>16.3</c:v>
                </c:pt>
                <c:pt idx="24">
                  <c:v>16.5</c:v>
                </c:pt>
                <c:pt idx="25">
                  <c:v>16.7</c:v>
                </c:pt>
                <c:pt idx="26">
                  <c:v>16.8</c:v>
                </c:pt>
                <c:pt idx="27">
                  <c:v>16.899999999999999</c:v>
                </c:pt>
                <c:pt idx="28">
                  <c:v>17</c:v>
                </c:pt>
                <c:pt idx="29">
                  <c:v>17.2</c:v>
                </c:pt>
                <c:pt idx="30">
                  <c:v>17.3</c:v>
                </c:pt>
                <c:pt idx="31">
                  <c:v>17.5</c:v>
                </c:pt>
                <c:pt idx="32">
                  <c:v>17.600000000000001</c:v>
                </c:pt>
                <c:pt idx="33">
                  <c:v>17.7</c:v>
                </c:pt>
                <c:pt idx="34">
                  <c:v>17.8</c:v>
                </c:pt>
                <c:pt idx="35">
                  <c:v>17.899999999999999</c:v>
                </c:pt>
                <c:pt idx="36">
                  <c:v>18</c:v>
                </c:pt>
                <c:pt idx="37">
                  <c:v>18.100000000000001</c:v>
                </c:pt>
                <c:pt idx="38">
                  <c:v>18.2</c:v>
                </c:pt>
                <c:pt idx="39">
                  <c:v>18.3</c:v>
                </c:pt>
                <c:pt idx="40">
                  <c:v>18.5</c:v>
                </c:pt>
                <c:pt idx="41">
                  <c:v>18.899999999999999</c:v>
                </c:pt>
                <c:pt idx="42">
                  <c:v>19</c:v>
                </c:pt>
                <c:pt idx="43">
                  <c:v>19.2</c:v>
                </c:pt>
                <c:pt idx="44">
                  <c:v>19.5</c:v>
                </c:pt>
                <c:pt idx="45">
                  <c:v>19.600000000000001</c:v>
                </c:pt>
                <c:pt idx="46">
                  <c:v>19.899999999999999</c:v>
                </c:pt>
                <c:pt idx="47">
                  <c:v>20</c:v>
                </c:pt>
                <c:pt idx="48">
                  <c:v>20.5</c:v>
                </c:pt>
                <c:pt idx="49">
                  <c:v>20.6</c:v>
                </c:pt>
                <c:pt idx="50">
                  <c:v>20.7</c:v>
                </c:pt>
                <c:pt idx="51">
                  <c:v>21</c:v>
                </c:pt>
                <c:pt idx="52">
                  <c:v>23</c:v>
                </c:pt>
                <c:pt idx="53">
                  <c:v>23.8</c:v>
                </c:pt>
              </c:numCache>
            </c:numRef>
          </c:xVal>
          <c:yVal>
            <c:numRef>
              <c:f>Sheet1!$D$2:$D$55</c:f>
              <c:numCache>
                <c:formatCode>General</c:formatCode>
                <c:ptCount val="54"/>
                <c:pt idx="0">
                  <c:v>228</c:v>
                </c:pt>
                <c:pt idx="1">
                  <c:v>325</c:v>
                </c:pt>
                <c:pt idx="2">
                  <c:v>337</c:v>
                </c:pt>
                <c:pt idx="3">
                  <c:v>343</c:v>
                </c:pt>
                <c:pt idx="4">
                  <c:v>346</c:v>
                </c:pt>
                <c:pt idx="5">
                  <c:v>348</c:v>
                </c:pt>
                <c:pt idx="6">
                  <c:v>357</c:v>
                </c:pt>
                <c:pt idx="7">
                  <c:v>366</c:v>
                </c:pt>
                <c:pt idx="8">
                  <c:v>368</c:v>
                </c:pt>
                <c:pt idx="9">
                  <c:v>383</c:v>
                </c:pt>
                <c:pt idx="10">
                  <c:v>391</c:v>
                </c:pt>
                <c:pt idx="11">
                  <c:v>438</c:v>
                </c:pt>
                <c:pt idx="12">
                  <c:v>608</c:v>
                </c:pt>
                <c:pt idx="13">
                  <c:v>642</c:v>
                </c:pt>
                <c:pt idx="14">
                  <c:v>717</c:v>
                </c:pt>
                <c:pt idx="15">
                  <c:v>748</c:v>
                </c:pt>
                <c:pt idx="16">
                  <c:v>1126</c:v>
                </c:pt>
                <c:pt idx="17">
                  <c:v>1261</c:v>
                </c:pt>
                <c:pt idx="18">
                  <c:v>1263</c:v>
                </c:pt>
                <c:pt idx="19">
                  <c:v>1319</c:v>
                </c:pt>
                <c:pt idx="20">
                  <c:v>1614</c:v>
                </c:pt>
                <c:pt idx="21">
                  <c:v>1702</c:v>
                </c:pt>
                <c:pt idx="22">
                  <c:v>2286</c:v>
                </c:pt>
                <c:pt idx="23">
                  <c:v>2290</c:v>
                </c:pt>
                <c:pt idx="24">
                  <c:v>3598</c:v>
                </c:pt>
                <c:pt idx="25">
                  <c:v>3781</c:v>
                </c:pt>
                <c:pt idx="26">
                  <c:v>4116</c:v>
                </c:pt>
                <c:pt idx="27">
                  <c:v>4151</c:v>
                </c:pt>
                <c:pt idx="28">
                  <c:v>7451</c:v>
                </c:pt>
                <c:pt idx="29">
                  <c:v>20942</c:v>
                </c:pt>
                <c:pt idx="30">
                  <c:v>20962</c:v>
                </c:pt>
                <c:pt idx="31">
                  <c:v>36592</c:v>
                </c:pt>
                <c:pt idx="32">
                  <c:v>36680</c:v>
                </c:pt>
                <c:pt idx="33">
                  <c:v>36695</c:v>
                </c:pt>
                <c:pt idx="34">
                  <c:v>37973</c:v>
                </c:pt>
                <c:pt idx="35">
                  <c:v>38015</c:v>
                </c:pt>
                <c:pt idx="36">
                  <c:v>62677</c:v>
                </c:pt>
                <c:pt idx="37">
                  <c:v>62687</c:v>
                </c:pt>
                <c:pt idx="38">
                  <c:v>66013</c:v>
                </c:pt>
                <c:pt idx="39">
                  <c:v>66809</c:v>
                </c:pt>
                <c:pt idx="40">
                  <c:v>74467</c:v>
                </c:pt>
                <c:pt idx="41">
                  <c:v>79141</c:v>
                </c:pt>
                <c:pt idx="42">
                  <c:v>83026</c:v>
                </c:pt>
                <c:pt idx="43">
                  <c:v>85159</c:v>
                </c:pt>
                <c:pt idx="44">
                  <c:v>98984</c:v>
                </c:pt>
                <c:pt idx="45">
                  <c:v>98995</c:v>
                </c:pt>
                <c:pt idx="46">
                  <c:v>99033</c:v>
                </c:pt>
                <c:pt idx="47">
                  <c:v>100957</c:v>
                </c:pt>
                <c:pt idx="48">
                  <c:v>100983</c:v>
                </c:pt>
                <c:pt idx="49">
                  <c:v>100997</c:v>
                </c:pt>
                <c:pt idx="50">
                  <c:v>101010</c:v>
                </c:pt>
                <c:pt idx="51">
                  <c:v>101050</c:v>
                </c:pt>
                <c:pt idx="52">
                  <c:v>101066</c:v>
                </c:pt>
                <c:pt idx="53">
                  <c:v>101101</c:v>
                </c:pt>
              </c:numCache>
            </c:numRef>
          </c:yVal>
          <c:smooth val="0"/>
        </c:ser>
        <c:ser>
          <c:idx val="1"/>
          <c:order val="1"/>
          <c:tx>
            <c:v>19 dBi (82nd percentile)</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Sheet1!$H$2:$H$3</c:f>
              <c:numCache>
                <c:formatCode>General</c:formatCode>
                <c:ptCount val="2"/>
                <c:pt idx="0">
                  <c:v>19</c:v>
                </c:pt>
                <c:pt idx="1">
                  <c:v>19</c:v>
                </c:pt>
              </c:numCache>
            </c:numRef>
          </c:xVal>
          <c:yVal>
            <c:numRef>
              <c:f>Sheet1!$I$2:$I$3</c:f>
              <c:numCache>
                <c:formatCode>General</c:formatCode>
                <c:ptCount val="2"/>
                <c:pt idx="0">
                  <c:v>0</c:v>
                </c:pt>
                <c:pt idx="1">
                  <c:v>101101</c:v>
                </c:pt>
              </c:numCache>
            </c:numRef>
          </c:yVal>
          <c:smooth val="0"/>
        </c:ser>
        <c:dLbls>
          <c:showLegendKey val="0"/>
          <c:showVal val="0"/>
          <c:showCatName val="0"/>
          <c:showSerName val="0"/>
          <c:showPercent val="0"/>
          <c:showBubbleSize val="0"/>
        </c:dLbls>
        <c:axId val="439578216"/>
        <c:axId val="439577824"/>
      </c:scatterChart>
      <c:valAx>
        <c:axId val="43957821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Antenna gain (dBi)</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9577824"/>
        <c:crosses val="autoZero"/>
        <c:crossBetween val="midCat"/>
      </c:valAx>
      <c:valAx>
        <c:axId val="439577824"/>
        <c:scaling>
          <c:orientation val="minMax"/>
          <c:max val="102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a:t>
                </a:r>
                <a:r>
                  <a:rPr lang="en-AU" baseline="0"/>
                  <a:t> of device registrations </a:t>
                </a:r>
              </a:p>
              <a:p>
                <a:pPr>
                  <a:defRPr/>
                </a:pPr>
                <a:r>
                  <a:rPr lang="en-AU" baseline="0"/>
                  <a:t>(2110–2170 MHz)</a:t>
                </a:r>
                <a:endParaRPr lang="en-AU"/>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9578216"/>
        <c:crosses val="autoZero"/>
        <c:crossBetween val="midCat"/>
      </c:valAx>
      <c:spPr>
        <a:noFill/>
        <a:ln>
          <a:noFill/>
        </a:ln>
        <a:effectLst/>
      </c:spPr>
    </c:plotArea>
    <c:legend>
      <c:legendPos val="r"/>
      <c:legendEntry>
        <c:idx val="0"/>
        <c:delete val="1"/>
      </c:legendEntry>
      <c:layout>
        <c:manualLayout>
          <c:xMode val="edge"/>
          <c:yMode val="edge"/>
          <c:x val="0.80593166529139448"/>
          <c:y val="0.51944051297385296"/>
          <c:w val="0.17985874323436032"/>
          <c:h val="0.138713578524203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Unwanted</a:t>
            </a:r>
            <a:r>
              <a:rPr lang="en-AU" baseline="0"/>
              <a:t> emission limits - Tx in 2110-2170 MHz</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OOBE!$C$1</c:f>
              <c:strCache>
                <c:ptCount val="1"/>
                <c:pt idx="0">
                  <c:v>proposed 2110-2170 MHz limit</c:v>
                </c:pt>
              </c:strCache>
            </c:strRef>
          </c:tx>
          <c:spPr>
            <a:ln w="19050" cap="rnd">
              <a:solidFill>
                <a:schemeClr val="accent1"/>
              </a:solidFill>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OOBE!$C$2:$C$16</c:f>
              <c:numCache>
                <c:formatCode>General</c:formatCode>
                <c:ptCount val="15"/>
                <c:pt idx="0">
                  <c:v>21</c:v>
                </c:pt>
                <c:pt idx="1">
                  <c:v>20.72</c:v>
                </c:pt>
                <c:pt idx="2">
                  <c:v>20.72</c:v>
                </c:pt>
                <c:pt idx="3">
                  <c:v>19.95</c:v>
                </c:pt>
                <c:pt idx="4">
                  <c:v>19.95</c:v>
                </c:pt>
                <c:pt idx="5">
                  <c:v>19.600000000000001</c:v>
                </c:pt>
                <c:pt idx="6">
                  <c:v>19.600000000000001</c:v>
                </c:pt>
                <c:pt idx="7">
                  <c:v>15.4</c:v>
                </c:pt>
                <c:pt idx="8">
                  <c:v>15.4</c:v>
                </c:pt>
                <c:pt idx="9">
                  <c:v>14</c:v>
                </c:pt>
                <c:pt idx="10">
                  <c:v>14</c:v>
                </c:pt>
                <c:pt idx="11">
                  <c:v>14</c:v>
                </c:pt>
                <c:pt idx="12">
                  <c:v>3</c:v>
                </c:pt>
                <c:pt idx="13">
                  <c:v>3</c:v>
                </c:pt>
                <c:pt idx="14">
                  <c:v>3</c:v>
                </c:pt>
              </c:numCache>
            </c:numRef>
          </c:yVal>
          <c:smooth val="0"/>
        </c:ser>
        <c:ser>
          <c:idx val="2"/>
          <c:order val="1"/>
          <c:tx>
            <c:strRef>
              <c:f>OOBE!$E$1</c:f>
              <c:strCache>
                <c:ptCount val="1"/>
                <c:pt idx="0">
                  <c:v>Current upper band limit</c:v>
                </c:pt>
              </c:strCache>
            </c:strRef>
          </c:tx>
          <c:spPr>
            <a:ln w="19050" cap="rnd">
              <a:solidFill>
                <a:schemeClr val="accent3"/>
              </a:solidFill>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OOBE!$E$2:$E$16</c:f>
              <c:numCache>
                <c:formatCode>General</c:formatCode>
                <c:ptCount val="15"/>
                <c:pt idx="0">
                  <c:v>27</c:v>
                </c:pt>
                <c:pt idx="1">
                  <c:v>27</c:v>
                </c:pt>
                <c:pt idx="2">
                  <c:v>27</c:v>
                </c:pt>
                <c:pt idx="3">
                  <c:v>27</c:v>
                </c:pt>
                <c:pt idx="4">
                  <c:v>17</c:v>
                </c:pt>
                <c:pt idx="5">
                  <c:v>17</c:v>
                </c:pt>
                <c:pt idx="6">
                  <c:v>6</c:v>
                </c:pt>
                <c:pt idx="7">
                  <c:v>6</c:v>
                </c:pt>
                <c:pt idx="8">
                  <c:v>6</c:v>
                </c:pt>
                <c:pt idx="9">
                  <c:v>6</c:v>
                </c:pt>
                <c:pt idx="10">
                  <c:v>-1</c:v>
                </c:pt>
                <c:pt idx="11">
                  <c:v>-1</c:v>
                </c:pt>
                <c:pt idx="12">
                  <c:v>-1</c:v>
                </c:pt>
                <c:pt idx="13">
                  <c:v>-1</c:v>
                </c:pt>
                <c:pt idx="14">
                  <c:v>-1</c:v>
                </c:pt>
              </c:numCache>
            </c:numRef>
          </c:yVal>
          <c:smooth val="0"/>
        </c:ser>
        <c:ser>
          <c:idx val="3"/>
          <c:order val="2"/>
          <c:tx>
            <c:strRef>
              <c:f>OOBE!$F$1</c:f>
              <c:strCache>
                <c:ptCount val="1"/>
                <c:pt idx="0">
                  <c:v>proposed 2110 MHz edge limit</c:v>
                </c:pt>
              </c:strCache>
            </c:strRef>
          </c:tx>
          <c:spPr>
            <a:ln w="19050" cap="rnd">
              <a:solidFill>
                <a:schemeClr val="tx1"/>
              </a:solidFill>
              <a:prstDash val="dash"/>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OOBE!$F$2:$F$16</c:f>
              <c:numCache>
                <c:formatCode>General</c:formatCode>
                <c:ptCount val="15"/>
                <c:pt idx="0">
                  <c:v>21</c:v>
                </c:pt>
                <c:pt idx="1">
                  <c:v>20.72</c:v>
                </c:pt>
                <c:pt idx="2">
                  <c:v>20.72</c:v>
                </c:pt>
                <c:pt idx="3">
                  <c:v>19.95</c:v>
                </c:pt>
                <c:pt idx="4">
                  <c:v>19.95</c:v>
                </c:pt>
                <c:pt idx="5">
                  <c:v>19.600000000000001</c:v>
                </c:pt>
                <c:pt idx="6">
                  <c:v>19.600000000000001</c:v>
                </c:pt>
                <c:pt idx="7">
                  <c:v>15.4</c:v>
                </c:pt>
                <c:pt idx="8">
                  <c:v>6</c:v>
                </c:pt>
                <c:pt idx="9">
                  <c:v>6</c:v>
                </c:pt>
                <c:pt idx="10">
                  <c:v>-1</c:v>
                </c:pt>
                <c:pt idx="11">
                  <c:v>-1</c:v>
                </c:pt>
                <c:pt idx="12">
                  <c:v>-12</c:v>
                </c:pt>
                <c:pt idx="13">
                  <c:v>-12</c:v>
                </c:pt>
                <c:pt idx="14">
                  <c:v>-12</c:v>
                </c:pt>
              </c:numCache>
            </c:numRef>
          </c:yVal>
          <c:smooth val="0"/>
        </c:ser>
        <c:ser>
          <c:idx val="4"/>
          <c:order val="3"/>
          <c:tx>
            <c:strRef>
              <c:f>OOBE!$G$1</c:f>
              <c:strCache>
                <c:ptCount val="1"/>
                <c:pt idx="0">
                  <c:v>proposed 2170 MHz edge limit</c:v>
                </c:pt>
              </c:strCache>
            </c:strRef>
          </c:tx>
          <c:spPr>
            <a:ln w="19050" cap="rnd">
              <a:solidFill>
                <a:srgbClr val="FF0000"/>
              </a:solidFill>
              <a:prstDash val="sysDash"/>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OOBE!$G$2:$G$16</c:f>
              <c:numCache>
                <c:formatCode>General</c:formatCode>
                <c:ptCount val="15"/>
                <c:pt idx="0">
                  <c:v>21</c:v>
                </c:pt>
                <c:pt idx="1">
                  <c:v>20.72</c:v>
                </c:pt>
                <c:pt idx="2">
                  <c:v>20.72</c:v>
                </c:pt>
                <c:pt idx="3">
                  <c:v>19.95</c:v>
                </c:pt>
                <c:pt idx="4">
                  <c:v>19.95</c:v>
                </c:pt>
                <c:pt idx="5">
                  <c:v>19.600000000000001</c:v>
                </c:pt>
                <c:pt idx="6">
                  <c:v>19.600000000000001</c:v>
                </c:pt>
                <c:pt idx="7">
                  <c:v>15.4</c:v>
                </c:pt>
                <c:pt idx="8">
                  <c:v>15.4</c:v>
                </c:pt>
                <c:pt idx="9">
                  <c:v>14</c:v>
                </c:pt>
                <c:pt idx="10">
                  <c:v>14</c:v>
                </c:pt>
                <c:pt idx="11">
                  <c:v>14</c:v>
                </c:pt>
                <c:pt idx="12">
                  <c:v>-12</c:v>
                </c:pt>
                <c:pt idx="13">
                  <c:v>-12</c:v>
                </c:pt>
                <c:pt idx="14">
                  <c:v>-12</c:v>
                </c:pt>
              </c:numCache>
            </c:numRef>
          </c:yVal>
          <c:smooth val="0"/>
        </c:ser>
        <c:dLbls>
          <c:showLegendKey val="0"/>
          <c:showVal val="0"/>
          <c:showCatName val="0"/>
          <c:showSerName val="0"/>
          <c:showPercent val="0"/>
          <c:showBubbleSize val="0"/>
        </c:dLbls>
        <c:axId val="607067000"/>
        <c:axId val="607067392"/>
      </c:scatterChart>
      <c:valAx>
        <c:axId val="607067000"/>
        <c:scaling>
          <c:orientation val="minMax"/>
          <c:max val="1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 Offset (MHz)</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7067392"/>
        <c:crossesAt val="-15"/>
        <c:crossBetween val="midCat"/>
        <c:majorUnit val="1"/>
      </c:valAx>
      <c:valAx>
        <c:axId val="607067392"/>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Radiated True Mean Power </a:t>
                </a:r>
              </a:p>
              <a:p>
                <a:pPr>
                  <a:defRPr/>
                </a:pPr>
                <a:r>
                  <a:rPr lang="en-US"/>
                  <a:t>(dBm/MHz )</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7067000"/>
        <c:crosses val="autoZero"/>
        <c:crossBetween val="midCat"/>
        <c:maj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Unwanted</a:t>
            </a:r>
            <a:r>
              <a:rPr lang="en-AU" baseline="0"/>
              <a:t> emission limits - Tx in 1920-1980 MHz</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4"/>
          <c:order val="0"/>
          <c:tx>
            <c:strRef>
              <c:f>Sheet1!$P$1</c:f>
              <c:strCache>
                <c:ptCount val="1"/>
                <c:pt idx="0">
                  <c:v>Current Lower Band Limit</c:v>
                </c:pt>
              </c:strCache>
            </c:strRef>
          </c:tx>
          <c:spPr>
            <a:ln w="19050" cap="rnd">
              <a:solidFill>
                <a:srgbClr val="FF0000"/>
              </a:solidFill>
              <a:round/>
            </a:ln>
            <a:effectLst/>
          </c:spPr>
          <c:marker>
            <c:symbol val="none"/>
          </c:marker>
          <c:xVal>
            <c:numRef>
              <c:f>Sheet1!$J$2:$J$20</c:f>
              <c:numCache>
                <c:formatCode>General</c:formatCode>
                <c:ptCount val="19"/>
                <c:pt idx="0">
                  <c:v>0</c:v>
                </c:pt>
                <c:pt idx="1">
                  <c:v>0.75</c:v>
                </c:pt>
                <c:pt idx="2">
                  <c:v>0.75</c:v>
                </c:pt>
                <c:pt idx="3">
                  <c:v>1</c:v>
                </c:pt>
                <c:pt idx="4">
                  <c:v>1</c:v>
                </c:pt>
                <c:pt idx="5">
                  <c:v>5</c:v>
                </c:pt>
                <c:pt idx="6">
                  <c:v>5</c:v>
                </c:pt>
                <c:pt idx="7">
                  <c:v>6</c:v>
                </c:pt>
                <c:pt idx="8">
                  <c:v>9</c:v>
                </c:pt>
                <c:pt idx="9">
                  <c:v>9</c:v>
                </c:pt>
                <c:pt idx="10">
                  <c:v>20</c:v>
                </c:pt>
                <c:pt idx="11">
                  <c:v>20</c:v>
                </c:pt>
                <c:pt idx="12">
                  <c:v>25</c:v>
                </c:pt>
                <c:pt idx="13">
                  <c:v>25</c:v>
                </c:pt>
                <c:pt idx="14">
                  <c:v>39.799999999999997</c:v>
                </c:pt>
                <c:pt idx="15">
                  <c:v>39.799999999999997</c:v>
                </c:pt>
                <c:pt idx="16">
                  <c:v>45</c:v>
                </c:pt>
                <c:pt idx="17">
                  <c:v>45</c:v>
                </c:pt>
                <c:pt idx="18">
                  <c:v>50</c:v>
                </c:pt>
              </c:numCache>
            </c:numRef>
          </c:xVal>
          <c:yVal>
            <c:numRef>
              <c:f>Sheet1!$P$2:$P$20</c:f>
              <c:numCache>
                <c:formatCode>General</c:formatCode>
                <c:ptCount val="19"/>
                <c:pt idx="0">
                  <c:v>27</c:v>
                </c:pt>
                <c:pt idx="1">
                  <c:v>27</c:v>
                </c:pt>
                <c:pt idx="2">
                  <c:v>17</c:v>
                </c:pt>
                <c:pt idx="3">
                  <c:v>17</c:v>
                </c:pt>
                <c:pt idx="4">
                  <c:v>6</c:v>
                </c:pt>
                <c:pt idx="5">
                  <c:v>6</c:v>
                </c:pt>
                <c:pt idx="6">
                  <c:v>-1</c:v>
                </c:pt>
                <c:pt idx="7">
                  <c:v>-1</c:v>
                </c:pt>
                <c:pt idx="8">
                  <c:v>-1</c:v>
                </c:pt>
                <c:pt idx="9">
                  <c:v>-1</c:v>
                </c:pt>
                <c:pt idx="10">
                  <c:v>-1</c:v>
                </c:pt>
                <c:pt idx="11">
                  <c:v>-1</c:v>
                </c:pt>
                <c:pt idx="12">
                  <c:v>-1</c:v>
                </c:pt>
                <c:pt idx="13">
                  <c:v>-1</c:v>
                </c:pt>
                <c:pt idx="14">
                  <c:v>-1</c:v>
                </c:pt>
                <c:pt idx="15">
                  <c:v>-1</c:v>
                </c:pt>
                <c:pt idx="16">
                  <c:v>-1</c:v>
                </c:pt>
                <c:pt idx="17">
                  <c:v>-1</c:v>
                </c:pt>
                <c:pt idx="18">
                  <c:v>-1</c:v>
                </c:pt>
              </c:numCache>
            </c:numRef>
          </c:yVal>
          <c:smooth val="0"/>
        </c:ser>
        <c:ser>
          <c:idx val="5"/>
          <c:order val="1"/>
          <c:tx>
            <c:strRef>
              <c:f>Sheet1!$Q$1</c:f>
              <c:strCache>
                <c:ptCount val="1"/>
                <c:pt idx="0">
                  <c:v>Proposed 1920-1980 MHz limit</c:v>
                </c:pt>
              </c:strCache>
            </c:strRef>
          </c:tx>
          <c:spPr>
            <a:ln w="19050" cap="rnd">
              <a:solidFill>
                <a:schemeClr val="tx1"/>
              </a:solidFill>
              <a:prstDash val="dash"/>
              <a:round/>
            </a:ln>
            <a:effectLst/>
          </c:spPr>
          <c:marker>
            <c:symbol val="none"/>
          </c:marker>
          <c:xVal>
            <c:numRef>
              <c:f>Sheet1!$J$2:$J$20</c:f>
              <c:numCache>
                <c:formatCode>General</c:formatCode>
                <c:ptCount val="19"/>
                <c:pt idx="0">
                  <c:v>0</c:v>
                </c:pt>
                <c:pt idx="1">
                  <c:v>0.75</c:v>
                </c:pt>
                <c:pt idx="2">
                  <c:v>0.75</c:v>
                </c:pt>
                <c:pt idx="3">
                  <c:v>1</c:v>
                </c:pt>
                <c:pt idx="4">
                  <c:v>1</c:v>
                </c:pt>
                <c:pt idx="5">
                  <c:v>5</c:v>
                </c:pt>
                <c:pt idx="6">
                  <c:v>5</c:v>
                </c:pt>
                <c:pt idx="7">
                  <c:v>6</c:v>
                </c:pt>
                <c:pt idx="8">
                  <c:v>9</c:v>
                </c:pt>
                <c:pt idx="9">
                  <c:v>9</c:v>
                </c:pt>
                <c:pt idx="10">
                  <c:v>20</c:v>
                </c:pt>
                <c:pt idx="11">
                  <c:v>20</c:v>
                </c:pt>
                <c:pt idx="12">
                  <c:v>25</c:v>
                </c:pt>
                <c:pt idx="13">
                  <c:v>25</c:v>
                </c:pt>
                <c:pt idx="14">
                  <c:v>39.799999999999997</c:v>
                </c:pt>
                <c:pt idx="15">
                  <c:v>39.799999999999997</c:v>
                </c:pt>
                <c:pt idx="16">
                  <c:v>45</c:v>
                </c:pt>
                <c:pt idx="17">
                  <c:v>45</c:v>
                </c:pt>
                <c:pt idx="18">
                  <c:v>50</c:v>
                </c:pt>
              </c:numCache>
            </c:numRef>
          </c:xVal>
          <c:yVal>
            <c:numRef>
              <c:f>Sheet1!$Q$2:$Q$20</c:f>
              <c:numCache>
                <c:formatCode>General</c:formatCode>
                <c:ptCount val="19"/>
                <c:pt idx="0">
                  <c:v>0</c:v>
                </c:pt>
                <c:pt idx="1">
                  <c:v>0</c:v>
                </c:pt>
                <c:pt idx="2">
                  <c:v>0</c:v>
                </c:pt>
                <c:pt idx="3">
                  <c:v>0</c:v>
                </c:pt>
                <c:pt idx="4">
                  <c:v>-10</c:v>
                </c:pt>
                <c:pt idx="5">
                  <c:v>-10</c:v>
                </c:pt>
                <c:pt idx="6">
                  <c:v>-13</c:v>
                </c:pt>
                <c:pt idx="7">
                  <c:v>-13</c:v>
                </c:pt>
                <c:pt idx="8">
                  <c:v>-13</c:v>
                </c:pt>
                <c:pt idx="9">
                  <c:v>-13</c:v>
                </c:pt>
                <c:pt idx="10">
                  <c:v>-13</c:v>
                </c:pt>
                <c:pt idx="11">
                  <c:v>-13</c:v>
                </c:pt>
                <c:pt idx="12">
                  <c:v>-13</c:v>
                </c:pt>
                <c:pt idx="13">
                  <c:v>-13</c:v>
                </c:pt>
                <c:pt idx="14">
                  <c:v>-13</c:v>
                </c:pt>
                <c:pt idx="15">
                  <c:v>-13</c:v>
                </c:pt>
                <c:pt idx="16">
                  <c:v>-13</c:v>
                </c:pt>
                <c:pt idx="17">
                  <c:v>-13</c:v>
                </c:pt>
                <c:pt idx="18">
                  <c:v>-13</c:v>
                </c:pt>
              </c:numCache>
            </c:numRef>
          </c:yVal>
          <c:smooth val="0"/>
        </c:ser>
        <c:ser>
          <c:idx val="6"/>
          <c:order val="2"/>
          <c:tx>
            <c:strRef>
              <c:f>Sheet1!$R$1</c:f>
              <c:strCache>
                <c:ptCount val="1"/>
                <c:pt idx="0">
                  <c:v>Proposed 1920/1980 MHz edge limit</c:v>
                </c:pt>
              </c:strCache>
            </c:strRef>
          </c:tx>
          <c:spPr>
            <a:ln w="19050" cap="rnd">
              <a:solidFill>
                <a:srgbClr val="00B050"/>
              </a:solidFill>
              <a:prstDash val="sysDash"/>
              <a:round/>
            </a:ln>
            <a:effectLst/>
          </c:spPr>
          <c:marker>
            <c:symbol val="none"/>
          </c:marker>
          <c:xVal>
            <c:numRef>
              <c:f>Sheet1!$J$2:$J$20</c:f>
              <c:numCache>
                <c:formatCode>General</c:formatCode>
                <c:ptCount val="19"/>
                <c:pt idx="0">
                  <c:v>0</c:v>
                </c:pt>
                <c:pt idx="1">
                  <c:v>0.75</c:v>
                </c:pt>
                <c:pt idx="2">
                  <c:v>0.75</c:v>
                </c:pt>
                <c:pt idx="3">
                  <c:v>1</c:v>
                </c:pt>
                <c:pt idx="4">
                  <c:v>1</c:v>
                </c:pt>
                <c:pt idx="5">
                  <c:v>5</c:v>
                </c:pt>
                <c:pt idx="6">
                  <c:v>5</c:v>
                </c:pt>
                <c:pt idx="7">
                  <c:v>6</c:v>
                </c:pt>
                <c:pt idx="8">
                  <c:v>9</c:v>
                </c:pt>
                <c:pt idx="9">
                  <c:v>9</c:v>
                </c:pt>
                <c:pt idx="10">
                  <c:v>20</c:v>
                </c:pt>
                <c:pt idx="11">
                  <c:v>20</c:v>
                </c:pt>
                <c:pt idx="12">
                  <c:v>25</c:v>
                </c:pt>
                <c:pt idx="13">
                  <c:v>25</c:v>
                </c:pt>
                <c:pt idx="14">
                  <c:v>39.799999999999997</c:v>
                </c:pt>
                <c:pt idx="15">
                  <c:v>39.799999999999997</c:v>
                </c:pt>
                <c:pt idx="16">
                  <c:v>45</c:v>
                </c:pt>
                <c:pt idx="17">
                  <c:v>45</c:v>
                </c:pt>
                <c:pt idx="18">
                  <c:v>50</c:v>
                </c:pt>
              </c:numCache>
            </c:numRef>
          </c:xVal>
          <c:yVal>
            <c:numRef>
              <c:f>Sheet1!$R$2:$R$20</c:f>
              <c:numCache>
                <c:formatCode>General</c:formatCode>
                <c:ptCount val="19"/>
                <c:pt idx="0">
                  <c:v>-9</c:v>
                </c:pt>
                <c:pt idx="1">
                  <c:v>-9</c:v>
                </c:pt>
                <c:pt idx="2">
                  <c:v>-9</c:v>
                </c:pt>
                <c:pt idx="3">
                  <c:v>-9</c:v>
                </c:pt>
                <c:pt idx="4">
                  <c:v>-10</c:v>
                </c:pt>
                <c:pt idx="5">
                  <c:v>-10</c:v>
                </c:pt>
                <c:pt idx="6">
                  <c:v>-13</c:v>
                </c:pt>
                <c:pt idx="7">
                  <c:v>-13</c:v>
                </c:pt>
                <c:pt idx="8">
                  <c:v>-13</c:v>
                </c:pt>
                <c:pt idx="9">
                  <c:v>-13</c:v>
                </c:pt>
                <c:pt idx="10">
                  <c:v>-13</c:v>
                </c:pt>
                <c:pt idx="11">
                  <c:v>-13</c:v>
                </c:pt>
                <c:pt idx="12">
                  <c:v>-13</c:v>
                </c:pt>
                <c:pt idx="13">
                  <c:v>-13</c:v>
                </c:pt>
                <c:pt idx="14">
                  <c:v>-13</c:v>
                </c:pt>
                <c:pt idx="15">
                  <c:v>-25</c:v>
                </c:pt>
                <c:pt idx="16">
                  <c:v>-25</c:v>
                </c:pt>
                <c:pt idx="17">
                  <c:v>-30</c:v>
                </c:pt>
                <c:pt idx="18">
                  <c:v>-30</c:v>
                </c:pt>
              </c:numCache>
            </c:numRef>
          </c:yVal>
          <c:smooth val="0"/>
        </c:ser>
        <c:dLbls>
          <c:showLegendKey val="0"/>
          <c:showVal val="0"/>
          <c:showCatName val="0"/>
          <c:showSerName val="0"/>
          <c:showPercent val="0"/>
          <c:showBubbleSize val="0"/>
        </c:dLbls>
        <c:axId val="435967512"/>
        <c:axId val="448642200"/>
      </c:scatterChart>
      <c:valAx>
        <c:axId val="435967512"/>
        <c:scaling>
          <c:orientation val="minMax"/>
          <c:max val="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Frequency</a:t>
                </a:r>
                <a:r>
                  <a:rPr lang="en-AU" baseline="0"/>
                  <a:t> Offset (MHz)</a:t>
                </a:r>
                <a:endParaRPr lang="en-AU"/>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8642200"/>
        <c:crossesAt val="-35"/>
        <c:crossBetween val="midCat"/>
      </c:valAx>
      <c:valAx>
        <c:axId val="448642200"/>
        <c:scaling>
          <c:orientation val="minMax"/>
          <c:max val="30"/>
          <c:min val="-3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baseline="0">
                    <a:effectLst/>
                  </a:rPr>
                  <a:t>Radiated True Mean Power </a:t>
                </a:r>
                <a:endParaRPr lang="en-AU" sz="1000">
                  <a:effectLst/>
                </a:endParaRPr>
              </a:p>
              <a:p>
                <a:pPr>
                  <a:defRPr/>
                </a:pPr>
                <a:r>
                  <a:rPr lang="en-US" sz="1000" b="0" i="0" baseline="0">
                    <a:effectLst/>
                  </a:rPr>
                  <a:t>(dBm/MHz )</a:t>
                </a:r>
                <a:endParaRPr lang="en-AU" sz="1000">
                  <a:effectLst/>
                </a:endParaRP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5967512"/>
        <c:crosses val="autoZero"/>
        <c:crossBetween val="midCat"/>
        <c:maj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KNAH4PPFC442-3307-35</_dlc_DocId>
    <_dlc_DocIdUrl xmlns="6db8f3c6-01a1-4322-b043-a3b2a190f7a8">
      <Url>http://collaboration/organisation/CID/speb/sp/2GHz/_layouts/DocIdRedir.aspx?ID=KNAH4PPFC442-3307-35</Url>
      <Description>KNAH4PPFC442-3307-35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B9C8099A9104A912DFB618DCADCEF" ma:contentTypeVersion="0" ma:contentTypeDescription="Create a new document." ma:contentTypeScope="" ma:versionID="60220eba0177c0ce3f072d6def90e882">
  <xsd:schema xmlns:xsd="http://www.w3.org/2001/XMLSchema" xmlns:xs="http://www.w3.org/2001/XMLSchema" xmlns:p="http://schemas.microsoft.com/office/2006/metadata/properties" xmlns:ns2="6db8f3c6-01a1-4322-b043-a3b2a190f7a8" targetNamespace="http://schemas.microsoft.com/office/2006/metadata/properties" ma:root="true" ma:fieldsID="08fd8ed56bc4c63e248c838960af90a7" ns2:_="">
    <xsd:import namespace="6db8f3c6-01a1-4322-b043-a3b2a190f7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0BB45-C13F-41B7-ADA0-307356F249E0}">
  <ds:schemaRefs>
    <ds:schemaRef ds:uri="http://schemas.microsoft.com/sharepoint/events"/>
  </ds:schemaRefs>
</ds:datastoreItem>
</file>

<file path=customXml/itemProps2.xml><?xml version="1.0" encoding="utf-8"?>
<ds:datastoreItem xmlns:ds="http://schemas.openxmlformats.org/officeDocument/2006/customXml" ds:itemID="{9E7C4AB5-05B5-44D4-B590-CB628B73CF24}">
  <ds:schemaRefs>
    <ds:schemaRef ds:uri="http://schemas.microsoft.com/sharepoint/v3/contenttype/forms"/>
  </ds:schemaRefs>
</ds:datastoreItem>
</file>

<file path=customXml/itemProps3.xml><?xml version="1.0" encoding="utf-8"?>
<ds:datastoreItem xmlns:ds="http://schemas.openxmlformats.org/officeDocument/2006/customXml" ds:itemID="{DEBF46A0-2B74-498F-AC99-98E0CFC20EEC}">
  <ds:schemaRefs>
    <ds:schemaRef ds:uri="6db8f3c6-01a1-4322-b043-a3b2a190f7a8"/>
    <ds:schemaRef ds:uri="http://purl.org/dc/term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F74F8F8B-3623-4FA7-BE45-FF229033D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8f3c6-01a1-4322-b043-a3b2a190f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9643A3-58F4-45EB-A4C1-3BAA09F2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9289</Words>
  <Characters>52953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62118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2015-12-16T01:17:00Z</dcterms:created>
  <dcterms:modified xsi:type="dcterms:W3CDTF">2016-03-04T02:19:00Z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0x010100240B9C8099A9104A912DFB618DCADCEF</vt:lpwstr>
  </property>
  <property fmtid="{D5CDD505-2E9C-101B-9397-08002B2CF9AE}" pid="3" name="_dlc_DocIdItemGuid">
    <vt:lpwstr>11cd5672-394e-430f-a72a-946f49a7e618</vt:lpwstr>
  </property>
</Properties>
</file>