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A70FF" w14:textId="730818B9" w:rsidR="00F06E14" w:rsidRPr="00C97518" w:rsidRDefault="007514C0" w:rsidP="00A47E79">
      <w:pPr>
        <w:pStyle w:val="ACMAReportTitle"/>
      </w:pPr>
      <w:r w:rsidRPr="00C97518">
        <w:t>Expiring spectrum licences</w:t>
      </w:r>
      <w:r w:rsidR="00EB0CC0" w:rsidRPr="00C97518">
        <w:rPr>
          <w:rFonts w:cs="Arial"/>
        </w:rPr>
        <w:t>—technical framework for the 2 GHz band</w:t>
      </w:r>
    </w:p>
    <w:p w14:paraId="17FDAA60" w14:textId="73DB5D19" w:rsidR="00F06E14" w:rsidRPr="00C97518" w:rsidRDefault="00C97518" w:rsidP="00F06E14">
      <w:pPr>
        <w:pStyle w:val="ACMAReportSubTitle"/>
      </w:pPr>
      <w:r>
        <w:rPr>
          <w:rFonts w:cs="Arial"/>
          <w:color w:val="7F7F7F" w:themeColor="text1" w:themeTint="80"/>
          <w:sz w:val="48"/>
        </w:rPr>
        <w:t>Paper Two</w:t>
      </w:r>
      <w:r w:rsidR="00B65E03">
        <w:rPr>
          <w:rFonts w:cs="Arial"/>
          <w:color w:val="7F7F7F" w:themeColor="text1" w:themeTint="80"/>
          <w:sz w:val="48"/>
        </w:rPr>
        <w:t xml:space="preserve"> – </w:t>
      </w:r>
      <w:r w:rsidR="001877F0">
        <w:rPr>
          <w:rFonts w:cs="Arial"/>
          <w:color w:val="7F7F7F" w:themeColor="text1" w:themeTint="80"/>
          <w:sz w:val="48"/>
        </w:rPr>
        <w:t>Final</w:t>
      </w:r>
      <w:r w:rsidR="00B65E03">
        <w:rPr>
          <w:rFonts w:cs="Arial"/>
          <w:color w:val="7F7F7F" w:themeColor="text1" w:themeTint="80"/>
          <w:sz w:val="48"/>
        </w:rPr>
        <w:t xml:space="preserve"> </w:t>
      </w:r>
      <w:r w:rsidR="001877F0">
        <w:rPr>
          <w:rFonts w:cs="Arial"/>
          <w:color w:val="7F7F7F" w:themeColor="text1" w:themeTint="80"/>
          <w:sz w:val="48"/>
        </w:rPr>
        <w:t xml:space="preserve">Appendix </w:t>
      </w:r>
      <w:r w:rsidR="00B65E03">
        <w:rPr>
          <w:rFonts w:cs="Arial"/>
          <w:color w:val="7F7F7F" w:themeColor="text1" w:themeTint="80"/>
          <w:sz w:val="48"/>
        </w:rPr>
        <w:t>Update</w:t>
      </w:r>
      <w:r w:rsidR="001877F0">
        <w:rPr>
          <w:rFonts w:cs="Arial"/>
          <w:color w:val="7F7F7F" w:themeColor="text1" w:themeTint="80"/>
          <w:sz w:val="48"/>
        </w:rPr>
        <w:t xml:space="preserve"> </w:t>
      </w:r>
    </w:p>
    <w:p w14:paraId="6D0CB8EA" w14:textId="280A7170" w:rsidR="00C97736" w:rsidRPr="00C97518" w:rsidRDefault="001877F0" w:rsidP="005D4087">
      <w:pPr>
        <w:pStyle w:val="ACMAReportDate"/>
        <w:spacing w:after="720"/>
      </w:pPr>
      <w:r>
        <w:t>AUGUST 2016</w:t>
      </w:r>
    </w:p>
    <w:p w14:paraId="780DCACA" w14:textId="13ABED79" w:rsidR="00C97736" w:rsidRPr="00C97518" w:rsidRDefault="00C97736" w:rsidP="00681BAB">
      <w:pPr>
        <w:tabs>
          <w:tab w:val="left" w:pos="7011"/>
        </w:tabs>
        <w:rPr>
          <w:rFonts w:cs="Arial"/>
        </w:rPr>
        <w:sectPr w:rsidR="00C97736" w:rsidRPr="00C97518" w:rsidSect="00FB2EA1">
          <w:headerReference w:type="default" r:id="rId12"/>
          <w:footerReference w:type="default" r:id="rId13"/>
          <w:headerReference w:type="first" r:id="rId14"/>
          <w:pgSz w:w="11906" w:h="16838" w:code="9"/>
          <w:pgMar w:top="3924" w:right="1797" w:bottom="1134" w:left="1134" w:header="709" w:footer="454" w:gutter="0"/>
          <w:cols w:space="708"/>
          <w:docGrid w:linePitch="360"/>
        </w:sectPr>
      </w:pPr>
    </w:p>
    <w:p w14:paraId="67DD1A43" w14:textId="77777777" w:rsidR="0005011A" w:rsidRPr="00C97518" w:rsidRDefault="0005011A" w:rsidP="00FC07B9">
      <w:pPr>
        <w:pStyle w:val="ACMACorporateAddressHeader"/>
      </w:pPr>
      <w:r w:rsidRPr="00C97518">
        <w:lastRenderedPageBreak/>
        <w:t>Canberra</w:t>
      </w:r>
    </w:p>
    <w:p w14:paraId="28455834" w14:textId="77777777" w:rsidR="0005011A" w:rsidRPr="00C97518" w:rsidRDefault="0005011A" w:rsidP="00FC07B9">
      <w:pPr>
        <w:pStyle w:val="ACMACorporateAddresses"/>
      </w:pPr>
      <w:r w:rsidRPr="00C97518">
        <w:t xml:space="preserve">Red Building </w:t>
      </w:r>
      <w:r w:rsidRPr="00C97518">
        <w:br/>
        <w:t>Benjamin Offices</w:t>
      </w:r>
      <w:r w:rsidRPr="00C97518">
        <w:br/>
        <w:t xml:space="preserve">Chan Street </w:t>
      </w:r>
      <w:r w:rsidRPr="00C97518">
        <w:br/>
        <w:t>Belconnen ACT</w:t>
      </w:r>
    </w:p>
    <w:p w14:paraId="075590E5" w14:textId="77777777" w:rsidR="0005011A" w:rsidRPr="00C97518" w:rsidRDefault="0005011A" w:rsidP="00FC07B9">
      <w:pPr>
        <w:pStyle w:val="ACMACorporateAddresses"/>
      </w:pPr>
      <w:r w:rsidRPr="00C97518">
        <w:t>PO Box 78</w:t>
      </w:r>
      <w:r w:rsidRPr="00C97518">
        <w:br/>
        <w:t>Belconnen ACT 2616</w:t>
      </w:r>
    </w:p>
    <w:p w14:paraId="78A45809" w14:textId="77777777" w:rsidR="00FE1823" w:rsidRPr="00C97518" w:rsidRDefault="0005011A" w:rsidP="00FC07B9">
      <w:pPr>
        <w:pStyle w:val="ACMACorporateAddresses"/>
      </w:pPr>
      <w:r w:rsidRPr="00C97518">
        <w:t>T</w:t>
      </w:r>
      <w:r w:rsidR="00537604" w:rsidRPr="00C97518">
        <w:tab/>
      </w:r>
      <w:r w:rsidRPr="00C97518">
        <w:t>+61 2 6219 5555</w:t>
      </w:r>
      <w:r w:rsidRPr="00C97518">
        <w:br/>
        <w:t>F</w:t>
      </w:r>
      <w:r w:rsidR="00537604" w:rsidRPr="00C97518">
        <w:tab/>
      </w:r>
      <w:r w:rsidRPr="00C97518">
        <w:t>+61 2 6219 5353</w:t>
      </w:r>
    </w:p>
    <w:p w14:paraId="53D24FF9" w14:textId="77777777" w:rsidR="0005011A" w:rsidRPr="00C97518" w:rsidRDefault="0005011A" w:rsidP="00FC07B9">
      <w:pPr>
        <w:pStyle w:val="ACMACorporateAddressHeader"/>
      </w:pPr>
      <w:r w:rsidRPr="00C97518">
        <w:t>Melbourne</w:t>
      </w:r>
    </w:p>
    <w:p w14:paraId="4652E34A" w14:textId="77777777" w:rsidR="0005011A" w:rsidRPr="00C97518" w:rsidRDefault="0005011A" w:rsidP="00FC07B9">
      <w:pPr>
        <w:pStyle w:val="ACMACorporateAddresses"/>
      </w:pPr>
      <w:r w:rsidRPr="00C97518">
        <w:t xml:space="preserve">Level 32 </w:t>
      </w:r>
      <w:r w:rsidRPr="00C97518">
        <w:br/>
        <w:t>Melbourne Central Tower</w:t>
      </w:r>
      <w:r w:rsidRPr="00C97518">
        <w:br/>
        <w:t xml:space="preserve">360 Elizabeth Street </w:t>
      </w:r>
      <w:r w:rsidR="008C10F4" w:rsidRPr="00C97518">
        <w:br/>
      </w:r>
      <w:r w:rsidRPr="00C97518">
        <w:t>Melbourne VIC</w:t>
      </w:r>
    </w:p>
    <w:p w14:paraId="74E673EF" w14:textId="77777777" w:rsidR="0005011A" w:rsidRPr="00C97518" w:rsidRDefault="0005011A" w:rsidP="00FC07B9">
      <w:pPr>
        <w:pStyle w:val="ACMACorporateAddresses"/>
      </w:pPr>
      <w:r w:rsidRPr="00C97518">
        <w:t>PO Box 13112</w:t>
      </w:r>
      <w:r w:rsidRPr="00C97518">
        <w:br/>
        <w:t xml:space="preserve">Law Courts </w:t>
      </w:r>
      <w:r w:rsidRPr="00C97518">
        <w:br/>
        <w:t>Melbourne VIC 8010</w:t>
      </w:r>
    </w:p>
    <w:p w14:paraId="47FA80CC" w14:textId="77777777" w:rsidR="0005011A" w:rsidRPr="00C97518" w:rsidRDefault="0005011A" w:rsidP="00FC07B9">
      <w:pPr>
        <w:pStyle w:val="ACMACorporateAddresses"/>
      </w:pPr>
      <w:r w:rsidRPr="00C97518">
        <w:t>T</w:t>
      </w:r>
      <w:r w:rsidR="00140318" w:rsidRPr="00C97518">
        <w:tab/>
      </w:r>
      <w:r w:rsidRPr="00C97518">
        <w:t>+61 3 9963 6800</w:t>
      </w:r>
      <w:r w:rsidRPr="00C97518">
        <w:br/>
        <w:t>F</w:t>
      </w:r>
      <w:r w:rsidR="00140318" w:rsidRPr="00C97518">
        <w:tab/>
      </w:r>
      <w:r w:rsidRPr="00C97518">
        <w:t>+61 3 9963 6899</w:t>
      </w:r>
    </w:p>
    <w:p w14:paraId="702BFE61" w14:textId="77777777" w:rsidR="0005011A" w:rsidRPr="00C97518" w:rsidRDefault="0005011A" w:rsidP="00FC07B9">
      <w:pPr>
        <w:pStyle w:val="ACMACorporateAddressHeader"/>
      </w:pPr>
      <w:r w:rsidRPr="00C97518">
        <w:t>Sydney</w:t>
      </w:r>
    </w:p>
    <w:p w14:paraId="62CABB22" w14:textId="77777777" w:rsidR="0005011A" w:rsidRPr="00C97518" w:rsidRDefault="0005011A" w:rsidP="00FC07B9">
      <w:pPr>
        <w:pStyle w:val="ACMACorporateAddresses"/>
      </w:pPr>
      <w:r w:rsidRPr="00C97518">
        <w:t xml:space="preserve">Level 5 </w:t>
      </w:r>
      <w:r w:rsidRPr="00C97518">
        <w:br/>
        <w:t>The Bay Centre</w:t>
      </w:r>
      <w:r w:rsidRPr="00C97518">
        <w:br/>
        <w:t xml:space="preserve">65 Pirrama Road </w:t>
      </w:r>
      <w:r w:rsidRPr="00C97518">
        <w:br/>
        <w:t>Pyrmont NSW</w:t>
      </w:r>
    </w:p>
    <w:p w14:paraId="1679F6C6" w14:textId="77777777" w:rsidR="0005011A" w:rsidRPr="00C97518" w:rsidRDefault="0005011A" w:rsidP="00FC07B9">
      <w:pPr>
        <w:pStyle w:val="ACMACorporateAddresses"/>
      </w:pPr>
      <w:r w:rsidRPr="00C97518">
        <w:t>PO Box Q500</w:t>
      </w:r>
      <w:r w:rsidRPr="00C97518">
        <w:br/>
        <w:t xml:space="preserve">Queen Victoria Building </w:t>
      </w:r>
      <w:r w:rsidRPr="00C97518">
        <w:br/>
        <w:t>NSW 1230</w:t>
      </w:r>
    </w:p>
    <w:p w14:paraId="5FFCC13A" w14:textId="77777777" w:rsidR="0005011A" w:rsidRPr="00C97518" w:rsidRDefault="0005011A" w:rsidP="00FC07B9">
      <w:pPr>
        <w:pStyle w:val="ACMACorporateAddresses"/>
      </w:pPr>
      <w:r w:rsidRPr="00C97518">
        <w:t>T</w:t>
      </w:r>
      <w:r w:rsidR="00140318" w:rsidRPr="00C97518">
        <w:tab/>
      </w:r>
      <w:r w:rsidRPr="00C97518">
        <w:t>+61 2 9334 7700</w:t>
      </w:r>
      <w:r w:rsidR="00140318" w:rsidRPr="00C97518">
        <w:t xml:space="preserve"> or</w:t>
      </w:r>
      <w:r w:rsidRPr="00C97518">
        <w:t xml:space="preserve"> 1800 226 667</w:t>
      </w:r>
      <w:r w:rsidRPr="00C97518">
        <w:br/>
        <w:t>F</w:t>
      </w:r>
      <w:r w:rsidR="00140318" w:rsidRPr="00C97518">
        <w:tab/>
      </w:r>
      <w:r w:rsidRPr="00C97518">
        <w:t>+61 2 9334 7799</w:t>
      </w:r>
    </w:p>
    <w:p w14:paraId="7E8DA9DB" w14:textId="77777777" w:rsidR="00140318" w:rsidRPr="00C97518" w:rsidRDefault="00140318" w:rsidP="00FC07B9">
      <w:pPr>
        <w:pStyle w:val="ACMACopyrightHeader"/>
      </w:pPr>
      <w:r w:rsidRPr="00C97518">
        <w:t>Copyright notice</w:t>
      </w:r>
    </w:p>
    <w:p w14:paraId="1BBA23F5" w14:textId="77777777" w:rsidR="00140318" w:rsidRPr="00C97518" w:rsidRDefault="00623FF9" w:rsidP="00623FF9">
      <w:pPr>
        <w:pStyle w:val="ACMACClogo"/>
      </w:pPr>
      <w:r w:rsidRPr="00C97518">
        <w:rPr>
          <w:noProof/>
        </w:rPr>
        <w:drawing>
          <wp:inline distT="0" distB="0" distL="0" distR="0" wp14:anchorId="3345645A" wp14:editId="0827927C">
            <wp:extent cx="838200" cy="295275"/>
            <wp:effectExtent l="0" t="0" r="0" b="0"/>
            <wp:docPr id="1" name="Picture 1" title="Creative Commons log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5"/>
                    </pic:cNvPr>
                    <pic:cNvPicPr>
                      <a:picLocks noChangeAspect="1" noChangeArrowheads="1"/>
                    </pic:cNvPicPr>
                  </pic:nvPicPr>
                  <pic:blipFill>
                    <a:blip r:embed="rId16" cstate="print"/>
                    <a:srcRect/>
                    <a:stretch>
                      <a:fillRect/>
                    </a:stretch>
                  </pic:blipFill>
                  <pic:spPr bwMode="auto">
                    <a:xfrm>
                      <a:off x="0" y="0"/>
                      <a:ext cx="838200" cy="295275"/>
                    </a:xfrm>
                    <a:prstGeom prst="rect">
                      <a:avLst/>
                    </a:prstGeom>
                    <a:noFill/>
                  </pic:spPr>
                </pic:pic>
              </a:graphicData>
            </a:graphic>
          </wp:inline>
        </w:drawing>
      </w:r>
    </w:p>
    <w:p w14:paraId="4F0228F9" w14:textId="77777777" w:rsidR="00140318" w:rsidRPr="00C97518" w:rsidRDefault="004B2E1D" w:rsidP="00FC07B9">
      <w:pPr>
        <w:pStyle w:val="ACMACorporateAddresses"/>
        <w:rPr>
          <w:rStyle w:val="Hyperlink"/>
        </w:rPr>
      </w:pPr>
      <w:hyperlink r:id="rId17" w:tooltip="Creative Commons Licenses" w:history="1">
        <w:r w:rsidR="00140318" w:rsidRPr="00C97518">
          <w:rPr>
            <w:rStyle w:val="Hyperlink"/>
          </w:rPr>
          <w:t>http://creativecommons.org/licenses/by/3.0/au/</w:t>
        </w:r>
      </w:hyperlink>
    </w:p>
    <w:p w14:paraId="20EAB06D" w14:textId="77777777" w:rsidR="00140318" w:rsidRPr="00C97518" w:rsidRDefault="00140318" w:rsidP="00FC07B9">
      <w:pPr>
        <w:pStyle w:val="ACMACorporateAddresses"/>
      </w:pPr>
      <w:r w:rsidRPr="00C97518">
        <w:t xml:space="preserve">With the exception of coats of arms, logos, emblems, images, other third-party material or devices protected by a trademark, this content is licensed under the Creative Commons Australia Attribution 3.0 Licence. </w:t>
      </w:r>
    </w:p>
    <w:p w14:paraId="667F0283" w14:textId="1BB73D0C" w:rsidR="00140318" w:rsidRPr="00C97518" w:rsidRDefault="00140318" w:rsidP="00FC07B9">
      <w:pPr>
        <w:pStyle w:val="ACMACorporateAddresses"/>
      </w:pPr>
      <w:r w:rsidRPr="00C97518">
        <w:t>We request attribution as: © Commonwealth of Australia (Australian Communic</w:t>
      </w:r>
      <w:r w:rsidR="008408FF" w:rsidRPr="00C97518">
        <w:t>ations and Media Authority) 201</w:t>
      </w:r>
      <w:r w:rsidR="00C97518" w:rsidRPr="00C97518">
        <w:t>6</w:t>
      </w:r>
      <w:r w:rsidRPr="00C97518">
        <w:t>.</w:t>
      </w:r>
    </w:p>
    <w:p w14:paraId="31904F48" w14:textId="77777777" w:rsidR="00140318" w:rsidRPr="00C97518" w:rsidRDefault="00140318" w:rsidP="00FC07B9">
      <w:pPr>
        <w:pStyle w:val="ACMACorporateAddresses"/>
      </w:pPr>
      <w:r w:rsidRPr="00C97518">
        <w:t>All other rights are reserved.</w:t>
      </w:r>
    </w:p>
    <w:p w14:paraId="083E4205" w14:textId="77777777" w:rsidR="00140318" w:rsidRPr="00C97518" w:rsidRDefault="00140318" w:rsidP="00FC07B9">
      <w:pPr>
        <w:pStyle w:val="ACMACorporateAddresses"/>
      </w:pPr>
      <w:r w:rsidRPr="00C97518">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57776A85" w14:textId="77777777" w:rsidR="00140318" w:rsidRPr="00C97518" w:rsidRDefault="00140318" w:rsidP="00FC07B9">
      <w:pPr>
        <w:pStyle w:val="ACMACorporateAddresses"/>
      </w:pPr>
      <w:r w:rsidRPr="00C97518">
        <w:t>Written enquiries may be sent to:</w:t>
      </w:r>
    </w:p>
    <w:p w14:paraId="1B3E4CB5" w14:textId="77777777" w:rsidR="00D16FE3" w:rsidRPr="00C97518" w:rsidRDefault="00140318" w:rsidP="00D16FE3">
      <w:pPr>
        <w:pStyle w:val="ACMACorporateAddresses"/>
        <w:rPr>
          <w:rStyle w:val="Hyperlink"/>
        </w:rPr>
      </w:pPr>
      <w:r w:rsidRPr="00C97518">
        <w:t>Manager, Editorial and Design</w:t>
      </w:r>
      <w:r w:rsidR="00623FF9" w:rsidRPr="00C97518">
        <w:br/>
      </w:r>
      <w:r w:rsidRPr="00C97518">
        <w:t>PO Box 13112</w:t>
      </w:r>
      <w:r w:rsidR="00623FF9" w:rsidRPr="00C97518">
        <w:br/>
      </w:r>
      <w:r w:rsidRPr="00C97518">
        <w:t>Law Courts</w:t>
      </w:r>
      <w:r w:rsidR="00623FF9" w:rsidRPr="00C97518">
        <w:br/>
      </w:r>
      <w:r w:rsidRPr="00C97518">
        <w:t>Melbourne VIC 8010</w:t>
      </w:r>
      <w:r w:rsidR="00623FF9" w:rsidRPr="00C97518">
        <w:br/>
      </w:r>
      <w:r w:rsidRPr="00C97518">
        <w:t>Tel: 03 9963 6968</w:t>
      </w:r>
      <w:r w:rsidR="00623FF9" w:rsidRPr="00C97518">
        <w:br/>
      </w:r>
      <w:r w:rsidRPr="00C97518">
        <w:t xml:space="preserve">Email: </w:t>
      </w:r>
      <w:hyperlink r:id="rId18" w:history="1">
        <w:r w:rsidRPr="00C97518">
          <w:rPr>
            <w:rStyle w:val="Hyperlink"/>
          </w:rPr>
          <w:t>candinfo@acma.gov.au</w:t>
        </w:r>
      </w:hyperlink>
    </w:p>
    <w:p w14:paraId="40116DCE" w14:textId="77777777" w:rsidR="00D16FE3" w:rsidRPr="00C97518" w:rsidRDefault="00D16FE3" w:rsidP="00D16FE3">
      <w:pPr>
        <w:pStyle w:val="ACMACorporateAddresses"/>
        <w:rPr>
          <w:rStyle w:val="Hyperlink"/>
        </w:rPr>
      </w:pPr>
    </w:p>
    <w:p w14:paraId="77AE5E8F" w14:textId="77777777" w:rsidR="00D16FE3" w:rsidRPr="00C97518" w:rsidRDefault="00D16FE3" w:rsidP="00D16FE3">
      <w:pPr>
        <w:pStyle w:val="ACMACorporateAddresses"/>
        <w:sectPr w:rsidR="00D16FE3" w:rsidRPr="00C97518" w:rsidSect="005C2C6F">
          <w:headerReference w:type="even" r:id="rId19"/>
          <w:headerReference w:type="default" r:id="rId20"/>
          <w:footerReference w:type="even" r:id="rId21"/>
          <w:footerReference w:type="default" r:id="rId22"/>
          <w:pgSz w:w="11906" w:h="16838" w:code="9"/>
          <w:pgMar w:top="3924" w:right="1797" w:bottom="697" w:left="1134" w:header="709" w:footer="119" w:gutter="0"/>
          <w:cols w:space="708"/>
          <w:docGrid w:linePitch="360"/>
        </w:sectPr>
      </w:pPr>
    </w:p>
    <w:p w14:paraId="25216529" w14:textId="77777777" w:rsidR="001877F0" w:rsidRDefault="00473CE6">
      <w:pPr>
        <w:pStyle w:val="TOC1"/>
        <w:rPr>
          <w:rFonts w:asciiTheme="minorHAnsi" w:eastAsiaTheme="minorEastAsia" w:hAnsiTheme="minorHAnsi" w:cstheme="minorBidi"/>
          <w:b w:val="0"/>
          <w:spacing w:val="0"/>
          <w:sz w:val="22"/>
          <w:szCs w:val="22"/>
        </w:rPr>
      </w:pPr>
      <w:r w:rsidRPr="00C97518">
        <w:rPr>
          <w:rFonts w:cs="Arial"/>
        </w:rPr>
        <w:lastRenderedPageBreak/>
        <w:fldChar w:fldCharType="begin"/>
      </w:r>
      <w:r w:rsidRPr="00C97518">
        <w:rPr>
          <w:rFonts w:cs="Arial"/>
        </w:rPr>
        <w:instrText xml:space="preserve"> TOC \o "1-3" \h \z \u </w:instrText>
      </w:r>
      <w:r w:rsidRPr="00C97518">
        <w:rPr>
          <w:rFonts w:cs="Arial"/>
        </w:rPr>
        <w:fldChar w:fldCharType="separate"/>
      </w:r>
      <w:hyperlink w:anchor="_Toc461025763" w:history="1">
        <w:r w:rsidR="001877F0" w:rsidRPr="00E21826">
          <w:rPr>
            <w:rStyle w:val="Hyperlink"/>
          </w:rPr>
          <w:t>Attachment A—2 GHz spectrum licence band arrangements (paired segment)</w:t>
        </w:r>
        <w:r w:rsidR="001877F0">
          <w:rPr>
            <w:webHidden/>
          </w:rPr>
          <w:tab/>
        </w:r>
        <w:r w:rsidR="001877F0">
          <w:rPr>
            <w:webHidden/>
          </w:rPr>
          <w:fldChar w:fldCharType="begin"/>
        </w:r>
        <w:r w:rsidR="001877F0">
          <w:rPr>
            <w:webHidden/>
          </w:rPr>
          <w:instrText xml:space="preserve"> PAGEREF _Toc461025763 \h </w:instrText>
        </w:r>
        <w:r w:rsidR="001877F0">
          <w:rPr>
            <w:webHidden/>
          </w:rPr>
        </w:r>
        <w:r w:rsidR="001877F0">
          <w:rPr>
            <w:webHidden/>
          </w:rPr>
          <w:fldChar w:fldCharType="separate"/>
        </w:r>
        <w:r w:rsidR="001877F0">
          <w:rPr>
            <w:webHidden/>
          </w:rPr>
          <w:t>5</w:t>
        </w:r>
        <w:r w:rsidR="001877F0">
          <w:rPr>
            <w:webHidden/>
          </w:rPr>
          <w:fldChar w:fldCharType="end"/>
        </w:r>
      </w:hyperlink>
    </w:p>
    <w:p w14:paraId="0D328D7F" w14:textId="77777777" w:rsidR="001877F0" w:rsidRDefault="004B2E1D">
      <w:pPr>
        <w:pStyle w:val="TOC1"/>
        <w:rPr>
          <w:rFonts w:asciiTheme="minorHAnsi" w:eastAsiaTheme="minorEastAsia" w:hAnsiTheme="minorHAnsi" w:cstheme="minorBidi"/>
          <w:b w:val="0"/>
          <w:spacing w:val="0"/>
          <w:sz w:val="22"/>
          <w:szCs w:val="22"/>
        </w:rPr>
      </w:pPr>
      <w:hyperlink w:anchor="_Toc461025764" w:history="1">
        <w:r w:rsidR="001877F0" w:rsidRPr="00E21826">
          <w:rPr>
            <w:rStyle w:val="Hyperlink"/>
          </w:rPr>
          <w:t>Attachment B—Proposed changes to the conditions of the 2 GHz spectrum licences</w:t>
        </w:r>
        <w:r w:rsidR="001877F0">
          <w:rPr>
            <w:webHidden/>
          </w:rPr>
          <w:tab/>
        </w:r>
        <w:r w:rsidR="001877F0">
          <w:rPr>
            <w:webHidden/>
          </w:rPr>
          <w:fldChar w:fldCharType="begin"/>
        </w:r>
        <w:r w:rsidR="001877F0">
          <w:rPr>
            <w:webHidden/>
          </w:rPr>
          <w:instrText xml:space="preserve"> PAGEREF _Toc461025764 \h </w:instrText>
        </w:r>
        <w:r w:rsidR="001877F0">
          <w:rPr>
            <w:webHidden/>
          </w:rPr>
        </w:r>
        <w:r w:rsidR="001877F0">
          <w:rPr>
            <w:webHidden/>
          </w:rPr>
          <w:fldChar w:fldCharType="separate"/>
        </w:r>
        <w:r w:rsidR="001877F0">
          <w:rPr>
            <w:webHidden/>
          </w:rPr>
          <w:t>7</w:t>
        </w:r>
        <w:r w:rsidR="001877F0">
          <w:rPr>
            <w:webHidden/>
          </w:rPr>
          <w:fldChar w:fldCharType="end"/>
        </w:r>
      </w:hyperlink>
    </w:p>
    <w:p w14:paraId="676AEC12" w14:textId="77777777" w:rsidR="001877F0" w:rsidRDefault="004B2E1D">
      <w:pPr>
        <w:pStyle w:val="TOC2"/>
        <w:rPr>
          <w:rFonts w:asciiTheme="minorHAnsi" w:eastAsiaTheme="minorEastAsia" w:hAnsiTheme="minorHAnsi" w:cstheme="minorBidi"/>
          <w:spacing w:val="0"/>
          <w:sz w:val="22"/>
          <w:szCs w:val="22"/>
        </w:rPr>
      </w:pPr>
      <w:hyperlink w:anchor="_Toc461025765" w:history="1">
        <w:r w:rsidR="001877F0" w:rsidRPr="00E21826">
          <w:rPr>
            <w:rStyle w:val="Hyperlink"/>
          </w:rPr>
          <w:t>B1</w:t>
        </w:r>
        <w:r w:rsidR="001877F0">
          <w:rPr>
            <w:rFonts w:asciiTheme="minorHAnsi" w:eastAsiaTheme="minorEastAsia" w:hAnsiTheme="minorHAnsi" w:cstheme="minorBidi"/>
            <w:spacing w:val="0"/>
            <w:sz w:val="22"/>
            <w:szCs w:val="22"/>
          </w:rPr>
          <w:tab/>
        </w:r>
        <w:r w:rsidR="001877F0" w:rsidRPr="00E21826">
          <w:rPr>
            <w:rStyle w:val="Hyperlink"/>
            <w:lang w:eastAsia="en-US"/>
          </w:rPr>
          <w:t>Unwanted emission limits</w:t>
        </w:r>
        <w:r w:rsidR="001877F0">
          <w:rPr>
            <w:webHidden/>
          </w:rPr>
          <w:tab/>
        </w:r>
        <w:r w:rsidR="001877F0">
          <w:rPr>
            <w:webHidden/>
          </w:rPr>
          <w:fldChar w:fldCharType="begin"/>
        </w:r>
        <w:r w:rsidR="001877F0">
          <w:rPr>
            <w:webHidden/>
          </w:rPr>
          <w:instrText xml:space="preserve"> PAGEREF _Toc461025765 \h </w:instrText>
        </w:r>
        <w:r w:rsidR="001877F0">
          <w:rPr>
            <w:webHidden/>
          </w:rPr>
        </w:r>
        <w:r w:rsidR="001877F0">
          <w:rPr>
            <w:webHidden/>
          </w:rPr>
          <w:fldChar w:fldCharType="separate"/>
        </w:r>
        <w:r w:rsidR="001877F0">
          <w:rPr>
            <w:webHidden/>
          </w:rPr>
          <w:t>7</w:t>
        </w:r>
        <w:r w:rsidR="001877F0">
          <w:rPr>
            <w:webHidden/>
          </w:rPr>
          <w:fldChar w:fldCharType="end"/>
        </w:r>
      </w:hyperlink>
    </w:p>
    <w:p w14:paraId="0BEF4B74" w14:textId="77777777" w:rsidR="001877F0" w:rsidRDefault="004B2E1D">
      <w:pPr>
        <w:pStyle w:val="TOC2"/>
        <w:rPr>
          <w:rFonts w:asciiTheme="minorHAnsi" w:eastAsiaTheme="minorEastAsia" w:hAnsiTheme="minorHAnsi" w:cstheme="minorBidi"/>
          <w:spacing w:val="0"/>
          <w:sz w:val="22"/>
          <w:szCs w:val="22"/>
        </w:rPr>
      </w:pPr>
      <w:hyperlink w:anchor="_Toc461025766" w:history="1">
        <w:r w:rsidR="001877F0" w:rsidRPr="00E21826">
          <w:rPr>
            <w:rStyle w:val="Hyperlink"/>
          </w:rPr>
          <w:t>B2</w:t>
        </w:r>
        <w:r w:rsidR="001877F0">
          <w:rPr>
            <w:rFonts w:asciiTheme="minorHAnsi" w:eastAsiaTheme="minorEastAsia" w:hAnsiTheme="minorHAnsi" w:cstheme="minorBidi"/>
            <w:spacing w:val="0"/>
            <w:sz w:val="22"/>
            <w:szCs w:val="22"/>
          </w:rPr>
          <w:tab/>
        </w:r>
        <w:r w:rsidR="001877F0" w:rsidRPr="00E21826">
          <w:rPr>
            <w:rStyle w:val="Hyperlink"/>
          </w:rPr>
          <w:t>Additional s</w:t>
        </w:r>
        <w:r w:rsidR="001877F0" w:rsidRPr="00E21826">
          <w:rPr>
            <w:rStyle w:val="Hyperlink"/>
            <w:lang w:eastAsia="en-US"/>
          </w:rPr>
          <w:t>purious emission limit requirements</w:t>
        </w:r>
        <w:r w:rsidR="001877F0">
          <w:rPr>
            <w:webHidden/>
          </w:rPr>
          <w:tab/>
        </w:r>
        <w:r w:rsidR="001877F0">
          <w:rPr>
            <w:webHidden/>
          </w:rPr>
          <w:fldChar w:fldCharType="begin"/>
        </w:r>
        <w:r w:rsidR="001877F0">
          <w:rPr>
            <w:webHidden/>
          </w:rPr>
          <w:instrText xml:space="preserve"> PAGEREF _Toc461025766 \h </w:instrText>
        </w:r>
        <w:r w:rsidR="001877F0">
          <w:rPr>
            <w:webHidden/>
          </w:rPr>
        </w:r>
        <w:r w:rsidR="001877F0">
          <w:rPr>
            <w:webHidden/>
          </w:rPr>
          <w:fldChar w:fldCharType="separate"/>
        </w:r>
        <w:r w:rsidR="001877F0">
          <w:rPr>
            <w:webHidden/>
          </w:rPr>
          <w:t>13</w:t>
        </w:r>
        <w:r w:rsidR="001877F0">
          <w:rPr>
            <w:webHidden/>
          </w:rPr>
          <w:fldChar w:fldCharType="end"/>
        </w:r>
      </w:hyperlink>
    </w:p>
    <w:p w14:paraId="762E5D9B" w14:textId="77777777" w:rsidR="001877F0" w:rsidRDefault="004B2E1D">
      <w:pPr>
        <w:pStyle w:val="TOC2"/>
        <w:rPr>
          <w:rFonts w:asciiTheme="minorHAnsi" w:eastAsiaTheme="minorEastAsia" w:hAnsiTheme="minorHAnsi" w:cstheme="minorBidi"/>
          <w:spacing w:val="0"/>
          <w:sz w:val="22"/>
          <w:szCs w:val="22"/>
        </w:rPr>
      </w:pPr>
      <w:hyperlink w:anchor="_Toc461025767" w:history="1">
        <w:r w:rsidR="001877F0" w:rsidRPr="00E21826">
          <w:rPr>
            <w:rStyle w:val="Hyperlink"/>
          </w:rPr>
          <w:t>B3</w:t>
        </w:r>
        <w:r w:rsidR="001877F0">
          <w:rPr>
            <w:rFonts w:asciiTheme="minorHAnsi" w:eastAsiaTheme="minorEastAsia" w:hAnsiTheme="minorHAnsi" w:cstheme="minorBidi"/>
            <w:spacing w:val="0"/>
            <w:sz w:val="22"/>
            <w:szCs w:val="22"/>
          </w:rPr>
          <w:tab/>
        </w:r>
        <w:r w:rsidR="001877F0" w:rsidRPr="00E21826">
          <w:rPr>
            <w:rStyle w:val="Hyperlink"/>
          </w:rPr>
          <w:t>Out-of-area e</w:t>
        </w:r>
        <w:r w:rsidR="001877F0" w:rsidRPr="00E21826">
          <w:rPr>
            <w:rStyle w:val="Hyperlink"/>
            <w:lang w:eastAsia="en-US"/>
          </w:rPr>
          <w:t>mission limit</w:t>
        </w:r>
        <w:r w:rsidR="001877F0">
          <w:rPr>
            <w:webHidden/>
          </w:rPr>
          <w:tab/>
        </w:r>
        <w:r w:rsidR="001877F0">
          <w:rPr>
            <w:webHidden/>
          </w:rPr>
          <w:fldChar w:fldCharType="begin"/>
        </w:r>
        <w:r w:rsidR="001877F0">
          <w:rPr>
            <w:webHidden/>
          </w:rPr>
          <w:instrText xml:space="preserve"> PAGEREF _Toc461025767 \h </w:instrText>
        </w:r>
        <w:r w:rsidR="001877F0">
          <w:rPr>
            <w:webHidden/>
          </w:rPr>
        </w:r>
        <w:r w:rsidR="001877F0">
          <w:rPr>
            <w:webHidden/>
          </w:rPr>
          <w:fldChar w:fldCharType="separate"/>
        </w:r>
        <w:r w:rsidR="001877F0">
          <w:rPr>
            <w:webHidden/>
          </w:rPr>
          <w:t>14</w:t>
        </w:r>
        <w:r w:rsidR="001877F0">
          <w:rPr>
            <w:webHidden/>
          </w:rPr>
          <w:fldChar w:fldCharType="end"/>
        </w:r>
      </w:hyperlink>
    </w:p>
    <w:p w14:paraId="6BC9F38D" w14:textId="77777777" w:rsidR="001877F0" w:rsidRDefault="004B2E1D">
      <w:pPr>
        <w:pStyle w:val="TOC2"/>
        <w:rPr>
          <w:rFonts w:asciiTheme="minorHAnsi" w:eastAsiaTheme="minorEastAsia" w:hAnsiTheme="minorHAnsi" w:cstheme="minorBidi"/>
          <w:spacing w:val="0"/>
          <w:sz w:val="22"/>
          <w:szCs w:val="22"/>
        </w:rPr>
      </w:pPr>
      <w:hyperlink w:anchor="_Toc461025768" w:history="1">
        <w:r w:rsidR="001877F0" w:rsidRPr="00E21826">
          <w:rPr>
            <w:rStyle w:val="Hyperlink"/>
          </w:rPr>
          <w:t>B4</w:t>
        </w:r>
        <w:r w:rsidR="001877F0">
          <w:rPr>
            <w:rFonts w:asciiTheme="minorHAnsi" w:eastAsiaTheme="minorEastAsia" w:hAnsiTheme="minorHAnsi" w:cstheme="minorBidi"/>
            <w:spacing w:val="0"/>
            <w:sz w:val="22"/>
            <w:szCs w:val="22"/>
          </w:rPr>
          <w:tab/>
        </w:r>
        <w:r w:rsidR="001877F0" w:rsidRPr="00E21826">
          <w:rPr>
            <w:rStyle w:val="Hyperlink"/>
          </w:rPr>
          <w:t>Exemption from registration requirements</w:t>
        </w:r>
        <w:r w:rsidR="001877F0">
          <w:rPr>
            <w:webHidden/>
          </w:rPr>
          <w:tab/>
        </w:r>
        <w:r w:rsidR="001877F0">
          <w:rPr>
            <w:webHidden/>
          </w:rPr>
          <w:fldChar w:fldCharType="begin"/>
        </w:r>
        <w:r w:rsidR="001877F0">
          <w:rPr>
            <w:webHidden/>
          </w:rPr>
          <w:instrText xml:space="preserve"> PAGEREF _Toc461025768 \h </w:instrText>
        </w:r>
        <w:r w:rsidR="001877F0">
          <w:rPr>
            <w:webHidden/>
          </w:rPr>
        </w:r>
        <w:r w:rsidR="001877F0">
          <w:rPr>
            <w:webHidden/>
          </w:rPr>
          <w:fldChar w:fldCharType="separate"/>
        </w:r>
        <w:r w:rsidR="001877F0">
          <w:rPr>
            <w:webHidden/>
          </w:rPr>
          <w:t>14</w:t>
        </w:r>
        <w:r w:rsidR="001877F0">
          <w:rPr>
            <w:webHidden/>
          </w:rPr>
          <w:fldChar w:fldCharType="end"/>
        </w:r>
      </w:hyperlink>
    </w:p>
    <w:p w14:paraId="3D9145F5" w14:textId="77777777" w:rsidR="001877F0" w:rsidRDefault="004B2E1D">
      <w:pPr>
        <w:pStyle w:val="TOC1"/>
        <w:rPr>
          <w:rFonts w:asciiTheme="minorHAnsi" w:eastAsiaTheme="minorEastAsia" w:hAnsiTheme="minorHAnsi" w:cstheme="minorBidi"/>
          <w:b w:val="0"/>
          <w:spacing w:val="0"/>
          <w:sz w:val="22"/>
          <w:szCs w:val="22"/>
        </w:rPr>
      </w:pPr>
      <w:hyperlink w:anchor="_Toc461025769" w:history="1">
        <w:r w:rsidR="001877F0" w:rsidRPr="00E21826">
          <w:rPr>
            <w:rStyle w:val="Hyperlink"/>
          </w:rPr>
          <w:t>Attachment C—Proposed changes to the section 145 determination for the 2 GHz band</w:t>
        </w:r>
        <w:r w:rsidR="001877F0">
          <w:rPr>
            <w:webHidden/>
          </w:rPr>
          <w:tab/>
        </w:r>
        <w:r w:rsidR="001877F0">
          <w:rPr>
            <w:webHidden/>
          </w:rPr>
          <w:fldChar w:fldCharType="begin"/>
        </w:r>
        <w:r w:rsidR="001877F0">
          <w:rPr>
            <w:webHidden/>
          </w:rPr>
          <w:instrText xml:space="preserve"> PAGEREF _Toc461025769 \h </w:instrText>
        </w:r>
        <w:r w:rsidR="001877F0">
          <w:rPr>
            <w:webHidden/>
          </w:rPr>
        </w:r>
        <w:r w:rsidR="001877F0">
          <w:rPr>
            <w:webHidden/>
          </w:rPr>
          <w:fldChar w:fldCharType="separate"/>
        </w:r>
        <w:r w:rsidR="001877F0">
          <w:rPr>
            <w:webHidden/>
          </w:rPr>
          <w:t>15</w:t>
        </w:r>
        <w:r w:rsidR="001877F0">
          <w:rPr>
            <w:webHidden/>
          </w:rPr>
          <w:fldChar w:fldCharType="end"/>
        </w:r>
      </w:hyperlink>
    </w:p>
    <w:p w14:paraId="0935AAD7" w14:textId="77777777" w:rsidR="001877F0" w:rsidRDefault="004B2E1D">
      <w:pPr>
        <w:pStyle w:val="TOC2"/>
        <w:rPr>
          <w:rFonts w:asciiTheme="minorHAnsi" w:eastAsiaTheme="minorEastAsia" w:hAnsiTheme="minorHAnsi" w:cstheme="minorBidi"/>
          <w:spacing w:val="0"/>
          <w:sz w:val="22"/>
          <w:szCs w:val="22"/>
        </w:rPr>
      </w:pPr>
      <w:hyperlink w:anchor="_Toc461025770" w:history="1">
        <w:r w:rsidR="001877F0" w:rsidRPr="00E21826">
          <w:rPr>
            <w:rStyle w:val="Hyperlink"/>
          </w:rPr>
          <w:t xml:space="preserve">C1 </w:t>
        </w:r>
        <w:r w:rsidR="001877F0">
          <w:rPr>
            <w:rFonts w:asciiTheme="minorHAnsi" w:eastAsiaTheme="minorEastAsia" w:hAnsiTheme="minorHAnsi" w:cstheme="minorBidi"/>
            <w:spacing w:val="0"/>
            <w:sz w:val="22"/>
            <w:szCs w:val="22"/>
          </w:rPr>
          <w:tab/>
        </w:r>
        <w:r w:rsidR="001877F0" w:rsidRPr="00E21826">
          <w:rPr>
            <w:rStyle w:val="Hyperlink"/>
          </w:rPr>
          <w:t>System model</w:t>
        </w:r>
        <w:r w:rsidR="001877F0">
          <w:rPr>
            <w:webHidden/>
          </w:rPr>
          <w:tab/>
        </w:r>
        <w:r w:rsidR="001877F0">
          <w:rPr>
            <w:webHidden/>
          </w:rPr>
          <w:fldChar w:fldCharType="begin"/>
        </w:r>
        <w:r w:rsidR="001877F0">
          <w:rPr>
            <w:webHidden/>
          </w:rPr>
          <w:instrText xml:space="preserve"> PAGEREF _Toc461025770 \h </w:instrText>
        </w:r>
        <w:r w:rsidR="001877F0">
          <w:rPr>
            <w:webHidden/>
          </w:rPr>
        </w:r>
        <w:r w:rsidR="001877F0">
          <w:rPr>
            <w:webHidden/>
          </w:rPr>
          <w:fldChar w:fldCharType="separate"/>
        </w:r>
        <w:r w:rsidR="001877F0">
          <w:rPr>
            <w:webHidden/>
          </w:rPr>
          <w:t>15</w:t>
        </w:r>
        <w:r w:rsidR="001877F0">
          <w:rPr>
            <w:webHidden/>
          </w:rPr>
          <w:fldChar w:fldCharType="end"/>
        </w:r>
      </w:hyperlink>
    </w:p>
    <w:p w14:paraId="6AE79D9F" w14:textId="77777777" w:rsidR="001877F0" w:rsidRDefault="004B2E1D">
      <w:pPr>
        <w:pStyle w:val="TOC2"/>
        <w:rPr>
          <w:rFonts w:asciiTheme="minorHAnsi" w:eastAsiaTheme="minorEastAsia" w:hAnsiTheme="minorHAnsi" w:cstheme="minorBidi"/>
          <w:spacing w:val="0"/>
          <w:sz w:val="22"/>
          <w:szCs w:val="22"/>
        </w:rPr>
      </w:pPr>
      <w:hyperlink w:anchor="_Toc461025771" w:history="1">
        <w:r w:rsidR="001877F0" w:rsidRPr="00E21826">
          <w:rPr>
            <w:rStyle w:val="Hyperlink"/>
          </w:rPr>
          <w:t>C2</w:t>
        </w:r>
        <w:r w:rsidR="001877F0">
          <w:rPr>
            <w:rFonts w:asciiTheme="minorHAnsi" w:eastAsiaTheme="minorEastAsia" w:hAnsiTheme="minorHAnsi" w:cstheme="minorBidi"/>
            <w:spacing w:val="0"/>
            <w:sz w:val="22"/>
            <w:szCs w:val="22"/>
          </w:rPr>
          <w:tab/>
        </w:r>
        <w:r w:rsidR="001877F0" w:rsidRPr="00E21826">
          <w:rPr>
            <w:rStyle w:val="Hyperlink"/>
            <w:lang w:eastAsia="en-US"/>
          </w:rPr>
          <w:t xml:space="preserve">Level of </w:t>
        </w:r>
        <w:r w:rsidR="001877F0" w:rsidRPr="00E21826">
          <w:rPr>
            <w:rStyle w:val="Hyperlink"/>
          </w:rPr>
          <w:t>protection</w:t>
        </w:r>
        <w:r w:rsidR="001877F0">
          <w:rPr>
            <w:webHidden/>
          </w:rPr>
          <w:tab/>
        </w:r>
        <w:r w:rsidR="001877F0">
          <w:rPr>
            <w:webHidden/>
          </w:rPr>
          <w:fldChar w:fldCharType="begin"/>
        </w:r>
        <w:r w:rsidR="001877F0">
          <w:rPr>
            <w:webHidden/>
          </w:rPr>
          <w:instrText xml:space="preserve"> PAGEREF _Toc461025771 \h </w:instrText>
        </w:r>
        <w:r w:rsidR="001877F0">
          <w:rPr>
            <w:webHidden/>
          </w:rPr>
        </w:r>
        <w:r w:rsidR="001877F0">
          <w:rPr>
            <w:webHidden/>
          </w:rPr>
          <w:fldChar w:fldCharType="separate"/>
        </w:r>
        <w:r w:rsidR="001877F0">
          <w:rPr>
            <w:webHidden/>
          </w:rPr>
          <w:t>16</w:t>
        </w:r>
        <w:r w:rsidR="001877F0">
          <w:rPr>
            <w:webHidden/>
          </w:rPr>
          <w:fldChar w:fldCharType="end"/>
        </w:r>
      </w:hyperlink>
    </w:p>
    <w:p w14:paraId="5296BA59" w14:textId="77777777" w:rsidR="001877F0" w:rsidRDefault="004B2E1D">
      <w:pPr>
        <w:pStyle w:val="TOC2"/>
        <w:rPr>
          <w:rFonts w:asciiTheme="minorHAnsi" w:eastAsiaTheme="minorEastAsia" w:hAnsiTheme="minorHAnsi" w:cstheme="minorBidi"/>
          <w:spacing w:val="0"/>
          <w:sz w:val="22"/>
          <w:szCs w:val="22"/>
        </w:rPr>
      </w:pPr>
      <w:hyperlink w:anchor="_Toc461025772" w:history="1">
        <w:r w:rsidR="001877F0" w:rsidRPr="00E21826">
          <w:rPr>
            <w:rStyle w:val="Hyperlink"/>
          </w:rPr>
          <w:t>C3</w:t>
        </w:r>
        <w:r w:rsidR="001877F0">
          <w:rPr>
            <w:rFonts w:asciiTheme="minorHAnsi" w:eastAsiaTheme="minorEastAsia" w:hAnsiTheme="minorHAnsi" w:cstheme="minorBidi"/>
            <w:spacing w:val="0"/>
            <w:sz w:val="22"/>
            <w:szCs w:val="22"/>
          </w:rPr>
          <w:tab/>
        </w:r>
        <w:r w:rsidR="001877F0" w:rsidRPr="00E21826">
          <w:rPr>
            <w:rStyle w:val="Hyperlink"/>
            <w:lang w:eastAsia="en-US"/>
          </w:rPr>
          <w:t>Propagation modelling</w:t>
        </w:r>
        <w:r w:rsidR="001877F0">
          <w:rPr>
            <w:webHidden/>
          </w:rPr>
          <w:tab/>
        </w:r>
        <w:r w:rsidR="001877F0">
          <w:rPr>
            <w:webHidden/>
          </w:rPr>
          <w:fldChar w:fldCharType="begin"/>
        </w:r>
        <w:r w:rsidR="001877F0">
          <w:rPr>
            <w:webHidden/>
          </w:rPr>
          <w:instrText xml:space="preserve"> PAGEREF _Toc461025772 \h </w:instrText>
        </w:r>
        <w:r w:rsidR="001877F0">
          <w:rPr>
            <w:webHidden/>
          </w:rPr>
        </w:r>
        <w:r w:rsidR="001877F0">
          <w:rPr>
            <w:webHidden/>
          </w:rPr>
          <w:fldChar w:fldCharType="separate"/>
        </w:r>
        <w:r w:rsidR="001877F0">
          <w:rPr>
            <w:webHidden/>
          </w:rPr>
          <w:t>16</w:t>
        </w:r>
        <w:r w:rsidR="001877F0">
          <w:rPr>
            <w:webHidden/>
          </w:rPr>
          <w:fldChar w:fldCharType="end"/>
        </w:r>
      </w:hyperlink>
    </w:p>
    <w:p w14:paraId="7B77BD39" w14:textId="77777777" w:rsidR="001877F0" w:rsidRDefault="004B2E1D">
      <w:pPr>
        <w:pStyle w:val="TOC2"/>
        <w:rPr>
          <w:rFonts w:asciiTheme="minorHAnsi" w:eastAsiaTheme="minorEastAsia" w:hAnsiTheme="minorHAnsi" w:cstheme="minorBidi"/>
          <w:spacing w:val="0"/>
          <w:sz w:val="22"/>
          <w:szCs w:val="22"/>
        </w:rPr>
      </w:pPr>
      <w:hyperlink w:anchor="_Toc461025773" w:history="1">
        <w:r w:rsidR="001877F0" w:rsidRPr="00E21826">
          <w:rPr>
            <w:rStyle w:val="Hyperlink"/>
          </w:rPr>
          <w:t xml:space="preserve">C4 </w:t>
        </w:r>
        <w:r w:rsidR="001877F0">
          <w:rPr>
            <w:rFonts w:asciiTheme="minorHAnsi" w:eastAsiaTheme="minorEastAsia" w:hAnsiTheme="minorHAnsi" w:cstheme="minorBidi"/>
            <w:spacing w:val="0"/>
            <w:sz w:val="22"/>
            <w:szCs w:val="22"/>
          </w:rPr>
          <w:tab/>
        </w:r>
        <w:r w:rsidR="001877F0" w:rsidRPr="00E21826">
          <w:rPr>
            <w:rStyle w:val="Hyperlink"/>
          </w:rPr>
          <w:t>Device boundary criterion</w:t>
        </w:r>
        <w:r w:rsidR="001877F0">
          <w:rPr>
            <w:webHidden/>
          </w:rPr>
          <w:tab/>
        </w:r>
        <w:r w:rsidR="001877F0">
          <w:rPr>
            <w:webHidden/>
          </w:rPr>
          <w:fldChar w:fldCharType="begin"/>
        </w:r>
        <w:r w:rsidR="001877F0">
          <w:rPr>
            <w:webHidden/>
          </w:rPr>
          <w:instrText xml:space="preserve"> PAGEREF _Toc461025773 \h </w:instrText>
        </w:r>
        <w:r w:rsidR="001877F0">
          <w:rPr>
            <w:webHidden/>
          </w:rPr>
        </w:r>
        <w:r w:rsidR="001877F0">
          <w:rPr>
            <w:webHidden/>
          </w:rPr>
          <w:fldChar w:fldCharType="separate"/>
        </w:r>
        <w:r w:rsidR="001877F0">
          <w:rPr>
            <w:webHidden/>
          </w:rPr>
          <w:t>17</w:t>
        </w:r>
        <w:r w:rsidR="001877F0">
          <w:rPr>
            <w:webHidden/>
          </w:rPr>
          <w:fldChar w:fldCharType="end"/>
        </w:r>
      </w:hyperlink>
    </w:p>
    <w:p w14:paraId="3BA32C31" w14:textId="77777777" w:rsidR="001877F0" w:rsidRDefault="004B2E1D">
      <w:pPr>
        <w:pStyle w:val="TOC2"/>
        <w:rPr>
          <w:rFonts w:asciiTheme="minorHAnsi" w:eastAsiaTheme="minorEastAsia" w:hAnsiTheme="minorHAnsi" w:cstheme="minorBidi"/>
          <w:spacing w:val="0"/>
          <w:sz w:val="22"/>
          <w:szCs w:val="22"/>
        </w:rPr>
      </w:pPr>
      <w:hyperlink w:anchor="_Toc461025774" w:history="1">
        <w:r w:rsidR="001877F0" w:rsidRPr="00E21826">
          <w:rPr>
            <w:rStyle w:val="Hyperlink"/>
          </w:rPr>
          <w:t xml:space="preserve">C5 </w:t>
        </w:r>
        <w:r w:rsidR="001877F0">
          <w:rPr>
            <w:rFonts w:asciiTheme="minorHAnsi" w:eastAsiaTheme="minorEastAsia" w:hAnsiTheme="minorHAnsi" w:cstheme="minorBidi"/>
            <w:spacing w:val="0"/>
            <w:sz w:val="22"/>
            <w:szCs w:val="22"/>
          </w:rPr>
          <w:tab/>
        </w:r>
        <w:r w:rsidR="001877F0" w:rsidRPr="00E21826">
          <w:rPr>
            <w:rStyle w:val="Hyperlink"/>
          </w:rPr>
          <w:t>Groups of transmitters and receivers</w:t>
        </w:r>
        <w:r w:rsidR="001877F0">
          <w:rPr>
            <w:webHidden/>
          </w:rPr>
          <w:tab/>
        </w:r>
        <w:r w:rsidR="001877F0">
          <w:rPr>
            <w:webHidden/>
          </w:rPr>
          <w:fldChar w:fldCharType="begin"/>
        </w:r>
        <w:r w:rsidR="001877F0">
          <w:rPr>
            <w:webHidden/>
          </w:rPr>
          <w:instrText xml:space="preserve"> PAGEREF _Toc461025774 \h </w:instrText>
        </w:r>
        <w:r w:rsidR="001877F0">
          <w:rPr>
            <w:webHidden/>
          </w:rPr>
        </w:r>
        <w:r w:rsidR="001877F0">
          <w:rPr>
            <w:webHidden/>
          </w:rPr>
          <w:fldChar w:fldCharType="separate"/>
        </w:r>
        <w:r w:rsidR="001877F0">
          <w:rPr>
            <w:webHidden/>
          </w:rPr>
          <w:t>19</w:t>
        </w:r>
        <w:r w:rsidR="001877F0">
          <w:rPr>
            <w:webHidden/>
          </w:rPr>
          <w:fldChar w:fldCharType="end"/>
        </w:r>
      </w:hyperlink>
    </w:p>
    <w:p w14:paraId="7DE330A2" w14:textId="77777777" w:rsidR="001877F0" w:rsidRDefault="004B2E1D">
      <w:pPr>
        <w:pStyle w:val="TOC2"/>
        <w:rPr>
          <w:rFonts w:asciiTheme="minorHAnsi" w:eastAsiaTheme="minorEastAsia" w:hAnsiTheme="minorHAnsi" w:cstheme="minorBidi"/>
          <w:spacing w:val="0"/>
          <w:sz w:val="22"/>
          <w:szCs w:val="22"/>
        </w:rPr>
      </w:pPr>
      <w:hyperlink w:anchor="_Toc461025775" w:history="1">
        <w:r w:rsidR="001877F0" w:rsidRPr="00E21826">
          <w:rPr>
            <w:rStyle w:val="Hyperlink"/>
          </w:rPr>
          <w:t xml:space="preserve">C6 </w:t>
        </w:r>
        <w:r w:rsidR="001877F0">
          <w:rPr>
            <w:rFonts w:asciiTheme="minorHAnsi" w:eastAsiaTheme="minorEastAsia" w:hAnsiTheme="minorHAnsi" w:cstheme="minorBidi"/>
            <w:spacing w:val="0"/>
            <w:sz w:val="22"/>
            <w:szCs w:val="22"/>
          </w:rPr>
          <w:tab/>
        </w:r>
        <w:r w:rsidR="001877F0" w:rsidRPr="00E21826">
          <w:rPr>
            <w:rStyle w:val="Hyperlink"/>
          </w:rPr>
          <w:t>Deployment constraints</w:t>
        </w:r>
        <w:r w:rsidR="001877F0">
          <w:rPr>
            <w:webHidden/>
          </w:rPr>
          <w:tab/>
        </w:r>
        <w:r w:rsidR="001877F0">
          <w:rPr>
            <w:webHidden/>
          </w:rPr>
          <w:fldChar w:fldCharType="begin"/>
        </w:r>
        <w:r w:rsidR="001877F0">
          <w:rPr>
            <w:webHidden/>
          </w:rPr>
          <w:instrText xml:space="preserve"> PAGEREF _Toc461025775 \h </w:instrText>
        </w:r>
        <w:r w:rsidR="001877F0">
          <w:rPr>
            <w:webHidden/>
          </w:rPr>
        </w:r>
        <w:r w:rsidR="001877F0">
          <w:rPr>
            <w:webHidden/>
          </w:rPr>
          <w:fldChar w:fldCharType="separate"/>
        </w:r>
        <w:r w:rsidR="001877F0">
          <w:rPr>
            <w:webHidden/>
          </w:rPr>
          <w:t>19</w:t>
        </w:r>
        <w:r w:rsidR="001877F0">
          <w:rPr>
            <w:webHidden/>
          </w:rPr>
          <w:fldChar w:fldCharType="end"/>
        </w:r>
      </w:hyperlink>
    </w:p>
    <w:p w14:paraId="0FCDB915" w14:textId="77777777" w:rsidR="001877F0" w:rsidRDefault="004B2E1D">
      <w:pPr>
        <w:pStyle w:val="TOC1"/>
        <w:rPr>
          <w:rFonts w:asciiTheme="minorHAnsi" w:eastAsiaTheme="minorEastAsia" w:hAnsiTheme="minorHAnsi" w:cstheme="minorBidi"/>
          <w:b w:val="0"/>
          <w:spacing w:val="0"/>
          <w:sz w:val="22"/>
          <w:szCs w:val="22"/>
        </w:rPr>
      </w:pPr>
      <w:hyperlink w:anchor="_Toc461025776" w:history="1">
        <w:r w:rsidR="001877F0" w:rsidRPr="00E21826">
          <w:rPr>
            <w:rStyle w:val="Hyperlink"/>
          </w:rPr>
          <w:t>Attachment D—Proposed changes to the Radiocommunications Advisory Guidelines for managing interference from 2 GHz spectrum-licenced transmitters</w:t>
        </w:r>
        <w:r w:rsidR="001877F0">
          <w:rPr>
            <w:webHidden/>
          </w:rPr>
          <w:tab/>
        </w:r>
        <w:r w:rsidR="001877F0">
          <w:rPr>
            <w:webHidden/>
          </w:rPr>
          <w:fldChar w:fldCharType="begin"/>
        </w:r>
        <w:r w:rsidR="001877F0">
          <w:rPr>
            <w:webHidden/>
          </w:rPr>
          <w:instrText xml:space="preserve"> PAGEREF _Toc461025776 \h </w:instrText>
        </w:r>
        <w:r w:rsidR="001877F0">
          <w:rPr>
            <w:webHidden/>
          </w:rPr>
        </w:r>
        <w:r w:rsidR="001877F0">
          <w:rPr>
            <w:webHidden/>
          </w:rPr>
          <w:fldChar w:fldCharType="separate"/>
        </w:r>
        <w:r w:rsidR="001877F0">
          <w:rPr>
            <w:webHidden/>
          </w:rPr>
          <w:t>20</w:t>
        </w:r>
        <w:r w:rsidR="001877F0">
          <w:rPr>
            <w:webHidden/>
          </w:rPr>
          <w:fldChar w:fldCharType="end"/>
        </w:r>
      </w:hyperlink>
    </w:p>
    <w:p w14:paraId="6242026A" w14:textId="77777777" w:rsidR="001877F0" w:rsidRDefault="004B2E1D">
      <w:pPr>
        <w:pStyle w:val="TOC2"/>
        <w:rPr>
          <w:rFonts w:asciiTheme="minorHAnsi" w:eastAsiaTheme="minorEastAsia" w:hAnsiTheme="minorHAnsi" w:cstheme="minorBidi"/>
          <w:spacing w:val="0"/>
          <w:sz w:val="22"/>
          <w:szCs w:val="22"/>
        </w:rPr>
      </w:pPr>
      <w:hyperlink w:anchor="_Toc461025777" w:history="1">
        <w:r w:rsidR="001877F0" w:rsidRPr="00E21826">
          <w:rPr>
            <w:rStyle w:val="Hyperlink"/>
            <w:lang w:eastAsia="en-US"/>
          </w:rPr>
          <w:t>D1</w:t>
        </w:r>
        <w:r w:rsidR="001877F0">
          <w:rPr>
            <w:rFonts w:asciiTheme="minorHAnsi" w:eastAsiaTheme="minorEastAsia" w:hAnsiTheme="minorHAnsi" w:cstheme="minorBidi"/>
            <w:spacing w:val="0"/>
            <w:sz w:val="22"/>
            <w:szCs w:val="22"/>
          </w:rPr>
          <w:tab/>
        </w:r>
        <w:r w:rsidR="001877F0" w:rsidRPr="00E21826">
          <w:rPr>
            <w:rStyle w:val="Hyperlink"/>
            <w:lang w:eastAsia="en-US"/>
          </w:rPr>
          <w:t>Point-to-point fixed service receivers</w:t>
        </w:r>
        <w:r w:rsidR="001877F0">
          <w:rPr>
            <w:webHidden/>
          </w:rPr>
          <w:tab/>
        </w:r>
        <w:r w:rsidR="001877F0">
          <w:rPr>
            <w:webHidden/>
          </w:rPr>
          <w:fldChar w:fldCharType="begin"/>
        </w:r>
        <w:r w:rsidR="001877F0">
          <w:rPr>
            <w:webHidden/>
          </w:rPr>
          <w:instrText xml:space="preserve"> PAGEREF _Toc461025777 \h </w:instrText>
        </w:r>
        <w:r w:rsidR="001877F0">
          <w:rPr>
            <w:webHidden/>
          </w:rPr>
        </w:r>
        <w:r w:rsidR="001877F0">
          <w:rPr>
            <w:webHidden/>
          </w:rPr>
          <w:fldChar w:fldCharType="separate"/>
        </w:r>
        <w:r w:rsidR="001877F0">
          <w:rPr>
            <w:webHidden/>
          </w:rPr>
          <w:t>20</w:t>
        </w:r>
        <w:r w:rsidR="001877F0">
          <w:rPr>
            <w:webHidden/>
          </w:rPr>
          <w:fldChar w:fldCharType="end"/>
        </w:r>
      </w:hyperlink>
    </w:p>
    <w:p w14:paraId="196387A8" w14:textId="77777777" w:rsidR="001877F0" w:rsidRDefault="004B2E1D">
      <w:pPr>
        <w:pStyle w:val="TOC2"/>
        <w:rPr>
          <w:rFonts w:asciiTheme="minorHAnsi" w:eastAsiaTheme="minorEastAsia" w:hAnsiTheme="minorHAnsi" w:cstheme="minorBidi"/>
          <w:spacing w:val="0"/>
          <w:sz w:val="22"/>
          <w:szCs w:val="22"/>
        </w:rPr>
      </w:pPr>
      <w:hyperlink w:anchor="_Toc461025778" w:history="1">
        <w:r w:rsidR="001877F0" w:rsidRPr="00E21826">
          <w:rPr>
            <w:rStyle w:val="Hyperlink"/>
            <w:lang w:eastAsia="en-US"/>
          </w:rPr>
          <w:t>D2</w:t>
        </w:r>
        <w:r w:rsidR="001877F0">
          <w:rPr>
            <w:rFonts w:asciiTheme="minorHAnsi" w:eastAsiaTheme="minorEastAsia" w:hAnsiTheme="minorHAnsi" w:cstheme="minorBidi"/>
            <w:spacing w:val="0"/>
            <w:sz w:val="22"/>
            <w:szCs w:val="22"/>
          </w:rPr>
          <w:tab/>
        </w:r>
        <w:r w:rsidR="001877F0" w:rsidRPr="00E21826">
          <w:rPr>
            <w:rStyle w:val="Hyperlink"/>
            <w:lang w:eastAsia="en-US"/>
          </w:rPr>
          <w:t>Mobile satellite service</w:t>
        </w:r>
        <w:r w:rsidR="001877F0">
          <w:rPr>
            <w:webHidden/>
          </w:rPr>
          <w:tab/>
        </w:r>
        <w:r w:rsidR="001877F0">
          <w:rPr>
            <w:webHidden/>
          </w:rPr>
          <w:fldChar w:fldCharType="begin"/>
        </w:r>
        <w:r w:rsidR="001877F0">
          <w:rPr>
            <w:webHidden/>
          </w:rPr>
          <w:instrText xml:space="preserve"> PAGEREF _Toc461025778 \h </w:instrText>
        </w:r>
        <w:r w:rsidR="001877F0">
          <w:rPr>
            <w:webHidden/>
          </w:rPr>
        </w:r>
        <w:r w:rsidR="001877F0">
          <w:rPr>
            <w:webHidden/>
          </w:rPr>
          <w:fldChar w:fldCharType="separate"/>
        </w:r>
        <w:r w:rsidR="001877F0">
          <w:rPr>
            <w:webHidden/>
          </w:rPr>
          <w:t>20</w:t>
        </w:r>
        <w:r w:rsidR="001877F0">
          <w:rPr>
            <w:webHidden/>
          </w:rPr>
          <w:fldChar w:fldCharType="end"/>
        </w:r>
      </w:hyperlink>
    </w:p>
    <w:p w14:paraId="1A580822" w14:textId="77777777" w:rsidR="001877F0" w:rsidRDefault="004B2E1D">
      <w:pPr>
        <w:pStyle w:val="TOC2"/>
        <w:rPr>
          <w:rFonts w:asciiTheme="minorHAnsi" w:eastAsiaTheme="minorEastAsia" w:hAnsiTheme="minorHAnsi" w:cstheme="minorBidi"/>
          <w:spacing w:val="0"/>
          <w:sz w:val="22"/>
          <w:szCs w:val="22"/>
        </w:rPr>
      </w:pPr>
      <w:hyperlink w:anchor="_Toc461025779" w:history="1">
        <w:r w:rsidR="001877F0" w:rsidRPr="00E21826">
          <w:rPr>
            <w:rStyle w:val="Hyperlink"/>
            <w:lang w:eastAsia="en-US"/>
          </w:rPr>
          <w:t>D3</w:t>
        </w:r>
        <w:r w:rsidR="001877F0">
          <w:rPr>
            <w:rFonts w:asciiTheme="minorHAnsi" w:eastAsiaTheme="minorEastAsia" w:hAnsiTheme="minorHAnsi" w:cstheme="minorBidi"/>
            <w:spacing w:val="0"/>
            <w:sz w:val="22"/>
            <w:szCs w:val="22"/>
          </w:rPr>
          <w:tab/>
        </w:r>
        <w:r w:rsidR="001877F0" w:rsidRPr="00E21826">
          <w:rPr>
            <w:rStyle w:val="Hyperlink"/>
            <w:lang w:eastAsia="en-US"/>
          </w:rPr>
          <w:t>Cordless telecommunications services</w:t>
        </w:r>
        <w:r w:rsidR="001877F0">
          <w:rPr>
            <w:webHidden/>
          </w:rPr>
          <w:tab/>
        </w:r>
        <w:r w:rsidR="001877F0">
          <w:rPr>
            <w:webHidden/>
          </w:rPr>
          <w:fldChar w:fldCharType="begin"/>
        </w:r>
        <w:r w:rsidR="001877F0">
          <w:rPr>
            <w:webHidden/>
          </w:rPr>
          <w:instrText xml:space="preserve"> PAGEREF _Toc461025779 \h </w:instrText>
        </w:r>
        <w:r w:rsidR="001877F0">
          <w:rPr>
            <w:webHidden/>
          </w:rPr>
        </w:r>
        <w:r w:rsidR="001877F0">
          <w:rPr>
            <w:webHidden/>
          </w:rPr>
          <w:fldChar w:fldCharType="separate"/>
        </w:r>
        <w:r w:rsidR="001877F0">
          <w:rPr>
            <w:webHidden/>
          </w:rPr>
          <w:t>20</w:t>
        </w:r>
        <w:r w:rsidR="001877F0">
          <w:rPr>
            <w:webHidden/>
          </w:rPr>
          <w:fldChar w:fldCharType="end"/>
        </w:r>
      </w:hyperlink>
    </w:p>
    <w:p w14:paraId="3E3CBA7F" w14:textId="77777777" w:rsidR="001877F0" w:rsidRDefault="004B2E1D">
      <w:pPr>
        <w:pStyle w:val="TOC2"/>
        <w:rPr>
          <w:rFonts w:asciiTheme="minorHAnsi" w:eastAsiaTheme="minorEastAsia" w:hAnsiTheme="minorHAnsi" w:cstheme="minorBidi"/>
          <w:spacing w:val="0"/>
          <w:sz w:val="22"/>
          <w:szCs w:val="22"/>
        </w:rPr>
      </w:pPr>
      <w:hyperlink w:anchor="_Toc461025780" w:history="1">
        <w:r w:rsidR="001877F0" w:rsidRPr="00E21826">
          <w:rPr>
            <w:rStyle w:val="Hyperlink"/>
            <w:lang w:eastAsia="en-US"/>
          </w:rPr>
          <w:t>D4</w:t>
        </w:r>
        <w:r w:rsidR="001877F0">
          <w:rPr>
            <w:rFonts w:asciiTheme="minorHAnsi" w:eastAsiaTheme="minorEastAsia" w:hAnsiTheme="minorHAnsi" w:cstheme="minorBidi"/>
            <w:spacing w:val="0"/>
            <w:sz w:val="22"/>
            <w:szCs w:val="22"/>
          </w:rPr>
          <w:tab/>
        </w:r>
        <w:r w:rsidR="001877F0" w:rsidRPr="00E21826">
          <w:rPr>
            <w:rStyle w:val="Hyperlink"/>
            <w:lang w:eastAsia="en-US"/>
          </w:rPr>
          <w:t>Space services</w:t>
        </w:r>
        <w:r w:rsidR="001877F0">
          <w:rPr>
            <w:webHidden/>
          </w:rPr>
          <w:tab/>
        </w:r>
        <w:r w:rsidR="001877F0">
          <w:rPr>
            <w:webHidden/>
          </w:rPr>
          <w:fldChar w:fldCharType="begin"/>
        </w:r>
        <w:r w:rsidR="001877F0">
          <w:rPr>
            <w:webHidden/>
          </w:rPr>
          <w:instrText xml:space="preserve"> PAGEREF _Toc461025780 \h </w:instrText>
        </w:r>
        <w:r w:rsidR="001877F0">
          <w:rPr>
            <w:webHidden/>
          </w:rPr>
        </w:r>
        <w:r w:rsidR="001877F0">
          <w:rPr>
            <w:webHidden/>
          </w:rPr>
          <w:fldChar w:fldCharType="separate"/>
        </w:r>
        <w:r w:rsidR="001877F0">
          <w:rPr>
            <w:webHidden/>
          </w:rPr>
          <w:t>21</w:t>
        </w:r>
        <w:r w:rsidR="001877F0">
          <w:rPr>
            <w:webHidden/>
          </w:rPr>
          <w:fldChar w:fldCharType="end"/>
        </w:r>
      </w:hyperlink>
    </w:p>
    <w:p w14:paraId="3ACB722E" w14:textId="77777777" w:rsidR="001877F0" w:rsidRDefault="004B2E1D">
      <w:pPr>
        <w:pStyle w:val="TOC2"/>
        <w:rPr>
          <w:rFonts w:asciiTheme="minorHAnsi" w:eastAsiaTheme="minorEastAsia" w:hAnsiTheme="minorHAnsi" w:cstheme="minorBidi"/>
          <w:spacing w:val="0"/>
          <w:sz w:val="22"/>
          <w:szCs w:val="22"/>
        </w:rPr>
      </w:pPr>
      <w:hyperlink w:anchor="_Toc461025781" w:history="1">
        <w:r w:rsidR="001877F0" w:rsidRPr="00E21826">
          <w:rPr>
            <w:rStyle w:val="Hyperlink"/>
            <w:lang w:eastAsia="en-US"/>
          </w:rPr>
          <w:t>D5</w:t>
        </w:r>
        <w:r w:rsidR="001877F0">
          <w:rPr>
            <w:rFonts w:asciiTheme="minorHAnsi" w:eastAsiaTheme="minorEastAsia" w:hAnsiTheme="minorHAnsi" w:cstheme="minorBidi"/>
            <w:spacing w:val="0"/>
            <w:sz w:val="22"/>
            <w:szCs w:val="22"/>
          </w:rPr>
          <w:tab/>
        </w:r>
        <w:r w:rsidR="001877F0" w:rsidRPr="00E21826">
          <w:rPr>
            <w:rStyle w:val="Hyperlink"/>
            <w:lang w:eastAsia="en-US"/>
          </w:rPr>
          <w:t>Television outside broadcast (TVOB) services</w:t>
        </w:r>
        <w:r w:rsidR="001877F0">
          <w:rPr>
            <w:webHidden/>
          </w:rPr>
          <w:tab/>
        </w:r>
        <w:r w:rsidR="001877F0">
          <w:rPr>
            <w:webHidden/>
          </w:rPr>
          <w:fldChar w:fldCharType="begin"/>
        </w:r>
        <w:r w:rsidR="001877F0">
          <w:rPr>
            <w:webHidden/>
          </w:rPr>
          <w:instrText xml:space="preserve"> PAGEREF _Toc461025781 \h </w:instrText>
        </w:r>
        <w:r w:rsidR="001877F0">
          <w:rPr>
            <w:webHidden/>
          </w:rPr>
        </w:r>
        <w:r w:rsidR="001877F0">
          <w:rPr>
            <w:webHidden/>
          </w:rPr>
          <w:fldChar w:fldCharType="separate"/>
        </w:r>
        <w:r w:rsidR="001877F0">
          <w:rPr>
            <w:webHidden/>
          </w:rPr>
          <w:t>21</w:t>
        </w:r>
        <w:r w:rsidR="001877F0">
          <w:rPr>
            <w:webHidden/>
          </w:rPr>
          <w:fldChar w:fldCharType="end"/>
        </w:r>
      </w:hyperlink>
    </w:p>
    <w:p w14:paraId="29E81299" w14:textId="77777777" w:rsidR="001877F0" w:rsidRDefault="004B2E1D">
      <w:pPr>
        <w:pStyle w:val="TOC2"/>
        <w:rPr>
          <w:rFonts w:asciiTheme="minorHAnsi" w:eastAsiaTheme="minorEastAsia" w:hAnsiTheme="minorHAnsi" w:cstheme="minorBidi"/>
          <w:spacing w:val="0"/>
          <w:sz w:val="22"/>
          <w:szCs w:val="22"/>
        </w:rPr>
      </w:pPr>
      <w:hyperlink w:anchor="_Toc461025782" w:history="1">
        <w:r w:rsidR="001877F0" w:rsidRPr="00E21826">
          <w:rPr>
            <w:rStyle w:val="Hyperlink"/>
            <w:lang w:eastAsia="en-US"/>
          </w:rPr>
          <w:t>D6</w:t>
        </w:r>
        <w:r w:rsidR="001877F0">
          <w:rPr>
            <w:rFonts w:asciiTheme="minorHAnsi" w:eastAsiaTheme="minorEastAsia" w:hAnsiTheme="minorHAnsi" w:cstheme="minorBidi"/>
            <w:spacing w:val="0"/>
            <w:sz w:val="22"/>
            <w:szCs w:val="22"/>
          </w:rPr>
          <w:tab/>
        </w:r>
        <w:r w:rsidR="001877F0" w:rsidRPr="00E21826">
          <w:rPr>
            <w:rStyle w:val="Hyperlink"/>
            <w:lang w:eastAsia="en-US"/>
          </w:rPr>
          <w:t>Public telecommunications services</w:t>
        </w:r>
        <w:r w:rsidR="001877F0">
          <w:rPr>
            <w:webHidden/>
          </w:rPr>
          <w:tab/>
        </w:r>
        <w:r w:rsidR="001877F0">
          <w:rPr>
            <w:webHidden/>
          </w:rPr>
          <w:fldChar w:fldCharType="begin"/>
        </w:r>
        <w:r w:rsidR="001877F0">
          <w:rPr>
            <w:webHidden/>
          </w:rPr>
          <w:instrText xml:space="preserve"> PAGEREF _Toc461025782 \h </w:instrText>
        </w:r>
        <w:r w:rsidR="001877F0">
          <w:rPr>
            <w:webHidden/>
          </w:rPr>
        </w:r>
        <w:r w:rsidR="001877F0">
          <w:rPr>
            <w:webHidden/>
          </w:rPr>
          <w:fldChar w:fldCharType="separate"/>
        </w:r>
        <w:r w:rsidR="001877F0">
          <w:rPr>
            <w:webHidden/>
          </w:rPr>
          <w:t>21</w:t>
        </w:r>
        <w:r w:rsidR="001877F0">
          <w:rPr>
            <w:webHidden/>
          </w:rPr>
          <w:fldChar w:fldCharType="end"/>
        </w:r>
      </w:hyperlink>
    </w:p>
    <w:p w14:paraId="471E40C9" w14:textId="77777777" w:rsidR="001877F0" w:rsidRDefault="004B2E1D">
      <w:pPr>
        <w:pStyle w:val="TOC2"/>
        <w:rPr>
          <w:rFonts w:asciiTheme="minorHAnsi" w:eastAsiaTheme="minorEastAsia" w:hAnsiTheme="minorHAnsi" w:cstheme="minorBidi"/>
          <w:spacing w:val="0"/>
          <w:sz w:val="22"/>
          <w:szCs w:val="22"/>
        </w:rPr>
      </w:pPr>
      <w:hyperlink w:anchor="_Toc461025783" w:history="1">
        <w:r w:rsidR="001877F0" w:rsidRPr="00E21826">
          <w:rPr>
            <w:rStyle w:val="Hyperlink"/>
            <w:lang w:eastAsia="en-US"/>
          </w:rPr>
          <w:t>D7</w:t>
        </w:r>
        <w:r w:rsidR="001877F0">
          <w:rPr>
            <w:rFonts w:asciiTheme="minorHAnsi" w:eastAsiaTheme="minorEastAsia" w:hAnsiTheme="minorHAnsi" w:cstheme="minorBidi"/>
            <w:spacing w:val="0"/>
            <w:sz w:val="22"/>
            <w:szCs w:val="22"/>
          </w:rPr>
          <w:tab/>
        </w:r>
        <w:r w:rsidR="001877F0" w:rsidRPr="00E21826">
          <w:rPr>
            <w:rStyle w:val="Hyperlink"/>
            <w:lang w:eastAsia="en-US"/>
          </w:rPr>
          <w:t>Class-licensed services</w:t>
        </w:r>
        <w:r w:rsidR="001877F0">
          <w:rPr>
            <w:webHidden/>
          </w:rPr>
          <w:tab/>
        </w:r>
        <w:r w:rsidR="001877F0">
          <w:rPr>
            <w:webHidden/>
          </w:rPr>
          <w:fldChar w:fldCharType="begin"/>
        </w:r>
        <w:r w:rsidR="001877F0">
          <w:rPr>
            <w:webHidden/>
          </w:rPr>
          <w:instrText xml:space="preserve"> PAGEREF _Toc461025783 \h </w:instrText>
        </w:r>
        <w:r w:rsidR="001877F0">
          <w:rPr>
            <w:webHidden/>
          </w:rPr>
        </w:r>
        <w:r w:rsidR="001877F0">
          <w:rPr>
            <w:webHidden/>
          </w:rPr>
          <w:fldChar w:fldCharType="separate"/>
        </w:r>
        <w:r w:rsidR="001877F0">
          <w:rPr>
            <w:webHidden/>
          </w:rPr>
          <w:t>21</w:t>
        </w:r>
        <w:r w:rsidR="001877F0">
          <w:rPr>
            <w:webHidden/>
          </w:rPr>
          <w:fldChar w:fldCharType="end"/>
        </w:r>
      </w:hyperlink>
    </w:p>
    <w:p w14:paraId="6EA84A9D" w14:textId="77777777" w:rsidR="001877F0" w:rsidRDefault="004B2E1D">
      <w:pPr>
        <w:pStyle w:val="TOC1"/>
        <w:rPr>
          <w:rFonts w:asciiTheme="minorHAnsi" w:eastAsiaTheme="minorEastAsia" w:hAnsiTheme="minorHAnsi" w:cstheme="minorBidi"/>
          <w:b w:val="0"/>
          <w:spacing w:val="0"/>
          <w:sz w:val="22"/>
          <w:szCs w:val="22"/>
        </w:rPr>
      </w:pPr>
      <w:hyperlink w:anchor="_Toc461025784" w:history="1">
        <w:r w:rsidR="001877F0" w:rsidRPr="00E21826">
          <w:rPr>
            <w:rStyle w:val="Hyperlink"/>
          </w:rPr>
          <w:t xml:space="preserve">Attachment E—Proposed changes to the Radiocommunications Advisory Guidelines for </w:t>
        </w:r>
        <w:r w:rsidR="001877F0" w:rsidRPr="00E21826">
          <w:rPr>
            <w:rStyle w:val="Hyperlink"/>
          </w:rPr>
          <w:lastRenderedPageBreak/>
          <w:t>managing interference to 2 GHz spectrum licenced receivers</w:t>
        </w:r>
        <w:r w:rsidR="001877F0">
          <w:rPr>
            <w:webHidden/>
          </w:rPr>
          <w:tab/>
        </w:r>
        <w:r w:rsidR="001877F0">
          <w:rPr>
            <w:webHidden/>
          </w:rPr>
          <w:fldChar w:fldCharType="begin"/>
        </w:r>
        <w:r w:rsidR="001877F0">
          <w:rPr>
            <w:webHidden/>
          </w:rPr>
          <w:instrText xml:space="preserve"> PAGEREF _Toc461025784 \h </w:instrText>
        </w:r>
        <w:r w:rsidR="001877F0">
          <w:rPr>
            <w:webHidden/>
          </w:rPr>
        </w:r>
        <w:r w:rsidR="001877F0">
          <w:rPr>
            <w:webHidden/>
          </w:rPr>
          <w:fldChar w:fldCharType="separate"/>
        </w:r>
        <w:r w:rsidR="001877F0">
          <w:rPr>
            <w:webHidden/>
          </w:rPr>
          <w:t>22</w:t>
        </w:r>
        <w:r w:rsidR="001877F0">
          <w:rPr>
            <w:webHidden/>
          </w:rPr>
          <w:fldChar w:fldCharType="end"/>
        </w:r>
      </w:hyperlink>
    </w:p>
    <w:p w14:paraId="494362F1" w14:textId="77777777" w:rsidR="001877F0" w:rsidRDefault="004B2E1D">
      <w:pPr>
        <w:pStyle w:val="TOC2"/>
        <w:rPr>
          <w:rFonts w:asciiTheme="minorHAnsi" w:eastAsiaTheme="minorEastAsia" w:hAnsiTheme="minorHAnsi" w:cstheme="minorBidi"/>
          <w:spacing w:val="0"/>
          <w:sz w:val="22"/>
          <w:szCs w:val="22"/>
        </w:rPr>
      </w:pPr>
      <w:hyperlink w:anchor="_Toc461025785" w:history="1">
        <w:r w:rsidR="001877F0" w:rsidRPr="00E21826">
          <w:rPr>
            <w:rStyle w:val="Hyperlink"/>
            <w:lang w:eastAsia="en-US"/>
          </w:rPr>
          <w:t>E1</w:t>
        </w:r>
        <w:r w:rsidR="001877F0">
          <w:rPr>
            <w:rFonts w:asciiTheme="minorHAnsi" w:eastAsiaTheme="minorEastAsia" w:hAnsiTheme="minorHAnsi" w:cstheme="minorBidi"/>
            <w:spacing w:val="0"/>
            <w:sz w:val="22"/>
            <w:szCs w:val="22"/>
          </w:rPr>
          <w:tab/>
        </w:r>
        <w:r w:rsidR="001877F0" w:rsidRPr="00E21826">
          <w:rPr>
            <w:rStyle w:val="Hyperlink"/>
            <w:lang w:eastAsia="en-US"/>
          </w:rPr>
          <w:t>Notional receiver performance level</w:t>
        </w:r>
        <w:r w:rsidR="001877F0">
          <w:rPr>
            <w:webHidden/>
          </w:rPr>
          <w:tab/>
        </w:r>
        <w:r w:rsidR="001877F0">
          <w:rPr>
            <w:webHidden/>
          </w:rPr>
          <w:fldChar w:fldCharType="begin"/>
        </w:r>
        <w:r w:rsidR="001877F0">
          <w:rPr>
            <w:webHidden/>
          </w:rPr>
          <w:instrText xml:space="preserve"> PAGEREF _Toc461025785 \h </w:instrText>
        </w:r>
        <w:r w:rsidR="001877F0">
          <w:rPr>
            <w:webHidden/>
          </w:rPr>
        </w:r>
        <w:r w:rsidR="001877F0">
          <w:rPr>
            <w:webHidden/>
          </w:rPr>
          <w:fldChar w:fldCharType="separate"/>
        </w:r>
        <w:r w:rsidR="001877F0">
          <w:rPr>
            <w:webHidden/>
          </w:rPr>
          <w:t>22</w:t>
        </w:r>
        <w:r w:rsidR="001877F0">
          <w:rPr>
            <w:webHidden/>
          </w:rPr>
          <w:fldChar w:fldCharType="end"/>
        </w:r>
      </w:hyperlink>
    </w:p>
    <w:p w14:paraId="3937A5C5" w14:textId="77777777" w:rsidR="001877F0" w:rsidRDefault="004B2E1D">
      <w:pPr>
        <w:pStyle w:val="TOC3"/>
        <w:tabs>
          <w:tab w:val="left" w:pos="885"/>
        </w:tabs>
        <w:rPr>
          <w:rFonts w:asciiTheme="minorHAnsi" w:eastAsiaTheme="minorEastAsia" w:hAnsiTheme="minorHAnsi" w:cstheme="minorBidi"/>
        </w:rPr>
      </w:pPr>
      <w:hyperlink w:anchor="_Toc461025786" w:history="1">
        <w:r w:rsidR="001877F0" w:rsidRPr="00E21826">
          <w:rPr>
            <w:rStyle w:val="Hyperlink"/>
          </w:rPr>
          <w:t>E1.1</w:t>
        </w:r>
        <w:r w:rsidR="001877F0">
          <w:rPr>
            <w:rFonts w:asciiTheme="minorHAnsi" w:eastAsiaTheme="minorEastAsia" w:hAnsiTheme="minorHAnsi" w:cstheme="minorBidi"/>
          </w:rPr>
          <w:tab/>
        </w:r>
        <w:r w:rsidR="001877F0" w:rsidRPr="00E21826">
          <w:rPr>
            <w:rStyle w:val="Hyperlink"/>
          </w:rPr>
          <w:t>Adjacent channel selectivity</w:t>
        </w:r>
        <w:r w:rsidR="001877F0">
          <w:rPr>
            <w:webHidden/>
          </w:rPr>
          <w:tab/>
        </w:r>
        <w:r w:rsidR="001877F0">
          <w:rPr>
            <w:webHidden/>
          </w:rPr>
          <w:fldChar w:fldCharType="begin"/>
        </w:r>
        <w:r w:rsidR="001877F0">
          <w:rPr>
            <w:webHidden/>
          </w:rPr>
          <w:instrText xml:space="preserve"> PAGEREF _Toc461025786 \h </w:instrText>
        </w:r>
        <w:r w:rsidR="001877F0">
          <w:rPr>
            <w:webHidden/>
          </w:rPr>
        </w:r>
        <w:r w:rsidR="001877F0">
          <w:rPr>
            <w:webHidden/>
          </w:rPr>
          <w:fldChar w:fldCharType="separate"/>
        </w:r>
        <w:r w:rsidR="001877F0">
          <w:rPr>
            <w:webHidden/>
          </w:rPr>
          <w:t>22</w:t>
        </w:r>
        <w:r w:rsidR="001877F0">
          <w:rPr>
            <w:webHidden/>
          </w:rPr>
          <w:fldChar w:fldCharType="end"/>
        </w:r>
      </w:hyperlink>
    </w:p>
    <w:p w14:paraId="26DF57D3" w14:textId="77777777" w:rsidR="001877F0" w:rsidRDefault="004B2E1D">
      <w:pPr>
        <w:pStyle w:val="TOC3"/>
        <w:tabs>
          <w:tab w:val="left" w:pos="885"/>
        </w:tabs>
        <w:rPr>
          <w:rFonts w:asciiTheme="minorHAnsi" w:eastAsiaTheme="minorEastAsia" w:hAnsiTheme="minorHAnsi" w:cstheme="minorBidi"/>
        </w:rPr>
      </w:pPr>
      <w:hyperlink w:anchor="_Toc461025787" w:history="1">
        <w:r w:rsidR="001877F0" w:rsidRPr="00E21826">
          <w:rPr>
            <w:rStyle w:val="Hyperlink"/>
          </w:rPr>
          <w:t>E1.2</w:t>
        </w:r>
        <w:r w:rsidR="001877F0">
          <w:rPr>
            <w:rFonts w:asciiTheme="minorHAnsi" w:eastAsiaTheme="minorEastAsia" w:hAnsiTheme="minorHAnsi" w:cstheme="minorBidi"/>
          </w:rPr>
          <w:tab/>
        </w:r>
        <w:r w:rsidR="001877F0" w:rsidRPr="00E21826">
          <w:rPr>
            <w:rStyle w:val="Hyperlink"/>
          </w:rPr>
          <w:t>Intermodulation response rejection</w:t>
        </w:r>
        <w:r w:rsidR="001877F0">
          <w:rPr>
            <w:webHidden/>
          </w:rPr>
          <w:tab/>
        </w:r>
        <w:r w:rsidR="001877F0">
          <w:rPr>
            <w:webHidden/>
          </w:rPr>
          <w:fldChar w:fldCharType="begin"/>
        </w:r>
        <w:r w:rsidR="001877F0">
          <w:rPr>
            <w:webHidden/>
          </w:rPr>
          <w:instrText xml:space="preserve"> PAGEREF _Toc461025787 \h </w:instrText>
        </w:r>
        <w:r w:rsidR="001877F0">
          <w:rPr>
            <w:webHidden/>
          </w:rPr>
        </w:r>
        <w:r w:rsidR="001877F0">
          <w:rPr>
            <w:webHidden/>
          </w:rPr>
          <w:fldChar w:fldCharType="separate"/>
        </w:r>
        <w:r w:rsidR="001877F0">
          <w:rPr>
            <w:webHidden/>
          </w:rPr>
          <w:t>22</w:t>
        </w:r>
        <w:r w:rsidR="001877F0">
          <w:rPr>
            <w:webHidden/>
          </w:rPr>
          <w:fldChar w:fldCharType="end"/>
        </w:r>
      </w:hyperlink>
    </w:p>
    <w:p w14:paraId="61390AA6" w14:textId="77777777" w:rsidR="001877F0" w:rsidRDefault="004B2E1D">
      <w:pPr>
        <w:pStyle w:val="TOC3"/>
        <w:tabs>
          <w:tab w:val="left" w:pos="885"/>
        </w:tabs>
        <w:rPr>
          <w:rFonts w:asciiTheme="minorHAnsi" w:eastAsiaTheme="minorEastAsia" w:hAnsiTheme="minorHAnsi" w:cstheme="minorBidi"/>
        </w:rPr>
      </w:pPr>
      <w:hyperlink w:anchor="_Toc461025788" w:history="1">
        <w:r w:rsidR="001877F0" w:rsidRPr="00E21826">
          <w:rPr>
            <w:rStyle w:val="Hyperlink"/>
          </w:rPr>
          <w:t>E1.3</w:t>
        </w:r>
        <w:r w:rsidR="001877F0">
          <w:rPr>
            <w:rFonts w:asciiTheme="minorHAnsi" w:eastAsiaTheme="minorEastAsia" w:hAnsiTheme="minorHAnsi" w:cstheme="minorBidi"/>
          </w:rPr>
          <w:tab/>
        </w:r>
        <w:r w:rsidR="001877F0" w:rsidRPr="00E21826">
          <w:rPr>
            <w:rStyle w:val="Hyperlink"/>
          </w:rPr>
          <w:t>Receiver blocking</w:t>
        </w:r>
        <w:r w:rsidR="001877F0">
          <w:rPr>
            <w:webHidden/>
          </w:rPr>
          <w:tab/>
        </w:r>
        <w:r w:rsidR="001877F0">
          <w:rPr>
            <w:webHidden/>
          </w:rPr>
          <w:fldChar w:fldCharType="begin"/>
        </w:r>
        <w:r w:rsidR="001877F0">
          <w:rPr>
            <w:webHidden/>
          </w:rPr>
          <w:instrText xml:space="preserve"> PAGEREF _Toc461025788 \h </w:instrText>
        </w:r>
        <w:r w:rsidR="001877F0">
          <w:rPr>
            <w:webHidden/>
          </w:rPr>
        </w:r>
        <w:r w:rsidR="001877F0">
          <w:rPr>
            <w:webHidden/>
          </w:rPr>
          <w:fldChar w:fldCharType="separate"/>
        </w:r>
        <w:r w:rsidR="001877F0">
          <w:rPr>
            <w:webHidden/>
          </w:rPr>
          <w:t>23</w:t>
        </w:r>
        <w:r w:rsidR="001877F0">
          <w:rPr>
            <w:webHidden/>
          </w:rPr>
          <w:fldChar w:fldCharType="end"/>
        </w:r>
      </w:hyperlink>
    </w:p>
    <w:p w14:paraId="645A69B4" w14:textId="77777777" w:rsidR="001877F0" w:rsidRDefault="004B2E1D">
      <w:pPr>
        <w:pStyle w:val="TOC3"/>
        <w:tabs>
          <w:tab w:val="left" w:pos="885"/>
        </w:tabs>
        <w:rPr>
          <w:rFonts w:asciiTheme="minorHAnsi" w:eastAsiaTheme="minorEastAsia" w:hAnsiTheme="minorHAnsi" w:cstheme="minorBidi"/>
        </w:rPr>
      </w:pPr>
      <w:hyperlink w:anchor="_Toc461025789" w:history="1">
        <w:r w:rsidR="001877F0" w:rsidRPr="00E21826">
          <w:rPr>
            <w:rStyle w:val="Hyperlink"/>
          </w:rPr>
          <w:t>E1.4</w:t>
        </w:r>
        <w:r w:rsidR="001877F0">
          <w:rPr>
            <w:rFonts w:asciiTheme="minorHAnsi" w:eastAsiaTheme="minorEastAsia" w:hAnsiTheme="minorHAnsi" w:cstheme="minorBidi"/>
          </w:rPr>
          <w:tab/>
        </w:r>
        <w:r w:rsidR="001877F0" w:rsidRPr="00E21826">
          <w:rPr>
            <w:rStyle w:val="Hyperlink"/>
          </w:rPr>
          <w:t>Receiver antenna and feeder losses</w:t>
        </w:r>
        <w:r w:rsidR="001877F0">
          <w:rPr>
            <w:webHidden/>
          </w:rPr>
          <w:tab/>
        </w:r>
        <w:r w:rsidR="001877F0">
          <w:rPr>
            <w:webHidden/>
          </w:rPr>
          <w:fldChar w:fldCharType="begin"/>
        </w:r>
        <w:r w:rsidR="001877F0">
          <w:rPr>
            <w:webHidden/>
          </w:rPr>
          <w:instrText xml:space="preserve"> PAGEREF _Toc461025789 \h </w:instrText>
        </w:r>
        <w:r w:rsidR="001877F0">
          <w:rPr>
            <w:webHidden/>
          </w:rPr>
        </w:r>
        <w:r w:rsidR="001877F0">
          <w:rPr>
            <w:webHidden/>
          </w:rPr>
          <w:fldChar w:fldCharType="separate"/>
        </w:r>
        <w:r w:rsidR="001877F0">
          <w:rPr>
            <w:webHidden/>
          </w:rPr>
          <w:t>24</w:t>
        </w:r>
        <w:r w:rsidR="001877F0">
          <w:rPr>
            <w:webHidden/>
          </w:rPr>
          <w:fldChar w:fldCharType="end"/>
        </w:r>
      </w:hyperlink>
    </w:p>
    <w:p w14:paraId="7B9611B4" w14:textId="77777777" w:rsidR="001877F0" w:rsidRDefault="004B2E1D">
      <w:pPr>
        <w:pStyle w:val="TOC2"/>
        <w:rPr>
          <w:rFonts w:asciiTheme="minorHAnsi" w:eastAsiaTheme="minorEastAsia" w:hAnsiTheme="minorHAnsi" w:cstheme="minorBidi"/>
          <w:spacing w:val="0"/>
          <w:sz w:val="22"/>
          <w:szCs w:val="22"/>
        </w:rPr>
      </w:pPr>
      <w:hyperlink w:anchor="_Toc461025790" w:history="1">
        <w:r w:rsidR="001877F0" w:rsidRPr="00E21826">
          <w:rPr>
            <w:rStyle w:val="Hyperlink"/>
            <w:lang w:eastAsia="en-US"/>
          </w:rPr>
          <w:t>E2</w:t>
        </w:r>
        <w:r w:rsidR="001877F0">
          <w:rPr>
            <w:rFonts w:asciiTheme="minorHAnsi" w:eastAsiaTheme="minorEastAsia" w:hAnsiTheme="minorHAnsi" w:cstheme="minorBidi"/>
            <w:spacing w:val="0"/>
            <w:sz w:val="22"/>
            <w:szCs w:val="22"/>
          </w:rPr>
          <w:tab/>
        </w:r>
        <w:r w:rsidR="001877F0" w:rsidRPr="00E21826">
          <w:rPr>
            <w:rStyle w:val="Hyperlink"/>
            <w:lang w:eastAsia="en-US"/>
          </w:rPr>
          <w:t>Compatibility requirement</w:t>
        </w:r>
        <w:r w:rsidR="001877F0">
          <w:rPr>
            <w:webHidden/>
          </w:rPr>
          <w:tab/>
        </w:r>
        <w:r w:rsidR="001877F0">
          <w:rPr>
            <w:webHidden/>
          </w:rPr>
          <w:fldChar w:fldCharType="begin"/>
        </w:r>
        <w:r w:rsidR="001877F0">
          <w:rPr>
            <w:webHidden/>
          </w:rPr>
          <w:instrText xml:space="preserve"> PAGEREF _Toc461025790 \h </w:instrText>
        </w:r>
        <w:r w:rsidR="001877F0">
          <w:rPr>
            <w:webHidden/>
          </w:rPr>
        </w:r>
        <w:r w:rsidR="001877F0">
          <w:rPr>
            <w:webHidden/>
          </w:rPr>
          <w:fldChar w:fldCharType="separate"/>
        </w:r>
        <w:r w:rsidR="001877F0">
          <w:rPr>
            <w:webHidden/>
          </w:rPr>
          <w:t>24</w:t>
        </w:r>
        <w:r w:rsidR="001877F0">
          <w:rPr>
            <w:webHidden/>
          </w:rPr>
          <w:fldChar w:fldCharType="end"/>
        </w:r>
      </w:hyperlink>
    </w:p>
    <w:p w14:paraId="2BF74EA6" w14:textId="21F6EB5C" w:rsidR="000A4A51" w:rsidRPr="00C97518" w:rsidRDefault="00473CE6">
      <w:pPr>
        <w:rPr>
          <w:rFonts w:cs="Arial"/>
        </w:rPr>
      </w:pPr>
      <w:r w:rsidRPr="00C97518">
        <w:rPr>
          <w:rFonts w:cs="Arial"/>
          <w:noProof/>
          <w:spacing w:val="-14"/>
          <w:sz w:val="28"/>
        </w:rPr>
        <w:fldChar w:fldCharType="end"/>
      </w:r>
    </w:p>
    <w:p w14:paraId="49910F18" w14:textId="77777777" w:rsidR="004D56FF" w:rsidRPr="00C97518" w:rsidRDefault="004D56FF">
      <w:pPr>
        <w:rPr>
          <w:rFonts w:cs="Arial"/>
        </w:rPr>
        <w:sectPr w:rsidR="004D56FF" w:rsidRPr="00C97518" w:rsidSect="00FB2EA1">
          <w:headerReference w:type="even" r:id="rId23"/>
          <w:headerReference w:type="default" r:id="rId24"/>
          <w:footerReference w:type="even" r:id="rId25"/>
          <w:footerReference w:type="default" r:id="rId26"/>
          <w:footerReference w:type="first" r:id="rId27"/>
          <w:pgSz w:w="11906" w:h="16838" w:code="9"/>
          <w:pgMar w:top="3646" w:right="3101" w:bottom="1134" w:left="1134" w:header="709" w:footer="119" w:gutter="0"/>
          <w:cols w:space="708"/>
          <w:titlePg/>
          <w:docGrid w:linePitch="360"/>
        </w:sectPr>
      </w:pPr>
    </w:p>
    <w:p w14:paraId="669C1D4E" w14:textId="26A220AA" w:rsidR="00A47E79" w:rsidRPr="00C97518" w:rsidRDefault="00627A36" w:rsidP="006E6081">
      <w:pPr>
        <w:pStyle w:val="Heading1"/>
      </w:pPr>
      <w:bookmarkStart w:id="0" w:name="_Toc328403752"/>
      <w:bookmarkStart w:id="1" w:name="_Appendix_A-_Currently"/>
      <w:bookmarkStart w:id="2" w:name="_Ref412720953"/>
      <w:bookmarkStart w:id="3" w:name="_Toc425928850"/>
      <w:bookmarkStart w:id="4" w:name="_Toc461025763"/>
      <w:bookmarkEnd w:id="0"/>
      <w:bookmarkEnd w:id="1"/>
      <w:r w:rsidRPr="00C97518">
        <w:lastRenderedPageBreak/>
        <w:t>Attachment A</w:t>
      </w:r>
      <w:r w:rsidR="00F8383F" w:rsidRPr="00C97518">
        <w:t>—</w:t>
      </w:r>
      <w:r w:rsidRPr="00C97518">
        <w:t xml:space="preserve">2 GHz </w:t>
      </w:r>
      <w:r w:rsidR="009B5964" w:rsidRPr="00C97518">
        <w:t>s</w:t>
      </w:r>
      <w:r w:rsidRPr="00C97518">
        <w:t xml:space="preserve">pectrum </w:t>
      </w:r>
      <w:r w:rsidR="009B5964" w:rsidRPr="00C97518">
        <w:t>l</w:t>
      </w:r>
      <w:r w:rsidRPr="00C97518">
        <w:t xml:space="preserve">icence </w:t>
      </w:r>
      <w:r w:rsidR="009B5964" w:rsidRPr="00C97518">
        <w:t>b</w:t>
      </w:r>
      <w:r w:rsidRPr="00C97518">
        <w:t xml:space="preserve">and </w:t>
      </w:r>
      <w:r w:rsidR="009B5964" w:rsidRPr="00C97518">
        <w:t>a</w:t>
      </w:r>
      <w:r w:rsidRPr="00C97518">
        <w:t>rrangements</w:t>
      </w:r>
      <w:bookmarkEnd w:id="2"/>
      <w:bookmarkEnd w:id="3"/>
      <w:r w:rsidR="00C706DA" w:rsidRPr="00C97518">
        <w:t xml:space="preserve"> (paired segment)</w:t>
      </w:r>
      <w:bookmarkEnd w:id="4"/>
    </w:p>
    <w:p w14:paraId="66D87688" w14:textId="004BD6E5" w:rsidR="00BA0B8B" w:rsidRPr="00C97518" w:rsidRDefault="00BA0B8B" w:rsidP="00E75F2B">
      <w:pPr>
        <w:rPr>
          <w:lang w:eastAsia="en-US" w:bidi="he-IL"/>
        </w:rPr>
      </w:pPr>
      <w:r w:rsidRPr="00C97518">
        <w:rPr>
          <w:lang w:eastAsia="en-US" w:bidi="he-IL"/>
        </w:rPr>
        <w:t xml:space="preserve">The 2 GHz spectrum licence band </w:t>
      </w:r>
      <w:r w:rsidR="00C706DA" w:rsidRPr="00C97518">
        <w:rPr>
          <w:lang w:eastAsia="en-US" w:bidi="he-IL"/>
        </w:rPr>
        <w:t xml:space="preserve">(the paired segment) is contained within the </w:t>
      </w:r>
      <w:r w:rsidRPr="00C97518">
        <w:rPr>
          <w:lang w:eastAsia="en-US" w:bidi="he-IL"/>
        </w:rPr>
        <w:t>1920</w:t>
      </w:r>
      <w:r w:rsidR="009B5964" w:rsidRPr="00C97518">
        <w:rPr>
          <w:lang w:eastAsia="en-US" w:bidi="he-IL"/>
        </w:rPr>
        <w:t>–</w:t>
      </w:r>
      <w:r w:rsidRPr="00C97518">
        <w:rPr>
          <w:lang w:eastAsia="en-US" w:bidi="he-IL"/>
        </w:rPr>
        <w:t>1980 MHz and 2110</w:t>
      </w:r>
      <w:r w:rsidR="009B5964" w:rsidRPr="00C97518">
        <w:rPr>
          <w:lang w:eastAsia="en-US" w:bidi="he-IL"/>
        </w:rPr>
        <w:t>–</w:t>
      </w:r>
      <w:r w:rsidRPr="00C97518">
        <w:rPr>
          <w:lang w:eastAsia="en-US" w:bidi="he-IL"/>
        </w:rPr>
        <w:t>2170 MHz</w:t>
      </w:r>
      <w:r w:rsidR="00C706DA" w:rsidRPr="00C97518">
        <w:rPr>
          <w:lang w:eastAsia="en-US" w:bidi="he-IL"/>
        </w:rPr>
        <w:t xml:space="preserve"> frequency ranges</w:t>
      </w:r>
      <w:r w:rsidRPr="00C97518">
        <w:rPr>
          <w:lang w:eastAsia="en-US" w:bidi="he-IL"/>
        </w:rPr>
        <w:t xml:space="preserve">. </w:t>
      </w:r>
      <w:r w:rsidR="00C706DA" w:rsidRPr="00C97518">
        <w:rPr>
          <w:lang w:eastAsia="en-US" w:bidi="he-IL"/>
        </w:rPr>
        <w:t>The portion of the band that is subject to spectrum licensing differs in metropolitan, regional and remote areas of Australia.</w:t>
      </w:r>
    </w:p>
    <w:p w14:paraId="0144B1CD" w14:textId="00F0E116" w:rsidR="00BA0B8B" w:rsidRPr="00C97518" w:rsidRDefault="00BA0B8B" w:rsidP="0027403F">
      <w:pPr>
        <w:rPr>
          <w:lang w:eastAsia="en-US" w:bidi="he-IL"/>
        </w:rPr>
      </w:pPr>
      <w:r w:rsidRPr="00C97518">
        <w:rPr>
          <w:lang w:eastAsia="en-US" w:bidi="he-IL"/>
        </w:rPr>
        <w:t xml:space="preserve">Figure </w:t>
      </w:r>
      <w:r w:rsidR="00EE7329" w:rsidRPr="00C97518">
        <w:rPr>
          <w:lang w:eastAsia="en-US" w:bidi="he-IL"/>
        </w:rPr>
        <w:t>A</w:t>
      </w:r>
      <w:r w:rsidRPr="00C97518">
        <w:rPr>
          <w:lang w:eastAsia="en-US" w:bidi="he-IL"/>
        </w:rPr>
        <w:t xml:space="preserve">1 indicates the areas and frequencies that are subject to spectrum licensing in the 2 GHz band. Figure </w:t>
      </w:r>
      <w:r w:rsidR="00EE7329" w:rsidRPr="00C97518">
        <w:rPr>
          <w:lang w:eastAsia="en-US" w:bidi="he-IL"/>
        </w:rPr>
        <w:t>A</w:t>
      </w:r>
      <w:r w:rsidRPr="00C97518">
        <w:rPr>
          <w:lang w:eastAsia="en-US" w:bidi="he-IL"/>
        </w:rPr>
        <w:t>2 provides a summary of current arrangements in the 1900</w:t>
      </w:r>
      <w:r w:rsidR="009B5964" w:rsidRPr="00C97518">
        <w:rPr>
          <w:lang w:eastAsia="en-US" w:bidi="he-IL"/>
        </w:rPr>
        <w:t>–</w:t>
      </w:r>
      <w:r w:rsidRPr="00C97518">
        <w:rPr>
          <w:lang w:eastAsia="en-US" w:bidi="he-IL"/>
        </w:rPr>
        <w:t>2200 MHz band.</w:t>
      </w:r>
    </w:p>
    <w:p w14:paraId="2E476D0A" w14:textId="614B9B36" w:rsidR="00BA0B8B" w:rsidRPr="00C97518" w:rsidRDefault="00BA0B8B" w:rsidP="00BA0B8B">
      <w:pPr>
        <w:spacing w:after="120" w:line="240" w:lineRule="auto"/>
        <w:rPr>
          <w:rFonts w:cs="Arial"/>
          <w:b/>
          <w:bCs/>
          <w:szCs w:val="20"/>
          <w:lang w:eastAsia="en-US" w:bidi="he-IL"/>
        </w:rPr>
      </w:pPr>
      <w:r w:rsidRPr="00C97518">
        <w:rPr>
          <w:b/>
          <w:szCs w:val="20"/>
          <w:lang w:eastAsia="en-US" w:bidi="he-IL"/>
        </w:rPr>
        <w:t xml:space="preserve">Figure </w:t>
      </w:r>
      <w:r w:rsidR="00EE7329" w:rsidRPr="00C97518">
        <w:rPr>
          <w:b/>
          <w:szCs w:val="20"/>
          <w:lang w:eastAsia="en-US" w:bidi="he-IL"/>
        </w:rPr>
        <w:t>A</w:t>
      </w:r>
      <w:r w:rsidRPr="00C97518">
        <w:rPr>
          <w:b/>
          <w:szCs w:val="20"/>
          <w:lang w:eastAsia="en-US" w:bidi="he-IL"/>
        </w:rPr>
        <w:t xml:space="preserve">1: </w:t>
      </w:r>
      <w:r w:rsidRPr="00C97518">
        <w:rPr>
          <w:rFonts w:cs="Arial"/>
          <w:b/>
          <w:bCs/>
          <w:szCs w:val="20"/>
          <w:lang w:eastAsia="en-US" w:bidi="he-IL"/>
        </w:rPr>
        <w:t xml:space="preserve">Areas </w:t>
      </w:r>
      <w:r w:rsidR="00564E62" w:rsidRPr="00C97518">
        <w:rPr>
          <w:rFonts w:cs="Arial"/>
          <w:b/>
          <w:bCs/>
          <w:szCs w:val="20"/>
          <w:lang w:eastAsia="en-US" w:bidi="he-IL"/>
        </w:rPr>
        <w:t xml:space="preserve">and frequencies </w:t>
      </w:r>
      <w:r w:rsidRPr="00C97518">
        <w:rPr>
          <w:rFonts w:cs="Arial"/>
          <w:b/>
          <w:bCs/>
          <w:szCs w:val="20"/>
          <w:lang w:eastAsia="en-US" w:bidi="he-IL"/>
        </w:rPr>
        <w:t>corresponding to the 2 GHz spectrum licence band</w:t>
      </w:r>
    </w:p>
    <w:p w14:paraId="052EF759" w14:textId="77777777" w:rsidR="00BA0B8B" w:rsidRPr="00C97518" w:rsidRDefault="00BA0B8B" w:rsidP="00BA0B8B">
      <w:pPr>
        <w:spacing w:after="0" w:line="240" w:lineRule="auto"/>
        <w:rPr>
          <w:rFonts w:cs="Arial"/>
          <w:szCs w:val="20"/>
          <w:lang w:eastAsia="en-US" w:bidi="he-IL"/>
        </w:rPr>
      </w:pPr>
      <w:r w:rsidRPr="00C97518">
        <w:rPr>
          <w:rFonts w:cs="Arial"/>
          <w:noProof/>
          <w:szCs w:val="20"/>
        </w:rPr>
        <w:drawing>
          <wp:inline distT="0" distB="0" distL="0" distR="0" wp14:anchorId="7EE1D9CF" wp14:editId="09BC7312">
            <wp:extent cx="4314825" cy="3165727"/>
            <wp:effectExtent l="0" t="0" r="0" b="0"/>
            <wp:docPr id="19" name="Picture 19" descr="Areas corresponding to by the 2 GHz spectrum licence 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kerans\AppData\Local\Microsoft\Windows\Temporary Internet Files\Content.Outlook\WNIEVTI0\first_consultation_paper_maps_03.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17523" cy="3167706"/>
                    </a:xfrm>
                    <a:prstGeom prst="rect">
                      <a:avLst/>
                    </a:prstGeom>
                    <a:noFill/>
                    <a:ln>
                      <a:noFill/>
                    </a:ln>
                  </pic:spPr>
                </pic:pic>
              </a:graphicData>
            </a:graphic>
          </wp:inline>
        </w:drawing>
      </w:r>
      <w:r w:rsidRPr="00C97518">
        <w:rPr>
          <w:rFonts w:cs="Arial"/>
          <w:noProof/>
          <w:szCs w:val="20"/>
          <w:highlight w:val="yellow"/>
          <w:lang w:eastAsia="en-US" w:bidi="he-IL"/>
        </w:rPr>
        <w:t xml:space="preserve"> </w:t>
      </w:r>
    </w:p>
    <w:p w14:paraId="75D3B538" w14:textId="77777777" w:rsidR="00BA0B8B" w:rsidRPr="00C97518" w:rsidRDefault="00BA0B8B" w:rsidP="00BA0B8B">
      <w:pPr>
        <w:spacing w:after="0" w:line="240" w:lineRule="auto"/>
        <w:rPr>
          <w:rFonts w:cs="Arial"/>
          <w:szCs w:val="20"/>
          <w:lang w:eastAsia="en-US" w:bidi="he-IL"/>
        </w:rPr>
      </w:pPr>
    </w:p>
    <w:p w14:paraId="55DC25C5" w14:textId="7B17455B" w:rsidR="00BA0B8B" w:rsidRPr="00C97518" w:rsidRDefault="00BA0B8B" w:rsidP="00BA0B8B">
      <w:pPr>
        <w:keepNext/>
        <w:keepLines/>
        <w:spacing w:after="120" w:line="240" w:lineRule="auto"/>
        <w:rPr>
          <w:szCs w:val="20"/>
          <w:lang w:eastAsia="en-US" w:bidi="he-IL"/>
        </w:rPr>
      </w:pPr>
      <w:r w:rsidRPr="00C97518">
        <w:rPr>
          <w:b/>
          <w:szCs w:val="20"/>
          <w:lang w:eastAsia="en-US" w:bidi="he-IL"/>
        </w:rPr>
        <w:lastRenderedPageBreak/>
        <w:t xml:space="preserve">Figure </w:t>
      </w:r>
      <w:r w:rsidR="00EE7329" w:rsidRPr="00C97518">
        <w:rPr>
          <w:b/>
          <w:szCs w:val="20"/>
          <w:lang w:eastAsia="en-US" w:bidi="he-IL"/>
        </w:rPr>
        <w:t>A</w:t>
      </w:r>
      <w:r w:rsidRPr="00C97518">
        <w:rPr>
          <w:b/>
          <w:szCs w:val="20"/>
          <w:lang w:eastAsia="en-US" w:bidi="he-IL"/>
        </w:rPr>
        <w:t xml:space="preserve">2: </w:t>
      </w:r>
      <w:r w:rsidRPr="00C97518">
        <w:rPr>
          <w:rFonts w:cs="Arial"/>
          <w:b/>
          <w:bCs/>
          <w:szCs w:val="20"/>
          <w:lang w:eastAsia="en-US" w:bidi="he-IL"/>
        </w:rPr>
        <w:t>Summary of existing arrangements in the 1900</w:t>
      </w:r>
      <w:r w:rsidR="009B5964" w:rsidRPr="00C97518">
        <w:rPr>
          <w:rFonts w:cs="Arial"/>
          <w:b/>
          <w:bCs/>
          <w:szCs w:val="20"/>
          <w:lang w:eastAsia="en-US" w:bidi="he-IL"/>
        </w:rPr>
        <w:t>–</w:t>
      </w:r>
      <w:r w:rsidRPr="00C97518">
        <w:rPr>
          <w:rFonts w:cs="Arial"/>
          <w:b/>
          <w:bCs/>
          <w:szCs w:val="20"/>
          <w:lang w:eastAsia="en-US" w:bidi="he-IL"/>
        </w:rPr>
        <w:t>2200 MHz band</w:t>
      </w:r>
      <w:r w:rsidRPr="00C97518">
        <w:rPr>
          <w:szCs w:val="20"/>
          <w:lang w:eastAsia="en-US" w:bidi="he-IL"/>
        </w:rPr>
        <w:t xml:space="preserve"> </w:t>
      </w:r>
    </w:p>
    <w:tbl>
      <w:tblPr>
        <w:tblStyle w:val="TableGrid3"/>
        <w:tblW w:w="0" w:type="auto"/>
        <w:tblCellMar>
          <w:top w:w="57" w:type="dxa"/>
          <w:bottom w:w="57" w:type="dxa"/>
        </w:tblCellMar>
        <w:tblLook w:val="04A0" w:firstRow="1" w:lastRow="0" w:firstColumn="1" w:lastColumn="0" w:noHBand="0" w:noVBand="1"/>
        <w:tblDescription w:val="Summary of existing arrangements in the 1900–2200 MHz band "/>
      </w:tblPr>
      <w:tblGrid>
        <w:gridCol w:w="1235"/>
        <w:gridCol w:w="1330"/>
        <w:gridCol w:w="1278"/>
        <w:gridCol w:w="646"/>
        <w:gridCol w:w="646"/>
        <w:gridCol w:w="1278"/>
        <w:gridCol w:w="1248"/>
      </w:tblGrid>
      <w:tr w:rsidR="00BA0B8B" w:rsidRPr="00C97518" w14:paraId="7C957642" w14:textId="77777777" w:rsidTr="0027403F">
        <w:trPr>
          <w:trHeight w:val="699"/>
          <w:tblHeader/>
        </w:trPr>
        <w:tc>
          <w:tcPr>
            <w:tcW w:w="1235" w:type="dxa"/>
          </w:tcPr>
          <w:p w14:paraId="79A1DD4A" w14:textId="77777777" w:rsidR="00BA0B8B" w:rsidRPr="00C97518" w:rsidRDefault="00BA0B8B" w:rsidP="0027403F">
            <w:pPr>
              <w:pStyle w:val="TableHeading"/>
              <w:keepNext/>
              <w:keepLines/>
              <w:rPr>
                <w:lang w:bidi="he-IL"/>
              </w:rPr>
            </w:pPr>
            <w:r w:rsidRPr="00C97518">
              <w:rPr>
                <w:lang w:bidi="he-IL"/>
              </w:rPr>
              <w:t>Frequency (MHz)</w:t>
            </w:r>
          </w:p>
        </w:tc>
        <w:tc>
          <w:tcPr>
            <w:tcW w:w="1330" w:type="dxa"/>
            <w:tcBorders>
              <w:bottom w:val="single" w:sz="4" w:space="0" w:color="auto"/>
            </w:tcBorders>
          </w:tcPr>
          <w:p w14:paraId="51B36135" w14:textId="77777777" w:rsidR="00BA0B8B" w:rsidRPr="00C97518" w:rsidRDefault="00BA0B8B" w:rsidP="0027403F">
            <w:pPr>
              <w:pStyle w:val="TableHeading"/>
              <w:keepNext/>
              <w:keepLines/>
              <w:rPr>
                <w:lang w:bidi="he-IL"/>
              </w:rPr>
            </w:pPr>
            <w:r w:rsidRPr="00C97518">
              <w:rPr>
                <w:lang w:bidi="he-IL"/>
              </w:rPr>
              <w:t>Melbourne</w:t>
            </w:r>
          </w:p>
          <w:p w14:paraId="69A51BDF" w14:textId="77777777" w:rsidR="00BA0B8B" w:rsidRPr="00C97518" w:rsidRDefault="00BA0B8B" w:rsidP="0027403F">
            <w:pPr>
              <w:pStyle w:val="TableHeading"/>
              <w:keepNext/>
              <w:keepLines/>
              <w:rPr>
                <w:lang w:bidi="he-IL"/>
              </w:rPr>
            </w:pPr>
            <w:r w:rsidRPr="00C97518">
              <w:rPr>
                <w:lang w:bidi="he-IL"/>
              </w:rPr>
              <w:t>Sydney</w:t>
            </w:r>
          </w:p>
        </w:tc>
        <w:tc>
          <w:tcPr>
            <w:tcW w:w="1278" w:type="dxa"/>
            <w:tcBorders>
              <w:bottom w:val="single" w:sz="4" w:space="0" w:color="auto"/>
            </w:tcBorders>
          </w:tcPr>
          <w:p w14:paraId="7E2B303F" w14:textId="77777777" w:rsidR="00BA0B8B" w:rsidRPr="00C97518" w:rsidRDefault="00BA0B8B" w:rsidP="0027403F">
            <w:pPr>
              <w:pStyle w:val="TableHeading"/>
              <w:keepNext/>
              <w:keepLines/>
              <w:rPr>
                <w:lang w:bidi="he-IL"/>
              </w:rPr>
            </w:pPr>
            <w:r w:rsidRPr="00C97518">
              <w:rPr>
                <w:lang w:bidi="he-IL"/>
              </w:rPr>
              <w:t>Adelaide</w:t>
            </w:r>
          </w:p>
          <w:p w14:paraId="59E6D2DA" w14:textId="77777777" w:rsidR="00BA0B8B" w:rsidRPr="00C97518" w:rsidRDefault="00BA0B8B" w:rsidP="0027403F">
            <w:pPr>
              <w:pStyle w:val="TableHeading"/>
              <w:keepNext/>
              <w:keepLines/>
              <w:rPr>
                <w:lang w:bidi="he-IL"/>
              </w:rPr>
            </w:pPr>
            <w:r w:rsidRPr="00C97518">
              <w:rPr>
                <w:lang w:bidi="he-IL"/>
              </w:rPr>
              <w:t>Brisbane</w:t>
            </w:r>
          </w:p>
          <w:p w14:paraId="0733D9AE" w14:textId="77777777" w:rsidR="00BA0B8B" w:rsidRPr="00C97518" w:rsidRDefault="00BA0B8B" w:rsidP="0027403F">
            <w:pPr>
              <w:pStyle w:val="TableHeading"/>
              <w:keepNext/>
              <w:keepLines/>
              <w:rPr>
                <w:lang w:bidi="he-IL"/>
              </w:rPr>
            </w:pPr>
            <w:r w:rsidRPr="00C97518">
              <w:rPr>
                <w:lang w:bidi="he-IL"/>
              </w:rPr>
              <w:t>Perth</w:t>
            </w:r>
          </w:p>
        </w:tc>
        <w:tc>
          <w:tcPr>
            <w:tcW w:w="1292" w:type="dxa"/>
            <w:gridSpan w:val="2"/>
            <w:tcBorders>
              <w:bottom w:val="single" w:sz="4" w:space="0" w:color="auto"/>
            </w:tcBorders>
          </w:tcPr>
          <w:p w14:paraId="6B328B93" w14:textId="77777777" w:rsidR="00BA0B8B" w:rsidRPr="00C97518" w:rsidRDefault="00BA0B8B" w:rsidP="0027403F">
            <w:pPr>
              <w:pStyle w:val="TableHeading"/>
              <w:keepNext/>
              <w:keepLines/>
              <w:rPr>
                <w:lang w:bidi="he-IL"/>
              </w:rPr>
            </w:pPr>
            <w:r w:rsidRPr="00C97518">
              <w:rPr>
                <w:lang w:bidi="he-IL"/>
              </w:rPr>
              <w:t>Canberra</w:t>
            </w:r>
          </w:p>
          <w:p w14:paraId="0D217C6B" w14:textId="77777777" w:rsidR="00BA0B8B" w:rsidRPr="00C97518" w:rsidRDefault="00BA0B8B" w:rsidP="0027403F">
            <w:pPr>
              <w:pStyle w:val="TableHeading"/>
              <w:keepNext/>
              <w:keepLines/>
              <w:rPr>
                <w:lang w:bidi="he-IL"/>
              </w:rPr>
            </w:pPr>
            <w:r w:rsidRPr="00C97518">
              <w:rPr>
                <w:lang w:bidi="he-IL"/>
              </w:rPr>
              <w:t>Darwin</w:t>
            </w:r>
          </w:p>
          <w:p w14:paraId="58AECBA4" w14:textId="77777777" w:rsidR="00BA0B8B" w:rsidRPr="00C97518" w:rsidRDefault="00BA0B8B" w:rsidP="0027403F">
            <w:pPr>
              <w:pStyle w:val="TableHeading"/>
              <w:keepNext/>
              <w:keepLines/>
              <w:rPr>
                <w:lang w:bidi="he-IL"/>
              </w:rPr>
            </w:pPr>
            <w:r w:rsidRPr="00C97518">
              <w:rPr>
                <w:lang w:bidi="he-IL"/>
              </w:rPr>
              <w:t>Hobart</w:t>
            </w:r>
          </w:p>
        </w:tc>
        <w:tc>
          <w:tcPr>
            <w:tcW w:w="1278" w:type="dxa"/>
            <w:tcBorders>
              <w:bottom w:val="single" w:sz="4" w:space="0" w:color="auto"/>
            </w:tcBorders>
          </w:tcPr>
          <w:p w14:paraId="44C74A50" w14:textId="77777777" w:rsidR="00BA0B8B" w:rsidRPr="00C97518" w:rsidRDefault="00BA0B8B" w:rsidP="0027403F">
            <w:pPr>
              <w:pStyle w:val="TableHeading"/>
              <w:keepNext/>
              <w:keepLines/>
              <w:rPr>
                <w:lang w:bidi="he-IL"/>
              </w:rPr>
            </w:pPr>
            <w:r w:rsidRPr="00C97518">
              <w:rPr>
                <w:lang w:bidi="he-IL"/>
              </w:rPr>
              <w:t>Regional</w:t>
            </w:r>
          </w:p>
        </w:tc>
        <w:tc>
          <w:tcPr>
            <w:tcW w:w="1248" w:type="dxa"/>
            <w:tcBorders>
              <w:bottom w:val="single" w:sz="4" w:space="0" w:color="auto"/>
            </w:tcBorders>
          </w:tcPr>
          <w:p w14:paraId="2C7AC2F2" w14:textId="77777777" w:rsidR="00BA0B8B" w:rsidRPr="00C97518" w:rsidRDefault="00BA0B8B" w:rsidP="0027403F">
            <w:pPr>
              <w:pStyle w:val="TableHeading"/>
              <w:keepNext/>
              <w:keepLines/>
              <w:rPr>
                <w:lang w:bidi="he-IL"/>
              </w:rPr>
            </w:pPr>
            <w:r w:rsidRPr="00C97518">
              <w:rPr>
                <w:lang w:bidi="he-IL"/>
              </w:rPr>
              <w:t>Remote</w:t>
            </w:r>
          </w:p>
        </w:tc>
      </w:tr>
      <w:tr w:rsidR="00C706DA" w:rsidRPr="00C97518" w14:paraId="3F494DBB" w14:textId="77777777" w:rsidTr="0027403F">
        <w:tc>
          <w:tcPr>
            <w:tcW w:w="1235" w:type="dxa"/>
          </w:tcPr>
          <w:p w14:paraId="0CE6B299" w14:textId="77777777" w:rsidR="00C706DA" w:rsidRPr="00C97518" w:rsidRDefault="00C706DA" w:rsidP="00BA0B8B">
            <w:pPr>
              <w:keepNext/>
              <w:keepLines/>
              <w:spacing w:after="0" w:line="240" w:lineRule="auto"/>
              <w:rPr>
                <w:sz w:val="16"/>
                <w:szCs w:val="16"/>
                <w:lang w:bidi="he-IL"/>
              </w:rPr>
            </w:pPr>
            <w:r w:rsidRPr="00C97518">
              <w:rPr>
                <w:sz w:val="16"/>
                <w:szCs w:val="16"/>
                <w:lang w:bidi="he-IL"/>
              </w:rPr>
              <w:t>1900–1920</w:t>
            </w:r>
          </w:p>
        </w:tc>
        <w:tc>
          <w:tcPr>
            <w:tcW w:w="1330" w:type="dxa"/>
            <w:tcBorders>
              <w:bottom w:val="single" w:sz="4" w:space="0" w:color="auto"/>
              <w:right w:val="nil"/>
            </w:tcBorders>
            <w:shd w:val="clear" w:color="auto" w:fill="632423" w:themeFill="accent2" w:themeFillShade="80"/>
          </w:tcPr>
          <w:p w14:paraId="095E4B5C" w14:textId="77777777" w:rsidR="00C706DA" w:rsidRPr="00C97518" w:rsidRDefault="00C706DA"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632423" w:themeFill="accent2" w:themeFillShade="80"/>
          </w:tcPr>
          <w:p w14:paraId="017DCF9C" w14:textId="77777777" w:rsidR="00C706DA" w:rsidRPr="00C97518" w:rsidRDefault="00C706DA" w:rsidP="00BA0B8B">
            <w:pPr>
              <w:keepNext/>
              <w:keepLines/>
              <w:spacing w:after="0" w:line="240" w:lineRule="auto"/>
              <w:rPr>
                <w:sz w:val="16"/>
                <w:szCs w:val="16"/>
                <w:lang w:bidi="he-IL"/>
              </w:rPr>
            </w:pPr>
          </w:p>
        </w:tc>
        <w:tc>
          <w:tcPr>
            <w:tcW w:w="646" w:type="dxa"/>
            <w:tcBorders>
              <w:left w:val="nil"/>
              <w:bottom w:val="single" w:sz="4" w:space="0" w:color="auto"/>
              <w:right w:val="nil"/>
            </w:tcBorders>
            <w:shd w:val="clear" w:color="auto" w:fill="632423" w:themeFill="accent2" w:themeFillShade="80"/>
          </w:tcPr>
          <w:p w14:paraId="333534C5" w14:textId="77777777" w:rsidR="00C706DA" w:rsidRPr="00C97518" w:rsidRDefault="00C706DA" w:rsidP="00BA0B8B">
            <w:pPr>
              <w:keepNext/>
              <w:keepLines/>
              <w:spacing w:after="0" w:line="240" w:lineRule="auto"/>
              <w:rPr>
                <w:sz w:val="16"/>
                <w:szCs w:val="16"/>
                <w:lang w:bidi="he-IL"/>
              </w:rPr>
            </w:pPr>
          </w:p>
        </w:tc>
        <w:tc>
          <w:tcPr>
            <w:tcW w:w="646" w:type="dxa"/>
            <w:tcBorders>
              <w:left w:val="nil"/>
              <w:bottom w:val="single" w:sz="4" w:space="0" w:color="auto"/>
              <w:right w:val="single" w:sz="4" w:space="0" w:color="auto"/>
            </w:tcBorders>
            <w:shd w:val="clear" w:color="auto" w:fill="632423" w:themeFill="accent2" w:themeFillShade="80"/>
          </w:tcPr>
          <w:p w14:paraId="52923637" w14:textId="46AE9920" w:rsidR="00C706DA" w:rsidRPr="00C97518" w:rsidRDefault="00C706DA" w:rsidP="00BA0B8B">
            <w:pPr>
              <w:keepNext/>
              <w:keepLines/>
              <w:spacing w:after="0" w:line="240" w:lineRule="auto"/>
              <w:rPr>
                <w:sz w:val="16"/>
                <w:szCs w:val="16"/>
                <w:lang w:bidi="he-IL"/>
              </w:rPr>
            </w:pPr>
          </w:p>
        </w:tc>
        <w:tc>
          <w:tcPr>
            <w:tcW w:w="1278" w:type="dxa"/>
            <w:tcBorders>
              <w:left w:val="single" w:sz="4" w:space="0" w:color="auto"/>
              <w:bottom w:val="single" w:sz="4" w:space="0" w:color="auto"/>
              <w:right w:val="nil"/>
            </w:tcBorders>
            <w:shd w:val="clear" w:color="auto" w:fill="FF66FF"/>
          </w:tcPr>
          <w:p w14:paraId="4E36ABB4" w14:textId="77777777" w:rsidR="00C706DA" w:rsidRPr="00C97518" w:rsidRDefault="00C706DA" w:rsidP="00BA0B8B">
            <w:pPr>
              <w:keepNext/>
              <w:keepLines/>
              <w:spacing w:after="0" w:line="240" w:lineRule="auto"/>
              <w:rPr>
                <w:sz w:val="16"/>
                <w:szCs w:val="16"/>
                <w:lang w:bidi="he-IL"/>
              </w:rPr>
            </w:pPr>
          </w:p>
        </w:tc>
        <w:tc>
          <w:tcPr>
            <w:tcW w:w="1248" w:type="dxa"/>
            <w:tcBorders>
              <w:left w:val="nil"/>
              <w:bottom w:val="single" w:sz="4" w:space="0" w:color="auto"/>
            </w:tcBorders>
            <w:shd w:val="clear" w:color="auto" w:fill="FF66FF"/>
          </w:tcPr>
          <w:p w14:paraId="226607E3" w14:textId="77777777" w:rsidR="00C706DA" w:rsidRPr="00C97518" w:rsidRDefault="00C706DA" w:rsidP="00BA0B8B">
            <w:pPr>
              <w:keepNext/>
              <w:keepLines/>
              <w:spacing w:after="0" w:line="240" w:lineRule="auto"/>
              <w:rPr>
                <w:sz w:val="16"/>
                <w:szCs w:val="16"/>
                <w:lang w:bidi="he-IL"/>
              </w:rPr>
            </w:pPr>
          </w:p>
        </w:tc>
      </w:tr>
      <w:tr w:rsidR="00BA0B8B" w:rsidRPr="00C97518" w14:paraId="77900657" w14:textId="77777777" w:rsidTr="0027403F">
        <w:tc>
          <w:tcPr>
            <w:tcW w:w="1235" w:type="dxa"/>
          </w:tcPr>
          <w:p w14:paraId="7A37D699"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1920–1930</w:t>
            </w:r>
          </w:p>
        </w:tc>
        <w:tc>
          <w:tcPr>
            <w:tcW w:w="1330" w:type="dxa"/>
            <w:tcBorders>
              <w:bottom w:val="nil"/>
              <w:right w:val="nil"/>
            </w:tcBorders>
            <w:shd w:val="clear" w:color="auto" w:fill="FFFF00"/>
          </w:tcPr>
          <w:p w14:paraId="4B30995A"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tcBorders>
            <w:shd w:val="clear" w:color="auto" w:fill="FFFF00"/>
          </w:tcPr>
          <w:p w14:paraId="2277EF95" w14:textId="77777777" w:rsidR="00BA0B8B" w:rsidRPr="00C97518" w:rsidRDefault="00BA0B8B" w:rsidP="00BA0B8B">
            <w:pPr>
              <w:keepNext/>
              <w:keepLines/>
              <w:spacing w:after="0" w:line="240" w:lineRule="auto"/>
              <w:rPr>
                <w:sz w:val="16"/>
                <w:szCs w:val="16"/>
                <w:lang w:bidi="he-IL"/>
              </w:rPr>
            </w:pPr>
          </w:p>
        </w:tc>
        <w:tc>
          <w:tcPr>
            <w:tcW w:w="1292" w:type="dxa"/>
            <w:gridSpan w:val="2"/>
            <w:tcBorders>
              <w:bottom w:val="nil"/>
              <w:right w:val="single" w:sz="4" w:space="0" w:color="auto"/>
            </w:tcBorders>
            <w:shd w:val="clear" w:color="auto" w:fill="00B050"/>
          </w:tcPr>
          <w:p w14:paraId="6E2EF175" w14:textId="77777777" w:rsidR="00BA0B8B" w:rsidRPr="00C97518" w:rsidRDefault="00BA0B8B" w:rsidP="00BA0B8B">
            <w:pPr>
              <w:keepNext/>
              <w:keepLines/>
              <w:spacing w:after="0" w:line="240" w:lineRule="auto"/>
              <w:rPr>
                <w:sz w:val="16"/>
                <w:szCs w:val="16"/>
                <w:lang w:bidi="he-IL"/>
              </w:rPr>
            </w:pPr>
          </w:p>
        </w:tc>
        <w:tc>
          <w:tcPr>
            <w:tcW w:w="1278" w:type="dxa"/>
            <w:tcBorders>
              <w:left w:val="single" w:sz="4" w:space="0" w:color="auto"/>
              <w:bottom w:val="nil"/>
              <w:right w:val="nil"/>
            </w:tcBorders>
            <w:shd w:val="clear" w:color="auto" w:fill="99FF66"/>
          </w:tcPr>
          <w:p w14:paraId="19F1F68A"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nil"/>
            </w:tcBorders>
            <w:shd w:val="clear" w:color="auto" w:fill="99FF66"/>
          </w:tcPr>
          <w:p w14:paraId="728BC84C" w14:textId="77777777" w:rsidR="00BA0B8B" w:rsidRPr="00C97518" w:rsidRDefault="00BA0B8B" w:rsidP="00BA0B8B">
            <w:pPr>
              <w:keepNext/>
              <w:keepLines/>
              <w:spacing w:after="0" w:line="240" w:lineRule="auto"/>
              <w:rPr>
                <w:sz w:val="16"/>
                <w:szCs w:val="16"/>
                <w:lang w:bidi="he-IL"/>
              </w:rPr>
            </w:pPr>
          </w:p>
        </w:tc>
      </w:tr>
      <w:tr w:rsidR="00BA0B8B" w:rsidRPr="00C97518" w14:paraId="356AF0DF" w14:textId="77777777" w:rsidTr="0027403F">
        <w:tc>
          <w:tcPr>
            <w:tcW w:w="1235" w:type="dxa"/>
          </w:tcPr>
          <w:p w14:paraId="6B5025D3"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1930–1935</w:t>
            </w:r>
          </w:p>
        </w:tc>
        <w:tc>
          <w:tcPr>
            <w:tcW w:w="1330" w:type="dxa"/>
            <w:tcBorders>
              <w:top w:val="nil"/>
              <w:bottom w:val="nil"/>
            </w:tcBorders>
            <w:shd w:val="clear" w:color="auto" w:fill="FFFF00"/>
          </w:tcPr>
          <w:p w14:paraId="7CC7F0FB" w14:textId="77777777" w:rsidR="00BA0B8B" w:rsidRPr="00C97518" w:rsidRDefault="00BA0B8B" w:rsidP="00BA0B8B">
            <w:pPr>
              <w:keepNext/>
              <w:keepLines/>
              <w:spacing w:after="0" w:line="240" w:lineRule="auto"/>
              <w:rPr>
                <w:sz w:val="16"/>
                <w:szCs w:val="16"/>
                <w:lang w:bidi="he-IL"/>
              </w:rPr>
            </w:pPr>
          </w:p>
        </w:tc>
        <w:tc>
          <w:tcPr>
            <w:tcW w:w="1278" w:type="dxa"/>
            <w:tcBorders>
              <w:bottom w:val="single" w:sz="4" w:space="0" w:color="auto"/>
              <w:right w:val="nil"/>
            </w:tcBorders>
            <w:shd w:val="clear" w:color="auto" w:fill="00B050"/>
          </w:tcPr>
          <w:p w14:paraId="1D74CB97" w14:textId="77777777" w:rsidR="00BA0B8B" w:rsidRPr="00C97518" w:rsidRDefault="00BA0B8B" w:rsidP="00BA0B8B">
            <w:pPr>
              <w:keepNext/>
              <w:keepLines/>
              <w:spacing w:after="0" w:line="240" w:lineRule="auto"/>
              <w:rPr>
                <w:sz w:val="16"/>
                <w:szCs w:val="16"/>
                <w:lang w:bidi="he-IL"/>
              </w:rPr>
            </w:pPr>
          </w:p>
        </w:tc>
        <w:tc>
          <w:tcPr>
            <w:tcW w:w="1292" w:type="dxa"/>
            <w:gridSpan w:val="2"/>
            <w:tcBorders>
              <w:top w:val="nil"/>
              <w:left w:val="nil"/>
              <w:bottom w:val="single" w:sz="4" w:space="0" w:color="auto"/>
              <w:right w:val="single" w:sz="4" w:space="0" w:color="auto"/>
            </w:tcBorders>
            <w:shd w:val="clear" w:color="auto" w:fill="00B050"/>
          </w:tcPr>
          <w:p w14:paraId="24B323D1" w14:textId="77777777" w:rsidR="00BA0B8B" w:rsidRPr="00C97518" w:rsidRDefault="00BA0B8B" w:rsidP="00BA0B8B">
            <w:pPr>
              <w:keepNext/>
              <w:keepLines/>
              <w:spacing w:after="0" w:line="240" w:lineRule="auto"/>
              <w:rPr>
                <w:sz w:val="16"/>
                <w:szCs w:val="16"/>
                <w:lang w:bidi="he-IL"/>
              </w:rPr>
            </w:pPr>
          </w:p>
        </w:tc>
        <w:tc>
          <w:tcPr>
            <w:tcW w:w="1278" w:type="dxa"/>
            <w:tcBorders>
              <w:top w:val="nil"/>
              <w:left w:val="single" w:sz="4" w:space="0" w:color="auto"/>
              <w:bottom w:val="nil"/>
              <w:right w:val="nil"/>
            </w:tcBorders>
            <w:shd w:val="clear" w:color="auto" w:fill="99FF66"/>
          </w:tcPr>
          <w:p w14:paraId="0771D91A" w14:textId="77777777" w:rsidR="00BA0B8B" w:rsidRPr="00C97518" w:rsidRDefault="00BA0B8B" w:rsidP="00BA0B8B">
            <w:pPr>
              <w:keepNext/>
              <w:keepLines/>
              <w:spacing w:after="0" w:line="240" w:lineRule="auto"/>
              <w:rPr>
                <w:sz w:val="16"/>
                <w:szCs w:val="16"/>
                <w:lang w:bidi="he-IL"/>
              </w:rPr>
            </w:pPr>
          </w:p>
        </w:tc>
        <w:tc>
          <w:tcPr>
            <w:tcW w:w="1248" w:type="dxa"/>
            <w:tcBorders>
              <w:top w:val="nil"/>
              <w:left w:val="nil"/>
              <w:bottom w:val="nil"/>
            </w:tcBorders>
            <w:shd w:val="clear" w:color="auto" w:fill="99FF66"/>
          </w:tcPr>
          <w:p w14:paraId="35A27B8F" w14:textId="77777777" w:rsidR="00BA0B8B" w:rsidRPr="00C97518" w:rsidRDefault="00BA0B8B" w:rsidP="00BA0B8B">
            <w:pPr>
              <w:keepNext/>
              <w:keepLines/>
              <w:spacing w:after="0" w:line="240" w:lineRule="auto"/>
              <w:rPr>
                <w:sz w:val="16"/>
                <w:szCs w:val="16"/>
                <w:lang w:bidi="he-IL"/>
              </w:rPr>
            </w:pPr>
          </w:p>
        </w:tc>
      </w:tr>
      <w:tr w:rsidR="00BA0B8B" w:rsidRPr="00C97518" w14:paraId="5308650D" w14:textId="77777777" w:rsidTr="0027403F">
        <w:tc>
          <w:tcPr>
            <w:tcW w:w="1235" w:type="dxa"/>
          </w:tcPr>
          <w:p w14:paraId="62A75F45"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1935–1960</w:t>
            </w:r>
          </w:p>
        </w:tc>
        <w:tc>
          <w:tcPr>
            <w:tcW w:w="1330" w:type="dxa"/>
            <w:tcBorders>
              <w:top w:val="nil"/>
              <w:bottom w:val="nil"/>
              <w:right w:val="nil"/>
            </w:tcBorders>
            <w:shd w:val="clear" w:color="auto" w:fill="FFFF00"/>
          </w:tcPr>
          <w:p w14:paraId="49FEC61D"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nil"/>
              <w:right w:val="nil"/>
            </w:tcBorders>
            <w:shd w:val="clear" w:color="auto" w:fill="FFFF00"/>
          </w:tcPr>
          <w:p w14:paraId="4E031D87"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nil"/>
            </w:tcBorders>
            <w:shd w:val="clear" w:color="auto" w:fill="FFFF00"/>
          </w:tcPr>
          <w:p w14:paraId="68909976" w14:textId="77777777" w:rsidR="00BA0B8B" w:rsidRPr="00C97518" w:rsidRDefault="00BA0B8B" w:rsidP="00BA0B8B">
            <w:pPr>
              <w:keepNext/>
              <w:keepLines/>
              <w:spacing w:after="0" w:line="240" w:lineRule="auto"/>
              <w:rPr>
                <w:sz w:val="16"/>
                <w:szCs w:val="16"/>
                <w:lang w:bidi="he-IL"/>
              </w:rPr>
            </w:pPr>
          </w:p>
        </w:tc>
        <w:tc>
          <w:tcPr>
            <w:tcW w:w="1278" w:type="dxa"/>
            <w:tcBorders>
              <w:top w:val="nil"/>
              <w:bottom w:val="single" w:sz="4" w:space="0" w:color="auto"/>
              <w:right w:val="nil"/>
            </w:tcBorders>
            <w:shd w:val="clear" w:color="auto" w:fill="99FF66"/>
          </w:tcPr>
          <w:p w14:paraId="0E5C2068" w14:textId="77777777" w:rsidR="00BA0B8B" w:rsidRPr="00C97518" w:rsidRDefault="00BA0B8B" w:rsidP="00BA0B8B">
            <w:pPr>
              <w:keepNext/>
              <w:keepLines/>
              <w:spacing w:after="0" w:line="240" w:lineRule="auto"/>
              <w:rPr>
                <w:sz w:val="16"/>
                <w:szCs w:val="16"/>
                <w:lang w:bidi="he-IL"/>
              </w:rPr>
            </w:pPr>
          </w:p>
        </w:tc>
        <w:tc>
          <w:tcPr>
            <w:tcW w:w="1248" w:type="dxa"/>
            <w:tcBorders>
              <w:top w:val="nil"/>
              <w:left w:val="nil"/>
              <w:bottom w:val="nil"/>
            </w:tcBorders>
            <w:shd w:val="clear" w:color="auto" w:fill="99FF66"/>
          </w:tcPr>
          <w:p w14:paraId="7F53F5C4" w14:textId="77777777" w:rsidR="00BA0B8B" w:rsidRPr="00C97518" w:rsidRDefault="00BA0B8B" w:rsidP="00BA0B8B">
            <w:pPr>
              <w:keepNext/>
              <w:keepLines/>
              <w:spacing w:after="0" w:line="240" w:lineRule="auto"/>
              <w:rPr>
                <w:sz w:val="16"/>
                <w:szCs w:val="16"/>
                <w:lang w:bidi="he-IL"/>
              </w:rPr>
            </w:pPr>
          </w:p>
        </w:tc>
      </w:tr>
      <w:tr w:rsidR="00BA0B8B" w:rsidRPr="00C97518" w14:paraId="4440CF53" w14:textId="77777777" w:rsidTr="0027403F">
        <w:tc>
          <w:tcPr>
            <w:tcW w:w="1235" w:type="dxa"/>
          </w:tcPr>
          <w:p w14:paraId="04197F84"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1960–1980</w:t>
            </w:r>
          </w:p>
        </w:tc>
        <w:tc>
          <w:tcPr>
            <w:tcW w:w="1330" w:type="dxa"/>
            <w:tcBorders>
              <w:top w:val="nil"/>
              <w:bottom w:val="single" w:sz="4" w:space="0" w:color="auto"/>
              <w:right w:val="nil"/>
            </w:tcBorders>
            <w:shd w:val="clear" w:color="auto" w:fill="FFFF00"/>
          </w:tcPr>
          <w:p w14:paraId="613D8B9F" w14:textId="77777777" w:rsidR="00BA0B8B" w:rsidRPr="00C97518" w:rsidRDefault="00BA0B8B" w:rsidP="00BA0B8B">
            <w:pPr>
              <w:keepNext/>
              <w:keepLines/>
              <w:spacing w:after="0" w:line="240" w:lineRule="auto"/>
              <w:rPr>
                <w:sz w:val="16"/>
                <w:szCs w:val="16"/>
                <w:lang w:bidi="he-IL"/>
              </w:rPr>
            </w:pPr>
          </w:p>
        </w:tc>
        <w:tc>
          <w:tcPr>
            <w:tcW w:w="1278" w:type="dxa"/>
            <w:tcBorders>
              <w:top w:val="nil"/>
              <w:left w:val="nil"/>
              <w:bottom w:val="single" w:sz="4" w:space="0" w:color="auto"/>
              <w:right w:val="nil"/>
            </w:tcBorders>
            <w:shd w:val="clear" w:color="auto" w:fill="FFFF00"/>
          </w:tcPr>
          <w:p w14:paraId="11223419" w14:textId="77777777" w:rsidR="00BA0B8B" w:rsidRPr="00C97518" w:rsidRDefault="00BA0B8B" w:rsidP="00BA0B8B">
            <w:pPr>
              <w:keepNext/>
              <w:keepLines/>
              <w:spacing w:after="0" w:line="240" w:lineRule="auto"/>
              <w:rPr>
                <w:sz w:val="16"/>
                <w:szCs w:val="16"/>
                <w:lang w:bidi="he-IL"/>
              </w:rPr>
            </w:pPr>
          </w:p>
        </w:tc>
        <w:tc>
          <w:tcPr>
            <w:tcW w:w="1292" w:type="dxa"/>
            <w:gridSpan w:val="2"/>
            <w:tcBorders>
              <w:top w:val="nil"/>
              <w:left w:val="nil"/>
              <w:bottom w:val="single" w:sz="4" w:space="0" w:color="auto"/>
              <w:right w:val="nil"/>
            </w:tcBorders>
            <w:shd w:val="clear" w:color="auto" w:fill="FFFF00"/>
          </w:tcPr>
          <w:p w14:paraId="683554AF"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tcBorders>
            <w:shd w:val="clear" w:color="auto" w:fill="FFFF00"/>
          </w:tcPr>
          <w:p w14:paraId="60FEA0DA" w14:textId="77777777" w:rsidR="00BA0B8B" w:rsidRPr="00C97518" w:rsidRDefault="00BA0B8B" w:rsidP="00BA0B8B">
            <w:pPr>
              <w:keepNext/>
              <w:keepLines/>
              <w:spacing w:after="0" w:line="240" w:lineRule="auto"/>
              <w:rPr>
                <w:sz w:val="16"/>
                <w:szCs w:val="16"/>
                <w:lang w:bidi="he-IL"/>
              </w:rPr>
            </w:pPr>
          </w:p>
        </w:tc>
        <w:tc>
          <w:tcPr>
            <w:tcW w:w="1248" w:type="dxa"/>
            <w:tcBorders>
              <w:top w:val="nil"/>
              <w:bottom w:val="single" w:sz="4" w:space="0" w:color="auto"/>
            </w:tcBorders>
            <w:shd w:val="clear" w:color="auto" w:fill="99FF66"/>
          </w:tcPr>
          <w:p w14:paraId="236DBEE3" w14:textId="77777777" w:rsidR="00BA0B8B" w:rsidRPr="00C97518" w:rsidRDefault="00BA0B8B" w:rsidP="00BA0B8B">
            <w:pPr>
              <w:keepNext/>
              <w:keepLines/>
              <w:spacing w:after="0" w:line="240" w:lineRule="auto"/>
              <w:rPr>
                <w:sz w:val="16"/>
                <w:szCs w:val="16"/>
                <w:lang w:bidi="he-IL"/>
              </w:rPr>
            </w:pPr>
          </w:p>
        </w:tc>
      </w:tr>
      <w:tr w:rsidR="00BA0B8B" w:rsidRPr="00C97518" w14:paraId="0591D757" w14:textId="77777777" w:rsidTr="0027403F">
        <w:tc>
          <w:tcPr>
            <w:tcW w:w="1235" w:type="dxa"/>
          </w:tcPr>
          <w:p w14:paraId="055E7A39"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1980–2010</w:t>
            </w:r>
          </w:p>
        </w:tc>
        <w:tc>
          <w:tcPr>
            <w:tcW w:w="1330" w:type="dxa"/>
            <w:tcBorders>
              <w:bottom w:val="single" w:sz="4" w:space="0" w:color="auto"/>
              <w:right w:val="nil"/>
            </w:tcBorders>
            <w:shd w:val="clear" w:color="auto" w:fill="FF5050"/>
          </w:tcPr>
          <w:p w14:paraId="148392BC"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FF5050"/>
          </w:tcPr>
          <w:p w14:paraId="16A0E85A"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single" w:sz="4" w:space="0" w:color="auto"/>
              <w:right w:val="nil"/>
            </w:tcBorders>
            <w:shd w:val="clear" w:color="auto" w:fill="FF5050"/>
          </w:tcPr>
          <w:p w14:paraId="35FE850F"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FF5050"/>
          </w:tcPr>
          <w:p w14:paraId="00436B6B"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single" w:sz="4" w:space="0" w:color="auto"/>
            </w:tcBorders>
            <w:shd w:val="clear" w:color="auto" w:fill="FF5050"/>
          </w:tcPr>
          <w:p w14:paraId="357C889E" w14:textId="77777777" w:rsidR="00BA0B8B" w:rsidRPr="00C97518" w:rsidRDefault="00BA0B8B" w:rsidP="00BA0B8B">
            <w:pPr>
              <w:keepNext/>
              <w:keepLines/>
              <w:spacing w:after="0" w:line="240" w:lineRule="auto"/>
              <w:rPr>
                <w:sz w:val="16"/>
                <w:szCs w:val="16"/>
                <w:lang w:bidi="he-IL"/>
              </w:rPr>
            </w:pPr>
          </w:p>
        </w:tc>
      </w:tr>
      <w:tr w:rsidR="00BA0B8B" w:rsidRPr="00C97518" w14:paraId="0244439A" w14:textId="77777777" w:rsidTr="0027403F">
        <w:tc>
          <w:tcPr>
            <w:tcW w:w="1235" w:type="dxa"/>
          </w:tcPr>
          <w:p w14:paraId="46FEE079"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2010–2025</w:t>
            </w:r>
          </w:p>
        </w:tc>
        <w:tc>
          <w:tcPr>
            <w:tcW w:w="1330" w:type="dxa"/>
            <w:tcBorders>
              <w:bottom w:val="single" w:sz="4" w:space="0" w:color="auto"/>
              <w:right w:val="nil"/>
            </w:tcBorders>
            <w:shd w:val="clear" w:color="auto" w:fill="00B0F0"/>
          </w:tcPr>
          <w:p w14:paraId="3AF660D1"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00B0F0"/>
          </w:tcPr>
          <w:p w14:paraId="18ED0A1E"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single" w:sz="4" w:space="0" w:color="auto"/>
              <w:right w:val="nil"/>
            </w:tcBorders>
            <w:shd w:val="clear" w:color="auto" w:fill="00B0F0"/>
          </w:tcPr>
          <w:p w14:paraId="58A9F2B8"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00B0F0"/>
          </w:tcPr>
          <w:p w14:paraId="0AD1642C"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single" w:sz="4" w:space="0" w:color="auto"/>
            </w:tcBorders>
            <w:shd w:val="clear" w:color="auto" w:fill="00B0F0"/>
          </w:tcPr>
          <w:p w14:paraId="1DFCB1F8" w14:textId="77777777" w:rsidR="00BA0B8B" w:rsidRPr="00C97518" w:rsidRDefault="00BA0B8B" w:rsidP="00BA0B8B">
            <w:pPr>
              <w:keepNext/>
              <w:keepLines/>
              <w:spacing w:after="0" w:line="240" w:lineRule="auto"/>
              <w:rPr>
                <w:sz w:val="16"/>
                <w:szCs w:val="16"/>
                <w:lang w:bidi="he-IL"/>
              </w:rPr>
            </w:pPr>
          </w:p>
        </w:tc>
      </w:tr>
      <w:tr w:rsidR="00BA0B8B" w:rsidRPr="00C97518" w14:paraId="224CEC2F" w14:textId="77777777" w:rsidTr="0027403F">
        <w:tc>
          <w:tcPr>
            <w:tcW w:w="1235" w:type="dxa"/>
          </w:tcPr>
          <w:p w14:paraId="0FE20985"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2025–2110</w:t>
            </w:r>
          </w:p>
        </w:tc>
        <w:tc>
          <w:tcPr>
            <w:tcW w:w="1330" w:type="dxa"/>
            <w:tcBorders>
              <w:bottom w:val="single" w:sz="4" w:space="0" w:color="auto"/>
              <w:right w:val="nil"/>
            </w:tcBorders>
            <w:shd w:val="clear" w:color="auto" w:fill="BFBFBF" w:themeFill="background1" w:themeFillShade="BF"/>
          </w:tcPr>
          <w:p w14:paraId="6D93EAFD"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BFBFBF" w:themeFill="background1" w:themeFillShade="BF"/>
          </w:tcPr>
          <w:p w14:paraId="5EAADB2D"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single" w:sz="4" w:space="0" w:color="auto"/>
              <w:right w:val="nil"/>
            </w:tcBorders>
            <w:shd w:val="clear" w:color="auto" w:fill="BFBFBF" w:themeFill="background1" w:themeFillShade="BF"/>
          </w:tcPr>
          <w:p w14:paraId="5BA74382"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right w:val="nil"/>
            </w:tcBorders>
            <w:shd w:val="clear" w:color="auto" w:fill="BFBFBF" w:themeFill="background1" w:themeFillShade="BF"/>
          </w:tcPr>
          <w:p w14:paraId="3AD5BD3A"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single" w:sz="4" w:space="0" w:color="auto"/>
            </w:tcBorders>
            <w:shd w:val="clear" w:color="auto" w:fill="BFBFBF" w:themeFill="background1" w:themeFillShade="BF"/>
          </w:tcPr>
          <w:p w14:paraId="34C91C3C" w14:textId="77777777" w:rsidR="00BA0B8B" w:rsidRPr="00C97518" w:rsidRDefault="00BA0B8B" w:rsidP="00BA0B8B">
            <w:pPr>
              <w:keepNext/>
              <w:keepLines/>
              <w:spacing w:after="0" w:line="240" w:lineRule="auto"/>
              <w:rPr>
                <w:sz w:val="16"/>
                <w:szCs w:val="16"/>
                <w:lang w:bidi="he-IL"/>
              </w:rPr>
            </w:pPr>
          </w:p>
        </w:tc>
      </w:tr>
      <w:tr w:rsidR="00BA0B8B" w:rsidRPr="00C97518" w14:paraId="14B659D9" w14:textId="77777777" w:rsidTr="0027403F">
        <w:tc>
          <w:tcPr>
            <w:tcW w:w="1235" w:type="dxa"/>
          </w:tcPr>
          <w:p w14:paraId="7C0D9E5D"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2110–2120</w:t>
            </w:r>
          </w:p>
        </w:tc>
        <w:tc>
          <w:tcPr>
            <w:tcW w:w="1330" w:type="dxa"/>
            <w:tcBorders>
              <w:bottom w:val="nil"/>
              <w:right w:val="nil"/>
            </w:tcBorders>
            <w:shd w:val="clear" w:color="auto" w:fill="FFFF00"/>
          </w:tcPr>
          <w:p w14:paraId="31814714"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tcBorders>
            <w:shd w:val="clear" w:color="auto" w:fill="FFFF00"/>
          </w:tcPr>
          <w:p w14:paraId="47909651" w14:textId="77777777" w:rsidR="00BA0B8B" w:rsidRPr="00C97518" w:rsidRDefault="00BA0B8B" w:rsidP="00BA0B8B">
            <w:pPr>
              <w:keepNext/>
              <w:keepLines/>
              <w:spacing w:after="0" w:line="240" w:lineRule="auto"/>
              <w:rPr>
                <w:sz w:val="16"/>
                <w:szCs w:val="16"/>
                <w:lang w:bidi="he-IL"/>
              </w:rPr>
            </w:pPr>
          </w:p>
        </w:tc>
        <w:tc>
          <w:tcPr>
            <w:tcW w:w="1292" w:type="dxa"/>
            <w:gridSpan w:val="2"/>
            <w:tcBorders>
              <w:bottom w:val="nil"/>
              <w:right w:val="single" w:sz="4" w:space="0" w:color="auto"/>
            </w:tcBorders>
            <w:shd w:val="clear" w:color="auto" w:fill="00B050"/>
          </w:tcPr>
          <w:p w14:paraId="10E38948" w14:textId="77777777" w:rsidR="00BA0B8B" w:rsidRPr="00C97518" w:rsidRDefault="00BA0B8B" w:rsidP="00BA0B8B">
            <w:pPr>
              <w:keepNext/>
              <w:keepLines/>
              <w:spacing w:after="0" w:line="240" w:lineRule="auto"/>
              <w:rPr>
                <w:sz w:val="16"/>
                <w:szCs w:val="16"/>
                <w:lang w:bidi="he-IL"/>
              </w:rPr>
            </w:pPr>
          </w:p>
        </w:tc>
        <w:tc>
          <w:tcPr>
            <w:tcW w:w="1278" w:type="dxa"/>
            <w:tcBorders>
              <w:left w:val="single" w:sz="4" w:space="0" w:color="auto"/>
              <w:bottom w:val="nil"/>
              <w:right w:val="nil"/>
            </w:tcBorders>
            <w:shd w:val="clear" w:color="auto" w:fill="99FF66"/>
          </w:tcPr>
          <w:p w14:paraId="04163932" w14:textId="77777777" w:rsidR="00BA0B8B" w:rsidRPr="00C97518" w:rsidRDefault="00BA0B8B" w:rsidP="00BA0B8B">
            <w:pPr>
              <w:keepNext/>
              <w:keepLines/>
              <w:spacing w:after="0" w:line="240" w:lineRule="auto"/>
              <w:rPr>
                <w:sz w:val="16"/>
                <w:szCs w:val="16"/>
                <w:lang w:bidi="he-IL"/>
              </w:rPr>
            </w:pPr>
          </w:p>
        </w:tc>
        <w:tc>
          <w:tcPr>
            <w:tcW w:w="1248" w:type="dxa"/>
            <w:tcBorders>
              <w:left w:val="nil"/>
              <w:bottom w:val="nil"/>
            </w:tcBorders>
            <w:shd w:val="clear" w:color="auto" w:fill="99FF66"/>
          </w:tcPr>
          <w:p w14:paraId="639CE2D1" w14:textId="77777777" w:rsidR="00BA0B8B" w:rsidRPr="00C97518" w:rsidRDefault="00BA0B8B" w:rsidP="00BA0B8B">
            <w:pPr>
              <w:keepNext/>
              <w:keepLines/>
              <w:spacing w:after="0" w:line="240" w:lineRule="auto"/>
              <w:rPr>
                <w:sz w:val="16"/>
                <w:szCs w:val="16"/>
                <w:lang w:bidi="he-IL"/>
              </w:rPr>
            </w:pPr>
          </w:p>
        </w:tc>
      </w:tr>
      <w:tr w:rsidR="00BA0B8B" w:rsidRPr="00C97518" w14:paraId="26D469E1" w14:textId="77777777" w:rsidTr="0027403F">
        <w:tc>
          <w:tcPr>
            <w:tcW w:w="1235" w:type="dxa"/>
          </w:tcPr>
          <w:p w14:paraId="32A19F37"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2120–2125</w:t>
            </w:r>
          </w:p>
        </w:tc>
        <w:tc>
          <w:tcPr>
            <w:tcW w:w="1330" w:type="dxa"/>
            <w:tcBorders>
              <w:top w:val="nil"/>
              <w:bottom w:val="nil"/>
            </w:tcBorders>
            <w:shd w:val="clear" w:color="auto" w:fill="FFFF00"/>
          </w:tcPr>
          <w:p w14:paraId="7D65E275" w14:textId="77777777" w:rsidR="00BA0B8B" w:rsidRPr="00C97518" w:rsidRDefault="00BA0B8B" w:rsidP="00BA0B8B">
            <w:pPr>
              <w:keepNext/>
              <w:keepLines/>
              <w:spacing w:after="0" w:line="240" w:lineRule="auto"/>
              <w:rPr>
                <w:sz w:val="16"/>
                <w:szCs w:val="16"/>
                <w:lang w:bidi="he-IL"/>
              </w:rPr>
            </w:pPr>
          </w:p>
        </w:tc>
        <w:tc>
          <w:tcPr>
            <w:tcW w:w="1278" w:type="dxa"/>
            <w:tcBorders>
              <w:bottom w:val="single" w:sz="4" w:space="0" w:color="auto"/>
              <w:right w:val="nil"/>
            </w:tcBorders>
            <w:shd w:val="clear" w:color="auto" w:fill="00B050"/>
          </w:tcPr>
          <w:p w14:paraId="48ADAEC5" w14:textId="77777777" w:rsidR="00BA0B8B" w:rsidRPr="00C97518" w:rsidRDefault="00BA0B8B" w:rsidP="00BA0B8B">
            <w:pPr>
              <w:keepNext/>
              <w:keepLines/>
              <w:spacing w:after="0" w:line="240" w:lineRule="auto"/>
              <w:rPr>
                <w:sz w:val="16"/>
                <w:szCs w:val="16"/>
                <w:lang w:bidi="he-IL"/>
              </w:rPr>
            </w:pPr>
          </w:p>
        </w:tc>
        <w:tc>
          <w:tcPr>
            <w:tcW w:w="1292" w:type="dxa"/>
            <w:gridSpan w:val="2"/>
            <w:tcBorders>
              <w:top w:val="nil"/>
              <w:left w:val="nil"/>
              <w:bottom w:val="single" w:sz="4" w:space="0" w:color="auto"/>
              <w:right w:val="single" w:sz="4" w:space="0" w:color="auto"/>
            </w:tcBorders>
            <w:shd w:val="clear" w:color="auto" w:fill="00B050"/>
          </w:tcPr>
          <w:p w14:paraId="4A16969B" w14:textId="77777777" w:rsidR="00BA0B8B" w:rsidRPr="00C97518" w:rsidRDefault="00BA0B8B" w:rsidP="00BA0B8B">
            <w:pPr>
              <w:keepNext/>
              <w:keepLines/>
              <w:spacing w:after="0" w:line="240" w:lineRule="auto"/>
              <w:rPr>
                <w:sz w:val="16"/>
                <w:szCs w:val="16"/>
                <w:lang w:bidi="he-IL"/>
              </w:rPr>
            </w:pPr>
          </w:p>
        </w:tc>
        <w:tc>
          <w:tcPr>
            <w:tcW w:w="1278" w:type="dxa"/>
            <w:tcBorders>
              <w:top w:val="nil"/>
              <w:left w:val="single" w:sz="4" w:space="0" w:color="auto"/>
              <w:bottom w:val="nil"/>
              <w:right w:val="nil"/>
            </w:tcBorders>
            <w:shd w:val="clear" w:color="auto" w:fill="99FF66"/>
          </w:tcPr>
          <w:p w14:paraId="5F9C8662" w14:textId="77777777" w:rsidR="00BA0B8B" w:rsidRPr="00C97518" w:rsidRDefault="00BA0B8B" w:rsidP="00BA0B8B">
            <w:pPr>
              <w:keepNext/>
              <w:keepLines/>
              <w:spacing w:after="0" w:line="240" w:lineRule="auto"/>
              <w:rPr>
                <w:sz w:val="16"/>
                <w:szCs w:val="16"/>
                <w:lang w:bidi="he-IL"/>
              </w:rPr>
            </w:pPr>
          </w:p>
        </w:tc>
        <w:tc>
          <w:tcPr>
            <w:tcW w:w="1248" w:type="dxa"/>
            <w:tcBorders>
              <w:top w:val="nil"/>
              <w:left w:val="nil"/>
              <w:bottom w:val="nil"/>
            </w:tcBorders>
            <w:shd w:val="clear" w:color="auto" w:fill="99FF66"/>
          </w:tcPr>
          <w:p w14:paraId="12DC41C9" w14:textId="77777777" w:rsidR="00BA0B8B" w:rsidRPr="00C97518" w:rsidRDefault="00BA0B8B" w:rsidP="00BA0B8B">
            <w:pPr>
              <w:keepNext/>
              <w:keepLines/>
              <w:spacing w:after="0" w:line="240" w:lineRule="auto"/>
              <w:rPr>
                <w:sz w:val="16"/>
                <w:szCs w:val="16"/>
                <w:lang w:bidi="he-IL"/>
              </w:rPr>
            </w:pPr>
          </w:p>
        </w:tc>
      </w:tr>
      <w:tr w:rsidR="00BA0B8B" w:rsidRPr="00C97518" w14:paraId="30B0BA77" w14:textId="77777777" w:rsidTr="0027403F">
        <w:tc>
          <w:tcPr>
            <w:tcW w:w="1235" w:type="dxa"/>
          </w:tcPr>
          <w:p w14:paraId="3DEE9682"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2125–2150</w:t>
            </w:r>
          </w:p>
        </w:tc>
        <w:tc>
          <w:tcPr>
            <w:tcW w:w="1330" w:type="dxa"/>
            <w:tcBorders>
              <w:top w:val="nil"/>
              <w:bottom w:val="nil"/>
              <w:right w:val="nil"/>
            </w:tcBorders>
            <w:shd w:val="clear" w:color="auto" w:fill="FFFF00"/>
          </w:tcPr>
          <w:p w14:paraId="0510D4CB"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nil"/>
              <w:right w:val="nil"/>
            </w:tcBorders>
            <w:shd w:val="clear" w:color="auto" w:fill="FFFF00"/>
          </w:tcPr>
          <w:p w14:paraId="71C021DF"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bottom w:val="nil"/>
            </w:tcBorders>
            <w:shd w:val="clear" w:color="auto" w:fill="FFFF00"/>
          </w:tcPr>
          <w:p w14:paraId="72E055B4" w14:textId="77777777" w:rsidR="00BA0B8B" w:rsidRPr="00C97518" w:rsidRDefault="00BA0B8B" w:rsidP="00BA0B8B">
            <w:pPr>
              <w:keepNext/>
              <w:keepLines/>
              <w:spacing w:after="0" w:line="240" w:lineRule="auto"/>
              <w:rPr>
                <w:sz w:val="16"/>
                <w:szCs w:val="16"/>
                <w:lang w:bidi="he-IL"/>
              </w:rPr>
            </w:pPr>
          </w:p>
        </w:tc>
        <w:tc>
          <w:tcPr>
            <w:tcW w:w="1278" w:type="dxa"/>
            <w:tcBorders>
              <w:top w:val="nil"/>
              <w:bottom w:val="single" w:sz="4" w:space="0" w:color="auto"/>
              <w:right w:val="nil"/>
            </w:tcBorders>
            <w:shd w:val="clear" w:color="auto" w:fill="99FF66"/>
          </w:tcPr>
          <w:p w14:paraId="2344D799" w14:textId="77777777" w:rsidR="00BA0B8B" w:rsidRPr="00C97518" w:rsidRDefault="00BA0B8B" w:rsidP="00BA0B8B">
            <w:pPr>
              <w:keepNext/>
              <w:keepLines/>
              <w:spacing w:after="0" w:line="240" w:lineRule="auto"/>
              <w:rPr>
                <w:sz w:val="16"/>
                <w:szCs w:val="16"/>
                <w:lang w:bidi="he-IL"/>
              </w:rPr>
            </w:pPr>
          </w:p>
        </w:tc>
        <w:tc>
          <w:tcPr>
            <w:tcW w:w="1248" w:type="dxa"/>
            <w:tcBorders>
              <w:top w:val="nil"/>
              <w:left w:val="nil"/>
              <w:bottom w:val="nil"/>
            </w:tcBorders>
            <w:shd w:val="clear" w:color="auto" w:fill="99FF66"/>
          </w:tcPr>
          <w:p w14:paraId="230FD024" w14:textId="77777777" w:rsidR="00BA0B8B" w:rsidRPr="00C97518" w:rsidRDefault="00BA0B8B" w:rsidP="00BA0B8B">
            <w:pPr>
              <w:keepNext/>
              <w:keepLines/>
              <w:spacing w:after="0" w:line="240" w:lineRule="auto"/>
              <w:rPr>
                <w:sz w:val="16"/>
                <w:szCs w:val="16"/>
                <w:lang w:bidi="he-IL"/>
              </w:rPr>
            </w:pPr>
          </w:p>
        </w:tc>
      </w:tr>
      <w:tr w:rsidR="00BA0B8B" w:rsidRPr="00C97518" w14:paraId="66A6FDC4" w14:textId="77777777" w:rsidTr="0027403F">
        <w:tc>
          <w:tcPr>
            <w:tcW w:w="1235" w:type="dxa"/>
          </w:tcPr>
          <w:p w14:paraId="06EE225A"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2150–2170</w:t>
            </w:r>
          </w:p>
        </w:tc>
        <w:tc>
          <w:tcPr>
            <w:tcW w:w="1330" w:type="dxa"/>
            <w:tcBorders>
              <w:top w:val="nil"/>
              <w:bottom w:val="single" w:sz="4" w:space="0" w:color="auto"/>
              <w:right w:val="nil"/>
            </w:tcBorders>
            <w:shd w:val="clear" w:color="auto" w:fill="FFFF00"/>
          </w:tcPr>
          <w:p w14:paraId="78A8963B" w14:textId="77777777" w:rsidR="00BA0B8B" w:rsidRPr="00C97518" w:rsidRDefault="00BA0B8B" w:rsidP="00BA0B8B">
            <w:pPr>
              <w:keepNext/>
              <w:keepLines/>
              <w:spacing w:after="0" w:line="240" w:lineRule="auto"/>
              <w:rPr>
                <w:sz w:val="16"/>
                <w:szCs w:val="16"/>
                <w:lang w:bidi="he-IL"/>
              </w:rPr>
            </w:pPr>
          </w:p>
        </w:tc>
        <w:tc>
          <w:tcPr>
            <w:tcW w:w="1278" w:type="dxa"/>
            <w:tcBorders>
              <w:top w:val="nil"/>
              <w:left w:val="nil"/>
              <w:bottom w:val="single" w:sz="4" w:space="0" w:color="auto"/>
              <w:right w:val="nil"/>
            </w:tcBorders>
            <w:shd w:val="clear" w:color="auto" w:fill="FFFF00"/>
          </w:tcPr>
          <w:p w14:paraId="769856D5" w14:textId="77777777" w:rsidR="00BA0B8B" w:rsidRPr="00C97518" w:rsidRDefault="00BA0B8B" w:rsidP="00BA0B8B">
            <w:pPr>
              <w:keepNext/>
              <w:keepLines/>
              <w:spacing w:after="0" w:line="240" w:lineRule="auto"/>
              <w:rPr>
                <w:sz w:val="16"/>
                <w:szCs w:val="16"/>
                <w:lang w:bidi="he-IL"/>
              </w:rPr>
            </w:pPr>
          </w:p>
        </w:tc>
        <w:tc>
          <w:tcPr>
            <w:tcW w:w="1292" w:type="dxa"/>
            <w:gridSpan w:val="2"/>
            <w:tcBorders>
              <w:top w:val="nil"/>
              <w:left w:val="nil"/>
              <w:bottom w:val="single" w:sz="4" w:space="0" w:color="auto"/>
              <w:right w:val="nil"/>
            </w:tcBorders>
            <w:shd w:val="clear" w:color="auto" w:fill="FFFF00"/>
          </w:tcPr>
          <w:p w14:paraId="4D481DE4" w14:textId="77777777" w:rsidR="00BA0B8B" w:rsidRPr="00C97518" w:rsidRDefault="00BA0B8B" w:rsidP="00BA0B8B">
            <w:pPr>
              <w:keepNext/>
              <w:keepLines/>
              <w:spacing w:after="0" w:line="240" w:lineRule="auto"/>
              <w:rPr>
                <w:sz w:val="16"/>
                <w:szCs w:val="16"/>
                <w:lang w:bidi="he-IL"/>
              </w:rPr>
            </w:pPr>
          </w:p>
        </w:tc>
        <w:tc>
          <w:tcPr>
            <w:tcW w:w="1278" w:type="dxa"/>
            <w:tcBorders>
              <w:left w:val="nil"/>
              <w:bottom w:val="single" w:sz="4" w:space="0" w:color="auto"/>
            </w:tcBorders>
            <w:shd w:val="clear" w:color="auto" w:fill="FFFF00"/>
          </w:tcPr>
          <w:p w14:paraId="62AF9F0C" w14:textId="77777777" w:rsidR="00BA0B8B" w:rsidRPr="00C97518" w:rsidRDefault="00BA0B8B" w:rsidP="00BA0B8B">
            <w:pPr>
              <w:keepNext/>
              <w:keepLines/>
              <w:spacing w:after="0" w:line="240" w:lineRule="auto"/>
              <w:rPr>
                <w:sz w:val="16"/>
                <w:szCs w:val="16"/>
                <w:lang w:bidi="he-IL"/>
              </w:rPr>
            </w:pPr>
          </w:p>
        </w:tc>
        <w:tc>
          <w:tcPr>
            <w:tcW w:w="1248" w:type="dxa"/>
            <w:tcBorders>
              <w:top w:val="nil"/>
              <w:bottom w:val="single" w:sz="4" w:space="0" w:color="auto"/>
            </w:tcBorders>
            <w:shd w:val="clear" w:color="auto" w:fill="99FF66"/>
          </w:tcPr>
          <w:p w14:paraId="06758CCB" w14:textId="77777777" w:rsidR="00BA0B8B" w:rsidRPr="00C97518" w:rsidRDefault="00BA0B8B" w:rsidP="00BA0B8B">
            <w:pPr>
              <w:keepNext/>
              <w:keepLines/>
              <w:spacing w:after="0" w:line="240" w:lineRule="auto"/>
              <w:rPr>
                <w:sz w:val="16"/>
                <w:szCs w:val="16"/>
                <w:lang w:bidi="he-IL"/>
              </w:rPr>
            </w:pPr>
          </w:p>
        </w:tc>
      </w:tr>
      <w:tr w:rsidR="00BA0B8B" w:rsidRPr="00C97518" w14:paraId="7104C15B" w14:textId="77777777" w:rsidTr="0027403F">
        <w:tc>
          <w:tcPr>
            <w:tcW w:w="1235" w:type="dxa"/>
          </w:tcPr>
          <w:p w14:paraId="2F6246FC" w14:textId="77777777" w:rsidR="00BA0B8B" w:rsidRPr="00C97518" w:rsidRDefault="00BA0B8B" w:rsidP="00BA0B8B">
            <w:pPr>
              <w:keepNext/>
              <w:keepLines/>
              <w:spacing w:after="0" w:line="240" w:lineRule="auto"/>
              <w:rPr>
                <w:sz w:val="16"/>
                <w:szCs w:val="16"/>
                <w:lang w:bidi="he-IL"/>
              </w:rPr>
            </w:pPr>
            <w:r w:rsidRPr="00C97518">
              <w:rPr>
                <w:sz w:val="16"/>
                <w:szCs w:val="16"/>
                <w:lang w:bidi="he-IL"/>
              </w:rPr>
              <w:t>2170–2200</w:t>
            </w:r>
          </w:p>
        </w:tc>
        <w:tc>
          <w:tcPr>
            <w:tcW w:w="1330" w:type="dxa"/>
            <w:tcBorders>
              <w:right w:val="nil"/>
            </w:tcBorders>
            <w:shd w:val="clear" w:color="auto" w:fill="FF5050"/>
          </w:tcPr>
          <w:p w14:paraId="6849F1E8" w14:textId="77777777" w:rsidR="00BA0B8B" w:rsidRPr="00C97518" w:rsidRDefault="00BA0B8B" w:rsidP="00BA0B8B">
            <w:pPr>
              <w:keepNext/>
              <w:keepLines/>
              <w:spacing w:after="0" w:line="240" w:lineRule="auto"/>
              <w:rPr>
                <w:sz w:val="16"/>
                <w:szCs w:val="16"/>
                <w:lang w:bidi="he-IL"/>
              </w:rPr>
            </w:pPr>
          </w:p>
        </w:tc>
        <w:tc>
          <w:tcPr>
            <w:tcW w:w="1278" w:type="dxa"/>
            <w:tcBorders>
              <w:left w:val="nil"/>
              <w:right w:val="nil"/>
            </w:tcBorders>
            <w:shd w:val="clear" w:color="auto" w:fill="FF5050"/>
          </w:tcPr>
          <w:p w14:paraId="77D2529B" w14:textId="77777777" w:rsidR="00BA0B8B" w:rsidRPr="00C97518" w:rsidRDefault="00BA0B8B" w:rsidP="00BA0B8B">
            <w:pPr>
              <w:keepNext/>
              <w:keepLines/>
              <w:spacing w:after="0" w:line="240" w:lineRule="auto"/>
              <w:rPr>
                <w:sz w:val="16"/>
                <w:szCs w:val="16"/>
                <w:lang w:bidi="he-IL"/>
              </w:rPr>
            </w:pPr>
          </w:p>
        </w:tc>
        <w:tc>
          <w:tcPr>
            <w:tcW w:w="1292" w:type="dxa"/>
            <w:gridSpan w:val="2"/>
            <w:tcBorders>
              <w:left w:val="nil"/>
              <w:right w:val="nil"/>
            </w:tcBorders>
            <w:shd w:val="clear" w:color="auto" w:fill="FF5050"/>
          </w:tcPr>
          <w:p w14:paraId="5AB7F1C7" w14:textId="77777777" w:rsidR="00BA0B8B" w:rsidRPr="00C97518" w:rsidRDefault="00BA0B8B" w:rsidP="00BA0B8B">
            <w:pPr>
              <w:keepNext/>
              <w:keepLines/>
              <w:spacing w:after="0" w:line="240" w:lineRule="auto"/>
              <w:rPr>
                <w:sz w:val="16"/>
                <w:szCs w:val="16"/>
                <w:lang w:bidi="he-IL"/>
              </w:rPr>
            </w:pPr>
          </w:p>
        </w:tc>
        <w:tc>
          <w:tcPr>
            <w:tcW w:w="1278" w:type="dxa"/>
            <w:tcBorders>
              <w:left w:val="nil"/>
              <w:right w:val="nil"/>
            </w:tcBorders>
            <w:shd w:val="clear" w:color="auto" w:fill="FF5050"/>
          </w:tcPr>
          <w:p w14:paraId="5DC347AB" w14:textId="77777777" w:rsidR="00BA0B8B" w:rsidRPr="00C97518" w:rsidRDefault="00BA0B8B" w:rsidP="00BA0B8B">
            <w:pPr>
              <w:keepNext/>
              <w:keepLines/>
              <w:spacing w:after="0" w:line="240" w:lineRule="auto"/>
              <w:rPr>
                <w:sz w:val="16"/>
                <w:szCs w:val="16"/>
                <w:lang w:bidi="he-IL"/>
              </w:rPr>
            </w:pPr>
          </w:p>
        </w:tc>
        <w:tc>
          <w:tcPr>
            <w:tcW w:w="1248" w:type="dxa"/>
            <w:tcBorders>
              <w:left w:val="nil"/>
            </w:tcBorders>
            <w:shd w:val="clear" w:color="auto" w:fill="FF5050"/>
          </w:tcPr>
          <w:p w14:paraId="27A145F0" w14:textId="77777777" w:rsidR="00BA0B8B" w:rsidRPr="00C97518" w:rsidRDefault="00BA0B8B" w:rsidP="00BA0B8B">
            <w:pPr>
              <w:keepNext/>
              <w:keepLines/>
              <w:spacing w:after="0" w:line="240" w:lineRule="auto"/>
              <w:rPr>
                <w:sz w:val="16"/>
                <w:szCs w:val="16"/>
                <w:lang w:bidi="he-IL"/>
              </w:rPr>
            </w:pPr>
          </w:p>
        </w:tc>
      </w:tr>
    </w:tbl>
    <w:p w14:paraId="5E7AB099" w14:textId="77777777" w:rsidR="00BA0B8B" w:rsidRPr="00C97518" w:rsidRDefault="00BA0B8B" w:rsidP="0027403F">
      <w:pPr>
        <w:keepNext/>
        <w:keepLines/>
        <w:spacing w:before="240" w:after="120" w:line="240" w:lineRule="auto"/>
        <w:rPr>
          <w:b/>
          <w:szCs w:val="20"/>
          <w:lang w:eastAsia="en-US" w:bidi="he-IL"/>
        </w:rPr>
      </w:pPr>
      <w:r w:rsidRPr="00C97518">
        <w:rPr>
          <w:b/>
          <w:szCs w:val="20"/>
          <w:lang w:eastAsia="en-US" w:bidi="he-IL"/>
        </w:rPr>
        <w:t>Key:</w:t>
      </w:r>
    </w:p>
    <w:tbl>
      <w:tblPr>
        <w:tblStyle w:val="TableGrid3"/>
        <w:tblW w:w="0" w:type="auto"/>
        <w:tblInd w:w="-10" w:type="dxa"/>
        <w:tblCellMar>
          <w:top w:w="57" w:type="dxa"/>
          <w:bottom w:w="57" w:type="dxa"/>
        </w:tblCellMar>
        <w:tblLook w:val="04A0" w:firstRow="1" w:lastRow="0" w:firstColumn="1" w:lastColumn="0" w:noHBand="0" w:noVBand="1"/>
        <w:tblDescription w:val="key to figure."/>
      </w:tblPr>
      <w:tblGrid>
        <w:gridCol w:w="279"/>
        <w:gridCol w:w="283"/>
        <w:gridCol w:w="7098"/>
      </w:tblGrid>
      <w:tr w:rsidR="00C706DA" w:rsidRPr="00C97518" w14:paraId="22CA1E0E" w14:textId="77777777" w:rsidTr="0027403F">
        <w:trPr>
          <w:tblHeader/>
        </w:trPr>
        <w:tc>
          <w:tcPr>
            <w:tcW w:w="279" w:type="dxa"/>
            <w:tcBorders>
              <w:bottom w:val="single" w:sz="4" w:space="0" w:color="auto"/>
              <w:right w:val="single" w:sz="4" w:space="0" w:color="auto"/>
            </w:tcBorders>
            <w:shd w:val="clear" w:color="auto" w:fill="632423" w:themeFill="accent2" w:themeFillShade="80"/>
          </w:tcPr>
          <w:p w14:paraId="2E159104" w14:textId="77777777" w:rsidR="00C706DA" w:rsidRPr="00C97518" w:rsidRDefault="00C706DA" w:rsidP="00BA0B8B">
            <w:pPr>
              <w:keepNext/>
              <w:keepLines/>
              <w:spacing w:after="0" w:line="240" w:lineRule="auto"/>
              <w:rPr>
                <w:lang w:bidi="he-IL"/>
              </w:rPr>
            </w:pPr>
          </w:p>
        </w:tc>
        <w:tc>
          <w:tcPr>
            <w:tcW w:w="283" w:type="dxa"/>
            <w:tcBorders>
              <w:top w:val="nil"/>
              <w:left w:val="single" w:sz="4" w:space="0" w:color="auto"/>
              <w:bottom w:val="nil"/>
              <w:right w:val="nil"/>
            </w:tcBorders>
          </w:tcPr>
          <w:p w14:paraId="0C6919ED" w14:textId="77777777" w:rsidR="00C706DA" w:rsidRPr="00C97518" w:rsidRDefault="00C706DA" w:rsidP="00BA0B8B">
            <w:pPr>
              <w:keepNext/>
              <w:keepLines/>
              <w:spacing w:after="0" w:line="240" w:lineRule="auto"/>
              <w:rPr>
                <w:lang w:bidi="he-IL"/>
              </w:rPr>
            </w:pPr>
          </w:p>
        </w:tc>
        <w:tc>
          <w:tcPr>
            <w:tcW w:w="7098" w:type="dxa"/>
            <w:tcBorders>
              <w:top w:val="nil"/>
              <w:left w:val="nil"/>
              <w:bottom w:val="nil"/>
              <w:right w:val="nil"/>
            </w:tcBorders>
          </w:tcPr>
          <w:p w14:paraId="371459E9" w14:textId="4E99B655" w:rsidR="00C706DA" w:rsidRPr="00C97518" w:rsidRDefault="00C706DA" w:rsidP="00BA0B8B">
            <w:pPr>
              <w:keepNext/>
              <w:keepLines/>
              <w:spacing w:after="0" w:line="240" w:lineRule="auto"/>
              <w:rPr>
                <w:lang w:bidi="he-IL"/>
              </w:rPr>
            </w:pPr>
            <w:r w:rsidRPr="00C97518">
              <w:rPr>
                <w:lang w:bidi="he-IL"/>
              </w:rPr>
              <w:t xml:space="preserve">Spectrum </w:t>
            </w:r>
            <w:r w:rsidR="009B5964" w:rsidRPr="00C97518">
              <w:rPr>
                <w:lang w:bidi="he-IL"/>
              </w:rPr>
              <w:t>l</w:t>
            </w:r>
            <w:r w:rsidRPr="00C97518">
              <w:rPr>
                <w:lang w:bidi="he-IL"/>
              </w:rPr>
              <w:t>icence: 2 GHz unpaired segment</w:t>
            </w:r>
          </w:p>
        </w:tc>
      </w:tr>
      <w:tr w:rsidR="00BA0B8B" w:rsidRPr="00C97518" w14:paraId="350F06AF" w14:textId="77777777" w:rsidTr="0027403F">
        <w:tc>
          <w:tcPr>
            <w:tcW w:w="279" w:type="dxa"/>
            <w:tcBorders>
              <w:bottom w:val="single" w:sz="4" w:space="0" w:color="auto"/>
              <w:right w:val="single" w:sz="4" w:space="0" w:color="auto"/>
            </w:tcBorders>
            <w:shd w:val="clear" w:color="auto" w:fill="FF66FF"/>
          </w:tcPr>
          <w:p w14:paraId="23D5D731"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5DAD4512"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5B3FAE4F" w14:textId="2B73EE64" w:rsidR="00BA0B8B" w:rsidRPr="00C97518" w:rsidRDefault="00BA0B8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Point-to-point, </w:t>
            </w:r>
            <w:r w:rsidR="00E75F2B" w:rsidRPr="00C97518">
              <w:rPr>
                <w:lang w:bidi="he-IL"/>
              </w:rPr>
              <w:t>p</w:t>
            </w:r>
            <w:r w:rsidRPr="00C97518">
              <w:rPr>
                <w:lang w:bidi="he-IL"/>
              </w:rPr>
              <w:t>oint-to-multipoint (</w:t>
            </w:r>
            <w:r w:rsidR="00564E62" w:rsidRPr="00C97518">
              <w:rPr>
                <w:lang w:bidi="he-IL"/>
              </w:rPr>
              <w:t>Broadband wireless access (</w:t>
            </w:r>
            <w:r w:rsidRPr="00C97518">
              <w:rPr>
                <w:lang w:bidi="he-IL"/>
              </w:rPr>
              <w:t>BWA</w:t>
            </w:r>
            <w:r w:rsidR="00564E62" w:rsidRPr="00C97518">
              <w:rPr>
                <w:lang w:bidi="he-IL"/>
              </w:rPr>
              <w:t>)</w:t>
            </w:r>
            <w:r w:rsidRPr="00C97518">
              <w:rPr>
                <w:lang w:bidi="he-IL"/>
              </w:rPr>
              <w:t>)</w:t>
            </w:r>
          </w:p>
        </w:tc>
      </w:tr>
      <w:tr w:rsidR="00BA0B8B" w:rsidRPr="00C97518" w14:paraId="1208F4BD" w14:textId="77777777" w:rsidTr="0027403F">
        <w:tc>
          <w:tcPr>
            <w:tcW w:w="279" w:type="dxa"/>
            <w:tcBorders>
              <w:right w:val="single" w:sz="4" w:space="0" w:color="auto"/>
            </w:tcBorders>
            <w:shd w:val="clear" w:color="auto" w:fill="FFFF00"/>
          </w:tcPr>
          <w:p w14:paraId="1C803654"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7DB0E451"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0633F349" w14:textId="41C2B22A" w:rsidR="00BA0B8B" w:rsidRPr="00C97518" w:rsidRDefault="00BA0B8B" w:rsidP="00BA0B8B">
            <w:pPr>
              <w:keepNext/>
              <w:keepLines/>
              <w:spacing w:after="0" w:line="240" w:lineRule="auto"/>
              <w:rPr>
                <w:lang w:bidi="he-IL"/>
              </w:rPr>
            </w:pPr>
            <w:r w:rsidRPr="00C97518">
              <w:rPr>
                <w:lang w:bidi="he-IL"/>
              </w:rPr>
              <w:t xml:space="preserve">Spectrum </w:t>
            </w:r>
            <w:r w:rsidR="009B5964" w:rsidRPr="00C97518">
              <w:rPr>
                <w:lang w:bidi="he-IL"/>
              </w:rPr>
              <w:t>l</w:t>
            </w:r>
            <w:r w:rsidRPr="00C97518">
              <w:rPr>
                <w:lang w:bidi="he-IL"/>
              </w:rPr>
              <w:t>icenced: 2 GHz</w:t>
            </w:r>
            <w:r w:rsidR="00C706DA" w:rsidRPr="00C97518">
              <w:rPr>
                <w:lang w:bidi="he-IL"/>
              </w:rPr>
              <w:t xml:space="preserve"> paired segment</w:t>
            </w:r>
          </w:p>
        </w:tc>
      </w:tr>
      <w:tr w:rsidR="00E43CDB" w:rsidRPr="00C97518" w14:paraId="29DDE18B" w14:textId="77777777" w:rsidTr="0027403F">
        <w:tc>
          <w:tcPr>
            <w:tcW w:w="279" w:type="dxa"/>
            <w:tcBorders>
              <w:right w:val="single" w:sz="4" w:space="0" w:color="auto"/>
            </w:tcBorders>
            <w:shd w:val="clear" w:color="auto" w:fill="00B050"/>
          </w:tcPr>
          <w:p w14:paraId="09A5D949" w14:textId="77777777" w:rsidR="00E43CDB" w:rsidRPr="00C97518" w:rsidRDefault="00E43CDB" w:rsidP="00BA0B8B">
            <w:pPr>
              <w:keepNext/>
              <w:keepLines/>
              <w:spacing w:after="0" w:line="240" w:lineRule="auto"/>
              <w:rPr>
                <w:lang w:bidi="he-IL"/>
              </w:rPr>
            </w:pPr>
          </w:p>
        </w:tc>
        <w:tc>
          <w:tcPr>
            <w:tcW w:w="283" w:type="dxa"/>
            <w:tcBorders>
              <w:top w:val="nil"/>
              <w:left w:val="single" w:sz="4" w:space="0" w:color="auto"/>
              <w:bottom w:val="nil"/>
              <w:right w:val="nil"/>
            </w:tcBorders>
          </w:tcPr>
          <w:p w14:paraId="3A8D795F" w14:textId="77777777" w:rsidR="00E43CDB" w:rsidRPr="00C97518" w:rsidRDefault="00E43CDB" w:rsidP="00BA0B8B">
            <w:pPr>
              <w:keepNext/>
              <w:keepLines/>
              <w:spacing w:after="0" w:line="240" w:lineRule="auto"/>
              <w:rPr>
                <w:lang w:bidi="he-IL"/>
              </w:rPr>
            </w:pPr>
          </w:p>
        </w:tc>
        <w:tc>
          <w:tcPr>
            <w:tcW w:w="7098" w:type="dxa"/>
            <w:tcBorders>
              <w:top w:val="nil"/>
              <w:left w:val="nil"/>
              <w:bottom w:val="nil"/>
              <w:right w:val="nil"/>
            </w:tcBorders>
          </w:tcPr>
          <w:p w14:paraId="6075FFA9" w14:textId="7D3CB148" w:rsidR="00E43CDB" w:rsidRPr="00C97518" w:rsidRDefault="00E43CD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icenced: Embargoed</w:t>
            </w:r>
          </w:p>
        </w:tc>
      </w:tr>
      <w:tr w:rsidR="00BA0B8B" w:rsidRPr="00C97518" w14:paraId="1538FFB9" w14:textId="77777777" w:rsidTr="0027403F">
        <w:tc>
          <w:tcPr>
            <w:tcW w:w="279" w:type="dxa"/>
            <w:tcBorders>
              <w:right w:val="single" w:sz="4" w:space="0" w:color="auto"/>
            </w:tcBorders>
            <w:shd w:val="clear" w:color="auto" w:fill="99FF66"/>
          </w:tcPr>
          <w:p w14:paraId="7CA1B97E"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635617E0"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78DEC503" w14:textId="3C8BB002" w:rsidR="00BA0B8B" w:rsidRPr="00C97518" w:rsidRDefault="00BA0B8B" w:rsidP="007E48EF">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w:t>
            </w:r>
            <w:r w:rsidR="00564E62" w:rsidRPr="00C97518">
              <w:rPr>
                <w:lang w:bidi="he-IL"/>
              </w:rPr>
              <w:t xml:space="preserve">public mobile telecommunications service </w:t>
            </w:r>
            <w:r w:rsidR="007E48EF" w:rsidRPr="00C97518">
              <w:rPr>
                <w:lang w:bidi="he-IL"/>
              </w:rPr>
              <w:t>(</w:t>
            </w:r>
            <w:r w:rsidRPr="00C97518">
              <w:rPr>
                <w:lang w:bidi="he-IL"/>
              </w:rPr>
              <w:t>PMTS</w:t>
            </w:r>
            <w:r w:rsidR="007E48EF" w:rsidRPr="00C97518">
              <w:rPr>
                <w:lang w:bidi="he-IL"/>
              </w:rPr>
              <w:t>)</w:t>
            </w:r>
            <w:r w:rsidRPr="00C97518">
              <w:rPr>
                <w:lang w:bidi="he-IL"/>
              </w:rPr>
              <w:t xml:space="preserve"> Class B, </w:t>
            </w:r>
            <w:r w:rsidR="00E75F2B" w:rsidRPr="00C97518">
              <w:rPr>
                <w:lang w:bidi="he-IL"/>
              </w:rPr>
              <w:t>p</w:t>
            </w:r>
            <w:r w:rsidRPr="00C97518">
              <w:rPr>
                <w:lang w:bidi="he-IL"/>
              </w:rPr>
              <w:t xml:space="preserve">oint-to-point </w:t>
            </w:r>
          </w:p>
        </w:tc>
      </w:tr>
      <w:tr w:rsidR="00BA0B8B" w:rsidRPr="00C97518" w14:paraId="0DC04BE7" w14:textId="77777777" w:rsidTr="0027403F">
        <w:tc>
          <w:tcPr>
            <w:tcW w:w="279" w:type="dxa"/>
            <w:tcBorders>
              <w:right w:val="single" w:sz="4" w:space="0" w:color="auto"/>
            </w:tcBorders>
            <w:shd w:val="clear" w:color="auto" w:fill="FF5050"/>
          </w:tcPr>
          <w:p w14:paraId="46B72AF5"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7BF7CF2B"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6CD3A07A" w14:textId="297201B1" w:rsidR="00BA0B8B" w:rsidRPr="00C97518" w:rsidRDefault="00BA0B8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w:t>
            </w:r>
            <w:r w:rsidR="007E48EF" w:rsidRPr="00C97518">
              <w:rPr>
                <w:lang w:bidi="he-IL"/>
              </w:rPr>
              <w:t>Television outside broadcast (</w:t>
            </w:r>
            <w:r w:rsidRPr="00C97518">
              <w:rPr>
                <w:lang w:bidi="he-IL"/>
              </w:rPr>
              <w:t>TVOB</w:t>
            </w:r>
            <w:r w:rsidR="007E48EF" w:rsidRPr="00C97518">
              <w:rPr>
                <w:lang w:bidi="he-IL"/>
              </w:rPr>
              <w:t>)</w:t>
            </w:r>
            <w:r w:rsidRPr="00C97518">
              <w:rPr>
                <w:lang w:bidi="he-IL"/>
              </w:rPr>
              <w:t xml:space="preserve"> (with some localized restrictions)</w:t>
            </w:r>
          </w:p>
        </w:tc>
      </w:tr>
      <w:tr w:rsidR="00BA0B8B" w:rsidRPr="00C97518" w14:paraId="47827F58" w14:textId="77777777" w:rsidTr="0027403F">
        <w:tc>
          <w:tcPr>
            <w:tcW w:w="279" w:type="dxa"/>
            <w:tcBorders>
              <w:right w:val="single" w:sz="4" w:space="0" w:color="auto"/>
            </w:tcBorders>
            <w:shd w:val="clear" w:color="auto" w:fill="00B0F0"/>
          </w:tcPr>
          <w:p w14:paraId="252C9FD5" w14:textId="77777777" w:rsidR="00BA0B8B" w:rsidRPr="00C97518" w:rsidRDefault="00BA0B8B" w:rsidP="00BA0B8B">
            <w:pPr>
              <w:keepNext/>
              <w:keepLines/>
              <w:spacing w:after="0" w:line="240" w:lineRule="auto"/>
              <w:rPr>
                <w:lang w:bidi="he-IL"/>
              </w:rPr>
            </w:pPr>
          </w:p>
        </w:tc>
        <w:tc>
          <w:tcPr>
            <w:tcW w:w="283" w:type="dxa"/>
            <w:tcBorders>
              <w:top w:val="nil"/>
              <w:left w:val="single" w:sz="4" w:space="0" w:color="auto"/>
              <w:bottom w:val="nil"/>
              <w:right w:val="nil"/>
            </w:tcBorders>
          </w:tcPr>
          <w:p w14:paraId="3BFC69B9" w14:textId="77777777" w:rsidR="00BA0B8B" w:rsidRPr="00C97518" w:rsidRDefault="00BA0B8B" w:rsidP="00BA0B8B">
            <w:pPr>
              <w:keepNext/>
              <w:keepLines/>
              <w:spacing w:after="0" w:line="240" w:lineRule="auto"/>
              <w:rPr>
                <w:lang w:bidi="he-IL"/>
              </w:rPr>
            </w:pPr>
          </w:p>
        </w:tc>
        <w:tc>
          <w:tcPr>
            <w:tcW w:w="7098" w:type="dxa"/>
            <w:tcBorders>
              <w:top w:val="nil"/>
              <w:left w:val="nil"/>
              <w:bottom w:val="nil"/>
              <w:right w:val="nil"/>
            </w:tcBorders>
          </w:tcPr>
          <w:p w14:paraId="5D70B2A6" w14:textId="252AFE44" w:rsidR="00BA0B8B" w:rsidRPr="00C97518" w:rsidRDefault="00BA0B8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TVOB (with some localized restrictions), </w:t>
            </w:r>
            <w:r w:rsidR="00E75F2B" w:rsidRPr="00C97518">
              <w:rPr>
                <w:lang w:bidi="he-IL"/>
              </w:rPr>
              <w:t>p</w:t>
            </w:r>
            <w:r w:rsidRPr="00C97518">
              <w:rPr>
                <w:lang w:bidi="he-IL"/>
              </w:rPr>
              <w:t>oint-to-point</w:t>
            </w:r>
          </w:p>
        </w:tc>
      </w:tr>
      <w:tr w:rsidR="00BA0B8B" w:rsidRPr="00C97518" w14:paraId="6D4456D9" w14:textId="77777777" w:rsidTr="0027403F">
        <w:trPr>
          <w:trHeight w:val="270"/>
        </w:trPr>
        <w:tc>
          <w:tcPr>
            <w:tcW w:w="279" w:type="dxa"/>
            <w:tcBorders>
              <w:bottom w:val="single" w:sz="4" w:space="0" w:color="auto"/>
              <w:right w:val="single" w:sz="4" w:space="0" w:color="auto"/>
            </w:tcBorders>
            <w:shd w:val="clear" w:color="auto" w:fill="BFBFBF" w:themeFill="background1" w:themeFillShade="BF"/>
          </w:tcPr>
          <w:p w14:paraId="745C222A" w14:textId="77777777" w:rsidR="00BA0B8B" w:rsidRPr="00C97518" w:rsidRDefault="00BA0B8B" w:rsidP="00BA0B8B">
            <w:pPr>
              <w:keepNext/>
              <w:keepLines/>
              <w:spacing w:after="0" w:line="240" w:lineRule="auto"/>
              <w:rPr>
                <w:lang w:bidi="he-IL"/>
              </w:rPr>
            </w:pPr>
          </w:p>
        </w:tc>
        <w:tc>
          <w:tcPr>
            <w:tcW w:w="283" w:type="dxa"/>
            <w:vMerge w:val="restart"/>
            <w:tcBorders>
              <w:top w:val="nil"/>
              <w:left w:val="single" w:sz="4" w:space="0" w:color="auto"/>
              <w:right w:val="nil"/>
            </w:tcBorders>
          </w:tcPr>
          <w:p w14:paraId="0D97A53D" w14:textId="77777777" w:rsidR="00BA0B8B" w:rsidRPr="00C97518" w:rsidRDefault="00BA0B8B" w:rsidP="00BA0B8B">
            <w:pPr>
              <w:keepNext/>
              <w:keepLines/>
              <w:spacing w:after="0" w:line="240" w:lineRule="auto"/>
              <w:rPr>
                <w:lang w:bidi="he-IL"/>
              </w:rPr>
            </w:pPr>
          </w:p>
        </w:tc>
        <w:tc>
          <w:tcPr>
            <w:tcW w:w="7098" w:type="dxa"/>
            <w:vMerge w:val="restart"/>
            <w:tcBorders>
              <w:top w:val="nil"/>
              <w:left w:val="nil"/>
              <w:right w:val="nil"/>
            </w:tcBorders>
          </w:tcPr>
          <w:p w14:paraId="0DAAD1EE" w14:textId="56D23CC2" w:rsidR="00BA0B8B" w:rsidRPr="00C97518" w:rsidRDefault="00BA0B8B" w:rsidP="00BA0B8B">
            <w:pPr>
              <w:keepNext/>
              <w:keepLines/>
              <w:spacing w:after="0" w:line="240" w:lineRule="auto"/>
              <w:rPr>
                <w:lang w:bidi="he-IL"/>
              </w:rPr>
            </w:pPr>
            <w:r w:rsidRPr="00C97518">
              <w:rPr>
                <w:lang w:bidi="he-IL"/>
              </w:rPr>
              <w:t xml:space="preserve">Apparatus </w:t>
            </w:r>
            <w:r w:rsidR="009B5964" w:rsidRPr="00C97518">
              <w:rPr>
                <w:lang w:bidi="he-IL"/>
              </w:rPr>
              <w:t>l</w:t>
            </w:r>
            <w:r w:rsidRPr="00C97518">
              <w:rPr>
                <w:lang w:bidi="he-IL"/>
              </w:rPr>
              <w:t xml:space="preserve">icenced: Space </w:t>
            </w:r>
            <w:r w:rsidR="009B5964" w:rsidRPr="00C97518">
              <w:rPr>
                <w:lang w:bidi="he-IL"/>
              </w:rPr>
              <w:t>o</w:t>
            </w:r>
            <w:r w:rsidRPr="00C97518">
              <w:rPr>
                <w:lang w:bidi="he-IL"/>
              </w:rPr>
              <w:t xml:space="preserve">perations, Earth </w:t>
            </w:r>
            <w:r w:rsidR="009B5964" w:rsidRPr="00C97518">
              <w:rPr>
                <w:lang w:bidi="he-IL"/>
              </w:rPr>
              <w:t>e</w:t>
            </w:r>
            <w:r w:rsidRPr="00C97518">
              <w:rPr>
                <w:lang w:bidi="he-IL"/>
              </w:rPr>
              <w:t xml:space="preserve">xploration </w:t>
            </w:r>
            <w:r w:rsidR="009B5964" w:rsidRPr="00C97518">
              <w:rPr>
                <w:lang w:bidi="he-IL"/>
              </w:rPr>
              <w:t>s</w:t>
            </w:r>
            <w:r w:rsidRPr="00C97518">
              <w:rPr>
                <w:lang w:bidi="he-IL"/>
              </w:rPr>
              <w:t xml:space="preserve">atellite, </w:t>
            </w:r>
            <w:r w:rsidR="00E75F2B" w:rsidRPr="00C97518">
              <w:rPr>
                <w:lang w:bidi="he-IL"/>
              </w:rPr>
              <w:t>s</w:t>
            </w:r>
            <w:r w:rsidRPr="00C97518">
              <w:rPr>
                <w:lang w:bidi="he-IL"/>
              </w:rPr>
              <w:t xml:space="preserve">pace research, </w:t>
            </w:r>
            <w:r w:rsidR="00E75F2B" w:rsidRPr="00C97518">
              <w:rPr>
                <w:lang w:bidi="he-IL"/>
              </w:rPr>
              <w:t>p</w:t>
            </w:r>
            <w:r w:rsidRPr="00C97518">
              <w:rPr>
                <w:lang w:bidi="he-IL"/>
              </w:rPr>
              <w:t>oint-to-point, TVOB</w:t>
            </w:r>
          </w:p>
        </w:tc>
      </w:tr>
      <w:tr w:rsidR="00BA0B8B" w:rsidRPr="00C97518" w14:paraId="316B1A11" w14:textId="77777777" w:rsidTr="0027403F">
        <w:trPr>
          <w:trHeight w:val="270"/>
        </w:trPr>
        <w:tc>
          <w:tcPr>
            <w:tcW w:w="279" w:type="dxa"/>
            <w:tcBorders>
              <w:top w:val="single" w:sz="4" w:space="0" w:color="auto"/>
              <w:left w:val="nil"/>
              <w:bottom w:val="nil"/>
              <w:right w:val="nil"/>
            </w:tcBorders>
            <w:shd w:val="clear" w:color="auto" w:fill="auto"/>
          </w:tcPr>
          <w:p w14:paraId="71C4B64B" w14:textId="77777777" w:rsidR="00BA0B8B" w:rsidRPr="00C97518" w:rsidRDefault="00BA0B8B" w:rsidP="00BA0B8B">
            <w:pPr>
              <w:spacing w:after="0" w:line="240" w:lineRule="auto"/>
              <w:rPr>
                <w:lang w:bidi="he-IL"/>
              </w:rPr>
            </w:pPr>
          </w:p>
        </w:tc>
        <w:tc>
          <w:tcPr>
            <w:tcW w:w="283" w:type="dxa"/>
            <w:vMerge/>
            <w:tcBorders>
              <w:left w:val="nil"/>
              <w:bottom w:val="nil"/>
              <w:right w:val="nil"/>
            </w:tcBorders>
          </w:tcPr>
          <w:p w14:paraId="22925801" w14:textId="77777777" w:rsidR="00BA0B8B" w:rsidRPr="00C97518" w:rsidRDefault="00BA0B8B" w:rsidP="00BA0B8B">
            <w:pPr>
              <w:spacing w:after="0" w:line="240" w:lineRule="auto"/>
              <w:rPr>
                <w:lang w:bidi="he-IL"/>
              </w:rPr>
            </w:pPr>
          </w:p>
        </w:tc>
        <w:tc>
          <w:tcPr>
            <w:tcW w:w="7098" w:type="dxa"/>
            <w:vMerge/>
            <w:tcBorders>
              <w:left w:val="nil"/>
              <w:bottom w:val="nil"/>
              <w:right w:val="nil"/>
            </w:tcBorders>
          </w:tcPr>
          <w:p w14:paraId="6346E279" w14:textId="77777777" w:rsidR="00BA0B8B" w:rsidRPr="00C97518" w:rsidRDefault="00BA0B8B" w:rsidP="00BA0B8B">
            <w:pPr>
              <w:spacing w:after="0" w:line="240" w:lineRule="auto"/>
              <w:rPr>
                <w:lang w:bidi="he-IL"/>
              </w:rPr>
            </w:pPr>
          </w:p>
        </w:tc>
      </w:tr>
    </w:tbl>
    <w:p w14:paraId="07219C3A" w14:textId="77777777" w:rsidR="00BA0B8B" w:rsidRPr="00C97518" w:rsidRDefault="00BA0B8B" w:rsidP="00BA0B8B"/>
    <w:p w14:paraId="2763DBC6" w14:textId="65BC20B3" w:rsidR="006A5688" w:rsidRPr="00C97518" w:rsidRDefault="006A5688" w:rsidP="006A5688">
      <w:pPr>
        <w:pStyle w:val="Heading1"/>
      </w:pPr>
      <w:bookmarkStart w:id="5" w:name="_Toc461025764"/>
      <w:r w:rsidRPr="00C97518">
        <w:lastRenderedPageBreak/>
        <w:t>Attachment B—Proposed changes to the conditions of the 2 GHz spectrum licences</w:t>
      </w:r>
      <w:bookmarkEnd w:id="5"/>
    </w:p>
    <w:p w14:paraId="39E346CA" w14:textId="7C89133C" w:rsidR="00C629A8" w:rsidRPr="00C97518" w:rsidRDefault="009B7888" w:rsidP="009B7888">
      <w:pPr>
        <w:pStyle w:val="Heading2"/>
        <w:ind w:left="567" w:hanging="567"/>
      </w:pPr>
      <w:bookmarkStart w:id="6" w:name="_Toc437508115"/>
      <w:bookmarkStart w:id="7" w:name="_Toc437508420"/>
      <w:bookmarkStart w:id="8" w:name="_Toc437530154"/>
      <w:bookmarkStart w:id="9" w:name="_Toc461025765"/>
      <w:r w:rsidRPr="00C97518">
        <w:t>B1</w:t>
      </w:r>
      <w:r w:rsidRPr="00C97518">
        <w:tab/>
      </w:r>
      <w:r w:rsidR="006A6B0A" w:rsidRPr="00C97518">
        <w:rPr>
          <w:rFonts w:eastAsiaTheme="minorEastAsia"/>
          <w:szCs w:val="22"/>
          <w:lang w:eastAsia="en-US"/>
        </w:rPr>
        <w:t>Unwanted</w:t>
      </w:r>
      <w:r w:rsidRPr="00C97518">
        <w:rPr>
          <w:rFonts w:eastAsiaTheme="minorEastAsia"/>
          <w:szCs w:val="22"/>
          <w:lang w:eastAsia="en-US"/>
        </w:rPr>
        <w:t xml:space="preserve"> emission limits</w:t>
      </w:r>
      <w:bookmarkEnd w:id="6"/>
      <w:bookmarkEnd w:id="7"/>
      <w:bookmarkEnd w:id="8"/>
      <w:bookmarkEnd w:id="9"/>
    </w:p>
    <w:p w14:paraId="31B3E740" w14:textId="3DF243DF" w:rsidR="006A6B0A" w:rsidRPr="00C97518" w:rsidRDefault="006A6B0A" w:rsidP="00C06149">
      <w:pPr>
        <w:spacing w:after="120"/>
      </w:pPr>
      <w:r w:rsidRPr="00C97518">
        <w:t xml:space="preserve">It is proposed to define an ‘unwanted emission limit’ </w:t>
      </w:r>
      <w:r w:rsidR="00FB74D3" w:rsidRPr="00C97518">
        <w:t xml:space="preserve">(as a radiated emission limit) </w:t>
      </w:r>
      <w:r w:rsidRPr="00C97518">
        <w:t>rather than separate spurious and non-spurious radiated emission limits. This removes any confusion regarding overlap between the spurious and out-of-band domains. It also better accounts for the different frequency offsets that the spurious domain starts for devices such as UMTS and LTE user terminals</w:t>
      </w:r>
      <w:r w:rsidR="00FA661D">
        <w:t xml:space="preserve"> (UEs)</w:t>
      </w:r>
      <w:r w:rsidRPr="00C97518">
        <w:t xml:space="preserve">. For example the spurious domain starts at an offset of 25 MHz and </w:t>
      </w:r>
      <w:r w:rsidR="00FB74D3" w:rsidRPr="00C97518">
        <w:t>10</w:t>
      </w:r>
      <w:r w:rsidRPr="00C97518">
        <w:t xml:space="preserve"> MHz for </w:t>
      </w:r>
      <w:r w:rsidR="00FA661D">
        <w:t>U</w:t>
      </w:r>
      <w:r w:rsidRPr="00C97518">
        <w:t xml:space="preserve">E devices operating with a 20 MHz and </w:t>
      </w:r>
      <w:r w:rsidR="00FB74D3" w:rsidRPr="00C97518">
        <w:t>5</w:t>
      </w:r>
      <w:r w:rsidRPr="00C97518">
        <w:t xml:space="preserve"> MHz channel size respectively.</w:t>
      </w:r>
    </w:p>
    <w:p w14:paraId="7799110E" w14:textId="77777777" w:rsidR="00DB5E4D" w:rsidRDefault="00DB5E4D" w:rsidP="00DB5E4D">
      <w:pPr>
        <w:rPr>
          <w:b/>
          <w:sz w:val="24"/>
        </w:rPr>
      </w:pPr>
    </w:p>
    <w:p w14:paraId="19BEC611" w14:textId="46C126C2" w:rsidR="00DB5E4D" w:rsidRPr="00C06149" w:rsidRDefault="00DB5E4D" w:rsidP="00DB5E4D">
      <w:pPr>
        <w:rPr>
          <w:b/>
          <w:sz w:val="24"/>
        </w:rPr>
      </w:pPr>
      <w:r w:rsidRPr="00C06149">
        <w:rPr>
          <w:b/>
          <w:sz w:val="24"/>
        </w:rPr>
        <w:t>Transmitters operating in the 2110-2170 MHz band</w:t>
      </w:r>
    </w:p>
    <w:p w14:paraId="5DBB3EDE" w14:textId="4816476C" w:rsidR="006A6B0A" w:rsidRPr="00C97518" w:rsidRDefault="00FB74D3" w:rsidP="0027403F">
      <w:pPr>
        <w:rPr>
          <w:u w:val="single"/>
        </w:rPr>
      </w:pPr>
      <w:r w:rsidRPr="00C97518">
        <w:rPr>
          <w:u w:val="single"/>
        </w:rPr>
        <w:t>Unwanted Emission Limits within the 2110-2170 MHz band</w:t>
      </w:r>
    </w:p>
    <w:p w14:paraId="076DAED9" w14:textId="1482B592" w:rsidR="00C00817" w:rsidRPr="00C97518" w:rsidRDefault="002F6442" w:rsidP="0027403F">
      <w:pPr>
        <w:rPr>
          <w:rFonts w:eastAsiaTheme="minorEastAsia"/>
          <w:szCs w:val="22"/>
          <w:lang w:eastAsia="en-US"/>
        </w:rPr>
      </w:pPr>
      <w:r w:rsidRPr="00C97518">
        <w:rPr>
          <w:rFonts w:eastAsiaTheme="minorEastAsia"/>
          <w:szCs w:val="22"/>
          <w:lang w:eastAsia="en-US"/>
        </w:rPr>
        <w:t>For devices operating in the 2110-2170 MHz band,</w:t>
      </w:r>
      <w:r w:rsidRPr="00C97518">
        <w:t xml:space="preserve"> </w:t>
      </w:r>
      <w:r>
        <w:t>i</w:t>
      </w:r>
      <w:r w:rsidR="009B7888" w:rsidRPr="00C97518">
        <w:t xml:space="preserve">t is proposed </w:t>
      </w:r>
      <w:r w:rsidR="00665401" w:rsidRPr="00C97518">
        <w:t>that</w:t>
      </w:r>
      <w:r w:rsidR="009B7888" w:rsidRPr="00C97518">
        <w:t xml:space="preserve"> the r</w:t>
      </w:r>
      <w:r w:rsidR="009B7888" w:rsidRPr="00C97518">
        <w:rPr>
          <w:rFonts w:eastAsiaTheme="minorEastAsia"/>
          <w:szCs w:val="22"/>
          <w:lang w:eastAsia="en-US"/>
        </w:rPr>
        <w:t xml:space="preserve">adiated </w:t>
      </w:r>
      <w:r w:rsidR="00FB74D3" w:rsidRPr="00C97518">
        <w:rPr>
          <w:rFonts w:eastAsiaTheme="minorEastAsia"/>
          <w:szCs w:val="22"/>
          <w:lang w:eastAsia="en-US"/>
        </w:rPr>
        <w:t>unwanted</w:t>
      </w:r>
      <w:r w:rsidR="009B7888" w:rsidRPr="00C97518">
        <w:rPr>
          <w:rFonts w:eastAsiaTheme="minorEastAsia"/>
          <w:szCs w:val="22"/>
          <w:lang w:eastAsia="en-US"/>
        </w:rPr>
        <w:t xml:space="preserve"> emission </w:t>
      </w:r>
      <w:r w:rsidR="008406D5">
        <w:rPr>
          <w:rFonts w:eastAsiaTheme="minorEastAsia"/>
          <w:szCs w:val="22"/>
          <w:lang w:eastAsia="en-US"/>
        </w:rPr>
        <w:t xml:space="preserve">within the 2110-2170 MHz band </w:t>
      </w:r>
      <w:r w:rsidR="00C00817" w:rsidRPr="00C97518">
        <w:rPr>
          <w:rFonts w:eastAsiaTheme="minorEastAsia"/>
          <w:szCs w:val="22"/>
          <w:lang w:eastAsia="en-US"/>
        </w:rPr>
        <w:t xml:space="preserve">be </w:t>
      </w:r>
      <w:r w:rsidR="009B7888" w:rsidRPr="00C97518">
        <w:rPr>
          <w:rFonts w:eastAsiaTheme="minorEastAsia"/>
          <w:szCs w:val="22"/>
          <w:lang w:eastAsia="en-US"/>
        </w:rPr>
        <w:t>based on</w:t>
      </w:r>
      <w:r w:rsidR="00C00817" w:rsidRPr="00C97518">
        <w:rPr>
          <w:rFonts w:eastAsiaTheme="minorEastAsia"/>
          <w:szCs w:val="22"/>
          <w:lang w:eastAsia="en-US"/>
        </w:rPr>
        <w:t>:</w:t>
      </w:r>
      <w:r w:rsidR="009B7888" w:rsidRPr="00C97518">
        <w:rPr>
          <w:rFonts w:eastAsiaTheme="minorEastAsia"/>
          <w:szCs w:val="22"/>
          <w:lang w:eastAsia="en-US"/>
        </w:rPr>
        <w:t xml:space="preserve"> </w:t>
      </w:r>
    </w:p>
    <w:p w14:paraId="78570ECF" w14:textId="28768FA1" w:rsidR="00C00817" w:rsidRPr="00C97518" w:rsidRDefault="00551EA4" w:rsidP="00C00817">
      <w:pPr>
        <w:pStyle w:val="ListParagraph"/>
        <w:numPr>
          <w:ilvl w:val="0"/>
          <w:numId w:val="17"/>
        </w:numPr>
        <w:rPr>
          <w:rFonts w:ascii="Arial" w:eastAsia="Times New Roman" w:hAnsi="Arial" w:cs="Times New Roman"/>
          <w:sz w:val="20"/>
          <w:lang w:eastAsia="en-AU"/>
        </w:rPr>
      </w:pPr>
      <w:r>
        <w:rPr>
          <w:rFonts w:ascii="Arial" w:eastAsia="Times New Roman" w:hAnsi="Arial" w:cs="Times New Roman"/>
          <w:sz w:val="20"/>
          <w:lang w:eastAsia="en-AU"/>
        </w:rPr>
        <w:t>T</w:t>
      </w:r>
      <w:r w:rsidR="00CE2EBC" w:rsidRPr="00C97518">
        <w:rPr>
          <w:rFonts w:ascii="Arial" w:eastAsia="Times New Roman" w:hAnsi="Arial" w:cs="Times New Roman"/>
          <w:sz w:val="20"/>
          <w:lang w:eastAsia="en-AU"/>
        </w:rPr>
        <w:t xml:space="preserve">he levels stated in </w:t>
      </w:r>
      <w:r w:rsidR="009B7888" w:rsidRPr="00C97518">
        <w:rPr>
          <w:rFonts w:ascii="Arial" w:eastAsia="Times New Roman" w:hAnsi="Arial" w:cs="Times New Roman"/>
          <w:sz w:val="20"/>
          <w:lang w:eastAsia="en-AU"/>
        </w:rPr>
        <w:t xml:space="preserve">3GPP 36.104 </w:t>
      </w:r>
      <w:r w:rsidR="00CE2EBC" w:rsidRPr="00C97518">
        <w:rPr>
          <w:rFonts w:ascii="Arial" w:eastAsia="Times New Roman" w:hAnsi="Arial" w:cs="Times New Roman"/>
          <w:sz w:val="20"/>
          <w:lang w:eastAsia="en-AU"/>
        </w:rPr>
        <w:t xml:space="preserve">for </w:t>
      </w:r>
      <w:r w:rsidR="00C00817" w:rsidRPr="00C97518">
        <w:rPr>
          <w:rFonts w:ascii="Arial" w:eastAsia="Times New Roman" w:hAnsi="Arial" w:cs="Times New Roman"/>
          <w:sz w:val="20"/>
          <w:lang w:eastAsia="en-AU"/>
        </w:rPr>
        <w:t xml:space="preserve">Category B (option 1) </w:t>
      </w:r>
      <w:r w:rsidR="00CE2EBC" w:rsidRPr="00C97518">
        <w:rPr>
          <w:rFonts w:ascii="Arial" w:eastAsia="Times New Roman" w:hAnsi="Arial" w:cs="Times New Roman"/>
          <w:sz w:val="20"/>
          <w:lang w:eastAsia="en-AU"/>
        </w:rPr>
        <w:t>wide-area base station</w:t>
      </w:r>
      <w:r w:rsidR="007E48EF" w:rsidRPr="00C97518">
        <w:rPr>
          <w:rFonts w:ascii="Arial" w:eastAsia="Times New Roman" w:hAnsi="Arial" w:cs="Times New Roman"/>
          <w:sz w:val="20"/>
          <w:lang w:eastAsia="en-AU"/>
        </w:rPr>
        <w:t>s</w:t>
      </w:r>
      <w:r w:rsidR="00CE2EBC" w:rsidRPr="00C97518">
        <w:rPr>
          <w:rFonts w:ascii="Arial" w:eastAsia="Times New Roman" w:hAnsi="Arial" w:cs="Times New Roman"/>
          <w:sz w:val="20"/>
          <w:lang w:eastAsia="en-AU"/>
        </w:rPr>
        <w:t xml:space="preserve"> operating in bands greater than 1 GHz</w:t>
      </w:r>
      <w:r w:rsidR="00006ECD" w:rsidRPr="00C97518">
        <w:rPr>
          <w:rFonts w:eastAsia="Times New Roman" w:cs="Times New Roman"/>
          <w:sz w:val="20"/>
          <w:vertAlign w:val="superscript"/>
          <w:lang w:eastAsia="en-AU"/>
        </w:rPr>
        <w:footnoteReference w:id="2"/>
      </w:r>
      <w:r w:rsidR="00C00817" w:rsidRPr="00C97518">
        <w:rPr>
          <w:rFonts w:ascii="Arial" w:eastAsia="Times New Roman" w:hAnsi="Arial" w:cs="Times New Roman"/>
          <w:sz w:val="20"/>
          <w:lang w:eastAsia="en-AU"/>
        </w:rPr>
        <w:t>;</w:t>
      </w:r>
      <w:r w:rsidR="00CE2EBC" w:rsidRPr="00C97518">
        <w:rPr>
          <w:rFonts w:ascii="Arial" w:eastAsia="Times New Roman" w:hAnsi="Arial" w:cs="Times New Roman"/>
          <w:sz w:val="20"/>
          <w:vertAlign w:val="superscript"/>
          <w:lang w:eastAsia="en-AU"/>
        </w:rPr>
        <w:t xml:space="preserve"> </w:t>
      </w:r>
    </w:p>
    <w:p w14:paraId="67731F33" w14:textId="6770D20D" w:rsidR="00C00817" w:rsidRPr="00C97518" w:rsidRDefault="00551EA4" w:rsidP="00C00817">
      <w:pPr>
        <w:pStyle w:val="ListParagraph"/>
        <w:numPr>
          <w:ilvl w:val="0"/>
          <w:numId w:val="17"/>
        </w:numPr>
        <w:rPr>
          <w:rFonts w:ascii="Arial" w:eastAsia="Times New Roman" w:hAnsi="Arial" w:cs="Times New Roman"/>
          <w:sz w:val="20"/>
          <w:lang w:eastAsia="en-AU"/>
        </w:rPr>
      </w:pPr>
      <w:r>
        <w:rPr>
          <w:rFonts w:ascii="Arial" w:eastAsia="Times New Roman" w:hAnsi="Arial" w:cs="Times New Roman"/>
          <w:sz w:val="20"/>
          <w:lang w:eastAsia="en-AU"/>
        </w:rPr>
        <w:t>T</w:t>
      </w:r>
      <w:r w:rsidR="00A358D7">
        <w:rPr>
          <w:rFonts w:ascii="Arial" w:eastAsia="Times New Roman" w:hAnsi="Arial" w:cs="Times New Roman"/>
          <w:sz w:val="20"/>
          <w:lang w:eastAsia="en-AU"/>
        </w:rPr>
        <w:t xml:space="preserve">he addition of a </w:t>
      </w:r>
      <w:r w:rsidR="00C00817" w:rsidRPr="00C97518">
        <w:rPr>
          <w:rFonts w:ascii="Arial" w:eastAsia="Times New Roman" w:hAnsi="Arial" w:cs="Times New Roman"/>
          <w:sz w:val="20"/>
          <w:lang w:eastAsia="en-AU"/>
        </w:rPr>
        <w:t>1</w:t>
      </w:r>
      <w:r w:rsidR="00FA661D">
        <w:rPr>
          <w:rFonts w:ascii="Arial" w:eastAsia="Times New Roman" w:hAnsi="Arial" w:cs="Times New Roman"/>
          <w:sz w:val="20"/>
          <w:lang w:eastAsia="en-AU"/>
        </w:rPr>
        <w:t>9</w:t>
      </w:r>
      <w:r w:rsidR="00C00817" w:rsidRPr="00C97518">
        <w:rPr>
          <w:rFonts w:ascii="Arial" w:eastAsia="Times New Roman" w:hAnsi="Arial" w:cs="Times New Roman"/>
          <w:sz w:val="20"/>
          <w:lang w:eastAsia="en-AU"/>
        </w:rPr>
        <w:t xml:space="preserve"> dBi antenna gain</w:t>
      </w:r>
      <w:r w:rsidR="002F6442">
        <w:rPr>
          <w:rFonts w:ascii="Arial" w:eastAsia="Times New Roman" w:hAnsi="Arial" w:cs="Times New Roman"/>
          <w:sz w:val="20"/>
          <w:lang w:eastAsia="en-AU"/>
        </w:rPr>
        <w:t xml:space="preserve"> </w:t>
      </w:r>
      <w:r w:rsidR="00B65E03">
        <w:rPr>
          <w:rFonts w:ascii="Arial" w:eastAsia="Times New Roman" w:hAnsi="Arial" w:cs="Times New Roman"/>
          <w:sz w:val="20"/>
          <w:lang w:eastAsia="en-AU"/>
        </w:rPr>
        <w:t xml:space="preserve">and 1 dB of losses, </w:t>
      </w:r>
      <w:r w:rsidR="00C00817" w:rsidRPr="00C97518">
        <w:rPr>
          <w:rFonts w:ascii="Arial" w:eastAsia="Times New Roman" w:hAnsi="Arial" w:cs="Times New Roman"/>
          <w:sz w:val="20"/>
          <w:lang w:eastAsia="en-AU"/>
        </w:rPr>
        <w:t>this is based in the analysis of current 2 GHz band device registrations shown in Figure B1</w:t>
      </w:r>
      <w:r w:rsidR="00656396" w:rsidRPr="00C97518">
        <w:rPr>
          <w:rFonts w:ascii="Arial" w:eastAsia="Times New Roman" w:hAnsi="Arial" w:cs="Times New Roman"/>
          <w:sz w:val="20"/>
          <w:lang w:eastAsia="en-AU"/>
        </w:rPr>
        <w:t>.1</w:t>
      </w:r>
      <w:r w:rsidR="00C00817" w:rsidRPr="00C97518">
        <w:rPr>
          <w:rFonts w:ascii="Arial" w:eastAsia="Times New Roman" w:hAnsi="Arial" w:cs="Times New Roman"/>
          <w:sz w:val="20"/>
          <w:lang w:eastAsia="en-AU"/>
        </w:rPr>
        <w:t xml:space="preserve">. Eighty-two per cent of current device registrations have an antenna gain of 19 dBi or less. </w:t>
      </w:r>
    </w:p>
    <w:p w14:paraId="4B08985B" w14:textId="77777777" w:rsidR="005B2C80" w:rsidRDefault="005B2C80" w:rsidP="00C06149">
      <w:pPr>
        <w:spacing w:after="120"/>
      </w:pPr>
    </w:p>
    <w:p w14:paraId="32EBFFFD" w14:textId="3F2D609A" w:rsidR="00C06149" w:rsidRDefault="00CE2EBC" w:rsidP="004B2E1D">
      <w:pPr>
        <w:autoSpaceDE w:val="0"/>
        <w:autoSpaceDN w:val="0"/>
        <w:adjustRightInd w:val="0"/>
        <w:spacing w:after="0" w:line="240" w:lineRule="auto"/>
        <w:rPr>
          <w:rFonts w:ascii="TimesNewRoman,Bold" w:hAnsi="TimesNewRoman,Bold" w:cs="TimesNewRoman,Bold"/>
          <w:b/>
          <w:bCs/>
          <w:sz w:val="14"/>
          <w:szCs w:val="14"/>
        </w:rPr>
      </w:pPr>
      <w:r w:rsidRPr="00C97518">
        <w:t xml:space="preserve">The </w:t>
      </w:r>
      <w:r w:rsidR="00C00817" w:rsidRPr="00C97518">
        <w:t>resulting</w:t>
      </w:r>
      <w:r w:rsidRPr="00C97518">
        <w:t xml:space="preserve"> radiated </w:t>
      </w:r>
      <w:r w:rsidR="00C00817" w:rsidRPr="00C97518">
        <w:t>unwanted</w:t>
      </w:r>
      <w:r w:rsidRPr="00C97518">
        <w:t xml:space="preserve"> emission limits are shown in Table B1</w:t>
      </w:r>
      <w:r w:rsidR="00BA6F28" w:rsidRPr="00C97518">
        <w:t>.1</w:t>
      </w:r>
      <w:r w:rsidRPr="00C97518">
        <w:t xml:space="preserve">. </w:t>
      </w:r>
      <w:r w:rsidR="00C06149">
        <w:t xml:space="preserve">Note: </w:t>
      </w:r>
      <w:r w:rsidR="00C06149">
        <w:rPr>
          <w:rFonts w:ascii="TimesNewRoman,Bold" w:hAnsi="TimesNewRoman,Bold" w:cs="TimesNewRoman,Bold"/>
          <w:b/>
          <w:bCs/>
          <w:sz w:val="21"/>
          <w:szCs w:val="21"/>
        </w:rPr>
        <w:t>f</w:t>
      </w:r>
      <w:r w:rsidR="00C06149">
        <w:rPr>
          <w:rFonts w:ascii="TimesNewRoman,Bold" w:hAnsi="TimesNewRoman,Bold" w:cs="TimesNewRoman,Bold"/>
          <w:b/>
          <w:bCs/>
          <w:sz w:val="14"/>
          <w:szCs w:val="14"/>
        </w:rPr>
        <w:t xml:space="preserve">offset </w:t>
      </w:r>
      <w:r w:rsidR="00C06149">
        <w:rPr>
          <w:rFonts w:ascii="TimesNewRoman" w:hAnsi="TimesNewRoman" w:cs="TimesNewRoman"/>
          <w:sz w:val="21"/>
          <w:szCs w:val="21"/>
        </w:rPr>
        <w:t xml:space="preserve">is the frequency offset from the upper or lower frequency limits of the licensed spectrum held in each area. The closest -3dB point of the specified bandwidth to the upper or lower frequency limits of the licence is placed at </w:t>
      </w:r>
      <w:r w:rsidR="00C06149">
        <w:rPr>
          <w:rFonts w:ascii="TimesNewRoman,Bold" w:hAnsi="TimesNewRoman,Bold" w:cs="TimesNewRoman,Bold"/>
          <w:b/>
          <w:bCs/>
          <w:sz w:val="21"/>
          <w:szCs w:val="21"/>
        </w:rPr>
        <w:t>f</w:t>
      </w:r>
      <w:r w:rsidR="00C06149">
        <w:rPr>
          <w:rFonts w:ascii="TimesNewRoman,Bold" w:hAnsi="TimesNewRoman,Bold" w:cs="TimesNewRoman,Bold"/>
          <w:b/>
          <w:bCs/>
          <w:sz w:val="14"/>
          <w:szCs w:val="14"/>
        </w:rPr>
        <w:t>offset.</w:t>
      </w:r>
    </w:p>
    <w:p w14:paraId="0094EFB5" w14:textId="77777777" w:rsidR="00C06149" w:rsidRDefault="00C06149" w:rsidP="004B2E1D">
      <w:pPr>
        <w:autoSpaceDE w:val="0"/>
        <w:autoSpaceDN w:val="0"/>
        <w:adjustRightInd w:val="0"/>
        <w:spacing w:after="0" w:line="240" w:lineRule="auto"/>
        <w:rPr>
          <w:rFonts w:ascii="TimesNewRoman,Bold" w:hAnsi="TimesNewRoman,Bold" w:cs="TimesNewRoman,Bold"/>
          <w:b/>
          <w:bCs/>
          <w:sz w:val="14"/>
          <w:szCs w:val="14"/>
        </w:rPr>
      </w:pPr>
    </w:p>
    <w:p w14:paraId="6CBC98D1" w14:textId="77777777" w:rsidR="00C06149" w:rsidRPr="00C97518" w:rsidRDefault="00C06149" w:rsidP="004B2E1D">
      <w:pPr>
        <w:autoSpaceDE w:val="0"/>
        <w:autoSpaceDN w:val="0"/>
        <w:adjustRightInd w:val="0"/>
        <w:spacing w:after="0" w:line="240" w:lineRule="auto"/>
      </w:pPr>
    </w:p>
    <w:p w14:paraId="4C8A4593" w14:textId="6E373042" w:rsidR="00CE2EBC" w:rsidRPr="00C97518" w:rsidRDefault="00CE2EBC" w:rsidP="00CE2EBC">
      <w:pPr>
        <w:pStyle w:val="ACMATableHeader"/>
        <w:numPr>
          <w:ilvl w:val="0"/>
          <w:numId w:val="0"/>
        </w:numPr>
        <w:ind w:left="964" w:hanging="964"/>
      </w:pPr>
      <w:r w:rsidRPr="00C97518">
        <w:t>Table B1</w:t>
      </w:r>
      <w:r w:rsidR="00BA6F28" w:rsidRPr="00C97518">
        <w:t>.1</w:t>
      </w:r>
      <w:r w:rsidRPr="00C97518">
        <w:t>:</w:t>
      </w:r>
      <w:r w:rsidRPr="00C97518">
        <w:tab/>
        <w:t>R</w:t>
      </w:r>
      <w:r w:rsidRPr="00C97518">
        <w:rPr>
          <w:rFonts w:eastAsiaTheme="minorEastAsia"/>
          <w:szCs w:val="22"/>
          <w:lang w:eastAsia="en-US"/>
        </w:rPr>
        <w:t xml:space="preserve">adiated </w:t>
      </w:r>
      <w:r w:rsidR="00C00817" w:rsidRPr="00C97518">
        <w:rPr>
          <w:rFonts w:eastAsiaTheme="minorEastAsia"/>
          <w:szCs w:val="22"/>
          <w:lang w:eastAsia="en-US"/>
        </w:rPr>
        <w:t>unwanted</w:t>
      </w:r>
      <w:r w:rsidRPr="00C97518">
        <w:rPr>
          <w:rFonts w:eastAsiaTheme="minorEastAsia"/>
          <w:szCs w:val="22"/>
          <w:lang w:eastAsia="en-US"/>
        </w:rPr>
        <w:t xml:space="preserve"> emission limits</w:t>
      </w:r>
      <w:r w:rsidR="00AF4EC6" w:rsidRPr="00C97518">
        <w:rPr>
          <w:rFonts w:eastAsiaTheme="minorEastAsia"/>
          <w:szCs w:val="22"/>
          <w:lang w:eastAsia="en-US"/>
        </w:rPr>
        <w:t xml:space="preserve"> </w:t>
      </w:r>
      <w:r w:rsidR="005B2C80">
        <w:rPr>
          <w:rFonts w:eastAsiaTheme="minorEastAsia"/>
          <w:szCs w:val="22"/>
          <w:lang w:eastAsia="en-US"/>
        </w:rPr>
        <w:t>within</w:t>
      </w:r>
      <w:r w:rsidR="007F07E6">
        <w:rPr>
          <w:rFonts w:eastAsiaTheme="minorEastAsia"/>
          <w:szCs w:val="22"/>
          <w:lang w:eastAsia="en-US"/>
        </w:rPr>
        <w:t xml:space="preserve"> the</w:t>
      </w:r>
      <w:r w:rsidR="00AF4EC6" w:rsidRPr="00C97518">
        <w:rPr>
          <w:rFonts w:eastAsiaTheme="minorEastAsia"/>
          <w:szCs w:val="22"/>
          <w:lang w:eastAsia="en-US"/>
        </w:rPr>
        <w:t xml:space="preserve"> 2110</w:t>
      </w:r>
      <w:r w:rsidR="00E75F2B" w:rsidRPr="00C97518">
        <w:rPr>
          <w:rFonts w:eastAsiaTheme="minorEastAsia"/>
          <w:szCs w:val="22"/>
          <w:lang w:eastAsia="en-US"/>
        </w:rPr>
        <w:t>–</w:t>
      </w:r>
      <w:r w:rsidR="00AF4EC6" w:rsidRPr="00C97518">
        <w:rPr>
          <w:rFonts w:eastAsiaTheme="minorEastAsia"/>
          <w:szCs w:val="22"/>
          <w:lang w:eastAsia="en-US"/>
        </w:rPr>
        <w:t>2170 MHz band</w:t>
      </w:r>
      <w:r w:rsidRPr="00C97518">
        <w:t xml:space="preserve"> </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CE2EBC" w:rsidRPr="00C97518" w14:paraId="5857E194" w14:textId="77777777" w:rsidTr="00AF4EC6">
        <w:trPr>
          <w:tblHeader/>
        </w:trPr>
        <w:tc>
          <w:tcPr>
            <w:tcW w:w="2539" w:type="dxa"/>
            <w:tcBorders>
              <w:top w:val="single" w:sz="4" w:space="0" w:color="auto"/>
              <w:left w:val="nil"/>
              <w:bottom w:val="single" w:sz="4" w:space="0" w:color="auto"/>
              <w:right w:val="nil"/>
            </w:tcBorders>
            <w:shd w:val="clear" w:color="auto" w:fill="404040" w:themeFill="text1" w:themeFillTint="BF"/>
          </w:tcPr>
          <w:p w14:paraId="59A5F577" w14:textId="0486397B" w:rsidR="00CE2EBC" w:rsidRPr="00C97518" w:rsidRDefault="00AF4EC6">
            <w:pPr>
              <w:pStyle w:val="TableHeading"/>
              <w:rPr>
                <w:color w:val="FFFFFF" w:themeColor="background1"/>
              </w:rPr>
            </w:pPr>
            <w:r w:rsidRPr="00C97518">
              <w:rPr>
                <w:color w:val="FFFFFF" w:themeColor="background1"/>
              </w:rPr>
              <w:t>Frequency offset range</w:t>
            </w:r>
          </w:p>
        </w:tc>
        <w:tc>
          <w:tcPr>
            <w:tcW w:w="3818" w:type="dxa"/>
            <w:tcBorders>
              <w:top w:val="single" w:sz="4" w:space="0" w:color="auto"/>
              <w:left w:val="nil"/>
              <w:bottom w:val="single" w:sz="4" w:space="0" w:color="auto"/>
              <w:right w:val="nil"/>
            </w:tcBorders>
            <w:shd w:val="clear" w:color="auto" w:fill="404040" w:themeFill="text1" w:themeFillTint="BF"/>
          </w:tcPr>
          <w:p w14:paraId="4E40D6D0" w14:textId="77777777" w:rsidR="00AF4EC6" w:rsidRPr="00C97518" w:rsidRDefault="00AF4EC6" w:rsidP="00AF4EC6">
            <w:pPr>
              <w:pStyle w:val="TableHeading"/>
              <w:jc w:val="center"/>
              <w:rPr>
                <w:color w:val="FFFFFF" w:themeColor="background1"/>
              </w:rPr>
            </w:pPr>
            <w:r w:rsidRPr="00C97518">
              <w:rPr>
                <w:color w:val="FFFFFF" w:themeColor="background1"/>
              </w:rPr>
              <w:t>Radiated maximum true mean power</w:t>
            </w:r>
          </w:p>
          <w:p w14:paraId="6F9BEB6C" w14:textId="287DB6AA" w:rsidR="00CE2EBC" w:rsidRPr="00C97518" w:rsidRDefault="00AF4EC6" w:rsidP="00AF4EC6">
            <w:pPr>
              <w:pStyle w:val="TableHeading"/>
              <w:jc w:val="center"/>
              <w:rPr>
                <w:color w:val="FFFFFF" w:themeColor="background1"/>
              </w:rPr>
            </w:pPr>
            <w:r w:rsidRPr="00C97518">
              <w:rPr>
                <w:color w:val="FFFFFF" w:themeColor="background1"/>
              </w:rPr>
              <w:t>(dBm EIRP)</w:t>
            </w:r>
          </w:p>
        </w:tc>
        <w:tc>
          <w:tcPr>
            <w:tcW w:w="2295" w:type="dxa"/>
            <w:tcBorders>
              <w:top w:val="single" w:sz="4" w:space="0" w:color="auto"/>
              <w:left w:val="nil"/>
              <w:bottom w:val="single" w:sz="4" w:space="0" w:color="auto"/>
              <w:right w:val="nil"/>
            </w:tcBorders>
            <w:shd w:val="clear" w:color="auto" w:fill="404040" w:themeFill="text1" w:themeFillTint="BF"/>
          </w:tcPr>
          <w:p w14:paraId="4BA371F7" w14:textId="2E5B392B" w:rsidR="00CE2EBC" w:rsidRPr="00C97518" w:rsidRDefault="00AF4EC6" w:rsidP="00AF4EC6">
            <w:pPr>
              <w:pStyle w:val="TableHeading"/>
              <w:jc w:val="center"/>
              <w:rPr>
                <w:color w:val="FFFFFF" w:themeColor="background1"/>
              </w:rPr>
            </w:pPr>
            <w:r w:rsidRPr="00C97518">
              <w:rPr>
                <w:color w:val="FFFFFF" w:themeColor="background1"/>
              </w:rPr>
              <w:t xml:space="preserve">Specified </w:t>
            </w:r>
            <w:r w:rsidR="00E75F2B" w:rsidRPr="00C97518">
              <w:rPr>
                <w:color w:val="FFFFFF" w:themeColor="background1"/>
              </w:rPr>
              <w:t>b</w:t>
            </w:r>
            <w:r w:rsidRPr="00C97518">
              <w:rPr>
                <w:color w:val="FFFFFF" w:themeColor="background1"/>
              </w:rPr>
              <w:t>andwidth</w:t>
            </w:r>
          </w:p>
        </w:tc>
      </w:tr>
      <w:tr w:rsidR="00CE2EBC" w:rsidRPr="00C97518" w14:paraId="61B7481E" w14:textId="77777777" w:rsidTr="00AF4EC6">
        <w:trPr>
          <w:tblHeader/>
        </w:trPr>
        <w:tc>
          <w:tcPr>
            <w:tcW w:w="2539" w:type="dxa"/>
            <w:tcBorders>
              <w:top w:val="single" w:sz="4" w:space="0" w:color="auto"/>
              <w:left w:val="nil"/>
              <w:bottom w:val="single" w:sz="4" w:space="0" w:color="auto"/>
              <w:right w:val="nil"/>
            </w:tcBorders>
          </w:tcPr>
          <w:p w14:paraId="423CC139" w14:textId="70C379A3" w:rsidR="00CE2EBC" w:rsidRPr="00C97518" w:rsidRDefault="00CE2EBC">
            <w:pPr>
              <w:pStyle w:val="TableBody"/>
              <w:keepNext/>
              <w:keepLines/>
              <w:rPr>
                <w:rFonts w:cs="Arial"/>
              </w:rPr>
            </w:pPr>
            <w:r w:rsidRPr="00C97518">
              <w:rPr>
                <w:rFonts w:cs="Arial"/>
              </w:rPr>
              <w:t>0 kHz ≤ f</w:t>
            </w:r>
            <w:r w:rsidRPr="00C97518">
              <w:rPr>
                <w:rFonts w:cs="Arial"/>
                <w:vertAlign w:val="subscript"/>
              </w:rPr>
              <w:t>offset</w:t>
            </w:r>
            <w:r w:rsidRPr="00C97518">
              <w:rPr>
                <w:rFonts w:cs="Arial"/>
              </w:rPr>
              <w:t xml:space="preserve"> &lt; 5 MHz</w:t>
            </w:r>
          </w:p>
        </w:tc>
        <w:tc>
          <w:tcPr>
            <w:tcW w:w="3818" w:type="dxa"/>
            <w:tcBorders>
              <w:top w:val="single" w:sz="4" w:space="0" w:color="auto"/>
              <w:left w:val="nil"/>
              <w:bottom w:val="single" w:sz="4" w:space="0" w:color="auto"/>
              <w:right w:val="nil"/>
            </w:tcBorders>
          </w:tcPr>
          <w:p w14:paraId="3E75C43B" w14:textId="745E8301" w:rsidR="00CE2EBC" w:rsidRPr="00C97518" w:rsidRDefault="00FA661D" w:rsidP="00B65E03">
            <w:pPr>
              <w:pStyle w:val="TableBody"/>
              <w:keepNext/>
              <w:keepLines/>
              <w:jc w:val="center"/>
              <w:rPr>
                <w:rFonts w:cs="Arial"/>
              </w:rPr>
            </w:pPr>
            <m:oMathPara>
              <m:oMath>
                <m:r>
                  <m:rPr>
                    <m:sty m:val="p"/>
                  </m:rPr>
                  <w:rPr>
                    <w:rFonts w:ascii="Cambria Math" w:eastAsiaTheme="minorEastAsia"/>
                    <w:szCs w:val="20"/>
                    <w:lang w:eastAsia="en-US"/>
                  </w:rPr>
                  <m:t>11</m:t>
                </m:r>
                <m:r>
                  <m:rPr>
                    <m:sty m:val="p"/>
                  </m:rPr>
                  <w:rPr>
                    <w:rFonts w:ascii="Cambria Math" w:eastAsiaTheme="minorEastAsia" w:hAnsi="Cambria Math"/>
                    <w:szCs w:val="20"/>
                    <w:lang w:eastAsia="en-US"/>
                  </w:rPr>
                  <m:t>-</m:t>
                </m:r>
                <m:d>
                  <m:dPr>
                    <m:ctrlPr>
                      <w:rPr>
                        <w:rFonts w:ascii="Cambria Math" w:eastAsiaTheme="minorEastAsia" w:hAnsi="Cambria Math"/>
                        <w:i/>
                        <w:lang w:eastAsia="en-US"/>
                      </w:rPr>
                    </m:ctrlPr>
                  </m:dPr>
                  <m:e>
                    <m:f>
                      <m:fPr>
                        <m:type m:val="lin"/>
                        <m:ctrlPr>
                          <w:rPr>
                            <w:rFonts w:ascii="Cambria Math" w:eastAsiaTheme="minorEastAsia" w:hAnsi="Cambria Math"/>
                            <w:i/>
                            <w:lang w:eastAsia="en-US"/>
                          </w:rPr>
                        </m:ctrlPr>
                      </m:fPr>
                      <m:num>
                        <m:r>
                          <w:rPr>
                            <w:rFonts w:ascii="Cambria Math" w:eastAsiaTheme="minorEastAsia"/>
                            <w:szCs w:val="20"/>
                            <w:lang w:eastAsia="en-US"/>
                          </w:rPr>
                          <m:t>7</m:t>
                        </m:r>
                      </m:num>
                      <m:den>
                        <m:r>
                          <w:rPr>
                            <w:rFonts w:ascii="Cambria Math" w:eastAsiaTheme="minorEastAsia"/>
                            <w:szCs w:val="20"/>
                            <w:lang w:eastAsia="en-US"/>
                          </w:rPr>
                          <m:t>5</m:t>
                        </m:r>
                      </m:den>
                    </m:f>
                  </m:e>
                </m:d>
                <m:r>
                  <w:rPr>
                    <w:rFonts w:ascii="Cambria Math" w:eastAsiaTheme="minorEastAsia" w:hAnsi="Cambria Math"/>
                    <w:szCs w:val="20"/>
                    <w:lang w:eastAsia="en-US"/>
                  </w:rPr>
                  <m:t>×</m:t>
                </m:r>
                <m:sSub>
                  <m:sSubPr>
                    <m:ctrlPr>
                      <w:rPr>
                        <w:rFonts w:ascii="Cambria Math" w:eastAsiaTheme="minorEastAsia" w:hAnsi="Cambria Math"/>
                        <w:i/>
                        <w:lang w:eastAsia="en-US"/>
                      </w:rPr>
                    </m:ctrlPr>
                  </m:sSubPr>
                  <m:e>
                    <m:r>
                      <w:rPr>
                        <w:rFonts w:ascii="Cambria Math" w:eastAsiaTheme="minorEastAsia" w:hAnsi="Cambria Math"/>
                        <w:szCs w:val="20"/>
                        <w:lang w:eastAsia="en-US"/>
                      </w:rPr>
                      <m:t>f</m:t>
                    </m:r>
                  </m:e>
                  <m:sub>
                    <m:r>
                      <w:rPr>
                        <w:rFonts w:ascii="Cambria Math" w:eastAsiaTheme="minorEastAsia" w:hAnsi="Cambria Math"/>
                        <w:szCs w:val="20"/>
                        <w:lang w:eastAsia="en-US"/>
                      </w:rPr>
                      <m:t>offset</m:t>
                    </m:r>
                  </m:sub>
                </m:sSub>
                <m:d>
                  <m:dPr>
                    <m:ctrlPr>
                      <w:rPr>
                        <w:rFonts w:ascii="Cambria Math" w:eastAsiaTheme="minorEastAsia" w:hAnsi="Cambria Math"/>
                        <w:i/>
                        <w:lang w:eastAsia="en-US"/>
                      </w:rPr>
                    </m:ctrlPr>
                  </m:dPr>
                  <m:e>
                    <m:r>
                      <w:rPr>
                        <w:rFonts w:ascii="Cambria Math" w:eastAsiaTheme="minorEastAsia" w:hAnsi="Cambria Math"/>
                        <w:szCs w:val="20"/>
                        <w:lang w:eastAsia="en-US"/>
                      </w:rPr>
                      <m:t>MHz</m:t>
                    </m:r>
                  </m:e>
                </m:d>
              </m:oMath>
            </m:oMathPara>
          </w:p>
        </w:tc>
        <w:tc>
          <w:tcPr>
            <w:tcW w:w="2295" w:type="dxa"/>
            <w:tcBorders>
              <w:top w:val="single" w:sz="4" w:space="0" w:color="auto"/>
              <w:left w:val="nil"/>
              <w:bottom w:val="single" w:sz="4" w:space="0" w:color="auto"/>
              <w:right w:val="nil"/>
            </w:tcBorders>
          </w:tcPr>
          <w:p w14:paraId="46F5E0A1" w14:textId="593F883B" w:rsidR="00CE2EBC" w:rsidRPr="00C97518" w:rsidRDefault="00AF4EC6" w:rsidP="00AF4EC6">
            <w:pPr>
              <w:pStyle w:val="TableBody"/>
              <w:keepNext/>
              <w:keepLines/>
              <w:jc w:val="center"/>
              <w:rPr>
                <w:rFonts w:cs="Arial"/>
              </w:rPr>
            </w:pPr>
            <w:r w:rsidRPr="00C97518">
              <w:rPr>
                <w:rFonts w:cs="Arial"/>
              </w:rPr>
              <w:t>100 kHz</w:t>
            </w:r>
          </w:p>
        </w:tc>
      </w:tr>
      <w:tr w:rsidR="00CE2EBC" w:rsidRPr="00C97518" w14:paraId="3F1F7DF8" w14:textId="77777777" w:rsidTr="00AF4EC6">
        <w:trPr>
          <w:tblHeader/>
        </w:trPr>
        <w:tc>
          <w:tcPr>
            <w:tcW w:w="2539" w:type="dxa"/>
            <w:tcBorders>
              <w:top w:val="single" w:sz="4" w:space="0" w:color="auto"/>
              <w:left w:val="nil"/>
              <w:bottom w:val="single" w:sz="4" w:space="0" w:color="auto"/>
              <w:right w:val="nil"/>
            </w:tcBorders>
            <w:shd w:val="clear" w:color="auto" w:fill="F2F2F2" w:themeFill="background1" w:themeFillShade="F2"/>
          </w:tcPr>
          <w:p w14:paraId="4AE01DF9" w14:textId="6E151042" w:rsidR="00CE2EBC" w:rsidRPr="00C97518" w:rsidRDefault="00AF4EC6">
            <w:pPr>
              <w:pStyle w:val="TableBody"/>
              <w:keepNext/>
              <w:keepLines/>
              <w:rPr>
                <w:rFonts w:cs="Arial"/>
              </w:rPr>
            </w:pPr>
            <w:r w:rsidRPr="00C97518">
              <w:rPr>
                <w:rFonts w:cs="Arial"/>
              </w:rPr>
              <w:t>5 MHz ≤ f</w:t>
            </w:r>
            <w:r w:rsidRPr="00C97518">
              <w:rPr>
                <w:rFonts w:cs="Arial"/>
                <w:vertAlign w:val="subscript"/>
              </w:rPr>
              <w:t>offset</w:t>
            </w:r>
            <w:r w:rsidRPr="00C97518">
              <w:rPr>
                <w:rFonts w:cs="Arial"/>
              </w:rPr>
              <w:t xml:space="preserve"> &lt; 10 MHz</w:t>
            </w:r>
          </w:p>
        </w:tc>
        <w:tc>
          <w:tcPr>
            <w:tcW w:w="3818" w:type="dxa"/>
            <w:tcBorders>
              <w:top w:val="single" w:sz="4" w:space="0" w:color="auto"/>
              <w:left w:val="nil"/>
              <w:bottom w:val="single" w:sz="4" w:space="0" w:color="auto"/>
              <w:right w:val="nil"/>
            </w:tcBorders>
            <w:shd w:val="clear" w:color="auto" w:fill="F2F2F2" w:themeFill="background1" w:themeFillShade="F2"/>
          </w:tcPr>
          <w:p w14:paraId="4F56999D" w14:textId="048D4EA3" w:rsidR="00CE2EBC" w:rsidRPr="00C97518" w:rsidRDefault="00B65E03" w:rsidP="00AF4EC6">
            <w:pPr>
              <w:pStyle w:val="TableBody"/>
              <w:keepNext/>
              <w:keepLines/>
              <w:jc w:val="center"/>
              <w:rPr>
                <w:rFonts w:cs="Arial"/>
              </w:rPr>
            </w:pPr>
            <w:r>
              <w:rPr>
                <w:rFonts w:cs="Arial"/>
              </w:rPr>
              <w:t>4</w:t>
            </w:r>
          </w:p>
        </w:tc>
        <w:tc>
          <w:tcPr>
            <w:tcW w:w="2295" w:type="dxa"/>
            <w:tcBorders>
              <w:top w:val="single" w:sz="4" w:space="0" w:color="auto"/>
              <w:left w:val="nil"/>
              <w:bottom w:val="single" w:sz="4" w:space="0" w:color="auto"/>
              <w:right w:val="nil"/>
            </w:tcBorders>
            <w:shd w:val="clear" w:color="auto" w:fill="F2F2F2" w:themeFill="background1" w:themeFillShade="F2"/>
          </w:tcPr>
          <w:p w14:paraId="484FF965" w14:textId="1F2D04F0" w:rsidR="00CE2EBC" w:rsidRPr="00C97518" w:rsidRDefault="00AF4EC6" w:rsidP="00AF4EC6">
            <w:pPr>
              <w:pStyle w:val="TableBody"/>
              <w:keepNext/>
              <w:keepLines/>
              <w:jc w:val="center"/>
              <w:rPr>
                <w:rFonts w:cs="Arial"/>
              </w:rPr>
            </w:pPr>
            <w:r w:rsidRPr="00C97518">
              <w:rPr>
                <w:rFonts w:cs="Arial"/>
              </w:rPr>
              <w:t>100 kHz</w:t>
            </w:r>
          </w:p>
        </w:tc>
      </w:tr>
      <w:tr w:rsidR="00CE2EBC" w:rsidRPr="00C97518" w14:paraId="3910B4EB" w14:textId="77777777" w:rsidTr="00AF4EC6">
        <w:trPr>
          <w:tblHeader/>
        </w:trPr>
        <w:tc>
          <w:tcPr>
            <w:tcW w:w="2539" w:type="dxa"/>
            <w:tcBorders>
              <w:top w:val="single" w:sz="4" w:space="0" w:color="auto"/>
              <w:left w:val="nil"/>
              <w:bottom w:val="single" w:sz="4" w:space="0" w:color="auto"/>
              <w:right w:val="nil"/>
            </w:tcBorders>
          </w:tcPr>
          <w:p w14:paraId="6C142E8B" w14:textId="7E59F9C9" w:rsidR="00CE2EBC" w:rsidRPr="00C97518" w:rsidRDefault="00AF4EC6">
            <w:pPr>
              <w:pStyle w:val="TableBody"/>
              <w:keepNext/>
              <w:keepLines/>
              <w:rPr>
                <w:rFonts w:cs="Arial"/>
              </w:rPr>
            </w:pPr>
            <w:r w:rsidRPr="00C97518">
              <w:rPr>
                <w:rFonts w:cs="Arial"/>
              </w:rPr>
              <w:t>f</w:t>
            </w:r>
            <w:r w:rsidRPr="00C97518">
              <w:rPr>
                <w:rFonts w:cs="Arial"/>
                <w:vertAlign w:val="subscript"/>
              </w:rPr>
              <w:t>offset</w:t>
            </w:r>
            <w:r w:rsidRPr="00C97518">
              <w:rPr>
                <w:rFonts w:cs="Arial"/>
              </w:rPr>
              <w:t xml:space="preserve"> </w:t>
            </w:r>
            <w:r w:rsidRPr="00C97518">
              <w:rPr>
                <w:rFonts w:eastAsiaTheme="minorEastAsia"/>
                <w:szCs w:val="20"/>
                <w:lang w:eastAsia="en-US"/>
              </w:rPr>
              <w:t xml:space="preserve">≥ </w:t>
            </w:r>
            <w:r w:rsidRPr="00C97518">
              <w:rPr>
                <w:rFonts w:cs="Arial"/>
              </w:rPr>
              <w:t>10 MHz</w:t>
            </w:r>
          </w:p>
        </w:tc>
        <w:tc>
          <w:tcPr>
            <w:tcW w:w="3818" w:type="dxa"/>
            <w:tcBorders>
              <w:top w:val="single" w:sz="4" w:space="0" w:color="auto"/>
              <w:left w:val="nil"/>
              <w:bottom w:val="single" w:sz="4" w:space="0" w:color="auto"/>
              <w:right w:val="nil"/>
            </w:tcBorders>
          </w:tcPr>
          <w:p w14:paraId="36306A9C" w14:textId="0F7F51E9" w:rsidR="00CE2EBC" w:rsidRPr="00C97518" w:rsidRDefault="00B65E03" w:rsidP="00AF4EC6">
            <w:pPr>
              <w:pStyle w:val="TableBody"/>
              <w:keepNext/>
              <w:keepLines/>
              <w:jc w:val="center"/>
              <w:rPr>
                <w:rFonts w:cs="Arial"/>
              </w:rPr>
            </w:pPr>
            <w:r>
              <w:rPr>
                <w:rFonts w:cs="Arial"/>
              </w:rPr>
              <w:t>3</w:t>
            </w:r>
          </w:p>
        </w:tc>
        <w:tc>
          <w:tcPr>
            <w:tcW w:w="2295" w:type="dxa"/>
            <w:tcBorders>
              <w:top w:val="single" w:sz="4" w:space="0" w:color="auto"/>
              <w:left w:val="nil"/>
              <w:bottom w:val="single" w:sz="4" w:space="0" w:color="auto"/>
              <w:right w:val="nil"/>
            </w:tcBorders>
          </w:tcPr>
          <w:p w14:paraId="7A76C280" w14:textId="1D233046" w:rsidR="00CE2EBC" w:rsidRPr="00C97518" w:rsidRDefault="00AF4EC6" w:rsidP="00AF4EC6">
            <w:pPr>
              <w:pStyle w:val="TableBody"/>
              <w:keepNext/>
              <w:keepLines/>
              <w:jc w:val="center"/>
              <w:rPr>
                <w:rFonts w:cs="Arial"/>
              </w:rPr>
            </w:pPr>
            <w:r w:rsidRPr="00C97518">
              <w:rPr>
                <w:rFonts w:cs="Arial"/>
              </w:rPr>
              <w:t>1 MHz</w:t>
            </w:r>
          </w:p>
        </w:tc>
      </w:tr>
    </w:tbl>
    <w:p w14:paraId="68C4E4C9" w14:textId="77777777" w:rsidR="00AF4EC6" w:rsidRPr="00C97518" w:rsidRDefault="00AF4EC6" w:rsidP="0027403F">
      <w:pPr>
        <w:pStyle w:val="ACMASpaceaftertable"/>
      </w:pPr>
    </w:p>
    <w:p w14:paraId="19F45283" w14:textId="69210201" w:rsidR="00AF4EC6" w:rsidRPr="00C97518" w:rsidRDefault="00AF4EC6" w:rsidP="00AF4EC6">
      <w:pPr>
        <w:pStyle w:val="ACMAFigureHeader"/>
        <w:keepNext/>
        <w:keepLines/>
        <w:numPr>
          <w:ilvl w:val="0"/>
          <w:numId w:val="0"/>
        </w:numPr>
        <w:ind w:left="1021" w:hanging="1021"/>
        <w:rPr>
          <w:rFonts w:ascii="Times New Roman" w:hAnsi="Times New Roman"/>
        </w:rPr>
      </w:pPr>
      <w:r w:rsidRPr="00C97518">
        <w:lastRenderedPageBreak/>
        <w:t>Figure B1</w:t>
      </w:r>
      <w:r w:rsidR="00656396" w:rsidRPr="00C97518">
        <w:t>.1</w:t>
      </w:r>
      <w:r w:rsidRPr="00C97518">
        <w:t>:</w:t>
      </w:r>
      <w:r w:rsidRPr="00C97518">
        <w:tab/>
        <w:t xml:space="preserve">Antenna gain of device registrations in </w:t>
      </w:r>
      <w:r w:rsidR="004C13AA">
        <w:t xml:space="preserve">the </w:t>
      </w:r>
      <w:r w:rsidRPr="00C97518">
        <w:t>2110</w:t>
      </w:r>
      <w:r w:rsidR="00E75F2B" w:rsidRPr="00C97518">
        <w:t>–</w:t>
      </w:r>
      <w:r w:rsidRPr="00C97518">
        <w:t>2170 MHz</w:t>
      </w:r>
      <w:r w:rsidR="004C13AA">
        <w:t xml:space="preserve"> band</w:t>
      </w:r>
    </w:p>
    <w:p w14:paraId="316DA23F" w14:textId="23AA8621" w:rsidR="00CE2EBC" w:rsidRPr="00C97518" w:rsidRDefault="00CE2EBC" w:rsidP="0027403F">
      <w:pPr>
        <w:spacing w:before="120" w:after="0"/>
        <w:ind w:left="720" w:hanging="720"/>
        <w:rPr>
          <w:rFonts w:eastAsiaTheme="minorEastAsia"/>
          <w:sz w:val="24"/>
          <w:szCs w:val="22"/>
          <w:lang w:eastAsia="en-US"/>
        </w:rPr>
      </w:pPr>
      <w:r w:rsidRPr="00C97518">
        <w:rPr>
          <w:noProof/>
        </w:rPr>
        <w:drawing>
          <wp:inline distT="0" distB="0" distL="0" distR="0" wp14:anchorId="5FE873C2" wp14:editId="0D3226DA">
            <wp:extent cx="5362575" cy="3009900"/>
            <wp:effectExtent l="0" t="0" r="9525" b="0"/>
            <wp:docPr id="3" name="Chart 3" descr="Antenna gain of device registrations in 2110–2170 MHz"/>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DEF06CE" w14:textId="77777777" w:rsidR="00E75F2B" w:rsidRPr="00C97518" w:rsidRDefault="00E75F2B" w:rsidP="0027403F">
      <w:pPr>
        <w:pStyle w:val="ACMASpaceaftertable"/>
        <w:rPr>
          <w:rFonts w:eastAsiaTheme="minorEastAsia"/>
          <w:lang w:eastAsia="en-US"/>
        </w:rPr>
      </w:pPr>
    </w:p>
    <w:p w14:paraId="47155482" w14:textId="2F28A3B8" w:rsidR="00C00817" w:rsidRPr="00C97518" w:rsidRDefault="00C00817" w:rsidP="00C00817">
      <w:pPr>
        <w:rPr>
          <w:u w:val="single"/>
        </w:rPr>
      </w:pPr>
      <w:r w:rsidRPr="00C97518">
        <w:rPr>
          <w:u w:val="single"/>
        </w:rPr>
        <w:t xml:space="preserve">Unwanted Emission Limits </w:t>
      </w:r>
      <w:r w:rsidR="00551EA4">
        <w:rPr>
          <w:u w:val="single"/>
        </w:rPr>
        <w:t>below</w:t>
      </w:r>
      <w:r w:rsidR="00551EA4" w:rsidRPr="00C97518">
        <w:rPr>
          <w:u w:val="single"/>
        </w:rPr>
        <w:t xml:space="preserve"> </w:t>
      </w:r>
      <w:r w:rsidRPr="00C97518">
        <w:rPr>
          <w:u w:val="single"/>
        </w:rPr>
        <w:t xml:space="preserve">2110 MHz </w:t>
      </w:r>
    </w:p>
    <w:p w14:paraId="6130E360" w14:textId="794170E3" w:rsidR="008C3AB0" w:rsidRPr="00C97518" w:rsidRDefault="007552D9" w:rsidP="008C3AB0">
      <w:pPr>
        <w:rPr>
          <w:rFonts w:eastAsiaTheme="minorEastAsia"/>
          <w:szCs w:val="22"/>
          <w:lang w:eastAsia="en-US"/>
        </w:rPr>
      </w:pPr>
      <w:r w:rsidRPr="00C97518">
        <w:rPr>
          <w:rFonts w:eastAsiaTheme="minorEastAsia"/>
          <w:szCs w:val="22"/>
          <w:lang w:eastAsia="en-US"/>
        </w:rPr>
        <w:t>For devices operating in the 2110-2170 MHz band,</w:t>
      </w:r>
      <w:r w:rsidRPr="00C97518">
        <w:t xml:space="preserve"> i</w:t>
      </w:r>
      <w:r w:rsidR="00665401" w:rsidRPr="00C97518">
        <w:t xml:space="preserve">t is proposed that </w:t>
      </w:r>
      <w:r w:rsidR="008C3AB0" w:rsidRPr="00C97518">
        <w:t>the r</w:t>
      </w:r>
      <w:r w:rsidR="008C3AB0" w:rsidRPr="00C97518">
        <w:rPr>
          <w:rFonts w:eastAsiaTheme="minorEastAsia"/>
          <w:szCs w:val="22"/>
          <w:lang w:eastAsia="en-US"/>
        </w:rPr>
        <w:t>adiated unwanted emission limits</w:t>
      </w:r>
      <w:r w:rsidR="007F07E6">
        <w:rPr>
          <w:rFonts w:eastAsiaTheme="minorEastAsia"/>
          <w:szCs w:val="22"/>
          <w:lang w:eastAsia="en-US"/>
        </w:rPr>
        <w:t xml:space="preserve"> </w:t>
      </w:r>
      <w:r w:rsidR="008C3AB0" w:rsidRPr="00C97518">
        <w:rPr>
          <w:rFonts w:eastAsiaTheme="minorEastAsia"/>
          <w:szCs w:val="22"/>
          <w:lang w:eastAsia="en-US"/>
        </w:rPr>
        <w:t xml:space="preserve">below 2110 MHz be based on: </w:t>
      </w:r>
    </w:p>
    <w:p w14:paraId="2B8FC83F" w14:textId="471ADF7C" w:rsidR="008C3AB0" w:rsidRPr="00C97518" w:rsidRDefault="00551EA4" w:rsidP="008C3AB0">
      <w:pPr>
        <w:pStyle w:val="ListParagraph"/>
        <w:numPr>
          <w:ilvl w:val="0"/>
          <w:numId w:val="17"/>
        </w:numPr>
        <w:rPr>
          <w:rFonts w:ascii="Arial" w:eastAsia="Times New Roman" w:hAnsi="Arial" w:cs="Times New Roman"/>
          <w:sz w:val="20"/>
          <w:lang w:eastAsia="en-AU"/>
        </w:rPr>
      </w:pPr>
      <w:r>
        <w:rPr>
          <w:rFonts w:ascii="Arial" w:eastAsia="Times New Roman" w:hAnsi="Arial" w:cs="Times New Roman"/>
          <w:sz w:val="20"/>
          <w:lang w:eastAsia="en-AU"/>
        </w:rPr>
        <w:t>F</w:t>
      </w:r>
      <w:r w:rsidR="00665401" w:rsidRPr="00C97518">
        <w:rPr>
          <w:rFonts w:ascii="Arial" w:eastAsia="Times New Roman" w:hAnsi="Arial" w:cs="Times New Roman"/>
          <w:sz w:val="20"/>
          <w:lang w:eastAsia="en-AU"/>
        </w:rPr>
        <w:t xml:space="preserve">rom 0-4 MHz below the band edge (2106-2110 MHz), </w:t>
      </w:r>
      <w:r w:rsidR="008C3AB0" w:rsidRPr="00C97518">
        <w:rPr>
          <w:rFonts w:ascii="Arial" w:eastAsia="Times New Roman" w:hAnsi="Arial" w:cs="Times New Roman"/>
          <w:sz w:val="20"/>
          <w:lang w:eastAsia="en-AU"/>
        </w:rPr>
        <w:t>the levels stated in 3GPP 36.104 for Category B (option 1) wide-area base stations operating in bands greater than 1 GHz</w:t>
      </w:r>
      <w:r w:rsidR="008C3AB0" w:rsidRPr="00C97518">
        <w:rPr>
          <w:rFonts w:eastAsia="Times New Roman" w:cs="Times New Roman"/>
          <w:sz w:val="20"/>
          <w:vertAlign w:val="superscript"/>
          <w:lang w:eastAsia="en-AU"/>
        </w:rPr>
        <w:footnoteReference w:id="3"/>
      </w:r>
      <w:r w:rsidR="00A358D7">
        <w:rPr>
          <w:rFonts w:ascii="Arial" w:eastAsia="Times New Roman" w:hAnsi="Arial" w:cs="Times New Roman"/>
          <w:sz w:val="20"/>
          <w:lang w:eastAsia="en-AU"/>
        </w:rPr>
        <w:t>, with the addition of a</w:t>
      </w:r>
      <w:r w:rsidR="00665401" w:rsidRPr="00C97518">
        <w:rPr>
          <w:rFonts w:ascii="Arial" w:eastAsia="Times New Roman" w:hAnsi="Arial" w:cs="Times New Roman"/>
          <w:sz w:val="20"/>
          <w:lang w:eastAsia="en-AU"/>
        </w:rPr>
        <w:t xml:space="preserve"> 19 dBi gain antenna</w:t>
      </w:r>
      <w:r w:rsidR="00B65E03">
        <w:rPr>
          <w:rFonts w:ascii="Arial" w:eastAsia="Times New Roman" w:hAnsi="Arial" w:cs="Times New Roman"/>
          <w:sz w:val="20"/>
          <w:lang w:eastAsia="en-AU"/>
        </w:rPr>
        <w:t xml:space="preserve"> and 1 dB feeder loss</w:t>
      </w:r>
      <w:r w:rsidR="008C3AB0" w:rsidRPr="00C97518">
        <w:rPr>
          <w:rFonts w:ascii="Arial" w:eastAsia="Times New Roman" w:hAnsi="Arial" w:cs="Times New Roman"/>
          <w:sz w:val="20"/>
          <w:lang w:eastAsia="en-AU"/>
        </w:rPr>
        <w:t>;</w:t>
      </w:r>
      <w:r w:rsidR="008C3AB0" w:rsidRPr="00C97518">
        <w:rPr>
          <w:rFonts w:ascii="Arial" w:eastAsia="Times New Roman" w:hAnsi="Arial" w:cs="Times New Roman"/>
          <w:sz w:val="20"/>
          <w:vertAlign w:val="superscript"/>
          <w:lang w:eastAsia="en-AU"/>
        </w:rPr>
        <w:t xml:space="preserve"> </w:t>
      </w:r>
    </w:p>
    <w:p w14:paraId="4601E1B8" w14:textId="6CFC85E4" w:rsidR="008C3AB0" w:rsidRPr="00C97518" w:rsidRDefault="00551EA4" w:rsidP="008C3AB0">
      <w:pPr>
        <w:pStyle w:val="ListParagraph"/>
        <w:numPr>
          <w:ilvl w:val="0"/>
          <w:numId w:val="17"/>
        </w:numPr>
        <w:rPr>
          <w:rFonts w:ascii="Arial" w:eastAsia="Times New Roman" w:hAnsi="Arial" w:cs="Times New Roman"/>
          <w:sz w:val="20"/>
          <w:lang w:eastAsia="en-AU"/>
        </w:rPr>
      </w:pPr>
      <w:r>
        <w:rPr>
          <w:rFonts w:ascii="Arial" w:eastAsia="Times New Roman" w:hAnsi="Arial" w:cs="Times New Roman"/>
          <w:sz w:val="20"/>
          <w:lang w:eastAsia="en-AU"/>
        </w:rPr>
        <w:t>F</w:t>
      </w:r>
      <w:r w:rsidR="00665401" w:rsidRPr="00C97518">
        <w:rPr>
          <w:rFonts w:ascii="Arial" w:eastAsia="Times New Roman" w:hAnsi="Arial" w:cs="Times New Roman"/>
          <w:sz w:val="20"/>
          <w:lang w:eastAsia="en-AU"/>
        </w:rPr>
        <w:t>rom 4-10 MHz below the band edge</w:t>
      </w:r>
      <w:r w:rsidR="002F6442">
        <w:rPr>
          <w:rFonts w:ascii="Arial" w:eastAsia="Times New Roman" w:hAnsi="Arial" w:cs="Times New Roman"/>
          <w:sz w:val="20"/>
          <w:lang w:eastAsia="en-AU"/>
        </w:rPr>
        <w:t xml:space="preserve"> </w:t>
      </w:r>
      <w:r w:rsidR="002F6442" w:rsidRPr="00C97518">
        <w:rPr>
          <w:rFonts w:ascii="Arial" w:eastAsia="Times New Roman" w:hAnsi="Arial" w:cs="Times New Roman"/>
          <w:sz w:val="20"/>
          <w:lang w:eastAsia="en-AU"/>
        </w:rPr>
        <w:t>(2100-2106 MHz)</w:t>
      </w:r>
      <w:r w:rsidR="00665401" w:rsidRPr="00C97518">
        <w:rPr>
          <w:rFonts w:ascii="Arial" w:eastAsia="Times New Roman" w:hAnsi="Arial" w:cs="Times New Roman"/>
          <w:sz w:val="20"/>
          <w:lang w:eastAsia="en-AU"/>
        </w:rPr>
        <w:t>, the existing non-spurious emission limits defined for 2 GHz spectrum licences</w:t>
      </w:r>
      <w:r w:rsidR="00912DB1">
        <w:rPr>
          <w:rFonts w:ascii="Arial" w:eastAsia="Times New Roman" w:hAnsi="Arial" w:cs="Times New Roman"/>
          <w:sz w:val="20"/>
          <w:lang w:eastAsia="en-AU"/>
        </w:rPr>
        <w:t xml:space="preserve"> (noting two different levels are specified in this range)</w:t>
      </w:r>
      <w:r w:rsidR="00665401" w:rsidRPr="00C97518">
        <w:rPr>
          <w:rFonts w:ascii="Arial" w:eastAsia="Times New Roman" w:hAnsi="Arial" w:cs="Times New Roman"/>
          <w:sz w:val="20"/>
          <w:lang w:eastAsia="en-AU"/>
        </w:rPr>
        <w:t>; and</w:t>
      </w:r>
    </w:p>
    <w:p w14:paraId="7F6EB282" w14:textId="32D84035" w:rsidR="00665401" w:rsidRPr="00C97518" w:rsidRDefault="00665401" w:rsidP="00551EA4">
      <w:pPr>
        <w:pStyle w:val="ListParagraph"/>
        <w:numPr>
          <w:ilvl w:val="0"/>
          <w:numId w:val="17"/>
        </w:numPr>
        <w:rPr>
          <w:rFonts w:ascii="Arial" w:eastAsia="Times New Roman" w:hAnsi="Arial" w:cs="Times New Roman"/>
          <w:sz w:val="20"/>
          <w:lang w:eastAsia="en-AU"/>
        </w:rPr>
      </w:pPr>
      <w:r w:rsidRPr="00C97518">
        <w:rPr>
          <w:rFonts w:ascii="Arial" w:eastAsia="Times New Roman" w:hAnsi="Arial" w:cs="Times New Roman"/>
          <w:sz w:val="20"/>
          <w:lang w:eastAsia="en-AU"/>
        </w:rPr>
        <w:t xml:space="preserve">10 MHz </w:t>
      </w:r>
      <w:r w:rsidR="00594548" w:rsidRPr="00C97518">
        <w:rPr>
          <w:rFonts w:ascii="Arial" w:eastAsia="Times New Roman" w:hAnsi="Arial" w:cs="Times New Roman"/>
          <w:sz w:val="20"/>
          <w:lang w:eastAsia="en-AU"/>
        </w:rPr>
        <w:t xml:space="preserve">below the band edge </w:t>
      </w:r>
      <w:r w:rsidRPr="00C97518">
        <w:rPr>
          <w:rFonts w:ascii="Arial" w:eastAsia="Times New Roman" w:hAnsi="Arial" w:cs="Times New Roman"/>
          <w:sz w:val="20"/>
          <w:lang w:eastAsia="en-AU"/>
        </w:rPr>
        <w:t xml:space="preserve">(below 2100 MHz), a radiated </w:t>
      </w:r>
      <w:r w:rsidR="002F6442">
        <w:rPr>
          <w:rFonts w:ascii="Arial" w:eastAsia="Times New Roman" w:hAnsi="Arial" w:cs="Times New Roman"/>
          <w:sz w:val="20"/>
          <w:lang w:eastAsia="en-AU"/>
        </w:rPr>
        <w:t xml:space="preserve">power </w:t>
      </w:r>
      <w:r w:rsidRPr="00C97518">
        <w:rPr>
          <w:rFonts w:ascii="Arial" w:eastAsia="Times New Roman" w:hAnsi="Arial" w:cs="Times New Roman"/>
          <w:sz w:val="20"/>
          <w:lang w:eastAsia="en-AU"/>
        </w:rPr>
        <w:t>level of -11 dBm/MHz</w:t>
      </w:r>
      <w:r w:rsidR="007F07E6">
        <w:rPr>
          <w:rFonts w:ascii="Arial" w:eastAsia="Times New Roman" w:hAnsi="Arial" w:cs="Times New Roman"/>
          <w:sz w:val="20"/>
          <w:lang w:eastAsia="en-AU"/>
        </w:rPr>
        <w:t xml:space="preserve"> which</w:t>
      </w:r>
      <w:r w:rsidR="005B2C80">
        <w:rPr>
          <w:rFonts w:ascii="Arial" w:eastAsia="Times New Roman" w:hAnsi="Arial" w:cs="Times New Roman"/>
          <w:sz w:val="20"/>
          <w:lang w:eastAsia="en-AU"/>
        </w:rPr>
        <w:t xml:space="preserve">. </w:t>
      </w:r>
      <w:r w:rsidR="00551EA4">
        <w:rPr>
          <w:rFonts w:ascii="Arial" w:eastAsia="Times New Roman" w:hAnsi="Arial" w:cs="Times New Roman"/>
          <w:sz w:val="20"/>
          <w:lang w:eastAsia="en-AU"/>
        </w:rPr>
        <w:t xml:space="preserve">This </w:t>
      </w:r>
      <w:r w:rsidR="00551EA4" w:rsidRPr="004C13AA">
        <w:rPr>
          <w:rFonts w:ascii="Arial" w:eastAsia="Times New Roman" w:hAnsi="Arial" w:cs="Times New Roman"/>
          <w:sz w:val="20"/>
          <w:lang w:eastAsia="en-AU"/>
        </w:rPr>
        <w:t xml:space="preserve">is based on the </w:t>
      </w:r>
      <w:r w:rsidR="00551EA4">
        <w:rPr>
          <w:rFonts w:ascii="Arial" w:eastAsia="Times New Roman" w:hAnsi="Arial" w:cs="Times New Roman"/>
          <w:sz w:val="20"/>
          <w:lang w:eastAsia="en-AU"/>
        </w:rPr>
        <w:t xml:space="preserve">Category B </w:t>
      </w:r>
      <w:r w:rsidR="00551EA4" w:rsidRPr="004C13AA">
        <w:rPr>
          <w:rFonts w:ascii="Arial" w:eastAsia="Times New Roman" w:hAnsi="Arial" w:cs="Times New Roman"/>
          <w:sz w:val="20"/>
          <w:lang w:eastAsia="en-AU"/>
        </w:rPr>
        <w:t>spurious emission limit for LTE base station transmitters</w:t>
      </w:r>
      <w:r w:rsidR="00551EA4">
        <w:rPr>
          <w:rFonts w:ascii="Arial" w:eastAsia="Times New Roman" w:hAnsi="Arial" w:cs="Times New Roman"/>
          <w:sz w:val="20"/>
          <w:lang w:eastAsia="en-AU"/>
        </w:rPr>
        <w:t xml:space="preserve"> above 1 GHz</w:t>
      </w:r>
      <w:r w:rsidR="00551EA4" w:rsidRPr="004C13AA">
        <w:rPr>
          <w:rFonts w:ascii="Arial" w:eastAsia="Times New Roman" w:hAnsi="Arial" w:cs="Times New Roman"/>
          <w:sz w:val="20"/>
          <w:lang w:eastAsia="en-AU"/>
        </w:rPr>
        <w:t xml:space="preserve"> </w:t>
      </w:r>
      <w:r w:rsidR="00551EA4">
        <w:rPr>
          <w:rFonts w:ascii="Arial" w:eastAsia="Times New Roman" w:hAnsi="Arial" w:cs="Times New Roman"/>
          <w:sz w:val="20"/>
          <w:lang w:eastAsia="en-AU"/>
        </w:rPr>
        <w:t xml:space="preserve">(i.e. -30 dBm/MHz) </w:t>
      </w:r>
      <w:r w:rsidR="00551EA4" w:rsidRPr="004C13AA">
        <w:rPr>
          <w:rFonts w:ascii="Arial" w:eastAsia="Times New Roman" w:hAnsi="Arial" w:cs="Times New Roman"/>
          <w:sz w:val="20"/>
          <w:lang w:eastAsia="en-AU"/>
        </w:rPr>
        <w:t>with the addition of a 19 dBi gain antenna (feeder losses have not been included to provide flexibility for the re-registration of ex</w:t>
      </w:r>
      <w:r w:rsidR="00551EA4">
        <w:rPr>
          <w:rFonts w:ascii="Arial" w:eastAsia="Times New Roman" w:hAnsi="Arial" w:cs="Times New Roman"/>
          <w:sz w:val="20"/>
          <w:lang w:eastAsia="en-AU"/>
        </w:rPr>
        <w:t>isting equipment). It applies at a 10 MHz offset since 3GPP 36.104 states that the</w:t>
      </w:r>
      <w:r w:rsidR="00551EA4" w:rsidRPr="004C13AA">
        <w:rPr>
          <w:rFonts w:ascii="Arial" w:eastAsia="Times New Roman" w:hAnsi="Arial" w:cs="Times New Roman"/>
          <w:sz w:val="20"/>
          <w:lang w:eastAsia="en-AU"/>
        </w:rPr>
        <w:t xml:space="preserve"> spurious domain </w:t>
      </w:r>
      <w:r w:rsidR="00551EA4">
        <w:rPr>
          <w:rFonts w:ascii="Arial" w:eastAsia="Times New Roman" w:hAnsi="Arial" w:cs="Times New Roman"/>
          <w:sz w:val="20"/>
          <w:lang w:eastAsia="en-AU"/>
        </w:rPr>
        <w:t>for LTE base stations commences</w:t>
      </w:r>
      <w:r w:rsidR="00551EA4" w:rsidRPr="004C13AA">
        <w:rPr>
          <w:rFonts w:ascii="Arial" w:eastAsia="Times New Roman" w:hAnsi="Arial" w:cs="Times New Roman"/>
          <w:sz w:val="20"/>
          <w:lang w:eastAsia="en-AU"/>
        </w:rPr>
        <w:t xml:space="preserve"> ± 10 MHz outside the 2110-2170 MHz band.</w:t>
      </w:r>
      <w:r w:rsidR="00551EA4">
        <w:rPr>
          <w:rFonts w:ascii="Arial" w:eastAsia="Times New Roman" w:hAnsi="Arial" w:cs="Times New Roman"/>
          <w:sz w:val="20"/>
          <w:lang w:eastAsia="en-AU"/>
        </w:rPr>
        <w:t xml:space="preserve"> </w:t>
      </w:r>
    </w:p>
    <w:p w14:paraId="513D1899" w14:textId="77777777" w:rsidR="008C3AB0" w:rsidRPr="00C97518" w:rsidRDefault="008C3AB0" w:rsidP="008C3AB0"/>
    <w:p w14:paraId="7ADD3C1A" w14:textId="1E94E81A" w:rsidR="00BA6F28" w:rsidRPr="00C97518" w:rsidRDefault="00665401" w:rsidP="00BA6F28">
      <w:r w:rsidRPr="00C97518">
        <w:t xml:space="preserve">A stricter unwanted emission level is defined </w:t>
      </w:r>
      <w:r w:rsidR="0078393C">
        <w:t xml:space="preserve">for most frequency offsets </w:t>
      </w:r>
      <w:r w:rsidRPr="00C97518">
        <w:t>below 2110 MHz to provide</w:t>
      </w:r>
      <w:r w:rsidR="007845D0">
        <w:t xml:space="preserve"> for</w:t>
      </w:r>
      <w:r w:rsidRPr="00C97518">
        <w:t xml:space="preserve"> coexistence with Television Outside Broadcasting (TOB) services operating in 2010-2110 MHz frequency range. RALI FX21 indicates that TOB services operate at frequencies below 2106 MHz. Therefore, the unwanted emission limits have been relaxed in the 2106-2110 MHz frequency range. However, in order to maintain a similar interference environment as currently exists below 2106 MHz, the </w:t>
      </w:r>
      <w:r w:rsidR="0098122A">
        <w:t>existing</w:t>
      </w:r>
      <w:r w:rsidRPr="00C97518">
        <w:t xml:space="preserve"> emission limits </w:t>
      </w:r>
      <w:r w:rsidR="002F6442">
        <w:t xml:space="preserve">are </w:t>
      </w:r>
      <w:r w:rsidR="0098122A">
        <w:t>proposed to be maintained</w:t>
      </w:r>
      <w:r w:rsidRPr="00C97518">
        <w:t xml:space="preserve"> </w:t>
      </w:r>
      <w:r w:rsidR="002F6442">
        <w:t>in the 2100-</w:t>
      </w:r>
      <w:r w:rsidRPr="00C97518">
        <w:t>2106 MHz</w:t>
      </w:r>
      <w:r w:rsidR="002F6442">
        <w:t xml:space="preserve"> range</w:t>
      </w:r>
      <w:r w:rsidRPr="00C97518">
        <w:t>.</w:t>
      </w:r>
      <w:r w:rsidR="002F6442">
        <w:t xml:space="preserve"> Emissions below 2100 MHz have been made 10 dB stricter than currently defined levels</w:t>
      </w:r>
      <w:r w:rsidR="00551EA4">
        <w:t>. This is a result of the methodology use</w:t>
      </w:r>
      <w:r w:rsidR="00993282">
        <w:t>d</w:t>
      </w:r>
      <w:r w:rsidR="00551EA4">
        <w:t xml:space="preserve"> to determine </w:t>
      </w:r>
      <w:r w:rsidR="00993282">
        <w:t xml:space="preserve">radiated </w:t>
      </w:r>
      <w:r w:rsidR="00551EA4">
        <w:t xml:space="preserve">unwanted emission </w:t>
      </w:r>
      <w:r w:rsidR="00993282">
        <w:t xml:space="preserve">limits </w:t>
      </w:r>
      <w:r w:rsidR="00551EA4">
        <w:t>in the spurious domain</w:t>
      </w:r>
      <w:r w:rsidR="00C06149">
        <w:t xml:space="preserve">, i.e. the use of Category B spurious emission </w:t>
      </w:r>
      <w:r w:rsidR="00C06149">
        <w:lastRenderedPageBreak/>
        <w:t xml:space="preserve">limits </w:t>
      </w:r>
      <w:r w:rsidR="00C06149" w:rsidRPr="004C13AA">
        <w:t>with the addition of a 19 dBi gain antenna</w:t>
      </w:r>
      <w:r w:rsidR="00C06149">
        <w:t>.</w:t>
      </w:r>
      <w:r w:rsidR="00C06149" w:rsidDel="00C06149">
        <w:t xml:space="preserve"> </w:t>
      </w:r>
      <w:r w:rsidR="00BA6F28" w:rsidRPr="00C97518">
        <w:t xml:space="preserve">The resulting radiated unwanted emission limits below 2110 MHz are shown in Table B1.2. </w:t>
      </w:r>
      <w:r w:rsidR="00671568">
        <w:t xml:space="preserve">Note: </w:t>
      </w:r>
      <w:r w:rsidR="00671568">
        <w:rPr>
          <w:rFonts w:ascii="TimesNewRoman,Bold" w:hAnsi="TimesNewRoman,Bold" w:cs="TimesNewRoman,Bold"/>
          <w:b/>
          <w:bCs/>
          <w:sz w:val="21"/>
          <w:szCs w:val="21"/>
        </w:rPr>
        <w:t>f</w:t>
      </w:r>
      <w:r w:rsidR="00671568">
        <w:rPr>
          <w:rFonts w:ascii="TimesNewRoman,Bold" w:hAnsi="TimesNewRoman,Bold" w:cs="TimesNewRoman,Bold"/>
          <w:b/>
          <w:bCs/>
          <w:sz w:val="14"/>
          <w:szCs w:val="14"/>
        </w:rPr>
        <w:t xml:space="preserve">offset </w:t>
      </w:r>
      <w:r w:rsidR="00671568">
        <w:rPr>
          <w:rFonts w:ascii="TimesNewRoman" w:hAnsi="TimesNewRoman" w:cs="TimesNewRoman"/>
          <w:sz w:val="21"/>
          <w:szCs w:val="21"/>
        </w:rPr>
        <w:t xml:space="preserve">is the frequency offset below 2110 MHz. The closest -3dB point of the specified bandwidth to the 2110 MHz band edge is placed at </w:t>
      </w:r>
      <w:r w:rsidR="00671568">
        <w:rPr>
          <w:rFonts w:ascii="TimesNewRoman,Bold" w:hAnsi="TimesNewRoman,Bold" w:cs="TimesNewRoman,Bold"/>
          <w:b/>
          <w:bCs/>
          <w:sz w:val="21"/>
          <w:szCs w:val="21"/>
        </w:rPr>
        <w:t>f</w:t>
      </w:r>
      <w:r w:rsidR="00671568">
        <w:rPr>
          <w:rFonts w:ascii="TimesNewRoman,Bold" w:hAnsi="TimesNewRoman,Bold" w:cs="TimesNewRoman,Bold"/>
          <w:b/>
          <w:bCs/>
          <w:sz w:val="14"/>
          <w:szCs w:val="14"/>
        </w:rPr>
        <w:t>offset.</w:t>
      </w:r>
    </w:p>
    <w:p w14:paraId="5DE2AD97" w14:textId="24A04ED9" w:rsidR="00C00817" w:rsidRPr="00C97518" w:rsidRDefault="00C00817" w:rsidP="00C00817">
      <w:pPr>
        <w:pStyle w:val="ACMATableHeader"/>
        <w:numPr>
          <w:ilvl w:val="0"/>
          <w:numId w:val="0"/>
        </w:numPr>
        <w:ind w:left="964" w:hanging="964"/>
      </w:pPr>
      <w:r w:rsidRPr="00C97518">
        <w:t>Table B1</w:t>
      </w:r>
      <w:r w:rsidR="00BA6F28" w:rsidRPr="00C97518">
        <w:t>.2</w:t>
      </w:r>
      <w:r w:rsidRPr="00C97518">
        <w:t>:</w:t>
      </w:r>
      <w:r w:rsidRPr="00C97518">
        <w:tab/>
        <w:t>R</w:t>
      </w:r>
      <w:r w:rsidRPr="00C97518">
        <w:rPr>
          <w:rFonts w:eastAsiaTheme="minorEastAsia"/>
          <w:szCs w:val="22"/>
          <w:lang w:eastAsia="en-US"/>
        </w:rPr>
        <w:t xml:space="preserve">adiated unwanted emission limits </w:t>
      </w:r>
      <w:r w:rsidR="00594548" w:rsidRPr="00C97518">
        <w:rPr>
          <w:rFonts w:eastAsiaTheme="minorEastAsia"/>
          <w:szCs w:val="22"/>
          <w:lang w:eastAsia="en-US"/>
        </w:rPr>
        <w:t>below</w:t>
      </w:r>
      <w:r w:rsidRPr="00C97518">
        <w:rPr>
          <w:rFonts w:eastAsiaTheme="minorEastAsia"/>
          <w:szCs w:val="22"/>
          <w:lang w:eastAsia="en-US"/>
        </w:rPr>
        <w:t xml:space="preserve"> the 2110 MHz band</w:t>
      </w:r>
      <w:r w:rsidRPr="00C97518">
        <w:t xml:space="preserve"> edge</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C00817" w:rsidRPr="00C97518" w14:paraId="40AEF937" w14:textId="77777777" w:rsidTr="00C00817">
        <w:trPr>
          <w:trHeight w:val="547"/>
          <w:tblHeader/>
        </w:trPr>
        <w:tc>
          <w:tcPr>
            <w:tcW w:w="2539" w:type="dxa"/>
            <w:tcBorders>
              <w:top w:val="single" w:sz="4" w:space="0" w:color="auto"/>
              <w:left w:val="nil"/>
              <w:bottom w:val="single" w:sz="4" w:space="0" w:color="auto"/>
              <w:right w:val="nil"/>
            </w:tcBorders>
            <w:shd w:val="clear" w:color="auto" w:fill="404040" w:themeFill="text1" w:themeFillTint="BF"/>
          </w:tcPr>
          <w:p w14:paraId="5C2A6D52" w14:textId="77777777" w:rsidR="00C00817" w:rsidRPr="00C97518" w:rsidRDefault="00C00817" w:rsidP="00150E2F">
            <w:pPr>
              <w:pStyle w:val="TableHeading"/>
              <w:rPr>
                <w:color w:val="FFFFFF" w:themeColor="background1"/>
              </w:rPr>
            </w:pPr>
            <w:r w:rsidRPr="00C97518">
              <w:rPr>
                <w:color w:val="FFFFFF" w:themeColor="background1"/>
              </w:rPr>
              <w:t>Frequency offset range</w:t>
            </w:r>
          </w:p>
        </w:tc>
        <w:tc>
          <w:tcPr>
            <w:tcW w:w="3818" w:type="dxa"/>
            <w:tcBorders>
              <w:top w:val="single" w:sz="4" w:space="0" w:color="auto"/>
              <w:left w:val="nil"/>
              <w:bottom w:val="single" w:sz="4" w:space="0" w:color="auto"/>
              <w:right w:val="nil"/>
            </w:tcBorders>
            <w:shd w:val="clear" w:color="auto" w:fill="404040" w:themeFill="text1" w:themeFillTint="BF"/>
          </w:tcPr>
          <w:p w14:paraId="62B0B91B" w14:textId="77777777" w:rsidR="00C00817" w:rsidRPr="00C97518" w:rsidRDefault="00C00817" w:rsidP="00150E2F">
            <w:pPr>
              <w:pStyle w:val="TableHeading"/>
              <w:jc w:val="center"/>
              <w:rPr>
                <w:color w:val="FFFFFF" w:themeColor="background1"/>
              </w:rPr>
            </w:pPr>
            <w:r w:rsidRPr="00C97518">
              <w:rPr>
                <w:color w:val="FFFFFF" w:themeColor="background1"/>
              </w:rPr>
              <w:t>Radiated maximum true mean power</w:t>
            </w:r>
          </w:p>
          <w:p w14:paraId="30BA243D" w14:textId="77777777" w:rsidR="00C00817" w:rsidRPr="00C97518" w:rsidRDefault="00C00817" w:rsidP="00150E2F">
            <w:pPr>
              <w:pStyle w:val="TableHeading"/>
              <w:jc w:val="center"/>
              <w:rPr>
                <w:color w:val="FFFFFF" w:themeColor="background1"/>
              </w:rPr>
            </w:pPr>
            <w:r w:rsidRPr="00C97518">
              <w:rPr>
                <w:color w:val="FFFFFF" w:themeColor="background1"/>
              </w:rPr>
              <w:t>(dBm EIRP)</w:t>
            </w:r>
          </w:p>
        </w:tc>
        <w:tc>
          <w:tcPr>
            <w:tcW w:w="2295" w:type="dxa"/>
            <w:tcBorders>
              <w:top w:val="single" w:sz="4" w:space="0" w:color="auto"/>
              <w:left w:val="nil"/>
              <w:bottom w:val="single" w:sz="4" w:space="0" w:color="auto"/>
              <w:right w:val="nil"/>
            </w:tcBorders>
            <w:shd w:val="clear" w:color="auto" w:fill="404040" w:themeFill="text1" w:themeFillTint="BF"/>
          </w:tcPr>
          <w:p w14:paraId="700D136C" w14:textId="77777777" w:rsidR="00C00817" w:rsidRPr="00C97518" w:rsidRDefault="00C00817" w:rsidP="00150E2F">
            <w:pPr>
              <w:pStyle w:val="TableHeading"/>
              <w:jc w:val="center"/>
              <w:rPr>
                <w:color w:val="FFFFFF" w:themeColor="background1"/>
              </w:rPr>
            </w:pPr>
            <w:r w:rsidRPr="00C97518">
              <w:rPr>
                <w:color w:val="FFFFFF" w:themeColor="background1"/>
              </w:rPr>
              <w:t>Specified bandwidth</w:t>
            </w:r>
          </w:p>
        </w:tc>
      </w:tr>
      <w:tr w:rsidR="00C00817" w:rsidRPr="00C97518" w14:paraId="5190E66E" w14:textId="77777777" w:rsidTr="00150E2F">
        <w:trPr>
          <w:tblHeader/>
        </w:trPr>
        <w:tc>
          <w:tcPr>
            <w:tcW w:w="2539" w:type="dxa"/>
            <w:tcBorders>
              <w:top w:val="single" w:sz="4" w:space="0" w:color="auto"/>
              <w:left w:val="nil"/>
              <w:bottom w:val="single" w:sz="4" w:space="0" w:color="auto"/>
              <w:right w:val="nil"/>
            </w:tcBorders>
            <w:vAlign w:val="center"/>
          </w:tcPr>
          <w:p w14:paraId="139B8AE0" w14:textId="3EECF1FE" w:rsidR="00C00817" w:rsidRPr="00C97518" w:rsidRDefault="00C00817" w:rsidP="00C00817">
            <w:pPr>
              <w:pStyle w:val="TableBody"/>
              <w:keepNext/>
              <w:keepLines/>
              <w:rPr>
                <w:rFonts w:cs="Arial"/>
              </w:rPr>
            </w:pPr>
            <w:r w:rsidRPr="00C97518">
              <w:rPr>
                <w:rFonts w:eastAsiaTheme="minorEastAsia"/>
                <w:szCs w:val="20"/>
                <w:lang w:eastAsia="en-US"/>
              </w:rPr>
              <w:t>0 kHz ≤ f</w:t>
            </w:r>
            <w:r w:rsidRPr="00C97518">
              <w:rPr>
                <w:rFonts w:eastAsiaTheme="minorEastAsia"/>
                <w:szCs w:val="20"/>
                <w:vertAlign w:val="subscript"/>
                <w:lang w:eastAsia="en-US"/>
              </w:rPr>
              <w:t>offset</w:t>
            </w:r>
            <w:r w:rsidRPr="00C97518">
              <w:rPr>
                <w:rFonts w:eastAsiaTheme="minorEastAsia"/>
                <w:szCs w:val="20"/>
                <w:lang w:eastAsia="en-US"/>
              </w:rPr>
              <w:t xml:space="preserve"> &lt; 4 MHz</w:t>
            </w:r>
          </w:p>
        </w:tc>
        <w:tc>
          <w:tcPr>
            <w:tcW w:w="3818" w:type="dxa"/>
            <w:tcBorders>
              <w:top w:val="single" w:sz="4" w:space="0" w:color="auto"/>
              <w:left w:val="nil"/>
              <w:bottom w:val="single" w:sz="4" w:space="0" w:color="auto"/>
              <w:right w:val="nil"/>
            </w:tcBorders>
            <w:vAlign w:val="center"/>
          </w:tcPr>
          <w:p w14:paraId="512B6953" w14:textId="48293B68" w:rsidR="00C00817" w:rsidRPr="00C97518" w:rsidRDefault="00B65E03" w:rsidP="00C00817">
            <w:pPr>
              <w:pStyle w:val="TableBody"/>
              <w:keepNext/>
              <w:keepLines/>
              <w:jc w:val="center"/>
              <w:rPr>
                <w:rFonts w:cs="Arial"/>
              </w:rPr>
            </w:pPr>
            <m:oMathPara>
              <m:oMath>
                <m:r>
                  <m:rPr>
                    <m:sty m:val="p"/>
                  </m:rPr>
                  <w:rPr>
                    <w:rFonts w:ascii="Cambria Math" w:eastAsiaTheme="minorEastAsia"/>
                    <w:szCs w:val="20"/>
                    <w:lang w:eastAsia="en-US"/>
                  </w:rPr>
                  <m:t>11</m:t>
                </m:r>
                <m:r>
                  <m:rPr>
                    <m:sty m:val="p"/>
                  </m:rPr>
                  <w:rPr>
                    <w:rFonts w:ascii="Cambria Math" w:eastAsiaTheme="minorEastAsia" w:hAnsi="Cambria Math"/>
                    <w:szCs w:val="20"/>
                    <w:lang w:eastAsia="en-US"/>
                  </w:rPr>
                  <m:t>-</m:t>
                </m:r>
                <m:d>
                  <m:dPr>
                    <m:ctrlPr>
                      <w:rPr>
                        <w:rFonts w:ascii="Cambria Math" w:eastAsiaTheme="minorEastAsia" w:hAnsi="Cambria Math"/>
                        <w:i/>
                        <w:szCs w:val="20"/>
                        <w:lang w:eastAsia="en-US"/>
                      </w:rPr>
                    </m:ctrlPr>
                  </m:dPr>
                  <m:e>
                    <m:f>
                      <m:fPr>
                        <m:type m:val="lin"/>
                        <m:ctrlPr>
                          <w:rPr>
                            <w:rFonts w:ascii="Cambria Math" w:eastAsiaTheme="minorEastAsia" w:hAnsi="Cambria Math"/>
                            <w:i/>
                            <w:szCs w:val="20"/>
                            <w:lang w:eastAsia="en-US"/>
                          </w:rPr>
                        </m:ctrlPr>
                      </m:fPr>
                      <m:num>
                        <m:r>
                          <w:rPr>
                            <w:rFonts w:ascii="Cambria Math" w:eastAsiaTheme="minorEastAsia"/>
                            <w:szCs w:val="20"/>
                            <w:lang w:eastAsia="en-US"/>
                          </w:rPr>
                          <m:t>7</m:t>
                        </m:r>
                      </m:num>
                      <m:den>
                        <m:r>
                          <w:rPr>
                            <w:rFonts w:ascii="Cambria Math" w:eastAsiaTheme="minorEastAsia"/>
                            <w:szCs w:val="20"/>
                            <w:lang w:eastAsia="en-US"/>
                          </w:rPr>
                          <m:t>5</m:t>
                        </m:r>
                      </m:den>
                    </m:f>
                  </m:e>
                </m:d>
                <m:r>
                  <w:rPr>
                    <w:rFonts w:ascii="Cambria Math" w:eastAsiaTheme="minorEastAsia" w:hAnsi="Cambria Math"/>
                    <w:szCs w:val="20"/>
                    <w:lang w:eastAsia="en-US"/>
                  </w:rPr>
                  <m:t>×</m:t>
                </m:r>
                <m:sSub>
                  <m:sSubPr>
                    <m:ctrlPr>
                      <w:rPr>
                        <w:rFonts w:ascii="Cambria Math" w:eastAsiaTheme="minorEastAsia" w:hAnsi="Cambria Math"/>
                        <w:i/>
                        <w:szCs w:val="20"/>
                        <w:lang w:eastAsia="en-US"/>
                      </w:rPr>
                    </m:ctrlPr>
                  </m:sSubPr>
                  <m:e>
                    <m:r>
                      <w:rPr>
                        <w:rFonts w:ascii="Cambria Math" w:eastAsiaTheme="minorEastAsia" w:hAnsi="Cambria Math"/>
                        <w:szCs w:val="20"/>
                        <w:lang w:eastAsia="en-US"/>
                      </w:rPr>
                      <m:t>f</m:t>
                    </m:r>
                  </m:e>
                  <m:sub>
                    <m:r>
                      <w:rPr>
                        <w:rFonts w:ascii="Cambria Math" w:eastAsiaTheme="minorEastAsia" w:hAnsi="Cambria Math"/>
                        <w:szCs w:val="20"/>
                        <w:lang w:eastAsia="en-US"/>
                      </w:rPr>
                      <m:t>offset</m:t>
                    </m:r>
                  </m:sub>
                </m:sSub>
                <m:d>
                  <m:dPr>
                    <m:ctrlPr>
                      <w:rPr>
                        <w:rFonts w:ascii="Cambria Math" w:eastAsiaTheme="minorEastAsia" w:hAnsi="Cambria Math"/>
                        <w:i/>
                        <w:szCs w:val="20"/>
                        <w:lang w:eastAsia="en-US"/>
                      </w:rPr>
                    </m:ctrlPr>
                  </m:dPr>
                  <m:e>
                    <m:r>
                      <w:rPr>
                        <w:rFonts w:ascii="Cambria Math" w:eastAsiaTheme="minorEastAsia" w:hAnsi="Cambria Math"/>
                        <w:szCs w:val="20"/>
                        <w:lang w:eastAsia="en-US"/>
                      </w:rPr>
                      <m:t>MHz</m:t>
                    </m:r>
                  </m:e>
                </m:d>
              </m:oMath>
            </m:oMathPara>
          </w:p>
        </w:tc>
        <w:tc>
          <w:tcPr>
            <w:tcW w:w="2295" w:type="dxa"/>
            <w:tcBorders>
              <w:top w:val="single" w:sz="4" w:space="0" w:color="auto"/>
              <w:left w:val="nil"/>
              <w:bottom w:val="single" w:sz="4" w:space="0" w:color="auto"/>
              <w:right w:val="nil"/>
            </w:tcBorders>
            <w:vAlign w:val="center"/>
          </w:tcPr>
          <w:p w14:paraId="0974669A" w14:textId="56869797" w:rsidR="00C00817" w:rsidRPr="00C97518" w:rsidRDefault="00C00817" w:rsidP="00C00817">
            <w:pPr>
              <w:pStyle w:val="TableBody"/>
              <w:keepNext/>
              <w:keepLines/>
              <w:jc w:val="center"/>
              <w:rPr>
                <w:rFonts w:cs="Arial"/>
              </w:rPr>
            </w:pPr>
            <w:r w:rsidRPr="00C97518">
              <w:rPr>
                <w:rFonts w:eastAsiaTheme="minorEastAsia"/>
                <w:szCs w:val="20"/>
                <w:lang w:eastAsia="en-US"/>
              </w:rPr>
              <w:t>100 kHz</w:t>
            </w:r>
          </w:p>
        </w:tc>
      </w:tr>
      <w:tr w:rsidR="00C00817" w:rsidRPr="00C97518" w14:paraId="618FF8B4" w14:textId="77777777" w:rsidTr="00150E2F">
        <w:trPr>
          <w:tblHeader/>
        </w:trPr>
        <w:tc>
          <w:tcPr>
            <w:tcW w:w="2539" w:type="dxa"/>
            <w:tcBorders>
              <w:top w:val="single" w:sz="4" w:space="0" w:color="auto"/>
              <w:left w:val="nil"/>
              <w:bottom w:val="single" w:sz="4" w:space="0" w:color="auto"/>
              <w:right w:val="nil"/>
            </w:tcBorders>
            <w:shd w:val="clear" w:color="auto" w:fill="F2F2F2" w:themeFill="background1" w:themeFillShade="F2"/>
            <w:vAlign w:val="center"/>
          </w:tcPr>
          <w:p w14:paraId="3EE4E48D" w14:textId="3270B246" w:rsidR="00C00817" w:rsidRPr="00C97518" w:rsidRDefault="00C00817" w:rsidP="00C00817">
            <w:pPr>
              <w:pStyle w:val="TableBody"/>
              <w:keepNext/>
              <w:keepLines/>
              <w:rPr>
                <w:rFonts w:cs="Arial"/>
              </w:rPr>
            </w:pPr>
            <w:r w:rsidRPr="00C97518">
              <w:rPr>
                <w:rFonts w:eastAsiaTheme="minorEastAsia"/>
                <w:szCs w:val="20"/>
                <w:lang w:eastAsia="en-US"/>
              </w:rPr>
              <w:t>4 MHz ≤ f</w:t>
            </w:r>
            <w:r w:rsidRPr="00C97518">
              <w:rPr>
                <w:rFonts w:eastAsiaTheme="minorEastAsia"/>
                <w:szCs w:val="20"/>
                <w:vertAlign w:val="subscript"/>
                <w:lang w:eastAsia="en-US"/>
              </w:rPr>
              <w:t>offset</w:t>
            </w:r>
            <w:r w:rsidRPr="00C97518">
              <w:rPr>
                <w:rFonts w:eastAsiaTheme="minorEastAsia"/>
                <w:szCs w:val="20"/>
                <w:lang w:eastAsia="en-US"/>
              </w:rPr>
              <w:t xml:space="preserve"> &lt; 5 MHz</w:t>
            </w:r>
          </w:p>
        </w:tc>
        <w:tc>
          <w:tcPr>
            <w:tcW w:w="3818" w:type="dxa"/>
            <w:tcBorders>
              <w:top w:val="single" w:sz="4" w:space="0" w:color="auto"/>
              <w:left w:val="nil"/>
              <w:bottom w:val="single" w:sz="4" w:space="0" w:color="auto"/>
              <w:right w:val="nil"/>
            </w:tcBorders>
            <w:shd w:val="clear" w:color="auto" w:fill="F2F2F2" w:themeFill="background1" w:themeFillShade="F2"/>
            <w:vAlign w:val="center"/>
          </w:tcPr>
          <w:p w14:paraId="6E20BFD9" w14:textId="062D9C8F" w:rsidR="00C00817" w:rsidRPr="00C97518" w:rsidRDefault="00C00817" w:rsidP="00C00817">
            <w:pPr>
              <w:pStyle w:val="TableBody"/>
              <w:keepNext/>
              <w:keepLines/>
              <w:jc w:val="center"/>
              <w:rPr>
                <w:rFonts w:cs="Arial"/>
              </w:rPr>
            </w:pPr>
            <m:oMathPara>
              <m:oMath>
                <m:r>
                  <w:rPr>
                    <w:rFonts w:ascii="Cambria Math" w:hAnsi="Cambria Math"/>
                    <w:szCs w:val="22"/>
                    <w:lang w:eastAsia="en-US"/>
                  </w:rPr>
                  <m:t>-4</m:t>
                </m:r>
              </m:oMath>
            </m:oMathPara>
          </w:p>
        </w:tc>
        <w:tc>
          <w:tcPr>
            <w:tcW w:w="2295" w:type="dxa"/>
            <w:tcBorders>
              <w:top w:val="single" w:sz="4" w:space="0" w:color="auto"/>
              <w:left w:val="nil"/>
              <w:bottom w:val="single" w:sz="4" w:space="0" w:color="auto"/>
              <w:right w:val="nil"/>
            </w:tcBorders>
            <w:shd w:val="clear" w:color="auto" w:fill="F2F2F2" w:themeFill="background1" w:themeFillShade="F2"/>
            <w:vAlign w:val="center"/>
          </w:tcPr>
          <w:p w14:paraId="796CE4BC" w14:textId="73786857" w:rsidR="00C00817" w:rsidRPr="00C97518" w:rsidRDefault="00C00817" w:rsidP="00C00817">
            <w:pPr>
              <w:pStyle w:val="TableBody"/>
              <w:keepNext/>
              <w:keepLines/>
              <w:jc w:val="center"/>
              <w:rPr>
                <w:rFonts w:cs="Arial"/>
              </w:rPr>
            </w:pPr>
            <w:r w:rsidRPr="00C97518">
              <w:rPr>
                <w:rFonts w:eastAsiaTheme="minorEastAsia"/>
                <w:szCs w:val="20"/>
                <w:lang w:eastAsia="en-US"/>
              </w:rPr>
              <w:t>100 kHz</w:t>
            </w:r>
          </w:p>
        </w:tc>
      </w:tr>
      <w:tr w:rsidR="00C00817" w:rsidRPr="00C97518" w14:paraId="5912C8C4" w14:textId="77777777" w:rsidTr="00150E2F">
        <w:trPr>
          <w:tblHeader/>
        </w:trPr>
        <w:tc>
          <w:tcPr>
            <w:tcW w:w="2539" w:type="dxa"/>
            <w:tcBorders>
              <w:top w:val="single" w:sz="4" w:space="0" w:color="auto"/>
              <w:left w:val="nil"/>
              <w:bottom w:val="single" w:sz="4" w:space="0" w:color="auto"/>
              <w:right w:val="nil"/>
            </w:tcBorders>
            <w:vAlign w:val="center"/>
          </w:tcPr>
          <w:p w14:paraId="6B450DB2" w14:textId="77F25C63" w:rsidR="00C00817" w:rsidRPr="00C97518" w:rsidRDefault="00C00817" w:rsidP="00C00817">
            <w:pPr>
              <w:pStyle w:val="TableBody"/>
              <w:keepNext/>
              <w:keepLines/>
              <w:rPr>
                <w:rFonts w:cs="Arial"/>
              </w:rPr>
            </w:pPr>
            <w:r w:rsidRPr="00C97518">
              <w:rPr>
                <w:rFonts w:eastAsiaTheme="minorEastAsia"/>
                <w:szCs w:val="20"/>
                <w:lang w:eastAsia="en-US"/>
              </w:rPr>
              <w:t>5 MHz ≤ f</w:t>
            </w:r>
            <w:r w:rsidRPr="00C97518">
              <w:rPr>
                <w:rFonts w:eastAsiaTheme="minorEastAsia"/>
                <w:szCs w:val="20"/>
                <w:vertAlign w:val="subscript"/>
                <w:lang w:eastAsia="en-US"/>
              </w:rPr>
              <w:t>offset</w:t>
            </w:r>
            <w:r w:rsidRPr="00C97518">
              <w:rPr>
                <w:rFonts w:eastAsiaTheme="minorEastAsia"/>
                <w:szCs w:val="20"/>
                <w:lang w:eastAsia="en-US"/>
              </w:rPr>
              <w:t xml:space="preserve"> &lt; 10 MHz</w:t>
            </w:r>
          </w:p>
        </w:tc>
        <w:tc>
          <w:tcPr>
            <w:tcW w:w="3818" w:type="dxa"/>
            <w:tcBorders>
              <w:top w:val="single" w:sz="4" w:space="0" w:color="auto"/>
              <w:left w:val="nil"/>
              <w:bottom w:val="single" w:sz="4" w:space="0" w:color="auto"/>
              <w:right w:val="nil"/>
            </w:tcBorders>
            <w:vAlign w:val="center"/>
          </w:tcPr>
          <w:p w14:paraId="532B4C9D" w14:textId="55413C55" w:rsidR="00C00817" w:rsidRPr="00C97518" w:rsidRDefault="00C00817" w:rsidP="00C00817">
            <w:pPr>
              <w:pStyle w:val="TableBody"/>
              <w:keepNext/>
              <w:keepLines/>
              <w:jc w:val="center"/>
              <w:rPr>
                <w:rFonts w:cs="Arial"/>
              </w:rPr>
            </w:pPr>
            <m:oMathPara>
              <m:oMath>
                <m:r>
                  <w:rPr>
                    <w:rFonts w:ascii="Cambria Math" w:hAnsi="Cambria Math"/>
                    <w:szCs w:val="22"/>
                    <w:lang w:eastAsia="en-US"/>
                  </w:rPr>
                  <m:t>-1</m:t>
                </m:r>
              </m:oMath>
            </m:oMathPara>
          </w:p>
        </w:tc>
        <w:tc>
          <w:tcPr>
            <w:tcW w:w="2295" w:type="dxa"/>
            <w:tcBorders>
              <w:top w:val="single" w:sz="4" w:space="0" w:color="auto"/>
              <w:left w:val="nil"/>
              <w:bottom w:val="single" w:sz="4" w:space="0" w:color="auto"/>
              <w:right w:val="nil"/>
            </w:tcBorders>
            <w:vAlign w:val="center"/>
          </w:tcPr>
          <w:p w14:paraId="3F27130E" w14:textId="1F0509F5" w:rsidR="00C00817" w:rsidRPr="00C97518" w:rsidRDefault="00C00817" w:rsidP="00C00817">
            <w:pPr>
              <w:pStyle w:val="TableBody"/>
              <w:keepNext/>
              <w:keepLines/>
              <w:jc w:val="center"/>
              <w:rPr>
                <w:rFonts w:cs="Arial"/>
              </w:rPr>
            </w:pPr>
            <w:r w:rsidRPr="00C97518">
              <w:rPr>
                <w:rFonts w:eastAsiaTheme="minorEastAsia"/>
                <w:szCs w:val="20"/>
                <w:lang w:eastAsia="en-US"/>
              </w:rPr>
              <w:t>1 MHz</w:t>
            </w:r>
          </w:p>
        </w:tc>
      </w:tr>
      <w:tr w:rsidR="00C00817" w:rsidRPr="00C97518" w14:paraId="42C07A79" w14:textId="77777777" w:rsidTr="00150E2F">
        <w:trPr>
          <w:tblHeader/>
        </w:trPr>
        <w:tc>
          <w:tcPr>
            <w:tcW w:w="2539" w:type="dxa"/>
            <w:tcBorders>
              <w:top w:val="single" w:sz="4" w:space="0" w:color="auto"/>
              <w:left w:val="nil"/>
              <w:bottom w:val="single" w:sz="4" w:space="0" w:color="auto"/>
              <w:right w:val="nil"/>
            </w:tcBorders>
            <w:vAlign w:val="center"/>
          </w:tcPr>
          <w:p w14:paraId="1C8BB4CF" w14:textId="1F5BABF6" w:rsidR="00C00817" w:rsidRPr="00C97518" w:rsidRDefault="00C00817" w:rsidP="00C00817">
            <w:pPr>
              <w:pStyle w:val="TableBody"/>
              <w:keepNext/>
              <w:keepLines/>
              <w:rPr>
                <w:rFonts w:cs="Arial"/>
              </w:rPr>
            </w:pPr>
            <w:r w:rsidRPr="00C97518">
              <w:rPr>
                <w:rFonts w:eastAsiaTheme="minorEastAsia"/>
                <w:szCs w:val="20"/>
                <w:lang w:eastAsia="en-US"/>
              </w:rPr>
              <w:t>f</w:t>
            </w:r>
            <w:r w:rsidRPr="00C97518">
              <w:rPr>
                <w:rFonts w:eastAsiaTheme="minorEastAsia"/>
                <w:szCs w:val="20"/>
                <w:vertAlign w:val="subscript"/>
                <w:lang w:eastAsia="en-US"/>
              </w:rPr>
              <w:t>offset</w:t>
            </w:r>
            <w:r w:rsidRPr="00C97518">
              <w:rPr>
                <w:rFonts w:eastAsiaTheme="minorEastAsia"/>
                <w:szCs w:val="20"/>
                <w:lang w:eastAsia="en-US"/>
              </w:rPr>
              <w:t xml:space="preserve"> ≥ 10 MHz</w:t>
            </w:r>
          </w:p>
        </w:tc>
        <w:tc>
          <w:tcPr>
            <w:tcW w:w="3818" w:type="dxa"/>
            <w:tcBorders>
              <w:top w:val="single" w:sz="4" w:space="0" w:color="auto"/>
              <w:left w:val="nil"/>
              <w:bottom w:val="single" w:sz="4" w:space="0" w:color="auto"/>
              <w:right w:val="nil"/>
            </w:tcBorders>
            <w:vAlign w:val="center"/>
          </w:tcPr>
          <w:p w14:paraId="36A43D0B" w14:textId="1AE0B970" w:rsidR="00C00817" w:rsidRPr="00C97518" w:rsidRDefault="00C00817" w:rsidP="00C00817">
            <w:pPr>
              <w:pStyle w:val="TableBody"/>
              <w:keepNext/>
              <w:keepLines/>
              <w:jc w:val="center"/>
              <w:rPr>
                <w:rFonts w:cs="Arial"/>
              </w:rPr>
            </w:pPr>
            <m:oMath>
              <m:r>
                <w:rPr>
                  <w:rFonts w:ascii="Cambria Math" w:hAnsi="Cambria Math"/>
                  <w:szCs w:val="22"/>
                  <w:lang w:eastAsia="en-US"/>
                </w:rPr>
                <m:t>-</m:t>
              </m:r>
            </m:oMath>
            <w:r w:rsidRPr="00C97518">
              <w:rPr>
                <w:szCs w:val="22"/>
                <w:lang w:eastAsia="en-US"/>
              </w:rPr>
              <w:t>11</w:t>
            </w:r>
          </w:p>
        </w:tc>
        <w:tc>
          <w:tcPr>
            <w:tcW w:w="2295" w:type="dxa"/>
            <w:tcBorders>
              <w:top w:val="single" w:sz="4" w:space="0" w:color="auto"/>
              <w:left w:val="nil"/>
              <w:bottom w:val="single" w:sz="4" w:space="0" w:color="auto"/>
              <w:right w:val="nil"/>
            </w:tcBorders>
            <w:vAlign w:val="center"/>
          </w:tcPr>
          <w:p w14:paraId="55C6B2A6" w14:textId="3A36B296" w:rsidR="00C00817" w:rsidRPr="00C97518" w:rsidRDefault="00C00817" w:rsidP="00C00817">
            <w:pPr>
              <w:pStyle w:val="TableBody"/>
              <w:keepNext/>
              <w:keepLines/>
              <w:jc w:val="center"/>
              <w:rPr>
                <w:rFonts w:cs="Arial"/>
              </w:rPr>
            </w:pPr>
            <w:r w:rsidRPr="00C97518">
              <w:rPr>
                <w:rFonts w:eastAsiaTheme="minorEastAsia"/>
                <w:szCs w:val="20"/>
                <w:lang w:eastAsia="en-US"/>
              </w:rPr>
              <w:t>1 MHz</w:t>
            </w:r>
          </w:p>
        </w:tc>
      </w:tr>
    </w:tbl>
    <w:p w14:paraId="40ACE863" w14:textId="77777777" w:rsidR="00C00817" w:rsidRPr="00C97518" w:rsidRDefault="00C00817" w:rsidP="00C00817">
      <w:pPr>
        <w:pStyle w:val="ACMASpaceaftertable"/>
      </w:pPr>
    </w:p>
    <w:p w14:paraId="4AC2E8E9" w14:textId="626A7827" w:rsidR="00C00817" w:rsidRPr="00C97518" w:rsidRDefault="00C00817" w:rsidP="00C00817">
      <w:pPr>
        <w:rPr>
          <w:u w:val="single"/>
        </w:rPr>
      </w:pPr>
      <w:r w:rsidRPr="00C97518">
        <w:rPr>
          <w:u w:val="single"/>
        </w:rPr>
        <w:t xml:space="preserve">Unwanted Emission Limits </w:t>
      </w:r>
      <w:r w:rsidR="00551EA4">
        <w:rPr>
          <w:u w:val="single"/>
        </w:rPr>
        <w:t>above</w:t>
      </w:r>
      <w:r w:rsidRPr="00C97518">
        <w:rPr>
          <w:u w:val="single"/>
        </w:rPr>
        <w:t xml:space="preserve"> 2170 MHz </w:t>
      </w:r>
    </w:p>
    <w:p w14:paraId="224839BD" w14:textId="39F15973" w:rsidR="00594548" w:rsidRPr="00C97518" w:rsidRDefault="007552D9" w:rsidP="00594548">
      <w:pPr>
        <w:rPr>
          <w:rFonts w:eastAsiaTheme="minorEastAsia"/>
          <w:szCs w:val="22"/>
          <w:lang w:eastAsia="en-US"/>
        </w:rPr>
      </w:pPr>
      <w:r w:rsidRPr="00C97518">
        <w:rPr>
          <w:rFonts w:eastAsiaTheme="minorEastAsia"/>
          <w:szCs w:val="22"/>
          <w:lang w:eastAsia="en-US"/>
        </w:rPr>
        <w:t>For devices operating in the 2110-2170 MHz band,</w:t>
      </w:r>
      <w:r w:rsidRPr="00C97518">
        <w:t xml:space="preserve"> i</w:t>
      </w:r>
      <w:r w:rsidR="00594548" w:rsidRPr="00C97518">
        <w:t>t is proposed that the r</w:t>
      </w:r>
      <w:r w:rsidR="00594548" w:rsidRPr="00C97518">
        <w:rPr>
          <w:rFonts w:eastAsiaTheme="minorEastAsia"/>
          <w:szCs w:val="22"/>
          <w:lang w:eastAsia="en-US"/>
        </w:rPr>
        <w:t xml:space="preserve">adiated unwanted emission limits above 2170 MHz be based on: </w:t>
      </w:r>
    </w:p>
    <w:p w14:paraId="4020ADEE" w14:textId="29906C67" w:rsidR="00B65E03" w:rsidRDefault="00B52578" w:rsidP="007F07E6">
      <w:pPr>
        <w:pStyle w:val="ListParagraph"/>
        <w:numPr>
          <w:ilvl w:val="0"/>
          <w:numId w:val="17"/>
        </w:numPr>
        <w:rPr>
          <w:rFonts w:ascii="Arial" w:eastAsia="Times New Roman" w:hAnsi="Arial" w:cs="Times New Roman"/>
          <w:sz w:val="20"/>
          <w:lang w:eastAsia="en-AU"/>
        </w:rPr>
      </w:pPr>
      <w:r>
        <w:rPr>
          <w:rFonts w:ascii="Arial" w:eastAsia="Times New Roman" w:hAnsi="Arial" w:cs="Times New Roman"/>
          <w:sz w:val="20"/>
          <w:lang w:eastAsia="en-AU"/>
        </w:rPr>
        <w:t>F</w:t>
      </w:r>
      <w:r w:rsidR="00594548" w:rsidRPr="00B65E03">
        <w:rPr>
          <w:rFonts w:ascii="Arial" w:eastAsia="Times New Roman" w:hAnsi="Arial" w:cs="Times New Roman"/>
          <w:sz w:val="20"/>
          <w:lang w:eastAsia="en-AU"/>
        </w:rPr>
        <w:t>rom 0-10 MHz above the band edge (2170-2180 MHz), the levels stated in 3GPP 36.104 for Category B (option 1) wide-area base stations operating in bands greater than 1 GHz</w:t>
      </w:r>
      <w:r w:rsidR="00594548" w:rsidRPr="00C97518">
        <w:rPr>
          <w:rFonts w:eastAsia="Times New Roman" w:cs="Times New Roman"/>
          <w:sz w:val="20"/>
          <w:vertAlign w:val="superscript"/>
          <w:lang w:eastAsia="en-AU"/>
        </w:rPr>
        <w:footnoteReference w:id="4"/>
      </w:r>
      <w:r w:rsidR="00A358D7" w:rsidRPr="00B65E03">
        <w:rPr>
          <w:rFonts w:ascii="Arial" w:eastAsia="Times New Roman" w:hAnsi="Arial" w:cs="Times New Roman"/>
          <w:sz w:val="20"/>
          <w:lang w:eastAsia="en-AU"/>
        </w:rPr>
        <w:t>, with the addition of a</w:t>
      </w:r>
      <w:r w:rsidR="00594548" w:rsidRPr="00B65E03">
        <w:rPr>
          <w:rFonts w:ascii="Arial" w:eastAsia="Times New Roman" w:hAnsi="Arial" w:cs="Times New Roman"/>
          <w:sz w:val="20"/>
          <w:lang w:eastAsia="en-AU"/>
        </w:rPr>
        <w:t xml:space="preserve"> 1</w:t>
      </w:r>
      <w:r w:rsidR="00FA661D" w:rsidRPr="00B65E03">
        <w:rPr>
          <w:rFonts w:ascii="Arial" w:eastAsia="Times New Roman" w:hAnsi="Arial" w:cs="Times New Roman"/>
          <w:sz w:val="20"/>
          <w:lang w:eastAsia="en-AU"/>
        </w:rPr>
        <w:t>9</w:t>
      </w:r>
      <w:r w:rsidR="00594548" w:rsidRPr="00B65E03">
        <w:rPr>
          <w:rFonts w:ascii="Arial" w:eastAsia="Times New Roman" w:hAnsi="Arial" w:cs="Times New Roman"/>
          <w:sz w:val="20"/>
          <w:lang w:eastAsia="en-AU"/>
        </w:rPr>
        <w:t xml:space="preserve"> dBi gain antenna</w:t>
      </w:r>
      <w:r w:rsidR="00B65E03" w:rsidRPr="00B65E03">
        <w:rPr>
          <w:rFonts w:ascii="Arial" w:eastAsia="Times New Roman" w:hAnsi="Arial" w:cs="Times New Roman"/>
          <w:sz w:val="20"/>
          <w:lang w:eastAsia="en-AU"/>
        </w:rPr>
        <w:t xml:space="preserve"> and 1 dB feeder loss</w:t>
      </w:r>
      <w:r w:rsidR="00594548" w:rsidRPr="00B65E03">
        <w:rPr>
          <w:rFonts w:ascii="Arial" w:eastAsia="Times New Roman" w:hAnsi="Arial" w:cs="Times New Roman"/>
          <w:sz w:val="20"/>
          <w:lang w:eastAsia="en-AU"/>
        </w:rPr>
        <w:t>;</w:t>
      </w:r>
      <w:r w:rsidR="00B65E03" w:rsidRPr="00B65E03">
        <w:rPr>
          <w:rFonts w:ascii="Arial" w:eastAsia="Times New Roman" w:hAnsi="Arial" w:cs="Times New Roman"/>
          <w:sz w:val="20"/>
          <w:lang w:eastAsia="en-AU"/>
        </w:rPr>
        <w:t xml:space="preserve"> and</w:t>
      </w:r>
    </w:p>
    <w:p w14:paraId="5BE37535" w14:textId="7D68E1D8" w:rsidR="00594548" w:rsidRPr="00B65E03" w:rsidRDefault="00594548" w:rsidP="004C13AA">
      <w:pPr>
        <w:pStyle w:val="ListParagraph"/>
        <w:numPr>
          <w:ilvl w:val="0"/>
          <w:numId w:val="17"/>
        </w:numPr>
        <w:rPr>
          <w:rFonts w:ascii="Arial" w:eastAsia="Times New Roman" w:hAnsi="Arial" w:cs="Times New Roman"/>
          <w:sz w:val="20"/>
          <w:lang w:eastAsia="en-AU"/>
        </w:rPr>
      </w:pPr>
      <w:r w:rsidRPr="00B65E03">
        <w:rPr>
          <w:rFonts w:ascii="Arial" w:eastAsia="Times New Roman" w:hAnsi="Arial" w:cs="Times New Roman"/>
          <w:sz w:val="20"/>
          <w:lang w:eastAsia="en-AU"/>
        </w:rPr>
        <w:t>10 MHz above the band edge (above 2180 MHz), a radiated level of -11 dBm/MHz.</w:t>
      </w:r>
      <w:r w:rsidR="004C13AA">
        <w:rPr>
          <w:rFonts w:ascii="Arial" w:eastAsia="Times New Roman" w:hAnsi="Arial" w:cs="Times New Roman"/>
          <w:sz w:val="20"/>
          <w:lang w:eastAsia="en-AU"/>
        </w:rPr>
        <w:t xml:space="preserve"> This </w:t>
      </w:r>
      <w:r w:rsidR="004C13AA" w:rsidRPr="004C13AA">
        <w:rPr>
          <w:rFonts w:ascii="Arial" w:eastAsia="Times New Roman" w:hAnsi="Arial" w:cs="Times New Roman"/>
          <w:sz w:val="20"/>
          <w:lang w:eastAsia="en-AU"/>
        </w:rPr>
        <w:t xml:space="preserve">is based on the </w:t>
      </w:r>
      <w:r w:rsidR="00551EA4">
        <w:rPr>
          <w:rFonts w:ascii="Arial" w:eastAsia="Times New Roman" w:hAnsi="Arial" w:cs="Times New Roman"/>
          <w:sz w:val="20"/>
          <w:lang w:eastAsia="en-AU"/>
        </w:rPr>
        <w:t xml:space="preserve">Category B </w:t>
      </w:r>
      <w:r w:rsidR="004C13AA" w:rsidRPr="004C13AA">
        <w:rPr>
          <w:rFonts w:ascii="Arial" w:eastAsia="Times New Roman" w:hAnsi="Arial" w:cs="Times New Roman"/>
          <w:sz w:val="20"/>
          <w:lang w:eastAsia="en-AU"/>
        </w:rPr>
        <w:t xml:space="preserve">spurious emission limit for LTE base station transmitters </w:t>
      </w:r>
      <w:r w:rsidR="00551EA4">
        <w:rPr>
          <w:rFonts w:ascii="Arial" w:eastAsia="Times New Roman" w:hAnsi="Arial" w:cs="Times New Roman"/>
          <w:sz w:val="20"/>
          <w:lang w:eastAsia="en-AU"/>
        </w:rPr>
        <w:t xml:space="preserve">(i.e. -30 dBm/MHz) </w:t>
      </w:r>
      <w:r w:rsidR="004C13AA" w:rsidRPr="004C13AA">
        <w:rPr>
          <w:rFonts w:ascii="Arial" w:eastAsia="Times New Roman" w:hAnsi="Arial" w:cs="Times New Roman"/>
          <w:sz w:val="20"/>
          <w:lang w:eastAsia="en-AU"/>
        </w:rPr>
        <w:t>with the addition of a 19 dBi gain antenna (feeder losses have not been included to provide flexibility for the re-registration of ex</w:t>
      </w:r>
      <w:r w:rsidR="004C13AA">
        <w:rPr>
          <w:rFonts w:ascii="Arial" w:eastAsia="Times New Roman" w:hAnsi="Arial" w:cs="Times New Roman"/>
          <w:sz w:val="20"/>
          <w:lang w:eastAsia="en-AU"/>
        </w:rPr>
        <w:t>isting equipment). It applies at a 10 MHz offset since 3GPP 36.104 states that the</w:t>
      </w:r>
      <w:r w:rsidR="004C13AA" w:rsidRPr="004C13AA">
        <w:rPr>
          <w:rFonts w:ascii="Arial" w:eastAsia="Times New Roman" w:hAnsi="Arial" w:cs="Times New Roman"/>
          <w:sz w:val="20"/>
          <w:lang w:eastAsia="en-AU"/>
        </w:rPr>
        <w:t xml:space="preserve"> spurious domain </w:t>
      </w:r>
      <w:r w:rsidR="004C13AA">
        <w:rPr>
          <w:rFonts w:ascii="Arial" w:eastAsia="Times New Roman" w:hAnsi="Arial" w:cs="Times New Roman"/>
          <w:sz w:val="20"/>
          <w:lang w:eastAsia="en-AU"/>
        </w:rPr>
        <w:t>for LTE base stations commences</w:t>
      </w:r>
      <w:r w:rsidR="004C13AA" w:rsidRPr="004C13AA">
        <w:rPr>
          <w:rFonts w:ascii="Arial" w:eastAsia="Times New Roman" w:hAnsi="Arial" w:cs="Times New Roman"/>
          <w:sz w:val="20"/>
          <w:lang w:eastAsia="en-AU"/>
        </w:rPr>
        <w:t xml:space="preserve"> ± 10 MHz outside the 2110-2170 MHz band.</w:t>
      </w:r>
    </w:p>
    <w:p w14:paraId="283CD111" w14:textId="77777777" w:rsidR="004C13AA" w:rsidRPr="00C97518" w:rsidRDefault="004C13AA" w:rsidP="00C06149">
      <w:pPr>
        <w:spacing w:after="120"/>
      </w:pPr>
    </w:p>
    <w:p w14:paraId="6DEC5F75" w14:textId="693DA054" w:rsidR="00BA6F28" w:rsidRPr="00C97518" w:rsidRDefault="00BA6F28" w:rsidP="00BA6F28">
      <w:r w:rsidRPr="00C97518">
        <w:t xml:space="preserve">The resulting radiated unwanted emission limits above 2170 MHz band are shown in Table B1.3. </w:t>
      </w:r>
      <w:r w:rsidR="00DF0459">
        <w:t xml:space="preserve">Note: </w:t>
      </w:r>
      <w:r w:rsidR="00DF0459">
        <w:rPr>
          <w:rFonts w:ascii="TimesNewRoman,Bold" w:hAnsi="TimesNewRoman,Bold" w:cs="TimesNewRoman,Bold"/>
          <w:b/>
          <w:bCs/>
          <w:sz w:val="21"/>
          <w:szCs w:val="21"/>
        </w:rPr>
        <w:t>f</w:t>
      </w:r>
      <w:r w:rsidR="00DF0459">
        <w:rPr>
          <w:rFonts w:ascii="TimesNewRoman,Bold" w:hAnsi="TimesNewRoman,Bold" w:cs="TimesNewRoman,Bold"/>
          <w:b/>
          <w:bCs/>
          <w:sz w:val="14"/>
          <w:szCs w:val="14"/>
        </w:rPr>
        <w:t xml:space="preserve">offset </w:t>
      </w:r>
      <w:r w:rsidR="00DF0459">
        <w:rPr>
          <w:rFonts w:ascii="TimesNewRoman" w:hAnsi="TimesNewRoman" w:cs="TimesNewRoman"/>
          <w:sz w:val="21"/>
          <w:szCs w:val="21"/>
        </w:rPr>
        <w:t xml:space="preserve">is the frequency offset above 2170 MHz. The closest -3dB point of the </w:t>
      </w:r>
      <w:r w:rsidR="00671568">
        <w:rPr>
          <w:rFonts w:ascii="TimesNewRoman" w:hAnsi="TimesNewRoman" w:cs="TimesNewRoman"/>
          <w:sz w:val="21"/>
          <w:szCs w:val="21"/>
        </w:rPr>
        <w:t xml:space="preserve">specified </w:t>
      </w:r>
      <w:r w:rsidR="00DF0459">
        <w:rPr>
          <w:rFonts w:ascii="TimesNewRoman" w:hAnsi="TimesNewRoman" w:cs="TimesNewRoman"/>
          <w:sz w:val="21"/>
          <w:szCs w:val="21"/>
        </w:rPr>
        <w:t xml:space="preserve">bandwidth to the 2170 MHz band edge is placed at </w:t>
      </w:r>
      <w:r w:rsidR="00DF0459">
        <w:rPr>
          <w:rFonts w:ascii="TimesNewRoman,Bold" w:hAnsi="TimesNewRoman,Bold" w:cs="TimesNewRoman,Bold"/>
          <w:b/>
          <w:bCs/>
          <w:sz w:val="21"/>
          <w:szCs w:val="21"/>
        </w:rPr>
        <w:t>f</w:t>
      </w:r>
      <w:r w:rsidR="00DF0459">
        <w:rPr>
          <w:rFonts w:ascii="TimesNewRoman,Bold" w:hAnsi="TimesNewRoman,Bold" w:cs="TimesNewRoman,Bold"/>
          <w:b/>
          <w:bCs/>
          <w:sz w:val="14"/>
          <w:szCs w:val="14"/>
        </w:rPr>
        <w:t>offset.</w:t>
      </w:r>
    </w:p>
    <w:p w14:paraId="51D22882" w14:textId="5D89C83C" w:rsidR="00BA6F28" w:rsidRPr="00C97518" w:rsidRDefault="00BA6F28">
      <w:pPr>
        <w:spacing w:after="0" w:line="240" w:lineRule="auto"/>
        <w:rPr>
          <w:b/>
          <w:bCs/>
          <w:color w:val="323232"/>
          <w:szCs w:val="20"/>
        </w:rPr>
      </w:pPr>
    </w:p>
    <w:p w14:paraId="3E9DC053" w14:textId="77777777" w:rsidR="00DF0459" w:rsidRDefault="00DF0459">
      <w:pPr>
        <w:spacing w:after="0" w:line="240" w:lineRule="auto"/>
        <w:rPr>
          <w:b/>
          <w:bCs/>
          <w:color w:val="323232"/>
          <w:szCs w:val="20"/>
        </w:rPr>
      </w:pPr>
      <w:r>
        <w:br w:type="page"/>
      </w:r>
    </w:p>
    <w:p w14:paraId="2EF75A9C" w14:textId="61D83608" w:rsidR="00C00817" w:rsidRPr="00C97518" w:rsidRDefault="00C00817" w:rsidP="00C00817">
      <w:pPr>
        <w:pStyle w:val="ACMATableHeader"/>
        <w:numPr>
          <w:ilvl w:val="0"/>
          <w:numId w:val="0"/>
        </w:numPr>
        <w:ind w:left="964" w:hanging="964"/>
      </w:pPr>
      <w:r w:rsidRPr="00C97518">
        <w:lastRenderedPageBreak/>
        <w:t>Table B1</w:t>
      </w:r>
      <w:r w:rsidR="00BA6F28" w:rsidRPr="00C97518">
        <w:t>.3</w:t>
      </w:r>
      <w:r w:rsidRPr="00C97518">
        <w:t>:</w:t>
      </w:r>
      <w:r w:rsidRPr="00C97518">
        <w:tab/>
        <w:t>R</w:t>
      </w:r>
      <w:r w:rsidRPr="00C97518">
        <w:rPr>
          <w:rFonts w:eastAsiaTheme="minorEastAsia"/>
          <w:szCs w:val="22"/>
          <w:lang w:eastAsia="en-US"/>
        </w:rPr>
        <w:t xml:space="preserve">adiated unwanted emission limits </w:t>
      </w:r>
      <w:r w:rsidR="00594548" w:rsidRPr="00C97518">
        <w:rPr>
          <w:rFonts w:eastAsiaTheme="minorEastAsia"/>
          <w:szCs w:val="22"/>
          <w:lang w:eastAsia="en-US"/>
        </w:rPr>
        <w:t>above</w:t>
      </w:r>
      <w:r w:rsidRPr="00C97518">
        <w:rPr>
          <w:rFonts w:eastAsiaTheme="minorEastAsia"/>
          <w:szCs w:val="22"/>
          <w:lang w:eastAsia="en-US"/>
        </w:rPr>
        <w:t xml:space="preserve"> the 2170 MHz band</w:t>
      </w:r>
      <w:r w:rsidRPr="00C97518">
        <w:t xml:space="preserve"> edge</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C00817" w:rsidRPr="00C97518" w14:paraId="52643265" w14:textId="77777777" w:rsidTr="00150E2F">
        <w:trPr>
          <w:trHeight w:val="547"/>
          <w:tblHeader/>
        </w:trPr>
        <w:tc>
          <w:tcPr>
            <w:tcW w:w="2539" w:type="dxa"/>
            <w:tcBorders>
              <w:top w:val="single" w:sz="4" w:space="0" w:color="auto"/>
              <w:left w:val="nil"/>
              <w:bottom w:val="single" w:sz="4" w:space="0" w:color="auto"/>
              <w:right w:val="nil"/>
            </w:tcBorders>
            <w:shd w:val="clear" w:color="auto" w:fill="404040" w:themeFill="text1" w:themeFillTint="BF"/>
          </w:tcPr>
          <w:p w14:paraId="625BD1E9" w14:textId="77777777" w:rsidR="00C00817" w:rsidRPr="00C97518" w:rsidRDefault="00C00817" w:rsidP="00150E2F">
            <w:pPr>
              <w:pStyle w:val="TableHeading"/>
              <w:rPr>
                <w:color w:val="FFFFFF" w:themeColor="background1"/>
              </w:rPr>
            </w:pPr>
            <w:r w:rsidRPr="00C97518">
              <w:rPr>
                <w:color w:val="FFFFFF" w:themeColor="background1"/>
              </w:rPr>
              <w:t>Frequency offset range</w:t>
            </w:r>
          </w:p>
        </w:tc>
        <w:tc>
          <w:tcPr>
            <w:tcW w:w="3818" w:type="dxa"/>
            <w:tcBorders>
              <w:top w:val="single" w:sz="4" w:space="0" w:color="auto"/>
              <w:left w:val="nil"/>
              <w:bottom w:val="single" w:sz="4" w:space="0" w:color="auto"/>
              <w:right w:val="nil"/>
            </w:tcBorders>
            <w:shd w:val="clear" w:color="auto" w:fill="404040" w:themeFill="text1" w:themeFillTint="BF"/>
          </w:tcPr>
          <w:p w14:paraId="7790BD2B" w14:textId="77777777" w:rsidR="00C00817" w:rsidRPr="00C97518" w:rsidRDefault="00C00817" w:rsidP="00150E2F">
            <w:pPr>
              <w:pStyle w:val="TableHeading"/>
              <w:jc w:val="center"/>
              <w:rPr>
                <w:color w:val="FFFFFF" w:themeColor="background1"/>
              </w:rPr>
            </w:pPr>
            <w:r w:rsidRPr="00C97518">
              <w:rPr>
                <w:color w:val="FFFFFF" w:themeColor="background1"/>
              </w:rPr>
              <w:t>Radiated maximum true mean power</w:t>
            </w:r>
          </w:p>
          <w:p w14:paraId="06B61F8C" w14:textId="77777777" w:rsidR="00C00817" w:rsidRPr="00C97518" w:rsidRDefault="00C00817" w:rsidP="00150E2F">
            <w:pPr>
              <w:pStyle w:val="TableHeading"/>
              <w:jc w:val="center"/>
              <w:rPr>
                <w:color w:val="FFFFFF" w:themeColor="background1"/>
              </w:rPr>
            </w:pPr>
            <w:r w:rsidRPr="00C97518">
              <w:rPr>
                <w:color w:val="FFFFFF" w:themeColor="background1"/>
              </w:rPr>
              <w:t>(dBm EIRP)</w:t>
            </w:r>
          </w:p>
        </w:tc>
        <w:tc>
          <w:tcPr>
            <w:tcW w:w="2295" w:type="dxa"/>
            <w:tcBorders>
              <w:top w:val="single" w:sz="4" w:space="0" w:color="auto"/>
              <w:left w:val="nil"/>
              <w:bottom w:val="single" w:sz="4" w:space="0" w:color="auto"/>
              <w:right w:val="nil"/>
            </w:tcBorders>
            <w:shd w:val="clear" w:color="auto" w:fill="404040" w:themeFill="text1" w:themeFillTint="BF"/>
          </w:tcPr>
          <w:p w14:paraId="13E4FA54" w14:textId="77777777" w:rsidR="00C00817" w:rsidRPr="00C97518" w:rsidRDefault="00C00817" w:rsidP="00150E2F">
            <w:pPr>
              <w:pStyle w:val="TableHeading"/>
              <w:jc w:val="center"/>
              <w:rPr>
                <w:color w:val="FFFFFF" w:themeColor="background1"/>
              </w:rPr>
            </w:pPr>
            <w:r w:rsidRPr="00C97518">
              <w:rPr>
                <w:color w:val="FFFFFF" w:themeColor="background1"/>
              </w:rPr>
              <w:t>Specified bandwidth</w:t>
            </w:r>
          </w:p>
        </w:tc>
      </w:tr>
      <w:tr w:rsidR="00C00817" w:rsidRPr="00C97518" w14:paraId="37EDE665" w14:textId="77777777" w:rsidTr="00150E2F">
        <w:trPr>
          <w:tblHeader/>
        </w:trPr>
        <w:tc>
          <w:tcPr>
            <w:tcW w:w="2539" w:type="dxa"/>
            <w:tcBorders>
              <w:top w:val="single" w:sz="4" w:space="0" w:color="auto"/>
              <w:left w:val="nil"/>
              <w:bottom w:val="single" w:sz="4" w:space="0" w:color="auto"/>
              <w:right w:val="nil"/>
            </w:tcBorders>
            <w:vAlign w:val="center"/>
          </w:tcPr>
          <w:p w14:paraId="68EE2A46" w14:textId="19FC123A" w:rsidR="00C00817" w:rsidRPr="00C97518" w:rsidRDefault="00C00817" w:rsidP="00C00817">
            <w:pPr>
              <w:pStyle w:val="TableBody"/>
              <w:keepNext/>
              <w:keepLines/>
              <w:rPr>
                <w:rFonts w:cs="Arial"/>
              </w:rPr>
            </w:pPr>
            <w:r w:rsidRPr="00C97518">
              <w:rPr>
                <w:rFonts w:eastAsiaTheme="minorEastAsia"/>
                <w:szCs w:val="20"/>
                <w:lang w:eastAsia="en-US"/>
              </w:rPr>
              <w:t>0 kHz ≤ f</w:t>
            </w:r>
            <w:r w:rsidRPr="00C97518">
              <w:rPr>
                <w:rFonts w:eastAsiaTheme="minorEastAsia"/>
                <w:szCs w:val="20"/>
                <w:vertAlign w:val="subscript"/>
                <w:lang w:eastAsia="en-US"/>
              </w:rPr>
              <w:t>offset</w:t>
            </w:r>
            <w:r w:rsidRPr="00C97518">
              <w:rPr>
                <w:rFonts w:eastAsiaTheme="minorEastAsia"/>
                <w:szCs w:val="20"/>
                <w:lang w:eastAsia="en-US"/>
              </w:rPr>
              <w:t xml:space="preserve"> &lt; 5 MHz</w:t>
            </w:r>
          </w:p>
        </w:tc>
        <w:tc>
          <w:tcPr>
            <w:tcW w:w="3818" w:type="dxa"/>
            <w:tcBorders>
              <w:top w:val="single" w:sz="4" w:space="0" w:color="auto"/>
              <w:left w:val="nil"/>
              <w:bottom w:val="single" w:sz="4" w:space="0" w:color="auto"/>
              <w:right w:val="nil"/>
            </w:tcBorders>
            <w:vAlign w:val="center"/>
          </w:tcPr>
          <w:p w14:paraId="13D8BA9D" w14:textId="26FFB2B5" w:rsidR="00C00817" w:rsidRPr="00C97518" w:rsidRDefault="00B65E03" w:rsidP="00C00817">
            <w:pPr>
              <w:pStyle w:val="TableBody"/>
              <w:keepNext/>
              <w:keepLines/>
              <w:jc w:val="center"/>
              <w:rPr>
                <w:rFonts w:cs="Arial"/>
              </w:rPr>
            </w:pPr>
            <m:oMathPara>
              <m:oMath>
                <m:r>
                  <m:rPr>
                    <m:sty m:val="p"/>
                  </m:rPr>
                  <w:rPr>
                    <w:rFonts w:ascii="Cambria Math" w:eastAsiaTheme="minorEastAsia"/>
                    <w:szCs w:val="20"/>
                    <w:lang w:eastAsia="en-US"/>
                  </w:rPr>
                  <m:t>11</m:t>
                </m:r>
                <m:r>
                  <m:rPr>
                    <m:sty m:val="p"/>
                  </m:rPr>
                  <w:rPr>
                    <w:rFonts w:ascii="Cambria Math" w:eastAsiaTheme="minorEastAsia" w:hAnsi="Cambria Math"/>
                    <w:szCs w:val="20"/>
                    <w:lang w:eastAsia="en-US"/>
                  </w:rPr>
                  <m:t>-</m:t>
                </m:r>
                <m:d>
                  <m:dPr>
                    <m:ctrlPr>
                      <w:rPr>
                        <w:rFonts w:ascii="Cambria Math" w:eastAsiaTheme="minorEastAsia" w:hAnsi="Cambria Math"/>
                        <w:i/>
                        <w:szCs w:val="20"/>
                        <w:lang w:eastAsia="en-US"/>
                      </w:rPr>
                    </m:ctrlPr>
                  </m:dPr>
                  <m:e>
                    <m:f>
                      <m:fPr>
                        <m:type m:val="lin"/>
                        <m:ctrlPr>
                          <w:rPr>
                            <w:rFonts w:ascii="Cambria Math" w:eastAsiaTheme="minorEastAsia" w:hAnsi="Cambria Math"/>
                            <w:i/>
                            <w:szCs w:val="20"/>
                            <w:lang w:eastAsia="en-US"/>
                          </w:rPr>
                        </m:ctrlPr>
                      </m:fPr>
                      <m:num>
                        <m:r>
                          <w:rPr>
                            <w:rFonts w:ascii="Cambria Math" w:eastAsiaTheme="minorEastAsia"/>
                            <w:szCs w:val="20"/>
                            <w:lang w:eastAsia="en-US"/>
                          </w:rPr>
                          <m:t>7</m:t>
                        </m:r>
                      </m:num>
                      <m:den>
                        <m:r>
                          <w:rPr>
                            <w:rFonts w:ascii="Cambria Math" w:eastAsiaTheme="minorEastAsia"/>
                            <w:szCs w:val="20"/>
                            <w:lang w:eastAsia="en-US"/>
                          </w:rPr>
                          <m:t>5</m:t>
                        </m:r>
                      </m:den>
                    </m:f>
                  </m:e>
                </m:d>
                <m:r>
                  <w:rPr>
                    <w:rFonts w:ascii="Cambria Math" w:eastAsiaTheme="minorEastAsia" w:hAnsi="Cambria Math"/>
                    <w:szCs w:val="20"/>
                    <w:lang w:eastAsia="en-US"/>
                  </w:rPr>
                  <m:t>×</m:t>
                </m:r>
                <m:sSub>
                  <m:sSubPr>
                    <m:ctrlPr>
                      <w:rPr>
                        <w:rFonts w:ascii="Cambria Math" w:eastAsiaTheme="minorEastAsia" w:hAnsi="Cambria Math"/>
                        <w:i/>
                        <w:szCs w:val="20"/>
                        <w:lang w:eastAsia="en-US"/>
                      </w:rPr>
                    </m:ctrlPr>
                  </m:sSubPr>
                  <m:e>
                    <m:r>
                      <w:rPr>
                        <w:rFonts w:ascii="Cambria Math" w:eastAsiaTheme="minorEastAsia" w:hAnsi="Cambria Math"/>
                        <w:szCs w:val="20"/>
                        <w:lang w:eastAsia="en-US"/>
                      </w:rPr>
                      <m:t>f</m:t>
                    </m:r>
                  </m:e>
                  <m:sub>
                    <m:r>
                      <w:rPr>
                        <w:rFonts w:ascii="Cambria Math" w:eastAsiaTheme="minorEastAsia" w:hAnsi="Cambria Math"/>
                        <w:szCs w:val="20"/>
                        <w:lang w:eastAsia="en-US"/>
                      </w:rPr>
                      <m:t>offset</m:t>
                    </m:r>
                  </m:sub>
                </m:sSub>
                <m:d>
                  <m:dPr>
                    <m:ctrlPr>
                      <w:rPr>
                        <w:rFonts w:ascii="Cambria Math" w:eastAsiaTheme="minorEastAsia" w:hAnsi="Cambria Math"/>
                        <w:i/>
                        <w:szCs w:val="20"/>
                        <w:lang w:eastAsia="en-US"/>
                      </w:rPr>
                    </m:ctrlPr>
                  </m:dPr>
                  <m:e>
                    <m:r>
                      <w:rPr>
                        <w:rFonts w:ascii="Cambria Math" w:eastAsiaTheme="minorEastAsia" w:hAnsi="Cambria Math"/>
                        <w:szCs w:val="20"/>
                        <w:lang w:eastAsia="en-US"/>
                      </w:rPr>
                      <m:t>MHz</m:t>
                    </m:r>
                  </m:e>
                </m:d>
              </m:oMath>
            </m:oMathPara>
          </w:p>
        </w:tc>
        <w:tc>
          <w:tcPr>
            <w:tcW w:w="2295" w:type="dxa"/>
            <w:tcBorders>
              <w:top w:val="single" w:sz="4" w:space="0" w:color="auto"/>
              <w:left w:val="nil"/>
              <w:bottom w:val="single" w:sz="4" w:space="0" w:color="auto"/>
              <w:right w:val="nil"/>
            </w:tcBorders>
            <w:vAlign w:val="center"/>
          </w:tcPr>
          <w:p w14:paraId="7C7BE42F" w14:textId="5DDB87D5" w:rsidR="00C00817" w:rsidRPr="00C97518" w:rsidRDefault="00C00817" w:rsidP="00C00817">
            <w:pPr>
              <w:pStyle w:val="TableBody"/>
              <w:keepNext/>
              <w:keepLines/>
              <w:jc w:val="center"/>
              <w:rPr>
                <w:rFonts w:cs="Arial"/>
              </w:rPr>
            </w:pPr>
            <w:r w:rsidRPr="00C97518">
              <w:rPr>
                <w:rFonts w:eastAsiaTheme="minorEastAsia"/>
                <w:szCs w:val="20"/>
                <w:lang w:eastAsia="en-US"/>
              </w:rPr>
              <w:t>100 kHz</w:t>
            </w:r>
          </w:p>
        </w:tc>
      </w:tr>
      <w:tr w:rsidR="00C00817" w:rsidRPr="00C97518" w14:paraId="2F05B520" w14:textId="77777777" w:rsidTr="00150E2F">
        <w:trPr>
          <w:tblHeader/>
        </w:trPr>
        <w:tc>
          <w:tcPr>
            <w:tcW w:w="2539" w:type="dxa"/>
            <w:tcBorders>
              <w:top w:val="single" w:sz="4" w:space="0" w:color="auto"/>
              <w:left w:val="nil"/>
              <w:bottom w:val="single" w:sz="4" w:space="0" w:color="auto"/>
              <w:right w:val="nil"/>
            </w:tcBorders>
            <w:shd w:val="clear" w:color="auto" w:fill="F2F2F2" w:themeFill="background1" w:themeFillShade="F2"/>
            <w:vAlign w:val="center"/>
          </w:tcPr>
          <w:p w14:paraId="3CAC8C54" w14:textId="1C934689" w:rsidR="00C00817" w:rsidRPr="00C97518" w:rsidRDefault="00C00817" w:rsidP="00C00817">
            <w:pPr>
              <w:pStyle w:val="TableBody"/>
              <w:keepNext/>
              <w:keepLines/>
              <w:rPr>
                <w:rFonts w:cs="Arial"/>
              </w:rPr>
            </w:pPr>
            <w:r w:rsidRPr="00C97518">
              <w:rPr>
                <w:rFonts w:eastAsiaTheme="minorEastAsia"/>
                <w:szCs w:val="20"/>
                <w:lang w:eastAsia="en-US"/>
              </w:rPr>
              <w:t>5 MHz ≤ f</w:t>
            </w:r>
            <w:r w:rsidRPr="00C97518">
              <w:rPr>
                <w:rFonts w:eastAsiaTheme="minorEastAsia"/>
                <w:szCs w:val="20"/>
                <w:vertAlign w:val="subscript"/>
                <w:lang w:eastAsia="en-US"/>
              </w:rPr>
              <w:t>offset</w:t>
            </w:r>
            <w:r w:rsidRPr="00C97518">
              <w:rPr>
                <w:rFonts w:eastAsiaTheme="minorEastAsia"/>
                <w:szCs w:val="20"/>
                <w:lang w:eastAsia="en-US"/>
              </w:rPr>
              <w:t xml:space="preserve"> &lt; 10 MHz</w:t>
            </w:r>
          </w:p>
        </w:tc>
        <w:tc>
          <w:tcPr>
            <w:tcW w:w="3818" w:type="dxa"/>
            <w:tcBorders>
              <w:top w:val="single" w:sz="4" w:space="0" w:color="auto"/>
              <w:left w:val="nil"/>
              <w:bottom w:val="single" w:sz="4" w:space="0" w:color="auto"/>
              <w:right w:val="nil"/>
            </w:tcBorders>
            <w:shd w:val="clear" w:color="auto" w:fill="F2F2F2" w:themeFill="background1" w:themeFillShade="F2"/>
            <w:vAlign w:val="center"/>
          </w:tcPr>
          <w:p w14:paraId="429051F9" w14:textId="2C57260E" w:rsidR="00C00817" w:rsidRPr="00C97518" w:rsidRDefault="008406D5" w:rsidP="00C00817">
            <w:pPr>
              <w:pStyle w:val="TableBody"/>
              <w:keepNext/>
              <w:keepLines/>
              <w:jc w:val="center"/>
              <w:rPr>
                <w:rFonts w:cs="Arial"/>
              </w:rPr>
            </w:pPr>
            <m:oMathPara>
              <m:oMath>
                <m:r>
                  <m:rPr>
                    <m:sty m:val="p"/>
                  </m:rPr>
                  <w:rPr>
                    <w:rFonts w:ascii="Cambria Math" w:eastAsiaTheme="minorEastAsia" w:hAnsi="Cambria Math"/>
                    <w:szCs w:val="22"/>
                    <w:lang w:eastAsia="en-US"/>
                  </w:rPr>
                  <m:t>4</m:t>
                </m:r>
              </m:oMath>
            </m:oMathPara>
          </w:p>
        </w:tc>
        <w:tc>
          <w:tcPr>
            <w:tcW w:w="2295" w:type="dxa"/>
            <w:tcBorders>
              <w:top w:val="single" w:sz="4" w:space="0" w:color="auto"/>
              <w:left w:val="nil"/>
              <w:bottom w:val="single" w:sz="4" w:space="0" w:color="auto"/>
              <w:right w:val="nil"/>
            </w:tcBorders>
            <w:shd w:val="clear" w:color="auto" w:fill="F2F2F2" w:themeFill="background1" w:themeFillShade="F2"/>
            <w:vAlign w:val="center"/>
          </w:tcPr>
          <w:p w14:paraId="35A5A708" w14:textId="343ACD39" w:rsidR="00C00817" w:rsidRPr="00C97518" w:rsidRDefault="00C00817" w:rsidP="00C00817">
            <w:pPr>
              <w:pStyle w:val="TableBody"/>
              <w:keepNext/>
              <w:keepLines/>
              <w:jc w:val="center"/>
              <w:rPr>
                <w:rFonts w:cs="Arial"/>
              </w:rPr>
            </w:pPr>
            <w:r w:rsidRPr="00C97518">
              <w:rPr>
                <w:rFonts w:eastAsiaTheme="minorEastAsia"/>
                <w:szCs w:val="20"/>
                <w:lang w:eastAsia="en-US"/>
              </w:rPr>
              <w:t>100 kHz</w:t>
            </w:r>
          </w:p>
        </w:tc>
      </w:tr>
      <w:tr w:rsidR="00C00817" w:rsidRPr="00C97518" w14:paraId="284FB8B8" w14:textId="77777777" w:rsidTr="00150E2F">
        <w:trPr>
          <w:tblHeader/>
        </w:trPr>
        <w:tc>
          <w:tcPr>
            <w:tcW w:w="2539" w:type="dxa"/>
            <w:tcBorders>
              <w:top w:val="single" w:sz="4" w:space="0" w:color="auto"/>
              <w:left w:val="nil"/>
              <w:bottom w:val="single" w:sz="4" w:space="0" w:color="auto"/>
              <w:right w:val="nil"/>
            </w:tcBorders>
            <w:vAlign w:val="center"/>
          </w:tcPr>
          <w:p w14:paraId="09025097" w14:textId="7D31D64E" w:rsidR="00C00817" w:rsidRPr="00C97518" w:rsidRDefault="00C00817" w:rsidP="00C00817">
            <w:pPr>
              <w:pStyle w:val="TableBody"/>
              <w:keepNext/>
              <w:keepLines/>
              <w:rPr>
                <w:rFonts w:cs="Arial"/>
              </w:rPr>
            </w:pPr>
            <w:r w:rsidRPr="00C97518">
              <w:rPr>
                <w:rFonts w:eastAsiaTheme="minorEastAsia"/>
                <w:szCs w:val="20"/>
                <w:lang w:eastAsia="en-US"/>
              </w:rPr>
              <w:t>f</w:t>
            </w:r>
            <w:r w:rsidRPr="00C97518">
              <w:rPr>
                <w:rFonts w:eastAsiaTheme="minorEastAsia"/>
                <w:szCs w:val="20"/>
                <w:vertAlign w:val="subscript"/>
                <w:lang w:eastAsia="en-US"/>
              </w:rPr>
              <w:t>offset</w:t>
            </w:r>
            <w:r w:rsidRPr="00C97518">
              <w:rPr>
                <w:rFonts w:eastAsiaTheme="minorEastAsia"/>
                <w:szCs w:val="20"/>
                <w:lang w:eastAsia="en-US"/>
              </w:rPr>
              <w:t xml:space="preserve"> ≥ 10 MHz</w:t>
            </w:r>
          </w:p>
        </w:tc>
        <w:tc>
          <w:tcPr>
            <w:tcW w:w="3818" w:type="dxa"/>
            <w:tcBorders>
              <w:top w:val="single" w:sz="4" w:space="0" w:color="auto"/>
              <w:left w:val="nil"/>
              <w:bottom w:val="single" w:sz="4" w:space="0" w:color="auto"/>
              <w:right w:val="nil"/>
            </w:tcBorders>
            <w:vAlign w:val="center"/>
          </w:tcPr>
          <w:p w14:paraId="38DA5AAB" w14:textId="5C3C0E31" w:rsidR="00C00817" w:rsidRPr="00C97518" w:rsidRDefault="00C00817" w:rsidP="00C00817">
            <w:pPr>
              <w:pStyle w:val="TableBody"/>
              <w:keepNext/>
              <w:keepLines/>
              <w:jc w:val="center"/>
              <w:rPr>
                <w:rFonts w:cs="Arial"/>
              </w:rPr>
            </w:pPr>
            <m:oMath>
              <m:r>
                <w:rPr>
                  <w:rFonts w:ascii="Cambria Math" w:hAnsi="Cambria Math"/>
                  <w:szCs w:val="22"/>
                  <w:lang w:eastAsia="en-US"/>
                </w:rPr>
                <m:t>-</m:t>
              </m:r>
            </m:oMath>
            <w:r w:rsidRPr="00C97518">
              <w:rPr>
                <w:szCs w:val="22"/>
                <w:lang w:eastAsia="en-US"/>
              </w:rPr>
              <w:t>11</w:t>
            </w:r>
          </w:p>
        </w:tc>
        <w:tc>
          <w:tcPr>
            <w:tcW w:w="2295" w:type="dxa"/>
            <w:tcBorders>
              <w:top w:val="single" w:sz="4" w:space="0" w:color="auto"/>
              <w:left w:val="nil"/>
              <w:bottom w:val="single" w:sz="4" w:space="0" w:color="auto"/>
              <w:right w:val="nil"/>
            </w:tcBorders>
            <w:vAlign w:val="center"/>
          </w:tcPr>
          <w:p w14:paraId="2BD5133C" w14:textId="265A97F0" w:rsidR="00C00817" w:rsidRPr="00C97518" w:rsidRDefault="00C00817" w:rsidP="00C00817">
            <w:pPr>
              <w:pStyle w:val="TableBody"/>
              <w:keepNext/>
              <w:keepLines/>
              <w:jc w:val="center"/>
              <w:rPr>
                <w:rFonts w:cs="Arial"/>
              </w:rPr>
            </w:pPr>
            <w:r w:rsidRPr="00C97518">
              <w:rPr>
                <w:rFonts w:eastAsiaTheme="minorEastAsia"/>
                <w:szCs w:val="20"/>
                <w:lang w:eastAsia="en-US"/>
              </w:rPr>
              <w:t>1 MHz</w:t>
            </w:r>
          </w:p>
        </w:tc>
      </w:tr>
    </w:tbl>
    <w:p w14:paraId="04CE58E8" w14:textId="21EE03BB" w:rsidR="00BB1569" w:rsidRDefault="00BB1569">
      <w:pPr>
        <w:spacing w:after="0" w:line="240" w:lineRule="auto"/>
        <w:rPr>
          <w:b/>
          <w:sz w:val="24"/>
        </w:rPr>
      </w:pPr>
    </w:p>
    <w:p w14:paraId="4311D7E7" w14:textId="77777777" w:rsidR="00DF0459" w:rsidRDefault="00DF0459" w:rsidP="00DB5E4D">
      <w:pPr>
        <w:rPr>
          <w:b/>
          <w:sz w:val="24"/>
        </w:rPr>
      </w:pPr>
    </w:p>
    <w:p w14:paraId="0074CF1B" w14:textId="5200D3E8" w:rsidR="00DB5E4D" w:rsidRPr="00575DC7" w:rsidRDefault="00DB5E4D" w:rsidP="00DB5E4D">
      <w:pPr>
        <w:rPr>
          <w:b/>
          <w:sz w:val="24"/>
        </w:rPr>
      </w:pPr>
      <w:r w:rsidRPr="00575DC7">
        <w:rPr>
          <w:b/>
          <w:sz w:val="24"/>
        </w:rPr>
        <w:t xml:space="preserve">Transmitters operating in the </w:t>
      </w:r>
      <w:r>
        <w:rPr>
          <w:b/>
          <w:sz w:val="24"/>
        </w:rPr>
        <w:t>1920-1980</w:t>
      </w:r>
      <w:r w:rsidRPr="00575DC7">
        <w:rPr>
          <w:b/>
          <w:sz w:val="24"/>
        </w:rPr>
        <w:t xml:space="preserve"> MHz band</w:t>
      </w:r>
    </w:p>
    <w:p w14:paraId="2248F0F6" w14:textId="11D741C3" w:rsidR="00C00817" w:rsidRPr="00C97518" w:rsidRDefault="00C00817" w:rsidP="00C00817">
      <w:pPr>
        <w:rPr>
          <w:u w:val="single"/>
        </w:rPr>
      </w:pPr>
      <w:r w:rsidRPr="00C97518">
        <w:rPr>
          <w:u w:val="single"/>
        </w:rPr>
        <w:t xml:space="preserve">Unwanted Emission Limits within the </w:t>
      </w:r>
      <w:r w:rsidR="00DB5E4D">
        <w:rPr>
          <w:u w:val="single"/>
        </w:rPr>
        <w:t>1875-2025</w:t>
      </w:r>
      <w:r w:rsidRPr="00C97518">
        <w:rPr>
          <w:u w:val="single"/>
        </w:rPr>
        <w:t xml:space="preserve"> MHz band</w:t>
      </w:r>
    </w:p>
    <w:p w14:paraId="7DC2A2C2" w14:textId="0A0284C0" w:rsidR="001D3833" w:rsidRPr="00C97518" w:rsidRDefault="001D3833" w:rsidP="001D3833">
      <w:r>
        <w:t>Although OOB and spurious emission limits have similar values for all LTE UEs, the actual frequency offset</w:t>
      </w:r>
      <w:r w:rsidR="0001483B">
        <w:t>s</w:t>
      </w:r>
      <w:r>
        <w:t xml:space="preserve"> and range</w:t>
      </w:r>
      <w:r w:rsidR="0001483B">
        <w:t>s</w:t>
      </w:r>
      <w:r>
        <w:t xml:space="preserve"> at which they apply differs depending on the channel bandwidth</w:t>
      </w:r>
      <w:r w:rsidR="0001483B">
        <w:t xml:space="preserve"> used</w:t>
      </w:r>
      <w:r>
        <w:t>. To account for this, t</w:t>
      </w:r>
      <w:r w:rsidRPr="00C97518">
        <w:t xml:space="preserve">he </w:t>
      </w:r>
      <w:r>
        <w:t xml:space="preserve">unwanted </w:t>
      </w:r>
      <w:r w:rsidRPr="00C97518">
        <w:t xml:space="preserve">emission limit </w:t>
      </w:r>
      <w:r>
        <w:t xml:space="preserve">described below </w:t>
      </w:r>
      <w:r w:rsidRPr="00C97518">
        <w:t>ha</w:t>
      </w:r>
      <w:r>
        <w:t>s</w:t>
      </w:r>
      <w:r w:rsidRPr="00C97518">
        <w:t xml:space="preserve"> been </w:t>
      </w:r>
      <w:r>
        <w:t xml:space="preserve">developed to ensure everything from an LTE (or UMTS) </w:t>
      </w:r>
      <w:r w:rsidRPr="00C97518">
        <w:t>UE using a 5</w:t>
      </w:r>
      <w:r w:rsidR="00912DB1">
        <w:t> </w:t>
      </w:r>
      <w:r w:rsidRPr="00C97518">
        <w:t xml:space="preserve">MHz channel to an LTE UE employing 20 MHz + 20 MHz carrier aggregation can operate </w:t>
      </w:r>
      <w:r>
        <w:t xml:space="preserve">unmodified </w:t>
      </w:r>
      <w:r w:rsidRPr="00C97518">
        <w:t xml:space="preserve">in the 2 GHz band. </w:t>
      </w:r>
      <w:r>
        <w:t xml:space="preserve">In general this has meant adopting the least conservative out-of-band emission limits for LTE UEs in </w:t>
      </w:r>
      <w:r w:rsidRPr="00C97518">
        <w:t>3GPP 36.101</w:t>
      </w:r>
      <w:r w:rsidR="006649DC">
        <w:t xml:space="preserve"> (for 5 MHz channels and greater)</w:t>
      </w:r>
      <w:r>
        <w:t>.</w:t>
      </w:r>
    </w:p>
    <w:p w14:paraId="61E3E661" w14:textId="1BEA5A88" w:rsidR="001D3833" w:rsidRDefault="001D3833" w:rsidP="001D3833">
      <w:pPr>
        <w:rPr>
          <w:rFonts w:eastAsiaTheme="minorEastAsia"/>
          <w:szCs w:val="22"/>
          <w:lang w:eastAsia="en-US"/>
        </w:rPr>
      </w:pPr>
      <w:r>
        <w:t xml:space="preserve">This also </w:t>
      </w:r>
      <w:r w:rsidR="0001483B">
        <w:t>explains the theory</w:t>
      </w:r>
      <w:r>
        <w:t xml:space="preserve"> behind why the</w:t>
      </w:r>
      <w:r w:rsidR="006649DC">
        <w:t xml:space="preserve"> </w:t>
      </w:r>
      <w:r>
        <w:t xml:space="preserve">unwanted emission limits described below </w:t>
      </w:r>
      <w:r w:rsidR="006649DC">
        <w:t xml:space="preserve">are proposed to </w:t>
      </w:r>
      <w:r>
        <w:t xml:space="preserve">apply within the </w:t>
      </w:r>
      <w:r>
        <w:rPr>
          <w:rFonts w:eastAsiaTheme="minorEastAsia"/>
          <w:szCs w:val="22"/>
          <w:lang w:eastAsia="en-US"/>
        </w:rPr>
        <w:t>1875</w:t>
      </w:r>
      <w:r w:rsidRPr="00C97518">
        <w:rPr>
          <w:rFonts w:eastAsiaTheme="minorEastAsia"/>
          <w:szCs w:val="22"/>
          <w:lang w:eastAsia="en-US"/>
        </w:rPr>
        <w:t>-</w:t>
      </w:r>
      <w:r>
        <w:rPr>
          <w:rFonts w:eastAsiaTheme="minorEastAsia"/>
          <w:szCs w:val="22"/>
          <w:lang w:eastAsia="en-US"/>
        </w:rPr>
        <w:t>2025</w:t>
      </w:r>
      <w:r w:rsidRPr="00C97518">
        <w:rPr>
          <w:rFonts w:eastAsiaTheme="minorEastAsia"/>
          <w:szCs w:val="22"/>
          <w:lang w:eastAsia="en-US"/>
        </w:rPr>
        <w:t xml:space="preserve"> MHz band</w:t>
      </w:r>
      <w:r>
        <w:rPr>
          <w:rFonts w:eastAsiaTheme="minorEastAsia"/>
          <w:szCs w:val="22"/>
          <w:lang w:eastAsia="en-US"/>
        </w:rPr>
        <w:t xml:space="preserve">. </w:t>
      </w:r>
      <w:r w:rsidR="0001483B">
        <w:rPr>
          <w:rFonts w:eastAsiaTheme="minorEastAsia"/>
          <w:szCs w:val="22"/>
          <w:lang w:eastAsia="en-US"/>
        </w:rPr>
        <w:t xml:space="preserve">Specifically, </w:t>
      </w:r>
      <w:r w:rsidR="0001483B" w:rsidRPr="00C97518">
        <w:t>3GPP 36.101</w:t>
      </w:r>
      <w:r w:rsidR="0001483B">
        <w:t xml:space="preserve"> states that the spurious domain for an LTE UE employing </w:t>
      </w:r>
      <w:r w:rsidR="0001483B" w:rsidRPr="00575DC7">
        <w:t>20 MHz + 20 MHz carrier aggregation</w:t>
      </w:r>
      <w:r w:rsidR="0001483B">
        <w:t xml:space="preserve"> commences at an offset of 45 MHz from the </w:t>
      </w:r>
      <w:r w:rsidR="006649DC">
        <w:t>channel</w:t>
      </w:r>
      <w:r w:rsidR="0001483B">
        <w:t xml:space="preserve"> edge. This is a larger offset than </w:t>
      </w:r>
      <w:r w:rsidR="006649DC">
        <w:t xml:space="preserve">for </w:t>
      </w:r>
      <w:r w:rsidR="0001483B">
        <w:t xml:space="preserve">any other channel configuration. Since the unwanted emission limits in this section are largely based on OOB emission limits from </w:t>
      </w:r>
      <w:r w:rsidR="0001483B" w:rsidRPr="00C97518">
        <w:t>3GPP 36.101</w:t>
      </w:r>
      <w:r w:rsidR="0001483B">
        <w:t xml:space="preserve">, the frequency range at which </w:t>
      </w:r>
      <w:r w:rsidR="006649DC">
        <w:t>the unwanted limit applies</w:t>
      </w:r>
      <w:r w:rsidR="0001483B">
        <w:t xml:space="preserve"> is proposed to be contained within 45 MHz </w:t>
      </w:r>
      <w:r w:rsidR="006649DC">
        <w:t xml:space="preserve">of </w:t>
      </w:r>
      <w:r w:rsidR="0001483B">
        <w:t>either end of the 1920-1980 MHz band</w:t>
      </w:r>
      <w:r w:rsidR="006649DC">
        <w:t xml:space="preserve"> (i.e.</w:t>
      </w:r>
      <w:r w:rsidR="006649DC" w:rsidRPr="006649DC">
        <w:rPr>
          <w:rFonts w:eastAsiaTheme="minorEastAsia"/>
          <w:szCs w:val="22"/>
          <w:lang w:eastAsia="en-US"/>
        </w:rPr>
        <w:t xml:space="preserve"> </w:t>
      </w:r>
      <w:r w:rsidR="006649DC">
        <w:rPr>
          <w:rFonts w:eastAsiaTheme="minorEastAsia"/>
          <w:szCs w:val="22"/>
          <w:lang w:eastAsia="en-US"/>
        </w:rPr>
        <w:t>1875</w:t>
      </w:r>
      <w:r w:rsidR="006649DC" w:rsidRPr="00C97518">
        <w:rPr>
          <w:rFonts w:eastAsiaTheme="minorEastAsia"/>
          <w:szCs w:val="22"/>
          <w:lang w:eastAsia="en-US"/>
        </w:rPr>
        <w:t>-</w:t>
      </w:r>
      <w:r w:rsidR="006649DC">
        <w:rPr>
          <w:rFonts w:eastAsiaTheme="minorEastAsia"/>
          <w:szCs w:val="22"/>
          <w:lang w:eastAsia="en-US"/>
        </w:rPr>
        <w:t>2025</w:t>
      </w:r>
      <w:r w:rsidR="006649DC" w:rsidRPr="00C97518">
        <w:rPr>
          <w:rFonts w:eastAsiaTheme="minorEastAsia"/>
          <w:szCs w:val="22"/>
          <w:lang w:eastAsia="en-US"/>
        </w:rPr>
        <w:t xml:space="preserve"> MHz</w:t>
      </w:r>
      <w:r w:rsidR="006649DC">
        <w:rPr>
          <w:rFonts w:eastAsiaTheme="minorEastAsia"/>
          <w:szCs w:val="22"/>
          <w:lang w:eastAsia="en-US"/>
        </w:rPr>
        <w:t>)</w:t>
      </w:r>
      <w:r w:rsidR="0001483B">
        <w:t xml:space="preserve">. </w:t>
      </w:r>
    </w:p>
    <w:p w14:paraId="6350DA3E" w14:textId="05E3A949" w:rsidR="00C00817" w:rsidRPr="00C97518" w:rsidRDefault="00A358D7" w:rsidP="00C00817">
      <w:pPr>
        <w:rPr>
          <w:rFonts w:eastAsiaTheme="minorEastAsia"/>
          <w:szCs w:val="22"/>
          <w:lang w:eastAsia="en-US"/>
        </w:rPr>
      </w:pPr>
      <w:r w:rsidRPr="00C97518">
        <w:rPr>
          <w:rFonts w:eastAsiaTheme="minorEastAsia"/>
          <w:szCs w:val="22"/>
          <w:lang w:eastAsia="en-US"/>
        </w:rPr>
        <w:t>For devices operating in the 1920-1980 MHz band,</w:t>
      </w:r>
      <w:r w:rsidRPr="00C97518">
        <w:t xml:space="preserve"> </w:t>
      </w:r>
      <w:r>
        <w:t xml:space="preserve">it is proposed that </w:t>
      </w:r>
      <w:r w:rsidR="00C00817" w:rsidRPr="00C97518">
        <w:t>the r</w:t>
      </w:r>
      <w:r w:rsidR="00C00817" w:rsidRPr="00C97518">
        <w:rPr>
          <w:rFonts w:eastAsiaTheme="minorEastAsia"/>
          <w:szCs w:val="22"/>
          <w:lang w:eastAsia="en-US"/>
        </w:rPr>
        <w:t xml:space="preserve">adiated unwanted emission limits within the </w:t>
      </w:r>
      <w:r w:rsidR="00C27686">
        <w:rPr>
          <w:rFonts w:eastAsiaTheme="minorEastAsia"/>
          <w:szCs w:val="22"/>
          <w:lang w:eastAsia="en-US"/>
        </w:rPr>
        <w:t>1875</w:t>
      </w:r>
      <w:r w:rsidR="00C00817" w:rsidRPr="00C97518">
        <w:rPr>
          <w:rFonts w:eastAsiaTheme="minorEastAsia"/>
          <w:szCs w:val="22"/>
          <w:lang w:eastAsia="en-US"/>
        </w:rPr>
        <w:t>-</w:t>
      </w:r>
      <w:r w:rsidR="00C27686">
        <w:rPr>
          <w:rFonts w:eastAsiaTheme="minorEastAsia"/>
          <w:szCs w:val="22"/>
          <w:lang w:eastAsia="en-US"/>
        </w:rPr>
        <w:t>2025</w:t>
      </w:r>
      <w:r w:rsidR="00C00817" w:rsidRPr="00C97518">
        <w:rPr>
          <w:rFonts w:eastAsiaTheme="minorEastAsia"/>
          <w:szCs w:val="22"/>
          <w:lang w:eastAsia="en-US"/>
        </w:rPr>
        <w:t xml:space="preserve"> MHz band be based on: </w:t>
      </w:r>
    </w:p>
    <w:p w14:paraId="51C42808" w14:textId="1DAB61FD" w:rsidR="008C3AB0" w:rsidRPr="00C97518" w:rsidRDefault="00B52578" w:rsidP="00C00817">
      <w:pPr>
        <w:pStyle w:val="ListParagraph"/>
        <w:numPr>
          <w:ilvl w:val="0"/>
          <w:numId w:val="17"/>
        </w:numPr>
        <w:rPr>
          <w:rFonts w:ascii="Arial" w:eastAsia="Times New Roman" w:hAnsi="Arial" w:cs="Times New Roman"/>
          <w:sz w:val="20"/>
          <w:lang w:eastAsia="en-AU"/>
        </w:rPr>
      </w:pPr>
      <w:r>
        <w:rPr>
          <w:rFonts w:ascii="Arial" w:eastAsia="Times New Roman" w:hAnsi="Arial" w:cs="Times New Roman"/>
          <w:sz w:val="20"/>
          <w:lang w:eastAsia="en-AU"/>
        </w:rPr>
        <w:t>T</w:t>
      </w:r>
      <w:r w:rsidR="00C00817" w:rsidRPr="00C97518">
        <w:rPr>
          <w:rFonts w:ascii="Arial" w:eastAsia="Times New Roman" w:hAnsi="Arial" w:cs="Times New Roman"/>
          <w:sz w:val="20"/>
          <w:lang w:eastAsia="en-AU"/>
        </w:rPr>
        <w:t>he general limits for user terminals stated in 3GPP 36.101</w:t>
      </w:r>
      <w:r w:rsidR="00C00817" w:rsidRPr="00C97518">
        <w:rPr>
          <w:rStyle w:val="FootnoteReference"/>
        </w:rPr>
        <w:footnoteReference w:id="5"/>
      </w:r>
      <w:r w:rsidR="008C3AB0" w:rsidRPr="00C97518">
        <w:rPr>
          <w:rFonts w:ascii="Arial" w:eastAsia="Times New Roman" w:hAnsi="Arial" w:cs="Times New Roman"/>
          <w:sz w:val="20"/>
          <w:lang w:eastAsia="en-AU"/>
        </w:rPr>
        <w:t>. Specifically:</w:t>
      </w:r>
    </w:p>
    <w:p w14:paraId="0A09B09C" w14:textId="52DAEF24" w:rsidR="008C3AB0" w:rsidRPr="00C97518" w:rsidRDefault="00B52578" w:rsidP="008C3AB0">
      <w:pPr>
        <w:pStyle w:val="ListParagraph"/>
        <w:numPr>
          <w:ilvl w:val="1"/>
          <w:numId w:val="17"/>
        </w:numPr>
        <w:rPr>
          <w:rFonts w:ascii="Arial" w:eastAsia="Times New Roman" w:hAnsi="Arial" w:cs="Times New Roman"/>
          <w:sz w:val="20"/>
          <w:lang w:eastAsia="en-AU"/>
        </w:rPr>
      </w:pPr>
      <w:r>
        <w:rPr>
          <w:rFonts w:ascii="Arial" w:eastAsia="Times New Roman" w:hAnsi="Arial" w:cs="Times New Roman"/>
          <w:sz w:val="20"/>
          <w:lang w:eastAsia="en-AU"/>
        </w:rPr>
        <w:t>T</w:t>
      </w:r>
      <w:r w:rsidR="008C3AB0" w:rsidRPr="00C97518">
        <w:rPr>
          <w:rFonts w:ascii="Arial" w:eastAsia="Times New Roman" w:hAnsi="Arial" w:cs="Times New Roman"/>
          <w:sz w:val="20"/>
          <w:lang w:eastAsia="en-AU"/>
        </w:rPr>
        <w:t xml:space="preserve">he 5 MHz </w:t>
      </w:r>
      <w:r w:rsidR="00A358D7">
        <w:rPr>
          <w:rFonts w:ascii="Arial" w:eastAsia="Times New Roman" w:hAnsi="Arial" w:cs="Times New Roman"/>
          <w:sz w:val="20"/>
          <w:lang w:eastAsia="en-AU"/>
        </w:rPr>
        <w:t>channel</w:t>
      </w:r>
      <w:r w:rsidR="008C3AB0" w:rsidRPr="00C97518">
        <w:rPr>
          <w:rFonts w:ascii="Arial" w:eastAsia="Times New Roman" w:hAnsi="Arial" w:cs="Times New Roman"/>
          <w:sz w:val="20"/>
          <w:lang w:eastAsia="en-AU"/>
        </w:rPr>
        <w:t xml:space="preserve"> limit is used in the first 1 MHz</w:t>
      </w:r>
      <w:r>
        <w:rPr>
          <w:rFonts w:ascii="Arial" w:eastAsia="Times New Roman" w:hAnsi="Arial" w:cs="Times New Roman"/>
          <w:sz w:val="20"/>
          <w:lang w:eastAsia="en-AU"/>
        </w:rPr>
        <w:t>. This limit is less stringent than limits defined for 10-20 MHz channels and therefore ensure support for any channel size in the range 5-20 MHz</w:t>
      </w:r>
      <w:r w:rsidR="00C00817" w:rsidRPr="00C97518">
        <w:rPr>
          <w:rFonts w:ascii="Arial" w:eastAsia="Times New Roman" w:hAnsi="Arial" w:cs="Times New Roman"/>
          <w:sz w:val="20"/>
          <w:lang w:eastAsia="en-AU"/>
        </w:rPr>
        <w:t>;</w:t>
      </w:r>
    </w:p>
    <w:p w14:paraId="0E7A02C0" w14:textId="76AD13AF" w:rsidR="00C27686" w:rsidRPr="00850BEB" w:rsidRDefault="00E73383" w:rsidP="00850BEB">
      <w:pPr>
        <w:pStyle w:val="ListParagraph"/>
        <w:numPr>
          <w:ilvl w:val="1"/>
          <w:numId w:val="17"/>
        </w:numPr>
        <w:rPr>
          <w:lang w:eastAsia="en-AU"/>
        </w:rPr>
      </w:pPr>
      <w:r>
        <w:rPr>
          <w:rFonts w:ascii="Arial" w:eastAsia="Times New Roman" w:hAnsi="Arial" w:cs="Times New Roman"/>
          <w:sz w:val="20"/>
          <w:lang w:eastAsia="en-AU"/>
        </w:rPr>
        <w:t>&gt;1</w:t>
      </w:r>
      <w:r w:rsidR="00C27686" w:rsidRPr="00C06149">
        <w:rPr>
          <w:rFonts w:ascii="Arial" w:eastAsia="Times New Roman" w:hAnsi="Arial" w:cs="Times New Roman"/>
          <w:sz w:val="20"/>
          <w:lang w:eastAsia="en-AU"/>
        </w:rPr>
        <w:t xml:space="preserve"> MHz offsets, </w:t>
      </w:r>
      <w:r w:rsidR="00E06374">
        <w:rPr>
          <w:rFonts w:ascii="Arial" w:eastAsia="Times New Roman" w:hAnsi="Arial" w:cs="Times New Roman"/>
          <w:sz w:val="20"/>
          <w:lang w:eastAsia="en-AU"/>
        </w:rPr>
        <w:t xml:space="preserve">LTE UE </w:t>
      </w:r>
      <w:r w:rsidR="00C27686" w:rsidRPr="00C06149">
        <w:rPr>
          <w:rFonts w:ascii="Arial" w:eastAsia="Times New Roman" w:hAnsi="Arial" w:cs="Times New Roman"/>
          <w:sz w:val="20"/>
          <w:lang w:eastAsia="en-AU"/>
        </w:rPr>
        <w:t>20 MHz + 20 MHz carrier aggregation emission limits</w:t>
      </w:r>
      <w:r w:rsidR="00C27686" w:rsidRPr="00850BEB">
        <w:rPr>
          <w:lang w:eastAsia="en-AU"/>
        </w:rPr>
        <w:t>;</w:t>
      </w:r>
    </w:p>
    <w:p w14:paraId="4E29BDE4" w14:textId="046A8AA5" w:rsidR="00C00817" w:rsidRPr="00C97518" w:rsidRDefault="00B52578" w:rsidP="00C06149">
      <w:pPr>
        <w:ind w:left="709"/>
      </w:pPr>
      <w:r>
        <w:t>A</w:t>
      </w:r>
      <w:r w:rsidR="00C00817" w:rsidRPr="00850BEB">
        <w:t xml:space="preserve"> 0 dBi antenna gain</w:t>
      </w:r>
      <w:r w:rsidR="008C3AB0" w:rsidRPr="00850BEB">
        <w:t xml:space="preserve"> </w:t>
      </w:r>
      <w:r>
        <w:t>(</w:t>
      </w:r>
      <w:r w:rsidRPr="00575DC7">
        <w:t>which is common for user terminals</w:t>
      </w:r>
      <w:r>
        <w:t>) is used to turn all the conducted limits defined above into radiated limits</w:t>
      </w:r>
      <w:r w:rsidR="00C00817" w:rsidRPr="006649DC">
        <w:t>.</w:t>
      </w:r>
      <w:r w:rsidR="008C3AB0" w:rsidRPr="006649DC">
        <w:t xml:space="preserve"> </w:t>
      </w:r>
    </w:p>
    <w:p w14:paraId="3266C2F3" w14:textId="1E9490E3" w:rsidR="00C00817" w:rsidRPr="00C97518" w:rsidRDefault="00C00817" w:rsidP="00C00817">
      <w:r w:rsidRPr="00C97518">
        <w:t xml:space="preserve">The resulting radiated unwanted emission limits </w:t>
      </w:r>
      <w:r w:rsidR="00216C6B">
        <w:t xml:space="preserve">for devices operating </w:t>
      </w:r>
      <w:r w:rsidR="008C3AB0" w:rsidRPr="00C97518">
        <w:t>within</w:t>
      </w:r>
      <w:r w:rsidRPr="00C97518">
        <w:t xml:space="preserve"> the </w:t>
      </w:r>
      <w:r w:rsidR="008C3AB0" w:rsidRPr="00C97518">
        <w:t>1920-1980</w:t>
      </w:r>
      <w:r w:rsidRPr="00C97518">
        <w:t xml:space="preserve"> MHz band are shown in </w:t>
      </w:r>
      <w:r w:rsidR="008C3AB0" w:rsidRPr="00C97518">
        <w:rPr>
          <w:rFonts w:eastAsiaTheme="minorEastAsia"/>
          <w:szCs w:val="22"/>
          <w:lang w:eastAsia="en-US"/>
        </w:rPr>
        <w:t xml:space="preserve">Table </w:t>
      </w:r>
      <w:r w:rsidR="00BA6F28" w:rsidRPr="00C97518">
        <w:rPr>
          <w:rFonts w:eastAsiaTheme="minorEastAsia"/>
          <w:szCs w:val="22"/>
          <w:lang w:eastAsia="en-US"/>
        </w:rPr>
        <w:t>B1.4</w:t>
      </w:r>
      <w:r w:rsidRPr="00C97518">
        <w:t xml:space="preserve">. </w:t>
      </w:r>
      <w:r w:rsidR="00DF0459">
        <w:t xml:space="preserve">Note: </w:t>
      </w:r>
      <w:r w:rsidR="00DF0459">
        <w:rPr>
          <w:rFonts w:ascii="TimesNewRoman,Bold" w:hAnsi="TimesNewRoman,Bold" w:cs="TimesNewRoman,Bold"/>
          <w:b/>
          <w:bCs/>
          <w:sz w:val="21"/>
          <w:szCs w:val="21"/>
        </w:rPr>
        <w:t>f</w:t>
      </w:r>
      <w:r w:rsidR="00DF0459">
        <w:rPr>
          <w:rFonts w:ascii="TimesNewRoman,Bold" w:hAnsi="TimesNewRoman,Bold" w:cs="TimesNewRoman,Bold"/>
          <w:b/>
          <w:bCs/>
          <w:sz w:val="14"/>
          <w:szCs w:val="14"/>
        </w:rPr>
        <w:t xml:space="preserve">offset </w:t>
      </w:r>
      <w:r w:rsidR="00DF0459">
        <w:rPr>
          <w:rFonts w:ascii="TimesNewRoman" w:hAnsi="TimesNewRoman" w:cs="TimesNewRoman"/>
          <w:sz w:val="21"/>
          <w:szCs w:val="21"/>
        </w:rPr>
        <w:t xml:space="preserve">is the frequency offset from the upper or lower frequency limits of the licensed spectrum held in each area. The closest -3dB point of the specified bandwidth to the upper or lower frequency limits of the licence is placed at </w:t>
      </w:r>
      <w:r w:rsidR="00DF0459">
        <w:rPr>
          <w:rFonts w:ascii="TimesNewRoman,Bold" w:hAnsi="TimesNewRoman,Bold" w:cs="TimesNewRoman,Bold"/>
          <w:b/>
          <w:bCs/>
          <w:sz w:val="21"/>
          <w:szCs w:val="21"/>
        </w:rPr>
        <w:t>f</w:t>
      </w:r>
      <w:r w:rsidR="00DF0459">
        <w:rPr>
          <w:rFonts w:ascii="TimesNewRoman,Bold" w:hAnsi="TimesNewRoman,Bold" w:cs="TimesNewRoman,Bold"/>
          <w:b/>
          <w:bCs/>
          <w:sz w:val="14"/>
          <w:szCs w:val="14"/>
        </w:rPr>
        <w:t>offset.</w:t>
      </w:r>
    </w:p>
    <w:p w14:paraId="445969B0" w14:textId="2B652465" w:rsidR="00AF4EC6" w:rsidRPr="00C97518" w:rsidRDefault="00AF4EC6" w:rsidP="00AF4EC6">
      <w:pPr>
        <w:pStyle w:val="ACMATableHeader"/>
        <w:numPr>
          <w:ilvl w:val="0"/>
          <w:numId w:val="0"/>
        </w:numPr>
        <w:ind w:left="964" w:hanging="964"/>
      </w:pPr>
      <w:r w:rsidRPr="00C97518">
        <w:lastRenderedPageBreak/>
        <w:t>Table B</w:t>
      </w:r>
      <w:r w:rsidR="00BA6F28" w:rsidRPr="00C97518">
        <w:t>1.4</w:t>
      </w:r>
      <w:r w:rsidRPr="00C97518">
        <w:t>:</w:t>
      </w:r>
      <w:r w:rsidRPr="00C97518">
        <w:tab/>
        <w:t>R</w:t>
      </w:r>
      <w:r w:rsidRPr="00C97518">
        <w:rPr>
          <w:rFonts w:eastAsiaTheme="minorEastAsia"/>
          <w:szCs w:val="22"/>
          <w:lang w:eastAsia="en-US"/>
        </w:rPr>
        <w:t xml:space="preserve">adiated </w:t>
      </w:r>
      <w:r w:rsidR="008C3AB0" w:rsidRPr="00C97518">
        <w:rPr>
          <w:rFonts w:eastAsiaTheme="minorEastAsia"/>
          <w:szCs w:val="22"/>
          <w:lang w:eastAsia="en-US"/>
        </w:rPr>
        <w:t>unwanted</w:t>
      </w:r>
      <w:r w:rsidRPr="00C97518">
        <w:rPr>
          <w:rFonts w:eastAsiaTheme="minorEastAsia"/>
          <w:szCs w:val="22"/>
          <w:lang w:eastAsia="en-US"/>
        </w:rPr>
        <w:t xml:space="preserve"> emission limits </w:t>
      </w:r>
      <w:r w:rsidR="008C3AB0" w:rsidRPr="00C97518">
        <w:rPr>
          <w:rFonts w:eastAsiaTheme="minorEastAsia"/>
          <w:szCs w:val="22"/>
          <w:lang w:eastAsia="en-US"/>
        </w:rPr>
        <w:t>within</w:t>
      </w:r>
      <w:r w:rsidRPr="00C97518">
        <w:rPr>
          <w:rFonts w:eastAsiaTheme="minorEastAsia"/>
          <w:szCs w:val="22"/>
          <w:lang w:eastAsia="en-US"/>
        </w:rPr>
        <w:t xml:space="preserve"> the </w:t>
      </w:r>
      <w:r w:rsidR="00B52578">
        <w:rPr>
          <w:rFonts w:eastAsiaTheme="minorEastAsia"/>
          <w:szCs w:val="22"/>
          <w:lang w:eastAsia="en-US"/>
        </w:rPr>
        <w:t>1875-2025</w:t>
      </w:r>
      <w:r w:rsidRPr="00C97518">
        <w:rPr>
          <w:rFonts w:eastAsiaTheme="minorEastAsia"/>
          <w:szCs w:val="22"/>
          <w:lang w:eastAsia="en-US"/>
        </w:rPr>
        <w:t xml:space="preserve"> MHz band</w:t>
      </w:r>
      <w:r w:rsidRPr="00C97518">
        <w:t xml:space="preserve"> </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711"/>
        <w:gridCol w:w="3969"/>
        <w:gridCol w:w="1972"/>
      </w:tblGrid>
      <w:tr w:rsidR="00AF4EC6" w:rsidRPr="00C97518" w14:paraId="5CCF7D67" w14:textId="77777777" w:rsidTr="00C27686">
        <w:trPr>
          <w:tblHeader/>
        </w:trPr>
        <w:tc>
          <w:tcPr>
            <w:tcW w:w="2711" w:type="dxa"/>
            <w:tcBorders>
              <w:top w:val="single" w:sz="4" w:space="0" w:color="auto"/>
              <w:left w:val="nil"/>
              <w:bottom w:val="single" w:sz="4" w:space="0" w:color="auto"/>
              <w:right w:val="nil"/>
            </w:tcBorders>
            <w:shd w:val="clear" w:color="auto" w:fill="404040" w:themeFill="text1" w:themeFillTint="BF"/>
          </w:tcPr>
          <w:p w14:paraId="35385E08" w14:textId="77777777" w:rsidR="00AF4EC6" w:rsidRPr="00C97518" w:rsidRDefault="00AF4EC6" w:rsidP="003D00D5">
            <w:pPr>
              <w:pStyle w:val="TableHeading"/>
              <w:rPr>
                <w:color w:val="FFFFFF" w:themeColor="background1"/>
              </w:rPr>
            </w:pPr>
            <w:r w:rsidRPr="00C97518">
              <w:rPr>
                <w:color w:val="FFFFFF" w:themeColor="background1"/>
              </w:rPr>
              <w:t>Frequency offset range</w:t>
            </w:r>
          </w:p>
        </w:tc>
        <w:tc>
          <w:tcPr>
            <w:tcW w:w="3969" w:type="dxa"/>
            <w:tcBorders>
              <w:top w:val="single" w:sz="4" w:space="0" w:color="auto"/>
              <w:left w:val="nil"/>
              <w:bottom w:val="single" w:sz="4" w:space="0" w:color="auto"/>
              <w:right w:val="nil"/>
            </w:tcBorders>
            <w:shd w:val="clear" w:color="auto" w:fill="404040" w:themeFill="text1" w:themeFillTint="BF"/>
          </w:tcPr>
          <w:p w14:paraId="4E7C19A5" w14:textId="77777777" w:rsidR="00AF4EC6" w:rsidRPr="00C97518" w:rsidRDefault="00AF4EC6" w:rsidP="003D00D5">
            <w:pPr>
              <w:pStyle w:val="TableHeading"/>
              <w:jc w:val="center"/>
              <w:rPr>
                <w:color w:val="FFFFFF" w:themeColor="background1"/>
              </w:rPr>
            </w:pPr>
            <w:r w:rsidRPr="00C97518">
              <w:rPr>
                <w:color w:val="FFFFFF" w:themeColor="background1"/>
              </w:rPr>
              <w:t>Radiated maximum true mean power</w:t>
            </w:r>
          </w:p>
          <w:p w14:paraId="09F0A663" w14:textId="77777777" w:rsidR="00AF4EC6" w:rsidRPr="00C97518" w:rsidRDefault="00AF4EC6" w:rsidP="003D00D5">
            <w:pPr>
              <w:pStyle w:val="TableHeading"/>
              <w:jc w:val="center"/>
              <w:rPr>
                <w:color w:val="FFFFFF" w:themeColor="background1"/>
              </w:rPr>
            </w:pPr>
            <w:r w:rsidRPr="00C97518">
              <w:rPr>
                <w:color w:val="FFFFFF" w:themeColor="background1"/>
              </w:rPr>
              <w:t>(dBm EIRP)</w:t>
            </w:r>
          </w:p>
        </w:tc>
        <w:tc>
          <w:tcPr>
            <w:tcW w:w="1972" w:type="dxa"/>
            <w:tcBorders>
              <w:top w:val="single" w:sz="4" w:space="0" w:color="auto"/>
              <w:left w:val="nil"/>
              <w:bottom w:val="single" w:sz="4" w:space="0" w:color="auto"/>
              <w:right w:val="nil"/>
            </w:tcBorders>
            <w:shd w:val="clear" w:color="auto" w:fill="404040" w:themeFill="text1" w:themeFillTint="BF"/>
          </w:tcPr>
          <w:p w14:paraId="702BD677" w14:textId="3858E473" w:rsidR="00AF4EC6" w:rsidRPr="00C97518" w:rsidRDefault="00AF4EC6" w:rsidP="003D00D5">
            <w:pPr>
              <w:pStyle w:val="TableHeading"/>
              <w:jc w:val="center"/>
              <w:rPr>
                <w:color w:val="FFFFFF" w:themeColor="background1"/>
              </w:rPr>
            </w:pPr>
            <w:r w:rsidRPr="00C97518">
              <w:rPr>
                <w:color w:val="FFFFFF" w:themeColor="background1"/>
              </w:rPr>
              <w:t xml:space="preserve">Specified </w:t>
            </w:r>
            <w:r w:rsidR="00E75F2B" w:rsidRPr="00C97518">
              <w:rPr>
                <w:color w:val="FFFFFF" w:themeColor="background1"/>
              </w:rPr>
              <w:t>b</w:t>
            </w:r>
            <w:r w:rsidRPr="00C97518">
              <w:rPr>
                <w:color w:val="FFFFFF" w:themeColor="background1"/>
              </w:rPr>
              <w:t>andwidth</w:t>
            </w:r>
          </w:p>
        </w:tc>
      </w:tr>
      <w:tr w:rsidR="00AF4EC6" w:rsidRPr="00C97518" w14:paraId="5E124F1C" w14:textId="77777777" w:rsidTr="00C27686">
        <w:trPr>
          <w:tblHeader/>
        </w:trPr>
        <w:tc>
          <w:tcPr>
            <w:tcW w:w="2711" w:type="dxa"/>
            <w:tcBorders>
              <w:top w:val="single" w:sz="4" w:space="0" w:color="auto"/>
              <w:left w:val="nil"/>
              <w:bottom w:val="single" w:sz="4" w:space="0" w:color="auto"/>
              <w:right w:val="nil"/>
            </w:tcBorders>
          </w:tcPr>
          <w:p w14:paraId="1F0AC118" w14:textId="5E81A91C" w:rsidR="00AF4EC6" w:rsidRPr="00C97518" w:rsidRDefault="00AF4EC6" w:rsidP="00006ECD">
            <w:pPr>
              <w:pStyle w:val="TableBody"/>
              <w:keepNext/>
              <w:keepLines/>
              <w:rPr>
                <w:rFonts w:cs="Arial"/>
              </w:rPr>
            </w:pPr>
            <w:r w:rsidRPr="00C97518">
              <w:rPr>
                <w:rFonts w:cs="Arial"/>
              </w:rPr>
              <w:t>0 kHz ≤ f</w:t>
            </w:r>
            <w:r w:rsidRPr="00C97518">
              <w:rPr>
                <w:rFonts w:cs="Arial"/>
                <w:vertAlign w:val="subscript"/>
              </w:rPr>
              <w:t>offset</w:t>
            </w:r>
            <w:r w:rsidRPr="00C97518">
              <w:rPr>
                <w:rFonts w:cs="Arial"/>
              </w:rPr>
              <w:t xml:space="preserve"> &lt; </w:t>
            </w:r>
            <w:r w:rsidR="00006ECD" w:rsidRPr="00C97518">
              <w:rPr>
                <w:rFonts w:cs="Arial"/>
              </w:rPr>
              <w:t>1</w:t>
            </w:r>
            <w:r w:rsidRPr="00C97518">
              <w:rPr>
                <w:rFonts w:cs="Arial"/>
              </w:rPr>
              <w:t xml:space="preserve"> MHz</w:t>
            </w:r>
          </w:p>
        </w:tc>
        <w:tc>
          <w:tcPr>
            <w:tcW w:w="3969" w:type="dxa"/>
            <w:tcBorders>
              <w:top w:val="single" w:sz="4" w:space="0" w:color="auto"/>
              <w:left w:val="nil"/>
              <w:bottom w:val="single" w:sz="4" w:space="0" w:color="auto"/>
              <w:right w:val="nil"/>
            </w:tcBorders>
          </w:tcPr>
          <w:p w14:paraId="7A9E860A" w14:textId="0C48B0AD" w:rsidR="00AF4EC6" w:rsidRPr="00C97518" w:rsidRDefault="00006ECD" w:rsidP="003D00D5">
            <w:pPr>
              <w:pStyle w:val="TableBody"/>
              <w:keepNext/>
              <w:keepLines/>
              <w:jc w:val="center"/>
              <w:rPr>
                <w:rFonts w:cs="Arial"/>
              </w:rPr>
            </w:pPr>
            <w:r w:rsidRPr="00C97518">
              <w:rPr>
                <w:rFonts w:cs="Arial"/>
              </w:rPr>
              <w:t>-15</w:t>
            </w:r>
          </w:p>
        </w:tc>
        <w:tc>
          <w:tcPr>
            <w:tcW w:w="1972" w:type="dxa"/>
            <w:tcBorders>
              <w:top w:val="single" w:sz="4" w:space="0" w:color="auto"/>
              <w:left w:val="nil"/>
              <w:bottom w:val="single" w:sz="4" w:space="0" w:color="auto"/>
              <w:right w:val="nil"/>
            </w:tcBorders>
          </w:tcPr>
          <w:p w14:paraId="2E89230C" w14:textId="067FC3AD" w:rsidR="00AF4EC6" w:rsidRPr="00C97518" w:rsidRDefault="00006ECD" w:rsidP="003D00D5">
            <w:pPr>
              <w:pStyle w:val="TableBody"/>
              <w:keepNext/>
              <w:keepLines/>
              <w:jc w:val="center"/>
              <w:rPr>
                <w:rFonts w:cs="Arial"/>
              </w:rPr>
            </w:pPr>
            <w:r w:rsidRPr="00C97518">
              <w:rPr>
                <w:rFonts w:cs="Arial"/>
              </w:rPr>
              <w:t>30</w:t>
            </w:r>
            <w:r w:rsidR="00AF4EC6" w:rsidRPr="00C97518">
              <w:rPr>
                <w:rFonts w:cs="Arial"/>
              </w:rPr>
              <w:t xml:space="preserve"> kHz</w:t>
            </w:r>
          </w:p>
        </w:tc>
      </w:tr>
      <w:tr w:rsidR="00AF4EC6" w:rsidRPr="00C97518" w14:paraId="7A96A0D5" w14:textId="77777777" w:rsidTr="00C27686">
        <w:trPr>
          <w:tblHeader/>
        </w:trPr>
        <w:tc>
          <w:tcPr>
            <w:tcW w:w="2711" w:type="dxa"/>
            <w:tcBorders>
              <w:top w:val="single" w:sz="4" w:space="0" w:color="auto"/>
              <w:left w:val="nil"/>
              <w:bottom w:val="single" w:sz="4" w:space="0" w:color="auto"/>
              <w:right w:val="nil"/>
            </w:tcBorders>
            <w:shd w:val="clear" w:color="auto" w:fill="F2F2F2" w:themeFill="background1" w:themeFillShade="F2"/>
          </w:tcPr>
          <w:p w14:paraId="7F71D782" w14:textId="1C4D393E" w:rsidR="00AF4EC6" w:rsidRPr="00C97518" w:rsidRDefault="00006ECD" w:rsidP="00006ECD">
            <w:pPr>
              <w:pStyle w:val="TableBody"/>
              <w:keepNext/>
              <w:keepLines/>
              <w:rPr>
                <w:rFonts w:cs="Arial"/>
              </w:rPr>
            </w:pPr>
            <w:r w:rsidRPr="00C97518">
              <w:rPr>
                <w:rFonts w:cs="Arial"/>
              </w:rPr>
              <w:t>1</w:t>
            </w:r>
            <w:r w:rsidR="00AF4EC6" w:rsidRPr="00C97518">
              <w:rPr>
                <w:rFonts w:cs="Arial"/>
              </w:rPr>
              <w:t xml:space="preserve"> MHz ≤ f</w:t>
            </w:r>
            <w:r w:rsidR="00AF4EC6" w:rsidRPr="00C97518">
              <w:rPr>
                <w:rFonts w:cs="Arial"/>
                <w:vertAlign w:val="subscript"/>
              </w:rPr>
              <w:t>offset</w:t>
            </w:r>
            <w:r w:rsidR="00AF4EC6" w:rsidRPr="00C97518">
              <w:rPr>
                <w:rFonts w:cs="Arial"/>
              </w:rPr>
              <w:t xml:space="preserve"> &lt; </w:t>
            </w:r>
            <w:r w:rsidRPr="00C97518">
              <w:rPr>
                <w:rFonts w:cs="Arial"/>
              </w:rPr>
              <w:t>5</w:t>
            </w:r>
            <w:r w:rsidR="00AF4EC6" w:rsidRPr="00C97518">
              <w:rPr>
                <w:rFonts w:cs="Arial"/>
              </w:rPr>
              <w:t xml:space="preserve"> MHz</w:t>
            </w:r>
          </w:p>
        </w:tc>
        <w:tc>
          <w:tcPr>
            <w:tcW w:w="3969" w:type="dxa"/>
            <w:tcBorders>
              <w:top w:val="single" w:sz="4" w:space="0" w:color="auto"/>
              <w:left w:val="nil"/>
              <w:bottom w:val="single" w:sz="4" w:space="0" w:color="auto"/>
              <w:right w:val="nil"/>
            </w:tcBorders>
            <w:shd w:val="clear" w:color="auto" w:fill="F2F2F2" w:themeFill="background1" w:themeFillShade="F2"/>
          </w:tcPr>
          <w:p w14:paraId="4D659D79" w14:textId="5BAE9C29" w:rsidR="00AF4EC6" w:rsidRPr="00C97518" w:rsidRDefault="00006ECD" w:rsidP="003D00D5">
            <w:pPr>
              <w:pStyle w:val="TableBody"/>
              <w:keepNext/>
              <w:keepLines/>
              <w:jc w:val="center"/>
              <w:rPr>
                <w:rFonts w:cs="Arial"/>
              </w:rPr>
            </w:pPr>
            <w:r w:rsidRPr="00C97518">
              <w:rPr>
                <w:rFonts w:cs="Arial"/>
              </w:rPr>
              <w:t>-10</w:t>
            </w:r>
          </w:p>
        </w:tc>
        <w:tc>
          <w:tcPr>
            <w:tcW w:w="1972" w:type="dxa"/>
            <w:tcBorders>
              <w:top w:val="single" w:sz="4" w:space="0" w:color="auto"/>
              <w:left w:val="nil"/>
              <w:bottom w:val="single" w:sz="4" w:space="0" w:color="auto"/>
              <w:right w:val="nil"/>
            </w:tcBorders>
            <w:shd w:val="clear" w:color="auto" w:fill="F2F2F2" w:themeFill="background1" w:themeFillShade="F2"/>
          </w:tcPr>
          <w:p w14:paraId="4E56FF8D" w14:textId="7F44A922" w:rsidR="00AF4EC6" w:rsidRPr="00C97518" w:rsidRDefault="00AF4EC6" w:rsidP="00006ECD">
            <w:pPr>
              <w:pStyle w:val="TableBody"/>
              <w:keepNext/>
              <w:keepLines/>
              <w:jc w:val="center"/>
              <w:rPr>
                <w:rFonts w:cs="Arial"/>
              </w:rPr>
            </w:pPr>
            <w:r w:rsidRPr="00C97518">
              <w:rPr>
                <w:rFonts w:cs="Arial"/>
              </w:rPr>
              <w:t xml:space="preserve">1 </w:t>
            </w:r>
            <w:r w:rsidR="00006ECD" w:rsidRPr="00C97518">
              <w:rPr>
                <w:rFonts w:cs="Arial"/>
              </w:rPr>
              <w:t>M</w:t>
            </w:r>
            <w:r w:rsidRPr="00C97518">
              <w:rPr>
                <w:rFonts w:cs="Arial"/>
              </w:rPr>
              <w:t>Hz</w:t>
            </w:r>
          </w:p>
        </w:tc>
      </w:tr>
      <w:tr w:rsidR="00AF4EC6" w:rsidRPr="00C97518" w14:paraId="7C6C343F" w14:textId="77777777" w:rsidTr="00C27686">
        <w:trPr>
          <w:tblHeader/>
        </w:trPr>
        <w:tc>
          <w:tcPr>
            <w:tcW w:w="2711" w:type="dxa"/>
            <w:tcBorders>
              <w:top w:val="single" w:sz="4" w:space="0" w:color="auto"/>
              <w:left w:val="nil"/>
              <w:bottom w:val="single" w:sz="4" w:space="0" w:color="auto"/>
              <w:right w:val="nil"/>
            </w:tcBorders>
          </w:tcPr>
          <w:p w14:paraId="7FA4F8B2" w14:textId="68A7D5E5" w:rsidR="00AF4EC6" w:rsidRPr="00C97518" w:rsidRDefault="00006ECD" w:rsidP="008406D5">
            <w:pPr>
              <w:pStyle w:val="TableBody"/>
              <w:keepNext/>
              <w:keepLines/>
              <w:rPr>
                <w:rFonts w:cs="Arial"/>
              </w:rPr>
            </w:pPr>
            <w:r w:rsidRPr="00C97518">
              <w:rPr>
                <w:rFonts w:cs="Arial"/>
              </w:rPr>
              <w:t>5 MHz ≤ f</w:t>
            </w:r>
            <w:r w:rsidRPr="00C97518">
              <w:rPr>
                <w:rFonts w:cs="Arial"/>
                <w:vertAlign w:val="subscript"/>
              </w:rPr>
              <w:t>offset</w:t>
            </w:r>
            <w:r w:rsidRPr="00C97518">
              <w:rPr>
                <w:rFonts w:cs="Arial"/>
              </w:rPr>
              <w:t xml:space="preserve"> &lt; </w:t>
            </w:r>
            <w:r w:rsidR="008406D5">
              <w:rPr>
                <w:rFonts w:cs="Arial"/>
              </w:rPr>
              <w:t>39.8</w:t>
            </w:r>
            <w:r w:rsidRPr="00C97518">
              <w:rPr>
                <w:rFonts w:cs="Arial"/>
              </w:rPr>
              <w:t xml:space="preserve"> MHz</w:t>
            </w:r>
          </w:p>
        </w:tc>
        <w:tc>
          <w:tcPr>
            <w:tcW w:w="3969" w:type="dxa"/>
            <w:tcBorders>
              <w:top w:val="single" w:sz="4" w:space="0" w:color="auto"/>
              <w:left w:val="nil"/>
              <w:bottom w:val="single" w:sz="4" w:space="0" w:color="auto"/>
              <w:right w:val="nil"/>
            </w:tcBorders>
          </w:tcPr>
          <w:p w14:paraId="76E5C576" w14:textId="54A9BD64" w:rsidR="00AF4EC6" w:rsidRPr="00C97518" w:rsidRDefault="00006ECD" w:rsidP="003D00D5">
            <w:pPr>
              <w:pStyle w:val="TableBody"/>
              <w:keepNext/>
              <w:keepLines/>
              <w:jc w:val="center"/>
              <w:rPr>
                <w:rFonts w:cs="Arial"/>
              </w:rPr>
            </w:pPr>
            <w:r w:rsidRPr="00C97518">
              <w:rPr>
                <w:rFonts w:cs="Arial"/>
              </w:rPr>
              <w:t>-13</w:t>
            </w:r>
          </w:p>
        </w:tc>
        <w:tc>
          <w:tcPr>
            <w:tcW w:w="1972" w:type="dxa"/>
            <w:tcBorders>
              <w:top w:val="single" w:sz="4" w:space="0" w:color="auto"/>
              <w:left w:val="nil"/>
              <w:bottom w:val="single" w:sz="4" w:space="0" w:color="auto"/>
              <w:right w:val="nil"/>
            </w:tcBorders>
          </w:tcPr>
          <w:p w14:paraId="67D5495C" w14:textId="77777777" w:rsidR="00AF4EC6" w:rsidRPr="00C97518" w:rsidRDefault="00AF4EC6" w:rsidP="003D00D5">
            <w:pPr>
              <w:pStyle w:val="TableBody"/>
              <w:keepNext/>
              <w:keepLines/>
              <w:jc w:val="center"/>
              <w:rPr>
                <w:rFonts w:cs="Arial"/>
              </w:rPr>
            </w:pPr>
            <w:r w:rsidRPr="00C97518">
              <w:rPr>
                <w:rFonts w:cs="Arial"/>
              </w:rPr>
              <w:t>1 MHz</w:t>
            </w:r>
          </w:p>
        </w:tc>
      </w:tr>
      <w:tr w:rsidR="00C27686" w:rsidRPr="00C97518" w14:paraId="0A123788" w14:textId="77777777" w:rsidTr="00C27686">
        <w:trPr>
          <w:tblHeader/>
        </w:trPr>
        <w:tc>
          <w:tcPr>
            <w:tcW w:w="2711" w:type="dxa"/>
            <w:tcBorders>
              <w:top w:val="single" w:sz="4" w:space="0" w:color="auto"/>
              <w:left w:val="nil"/>
              <w:bottom w:val="single" w:sz="4" w:space="0" w:color="auto"/>
              <w:right w:val="nil"/>
            </w:tcBorders>
          </w:tcPr>
          <w:p w14:paraId="2566D757" w14:textId="291ACFC7" w:rsidR="00C27686" w:rsidRPr="00C97518" w:rsidRDefault="00C27686" w:rsidP="00C27686">
            <w:pPr>
              <w:pStyle w:val="TableBody"/>
              <w:keepNext/>
              <w:keepLines/>
              <w:rPr>
                <w:rFonts w:cs="Arial"/>
              </w:rPr>
            </w:pPr>
            <w:r w:rsidRPr="00C97518">
              <w:rPr>
                <w:rFonts w:cs="Arial"/>
              </w:rPr>
              <w:t>39.8 MHz ≤ f</w:t>
            </w:r>
            <w:r w:rsidRPr="00C27686">
              <w:rPr>
                <w:rFonts w:cs="Arial"/>
                <w:vertAlign w:val="subscript"/>
              </w:rPr>
              <w:t>offset</w:t>
            </w:r>
            <w:r w:rsidRPr="00C97518">
              <w:rPr>
                <w:rFonts w:cs="Arial"/>
              </w:rPr>
              <w:t xml:space="preserve"> </w:t>
            </w:r>
          </w:p>
        </w:tc>
        <w:tc>
          <w:tcPr>
            <w:tcW w:w="3969" w:type="dxa"/>
            <w:tcBorders>
              <w:top w:val="single" w:sz="4" w:space="0" w:color="auto"/>
              <w:left w:val="nil"/>
              <w:bottom w:val="single" w:sz="4" w:space="0" w:color="auto"/>
              <w:right w:val="nil"/>
            </w:tcBorders>
          </w:tcPr>
          <w:p w14:paraId="755FEEA2" w14:textId="77777777" w:rsidR="00C27686" w:rsidRPr="00C97518" w:rsidRDefault="00C27686" w:rsidP="0098122A">
            <w:pPr>
              <w:pStyle w:val="TableBody"/>
              <w:keepNext/>
              <w:keepLines/>
              <w:jc w:val="center"/>
              <w:rPr>
                <w:rFonts w:cs="Arial"/>
              </w:rPr>
            </w:pPr>
            <w:r w:rsidRPr="00C97518">
              <w:rPr>
                <w:rFonts w:cs="Arial"/>
              </w:rPr>
              <w:t>-25</w:t>
            </w:r>
          </w:p>
        </w:tc>
        <w:tc>
          <w:tcPr>
            <w:tcW w:w="1972" w:type="dxa"/>
            <w:tcBorders>
              <w:top w:val="single" w:sz="4" w:space="0" w:color="auto"/>
              <w:left w:val="nil"/>
              <w:bottom w:val="single" w:sz="4" w:space="0" w:color="auto"/>
              <w:right w:val="nil"/>
            </w:tcBorders>
          </w:tcPr>
          <w:p w14:paraId="7C52A85F" w14:textId="77777777" w:rsidR="00C27686" w:rsidRPr="00C97518" w:rsidRDefault="00C27686" w:rsidP="0098122A">
            <w:pPr>
              <w:pStyle w:val="TableBody"/>
              <w:keepNext/>
              <w:keepLines/>
              <w:jc w:val="center"/>
              <w:rPr>
                <w:rFonts w:cs="Arial"/>
              </w:rPr>
            </w:pPr>
            <w:r w:rsidRPr="00C97518">
              <w:rPr>
                <w:rFonts w:cs="Arial"/>
              </w:rPr>
              <w:t>1 MHz</w:t>
            </w:r>
          </w:p>
        </w:tc>
      </w:tr>
    </w:tbl>
    <w:p w14:paraId="3D2DD452" w14:textId="77777777" w:rsidR="00DF0459" w:rsidRDefault="00DF0459" w:rsidP="00DF0459">
      <w:pPr>
        <w:spacing w:after="0" w:line="240" w:lineRule="auto"/>
        <w:rPr>
          <w:u w:val="single"/>
        </w:rPr>
      </w:pPr>
    </w:p>
    <w:p w14:paraId="6589D309" w14:textId="3033F3D2" w:rsidR="007552D9" w:rsidRPr="00C97518" w:rsidRDefault="007552D9" w:rsidP="00DF0459">
      <w:pPr>
        <w:spacing w:after="0" w:line="240" w:lineRule="auto"/>
        <w:rPr>
          <w:u w:val="single"/>
        </w:rPr>
      </w:pPr>
      <w:r w:rsidRPr="00C97518">
        <w:rPr>
          <w:u w:val="single"/>
        </w:rPr>
        <w:t xml:space="preserve">Unwanted Emission Limits below </w:t>
      </w:r>
      <w:r w:rsidR="00C27686">
        <w:rPr>
          <w:u w:val="single"/>
        </w:rPr>
        <w:t>1875</w:t>
      </w:r>
      <w:r w:rsidRPr="00C97518">
        <w:rPr>
          <w:u w:val="single"/>
        </w:rPr>
        <w:t xml:space="preserve"> MHz and above </w:t>
      </w:r>
      <w:r w:rsidR="00C27686">
        <w:rPr>
          <w:u w:val="single"/>
        </w:rPr>
        <w:t>2025</w:t>
      </w:r>
      <w:r w:rsidRPr="00C97518">
        <w:rPr>
          <w:u w:val="single"/>
        </w:rPr>
        <w:t xml:space="preserve"> MHz </w:t>
      </w:r>
    </w:p>
    <w:p w14:paraId="7371EE69" w14:textId="75F16395" w:rsidR="007552D9" w:rsidRPr="00C97518" w:rsidRDefault="007552D9" w:rsidP="007552D9">
      <w:pPr>
        <w:rPr>
          <w:rFonts w:eastAsiaTheme="minorEastAsia"/>
          <w:szCs w:val="22"/>
          <w:lang w:eastAsia="en-US"/>
        </w:rPr>
      </w:pPr>
      <w:r w:rsidRPr="00C97518">
        <w:rPr>
          <w:rFonts w:eastAsiaTheme="minorEastAsia"/>
          <w:szCs w:val="22"/>
          <w:lang w:eastAsia="en-US"/>
        </w:rPr>
        <w:t>For devices operating in the 1920-1980 MHz band,</w:t>
      </w:r>
      <w:r w:rsidRPr="00C97518">
        <w:t xml:space="preserve"> it is proposed</w:t>
      </w:r>
      <w:r w:rsidR="00A358D7">
        <w:t xml:space="preserve"> that</w:t>
      </w:r>
      <w:r w:rsidRPr="00C97518">
        <w:t xml:space="preserve"> the r</w:t>
      </w:r>
      <w:r w:rsidRPr="00C97518">
        <w:rPr>
          <w:rFonts w:eastAsiaTheme="minorEastAsia"/>
          <w:szCs w:val="22"/>
          <w:lang w:eastAsia="en-US"/>
        </w:rPr>
        <w:t xml:space="preserve">adiated unwanted emission limits below </w:t>
      </w:r>
      <w:r w:rsidR="00C27686">
        <w:rPr>
          <w:rFonts w:eastAsiaTheme="minorEastAsia"/>
          <w:szCs w:val="22"/>
          <w:lang w:eastAsia="en-US"/>
        </w:rPr>
        <w:t>1875</w:t>
      </w:r>
      <w:r w:rsidRPr="00C97518">
        <w:rPr>
          <w:rFonts w:eastAsiaTheme="minorEastAsia"/>
          <w:szCs w:val="22"/>
          <w:lang w:eastAsia="en-US"/>
        </w:rPr>
        <w:t xml:space="preserve"> MHz and above </w:t>
      </w:r>
      <w:r w:rsidR="00C27686">
        <w:rPr>
          <w:rFonts w:eastAsiaTheme="minorEastAsia"/>
          <w:szCs w:val="22"/>
          <w:lang w:eastAsia="en-US"/>
        </w:rPr>
        <w:t>2025</w:t>
      </w:r>
      <w:r w:rsidRPr="00C97518">
        <w:rPr>
          <w:rFonts w:eastAsiaTheme="minorEastAsia"/>
          <w:szCs w:val="22"/>
          <w:lang w:eastAsia="en-US"/>
        </w:rPr>
        <w:t xml:space="preserve"> MHz be based on: </w:t>
      </w:r>
    </w:p>
    <w:p w14:paraId="6898A668" w14:textId="56B1FD7A" w:rsidR="007552D9" w:rsidRPr="00FB6983" w:rsidRDefault="004C13AA" w:rsidP="00E06374">
      <w:pPr>
        <w:pStyle w:val="ListParagraph"/>
        <w:numPr>
          <w:ilvl w:val="0"/>
          <w:numId w:val="17"/>
        </w:numPr>
      </w:pPr>
      <w:r>
        <w:rPr>
          <w:rFonts w:ascii="Arial" w:eastAsia="Times New Roman" w:hAnsi="Arial" w:cs="Times New Roman"/>
          <w:sz w:val="20"/>
          <w:lang w:eastAsia="en-AU"/>
        </w:rPr>
        <w:t>T</w:t>
      </w:r>
      <w:r w:rsidR="00C27686">
        <w:rPr>
          <w:rFonts w:ascii="Arial" w:eastAsia="Times New Roman" w:hAnsi="Arial" w:cs="Times New Roman"/>
          <w:sz w:val="20"/>
          <w:lang w:eastAsia="en-AU"/>
        </w:rPr>
        <w:t>he spurious emission limits for a</w:t>
      </w:r>
      <w:r w:rsidR="00E06374">
        <w:rPr>
          <w:rFonts w:ascii="Arial" w:eastAsia="Times New Roman" w:hAnsi="Arial" w:cs="Times New Roman"/>
          <w:sz w:val="20"/>
          <w:lang w:eastAsia="en-AU"/>
        </w:rPr>
        <w:t>n LTE UE</w:t>
      </w:r>
      <w:r w:rsidR="00C27686">
        <w:rPr>
          <w:rFonts w:ascii="Arial" w:eastAsia="Times New Roman" w:hAnsi="Arial" w:cs="Times New Roman"/>
          <w:sz w:val="20"/>
          <w:lang w:eastAsia="en-AU"/>
        </w:rPr>
        <w:t xml:space="preserve"> </w:t>
      </w:r>
      <w:r w:rsidR="007552D9" w:rsidRPr="00C97518">
        <w:rPr>
          <w:rFonts w:ascii="Arial" w:eastAsia="Times New Roman" w:hAnsi="Arial" w:cs="Times New Roman"/>
          <w:sz w:val="20"/>
          <w:lang w:eastAsia="en-AU"/>
        </w:rPr>
        <w:t>stated in 3GPP 36.101</w:t>
      </w:r>
      <w:r w:rsidR="007552D9" w:rsidRPr="00C97518">
        <w:rPr>
          <w:rStyle w:val="FootnoteReference"/>
        </w:rPr>
        <w:footnoteReference w:id="6"/>
      </w:r>
      <w:r w:rsidR="00E06374">
        <w:rPr>
          <w:rFonts w:ascii="Arial" w:eastAsia="Times New Roman" w:hAnsi="Arial" w:cs="Times New Roman"/>
          <w:sz w:val="20"/>
          <w:lang w:eastAsia="en-AU"/>
        </w:rPr>
        <w:t xml:space="preserve"> </w:t>
      </w:r>
      <w:r w:rsidR="00C27686">
        <w:rPr>
          <w:rFonts w:ascii="Arial" w:eastAsia="Times New Roman" w:hAnsi="Arial" w:cs="Times New Roman"/>
          <w:sz w:val="20"/>
          <w:lang w:eastAsia="en-AU"/>
        </w:rPr>
        <w:t xml:space="preserve">employing 20 MHz + 20 MHz carrier aggregation </w:t>
      </w:r>
      <w:r w:rsidR="007552D9" w:rsidRPr="00C97518">
        <w:rPr>
          <w:rFonts w:ascii="Arial" w:eastAsia="Times New Roman" w:hAnsi="Arial" w:cs="Times New Roman"/>
          <w:sz w:val="20"/>
          <w:lang w:eastAsia="en-AU"/>
        </w:rPr>
        <w:t>with the addition of a 0 dBi antenna gain</w:t>
      </w:r>
      <w:r w:rsidR="00E06374">
        <w:rPr>
          <w:rFonts w:ascii="Arial" w:eastAsia="Times New Roman" w:hAnsi="Arial" w:cs="Times New Roman"/>
          <w:sz w:val="20"/>
          <w:lang w:eastAsia="en-AU"/>
        </w:rPr>
        <w:t xml:space="preserve"> to </w:t>
      </w:r>
      <w:r w:rsidR="00216C6B">
        <w:rPr>
          <w:rFonts w:ascii="Arial" w:eastAsia="Times New Roman" w:hAnsi="Arial" w:cs="Times New Roman"/>
          <w:sz w:val="20"/>
          <w:lang w:eastAsia="en-AU"/>
        </w:rPr>
        <w:t>determine</w:t>
      </w:r>
      <w:r w:rsidR="00E06374">
        <w:rPr>
          <w:rFonts w:ascii="Arial" w:eastAsia="Times New Roman" w:hAnsi="Arial" w:cs="Times New Roman"/>
          <w:sz w:val="20"/>
          <w:lang w:eastAsia="en-AU"/>
        </w:rPr>
        <w:t xml:space="preserve"> a radiated power limit</w:t>
      </w:r>
      <w:r w:rsidR="007552D9" w:rsidRPr="00C97518">
        <w:rPr>
          <w:rFonts w:ascii="Arial" w:eastAsia="Times New Roman" w:hAnsi="Arial" w:cs="Times New Roman"/>
          <w:sz w:val="20"/>
          <w:lang w:eastAsia="en-AU"/>
        </w:rPr>
        <w:t xml:space="preserve">. </w:t>
      </w:r>
      <w:r w:rsidR="00E06374" w:rsidRPr="00E06374">
        <w:rPr>
          <w:rFonts w:ascii="Arial" w:eastAsia="Times New Roman" w:hAnsi="Arial" w:cs="Times New Roman"/>
          <w:sz w:val="20"/>
          <w:lang w:eastAsia="en-AU"/>
        </w:rPr>
        <w:t xml:space="preserve">The </w:t>
      </w:r>
      <w:r w:rsidR="00E06374">
        <w:rPr>
          <w:rFonts w:ascii="Arial" w:eastAsia="Times New Roman" w:hAnsi="Arial" w:cs="Times New Roman"/>
          <w:sz w:val="20"/>
          <w:lang w:eastAsia="en-AU"/>
        </w:rPr>
        <w:t>spurious domain for such an LTE UE start</w:t>
      </w:r>
      <w:r w:rsidR="00216C6B">
        <w:rPr>
          <w:rFonts w:ascii="Arial" w:eastAsia="Times New Roman" w:hAnsi="Arial" w:cs="Times New Roman"/>
          <w:sz w:val="20"/>
          <w:lang w:eastAsia="en-AU"/>
        </w:rPr>
        <w:t>s</w:t>
      </w:r>
      <w:r w:rsidR="00E06374">
        <w:rPr>
          <w:rFonts w:ascii="Arial" w:eastAsia="Times New Roman" w:hAnsi="Arial" w:cs="Times New Roman"/>
          <w:sz w:val="20"/>
          <w:lang w:eastAsia="en-AU"/>
        </w:rPr>
        <w:t xml:space="preserve"> 45 MHz</w:t>
      </w:r>
      <w:r w:rsidR="00E06374" w:rsidRPr="00E06374">
        <w:rPr>
          <w:rFonts w:ascii="Arial" w:eastAsia="Times New Roman" w:hAnsi="Arial" w:cs="Times New Roman"/>
          <w:sz w:val="20"/>
          <w:lang w:eastAsia="en-AU"/>
        </w:rPr>
        <w:t xml:space="preserve"> from the </w:t>
      </w:r>
      <w:r w:rsidR="00E06374">
        <w:rPr>
          <w:rFonts w:ascii="Arial" w:eastAsia="Times New Roman" w:hAnsi="Arial" w:cs="Times New Roman"/>
          <w:sz w:val="20"/>
          <w:lang w:eastAsia="en-AU"/>
        </w:rPr>
        <w:t xml:space="preserve">operating </w:t>
      </w:r>
      <w:r w:rsidR="00E06374" w:rsidRPr="00E06374">
        <w:rPr>
          <w:rFonts w:ascii="Arial" w:eastAsia="Times New Roman" w:hAnsi="Arial" w:cs="Times New Roman"/>
          <w:sz w:val="20"/>
          <w:lang w:eastAsia="en-AU"/>
        </w:rPr>
        <w:t>band edge</w:t>
      </w:r>
      <w:r w:rsidR="00E06374">
        <w:rPr>
          <w:rFonts w:ascii="Arial" w:eastAsia="Times New Roman" w:hAnsi="Arial" w:cs="Times New Roman"/>
          <w:sz w:val="20"/>
          <w:lang w:eastAsia="en-AU"/>
        </w:rPr>
        <w:t xml:space="preserve">. </w:t>
      </w:r>
      <w:r w:rsidR="00E06374" w:rsidRPr="00E06374">
        <w:rPr>
          <w:rFonts w:ascii="Arial" w:eastAsia="Times New Roman" w:hAnsi="Arial" w:cs="Times New Roman"/>
          <w:sz w:val="20"/>
          <w:lang w:eastAsia="en-AU"/>
        </w:rPr>
        <w:t xml:space="preserve"> </w:t>
      </w:r>
      <w:r w:rsidR="00E06374">
        <w:rPr>
          <w:rFonts w:ascii="Arial" w:eastAsia="Times New Roman" w:hAnsi="Arial" w:cs="Times New Roman"/>
          <w:sz w:val="20"/>
          <w:lang w:eastAsia="en-AU"/>
        </w:rPr>
        <w:t>Th</w:t>
      </w:r>
      <w:r w:rsidR="00216C6B">
        <w:rPr>
          <w:rFonts w:ascii="Arial" w:eastAsia="Times New Roman" w:hAnsi="Arial" w:cs="Times New Roman"/>
          <w:sz w:val="20"/>
          <w:lang w:eastAsia="en-AU"/>
        </w:rPr>
        <w:t>ese</w:t>
      </w:r>
      <w:r w:rsidR="00E06374">
        <w:rPr>
          <w:rFonts w:ascii="Arial" w:eastAsia="Times New Roman" w:hAnsi="Arial" w:cs="Times New Roman"/>
          <w:sz w:val="20"/>
          <w:lang w:eastAsia="en-AU"/>
        </w:rPr>
        <w:t xml:space="preserve"> spurious limits in </w:t>
      </w:r>
      <w:r w:rsidR="00E06374" w:rsidRPr="00C97518">
        <w:rPr>
          <w:rFonts w:ascii="Arial" w:eastAsia="Times New Roman" w:hAnsi="Arial" w:cs="Times New Roman"/>
          <w:sz w:val="20"/>
          <w:lang w:eastAsia="en-AU"/>
        </w:rPr>
        <w:t>3GPP 36.101</w:t>
      </w:r>
      <w:r w:rsidR="00E06374">
        <w:rPr>
          <w:rFonts w:ascii="Arial" w:eastAsia="Times New Roman" w:hAnsi="Arial" w:cs="Times New Roman"/>
          <w:sz w:val="20"/>
          <w:lang w:eastAsia="en-AU"/>
        </w:rPr>
        <w:t xml:space="preserve"> mirror the Category B limits defined in Recommendation ITU-R SM.329</w:t>
      </w:r>
      <w:r w:rsidR="00E06374" w:rsidRPr="00E06374">
        <w:rPr>
          <w:rFonts w:ascii="Arial" w:eastAsia="Times New Roman" w:hAnsi="Arial" w:cs="Times New Roman"/>
          <w:sz w:val="20"/>
          <w:lang w:eastAsia="en-AU"/>
        </w:rPr>
        <w:t>.</w:t>
      </w:r>
    </w:p>
    <w:p w14:paraId="564A2ADB" w14:textId="77777777" w:rsidR="00FB6983" w:rsidRPr="00C97518" w:rsidRDefault="00FB6983" w:rsidP="00FB6983">
      <w:pPr>
        <w:pStyle w:val="ListParagraph"/>
      </w:pPr>
    </w:p>
    <w:p w14:paraId="393F3C04" w14:textId="77777777" w:rsidR="00E06374" w:rsidRPr="00C97518" w:rsidRDefault="00E06374" w:rsidP="00E06374">
      <w:r w:rsidRPr="00C97518">
        <w:t xml:space="preserve">The </w:t>
      </w:r>
      <w:r>
        <w:t xml:space="preserve">unwanted </w:t>
      </w:r>
      <w:r w:rsidRPr="00C97518">
        <w:t xml:space="preserve">emission limit </w:t>
      </w:r>
      <w:r>
        <w:t xml:space="preserve">described above </w:t>
      </w:r>
      <w:r w:rsidRPr="00C97518">
        <w:t>ha</w:t>
      </w:r>
      <w:r>
        <w:t>s</w:t>
      </w:r>
      <w:r w:rsidRPr="00C97518">
        <w:t xml:space="preserve"> been </w:t>
      </w:r>
      <w:r>
        <w:t xml:space="preserve">developed to ensure everything from an LTE (or UMTS) </w:t>
      </w:r>
      <w:r w:rsidRPr="00C97518">
        <w:t xml:space="preserve">UE using a 5 MHz channel to an LTE UE employing 20 MHz + 20 MHz carrier aggregation can operate </w:t>
      </w:r>
      <w:r>
        <w:t xml:space="preserve">unmodified </w:t>
      </w:r>
      <w:r w:rsidRPr="00C97518">
        <w:t xml:space="preserve">in the 2 GHz band. </w:t>
      </w:r>
    </w:p>
    <w:p w14:paraId="123C5644" w14:textId="721479B0" w:rsidR="007552D9" w:rsidRDefault="007552D9" w:rsidP="00FB6983">
      <w:pPr>
        <w:rPr>
          <w:rFonts w:eastAsiaTheme="minorEastAsia"/>
          <w:szCs w:val="22"/>
          <w:lang w:eastAsia="en-US"/>
        </w:rPr>
      </w:pPr>
      <w:r w:rsidRPr="00C97518">
        <w:t xml:space="preserve">The resulting radiated unwanted emission limits </w:t>
      </w:r>
      <w:r w:rsidR="00BA6F28" w:rsidRPr="00C97518">
        <w:t xml:space="preserve">below </w:t>
      </w:r>
      <w:r w:rsidR="00C27686">
        <w:t>1875</w:t>
      </w:r>
      <w:r w:rsidR="00BA6F28" w:rsidRPr="00C97518">
        <w:t xml:space="preserve"> MHz and above </w:t>
      </w:r>
      <w:r w:rsidR="00C27686">
        <w:t xml:space="preserve">2025 </w:t>
      </w:r>
      <w:r w:rsidRPr="00C97518">
        <w:t xml:space="preserve">MHz band are shown in </w:t>
      </w:r>
      <w:r w:rsidRPr="00C97518">
        <w:rPr>
          <w:rFonts w:eastAsiaTheme="minorEastAsia"/>
          <w:szCs w:val="22"/>
          <w:lang w:eastAsia="en-US"/>
        </w:rPr>
        <w:t xml:space="preserve">Table </w:t>
      </w:r>
      <w:r w:rsidR="00BA6F28" w:rsidRPr="00C97518">
        <w:rPr>
          <w:rFonts w:eastAsiaTheme="minorEastAsia"/>
          <w:szCs w:val="22"/>
          <w:lang w:eastAsia="en-US"/>
        </w:rPr>
        <w:t>B1.5</w:t>
      </w:r>
      <w:r w:rsidRPr="00C97518">
        <w:t xml:space="preserve">. </w:t>
      </w:r>
    </w:p>
    <w:p w14:paraId="1A41493D" w14:textId="03276DF0" w:rsidR="00DB5E4D" w:rsidRPr="00C97518" w:rsidRDefault="00DB5E4D" w:rsidP="00C06149">
      <w:pPr>
        <w:pStyle w:val="ACMATableHeader"/>
        <w:numPr>
          <w:ilvl w:val="0"/>
          <w:numId w:val="0"/>
        </w:numPr>
        <w:ind w:left="964" w:hanging="964"/>
      </w:pPr>
      <w:r w:rsidRPr="00C97518">
        <w:t>Table B</w:t>
      </w:r>
      <w:r>
        <w:t>1.5</w:t>
      </w:r>
      <w:r w:rsidRPr="00C97518">
        <w:t>:</w:t>
      </w:r>
      <w:r w:rsidRPr="00C97518">
        <w:tab/>
        <w:t>R</w:t>
      </w:r>
      <w:r w:rsidRPr="00C97518">
        <w:rPr>
          <w:rFonts w:eastAsiaTheme="minorEastAsia"/>
          <w:szCs w:val="22"/>
          <w:lang w:eastAsia="en-US"/>
        </w:rPr>
        <w:t xml:space="preserve">adiated unwanted emission limits </w:t>
      </w:r>
      <w:r>
        <w:rPr>
          <w:rFonts w:eastAsiaTheme="minorEastAsia"/>
          <w:szCs w:val="22"/>
          <w:lang w:eastAsia="en-US"/>
        </w:rPr>
        <w:t xml:space="preserve">outside the 1875-2025 MHz frequency range for transmitters operating in the 1920-1980 MHz frequency range </w:t>
      </w:r>
      <w:r w:rsidRPr="00C97518">
        <w:t xml:space="preserve"> </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694"/>
        <w:gridCol w:w="3827"/>
        <w:gridCol w:w="2131"/>
      </w:tblGrid>
      <w:tr w:rsidR="007552D9" w:rsidRPr="00C97518" w14:paraId="2ADAF514" w14:textId="77777777" w:rsidTr="00045C86">
        <w:trPr>
          <w:tblHeader/>
        </w:trPr>
        <w:tc>
          <w:tcPr>
            <w:tcW w:w="2694" w:type="dxa"/>
            <w:tcBorders>
              <w:top w:val="single" w:sz="4" w:space="0" w:color="auto"/>
              <w:left w:val="nil"/>
              <w:bottom w:val="single" w:sz="4" w:space="0" w:color="auto"/>
              <w:right w:val="nil"/>
            </w:tcBorders>
            <w:shd w:val="clear" w:color="auto" w:fill="404040" w:themeFill="text1" w:themeFillTint="BF"/>
          </w:tcPr>
          <w:p w14:paraId="2FC61FB5" w14:textId="168D4110" w:rsidR="007552D9" w:rsidRPr="00C97518" w:rsidRDefault="007552D9" w:rsidP="006649DC">
            <w:pPr>
              <w:pStyle w:val="TableHeading"/>
              <w:rPr>
                <w:color w:val="FFFFFF" w:themeColor="background1"/>
              </w:rPr>
            </w:pPr>
            <w:r w:rsidRPr="00C97518">
              <w:rPr>
                <w:color w:val="FFFFFF" w:themeColor="background1"/>
              </w:rPr>
              <w:t xml:space="preserve">Frequency </w:t>
            </w:r>
          </w:p>
        </w:tc>
        <w:tc>
          <w:tcPr>
            <w:tcW w:w="3827" w:type="dxa"/>
            <w:tcBorders>
              <w:top w:val="single" w:sz="4" w:space="0" w:color="auto"/>
              <w:left w:val="nil"/>
              <w:bottom w:val="single" w:sz="4" w:space="0" w:color="auto"/>
              <w:right w:val="nil"/>
            </w:tcBorders>
            <w:shd w:val="clear" w:color="auto" w:fill="404040" w:themeFill="text1" w:themeFillTint="BF"/>
          </w:tcPr>
          <w:p w14:paraId="5EBB34A6" w14:textId="77777777" w:rsidR="007552D9" w:rsidRPr="00C97518" w:rsidRDefault="007552D9" w:rsidP="00150E2F">
            <w:pPr>
              <w:pStyle w:val="TableHeading"/>
              <w:jc w:val="center"/>
              <w:rPr>
                <w:color w:val="FFFFFF" w:themeColor="background1"/>
              </w:rPr>
            </w:pPr>
            <w:r w:rsidRPr="00C97518">
              <w:rPr>
                <w:color w:val="FFFFFF" w:themeColor="background1"/>
              </w:rPr>
              <w:t>Radiated maximum true mean power</w:t>
            </w:r>
          </w:p>
          <w:p w14:paraId="4EDFB299" w14:textId="77777777" w:rsidR="007552D9" w:rsidRPr="00C97518" w:rsidRDefault="007552D9" w:rsidP="00150E2F">
            <w:pPr>
              <w:pStyle w:val="TableHeading"/>
              <w:jc w:val="center"/>
              <w:rPr>
                <w:color w:val="FFFFFF" w:themeColor="background1"/>
              </w:rPr>
            </w:pPr>
            <w:r w:rsidRPr="00C97518">
              <w:rPr>
                <w:color w:val="FFFFFF" w:themeColor="background1"/>
              </w:rPr>
              <w:t>(dBm EIRP)</w:t>
            </w:r>
          </w:p>
        </w:tc>
        <w:tc>
          <w:tcPr>
            <w:tcW w:w="2131" w:type="dxa"/>
            <w:tcBorders>
              <w:top w:val="single" w:sz="4" w:space="0" w:color="auto"/>
              <w:left w:val="nil"/>
              <w:bottom w:val="single" w:sz="4" w:space="0" w:color="auto"/>
              <w:right w:val="nil"/>
            </w:tcBorders>
            <w:shd w:val="clear" w:color="auto" w:fill="404040" w:themeFill="text1" w:themeFillTint="BF"/>
          </w:tcPr>
          <w:p w14:paraId="76D37FCE" w14:textId="77777777" w:rsidR="007552D9" w:rsidRPr="00C97518" w:rsidRDefault="007552D9" w:rsidP="00150E2F">
            <w:pPr>
              <w:pStyle w:val="TableHeading"/>
              <w:jc w:val="center"/>
              <w:rPr>
                <w:color w:val="FFFFFF" w:themeColor="background1"/>
              </w:rPr>
            </w:pPr>
            <w:r w:rsidRPr="00C97518">
              <w:rPr>
                <w:color w:val="FFFFFF" w:themeColor="background1"/>
              </w:rPr>
              <w:t>Specified bandwidth</w:t>
            </w:r>
          </w:p>
        </w:tc>
      </w:tr>
      <w:tr w:rsidR="00FB6983" w:rsidRPr="00C97518" w14:paraId="7D1A146E" w14:textId="77777777" w:rsidTr="0098122A">
        <w:trPr>
          <w:tblHeader/>
        </w:trPr>
        <w:tc>
          <w:tcPr>
            <w:tcW w:w="2694" w:type="dxa"/>
            <w:tcBorders>
              <w:top w:val="single" w:sz="4" w:space="0" w:color="auto"/>
              <w:left w:val="nil"/>
              <w:bottom w:val="single" w:sz="4" w:space="0" w:color="auto"/>
              <w:right w:val="nil"/>
            </w:tcBorders>
          </w:tcPr>
          <w:p w14:paraId="2CF8C1D4" w14:textId="27BAB75D" w:rsidR="00FB6983" w:rsidRPr="00C97518" w:rsidRDefault="00FB6983" w:rsidP="00FB6983">
            <w:pPr>
              <w:pStyle w:val="TableBody"/>
              <w:keepNext/>
              <w:keepLines/>
              <w:rPr>
                <w:rFonts w:cs="Arial"/>
              </w:rPr>
            </w:pPr>
            <w:r w:rsidRPr="00AB3974">
              <w:rPr>
                <w:rFonts w:eastAsiaTheme="minorEastAsia"/>
                <w:szCs w:val="22"/>
                <w:lang w:eastAsia="en-US"/>
              </w:rPr>
              <w:t>9 kHz ≤ f &lt; 150 kHz</w:t>
            </w:r>
          </w:p>
        </w:tc>
        <w:tc>
          <w:tcPr>
            <w:tcW w:w="3827" w:type="dxa"/>
            <w:tcBorders>
              <w:top w:val="single" w:sz="4" w:space="0" w:color="auto"/>
              <w:left w:val="nil"/>
              <w:bottom w:val="single" w:sz="4" w:space="0" w:color="auto"/>
              <w:right w:val="nil"/>
            </w:tcBorders>
          </w:tcPr>
          <w:p w14:paraId="5E30B961" w14:textId="009009A1" w:rsidR="00FB6983" w:rsidRPr="00C97518" w:rsidRDefault="00FB6983" w:rsidP="00FB6983">
            <w:pPr>
              <w:pStyle w:val="TableBody"/>
              <w:keepNext/>
              <w:keepLines/>
              <w:jc w:val="center"/>
              <w:rPr>
                <w:rFonts w:cs="Arial"/>
              </w:rPr>
            </w:pPr>
            <w:r w:rsidRPr="00AB3974">
              <w:rPr>
                <w:rFonts w:eastAsiaTheme="minorEastAsia"/>
                <w:szCs w:val="22"/>
                <w:lang w:eastAsia="en-US"/>
              </w:rPr>
              <w:t>-36</w:t>
            </w:r>
          </w:p>
        </w:tc>
        <w:tc>
          <w:tcPr>
            <w:tcW w:w="2131" w:type="dxa"/>
            <w:tcBorders>
              <w:top w:val="single" w:sz="4" w:space="0" w:color="auto"/>
              <w:left w:val="nil"/>
              <w:bottom w:val="single" w:sz="4" w:space="0" w:color="auto"/>
              <w:right w:val="nil"/>
            </w:tcBorders>
            <w:vAlign w:val="center"/>
          </w:tcPr>
          <w:p w14:paraId="0E44B680" w14:textId="6E80C350" w:rsidR="00FB6983" w:rsidRPr="00C97518" w:rsidRDefault="00FB6983" w:rsidP="00FB6983">
            <w:pPr>
              <w:pStyle w:val="TableBody"/>
              <w:keepNext/>
              <w:keepLines/>
              <w:jc w:val="center"/>
              <w:rPr>
                <w:rFonts w:cs="Arial"/>
              </w:rPr>
            </w:pPr>
            <w:r w:rsidRPr="00AB3974">
              <w:rPr>
                <w:rFonts w:eastAsiaTheme="minorEastAsia"/>
                <w:szCs w:val="22"/>
                <w:lang w:eastAsia="en-US"/>
              </w:rPr>
              <w:t>1 kHz</w:t>
            </w:r>
          </w:p>
        </w:tc>
      </w:tr>
      <w:tr w:rsidR="00FB6983" w:rsidRPr="00C97518" w14:paraId="249AD54C" w14:textId="77777777" w:rsidTr="0098122A">
        <w:trPr>
          <w:tblHeader/>
        </w:trPr>
        <w:tc>
          <w:tcPr>
            <w:tcW w:w="2694" w:type="dxa"/>
            <w:tcBorders>
              <w:top w:val="single" w:sz="4" w:space="0" w:color="auto"/>
              <w:left w:val="nil"/>
              <w:bottom w:val="single" w:sz="4" w:space="0" w:color="auto"/>
              <w:right w:val="nil"/>
            </w:tcBorders>
            <w:shd w:val="clear" w:color="auto" w:fill="F2F2F2" w:themeFill="background1" w:themeFillShade="F2"/>
          </w:tcPr>
          <w:p w14:paraId="6C8EA82F" w14:textId="78435C7F" w:rsidR="00FB6983" w:rsidRPr="00C97518" w:rsidRDefault="00FB6983" w:rsidP="00FB6983">
            <w:pPr>
              <w:pStyle w:val="TableBody"/>
              <w:keepNext/>
              <w:keepLines/>
              <w:rPr>
                <w:rFonts w:cs="Arial"/>
              </w:rPr>
            </w:pPr>
            <w:r w:rsidRPr="00AB3974">
              <w:rPr>
                <w:rFonts w:eastAsiaTheme="minorEastAsia"/>
                <w:szCs w:val="22"/>
                <w:lang w:eastAsia="en-US"/>
              </w:rPr>
              <w:t>150 kHz ≤ f &lt; 30 MHz</w:t>
            </w:r>
          </w:p>
        </w:tc>
        <w:tc>
          <w:tcPr>
            <w:tcW w:w="3827" w:type="dxa"/>
            <w:tcBorders>
              <w:top w:val="single" w:sz="4" w:space="0" w:color="auto"/>
              <w:left w:val="nil"/>
              <w:bottom w:val="single" w:sz="4" w:space="0" w:color="auto"/>
              <w:right w:val="nil"/>
            </w:tcBorders>
            <w:shd w:val="clear" w:color="auto" w:fill="F2F2F2" w:themeFill="background1" w:themeFillShade="F2"/>
          </w:tcPr>
          <w:p w14:paraId="37D70664" w14:textId="04348E7D" w:rsidR="00FB6983" w:rsidRPr="00C97518" w:rsidRDefault="00FB6983" w:rsidP="00FB6983">
            <w:pPr>
              <w:pStyle w:val="TableBody"/>
              <w:keepNext/>
              <w:keepLines/>
              <w:jc w:val="center"/>
              <w:rPr>
                <w:rFonts w:cs="Arial"/>
              </w:rPr>
            </w:pPr>
            <w:r w:rsidRPr="00AB3974">
              <w:rPr>
                <w:rFonts w:eastAsiaTheme="minorEastAsia"/>
                <w:szCs w:val="22"/>
                <w:lang w:eastAsia="en-US"/>
              </w:rPr>
              <w:t>-36</w:t>
            </w:r>
          </w:p>
        </w:tc>
        <w:tc>
          <w:tcPr>
            <w:tcW w:w="2131" w:type="dxa"/>
            <w:tcBorders>
              <w:top w:val="single" w:sz="4" w:space="0" w:color="auto"/>
              <w:left w:val="nil"/>
              <w:bottom w:val="single" w:sz="4" w:space="0" w:color="auto"/>
              <w:right w:val="nil"/>
            </w:tcBorders>
            <w:shd w:val="clear" w:color="auto" w:fill="F2F2F2" w:themeFill="background1" w:themeFillShade="F2"/>
            <w:vAlign w:val="center"/>
          </w:tcPr>
          <w:p w14:paraId="4F1CF2C8" w14:textId="2DA257A5" w:rsidR="00FB6983" w:rsidRPr="00C97518" w:rsidRDefault="00FB6983" w:rsidP="00FB6983">
            <w:pPr>
              <w:pStyle w:val="TableBody"/>
              <w:keepNext/>
              <w:keepLines/>
              <w:jc w:val="center"/>
              <w:rPr>
                <w:rFonts w:cs="Arial"/>
              </w:rPr>
            </w:pPr>
            <w:r w:rsidRPr="00AB3974">
              <w:rPr>
                <w:rFonts w:eastAsiaTheme="minorEastAsia"/>
                <w:szCs w:val="22"/>
                <w:lang w:eastAsia="en-US"/>
              </w:rPr>
              <w:t>10 kHz</w:t>
            </w:r>
          </w:p>
        </w:tc>
      </w:tr>
      <w:tr w:rsidR="00FB6983" w:rsidRPr="00C97518" w14:paraId="0DD5C286" w14:textId="77777777" w:rsidTr="0098122A">
        <w:trPr>
          <w:tblHeader/>
        </w:trPr>
        <w:tc>
          <w:tcPr>
            <w:tcW w:w="2694" w:type="dxa"/>
            <w:tcBorders>
              <w:top w:val="single" w:sz="4" w:space="0" w:color="auto"/>
              <w:left w:val="nil"/>
              <w:bottom w:val="single" w:sz="4" w:space="0" w:color="auto"/>
              <w:right w:val="nil"/>
            </w:tcBorders>
          </w:tcPr>
          <w:p w14:paraId="62F59B00" w14:textId="213258E7" w:rsidR="00FB6983" w:rsidRPr="00C97518" w:rsidRDefault="00FB6983" w:rsidP="00FB6983">
            <w:pPr>
              <w:pStyle w:val="TableBody"/>
              <w:keepNext/>
              <w:keepLines/>
              <w:rPr>
                <w:rFonts w:cs="Arial"/>
              </w:rPr>
            </w:pPr>
            <w:r w:rsidRPr="00AB3974">
              <w:rPr>
                <w:rFonts w:eastAsiaTheme="minorEastAsia"/>
                <w:szCs w:val="22"/>
                <w:lang w:eastAsia="en-US"/>
              </w:rPr>
              <w:t>30 MHz ≤ f &lt; 1 GHz</w:t>
            </w:r>
          </w:p>
        </w:tc>
        <w:tc>
          <w:tcPr>
            <w:tcW w:w="3827" w:type="dxa"/>
            <w:tcBorders>
              <w:top w:val="single" w:sz="4" w:space="0" w:color="auto"/>
              <w:left w:val="nil"/>
              <w:bottom w:val="single" w:sz="4" w:space="0" w:color="auto"/>
              <w:right w:val="nil"/>
            </w:tcBorders>
          </w:tcPr>
          <w:p w14:paraId="03483967" w14:textId="671BDEFB" w:rsidR="00FB6983" w:rsidRPr="00C97518" w:rsidRDefault="00FB6983" w:rsidP="00FB6983">
            <w:pPr>
              <w:pStyle w:val="TableBody"/>
              <w:keepNext/>
              <w:keepLines/>
              <w:jc w:val="center"/>
              <w:rPr>
                <w:rFonts w:cs="Arial"/>
              </w:rPr>
            </w:pPr>
            <w:r w:rsidRPr="00AB3974">
              <w:rPr>
                <w:rFonts w:eastAsiaTheme="minorEastAsia"/>
                <w:szCs w:val="22"/>
                <w:lang w:eastAsia="en-US"/>
              </w:rPr>
              <w:t>-36</w:t>
            </w:r>
          </w:p>
        </w:tc>
        <w:tc>
          <w:tcPr>
            <w:tcW w:w="2131" w:type="dxa"/>
            <w:tcBorders>
              <w:top w:val="single" w:sz="4" w:space="0" w:color="auto"/>
              <w:left w:val="nil"/>
              <w:bottom w:val="single" w:sz="4" w:space="0" w:color="auto"/>
              <w:right w:val="nil"/>
            </w:tcBorders>
            <w:vAlign w:val="center"/>
          </w:tcPr>
          <w:p w14:paraId="04CED533" w14:textId="24417BF0" w:rsidR="00FB6983" w:rsidRPr="00C97518" w:rsidRDefault="00FB6983" w:rsidP="00FB6983">
            <w:pPr>
              <w:pStyle w:val="TableBody"/>
              <w:keepNext/>
              <w:keepLines/>
              <w:jc w:val="center"/>
              <w:rPr>
                <w:rFonts w:cs="Arial"/>
              </w:rPr>
            </w:pPr>
            <w:r w:rsidRPr="00AB3974">
              <w:rPr>
                <w:rFonts w:eastAsiaTheme="minorEastAsia"/>
                <w:szCs w:val="22"/>
                <w:lang w:eastAsia="en-US"/>
              </w:rPr>
              <w:t>100 kHz</w:t>
            </w:r>
          </w:p>
        </w:tc>
      </w:tr>
      <w:tr w:rsidR="00FB6983" w:rsidRPr="00C97518" w14:paraId="3CEF73E5" w14:textId="77777777" w:rsidTr="0098122A">
        <w:trPr>
          <w:tblHeader/>
        </w:trPr>
        <w:tc>
          <w:tcPr>
            <w:tcW w:w="2694" w:type="dxa"/>
            <w:tcBorders>
              <w:top w:val="single" w:sz="4" w:space="0" w:color="auto"/>
              <w:left w:val="nil"/>
              <w:bottom w:val="single" w:sz="4" w:space="0" w:color="auto"/>
              <w:right w:val="nil"/>
            </w:tcBorders>
          </w:tcPr>
          <w:p w14:paraId="47EE106C" w14:textId="4E7E646C" w:rsidR="00FB6983" w:rsidRPr="00C97518" w:rsidRDefault="00FB6983" w:rsidP="00FB6983">
            <w:pPr>
              <w:pStyle w:val="TableBody"/>
              <w:keepNext/>
              <w:keepLines/>
              <w:rPr>
                <w:rFonts w:cs="Arial"/>
              </w:rPr>
            </w:pPr>
            <w:r>
              <w:rPr>
                <w:rFonts w:eastAsiaTheme="minorEastAsia"/>
                <w:szCs w:val="22"/>
                <w:lang w:eastAsia="en-US"/>
              </w:rPr>
              <w:t>1</w:t>
            </w:r>
            <w:r w:rsidRPr="00AB3974">
              <w:rPr>
                <w:rFonts w:eastAsiaTheme="minorEastAsia"/>
                <w:szCs w:val="22"/>
                <w:lang w:eastAsia="en-US"/>
              </w:rPr>
              <w:t xml:space="preserve"> GHz ≤ f &lt; </w:t>
            </w:r>
            <w:r>
              <w:rPr>
                <w:rFonts w:eastAsiaTheme="minorEastAsia"/>
                <w:szCs w:val="22"/>
                <w:lang w:eastAsia="en-US"/>
              </w:rPr>
              <w:t>1.875</w:t>
            </w:r>
            <w:r w:rsidRPr="00AB3974">
              <w:rPr>
                <w:rFonts w:eastAsiaTheme="minorEastAsia"/>
                <w:szCs w:val="22"/>
                <w:lang w:eastAsia="en-US"/>
              </w:rPr>
              <w:t xml:space="preserve"> GHz</w:t>
            </w:r>
          </w:p>
        </w:tc>
        <w:tc>
          <w:tcPr>
            <w:tcW w:w="3827" w:type="dxa"/>
            <w:tcBorders>
              <w:top w:val="single" w:sz="4" w:space="0" w:color="auto"/>
              <w:left w:val="nil"/>
              <w:bottom w:val="single" w:sz="4" w:space="0" w:color="auto"/>
              <w:right w:val="nil"/>
            </w:tcBorders>
          </w:tcPr>
          <w:p w14:paraId="12F8E84A" w14:textId="51DCE9BF" w:rsidR="00FB6983" w:rsidRPr="00C97518" w:rsidRDefault="00FB6983" w:rsidP="00FB6983">
            <w:pPr>
              <w:pStyle w:val="TableBody"/>
              <w:keepNext/>
              <w:keepLines/>
              <w:jc w:val="center"/>
              <w:rPr>
                <w:rFonts w:cs="Arial"/>
              </w:rPr>
            </w:pPr>
            <w:r w:rsidRPr="00A407EB">
              <w:rPr>
                <w:rFonts w:eastAsiaTheme="minorEastAsia"/>
                <w:szCs w:val="22"/>
                <w:lang w:eastAsia="en-US"/>
              </w:rPr>
              <w:t>-30</w:t>
            </w:r>
          </w:p>
        </w:tc>
        <w:tc>
          <w:tcPr>
            <w:tcW w:w="2131" w:type="dxa"/>
            <w:tcBorders>
              <w:top w:val="single" w:sz="4" w:space="0" w:color="auto"/>
              <w:left w:val="nil"/>
              <w:bottom w:val="single" w:sz="4" w:space="0" w:color="auto"/>
              <w:right w:val="nil"/>
            </w:tcBorders>
            <w:vAlign w:val="center"/>
          </w:tcPr>
          <w:p w14:paraId="71F41C52" w14:textId="5591B461" w:rsidR="00FB6983" w:rsidRPr="00C97518" w:rsidRDefault="00FB6983" w:rsidP="00FB6983">
            <w:pPr>
              <w:pStyle w:val="TableBody"/>
              <w:keepNext/>
              <w:keepLines/>
              <w:jc w:val="center"/>
              <w:rPr>
                <w:rFonts w:cs="Arial"/>
              </w:rPr>
            </w:pPr>
            <w:r w:rsidRPr="00AB3974">
              <w:rPr>
                <w:rFonts w:eastAsiaTheme="minorEastAsia"/>
                <w:szCs w:val="22"/>
                <w:lang w:eastAsia="en-US"/>
              </w:rPr>
              <w:t>1 MHz</w:t>
            </w:r>
          </w:p>
        </w:tc>
      </w:tr>
      <w:tr w:rsidR="00FB6983" w:rsidRPr="00C97518" w14:paraId="1D8C98E7" w14:textId="77777777" w:rsidTr="0098122A">
        <w:trPr>
          <w:tblHeader/>
        </w:trPr>
        <w:tc>
          <w:tcPr>
            <w:tcW w:w="2694" w:type="dxa"/>
            <w:tcBorders>
              <w:top w:val="single" w:sz="4" w:space="0" w:color="auto"/>
              <w:left w:val="nil"/>
              <w:bottom w:val="single" w:sz="4" w:space="0" w:color="auto"/>
              <w:right w:val="nil"/>
            </w:tcBorders>
            <w:shd w:val="clear" w:color="auto" w:fill="F2F2F2" w:themeFill="background1" w:themeFillShade="F2"/>
          </w:tcPr>
          <w:p w14:paraId="5C94539A" w14:textId="15C4F07D" w:rsidR="00FB6983" w:rsidRPr="00C97518" w:rsidRDefault="00FB6983" w:rsidP="00FB6983">
            <w:pPr>
              <w:pStyle w:val="TableBody"/>
              <w:keepNext/>
              <w:keepLines/>
              <w:rPr>
                <w:rFonts w:cs="Arial"/>
              </w:rPr>
            </w:pPr>
            <w:r>
              <w:rPr>
                <w:rFonts w:eastAsiaTheme="minorEastAsia"/>
                <w:szCs w:val="22"/>
                <w:lang w:eastAsia="en-US"/>
              </w:rPr>
              <w:t xml:space="preserve">2.025 GHz </w:t>
            </w:r>
            <w:r w:rsidRPr="00AB3974">
              <w:rPr>
                <w:rFonts w:eastAsiaTheme="minorEastAsia"/>
                <w:szCs w:val="22"/>
                <w:lang w:eastAsia="en-US"/>
              </w:rPr>
              <w:t>≤</w:t>
            </w:r>
            <w:r>
              <w:rPr>
                <w:rFonts w:eastAsiaTheme="minorEastAsia"/>
                <w:szCs w:val="22"/>
                <w:lang w:eastAsia="en-US"/>
              </w:rPr>
              <w:t xml:space="preserve"> f</w:t>
            </w:r>
          </w:p>
        </w:tc>
        <w:tc>
          <w:tcPr>
            <w:tcW w:w="3827" w:type="dxa"/>
            <w:tcBorders>
              <w:top w:val="single" w:sz="4" w:space="0" w:color="auto"/>
              <w:left w:val="nil"/>
              <w:bottom w:val="single" w:sz="4" w:space="0" w:color="auto"/>
              <w:right w:val="nil"/>
            </w:tcBorders>
            <w:shd w:val="clear" w:color="auto" w:fill="F2F2F2" w:themeFill="background1" w:themeFillShade="F2"/>
          </w:tcPr>
          <w:p w14:paraId="41583019" w14:textId="2C23031F" w:rsidR="00FB6983" w:rsidRPr="00C97518" w:rsidRDefault="00FB6983" w:rsidP="00FB6983">
            <w:pPr>
              <w:pStyle w:val="TableBody"/>
              <w:keepNext/>
              <w:keepLines/>
              <w:jc w:val="center"/>
              <w:rPr>
                <w:rFonts w:cs="Arial"/>
              </w:rPr>
            </w:pPr>
            <w:r>
              <w:rPr>
                <w:rFonts w:eastAsiaTheme="minorEastAsia"/>
                <w:szCs w:val="22"/>
                <w:lang w:eastAsia="en-US"/>
              </w:rPr>
              <w:t>-30</w:t>
            </w:r>
          </w:p>
        </w:tc>
        <w:tc>
          <w:tcPr>
            <w:tcW w:w="2131" w:type="dxa"/>
            <w:tcBorders>
              <w:top w:val="single" w:sz="4" w:space="0" w:color="auto"/>
              <w:left w:val="nil"/>
              <w:bottom w:val="single" w:sz="4" w:space="0" w:color="auto"/>
              <w:right w:val="nil"/>
            </w:tcBorders>
            <w:shd w:val="clear" w:color="auto" w:fill="F2F2F2" w:themeFill="background1" w:themeFillShade="F2"/>
            <w:vAlign w:val="center"/>
          </w:tcPr>
          <w:p w14:paraId="6F39F583" w14:textId="45C3C316" w:rsidR="00FB6983" w:rsidRPr="00C97518" w:rsidRDefault="00FB6983" w:rsidP="00FB6983">
            <w:pPr>
              <w:pStyle w:val="TableBody"/>
              <w:keepNext/>
              <w:keepLines/>
              <w:jc w:val="center"/>
              <w:rPr>
                <w:rFonts w:cs="Arial"/>
              </w:rPr>
            </w:pPr>
            <w:r w:rsidRPr="00AB3974">
              <w:rPr>
                <w:rFonts w:eastAsiaTheme="minorEastAsia"/>
                <w:szCs w:val="22"/>
                <w:lang w:eastAsia="en-US"/>
              </w:rPr>
              <w:t>1 MHz</w:t>
            </w:r>
          </w:p>
        </w:tc>
      </w:tr>
    </w:tbl>
    <w:p w14:paraId="2E1B8CCF" w14:textId="77777777" w:rsidR="00DB5E4D" w:rsidRDefault="00DB5E4D" w:rsidP="00150E2F">
      <w:pPr>
        <w:rPr>
          <w:b/>
          <w:sz w:val="24"/>
        </w:rPr>
      </w:pPr>
    </w:p>
    <w:p w14:paraId="25A79DBC" w14:textId="30418006" w:rsidR="00150E2F" w:rsidRPr="00C06149" w:rsidRDefault="00150E2F" w:rsidP="00150E2F">
      <w:pPr>
        <w:rPr>
          <w:b/>
          <w:sz w:val="24"/>
        </w:rPr>
      </w:pPr>
      <w:r w:rsidRPr="00C06149">
        <w:rPr>
          <w:b/>
          <w:sz w:val="24"/>
        </w:rPr>
        <w:t xml:space="preserve">Comparison of unwanted emission limits </w:t>
      </w:r>
    </w:p>
    <w:p w14:paraId="64EBD5D6" w14:textId="1F042E36" w:rsidR="00150E2F" w:rsidRPr="00C97518" w:rsidRDefault="00150E2F" w:rsidP="00671568">
      <w:pPr>
        <w:pStyle w:val="ACMASpaceaftertable"/>
        <w:rPr>
          <w:rFonts w:eastAsiaTheme="minorEastAsia"/>
          <w:szCs w:val="22"/>
          <w:lang w:eastAsia="en-US"/>
        </w:rPr>
      </w:pPr>
      <w:r w:rsidRPr="00C97518">
        <w:rPr>
          <w:rFonts w:eastAsiaTheme="minorEastAsia"/>
          <w:szCs w:val="22"/>
          <w:lang w:eastAsia="en-US"/>
        </w:rPr>
        <w:t xml:space="preserve">Figure B1.2 visually compares the proposed unwanted emission limits </w:t>
      </w:r>
      <w:r w:rsidR="00D21E6B">
        <w:rPr>
          <w:rFonts w:eastAsiaTheme="minorEastAsia"/>
          <w:szCs w:val="22"/>
          <w:lang w:eastAsia="en-US"/>
        </w:rPr>
        <w:t>against</w:t>
      </w:r>
      <w:r w:rsidRPr="00C97518">
        <w:rPr>
          <w:rFonts w:eastAsiaTheme="minorEastAsia"/>
          <w:szCs w:val="22"/>
          <w:lang w:eastAsia="en-US"/>
        </w:rPr>
        <w:t xml:space="preserve"> the current 2 GHz band radiated emission limits. </w:t>
      </w:r>
    </w:p>
    <w:p w14:paraId="227EA24A" w14:textId="2B48B686" w:rsidR="00656396" w:rsidRPr="00C97518" w:rsidRDefault="00656396" w:rsidP="00656396">
      <w:pPr>
        <w:pStyle w:val="ACMAFigureHeader"/>
        <w:keepNext/>
        <w:keepLines/>
        <w:numPr>
          <w:ilvl w:val="0"/>
          <w:numId w:val="0"/>
        </w:numPr>
        <w:rPr>
          <w:rFonts w:ascii="Times New Roman" w:hAnsi="Times New Roman"/>
        </w:rPr>
      </w:pPr>
      <w:r w:rsidRPr="00C97518">
        <w:lastRenderedPageBreak/>
        <w:t>Figure B1.2:</w:t>
      </w:r>
      <w:r w:rsidRPr="00C97518">
        <w:tab/>
        <w:t>C</w:t>
      </w:r>
      <w:r w:rsidRPr="00C97518">
        <w:rPr>
          <w:rFonts w:eastAsiaTheme="minorEastAsia"/>
          <w:szCs w:val="22"/>
          <w:lang w:eastAsia="en-US"/>
        </w:rPr>
        <w:t>omparison of the proposed unwanted emission limits and the current 2 GHz band radiated emission limits</w:t>
      </w:r>
    </w:p>
    <w:p w14:paraId="69E7201E" w14:textId="3D79C2A5" w:rsidR="00150E2F" w:rsidRPr="00C97518" w:rsidRDefault="00C27686" w:rsidP="00150E2F">
      <w:pPr>
        <w:pStyle w:val="ACMASpaceaftertable"/>
        <w:rPr>
          <w:rFonts w:eastAsiaTheme="minorEastAsia"/>
          <w:lang w:eastAsia="en-US"/>
        </w:rPr>
      </w:pPr>
      <w:r>
        <w:rPr>
          <w:noProof/>
        </w:rPr>
        <w:drawing>
          <wp:inline distT="0" distB="0" distL="0" distR="0" wp14:anchorId="032CF941" wp14:editId="301409DF">
            <wp:extent cx="5316220" cy="3827721"/>
            <wp:effectExtent l="0" t="0" r="17780" b="190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B1307E6" w14:textId="25FA5539" w:rsidR="00150E2F" w:rsidRPr="00C97518" w:rsidRDefault="00671568" w:rsidP="00150E2F">
      <w:pPr>
        <w:pStyle w:val="ACMASpaceaftertable"/>
        <w:rPr>
          <w:rFonts w:eastAsiaTheme="minorEastAsia"/>
          <w:lang w:eastAsia="en-US"/>
        </w:rPr>
      </w:pPr>
      <w:r w:rsidRPr="00671568">
        <w:rPr>
          <w:noProof/>
        </w:rPr>
        <w:t xml:space="preserve"> </w:t>
      </w:r>
      <w:r>
        <w:rPr>
          <w:noProof/>
        </w:rPr>
        <w:drawing>
          <wp:inline distT="0" distB="0" distL="0" distR="0" wp14:anchorId="0FA42BB3" wp14:editId="56B6D14C">
            <wp:extent cx="5475767" cy="3763925"/>
            <wp:effectExtent l="0" t="0" r="10795" b="825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201D7895" w14:textId="77777777" w:rsidR="00150E2F" w:rsidRPr="00C97518" w:rsidRDefault="00150E2F" w:rsidP="007552D9">
      <w:pPr>
        <w:pStyle w:val="ACMASpaceaftertable"/>
        <w:rPr>
          <w:rFonts w:eastAsiaTheme="minorEastAsia"/>
          <w:lang w:eastAsia="en-US"/>
        </w:rPr>
      </w:pPr>
    </w:p>
    <w:p w14:paraId="0EFE7B9D" w14:textId="007EE704" w:rsidR="00E2707F" w:rsidRPr="00C97518" w:rsidRDefault="00E2707F" w:rsidP="00E2707F">
      <w:pPr>
        <w:pStyle w:val="Heading2"/>
        <w:ind w:left="567" w:hanging="567"/>
      </w:pPr>
      <w:bookmarkStart w:id="10" w:name="_Toc437508116"/>
      <w:bookmarkStart w:id="11" w:name="_Toc437508421"/>
      <w:bookmarkStart w:id="12" w:name="_Toc437530155"/>
      <w:bookmarkStart w:id="13" w:name="_Toc461025766"/>
      <w:r w:rsidRPr="00C97518">
        <w:lastRenderedPageBreak/>
        <w:t>B2</w:t>
      </w:r>
      <w:r w:rsidRPr="00C97518">
        <w:tab/>
      </w:r>
      <w:r w:rsidR="00BA6F28" w:rsidRPr="00C97518">
        <w:t>Additional s</w:t>
      </w:r>
      <w:r w:rsidRPr="00C97518">
        <w:rPr>
          <w:rFonts w:eastAsiaTheme="minorEastAsia"/>
          <w:szCs w:val="22"/>
          <w:lang w:eastAsia="en-US"/>
        </w:rPr>
        <w:t>purious emission limit</w:t>
      </w:r>
      <w:bookmarkEnd w:id="10"/>
      <w:bookmarkEnd w:id="11"/>
      <w:bookmarkEnd w:id="12"/>
      <w:r w:rsidR="00BA6F28" w:rsidRPr="00C97518">
        <w:rPr>
          <w:rFonts w:eastAsiaTheme="minorEastAsia"/>
          <w:szCs w:val="22"/>
          <w:lang w:eastAsia="en-US"/>
        </w:rPr>
        <w:t xml:space="preserve"> requirements</w:t>
      </w:r>
      <w:bookmarkEnd w:id="13"/>
      <w:r w:rsidRPr="00C97518">
        <w:rPr>
          <w:rFonts w:eastAsiaTheme="minorEastAsia"/>
          <w:szCs w:val="22"/>
          <w:lang w:eastAsia="en-US"/>
        </w:rPr>
        <w:t xml:space="preserve"> </w:t>
      </w:r>
    </w:p>
    <w:p w14:paraId="4CC71D8E" w14:textId="61C2FAB6" w:rsidR="00150E2F" w:rsidRPr="00C97518" w:rsidRDefault="00DC0FCA" w:rsidP="0027403F">
      <w:r w:rsidRPr="00C97518">
        <w:t xml:space="preserve">In addition to the unwanted radiated power limits, spurious emission limits have also been defined at the antenna connector of the device. Therefore spurious emissions must meet both the ‘unwanted emission limit’ </w:t>
      </w:r>
      <w:r w:rsidR="002C6EEB">
        <w:t xml:space="preserve">(a radiated limit) </w:t>
      </w:r>
      <w:r w:rsidRPr="00C97518">
        <w:t xml:space="preserve">defined in section B1 and ‘the spurious emission limit’ defined in this section. </w:t>
      </w:r>
      <w:r w:rsidR="005A0612">
        <w:t xml:space="preserve">The spurious emission limits are </w:t>
      </w:r>
      <w:r w:rsidR="005A0612" w:rsidRPr="00C97518">
        <w:t xml:space="preserve">defined the same way as specified in </w:t>
      </w:r>
      <w:r w:rsidR="000D6F57" w:rsidRPr="00C97518">
        <w:t>3GPP standards</w:t>
      </w:r>
      <w:r w:rsidR="005A0612">
        <w:t xml:space="preserve">. </w:t>
      </w:r>
    </w:p>
    <w:p w14:paraId="77FBA35F" w14:textId="52708480" w:rsidR="00F13B89" w:rsidRPr="00C97518" w:rsidRDefault="00F13B89" w:rsidP="00F13B89">
      <w:r w:rsidRPr="00C97518">
        <w:t>The proposed transmitter spurious emission limits for</w:t>
      </w:r>
      <w:r w:rsidR="00126FD3">
        <w:t xml:space="preserve"> devices operating in</w:t>
      </w:r>
      <w:r w:rsidRPr="00C97518">
        <w:t xml:space="preserve"> the 1920-1980 MHz and 2110-2170 MHz frequency ranges are the levels</w:t>
      </w:r>
      <w:r w:rsidRPr="00C97518" w:rsidDel="00DA1A12">
        <w:t xml:space="preserve"> </w:t>
      </w:r>
      <w:r w:rsidRPr="00C97518">
        <w:t>defined in 3GPP 36.101</w:t>
      </w:r>
      <w:r w:rsidRPr="00C97518">
        <w:rPr>
          <w:rStyle w:val="FootnoteReference"/>
        </w:rPr>
        <w:footnoteReference w:id="7"/>
      </w:r>
      <w:r w:rsidRPr="00C97518">
        <w:t xml:space="preserve"> (for UEs) and 3GPP 36.104</w:t>
      </w:r>
      <w:r w:rsidRPr="00C97518">
        <w:rPr>
          <w:rStyle w:val="FootnoteReference"/>
        </w:rPr>
        <w:footnoteReference w:id="8"/>
      </w:r>
      <w:r w:rsidRPr="00C97518">
        <w:t xml:space="preserve"> (for base stations) respectively. These levels are defined at the antenna connector</w:t>
      </w:r>
      <w:r w:rsidR="004B2E1D">
        <w:t xml:space="preserve"> (i.e. they are conducted limits)</w:t>
      </w:r>
      <w:r w:rsidRPr="00C97518">
        <w:t>.</w:t>
      </w:r>
    </w:p>
    <w:p w14:paraId="530CE0F7" w14:textId="67931B76" w:rsidR="00F13B89" w:rsidRDefault="00E2707F" w:rsidP="00F13B89">
      <w:r w:rsidRPr="00C97518">
        <w:t>3GPP 36.101</w:t>
      </w:r>
      <w:r w:rsidR="008C0005" w:rsidRPr="00C97518">
        <w:rPr>
          <w:rStyle w:val="FootnoteReference"/>
        </w:rPr>
        <w:footnoteReference w:id="9"/>
      </w:r>
      <w:r w:rsidR="008C0005" w:rsidRPr="00C97518">
        <w:t xml:space="preserve"> and 36.104</w:t>
      </w:r>
      <w:r w:rsidR="008C0005" w:rsidRPr="00C97518">
        <w:rPr>
          <w:rStyle w:val="FootnoteReference"/>
        </w:rPr>
        <w:footnoteReference w:id="10"/>
      </w:r>
      <w:r w:rsidRPr="00C97518">
        <w:t xml:space="preserve"> defines the boundary between the E-UTRA out of band and spurious emission domain</w:t>
      </w:r>
      <w:r w:rsidR="00126FD3">
        <w:t>s</w:t>
      </w:r>
      <w:r w:rsidRPr="00C97518">
        <w:t xml:space="preserve">. </w:t>
      </w:r>
      <w:r w:rsidR="00DC0FCA" w:rsidRPr="00C97518">
        <w:t>For LTE (and UMTS) base sta</w:t>
      </w:r>
      <w:r w:rsidR="00F13B89" w:rsidRPr="00C97518">
        <w:t xml:space="preserve">tions the </w:t>
      </w:r>
      <w:r w:rsidR="00A0576F" w:rsidRPr="00C97518">
        <w:t xml:space="preserve">transmitter </w:t>
      </w:r>
      <w:r w:rsidR="00126FD3">
        <w:t>spurious domain starts</w:t>
      </w:r>
      <w:r w:rsidR="00DC0FCA" w:rsidRPr="00C97518">
        <w:t xml:space="preserve"> ±10 MHz from the band edge. However, the </w:t>
      </w:r>
      <w:r w:rsidR="00A0576F" w:rsidRPr="00C97518">
        <w:t xml:space="preserve">transmitter </w:t>
      </w:r>
      <w:r w:rsidR="00DC0FCA" w:rsidRPr="00C97518">
        <w:t>spurious domain for LTE (and UMTS) user terminals starts at different frequency offsets depending on the relevant channel sizes</w:t>
      </w:r>
      <w:r w:rsidR="00126FD3">
        <w:t xml:space="preserve"> and whether carrier aggregation is implemented</w:t>
      </w:r>
      <w:r w:rsidR="00DC0FCA" w:rsidRPr="00C97518">
        <w:t xml:space="preserve">. </w:t>
      </w:r>
      <w:r w:rsidR="00F13B89" w:rsidRPr="00C97518">
        <w:t xml:space="preserve">For this reason the spurious emission limit requirement is defined to start at the worst case offset from the 1920-1980 MHz band edge. The worst case relates to an LTE UE employing 20 MHz + 20 MHz carrier aggregation. In this scenario the spurious domain is deemed to start at offsets greater than 45 MHz from the band edge. </w:t>
      </w:r>
    </w:p>
    <w:p w14:paraId="060C1D43" w14:textId="650F650B" w:rsidR="00367138" w:rsidRDefault="00367138" w:rsidP="00367138">
      <w:r w:rsidRPr="00C97518">
        <w:t>For</w:t>
      </w:r>
      <w:r>
        <w:t xml:space="preserve"> transmitter</w:t>
      </w:r>
      <w:r w:rsidRPr="00C97518">
        <w:t xml:space="preserve"> spurious emissions</w:t>
      </w:r>
      <w:r>
        <w:t>,</w:t>
      </w:r>
      <w:r w:rsidRPr="00C97518">
        <w:t xml:space="preserve"> the limits </w:t>
      </w:r>
      <w:r>
        <w:t xml:space="preserve">in Table B2.1 </w:t>
      </w:r>
      <w:r w:rsidRPr="00C97518">
        <w:t>apply</w:t>
      </w:r>
      <w:r>
        <w:t>:</w:t>
      </w:r>
      <w:r w:rsidRPr="00C97518">
        <w:t xml:space="preserve"> </w:t>
      </w:r>
    </w:p>
    <w:p w14:paraId="19CB4791" w14:textId="34343DF6" w:rsidR="00367138" w:rsidRDefault="00367138" w:rsidP="00367138">
      <w:pPr>
        <w:pStyle w:val="ListParagraph"/>
        <w:numPr>
          <w:ilvl w:val="0"/>
          <w:numId w:val="19"/>
        </w:numPr>
        <w:rPr>
          <w:rFonts w:ascii="Arial" w:eastAsia="Times New Roman" w:hAnsi="Arial" w:cs="Times New Roman"/>
          <w:sz w:val="20"/>
          <w:lang w:eastAsia="en-AU"/>
        </w:rPr>
      </w:pPr>
      <w:r w:rsidRPr="00367138">
        <w:rPr>
          <w:rFonts w:ascii="Arial" w:eastAsia="Times New Roman" w:hAnsi="Arial" w:cs="Times New Roman"/>
          <w:sz w:val="20"/>
          <w:lang w:eastAsia="en-AU"/>
        </w:rPr>
        <w:t xml:space="preserve">outside the 1875-2025 MHz </w:t>
      </w:r>
      <w:r>
        <w:rPr>
          <w:rFonts w:ascii="Arial" w:eastAsia="Times New Roman" w:hAnsi="Arial" w:cs="Times New Roman"/>
          <w:sz w:val="20"/>
          <w:lang w:eastAsia="en-AU"/>
        </w:rPr>
        <w:t xml:space="preserve">frequency range for </w:t>
      </w:r>
      <w:r w:rsidRPr="00367138">
        <w:rPr>
          <w:rFonts w:ascii="Arial" w:eastAsia="Times New Roman" w:hAnsi="Arial" w:cs="Times New Roman"/>
          <w:sz w:val="20"/>
          <w:lang w:eastAsia="en-AU"/>
        </w:rPr>
        <w:t xml:space="preserve">transmitters </w:t>
      </w:r>
      <w:r>
        <w:rPr>
          <w:rFonts w:ascii="Arial" w:eastAsia="Times New Roman" w:hAnsi="Arial" w:cs="Times New Roman"/>
          <w:sz w:val="20"/>
          <w:lang w:eastAsia="en-AU"/>
        </w:rPr>
        <w:t>operating in</w:t>
      </w:r>
      <w:r w:rsidRPr="00367138">
        <w:rPr>
          <w:rFonts w:ascii="Arial" w:eastAsia="Times New Roman" w:hAnsi="Arial" w:cs="Times New Roman"/>
          <w:sz w:val="20"/>
          <w:lang w:eastAsia="en-AU"/>
        </w:rPr>
        <w:t xml:space="preserve"> the 1920-1980 MHz frequency range</w:t>
      </w:r>
      <w:r>
        <w:rPr>
          <w:rFonts w:ascii="Arial" w:eastAsia="Times New Roman" w:hAnsi="Arial" w:cs="Times New Roman"/>
          <w:sz w:val="20"/>
          <w:lang w:eastAsia="en-AU"/>
        </w:rPr>
        <w:t>;</w:t>
      </w:r>
    </w:p>
    <w:p w14:paraId="577D6CAC" w14:textId="01BEE71E" w:rsidR="00367138" w:rsidRDefault="00367138" w:rsidP="00367138">
      <w:pPr>
        <w:pStyle w:val="ListParagraph"/>
        <w:numPr>
          <w:ilvl w:val="0"/>
          <w:numId w:val="19"/>
        </w:numPr>
        <w:rPr>
          <w:rFonts w:ascii="Arial" w:eastAsia="Times New Roman" w:hAnsi="Arial" w:cs="Times New Roman"/>
          <w:sz w:val="20"/>
          <w:lang w:eastAsia="en-AU"/>
        </w:rPr>
      </w:pPr>
      <w:r w:rsidRPr="00367138">
        <w:rPr>
          <w:rFonts w:ascii="Arial" w:eastAsia="Times New Roman" w:hAnsi="Arial" w:cs="Times New Roman"/>
          <w:sz w:val="20"/>
          <w:lang w:eastAsia="en-AU"/>
        </w:rPr>
        <w:t>outside the 2100-2180 MHz</w:t>
      </w:r>
      <w:r>
        <w:rPr>
          <w:rFonts w:ascii="Arial" w:eastAsia="Times New Roman" w:hAnsi="Arial" w:cs="Times New Roman"/>
          <w:sz w:val="20"/>
          <w:lang w:eastAsia="en-AU"/>
        </w:rPr>
        <w:t xml:space="preserve"> frequency range for </w:t>
      </w:r>
      <w:r w:rsidRPr="00367138">
        <w:rPr>
          <w:rFonts w:ascii="Arial" w:eastAsia="Times New Roman" w:hAnsi="Arial" w:cs="Times New Roman"/>
          <w:sz w:val="20"/>
          <w:lang w:eastAsia="en-AU"/>
        </w:rPr>
        <w:t xml:space="preserve">transmitters </w:t>
      </w:r>
      <w:r>
        <w:rPr>
          <w:rFonts w:ascii="Arial" w:eastAsia="Times New Roman" w:hAnsi="Arial" w:cs="Times New Roman"/>
          <w:sz w:val="20"/>
          <w:lang w:eastAsia="en-AU"/>
        </w:rPr>
        <w:t>operating in</w:t>
      </w:r>
      <w:r w:rsidRPr="00367138">
        <w:rPr>
          <w:rFonts w:ascii="Arial" w:eastAsia="Times New Roman" w:hAnsi="Arial" w:cs="Times New Roman"/>
          <w:sz w:val="20"/>
          <w:lang w:eastAsia="en-AU"/>
        </w:rPr>
        <w:t xml:space="preserve"> the 2110-2170 MHz frequency range</w:t>
      </w:r>
    </w:p>
    <w:p w14:paraId="6BD4DA51" w14:textId="77777777" w:rsidR="00367138" w:rsidRPr="00A644D6" w:rsidRDefault="00367138" w:rsidP="00C06149">
      <w:pPr>
        <w:pStyle w:val="ListParagraph"/>
      </w:pPr>
    </w:p>
    <w:p w14:paraId="7820B747" w14:textId="1019019F" w:rsidR="00B65E03" w:rsidRDefault="00A0576F" w:rsidP="00656396">
      <w:r w:rsidRPr="00C97518">
        <w:t>For receiver spurious emissions</w:t>
      </w:r>
      <w:r w:rsidR="00D21E6B">
        <w:t>,</w:t>
      </w:r>
      <w:r w:rsidRPr="00C97518">
        <w:t xml:space="preserve"> the limits </w:t>
      </w:r>
      <w:r w:rsidR="00367138">
        <w:t xml:space="preserve">in Table B2.2 </w:t>
      </w:r>
      <w:r w:rsidRPr="00C97518">
        <w:t>apply</w:t>
      </w:r>
      <w:r w:rsidR="00B65E03">
        <w:t>:</w:t>
      </w:r>
      <w:r w:rsidRPr="00C97518">
        <w:t xml:space="preserve"> </w:t>
      </w:r>
    </w:p>
    <w:p w14:paraId="6E629119" w14:textId="3A53DA63" w:rsidR="00A0576F" w:rsidRDefault="00B65E03" w:rsidP="00B65E03">
      <w:pPr>
        <w:pStyle w:val="ListParagraph"/>
        <w:numPr>
          <w:ilvl w:val="0"/>
          <w:numId w:val="19"/>
        </w:numPr>
        <w:rPr>
          <w:rFonts w:ascii="Arial" w:eastAsia="Times New Roman" w:hAnsi="Arial" w:cs="Times New Roman"/>
          <w:sz w:val="20"/>
          <w:lang w:eastAsia="en-AU"/>
        </w:rPr>
      </w:pPr>
      <w:r w:rsidRPr="00B65E03">
        <w:rPr>
          <w:rFonts w:ascii="Arial" w:eastAsia="Times New Roman" w:hAnsi="Arial" w:cs="Times New Roman"/>
          <w:sz w:val="20"/>
          <w:lang w:eastAsia="en-AU"/>
        </w:rPr>
        <w:t xml:space="preserve">at all frequencies </w:t>
      </w:r>
      <w:r w:rsidR="00367138">
        <w:rPr>
          <w:rFonts w:ascii="Arial" w:eastAsia="Times New Roman" w:hAnsi="Arial" w:cs="Times New Roman"/>
          <w:sz w:val="20"/>
          <w:lang w:eastAsia="en-AU"/>
        </w:rPr>
        <w:t xml:space="preserve">specified in the table  </w:t>
      </w:r>
      <w:r>
        <w:rPr>
          <w:rFonts w:ascii="Arial" w:eastAsia="Times New Roman" w:hAnsi="Arial" w:cs="Times New Roman"/>
          <w:sz w:val="20"/>
          <w:lang w:eastAsia="en-AU"/>
        </w:rPr>
        <w:t xml:space="preserve">for </w:t>
      </w:r>
      <w:r w:rsidRPr="00B65E03">
        <w:rPr>
          <w:rFonts w:ascii="Arial" w:eastAsia="Times New Roman" w:hAnsi="Arial" w:cs="Times New Roman"/>
          <w:sz w:val="20"/>
          <w:lang w:eastAsia="en-AU"/>
        </w:rPr>
        <w:t>radiocommunications receivers operating in the 2110-2170 MHz band</w:t>
      </w:r>
      <w:r>
        <w:rPr>
          <w:rFonts w:ascii="Arial" w:eastAsia="Times New Roman" w:hAnsi="Arial" w:cs="Times New Roman"/>
          <w:sz w:val="20"/>
          <w:lang w:eastAsia="en-AU"/>
        </w:rPr>
        <w:t>;</w:t>
      </w:r>
      <w:r w:rsidR="00367138">
        <w:rPr>
          <w:rFonts w:ascii="Arial" w:eastAsia="Times New Roman" w:hAnsi="Arial" w:cs="Times New Roman"/>
          <w:sz w:val="20"/>
          <w:lang w:eastAsia="en-AU"/>
        </w:rPr>
        <w:t xml:space="preserve"> and</w:t>
      </w:r>
    </w:p>
    <w:p w14:paraId="728A7543" w14:textId="69D6CD95" w:rsidR="00B65E03" w:rsidRDefault="00B65E03" w:rsidP="00B65E03">
      <w:pPr>
        <w:pStyle w:val="ListParagraph"/>
        <w:numPr>
          <w:ilvl w:val="0"/>
          <w:numId w:val="19"/>
        </w:numPr>
        <w:rPr>
          <w:rFonts w:ascii="Arial" w:eastAsia="Times New Roman" w:hAnsi="Arial" w:cs="Times New Roman"/>
          <w:sz w:val="20"/>
          <w:lang w:eastAsia="en-AU"/>
        </w:rPr>
      </w:pPr>
      <w:r>
        <w:rPr>
          <w:rFonts w:ascii="Arial" w:eastAsia="Times New Roman" w:hAnsi="Arial" w:cs="Times New Roman"/>
          <w:sz w:val="20"/>
          <w:lang w:eastAsia="en-AU"/>
        </w:rPr>
        <w:t>at frequencies outside the 2100-2180 MHz band for receivers operating in the in the 1920-1980 MHz band.</w:t>
      </w:r>
    </w:p>
    <w:p w14:paraId="6C2BDD54" w14:textId="77777777" w:rsidR="00B65E03" w:rsidRPr="00B65E03" w:rsidRDefault="00B65E03" w:rsidP="00B65E03">
      <w:pPr>
        <w:pStyle w:val="ListParagraph"/>
        <w:rPr>
          <w:rFonts w:ascii="Arial" w:eastAsia="Times New Roman" w:hAnsi="Arial" w:cs="Times New Roman"/>
          <w:sz w:val="20"/>
          <w:lang w:eastAsia="en-AU"/>
        </w:rPr>
      </w:pPr>
    </w:p>
    <w:p w14:paraId="03CC92AD" w14:textId="068DA02D" w:rsidR="00656396" w:rsidRPr="00C97518" w:rsidRDefault="00656396" w:rsidP="00656396">
      <w:r w:rsidRPr="00C97518">
        <w:t xml:space="preserve">The resulting </w:t>
      </w:r>
      <w:r w:rsidR="004B2E1D">
        <w:t>conducted</w:t>
      </w:r>
      <w:r w:rsidR="004B2E1D" w:rsidRPr="00C97518">
        <w:t xml:space="preserve"> </w:t>
      </w:r>
      <w:r w:rsidRPr="00C97518">
        <w:t xml:space="preserve">transmitter and receiver spurious emission limits are shown in </w:t>
      </w:r>
      <w:r w:rsidRPr="00C97518">
        <w:rPr>
          <w:rFonts w:eastAsiaTheme="minorEastAsia"/>
          <w:szCs w:val="22"/>
          <w:lang w:eastAsia="en-US"/>
        </w:rPr>
        <w:t>Table B2.1 and Table B2.2 respectively</w:t>
      </w:r>
      <w:r w:rsidRPr="00C97518">
        <w:t xml:space="preserve">. </w:t>
      </w:r>
    </w:p>
    <w:p w14:paraId="4F5ED2DF" w14:textId="77777777" w:rsidR="00656396" w:rsidRPr="00C97518" w:rsidRDefault="00656396" w:rsidP="00F13B89"/>
    <w:p w14:paraId="1376630B" w14:textId="77777777" w:rsidR="00126FD3" w:rsidRDefault="00126FD3">
      <w:pPr>
        <w:spacing w:after="0" w:line="240" w:lineRule="auto"/>
        <w:rPr>
          <w:b/>
          <w:bCs/>
          <w:color w:val="323232"/>
          <w:szCs w:val="20"/>
        </w:rPr>
      </w:pPr>
      <w:r>
        <w:br w:type="page"/>
      </w:r>
    </w:p>
    <w:p w14:paraId="45D954C2" w14:textId="46E64354" w:rsidR="002E6A30" w:rsidRPr="00C97518" w:rsidRDefault="00F13B89" w:rsidP="00F13B89">
      <w:pPr>
        <w:pStyle w:val="ACMATableHeader"/>
        <w:numPr>
          <w:ilvl w:val="0"/>
          <w:numId w:val="0"/>
        </w:numPr>
      </w:pPr>
      <w:r w:rsidRPr="00C97518">
        <w:lastRenderedPageBreak/>
        <w:t>Table B2.1</w:t>
      </w:r>
      <w:r w:rsidR="002E6A30" w:rsidRPr="00C97518">
        <w:t>:</w:t>
      </w:r>
      <w:r w:rsidR="002E6A30" w:rsidRPr="00C97518">
        <w:tab/>
        <w:t>R</w:t>
      </w:r>
      <w:r w:rsidR="002E6A30" w:rsidRPr="00C97518">
        <w:rPr>
          <w:rFonts w:eastAsiaTheme="minorEastAsia"/>
          <w:szCs w:val="22"/>
          <w:lang w:eastAsia="en-US"/>
        </w:rPr>
        <w:t>adiocommunications transmitter spurious emission limits</w:t>
      </w:r>
      <w:r w:rsidRPr="00C97518">
        <w:rPr>
          <w:rFonts w:eastAsiaTheme="minorEastAsia"/>
          <w:szCs w:val="22"/>
          <w:lang w:eastAsia="en-US"/>
        </w:rPr>
        <w:t xml:space="preserve"> at antenna connector. </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2E6A30" w:rsidRPr="00C97518" w14:paraId="2FAF00C7" w14:textId="77777777" w:rsidTr="003D00D5">
        <w:trPr>
          <w:tblHeader/>
        </w:trPr>
        <w:tc>
          <w:tcPr>
            <w:tcW w:w="2539" w:type="dxa"/>
            <w:tcBorders>
              <w:top w:val="single" w:sz="4" w:space="0" w:color="auto"/>
              <w:left w:val="nil"/>
              <w:bottom w:val="single" w:sz="4" w:space="0" w:color="auto"/>
              <w:right w:val="nil"/>
            </w:tcBorders>
            <w:shd w:val="clear" w:color="auto" w:fill="404040" w:themeFill="text1" w:themeFillTint="BF"/>
          </w:tcPr>
          <w:p w14:paraId="3D9562E7" w14:textId="343FCB2C" w:rsidR="002E6A30" w:rsidRPr="00C97518" w:rsidRDefault="002E6A30" w:rsidP="002E6A30">
            <w:pPr>
              <w:pStyle w:val="TableHeading"/>
              <w:rPr>
                <w:color w:val="FFFFFF" w:themeColor="background1"/>
              </w:rPr>
            </w:pPr>
            <w:r w:rsidRPr="00C97518">
              <w:rPr>
                <w:color w:val="FFFFFF" w:themeColor="background1"/>
              </w:rPr>
              <w:t>Frequency range (f)</w:t>
            </w:r>
          </w:p>
        </w:tc>
        <w:tc>
          <w:tcPr>
            <w:tcW w:w="3818" w:type="dxa"/>
            <w:tcBorders>
              <w:top w:val="single" w:sz="4" w:space="0" w:color="auto"/>
              <w:left w:val="nil"/>
              <w:bottom w:val="single" w:sz="4" w:space="0" w:color="auto"/>
              <w:right w:val="nil"/>
            </w:tcBorders>
            <w:shd w:val="clear" w:color="auto" w:fill="404040" w:themeFill="text1" w:themeFillTint="BF"/>
          </w:tcPr>
          <w:p w14:paraId="27001C40" w14:textId="6681802B" w:rsidR="002E6A30" w:rsidRPr="00C97518" w:rsidRDefault="002E6A30" w:rsidP="003D00D5">
            <w:pPr>
              <w:pStyle w:val="TableHeading"/>
              <w:jc w:val="center"/>
              <w:rPr>
                <w:color w:val="FFFFFF" w:themeColor="background1"/>
              </w:rPr>
            </w:pPr>
            <w:r w:rsidRPr="00C97518">
              <w:rPr>
                <w:color w:val="FFFFFF" w:themeColor="background1"/>
              </w:rPr>
              <w:t>Radiated mean power</w:t>
            </w:r>
          </w:p>
          <w:p w14:paraId="4A487F0B" w14:textId="77777777" w:rsidR="002E6A30" w:rsidRPr="00C97518" w:rsidRDefault="002E6A30" w:rsidP="003D00D5">
            <w:pPr>
              <w:pStyle w:val="TableHeading"/>
              <w:jc w:val="center"/>
              <w:rPr>
                <w:color w:val="FFFFFF" w:themeColor="background1"/>
              </w:rPr>
            </w:pPr>
            <w:r w:rsidRPr="00C97518">
              <w:rPr>
                <w:color w:val="FFFFFF" w:themeColor="background1"/>
              </w:rPr>
              <w:t>(dBm EIRP)</w:t>
            </w:r>
          </w:p>
        </w:tc>
        <w:tc>
          <w:tcPr>
            <w:tcW w:w="2295" w:type="dxa"/>
            <w:tcBorders>
              <w:top w:val="single" w:sz="4" w:space="0" w:color="auto"/>
              <w:left w:val="nil"/>
              <w:bottom w:val="single" w:sz="4" w:space="0" w:color="auto"/>
              <w:right w:val="nil"/>
            </w:tcBorders>
            <w:shd w:val="clear" w:color="auto" w:fill="404040" w:themeFill="text1" w:themeFillTint="BF"/>
          </w:tcPr>
          <w:p w14:paraId="5A3EA0E3" w14:textId="6E0DDC34" w:rsidR="002E6A30" w:rsidRPr="00C97518" w:rsidRDefault="002E6A30" w:rsidP="003D00D5">
            <w:pPr>
              <w:pStyle w:val="TableHeading"/>
              <w:jc w:val="center"/>
              <w:rPr>
                <w:color w:val="FFFFFF" w:themeColor="background1"/>
              </w:rPr>
            </w:pPr>
            <w:r w:rsidRPr="00C97518">
              <w:rPr>
                <w:color w:val="FFFFFF" w:themeColor="background1"/>
              </w:rPr>
              <w:t xml:space="preserve">Specified </w:t>
            </w:r>
            <w:r w:rsidR="00E75F2B" w:rsidRPr="00C97518">
              <w:rPr>
                <w:color w:val="FFFFFF" w:themeColor="background1"/>
              </w:rPr>
              <w:t>b</w:t>
            </w:r>
            <w:r w:rsidRPr="00C97518">
              <w:rPr>
                <w:color w:val="FFFFFF" w:themeColor="background1"/>
              </w:rPr>
              <w:t>andwidth</w:t>
            </w:r>
          </w:p>
        </w:tc>
      </w:tr>
      <w:tr w:rsidR="002E6A30" w:rsidRPr="00C97518" w14:paraId="11FF11A2" w14:textId="77777777" w:rsidTr="003D00D5">
        <w:trPr>
          <w:tblHeader/>
        </w:trPr>
        <w:tc>
          <w:tcPr>
            <w:tcW w:w="2539" w:type="dxa"/>
            <w:tcBorders>
              <w:top w:val="single" w:sz="4" w:space="0" w:color="auto"/>
              <w:left w:val="nil"/>
              <w:bottom w:val="single" w:sz="4" w:space="0" w:color="auto"/>
              <w:right w:val="nil"/>
            </w:tcBorders>
          </w:tcPr>
          <w:p w14:paraId="67BDA3BD" w14:textId="54EABFBC" w:rsidR="002E6A30" w:rsidRPr="00C97518" w:rsidRDefault="002E6A30" w:rsidP="002E6A30">
            <w:pPr>
              <w:pStyle w:val="TableBody"/>
              <w:keepNext/>
              <w:keepLines/>
              <w:rPr>
                <w:rFonts w:cs="Arial"/>
              </w:rPr>
            </w:pPr>
            <w:r w:rsidRPr="00C97518">
              <w:rPr>
                <w:rFonts w:cs="Arial"/>
              </w:rPr>
              <w:t>9 kHz ≤ f &lt; 150 kHz</w:t>
            </w:r>
          </w:p>
        </w:tc>
        <w:tc>
          <w:tcPr>
            <w:tcW w:w="3818" w:type="dxa"/>
            <w:tcBorders>
              <w:top w:val="single" w:sz="4" w:space="0" w:color="auto"/>
              <w:left w:val="nil"/>
              <w:bottom w:val="single" w:sz="4" w:space="0" w:color="auto"/>
              <w:right w:val="nil"/>
            </w:tcBorders>
          </w:tcPr>
          <w:p w14:paraId="713F7481" w14:textId="6C34CFF5" w:rsidR="002E6A30" w:rsidRPr="00C97518" w:rsidRDefault="002E6A30" w:rsidP="003D00D5">
            <w:pPr>
              <w:pStyle w:val="TableBody"/>
              <w:keepNext/>
              <w:keepLines/>
              <w:jc w:val="center"/>
              <w:rPr>
                <w:rFonts w:cs="Arial"/>
              </w:rPr>
            </w:pPr>
            <w:r w:rsidRPr="00C97518">
              <w:rPr>
                <w:rFonts w:cs="Arial"/>
              </w:rPr>
              <w:t>-36</w:t>
            </w:r>
          </w:p>
        </w:tc>
        <w:tc>
          <w:tcPr>
            <w:tcW w:w="2295" w:type="dxa"/>
            <w:tcBorders>
              <w:top w:val="single" w:sz="4" w:space="0" w:color="auto"/>
              <w:left w:val="nil"/>
              <w:bottom w:val="single" w:sz="4" w:space="0" w:color="auto"/>
              <w:right w:val="nil"/>
            </w:tcBorders>
          </w:tcPr>
          <w:p w14:paraId="2A6579D1" w14:textId="6ECB433C" w:rsidR="002E6A30" w:rsidRPr="00C97518" w:rsidRDefault="002E6A30" w:rsidP="002E6A30">
            <w:pPr>
              <w:pStyle w:val="TableBody"/>
              <w:keepNext/>
              <w:keepLines/>
              <w:jc w:val="center"/>
              <w:rPr>
                <w:rFonts w:cs="Arial"/>
              </w:rPr>
            </w:pPr>
            <w:r w:rsidRPr="00C97518">
              <w:rPr>
                <w:rFonts w:cs="Arial"/>
              </w:rPr>
              <w:t>1 kHz</w:t>
            </w:r>
          </w:p>
        </w:tc>
      </w:tr>
      <w:tr w:rsidR="002E6A30" w:rsidRPr="00C97518" w14:paraId="176305AE" w14:textId="77777777" w:rsidTr="003D00D5">
        <w:trPr>
          <w:tblHeader/>
        </w:trPr>
        <w:tc>
          <w:tcPr>
            <w:tcW w:w="2539" w:type="dxa"/>
            <w:tcBorders>
              <w:top w:val="single" w:sz="4" w:space="0" w:color="auto"/>
              <w:left w:val="nil"/>
              <w:bottom w:val="single" w:sz="4" w:space="0" w:color="auto"/>
              <w:right w:val="nil"/>
            </w:tcBorders>
            <w:shd w:val="clear" w:color="auto" w:fill="F2F2F2" w:themeFill="background1" w:themeFillShade="F2"/>
          </w:tcPr>
          <w:p w14:paraId="01542B01" w14:textId="782192D0" w:rsidR="002E6A30" w:rsidRPr="00C97518" w:rsidRDefault="002E6A30" w:rsidP="002E6A30">
            <w:pPr>
              <w:pStyle w:val="TableBody"/>
              <w:keepNext/>
              <w:keepLines/>
              <w:rPr>
                <w:rFonts w:cs="Arial"/>
              </w:rPr>
            </w:pPr>
            <w:r w:rsidRPr="00C97518">
              <w:rPr>
                <w:rFonts w:cs="Arial"/>
              </w:rPr>
              <w:t>150 kHz ≤ f &lt; 30 MHz</w:t>
            </w:r>
          </w:p>
        </w:tc>
        <w:tc>
          <w:tcPr>
            <w:tcW w:w="3818" w:type="dxa"/>
            <w:tcBorders>
              <w:top w:val="single" w:sz="4" w:space="0" w:color="auto"/>
              <w:left w:val="nil"/>
              <w:bottom w:val="single" w:sz="4" w:space="0" w:color="auto"/>
              <w:right w:val="nil"/>
            </w:tcBorders>
            <w:shd w:val="clear" w:color="auto" w:fill="F2F2F2" w:themeFill="background1" w:themeFillShade="F2"/>
          </w:tcPr>
          <w:p w14:paraId="15026CDA" w14:textId="411AD886" w:rsidR="002E6A30" w:rsidRPr="00C97518" w:rsidRDefault="002E6A30" w:rsidP="003D00D5">
            <w:pPr>
              <w:pStyle w:val="TableBody"/>
              <w:keepNext/>
              <w:keepLines/>
              <w:jc w:val="center"/>
              <w:rPr>
                <w:rFonts w:cs="Arial"/>
              </w:rPr>
            </w:pPr>
            <w:r w:rsidRPr="00C97518">
              <w:rPr>
                <w:rFonts w:cs="Arial"/>
              </w:rPr>
              <w:t>-36</w:t>
            </w:r>
          </w:p>
        </w:tc>
        <w:tc>
          <w:tcPr>
            <w:tcW w:w="2295" w:type="dxa"/>
            <w:tcBorders>
              <w:top w:val="single" w:sz="4" w:space="0" w:color="auto"/>
              <w:left w:val="nil"/>
              <w:bottom w:val="single" w:sz="4" w:space="0" w:color="auto"/>
              <w:right w:val="nil"/>
            </w:tcBorders>
            <w:shd w:val="clear" w:color="auto" w:fill="F2F2F2" w:themeFill="background1" w:themeFillShade="F2"/>
          </w:tcPr>
          <w:p w14:paraId="1916B679" w14:textId="78B1863B" w:rsidR="002E6A30" w:rsidRPr="00C97518" w:rsidRDefault="002E6A30" w:rsidP="002E6A30">
            <w:pPr>
              <w:pStyle w:val="TableBody"/>
              <w:keepNext/>
              <w:keepLines/>
              <w:jc w:val="center"/>
              <w:rPr>
                <w:rFonts w:cs="Arial"/>
              </w:rPr>
            </w:pPr>
            <w:r w:rsidRPr="00C97518">
              <w:rPr>
                <w:rFonts w:cs="Arial"/>
              </w:rPr>
              <w:t>10 kHz</w:t>
            </w:r>
          </w:p>
        </w:tc>
      </w:tr>
      <w:tr w:rsidR="002E6A30" w:rsidRPr="00C97518" w14:paraId="636CFFC1" w14:textId="77777777" w:rsidTr="003D00D5">
        <w:trPr>
          <w:tblHeader/>
        </w:trPr>
        <w:tc>
          <w:tcPr>
            <w:tcW w:w="2539" w:type="dxa"/>
            <w:tcBorders>
              <w:top w:val="single" w:sz="4" w:space="0" w:color="auto"/>
              <w:left w:val="nil"/>
              <w:bottom w:val="single" w:sz="4" w:space="0" w:color="auto"/>
              <w:right w:val="nil"/>
            </w:tcBorders>
          </w:tcPr>
          <w:p w14:paraId="4CDDAB81" w14:textId="7739265C" w:rsidR="002E6A30" w:rsidRPr="00C97518" w:rsidRDefault="002E6A30" w:rsidP="002E6A30">
            <w:pPr>
              <w:pStyle w:val="TableBody"/>
              <w:keepNext/>
              <w:keepLines/>
              <w:rPr>
                <w:rFonts w:cs="Arial"/>
              </w:rPr>
            </w:pPr>
            <w:r w:rsidRPr="00C97518">
              <w:rPr>
                <w:rFonts w:cs="Arial"/>
              </w:rPr>
              <w:t>30 MHz ≤ f &lt; 1 GHz</w:t>
            </w:r>
          </w:p>
        </w:tc>
        <w:tc>
          <w:tcPr>
            <w:tcW w:w="3818" w:type="dxa"/>
            <w:tcBorders>
              <w:top w:val="single" w:sz="4" w:space="0" w:color="auto"/>
              <w:left w:val="nil"/>
              <w:bottom w:val="single" w:sz="4" w:space="0" w:color="auto"/>
              <w:right w:val="nil"/>
            </w:tcBorders>
          </w:tcPr>
          <w:p w14:paraId="6F095A66" w14:textId="3DF16386" w:rsidR="002E6A30" w:rsidRPr="00C97518" w:rsidRDefault="002E6A30" w:rsidP="003D00D5">
            <w:pPr>
              <w:pStyle w:val="TableBody"/>
              <w:keepNext/>
              <w:keepLines/>
              <w:jc w:val="center"/>
              <w:rPr>
                <w:rFonts w:cs="Arial"/>
              </w:rPr>
            </w:pPr>
            <w:r w:rsidRPr="00C97518">
              <w:rPr>
                <w:rFonts w:cs="Arial"/>
              </w:rPr>
              <w:t>-36</w:t>
            </w:r>
          </w:p>
        </w:tc>
        <w:tc>
          <w:tcPr>
            <w:tcW w:w="2295" w:type="dxa"/>
            <w:tcBorders>
              <w:top w:val="single" w:sz="4" w:space="0" w:color="auto"/>
              <w:left w:val="nil"/>
              <w:bottom w:val="single" w:sz="4" w:space="0" w:color="auto"/>
              <w:right w:val="nil"/>
            </w:tcBorders>
          </w:tcPr>
          <w:p w14:paraId="54DDFE2E" w14:textId="4BDAECC2" w:rsidR="002E6A30" w:rsidRPr="00C97518" w:rsidRDefault="002E6A30" w:rsidP="002E6A30">
            <w:pPr>
              <w:pStyle w:val="TableBody"/>
              <w:keepNext/>
              <w:keepLines/>
              <w:jc w:val="center"/>
              <w:rPr>
                <w:rFonts w:cs="Arial"/>
              </w:rPr>
            </w:pPr>
            <w:r w:rsidRPr="00C97518">
              <w:rPr>
                <w:rFonts w:cs="Arial"/>
              </w:rPr>
              <w:t>100 kHz</w:t>
            </w:r>
          </w:p>
        </w:tc>
      </w:tr>
      <w:tr w:rsidR="002E6A30" w:rsidRPr="00C97518" w14:paraId="1113E933" w14:textId="77777777" w:rsidTr="002E6A30">
        <w:trPr>
          <w:trHeight w:val="96"/>
          <w:tblHeader/>
        </w:trPr>
        <w:tc>
          <w:tcPr>
            <w:tcW w:w="2539" w:type="dxa"/>
            <w:tcBorders>
              <w:top w:val="single" w:sz="4" w:space="0" w:color="auto"/>
              <w:left w:val="nil"/>
              <w:bottom w:val="single" w:sz="4" w:space="0" w:color="auto"/>
              <w:right w:val="nil"/>
            </w:tcBorders>
            <w:shd w:val="clear" w:color="auto" w:fill="F2F2F2" w:themeFill="background1" w:themeFillShade="F2"/>
          </w:tcPr>
          <w:p w14:paraId="679C6F2B" w14:textId="25AB9506" w:rsidR="002E6A30" w:rsidRPr="00C97518" w:rsidRDefault="002E6A30" w:rsidP="002E6A30">
            <w:pPr>
              <w:pStyle w:val="TableBody"/>
              <w:keepNext/>
              <w:keepLines/>
              <w:rPr>
                <w:rFonts w:cs="Arial"/>
              </w:rPr>
            </w:pPr>
            <w:r w:rsidRPr="00C97518">
              <w:rPr>
                <w:rFonts w:cs="Arial"/>
              </w:rPr>
              <w:t>1 MHz ≤ f &lt; 12.75 GHz</w:t>
            </w:r>
          </w:p>
        </w:tc>
        <w:tc>
          <w:tcPr>
            <w:tcW w:w="3818" w:type="dxa"/>
            <w:tcBorders>
              <w:top w:val="single" w:sz="4" w:space="0" w:color="auto"/>
              <w:left w:val="nil"/>
              <w:bottom w:val="single" w:sz="4" w:space="0" w:color="auto"/>
              <w:right w:val="nil"/>
            </w:tcBorders>
            <w:shd w:val="clear" w:color="auto" w:fill="F2F2F2" w:themeFill="background1" w:themeFillShade="F2"/>
          </w:tcPr>
          <w:p w14:paraId="7761BF93" w14:textId="7083D329" w:rsidR="002E6A30" w:rsidRPr="00C97518" w:rsidRDefault="002E6A30" w:rsidP="003D00D5">
            <w:pPr>
              <w:pStyle w:val="TableBody"/>
              <w:keepNext/>
              <w:keepLines/>
              <w:jc w:val="center"/>
              <w:rPr>
                <w:rFonts w:cs="Arial"/>
              </w:rPr>
            </w:pPr>
            <w:r w:rsidRPr="00C97518">
              <w:rPr>
                <w:rFonts w:cs="Arial"/>
              </w:rPr>
              <w:t>-30</w:t>
            </w:r>
          </w:p>
        </w:tc>
        <w:tc>
          <w:tcPr>
            <w:tcW w:w="2295" w:type="dxa"/>
            <w:tcBorders>
              <w:top w:val="single" w:sz="4" w:space="0" w:color="auto"/>
              <w:left w:val="nil"/>
              <w:bottom w:val="single" w:sz="4" w:space="0" w:color="auto"/>
              <w:right w:val="nil"/>
            </w:tcBorders>
            <w:shd w:val="clear" w:color="auto" w:fill="F2F2F2" w:themeFill="background1" w:themeFillShade="F2"/>
          </w:tcPr>
          <w:p w14:paraId="7BFF6D60" w14:textId="77777777" w:rsidR="002E6A30" w:rsidRPr="00C97518" w:rsidRDefault="002E6A30" w:rsidP="003D00D5">
            <w:pPr>
              <w:pStyle w:val="TableBody"/>
              <w:keepNext/>
              <w:keepLines/>
              <w:jc w:val="center"/>
              <w:rPr>
                <w:rFonts w:cs="Arial"/>
              </w:rPr>
            </w:pPr>
            <w:r w:rsidRPr="00C97518">
              <w:rPr>
                <w:rFonts w:cs="Arial"/>
              </w:rPr>
              <w:t>1 MHz</w:t>
            </w:r>
          </w:p>
        </w:tc>
      </w:tr>
    </w:tbl>
    <w:p w14:paraId="6BEFD9D4" w14:textId="13D0BFD9" w:rsidR="00F13B89" w:rsidRPr="00C97518" w:rsidRDefault="00F13B89">
      <w:pPr>
        <w:spacing w:after="0" w:line="240" w:lineRule="auto"/>
        <w:rPr>
          <w:b/>
          <w:bCs/>
          <w:color w:val="323232"/>
          <w:szCs w:val="20"/>
        </w:rPr>
      </w:pPr>
    </w:p>
    <w:p w14:paraId="4A5CA99E" w14:textId="77777777" w:rsidR="00656396" w:rsidRPr="00C97518" w:rsidRDefault="00656396">
      <w:pPr>
        <w:spacing w:after="0" w:line="240" w:lineRule="auto"/>
        <w:rPr>
          <w:b/>
          <w:bCs/>
          <w:color w:val="323232"/>
          <w:szCs w:val="20"/>
        </w:rPr>
      </w:pPr>
    </w:p>
    <w:p w14:paraId="566FD2AC" w14:textId="3FC26800" w:rsidR="00B65E03" w:rsidRDefault="00B65E03">
      <w:pPr>
        <w:spacing w:after="0" w:line="240" w:lineRule="auto"/>
        <w:rPr>
          <w:b/>
          <w:bCs/>
          <w:color w:val="323232"/>
          <w:szCs w:val="20"/>
        </w:rPr>
      </w:pPr>
    </w:p>
    <w:p w14:paraId="2564DCEB" w14:textId="7099C6E2" w:rsidR="002E6A30" w:rsidRPr="00C97518" w:rsidRDefault="00F13B89" w:rsidP="00F13B89">
      <w:pPr>
        <w:pStyle w:val="ACMATableHeader"/>
        <w:numPr>
          <w:ilvl w:val="0"/>
          <w:numId w:val="0"/>
        </w:numPr>
      </w:pPr>
      <w:r w:rsidRPr="00C97518">
        <w:t>Table B2.2</w:t>
      </w:r>
      <w:r w:rsidR="002E6A30" w:rsidRPr="00C97518">
        <w:t>:</w:t>
      </w:r>
      <w:r w:rsidR="002E6A30" w:rsidRPr="00C97518">
        <w:tab/>
        <w:t>R</w:t>
      </w:r>
      <w:r w:rsidR="002E6A30" w:rsidRPr="00C97518">
        <w:rPr>
          <w:rFonts w:eastAsiaTheme="minorEastAsia"/>
          <w:szCs w:val="22"/>
          <w:lang w:eastAsia="en-US"/>
        </w:rPr>
        <w:t xml:space="preserve">adiocommunications </w:t>
      </w:r>
      <w:r w:rsidR="00ED2B8D" w:rsidRPr="00C97518">
        <w:rPr>
          <w:rFonts w:eastAsiaTheme="minorEastAsia"/>
          <w:szCs w:val="22"/>
          <w:lang w:eastAsia="en-US"/>
        </w:rPr>
        <w:t>receiver</w:t>
      </w:r>
      <w:r w:rsidR="002E6A30" w:rsidRPr="00C97518">
        <w:rPr>
          <w:rFonts w:eastAsiaTheme="minorEastAsia"/>
          <w:szCs w:val="22"/>
          <w:lang w:eastAsia="en-US"/>
        </w:rPr>
        <w:t xml:space="preserve"> spurious emission limits</w:t>
      </w:r>
      <w:r w:rsidR="002E6A30" w:rsidRPr="00C97518">
        <w:t xml:space="preserve"> </w:t>
      </w:r>
      <w:r w:rsidRPr="00C97518">
        <w:rPr>
          <w:rFonts w:eastAsiaTheme="minorEastAsia"/>
          <w:szCs w:val="22"/>
          <w:lang w:eastAsia="en-US"/>
        </w:rPr>
        <w:t xml:space="preserve">at antenna connector. </w:t>
      </w:r>
    </w:p>
    <w:tbl>
      <w:tblPr>
        <w:tblW w:w="86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2539"/>
        <w:gridCol w:w="3818"/>
        <w:gridCol w:w="2295"/>
      </w:tblGrid>
      <w:tr w:rsidR="002E6A30" w:rsidRPr="00C97518" w14:paraId="1595D480" w14:textId="77777777" w:rsidTr="003D00D5">
        <w:trPr>
          <w:tblHeader/>
        </w:trPr>
        <w:tc>
          <w:tcPr>
            <w:tcW w:w="2539" w:type="dxa"/>
            <w:tcBorders>
              <w:top w:val="single" w:sz="4" w:space="0" w:color="auto"/>
              <w:left w:val="nil"/>
              <w:bottom w:val="single" w:sz="4" w:space="0" w:color="auto"/>
              <w:right w:val="nil"/>
            </w:tcBorders>
            <w:shd w:val="clear" w:color="auto" w:fill="404040" w:themeFill="text1" w:themeFillTint="BF"/>
          </w:tcPr>
          <w:p w14:paraId="297BDE7E" w14:textId="77777777" w:rsidR="002E6A30" w:rsidRPr="00C97518" w:rsidRDefault="002E6A30" w:rsidP="003D00D5">
            <w:pPr>
              <w:pStyle w:val="TableHeading"/>
              <w:rPr>
                <w:color w:val="FFFFFF" w:themeColor="background1"/>
              </w:rPr>
            </w:pPr>
            <w:r w:rsidRPr="00C97518">
              <w:rPr>
                <w:color w:val="FFFFFF" w:themeColor="background1"/>
              </w:rPr>
              <w:t>Frequency range (f)</w:t>
            </w:r>
          </w:p>
        </w:tc>
        <w:tc>
          <w:tcPr>
            <w:tcW w:w="3818" w:type="dxa"/>
            <w:tcBorders>
              <w:top w:val="single" w:sz="4" w:space="0" w:color="auto"/>
              <w:left w:val="nil"/>
              <w:bottom w:val="single" w:sz="4" w:space="0" w:color="auto"/>
              <w:right w:val="nil"/>
            </w:tcBorders>
            <w:shd w:val="clear" w:color="auto" w:fill="404040" w:themeFill="text1" w:themeFillTint="BF"/>
          </w:tcPr>
          <w:p w14:paraId="10134751" w14:textId="77777777" w:rsidR="002E6A30" w:rsidRPr="00C97518" w:rsidRDefault="002E6A30" w:rsidP="003D00D5">
            <w:pPr>
              <w:pStyle w:val="TableHeading"/>
              <w:jc w:val="center"/>
              <w:rPr>
                <w:color w:val="FFFFFF" w:themeColor="background1"/>
              </w:rPr>
            </w:pPr>
            <w:r w:rsidRPr="00C97518">
              <w:rPr>
                <w:color w:val="FFFFFF" w:themeColor="background1"/>
              </w:rPr>
              <w:t>Radiated mean power</w:t>
            </w:r>
          </w:p>
          <w:p w14:paraId="4EA3A31A" w14:textId="77777777" w:rsidR="002E6A30" w:rsidRPr="00C97518" w:rsidRDefault="002E6A30" w:rsidP="003D00D5">
            <w:pPr>
              <w:pStyle w:val="TableHeading"/>
              <w:jc w:val="center"/>
              <w:rPr>
                <w:color w:val="FFFFFF" w:themeColor="background1"/>
              </w:rPr>
            </w:pPr>
            <w:r w:rsidRPr="00C97518">
              <w:rPr>
                <w:color w:val="FFFFFF" w:themeColor="background1"/>
              </w:rPr>
              <w:t>(dBm EIRP)</w:t>
            </w:r>
          </w:p>
        </w:tc>
        <w:tc>
          <w:tcPr>
            <w:tcW w:w="2295" w:type="dxa"/>
            <w:tcBorders>
              <w:top w:val="single" w:sz="4" w:space="0" w:color="auto"/>
              <w:left w:val="nil"/>
              <w:bottom w:val="single" w:sz="4" w:space="0" w:color="auto"/>
              <w:right w:val="nil"/>
            </w:tcBorders>
            <w:shd w:val="clear" w:color="auto" w:fill="404040" w:themeFill="text1" w:themeFillTint="BF"/>
          </w:tcPr>
          <w:p w14:paraId="76B4EA85" w14:textId="71CD73D3" w:rsidR="002E6A30" w:rsidRPr="00C97518" w:rsidRDefault="002E6A30" w:rsidP="003D00D5">
            <w:pPr>
              <w:pStyle w:val="TableHeading"/>
              <w:jc w:val="center"/>
              <w:rPr>
                <w:color w:val="FFFFFF" w:themeColor="background1"/>
              </w:rPr>
            </w:pPr>
            <w:r w:rsidRPr="00C97518">
              <w:rPr>
                <w:color w:val="FFFFFF" w:themeColor="background1"/>
              </w:rPr>
              <w:t xml:space="preserve">Specified </w:t>
            </w:r>
            <w:r w:rsidR="00550DAD" w:rsidRPr="00C97518">
              <w:rPr>
                <w:color w:val="FFFFFF" w:themeColor="background1"/>
              </w:rPr>
              <w:t>b</w:t>
            </w:r>
            <w:r w:rsidRPr="00C97518">
              <w:rPr>
                <w:color w:val="FFFFFF" w:themeColor="background1"/>
              </w:rPr>
              <w:t>andwidth</w:t>
            </w:r>
          </w:p>
        </w:tc>
      </w:tr>
      <w:tr w:rsidR="002E6A30" w:rsidRPr="00C97518" w14:paraId="0538A090" w14:textId="77777777" w:rsidTr="003D00D5">
        <w:trPr>
          <w:tblHeader/>
        </w:trPr>
        <w:tc>
          <w:tcPr>
            <w:tcW w:w="2539" w:type="dxa"/>
            <w:tcBorders>
              <w:top w:val="single" w:sz="4" w:space="0" w:color="auto"/>
              <w:left w:val="nil"/>
              <w:bottom w:val="single" w:sz="4" w:space="0" w:color="auto"/>
              <w:right w:val="nil"/>
            </w:tcBorders>
          </w:tcPr>
          <w:p w14:paraId="7671B789" w14:textId="77777777" w:rsidR="002E6A30" w:rsidRPr="00C97518" w:rsidRDefault="002E6A30" w:rsidP="003D00D5">
            <w:pPr>
              <w:pStyle w:val="TableBody"/>
              <w:keepNext/>
              <w:keepLines/>
              <w:rPr>
                <w:rFonts w:cs="Arial"/>
              </w:rPr>
            </w:pPr>
            <w:r w:rsidRPr="00C97518">
              <w:rPr>
                <w:rFonts w:cs="Arial"/>
              </w:rPr>
              <w:t>30 MHz ≤ f &lt; 1 GHz</w:t>
            </w:r>
          </w:p>
        </w:tc>
        <w:tc>
          <w:tcPr>
            <w:tcW w:w="3818" w:type="dxa"/>
            <w:tcBorders>
              <w:top w:val="single" w:sz="4" w:space="0" w:color="auto"/>
              <w:left w:val="nil"/>
              <w:bottom w:val="single" w:sz="4" w:space="0" w:color="auto"/>
              <w:right w:val="nil"/>
            </w:tcBorders>
          </w:tcPr>
          <w:p w14:paraId="039B0214" w14:textId="2F95AB05" w:rsidR="002E6A30" w:rsidRPr="00C97518" w:rsidRDefault="002E6A30" w:rsidP="003D00D5">
            <w:pPr>
              <w:pStyle w:val="TableBody"/>
              <w:keepNext/>
              <w:keepLines/>
              <w:jc w:val="center"/>
              <w:rPr>
                <w:rFonts w:cs="Arial"/>
              </w:rPr>
            </w:pPr>
            <w:r w:rsidRPr="00C97518">
              <w:rPr>
                <w:rFonts w:cs="Arial"/>
              </w:rPr>
              <w:t>-57</w:t>
            </w:r>
          </w:p>
        </w:tc>
        <w:tc>
          <w:tcPr>
            <w:tcW w:w="2295" w:type="dxa"/>
            <w:tcBorders>
              <w:top w:val="single" w:sz="4" w:space="0" w:color="auto"/>
              <w:left w:val="nil"/>
              <w:bottom w:val="single" w:sz="4" w:space="0" w:color="auto"/>
              <w:right w:val="nil"/>
            </w:tcBorders>
          </w:tcPr>
          <w:p w14:paraId="6CAB5DC1" w14:textId="77777777" w:rsidR="002E6A30" w:rsidRPr="00C97518" w:rsidRDefault="002E6A30" w:rsidP="003D00D5">
            <w:pPr>
              <w:pStyle w:val="TableBody"/>
              <w:keepNext/>
              <w:keepLines/>
              <w:jc w:val="center"/>
              <w:rPr>
                <w:rFonts w:cs="Arial"/>
              </w:rPr>
            </w:pPr>
            <w:r w:rsidRPr="00C97518">
              <w:rPr>
                <w:rFonts w:cs="Arial"/>
              </w:rPr>
              <w:t>100 kHz</w:t>
            </w:r>
          </w:p>
        </w:tc>
      </w:tr>
      <w:tr w:rsidR="002E6A30" w:rsidRPr="00C97518" w14:paraId="79C38404" w14:textId="77777777" w:rsidTr="003D00D5">
        <w:trPr>
          <w:trHeight w:val="96"/>
          <w:tblHeader/>
        </w:trPr>
        <w:tc>
          <w:tcPr>
            <w:tcW w:w="2539" w:type="dxa"/>
            <w:tcBorders>
              <w:top w:val="single" w:sz="4" w:space="0" w:color="auto"/>
              <w:left w:val="nil"/>
              <w:bottom w:val="single" w:sz="4" w:space="0" w:color="auto"/>
              <w:right w:val="nil"/>
            </w:tcBorders>
            <w:shd w:val="clear" w:color="auto" w:fill="F2F2F2" w:themeFill="background1" w:themeFillShade="F2"/>
          </w:tcPr>
          <w:p w14:paraId="68747A12" w14:textId="77777777" w:rsidR="002E6A30" w:rsidRPr="00C97518" w:rsidRDefault="002E6A30" w:rsidP="003D00D5">
            <w:pPr>
              <w:pStyle w:val="TableBody"/>
              <w:keepNext/>
              <w:keepLines/>
              <w:rPr>
                <w:rFonts w:cs="Arial"/>
              </w:rPr>
            </w:pPr>
            <w:r w:rsidRPr="00C97518">
              <w:rPr>
                <w:rFonts w:cs="Arial"/>
              </w:rPr>
              <w:t>1 MHz ≤ f &lt; 12.75 GHz</w:t>
            </w:r>
          </w:p>
        </w:tc>
        <w:tc>
          <w:tcPr>
            <w:tcW w:w="3818" w:type="dxa"/>
            <w:tcBorders>
              <w:top w:val="single" w:sz="4" w:space="0" w:color="auto"/>
              <w:left w:val="nil"/>
              <w:bottom w:val="single" w:sz="4" w:space="0" w:color="auto"/>
              <w:right w:val="nil"/>
            </w:tcBorders>
            <w:shd w:val="clear" w:color="auto" w:fill="F2F2F2" w:themeFill="background1" w:themeFillShade="F2"/>
          </w:tcPr>
          <w:p w14:paraId="577BE27F" w14:textId="1BCEA69A" w:rsidR="002E6A30" w:rsidRPr="00C97518" w:rsidRDefault="002E6A30" w:rsidP="003D00D5">
            <w:pPr>
              <w:pStyle w:val="TableBody"/>
              <w:keepNext/>
              <w:keepLines/>
              <w:jc w:val="center"/>
              <w:rPr>
                <w:rFonts w:cs="Arial"/>
              </w:rPr>
            </w:pPr>
            <w:r w:rsidRPr="00C97518">
              <w:rPr>
                <w:rFonts w:cs="Arial"/>
              </w:rPr>
              <w:t>-47</w:t>
            </w:r>
          </w:p>
        </w:tc>
        <w:tc>
          <w:tcPr>
            <w:tcW w:w="2295" w:type="dxa"/>
            <w:tcBorders>
              <w:top w:val="single" w:sz="4" w:space="0" w:color="auto"/>
              <w:left w:val="nil"/>
              <w:bottom w:val="single" w:sz="4" w:space="0" w:color="auto"/>
              <w:right w:val="nil"/>
            </w:tcBorders>
            <w:shd w:val="clear" w:color="auto" w:fill="F2F2F2" w:themeFill="background1" w:themeFillShade="F2"/>
          </w:tcPr>
          <w:p w14:paraId="46AD19CC" w14:textId="77777777" w:rsidR="002E6A30" w:rsidRPr="00C97518" w:rsidRDefault="002E6A30" w:rsidP="003D00D5">
            <w:pPr>
              <w:pStyle w:val="TableBody"/>
              <w:keepNext/>
              <w:keepLines/>
              <w:jc w:val="center"/>
              <w:rPr>
                <w:rFonts w:cs="Arial"/>
              </w:rPr>
            </w:pPr>
            <w:r w:rsidRPr="00C97518">
              <w:rPr>
                <w:rFonts w:cs="Arial"/>
              </w:rPr>
              <w:t>1 MHz</w:t>
            </w:r>
          </w:p>
        </w:tc>
      </w:tr>
    </w:tbl>
    <w:p w14:paraId="17480CE5" w14:textId="77777777" w:rsidR="005C1FDB" w:rsidRPr="00C97518" w:rsidRDefault="005C1FDB" w:rsidP="005C1FDB">
      <w:pPr>
        <w:spacing w:after="0" w:line="240" w:lineRule="auto"/>
      </w:pPr>
    </w:p>
    <w:p w14:paraId="591C3192" w14:textId="6EE08EF4" w:rsidR="00ED2B8D" w:rsidRPr="00C97518" w:rsidRDefault="00ED2B8D" w:rsidP="00ED2B8D">
      <w:pPr>
        <w:pStyle w:val="Heading2"/>
        <w:ind w:left="567" w:hanging="567"/>
      </w:pPr>
      <w:bookmarkStart w:id="14" w:name="_Toc437508117"/>
      <w:bookmarkStart w:id="15" w:name="_Toc437508422"/>
      <w:bookmarkStart w:id="16" w:name="_Toc437530156"/>
      <w:bookmarkStart w:id="17" w:name="_Toc461025767"/>
      <w:r w:rsidRPr="00C97518">
        <w:t>B</w:t>
      </w:r>
      <w:r w:rsidR="005C1FDB" w:rsidRPr="00C97518">
        <w:t>3</w:t>
      </w:r>
      <w:r w:rsidRPr="00C97518">
        <w:tab/>
        <w:t>Out-of-area e</w:t>
      </w:r>
      <w:r w:rsidRPr="00C97518">
        <w:rPr>
          <w:rFonts w:eastAsiaTheme="minorEastAsia"/>
          <w:szCs w:val="22"/>
          <w:lang w:eastAsia="en-US"/>
        </w:rPr>
        <w:t>mission limit</w:t>
      </w:r>
      <w:bookmarkEnd w:id="14"/>
      <w:bookmarkEnd w:id="15"/>
      <w:bookmarkEnd w:id="16"/>
      <w:bookmarkEnd w:id="17"/>
      <w:r w:rsidRPr="00C97518">
        <w:rPr>
          <w:rFonts w:eastAsiaTheme="minorEastAsia"/>
          <w:szCs w:val="22"/>
          <w:lang w:eastAsia="en-US"/>
        </w:rPr>
        <w:t xml:space="preserve"> </w:t>
      </w:r>
      <w:bookmarkStart w:id="18" w:name="_GoBack"/>
      <w:bookmarkEnd w:id="18"/>
    </w:p>
    <w:p w14:paraId="3D593D9A" w14:textId="45CA655E" w:rsidR="00E91BC8" w:rsidRPr="00C97518" w:rsidRDefault="00630FB1" w:rsidP="0027403F">
      <w:r w:rsidRPr="00C97518">
        <w:t>The current framework sets the horizontally radiated power for the out-of-area emission limit to 55 dBm per 30 kHz (equivalent to 77.2 dBm per 5 MHz)</w:t>
      </w:r>
      <w:r w:rsidR="00E91BC8" w:rsidRPr="00C97518">
        <w:t xml:space="preserve">. </w:t>
      </w:r>
    </w:p>
    <w:p w14:paraId="1465C879" w14:textId="25B7FA67" w:rsidR="007C4B6F" w:rsidRDefault="007C4B6F" w:rsidP="007C4B6F">
      <w:r>
        <w:t xml:space="preserve">Although, at present, typical base stations operate with EIRPs in the range of 62-68 dBm/5MHz, this is likely to change in the future. Base stations are likely to operate at higher EIRPs when the following changes start being adopted: </w:t>
      </w:r>
      <w:r w:rsidRPr="00C97518">
        <w:t xml:space="preserve">MIMO </w:t>
      </w:r>
      <w:r>
        <w:t xml:space="preserve">(4x4 and higher </w:t>
      </w:r>
      <w:r w:rsidR="00023B78">
        <w:t xml:space="preserve">order </w:t>
      </w:r>
      <w:r>
        <w:t>schemes)</w:t>
      </w:r>
      <w:r w:rsidRPr="00C97518">
        <w:t>, beam forming</w:t>
      </w:r>
      <w:r>
        <w:t>,</w:t>
      </w:r>
      <w:r w:rsidRPr="00C97518">
        <w:t xml:space="preserve"> higher gain antenna deployments </w:t>
      </w:r>
      <w:r>
        <w:t>and higher transmit powers (particularly in regional/remote areas)</w:t>
      </w:r>
      <w:r w:rsidRPr="00C97518">
        <w:t xml:space="preserve">. </w:t>
      </w:r>
    </w:p>
    <w:p w14:paraId="728384DC" w14:textId="77777777" w:rsidR="007C4B6F" w:rsidRDefault="007C4B6F" w:rsidP="007C4B6F">
      <w:r>
        <w:t xml:space="preserve">An example EIRP calculation for a system employing what are currently considered standard parameters is given below.  </w:t>
      </w:r>
    </w:p>
    <w:p w14:paraId="527C1E52" w14:textId="79D2D5C8" w:rsidR="007C4B6F" w:rsidRDefault="007C4B6F" w:rsidP="00C06149">
      <w:pPr>
        <w:spacing w:after="120"/>
        <w:rPr>
          <w:i/>
        </w:rPr>
      </w:pPr>
      <w:r>
        <w:tab/>
      </w:r>
      <w:r>
        <w:tab/>
      </w:r>
      <w:r>
        <w:rPr>
          <w:i/>
        </w:rPr>
        <w:t>EIRP</w:t>
      </w:r>
      <w:r>
        <w:rPr>
          <w:i/>
          <w:vertAlign w:val="subscript"/>
        </w:rPr>
        <w:t>max</w:t>
      </w:r>
      <w:r>
        <w:rPr>
          <w:i/>
        </w:rPr>
        <w:t xml:space="preserve"> </w:t>
      </w:r>
      <w:r>
        <w:rPr>
          <w:i/>
        </w:rPr>
        <w:tab/>
        <w:t>= (G</w:t>
      </w:r>
      <w:r>
        <w:rPr>
          <w:i/>
          <w:vertAlign w:val="subscript"/>
        </w:rPr>
        <w:t xml:space="preserve">tx_max </w:t>
      </w:r>
      <w:r>
        <w:rPr>
          <w:i/>
        </w:rPr>
        <w:t>+ P</w:t>
      </w:r>
      <w:r>
        <w:rPr>
          <w:i/>
          <w:vertAlign w:val="subscript"/>
        </w:rPr>
        <w:t>tx_max</w:t>
      </w:r>
      <w:r>
        <w:rPr>
          <w:i/>
        </w:rPr>
        <w:t xml:space="preserve">) + 10log(Number of Antennas) </w:t>
      </w:r>
      <w:r>
        <w:rPr>
          <w:i/>
        </w:rPr>
        <w:tab/>
      </w:r>
      <w:r>
        <w:rPr>
          <w:i/>
        </w:rPr>
        <w:tab/>
      </w:r>
      <w:r>
        <w:rPr>
          <w:i/>
        </w:rPr>
        <w:tab/>
      </w:r>
      <w:r>
        <w:rPr>
          <w:i/>
        </w:rPr>
        <w:tab/>
      </w:r>
      <w:r>
        <w:rPr>
          <w:i/>
        </w:rPr>
        <w:tab/>
      </w:r>
      <w:r>
        <w:rPr>
          <w:i/>
        </w:rPr>
        <w:tab/>
      </w:r>
      <w:r>
        <w:rPr>
          <w:i/>
        </w:rPr>
        <w:tab/>
      </w:r>
    </w:p>
    <w:p w14:paraId="3A8CF0FF" w14:textId="7EA422CD" w:rsidR="007C4B6F" w:rsidRDefault="007C4B6F" w:rsidP="00C06149">
      <w:pPr>
        <w:spacing w:after="120"/>
        <w:ind w:left="1420"/>
        <w:rPr>
          <w:i/>
        </w:rPr>
      </w:pPr>
      <w:r>
        <w:rPr>
          <w:i/>
        </w:rPr>
        <w:t>= (19 dBi + 43 dBm/5MHz) + 10log(1)</w:t>
      </w:r>
    </w:p>
    <w:p w14:paraId="472396BC" w14:textId="286065B3" w:rsidR="007C4B6F" w:rsidRPr="00C06149" w:rsidRDefault="007C4B6F" w:rsidP="00C06149">
      <w:pPr>
        <w:spacing w:after="120"/>
        <w:rPr>
          <w:i/>
        </w:rPr>
      </w:pPr>
      <w:r>
        <w:rPr>
          <w:i/>
        </w:rPr>
        <w:tab/>
      </w:r>
      <w:r>
        <w:rPr>
          <w:i/>
        </w:rPr>
        <w:tab/>
      </w:r>
      <w:r>
        <w:rPr>
          <w:i/>
        </w:rPr>
        <w:tab/>
      </w:r>
      <w:r>
        <w:rPr>
          <w:i/>
        </w:rPr>
        <w:tab/>
      </w:r>
      <w:r>
        <w:rPr>
          <w:i/>
        </w:rPr>
        <w:tab/>
        <w:t>= 62 dBm/5 MHz</w:t>
      </w:r>
    </w:p>
    <w:p w14:paraId="152A4A3D" w14:textId="77777777" w:rsidR="007C4B6F" w:rsidRDefault="007C4B6F" w:rsidP="00C06149">
      <w:pPr>
        <w:spacing w:after="120"/>
      </w:pPr>
    </w:p>
    <w:p w14:paraId="248E74E5" w14:textId="77777777" w:rsidR="007C4B6F" w:rsidRDefault="007C4B6F" w:rsidP="00C06149">
      <w:pPr>
        <w:spacing w:after="120"/>
      </w:pPr>
      <w:r>
        <w:t xml:space="preserve">An example EIRP calculation for a system employing 8x8 MIMO and a 46 dBm/5MHz transmit power is given below.  </w:t>
      </w:r>
    </w:p>
    <w:p w14:paraId="08273569" w14:textId="77777777" w:rsidR="007C4B6F" w:rsidRDefault="007C4B6F" w:rsidP="00C06149">
      <w:pPr>
        <w:spacing w:after="120"/>
        <w:rPr>
          <w:i/>
        </w:rPr>
      </w:pPr>
      <w:r>
        <w:tab/>
      </w:r>
      <w:r>
        <w:tab/>
      </w:r>
      <w:r>
        <w:rPr>
          <w:i/>
        </w:rPr>
        <w:t>EIRP</w:t>
      </w:r>
      <w:r>
        <w:rPr>
          <w:i/>
          <w:vertAlign w:val="subscript"/>
        </w:rPr>
        <w:t>max</w:t>
      </w:r>
      <w:r>
        <w:rPr>
          <w:i/>
        </w:rPr>
        <w:t xml:space="preserve"> </w:t>
      </w:r>
      <w:r>
        <w:rPr>
          <w:i/>
        </w:rPr>
        <w:tab/>
        <w:t>= (G</w:t>
      </w:r>
      <w:r>
        <w:rPr>
          <w:i/>
          <w:vertAlign w:val="subscript"/>
        </w:rPr>
        <w:t xml:space="preserve">tx_max </w:t>
      </w:r>
      <w:r>
        <w:rPr>
          <w:i/>
        </w:rPr>
        <w:t>+ P</w:t>
      </w:r>
      <w:r>
        <w:rPr>
          <w:i/>
          <w:vertAlign w:val="subscript"/>
        </w:rPr>
        <w:t>tx_max</w:t>
      </w:r>
      <w:r>
        <w:rPr>
          <w:i/>
        </w:rPr>
        <w:t xml:space="preserve">) + 10log(Number of Antennas) </w:t>
      </w:r>
      <w:r>
        <w:rPr>
          <w:i/>
        </w:rPr>
        <w:tab/>
      </w:r>
      <w:r>
        <w:rPr>
          <w:i/>
        </w:rPr>
        <w:tab/>
      </w:r>
      <w:r>
        <w:rPr>
          <w:i/>
        </w:rPr>
        <w:tab/>
      </w:r>
      <w:r>
        <w:rPr>
          <w:i/>
        </w:rPr>
        <w:tab/>
      </w:r>
      <w:r>
        <w:rPr>
          <w:i/>
        </w:rPr>
        <w:tab/>
      </w:r>
    </w:p>
    <w:p w14:paraId="6338A3CE" w14:textId="77777777" w:rsidR="007C4B6F" w:rsidRDefault="007C4B6F" w:rsidP="00C06149">
      <w:pPr>
        <w:spacing w:after="120"/>
        <w:ind w:left="1136" w:firstLine="284"/>
        <w:rPr>
          <w:i/>
        </w:rPr>
      </w:pPr>
      <w:r>
        <w:rPr>
          <w:i/>
        </w:rPr>
        <w:t>= (19 dBi + 46 dBm/5MHz) + 10log(8)</w:t>
      </w:r>
    </w:p>
    <w:p w14:paraId="4EFD9D2C" w14:textId="5054E169" w:rsidR="007C4B6F" w:rsidRPr="00C06149" w:rsidRDefault="007C4B6F" w:rsidP="007C4B6F">
      <w:pPr>
        <w:rPr>
          <w:i/>
        </w:rPr>
      </w:pPr>
      <w:r>
        <w:rPr>
          <w:i/>
        </w:rPr>
        <w:tab/>
      </w:r>
      <w:r>
        <w:rPr>
          <w:i/>
        </w:rPr>
        <w:tab/>
      </w:r>
      <w:r>
        <w:rPr>
          <w:i/>
        </w:rPr>
        <w:tab/>
      </w:r>
      <w:r>
        <w:rPr>
          <w:i/>
        </w:rPr>
        <w:tab/>
      </w:r>
      <w:r>
        <w:rPr>
          <w:i/>
        </w:rPr>
        <w:tab/>
        <w:t>= 74 dBm/5 MHz</w:t>
      </w:r>
    </w:p>
    <w:p w14:paraId="72677C58" w14:textId="28611E6A" w:rsidR="007C4B6F" w:rsidRDefault="007C4B6F" w:rsidP="0027403F">
      <w:r>
        <w:t>In order to support the deployment of new technologies in the future, i</w:t>
      </w:r>
      <w:r w:rsidR="00513E76" w:rsidRPr="00C97518">
        <w:t xml:space="preserve">t is proposed that </w:t>
      </w:r>
      <w:r w:rsidR="00656396" w:rsidRPr="00C97518">
        <w:t>the current out-of-area emission limit be maintained</w:t>
      </w:r>
      <w:r w:rsidR="00A644D6">
        <w:t>. To further simplify the requirement, it is further proposed that this level be defined</w:t>
      </w:r>
      <w:r w:rsidR="00126FD3">
        <w:t xml:space="preserve"> as </w:t>
      </w:r>
      <w:r>
        <w:t xml:space="preserve">the </w:t>
      </w:r>
      <w:r w:rsidR="00126FD3">
        <w:t xml:space="preserve">maximum </w:t>
      </w:r>
      <w:r w:rsidR="00A644D6">
        <w:t>EIRP</w:t>
      </w:r>
      <w:r w:rsidR="00126FD3">
        <w:t xml:space="preserve"> in any direction (rather than a horizontally radiated power)</w:t>
      </w:r>
      <w:r w:rsidR="00656396" w:rsidRPr="00C97518">
        <w:t xml:space="preserve">, </w:t>
      </w:r>
      <w:r w:rsidR="00A644D6">
        <w:t xml:space="preserve">and </w:t>
      </w:r>
      <w:r w:rsidR="00656396" w:rsidRPr="00C97518">
        <w:t xml:space="preserve">a 5 MHz reference </w:t>
      </w:r>
      <w:r w:rsidR="00656396" w:rsidRPr="00C97518">
        <w:lastRenderedPageBreak/>
        <w:t>bandwidth</w:t>
      </w:r>
      <w:r w:rsidR="00D21E6B">
        <w:t xml:space="preserve"> </w:t>
      </w:r>
      <w:r w:rsidR="00A644D6">
        <w:t xml:space="preserve">be adopted </w:t>
      </w:r>
      <w:r w:rsidR="00D21E6B">
        <w:t xml:space="preserve">(i.e. as </w:t>
      </w:r>
      <w:r w:rsidR="00D21E6B" w:rsidRPr="00C97518">
        <w:t>77.2 dBm per 5 MHz</w:t>
      </w:r>
      <w:r w:rsidR="00D21E6B">
        <w:t>)</w:t>
      </w:r>
      <w:r w:rsidR="00A644D6">
        <w:t xml:space="preserve"> which better reflects operating bandwidths of current mobile broadband technologies</w:t>
      </w:r>
      <w:r w:rsidR="00656396" w:rsidRPr="00C97518">
        <w:t xml:space="preserve">. </w:t>
      </w:r>
    </w:p>
    <w:p w14:paraId="5F9DACC6" w14:textId="77777777" w:rsidR="00704306" w:rsidRPr="00C06149" w:rsidRDefault="00704306" w:rsidP="0027403F">
      <w:pPr>
        <w:rPr>
          <w:i/>
        </w:rPr>
      </w:pPr>
    </w:p>
    <w:p w14:paraId="25288F98" w14:textId="2BFE5704" w:rsidR="005C1FDB" w:rsidRPr="00C97518" w:rsidRDefault="005C1FDB" w:rsidP="005C1FDB">
      <w:pPr>
        <w:pStyle w:val="Heading2"/>
        <w:ind w:left="567" w:hanging="567"/>
      </w:pPr>
      <w:bookmarkStart w:id="19" w:name="_Toc437508118"/>
      <w:bookmarkStart w:id="20" w:name="_Toc437508423"/>
      <w:bookmarkStart w:id="21" w:name="_Toc437530157"/>
      <w:bookmarkStart w:id="22" w:name="_Toc461025768"/>
      <w:r w:rsidRPr="00C97518">
        <w:t>B4</w:t>
      </w:r>
      <w:r w:rsidRPr="00C97518">
        <w:tab/>
        <w:t>Exemption from registration requirements</w:t>
      </w:r>
      <w:bookmarkEnd w:id="19"/>
      <w:bookmarkEnd w:id="20"/>
      <w:bookmarkEnd w:id="21"/>
      <w:bookmarkEnd w:id="22"/>
      <w:r w:rsidRPr="00C97518">
        <w:rPr>
          <w:rFonts w:eastAsiaTheme="minorEastAsia"/>
          <w:szCs w:val="22"/>
          <w:lang w:eastAsia="en-US"/>
        </w:rPr>
        <w:t xml:space="preserve"> </w:t>
      </w:r>
    </w:p>
    <w:p w14:paraId="0C9141E5" w14:textId="0DC93970" w:rsidR="005C1FDB" w:rsidRPr="00C97518" w:rsidRDefault="005C1FDB" w:rsidP="0027403F">
      <w:r w:rsidRPr="00C97518">
        <w:t xml:space="preserve">It is proposed that </w:t>
      </w:r>
      <w:r w:rsidR="00C5480D" w:rsidRPr="00C97518">
        <w:t xml:space="preserve">transmitters operating </w:t>
      </w:r>
      <w:r w:rsidRPr="00C97518">
        <w:t>in the 2 GHz band with a maximum EIRP of less than or equal to 25 dBm per occupied bandwidth</w:t>
      </w:r>
      <w:r w:rsidR="00C5480D" w:rsidRPr="00C97518">
        <w:t xml:space="preserve"> be exempt from registration requirements</w:t>
      </w:r>
      <w:r w:rsidRPr="00C97518">
        <w:t xml:space="preserve">. This is based on the </w:t>
      </w:r>
      <w:r w:rsidR="0027403F" w:rsidRPr="00C97518">
        <w:t>user equipment (</w:t>
      </w:r>
      <w:r w:rsidR="00FE4954" w:rsidRPr="00C97518">
        <w:t>UE</w:t>
      </w:r>
      <w:r w:rsidR="0027403F" w:rsidRPr="00C97518">
        <w:t>)</w:t>
      </w:r>
      <w:r w:rsidR="00FE4954" w:rsidRPr="00C97518">
        <w:t xml:space="preserve"> maximum output power of 23 dBm plus the 2</w:t>
      </w:r>
      <w:r w:rsidR="00C5480D" w:rsidRPr="00C97518">
        <w:t> </w:t>
      </w:r>
      <w:r w:rsidR="00FE4954" w:rsidRPr="00C97518">
        <w:t>dB tolerance defined in 3GPP 36.101</w:t>
      </w:r>
      <w:r w:rsidR="00550DAD" w:rsidRPr="00C97518">
        <w:t>.</w:t>
      </w:r>
      <w:r w:rsidR="00FE4954" w:rsidRPr="00C97518">
        <w:rPr>
          <w:rStyle w:val="FootnoteReference"/>
        </w:rPr>
        <w:footnoteReference w:id="11"/>
      </w:r>
      <w:r w:rsidRPr="00C97518">
        <w:t xml:space="preserve"> </w:t>
      </w:r>
      <w:r w:rsidR="00C5480D" w:rsidRPr="00C97518">
        <w:t xml:space="preserve">Previously, this exemption applied only to mobile terminals and indoor fixed terminals. The exemption now extends to all transmitters below </w:t>
      </w:r>
      <w:r w:rsidR="0079278B" w:rsidRPr="00C97518">
        <w:t xml:space="preserve">this </w:t>
      </w:r>
      <w:r w:rsidR="00C5480D" w:rsidRPr="00C97518">
        <w:t>EIRP</w:t>
      </w:r>
      <w:r w:rsidR="00550DAD" w:rsidRPr="00C97518">
        <w:t>,</w:t>
      </w:r>
      <w:r w:rsidR="00C5480D" w:rsidRPr="00C97518">
        <w:t xml:space="preserve"> including outdoor fixed transmitters</w:t>
      </w:r>
      <w:r w:rsidR="00C077DB" w:rsidRPr="00C97518">
        <w:t xml:space="preserve"> such as </w:t>
      </w:r>
      <w:r w:rsidR="00C5480D" w:rsidRPr="00C97518">
        <w:t>femtocells</w:t>
      </w:r>
      <w:r w:rsidR="00126FD3">
        <w:t xml:space="preserve"> or repeaters</w:t>
      </w:r>
      <w:r w:rsidR="00C5480D" w:rsidRPr="00C97518">
        <w:t xml:space="preserve">.  </w:t>
      </w:r>
    </w:p>
    <w:p w14:paraId="11921A90" w14:textId="1E1201A5" w:rsidR="005C1FDB" w:rsidRPr="00C97518" w:rsidRDefault="00FE4954" w:rsidP="007169B9">
      <w:pPr>
        <w:spacing w:after="0" w:line="240" w:lineRule="auto"/>
      </w:pPr>
      <w:r w:rsidRPr="00C97518">
        <w:t>It is proposed that HAPS transmitters</w:t>
      </w:r>
      <w:r w:rsidR="00C5480D" w:rsidRPr="00C97518">
        <w:t xml:space="preserve"> operating in the 2 GHz band</w:t>
      </w:r>
      <w:r w:rsidRPr="00C97518">
        <w:t xml:space="preserve"> also be exempted from registration</w:t>
      </w:r>
      <w:r w:rsidR="00C5480D" w:rsidRPr="00C97518">
        <w:t xml:space="preserve"> if the </w:t>
      </w:r>
      <w:r w:rsidR="005C1FDB" w:rsidRPr="00C97518">
        <w:t>emissions outside any frequency band-geographical area combination of the licence</w:t>
      </w:r>
      <w:r w:rsidR="00C5480D" w:rsidRPr="00C97518">
        <w:t xml:space="preserve"> do</w:t>
      </w:r>
      <w:r w:rsidR="005C1FDB" w:rsidRPr="00C97518">
        <w:t xml:space="preserve"> not exceed a power flux density of -12</w:t>
      </w:r>
      <w:r w:rsidR="00656396" w:rsidRPr="00C97518">
        <w:t>1.5</w:t>
      </w:r>
      <w:r w:rsidR="005C1FDB" w:rsidRPr="00C97518">
        <w:t xml:space="preserve"> dBW/m</w:t>
      </w:r>
      <w:r w:rsidR="005C1FDB" w:rsidRPr="00C97518">
        <w:rPr>
          <w:vertAlign w:val="superscript"/>
        </w:rPr>
        <w:t>2</w:t>
      </w:r>
      <w:r w:rsidR="005C1FDB" w:rsidRPr="00C97518">
        <w:t xml:space="preserve">/MHz at any point on the </w:t>
      </w:r>
      <w:r w:rsidR="00C5480D" w:rsidRPr="00C97518">
        <w:t>E</w:t>
      </w:r>
      <w:r w:rsidR="005C1FDB" w:rsidRPr="00C97518">
        <w:t xml:space="preserve">arth’s surface. </w:t>
      </w:r>
      <w:r w:rsidR="00656396" w:rsidRPr="00C97518">
        <w:rPr>
          <w:rFonts w:cs="Arial"/>
          <w:bCs/>
        </w:rPr>
        <w:t xml:space="preserve">This </w:t>
      </w:r>
      <w:r w:rsidR="00656396" w:rsidRPr="00C97518">
        <w:t>matches the level defined in ITU-R Recommendation M.1456.</w:t>
      </w:r>
    </w:p>
    <w:p w14:paraId="0743B9BC" w14:textId="2E406EDA" w:rsidR="006A5688" w:rsidRPr="00C97518" w:rsidRDefault="006A5688" w:rsidP="006A5688">
      <w:pPr>
        <w:pStyle w:val="Heading1"/>
      </w:pPr>
      <w:bookmarkStart w:id="23" w:name="_Toc461025769"/>
      <w:r w:rsidRPr="00C97518">
        <w:lastRenderedPageBreak/>
        <w:t>Attachment C</w:t>
      </w:r>
      <w:r w:rsidR="00550DAD" w:rsidRPr="00C97518">
        <w:t>—</w:t>
      </w:r>
      <w:r w:rsidRPr="00C97518">
        <w:t>Proposed changes to the section 145 determination for the 2 GHz</w:t>
      </w:r>
      <w:r w:rsidR="0015484B" w:rsidRPr="00C97518">
        <w:t xml:space="preserve"> </w:t>
      </w:r>
      <w:r w:rsidRPr="00C97518">
        <w:t>band</w:t>
      </w:r>
      <w:bookmarkEnd w:id="23"/>
      <w:r w:rsidRPr="00C97518">
        <w:t xml:space="preserve"> </w:t>
      </w:r>
    </w:p>
    <w:p w14:paraId="4251B4B7" w14:textId="5C5E8E26" w:rsidR="004B0E26" w:rsidRPr="00C97518" w:rsidRDefault="004B0E26" w:rsidP="0027403F">
      <w:pPr>
        <w:spacing w:after="80"/>
        <w:rPr>
          <w:rFonts w:cs="Arial"/>
          <w:szCs w:val="20"/>
        </w:rPr>
      </w:pPr>
      <w:r w:rsidRPr="00C97518">
        <w:t xml:space="preserve">This attachment looks in detail at the following items of the technical framework that </w:t>
      </w:r>
      <w:r w:rsidRPr="00C97518">
        <w:rPr>
          <w:rFonts w:cs="Arial"/>
          <w:szCs w:val="20"/>
        </w:rPr>
        <w:t xml:space="preserve">are used to develop the section 145 </w:t>
      </w:r>
      <w:r w:rsidR="002E3EB5" w:rsidRPr="00C97518">
        <w:rPr>
          <w:rFonts w:cs="Arial"/>
          <w:szCs w:val="20"/>
        </w:rPr>
        <w:t xml:space="preserve">Unacceptable levels of interference </w:t>
      </w:r>
      <w:r w:rsidRPr="00C97518">
        <w:rPr>
          <w:rFonts w:cs="Arial"/>
          <w:szCs w:val="20"/>
        </w:rPr>
        <w:t>determination</w:t>
      </w:r>
      <w:r w:rsidR="002E3EB5" w:rsidRPr="00C97518">
        <w:rPr>
          <w:rFonts w:cs="Arial"/>
          <w:szCs w:val="20"/>
        </w:rPr>
        <w:t xml:space="preserve"> (section 145 determination)</w:t>
      </w:r>
      <w:r w:rsidRPr="00C97518">
        <w:rPr>
          <w:rFonts w:cs="Arial"/>
          <w:szCs w:val="20"/>
        </w:rPr>
        <w:t>:</w:t>
      </w:r>
    </w:p>
    <w:p w14:paraId="538E9F28" w14:textId="77777777" w:rsidR="004B0E26" w:rsidRPr="00C97518" w:rsidRDefault="004B0E26" w:rsidP="00CF461F">
      <w:pPr>
        <w:pStyle w:val="ListBullet"/>
        <w:numPr>
          <w:ilvl w:val="0"/>
          <w:numId w:val="1"/>
        </w:numPr>
      </w:pPr>
      <w:r w:rsidRPr="00C97518">
        <w:t>system models</w:t>
      </w:r>
    </w:p>
    <w:p w14:paraId="217C90BC" w14:textId="77777777" w:rsidR="004B0E26" w:rsidRPr="00C97518" w:rsidRDefault="004B0E26" w:rsidP="00CF461F">
      <w:pPr>
        <w:pStyle w:val="ListBullet"/>
        <w:numPr>
          <w:ilvl w:val="0"/>
          <w:numId w:val="1"/>
        </w:numPr>
      </w:pPr>
      <w:r w:rsidRPr="00C97518">
        <w:t>level of protection</w:t>
      </w:r>
    </w:p>
    <w:p w14:paraId="42C92F8C" w14:textId="77777777" w:rsidR="004B0E26" w:rsidRPr="00C97518" w:rsidRDefault="004B0E26" w:rsidP="00CF461F">
      <w:pPr>
        <w:pStyle w:val="ListBullet"/>
        <w:numPr>
          <w:ilvl w:val="0"/>
          <w:numId w:val="1"/>
        </w:numPr>
      </w:pPr>
      <w:r w:rsidRPr="00C97518">
        <w:t>propagation modelling</w:t>
      </w:r>
    </w:p>
    <w:p w14:paraId="3B31F0FD" w14:textId="77777777" w:rsidR="004B0E26" w:rsidRPr="00C97518" w:rsidRDefault="004B0E26" w:rsidP="00CF461F">
      <w:pPr>
        <w:pStyle w:val="ListBullet"/>
        <w:numPr>
          <w:ilvl w:val="0"/>
          <w:numId w:val="1"/>
        </w:numPr>
      </w:pPr>
      <w:r w:rsidRPr="00C97518">
        <w:t>groups of transmitters and receivers</w:t>
      </w:r>
    </w:p>
    <w:p w14:paraId="05F6FFAB" w14:textId="77777777" w:rsidR="004B0E26" w:rsidRPr="00C97518" w:rsidRDefault="004B0E26" w:rsidP="00CF461F">
      <w:pPr>
        <w:pStyle w:val="ListBullet"/>
        <w:numPr>
          <w:ilvl w:val="0"/>
          <w:numId w:val="1"/>
        </w:numPr>
      </w:pPr>
      <w:r w:rsidRPr="00C97518">
        <w:t>device boundary criterion</w:t>
      </w:r>
    </w:p>
    <w:p w14:paraId="6FBAE9DB" w14:textId="4FBD4D3A" w:rsidR="004B0E26" w:rsidRPr="00C97518" w:rsidRDefault="004B0E26" w:rsidP="00CF461F">
      <w:pPr>
        <w:pStyle w:val="ListBullet"/>
        <w:numPr>
          <w:ilvl w:val="0"/>
          <w:numId w:val="1"/>
        </w:numPr>
      </w:pPr>
      <w:r w:rsidRPr="00C97518">
        <w:t>deployment constraints</w:t>
      </w:r>
      <w:r w:rsidR="00550DAD" w:rsidRPr="00C97518">
        <w:t>.</w:t>
      </w:r>
    </w:p>
    <w:p w14:paraId="5613CE97" w14:textId="2F6ACD61" w:rsidR="004B0E26" w:rsidRPr="00C97518" w:rsidRDefault="00EE5FB9" w:rsidP="00473CE6">
      <w:pPr>
        <w:pStyle w:val="Heading2"/>
        <w:ind w:left="567" w:hanging="567"/>
      </w:pPr>
      <w:bookmarkStart w:id="24" w:name="_Toc437508121"/>
      <w:bookmarkStart w:id="25" w:name="_Toc437508426"/>
      <w:bookmarkStart w:id="26" w:name="_Toc437530159"/>
      <w:bookmarkStart w:id="27" w:name="_Toc461025770"/>
      <w:r w:rsidRPr="00C97518">
        <w:t>C</w:t>
      </w:r>
      <w:r w:rsidR="00BF7E38" w:rsidRPr="00C97518">
        <w:t xml:space="preserve">1 </w:t>
      </w:r>
      <w:r w:rsidR="00473CE6" w:rsidRPr="00C97518">
        <w:tab/>
      </w:r>
      <w:r w:rsidR="00BF7E38" w:rsidRPr="00C97518">
        <w:t>System model</w:t>
      </w:r>
      <w:bookmarkEnd w:id="24"/>
      <w:bookmarkEnd w:id="25"/>
      <w:bookmarkEnd w:id="26"/>
      <w:bookmarkEnd w:id="27"/>
    </w:p>
    <w:p w14:paraId="50E95231" w14:textId="775C2629" w:rsidR="004B0E26" w:rsidRPr="00C97518" w:rsidRDefault="004B0E26" w:rsidP="004B0E26">
      <w:r w:rsidRPr="00C97518">
        <w:t xml:space="preserve">System models are used to simplify the analysis of the technical framework with regard to the reference technologies. The reference technologies applicable to the 2 GHz band are shown in </w:t>
      </w:r>
      <w:r w:rsidR="00CF461F" w:rsidRPr="00C97518">
        <w:t xml:space="preserve">Table </w:t>
      </w:r>
      <w:r w:rsidR="00EE5FB9" w:rsidRPr="00C97518">
        <w:t>C</w:t>
      </w:r>
      <w:r w:rsidR="00CF461F" w:rsidRPr="00C97518">
        <w:t>1</w:t>
      </w:r>
      <w:r w:rsidRPr="00C97518">
        <w:t xml:space="preserve">. </w:t>
      </w:r>
    </w:p>
    <w:p w14:paraId="31B8CF0F" w14:textId="598B72D5" w:rsidR="00CF461F" w:rsidRPr="00C97518" w:rsidRDefault="00CF461F" w:rsidP="00CF461F">
      <w:pPr>
        <w:pStyle w:val="ACMATableHeader"/>
        <w:numPr>
          <w:ilvl w:val="0"/>
          <w:numId w:val="0"/>
        </w:numPr>
        <w:ind w:left="964" w:hanging="964"/>
      </w:pPr>
      <w:r w:rsidRPr="00C97518">
        <w:t xml:space="preserve">Table </w:t>
      </w:r>
      <w:r w:rsidR="00EE5FB9" w:rsidRPr="00C97518">
        <w:t>C</w:t>
      </w:r>
      <w:r w:rsidRPr="00C97518">
        <w:t>1:</w:t>
      </w:r>
      <w:r w:rsidRPr="00C97518">
        <w:tab/>
        <w:t>Reference technologies</w:t>
      </w:r>
    </w:p>
    <w:tbl>
      <w:tblPr>
        <w:tblW w:w="8364"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Pr>
      <w:tblGrid>
        <w:gridCol w:w="3261"/>
        <w:gridCol w:w="5103"/>
      </w:tblGrid>
      <w:tr w:rsidR="00CF461F" w:rsidRPr="00C97518" w14:paraId="6850460D" w14:textId="77777777" w:rsidTr="00CF461F">
        <w:trPr>
          <w:tblHeader/>
        </w:trPr>
        <w:tc>
          <w:tcPr>
            <w:tcW w:w="3261" w:type="dxa"/>
            <w:tcBorders>
              <w:top w:val="single" w:sz="4" w:space="0" w:color="auto"/>
              <w:left w:val="nil"/>
              <w:bottom w:val="single" w:sz="4" w:space="0" w:color="auto"/>
              <w:right w:val="nil"/>
            </w:tcBorders>
            <w:shd w:val="clear" w:color="auto" w:fill="404040" w:themeFill="text1" w:themeFillTint="BF"/>
          </w:tcPr>
          <w:p w14:paraId="788BE328" w14:textId="587F2679" w:rsidR="00CF461F" w:rsidRPr="00C97518" w:rsidRDefault="00CF461F" w:rsidP="00CF461F">
            <w:pPr>
              <w:pStyle w:val="TableHeading"/>
              <w:rPr>
                <w:color w:val="FFFFFF" w:themeColor="background1"/>
              </w:rPr>
            </w:pPr>
            <w:r w:rsidRPr="00C97518">
              <w:rPr>
                <w:color w:val="FFFFFF" w:themeColor="background1"/>
              </w:rPr>
              <w:t>Reference technology</w:t>
            </w:r>
          </w:p>
        </w:tc>
        <w:tc>
          <w:tcPr>
            <w:tcW w:w="5103" w:type="dxa"/>
            <w:tcBorders>
              <w:top w:val="single" w:sz="4" w:space="0" w:color="auto"/>
              <w:left w:val="nil"/>
              <w:bottom w:val="single" w:sz="4" w:space="0" w:color="auto"/>
              <w:right w:val="nil"/>
            </w:tcBorders>
            <w:shd w:val="clear" w:color="auto" w:fill="404040" w:themeFill="text1" w:themeFillTint="BF"/>
          </w:tcPr>
          <w:p w14:paraId="0974FE66" w14:textId="2ECF0EFF" w:rsidR="00CF461F" w:rsidRPr="00C97518" w:rsidRDefault="00CF461F" w:rsidP="00CF461F">
            <w:pPr>
              <w:pStyle w:val="TableHeading"/>
              <w:rPr>
                <w:color w:val="FFFFFF" w:themeColor="background1"/>
              </w:rPr>
            </w:pPr>
            <w:r w:rsidRPr="00C97518">
              <w:rPr>
                <w:color w:val="FFFFFF" w:themeColor="background1"/>
              </w:rPr>
              <w:t>Applicable standards and reports</w:t>
            </w:r>
          </w:p>
        </w:tc>
      </w:tr>
      <w:tr w:rsidR="00CF461F" w:rsidRPr="00C97518" w14:paraId="64D381C9" w14:textId="77777777" w:rsidTr="00CF461F">
        <w:trPr>
          <w:tblHeader/>
        </w:trPr>
        <w:tc>
          <w:tcPr>
            <w:tcW w:w="3261" w:type="dxa"/>
            <w:tcBorders>
              <w:top w:val="single" w:sz="4" w:space="0" w:color="auto"/>
              <w:left w:val="nil"/>
              <w:bottom w:val="single" w:sz="4" w:space="0" w:color="auto"/>
              <w:right w:val="nil"/>
            </w:tcBorders>
          </w:tcPr>
          <w:p w14:paraId="65265C82" w14:textId="5B0A3BDC" w:rsidR="00CF461F" w:rsidRPr="00C97518" w:rsidRDefault="00CF461F" w:rsidP="00CF461F">
            <w:pPr>
              <w:tabs>
                <w:tab w:val="left" w:pos="1985"/>
                <w:tab w:val="left" w:pos="3261"/>
                <w:tab w:val="left" w:pos="5954"/>
              </w:tabs>
              <w:spacing w:after="0" w:line="240" w:lineRule="auto"/>
              <w:rPr>
                <w:rFonts w:cs="Arial"/>
              </w:rPr>
            </w:pPr>
            <w:r w:rsidRPr="00C97518">
              <w:rPr>
                <w:rFonts w:cs="Arial"/>
              </w:rPr>
              <w:t>UMTS</w:t>
            </w:r>
          </w:p>
          <w:p w14:paraId="6A9C46FF" w14:textId="0BB7D500" w:rsidR="00CF461F" w:rsidRPr="00C97518" w:rsidRDefault="00CF461F" w:rsidP="00CF461F">
            <w:pPr>
              <w:pStyle w:val="TableBody"/>
              <w:keepNext/>
              <w:keepLines/>
              <w:rPr>
                <w:rFonts w:cs="Arial"/>
              </w:rPr>
            </w:pPr>
            <w:r w:rsidRPr="00C97518">
              <w:rPr>
                <w:rFonts w:cs="Arial"/>
              </w:rPr>
              <w:t>(UTRA, WCDMA, HSPA, HSPA+)</w:t>
            </w:r>
          </w:p>
        </w:tc>
        <w:tc>
          <w:tcPr>
            <w:tcW w:w="5103" w:type="dxa"/>
            <w:tcBorders>
              <w:top w:val="single" w:sz="4" w:space="0" w:color="auto"/>
              <w:left w:val="nil"/>
              <w:bottom w:val="single" w:sz="4" w:space="0" w:color="auto"/>
              <w:right w:val="nil"/>
            </w:tcBorders>
          </w:tcPr>
          <w:p w14:paraId="085CA285" w14:textId="199264EF" w:rsidR="00CF461F" w:rsidRPr="00C97518" w:rsidRDefault="00CF461F" w:rsidP="00D76BE9">
            <w:pPr>
              <w:pStyle w:val="TableBody"/>
              <w:keepNext/>
              <w:keepLines/>
              <w:rPr>
                <w:rFonts w:cs="Arial"/>
              </w:rPr>
            </w:pPr>
            <w:r w:rsidRPr="00C97518">
              <w:rPr>
                <w:rFonts w:cs="Arial"/>
              </w:rPr>
              <w:t>ITU-R Report M.2039-</w:t>
            </w:r>
            <w:r w:rsidR="00D76BE9" w:rsidRPr="00C97518">
              <w:rPr>
                <w:rFonts w:cs="Arial"/>
              </w:rPr>
              <w:t>3</w:t>
            </w:r>
            <w:r w:rsidRPr="00C97518">
              <w:rPr>
                <w:rFonts w:cs="Arial"/>
              </w:rPr>
              <w:t xml:space="preserve">, 3GPP TS 25.101, 3GPP TS 25.104, 3GPP TS </w:t>
            </w:r>
            <w:r w:rsidR="00D76BE9" w:rsidRPr="00C97518">
              <w:rPr>
                <w:rFonts w:cs="Arial"/>
              </w:rPr>
              <w:t>25</w:t>
            </w:r>
            <w:r w:rsidRPr="00C97518">
              <w:rPr>
                <w:rFonts w:cs="Arial"/>
              </w:rPr>
              <w:t>.942</w:t>
            </w:r>
          </w:p>
        </w:tc>
      </w:tr>
      <w:tr w:rsidR="00CF461F" w:rsidRPr="00C97518" w14:paraId="1B2F4ECA" w14:textId="77777777" w:rsidTr="00CF461F">
        <w:trPr>
          <w:tblHeader/>
        </w:trPr>
        <w:tc>
          <w:tcPr>
            <w:tcW w:w="3261" w:type="dxa"/>
            <w:tcBorders>
              <w:top w:val="single" w:sz="4" w:space="0" w:color="auto"/>
              <w:left w:val="nil"/>
              <w:bottom w:val="single" w:sz="4" w:space="0" w:color="auto"/>
              <w:right w:val="nil"/>
            </w:tcBorders>
            <w:shd w:val="clear" w:color="auto" w:fill="F2F2F2" w:themeFill="background1" w:themeFillShade="F2"/>
          </w:tcPr>
          <w:p w14:paraId="3E5CD3E6" w14:textId="7914F493" w:rsidR="00CF461F" w:rsidRPr="00C97518" w:rsidRDefault="00CF461F" w:rsidP="00CF461F">
            <w:pPr>
              <w:tabs>
                <w:tab w:val="left" w:pos="1985"/>
                <w:tab w:val="left" w:pos="3261"/>
                <w:tab w:val="left" w:pos="5954"/>
              </w:tabs>
              <w:spacing w:after="0" w:line="240" w:lineRule="auto"/>
              <w:rPr>
                <w:rFonts w:cs="Arial"/>
              </w:rPr>
            </w:pPr>
            <w:r w:rsidRPr="00C97518">
              <w:rPr>
                <w:rFonts w:cs="Arial"/>
              </w:rPr>
              <w:t>LTE</w:t>
            </w:r>
          </w:p>
          <w:p w14:paraId="2126E213" w14:textId="0A39E631" w:rsidR="00CF461F" w:rsidRPr="00C97518" w:rsidRDefault="00CF461F" w:rsidP="00CF461F">
            <w:pPr>
              <w:pStyle w:val="TableBody"/>
              <w:keepNext/>
              <w:keepLines/>
              <w:rPr>
                <w:rFonts w:cs="Arial"/>
              </w:rPr>
            </w:pPr>
            <w:r w:rsidRPr="00C97518">
              <w:rPr>
                <w:rFonts w:cs="Arial"/>
              </w:rPr>
              <w:t>(E-UTRA, LTE-Advanced)</w:t>
            </w:r>
          </w:p>
        </w:tc>
        <w:tc>
          <w:tcPr>
            <w:tcW w:w="5103" w:type="dxa"/>
            <w:tcBorders>
              <w:top w:val="single" w:sz="4" w:space="0" w:color="auto"/>
              <w:left w:val="nil"/>
              <w:bottom w:val="single" w:sz="4" w:space="0" w:color="auto"/>
              <w:right w:val="nil"/>
            </w:tcBorders>
            <w:shd w:val="clear" w:color="auto" w:fill="F2F2F2" w:themeFill="background1" w:themeFillShade="F2"/>
          </w:tcPr>
          <w:p w14:paraId="6BBBB583" w14:textId="761CF0B9" w:rsidR="00CF461F" w:rsidRPr="00C97518" w:rsidRDefault="00CF461F" w:rsidP="00D76BE9">
            <w:pPr>
              <w:pStyle w:val="TableBody"/>
              <w:keepNext/>
              <w:keepLines/>
              <w:rPr>
                <w:rFonts w:cs="Arial"/>
              </w:rPr>
            </w:pPr>
            <w:r w:rsidRPr="00C97518">
              <w:rPr>
                <w:rFonts w:cs="Arial"/>
              </w:rPr>
              <w:t>ITU-R Report M.</w:t>
            </w:r>
            <w:r w:rsidR="00D76BE9" w:rsidRPr="00C97518">
              <w:rPr>
                <w:rFonts w:cs="Arial"/>
              </w:rPr>
              <w:t>2292-0</w:t>
            </w:r>
            <w:r w:rsidRPr="00C97518">
              <w:rPr>
                <w:rFonts w:cs="Arial"/>
              </w:rPr>
              <w:t>, 3GPP TS 36.101, 3GPP TS 36.104, 3GPP TS 36.942</w:t>
            </w:r>
          </w:p>
        </w:tc>
      </w:tr>
    </w:tbl>
    <w:p w14:paraId="15852351" w14:textId="77777777" w:rsidR="00955EF2" w:rsidRPr="00C97518" w:rsidRDefault="00955EF2" w:rsidP="0027403F">
      <w:pPr>
        <w:pStyle w:val="ACMASpaceaftertable"/>
      </w:pPr>
    </w:p>
    <w:p w14:paraId="31B0F829" w14:textId="77777777" w:rsidR="004B0E26" w:rsidRPr="00C97518" w:rsidRDefault="004B0E26" w:rsidP="004B0E26">
      <w:r w:rsidRPr="00C97518">
        <w:t>The development of the system models does not exclude the use of other technologies under the licence. The system models for the deployment are simply a tool for the development of the technical framework.</w:t>
      </w:r>
    </w:p>
    <w:p w14:paraId="6D2D0A4B" w14:textId="3F298FD6" w:rsidR="004B0E26" w:rsidRPr="00C97518" w:rsidRDefault="004B0E26" w:rsidP="004B0E26">
      <w:r w:rsidRPr="00C97518">
        <w:t>It is proposed that the system model be optimised for FDD services, as existing services operating under the 2 GHz spectrum licence</w:t>
      </w:r>
      <w:r w:rsidR="00550DAD" w:rsidRPr="00C97518">
        <w:t>,</w:t>
      </w:r>
      <w:r w:rsidRPr="00C97518">
        <w:t xml:space="preserve"> are deployed in this manner.</w:t>
      </w:r>
      <w:r w:rsidR="00194889" w:rsidRPr="00C97518">
        <w:t xml:space="preserve"> Table </w:t>
      </w:r>
      <w:r w:rsidR="00EE5FB9" w:rsidRPr="00C97518">
        <w:t>C</w:t>
      </w:r>
      <w:r w:rsidR="00194889" w:rsidRPr="00C97518">
        <w:t>2 shows the user equipment receiver parameters necessary for determination of the level of protection.</w:t>
      </w:r>
      <w:r w:rsidRPr="00C97518">
        <w:t xml:space="preserve"> </w:t>
      </w:r>
    </w:p>
    <w:p w14:paraId="5D0A4B44" w14:textId="48BAC6E6" w:rsidR="00D561DF" w:rsidRPr="00C97518" w:rsidRDefault="00D561DF" w:rsidP="00D561DF">
      <w:pPr>
        <w:pStyle w:val="ACMATableHeader"/>
        <w:keepNext/>
        <w:keepLines/>
        <w:numPr>
          <w:ilvl w:val="0"/>
          <w:numId w:val="0"/>
        </w:numPr>
        <w:ind w:left="964" w:hanging="964"/>
      </w:pPr>
      <w:r w:rsidRPr="00C97518">
        <w:lastRenderedPageBreak/>
        <w:t xml:space="preserve">Table </w:t>
      </w:r>
      <w:r w:rsidR="00EE5FB9" w:rsidRPr="00C97518">
        <w:t>C</w:t>
      </w:r>
      <w:r w:rsidR="00194889" w:rsidRPr="00C97518">
        <w:t>2</w:t>
      </w:r>
      <w:r w:rsidRPr="00C97518">
        <w:t>:</w:t>
      </w:r>
      <w:r w:rsidRPr="00C97518">
        <w:tab/>
        <w:t xml:space="preserve">UE </w:t>
      </w:r>
      <w:r w:rsidR="00550DAD" w:rsidRPr="00C97518">
        <w:t>r</w:t>
      </w:r>
      <w:r w:rsidRPr="00C97518">
        <w:t>eceiver</w:t>
      </w:r>
    </w:p>
    <w:tbl>
      <w:tblPr>
        <w:tblW w:w="754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Description w:val="Spectrum available in metro, regional and remote areas for mobile broadband."/>
      </w:tblPr>
      <w:tblGrid>
        <w:gridCol w:w="3107"/>
        <w:gridCol w:w="2162"/>
        <w:gridCol w:w="2273"/>
      </w:tblGrid>
      <w:tr w:rsidR="00D561DF" w:rsidRPr="00C97518" w14:paraId="7FEBF978" w14:textId="77777777" w:rsidTr="007169B9">
        <w:trPr>
          <w:tblHeader/>
        </w:trPr>
        <w:tc>
          <w:tcPr>
            <w:tcW w:w="3107" w:type="dxa"/>
            <w:tcBorders>
              <w:top w:val="single" w:sz="4" w:space="0" w:color="auto"/>
              <w:left w:val="nil"/>
              <w:bottom w:val="single" w:sz="4" w:space="0" w:color="auto"/>
              <w:right w:val="nil"/>
            </w:tcBorders>
            <w:shd w:val="clear" w:color="auto" w:fill="404040" w:themeFill="text1" w:themeFillTint="BF"/>
          </w:tcPr>
          <w:p w14:paraId="6EF65D9F" w14:textId="77777777" w:rsidR="00D561DF" w:rsidRPr="00C97518" w:rsidRDefault="00D561DF" w:rsidP="00183C45">
            <w:pPr>
              <w:pStyle w:val="TableHeading"/>
              <w:keepNext/>
              <w:keepLines/>
              <w:rPr>
                <w:color w:val="FFFFFF" w:themeColor="background1"/>
              </w:rPr>
            </w:pPr>
            <w:r w:rsidRPr="00C97518">
              <w:rPr>
                <w:color w:val="FFFFFF" w:themeColor="background1"/>
              </w:rPr>
              <w:t>Parameter</w:t>
            </w:r>
          </w:p>
        </w:tc>
        <w:tc>
          <w:tcPr>
            <w:tcW w:w="2162" w:type="dxa"/>
            <w:tcBorders>
              <w:top w:val="single" w:sz="4" w:space="0" w:color="auto"/>
              <w:left w:val="nil"/>
              <w:bottom w:val="single" w:sz="4" w:space="0" w:color="auto"/>
              <w:right w:val="nil"/>
            </w:tcBorders>
            <w:shd w:val="clear" w:color="auto" w:fill="404040" w:themeFill="text1" w:themeFillTint="BF"/>
          </w:tcPr>
          <w:p w14:paraId="7C728881" w14:textId="77777777" w:rsidR="00D561DF" w:rsidRPr="00C97518" w:rsidRDefault="00D561DF" w:rsidP="00183C45">
            <w:pPr>
              <w:pStyle w:val="TableHeading"/>
              <w:keepNext/>
              <w:keepLines/>
              <w:jc w:val="center"/>
              <w:rPr>
                <w:color w:val="FFFFFF" w:themeColor="background1"/>
              </w:rPr>
            </w:pPr>
            <w:r w:rsidRPr="00C97518">
              <w:rPr>
                <w:color w:val="FFFFFF" w:themeColor="background1"/>
              </w:rPr>
              <w:t>UMTS</w:t>
            </w:r>
          </w:p>
        </w:tc>
        <w:tc>
          <w:tcPr>
            <w:tcW w:w="2273" w:type="dxa"/>
            <w:tcBorders>
              <w:top w:val="single" w:sz="4" w:space="0" w:color="auto"/>
              <w:left w:val="nil"/>
              <w:bottom w:val="single" w:sz="4" w:space="0" w:color="auto"/>
              <w:right w:val="nil"/>
            </w:tcBorders>
            <w:shd w:val="clear" w:color="auto" w:fill="404040" w:themeFill="text1" w:themeFillTint="BF"/>
          </w:tcPr>
          <w:p w14:paraId="50EBC4DC" w14:textId="77777777" w:rsidR="00D561DF" w:rsidRPr="00C97518" w:rsidRDefault="00D561DF" w:rsidP="00183C45">
            <w:pPr>
              <w:pStyle w:val="TableHeading"/>
              <w:keepNext/>
              <w:keepLines/>
              <w:jc w:val="center"/>
              <w:rPr>
                <w:color w:val="FFFFFF" w:themeColor="background1"/>
              </w:rPr>
            </w:pPr>
            <w:r w:rsidRPr="00C97518">
              <w:rPr>
                <w:color w:val="FFFFFF" w:themeColor="background1"/>
              </w:rPr>
              <w:t>LTE</w:t>
            </w:r>
          </w:p>
        </w:tc>
      </w:tr>
      <w:tr w:rsidR="00D561DF" w:rsidRPr="00C97518" w14:paraId="01250EE7" w14:textId="77777777" w:rsidTr="007169B9">
        <w:trPr>
          <w:tblHeader/>
        </w:trPr>
        <w:tc>
          <w:tcPr>
            <w:tcW w:w="3107" w:type="dxa"/>
            <w:tcBorders>
              <w:top w:val="single" w:sz="4" w:space="0" w:color="auto"/>
              <w:left w:val="nil"/>
              <w:bottom w:val="single" w:sz="4" w:space="0" w:color="auto"/>
              <w:right w:val="nil"/>
            </w:tcBorders>
            <w:shd w:val="clear" w:color="auto" w:fill="F2F2F2" w:themeFill="background1" w:themeFillShade="F2"/>
          </w:tcPr>
          <w:p w14:paraId="1ACE70B9" w14:textId="77777777" w:rsidR="00D561DF" w:rsidRPr="00C97518" w:rsidRDefault="00D561DF" w:rsidP="00183C45">
            <w:pPr>
              <w:keepNext/>
              <w:spacing w:after="0" w:line="240" w:lineRule="auto"/>
              <w:rPr>
                <w:rFonts w:cs="Arial"/>
              </w:rPr>
            </w:pPr>
            <w:r w:rsidRPr="00C97518">
              <w:rPr>
                <w:rFonts w:cs="Arial"/>
              </w:rPr>
              <w:t>Antenna gain (including losses)</w:t>
            </w:r>
          </w:p>
        </w:tc>
        <w:tc>
          <w:tcPr>
            <w:tcW w:w="4435" w:type="dxa"/>
            <w:gridSpan w:val="2"/>
            <w:tcBorders>
              <w:top w:val="single" w:sz="4" w:space="0" w:color="auto"/>
              <w:left w:val="nil"/>
              <w:bottom w:val="single" w:sz="4" w:space="0" w:color="auto"/>
              <w:right w:val="nil"/>
            </w:tcBorders>
            <w:shd w:val="clear" w:color="auto" w:fill="F2F2F2" w:themeFill="background1" w:themeFillShade="F2"/>
          </w:tcPr>
          <w:p w14:paraId="7CC7340F" w14:textId="315B7218" w:rsidR="00D561DF" w:rsidRPr="00C97518" w:rsidRDefault="00994762" w:rsidP="00183C45">
            <w:pPr>
              <w:pStyle w:val="TableBody"/>
              <w:keepNext/>
              <w:keepLines/>
              <w:jc w:val="center"/>
              <w:rPr>
                <w:rFonts w:cs="Arial"/>
              </w:rPr>
            </w:pPr>
            <w:r w:rsidRPr="00C97518">
              <w:rPr>
                <w:rFonts w:cs="Arial"/>
              </w:rPr>
              <w:t>0</w:t>
            </w:r>
            <w:r w:rsidR="00D561DF" w:rsidRPr="00C97518">
              <w:rPr>
                <w:rFonts w:cs="Arial"/>
              </w:rPr>
              <w:t xml:space="preserve"> dBi</w:t>
            </w:r>
          </w:p>
        </w:tc>
      </w:tr>
      <w:tr w:rsidR="00194889" w:rsidRPr="00C97518" w14:paraId="597CF9FF" w14:textId="77777777" w:rsidTr="007169B9">
        <w:trPr>
          <w:tblHeader/>
        </w:trPr>
        <w:tc>
          <w:tcPr>
            <w:tcW w:w="3107" w:type="dxa"/>
            <w:tcBorders>
              <w:top w:val="single" w:sz="4" w:space="0" w:color="auto"/>
              <w:left w:val="nil"/>
              <w:bottom w:val="single" w:sz="4" w:space="0" w:color="auto"/>
              <w:right w:val="nil"/>
            </w:tcBorders>
          </w:tcPr>
          <w:p w14:paraId="05F55F67" w14:textId="4FA616B9" w:rsidR="00194889" w:rsidRPr="00C97518" w:rsidRDefault="00194889" w:rsidP="00183C45">
            <w:pPr>
              <w:keepNext/>
              <w:spacing w:after="0" w:line="240" w:lineRule="auto"/>
              <w:rPr>
                <w:rFonts w:cs="Arial"/>
              </w:rPr>
            </w:pPr>
            <w:r w:rsidRPr="00C97518">
              <w:rPr>
                <w:rFonts w:cs="Arial"/>
              </w:rPr>
              <w:t>Antenna height (AGL)</w:t>
            </w:r>
          </w:p>
        </w:tc>
        <w:tc>
          <w:tcPr>
            <w:tcW w:w="4435" w:type="dxa"/>
            <w:gridSpan w:val="2"/>
            <w:tcBorders>
              <w:top w:val="single" w:sz="4" w:space="0" w:color="auto"/>
              <w:left w:val="nil"/>
              <w:bottom w:val="single" w:sz="4" w:space="0" w:color="auto"/>
              <w:right w:val="nil"/>
            </w:tcBorders>
          </w:tcPr>
          <w:p w14:paraId="3159B4E1" w14:textId="561AD04D" w:rsidR="00194889" w:rsidRPr="00C97518" w:rsidRDefault="00194889" w:rsidP="00183C45">
            <w:pPr>
              <w:pStyle w:val="TableBody"/>
              <w:keepNext/>
              <w:keepLines/>
              <w:jc w:val="center"/>
              <w:rPr>
                <w:rFonts w:cs="Arial"/>
              </w:rPr>
            </w:pPr>
            <w:r w:rsidRPr="00C97518">
              <w:rPr>
                <w:rFonts w:cs="Arial"/>
              </w:rPr>
              <w:t>1.5 m</w:t>
            </w:r>
          </w:p>
        </w:tc>
      </w:tr>
      <w:tr w:rsidR="00994762" w:rsidRPr="00C97518" w14:paraId="4DA74060" w14:textId="77777777" w:rsidTr="007169B9">
        <w:trPr>
          <w:tblHeader/>
        </w:trPr>
        <w:tc>
          <w:tcPr>
            <w:tcW w:w="3107" w:type="dxa"/>
            <w:tcBorders>
              <w:top w:val="single" w:sz="4" w:space="0" w:color="auto"/>
              <w:left w:val="nil"/>
              <w:bottom w:val="single" w:sz="4" w:space="0" w:color="auto"/>
              <w:right w:val="nil"/>
            </w:tcBorders>
            <w:shd w:val="clear" w:color="auto" w:fill="F2F2F2" w:themeFill="background1" w:themeFillShade="F2"/>
          </w:tcPr>
          <w:p w14:paraId="05B95351" w14:textId="77777777" w:rsidR="00994762" w:rsidRPr="00C97518" w:rsidRDefault="00994762" w:rsidP="00994762">
            <w:pPr>
              <w:pStyle w:val="TableBody"/>
              <w:keepNext/>
              <w:keepLines/>
              <w:rPr>
                <w:rFonts w:cs="Arial"/>
              </w:rPr>
            </w:pPr>
            <w:r w:rsidRPr="00C97518">
              <w:rPr>
                <w:rFonts w:cs="Arial"/>
              </w:rPr>
              <w:t>Noise figure (F)</w:t>
            </w:r>
          </w:p>
        </w:tc>
        <w:tc>
          <w:tcPr>
            <w:tcW w:w="2162" w:type="dxa"/>
            <w:tcBorders>
              <w:top w:val="single" w:sz="4" w:space="0" w:color="auto"/>
              <w:left w:val="nil"/>
              <w:bottom w:val="single" w:sz="4" w:space="0" w:color="auto"/>
              <w:right w:val="nil"/>
            </w:tcBorders>
            <w:shd w:val="clear" w:color="auto" w:fill="F2F2F2" w:themeFill="background1" w:themeFillShade="F2"/>
          </w:tcPr>
          <w:p w14:paraId="31BE0206" w14:textId="5DC84E78" w:rsidR="00994762" w:rsidRPr="00C97518" w:rsidRDefault="00994762" w:rsidP="00994762">
            <w:pPr>
              <w:pStyle w:val="TableBody"/>
              <w:keepNext/>
              <w:keepLines/>
              <w:jc w:val="center"/>
              <w:rPr>
                <w:rFonts w:cs="Arial"/>
              </w:rPr>
            </w:pPr>
            <w:r w:rsidRPr="00C97518">
              <w:rPr>
                <w:rFonts w:cs="Arial"/>
              </w:rPr>
              <w:t>9 dB</w:t>
            </w:r>
          </w:p>
        </w:tc>
        <w:tc>
          <w:tcPr>
            <w:tcW w:w="2273" w:type="dxa"/>
            <w:tcBorders>
              <w:top w:val="single" w:sz="4" w:space="0" w:color="auto"/>
              <w:left w:val="nil"/>
              <w:bottom w:val="single" w:sz="4" w:space="0" w:color="auto"/>
              <w:right w:val="nil"/>
            </w:tcBorders>
            <w:shd w:val="clear" w:color="auto" w:fill="F2F2F2" w:themeFill="background1" w:themeFillShade="F2"/>
          </w:tcPr>
          <w:p w14:paraId="61607CF9" w14:textId="41849392" w:rsidR="00994762" w:rsidRPr="00C97518" w:rsidRDefault="00994762" w:rsidP="00994762">
            <w:pPr>
              <w:pStyle w:val="TableBody"/>
              <w:keepNext/>
              <w:keepLines/>
              <w:jc w:val="center"/>
              <w:rPr>
                <w:rFonts w:cs="Arial"/>
              </w:rPr>
            </w:pPr>
            <w:r w:rsidRPr="00C97518">
              <w:rPr>
                <w:rFonts w:cs="Arial"/>
              </w:rPr>
              <w:t>9 dB</w:t>
            </w:r>
          </w:p>
        </w:tc>
      </w:tr>
      <w:tr w:rsidR="00994762" w:rsidRPr="00C97518" w14:paraId="68F4E8FD" w14:textId="77777777" w:rsidTr="007169B9">
        <w:trPr>
          <w:tblHeader/>
        </w:trPr>
        <w:tc>
          <w:tcPr>
            <w:tcW w:w="3107" w:type="dxa"/>
            <w:tcBorders>
              <w:top w:val="single" w:sz="4" w:space="0" w:color="auto"/>
              <w:left w:val="nil"/>
              <w:bottom w:val="single" w:sz="4" w:space="0" w:color="auto"/>
              <w:right w:val="nil"/>
            </w:tcBorders>
          </w:tcPr>
          <w:p w14:paraId="245D71DA" w14:textId="77777777" w:rsidR="00994762" w:rsidRPr="00C97518" w:rsidRDefault="00994762" w:rsidP="00994762">
            <w:pPr>
              <w:keepNext/>
              <w:keepLines/>
              <w:spacing w:after="0" w:line="240" w:lineRule="auto"/>
              <w:rPr>
                <w:rFonts w:cs="Arial"/>
              </w:rPr>
            </w:pPr>
            <w:r w:rsidRPr="00C97518">
              <w:rPr>
                <w:rFonts w:cs="Arial"/>
              </w:rPr>
              <w:t>Noise floor (kTBF)</w:t>
            </w:r>
          </w:p>
        </w:tc>
        <w:tc>
          <w:tcPr>
            <w:tcW w:w="2162" w:type="dxa"/>
            <w:tcBorders>
              <w:top w:val="single" w:sz="4" w:space="0" w:color="auto"/>
              <w:left w:val="nil"/>
              <w:bottom w:val="single" w:sz="4" w:space="0" w:color="auto"/>
              <w:right w:val="nil"/>
            </w:tcBorders>
          </w:tcPr>
          <w:p w14:paraId="11F5996A" w14:textId="3026337E" w:rsidR="00994762" w:rsidRPr="00C97518" w:rsidRDefault="00994762" w:rsidP="00994762">
            <w:pPr>
              <w:keepNext/>
              <w:keepLines/>
              <w:spacing w:after="0" w:line="240" w:lineRule="auto"/>
              <w:jc w:val="center"/>
              <w:rPr>
                <w:rFonts w:cs="Arial"/>
              </w:rPr>
            </w:pPr>
            <w:r w:rsidRPr="00C97518">
              <w:rPr>
                <w:rFonts w:cs="Arial"/>
              </w:rPr>
              <w:t>-99.1</w:t>
            </w:r>
            <w:r w:rsidR="00FC2513" w:rsidRPr="00C97518">
              <w:rPr>
                <w:rFonts w:cs="Arial"/>
              </w:rPr>
              <w:t>3</w:t>
            </w:r>
            <w:r w:rsidRPr="00C97518">
              <w:rPr>
                <w:rFonts w:cs="Arial"/>
              </w:rPr>
              <w:t xml:space="preserve"> dBm/3.84 MHz</w:t>
            </w:r>
          </w:p>
        </w:tc>
        <w:tc>
          <w:tcPr>
            <w:tcW w:w="2273" w:type="dxa"/>
            <w:tcBorders>
              <w:top w:val="single" w:sz="4" w:space="0" w:color="auto"/>
              <w:left w:val="nil"/>
              <w:bottom w:val="single" w:sz="4" w:space="0" w:color="auto"/>
              <w:right w:val="nil"/>
            </w:tcBorders>
          </w:tcPr>
          <w:p w14:paraId="471AC498" w14:textId="449240D0" w:rsidR="00994762" w:rsidRPr="00C97518" w:rsidRDefault="00994762" w:rsidP="00994762">
            <w:pPr>
              <w:keepNext/>
              <w:keepLines/>
              <w:spacing w:after="0" w:line="240" w:lineRule="auto"/>
              <w:jc w:val="center"/>
              <w:rPr>
                <w:rFonts w:cs="Arial"/>
              </w:rPr>
            </w:pPr>
            <w:r w:rsidRPr="00C97518">
              <w:rPr>
                <w:rFonts w:cs="Arial"/>
              </w:rPr>
              <w:t>-98.4</w:t>
            </w:r>
            <w:r w:rsidR="00FC2513" w:rsidRPr="00C97518">
              <w:rPr>
                <w:rFonts w:cs="Arial"/>
              </w:rPr>
              <w:t>3</w:t>
            </w:r>
            <w:r w:rsidRPr="00C97518">
              <w:rPr>
                <w:rFonts w:cs="Arial"/>
              </w:rPr>
              <w:t xml:space="preserve"> dBm/4.515 MHz</w:t>
            </w:r>
          </w:p>
        </w:tc>
      </w:tr>
      <w:tr w:rsidR="00D561DF" w:rsidRPr="00C97518" w14:paraId="466F1119" w14:textId="77777777" w:rsidTr="007169B9">
        <w:trPr>
          <w:tblHeader/>
        </w:trPr>
        <w:tc>
          <w:tcPr>
            <w:tcW w:w="3107" w:type="dxa"/>
            <w:tcBorders>
              <w:top w:val="single" w:sz="4" w:space="0" w:color="auto"/>
              <w:left w:val="nil"/>
              <w:bottom w:val="single" w:sz="4" w:space="0" w:color="auto"/>
              <w:right w:val="nil"/>
            </w:tcBorders>
            <w:shd w:val="clear" w:color="auto" w:fill="F2F2F2" w:themeFill="background1" w:themeFillShade="F2"/>
          </w:tcPr>
          <w:p w14:paraId="169B0FB9" w14:textId="77777777" w:rsidR="00D561DF" w:rsidRPr="00C97518" w:rsidRDefault="00D561DF" w:rsidP="00183C45">
            <w:pPr>
              <w:pStyle w:val="TableBody"/>
              <w:keepNext/>
              <w:keepLines/>
              <w:rPr>
                <w:rFonts w:cs="Arial"/>
              </w:rPr>
            </w:pPr>
            <w:r w:rsidRPr="00C97518">
              <w:rPr>
                <w:rFonts w:cs="Arial"/>
              </w:rPr>
              <w:t>Reference sensitivity</w:t>
            </w:r>
          </w:p>
        </w:tc>
        <w:tc>
          <w:tcPr>
            <w:tcW w:w="2162" w:type="dxa"/>
            <w:tcBorders>
              <w:top w:val="single" w:sz="4" w:space="0" w:color="auto"/>
              <w:left w:val="nil"/>
              <w:bottom w:val="single" w:sz="4" w:space="0" w:color="auto"/>
              <w:right w:val="nil"/>
            </w:tcBorders>
            <w:shd w:val="clear" w:color="auto" w:fill="F2F2F2" w:themeFill="background1" w:themeFillShade="F2"/>
          </w:tcPr>
          <w:p w14:paraId="55B6EF91" w14:textId="39CD55D0" w:rsidR="00D561DF" w:rsidRPr="00C97518" w:rsidRDefault="00B10591" w:rsidP="00717547">
            <w:pPr>
              <w:pStyle w:val="TableBody"/>
              <w:keepNext/>
              <w:keepLines/>
              <w:jc w:val="center"/>
              <w:rPr>
                <w:rFonts w:cs="Arial"/>
              </w:rPr>
            </w:pPr>
            <w:r w:rsidRPr="00C97518">
              <w:rPr>
                <w:rFonts w:cs="Arial"/>
              </w:rPr>
              <w:t>-113 dBm/3.84 MHz</w:t>
            </w:r>
            <w:r w:rsidRPr="00C97518">
              <w:rPr>
                <w:rStyle w:val="FootnoteReference"/>
                <w:rFonts w:cs="Arial"/>
              </w:rPr>
              <w:footnoteReference w:id="12"/>
            </w:r>
          </w:p>
        </w:tc>
        <w:tc>
          <w:tcPr>
            <w:tcW w:w="2273" w:type="dxa"/>
            <w:tcBorders>
              <w:top w:val="single" w:sz="4" w:space="0" w:color="auto"/>
              <w:left w:val="nil"/>
              <w:bottom w:val="single" w:sz="4" w:space="0" w:color="auto"/>
              <w:right w:val="nil"/>
            </w:tcBorders>
            <w:shd w:val="clear" w:color="auto" w:fill="F2F2F2" w:themeFill="background1" w:themeFillShade="F2"/>
          </w:tcPr>
          <w:p w14:paraId="661172D4" w14:textId="1561D5C5" w:rsidR="00D561DF" w:rsidRPr="00C97518" w:rsidRDefault="00994762" w:rsidP="00183C45">
            <w:pPr>
              <w:pStyle w:val="TableBody"/>
              <w:keepNext/>
              <w:keepLines/>
              <w:jc w:val="center"/>
              <w:rPr>
                <w:rFonts w:cs="Arial"/>
              </w:rPr>
            </w:pPr>
            <w:r w:rsidRPr="00C97518">
              <w:rPr>
                <w:rFonts w:cs="Arial"/>
              </w:rPr>
              <w:t>-100 dBm/5 MHz</w:t>
            </w:r>
          </w:p>
        </w:tc>
      </w:tr>
    </w:tbl>
    <w:p w14:paraId="40EE665D" w14:textId="406D45B0" w:rsidR="004B0E26" w:rsidRPr="00C97518" w:rsidRDefault="004B0E26" w:rsidP="0027403F">
      <w:pPr>
        <w:pStyle w:val="ACMASpaceaftertable"/>
      </w:pPr>
    </w:p>
    <w:p w14:paraId="49D2A81E" w14:textId="3F0EBA1C" w:rsidR="00C91B77" w:rsidRPr="00C97518" w:rsidRDefault="00EE5FB9" w:rsidP="005915A4">
      <w:pPr>
        <w:pStyle w:val="Heading2"/>
      </w:pPr>
      <w:bookmarkStart w:id="28" w:name="_Toc437508122"/>
      <w:bookmarkStart w:id="29" w:name="_Toc437508427"/>
      <w:bookmarkStart w:id="30" w:name="_Toc437530160"/>
      <w:bookmarkStart w:id="31" w:name="_Toc461025771"/>
      <w:r w:rsidRPr="00C97518">
        <w:t>C</w:t>
      </w:r>
      <w:r w:rsidR="00A8552C" w:rsidRPr="00C97518">
        <w:t>2</w:t>
      </w:r>
      <w:r w:rsidR="00C91B77" w:rsidRPr="00C97518">
        <w:tab/>
      </w:r>
      <w:r w:rsidR="00C91B77" w:rsidRPr="00C97518">
        <w:rPr>
          <w:rFonts w:eastAsiaTheme="minorEastAsia"/>
          <w:lang w:eastAsia="en-US"/>
        </w:rPr>
        <w:t xml:space="preserve">Level of </w:t>
      </w:r>
      <w:r w:rsidR="00C91B77" w:rsidRPr="00C97518">
        <w:rPr>
          <w:rFonts w:eastAsiaTheme="minorEastAsia"/>
        </w:rPr>
        <w:t>protection</w:t>
      </w:r>
      <w:bookmarkEnd w:id="28"/>
      <w:bookmarkEnd w:id="29"/>
      <w:bookmarkEnd w:id="30"/>
      <w:bookmarkEnd w:id="31"/>
    </w:p>
    <w:p w14:paraId="31886024" w14:textId="1D94156E" w:rsidR="00C91B77" w:rsidRPr="00C97518" w:rsidRDefault="00C91B77" w:rsidP="00C91B77">
      <w:r w:rsidRPr="00C97518">
        <w:t>The level of protection (LOP) is the benchmark protection given to receivers from co-channel emissions from transmitters operating in adjacent geographic licence areas. The level of protection is a compromise between the level of emissions over the geographic boundary of the licence and the protection requirements of receivers</w:t>
      </w:r>
      <w:r w:rsidR="003475C3" w:rsidRPr="00C97518">
        <w:t>.</w:t>
      </w:r>
    </w:p>
    <w:p w14:paraId="0896276A" w14:textId="2E5A4969" w:rsidR="003475C3" w:rsidRPr="00C97518" w:rsidRDefault="003475C3" w:rsidP="00C91B77">
      <w:r w:rsidRPr="00C97518">
        <w:t>This benchmark level is necessary for the calculation of the device boundary criterion.</w:t>
      </w:r>
    </w:p>
    <w:p w14:paraId="2D83182A" w14:textId="401B06E7" w:rsidR="003475C3" w:rsidRPr="00C97518" w:rsidRDefault="00225A67" w:rsidP="0027403F">
      <w:pPr>
        <w:spacing w:after="80"/>
      </w:pPr>
      <w:r w:rsidRPr="00C97518">
        <w:t>Two</w:t>
      </w:r>
      <w:r w:rsidR="003475C3" w:rsidRPr="00C97518">
        <w:t xml:space="preserve"> methods are </w:t>
      </w:r>
      <w:r w:rsidRPr="00C97518">
        <w:t>proposed</w:t>
      </w:r>
      <w:r w:rsidR="003475C3" w:rsidRPr="00C97518">
        <w:t xml:space="preserve"> for determining the LOP:</w:t>
      </w:r>
    </w:p>
    <w:p w14:paraId="1942C4E6" w14:textId="2B7D14C2" w:rsidR="003475C3" w:rsidRPr="00C97518" w:rsidRDefault="00550DAD" w:rsidP="00537EFC">
      <w:pPr>
        <w:pStyle w:val="ListNumber2"/>
        <w:keepNext/>
        <w:keepLines/>
        <w:numPr>
          <w:ilvl w:val="0"/>
          <w:numId w:val="14"/>
        </w:numPr>
      </w:pPr>
      <w:r w:rsidRPr="00C97518">
        <w:t>n</w:t>
      </w:r>
      <w:r w:rsidR="003475C3" w:rsidRPr="00C97518">
        <w:t>oise floor plus interference-to-noise margin (I/N) of -6 dB resulting in a 1 dB increase in noise floor</w:t>
      </w:r>
      <w:r w:rsidR="00225A67" w:rsidRPr="00C97518">
        <w:t xml:space="preserve"> (equivalent to –104 dBm per 5 MHz); </w:t>
      </w:r>
    </w:p>
    <w:p w14:paraId="31886387" w14:textId="398EEA14" w:rsidR="003475C3" w:rsidRPr="00C97518" w:rsidRDefault="00225A67" w:rsidP="00537EFC">
      <w:pPr>
        <w:pStyle w:val="ListNumber2"/>
        <w:keepNext/>
        <w:keepLines/>
        <w:numPr>
          <w:ilvl w:val="0"/>
          <w:numId w:val="14"/>
        </w:numPr>
      </w:pPr>
      <w:r w:rsidRPr="00C97518">
        <w:t xml:space="preserve">maintain the LOP </w:t>
      </w:r>
      <w:r w:rsidR="002E3EB5" w:rsidRPr="00C97518">
        <w:t xml:space="preserve">of -96 dBm/5MHz as </w:t>
      </w:r>
      <w:r w:rsidRPr="00C97518">
        <w:t>defined in the existing section 145 determination.</w:t>
      </w:r>
    </w:p>
    <w:p w14:paraId="74CD5293" w14:textId="77777777" w:rsidR="00225A67" w:rsidRPr="00C97518" w:rsidRDefault="00225A67" w:rsidP="00225A67">
      <w:pPr>
        <w:pStyle w:val="ListNumber2"/>
        <w:keepNext/>
        <w:keepLines/>
        <w:ind w:left="360"/>
      </w:pPr>
    </w:p>
    <w:p w14:paraId="09B778E8" w14:textId="30140380" w:rsidR="003475C3" w:rsidRPr="00C97518" w:rsidRDefault="003475C3" w:rsidP="00994762">
      <w:pPr>
        <w:pBdr>
          <w:top w:val="single" w:sz="12" w:space="1" w:color="auto"/>
          <w:left w:val="single" w:sz="12" w:space="4" w:color="auto"/>
          <w:bottom w:val="single" w:sz="12" w:space="1" w:color="auto"/>
          <w:right w:val="single" w:sz="12" w:space="4" w:color="auto"/>
        </w:pBdr>
        <w:jc w:val="both"/>
      </w:pPr>
      <w:r w:rsidRPr="00C97518">
        <w:t xml:space="preserve">To </w:t>
      </w:r>
      <w:r w:rsidR="00225A67" w:rsidRPr="00C97518">
        <w:t>maintain the existing</w:t>
      </w:r>
      <w:r w:rsidRPr="00C97518">
        <w:t xml:space="preserve"> deployment flexibility in the 2 GHz band, </w:t>
      </w:r>
      <w:r w:rsidR="00225A67" w:rsidRPr="00C97518">
        <w:t xml:space="preserve">it is proposed to maintain the existing LOP of </w:t>
      </w:r>
      <w:bookmarkStart w:id="32" w:name="LOP"/>
      <w:r w:rsidR="00225A67" w:rsidRPr="00C97518">
        <w:t>-96</w:t>
      </w:r>
      <w:r w:rsidRPr="00C97518">
        <w:t xml:space="preserve"> dBm per 5 MHz</w:t>
      </w:r>
      <w:bookmarkEnd w:id="32"/>
      <w:r w:rsidRPr="00C97518">
        <w:t>.</w:t>
      </w:r>
      <w:r w:rsidR="00225A67" w:rsidRPr="00C97518">
        <w:t xml:space="preserve"> This will help to minimise dead zones close to geographical boundaries.</w:t>
      </w:r>
      <w:r w:rsidR="00D21E6B">
        <w:t xml:space="preserve"> </w:t>
      </w:r>
    </w:p>
    <w:p w14:paraId="0A9798CB" w14:textId="77777777" w:rsidR="00225A67" w:rsidRPr="00C97518" w:rsidRDefault="00225A67" w:rsidP="003D00D5">
      <w:pPr>
        <w:pStyle w:val="Heading2"/>
        <w:ind w:left="567" w:hanging="567"/>
      </w:pPr>
      <w:bookmarkStart w:id="33" w:name="_Toc437508123"/>
      <w:bookmarkStart w:id="34" w:name="_Toc437508428"/>
      <w:bookmarkStart w:id="35" w:name="_Toc437530161"/>
    </w:p>
    <w:p w14:paraId="5D5F99B1" w14:textId="68367222" w:rsidR="003D00D5" w:rsidRPr="00C97518" w:rsidRDefault="00EE5FB9" w:rsidP="003D00D5">
      <w:pPr>
        <w:pStyle w:val="Heading2"/>
        <w:ind w:left="567" w:hanging="567"/>
      </w:pPr>
      <w:bookmarkStart w:id="36" w:name="_Toc461025772"/>
      <w:r w:rsidRPr="00C97518">
        <w:t>C</w:t>
      </w:r>
      <w:r w:rsidR="00A8552C" w:rsidRPr="00C97518">
        <w:t>3</w:t>
      </w:r>
      <w:r w:rsidR="003D00D5" w:rsidRPr="00C97518">
        <w:tab/>
      </w:r>
      <w:r w:rsidR="003D00D5" w:rsidRPr="00C97518">
        <w:rPr>
          <w:rFonts w:eastAsiaTheme="minorEastAsia"/>
          <w:szCs w:val="22"/>
          <w:lang w:eastAsia="en-US"/>
        </w:rPr>
        <w:t>Propagation modelling</w:t>
      </w:r>
      <w:bookmarkEnd w:id="33"/>
      <w:bookmarkEnd w:id="34"/>
      <w:bookmarkEnd w:id="35"/>
      <w:bookmarkEnd w:id="36"/>
    </w:p>
    <w:p w14:paraId="3983AB5A" w14:textId="550FFAA4" w:rsidR="00A00131" w:rsidRPr="00C97518" w:rsidRDefault="00A00131" w:rsidP="0027403F">
      <w:pPr>
        <w:spacing w:after="80"/>
      </w:pPr>
      <w:r w:rsidRPr="00C97518">
        <w:t xml:space="preserve">The propagation model chosen for the technical framework appears in the </w:t>
      </w:r>
      <w:r w:rsidR="002E3EB5" w:rsidRPr="00C97518">
        <w:t>section 145</w:t>
      </w:r>
      <w:r w:rsidRPr="00C97518">
        <w:t xml:space="preserve"> determination as part of the device boundary criterion. The propagation model selected for the technical framework needs to be:</w:t>
      </w:r>
    </w:p>
    <w:p w14:paraId="0B5170E4" w14:textId="77777777" w:rsidR="00A00131" w:rsidRPr="00C97518" w:rsidRDefault="00A00131" w:rsidP="00AF7B5F">
      <w:pPr>
        <w:pStyle w:val="ListBullet"/>
        <w:numPr>
          <w:ilvl w:val="0"/>
          <w:numId w:val="1"/>
        </w:numPr>
      </w:pPr>
      <w:r w:rsidRPr="00C97518">
        <w:t>suitable for FDD systems</w:t>
      </w:r>
    </w:p>
    <w:p w14:paraId="4E64A276" w14:textId="77777777" w:rsidR="00A00131" w:rsidRPr="00C97518" w:rsidRDefault="00A00131" w:rsidP="00AF7B5F">
      <w:pPr>
        <w:pStyle w:val="ListBullet"/>
        <w:numPr>
          <w:ilvl w:val="0"/>
          <w:numId w:val="1"/>
        </w:numPr>
      </w:pPr>
      <w:r w:rsidRPr="00C97518">
        <w:t>a generic model that does not require detailed information on terrain or land usage</w:t>
      </w:r>
    </w:p>
    <w:p w14:paraId="05B95539" w14:textId="47E53EB1" w:rsidR="00A00131" w:rsidRPr="00C97518" w:rsidRDefault="00A00131" w:rsidP="00AF7B5F">
      <w:pPr>
        <w:pStyle w:val="ListBullet"/>
        <w:numPr>
          <w:ilvl w:val="0"/>
          <w:numId w:val="1"/>
        </w:numPr>
      </w:pPr>
      <w:r w:rsidRPr="00C97518">
        <w:t>not too complex and ca</w:t>
      </w:r>
      <w:r w:rsidR="008029AF" w:rsidRPr="00C97518">
        <w:t>pable of</w:t>
      </w:r>
      <w:r w:rsidRPr="00C97518">
        <w:t xml:space="preserve"> be</w:t>
      </w:r>
      <w:r w:rsidR="008029AF" w:rsidRPr="00C97518">
        <w:t>ing</w:t>
      </w:r>
      <w:r w:rsidRPr="00C97518">
        <w:t xml:space="preserve"> repeated with certainty</w:t>
      </w:r>
    </w:p>
    <w:p w14:paraId="58C92A92" w14:textId="440D88A1" w:rsidR="00AF7B5F" w:rsidRPr="00C97518" w:rsidRDefault="008029AF" w:rsidP="0027403F">
      <w:pPr>
        <w:pStyle w:val="ListBullet"/>
        <w:numPr>
          <w:ilvl w:val="0"/>
          <w:numId w:val="1"/>
        </w:numPr>
        <w:spacing w:after="240"/>
      </w:pPr>
      <w:r w:rsidRPr="00C97518">
        <w:t>suitable for use</w:t>
      </w:r>
      <w:r w:rsidR="00A00131" w:rsidRPr="00C97518">
        <w:t xml:space="preserve"> in the 2 GHz band</w:t>
      </w:r>
      <w:r w:rsidR="00A82AD0" w:rsidRPr="00C97518">
        <w:t>.</w:t>
      </w:r>
    </w:p>
    <w:p w14:paraId="4D702CA3" w14:textId="5F917104" w:rsidR="00A00131" w:rsidRPr="00C97518" w:rsidRDefault="00A00131" w:rsidP="00A00131">
      <w:pPr>
        <w:pStyle w:val="CommentText"/>
      </w:pPr>
      <w:r w:rsidRPr="00C97518">
        <w:t>The propagation model selected does not need to be suitable for the detailed planning of services</w:t>
      </w:r>
      <w:r w:rsidR="00A82AD0" w:rsidRPr="00C97518">
        <w:t>,</w:t>
      </w:r>
      <w:r w:rsidRPr="00C97518">
        <w:t xml:space="preserve"> and licensees are free to use any model for their own planning needs. The selected propagation model will be the basis of the device boundary criterion on which </w:t>
      </w:r>
      <w:r w:rsidRPr="00C97518">
        <w:lastRenderedPageBreak/>
        <w:t>the ACMA may decide to reject the registration of a transmitter to be operated under the spectrum licence.</w:t>
      </w:r>
    </w:p>
    <w:p w14:paraId="7A38F390" w14:textId="49464D4A" w:rsidR="009A77C1" w:rsidRPr="00C97518" w:rsidRDefault="00B7585E" w:rsidP="0027403F">
      <w:r w:rsidRPr="00C97518">
        <w:t xml:space="preserve">The ACMA proposes to use the </w:t>
      </w:r>
      <w:r w:rsidR="009A77C1" w:rsidRPr="00C97518">
        <w:t xml:space="preserve">modified </w:t>
      </w:r>
      <w:r w:rsidRPr="00C97518">
        <w:t>HATA</w:t>
      </w:r>
      <w:r w:rsidR="00EB01B3" w:rsidRPr="00C97518">
        <w:t xml:space="preserve"> suburban</w:t>
      </w:r>
      <w:r w:rsidRPr="00C97518">
        <w:t xml:space="preserve"> propagation model, as defined in </w:t>
      </w:r>
      <w:r w:rsidR="00EB01B3" w:rsidRPr="00C97518">
        <w:t>ERC Report 68</w:t>
      </w:r>
      <w:r w:rsidRPr="00C97518">
        <w:t xml:space="preserve">, </w:t>
      </w:r>
      <w:r w:rsidR="009A77C1" w:rsidRPr="00C97518">
        <w:t>in</w:t>
      </w:r>
      <w:r w:rsidRPr="00C97518">
        <w:t xml:space="preserve"> device boundary calculations. </w:t>
      </w:r>
      <w:r w:rsidR="009A77C1" w:rsidRPr="00C97518">
        <w:t xml:space="preserve">This means the relevant equation for </w:t>
      </w:r>
      <w:r w:rsidR="008029AF" w:rsidRPr="00C97518">
        <w:t xml:space="preserve">the </w:t>
      </w:r>
      <w:r w:rsidR="009A77C1" w:rsidRPr="00C97518">
        <w:t>1500</w:t>
      </w:r>
      <w:r w:rsidR="00A82AD0" w:rsidRPr="00C97518">
        <w:t>–</w:t>
      </w:r>
      <w:r w:rsidR="009A77C1" w:rsidRPr="00C97518">
        <w:t>2000 MHz and 2000</w:t>
      </w:r>
      <w:r w:rsidR="00A82AD0" w:rsidRPr="00C97518">
        <w:t>–</w:t>
      </w:r>
      <w:r w:rsidR="009A77C1" w:rsidRPr="00C97518">
        <w:t>3000 MHz frequency ranges will be used for the 1920</w:t>
      </w:r>
      <w:r w:rsidR="00A82AD0" w:rsidRPr="00C97518">
        <w:t>–</w:t>
      </w:r>
      <w:r w:rsidR="009A77C1" w:rsidRPr="00C97518">
        <w:t>1980 MHz and 2110</w:t>
      </w:r>
      <w:r w:rsidR="00A82AD0" w:rsidRPr="00C97518">
        <w:t>–</w:t>
      </w:r>
      <w:r w:rsidR="009A77C1" w:rsidRPr="00C97518">
        <w:t xml:space="preserve">2170 MHz bands respectively. </w:t>
      </w:r>
    </w:p>
    <w:p w14:paraId="767796AB" w14:textId="0E7C473D" w:rsidR="00672D35" w:rsidRPr="00C97518" w:rsidRDefault="00A00131" w:rsidP="0027403F">
      <w:r w:rsidRPr="00C97518" w:rsidDel="00B7585E">
        <w:t xml:space="preserve">The </w:t>
      </w:r>
      <w:r w:rsidR="008029AF" w:rsidRPr="00C97518">
        <w:t xml:space="preserve">proposed </w:t>
      </w:r>
      <w:r w:rsidR="00355B3F" w:rsidRPr="00C97518" w:rsidDel="00B7585E">
        <w:t xml:space="preserve">implementation of </w:t>
      </w:r>
      <w:r w:rsidR="00B7585E" w:rsidRPr="00C97518">
        <w:t xml:space="preserve">this propagation model in the device boundary criteria </w:t>
      </w:r>
      <w:r w:rsidRPr="00C97518">
        <w:t xml:space="preserve">is provided in </w:t>
      </w:r>
      <w:r w:rsidR="00EE5FB9" w:rsidRPr="00C97518">
        <w:rPr>
          <w:rFonts w:cs="Arial"/>
        </w:rPr>
        <w:t xml:space="preserve">the draft of the </w:t>
      </w:r>
      <w:r w:rsidR="00EE5FB9" w:rsidRPr="00C97518">
        <w:t>Radiocommunications (Unacceptable Levels of Interference – 2 GHz Band) Determination 2016</w:t>
      </w:r>
      <w:r w:rsidR="00A82AD0" w:rsidRPr="00C97518">
        <w:rPr>
          <w:rFonts w:cs="Arial"/>
        </w:rPr>
        <w:t>,</w:t>
      </w:r>
      <w:r w:rsidR="00EE5FB9" w:rsidRPr="00C97518">
        <w:rPr>
          <w:rFonts w:cs="Arial"/>
        </w:rPr>
        <w:t xml:space="preserve"> available on the ACMA website</w:t>
      </w:r>
      <w:r w:rsidRPr="00C97518">
        <w:t>.</w:t>
      </w:r>
    </w:p>
    <w:p w14:paraId="2F708BE7" w14:textId="3F82592C" w:rsidR="00D92412" w:rsidRPr="00C97518" w:rsidRDefault="00EE5FB9" w:rsidP="00473CE6">
      <w:pPr>
        <w:pStyle w:val="Heading2"/>
        <w:ind w:left="567" w:hanging="567"/>
      </w:pPr>
      <w:bookmarkStart w:id="37" w:name="_Toc437508124"/>
      <w:bookmarkStart w:id="38" w:name="_Toc437508429"/>
      <w:bookmarkStart w:id="39" w:name="_Toc437530162"/>
      <w:bookmarkStart w:id="40" w:name="_Toc461025773"/>
      <w:r w:rsidRPr="00C97518">
        <w:t>C</w:t>
      </w:r>
      <w:r w:rsidR="00D92412" w:rsidRPr="00C97518">
        <w:t xml:space="preserve">4 </w:t>
      </w:r>
      <w:r w:rsidR="00473CE6" w:rsidRPr="00C97518">
        <w:tab/>
      </w:r>
      <w:r w:rsidR="00D92412" w:rsidRPr="00C97518">
        <w:t>Device boundary criterion</w:t>
      </w:r>
      <w:bookmarkEnd w:id="37"/>
      <w:bookmarkEnd w:id="38"/>
      <w:bookmarkEnd w:id="39"/>
      <w:bookmarkEnd w:id="40"/>
    </w:p>
    <w:p w14:paraId="598482E1" w14:textId="50C5B61E" w:rsidR="00136E26" w:rsidRPr="00C97518" w:rsidRDefault="00136E26" w:rsidP="00305CBF">
      <w:r w:rsidRPr="00C97518">
        <w:t>The device boundary of a radiocommunications transmitter, calculated using the device boundary criterion, must lie within the geographic boundary of the licence; otherwise the transmitter may be declared under the subsection 145(4) determination to cause unacceptable interference.</w:t>
      </w:r>
    </w:p>
    <w:p w14:paraId="4B9DE055" w14:textId="77777777" w:rsidR="00136E26" w:rsidRPr="00C97518" w:rsidRDefault="00136E26" w:rsidP="00136E26">
      <w:r w:rsidRPr="00C97518">
        <w:t xml:space="preserve">Further description of the device boundary and the methodology updated for spectrum licensing is available in </w:t>
      </w:r>
      <w:r w:rsidRPr="00C97518">
        <w:rPr>
          <w:i/>
        </w:rPr>
        <w:t>SPP 02/12</w:t>
      </w:r>
      <w:r w:rsidRPr="00C97518">
        <w:t xml:space="preserve"> – </w:t>
      </w:r>
      <w:r w:rsidRPr="00C97518">
        <w:rPr>
          <w:i/>
        </w:rPr>
        <w:t>Device boundary methodology</w:t>
      </w:r>
      <w:r w:rsidRPr="00C97518">
        <w:t>. It mirrors the methodology put in place for the new/revised technical frameworks for the 800 MHz, 1800 MHz, 700 MHz and 2.5 GHz bands.</w:t>
      </w:r>
    </w:p>
    <w:p w14:paraId="4DA23BCA" w14:textId="1FC271C9" w:rsidR="00136E26" w:rsidRPr="00C97518" w:rsidRDefault="00136E26" w:rsidP="00136E26">
      <w:r w:rsidRPr="00C97518">
        <w:t xml:space="preserve">The ACMA considers the propagation model in section </w:t>
      </w:r>
      <w:r w:rsidR="00537EFC" w:rsidRPr="00C97518">
        <w:t>C</w:t>
      </w:r>
      <w:r w:rsidRPr="00C97518">
        <w:t xml:space="preserve">3 </w:t>
      </w:r>
      <w:r w:rsidR="008029AF" w:rsidRPr="00C97518">
        <w:t xml:space="preserve">of this attachment </w:t>
      </w:r>
      <w:r w:rsidRPr="00C97518">
        <w:t xml:space="preserve">and the level of protection </w:t>
      </w:r>
      <w:r w:rsidR="00A82AD0" w:rsidRPr="00C97518">
        <w:t xml:space="preserve">in </w:t>
      </w:r>
      <w:r w:rsidRPr="00C97518">
        <w:t xml:space="preserve">section </w:t>
      </w:r>
      <w:r w:rsidR="00537EFC" w:rsidRPr="00C97518">
        <w:t>C</w:t>
      </w:r>
      <w:r w:rsidRPr="00C97518">
        <w:t xml:space="preserve">2 </w:t>
      </w:r>
      <w:r w:rsidR="008029AF" w:rsidRPr="00C97518">
        <w:t xml:space="preserve">of this attachment </w:t>
      </w:r>
      <w:r w:rsidRPr="00C97518">
        <w:t>to be appropriate to provide adequate radiocommunications transmitter separation from the geographic boundary</w:t>
      </w:r>
      <w:r w:rsidR="00A82AD0" w:rsidRPr="00C97518">
        <w:t>. It will</w:t>
      </w:r>
      <w:r w:rsidRPr="00C97518">
        <w:t xml:space="preserve"> enable co-existence between adjacent area services</w:t>
      </w:r>
      <w:r w:rsidR="00A82AD0" w:rsidRPr="00C97518">
        <w:t>,</w:t>
      </w:r>
      <w:r w:rsidRPr="00C97518">
        <w:t xml:space="preserve"> while not placing overly restrictive constraints on transmitter deployment near the geographic boundary.</w:t>
      </w:r>
    </w:p>
    <w:p w14:paraId="63DC9DA8" w14:textId="46F54189" w:rsidR="00136E26" w:rsidRPr="00C97518" w:rsidRDefault="00136E26" w:rsidP="00136E26">
      <w:r w:rsidRPr="00C97518">
        <w:t xml:space="preserve">In recent technical frameworks, development has resulted in an effective antenna height cap of 500 metres being chosen </w:t>
      </w:r>
      <w:r w:rsidR="008029AF" w:rsidRPr="00C97518">
        <w:t>(</w:t>
      </w:r>
      <w:r w:rsidRPr="00C97518">
        <w:t>though occasionally, some site scenarios may result in an effective antenna height greater than this level</w:t>
      </w:r>
      <w:r w:rsidR="008029AF" w:rsidRPr="00C97518">
        <w:t>)</w:t>
      </w:r>
      <w:r w:rsidRPr="00C97518">
        <w:t xml:space="preserve">. It is </w:t>
      </w:r>
      <w:r w:rsidR="008029AF" w:rsidRPr="00C97518">
        <w:t xml:space="preserve">proposed </w:t>
      </w:r>
      <w:r w:rsidRPr="00C97518">
        <w:t>to maintain this effective antenna height restriction in the 2 GHz band.</w:t>
      </w:r>
    </w:p>
    <w:p w14:paraId="21992EBE" w14:textId="77777777" w:rsidR="00136E26" w:rsidRPr="00C97518" w:rsidRDefault="00136E26" w:rsidP="0027403F">
      <w:pPr>
        <w:spacing w:after="80"/>
      </w:pPr>
      <w:r w:rsidRPr="00C97518">
        <w:t xml:space="preserve">Note that the implementation of the proposed methodology in </w:t>
      </w:r>
      <w:r w:rsidRPr="00C97518">
        <w:rPr>
          <w:i/>
        </w:rPr>
        <w:t>SPP 02/12</w:t>
      </w:r>
      <w:r w:rsidRPr="00C97518">
        <w:t xml:space="preserve"> – </w:t>
      </w:r>
      <w:r w:rsidRPr="00C97518">
        <w:rPr>
          <w:i/>
        </w:rPr>
        <w:t>Device boundary methodology</w:t>
      </w:r>
      <w:r w:rsidRPr="00C97518">
        <w:t xml:space="preserve"> requires the definition of two variables:</w:t>
      </w:r>
    </w:p>
    <w:p w14:paraId="0CA2FA68" w14:textId="17DE5B6B" w:rsidR="00136E26" w:rsidRPr="00C97518" w:rsidRDefault="00136E26" w:rsidP="0027403F">
      <w:pPr>
        <w:pStyle w:val="ListBullet"/>
        <w:numPr>
          <w:ilvl w:val="0"/>
          <w:numId w:val="1"/>
        </w:numPr>
      </w:pPr>
      <w:r w:rsidRPr="00C97518">
        <w:t>h</w:t>
      </w:r>
      <w:r w:rsidRPr="00C97518">
        <w:rPr>
          <w:vertAlign w:val="subscript"/>
        </w:rPr>
        <w:t>gr</w:t>
      </w:r>
      <w:r w:rsidRPr="00C97518">
        <w:t xml:space="preserve"> = nominal receive antenna height above ground level (m)</w:t>
      </w:r>
    </w:p>
    <w:p w14:paraId="636D10EA" w14:textId="77777777" w:rsidR="00136E26" w:rsidRPr="00C97518" w:rsidRDefault="00136E26" w:rsidP="0027403F">
      <w:pPr>
        <w:pStyle w:val="ListBullet"/>
        <w:numPr>
          <w:ilvl w:val="0"/>
          <w:numId w:val="1"/>
        </w:numPr>
        <w:spacing w:after="240"/>
      </w:pPr>
      <w:r w:rsidRPr="00C97518">
        <w:t>G</w:t>
      </w:r>
      <w:r w:rsidRPr="00C97518">
        <w:rPr>
          <w:vertAlign w:val="subscript"/>
        </w:rPr>
        <w:t>r</w:t>
      </w:r>
      <w:r w:rsidRPr="00C97518">
        <w:t xml:space="preserve"> = nominal receiving antenna gain including feeder loss set (dBi).</w:t>
      </w:r>
    </w:p>
    <w:p w14:paraId="4CDD17E8" w14:textId="0CEFBCF6" w:rsidR="00136E26" w:rsidRPr="00C97518" w:rsidRDefault="00136E26" w:rsidP="00136E26">
      <w:r w:rsidRPr="00C97518">
        <w:t xml:space="preserve">Based on the </w:t>
      </w:r>
      <w:r w:rsidRPr="00C97518">
        <w:rPr>
          <w:i/>
        </w:rPr>
        <w:t>LOP</w:t>
      </w:r>
      <w:r w:rsidRPr="00C97518">
        <w:t xml:space="preserve"> values derived in section </w:t>
      </w:r>
      <w:r w:rsidR="00537EFC" w:rsidRPr="00C97518">
        <w:t>C</w:t>
      </w:r>
      <w:r w:rsidRPr="00C97518">
        <w:t>2</w:t>
      </w:r>
      <w:r w:rsidR="008029AF" w:rsidRPr="00C97518">
        <w:t xml:space="preserve"> of this attachment</w:t>
      </w:r>
      <w:r w:rsidRPr="00C97518">
        <w:t xml:space="preserve">, the values for these parameters </w:t>
      </w:r>
      <w:r w:rsidR="008029AF" w:rsidRPr="00C97518">
        <w:t>are</w:t>
      </w:r>
      <w:r w:rsidRPr="00C97518">
        <w:t xml:space="preserve"> set to </w:t>
      </w:r>
      <w:r w:rsidRPr="00C97518">
        <w:rPr>
          <w:i/>
        </w:rPr>
        <w:t>h</w:t>
      </w:r>
      <w:r w:rsidRPr="00C97518">
        <w:rPr>
          <w:i/>
          <w:vertAlign w:val="subscript"/>
        </w:rPr>
        <w:t>gr</w:t>
      </w:r>
      <w:r w:rsidRPr="00C97518">
        <w:t xml:space="preserve"> = 1.5 m and </w:t>
      </w:r>
      <w:r w:rsidRPr="00C97518">
        <w:rPr>
          <w:i/>
        </w:rPr>
        <w:t>G</w:t>
      </w:r>
      <w:r w:rsidRPr="00C97518">
        <w:rPr>
          <w:i/>
          <w:vertAlign w:val="subscript"/>
        </w:rPr>
        <w:t>r</w:t>
      </w:r>
      <w:r w:rsidRPr="00C97518">
        <w:t xml:space="preserve"> = 0 dBi at the boundary. </w:t>
      </w:r>
    </w:p>
    <w:p w14:paraId="1426BFB8" w14:textId="1BA02836" w:rsidR="002E3EB5" w:rsidRPr="00C97518" w:rsidRDefault="00136E26" w:rsidP="002E3EB5">
      <w:r w:rsidRPr="00C97518">
        <w:t xml:space="preserve">Assuming a maximum base station height of 500 metres, the propagation model described in section </w:t>
      </w:r>
      <w:r w:rsidR="00537EFC" w:rsidRPr="00C97518">
        <w:t>C</w:t>
      </w:r>
      <w:r w:rsidR="00F22A5C" w:rsidRPr="00C97518">
        <w:t>3</w:t>
      </w:r>
      <w:r w:rsidRPr="00C97518">
        <w:t xml:space="preserve">, the outside the area emission limit of section </w:t>
      </w:r>
      <w:r w:rsidR="00F22A5C" w:rsidRPr="00C97518">
        <w:t>B3</w:t>
      </w:r>
      <w:r w:rsidRPr="00C97518">
        <w:t xml:space="preserve"> (</w:t>
      </w:r>
      <w:r w:rsidR="002E3EB5" w:rsidRPr="00C97518">
        <w:t>77.2</w:t>
      </w:r>
      <w:r w:rsidR="0008727F" w:rsidRPr="00C97518">
        <w:t> </w:t>
      </w:r>
      <w:r w:rsidRPr="00C97518">
        <w:t xml:space="preserve">dBm per 5 MHz) and the proposed level of protection </w:t>
      </w:r>
      <w:r w:rsidR="008029AF" w:rsidRPr="00C97518">
        <w:t>in</w:t>
      </w:r>
      <w:r w:rsidRPr="00C97518">
        <w:t xml:space="preserve"> section </w:t>
      </w:r>
      <w:r w:rsidR="00537EFC" w:rsidRPr="00C97518">
        <w:t>C</w:t>
      </w:r>
      <w:r w:rsidR="00F22A5C" w:rsidRPr="00C97518">
        <w:t>2</w:t>
      </w:r>
      <w:r w:rsidR="008029AF" w:rsidRPr="00C97518">
        <w:t xml:space="preserve"> of this attachment</w:t>
      </w:r>
      <w:r w:rsidRPr="00C97518">
        <w:t xml:space="preserve">, the maximum radial length achievable is </w:t>
      </w:r>
      <w:r w:rsidR="0008727F" w:rsidRPr="00C97518">
        <w:t xml:space="preserve">approximately </w:t>
      </w:r>
      <w:r w:rsidR="002E3EB5" w:rsidRPr="00C97518">
        <w:t>46</w:t>
      </w:r>
      <w:r w:rsidR="0008727F" w:rsidRPr="00C97518">
        <w:t xml:space="preserve"> </w:t>
      </w:r>
      <w:r w:rsidRPr="00C97518">
        <w:t>kilometres.</w:t>
      </w:r>
      <w:r w:rsidR="002E3EB5" w:rsidRPr="00C97518">
        <w:t xml:space="preserve"> This is based on a propagation loss of LOP-EIRP</w:t>
      </w:r>
      <w:r w:rsidR="002E3EB5" w:rsidRPr="00C97518">
        <w:rPr>
          <w:vertAlign w:val="subscript"/>
        </w:rPr>
        <w:t>max</w:t>
      </w:r>
      <w:r w:rsidR="002E3EB5" w:rsidRPr="00C97518">
        <w:t>-G</w:t>
      </w:r>
      <w:r w:rsidR="002E3EB5" w:rsidRPr="00C97518">
        <w:rPr>
          <w:vertAlign w:val="subscript"/>
        </w:rPr>
        <w:t>Rx</w:t>
      </w:r>
      <w:r w:rsidR="002E3EB5" w:rsidRPr="00C97518">
        <w:t xml:space="preserve"> = -96 dBm/5MHz – 77.2 – 0 = 173 dB (assuming H</w:t>
      </w:r>
      <w:r w:rsidR="002E3EB5" w:rsidRPr="00C97518">
        <w:rPr>
          <w:vertAlign w:val="subscript"/>
        </w:rPr>
        <w:t>b</w:t>
      </w:r>
      <w:r w:rsidR="002E3EB5" w:rsidRPr="00C97518">
        <w:t xml:space="preserve"> = 500m and H</w:t>
      </w:r>
      <w:r w:rsidR="002E3EB5" w:rsidRPr="00C97518">
        <w:rPr>
          <w:vertAlign w:val="subscript"/>
        </w:rPr>
        <w:t>m</w:t>
      </w:r>
      <w:r w:rsidR="002E3EB5" w:rsidRPr="00C97518">
        <w:t xml:space="preserve"> = 1.5m).</w:t>
      </w:r>
    </w:p>
    <w:p w14:paraId="69D9906E" w14:textId="51ADC75C" w:rsidR="00136E26" w:rsidRPr="00C97518" w:rsidRDefault="00136E26" w:rsidP="00136E26">
      <w:r w:rsidRPr="00C97518">
        <w:t xml:space="preserve">Therefore, devices located greater than </w:t>
      </w:r>
      <w:r w:rsidR="002E3EB5" w:rsidRPr="00C97518">
        <w:t>46</w:t>
      </w:r>
      <w:r w:rsidR="0008727F" w:rsidRPr="00C97518">
        <w:t xml:space="preserve"> </w:t>
      </w:r>
      <w:r w:rsidRPr="00C97518">
        <w:t>kilometres from the geographic boundary of the licence</w:t>
      </w:r>
      <w:r w:rsidR="00524B34" w:rsidRPr="00C97518">
        <w:t xml:space="preserve"> </w:t>
      </w:r>
      <w:r w:rsidR="00F22A5C" w:rsidRPr="00C97518">
        <w:t xml:space="preserve">that </w:t>
      </w:r>
      <w:r w:rsidRPr="00C97518">
        <w:t xml:space="preserve">meet the core conditions of the licence, are deemed to comply with the device boundary criterion </w:t>
      </w:r>
      <w:r w:rsidR="004D3FEF" w:rsidRPr="00C97518">
        <w:t>because</w:t>
      </w:r>
      <w:r w:rsidRPr="00C97518">
        <w:t xml:space="preserve"> of the radio horizon, and are taken not to cause unacceptable interference.</w:t>
      </w:r>
    </w:p>
    <w:p w14:paraId="248E6911" w14:textId="545B7178" w:rsidR="00B2671D" w:rsidRPr="00C97518" w:rsidRDefault="00D21E6B" w:rsidP="00D21E6B">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Pr>
          <w:b/>
        </w:rPr>
        <w:lastRenderedPageBreak/>
        <w:t>T</w:t>
      </w:r>
      <w:r w:rsidR="00136E26" w:rsidRPr="00C97518">
        <w:rPr>
          <w:b/>
        </w:rPr>
        <w:t>he follow</w:t>
      </w:r>
      <w:r w:rsidR="008029AF" w:rsidRPr="00C97518">
        <w:rPr>
          <w:b/>
        </w:rPr>
        <w:t>ing</w:t>
      </w:r>
      <w:r w:rsidR="00136E26" w:rsidRPr="00C97518">
        <w:rPr>
          <w:b/>
        </w:rPr>
        <w:t xml:space="preserve"> parameters </w:t>
      </w:r>
      <w:r>
        <w:rPr>
          <w:b/>
        </w:rPr>
        <w:t xml:space="preserve">are proposed </w:t>
      </w:r>
      <w:r w:rsidR="00136E26" w:rsidRPr="00C97518">
        <w:rPr>
          <w:b/>
        </w:rPr>
        <w:t>for the device boundary criterion:</w:t>
      </w:r>
    </w:p>
    <w:p w14:paraId="066176F0" w14:textId="71BA171D" w:rsidR="00B2671D" w:rsidRPr="00C97518" w:rsidRDefault="00B2671D" w:rsidP="00112131">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C97518">
        <w:rPr>
          <w:b/>
        </w:rPr>
        <w:tab/>
        <w:t xml:space="preserve">&gt; </w:t>
      </w:r>
      <w:r w:rsidR="008029AF" w:rsidRPr="00C97518">
        <w:rPr>
          <w:b/>
        </w:rPr>
        <w:t>a</w:t>
      </w:r>
      <w:r w:rsidRPr="00C97518">
        <w:rPr>
          <w:b/>
        </w:rPr>
        <w:t xml:space="preserve"> nominal receive antenna height above ground level, h</w:t>
      </w:r>
      <w:r w:rsidRPr="00C97518">
        <w:rPr>
          <w:b/>
          <w:vertAlign w:val="subscript"/>
        </w:rPr>
        <w:t>gr</w:t>
      </w:r>
      <w:r w:rsidRPr="00C97518">
        <w:rPr>
          <w:b/>
        </w:rPr>
        <w:t xml:space="preserve"> = 1.5 metres </w:t>
      </w:r>
    </w:p>
    <w:p w14:paraId="641C8CC8" w14:textId="3E100857" w:rsidR="00B2671D" w:rsidRPr="00C97518" w:rsidRDefault="00B2671D" w:rsidP="00112131">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C97518">
        <w:rPr>
          <w:b/>
        </w:rPr>
        <w:tab/>
        <w:t xml:space="preserve">&gt; </w:t>
      </w:r>
      <w:r w:rsidR="008029AF" w:rsidRPr="00C97518">
        <w:rPr>
          <w:b/>
        </w:rPr>
        <w:t>a</w:t>
      </w:r>
      <w:r w:rsidRPr="00C97518">
        <w:rPr>
          <w:b/>
        </w:rPr>
        <w:t xml:space="preserve"> nominal receiving antenna gain, G</w:t>
      </w:r>
      <w:r w:rsidRPr="00C97518">
        <w:rPr>
          <w:b/>
          <w:vertAlign w:val="subscript"/>
        </w:rPr>
        <w:t xml:space="preserve">r </w:t>
      </w:r>
      <w:r w:rsidRPr="00C97518">
        <w:rPr>
          <w:b/>
        </w:rPr>
        <w:t>= 0 dBi</w:t>
      </w:r>
    </w:p>
    <w:p w14:paraId="56DB02A6" w14:textId="4EC26CF8" w:rsidR="00B2671D" w:rsidRPr="00C97518" w:rsidRDefault="00B2671D" w:rsidP="00112131">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C97518">
        <w:rPr>
          <w:b/>
        </w:rPr>
        <w:tab/>
        <w:t xml:space="preserve">&gt; </w:t>
      </w:r>
      <w:r w:rsidR="008029AF" w:rsidRPr="00C97518">
        <w:rPr>
          <w:b/>
        </w:rPr>
        <w:t>a</w:t>
      </w:r>
      <w:r w:rsidRPr="00C97518">
        <w:rPr>
          <w:b/>
        </w:rPr>
        <w:t xml:space="preserve"> maximum radial length of </w:t>
      </w:r>
      <w:r w:rsidR="002E3EB5" w:rsidRPr="00C97518">
        <w:rPr>
          <w:b/>
        </w:rPr>
        <w:t>46</w:t>
      </w:r>
      <w:r w:rsidR="0008727F" w:rsidRPr="00C97518">
        <w:rPr>
          <w:b/>
        </w:rPr>
        <w:t xml:space="preserve"> </w:t>
      </w:r>
      <w:r w:rsidR="004D3FEF" w:rsidRPr="00C97518">
        <w:rPr>
          <w:b/>
        </w:rPr>
        <w:t>kilometres.</w:t>
      </w:r>
    </w:p>
    <w:p w14:paraId="25F3CDE8" w14:textId="651C0EB4" w:rsidR="00136E26" w:rsidRPr="00C97518" w:rsidRDefault="00136E26" w:rsidP="0027403F">
      <w:pPr>
        <w:spacing w:before="240"/>
      </w:pPr>
      <w:r w:rsidRPr="00C97518">
        <w:t xml:space="preserve">An indicative Schedule 2 of the subsection 145(4) determination is provided in </w:t>
      </w:r>
      <w:r w:rsidR="00537EFC" w:rsidRPr="00C97518">
        <w:rPr>
          <w:rFonts w:cs="Arial"/>
        </w:rPr>
        <w:t xml:space="preserve">the draft of the </w:t>
      </w:r>
      <w:r w:rsidR="00537EFC" w:rsidRPr="000743A8">
        <w:rPr>
          <w:i/>
        </w:rPr>
        <w:t>Radiocommunications (Unacceptable Levels of Interference – 2 GHz Band) Determination 2016</w:t>
      </w:r>
      <w:r w:rsidR="004D3FEF" w:rsidRPr="00C97518">
        <w:rPr>
          <w:rFonts w:cs="Arial"/>
        </w:rPr>
        <w:t>,</w:t>
      </w:r>
      <w:r w:rsidR="00537EFC" w:rsidRPr="00C97518">
        <w:rPr>
          <w:rFonts w:cs="Arial"/>
        </w:rPr>
        <w:t xml:space="preserve"> available on the ACMA website</w:t>
      </w:r>
      <w:r w:rsidR="00537EFC" w:rsidRPr="00C97518">
        <w:t>.</w:t>
      </w:r>
    </w:p>
    <w:p w14:paraId="152F1181" w14:textId="2574A2A1" w:rsidR="00136E26" w:rsidRPr="00C97518" w:rsidRDefault="000743A8" w:rsidP="0027403F">
      <w:pPr>
        <w:spacing w:before="60" w:after="60"/>
      </w:pPr>
      <w:bookmarkStart w:id="41" w:name="_Ref337820541"/>
      <w:bookmarkStart w:id="42" w:name="_Ref337820548"/>
      <w:bookmarkStart w:id="43" w:name="_Toc369166809"/>
      <w:bookmarkStart w:id="44" w:name="_Toc437508125"/>
      <w:bookmarkStart w:id="45" w:name="_Toc437508430"/>
      <w:bookmarkStart w:id="46" w:name="_Toc437530163"/>
      <w:r>
        <w:rPr>
          <w:b/>
        </w:rPr>
        <w:t>Specified situations that the DBC does not apply</w:t>
      </w:r>
      <w:bookmarkEnd w:id="41"/>
      <w:bookmarkEnd w:id="42"/>
      <w:bookmarkEnd w:id="43"/>
      <w:bookmarkEnd w:id="44"/>
      <w:bookmarkEnd w:id="45"/>
      <w:bookmarkEnd w:id="46"/>
    </w:p>
    <w:p w14:paraId="2E6A654E" w14:textId="3BCBD85D" w:rsidR="000743A8" w:rsidRDefault="000743A8" w:rsidP="0027403F">
      <w:pPr>
        <w:keepNext/>
        <w:keepLines/>
        <w:spacing w:after="80"/>
      </w:pPr>
      <w:r>
        <w:t>D</w:t>
      </w:r>
      <w:r w:rsidRPr="00FB338E">
        <w:t xml:space="preserve">evices that were registered under a 2 GHz band spectrum licence that expired on 11 October 2017 </w:t>
      </w:r>
      <w:r>
        <w:t>will</w:t>
      </w:r>
      <w:r w:rsidRPr="00FB338E">
        <w:t xml:space="preserve"> be exempt from the device boundary criteria when being re-registered under a re-issued spectrum licence, provided technical parameters used for coordination do not change</w:t>
      </w:r>
    </w:p>
    <w:p w14:paraId="4A18CD90" w14:textId="042ABFD3" w:rsidR="00136E26" w:rsidRPr="00C97518" w:rsidRDefault="00136E26" w:rsidP="0027403F">
      <w:pPr>
        <w:keepNext/>
        <w:keepLines/>
        <w:spacing w:after="80"/>
        <w:rPr>
          <w:rFonts w:cs="Arial"/>
          <w:szCs w:val="20"/>
        </w:rPr>
      </w:pPr>
      <w:r w:rsidRPr="00C97518">
        <w:t xml:space="preserve">Where a part of the device boundary lies outside the boundary of the </w:t>
      </w:r>
      <w:r w:rsidR="00312BA0" w:rsidRPr="00C97518">
        <w:t>Australian Spectrum Map Grid 2012 (</w:t>
      </w:r>
      <w:r w:rsidRPr="00C97518">
        <w:t>ASMG</w:t>
      </w:r>
      <w:r w:rsidR="00312BA0" w:rsidRPr="00C97518">
        <w:t>)</w:t>
      </w:r>
      <w:r w:rsidRPr="00C97518">
        <w:rPr>
          <w:rStyle w:val="FootnoteReference"/>
        </w:rPr>
        <w:footnoteReference w:id="13"/>
      </w:r>
      <w:r w:rsidRPr="00C97518">
        <w:t xml:space="preserve">, then </w:t>
      </w:r>
      <w:r w:rsidR="00D464BD" w:rsidRPr="00C97518">
        <w:t xml:space="preserve">further </w:t>
      </w:r>
      <w:r w:rsidRPr="00C97518">
        <w:t xml:space="preserve">additional consideration </w:t>
      </w:r>
      <w:r w:rsidR="00D464BD" w:rsidRPr="00C97518">
        <w:t>need</w:t>
      </w:r>
      <w:r w:rsidR="009E6B63">
        <w:t>s</w:t>
      </w:r>
      <w:r w:rsidR="00D464BD" w:rsidRPr="00C97518">
        <w:t xml:space="preserve"> to be given</w:t>
      </w:r>
      <w:r w:rsidRPr="00C97518">
        <w:t xml:space="preserve"> to whether the device causes a level of interference taken to be unacceptable in calculation of the device boundary. A radiocommunications transmitter operated under a spectrum licence is taken not to be unacceptable for those parts of the device boundary where the device boundary:</w:t>
      </w:r>
    </w:p>
    <w:p w14:paraId="3E2FF8D4" w14:textId="22C0D03E" w:rsidR="00C760AC" w:rsidRPr="00C97518" w:rsidRDefault="00136E26" w:rsidP="00537EFC">
      <w:pPr>
        <w:pStyle w:val="ListNumber2"/>
        <w:keepNext/>
        <w:keepLines/>
        <w:numPr>
          <w:ilvl w:val="0"/>
          <w:numId w:val="15"/>
        </w:numPr>
      </w:pPr>
      <w:r w:rsidRPr="00C97518">
        <w:t>lies outside the boundary of the ASMG; and</w:t>
      </w:r>
    </w:p>
    <w:p w14:paraId="02953686" w14:textId="5169A94B" w:rsidR="00136E26" w:rsidRPr="00C97518" w:rsidRDefault="00136E26" w:rsidP="00537EFC">
      <w:pPr>
        <w:pStyle w:val="ListNumber2"/>
        <w:keepNext/>
        <w:keepLines/>
        <w:numPr>
          <w:ilvl w:val="0"/>
          <w:numId w:val="15"/>
        </w:numPr>
      </w:pPr>
      <w:r w:rsidRPr="00C97518">
        <w:t>is connected to a radial that:</w:t>
      </w:r>
    </w:p>
    <w:p w14:paraId="22605C94" w14:textId="4C4FEC2A" w:rsidR="005D630F" w:rsidRPr="00C97518" w:rsidRDefault="005D630F" w:rsidP="00537EFC">
      <w:pPr>
        <w:pStyle w:val="ListNumber2"/>
        <w:numPr>
          <w:ilvl w:val="1"/>
          <w:numId w:val="12"/>
        </w:numPr>
        <w:ind w:left="709"/>
      </w:pPr>
      <w:r w:rsidRPr="00C97518">
        <w:t>is mentioned in Part 1 of Schedule 2</w:t>
      </w:r>
      <w:r w:rsidR="002A7AEE" w:rsidRPr="00C97518">
        <w:t xml:space="preserve"> of the subsection 145(4) determination</w:t>
      </w:r>
      <w:r w:rsidRPr="00C97518">
        <w:t>; and</w:t>
      </w:r>
    </w:p>
    <w:p w14:paraId="393F14DF" w14:textId="30A43C77" w:rsidR="00305CBF" w:rsidRPr="00C97518" w:rsidRDefault="004D3FEF" w:rsidP="0027403F">
      <w:pPr>
        <w:pStyle w:val="ListNumber2"/>
        <w:numPr>
          <w:ilvl w:val="1"/>
          <w:numId w:val="12"/>
        </w:numPr>
        <w:spacing w:after="240"/>
        <w:ind w:left="709"/>
      </w:pPr>
      <w:r w:rsidRPr="00C97518">
        <w:t>d</w:t>
      </w:r>
      <w:r w:rsidR="005D630F" w:rsidRPr="00C97518">
        <w:t>oes not cross the geographic area of another licence</w:t>
      </w:r>
      <w:r w:rsidRPr="00C97518">
        <w:t>.</w:t>
      </w:r>
    </w:p>
    <w:p w14:paraId="0F64BFBA" w14:textId="51EF36F5" w:rsidR="00EE7329" w:rsidRPr="00C97518" w:rsidRDefault="00136E26" w:rsidP="0027403F">
      <w:pPr>
        <w:rPr>
          <w:szCs w:val="20"/>
          <w:lang w:eastAsia="en-US" w:bidi="he-IL"/>
        </w:rPr>
      </w:pPr>
      <w:r w:rsidRPr="00C97518">
        <w:t xml:space="preserve">This is illustrated in </w:t>
      </w:r>
      <w:r w:rsidR="0011700E" w:rsidRPr="00C97518">
        <w:t xml:space="preserve">Figure </w:t>
      </w:r>
      <w:r w:rsidR="00537EFC" w:rsidRPr="00C97518">
        <w:t>C</w:t>
      </w:r>
      <w:r w:rsidR="00EE7329" w:rsidRPr="00C97518">
        <w:t>1</w:t>
      </w:r>
      <w:r w:rsidRPr="00C97518">
        <w:t>, where the resulting DBC pass point is located outside the ASMG, and illustrates a fail if the radial crosses the geographic area of another licence.</w:t>
      </w:r>
    </w:p>
    <w:p w14:paraId="36B614C0" w14:textId="211A4C55" w:rsidR="00EE7329" w:rsidRPr="00C97518" w:rsidRDefault="00EE7329" w:rsidP="005D4087">
      <w:pPr>
        <w:spacing w:after="120" w:line="240" w:lineRule="auto"/>
      </w:pPr>
      <w:r w:rsidRPr="00C97518">
        <w:rPr>
          <w:b/>
          <w:szCs w:val="20"/>
          <w:lang w:eastAsia="en-US" w:bidi="he-IL"/>
        </w:rPr>
        <w:t xml:space="preserve">Figure </w:t>
      </w:r>
      <w:r w:rsidR="00537EFC" w:rsidRPr="00C97518">
        <w:rPr>
          <w:b/>
          <w:szCs w:val="20"/>
          <w:lang w:eastAsia="en-US" w:bidi="he-IL"/>
        </w:rPr>
        <w:t>C</w:t>
      </w:r>
      <w:r w:rsidRPr="00C97518">
        <w:rPr>
          <w:b/>
          <w:szCs w:val="20"/>
          <w:lang w:eastAsia="en-US" w:bidi="he-IL"/>
        </w:rPr>
        <w:t xml:space="preserve">1: </w:t>
      </w:r>
      <w:r w:rsidRPr="00C97518">
        <w:rPr>
          <w:rFonts w:cs="Arial"/>
          <w:b/>
          <w:bCs/>
          <w:szCs w:val="20"/>
          <w:lang w:eastAsia="en-US" w:bidi="he-IL"/>
        </w:rPr>
        <w:t>The DBC and ASMG</w:t>
      </w:r>
    </w:p>
    <w:p w14:paraId="53A1857B" w14:textId="77777777" w:rsidR="00136E26" w:rsidRPr="00C97518" w:rsidRDefault="00136E26" w:rsidP="0027403F">
      <w:pPr>
        <w:spacing w:after="360"/>
      </w:pPr>
      <w:r w:rsidRPr="00C97518">
        <w:rPr>
          <w:noProof/>
        </w:rPr>
        <mc:AlternateContent>
          <mc:Choice Requires="wpc">
            <w:drawing>
              <wp:inline distT="0" distB="0" distL="0" distR="0" wp14:anchorId="1ABFE90B" wp14:editId="4217FC04">
                <wp:extent cx="3093085" cy="2286000"/>
                <wp:effectExtent l="0" t="0" r="50165" b="0"/>
                <wp:docPr id="16" name="Canvas 16" descr="The DBC and ASMG"/>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 name="AutoShape 15"/>
                        <wps:cNvCnPr>
                          <a:cxnSpLocks noChangeShapeType="1"/>
                        </wps:cNvCnPr>
                        <wps:spPr bwMode="auto">
                          <a:xfrm flipV="1">
                            <a:off x="514350" y="1160145"/>
                            <a:ext cx="482600" cy="575945"/>
                          </a:xfrm>
                          <a:prstGeom prst="straightConnector1">
                            <a:avLst/>
                          </a:prstGeom>
                          <a:noFill/>
                          <a:ln w="15875">
                            <a:solidFill>
                              <a:srgbClr val="00B050"/>
                            </a:solidFill>
                            <a:round/>
                            <a:headEnd type="oval" w="med" len="med"/>
                            <a:tailEnd type="oval" w="med" len="med"/>
                          </a:ln>
                          <a:extLst>
                            <a:ext uri="{909E8E84-426E-40DD-AFC4-6F175D3DCCD1}">
                              <a14:hiddenFill xmlns:a14="http://schemas.microsoft.com/office/drawing/2010/main">
                                <a:noFill/>
                              </a14:hiddenFill>
                            </a:ext>
                          </a:extLst>
                        </wps:spPr>
                        <wps:bodyPr/>
                      </wps:wsp>
                      <wps:wsp>
                        <wps:cNvPr id="6" name="AutoShape 16"/>
                        <wps:cNvCnPr>
                          <a:cxnSpLocks noChangeShapeType="1"/>
                        </wps:cNvCnPr>
                        <wps:spPr bwMode="auto">
                          <a:xfrm rot="10800000">
                            <a:off x="0" y="260350"/>
                            <a:ext cx="1687830" cy="84328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AutoShape 17"/>
                        <wps:cNvCnPr>
                          <a:cxnSpLocks noChangeShapeType="1"/>
                        </wps:cNvCnPr>
                        <wps:spPr bwMode="auto">
                          <a:xfrm rot="5400000">
                            <a:off x="1141730" y="594995"/>
                            <a:ext cx="2123440" cy="1005840"/>
                          </a:xfrm>
                          <a:prstGeom prst="bentConnector3">
                            <a:avLst>
                              <a:gd name="adj1" fmla="val 50000"/>
                            </a:avLst>
                          </a:prstGeom>
                          <a:noFill/>
                          <a:ln w="9525">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8" name="Text Box 18"/>
                        <wps:cNvSpPr txBox="1">
                          <a:spLocks noChangeArrowheads="1"/>
                        </wps:cNvSpPr>
                        <wps:spPr bwMode="auto">
                          <a:xfrm>
                            <a:off x="2487930" y="436245"/>
                            <a:ext cx="456810" cy="37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08911" w14:textId="77777777" w:rsidR="00C06149" w:rsidRDefault="00C06149" w:rsidP="00136E26">
                              <w:r>
                                <w:t>ASMG</w:t>
                              </w:r>
                            </w:p>
                          </w:txbxContent>
                        </wps:txbx>
                        <wps:bodyPr rot="0" vert="horz" wrap="square" lIns="36000" tIns="36000" rIns="36000" bIns="36000" anchor="ctr" anchorCtr="0" upright="1">
                          <a:spAutoFit/>
                        </wps:bodyPr>
                      </wps:wsp>
                      <wps:wsp>
                        <wps:cNvPr id="9" name="Text Box 19"/>
                        <wps:cNvSpPr txBox="1">
                          <a:spLocks noChangeArrowheads="1"/>
                        </wps:cNvSpPr>
                        <wps:spPr bwMode="auto">
                          <a:xfrm>
                            <a:off x="854075" y="862965"/>
                            <a:ext cx="575945"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072B17" w14:textId="77777777" w:rsidR="00C06149" w:rsidRPr="00C90AD3" w:rsidRDefault="00C06149" w:rsidP="00136E26">
                              <w:pPr>
                                <w:rPr>
                                  <w:sz w:val="16"/>
                                </w:rPr>
                              </w:pPr>
                              <w:r>
                                <w:rPr>
                                  <w:sz w:val="16"/>
                                </w:rPr>
                                <w:t>Licensee 1</w:t>
                              </w:r>
                            </w:p>
                          </w:txbxContent>
                        </wps:txbx>
                        <wps:bodyPr rot="0" vert="horz" wrap="square" lIns="36000" tIns="36000" rIns="36000" bIns="36000" anchor="ctr" anchorCtr="0" upright="1">
                          <a:noAutofit/>
                        </wps:bodyPr>
                      </wps:wsp>
                      <wps:wsp>
                        <wps:cNvPr id="10" name="Text Box 20"/>
                        <wps:cNvSpPr txBox="1">
                          <a:spLocks noChangeArrowheads="1"/>
                        </wps:cNvSpPr>
                        <wps:spPr bwMode="auto">
                          <a:xfrm>
                            <a:off x="105410" y="347980"/>
                            <a:ext cx="575945"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0CE9FE" w14:textId="77777777" w:rsidR="00C06149" w:rsidRPr="00C90AD3" w:rsidRDefault="00C06149" w:rsidP="00136E26">
                              <w:pPr>
                                <w:rPr>
                                  <w:sz w:val="16"/>
                                </w:rPr>
                              </w:pPr>
                              <w:r>
                                <w:rPr>
                                  <w:sz w:val="16"/>
                                </w:rPr>
                                <w:t>Licensee 2</w:t>
                              </w:r>
                            </w:p>
                          </w:txbxContent>
                        </wps:txbx>
                        <wps:bodyPr rot="0" vert="horz" wrap="square" lIns="36000" tIns="36000" rIns="36000" bIns="36000" anchor="ctr" anchorCtr="0" upright="1">
                          <a:noAutofit/>
                        </wps:bodyPr>
                      </wps:wsp>
                      <wps:wsp>
                        <wps:cNvPr id="11" name="Freeform 21"/>
                        <wps:cNvSpPr>
                          <a:spLocks/>
                        </wps:cNvSpPr>
                        <wps:spPr bwMode="auto">
                          <a:xfrm>
                            <a:off x="638810" y="0"/>
                            <a:ext cx="1367155" cy="2201545"/>
                          </a:xfrm>
                          <a:custGeom>
                            <a:avLst/>
                            <a:gdLst>
                              <a:gd name="T0" fmla="*/ 0 w 2153"/>
                              <a:gd name="T1" fmla="*/ 3467 h 3467"/>
                              <a:gd name="T2" fmla="*/ 44 w 2153"/>
                              <a:gd name="T3" fmla="*/ 3390 h 3467"/>
                              <a:gd name="T4" fmla="*/ 332 w 2153"/>
                              <a:gd name="T5" fmla="*/ 3257 h 3467"/>
                              <a:gd name="T6" fmla="*/ 388 w 2153"/>
                              <a:gd name="T7" fmla="*/ 3157 h 3467"/>
                              <a:gd name="T8" fmla="*/ 476 w 2153"/>
                              <a:gd name="T9" fmla="*/ 2858 h 3467"/>
                              <a:gd name="T10" fmla="*/ 510 w 2153"/>
                              <a:gd name="T11" fmla="*/ 2825 h 3467"/>
                              <a:gd name="T12" fmla="*/ 576 w 2153"/>
                              <a:gd name="T13" fmla="*/ 2803 h 3467"/>
                              <a:gd name="T14" fmla="*/ 676 w 2153"/>
                              <a:gd name="T15" fmla="*/ 2747 h 3467"/>
                              <a:gd name="T16" fmla="*/ 764 w 2153"/>
                              <a:gd name="T17" fmla="*/ 2703 h 3467"/>
                              <a:gd name="T18" fmla="*/ 864 w 2153"/>
                              <a:gd name="T19" fmla="*/ 2614 h 3467"/>
                              <a:gd name="T20" fmla="*/ 942 w 2153"/>
                              <a:gd name="T21" fmla="*/ 2570 h 3467"/>
                              <a:gd name="T22" fmla="*/ 1041 w 2153"/>
                              <a:gd name="T23" fmla="*/ 2426 h 3467"/>
                              <a:gd name="T24" fmla="*/ 1052 w 2153"/>
                              <a:gd name="T25" fmla="*/ 2393 h 3467"/>
                              <a:gd name="T26" fmla="*/ 1086 w 2153"/>
                              <a:gd name="T27" fmla="*/ 2348 h 3467"/>
                              <a:gd name="T28" fmla="*/ 1119 w 2153"/>
                              <a:gd name="T29" fmla="*/ 2260 h 3467"/>
                              <a:gd name="T30" fmla="*/ 1274 w 2153"/>
                              <a:gd name="T31" fmla="*/ 1983 h 3467"/>
                              <a:gd name="T32" fmla="*/ 1285 w 2153"/>
                              <a:gd name="T33" fmla="*/ 1950 h 3467"/>
                              <a:gd name="T34" fmla="*/ 1418 w 2153"/>
                              <a:gd name="T35" fmla="*/ 1883 h 3467"/>
                              <a:gd name="T36" fmla="*/ 1518 w 2153"/>
                              <a:gd name="T37" fmla="*/ 1828 h 3467"/>
                              <a:gd name="T38" fmla="*/ 1640 w 2153"/>
                              <a:gd name="T39" fmla="*/ 1617 h 3467"/>
                              <a:gd name="T40" fmla="*/ 1662 w 2153"/>
                              <a:gd name="T41" fmla="*/ 1584 h 3467"/>
                              <a:gd name="T42" fmla="*/ 1695 w 2153"/>
                              <a:gd name="T43" fmla="*/ 1573 h 3467"/>
                              <a:gd name="T44" fmla="*/ 1795 w 2153"/>
                              <a:gd name="T45" fmla="*/ 1484 h 3467"/>
                              <a:gd name="T46" fmla="*/ 1872 w 2153"/>
                              <a:gd name="T47" fmla="*/ 1340 h 3467"/>
                              <a:gd name="T48" fmla="*/ 1905 w 2153"/>
                              <a:gd name="T49" fmla="*/ 1041 h 3467"/>
                              <a:gd name="T50" fmla="*/ 1939 w 2153"/>
                              <a:gd name="T51" fmla="*/ 853 h 3467"/>
                              <a:gd name="T52" fmla="*/ 2005 w 2153"/>
                              <a:gd name="T53" fmla="*/ 709 h 3467"/>
                              <a:gd name="T54" fmla="*/ 2049 w 2153"/>
                              <a:gd name="T55" fmla="*/ 643 h 3467"/>
                              <a:gd name="T56" fmla="*/ 2083 w 2153"/>
                              <a:gd name="T57" fmla="*/ 587 h 3467"/>
                              <a:gd name="T58" fmla="*/ 2138 w 2153"/>
                              <a:gd name="T59" fmla="*/ 377 h 3467"/>
                              <a:gd name="T60" fmla="*/ 2149 w 2153"/>
                              <a:gd name="T61" fmla="*/ 0 h 3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2153" h="3467">
                                <a:moveTo>
                                  <a:pt x="0" y="3467"/>
                                </a:moveTo>
                                <a:cubicBezTo>
                                  <a:pt x="16" y="3442"/>
                                  <a:pt x="23" y="3411"/>
                                  <a:pt x="44" y="3390"/>
                                </a:cubicBezTo>
                                <a:cubicBezTo>
                                  <a:pt x="120" y="3314"/>
                                  <a:pt x="236" y="3289"/>
                                  <a:pt x="332" y="3257"/>
                                </a:cubicBezTo>
                                <a:cubicBezTo>
                                  <a:pt x="383" y="3180"/>
                                  <a:pt x="368" y="3216"/>
                                  <a:pt x="388" y="3157"/>
                                </a:cubicBezTo>
                                <a:cubicBezTo>
                                  <a:pt x="393" y="3049"/>
                                  <a:pt x="352" y="2899"/>
                                  <a:pt x="476" y="2858"/>
                                </a:cubicBezTo>
                                <a:cubicBezTo>
                                  <a:pt x="487" y="2847"/>
                                  <a:pt x="496" y="2833"/>
                                  <a:pt x="510" y="2825"/>
                                </a:cubicBezTo>
                                <a:cubicBezTo>
                                  <a:pt x="530" y="2814"/>
                                  <a:pt x="576" y="2803"/>
                                  <a:pt x="576" y="2803"/>
                                </a:cubicBezTo>
                                <a:cubicBezTo>
                                  <a:pt x="653" y="2752"/>
                                  <a:pt x="617" y="2767"/>
                                  <a:pt x="676" y="2747"/>
                                </a:cubicBezTo>
                                <a:cubicBezTo>
                                  <a:pt x="803" y="2652"/>
                                  <a:pt x="644" y="2762"/>
                                  <a:pt x="764" y="2703"/>
                                </a:cubicBezTo>
                                <a:cubicBezTo>
                                  <a:pt x="802" y="2684"/>
                                  <a:pt x="830" y="2638"/>
                                  <a:pt x="864" y="2614"/>
                                </a:cubicBezTo>
                                <a:cubicBezTo>
                                  <a:pt x="888" y="2597"/>
                                  <a:pt x="917" y="2586"/>
                                  <a:pt x="942" y="2570"/>
                                </a:cubicBezTo>
                                <a:cubicBezTo>
                                  <a:pt x="974" y="2521"/>
                                  <a:pt x="1000" y="2467"/>
                                  <a:pt x="1041" y="2426"/>
                                </a:cubicBezTo>
                                <a:cubicBezTo>
                                  <a:pt x="1045" y="2415"/>
                                  <a:pt x="1046" y="2403"/>
                                  <a:pt x="1052" y="2393"/>
                                </a:cubicBezTo>
                                <a:cubicBezTo>
                                  <a:pt x="1061" y="2377"/>
                                  <a:pt x="1078" y="2365"/>
                                  <a:pt x="1086" y="2348"/>
                                </a:cubicBezTo>
                                <a:cubicBezTo>
                                  <a:pt x="1152" y="2202"/>
                                  <a:pt x="1050" y="2364"/>
                                  <a:pt x="1119" y="2260"/>
                                </a:cubicBezTo>
                                <a:cubicBezTo>
                                  <a:pt x="1139" y="2177"/>
                                  <a:pt x="1212" y="2045"/>
                                  <a:pt x="1274" y="1983"/>
                                </a:cubicBezTo>
                                <a:cubicBezTo>
                                  <a:pt x="1278" y="1972"/>
                                  <a:pt x="1277" y="1958"/>
                                  <a:pt x="1285" y="1950"/>
                                </a:cubicBezTo>
                                <a:cubicBezTo>
                                  <a:pt x="1392" y="1843"/>
                                  <a:pt x="1308" y="1956"/>
                                  <a:pt x="1418" y="1883"/>
                                </a:cubicBezTo>
                                <a:cubicBezTo>
                                  <a:pt x="1494" y="1832"/>
                                  <a:pt x="1459" y="1847"/>
                                  <a:pt x="1518" y="1828"/>
                                </a:cubicBezTo>
                                <a:cubicBezTo>
                                  <a:pt x="1544" y="1750"/>
                                  <a:pt x="1583" y="1674"/>
                                  <a:pt x="1640" y="1617"/>
                                </a:cubicBezTo>
                                <a:cubicBezTo>
                                  <a:pt x="1649" y="1608"/>
                                  <a:pt x="1652" y="1592"/>
                                  <a:pt x="1662" y="1584"/>
                                </a:cubicBezTo>
                                <a:cubicBezTo>
                                  <a:pt x="1671" y="1577"/>
                                  <a:pt x="1684" y="1577"/>
                                  <a:pt x="1695" y="1573"/>
                                </a:cubicBezTo>
                                <a:cubicBezTo>
                                  <a:pt x="1771" y="1497"/>
                                  <a:pt x="1735" y="1524"/>
                                  <a:pt x="1795" y="1484"/>
                                </a:cubicBezTo>
                                <a:cubicBezTo>
                                  <a:pt x="1825" y="1438"/>
                                  <a:pt x="1842" y="1387"/>
                                  <a:pt x="1872" y="1340"/>
                                </a:cubicBezTo>
                                <a:cubicBezTo>
                                  <a:pt x="1916" y="1162"/>
                                  <a:pt x="1880" y="1332"/>
                                  <a:pt x="1905" y="1041"/>
                                </a:cubicBezTo>
                                <a:cubicBezTo>
                                  <a:pt x="1910" y="982"/>
                                  <a:pt x="1927" y="911"/>
                                  <a:pt x="1939" y="853"/>
                                </a:cubicBezTo>
                                <a:cubicBezTo>
                                  <a:pt x="1950" y="795"/>
                                  <a:pt x="1972" y="759"/>
                                  <a:pt x="2005" y="709"/>
                                </a:cubicBezTo>
                                <a:cubicBezTo>
                                  <a:pt x="2020" y="687"/>
                                  <a:pt x="2049" y="643"/>
                                  <a:pt x="2049" y="643"/>
                                </a:cubicBezTo>
                                <a:cubicBezTo>
                                  <a:pt x="2079" y="550"/>
                                  <a:pt x="2037" y="661"/>
                                  <a:pt x="2083" y="587"/>
                                </a:cubicBezTo>
                                <a:cubicBezTo>
                                  <a:pt x="2110" y="544"/>
                                  <a:pt x="2125" y="428"/>
                                  <a:pt x="2138" y="377"/>
                                </a:cubicBezTo>
                                <a:cubicBezTo>
                                  <a:pt x="2153" y="133"/>
                                  <a:pt x="2149" y="258"/>
                                  <a:pt x="2149"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22"/>
                        <wps:cNvSpPr txBox="1">
                          <a:spLocks noChangeArrowheads="1"/>
                        </wps:cNvSpPr>
                        <wps:spPr bwMode="auto">
                          <a:xfrm>
                            <a:off x="1746885" y="103505"/>
                            <a:ext cx="50419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79B0E7" w14:textId="77777777" w:rsidR="00C06149" w:rsidRPr="00C90AD3" w:rsidRDefault="00C06149" w:rsidP="00136E26">
                              <w:pPr>
                                <w:rPr>
                                  <w:sz w:val="16"/>
                                </w:rPr>
                              </w:pPr>
                              <w:r w:rsidRPr="00C90AD3">
                                <w:rPr>
                                  <w:sz w:val="16"/>
                                </w:rPr>
                                <w:t>Coastline</w:t>
                              </w:r>
                            </w:p>
                          </w:txbxContent>
                        </wps:txbx>
                        <wps:bodyPr rot="0" vert="horz" wrap="square" lIns="36000" tIns="36000" rIns="36000" bIns="36000" anchor="ctr" anchorCtr="0" upright="1">
                          <a:noAutofit/>
                        </wps:bodyPr>
                      </wps:wsp>
                      <wps:wsp>
                        <wps:cNvPr id="13" name="AutoShape 23"/>
                        <wps:cNvCnPr>
                          <a:cxnSpLocks noChangeShapeType="1"/>
                        </wps:cNvCnPr>
                        <wps:spPr bwMode="auto">
                          <a:xfrm flipV="1">
                            <a:off x="511810" y="774065"/>
                            <a:ext cx="2581275" cy="963295"/>
                          </a:xfrm>
                          <a:prstGeom prst="straightConnector1">
                            <a:avLst/>
                          </a:prstGeom>
                          <a:noFill/>
                          <a:ln w="15875">
                            <a:solidFill>
                              <a:srgbClr val="FF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14" name="AutoShape 24"/>
                        <wps:cNvCnPr>
                          <a:cxnSpLocks noChangeShapeType="1"/>
                        </wps:cNvCnPr>
                        <wps:spPr bwMode="auto">
                          <a:xfrm flipV="1">
                            <a:off x="509905" y="1320800"/>
                            <a:ext cx="2566670" cy="421005"/>
                          </a:xfrm>
                          <a:prstGeom prst="straightConnector1">
                            <a:avLst/>
                          </a:prstGeom>
                          <a:noFill/>
                          <a:ln w="15875">
                            <a:solidFill>
                              <a:srgbClr val="00B050"/>
                            </a:solidFill>
                            <a:round/>
                            <a:headEnd type="oval" w="med" len="med"/>
                            <a:tailEnd type="oval" w="med" len="med"/>
                          </a:ln>
                          <a:extLst>
                            <a:ext uri="{909E8E84-426E-40DD-AFC4-6F175D3DCCD1}">
                              <a14:hiddenFill xmlns:a14="http://schemas.microsoft.com/office/drawing/2010/main">
                                <a:noFill/>
                              </a14:hiddenFill>
                            </a:ext>
                          </a:extLst>
                        </wps:spPr>
                        <wps:bodyPr/>
                      </wps:wsp>
                      <wps:wsp>
                        <wps:cNvPr id="15" name="Oval 25"/>
                        <wps:cNvSpPr>
                          <a:spLocks noChangeArrowheads="1"/>
                        </wps:cNvSpPr>
                        <wps:spPr bwMode="auto">
                          <a:xfrm>
                            <a:off x="406400" y="1653540"/>
                            <a:ext cx="189865" cy="1898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c:wpc>
                  </a:graphicData>
                </a:graphic>
              </wp:inline>
            </w:drawing>
          </mc:Choice>
          <mc:Fallback>
            <w:pict>
              <v:group w14:anchorId="1ABFE90B" id="Canvas 16" o:spid="_x0000_s1026" editas="canvas" alt="The DBC and ASMG" style="width:243.55pt;height:180pt;mso-position-horizontal-relative:char;mso-position-vertical-relative:line" coordsize="30930,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he DBC and ASMG" style="position:absolute;width:30930;height:22860;visibility:visible;mso-wrap-style:square">
                  <v:fill o:detectmouseclick="t"/>
                  <v:path o:connecttype="none"/>
                </v:shape>
                <v:shapetype id="_x0000_t32" coordsize="21600,21600" o:spt="32" o:oned="t" path="m,l21600,21600e" filled="f">
                  <v:path arrowok="t" fillok="f" o:connecttype="none"/>
                  <o:lock v:ext="edit" shapetype="t"/>
                </v:shapetype>
                <v:shape id="AutoShape 15" o:spid="_x0000_s1028" type="#_x0000_t32" style="position:absolute;left:5143;top:11601;width:4826;height:57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4HIsQAAADaAAAADwAAAGRycy9kb3ducmV2LnhtbESPQWsCMRSE70L/Q3iF3jSxtGJXo5Rl&#10;C71UcFsK3h7Jc3dx87JsUl37640geBxm5htmuR5cK47Uh8azhulEgSA23jZcafj5/hjPQYSIbLH1&#10;TBrOFGC9ehgtMbP+xFs6lrESCcIhQw11jF0mZTA1OQwT3xEnb+97hzHJvpK2x1OCu1Y+KzWTDhtO&#10;CzV2lNdkDuWf06DOhSnNv935l438fcuVmn8VB62fHof3BYhIQ7yHb+1Pq+EVrlfSDZCr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jgcixAAAANoAAAAPAAAAAAAAAAAA&#10;AAAAAKECAABkcnMvZG93bnJldi54bWxQSwUGAAAAAAQABAD5AAAAkgMAAAAA&#10;" strokecolor="#00b050" strokeweight="1.25pt">
                  <v:stroke startarrow="oval" endarrow="oval"/>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6" o:spid="_x0000_s1029" type="#_x0000_t34" style="position:absolute;top:2603;width:16878;height:8433;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z9TMEAAADaAAAADwAAAGRycy9kb3ducmV2LnhtbESPS4sCMRCE78L+h9ALXmTN7ILOOhpl&#10;kRX06OPirZn0PHDSGZLojP/eCILHoqq+ohar3jTiRs7XlhV8jxMQxLnVNZcKTsfN1y8IH5A1NpZJ&#10;wZ08rJYfgwVm2na8p9shlCJC2GeooAqhzaT0eUUG/di2xNErrDMYonSl1A67CDeN/EmSqTRYc1yo&#10;sKV1RfnlcDUKNqP06GT9P5tRR+mkSOV5lxZKDT/7vzmIQH14h1/trVYwheeVeAPk8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P1MwQAAANoAAAAPAAAAAAAAAAAAAAAA&#10;AKECAABkcnMvZG93bnJldi54bWxQSwUGAAAAAAQABAD5AAAAjwMAAAAA&#10;"/>
                <v:shape id="AutoShape 17" o:spid="_x0000_s1030" type="#_x0000_t34" style="position:absolute;left:11416;top:5950;width:21235;height:1005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DvpsEAAADaAAAADwAAAGRycy9kb3ducmV2LnhtbESPT4vCMBTE7wt+h/AEb2uqLup2jSKC&#10;oMf6Bzw+mrdN2ealNLFWP/1GEDwOM/MbZrHqbCVaanzpWMFomIAgzp0uuVBwOm4/5yB8QNZYOSYF&#10;d/KwWvY+Fphqd+OM2kMoRISwT1GBCaFOpfS5IYt+6Gri6P26xmKIsimkbvAW4baS4ySZSoslxwWD&#10;NW0M5X+Hq1UQYV/f9+y8nsjj+fLY781l22ZKDfrd+gdEoC68w6/2TiuYwfNKvAF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AO+mwQAAANoAAAAPAAAAAAAAAAAAAAAA&#10;AKECAABkcnMvZG93bnJldi54bWxQSwUGAAAAAAQABAD5AAAAjwMAAAAA&#10;">
                  <v:stroke dashstyle="longDash"/>
                </v:shape>
                <v:shapetype id="_x0000_t202" coordsize="21600,21600" o:spt="202" path="m,l,21600r21600,l21600,xe">
                  <v:stroke joinstyle="miter"/>
                  <v:path gradientshapeok="t" o:connecttype="rect"/>
                </v:shapetype>
                <v:shape id="Text Box 18" o:spid="_x0000_s1031" type="#_x0000_t202" style="position:absolute;left:24879;top:4362;width:4568;height:37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I/MEA&#10;AADaAAAADwAAAGRycy9kb3ducmV2LnhtbERPy2oCMRTdF/oP4Rbc1cy4KGU0ii0tCHVRpwVxd5nc&#10;eejkJkwyD/16syh0eTjv1WYyrRio841lBek8AUFcWN1wpeD35/P5FYQPyBpby6TgSh4268eHFWba&#10;jnygIQ+ViCHsM1RQh+AyKX1Rk0E/t444cqXtDIYIu0rqDscYblq5SJIXabDh2FCjo/eaikveGwX9&#10;7S05YnrG79NXPuzHD1fmpVNq9jRtlyACTeFf/OfeaQVxa7wSb4B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yPzBAAAA2gAAAA8AAAAAAAAAAAAAAAAAmAIAAGRycy9kb3du&#10;cmV2LnhtbFBLBQYAAAAABAAEAPUAAACGAwAAAAA=&#10;" stroked="f">
                  <v:textbox style="mso-fit-shape-to-text:t" inset="1mm,1mm,1mm,1mm">
                    <w:txbxContent>
                      <w:p w14:paraId="4D308911" w14:textId="77777777" w:rsidR="00C06149" w:rsidRDefault="00C06149" w:rsidP="00136E26">
                        <w:r>
                          <w:t>ASMG</w:t>
                        </w:r>
                      </w:p>
                    </w:txbxContent>
                  </v:textbox>
                </v:shape>
                <v:shape id="Text Box 19" o:spid="_x0000_s1032" type="#_x0000_t202" style="position:absolute;left:8540;top:8629;width:5760;height:21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nUcMA&#10;AADaAAAADwAAAGRycy9kb3ducmV2LnhtbESPT4vCMBTE74LfIbwFL6KpHlytRhGlu+JF/IPnZ/Ns&#10;yzYvpYm2++03C4LHYWZ+wyxWrSnFk2pXWFYwGkYgiFOrC84UXM7JYArCeWSNpWVS8EsOVstuZ4Gx&#10;tg0f6XnymQgQdjEqyL2vYildmpNBN7QVcfDutjbog6wzqWtsAtyUchxFE2mw4LCQY0WbnNKf08Mo&#10;sGZ7+0z2h+99f7e5zraTpLl+lUr1Ptr1HISn1r/Dr/ZOK5jB/5Vw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nUcMAAADaAAAADwAAAAAAAAAAAAAAAACYAgAAZHJzL2Rv&#10;d25yZXYueG1sUEsFBgAAAAAEAAQA9QAAAIgDAAAAAA==&#10;" stroked="f">
                  <v:textbox inset="1mm,1mm,1mm,1mm">
                    <w:txbxContent>
                      <w:p w14:paraId="5A072B17" w14:textId="77777777" w:rsidR="00C06149" w:rsidRPr="00C90AD3" w:rsidRDefault="00C06149" w:rsidP="00136E26">
                        <w:pPr>
                          <w:rPr>
                            <w:sz w:val="16"/>
                          </w:rPr>
                        </w:pPr>
                        <w:r>
                          <w:rPr>
                            <w:sz w:val="16"/>
                          </w:rPr>
                          <w:t>Licensee 1</w:t>
                        </w:r>
                      </w:p>
                    </w:txbxContent>
                  </v:textbox>
                </v:shape>
                <v:shape id="Text Box 20" o:spid="_x0000_s1033" type="#_x0000_t202" style="position:absolute;left:1054;top:3479;width:5759;height:21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tp3cUA&#10;AADbAAAADwAAAGRycy9kb3ducmV2LnhtbESPQW/CMAyF70j8h8hIu6CRbgfYOgKaQGWIC1o3cfYa&#10;r63WOFUTaPfv8QGJm633/N7n5XpwjbpQF2rPBp5mCSjiwtuaSwPfX9njC6gQkS02nsnAPwVYr8aj&#10;JabW9/xJlzyWSkI4pGigirFNtQ5FRQ7DzLfEov36zmGUtSu17bCXcNfo5ySZa4c1S0OFLW0qKv7y&#10;szPg3fZnkR2OH4fpfnN63c6z/rRrjHmYDO9voCIN8W6+Xe+t4Au9/CID6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2ndxQAAANsAAAAPAAAAAAAAAAAAAAAAAJgCAABkcnMv&#10;ZG93bnJldi54bWxQSwUGAAAAAAQABAD1AAAAigMAAAAA&#10;" stroked="f">
                  <v:textbox inset="1mm,1mm,1mm,1mm">
                    <w:txbxContent>
                      <w:p w14:paraId="600CE9FE" w14:textId="77777777" w:rsidR="00C06149" w:rsidRPr="00C90AD3" w:rsidRDefault="00C06149" w:rsidP="00136E26">
                        <w:pPr>
                          <w:rPr>
                            <w:sz w:val="16"/>
                          </w:rPr>
                        </w:pPr>
                        <w:r>
                          <w:rPr>
                            <w:sz w:val="16"/>
                          </w:rPr>
                          <w:t>Licensee 2</w:t>
                        </w:r>
                      </w:p>
                    </w:txbxContent>
                  </v:textbox>
                </v:shape>
                <v:shape id="Freeform 21" o:spid="_x0000_s1034" style="position:absolute;left:6388;width:13671;height:22015;visibility:visible;mso-wrap-style:square;v-text-anchor:top" coordsize="2153,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zyBsAA&#10;AADbAAAADwAAAGRycy9kb3ducmV2LnhtbERPTYvCMBC9C/6HMII3TV1EpGsUEQruZcGq7B6HZrat&#10;NpOSZLX6640geJvH+5zFqjONuJDztWUFk3ECgriwuuZSwWGfjeYgfEDW2FgmBTfysFr2ewtMtb3y&#10;ji55KEUMYZ+igiqENpXSFxUZ9GPbEkfuzzqDIUJXSu3wGsNNIz+SZCYN1hwbKmxpU1Fxzv+Ngr07&#10;3e+0/fn2mZ2S/cqP01/MlBoOuvUniEBdeItf7q2O8yfw/CUeIJ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BzyBsAAAADbAAAADwAAAAAAAAAAAAAAAACYAgAAZHJzL2Rvd25y&#10;ZXYueG1sUEsFBgAAAAAEAAQA9QAAAIUDAAAAAA==&#10;" path="m,3467v16,-25,23,-56,44,-77c120,3314,236,3289,332,3257v51,-77,36,-41,56,-100c393,3049,352,2899,476,2858v11,-11,20,-25,34,-33c530,2814,576,2803,576,2803v77,-51,41,-36,100,-56c803,2652,644,2762,764,2703v38,-19,66,-65,100,-89c888,2597,917,2586,942,2570v32,-49,58,-103,99,-144c1045,2415,1046,2403,1052,2393v9,-16,26,-28,34,-45c1152,2202,1050,2364,1119,2260v20,-83,93,-215,155,-277c1278,1972,1277,1958,1285,1950v107,-107,23,6,133,-67c1494,1832,1459,1847,1518,1828v26,-78,65,-154,122,-211c1649,1608,1652,1592,1662,1584v9,-7,22,-7,33,-11c1771,1497,1735,1524,1795,1484v30,-46,47,-97,77,-144c1916,1162,1880,1332,1905,1041v5,-59,22,-130,34,-188c1950,795,1972,759,2005,709v15,-22,44,-66,44,-66c2079,550,2037,661,2083,587v27,-43,42,-159,55,-210c2153,133,2149,258,2149,e" filled="f">
                  <v:path arrowok="t" o:connecttype="custom" o:connectlocs="0,2201545;27940,2152650;210820,2068195;246380,2004695;302260,1814830;323850,1793875;365760,1779905;429260,1744345;485140,1716405;548640,1659890;598170,1631950;661035,1540510;668020,1519555;689610,1490980;710565,1435100;808990,1259205;815975,1238250;900430,1195705;963930,1160780;1041400,1026795;1055370,1005840;1076325,998855;1139825,942340;1188720,850900;1209675,661035;1231265,541655;1273175,450215;1301115,408305;1322705,372745;1357630,239395;1364615,0" o:connectangles="0,0,0,0,0,0,0,0,0,0,0,0,0,0,0,0,0,0,0,0,0,0,0,0,0,0,0,0,0,0,0"/>
                </v:shape>
                <v:shape id="Text Box 22" o:spid="_x0000_s1035" type="#_x0000_t202" style="position:absolute;left:17468;top:1035;width:5042;height:21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SMcMA&#10;AADbAAAADwAAAGRycy9kb3ducmV2LnhtbERPTWvCQBC9F/wPywi9FLPRQ1rTrCJK2uBFquJ5mh2T&#10;YHY2ZLcm/ffdQqG3ebzPydajacWdetdYVjCPYhDEpdUNVwrOp3z2AsJ5ZI2tZVLwTQ7Wq8lDhqm2&#10;A3/Q/egrEULYpaig9r5LpXRlTQZdZDviwF1tb9AH2FdS9ziEcNPKRRwn0mDDoaHGjrY1lbfjl1Fg&#10;ze7zOd8f3vdPxfay3CX5cHlrlXqcjptXEJ5G/y/+cxc6zF/A7y/h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SMcMAAADbAAAADwAAAAAAAAAAAAAAAACYAgAAZHJzL2Rv&#10;d25yZXYueG1sUEsFBgAAAAAEAAQA9QAAAIgDAAAAAA==&#10;" stroked="f">
                  <v:textbox inset="1mm,1mm,1mm,1mm">
                    <w:txbxContent>
                      <w:p w14:paraId="6A79B0E7" w14:textId="77777777" w:rsidR="00C06149" w:rsidRPr="00C90AD3" w:rsidRDefault="00C06149" w:rsidP="00136E26">
                        <w:pPr>
                          <w:rPr>
                            <w:sz w:val="16"/>
                          </w:rPr>
                        </w:pPr>
                        <w:r w:rsidRPr="00C90AD3">
                          <w:rPr>
                            <w:sz w:val="16"/>
                          </w:rPr>
                          <w:t>Coastline</w:t>
                        </w:r>
                      </w:p>
                    </w:txbxContent>
                  </v:textbox>
                </v:shape>
                <v:shape id="AutoShape 23" o:spid="_x0000_s1036" type="#_x0000_t32" style="position:absolute;left:5118;top:7740;width:25812;height:963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k0D8EAAADbAAAADwAAAGRycy9kb3ducmV2LnhtbERPTWvCQBC9C/6HZQRvurEtUtNspChF&#10;b1Zb8Dpmp9lgdjZm1xj/fVco9DaP9znZsre16Kj1lWMFs2kCgrhwuuJSwffXx+QVhA/IGmvHpOBO&#10;Hpb5cJBhqt2N99QdQiliCPsUFZgQmlRKXxiy6KeuIY7cj2sthgjbUuoWbzHc1vIpSebSYsWxwWBD&#10;K0PF+XC1CrrdJzdH87Kwl321OoU13xfzjVLjUf/+BiJQH/7Ff+6tjvOf4fFLPEDm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iTQPwQAAANsAAAAPAAAAAAAAAAAAAAAA&#10;AKECAABkcnMvZG93bnJldi54bWxQSwUGAAAAAAQABAD5AAAAjwMAAAAA&#10;" strokecolor="red" strokeweight="1.25pt">
                  <v:stroke startarrow="oval" endarrow="oval"/>
                </v:shape>
                <v:shape id="AutoShape 24" o:spid="_x0000_s1037" type="#_x0000_t32" style="position:absolute;left:5099;top:13208;width:25666;height:42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AWIcEAAADbAAAADwAAAGRycy9kb3ducmV2LnhtbERPTWsCMRC9F/wPYQRvNamI6NYoRRS8&#10;KHQVwduQTHcXN5NlE3X115tCobd5vM+ZLztXixu1ofKs4WOoQBAbbysuNBwPm/cpiBCRLdaeScOD&#10;AiwXvbc5Ztbf+ZtueSxECuGQoYYyxiaTMpiSHIahb4gT9+NbhzHBtpC2xXsKd7UcKTWRDitODSU2&#10;tCrJXPKr06Aea5Obpz378V6eZiulprv1RetBv/v6BBGpi//iP/fWpvlj+P0lHS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QBYhwQAAANsAAAAPAAAAAAAAAAAAAAAA&#10;AKECAABkcnMvZG93bnJldi54bWxQSwUGAAAAAAQABAD5AAAAjwMAAAAA&#10;" strokecolor="#00b050" strokeweight="1.25pt">
                  <v:stroke startarrow="oval" endarrow="oval"/>
                </v:shape>
                <v:oval id="Oval 25" o:spid="_x0000_s1038" style="position:absolute;left:4064;top:16535;width:1898;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w10:anchorlock/>
              </v:group>
            </w:pict>
          </mc:Fallback>
        </mc:AlternateContent>
      </w:r>
    </w:p>
    <w:p w14:paraId="1739892C" w14:textId="37F28B55" w:rsidR="00672D35" w:rsidRPr="00C97518" w:rsidRDefault="00537EFC" w:rsidP="00BC2A05">
      <w:pPr>
        <w:pStyle w:val="Heading2"/>
      </w:pPr>
      <w:bookmarkStart w:id="47" w:name="_Toc437508126"/>
      <w:bookmarkStart w:id="48" w:name="_Toc437508431"/>
      <w:bookmarkStart w:id="49" w:name="_Toc437530164"/>
      <w:bookmarkStart w:id="50" w:name="_Toc461025774"/>
      <w:r w:rsidRPr="00C97518">
        <w:lastRenderedPageBreak/>
        <w:t>C</w:t>
      </w:r>
      <w:r w:rsidR="00D92412" w:rsidRPr="00C97518">
        <w:t>5</w:t>
      </w:r>
      <w:r w:rsidR="007C6A1D" w:rsidRPr="00C97518">
        <w:t xml:space="preserve"> </w:t>
      </w:r>
      <w:r w:rsidR="00473CE6" w:rsidRPr="00C97518">
        <w:tab/>
      </w:r>
      <w:r w:rsidR="007C6A1D" w:rsidRPr="00C97518">
        <w:t>Groups of transmitters and receivers</w:t>
      </w:r>
      <w:bookmarkEnd w:id="47"/>
      <w:bookmarkEnd w:id="48"/>
      <w:bookmarkEnd w:id="49"/>
      <w:bookmarkEnd w:id="50"/>
    </w:p>
    <w:p w14:paraId="379A4A50" w14:textId="0C51FE45" w:rsidR="00F967EC" w:rsidRPr="00C97518" w:rsidRDefault="00F967EC" w:rsidP="00F967EC">
      <w:r w:rsidRPr="00C97518">
        <w:t>Group registration arrangements provide additional flexibility to licensees when deploying systems within the band. Two or more fixed transmitters may be registered as a group of transmitters if all transmitters in the group have the same centre frequency</w:t>
      </w:r>
      <w:r w:rsidR="004D3FEF" w:rsidRPr="00C97518">
        <w:t xml:space="preserve"> and </w:t>
      </w:r>
      <w:r w:rsidRPr="00C97518">
        <w:t>emission designator</w:t>
      </w:r>
      <w:r w:rsidR="004D3FEF" w:rsidRPr="00C97518">
        <w:t>,</w:t>
      </w:r>
      <w:r w:rsidRPr="00C97518">
        <w:t xml:space="preserve"> and the associated antennas have the same identification number.</w:t>
      </w:r>
    </w:p>
    <w:p w14:paraId="355812FF" w14:textId="6F999346" w:rsidR="007C6A1D" w:rsidRPr="00C97518" w:rsidRDefault="00F967EC" w:rsidP="004D3FEF">
      <w:r w:rsidRPr="00C97518">
        <w:t>Two or more fixed receivers may be registered as a group of receivers if the associated antennas have the same identification number and all receivers are associated with either a single transmitter or a group.</w:t>
      </w:r>
    </w:p>
    <w:p w14:paraId="1A6D566F" w14:textId="59E1EFE3" w:rsidR="00F967EC" w:rsidRPr="00C97518" w:rsidRDefault="00F967EC" w:rsidP="004D3FEF">
      <w:r w:rsidRPr="00C97518">
        <w:t>Current arrangements permit a fixed transmitter or receiver to belong to more than one group.</w:t>
      </w:r>
    </w:p>
    <w:p w14:paraId="205E709C" w14:textId="4C5346C4" w:rsidR="00F967EC" w:rsidRPr="00C97518" w:rsidRDefault="00F967EC" w:rsidP="004D3FEF">
      <w:r w:rsidRPr="00C97518">
        <w:t xml:space="preserve">In the TLGs for the 800 MHz, 1800 MHz, 700 MHz and 2.5 GHz bands, the consensus was for group registration to primarily support the registration of systems that have their antenna phase centres located within a defined proximity (20 metres in this case). Additionally, the parameters of the equipment being considered in the group should be essentially identical, and a </w:t>
      </w:r>
      <w:r w:rsidR="002A7AEE" w:rsidRPr="00C97518">
        <w:t xml:space="preserve">radiocommunications </w:t>
      </w:r>
      <w:r w:rsidRPr="00C97518">
        <w:t xml:space="preserve">transmitter or </w:t>
      </w:r>
      <w:r w:rsidR="002A7AEE" w:rsidRPr="00C97518">
        <w:t xml:space="preserve">radiocommunications </w:t>
      </w:r>
      <w:r w:rsidRPr="00C97518">
        <w:t>receiver can only belong to one group.</w:t>
      </w:r>
    </w:p>
    <w:p w14:paraId="56DB40BF" w14:textId="31CEA3E5" w:rsidR="00F967EC" w:rsidRPr="00C97518" w:rsidRDefault="00F967EC" w:rsidP="00C65E91">
      <w:r w:rsidRPr="00C97518">
        <w:t>The ACMA propose</w:t>
      </w:r>
      <w:r w:rsidR="004D3FEF" w:rsidRPr="00C97518">
        <w:t>s</w:t>
      </w:r>
      <w:r w:rsidRPr="00C97518">
        <w:t xml:space="preserve"> that when determining the location of a group of radiocommunications transmitters, the location is the centre point between the phase centre</w:t>
      </w:r>
      <w:r w:rsidR="002A7AEE" w:rsidRPr="00C97518">
        <w:t>s</w:t>
      </w:r>
      <w:r w:rsidRPr="00C97518">
        <w:t xml:space="preserve"> of each radiocommunications transmitter antenna within the group.</w:t>
      </w:r>
    </w:p>
    <w:p w14:paraId="7FD37762" w14:textId="2D5DE78A" w:rsidR="00F967EC" w:rsidRPr="00C97518" w:rsidRDefault="00F967EC" w:rsidP="00C65E91">
      <w:r w:rsidRPr="00C97518">
        <w:t>The</w:t>
      </w:r>
      <w:r w:rsidR="002A7AEE" w:rsidRPr="00C97518">
        <w:t xml:space="preserve"> proposed </w:t>
      </w:r>
      <w:r w:rsidRPr="00C97518">
        <w:t xml:space="preserve">implementation of group registration applicable in the 2 GHz band is provided in </w:t>
      </w:r>
      <w:r w:rsidR="00537EFC" w:rsidRPr="00C97518">
        <w:rPr>
          <w:rFonts w:cs="Arial"/>
        </w:rPr>
        <w:t xml:space="preserve">the draft of the </w:t>
      </w:r>
      <w:r w:rsidR="00537EFC" w:rsidRPr="00C97518">
        <w:t>Radiocommunications (Unacceptable Levels of Interference – 2 GHz Band) Determination 2016</w:t>
      </w:r>
      <w:r w:rsidR="004D3FEF" w:rsidRPr="00C97518">
        <w:rPr>
          <w:rFonts w:cs="Arial"/>
        </w:rPr>
        <w:t>,</w:t>
      </w:r>
      <w:r w:rsidR="00537EFC" w:rsidRPr="00C97518">
        <w:rPr>
          <w:rFonts w:cs="Arial"/>
        </w:rPr>
        <w:t xml:space="preserve"> available on the ACMA website</w:t>
      </w:r>
      <w:r w:rsidRPr="00C97518">
        <w:t>.</w:t>
      </w:r>
    </w:p>
    <w:p w14:paraId="67DF6504" w14:textId="77A08673" w:rsidR="007C6A1D" w:rsidRPr="00C97518" w:rsidRDefault="00537EFC" w:rsidP="007C6A1D">
      <w:pPr>
        <w:pStyle w:val="Heading2"/>
      </w:pPr>
      <w:bookmarkStart w:id="51" w:name="_Toc437508127"/>
      <w:bookmarkStart w:id="52" w:name="_Toc437508432"/>
      <w:bookmarkStart w:id="53" w:name="_Toc437530165"/>
      <w:bookmarkStart w:id="54" w:name="_Toc461025775"/>
      <w:r w:rsidRPr="00C97518">
        <w:t>C</w:t>
      </w:r>
      <w:r w:rsidR="00A8552C" w:rsidRPr="00C97518">
        <w:t>6</w:t>
      </w:r>
      <w:r w:rsidR="007C6A1D" w:rsidRPr="00C97518">
        <w:t xml:space="preserve"> </w:t>
      </w:r>
      <w:r w:rsidR="00473CE6" w:rsidRPr="00C97518">
        <w:tab/>
      </w:r>
      <w:r w:rsidR="007C6A1D" w:rsidRPr="00C97518">
        <w:t>Deployment constraints</w:t>
      </w:r>
      <w:bookmarkEnd w:id="51"/>
      <w:bookmarkEnd w:id="52"/>
      <w:bookmarkEnd w:id="53"/>
      <w:bookmarkEnd w:id="54"/>
    </w:p>
    <w:p w14:paraId="414CF102" w14:textId="5DD41134" w:rsidR="00BC2A05" w:rsidRPr="00C97518" w:rsidRDefault="009A1F21" w:rsidP="00C65E91">
      <w:r w:rsidRPr="00C97518">
        <w:t>The existing 2 GHz technical framework permit</w:t>
      </w:r>
      <w:r w:rsidR="002A7AEE" w:rsidRPr="00C97518">
        <w:t>s</w:t>
      </w:r>
      <w:r w:rsidRPr="00C97518">
        <w:t xml:space="preserve"> high altitude platform stations (HAPS) located on an object 20 to 50 </w:t>
      </w:r>
      <w:r w:rsidR="004D3FEF" w:rsidRPr="00C97518">
        <w:t xml:space="preserve">kilometres </w:t>
      </w:r>
      <w:r w:rsidRPr="00C97518">
        <w:t xml:space="preserve">in altitude, at a specified, nominal, fixed point relative to the earth. </w:t>
      </w:r>
    </w:p>
    <w:p w14:paraId="47E960AE" w14:textId="74110758" w:rsidR="009A1F21" w:rsidRPr="00C97518" w:rsidRDefault="009A1F21" w:rsidP="00C65E91">
      <w:r w:rsidRPr="00C97518">
        <w:t xml:space="preserve">Notionally, the HAPS station </w:t>
      </w:r>
      <w:r w:rsidR="002A7AEE" w:rsidRPr="00C97518">
        <w:t>i</w:t>
      </w:r>
      <w:r w:rsidRPr="00C97518">
        <w:t xml:space="preserve">s taken not to cause unacceptable interference if it </w:t>
      </w:r>
      <w:r w:rsidR="002A7AEE" w:rsidRPr="00C97518">
        <w:t xml:space="preserve">is </w:t>
      </w:r>
      <w:r w:rsidRPr="00C97518">
        <w:t>operated in accordance with the core condition</w:t>
      </w:r>
      <w:r w:rsidR="002A7AEE" w:rsidRPr="00C97518">
        <w:t>s</w:t>
      </w:r>
      <w:r w:rsidRPr="00C97518">
        <w:t xml:space="preserve"> of the licence.</w:t>
      </w:r>
    </w:p>
    <w:p w14:paraId="1E619075" w14:textId="5DDE0F10" w:rsidR="009A1F21" w:rsidRPr="00C97518" w:rsidRDefault="009A1F21" w:rsidP="00C65E91">
      <w:r w:rsidRPr="00C97518">
        <w:t>It is proposed</w:t>
      </w:r>
      <w:r w:rsidR="002A7AEE" w:rsidRPr="00C97518">
        <w:t>,</w:t>
      </w:r>
      <w:r w:rsidRPr="00C97518">
        <w:t xml:space="preserve"> rather than make the HAPS transmitters </w:t>
      </w:r>
      <w:r w:rsidR="002A7AEE" w:rsidRPr="00C97518">
        <w:t>subject to</w:t>
      </w:r>
      <w:r w:rsidRPr="00C97518">
        <w:t xml:space="preserve"> registration under the new framework, that they be exempt from registration. See section B4</w:t>
      </w:r>
      <w:r w:rsidR="002A7AEE" w:rsidRPr="00C97518">
        <w:t xml:space="preserve"> of attachment B to this consultation paper</w:t>
      </w:r>
      <w:r w:rsidRPr="00C97518">
        <w:t xml:space="preserve"> for further detail.</w:t>
      </w:r>
    </w:p>
    <w:p w14:paraId="5F64096A" w14:textId="69763453" w:rsidR="003F1895" w:rsidRPr="00C97518" w:rsidRDefault="003F1895" w:rsidP="00C65E91">
      <w:r w:rsidRPr="00C97518">
        <w:t xml:space="preserve">Licensees should be aware that constraints apply to some transmitters operated under the registration exempt requirements proposed in section </w:t>
      </w:r>
      <w:r w:rsidR="0061471E" w:rsidRPr="00C97518">
        <w:t>B4</w:t>
      </w:r>
      <w:r w:rsidR="002A7AEE" w:rsidRPr="00C97518">
        <w:t xml:space="preserve"> of attachment B to this consultation paper</w:t>
      </w:r>
      <w:r w:rsidRPr="00C97518">
        <w:t xml:space="preserve">. </w:t>
      </w:r>
    </w:p>
    <w:p w14:paraId="0A99EFF7" w14:textId="4E7F437B" w:rsidR="00BC2A05" w:rsidRPr="00C97518" w:rsidRDefault="00BC2A05" w:rsidP="00C65E91">
      <w:pPr>
        <w:jc w:val="center"/>
        <w:rPr>
          <w:rFonts w:cs="Arial"/>
        </w:rPr>
      </w:pPr>
    </w:p>
    <w:p w14:paraId="478FC591" w14:textId="5EE9B6E9" w:rsidR="006A5688" w:rsidRPr="00C97518" w:rsidRDefault="006A5688" w:rsidP="006A5688">
      <w:pPr>
        <w:pStyle w:val="Heading1"/>
      </w:pPr>
      <w:bookmarkStart w:id="55" w:name="_Toc461025776"/>
      <w:r w:rsidRPr="00C97518">
        <w:lastRenderedPageBreak/>
        <w:t xml:space="preserve">Attachment </w:t>
      </w:r>
      <w:r w:rsidR="00537EFC" w:rsidRPr="00C97518">
        <w:t>D</w:t>
      </w:r>
      <w:r w:rsidR="004D3FEF" w:rsidRPr="00C97518">
        <w:t>—</w:t>
      </w:r>
      <w:r w:rsidR="004871A2" w:rsidRPr="00C97518">
        <w:t>Proposed changes to the Radiocommunications Advisory Guideline</w:t>
      </w:r>
      <w:r w:rsidR="0021332A" w:rsidRPr="00C97518">
        <w:t>s</w:t>
      </w:r>
      <w:r w:rsidR="004871A2" w:rsidRPr="00C97518">
        <w:t xml:space="preserve"> for managing interference from 2 GHz s</w:t>
      </w:r>
      <w:r w:rsidRPr="00C97518">
        <w:t>pectrum</w:t>
      </w:r>
      <w:r w:rsidR="004D3FEF" w:rsidRPr="00C97518">
        <w:t>-</w:t>
      </w:r>
      <w:r w:rsidR="004871A2" w:rsidRPr="00C97518">
        <w:t>l</w:t>
      </w:r>
      <w:r w:rsidRPr="00C97518">
        <w:t>icen</w:t>
      </w:r>
      <w:r w:rsidR="007845D0">
        <w:t>s</w:t>
      </w:r>
      <w:r w:rsidRPr="00C97518">
        <w:t>e</w:t>
      </w:r>
      <w:r w:rsidR="004871A2" w:rsidRPr="00C97518">
        <w:t>d transmitters</w:t>
      </w:r>
      <w:bookmarkEnd w:id="55"/>
    </w:p>
    <w:p w14:paraId="49BC3A80" w14:textId="2B5D32CC" w:rsidR="00A44688" w:rsidRPr="00C97518" w:rsidRDefault="00A44688" w:rsidP="00A44688">
      <w:r w:rsidRPr="00C97518">
        <w:t xml:space="preserve">The major substantive changes that are proposed in making the Radiocommunications Advisory Guidelines (Managing Interference from Spectrum Licensed Receivers – 2 GHz Band) </w:t>
      </w:r>
      <w:r w:rsidR="00D614CF" w:rsidRPr="00C97518">
        <w:t>2016</w:t>
      </w:r>
      <w:r w:rsidR="004D3FEF" w:rsidRPr="00C97518">
        <w:t>,</w:t>
      </w:r>
      <w:r w:rsidR="00D614CF" w:rsidRPr="00C97518">
        <w:rPr>
          <w:i/>
        </w:rPr>
        <w:t xml:space="preserve"> </w:t>
      </w:r>
      <w:r w:rsidRPr="00C97518">
        <w:t>compared with</w:t>
      </w:r>
      <w:r w:rsidR="002A7AEE" w:rsidRPr="00C97518">
        <w:t xml:space="preserve"> the</w:t>
      </w:r>
      <w:r w:rsidRPr="00C97518">
        <w:t xml:space="preserve"> </w:t>
      </w:r>
      <w:hyperlink r:id="rId32" w:history="1">
        <w:r w:rsidRPr="00C97518">
          <w:rPr>
            <w:rStyle w:val="Hyperlink"/>
          </w:rPr>
          <w:t>Radiocommunications Advisory Guidelines (Protection of Apparatus-licensed and Class-licensed Receivers — 2 GHz Band) 2015</w:t>
        </w:r>
      </w:hyperlink>
      <w:r w:rsidRPr="00C97518">
        <w:t xml:space="preserve"> are provided below. </w:t>
      </w:r>
    </w:p>
    <w:p w14:paraId="213F2ACF" w14:textId="1B312CB8" w:rsidR="00A44688" w:rsidRPr="00C97518" w:rsidRDefault="00A44688" w:rsidP="00955EF2">
      <w:pPr>
        <w:rPr>
          <w:rFonts w:eastAsiaTheme="minorEastAsia"/>
          <w:szCs w:val="22"/>
          <w:lang w:eastAsia="en-US"/>
        </w:rPr>
      </w:pPr>
      <w:r w:rsidRPr="00C97518">
        <w:t>A number of wording and structural changes are also proposed. These changes are in line with those that have occurred in reviews of technical frameworks in other spectrum licensed bands.</w:t>
      </w:r>
    </w:p>
    <w:p w14:paraId="04D0BA2F" w14:textId="3B50D99B" w:rsidR="006A5688" w:rsidRPr="00C97518" w:rsidRDefault="00537EFC" w:rsidP="007867F0">
      <w:pPr>
        <w:pStyle w:val="Heading2"/>
        <w:ind w:left="567" w:hanging="567"/>
        <w:rPr>
          <w:rFonts w:eastAsiaTheme="minorEastAsia"/>
          <w:szCs w:val="22"/>
          <w:lang w:eastAsia="en-US"/>
        </w:rPr>
      </w:pPr>
      <w:bookmarkStart w:id="56" w:name="_Toc437508131"/>
      <w:bookmarkStart w:id="57" w:name="_Toc437508436"/>
      <w:bookmarkStart w:id="58" w:name="_Toc437530168"/>
      <w:bookmarkStart w:id="59" w:name="_Toc461025777"/>
      <w:r w:rsidRPr="00C97518">
        <w:rPr>
          <w:rFonts w:eastAsiaTheme="minorEastAsia"/>
          <w:szCs w:val="22"/>
          <w:lang w:eastAsia="en-US"/>
        </w:rPr>
        <w:t>D</w:t>
      </w:r>
      <w:r w:rsidR="006A0C46" w:rsidRPr="00C97518">
        <w:rPr>
          <w:rFonts w:eastAsiaTheme="minorEastAsia"/>
          <w:szCs w:val="22"/>
          <w:lang w:eastAsia="en-US"/>
        </w:rPr>
        <w:t>1</w:t>
      </w:r>
      <w:r w:rsidR="006A0C46" w:rsidRPr="00C97518">
        <w:rPr>
          <w:rFonts w:eastAsiaTheme="minorEastAsia"/>
          <w:szCs w:val="22"/>
          <w:lang w:eastAsia="en-US"/>
        </w:rPr>
        <w:tab/>
        <w:t>Point-to-</w:t>
      </w:r>
      <w:r w:rsidR="007867F0" w:rsidRPr="00C97518">
        <w:rPr>
          <w:rFonts w:eastAsiaTheme="minorEastAsia"/>
          <w:szCs w:val="22"/>
          <w:lang w:eastAsia="en-US"/>
        </w:rPr>
        <w:t>point fixed service receivers</w:t>
      </w:r>
      <w:bookmarkEnd w:id="56"/>
      <w:bookmarkEnd w:id="57"/>
      <w:bookmarkEnd w:id="58"/>
      <w:bookmarkEnd w:id="59"/>
    </w:p>
    <w:p w14:paraId="0D8BCAF8" w14:textId="022965DF" w:rsidR="008B6581" w:rsidRPr="00C97518" w:rsidRDefault="008B6581" w:rsidP="008B6581">
      <w:r w:rsidRPr="00C97518">
        <w:t>Point-to-point fixed services operat</w:t>
      </w:r>
      <w:r w:rsidR="006832C8" w:rsidRPr="00C97518">
        <w:t>e</w:t>
      </w:r>
      <w:r w:rsidRPr="00C97518">
        <w:t xml:space="preserve"> in and adjacent to the 2 GHz spectrum licensed band. Point-to-point fixed</w:t>
      </w:r>
      <w:r w:rsidR="00552CA3" w:rsidRPr="00C97518">
        <w:t xml:space="preserve"> receiver</w:t>
      </w:r>
      <w:r w:rsidRPr="00C97518">
        <w:t>s</w:t>
      </w:r>
      <w:r w:rsidR="00552CA3" w:rsidRPr="00C97518">
        <w:t xml:space="preserve"> </w:t>
      </w:r>
      <w:r w:rsidRPr="00C97518">
        <w:t>are</w:t>
      </w:r>
      <w:r w:rsidR="00552CA3" w:rsidRPr="00C97518">
        <w:t xml:space="preserve"> category 1 or category 2 device</w:t>
      </w:r>
      <w:r w:rsidRPr="00C97518">
        <w:t>s</w:t>
      </w:r>
      <w:r w:rsidR="004D3FEF" w:rsidRPr="00C97518">
        <w:t>,</w:t>
      </w:r>
      <w:r w:rsidRPr="00C97518">
        <w:t xml:space="preserve"> </w:t>
      </w:r>
      <w:r w:rsidR="004D3FEF" w:rsidRPr="00C97518">
        <w:t xml:space="preserve">depending </w:t>
      </w:r>
      <w:r w:rsidRPr="00C97518">
        <w:t xml:space="preserve">on when the </w:t>
      </w:r>
      <w:r w:rsidR="00BD4ECE" w:rsidRPr="00C97518">
        <w:t>point-to-point fixed licence was issued</w:t>
      </w:r>
      <w:r w:rsidRPr="00C97518">
        <w:t xml:space="preserve">. </w:t>
      </w:r>
    </w:p>
    <w:p w14:paraId="1E339EDC" w14:textId="2C6344C6" w:rsidR="008B6581" w:rsidRPr="00C97518" w:rsidRDefault="008B6581" w:rsidP="008B6581">
      <w:r w:rsidRPr="00C97518">
        <w:t xml:space="preserve">As the </w:t>
      </w:r>
      <w:r w:rsidR="00552CA3" w:rsidRPr="00C97518">
        <w:t xml:space="preserve">device </w:t>
      </w:r>
      <w:r w:rsidRPr="00C97518">
        <w:t xml:space="preserve">boundary methodology in the 2 GHz band is proposed to change (see section </w:t>
      </w:r>
      <w:r w:rsidR="005E2B57" w:rsidRPr="00C97518">
        <w:t>C</w:t>
      </w:r>
      <w:r w:rsidRPr="00C97518">
        <w:t xml:space="preserve">4), the continued use of 4 December 2000 to define which category a fixed service </w:t>
      </w:r>
      <w:r w:rsidR="002A7AEE" w:rsidRPr="00C97518">
        <w:t>falls within</w:t>
      </w:r>
      <w:r w:rsidRPr="00C97518">
        <w:t xml:space="preserve"> is not preferred. </w:t>
      </w:r>
    </w:p>
    <w:p w14:paraId="176084FC" w14:textId="45E9B608" w:rsidR="00552CA3" w:rsidRPr="00C97518" w:rsidRDefault="006832C8" w:rsidP="007867F0">
      <w:r w:rsidRPr="00C97518">
        <w:t>It is proposed that for the</w:t>
      </w:r>
      <w:r w:rsidR="00552CA3" w:rsidRPr="00C97518">
        <w:t xml:space="preserve"> purpose of th</w:t>
      </w:r>
      <w:r w:rsidR="00BD4ECE" w:rsidRPr="00C97518">
        <w:t>ese</w:t>
      </w:r>
      <w:r w:rsidR="00552CA3" w:rsidRPr="00C97518">
        <w:t xml:space="preserve"> </w:t>
      </w:r>
      <w:r w:rsidR="008B6581" w:rsidRPr="00C97518">
        <w:t>guideline</w:t>
      </w:r>
      <w:r w:rsidR="00BD4ECE" w:rsidRPr="00C97518">
        <w:t>s</w:t>
      </w:r>
      <w:r w:rsidR="008B6581" w:rsidRPr="00C97518">
        <w:t>,</w:t>
      </w:r>
      <w:r w:rsidR="00552CA3" w:rsidRPr="00C97518">
        <w:t xml:space="preserve"> </w:t>
      </w:r>
      <w:r w:rsidR="008B6581" w:rsidRPr="00C97518">
        <w:t>category 1 devices are those registered before 12 October 2017, and category 2 thereafter</w:t>
      </w:r>
      <w:r w:rsidR="004D3FEF" w:rsidRPr="00C97518">
        <w:t>—</w:t>
      </w:r>
      <w:r w:rsidR="00552CA3" w:rsidRPr="00C97518">
        <w:t>that is</w:t>
      </w:r>
      <w:r w:rsidRPr="00C97518">
        <w:t>,</w:t>
      </w:r>
      <w:r w:rsidR="00552CA3" w:rsidRPr="00C97518">
        <w:t xml:space="preserve"> </w:t>
      </w:r>
      <w:r w:rsidR="00BD4ECE" w:rsidRPr="00C97518">
        <w:t>the proposed</w:t>
      </w:r>
      <w:r w:rsidR="00552CA3" w:rsidRPr="00C97518">
        <w:t xml:space="preserve"> change</w:t>
      </w:r>
      <w:r w:rsidR="00BD4ECE" w:rsidRPr="00C97518">
        <w:t xml:space="preserve"> is</w:t>
      </w:r>
      <w:r w:rsidR="00552CA3" w:rsidRPr="00C97518">
        <w:t xml:space="preserve"> from 4 December 2000 to 12 October 2017.</w:t>
      </w:r>
    </w:p>
    <w:p w14:paraId="6928DA62" w14:textId="7130EE8C" w:rsidR="007867F0" w:rsidRPr="00C97518" w:rsidRDefault="00552CA3" w:rsidP="004D3FEF">
      <w:r w:rsidRPr="00C97518">
        <w:t xml:space="preserve">Changing this date to 12 October 2017 assumes that existing point-to-point fixed licences issued in the band meet the existing device boundary criteria. Analysis has shown that </w:t>
      </w:r>
      <w:r w:rsidR="00BC57CD" w:rsidRPr="00C97518">
        <w:t xml:space="preserve">there is only </w:t>
      </w:r>
      <w:r w:rsidRPr="00C97518">
        <w:t xml:space="preserve">one point-to-point licence </w:t>
      </w:r>
      <w:r w:rsidR="00BD4ECE" w:rsidRPr="00C97518">
        <w:t xml:space="preserve">that </w:t>
      </w:r>
      <w:r w:rsidRPr="00C97518">
        <w:t>is co-channel and within 200</w:t>
      </w:r>
      <w:r w:rsidR="00BA3331" w:rsidRPr="00C97518">
        <w:t xml:space="preserve"> </w:t>
      </w:r>
      <w:r w:rsidRPr="00C97518">
        <w:t>k</w:t>
      </w:r>
      <w:r w:rsidR="00BD4ECE" w:rsidRPr="00C97518">
        <w:t>ilometres</w:t>
      </w:r>
      <w:r w:rsidRPr="00C97518">
        <w:t xml:space="preserve"> of a 2 GHz spectrum licence boundary</w:t>
      </w:r>
      <w:r w:rsidR="004D3FEF" w:rsidRPr="00C97518">
        <w:t>,</w:t>
      </w:r>
      <w:r w:rsidRPr="00C97518">
        <w:t xml:space="preserve"> which was approved on 12 December 2001</w:t>
      </w:r>
      <w:r w:rsidRPr="00C97518" w:rsidDel="00E84EDA">
        <w:t xml:space="preserve">. </w:t>
      </w:r>
      <w:r w:rsidR="00BC57CD" w:rsidRPr="00C97518">
        <w:t xml:space="preserve"> </w:t>
      </w:r>
      <w:r w:rsidR="00E84EDA" w:rsidRPr="00C97518">
        <w:t xml:space="preserve"> </w:t>
      </w:r>
    </w:p>
    <w:p w14:paraId="5F4EDDAE" w14:textId="003FBA29" w:rsidR="007867F0" w:rsidRPr="00C97518" w:rsidRDefault="00537EFC" w:rsidP="00104753">
      <w:pPr>
        <w:pStyle w:val="Heading2"/>
        <w:ind w:left="567" w:hanging="567"/>
        <w:rPr>
          <w:rFonts w:eastAsiaTheme="minorEastAsia"/>
          <w:szCs w:val="22"/>
          <w:lang w:eastAsia="en-US"/>
        </w:rPr>
      </w:pPr>
      <w:bookmarkStart w:id="60" w:name="_Toc437508132"/>
      <w:bookmarkStart w:id="61" w:name="_Toc437508437"/>
      <w:bookmarkStart w:id="62" w:name="_Toc437530169"/>
      <w:bookmarkStart w:id="63" w:name="_Toc461025778"/>
      <w:r w:rsidRPr="00C97518">
        <w:rPr>
          <w:rFonts w:eastAsiaTheme="minorEastAsia"/>
          <w:szCs w:val="22"/>
          <w:lang w:eastAsia="en-US"/>
        </w:rPr>
        <w:t>D</w:t>
      </w:r>
      <w:r w:rsidR="00104753" w:rsidRPr="00C97518">
        <w:rPr>
          <w:rFonts w:eastAsiaTheme="minorEastAsia"/>
          <w:szCs w:val="22"/>
          <w:lang w:eastAsia="en-US"/>
        </w:rPr>
        <w:t>2</w:t>
      </w:r>
      <w:r w:rsidR="007867F0" w:rsidRPr="00C97518">
        <w:rPr>
          <w:rFonts w:eastAsiaTheme="minorEastAsia"/>
          <w:szCs w:val="22"/>
          <w:lang w:eastAsia="en-US"/>
        </w:rPr>
        <w:tab/>
        <w:t>M</w:t>
      </w:r>
      <w:r w:rsidR="006A0C46" w:rsidRPr="00C97518">
        <w:rPr>
          <w:rFonts w:eastAsiaTheme="minorEastAsia"/>
          <w:szCs w:val="22"/>
          <w:lang w:eastAsia="en-US"/>
        </w:rPr>
        <w:t>obile s</w:t>
      </w:r>
      <w:r w:rsidR="007867F0" w:rsidRPr="00C97518">
        <w:rPr>
          <w:rFonts w:eastAsiaTheme="minorEastAsia"/>
          <w:szCs w:val="22"/>
          <w:lang w:eastAsia="en-US"/>
        </w:rPr>
        <w:t xml:space="preserve">atellite </w:t>
      </w:r>
      <w:r w:rsidR="006A0C46" w:rsidRPr="00C97518">
        <w:rPr>
          <w:rFonts w:eastAsiaTheme="minorEastAsia"/>
          <w:szCs w:val="22"/>
          <w:lang w:eastAsia="en-US"/>
        </w:rPr>
        <w:t>s</w:t>
      </w:r>
      <w:r w:rsidR="007867F0" w:rsidRPr="00C97518">
        <w:rPr>
          <w:rFonts w:eastAsiaTheme="minorEastAsia"/>
          <w:szCs w:val="22"/>
          <w:lang w:eastAsia="en-US"/>
        </w:rPr>
        <w:t>ervice</w:t>
      </w:r>
      <w:bookmarkEnd w:id="60"/>
      <w:bookmarkEnd w:id="61"/>
      <w:bookmarkEnd w:id="62"/>
      <w:bookmarkEnd w:id="63"/>
    </w:p>
    <w:p w14:paraId="6EBE6C58" w14:textId="046611DF" w:rsidR="006A0C46" w:rsidRPr="00C97518" w:rsidRDefault="006A0C46" w:rsidP="006A0C46">
      <w:r w:rsidRPr="00C97518">
        <w:t>While there are some wording changes, the substance</w:t>
      </w:r>
      <w:r w:rsidR="004C164A" w:rsidRPr="00C97518">
        <w:t xml:space="preserve"> of this part is unchanged</w:t>
      </w:r>
      <w:r w:rsidR="00D3534E" w:rsidRPr="00C97518">
        <w:t>.</w:t>
      </w:r>
    </w:p>
    <w:p w14:paraId="3531672B" w14:textId="62BC060D" w:rsidR="00104753" w:rsidRPr="00C97518" w:rsidRDefault="00537EFC" w:rsidP="006A0C46">
      <w:pPr>
        <w:pStyle w:val="Heading2"/>
        <w:ind w:left="567" w:hanging="567"/>
        <w:rPr>
          <w:rFonts w:eastAsiaTheme="minorEastAsia"/>
          <w:szCs w:val="22"/>
          <w:lang w:eastAsia="en-US"/>
        </w:rPr>
      </w:pPr>
      <w:bookmarkStart w:id="64" w:name="_Toc437508133"/>
      <w:bookmarkStart w:id="65" w:name="_Toc437508438"/>
      <w:bookmarkStart w:id="66" w:name="_Toc437530170"/>
      <w:bookmarkStart w:id="67" w:name="_Toc461025779"/>
      <w:r w:rsidRPr="00C97518">
        <w:rPr>
          <w:rFonts w:eastAsiaTheme="minorEastAsia"/>
          <w:szCs w:val="22"/>
          <w:lang w:eastAsia="en-US"/>
        </w:rPr>
        <w:t>D</w:t>
      </w:r>
      <w:r w:rsidR="00104753" w:rsidRPr="00C97518">
        <w:rPr>
          <w:rFonts w:eastAsiaTheme="minorEastAsia"/>
          <w:szCs w:val="22"/>
          <w:lang w:eastAsia="en-US"/>
        </w:rPr>
        <w:t>3</w:t>
      </w:r>
      <w:r w:rsidR="00104753" w:rsidRPr="00C97518">
        <w:rPr>
          <w:rFonts w:eastAsiaTheme="minorEastAsia"/>
          <w:szCs w:val="22"/>
          <w:lang w:eastAsia="en-US"/>
        </w:rPr>
        <w:tab/>
        <w:t>Cordless telecommunications services</w:t>
      </w:r>
      <w:bookmarkEnd w:id="64"/>
      <w:bookmarkEnd w:id="65"/>
      <w:bookmarkEnd w:id="66"/>
      <w:bookmarkEnd w:id="67"/>
    </w:p>
    <w:p w14:paraId="5D93C6AB" w14:textId="289789BE" w:rsidR="000D6192" w:rsidRPr="00C97518" w:rsidRDefault="00104753" w:rsidP="005D4087">
      <w:pPr>
        <w:rPr>
          <w:rFonts w:eastAsiaTheme="minorEastAsia"/>
          <w:szCs w:val="22"/>
          <w:lang w:eastAsia="en-US"/>
        </w:rPr>
      </w:pPr>
      <w:r w:rsidRPr="00C97518">
        <w:t>This part has been deleted due to the removal of the 1900</w:t>
      </w:r>
      <w:r w:rsidR="004D3FEF" w:rsidRPr="00C97518">
        <w:t>–</w:t>
      </w:r>
      <w:r w:rsidRPr="00C97518">
        <w:t>1920 MHz band from the scope of the technical framework. Cordless telecommunications services are therefore no longer an adjacent band service for frequencies covered by this technical framework</w:t>
      </w:r>
      <w:r w:rsidR="004C164A" w:rsidRPr="00C97518">
        <w:t>.</w:t>
      </w:r>
      <w:r w:rsidRPr="00C97518">
        <w:t xml:space="preserve"> </w:t>
      </w:r>
      <w:bookmarkStart w:id="68" w:name="_Toc437508134"/>
      <w:bookmarkStart w:id="69" w:name="_Toc437508439"/>
      <w:bookmarkStart w:id="70" w:name="_Toc437530171"/>
    </w:p>
    <w:p w14:paraId="11964D86" w14:textId="588BFB17" w:rsidR="00104753" w:rsidRPr="00C97518" w:rsidRDefault="00537EFC" w:rsidP="000D6192">
      <w:pPr>
        <w:pStyle w:val="Heading2"/>
        <w:ind w:left="567" w:hanging="567"/>
        <w:rPr>
          <w:rFonts w:eastAsiaTheme="minorEastAsia"/>
          <w:szCs w:val="22"/>
          <w:lang w:eastAsia="en-US"/>
        </w:rPr>
      </w:pPr>
      <w:bookmarkStart w:id="71" w:name="_Toc461025780"/>
      <w:r w:rsidRPr="00C97518">
        <w:rPr>
          <w:rFonts w:eastAsiaTheme="minorEastAsia"/>
          <w:szCs w:val="22"/>
          <w:lang w:eastAsia="en-US"/>
        </w:rPr>
        <w:lastRenderedPageBreak/>
        <w:t>D</w:t>
      </w:r>
      <w:r w:rsidR="00104753" w:rsidRPr="00C97518">
        <w:rPr>
          <w:rFonts w:eastAsiaTheme="minorEastAsia"/>
          <w:szCs w:val="22"/>
          <w:lang w:eastAsia="en-US"/>
        </w:rPr>
        <w:t>4</w:t>
      </w:r>
      <w:r w:rsidR="00104753" w:rsidRPr="00C97518">
        <w:rPr>
          <w:rFonts w:eastAsiaTheme="minorEastAsia"/>
          <w:szCs w:val="22"/>
          <w:lang w:eastAsia="en-US"/>
        </w:rPr>
        <w:tab/>
        <w:t xml:space="preserve">Space </w:t>
      </w:r>
      <w:r w:rsidR="000D6192" w:rsidRPr="00C97518">
        <w:rPr>
          <w:rFonts w:eastAsiaTheme="minorEastAsia"/>
          <w:szCs w:val="22"/>
          <w:lang w:eastAsia="en-US"/>
        </w:rPr>
        <w:t>s</w:t>
      </w:r>
      <w:r w:rsidR="00104753" w:rsidRPr="00C97518">
        <w:rPr>
          <w:rFonts w:eastAsiaTheme="minorEastAsia"/>
          <w:szCs w:val="22"/>
          <w:lang w:eastAsia="en-US"/>
        </w:rPr>
        <w:t>ervices</w:t>
      </w:r>
      <w:bookmarkEnd w:id="68"/>
      <w:bookmarkEnd w:id="69"/>
      <w:bookmarkEnd w:id="70"/>
      <w:bookmarkEnd w:id="71"/>
    </w:p>
    <w:p w14:paraId="4852D1F9" w14:textId="48FBC0C7" w:rsidR="00104753" w:rsidRPr="00C97518" w:rsidRDefault="00104753" w:rsidP="00104753">
      <w:r w:rsidRPr="00C97518">
        <w:t xml:space="preserve">The section </w:t>
      </w:r>
      <w:r w:rsidR="000D6192" w:rsidRPr="00C97518">
        <w:t>‘</w:t>
      </w:r>
      <w:r w:rsidRPr="00C97518">
        <w:t>Additional information on space service protection</w:t>
      </w:r>
      <w:r w:rsidR="000D6192" w:rsidRPr="00C97518">
        <w:t>’</w:t>
      </w:r>
      <w:r w:rsidRPr="00C97518">
        <w:t xml:space="preserve"> has been removed due to the suppression of the ITU-R Recommendations previously referred to in this section. The use of ITU-R Recommendation M.1456 is sufficiently covered elsewhere in th</w:t>
      </w:r>
      <w:r w:rsidR="00BD4ECE" w:rsidRPr="00C97518">
        <w:t>ese</w:t>
      </w:r>
      <w:r w:rsidRPr="00C97518">
        <w:t xml:space="preserve"> </w:t>
      </w:r>
      <w:r w:rsidR="00D3534E" w:rsidRPr="00C97518">
        <w:t>guideline</w:t>
      </w:r>
      <w:r w:rsidR="00BD4ECE" w:rsidRPr="00C97518">
        <w:t>s</w:t>
      </w:r>
      <w:r w:rsidRPr="00C97518">
        <w:t xml:space="preserve">. </w:t>
      </w:r>
    </w:p>
    <w:p w14:paraId="581DF4CA" w14:textId="4E41FA94" w:rsidR="00104753" w:rsidRPr="00C97518" w:rsidRDefault="00537EFC" w:rsidP="00104753">
      <w:pPr>
        <w:pStyle w:val="Heading2"/>
        <w:ind w:left="567" w:hanging="567"/>
        <w:rPr>
          <w:rFonts w:eastAsiaTheme="minorEastAsia"/>
          <w:szCs w:val="22"/>
          <w:lang w:eastAsia="en-US"/>
        </w:rPr>
      </w:pPr>
      <w:bookmarkStart w:id="72" w:name="_Toc437508135"/>
      <w:bookmarkStart w:id="73" w:name="_Toc437508440"/>
      <w:bookmarkStart w:id="74" w:name="_Toc437530172"/>
      <w:bookmarkStart w:id="75" w:name="_Toc461025781"/>
      <w:r w:rsidRPr="00C97518">
        <w:rPr>
          <w:rFonts w:eastAsiaTheme="minorEastAsia"/>
          <w:szCs w:val="22"/>
          <w:lang w:eastAsia="en-US"/>
        </w:rPr>
        <w:t>D</w:t>
      </w:r>
      <w:r w:rsidR="00104753" w:rsidRPr="00C97518">
        <w:rPr>
          <w:rFonts w:eastAsiaTheme="minorEastAsia"/>
          <w:szCs w:val="22"/>
          <w:lang w:eastAsia="en-US"/>
        </w:rPr>
        <w:t>5</w:t>
      </w:r>
      <w:r w:rsidR="00104753" w:rsidRPr="00C97518">
        <w:rPr>
          <w:rFonts w:eastAsiaTheme="minorEastAsia"/>
          <w:szCs w:val="22"/>
          <w:lang w:eastAsia="en-US"/>
        </w:rPr>
        <w:tab/>
        <w:t>Television outside broadcast (TVOB) services</w:t>
      </w:r>
      <w:bookmarkEnd w:id="72"/>
      <w:bookmarkEnd w:id="73"/>
      <w:bookmarkEnd w:id="74"/>
      <w:bookmarkEnd w:id="75"/>
    </w:p>
    <w:p w14:paraId="1044D954" w14:textId="01A24FAF" w:rsidR="00104753" w:rsidRPr="00C97518" w:rsidRDefault="006A0C46" w:rsidP="00104753">
      <w:r w:rsidRPr="00C97518">
        <w:t>This part is unchanged.</w:t>
      </w:r>
      <w:r w:rsidR="003E61B8" w:rsidRPr="00C97518">
        <w:t xml:space="preserve"> However, an amendment will be made to RALI FX21 before existing spectrum licences expire. This amendment will ensure that, when considering the first-in-time registration status with respect to adjacent-frequency Television Outside Broadcast (TOB) services, the original registration dates for existing devices that are re-registered under the renewed spectrum licences will apply. A provision to this clause is that specific technical parameters used for coordination do not change. </w:t>
      </w:r>
    </w:p>
    <w:p w14:paraId="268D227A" w14:textId="4051C789" w:rsidR="006A0C46" w:rsidRPr="00C97518" w:rsidRDefault="00537EFC" w:rsidP="006A0C46">
      <w:pPr>
        <w:pStyle w:val="Heading2"/>
        <w:ind w:left="567" w:hanging="567"/>
        <w:rPr>
          <w:rFonts w:eastAsiaTheme="minorEastAsia"/>
          <w:szCs w:val="22"/>
          <w:lang w:eastAsia="en-US"/>
        </w:rPr>
      </w:pPr>
      <w:bookmarkStart w:id="76" w:name="_Toc437508136"/>
      <w:bookmarkStart w:id="77" w:name="_Toc437508441"/>
      <w:bookmarkStart w:id="78" w:name="_Toc437530173"/>
      <w:bookmarkStart w:id="79" w:name="_Toc461025782"/>
      <w:r w:rsidRPr="00C97518">
        <w:rPr>
          <w:rFonts w:eastAsiaTheme="minorEastAsia"/>
          <w:szCs w:val="22"/>
          <w:lang w:eastAsia="en-US"/>
        </w:rPr>
        <w:t>D</w:t>
      </w:r>
      <w:r w:rsidR="006A0C46" w:rsidRPr="00C97518">
        <w:rPr>
          <w:rFonts w:eastAsiaTheme="minorEastAsia"/>
          <w:szCs w:val="22"/>
          <w:lang w:eastAsia="en-US"/>
        </w:rPr>
        <w:t>6</w:t>
      </w:r>
      <w:r w:rsidR="006A0C46" w:rsidRPr="00C97518">
        <w:rPr>
          <w:rFonts w:eastAsiaTheme="minorEastAsia"/>
          <w:szCs w:val="22"/>
          <w:lang w:eastAsia="en-US"/>
        </w:rPr>
        <w:tab/>
        <w:t>Public telecommunications services</w:t>
      </w:r>
      <w:bookmarkEnd w:id="76"/>
      <w:bookmarkEnd w:id="77"/>
      <w:bookmarkEnd w:id="78"/>
      <w:bookmarkEnd w:id="79"/>
    </w:p>
    <w:p w14:paraId="0F706FCD" w14:textId="73A85190" w:rsidR="006A0C46" w:rsidRPr="00C97518" w:rsidRDefault="006A0C46" w:rsidP="006A0C46">
      <w:r w:rsidRPr="00C97518">
        <w:t>This is a new part added to the</w:t>
      </w:r>
      <w:r w:rsidR="00BD4ECE" w:rsidRPr="00C97518">
        <w:t>se</w:t>
      </w:r>
      <w:r w:rsidRPr="00C97518">
        <w:t xml:space="preserve"> </w:t>
      </w:r>
      <w:r w:rsidR="008A165D" w:rsidRPr="00C97518">
        <w:t>guideline</w:t>
      </w:r>
      <w:r w:rsidR="00BD4ECE" w:rsidRPr="00C97518">
        <w:t>s</w:t>
      </w:r>
      <w:r w:rsidR="008A165D" w:rsidRPr="00C97518">
        <w:t xml:space="preserve"> </w:t>
      </w:r>
      <w:r w:rsidRPr="00C97518">
        <w:t xml:space="preserve">regarding public telecommunications services (PTS) operating under apparatus licences in the 2 GHz band. Transmitters operating in accordance with the conditions of the spectrum licence are taken not to cause unacceptable interference to these services. </w:t>
      </w:r>
    </w:p>
    <w:p w14:paraId="606BB08C" w14:textId="12805811" w:rsidR="006A0C46" w:rsidRPr="00C97518" w:rsidRDefault="00537EFC" w:rsidP="006A0C46">
      <w:pPr>
        <w:pStyle w:val="Heading2"/>
        <w:ind w:left="567" w:hanging="567"/>
        <w:rPr>
          <w:rFonts w:eastAsiaTheme="minorEastAsia"/>
          <w:szCs w:val="22"/>
          <w:lang w:eastAsia="en-US"/>
        </w:rPr>
      </w:pPr>
      <w:bookmarkStart w:id="80" w:name="_Toc437508137"/>
      <w:bookmarkStart w:id="81" w:name="_Toc437508442"/>
      <w:bookmarkStart w:id="82" w:name="_Toc437530174"/>
      <w:bookmarkStart w:id="83" w:name="_Toc461025783"/>
      <w:r w:rsidRPr="00C97518">
        <w:rPr>
          <w:rFonts w:eastAsiaTheme="minorEastAsia"/>
          <w:szCs w:val="22"/>
          <w:lang w:eastAsia="en-US"/>
        </w:rPr>
        <w:t>D</w:t>
      </w:r>
      <w:r w:rsidR="006A0C46" w:rsidRPr="00C97518">
        <w:rPr>
          <w:rFonts w:eastAsiaTheme="minorEastAsia"/>
          <w:szCs w:val="22"/>
          <w:lang w:eastAsia="en-US"/>
        </w:rPr>
        <w:t>7</w:t>
      </w:r>
      <w:r w:rsidR="006A0C46" w:rsidRPr="00C97518">
        <w:rPr>
          <w:rFonts w:eastAsiaTheme="minorEastAsia"/>
          <w:szCs w:val="22"/>
          <w:lang w:eastAsia="en-US"/>
        </w:rPr>
        <w:tab/>
        <w:t>Class</w:t>
      </w:r>
      <w:r w:rsidR="000D6192" w:rsidRPr="00C97518">
        <w:rPr>
          <w:rFonts w:eastAsiaTheme="minorEastAsia"/>
          <w:szCs w:val="22"/>
          <w:lang w:eastAsia="en-US"/>
        </w:rPr>
        <w:t>-l</w:t>
      </w:r>
      <w:r w:rsidR="006A0C46" w:rsidRPr="00C97518">
        <w:rPr>
          <w:rFonts w:eastAsiaTheme="minorEastAsia"/>
          <w:szCs w:val="22"/>
          <w:lang w:eastAsia="en-US"/>
        </w:rPr>
        <w:t xml:space="preserve">icensed </w:t>
      </w:r>
      <w:r w:rsidR="000D6192" w:rsidRPr="00C97518">
        <w:rPr>
          <w:rFonts w:eastAsiaTheme="minorEastAsia"/>
          <w:szCs w:val="22"/>
          <w:lang w:eastAsia="en-US"/>
        </w:rPr>
        <w:t>s</w:t>
      </w:r>
      <w:r w:rsidR="006A0C46" w:rsidRPr="00C97518">
        <w:rPr>
          <w:rFonts w:eastAsiaTheme="minorEastAsia"/>
          <w:szCs w:val="22"/>
          <w:lang w:eastAsia="en-US"/>
        </w:rPr>
        <w:t>ervices</w:t>
      </w:r>
      <w:bookmarkEnd w:id="80"/>
      <w:bookmarkEnd w:id="81"/>
      <w:bookmarkEnd w:id="82"/>
      <w:bookmarkEnd w:id="83"/>
    </w:p>
    <w:p w14:paraId="06CD8C3B" w14:textId="2A92C158" w:rsidR="00104753" w:rsidRPr="00C97518" w:rsidRDefault="006A0C46" w:rsidP="006A5688">
      <w:pPr>
        <w:sectPr w:rsidR="00104753" w:rsidRPr="00C97518" w:rsidSect="00FB2EA1">
          <w:headerReference w:type="even" r:id="rId33"/>
          <w:headerReference w:type="default" r:id="rId34"/>
          <w:footerReference w:type="even" r:id="rId35"/>
          <w:footerReference w:type="default" r:id="rId36"/>
          <w:pgSz w:w="11906" w:h="16838" w:code="9"/>
          <w:pgMar w:top="1945" w:right="3101" w:bottom="1134" w:left="1134" w:header="709" w:footer="119" w:gutter="0"/>
          <w:cols w:space="708"/>
          <w:docGrid w:linePitch="360"/>
        </w:sectPr>
      </w:pPr>
      <w:r w:rsidRPr="00C97518">
        <w:t>This is a new part added to the</w:t>
      </w:r>
      <w:r w:rsidR="00BD4ECE" w:rsidRPr="00C97518">
        <w:t>se</w:t>
      </w:r>
      <w:r w:rsidRPr="00C97518">
        <w:t xml:space="preserve"> </w:t>
      </w:r>
      <w:r w:rsidR="008A165D" w:rsidRPr="00C97518">
        <w:t>guideline</w:t>
      </w:r>
      <w:r w:rsidR="00BD4ECE" w:rsidRPr="00C97518">
        <w:t>s</w:t>
      </w:r>
      <w:r w:rsidR="008A165D" w:rsidRPr="00C97518">
        <w:t xml:space="preserve"> </w:t>
      </w:r>
      <w:r w:rsidRPr="00C97518">
        <w:t xml:space="preserve">regarding </w:t>
      </w:r>
      <w:r w:rsidR="008A165D" w:rsidRPr="00C97518">
        <w:t>radiocommunication</w:t>
      </w:r>
      <w:r w:rsidR="00BD4ECE" w:rsidRPr="00C97518">
        <w:t>s</w:t>
      </w:r>
      <w:r w:rsidR="008A165D" w:rsidRPr="00C97518">
        <w:t xml:space="preserve"> </w:t>
      </w:r>
      <w:r w:rsidRPr="00C97518">
        <w:t>devices operated under various class licences. Transmitters operating in accordance with the conditions of the spectrum licence are taken not to cause unacceptable interference to these services.</w:t>
      </w:r>
    </w:p>
    <w:p w14:paraId="20BDCBD4" w14:textId="2B343A17" w:rsidR="006A5688" w:rsidRPr="00C97518" w:rsidRDefault="006A5688" w:rsidP="006A5688">
      <w:pPr>
        <w:pStyle w:val="Heading1"/>
      </w:pPr>
      <w:bookmarkStart w:id="84" w:name="_Toc461025784"/>
      <w:r w:rsidRPr="00C97518">
        <w:lastRenderedPageBreak/>
        <w:t xml:space="preserve">Attachment </w:t>
      </w:r>
      <w:r w:rsidR="00537EFC" w:rsidRPr="00C97518">
        <w:t>E</w:t>
      </w:r>
      <w:r w:rsidRPr="00C97518">
        <w:t>—</w:t>
      </w:r>
      <w:r w:rsidR="004871A2" w:rsidRPr="00C97518">
        <w:t>Proposed changes to the Radiocommunications Advisory Guideline</w:t>
      </w:r>
      <w:r w:rsidR="0021332A" w:rsidRPr="00C97518">
        <w:t>s</w:t>
      </w:r>
      <w:r w:rsidR="004871A2" w:rsidRPr="00C97518">
        <w:t xml:space="preserve"> for managing interference to 2 GHz spectrum licenced receivers</w:t>
      </w:r>
      <w:bookmarkEnd w:id="84"/>
    </w:p>
    <w:p w14:paraId="2C414E1F" w14:textId="1C5BB2E5" w:rsidR="006A5688" w:rsidRPr="00C97518" w:rsidRDefault="00846358" w:rsidP="006A5688">
      <w:r w:rsidRPr="00C97518">
        <w:t xml:space="preserve">While there are a number of wording and structural changes in Parts 1 to 3 of </w:t>
      </w:r>
      <w:bookmarkStart w:id="85" w:name="Citation"/>
      <w:r w:rsidR="00BD4ECE" w:rsidRPr="00C97518">
        <w:t xml:space="preserve">the proposed </w:t>
      </w:r>
      <w:r w:rsidRPr="00C97518">
        <w:t xml:space="preserve">Radiocommunications Advisory Guidelines (Managing Interference to Spectrum Licensed Receivers – 2 GHz Band) </w:t>
      </w:r>
      <w:bookmarkEnd w:id="85"/>
      <w:r w:rsidRPr="00C97518">
        <w:t>201</w:t>
      </w:r>
      <w:r w:rsidR="00D614CF" w:rsidRPr="00C97518">
        <w:t>6</w:t>
      </w:r>
      <w:r w:rsidR="00305FEB" w:rsidRPr="00C97518">
        <w:t>,</w:t>
      </w:r>
      <w:r w:rsidRPr="00C97518">
        <w:t xml:space="preserve"> compared with </w:t>
      </w:r>
      <w:r w:rsidR="00BD4ECE" w:rsidRPr="00C97518">
        <w:t xml:space="preserve">the </w:t>
      </w:r>
      <w:hyperlink r:id="rId37" w:history="1">
        <w:r w:rsidRPr="00C97518">
          <w:rPr>
            <w:rStyle w:val="Hyperlink"/>
          </w:rPr>
          <w:t>Radiocommunications Advisory Guidelines (Protection of Apparatus-licensed and Class-licensed Receivers - 2 GHz Band) 20</w:t>
        </w:r>
      </w:hyperlink>
      <w:r w:rsidRPr="00C97518">
        <w:rPr>
          <w:rStyle w:val="Hyperlink"/>
        </w:rPr>
        <w:t>15</w:t>
      </w:r>
      <w:r w:rsidRPr="00C97518">
        <w:t xml:space="preserve">, these proposed changes do not affect the substance of the document. These changes are in line with those that have occurred in reviews of technical frameworks in other spectrum licensed bands. </w:t>
      </w:r>
    </w:p>
    <w:p w14:paraId="379D2823" w14:textId="63EB13C4" w:rsidR="00846358" w:rsidRPr="00C97518" w:rsidRDefault="00846358" w:rsidP="006A5688">
      <w:r w:rsidRPr="00C97518">
        <w:t xml:space="preserve">The major substantive changes that are proposed </w:t>
      </w:r>
      <w:r w:rsidR="00BD4ECE" w:rsidRPr="00C97518">
        <w:t>concern</w:t>
      </w:r>
      <w:r w:rsidRPr="00C97518">
        <w:t xml:space="preserve"> the notional receiver performance level and the compatibility requirement</w:t>
      </w:r>
      <w:r w:rsidR="00A44688" w:rsidRPr="00C97518">
        <w:t>.</w:t>
      </w:r>
    </w:p>
    <w:p w14:paraId="0CFAEEAE" w14:textId="36AEA2CC" w:rsidR="00846358" w:rsidRPr="00C97518" w:rsidRDefault="00537EFC" w:rsidP="00846358">
      <w:pPr>
        <w:pStyle w:val="Heading2"/>
        <w:ind w:left="567" w:hanging="567"/>
        <w:rPr>
          <w:rFonts w:eastAsiaTheme="minorEastAsia"/>
          <w:szCs w:val="22"/>
          <w:lang w:eastAsia="en-US"/>
        </w:rPr>
      </w:pPr>
      <w:bookmarkStart w:id="86" w:name="_Toc437508140"/>
      <w:bookmarkStart w:id="87" w:name="_Toc437508445"/>
      <w:bookmarkStart w:id="88" w:name="_Toc437530176"/>
      <w:bookmarkStart w:id="89" w:name="_Toc461025785"/>
      <w:r w:rsidRPr="00C97518">
        <w:rPr>
          <w:rFonts w:eastAsiaTheme="minorEastAsia"/>
          <w:szCs w:val="22"/>
          <w:lang w:eastAsia="en-US"/>
        </w:rPr>
        <w:t>E</w:t>
      </w:r>
      <w:r w:rsidR="00846358" w:rsidRPr="00C97518">
        <w:rPr>
          <w:rFonts w:eastAsiaTheme="minorEastAsia"/>
          <w:szCs w:val="22"/>
          <w:lang w:eastAsia="en-US"/>
        </w:rPr>
        <w:t>1</w:t>
      </w:r>
      <w:r w:rsidR="00846358" w:rsidRPr="00C97518">
        <w:rPr>
          <w:rFonts w:eastAsiaTheme="minorEastAsia"/>
          <w:szCs w:val="22"/>
          <w:lang w:eastAsia="en-US"/>
        </w:rPr>
        <w:tab/>
        <w:t>Notional receiver performance level</w:t>
      </w:r>
      <w:bookmarkEnd w:id="86"/>
      <w:bookmarkEnd w:id="87"/>
      <w:bookmarkEnd w:id="88"/>
      <w:bookmarkEnd w:id="89"/>
    </w:p>
    <w:p w14:paraId="11A34A8D" w14:textId="03B5755A" w:rsidR="00846358" w:rsidRPr="00C97518" w:rsidRDefault="00537EFC" w:rsidP="00846358">
      <w:pPr>
        <w:pStyle w:val="Heading3"/>
      </w:pPr>
      <w:bookmarkStart w:id="90" w:name="_Toc437508141"/>
      <w:bookmarkStart w:id="91" w:name="_Toc437508446"/>
      <w:bookmarkStart w:id="92" w:name="_Toc437530177"/>
      <w:bookmarkStart w:id="93" w:name="_Toc461025786"/>
      <w:r w:rsidRPr="00C97518">
        <w:t>E</w:t>
      </w:r>
      <w:r w:rsidR="00846358" w:rsidRPr="00C97518">
        <w:t>1.1</w:t>
      </w:r>
      <w:r w:rsidR="00846358" w:rsidRPr="00C97518">
        <w:tab/>
        <w:t>Adjacent channel selectivity</w:t>
      </w:r>
      <w:bookmarkEnd w:id="90"/>
      <w:bookmarkEnd w:id="91"/>
      <w:bookmarkEnd w:id="92"/>
      <w:bookmarkEnd w:id="93"/>
    </w:p>
    <w:p w14:paraId="208E75A0" w14:textId="0305790E" w:rsidR="00EE2A8B" w:rsidRPr="00C97518" w:rsidRDefault="00EE2A8B" w:rsidP="00EE2A8B">
      <w:r w:rsidRPr="00C97518">
        <w:t>Receiver Adjacent Channel Selectivity (ACS) is a measure of the ability of a receiver to receive a wanted signal without exceeding a specified degradation in output quality due to the presence of an unwanted adjacent channel signal. The value</w:t>
      </w:r>
      <w:r w:rsidR="00BD4ECE" w:rsidRPr="00C97518">
        <w:t xml:space="preserve"> currently</w:t>
      </w:r>
      <w:r w:rsidRPr="00C97518">
        <w:t xml:space="preserve"> stated in</w:t>
      </w:r>
      <w:r w:rsidR="00BD4ECE" w:rsidRPr="00C97518">
        <w:t xml:space="preserve"> the</w:t>
      </w:r>
      <w:r w:rsidRPr="00C97518">
        <w:t xml:space="preserve"> </w:t>
      </w:r>
      <w:hyperlink r:id="rId38" w:history="1">
        <w:r w:rsidRPr="00C97518">
          <w:rPr>
            <w:rStyle w:val="Hyperlink"/>
          </w:rPr>
          <w:t>Radiocommunications Advisory Guidelines (Protection of Apparatus-licensed and Class-licensed Receivers - 2 GHz Band) 20</w:t>
        </w:r>
      </w:hyperlink>
      <w:r w:rsidRPr="00C97518">
        <w:rPr>
          <w:rStyle w:val="Hyperlink"/>
        </w:rPr>
        <w:t>15</w:t>
      </w:r>
      <w:r w:rsidRPr="00C97518">
        <w:t xml:space="preserve"> </w:t>
      </w:r>
      <w:r w:rsidR="00BD4ECE" w:rsidRPr="00C97518">
        <w:t>is</w:t>
      </w:r>
      <w:r w:rsidRPr="00C97518">
        <w:t xml:space="preserve"> 45 dB measured at an offset of 5 MHz. </w:t>
      </w:r>
    </w:p>
    <w:p w14:paraId="5910B584" w14:textId="12347D4D" w:rsidR="00F05C2C" w:rsidRPr="00C97518" w:rsidRDefault="00EE2A8B" w:rsidP="00EE2A8B">
      <w:r w:rsidRPr="00C97518">
        <w:t xml:space="preserve">The minimum ACS value </w:t>
      </w:r>
      <w:r w:rsidRPr="00C97518">
        <w:rPr>
          <w:rFonts w:eastAsiaTheme="minorEastAsia"/>
          <w:szCs w:val="22"/>
          <w:lang w:eastAsia="en-US"/>
        </w:rPr>
        <w:t xml:space="preserve">stated in </w:t>
      </w:r>
      <w:r w:rsidRPr="00C97518">
        <w:t>3GPP 36.104</w:t>
      </w:r>
      <w:r w:rsidRPr="00C97518">
        <w:rPr>
          <w:rStyle w:val="FootnoteReference"/>
        </w:rPr>
        <w:footnoteReference w:id="14"/>
      </w:r>
      <w:r w:rsidRPr="00C97518">
        <w:t xml:space="preserve"> for LTE base station receivers is specified in the form of an unwanted signal level at a given offset from the wanted signal edge. This can be converted to the form of a wanted to unwanted signal ratio by reference to the wanted signal used for the measurement. </w:t>
      </w:r>
      <w:r w:rsidR="00773F21" w:rsidRPr="00C97518">
        <w:t>For example,</w:t>
      </w:r>
      <w:r w:rsidRPr="00C97518">
        <w:t xml:space="preserve"> the wanted level for a 5 MHz channel is -95.5 dBm and the unwanted level is -52 dBm, therefore the ACS expressed as a ratio of wanted to unwanted is: </w:t>
      </w:r>
    </w:p>
    <w:p w14:paraId="2D5770B0" w14:textId="296673B8" w:rsidR="00EE2A8B" w:rsidRPr="00C97518" w:rsidRDefault="00EE2A8B" w:rsidP="00955EF2">
      <w:pPr>
        <w:jc w:val="center"/>
      </w:pPr>
      <w:r w:rsidRPr="00C97518">
        <w:t>-52 dBm – -95.5 dBm = 43.5</w:t>
      </w:r>
      <w:r w:rsidR="00773F21" w:rsidRPr="00C97518">
        <w:t> </w:t>
      </w:r>
      <w:r w:rsidRPr="00C97518">
        <w:t>dB.</w:t>
      </w:r>
    </w:p>
    <w:p w14:paraId="35EC525D" w14:textId="0B6E5773" w:rsidR="00846358" w:rsidRPr="00C97518" w:rsidRDefault="00EE2A8B" w:rsidP="00846358">
      <w:r w:rsidRPr="00C97518">
        <w:t>Therefore, i</w:t>
      </w:r>
      <w:r w:rsidR="00B85CF5" w:rsidRPr="00C97518">
        <w:t>t is proposed that adjacent channel selectivity shall b</w:t>
      </w:r>
      <w:r w:rsidR="008A1505" w:rsidRPr="00C97518">
        <w:t>e greater than or equal to 43.5 </w:t>
      </w:r>
      <w:r w:rsidR="00B85CF5" w:rsidRPr="00C97518">
        <w:t>dB with a frequency offset of less than 5 MHz</w:t>
      </w:r>
      <w:r w:rsidRPr="00C97518">
        <w:t xml:space="preserve"> based on the LTE specification</w:t>
      </w:r>
      <w:r w:rsidR="00B85CF5" w:rsidRPr="00C97518">
        <w:t xml:space="preserve">. </w:t>
      </w:r>
    </w:p>
    <w:p w14:paraId="6BA6A8F7" w14:textId="4D8A5307" w:rsidR="00846358" w:rsidRPr="00C97518" w:rsidRDefault="00537EFC" w:rsidP="00846358">
      <w:pPr>
        <w:pStyle w:val="Heading3"/>
      </w:pPr>
      <w:bookmarkStart w:id="94" w:name="_Toc437508142"/>
      <w:bookmarkStart w:id="95" w:name="_Toc437508447"/>
      <w:bookmarkStart w:id="96" w:name="_Toc437530178"/>
      <w:bookmarkStart w:id="97" w:name="_Toc461025787"/>
      <w:r w:rsidRPr="00C97518">
        <w:t>E</w:t>
      </w:r>
      <w:r w:rsidR="00846358" w:rsidRPr="00C97518">
        <w:t>1.2</w:t>
      </w:r>
      <w:r w:rsidR="00846358" w:rsidRPr="00C97518">
        <w:tab/>
      </w:r>
      <w:r w:rsidR="00B85CF5" w:rsidRPr="00C97518">
        <w:t>I</w:t>
      </w:r>
      <w:r w:rsidR="00846358" w:rsidRPr="00C97518">
        <w:t xml:space="preserve">ntermodulation </w:t>
      </w:r>
      <w:r w:rsidR="00B85CF5" w:rsidRPr="00C97518">
        <w:t xml:space="preserve">response </w:t>
      </w:r>
      <w:r w:rsidR="00846358" w:rsidRPr="00C97518">
        <w:t>rejection</w:t>
      </w:r>
      <w:bookmarkEnd w:id="94"/>
      <w:bookmarkEnd w:id="95"/>
      <w:bookmarkEnd w:id="96"/>
      <w:bookmarkEnd w:id="97"/>
    </w:p>
    <w:p w14:paraId="10A83D61" w14:textId="591E5C12" w:rsidR="00EE2A8B" w:rsidRPr="00C97518" w:rsidRDefault="00EE2A8B" w:rsidP="00EE2A8B">
      <w:r w:rsidRPr="00C97518">
        <w:t xml:space="preserve">Receiver intermodulation rejection is a measure of the ability of a receiver to receive the wanted signal without exceeding a specified degradation in output quality caused by the presence of two or more unwanted signals with a specific amplitude and </w:t>
      </w:r>
      <w:r w:rsidRPr="00C97518">
        <w:lastRenderedPageBreak/>
        <w:t xml:space="preserve">frequency relationship to the wanted signal frequency. Receiver intermodulation rejection is a function of the receiver </w:t>
      </w:r>
      <w:r w:rsidR="00524B34" w:rsidRPr="00C97518">
        <w:t>front-end</w:t>
      </w:r>
      <w:r w:rsidRPr="00C97518">
        <w:t xml:space="preserve"> linearity and the radio frequency filter characteristic.</w:t>
      </w:r>
    </w:p>
    <w:p w14:paraId="6D29B4C2" w14:textId="77777777" w:rsidR="00453EEF" w:rsidRPr="00C97518" w:rsidRDefault="00EE2A8B" w:rsidP="00EE2A8B">
      <w:r w:rsidRPr="00C97518">
        <w:t xml:space="preserve">Technology standards state the power levels of the interfering signals and the offsets from the receivers tuned frequency. Frequency offsets are typically based on a multiple of the technology’s channel bandwidth, and therefore specific offsets for different technologies will vary. </w:t>
      </w:r>
    </w:p>
    <w:p w14:paraId="43DADB56" w14:textId="6D81381F" w:rsidR="00453EEF" w:rsidRPr="00C97518" w:rsidRDefault="00453EEF" w:rsidP="00EE2A8B">
      <w:r w:rsidRPr="00C97518">
        <w:t xml:space="preserve">The value for receiver intermodulation rejection value </w:t>
      </w:r>
      <w:r w:rsidR="00BD4ECE" w:rsidRPr="00C97518">
        <w:t xml:space="preserve">currently </w:t>
      </w:r>
      <w:r w:rsidRPr="00C97518">
        <w:t xml:space="preserve">stated in </w:t>
      </w:r>
      <w:hyperlink r:id="rId39" w:history="1">
        <w:r w:rsidRPr="00C97518">
          <w:rPr>
            <w:rStyle w:val="Hyperlink"/>
          </w:rPr>
          <w:t>Radiocommunications Advisory Guidelines (Protection of Apparatus-licensed and Class-licensed Receivers - 2 GHz Band) 20</w:t>
        </w:r>
      </w:hyperlink>
      <w:r w:rsidRPr="00C97518">
        <w:rPr>
          <w:rStyle w:val="Hyperlink"/>
        </w:rPr>
        <w:t>15</w:t>
      </w:r>
      <w:r w:rsidRPr="00C97518">
        <w:t xml:space="preserve"> s -54 dB, per 1 MHz at an offset of 20 MHz or more. The intermodulation requirement </w:t>
      </w:r>
      <w:r w:rsidRPr="00C97518">
        <w:rPr>
          <w:rFonts w:eastAsiaTheme="minorEastAsia"/>
          <w:szCs w:val="22"/>
          <w:lang w:eastAsia="en-US"/>
        </w:rPr>
        <w:t xml:space="preserve">stated in </w:t>
      </w:r>
      <w:r w:rsidRPr="00C97518">
        <w:t>3GPP 36.104</w:t>
      </w:r>
      <w:r w:rsidRPr="00C97518">
        <w:rPr>
          <w:rStyle w:val="FootnoteReference"/>
        </w:rPr>
        <w:footnoteReference w:id="15"/>
      </w:r>
      <w:r w:rsidRPr="00C97518">
        <w:t xml:space="preserve"> for LTE base station receivers is -52 dBm starting at offsets of 2.5 MHz.</w:t>
      </w:r>
    </w:p>
    <w:p w14:paraId="3E714866" w14:textId="70F84DE8" w:rsidR="00846358" w:rsidRPr="00C97518" w:rsidRDefault="00B85CF5" w:rsidP="00846358">
      <w:r w:rsidRPr="00C97518">
        <w:t xml:space="preserve">A receiver intermodulation rejection level of -52 dBm per occupied bandwidth for each out-of-band signal at frequency offsets greater than or equal to 5 MHz from the upper and lower frequency limit of the licence under which the radiocommunications receiver operates is proposed. </w:t>
      </w:r>
    </w:p>
    <w:p w14:paraId="1AF35948" w14:textId="41C49AA0" w:rsidR="00846358" w:rsidRPr="00C97518" w:rsidRDefault="00537EFC" w:rsidP="00846358">
      <w:pPr>
        <w:pStyle w:val="Heading3"/>
      </w:pPr>
      <w:bookmarkStart w:id="98" w:name="_Toc437508143"/>
      <w:bookmarkStart w:id="99" w:name="_Toc437508448"/>
      <w:bookmarkStart w:id="100" w:name="_Toc437530179"/>
      <w:bookmarkStart w:id="101" w:name="_Toc461025788"/>
      <w:r w:rsidRPr="00C97518">
        <w:t>E</w:t>
      </w:r>
      <w:r w:rsidR="00846358" w:rsidRPr="00C97518">
        <w:t>1.3</w:t>
      </w:r>
      <w:r w:rsidR="00846358" w:rsidRPr="00C97518">
        <w:tab/>
        <w:t>Receiver blocking</w:t>
      </w:r>
      <w:bookmarkEnd w:id="98"/>
      <w:bookmarkEnd w:id="99"/>
      <w:bookmarkEnd w:id="100"/>
      <w:bookmarkEnd w:id="101"/>
    </w:p>
    <w:p w14:paraId="150DC82F" w14:textId="57944744" w:rsidR="00453EEF" w:rsidRPr="00C97518" w:rsidRDefault="00453EEF" w:rsidP="00453EEF">
      <w:r w:rsidRPr="00C97518">
        <w:t xml:space="preserve">Receiver blocking is a measure of the ability of a receiver to receive the wanted signal in the presence of a </w:t>
      </w:r>
      <w:r w:rsidR="00524B34" w:rsidRPr="00C97518">
        <w:t>high-level</w:t>
      </w:r>
      <w:r w:rsidRPr="00C97518">
        <w:t xml:space="preserve"> unwanted signal on frequencies other than the adjacent channel. High levels of unwanted signal can change the operating point of the RF amplifier or mixer stages</w:t>
      </w:r>
      <w:r w:rsidR="00141727" w:rsidRPr="00C97518">
        <w:t>,</w:t>
      </w:r>
      <w:r w:rsidRPr="00C97518">
        <w:t xml:space="preserve"> reducing receiver sensitivity </w:t>
      </w:r>
      <w:r w:rsidR="00141727" w:rsidRPr="00C97518">
        <w:t xml:space="preserve">and </w:t>
      </w:r>
      <w:r w:rsidRPr="00C97518">
        <w:t>effectively blocking the reception of low level wanted signals.</w:t>
      </w:r>
    </w:p>
    <w:p w14:paraId="6A1B6204" w14:textId="28F7396F" w:rsidR="00453EEF" w:rsidRPr="00C97518" w:rsidRDefault="00453EEF" w:rsidP="00453EEF">
      <w:r w:rsidRPr="00C97518">
        <w:t xml:space="preserve">The </w:t>
      </w:r>
      <w:r w:rsidR="00524B34" w:rsidRPr="00C97518">
        <w:t>receiver-blocking</w:t>
      </w:r>
      <w:r w:rsidRPr="00C97518">
        <w:t xml:space="preserve"> requirement is specified as an absolute level rather than a ratio</w:t>
      </w:r>
      <w:r w:rsidR="00141727" w:rsidRPr="00C97518">
        <w:t>,</w:t>
      </w:r>
      <w:r w:rsidRPr="00C97518">
        <w:t xml:space="preserve"> so its relationship to equipment standards is clear, and is not reliant on other aspects such as the minimum wanted level or the receiver noise floor</w:t>
      </w:r>
      <w:r w:rsidR="00141727" w:rsidRPr="00C97518">
        <w:t>,</w:t>
      </w:r>
      <w:r w:rsidRPr="00C97518">
        <w:t xml:space="preserve"> which vary across technologies.</w:t>
      </w:r>
    </w:p>
    <w:p w14:paraId="0A9B866E" w14:textId="28AE5F1D" w:rsidR="00453EEF" w:rsidRPr="00C97518" w:rsidRDefault="00453EEF" w:rsidP="005D4087">
      <w:pPr>
        <w:spacing w:after="80"/>
        <w:rPr>
          <w:rStyle w:val="Hyperlink"/>
        </w:rPr>
      </w:pPr>
      <w:r w:rsidRPr="00C97518">
        <w:t xml:space="preserve">The </w:t>
      </w:r>
      <w:r w:rsidR="00524B34" w:rsidRPr="00C97518">
        <w:t>receiver-blocking</w:t>
      </w:r>
      <w:r w:rsidRPr="00C97518">
        <w:t xml:space="preserve"> requirement</w:t>
      </w:r>
      <w:r w:rsidR="00BD4ECE" w:rsidRPr="00C97518">
        <w:t>s</w:t>
      </w:r>
      <w:r w:rsidRPr="00C97518">
        <w:t xml:space="preserve"> </w:t>
      </w:r>
      <w:r w:rsidR="00BD4ECE" w:rsidRPr="00C97518">
        <w:t xml:space="preserve">currently </w:t>
      </w:r>
      <w:r w:rsidRPr="00C97518">
        <w:t>stated in</w:t>
      </w:r>
      <w:r w:rsidR="00BD4ECE" w:rsidRPr="00C97518">
        <w:t xml:space="preserve"> the</w:t>
      </w:r>
      <w:r w:rsidRPr="00C97518">
        <w:t xml:space="preserve"> </w:t>
      </w:r>
      <w:hyperlink r:id="rId40" w:history="1">
        <w:r w:rsidRPr="00C97518">
          <w:rPr>
            <w:rStyle w:val="Hyperlink"/>
          </w:rPr>
          <w:t>Radiocommunications Advisory Guidelines (Protection of Apparatus-licensed and Class-licensed Receivers - 2 GHz Band) 2015</w:t>
        </w:r>
      </w:hyperlink>
      <w:r w:rsidR="005D4087" w:rsidRPr="00C97518">
        <w:t xml:space="preserve"> </w:t>
      </w:r>
      <w:r w:rsidR="00BD4ECE" w:rsidRPr="00C97518">
        <w:t>are</w:t>
      </w:r>
      <w:r w:rsidRPr="00C97518">
        <w:t>:</w:t>
      </w:r>
      <w:r w:rsidR="00BD4ECE" w:rsidRPr="00C97518">
        <w:t xml:space="preserve"> </w:t>
      </w:r>
    </w:p>
    <w:p w14:paraId="70B1BB7A" w14:textId="093CDE88" w:rsidR="00453EEF" w:rsidRPr="00C97518" w:rsidRDefault="00453EEF" w:rsidP="00537EFC">
      <w:pPr>
        <w:pStyle w:val="ListBullet"/>
        <w:numPr>
          <w:ilvl w:val="0"/>
          <w:numId w:val="1"/>
        </w:numPr>
      </w:pPr>
      <w:r w:rsidRPr="00C97518">
        <w:t>a signal level of -46 dBm per 1 MHz with a frequency offset of 10 MHz or more</w:t>
      </w:r>
    </w:p>
    <w:p w14:paraId="6D72247D" w14:textId="77777777" w:rsidR="00453EEF" w:rsidRPr="00C97518" w:rsidRDefault="00453EEF" w:rsidP="005D4087">
      <w:pPr>
        <w:pStyle w:val="ListBullet"/>
        <w:numPr>
          <w:ilvl w:val="0"/>
          <w:numId w:val="1"/>
        </w:numPr>
        <w:spacing w:after="240"/>
      </w:pPr>
      <w:r w:rsidRPr="00C97518">
        <w:t xml:space="preserve">a signal level of -21 dBm per 1 MHz for frequencies outside the band 1880 to 2190 MHz. </w:t>
      </w:r>
    </w:p>
    <w:p w14:paraId="233DC359" w14:textId="0A73BED5" w:rsidR="00B85CF5" w:rsidRPr="00C97518" w:rsidRDefault="00B85CF5" w:rsidP="005D4087">
      <w:pPr>
        <w:spacing w:after="80"/>
      </w:pPr>
      <w:r w:rsidRPr="00C97518">
        <w:t>The following receiver blocking requirement</w:t>
      </w:r>
      <w:r w:rsidR="00BD4ECE" w:rsidRPr="00C97518">
        <w:t>s are</w:t>
      </w:r>
      <w:r w:rsidRPr="00C97518">
        <w:t xml:space="preserve"> proposed:</w:t>
      </w:r>
    </w:p>
    <w:p w14:paraId="137BEE99" w14:textId="607AF3DA" w:rsidR="00B85CF5" w:rsidRPr="00C97518" w:rsidRDefault="00B85CF5" w:rsidP="00B85CF5">
      <w:pPr>
        <w:pStyle w:val="ListBullet"/>
        <w:numPr>
          <w:ilvl w:val="0"/>
          <w:numId w:val="1"/>
        </w:numPr>
      </w:pPr>
      <w:r w:rsidRPr="00C97518">
        <w:t>-43 dBm per 5 MHz at frequency offsets greater than 5 MHz from the frequency limit of the licence</w:t>
      </w:r>
    </w:p>
    <w:p w14:paraId="147D1F14" w14:textId="0DB6D247" w:rsidR="00B85CF5" w:rsidRPr="00C97518" w:rsidRDefault="00B85CF5" w:rsidP="005D4087">
      <w:pPr>
        <w:pStyle w:val="ListBullet"/>
        <w:numPr>
          <w:ilvl w:val="0"/>
          <w:numId w:val="1"/>
        </w:numPr>
        <w:spacing w:after="240"/>
      </w:pPr>
      <w:r w:rsidRPr="00C97518">
        <w:t>a total mean power of -15 dBm for frequencies outside the band 1900 MHz to 2000 MHz.</w:t>
      </w:r>
    </w:p>
    <w:p w14:paraId="398252F6" w14:textId="438577AD" w:rsidR="008A1505" w:rsidRPr="00C97518" w:rsidRDefault="00856C50" w:rsidP="00B85CF5">
      <w:r w:rsidRPr="00C97518">
        <w:t>Th</w:t>
      </w:r>
      <w:r w:rsidR="009D7410" w:rsidRPr="00C97518">
        <w:t xml:space="preserve">ese proposed requirements </w:t>
      </w:r>
      <w:r w:rsidRPr="00C97518">
        <w:t xml:space="preserve">mirror the receiver blocking requirement </w:t>
      </w:r>
      <w:r w:rsidRPr="00C97518">
        <w:rPr>
          <w:rFonts w:eastAsiaTheme="minorEastAsia"/>
          <w:szCs w:val="22"/>
          <w:lang w:eastAsia="en-US"/>
        </w:rPr>
        <w:t xml:space="preserve">stated in </w:t>
      </w:r>
      <w:r w:rsidRPr="00C97518">
        <w:t>3GPP 36.104</w:t>
      </w:r>
      <w:r w:rsidRPr="00C97518">
        <w:rPr>
          <w:rStyle w:val="FootnoteReference"/>
        </w:rPr>
        <w:footnoteReference w:id="16"/>
      </w:r>
      <w:r w:rsidR="00FD61E0" w:rsidRPr="00C97518">
        <w:t xml:space="preserve"> for wide area base stations.</w:t>
      </w:r>
    </w:p>
    <w:p w14:paraId="2F3DC93D" w14:textId="59DC26A9" w:rsidR="00B85CF5" w:rsidRPr="00C97518" w:rsidRDefault="00537EFC" w:rsidP="00B85CF5">
      <w:pPr>
        <w:pStyle w:val="Heading3"/>
      </w:pPr>
      <w:bookmarkStart w:id="102" w:name="_Toc437508144"/>
      <w:bookmarkStart w:id="103" w:name="_Toc437508449"/>
      <w:bookmarkStart w:id="104" w:name="_Toc437530180"/>
      <w:bookmarkStart w:id="105" w:name="_Toc461025789"/>
      <w:r w:rsidRPr="00C97518">
        <w:lastRenderedPageBreak/>
        <w:t>E</w:t>
      </w:r>
      <w:r w:rsidR="00B85CF5" w:rsidRPr="00C97518">
        <w:t>1.4</w:t>
      </w:r>
      <w:r w:rsidR="00B85CF5" w:rsidRPr="00C97518">
        <w:tab/>
        <w:t>Receiver antenna and feeder losses</w:t>
      </w:r>
      <w:bookmarkEnd w:id="102"/>
      <w:bookmarkEnd w:id="103"/>
      <w:bookmarkEnd w:id="104"/>
      <w:bookmarkEnd w:id="105"/>
    </w:p>
    <w:p w14:paraId="5C4920FE" w14:textId="67F8E229" w:rsidR="00846358" w:rsidRPr="00C97518" w:rsidRDefault="00B85CF5" w:rsidP="00846358">
      <w:r w:rsidRPr="00C97518">
        <w:t xml:space="preserve">A notional antenna gain (including losses) of 18 dBi is proposed. </w:t>
      </w:r>
      <w:r w:rsidR="008A1505" w:rsidRPr="00C97518">
        <w:t xml:space="preserve">The justification for this figure is outlined in </w:t>
      </w:r>
      <w:r w:rsidR="009D7410" w:rsidRPr="00C97518">
        <w:t>s</w:t>
      </w:r>
      <w:r w:rsidR="008A1505" w:rsidRPr="00C97518">
        <w:t>ection B1</w:t>
      </w:r>
      <w:r w:rsidR="009D7410" w:rsidRPr="00C97518">
        <w:t xml:space="preserve"> of attachment B of this consultation paper</w:t>
      </w:r>
      <w:r w:rsidR="008A1505" w:rsidRPr="00C97518">
        <w:t xml:space="preserve">. </w:t>
      </w:r>
    </w:p>
    <w:p w14:paraId="2BCFD6AF" w14:textId="23334DCD" w:rsidR="00846358" w:rsidRPr="00C97518" w:rsidRDefault="00537EFC" w:rsidP="00846358">
      <w:pPr>
        <w:pStyle w:val="Heading2"/>
        <w:ind w:left="567" w:hanging="567"/>
        <w:rPr>
          <w:rFonts w:eastAsiaTheme="minorEastAsia"/>
          <w:szCs w:val="22"/>
          <w:lang w:eastAsia="en-US"/>
        </w:rPr>
      </w:pPr>
      <w:bookmarkStart w:id="106" w:name="_Toc437508145"/>
      <w:bookmarkStart w:id="107" w:name="_Toc437508450"/>
      <w:bookmarkStart w:id="108" w:name="_Toc437530181"/>
      <w:bookmarkStart w:id="109" w:name="_Toc461025790"/>
      <w:r w:rsidRPr="00C97518">
        <w:rPr>
          <w:rFonts w:eastAsiaTheme="minorEastAsia"/>
          <w:szCs w:val="22"/>
          <w:lang w:eastAsia="en-US"/>
        </w:rPr>
        <w:t>E</w:t>
      </w:r>
      <w:r w:rsidR="00846358" w:rsidRPr="00C97518">
        <w:rPr>
          <w:rFonts w:eastAsiaTheme="minorEastAsia"/>
          <w:szCs w:val="22"/>
          <w:lang w:eastAsia="en-US"/>
        </w:rPr>
        <w:t>2</w:t>
      </w:r>
      <w:r w:rsidR="00846358" w:rsidRPr="00C97518">
        <w:rPr>
          <w:rFonts w:eastAsiaTheme="minorEastAsia"/>
          <w:szCs w:val="22"/>
          <w:lang w:eastAsia="en-US"/>
        </w:rPr>
        <w:tab/>
        <w:t>Compatibility requirement</w:t>
      </w:r>
      <w:bookmarkEnd w:id="106"/>
      <w:bookmarkEnd w:id="107"/>
      <w:bookmarkEnd w:id="108"/>
      <w:bookmarkEnd w:id="109"/>
    </w:p>
    <w:p w14:paraId="3768C015" w14:textId="66C17086" w:rsidR="00FD61E0" w:rsidRPr="00C97518" w:rsidRDefault="00FD61E0" w:rsidP="00FD61E0">
      <w:r w:rsidRPr="00C97518">
        <w:t>The present maximum unwanted signal level is -126 dBm for more than one per cent of the time in any one-hour period, when measured as mean power within a 30 kHz rectangular bandwidth that is within the frequency band of the spectrum licence. This is equivalent to a maximum unwanted signal of approximately -104 dBm/5MHz.</w:t>
      </w:r>
    </w:p>
    <w:p w14:paraId="7DC2F01C" w14:textId="15DB9C6F" w:rsidR="006F132F" w:rsidRPr="00C97518" w:rsidRDefault="00FD61E0" w:rsidP="006A5688">
      <w:r w:rsidRPr="00C97518">
        <w:t>It is proposed to change this to a</w:t>
      </w:r>
      <w:r w:rsidR="00B85CF5" w:rsidRPr="00C97518">
        <w:t xml:space="preserve"> </w:t>
      </w:r>
      <w:r w:rsidRPr="00C97518">
        <w:t>maximum</w:t>
      </w:r>
      <w:r w:rsidR="00B85CF5" w:rsidRPr="00C97518">
        <w:t xml:space="preserve"> unwanted </w:t>
      </w:r>
      <w:r w:rsidRPr="00C97518">
        <w:t xml:space="preserve">signal level of </w:t>
      </w:r>
      <w:r w:rsidR="00B85CF5" w:rsidRPr="00C97518">
        <w:t xml:space="preserve">ratio of </w:t>
      </w:r>
      <w:r w:rsidR="006F132F" w:rsidRPr="00C97518">
        <w:t>-108 dBm/5MHz</w:t>
      </w:r>
      <w:r w:rsidRPr="00C97518">
        <w:t xml:space="preserve"> is proposed</w:t>
      </w:r>
      <w:r w:rsidR="00B85CF5" w:rsidRPr="00C97518">
        <w:t>.</w:t>
      </w:r>
      <w:r w:rsidRPr="00C97518">
        <w:t xml:space="preserve"> This results in an I/N of -6 dB and matches the maximum interference level defined in </w:t>
      </w:r>
      <w:r w:rsidRPr="00C97518">
        <w:rPr>
          <w:rFonts w:cs="Arial"/>
        </w:rPr>
        <w:t>ITU-R Report M.2292-0.</w:t>
      </w:r>
    </w:p>
    <w:sectPr w:rsidR="006F132F" w:rsidRPr="00C97518" w:rsidSect="00FB2EA1">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796B6" w14:textId="77777777" w:rsidR="00C06149" w:rsidRDefault="00C06149">
      <w:r>
        <w:separator/>
      </w:r>
    </w:p>
  </w:endnote>
  <w:endnote w:type="continuationSeparator" w:id="0">
    <w:p w14:paraId="3F69DC2B" w14:textId="77777777" w:rsidR="00C06149" w:rsidRDefault="00C06149">
      <w:r>
        <w:continuationSeparator/>
      </w:r>
    </w:p>
  </w:endnote>
  <w:endnote w:type="continuationNotice" w:id="1">
    <w:p w14:paraId="652B2BC2" w14:textId="77777777" w:rsidR="00C06149" w:rsidRDefault="00C061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NeueLT Std Lt">
    <w:altName w:val="Franklin Gothic Demi"/>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11C09" w14:textId="77777777" w:rsidR="00C06149" w:rsidRPr="00A5474E" w:rsidRDefault="00C06149" w:rsidP="00A5474E">
    <w:pPr>
      <w:pStyle w:val="Footer"/>
    </w:pPr>
    <w:r>
      <w:rPr>
        <w:noProof/>
      </w:rPr>
      <w:drawing>
        <wp:inline distT="0" distB="0" distL="0" distR="0" wp14:anchorId="7A1A6127" wp14:editId="610E15D1">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9DCC6" w14:textId="77777777" w:rsidR="00C06149" w:rsidRDefault="00C061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BD35B" w14:textId="77777777" w:rsidR="00C06149" w:rsidRDefault="00C0614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8F4E6" w14:textId="77777777" w:rsidR="00C06149" w:rsidRPr="00622A3B" w:rsidRDefault="00C06149"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4B2E1D">
      <w:rPr>
        <w:noProof/>
        <w:color w:val="505050"/>
      </w:rPr>
      <w:t>iv</w:t>
    </w:r>
    <w:r w:rsidRPr="002E4DDC">
      <w:rPr>
        <w:color w:val="505050"/>
      </w:rPr>
      <w:fldChar w:fldCharType="end"/>
    </w:r>
  </w:p>
  <w:p w14:paraId="59F81D8E" w14:textId="77777777" w:rsidR="00C06149" w:rsidRPr="00A5474E" w:rsidRDefault="00C06149" w:rsidP="00A5474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B5F70" w14:textId="77777777" w:rsidR="00C06149" w:rsidRPr="00622A3B" w:rsidRDefault="00C06149"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4094526" w14:textId="77777777" w:rsidR="00C06149" w:rsidRPr="00A5474E" w:rsidRDefault="00C06149" w:rsidP="00A5474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61C9A" w14:textId="77777777" w:rsidR="00C06149" w:rsidRPr="00622A3B" w:rsidRDefault="00C06149"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4B2E1D">
      <w:rPr>
        <w:noProof/>
        <w:color w:val="505050"/>
      </w:rPr>
      <w:t>iii</w:t>
    </w:r>
    <w:r w:rsidRPr="002E4DDC">
      <w:rPr>
        <w:color w:val="505050"/>
      </w:rPr>
      <w:fldChar w:fldCharType="end"/>
    </w:r>
  </w:p>
  <w:p w14:paraId="50040EB2" w14:textId="77777777" w:rsidR="00C06149" w:rsidRPr="00A5474E" w:rsidRDefault="00C06149" w:rsidP="00A5474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B9C1" w14:textId="77777777" w:rsidR="00C06149" w:rsidRPr="00622A3B" w:rsidRDefault="00C06149" w:rsidP="00761967">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4B2E1D">
      <w:rPr>
        <w:noProof/>
      </w:rPr>
      <w:t>14</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27BF0D76" w14:textId="77777777" w:rsidR="00C06149" w:rsidRDefault="00C0614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FA52F" w14:textId="77777777" w:rsidR="00C06149" w:rsidRPr="00622A3B" w:rsidRDefault="00C06149" w:rsidP="0076196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4B2E1D">
      <w:rPr>
        <w:noProof/>
        <w:color w:val="505050"/>
      </w:rPr>
      <w:t>15</w:t>
    </w:r>
    <w:r w:rsidRPr="00575AC5">
      <w:rPr>
        <w:color w:val="505050"/>
      </w:rPr>
      <w:fldChar w:fldCharType="end"/>
    </w:r>
  </w:p>
  <w:p w14:paraId="2340F83C" w14:textId="77777777" w:rsidR="00C06149" w:rsidRDefault="00C061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9868A" w14:textId="77777777" w:rsidR="00C06149" w:rsidRDefault="00C06149">
      <w:r>
        <w:separator/>
      </w:r>
    </w:p>
  </w:footnote>
  <w:footnote w:type="continuationSeparator" w:id="0">
    <w:p w14:paraId="20AC316A" w14:textId="77777777" w:rsidR="00C06149" w:rsidRDefault="00C06149">
      <w:r>
        <w:continuationSeparator/>
      </w:r>
    </w:p>
  </w:footnote>
  <w:footnote w:type="continuationNotice" w:id="1">
    <w:p w14:paraId="0AA1BD3F" w14:textId="77777777" w:rsidR="00C06149" w:rsidRDefault="00C06149">
      <w:pPr>
        <w:spacing w:after="0" w:line="240" w:lineRule="auto"/>
      </w:pPr>
    </w:p>
  </w:footnote>
  <w:footnote w:id="2">
    <w:p w14:paraId="6842C599" w14:textId="58F0BFB0" w:rsidR="00C06149" w:rsidRDefault="00C06149" w:rsidP="005D4087">
      <w:pPr>
        <w:pStyle w:val="FootnoteText"/>
        <w:spacing w:after="0"/>
      </w:pPr>
      <w:r>
        <w:rPr>
          <w:rStyle w:val="FootnoteReference"/>
        </w:rPr>
        <w:footnoteRef/>
      </w:r>
      <w:r>
        <w:t xml:space="preserve"> See Table 6.6.3.2.1-6 of </w:t>
      </w:r>
      <w:hyperlink r:id="rId1" w:history="1">
        <w:r w:rsidRPr="00006ECD">
          <w:rPr>
            <w:rStyle w:val="Hyperlink"/>
          </w:rPr>
          <w:t>3GPP TS 36.104 version 12.8.0 Release 12</w:t>
        </w:r>
      </w:hyperlink>
      <w:r>
        <w:t>.</w:t>
      </w:r>
    </w:p>
  </w:footnote>
  <w:footnote w:id="3">
    <w:p w14:paraId="147B2B35" w14:textId="20CEB9E8" w:rsidR="00C06149" w:rsidRDefault="00C06149" w:rsidP="008C3AB0">
      <w:pPr>
        <w:pStyle w:val="FootnoteText"/>
        <w:spacing w:after="0"/>
      </w:pPr>
      <w:r>
        <w:rPr>
          <w:rStyle w:val="FootnoteReference"/>
        </w:rPr>
        <w:footnoteRef/>
      </w:r>
      <w:r>
        <w:t xml:space="preserve"> See Table 6.6.3.2.1-6 of </w:t>
      </w:r>
      <w:hyperlink r:id="rId2" w:history="1">
        <w:r w:rsidRPr="00006ECD">
          <w:rPr>
            <w:rStyle w:val="Hyperlink"/>
          </w:rPr>
          <w:t>3GPP TS 36.104 version 12.8.0 Release 12</w:t>
        </w:r>
      </w:hyperlink>
      <w:r>
        <w:t xml:space="preserve">. </w:t>
      </w:r>
    </w:p>
  </w:footnote>
  <w:footnote w:id="4">
    <w:p w14:paraId="6A286230" w14:textId="77777777" w:rsidR="00C06149" w:rsidRDefault="00C06149" w:rsidP="00594548">
      <w:pPr>
        <w:pStyle w:val="FootnoteText"/>
        <w:spacing w:after="0"/>
      </w:pPr>
      <w:r>
        <w:rPr>
          <w:rStyle w:val="FootnoteReference"/>
        </w:rPr>
        <w:footnoteRef/>
      </w:r>
      <w:r>
        <w:t xml:space="preserve"> See Table 6.6.3.2.1-6 of </w:t>
      </w:r>
      <w:hyperlink r:id="rId3" w:history="1">
        <w:r w:rsidRPr="00006ECD">
          <w:rPr>
            <w:rStyle w:val="Hyperlink"/>
          </w:rPr>
          <w:t>3GPP TS 36.104 version 12.8.0 Release 12</w:t>
        </w:r>
      </w:hyperlink>
      <w:r>
        <w:t>.</w:t>
      </w:r>
    </w:p>
  </w:footnote>
  <w:footnote w:id="5">
    <w:p w14:paraId="609D0853" w14:textId="77777777" w:rsidR="00C06149" w:rsidRDefault="00C06149" w:rsidP="00C00817">
      <w:pPr>
        <w:pStyle w:val="FootnoteText"/>
        <w:spacing w:after="0"/>
      </w:pPr>
      <w:r>
        <w:rPr>
          <w:rStyle w:val="FootnoteReference"/>
        </w:rPr>
        <w:footnoteRef/>
      </w:r>
      <w:r>
        <w:t xml:space="preserve"> See Table 6.6.2.1.1-1 of </w:t>
      </w:r>
      <w:hyperlink r:id="rId4" w:history="1">
        <w:r w:rsidRPr="00006ECD">
          <w:rPr>
            <w:rStyle w:val="Hyperlink"/>
          </w:rPr>
          <w:t>3GPP TS 36.101 version 12.9.0 Release 12</w:t>
        </w:r>
      </w:hyperlink>
      <w:r>
        <w:t>.</w:t>
      </w:r>
    </w:p>
  </w:footnote>
  <w:footnote w:id="6">
    <w:p w14:paraId="6D998390" w14:textId="77777777" w:rsidR="00C06149" w:rsidRDefault="00C06149" w:rsidP="007552D9">
      <w:pPr>
        <w:pStyle w:val="FootnoteText"/>
        <w:spacing w:after="0"/>
      </w:pPr>
      <w:r>
        <w:rPr>
          <w:rStyle w:val="FootnoteReference"/>
        </w:rPr>
        <w:footnoteRef/>
      </w:r>
      <w:r>
        <w:t xml:space="preserve"> See Table 6.6.2.1.1-1 of </w:t>
      </w:r>
      <w:hyperlink r:id="rId5" w:history="1">
        <w:r w:rsidRPr="00006ECD">
          <w:rPr>
            <w:rStyle w:val="Hyperlink"/>
          </w:rPr>
          <w:t>3GPP TS 36.101 version 12.9.0 Release 12</w:t>
        </w:r>
      </w:hyperlink>
      <w:r>
        <w:t>.</w:t>
      </w:r>
    </w:p>
  </w:footnote>
  <w:footnote w:id="7">
    <w:p w14:paraId="63E251BA" w14:textId="77777777" w:rsidR="00C06149" w:rsidRDefault="00C06149" w:rsidP="00F13B89">
      <w:pPr>
        <w:pStyle w:val="FootnoteText"/>
        <w:spacing w:after="0"/>
      </w:pPr>
      <w:r>
        <w:rPr>
          <w:rStyle w:val="FootnoteReference"/>
        </w:rPr>
        <w:footnoteRef/>
      </w:r>
      <w:r>
        <w:t xml:space="preserve"> See Table 6.6.3.1-2 of </w:t>
      </w:r>
      <w:hyperlink r:id="rId6" w:history="1">
        <w:r w:rsidRPr="00006ECD">
          <w:rPr>
            <w:rStyle w:val="Hyperlink"/>
          </w:rPr>
          <w:t>3GPP TS 36.101 version 12.9.0 Release 12</w:t>
        </w:r>
      </w:hyperlink>
      <w:r>
        <w:t>.</w:t>
      </w:r>
    </w:p>
  </w:footnote>
  <w:footnote w:id="8">
    <w:p w14:paraId="7C663491" w14:textId="77777777" w:rsidR="00C06149" w:rsidRDefault="00C06149" w:rsidP="00F13B89">
      <w:pPr>
        <w:pStyle w:val="FootnoteText"/>
        <w:spacing w:after="0"/>
      </w:pPr>
      <w:r>
        <w:rPr>
          <w:rStyle w:val="FootnoteReference"/>
        </w:rPr>
        <w:footnoteRef/>
      </w:r>
      <w:r>
        <w:t xml:space="preserve"> See Table 6.6.4.1.2.1-1 of </w:t>
      </w:r>
      <w:hyperlink r:id="rId7" w:history="1">
        <w:r w:rsidRPr="00006ECD">
          <w:rPr>
            <w:rStyle w:val="Hyperlink"/>
          </w:rPr>
          <w:t>3GPP TS 36.104 version 12.8.0 Release 12</w:t>
        </w:r>
      </w:hyperlink>
      <w:r>
        <w:t>.</w:t>
      </w:r>
    </w:p>
  </w:footnote>
  <w:footnote w:id="9">
    <w:p w14:paraId="61BE73CD" w14:textId="77777777" w:rsidR="00C06149" w:rsidRDefault="00C06149" w:rsidP="008C0005">
      <w:pPr>
        <w:pStyle w:val="FootnoteText"/>
        <w:spacing w:after="0"/>
      </w:pPr>
      <w:r>
        <w:rPr>
          <w:rStyle w:val="FootnoteReference"/>
        </w:rPr>
        <w:footnoteRef/>
      </w:r>
      <w:r>
        <w:t xml:space="preserve"> See Table 6.6.3.1-1 of </w:t>
      </w:r>
      <w:hyperlink r:id="rId8" w:history="1">
        <w:r w:rsidRPr="00006ECD">
          <w:rPr>
            <w:rStyle w:val="Hyperlink"/>
          </w:rPr>
          <w:t>3GPP TS 36.101 version 12.9.0 Release 12</w:t>
        </w:r>
      </w:hyperlink>
      <w:r>
        <w:t>.</w:t>
      </w:r>
    </w:p>
  </w:footnote>
  <w:footnote w:id="10">
    <w:p w14:paraId="7C15694D" w14:textId="77777777" w:rsidR="00C06149" w:rsidRDefault="00C06149" w:rsidP="008C0005">
      <w:pPr>
        <w:pStyle w:val="FootnoteText"/>
        <w:spacing w:after="0"/>
      </w:pPr>
      <w:r>
        <w:rPr>
          <w:rStyle w:val="FootnoteReference"/>
        </w:rPr>
        <w:footnoteRef/>
      </w:r>
      <w:r>
        <w:t xml:space="preserve"> See Section 6.6.4 of </w:t>
      </w:r>
      <w:hyperlink r:id="rId9" w:history="1">
        <w:r w:rsidRPr="00006ECD">
          <w:rPr>
            <w:rStyle w:val="Hyperlink"/>
          </w:rPr>
          <w:t>3GPP TS 36.104 version 12.8.0 Release 12</w:t>
        </w:r>
      </w:hyperlink>
      <w:r>
        <w:t>.</w:t>
      </w:r>
    </w:p>
  </w:footnote>
  <w:footnote w:id="11">
    <w:p w14:paraId="31604614" w14:textId="69DCF0D3" w:rsidR="00C06149" w:rsidRDefault="00C06149" w:rsidP="00FE4954">
      <w:pPr>
        <w:pStyle w:val="FootnoteText"/>
        <w:spacing w:after="0"/>
      </w:pPr>
      <w:r>
        <w:rPr>
          <w:rStyle w:val="FootnoteReference"/>
        </w:rPr>
        <w:footnoteRef/>
      </w:r>
      <w:r>
        <w:t xml:space="preserve"> See Table 6.2.2-1 (EUTRA band 1) of </w:t>
      </w:r>
      <w:hyperlink r:id="rId10" w:history="1">
        <w:r w:rsidRPr="00006ECD">
          <w:rPr>
            <w:rStyle w:val="Hyperlink"/>
          </w:rPr>
          <w:t>3GPP TS 36.101 version 12.9.0 Release 12</w:t>
        </w:r>
      </w:hyperlink>
      <w:r>
        <w:t>.</w:t>
      </w:r>
    </w:p>
  </w:footnote>
  <w:footnote w:id="12">
    <w:p w14:paraId="0E780E50" w14:textId="0866313A" w:rsidR="00C06149" w:rsidRDefault="00C06149" w:rsidP="00A712D6">
      <w:pPr>
        <w:pStyle w:val="FootnoteText"/>
        <w:spacing w:after="0"/>
      </w:pPr>
      <w:r>
        <w:rPr>
          <w:rStyle w:val="FootnoteReference"/>
        </w:rPr>
        <w:footnoteRef/>
      </w:r>
      <w:r>
        <w:t xml:space="preserve"> Applicable for DC-HSDPA (see Table 7.3 in </w:t>
      </w:r>
      <w:r w:rsidRPr="00B10591">
        <w:t>25.101</w:t>
      </w:r>
      <w:r>
        <w:t>)</w:t>
      </w:r>
    </w:p>
  </w:footnote>
  <w:footnote w:id="13">
    <w:p w14:paraId="2320EFF5" w14:textId="374E48FB" w:rsidR="00C06149" w:rsidRDefault="00C06149" w:rsidP="005D4087">
      <w:pPr>
        <w:pStyle w:val="FootnoteText"/>
        <w:spacing w:after="0"/>
      </w:pPr>
      <w:r>
        <w:rPr>
          <w:rStyle w:val="FootnoteReference"/>
        </w:rPr>
        <w:footnoteRef/>
      </w:r>
      <w:r>
        <w:t xml:space="preserve"> Available at: </w:t>
      </w:r>
      <w:hyperlink r:id="rId11" w:history="1">
        <w:r w:rsidRPr="00D23B2B">
          <w:rPr>
            <w:rStyle w:val="Hyperlink"/>
          </w:rPr>
          <w:t>http://www.acma.gov.au/webwr/_assets/main/lib410188/australian_spectrum_map_grid_28feb2012.pdf</w:t>
        </w:r>
      </w:hyperlink>
      <w:r>
        <w:t xml:space="preserve"> </w:t>
      </w:r>
    </w:p>
  </w:footnote>
  <w:footnote w:id="14">
    <w:p w14:paraId="2D6BED24" w14:textId="41011E72" w:rsidR="00C06149" w:rsidRDefault="00C06149" w:rsidP="005D4087">
      <w:pPr>
        <w:pStyle w:val="FootnoteText"/>
        <w:spacing w:after="0"/>
      </w:pPr>
      <w:r>
        <w:rPr>
          <w:rStyle w:val="FootnoteReference"/>
        </w:rPr>
        <w:footnoteRef/>
      </w:r>
      <w:r>
        <w:t xml:space="preserve"> See Table 7.5.1-3 of </w:t>
      </w:r>
      <w:hyperlink r:id="rId12" w:history="1">
        <w:r w:rsidRPr="00006ECD">
          <w:rPr>
            <w:rStyle w:val="Hyperlink"/>
          </w:rPr>
          <w:t>3GPP TS 36.104 version 12.8.0 Release 12</w:t>
        </w:r>
      </w:hyperlink>
      <w:r>
        <w:t>.</w:t>
      </w:r>
    </w:p>
  </w:footnote>
  <w:footnote w:id="15">
    <w:p w14:paraId="609EB6E2" w14:textId="5E6DD9A0" w:rsidR="00C06149" w:rsidRDefault="00C06149" w:rsidP="00856C50">
      <w:pPr>
        <w:pStyle w:val="FootnoteText"/>
        <w:spacing w:after="0" w:line="240" w:lineRule="auto"/>
      </w:pPr>
      <w:r>
        <w:rPr>
          <w:rStyle w:val="FootnoteReference"/>
        </w:rPr>
        <w:footnoteRef/>
      </w:r>
      <w:r>
        <w:t xml:space="preserve"> See Table 7.8.1-1 and Table 7.8.1-2 of </w:t>
      </w:r>
      <w:hyperlink r:id="rId13" w:history="1">
        <w:r w:rsidRPr="00006ECD">
          <w:rPr>
            <w:rStyle w:val="Hyperlink"/>
          </w:rPr>
          <w:t>3GPP TS 36.104 version 12.8.0 Release 12</w:t>
        </w:r>
      </w:hyperlink>
      <w:r>
        <w:t>.</w:t>
      </w:r>
    </w:p>
  </w:footnote>
  <w:footnote w:id="16">
    <w:p w14:paraId="34D73019" w14:textId="57EB1E5F" w:rsidR="00C06149" w:rsidRDefault="00C06149" w:rsidP="00856C50">
      <w:pPr>
        <w:pStyle w:val="FootnoteText"/>
        <w:spacing w:after="0" w:line="240" w:lineRule="auto"/>
      </w:pPr>
      <w:r>
        <w:rPr>
          <w:rStyle w:val="FootnoteReference"/>
        </w:rPr>
        <w:footnoteRef/>
      </w:r>
      <w:r>
        <w:t xml:space="preserve"> See Table 7.6.1-1 and Table 7.6.1-2 of </w:t>
      </w:r>
      <w:hyperlink r:id="rId14" w:history="1">
        <w:r w:rsidRPr="00006ECD">
          <w:rPr>
            <w:rStyle w:val="Hyperlink"/>
          </w:rPr>
          <w:t>3GPP TS 36.104 version 12.8.0 Release 12</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54C13" w14:textId="77777777" w:rsidR="00C06149" w:rsidRPr="00A5474E" w:rsidRDefault="00C06149" w:rsidP="00A5474E">
    <w:pPr>
      <w:pStyle w:val="Header"/>
    </w:pPr>
    <w:r>
      <w:rPr>
        <w:noProof/>
      </w:rPr>
      <w:drawing>
        <wp:inline distT="0" distB="0" distL="0" distR="0" wp14:anchorId="4A3C1FEE" wp14:editId="7FA1B7F0">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17365" w14:textId="77777777" w:rsidR="00C06149" w:rsidRPr="00A5474E" w:rsidRDefault="00C06149" w:rsidP="00594E9C">
    <w:pPr>
      <w:pStyle w:val="TOCHeading"/>
    </w:pPr>
    <w:r w:rsidRPr="0029593B">
      <w:t>Contents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46847" w14:textId="77777777" w:rsidR="00C06149" w:rsidRDefault="00C0614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5D6C" w14:textId="77777777" w:rsidR="00C06149" w:rsidRDefault="00C0614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C06149" w14:paraId="4F2968B9" w14:textId="77777777" w:rsidTr="00B020FB">
      <w:trPr>
        <w:trHeight w:hRule="exact" w:val="988"/>
      </w:trPr>
      <w:tc>
        <w:tcPr>
          <w:tcW w:w="7678" w:type="dxa"/>
          <w:shd w:val="clear" w:color="auto" w:fill="auto"/>
        </w:tcPr>
        <w:p w14:paraId="1AB5E546" w14:textId="77777777" w:rsidR="00C06149" w:rsidRDefault="00C06149" w:rsidP="00971914">
          <w:pPr>
            <w:pStyle w:val="Header"/>
          </w:pPr>
        </w:p>
      </w:tc>
    </w:tr>
    <w:tr w:rsidR="00C06149" w14:paraId="51BA5814" w14:textId="77777777" w:rsidTr="00B020FB">
      <w:tc>
        <w:tcPr>
          <w:tcW w:w="7678" w:type="dxa"/>
          <w:shd w:val="clear" w:color="auto" w:fill="auto"/>
        </w:tcPr>
        <w:p w14:paraId="02A36730" w14:textId="77777777" w:rsidR="00C06149" w:rsidRDefault="00C06149" w:rsidP="00971914">
          <w:pPr>
            <w:pStyle w:val="GridTable31"/>
          </w:pPr>
          <w:r>
            <w:t xml:space="preserve">Contents </w:t>
          </w:r>
          <w:r w:rsidRPr="00915B1C">
            <w:rPr>
              <w:b w:val="0"/>
              <w:spacing w:val="0"/>
              <w:sz w:val="28"/>
              <w:szCs w:val="28"/>
            </w:rPr>
            <w:t>(Continued)</w:t>
          </w:r>
        </w:p>
      </w:tc>
    </w:tr>
    <w:tr w:rsidR="00C06149" w14:paraId="33AE3AB0" w14:textId="77777777" w:rsidTr="00B020FB">
      <w:trPr>
        <w:trHeight w:val="1220"/>
      </w:trPr>
      <w:tc>
        <w:tcPr>
          <w:tcW w:w="7678" w:type="dxa"/>
          <w:shd w:val="clear" w:color="auto" w:fill="auto"/>
        </w:tcPr>
        <w:p w14:paraId="74D1E795" w14:textId="77777777" w:rsidR="00C06149" w:rsidRDefault="00C06149" w:rsidP="00971914"/>
      </w:tc>
    </w:tr>
  </w:tbl>
  <w:p w14:paraId="3E0E39A5" w14:textId="77777777" w:rsidR="00C06149" w:rsidRDefault="00C06149" w:rsidP="0097191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C06149" w14:paraId="62895D6A" w14:textId="77777777" w:rsidTr="00B020FB">
      <w:trPr>
        <w:trHeight w:hRule="exact" w:val="988"/>
      </w:trPr>
      <w:tc>
        <w:tcPr>
          <w:tcW w:w="7678" w:type="dxa"/>
          <w:shd w:val="clear" w:color="auto" w:fill="auto"/>
        </w:tcPr>
        <w:p w14:paraId="4AE8DD94" w14:textId="77777777" w:rsidR="00C06149" w:rsidRDefault="00C06149" w:rsidP="00971914">
          <w:pPr>
            <w:pStyle w:val="Header"/>
          </w:pPr>
        </w:p>
      </w:tc>
    </w:tr>
    <w:tr w:rsidR="00C06149" w14:paraId="67D500E0" w14:textId="77777777" w:rsidTr="00B020FB">
      <w:tc>
        <w:tcPr>
          <w:tcW w:w="7678" w:type="dxa"/>
          <w:shd w:val="clear" w:color="auto" w:fill="auto"/>
        </w:tcPr>
        <w:p w14:paraId="4AD1A5DE" w14:textId="77777777" w:rsidR="00C06149" w:rsidRDefault="00C06149" w:rsidP="00971914">
          <w:pPr>
            <w:pStyle w:val="GridTable31"/>
          </w:pPr>
          <w:r>
            <w:t xml:space="preserve">Contents </w:t>
          </w:r>
          <w:r w:rsidRPr="00915B1C">
            <w:rPr>
              <w:b w:val="0"/>
              <w:spacing w:val="0"/>
              <w:sz w:val="28"/>
              <w:szCs w:val="28"/>
            </w:rPr>
            <w:t>(Continued)</w:t>
          </w:r>
        </w:p>
      </w:tc>
    </w:tr>
    <w:tr w:rsidR="00C06149" w14:paraId="282D5657" w14:textId="77777777" w:rsidTr="00B020FB">
      <w:trPr>
        <w:trHeight w:val="1220"/>
      </w:trPr>
      <w:tc>
        <w:tcPr>
          <w:tcW w:w="7678" w:type="dxa"/>
          <w:shd w:val="clear" w:color="auto" w:fill="auto"/>
        </w:tcPr>
        <w:p w14:paraId="718F794C" w14:textId="77777777" w:rsidR="00C06149" w:rsidRDefault="00C06149" w:rsidP="00971914"/>
      </w:tc>
    </w:tr>
  </w:tbl>
  <w:p w14:paraId="6E5619A6" w14:textId="77777777" w:rsidR="00C06149" w:rsidRPr="00A5474E" w:rsidRDefault="00C06149" w:rsidP="00A5474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7F8E0" w14:textId="77777777" w:rsidR="00C06149" w:rsidRDefault="00C06149">
    <w:pPr>
      <w:pStyle w:val="Header"/>
    </w:pPr>
  </w:p>
  <w:p w14:paraId="5EF36684" w14:textId="77777777" w:rsidR="00C06149" w:rsidRDefault="00C0614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6C1EF" w14:textId="77777777" w:rsidR="00C06149" w:rsidRDefault="00C06149">
    <w:pPr>
      <w:pStyle w:val="Header"/>
    </w:pPr>
  </w:p>
  <w:p w14:paraId="3A9AC604" w14:textId="77777777" w:rsidR="00C06149" w:rsidRDefault="00C061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F902A06"/>
    <w:lvl w:ilvl="0">
      <w:start w:val="1"/>
      <w:numFmt w:val="decimal"/>
      <w:lvlText w:val="%1."/>
      <w:lvlJc w:val="left"/>
      <w:pPr>
        <w:tabs>
          <w:tab w:val="num" w:pos="1492"/>
        </w:tabs>
        <w:ind w:left="1492" w:hanging="360"/>
      </w:pPr>
    </w:lvl>
  </w:abstractNum>
  <w:abstractNum w:abstractNumId="1">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nsid w:val="FFFFFF88"/>
    <w:multiLevelType w:val="singleLevel"/>
    <w:tmpl w:val="0C09000F"/>
    <w:lvl w:ilvl="0">
      <w:start w:val="1"/>
      <w:numFmt w:val="decimal"/>
      <w:lvlText w:val="%1."/>
      <w:lvlJc w:val="left"/>
      <w:pPr>
        <w:ind w:left="360" w:hanging="360"/>
      </w:pPr>
      <w:rPr>
        <w:rFonts w:hint="default"/>
        <w:caps/>
        <w:sz w:val="20"/>
      </w:rPr>
    </w:lvl>
  </w:abstractNum>
  <w:abstractNum w:abstractNumId="3">
    <w:nsid w:val="FFFFFF89"/>
    <w:multiLevelType w:val="singleLevel"/>
    <w:tmpl w:val="D590A170"/>
    <w:lvl w:ilvl="0">
      <w:start w:val="1"/>
      <w:numFmt w:val="bullet"/>
      <w:lvlText w:val="&gt;"/>
      <w:lvlJc w:val="left"/>
      <w:pPr>
        <w:tabs>
          <w:tab w:val="num" w:pos="295"/>
        </w:tabs>
        <w:ind w:left="295" w:hanging="295"/>
      </w:pPr>
      <w:rPr>
        <w:rFonts w:ascii="HelveticaNeueLT Std Lt" w:hAnsi="HelveticaNeueLT Std Lt" w:hint="default"/>
        <w:sz w:val="20"/>
      </w:rPr>
    </w:lvl>
  </w:abstractNum>
  <w:abstractNum w:abstractNumId="4">
    <w:nsid w:val="0D5B1BB6"/>
    <w:multiLevelType w:val="hybridMultilevel"/>
    <w:tmpl w:val="9FD8B62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281D1869"/>
    <w:multiLevelType w:val="hybridMultilevel"/>
    <w:tmpl w:val="B53EAB90"/>
    <w:lvl w:ilvl="0" w:tplc="0F660798">
      <w:start w:val="1"/>
      <w:numFmt w:val="decimal"/>
      <w:pStyle w:val="ACMAHeading3"/>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7">
    <w:nsid w:val="2F5A5080"/>
    <w:multiLevelType w:val="hybridMultilevel"/>
    <w:tmpl w:val="24705096"/>
    <w:lvl w:ilvl="0" w:tplc="2668C79A">
      <w:start w:val="1"/>
      <w:numFmt w:val="bullet"/>
      <w:pStyle w:val="ACMABulletLevel1"/>
      <w:lvlText w:val="●"/>
      <w:lvlJc w:val="left"/>
      <w:pPr>
        <w:tabs>
          <w:tab w:val="num" w:pos="-31680"/>
        </w:tabs>
        <w:ind w:left="357" w:hanging="357"/>
      </w:pPr>
      <w:rPr>
        <w:rFonts w:ascii="Times New Roman" w:hAnsi="Times New Roman" w:cs="Times New Roman"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8">
    <w:nsid w:val="4BB36184"/>
    <w:multiLevelType w:val="hybridMultilevel"/>
    <w:tmpl w:val="9FD8B62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539010BC"/>
    <w:multiLevelType w:val="hybridMultilevel"/>
    <w:tmpl w:val="73E488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980CED"/>
    <w:multiLevelType w:val="hybridMultilevel"/>
    <w:tmpl w:val="42AE8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2B4E55"/>
    <w:multiLevelType w:val="hybridMultilevel"/>
    <w:tmpl w:val="9FD8B62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5D1943FA"/>
    <w:multiLevelType w:val="hybridMultilevel"/>
    <w:tmpl w:val="14CA10E0"/>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4">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67B53"/>
    <w:multiLevelType w:val="hybridMultilevel"/>
    <w:tmpl w:val="D7D83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6"/>
  </w:num>
  <w:num w:numId="5">
    <w:abstractNumId w:val="15"/>
  </w:num>
  <w:num w:numId="6">
    <w:abstractNumId w:val="11"/>
  </w:num>
  <w:num w:numId="7">
    <w:abstractNumId w:val="14"/>
  </w:num>
  <w:num w:numId="8">
    <w:abstractNumId w:val="1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13"/>
  </w:num>
  <w:num w:numId="13">
    <w:abstractNumId w:val="4"/>
  </w:num>
  <w:num w:numId="14">
    <w:abstractNumId w:val="8"/>
  </w:num>
  <w:num w:numId="15">
    <w:abstractNumId w:val="12"/>
  </w:num>
  <w:num w:numId="16">
    <w:abstractNumId w:val="0"/>
  </w:num>
  <w:num w:numId="17">
    <w:abstractNumId w:val="9"/>
  </w:num>
  <w:num w:numId="18">
    <w:abstractNumId w:val="10"/>
  </w:num>
  <w:num w:numId="1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284"/>
  <w:evenAndOddHeaders/>
  <w:drawingGridHorizontalSpacing w:val="100"/>
  <w:displayHorizontalDrawingGridEvery w:val="2"/>
  <w:characterSpacingControl w:val="doNotCompress"/>
  <w:hdrShapeDefaults>
    <o:shapedefaults v:ext="edit" spidmax="8193">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A5"/>
    <w:rsid w:val="0000153C"/>
    <w:rsid w:val="00006ECD"/>
    <w:rsid w:val="00006F7F"/>
    <w:rsid w:val="00010667"/>
    <w:rsid w:val="000129D5"/>
    <w:rsid w:val="00013C1D"/>
    <w:rsid w:val="0001483B"/>
    <w:rsid w:val="00015AE7"/>
    <w:rsid w:val="00016DE6"/>
    <w:rsid w:val="00016E21"/>
    <w:rsid w:val="0001719C"/>
    <w:rsid w:val="00021F98"/>
    <w:rsid w:val="00023B78"/>
    <w:rsid w:val="00024087"/>
    <w:rsid w:val="00026F91"/>
    <w:rsid w:val="00036F5E"/>
    <w:rsid w:val="00044D51"/>
    <w:rsid w:val="00045C86"/>
    <w:rsid w:val="0005011A"/>
    <w:rsid w:val="0005045A"/>
    <w:rsid w:val="00051604"/>
    <w:rsid w:val="00051C1E"/>
    <w:rsid w:val="000539F9"/>
    <w:rsid w:val="00054C27"/>
    <w:rsid w:val="000550FC"/>
    <w:rsid w:val="0005562D"/>
    <w:rsid w:val="00055EC3"/>
    <w:rsid w:val="000563CE"/>
    <w:rsid w:val="00060A1E"/>
    <w:rsid w:val="000659B6"/>
    <w:rsid w:val="0006722A"/>
    <w:rsid w:val="00070707"/>
    <w:rsid w:val="00071A05"/>
    <w:rsid w:val="000732CF"/>
    <w:rsid w:val="000743A8"/>
    <w:rsid w:val="00074B5C"/>
    <w:rsid w:val="00075B96"/>
    <w:rsid w:val="00080F61"/>
    <w:rsid w:val="0008196A"/>
    <w:rsid w:val="0008727F"/>
    <w:rsid w:val="0008729D"/>
    <w:rsid w:val="00087BA8"/>
    <w:rsid w:val="0009063E"/>
    <w:rsid w:val="000915ED"/>
    <w:rsid w:val="0009209D"/>
    <w:rsid w:val="000969BD"/>
    <w:rsid w:val="000969BF"/>
    <w:rsid w:val="000A0C22"/>
    <w:rsid w:val="000A3C43"/>
    <w:rsid w:val="000A4A51"/>
    <w:rsid w:val="000A5D2B"/>
    <w:rsid w:val="000A683C"/>
    <w:rsid w:val="000B119C"/>
    <w:rsid w:val="000B5DE3"/>
    <w:rsid w:val="000C0A57"/>
    <w:rsid w:val="000C230C"/>
    <w:rsid w:val="000C633D"/>
    <w:rsid w:val="000C6AB4"/>
    <w:rsid w:val="000D6192"/>
    <w:rsid w:val="000D6F57"/>
    <w:rsid w:val="000D71D9"/>
    <w:rsid w:val="000D76E0"/>
    <w:rsid w:val="000D7E8B"/>
    <w:rsid w:val="000E3724"/>
    <w:rsid w:val="000E4449"/>
    <w:rsid w:val="000E5235"/>
    <w:rsid w:val="000E6097"/>
    <w:rsid w:val="000E6199"/>
    <w:rsid w:val="00100B7D"/>
    <w:rsid w:val="00100D32"/>
    <w:rsid w:val="00103829"/>
    <w:rsid w:val="00103CE3"/>
    <w:rsid w:val="00104753"/>
    <w:rsid w:val="00111FCE"/>
    <w:rsid w:val="00112131"/>
    <w:rsid w:val="001123F1"/>
    <w:rsid w:val="0011700E"/>
    <w:rsid w:val="001201C2"/>
    <w:rsid w:val="001229A5"/>
    <w:rsid w:val="00124035"/>
    <w:rsid w:val="0012489B"/>
    <w:rsid w:val="00126FD3"/>
    <w:rsid w:val="00130017"/>
    <w:rsid w:val="00130F91"/>
    <w:rsid w:val="001349ED"/>
    <w:rsid w:val="00136E26"/>
    <w:rsid w:val="00137424"/>
    <w:rsid w:val="00140318"/>
    <w:rsid w:val="00141727"/>
    <w:rsid w:val="00141AD9"/>
    <w:rsid w:val="00146CE6"/>
    <w:rsid w:val="00150E2F"/>
    <w:rsid w:val="00152903"/>
    <w:rsid w:val="0015484B"/>
    <w:rsid w:val="00154F50"/>
    <w:rsid w:val="0015614F"/>
    <w:rsid w:val="001577C2"/>
    <w:rsid w:val="001620A2"/>
    <w:rsid w:val="001633C4"/>
    <w:rsid w:val="00170594"/>
    <w:rsid w:val="00171591"/>
    <w:rsid w:val="00173981"/>
    <w:rsid w:val="0017458D"/>
    <w:rsid w:val="0017719D"/>
    <w:rsid w:val="0018231E"/>
    <w:rsid w:val="00183C45"/>
    <w:rsid w:val="00185CAB"/>
    <w:rsid w:val="001875B7"/>
    <w:rsid w:val="001877F0"/>
    <w:rsid w:val="00187CB3"/>
    <w:rsid w:val="0019050A"/>
    <w:rsid w:val="001910D4"/>
    <w:rsid w:val="00192019"/>
    <w:rsid w:val="001929A5"/>
    <w:rsid w:val="00192CB0"/>
    <w:rsid w:val="00192E8C"/>
    <w:rsid w:val="00194889"/>
    <w:rsid w:val="001976E3"/>
    <w:rsid w:val="001A0CAE"/>
    <w:rsid w:val="001A32C4"/>
    <w:rsid w:val="001A44EC"/>
    <w:rsid w:val="001B1620"/>
    <w:rsid w:val="001B58AA"/>
    <w:rsid w:val="001B7E48"/>
    <w:rsid w:val="001C17CE"/>
    <w:rsid w:val="001C36CA"/>
    <w:rsid w:val="001C44D1"/>
    <w:rsid w:val="001C6AEE"/>
    <w:rsid w:val="001C7630"/>
    <w:rsid w:val="001D3833"/>
    <w:rsid w:val="001D599F"/>
    <w:rsid w:val="001D6B19"/>
    <w:rsid w:val="001D6D15"/>
    <w:rsid w:val="001E5204"/>
    <w:rsid w:val="001E61AF"/>
    <w:rsid w:val="001E729B"/>
    <w:rsid w:val="001F444A"/>
    <w:rsid w:val="001F7558"/>
    <w:rsid w:val="00205B57"/>
    <w:rsid w:val="0021332A"/>
    <w:rsid w:val="0021347F"/>
    <w:rsid w:val="002157E0"/>
    <w:rsid w:val="00216A57"/>
    <w:rsid w:val="00216BBA"/>
    <w:rsid w:val="00216C6B"/>
    <w:rsid w:val="0022334F"/>
    <w:rsid w:val="00225460"/>
    <w:rsid w:val="00225A67"/>
    <w:rsid w:val="00226819"/>
    <w:rsid w:val="00233101"/>
    <w:rsid w:val="00233817"/>
    <w:rsid w:val="002367FF"/>
    <w:rsid w:val="00236A33"/>
    <w:rsid w:val="00240CE9"/>
    <w:rsid w:val="00241596"/>
    <w:rsid w:val="002434BA"/>
    <w:rsid w:val="00246089"/>
    <w:rsid w:val="00246093"/>
    <w:rsid w:val="00246702"/>
    <w:rsid w:val="00247C59"/>
    <w:rsid w:val="00247F2E"/>
    <w:rsid w:val="00250ADC"/>
    <w:rsid w:val="00250B07"/>
    <w:rsid w:val="00253122"/>
    <w:rsid w:val="00257553"/>
    <w:rsid w:val="00260FB2"/>
    <w:rsid w:val="00262128"/>
    <w:rsid w:val="00270E6C"/>
    <w:rsid w:val="0027165D"/>
    <w:rsid w:val="00272290"/>
    <w:rsid w:val="00273623"/>
    <w:rsid w:val="00273CEB"/>
    <w:rsid w:val="0027403F"/>
    <w:rsid w:val="002800DF"/>
    <w:rsid w:val="00281C89"/>
    <w:rsid w:val="0028282F"/>
    <w:rsid w:val="002928AF"/>
    <w:rsid w:val="002928C7"/>
    <w:rsid w:val="00294EAC"/>
    <w:rsid w:val="0029593B"/>
    <w:rsid w:val="00296E04"/>
    <w:rsid w:val="00297FC5"/>
    <w:rsid w:val="002A0417"/>
    <w:rsid w:val="002A16D8"/>
    <w:rsid w:val="002A1BC8"/>
    <w:rsid w:val="002A3EF2"/>
    <w:rsid w:val="002A5B72"/>
    <w:rsid w:val="002A7AEE"/>
    <w:rsid w:val="002B09C5"/>
    <w:rsid w:val="002B0DED"/>
    <w:rsid w:val="002B19A2"/>
    <w:rsid w:val="002B381A"/>
    <w:rsid w:val="002B4FCC"/>
    <w:rsid w:val="002B7408"/>
    <w:rsid w:val="002B7CFD"/>
    <w:rsid w:val="002C210F"/>
    <w:rsid w:val="002C4953"/>
    <w:rsid w:val="002C503A"/>
    <w:rsid w:val="002C6EEB"/>
    <w:rsid w:val="002D2821"/>
    <w:rsid w:val="002D3600"/>
    <w:rsid w:val="002D3EB6"/>
    <w:rsid w:val="002E3EB5"/>
    <w:rsid w:val="002E4DDC"/>
    <w:rsid w:val="002E6A30"/>
    <w:rsid w:val="002F1803"/>
    <w:rsid w:val="002F42F4"/>
    <w:rsid w:val="002F603B"/>
    <w:rsid w:val="002F6442"/>
    <w:rsid w:val="00302480"/>
    <w:rsid w:val="0030292F"/>
    <w:rsid w:val="00305CBF"/>
    <w:rsid w:val="00305FEB"/>
    <w:rsid w:val="00310C06"/>
    <w:rsid w:val="00312BA0"/>
    <w:rsid w:val="003165E6"/>
    <w:rsid w:val="003221CF"/>
    <w:rsid w:val="00322897"/>
    <w:rsid w:val="003233ED"/>
    <w:rsid w:val="00324D9F"/>
    <w:rsid w:val="00325BF2"/>
    <w:rsid w:val="00327948"/>
    <w:rsid w:val="0033000F"/>
    <w:rsid w:val="00330DEC"/>
    <w:rsid w:val="00332011"/>
    <w:rsid w:val="00332438"/>
    <w:rsid w:val="00332518"/>
    <w:rsid w:val="00332925"/>
    <w:rsid w:val="003332ED"/>
    <w:rsid w:val="00333627"/>
    <w:rsid w:val="003368DC"/>
    <w:rsid w:val="00337FA7"/>
    <w:rsid w:val="00341D7B"/>
    <w:rsid w:val="00345927"/>
    <w:rsid w:val="003459FB"/>
    <w:rsid w:val="00347439"/>
    <w:rsid w:val="003475C3"/>
    <w:rsid w:val="00350584"/>
    <w:rsid w:val="00351857"/>
    <w:rsid w:val="00355B3F"/>
    <w:rsid w:val="0035693C"/>
    <w:rsid w:val="00357301"/>
    <w:rsid w:val="003610E1"/>
    <w:rsid w:val="00367138"/>
    <w:rsid w:val="003671BE"/>
    <w:rsid w:val="0037161B"/>
    <w:rsid w:val="003720F1"/>
    <w:rsid w:val="00372485"/>
    <w:rsid w:val="0037252A"/>
    <w:rsid w:val="00372EBF"/>
    <w:rsid w:val="00373200"/>
    <w:rsid w:val="00375EF5"/>
    <w:rsid w:val="003767A5"/>
    <w:rsid w:val="0038291F"/>
    <w:rsid w:val="00385254"/>
    <w:rsid w:val="003867A3"/>
    <w:rsid w:val="00387B1B"/>
    <w:rsid w:val="00391A22"/>
    <w:rsid w:val="003935C8"/>
    <w:rsid w:val="003A5F5B"/>
    <w:rsid w:val="003A789A"/>
    <w:rsid w:val="003B12EC"/>
    <w:rsid w:val="003B54ED"/>
    <w:rsid w:val="003C2448"/>
    <w:rsid w:val="003C4423"/>
    <w:rsid w:val="003C77E0"/>
    <w:rsid w:val="003D00D5"/>
    <w:rsid w:val="003D17D7"/>
    <w:rsid w:val="003D2678"/>
    <w:rsid w:val="003D71A3"/>
    <w:rsid w:val="003E2B8A"/>
    <w:rsid w:val="003E61B8"/>
    <w:rsid w:val="003E7C1B"/>
    <w:rsid w:val="003F03D9"/>
    <w:rsid w:val="003F10EE"/>
    <w:rsid w:val="003F16F6"/>
    <w:rsid w:val="003F1895"/>
    <w:rsid w:val="003F19DC"/>
    <w:rsid w:val="003F2AEE"/>
    <w:rsid w:val="003F4DC7"/>
    <w:rsid w:val="003F5235"/>
    <w:rsid w:val="00401B53"/>
    <w:rsid w:val="004027E4"/>
    <w:rsid w:val="004063A5"/>
    <w:rsid w:val="0041071D"/>
    <w:rsid w:val="00414AFC"/>
    <w:rsid w:val="004151A7"/>
    <w:rsid w:val="00415310"/>
    <w:rsid w:val="00421709"/>
    <w:rsid w:val="00423763"/>
    <w:rsid w:val="00423968"/>
    <w:rsid w:val="0042762F"/>
    <w:rsid w:val="00427DC7"/>
    <w:rsid w:val="00431107"/>
    <w:rsid w:val="00431613"/>
    <w:rsid w:val="00431792"/>
    <w:rsid w:val="0043297A"/>
    <w:rsid w:val="00432EB2"/>
    <w:rsid w:val="0043714F"/>
    <w:rsid w:val="004403FA"/>
    <w:rsid w:val="00442FB9"/>
    <w:rsid w:val="004438B5"/>
    <w:rsid w:val="00447037"/>
    <w:rsid w:val="0045124D"/>
    <w:rsid w:val="00453EEF"/>
    <w:rsid w:val="00454596"/>
    <w:rsid w:val="00454918"/>
    <w:rsid w:val="0045605D"/>
    <w:rsid w:val="0046135B"/>
    <w:rsid w:val="0046487C"/>
    <w:rsid w:val="00465035"/>
    <w:rsid w:val="00465C7C"/>
    <w:rsid w:val="004718CC"/>
    <w:rsid w:val="00473C10"/>
    <w:rsid w:val="00473CE6"/>
    <w:rsid w:val="00474A59"/>
    <w:rsid w:val="004772A3"/>
    <w:rsid w:val="00481695"/>
    <w:rsid w:val="00484D99"/>
    <w:rsid w:val="00485034"/>
    <w:rsid w:val="004854DA"/>
    <w:rsid w:val="004871A2"/>
    <w:rsid w:val="0049081D"/>
    <w:rsid w:val="00495A96"/>
    <w:rsid w:val="00495BB3"/>
    <w:rsid w:val="00497C1B"/>
    <w:rsid w:val="00497D85"/>
    <w:rsid w:val="004A56BB"/>
    <w:rsid w:val="004A685E"/>
    <w:rsid w:val="004B0E26"/>
    <w:rsid w:val="004B10CC"/>
    <w:rsid w:val="004B1751"/>
    <w:rsid w:val="004B17BA"/>
    <w:rsid w:val="004B2E1D"/>
    <w:rsid w:val="004C0253"/>
    <w:rsid w:val="004C13AA"/>
    <w:rsid w:val="004C164A"/>
    <w:rsid w:val="004C6B58"/>
    <w:rsid w:val="004D0120"/>
    <w:rsid w:val="004D3FEF"/>
    <w:rsid w:val="004D56FF"/>
    <w:rsid w:val="004D70DE"/>
    <w:rsid w:val="004D7922"/>
    <w:rsid w:val="004E39D3"/>
    <w:rsid w:val="004E420D"/>
    <w:rsid w:val="004E508A"/>
    <w:rsid w:val="004E616D"/>
    <w:rsid w:val="004F15ED"/>
    <w:rsid w:val="004F1BDE"/>
    <w:rsid w:val="004F2CEE"/>
    <w:rsid w:val="004F556E"/>
    <w:rsid w:val="004F6A8D"/>
    <w:rsid w:val="004F7F44"/>
    <w:rsid w:val="00500AF2"/>
    <w:rsid w:val="00501573"/>
    <w:rsid w:val="005030BA"/>
    <w:rsid w:val="005037B4"/>
    <w:rsid w:val="00503BA9"/>
    <w:rsid w:val="00505A6C"/>
    <w:rsid w:val="005079BF"/>
    <w:rsid w:val="005109B0"/>
    <w:rsid w:val="00513E76"/>
    <w:rsid w:val="00514C4D"/>
    <w:rsid w:val="00516599"/>
    <w:rsid w:val="00520A4A"/>
    <w:rsid w:val="00520CB5"/>
    <w:rsid w:val="005219E7"/>
    <w:rsid w:val="00524B34"/>
    <w:rsid w:val="00527183"/>
    <w:rsid w:val="00530498"/>
    <w:rsid w:val="00531B9A"/>
    <w:rsid w:val="00531D15"/>
    <w:rsid w:val="00537604"/>
    <w:rsid w:val="00537EFC"/>
    <w:rsid w:val="00540DA5"/>
    <w:rsid w:val="00541290"/>
    <w:rsid w:val="00542377"/>
    <w:rsid w:val="00546359"/>
    <w:rsid w:val="005476EB"/>
    <w:rsid w:val="00550DAD"/>
    <w:rsid w:val="00551782"/>
    <w:rsid w:val="00551EA4"/>
    <w:rsid w:val="00552CA3"/>
    <w:rsid w:val="00562251"/>
    <w:rsid w:val="00563EF1"/>
    <w:rsid w:val="00564503"/>
    <w:rsid w:val="00564DAB"/>
    <w:rsid w:val="00564E62"/>
    <w:rsid w:val="00566AB4"/>
    <w:rsid w:val="00575AC5"/>
    <w:rsid w:val="0057605D"/>
    <w:rsid w:val="00581347"/>
    <w:rsid w:val="005815FF"/>
    <w:rsid w:val="00581AC9"/>
    <w:rsid w:val="005849F8"/>
    <w:rsid w:val="005915A4"/>
    <w:rsid w:val="0059355E"/>
    <w:rsid w:val="005938DF"/>
    <w:rsid w:val="00594548"/>
    <w:rsid w:val="00594E9C"/>
    <w:rsid w:val="00596FCD"/>
    <w:rsid w:val="005A0612"/>
    <w:rsid w:val="005A099B"/>
    <w:rsid w:val="005A2D9C"/>
    <w:rsid w:val="005A55FE"/>
    <w:rsid w:val="005A6A11"/>
    <w:rsid w:val="005B2C80"/>
    <w:rsid w:val="005C1FDB"/>
    <w:rsid w:val="005C2759"/>
    <w:rsid w:val="005C2C6F"/>
    <w:rsid w:val="005D2502"/>
    <w:rsid w:val="005D4087"/>
    <w:rsid w:val="005D47F3"/>
    <w:rsid w:val="005D49BF"/>
    <w:rsid w:val="005D630F"/>
    <w:rsid w:val="005D6F4E"/>
    <w:rsid w:val="005E0413"/>
    <w:rsid w:val="005E2B57"/>
    <w:rsid w:val="005E3ACD"/>
    <w:rsid w:val="005E7226"/>
    <w:rsid w:val="005E7A57"/>
    <w:rsid w:val="005F24B0"/>
    <w:rsid w:val="00601AD4"/>
    <w:rsid w:val="00604315"/>
    <w:rsid w:val="00604E26"/>
    <w:rsid w:val="006052CF"/>
    <w:rsid w:val="00607B8D"/>
    <w:rsid w:val="00611F5C"/>
    <w:rsid w:val="006128E7"/>
    <w:rsid w:val="0061471E"/>
    <w:rsid w:val="00616E09"/>
    <w:rsid w:val="00617B3C"/>
    <w:rsid w:val="00621350"/>
    <w:rsid w:val="00622A3B"/>
    <w:rsid w:val="00622EEA"/>
    <w:rsid w:val="0062396C"/>
    <w:rsid w:val="00623FF9"/>
    <w:rsid w:val="00626894"/>
    <w:rsid w:val="00627A36"/>
    <w:rsid w:val="00627CDF"/>
    <w:rsid w:val="00627D4E"/>
    <w:rsid w:val="00630FB1"/>
    <w:rsid w:val="00634478"/>
    <w:rsid w:val="00640931"/>
    <w:rsid w:val="00644101"/>
    <w:rsid w:val="00644373"/>
    <w:rsid w:val="00645915"/>
    <w:rsid w:val="006519C3"/>
    <w:rsid w:val="00652B30"/>
    <w:rsid w:val="00656345"/>
    <w:rsid w:val="00656396"/>
    <w:rsid w:val="006569F7"/>
    <w:rsid w:val="00656DC6"/>
    <w:rsid w:val="00664110"/>
    <w:rsid w:val="006649DC"/>
    <w:rsid w:val="00664D17"/>
    <w:rsid w:val="00665401"/>
    <w:rsid w:val="00666520"/>
    <w:rsid w:val="00667C5B"/>
    <w:rsid w:val="00667F11"/>
    <w:rsid w:val="00671568"/>
    <w:rsid w:val="00672D35"/>
    <w:rsid w:val="00677465"/>
    <w:rsid w:val="00681BAB"/>
    <w:rsid w:val="00682861"/>
    <w:rsid w:val="006832C8"/>
    <w:rsid w:val="00692CDE"/>
    <w:rsid w:val="00693073"/>
    <w:rsid w:val="00696EA8"/>
    <w:rsid w:val="006977FF"/>
    <w:rsid w:val="00697E13"/>
    <w:rsid w:val="006A01FA"/>
    <w:rsid w:val="006A0C46"/>
    <w:rsid w:val="006A0E9E"/>
    <w:rsid w:val="006A25C7"/>
    <w:rsid w:val="006A3D8A"/>
    <w:rsid w:val="006A4AAD"/>
    <w:rsid w:val="006A5688"/>
    <w:rsid w:val="006A6B0A"/>
    <w:rsid w:val="006A6DA2"/>
    <w:rsid w:val="006A75E4"/>
    <w:rsid w:val="006A7AB2"/>
    <w:rsid w:val="006B5717"/>
    <w:rsid w:val="006B582F"/>
    <w:rsid w:val="006C0CEB"/>
    <w:rsid w:val="006C2774"/>
    <w:rsid w:val="006C3B1E"/>
    <w:rsid w:val="006C47FD"/>
    <w:rsid w:val="006C70A0"/>
    <w:rsid w:val="006D27CB"/>
    <w:rsid w:val="006D2F08"/>
    <w:rsid w:val="006D576C"/>
    <w:rsid w:val="006D5865"/>
    <w:rsid w:val="006D6124"/>
    <w:rsid w:val="006E2F5C"/>
    <w:rsid w:val="006E399B"/>
    <w:rsid w:val="006E4B1B"/>
    <w:rsid w:val="006E5445"/>
    <w:rsid w:val="006E6081"/>
    <w:rsid w:val="006E7D93"/>
    <w:rsid w:val="006F132F"/>
    <w:rsid w:val="006F1B96"/>
    <w:rsid w:val="006F21A0"/>
    <w:rsid w:val="006F5AB0"/>
    <w:rsid w:val="007029A3"/>
    <w:rsid w:val="00704306"/>
    <w:rsid w:val="0070539F"/>
    <w:rsid w:val="00706E4E"/>
    <w:rsid w:val="0070791C"/>
    <w:rsid w:val="0071383C"/>
    <w:rsid w:val="007141A7"/>
    <w:rsid w:val="0071601C"/>
    <w:rsid w:val="007169B9"/>
    <w:rsid w:val="00717547"/>
    <w:rsid w:val="00721032"/>
    <w:rsid w:val="00721B55"/>
    <w:rsid w:val="00722214"/>
    <w:rsid w:val="0072439C"/>
    <w:rsid w:val="00726CE4"/>
    <w:rsid w:val="00734143"/>
    <w:rsid w:val="00735FF5"/>
    <w:rsid w:val="00737E47"/>
    <w:rsid w:val="00740EAC"/>
    <w:rsid w:val="00742877"/>
    <w:rsid w:val="00744956"/>
    <w:rsid w:val="00745A5C"/>
    <w:rsid w:val="0074605F"/>
    <w:rsid w:val="00747E94"/>
    <w:rsid w:val="007514C0"/>
    <w:rsid w:val="007552D9"/>
    <w:rsid w:val="00761967"/>
    <w:rsid w:val="00766749"/>
    <w:rsid w:val="00767C1B"/>
    <w:rsid w:val="007714A9"/>
    <w:rsid w:val="00771F8A"/>
    <w:rsid w:val="00773F21"/>
    <w:rsid w:val="0077421F"/>
    <w:rsid w:val="00774F88"/>
    <w:rsid w:val="00774FDB"/>
    <w:rsid w:val="00777A32"/>
    <w:rsid w:val="00777BA2"/>
    <w:rsid w:val="00781408"/>
    <w:rsid w:val="0078393C"/>
    <w:rsid w:val="00783FB2"/>
    <w:rsid w:val="007845D0"/>
    <w:rsid w:val="00784F7F"/>
    <w:rsid w:val="007867F0"/>
    <w:rsid w:val="007912CE"/>
    <w:rsid w:val="007920DF"/>
    <w:rsid w:val="0079278B"/>
    <w:rsid w:val="00796F25"/>
    <w:rsid w:val="007A10E4"/>
    <w:rsid w:val="007A2E98"/>
    <w:rsid w:val="007A3BA3"/>
    <w:rsid w:val="007A5B24"/>
    <w:rsid w:val="007A6CC0"/>
    <w:rsid w:val="007A7FEC"/>
    <w:rsid w:val="007B0231"/>
    <w:rsid w:val="007B1499"/>
    <w:rsid w:val="007B1BBF"/>
    <w:rsid w:val="007B2275"/>
    <w:rsid w:val="007B2960"/>
    <w:rsid w:val="007B355D"/>
    <w:rsid w:val="007B7980"/>
    <w:rsid w:val="007B7DB1"/>
    <w:rsid w:val="007C4B6F"/>
    <w:rsid w:val="007C5D5A"/>
    <w:rsid w:val="007C607F"/>
    <w:rsid w:val="007C6A1D"/>
    <w:rsid w:val="007C79DD"/>
    <w:rsid w:val="007D1A97"/>
    <w:rsid w:val="007D2CD6"/>
    <w:rsid w:val="007D3063"/>
    <w:rsid w:val="007D3CEB"/>
    <w:rsid w:val="007D6FB9"/>
    <w:rsid w:val="007D7D0F"/>
    <w:rsid w:val="007E0630"/>
    <w:rsid w:val="007E48EF"/>
    <w:rsid w:val="007E6AF7"/>
    <w:rsid w:val="007E6FD5"/>
    <w:rsid w:val="007E7683"/>
    <w:rsid w:val="007F07E6"/>
    <w:rsid w:val="007F0DE2"/>
    <w:rsid w:val="007F49FA"/>
    <w:rsid w:val="007F54C4"/>
    <w:rsid w:val="007F6E9A"/>
    <w:rsid w:val="008018CD"/>
    <w:rsid w:val="008029AF"/>
    <w:rsid w:val="008044D4"/>
    <w:rsid w:val="00805477"/>
    <w:rsid w:val="00810AB4"/>
    <w:rsid w:val="00810E0E"/>
    <w:rsid w:val="008117F5"/>
    <w:rsid w:val="00817B56"/>
    <w:rsid w:val="00821A88"/>
    <w:rsid w:val="0082495D"/>
    <w:rsid w:val="00826573"/>
    <w:rsid w:val="00827217"/>
    <w:rsid w:val="00831901"/>
    <w:rsid w:val="00831AC3"/>
    <w:rsid w:val="00836827"/>
    <w:rsid w:val="008402A7"/>
    <w:rsid w:val="008406D5"/>
    <w:rsid w:val="0084071B"/>
    <w:rsid w:val="008408FF"/>
    <w:rsid w:val="00841B3C"/>
    <w:rsid w:val="0084332C"/>
    <w:rsid w:val="00846358"/>
    <w:rsid w:val="00847C5C"/>
    <w:rsid w:val="00850BEB"/>
    <w:rsid w:val="00851F3F"/>
    <w:rsid w:val="00856C50"/>
    <w:rsid w:val="00856EDC"/>
    <w:rsid w:val="008623B5"/>
    <w:rsid w:val="00870ABA"/>
    <w:rsid w:val="008710E1"/>
    <w:rsid w:val="008716E5"/>
    <w:rsid w:val="00873B41"/>
    <w:rsid w:val="00875C42"/>
    <w:rsid w:val="00881A11"/>
    <w:rsid w:val="00881CA9"/>
    <w:rsid w:val="00883628"/>
    <w:rsid w:val="00885544"/>
    <w:rsid w:val="0088634E"/>
    <w:rsid w:val="00886822"/>
    <w:rsid w:val="00886D0A"/>
    <w:rsid w:val="00890F20"/>
    <w:rsid w:val="00891B49"/>
    <w:rsid w:val="00892425"/>
    <w:rsid w:val="00893AB8"/>
    <w:rsid w:val="008969C5"/>
    <w:rsid w:val="008A04C8"/>
    <w:rsid w:val="008A050A"/>
    <w:rsid w:val="008A1505"/>
    <w:rsid w:val="008A165D"/>
    <w:rsid w:val="008A1F40"/>
    <w:rsid w:val="008A6913"/>
    <w:rsid w:val="008B5CF5"/>
    <w:rsid w:val="008B6581"/>
    <w:rsid w:val="008B70F3"/>
    <w:rsid w:val="008B76DF"/>
    <w:rsid w:val="008C0005"/>
    <w:rsid w:val="008C10F4"/>
    <w:rsid w:val="008C3AB0"/>
    <w:rsid w:val="008C65F7"/>
    <w:rsid w:val="008C738A"/>
    <w:rsid w:val="008D34C2"/>
    <w:rsid w:val="008E4767"/>
    <w:rsid w:val="008E5568"/>
    <w:rsid w:val="008E7A8C"/>
    <w:rsid w:val="00903285"/>
    <w:rsid w:val="00904614"/>
    <w:rsid w:val="00906F40"/>
    <w:rsid w:val="0090731E"/>
    <w:rsid w:val="009075FB"/>
    <w:rsid w:val="00912DB1"/>
    <w:rsid w:val="00915B1C"/>
    <w:rsid w:val="009174F3"/>
    <w:rsid w:val="0091797D"/>
    <w:rsid w:val="009207B5"/>
    <w:rsid w:val="00920F64"/>
    <w:rsid w:val="00923CBA"/>
    <w:rsid w:val="00926703"/>
    <w:rsid w:val="00927691"/>
    <w:rsid w:val="00927A5F"/>
    <w:rsid w:val="009302F9"/>
    <w:rsid w:val="00933308"/>
    <w:rsid w:val="00934649"/>
    <w:rsid w:val="00935B63"/>
    <w:rsid w:val="0094078F"/>
    <w:rsid w:val="00940FA3"/>
    <w:rsid w:val="00941849"/>
    <w:rsid w:val="00941C7E"/>
    <w:rsid w:val="00941FB0"/>
    <w:rsid w:val="00942553"/>
    <w:rsid w:val="009426D4"/>
    <w:rsid w:val="00947F25"/>
    <w:rsid w:val="00950159"/>
    <w:rsid w:val="009519F2"/>
    <w:rsid w:val="00953145"/>
    <w:rsid w:val="0095490B"/>
    <w:rsid w:val="00955EF2"/>
    <w:rsid w:val="00960414"/>
    <w:rsid w:val="009650C7"/>
    <w:rsid w:val="00971914"/>
    <w:rsid w:val="009725C3"/>
    <w:rsid w:val="00974363"/>
    <w:rsid w:val="00976ECE"/>
    <w:rsid w:val="00977D14"/>
    <w:rsid w:val="0098122A"/>
    <w:rsid w:val="00981898"/>
    <w:rsid w:val="0099209B"/>
    <w:rsid w:val="00993282"/>
    <w:rsid w:val="00994762"/>
    <w:rsid w:val="0099577C"/>
    <w:rsid w:val="009959FE"/>
    <w:rsid w:val="009A1F21"/>
    <w:rsid w:val="009A2073"/>
    <w:rsid w:val="009A77C1"/>
    <w:rsid w:val="009B06C6"/>
    <w:rsid w:val="009B4E9E"/>
    <w:rsid w:val="009B5964"/>
    <w:rsid w:val="009B7888"/>
    <w:rsid w:val="009B7E20"/>
    <w:rsid w:val="009C1690"/>
    <w:rsid w:val="009C4434"/>
    <w:rsid w:val="009C4F6C"/>
    <w:rsid w:val="009C5896"/>
    <w:rsid w:val="009C6881"/>
    <w:rsid w:val="009C7759"/>
    <w:rsid w:val="009D043D"/>
    <w:rsid w:val="009D6C71"/>
    <w:rsid w:val="009D7410"/>
    <w:rsid w:val="009E039F"/>
    <w:rsid w:val="009E0631"/>
    <w:rsid w:val="009E16D0"/>
    <w:rsid w:val="009E38FD"/>
    <w:rsid w:val="009E5A1E"/>
    <w:rsid w:val="009E6791"/>
    <w:rsid w:val="009E6B63"/>
    <w:rsid w:val="009E73BD"/>
    <w:rsid w:val="009F13D6"/>
    <w:rsid w:val="009F3811"/>
    <w:rsid w:val="009F4C6B"/>
    <w:rsid w:val="009F4E4B"/>
    <w:rsid w:val="009F69FE"/>
    <w:rsid w:val="009F78A8"/>
    <w:rsid w:val="00A00131"/>
    <w:rsid w:val="00A016F1"/>
    <w:rsid w:val="00A02AD6"/>
    <w:rsid w:val="00A03B98"/>
    <w:rsid w:val="00A0576F"/>
    <w:rsid w:val="00A05B45"/>
    <w:rsid w:val="00A07096"/>
    <w:rsid w:val="00A07318"/>
    <w:rsid w:val="00A11370"/>
    <w:rsid w:val="00A167E8"/>
    <w:rsid w:val="00A17B38"/>
    <w:rsid w:val="00A224CE"/>
    <w:rsid w:val="00A22522"/>
    <w:rsid w:val="00A24AFD"/>
    <w:rsid w:val="00A24F5C"/>
    <w:rsid w:val="00A26FD6"/>
    <w:rsid w:val="00A304F6"/>
    <w:rsid w:val="00A3109E"/>
    <w:rsid w:val="00A32F96"/>
    <w:rsid w:val="00A33082"/>
    <w:rsid w:val="00A358D7"/>
    <w:rsid w:val="00A40871"/>
    <w:rsid w:val="00A40BC9"/>
    <w:rsid w:val="00A412AB"/>
    <w:rsid w:val="00A41483"/>
    <w:rsid w:val="00A4193E"/>
    <w:rsid w:val="00A440E0"/>
    <w:rsid w:val="00A442EF"/>
    <w:rsid w:val="00A44688"/>
    <w:rsid w:val="00A47E79"/>
    <w:rsid w:val="00A51D1A"/>
    <w:rsid w:val="00A53E68"/>
    <w:rsid w:val="00A5418D"/>
    <w:rsid w:val="00A5474E"/>
    <w:rsid w:val="00A55B38"/>
    <w:rsid w:val="00A60A99"/>
    <w:rsid w:val="00A644D6"/>
    <w:rsid w:val="00A65842"/>
    <w:rsid w:val="00A67C4E"/>
    <w:rsid w:val="00A70ADF"/>
    <w:rsid w:val="00A712D6"/>
    <w:rsid w:val="00A71466"/>
    <w:rsid w:val="00A74B5E"/>
    <w:rsid w:val="00A75061"/>
    <w:rsid w:val="00A81BED"/>
    <w:rsid w:val="00A81EC4"/>
    <w:rsid w:val="00A824AE"/>
    <w:rsid w:val="00A82AD0"/>
    <w:rsid w:val="00A83DED"/>
    <w:rsid w:val="00A8495B"/>
    <w:rsid w:val="00A8552C"/>
    <w:rsid w:val="00A92380"/>
    <w:rsid w:val="00A94808"/>
    <w:rsid w:val="00A961E8"/>
    <w:rsid w:val="00A967FD"/>
    <w:rsid w:val="00A973BE"/>
    <w:rsid w:val="00AB156C"/>
    <w:rsid w:val="00AB578C"/>
    <w:rsid w:val="00AB6814"/>
    <w:rsid w:val="00AC04BA"/>
    <w:rsid w:val="00AC0E39"/>
    <w:rsid w:val="00AC723B"/>
    <w:rsid w:val="00AD3082"/>
    <w:rsid w:val="00AD4AD0"/>
    <w:rsid w:val="00AD4D4E"/>
    <w:rsid w:val="00AD5436"/>
    <w:rsid w:val="00AD60CD"/>
    <w:rsid w:val="00AD6C8C"/>
    <w:rsid w:val="00AD6F87"/>
    <w:rsid w:val="00AD71FD"/>
    <w:rsid w:val="00AE078D"/>
    <w:rsid w:val="00AE091D"/>
    <w:rsid w:val="00AE3B60"/>
    <w:rsid w:val="00AE48C3"/>
    <w:rsid w:val="00AE53A1"/>
    <w:rsid w:val="00AF2484"/>
    <w:rsid w:val="00AF4EC6"/>
    <w:rsid w:val="00AF63E7"/>
    <w:rsid w:val="00AF7377"/>
    <w:rsid w:val="00AF7B5F"/>
    <w:rsid w:val="00B0165D"/>
    <w:rsid w:val="00B020CB"/>
    <w:rsid w:val="00B020FB"/>
    <w:rsid w:val="00B031F3"/>
    <w:rsid w:val="00B052A4"/>
    <w:rsid w:val="00B06A16"/>
    <w:rsid w:val="00B10591"/>
    <w:rsid w:val="00B125DE"/>
    <w:rsid w:val="00B130B1"/>
    <w:rsid w:val="00B13FDD"/>
    <w:rsid w:val="00B22EB2"/>
    <w:rsid w:val="00B240B6"/>
    <w:rsid w:val="00B2671D"/>
    <w:rsid w:val="00B27442"/>
    <w:rsid w:val="00B31167"/>
    <w:rsid w:val="00B329D8"/>
    <w:rsid w:val="00B32BB9"/>
    <w:rsid w:val="00B33AE1"/>
    <w:rsid w:val="00B37C38"/>
    <w:rsid w:val="00B40536"/>
    <w:rsid w:val="00B41F1C"/>
    <w:rsid w:val="00B4288C"/>
    <w:rsid w:val="00B42E07"/>
    <w:rsid w:val="00B43262"/>
    <w:rsid w:val="00B44100"/>
    <w:rsid w:val="00B46CBA"/>
    <w:rsid w:val="00B46F94"/>
    <w:rsid w:val="00B52578"/>
    <w:rsid w:val="00B61F03"/>
    <w:rsid w:val="00B62279"/>
    <w:rsid w:val="00B626E4"/>
    <w:rsid w:val="00B62E36"/>
    <w:rsid w:val="00B65071"/>
    <w:rsid w:val="00B65808"/>
    <w:rsid w:val="00B65E03"/>
    <w:rsid w:val="00B67522"/>
    <w:rsid w:val="00B72F4A"/>
    <w:rsid w:val="00B7585E"/>
    <w:rsid w:val="00B76BBA"/>
    <w:rsid w:val="00B81B05"/>
    <w:rsid w:val="00B81D59"/>
    <w:rsid w:val="00B83C27"/>
    <w:rsid w:val="00B8479F"/>
    <w:rsid w:val="00B84BC3"/>
    <w:rsid w:val="00B84BDD"/>
    <w:rsid w:val="00B85CF5"/>
    <w:rsid w:val="00B9027F"/>
    <w:rsid w:val="00B92812"/>
    <w:rsid w:val="00BA0B8B"/>
    <w:rsid w:val="00BA3331"/>
    <w:rsid w:val="00BA6F28"/>
    <w:rsid w:val="00BB1569"/>
    <w:rsid w:val="00BB45A1"/>
    <w:rsid w:val="00BB7686"/>
    <w:rsid w:val="00BC092C"/>
    <w:rsid w:val="00BC23F9"/>
    <w:rsid w:val="00BC2A05"/>
    <w:rsid w:val="00BC3038"/>
    <w:rsid w:val="00BC3421"/>
    <w:rsid w:val="00BC57CD"/>
    <w:rsid w:val="00BC5DB2"/>
    <w:rsid w:val="00BC732C"/>
    <w:rsid w:val="00BD022D"/>
    <w:rsid w:val="00BD376F"/>
    <w:rsid w:val="00BD4ECE"/>
    <w:rsid w:val="00BE2580"/>
    <w:rsid w:val="00BE266D"/>
    <w:rsid w:val="00BE3938"/>
    <w:rsid w:val="00BE4C11"/>
    <w:rsid w:val="00BE71C0"/>
    <w:rsid w:val="00BF54CE"/>
    <w:rsid w:val="00BF610C"/>
    <w:rsid w:val="00BF7E38"/>
    <w:rsid w:val="00C0060B"/>
    <w:rsid w:val="00C00817"/>
    <w:rsid w:val="00C0277D"/>
    <w:rsid w:val="00C053A1"/>
    <w:rsid w:val="00C06149"/>
    <w:rsid w:val="00C077DB"/>
    <w:rsid w:val="00C1300E"/>
    <w:rsid w:val="00C149F5"/>
    <w:rsid w:val="00C16198"/>
    <w:rsid w:val="00C2083D"/>
    <w:rsid w:val="00C24A53"/>
    <w:rsid w:val="00C25C8A"/>
    <w:rsid w:val="00C26D3D"/>
    <w:rsid w:val="00C26EB7"/>
    <w:rsid w:val="00C27686"/>
    <w:rsid w:val="00C33533"/>
    <w:rsid w:val="00C360FD"/>
    <w:rsid w:val="00C4032F"/>
    <w:rsid w:val="00C41C7D"/>
    <w:rsid w:val="00C44047"/>
    <w:rsid w:val="00C44655"/>
    <w:rsid w:val="00C45155"/>
    <w:rsid w:val="00C5480D"/>
    <w:rsid w:val="00C5498F"/>
    <w:rsid w:val="00C55235"/>
    <w:rsid w:val="00C6166C"/>
    <w:rsid w:val="00C629A8"/>
    <w:rsid w:val="00C64CD0"/>
    <w:rsid w:val="00C65E91"/>
    <w:rsid w:val="00C6684F"/>
    <w:rsid w:val="00C706DA"/>
    <w:rsid w:val="00C70E70"/>
    <w:rsid w:val="00C71F6A"/>
    <w:rsid w:val="00C75F8D"/>
    <w:rsid w:val="00C760AC"/>
    <w:rsid w:val="00C77380"/>
    <w:rsid w:val="00C91B77"/>
    <w:rsid w:val="00C92A6E"/>
    <w:rsid w:val="00C93E21"/>
    <w:rsid w:val="00C93FB1"/>
    <w:rsid w:val="00C97518"/>
    <w:rsid w:val="00C97736"/>
    <w:rsid w:val="00CA345A"/>
    <w:rsid w:val="00CB0BBE"/>
    <w:rsid w:val="00CB1E82"/>
    <w:rsid w:val="00CB4BA8"/>
    <w:rsid w:val="00CB4E8B"/>
    <w:rsid w:val="00CB52D7"/>
    <w:rsid w:val="00CC2504"/>
    <w:rsid w:val="00CC6732"/>
    <w:rsid w:val="00CD15F3"/>
    <w:rsid w:val="00CD181D"/>
    <w:rsid w:val="00CD3660"/>
    <w:rsid w:val="00CE2EBC"/>
    <w:rsid w:val="00CE3B0E"/>
    <w:rsid w:val="00CE3C96"/>
    <w:rsid w:val="00CE4E5C"/>
    <w:rsid w:val="00CE51A8"/>
    <w:rsid w:val="00CE59DD"/>
    <w:rsid w:val="00CE6B5A"/>
    <w:rsid w:val="00CF369B"/>
    <w:rsid w:val="00CF461F"/>
    <w:rsid w:val="00CF74B0"/>
    <w:rsid w:val="00D00E28"/>
    <w:rsid w:val="00D0269E"/>
    <w:rsid w:val="00D06495"/>
    <w:rsid w:val="00D15810"/>
    <w:rsid w:val="00D16D4E"/>
    <w:rsid w:val="00D16FE3"/>
    <w:rsid w:val="00D21E6B"/>
    <w:rsid w:val="00D27F41"/>
    <w:rsid w:val="00D3534E"/>
    <w:rsid w:val="00D36441"/>
    <w:rsid w:val="00D4064E"/>
    <w:rsid w:val="00D44E9B"/>
    <w:rsid w:val="00D464BD"/>
    <w:rsid w:val="00D47AEB"/>
    <w:rsid w:val="00D50DB9"/>
    <w:rsid w:val="00D52C43"/>
    <w:rsid w:val="00D561DF"/>
    <w:rsid w:val="00D5691F"/>
    <w:rsid w:val="00D573F7"/>
    <w:rsid w:val="00D6129F"/>
    <w:rsid w:val="00D614CF"/>
    <w:rsid w:val="00D61B34"/>
    <w:rsid w:val="00D6507F"/>
    <w:rsid w:val="00D72816"/>
    <w:rsid w:val="00D730BC"/>
    <w:rsid w:val="00D73912"/>
    <w:rsid w:val="00D76385"/>
    <w:rsid w:val="00D76BE9"/>
    <w:rsid w:val="00D81383"/>
    <w:rsid w:val="00D85226"/>
    <w:rsid w:val="00D86695"/>
    <w:rsid w:val="00D870D1"/>
    <w:rsid w:val="00D87B94"/>
    <w:rsid w:val="00D92412"/>
    <w:rsid w:val="00D92D49"/>
    <w:rsid w:val="00D92EC1"/>
    <w:rsid w:val="00D92F7B"/>
    <w:rsid w:val="00D96DEA"/>
    <w:rsid w:val="00DA1A12"/>
    <w:rsid w:val="00DA4E41"/>
    <w:rsid w:val="00DA6084"/>
    <w:rsid w:val="00DB117A"/>
    <w:rsid w:val="00DB5173"/>
    <w:rsid w:val="00DB5E4D"/>
    <w:rsid w:val="00DB7873"/>
    <w:rsid w:val="00DC0FCA"/>
    <w:rsid w:val="00DC187B"/>
    <w:rsid w:val="00DC1955"/>
    <w:rsid w:val="00DC5989"/>
    <w:rsid w:val="00DC6129"/>
    <w:rsid w:val="00DD1D27"/>
    <w:rsid w:val="00DD73C2"/>
    <w:rsid w:val="00DE125F"/>
    <w:rsid w:val="00DE319B"/>
    <w:rsid w:val="00DE50DF"/>
    <w:rsid w:val="00DE52D5"/>
    <w:rsid w:val="00DE5557"/>
    <w:rsid w:val="00DF0459"/>
    <w:rsid w:val="00DF34FE"/>
    <w:rsid w:val="00DF56AA"/>
    <w:rsid w:val="00DF78E7"/>
    <w:rsid w:val="00E01633"/>
    <w:rsid w:val="00E01D40"/>
    <w:rsid w:val="00E06374"/>
    <w:rsid w:val="00E069B0"/>
    <w:rsid w:val="00E110E0"/>
    <w:rsid w:val="00E14FB8"/>
    <w:rsid w:val="00E15371"/>
    <w:rsid w:val="00E214AF"/>
    <w:rsid w:val="00E219DE"/>
    <w:rsid w:val="00E21CA2"/>
    <w:rsid w:val="00E24010"/>
    <w:rsid w:val="00E24104"/>
    <w:rsid w:val="00E259A5"/>
    <w:rsid w:val="00E2707F"/>
    <w:rsid w:val="00E302D0"/>
    <w:rsid w:val="00E30860"/>
    <w:rsid w:val="00E35707"/>
    <w:rsid w:val="00E36AA1"/>
    <w:rsid w:val="00E41ECB"/>
    <w:rsid w:val="00E42800"/>
    <w:rsid w:val="00E43CDB"/>
    <w:rsid w:val="00E45777"/>
    <w:rsid w:val="00E54FDB"/>
    <w:rsid w:val="00E557E9"/>
    <w:rsid w:val="00E5617D"/>
    <w:rsid w:val="00E563D7"/>
    <w:rsid w:val="00E620F7"/>
    <w:rsid w:val="00E626B8"/>
    <w:rsid w:val="00E663F4"/>
    <w:rsid w:val="00E666F2"/>
    <w:rsid w:val="00E66DD4"/>
    <w:rsid w:val="00E73383"/>
    <w:rsid w:val="00E74346"/>
    <w:rsid w:val="00E748CC"/>
    <w:rsid w:val="00E75415"/>
    <w:rsid w:val="00E75F2B"/>
    <w:rsid w:val="00E775B1"/>
    <w:rsid w:val="00E77B34"/>
    <w:rsid w:val="00E8152A"/>
    <w:rsid w:val="00E82D9F"/>
    <w:rsid w:val="00E84EDA"/>
    <w:rsid w:val="00E87C3D"/>
    <w:rsid w:val="00E91BC8"/>
    <w:rsid w:val="00E93629"/>
    <w:rsid w:val="00E93B5C"/>
    <w:rsid w:val="00E94CEC"/>
    <w:rsid w:val="00EA04EF"/>
    <w:rsid w:val="00EA5F80"/>
    <w:rsid w:val="00EA6F19"/>
    <w:rsid w:val="00EB01B3"/>
    <w:rsid w:val="00EB0CC0"/>
    <w:rsid w:val="00EB7090"/>
    <w:rsid w:val="00EC1BBE"/>
    <w:rsid w:val="00EC5CD7"/>
    <w:rsid w:val="00EC7A30"/>
    <w:rsid w:val="00ED09FF"/>
    <w:rsid w:val="00ED1A83"/>
    <w:rsid w:val="00ED2079"/>
    <w:rsid w:val="00ED2291"/>
    <w:rsid w:val="00ED2B8D"/>
    <w:rsid w:val="00ED37C9"/>
    <w:rsid w:val="00EE146C"/>
    <w:rsid w:val="00EE14A7"/>
    <w:rsid w:val="00EE2A8B"/>
    <w:rsid w:val="00EE42ED"/>
    <w:rsid w:val="00EE4B20"/>
    <w:rsid w:val="00EE5FB3"/>
    <w:rsid w:val="00EE5FB9"/>
    <w:rsid w:val="00EE7329"/>
    <w:rsid w:val="00EE7F79"/>
    <w:rsid w:val="00EF5471"/>
    <w:rsid w:val="00EF715A"/>
    <w:rsid w:val="00F0300D"/>
    <w:rsid w:val="00F05C2C"/>
    <w:rsid w:val="00F06E14"/>
    <w:rsid w:val="00F12768"/>
    <w:rsid w:val="00F13B89"/>
    <w:rsid w:val="00F179D4"/>
    <w:rsid w:val="00F205B6"/>
    <w:rsid w:val="00F217DF"/>
    <w:rsid w:val="00F22A5C"/>
    <w:rsid w:val="00F24F57"/>
    <w:rsid w:val="00F26322"/>
    <w:rsid w:val="00F33C56"/>
    <w:rsid w:val="00F347C7"/>
    <w:rsid w:val="00F34848"/>
    <w:rsid w:val="00F36FD7"/>
    <w:rsid w:val="00F41ED0"/>
    <w:rsid w:val="00F42D46"/>
    <w:rsid w:val="00F4496C"/>
    <w:rsid w:val="00F44B17"/>
    <w:rsid w:val="00F44F3A"/>
    <w:rsid w:val="00F511B6"/>
    <w:rsid w:val="00F51F10"/>
    <w:rsid w:val="00F5222B"/>
    <w:rsid w:val="00F529A5"/>
    <w:rsid w:val="00F53069"/>
    <w:rsid w:val="00F55D6F"/>
    <w:rsid w:val="00F60F00"/>
    <w:rsid w:val="00F614C0"/>
    <w:rsid w:val="00F77E28"/>
    <w:rsid w:val="00F8296E"/>
    <w:rsid w:val="00F8383F"/>
    <w:rsid w:val="00F83848"/>
    <w:rsid w:val="00F92E09"/>
    <w:rsid w:val="00F967EC"/>
    <w:rsid w:val="00F975E9"/>
    <w:rsid w:val="00FA10E6"/>
    <w:rsid w:val="00FA1B7D"/>
    <w:rsid w:val="00FA661D"/>
    <w:rsid w:val="00FB132D"/>
    <w:rsid w:val="00FB2EA1"/>
    <w:rsid w:val="00FB5FBB"/>
    <w:rsid w:val="00FB6983"/>
    <w:rsid w:val="00FB74D3"/>
    <w:rsid w:val="00FC07B9"/>
    <w:rsid w:val="00FC196F"/>
    <w:rsid w:val="00FC2513"/>
    <w:rsid w:val="00FC4E21"/>
    <w:rsid w:val="00FC5F6D"/>
    <w:rsid w:val="00FD0107"/>
    <w:rsid w:val="00FD2C2F"/>
    <w:rsid w:val="00FD2D63"/>
    <w:rsid w:val="00FD3B31"/>
    <w:rsid w:val="00FD61E0"/>
    <w:rsid w:val="00FE1823"/>
    <w:rsid w:val="00FE487A"/>
    <w:rsid w:val="00FE4954"/>
    <w:rsid w:val="00FF0569"/>
    <w:rsid w:val="00FF11D2"/>
    <w:rsid w:val="00FF206E"/>
    <w:rsid w:val="00FF3C69"/>
    <w:rsid w:val="00FF6E0A"/>
    <w:rsid w:val="00FF72B6"/>
    <w:rsid w:val="00FF7E12"/>
    <w:rsid w:val="00FF7F2B"/>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red,#4d4d4f"/>
    </o:shapedefaults>
    <o:shapelayout v:ext="edit">
      <o:idmap v:ext="edit" data="1"/>
    </o:shapelayout>
  </w:shapeDefaults>
  <w:decimalSymbol w:val="."/>
  <w:listSeparator w:val=","/>
  <w14:docId w14:val="77D105E1"/>
  <w15:docId w15:val="{5A2E5249-3A9E-4616-A86B-31C6B9686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4"/>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4"/>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4"/>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4"/>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8"/>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tabs>
        <w:tab w:val="num" w:pos="295"/>
      </w:tabs>
      <w:spacing w:after="80"/>
      <w:ind w:left="295" w:hanging="295"/>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spacing w:after="80"/>
    </w:pPr>
  </w:style>
  <w:style w:type="paragraph" w:styleId="ListNumber2">
    <w:name w:val="List Number 2"/>
    <w:basedOn w:val="Normal"/>
    <w:qFormat/>
    <w:rsid w:val="00247C59"/>
    <w:pPr>
      <w:spacing w:after="80"/>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f,fn"/>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rsid w:val="00EE7F79"/>
    <w:rPr>
      <w:sz w:val="16"/>
      <w:szCs w:val="16"/>
    </w:rPr>
  </w:style>
  <w:style w:type="paragraph" w:styleId="CommentText">
    <w:name w:val="annotation text"/>
    <w:basedOn w:val="Normal"/>
    <w:link w:val="CommentTextChar"/>
    <w:rsid w:val="00EE7F79"/>
    <w:pPr>
      <w:spacing w:line="240" w:lineRule="auto"/>
    </w:pPr>
    <w:rPr>
      <w:szCs w:val="20"/>
    </w:rPr>
  </w:style>
  <w:style w:type="character" w:customStyle="1" w:styleId="CommentTextChar">
    <w:name w:val="Comment Text Char"/>
    <w:basedOn w:val="DefaultParagraphFont"/>
    <w:link w:val="CommentText"/>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6"/>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uiPriority w:val="20"/>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5"/>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7"/>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paragraph" w:customStyle="1" w:styleId="ReportTitle">
    <w:name w:val="Report Title"/>
    <w:basedOn w:val="Normal"/>
    <w:rsid w:val="00A47E79"/>
    <w:pPr>
      <w:spacing w:after="0" w:line="560" w:lineRule="exact"/>
    </w:pPr>
    <w:rPr>
      <w:b/>
      <w:color w:val="4D4D4F"/>
      <w:spacing w:val="-28"/>
      <w:sz w:val="53"/>
    </w:rPr>
  </w:style>
  <w:style w:type="paragraph" w:customStyle="1" w:styleId="ReportSubtitle">
    <w:name w:val="Report Sub title"/>
    <w:basedOn w:val="Normal"/>
    <w:rsid w:val="00A47E79"/>
    <w:pPr>
      <w:spacing w:after="0" w:line="560" w:lineRule="exact"/>
    </w:pPr>
    <w:rPr>
      <w:color w:val="808285"/>
      <w:spacing w:val="-28"/>
      <w:sz w:val="53"/>
    </w:rPr>
  </w:style>
  <w:style w:type="paragraph" w:customStyle="1" w:styleId="ReportDate">
    <w:name w:val="Report Date"/>
    <w:basedOn w:val="ReportSubtitle"/>
    <w:rsid w:val="00A47E79"/>
    <w:pPr>
      <w:spacing w:line="240" w:lineRule="auto"/>
    </w:pPr>
    <w:rPr>
      <w:caps/>
      <w:spacing w:val="-10"/>
      <w:sz w:val="20"/>
    </w:rPr>
  </w:style>
  <w:style w:type="paragraph" w:customStyle="1" w:styleId="Bodysubheader0">
    <w:name w:val="Body sub header"/>
    <w:basedOn w:val="Normal"/>
    <w:next w:val="Normal"/>
    <w:rsid w:val="00A47E79"/>
    <w:pPr>
      <w:spacing w:after="0"/>
    </w:pPr>
    <w:rPr>
      <w:b/>
      <w:i/>
    </w:rPr>
  </w:style>
  <w:style w:type="paragraph" w:customStyle="1" w:styleId="ExecSummaryHeading">
    <w:name w:val="Exec Summary Heading"/>
    <w:basedOn w:val="Normal"/>
    <w:rsid w:val="00A47E79"/>
    <w:pPr>
      <w:spacing w:after="1440" w:line="550" w:lineRule="exact"/>
    </w:pPr>
    <w:rPr>
      <w:b/>
      <w:color w:val="4D4D4F"/>
      <w:spacing w:val="-18"/>
      <w:sz w:val="53"/>
    </w:rPr>
  </w:style>
  <w:style w:type="paragraph" w:styleId="TOC9">
    <w:name w:val="toc 9"/>
    <w:aliases w:val="TOC ExecSumm"/>
    <w:basedOn w:val="Normal"/>
    <w:next w:val="Normal"/>
    <w:uiPriority w:val="39"/>
    <w:rsid w:val="00A47E79"/>
    <w:pPr>
      <w:tabs>
        <w:tab w:val="right" w:pos="7660"/>
      </w:tabs>
      <w:spacing w:before="280" w:after="0" w:line="320" w:lineRule="exact"/>
    </w:pPr>
    <w:rPr>
      <w:b/>
      <w:noProof/>
      <w:color w:val="808285"/>
      <w:sz w:val="28"/>
      <w:szCs w:val="28"/>
    </w:rPr>
  </w:style>
  <w:style w:type="paragraph" w:customStyle="1" w:styleId="ChapterHeading">
    <w:name w:val="Chapter Heading"/>
    <w:basedOn w:val="Normal"/>
    <w:rsid w:val="00A47E79"/>
    <w:pPr>
      <w:spacing w:after="0" w:line="560" w:lineRule="exact"/>
    </w:pPr>
    <w:rPr>
      <w:color w:val="808285"/>
      <w:spacing w:val="-28"/>
      <w:sz w:val="53"/>
    </w:rPr>
  </w:style>
  <w:style w:type="character" w:customStyle="1" w:styleId="apple-style-span">
    <w:name w:val="apple-style-span"/>
    <w:basedOn w:val="DefaultParagraphFont"/>
    <w:rsid w:val="00A47E79"/>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f Char,fn Char"/>
    <w:basedOn w:val="DefaultParagraphFont"/>
    <w:link w:val="FootnoteText"/>
    <w:uiPriority w:val="99"/>
    <w:rsid w:val="00A47E79"/>
    <w:rPr>
      <w:rFonts w:ascii="Arial" w:hAnsi="Arial"/>
      <w:sz w:val="16"/>
      <w:szCs w:val="16"/>
    </w:rPr>
  </w:style>
  <w:style w:type="paragraph" w:styleId="ListParagraph">
    <w:name w:val="List Paragraph"/>
    <w:basedOn w:val="Normal"/>
    <w:uiPriority w:val="34"/>
    <w:qFormat/>
    <w:rsid w:val="00A47E79"/>
    <w:pPr>
      <w:spacing w:after="0" w:line="240" w:lineRule="auto"/>
      <w:ind w:left="720"/>
      <w:contextualSpacing/>
    </w:pPr>
    <w:rPr>
      <w:rFonts w:asciiTheme="minorHAnsi" w:eastAsiaTheme="minorEastAsia" w:hAnsiTheme="minorHAnsi" w:cstheme="minorBidi"/>
      <w:sz w:val="24"/>
      <w:lang w:eastAsia="en-US"/>
    </w:rPr>
  </w:style>
  <w:style w:type="paragraph" w:customStyle="1" w:styleId="ACMABodyText">
    <w:name w:val="ACMA Body Text"/>
    <w:link w:val="ACMABodyTextChar"/>
    <w:rsid w:val="00A47E79"/>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locked/>
    <w:rsid w:val="00A47E79"/>
    <w:rPr>
      <w:snapToGrid w:val="0"/>
      <w:szCs w:val="20"/>
      <w:lang w:eastAsia="en-US"/>
    </w:rPr>
  </w:style>
  <w:style w:type="paragraph" w:customStyle="1" w:styleId="ACMAHeading3">
    <w:name w:val="ACMA Heading 3"/>
    <w:next w:val="ACMABodyText"/>
    <w:rsid w:val="00A47E79"/>
    <w:pPr>
      <w:keepNext/>
      <w:numPr>
        <w:numId w:val="9"/>
      </w:numPr>
      <w:suppressAutoHyphens/>
      <w:spacing w:before="240"/>
      <w:ind w:left="0" w:firstLine="0"/>
      <w:outlineLvl w:val="3"/>
    </w:pPr>
    <w:rPr>
      <w:rFonts w:ascii="Arial" w:hAnsi="Arial"/>
      <w:b/>
      <w:szCs w:val="20"/>
      <w:lang w:val="en-US" w:eastAsia="en-US"/>
    </w:rPr>
  </w:style>
  <w:style w:type="paragraph" w:customStyle="1" w:styleId="ACMANumberedList">
    <w:name w:val="ACMA Numbered List"/>
    <w:rsid w:val="00A47E79"/>
    <w:pPr>
      <w:tabs>
        <w:tab w:val="num" w:pos="360"/>
      </w:tabs>
      <w:spacing w:before="20" w:after="20"/>
    </w:pPr>
    <w:rPr>
      <w:szCs w:val="20"/>
      <w:lang w:eastAsia="en-US"/>
    </w:rPr>
  </w:style>
  <w:style w:type="paragraph" w:customStyle="1" w:styleId="Summary">
    <w:name w:val="Summary"/>
    <w:basedOn w:val="Normal"/>
    <w:next w:val="Normal"/>
    <w:autoRedefine/>
    <w:rsid w:val="00A47E79"/>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pPr>
    <w:rPr>
      <w:rFonts w:ascii="Times New Roman" w:hAnsi="Times New Roman"/>
      <w:sz w:val="22"/>
      <w:szCs w:val="20"/>
      <w:lang w:val="es-ES_tradnl" w:eastAsia="en-US"/>
    </w:rPr>
  </w:style>
  <w:style w:type="character" w:customStyle="1" w:styleId="Heading1Char">
    <w:name w:val="Heading 1 Char"/>
    <w:basedOn w:val="DefaultParagraphFont"/>
    <w:link w:val="Heading1"/>
    <w:rsid w:val="00A47E79"/>
    <w:rPr>
      <w:rFonts w:ascii="Arial" w:hAnsi="Arial" w:cs="Arial"/>
      <w:bCs/>
      <w:color w:val="323232"/>
      <w:kern w:val="32"/>
      <w:sz w:val="53"/>
      <w:szCs w:val="32"/>
    </w:rPr>
  </w:style>
  <w:style w:type="character" w:customStyle="1" w:styleId="Heading2Char">
    <w:name w:val="Heading 2 Char"/>
    <w:basedOn w:val="DefaultParagraphFont"/>
    <w:link w:val="Heading2"/>
    <w:rsid w:val="00A47E79"/>
    <w:rPr>
      <w:rFonts w:ascii="Arial" w:hAnsi="Arial" w:cs="Arial"/>
      <w:b/>
      <w:bCs/>
      <w:iCs/>
      <w:sz w:val="28"/>
      <w:szCs w:val="28"/>
    </w:rPr>
  </w:style>
  <w:style w:type="character" w:customStyle="1" w:styleId="Heading3Char">
    <w:name w:val="Heading 3 Char"/>
    <w:basedOn w:val="DefaultParagraphFont"/>
    <w:link w:val="Heading3"/>
    <w:rsid w:val="00A47E79"/>
    <w:rPr>
      <w:rFonts w:ascii="Arial" w:hAnsi="Arial" w:cs="Arial"/>
      <w:b/>
      <w:bCs/>
      <w:sz w:val="20"/>
      <w:szCs w:val="26"/>
    </w:rPr>
  </w:style>
  <w:style w:type="paragraph" w:styleId="Revision">
    <w:name w:val="Revision"/>
    <w:hidden/>
    <w:uiPriority w:val="99"/>
    <w:semiHidden/>
    <w:rsid w:val="00A47E79"/>
    <w:rPr>
      <w:rFonts w:ascii="Arial" w:hAnsi="Arial"/>
      <w:sz w:val="20"/>
    </w:rPr>
  </w:style>
  <w:style w:type="paragraph" w:customStyle="1" w:styleId="Default">
    <w:name w:val="Default"/>
    <w:rsid w:val="00A47E79"/>
    <w:pPr>
      <w:autoSpaceDE w:val="0"/>
      <w:autoSpaceDN w:val="0"/>
      <w:adjustRightInd w:val="0"/>
    </w:pPr>
    <w:rPr>
      <w:rFonts w:ascii="Arial" w:hAnsi="Arial" w:cs="Arial"/>
      <w:color w:val="000000"/>
    </w:rPr>
  </w:style>
  <w:style w:type="paragraph" w:styleId="NormalWeb">
    <w:name w:val="Normal (Web)"/>
    <w:basedOn w:val="Normal"/>
    <w:uiPriority w:val="99"/>
    <w:semiHidden/>
    <w:unhideWhenUsed/>
    <w:rsid w:val="00A47E79"/>
    <w:pPr>
      <w:spacing w:before="100" w:beforeAutospacing="1" w:after="100" w:afterAutospacing="1" w:line="240" w:lineRule="auto"/>
    </w:pPr>
    <w:rPr>
      <w:rFonts w:ascii="Times New Roman" w:hAnsi="Times New Roman"/>
      <w:sz w:val="24"/>
    </w:rPr>
  </w:style>
  <w:style w:type="paragraph" w:customStyle="1" w:styleId="ACMABulletLevel1">
    <w:name w:val="ACMA Bullet Level 1"/>
    <w:rsid w:val="00A47E79"/>
    <w:pPr>
      <w:numPr>
        <w:numId w:val="10"/>
      </w:numPr>
      <w:spacing w:after="120"/>
    </w:pPr>
    <w:rPr>
      <w:szCs w:val="20"/>
      <w:lang w:eastAsia="en-US"/>
    </w:rPr>
  </w:style>
  <w:style w:type="character" w:customStyle="1" w:styleId="ACMAFootnoteTextCharChar">
    <w:name w:val="ACMA Footnote Text Char Char"/>
    <w:basedOn w:val="DefaultParagraphFont"/>
    <w:rsid w:val="007A5B24"/>
    <w:rPr>
      <w:lang w:val="en-AU" w:eastAsia="en-US" w:bidi="ar-SA"/>
    </w:rPr>
  </w:style>
  <w:style w:type="paragraph" w:customStyle="1" w:styleId="P1">
    <w:name w:val="P1"/>
    <w:aliases w:val="(a)"/>
    <w:basedOn w:val="Normal"/>
    <w:rsid w:val="005C1FDB"/>
    <w:pPr>
      <w:keepLines/>
      <w:tabs>
        <w:tab w:val="right" w:pos="1191"/>
      </w:tabs>
      <w:spacing w:before="60" w:after="0" w:line="260" w:lineRule="exact"/>
      <w:ind w:left="1418" w:hanging="1418"/>
      <w:jc w:val="both"/>
    </w:pPr>
    <w:rPr>
      <w:rFonts w:ascii="Times New Roman" w:hAnsi="Times New Roman"/>
      <w:sz w:val="24"/>
    </w:rPr>
  </w:style>
  <w:style w:type="paragraph" w:customStyle="1" w:styleId="definition">
    <w:name w:val="definition"/>
    <w:basedOn w:val="Normal"/>
    <w:link w:val="definitionChar"/>
    <w:rsid w:val="007867F0"/>
    <w:pPr>
      <w:spacing w:before="80" w:after="0" w:line="260" w:lineRule="exact"/>
      <w:ind w:left="964"/>
      <w:jc w:val="both"/>
    </w:pPr>
    <w:rPr>
      <w:rFonts w:ascii="Times New Roman" w:hAnsi="Times New Roman"/>
      <w:noProof/>
      <w:sz w:val="24"/>
      <w:lang w:eastAsia="en-US"/>
    </w:rPr>
  </w:style>
  <w:style w:type="character" w:customStyle="1" w:styleId="definitionChar">
    <w:name w:val="definition Char"/>
    <w:link w:val="definition"/>
    <w:rsid w:val="007867F0"/>
    <w:rPr>
      <w:noProof/>
      <w:lang w:eastAsia="en-US"/>
    </w:rPr>
  </w:style>
  <w:style w:type="character" w:customStyle="1" w:styleId="CharPartText">
    <w:name w:val="CharPartText"/>
    <w:basedOn w:val="DefaultParagraphFont"/>
    <w:rsid w:val="007867F0"/>
  </w:style>
  <w:style w:type="table" w:customStyle="1" w:styleId="TableGrid1">
    <w:name w:val="Table Grid1"/>
    <w:basedOn w:val="TableNormal"/>
    <w:next w:val="TableGrid"/>
    <w:rsid w:val="009046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9046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qFormat/>
    <w:rsid w:val="00846358"/>
    <w:pPr>
      <w:spacing w:before="480" w:after="0" w:line="240" w:lineRule="auto"/>
    </w:pPr>
    <w:rPr>
      <w:rFonts w:cs="Arial"/>
      <w:b/>
      <w:bCs/>
      <w:sz w:val="40"/>
      <w:szCs w:val="40"/>
    </w:rPr>
  </w:style>
  <w:style w:type="character" w:customStyle="1" w:styleId="TitleChar">
    <w:name w:val="Title Char"/>
    <w:basedOn w:val="DefaultParagraphFont"/>
    <w:link w:val="Title"/>
    <w:rsid w:val="00846358"/>
    <w:rPr>
      <w:rFonts w:ascii="Arial" w:hAnsi="Arial" w:cs="Arial"/>
      <w:b/>
      <w:bCs/>
      <w:sz w:val="40"/>
      <w:szCs w:val="40"/>
    </w:rPr>
  </w:style>
  <w:style w:type="table" w:customStyle="1" w:styleId="TableGrid3">
    <w:name w:val="Table Grid3"/>
    <w:basedOn w:val="TableNormal"/>
    <w:next w:val="TableGrid"/>
    <w:uiPriority w:val="39"/>
    <w:rsid w:val="00BA0B8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07180">
      <w:bodyDiv w:val="1"/>
      <w:marLeft w:val="0"/>
      <w:marRight w:val="0"/>
      <w:marTop w:val="0"/>
      <w:marBottom w:val="0"/>
      <w:divBdr>
        <w:top w:val="none" w:sz="0" w:space="0" w:color="auto"/>
        <w:left w:val="none" w:sz="0" w:space="0" w:color="auto"/>
        <w:bottom w:val="none" w:sz="0" w:space="0" w:color="auto"/>
        <w:right w:val="none" w:sz="0" w:space="0" w:color="auto"/>
      </w:divBdr>
    </w:div>
    <w:div w:id="69694345">
      <w:bodyDiv w:val="1"/>
      <w:marLeft w:val="0"/>
      <w:marRight w:val="0"/>
      <w:marTop w:val="0"/>
      <w:marBottom w:val="0"/>
      <w:divBdr>
        <w:top w:val="none" w:sz="0" w:space="0" w:color="auto"/>
        <w:left w:val="none" w:sz="0" w:space="0" w:color="auto"/>
        <w:bottom w:val="none" w:sz="0" w:space="0" w:color="auto"/>
        <w:right w:val="none" w:sz="0" w:space="0" w:color="auto"/>
      </w:divBdr>
    </w:div>
    <w:div w:id="226571257">
      <w:bodyDiv w:val="1"/>
      <w:marLeft w:val="0"/>
      <w:marRight w:val="0"/>
      <w:marTop w:val="0"/>
      <w:marBottom w:val="0"/>
      <w:divBdr>
        <w:top w:val="none" w:sz="0" w:space="0" w:color="auto"/>
        <w:left w:val="none" w:sz="0" w:space="0" w:color="auto"/>
        <w:bottom w:val="none" w:sz="0" w:space="0" w:color="auto"/>
        <w:right w:val="none" w:sz="0" w:space="0" w:color="auto"/>
      </w:divBdr>
    </w:div>
    <w:div w:id="1094397091">
      <w:bodyDiv w:val="1"/>
      <w:marLeft w:val="0"/>
      <w:marRight w:val="0"/>
      <w:marTop w:val="0"/>
      <w:marBottom w:val="0"/>
      <w:divBdr>
        <w:top w:val="none" w:sz="0" w:space="0" w:color="auto"/>
        <w:left w:val="none" w:sz="0" w:space="0" w:color="auto"/>
        <w:bottom w:val="none" w:sz="0" w:space="0" w:color="auto"/>
        <w:right w:val="none" w:sz="0" w:space="0" w:color="auto"/>
      </w:divBdr>
    </w:div>
    <w:div w:id="1182624681">
      <w:bodyDiv w:val="1"/>
      <w:marLeft w:val="0"/>
      <w:marRight w:val="0"/>
      <w:marTop w:val="0"/>
      <w:marBottom w:val="0"/>
      <w:divBdr>
        <w:top w:val="none" w:sz="0" w:space="0" w:color="auto"/>
        <w:left w:val="none" w:sz="0" w:space="0" w:color="auto"/>
        <w:bottom w:val="none" w:sz="0" w:space="0" w:color="auto"/>
        <w:right w:val="none" w:sz="0" w:space="0" w:color="auto"/>
      </w:divBdr>
    </w:div>
    <w:div w:id="1375500378">
      <w:bodyDiv w:val="1"/>
      <w:marLeft w:val="0"/>
      <w:marRight w:val="0"/>
      <w:marTop w:val="0"/>
      <w:marBottom w:val="0"/>
      <w:divBdr>
        <w:top w:val="none" w:sz="0" w:space="0" w:color="auto"/>
        <w:left w:val="none" w:sz="0" w:space="0" w:color="auto"/>
        <w:bottom w:val="none" w:sz="0" w:space="0" w:color="auto"/>
        <w:right w:val="none" w:sz="0" w:space="0" w:color="auto"/>
      </w:divBdr>
    </w:div>
    <w:div w:id="1667054647">
      <w:bodyDiv w:val="1"/>
      <w:marLeft w:val="0"/>
      <w:marRight w:val="0"/>
      <w:marTop w:val="0"/>
      <w:marBottom w:val="0"/>
      <w:divBdr>
        <w:top w:val="none" w:sz="0" w:space="0" w:color="auto"/>
        <w:left w:val="none" w:sz="0" w:space="0" w:color="auto"/>
        <w:bottom w:val="none" w:sz="0" w:space="0" w:color="auto"/>
        <w:right w:val="none" w:sz="0" w:space="0" w:color="auto"/>
      </w:divBdr>
    </w:div>
    <w:div w:id="1738548051">
      <w:bodyDiv w:val="1"/>
      <w:marLeft w:val="0"/>
      <w:marRight w:val="0"/>
      <w:marTop w:val="0"/>
      <w:marBottom w:val="0"/>
      <w:divBdr>
        <w:top w:val="none" w:sz="0" w:space="0" w:color="auto"/>
        <w:left w:val="none" w:sz="0" w:space="0" w:color="auto"/>
        <w:bottom w:val="none" w:sz="0" w:space="0" w:color="auto"/>
        <w:right w:val="none" w:sz="0" w:space="0" w:color="auto"/>
      </w:divBdr>
    </w:div>
    <w:div w:id="1817607531">
      <w:bodyDiv w:val="1"/>
      <w:marLeft w:val="0"/>
      <w:marRight w:val="0"/>
      <w:marTop w:val="0"/>
      <w:marBottom w:val="0"/>
      <w:divBdr>
        <w:top w:val="none" w:sz="0" w:space="0" w:color="auto"/>
        <w:left w:val="none" w:sz="0" w:space="0" w:color="auto"/>
        <w:bottom w:val="none" w:sz="0" w:space="0" w:color="auto"/>
        <w:right w:val="none" w:sz="0" w:space="0" w:color="auto"/>
      </w:divBdr>
    </w:div>
    <w:div w:id="1854489617">
      <w:bodyDiv w:val="1"/>
      <w:marLeft w:val="0"/>
      <w:marRight w:val="0"/>
      <w:marTop w:val="0"/>
      <w:marBottom w:val="0"/>
      <w:divBdr>
        <w:top w:val="none" w:sz="0" w:space="0" w:color="auto"/>
        <w:left w:val="none" w:sz="0" w:space="0" w:color="auto"/>
        <w:bottom w:val="none" w:sz="0" w:space="0" w:color="auto"/>
        <w:right w:val="none" w:sz="0" w:space="0" w:color="auto"/>
      </w:divBdr>
    </w:div>
    <w:div w:id="1931890963">
      <w:bodyDiv w:val="1"/>
      <w:marLeft w:val="0"/>
      <w:marRight w:val="0"/>
      <w:marTop w:val="0"/>
      <w:marBottom w:val="0"/>
      <w:divBdr>
        <w:top w:val="none" w:sz="0" w:space="0" w:color="auto"/>
        <w:left w:val="none" w:sz="0" w:space="0" w:color="auto"/>
        <w:bottom w:val="none" w:sz="0" w:space="0" w:color="auto"/>
        <w:right w:val="none" w:sz="0" w:space="0" w:color="auto"/>
      </w:divBdr>
    </w:div>
    <w:div w:id="2032030267">
      <w:bodyDiv w:val="1"/>
      <w:marLeft w:val="0"/>
      <w:marRight w:val="0"/>
      <w:marTop w:val="0"/>
      <w:marBottom w:val="0"/>
      <w:divBdr>
        <w:top w:val="none" w:sz="0" w:space="0" w:color="auto"/>
        <w:left w:val="none" w:sz="0" w:space="0" w:color="auto"/>
        <w:bottom w:val="none" w:sz="0" w:space="0" w:color="auto"/>
        <w:right w:val="none" w:sz="0" w:space="0" w:color="auto"/>
      </w:divBdr>
    </w:div>
    <w:div w:id="211192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candinfo@acma.gov.au" TargetMode="External"/><Relationship Id="rId26" Type="http://schemas.openxmlformats.org/officeDocument/2006/relationships/footer" Target="footer5.xml"/><Relationship Id="rId39" Type="http://schemas.openxmlformats.org/officeDocument/2006/relationships/hyperlink" Target="https://www.comlaw.gov.au/Details/F2015L00721"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eader" Target="header8.xm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creativecommons.org/licenses/by/3.0/au/" TargetMode="External"/><Relationship Id="rId25" Type="http://schemas.openxmlformats.org/officeDocument/2006/relationships/footer" Target="footer4.xml"/><Relationship Id="rId33" Type="http://schemas.openxmlformats.org/officeDocument/2006/relationships/header" Target="header7.xml"/><Relationship Id="rId38" Type="http://schemas.openxmlformats.org/officeDocument/2006/relationships/hyperlink" Target="https://www.comlaw.gov.au/Details/F2015L00721"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29" Type="http://schemas.openxmlformats.org/officeDocument/2006/relationships/chart" Target="charts/chart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yperlink" Target="https://www.comlaw.gov.au/Details/F2015L00721" TargetMode="External"/><Relationship Id="rId37" Type="http://schemas.openxmlformats.org/officeDocument/2006/relationships/hyperlink" Target="https://www.comlaw.gov.au/Details/F2015L00721" TargetMode="External"/><Relationship Id="rId40" Type="http://schemas.openxmlformats.org/officeDocument/2006/relationships/hyperlink" Target="https://www.comlaw.gov.au/Details/F2015L00721" TargetMode="External"/><Relationship Id="rId5" Type="http://schemas.openxmlformats.org/officeDocument/2006/relationships/customXml" Target="../customXml/item5.xml"/><Relationship Id="rId15" Type="http://schemas.openxmlformats.org/officeDocument/2006/relationships/hyperlink" Target="http://i.creativecommons.org/l/by/3.0/88x31.png" TargetMode="External"/><Relationship Id="rId23" Type="http://schemas.openxmlformats.org/officeDocument/2006/relationships/header" Target="header5.xml"/><Relationship Id="rId28" Type="http://schemas.openxmlformats.org/officeDocument/2006/relationships/image" Target="media/image4.png"/><Relationship Id="rId36"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chart" Target="charts/chart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chart" Target="charts/chart2.xml"/><Relationship Id="rId35" Type="http://schemas.openxmlformats.org/officeDocument/2006/relationships/footer" Target="footer7.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etsi.org/deliver/etsi_ts/136100_136199/136101/12.09.00_60/ts_136101v120900p.pdf" TargetMode="External"/><Relationship Id="rId13" Type="http://schemas.openxmlformats.org/officeDocument/2006/relationships/hyperlink" Target="http://www.etsi.org/deliver/etsi_ts/136100_136199/136104/12.09.00_60/ts_136104v120900p.pdf" TargetMode="External"/><Relationship Id="rId3" Type="http://schemas.openxmlformats.org/officeDocument/2006/relationships/hyperlink" Target="http://www.etsi.org/deliver/etsi_ts/136100_136199/136104/12.09.00_60/ts_136104v120900p.pdf" TargetMode="External"/><Relationship Id="rId7" Type="http://schemas.openxmlformats.org/officeDocument/2006/relationships/hyperlink" Target="http://www.etsi.org/deliver/etsi_ts/136100_136199/136104/12.09.00_60/ts_136104v120900p.pdf" TargetMode="External"/><Relationship Id="rId12" Type="http://schemas.openxmlformats.org/officeDocument/2006/relationships/hyperlink" Target="http://www.etsi.org/deliver/etsi_ts/136100_136199/136104/12.09.00_60/ts_136104v120900p.pdf" TargetMode="External"/><Relationship Id="rId2" Type="http://schemas.openxmlformats.org/officeDocument/2006/relationships/hyperlink" Target="http://www.etsi.org/deliver/etsi_ts/136100_136199/136104/12.09.00_60/ts_136104v120900p.pdf" TargetMode="External"/><Relationship Id="rId1" Type="http://schemas.openxmlformats.org/officeDocument/2006/relationships/hyperlink" Target="http://www.etsi.org/deliver/etsi_ts/136100_136199/136104/12.09.00_60/ts_136104v120900p.pdf" TargetMode="External"/><Relationship Id="rId6" Type="http://schemas.openxmlformats.org/officeDocument/2006/relationships/hyperlink" Target="http://www.etsi.org/deliver/etsi_ts/136100_136199/136101/12.09.00_60/ts_136101v120900p.pdf" TargetMode="External"/><Relationship Id="rId11" Type="http://schemas.openxmlformats.org/officeDocument/2006/relationships/hyperlink" Target="http://www.acma.gov.au/webwr/_assets/main/lib410188/australian_spectrum_map_grid_28feb2012.pdf" TargetMode="External"/><Relationship Id="rId5" Type="http://schemas.openxmlformats.org/officeDocument/2006/relationships/hyperlink" Target="http://www.etsi.org/deliver/etsi_ts/136100_136199/136101/12.09.00_60/ts_136101v120900p.pdf" TargetMode="External"/><Relationship Id="rId10" Type="http://schemas.openxmlformats.org/officeDocument/2006/relationships/hyperlink" Target="http://www.etsi.org/deliver/etsi_ts/136100_136199/136101/12.09.00_60/ts_136101v120900p.pdf" TargetMode="External"/><Relationship Id="rId4" Type="http://schemas.openxmlformats.org/officeDocument/2006/relationships/hyperlink" Target="http://www.etsi.org/deliver/etsi_ts/136100_136199/136101/12.09.00_60/ts_136101v120900p.pdf" TargetMode="External"/><Relationship Id="rId9" Type="http://schemas.openxmlformats.org/officeDocument/2006/relationships/hyperlink" Target="http://www.etsi.org/deliver/etsi_ts/136100_136199/136104/12.09.00_60/ts_136104v120900p.pdf" TargetMode="External"/><Relationship Id="rId14" Type="http://schemas.openxmlformats.org/officeDocument/2006/relationships/hyperlink" Target="http://www.etsi.org/deliver/etsi_ts/136100_136199/136104/12.09.00_60/ts_136104v120900p.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acact01srvp2\SPT$\Bridget\2%20GHz%20Spectrum%20Licence%20Renewal\New%202%20GHz%20Legislative%20instruments\Antenna%20Gai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ACACT01SRVP2\groupdata$\SPT\DavidG\2GHz%20SL\Instruments\OOB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acact01srvp2\SPT$\DavidG\2GHz%20SL\Instruments\OOBE.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908616662704019"/>
          <c:y val="0.15649789029535865"/>
          <c:w val="0.62315100488105057"/>
          <c:h val="0.65614638360078403"/>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Sheet1!$A$2:$A$55</c:f>
              <c:numCache>
                <c:formatCode>General</c:formatCode>
                <c:ptCount val="54"/>
                <c:pt idx="0">
                  <c:v>0</c:v>
                </c:pt>
                <c:pt idx="1">
                  <c:v>2</c:v>
                </c:pt>
                <c:pt idx="2">
                  <c:v>2.2000000000000002</c:v>
                </c:pt>
                <c:pt idx="3">
                  <c:v>7.7</c:v>
                </c:pt>
                <c:pt idx="4">
                  <c:v>8</c:v>
                </c:pt>
                <c:pt idx="5">
                  <c:v>8.1999999999999993</c:v>
                </c:pt>
                <c:pt idx="6">
                  <c:v>9</c:v>
                </c:pt>
                <c:pt idx="7">
                  <c:v>10</c:v>
                </c:pt>
                <c:pt idx="8">
                  <c:v>10.6</c:v>
                </c:pt>
                <c:pt idx="9">
                  <c:v>11</c:v>
                </c:pt>
                <c:pt idx="10">
                  <c:v>11.2</c:v>
                </c:pt>
                <c:pt idx="11">
                  <c:v>12</c:v>
                </c:pt>
                <c:pt idx="12">
                  <c:v>13.6</c:v>
                </c:pt>
                <c:pt idx="13">
                  <c:v>14</c:v>
                </c:pt>
                <c:pt idx="14">
                  <c:v>14.5</c:v>
                </c:pt>
                <c:pt idx="15">
                  <c:v>15</c:v>
                </c:pt>
                <c:pt idx="16">
                  <c:v>15.1</c:v>
                </c:pt>
                <c:pt idx="17">
                  <c:v>15.2</c:v>
                </c:pt>
                <c:pt idx="18">
                  <c:v>15.3</c:v>
                </c:pt>
                <c:pt idx="19">
                  <c:v>15.5</c:v>
                </c:pt>
                <c:pt idx="20">
                  <c:v>15.9</c:v>
                </c:pt>
                <c:pt idx="21">
                  <c:v>16</c:v>
                </c:pt>
                <c:pt idx="22">
                  <c:v>16.2</c:v>
                </c:pt>
                <c:pt idx="23">
                  <c:v>16.3</c:v>
                </c:pt>
                <c:pt idx="24">
                  <c:v>16.5</c:v>
                </c:pt>
                <c:pt idx="25">
                  <c:v>16.7</c:v>
                </c:pt>
                <c:pt idx="26">
                  <c:v>16.8</c:v>
                </c:pt>
                <c:pt idx="27">
                  <c:v>16.899999999999999</c:v>
                </c:pt>
                <c:pt idx="28">
                  <c:v>17</c:v>
                </c:pt>
                <c:pt idx="29">
                  <c:v>17.2</c:v>
                </c:pt>
                <c:pt idx="30">
                  <c:v>17.3</c:v>
                </c:pt>
                <c:pt idx="31">
                  <c:v>17.5</c:v>
                </c:pt>
                <c:pt idx="32">
                  <c:v>17.600000000000001</c:v>
                </c:pt>
                <c:pt idx="33">
                  <c:v>17.7</c:v>
                </c:pt>
                <c:pt idx="34">
                  <c:v>17.8</c:v>
                </c:pt>
                <c:pt idx="35">
                  <c:v>17.899999999999999</c:v>
                </c:pt>
                <c:pt idx="36">
                  <c:v>18</c:v>
                </c:pt>
                <c:pt idx="37">
                  <c:v>18.100000000000001</c:v>
                </c:pt>
                <c:pt idx="38">
                  <c:v>18.2</c:v>
                </c:pt>
                <c:pt idx="39">
                  <c:v>18.3</c:v>
                </c:pt>
                <c:pt idx="40">
                  <c:v>18.5</c:v>
                </c:pt>
                <c:pt idx="41">
                  <c:v>18.899999999999999</c:v>
                </c:pt>
                <c:pt idx="42">
                  <c:v>19</c:v>
                </c:pt>
                <c:pt idx="43">
                  <c:v>19.2</c:v>
                </c:pt>
                <c:pt idx="44">
                  <c:v>19.5</c:v>
                </c:pt>
                <c:pt idx="45">
                  <c:v>19.600000000000001</c:v>
                </c:pt>
                <c:pt idx="46">
                  <c:v>19.899999999999999</c:v>
                </c:pt>
                <c:pt idx="47">
                  <c:v>20</c:v>
                </c:pt>
                <c:pt idx="48">
                  <c:v>20.5</c:v>
                </c:pt>
                <c:pt idx="49">
                  <c:v>20.6</c:v>
                </c:pt>
                <c:pt idx="50">
                  <c:v>20.7</c:v>
                </c:pt>
                <c:pt idx="51">
                  <c:v>21</c:v>
                </c:pt>
                <c:pt idx="52">
                  <c:v>23</c:v>
                </c:pt>
                <c:pt idx="53">
                  <c:v>23.8</c:v>
                </c:pt>
              </c:numCache>
            </c:numRef>
          </c:xVal>
          <c:yVal>
            <c:numRef>
              <c:f>Sheet1!$D$2:$D$55</c:f>
              <c:numCache>
                <c:formatCode>General</c:formatCode>
                <c:ptCount val="54"/>
                <c:pt idx="0">
                  <c:v>228</c:v>
                </c:pt>
                <c:pt idx="1">
                  <c:v>325</c:v>
                </c:pt>
                <c:pt idx="2">
                  <c:v>337</c:v>
                </c:pt>
                <c:pt idx="3">
                  <c:v>343</c:v>
                </c:pt>
                <c:pt idx="4">
                  <c:v>346</c:v>
                </c:pt>
                <c:pt idx="5">
                  <c:v>348</c:v>
                </c:pt>
                <c:pt idx="6">
                  <c:v>357</c:v>
                </c:pt>
                <c:pt idx="7">
                  <c:v>366</c:v>
                </c:pt>
                <c:pt idx="8">
                  <c:v>368</c:v>
                </c:pt>
                <c:pt idx="9">
                  <c:v>383</c:v>
                </c:pt>
                <c:pt idx="10">
                  <c:v>391</c:v>
                </c:pt>
                <c:pt idx="11">
                  <c:v>438</c:v>
                </c:pt>
                <c:pt idx="12">
                  <c:v>608</c:v>
                </c:pt>
                <c:pt idx="13">
                  <c:v>642</c:v>
                </c:pt>
                <c:pt idx="14">
                  <c:v>717</c:v>
                </c:pt>
                <c:pt idx="15">
                  <c:v>748</c:v>
                </c:pt>
                <c:pt idx="16">
                  <c:v>1126</c:v>
                </c:pt>
                <c:pt idx="17">
                  <c:v>1261</c:v>
                </c:pt>
                <c:pt idx="18">
                  <c:v>1263</c:v>
                </c:pt>
                <c:pt idx="19">
                  <c:v>1319</c:v>
                </c:pt>
                <c:pt idx="20">
                  <c:v>1614</c:v>
                </c:pt>
                <c:pt idx="21">
                  <c:v>1702</c:v>
                </c:pt>
                <c:pt idx="22">
                  <c:v>2286</c:v>
                </c:pt>
                <c:pt idx="23">
                  <c:v>2290</c:v>
                </c:pt>
                <c:pt idx="24">
                  <c:v>3598</c:v>
                </c:pt>
                <c:pt idx="25">
                  <c:v>3781</c:v>
                </c:pt>
                <c:pt idx="26">
                  <c:v>4116</c:v>
                </c:pt>
                <c:pt idx="27">
                  <c:v>4151</c:v>
                </c:pt>
                <c:pt idx="28">
                  <c:v>7451</c:v>
                </c:pt>
                <c:pt idx="29">
                  <c:v>20942</c:v>
                </c:pt>
                <c:pt idx="30">
                  <c:v>20962</c:v>
                </c:pt>
                <c:pt idx="31">
                  <c:v>36592</c:v>
                </c:pt>
                <c:pt idx="32">
                  <c:v>36680</c:v>
                </c:pt>
                <c:pt idx="33">
                  <c:v>36695</c:v>
                </c:pt>
                <c:pt idx="34">
                  <c:v>37973</c:v>
                </c:pt>
                <c:pt idx="35">
                  <c:v>38015</c:v>
                </c:pt>
                <c:pt idx="36">
                  <c:v>62677</c:v>
                </c:pt>
                <c:pt idx="37">
                  <c:v>62687</c:v>
                </c:pt>
                <c:pt idx="38">
                  <c:v>66013</c:v>
                </c:pt>
                <c:pt idx="39">
                  <c:v>66809</c:v>
                </c:pt>
                <c:pt idx="40">
                  <c:v>74467</c:v>
                </c:pt>
                <c:pt idx="41">
                  <c:v>79141</c:v>
                </c:pt>
                <c:pt idx="42">
                  <c:v>83026</c:v>
                </c:pt>
                <c:pt idx="43">
                  <c:v>85159</c:v>
                </c:pt>
                <c:pt idx="44">
                  <c:v>98984</c:v>
                </c:pt>
                <c:pt idx="45">
                  <c:v>98995</c:v>
                </c:pt>
                <c:pt idx="46">
                  <c:v>99033</c:v>
                </c:pt>
                <c:pt idx="47">
                  <c:v>100957</c:v>
                </c:pt>
                <c:pt idx="48">
                  <c:v>100983</c:v>
                </c:pt>
                <c:pt idx="49">
                  <c:v>100997</c:v>
                </c:pt>
                <c:pt idx="50">
                  <c:v>101010</c:v>
                </c:pt>
                <c:pt idx="51">
                  <c:v>101050</c:v>
                </c:pt>
                <c:pt idx="52">
                  <c:v>101066</c:v>
                </c:pt>
                <c:pt idx="53">
                  <c:v>101101</c:v>
                </c:pt>
              </c:numCache>
            </c:numRef>
          </c:yVal>
          <c:smooth val="0"/>
        </c:ser>
        <c:ser>
          <c:idx val="1"/>
          <c:order val="1"/>
          <c:tx>
            <c:v>19 dBi (82nd percentile)</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Sheet1!$H$2:$H$3</c:f>
              <c:numCache>
                <c:formatCode>General</c:formatCode>
                <c:ptCount val="2"/>
                <c:pt idx="0">
                  <c:v>19</c:v>
                </c:pt>
                <c:pt idx="1">
                  <c:v>19</c:v>
                </c:pt>
              </c:numCache>
            </c:numRef>
          </c:xVal>
          <c:yVal>
            <c:numRef>
              <c:f>Sheet1!$I$2:$I$3</c:f>
              <c:numCache>
                <c:formatCode>General</c:formatCode>
                <c:ptCount val="2"/>
                <c:pt idx="0">
                  <c:v>0</c:v>
                </c:pt>
                <c:pt idx="1">
                  <c:v>101101</c:v>
                </c:pt>
              </c:numCache>
            </c:numRef>
          </c:yVal>
          <c:smooth val="0"/>
        </c:ser>
        <c:dLbls>
          <c:showLegendKey val="0"/>
          <c:showVal val="0"/>
          <c:showCatName val="0"/>
          <c:showSerName val="0"/>
          <c:showPercent val="0"/>
          <c:showBubbleSize val="0"/>
        </c:dLbls>
        <c:axId val="144943400"/>
        <c:axId val="144943008"/>
      </c:scatterChart>
      <c:valAx>
        <c:axId val="14494340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Antenna gain (dBi)</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4943008"/>
        <c:crosses val="autoZero"/>
        <c:crossBetween val="midCat"/>
      </c:valAx>
      <c:valAx>
        <c:axId val="144943008"/>
        <c:scaling>
          <c:orientation val="minMax"/>
          <c:max val="102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Number</a:t>
                </a:r>
                <a:r>
                  <a:rPr lang="en-AU" baseline="0"/>
                  <a:t> of device registrations </a:t>
                </a:r>
              </a:p>
              <a:p>
                <a:pPr>
                  <a:defRPr/>
                </a:pPr>
                <a:r>
                  <a:rPr lang="en-AU" baseline="0"/>
                  <a:t>(2110–2170 MHz)</a:t>
                </a:r>
                <a:endParaRPr lang="en-AU"/>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4943400"/>
        <c:crosses val="autoZero"/>
        <c:crossBetween val="midCat"/>
      </c:valAx>
      <c:spPr>
        <a:noFill/>
        <a:ln>
          <a:noFill/>
        </a:ln>
        <a:effectLst/>
      </c:spPr>
    </c:plotArea>
    <c:legend>
      <c:legendPos val="r"/>
      <c:legendEntry>
        <c:idx val="0"/>
        <c:delete val="1"/>
      </c:legendEntry>
      <c:layout>
        <c:manualLayout>
          <c:xMode val="edge"/>
          <c:yMode val="edge"/>
          <c:x val="0.80593166529139448"/>
          <c:y val="0.51944051297385296"/>
          <c:w val="0.17985874323436032"/>
          <c:h val="0.1387135785242034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Unwanted</a:t>
            </a:r>
            <a:r>
              <a:rPr lang="en-AU" baseline="0"/>
              <a:t> emission limits - Tx in 2110-2170 MHz</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OOBE!$C$1</c:f>
              <c:strCache>
                <c:ptCount val="1"/>
                <c:pt idx="0">
                  <c:v>proposed 2110-2170 MHz limit</c:v>
                </c:pt>
              </c:strCache>
            </c:strRef>
          </c:tx>
          <c:spPr>
            <a:ln w="19050" cap="rnd">
              <a:solidFill>
                <a:schemeClr val="accent1"/>
              </a:solidFill>
              <a:round/>
            </a:ln>
            <a:effectLst/>
          </c:spPr>
          <c:marker>
            <c:symbol val="none"/>
          </c:marker>
          <c:xVal>
            <c:numRef>
              <c:f>OOBE!$B$2:$B$16</c:f>
              <c:numCache>
                <c:formatCode>General</c:formatCode>
                <c:ptCount val="15"/>
                <c:pt idx="0">
                  <c:v>0</c:v>
                </c:pt>
                <c:pt idx="1">
                  <c:v>0.2</c:v>
                </c:pt>
                <c:pt idx="2">
                  <c:v>0.2</c:v>
                </c:pt>
                <c:pt idx="3">
                  <c:v>0.75</c:v>
                </c:pt>
                <c:pt idx="4">
                  <c:v>0.75</c:v>
                </c:pt>
                <c:pt idx="5">
                  <c:v>1</c:v>
                </c:pt>
                <c:pt idx="6">
                  <c:v>1</c:v>
                </c:pt>
                <c:pt idx="7">
                  <c:v>4</c:v>
                </c:pt>
                <c:pt idx="8">
                  <c:v>4</c:v>
                </c:pt>
                <c:pt idx="9">
                  <c:v>5</c:v>
                </c:pt>
                <c:pt idx="10">
                  <c:v>5</c:v>
                </c:pt>
                <c:pt idx="11">
                  <c:v>10</c:v>
                </c:pt>
                <c:pt idx="12">
                  <c:v>10</c:v>
                </c:pt>
                <c:pt idx="13">
                  <c:v>20</c:v>
                </c:pt>
                <c:pt idx="14">
                  <c:v>25</c:v>
                </c:pt>
              </c:numCache>
            </c:numRef>
          </c:xVal>
          <c:yVal>
            <c:numRef>
              <c:f>OOBE!$C$2:$C$16</c:f>
              <c:numCache>
                <c:formatCode>General</c:formatCode>
                <c:ptCount val="15"/>
                <c:pt idx="0">
                  <c:v>21</c:v>
                </c:pt>
                <c:pt idx="1">
                  <c:v>20.72</c:v>
                </c:pt>
                <c:pt idx="2">
                  <c:v>20.72</c:v>
                </c:pt>
                <c:pt idx="3">
                  <c:v>19.95</c:v>
                </c:pt>
                <c:pt idx="4">
                  <c:v>19.95</c:v>
                </c:pt>
                <c:pt idx="5">
                  <c:v>19.600000000000001</c:v>
                </c:pt>
                <c:pt idx="6">
                  <c:v>19.600000000000001</c:v>
                </c:pt>
                <c:pt idx="7">
                  <c:v>15.4</c:v>
                </c:pt>
                <c:pt idx="8">
                  <c:v>15.4</c:v>
                </c:pt>
                <c:pt idx="9">
                  <c:v>14</c:v>
                </c:pt>
                <c:pt idx="10">
                  <c:v>14</c:v>
                </c:pt>
                <c:pt idx="11">
                  <c:v>14</c:v>
                </c:pt>
                <c:pt idx="12">
                  <c:v>3</c:v>
                </c:pt>
                <c:pt idx="13">
                  <c:v>3</c:v>
                </c:pt>
                <c:pt idx="14">
                  <c:v>3</c:v>
                </c:pt>
              </c:numCache>
            </c:numRef>
          </c:yVal>
          <c:smooth val="0"/>
        </c:ser>
        <c:ser>
          <c:idx val="2"/>
          <c:order val="1"/>
          <c:tx>
            <c:strRef>
              <c:f>OOBE!$E$1</c:f>
              <c:strCache>
                <c:ptCount val="1"/>
                <c:pt idx="0">
                  <c:v>Current upper band limit</c:v>
                </c:pt>
              </c:strCache>
            </c:strRef>
          </c:tx>
          <c:spPr>
            <a:ln w="19050" cap="rnd">
              <a:solidFill>
                <a:schemeClr val="accent3"/>
              </a:solidFill>
              <a:round/>
            </a:ln>
            <a:effectLst/>
          </c:spPr>
          <c:marker>
            <c:symbol val="none"/>
          </c:marker>
          <c:xVal>
            <c:numRef>
              <c:f>OOBE!$B$2:$B$16</c:f>
              <c:numCache>
                <c:formatCode>General</c:formatCode>
                <c:ptCount val="15"/>
                <c:pt idx="0">
                  <c:v>0</c:v>
                </c:pt>
                <c:pt idx="1">
                  <c:v>0.2</c:v>
                </c:pt>
                <c:pt idx="2">
                  <c:v>0.2</c:v>
                </c:pt>
                <c:pt idx="3">
                  <c:v>0.75</c:v>
                </c:pt>
                <c:pt idx="4">
                  <c:v>0.75</c:v>
                </c:pt>
                <c:pt idx="5">
                  <c:v>1</c:v>
                </c:pt>
                <c:pt idx="6">
                  <c:v>1</c:v>
                </c:pt>
                <c:pt idx="7">
                  <c:v>4</c:v>
                </c:pt>
                <c:pt idx="8">
                  <c:v>4</c:v>
                </c:pt>
                <c:pt idx="9">
                  <c:v>5</c:v>
                </c:pt>
                <c:pt idx="10">
                  <c:v>5</c:v>
                </c:pt>
                <c:pt idx="11">
                  <c:v>10</c:v>
                </c:pt>
                <c:pt idx="12">
                  <c:v>10</c:v>
                </c:pt>
                <c:pt idx="13">
                  <c:v>20</c:v>
                </c:pt>
                <c:pt idx="14">
                  <c:v>25</c:v>
                </c:pt>
              </c:numCache>
            </c:numRef>
          </c:xVal>
          <c:yVal>
            <c:numRef>
              <c:f>OOBE!$E$2:$E$16</c:f>
              <c:numCache>
                <c:formatCode>General</c:formatCode>
                <c:ptCount val="15"/>
                <c:pt idx="0">
                  <c:v>27</c:v>
                </c:pt>
                <c:pt idx="1">
                  <c:v>27</c:v>
                </c:pt>
                <c:pt idx="2">
                  <c:v>27</c:v>
                </c:pt>
                <c:pt idx="3">
                  <c:v>27</c:v>
                </c:pt>
                <c:pt idx="4">
                  <c:v>17</c:v>
                </c:pt>
                <c:pt idx="5">
                  <c:v>17</c:v>
                </c:pt>
                <c:pt idx="6">
                  <c:v>6</c:v>
                </c:pt>
                <c:pt idx="7">
                  <c:v>6</c:v>
                </c:pt>
                <c:pt idx="8">
                  <c:v>6</c:v>
                </c:pt>
                <c:pt idx="9">
                  <c:v>6</c:v>
                </c:pt>
                <c:pt idx="10">
                  <c:v>-1</c:v>
                </c:pt>
                <c:pt idx="11">
                  <c:v>-1</c:v>
                </c:pt>
                <c:pt idx="12">
                  <c:v>-1</c:v>
                </c:pt>
                <c:pt idx="13">
                  <c:v>-1</c:v>
                </c:pt>
                <c:pt idx="14">
                  <c:v>-1</c:v>
                </c:pt>
              </c:numCache>
            </c:numRef>
          </c:yVal>
          <c:smooth val="0"/>
        </c:ser>
        <c:ser>
          <c:idx val="3"/>
          <c:order val="2"/>
          <c:tx>
            <c:strRef>
              <c:f>OOBE!$F$1</c:f>
              <c:strCache>
                <c:ptCount val="1"/>
                <c:pt idx="0">
                  <c:v>proposed 2110 MHz edge limit</c:v>
                </c:pt>
              </c:strCache>
            </c:strRef>
          </c:tx>
          <c:spPr>
            <a:ln w="19050" cap="rnd">
              <a:solidFill>
                <a:schemeClr val="tx1"/>
              </a:solidFill>
              <a:prstDash val="dash"/>
              <a:round/>
            </a:ln>
            <a:effectLst/>
          </c:spPr>
          <c:marker>
            <c:symbol val="none"/>
          </c:marker>
          <c:xVal>
            <c:numRef>
              <c:f>OOBE!$B$2:$B$16</c:f>
              <c:numCache>
                <c:formatCode>General</c:formatCode>
                <c:ptCount val="15"/>
                <c:pt idx="0">
                  <c:v>0</c:v>
                </c:pt>
                <c:pt idx="1">
                  <c:v>0.2</c:v>
                </c:pt>
                <c:pt idx="2">
                  <c:v>0.2</c:v>
                </c:pt>
                <c:pt idx="3">
                  <c:v>0.75</c:v>
                </c:pt>
                <c:pt idx="4">
                  <c:v>0.75</c:v>
                </c:pt>
                <c:pt idx="5">
                  <c:v>1</c:v>
                </c:pt>
                <c:pt idx="6">
                  <c:v>1</c:v>
                </c:pt>
                <c:pt idx="7">
                  <c:v>4</c:v>
                </c:pt>
                <c:pt idx="8">
                  <c:v>4</c:v>
                </c:pt>
                <c:pt idx="9">
                  <c:v>5</c:v>
                </c:pt>
                <c:pt idx="10">
                  <c:v>5</c:v>
                </c:pt>
                <c:pt idx="11">
                  <c:v>10</c:v>
                </c:pt>
                <c:pt idx="12">
                  <c:v>10</c:v>
                </c:pt>
                <c:pt idx="13">
                  <c:v>20</c:v>
                </c:pt>
                <c:pt idx="14">
                  <c:v>25</c:v>
                </c:pt>
              </c:numCache>
            </c:numRef>
          </c:xVal>
          <c:yVal>
            <c:numRef>
              <c:f>OOBE!$F$2:$F$16</c:f>
              <c:numCache>
                <c:formatCode>General</c:formatCode>
                <c:ptCount val="15"/>
                <c:pt idx="0">
                  <c:v>21</c:v>
                </c:pt>
                <c:pt idx="1">
                  <c:v>20.72</c:v>
                </c:pt>
                <c:pt idx="2">
                  <c:v>20.72</c:v>
                </c:pt>
                <c:pt idx="3">
                  <c:v>19.95</c:v>
                </c:pt>
                <c:pt idx="4">
                  <c:v>19.95</c:v>
                </c:pt>
                <c:pt idx="5">
                  <c:v>19.600000000000001</c:v>
                </c:pt>
                <c:pt idx="6">
                  <c:v>19.600000000000001</c:v>
                </c:pt>
                <c:pt idx="7">
                  <c:v>15.4</c:v>
                </c:pt>
                <c:pt idx="8">
                  <c:v>6</c:v>
                </c:pt>
                <c:pt idx="9">
                  <c:v>6</c:v>
                </c:pt>
                <c:pt idx="10">
                  <c:v>-1</c:v>
                </c:pt>
                <c:pt idx="11">
                  <c:v>-1</c:v>
                </c:pt>
                <c:pt idx="12">
                  <c:v>-12</c:v>
                </c:pt>
                <c:pt idx="13">
                  <c:v>-12</c:v>
                </c:pt>
                <c:pt idx="14">
                  <c:v>-12</c:v>
                </c:pt>
              </c:numCache>
            </c:numRef>
          </c:yVal>
          <c:smooth val="0"/>
        </c:ser>
        <c:ser>
          <c:idx val="4"/>
          <c:order val="3"/>
          <c:tx>
            <c:strRef>
              <c:f>OOBE!$G$1</c:f>
              <c:strCache>
                <c:ptCount val="1"/>
                <c:pt idx="0">
                  <c:v>proposed 2170 MHz edge limit</c:v>
                </c:pt>
              </c:strCache>
            </c:strRef>
          </c:tx>
          <c:spPr>
            <a:ln w="19050" cap="rnd">
              <a:solidFill>
                <a:srgbClr val="FF0000"/>
              </a:solidFill>
              <a:prstDash val="sysDash"/>
              <a:round/>
            </a:ln>
            <a:effectLst/>
          </c:spPr>
          <c:marker>
            <c:symbol val="none"/>
          </c:marker>
          <c:xVal>
            <c:numRef>
              <c:f>OOBE!$B$2:$B$16</c:f>
              <c:numCache>
                <c:formatCode>General</c:formatCode>
                <c:ptCount val="15"/>
                <c:pt idx="0">
                  <c:v>0</c:v>
                </c:pt>
                <c:pt idx="1">
                  <c:v>0.2</c:v>
                </c:pt>
                <c:pt idx="2">
                  <c:v>0.2</c:v>
                </c:pt>
                <c:pt idx="3">
                  <c:v>0.75</c:v>
                </c:pt>
                <c:pt idx="4">
                  <c:v>0.75</c:v>
                </c:pt>
                <c:pt idx="5">
                  <c:v>1</c:v>
                </c:pt>
                <c:pt idx="6">
                  <c:v>1</c:v>
                </c:pt>
                <c:pt idx="7">
                  <c:v>4</c:v>
                </c:pt>
                <c:pt idx="8">
                  <c:v>4</c:v>
                </c:pt>
                <c:pt idx="9">
                  <c:v>5</c:v>
                </c:pt>
                <c:pt idx="10">
                  <c:v>5</c:v>
                </c:pt>
                <c:pt idx="11">
                  <c:v>10</c:v>
                </c:pt>
                <c:pt idx="12">
                  <c:v>10</c:v>
                </c:pt>
                <c:pt idx="13">
                  <c:v>20</c:v>
                </c:pt>
                <c:pt idx="14">
                  <c:v>25</c:v>
                </c:pt>
              </c:numCache>
            </c:numRef>
          </c:xVal>
          <c:yVal>
            <c:numRef>
              <c:f>OOBE!$G$2:$G$16</c:f>
              <c:numCache>
                <c:formatCode>General</c:formatCode>
                <c:ptCount val="15"/>
                <c:pt idx="0">
                  <c:v>21</c:v>
                </c:pt>
                <c:pt idx="1">
                  <c:v>20.72</c:v>
                </c:pt>
                <c:pt idx="2">
                  <c:v>20.72</c:v>
                </c:pt>
                <c:pt idx="3">
                  <c:v>19.95</c:v>
                </c:pt>
                <c:pt idx="4">
                  <c:v>19.95</c:v>
                </c:pt>
                <c:pt idx="5">
                  <c:v>19.600000000000001</c:v>
                </c:pt>
                <c:pt idx="6">
                  <c:v>19.600000000000001</c:v>
                </c:pt>
                <c:pt idx="7">
                  <c:v>15.4</c:v>
                </c:pt>
                <c:pt idx="8">
                  <c:v>15.4</c:v>
                </c:pt>
                <c:pt idx="9">
                  <c:v>14</c:v>
                </c:pt>
                <c:pt idx="10">
                  <c:v>14</c:v>
                </c:pt>
                <c:pt idx="11">
                  <c:v>14</c:v>
                </c:pt>
                <c:pt idx="12">
                  <c:v>-12</c:v>
                </c:pt>
                <c:pt idx="13">
                  <c:v>-12</c:v>
                </c:pt>
                <c:pt idx="14">
                  <c:v>-12</c:v>
                </c:pt>
              </c:numCache>
            </c:numRef>
          </c:yVal>
          <c:smooth val="0"/>
        </c:ser>
        <c:dLbls>
          <c:showLegendKey val="0"/>
          <c:showVal val="0"/>
          <c:showCatName val="0"/>
          <c:showSerName val="0"/>
          <c:showPercent val="0"/>
          <c:showBubbleSize val="0"/>
        </c:dLbls>
        <c:axId val="144942224"/>
        <c:axId val="148302688"/>
      </c:scatterChart>
      <c:valAx>
        <c:axId val="144942224"/>
        <c:scaling>
          <c:orientation val="minMax"/>
          <c:max val="1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Frequency Offset (MHz)</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8302688"/>
        <c:crossesAt val="-15"/>
        <c:crossBetween val="midCat"/>
        <c:majorUnit val="1"/>
      </c:valAx>
      <c:valAx>
        <c:axId val="148302688"/>
        <c:scaling>
          <c:orientation val="minMax"/>
          <c:min val="-1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Radiated True Mean Power </a:t>
                </a:r>
              </a:p>
              <a:p>
                <a:pPr>
                  <a:defRPr/>
                </a:pPr>
                <a:r>
                  <a:rPr lang="en-US"/>
                  <a:t>(dBm/MHz )</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4942224"/>
        <c:crosses val="autoZero"/>
        <c:crossBetween val="midCat"/>
        <c:majorUnit val="5"/>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Unwanted</a:t>
            </a:r>
            <a:r>
              <a:rPr lang="en-AU" baseline="0"/>
              <a:t> emission limits - Tx in 1920-1980 MHz</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4"/>
          <c:order val="0"/>
          <c:tx>
            <c:strRef>
              <c:f>Sheet1!$P$1</c:f>
              <c:strCache>
                <c:ptCount val="1"/>
                <c:pt idx="0">
                  <c:v>Current Lower Band Limit</c:v>
                </c:pt>
              </c:strCache>
            </c:strRef>
          </c:tx>
          <c:spPr>
            <a:ln w="19050" cap="rnd">
              <a:solidFill>
                <a:srgbClr val="FF0000"/>
              </a:solidFill>
              <a:round/>
            </a:ln>
            <a:effectLst/>
          </c:spPr>
          <c:marker>
            <c:symbol val="none"/>
          </c:marker>
          <c:xVal>
            <c:numRef>
              <c:f>Sheet1!$J$2:$J$20</c:f>
              <c:numCache>
                <c:formatCode>General</c:formatCode>
                <c:ptCount val="19"/>
                <c:pt idx="0">
                  <c:v>0</c:v>
                </c:pt>
                <c:pt idx="1">
                  <c:v>0.75</c:v>
                </c:pt>
                <c:pt idx="2">
                  <c:v>0.75</c:v>
                </c:pt>
                <c:pt idx="3">
                  <c:v>1</c:v>
                </c:pt>
                <c:pt idx="4">
                  <c:v>1</c:v>
                </c:pt>
                <c:pt idx="5">
                  <c:v>5</c:v>
                </c:pt>
                <c:pt idx="6">
                  <c:v>5</c:v>
                </c:pt>
                <c:pt idx="7">
                  <c:v>6</c:v>
                </c:pt>
                <c:pt idx="8">
                  <c:v>9</c:v>
                </c:pt>
                <c:pt idx="9">
                  <c:v>9</c:v>
                </c:pt>
                <c:pt idx="10">
                  <c:v>20</c:v>
                </c:pt>
                <c:pt idx="11">
                  <c:v>20</c:v>
                </c:pt>
                <c:pt idx="12">
                  <c:v>25</c:v>
                </c:pt>
                <c:pt idx="13">
                  <c:v>25</c:v>
                </c:pt>
                <c:pt idx="14">
                  <c:v>39.799999999999997</c:v>
                </c:pt>
                <c:pt idx="15">
                  <c:v>39.799999999999997</c:v>
                </c:pt>
                <c:pt idx="16">
                  <c:v>45</c:v>
                </c:pt>
                <c:pt idx="17">
                  <c:v>45</c:v>
                </c:pt>
                <c:pt idx="18">
                  <c:v>50</c:v>
                </c:pt>
              </c:numCache>
            </c:numRef>
          </c:xVal>
          <c:yVal>
            <c:numRef>
              <c:f>Sheet1!$P$2:$P$20</c:f>
              <c:numCache>
                <c:formatCode>General</c:formatCode>
                <c:ptCount val="19"/>
                <c:pt idx="0">
                  <c:v>27</c:v>
                </c:pt>
                <c:pt idx="1">
                  <c:v>27</c:v>
                </c:pt>
                <c:pt idx="2">
                  <c:v>17</c:v>
                </c:pt>
                <c:pt idx="3">
                  <c:v>17</c:v>
                </c:pt>
                <c:pt idx="4">
                  <c:v>6</c:v>
                </c:pt>
                <c:pt idx="5">
                  <c:v>6</c:v>
                </c:pt>
                <c:pt idx="6">
                  <c:v>-1</c:v>
                </c:pt>
                <c:pt idx="7">
                  <c:v>-1</c:v>
                </c:pt>
                <c:pt idx="8">
                  <c:v>-1</c:v>
                </c:pt>
                <c:pt idx="9">
                  <c:v>-1</c:v>
                </c:pt>
                <c:pt idx="10">
                  <c:v>-1</c:v>
                </c:pt>
                <c:pt idx="11">
                  <c:v>-1</c:v>
                </c:pt>
                <c:pt idx="12">
                  <c:v>-1</c:v>
                </c:pt>
                <c:pt idx="13">
                  <c:v>-1</c:v>
                </c:pt>
                <c:pt idx="14">
                  <c:v>-1</c:v>
                </c:pt>
                <c:pt idx="15">
                  <c:v>-1</c:v>
                </c:pt>
                <c:pt idx="16">
                  <c:v>-1</c:v>
                </c:pt>
                <c:pt idx="17">
                  <c:v>-1</c:v>
                </c:pt>
                <c:pt idx="18">
                  <c:v>-1</c:v>
                </c:pt>
              </c:numCache>
            </c:numRef>
          </c:yVal>
          <c:smooth val="0"/>
        </c:ser>
        <c:ser>
          <c:idx val="6"/>
          <c:order val="1"/>
          <c:tx>
            <c:strRef>
              <c:f>Sheet1!$R$1</c:f>
              <c:strCache>
                <c:ptCount val="1"/>
                <c:pt idx="0">
                  <c:v>Proposed 1875-2025 MHz limit</c:v>
                </c:pt>
              </c:strCache>
            </c:strRef>
          </c:tx>
          <c:spPr>
            <a:ln w="19050" cap="rnd">
              <a:solidFill>
                <a:srgbClr val="00B050"/>
              </a:solidFill>
              <a:prstDash val="sysDash"/>
              <a:round/>
            </a:ln>
            <a:effectLst/>
          </c:spPr>
          <c:marker>
            <c:symbol val="none"/>
          </c:marker>
          <c:xVal>
            <c:numRef>
              <c:f>Sheet1!$J$2:$J$20</c:f>
              <c:numCache>
                <c:formatCode>General</c:formatCode>
                <c:ptCount val="19"/>
                <c:pt idx="0">
                  <c:v>0</c:v>
                </c:pt>
                <c:pt idx="1">
                  <c:v>0.75</c:v>
                </c:pt>
                <c:pt idx="2">
                  <c:v>0.75</c:v>
                </c:pt>
                <c:pt idx="3">
                  <c:v>1</c:v>
                </c:pt>
                <c:pt idx="4">
                  <c:v>1</c:v>
                </c:pt>
                <c:pt idx="5">
                  <c:v>5</c:v>
                </c:pt>
                <c:pt idx="6">
                  <c:v>5</c:v>
                </c:pt>
                <c:pt idx="7">
                  <c:v>6</c:v>
                </c:pt>
                <c:pt idx="8">
                  <c:v>9</c:v>
                </c:pt>
                <c:pt idx="9">
                  <c:v>9</c:v>
                </c:pt>
                <c:pt idx="10">
                  <c:v>20</c:v>
                </c:pt>
                <c:pt idx="11">
                  <c:v>20</c:v>
                </c:pt>
                <c:pt idx="12">
                  <c:v>25</c:v>
                </c:pt>
                <c:pt idx="13">
                  <c:v>25</c:v>
                </c:pt>
                <c:pt idx="14">
                  <c:v>39.799999999999997</c:v>
                </c:pt>
                <c:pt idx="15">
                  <c:v>39.799999999999997</c:v>
                </c:pt>
                <c:pt idx="16">
                  <c:v>45</c:v>
                </c:pt>
                <c:pt idx="17">
                  <c:v>45</c:v>
                </c:pt>
                <c:pt idx="18">
                  <c:v>50</c:v>
                </c:pt>
              </c:numCache>
            </c:numRef>
          </c:xVal>
          <c:yVal>
            <c:numRef>
              <c:f>Sheet1!$R$2:$R$20</c:f>
              <c:numCache>
                <c:formatCode>General</c:formatCode>
                <c:ptCount val="19"/>
                <c:pt idx="0">
                  <c:v>-9</c:v>
                </c:pt>
                <c:pt idx="1">
                  <c:v>-9</c:v>
                </c:pt>
                <c:pt idx="2">
                  <c:v>-9</c:v>
                </c:pt>
                <c:pt idx="3">
                  <c:v>-9</c:v>
                </c:pt>
                <c:pt idx="4">
                  <c:v>-10</c:v>
                </c:pt>
                <c:pt idx="5">
                  <c:v>-10</c:v>
                </c:pt>
                <c:pt idx="6">
                  <c:v>-13</c:v>
                </c:pt>
                <c:pt idx="7">
                  <c:v>-13</c:v>
                </c:pt>
                <c:pt idx="8">
                  <c:v>-13</c:v>
                </c:pt>
                <c:pt idx="9">
                  <c:v>-13</c:v>
                </c:pt>
                <c:pt idx="10">
                  <c:v>-13</c:v>
                </c:pt>
                <c:pt idx="11">
                  <c:v>-13</c:v>
                </c:pt>
                <c:pt idx="12">
                  <c:v>-13</c:v>
                </c:pt>
                <c:pt idx="13">
                  <c:v>-13</c:v>
                </c:pt>
                <c:pt idx="14">
                  <c:v>-13</c:v>
                </c:pt>
                <c:pt idx="15">
                  <c:v>-25</c:v>
                </c:pt>
                <c:pt idx="16">
                  <c:v>-25</c:v>
                </c:pt>
                <c:pt idx="17">
                  <c:v>-25</c:v>
                </c:pt>
                <c:pt idx="18">
                  <c:v>-25</c:v>
                </c:pt>
              </c:numCache>
            </c:numRef>
          </c:yVal>
          <c:smooth val="0"/>
        </c:ser>
        <c:dLbls>
          <c:showLegendKey val="0"/>
          <c:showVal val="0"/>
          <c:showCatName val="0"/>
          <c:showSerName val="0"/>
          <c:showPercent val="0"/>
          <c:showBubbleSize val="0"/>
        </c:dLbls>
        <c:axId val="148303472"/>
        <c:axId val="148303864"/>
      </c:scatterChart>
      <c:valAx>
        <c:axId val="148303472"/>
        <c:scaling>
          <c:orientation val="minMax"/>
          <c:max val="4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Frequency</a:t>
                </a:r>
                <a:r>
                  <a:rPr lang="en-AU" baseline="0"/>
                  <a:t> Offset (MHz)</a:t>
                </a:r>
                <a:endParaRPr lang="en-AU"/>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8303864"/>
        <c:crossesAt val="-35"/>
        <c:crossBetween val="midCat"/>
      </c:valAx>
      <c:valAx>
        <c:axId val="148303864"/>
        <c:scaling>
          <c:orientation val="minMax"/>
          <c:max val="30"/>
          <c:min val="-3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0" i="0" baseline="0">
                    <a:effectLst/>
                  </a:rPr>
                  <a:t>Radiated True Mean Power </a:t>
                </a:r>
                <a:endParaRPr lang="en-AU" sz="1000">
                  <a:effectLst/>
                </a:endParaRPr>
              </a:p>
              <a:p>
                <a:pPr>
                  <a:defRPr/>
                </a:pPr>
                <a:r>
                  <a:rPr lang="en-US" sz="1000" b="0" i="0" baseline="0">
                    <a:effectLst/>
                  </a:rPr>
                  <a:t>(dBm/MHz )</a:t>
                </a:r>
                <a:endParaRPr lang="en-AU" sz="1000">
                  <a:effectLst/>
                </a:endParaRP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8303472"/>
        <c:crosses val="autoZero"/>
        <c:crossBetween val="midCat"/>
        <c:majorUnit val="5"/>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6db8f3c6-01a1-4322-b043-a3b2a190f7a8">KNAH4PPFC442-3307-35</_dlc_DocId>
    <_dlc_DocIdUrl xmlns="6db8f3c6-01a1-4322-b043-a3b2a190f7a8">
      <Url>http://collaboration/organisation/CID/speb/sp/2GHz/_layouts/DocIdRedir.aspx?ID=KNAH4PPFC442-3307-35</Url>
      <Description>KNAH4PPFC442-3307-35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0B9C8099A9104A912DFB618DCADCEF" ma:contentTypeVersion="0" ma:contentTypeDescription="Create a new document." ma:contentTypeScope="" ma:versionID="60220eba0177c0ce3f072d6def90e882">
  <xsd:schema xmlns:xsd="http://www.w3.org/2001/XMLSchema" xmlns:xs="http://www.w3.org/2001/XMLSchema" xmlns:p="http://schemas.microsoft.com/office/2006/metadata/properties" xmlns:ns2="6db8f3c6-01a1-4322-b043-a3b2a190f7a8" targetNamespace="http://schemas.microsoft.com/office/2006/metadata/properties" ma:root="true" ma:fieldsID="08fd8ed56bc4c63e248c838960af90a7" ns2:_="">
    <xsd:import namespace="6db8f3c6-01a1-4322-b043-a3b2a190f7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b8f3c6-01a1-4322-b043-a3b2a190f7a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C4AB5-05B5-44D4-B590-CB628B73CF24}">
  <ds:schemaRefs>
    <ds:schemaRef ds:uri="http://schemas.microsoft.com/sharepoint/v3/contenttype/forms"/>
  </ds:schemaRefs>
</ds:datastoreItem>
</file>

<file path=customXml/itemProps2.xml><?xml version="1.0" encoding="utf-8"?>
<ds:datastoreItem xmlns:ds="http://schemas.openxmlformats.org/officeDocument/2006/customXml" ds:itemID="{DEBF46A0-2B74-498F-AC99-98E0CFC20EEC}">
  <ds:schemaRefs>
    <ds:schemaRef ds:uri="http://schemas.microsoft.com/office/2006/metadata/properties"/>
    <ds:schemaRef ds:uri="http://schemas.microsoft.com/office/infopath/2007/PartnerControls"/>
    <ds:schemaRef ds:uri="6db8f3c6-01a1-4322-b043-a3b2a190f7a8"/>
  </ds:schemaRefs>
</ds:datastoreItem>
</file>

<file path=customXml/itemProps3.xml><?xml version="1.0" encoding="utf-8"?>
<ds:datastoreItem xmlns:ds="http://schemas.openxmlformats.org/officeDocument/2006/customXml" ds:itemID="{F74F8F8B-3623-4FA7-BE45-FF229033D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b8f3c6-01a1-4322-b043-a3b2a190f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00BB45-C13F-41B7-ADA0-307356F249E0}">
  <ds:schemaRefs>
    <ds:schemaRef ds:uri="http://schemas.microsoft.com/sharepoint/events"/>
  </ds:schemaRefs>
</ds:datastoreItem>
</file>

<file path=customXml/itemProps5.xml><?xml version="1.0" encoding="utf-8"?>
<ds:datastoreItem xmlns:ds="http://schemas.openxmlformats.org/officeDocument/2006/customXml" ds:itemID="{FD8D976B-E1CB-4A72-B67D-C615814DD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25</Pages>
  <Words>6215</Words>
  <Characters>35426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41558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NevioM</dc:creator>
  <cp:keywords/>
  <dc:description/>
  <cp:lastModifiedBy>David Goggin</cp:lastModifiedBy>
  <cp:revision>5</cp:revision>
  <dcterms:created xsi:type="dcterms:W3CDTF">2016-11-15T01:21:00Z</dcterms:created>
  <dcterms:modified xsi:type="dcterms:W3CDTF">2016-11-20T23:54:00Z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0x010100240B9C8099A9104A912DFB618DCADCEF</vt:lpwstr>
  </property>
  <property fmtid="{D5CDD505-2E9C-101B-9397-08002B2CF9AE}" pid="3" name="_dlc_DocIdItemGuid">
    <vt:lpwstr>11cd5672-394e-430f-a72a-946f49a7e618</vt:lpwstr>
  </property>
</Properties>
</file>