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ECF" w:rsidRDefault="00553ECF" w:rsidP="008B6989">
      <w:pPr>
        <w:pStyle w:val="Heading1"/>
        <w:jc w:val="center"/>
      </w:pPr>
      <w:r>
        <w:t>Technical Framework Development</w:t>
      </w:r>
    </w:p>
    <w:p w:rsidR="007F5A2F" w:rsidRPr="008B6989" w:rsidRDefault="00573635" w:rsidP="008B6989">
      <w:pPr>
        <w:pStyle w:val="Heading2"/>
        <w:jc w:val="center"/>
      </w:pPr>
      <w:bookmarkStart w:id="0" w:name="OLE_LINK1"/>
      <w:bookmarkStart w:id="1" w:name="OLE_LINK2"/>
      <w:r>
        <w:t>1800 M</w:t>
      </w:r>
      <w:r w:rsidR="007F5A2F" w:rsidRPr="008B6989">
        <w:t>Hz Spectrum Licence Band</w:t>
      </w:r>
    </w:p>
    <w:bookmarkEnd w:id="0"/>
    <w:bookmarkEnd w:id="1"/>
    <w:p w:rsidR="007F5A2F" w:rsidRPr="007F5A2F" w:rsidRDefault="007F5A2F" w:rsidP="007F5A2F">
      <w:pPr>
        <w:jc w:val="center"/>
        <w:rPr>
          <w:b/>
        </w:rPr>
      </w:pPr>
    </w:p>
    <w:p w:rsidR="00FA0AD7" w:rsidRPr="007F5A2F" w:rsidRDefault="00901A1B" w:rsidP="007F5A2F">
      <w:pPr>
        <w:jc w:val="center"/>
        <w:rPr>
          <w:b/>
        </w:rPr>
      </w:pPr>
      <w:r w:rsidRPr="007F5A2F">
        <w:rPr>
          <w:b/>
        </w:rPr>
        <w:t xml:space="preserve">TLG-Discussion Paper </w:t>
      </w:r>
      <w:r w:rsidR="007F5A2F" w:rsidRPr="007F5A2F">
        <w:rPr>
          <w:b/>
        </w:rPr>
        <w:t xml:space="preserve">No. </w:t>
      </w:r>
      <w:r w:rsidRPr="007F5A2F">
        <w:rPr>
          <w:b/>
        </w:rPr>
        <w:t>1</w:t>
      </w:r>
    </w:p>
    <w:p w:rsidR="007F5A2F" w:rsidRPr="007F5A2F" w:rsidRDefault="007F5A2F" w:rsidP="007F5A2F">
      <w:pPr>
        <w:jc w:val="center"/>
        <w:rPr>
          <w:b/>
        </w:rPr>
      </w:pPr>
      <w:r w:rsidRPr="007F5A2F">
        <w:rPr>
          <w:b/>
        </w:rPr>
        <w:t>Design Requirements for the Technical Framework</w:t>
      </w:r>
    </w:p>
    <w:p w:rsidR="007F5A2F" w:rsidRPr="007F5A2F" w:rsidRDefault="007F5A2F" w:rsidP="007F5A2F">
      <w:pPr>
        <w:jc w:val="center"/>
        <w:rPr>
          <w:b/>
        </w:rPr>
      </w:pPr>
      <w:r w:rsidRPr="007F5A2F">
        <w:rPr>
          <w:b/>
        </w:rPr>
        <w:t>Reference Technologies / Standard Trading Units / Core Condition</w:t>
      </w:r>
      <w:r w:rsidR="00040D1D">
        <w:rPr>
          <w:b/>
        </w:rPr>
        <w:t>s</w:t>
      </w:r>
    </w:p>
    <w:p w:rsidR="007F5A2F" w:rsidRDefault="007F5A2F"/>
    <w:p w:rsidR="007F5A2F" w:rsidRDefault="007F5A2F">
      <w:r>
        <w:t>Document Release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2126"/>
        <w:gridCol w:w="5295"/>
      </w:tblGrid>
      <w:tr w:rsidR="007F5A2F" w:rsidTr="00A61755">
        <w:tc>
          <w:tcPr>
            <w:tcW w:w="1101" w:type="dxa"/>
          </w:tcPr>
          <w:p w:rsidR="007F5A2F" w:rsidRDefault="007F5A2F">
            <w:r>
              <w:t>Version</w:t>
            </w:r>
          </w:p>
        </w:tc>
        <w:tc>
          <w:tcPr>
            <w:tcW w:w="2126" w:type="dxa"/>
          </w:tcPr>
          <w:p w:rsidR="007F5A2F" w:rsidRDefault="007F5A2F">
            <w:r>
              <w:t>Date of Release</w:t>
            </w:r>
          </w:p>
        </w:tc>
        <w:tc>
          <w:tcPr>
            <w:tcW w:w="5295" w:type="dxa"/>
          </w:tcPr>
          <w:p w:rsidR="007F5A2F" w:rsidRDefault="007F5A2F">
            <w:r>
              <w:t>Remarks</w:t>
            </w:r>
          </w:p>
        </w:tc>
      </w:tr>
      <w:tr w:rsidR="007F5A2F" w:rsidTr="00A61755">
        <w:tc>
          <w:tcPr>
            <w:tcW w:w="1101" w:type="dxa"/>
          </w:tcPr>
          <w:p w:rsidR="007F5A2F" w:rsidRDefault="007F5A2F" w:rsidP="000D76A1">
            <w:pPr>
              <w:jc w:val="center"/>
            </w:pPr>
            <w:r>
              <w:t>1</w:t>
            </w:r>
          </w:p>
        </w:tc>
        <w:tc>
          <w:tcPr>
            <w:tcW w:w="2126" w:type="dxa"/>
          </w:tcPr>
          <w:p w:rsidR="007F5A2F" w:rsidRDefault="00045828">
            <w:r>
              <w:t>20/</w:t>
            </w:r>
            <w:r w:rsidR="004B0BCF">
              <w:t>0</w:t>
            </w:r>
            <w:r>
              <w:t>7/2011</w:t>
            </w:r>
          </w:p>
        </w:tc>
        <w:tc>
          <w:tcPr>
            <w:tcW w:w="5295" w:type="dxa"/>
          </w:tcPr>
          <w:p w:rsidR="007F5A2F" w:rsidRDefault="00534D12" w:rsidP="00534D12">
            <w:pPr>
              <w:jc w:val="center"/>
            </w:pPr>
            <w:r>
              <w:t>Initial Release</w:t>
            </w:r>
          </w:p>
        </w:tc>
      </w:tr>
      <w:tr w:rsidR="007F5A2F" w:rsidTr="00A61755">
        <w:tc>
          <w:tcPr>
            <w:tcW w:w="1101" w:type="dxa"/>
          </w:tcPr>
          <w:p w:rsidR="009A72F0" w:rsidRDefault="00045828">
            <w:pPr>
              <w:jc w:val="center"/>
            </w:pPr>
            <w:r>
              <w:t>2</w:t>
            </w:r>
          </w:p>
        </w:tc>
        <w:tc>
          <w:tcPr>
            <w:tcW w:w="2126" w:type="dxa"/>
          </w:tcPr>
          <w:p w:rsidR="007F5A2F" w:rsidRDefault="008D2655">
            <w:r>
              <w:t>2/</w:t>
            </w:r>
            <w:r w:rsidR="004B0BCF">
              <w:t>0</w:t>
            </w:r>
            <w:r>
              <w:t>9/2011</w:t>
            </w:r>
          </w:p>
        </w:tc>
        <w:tc>
          <w:tcPr>
            <w:tcW w:w="5295" w:type="dxa"/>
          </w:tcPr>
          <w:p w:rsidR="009A72F0" w:rsidRDefault="00EE2C8F">
            <w:pPr>
              <w:jc w:val="center"/>
            </w:pPr>
            <w:r>
              <w:t>Includes a</w:t>
            </w:r>
            <w:r w:rsidR="00045828">
              <w:t>mendmen</w:t>
            </w:r>
            <w:r>
              <w:t>t</w:t>
            </w:r>
            <w:r w:rsidR="00045828">
              <w:t xml:space="preserve"> to MCB and non-spurious </w:t>
            </w:r>
            <w:r w:rsidR="00461C6E">
              <w:t xml:space="preserve">out-of-band </w:t>
            </w:r>
            <w:r w:rsidR="00045828">
              <w:t>emission limits</w:t>
            </w:r>
          </w:p>
        </w:tc>
      </w:tr>
      <w:tr w:rsidR="00BA36AD" w:rsidTr="00A61755">
        <w:tc>
          <w:tcPr>
            <w:tcW w:w="1101" w:type="dxa"/>
          </w:tcPr>
          <w:p w:rsidR="00BA36AD" w:rsidRDefault="00775D08">
            <w:pPr>
              <w:jc w:val="center"/>
            </w:pPr>
            <w:r>
              <w:t>3</w:t>
            </w:r>
          </w:p>
        </w:tc>
        <w:tc>
          <w:tcPr>
            <w:tcW w:w="2126" w:type="dxa"/>
          </w:tcPr>
          <w:p w:rsidR="00BA36AD" w:rsidRDefault="00D376D7">
            <w:r>
              <w:t>20/11/2011</w:t>
            </w:r>
          </w:p>
        </w:tc>
        <w:tc>
          <w:tcPr>
            <w:tcW w:w="5295" w:type="dxa"/>
          </w:tcPr>
          <w:p w:rsidR="00BA36AD" w:rsidRDefault="00F01BBA">
            <w:pPr>
              <w:jc w:val="center"/>
            </w:pPr>
            <w:r>
              <w:t xml:space="preserve">Includes amendment to non-spurious out-of-band emission limits by specifying a linear reduction between certain offsets </w:t>
            </w:r>
          </w:p>
        </w:tc>
      </w:tr>
    </w:tbl>
    <w:p w:rsidR="00901A1B" w:rsidRDefault="00901A1B"/>
    <w:p w:rsidR="007F23E0" w:rsidRDefault="007F23E0" w:rsidP="0050084A">
      <w:pPr>
        <w:pStyle w:val="Heading2"/>
        <w:numPr>
          <w:ilvl w:val="0"/>
          <w:numId w:val="5"/>
        </w:numPr>
      </w:pPr>
      <w:r>
        <w:t>Background</w:t>
      </w:r>
    </w:p>
    <w:p w:rsidR="007F23E0" w:rsidRPr="00375435" w:rsidRDefault="007F23E0" w:rsidP="007F23E0">
      <w:pPr>
        <w:pStyle w:val="ACMABodyText"/>
        <w:rPr>
          <w:rFonts w:eastAsia="Batang"/>
          <w:snapToGrid/>
          <w:szCs w:val="24"/>
          <w:lang w:eastAsia="ko-KR"/>
        </w:rPr>
      </w:pPr>
      <w:r w:rsidRPr="00375435">
        <w:rPr>
          <w:rFonts w:eastAsia="Batang"/>
          <w:snapToGrid/>
          <w:szCs w:val="24"/>
          <w:lang w:eastAsia="ko-KR"/>
        </w:rPr>
        <w:t xml:space="preserve">The technical framework of </w:t>
      </w:r>
      <w:r w:rsidR="00881D72">
        <w:rPr>
          <w:rFonts w:eastAsia="Batang"/>
          <w:snapToGrid/>
          <w:szCs w:val="24"/>
          <w:lang w:eastAsia="ko-KR"/>
        </w:rPr>
        <w:t>a</w:t>
      </w:r>
      <w:r w:rsidRPr="00375435">
        <w:rPr>
          <w:rFonts w:eastAsia="Batang"/>
          <w:snapToGrid/>
          <w:szCs w:val="24"/>
          <w:lang w:eastAsia="ko-KR"/>
        </w:rPr>
        <w:t xml:space="preserve"> Spectrum Licence </w:t>
      </w:r>
      <w:r w:rsidR="00881D72">
        <w:rPr>
          <w:rFonts w:eastAsia="Batang"/>
          <w:snapToGrid/>
          <w:szCs w:val="24"/>
          <w:lang w:eastAsia="ko-KR"/>
        </w:rPr>
        <w:t>consists of the following 3 interlocking components</w:t>
      </w:r>
      <w:r w:rsidRPr="00375435">
        <w:rPr>
          <w:rFonts w:eastAsia="Batang"/>
          <w:snapToGrid/>
          <w:szCs w:val="24"/>
          <w:lang w:eastAsia="ko-KR"/>
        </w:rPr>
        <w:t>:</w:t>
      </w:r>
    </w:p>
    <w:p w:rsidR="007F23E0" w:rsidRPr="007F23E0" w:rsidRDefault="007F23E0" w:rsidP="007F23E0">
      <w:pPr>
        <w:pStyle w:val="ListParagraph"/>
        <w:numPr>
          <w:ilvl w:val="0"/>
          <w:numId w:val="27"/>
        </w:numPr>
        <w:rPr>
          <w:rFonts w:ascii="Times New Roman" w:hAnsi="Times New Roman"/>
          <w:sz w:val="24"/>
          <w:szCs w:val="24"/>
        </w:rPr>
      </w:pPr>
      <w:r w:rsidRPr="007F23E0">
        <w:rPr>
          <w:rFonts w:ascii="Times New Roman" w:hAnsi="Times New Roman"/>
          <w:sz w:val="24"/>
          <w:szCs w:val="24"/>
        </w:rPr>
        <w:t>The Marketing or Conversion Plan including the Draft Licence;</w:t>
      </w:r>
    </w:p>
    <w:p w:rsidR="007F23E0" w:rsidRPr="007F23E0" w:rsidRDefault="007F23E0" w:rsidP="007F23E0">
      <w:pPr>
        <w:pStyle w:val="ListParagraph"/>
        <w:numPr>
          <w:ilvl w:val="0"/>
          <w:numId w:val="27"/>
        </w:numPr>
        <w:rPr>
          <w:rFonts w:ascii="Times New Roman" w:hAnsi="Times New Roman"/>
          <w:sz w:val="24"/>
          <w:szCs w:val="24"/>
        </w:rPr>
      </w:pPr>
      <w:r w:rsidRPr="007F23E0">
        <w:rPr>
          <w:rFonts w:ascii="Times New Roman" w:hAnsi="Times New Roman"/>
          <w:sz w:val="24"/>
          <w:szCs w:val="24"/>
        </w:rPr>
        <w:t>The Section 145 Determination of Unacceptable Interference; and</w:t>
      </w:r>
    </w:p>
    <w:p w:rsidR="007F23E0" w:rsidRPr="007F23E0" w:rsidRDefault="007F23E0" w:rsidP="007F23E0">
      <w:pPr>
        <w:pStyle w:val="ListParagraph"/>
        <w:numPr>
          <w:ilvl w:val="0"/>
          <w:numId w:val="27"/>
        </w:numPr>
        <w:rPr>
          <w:rFonts w:ascii="Times New Roman" w:hAnsi="Times New Roman"/>
          <w:sz w:val="24"/>
          <w:szCs w:val="24"/>
        </w:rPr>
      </w:pPr>
      <w:r w:rsidRPr="007F23E0">
        <w:rPr>
          <w:rFonts w:ascii="Times New Roman" w:hAnsi="Times New Roman"/>
          <w:sz w:val="24"/>
          <w:szCs w:val="24"/>
        </w:rPr>
        <w:t>The Section 262 Advisory Guidelines.</w:t>
      </w:r>
    </w:p>
    <w:p w:rsidR="007F23E0" w:rsidRDefault="007F23E0" w:rsidP="007F23E0">
      <w:r>
        <w:t xml:space="preserve">The technical framework defines the spectrum licence asset and its relationship to other spectrum users.  In doing so the framework provides arrangements to manage interference and provide legal certainty about licensee rights. </w:t>
      </w:r>
    </w:p>
    <w:p w:rsidR="007F23E0" w:rsidRPr="00D025B5" w:rsidRDefault="007F23E0" w:rsidP="007F23E0">
      <w:pPr>
        <w:pStyle w:val="ACMABodyText"/>
        <w:rPr>
          <w:rFonts w:eastAsia="Batang"/>
          <w:snapToGrid/>
          <w:szCs w:val="24"/>
          <w:lang w:eastAsia="ko-KR"/>
        </w:rPr>
      </w:pPr>
      <w:r w:rsidRPr="00D025B5">
        <w:rPr>
          <w:rFonts w:eastAsia="Batang"/>
          <w:snapToGrid/>
          <w:szCs w:val="24"/>
          <w:lang w:eastAsia="ko-KR"/>
        </w:rPr>
        <w:t>The objectives of technical frameworks are to:</w:t>
      </w:r>
    </w:p>
    <w:p w:rsidR="007F23E0" w:rsidRPr="007F23E0" w:rsidRDefault="007F23E0" w:rsidP="007F23E0">
      <w:pPr>
        <w:pStyle w:val="ListParagraph"/>
        <w:numPr>
          <w:ilvl w:val="0"/>
          <w:numId w:val="28"/>
        </w:numPr>
        <w:rPr>
          <w:rFonts w:ascii="Times New Roman" w:hAnsi="Times New Roman"/>
          <w:sz w:val="24"/>
          <w:szCs w:val="24"/>
        </w:rPr>
      </w:pPr>
      <w:r w:rsidRPr="007F23E0">
        <w:rPr>
          <w:rFonts w:ascii="Times New Roman" w:hAnsi="Times New Roman"/>
          <w:sz w:val="24"/>
          <w:szCs w:val="24"/>
        </w:rPr>
        <w:t>minimise the negotiation necessary between licensees;</w:t>
      </w:r>
    </w:p>
    <w:p w:rsidR="007F23E0" w:rsidRPr="007F23E0" w:rsidRDefault="007F23E0" w:rsidP="007F23E0">
      <w:pPr>
        <w:pStyle w:val="ListParagraph"/>
        <w:numPr>
          <w:ilvl w:val="0"/>
          <w:numId w:val="28"/>
        </w:numPr>
        <w:rPr>
          <w:rFonts w:ascii="Times New Roman" w:hAnsi="Times New Roman"/>
          <w:sz w:val="24"/>
          <w:szCs w:val="24"/>
        </w:rPr>
      </w:pPr>
      <w:r w:rsidRPr="007F23E0">
        <w:rPr>
          <w:rFonts w:ascii="Times New Roman" w:hAnsi="Times New Roman"/>
          <w:sz w:val="24"/>
          <w:szCs w:val="24"/>
        </w:rPr>
        <w:t>maximise flexibility for the deployment of services;</w:t>
      </w:r>
      <w:r w:rsidR="00D53B9B" w:rsidRPr="00D53B9B">
        <w:rPr>
          <w:rFonts w:ascii="Times New Roman" w:hAnsi="Times New Roman"/>
          <w:sz w:val="24"/>
          <w:szCs w:val="24"/>
        </w:rPr>
        <w:t xml:space="preserve"> </w:t>
      </w:r>
      <w:r w:rsidR="00D53B9B" w:rsidRPr="007F23E0">
        <w:rPr>
          <w:rFonts w:ascii="Times New Roman" w:hAnsi="Times New Roman"/>
          <w:sz w:val="24"/>
          <w:szCs w:val="24"/>
        </w:rPr>
        <w:t>and to</w:t>
      </w:r>
    </w:p>
    <w:p w:rsidR="007F23E0" w:rsidRPr="007F23E0" w:rsidRDefault="007F23E0" w:rsidP="007F23E0">
      <w:pPr>
        <w:pStyle w:val="ListParagraph"/>
        <w:numPr>
          <w:ilvl w:val="0"/>
          <w:numId w:val="28"/>
        </w:numPr>
        <w:rPr>
          <w:rFonts w:ascii="Times New Roman" w:hAnsi="Times New Roman"/>
          <w:sz w:val="24"/>
          <w:szCs w:val="24"/>
        </w:rPr>
      </w:pPr>
      <w:proofErr w:type="gramStart"/>
      <w:r w:rsidRPr="007F23E0">
        <w:rPr>
          <w:rFonts w:ascii="Times New Roman" w:hAnsi="Times New Roman"/>
          <w:sz w:val="24"/>
          <w:szCs w:val="24"/>
        </w:rPr>
        <w:t>maximise</w:t>
      </w:r>
      <w:proofErr w:type="gramEnd"/>
      <w:r w:rsidRPr="007F23E0">
        <w:rPr>
          <w:rFonts w:ascii="Times New Roman" w:hAnsi="Times New Roman"/>
          <w:sz w:val="24"/>
          <w:szCs w:val="24"/>
        </w:rPr>
        <w:t xml:space="preserve"> the efficiency with which the spectrum is used</w:t>
      </w:r>
      <w:r w:rsidR="00D53B9B">
        <w:rPr>
          <w:rFonts w:ascii="Times New Roman" w:hAnsi="Times New Roman"/>
          <w:sz w:val="24"/>
          <w:szCs w:val="24"/>
        </w:rPr>
        <w:t>.</w:t>
      </w:r>
    </w:p>
    <w:p w:rsidR="007F23E0" w:rsidRPr="008B6989" w:rsidRDefault="007F23E0" w:rsidP="007F23E0">
      <w:r>
        <w:t xml:space="preserve">The technical framework of the spectrum licence is developed by the ACMA to fulfil its requirements under the </w:t>
      </w:r>
      <w:r w:rsidRPr="00CD68DA">
        <w:rPr>
          <w:i/>
        </w:rPr>
        <w:t>Radiocommunications Act 1992, the Act</w:t>
      </w:r>
      <w:r>
        <w:t xml:space="preserve">.  </w:t>
      </w:r>
      <w:r w:rsidRPr="008B6989">
        <w:t xml:space="preserve">The framework is developed by ACMA in consultation with industry through the Technical Liaison Group (TLG).  </w:t>
      </w:r>
    </w:p>
    <w:p w:rsidR="007F23E0" w:rsidRDefault="007F23E0" w:rsidP="007F23E0">
      <w:pPr>
        <w:rPr>
          <w:lang w:eastAsia="en-US"/>
        </w:rPr>
      </w:pPr>
    </w:p>
    <w:p w:rsidR="007F23E0" w:rsidRDefault="007F23E0" w:rsidP="007F23E0">
      <w:r w:rsidRPr="004A090F">
        <w:t>The 1800 MHz spectrum licence band consists of the paired frequency bands 1710-1785 MHz / 1805-1880 MHz (the 1800 MHz band). The entire 1800 MHz band is spectrum licensed in major capital city areas, while only the range 1710-1725 MHz / 1805-1820 MHz is available in regional areas. The 1800 MHz band is not designated for spectrum licensing in remote areas.</w:t>
      </w:r>
    </w:p>
    <w:p w:rsidR="007F23E0" w:rsidRPr="004A090F" w:rsidRDefault="007F23E0" w:rsidP="007F23E0"/>
    <w:p w:rsidR="007F23E0" w:rsidRPr="004A090F" w:rsidRDefault="007F23E0" w:rsidP="007F23E0">
      <w:r w:rsidRPr="004A090F">
        <w:t xml:space="preserve">The original technical framework was optimised for the use of Personal Communications Services (PCS), with GSM deemed to be the most likely technology to be used by operators. </w:t>
      </w:r>
    </w:p>
    <w:p w:rsidR="007F23E0" w:rsidRDefault="007F23E0" w:rsidP="007F23E0">
      <w:r w:rsidRPr="004A090F">
        <w:lastRenderedPageBreak/>
        <w:t>Spectrum licences in the 1800 MHz band were allocated following two auction processes held in 1998 and 2000. The first allocation in the band was the 1710-1755 MHz / 1805-1850 MHz band in 1998</w:t>
      </w:r>
      <w:r>
        <w:t xml:space="preserve"> in major capital city and regional areas</w:t>
      </w:r>
      <w:r w:rsidRPr="004A090F">
        <w:t>. The second allocation in the band was the 1755-1875 MHz / 1850-1880 MHz bands in 2000</w:t>
      </w:r>
      <w:r>
        <w:t xml:space="preserve"> in major capital city areas only</w:t>
      </w:r>
      <w:r w:rsidRPr="004A090F">
        <w:t>. Fifteen year licences were issued at each of these allocations, resulting in different expiry dates for the two tranches of spectrum, being 2013 and 2015 respectively.</w:t>
      </w:r>
    </w:p>
    <w:p w:rsidR="007F23E0" w:rsidRPr="004A090F" w:rsidRDefault="007F23E0" w:rsidP="007F23E0"/>
    <w:p w:rsidR="007F23E0" w:rsidRDefault="007F23E0" w:rsidP="007F23E0">
      <w:r w:rsidRPr="004A090F">
        <w:t>The Australian Communications and Media Authority (the ACMA) conside</w:t>
      </w:r>
      <w:r w:rsidR="00D53B9B">
        <w:t>rs that</w:t>
      </w:r>
      <w:r w:rsidRPr="004A090F">
        <w:t xml:space="preserve"> the upcoming expiry of</w:t>
      </w:r>
      <w:r w:rsidR="00D53B9B">
        <w:t xml:space="preserve"> these</w:t>
      </w:r>
      <w:r w:rsidRPr="004A090F">
        <w:t xml:space="preserve"> spectrum licences</w:t>
      </w:r>
      <w:r w:rsidR="00D53B9B">
        <w:t xml:space="preserve"> provides an opportunity to review t</w:t>
      </w:r>
      <w:r w:rsidRPr="004A090F">
        <w:t>he current te</w:t>
      </w:r>
      <w:r>
        <w:t>chnical framework</w:t>
      </w:r>
      <w:r w:rsidRPr="004A090F">
        <w:t xml:space="preserve"> </w:t>
      </w:r>
      <w:r w:rsidR="00D53B9B">
        <w:t>to determine if any changes are required or possible, to ensure s</w:t>
      </w:r>
      <w:r w:rsidRPr="004A090F">
        <w:t>uitable</w:t>
      </w:r>
      <w:r w:rsidR="00D53B9B">
        <w:t xml:space="preserve"> and efficient use</w:t>
      </w:r>
      <w:r>
        <w:t xml:space="preserve"> for a further 15 year</w:t>
      </w:r>
      <w:r w:rsidR="00D53B9B">
        <w:t>s</w:t>
      </w:r>
      <w:r w:rsidRPr="004A090F">
        <w:t xml:space="preserve">. </w:t>
      </w:r>
      <w:r w:rsidR="00D53B9B">
        <w:t xml:space="preserve"> </w:t>
      </w:r>
      <w:r w:rsidRPr="004A090F">
        <w:t>Any amendments to the technical framework should allow the ongoing use of</w:t>
      </w:r>
      <w:r>
        <w:t xml:space="preserve"> the current technologies in the band</w:t>
      </w:r>
      <w:r w:rsidRPr="004A090F">
        <w:t xml:space="preserve"> as well as support the deployment of future technologies.</w:t>
      </w:r>
    </w:p>
    <w:p w:rsidR="00881D72" w:rsidRDefault="00881D72" w:rsidP="007F23E0">
      <w:pPr>
        <w:rPr>
          <w:lang w:eastAsia="en-US"/>
        </w:rPr>
      </w:pPr>
    </w:p>
    <w:p w:rsidR="00553ECF" w:rsidRDefault="00553ECF" w:rsidP="0050084A">
      <w:pPr>
        <w:pStyle w:val="Heading2"/>
        <w:numPr>
          <w:ilvl w:val="0"/>
          <w:numId w:val="5"/>
        </w:numPr>
      </w:pPr>
      <w:r>
        <w:t>Introduction</w:t>
      </w:r>
    </w:p>
    <w:p w:rsidR="0037556B" w:rsidRPr="00375435" w:rsidRDefault="0037556B" w:rsidP="00375435">
      <w:pPr>
        <w:pStyle w:val="ACMABodyText"/>
        <w:rPr>
          <w:rFonts w:eastAsia="Batang"/>
          <w:snapToGrid/>
          <w:szCs w:val="24"/>
          <w:lang w:eastAsia="ko-KR"/>
        </w:rPr>
      </w:pPr>
      <w:r w:rsidRPr="00375435">
        <w:rPr>
          <w:rFonts w:eastAsia="Batang"/>
          <w:snapToGrid/>
          <w:szCs w:val="24"/>
          <w:lang w:eastAsia="ko-KR"/>
        </w:rPr>
        <w:t xml:space="preserve">This </w:t>
      </w:r>
      <w:r w:rsidRPr="002E6B86">
        <w:rPr>
          <w:rFonts w:eastAsia="Batang"/>
          <w:snapToGrid/>
          <w:szCs w:val="24"/>
          <w:lang w:eastAsia="ko-KR"/>
        </w:rPr>
        <w:t>discussion paper looks</w:t>
      </w:r>
      <w:r w:rsidRPr="00375435">
        <w:rPr>
          <w:rFonts w:eastAsia="Batang"/>
          <w:snapToGrid/>
          <w:szCs w:val="24"/>
          <w:lang w:eastAsia="ko-KR"/>
        </w:rPr>
        <w:t xml:space="preserve"> at the following items;</w:t>
      </w:r>
    </w:p>
    <w:p w:rsidR="0037556B" w:rsidRDefault="0037556B" w:rsidP="0037556B">
      <w:pPr>
        <w:numPr>
          <w:ilvl w:val="0"/>
          <w:numId w:val="2"/>
        </w:numPr>
        <w:spacing w:before="60"/>
        <w:ind w:left="714" w:hanging="357"/>
      </w:pPr>
      <w:r>
        <w:t>the reference technologies;</w:t>
      </w:r>
    </w:p>
    <w:p w:rsidR="0037556B" w:rsidRDefault="0037556B" w:rsidP="0037556B">
      <w:pPr>
        <w:numPr>
          <w:ilvl w:val="0"/>
          <w:numId w:val="2"/>
        </w:numPr>
        <w:spacing w:before="60"/>
        <w:ind w:left="714" w:hanging="357"/>
      </w:pPr>
      <w:r>
        <w:t>the standard trading unit and minimum contiguous bandwidth;</w:t>
      </w:r>
    </w:p>
    <w:p w:rsidR="0037556B" w:rsidRDefault="0037556B" w:rsidP="0037556B">
      <w:pPr>
        <w:numPr>
          <w:ilvl w:val="0"/>
          <w:numId w:val="2"/>
        </w:numPr>
        <w:spacing w:before="60"/>
        <w:ind w:left="714" w:hanging="357"/>
      </w:pPr>
      <w:r>
        <w:t>the out-of-area emission limit; and</w:t>
      </w:r>
    </w:p>
    <w:p w:rsidR="0037556B" w:rsidRDefault="0037556B" w:rsidP="0037556B">
      <w:pPr>
        <w:numPr>
          <w:ilvl w:val="0"/>
          <w:numId w:val="2"/>
        </w:numPr>
        <w:spacing w:before="60"/>
        <w:ind w:left="714" w:hanging="357"/>
      </w:pPr>
      <w:r>
        <w:t>the out-of-band emission limits.</w:t>
      </w:r>
    </w:p>
    <w:p w:rsidR="0037556B" w:rsidRDefault="0037556B" w:rsidP="0037556B">
      <w:pPr>
        <w:spacing w:before="240"/>
      </w:pPr>
      <w:r>
        <w:t>The last two items, together with the frequency and geographic boundaries, make up the core conditions of the spectrum licence</w:t>
      </w:r>
      <w:r w:rsidR="0060345E">
        <w:t xml:space="preserve"> as defined in </w:t>
      </w:r>
      <w:r w:rsidR="00DF1E37">
        <w:t>S</w:t>
      </w:r>
      <w:r w:rsidR="0060345E">
        <w:t xml:space="preserve">ection 66 of </w:t>
      </w:r>
      <w:r w:rsidR="0060345E" w:rsidRPr="0060345E">
        <w:rPr>
          <w:i/>
        </w:rPr>
        <w:t>the Act</w:t>
      </w:r>
      <w:r>
        <w:t xml:space="preserve">.  This discussion paper examines each of these four items of the framework, </w:t>
      </w:r>
      <w:r w:rsidR="002B288E">
        <w:t>considering the specifications of the reference technologies</w:t>
      </w:r>
      <w:r>
        <w:t xml:space="preserve"> and the pr</w:t>
      </w:r>
      <w:r w:rsidR="002B288E">
        <w:t>oposed arrangements</w:t>
      </w:r>
      <w:r>
        <w:t xml:space="preserve"> to support </w:t>
      </w:r>
      <w:r w:rsidR="002D0B15">
        <w:t>future technologies</w:t>
      </w:r>
      <w:r w:rsidR="00CC2F7F">
        <w:t xml:space="preserve"> </w:t>
      </w:r>
      <w:r w:rsidR="00982F2A">
        <w:t xml:space="preserve">while </w:t>
      </w:r>
      <w:r w:rsidR="00CC2F7F">
        <w:t xml:space="preserve">being mindful of the need to </w:t>
      </w:r>
      <w:r w:rsidR="00DF1E37">
        <w:t xml:space="preserve">enable </w:t>
      </w:r>
      <w:r w:rsidR="002D0B15">
        <w:t>existing services to operate.</w:t>
      </w:r>
      <w:r>
        <w:t xml:space="preserve">  </w:t>
      </w:r>
    </w:p>
    <w:p w:rsidR="00013DF4" w:rsidRDefault="00013DF4" w:rsidP="0037556B">
      <w:pPr>
        <w:spacing w:before="240"/>
      </w:pPr>
      <w:r>
        <w:t xml:space="preserve">This is a discussion paper and the views and suggestions of the members of the technical liaison group are sought as to the relevance and suitability of the proposed values. </w:t>
      </w:r>
      <w:r w:rsidR="00B75B20">
        <w:t>Table 1 below provides a high level overview of the proposed changes in this paper</w:t>
      </w:r>
      <w:r w:rsidR="005B4EA1">
        <w:t>.</w:t>
      </w:r>
    </w:p>
    <w:p w:rsidR="00CF4C3F" w:rsidRDefault="00CF4C3F" w:rsidP="0037556B">
      <w:pPr>
        <w:spacing w:before="240"/>
      </w:pPr>
      <w:r>
        <w:t>Table 1 – overview of the proposed changes in this discussion paper</w:t>
      </w:r>
    </w:p>
    <w:tbl>
      <w:tblPr>
        <w:tblStyle w:val="TableGrid"/>
        <w:tblW w:w="0" w:type="auto"/>
        <w:tblLook w:val="04A0"/>
      </w:tblPr>
      <w:tblGrid>
        <w:gridCol w:w="2376"/>
        <w:gridCol w:w="6866"/>
      </w:tblGrid>
      <w:tr w:rsidR="00AF6152" w:rsidTr="003A11B8">
        <w:trPr>
          <w:tblHeader/>
        </w:trPr>
        <w:tc>
          <w:tcPr>
            <w:tcW w:w="2376" w:type="dxa"/>
          </w:tcPr>
          <w:p w:rsidR="00AF6152" w:rsidRPr="00CF4C3F" w:rsidRDefault="00AF6152" w:rsidP="00CF4C3F">
            <w:pPr>
              <w:rPr>
                <w:b/>
              </w:rPr>
            </w:pPr>
            <w:r w:rsidRPr="00CF4C3F">
              <w:rPr>
                <w:b/>
              </w:rPr>
              <w:t>Item</w:t>
            </w:r>
          </w:p>
        </w:tc>
        <w:tc>
          <w:tcPr>
            <w:tcW w:w="6866" w:type="dxa"/>
          </w:tcPr>
          <w:p w:rsidR="00AF6152" w:rsidRPr="00CF4C3F" w:rsidRDefault="00AF6152" w:rsidP="00CF4C3F">
            <w:pPr>
              <w:rPr>
                <w:b/>
              </w:rPr>
            </w:pPr>
            <w:r w:rsidRPr="00CF4C3F">
              <w:rPr>
                <w:b/>
              </w:rPr>
              <w:t>Proposed change</w:t>
            </w:r>
          </w:p>
        </w:tc>
      </w:tr>
      <w:tr w:rsidR="00AF6152" w:rsidTr="003A11B8">
        <w:tc>
          <w:tcPr>
            <w:tcW w:w="2376" w:type="dxa"/>
          </w:tcPr>
          <w:p w:rsidR="00AF6152" w:rsidRDefault="00586262" w:rsidP="00CF4C3F">
            <w:r>
              <w:t>Standard Trading Unit (</w:t>
            </w:r>
            <w:r w:rsidR="00AF6152">
              <w:t>STU</w:t>
            </w:r>
            <w:r>
              <w:t>)</w:t>
            </w:r>
          </w:p>
        </w:tc>
        <w:tc>
          <w:tcPr>
            <w:tcW w:w="6866" w:type="dxa"/>
          </w:tcPr>
          <w:p w:rsidR="00AF6152" w:rsidRPr="00AF6152" w:rsidRDefault="00CF4C3F" w:rsidP="00AF6152">
            <w:pPr>
              <w:pStyle w:val="ListParagraph"/>
              <w:numPr>
                <w:ilvl w:val="0"/>
                <w:numId w:val="46"/>
              </w:numPr>
              <w:spacing w:after="0" w:line="240" w:lineRule="auto"/>
              <w:ind w:left="317" w:hanging="283"/>
              <w:rPr>
                <w:rFonts w:ascii="Times New Roman" w:hAnsi="Times New Roman"/>
                <w:sz w:val="24"/>
                <w:szCs w:val="24"/>
              </w:rPr>
            </w:pPr>
            <w:r>
              <w:rPr>
                <w:rFonts w:ascii="Times New Roman" w:hAnsi="Times New Roman"/>
                <w:sz w:val="24"/>
                <w:szCs w:val="24"/>
              </w:rPr>
              <w:t>F</w:t>
            </w:r>
            <w:r w:rsidR="00AF6152" w:rsidRPr="00AF6152">
              <w:rPr>
                <w:rFonts w:ascii="Times New Roman" w:hAnsi="Times New Roman"/>
                <w:sz w:val="24"/>
                <w:szCs w:val="24"/>
              </w:rPr>
              <w:t>requency component</w:t>
            </w:r>
            <w:r>
              <w:rPr>
                <w:rFonts w:ascii="Times New Roman" w:hAnsi="Times New Roman"/>
                <w:sz w:val="24"/>
                <w:szCs w:val="24"/>
              </w:rPr>
              <w:t xml:space="preserve"> changed</w:t>
            </w:r>
            <w:r w:rsidR="00AF6152" w:rsidRPr="00AF6152">
              <w:rPr>
                <w:rFonts w:ascii="Times New Roman" w:hAnsi="Times New Roman"/>
                <w:sz w:val="24"/>
                <w:szCs w:val="24"/>
              </w:rPr>
              <w:t xml:space="preserve"> to 1 Hz (essentially removing it from the trading requirements) </w:t>
            </w:r>
          </w:p>
          <w:p w:rsidR="00AF6152" w:rsidRDefault="00AF6152" w:rsidP="00AF6152">
            <w:pPr>
              <w:pStyle w:val="ListParagraph"/>
              <w:numPr>
                <w:ilvl w:val="0"/>
                <w:numId w:val="46"/>
              </w:numPr>
              <w:spacing w:after="0" w:line="240" w:lineRule="auto"/>
              <w:ind w:left="317" w:hanging="283"/>
            </w:pPr>
            <w:r w:rsidRPr="00AF6152">
              <w:rPr>
                <w:rFonts w:ascii="Times New Roman" w:hAnsi="Times New Roman"/>
                <w:sz w:val="24"/>
                <w:szCs w:val="24"/>
              </w:rPr>
              <w:t>Increase resolution of geographical component to 5 minutes Australia wide</w:t>
            </w:r>
          </w:p>
        </w:tc>
      </w:tr>
      <w:tr w:rsidR="00AF6152" w:rsidTr="003A11B8">
        <w:trPr>
          <w:trHeight w:val="839"/>
        </w:trPr>
        <w:tc>
          <w:tcPr>
            <w:tcW w:w="2376" w:type="dxa"/>
          </w:tcPr>
          <w:p w:rsidR="00AF6152" w:rsidRDefault="00586262" w:rsidP="00CF4C3F">
            <w:r>
              <w:t>Minimum Contiguous Bandwidth (</w:t>
            </w:r>
            <w:r w:rsidR="00AF6152">
              <w:t>MCB</w:t>
            </w:r>
            <w:r>
              <w:t>)</w:t>
            </w:r>
          </w:p>
        </w:tc>
        <w:tc>
          <w:tcPr>
            <w:tcW w:w="6866" w:type="dxa"/>
          </w:tcPr>
          <w:p w:rsidR="00AF6152" w:rsidRDefault="003A11B8" w:rsidP="003A11B8">
            <w:r>
              <w:t xml:space="preserve">Currently no MCB defined, by default MCB equals one STU (2.5 MHz). Proposed to define MCB at 5 MHz and make it independent of the STU. Will also </w:t>
            </w:r>
            <w:r w:rsidR="00AF6152">
              <w:t xml:space="preserve">become a ‘recommended’ value, </w:t>
            </w:r>
            <w:r>
              <w:t xml:space="preserve">the </w:t>
            </w:r>
            <w:r w:rsidR="00AF6152">
              <w:t>ACMA can grant exemptions on a case by case basis.</w:t>
            </w:r>
          </w:p>
        </w:tc>
      </w:tr>
      <w:tr w:rsidR="00AF6152" w:rsidTr="003A11B8">
        <w:tc>
          <w:tcPr>
            <w:tcW w:w="2376" w:type="dxa"/>
          </w:tcPr>
          <w:p w:rsidR="00AF6152" w:rsidRDefault="00AF6152" w:rsidP="00CF4C3F">
            <w:r>
              <w:t>Core Condition – Out-of-area emission limit</w:t>
            </w:r>
          </w:p>
        </w:tc>
        <w:tc>
          <w:tcPr>
            <w:tcW w:w="6866" w:type="dxa"/>
          </w:tcPr>
          <w:p w:rsidR="00AF6152" w:rsidRDefault="00AF6152" w:rsidP="00CF4C3F">
            <w:r>
              <w:t>Unchanged</w:t>
            </w:r>
          </w:p>
        </w:tc>
      </w:tr>
      <w:tr w:rsidR="00AF6152" w:rsidTr="003A11B8">
        <w:tc>
          <w:tcPr>
            <w:tcW w:w="2376" w:type="dxa"/>
          </w:tcPr>
          <w:p w:rsidR="00AF6152" w:rsidRDefault="00AF6152" w:rsidP="00CF4C3F">
            <w:r>
              <w:t>Core Condition – Non-spurious emission limit within the 1800 MHz band</w:t>
            </w:r>
          </w:p>
        </w:tc>
        <w:tc>
          <w:tcPr>
            <w:tcW w:w="6866" w:type="dxa"/>
          </w:tcPr>
          <w:p w:rsidR="00AF6152" w:rsidRDefault="00AF6152" w:rsidP="00C46AA2">
            <w:r>
              <w:t>Relaxed at frequency offsets between 0.2</w:t>
            </w:r>
            <w:r w:rsidR="00586262">
              <w:t>-1 MHz</w:t>
            </w:r>
            <w:r w:rsidR="00EF5EED">
              <w:t xml:space="preserve"> and greater than 5.8 MHz</w:t>
            </w:r>
            <w:r w:rsidR="00586262">
              <w:t xml:space="preserve"> to account for higher out-of-band</w:t>
            </w:r>
            <w:r>
              <w:t xml:space="preserve"> emissions from</w:t>
            </w:r>
            <w:r w:rsidR="003A11B8">
              <w:t xml:space="preserve"> the</w:t>
            </w:r>
            <w:r>
              <w:t xml:space="preserve"> reference technologies and the practical limitations of additional filtering.</w:t>
            </w:r>
          </w:p>
        </w:tc>
      </w:tr>
      <w:tr w:rsidR="00AF6152" w:rsidTr="003A11B8">
        <w:tc>
          <w:tcPr>
            <w:tcW w:w="2376" w:type="dxa"/>
          </w:tcPr>
          <w:p w:rsidR="00AF6152" w:rsidRDefault="00AF6152" w:rsidP="00CF4C3F">
            <w:r>
              <w:lastRenderedPageBreak/>
              <w:t>Core Condition – Non-sp</w:t>
            </w:r>
            <w:r w:rsidR="003A11B8">
              <w:t>urious emission limit outside</w:t>
            </w:r>
            <w:r>
              <w:t xml:space="preserve"> the 1800 MHz band </w:t>
            </w:r>
          </w:p>
        </w:tc>
        <w:tc>
          <w:tcPr>
            <w:tcW w:w="6866" w:type="dxa"/>
          </w:tcPr>
          <w:p w:rsidR="00CF4C3F" w:rsidRPr="00CF4C3F" w:rsidRDefault="00AF6152" w:rsidP="00CF4C3F">
            <w:pPr>
              <w:pStyle w:val="ListParagraph"/>
              <w:numPr>
                <w:ilvl w:val="0"/>
                <w:numId w:val="47"/>
              </w:numPr>
              <w:spacing w:after="0" w:line="240" w:lineRule="auto"/>
              <w:ind w:left="353" w:hanging="353"/>
            </w:pPr>
            <w:r w:rsidRPr="00CF4C3F">
              <w:rPr>
                <w:rFonts w:ascii="Times New Roman" w:hAnsi="Times New Roman"/>
                <w:sz w:val="24"/>
                <w:szCs w:val="24"/>
              </w:rPr>
              <w:t xml:space="preserve">Relaxed at frequency offsets between 0-0.9 MHz </w:t>
            </w:r>
            <w:r w:rsidR="00EF5EED">
              <w:rPr>
                <w:rFonts w:ascii="Times New Roman" w:hAnsi="Times New Roman"/>
                <w:sz w:val="24"/>
                <w:szCs w:val="24"/>
              </w:rPr>
              <w:t xml:space="preserve">and greater than 5.6 MHz </w:t>
            </w:r>
            <w:r w:rsidRPr="00CF4C3F">
              <w:rPr>
                <w:rFonts w:ascii="Times New Roman" w:hAnsi="Times New Roman"/>
                <w:sz w:val="24"/>
                <w:szCs w:val="24"/>
              </w:rPr>
              <w:t>at the 1785, 1805 and 1880 MHz boun</w:t>
            </w:r>
            <w:r w:rsidR="002E7993">
              <w:rPr>
                <w:rFonts w:ascii="Times New Roman" w:hAnsi="Times New Roman"/>
                <w:sz w:val="24"/>
                <w:szCs w:val="24"/>
              </w:rPr>
              <w:t>daries to account for higher out-of-band</w:t>
            </w:r>
            <w:r w:rsidRPr="00CF4C3F">
              <w:rPr>
                <w:rFonts w:ascii="Times New Roman" w:hAnsi="Times New Roman"/>
                <w:sz w:val="24"/>
                <w:szCs w:val="24"/>
              </w:rPr>
              <w:t xml:space="preserve"> emissions from </w:t>
            </w:r>
            <w:r w:rsidR="003A11B8">
              <w:rPr>
                <w:rFonts w:ascii="Times New Roman" w:hAnsi="Times New Roman"/>
                <w:sz w:val="24"/>
                <w:szCs w:val="24"/>
              </w:rPr>
              <w:t xml:space="preserve">the </w:t>
            </w:r>
            <w:r w:rsidR="002E7993">
              <w:rPr>
                <w:rFonts w:ascii="Times New Roman" w:hAnsi="Times New Roman"/>
                <w:sz w:val="24"/>
                <w:szCs w:val="24"/>
              </w:rPr>
              <w:t>reference technologies</w:t>
            </w:r>
            <w:r w:rsidRPr="00CF4C3F">
              <w:rPr>
                <w:rFonts w:ascii="Times New Roman" w:hAnsi="Times New Roman"/>
                <w:sz w:val="24"/>
                <w:szCs w:val="24"/>
              </w:rPr>
              <w:t xml:space="preserve"> and the practical limitations of additional filtering</w:t>
            </w:r>
            <w:r w:rsidR="00EF5EED">
              <w:rPr>
                <w:rFonts w:ascii="Times New Roman" w:hAnsi="Times New Roman"/>
                <w:sz w:val="24"/>
                <w:szCs w:val="24"/>
              </w:rPr>
              <w:t>, as well as considering co-existence with services outside the spectrum licence band</w:t>
            </w:r>
            <w:r w:rsidRPr="00CF4C3F">
              <w:rPr>
                <w:rFonts w:ascii="Times New Roman" w:hAnsi="Times New Roman"/>
                <w:sz w:val="24"/>
                <w:szCs w:val="24"/>
              </w:rPr>
              <w:t>.</w:t>
            </w:r>
          </w:p>
          <w:p w:rsidR="00AF6152" w:rsidRPr="00CF4C3F" w:rsidRDefault="00AF6152" w:rsidP="00CF4C3F">
            <w:pPr>
              <w:pStyle w:val="ListParagraph"/>
              <w:numPr>
                <w:ilvl w:val="0"/>
                <w:numId w:val="47"/>
              </w:numPr>
              <w:spacing w:after="0" w:line="240" w:lineRule="auto"/>
              <w:ind w:left="353" w:hanging="353"/>
              <w:rPr>
                <w:rFonts w:ascii="Times New Roman" w:hAnsi="Times New Roman"/>
                <w:sz w:val="24"/>
                <w:szCs w:val="24"/>
              </w:rPr>
            </w:pPr>
            <w:r w:rsidRPr="00CF4C3F">
              <w:rPr>
                <w:rFonts w:ascii="Times New Roman" w:hAnsi="Times New Roman"/>
                <w:sz w:val="24"/>
                <w:szCs w:val="24"/>
              </w:rPr>
              <w:t>Unchanged at the 1710 MHz frequency boundary to maintain co-existence with adjacent band Earth station receivers</w:t>
            </w:r>
          </w:p>
        </w:tc>
      </w:tr>
      <w:tr w:rsidR="00AF6152" w:rsidTr="003A11B8">
        <w:tc>
          <w:tcPr>
            <w:tcW w:w="2376" w:type="dxa"/>
          </w:tcPr>
          <w:p w:rsidR="00AF6152" w:rsidRDefault="00AF6152" w:rsidP="00CF4C3F">
            <w:r>
              <w:t>Core Condition – Spurious emission limit</w:t>
            </w:r>
          </w:p>
        </w:tc>
        <w:tc>
          <w:tcPr>
            <w:tcW w:w="6866" w:type="dxa"/>
          </w:tcPr>
          <w:p w:rsidR="00AF6152" w:rsidRDefault="00AF6152" w:rsidP="00CF4C3F">
            <w:r>
              <w:t>Unchanged</w:t>
            </w:r>
          </w:p>
        </w:tc>
      </w:tr>
    </w:tbl>
    <w:p w:rsidR="005B4EA1" w:rsidRDefault="005B4EA1" w:rsidP="0037556B">
      <w:pPr>
        <w:spacing w:before="240"/>
      </w:pPr>
    </w:p>
    <w:p w:rsidR="0037556B" w:rsidRPr="00330750" w:rsidRDefault="0037556B" w:rsidP="0050084A">
      <w:pPr>
        <w:pStyle w:val="Heading2"/>
        <w:numPr>
          <w:ilvl w:val="0"/>
          <w:numId w:val="5"/>
        </w:numPr>
      </w:pPr>
      <w:r w:rsidRPr="00330750">
        <w:t xml:space="preserve">Reference Technologies  </w:t>
      </w:r>
    </w:p>
    <w:p w:rsidR="0037556B" w:rsidRDefault="0037556B" w:rsidP="0037556B">
      <w:pPr>
        <w:keepNext/>
      </w:pPr>
      <w:r>
        <w:t xml:space="preserve">There are </w:t>
      </w:r>
      <w:r w:rsidR="003B0B42">
        <w:t>five</w:t>
      </w:r>
      <w:r>
        <w:t xml:space="preserve"> reference technologies that will be considered in </w:t>
      </w:r>
      <w:r w:rsidR="00114DE4">
        <w:t xml:space="preserve">the </w:t>
      </w:r>
      <w:r w:rsidR="00D53B9B">
        <w:t>review</w:t>
      </w:r>
      <w:r w:rsidR="00114DE4">
        <w:t xml:space="preserve"> of the fram</w:t>
      </w:r>
      <w:r w:rsidR="00C56BCA">
        <w:t xml:space="preserve">ework, as shown below in Table </w:t>
      </w:r>
      <w:r w:rsidR="00CF4C3F">
        <w:t>2</w:t>
      </w:r>
      <w:r w:rsidR="00E67F7F">
        <w:t>.</w:t>
      </w:r>
    </w:p>
    <w:p w:rsidR="0037556B" w:rsidRDefault="0037556B" w:rsidP="0037556B">
      <w:pPr>
        <w:tabs>
          <w:tab w:val="left" w:pos="1985"/>
          <w:tab w:val="left" w:pos="3261"/>
          <w:tab w:val="left" w:pos="5954"/>
        </w:tabs>
      </w:pPr>
    </w:p>
    <w:p w:rsidR="00C56BCA" w:rsidRDefault="00CF4C3F" w:rsidP="0037556B">
      <w:pPr>
        <w:tabs>
          <w:tab w:val="left" w:pos="1985"/>
          <w:tab w:val="left" w:pos="3261"/>
          <w:tab w:val="left" w:pos="5954"/>
        </w:tabs>
      </w:pPr>
      <w:r>
        <w:t>Table 2</w:t>
      </w:r>
      <w:r w:rsidR="00C56BCA">
        <w:t xml:space="preserve"> – reference technologies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5732"/>
      </w:tblGrid>
      <w:tr w:rsidR="00BC1D1C" w:rsidTr="00466F6F">
        <w:tc>
          <w:tcPr>
            <w:tcW w:w="3510" w:type="dxa"/>
          </w:tcPr>
          <w:p w:rsidR="00BC1D1C" w:rsidRPr="0041677C" w:rsidRDefault="0041677C" w:rsidP="00BC1D1C">
            <w:pPr>
              <w:tabs>
                <w:tab w:val="left" w:pos="1985"/>
                <w:tab w:val="left" w:pos="3261"/>
                <w:tab w:val="left" w:pos="5954"/>
              </w:tabs>
              <w:rPr>
                <w:b/>
              </w:rPr>
            </w:pPr>
            <w:r w:rsidRPr="0041677C">
              <w:rPr>
                <w:b/>
              </w:rPr>
              <w:t>Reference Technology</w:t>
            </w:r>
          </w:p>
        </w:tc>
        <w:tc>
          <w:tcPr>
            <w:tcW w:w="5732" w:type="dxa"/>
          </w:tcPr>
          <w:p w:rsidR="00BC1D1C" w:rsidRPr="0041677C" w:rsidRDefault="00BC1D1C" w:rsidP="00BC1D1C">
            <w:pPr>
              <w:tabs>
                <w:tab w:val="left" w:pos="1985"/>
                <w:tab w:val="left" w:pos="3261"/>
                <w:tab w:val="left" w:pos="5954"/>
              </w:tabs>
              <w:rPr>
                <w:b/>
              </w:rPr>
            </w:pPr>
            <w:r w:rsidRPr="0041677C">
              <w:rPr>
                <w:b/>
              </w:rPr>
              <w:t>Applicable standards</w:t>
            </w:r>
            <w:r w:rsidR="00114DE4" w:rsidRPr="0041677C">
              <w:rPr>
                <w:b/>
              </w:rPr>
              <w:t xml:space="preserve"> and reports</w:t>
            </w:r>
          </w:p>
        </w:tc>
      </w:tr>
      <w:tr w:rsidR="00466F6F" w:rsidTr="00466F6F">
        <w:tc>
          <w:tcPr>
            <w:tcW w:w="3510" w:type="dxa"/>
          </w:tcPr>
          <w:p w:rsidR="00466F6F" w:rsidRDefault="00466F6F" w:rsidP="00466F6F">
            <w:pPr>
              <w:tabs>
                <w:tab w:val="left" w:pos="1985"/>
                <w:tab w:val="left" w:pos="3261"/>
                <w:tab w:val="left" w:pos="5954"/>
              </w:tabs>
              <w:rPr>
                <w:sz w:val="20"/>
                <w:szCs w:val="20"/>
              </w:rPr>
            </w:pPr>
            <w:r w:rsidRPr="00466F6F">
              <w:rPr>
                <w:sz w:val="20"/>
                <w:szCs w:val="20"/>
              </w:rPr>
              <w:t xml:space="preserve">UMTS </w:t>
            </w:r>
          </w:p>
          <w:p w:rsidR="00466F6F" w:rsidRPr="00466F6F" w:rsidRDefault="00466F6F" w:rsidP="00466F6F">
            <w:pPr>
              <w:tabs>
                <w:tab w:val="left" w:pos="1985"/>
                <w:tab w:val="left" w:pos="3261"/>
                <w:tab w:val="left" w:pos="5954"/>
              </w:tabs>
              <w:rPr>
                <w:sz w:val="20"/>
                <w:szCs w:val="20"/>
              </w:rPr>
            </w:pPr>
            <w:r w:rsidRPr="00466F6F">
              <w:rPr>
                <w:sz w:val="20"/>
                <w:szCs w:val="20"/>
              </w:rPr>
              <w:t>(UTRA, WCDMA, HSPA, HSPA+)</w:t>
            </w:r>
          </w:p>
        </w:tc>
        <w:tc>
          <w:tcPr>
            <w:tcW w:w="5732" w:type="dxa"/>
          </w:tcPr>
          <w:p w:rsidR="00466F6F" w:rsidRPr="00466F6F" w:rsidRDefault="00466F6F" w:rsidP="003A11B8">
            <w:pPr>
              <w:tabs>
                <w:tab w:val="left" w:pos="1985"/>
                <w:tab w:val="left" w:pos="3261"/>
                <w:tab w:val="left" w:pos="5954"/>
              </w:tabs>
              <w:rPr>
                <w:sz w:val="20"/>
                <w:szCs w:val="20"/>
              </w:rPr>
            </w:pPr>
            <w:r w:rsidRPr="00466F6F">
              <w:rPr>
                <w:sz w:val="20"/>
                <w:szCs w:val="20"/>
              </w:rPr>
              <w:t>ITU-R Re</w:t>
            </w:r>
            <w:r w:rsidR="003A11B8">
              <w:rPr>
                <w:sz w:val="20"/>
                <w:szCs w:val="20"/>
              </w:rPr>
              <w:t>port</w:t>
            </w:r>
            <w:r w:rsidRPr="00466F6F">
              <w:rPr>
                <w:sz w:val="20"/>
                <w:szCs w:val="20"/>
              </w:rPr>
              <w:t xml:space="preserve"> M.2039-2, 3GPP TS 25.101, 3GPP TS 25.104, 3GPP TS 24.942, ECC Report 82</w:t>
            </w:r>
          </w:p>
        </w:tc>
      </w:tr>
      <w:tr w:rsidR="00466F6F" w:rsidTr="00466F6F">
        <w:tc>
          <w:tcPr>
            <w:tcW w:w="3510" w:type="dxa"/>
          </w:tcPr>
          <w:p w:rsidR="00466F6F" w:rsidRDefault="00466F6F" w:rsidP="00466F6F">
            <w:pPr>
              <w:tabs>
                <w:tab w:val="left" w:pos="1985"/>
                <w:tab w:val="left" w:pos="3261"/>
                <w:tab w:val="left" w:pos="5954"/>
              </w:tabs>
              <w:rPr>
                <w:sz w:val="20"/>
                <w:szCs w:val="20"/>
              </w:rPr>
            </w:pPr>
            <w:r w:rsidRPr="00466F6F">
              <w:rPr>
                <w:sz w:val="20"/>
                <w:szCs w:val="20"/>
              </w:rPr>
              <w:t xml:space="preserve">LTE </w:t>
            </w:r>
          </w:p>
          <w:p w:rsidR="00466F6F" w:rsidRPr="00466F6F" w:rsidRDefault="00466F6F" w:rsidP="00466F6F">
            <w:pPr>
              <w:tabs>
                <w:tab w:val="left" w:pos="1985"/>
                <w:tab w:val="left" w:pos="3261"/>
                <w:tab w:val="left" w:pos="5954"/>
              </w:tabs>
              <w:rPr>
                <w:sz w:val="20"/>
                <w:szCs w:val="20"/>
              </w:rPr>
            </w:pPr>
            <w:r w:rsidRPr="00466F6F">
              <w:rPr>
                <w:sz w:val="20"/>
                <w:szCs w:val="20"/>
              </w:rPr>
              <w:t>(E-UTRA</w:t>
            </w:r>
            <w:r>
              <w:rPr>
                <w:sz w:val="20"/>
                <w:szCs w:val="20"/>
              </w:rPr>
              <w:t>, LTE-Advanced</w:t>
            </w:r>
            <w:r w:rsidRPr="00466F6F">
              <w:rPr>
                <w:sz w:val="20"/>
                <w:szCs w:val="20"/>
              </w:rPr>
              <w:t>)</w:t>
            </w:r>
          </w:p>
        </w:tc>
        <w:tc>
          <w:tcPr>
            <w:tcW w:w="5732" w:type="dxa"/>
          </w:tcPr>
          <w:p w:rsidR="00466F6F" w:rsidRPr="00466F6F" w:rsidRDefault="003A11B8" w:rsidP="00BC1D1C">
            <w:pPr>
              <w:tabs>
                <w:tab w:val="left" w:pos="1985"/>
                <w:tab w:val="left" w:pos="3261"/>
                <w:tab w:val="left" w:pos="5954"/>
              </w:tabs>
              <w:rPr>
                <w:sz w:val="20"/>
                <w:szCs w:val="20"/>
              </w:rPr>
            </w:pPr>
            <w:r>
              <w:rPr>
                <w:sz w:val="20"/>
                <w:szCs w:val="20"/>
              </w:rPr>
              <w:t>ITU-R Report</w:t>
            </w:r>
            <w:r w:rsidR="00466F6F" w:rsidRPr="00466F6F">
              <w:rPr>
                <w:sz w:val="20"/>
                <w:szCs w:val="20"/>
              </w:rPr>
              <w:t xml:space="preserve"> M.2039-2, 3GPP TS 36.101, 3GPP TS 36.104, 3GPP TS 36.942, CEPT Report 40</w:t>
            </w:r>
          </w:p>
        </w:tc>
      </w:tr>
      <w:tr w:rsidR="00466F6F" w:rsidTr="00466F6F">
        <w:tc>
          <w:tcPr>
            <w:tcW w:w="3510" w:type="dxa"/>
          </w:tcPr>
          <w:p w:rsidR="00466F6F" w:rsidRDefault="00466F6F" w:rsidP="00466F6F">
            <w:pPr>
              <w:tabs>
                <w:tab w:val="left" w:pos="1985"/>
                <w:tab w:val="left" w:pos="3261"/>
                <w:tab w:val="left" w:pos="5954"/>
              </w:tabs>
              <w:rPr>
                <w:sz w:val="20"/>
                <w:szCs w:val="20"/>
              </w:rPr>
            </w:pPr>
            <w:r w:rsidRPr="00466F6F">
              <w:rPr>
                <w:sz w:val="20"/>
                <w:szCs w:val="20"/>
              </w:rPr>
              <w:t xml:space="preserve">GSM </w:t>
            </w:r>
          </w:p>
          <w:p w:rsidR="00466F6F" w:rsidRPr="00466F6F" w:rsidRDefault="00466F6F" w:rsidP="00466F6F">
            <w:pPr>
              <w:tabs>
                <w:tab w:val="left" w:pos="1985"/>
                <w:tab w:val="left" w:pos="3261"/>
                <w:tab w:val="left" w:pos="5954"/>
              </w:tabs>
              <w:rPr>
                <w:sz w:val="20"/>
                <w:szCs w:val="20"/>
              </w:rPr>
            </w:pPr>
            <w:r>
              <w:rPr>
                <w:sz w:val="20"/>
                <w:szCs w:val="20"/>
              </w:rPr>
              <w:t>(GPRS, EDGE, GSM-R)</w:t>
            </w:r>
          </w:p>
        </w:tc>
        <w:tc>
          <w:tcPr>
            <w:tcW w:w="5732" w:type="dxa"/>
          </w:tcPr>
          <w:p w:rsidR="00466F6F" w:rsidRPr="00466F6F" w:rsidRDefault="00466F6F" w:rsidP="00BC1D1C">
            <w:pPr>
              <w:tabs>
                <w:tab w:val="left" w:pos="1985"/>
                <w:tab w:val="left" w:pos="3261"/>
                <w:tab w:val="left" w:pos="5954"/>
              </w:tabs>
              <w:rPr>
                <w:sz w:val="20"/>
                <w:szCs w:val="20"/>
              </w:rPr>
            </w:pPr>
            <w:r w:rsidRPr="00466F6F">
              <w:rPr>
                <w:sz w:val="20"/>
                <w:szCs w:val="20"/>
              </w:rPr>
              <w:t>3GPP TS 45.005, 3GPP TS 51.021, 3GPP TR 03.30</w:t>
            </w:r>
          </w:p>
        </w:tc>
      </w:tr>
      <w:tr w:rsidR="00466F6F" w:rsidTr="00466F6F">
        <w:tc>
          <w:tcPr>
            <w:tcW w:w="3510" w:type="dxa"/>
          </w:tcPr>
          <w:p w:rsidR="00466F6F" w:rsidRDefault="00466F6F" w:rsidP="00466F6F">
            <w:pPr>
              <w:tabs>
                <w:tab w:val="left" w:pos="1985"/>
                <w:tab w:val="left" w:pos="3261"/>
                <w:tab w:val="left" w:pos="5954"/>
              </w:tabs>
              <w:rPr>
                <w:sz w:val="20"/>
                <w:szCs w:val="20"/>
              </w:rPr>
            </w:pPr>
            <w:r w:rsidRPr="00466F6F">
              <w:rPr>
                <w:sz w:val="20"/>
                <w:szCs w:val="20"/>
              </w:rPr>
              <w:t>WiMAX</w:t>
            </w:r>
          </w:p>
          <w:p w:rsidR="00466F6F" w:rsidRPr="00466F6F" w:rsidRDefault="00466F6F" w:rsidP="00466F6F">
            <w:pPr>
              <w:tabs>
                <w:tab w:val="left" w:pos="1985"/>
                <w:tab w:val="left" w:pos="3261"/>
                <w:tab w:val="left" w:pos="5954"/>
              </w:tabs>
              <w:rPr>
                <w:sz w:val="20"/>
                <w:szCs w:val="20"/>
              </w:rPr>
            </w:pPr>
            <w:r>
              <w:rPr>
                <w:sz w:val="20"/>
                <w:szCs w:val="20"/>
              </w:rPr>
              <w:t>(IEEE 802.16)</w:t>
            </w:r>
          </w:p>
        </w:tc>
        <w:tc>
          <w:tcPr>
            <w:tcW w:w="5732" w:type="dxa"/>
          </w:tcPr>
          <w:p w:rsidR="00466F6F" w:rsidRPr="00466F6F" w:rsidRDefault="003A11B8" w:rsidP="00BC1D1C">
            <w:pPr>
              <w:tabs>
                <w:tab w:val="left" w:pos="1985"/>
                <w:tab w:val="left" w:pos="3261"/>
                <w:tab w:val="left" w:pos="5954"/>
              </w:tabs>
              <w:rPr>
                <w:sz w:val="20"/>
                <w:szCs w:val="20"/>
              </w:rPr>
            </w:pPr>
            <w:r>
              <w:rPr>
                <w:sz w:val="20"/>
                <w:szCs w:val="20"/>
              </w:rPr>
              <w:t>ITU-R Report</w:t>
            </w:r>
            <w:r w:rsidR="00466F6F" w:rsidRPr="00466F6F">
              <w:rPr>
                <w:sz w:val="20"/>
                <w:szCs w:val="20"/>
              </w:rPr>
              <w:t xml:space="preserve"> M.2039-2, CEPT Report 40, WMF-T23-005-R015v04</w:t>
            </w:r>
          </w:p>
        </w:tc>
      </w:tr>
      <w:tr w:rsidR="00466F6F" w:rsidTr="00466F6F">
        <w:tc>
          <w:tcPr>
            <w:tcW w:w="3510" w:type="dxa"/>
          </w:tcPr>
          <w:p w:rsidR="00466F6F" w:rsidRDefault="00466F6F" w:rsidP="00466F6F">
            <w:pPr>
              <w:tabs>
                <w:tab w:val="left" w:pos="1985"/>
                <w:tab w:val="left" w:pos="3261"/>
                <w:tab w:val="left" w:pos="5954"/>
              </w:tabs>
              <w:rPr>
                <w:sz w:val="20"/>
                <w:szCs w:val="20"/>
              </w:rPr>
            </w:pPr>
            <w:r w:rsidRPr="00466F6F">
              <w:rPr>
                <w:sz w:val="20"/>
                <w:szCs w:val="20"/>
              </w:rPr>
              <w:t>Multi-carrier CDMA</w:t>
            </w:r>
          </w:p>
          <w:p w:rsidR="00466F6F" w:rsidRPr="00466F6F" w:rsidRDefault="00466F6F" w:rsidP="00466F6F">
            <w:pPr>
              <w:tabs>
                <w:tab w:val="left" w:pos="1985"/>
                <w:tab w:val="left" w:pos="3261"/>
                <w:tab w:val="left" w:pos="5954"/>
              </w:tabs>
              <w:rPr>
                <w:sz w:val="20"/>
                <w:szCs w:val="20"/>
              </w:rPr>
            </w:pPr>
            <w:r>
              <w:rPr>
                <w:sz w:val="20"/>
                <w:szCs w:val="20"/>
              </w:rPr>
              <w:t>(CDMA2000, EV-DV, EV-DO, HRPD)</w:t>
            </w:r>
          </w:p>
        </w:tc>
        <w:tc>
          <w:tcPr>
            <w:tcW w:w="5732" w:type="dxa"/>
          </w:tcPr>
          <w:p w:rsidR="00466F6F" w:rsidRPr="00466F6F" w:rsidRDefault="003A11B8" w:rsidP="00BC1D1C">
            <w:pPr>
              <w:tabs>
                <w:tab w:val="left" w:pos="1985"/>
                <w:tab w:val="left" w:pos="3261"/>
                <w:tab w:val="left" w:pos="5954"/>
              </w:tabs>
              <w:rPr>
                <w:sz w:val="20"/>
                <w:szCs w:val="20"/>
              </w:rPr>
            </w:pPr>
            <w:r>
              <w:rPr>
                <w:sz w:val="20"/>
                <w:szCs w:val="20"/>
              </w:rPr>
              <w:t>ITU-R Report</w:t>
            </w:r>
            <w:r w:rsidR="00466F6F" w:rsidRPr="00466F6F">
              <w:rPr>
                <w:sz w:val="20"/>
                <w:szCs w:val="20"/>
              </w:rPr>
              <w:t xml:space="preserve"> M.2039-2, ITU-R Rec. M.1580, </w:t>
            </w:r>
            <w:r w:rsidR="00ED14EE" w:rsidRPr="00466F6F">
              <w:rPr>
                <w:sz w:val="20"/>
                <w:szCs w:val="20"/>
              </w:rPr>
              <w:t>ITU-R Rec. M.158</w:t>
            </w:r>
            <w:r w:rsidR="00ED14EE">
              <w:rPr>
                <w:sz w:val="20"/>
                <w:szCs w:val="20"/>
              </w:rPr>
              <w:t xml:space="preserve">1, </w:t>
            </w:r>
            <w:r w:rsidR="00466F6F" w:rsidRPr="00466F6F">
              <w:rPr>
                <w:sz w:val="20"/>
                <w:szCs w:val="20"/>
              </w:rPr>
              <w:t>TIA-97-C</w:t>
            </w:r>
          </w:p>
        </w:tc>
      </w:tr>
    </w:tbl>
    <w:p w:rsidR="0037556B" w:rsidRDefault="0037556B" w:rsidP="0037556B"/>
    <w:p w:rsidR="0037556B" w:rsidRDefault="0037556B" w:rsidP="0037556B">
      <w:r>
        <w:t xml:space="preserve">This does not exclude other technologies from being used under the framework.  Rather, it is proposed that the framework will be </w:t>
      </w:r>
      <w:r w:rsidR="00693953">
        <w:t>reviewed</w:t>
      </w:r>
      <w:r>
        <w:t xml:space="preserve"> with specific reference to these </w:t>
      </w:r>
      <w:r w:rsidR="003B0B42">
        <w:t>five</w:t>
      </w:r>
      <w:r>
        <w:t xml:space="preserve"> technologies.</w:t>
      </w:r>
    </w:p>
    <w:p w:rsidR="00CF4C3F" w:rsidRDefault="00CF4C3F"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CF4C3F" w:rsidRDefault="00CF4C3F" w:rsidP="0037556B"/>
    <w:p w:rsidR="0037556B" w:rsidRPr="00330750" w:rsidRDefault="00920DFC" w:rsidP="0050084A">
      <w:pPr>
        <w:pStyle w:val="Heading2"/>
        <w:numPr>
          <w:ilvl w:val="0"/>
          <w:numId w:val="5"/>
        </w:numPr>
      </w:pPr>
      <w:r>
        <w:lastRenderedPageBreak/>
        <w:t>Standard Trading Unit</w:t>
      </w:r>
      <w:r w:rsidR="0037556B" w:rsidRPr="00330750">
        <w:t xml:space="preserve"> and Minimum Contiguous Bandwidth</w:t>
      </w:r>
    </w:p>
    <w:p w:rsidR="00B0193C" w:rsidRDefault="00E4594E" w:rsidP="00B0193C">
      <w:r>
        <w:t>Current</w:t>
      </w:r>
      <w:r w:rsidR="00B0193C">
        <w:t xml:space="preserve"> spectrum licence technical frameworks </w:t>
      </w:r>
      <w:r>
        <w:t>are</w:t>
      </w:r>
      <w:r w:rsidR="00B0193C">
        <w:t xml:space="preserve"> based on use of a Standard Trading Unit (STU) that defined the minimum unit for the trading of spectrum under spectrum licensing.  The size o</w:t>
      </w:r>
      <w:r>
        <w:t>f the STU is</w:t>
      </w:r>
      <w:r w:rsidR="00B0193C">
        <w:t xml:space="preserve"> defined in terms of both geographic area and frequency bandwidth.  The geographic area was defined using the ACMA’s Spectrum Map Grid that was referenced to the Australian Geocentric Datum AGD66.  See Figure 1.</w:t>
      </w:r>
    </w:p>
    <w:p w:rsidR="00D376D7" w:rsidRDefault="00D376D7" w:rsidP="00C24547">
      <w:pPr>
        <w:jc w:val="center"/>
      </w:pPr>
    </w:p>
    <w:p w:rsidR="00C24547" w:rsidRDefault="00C24547" w:rsidP="00C24547">
      <w:pPr>
        <w:jc w:val="center"/>
      </w:pPr>
      <w:r>
        <w:t>Figure 1 – Current geographical STU</w:t>
      </w:r>
    </w:p>
    <w:p w:rsidR="009211FD" w:rsidRDefault="00570EF1" w:rsidP="00D376D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91.75pt">
            <v:imagedata r:id="rId11" o:title=""/>
          </v:shape>
        </w:pict>
      </w:r>
    </w:p>
    <w:p w:rsidR="0041677C" w:rsidRDefault="0041677C" w:rsidP="0041677C">
      <w:pPr>
        <w:jc w:val="center"/>
      </w:pPr>
    </w:p>
    <w:p w:rsidR="00B0193C" w:rsidRDefault="00B0193C" w:rsidP="00B0193C">
      <w:r>
        <w:t>The ACMA in its ongoing review of spectrum license technical frameworks</w:t>
      </w:r>
      <w:r>
        <w:rPr>
          <w:rStyle w:val="FootnoteReference"/>
        </w:rPr>
        <w:footnoteReference w:id="1"/>
      </w:r>
      <w:r>
        <w:t xml:space="preserve"> has decided to move away from specifying an STU in each band to increase flexibility and better facilitate secondary trading particularly in remote and regional areas.  As part of this move ACMA has decided to adopt a uniform 5 minutes of arc map grid and using coordinates specified using the current Australian datum used for mapping and surveying.  </w:t>
      </w:r>
    </w:p>
    <w:p w:rsidR="00B0193C" w:rsidRDefault="00B0193C" w:rsidP="009211FD"/>
    <w:p w:rsidR="00884902" w:rsidRDefault="0084386E" w:rsidP="00884902">
      <w:r w:rsidDel="00CB628A">
        <w:t xml:space="preserve">Since 2000, all spatial data published by the Commonwealth and state surveying and mapping agencies – excepting unrevised historic data – has used </w:t>
      </w:r>
      <w:r w:rsidR="00180D01">
        <w:t>the Geocentric Datum of Australia 1994 (</w:t>
      </w:r>
      <w:r w:rsidDel="00CB628A">
        <w:t>GDA94</w:t>
      </w:r>
      <w:r w:rsidR="00180D01">
        <w:t>)</w:t>
      </w:r>
      <w:r w:rsidDel="00CB628A">
        <w:t>.</w:t>
      </w:r>
      <w:r w:rsidR="00415DCA">
        <w:t xml:space="preserve">  GDA94 is </w:t>
      </w:r>
      <w:r w:rsidR="00415DCA" w:rsidRPr="00642FB8">
        <w:t xml:space="preserve">an </w:t>
      </w:r>
      <w:r w:rsidR="00C171FD">
        <w:t>E</w:t>
      </w:r>
      <w:r w:rsidR="00415DCA" w:rsidRPr="00642FB8">
        <w:t>arth-centred datum compatible with satellite-based navigation systems and other</w:t>
      </w:r>
      <w:r w:rsidR="00415DCA">
        <w:t xml:space="preserve"> major international </w:t>
      </w:r>
      <w:r w:rsidR="00415DCA" w:rsidRPr="00642FB8">
        <w:t xml:space="preserve">geographic </w:t>
      </w:r>
      <w:r w:rsidR="00415DCA">
        <w:t>system</w:t>
      </w:r>
      <w:r w:rsidR="00415DCA" w:rsidRPr="00642FB8">
        <w:t xml:space="preserve">s, </w:t>
      </w:r>
      <w:r w:rsidR="00415DCA">
        <w:t>such as the World Geodetic System 1984 (WGS84).</w:t>
      </w:r>
    </w:p>
    <w:p w:rsidR="00415DCA" w:rsidRDefault="00415DCA" w:rsidP="00884902"/>
    <w:p w:rsidR="00B0193C" w:rsidRDefault="00E4594E" w:rsidP="00B0193C">
      <w:r>
        <w:t xml:space="preserve">The </w:t>
      </w:r>
      <w:r w:rsidR="00B0193C">
        <w:t xml:space="preserve">ACMA is currently in the process of updating its systems </w:t>
      </w:r>
      <w:r w:rsidR="00C80697">
        <w:t xml:space="preserve">to </w:t>
      </w:r>
      <w:r w:rsidR="00B0193C">
        <w:t xml:space="preserve">make use of the Geocentric Datum of Australia GDA94 across its entire radiocommunications database.  This new datum provides better alignment with the coordinates generated by the GPS system among other advantages.  The change of datum however leads to a non uniform translation of points along a line so altering the shape and areas within the grid.  It has been decided to minimise the impact of this by aligning old and new licence areas at the corners of the grid to minimise </w:t>
      </w:r>
      <w:r w:rsidR="00B0193C">
        <w:lastRenderedPageBreak/>
        <w:t xml:space="preserve">changes in licence areas.  For more information see </w:t>
      </w:r>
      <w:r w:rsidR="00D35D38">
        <w:t xml:space="preserve">the TLG reference paper </w:t>
      </w:r>
      <w:r w:rsidR="00D35D38">
        <w:rPr>
          <w:i/>
        </w:rPr>
        <w:t>Adoption of GDA94 for spectrum licensing</w:t>
      </w:r>
      <w:r w:rsidR="00B0193C">
        <w:t>.</w:t>
      </w:r>
    </w:p>
    <w:p w:rsidR="00B0193C" w:rsidRDefault="00B0193C" w:rsidP="00B0193C"/>
    <w:p w:rsidR="0084386E" w:rsidRPr="00375435" w:rsidRDefault="00013DF4" w:rsidP="0084386E">
      <w:pPr>
        <w:pStyle w:val="Heading3"/>
      </w:pPr>
      <w:r>
        <w:t>4</w:t>
      </w:r>
      <w:r w:rsidR="00B0193C">
        <w:t>.1</w:t>
      </w:r>
      <w:r w:rsidR="0084386E" w:rsidRPr="00375435">
        <w:tab/>
      </w:r>
      <w:r w:rsidR="0084386E">
        <w:t>Frequency STU and MCB</w:t>
      </w:r>
    </w:p>
    <w:p w:rsidR="007E4B3F" w:rsidRDefault="0005680B" w:rsidP="009211FD">
      <w:r>
        <w:t xml:space="preserve">The frequency STU is the smallest </w:t>
      </w:r>
      <w:r w:rsidR="00254553">
        <w:t>unit of spectru</w:t>
      </w:r>
      <w:r w:rsidR="0046762C">
        <w:t>m that can be traded</w:t>
      </w:r>
      <w:r w:rsidR="00ED14EE">
        <w:t xml:space="preserve">, and </w:t>
      </w:r>
      <w:r w:rsidR="00E4594E">
        <w:t xml:space="preserve">currently </w:t>
      </w:r>
      <w:r w:rsidR="00ED14EE">
        <w:t xml:space="preserve">any </w:t>
      </w:r>
      <w:r w:rsidR="0046762C">
        <w:t>trade</w:t>
      </w:r>
      <w:r w:rsidR="00254553">
        <w:t xml:space="preserve"> must also consist of whole multiples of th</w:t>
      </w:r>
      <w:r w:rsidR="00ED14EE">
        <w:t>is unit</w:t>
      </w:r>
      <w:r w:rsidR="00254553">
        <w:t>. The current STU in the 1800 MHz band is set a</w:t>
      </w:r>
      <w:r w:rsidR="0046762C">
        <w:t>t</w:t>
      </w:r>
      <w:r w:rsidR="00254553">
        <w:t xml:space="preserve"> 2.5 MHz. </w:t>
      </w:r>
      <w:r w:rsidR="00461554">
        <w:t>While the frequency STU has been important in the derivation of technical framework conditions, it has been assessed that this</w:t>
      </w:r>
      <w:r w:rsidR="00254553">
        <w:t xml:space="preserve"> requirement place</w:t>
      </w:r>
      <w:r w:rsidR="00461554">
        <w:t xml:space="preserve">s </w:t>
      </w:r>
      <w:r w:rsidR="00254553">
        <w:t>unnecessary restrictions on secondary trading of spectrum while not providing any</w:t>
      </w:r>
      <w:r w:rsidR="00461554">
        <w:t xml:space="preserve"> ongoing</w:t>
      </w:r>
      <w:r w:rsidR="00254553">
        <w:t xml:space="preserve"> technical benefit. It is therefore proposed </w:t>
      </w:r>
      <w:r w:rsidR="00693953">
        <w:t>that</w:t>
      </w:r>
      <w:r w:rsidR="00254553">
        <w:t xml:space="preserve"> the frequency STU</w:t>
      </w:r>
      <w:r w:rsidR="00693953">
        <w:t xml:space="preserve"> be changed</w:t>
      </w:r>
      <w:r w:rsidR="00254553">
        <w:t xml:space="preserve"> </w:t>
      </w:r>
      <w:r w:rsidR="00881D72">
        <w:t xml:space="preserve">to 1 Hz, essentially removing it from the </w:t>
      </w:r>
      <w:r w:rsidR="00254553">
        <w:t>1800 MHz band</w:t>
      </w:r>
      <w:r w:rsidR="00881D72">
        <w:t xml:space="preserve"> technical framework</w:t>
      </w:r>
      <w:r w:rsidR="00254553">
        <w:t>.</w:t>
      </w:r>
    </w:p>
    <w:p w:rsidR="00254553" w:rsidRDefault="00254553" w:rsidP="009211FD"/>
    <w:p w:rsidR="00461554" w:rsidRDefault="00254553" w:rsidP="007C09B7">
      <w:r>
        <w:t>Th</w:t>
      </w:r>
      <w:r w:rsidR="00881D72">
        <w:t>is change</w:t>
      </w:r>
      <w:r w:rsidR="00467821">
        <w:t xml:space="preserve"> </w:t>
      </w:r>
      <w:r w:rsidR="00693953">
        <w:t>while</w:t>
      </w:r>
      <w:r>
        <w:t xml:space="preserve"> increas</w:t>
      </w:r>
      <w:r w:rsidR="00693953">
        <w:t>ing</w:t>
      </w:r>
      <w:r>
        <w:t xml:space="preserve"> spectrum trading flexibility </w:t>
      </w:r>
      <w:r w:rsidR="00693953">
        <w:t>could</w:t>
      </w:r>
      <w:r>
        <w:t xml:space="preserve"> also lead to fragmentation</w:t>
      </w:r>
      <w:r w:rsidR="00693953">
        <w:t xml:space="preserve"> in the band</w:t>
      </w:r>
      <w:r>
        <w:t xml:space="preserve">. </w:t>
      </w:r>
      <w:r w:rsidR="002456F2">
        <w:t>Specifying a</w:t>
      </w:r>
      <w:r w:rsidR="00E84D03">
        <w:t xml:space="preserve"> recommended</w:t>
      </w:r>
      <w:r w:rsidR="002456F2">
        <w:t xml:space="preserve"> Minimum Contiguous Bandwidth (MCB)</w:t>
      </w:r>
      <w:r>
        <w:t xml:space="preserve"> </w:t>
      </w:r>
      <w:r w:rsidR="0084386E">
        <w:t xml:space="preserve">in the 1800 MHz band </w:t>
      </w:r>
      <w:r>
        <w:t xml:space="preserve">will </w:t>
      </w:r>
      <w:r w:rsidR="0084386E">
        <w:t xml:space="preserve">help </w:t>
      </w:r>
      <w:r>
        <w:t xml:space="preserve">prevent </w:t>
      </w:r>
      <w:r w:rsidR="00693953">
        <w:t>f</w:t>
      </w:r>
      <w:r>
        <w:t xml:space="preserve">ragmentation through </w:t>
      </w:r>
      <w:r w:rsidR="00693953">
        <w:t>ensuring</w:t>
      </w:r>
      <w:r>
        <w:t xml:space="preserve"> </w:t>
      </w:r>
      <w:r w:rsidR="002456F2">
        <w:t xml:space="preserve">the </w:t>
      </w:r>
      <w:r w:rsidR="0046762C">
        <w:t xml:space="preserve">minimum amount of </w:t>
      </w:r>
      <w:r w:rsidR="00467821">
        <w:t xml:space="preserve">contiguous </w:t>
      </w:r>
      <w:r w:rsidR="0046762C">
        <w:t>spectrum per</w:t>
      </w:r>
      <w:r w:rsidR="007C09B7">
        <w:t xml:space="preserve"> licence </w:t>
      </w:r>
      <w:r w:rsidR="00693953">
        <w:t xml:space="preserve">is maintained </w:t>
      </w:r>
      <w:r w:rsidR="007C09B7">
        <w:t>as a result of a trade.</w:t>
      </w:r>
      <w:r w:rsidR="00467821">
        <w:t xml:space="preserve"> No MCB is currently defined for the 1800 MHz band.</w:t>
      </w:r>
      <w:r w:rsidR="007C09B7">
        <w:t xml:space="preserve"> </w:t>
      </w:r>
    </w:p>
    <w:p w:rsidR="00231573" w:rsidRDefault="00231573" w:rsidP="007C09B7"/>
    <w:p w:rsidR="00B34EF1" w:rsidRDefault="0046762C" w:rsidP="004F19DA">
      <w:r>
        <w:t xml:space="preserve">As there is no </w:t>
      </w:r>
      <w:r w:rsidR="00384BFC">
        <w:t>defined</w:t>
      </w:r>
      <w:r>
        <w:t xml:space="preserve"> MCB under the current framework</w:t>
      </w:r>
      <w:r w:rsidR="00693953">
        <w:t>, by def</w:t>
      </w:r>
      <w:r w:rsidR="00E41B8F">
        <w:t>a</w:t>
      </w:r>
      <w:r w:rsidR="00693953">
        <w:t>ult</w:t>
      </w:r>
      <w:r>
        <w:t xml:space="preserve"> it </w:t>
      </w:r>
      <w:r w:rsidR="00E41B8F">
        <w:t>is</w:t>
      </w:r>
      <w:r>
        <w:t xml:space="preserve"> set to equal one STU, i.e. 2.5 MHz</w:t>
      </w:r>
      <w:r w:rsidR="00375712">
        <w:t>, which is also the minimum bandwidth of current spectrum allocations in the band</w:t>
      </w:r>
      <w:r>
        <w:t xml:space="preserve">. </w:t>
      </w:r>
      <w:r w:rsidR="00384BFC">
        <w:t>As it is proposed to change the STU value to 1 Hz, it is</w:t>
      </w:r>
      <w:r w:rsidR="00AC2F43">
        <w:t xml:space="preserve"> therefore</w:t>
      </w:r>
      <w:r w:rsidR="00384BFC">
        <w:t xml:space="preserve"> proposed to </w:t>
      </w:r>
      <w:proofErr w:type="gramStart"/>
      <w:r w:rsidR="00384BFC">
        <w:t>defined</w:t>
      </w:r>
      <w:proofErr w:type="gramEnd"/>
      <w:r w:rsidR="00384BFC">
        <w:t xml:space="preserve"> the MCB independent of the STU.</w:t>
      </w:r>
    </w:p>
    <w:p w:rsidR="009734E4" w:rsidRDefault="009734E4" w:rsidP="009734E4"/>
    <w:p w:rsidR="009734E4" w:rsidRDefault="009734E4" w:rsidP="009734E4">
      <w:r>
        <w:t xml:space="preserve">Typically the MCB under a spectrum licence has been chosen based on both system technical requirements and marketing goals.  From a technical perspective, the MCB should be the minimum bandwidth required to support a service.  For example, sufficient aggregated bandwidth needs to be provided to give a licensee enough channels to support a practical or viable system. </w:t>
      </w:r>
    </w:p>
    <w:p w:rsidR="00B34EF1" w:rsidRDefault="00B34EF1" w:rsidP="004F19DA"/>
    <w:p w:rsidR="00231573" w:rsidRDefault="004B0684" w:rsidP="004F19DA">
      <w:r>
        <w:t>In consideration of the reference technologies i</w:t>
      </w:r>
      <w:r w:rsidR="009734E4">
        <w:t>t is proposed to increase</w:t>
      </w:r>
      <w:r w:rsidR="00B34EF1">
        <w:t xml:space="preserve"> the MCB </w:t>
      </w:r>
      <w:r w:rsidR="009734E4">
        <w:t xml:space="preserve">size from 2.5 MHz to </w:t>
      </w:r>
      <w:r w:rsidR="00B34EF1">
        <w:t>5 MHz</w:t>
      </w:r>
      <w:r>
        <w:t xml:space="preserve">. </w:t>
      </w:r>
      <w:r w:rsidR="00EF5EED">
        <w:t xml:space="preserve">Although some </w:t>
      </w:r>
      <w:r w:rsidR="00DB0A67">
        <w:t>of the reference technologies</w:t>
      </w:r>
      <w:r w:rsidR="00EF5EED">
        <w:t xml:space="preserve"> allow for </w:t>
      </w:r>
      <w:r w:rsidR="00DB0A67">
        <w:t xml:space="preserve">channel </w:t>
      </w:r>
      <w:r w:rsidR="00EF5EED">
        <w:t>bandwidth</w:t>
      </w:r>
      <w:r w:rsidR="00DB0A67">
        <w:t>s of</w:t>
      </w:r>
      <w:r w:rsidR="00EF5EED">
        <w:t xml:space="preserve"> less than 5 MHz, 5 MHz is recognised as the minimum required </w:t>
      </w:r>
      <w:r w:rsidR="00EE2C8F">
        <w:t xml:space="preserve">bandwidth </w:t>
      </w:r>
      <w:r w:rsidR="00EF5EED">
        <w:t xml:space="preserve">to provide a viable service. </w:t>
      </w:r>
      <w:r w:rsidR="007A20EE">
        <w:t>It is also consistent with minimum block sizes in bands where IMT technologies are used internationally.</w:t>
      </w:r>
    </w:p>
    <w:p w:rsidR="00231573" w:rsidRDefault="00231573" w:rsidP="004F19DA"/>
    <w:p w:rsidR="004F19DA" w:rsidRDefault="00231573" w:rsidP="004F19DA">
      <w:r>
        <w:t xml:space="preserve">To further enhance trading flexibility the amended </w:t>
      </w:r>
      <w:r>
        <w:rPr>
          <w:i/>
        </w:rPr>
        <w:t>Radiocommunications (Trading Rules for Spectrum Licences) Determination 1998</w:t>
      </w:r>
      <w:r>
        <w:t xml:space="preserve"> will define the MCB as a ‘recommended’ </w:t>
      </w:r>
      <w:r w:rsidR="005929C1">
        <w:t>value</w:t>
      </w:r>
      <w:r>
        <w:t>. A</w:t>
      </w:r>
      <w:r w:rsidR="004F19DA">
        <w:t xml:space="preserve">ny spectrum trades where the resultant licences have a contiguous bandwidth of less than the </w:t>
      </w:r>
      <w:r w:rsidR="00E84D03">
        <w:t>r</w:t>
      </w:r>
      <w:r w:rsidR="005929C1">
        <w:t xml:space="preserve">ecommended </w:t>
      </w:r>
      <w:r w:rsidR="004F19DA">
        <w:t xml:space="preserve">MCB </w:t>
      </w:r>
      <w:r w:rsidR="00467821">
        <w:t>will</w:t>
      </w:r>
      <w:r w:rsidR="004F19DA">
        <w:t xml:space="preserve"> not</w:t>
      </w:r>
      <w:r w:rsidR="00467821">
        <w:t xml:space="preserve"> be</w:t>
      </w:r>
      <w:r w:rsidR="004F19DA">
        <w:t xml:space="preserve"> allowed unless </w:t>
      </w:r>
      <w:r w:rsidR="005929C1">
        <w:t>approved</w:t>
      </w:r>
      <w:r w:rsidR="004F19DA">
        <w:t xml:space="preserve"> by the ACMA.</w:t>
      </w:r>
    </w:p>
    <w:p w:rsidR="00EE2C8F" w:rsidRDefault="00810C29" w:rsidP="0037556B">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46762C" w:rsidTr="0046762C">
        <w:tc>
          <w:tcPr>
            <w:tcW w:w="9242" w:type="dxa"/>
          </w:tcPr>
          <w:p w:rsidR="00467821" w:rsidRDefault="001D3940" w:rsidP="0037556B">
            <w:r>
              <w:t>It is</w:t>
            </w:r>
            <w:r w:rsidR="0046762C">
              <w:t xml:space="preserve"> proposed</w:t>
            </w:r>
            <w:r w:rsidR="0041677C">
              <w:t xml:space="preserve"> </w:t>
            </w:r>
            <w:r>
              <w:t>to</w:t>
            </w:r>
            <w:r w:rsidR="00467821">
              <w:t>:</w:t>
            </w:r>
          </w:p>
          <w:p w:rsidR="004F19DA" w:rsidRDefault="00467821" w:rsidP="00467821">
            <w:pPr>
              <w:numPr>
                <w:ilvl w:val="0"/>
                <w:numId w:val="42"/>
              </w:numPr>
            </w:pPr>
            <w:r>
              <w:t>Define an</w:t>
            </w:r>
            <w:r w:rsidR="001D3940">
              <w:t xml:space="preserve"> </w:t>
            </w:r>
            <w:r w:rsidR="0046762C">
              <w:t>MCB</w:t>
            </w:r>
            <w:r w:rsidR="001D3940">
              <w:t xml:space="preserve"> of 5 MHz</w:t>
            </w:r>
            <w:r w:rsidR="0046762C">
              <w:t xml:space="preserve"> for the technical framework of the 1800 MHz spectrum licence </w:t>
            </w:r>
            <w:r w:rsidR="00EE7555">
              <w:t>band;</w:t>
            </w:r>
            <w:r w:rsidR="00E84D03">
              <w:t xml:space="preserve"> however it will be re-defined as a ‘r</w:t>
            </w:r>
            <w:r w:rsidR="005929C1">
              <w:t>ecommended</w:t>
            </w:r>
            <w:r w:rsidR="00E84D03">
              <w:t>’</w:t>
            </w:r>
            <w:r w:rsidR="005929C1">
              <w:t xml:space="preserve"> MCB</w:t>
            </w:r>
            <w:r w:rsidR="0046762C">
              <w:t xml:space="preserve">. </w:t>
            </w:r>
            <w:r w:rsidR="004F19DA">
              <w:t>Approval from the ACMA is required for any spectrum trades that result in licences with</w:t>
            </w:r>
            <w:r w:rsidR="005929C1">
              <w:t xml:space="preserve"> contiguous</w:t>
            </w:r>
            <w:r w:rsidR="004F19DA">
              <w:t xml:space="preserve"> bandwidths of less than 5 MHz.</w:t>
            </w:r>
          </w:p>
          <w:p w:rsidR="00467821" w:rsidRDefault="00467821" w:rsidP="00467821">
            <w:pPr>
              <w:numPr>
                <w:ilvl w:val="0"/>
                <w:numId w:val="42"/>
              </w:numPr>
            </w:pPr>
            <w:r>
              <w:t xml:space="preserve">Change the frequency component of the STU to 1 Hz, essentially removing this item from the </w:t>
            </w:r>
            <w:r w:rsidR="00384BFC">
              <w:t>trading requirements</w:t>
            </w:r>
            <w:r>
              <w:t>.</w:t>
            </w:r>
          </w:p>
          <w:p w:rsidR="00AE3309" w:rsidRDefault="00467821" w:rsidP="00467821">
            <w:pPr>
              <w:numPr>
                <w:ilvl w:val="0"/>
                <w:numId w:val="42"/>
              </w:numPr>
            </w:pPr>
            <w:r>
              <w:t>I</w:t>
            </w:r>
            <w:r w:rsidR="00F046E1">
              <w:t>ncrease the resolution of the geographical STU</w:t>
            </w:r>
            <w:r w:rsidR="00AE3309">
              <w:t xml:space="preserve"> to </w:t>
            </w:r>
            <w:r w:rsidR="00F046E1">
              <w:t xml:space="preserve">a </w:t>
            </w:r>
            <w:r w:rsidR="00AE3309">
              <w:t xml:space="preserve">5x5 minute </w:t>
            </w:r>
            <w:r w:rsidR="00DF2CBB">
              <w:t>cell size</w:t>
            </w:r>
            <w:r w:rsidR="00AE3309">
              <w:t xml:space="preserve"> Australia-wide</w:t>
            </w:r>
            <w:r w:rsidR="00F046E1">
              <w:t>.</w:t>
            </w:r>
          </w:p>
        </w:tc>
      </w:tr>
    </w:tbl>
    <w:p w:rsidR="0037556B" w:rsidRDefault="00FA7CDB" w:rsidP="0037556B">
      <w:r>
        <w:lastRenderedPageBreak/>
        <w:t xml:space="preserve">  </w:t>
      </w:r>
    </w:p>
    <w:p w:rsidR="0037556B" w:rsidRPr="00330750" w:rsidRDefault="0037556B" w:rsidP="0050084A">
      <w:pPr>
        <w:pStyle w:val="Heading2"/>
        <w:numPr>
          <w:ilvl w:val="0"/>
          <w:numId w:val="5"/>
        </w:numPr>
      </w:pPr>
      <w:r w:rsidRPr="00330750">
        <w:t>Out-of-</w:t>
      </w:r>
      <w:r w:rsidR="00D062A2">
        <w:t>a</w:t>
      </w:r>
      <w:r w:rsidRPr="00330750">
        <w:t>rea Emission Limit (a licence core condition)</w:t>
      </w:r>
    </w:p>
    <w:p w:rsidR="00F12BCB" w:rsidRDefault="0037556B" w:rsidP="0037556B">
      <w:r>
        <w:t>Emissions that fall outside the geographic area of a spectrum licence are limited by a core condition of the licence.  Th</w:t>
      </w:r>
      <w:r w:rsidR="002B61B0">
        <w:t>e form of th</w:t>
      </w:r>
      <w:r>
        <w:t xml:space="preserve">is condition </w:t>
      </w:r>
      <w:r w:rsidR="0049250E">
        <w:t xml:space="preserve">(found </w:t>
      </w:r>
      <w:r w:rsidR="00F12BCB">
        <w:t xml:space="preserve">in the </w:t>
      </w:r>
      <w:r w:rsidR="0049250E">
        <w:t xml:space="preserve">draft </w:t>
      </w:r>
      <w:r w:rsidR="00F12BCB">
        <w:t xml:space="preserve">licence </w:t>
      </w:r>
      <w:r w:rsidR="0049250E">
        <w:t xml:space="preserve">in the marketing plan) </w:t>
      </w:r>
      <w:r>
        <w:t xml:space="preserve">places </w:t>
      </w:r>
      <w:r w:rsidR="00D062A2">
        <w:t>a limit</w:t>
      </w:r>
      <w:r>
        <w:t xml:space="preserve"> on the horizontal</w:t>
      </w:r>
      <w:r w:rsidR="002B61B0">
        <w:t>ly</w:t>
      </w:r>
      <w:r>
        <w:t xml:space="preserve"> radiated </w:t>
      </w:r>
      <w:r w:rsidR="0049250E">
        <w:t xml:space="preserve">true mean </w:t>
      </w:r>
      <w:r>
        <w:t xml:space="preserve">power </w:t>
      </w:r>
      <w:r w:rsidR="0049250E">
        <w:t>anywhere in the</w:t>
      </w:r>
      <w:r>
        <w:t xml:space="preserve"> area of the licen</w:t>
      </w:r>
      <w:r w:rsidR="00D062A2">
        <w:t>c</w:t>
      </w:r>
      <w:r>
        <w:t>e</w:t>
      </w:r>
      <w:r w:rsidR="0049250E">
        <w:t xml:space="preserve"> and thus towards adjacent licen</w:t>
      </w:r>
      <w:r w:rsidR="00384BFC">
        <w:t>c</w:t>
      </w:r>
      <w:r w:rsidR="0049250E">
        <w:t>es</w:t>
      </w:r>
      <w:r>
        <w:t xml:space="preserve">.  </w:t>
      </w:r>
    </w:p>
    <w:p w:rsidR="00F12BCB" w:rsidRDefault="00F12BCB" w:rsidP="0037556B"/>
    <w:p w:rsidR="00F12BCB" w:rsidRDefault="0037556B" w:rsidP="0037556B">
      <w:r>
        <w:t>Expressing the limit this way helps to control the maximum level of radiated signal</w:t>
      </w:r>
      <w:r w:rsidR="002B61B0">
        <w:t xml:space="preserve"> f</w:t>
      </w:r>
      <w:r w:rsidR="0049250E">
        <w:t>rom</w:t>
      </w:r>
      <w:r w:rsidR="002B61B0">
        <w:t xml:space="preserve"> stations within the licence area</w:t>
      </w:r>
      <w:r w:rsidR="00F12BCB">
        <w:t xml:space="preserve">. </w:t>
      </w:r>
      <w:r>
        <w:t xml:space="preserve"> </w:t>
      </w:r>
      <w:r w:rsidR="00F12BCB">
        <w:t>T</w:t>
      </w:r>
      <w:r>
        <w:t>h</w:t>
      </w:r>
      <w:r w:rsidR="00713126">
        <w:t>e</w:t>
      </w:r>
      <w:r>
        <w:t xml:space="preserve"> </w:t>
      </w:r>
      <w:r w:rsidR="00713126">
        <w:t xml:space="preserve">limit directly </w:t>
      </w:r>
      <w:r>
        <w:t xml:space="preserve">affects the risk of receiver overload and the levels of site generated intermodulation products that may cause interference to receivers in close proximity.  </w:t>
      </w:r>
      <w:r w:rsidR="00713126">
        <w:t xml:space="preserve">However this gross value is typically unsuitable for </w:t>
      </w:r>
      <w:r w:rsidR="00F12BCB">
        <w:t>coordination between co</w:t>
      </w:r>
      <w:r w:rsidR="0049250E">
        <w:t>-</w:t>
      </w:r>
      <w:r w:rsidR="00F12BCB">
        <w:t>frequency adjacent areas</w:t>
      </w:r>
      <w:r w:rsidR="00713126">
        <w:t>.</w:t>
      </w:r>
    </w:p>
    <w:p w:rsidR="005B22BC" w:rsidRDefault="005B22BC" w:rsidP="0037556B"/>
    <w:p w:rsidR="005B22BC" w:rsidRDefault="005B22BC" w:rsidP="005B22BC">
      <w:r>
        <w:t xml:space="preserve">The </w:t>
      </w:r>
      <w:r w:rsidR="00D37C5D">
        <w:t>o</w:t>
      </w:r>
      <w:r>
        <w:t>ut-of-</w:t>
      </w:r>
      <w:r w:rsidR="00D062A2">
        <w:t>a</w:t>
      </w:r>
      <w:r>
        <w:t xml:space="preserve">rea </w:t>
      </w:r>
      <w:r w:rsidR="00D062A2">
        <w:t>e</w:t>
      </w:r>
      <w:r>
        <w:t xml:space="preserve">mission </w:t>
      </w:r>
      <w:r w:rsidR="00D062A2">
        <w:t>l</w:t>
      </w:r>
      <w:r>
        <w:t xml:space="preserve">imit </w:t>
      </w:r>
      <w:r w:rsidR="008A514D">
        <w:t xml:space="preserve">in the licence </w:t>
      </w:r>
      <w:r>
        <w:t xml:space="preserve">is generally chosen to </w:t>
      </w:r>
      <w:r w:rsidR="00384BFC">
        <w:t>encompass transmitter powers</w:t>
      </w:r>
      <w:r>
        <w:t xml:space="preserve"> likely to be implemented</w:t>
      </w:r>
      <w:r w:rsidR="00250837">
        <w:t xml:space="preserve"> </w:t>
      </w:r>
      <w:r w:rsidR="00F2640E">
        <w:t>while allowing for</w:t>
      </w:r>
      <w:r>
        <w:t xml:space="preserve"> likely technology developments.  </w:t>
      </w:r>
      <w:r w:rsidR="00D37C5D">
        <w:t>This provides</w:t>
      </w:r>
      <w:r w:rsidR="00D062A2">
        <w:t xml:space="preserve"> continuing flexibility of the technical framework by enabling technologies</w:t>
      </w:r>
      <w:r w:rsidR="00D37C5D">
        <w:t xml:space="preserve"> and system configurations</w:t>
      </w:r>
      <w:r w:rsidR="00D062A2">
        <w:t xml:space="preserve"> not </w:t>
      </w:r>
      <w:r w:rsidR="00D37C5D">
        <w:t>foreseen</w:t>
      </w:r>
      <w:r w:rsidR="00D062A2">
        <w:t xml:space="preserve"> in the development of the framework to be deployed.</w:t>
      </w:r>
    </w:p>
    <w:p w:rsidR="008A514D" w:rsidRDefault="008A514D" w:rsidP="0037556B"/>
    <w:p w:rsidR="0037556B" w:rsidRPr="00375435" w:rsidRDefault="00013DF4" w:rsidP="00142227">
      <w:pPr>
        <w:pStyle w:val="Heading3"/>
      </w:pPr>
      <w:r>
        <w:t>5</w:t>
      </w:r>
      <w:r w:rsidR="00142227">
        <w:t>.1</w:t>
      </w:r>
      <w:r w:rsidR="0037556B" w:rsidRPr="00375435">
        <w:tab/>
      </w:r>
      <w:r w:rsidR="00501FDC">
        <w:t>Current arrangements</w:t>
      </w:r>
    </w:p>
    <w:p w:rsidR="00BE7B13" w:rsidRDefault="00501FDC" w:rsidP="0037556B">
      <w:r>
        <w:t xml:space="preserve">The current </w:t>
      </w:r>
      <w:r w:rsidR="00D37C5D">
        <w:t>o</w:t>
      </w:r>
      <w:r>
        <w:t>ut-of-</w:t>
      </w:r>
      <w:r w:rsidR="00D37C5D">
        <w:t>a</w:t>
      </w:r>
      <w:r>
        <w:t xml:space="preserve">rea </w:t>
      </w:r>
      <w:r w:rsidR="00D37C5D">
        <w:t>e</w:t>
      </w:r>
      <w:r>
        <w:t>mission limit in the 1800 MHz band is</w:t>
      </w:r>
      <w:r w:rsidR="00D37C5D">
        <w:t xml:space="preserve"> an EIRP of</w:t>
      </w:r>
      <w:r>
        <w:t xml:space="preserve"> 54.5 dBm/30kHz. This level was </w:t>
      </w:r>
      <w:r w:rsidR="00D37C5D">
        <w:t xml:space="preserve">agreed during the TLG process for the first 1800 MHz band spectrum licences </w:t>
      </w:r>
      <w:r>
        <w:t>based on a high powered regional GSM base station. In comparison</w:t>
      </w:r>
      <w:r w:rsidR="00E74C40">
        <w:t>,</w:t>
      </w:r>
      <w:r>
        <w:t xml:space="preserve"> wideband IMT technologies typically</w:t>
      </w:r>
      <w:r w:rsidR="00467821">
        <w:t xml:space="preserve"> operate using</w:t>
      </w:r>
      <w:r>
        <w:t xml:space="preserve"> a lower power spectral density than narrow band GSM services.</w:t>
      </w:r>
    </w:p>
    <w:p w:rsidR="00BE7B13" w:rsidRDefault="00BE7B13" w:rsidP="0037556B">
      <w:r>
        <w:tab/>
      </w:r>
      <w:r>
        <w:tab/>
      </w:r>
    </w:p>
    <w:p w:rsidR="0037556B" w:rsidRPr="00375435" w:rsidRDefault="00013DF4" w:rsidP="00375435">
      <w:pPr>
        <w:pStyle w:val="Heading3"/>
      </w:pPr>
      <w:r>
        <w:t>5</w:t>
      </w:r>
      <w:r w:rsidR="0037556B" w:rsidRPr="00375435">
        <w:t>.2</w:t>
      </w:r>
      <w:r w:rsidR="0037556B" w:rsidRPr="00375435">
        <w:tab/>
        <w:t>Proposed Out-of-Area Emission Limit</w:t>
      </w:r>
    </w:p>
    <w:p w:rsidR="004E6E4D" w:rsidRDefault="004E6E4D" w:rsidP="0037556B">
      <w:pPr>
        <w:rPr>
          <w:rFonts w:ascii="Cambria" w:eastAsia="Times New Roman" w:hAnsi="Cambria"/>
          <w:b/>
          <w:bCs/>
          <w:color w:val="4F81BD"/>
          <w:sz w:val="22"/>
          <w:szCs w:val="22"/>
          <w:lang w:eastAsia="en-US"/>
        </w:rPr>
      </w:pPr>
    </w:p>
    <w:tbl>
      <w:tblPr>
        <w:tblStyle w:val="TableGrid"/>
        <w:tblW w:w="0" w:type="auto"/>
        <w:tblLook w:val="04A0"/>
      </w:tblPr>
      <w:tblGrid>
        <w:gridCol w:w="9242"/>
      </w:tblGrid>
      <w:tr w:rsidR="00592420" w:rsidTr="00592420">
        <w:tc>
          <w:tcPr>
            <w:tcW w:w="9242" w:type="dxa"/>
          </w:tcPr>
          <w:p w:rsidR="00592420" w:rsidRDefault="00E74C40" w:rsidP="00E74C40">
            <w:pPr>
              <w:rPr>
                <w:lang w:eastAsia="en-US"/>
              </w:rPr>
            </w:pPr>
            <w:r>
              <w:rPr>
                <w:lang w:eastAsia="en-US"/>
              </w:rPr>
              <w:t>It is proposed to maintain the current</w:t>
            </w:r>
            <w:r w:rsidR="00592420">
              <w:rPr>
                <w:lang w:eastAsia="en-US"/>
              </w:rPr>
              <w:t xml:space="preserve"> out-of-area</w:t>
            </w:r>
            <w:r>
              <w:rPr>
                <w:lang w:eastAsia="en-US"/>
              </w:rPr>
              <w:t xml:space="preserve"> emission</w:t>
            </w:r>
            <w:r w:rsidR="00592420">
              <w:rPr>
                <w:lang w:eastAsia="en-US"/>
              </w:rPr>
              <w:t xml:space="preserve"> limit </w:t>
            </w:r>
            <w:r>
              <w:rPr>
                <w:lang w:eastAsia="en-US"/>
              </w:rPr>
              <w:t>of</w:t>
            </w:r>
            <w:r w:rsidR="00C80697">
              <w:rPr>
                <w:lang w:eastAsia="en-US"/>
              </w:rPr>
              <w:t xml:space="preserve"> a horizontally radiated maximum true mean power of</w:t>
            </w:r>
            <w:r w:rsidR="00592420">
              <w:rPr>
                <w:lang w:eastAsia="en-US"/>
              </w:rPr>
              <w:t xml:space="preserve"> 54.5 dBm</w:t>
            </w:r>
            <w:r>
              <w:rPr>
                <w:lang w:eastAsia="en-US"/>
              </w:rPr>
              <w:t>/30 kHz</w:t>
            </w:r>
            <w:r w:rsidR="00592420">
              <w:rPr>
                <w:lang w:eastAsia="en-US"/>
              </w:rPr>
              <w:t xml:space="preserve"> EIRP for licences in the 1800 MHz band.</w:t>
            </w:r>
          </w:p>
        </w:tc>
      </w:tr>
    </w:tbl>
    <w:p w:rsidR="00592420" w:rsidRDefault="00592420" w:rsidP="0037556B">
      <w:pPr>
        <w:rPr>
          <w:rFonts w:ascii="Cambria" w:eastAsia="Times New Roman" w:hAnsi="Cambria"/>
          <w:b/>
          <w:bCs/>
          <w:color w:val="4F81BD"/>
          <w:sz w:val="22"/>
          <w:szCs w:val="22"/>
          <w:lang w:eastAsia="en-US"/>
        </w:rPr>
      </w:pPr>
    </w:p>
    <w:p w:rsidR="00EE0402" w:rsidRDefault="00EE0402" w:rsidP="0037556B">
      <w:r>
        <w:t>Typical IMT technologies have a lower power spectral density than the proposed out-of-area limit. Maintaining the current level will allow the continued use of GSM as well as providing a buffer to cover future technological development over the period of the licence.</w:t>
      </w:r>
    </w:p>
    <w:p w:rsidR="00EE0402" w:rsidRDefault="00EE0402" w:rsidP="0037556B"/>
    <w:p w:rsidR="00DF6F48" w:rsidRDefault="0037556B" w:rsidP="0037556B">
      <w:r>
        <w:t xml:space="preserve">This limit is </w:t>
      </w:r>
      <w:r w:rsidR="00920DFC">
        <w:t>slightly less than</w:t>
      </w:r>
      <w:r w:rsidR="00CC7FC3">
        <w:t xml:space="preserve"> that</w:t>
      </w:r>
      <w:r>
        <w:t xml:space="preserve"> found in the 2 GHz (55</w:t>
      </w:r>
      <w:r w:rsidR="00DF6F48">
        <w:t> </w:t>
      </w:r>
      <w:r>
        <w:t>dBm</w:t>
      </w:r>
      <w:r w:rsidR="00D96E86">
        <w:t>/30kHz</w:t>
      </w:r>
      <w:r>
        <w:t xml:space="preserve"> EIRP</w:t>
      </w:r>
      <w:r w:rsidR="00D96E86">
        <w:t>)</w:t>
      </w:r>
      <w:r>
        <w:t xml:space="preserve"> </w:t>
      </w:r>
      <w:r w:rsidR="00CC7FC3">
        <w:t>and slightly greater than that in the</w:t>
      </w:r>
      <w:r>
        <w:t xml:space="preserve"> 3.4 GHz (52 dBm</w:t>
      </w:r>
      <w:r w:rsidR="00D96E86">
        <w:t>/</w:t>
      </w:r>
      <w:r>
        <w:t>30 kHz</w:t>
      </w:r>
      <w:r w:rsidR="00D96E86">
        <w:t xml:space="preserve"> EIRP</w:t>
      </w:r>
      <w:r>
        <w:t>) spectrum licence</w:t>
      </w:r>
      <w:r w:rsidR="00BB4274">
        <w:t xml:space="preserve">.  </w:t>
      </w:r>
    </w:p>
    <w:p w:rsidR="00467821" w:rsidRDefault="00467821"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D376D7" w:rsidRDefault="00D376D7" w:rsidP="0037556B"/>
    <w:p w:rsidR="00EE2C8F" w:rsidRDefault="00EE2C8F" w:rsidP="0037556B"/>
    <w:p w:rsidR="0037556B" w:rsidRPr="008C1E36" w:rsidRDefault="00013DF4" w:rsidP="0037556B">
      <w:pPr>
        <w:rPr>
          <w:rStyle w:val="Heading2Char"/>
          <w:rFonts w:eastAsia="Batang"/>
        </w:rPr>
      </w:pPr>
      <w:r>
        <w:rPr>
          <w:rFonts w:ascii="Cambria" w:eastAsia="Times New Roman" w:hAnsi="Cambria"/>
          <w:b/>
          <w:bCs/>
          <w:color w:val="4F81BD"/>
          <w:sz w:val="26"/>
          <w:szCs w:val="26"/>
          <w:lang w:eastAsia="en-US"/>
        </w:rPr>
        <w:lastRenderedPageBreak/>
        <w:t>6</w:t>
      </w:r>
      <w:r w:rsidR="0037556B" w:rsidRPr="0050084A">
        <w:rPr>
          <w:rFonts w:ascii="Cambria" w:eastAsia="Times New Roman" w:hAnsi="Cambria"/>
          <w:b/>
          <w:bCs/>
          <w:color w:val="4F81BD"/>
          <w:sz w:val="26"/>
          <w:szCs w:val="26"/>
          <w:lang w:eastAsia="en-US"/>
        </w:rPr>
        <w:tab/>
      </w:r>
      <w:r w:rsidR="0037556B" w:rsidRPr="008C1E36">
        <w:rPr>
          <w:rStyle w:val="Heading2Char"/>
          <w:rFonts w:eastAsia="Batang"/>
        </w:rPr>
        <w:t>Out-of-</w:t>
      </w:r>
      <w:r w:rsidR="00D96E86">
        <w:rPr>
          <w:rStyle w:val="Heading2Char"/>
          <w:rFonts w:eastAsia="Batang"/>
        </w:rPr>
        <w:t>b</w:t>
      </w:r>
      <w:r w:rsidR="0037556B" w:rsidRPr="008C1E36">
        <w:rPr>
          <w:rStyle w:val="Heading2Char"/>
          <w:rFonts w:eastAsia="Batang"/>
        </w:rPr>
        <w:t>and Emission Limits (a licence core condition)</w:t>
      </w:r>
    </w:p>
    <w:p w:rsidR="0037556B" w:rsidRDefault="00D96E86" w:rsidP="0037556B">
      <w:r>
        <w:t>The o</w:t>
      </w:r>
      <w:r w:rsidR="0037556B">
        <w:t xml:space="preserve">ut-of-band emission limits are </w:t>
      </w:r>
      <w:r>
        <w:t>a</w:t>
      </w:r>
      <w:r w:rsidR="0037556B">
        <w:t xml:space="preserve"> core condition of the licence.  These limits control emissions affecting licensees in adjacent</w:t>
      </w:r>
      <w:r>
        <w:t xml:space="preserve"> geographic</w:t>
      </w:r>
      <w:r w:rsidR="0037556B">
        <w:t xml:space="preserve"> holdings across the frequency boundaries of the licence.  These limits also include requirements for </w:t>
      </w:r>
      <w:r w:rsidR="0033581A">
        <w:t xml:space="preserve">both </w:t>
      </w:r>
      <w:r w:rsidR="0037556B">
        <w:t>non-spurious unwanted emissions and spurious emissions.</w:t>
      </w:r>
    </w:p>
    <w:p w:rsidR="0037556B" w:rsidRDefault="0037556B" w:rsidP="0037556B"/>
    <w:p w:rsidR="0037556B" w:rsidRDefault="0037556B" w:rsidP="0037556B">
      <w:r>
        <w:t>Non-spurious unwanted emissions are modulation-generated noise or intermodulation products caused by the transmission of information, or broadband noise generated by the transmitter.  Spurious emissions are emissions including intermodulation products, harmonics and frequency conversion products not associated with the transmission of information by the transmitter.</w:t>
      </w:r>
    </w:p>
    <w:p w:rsidR="0037556B" w:rsidRDefault="00013DF4" w:rsidP="00375435">
      <w:pPr>
        <w:pStyle w:val="Heading3"/>
      </w:pPr>
      <w:r>
        <w:t>6</w:t>
      </w:r>
      <w:r w:rsidR="00EE0402">
        <w:t>.1</w:t>
      </w:r>
      <w:r w:rsidR="00EE0402">
        <w:tab/>
        <w:t>Current</w:t>
      </w:r>
      <w:r w:rsidR="00713126" w:rsidRPr="00375435">
        <w:t xml:space="preserve"> </w:t>
      </w:r>
      <w:r w:rsidR="0037556B" w:rsidRPr="00375435">
        <w:t>Limits</w:t>
      </w:r>
    </w:p>
    <w:p w:rsidR="005B6D8E" w:rsidRDefault="005B6D8E" w:rsidP="00EE0402">
      <w:pPr>
        <w:rPr>
          <w:lang w:eastAsia="en-US"/>
        </w:rPr>
      </w:pPr>
      <w:r>
        <w:rPr>
          <w:lang w:eastAsia="en-US"/>
        </w:rPr>
        <w:t>The current framework specifies both spurious and non-spurious out-of-band emission limits. Different non-spurious limits are specified for emissions inside the 1800 MHz band</w:t>
      </w:r>
      <w:r w:rsidR="00250837">
        <w:rPr>
          <w:lang w:eastAsia="en-US"/>
        </w:rPr>
        <w:t xml:space="preserve"> (applicable to frequency offsets </w:t>
      </w:r>
      <w:r w:rsidR="00FA4047">
        <w:rPr>
          <w:lang w:eastAsia="en-US"/>
        </w:rPr>
        <w:t>from</w:t>
      </w:r>
      <w:r w:rsidR="00250837">
        <w:rPr>
          <w:lang w:eastAsia="en-US"/>
        </w:rPr>
        <w:t xml:space="preserve"> the licence band edges)</w:t>
      </w:r>
      <w:r>
        <w:rPr>
          <w:lang w:eastAsia="en-US"/>
        </w:rPr>
        <w:t xml:space="preserve"> and those outside the band</w:t>
      </w:r>
      <w:r w:rsidR="00250837">
        <w:rPr>
          <w:lang w:eastAsia="en-US"/>
        </w:rPr>
        <w:t xml:space="preserve"> (applicable to frequency offsets from the designated spectrum licensed band)</w:t>
      </w:r>
      <w:r>
        <w:rPr>
          <w:lang w:eastAsia="en-US"/>
        </w:rPr>
        <w:t xml:space="preserve">. A stricter non-spurious limit is specified for frequencies offset from 1710 MHz to protect adjacent band meteorological satellite Earth </w:t>
      </w:r>
      <w:r w:rsidR="00FA4047">
        <w:rPr>
          <w:lang w:eastAsia="en-US"/>
        </w:rPr>
        <w:t xml:space="preserve">station </w:t>
      </w:r>
      <w:r>
        <w:rPr>
          <w:lang w:eastAsia="en-US"/>
        </w:rPr>
        <w:t>receivers.</w:t>
      </w:r>
    </w:p>
    <w:p w:rsidR="005B6D8E" w:rsidRDefault="005B6D8E" w:rsidP="00EE0402">
      <w:pPr>
        <w:rPr>
          <w:lang w:eastAsia="en-US"/>
        </w:rPr>
      </w:pPr>
    </w:p>
    <w:p w:rsidR="00EE0402" w:rsidRDefault="005B6D8E" w:rsidP="00EE0402">
      <w:pPr>
        <w:rPr>
          <w:lang w:eastAsia="en-US"/>
        </w:rPr>
      </w:pPr>
      <w:r>
        <w:rPr>
          <w:lang w:eastAsia="en-US"/>
        </w:rPr>
        <w:t xml:space="preserve">The current out-of-band </w:t>
      </w:r>
      <w:r w:rsidR="009B6FF8">
        <w:rPr>
          <w:lang w:eastAsia="en-US"/>
        </w:rPr>
        <w:t xml:space="preserve">non-spurious </w:t>
      </w:r>
      <w:r>
        <w:rPr>
          <w:lang w:eastAsia="en-US"/>
        </w:rPr>
        <w:t>emission limits are based on GSM technology. A comparison with emission limits from the reference technolog</w:t>
      </w:r>
      <w:r w:rsidR="00FA4047">
        <w:rPr>
          <w:lang w:eastAsia="en-US"/>
        </w:rPr>
        <w:t>ies</w:t>
      </w:r>
      <w:r>
        <w:rPr>
          <w:lang w:eastAsia="en-US"/>
        </w:rPr>
        <w:t xml:space="preserve"> indicate that the current limits will be restrictive </w:t>
      </w:r>
      <w:r w:rsidR="00FA4047">
        <w:rPr>
          <w:lang w:eastAsia="en-US"/>
        </w:rPr>
        <w:t>for new technologies</w:t>
      </w:r>
      <w:r w:rsidR="009B6FF8">
        <w:rPr>
          <w:lang w:eastAsia="en-US"/>
        </w:rPr>
        <w:t>. This is particularly so at offset</w:t>
      </w:r>
      <w:r w:rsidR="00AC2F43">
        <w:rPr>
          <w:lang w:eastAsia="en-US"/>
        </w:rPr>
        <w:t>s</w:t>
      </w:r>
      <w:r w:rsidR="009B6FF8">
        <w:rPr>
          <w:lang w:eastAsia="en-US"/>
        </w:rPr>
        <w:t xml:space="preserve"> of less than approximately 1 MHz where effective filtering of out-of-band emissions </w:t>
      </w:r>
      <w:r w:rsidR="0060275B">
        <w:rPr>
          <w:lang w:eastAsia="en-US"/>
        </w:rPr>
        <w:t>may be difficult</w:t>
      </w:r>
      <w:r>
        <w:rPr>
          <w:lang w:eastAsia="en-US"/>
        </w:rPr>
        <w:t>.</w:t>
      </w:r>
      <w:r w:rsidR="003C5072">
        <w:rPr>
          <w:lang w:eastAsia="en-US"/>
        </w:rPr>
        <w:t xml:space="preserve"> This comparison is shown in Figure</w:t>
      </w:r>
      <w:r w:rsidR="00FA4047">
        <w:rPr>
          <w:lang w:eastAsia="en-US"/>
        </w:rPr>
        <w:t>s</w:t>
      </w:r>
      <w:r w:rsidR="003C5072">
        <w:rPr>
          <w:lang w:eastAsia="en-US"/>
        </w:rPr>
        <w:t xml:space="preserve"> 2 and 3. </w:t>
      </w:r>
      <w:r w:rsidR="00C56BCA">
        <w:rPr>
          <w:lang w:eastAsia="en-US"/>
        </w:rPr>
        <w:t xml:space="preserve">The technology emission levels </w:t>
      </w:r>
      <w:r w:rsidR="00265E41">
        <w:rPr>
          <w:lang w:eastAsia="en-US"/>
        </w:rPr>
        <w:t xml:space="preserve">are sourced from the documents identified in Table </w:t>
      </w:r>
      <w:r w:rsidR="00CF4C3F">
        <w:rPr>
          <w:lang w:eastAsia="en-US"/>
        </w:rPr>
        <w:t>3</w:t>
      </w:r>
      <w:r w:rsidR="00265E41">
        <w:rPr>
          <w:lang w:eastAsia="en-US"/>
        </w:rPr>
        <w:t xml:space="preserve"> below</w:t>
      </w:r>
      <w:r w:rsidR="00C56BCA">
        <w:rPr>
          <w:lang w:eastAsia="en-US"/>
        </w:rPr>
        <w:t xml:space="preserve"> and assume an antenna gain of 15 dBi including losses</w:t>
      </w:r>
      <w:r w:rsidR="00265E41">
        <w:rPr>
          <w:lang w:eastAsia="en-US"/>
        </w:rPr>
        <w:t>.</w:t>
      </w:r>
      <w:r w:rsidR="00250837">
        <w:rPr>
          <w:rStyle w:val="FootnoteReference"/>
          <w:lang w:eastAsia="en-US"/>
        </w:rPr>
        <w:footnoteReference w:id="2"/>
      </w:r>
      <w:r w:rsidR="00265E41">
        <w:rPr>
          <w:lang w:eastAsia="en-US"/>
        </w:rPr>
        <w:t xml:space="preserve"> </w:t>
      </w:r>
    </w:p>
    <w:p w:rsidR="00265E41" w:rsidRDefault="00265E41" w:rsidP="00EE0402">
      <w:pPr>
        <w:rPr>
          <w:lang w:eastAsia="en-US"/>
        </w:rPr>
      </w:pPr>
    </w:p>
    <w:p w:rsidR="00C56BCA" w:rsidRDefault="00CF4C3F" w:rsidP="00EE0402">
      <w:pPr>
        <w:rPr>
          <w:lang w:eastAsia="en-US"/>
        </w:rPr>
      </w:pPr>
      <w:r>
        <w:rPr>
          <w:lang w:eastAsia="en-US"/>
        </w:rPr>
        <w:t>Table 3</w:t>
      </w:r>
      <w:r w:rsidR="00C56BCA">
        <w:rPr>
          <w:lang w:eastAsia="en-US"/>
        </w:rPr>
        <w:t xml:space="preserve"> – </w:t>
      </w:r>
      <w:r w:rsidR="00D30D82">
        <w:rPr>
          <w:lang w:eastAsia="en-US"/>
        </w:rPr>
        <w:t xml:space="preserve">reference </w:t>
      </w:r>
      <w:r w:rsidR="00C56BCA">
        <w:rPr>
          <w:lang w:eastAsia="en-US"/>
        </w:rPr>
        <w:t>technology standards</w:t>
      </w:r>
    </w:p>
    <w:tbl>
      <w:tblPr>
        <w:tblW w:w="0" w:type="auto"/>
        <w:jc w:val="center"/>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9"/>
        <w:gridCol w:w="3351"/>
      </w:tblGrid>
      <w:tr w:rsidR="00265E41" w:rsidTr="00C216CB">
        <w:trPr>
          <w:trHeight w:val="123"/>
          <w:jc w:val="center"/>
        </w:trPr>
        <w:tc>
          <w:tcPr>
            <w:tcW w:w="3229" w:type="dxa"/>
          </w:tcPr>
          <w:p w:rsidR="00DB78DD" w:rsidRDefault="00767529">
            <w:pPr>
              <w:jc w:val="center"/>
              <w:rPr>
                <w:b/>
                <w:lang w:eastAsia="en-US"/>
              </w:rPr>
            </w:pPr>
            <w:r w:rsidRPr="00767529">
              <w:rPr>
                <w:b/>
                <w:lang w:eastAsia="en-US"/>
              </w:rPr>
              <w:t>Technology</w:t>
            </w:r>
          </w:p>
        </w:tc>
        <w:tc>
          <w:tcPr>
            <w:tcW w:w="3351" w:type="dxa"/>
          </w:tcPr>
          <w:p w:rsidR="00DB78DD" w:rsidRDefault="00767529">
            <w:pPr>
              <w:jc w:val="center"/>
              <w:rPr>
                <w:b/>
                <w:lang w:eastAsia="en-US"/>
              </w:rPr>
            </w:pPr>
            <w:r w:rsidRPr="00767529">
              <w:rPr>
                <w:b/>
                <w:lang w:eastAsia="en-US"/>
              </w:rPr>
              <w:t>Standard document</w:t>
            </w:r>
          </w:p>
        </w:tc>
      </w:tr>
      <w:tr w:rsidR="00265E41" w:rsidTr="00C216CB">
        <w:trPr>
          <w:trHeight w:val="131"/>
          <w:jc w:val="center"/>
        </w:trPr>
        <w:tc>
          <w:tcPr>
            <w:tcW w:w="3229" w:type="dxa"/>
          </w:tcPr>
          <w:p w:rsidR="00DB78DD" w:rsidRDefault="00767529">
            <w:pPr>
              <w:rPr>
                <w:lang w:eastAsia="en-US"/>
              </w:rPr>
            </w:pPr>
            <w:r w:rsidRPr="00767529">
              <w:rPr>
                <w:lang w:eastAsia="en-US"/>
              </w:rPr>
              <w:t>LTE</w:t>
            </w:r>
          </w:p>
        </w:tc>
        <w:tc>
          <w:tcPr>
            <w:tcW w:w="3351" w:type="dxa"/>
          </w:tcPr>
          <w:p w:rsidR="00DB78DD" w:rsidRDefault="00767529">
            <w:pPr>
              <w:rPr>
                <w:lang w:eastAsia="en-US"/>
              </w:rPr>
            </w:pPr>
            <w:r w:rsidRPr="00767529">
              <w:rPr>
                <w:lang w:eastAsia="en-US"/>
              </w:rPr>
              <w:t>3GPP TS 36.104</w:t>
            </w:r>
          </w:p>
        </w:tc>
      </w:tr>
      <w:tr w:rsidR="00265E41" w:rsidTr="00C216CB">
        <w:trPr>
          <w:trHeight w:val="123"/>
          <w:jc w:val="center"/>
        </w:trPr>
        <w:tc>
          <w:tcPr>
            <w:tcW w:w="3229" w:type="dxa"/>
          </w:tcPr>
          <w:p w:rsidR="00DB78DD" w:rsidRDefault="00767529">
            <w:pPr>
              <w:rPr>
                <w:lang w:eastAsia="en-US"/>
              </w:rPr>
            </w:pPr>
            <w:r w:rsidRPr="00767529">
              <w:rPr>
                <w:lang w:eastAsia="en-US"/>
              </w:rPr>
              <w:t>WCDMA</w:t>
            </w:r>
          </w:p>
        </w:tc>
        <w:tc>
          <w:tcPr>
            <w:tcW w:w="3351" w:type="dxa"/>
          </w:tcPr>
          <w:p w:rsidR="00DB78DD" w:rsidRDefault="00767529">
            <w:pPr>
              <w:rPr>
                <w:lang w:eastAsia="en-US"/>
              </w:rPr>
            </w:pPr>
            <w:r w:rsidRPr="00767529">
              <w:rPr>
                <w:lang w:eastAsia="en-US"/>
              </w:rPr>
              <w:t>3GPP TS 25.104</w:t>
            </w:r>
          </w:p>
        </w:tc>
      </w:tr>
      <w:tr w:rsidR="00265E41" w:rsidTr="00C216CB">
        <w:trPr>
          <w:trHeight w:val="131"/>
          <w:jc w:val="center"/>
        </w:trPr>
        <w:tc>
          <w:tcPr>
            <w:tcW w:w="3229" w:type="dxa"/>
          </w:tcPr>
          <w:p w:rsidR="00DB78DD" w:rsidRDefault="00767529">
            <w:pPr>
              <w:rPr>
                <w:lang w:eastAsia="en-US"/>
              </w:rPr>
            </w:pPr>
            <w:r w:rsidRPr="00767529">
              <w:rPr>
                <w:lang w:eastAsia="en-US"/>
              </w:rPr>
              <w:t>Multi carrier GSM base station</w:t>
            </w:r>
          </w:p>
        </w:tc>
        <w:tc>
          <w:tcPr>
            <w:tcW w:w="3351" w:type="dxa"/>
          </w:tcPr>
          <w:p w:rsidR="00DB78DD" w:rsidRDefault="00767529">
            <w:pPr>
              <w:rPr>
                <w:lang w:eastAsia="en-US"/>
              </w:rPr>
            </w:pPr>
            <w:r w:rsidRPr="00767529">
              <w:rPr>
                <w:lang w:eastAsia="en-US"/>
              </w:rPr>
              <w:t>3GPP TS 45.005 &amp; TS 51.021</w:t>
            </w:r>
          </w:p>
        </w:tc>
      </w:tr>
      <w:tr w:rsidR="00467821" w:rsidTr="00C216CB">
        <w:trPr>
          <w:trHeight w:val="131"/>
          <w:jc w:val="center"/>
        </w:trPr>
        <w:tc>
          <w:tcPr>
            <w:tcW w:w="3229" w:type="dxa"/>
          </w:tcPr>
          <w:p w:rsidR="00467821" w:rsidRPr="00767529" w:rsidRDefault="00467821">
            <w:pPr>
              <w:rPr>
                <w:lang w:eastAsia="en-US"/>
              </w:rPr>
            </w:pPr>
            <w:r>
              <w:rPr>
                <w:lang w:eastAsia="en-US"/>
              </w:rPr>
              <w:t>Multi Standard Radio</w:t>
            </w:r>
            <w:r w:rsidR="009120DD">
              <w:rPr>
                <w:rStyle w:val="FootnoteReference"/>
                <w:lang w:eastAsia="en-US"/>
              </w:rPr>
              <w:footnoteReference w:id="3"/>
            </w:r>
          </w:p>
        </w:tc>
        <w:tc>
          <w:tcPr>
            <w:tcW w:w="3351" w:type="dxa"/>
          </w:tcPr>
          <w:p w:rsidR="00467821" w:rsidRPr="00767529" w:rsidRDefault="00467821">
            <w:pPr>
              <w:rPr>
                <w:lang w:eastAsia="en-US"/>
              </w:rPr>
            </w:pPr>
            <w:r>
              <w:rPr>
                <w:lang w:eastAsia="en-US"/>
              </w:rPr>
              <w:t>3GPP TS 37.104</w:t>
            </w:r>
          </w:p>
        </w:tc>
      </w:tr>
      <w:tr w:rsidR="00265E41" w:rsidTr="00C216CB">
        <w:trPr>
          <w:trHeight w:val="131"/>
          <w:jc w:val="center"/>
        </w:trPr>
        <w:tc>
          <w:tcPr>
            <w:tcW w:w="3229" w:type="dxa"/>
          </w:tcPr>
          <w:p w:rsidR="00DB78DD" w:rsidRDefault="00767529">
            <w:pPr>
              <w:rPr>
                <w:lang w:eastAsia="en-US"/>
              </w:rPr>
            </w:pPr>
            <w:r w:rsidRPr="00767529">
              <w:rPr>
                <w:lang w:eastAsia="en-US"/>
              </w:rPr>
              <w:t>CDMA-MC</w:t>
            </w:r>
          </w:p>
        </w:tc>
        <w:tc>
          <w:tcPr>
            <w:tcW w:w="3351" w:type="dxa"/>
          </w:tcPr>
          <w:p w:rsidR="00DB78DD" w:rsidRDefault="00767529">
            <w:pPr>
              <w:rPr>
                <w:lang w:eastAsia="en-US"/>
              </w:rPr>
            </w:pPr>
            <w:r w:rsidRPr="00767529">
              <w:rPr>
                <w:lang w:eastAsia="en-US"/>
              </w:rPr>
              <w:t>ITU-R Rec. M.1580</w:t>
            </w:r>
          </w:p>
        </w:tc>
      </w:tr>
      <w:tr w:rsidR="00265E41" w:rsidTr="00C216CB">
        <w:trPr>
          <w:trHeight w:val="131"/>
          <w:jc w:val="center"/>
        </w:trPr>
        <w:tc>
          <w:tcPr>
            <w:tcW w:w="3229" w:type="dxa"/>
          </w:tcPr>
          <w:p w:rsidR="00DB78DD" w:rsidRDefault="00767529">
            <w:pPr>
              <w:rPr>
                <w:lang w:eastAsia="en-US"/>
              </w:rPr>
            </w:pPr>
            <w:r w:rsidRPr="00767529">
              <w:rPr>
                <w:lang w:eastAsia="en-US"/>
              </w:rPr>
              <w:t>WiMAX</w:t>
            </w:r>
          </w:p>
        </w:tc>
        <w:tc>
          <w:tcPr>
            <w:tcW w:w="3351" w:type="dxa"/>
          </w:tcPr>
          <w:p w:rsidR="00DB78DD" w:rsidRDefault="00767529">
            <w:pPr>
              <w:rPr>
                <w:lang w:eastAsia="en-US"/>
              </w:rPr>
            </w:pPr>
            <w:r w:rsidRPr="00767529">
              <w:rPr>
                <w:lang w:eastAsia="en-US"/>
              </w:rPr>
              <w:t>WMF-T23-005-R015v04</w:t>
            </w:r>
          </w:p>
        </w:tc>
      </w:tr>
    </w:tbl>
    <w:p w:rsidR="00265E41" w:rsidRDefault="00265E41" w:rsidP="00EE0402">
      <w:pPr>
        <w:rPr>
          <w:lang w:eastAsia="en-US"/>
        </w:rPr>
      </w:pPr>
    </w:p>
    <w:p w:rsidR="00265E41" w:rsidRDefault="00265E41" w:rsidP="00EE0402">
      <w:pPr>
        <w:rPr>
          <w:lang w:eastAsia="en-US"/>
        </w:rPr>
      </w:pPr>
      <w:r>
        <w:rPr>
          <w:lang w:eastAsia="en-US"/>
        </w:rPr>
        <w:t>The multicarrier GSM non-spurious emission mask assumes:</w:t>
      </w:r>
    </w:p>
    <w:p w:rsidR="00DB78DD" w:rsidRDefault="00C216CB">
      <w:pPr>
        <w:numPr>
          <w:ilvl w:val="0"/>
          <w:numId w:val="25"/>
        </w:numPr>
        <w:rPr>
          <w:lang w:eastAsia="en-US"/>
        </w:rPr>
      </w:pPr>
      <w:r>
        <w:rPr>
          <w:lang w:eastAsia="en-US"/>
        </w:rPr>
        <w:t>f</w:t>
      </w:r>
      <w:r w:rsidR="00265E41">
        <w:rPr>
          <w:lang w:eastAsia="en-US"/>
        </w:rPr>
        <w:t>our GSM carriers with a carrier spacing of 600 kHz;</w:t>
      </w:r>
    </w:p>
    <w:p w:rsidR="00DB78DD" w:rsidRDefault="00C216CB">
      <w:pPr>
        <w:numPr>
          <w:ilvl w:val="0"/>
          <w:numId w:val="25"/>
        </w:numPr>
        <w:rPr>
          <w:lang w:eastAsia="en-US"/>
        </w:rPr>
      </w:pPr>
      <w:r>
        <w:rPr>
          <w:lang w:eastAsia="en-US"/>
        </w:rPr>
        <w:t>each carrier has a transmitter power of 43 dBm/200 kHz;</w:t>
      </w:r>
    </w:p>
    <w:p w:rsidR="00DB78DD" w:rsidRDefault="00C216CB">
      <w:pPr>
        <w:numPr>
          <w:ilvl w:val="0"/>
          <w:numId w:val="25"/>
        </w:numPr>
        <w:rPr>
          <w:lang w:eastAsia="en-US"/>
        </w:rPr>
      </w:pPr>
      <w:r>
        <w:rPr>
          <w:lang w:eastAsia="en-US"/>
        </w:rPr>
        <w:t xml:space="preserve">the top carrier is </w:t>
      </w:r>
      <w:r w:rsidR="00256437">
        <w:rPr>
          <w:lang w:eastAsia="en-US"/>
        </w:rPr>
        <w:t>400 kHz from the licence edge; and</w:t>
      </w:r>
    </w:p>
    <w:p w:rsidR="00DB78DD" w:rsidRDefault="00256437">
      <w:pPr>
        <w:numPr>
          <w:ilvl w:val="0"/>
          <w:numId w:val="25"/>
        </w:numPr>
        <w:rPr>
          <w:lang w:eastAsia="en-US"/>
        </w:rPr>
      </w:pPr>
      <w:r>
        <w:rPr>
          <w:lang w:eastAsia="en-US"/>
        </w:rPr>
        <w:t>a class 2 transmitter with no 3</w:t>
      </w:r>
      <w:r w:rsidR="00767529" w:rsidRPr="00767529">
        <w:rPr>
          <w:vertAlign w:val="superscript"/>
          <w:lang w:eastAsia="en-US"/>
        </w:rPr>
        <w:t>rd</w:t>
      </w:r>
      <w:r>
        <w:rPr>
          <w:lang w:eastAsia="en-US"/>
        </w:rPr>
        <w:t xml:space="preserve"> order intermodulation products falling at offsets greater than 5.8 MHz from the licence edge.</w:t>
      </w:r>
    </w:p>
    <w:p w:rsidR="00C216CB" w:rsidRDefault="00C216CB" w:rsidP="00C216CB">
      <w:pPr>
        <w:rPr>
          <w:noProof/>
          <w:lang w:eastAsia="en-AU"/>
        </w:rPr>
      </w:pPr>
    </w:p>
    <w:p w:rsidR="00AA4420" w:rsidRDefault="00570EF1" w:rsidP="00C216CB">
      <w:pPr>
        <w:rPr>
          <w:noProof/>
          <w:lang w:eastAsia="en-AU"/>
        </w:rPr>
      </w:pPr>
      <w:ins w:id="2" w:author="Australian Communications and Media Authority" w:date="2012-03-28T11:56:00Z">
        <w:r>
          <w:rPr>
            <w:noProof/>
            <w:lang w:eastAsia="en-AU"/>
          </w:rPr>
          <w:br w:type="page"/>
        </w:r>
      </w:ins>
      <w:r w:rsidR="00EE2E56">
        <w:rPr>
          <w:noProof/>
          <w:lang w:eastAsia="en-AU"/>
        </w:rPr>
        <w:lastRenderedPageBreak/>
        <w:t>For comparison with the current non-spurious emission limits within the 1800 MHz band, the</w:t>
      </w:r>
      <w:r w:rsidR="00AA4420">
        <w:rPr>
          <w:noProof/>
          <w:lang w:eastAsia="en-AU"/>
        </w:rPr>
        <w:t xml:space="preserve"> Multi Sta</w:t>
      </w:r>
      <w:r w:rsidR="00F2640E">
        <w:rPr>
          <w:noProof/>
          <w:lang w:eastAsia="en-AU"/>
        </w:rPr>
        <w:t>n</w:t>
      </w:r>
      <w:r w:rsidR="00AA4420">
        <w:rPr>
          <w:noProof/>
          <w:lang w:eastAsia="en-AU"/>
        </w:rPr>
        <w:t>dard Radio non-spurious emission mask assumes:</w:t>
      </w:r>
    </w:p>
    <w:p w:rsidR="00AA4420" w:rsidRDefault="00AA4420" w:rsidP="00AA4420">
      <w:pPr>
        <w:numPr>
          <w:ilvl w:val="0"/>
          <w:numId w:val="43"/>
        </w:numPr>
        <w:rPr>
          <w:noProof/>
          <w:lang w:eastAsia="en-AU"/>
        </w:rPr>
      </w:pPr>
      <w:r>
        <w:rPr>
          <w:noProof/>
          <w:lang w:eastAsia="en-AU"/>
        </w:rPr>
        <w:t>two sub blocks separated by a 10 MHz sub block gap</w:t>
      </w:r>
      <w:r w:rsidR="00D05E28">
        <w:rPr>
          <w:noProof/>
          <w:lang w:eastAsia="en-AU"/>
        </w:rPr>
        <w:t>; and</w:t>
      </w:r>
    </w:p>
    <w:p w:rsidR="00AA4420" w:rsidRDefault="00AA4420" w:rsidP="00AA4420">
      <w:pPr>
        <w:numPr>
          <w:ilvl w:val="0"/>
          <w:numId w:val="43"/>
        </w:numPr>
        <w:rPr>
          <w:noProof/>
          <w:lang w:eastAsia="en-AU"/>
        </w:rPr>
      </w:pPr>
      <w:r>
        <w:rPr>
          <w:noProof/>
          <w:lang w:eastAsia="en-AU"/>
        </w:rPr>
        <w:t>a GSM carrier adjacent to the upper and lower edges of the sub blocks</w:t>
      </w:r>
      <w:r w:rsidR="00EE2E56">
        <w:rPr>
          <w:noProof/>
          <w:lang w:eastAsia="en-AU"/>
        </w:rPr>
        <w:t>.</w:t>
      </w:r>
    </w:p>
    <w:p w:rsidR="00C216CB" w:rsidRDefault="00C216CB" w:rsidP="00C216CB">
      <w:pPr>
        <w:rPr>
          <w:noProof/>
          <w:lang w:eastAsia="en-AU"/>
        </w:rPr>
        <w:sectPr w:rsidR="00C216CB" w:rsidSect="008B2907">
          <w:pgSz w:w="11906" w:h="16838"/>
          <w:pgMar w:top="1440" w:right="1440" w:bottom="1440" w:left="1440" w:header="708" w:footer="708" w:gutter="0"/>
          <w:cols w:space="708"/>
          <w:docGrid w:linePitch="360"/>
        </w:sectPr>
      </w:pPr>
    </w:p>
    <w:p w:rsidR="00DB78DD" w:rsidRDefault="00C216CB">
      <w:pPr>
        <w:jc w:val="center"/>
        <w:rPr>
          <w:noProof/>
          <w:lang w:eastAsia="en-AU"/>
        </w:rPr>
      </w:pPr>
      <w:r>
        <w:rPr>
          <w:noProof/>
          <w:lang w:eastAsia="en-AU"/>
        </w:rPr>
        <w:lastRenderedPageBreak/>
        <w:t>Figure 2 – comparison of base station emissions with the current non-supurious limit within the 1800 MHz band</w:t>
      </w:r>
      <w:r w:rsidR="003D134D">
        <w:rPr>
          <w:noProof/>
          <w:lang w:eastAsia="en-AU"/>
        </w:rPr>
        <w:t xml:space="preserve"> (offset from the licence band edge)</w:t>
      </w:r>
    </w:p>
    <w:p w:rsidR="00C216CB" w:rsidRDefault="00570EF1" w:rsidP="00C216CB">
      <w:pPr>
        <w:rPr>
          <w:noProof/>
          <w:lang w:eastAsia="en-AU"/>
        </w:rPr>
      </w:pPr>
      <w:r>
        <w:pict>
          <v:shape id="_x0000_i1026" type="#_x0000_t75" style="width:636pt;height:402pt">
            <v:imagedata r:id="rId12" o:title=""/>
          </v:shape>
        </w:pict>
      </w:r>
    </w:p>
    <w:p w:rsidR="00C216CB" w:rsidRDefault="00C216CB" w:rsidP="00C216CB">
      <w:pPr>
        <w:rPr>
          <w:noProof/>
          <w:lang w:eastAsia="en-AU"/>
        </w:rPr>
      </w:pPr>
    </w:p>
    <w:p w:rsidR="00DB78DD" w:rsidRDefault="00C216CB">
      <w:pPr>
        <w:jc w:val="center"/>
        <w:rPr>
          <w:noProof/>
          <w:lang w:eastAsia="en-AU"/>
        </w:rPr>
      </w:pPr>
      <w:r>
        <w:rPr>
          <w:noProof/>
          <w:lang w:eastAsia="en-AU"/>
        </w:rPr>
        <w:lastRenderedPageBreak/>
        <w:t>Figure 3 – comparison of base station emission with the current non-spurious limit offset from 1805 MHz and 1880 MHz</w:t>
      </w:r>
    </w:p>
    <w:p w:rsidR="00C216CB" w:rsidRDefault="00570EF1" w:rsidP="00233F6F">
      <w:pPr>
        <w:rPr>
          <w:lang w:eastAsia="en-US"/>
        </w:rPr>
      </w:pPr>
      <w:r>
        <w:pict>
          <v:shape id="_x0000_i1027" type="#_x0000_t75" style="width:653.25pt;height:414pt">
            <v:imagedata r:id="rId13" o:title=""/>
          </v:shape>
        </w:pict>
      </w:r>
    </w:p>
    <w:p w:rsidR="00233F6F" w:rsidRDefault="00233F6F" w:rsidP="00233F6F">
      <w:pPr>
        <w:rPr>
          <w:lang w:eastAsia="en-US"/>
        </w:rPr>
      </w:pPr>
    </w:p>
    <w:p w:rsidR="00233F6F" w:rsidRPr="00233F6F" w:rsidRDefault="00233F6F" w:rsidP="00233F6F">
      <w:pPr>
        <w:rPr>
          <w:lang w:eastAsia="en-US"/>
        </w:rPr>
        <w:sectPr w:rsidR="00233F6F" w:rsidRPr="00233F6F" w:rsidSect="00C216CB">
          <w:pgSz w:w="16838" w:h="11906" w:orient="landscape"/>
          <w:pgMar w:top="1440" w:right="1440" w:bottom="1440" w:left="1440" w:header="709" w:footer="709" w:gutter="0"/>
          <w:cols w:space="708"/>
          <w:docGrid w:linePitch="360"/>
        </w:sectPr>
      </w:pPr>
    </w:p>
    <w:p w:rsidR="0037556B" w:rsidRPr="00375435" w:rsidRDefault="00013DF4" w:rsidP="00375435">
      <w:pPr>
        <w:pStyle w:val="Heading3"/>
      </w:pPr>
      <w:r>
        <w:lastRenderedPageBreak/>
        <w:t>6</w:t>
      </w:r>
      <w:r w:rsidR="0037556B" w:rsidRPr="00375435">
        <w:t>.2</w:t>
      </w:r>
      <w:r w:rsidR="0037556B" w:rsidRPr="00375435">
        <w:tab/>
        <w:t xml:space="preserve"> Proposed </w:t>
      </w:r>
      <w:r w:rsidR="00FA4047">
        <w:t>o</w:t>
      </w:r>
      <w:r w:rsidR="0037556B" w:rsidRPr="00375435">
        <w:t>ut-of-</w:t>
      </w:r>
      <w:r w:rsidR="00FA4047">
        <w:t>b</w:t>
      </w:r>
      <w:r w:rsidR="0037556B" w:rsidRPr="00375435">
        <w:t xml:space="preserve">and </w:t>
      </w:r>
      <w:r w:rsidR="00E1424B">
        <w:t>non-spurious e</w:t>
      </w:r>
      <w:r w:rsidR="0037556B" w:rsidRPr="00375435">
        <w:t xml:space="preserve">mission </w:t>
      </w:r>
      <w:r w:rsidR="00E1424B">
        <w:t>l</w:t>
      </w:r>
      <w:r w:rsidR="0037556B" w:rsidRPr="00375435">
        <w:t>imits</w:t>
      </w:r>
    </w:p>
    <w:p w:rsidR="00E1424B" w:rsidRDefault="00E1424B" w:rsidP="00F420AA">
      <w:r>
        <w:t xml:space="preserve">The current framework specifies non-spurious out-of-band emission limits both within the 1800 MHz band and at frequency offsets outside of the band. Comparison of the current limits with emission levels of IMT technologies indicates that the current limits are </w:t>
      </w:r>
      <w:r w:rsidR="00E952C8">
        <w:t>restrictive</w:t>
      </w:r>
      <w:r>
        <w:t xml:space="preserve"> </w:t>
      </w:r>
      <w:r w:rsidR="00677A42">
        <w:t xml:space="preserve">at small frequency offsets from the licence band edge </w:t>
      </w:r>
      <w:r>
        <w:t xml:space="preserve">and </w:t>
      </w:r>
      <w:r w:rsidR="00677A42">
        <w:t>may</w:t>
      </w:r>
      <w:r>
        <w:t xml:space="preserve"> not allow efficient deployment of these technologies.</w:t>
      </w:r>
      <w:r w:rsidR="00E952C8">
        <w:t xml:space="preserve"> </w:t>
      </w:r>
      <w:r w:rsidR="00592420">
        <w:t>The proposed changes to</w:t>
      </w:r>
      <w:r w:rsidR="00E952C8">
        <w:t xml:space="preserve"> </w:t>
      </w:r>
      <w:r w:rsidR="00592420">
        <w:t xml:space="preserve">the </w:t>
      </w:r>
      <w:r w:rsidR="00E952C8">
        <w:t>non-spurious emission limits in this section aim to dec</w:t>
      </w:r>
      <w:r w:rsidR="00592420">
        <w:t>rease deployment restrictions for</w:t>
      </w:r>
      <w:r w:rsidR="00E952C8">
        <w:t xml:space="preserve"> futu</w:t>
      </w:r>
      <w:r w:rsidR="00592420">
        <w:t>re technologies while protecting</w:t>
      </w:r>
      <w:r w:rsidR="00E952C8">
        <w:t xml:space="preserve"> </w:t>
      </w:r>
      <w:r w:rsidR="00C568C6">
        <w:t xml:space="preserve">current technologies and </w:t>
      </w:r>
      <w:r w:rsidR="00E952C8">
        <w:t>adjacent band services.</w:t>
      </w:r>
    </w:p>
    <w:p w:rsidR="00E1424B" w:rsidRDefault="00E1424B" w:rsidP="00F420AA"/>
    <w:p w:rsidR="00EE3442" w:rsidRDefault="00EE0402" w:rsidP="00F420AA">
      <w:r>
        <w:t xml:space="preserve">The proposed out-of-band emission limits have been derived from the emission masks </w:t>
      </w:r>
      <w:r w:rsidR="00E952C8">
        <w:t>from</w:t>
      </w:r>
      <w:r w:rsidR="00EE3442">
        <w:t>:</w:t>
      </w:r>
    </w:p>
    <w:p w:rsidR="00040D1D" w:rsidRDefault="00E952C8">
      <w:pPr>
        <w:numPr>
          <w:ilvl w:val="0"/>
          <w:numId w:val="26"/>
        </w:numPr>
      </w:pPr>
      <w:r>
        <w:t xml:space="preserve">3GPP </w:t>
      </w:r>
      <w:r w:rsidR="00651CA6">
        <w:t>document</w:t>
      </w:r>
      <w:r w:rsidR="00592420">
        <w:t>s</w:t>
      </w:r>
      <w:r w:rsidR="00651CA6">
        <w:t xml:space="preserve"> TS 45.005, TS 51.021, TS 25.104</w:t>
      </w:r>
      <w:r w:rsidR="00EE3442">
        <w:t>,</w:t>
      </w:r>
      <w:r w:rsidR="00651CA6">
        <w:t xml:space="preserve"> TS 36.104, </w:t>
      </w:r>
      <w:r w:rsidR="008D324F">
        <w:t>TS 37.104</w:t>
      </w:r>
      <w:r w:rsidR="00F073E0">
        <w:t>,</w:t>
      </w:r>
    </w:p>
    <w:p w:rsidR="00040D1D" w:rsidRDefault="00651CA6">
      <w:pPr>
        <w:numPr>
          <w:ilvl w:val="0"/>
          <w:numId w:val="26"/>
        </w:numPr>
      </w:pPr>
      <w:r>
        <w:t>ITU-R Recommendation M.1580</w:t>
      </w:r>
      <w:r w:rsidR="00F97EA9">
        <w:t>,</w:t>
      </w:r>
      <w:r w:rsidR="00EE0402">
        <w:t xml:space="preserve"> </w:t>
      </w:r>
    </w:p>
    <w:p w:rsidR="00040D1D" w:rsidRDefault="00F97EA9">
      <w:pPr>
        <w:numPr>
          <w:ilvl w:val="0"/>
          <w:numId w:val="26"/>
        </w:numPr>
      </w:pPr>
      <w:r>
        <w:t>ECC Report 82</w:t>
      </w:r>
      <w:r w:rsidR="00651CA6">
        <w:t>,</w:t>
      </w:r>
      <w:r>
        <w:t xml:space="preserve"> and </w:t>
      </w:r>
    </w:p>
    <w:p w:rsidR="00040D1D" w:rsidRDefault="00F97EA9">
      <w:pPr>
        <w:numPr>
          <w:ilvl w:val="0"/>
          <w:numId w:val="26"/>
        </w:numPr>
      </w:pPr>
      <w:r>
        <w:t xml:space="preserve">CEPT Report 40. </w:t>
      </w:r>
    </w:p>
    <w:p w:rsidR="00040D1D" w:rsidRDefault="00040D1D">
      <w:pPr>
        <w:ind w:left="50"/>
      </w:pPr>
    </w:p>
    <w:p w:rsidR="00677A42" w:rsidRDefault="00677A42">
      <w:pPr>
        <w:ind w:left="50"/>
      </w:pPr>
      <w:r>
        <w:t>The changes proposed in non-spurious out-of-band emission limits is considered to be minor and it is not believed the change will have a significant impact to adjacent band services.</w:t>
      </w:r>
    </w:p>
    <w:p w:rsidR="00677A42" w:rsidRDefault="00677A42">
      <w:pPr>
        <w:ind w:left="50"/>
      </w:pPr>
    </w:p>
    <w:p w:rsidR="00040D1D" w:rsidRPr="005B4EA1" w:rsidRDefault="000B1E1A">
      <w:pPr>
        <w:ind w:left="50"/>
        <w:rPr>
          <w:rStyle w:val="SubtleEmphasis"/>
          <w:b/>
        </w:rPr>
      </w:pPr>
      <w:r w:rsidRPr="005B4EA1">
        <w:rPr>
          <w:rStyle w:val="SubtleEmphasis"/>
          <w:b/>
        </w:rPr>
        <w:t>Non-spurious emissions within the 1800 MHz band</w:t>
      </w:r>
    </w:p>
    <w:p w:rsidR="006117E7" w:rsidRDefault="00EE3442">
      <w:pPr>
        <w:ind w:left="50"/>
      </w:pPr>
      <w:r>
        <w:t xml:space="preserve">The proposed limits </w:t>
      </w:r>
      <w:r w:rsidR="00F2640E">
        <w:t xml:space="preserve">are relaxed </w:t>
      </w:r>
      <w:r w:rsidR="0060275B">
        <w:t xml:space="preserve">based on </w:t>
      </w:r>
      <w:r>
        <w:t xml:space="preserve">the emission levels of the </w:t>
      </w:r>
      <w:r w:rsidR="00F2640E">
        <w:t>reference technologies</w:t>
      </w:r>
      <w:r w:rsidR="008D324F">
        <w:t xml:space="preserve"> for offsets </w:t>
      </w:r>
      <w:r w:rsidR="00F073E0">
        <w:t>betw</w:t>
      </w:r>
      <w:r w:rsidR="00613A28">
        <w:t>een 200 kHz and</w:t>
      </w:r>
      <w:r w:rsidR="008D324F">
        <w:t xml:space="preserve"> 1 MHz</w:t>
      </w:r>
      <w:r w:rsidR="0096496E">
        <w:t xml:space="preserve"> and at offsets greater than 5.8 MHz</w:t>
      </w:r>
      <w:r>
        <w:t>.</w:t>
      </w:r>
      <w:r w:rsidR="006117E7">
        <w:t xml:space="preserve"> The changes are intended to include the emissions of the reference technologies without any additional attenuation, with the exception of the LTE Category </w:t>
      </w:r>
      <w:proofErr w:type="gramStart"/>
      <w:r w:rsidR="006117E7">
        <w:t>A</w:t>
      </w:r>
      <w:proofErr w:type="gramEnd"/>
      <w:r w:rsidR="006117E7">
        <w:t xml:space="preserve"> &amp; B – Option 1, and the Multi Standard Radio masks. Emission limits at offsets greater than 1 MHz but less than 5.8 MHz will remain unchanged.</w:t>
      </w:r>
    </w:p>
    <w:p w:rsidR="00B0124E" w:rsidRDefault="00B0124E">
      <w:pPr>
        <w:ind w:left="50"/>
      </w:pPr>
    </w:p>
    <w:p w:rsidR="003E08E6" w:rsidRDefault="00B0124E">
      <w:pPr>
        <w:ind w:left="50"/>
      </w:pPr>
      <w:r>
        <w:t>It is expected that the increase in unwanted emissions will have a minimal impact to frequency adjacent spectrum licensed services. The proposed emission limi</w:t>
      </w:r>
      <w:r w:rsidR="00AF6A9E">
        <w:t>ts are closely aligned with those</w:t>
      </w:r>
      <w:r>
        <w:t xml:space="preserve"> used in European studies ECC Report 82 and CEPT Report 40. These studies conclude that adjacent band GSM, WCDMA, LTE and WiMAX services can satisfactory </w:t>
      </w:r>
      <w:r w:rsidR="00EE2C8F">
        <w:t>co-</w:t>
      </w:r>
      <w:r>
        <w:t>exist in the same geographical area</w:t>
      </w:r>
      <w:r w:rsidR="008D2655">
        <w:t xml:space="preserve"> provided a 200 kHz guard band is employed</w:t>
      </w:r>
      <w:r w:rsidR="00AF6A9E">
        <w:t>.</w:t>
      </w:r>
      <w:r w:rsidR="009F21BC">
        <w:t xml:space="preserve"> The</w:t>
      </w:r>
      <w:r w:rsidR="00106A47">
        <w:t xml:space="preserve"> proposed</w:t>
      </w:r>
      <w:r w:rsidR="009F21BC">
        <w:t xml:space="preserve"> emission limit has a linear reduction </w:t>
      </w:r>
      <w:r w:rsidR="00D5777B">
        <w:t>between 200 kHz and 1 M</w:t>
      </w:r>
      <w:r w:rsidR="009F21BC">
        <w:t>Hz which aligns with the emission levels of IMT technologies in Figure 2</w:t>
      </w:r>
      <w:r w:rsidR="00106A47">
        <w:t>, and reduces the need for a</w:t>
      </w:r>
      <w:r w:rsidR="009F21BC">
        <w:t xml:space="preserve"> guard band</w:t>
      </w:r>
      <w:r w:rsidR="00106A47">
        <w:t xml:space="preserve"> greater than 200 kHz</w:t>
      </w:r>
      <w:r w:rsidR="009F21BC">
        <w:t xml:space="preserve"> between GSM and IMT technologies.  </w:t>
      </w:r>
    </w:p>
    <w:p w:rsidR="003E08E6" w:rsidRDefault="003E08E6">
      <w:pPr>
        <w:ind w:left="50"/>
      </w:pPr>
    </w:p>
    <w:p w:rsidR="00040D1D" w:rsidRDefault="00F97EA9">
      <w:pPr>
        <w:ind w:left="50"/>
      </w:pPr>
      <w:r>
        <w:t xml:space="preserve">As the proposed limits are radiated they also </w:t>
      </w:r>
      <w:r w:rsidR="00651CA6">
        <w:t>include an antenna gain</w:t>
      </w:r>
      <w:r w:rsidR="00E70359">
        <w:t xml:space="preserve"> </w:t>
      </w:r>
      <w:r w:rsidR="00651CA6">
        <w:t xml:space="preserve">of 15 dBi (including </w:t>
      </w:r>
      <w:r w:rsidR="00E70359">
        <w:t>losses</w:t>
      </w:r>
      <w:r w:rsidR="00651CA6">
        <w:t>)</w:t>
      </w:r>
      <w:r w:rsidR="00EE0402">
        <w:t>.</w:t>
      </w:r>
      <w:r w:rsidR="00E70359">
        <w:rPr>
          <w:rStyle w:val="FootnoteReference"/>
        </w:rPr>
        <w:footnoteReference w:id="4"/>
      </w:r>
      <w:r w:rsidR="00E70359">
        <w:t xml:space="preserve"> </w:t>
      </w:r>
    </w:p>
    <w:p w:rsidR="00E1424B" w:rsidRDefault="00E1424B" w:rsidP="00F420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E1424B" w:rsidTr="00E1424B">
        <w:tc>
          <w:tcPr>
            <w:tcW w:w="9242" w:type="dxa"/>
          </w:tcPr>
          <w:p w:rsidR="007F0BD1" w:rsidRDefault="007F0BD1" w:rsidP="00E1424B">
            <w:pPr>
              <w:rPr>
                <w:b/>
                <w:i/>
              </w:rPr>
            </w:pPr>
          </w:p>
          <w:p w:rsidR="007F0BD1" w:rsidRDefault="007F0BD1" w:rsidP="00E1424B">
            <w:pPr>
              <w:rPr>
                <w:b/>
                <w:i/>
              </w:rPr>
            </w:pPr>
            <w:r>
              <w:rPr>
                <w:b/>
                <w:i/>
              </w:rPr>
              <w:t>The proposed limits o</w:t>
            </w:r>
            <w:r w:rsidR="007D4DC7">
              <w:rPr>
                <w:b/>
                <w:i/>
              </w:rPr>
              <w:t>f</w:t>
            </w:r>
            <w:r>
              <w:rPr>
                <w:b/>
                <w:i/>
              </w:rPr>
              <w:t xml:space="preserve"> non-spurious out-of-band emissions within the 1800 MHz band from a transmitter operated under a 180</w:t>
            </w:r>
            <w:r w:rsidR="00595977">
              <w:rPr>
                <w:b/>
                <w:i/>
              </w:rPr>
              <w:t>0 MHz band spectrum licence for</w:t>
            </w:r>
            <w:r>
              <w:rPr>
                <w:b/>
                <w:i/>
              </w:rPr>
              <w:t xml:space="preserve"> the core conditions of the licence are:</w:t>
            </w:r>
          </w:p>
          <w:p w:rsidR="007F0BD1" w:rsidRDefault="007F0BD1" w:rsidP="00E1424B"/>
          <w:p w:rsidR="005E3908" w:rsidRDefault="005E3908" w:rsidP="005E3908">
            <w:r>
              <w:t>For a radio emission that is:</w:t>
            </w:r>
          </w:p>
          <w:p w:rsidR="005E3908" w:rsidRDefault="005E3908" w:rsidP="005E3908">
            <w:pPr>
              <w:numPr>
                <w:ilvl w:val="0"/>
                <w:numId w:val="33"/>
              </w:numPr>
            </w:pPr>
            <w:r>
              <w:t xml:space="preserve">not a spurious emission; and </w:t>
            </w:r>
          </w:p>
          <w:p w:rsidR="005E3908" w:rsidRDefault="005E3908" w:rsidP="005E3908">
            <w:pPr>
              <w:numPr>
                <w:ilvl w:val="0"/>
                <w:numId w:val="33"/>
              </w:numPr>
            </w:pPr>
            <w:r>
              <w:t>caused by a transmitter operated under a spectrum licence issued for the 1800 MHz band; and</w:t>
            </w:r>
          </w:p>
          <w:p w:rsidR="005E3908" w:rsidRDefault="005E3908" w:rsidP="005E3908">
            <w:pPr>
              <w:numPr>
                <w:ilvl w:val="0"/>
                <w:numId w:val="33"/>
              </w:numPr>
            </w:pPr>
            <w:r>
              <w:lastRenderedPageBreak/>
              <w:t>at frequencies outside the frequency band of the licence; and</w:t>
            </w:r>
          </w:p>
          <w:p w:rsidR="005E3908" w:rsidRDefault="005E3908" w:rsidP="005E3908">
            <w:pPr>
              <w:numPr>
                <w:ilvl w:val="0"/>
                <w:numId w:val="33"/>
              </w:numPr>
            </w:pPr>
            <w:r>
              <w:t>offset from the upper or lower limits of the frequency band</w:t>
            </w:r>
            <w:r w:rsidR="005A5346">
              <w:t xml:space="preserve"> of the licence</w:t>
            </w:r>
            <w:r>
              <w:t>;</w:t>
            </w:r>
          </w:p>
          <w:p w:rsidR="005E3908" w:rsidRDefault="005E3908" w:rsidP="005E3908">
            <w:pPr>
              <w:ind w:left="165"/>
            </w:pPr>
            <w:r>
              <w:t>the emission limits outside the band are for frequency bands containing frequencies that have offsets:</w:t>
            </w:r>
          </w:p>
          <w:p w:rsidR="005E3908" w:rsidRDefault="005E3908" w:rsidP="005E3908">
            <w:pPr>
              <w:numPr>
                <w:ilvl w:val="0"/>
                <w:numId w:val="33"/>
              </w:numPr>
            </w:pPr>
            <w:r>
              <w:t xml:space="preserve">within the range 0 MHz to 0.2 MHz – a radiated maximum true mean power of 21.5 dBm EIRP per 30 kHz; and </w:t>
            </w:r>
          </w:p>
          <w:p w:rsidR="009A72F0" w:rsidRDefault="005E3908">
            <w:pPr>
              <w:numPr>
                <w:ilvl w:val="0"/>
                <w:numId w:val="33"/>
              </w:numPr>
            </w:pPr>
            <w:r>
              <w:t xml:space="preserve">within the range 0.2 MHz to </w:t>
            </w:r>
            <w:r w:rsidR="00AA4420">
              <w:t>1</w:t>
            </w:r>
            <w:r>
              <w:t xml:space="preserve"> MHz – a radiated maximum true mean power of </w:t>
            </w:r>
            <w:r w:rsidR="009A72F0">
              <w:t>x</w:t>
            </w:r>
            <w:r>
              <w:t xml:space="preserve"> dBm EIRP per 30 kHz</w:t>
            </w:r>
            <w:r w:rsidR="009A72F0">
              <w:t>, where</w:t>
            </w:r>
          </w:p>
          <w:p w:rsidR="00000000" w:rsidRDefault="001275D5">
            <w:pPr>
              <w:tabs>
                <w:tab w:val="left" w:pos="420"/>
              </w:tabs>
              <w:ind w:left="142" w:firstLine="2126"/>
            </w:pPr>
            <w:r>
              <w:t>x = 2</w:t>
            </w:r>
            <w:r w:rsidR="009A72F0">
              <w:t xml:space="preserve"> –</w:t>
            </w:r>
            <w:r w:rsidR="00D5777B">
              <w:t xml:space="preserve"> 13.63</w:t>
            </w:r>
            <w:r w:rsidR="009A72F0">
              <w:t xml:space="preserve"> * (</w:t>
            </w:r>
            <w:proofErr w:type="spellStart"/>
            <w:r w:rsidR="009A72F0">
              <w:t>f_offset</w:t>
            </w:r>
            <w:proofErr w:type="spellEnd"/>
            <w:r w:rsidR="009A72F0">
              <w:t xml:space="preserve"> – 0.215) dB</w:t>
            </w:r>
            <w:r>
              <w:t>m</w:t>
            </w:r>
            <w:r w:rsidR="00775D08">
              <w:t>,</w:t>
            </w:r>
          </w:p>
          <w:p w:rsidR="00000000" w:rsidRDefault="00775D08">
            <w:pPr>
              <w:tabs>
                <w:tab w:val="left" w:pos="420"/>
              </w:tabs>
              <w:ind w:left="142" w:firstLine="2126"/>
            </w:pPr>
            <w:r>
              <w:t xml:space="preserve">0.215 MHz ≤ </w:t>
            </w:r>
            <w:proofErr w:type="spellStart"/>
            <w:r>
              <w:t>f_offset</w:t>
            </w:r>
            <w:proofErr w:type="spellEnd"/>
            <w:r>
              <w:t xml:space="preserve"> ≤ 0.985 MHz,</w:t>
            </w:r>
          </w:p>
          <w:p w:rsidR="00000000" w:rsidRDefault="009A72F0">
            <w:pPr>
              <w:tabs>
                <w:tab w:val="left" w:pos="420"/>
              </w:tabs>
              <w:ind w:left="567"/>
            </w:pPr>
            <w:r>
              <w:t xml:space="preserve">where </w:t>
            </w:r>
            <w:proofErr w:type="spellStart"/>
            <w:r>
              <w:t>f_offset</w:t>
            </w:r>
            <w:proofErr w:type="spellEnd"/>
            <w:r>
              <w:t xml:space="preserve"> is the offset frequency in megahertz from the band edge of the licensed frequency band to the centre frequency of the measuring filter</w:t>
            </w:r>
            <w:r w:rsidR="0060275B">
              <w:t>; and</w:t>
            </w:r>
            <w:r w:rsidR="005E3908">
              <w:t>,</w:t>
            </w:r>
          </w:p>
          <w:p w:rsidR="005E3908" w:rsidRDefault="005E3908" w:rsidP="0060275B">
            <w:pPr>
              <w:numPr>
                <w:ilvl w:val="0"/>
                <w:numId w:val="33"/>
              </w:numPr>
            </w:pPr>
            <w:r>
              <w:t xml:space="preserve">within the range </w:t>
            </w:r>
            <w:r w:rsidR="00AA4420">
              <w:t>1</w:t>
            </w:r>
            <w:r>
              <w:t xml:space="preserve"> MHz to 5.8 MHz – a radiated maximum true mean power of -8.5 dBm EIRP per 30 kHz; and </w:t>
            </w:r>
          </w:p>
          <w:p w:rsidR="005E3908" w:rsidRDefault="005E3908" w:rsidP="005E3908">
            <w:pPr>
              <w:numPr>
                <w:ilvl w:val="0"/>
                <w:numId w:val="33"/>
              </w:numPr>
            </w:pPr>
            <w:r>
              <w:t>greater than 5.8 MHz – a radiated maximum true mean power of -</w:t>
            </w:r>
            <w:r w:rsidR="00B34EF1">
              <w:t>1</w:t>
            </w:r>
            <w:r>
              <w:t xml:space="preserve">3 dBm EIRP per 30 kHz; and </w:t>
            </w:r>
          </w:p>
          <w:p w:rsidR="00592420" w:rsidRDefault="005E3908" w:rsidP="007847E6">
            <w:pPr>
              <w:numPr>
                <w:ilvl w:val="0"/>
                <w:numId w:val="33"/>
              </w:numPr>
            </w:pPr>
            <w:proofErr w:type="gramStart"/>
            <w:r>
              <w:t>within</w:t>
            </w:r>
            <w:proofErr w:type="gramEnd"/>
            <w:r>
              <w:t xml:space="preserve"> the range 0.2 MHz to 0.5 MHz – a radiated peak power of 10 dBm EIRP</w:t>
            </w:r>
            <w:r w:rsidR="007847E6">
              <w:t xml:space="preserve"> measured within a 300 kHz rectangular bandwidth</w:t>
            </w:r>
            <w:r>
              <w:t>.</w:t>
            </w:r>
          </w:p>
        </w:tc>
      </w:tr>
    </w:tbl>
    <w:p w:rsidR="00FA3357" w:rsidRDefault="00FA3357" w:rsidP="005E3908">
      <w:pPr>
        <w:rPr>
          <w:noProof/>
          <w:lang w:eastAsia="en-AU"/>
        </w:rPr>
      </w:pPr>
    </w:p>
    <w:p w:rsidR="00882027" w:rsidRDefault="003C5072">
      <w:pPr>
        <w:rPr>
          <w:noProof/>
          <w:lang w:eastAsia="en-AU"/>
        </w:rPr>
      </w:pPr>
      <w:r>
        <w:rPr>
          <w:noProof/>
          <w:lang w:eastAsia="en-AU"/>
        </w:rPr>
        <w:t>Figure 4</w:t>
      </w:r>
      <w:r w:rsidR="00C24547">
        <w:rPr>
          <w:noProof/>
          <w:lang w:eastAsia="en-AU"/>
        </w:rPr>
        <w:t xml:space="preserve"> – Out-of-band non-spurious emission limits within the 1800 MHz band</w:t>
      </w:r>
      <w:r w:rsidR="00EE3442">
        <w:rPr>
          <w:noProof/>
          <w:lang w:eastAsia="en-AU"/>
        </w:rPr>
        <w:t xml:space="preserve"> (offset from the licence band edge)</w:t>
      </w:r>
      <w:r w:rsidR="002E6B86" w:rsidRPr="002E6B86">
        <w:rPr>
          <w:noProof/>
          <w:lang w:eastAsia="en-AU"/>
        </w:rPr>
        <w:t xml:space="preserve"> </w:t>
      </w:r>
    </w:p>
    <w:p w:rsidR="00882027" w:rsidRDefault="00570EF1">
      <w:pPr>
        <w:rPr>
          <w:noProof/>
          <w:lang w:eastAsia="en-AU"/>
        </w:rPr>
      </w:pPr>
      <w:r>
        <w:rPr>
          <w:noProof/>
          <w:lang w:eastAsia="en-AU"/>
        </w:rPr>
        <w:pict>
          <v:shape id="_x0000_i1029" type="#_x0000_t75" style="width:489.75pt;height:339pt;mso-left-percent:-10001;mso-top-percent:-10001;mso-position-horizontal:absolute;mso-position-horizontal-relative:char;mso-position-vertical:absolute;mso-position-vertical-relative:line;mso-left-percent:-10001;mso-top-percent:-10001">
            <v:imagedata r:id="rId14" o:title=""/>
          </v:shape>
        </w:pict>
      </w:r>
    </w:p>
    <w:p w:rsidR="00C24547" w:rsidRDefault="00C24547" w:rsidP="00F420AA"/>
    <w:p w:rsidR="00D376D7" w:rsidRDefault="00D376D7" w:rsidP="00F420AA">
      <w:pPr>
        <w:rPr>
          <w:rStyle w:val="SubtleEmphasis"/>
          <w:b/>
        </w:rPr>
      </w:pPr>
    </w:p>
    <w:p w:rsidR="00D376D7" w:rsidRDefault="00D376D7" w:rsidP="00F420AA">
      <w:pPr>
        <w:rPr>
          <w:rStyle w:val="SubtleEmphasis"/>
          <w:b/>
        </w:rPr>
      </w:pPr>
    </w:p>
    <w:p w:rsidR="00D376D7" w:rsidRDefault="00D376D7" w:rsidP="00F420AA">
      <w:pPr>
        <w:rPr>
          <w:rStyle w:val="SubtleEmphasis"/>
          <w:b/>
        </w:rPr>
      </w:pPr>
    </w:p>
    <w:p w:rsidR="00EE3442" w:rsidRPr="005B4EA1" w:rsidRDefault="000B1E1A" w:rsidP="00F420AA">
      <w:pPr>
        <w:rPr>
          <w:rStyle w:val="SubtleEmphasis"/>
          <w:b/>
        </w:rPr>
      </w:pPr>
      <w:r w:rsidRPr="005B4EA1">
        <w:rPr>
          <w:rStyle w:val="SubtleEmphasis"/>
          <w:b/>
        </w:rPr>
        <w:lastRenderedPageBreak/>
        <w:t>Non-spurious emissions outside the 1800 MHz band</w:t>
      </w:r>
    </w:p>
    <w:p w:rsidR="0041333E" w:rsidRDefault="00EE3442" w:rsidP="00FA3357">
      <w:r>
        <w:t>Additional limits are specified t</w:t>
      </w:r>
      <w:r w:rsidR="00E70359">
        <w:t xml:space="preserve">o </w:t>
      </w:r>
      <w:r w:rsidR="00F2640E">
        <w:t xml:space="preserve">assist with the coexistence </w:t>
      </w:r>
      <w:r w:rsidR="00E70359">
        <w:t>of</w:t>
      </w:r>
      <w:r w:rsidR="00E1424B">
        <w:t xml:space="preserve"> adjacent band services </w:t>
      </w:r>
      <w:r w:rsidR="00E70359">
        <w:t>outside of the 1800 MHz band</w:t>
      </w:r>
      <w:r>
        <w:t>.</w:t>
      </w:r>
      <w:r w:rsidR="00E70359">
        <w:t xml:space="preserve"> </w:t>
      </w:r>
      <w:r w:rsidR="00E1424B">
        <w:t>These limits are specified</w:t>
      </w:r>
      <w:r w:rsidR="00651CA6">
        <w:t xml:space="preserve"> at </w:t>
      </w:r>
      <w:r w:rsidR="002048D4">
        <w:t xml:space="preserve">frequency </w:t>
      </w:r>
      <w:r w:rsidR="00651CA6">
        <w:t xml:space="preserve">offsets </w:t>
      </w:r>
      <w:r w:rsidR="00FA3357">
        <w:t>from the 1710 MHz, 1785 MHz, 1805 MHz and 1880 MHz band edges.</w:t>
      </w:r>
    </w:p>
    <w:p w:rsidR="00FA3357" w:rsidRDefault="00FA3357" w:rsidP="00FA3357"/>
    <w:p w:rsidR="000D2292" w:rsidRDefault="00E1424B" w:rsidP="00E1424B">
      <w:r>
        <w:t xml:space="preserve">To facilitate efficient access </w:t>
      </w:r>
      <w:r w:rsidR="00F2640E">
        <w:t xml:space="preserve">for </w:t>
      </w:r>
      <w:r>
        <w:t>future technologies the proposed emission masks offset from 1785, 1805 and 1880 MHz</w:t>
      </w:r>
      <w:r w:rsidR="000D2292">
        <w:t xml:space="preserve"> have been relaxed at offsets less than </w:t>
      </w:r>
      <w:r w:rsidR="00D5777B">
        <w:t>0.</w:t>
      </w:r>
      <w:r w:rsidR="007A3D72">
        <w:t>9 M</w:t>
      </w:r>
      <w:r w:rsidR="000D2292">
        <w:t>Hz</w:t>
      </w:r>
      <w:r w:rsidR="006117E7">
        <w:t xml:space="preserve"> and greater than 5.6 MHz</w:t>
      </w:r>
      <w:r w:rsidR="000D2292">
        <w:t>,</w:t>
      </w:r>
      <w:r w:rsidR="00E84D03">
        <w:t xml:space="preserve"> </w:t>
      </w:r>
      <w:r w:rsidR="006117E7">
        <w:t xml:space="preserve">in consideration of the </w:t>
      </w:r>
      <w:r w:rsidR="00E84D03">
        <w:t>emission levels of the reference technologies</w:t>
      </w:r>
      <w:r>
        <w:t>.</w:t>
      </w:r>
      <w:r w:rsidR="000D2292">
        <w:t xml:space="preserve"> Emissions</w:t>
      </w:r>
      <w:r w:rsidR="00F2640E">
        <w:t xml:space="preserve"> limits</w:t>
      </w:r>
      <w:r w:rsidR="000D2292">
        <w:t xml:space="preserve"> </w:t>
      </w:r>
      <w:r w:rsidR="006117E7">
        <w:t xml:space="preserve">at offsets </w:t>
      </w:r>
      <w:r w:rsidR="000D2292">
        <w:t xml:space="preserve">greater than </w:t>
      </w:r>
      <w:r w:rsidR="00D5777B">
        <w:t>0.</w:t>
      </w:r>
      <w:r w:rsidR="007A3D72">
        <w:t>9 M</w:t>
      </w:r>
      <w:r w:rsidR="000D2292">
        <w:t xml:space="preserve">Hz </w:t>
      </w:r>
      <w:r w:rsidR="006117E7">
        <w:t xml:space="preserve">but less than 5.6 MHz </w:t>
      </w:r>
      <w:r w:rsidR="00F2640E">
        <w:t>will</w:t>
      </w:r>
      <w:r w:rsidR="000D2292">
        <w:t xml:space="preserve"> remain unchanged.</w:t>
      </w:r>
      <w:r>
        <w:t xml:space="preserve"> </w:t>
      </w:r>
    </w:p>
    <w:p w:rsidR="003A5E06" w:rsidRDefault="003A5E06" w:rsidP="00E1424B"/>
    <w:p w:rsidR="006117E7" w:rsidRDefault="006117E7" w:rsidP="00E1424B">
      <w:r>
        <w:t>It is prop</w:t>
      </w:r>
      <w:r w:rsidR="00AF6A9E">
        <w:t>osed to increase the emission</w:t>
      </w:r>
      <w:r>
        <w:t xml:space="preserve"> limit at offsets greater than 5.6 MHz from -33.5 dBm/30kHz to -18.5 dBm/30kHz. This emission limit increase is intended to ease the </w:t>
      </w:r>
      <w:r w:rsidR="00AF6A9E">
        <w:t>deployment restrictions for technologies with higher emission level</w:t>
      </w:r>
      <w:r w:rsidR="003A5E06">
        <w:t>s</w:t>
      </w:r>
      <w:r w:rsidR="00AF6A9E">
        <w:t xml:space="preserve"> at these offsets </w:t>
      </w:r>
      <w:r>
        <w:t>while sti</w:t>
      </w:r>
      <w:r w:rsidR="009734E4">
        <w:t>ll allowing co-existence with</w:t>
      </w:r>
      <w:r>
        <w:t xml:space="preserve"> services operating outside of the 1800 MHz spectrum licence band. Advice from industry indicates that IMT equ</w:t>
      </w:r>
      <w:r w:rsidR="00A43490">
        <w:t>ipment will be able to meet the proposed limit</w:t>
      </w:r>
      <w:r>
        <w:t xml:space="preserve"> even though it is more restrict</w:t>
      </w:r>
      <w:r w:rsidR="006227F0">
        <w:t>ive than</w:t>
      </w:r>
      <w:r>
        <w:t xml:space="preserve"> the reference technology emission masks.</w:t>
      </w:r>
    </w:p>
    <w:p w:rsidR="00AF6A9E" w:rsidRDefault="00AF6A9E" w:rsidP="00E1424B"/>
    <w:p w:rsidR="00E1424B" w:rsidRDefault="00E1424B" w:rsidP="00E1424B">
      <w:r>
        <w:t>The limits offset from 1710 MHz remain unchanged to</w:t>
      </w:r>
      <w:r w:rsidR="00F2640E">
        <w:t xml:space="preserve"> maintain coexistence with</w:t>
      </w:r>
      <w:r w:rsidR="00C24547">
        <w:t xml:space="preserve"> adjacent band Earth</w:t>
      </w:r>
      <w:r>
        <w:t xml:space="preserve"> station</w:t>
      </w:r>
      <w:r w:rsidR="00C568C6">
        <w:t xml:space="preserve"> receiver</w:t>
      </w:r>
      <w:r>
        <w:t>s.</w:t>
      </w:r>
    </w:p>
    <w:p w:rsidR="00651CA6" w:rsidRDefault="00651CA6" w:rsidP="00E142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651CA6" w:rsidTr="00651CA6">
        <w:tc>
          <w:tcPr>
            <w:tcW w:w="9242" w:type="dxa"/>
          </w:tcPr>
          <w:p w:rsidR="00595977" w:rsidRDefault="00595977" w:rsidP="00651CA6"/>
          <w:p w:rsidR="00595977" w:rsidRDefault="007D4DC7" w:rsidP="00595977">
            <w:pPr>
              <w:rPr>
                <w:b/>
                <w:i/>
              </w:rPr>
            </w:pPr>
            <w:r>
              <w:rPr>
                <w:b/>
                <w:i/>
              </w:rPr>
              <w:t>The proposed limits of</w:t>
            </w:r>
            <w:r w:rsidR="00595977">
              <w:rPr>
                <w:b/>
                <w:i/>
              </w:rPr>
              <w:t xml:space="preserve"> non-spurious out-of-band emissions </w:t>
            </w:r>
            <w:r w:rsidR="005E3908">
              <w:rPr>
                <w:b/>
                <w:i/>
              </w:rPr>
              <w:t xml:space="preserve">offset from </w:t>
            </w:r>
            <w:r w:rsidR="007371E8">
              <w:rPr>
                <w:b/>
                <w:i/>
              </w:rPr>
              <w:t xml:space="preserve">1785 MHz, </w:t>
            </w:r>
            <w:r w:rsidR="005E3908">
              <w:rPr>
                <w:b/>
                <w:i/>
              </w:rPr>
              <w:t>1805 MHz and 1880 MHz,</w:t>
            </w:r>
            <w:r w:rsidR="00595977">
              <w:rPr>
                <w:b/>
                <w:i/>
              </w:rPr>
              <w:t xml:space="preserve"> from a transmitter operated under a 1800 MHz band spectrum licence for the core conditions of the licence are:</w:t>
            </w:r>
          </w:p>
          <w:p w:rsidR="00595977" w:rsidRDefault="00595977" w:rsidP="00651CA6"/>
          <w:p w:rsidR="00595977" w:rsidRDefault="00595977" w:rsidP="00651CA6">
            <w:r>
              <w:t>For a radio emission that is:</w:t>
            </w:r>
          </w:p>
          <w:p w:rsidR="00595977" w:rsidRDefault="005E3908" w:rsidP="005E3908">
            <w:pPr>
              <w:numPr>
                <w:ilvl w:val="0"/>
                <w:numId w:val="35"/>
              </w:numPr>
            </w:pPr>
            <w:r>
              <w:t>n</w:t>
            </w:r>
            <w:r w:rsidR="00595977">
              <w:t xml:space="preserve">ot a spurious emission; and </w:t>
            </w:r>
          </w:p>
          <w:p w:rsidR="00595977" w:rsidRDefault="005E3908" w:rsidP="005E3908">
            <w:pPr>
              <w:numPr>
                <w:ilvl w:val="0"/>
                <w:numId w:val="35"/>
              </w:numPr>
            </w:pPr>
            <w:r>
              <w:t>c</w:t>
            </w:r>
            <w:r w:rsidR="00595977">
              <w:t>aused by a transmitter operated under a spectrum licence issued for the 1800 MHz band; and</w:t>
            </w:r>
          </w:p>
          <w:p w:rsidR="00595977" w:rsidRDefault="005E3908" w:rsidP="005E3908">
            <w:pPr>
              <w:numPr>
                <w:ilvl w:val="0"/>
                <w:numId w:val="35"/>
              </w:numPr>
            </w:pPr>
            <w:r>
              <w:t>a</w:t>
            </w:r>
            <w:r w:rsidR="00595977">
              <w:t xml:space="preserve">t frequencies outside the frequency band 1710 MHz to 1785 MHz and 1805 MHz </w:t>
            </w:r>
            <w:r w:rsidR="005A5346">
              <w:t xml:space="preserve">to </w:t>
            </w:r>
            <w:r w:rsidR="00595977">
              <w:t>1880 MHz; and</w:t>
            </w:r>
          </w:p>
          <w:p w:rsidR="00595977" w:rsidRDefault="005E3908" w:rsidP="005E3908">
            <w:pPr>
              <w:numPr>
                <w:ilvl w:val="0"/>
                <w:numId w:val="35"/>
              </w:numPr>
            </w:pPr>
            <w:r>
              <w:t>o</w:t>
            </w:r>
            <w:r w:rsidR="00595977">
              <w:t>ffset</w:t>
            </w:r>
            <w:r w:rsidR="007847E6">
              <w:t xml:space="preserve"> from </w:t>
            </w:r>
            <w:r w:rsidR="008D4A6D">
              <w:t xml:space="preserve">1785 MHz, </w:t>
            </w:r>
            <w:r w:rsidR="007847E6">
              <w:t>1805 MHz and</w:t>
            </w:r>
            <w:r w:rsidR="00595977">
              <w:t xml:space="preserve"> 1880 MHz;</w:t>
            </w:r>
          </w:p>
          <w:p w:rsidR="00595977" w:rsidRDefault="00595977" w:rsidP="00595977">
            <w:pPr>
              <w:ind w:left="165"/>
            </w:pPr>
            <w:r>
              <w:t>the emission limits outside the band are for frequency bands containing frequencies that have offsets:</w:t>
            </w:r>
          </w:p>
          <w:p w:rsidR="00595977" w:rsidRDefault="00595977" w:rsidP="005E3908">
            <w:pPr>
              <w:numPr>
                <w:ilvl w:val="0"/>
                <w:numId w:val="35"/>
              </w:numPr>
            </w:pPr>
            <w:r>
              <w:t>within the range 0 MHz to 0.</w:t>
            </w:r>
            <w:r w:rsidR="001275D5">
              <w:t>2</w:t>
            </w:r>
            <w:r>
              <w:t xml:space="preserve"> MHz – a radiated maximum true mean power of 2 dBm EIRP per 30 kHz; and </w:t>
            </w:r>
          </w:p>
          <w:p w:rsidR="001275D5" w:rsidRDefault="00D5777B" w:rsidP="005E3908">
            <w:pPr>
              <w:numPr>
                <w:ilvl w:val="0"/>
                <w:numId w:val="35"/>
              </w:numPr>
            </w:pPr>
            <w:r>
              <w:t>within the range 0.2 MHz to 0.</w:t>
            </w:r>
            <w:r w:rsidR="001275D5">
              <w:t>9 MHz – a radiated maximum true mean power of x dBm EIRP per 30 kHz, where</w:t>
            </w:r>
          </w:p>
          <w:p w:rsidR="00000000" w:rsidRDefault="00D5777B">
            <w:pPr>
              <w:ind w:left="165" w:firstLine="2103"/>
            </w:pPr>
            <w:r>
              <w:t>x = 2 – 15.67</w:t>
            </w:r>
            <w:r w:rsidR="001275D5">
              <w:t xml:space="preserve"> * (</w:t>
            </w:r>
            <w:proofErr w:type="spellStart"/>
            <w:r w:rsidR="001275D5">
              <w:t>f_offset</w:t>
            </w:r>
            <w:proofErr w:type="spellEnd"/>
            <w:r w:rsidR="001275D5">
              <w:t xml:space="preserve"> – 0.215) dBm</w:t>
            </w:r>
            <w:r w:rsidR="00775D08">
              <w:t>,</w:t>
            </w:r>
          </w:p>
          <w:p w:rsidR="00000000" w:rsidRDefault="00C779BF">
            <w:pPr>
              <w:ind w:left="165" w:firstLine="2103"/>
            </w:pPr>
            <w:r>
              <w:t>0.215 MHz</w:t>
            </w:r>
            <w:r w:rsidR="00775D08">
              <w:t xml:space="preserve"> ≤ </w:t>
            </w:r>
            <w:proofErr w:type="spellStart"/>
            <w:r w:rsidR="00775D08">
              <w:t>f_offset</w:t>
            </w:r>
            <w:proofErr w:type="spellEnd"/>
            <w:r w:rsidR="00775D08">
              <w:t xml:space="preserve"> ≤ 0.885 MHz,</w:t>
            </w:r>
          </w:p>
          <w:p w:rsidR="00000000" w:rsidRDefault="001275D5">
            <w:pPr>
              <w:ind w:left="567"/>
            </w:pPr>
            <w:r>
              <w:t xml:space="preserve">where </w:t>
            </w:r>
            <w:proofErr w:type="spellStart"/>
            <w:r>
              <w:t>f_offset</w:t>
            </w:r>
            <w:proofErr w:type="spellEnd"/>
            <w:r>
              <w:t xml:space="preserve"> is the offset frequency in megahertz from the 1785 MHz, 1805 MHz or 1880 MHz band edge to the centre frequency of the measuring filter; and</w:t>
            </w:r>
          </w:p>
          <w:p w:rsidR="005E3908" w:rsidRDefault="005E3908" w:rsidP="005E3908">
            <w:pPr>
              <w:numPr>
                <w:ilvl w:val="0"/>
                <w:numId w:val="35"/>
              </w:numPr>
            </w:pPr>
            <w:r>
              <w:t xml:space="preserve">within the range 0.9 MHz to 5.6 MHz – a radiated maximum true mean power of -8.5 dBm EIRP per 30 kHz; and </w:t>
            </w:r>
          </w:p>
          <w:p w:rsidR="00A0414A" w:rsidRDefault="001515B2" w:rsidP="005E3908">
            <w:pPr>
              <w:numPr>
                <w:ilvl w:val="0"/>
                <w:numId w:val="35"/>
              </w:numPr>
            </w:pPr>
            <w:r>
              <w:t>greater than</w:t>
            </w:r>
            <w:r w:rsidR="005E3908">
              <w:t xml:space="preserve"> 5.6 MHz</w:t>
            </w:r>
            <w:r>
              <w:t xml:space="preserve"> </w:t>
            </w:r>
            <w:r w:rsidR="005E3908">
              <w:t>– a radiated maximum true mean power of -</w:t>
            </w:r>
            <w:r w:rsidR="006117E7">
              <w:t>18</w:t>
            </w:r>
            <w:r w:rsidR="005E3908">
              <w:t xml:space="preserve">.5 dBm EIRP per 30 kHz; and </w:t>
            </w:r>
          </w:p>
          <w:p w:rsidR="00C24547" w:rsidRDefault="005E3908" w:rsidP="00C24547">
            <w:pPr>
              <w:numPr>
                <w:ilvl w:val="0"/>
                <w:numId w:val="35"/>
              </w:numPr>
            </w:pPr>
            <w:proofErr w:type="gramStart"/>
            <w:r>
              <w:t>within</w:t>
            </w:r>
            <w:proofErr w:type="gramEnd"/>
            <w:r>
              <w:t xml:space="preserve"> the range 0 MHz to 0.3 MHz – a radiated peak power of 10 dBm EIRP</w:t>
            </w:r>
            <w:r w:rsidR="007847E6">
              <w:t xml:space="preserve"> measured within a 300 kHz rectangular bandwidth</w:t>
            </w:r>
            <w:r>
              <w:t>.</w:t>
            </w:r>
          </w:p>
        </w:tc>
      </w:tr>
    </w:tbl>
    <w:p w:rsidR="00651CA6" w:rsidRDefault="00651CA6" w:rsidP="00E1424B"/>
    <w:p w:rsidR="00882027" w:rsidRDefault="00882027" w:rsidP="00E1424B"/>
    <w:p w:rsidR="00882027" w:rsidRDefault="00882027" w:rsidP="00E142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651CA6" w:rsidTr="00651CA6">
        <w:tc>
          <w:tcPr>
            <w:tcW w:w="9242" w:type="dxa"/>
          </w:tcPr>
          <w:p w:rsidR="007847E6" w:rsidRDefault="007847E6" w:rsidP="00651CA6"/>
          <w:p w:rsidR="007847E6" w:rsidRDefault="007D4DC7" w:rsidP="007847E6">
            <w:pPr>
              <w:rPr>
                <w:b/>
                <w:i/>
              </w:rPr>
            </w:pPr>
            <w:r>
              <w:rPr>
                <w:b/>
                <w:i/>
              </w:rPr>
              <w:t>The proposed limits of</w:t>
            </w:r>
            <w:r w:rsidR="007847E6">
              <w:rPr>
                <w:b/>
                <w:i/>
              </w:rPr>
              <w:t xml:space="preserve"> non-spurious out-of-band emissions offset from 1710 MHz, from a transmitter operated under a 1800 MHz band spectrum licence for the core conditions of the licence are:</w:t>
            </w:r>
          </w:p>
          <w:p w:rsidR="007847E6" w:rsidRDefault="007847E6" w:rsidP="007847E6"/>
          <w:p w:rsidR="007847E6" w:rsidRDefault="007847E6" w:rsidP="007847E6">
            <w:r>
              <w:t>For a radio emission that is:</w:t>
            </w:r>
          </w:p>
          <w:p w:rsidR="007847E6" w:rsidRDefault="007847E6" w:rsidP="007847E6">
            <w:pPr>
              <w:numPr>
                <w:ilvl w:val="0"/>
                <w:numId w:val="38"/>
              </w:numPr>
            </w:pPr>
            <w:r>
              <w:t xml:space="preserve">not a spurious emission; and </w:t>
            </w:r>
          </w:p>
          <w:p w:rsidR="007847E6" w:rsidRDefault="007847E6" w:rsidP="007847E6">
            <w:pPr>
              <w:numPr>
                <w:ilvl w:val="0"/>
                <w:numId w:val="38"/>
              </w:numPr>
            </w:pPr>
            <w:r>
              <w:t>caused by a transmitter operated under a spectrum licence issued for the 1800 MHz band; and</w:t>
            </w:r>
          </w:p>
          <w:p w:rsidR="007847E6" w:rsidRDefault="007847E6" w:rsidP="007847E6">
            <w:pPr>
              <w:numPr>
                <w:ilvl w:val="0"/>
                <w:numId w:val="38"/>
              </w:numPr>
            </w:pPr>
            <w:r>
              <w:t>at frequencies outside the frequency band 1710 MHz to 1785 MHz; and</w:t>
            </w:r>
          </w:p>
          <w:p w:rsidR="007847E6" w:rsidRDefault="007847E6" w:rsidP="007847E6">
            <w:pPr>
              <w:numPr>
                <w:ilvl w:val="0"/>
                <w:numId w:val="38"/>
              </w:numPr>
            </w:pPr>
            <w:r>
              <w:t>offset from 1710 MHz;</w:t>
            </w:r>
          </w:p>
          <w:p w:rsidR="007847E6" w:rsidRDefault="007847E6" w:rsidP="007847E6">
            <w:pPr>
              <w:ind w:left="165"/>
            </w:pPr>
            <w:r>
              <w:t>the emission limits outside the band are for frequency bands containing frequencies that have offsets:</w:t>
            </w:r>
          </w:p>
          <w:p w:rsidR="007847E6" w:rsidRDefault="007847E6" w:rsidP="007847E6">
            <w:pPr>
              <w:numPr>
                <w:ilvl w:val="0"/>
                <w:numId w:val="38"/>
              </w:numPr>
            </w:pPr>
            <w:r>
              <w:t xml:space="preserve">within the range 0 MHz to 0.5 MHz – a radiated maximum true mean power of -8.5 dBm EIRP per 30 kHz; and </w:t>
            </w:r>
          </w:p>
          <w:p w:rsidR="00A0414A" w:rsidRDefault="007847E6" w:rsidP="007847E6">
            <w:pPr>
              <w:numPr>
                <w:ilvl w:val="0"/>
                <w:numId w:val="38"/>
              </w:numPr>
            </w:pPr>
            <w:r>
              <w:t xml:space="preserve">greater than 0.5 MHz – a radiated maximum true mean power of -33.5 dBm EIRP per 30 kHz; and </w:t>
            </w:r>
          </w:p>
          <w:p w:rsidR="00651CA6" w:rsidRDefault="007847E6" w:rsidP="00E1424B">
            <w:pPr>
              <w:numPr>
                <w:ilvl w:val="0"/>
                <w:numId w:val="38"/>
              </w:numPr>
            </w:pPr>
            <w:proofErr w:type="gramStart"/>
            <w:r>
              <w:t>within</w:t>
            </w:r>
            <w:proofErr w:type="gramEnd"/>
            <w:r>
              <w:t xml:space="preserve"> the range 0 MHz to 0.3 MHz – a radiated peak power of 10 dBm EIRP measured within a 300 kHz rectangular bandwidth.</w:t>
            </w:r>
          </w:p>
        </w:tc>
      </w:tr>
    </w:tbl>
    <w:p w:rsidR="00882027" w:rsidRDefault="00882027" w:rsidP="00C24547">
      <w:pPr>
        <w:jc w:val="center"/>
        <w:rPr>
          <w:noProof/>
          <w:lang w:eastAsia="en-AU"/>
        </w:rPr>
      </w:pPr>
    </w:p>
    <w:p w:rsidR="00C24547" w:rsidRDefault="003C5072" w:rsidP="00C24547">
      <w:pPr>
        <w:jc w:val="center"/>
        <w:rPr>
          <w:noProof/>
          <w:lang w:eastAsia="en-AU"/>
        </w:rPr>
      </w:pPr>
      <w:r>
        <w:rPr>
          <w:noProof/>
          <w:lang w:eastAsia="en-AU"/>
        </w:rPr>
        <w:t>Figure 5</w:t>
      </w:r>
      <w:r w:rsidR="00C24547">
        <w:rPr>
          <w:noProof/>
          <w:lang w:eastAsia="en-AU"/>
        </w:rPr>
        <w:t xml:space="preserve"> – Out-of-band non-spurious emission limits outside the 1800 MHz band offset from</w:t>
      </w:r>
      <w:r w:rsidR="00861C81">
        <w:rPr>
          <w:noProof/>
          <w:lang w:eastAsia="en-AU"/>
        </w:rPr>
        <w:t xml:space="preserve"> the</w:t>
      </w:r>
      <w:r w:rsidR="00C24547">
        <w:rPr>
          <w:noProof/>
          <w:lang w:eastAsia="en-AU"/>
        </w:rPr>
        <w:t xml:space="preserve"> </w:t>
      </w:r>
      <w:r w:rsidR="008D4A6D">
        <w:rPr>
          <w:noProof/>
          <w:lang w:eastAsia="en-AU"/>
        </w:rPr>
        <w:t xml:space="preserve">1785 MHz, </w:t>
      </w:r>
      <w:r w:rsidR="00C24547">
        <w:rPr>
          <w:noProof/>
          <w:lang w:eastAsia="en-AU"/>
        </w:rPr>
        <w:t>1805</w:t>
      </w:r>
      <w:r w:rsidR="008D4A6D">
        <w:rPr>
          <w:noProof/>
          <w:lang w:eastAsia="en-AU"/>
        </w:rPr>
        <w:t xml:space="preserve"> MHz</w:t>
      </w:r>
      <w:r w:rsidR="00C24547">
        <w:rPr>
          <w:noProof/>
          <w:lang w:eastAsia="en-AU"/>
        </w:rPr>
        <w:t xml:space="preserve"> </w:t>
      </w:r>
      <w:r w:rsidR="008D4A6D">
        <w:rPr>
          <w:noProof/>
          <w:lang w:eastAsia="en-AU"/>
        </w:rPr>
        <w:t xml:space="preserve"> </w:t>
      </w:r>
      <w:r w:rsidR="00C24547">
        <w:rPr>
          <w:noProof/>
          <w:lang w:eastAsia="en-AU"/>
        </w:rPr>
        <w:t xml:space="preserve">and 1880 MHz </w:t>
      </w:r>
      <w:r w:rsidR="008D4A6D">
        <w:rPr>
          <w:noProof/>
          <w:lang w:eastAsia="en-AU"/>
        </w:rPr>
        <w:t>frequency band edges</w:t>
      </w:r>
    </w:p>
    <w:p w:rsidR="00975837" w:rsidRDefault="00570EF1" w:rsidP="00F458B2">
      <w:pPr>
        <w:jc w:val="center"/>
        <w:rPr>
          <w:noProof/>
          <w:lang w:eastAsia="en-AU"/>
        </w:rPr>
      </w:pPr>
      <w:r>
        <w:rPr>
          <w:noProof/>
          <w:lang w:eastAsia="en-AU"/>
        </w:rPr>
        <w:pict>
          <v:shape id="_x0000_i1031" type="#_x0000_t75" style="width:408.75pt;height:375.75pt;mso-left-percent:-10001;mso-top-percent:-10001;mso-position-horizontal:absolute;mso-position-horizontal-relative:char;mso-position-vertical:absolute;mso-position-vertical-relative:line;mso-left-percent:-10001;mso-top-percent:-10001">
            <v:imagedata r:id="rId15" o:title=""/>
          </v:shape>
        </w:pict>
      </w:r>
    </w:p>
    <w:p w:rsidR="003F4CAA" w:rsidRDefault="00C24547" w:rsidP="00C24547">
      <w:pPr>
        <w:jc w:val="center"/>
      </w:pPr>
      <w:r>
        <w:lastRenderedPageBreak/>
        <w:t xml:space="preserve">Figure </w:t>
      </w:r>
      <w:r w:rsidR="008D4A6D">
        <w:t>6</w:t>
      </w:r>
      <w:r>
        <w:t xml:space="preserve"> – Out-of-band non-spurious emission limits outside the 1800 MHz band offset from </w:t>
      </w:r>
      <w:r w:rsidR="00861C81">
        <w:t xml:space="preserve">the </w:t>
      </w:r>
      <w:r>
        <w:t>1710 MHz</w:t>
      </w:r>
      <w:r w:rsidR="00861C81">
        <w:t xml:space="preserve"> frequency band edge</w:t>
      </w:r>
    </w:p>
    <w:p w:rsidR="00F233F5" w:rsidRDefault="00570EF1" w:rsidP="00EC3F2C">
      <w:pPr>
        <w:jc w:val="center"/>
      </w:pPr>
      <w:r>
        <w:rPr>
          <w:noProof/>
          <w:lang w:eastAsia="en-AU"/>
        </w:rPr>
        <w:pict>
          <v:shape id="_x0000_i1032" type="#_x0000_t75" style="width:422.25pt;height:388.5pt;mso-left-percent:-10001;mso-top-percent:-10001;mso-position-horizontal:absolute;mso-position-horizontal-relative:char;mso-position-vertical:absolute;mso-position-vertical-relative:line;mso-left-percent:-10001;mso-top-percent:-10001">
            <v:imagedata r:id="rId16" o:title=""/>
          </v:shape>
        </w:pict>
      </w:r>
    </w:p>
    <w:p w:rsidR="002D40D2" w:rsidRDefault="002D40D2" w:rsidP="00A96AD1">
      <w:pPr>
        <w:ind w:hanging="1276"/>
        <w:jc w:val="center"/>
      </w:pPr>
    </w:p>
    <w:p w:rsidR="00D25A44" w:rsidRPr="007D163F" w:rsidRDefault="00013DF4" w:rsidP="007D163F">
      <w:pPr>
        <w:pStyle w:val="Heading3"/>
      </w:pPr>
      <w:r>
        <w:t>6</w:t>
      </w:r>
      <w:r w:rsidR="007D163F">
        <w:t>.3</w:t>
      </w:r>
      <w:r w:rsidR="007D163F">
        <w:tab/>
      </w:r>
      <w:r w:rsidR="007D163F" w:rsidRPr="007D163F">
        <w:t>Proposed Out-of-Band Spurious emission limits</w:t>
      </w:r>
    </w:p>
    <w:p w:rsidR="004172FB" w:rsidRDefault="00792B87" w:rsidP="006534E5">
      <w:r>
        <w:t>Spurious emissions limits from both transmitters and receivers are included</w:t>
      </w:r>
      <w:r w:rsidR="009D28B6">
        <w:t xml:space="preserve"> as part of</w:t>
      </w:r>
      <w:r>
        <w:t xml:space="preserve"> the out-of-band core conditions of the licence.</w:t>
      </w:r>
      <w:r w:rsidR="009D28B6">
        <w:t xml:space="preserve"> A comparison of the current limits with the spurious levels of the reference technolog</w:t>
      </w:r>
      <w:r w:rsidR="004A3CD0">
        <w:t xml:space="preserve">ies was undertaken to evaluate if amendments are necessary </w:t>
      </w:r>
      <w:r w:rsidR="004172FB">
        <w:t>for the deployment of</w:t>
      </w:r>
      <w:r w:rsidR="004A3CD0">
        <w:t xml:space="preserve"> the reference technologies</w:t>
      </w:r>
      <w:r w:rsidR="004172FB">
        <w:t>.</w:t>
      </w:r>
      <w:r w:rsidR="00BC5580">
        <w:t xml:space="preserve"> This comparison is shown in Figures 7 and 8.</w:t>
      </w:r>
    </w:p>
    <w:p w:rsidR="004172FB" w:rsidRDefault="004172FB" w:rsidP="006534E5"/>
    <w:p w:rsidR="004172FB" w:rsidRDefault="004172FB" w:rsidP="004172FB">
      <w:r>
        <w:t>As the current limits are specified as a radiated level, the notional antenna gain of 15 dBi</w:t>
      </w:r>
      <w:r>
        <w:rPr>
          <w:rStyle w:val="FootnoteReference"/>
        </w:rPr>
        <w:footnoteReference w:id="5"/>
      </w:r>
      <w:r>
        <w:t xml:space="preserve"> is included to the reference technology limits in the frequency range 1-3.5 GHz, and 0 dBi gain is assumed outside this range.</w:t>
      </w:r>
      <w:r w:rsidR="00657E25">
        <w:t xml:space="preserve"> This approach is</w:t>
      </w:r>
      <w:r>
        <w:t xml:space="preserve"> consistent</w:t>
      </w:r>
      <w:r w:rsidR="00BC5580">
        <w:t xml:space="preserve"> with the ranges used in the development of</w:t>
      </w:r>
      <w:r>
        <w:t xml:space="preserve"> the current spurious </w:t>
      </w:r>
      <w:r w:rsidR="00D35D38">
        <w:t xml:space="preserve">emission </w:t>
      </w:r>
      <w:r>
        <w:t>limits in the technical framework</w:t>
      </w:r>
      <w:r w:rsidR="00BC5580">
        <w:t xml:space="preserve"> (i.e. full antenna gain in the range 1-3.5 GHz and 0 dBi gain outside this range)</w:t>
      </w:r>
      <w:r>
        <w:t>.</w:t>
      </w:r>
    </w:p>
    <w:p w:rsidR="004172FB" w:rsidRDefault="004172FB" w:rsidP="004172FB"/>
    <w:p w:rsidR="00882027" w:rsidRDefault="00882027" w:rsidP="004172FB"/>
    <w:p w:rsidR="00882027" w:rsidRDefault="00882027" w:rsidP="004172FB"/>
    <w:p w:rsidR="00882027" w:rsidRDefault="00882027" w:rsidP="004172FB"/>
    <w:p w:rsidR="00770770" w:rsidRDefault="00770770" w:rsidP="004172FB">
      <w:r>
        <w:lastRenderedPageBreak/>
        <w:t>Figure 7 – transmitter spurious emission comparison</w:t>
      </w:r>
    </w:p>
    <w:p w:rsidR="00770770" w:rsidRDefault="00570EF1" w:rsidP="00F34B3C">
      <w:r>
        <w:pict>
          <v:shape id="_x0000_i1033" type="#_x0000_t75" style="width:378pt;height:322.5pt;mso-left-percent:-10001;mso-top-percent:-10001;mso-position-horizontal:absolute;mso-position-horizontal-relative:char;mso-position-vertical:absolute;mso-position-vertical-relative:line;mso-left-percent:-10001;mso-top-percent:-10001">
            <v:imagedata r:id="rId17" o:title=""/>
          </v:shape>
        </w:pict>
      </w:r>
    </w:p>
    <w:p w:rsidR="00446E67" w:rsidRDefault="00446E67" w:rsidP="006534E5"/>
    <w:p w:rsidR="00770770" w:rsidRDefault="00770770" w:rsidP="006534E5">
      <w:r>
        <w:t>Figure 8 – receiver spurious emission comparison</w:t>
      </w:r>
    </w:p>
    <w:p w:rsidR="00770770" w:rsidRDefault="00570EF1" w:rsidP="006534E5">
      <w:r>
        <w:pict>
          <v:shape id="_x0000_i1034" type="#_x0000_t75" style="width:378pt;height:329.25pt;mso-left-percent:-10001;mso-top-percent:-10001;mso-position-horizontal:absolute;mso-position-horizontal-relative:char;mso-position-vertical:absolute;mso-position-vertical-relative:line;mso-left-percent:-10001;mso-top-percent:-10001">
            <v:imagedata r:id="rId18" o:title=""/>
          </v:shape>
        </w:pict>
      </w:r>
    </w:p>
    <w:p w:rsidR="000760FF" w:rsidRDefault="000760FF" w:rsidP="006534E5"/>
    <w:p w:rsidR="00770770" w:rsidRDefault="00770770" w:rsidP="00770770">
      <w:r>
        <w:t>The plots in Figure</w:t>
      </w:r>
      <w:r w:rsidR="00446E67">
        <w:t>s</w:t>
      </w:r>
      <w:r>
        <w:t xml:space="preserve"> 7 and 8 </w:t>
      </w:r>
      <w:r w:rsidR="00F34B3C">
        <w:t>shows</w:t>
      </w:r>
      <w:r>
        <w:t xml:space="preserve"> that GSM technologies may exceed the current limits at frequencies below 50 MHz and between 1803 and 1882 MHz. However, given that GSM technologies are already operating in this band it is assumed that licensees deploying or intending to employ GSM service will be able to meet the current limits without difficulty.</w:t>
      </w:r>
    </w:p>
    <w:p w:rsidR="00770770" w:rsidRDefault="00770770" w:rsidP="006534E5"/>
    <w:p w:rsidR="00770770" w:rsidRDefault="00770770" w:rsidP="006534E5">
      <w:r>
        <w:t>The comparison in Figure</w:t>
      </w:r>
      <w:r w:rsidR="00446E67">
        <w:t>s</w:t>
      </w:r>
      <w:r>
        <w:t xml:space="preserve"> 7 and 8 also show that the remainder of the reference technologies are expected to comply with the current limits except for transmitter emissions below 30 MHz. Given the frequency separation from the operating band, it is assumed that th</w:t>
      </w:r>
      <w:r w:rsidR="00511087">
        <w:t>ese levels can be easily filtered</w:t>
      </w:r>
      <w:r>
        <w:t xml:space="preserve"> out.</w:t>
      </w:r>
    </w:p>
    <w:p w:rsidR="00770770" w:rsidRDefault="00770770" w:rsidP="006534E5"/>
    <w:p w:rsidR="00770770" w:rsidRDefault="00417CDA" w:rsidP="006534E5">
      <w:r>
        <w:t>Based on this analysis it is proposed that the current transmitter and receiver spurious emission limits remain unchanged</w:t>
      </w:r>
      <w:r w:rsidR="00446E67">
        <w:t xml:space="preserve"> in the new technical framework</w:t>
      </w:r>
      <w:r>
        <w:t>.</w:t>
      </w:r>
    </w:p>
    <w:p w:rsidR="00417CDA" w:rsidRDefault="00417CDA" w:rsidP="00417C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417CDA" w:rsidTr="00D35D38">
        <w:tc>
          <w:tcPr>
            <w:tcW w:w="9242" w:type="dxa"/>
          </w:tcPr>
          <w:p w:rsidR="00417CDA" w:rsidRDefault="00417CDA" w:rsidP="00D35D38"/>
          <w:p w:rsidR="00417CDA" w:rsidRDefault="00417CDA" w:rsidP="00D35D38">
            <w:pPr>
              <w:rPr>
                <w:b/>
                <w:i/>
              </w:rPr>
            </w:pPr>
            <w:r>
              <w:rPr>
                <w:b/>
                <w:i/>
              </w:rPr>
              <w:t>The proposed limits o</w:t>
            </w:r>
            <w:r w:rsidR="007D4DC7">
              <w:rPr>
                <w:b/>
                <w:i/>
              </w:rPr>
              <w:t>f</w:t>
            </w:r>
            <w:r>
              <w:rPr>
                <w:b/>
                <w:i/>
              </w:rPr>
              <w:t xml:space="preserve"> spurious out-of-band emissions from a transmitter operated under a 1800 MHz band spectrum licence for the core condition of the licence are:</w:t>
            </w:r>
          </w:p>
          <w:p w:rsidR="00417CDA" w:rsidRDefault="00417CDA" w:rsidP="00D35D38">
            <w:pPr>
              <w:rPr>
                <w:b/>
                <w:i/>
              </w:rPr>
            </w:pPr>
          </w:p>
          <w:p w:rsidR="00417CDA" w:rsidRDefault="00417CDA" w:rsidP="00D35D38">
            <w:r>
              <w:t>For a radio emission that is:</w:t>
            </w:r>
          </w:p>
          <w:p w:rsidR="00417CDA" w:rsidRDefault="00417CDA" w:rsidP="00D35D38">
            <w:pPr>
              <w:numPr>
                <w:ilvl w:val="0"/>
                <w:numId w:val="39"/>
              </w:numPr>
            </w:pPr>
            <w:r>
              <w:t>a spurious emission; and</w:t>
            </w:r>
          </w:p>
          <w:p w:rsidR="00417CDA" w:rsidRDefault="00417CDA" w:rsidP="00D35D38">
            <w:pPr>
              <w:numPr>
                <w:ilvl w:val="0"/>
                <w:numId w:val="39"/>
              </w:numPr>
            </w:pPr>
            <w:r>
              <w:t>caused by transmitters operated under spectrum licences issued for the 1800 MHz band; and</w:t>
            </w:r>
          </w:p>
          <w:p w:rsidR="00417CDA" w:rsidRDefault="00417CDA" w:rsidP="00D35D38">
            <w:pPr>
              <w:numPr>
                <w:ilvl w:val="0"/>
                <w:numId w:val="39"/>
              </w:numPr>
            </w:pPr>
            <w:r>
              <w:t>at frequencies outside the frequency band of the licence;</w:t>
            </w:r>
          </w:p>
          <w:p w:rsidR="00417CDA" w:rsidRDefault="00417CDA" w:rsidP="00D35D38">
            <w:pPr>
              <w:ind w:left="165"/>
            </w:pPr>
            <w:r>
              <w:t>the emission limit at the input to the antenna is a mean power of:</w:t>
            </w:r>
          </w:p>
          <w:p w:rsidR="00417CDA" w:rsidRDefault="00417CDA" w:rsidP="00D35D38">
            <w:pPr>
              <w:numPr>
                <w:ilvl w:val="0"/>
                <w:numId w:val="39"/>
              </w:numPr>
            </w:pPr>
            <w:r>
              <w:t>-36 dBm EIRP measured within a 100 kHz rectangular bandwidth that is within the band 9 kHz to 1 GHz; and</w:t>
            </w:r>
          </w:p>
          <w:p w:rsidR="00417CDA" w:rsidRDefault="00417CDA" w:rsidP="00417CDA">
            <w:pPr>
              <w:numPr>
                <w:ilvl w:val="0"/>
                <w:numId w:val="39"/>
              </w:numPr>
            </w:pPr>
            <w:r>
              <w:t>-12 dBm EIRP measured within a 100 kHz rectangular bandwidth that is within the band 1 GHz to 3.5 GHz; and</w:t>
            </w:r>
          </w:p>
          <w:p w:rsidR="00417CDA" w:rsidRDefault="00417CDA" w:rsidP="00417CDA">
            <w:pPr>
              <w:numPr>
                <w:ilvl w:val="0"/>
                <w:numId w:val="39"/>
              </w:numPr>
            </w:pPr>
            <w:r>
              <w:t>-30 dBm EIRP measured within a 100 kHz rectangular bandwidth that is within the band 3.5 GHz to 12.75 GHz.</w:t>
            </w:r>
          </w:p>
        </w:tc>
      </w:tr>
    </w:tbl>
    <w:p w:rsidR="00417CDA" w:rsidRDefault="00417CDA" w:rsidP="00417CDA"/>
    <w:p w:rsidR="00417CDA" w:rsidRDefault="00417CDA" w:rsidP="00417C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417CDA" w:rsidTr="00D35D38">
        <w:tc>
          <w:tcPr>
            <w:tcW w:w="9242" w:type="dxa"/>
          </w:tcPr>
          <w:p w:rsidR="00417CDA" w:rsidRDefault="00417CDA" w:rsidP="00D35D38"/>
          <w:p w:rsidR="00417CDA" w:rsidRDefault="00417CDA" w:rsidP="00D35D38">
            <w:pPr>
              <w:rPr>
                <w:b/>
                <w:i/>
              </w:rPr>
            </w:pPr>
            <w:r>
              <w:rPr>
                <w:b/>
                <w:i/>
              </w:rPr>
              <w:t>The proposed limits o</w:t>
            </w:r>
            <w:r w:rsidR="007D4DC7">
              <w:rPr>
                <w:b/>
                <w:i/>
              </w:rPr>
              <w:t>f</w:t>
            </w:r>
            <w:r>
              <w:rPr>
                <w:b/>
                <w:i/>
              </w:rPr>
              <w:t xml:space="preserve"> spurious out-of-band emissions from a receiver operated under a 1800 MHz band spectrum licence for the core condition of the licence are:</w:t>
            </w:r>
          </w:p>
          <w:p w:rsidR="00417CDA" w:rsidRDefault="00417CDA" w:rsidP="00D35D38">
            <w:pPr>
              <w:rPr>
                <w:b/>
                <w:i/>
              </w:rPr>
            </w:pPr>
          </w:p>
          <w:p w:rsidR="00417CDA" w:rsidRDefault="00417CDA" w:rsidP="00D35D38">
            <w:r>
              <w:t>For a radio emission that is:</w:t>
            </w:r>
          </w:p>
          <w:p w:rsidR="00417CDA" w:rsidRDefault="00417CDA" w:rsidP="00D35D38">
            <w:pPr>
              <w:numPr>
                <w:ilvl w:val="0"/>
                <w:numId w:val="41"/>
              </w:numPr>
            </w:pPr>
            <w:r>
              <w:t>a spurious emission; and</w:t>
            </w:r>
          </w:p>
          <w:p w:rsidR="00417CDA" w:rsidRDefault="00417CDA" w:rsidP="00D35D38">
            <w:pPr>
              <w:numPr>
                <w:ilvl w:val="0"/>
                <w:numId w:val="41"/>
              </w:numPr>
            </w:pPr>
            <w:r>
              <w:t>caused by receivers operated under spectrum licences issued for the 1800 MHz band; and</w:t>
            </w:r>
          </w:p>
          <w:p w:rsidR="00417CDA" w:rsidRDefault="00417CDA" w:rsidP="00D35D38">
            <w:pPr>
              <w:numPr>
                <w:ilvl w:val="0"/>
                <w:numId w:val="41"/>
              </w:numPr>
            </w:pPr>
            <w:r>
              <w:t>at frequencies outside the frequency band of the licence;</w:t>
            </w:r>
          </w:p>
          <w:p w:rsidR="00417CDA" w:rsidRDefault="00417CDA" w:rsidP="00D35D38">
            <w:pPr>
              <w:ind w:left="165"/>
            </w:pPr>
            <w:r>
              <w:t>the emission limit at the input to the antenna is a mean power of:</w:t>
            </w:r>
          </w:p>
          <w:p w:rsidR="00417CDA" w:rsidRDefault="00417CDA" w:rsidP="00417CDA">
            <w:pPr>
              <w:numPr>
                <w:ilvl w:val="0"/>
                <w:numId w:val="41"/>
              </w:numPr>
            </w:pPr>
            <w:r>
              <w:t>-57 dBm EIRP measured within a 100 kHz rectangular bandwidth that is within the band 9 kHz to 1 GHz; and</w:t>
            </w:r>
          </w:p>
          <w:p w:rsidR="00417CDA" w:rsidRDefault="00417CDA" w:rsidP="00417CDA">
            <w:pPr>
              <w:numPr>
                <w:ilvl w:val="0"/>
                <w:numId w:val="41"/>
              </w:numPr>
            </w:pPr>
            <w:r>
              <w:t>-29 dBm EIRP measured within a 100 kHz rectangular bandwidth that is within the band 1 GHz to 3.5 GHz; and</w:t>
            </w:r>
          </w:p>
          <w:p w:rsidR="00417CDA" w:rsidRDefault="00417CDA" w:rsidP="00417CDA">
            <w:pPr>
              <w:numPr>
                <w:ilvl w:val="0"/>
                <w:numId w:val="41"/>
              </w:numPr>
            </w:pPr>
            <w:r>
              <w:t xml:space="preserve">-47 dBm EIRP measured within a 100 kHz rectangular bandwidth that is within the band 3.5 GHz to 12.75 GHz. </w:t>
            </w:r>
          </w:p>
        </w:tc>
      </w:tr>
    </w:tbl>
    <w:p w:rsidR="00417CDA" w:rsidRDefault="00417CDA" w:rsidP="00417CDA"/>
    <w:p w:rsidR="00417CDA" w:rsidRDefault="00417CDA" w:rsidP="006534E5"/>
    <w:p w:rsidR="00417CDA" w:rsidRDefault="00417CDA" w:rsidP="006534E5"/>
    <w:p w:rsidR="00013DF4" w:rsidRPr="00913779" w:rsidRDefault="00013DF4" w:rsidP="00013DF4">
      <w:pPr>
        <w:pStyle w:val="Heading3"/>
      </w:pPr>
      <w:r w:rsidRPr="00913779">
        <w:t>6.4</w:t>
      </w:r>
      <w:r w:rsidRPr="00913779">
        <w:tab/>
        <w:t xml:space="preserve">Other Emission Limits </w:t>
      </w:r>
      <w:r>
        <w:t>O</w:t>
      </w:r>
      <w:r w:rsidRPr="00913779">
        <w:t>utside the</w:t>
      </w:r>
      <w:r>
        <w:t xml:space="preserve"> B</w:t>
      </w:r>
      <w:r w:rsidRPr="00913779">
        <w:t>ands</w:t>
      </w:r>
    </w:p>
    <w:p w:rsidR="00013DF4" w:rsidRDefault="00013DF4" w:rsidP="00013DF4">
      <w:r w:rsidRPr="00913779">
        <w:t xml:space="preserve">The </w:t>
      </w:r>
      <w:r>
        <w:t xml:space="preserve">maximum level of emissions outside the band of the licence for a particular transmitter registered under the spectrum licence could be constrained to levels below the proposed limits by the need to coordinate with existing services operating in adjacent spectrum. </w:t>
      </w:r>
    </w:p>
    <w:p w:rsidR="00013DF4" w:rsidRDefault="00013DF4" w:rsidP="00013DF4">
      <w:r>
        <w:t xml:space="preserve"> </w:t>
      </w:r>
    </w:p>
    <w:p w:rsidR="00013DF4" w:rsidRPr="00913779" w:rsidRDefault="00013DF4" w:rsidP="00013DF4">
      <w:r>
        <w:t>For example, when coordinating a proposed transmitter at a site near radio astronomy facilities, fixed point-to-point services, Meteorological satellite (space to Earth) services.  Coordination requirements are outlined in the Radiocommunications</w:t>
      </w:r>
      <w:r w:rsidR="00671D89">
        <w:t xml:space="preserve"> Advisory</w:t>
      </w:r>
      <w:r>
        <w:t xml:space="preserve"> Guidelines for the 1800 MHz band, another part of the technical framework to be discussed in a latter TLG discussion paper.</w:t>
      </w:r>
    </w:p>
    <w:p w:rsidR="00013DF4" w:rsidRDefault="00013DF4" w:rsidP="0001794D">
      <w:pPr>
        <w:rPr>
          <w:noProof/>
          <w:lang w:eastAsia="en-AU"/>
        </w:rPr>
      </w:pPr>
    </w:p>
    <w:p w:rsidR="00F34B3C" w:rsidRDefault="00F34B3C" w:rsidP="0001794D">
      <w:pPr>
        <w:rPr>
          <w:noProof/>
          <w:lang w:eastAsia="en-AU"/>
        </w:rPr>
      </w:pPr>
    </w:p>
    <w:p w:rsidR="00013DF4" w:rsidRPr="001C0313" w:rsidRDefault="00013DF4" w:rsidP="00013DF4">
      <w:pPr>
        <w:rPr>
          <w:rFonts w:ascii="Cambria" w:eastAsia="Times New Roman" w:hAnsi="Cambria"/>
          <w:b/>
          <w:bCs/>
          <w:color w:val="4F81BD"/>
          <w:sz w:val="26"/>
          <w:szCs w:val="26"/>
          <w:lang w:eastAsia="en-US"/>
        </w:rPr>
      </w:pPr>
      <w:r>
        <w:rPr>
          <w:rFonts w:ascii="Cambria" w:eastAsia="Times New Roman" w:hAnsi="Cambria"/>
          <w:b/>
          <w:bCs/>
          <w:color w:val="4F81BD"/>
          <w:sz w:val="26"/>
          <w:szCs w:val="26"/>
          <w:lang w:eastAsia="en-US"/>
        </w:rPr>
        <w:t>7</w:t>
      </w:r>
      <w:r>
        <w:rPr>
          <w:rFonts w:ascii="Cambria" w:eastAsia="Times New Roman" w:hAnsi="Cambria"/>
          <w:b/>
          <w:bCs/>
          <w:color w:val="4F81BD"/>
          <w:sz w:val="26"/>
          <w:szCs w:val="26"/>
          <w:lang w:eastAsia="en-US"/>
        </w:rPr>
        <w:tab/>
      </w:r>
      <w:r w:rsidRPr="001C0313">
        <w:rPr>
          <w:rFonts w:ascii="Cambria" w:eastAsia="Times New Roman" w:hAnsi="Cambria"/>
          <w:b/>
          <w:bCs/>
          <w:color w:val="4F81BD"/>
          <w:sz w:val="26"/>
          <w:szCs w:val="26"/>
          <w:lang w:eastAsia="en-US"/>
        </w:rPr>
        <w:t>Comment Period</w:t>
      </w:r>
    </w:p>
    <w:p w:rsidR="00013DF4" w:rsidRPr="00D376D7" w:rsidRDefault="00013DF4" w:rsidP="00013DF4">
      <w:r>
        <w:t xml:space="preserve">The comment period for </w:t>
      </w:r>
      <w:r w:rsidR="00E012F6">
        <w:t>the third</w:t>
      </w:r>
      <w:r>
        <w:t xml:space="preserve"> release of the discussion paper </w:t>
      </w:r>
      <w:r w:rsidRPr="00F34B3C">
        <w:t xml:space="preserve">closes </w:t>
      </w:r>
      <w:r w:rsidR="00D376D7" w:rsidRPr="00D376D7">
        <w:t>28</w:t>
      </w:r>
      <w:r w:rsidR="00D376D7" w:rsidRPr="00D376D7">
        <w:rPr>
          <w:vertAlign w:val="superscript"/>
        </w:rPr>
        <w:t>th</w:t>
      </w:r>
      <w:r w:rsidR="00D376D7" w:rsidRPr="00D376D7">
        <w:t xml:space="preserve"> </w:t>
      </w:r>
      <w:r w:rsidR="007F4F83" w:rsidRPr="00D376D7">
        <w:t>October</w:t>
      </w:r>
      <w:r w:rsidR="00A73FB6" w:rsidRPr="00D376D7">
        <w:t xml:space="preserve"> 2011.</w:t>
      </w:r>
      <w:r w:rsidRPr="00D376D7">
        <w:t xml:space="preserve"> </w:t>
      </w:r>
    </w:p>
    <w:p w:rsidR="00013DF4" w:rsidRPr="0037556B" w:rsidRDefault="00013DF4" w:rsidP="00013DF4">
      <w:pPr>
        <w:pStyle w:val="BodyText"/>
        <w:rPr>
          <w:lang w:eastAsia="en-US"/>
        </w:rPr>
      </w:pPr>
      <w:r w:rsidRPr="00D376D7">
        <w:t>Comment and proposals for changes to this discussion paper should be made</w:t>
      </w:r>
      <w:r>
        <w:t xml:space="preserve"> on the 1800 MHz Spectrum Licence TLG SharePoint site.</w:t>
      </w:r>
    </w:p>
    <w:p w:rsidR="005B6D8E" w:rsidRPr="001C0313" w:rsidRDefault="005B6D8E" w:rsidP="005B6D8E">
      <w:pPr>
        <w:jc w:val="center"/>
        <w:rPr>
          <w:lang w:eastAsia="en-US"/>
        </w:rPr>
      </w:pPr>
    </w:p>
    <w:sectPr w:rsidR="005B6D8E" w:rsidRPr="001C0313" w:rsidSect="00741B28">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9BF" w:rsidRDefault="00C779BF">
      <w:r>
        <w:separator/>
      </w:r>
    </w:p>
  </w:endnote>
  <w:endnote w:type="continuationSeparator" w:id="0">
    <w:p w:rsidR="00C779BF" w:rsidRDefault="00C779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9BF" w:rsidRDefault="00C779BF">
      <w:r>
        <w:separator/>
      </w:r>
    </w:p>
  </w:footnote>
  <w:footnote w:type="continuationSeparator" w:id="0">
    <w:p w:rsidR="00C779BF" w:rsidRDefault="00C779BF">
      <w:r>
        <w:continuationSeparator/>
      </w:r>
    </w:p>
  </w:footnote>
  <w:footnote w:id="1">
    <w:p w:rsidR="00C779BF" w:rsidRDefault="00C779BF" w:rsidP="00B0193C">
      <w:pPr>
        <w:pStyle w:val="FootnoteText"/>
      </w:pPr>
      <w:r>
        <w:rPr>
          <w:rStyle w:val="FootnoteReference"/>
        </w:rPr>
        <w:footnoteRef/>
      </w:r>
      <w:r>
        <w:t xml:space="preserve"> Spectrum Licensing review paper reference.</w:t>
      </w:r>
    </w:p>
  </w:footnote>
  <w:footnote w:id="2">
    <w:p w:rsidR="00C779BF" w:rsidRDefault="00C779BF">
      <w:pPr>
        <w:pStyle w:val="FootnoteText"/>
      </w:pPr>
      <w:r>
        <w:rPr>
          <w:rStyle w:val="FootnoteReference"/>
        </w:rPr>
        <w:footnoteRef/>
      </w:r>
      <w:r>
        <w:t xml:space="preserve"> Based on a 17 dBi antenna gain (from ITU-R Report M.2039), with assumed 2 dB of losses  </w:t>
      </w:r>
    </w:p>
  </w:footnote>
  <w:footnote w:id="3">
    <w:p w:rsidR="00C779BF" w:rsidRDefault="00C779BF">
      <w:pPr>
        <w:pStyle w:val="FootnoteText"/>
      </w:pPr>
      <w:r>
        <w:rPr>
          <w:rStyle w:val="FootnoteReference"/>
        </w:rPr>
        <w:footnoteRef/>
      </w:r>
      <w:r>
        <w:t xml:space="preserve"> The Multi Standard Radio specification is included here as the emission mask may vary from the individual technologies depending on the carrier placement of the different technologies.</w:t>
      </w:r>
    </w:p>
  </w:footnote>
  <w:footnote w:id="4">
    <w:p w:rsidR="00C779BF" w:rsidRDefault="00C779BF">
      <w:pPr>
        <w:pStyle w:val="FootnoteText"/>
      </w:pPr>
      <w:r>
        <w:rPr>
          <w:rStyle w:val="FootnoteReference"/>
        </w:rPr>
        <w:footnoteRef/>
      </w:r>
      <w:r>
        <w:t xml:space="preserve"> Based on a 17 dBi antenna gain (from ITU-R Report M.2039), with assumed 2 dB of losses.</w:t>
      </w:r>
    </w:p>
  </w:footnote>
  <w:footnote w:id="5">
    <w:p w:rsidR="00C779BF" w:rsidRDefault="00C779BF">
      <w:pPr>
        <w:pStyle w:val="FootnoteText"/>
      </w:pPr>
      <w:r>
        <w:rPr>
          <w:rStyle w:val="FootnoteReference"/>
        </w:rPr>
        <w:footnoteRef/>
      </w:r>
      <w:r>
        <w:t xml:space="preserve"> Based on a 17 dBi antenna gain (from ITU-R Report M.2039), with assumed 2 dB of losses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69E9"/>
    <w:multiLevelType w:val="hybridMultilevel"/>
    <w:tmpl w:val="94E0D6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BE7D46"/>
    <w:multiLevelType w:val="hybridMultilevel"/>
    <w:tmpl w:val="5F9086AA"/>
    <w:lvl w:ilvl="0" w:tplc="9054901A">
      <w:start w:val="1"/>
      <w:numFmt w:val="lowerLetter"/>
      <w:lvlText w:val="(%1)"/>
      <w:lvlJc w:val="left"/>
      <w:pPr>
        <w:ind w:left="690" w:hanging="360"/>
      </w:pPr>
      <w:rPr>
        <w:rFonts w:hint="default"/>
      </w:rPr>
    </w:lvl>
    <w:lvl w:ilvl="1" w:tplc="0C090019" w:tentative="1">
      <w:start w:val="1"/>
      <w:numFmt w:val="lowerLetter"/>
      <w:lvlText w:val="%2."/>
      <w:lvlJc w:val="left"/>
      <w:pPr>
        <w:ind w:left="1605" w:hanging="360"/>
      </w:pPr>
    </w:lvl>
    <w:lvl w:ilvl="2" w:tplc="0C09001B" w:tentative="1">
      <w:start w:val="1"/>
      <w:numFmt w:val="lowerRoman"/>
      <w:lvlText w:val="%3."/>
      <w:lvlJc w:val="right"/>
      <w:pPr>
        <w:ind w:left="2325" w:hanging="180"/>
      </w:pPr>
    </w:lvl>
    <w:lvl w:ilvl="3" w:tplc="0C09000F" w:tentative="1">
      <w:start w:val="1"/>
      <w:numFmt w:val="decimal"/>
      <w:lvlText w:val="%4."/>
      <w:lvlJc w:val="left"/>
      <w:pPr>
        <w:ind w:left="3045" w:hanging="360"/>
      </w:pPr>
    </w:lvl>
    <w:lvl w:ilvl="4" w:tplc="0C090019" w:tentative="1">
      <w:start w:val="1"/>
      <w:numFmt w:val="lowerLetter"/>
      <w:lvlText w:val="%5."/>
      <w:lvlJc w:val="left"/>
      <w:pPr>
        <w:ind w:left="3765" w:hanging="360"/>
      </w:pPr>
    </w:lvl>
    <w:lvl w:ilvl="5" w:tplc="0C09001B" w:tentative="1">
      <w:start w:val="1"/>
      <w:numFmt w:val="lowerRoman"/>
      <w:lvlText w:val="%6."/>
      <w:lvlJc w:val="right"/>
      <w:pPr>
        <w:ind w:left="4485" w:hanging="180"/>
      </w:pPr>
    </w:lvl>
    <w:lvl w:ilvl="6" w:tplc="0C09000F" w:tentative="1">
      <w:start w:val="1"/>
      <w:numFmt w:val="decimal"/>
      <w:lvlText w:val="%7."/>
      <w:lvlJc w:val="left"/>
      <w:pPr>
        <w:ind w:left="5205" w:hanging="360"/>
      </w:pPr>
    </w:lvl>
    <w:lvl w:ilvl="7" w:tplc="0C090019" w:tentative="1">
      <w:start w:val="1"/>
      <w:numFmt w:val="lowerLetter"/>
      <w:lvlText w:val="%8."/>
      <w:lvlJc w:val="left"/>
      <w:pPr>
        <w:ind w:left="5925" w:hanging="360"/>
      </w:pPr>
    </w:lvl>
    <w:lvl w:ilvl="8" w:tplc="0C09001B" w:tentative="1">
      <w:start w:val="1"/>
      <w:numFmt w:val="lowerRoman"/>
      <w:lvlText w:val="%9."/>
      <w:lvlJc w:val="right"/>
      <w:pPr>
        <w:ind w:left="6645" w:hanging="180"/>
      </w:pPr>
    </w:lvl>
  </w:abstractNum>
  <w:abstractNum w:abstractNumId="2">
    <w:nsid w:val="04EB517A"/>
    <w:multiLevelType w:val="hybridMultilevel"/>
    <w:tmpl w:val="5352EC4E"/>
    <w:lvl w:ilvl="0" w:tplc="9054901A">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3">
    <w:nsid w:val="057A579F"/>
    <w:multiLevelType w:val="hybridMultilevel"/>
    <w:tmpl w:val="777AEC08"/>
    <w:lvl w:ilvl="0" w:tplc="F118A5BA">
      <w:start w:val="1"/>
      <w:numFmt w:val="lowerRoman"/>
      <w:lvlText w:val="(%1)"/>
      <w:lvlJc w:val="left"/>
      <w:pPr>
        <w:ind w:left="945" w:hanging="720"/>
      </w:pPr>
      <w:rPr>
        <w:rFonts w:hint="default"/>
      </w:rPr>
    </w:lvl>
    <w:lvl w:ilvl="1" w:tplc="0C090019" w:tentative="1">
      <w:start w:val="1"/>
      <w:numFmt w:val="lowerLetter"/>
      <w:lvlText w:val="%2."/>
      <w:lvlJc w:val="left"/>
      <w:pPr>
        <w:ind w:left="1305" w:hanging="360"/>
      </w:pPr>
    </w:lvl>
    <w:lvl w:ilvl="2" w:tplc="0C09001B" w:tentative="1">
      <w:start w:val="1"/>
      <w:numFmt w:val="lowerRoman"/>
      <w:lvlText w:val="%3."/>
      <w:lvlJc w:val="right"/>
      <w:pPr>
        <w:ind w:left="2025" w:hanging="180"/>
      </w:pPr>
    </w:lvl>
    <w:lvl w:ilvl="3" w:tplc="0C09000F" w:tentative="1">
      <w:start w:val="1"/>
      <w:numFmt w:val="decimal"/>
      <w:lvlText w:val="%4."/>
      <w:lvlJc w:val="left"/>
      <w:pPr>
        <w:ind w:left="2745" w:hanging="360"/>
      </w:pPr>
    </w:lvl>
    <w:lvl w:ilvl="4" w:tplc="0C090019" w:tentative="1">
      <w:start w:val="1"/>
      <w:numFmt w:val="lowerLetter"/>
      <w:lvlText w:val="%5."/>
      <w:lvlJc w:val="left"/>
      <w:pPr>
        <w:ind w:left="3465" w:hanging="360"/>
      </w:pPr>
    </w:lvl>
    <w:lvl w:ilvl="5" w:tplc="0C09001B" w:tentative="1">
      <w:start w:val="1"/>
      <w:numFmt w:val="lowerRoman"/>
      <w:lvlText w:val="%6."/>
      <w:lvlJc w:val="right"/>
      <w:pPr>
        <w:ind w:left="4185" w:hanging="180"/>
      </w:pPr>
    </w:lvl>
    <w:lvl w:ilvl="6" w:tplc="0C09000F" w:tentative="1">
      <w:start w:val="1"/>
      <w:numFmt w:val="decimal"/>
      <w:lvlText w:val="%7."/>
      <w:lvlJc w:val="left"/>
      <w:pPr>
        <w:ind w:left="4905" w:hanging="360"/>
      </w:pPr>
    </w:lvl>
    <w:lvl w:ilvl="7" w:tplc="0C090019" w:tentative="1">
      <w:start w:val="1"/>
      <w:numFmt w:val="lowerLetter"/>
      <w:lvlText w:val="%8."/>
      <w:lvlJc w:val="left"/>
      <w:pPr>
        <w:ind w:left="5625" w:hanging="360"/>
      </w:pPr>
    </w:lvl>
    <w:lvl w:ilvl="8" w:tplc="0C09001B" w:tentative="1">
      <w:start w:val="1"/>
      <w:numFmt w:val="lowerRoman"/>
      <w:lvlText w:val="%9."/>
      <w:lvlJc w:val="right"/>
      <w:pPr>
        <w:ind w:left="6345" w:hanging="180"/>
      </w:pPr>
    </w:lvl>
  </w:abstractNum>
  <w:abstractNum w:abstractNumId="4">
    <w:nsid w:val="071E3E9C"/>
    <w:multiLevelType w:val="hybridMultilevel"/>
    <w:tmpl w:val="5352EC4E"/>
    <w:lvl w:ilvl="0" w:tplc="9054901A">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5">
    <w:nsid w:val="0A910BF5"/>
    <w:multiLevelType w:val="hybridMultilevel"/>
    <w:tmpl w:val="ACD29904"/>
    <w:lvl w:ilvl="0" w:tplc="BC082936">
      <w:start w:val="1"/>
      <w:numFmt w:val="lowerRoman"/>
      <w:lvlText w:val="(%1)"/>
      <w:lvlJc w:val="left"/>
      <w:pPr>
        <w:ind w:left="1594" w:hanging="720"/>
      </w:pPr>
      <w:rPr>
        <w:rFonts w:hint="default"/>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6">
    <w:nsid w:val="0AAB6853"/>
    <w:multiLevelType w:val="hybridMultilevel"/>
    <w:tmpl w:val="2CEE183E"/>
    <w:lvl w:ilvl="0" w:tplc="A8844302">
      <w:numFmt w:val="bullet"/>
      <w:lvlText w:val=""/>
      <w:lvlJc w:val="left"/>
      <w:pPr>
        <w:ind w:left="720" w:hanging="360"/>
      </w:pPr>
      <w:rPr>
        <w:rFonts w:ascii="Wingdings" w:eastAsia="Batang"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D5E08B8"/>
    <w:multiLevelType w:val="hybridMultilevel"/>
    <w:tmpl w:val="530A2BA2"/>
    <w:lvl w:ilvl="0" w:tplc="9F3EA41A">
      <w:start w:val="1"/>
      <w:numFmt w:val="lowerRoman"/>
      <w:lvlText w:val="(%1)"/>
      <w:lvlJc w:val="left"/>
      <w:pPr>
        <w:ind w:left="1080" w:hanging="720"/>
      </w:pPr>
      <w:rPr>
        <w:rFonts w:hint="default"/>
      </w:rPr>
    </w:lvl>
    <w:lvl w:ilvl="1" w:tplc="0C090019" w:tentative="1">
      <w:start w:val="1"/>
      <w:numFmt w:val="lowerLetter"/>
      <w:lvlText w:val="%2."/>
      <w:lvlJc w:val="left"/>
      <w:pPr>
        <w:ind w:left="1575" w:hanging="360"/>
      </w:pPr>
    </w:lvl>
    <w:lvl w:ilvl="2" w:tplc="0C09001B" w:tentative="1">
      <w:start w:val="1"/>
      <w:numFmt w:val="lowerRoman"/>
      <w:lvlText w:val="%3."/>
      <w:lvlJc w:val="right"/>
      <w:pPr>
        <w:ind w:left="2295" w:hanging="180"/>
      </w:pPr>
    </w:lvl>
    <w:lvl w:ilvl="3" w:tplc="0C09000F" w:tentative="1">
      <w:start w:val="1"/>
      <w:numFmt w:val="decimal"/>
      <w:lvlText w:val="%4."/>
      <w:lvlJc w:val="left"/>
      <w:pPr>
        <w:ind w:left="3015" w:hanging="360"/>
      </w:pPr>
    </w:lvl>
    <w:lvl w:ilvl="4" w:tplc="0C090019" w:tentative="1">
      <w:start w:val="1"/>
      <w:numFmt w:val="lowerLetter"/>
      <w:lvlText w:val="%5."/>
      <w:lvlJc w:val="left"/>
      <w:pPr>
        <w:ind w:left="3735" w:hanging="360"/>
      </w:pPr>
    </w:lvl>
    <w:lvl w:ilvl="5" w:tplc="0C09001B" w:tentative="1">
      <w:start w:val="1"/>
      <w:numFmt w:val="lowerRoman"/>
      <w:lvlText w:val="%6."/>
      <w:lvlJc w:val="right"/>
      <w:pPr>
        <w:ind w:left="4455" w:hanging="180"/>
      </w:pPr>
    </w:lvl>
    <w:lvl w:ilvl="6" w:tplc="0C09000F" w:tentative="1">
      <w:start w:val="1"/>
      <w:numFmt w:val="decimal"/>
      <w:lvlText w:val="%7."/>
      <w:lvlJc w:val="left"/>
      <w:pPr>
        <w:ind w:left="5175" w:hanging="360"/>
      </w:pPr>
    </w:lvl>
    <w:lvl w:ilvl="7" w:tplc="0C090019" w:tentative="1">
      <w:start w:val="1"/>
      <w:numFmt w:val="lowerLetter"/>
      <w:lvlText w:val="%8."/>
      <w:lvlJc w:val="left"/>
      <w:pPr>
        <w:ind w:left="5895" w:hanging="360"/>
      </w:pPr>
    </w:lvl>
    <w:lvl w:ilvl="8" w:tplc="0C09001B" w:tentative="1">
      <w:start w:val="1"/>
      <w:numFmt w:val="lowerRoman"/>
      <w:lvlText w:val="%9."/>
      <w:lvlJc w:val="right"/>
      <w:pPr>
        <w:ind w:left="6615" w:hanging="180"/>
      </w:pPr>
    </w:lvl>
  </w:abstractNum>
  <w:abstractNum w:abstractNumId="8">
    <w:nsid w:val="0EEB043D"/>
    <w:multiLevelType w:val="hybridMultilevel"/>
    <w:tmpl w:val="C2F0F3A4"/>
    <w:lvl w:ilvl="0" w:tplc="9054901A">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9">
    <w:nsid w:val="146A6829"/>
    <w:multiLevelType w:val="hybridMultilevel"/>
    <w:tmpl w:val="CE1CB1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52429C3"/>
    <w:multiLevelType w:val="hybridMultilevel"/>
    <w:tmpl w:val="8174AB52"/>
    <w:lvl w:ilvl="0" w:tplc="040A62E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ECE6A21"/>
    <w:multiLevelType w:val="hybridMultilevel"/>
    <w:tmpl w:val="F1D05122"/>
    <w:lvl w:ilvl="0" w:tplc="27DA234E">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20FB77B7"/>
    <w:multiLevelType w:val="hybridMultilevel"/>
    <w:tmpl w:val="5502BE9A"/>
    <w:lvl w:ilvl="0" w:tplc="2F9A8882">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13">
    <w:nsid w:val="22560236"/>
    <w:multiLevelType w:val="hybridMultilevel"/>
    <w:tmpl w:val="0FC68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38D1C24"/>
    <w:multiLevelType w:val="hybridMultilevel"/>
    <w:tmpl w:val="A334AF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8C70A3C"/>
    <w:multiLevelType w:val="hybridMultilevel"/>
    <w:tmpl w:val="184C6C88"/>
    <w:lvl w:ilvl="0" w:tplc="9054901A">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16">
    <w:nsid w:val="2C0920F9"/>
    <w:multiLevelType w:val="hybridMultilevel"/>
    <w:tmpl w:val="B65678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C7F4ACA"/>
    <w:multiLevelType w:val="hybridMultilevel"/>
    <w:tmpl w:val="E3AA6D7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D3B78B4"/>
    <w:multiLevelType w:val="hybridMultilevel"/>
    <w:tmpl w:val="B22E0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1275F48"/>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23312ED"/>
    <w:multiLevelType w:val="hybridMultilevel"/>
    <w:tmpl w:val="A9C8DF4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1">
    <w:nsid w:val="388B793B"/>
    <w:multiLevelType w:val="hybridMultilevel"/>
    <w:tmpl w:val="9B78F020"/>
    <w:lvl w:ilvl="0" w:tplc="F4504F54">
      <w:start w:val="1"/>
      <w:numFmt w:val="lowerRoman"/>
      <w:lvlText w:val="(%1)"/>
      <w:lvlJc w:val="left"/>
      <w:pPr>
        <w:ind w:left="885" w:hanging="72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22">
    <w:nsid w:val="3A905576"/>
    <w:multiLevelType w:val="hybridMultilevel"/>
    <w:tmpl w:val="5352EC4E"/>
    <w:lvl w:ilvl="0" w:tplc="9054901A">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23">
    <w:nsid w:val="3DC04143"/>
    <w:multiLevelType w:val="hybridMultilevel"/>
    <w:tmpl w:val="CF98AC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1AC220F"/>
    <w:multiLevelType w:val="hybridMultilevel"/>
    <w:tmpl w:val="E23CAD06"/>
    <w:lvl w:ilvl="0" w:tplc="9886BFA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42DF1948"/>
    <w:multiLevelType w:val="hybridMultilevel"/>
    <w:tmpl w:val="3252C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94C2A06"/>
    <w:multiLevelType w:val="hybridMultilevel"/>
    <w:tmpl w:val="5352EC4E"/>
    <w:lvl w:ilvl="0" w:tplc="9054901A">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27">
    <w:nsid w:val="4FD27BCF"/>
    <w:multiLevelType w:val="hybridMultilevel"/>
    <w:tmpl w:val="7DF6B6A4"/>
    <w:lvl w:ilvl="0" w:tplc="99E468A8">
      <w:start w:val="1"/>
      <w:numFmt w:val="lowerRoman"/>
      <w:lvlText w:val="(%1)"/>
      <w:lvlJc w:val="left"/>
      <w:pPr>
        <w:ind w:left="885" w:hanging="72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28">
    <w:nsid w:val="50615876"/>
    <w:multiLevelType w:val="hybridMultilevel"/>
    <w:tmpl w:val="F858D65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58660BC8"/>
    <w:multiLevelType w:val="hybridMultilevel"/>
    <w:tmpl w:val="5352EC4E"/>
    <w:lvl w:ilvl="0" w:tplc="9054901A">
      <w:start w:val="1"/>
      <w:numFmt w:val="lowerLetter"/>
      <w:lvlText w:val="(%1)"/>
      <w:lvlJc w:val="left"/>
      <w:pPr>
        <w:ind w:left="525" w:hanging="36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30">
    <w:nsid w:val="58712A87"/>
    <w:multiLevelType w:val="hybridMultilevel"/>
    <w:tmpl w:val="5E22D576"/>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589E6A17"/>
    <w:multiLevelType w:val="hybridMultilevel"/>
    <w:tmpl w:val="77F21CAC"/>
    <w:lvl w:ilvl="0" w:tplc="BC082936">
      <w:start w:val="1"/>
      <w:numFmt w:val="lowerRoman"/>
      <w:lvlText w:val="(%1)"/>
      <w:lvlJc w:val="left"/>
      <w:pPr>
        <w:ind w:left="885" w:hanging="72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32">
    <w:nsid w:val="59555BB7"/>
    <w:multiLevelType w:val="hybridMultilevel"/>
    <w:tmpl w:val="693A3D28"/>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3">
    <w:nsid w:val="5BC55546"/>
    <w:multiLevelType w:val="hybridMultilevel"/>
    <w:tmpl w:val="57E2F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BEB14A8"/>
    <w:multiLevelType w:val="hybridMultilevel"/>
    <w:tmpl w:val="64BA98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D8622CE"/>
    <w:multiLevelType w:val="hybridMultilevel"/>
    <w:tmpl w:val="C0064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E505F40"/>
    <w:multiLevelType w:val="hybridMultilevel"/>
    <w:tmpl w:val="BCF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0AD1857"/>
    <w:multiLevelType w:val="hybridMultilevel"/>
    <w:tmpl w:val="708C0E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19569A4"/>
    <w:multiLevelType w:val="hybridMultilevel"/>
    <w:tmpl w:val="EDC8A50A"/>
    <w:lvl w:ilvl="0" w:tplc="9054901A">
      <w:start w:val="1"/>
      <w:numFmt w:val="lowerLetter"/>
      <w:lvlText w:val="(%1)"/>
      <w:lvlJc w:val="left"/>
      <w:pPr>
        <w:ind w:left="690" w:hanging="360"/>
      </w:pPr>
      <w:rPr>
        <w:rFonts w:hint="default"/>
      </w:rPr>
    </w:lvl>
    <w:lvl w:ilvl="1" w:tplc="0C090019" w:tentative="1">
      <w:start w:val="1"/>
      <w:numFmt w:val="lowerLetter"/>
      <w:lvlText w:val="%2."/>
      <w:lvlJc w:val="left"/>
      <w:pPr>
        <w:ind w:left="1605" w:hanging="360"/>
      </w:pPr>
    </w:lvl>
    <w:lvl w:ilvl="2" w:tplc="0C09001B" w:tentative="1">
      <w:start w:val="1"/>
      <w:numFmt w:val="lowerRoman"/>
      <w:lvlText w:val="%3."/>
      <w:lvlJc w:val="right"/>
      <w:pPr>
        <w:ind w:left="2325" w:hanging="180"/>
      </w:pPr>
    </w:lvl>
    <w:lvl w:ilvl="3" w:tplc="0C09000F" w:tentative="1">
      <w:start w:val="1"/>
      <w:numFmt w:val="decimal"/>
      <w:lvlText w:val="%4."/>
      <w:lvlJc w:val="left"/>
      <w:pPr>
        <w:ind w:left="3045" w:hanging="360"/>
      </w:pPr>
    </w:lvl>
    <w:lvl w:ilvl="4" w:tplc="0C090019" w:tentative="1">
      <w:start w:val="1"/>
      <w:numFmt w:val="lowerLetter"/>
      <w:lvlText w:val="%5."/>
      <w:lvlJc w:val="left"/>
      <w:pPr>
        <w:ind w:left="3765" w:hanging="360"/>
      </w:pPr>
    </w:lvl>
    <w:lvl w:ilvl="5" w:tplc="0C09001B" w:tentative="1">
      <w:start w:val="1"/>
      <w:numFmt w:val="lowerRoman"/>
      <w:lvlText w:val="%6."/>
      <w:lvlJc w:val="right"/>
      <w:pPr>
        <w:ind w:left="4485" w:hanging="180"/>
      </w:pPr>
    </w:lvl>
    <w:lvl w:ilvl="6" w:tplc="0C09000F" w:tentative="1">
      <w:start w:val="1"/>
      <w:numFmt w:val="decimal"/>
      <w:lvlText w:val="%7."/>
      <w:lvlJc w:val="left"/>
      <w:pPr>
        <w:ind w:left="5205" w:hanging="360"/>
      </w:pPr>
    </w:lvl>
    <w:lvl w:ilvl="7" w:tplc="0C090019" w:tentative="1">
      <w:start w:val="1"/>
      <w:numFmt w:val="lowerLetter"/>
      <w:lvlText w:val="%8."/>
      <w:lvlJc w:val="left"/>
      <w:pPr>
        <w:ind w:left="5925" w:hanging="360"/>
      </w:pPr>
    </w:lvl>
    <w:lvl w:ilvl="8" w:tplc="0C09001B" w:tentative="1">
      <w:start w:val="1"/>
      <w:numFmt w:val="lowerRoman"/>
      <w:lvlText w:val="%9."/>
      <w:lvlJc w:val="right"/>
      <w:pPr>
        <w:ind w:left="6645" w:hanging="180"/>
      </w:pPr>
    </w:lvl>
  </w:abstractNum>
  <w:abstractNum w:abstractNumId="39">
    <w:nsid w:val="66CF5AD2"/>
    <w:multiLevelType w:val="hybridMultilevel"/>
    <w:tmpl w:val="E000F3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B4E54BA"/>
    <w:multiLevelType w:val="hybridMultilevel"/>
    <w:tmpl w:val="DBFC01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6D017B3A"/>
    <w:multiLevelType w:val="hybridMultilevel"/>
    <w:tmpl w:val="EBCA35E4"/>
    <w:lvl w:ilvl="0" w:tplc="9F3EA41A">
      <w:start w:val="1"/>
      <w:numFmt w:val="lowerRoman"/>
      <w:lvlText w:val="(%1)"/>
      <w:lvlJc w:val="left"/>
      <w:pPr>
        <w:ind w:left="945" w:hanging="720"/>
      </w:pPr>
      <w:rPr>
        <w:rFonts w:hint="default"/>
      </w:rPr>
    </w:lvl>
    <w:lvl w:ilvl="1" w:tplc="0C090019" w:tentative="1">
      <w:start w:val="1"/>
      <w:numFmt w:val="lowerLetter"/>
      <w:lvlText w:val="%2."/>
      <w:lvlJc w:val="left"/>
      <w:pPr>
        <w:ind w:left="1305" w:hanging="360"/>
      </w:pPr>
    </w:lvl>
    <w:lvl w:ilvl="2" w:tplc="0C09001B" w:tentative="1">
      <w:start w:val="1"/>
      <w:numFmt w:val="lowerRoman"/>
      <w:lvlText w:val="%3."/>
      <w:lvlJc w:val="right"/>
      <w:pPr>
        <w:ind w:left="2025" w:hanging="180"/>
      </w:pPr>
    </w:lvl>
    <w:lvl w:ilvl="3" w:tplc="0C09000F" w:tentative="1">
      <w:start w:val="1"/>
      <w:numFmt w:val="decimal"/>
      <w:lvlText w:val="%4."/>
      <w:lvlJc w:val="left"/>
      <w:pPr>
        <w:ind w:left="2745" w:hanging="360"/>
      </w:pPr>
    </w:lvl>
    <w:lvl w:ilvl="4" w:tplc="0C090019" w:tentative="1">
      <w:start w:val="1"/>
      <w:numFmt w:val="lowerLetter"/>
      <w:lvlText w:val="%5."/>
      <w:lvlJc w:val="left"/>
      <w:pPr>
        <w:ind w:left="3465" w:hanging="360"/>
      </w:pPr>
    </w:lvl>
    <w:lvl w:ilvl="5" w:tplc="0C09001B" w:tentative="1">
      <w:start w:val="1"/>
      <w:numFmt w:val="lowerRoman"/>
      <w:lvlText w:val="%6."/>
      <w:lvlJc w:val="right"/>
      <w:pPr>
        <w:ind w:left="4185" w:hanging="180"/>
      </w:pPr>
    </w:lvl>
    <w:lvl w:ilvl="6" w:tplc="0C09000F" w:tentative="1">
      <w:start w:val="1"/>
      <w:numFmt w:val="decimal"/>
      <w:lvlText w:val="%7."/>
      <w:lvlJc w:val="left"/>
      <w:pPr>
        <w:ind w:left="4905" w:hanging="360"/>
      </w:pPr>
    </w:lvl>
    <w:lvl w:ilvl="7" w:tplc="0C090019" w:tentative="1">
      <w:start w:val="1"/>
      <w:numFmt w:val="lowerLetter"/>
      <w:lvlText w:val="%8."/>
      <w:lvlJc w:val="left"/>
      <w:pPr>
        <w:ind w:left="5625" w:hanging="360"/>
      </w:pPr>
    </w:lvl>
    <w:lvl w:ilvl="8" w:tplc="0C09001B" w:tentative="1">
      <w:start w:val="1"/>
      <w:numFmt w:val="lowerRoman"/>
      <w:lvlText w:val="%9."/>
      <w:lvlJc w:val="right"/>
      <w:pPr>
        <w:ind w:left="6345" w:hanging="180"/>
      </w:pPr>
    </w:lvl>
  </w:abstractNum>
  <w:abstractNum w:abstractNumId="42">
    <w:nsid w:val="70FB28B3"/>
    <w:multiLevelType w:val="hybridMultilevel"/>
    <w:tmpl w:val="2C5C2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13B3D5C"/>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77BC26A0"/>
    <w:multiLevelType w:val="hybridMultilevel"/>
    <w:tmpl w:val="1A0201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C1F7802"/>
    <w:multiLevelType w:val="hybridMultilevel"/>
    <w:tmpl w:val="5418B02E"/>
    <w:lvl w:ilvl="0" w:tplc="BE6E099E">
      <w:start w:val="1"/>
      <w:numFmt w:val="lowerRoman"/>
      <w:lvlText w:val="(%1)"/>
      <w:lvlJc w:val="left"/>
      <w:pPr>
        <w:ind w:left="885" w:hanging="720"/>
      </w:pPr>
      <w:rPr>
        <w:rFonts w:hint="default"/>
      </w:rPr>
    </w:lvl>
    <w:lvl w:ilvl="1" w:tplc="0C090019" w:tentative="1">
      <w:start w:val="1"/>
      <w:numFmt w:val="lowerLetter"/>
      <w:lvlText w:val="%2."/>
      <w:lvlJc w:val="left"/>
      <w:pPr>
        <w:ind w:left="1245" w:hanging="360"/>
      </w:pPr>
    </w:lvl>
    <w:lvl w:ilvl="2" w:tplc="0C09001B" w:tentative="1">
      <w:start w:val="1"/>
      <w:numFmt w:val="lowerRoman"/>
      <w:lvlText w:val="%3."/>
      <w:lvlJc w:val="right"/>
      <w:pPr>
        <w:ind w:left="1965" w:hanging="180"/>
      </w:pPr>
    </w:lvl>
    <w:lvl w:ilvl="3" w:tplc="0C09000F" w:tentative="1">
      <w:start w:val="1"/>
      <w:numFmt w:val="decimal"/>
      <w:lvlText w:val="%4."/>
      <w:lvlJc w:val="left"/>
      <w:pPr>
        <w:ind w:left="2685" w:hanging="360"/>
      </w:pPr>
    </w:lvl>
    <w:lvl w:ilvl="4" w:tplc="0C090019" w:tentative="1">
      <w:start w:val="1"/>
      <w:numFmt w:val="lowerLetter"/>
      <w:lvlText w:val="%5."/>
      <w:lvlJc w:val="left"/>
      <w:pPr>
        <w:ind w:left="3405" w:hanging="360"/>
      </w:pPr>
    </w:lvl>
    <w:lvl w:ilvl="5" w:tplc="0C09001B" w:tentative="1">
      <w:start w:val="1"/>
      <w:numFmt w:val="lowerRoman"/>
      <w:lvlText w:val="%6."/>
      <w:lvlJc w:val="right"/>
      <w:pPr>
        <w:ind w:left="4125" w:hanging="180"/>
      </w:pPr>
    </w:lvl>
    <w:lvl w:ilvl="6" w:tplc="0C09000F" w:tentative="1">
      <w:start w:val="1"/>
      <w:numFmt w:val="decimal"/>
      <w:lvlText w:val="%7."/>
      <w:lvlJc w:val="left"/>
      <w:pPr>
        <w:ind w:left="4845" w:hanging="360"/>
      </w:pPr>
    </w:lvl>
    <w:lvl w:ilvl="7" w:tplc="0C090019" w:tentative="1">
      <w:start w:val="1"/>
      <w:numFmt w:val="lowerLetter"/>
      <w:lvlText w:val="%8."/>
      <w:lvlJc w:val="left"/>
      <w:pPr>
        <w:ind w:left="5565" w:hanging="360"/>
      </w:pPr>
    </w:lvl>
    <w:lvl w:ilvl="8" w:tplc="0C09001B" w:tentative="1">
      <w:start w:val="1"/>
      <w:numFmt w:val="lowerRoman"/>
      <w:lvlText w:val="%9."/>
      <w:lvlJc w:val="right"/>
      <w:pPr>
        <w:ind w:left="6285" w:hanging="180"/>
      </w:pPr>
    </w:lvl>
  </w:abstractNum>
  <w:abstractNum w:abstractNumId="46">
    <w:nsid w:val="7F5B1C8D"/>
    <w:multiLevelType w:val="hybridMultilevel"/>
    <w:tmpl w:val="C7162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30"/>
  </w:num>
  <w:num w:numId="3">
    <w:abstractNumId w:val="9"/>
  </w:num>
  <w:num w:numId="4">
    <w:abstractNumId w:val="16"/>
  </w:num>
  <w:num w:numId="5">
    <w:abstractNumId w:val="19"/>
  </w:num>
  <w:num w:numId="6">
    <w:abstractNumId w:val="43"/>
  </w:num>
  <w:num w:numId="7">
    <w:abstractNumId w:val="10"/>
  </w:num>
  <w:num w:numId="8">
    <w:abstractNumId w:val="24"/>
  </w:num>
  <w:num w:numId="9">
    <w:abstractNumId w:val="11"/>
  </w:num>
  <w:num w:numId="10">
    <w:abstractNumId w:val="41"/>
  </w:num>
  <w:num w:numId="11">
    <w:abstractNumId w:val="33"/>
  </w:num>
  <w:num w:numId="12">
    <w:abstractNumId w:val="7"/>
  </w:num>
  <w:num w:numId="13">
    <w:abstractNumId w:val="14"/>
  </w:num>
  <w:num w:numId="14">
    <w:abstractNumId w:val="45"/>
  </w:num>
  <w:num w:numId="15">
    <w:abstractNumId w:val="21"/>
  </w:num>
  <w:num w:numId="16">
    <w:abstractNumId w:val="27"/>
  </w:num>
  <w:num w:numId="17">
    <w:abstractNumId w:val="12"/>
  </w:num>
  <w:num w:numId="18">
    <w:abstractNumId w:val="23"/>
  </w:num>
  <w:num w:numId="19">
    <w:abstractNumId w:val="34"/>
  </w:num>
  <w:num w:numId="20">
    <w:abstractNumId w:val="6"/>
  </w:num>
  <w:num w:numId="21">
    <w:abstractNumId w:val="39"/>
  </w:num>
  <w:num w:numId="22">
    <w:abstractNumId w:val="37"/>
  </w:num>
  <w:num w:numId="23">
    <w:abstractNumId w:val="17"/>
  </w:num>
  <w:num w:numId="24">
    <w:abstractNumId w:val="42"/>
  </w:num>
  <w:num w:numId="25">
    <w:abstractNumId w:val="13"/>
  </w:num>
  <w:num w:numId="26">
    <w:abstractNumId w:val="32"/>
  </w:num>
  <w:num w:numId="27">
    <w:abstractNumId w:val="25"/>
  </w:num>
  <w:num w:numId="28">
    <w:abstractNumId w:val="0"/>
  </w:num>
  <w:num w:numId="29">
    <w:abstractNumId w:val="40"/>
  </w:num>
  <w:num w:numId="30">
    <w:abstractNumId w:val="3"/>
  </w:num>
  <w:num w:numId="31">
    <w:abstractNumId w:val="31"/>
  </w:num>
  <w:num w:numId="32">
    <w:abstractNumId w:val="5"/>
  </w:num>
  <w:num w:numId="33">
    <w:abstractNumId w:val="2"/>
  </w:num>
  <w:num w:numId="34">
    <w:abstractNumId w:val="38"/>
  </w:num>
  <w:num w:numId="35">
    <w:abstractNumId w:val="22"/>
  </w:num>
  <w:num w:numId="36">
    <w:abstractNumId w:val="26"/>
  </w:num>
  <w:num w:numId="37">
    <w:abstractNumId w:val="29"/>
  </w:num>
  <w:num w:numId="38">
    <w:abstractNumId w:val="4"/>
  </w:num>
  <w:num w:numId="39">
    <w:abstractNumId w:val="8"/>
  </w:num>
  <w:num w:numId="40">
    <w:abstractNumId w:val="1"/>
  </w:num>
  <w:num w:numId="41">
    <w:abstractNumId w:val="15"/>
  </w:num>
  <w:num w:numId="42">
    <w:abstractNumId w:val="20"/>
  </w:num>
  <w:num w:numId="43">
    <w:abstractNumId w:val="44"/>
  </w:num>
  <w:num w:numId="44">
    <w:abstractNumId w:val="36"/>
  </w:num>
  <w:num w:numId="45">
    <w:abstractNumId w:val="46"/>
  </w:num>
  <w:num w:numId="46">
    <w:abstractNumId w:val="35"/>
  </w:num>
  <w:num w:numId="4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trackRevisions/>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1A1B"/>
    <w:rsid w:val="0000511F"/>
    <w:rsid w:val="00011845"/>
    <w:rsid w:val="00012080"/>
    <w:rsid w:val="00013DF4"/>
    <w:rsid w:val="00013F10"/>
    <w:rsid w:val="00016581"/>
    <w:rsid w:val="0001794D"/>
    <w:rsid w:val="00020916"/>
    <w:rsid w:val="000212AF"/>
    <w:rsid w:val="000213BB"/>
    <w:rsid w:val="00021760"/>
    <w:rsid w:val="00024864"/>
    <w:rsid w:val="00024AB3"/>
    <w:rsid w:val="000268E8"/>
    <w:rsid w:val="00030509"/>
    <w:rsid w:val="00031D30"/>
    <w:rsid w:val="00032BCA"/>
    <w:rsid w:val="0003335F"/>
    <w:rsid w:val="00034652"/>
    <w:rsid w:val="000366A3"/>
    <w:rsid w:val="00037EED"/>
    <w:rsid w:val="00040D1D"/>
    <w:rsid w:val="00041122"/>
    <w:rsid w:val="00041CB0"/>
    <w:rsid w:val="00042C83"/>
    <w:rsid w:val="00045828"/>
    <w:rsid w:val="0004633E"/>
    <w:rsid w:val="00047622"/>
    <w:rsid w:val="00052532"/>
    <w:rsid w:val="0005680B"/>
    <w:rsid w:val="00056C1E"/>
    <w:rsid w:val="00056FD8"/>
    <w:rsid w:val="00057832"/>
    <w:rsid w:val="00060DBA"/>
    <w:rsid w:val="0006391B"/>
    <w:rsid w:val="00064347"/>
    <w:rsid w:val="00065479"/>
    <w:rsid w:val="000657B0"/>
    <w:rsid w:val="0007028C"/>
    <w:rsid w:val="0007218E"/>
    <w:rsid w:val="0007475E"/>
    <w:rsid w:val="00074C98"/>
    <w:rsid w:val="000760FF"/>
    <w:rsid w:val="00077B9F"/>
    <w:rsid w:val="00081EE1"/>
    <w:rsid w:val="00082232"/>
    <w:rsid w:val="000839B6"/>
    <w:rsid w:val="00085D1D"/>
    <w:rsid w:val="00086275"/>
    <w:rsid w:val="00091BDB"/>
    <w:rsid w:val="0009401A"/>
    <w:rsid w:val="000958DE"/>
    <w:rsid w:val="00095B54"/>
    <w:rsid w:val="00097419"/>
    <w:rsid w:val="00097724"/>
    <w:rsid w:val="000A277A"/>
    <w:rsid w:val="000A28D1"/>
    <w:rsid w:val="000A301E"/>
    <w:rsid w:val="000A3580"/>
    <w:rsid w:val="000A3864"/>
    <w:rsid w:val="000A77B6"/>
    <w:rsid w:val="000A7C26"/>
    <w:rsid w:val="000B1E1A"/>
    <w:rsid w:val="000B7B48"/>
    <w:rsid w:val="000C2831"/>
    <w:rsid w:val="000C30C4"/>
    <w:rsid w:val="000C373F"/>
    <w:rsid w:val="000C4D85"/>
    <w:rsid w:val="000C4EAA"/>
    <w:rsid w:val="000C6A68"/>
    <w:rsid w:val="000D2292"/>
    <w:rsid w:val="000D3524"/>
    <w:rsid w:val="000D37F6"/>
    <w:rsid w:val="000D4BD8"/>
    <w:rsid w:val="000D6393"/>
    <w:rsid w:val="000D732F"/>
    <w:rsid w:val="000D74E8"/>
    <w:rsid w:val="000D7580"/>
    <w:rsid w:val="000D76A1"/>
    <w:rsid w:val="000D7A58"/>
    <w:rsid w:val="000D7AA5"/>
    <w:rsid w:val="000E05A9"/>
    <w:rsid w:val="000E0D72"/>
    <w:rsid w:val="000E19C1"/>
    <w:rsid w:val="000E1CEB"/>
    <w:rsid w:val="000E24EE"/>
    <w:rsid w:val="000E4D4D"/>
    <w:rsid w:val="000E6D1E"/>
    <w:rsid w:val="000F17C6"/>
    <w:rsid w:val="000F2A7B"/>
    <w:rsid w:val="000F2E24"/>
    <w:rsid w:val="000F2F6D"/>
    <w:rsid w:val="000F4E90"/>
    <w:rsid w:val="000F59D1"/>
    <w:rsid w:val="000F6B0C"/>
    <w:rsid w:val="00100DB3"/>
    <w:rsid w:val="00100E9B"/>
    <w:rsid w:val="00101F6A"/>
    <w:rsid w:val="001041CE"/>
    <w:rsid w:val="001048A8"/>
    <w:rsid w:val="001057F9"/>
    <w:rsid w:val="00106A47"/>
    <w:rsid w:val="00107F06"/>
    <w:rsid w:val="00114978"/>
    <w:rsid w:val="00114DE4"/>
    <w:rsid w:val="00120E61"/>
    <w:rsid w:val="001216A1"/>
    <w:rsid w:val="00123B2A"/>
    <w:rsid w:val="00125377"/>
    <w:rsid w:val="001275D5"/>
    <w:rsid w:val="0013349A"/>
    <w:rsid w:val="00135676"/>
    <w:rsid w:val="001411A8"/>
    <w:rsid w:val="00142227"/>
    <w:rsid w:val="00142E23"/>
    <w:rsid w:val="0014546C"/>
    <w:rsid w:val="00146BFA"/>
    <w:rsid w:val="00150317"/>
    <w:rsid w:val="001515B2"/>
    <w:rsid w:val="00151B02"/>
    <w:rsid w:val="00152398"/>
    <w:rsid w:val="0015279D"/>
    <w:rsid w:val="001548D5"/>
    <w:rsid w:val="00155CD3"/>
    <w:rsid w:val="001564C1"/>
    <w:rsid w:val="0015689D"/>
    <w:rsid w:val="00156A85"/>
    <w:rsid w:val="00160B9A"/>
    <w:rsid w:val="0016105D"/>
    <w:rsid w:val="001632C6"/>
    <w:rsid w:val="00163970"/>
    <w:rsid w:val="00164385"/>
    <w:rsid w:val="001643FE"/>
    <w:rsid w:val="00166B9C"/>
    <w:rsid w:val="00167FD7"/>
    <w:rsid w:val="0017096D"/>
    <w:rsid w:val="001726E9"/>
    <w:rsid w:val="00173B39"/>
    <w:rsid w:val="001801B3"/>
    <w:rsid w:val="00180C46"/>
    <w:rsid w:val="00180D01"/>
    <w:rsid w:val="00181AFB"/>
    <w:rsid w:val="00187AEF"/>
    <w:rsid w:val="00190670"/>
    <w:rsid w:val="00190D6C"/>
    <w:rsid w:val="001916FA"/>
    <w:rsid w:val="00195263"/>
    <w:rsid w:val="00196C86"/>
    <w:rsid w:val="001A14BF"/>
    <w:rsid w:val="001A31D4"/>
    <w:rsid w:val="001A344E"/>
    <w:rsid w:val="001A4284"/>
    <w:rsid w:val="001A4F7D"/>
    <w:rsid w:val="001A5518"/>
    <w:rsid w:val="001A6AB1"/>
    <w:rsid w:val="001A6ACF"/>
    <w:rsid w:val="001B0173"/>
    <w:rsid w:val="001B1BA4"/>
    <w:rsid w:val="001B3084"/>
    <w:rsid w:val="001B7B3B"/>
    <w:rsid w:val="001C0313"/>
    <w:rsid w:val="001C671F"/>
    <w:rsid w:val="001C685E"/>
    <w:rsid w:val="001C74F6"/>
    <w:rsid w:val="001C7CD3"/>
    <w:rsid w:val="001C7D7C"/>
    <w:rsid w:val="001D1DEA"/>
    <w:rsid w:val="001D3940"/>
    <w:rsid w:val="001D3B81"/>
    <w:rsid w:val="001D4F1D"/>
    <w:rsid w:val="001D5EF3"/>
    <w:rsid w:val="001D6BB6"/>
    <w:rsid w:val="001D7290"/>
    <w:rsid w:val="001E0A36"/>
    <w:rsid w:val="001E18BF"/>
    <w:rsid w:val="001E1DFA"/>
    <w:rsid w:val="001E570B"/>
    <w:rsid w:val="001E5920"/>
    <w:rsid w:val="001F2932"/>
    <w:rsid w:val="001F3EEC"/>
    <w:rsid w:val="001F440B"/>
    <w:rsid w:val="001F6BB8"/>
    <w:rsid w:val="0020255E"/>
    <w:rsid w:val="002048D4"/>
    <w:rsid w:val="00204FEF"/>
    <w:rsid w:val="002056F0"/>
    <w:rsid w:val="00206D37"/>
    <w:rsid w:val="00211796"/>
    <w:rsid w:val="00211C8F"/>
    <w:rsid w:val="00212791"/>
    <w:rsid w:val="00215BB7"/>
    <w:rsid w:val="00215E53"/>
    <w:rsid w:val="00216126"/>
    <w:rsid w:val="00217178"/>
    <w:rsid w:val="002200E5"/>
    <w:rsid w:val="00220964"/>
    <w:rsid w:val="002307B8"/>
    <w:rsid w:val="0023139A"/>
    <w:rsid w:val="002314ED"/>
    <w:rsid w:val="00231573"/>
    <w:rsid w:val="00232904"/>
    <w:rsid w:val="0023297F"/>
    <w:rsid w:val="00233F6F"/>
    <w:rsid w:val="00234D30"/>
    <w:rsid w:val="00236082"/>
    <w:rsid w:val="002405D7"/>
    <w:rsid w:val="00240C73"/>
    <w:rsid w:val="002418B3"/>
    <w:rsid w:val="00241C3A"/>
    <w:rsid w:val="002456F2"/>
    <w:rsid w:val="00246AE5"/>
    <w:rsid w:val="00246C04"/>
    <w:rsid w:val="00250837"/>
    <w:rsid w:val="0025160D"/>
    <w:rsid w:val="00251C0B"/>
    <w:rsid w:val="002536E5"/>
    <w:rsid w:val="00253CE6"/>
    <w:rsid w:val="002543E7"/>
    <w:rsid w:val="00254553"/>
    <w:rsid w:val="00255650"/>
    <w:rsid w:val="00256437"/>
    <w:rsid w:val="00256725"/>
    <w:rsid w:val="00257716"/>
    <w:rsid w:val="00260063"/>
    <w:rsid w:val="002619CB"/>
    <w:rsid w:val="002623E4"/>
    <w:rsid w:val="002626E2"/>
    <w:rsid w:val="00262ECF"/>
    <w:rsid w:val="0026493C"/>
    <w:rsid w:val="00265E41"/>
    <w:rsid w:val="002676B1"/>
    <w:rsid w:val="00272FB2"/>
    <w:rsid w:val="00273689"/>
    <w:rsid w:val="00275345"/>
    <w:rsid w:val="00276199"/>
    <w:rsid w:val="0027638C"/>
    <w:rsid w:val="00276AB3"/>
    <w:rsid w:val="00277323"/>
    <w:rsid w:val="00277619"/>
    <w:rsid w:val="002779CD"/>
    <w:rsid w:val="00277FD6"/>
    <w:rsid w:val="00281A21"/>
    <w:rsid w:val="00283190"/>
    <w:rsid w:val="00287808"/>
    <w:rsid w:val="00287EFA"/>
    <w:rsid w:val="0029068F"/>
    <w:rsid w:val="00291E5D"/>
    <w:rsid w:val="00292313"/>
    <w:rsid w:val="00293BE3"/>
    <w:rsid w:val="00296338"/>
    <w:rsid w:val="002A3295"/>
    <w:rsid w:val="002A4254"/>
    <w:rsid w:val="002A4640"/>
    <w:rsid w:val="002A4E71"/>
    <w:rsid w:val="002A509E"/>
    <w:rsid w:val="002B02CF"/>
    <w:rsid w:val="002B13F1"/>
    <w:rsid w:val="002B17E8"/>
    <w:rsid w:val="002B288E"/>
    <w:rsid w:val="002B45C4"/>
    <w:rsid w:val="002B5DF1"/>
    <w:rsid w:val="002B61B0"/>
    <w:rsid w:val="002B6A72"/>
    <w:rsid w:val="002B7625"/>
    <w:rsid w:val="002B77C1"/>
    <w:rsid w:val="002B7D25"/>
    <w:rsid w:val="002C1DB8"/>
    <w:rsid w:val="002C2F99"/>
    <w:rsid w:val="002C6517"/>
    <w:rsid w:val="002C6869"/>
    <w:rsid w:val="002D0B15"/>
    <w:rsid w:val="002D0FA9"/>
    <w:rsid w:val="002D12E5"/>
    <w:rsid w:val="002D26ED"/>
    <w:rsid w:val="002D275C"/>
    <w:rsid w:val="002D40D2"/>
    <w:rsid w:val="002D7720"/>
    <w:rsid w:val="002E15E4"/>
    <w:rsid w:val="002E2588"/>
    <w:rsid w:val="002E43F6"/>
    <w:rsid w:val="002E6B86"/>
    <w:rsid w:val="002E6BC6"/>
    <w:rsid w:val="002E7993"/>
    <w:rsid w:val="002F0114"/>
    <w:rsid w:val="002F2273"/>
    <w:rsid w:val="002F248D"/>
    <w:rsid w:val="002F29D8"/>
    <w:rsid w:val="002F4706"/>
    <w:rsid w:val="002F50F9"/>
    <w:rsid w:val="002F55B4"/>
    <w:rsid w:val="002F6190"/>
    <w:rsid w:val="002F6D92"/>
    <w:rsid w:val="002F72A5"/>
    <w:rsid w:val="0030004B"/>
    <w:rsid w:val="003043DD"/>
    <w:rsid w:val="00304CE7"/>
    <w:rsid w:val="00304EA9"/>
    <w:rsid w:val="003145B0"/>
    <w:rsid w:val="00314B3B"/>
    <w:rsid w:val="003178FB"/>
    <w:rsid w:val="00317CDF"/>
    <w:rsid w:val="003248C7"/>
    <w:rsid w:val="00324D7E"/>
    <w:rsid w:val="003253F6"/>
    <w:rsid w:val="003254C9"/>
    <w:rsid w:val="00330750"/>
    <w:rsid w:val="003314F7"/>
    <w:rsid w:val="00331C43"/>
    <w:rsid w:val="0033581A"/>
    <w:rsid w:val="00337A29"/>
    <w:rsid w:val="00341B8F"/>
    <w:rsid w:val="00345219"/>
    <w:rsid w:val="003464BF"/>
    <w:rsid w:val="00346D74"/>
    <w:rsid w:val="00350B95"/>
    <w:rsid w:val="00350D46"/>
    <w:rsid w:val="00360667"/>
    <w:rsid w:val="00360BEA"/>
    <w:rsid w:val="00361487"/>
    <w:rsid w:val="0036268A"/>
    <w:rsid w:val="003628BC"/>
    <w:rsid w:val="003658E0"/>
    <w:rsid w:val="00370C96"/>
    <w:rsid w:val="003710B0"/>
    <w:rsid w:val="00374CC7"/>
    <w:rsid w:val="00375435"/>
    <w:rsid w:val="0037556B"/>
    <w:rsid w:val="00375712"/>
    <w:rsid w:val="00375CA4"/>
    <w:rsid w:val="003808A9"/>
    <w:rsid w:val="00381A92"/>
    <w:rsid w:val="0038241F"/>
    <w:rsid w:val="003828F0"/>
    <w:rsid w:val="00384BFC"/>
    <w:rsid w:val="003866DF"/>
    <w:rsid w:val="00386729"/>
    <w:rsid w:val="00386BED"/>
    <w:rsid w:val="00386D48"/>
    <w:rsid w:val="0038763A"/>
    <w:rsid w:val="003926E1"/>
    <w:rsid w:val="003A00D0"/>
    <w:rsid w:val="003A0BF3"/>
    <w:rsid w:val="003A11B8"/>
    <w:rsid w:val="003A21D4"/>
    <w:rsid w:val="003A5E06"/>
    <w:rsid w:val="003A6E2F"/>
    <w:rsid w:val="003B048F"/>
    <w:rsid w:val="003B0B42"/>
    <w:rsid w:val="003B4B9B"/>
    <w:rsid w:val="003B52F7"/>
    <w:rsid w:val="003B5D81"/>
    <w:rsid w:val="003C039A"/>
    <w:rsid w:val="003C1610"/>
    <w:rsid w:val="003C1952"/>
    <w:rsid w:val="003C2841"/>
    <w:rsid w:val="003C32AF"/>
    <w:rsid w:val="003C3F89"/>
    <w:rsid w:val="003C5072"/>
    <w:rsid w:val="003C5B18"/>
    <w:rsid w:val="003C5C62"/>
    <w:rsid w:val="003D0AA5"/>
    <w:rsid w:val="003D1036"/>
    <w:rsid w:val="003D134D"/>
    <w:rsid w:val="003D2EE5"/>
    <w:rsid w:val="003D3A66"/>
    <w:rsid w:val="003D5231"/>
    <w:rsid w:val="003E08E6"/>
    <w:rsid w:val="003E0CD2"/>
    <w:rsid w:val="003E0D00"/>
    <w:rsid w:val="003E0FF1"/>
    <w:rsid w:val="003E2977"/>
    <w:rsid w:val="003E3919"/>
    <w:rsid w:val="003E5E7A"/>
    <w:rsid w:val="003E66CC"/>
    <w:rsid w:val="003F4454"/>
    <w:rsid w:val="003F4CAA"/>
    <w:rsid w:val="003F5542"/>
    <w:rsid w:val="003F640F"/>
    <w:rsid w:val="004018EF"/>
    <w:rsid w:val="00404AC9"/>
    <w:rsid w:val="00405AFE"/>
    <w:rsid w:val="00411744"/>
    <w:rsid w:val="0041288F"/>
    <w:rsid w:val="00412D30"/>
    <w:rsid w:val="0041333E"/>
    <w:rsid w:val="004134C8"/>
    <w:rsid w:val="00415DCA"/>
    <w:rsid w:val="0041677C"/>
    <w:rsid w:val="00416AE0"/>
    <w:rsid w:val="004172FB"/>
    <w:rsid w:val="00417757"/>
    <w:rsid w:val="00417758"/>
    <w:rsid w:val="00417CDA"/>
    <w:rsid w:val="0042043F"/>
    <w:rsid w:val="004249C4"/>
    <w:rsid w:val="00424DCE"/>
    <w:rsid w:val="00424FB3"/>
    <w:rsid w:val="00425B14"/>
    <w:rsid w:val="00425FE9"/>
    <w:rsid w:val="004300B6"/>
    <w:rsid w:val="0043108A"/>
    <w:rsid w:val="00431A29"/>
    <w:rsid w:val="00432035"/>
    <w:rsid w:val="00432316"/>
    <w:rsid w:val="00432E66"/>
    <w:rsid w:val="004352E0"/>
    <w:rsid w:val="00435BFA"/>
    <w:rsid w:val="00436204"/>
    <w:rsid w:val="00437300"/>
    <w:rsid w:val="00437E7D"/>
    <w:rsid w:val="0044413F"/>
    <w:rsid w:val="00444C45"/>
    <w:rsid w:val="00446E67"/>
    <w:rsid w:val="0044787F"/>
    <w:rsid w:val="004505FC"/>
    <w:rsid w:val="0045098F"/>
    <w:rsid w:val="00456CAA"/>
    <w:rsid w:val="0046005D"/>
    <w:rsid w:val="00461554"/>
    <w:rsid w:val="00461C6E"/>
    <w:rsid w:val="00466F6F"/>
    <w:rsid w:val="0046762C"/>
    <w:rsid w:val="00467821"/>
    <w:rsid w:val="00475502"/>
    <w:rsid w:val="004759F1"/>
    <w:rsid w:val="004827E6"/>
    <w:rsid w:val="00482CF6"/>
    <w:rsid w:val="00482D63"/>
    <w:rsid w:val="0048329D"/>
    <w:rsid w:val="00483ACD"/>
    <w:rsid w:val="00483EA6"/>
    <w:rsid w:val="00484431"/>
    <w:rsid w:val="00484CD8"/>
    <w:rsid w:val="004862D3"/>
    <w:rsid w:val="0049163C"/>
    <w:rsid w:val="00491AFA"/>
    <w:rsid w:val="0049250E"/>
    <w:rsid w:val="00493690"/>
    <w:rsid w:val="004975E1"/>
    <w:rsid w:val="00497A2D"/>
    <w:rsid w:val="004A03FE"/>
    <w:rsid w:val="004A3108"/>
    <w:rsid w:val="004A3CD0"/>
    <w:rsid w:val="004A4AC0"/>
    <w:rsid w:val="004A4FCE"/>
    <w:rsid w:val="004A6729"/>
    <w:rsid w:val="004B0684"/>
    <w:rsid w:val="004B0BCF"/>
    <w:rsid w:val="004C1CED"/>
    <w:rsid w:val="004C4CF7"/>
    <w:rsid w:val="004C4D0A"/>
    <w:rsid w:val="004C51F1"/>
    <w:rsid w:val="004C6FC6"/>
    <w:rsid w:val="004D0C67"/>
    <w:rsid w:val="004D15A1"/>
    <w:rsid w:val="004D28DA"/>
    <w:rsid w:val="004D2A59"/>
    <w:rsid w:val="004D37C9"/>
    <w:rsid w:val="004D3B60"/>
    <w:rsid w:val="004D3F98"/>
    <w:rsid w:val="004D4191"/>
    <w:rsid w:val="004D69AA"/>
    <w:rsid w:val="004E0A7A"/>
    <w:rsid w:val="004E4944"/>
    <w:rsid w:val="004E5B2E"/>
    <w:rsid w:val="004E6E4D"/>
    <w:rsid w:val="004E7CFF"/>
    <w:rsid w:val="004F19DA"/>
    <w:rsid w:val="004F24C6"/>
    <w:rsid w:val="004F2F2F"/>
    <w:rsid w:val="004F3C49"/>
    <w:rsid w:val="004F592E"/>
    <w:rsid w:val="004F68AF"/>
    <w:rsid w:val="0050084A"/>
    <w:rsid w:val="00501FDC"/>
    <w:rsid w:val="005024A9"/>
    <w:rsid w:val="00502A30"/>
    <w:rsid w:val="00505757"/>
    <w:rsid w:val="00511087"/>
    <w:rsid w:val="00512A07"/>
    <w:rsid w:val="0051319B"/>
    <w:rsid w:val="00520AF1"/>
    <w:rsid w:val="00520C42"/>
    <w:rsid w:val="00521062"/>
    <w:rsid w:val="005221A8"/>
    <w:rsid w:val="00523C24"/>
    <w:rsid w:val="005264A8"/>
    <w:rsid w:val="0052693E"/>
    <w:rsid w:val="00526D02"/>
    <w:rsid w:val="00530EAF"/>
    <w:rsid w:val="005325E9"/>
    <w:rsid w:val="0053261A"/>
    <w:rsid w:val="00532A7D"/>
    <w:rsid w:val="005333EE"/>
    <w:rsid w:val="005334ED"/>
    <w:rsid w:val="00533597"/>
    <w:rsid w:val="00534C6A"/>
    <w:rsid w:val="00534D12"/>
    <w:rsid w:val="00537820"/>
    <w:rsid w:val="00540953"/>
    <w:rsid w:val="00544368"/>
    <w:rsid w:val="005455D6"/>
    <w:rsid w:val="0054583D"/>
    <w:rsid w:val="0054644D"/>
    <w:rsid w:val="00546885"/>
    <w:rsid w:val="00546A34"/>
    <w:rsid w:val="005538A7"/>
    <w:rsid w:val="00553ECF"/>
    <w:rsid w:val="00554292"/>
    <w:rsid w:val="00555B7D"/>
    <w:rsid w:val="00557BF8"/>
    <w:rsid w:val="00557F99"/>
    <w:rsid w:val="005614B6"/>
    <w:rsid w:val="00562F20"/>
    <w:rsid w:val="00564803"/>
    <w:rsid w:val="0056557A"/>
    <w:rsid w:val="0056752C"/>
    <w:rsid w:val="0057095A"/>
    <w:rsid w:val="00570EF1"/>
    <w:rsid w:val="005710E9"/>
    <w:rsid w:val="005716B1"/>
    <w:rsid w:val="00573635"/>
    <w:rsid w:val="005809DB"/>
    <w:rsid w:val="00580B3B"/>
    <w:rsid w:val="00582404"/>
    <w:rsid w:val="005827A1"/>
    <w:rsid w:val="00583C68"/>
    <w:rsid w:val="0058498E"/>
    <w:rsid w:val="0058615F"/>
    <w:rsid w:val="00586262"/>
    <w:rsid w:val="00587FB4"/>
    <w:rsid w:val="005904BE"/>
    <w:rsid w:val="00592420"/>
    <w:rsid w:val="00592549"/>
    <w:rsid w:val="005929C1"/>
    <w:rsid w:val="00592FE3"/>
    <w:rsid w:val="0059358A"/>
    <w:rsid w:val="00594156"/>
    <w:rsid w:val="005949E2"/>
    <w:rsid w:val="00595977"/>
    <w:rsid w:val="00597C67"/>
    <w:rsid w:val="005A5346"/>
    <w:rsid w:val="005A76C1"/>
    <w:rsid w:val="005A7E7C"/>
    <w:rsid w:val="005B11BA"/>
    <w:rsid w:val="005B22BC"/>
    <w:rsid w:val="005B290E"/>
    <w:rsid w:val="005B45F2"/>
    <w:rsid w:val="005B4A03"/>
    <w:rsid w:val="005B4EA1"/>
    <w:rsid w:val="005B6D8E"/>
    <w:rsid w:val="005C1107"/>
    <w:rsid w:val="005C3798"/>
    <w:rsid w:val="005D2665"/>
    <w:rsid w:val="005D42C9"/>
    <w:rsid w:val="005D7CD2"/>
    <w:rsid w:val="005E1BCD"/>
    <w:rsid w:val="005E2E2F"/>
    <w:rsid w:val="005E3876"/>
    <w:rsid w:val="005E3908"/>
    <w:rsid w:val="005E397B"/>
    <w:rsid w:val="005E4446"/>
    <w:rsid w:val="005E6B1F"/>
    <w:rsid w:val="005E7368"/>
    <w:rsid w:val="005F111A"/>
    <w:rsid w:val="005F1812"/>
    <w:rsid w:val="005F30CF"/>
    <w:rsid w:val="005F32DB"/>
    <w:rsid w:val="005F352E"/>
    <w:rsid w:val="005F5093"/>
    <w:rsid w:val="005F659F"/>
    <w:rsid w:val="005F7362"/>
    <w:rsid w:val="00600706"/>
    <w:rsid w:val="00600C0C"/>
    <w:rsid w:val="00601EE4"/>
    <w:rsid w:val="0060222E"/>
    <w:rsid w:val="0060275B"/>
    <w:rsid w:val="00602C26"/>
    <w:rsid w:val="00602DC2"/>
    <w:rsid w:val="0060345E"/>
    <w:rsid w:val="006052CD"/>
    <w:rsid w:val="0060687A"/>
    <w:rsid w:val="0060772C"/>
    <w:rsid w:val="00607C9E"/>
    <w:rsid w:val="0061049F"/>
    <w:rsid w:val="00611525"/>
    <w:rsid w:val="006117E7"/>
    <w:rsid w:val="00611EF0"/>
    <w:rsid w:val="006124F5"/>
    <w:rsid w:val="00613A28"/>
    <w:rsid w:val="00615A3F"/>
    <w:rsid w:val="0062171D"/>
    <w:rsid w:val="006227F0"/>
    <w:rsid w:val="006267FF"/>
    <w:rsid w:val="00630013"/>
    <w:rsid w:val="00634FE4"/>
    <w:rsid w:val="006351F9"/>
    <w:rsid w:val="006373F2"/>
    <w:rsid w:val="00641B68"/>
    <w:rsid w:val="00645830"/>
    <w:rsid w:val="00646C3F"/>
    <w:rsid w:val="00647738"/>
    <w:rsid w:val="00651CA6"/>
    <w:rsid w:val="006534E5"/>
    <w:rsid w:val="006539E0"/>
    <w:rsid w:val="006545AC"/>
    <w:rsid w:val="00655AD0"/>
    <w:rsid w:val="00656BF3"/>
    <w:rsid w:val="00657E25"/>
    <w:rsid w:val="006600CB"/>
    <w:rsid w:val="0066036C"/>
    <w:rsid w:val="006609A7"/>
    <w:rsid w:val="006619D4"/>
    <w:rsid w:val="00662305"/>
    <w:rsid w:val="00663FF8"/>
    <w:rsid w:val="00664E2D"/>
    <w:rsid w:val="00664F69"/>
    <w:rsid w:val="0066504F"/>
    <w:rsid w:val="00665A23"/>
    <w:rsid w:val="00671D89"/>
    <w:rsid w:val="00672477"/>
    <w:rsid w:val="00674886"/>
    <w:rsid w:val="00674EFF"/>
    <w:rsid w:val="006755E0"/>
    <w:rsid w:val="006761B1"/>
    <w:rsid w:val="00677A42"/>
    <w:rsid w:val="00680B45"/>
    <w:rsid w:val="00681026"/>
    <w:rsid w:val="006812EF"/>
    <w:rsid w:val="00682BA2"/>
    <w:rsid w:val="006847B6"/>
    <w:rsid w:val="00684C35"/>
    <w:rsid w:val="00687A3C"/>
    <w:rsid w:val="00687E57"/>
    <w:rsid w:val="00690977"/>
    <w:rsid w:val="00693953"/>
    <w:rsid w:val="00694511"/>
    <w:rsid w:val="0069598F"/>
    <w:rsid w:val="006965E3"/>
    <w:rsid w:val="0069693F"/>
    <w:rsid w:val="0069698F"/>
    <w:rsid w:val="006A09B4"/>
    <w:rsid w:val="006A2A9F"/>
    <w:rsid w:val="006A5931"/>
    <w:rsid w:val="006A5CAE"/>
    <w:rsid w:val="006B0B76"/>
    <w:rsid w:val="006B0D9A"/>
    <w:rsid w:val="006B46B0"/>
    <w:rsid w:val="006B4986"/>
    <w:rsid w:val="006B587A"/>
    <w:rsid w:val="006B64A0"/>
    <w:rsid w:val="006B64AD"/>
    <w:rsid w:val="006B6734"/>
    <w:rsid w:val="006C6F82"/>
    <w:rsid w:val="006C75D0"/>
    <w:rsid w:val="006C79A6"/>
    <w:rsid w:val="006D183A"/>
    <w:rsid w:val="006D1D51"/>
    <w:rsid w:val="006D2C85"/>
    <w:rsid w:val="006D31E9"/>
    <w:rsid w:val="006D320D"/>
    <w:rsid w:val="006D55C8"/>
    <w:rsid w:val="006D5DCA"/>
    <w:rsid w:val="006E1275"/>
    <w:rsid w:val="006E1304"/>
    <w:rsid w:val="006E2570"/>
    <w:rsid w:val="006E3EE5"/>
    <w:rsid w:val="006E4B3D"/>
    <w:rsid w:val="006E5B3B"/>
    <w:rsid w:val="006E60AB"/>
    <w:rsid w:val="006E78F1"/>
    <w:rsid w:val="006F2220"/>
    <w:rsid w:val="006F2BAF"/>
    <w:rsid w:val="006F383F"/>
    <w:rsid w:val="006F3A69"/>
    <w:rsid w:val="006F63A0"/>
    <w:rsid w:val="00700FF8"/>
    <w:rsid w:val="00701C06"/>
    <w:rsid w:val="0070616D"/>
    <w:rsid w:val="00706DB0"/>
    <w:rsid w:val="007122FF"/>
    <w:rsid w:val="00712361"/>
    <w:rsid w:val="00712D5F"/>
    <w:rsid w:val="00713126"/>
    <w:rsid w:val="007146F6"/>
    <w:rsid w:val="00720256"/>
    <w:rsid w:val="00721037"/>
    <w:rsid w:val="00721162"/>
    <w:rsid w:val="00721CF1"/>
    <w:rsid w:val="007220F5"/>
    <w:rsid w:val="007234CA"/>
    <w:rsid w:val="00724D37"/>
    <w:rsid w:val="00724F7C"/>
    <w:rsid w:val="00725A93"/>
    <w:rsid w:val="0073007A"/>
    <w:rsid w:val="0073405B"/>
    <w:rsid w:val="00734904"/>
    <w:rsid w:val="00735A44"/>
    <w:rsid w:val="007364D8"/>
    <w:rsid w:val="007371E8"/>
    <w:rsid w:val="0073792B"/>
    <w:rsid w:val="00741B28"/>
    <w:rsid w:val="00741EE5"/>
    <w:rsid w:val="00742AA9"/>
    <w:rsid w:val="00742EF2"/>
    <w:rsid w:val="0074480C"/>
    <w:rsid w:val="007466EA"/>
    <w:rsid w:val="00746FE5"/>
    <w:rsid w:val="007502D5"/>
    <w:rsid w:val="00750AE4"/>
    <w:rsid w:val="00751756"/>
    <w:rsid w:val="007571BE"/>
    <w:rsid w:val="0075774C"/>
    <w:rsid w:val="00761135"/>
    <w:rsid w:val="00761CAC"/>
    <w:rsid w:val="00762C5D"/>
    <w:rsid w:val="00764FD6"/>
    <w:rsid w:val="007656B4"/>
    <w:rsid w:val="007658D5"/>
    <w:rsid w:val="00767529"/>
    <w:rsid w:val="00770770"/>
    <w:rsid w:val="00775089"/>
    <w:rsid w:val="00775D08"/>
    <w:rsid w:val="00776759"/>
    <w:rsid w:val="0078058F"/>
    <w:rsid w:val="007817FE"/>
    <w:rsid w:val="00782457"/>
    <w:rsid w:val="00783DE9"/>
    <w:rsid w:val="007847E6"/>
    <w:rsid w:val="00790FB2"/>
    <w:rsid w:val="00792B87"/>
    <w:rsid w:val="00795A46"/>
    <w:rsid w:val="00797655"/>
    <w:rsid w:val="007A1894"/>
    <w:rsid w:val="007A20EE"/>
    <w:rsid w:val="007A2CEC"/>
    <w:rsid w:val="007A2DB9"/>
    <w:rsid w:val="007A309B"/>
    <w:rsid w:val="007A36F5"/>
    <w:rsid w:val="007A3A45"/>
    <w:rsid w:val="007A3D72"/>
    <w:rsid w:val="007A53B3"/>
    <w:rsid w:val="007A6387"/>
    <w:rsid w:val="007A691E"/>
    <w:rsid w:val="007A7A73"/>
    <w:rsid w:val="007B2630"/>
    <w:rsid w:val="007B31DF"/>
    <w:rsid w:val="007C09B7"/>
    <w:rsid w:val="007C3512"/>
    <w:rsid w:val="007D0A6F"/>
    <w:rsid w:val="007D163F"/>
    <w:rsid w:val="007D2552"/>
    <w:rsid w:val="007D482C"/>
    <w:rsid w:val="007D4DC7"/>
    <w:rsid w:val="007D513E"/>
    <w:rsid w:val="007D5284"/>
    <w:rsid w:val="007D7592"/>
    <w:rsid w:val="007E00EC"/>
    <w:rsid w:val="007E2004"/>
    <w:rsid w:val="007E2F34"/>
    <w:rsid w:val="007E4B3F"/>
    <w:rsid w:val="007E5F48"/>
    <w:rsid w:val="007E711F"/>
    <w:rsid w:val="007E7DCA"/>
    <w:rsid w:val="007F0776"/>
    <w:rsid w:val="007F0BD1"/>
    <w:rsid w:val="007F23E0"/>
    <w:rsid w:val="007F2408"/>
    <w:rsid w:val="007F3501"/>
    <w:rsid w:val="007F4F83"/>
    <w:rsid w:val="007F5A2F"/>
    <w:rsid w:val="008009D0"/>
    <w:rsid w:val="0080135C"/>
    <w:rsid w:val="008015C6"/>
    <w:rsid w:val="0080338A"/>
    <w:rsid w:val="0080379E"/>
    <w:rsid w:val="008042AD"/>
    <w:rsid w:val="0080715A"/>
    <w:rsid w:val="0081026C"/>
    <w:rsid w:val="00810C29"/>
    <w:rsid w:val="0081111C"/>
    <w:rsid w:val="00812029"/>
    <w:rsid w:val="00813EAC"/>
    <w:rsid w:val="00820045"/>
    <w:rsid w:val="00820FE4"/>
    <w:rsid w:val="00823387"/>
    <w:rsid w:val="00825297"/>
    <w:rsid w:val="00825D9A"/>
    <w:rsid w:val="008260C5"/>
    <w:rsid w:val="00826F0E"/>
    <w:rsid w:val="00827655"/>
    <w:rsid w:val="00832951"/>
    <w:rsid w:val="00833489"/>
    <w:rsid w:val="00834B10"/>
    <w:rsid w:val="00835A6C"/>
    <w:rsid w:val="00836976"/>
    <w:rsid w:val="00836A89"/>
    <w:rsid w:val="0083784C"/>
    <w:rsid w:val="00837B5F"/>
    <w:rsid w:val="0084386E"/>
    <w:rsid w:val="00845A03"/>
    <w:rsid w:val="00845DC4"/>
    <w:rsid w:val="008527C0"/>
    <w:rsid w:val="00852BAA"/>
    <w:rsid w:val="00854D18"/>
    <w:rsid w:val="00854F8B"/>
    <w:rsid w:val="0085577F"/>
    <w:rsid w:val="00856B7B"/>
    <w:rsid w:val="008600D8"/>
    <w:rsid w:val="00861C81"/>
    <w:rsid w:val="00864827"/>
    <w:rsid w:val="00864D4D"/>
    <w:rsid w:val="008653AD"/>
    <w:rsid w:val="00865C34"/>
    <w:rsid w:val="00865CEA"/>
    <w:rsid w:val="0086729C"/>
    <w:rsid w:val="00871B83"/>
    <w:rsid w:val="00871DF7"/>
    <w:rsid w:val="008722A8"/>
    <w:rsid w:val="008725C1"/>
    <w:rsid w:val="008728B9"/>
    <w:rsid w:val="00873BEA"/>
    <w:rsid w:val="00874614"/>
    <w:rsid w:val="008750F6"/>
    <w:rsid w:val="00875335"/>
    <w:rsid w:val="00876D58"/>
    <w:rsid w:val="0087744F"/>
    <w:rsid w:val="00881079"/>
    <w:rsid w:val="00881962"/>
    <w:rsid w:val="00881D72"/>
    <w:rsid w:val="00882027"/>
    <w:rsid w:val="008828CB"/>
    <w:rsid w:val="00883301"/>
    <w:rsid w:val="00884902"/>
    <w:rsid w:val="008876CE"/>
    <w:rsid w:val="008914C7"/>
    <w:rsid w:val="00894E46"/>
    <w:rsid w:val="00895476"/>
    <w:rsid w:val="00895F56"/>
    <w:rsid w:val="008A0707"/>
    <w:rsid w:val="008A1757"/>
    <w:rsid w:val="008A2380"/>
    <w:rsid w:val="008A514D"/>
    <w:rsid w:val="008B2146"/>
    <w:rsid w:val="008B2907"/>
    <w:rsid w:val="008B4E2F"/>
    <w:rsid w:val="008B6989"/>
    <w:rsid w:val="008C1E36"/>
    <w:rsid w:val="008C402D"/>
    <w:rsid w:val="008C5941"/>
    <w:rsid w:val="008C5EA0"/>
    <w:rsid w:val="008C721E"/>
    <w:rsid w:val="008C7505"/>
    <w:rsid w:val="008D03D9"/>
    <w:rsid w:val="008D2655"/>
    <w:rsid w:val="008D324F"/>
    <w:rsid w:val="008D37DC"/>
    <w:rsid w:val="008D4111"/>
    <w:rsid w:val="008D4A6D"/>
    <w:rsid w:val="008D539C"/>
    <w:rsid w:val="008D70CE"/>
    <w:rsid w:val="008D76B8"/>
    <w:rsid w:val="008E101A"/>
    <w:rsid w:val="008E2EEE"/>
    <w:rsid w:val="008E3F22"/>
    <w:rsid w:val="008E4771"/>
    <w:rsid w:val="008F28B5"/>
    <w:rsid w:val="00901A1B"/>
    <w:rsid w:val="0090213C"/>
    <w:rsid w:val="00902F3B"/>
    <w:rsid w:val="009057D0"/>
    <w:rsid w:val="0090587B"/>
    <w:rsid w:val="00905C62"/>
    <w:rsid w:val="00906D89"/>
    <w:rsid w:val="00910BD6"/>
    <w:rsid w:val="009120DD"/>
    <w:rsid w:val="00912870"/>
    <w:rsid w:val="00913779"/>
    <w:rsid w:val="0091471B"/>
    <w:rsid w:val="00916466"/>
    <w:rsid w:val="00917336"/>
    <w:rsid w:val="00920987"/>
    <w:rsid w:val="00920AA4"/>
    <w:rsid w:val="00920DFC"/>
    <w:rsid w:val="009211FD"/>
    <w:rsid w:val="00921DB7"/>
    <w:rsid w:val="00921DE9"/>
    <w:rsid w:val="009339C9"/>
    <w:rsid w:val="0093467E"/>
    <w:rsid w:val="00935621"/>
    <w:rsid w:val="009357BC"/>
    <w:rsid w:val="00936845"/>
    <w:rsid w:val="00940576"/>
    <w:rsid w:val="00942076"/>
    <w:rsid w:val="00943F71"/>
    <w:rsid w:val="00944206"/>
    <w:rsid w:val="009459DB"/>
    <w:rsid w:val="009466F3"/>
    <w:rsid w:val="009479E8"/>
    <w:rsid w:val="00952C2B"/>
    <w:rsid w:val="00953379"/>
    <w:rsid w:val="009535DB"/>
    <w:rsid w:val="009558F6"/>
    <w:rsid w:val="00957B16"/>
    <w:rsid w:val="00960B54"/>
    <w:rsid w:val="009621F7"/>
    <w:rsid w:val="009645F2"/>
    <w:rsid w:val="0096496E"/>
    <w:rsid w:val="00965A9B"/>
    <w:rsid w:val="00965D31"/>
    <w:rsid w:val="00967CA9"/>
    <w:rsid w:val="009734E4"/>
    <w:rsid w:val="00974C08"/>
    <w:rsid w:val="00975837"/>
    <w:rsid w:val="00976712"/>
    <w:rsid w:val="00977275"/>
    <w:rsid w:val="00977F21"/>
    <w:rsid w:val="00982F2A"/>
    <w:rsid w:val="00983FA9"/>
    <w:rsid w:val="009869F8"/>
    <w:rsid w:val="009874F2"/>
    <w:rsid w:val="00990A9E"/>
    <w:rsid w:val="00992088"/>
    <w:rsid w:val="009927FF"/>
    <w:rsid w:val="00992EE6"/>
    <w:rsid w:val="00993A13"/>
    <w:rsid w:val="00995E31"/>
    <w:rsid w:val="0099755A"/>
    <w:rsid w:val="009A5ABB"/>
    <w:rsid w:val="009A72F0"/>
    <w:rsid w:val="009B0CAD"/>
    <w:rsid w:val="009B1571"/>
    <w:rsid w:val="009B424D"/>
    <w:rsid w:val="009B6FF8"/>
    <w:rsid w:val="009B73E0"/>
    <w:rsid w:val="009C0DE2"/>
    <w:rsid w:val="009C1599"/>
    <w:rsid w:val="009C19A5"/>
    <w:rsid w:val="009C383C"/>
    <w:rsid w:val="009C6A38"/>
    <w:rsid w:val="009D096E"/>
    <w:rsid w:val="009D1873"/>
    <w:rsid w:val="009D28B6"/>
    <w:rsid w:val="009D370F"/>
    <w:rsid w:val="009D5336"/>
    <w:rsid w:val="009E0D3F"/>
    <w:rsid w:val="009E2B35"/>
    <w:rsid w:val="009E56AE"/>
    <w:rsid w:val="009E735C"/>
    <w:rsid w:val="009F0527"/>
    <w:rsid w:val="009F080D"/>
    <w:rsid w:val="009F14AB"/>
    <w:rsid w:val="009F21BC"/>
    <w:rsid w:val="009F2B69"/>
    <w:rsid w:val="009F40A7"/>
    <w:rsid w:val="009F5655"/>
    <w:rsid w:val="009F58EB"/>
    <w:rsid w:val="009F61B8"/>
    <w:rsid w:val="009F7952"/>
    <w:rsid w:val="00A03FE1"/>
    <w:rsid w:val="00A0414A"/>
    <w:rsid w:val="00A059AE"/>
    <w:rsid w:val="00A05EC6"/>
    <w:rsid w:val="00A06436"/>
    <w:rsid w:val="00A077E1"/>
    <w:rsid w:val="00A10563"/>
    <w:rsid w:val="00A11DF2"/>
    <w:rsid w:val="00A12ACE"/>
    <w:rsid w:val="00A13F95"/>
    <w:rsid w:val="00A14034"/>
    <w:rsid w:val="00A14A02"/>
    <w:rsid w:val="00A165D5"/>
    <w:rsid w:val="00A16ABC"/>
    <w:rsid w:val="00A16D9A"/>
    <w:rsid w:val="00A2234D"/>
    <w:rsid w:val="00A25761"/>
    <w:rsid w:val="00A259B8"/>
    <w:rsid w:val="00A325D1"/>
    <w:rsid w:val="00A33BA3"/>
    <w:rsid w:val="00A34AF6"/>
    <w:rsid w:val="00A35C1E"/>
    <w:rsid w:val="00A3618A"/>
    <w:rsid w:val="00A36A53"/>
    <w:rsid w:val="00A43490"/>
    <w:rsid w:val="00A4378D"/>
    <w:rsid w:val="00A43E7A"/>
    <w:rsid w:val="00A4576E"/>
    <w:rsid w:val="00A46F14"/>
    <w:rsid w:val="00A5073F"/>
    <w:rsid w:val="00A5122C"/>
    <w:rsid w:val="00A51CAE"/>
    <w:rsid w:val="00A52899"/>
    <w:rsid w:val="00A5302B"/>
    <w:rsid w:val="00A547CC"/>
    <w:rsid w:val="00A54F4E"/>
    <w:rsid w:val="00A5621C"/>
    <w:rsid w:val="00A568D3"/>
    <w:rsid w:val="00A610D2"/>
    <w:rsid w:val="00A61701"/>
    <w:rsid w:val="00A61755"/>
    <w:rsid w:val="00A61830"/>
    <w:rsid w:val="00A61AC0"/>
    <w:rsid w:val="00A63B26"/>
    <w:rsid w:val="00A658E0"/>
    <w:rsid w:val="00A65F9F"/>
    <w:rsid w:val="00A70159"/>
    <w:rsid w:val="00A734CA"/>
    <w:rsid w:val="00A73527"/>
    <w:rsid w:val="00A73FB6"/>
    <w:rsid w:val="00A768C4"/>
    <w:rsid w:val="00A830C7"/>
    <w:rsid w:val="00A8405B"/>
    <w:rsid w:val="00A85725"/>
    <w:rsid w:val="00A94D06"/>
    <w:rsid w:val="00A9558A"/>
    <w:rsid w:val="00A95761"/>
    <w:rsid w:val="00A96723"/>
    <w:rsid w:val="00A96AD1"/>
    <w:rsid w:val="00AA18C2"/>
    <w:rsid w:val="00AA21D4"/>
    <w:rsid w:val="00AA2916"/>
    <w:rsid w:val="00AA4420"/>
    <w:rsid w:val="00AA54E1"/>
    <w:rsid w:val="00AA5526"/>
    <w:rsid w:val="00AA7596"/>
    <w:rsid w:val="00AB06B8"/>
    <w:rsid w:val="00AB1FA3"/>
    <w:rsid w:val="00AB345E"/>
    <w:rsid w:val="00AB3719"/>
    <w:rsid w:val="00AB45F6"/>
    <w:rsid w:val="00AB5938"/>
    <w:rsid w:val="00AB6540"/>
    <w:rsid w:val="00AB6921"/>
    <w:rsid w:val="00AB7DC6"/>
    <w:rsid w:val="00AC06ED"/>
    <w:rsid w:val="00AC2833"/>
    <w:rsid w:val="00AC2F43"/>
    <w:rsid w:val="00AC622A"/>
    <w:rsid w:val="00AC6391"/>
    <w:rsid w:val="00AC7F6D"/>
    <w:rsid w:val="00AC7FC6"/>
    <w:rsid w:val="00AD18FA"/>
    <w:rsid w:val="00AD52EA"/>
    <w:rsid w:val="00AD6C09"/>
    <w:rsid w:val="00AE13CF"/>
    <w:rsid w:val="00AE3309"/>
    <w:rsid w:val="00AE57CB"/>
    <w:rsid w:val="00AE73D2"/>
    <w:rsid w:val="00AF232B"/>
    <w:rsid w:val="00AF2544"/>
    <w:rsid w:val="00AF33F6"/>
    <w:rsid w:val="00AF533C"/>
    <w:rsid w:val="00AF6152"/>
    <w:rsid w:val="00AF68EA"/>
    <w:rsid w:val="00AF6A9E"/>
    <w:rsid w:val="00AF6DCF"/>
    <w:rsid w:val="00AF7772"/>
    <w:rsid w:val="00B009A0"/>
    <w:rsid w:val="00B0124E"/>
    <w:rsid w:val="00B01678"/>
    <w:rsid w:val="00B0193C"/>
    <w:rsid w:val="00B0710D"/>
    <w:rsid w:val="00B0729A"/>
    <w:rsid w:val="00B115CF"/>
    <w:rsid w:val="00B16ED1"/>
    <w:rsid w:val="00B175F4"/>
    <w:rsid w:val="00B207C1"/>
    <w:rsid w:val="00B2304A"/>
    <w:rsid w:val="00B23C55"/>
    <w:rsid w:val="00B24476"/>
    <w:rsid w:val="00B27353"/>
    <w:rsid w:val="00B31E45"/>
    <w:rsid w:val="00B34EF1"/>
    <w:rsid w:val="00B351D4"/>
    <w:rsid w:val="00B40EA3"/>
    <w:rsid w:val="00B42270"/>
    <w:rsid w:val="00B42718"/>
    <w:rsid w:val="00B44579"/>
    <w:rsid w:val="00B57ECE"/>
    <w:rsid w:val="00B60CFC"/>
    <w:rsid w:val="00B611CD"/>
    <w:rsid w:val="00B61F07"/>
    <w:rsid w:val="00B64E30"/>
    <w:rsid w:val="00B679F2"/>
    <w:rsid w:val="00B7083C"/>
    <w:rsid w:val="00B71945"/>
    <w:rsid w:val="00B734EB"/>
    <w:rsid w:val="00B73DCB"/>
    <w:rsid w:val="00B74330"/>
    <w:rsid w:val="00B75B20"/>
    <w:rsid w:val="00B80CDA"/>
    <w:rsid w:val="00B80D08"/>
    <w:rsid w:val="00B871D2"/>
    <w:rsid w:val="00B9145D"/>
    <w:rsid w:val="00B920CD"/>
    <w:rsid w:val="00B923F3"/>
    <w:rsid w:val="00B9545A"/>
    <w:rsid w:val="00B979A5"/>
    <w:rsid w:val="00BA0447"/>
    <w:rsid w:val="00BA1885"/>
    <w:rsid w:val="00BA34F0"/>
    <w:rsid w:val="00BA36AD"/>
    <w:rsid w:val="00BA4BB2"/>
    <w:rsid w:val="00BB2658"/>
    <w:rsid w:val="00BB4274"/>
    <w:rsid w:val="00BB4788"/>
    <w:rsid w:val="00BC1D1C"/>
    <w:rsid w:val="00BC1E5E"/>
    <w:rsid w:val="00BC2EB9"/>
    <w:rsid w:val="00BC5580"/>
    <w:rsid w:val="00BC587D"/>
    <w:rsid w:val="00BC604E"/>
    <w:rsid w:val="00BD092F"/>
    <w:rsid w:val="00BD094C"/>
    <w:rsid w:val="00BD5862"/>
    <w:rsid w:val="00BE3883"/>
    <w:rsid w:val="00BE7B13"/>
    <w:rsid w:val="00BF1788"/>
    <w:rsid w:val="00BF197D"/>
    <w:rsid w:val="00BF3041"/>
    <w:rsid w:val="00BF6F56"/>
    <w:rsid w:val="00BF7E5C"/>
    <w:rsid w:val="00C00049"/>
    <w:rsid w:val="00C01A47"/>
    <w:rsid w:val="00C02538"/>
    <w:rsid w:val="00C03CA8"/>
    <w:rsid w:val="00C07A16"/>
    <w:rsid w:val="00C1224B"/>
    <w:rsid w:val="00C13DD8"/>
    <w:rsid w:val="00C1481B"/>
    <w:rsid w:val="00C14D35"/>
    <w:rsid w:val="00C171FD"/>
    <w:rsid w:val="00C17A8C"/>
    <w:rsid w:val="00C211D0"/>
    <w:rsid w:val="00C216CB"/>
    <w:rsid w:val="00C2217A"/>
    <w:rsid w:val="00C24509"/>
    <w:rsid w:val="00C24547"/>
    <w:rsid w:val="00C269F5"/>
    <w:rsid w:val="00C3015A"/>
    <w:rsid w:val="00C306D7"/>
    <w:rsid w:val="00C33983"/>
    <w:rsid w:val="00C340CD"/>
    <w:rsid w:val="00C42BAE"/>
    <w:rsid w:val="00C43FC2"/>
    <w:rsid w:val="00C447F7"/>
    <w:rsid w:val="00C4564F"/>
    <w:rsid w:val="00C461BF"/>
    <w:rsid w:val="00C46890"/>
    <w:rsid w:val="00C46AA2"/>
    <w:rsid w:val="00C4794B"/>
    <w:rsid w:val="00C47BEA"/>
    <w:rsid w:val="00C56212"/>
    <w:rsid w:val="00C5659B"/>
    <w:rsid w:val="00C568C6"/>
    <w:rsid w:val="00C56BCA"/>
    <w:rsid w:val="00C60EDB"/>
    <w:rsid w:val="00C62870"/>
    <w:rsid w:val="00C641E6"/>
    <w:rsid w:val="00C6675E"/>
    <w:rsid w:val="00C67D56"/>
    <w:rsid w:val="00C7071E"/>
    <w:rsid w:val="00C74CBB"/>
    <w:rsid w:val="00C74FF3"/>
    <w:rsid w:val="00C779BF"/>
    <w:rsid w:val="00C80697"/>
    <w:rsid w:val="00C80D02"/>
    <w:rsid w:val="00C81869"/>
    <w:rsid w:val="00C81880"/>
    <w:rsid w:val="00C81914"/>
    <w:rsid w:val="00C81949"/>
    <w:rsid w:val="00C8351B"/>
    <w:rsid w:val="00C86D42"/>
    <w:rsid w:val="00C90177"/>
    <w:rsid w:val="00C91211"/>
    <w:rsid w:val="00C936D8"/>
    <w:rsid w:val="00C94089"/>
    <w:rsid w:val="00C96050"/>
    <w:rsid w:val="00C96358"/>
    <w:rsid w:val="00C97988"/>
    <w:rsid w:val="00CA04CE"/>
    <w:rsid w:val="00CA15B8"/>
    <w:rsid w:val="00CA2DA1"/>
    <w:rsid w:val="00CA3599"/>
    <w:rsid w:val="00CA756D"/>
    <w:rsid w:val="00CB032A"/>
    <w:rsid w:val="00CB14B5"/>
    <w:rsid w:val="00CB186F"/>
    <w:rsid w:val="00CB4367"/>
    <w:rsid w:val="00CC0141"/>
    <w:rsid w:val="00CC2B12"/>
    <w:rsid w:val="00CC2D85"/>
    <w:rsid w:val="00CC2F7F"/>
    <w:rsid w:val="00CC320C"/>
    <w:rsid w:val="00CC755E"/>
    <w:rsid w:val="00CC7FC3"/>
    <w:rsid w:val="00CD03A2"/>
    <w:rsid w:val="00CD1AD9"/>
    <w:rsid w:val="00CD1C3A"/>
    <w:rsid w:val="00CD2C1C"/>
    <w:rsid w:val="00CD2C34"/>
    <w:rsid w:val="00CD5FBD"/>
    <w:rsid w:val="00CD7559"/>
    <w:rsid w:val="00CE07F5"/>
    <w:rsid w:val="00CE0B6D"/>
    <w:rsid w:val="00CE161A"/>
    <w:rsid w:val="00CE2EB7"/>
    <w:rsid w:val="00CE3963"/>
    <w:rsid w:val="00CE52FE"/>
    <w:rsid w:val="00CE7032"/>
    <w:rsid w:val="00CE7B66"/>
    <w:rsid w:val="00CF0D9D"/>
    <w:rsid w:val="00CF1C8D"/>
    <w:rsid w:val="00CF2222"/>
    <w:rsid w:val="00CF303F"/>
    <w:rsid w:val="00CF4C3F"/>
    <w:rsid w:val="00CF5702"/>
    <w:rsid w:val="00D017FF"/>
    <w:rsid w:val="00D025B5"/>
    <w:rsid w:val="00D031DF"/>
    <w:rsid w:val="00D04D0A"/>
    <w:rsid w:val="00D04ECE"/>
    <w:rsid w:val="00D05368"/>
    <w:rsid w:val="00D05516"/>
    <w:rsid w:val="00D05E28"/>
    <w:rsid w:val="00D062A2"/>
    <w:rsid w:val="00D12A62"/>
    <w:rsid w:val="00D1471A"/>
    <w:rsid w:val="00D22ECE"/>
    <w:rsid w:val="00D25A44"/>
    <w:rsid w:val="00D30D82"/>
    <w:rsid w:val="00D327B8"/>
    <w:rsid w:val="00D32EA2"/>
    <w:rsid w:val="00D35D38"/>
    <w:rsid w:val="00D36306"/>
    <w:rsid w:val="00D3696C"/>
    <w:rsid w:val="00D373C5"/>
    <w:rsid w:val="00D376D7"/>
    <w:rsid w:val="00D37A0F"/>
    <w:rsid w:val="00D37C5D"/>
    <w:rsid w:val="00D42209"/>
    <w:rsid w:val="00D42BFC"/>
    <w:rsid w:val="00D4601E"/>
    <w:rsid w:val="00D47163"/>
    <w:rsid w:val="00D50801"/>
    <w:rsid w:val="00D516A5"/>
    <w:rsid w:val="00D536B9"/>
    <w:rsid w:val="00D53B9B"/>
    <w:rsid w:val="00D5630E"/>
    <w:rsid w:val="00D5777B"/>
    <w:rsid w:val="00D57D85"/>
    <w:rsid w:val="00D61A11"/>
    <w:rsid w:val="00D61A6F"/>
    <w:rsid w:val="00D62FB0"/>
    <w:rsid w:val="00D6744A"/>
    <w:rsid w:val="00D67B8E"/>
    <w:rsid w:val="00D7000C"/>
    <w:rsid w:val="00D71A7A"/>
    <w:rsid w:val="00D7215C"/>
    <w:rsid w:val="00D770B2"/>
    <w:rsid w:val="00D771F2"/>
    <w:rsid w:val="00D77A9D"/>
    <w:rsid w:val="00D80709"/>
    <w:rsid w:val="00D808BF"/>
    <w:rsid w:val="00D834DF"/>
    <w:rsid w:val="00D84407"/>
    <w:rsid w:val="00D86DEB"/>
    <w:rsid w:val="00D90BAF"/>
    <w:rsid w:val="00D90F10"/>
    <w:rsid w:val="00D95F43"/>
    <w:rsid w:val="00D95F67"/>
    <w:rsid w:val="00D96E86"/>
    <w:rsid w:val="00D96F0F"/>
    <w:rsid w:val="00D97704"/>
    <w:rsid w:val="00DA68AF"/>
    <w:rsid w:val="00DA7E03"/>
    <w:rsid w:val="00DB0A67"/>
    <w:rsid w:val="00DB239C"/>
    <w:rsid w:val="00DB3325"/>
    <w:rsid w:val="00DB3BD0"/>
    <w:rsid w:val="00DB46EA"/>
    <w:rsid w:val="00DB50EF"/>
    <w:rsid w:val="00DB6CDB"/>
    <w:rsid w:val="00DB7036"/>
    <w:rsid w:val="00DB76DC"/>
    <w:rsid w:val="00DB78DD"/>
    <w:rsid w:val="00DC1289"/>
    <w:rsid w:val="00DC1512"/>
    <w:rsid w:val="00DC1636"/>
    <w:rsid w:val="00DC1E7E"/>
    <w:rsid w:val="00DC32CB"/>
    <w:rsid w:val="00DC3FBE"/>
    <w:rsid w:val="00DC56EC"/>
    <w:rsid w:val="00DD0D6A"/>
    <w:rsid w:val="00DD2337"/>
    <w:rsid w:val="00DD2529"/>
    <w:rsid w:val="00DD2536"/>
    <w:rsid w:val="00DD3494"/>
    <w:rsid w:val="00DD51EE"/>
    <w:rsid w:val="00DD5E86"/>
    <w:rsid w:val="00DD67FB"/>
    <w:rsid w:val="00DD68A3"/>
    <w:rsid w:val="00DE0A71"/>
    <w:rsid w:val="00DE1485"/>
    <w:rsid w:val="00DE14C1"/>
    <w:rsid w:val="00DE3254"/>
    <w:rsid w:val="00DE4E3C"/>
    <w:rsid w:val="00DE6D8A"/>
    <w:rsid w:val="00DE7691"/>
    <w:rsid w:val="00DF1E37"/>
    <w:rsid w:val="00DF2548"/>
    <w:rsid w:val="00DF2CBB"/>
    <w:rsid w:val="00DF3A95"/>
    <w:rsid w:val="00DF3B2A"/>
    <w:rsid w:val="00DF3EFF"/>
    <w:rsid w:val="00DF3F33"/>
    <w:rsid w:val="00DF6F48"/>
    <w:rsid w:val="00DF6F6F"/>
    <w:rsid w:val="00E00B18"/>
    <w:rsid w:val="00E012F6"/>
    <w:rsid w:val="00E01475"/>
    <w:rsid w:val="00E01F91"/>
    <w:rsid w:val="00E03407"/>
    <w:rsid w:val="00E06077"/>
    <w:rsid w:val="00E06929"/>
    <w:rsid w:val="00E07472"/>
    <w:rsid w:val="00E129FE"/>
    <w:rsid w:val="00E1424B"/>
    <w:rsid w:val="00E1467D"/>
    <w:rsid w:val="00E164C8"/>
    <w:rsid w:val="00E20539"/>
    <w:rsid w:val="00E207A4"/>
    <w:rsid w:val="00E20E82"/>
    <w:rsid w:val="00E2205F"/>
    <w:rsid w:val="00E2405B"/>
    <w:rsid w:val="00E2467E"/>
    <w:rsid w:val="00E250B7"/>
    <w:rsid w:val="00E2565E"/>
    <w:rsid w:val="00E25B05"/>
    <w:rsid w:val="00E26725"/>
    <w:rsid w:val="00E30D8C"/>
    <w:rsid w:val="00E31A5F"/>
    <w:rsid w:val="00E33740"/>
    <w:rsid w:val="00E34A69"/>
    <w:rsid w:val="00E3582B"/>
    <w:rsid w:val="00E373DB"/>
    <w:rsid w:val="00E40339"/>
    <w:rsid w:val="00E412A5"/>
    <w:rsid w:val="00E41A4C"/>
    <w:rsid w:val="00E41B8F"/>
    <w:rsid w:val="00E41F67"/>
    <w:rsid w:val="00E435B4"/>
    <w:rsid w:val="00E4368E"/>
    <w:rsid w:val="00E4590C"/>
    <w:rsid w:val="00E4594E"/>
    <w:rsid w:val="00E46308"/>
    <w:rsid w:val="00E469BA"/>
    <w:rsid w:val="00E50270"/>
    <w:rsid w:val="00E51EDC"/>
    <w:rsid w:val="00E523DA"/>
    <w:rsid w:val="00E55A8C"/>
    <w:rsid w:val="00E55F6D"/>
    <w:rsid w:val="00E5794B"/>
    <w:rsid w:val="00E635C7"/>
    <w:rsid w:val="00E64940"/>
    <w:rsid w:val="00E65915"/>
    <w:rsid w:val="00E67639"/>
    <w:rsid w:val="00E67F7F"/>
    <w:rsid w:val="00E70359"/>
    <w:rsid w:val="00E7211E"/>
    <w:rsid w:val="00E7340A"/>
    <w:rsid w:val="00E7344D"/>
    <w:rsid w:val="00E74AF1"/>
    <w:rsid w:val="00E74C40"/>
    <w:rsid w:val="00E80604"/>
    <w:rsid w:val="00E815FE"/>
    <w:rsid w:val="00E84D03"/>
    <w:rsid w:val="00E85F84"/>
    <w:rsid w:val="00E863AD"/>
    <w:rsid w:val="00E9207E"/>
    <w:rsid w:val="00E939F1"/>
    <w:rsid w:val="00E94553"/>
    <w:rsid w:val="00E952C8"/>
    <w:rsid w:val="00E96F91"/>
    <w:rsid w:val="00E973AE"/>
    <w:rsid w:val="00E97FCE"/>
    <w:rsid w:val="00EA0024"/>
    <w:rsid w:val="00EA019F"/>
    <w:rsid w:val="00EA110E"/>
    <w:rsid w:val="00EA2675"/>
    <w:rsid w:val="00EA3033"/>
    <w:rsid w:val="00EA3E92"/>
    <w:rsid w:val="00EA3F2B"/>
    <w:rsid w:val="00EA41DC"/>
    <w:rsid w:val="00EA5A8D"/>
    <w:rsid w:val="00EB52A5"/>
    <w:rsid w:val="00EB5F4F"/>
    <w:rsid w:val="00EB622B"/>
    <w:rsid w:val="00EC3F2C"/>
    <w:rsid w:val="00EC6A9A"/>
    <w:rsid w:val="00EC6B11"/>
    <w:rsid w:val="00ED14EE"/>
    <w:rsid w:val="00ED4679"/>
    <w:rsid w:val="00ED51F1"/>
    <w:rsid w:val="00ED54BC"/>
    <w:rsid w:val="00ED5919"/>
    <w:rsid w:val="00EE0402"/>
    <w:rsid w:val="00EE0DD6"/>
    <w:rsid w:val="00EE2C8F"/>
    <w:rsid w:val="00EE2E51"/>
    <w:rsid w:val="00EE2E56"/>
    <w:rsid w:val="00EE3442"/>
    <w:rsid w:val="00EE4645"/>
    <w:rsid w:val="00EE528E"/>
    <w:rsid w:val="00EE5A34"/>
    <w:rsid w:val="00EE7555"/>
    <w:rsid w:val="00EF14B0"/>
    <w:rsid w:val="00EF5C91"/>
    <w:rsid w:val="00EF5EED"/>
    <w:rsid w:val="00EF6A07"/>
    <w:rsid w:val="00EF6AC0"/>
    <w:rsid w:val="00F01BBA"/>
    <w:rsid w:val="00F046E1"/>
    <w:rsid w:val="00F073E0"/>
    <w:rsid w:val="00F109F4"/>
    <w:rsid w:val="00F12B6C"/>
    <w:rsid w:val="00F12BCB"/>
    <w:rsid w:val="00F12F22"/>
    <w:rsid w:val="00F1300E"/>
    <w:rsid w:val="00F1355F"/>
    <w:rsid w:val="00F14951"/>
    <w:rsid w:val="00F1580C"/>
    <w:rsid w:val="00F15833"/>
    <w:rsid w:val="00F1626A"/>
    <w:rsid w:val="00F17BEC"/>
    <w:rsid w:val="00F204B3"/>
    <w:rsid w:val="00F233F5"/>
    <w:rsid w:val="00F25A8D"/>
    <w:rsid w:val="00F2640E"/>
    <w:rsid w:val="00F27D1C"/>
    <w:rsid w:val="00F30473"/>
    <w:rsid w:val="00F3055E"/>
    <w:rsid w:val="00F30A69"/>
    <w:rsid w:val="00F31ECB"/>
    <w:rsid w:val="00F32524"/>
    <w:rsid w:val="00F32B3C"/>
    <w:rsid w:val="00F3328C"/>
    <w:rsid w:val="00F33767"/>
    <w:rsid w:val="00F34B3C"/>
    <w:rsid w:val="00F36406"/>
    <w:rsid w:val="00F4053A"/>
    <w:rsid w:val="00F40BBE"/>
    <w:rsid w:val="00F417C4"/>
    <w:rsid w:val="00F420AA"/>
    <w:rsid w:val="00F431C4"/>
    <w:rsid w:val="00F458B2"/>
    <w:rsid w:val="00F4636D"/>
    <w:rsid w:val="00F47325"/>
    <w:rsid w:val="00F47C39"/>
    <w:rsid w:val="00F559B2"/>
    <w:rsid w:val="00F55AB2"/>
    <w:rsid w:val="00F56D72"/>
    <w:rsid w:val="00F57054"/>
    <w:rsid w:val="00F612B7"/>
    <w:rsid w:val="00F6546F"/>
    <w:rsid w:val="00F65CBC"/>
    <w:rsid w:val="00F6710B"/>
    <w:rsid w:val="00F67626"/>
    <w:rsid w:val="00F708DB"/>
    <w:rsid w:val="00F70D17"/>
    <w:rsid w:val="00F764E3"/>
    <w:rsid w:val="00F76709"/>
    <w:rsid w:val="00F77F38"/>
    <w:rsid w:val="00F827A6"/>
    <w:rsid w:val="00F831EF"/>
    <w:rsid w:val="00F83A66"/>
    <w:rsid w:val="00F841AE"/>
    <w:rsid w:val="00F8456B"/>
    <w:rsid w:val="00F85A61"/>
    <w:rsid w:val="00F85B98"/>
    <w:rsid w:val="00F8729D"/>
    <w:rsid w:val="00F9169E"/>
    <w:rsid w:val="00F9263F"/>
    <w:rsid w:val="00F935ED"/>
    <w:rsid w:val="00F942A4"/>
    <w:rsid w:val="00F945D2"/>
    <w:rsid w:val="00F97EA9"/>
    <w:rsid w:val="00F97F9E"/>
    <w:rsid w:val="00FA0AD7"/>
    <w:rsid w:val="00FA1BA9"/>
    <w:rsid w:val="00FA269F"/>
    <w:rsid w:val="00FA3357"/>
    <w:rsid w:val="00FA348E"/>
    <w:rsid w:val="00FA4047"/>
    <w:rsid w:val="00FA4138"/>
    <w:rsid w:val="00FA755D"/>
    <w:rsid w:val="00FA7CDB"/>
    <w:rsid w:val="00FB2402"/>
    <w:rsid w:val="00FB378B"/>
    <w:rsid w:val="00FB3D48"/>
    <w:rsid w:val="00FB5611"/>
    <w:rsid w:val="00FB6998"/>
    <w:rsid w:val="00FB7A6C"/>
    <w:rsid w:val="00FB7A7F"/>
    <w:rsid w:val="00FB7F38"/>
    <w:rsid w:val="00FC3DF6"/>
    <w:rsid w:val="00FC499C"/>
    <w:rsid w:val="00FD034F"/>
    <w:rsid w:val="00FD0580"/>
    <w:rsid w:val="00FD2AC4"/>
    <w:rsid w:val="00FD53DC"/>
    <w:rsid w:val="00FD6E96"/>
    <w:rsid w:val="00FD6F09"/>
    <w:rsid w:val="00FD79C7"/>
    <w:rsid w:val="00FD7D62"/>
    <w:rsid w:val="00FE189F"/>
    <w:rsid w:val="00FE336F"/>
    <w:rsid w:val="00FE4F15"/>
    <w:rsid w:val="00FE5750"/>
    <w:rsid w:val="00FE6382"/>
    <w:rsid w:val="00FE7687"/>
    <w:rsid w:val="00FF0E9B"/>
    <w:rsid w:val="00FF244E"/>
    <w:rsid w:val="00FF2DE6"/>
    <w:rsid w:val="00FF5B9D"/>
    <w:rsid w:val="00FF5D7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767"/>
    <w:rPr>
      <w:sz w:val="24"/>
      <w:szCs w:val="24"/>
      <w:lang w:eastAsia="ko-KR"/>
    </w:rPr>
  </w:style>
  <w:style w:type="paragraph" w:styleId="Heading1">
    <w:name w:val="heading 1"/>
    <w:basedOn w:val="Normal"/>
    <w:next w:val="Normal"/>
    <w:link w:val="Heading1Char"/>
    <w:uiPriority w:val="9"/>
    <w:qFormat/>
    <w:rsid w:val="00553ECF"/>
    <w:pPr>
      <w:keepNext/>
      <w:keepLines/>
      <w:spacing w:before="480" w:line="276" w:lineRule="auto"/>
      <w:outlineLvl w:val="0"/>
    </w:pPr>
    <w:rPr>
      <w:rFonts w:ascii="Cambria" w:eastAsia="Times New Roman" w:hAnsi="Cambria"/>
      <w:b/>
      <w:bCs/>
      <w:color w:val="365F91"/>
      <w:sz w:val="28"/>
      <w:szCs w:val="28"/>
      <w:lang w:eastAsia="en-US"/>
    </w:rPr>
  </w:style>
  <w:style w:type="paragraph" w:styleId="Heading2">
    <w:name w:val="heading 2"/>
    <w:basedOn w:val="Normal"/>
    <w:next w:val="Normal"/>
    <w:link w:val="Heading2Char"/>
    <w:uiPriority w:val="9"/>
    <w:unhideWhenUsed/>
    <w:qFormat/>
    <w:rsid w:val="00553ECF"/>
    <w:pPr>
      <w:keepNext/>
      <w:keepLines/>
      <w:spacing w:before="200" w:line="276" w:lineRule="auto"/>
      <w:outlineLvl w:val="1"/>
    </w:pPr>
    <w:rPr>
      <w:rFonts w:ascii="Cambria" w:eastAsia="Times New Roman" w:hAnsi="Cambria"/>
      <w:b/>
      <w:bCs/>
      <w:color w:val="4F81BD"/>
      <w:sz w:val="26"/>
      <w:szCs w:val="26"/>
      <w:lang w:eastAsia="en-US"/>
    </w:rPr>
  </w:style>
  <w:style w:type="paragraph" w:styleId="Heading3">
    <w:name w:val="heading 3"/>
    <w:basedOn w:val="Normal"/>
    <w:next w:val="Normal"/>
    <w:link w:val="Heading3Char"/>
    <w:uiPriority w:val="9"/>
    <w:unhideWhenUsed/>
    <w:qFormat/>
    <w:rsid w:val="0050084A"/>
    <w:pPr>
      <w:keepNext/>
      <w:keepLines/>
      <w:spacing w:before="200" w:line="276" w:lineRule="auto"/>
      <w:outlineLvl w:val="2"/>
    </w:pPr>
    <w:rPr>
      <w:rFonts w:ascii="Cambria" w:eastAsia="Times New Roman" w:hAnsi="Cambria"/>
      <w:b/>
      <w:bCs/>
      <w:color w:val="4F81BD"/>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5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69598F"/>
    <w:rPr>
      <w:rFonts w:eastAsia="Times New Roman"/>
      <w:sz w:val="20"/>
      <w:szCs w:val="20"/>
      <w:lang w:eastAsia="en-AU"/>
    </w:rPr>
  </w:style>
  <w:style w:type="character" w:styleId="FootnoteReference">
    <w:name w:val="footnote reference"/>
    <w:basedOn w:val="DefaultParagraphFont"/>
    <w:uiPriority w:val="99"/>
    <w:rsid w:val="0069598F"/>
    <w:rPr>
      <w:vertAlign w:val="superscript"/>
    </w:rPr>
  </w:style>
  <w:style w:type="character" w:customStyle="1" w:styleId="Heading2Char">
    <w:name w:val="Heading 2 Char"/>
    <w:basedOn w:val="DefaultParagraphFont"/>
    <w:link w:val="Heading2"/>
    <w:uiPriority w:val="9"/>
    <w:rsid w:val="00553ECF"/>
    <w:rPr>
      <w:rFonts w:ascii="Cambria" w:eastAsia="Times New Roman" w:hAnsi="Cambria" w:cs="Times New Roman"/>
      <w:b/>
      <w:bCs/>
      <w:color w:val="4F81BD"/>
      <w:sz w:val="26"/>
      <w:szCs w:val="26"/>
      <w:lang w:eastAsia="en-US"/>
    </w:rPr>
  </w:style>
  <w:style w:type="paragraph" w:styleId="ListParagraph">
    <w:name w:val="List Paragraph"/>
    <w:basedOn w:val="Normal"/>
    <w:uiPriority w:val="34"/>
    <w:qFormat/>
    <w:rsid w:val="00553ECF"/>
    <w:pPr>
      <w:spacing w:after="200" w:line="276" w:lineRule="auto"/>
      <w:ind w:left="720"/>
      <w:contextualSpacing/>
    </w:pPr>
    <w:rPr>
      <w:rFonts w:ascii="Calibri" w:eastAsia="Calibri" w:hAnsi="Calibri"/>
      <w:sz w:val="22"/>
      <w:szCs w:val="22"/>
      <w:lang w:eastAsia="en-US"/>
    </w:rPr>
  </w:style>
  <w:style w:type="paragraph" w:customStyle="1" w:styleId="ACMABodyText">
    <w:name w:val="ACMA Body Text"/>
    <w:link w:val="ACMABodyTextChar"/>
    <w:rsid w:val="00553ECF"/>
    <w:pPr>
      <w:suppressAutoHyphens/>
      <w:spacing w:before="80" w:after="120" w:line="280" w:lineRule="atLeast"/>
    </w:pPr>
    <w:rPr>
      <w:rFonts w:eastAsia="Times New Roman"/>
      <w:snapToGrid w:val="0"/>
      <w:sz w:val="24"/>
      <w:lang w:eastAsia="en-US"/>
    </w:rPr>
  </w:style>
  <w:style w:type="character" w:customStyle="1" w:styleId="ACMABodyTextChar">
    <w:name w:val="ACMA Body Text Char"/>
    <w:basedOn w:val="DefaultParagraphFont"/>
    <w:link w:val="ACMABodyText"/>
    <w:rsid w:val="00553ECF"/>
    <w:rPr>
      <w:rFonts w:eastAsia="Times New Roman"/>
      <w:snapToGrid w:val="0"/>
      <w:sz w:val="24"/>
      <w:lang w:val="en-AU" w:eastAsia="en-US" w:bidi="ar-SA"/>
    </w:rPr>
  </w:style>
  <w:style w:type="character" w:customStyle="1" w:styleId="Heading1Char">
    <w:name w:val="Heading 1 Char"/>
    <w:basedOn w:val="DefaultParagraphFont"/>
    <w:link w:val="Heading1"/>
    <w:uiPriority w:val="9"/>
    <w:rsid w:val="00553ECF"/>
    <w:rPr>
      <w:rFonts w:ascii="Cambria" w:eastAsia="Times New Roman" w:hAnsi="Cambria" w:cs="Times New Roman"/>
      <w:b/>
      <w:bCs/>
      <w:color w:val="365F91"/>
      <w:sz w:val="28"/>
      <w:szCs w:val="28"/>
      <w:lang w:eastAsia="en-US"/>
    </w:rPr>
  </w:style>
  <w:style w:type="character" w:styleId="Hyperlink">
    <w:name w:val="Hyperlink"/>
    <w:basedOn w:val="DefaultParagraphFont"/>
    <w:rsid w:val="0037556B"/>
    <w:rPr>
      <w:color w:val="0000FF"/>
      <w:u w:val="single"/>
    </w:rPr>
  </w:style>
  <w:style w:type="character" w:customStyle="1" w:styleId="FootnoteTextChar">
    <w:name w:val="Footnote Text Char"/>
    <w:basedOn w:val="DefaultParagraphFont"/>
    <w:link w:val="FootnoteText"/>
    <w:uiPriority w:val="99"/>
    <w:semiHidden/>
    <w:rsid w:val="0037556B"/>
    <w:rPr>
      <w:rFonts w:eastAsia="Times New Roman"/>
    </w:rPr>
  </w:style>
  <w:style w:type="paragraph" w:styleId="BodyText">
    <w:name w:val="Body Text"/>
    <w:basedOn w:val="Normal"/>
    <w:link w:val="BodyTextChar"/>
    <w:rsid w:val="0037556B"/>
    <w:pPr>
      <w:spacing w:after="120"/>
    </w:pPr>
    <w:rPr>
      <w:rFonts w:eastAsia="Times New Roman"/>
      <w:szCs w:val="20"/>
      <w:lang w:eastAsia="en-AU"/>
    </w:rPr>
  </w:style>
  <w:style w:type="character" w:customStyle="1" w:styleId="BodyTextChar">
    <w:name w:val="Body Text Char"/>
    <w:basedOn w:val="DefaultParagraphFont"/>
    <w:link w:val="BodyText"/>
    <w:rsid w:val="0037556B"/>
    <w:rPr>
      <w:rFonts w:eastAsia="Times New Roman"/>
      <w:sz w:val="24"/>
    </w:rPr>
  </w:style>
  <w:style w:type="character" w:customStyle="1" w:styleId="Heading3Char">
    <w:name w:val="Heading 3 Char"/>
    <w:basedOn w:val="DefaultParagraphFont"/>
    <w:link w:val="Heading3"/>
    <w:uiPriority w:val="9"/>
    <w:rsid w:val="0050084A"/>
    <w:rPr>
      <w:rFonts w:ascii="Cambria" w:eastAsia="Times New Roman" w:hAnsi="Cambria" w:cs="Times New Roman"/>
      <w:b/>
      <w:bCs/>
      <w:color w:val="4F81BD"/>
      <w:sz w:val="22"/>
      <w:szCs w:val="22"/>
      <w:lang w:eastAsia="en-US"/>
    </w:rPr>
  </w:style>
  <w:style w:type="paragraph" w:styleId="EndnoteText">
    <w:name w:val="endnote text"/>
    <w:basedOn w:val="Normal"/>
    <w:link w:val="EndnoteTextChar"/>
    <w:rsid w:val="00D834DF"/>
    <w:rPr>
      <w:sz w:val="20"/>
      <w:szCs w:val="20"/>
    </w:rPr>
  </w:style>
  <w:style w:type="character" w:customStyle="1" w:styleId="EndnoteTextChar">
    <w:name w:val="Endnote Text Char"/>
    <w:basedOn w:val="DefaultParagraphFont"/>
    <w:link w:val="EndnoteText"/>
    <w:rsid w:val="00D834DF"/>
    <w:rPr>
      <w:lang w:eastAsia="ko-KR"/>
    </w:rPr>
  </w:style>
  <w:style w:type="character" w:styleId="EndnoteReference">
    <w:name w:val="endnote reference"/>
    <w:basedOn w:val="DefaultParagraphFont"/>
    <w:rsid w:val="00D834DF"/>
    <w:rPr>
      <w:vertAlign w:val="superscript"/>
    </w:rPr>
  </w:style>
  <w:style w:type="paragraph" w:styleId="BalloonText">
    <w:name w:val="Balloon Text"/>
    <w:basedOn w:val="Normal"/>
    <w:link w:val="BalloonTextChar"/>
    <w:rsid w:val="009F0527"/>
    <w:rPr>
      <w:rFonts w:ascii="Tahoma" w:hAnsi="Tahoma" w:cs="Tahoma"/>
      <w:sz w:val="16"/>
      <w:szCs w:val="16"/>
    </w:rPr>
  </w:style>
  <w:style w:type="character" w:customStyle="1" w:styleId="BalloonTextChar">
    <w:name w:val="Balloon Text Char"/>
    <w:basedOn w:val="DefaultParagraphFont"/>
    <w:link w:val="BalloonText"/>
    <w:rsid w:val="009F0527"/>
    <w:rPr>
      <w:rFonts w:ascii="Tahoma" w:hAnsi="Tahoma" w:cs="Tahoma"/>
      <w:sz w:val="16"/>
      <w:szCs w:val="16"/>
      <w:lang w:eastAsia="ko-KR"/>
    </w:rPr>
  </w:style>
  <w:style w:type="character" w:styleId="CommentReference">
    <w:name w:val="annotation reference"/>
    <w:basedOn w:val="DefaultParagraphFont"/>
    <w:rsid w:val="00920DFC"/>
    <w:rPr>
      <w:sz w:val="16"/>
      <w:szCs w:val="16"/>
    </w:rPr>
  </w:style>
  <w:style w:type="paragraph" w:styleId="CommentText">
    <w:name w:val="annotation text"/>
    <w:basedOn w:val="Normal"/>
    <w:link w:val="CommentTextChar"/>
    <w:rsid w:val="00920DFC"/>
    <w:rPr>
      <w:sz w:val="20"/>
      <w:szCs w:val="20"/>
    </w:rPr>
  </w:style>
  <w:style w:type="character" w:customStyle="1" w:styleId="CommentTextChar">
    <w:name w:val="Comment Text Char"/>
    <w:basedOn w:val="DefaultParagraphFont"/>
    <w:link w:val="CommentText"/>
    <w:rsid w:val="00920DFC"/>
    <w:rPr>
      <w:lang w:eastAsia="ko-KR"/>
    </w:rPr>
  </w:style>
  <w:style w:type="paragraph" w:styleId="CommentSubject">
    <w:name w:val="annotation subject"/>
    <w:basedOn w:val="CommentText"/>
    <w:next w:val="CommentText"/>
    <w:link w:val="CommentSubjectChar"/>
    <w:rsid w:val="00920DFC"/>
    <w:rPr>
      <w:b/>
      <w:bCs/>
    </w:rPr>
  </w:style>
  <w:style w:type="character" w:customStyle="1" w:styleId="CommentSubjectChar">
    <w:name w:val="Comment Subject Char"/>
    <w:basedOn w:val="CommentTextChar"/>
    <w:link w:val="CommentSubject"/>
    <w:rsid w:val="00920DFC"/>
    <w:rPr>
      <w:b/>
      <w:bCs/>
    </w:rPr>
  </w:style>
  <w:style w:type="paragraph" w:styleId="Revision">
    <w:name w:val="Revision"/>
    <w:hidden/>
    <w:uiPriority w:val="99"/>
    <w:semiHidden/>
    <w:rsid w:val="0087744F"/>
    <w:rPr>
      <w:sz w:val="24"/>
      <w:szCs w:val="24"/>
      <w:lang w:eastAsia="ko-KR"/>
    </w:rPr>
  </w:style>
  <w:style w:type="character" w:styleId="SubtleEmphasis">
    <w:name w:val="Subtle Emphasis"/>
    <w:basedOn w:val="DefaultParagraphFont"/>
    <w:uiPriority w:val="19"/>
    <w:qFormat/>
    <w:rsid w:val="000B1E1A"/>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A2F843A63D8647BE1CE862D64851A2" ma:contentTypeVersion="0" ma:contentTypeDescription="Create a new document." ma:contentTypeScope="" ma:versionID="96b76e5dfc58f4970d0652418956fb6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5DE95-9762-421B-9B80-0AE83FA403EA}">
  <ds:schemaRefs>
    <ds:schemaRef ds:uri="http://schemas.microsoft.com/sharepoint/v3/contenttype/forms"/>
  </ds:schemaRefs>
</ds:datastoreItem>
</file>

<file path=customXml/itemProps2.xml><?xml version="1.0" encoding="utf-8"?>
<ds:datastoreItem xmlns:ds="http://schemas.openxmlformats.org/officeDocument/2006/customXml" ds:itemID="{7C76C328-1572-4821-A592-C6869E0B4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AC4A48-1633-417C-BFC6-8E6A296926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A3BA24-74C2-4C9B-93E2-5EB76822F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18</Pages>
  <Words>4559</Words>
  <Characters>23686</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1800 TLG Discussion Paper No 1 v2</vt:lpstr>
    </vt:vector>
  </TitlesOfParts>
  <Company>Australian Communications Media Authority</Company>
  <LinksUpToDate>false</LinksUpToDate>
  <CharactersWithSpaces>28189</CharactersWithSpaces>
  <SharedDoc>false</SharedDoc>
  <HLinks>
    <vt:vector size="6" baseType="variant">
      <vt:variant>
        <vt:i4>1114149</vt:i4>
      </vt:variant>
      <vt:variant>
        <vt:i4>6</vt:i4>
      </vt:variant>
      <vt:variant>
        <vt:i4>0</vt:i4>
      </vt:variant>
      <vt:variant>
        <vt:i4>5</vt:i4>
      </vt:variant>
      <vt:variant>
        <vt:lpwstr>mailto:steven.forst@acma.gov.au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1800 MHz Spectrum Licence Band - TLG Discussion Paper # 1</dc:title>
  <dc:creator/>
  <cp:lastModifiedBy>Australian Communications and Media Authority</cp:lastModifiedBy>
  <cp:revision>12</cp:revision>
  <cp:lastPrinted>2011-07-12T22:20:00Z</cp:lastPrinted>
  <dcterms:created xsi:type="dcterms:W3CDTF">2011-10-10T03:14:00Z</dcterms:created>
  <dcterms:modified xsi:type="dcterms:W3CDTF">2012-03-28T00:57:00Z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0x010100B3A2F843A63D8647BE1CE862D64851A2</vt:lpwstr>
  </property>
</Properties>
</file>