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Default Extension="tiff" ContentType="image/tif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2AA1" w:rsidRDefault="00FC2AA1" w:rsidP="00FC2AA1">
      <w:pPr>
        <w:pStyle w:val="Heading1"/>
        <w:jc w:val="center"/>
        <w:rPr>
          <w:rFonts w:eastAsia="Times New Roman"/>
        </w:rPr>
      </w:pPr>
      <w:r w:rsidRPr="007E0D00">
        <w:rPr>
          <w:rFonts w:eastAsia="Times New Roman"/>
        </w:rPr>
        <w:t>Technical Framework Development</w:t>
      </w:r>
    </w:p>
    <w:p w:rsidR="00FC2AA1" w:rsidRDefault="00FC2AA1" w:rsidP="00FC2AA1">
      <w:pPr>
        <w:pStyle w:val="Heading2"/>
        <w:jc w:val="center"/>
        <w:rPr>
          <w:rFonts w:eastAsia="Times New Roman"/>
        </w:rPr>
      </w:pPr>
      <w:bookmarkStart w:id="0" w:name="OLE_LINK1"/>
      <w:bookmarkStart w:id="1" w:name="OLE_LINK2"/>
      <w:r>
        <w:rPr>
          <w:rFonts w:eastAsia="Times New Roman"/>
        </w:rPr>
        <w:t xml:space="preserve">Reference Paper: </w:t>
      </w:r>
      <w:r w:rsidRPr="007E0D00">
        <w:rPr>
          <w:rFonts w:eastAsia="Times New Roman"/>
        </w:rPr>
        <w:t>Adoption of GDA94 for spectrum licensing</w:t>
      </w:r>
    </w:p>
    <w:bookmarkEnd w:id="0"/>
    <w:bookmarkEnd w:id="1"/>
    <w:p w:rsidR="00FC2AA1" w:rsidRPr="007E0D00" w:rsidRDefault="00FC2AA1" w:rsidP="00FC2AA1"/>
    <w:p w:rsidR="00FC2AA1" w:rsidRPr="007E0D00" w:rsidRDefault="00FC2AA1" w:rsidP="00FC2AA1">
      <w:pPr>
        <w:pStyle w:val="Heading2"/>
        <w:numPr>
          <w:ilvl w:val="0"/>
          <w:numId w:val="11"/>
        </w:numPr>
        <w:rPr>
          <w:rFonts w:eastAsia="Times New Roman"/>
        </w:rPr>
      </w:pPr>
      <w:r w:rsidRPr="007E0D00">
        <w:rPr>
          <w:rFonts w:eastAsia="Times New Roman"/>
        </w:rPr>
        <w:t>Introduction</w:t>
      </w:r>
    </w:p>
    <w:p w:rsidR="00FC2AA1" w:rsidRPr="007E0D00" w:rsidRDefault="00FC2AA1" w:rsidP="00FC2AA1">
      <w:r w:rsidRPr="007E0D00">
        <w:t xml:space="preserve">The coordinate reference system currently used by the ACMA to reference spatial data is the Australian </w:t>
      </w:r>
      <w:r w:rsidRPr="000C62EE">
        <w:t>Geodetic</w:t>
      </w:r>
      <w:r w:rsidRPr="007E0D00">
        <w:t xml:space="preserve"> Datum 1966 (AGD66). </w:t>
      </w:r>
      <w:r>
        <w:t>AGD66 is</w:t>
      </w:r>
      <w:r w:rsidRPr="007E0D00">
        <w:t xml:space="preserve"> a local datum optimised for the Australian region</w:t>
      </w:r>
      <w:r>
        <w:t xml:space="preserve"> and </w:t>
      </w:r>
      <w:r w:rsidRPr="007E0D00">
        <w:t>was the primary datum used within Australia from the 1960s until 2000.</w:t>
      </w:r>
      <w:r w:rsidRPr="000B1810">
        <w:t xml:space="preserve"> </w:t>
      </w:r>
    </w:p>
    <w:p w:rsidR="00FC2AA1" w:rsidRDefault="00FC2AA1" w:rsidP="00FC2AA1">
      <w:r w:rsidRPr="007E0D00">
        <w:t>S</w:t>
      </w:r>
      <w:r w:rsidRPr="007E0D00" w:rsidDel="00CB628A">
        <w:t xml:space="preserve">ince 2000, all spatial data published by the Commonwealth and state surveying and mapping agencies – excepting unrevised historic data – has used </w:t>
      </w:r>
      <w:r w:rsidRPr="007E0D00">
        <w:t>the Geocentric Datum of Australia 1994 (</w:t>
      </w:r>
      <w:r w:rsidRPr="007E0D00" w:rsidDel="00CB628A">
        <w:t>GDA94</w:t>
      </w:r>
      <w:r w:rsidRPr="007E0D00">
        <w:t>)</w:t>
      </w:r>
      <w:r w:rsidRPr="007E0D00" w:rsidDel="00CB628A">
        <w:t>.</w:t>
      </w:r>
      <w:r w:rsidRPr="007E0D00">
        <w:t xml:space="preserve">  GDA94 is an earth-centred datum compatible with satellite-based navigation systems and other major international geographic systems, such as the World Geodetic System 1984 (WGS84).</w:t>
      </w:r>
      <w:r w:rsidRPr="007169F1">
        <w:t xml:space="preserve"> </w:t>
      </w:r>
    </w:p>
    <w:p w:rsidR="00FC2AA1" w:rsidRPr="007E0D00" w:rsidRDefault="00FC2AA1" w:rsidP="00FC2AA1">
      <w:r>
        <w:t xml:space="preserve">In order to better align with the general shift in datum use and as part of the development of a new licence management system, the ACMA has formed a view that it should move to GDA94 as the basis for coordinate references for spectrum licensing arrangements as well as other radiocommunications records. The ACMA will consult on the implementation of this change in due course. </w:t>
      </w:r>
    </w:p>
    <w:p w:rsidR="00FC2AA1" w:rsidRDefault="00FC2AA1" w:rsidP="00FC2AA1">
      <w:r>
        <w:t>Given the impending change the ACMA consider it opportune to review other aspects of spectrum licensing arrangements that rely on the use of the coordinate system such as the Australian Spectrum Map Grid (ASMG) and the digital elevation model (DEM).</w:t>
      </w:r>
      <w:r w:rsidRPr="007E0D00">
        <w:t xml:space="preserve"> This paper reports on th</w:t>
      </w:r>
      <w:r>
        <w:t xml:space="preserve">e proposals developed as a result of these </w:t>
      </w:r>
      <w:r w:rsidRPr="007E0D00">
        <w:t>investigation</w:t>
      </w:r>
      <w:r>
        <w:t xml:space="preserve">s. </w:t>
      </w:r>
    </w:p>
    <w:p w:rsidR="00FC2AA1" w:rsidRDefault="00FC2AA1" w:rsidP="00FC2AA1">
      <w:r>
        <w:t xml:space="preserve">At this stage this paper is intended </w:t>
      </w:r>
      <w:r w:rsidRPr="007E0D00">
        <w:t xml:space="preserve">for </w:t>
      </w:r>
      <w:r>
        <w:t xml:space="preserve">informational purposes only, however preliminary </w:t>
      </w:r>
      <w:r w:rsidRPr="007E0D00">
        <w:t>comment by the Technical Liaison Group (TLG)</w:t>
      </w:r>
      <w:r>
        <w:t xml:space="preserve"> is welcomed</w:t>
      </w:r>
      <w:r w:rsidRPr="007E0D00">
        <w:t xml:space="preserve">. </w:t>
      </w:r>
      <w:r>
        <w:t>T</w:t>
      </w:r>
      <w:r w:rsidRPr="007E0D00">
        <w:t>his work forms part of a larger project investigat</w:t>
      </w:r>
      <w:r>
        <w:t xml:space="preserve">ing the </w:t>
      </w:r>
      <w:r w:rsidRPr="007E0D00">
        <w:t xml:space="preserve">transitioning </w:t>
      </w:r>
      <w:r>
        <w:t xml:space="preserve">of </w:t>
      </w:r>
      <w:r w:rsidRPr="007E0D00">
        <w:t xml:space="preserve">all of the ACMA’s spatial data to </w:t>
      </w:r>
      <w:r>
        <w:t xml:space="preserve">the </w:t>
      </w:r>
      <w:r w:rsidRPr="007E0D00">
        <w:t xml:space="preserve">GDA94 coordinate reference system. </w:t>
      </w:r>
      <w:r>
        <w:t>As such, i</w:t>
      </w:r>
      <w:r w:rsidRPr="007E0D00">
        <w:t xml:space="preserve">t is noted that any changes proposed will </w:t>
      </w:r>
      <w:r>
        <w:t>ultimately</w:t>
      </w:r>
      <w:r w:rsidRPr="007E0D00">
        <w:t xml:space="preserve"> be publicly consulted on </w:t>
      </w:r>
      <w:r>
        <w:t>outside of the TLG process</w:t>
      </w:r>
      <w:r w:rsidRPr="007E0D00">
        <w:t>.</w:t>
      </w:r>
    </w:p>
    <w:p w:rsidR="00FC2AA1" w:rsidRDefault="00FC2AA1" w:rsidP="00FC2AA1">
      <w:pPr>
        <w:pStyle w:val="Heading2"/>
        <w:numPr>
          <w:ilvl w:val="0"/>
          <w:numId w:val="11"/>
        </w:numPr>
      </w:pPr>
      <w:r>
        <w:t>Definitions</w:t>
      </w:r>
    </w:p>
    <w:p w:rsidR="00FC2AA1" w:rsidRDefault="00FC2AA1" w:rsidP="00FC2AA1">
      <w:pPr>
        <w:pStyle w:val="NoSpacing"/>
      </w:pPr>
    </w:p>
    <w:p w:rsidR="00FC2AA1" w:rsidRDefault="00FC2AA1" w:rsidP="00FC2AA1">
      <w:pPr>
        <w:pStyle w:val="NoSpacing"/>
        <w:rPr>
          <w:b/>
        </w:rPr>
      </w:pPr>
      <w:r>
        <w:rPr>
          <w:rFonts w:ascii="Times New Roman" w:hAnsi="Times New Roman" w:cs="Times New Roman"/>
          <w:b/>
          <w:sz w:val="24"/>
        </w:rPr>
        <w:t>Datum</w:t>
      </w:r>
    </w:p>
    <w:p w:rsidR="00FC2AA1" w:rsidRDefault="00FC2AA1" w:rsidP="00FC2AA1">
      <w:r>
        <w:t>A datum is a system which allows the location of latitudes and longitudes (and heights) to be identified onto the surface of the Earth. Basically, a mathematically ‘round’ surface is created which represents the surface of the Earth (known as a spheroid) and from here, calculations are made to fit this mathematical model to the surface of the Earth.</w:t>
      </w:r>
    </w:p>
    <w:p w:rsidR="00FC2AA1" w:rsidRDefault="00FC2AA1" w:rsidP="00FC2AA1">
      <w:pPr>
        <w:pStyle w:val="NoSpacing"/>
      </w:pPr>
    </w:p>
    <w:p w:rsidR="00FC2AA1" w:rsidRDefault="00FC2AA1" w:rsidP="00FC2AA1">
      <w:pPr>
        <w:pStyle w:val="NoSpacing"/>
      </w:pPr>
      <w:r>
        <w:rPr>
          <w:rFonts w:ascii="Times New Roman" w:hAnsi="Times New Roman" w:cs="Times New Roman"/>
          <w:b/>
          <w:sz w:val="24"/>
        </w:rPr>
        <w:t>Spheroid</w:t>
      </w:r>
    </w:p>
    <w:p w:rsidR="00FC2AA1" w:rsidRDefault="00FC2AA1" w:rsidP="00FC2AA1">
      <w:r>
        <w:t>Because the Earth is wider around the equator than it is between the North and South poles (i.e. the Earth is oblate), a model of the Earth (the spheroid) is made (</w:t>
      </w:r>
      <w:r w:rsidR="005C79B8">
        <w:fldChar w:fldCharType="begin"/>
      </w:r>
      <w:r>
        <w:instrText xml:space="preserve"> REF _Ref301849046 \h </w:instrText>
      </w:r>
      <w:r w:rsidR="005C79B8">
        <w:fldChar w:fldCharType="separate"/>
      </w:r>
      <w:r w:rsidR="00F831B0">
        <w:t xml:space="preserve">Figure </w:t>
      </w:r>
      <w:r w:rsidR="00F831B0">
        <w:rPr>
          <w:noProof/>
        </w:rPr>
        <w:t>1</w:t>
      </w:r>
      <w:r w:rsidR="005C79B8">
        <w:fldChar w:fldCharType="end"/>
      </w:r>
      <w:r>
        <w:t xml:space="preserve">). The spheroid has traditionally been ‘positioned’ such that it best matches the </w:t>
      </w:r>
      <w:proofErr w:type="spellStart"/>
      <w:r>
        <w:t>geoid</w:t>
      </w:r>
      <w:proofErr w:type="spellEnd"/>
      <w:r>
        <w:t xml:space="preserve"> (the unevenness of the Earth) over the particular area it was specified. This has resulted in the use of local or regional datum, and in the </w:t>
      </w:r>
      <w:r>
        <w:lastRenderedPageBreak/>
        <w:t>case of Australia, has been AGD66. The centre of the AGD66 spheroid and the centre of the Earth’s mass are approximately 200 metres from each other.</w:t>
      </w:r>
    </w:p>
    <w:p w:rsidR="00FC2AA1" w:rsidRDefault="00FC2AA1" w:rsidP="00FC2AA1">
      <w:pPr>
        <w:pStyle w:val="NoSpacing"/>
      </w:pPr>
    </w:p>
    <w:p w:rsidR="00FC2AA1" w:rsidRDefault="00FC2AA1" w:rsidP="00FC2AA1">
      <w:pPr>
        <w:pStyle w:val="NoSpacing"/>
        <w:jc w:val="center"/>
      </w:pPr>
      <w:r>
        <w:rPr>
          <w:rFonts w:ascii="Times New Roman" w:hAnsi="Times New Roman" w:cs="Times New Roman"/>
          <w:noProof/>
          <w:sz w:val="24"/>
          <w:lang w:eastAsia="en-AU"/>
        </w:rPr>
        <w:drawing>
          <wp:inline distT="0" distB="0" distL="0" distR="0">
            <wp:extent cx="1800259" cy="1440000"/>
            <wp:effectExtent l="19050" t="0" r="9491" b="0"/>
            <wp:docPr id="6" name="Picture 1" descr="an ellipsoid or sphero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 ellipsoid or spheroid"/>
                    <pic:cNvPicPr>
                      <a:picLocks noChangeAspect="1" noChangeArrowheads="1"/>
                    </pic:cNvPicPr>
                  </pic:nvPicPr>
                  <pic:blipFill>
                    <a:blip r:embed="rId12" cstate="print"/>
                    <a:srcRect/>
                    <a:stretch>
                      <a:fillRect/>
                    </a:stretch>
                  </pic:blipFill>
                  <pic:spPr bwMode="auto">
                    <a:xfrm>
                      <a:off x="0" y="0"/>
                      <a:ext cx="1800259" cy="1440000"/>
                    </a:xfrm>
                    <a:prstGeom prst="rect">
                      <a:avLst/>
                    </a:prstGeom>
                    <a:noFill/>
                    <a:ln w="9525">
                      <a:noFill/>
                      <a:miter lim="800000"/>
                      <a:headEnd/>
                      <a:tailEnd/>
                    </a:ln>
                  </pic:spPr>
                </pic:pic>
              </a:graphicData>
            </a:graphic>
          </wp:inline>
        </w:drawing>
      </w:r>
    </w:p>
    <w:p w:rsidR="00FC2AA1" w:rsidRDefault="00FC2AA1" w:rsidP="00FC2AA1">
      <w:pPr>
        <w:pStyle w:val="Caption"/>
      </w:pPr>
      <w:bookmarkStart w:id="2" w:name="_Ref301849046"/>
      <w:r>
        <w:t xml:space="preserve">Figure </w:t>
      </w:r>
      <w:r w:rsidR="005C79B8">
        <w:fldChar w:fldCharType="begin"/>
      </w:r>
      <w:r>
        <w:instrText xml:space="preserve"> SEQ Figure \* ARABIC </w:instrText>
      </w:r>
      <w:r w:rsidR="005C79B8">
        <w:fldChar w:fldCharType="separate"/>
      </w:r>
      <w:r w:rsidR="00F831B0">
        <w:rPr>
          <w:noProof/>
        </w:rPr>
        <w:t>1</w:t>
      </w:r>
      <w:r w:rsidR="005C79B8">
        <w:fldChar w:fldCharType="end"/>
      </w:r>
      <w:bookmarkEnd w:id="2"/>
      <w:r>
        <w:t>: An oblate sphere</w:t>
      </w:r>
    </w:p>
    <w:p w:rsidR="00FC2AA1" w:rsidRPr="007E0D00" w:rsidRDefault="00FC2AA1" w:rsidP="00FC2AA1">
      <w:pPr>
        <w:pStyle w:val="Heading2"/>
        <w:numPr>
          <w:ilvl w:val="0"/>
          <w:numId w:val="11"/>
        </w:numPr>
        <w:rPr>
          <w:rFonts w:eastAsia="Times New Roman"/>
        </w:rPr>
      </w:pPr>
      <w:r w:rsidRPr="007E0D00">
        <w:rPr>
          <w:rFonts w:eastAsia="Times New Roman"/>
        </w:rPr>
        <w:t xml:space="preserve">Overview of Proposed Changes </w:t>
      </w:r>
    </w:p>
    <w:p w:rsidR="00FC2AA1" w:rsidRPr="007E0D00" w:rsidRDefault="00FC2AA1" w:rsidP="00FC2AA1">
      <w:r w:rsidRPr="007E0D00">
        <w:t>A high level overview of the changes proposed by the ACMA is as follows:</w:t>
      </w:r>
    </w:p>
    <w:p w:rsidR="00FC2AA1" w:rsidRPr="007E0D00" w:rsidRDefault="00FC2AA1" w:rsidP="00FC2AA1">
      <w:pPr>
        <w:pStyle w:val="ListParagraph"/>
        <w:numPr>
          <w:ilvl w:val="0"/>
          <w:numId w:val="12"/>
        </w:numPr>
      </w:pPr>
      <w:r w:rsidRPr="007E0D00">
        <w:t>A change from AGD66 to GDA94 for the coordinate reference of device registrations stored in the register of radiocommunications licences (RRL);</w:t>
      </w:r>
    </w:p>
    <w:p w:rsidR="00FC2AA1" w:rsidRPr="007E0D00" w:rsidRDefault="00FC2AA1" w:rsidP="00FC2AA1">
      <w:pPr>
        <w:pStyle w:val="ListParagraph"/>
        <w:numPr>
          <w:ilvl w:val="0"/>
          <w:numId w:val="12"/>
        </w:numPr>
      </w:pPr>
      <w:r w:rsidRPr="007E0D00">
        <w:t>Amendments to the Australian Spectrum Map Grid (ASMG):</w:t>
      </w:r>
    </w:p>
    <w:p w:rsidR="00FC2AA1" w:rsidRPr="007E0D00" w:rsidRDefault="00FC2AA1" w:rsidP="00FC2AA1">
      <w:pPr>
        <w:pStyle w:val="ListParagraph"/>
        <w:numPr>
          <w:ilvl w:val="1"/>
          <w:numId w:val="12"/>
        </w:numPr>
      </w:pPr>
      <w:r w:rsidRPr="007E0D00">
        <w:t>Preserve existing ASMG boundaries in both an AGD66 and GDA94 environment;</w:t>
      </w:r>
    </w:p>
    <w:p w:rsidR="00FC2AA1" w:rsidRPr="007E0D00" w:rsidRDefault="00FC2AA1" w:rsidP="00FC2AA1">
      <w:pPr>
        <w:pStyle w:val="ListParagraph"/>
        <w:numPr>
          <w:ilvl w:val="1"/>
          <w:numId w:val="12"/>
        </w:numPr>
      </w:pPr>
      <w:r w:rsidRPr="007E0D00">
        <w:t>Extend the use of 5’ cells across the whole of the ASMG;</w:t>
      </w:r>
    </w:p>
    <w:p w:rsidR="00FC2AA1" w:rsidRPr="007E0D00" w:rsidRDefault="00FC2AA1" w:rsidP="00FC2AA1">
      <w:pPr>
        <w:pStyle w:val="ListParagraph"/>
        <w:numPr>
          <w:ilvl w:val="1"/>
          <w:numId w:val="12"/>
        </w:numPr>
      </w:pPr>
      <w:r w:rsidRPr="007E0D00">
        <w:t>Adopt a hierarchical identifier scheme overlaid on the ASMG; and</w:t>
      </w:r>
    </w:p>
    <w:p w:rsidR="00FC2AA1" w:rsidRDefault="00FC2AA1" w:rsidP="00FC2AA1">
      <w:pPr>
        <w:pStyle w:val="ListParagraph"/>
        <w:numPr>
          <w:ilvl w:val="1"/>
          <w:numId w:val="12"/>
        </w:numPr>
      </w:pPr>
      <w:r w:rsidRPr="007E0D00">
        <w:t>Formalise the ASMG specification</w:t>
      </w:r>
    </w:p>
    <w:p w:rsidR="00FC2AA1" w:rsidRPr="007E0D00" w:rsidRDefault="00FC2AA1" w:rsidP="00FC2AA1">
      <w:pPr>
        <w:pStyle w:val="ListParagraph"/>
        <w:numPr>
          <w:ilvl w:val="0"/>
          <w:numId w:val="12"/>
        </w:numPr>
      </w:pPr>
      <w:r>
        <w:t xml:space="preserve">A change from </w:t>
      </w:r>
      <w:proofErr w:type="spellStart"/>
      <w:r>
        <w:t>RadDEM</w:t>
      </w:r>
      <w:proofErr w:type="spellEnd"/>
      <w:r>
        <w:t xml:space="preserve"> to the </w:t>
      </w:r>
      <w:r w:rsidRPr="00AC5E17">
        <w:rPr>
          <w:i/>
        </w:rPr>
        <w:t>GEODATA 9 Second</w:t>
      </w:r>
      <w:r>
        <w:rPr>
          <w:i/>
        </w:rPr>
        <w:t xml:space="preserve"> Digital Elevation Model</w:t>
      </w:r>
      <w:r w:rsidRPr="00AC5E17">
        <w:rPr>
          <w:i/>
        </w:rPr>
        <w:t xml:space="preserve"> Version 3</w:t>
      </w:r>
      <w:r>
        <w:rPr>
          <w:rStyle w:val="FootnoteReference"/>
          <w:i/>
        </w:rPr>
        <w:footnoteReference w:id="1"/>
      </w:r>
      <w:r>
        <w:t xml:space="preserve"> ()</w:t>
      </w:r>
    </w:p>
    <w:p w:rsidR="00FC2AA1" w:rsidRDefault="00FC2AA1" w:rsidP="00FC2AA1">
      <w:r w:rsidRPr="007E0D00">
        <w:t>These proposals are discussed in more detail later in this paper. Of particular note is the development of a formal definition of the ASMG</w:t>
      </w:r>
      <w:r>
        <w:t>, which will include a definition of the hierarchical identifier scheme</w:t>
      </w:r>
      <w:r w:rsidRPr="007E0D00">
        <w:t xml:space="preserve"> </w:t>
      </w:r>
      <w:r>
        <w:t>and</w:t>
      </w:r>
      <w:r w:rsidRPr="007E0D00">
        <w:t xml:space="preserve"> </w:t>
      </w:r>
      <w:r>
        <w:t>c</w:t>
      </w:r>
      <w:r w:rsidRPr="007E0D00">
        <w:t>ould affect how geographical areas are defined in</w:t>
      </w:r>
      <w:r>
        <w:t xml:space="preserve"> various facets of spectrum licensing including:</w:t>
      </w:r>
      <w:r w:rsidRPr="007E0D00">
        <w:t xml:space="preserve"> spectrum designations/re-allocation declarations made by the Minister, licence instruments, marketing plans and spectrum licence trades. </w:t>
      </w:r>
    </w:p>
    <w:p w:rsidR="00FC2AA1" w:rsidRPr="007E0D00" w:rsidRDefault="00FC2AA1" w:rsidP="00FC2AA1">
      <w:r>
        <w:t xml:space="preserve">Ultimately, all the proposed changes will affect how some information is stored and presented in the spectrum licence environment. However, </w:t>
      </w:r>
      <w:r w:rsidRPr="007E0D00">
        <w:t xml:space="preserve">it is anticipated that the changes proposed for the transition to GDA94 by the ACMA will have </w:t>
      </w:r>
      <w:r>
        <w:t xml:space="preserve">minimal </w:t>
      </w:r>
      <w:r w:rsidRPr="007E0D00">
        <w:t>impact on existing spectrum licensees, since the physical location of licence boundaries and device registrations</w:t>
      </w:r>
      <w:r>
        <w:t xml:space="preserve"> will</w:t>
      </w:r>
      <w:r w:rsidRPr="007E0D00">
        <w:t xml:space="preserve"> remain the same.  </w:t>
      </w:r>
    </w:p>
    <w:p w:rsidR="00FC2AA1" w:rsidRDefault="00FC2AA1" w:rsidP="00FC2AA1">
      <w:r>
        <w:t xml:space="preserve">In addition to this, the amendments to the ASMG have generally been made to improve flexibility in trading and mitigate the complexity of presenting geographical information in spectrum licence related instruments. </w:t>
      </w:r>
      <w:r w:rsidRPr="007E0D00">
        <w:t xml:space="preserve"> </w:t>
      </w:r>
    </w:p>
    <w:p w:rsidR="00FC2AA1" w:rsidRDefault="00FC2AA1" w:rsidP="00FC2AA1"/>
    <w:p w:rsidR="00FC2AA1" w:rsidRPr="007E0D00" w:rsidRDefault="00FC2AA1" w:rsidP="00FC2AA1">
      <w:pPr>
        <w:pStyle w:val="Heading2"/>
        <w:numPr>
          <w:ilvl w:val="0"/>
          <w:numId w:val="11"/>
        </w:numPr>
        <w:rPr>
          <w:rFonts w:eastAsia="Times New Roman"/>
        </w:rPr>
      </w:pPr>
      <w:r w:rsidRPr="007E0D00">
        <w:rPr>
          <w:rFonts w:eastAsia="Times New Roman"/>
        </w:rPr>
        <w:t>Implementation</w:t>
      </w:r>
    </w:p>
    <w:p w:rsidR="00FC2AA1" w:rsidRPr="007E0D00" w:rsidRDefault="00FC2AA1" w:rsidP="00FC2AA1">
      <w:r w:rsidRPr="007E0D00">
        <w:t>Before any</w:t>
      </w:r>
      <w:r>
        <w:t xml:space="preserve"> of these</w:t>
      </w:r>
      <w:r w:rsidRPr="007E0D00">
        <w:t xml:space="preserve"> changes are made, the ACMA intends to publicly consult</w:t>
      </w:r>
      <w:r>
        <w:t>, outside of the TLG process,</w:t>
      </w:r>
      <w:r w:rsidRPr="007E0D00">
        <w:t xml:space="preserve"> on the proposed</w:t>
      </w:r>
      <w:r>
        <w:t xml:space="preserve"> changes </w:t>
      </w:r>
      <w:r w:rsidRPr="007E0D00">
        <w:t xml:space="preserve">in this paper as part of the larger GDA94 adoption process being </w:t>
      </w:r>
      <w:r w:rsidRPr="007E0D00">
        <w:lastRenderedPageBreak/>
        <w:t>undertaken.  This will include the creation and/or modification of any relevant legislative instrument</w:t>
      </w:r>
      <w:r>
        <w:t>s</w:t>
      </w:r>
      <w:r w:rsidRPr="007E0D00">
        <w:t>.</w:t>
      </w:r>
    </w:p>
    <w:p w:rsidR="00FC2AA1" w:rsidRPr="007E0D00" w:rsidRDefault="00FC2AA1" w:rsidP="00FC2AA1">
      <w:r w:rsidRPr="007E0D00">
        <w:t xml:space="preserve">At this stage it is proposed that reference coordinates for devices in the RRL be updated when the ACMA’s new licensing system comes into effect. </w:t>
      </w:r>
    </w:p>
    <w:p w:rsidR="00FC2AA1" w:rsidRPr="007E0D00" w:rsidRDefault="00FC2AA1" w:rsidP="00FC2AA1">
      <w:r w:rsidRPr="007E0D00">
        <w:t>The ACMA will also implement any changes to area definitions for all new, traded, re-allocated and re-issued spectrum licence</w:t>
      </w:r>
      <w:r>
        <w:t>s</w:t>
      </w:r>
      <w:r w:rsidRPr="007E0D00">
        <w:t xml:space="preserve"> once final decisions on changes have been made and relevant documentation has been </w:t>
      </w:r>
      <w:proofErr w:type="gramStart"/>
      <w:r w:rsidRPr="007E0D00">
        <w:t>updated/created</w:t>
      </w:r>
      <w:proofErr w:type="gramEnd"/>
      <w:r w:rsidRPr="007E0D00">
        <w:t>.  As a result</w:t>
      </w:r>
      <w:r>
        <w:t>,</w:t>
      </w:r>
      <w:r w:rsidRPr="007E0D00">
        <w:t xml:space="preserve"> existing licences will be updated in a rolling fashion as they come up for </w:t>
      </w:r>
      <w:r>
        <w:t>expiry.</w:t>
      </w:r>
      <w:r w:rsidRPr="007E0D00">
        <w:t xml:space="preserve"> Relevant changes will also be implemented in spectrum designations/re-allocation declarations made by the Minister, marketing plans and other legislative instruments</w:t>
      </w:r>
      <w:r>
        <w:t>,</w:t>
      </w:r>
      <w:r w:rsidRPr="007E0D00">
        <w:t xml:space="preserve"> as required.</w:t>
      </w:r>
    </w:p>
    <w:p w:rsidR="00FC2AA1" w:rsidRPr="007E0D00" w:rsidRDefault="00FC2AA1" w:rsidP="00FC2AA1">
      <w:pPr>
        <w:pStyle w:val="Heading2"/>
        <w:numPr>
          <w:ilvl w:val="0"/>
          <w:numId w:val="11"/>
        </w:numPr>
        <w:rPr>
          <w:rFonts w:eastAsia="Times New Roman"/>
        </w:rPr>
      </w:pPr>
      <w:r w:rsidRPr="007E0D00">
        <w:rPr>
          <w:rFonts w:eastAsia="Times New Roman"/>
        </w:rPr>
        <w:t>Detail of Proposed Changes</w:t>
      </w:r>
    </w:p>
    <w:p w:rsidR="00FC2AA1" w:rsidRPr="000C62EE" w:rsidRDefault="00FC2AA1" w:rsidP="00FC2AA1">
      <w:pPr>
        <w:pStyle w:val="Heading3"/>
        <w:numPr>
          <w:ilvl w:val="1"/>
          <w:numId w:val="11"/>
        </w:numPr>
        <w:rPr>
          <w:rFonts w:eastAsia="Times New Roman"/>
        </w:rPr>
      </w:pPr>
      <w:r w:rsidRPr="007E0D00">
        <w:rPr>
          <w:rFonts w:eastAsia="Times New Roman"/>
        </w:rPr>
        <w:t>Changes to Device Registrations</w:t>
      </w:r>
    </w:p>
    <w:p w:rsidR="00FC2AA1" w:rsidRPr="007E0D00" w:rsidRDefault="00FC2AA1" w:rsidP="00FC2AA1">
      <w:r w:rsidRPr="007E0D00">
        <w:t xml:space="preserve">Coordinates contained </w:t>
      </w:r>
      <w:r>
        <w:t>i</w:t>
      </w:r>
      <w:r w:rsidRPr="007E0D00">
        <w:t xml:space="preserve">n the </w:t>
      </w:r>
      <w:r>
        <w:t xml:space="preserve">publically available </w:t>
      </w:r>
      <w:r w:rsidRPr="007E0D00">
        <w:t>RRL are currently recorded with reference to AGD66. It is proposed that these be transformed to GDA94 when the ACMA move</w:t>
      </w:r>
      <w:r>
        <w:t>s</w:t>
      </w:r>
      <w:r w:rsidRPr="007E0D00">
        <w:t xml:space="preserve"> to </w:t>
      </w:r>
      <w:r>
        <w:t>its</w:t>
      </w:r>
      <w:r w:rsidRPr="007E0D00">
        <w:t xml:space="preserve"> new licensing </w:t>
      </w:r>
      <w:r>
        <w:t xml:space="preserve">management </w:t>
      </w:r>
      <w:r w:rsidRPr="007E0D00">
        <w:t xml:space="preserve">system. </w:t>
      </w:r>
    </w:p>
    <w:p w:rsidR="00FC2AA1" w:rsidRPr="007E0D00" w:rsidRDefault="00FC2AA1" w:rsidP="00FC2AA1">
      <w:r w:rsidRPr="007E0D00">
        <w:t xml:space="preserve">This transformation will be performed using the most accurate method available, documented in the </w:t>
      </w:r>
      <w:r w:rsidRPr="007E0D00">
        <w:rPr>
          <w:i/>
        </w:rPr>
        <w:t>GDA Technical Manual</w:t>
      </w:r>
      <w:r w:rsidRPr="007E0D00">
        <w:rPr>
          <w:vertAlign w:val="superscript"/>
        </w:rPr>
        <w:footnoteReference w:id="2"/>
      </w:r>
      <w:r w:rsidRPr="007E0D00">
        <w:t xml:space="preserve"> published by the Intergovernmental Committee on Survey and Mapping (ICSM)</w:t>
      </w:r>
      <w:r>
        <w:t>, which is by</w:t>
      </w:r>
      <w:r w:rsidRPr="007E0D00">
        <w:t xml:space="preserve"> application of </w:t>
      </w:r>
      <w:r>
        <w:t>a</w:t>
      </w:r>
      <w:r w:rsidRPr="007E0D00">
        <w:t xml:space="preserve"> grid shift transformation using</w:t>
      </w:r>
      <w:r>
        <w:t xml:space="preserve"> </w:t>
      </w:r>
      <w:r w:rsidRPr="007E0D00">
        <w:t>published grid shift files in NTv2 format.</w:t>
      </w:r>
    </w:p>
    <w:p w:rsidR="00FC2AA1" w:rsidRDefault="00FC2AA1" w:rsidP="00FC2AA1">
      <w:r w:rsidRPr="007E0D00">
        <w:t>The ICSM has published an AGD66 to GDA94 transformation grid for the whole of Australia.  Software is widely available which supports the use of this method of transforming AGD66 coordinates to GDA94 coordinates.</w:t>
      </w:r>
    </w:p>
    <w:p w:rsidR="00FC2AA1" w:rsidRPr="00F24E57" w:rsidRDefault="00FC2AA1" w:rsidP="00FC2AA1">
      <w:pPr>
        <w:pStyle w:val="ListParagraph"/>
        <w:keepNext/>
        <w:keepLines/>
        <w:numPr>
          <w:ilvl w:val="0"/>
          <w:numId w:val="13"/>
        </w:numPr>
        <w:spacing w:before="120" w:after="80"/>
        <w:contextualSpacing w:val="0"/>
        <w:outlineLvl w:val="2"/>
        <w:rPr>
          <w:rFonts w:asciiTheme="majorHAnsi" w:eastAsia="Times New Roman" w:hAnsiTheme="majorHAnsi" w:cstheme="majorBidi"/>
          <w:b/>
          <w:bCs/>
          <w:vanish/>
        </w:rPr>
      </w:pPr>
    </w:p>
    <w:p w:rsidR="00FC2AA1" w:rsidRPr="00F24E57" w:rsidRDefault="00FC2AA1" w:rsidP="00FC2AA1">
      <w:pPr>
        <w:pStyle w:val="ListParagraph"/>
        <w:keepNext/>
        <w:keepLines/>
        <w:numPr>
          <w:ilvl w:val="0"/>
          <w:numId w:val="13"/>
        </w:numPr>
        <w:spacing w:before="120" w:after="80"/>
        <w:contextualSpacing w:val="0"/>
        <w:outlineLvl w:val="2"/>
        <w:rPr>
          <w:rFonts w:asciiTheme="majorHAnsi" w:eastAsia="Times New Roman" w:hAnsiTheme="majorHAnsi" w:cstheme="majorBidi"/>
          <w:b/>
          <w:bCs/>
          <w:vanish/>
        </w:rPr>
      </w:pPr>
    </w:p>
    <w:p w:rsidR="00FC2AA1" w:rsidRPr="00F24E57" w:rsidRDefault="00FC2AA1" w:rsidP="00FC2AA1">
      <w:pPr>
        <w:pStyle w:val="ListParagraph"/>
        <w:keepNext/>
        <w:keepLines/>
        <w:numPr>
          <w:ilvl w:val="0"/>
          <w:numId w:val="13"/>
        </w:numPr>
        <w:spacing w:before="120" w:after="80"/>
        <w:contextualSpacing w:val="0"/>
        <w:outlineLvl w:val="2"/>
        <w:rPr>
          <w:rFonts w:asciiTheme="majorHAnsi" w:eastAsia="Times New Roman" w:hAnsiTheme="majorHAnsi" w:cstheme="majorBidi"/>
          <w:b/>
          <w:bCs/>
          <w:vanish/>
        </w:rPr>
      </w:pPr>
    </w:p>
    <w:p w:rsidR="00FC2AA1" w:rsidRPr="00F24E57" w:rsidRDefault="00FC2AA1" w:rsidP="00FC2AA1">
      <w:pPr>
        <w:pStyle w:val="ListParagraph"/>
        <w:keepNext/>
        <w:keepLines/>
        <w:numPr>
          <w:ilvl w:val="0"/>
          <w:numId w:val="13"/>
        </w:numPr>
        <w:spacing w:before="120" w:after="80"/>
        <w:contextualSpacing w:val="0"/>
        <w:outlineLvl w:val="2"/>
        <w:rPr>
          <w:rFonts w:asciiTheme="majorHAnsi" w:eastAsia="Times New Roman" w:hAnsiTheme="majorHAnsi" w:cstheme="majorBidi"/>
          <w:b/>
          <w:bCs/>
          <w:vanish/>
        </w:rPr>
      </w:pPr>
    </w:p>
    <w:p w:rsidR="00FC2AA1" w:rsidRPr="00F24E57" w:rsidRDefault="00FC2AA1" w:rsidP="00FC2AA1">
      <w:pPr>
        <w:pStyle w:val="ListParagraph"/>
        <w:keepNext/>
        <w:keepLines/>
        <w:numPr>
          <w:ilvl w:val="0"/>
          <w:numId w:val="13"/>
        </w:numPr>
        <w:spacing w:before="120" w:after="80"/>
        <w:contextualSpacing w:val="0"/>
        <w:outlineLvl w:val="2"/>
        <w:rPr>
          <w:rFonts w:asciiTheme="majorHAnsi" w:eastAsia="Times New Roman" w:hAnsiTheme="majorHAnsi" w:cstheme="majorBidi"/>
          <w:b/>
          <w:bCs/>
          <w:vanish/>
        </w:rPr>
      </w:pPr>
    </w:p>
    <w:p w:rsidR="00FC2AA1" w:rsidRPr="00F24E57" w:rsidRDefault="00FC2AA1" w:rsidP="00FC2AA1">
      <w:pPr>
        <w:pStyle w:val="ListParagraph"/>
        <w:keepNext/>
        <w:keepLines/>
        <w:numPr>
          <w:ilvl w:val="1"/>
          <w:numId w:val="13"/>
        </w:numPr>
        <w:spacing w:before="120" w:after="80"/>
        <w:contextualSpacing w:val="0"/>
        <w:outlineLvl w:val="2"/>
        <w:rPr>
          <w:rFonts w:asciiTheme="majorHAnsi" w:eastAsia="Times New Roman" w:hAnsiTheme="majorHAnsi" w:cstheme="majorBidi"/>
          <w:b/>
          <w:bCs/>
          <w:vanish/>
        </w:rPr>
      </w:pPr>
    </w:p>
    <w:p w:rsidR="00FC2AA1" w:rsidRPr="007E0D00" w:rsidRDefault="00FC2AA1" w:rsidP="00FC2AA1">
      <w:pPr>
        <w:pStyle w:val="Heading3"/>
        <w:numPr>
          <w:ilvl w:val="1"/>
          <w:numId w:val="13"/>
        </w:numPr>
        <w:rPr>
          <w:rFonts w:eastAsia="Times New Roman"/>
        </w:rPr>
      </w:pPr>
      <w:r w:rsidRPr="007E0D00">
        <w:rPr>
          <w:rFonts w:eastAsia="Times New Roman"/>
        </w:rPr>
        <w:t>Changes to the ASMG</w:t>
      </w:r>
    </w:p>
    <w:p w:rsidR="00FC2AA1" w:rsidRDefault="00FC2AA1" w:rsidP="00FC2AA1">
      <w:pPr>
        <w:pStyle w:val="ListParagraph"/>
        <w:numPr>
          <w:ilvl w:val="0"/>
          <w:numId w:val="14"/>
        </w:numPr>
      </w:pPr>
      <w:r w:rsidRPr="007E0D00">
        <w:t>Preserve existing ASMG boundaries in both an AGD66 and GDA94 environment</w:t>
      </w:r>
    </w:p>
    <w:p w:rsidR="00FC2AA1" w:rsidRPr="007E0D00" w:rsidRDefault="00FC2AA1" w:rsidP="00FC2AA1">
      <w:r w:rsidRPr="007E0D00">
        <w:t>The ACMA proposes to preserve the existing ASMG boundaries and define a</w:t>
      </w:r>
      <w:r>
        <w:t>n appropriate</w:t>
      </w:r>
      <w:r w:rsidRPr="007E0D00">
        <w:t xml:space="preserve"> transformation</w:t>
      </w:r>
      <w:r>
        <w:t xml:space="preserve"> to use</w:t>
      </w:r>
      <w:r w:rsidRPr="007E0D00">
        <w:t xml:space="preserve"> that will allow the ASMG to be accurately interpreted in either AGD66 or GDA94 coordinate systems.  This ensures that there will be no shift in </w:t>
      </w:r>
      <w:r>
        <w:t xml:space="preserve">the </w:t>
      </w:r>
      <w:r w:rsidRPr="007E0D00">
        <w:t xml:space="preserve">location of the existing </w:t>
      </w:r>
      <w:r>
        <w:t>Standard Trading Units (</w:t>
      </w:r>
      <w:r w:rsidRPr="007E0D00">
        <w:t>STUs</w:t>
      </w:r>
      <w:r>
        <w:t>)</w:t>
      </w:r>
      <w:r w:rsidRPr="007E0D00">
        <w:t xml:space="preserve"> defined in the ASMG or the current definition of spectrum licence boundaries in relation to the ASMG. </w:t>
      </w:r>
    </w:p>
    <w:p w:rsidR="00FC2AA1" w:rsidRDefault="00FC2AA1" w:rsidP="00FC2AA1">
      <w:r w:rsidRPr="007E0D00">
        <w:t xml:space="preserve">The ACMA proposes that the approach </w:t>
      </w:r>
      <w:r>
        <w:t xml:space="preserve">adopted for </w:t>
      </w:r>
      <w:r w:rsidRPr="007E0D00">
        <w:t>transforming the existing ASMG AGD66 coordinates to GDA94 be the most accurate transformation method identified in the GDA Technical Manual</w:t>
      </w:r>
      <w:fldSimple w:instr=" NOTEREF _Ref293580757 \h  \* MERGEFORMAT ">
        <w:r w:rsidRPr="00983353">
          <w:rPr>
            <w:vertAlign w:val="superscript"/>
          </w:rPr>
          <w:t>2</w:t>
        </w:r>
      </w:fldSimple>
      <w:r>
        <w:t xml:space="preserve"> (s</w:t>
      </w:r>
      <w:r w:rsidRPr="007E0D00">
        <w:t>ee “changes to Device Registrations” for more detail).  It is also proposed that this transformation be described in the formal ASMG specification, to ensure</w:t>
      </w:r>
      <w:r>
        <w:t xml:space="preserve"> that</w:t>
      </w:r>
      <w:r w:rsidRPr="007E0D00">
        <w:t xml:space="preserve"> the appropriate method is </w:t>
      </w:r>
      <w:r>
        <w:t>applied</w:t>
      </w:r>
      <w:r w:rsidRPr="007E0D00">
        <w:t xml:space="preserve">. </w:t>
      </w:r>
    </w:p>
    <w:p w:rsidR="00FC2AA1" w:rsidRPr="007E0D00" w:rsidRDefault="00FC2AA1" w:rsidP="00FC2AA1">
      <w:pPr>
        <w:rPr>
          <w:b/>
          <w:bCs/>
        </w:rPr>
      </w:pPr>
      <w:r w:rsidRPr="007E0D00">
        <w:lastRenderedPageBreak/>
        <w:t xml:space="preserve">The coordinates used for describing ASMG aligned boundaries </w:t>
      </w:r>
      <w:r>
        <w:t xml:space="preserve">in AGD66 </w:t>
      </w:r>
      <w:r w:rsidRPr="007E0D00">
        <w:t>will be</w:t>
      </w:r>
      <w:r>
        <w:t xml:space="preserve"> recorded</w:t>
      </w:r>
      <w:r w:rsidRPr="007E0D00">
        <w:t xml:space="preserve"> in latitude and longitude</w:t>
      </w:r>
      <w:r>
        <w:t>,</w:t>
      </w:r>
      <w:r w:rsidRPr="007E0D00">
        <w:t xml:space="preserve"> defined in degrees, minutes and seconds of arc. When transforming coordinates to GDA94, latitude and longitude should be quoted in decimal degrees to 6 decimal places to retain transformation accuracy.</w:t>
      </w:r>
    </w:p>
    <w:p w:rsidR="00FC2AA1" w:rsidRPr="007E0D00" w:rsidRDefault="00FC2AA1" w:rsidP="00FC2AA1">
      <w:pPr>
        <w:rPr>
          <w:b/>
          <w:bCs/>
        </w:rPr>
      </w:pPr>
      <w:r>
        <w:t>As</w:t>
      </w:r>
      <w:r w:rsidRPr="007E0D00">
        <w:t xml:space="preserve"> the AGD66 to GDA94 transformation is not uniform across Australia, there may be a discrepancy between arcs constructed in AGD66 terms and arcs constructed in GDA94 terms. For example, coordinates specifying particular locations on the ground in AGD66 that are </w:t>
      </w:r>
      <w:r>
        <w:t>at</w:t>
      </w:r>
      <w:r w:rsidRPr="007E0D00">
        <w:t xml:space="preserve"> the same latitude are unlikely to be </w:t>
      </w:r>
      <w:r>
        <w:t>at exactly</w:t>
      </w:r>
      <w:r w:rsidRPr="007E0D00">
        <w:t xml:space="preserve"> the same latitude when transformed to GDA94 reference system. As a result boundary segments in GDA94 cannot be interpreted to follow lines of constant latitude or longitude when constructed between sequential pairs of coordinates in a boundary description.</w:t>
      </w:r>
    </w:p>
    <w:p w:rsidR="00FC2AA1" w:rsidRPr="007E0D00" w:rsidRDefault="00FC2AA1" w:rsidP="00FC2AA1">
      <w:pPr>
        <w:rPr>
          <w:b/>
          <w:bCs/>
        </w:rPr>
      </w:pPr>
      <w:r w:rsidRPr="007E0D00">
        <w:t>In order to limit this discrepancy between a boundary represented in GDA94 terms and a boundary as defined in AGD66 terms a process known as densification</w:t>
      </w:r>
      <w:r w:rsidRPr="00635E30">
        <w:rPr>
          <w:vertAlign w:val="superscript"/>
        </w:rPr>
        <w:footnoteReference w:id="3"/>
      </w:r>
      <w:r w:rsidRPr="007E0D00">
        <w:t xml:space="preserve"> can be employed. </w:t>
      </w:r>
      <w:r>
        <w:t>Using this process, a</w:t>
      </w:r>
      <w:r w:rsidRPr="007E0D00">
        <w:t xml:space="preserve">n accuracy of </w:t>
      </w:r>
      <w:r w:rsidRPr="007E0D00">
        <w:sym w:font="Symbol" w:char="F0B1"/>
      </w:r>
      <w:r w:rsidRPr="007E0D00">
        <w:t xml:space="preserve"> 0.5m can be achieved by</w:t>
      </w:r>
      <w:r>
        <w:t xml:space="preserve"> recording intermediate coordinate pairs at no more than 1 degree latitude or longitude spacing along the perimeter of the boundary.</w:t>
      </w:r>
      <w:r w:rsidRPr="007E0D00">
        <w:t xml:space="preserve"> </w:t>
      </w:r>
      <w:r>
        <w:t>The ACMA proposes to include these densification criteria into the formal specification described at 4.2(d).</w:t>
      </w:r>
    </w:p>
    <w:p w:rsidR="00FC2AA1" w:rsidRDefault="00FC2AA1" w:rsidP="00FC2AA1">
      <w:pPr>
        <w:pStyle w:val="ListParagraph"/>
        <w:numPr>
          <w:ilvl w:val="0"/>
          <w:numId w:val="14"/>
        </w:numPr>
      </w:pPr>
      <w:r w:rsidRPr="007E0D00">
        <w:t>Extend use of 5’ cells across the whole of the ASMG</w:t>
      </w:r>
    </w:p>
    <w:p w:rsidR="00FC2AA1" w:rsidRPr="00635E30" w:rsidRDefault="00FC2AA1" w:rsidP="00FC2AA1">
      <w:pPr>
        <w:rPr>
          <w:b/>
          <w:bCs/>
        </w:rPr>
      </w:pPr>
      <w:r w:rsidRPr="007E0D00">
        <w:t xml:space="preserve">The ACMA proposes </w:t>
      </w:r>
      <w:r>
        <w:t xml:space="preserve">that </w:t>
      </w:r>
      <w:r w:rsidRPr="007E0D00">
        <w:t xml:space="preserve">the use of 5’ cells (or STUs) be extended across the whole of the ASMG </w:t>
      </w:r>
      <w:r>
        <w:t>(</w:t>
      </w:r>
      <w:r w:rsidRPr="007E0D00">
        <w:t>as formally defined</w:t>
      </w:r>
      <w:r>
        <w:t>)</w:t>
      </w:r>
      <w:r w:rsidRPr="007E0D00">
        <w:t xml:space="preserve"> to </w:t>
      </w:r>
      <w:r>
        <w:t xml:space="preserve">allow for </w:t>
      </w:r>
      <w:r w:rsidRPr="007E0D00">
        <w:t>finer definition of areas and subsequent</w:t>
      </w:r>
      <w:r>
        <w:t>ly reduce some of the inherent</w:t>
      </w:r>
      <w:r w:rsidRPr="007E0D00">
        <w:t xml:space="preserve"> trading</w:t>
      </w:r>
      <w:r>
        <w:t xml:space="preserve"> restrictions</w:t>
      </w:r>
      <w:r w:rsidRPr="007E0D00">
        <w:t xml:space="preserve"> </w:t>
      </w:r>
      <w:r>
        <w:t>for</w:t>
      </w:r>
      <w:r w:rsidRPr="007E0D00">
        <w:t xml:space="preserve"> spectrum licences in regional and remote Australia.</w:t>
      </w:r>
    </w:p>
    <w:p w:rsidR="00FC2AA1" w:rsidRPr="007E0D00" w:rsidRDefault="00FC2AA1" w:rsidP="00FC2AA1">
      <w:pPr>
        <w:rPr>
          <w:b/>
          <w:bCs/>
        </w:rPr>
      </w:pPr>
      <w:r>
        <w:t>The u</w:t>
      </w:r>
      <w:r w:rsidRPr="007E0D00">
        <w:t>se of 5’ cells across the whole ASMG also has the benefit of providing a natural densification of the ASMG boundaries and therefore improves the ability to preserve the “o</w:t>
      </w:r>
      <w:r>
        <w:t>n</w:t>
      </w:r>
      <w:r w:rsidRPr="007E0D00">
        <w:t xml:space="preserve"> the ground” boundary representation of the original ASMG in the GDA94 environment.</w:t>
      </w:r>
    </w:p>
    <w:p w:rsidR="00FC2AA1" w:rsidRPr="007E0D00" w:rsidRDefault="00FC2AA1" w:rsidP="00FC2AA1">
      <w:pPr>
        <w:rPr>
          <w:b/>
          <w:bCs/>
        </w:rPr>
      </w:pPr>
      <w:r w:rsidRPr="007E0D00">
        <w:t xml:space="preserve">Extending the ASMG this way </w:t>
      </w:r>
      <w:r>
        <w:t>would also facilitate</w:t>
      </w:r>
      <w:r w:rsidRPr="007E0D00">
        <w:t xml:space="preserve"> the adoption of a hierarchical identifier scheme</w:t>
      </w:r>
      <w:r>
        <w:t xml:space="preserve"> (see below)</w:t>
      </w:r>
      <w:r w:rsidRPr="007E0D00">
        <w:t>.</w:t>
      </w:r>
    </w:p>
    <w:p w:rsidR="00FC2AA1" w:rsidRDefault="00FC2AA1" w:rsidP="00FC2AA1">
      <w:r>
        <w:br w:type="page"/>
      </w:r>
    </w:p>
    <w:p w:rsidR="00FC2AA1" w:rsidRDefault="00FC2AA1" w:rsidP="00FC2AA1">
      <w:pPr>
        <w:pStyle w:val="ListParagraph"/>
        <w:numPr>
          <w:ilvl w:val="0"/>
          <w:numId w:val="14"/>
        </w:numPr>
      </w:pPr>
      <w:r w:rsidRPr="007E0D00">
        <w:lastRenderedPageBreak/>
        <w:t>Adopt a hierarchical identifier scheme overlaid on the ASMG</w:t>
      </w:r>
    </w:p>
    <w:p w:rsidR="00FC2AA1" w:rsidRPr="007E0D00" w:rsidRDefault="00FC2AA1" w:rsidP="00FC2AA1">
      <w:pPr>
        <w:rPr>
          <w:b/>
          <w:bCs/>
        </w:rPr>
      </w:pPr>
      <w:r w:rsidRPr="007E0D00">
        <w:t>The ACMA proposes that the ASMG specification be expanded to incorporate a hierarchical identifier scheme for cells in the grid. This approach simplifies the description of spectrum licensing areas by giving each cell in the ASMG a unique identifier.  An area can then be described by listing the identifiers of all cells comprising the area.</w:t>
      </w:r>
    </w:p>
    <w:p w:rsidR="00FC2AA1" w:rsidRPr="007E0D00" w:rsidRDefault="00FC2AA1" w:rsidP="00FC2AA1">
      <w:pPr>
        <w:rPr>
          <w:b/>
          <w:bCs/>
        </w:rPr>
      </w:pPr>
      <w:r w:rsidRPr="007E0D00">
        <w:t xml:space="preserve">The ACMA proposes the use of a </w:t>
      </w:r>
      <w:r>
        <w:t>four</w:t>
      </w:r>
      <w:r w:rsidRPr="007E0D00">
        <w:t xml:space="preserve"> level hierarchical identifier scheme aligned with a 3°, 1°, 15’ and 5’ of arc ASMG cell structure.  This provides for more succinct descriptions of geographical areas through aggregation of smaller cells into complete larger </w:t>
      </w:r>
      <w:r>
        <w:t xml:space="preserve">blocks of </w:t>
      </w:r>
      <w:r w:rsidRPr="007E0D00">
        <w:t xml:space="preserve">cells. Appendix B </w:t>
      </w:r>
      <w:r>
        <w:t>describes</w:t>
      </w:r>
      <w:r w:rsidRPr="007E0D00">
        <w:t xml:space="preserve"> how such a hierarchical identifier scheme could be overlaid on the ASMG and </w:t>
      </w:r>
      <w:r>
        <w:t>provides</w:t>
      </w:r>
      <w:r w:rsidRPr="007E0D00">
        <w:t xml:space="preserve"> a</w:t>
      </w:r>
      <w:r>
        <w:t>n example of</w:t>
      </w:r>
      <w:r w:rsidRPr="007E0D00">
        <w:t xml:space="preserve"> the application of this scheme to define an area.</w:t>
      </w:r>
    </w:p>
    <w:p w:rsidR="00FC2AA1" w:rsidRPr="007E0D00" w:rsidRDefault="00FC2AA1" w:rsidP="00FC2AA1">
      <w:pPr>
        <w:rPr>
          <w:b/>
          <w:bCs/>
        </w:rPr>
      </w:pPr>
      <w:r w:rsidRPr="007E0D00">
        <w:t xml:space="preserve">The use of a hierarchical identifier scheme also has the following advantages: </w:t>
      </w:r>
    </w:p>
    <w:p w:rsidR="00FC2AA1" w:rsidRPr="007E0D00" w:rsidRDefault="00FC2AA1" w:rsidP="00FC2AA1">
      <w:pPr>
        <w:pStyle w:val="ListParagraph"/>
        <w:numPr>
          <w:ilvl w:val="0"/>
          <w:numId w:val="15"/>
        </w:numPr>
      </w:pPr>
      <w:r w:rsidRPr="007E0D00">
        <w:t xml:space="preserve">Areas identified in spectrum trading, spectrum auctions and geographical areas defined on spectrum licences can be more easily described by using identifiers than by having to transcribe AGD66 </w:t>
      </w:r>
      <w:r>
        <w:t>or</w:t>
      </w:r>
      <w:r w:rsidRPr="007E0D00">
        <w:t xml:space="preserve"> GDA94</w:t>
      </w:r>
      <w:r>
        <w:t xml:space="preserve"> </w:t>
      </w:r>
      <w:r w:rsidRPr="007E0D00">
        <w:t xml:space="preserve">coordinates.  Publication of reference material (maps, </w:t>
      </w:r>
      <w:proofErr w:type="spellStart"/>
      <w:r>
        <w:t>shapefiles</w:t>
      </w:r>
      <w:proofErr w:type="spellEnd"/>
      <w:r>
        <w:t xml:space="preserve">, </w:t>
      </w:r>
      <w:r w:rsidRPr="007E0D00">
        <w:t xml:space="preserve">etc.) including the identifiers would </w:t>
      </w:r>
      <w:r>
        <w:t>facilitate</w:t>
      </w:r>
      <w:r w:rsidRPr="007E0D00">
        <w:t xml:space="preserve"> the objective of making areas easier to describe, and therefore reduce error rates and the resource intensity associated with processing licence area changes as part of spectrum trades.</w:t>
      </w:r>
    </w:p>
    <w:p w:rsidR="00FC2AA1" w:rsidRPr="007E0D00" w:rsidRDefault="00FC2AA1" w:rsidP="00FC2AA1">
      <w:pPr>
        <w:pStyle w:val="ListParagraph"/>
        <w:numPr>
          <w:ilvl w:val="0"/>
          <w:numId w:val="15"/>
        </w:numPr>
      </w:pPr>
      <w:r w:rsidRPr="007E0D00">
        <w:t>Cell identifiers work well in automated systems – lists of identifiers are simple to store and easily formulated into queries from which spatial data records for boundaries can be created.</w:t>
      </w:r>
    </w:p>
    <w:p w:rsidR="00FC2AA1" w:rsidRPr="007E0D00" w:rsidRDefault="00FC2AA1" w:rsidP="00FC2AA1">
      <w:pPr>
        <w:pStyle w:val="ListParagraph"/>
        <w:numPr>
          <w:ilvl w:val="0"/>
          <w:numId w:val="15"/>
        </w:numPr>
      </w:pPr>
      <w:r w:rsidRPr="007E0D00">
        <w:t xml:space="preserve">Cell identifiers can be </w:t>
      </w:r>
      <w:r>
        <w:t xml:space="preserve">easily </w:t>
      </w:r>
      <w:r w:rsidRPr="007E0D00">
        <w:t>overlaid on the ASMG as they are universal</w:t>
      </w:r>
      <w:r>
        <w:t>, meaning</w:t>
      </w:r>
      <w:r w:rsidRPr="007E0D00">
        <w:t xml:space="preserve"> they can be used in both the AGD66 and GDA94 reference systems as they describe the same physical area in each case.</w:t>
      </w:r>
    </w:p>
    <w:p w:rsidR="00FC2AA1" w:rsidRDefault="00FC2AA1" w:rsidP="00FC2AA1">
      <w:pPr>
        <w:pStyle w:val="ListParagraph"/>
        <w:numPr>
          <w:ilvl w:val="0"/>
          <w:numId w:val="15"/>
        </w:numPr>
        <w:spacing w:after="0"/>
        <w:ind w:left="357" w:hanging="357"/>
      </w:pPr>
      <w:r w:rsidRPr="007E0D00">
        <w:t>Cell identifiers facilitate a smoother transition to future reference systems (e.g. future revisions to GDA to account for the movement of the Australian Tectonic Plate). With the identifier scheme in place, spectrum licensing instruments, marketing plans and determinations</w:t>
      </w:r>
      <w:r>
        <w:t xml:space="preserve"> can, where appropriate,</w:t>
      </w:r>
      <w:r w:rsidRPr="007E0D00">
        <w:t xml:space="preserve"> be varied to support use of the identifiers in describing geographic areas for spectrum licensing as an alternative to the use of coordinate references. </w:t>
      </w:r>
      <w:r>
        <w:t>A</w:t>
      </w:r>
      <w:r w:rsidRPr="007E0D00">
        <w:t>lthough the reference datum</w:t>
      </w:r>
      <w:r>
        <w:t xml:space="preserve"> used (and the resulting coordinates)</w:t>
      </w:r>
      <w:r w:rsidRPr="007E0D00">
        <w:t xml:space="preserve"> may change</w:t>
      </w:r>
      <w:r>
        <w:t>,</w:t>
      </w:r>
      <w:r w:rsidRPr="007E0D00">
        <w:t xml:space="preserve"> the cell identifier </w:t>
      </w:r>
      <w:r>
        <w:t>references to loca</w:t>
      </w:r>
      <w:r w:rsidRPr="007E0D00">
        <w:t>tions on the ground do not.</w:t>
      </w:r>
    </w:p>
    <w:p w:rsidR="00FC2AA1" w:rsidRPr="007E0D00" w:rsidRDefault="00FC2AA1" w:rsidP="00FC2AA1"/>
    <w:p w:rsidR="00FC2AA1" w:rsidRPr="007E0D00" w:rsidRDefault="00FC2AA1" w:rsidP="00FC2AA1">
      <w:pPr>
        <w:pStyle w:val="ListParagraph"/>
        <w:numPr>
          <w:ilvl w:val="0"/>
          <w:numId w:val="14"/>
        </w:numPr>
      </w:pPr>
      <w:r w:rsidRPr="007E0D00">
        <w:t>Formalise the ASMG specification</w:t>
      </w:r>
    </w:p>
    <w:p w:rsidR="00FC2AA1" w:rsidRPr="007E0D00" w:rsidRDefault="00FC2AA1" w:rsidP="00FC2AA1">
      <w:pPr>
        <w:rPr>
          <w:b/>
          <w:bCs/>
        </w:rPr>
      </w:pPr>
      <w:r w:rsidRPr="007E0D00">
        <w:t>The ACMA proposes to publish a formal definition of the ASMG. This will provide an explicit point of reference for spectrum licensing instruments and licences as well as facilitat</w:t>
      </w:r>
      <w:r>
        <w:t>ing</w:t>
      </w:r>
      <w:r w:rsidRPr="007E0D00">
        <w:t xml:space="preserve"> </w:t>
      </w:r>
      <w:r>
        <w:t xml:space="preserve">the description of </w:t>
      </w:r>
      <w:r w:rsidRPr="007E0D00">
        <w:t>areas for trading</w:t>
      </w:r>
      <w:r>
        <w:t xml:space="preserve"> by licensees</w:t>
      </w:r>
      <w:r w:rsidRPr="007E0D00">
        <w:t>. The ACMA will also make available spatial data (including hierarchical identifiers) for the ASMG in GIS-ready format</w:t>
      </w:r>
      <w:r>
        <w:t xml:space="preserve"> both the AGD66 and GDA94 datum</w:t>
      </w:r>
      <w:r w:rsidRPr="007E0D00">
        <w:t xml:space="preserve">. </w:t>
      </w:r>
    </w:p>
    <w:p w:rsidR="00FC2AA1" w:rsidRDefault="00FC2AA1" w:rsidP="00FC2AA1">
      <w:r>
        <w:br w:type="page"/>
      </w:r>
    </w:p>
    <w:p w:rsidR="00FC2AA1" w:rsidRPr="006B295F" w:rsidRDefault="00FC2AA1" w:rsidP="00FC2AA1">
      <w:r w:rsidRPr="006B295F">
        <w:lastRenderedPageBreak/>
        <w:t xml:space="preserve">The formal ASMG definition will: </w:t>
      </w:r>
    </w:p>
    <w:p w:rsidR="00FC2AA1" w:rsidRPr="007E0D00" w:rsidRDefault="00FC2AA1" w:rsidP="00FC2AA1">
      <w:pPr>
        <w:pStyle w:val="ListParagraph"/>
        <w:numPr>
          <w:ilvl w:val="0"/>
          <w:numId w:val="16"/>
        </w:numPr>
      </w:pPr>
      <w:r w:rsidRPr="007E0D00">
        <w:t>define the current ASMG with reference to AGD66, including how STUs (individual 5’ cells) are defined;</w:t>
      </w:r>
    </w:p>
    <w:p w:rsidR="00FC2AA1" w:rsidRPr="007E0D00" w:rsidRDefault="00FC2AA1" w:rsidP="00FC2AA1">
      <w:pPr>
        <w:pStyle w:val="ListParagraph"/>
        <w:numPr>
          <w:ilvl w:val="0"/>
          <w:numId w:val="16"/>
        </w:numPr>
      </w:pPr>
      <w:r w:rsidRPr="007E0D00">
        <w:t>define the hierarchical identifier scheme and associated naming convention;</w:t>
      </w:r>
    </w:p>
    <w:p w:rsidR="00FC2AA1" w:rsidRPr="007E0D00" w:rsidRDefault="00FC2AA1" w:rsidP="00FC2AA1">
      <w:pPr>
        <w:pStyle w:val="ListParagraph"/>
        <w:numPr>
          <w:ilvl w:val="0"/>
          <w:numId w:val="16"/>
        </w:numPr>
      </w:pPr>
      <w:r w:rsidRPr="007E0D00">
        <w:t>define the transformation methodology from AGD66 to GDA94;</w:t>
      </w:r>
    </w:p>
    <w:p w:rsidR="00FC2AA1" w:rsidRPr="007E0D00" w:rsidRDefault="00FC2AA1" w:rsidP="00FC2AA1">
      <w:pPr>
        <w:pStyle w:val="ListParagraph"/>
        <w:numPr>
          <w:ilvl w:val="0"/>
          <w:numId w:val="16"/>
        </w:numPr>
      </w:pPr>
      <w:r w:rsidRPr="007E0D00">
        <w:t>define the accuracy to which coordinates are to be recorded; and</w:t>
      </w:r>
    </w:p>
    <w:p w:rsidR="00FC2AA1" w:rsidRPr="007E0D00" w:rsidRDefault="00FC2AA1" w:rsidP="00FC2AA1">
      <w:pPr>
        <w:pStyle w:val="ListParagraph"/>
        <w:numPr>
          <w:ilvl w:val="0"/>
          <w:numId w:val="16"/>
        </w:numPr>
      </w:pPr>
      <w:r w:rsidRPr="007E0D00">
        <w:t xml:space="preserve">define how and to what accuracy arcs between AGD66 coordinates should be constructed in a GDA94 (or other) coordinate space to replicate the same “over the ground” boundaries as described in AGD66 terms; </w:t>
      </w:r>
    </w:p>
    <w:p w:rsidR="00FC2AA1" w:rsidRPr="009D39F0" w:rsidRDefault="00FC2AA1" w:rsidP="00FC2AA1">
      <w:r w:rsidRPr="009D39F0">
        <w:t>Any future datum change can then be accommodated by incorporating the appropriate transformation information into the ASMG specification.</w:t>
      </w:r>
    </w:p>
    <w:p w:rsidR="00FC2AA1" w:rsidRDefault="00FC2AA1" w:rsidP="00FC2AA1">
      <w:r w:rsidRPr="009D39F0">
        <w:t>This is essentially the same procedure that was applied to the boundaries of land parcels by State government land titles administrations in the course of the transition from AGD66/AGD84 to GDA94.</w:t>
      </w:r>
    </w:p>
    <w:p w:rsidR="00FC2AA1" w:rsidRPr="00F24E57" w:rsidRDefault="00FC2AA1" w:rsidP="00FC2AA1">
      <w:pPr>
        <w:pStyle w:val="ListParagraph"/>
        <w:keepNext/>
        <w:keepLines/>
        <w:numPr>
          <w:ilvl w:val="0"/>
          <w:numId w:val="18"/>
        </w:numPr>
        <w:spacing w:before="120" w:after="80"/>
        <w:contextualSpacing w:val="0"/>
        <w:outlineLvl w:val="2"/>
        <w:rPr>
          <w:rFonts w:asciiTheme="majorHAnsi" w:eastAsiaTheme="majorEastAsia" w:hAnsiTheme="majorHAnsi" w:cstheme="majorBidi"/>
          <w:b/>
          <w:bCs/>
          <w:vanish/>
        </w:rPr>
      </w:pPr>
    </w:p>
    <w:p w:rsidR="00FC2AA1" w:rsidRPr="00F24E57" w:rsidRDefault="00FC2AA1" w:rsidP="00FC2AA1">
      <w:pPr>
        <w:pStyle w:val="ListParagraph"/>
        <w:keepNext/>
        <w:keepLines/>
        <w:numPr>
          <w:ilvl w:val="1"/>
          <w:numId w:val="18"/>
        </w:numPr>
        <w:spacing w:before="120" w:after="80"/>
        <w:contextualSpacing w:val="0"/>
        <w:outlineLvl w:val="2"/>
        <w:rPr>
          <w:rFonts w:asciiTheme="majorHAnsi" w:eastAsiaTheme="majorEastAsia" w:hAnsiTheme="majorHAnsi" w:cstheme="majorBidi"/>
          <w:b/>
          <w:bCs/>
          <w:vanish/>
        </w:rPr>
      </w:pPr>
    </w:p>
    <w:p w:rsidR="00FC2AA1" w:rsidRPr="00F24E57" w:rsidRDefault="00FC2AA1" w:rsidP="00FC2AA1">
      <w:pPr>
        <w:pStyle w:val="ListParagraph"/>
        <w:keepNext/>
        <w:keepLines/>
        <w:numPr>
          <w:ilvl w:val="1"/>
          <w:numId w:val="18"/>
        </w:numPr>
        <w:spacing w:before="120" w:after="80"/>
        <w:contextualSpacing w:val="0"/>
        <w:outlineLvl w:val="2"/>
        <w:rPr>
          <w:rFonts w:asciiTheme="majorHAnsi" w:eastAsiaTheme="majorEastAsia" w:hAnsiTheme="majorHAnsi" w:cstheme="majorBidi"/>
          <w:b/>
          <w:bCs/>
          <w:vanish/>
        </w:rPr>
      </w:pPr>
    </w:p>
    <w:p w:rsidR="00FC2AA1" w:rsidRDefault="00FC2AA1" w:rsidP="00FC2AA1">
      <w:pPr>
        <w:pStyle w:val="Heading3"/>
        <w:numPr>
          <w:ilvl w:val="1"/>
          <w:numId w:val="18"/>
        </w:numPr>
        <w:ind w:left="578" w:hanging="578"/>
      </w:pPr>
      <w:r>
        <w:t>Changes to the Digital Elevation Model</w:t>
      </w:r>
    </w:p>
    <w:p w:rsidR="00FC2AA1" w:rsidRDefault="00FC2AA1" w:rsidP="00FC2AA1">
      <w:r>
        <w:t>To coincide with the release of the 700 MHz and 2.5 GHz spectrum licences, updating the technical frameworks for the 800 MHz and 1800 MHz and the change to GDA94, the ACMA has worked to identify whether an appropriate update to the digital elevation model is also applicable.</w:t>
      </w:r>
    </w:p>
    <w:p w:rsidR="00FC2AA1" w:rsidRDefault="00FC2AA1" w:rsidP="00FC2AA1">
      <w:r>
        <w:t xml:space="preserve">The </w:t>
      </w:r>
      <w:r w:rsidRPr="00AC5E17">
        <w:rPr>
          <w:i/>
        </w:rPr>
        <w:t>GEODATA 9 Second</w:t>
      </w:r>
      <w:r>
        <w:rPr>
          <w:i/>
        </w:rPr>
        <w:t xml:space="preserve"> Digital Elevation Model</w:t>
      </w:r>
      <w:r w:rsidRPr="00AC5E17">
        <w:rPr>
          <w:i/>
        </w:rPr>
        <w:t xml:space="preserve"> Version 3</w:t>
      </w:r>
      <w:r>
        <w:t xml:space="preserve"> (DEM9S) is the latest 9-second DEM to be released by </w:t>
      </w:r>
      <w:proofErr w:type="spellStart"/>
      <w:r>
        <w:t>Geoscience</w:t>
      </w:r>
      <w:proofErr w:type="spellEnd"/>
      <w:r>
        <w:t xml:space="preserve"> Australia (with elevation gridding performed by ANU) and is the proposed DEM to be incorporated in the updated and new spectrum licence technical frameworks.</w:t>
      </w:r>
    </w:p>
    <w:p w:rsidR="00FC2AA1" w:rsidRDefault="00FC2AA1" w:rsidP="00FC2AA1">
      <w:r>
        <w:t xml:space="preserve">DEM9S </w:t>
      </w:r>
      <w:r w:rsidRPr="00AC5E17">
        <w:t>is a gridded digital elevation model computed</w:t>
      </w:r>
      <w:r>
        <w:t xml:space="preserve"> </w:t>
      </w:r>
      <w:r w:rsidRPr="00AC5E17">
        <w:t>from continent-wide topographic data including point elevations, streamlines, water body boundaries and cliff lines.</w:t>
      </w:r>
      <w:r>
        <w:t xml:space="preserve"> The data included in DEM9S was collected between 1 July 2005 and 30 June 2008.</w:t>
      </w:r>
    </w:p>
    <w:p w:rsidR="00FC2AA1" w:rsidRDefault="00FC2AA1" w:rsidP="00FC2AA1">
      <w:r>
        <w:t>Estimates based on residuals from points selected on a finer scale than DEM9S show that for 50% of the DEM, heights do not vary more than 4 metres with a standard deviation of 10 metres, and for 80% of the DEM, heights do not vary more than 13 metres with a standard deviation of 15 metres.</w:t>
      </w:r>
    </w:p>
    <w:p w:rsidR="00FC2AA1" w:rsidRDefault="00FC2AA1" w:rsidP="00FC2AA1">
      <w:r>
        <w:t xml:space="preserve">The primary reason for the ACMA to adopt the DEM9S is that conversion between the current </w:t>
      </w:r>
      <w:proofErr w:type="spellStart"/>
      <w:r>
        <w:t>RadDEM</w:t>
      </w:r>
      <w:proofErr w:type="spellEnd"/>
      <w:r>
        <w:t xml:space="preserve"> in AGD66 and GDA94 is a rather complex operation which requires the </w:t>
      </w:r>
      <w:proofErr w:type="spellStart"/>
      <w:r>
        <w:t>RadDEM</w:t>
      </w:r>
      <w:proofErr w:type="spellEnd"/>
      <w:r>
        <w:t xml:space="preserve"> raster to be re-sampled using some interpolated function to form a grid of heights in the new datum (GDA94). Whilst this process is possible, it is not desirable as the underlying effect of applying the interpolated function are unknown and beyond the realms of ACMA study.</w:t>
      </w:r>
    </w:p>
    <w:p w:rsidR="00FC2AA1" w:rsidRDefault="00FC2AA1" w:rsidP="00FC2AA1">
      <w:r>
        <w:t xml:space="preserve">The ACMA has chosen to remain with a 9-second DEM even though there are other more dense DEMs (including a 1-second DEM using data based on the Shuttle Radar Topography Mission – SRTM) available from </w:t>
      </w:r>
      <w:proofErr w:type="spellStart"/>
      <w:r>
        <w:t>Geoscience</w:t>
      </w:r>
      <w:proofErr w:type="spellEnd"/>
      <w:r>
        <w:t xml:space="preserve"> Australia. The averaging already used in the device boundary process, for which the DEM is most required, means there is no need for the ACMA to adopt a denser DEM because the averaging area would likely remain a similar size in order to maintain results like those already being achieved.</w:t>
      </w:r>
    </w:p>
    <w:p w:rsidR="00FC2AA1" w:rsidRDefault="00FC2AA1" w:rsidP="00FC2AA1">
      <w:r>
        <w:lastRenderedPageBreak/>
        <w:t xml:space="preserve">The ACMA has determined that in order for the DEM to be used for spectrum licensing, it needs to be a product that can be maintained and easily obtained by the licensee and other parties as well as being a proven and mature release rather than the dense DEMs which are only a first release. In addition, </w:t>
      </w:r>
      <w:proofErr w:type="spellStart"/>
      <w:r>
        <w:t>RadDEM</w:t>
      </w:r>
      <w:proofErr w:type="spellEnd"/>
      <w:r>
        <w:t xml:space="preserve"> and DEM9S both fit onto a standard CD-ROM and therefore make re-distribution a lot simpler.</w:t>
      </w:r>
    </w:p>
    <w:p w:rsidR="00FC2AA1" w:rsidRPr="009D39F0" w:rsidRDefault="00FC2AA1" w:rsidP="00FC2AA1">
      <w:r w:rsidRPr="009D39F0">
        <w:br w:type="page"/>
      </w:r>
    </w:p>
    <w:p w:rsidR="00FC2AA1" w:rsidRDefault="00FC2AA1" w:rsidP="00FC2AA1">
      <w:pPr>
        <w:pStyle w:val="Heading2"/>
        <w:rPr>
          <w:rFonts w:eastAsia="Times New Roman"/>
        </w:rPr>
      </w:pPr>
      <w:r w:rsidRPr="009D39F0">
        <w:rPr>
          <w:rFonts w:eastAsia="Times New Roman"/>
        </w:rPr>
        <w:lastRenderedPageBreak/>
        <w:t>Appendix A – Current ASMG</w:t>
      </w:r>
    </w:p>
    <w:p w:rsidR="00FC2AA1" w:rsidRPr="000C62EE" w:rsidRDefault="00FC2AA1" w:rsidP="00FC2AA1"/>
    <w:p w:rsidR="00FC2AA1" w:rsidRPr="009D39F0" w:rsidRDefault="00FC2AA1" w:rsidP="00FC2AA1">
      <w:r w:rsidRPr="009D39F0">
        <w:t xml:space="preserve">The current ASMG is referenced to the Australian Geodetic Datum 1966 (AGD66) and is illustrated in </w:t>
      </w:r>
      <w:r w:rsidR="005C79B8">
        <w:fldChar w:fldCharType="begin"/>
      </w:r>
      <w:r>
        <w:instrText xml:space="preserve"> REF _Ref301850669 \h </w:instrText>
      </w:r>
      <w:r w:rsidR="005C79B8">
        <w:fldChar w:fldCharType="separate"/>
      </w:r>
      <w:r w:rsidR="00F831B0">
        <w:t xml:space="preserve">Figure </w:t>
      </w:r>
      <w:r w:rsidR="00F831B0">
        <w:rPr>
          <w:noProof/>
        </w:rPr>
        <w:t>2</w:t>
      </w:r>
      <w:r w:rsidR="005C79B8">
        <w:fldChar w:fldCharType="end"/>
      </w:r>
      <w:r w:rsidRPr="009D39F0">
        <w:t xml:space="preserve">. It has three different resolutions aligning with the typical density of radiocommunications services across Australia:  </w:t>
      </w:r>
    </w:p>
    <w:p w:rsidR="00FC2AA1" w:rsidRDefault="00FC2AA1" w:rsidP="00FC2AA1">
      <w:pPr>
        <w:pStyle w:val="ListParagraph"/>
        <w:numPr>
          <w:ilvl w:val="0"/>
          <w:numId w:val="17"/>
        </w:numPr>
      </w:pPr>
      <w:r w:rsidRPr="009D39F0">
        <w:t xml:space="preserve">In remote areas the grid is 3 degrees of arc dividing the geographic area into cells approximately 330 km along each edge.  </w:t>
      </w:r>
    </w:p>
    <w:p w:rsidR="00FC2AA1" w:rsidRDefault="00FC2AA1" w:rsidP="00FC2AA1">
      <w:pPr>
        <w:pStyle w:val="ListParagraph"/>
        <w:numPr>
          <w:ilvl w:val="0"/>
          <w:numId w:val="17"/>
        </w:numPr>
      </w:pPr>
      <w:r w:rsidRPr="009D39F0">
        <w:t xml:space="preserve">Regional areas are covered by a 1 degree grid or cell approximately 110 km along each edge.  </w:t>
      </w:r>
    </w:p>
    <w:p w:rsidR="00FC2AA1" w:rsidRDefault="00FC2AA1" w:rsidP="00FC2AA1">
      <w:pPr>
        <w:pStyle w:val="ListParagraph"/>
        <w:numPr>
          <w:ilvl w:val="0"/>
          <w:numId w:val="17"/>
        </w:numPr>
      </w:pPr>
      <w:r w:rsidRPr="009D39F0">
        <w:t>The state capitals and much of the south east coast of Australia is covered by a grid of 5 minutes of arc or areas approximately 9 km along each side.</w:t>
      </w:r>
    </w:p>
    <w:p w:rsidR="00FC2AA1" w:rsidRPr="009D39F0" w:rsidRDefault="00FC2AA1" w:rsidP="00FC2AA1">
      <w:r w:rsidRPr="009D39F0">
        <w:t xml:space="preserve">Boundary segments are interpreted to follow lines of constant latitude or longitude when constructed between sequential pairs of coordinates in a boundary description. </w:t>
      </w:r>
    </w:p>
    <w:p w:rsidR="00FC2AA1" w:rsidRPr="009D39F0" w:rsidRDefault="00FC2AA1" w:rsidP="00FC2AA1">
      <w:r>
        <w:t>Individual</w:t>
      </w:r>
      <w:r w:rsidRPr="009D39F0">
        <w:t xml:space="preserve"> cells define the current geographical standard trading unit (STU) for spectrum licences across Australia.</w:t>
      </w:r>
    </w:p>
    <w:p w:rsidR="00FC2AA1" w:rsidRDefault="00FC2AA1" w:rsidP="00FC2AA1"/>
    <w:p w:rsidR="00FC2AA1" w:rsidRDefault="00FC2AA1" w:rsidP="00FC2AA1">
      <w:pPr>
        <w:pStyle w:val="Caption"/>
      </w:pPr>
      <w:bookmarkStart w:id="3" w:name="_Ref301850669"/>
      <w:r>
        <w:t xml:space="preserve">Figure </w:t>
      </w:r>
      <w:r w:rsidR="005C79B8">
        <w:fldChar w:fldCharType="begin"/>
      </w:r>
      <w:r>
        <w:instrText xml:space="preserve"> SEQ Figure \* ARABIC </w:instrText>
      </w:r>
      <w:r w:rsidR="005C79B8">
        <w:fldChar w:fldCharType="separate"/>
      </w:r>
      <w:r w:rsidR="00F831B0">
        <w:rPr>
          <w:noProof/>
        </w:rPr>
        <w:t>2</w:t>
      </w:r>
      <w:r w:rsidR="005C79B8">
        <w:fldChar w:fldCharType="end"/>
      </w:r>
      <w:bookmarkEnd w:id="3"/>
      <w:r>
        <w:t>:</w:t>
      </w:r>
      <w:r w:rsidRPr="00411CC3">
        <w:t xml:space="preserve"> Current </w:t>
      </w:r>
      <w:r>
        <w:t>ASMG</w:t>
      </w:r>
    </w:p>
    <w:p w:rsidR="00FC2AA1" w:rsidRDefault="00FC2AA1" w:rsidP="00FC2AA1">
      <w:r>
        <w:rPr>
          <w:noProof/>
          <w:lang w:eastAsia="en-AU"/>
        </w:rPr>
        <w:drawing>
          <wp:inline distT="0" distB="0" distL="0" distR="0">
            <wp:extent cx="5400675" cy="4324350"/>
            <wp:effectExtent l="19050" t="0" r="9525" b="0"/>
            <wp:docPr id="1" name="Picture 2" descr="asm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mg.png"/>
                    <pic:cNvPicPr>
                      <a:picLocks noChangeAspect="1" noChangeArrowheads="1"/>
                    </pic:cNvPicPr>
                  </pic:nvPicPr>
                  <pic:blipFill>
                    <a:blip r:embed="rId13" cstate="print"/>
                    <a:srcRect/>
                    <a:stretch>
                      <a:fillRect/>
                    </a:stretch>
                  </pic:blipFill>
                  <pic:spPr bwMode="auto">
                    <a:xfrm>
                      <a:off x="0" y="0"/>
                      <a:ext cx="5400675" cy="4324350"/>
                    </a:xfrm>
                    <a:prstGeom prst="rect">
                      <a:avLst/>
                    </a:prstGeom>
                    <a:noFill/>
                    <a:ln w="9525">
                      <a:noFill/>
                      <a:miter lim="800000"/>
                      <a:headEnd/>
                      <a:tailEnd/>
                    </a:ln>
                  </pic:spPr>
                </pic:pic>
              </a:graphicData>
            </a:graphic>
          </wp:inline>
        </w:drawing>
      </w:r>
    </w:p>
    <w:p w:rsidR="00F831B0" w:rsidRDefault="00F831B0">
      <w:r>
        <w:br w:type="page"/>
      </w:r>
    </w:p>
    <w:p w:rsidR="00FC2AA1" w:rsidRPr="009D39F0" w:rsidRDefault="00FC2AA1" w:rsidP="00FC2AA1">
      <w:r w:rsidRPr="009D39F0">
        <w:lastRenderedPageBreak/>
        <w:t xml:space="preserve">The coordinate list for the outer boundary of the current ASMG referenced in AGD66 </w:t>
      </w:r>
      <w:r>
        <w:t>is</w:t>
      </w:r>
      <w:r w:rsidRPr="009D39F0">
        <w:t xml:space="preserve"> contained in the table below:</w:t>
      </w:r>
    </w:p>
    <w:p w:rsidR="00FC2AA1" w:rsidRDefault="00FC2AA1" w:rsidP="00FC2AA1">
      <w:pPr>
        <w:sectPr w:rsidR="00FC2AA1" w:rsidSect="00A832C5">
          <w:headerReference w:type="default" r:id="rId14"/>
          <w:footerReference w:type="default" r:id="rId15"/>
          <w:pgSz w:w="11906" w:h="16838"/>
          <w:pgMar w:top="1440" w:right="1440" w:bottom="1440" w:left="1440" w:header="708" w:footer="708" w:gutter="0"/>
          <w:cols w:space="708"/>
          <w:docGrid w:linePitch="360"/>
        </w:sectPr>
      </w:pPr>
    </w:p>
    <w:tbl>
      <w:tblPr>
        <w:tblStyle w:val="TableGrid"/>
        <w:tblW w:w="0" w:type="auto"/>
        <w:tblBorders>
          <w:top w:val="single" w:sz="18" w:space="0" w:color="000000" w:themeColor="text1"/>
          <w:left w:val="single" w:sz="18" w:space="0" w:color="000000" w:themeColor="text1"/>
          <w:bottom w:val="single" w:sz="18" w:space="0" w:color="000000" w:themeColor="text1"/>
          <w:right w:val="single" w:sz="18" w:space="0" w:color="000000" w:themeColor="text1"/>
        </w:tblBorders>
        <w:tblLook w:val="04A0"/>
      </w:tblPr>
      <w:tblGrid>
        <w:gridCol w:w="1376"/>
        <w:gridCol w:w="1376"/>
      </w:tblGrid>
      <w:tr w:rsidR="00FC2AA1" w:rsidRPr="00E07185" w:rsidTr="00C34C49">
        <w:trPr>
          <w:tblHeader/>
        </w:trPr>
        <w:tc>
          <w:tcPr>
            <w:tcW w:w="1376" w:type="dxa"/>
            <w:tcBorders>
              <w:top w:val="single" w:sz="18" w:space="0" w:color="000000" w:themeColor="text1"/>
              <w:bottom w:val="single" w:sz="4" w:space="0" w:color="000000" w:themeColor="text1"/>
            </w:tcBorders>
            <w:shd w:val="pct10" w:color="auto" w:fill="auto"/>
          </w:tcPr>
          <w:p w:rsidR="00FC2AA1" w:rsidRPr="00E07185" w:rsidRDefault="00FC2AA1" w:rsidP="00C34C49">
            <w:r w:rsidRPr="00E07185">
              <w:lastRenderedPageBreak/>
              <w:t>° ' " South</w:t>
            </w:r>
          </w:p>
        </w:tc>
        <w:tc>
          <w:tcPr>
            <w:tcW w:w="1376" w:type="dxa"/>
            <w:tcBorders>
              <w:top w:val="single" w:sz="18" w:space="0" w:color="000000" w:themeColor="text1"/>
              <w:bottom w:val="single" w:sz="4" w:space="0" w:color="000000" w:themeColor="text1"/>
            </w:tcBorders>
            <w:shd w:val="pct10" w:color="auto" w:fill="auto"/>
          </w:tcPr>
          <w:p w:rsidR="00FC2AA1" w:rsidRPr="00E07185" w:rsidRDefault="00FC2AA1" w:rsidP="00C34C49">
            <w:r w:rsidRPr="00E07185">
              <w:t>° ' " East</w:t>
            </w:r>
          </w:p>
        </w:tc>
      </w:tr>
      <w:tr w:rsidR="00F831B0" w:rsidRPr="00E07185" w:rsidTr="00C34C49">
        <w:tc>
          <w:tcPr>
            <w:tcW w:w="1376" w:type="dxa"/>
            <w:tcBorders>
              <w:top w:val="single" w:sz="4" w:space="0" w:color="000000" w:themeColor="text1"/>
            </w:tcBorders>
          </w:tcPr>
          <w:p w:rsidR="00F831B0" w:rsidRPr="00E07185" w:rsidRDefault="00F831B0" w:rsidP="00C34C49">
            <w:r w:rsidRPr="003E3DC7">
              <w:rPr>
                <w:sz w:val="20"/>
                <w:szCs w:val="20"/>
              </w:rPr>
              <w:t xml:space="preserve">21 00 </w:t>
            </w:r>
            <w:proofErr w:type="spellStart"/>
            <w:r w:rsidRPr="003E3DC7">
              <w:rPr>
                <w:sz w:val="20"/>
                <w:szCs w:val="20"/>
              </w:rPr>
              <w:t>00</w:t>
            </w:r>
            <w:proofErr w:type="spellEnd"/>
          </w:p>
        </w:tc>
        <w:tc>
          <w:tcPr>
            <w:tcW w:w="1376" w:type="dxa"/>
            <w:tcBorders>
              <w:top w:val="single" w:sz="4" w:space="0" w:color="000000" w:themeColor="text1"/>
            </w:tcBorders>
          </w:tcPr>
          <w:p w:rsidR="00F831B0" w:rsidRPr="00E07185" w:rsidRDefault="00F831B0" w:rsidP="00C34C49">
            <w:r w:rsidRPr="003E3DC7">
              <w:rPr>
                <w:sz w:val="20"/>
                <w:szCs w:val="20"/>
              </w:rPr>
              <w:t xml:space="preserve">113 00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115 00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19 00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115 00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19 00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121 00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16 00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121 00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16 00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130 00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130 00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10 00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10 00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146 00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16 00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146 00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16 00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147 00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19 00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147 00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19 00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20 00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20 00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150 00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150 00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151 00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151 00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32 00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lastRenderedPageBreak/>
              <w:t xml:space="preserve">32 00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35 00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35 00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151 00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38 00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151 00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38 00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44 00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44 00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42 00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42 00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41 00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41 00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39 00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39 00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140 00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38 00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140 00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38 00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37 00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37 00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136 00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36 00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136 00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36 00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32 00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32 00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lastRenderedPageBreak/>
              <w:t xml:space="preserve">34 00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35 00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124 00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35 00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119 00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36 00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119 00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36 00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116 00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35 00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116 00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35 00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114 00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33 00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114 00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33 00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115 00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31 00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115 00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31 00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114 00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29 00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114 00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29 00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113 00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26 00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113 00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26 00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112 00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25 00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112 00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25 00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113 00 </w:t>
            </w:r>
            <w:proofErr w:type="spellStart"/>
            <w:r w:rsidRPr="003E3DC7">
              <w:rPr>
                <w:sz w:val="20"/>
                <w:szCs w:val="20"/>
              </w:rPr>
              <w:t>00</w:t>
            </w:r>
            <w:proofErr w:type="spellEnd"/>
          </w:p>
        </w:tc>
      </w:tr>
    </w:tbl>
    <w:p w:rsidR="00F831B0" w:rsidRDefault="00F831B0" w:rsidP="00FC2AA1">
      <w:pPr>
        <w:sectPr w:rsidR="00F831B0" w:rsidSect="002F5443">
          <w:type w:val="continuous"/>
          <w:pgSz w:w="11906" w:h="16838"/>
          <w:pgMar w:top="1440" w:right="1440" w:bottom="1440" w:left="1440" w:header="708" w:footer="708" w:gutter="0"/>
          <w:cols w:num="3" w:space="708"/>
          <w:docGrid w:linePitch="360"/>
        </w:sectPr>
      </w:pPr>
    </w:p>
    <w:p w:rsidR="00FC2AA1" w:rsidRDefault="00FC2AA1" w:rsidP="00FC2AA1"/>
    <w:p w:rsidR="00FC2AA1" w:rsidRDefault="00FC2AA1" w:rsidP="00FC2AA1"/>
    <w:p w:rsidR="00F831B0" w:rsidRDefault="00F831B0">
      <w:r>
        <w:br w:type="page"/>
      </w:r>
    </w:p>
    <w:p w:rsidR="00F831B0" w:rsidRDefault="00F831B0" w:rsidP="00F831B0">
      <w:r>
        <w:lastRenderedPageBreak/>
        <w:t xml:space="preserve">It is proposed that the boundary of the ASMG be preserved, and represented in GDA94. This boundary is shown in </w:t>
      </w:r>
      <w:r w:rsidR="005C79B8">
        <w:fldChar w:fldCharType="begin"/>
      </w:r>
      <w:r>
        <w:instrText xml:space="preserve"> REF _Ref302718619 \h </w:instrText>
      </w:r>
      <w:r w:rsidR="005C79B8">
        <w:fldChar w:fldCharType="separate"/>
      </w:r>
      <w:r>
        <w:t xml:space="preserve">Figure </w:t>
      </w:r>
      <w:r>
        <w:rPr>
          <w:noProof/>
        </w:rPr>
        <w:t>3</w:t>
      </w:r>
      <w:r w:rsidR="005C79B8">
        <w:fldChar w:fldCharType="end"/>
      </w:r>
      <w:r>
        <w:t>. Because of the scale, the cells are not shown</w:t>
      </w:r>
    </w:p>
    <w:p w:rsidR="00F831B0" w:rsidRDefault="00F831B0" w:rsidP="00F831B0">
      <w:pPr>
        <w:pStyle w:val="Caption"/>
      </w:pPr>
      <w:bookmarkStart w:id="4" w:name="_Ref302718619"/>
      <w:r>
        <w:t xml:space="preserve">Figure </w:t>
      </w:r>
      <w:r w:rsidR="005C79B8">
        <w:fldChar w:fldCharType="begin"/>
      </w:r>
      <w:r>
        <w:instrText xml:space="preserve"> SEQ Figure \* ARABIC </w:instrText>
      </w:r>
      <w:r w:rsidR="005C79B8">
        <w:fldChar w:fldCharType="separate"/>
      </w:r>
      <w:r>
        <w:rPr>
          <w:noProof/>
        </w:rPr>
        <w:t>3</w:t>
      </w:r>
      <w:r w:rsidR="005C79B8">
        <w:fldChar w:fldCharType="end"/>
      </w:r>
      <w:bookmarkEnd w:id="4"/>
      <w:r>
        <w:t>:</w:t>
      </w:r>
      <w:r w:rsidRPr="00411CC3">
        <w:t xml:space="preserve"> </w:t>
      </w:r>
      <w:r>
        <w:t>Boundary of proposed ASMG</w:t>
      </w:r>
    </w:p>
    <w:p w:rsidR="00F831B0" w:rsidRDefault="00F831B0" w:rsidP="00F831B0">
      <w:r w:rsidRPr="0065015F">
        <w:rPr>
          <w:noProof/>
          <w:lang w:eastAsia="en-AU"/>
        </w:rPr>
        <w:drawing>
          <wp:inline distT="0" distB="0" distL="0" distR="0">
            <wp:extent cx="5731510" cy="4719540"/>
            <wp:effectExtent l="19050" t="0" r="2540" b="0"/>
            <wp:docPr id="13" name="Picture 1" descr="H:\local editing\SMGOut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local editing\SMGOutline.png"/>
                    <pic:cNvPicPr>
                      <a:picLocks noChangeAspect="1" noChangeArrowheads="1"/>
                    </pic:cNvPicPr>
                  </pic:nvPicPr>
                  <pic:blipFill>
                    <a:blip r:embed="rId16" cstate="print"/>
                    <a:srcRect/>
                    <a:stretch>
                      <a:fillRect/>
                    </a:stretch>
                  </pic:blipFill>
                  <pic:spPr bwMode="auto">
                    <a:xfrm>
                      <a:off x="0" y="0"/>
                      <a:ext cx="5731510" cy="4719540"/>
                    </a:xfrm>
                    <a:prstGeom prst="rect">
                      <a:avLst/>
                    </a:prstGeom>
                    <a:noFill/>
                    <a:ln w="9525">
                      <a:noFill/>
                      <a:miter lim="800000"/>
                      <a:headEnd/>
                      <a:tailEnd/>
                    </a:ln>
                  </pic:spPr>
                </pic:pic>
              </a:graphicData>
            </a:graphic>
          </wp:inline>
        </w:drawing>
      </w:r>
    </w:p>
    <w:p w:rsidR="00F831B0" w:rsidRDefault="00F831B0" w:rsidP="00F831B0"/>
    <w:p w:rsidR="00F831B0" w:rsidRDefault="00F831B0" w:rsidP="00F831B0">
      <w:r>
        <w:br w:type="page"/>
      </w:r>
    </w:p>
    <w:p w:rsidR="00F831B0" w:rsidRDefault="00F831B0" w:rsidP="00F831B0">
      <w:pPr>
        <w:sectPr w:rsidR="00F831B0" w:rsidSect="00562A6E">
          <w:type w:val="continuous"/>
          <w:pgSz w:w="11906" w:h="16838"/>
          <w:pgMar w:top="1440" w:right="1440" w:bottom="1440" w:left="1440" w:header="708" w:footer="708" w:gutter="0"/>
          <w:cols w:space="708"/>
          <w:docGrid w:linePitch="360"/>
        </w:sectPr>
      </w:pPr>
      <w:r>
        <w:lastRenderedPageBreak/>
        <w:t>Below is the boundary of the ASMG in GDA94 (note: where the boundary spans more than 1 degree between vertices intermediate points have been added at 1 degree increments).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0" w:type="dxa"/>
        </w:tblCellMar>
        <w:tblLook w:val="01E0"/>
      </w:tblPr>
      <w:tblGrid>
        <w:gridCol w:w="1025"/>
        <w:gridCol w:w="1680"/>
        <w:gridCol w:w="1680"/>
      </w:tblGrid>
      <w:tr w:rsidR="00F831B0" w:rsidRPr="00D96165" w:rsidTr="00C34C49">
        <w:trPr>
          <w:trHeight w:hRule="exact" w:val="284"/>
          <w:tblHeader/>
        </w:trPr>
        <w:tc>
          <w:tcPr>
            <w:tcW w:w="1025" w:type="dxa"/>
            <w:shd w:val="pct10" w:color="auto" w:fill="auto"/>
            <w:tcMar>
              <w:top w:w="34" w:type="dxa"/>
              <w:left w:w="113" w:type="dxa"/>
              <w:right w:w="113" w:type="dxa"/>
            </w:tcMar>
            <w:vAlign w:val="center"/>
          </w:tcPr>
          <w:p w:rsidR="00F831B0" w:rsidRPr="00562A6E" w:rsidRDefault="00F831B0" w:rsidP="00C34C49">
            <w:pPr>
              <w:spacing w:after="0" w:line="240" w:lineRule="auto"/>
              <w:jc w:val="right"/>
              <w:rPr>
                <w:sz w:val="18"/>
                <w:szCs w:val="18"/>
              </w:rPr>
            </w:pPr>
            <w:r w:rsidRPr="00562A6E">
              <w:rPr>
                <w:sz w:val="18"/>
                <w:szCs w:val="18"/>
              </w:rPr>
              <w:lastRenderedPageBreak/>
              <w:t>Row</w:t>
            </w:r>
          </w:p>
        </w:tc>
        <w:tc>
          <w:tcPr>
            <w:tcW w:w="1680" w:type="dxa"/>
            <w:shd w:val="pct10" w:color="auto" w:fill="auto"/>
            <w:tcMar>
              <w:left w:w="113" w:type="dxa"/>
              <w:right w:w="113" w:type="dxa"/>
            </w:tcMar>
            <w:vAlign w:val="center"/>
          </w:tcPr>
          <w:p w:rsidR="00F831B0" w:rsidRPr="00562A6E" w:rsidRDefault="00F831B0" w:rsidP="00C34C49">
            <w:pPr>
              <w:spacing w:after="0" w:line="240" w:lineRule="auto"/>
              <w:jc w:val="right"/>
              <w:rPr>
                <w:sz w:val="18"/>
                <w:szCs w:val="18"/>
              </w:rPr>
            </w:pPr>
            <w:r w:rsidRPr="00562A6E">
              <w:rPr>
                <w:sz w:val="18"/>
                <w:szCs w:val="18"/>
              </w:rPr>
              <w:t>Latitude (° South)</w:t>
            </w:r>
          </w:p>
        </w:tc>
        <w:tc>
          <w:tcPr>
            <w:tcW w:w="1680" w:type="dxa"/>
            <w:shd w:val="pct10" w:color="auto" w:fill="auto"/>
            <w:tcMar>
              <w:left w:w="113" w:type="dxa"/>
              <w:right w:w="113" w:type="dxa"/>
            </w:tcMar>
            <w:vAlign w:val="center"/>
          </w:tcPr>
          <w:p w:rsidR="00F831B0" w:rsidRPr="00562A6E" w:rsidRDefault="00F831B0" w:rsidP="00C34C49">
            <w:pPr>
              <w:spacing w:after="0" w:line="240" w:lineRule="auto"/>
              <w:jc w:val="right"/>
              <w:rPr>
                <w:sz w:val="18"/>
                <w:szCs w:val="18"/>
              </w:rPr>
            </w:pPr>
            <w:r w:rsidRPr="00562A6E">
              <w:rPr>
                <w:sz w:val="18"/>
                <w:szCs w:val="18"/>
              </w:rPr>
              <w:t>Longitude (° East)</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w:t>
            </w:r>
          </w:p>
        </w:tc>
        <w:tc>
          <w:tcPr>
            <w:tcW w:w="1680" w:type="dxa"/>
            <w:shd w:val="clear" w:color="auto" w:fill="auto"/>
            <w:tcMar>
              <w:left w:w="113" w:type="dxa"/>
              <w:right w:w="113" w:type="dxa"/>
            </w:tcMar>
            <w:vAlign w:val="center"/>
          </w:tcPr>
          <w:p w:rsidR="00F831B0" w:rsidRPr="00D96165" w:rsidRDefault="00F831B0" w:rsidP="00C34C49">
            <w:pPr>
              <w:spacing w:after="0" w:line="480" w:lineRule="auto"/>
              <w:jc w:val="right"/>
              <w:rPr>
                <w:rFonts w:ascii="Calibri" w:hAnsi="Calibri" w:cs="Calibri"/>
                <w:color w:val="000000"/>
                <w:sz w:val="16"/>
                <w:szCs w:val="16"/>
              </w:rPr>
            </w:pPr>
            <w:r>
              <w:rPr>
                <w:rFonts w:ascii="Calibri" w:hAnsi="Calibri" w:cs="Calibri"/>
                <w:color w:val="000000"/>
                <w:sz w:val="16"/>
                <w:szCs w:val="16"/>
              </w:rPr>
              <w:t>24.998757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112.001377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24.998744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113.001346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23.998738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113.001340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22.998729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113.001347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21.998721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113.001338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20.998713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113.001332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20.998705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114.001326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20.998698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115.001297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19.998688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115.001319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18.998681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115.001312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18.998673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116.001310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18.998666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117.001309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18.998658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118.001306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18.998650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119.001304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18.998642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120.001301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18.998630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121.001292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17.998630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121.001289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16.998626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121.001281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15.998622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121.001274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15.998616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122.001271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15.998607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123.001262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15.998601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124.001256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14.998601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124.001255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13.998599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124.001249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12.998597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124.001244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12.998592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125.001239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12.998586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126.001234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12.998581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127.001229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12.998576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128.001224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12.998571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129.001218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12.998580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130.001200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11.998567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130.001205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10.998568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130.001202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10.998567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131.001191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10.998568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132.001181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9.998561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132.001184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9.998558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133.001177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9.998554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134.001170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9.998550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135.001162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9.998546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136.001154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9.998543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137.001145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9.998539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138.001137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9.998535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139.001128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9.998532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140.001118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9.998528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141.001108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lastRenderedPageBreak/>
              <w:t>46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9.998510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142.001113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9.998506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143.001104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10.998494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143.001114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10.998513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144.001081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11.998507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144.001084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12.998499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144.001091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13.998493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144.001090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13.998490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145.001081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13.998488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146.001070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14.998483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146.001074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15.998478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146.001078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15.998474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147.001067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16.998469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147.001072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17.998465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147.001078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18.998465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147.001089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18.998456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148.001071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18.998451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149.001058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19.998451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149.001064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19.998441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150.001050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20.998438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150.001056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20.998432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151.001042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21.998429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151.001049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22.998434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151.001058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22.998420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152.001041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23.998428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152.001046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23.998411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153.001033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23.998405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154.001018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24.998402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154.001025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25.998401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154.001033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26.998397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154.001041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27.998398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154.001049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28.998397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154.001059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29.998395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154.001068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30.998395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154.001078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31.998395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154.001088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31.998405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153.001103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32.998404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153.001116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32.998415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152.001132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33.998414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152.001145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34.998416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152.001158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34.998426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151.001172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35.998427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151.001188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36.998431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151.001203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37.998434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151.001218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37.998444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150.001236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lastRenderedPageBreak/>
              <w:t>91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37.998457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149.001255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38.998459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149.001268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39.998464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149.001286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40.998469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149.001304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41.998475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149.001323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42.998481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149.001343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43.998488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149.001364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43.998499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148.001382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43.998511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147.001401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43.998522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146.001418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43.998534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145.001436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42.998527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145.001413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41.998522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145.001384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41.998531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144.001408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40.998524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144.001387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40.998536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143.001403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39.998529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143.001383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38.998522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143.001358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38.998534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142.001379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38.998546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141.001393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38.998557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140.001407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37.998545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140.001384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37.998562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139.001401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36.998554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139.001381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36.998567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138.001396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36.998578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137.001408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36.998590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136.001420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35.998576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136.001402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35.998595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135.001413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34.998583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135.001401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33.998570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135.001397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33.998586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134.001398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32.998580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134.001383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32.998595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133.001387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32.998608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132.001394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31.998594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132.001397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31.998606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131.001396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lastRenderedPageBreak/>
              <w:t>128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31.998614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130.001404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31.998623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129.001413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32.998642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129.001419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32.998653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128.001427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32.998664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127.001435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32.998675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126.001445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32.998686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125.001456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33.998699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125.001467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33.998715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124.001479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34.998719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124.001489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34.998731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123.001496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34.998749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122.001505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34.998756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121.001505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34.998769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120.001510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34.998788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119.001513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35.998793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119.001533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35.998806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118.001537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35.998819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117.001541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35.998832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116.001543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34.998831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116.001528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34.998841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115.001532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34.998846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114.001528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33.998836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114.001511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32.998821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114.001492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32.998823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115.001497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31.998805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115.001478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30.998801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115.001459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30.998798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114.001458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29.998789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114.001441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28.998773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114.001422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28.998787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113.001428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27.998776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113.001417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160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26.998768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113.001394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161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25.998754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113.001362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162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25.998767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112.001389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163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24.998757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112.001377</w:t>
            </w:r>
          </w:p>
        </w:tc>
      </w:tr>
    </w:tbl>
    <w:p w:rsidR="00F831B0" w:rsidRPr="00A832C5" w:rsidRDefault="00F831B0" w:rsidP="00F831B0">
      <w:pPr>
        <w:sectPr w:rsidR="00F831B0" w:rsidRPr="00A832C5" w:rsidSect="00562A6E">
          <w:type w:val="continuous"/>
          <w:pgSz w:w="11906" w:h="16838"/>
          <w:pgMar w:top="1440" w:right="1440" w:bottom="1440" w:left="1440" w:header="708" w:footer="708" w:gutter="0"/>
          <w:cols w:num="2" w:space="708"/>
          <w:docGrid w:linePitch="360"/>
        </w:sectPr>
      </w:pPr>
    </w:p>
    <w:p w:rsidR="00F831B0" w:rsidRPr="00A832C5" w:rsidRDefault="00F831B0" w:rsidP="00FC2AA1">
      <w:pPr>
        <w:sectPr w:rsidR="00F831B0" w:rsidRPr="00A832C5" w:rsidSect="002F5443">
          <w:type w:val="continuous"/>
          <w:pgSz w:w="11906" w:h="16838"/>
          <w:pgMar w:top="1440" w:right="1440" w:bottom="1440" w:left="1440" w:header="708" w:footer="708" w:gutter="0"/>
          <w:cols w:space="708"/>
          <w:docGrid w:linePitch="360"/>
        </w:sectPr>
      </w:pPr>
    </w:p>
    <w:p w:rsidR="00FC2AA1" w:rsidRPr="009D39F0" w:rsidRDefault="00FC2AA1" w:rsidP="00FC2AA1">
      <w:pPr>
        <w:pStyle w:val="Heading2"/>
        <w:rPr>
          <w:rFonts w:eastAsia="Times New Roman"/>
        </w:rPr>
      </w:pPr>
      <w:r w:rsidRPr="009D39F0">
        <w:rPr>
          <w:rFonts w:eastAsia="Times New Roman"/>
        </w:rPr>
        <w:lastRenderedPageBreak/>
        <w:t>Appendix B – Hierarchical Cell Identification Scheme (HCIS)</w:t>
      </w:r>
    </w:p>
    <w:p w:rsidR="00FC2AA1" w:rsidRDefault="00FC2AA1" w:rsidP="00FC2AA1"/>
    <w:p w:rsidR="00FC2AA1" w:rsidRPr="009D39F0" w:rsidRDefault="00FC2AA1" w:rsidP="00FC2AA1">
      <w:r w:rsidRPr="009D39F0">
        <w:t>The HCIS comprises four levels, as described below</w:t>
      </w:r>
      <w:r>
        <w:t>, and i</w:t>
      </w:r>
      <w:r w:rsidRPr="00761EBE">
        <w:t>llustrated in figure B-1</w:t>
      </w:r>
      <w:r w:rsidRPr="009D39F0">
        <w:t>:</w:t>
      </w:r>
    </w:p>
    <w:p w:rsidR="00FC2AA1" w:rsidRDefault="00FC2AA1" w:rsidP="00FC2AA1">
      <w:r>
        <w:t>Level 4:</w:t>
      </w:r>
      <w:r>
        <w:tab/>
      </w:r>
      <w:r w:rsidRPr="009D39F0">
        <w:t>The highest level in the hierarchy is formed by grouping cells into</w:t>
      </w:r>
      <w:r>
        <w:t xml:space="preserve"> “square”</w:t>
      </w:r>
      <w:r w:rsidRPr="009D39F0">
        <w:t xml:space="preserve"> blocks</w:t>
      </w:r>
      <w:r>
        <w:t xml:space="preserve"> of </w:t>
      </w:r>
      <w:r w:rsidRPr="009D39F0">
        <w:t>3°</w:t>
      </w:r>
      <w:r>
        <w:t xml:space="preserve"> each side.  These are assigned a two letter identifier, commencing from the north-westernmost (upper left) corner, where the first letter (in the range A-N) refers to the horizontal position in the grid, and the second letter (in the range O-Z) refers to the vertical position.</w:t>
      </w:r>
    </w:p>
    <w:p w:rsidR="00FC2AA1" w:rsidRPr="009D39F0" w:rsidRDefault="00FC2AA1" w:rsidP="00FC2AA1">
      <w:r w:rsidRPr="009D39F0">
        <w:rPr>
          <w:i/>
        </w:rPr>
        <w:t>Level 3</w:t>
      </w:r>
      <w:r w:rsidRPr="009D39F0">
        <w:t>:</w:t>
      </w:r>
      <w:r w:rsidRPr="009D39F0">
        <w:tab/>
        <w:t xml:space="preserve">Each Level 4 block of cells is subdivided </w:t>
      </w:r>
      <w:r>
        <w:t>into nine “square”</w:t>
      </w:r>
      <w:r w:rsidRPr="009D39F0">
        <w:t xml:space="preserve"> blocks</w:t>
      </w:r>
      <w:r>
        <w:t xml:space="preserve"> of 1</w:t>
      </w:r>
      <w:r w:rsidRPr="009D39F0">
        <w:t>°</w:t>
      </w:r>
      <w:r>
        <w:t xml:space="preserve"> each side.  </w:t>
      </w:r>
      <w:r w:rsidRPr="009D39F0">
        <w:t xml:space="preserve">Each block is assigned an identifier composed of the identifier of the Level 4 block and a numeric suffix.  The numeric suffix is in the range 1 through 9, assigned sequentially from </w:t>
      </w:r>
      <w:r>
        <w:t>the north-westernmost (upper left) corner</w:t>
      </w:r>
      <w:r w:rsidRPr="009D39F0">
        <w:t>.</w:t>
      </w:r>
    </w:p>
    <w:p w:rsidR="00FC2AA1" w:rsidRPr="009D39F0" w:rsidRDefault="00FC2AA1" w:rsidP="00FC2AA1">
      <w:r w:rsidRPr="009D39F0">
        <w:rPr>
          <w:i/>
        </w:rPr>
        <w:t>Level 2</w:t>
      </w:r>
      <w:r w:rsidRPr="009D39F0">
        <w:t>:</w:t>
      </w:r>
      <w:r w:rsidRPr="009D39F0">
        <w:tab/>
        <w:t xml:space="preserve">Each Level 3 block of cells is subdivided </w:t>
      </w:r>
      <w:r>
        <w:t>into sixteen “square”</w:t>
      </w:r>
      <w:r w:rsidRPr="009D39F0">
        <w:t xml:space="preserve"> blocks</w:t>
      </w:r>
      <w:r>
        <w:t xml:space="preserve"> of </w:t>
      </w:r>
      <w:r w:rsidRPr="009D39F0">
        <w:t>15’</w:t>
      </w:r>
      <w:r>
        <w:t xml:space="preserve"> each side.</w:t>
      </w:r>
      <w:r w:rsidRPr="009D39F0">
        <w:t xml:space="preserve"> Each block is assigned an identifier composed of the identifier of the Level 3 block and an alphabetic suffix.  The alphabetic suffix is in the range A through P, assigned sequentially from </w:t>
      </w:r>
      <w:r>
        <w:t>the north-westernmost (upper left) corner</w:t>
      </w:r>
      <w:r w:rsidRPr="009D39F0">
        <w:t>.</w:t>
      </w:r>
    </w:p>
    <w:p w:rsidR="00FC2AA1" w:rsidRDefault="00FC2AA1" w:rsidP="00FC2AA1">
      <w:r w:rsidRPr="009D39F0">
        <w:rPr>
          <w:i/>
        </w:rPr>
        <w:t>Level 1</w:t>
      </w:r>
      <w:r w:rsidRPr="009D39F0">
        <w:t>:</w:t>
      </w:r>
      <w:r w:rsidRPr="009D39F0">
        <w:tab/>
        <w:t>Each</w:t>
      </w:r>
      <w:r>
        <w:t xml:space="preserve"> 5’ square</w:t>
      </w:r>
      <w:r w:rsidRPr="009D39F0">
        <w:t xml:space="preserve"> </w:t>
      </w:r>
      <w:r>
        <w:t>cell</w:t>
      </w:r>
      <w:r w:rsidRPr="009D39F0">
        <w:t xml:space="preserve"> is assigned an identifier composed of the identifier of the Level </w:t>
      </w:r>
      <w:r>
        <w:t>2</w:t>
      </w:r>
      <w:r w:rsidRPr="009D39F0">
        <w:t xml:space="preserve"> block</w:t>
      </w:r>
      <w:r>
        <w:t xml:space="preserve"> containing it</w:t>
      </w:r>
      <w:r w:rsidRPr="009D39F0">
        <w:t xml:space="preserve"> and </w:t>
      </w:r>
      <w:r>
        <w:t>a numeric</w:t>
      </w:r>
      <w:r w:rsidRPr="009D39F0">
        <w:t xml:space="preserve"> suffix.  </w:t>
      </w:r>
      <w:r>
        <w:t>This numeric</w:t>
      </w:r>
      <w:r w:rsidRPr="009D39F0">
        <w:t xml:space="preserve"> suffix is in the range </w:t>
      </w:r>
      <w:r>
        <w:t>1</w:t>
      </w:r>
      <w:r w:rsidRPr="009D39F0">
        <w:t xml:space="preserve"> through </w:t>
      </w:r>
      <w:r>
        <w:t>9</w:t>
      </w:r>
      <w:r w:rsidRPr="009D39F0">
        <w:t xml:space="preserve">, assigned sequentially from </w:t>
      </w:r>
      <w:r>
        <w:t>the north-westernmost (upper left) corner of the Level 2 block</w:t>
      </w:r>
      <w:r w:rsidRPr="009D39F0">
        <w:t>.</w:t>
      </w:r>
    </w:p>
    <w:p w:rsidR="00FC2AA1" w:rsidRDefault="00FC2AA1" w:rsidP="00FC2AA1">
      <w:r>
        <w:t xml:space="preserve">Where a block does not fall entirely within the existing ASMG it would not be valid in an area description, however it may be retained if levels lower in the hierarchy are contained within it, such as the Level 4 block with identifier AR in </w:t>
      </w:r>
      <w:r w:rsidR="005C79B8">
        <w:fldChar w:fldCharType="begin"/>
      </w:r>
      <w:r>
        <w:instrText xml:space="preserve"> REF _Ref301850742 \h </w:instrText>
      </w:r>
      <w:r w:rsidR="005C79B8">
        <w:fldChar w:fldCharType="separate"/>
      </w:r>
      <w:r w:rsidR="00F831B0">
        <w:t xml:space="preserve">Figure </w:t>
      </w:r>
      <w:r w:rsidR="00F831B0">
        <w:rPr>
          <w:noProof/>
        </w:rPr>
        <w:t>4</w:t>
      </w:r>
      <w:r w:rsidR="005C79B8">
        <w:fldChar w:fldCharType="end"/>
      </w:r>
      <w:r>
        <w:t>.</w:t>
      </w:r>
    </w:p>
    <w:p w:rsidR="00FC2AA1" w:rsidRDefault="00FC2AA1" w:rsidP="00FC2AA1">
      <w:r>
        <w:t xml:space="preserve">Descriptor for an example illustrated in </w:t>
      </w:r>
      <w:r w:rsidR="005C79B8">
        <w:fldChar w:fldCharType="begin"/>
      </w:r>
      <w:r>
        <w:instrText xml:space="preserve"> REF _Ref301850742 \h </w:instrText>
      </w:r>
      <w:r w:rsidR="005C79B8">
        <w:fldChar w:fldCharType="separate"/>
      </w:r>
      <w:r w:rsidR="00F831B0">
        <w:t xml:space="preserve">Figure </w:t>
      </w:r>
      <w:r w:rsidR="00F831B0">
        <w:rPr>
          <w:noProof/>
        </w:rPr>
        <w:t>4</w:t>
      </w:r>
      <w:r w:rsidR="005C79B8">
        <w:fldChar w:fldCharType="end"/>
      </w:r>
    </w:p>
    <w:tbl>
      <w:tblPr>
        <w:tblStyle w:val="TableGrid"/>
        <w:tblpPr w:leftFromText="180" w:rightFromText="180" w:vertAnchor="text" w:tblpXSpec="center" w:tblpY="1"/>
        <w:tblOverlap w:val="never"/>
        <w:tblW w:w="0" w:type="auto"/>
        <w:tblLayout w:type="fixed"/>
        <w:tblLook w:val="04A0"/>
      </w:tblPr>
      <w:tblGrid>
        <w:gridCol w:w="1101"/>
        <w:gridCol w:w="1134"/>
        <w:gridCol w:w="992"/>
        <w:gridCol w:w="1134"/>
        <w:gridCol w:w="992"/>
      </w:tblGrid>
      <w:tr w:rsidR="00FC2AA1" w:rsidTr="00C34C49">
        <w:tc>
          <w:tcPr>
            <w:tcW w:w="2235" w:type="dxa"/>
            <w:gridSpan w:val="2"/>
            <w:vAlign w:val="center"/>
          </w:tcPr>
          <w:p w:rsidR="00FC2AA1" w:rsidRDefault="00FC2AA1" w:rsidP="00C34C49">
            <w:r>
              <w:t>Level 4</w:t>
            </w:r>
          </w:p>
        </w:tc>
        <w:tc>
          <w:tcPr>
            <w:tcW w:w="992" w:type="dxa"/>
            <w:vAlign w:val="center"/>
          </w:tcPr>
          <w:p w:rsidR="00FC2AA1" w:rsidRDefault="00FC2AA1" w:rsidP="00C34C49">
            <w:r>
              <w:t>Level 3</w:t>
            </w:r>
          </w:p>
        </w:tc>
        <w:tc>
          <w:tcPr>
            <w:tcW w:w="1134" w:type="dxa"/>
            <w:vAlign w:val="center"/>
          </w:tcPr>
          <w:p w:rsidR="00FC2AA1" w:rsidRDefault="00FC2AA1" w:rsidP="00C34C49">
            <w:r>
              <w:t>Level 2</w:t>
            </w:r>
          </w:p>
        </w:tc>
        <w:tc>
          <w:tcPr>
            <w:tcW w:w="992" w:type="dxa"/>
            <w:vAlign w:val="center"/>
          </w:tcPr>
          <w:p w:rsidR="00FC2AA1" w:rsidRDefault="00FC2AA1" w:rsidP="00C34C49">
            <w:r>
              <w:t>Level 1</w:t>
            </w:r>
          </w:p>
        </w:tc>
      </w:tr>
      <w:tr w:rsidR="00FC2AA1" w:rsidTr="00C34C49">
        <w:tc>
          <w:tcPr>
            <w:tcW w:w="1101" w:type="dxa"/>
            <w:vAlign w:val="center"/>
          </w:tcPr>
          <w:p w:rsidR="00FC2AA1" w:rsidRPr="00761EBE" w:rsidRDefault="00FC2AA1" w:rsidP="00C34C49">
            <w:r w:rsidRPr="00761EBE">
              <w:t>[A-N]</w:t>
            </w:r>
          </w:p>
        </w:tc>
        <w:tc>
          <w:tcPr>
            <w:tcW w:w="1134" w:type="dxa"/>
            <w:vAlign w:val="center"/>
          </w:tcPr>
          <w:p w:rsidR="00FC2AA1" w:rsidRPr="00761EBE" w:rsidRDefault="00FC2AA1" w:rsidP="00C34C49">
            <w:r w:rsidRPr="00761EBE">
              <w:t>[O-Z]</w:t>
            </w:r>
          </w:p>
        </w:tc>
        <w:tc>
          <w:tcPr>
            <w:tcW w:w="992" w:type="dxa"/>
            <w:vAlign w:val="center"/>
          </w:tcPr>
          <w:p w:rsidR="00FC2AA1" w:rsidRPr="00761EBE" w:rsidRDefault="00FC2AA1" w:rsidP="00C34C49">
            <w:r w:rsidRPr="00761EBE">
              <w:t>[1-9]</w:t>
            </w:r>
          </w:p>
        </w:tc>
        <w:tc>
          <w:tcPr>
            <w:tcW w:w="1134" w:type="dxa"/>
            <w:vAlign w:val="center"/>
          </w:tcPr>
          <w:p w:rsidR="00FC2AA1" w:rsidRPr="00761EBE" w:rsidRDefault="00FC2AA1" w:rsidP="00C34C49">
            <w:r w:rsidRPr="00761EBE">
              <w:t>[A-P]</w:t>
            </w:r>
          </w:p>
        </w:tc>
        <w:tc>
          <w:tcPr>
            <w:tcW w:w="992" w:type="dxa"/>
            <w:vAlign w:val="center"/>
          </w:tcPr>
          <w:p w:rsidR="00FC2AA1" w:rsidRPr="00761EBE" w:rsidRDefault="00FC2AA1" w:rsidP="00C34C49">
            <w:r w:rsidRPr="00761EBE">
              <w:t>[1-9]</w:t>
            </w:r>
          </w:p>
        </w:tc>
      </w:tr>
      <w:tr w:rsidR="00FC2AA1" w:rsidTr="00C34C49">
        <w:trPr>
          <w:cantSplit/>
          <w:trHeight w:val="2391"/>
        </w:trPr>
        <w:tc>
          <w:tcPr>
            <w:tcW w:w="1101" w:type="dxa"/>
            <w:textDirection w:val="btLr"/>
            <w:vAlign w:val="center"/>
          </w:tcPr>
          <w:p w:rsidR="00FC2AA1" w:rsidRDefault="00FC2AA1" w:rsidP="00C34C49">
            <w:r w:rsidRPr="00CD3F85">
              <w:t>Horizontal</w:t>
            </w:r>
            <w:r>
              <w:t xml:space="preserve"> p</w:t>
            </w:r>
            <w:r w:rsidRPr="00CD3F85">
              <w:t>osition</w:t>
            </w:r>
          </w:p>
          <w:p w:rsidR="00FC2AA1" w:rsidRPr="00CD3F85" w:rsidRDefault="00FC2AA1" w:rsidP="00C34C49">
            <w:r w:rsidRPr="00CD3F85">
              <w:t xml:space="preserve"> (in 3° blocks)</w:t>
            </w:r>
          </w:p>
        </w:tc>
        <w:tc>
          <w:tcPr>
            <w:tcW w:w="1134" w:type="dxa"/>
            <w:textDirection w:val="btLr"/>
            <w:vAlign w:val="center"/>
          </w:tcPr>
          <w:p w:rsidR="00FC2AA1" w:rsidRPr="00CD3F85" w:rsidRDefault="00FC2AA1" w:rsidP="00C34C49">
            <w:r w:rsidRPr="00CD3F85">
              <w:t>Vertical position</w:t>
            </w:r>
          </w:p>
          <w:p w:rsidR="00FC2AA1" w:rsidRPr="00CD3F85" w:rsidRDefault="00FC2AA1" w:rsidP="00C34C49">
            <w:r w:rsidRPr="00CD3F85">
              <w:t xml:space="preserve"> (in 3° blocks)</w:t>
            </w:r>
          </w:p>
        </w:tc>
        <w:tc>
          <w:tcPr>
            <w:tcW w:w="992" w:type="dxa"/>
            <w:textDirection w:val="btLr"/>
            <w:vAlign w:val="center"/>
          </w:tcPr>
          <w:p w:rsidR="00FC2AA1" w:rsidRPr="00CD3F85" w:rsidRDefault="00FC2AA1" w:rsidP="00C34C49">
            <w:r w:rsidRPr="00CD3F85">
              <w:t>Sequential position</w:t>
            </w:r>
          </w:p>
          <w:p w:rsidR="00FC2AA1" w:rsidRPr="00CD3F85" w:rsidRDefault="00FC2AA1" w:rsidP="00C34C49">
            <w:r w:rsidRPr="00CD3F85">
              <w:t xml:space="preserve"> (in 1° blocks)</w:t>
            </w:r>
          </w:p>
        </w:tc>
        <w:tc>
          <w:tcPr>
            <w:tcW w:w="1134" w:type="dxa"/>
            <w:textDirection w:val="btLr"/>
            <w:vAlign w:val="center"/>
          </w:tcPr>
          <w:p w:rsidR="00FC2AA1" w:rsidRPr="00CD3F85" w:rsidRDefault="00FC2AA1" w:rsidP="00C34C49">
            <w:r w:rsidRPr="00CD3F85">
              <w:t>Sequential position</w:t>
            </w:r>
          </w:p>
          <w:p w:rsidR="00FC2AA1" w:rsidRPr="00CD3F85" w:rsidRDefault="00FC2AA1" w:rsidP="00C34C49">
            <w:r w:rsidRPr="00CD3F85">
              <w:t xml:space="preserve"> (in 15’ blocks)</w:t>
            </w:r>
          </w:p>
        </w:tc>
        <w:tc>
          <w:tcPr>
            <w:tcW w:w="992" w:type="dxa"/>
            <w:textDirection w:val="btLr"/>
            <w:vAlign w:val="center"/>
          </w:tcPr>
          <w:p w:rsidR="00FC2AA1" w:rsidRPr="00CD3F85" w:rsidRDefault="00FC2AA1" w:rsidP="00C34C49">
            <w:r w:rsidRPr="00CD3F85">
              <w:t>Sequential position</w:t>
            </w:r>
          </w:p>
          <w:p w:rsidR="00FC2AA1" w:rsidRPr="00CD3F85" w:rsidRDefault="00FC2AA1" w:rsidP="00C34C49">
            <w:r w:rsidRPr="00CD3F85">
              <w:t xml:space="preserve"> (in 5’ </w:t>
            </w:r>
            <w:r>
              <w:t>cells</w:t>
            </w:r>
            <w:r w:rsidRPr="00CD3F85">
              <w:t>)</w:t>
            </w:r>
            <w:r>
              <w:t>cells</w:t>
            </w:r>
            <w:r w:rsidRPr="00CD3F85">
              <w:t>)</w:t>
            </w:r>
          </w:p>
        </w:tc>
      </w:tr>
      <w:tr w:rsidR="00FC2AA1" w:rsidRPr="00761EBE" w:rsidTr="00C34C49">
        <w:tc>
          <w:tcPr>
            <w:tcW w:w="1101" w:type="dxa"/>
            <w:vAlign w:val="center"/>
          </w:tcPr>
          <w:p w:rsidR="00FC2AA1" w:rsidRPr="00761EBE" w:rsidRDefault="00FC2AA1" w:rsidP="00C34C49">
            <w:r>
              <w:t>B</w:t>
            </w:r>
          </w:p>
        </w:tc>
        <w:tc>
          <w:tcPr>
            <w:tcW w:w="1134" w:type="dxa"/>
            <w:vAlign w:val="center"/>
          </w:tcPr>
          <w:p w:rsidR="00FC2AA1" w:rsidRPr="00761EBE" w:rsidRDefault="00FC2AA1" w:rsidP="00C34C49">
            <w:r>
              <w:t>V</w:t>
            </w:r>
          </w:p>
        </w:tc>
        <w:tc>
          <w:tcPr>
            <w:tcW w:w="992" w:type="dxa"/>
            <w:vAlign w:val="center"/>
          </w:tcPr>
          <w:p w:rsidR="00FC2AA1" w:rsidRPr="00761EBE" w:rsidRDefault="00FC2AA1" w:rsidP="00C34C49">
            <w:r>
              <w:t>4</w:t>
            </w:r>
          </w:p>
        </w:tc>
        <w:tc>
          <w:tcPr>
            <w:tcW w:w="1134" w:type="dxa"/>
            <w:vAlign w:val="center"/>
          </w:tcPr>
          <w:p w:rsidR="00FC2AA1" w:rsidRPr="00761EBE" w:rsidRDefault="00FC2AA1" w:rsidP="00C34C49">
            <w:r>
              <w:t>H</w:t>
            </w:r>
          </w:p>
        </w:tc>
        <w:tc>
          <w:tcPr>
            <w:tcW w:w="992" w:type="dxa"/>
            <w:vAlign w:val="center"/>
          </w:tcPr>
          <w:p w:rsidR="00FC2AA1" w:rsidRPr="00761EBE" w:rsidRDefault="00FC2AA1" w:rsidP="00C34C49">
            <w:r>
              <w:t>6</w:t>
            </w:r>
          </w:p>
        </w:tc>
      </w:tr>
    </w:tbl>
    <w:p w:rsidR="00FC2AA1" w:rsidRDefault="00FC2AA1" w:rsidP="00FC2AA1"/>
    <w:p w:rsidR="00FC2AA1" w:rsidRDefault="00FC2AA1" w:rsidP="00FC2AA1">
      <w:r>
        <w:br w:type="page"/>
      </w:r>
    </w:p>
    <w:p w:rsidR="00FC2AA1" w:rsidRDefault="00FC2AA1" w:rsidP="00FC2AA1">
      <w:pPr>
        <w:pStyle w:val="Caption"/>
      </w:pPr>
      <w:bookmarkStart w:id="5" w:name="_Ref301850742"/>
      <w:r>
        <w:lastRenderedPageBreak/>
        <w:t xml:space="preserve">Figure </w:t>
      </w:r>
      <w:r w:rsidR="005C79B8">
        <w:fldChar w:fldCharType="begin"/>
      </w:r>
      <w:r>
        <w:instrText xml:space="preserve"> SEQ Figure \* ARABIC </w:instrText>
      </w:r>
      <w:r w:rsidR="005C79B8">
        <w:fldChar w:fldCharType="separate"/>
      </w:r>
      <w:r w:rsidR="00F831B0">
        <w:rPr>
          <w:noProof/>
        </w:rPr>
        <w:t>4</w:t>
      </w:r>
      <w:r w:rsidR="005C79B8">
        <w:fldChar w:fldCharType="end"/>
      </w:r>
      <w:bookmarkEnd w:id="5"/>
      <w:r>
        <w:t xml:space="preserve">: </w:t>
      </w:r>
      <w:r w:rsidRPr="003A5BA5">
        <w:t>Illustrated representation of the HCIS</w:t>
      </w:r>
    </w:p>
    <w:p w:rsidR="00FC2AA1" w:rsidRDefault="00FC2AA1" w:rsidP="00FC2AA1">
      <w:r w:rsidRPr="009D39F0">
        <w:rPr>
          <w:noProof/>
          <w:lang w:eastAsia="en-AU"/>
        </w:rPr>
        <w:drawing>
          <wp:inline distT="0" distB="0" distL="0" distR="0">
            <wp:extent cx="5649550" cy="6840994"/>
            <wp:effectExtent l="19050" t="0" r="8300" b="0"/>
            <wp:docPr id="2" name="Picture 1" descr="smg_lbl_v2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g_lbl_v2a.emf"/>
                    <pic:cNvPicPr/>
                  </pic:nvPicPr>
                  <pic:blipFill>
                    <a:blip r:embed="rId17" cstate="print"/>
                    <a:stretch>
                      <a:fillRect/>
                    </a:stretch>
                  </pic:blipFill>
                  <pic:spPr>
                    <a:xfrm>
                      <a:off x="0" y="0"/>
                      <a:ext cx="5649550" cy="6840994"/>
                    </a:xfrm>
                    <a:prstGeom prst="rect">
                      <a:avLst/>
                    </a:prstGeom>
                    <a:ln>
                      <a:noFill/>
                    </a:ln>
                  </pic:spPr>
                </pic:pic>
              </a:graphicData>
            </a:graphic>
          </wp:inline>
        </w:drawing>
      </w:r>
    </w:p>
    <w:p w:rsidR="00FC2AA1" w:rsidRDefault="00FC2AA1" w:rsidP="00FC2AA1"/>
    <w:p w:rsidR="00FC2AA1" w:rsidRDefault="00FC2AA1" w:rsidP="00FC2AA1">
      <w:r>
        <w:br w:type="page"/>
      </w:r>
    </w:p>
    <w:p w:rsidR="00FC2AA1" w:rsidRDefault="00FC2AA1" w:rsidP="00FC2AA1">
      <w:pPr>
        <w:pStyle w:val="Heading3"/>
        <w:rPr>
          <w:rFonts w:eastAsia="Times New Roman"/>
        </w:rPr>
      </w:pPr>
      <w:r w:rsidRPr="009D39F0">
        <w:rPr>
          <w:rFonts w:eastAsia="Times New Roman"/>
        </w:rPr>
        <w:lastRenderedPageBreak/>
        <w:t>Example implementation of the HCIS</w:t>
      </w:r>
    </w:p>
    <w:p w:rsidR="00FC2AA1" w:rsidRDefault="00FC2AA1" w:rsidP="00FC2AA1">
      <w:proofErr w:type="gramStart"/>
      <w:r w:rsidRPr="009D39F0">
        <w:t>Although an area can be defined by any combination of hierarchical identifiers (level 1 and higher), the general method will be to use the most succinct description available.</w:t>
      </w:r>
      <w:proofErr w:type="gramEnd"/>
      <w:r w:rsidRPr="009D39F0">
        <w:t xml:space="preserve">  As an example of how this would be applied, consider the area shaded in purple in the map of </w:t>
      </w:r>
      <w:r w:rsidR="005C79B8">
        <w:fldChar w:fldCharType="begin"/>
      </w:r>
      <w:r>
        <w:instrText xml:space="preserve"> REF _Ref301850833 \h </w:instrText>
      </w:r>
      <w:r w:rsidR="005C79B8">
        <w:fldChar w:fldCharType="separate"/>
      </w:r>
      <w:r w:rsidR="00F831B0">
        <w:t xml:space="preserve">Figure </w:t>
      </w:r>
      <w:r w:rsidR="00F831B0">
        <w:rPr>
          <w:noProof/>
        </w:rPr>
        <w:t>5</w:t>
      </w:r>
      <w:r w:rsidR="005C79B8">
        <w:fldChar w:fldCharType="end"/>
      </w:r>
      <w:r>
        <w:t>.</w:t>
      </w:r>
    </w:p>
    <w:p w:rsidR="00FC2AA1" w:rsidRDefault="00FC2AA1" w:rsidP="00FC2AA1">
      <w:pPr>
        <w:pStyle w:val="Caption"/>
      </w:pPr>
      <w:bookmarkStart w:id="6" w:name="_Ref301850833"/>
      <w:r>
        <w:t xml:space="preserve">Figure </w:t>
      </w:r>
      <w:r w:rsidR="005C79B8">
        <w:fldChar w:fldCharType="begin"/>
      </w:r>
      <w:r>
        <w:instrText xml:space="preserve"> SEQ Figure \* ARABIC </w:instrText>
      </w:r>
      <w:r w:rsidR="005C79B8">
        <w:fldChar w:fldCharType="separate"/>
      </w:r>
      <w:r w:rsidR="00F831B0">
        <w:rPr>
          <w:noProof/>
        </w:rPr>
        <w:t>5</w:t>
      </w:r>
      <w:r w:rsidR="005C79B8">
        <w:fldChar w:fldCharType="end"/>
      </w:r>
      <w:bookmarkEnd w:id="6"/>
      <w:r>
        <w:t>: Example Area (shaded black)</w:t>
      </w:r>
    </w:p>
    <w:p w:rsidR="00FC2AA1" w:rsidRPr="009D39F0" w:rsidRDefault="00FC2AA1" w:rsidP="00FC2AA1">
      <w:r>
        <w:rPr>
          <w:noProof/>
          <w:lang w:eastAsia="en-AU"/>
        </w:rPr>
        <w:drawing>
          <wp:inline distT="0" distB="0" distL="0" distR="0">
            <wp:extent cx="4708814" cy="3761509"/>
            <wp:effectExtent l="19050" t="0" r="0" b="0"/>
            <wp:docPr id="9" name="Picture 1" descr="C:\Users\dgoggin\Desktop\Untitled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goggin\Desktop\Untitled2.tif"/>
                    <pic:cNvPicPr>
                      <a:picLocks noChangeAspect="1" noChangeArrowheads="1"/>
                    </pic:cNvPicPr>
                  </pic:nvPicPr>
                  <pic:blipFill>
                    <a:blip r:embed="rId18" cstate="print"/>
                    <a:srcRect l="9281" t="6619" r="8546" b="7801"/>
                    <a:stretch>
                      <a:fillRect/>
                    </a:stretch>
                  </pic:blipFill>
                  <pic:spPr bwMode="auto">
                    <a:xfrm>
                      <a:off x="0" y="0"/>
                      <a:ext cx="4708814" cy="3761509"/>
                    </a:xfrm>
                    <a:prstGeom prst="rect">
                      <a:avLst/>
                    </a:prstGeom>
                    <a:noFill/>
                    <a:ln w="9525">
                      <a:noFill/>
                      <a:miter lim="800000"/>
                      <a:headEnd/>
                      <a:tailEnd/>
                    </a:ln>
                  </pic:spPr>
                </pic:pic>
              </a:graphicData>
            </a:graphic>
          </wp:inline>
        </w:drawing>
      </w:r>
    </w:p>
    <w:p w:rsidR="00FC2AA1" w:rsidRDefault="00FC2AA1" w:rsidP="00FC2AA1"/>
    <w:p w:rsidR="00FC2AA1" w:rsidRPr="009D39F0" w:rsidRDefault="00FC2AA1" w:rsidP="00FC2AA1">
      <w:r w:rsidRPr="009D39F0">
        <w:t xml:space="preserve">The most succinct description of this </w:t>
      </w:r>
      <w:r>
        <w:t xml:space="preserve">example </w:t>
      </w:r>
      <w:r w:rsidRPr="009D39F0">
        <w:t xml:space="preserve">area in terms of </w:t>
      </w:r>
      <w:r>
        <w:t xml:space="preserve">hierarchical </w:t>
      </w:r>
      <w:r w:rsidRPr="009D39F0">
        <w:t>identifiers is:</w:t>
      </w:r>
    </w:p>
    <w:p w:rsidR="00FC2AA1" w:rsidRDefault="00FC2AA1" w:rsidP="00FC2AA1">
      <w:r>
        <w:t>LV, MV1, MV4, MV5, MV7, MV8, MV6A, MV6B, MV6E, MV6F, MV6I, MV6J, MV6M, MV6N, MV9A, MV9B, MV9E, MV9F, MV9I, MV9J, MV9M, MV9N, MV2I4,</w:t>
      </w:r>
      <w:r w:rsidRPr="00826714">
        <w:t xml:space="preserve"> </w:t>
      </w:r>
      <w:r>
        <w:t>MV2I7,</w:t>
      </w:r>
      <w:r w:rsidRPr="00826714">
        <w:t xml:space="preserve"> </w:t>
      </w:r>
      <w:r>
        <w:t>MV2M1, MV2M4, MV2M7</w:t>
      </w:r>
    </w:p>
    <w:p w:rsidR="00FC2AA1" w:rsidRPr="00826714" w:rsidRDefault="00FC2AA1" w:rsidP="00FC2AA1">
      <w:r w:rsidRPr="00654ADC">
        <w:t>This is pictorially display</w:t>
      </w:r>
      <w:r>
        <w:t>ed</w:t>
      </w:r>
      <w:r w:rsidRPr="00654ADC">
        <w:t xml:space="preserve"> in </w:t>
      </w:r>
      <w:r w:rsidR="005C79B8">
        <w:fldChar w:fldCharType="begin"/>
      </w:r>
      <w:r>
        <w:instrText xml:space="preserve"> REF _Ref301850882 \h </w:instrText>
      </w:r>
      <w:r w:rsidR="005C79B8">
        <w:fldChar w:fldCharType="separate"/>
      </w:r>
      <w:r w:rsidR="00F831B0">
        <w:t xml:space="preserve">Figure </w:t>
      </w:r>
      <w:r w:rsidR="00F831B0">
        <w:rPr>
          <w:noProof/>
        </w:rPr>
        <w:t>6</w:t>
      </w:r>
      <w:r w:rsidR="005C79B8">
        <w:fldChar w:fldCharType="end"/>
      </w:r>
      <w:r>
        <w:t xml:space="preserve"> (i) and </w:t>
      </w:r>
      <w:r w:rsidR="005C79B8">
        <w:fldChar w:fldCharType="begin"/>
      </w:r>
      <w:r>
        <w:instrText xml:space="preserve"> REF _Ref301850882 \h </w:instrText>
      </w:r>
      <w:r w:rsidR="005C79B8">
        <w:fldChar w:fldCharType="separate"/>
      </w:r>
      <w:r w:rsidR="00F831B0">
        <w:t xml:space="preserve">Figure </w:t>
      </w:r>
      <w:r w:rsidR="00F831B0">
        <w:rPr>
          <w:noProof/>
        </w:rPr>
        <w:t>6</w:t>
      </w:r>
      <w:r w:rsidR="005C79B8">
        <w:fldChar w:fldCharType="end"/>
      </w:r>
      <w:r>
        <w:t xml:space="preserve"> (ii)</w:t>
      </w:r>
      <w:r w:rsidRPr="00654ADC">
        <w:t>.</w:t>
      </w:r>
    </w:p>
    <w:p w:rsidR="00FC2AA1" w:rsidRDefault="00FC2AA1" w:rsidP="00FC2AA1">
      <w:r>
        <w:br w:type="page"/>
      </w:r>
    </w:p>
    <w:p w:rsidR="00FC2AA1" w:rsidRDefault="00FC2AA1" w:rsidP="00FC2AA1">
      <w:pPr>
        <w:pStyle w:val="Caption"/>
      </w:pPr>
      <w:bookmarkStart w:id="7" w:name="_Ref301850882"/>
      <w:r>
        <w:lastRenderedPageBreak/>
        <w:t xml:space="preserve">Figure </w:t>
      </w:r>
      <w:r w:rsidR="005C79B8">
        <w:fldChar w:fldCharType="begin"/>
      </w:r>
      <w:r>
        <w:instrText xml:space="preserve"> SEQ Figure \* ARABIC </w:instrText>
      </w:r>
      <w:r w:rsidR="005C79B8">
        <w:fldChar w:fldCharType="separate"/>
      </w:r>
      <w:r w:rsidR="00F831B0">
        <w:rPr>
          <w:noProof/>
        </w:rPr>
        <w:t>6</w:t>
      </w:r>
      <w:r w:rsidR="005C79B8">
        <w:fldChar w:fldCharType="end"/>
      </w:r>
      <w:bookmarkEnd w:id="7"/>
      <w:r>
        <w:t>: Highest level identifiers that compose the example area</w:t>
      </w:r>
    </w:p>
    <w:p w:rsidR="00FC2AA1" w:rsidRPr="003A5BA5" w:rsidRDefault="00FC2AA1" w:rsidP="00FC2AA1">
      <w:r>
        <w:t>(</w:t>
      </w:r>
      <w:proofErr w:type="gramStart"/>
      <w:r>
        <w:t>i</w:t>
      </w:r>
      <w:proofErr w:type="gramEnd"/>
      <w:r>
        <w:t>)</w:t>
      </w:r>
    </w:p>
    <w:p w:rsidR="00FC2AA1" w:rsidRDefault="00FC2AA1" w:rsidP="00FC2AA1">
      <w:r>
        <w:rPr>
          <w:noProof/>
          <w:lang w:eastAsia="en-AU"/>
        </w:rPr>
        <w:drawing>
          <wp:inline distT="0" distB="0" distL="0" distR="0">
            <wp:extent cx="5738283" cy="3225800"/>
            <wp:effectExtent l="19050" t="0" r="0" b="0"/>
            <wp:docPr id="10" name="Picture 3" descr="C:\Users\dgoggin\Desktop\ASMG_example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goggin\Desktop\ASMG_example1.tif"/>
                    <pic:cNvPicPr>
                      <a:picLocks noChangeAspect="1" noChangeArrowheads="1"/>
                    </pic:cNvPicPr>
                  </pic:nvPicPr>
                  <pic:blipFill>
                    <a:blip r:embed="rId19" cstate="print"/>
                    <a:srcRect t="12909" b="13680"/>
                    <a:stretch>
                      <a:fillRect/>
                    </a:stretch>
                  </pic:blipFill>
                  <pic:spPr bwMode="auto">
                    <a:xfrm>
                      <a:off x="0" y="0"/>
                      <a:ext cx="5738283" cy="3225800"/>
                    </a:xfrm>
                    <a:prstGeom prst="rect">
                      <a:avLst/>
                    </a:prstGeom>
                    <a:noFill/>
                    <a:ln w="9525">
                      <a:noFill/>
                      <a:miter lim="800000"/>
                      <a:headEnd/>
                      <a:tailEnd/>
                    </a:ln>
                  </pic:spPr>
                </pic:pic>
              </a:graphicData>
            </a:graphic>
          </wp:inline>
        </w:drawing>
      </w:r>
    </w:p>
    <w:p w:rsidR="00FC2AA1" w:rsidRDefault="00FC2AA1" w:rsidP="00FC2AA1"/>
    <w:p w:rsidR="00FC2AA1" w:rsidRPr="003A5BA5" w:rsidRDefault="00FC2AA1" w:rsidP="00FC2AA1">
      <w:r>
        <w:t xml:space="preserve"> (ii)</w:t>
      </w:r>
      <w:r w:rsidRPr="003A5BA5">
        <w:t xml:space="preserve"> </w:t>
      </w:r>
    </w:p>
    <w:p w:rsidR="00FC2AA1" w:rsidRDefault="00FC2AA1" w:rsidP="00FC2AA1">
      <w:r>
        <w:rPr>
          <w:noProof/>
          <w:lang w:eastAsia="en-AU"/>
        </w:rPr>
        <w:drawing>
          <wp:inline distT="0" distB="0" distL="0" distR="0">
            <wp:extent cx="5738283" cy="3293533"/>
            <wp:effectExtent l="19050" t="0" r="0" b="0"/>
            <wp:docPr id="11" name="Picture 4" descr="C:\Users\dgoggin\Desktop\ASMG_example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goggin\Desktop\ASMG_example2.tif"/>
                    <pic:cNvPicPr>
                      <a:picLocks noChangeAspect="1" noChangeArrowheads="1"/>
                    </pic:cNvPicPr>
                  </pic:nvPicPr>
                  <pic:blipFill>
                    <a:blip r:embed="rId20" cstate="print"/>
                    <a:srcRect t="13873" b="11175"/>
                    <a:stretch>
                      <a:fillRect/>
                    </a:stretch>
                  </pic:blipFill>
                  <pic:spPr bwMode="auto">
                    <a:xfrm>
                      <a:off x="0" y="0"/>
                      <a:ext cx="5738283" cy="3293533"/>
                    </a:xfrm>
                    <a:prstGeom prst="rect">
                      <a:avLst/>
                    </a:prstGeom>
                    <a:noFill/>
                    <a:ln w="9525">
                      <a:noFill/>
                      <a:miter lim="800000"/>
                      <a:headEnd/>
                      <a:tailEnd/>
                    </a:ln>
                  </pic:spPr>
                </pic:pic>
              </a:graphicData>
            </a:graphic>
          </wp:inline>
        </w:drawing>
      </w:r>
    </w:p>
    <w:p w:rsidR="00D50101" w:rsidRDefault="00D50101">
      <w:pPr>
        <w:jc w:val="center"/>
      </w:pPr>
    </w:p>
    <w:sectPr w:rsidR="00D50101" w:rsidSect="00656D6F">
      <w:headerReference w:type="default" r:id="rId21"/>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784C" w:rsidRDefault="0044784C" w:rsidP="00515680">
      <w:pPr>
        <w:spacing w:after="0" w:line="240" w:lineRule="auto"/>
      </w:pPr>
      <w:r>
        <w:separator/>
      </w:r>
    </w:p>
  </w:endnote>
  <w:endnote w:type="continuationSeparator" w:id="0">
    <w:p w:rsidR="0044784C" w:rsidRDefault="0044784C" w:rsidP="0051568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2AA1" w:rsidRDefault="00FC2AA1" w:rsidP="000C62E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784C" w:rsidRDefault="0044784C" w:rsidP="00515680">
      <w:pPr>
        <w:spacing w:after="0" w:line="240" w:lineRule="auto"/>
      </w:pPr>
      <w:r>
        <w:separator/>
      </w:r>
    </w:p>
  </w:footnote>
  <w:footnote w:type="continuationSeparator" w:id="0">
    <w:p w:rsidR="0044784C" w:rsidRDefault="0044784C" w:rsidP="00515680">
      <w:pPr>
        <w:spacing w:after="0" w:line="240" w:lineRule="auto"/>
      </w:pPr>
      <w:r>
        <w:continuationSeparator/>
      </w:r>
    </w:p>
  </w:footnote>
  <w:footnote w:id="1">
    <w:p w:rsidR="00FC2AA1" w:rsidRDefault="00FC2AA1" w:rsidP="00FC2AA1">
      <w:pPr>
        <w:pStyle w:val="FootnoteText"/>
      </w:pPr>
      <w:r>
        <w:rPr>
          <w:rStyle w:val="FootnoteReference"/>
        </w:rPr>
        <w:footnoteRef/>
      </w:r>
      <w:r>
        <w:t xml:space="preserve"> Further details are available at: </w:t>
      </w:r>
      <w:hyperlink r:id="rId1" w:history="1">
        <w:r w:rsidRPr="007C3501">
          <w:rPr>
            <w:rStyle w:val="Hyperlink"/>
          </w:rPr>
          <w:t>http://www.ga.gov.au/meta/ANZCW0703011541.html</w:t>
        </w:r>
      </w:hyperlink>
      <w:r>
        <w:t xml:space="preserve"> </w:t>
      </w:r>
    </w:p>
  </w:footnote>
  <w:footnote w:id="2">
    <w:p w:rsidR="00FC2AA1" w:rsidRPr="009D39F0" w:rsidRDefault="00FC2AA1" w:rsidP="00FC2AA1">
      <w:pPr>
        <w:pStyle w:val="FootnoteText"/>
      </w:pPr>
      <w:r>
        <w:rPr>
          <w:rStyle w:val="FootnoteReference"/>
        </w:rPr>
        <w:footnoteRef/>
      </w:r>
      <w:r>
        <w:t xml:space="preserve"> </w:t>
      </w:r>
      <w:r w:rsidRPr="009D39F0">
        <w:t xml:space="preserve">The </w:t>
      </w:r>
      <w:r w:rsidRPr="009D39F0">
        <w:rPr>
          <w:i/>
        </w:rPr>
        <w:t>GDA Technical Manual</w:t>
      </w:r>
      <w:r w:rsidRPr="009D39F0">
        <w:t xml:space="preserve"> and other relevant information can be found on the ICSM website at </w:t>
      </w:r>
      <w:hyperlink r:id="rId2" w:history="1">
        <w:r w:rsidRPr="009D39F0">
          <w:rPr>
            <w:rStyle w:val="Hyperlink"/>
          </w:rPr>
          <w:t>http://www.icsm.gov.au/gda/gdatm/index.html</w:t>
        </w:r>
      </w:hyperlink>
      <w:r w:rsidRPr="009D39F0">
        <w:t xml:space="preserve">. </w:t>
      </w:r>
    </w:p>
    <w:p w:rsidR="00FC2AA1" w:rsidRDefault="00FC2AA1" w:rsidP="00FC2AA1">
      <w:pPr>
        <w:pStyle w:val="FootnoteText"/>
      </w:pPr>
    </w:p>
  </w:footnote>
  <w:footnote w:id="3">
    <w:p w:rsidR="00FC2AA1" w:rsidRPr="009D39F0" w:rsidRDefault="00FC2AA1" w:rsidP="00FC2AA1">
      <w:pPr>
        <w:pStyle w:val="FootnoteText"/>
      </w:pPr>
      <w:r>
        <w:rPr>
          <w:rStyle w:val="FootnoteReference"/>
        </w:rPr>
        <w:footnoteRef/>
      </w:r>
      <w:r>
        <w:t xml:space="preserve"> </w:t>
      </w:r>
      <w:r w:rsidRPr="009D39F0">
        <w:t>Densification is the process of increasing the number of vertices along an arc that define</w:t>
      </w:r>
      <w:r>
        <w:t>s</w:t>
      </w:r>
      <w:r w:rsidRPr="009D39F0">
        <w:t xml:space="preserve"> a line or geographical boundary. The smaller the distance between the vertices </w:t>
      </w:r>
      <w:proofErr w:type="gramStart"/>
      <w:r w:rsidRPr="009D39F0">
        <w:t>that define</w:t>
      </w:r>
      <w:proofErr w:type="gramEnd"/>
      <w:r w:rsidRPr="009D39F0">
        <w:t xml:space="preserve"> an arc the higher the accuracy of the line/boundary being replicated in the transformation.</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2AA1" w:rsidRDefault="00FC2AA1" w:rsidP="000C62EE">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784C" w:rsidRDefault="0044784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3B2377"/>
    <w:multiLevelType w:val="hybridMultilevel"/>
    <w:tmpl w:val="8452E4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18A81D5F"/>
    <w:multiLevelType w:val="hybridMultilevel"/>
    <w:tmpl w:val="D9C4DF86"/>
    <w:lvl w:ilvl="0" w:tplc="6924032C">
      <w:start w:val="1"/>
      <w:numFmt w:val="bullet"/>
      <w:pStyle w:val="ACMABulletLevel2"/>
      <w:lvlText w:val=""/>
      <w:lvlJc w:val="left"/>
      <w:pPr>
        <w:tabs>
          <w:tab w:val="num" w:pos="-31680"/>
        </w:tabs>
        <w:ind w:left="709" w:hanging="352"/>
      </w:pPr>
      <w:rPr>
        <w:rFonts w:ascii="Symbol" w:hAnsi="Symbol" w:hint="default"/>
        <w:sz w:val="22"/>
        <w:effect w:val="none"/>
      </w:rPr>
    </w:lvl>
    <w:lvl w:ilvl="1" w:tplc="04090003" w:tentative="1">
      <w:start w:val="1"/>
      <w:numFmt w:val="bullet"/>
      <w:lvlText w:val="o"/>
      <w:lvlJc w:val="left"/>
      <w:pPr>
        <w:tabs>
          <w:tab w:val="num" w:pos="1440"/>
        </w:tabs>
        <w:ind w:left="1440" w:hanging="360"/>
      </w:pPr>
      <w:rPr>
        <w:rFonts w:ascii="Courier New" w:hAnsi="Courier New" w:cs="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Symbo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Symbo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25B1202C"/>
    <w:multiLevelType w:val="multilevel"/>
    <w:tmpl w:val="0E04EE34"/>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
    <w:nsid w:val="2C0920F9"/>
    <w:multiLevelType w:val="hybridMultilevel"/>
    <w:tmpl w:val="B6567818"/>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
    <w:nsid w:val="2FB56164"/>
    <w:multiLevelType w:val="hybridMultilevel"/>
    <w:tmpl w:val="EBB4F5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31275F48"/>
    <w:multiLevelType w:val="multilevel"/>
    <w:tmpl w:val="BE0EBD5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Restart w:val="0"/>
      <w:lvlText w:val="%1.%2.%3"/>
      <w:lvlJc w:val="left"/>
      <w:pPr>
        <w:tabs>
          <w:tab w:val="num" w:pos="720"/>
        </w:tabs>
        <w:ind w:left="720" w:hanging="720"/>
      </w:pPr>
      <w:rPr>
        <w:rFonts w:hint="default"/>
      </w:rPr>
    </w:lvl>
    <w:lvl w:ilvl="3">
      <w:start w:val="1"/>
      <w:numFmt w:val="decimal"/>
      <w:lvlRestart w:val="1"/>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nsid w:val="31472F9A"/>
    <w:multiLevelType w:val="hybridMultilevel"/>
    <w:tmpl w:val="11E878B6"/>
    <w:lvl w:ilvl="0" w:tplc="703891F0">
      <w:start w:val="1"/>
      <w:numFmt w:val="decimal"/>
      <w:lvlText w:val="%1."/>
      <w:lvlJc w:val="left"/>
      <w:pPr>
        <w:ind w:left="720" w:hanging="360"/>
      </w:pPr>
      <w:rPr>
        <w:b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36953ABA"/>
    <w:multiLevelType w:val="hybridMultilevel"/>
    <w:tmpl w:val="2D2C6006"/>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36E2379D"/>
    <w:multiLevelType w:val="hybridMultilevel"/>
    <w:tmpl w:val="CF42C2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3FEC7BDE"/>
    <w:multiLevelType w:val="multilevel"/>
    <w:tmpl w:val="A022D3E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4D4E7568"/>
    <w:multiLevelType w:val="multilevel"/>
    <w:tmpl w:val="0C09001D"/>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11">
    <w:nsid w:val="5351140E"/>
    <w:multiLevelType w:val="hybridMultilevel"/>
    <w:tmpl w:val="3F40F8B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nsid w:val="606418EC"/>
    <w:multiLevelType w:val="hybridMultilevel"/>
    <w:tmpl w:val="9EF824E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nsid w:val="6A1A2AF2"/>
    <w:multiLevelType w:val="hybridMultilevel"/>
    <w:tmpl w:val="7C681654"/>
    <w:lvl w:ilvl="0" w:tplc="0C090017">
      <w:start w:val="1"/>
      <w:numFmt w:val="lowerLetter"/>
      <w:lvlText w:val="%1)"/>
      <w:lvlJc w:val="left"/>
      <w:pPr>
        <w:ind w:left="720" w:hanging="360"/>
      </w:pPr>
    </w:lvl>
    <w:lvl w:ilvl="1" w:tplc="0C09001B">
      <w:start w:val="1"/>
      <w:numFmt w:val="lowerRoman"/>
      <w:lvlText w:val="%2."/>
      <w:lvlJc w:val="righ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nsid w:val="6A2B3B92"/>
    <w:multiLevelType w:val="hybridMultilevel"/>
    <w:tmpl w:val="1E504B0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nsid w:val="7A543409"/>
    <w:multiLevelType w:val="hybridMultilevel"/>
    <w:tmpl w:val="D37A6C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7D3F2827"/>
    <w:multiLevelType w:val="multilevel"/>
    <w:tmpl w:val="8BA2473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Restart w:val="0"/>
      <w:lvlText w:val="%1.%2.%3"/>
      <w:lvlJc w:val="left"/>
      <w:pPr>
        <w:tabs>
          <w:tab w:val="num" w:pos="720"/>
        </w:tabs>
        <w:ind w:left="720" w:hanging="720"/>
      </w:pPr>
      <w:rPr>
        <w:rFonts w:hint="default"/>
      </w:rPr>
    </w:lvl>
    <w:lvl w:ilvl="3">
      <w:start w:val="1"/>
      <w:numFmt w:val="decimal"/>
      <w:lvlRestart w:val="1"/>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7FDE3B78"/>
    <w:multiLevelType w:val="hybridMultilevel"/>
    <w:tmpl w:val="91723F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0"/>
  </w:num>
  <w:num w:numId="2">
    <w:abstractNumId w:val="3"/>
  </w:num>
  <w:num w:numId="3">
    <w:abstractNumId w:val="15"/>
  </w:num>
  <w:num w:numId="4">
    <w:abstractNumId w:val="8"/>
  </w:num>
  <w:num w:numId="5">
    <w:abstractNumId w:val="4"/>
  </w:num>
  <w:num w:numId="6">
    <w:abstractNumId w:val="1"/>
  </w:num>
  <w:num w:numId="7">
    <w:abstractNumId w:val="17"/>
  </w:num>
  <w:num w:numId="8">
    <w:abstractNumId w:val="6"/>
  </w:num>
  <w:num w:numId="9">
    <w:abstractNumId w:val="5"/>
  </w:num>
  <w:num w:numId="10">
    <w:abstractNumId w:val="0"/>
  </w:num>
  <w:num w:numId="11">
    <w:abstractNumId w:val="2"/>
  </w:num>
  <w:num w:numId="12">
    <w:abstractNumId w:val="13"/>
  </w:num>
  <w:num w:numId="13">
    <w:abstractNumId w:val="16"/>
  </w:num>
  <w:num w:numId="14">
    <w:abstractNumId w:val="7"/>
  </w:num>
  <w:num w:numId="15">
    <w:abstractNumId w:val="11"/>
  </w:num>
  <w:num w:numId="16">
    <w:abstractNumId w:val="14"/>
  </w:num>
  <w:num w:numId="17">
    <w:abstractNumId w:val="12"/>
  </w:num>
  <w:num w:numId="18">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proofState w:spelling="clean" w:grammar="clean"/>
  <w:trackRevisions/>
  <w:defaultTabStop w:val="720"/>
  <w:characterSpacingControl w:val="doNotCompress"/>
  <w:hdrShapeDefaults>
    <o:shapedefaults v:ext="edit" spidmax="24577"/>
  </w:hdrShapeDefaults>
  <w:footnotePr>
    <w:footnote w:id="-1"/>
    <w:footnote w:id="0"/>
  </w:footnotePr>
  <w:endnotePr>
    <w:endnote w:id="-1"/>
    <w:endnote w:id="0"/>
  </w:endnotePr>
  <w:compat/>
  <w:rsids>
    <w:rsidRoot w:val="00AE1EE0"/>
    <w:rsid w:val="00000664"/>
    <w:rsid w:val="0001058F"/>
    <w:rsid w:val="00013F38"/>
    <w:rsid w:val="000716C3"/>
    <w:rsid w:val="000960F2"/>
    <w:rsid w:val="0009745F"/>
    <w:rsid w:val="000B6028"/>
    <w:rsid w:val="000E4544"/>
    <w:rsid w:val="00106670"/>
    <w:rsid w:val="001136AA"/>
    <w:rsid w:val="00127498"/>
    <w:rsid w:val="0013128C"/>
    <w:rsid w:val="001653EC"/>
    <w:rsid w:val="001805F5"/>
    <w:rsid w:val="0018270A"/>
    <w:rsid w:val="001A5103"/>
    <w:rsid w:val="001B3071"/>
    <w:rsid w:val="001E3165"/>
    <w:rsid w:val="00200AA6"/>
    <w:rsid w:val="00206175"/>
    <w:rsid w:val="00225E64"/>
    <w:rsid w:val="00242CA0"/>
    <w:rsid w:val="00253C87"/>
    <w:rsid w:val="0025483E"/>
    <w:rsid w:val="002663D5"/>
    <w:rsid w:val="002844BD"/>
    <w:rsid w:val="002F5443"/>
    <w:rsid w:val="0033075C"/>
    <w:rsid w:val="003475D1"/>
    <w:rsid w:val="003A4200"/>
    <w:rsid w:val="003A5BA5"/>
    <w:rsid w:val="003D4245"/>
    <w:rsid w:val="003E1050"/>
    <w:rsid w:val="003E1E77"/>
    <w:rsid w:val="004114F0"/>
    <w:rsid w:val="00411CC3"/>
    <w:rsid w:val="0044565A"/>
    <w:rsid w:val="0044784C"/>
    <w:rsid w:val="0045319D"/>
    <w:rsid w:val="00456CB1"/>
    <w:rsid w:val="0046211E"/>
    <w:rsid w:val="004775FD"/>
    <w:rsid w:val="004849DB"/>
    <w:rsid w:val="004875BD"/>
    <w:rsid w:val="004A52F9"/>
    <w:rsid w:val="004C179A"/>
    <w:rsid w:val="004C20C2"/>
    <w:rsid w:val="004E54B1"/>
    <w:rsid w:val="00515680"/>
    <w:rsid w:val="00535236"/>
    <w:rsid w:val="00547702"/>
    <w:rsid w:val="005808EC"/>
    <w:rsid w:val="00597812"/>
    <w:rsid w:val="005B18EF"/>
    <w:rsid w:val="005B4313"/>
    <w:rsid w:val="005C1AD2"/>
    <w:rsid w:val="005C79B8"/>
    <w:rsid w:val="005E20E6"/>
    <w:rsid w:val="0060054F"/>
    <w:rsid w:val="00610E0B"/>
    <w:rsid w:val="00620674"/>
    <w:rsid w:val="0063145E"/>
    <w:rsid w:val="006340CB"/>
    <w:rsid w:val="00635E30"/>
    <w:rsid w:val="0064130D"/>
    <w:rsid w:val="00654ADC"/>
    <w:rsid w:val="00656D6F"/>
    <w:rsid w:val="006659E3"/>
    <w:rsid w:val="00665EC7"/>
    <w:rsid w:val="00677DF4"/>
    <w:rsid w:val="00694B14"/>
    <w:rsid w:val="006B1604"/>
    <w:rsid w:val="006B295F"/>
    <w:rsid w:val="00712C83"/>
    <w:rsid w:val="00761EBE"/>
    <w:rsid w:val="007843FC"/>
    <w:rsid w:val="007D7AE5"/>
    <w:rsid w:val="007E0D00"/>
    <w:rsid w:val="00826714"/>
    <w:rsid w:val="00831628"/>
    <w:rsid w:val="008335DA"/>
    <w:rsid w:val="00836615"/>
    <w:rsid w:val="00837BE0"/>
    <w:rsid w:val="00861C18"/>
    <w:rsid w:val="00862F01"/>
    <w:rsid w:val="00866BCE"/>
    <w:rsid w:val="00891808"/>
    <w:rsid w:val="008B718A"/>
    <w:rsid w:val="0090726B"/>
    <w:rsid w:val="0093284B"/>
    <w:rsid w:val="00961439"/>
    <w:rsid w:val="0097061C"/>
    <w:rsid w:val="009C72E7"/>
    <w:rsid w:val="009D39F0"/>
    <w:rsid w:val="009D6783"/>
    <w:rsid w:val="009E719E"/>
    <w:rsid w:val="009F6329"/>
    <w:rsid w:val="009F72DD"/>
    <w:rsid w:val="00A163ED"/>
    <w:rsid w:val="00A53884"/>
    <w:rsid w:val="00A71A1E"/>
    <w:rsid w:val="00A832C5"/>
    <w:rsid w:val="00AC5874"/>
    <w:rsid w:val="00AE1EE0"/>
    <w:rsid w:val="00AF0C0F"/>
    <w:rsid w:val="00AF46B3"/>
    <w:rsid w:val="00B069E0"/>
    <w:rsid w:val="00B13946"/>
    <w:rsid w:val="00B3017D"/>
    <w:rsid w:val="00B342F1"/>
    <w:rsid w:val="00B4454E"/>
    <w:rsid w:val="00B453D1"/>
    <w:rsid w:val="00B55493"/>
    <w:rsid w:val="00B64F46"/>
    <w:rsid w:val="00B8259F"/>
    <w:rsid w:val="00BA0B5F"/>
    <w:rsid w:val="00BA5E19"/>
    <w:rsid w:val="00BC5991"/>
    <w:rsid w:val="00BD61ED"/>
    <w:rsid w:val="00BE192F"/>
    <w:rsid w:val="00BF4CED"/>
    <w:rsid w:val="00C1278F"/>
    <w:rsid w:val="00C16AE1"/>
    <w:rsid w:val="00C45508"/>
    <w:rsid w:val="00C63081"/>
    <w:rsid w:val="00C77005"/>
    <w:rsid w:val="00C83F21"/>
    <w:rsid w:val="00C91F9D"/>
    <w:rsid w:val="00CA4211"/>
    <w:rsid w:val="00CD3F85"/>
    <w:rsid w:val="00D01FC8"/>
    <w:rsid w:val="00D2068B"/>
    <w:rsid w:val="00D3056E"/>
    <w:rsid w:val="00D50101"/>
    <w:rsid w:val="00D8158E"/>
    <w:rsid w:val="00DF43E9"/>
    <w:rsid w:val="00E07185"/>
    <w:rsid w:val="00E10842"/>
    <w:rsid w:val="00E14304"/>
    <w:rsid w:val="00E329A4"/>
    <w:rsid w:val="00E40D1F"/>
    <w:rsid w:val="00E5405E"/>
    <w:rsid w:val="00E772B3"/>
    <w:rsid w:val="00E7733F"/>
    <w:rsid w:val="00EA7F06"/>
    <w:rsid w:val="00EB3986"/>
    <w:rsid w:val="00EF206E"/>
    <w:rsid w:val="00EF3F91"/>
    <w:rsid w:val="00EF5AB5"/>
    <w:rsid w:val="00EF6CE5"/>
    <w:rsid w:val="00F00E41"/>
    <w:rsid w:val="00F12D8E"/>
    <w:rsid w:val="00F1698F"/>
    <w:rsid w:val="00F254F5"/>
    <w:rsid w:val="00F258BA"/>
    <w:rsid w:val="00F4122D"/>
    <w:rsid w:val="00F4144D"/>
    <w:rsid w:val="00F53F92"/>
    <w:rsid w:val="00F831B0"/>
    <w:rsid w:val="00FA4C85"/>
    <w:rsid w:val="00FC2AA1"/>
    <w:rsid w:val="00FE3CAD"/>
    <w:rsid w:val="00FF5E1E"/>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6D6F"/>
  </w:style>
  <w:style w:type="paragraph" w:styleId="Heading1">
    <w:name w:val="heading 1"/>
    <w:basedOn w:val="Normal"/>
    <w:next w:val="Normal"/>
    <w:link w:val="Heading1Char"/>
    <w:uiPriority w:val="9"/>
    <w:qFormat/>
    <w:rsid w:val="00FC2AA1"/>
    <w:pPr>
      <w:keepNext/>
      <w:keepLines/>
      <w:spacing w:before="480" w:after="0"/>
      <w:outlineLvl w:val="0"/>
    </w:pPr>
    <w:rPr>
      <w:rFonts w:asciiTheme="majorHAnsi" w:eastAsiaTheme="majorEastAsia" w:hAnsiTheme="majorHAnsi" w:cstheme="majorBidi"/>
      <w:b/>
      <w:bCs/>
      <w:color w:val="365F91" w:themeColor="accent1" w:themeShade="BF"/>
      <w:sz w:val="28"/>
      <w:szCs w:val="28"/>
      <w:lang w:eastAsia="ko-KR"/>
    </w:rPr>
  </w:style>
  <w:style w:type="paragraph" w:styleId="Heading2">
    <w:name w:val="heading 2"/>
    <w:basedOn w:val="Normal"/>
    <w:next w:val="Normal"/>
    <w:link w:val="Heading2Char"/>
    <w:uiPriority w:val="9"/>
    <w:unhideWhenUsed/>
    <w:qFormat/>
    <w:rsid w:val="00A832C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E1EE0"/>
    <w:pPr>
      <w:keepNext/>
      <w:keepLines/>
      <w:spacing w:before="120" w:after="80"/>
      <w:outlineLvl w:val="2"/>
    </w:pPr>
    <w:rPr>
      <w:rFonts w:asciiTheme="majorHAnsi" w:eastAsiaTheme="majorEastAsia" w:hAnsiTheme="majorHAnsi" w:cstheme="majorBidi"/>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E1EE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1EE0"/>
    <w:rPr>
      <w:rFonts w:ascii="Tahoma" w:hAnsi="Tahoma" w:cs="Tahoma"/>
      <w:sz w:val="16"/>
      <w:szCs w:val="16"/>
    </w:rPr>
  </w:style>
  <w:style w:type="paragraph" w:styleId="PlainText">
    <w:name w:val="Plain Text"/>
    <w:basedOn w:val="Normal"/>
    <w:link w:val="PlainTextChar"/>
    <w:uiPriority w:val="99"/>
    <w:semiHidden/>
    <w:unhideWhenUsed/>
    <w:rsid w:val="00AE1EE0"/>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AE1EE0"/>
    <w:rPr>
      <w:rFonts w:ascii="Consolas" w:hAnsi="Consolas"/>
      <w:sz w:val="21"/>
      <w:szCs w:val="21"/>
    </w:rPr>
  </w:style>
  <w:style w:type="character" w:customStyle="1" w:styleId="Heading3Char">
    <w:name w:val="Heading 3 Char"/>
    <w:basedOn w:val="DefaultParagraphFont"/>
    <w:link w:val="Heading3"/>
    <w:uiPriority w:val="9"/>
    <w:semiHidden/>
    <w:rsid w:val="00AE1EE0"/>
    <w:rPr>
      <w:rFonts w:asciiTheme="majorHAnsi" w:eastAsiaTheme="majorEastAsia" w:hAnsiTheme="majorHAnsi" w:cstheme="majorBidi"/>
      <w:b/>
      <w:bCs/>
      <w:sz w:val="24"/>
    </w:rPr>
  </w:style>
  <w:style w:type="paragraph" w:styleId="ListParagraph">
    <w:name w:val="List Paragraph"/>
    <w:basedOn w:val="Normal"/>
    <w:uiPriority w:val="34"/>
    <w:qFormat/>
    <w:rsid w:val="00AE1EE0"/>
    <w:pPr>
      <w:ind w:left="720"/>
      <w:contextualSpacing/>
    </w:pPr>
  </w:style>
  <w:style w:type="character" w:customStyle="1" w:styleId="Heading2Char">
    <w:name w:val="Heading 2 Char"/>
    <w:basedOn w:val="DefaultParagraphFont"/>
    <w:link w:val="Heading2"/>
    <w:uiPriority w:val="9"/>
    <w:rsid w:val="00A832C5"/>
    <w:rPr>
      <w:rFonts w:asciiTheme="majorHAnsi" w:eastAsiaTheme="majorEastAsia" w:hAnsiTheme="majorHAnsi" w:cstheme="majorBidi"/>
      <w:b/>
      <w:bCs/>
      <w:color w:val="4F81BD" w:themeColor="accent1"/>
      <w:sz w:val="26"/>
      <w:szCs w:val="26"/>
    </w:rPr>
  </w:style>
  <w:style w:type="table" w:styleId="TableGrid">
    <w:name w:val="Table Grid"/>
    <w:basedOn w:val="TableNormal"/>
    <w:uiPriority w:val="59"/>
    <w:rsid w:val="00A832C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A832C5"/>
    <w:pPr>
      <w:tabs>
        <w:tab w:val="center" w:pos="4513"/>
        <w:tab w:val="right" w:pos="9026"/>
      </w:tabs>
      <w:spacing w:after="0" w:line="240" w:lineRule="auto"/>
    </w:pPr>
  </w:style>
  <w:style w:type="character" w:customStyle="1" w:styleId="HeaderChar">
    <w:name w:val="Header Char"/>
    <w:basedOn w:val="DefaultParagraphFont"/>
    <w:link w:val="Header"/>
    <w:uiPriority w:val="99"/>
    <w:rsid w:val="00A832C5"/>
  </w:style>
  <w:style w:type="paragraph" w:styleId="FootnoteText">
    <w:name w:val="footnote text"/>
    <w:basedOn w:val="Normal"/>
    <w:link w:val="FootnoteTextChar"/>
    <w:uiPriority w:val="99"/>
    <w:unhideWhenUsed/>
    <w:rsid w:val="003D4245"/>
    <w:pPr>
      <w:spacing w:after="0" w:line="240" w:lineRule="auto"/>
    </w:pPr>
    <w:rPr>
      <w:sz w:val="20"/>
      <w:szCs w:val="20"/>
    </w:rPr>
  </w:style>
  <w:style w:type="character" w:customStyle="1" w:styleId="FootnoteTextChar">
    <w:name w:val="Footnote Text Char"/>
    <w:basedOn w:val="DefaultParagraphFont"/>
    <w:link w:val="FootnoteText"/>
    <w:uiPriority w:val="99"/>
    <w:rsid w:val="003D4245"/>
    <w:rPr>
      <w:sz w:val="20"/>
      <w:szCs w:val="20"/>
    </w:rPr>
  </w:style>
  <w:style w:type="character" w:styleId="FootnoteReference">
    <w:name w:val="footnote reference"/>
    <w:basedOn w:val="DefaultParagraphFont"/>
    <w:uiPriority w:val="99"/>
    <w:unhideWhenUsed/>
    <w:rsid w:val="003D4245"/>
    <w:rPr>
      <w:vertAlign w:val="superscript"/>
    </w:rPr>
  </w:style>
  <w:style w:type="character" w:styleId="Hyperlink">
    <w:name w:val="Hyperlink"/>
    <w:basedOn w:val="DefaultParagraphFont"/>
    <w:uiPriority w:val="99"/>
    <w:unhideWhenUsed/>
    <w:rsid w:val="003D4245"/>
    <w:rPr>
      <w:color w:val="0000FF" w:themeColor="hyperlink"/>
      <w:u w:val="single"/>
    </w:rPr>
  </w:style>
  <w:style w:type="character" w:styleId="CommentReference">
    <w:name w:val="annotation reference"/>
    <w:basedOn w:val="DefaultParagraphFont"/>
    <w:uiPriority w:val="99"/>
    <w:semiHidden/>
    <w:unhideWhenUsed/>
    <w:rsid w:val="000B6028"/>
    <w:rPr>
      <w:sz w:val="16"/>
      <w:szCs w:val="16"/>
    </w:rPr>
  </w:style>
  <w:style w:type="paragraph" w:styleId="CommentText">
    <w:name w:val="annotation text"/>
    <w:basedOn w:val="Normal"/>
    <w:link w:val="CommentTextChar"/>
    <w:uiPriority w:val="99"/>
    <w:semiHidden/>
    <w:unhideWhenUsed/>
    <w:rsid w:val="000B6028"/>
    <w:pPr>
      <w:spacing w:line="240" w:lineRule="auto"/>
    </w:pPr>
    <w:rPr>
      <w:sz w:val="20"/>
      <w:szCs w:val="20"/>
    </w:rPr>
  </w:style>
  <w:style w:type="character" w:customStyle="1" w:styleId="CommentTextChar">
    <w:name w:val="Comment Text Char"/>
    <w:basedOn w:val="DefaultParagraphFont"/>
    <w:link w:val="CommentText"/>
    <w:uiPriority w:val="99"/>
    <w:semiHidden/>
    <w:rsid w:val="000B6028"/>
    <w:rPr>
      <w:sz w:val="20"/>
      <w:szCs w:val="20"/>
    </w:rPr>
  </w:style>
  <w:style w:type="paragraph" w:styleId="CommentSubject">
    <w:name w:val="annotation subject"/>
    <w:basedOn w:val="CommentText"/>
    <w:next w:val="CommentText"/>
    <w:link w:val="CommentSubjectChar"/>
    <w:uiPriority w:val="99"/>
    <w:semiHidden/>
    <w:unhideWhenUsed/>
    <w:rsid w:val="000B6028"/>
    <w:rPr>
      <w:b/>
      <w:bCs/>
    </w:rPr>
  </w:style>
  <w:style w:type="character" w:customStyle="1" w:styleId="CommentSubjectChar">
    <w:name w:val="Comment Subject Char"/>
    <w:basedOn w:val="CommentTextChar"/>
    <w:link w:val="CommentSubject"/>
    <w:uiPriority w:val="99"/>
    <w:semiHidden/>
    <w:rsid w:val="000B6028"/>
    <w:rPr>
      <w:b/>
      <w:bCs/>
    </w:rPr>
  </w:style>
  <w:style w:type="paragraph" w:styleId="Footer">
    <w:name w:val="footer"/>
    <w:basedOn w:val="Normal"/>
    <w:link w:val="FooterChar"/>
    <w:uiPriority w:val="99"/>
    <w:rsid w:val="00836615"/>
    <w:pPr>
      <w:tabs>
        <w:tab w:val="center" w:pos="4320"/>
        <w:tab w:val="right" w:pos="8640"/>
      </w:tabs>
      <w:spacing w:before="80" w:after="120" w:line="280" w:lineRule="atLeast"/>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836615"/>
    <w:rPr>
      <w:rFonts w:ascii="Times New Roman" w:eastAsia="Times New Roman" w:hAnsi="Times New Roman" w:cs="Times New Roman"/>
      <w:sz w:val="24"/>
      <w:szCs w:val="24"/>
    </w:rPr>
  </w:style>
  <w:style w:type="paragraph" w:customStyle="1" w:styleId="ACMABulletLevel2">
    <w:name w:val="ACMA Bullet Level 2"/>
    <w:rsid w:val="00836615"/>
    <w:pPr>
      <w:numPr>
        <w:numId w:val="6"/>
      </w:numPr>
      <w:spacing w:after="120" w:line="240" w:lineRule="auto"/>
      <w:ind w:left="357" w:hanging="357"/>
    </w:pPr>
    <w:rPr>
      <w:rFonts w:ascii="Times New Roman" w:eastAsia="Times New Roman" w:hAnsi="Times New Roman" w:cs="Times New Roman"/>
      <w:sz w:val="24"/>
      <w:szCs w:val="20"/>
    </w:rPr>
  </w:style>
  <w:style w:type="paragraph" w:styleId="Revision">
    <w:name w:val="Revision"/>
    <w:hidden/>
    <w:uiPriority w:val="99"/>
    <w:semiHidden/>
    <w:rsid w:val="00BD61ED"/>
    <w:pPr>
      <w:spacing w:after="0" w:line="240" w:lineRule="auto"/>
    </w:pPr>
  </w:style>
  <w:style w:type="character" w:customStyle="1" w:styleId="Heading1Char">
    <w:name w:val="Heading 1 Char"/>
    <w:basedOn w:val="DefaultParagraphFont"/>
    <w:link w:val="Heading1"/>
    <w:uiPriority w:val="9"/>
    <w:rsid w:val="00FC2AA1"/>
    <w:rPr>
      <w:rFonts w:asciiTheme="majorHAnsi" w:eastAsiaTheme="majorEastAsia" w:hAnsiTheme="majorHAnsi" w:cstheme="majorBidi"/>
      <w:b/>
      <w:bCs/>
      <w:color w:val="365F91" w:themeColor="accent1" w:themeShade="BF"/>
      <w:sz w:val="28"/>
      <w:szCs w:val="28"/>
      <w:lang w:eastAsia="ko-KR"/>
    </w:rPr>
  </w:style>
  <w:style w:type="paragraph" w:styleId="NoSpacing">
    <w:name w:val="No Spacing"/>
    <w:uiPriority w:val="1"/>
    <w:qFormat/>
    <w:rsid w:val="00FC2AA1"/>
    <w:pPr>
      <w:spacing w:after="0" w:line="240" w:lineRule="auto"/>
    </w:pPr>
  </w:style>
  <w:style w:type="paragraph" w:styleId="Caption">
    <w:name w:val="caption"/>
    <w:basedOn w:val="Normal"/>
    <w:next w:val="Normal"/>
    <w:uiPriority w:val="35"/>
    <w:unhideWhenUsed/>
    <w:qFormat/>
    <w:rsid w:val="00FC2AA1"/>
    <w:pPr>
      <w:spacing w:line="240" w:lineRule="auto"/>
    </w:pPr>
    <w:rPr>
      <w:rFonts w:ascii="Times New Roman" w:eastAsia="Batang" w:hAnsi="Times New Roman" w:cs="Times New Roman"/>
      <w:b/>
      <w:bCs/>
      <w:color w:val="4F81BD" w:themeColor="accent1"/>
      <w:sz w:val="18"/>
      <w:szCs w:val="18"/>
      <w:lang w:eastAsia="ko-KR"/>
    </w:rPr>
  </w:style>
</w:styles>
</file>

<file path=word/webSettings.xml><?xml version="1.0" encoding="utf-8"?>
<w:webSettings xmlns:r="http://schemas.openxmlformats.org/officeDocument/2006/relationships" xmlns:w="http://schemas.openxmlformats.org/wordprocessingml/2006/main">
  <w:divs>
    <w:div w:id="1767574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tiff"/><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tif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tif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www.icsm.gov.au/gda/gdatm/index.html" TargetMode="External"/><Relationship Id="rId1" Type="http://schemas.openxmlformats.org/officeDocument/2006/relationships/hyperlink" Target="http://www.ga.gov.au/meta/ANZCW0703011541.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698B9CFC292EF249A6EBAA2E43E061E9" ma:contentTypeVersion="0" ma:contentTypeDescription="Create a new document." ma:contentTypeScope="" ma:versionID="33f04d298455cc170e2920528bd1e266">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B58ED5-E842-4ABA-A00E-7DDEEF45A7D9}">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customXml/itemProps2.xml><?xml version="1.0" encoding="utf-8"?>
<ds:datastoreItem xmlns:ds="http://schemas.openxmlformats.org/officeDocument/2006/customXml" ds:itemID="{5B50A199-7C68-4EEF-A034-539DF6FD7BB7}">
  <ds:schemaRefs>
    <ds:schemaRef ds:uri="http://schemas.microsoft.com/sharepoint/v3/contenttype/forms"/>
  </ds:schemaRefs>
</ds:datastoreItem>
</file>

<file path=customXml/itemProps3.xml><?xml version="1.0" encoding="utf-8"?>
<ds:datastoreItem xmlns:ds="http://schemas.openxmlformats.org/officeDocument/2006/customXml" ds:itemID="{DC61E7FC-C833-4041-94BB-24AAAD154FFE}">
  <ds:schemaRefs>
    <ds:schemaRef ds:uri="http://schemas.openxmlformats.org/officeDocument/2006/bibliography"/>
  </ds:schemaRefs>
</ds:datastoreItem>
</file>

<file path=customXml/itemProps4.xml><?xml version="1.0" encoding="utf-8"?>
<ds:datastoreItem xmlns:ds="http://schemas.openxmlformats.org/officeDocument/2006/customXml" ds:itemID="{87F9EF5E-568F-4A1E-9201-7A4DC4EDE7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C149A0B3-5A77-4462-8E18-2AD405417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16</Pages>
  <Words>3850</Words>
  <Characters>21950</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Australian Communications and Media Authority</Company>
  <LinksUpToDate>false</LinksUpToDate>
  <CharactersWithSpaces>25749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Reference Paper: Adoption of GDA94 for spectrum licensing</dc:title>
  <dc:creator/>
  <cp:lastModifiedBy>Australian Communications and Media Authority</cp:lastModifiedBy>
  <cp:revision>5</cp:revision>
  <cp:lastPrinted>2011-06-01T04:49:00Z</cp:lastPrinted>
  <dcterms:created xsi:type="dcterms:W3CDTF">2011-07-19T01:34:00Z</dcterms:created>
  <dcterms:modified xsi:type="dcterms:W3CDTF">2012-03-28T01:03:00Z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0x010100698B9CFC292EF249A6EBAA2E43E061E9</vt:lpwstr>
  </property>
</Properties>
</file>