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BC3" w:rsidRPr="006B135A" w:rsidRDefault="00575BC3" w:rsidP="00575BC3">
      <w:pPr>
        <w:pStyle w:val="Heading1"/>
        <w:jc w:val="center"/>
      </w:pPr>
      <w:r w:rsidRPr="004C60FD">
        <w:t>Technical Framework Development</w:t>
      </w:r>
      <w:r w:rsidRPr="00FA0350">
        <w:t xml:space="preserve"> </w:t>
      </w:r>
    </w:p>
    <w:p w:rsidR="00575BC3" w:rsidRPr="006B135A" w:rsidRDefault="00575BC3" w:rsidP="00575BC3">
      <w:pPr>
        <w:pStyle w:val="Heading2"/>
        <w:jc w:val="center"/>
      </w:pPr>
      <w:bookmarkStart w:id="0" w:name="OLE_LINK1"/>
      <w:bookmarkStart w:id="1" w:name="OLE_LINK3"/>
      <w:r>
        <w:t>1800 M</w:t>
      </w:r>
      <w:r w:rsidRPr="00FA0350">
        <w:t>Hz Spectrum Licence Band</w:t>
      </w:r>
    </w:p>
    <w:bookmarkEnd w:id="0"/>
    <w:bookmarkEnd w:id="1"/>
    <w:p w:rsidR="00575BC3" w:rsidRDefault="00575BC3" w:rsidP="00575BC3"/>
    <w:p w:rsidR="00575BC3" w:rsidRPr="00464978" w:rsidRDefault="00575BC3" w:rsidP="00575BC3">
      <w:pPr>
        <w:jc w:val="center"/>
        <w:rPr>
          <w:b/>
        </w:rPr>
      </w:pPr>
      <w:r>
        <w:rPr>
          <w:b/>
        </w:rPr>
        <w:t>TLG-</w:t>
      </w:r>
      <w:r w:rsidRPr="00464978">
        <w:rPr>
          <w:b/>
        </w:rPr>
        <w:t xml:space="preserve">Discussion Paper No. </w:t>
      </w:r>
      <w:r>
        <w:rPr>
          <w:b/>
        </w:rPr>
        <w:t>2</w:t>
      </w:r>
    </w:p>
    <w:p w:rsidR="00575BC3" w:rsidRDefault="00575BC3" w:rsidP="00575BC3">
      <w:pPr>
        <w:jc w:val="center"/>
        <w:rPr>
          <w:b/>
        </w:rPr>
      </w:pPr>
      <w:r w:rsidRPr="00464978">
        <w:rPr>
          <w:b/>
        </w:rPr>
        <w:t>Design Requirements for the Technical Framework</w:t>
      </w:r>
    </w:p>
    <w:p w:rsidR="00575BC3" w:rsidRPr="00464978" w:rsidRDefault="00575BC3" w:rsidP="00575BC3">
      <w:pPr>
        <w:jc w:val="center"/>
        <w:rPr>
          <w:b/>
        </w:rPr>
      </w:pPr>
      <w:r>
        <w:rPr>
          <w:b/>
        </w:rPr>
        <w:t xml:space="preserve">Determination of Unacceptable Interference / System Models / Propagation Models / Levels of Protection / Device Boundary Criterion </w:t>
      </w:r>
    </w:p>
    <w:p w:rsidR="00575BC3" w:rsidRDefault="00575BC3" w:rsidP="00575BC3">
      <w:pPr>
        <w:jc w:val="center"/>
      </w:pPr>
    </w:p>
    <w:p w:rsidR="00575BC3" w:rsidRDefault="00575BC3" w:rsidP="00575BC3">
      <w:r>
        <w:t>Document Release Information</w:t>
      </w:r>
    </w:p>
    <w:tbl>
      <w:tblPr>
        <w:tblStyle w:val="TableGrid"/>
        <w:tblW w:w="0" w:type="auto"/>
        <w:tblInd w:w="108" w:type="dxa"/>
        <w:tblLook w:val="01E0"/>
      </w:tblPr>
      <w:tblGrid>
        <w:gridCol w:w="1418"/>
        <w:gridCol w:w="2126"/>
        <w:gridCol w:w="4870"/>
      </w:tblGrid>
      <w:tr w:rsidR="00575BC3" w:rsidTr="003755AB">
        <w:tc>
          <w:tcPr>
            <w:tcW w:w="1418" w:type="dxa"/>
          </w:tcPr>
          <w:p w:rsidR="00575BC3" w:rsidRDefault="00575BC3" w:rsidP="003755AB">
            <w:pPr>
              <w:jc w:val="center"/>
            </w:pPr>
            <w:r>
              <w:t>Version</w:t>
            </w:r>
          </w:p>
        </w:tc>
        <w:tc>
          <w:tcPr>
            <w:tcW w:w="2126" w:type="dxa"/>
          </w:tcPr>
          <w:p w:rsidR="00575BC3" w:rsidRDefault="00575BC3" w:rsidP="003755AB">
            <w:pPr>
              <w:jc w:val="center"/>
            </w:pPr>
            <w:r>
              <w:t>Date Released</w:t>
            </w:r>
          </w:p>
        </w:tc>
        <w:tc>
          <w:tcPr>
            <w:tcW w:w="4870" w:type="dxa"/>
          </w:tcPr>
          <w:p w:rsidR="00575BC3" w:rsidRDefault="00575BC3" w:rsidP="003755AB">
            <w:pPr>
              <w:jc w:val="center"/>
            </w:pPr>
            <w:r>
              <w:t>Remarks</w:t>
            </w:r>
          </w:p>
        </w:tc>
      </w:tr>
      <w:tr w:rsidR="00575BC3" w:rsidTr="003755AB">
        <w:tc>
          <w:tcPr>
            <w:tcW w:w="1418" w:type="dxa"/>
          </w:tcPr>
          <w:p w:rsidR="00575BC3" w:rsidRDefault="00575BC3" w:rsidP="003755AB">
            <w:pPr>
              <w:jc w:val="center"/>
            </w:pPr>
            <w:r>
              <w:t>1</w:t>
            </w:r>
          </w:p>
        </w:tc>
        <w:tc>
          <w:tcPr>
            <w:tcW w:w="2126" w:type="dxa"/>
          </w:tcPr>
          <w:p w:rsidR="00575BC3" w:rsidRDefault="00A74CD0" w:rsidP="00A74CD0">
            <w:pPr>
              <w:jc w:val="center"/>
            </w:pPr>
            <w:r>
              <w:t>2</w:t>
            </w:r>
            <w:r w:rsidR="00DB6F5C">
              <w:t>/0</w:t>
            </w:r>
            <w:r>
              <w:t>9</w:t>
            </w:r>
            <w:r w:rsidR="00DB6F5C">
              <w:t>/2011</w:t>
            </w:r>
          </w:p>
        </w:tc>
        <w:tc>
          <w:tcPr>
            <w:tcW w:w="4870" w:type="dxa"/>
          </w:tcPr>
          <w:p w:rsidR="00575BC3" w:rsidRDefault="00575BC3" w:rsidP="003755AB">
            <w:pPr>
              <w:jc w:val="center"/>
            </w:pPr>
            <w:r>
              <w:t>Initial Release</w:t>
            </w:r>
          </w:p>
        </w:tc>
      </w:tr>
      <w:tr w:rsidR="00575BC3" w:rsidTr="003755AB">
        <w:tc>
          <w:tcPr>
            <w:tcW w:w="1418" w:type="dxa"/>
          </w:tcPr>
          <w:p w:rsidR="00575BC3" w:rsidRDefault="00F6268F" w:rsidP="003755AB">
            <w:pPr>
              <w:jc w:val="center"/>
            </w:pPr>
            <w:r>
              <w:t>2</w:t>
            </w:r>
          </w:p>
        </w:tc>
        <w:tc>
          <w:tcPr>
            <w:tcW w:w="2126" w:type="dxa"/>
          </w:tcPr>
          <w:p w:rsidR="00575BC3" w:rsidRDefault="00FE0530" w:rsidP="003755AB">
            <w:pPr>
              <w:jc w:val="center"/>
            </w:pPr>
            <w:r>
              <w:t>20/11/2011</w:t>
            </w:r>
          </w:p>
        </w:tc>
        <w:tc>
          <w:tcPr>
            <w:tcW w:w="4870" w:type="dxa"/>
          </w:tcPr>
          <w:p w:rsidR="00575BC3" w:rsidRDefault="00F6268F" w:rsidP="003755AB">
            <w:pPr>
              <w:jc w:val="center"/>
            </w:pPr>
            <w:r>
              <w:t>Revised GSM-R vehicle parameters, increasing radiated level of registration exempt devices and removal of Scaling Parameter from DBC</w:t>
            </w:r>
          </w:p>
        </w:tc>
      </w:tr>
      <w:tr w:rsidR="0081744F" w:rsidTr="003755AB">
        <w:tc>
          <w:tcPr>
            <w:tcW w:w="1418" w:type="dxa"/>
          </w:tcPr>
          <w:p w:rsidR="0081744F" w:rsidRDefault="0081744F" w:rsidP="003755AB">
            <w:pPr>
              <w:jc w:val="center"/>
            </w:pPr>
            <w:r>
              <w:t>3</w:t>
            </w:r>
          </w:p>
        </w:tc>
        <w:tc>
          <w:tcPr>
            <w:tcW w:w="2126" w:type="dxa"/>
          </w:tcPr>
          <w:p w:rsidR="0081744F" w:rsidRDefault="00E40BB4" w:rsidP="003755AB">
            <w:pPr>
              <w:jc w:val="center"/>
            </w:pPr>
            <w:r>
              <w:t>23/01/2012</w:t>
            </w:r>
          </w:p>
        </w:tc>
        <w:tc>
          <w:tcPr>
            <w:tcW w:w="4870" w:type="dxa"/>
          </w:tcPr>
          <w:p w:rsidR="0081744F" w:rsidRDefault="007123CF" w:rsidP="007123CF">
            <w:pPr>
              <w:jc w:val="center"/>
            </w:pPr>
            <w:r>
              <w:t>Proposal to remove Clause 7(9) from the Section 145 Determination of the updated technical framework</w:t>
            </w:r>
          </w:p>
        </w:tc>
      </w:tr>
    </w:tbl>
    <w:p w:rsidR="00575BC3" w:rsidRDefault="00575BC3" w:rsidP="00575BC3">
      <w:pPr>
        <w:jc w:val="center"/>
      </w:pPr>
    </w:p>
    <w:p w:rsidR="00575BC3" w:rsidRPr="006B135A" w:rsidRDefault="00575BC3" w:rsidP="00575BC3">
      <w:pPr>
        <w:pStyle w:val="Heading2"/>
      </w:pPr>
      <w:r w:rsidRPr="006B135A">
        <w:t>1</w:t>
      </w:r>
      <w:r w:rsidRPr="006B135A">
        <w:tab/>
        <w:t>Background</w:t>
      </w:r>
    </w:p>
    <w:p w:rsidR="00575BC3" w:rsidRDefault="00575BC3" w:rsidP="00575BC3">
      <w:r>
        <w:t xml:space="preserve">This </w:t>
      </w:r>
      <w:r w:rsidRPr="00EC30EE">
        <w:t>discussion paper</w:t>
      </w:r>
      <w:r w:rsidRPr="004C60FD">
        <w:t xml:space="preserve"> deals</w:t>
      </w:r>
      <w:r>
        <w:t xml:space="preserve"> with the parts of the technical framework that appear in the Section 145 Determination of Unacceptable Interference.  Section 145 of the </w:t>
      </w:r>
      <w:r>
        <w:rPr>
          <w:i/>
        </w:rPr>
        <w:t>Radiocommunications Act 1992</w:t>
      </w:r>
      <w:r>
        <w:t>, is located in Part 3.5 of</w:t>
      </w:r>
      <w:r>
        <w:rPr>
          <w:i/>
        </w:rPr>
        <w:t xml:space="preserve"> the Act.</w:t>
      </w:r>
      <w:r>
        <w:t xml:space="preserve">  This Part of </w:t>
      </w:r>
      <w:r w:rsidRPr="008D0AA0">
        <w:rPr>
          <w:i/>
        </w:rPr>
        <w:t>the Act</w:t>
      </w:r>
      <w:r>
        <w:t xml:space="preserve"> deals with the registration of radiocommunications licences, and the details that must be recorded in the register of radiocommunications licenses for the authorisation of the use of a radiocommunications transmitter.  </w:t>
      </w:r>
    </w:p>
    <w:p w:rsidR="00575BC3" w:rsidRDefault="00575BC3" w:rsidP="00575BC3"/>
    <w:p w:rsidR="00575BC3" w:rsidRDefault="00575BC3" w:rsidP="00575BC3">
      <w:r>
        <w:t xml:space="preserve">Section 145 of </w:t>
      </w:r>
      <w:r>
        <w:rPr>
          <w:i/>
        </w:rPr>
        <w:t>the Act</w:t>
      </w:r>
      <w:r>
        <w:t xml:space="preserve"> authorises the Australian Communications and Media Authority (ACMA) to refuse registration of a transmitter for operation under a spectrum licence if the ACMA is satisfied that the operation of the transmitter could cause unacceptable interference to the licensed operation of other radiocommunications devices.  Subsection (4) of Section 145 provides that the ACMA may determine, by written instrument, what are unacceptable levels of interference for the purposes of refusing to register transmitters under a spectrum licence.  The </w:t>
      </w:r>
      <w:r w:rsidRPr="00D51EAE">
        <w:rPr>
          <w:i/>
        </w:rPr>
        <w:t>Radiocommunications (Unacceptable Levels of Interference – 1800 MHz Band) Determination</w:t>
      </w:r>
      <w:r>
        <w:t xml:space="preserve">, made under Section 145, is that written instrument for the 1800 MHz band.  </w:t>
      </w:r>
    </w:p>
    <w:p w:rsidR="00575BC3" w:rsidRDefault="00575BC3" w:rsidP="00575BC3"/>
    <w:p w:rsidR="00575BC3" w:rsidRDefault="00575BC3" w:rsidP="00575BC3">
      <w:r>
        <w:t>The Section 145 Determination is used by the ACMA to set out device registration requirements.  These typically include a requirement that the device boundary of a registered transmitter - calculated using a device boundary criterion - must lie within the geographic boundary of the licence.</w:t>
      </w:r>
    </w:p>
    <w:p w:rsidR="00575BC3" w:rsidRDefault="00575BC3" w:rsidP="00575BC3"/>
    <w:p w:rsidR="00575BC3" w:rsidRDefault="00575BC3" w:rsidP="00575BC3">
      <w:r>
        <w:t>The Section 145 Determination can also be used to reinforce arrangements that support the operation of low power mobile devices such as hand held devices or low power indoor fixed devices without registration</w:t>
      </w:r>
      <w:r>
        <w:rPr>
          <w:rStyle w:val="FootnoteReference"/>
        </w:rPr>
        <w:footnoteReference w:id="1"/>
      </w:r>
      <w:r>
        <w:t xml:space="preserve"> by declaring them not to cause unacceptable interference.  The </w:t>
      </w:r>
      <w:r>
        <w:lastRenderedPageBreak/>
        <w:t xml:space="preserve">Section 145 Determination is also used to set out arrangements for group registration of similar transmitters and receivers to reduce costs and records management requirements. </w:t>
      </w:r>
    </w:p>
    <w:p w:rsidR="00575BC3" w:rsidRPr="006B135A" w:rsidRDefault="00575BC3" w:rsidP="00575BC3">
      <w:pPr>
        <w:pStyle w:val="Heading2"/>
      </w:pPr>
      <w:r w:rsidRPr="006B135A">
        <w:t>2</w:t>
      </w:r>
      <w:r w:rsidRPr="006B135A">
        <w:tab/>
        <w:t>Introduction</w:t>
      </w:r>
    </w:p>
    <w:p w:rsidR="00575BC3" w:rsidRDefault="00575BC3" w:rsidP="00575BC3">
      <w:pPr>
        <w:keepNext/>
      </w:pPr>
      <w:r>
        <w:t xml:space="preserve">This </w:t>
      </w:r>
      <w:r w:rsidRPr="00A63FBD">
        <w:t>discussion paper looks</w:t>
      </w:r>
      <w:r>
        <w:t xml:space="preserve"> in detail at the following items that are used to develop the Section 145 Determination;</w:t>
      </w:r>
    </w:p>
    <w:p w:rsidR="00575BC3" w:rsidRDefault="00575BC3" w:rsidP="00575BC3">
      <w:pPr>
        <w:numPr>
          <w:ilvl w:val="0"/>
          <w:numId w:val="1"/>
        </w:numPr>
        <w:spacing w:before="60"/>
        <w:ind w:left="714" w:hanging="357"/>
      </w:pPr>
      <w:r>
        <w:t>system models;</w:t>
      </w:r>
    </w:p>
    <w:p w:rsidR="00575BC3" w:rsidRDefault="00575BC3" w:rsidP="00575BC3">
      <w:pPr>
        <w:numPr>
          <w:ilvl w:val="0"/>
          <w:numId w:val="1"/>
        </w:numPr>
        <w:spacing w:before="60"/>
        <w:ind w:left="714" w:hanging="357"/>
      </w:pPr>
      <w:r>
        <w:t>propagation modelling;</w:t>
      </w:r>
    </w:p>
    <w:p w:rsidR="00575BC3" w:rsidRDefault="00575BC3" w:rsidP="00575BC3">
      <w:pPr>
        <w:numPr>
          <w:ilvl w:val="0"/>
          <w:numId w:val="1"/>
        </w:numPr>
        <w:spacing w:before="60"/>
        <w:ind w:left="714" w:hanging="357"/>
      </w:pPr>
      <w:r>
        <w:t>level of protection;</w:t>
      </w:r>
    </w:p>
    <w:p w:rsidR="00575BC3" w:rsidRDefault="00575BC3" w:rsidP="00575BC3">
      <w:pPr>
        <w:numPr>
          <w:ilvl w:val="0"/>
          <w:numId w:val="1"/>
        </w:numPr>
        <w:spacing w:before="60"/>
        <w:ind w:left="714" w:hanging="357"/>
      </w:pPr>
      <w:r>
        <w:t>device boundary criteria; and</w:t>
      </w:r>
    </w:p>
    <w:p w:rsidR="00575BC3" w:rsidRDefault="00575BC3" w:rsidP="00575BC3">
      <w:pPr>
        <w:numPr>
          <w:ilvl w:val="0"/>
          <w:numId w:val="1"/>
        </w:numPr>
        <w:spacing w:before="60"/>
        <w:ind w:left="714" w:hanging="357"/>
      </w:pPr>
      <w:proofErr w:type="gramStart"/>
      <w:r>
        <w:t>other</w:t>
      </w:r>
      <w:proofErr w:type="gramEnd"/>
      <w:r>
        <w:t xml:space="preserve"> device registration arrangements.</w:t>
      </w:r>
    </w:p>
    <w:p w:rsidR="00575BC3" w:rsidRDefault="00575BC3" w:rsidP="00575BC3">
      <w:pPr>
        <w:spacing w:before="60"/>
        <w:ind w:left="357"/>
      </w:pPr>
    </w:p>
    <w:p w:rsidR="00575BC3" w:rsidRDefault="00575BC3" w:rsidP="00575BC3">
      <w:r>
        <w:t xml:space="preserve">An outline of the reasoning leading to selection of the proposed models and requirements has been provided for information.  Note that this paper deals primarily with co-channel or co-frequency issues. </w:t>
      </w:r>
    </w:p>
    <w:p w:rsidR="00575BC3" w:rsidRDefault="00575BC3" w:rsidP="00575BC3">
      <w:pPr>
        <w:spacing w:before="240"/>
      </w:pPr>
      <w:r>
        <w:t xml:space="preserve">In this </w:t>
      </w:r>
      <w:r w:rsidRPr="00A63FBD">
        <w:t xml:space="preserve">discussion paper </w:t>
      </w:r>
      <w:r>
        <w:t>the views and suggestions of the members of the Technical Liaison Group are sought on the suitability of the proposed models and requirements. Table 1 below provides a high level overview of the proposed changes in this paper.</w:t>
      </w:r>
    </w:p>
    <w:p w:rsidR="00575BC3" w:rsidRDefault="00575BC3" w:rsidP="00575BC3">
      <w:pPr>
        <w:spacing w:before="240"/>
      </w:pPr>
      <w:r>
        <w:t>Table 1 – overview of the proposed changes in this discussion paper</w:t>
      </w:r>
    </w:p>
    <w:tbl>
      <w:tblPr>
        <w:tblStyle w:val="TableGrid"/>
        <w:tblW w:w="0" w:type="auto"/>
        <w:tblLook w:val="04A0"/>
      </w:tblPr>
      <w:tblGrid>
        <w:gridCol w:w="2943"/>
        <w:gridCol w:w="6231"/>
      </w:tblGrid>
      <w:tr w:rsidR="00575BC3" w:rsidTr="003755AB">
        <w:tc>
          <w:tcPr>
            <w:tcW w:w="2943" w:type="dxa"/>
          </w:tcPr>
          <w:p w:rsidR="00575BC3" w:rsidRDefault="00575BC3" w:rsidP="003755AB">
            <w:pPr>
              <w:rPr>
                <w:b/>
              </w:rPr>
            </w:pPr>
            <w:r w:rsidRPr="00782FBB">
              <w:rPr>
                <w:b/>
              </w:rPr>
              <w:t>Item</w:t>
            </w:r>
          </w:p>
        </w:tc>
        <w:tc>
          <w:tcPr>
            <w:tcW w:w="6231" w:type="dxa"/>
          </w:tcPr>
          <w:p w:rsidR="00575BC3" w:rsidRDefault="00575BC3" w:rsidP="003755AB">
            <w:pPr>
              <w:rPr>
                <w:b/>
              </w:rPr>
            </w:pPr>
            <w:r w:rsidRPr="00782FBB">
              <w:rPr>
                <w:b/>
              </w:rPr>
              <w:t>Proposed change</w:t>
            </w:r>
          </w:p>
        </w:tc>
      </w:tr>
      <w:tr w:rsidR="00575BC3" w:rsidTr="003755AB">
        <w:tc>
          <w:tcPr>
            <w:tcW w:w="2943" w:type="dxa"/>
          </w:tcPr>
          <w:p w:rsidR="00575BC3" w:rsidRDefault="00575BC3" w:rsidP="003755AB">
            <w:r>
              <w:t>Propagation model used in the Device Boundary Criterion (DBC)</w:t>
            </w:r>
          </w:p>
        </w:tc>
        <w:tc>
          <w:tcPr>
            <w:tcW w:w="6231" w:type="dxa"/>
          </w:tcPr>
          <w:p w:rsidR="00575BC3" w:rsidRDefault="00575BC3" w:rsidP="003755AB">
            <w:r w:rsidRPr="00F6348D">
              <w:t xml:space="preserve">Proposed to change to the </w:t>
            </w:r>
            <w:r w:rsidRPr="00562403">
              <w:t xml:space="preserve">modified </w:t>
            </w:r>
            <w:proofErr w:type="spellStart"/>
            <w:r w:rsidRPr="00F6348D">
              <w:t>Hata</w:t>
            </w:r>
            <w:proofErr w:type="spellEnd"/>
            <w:r w:rsidRPr="00F6348D">
              <w:t xml:space="preserve"> – Urban model from ERC Report 68</w:t>
            </w:r>
            <w:r w:rsidRPr="00562403">
              <w:t>.</w:t>
            </w:r>
          </w:p>
        </w:tc>
      </w:tr>
      <w:tr w:rsidR="00575BC3" w:rsidTr="003755AB">
        <w:tc>
          <w:tcPr>
            <w:tcW w:w="2943" w:type="dxa"/>
          </w:tcPr>
          <w:p w:rsidR="00575BC3" w:rsidRDefault="00575BC3" w:rsidP="003755AB">
            <w:r>
              <w:t>Level of Protection (LOP)</w:t>
            </w:r>
          </w:p>
        </w:tc>
        <w:tc>
          <w:tcPr>
            <w:tcW w:w="6231" w:type="dxa"/>
          </w:tcPr>
          <w:p w:rsidR="00575BC3" w:rsidRDefault="00575BC3" w:rsidP="003755AB">
            <w:r>
              <w:t>Proposed to reduce the LOP from -122 dBm/30kHz to -115 dBm/30kHz at the licence boundary</w:t>
            </w:r>
            <w:r w:rsidR="006373D7">
              <w:t>.</w:t>
            </w:r>
          </w:p>
        </w:tc>
      </w:tr>
      <w:tr w:rsidR="00575BC3" w:rsidTr="003755AB">
        <w:tc>
          <w:tcPr>
            <w:tcW w:w="2943" w:type="dxa"/>
          </w:tcPr>
          <w:p w:rsidR="00575BC3" w:rsidRDefault="00575BC3" w:rsidP="003755AB">
            <w:r>
              <w:t>DBC methodology</w:t>
            </w:r>
          </w:p>
        </w:tc>
        <w:tc>
          <w:tcPr>
            <w:tcW w:w="6231" w:type="dxa"/>
          </w:tcPr>
          <w:p w:rsidR="00575BC3" w:rsidRDefault="00575BC3" w:rsidP="003755AB">
            <w:r>
              <w:t>It is proposed to modify the DBC methodology with the aim of increasing accuracy and reliability, and the ease of implementation. The proposed changes include:</w:t>
            </w:r>
          </w:p>
          <w:p w:rsidR="00575BC3" w:rsidRDefault="00575BC3" w:rsidP="003755AB">
            <w:pPr>
              <w:numPr>
                <w:ilvl w:val="0"/>
                <w:numId w:val="27"/>
              </w:numPr>
              <w:ind w:left="375" w:hanging="284"/>
            </w:pPr>
            <w:r>
              <w:t>Increase the number of radials from 144 to 360</w:t>
            </w:r>
          </w:p>
          <w:p w:rsidR="00575BC3" w:rsidRDefault="00575BC3" w:rsidP="003755AB">
            <w:pPr>
              <w:numPr>
                <w:ilvl w:val="0"/>
                <w:numId w:val="27"/>
              </w:numPr>
              <w:ind w:left="375" w:hanging="284"/>
            </w:pPr>
            <w:r>
              <w:t>Reduce the increment step size along radials from 5 minutes of arc to 500m</w:t>
            </w:r>
          </w:p>
          <w:p w:rsidR="00575BC3" w:rsidRDefault="00575BC3" w:rsidP="003755AB">
            <w:pPr>
              <w:numPr>
                <w:ilvl w:val="0"/>
                <w:numId w:val="27"/>
              </w:numPr>
              <w:ind w:left="375" w:hanging="284"/>
            </w:pPr>
            <w:r>
              <w:t>Simplify the process of calculating the average terrain height at each increment step along radials</w:t>
            </w:r>
          </w:p>
        </w:tc>
      </w:tr>
      <w:tr w:rsidR="00575BC3" w:rsidTr="003755AB">
        <w:tc>
          <w:tcPr>
            <w:tcW w:w="2943" w:type="dxa"/>
          </w:tcPr>
          <w:p w:rsidR="00575BC3" w:rsidRDefault="00575BC3" w:rsidP="003755AB">
            <w:r>
              <w:t>EIRP limit in the top 2.5 MHz segment of the band</w:t>
            </w:r>
          </w:p>
        </w:tc>
        <w:tc>
          <w:tcPr>
            <w:tcW w:w="6231" w:type="dxa"/>
          </w:tcPr>
          <w:p w:rsidR="00575BC3" w:rsidRDefault="00575BC3" w:rsidP="003755AB">
            <w:r>
              <w:t xml:space="preserve">Increase the EIRP limit from 24.5 dBm/30kHz to 50 dBm/30kHz to allow better use of this spectrum while still </w:t>
            </w:r>
            <w:r w:rsidR="003755AB">
              <w:t>allowing for coexistence with</w:t>
            </w:r>
            <w:r>
              <w:t xml:space="preserve"> of DECT services</w:t>
            </w:r>
            <w:r w:rsidR="006373D7">
              <w:t>.</w:t>
            </w:r>
          </w:p>
        </w:tc>
      </w:tr>
      <w:tr w:rsidR="00976738" w:rsidTr="003755AB">
        <w:tc>
          <w:tcPr>
            <w:tcW w:w="2943" w:type="dxa"/>
          </w:tcPr>
          <w:p w:rsidR="00976738" w:rsidRDefault="00976738" w:rsidP="003755AB">
            <w:r>
              <w:t>DBC exemption for transmitters with an effective height less than 20m</w:t>
            </w:r>
          </w:p>
        </w:tc>
        <w:tc>
          <w:tcPr>
            <w:tcW w:w="6231" w:type="dxa"/>
          </w:tcPr>
          <w:p w:rsidR="00976738" w:rsidRDefault="00976738" w:rsidP="003755AB">
            <w:r>
              <w:t>Proposal to remove Clause 7(9) from the Section 145 Determination of the updated technical framework.</w:t>
            </w:r>
          </w:p>
        </w:tc>
      </w:tr>
      <w:tr w:rsidR="00575BC3" w:rsidTr="003755AB">
        <w:tc>
          <w:tcPr>
            <w:tcW w:w="2943" w:type="dxa"/>
          </w:tcPr>
          <w:p w:rsidR="00575BC3" w:rsidRDefault="00575BC3" w:rsidP="003755AB">
            <w:r>
              <w:t>Areas of high mobile use</w:t>
            </w:r>
          </w:p>
        </w:tc>
        <w:tc>
          <w:tcPr>
            <w:tcW w:w="6231" w:type="dxa"/>
          </w:tcPr>
          <w:p w:rsidR="00575BC3" w:rsidRDefault="00575BC3" w:rsidP="003755AB">
            <w:r>
              <w:t xml:space="preserve">Proposed to include Darwin and Hobart areas. Proposed Darwin area is the same as in Marketing Plan, </w:t>
            </w:r>
            <w:r w:rsidR="006373D7">
              <w:t xml:space="preserve">while the </w:t>
            </w:r>
            <w:r>
              <w:t>Hobart</w:t>
            </w:r>
            <w:r w:rsidR="006373D7">
              <w:t xml:space="preserve"> are</w:t>
            </w:r>
            <w:r w:rsidR="00FE3302">
              <w:t>a</w:t>
            </w:r>
            <w:r>
              <w:t xml:space="preserve"> is a subset of the Tasmania area and includes the Hobart greater metro area</w:t>
            </w:r>
            <w:r w:rsidR="006373D7">
              <w:t>.</w:t>
            </w:r>
          </w:p>
        </w:tc>
      </w:tr>
      <w:tr w:rsidR="00575BC3" w:rsidTr="003755AB">
        <w:tc>
          <w:tcPr>
            <w:tcW w:w="2943" w:type="dxa"/>
          </w:tcPr>
          <w:p w:rsidR="00575BC3" w:rsidRDefault="00575BC3" w:rsidP="003755AB">
            <w:r>
              <w:t>Group registration provisions</w:t>
            </w:r>
          </w:p>
        </w:tc>
        <w:tc>
          <w:tcPr>
            <w:tcW w:w="6231" w:type="dxa"/>
          </w:tcPr>
          <w:p w:rsidR="00575BC3" w:rsidRDefault="00575BC3" w:rsidP="003755AB">
            <w:pPr>
              <w:pStyle w:val="ListParagraph"/>
              <w:ind w:left="34"/>
            </w:pPr>
            <w:r>
              <w:t>It is proposed to remove the provision that allows transmitters within the limit of a town on the Towns Mobile list to be registered as a group.</w:t>
            </w:r>
          </w:p>
        </w:tc>
      </w:tr>
      <w:tr w:rsidR="00575BC3" w:rsidTr="003755AB">
        <w:tc>
          <w:tcPr>
            <w:tcW w:w="2943" w:type="dxa"/>
          </w:tcPr>
          <w:p w:rsidR="00575BC3" w:rsidRDefault="00575BC3" w:rsidP="003755AB">
            <w:r>
              <w:lastRenderedPageBreak/>
              <w:t>Device registration exemptions</w:t>
            </w:r>
          </w:p>
        </w:tc>
        <w:tc>
          <w:tcPr>
            <w:tcW w:w="6231" w:type="dxa"/>
          </w:tcPr>
          <w:p w:rsidR="00E17E87" w:rsidRDefault="00575BC3" w:rsidP="003755AB">
            <w:r>
              <w:t>It is proposed that any</w:t>
            </w:r>
            <w:r w:rsidR="00E17E87">
              <w:t>:</w:t>
            </w:r>
          </w:p>
          <w:p w:rsidR="0081744F" w:rsidRDefault="00E17E87">
            <w:pPr>
              <w:pStyle w:val="ListParagraph"/>
              <w:numPr>
                <w:ilvl w:val="0"/>
                <w:numId w:val="33"/>
              </w:numPr>
              <w:ind w:left="459" w:hanging="283"/>
            </w:pPr>
            <w:r>
              <w:t xml:space="preserve">fixed </w:t>
            </w:r>
            <w:r w:rsidR="00575BC3">
              <w:t>transmitter with an EIRP of less than 3</w:t>
            </w:r>
            <w:r w:rsidR="003755AB">
              <w:t>3</w:t>
            </w:r>
            <w:r w:rsidR="00575BC3">
              <w:t xml:space="preserve"> dBm</w:t>
            </w:r>
            <w:r>
              <w:t>; or</w:t>
            </w:r>
          </w:p>
          <w:p w:rsidR="0081744F" w:rsidRDefault="00E17E87">
            <w:pPr>
              <w:pStyle w:val="ListParagraph"/>
              <w:numPr>
                <w:ilvl w:val="0"/>
                <w:numId w:val="33"/>
              </w:numPr>
              <w:ind w:left="459" w:hanging="283"/>
            </w:pPr>
            <w:r>
              <w:t>mobile transmitter with an EIRP of less than 39 dBm;</w:t>
            </w:r>
          </w:p>
          <w:p w:rsidR="00575BC3" w:rsidRDefault="00575BC3" w:rsidP="00E17E87">
            <w:proofErr w:type="gramStart"/>
            <w:r>
              <w:t>within</w:t>
            </w:r>
            <w:proofErr w:type="gramEnd"/>
            <w:r>
              <w:t xml:space="preserve"> the occupied bandwidth of the transmitter is not required to be registered.</w:t>
            </w:r>
          </w:p>
        </w:tc>
      </w:tr>
    </w:tbl>
    <w:p w:rsidR="00575BC3" w:rsidRPr="00655B27" w:rsidRDefault="00575BC3" w:rsidP="00575BC3">
      <w:pPr>
        <w:pStyle w:val="Heading2"/>
      </w:pPr>
      <w:r w:rsidRPr="00655B27">
        <w:t>3</w:t>
      </w:r>
      <w:r w:rsidRPr="00655B27">
        <w:tab/>
        <w:t xml:space="preserve">System Models   </w:t>
      </w:r>
    </w:p>
    <w:p w:rsidR="00575BC3" w:rsidRDefault="00575BC3" w:rsidP="00575BC3">
      <w:pPr>
        <w:keepNext/>
      </w:pPr>
      <w:r>
        <w:t xml:space="preserve">System models are used to simplify the analysis of the technical framework with regard to the reference technologies. The system models are developed through consideration of the five reference technologies identified in the </w:t>
      </w:r>
      <w:r w:rsidRPr="00475B7F">
        <w:rPr>
          <w:i/>
        </w:rPr>
        <w:t>1800 TLG Discussion Paper No.1</w:t>
      </w:r>
      <w:r>
        <w:t>, these are shown below in Table 2</w:t>
      </w:r>
      <w:r w:rsidRPr="008F2CB9">
        <w:t xml:space="preserve"> </w:t>
      </w:r>
      <w:r>
        <w:t xml:space="preserve"> The development of the system models does not exclude the use of other technologies under the licence.  The system models for the deployment are simply a tool for the development of the framework.  </w:t>
      </w:r>
    </w:p>
    <w:p w:rsidR="00575BC3" w:rsidRDefault="00575BC3" w:rsidP="00575BC3">
      <w:pPr>
        <w:keepNext/>
      </w:pPr>
    </w:p>
    <w:p w:rsidR="00575BC3" w:rsidRDefault="00575BC3" w:rsidP="00575BC3">
      <w:pPr>
        <w:tabs>
          <w:tab w:val="left" w:pos="1985"/>
          <w:tab w:val="left" w:pos="3261"/>
          <w:tab w:val="left" w:pos="5954"/>
        </w:tabs>
      </w:pPr>
      <w:r>
        <w:t>Table 2 – reference technologies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88"/>
        <w:gridCol w:w="5686"/>
      </w:tblGrid>
      <w:tr w:rsidR="00575BC3" w:rsidTr="003755AB">
        <w:tc>
          <w:tcPr>
            <w:tcW w:w="3510" w:type="dxa"/>
          </w:tcPr>
          <w:p w:rsidR="00575BC3" w:rsidRPr="0041677C" w:rsidRDefault="00575BC3" w:rsidP="003755AB">
            <w:pPr>
              <w:tabs>
                <w:tab w:val="left" w:pos="1985"/>
                <w:tab w:val="left" w:pos="3261"/>
                <w:tab w:val="left" w:pos="5954"/>
              </w:tabs>
              <w:rPr>
                <w:b/>
              </w:rPr>
            </w:pPr>
            <w:r w:rsidRPr="0041677C">
              <w:rPr>
                <w:b/>
              </w:rPr>
              <w:t>Reference Technology</w:t>
            </w:r>
          </w:p>
        </w:tc>
        <w:tc>
          <w:tcPr>
            <w:tcW w:w="5732" w:type="dxa"/>
          </w:tcPr>
          <w:p w:rsidR="00575BC3" w:rsidRPr="0041677C" w:rsidRDefault="00575BC3" w:rsidP="003755AB">
            <w:pPr>
              <w:tabs>
                <w:tab w:val="left" w:pos="1985"/>
                <w:tab w:val="left" w:pos="3261"/>
                <w:tab w:val="left" w:pos="5954"/>
              </w:tabs>
              <w:rPr>
                <w:b/>
              </w:rPr>
            </w:pPr>
            <w:r w:rsidRPr="0041677C">
              <w:rPr>
                <w:b/>
              </w:rPr>
              <w:t>Applicable standards and reports</w:t>
            </w:r>
          </w:p>
        </w:tc>
      </w:tr>
      <w:tr w:rsidR="00575BC3" w:rsidTr="003755AB">
        <w:tc>
          <w:tcPr>
            <w:tcW w:w="3510" w:type="dxa"/>
          </w:tcPr>
          <w:p w:rsidR="00575BC3" w:rsidRDefault="00575BC3" w:rsidP="003755AB">
            <w:pPr>
              <w:tabs>
                <w:tab w:val="left" w:pos="1985"/>
                <w:tab w:val="left" w:pos="3261"/>
                <w:tab w:val="left" w:pos="5954"/>
              </w:tabs>
              <w:rPr>
                <w:sz w:val="20"/>
                <w:szCs w:val="20"/>
              </w:rPr>
            </w:pPr>
            <w:r w:rsidRPr="00466F6F">
              <w:rPr>
                <w:sz w:val="20"/>
                <w:szCs w:val="20"/>
              </w:rPr>
              <w:t xml:space="preserve">UMTS </w:t>
            </w:r>
          </w:p>
          <w:p w:rsidR="00575BC3" w:rsidRPr="00466F6F" w:rsidRDefault="00575BC3" w:rsidP="003755AB">
            <w:pPr>
              <w:tabs>
                <w:tab w:val="left" w:pos="1985"/>
                <w:tab w:val="left" w:pos="3261"/>
                <w:tab w:val="left" w:pos="5954"/>
              </w:tabs>
              <w:rPr>
                <w:sz w:val="20"/>
                <w:szCs w:val="20"/>
              </w:rPr>
            </w:pPr>
            <w:r w:rsidRPr="00466F6F">
              <w:rPr>
                <w:sz w:val="20"/>
                <w:szCs w:val="20"/>
              </w:rPr>
              <w:t>(UTRA, WCDMA, HSPA, HSPA+)</w:t>
            </w:r>
          </w:p>
        </w:tc>
        <w:tc>
          <w:tcPr>
            <w:tcW w:w="5732" w:type="dxa"/>
          </w:tcPr>
          <w:p w:rsidR="00575BC3" w:rsidRPr="00466F6F" w:rsidRDefault="00575BC3" w:rsidP="003755AB">
            <w:pPr>
              <w:tabs>
                <w:tab w:val="left" w:pos="1985"/>
                <w:tab w:val="left" w:pos="3261"/>
                <w:tab w:val="left" w:pos="5954"/>
              </w:tabs>
              <w:rPr>
                <w:sz w:val="20"/>
                <w:szCs w:val="20"/>
              </w:rPr>
            </w:pPr>
            <w:r w:rsidRPr="00466F6F">
              <w:rPr>
                <w:sz w:val="20"/>
                <w:szCs w:val="20"/>
              </w:rPr>
              <w:t>ITU-R Re</w:t>
            </w:r>
            <w:r>
              <w:rPr>
                <w:sz w:val="20"/>
                <w:szCs w:val="20"/>
              </w:rPr>
              <w:t>port</w:t>
            </w:r>
            <w:r w:rsidRPr="00466F6F">
              <w:rPr>
                <w:sz w:val="20"/>
                <w:szCs w:val="20"/>
              </w:rPr>
              <w:t xml:space="preserve"> M.2039-2, 3GPP TS 25.101, 3GPP TS 25.104, 3GPP TS 24.942, ECC Report 82</w:t>
            </w:r>
            <w:r>
              <w:rPr>
                <w:sz w:val="20"/>
                <w:szCs w:val="20"/>
              </w:rPr>
              <w:t>, ECC Report 96</w:t>
            </w:r>
          </w:p>
        </w:tc>
      </w:tr>
      <w:tr w:rsidR="00575BC3" w:rsidTr="003755AB">
        <w:tc>
          <w:tcPr>
            <w:tcW w:w="3510" w:type="dxa"/>
          </w:tcPr>
          <w:p w:rsidR="00575BC3" w:rsidRDefault="00575BC3" w:rsidP="003755AB">
            <w:pPr>
              <w:tabs>
                <w:tab w:val="left" w:pos="1985"/>
                <w:tab w:val="left" w:pos="3261"/>
                <w:tab w:val="left" w:pos="5954"/>
              </w:tabs>
              <w:rPr>
                <w:sz w:val="20"/>
                <w:szCs w:val="20"/>
              </w:rPr>
            </w:pPr>
            <w:r w:rsidRPr="00466F6F">
              <w:rPr>
                <w:sz w:val="20"/>
                <w:szCs w:val="20"/>
              </w:rPr>
              <w:t xml:space="preserve">LTE </w:t>
            </w:r>
          </w:p>
          <w:p w:rsidR="00575BC3" w:rsidRPr="00466F6F" w:rsidRDefault="00575BC3" w:rsidP="003755AB">
            <w:pPr>
              <w:tabs>
                <w:tab w:val="left" w:pos="1985"/>
                <w:tab w:val="left" w:pos="3261"/>
                <w:tab w:val="left" w:pos="5954"/>
              </w:tabs>
              <w:rPr>
                <w:sz w:val="20"/>
                <w:szCs w:val="20"/>
              </w:rPr>
            </w:pPr>
            <w:r w:rsidRPr="00466F6F">
              <w:rPr>
                <w:sz w:val="20"/>
                <w:szCs w:val="20"/>
              </w:rPr>
              <w:t>(E-UTRA</w:t>
            </w:r>
            <w:r>
              <w:rPr>
                <w:sz w:val="20"/>
                <w:szCs w:val="20"/>
              </w:rPr>
              <w:t>, LTE-Advanced</w:t>
            </w:r>
            <w:r w:rsidRPr="00466F6F">
              <w:rPr>
                <w:sz w:val="20"/>
                <w:szCs w:val="20"/>
              </w:rPr>
              <w:t>)</w:t>
            </w:r>
          </w:p>
        </w:tc>
        <w:tc>
          <w:tcPr>
            <w:tcW w:w="5732" w:type="dxa"/>
          </w:tcPr>
          <w:p w:rsidR="00575BC3" w:rsidRPr="00466F6F" w:rsidRDefault="00575BC3" w:rsidP="003755AB">
            <w:pPr>
              <w:tabs>
                <w:tab w:val="left" w:pos="1985"/>
                <w:tab w:val="left" w:pos="3261"/>
                <w:tab w:val="left" w:pos="5954"/>
              </w:tabs>
              <w:rPr>
                <w:sz w:val="20"/>
                <w:szCs w:val="20"/>
              </w:rPr>
            </w:pPr>
            <w:r>
              <w:rPr>
                <w:sz w:val="20"/>
                <w:szCs w:val="20"/>
              </w:rPr>
              <w:t>ITU-R Report</w:t>
            </w:r>
            <w:r w:rsidRPr="00466F6F">
              <w:rPr>
                <w:sz w:val="20"/>
                <w:szCs w:val="20"/>
              </w:rPr>
              <w:t xml:space="preserve"> M.2039-2, 3GPP TS 36.101, 3GPP TS 36.104, 3GPP TS 36.942, CEPT Report 40</w:t>
            </w:r>
            <w:r>
              <w:rPr>
                <w:sz w:val="20"/>
                <w:szCs w:val="20"/>
              </w:rPr>
              <w:t>, CEPT Report 41</w:t>
            </w:r>
          </w:p>
        </w:tc>
      </w:tr>
      <w:tr w:rsidR="00575BC3" w:rsidTr="003755AB">
        <w:tc>
          <w:tcPr>
            <w:tcW w:w="3510" w:type="dxa"/>
          </w:tcPr>
          <w:p w:rsidR="00575BC3" w:rsidRDefault="00575BC3" w:rsidP="003755AB">
            <w:pPr>
              <w:tabs>
                <w:tab w:val="left" w:pos="1985"/>
                <w:tab w:val="left" w:pos="3261"/>
                <w:tab w:val="left" w:pos="5954"/>
              </w:tabs>
              <w:rPr>
                <w:sz w:val="20"/>
                <w:szCs w:val="20"/>
              </w:rPr>
            </w:pPr>
            <w:r w:rsidRPr="00466F6F">
              <w:rPr>
                <w:sz w:val="20"/>
                <w:szCs w:val="20"/>
              </w:rPr>
              <w:t xml:space="preserve">GSM </w:t>
            </w:r>
          </w:p>
          <w:p w:rsidR="00575BC3" w:rsidRPr="00466F6F" w:rsidRDefault="00575BC3" w:rsidP="003755AB">
            <w:pPr>
              <w:tabs>
                <w:tab w:val="left" w:pos="1985"/>
                <w:tab w:val="left" w:pos="3261"/>
                <w:tab w:val="left" w:pos="5954"/>
              </w:tabs>
              <w:rPr>
                <w:sz w:val="20"/>
                <w:szCs w:val="20"/>
              </w:rPr>
            </w:pPr>
            <w:r>
              <w:rPr>
                <w:sz w:val="20"/>
                <w:szCs w:val="20"/>
              </w:rPr>
              <w:t>(GPRS, EDGE, GSM-R)</w:t>
            </w:r>
          </w:p>
        </w:tc>
        <w:tc>
          <w:tcPr>
            <w:tcW w:w="5732" w:type="dxa"/>
          </w:tcPr>
          <w:p w:rsidR="00575BC3" w:rsidRPr="00466F6F" w:rsidRDefault="00575BC3" w:rsidP="003755AB">
            <w:pPr>
              <w:tabs>
                <w:tab w:val="left" w:pos="1985"/>
                <w:tab w:val="left" w:pos="3261"/>
                <w:tab w:val="left" w:pos="5954"/>
              </w:tabs>
              <w:rPr>
                <w:sz w:val="20"/>
                <w:szCs w:val="20"/>
              </w:rPr>
            </w:pPr>
            <w:r w:rsidRPr="00466F6F">
              <w:rPr>
                <w:sz w:val="20"/>
                <w:szCs w:val="20"/>
              </w:rPr>
              <w:t>3GPP TS 45.005, 3GPP TS 51.021, 3GPP TR 03.30</w:t>
            </w:r>
            <w:r w:rsidR="00A35282">
              <w:rPr>
                <w:sz w:val="20"/>
                <w:szCs w:val="20"/>
              </w:rPr>
              <w:t>, EIRENE System Requirements Specification Version 15.1</w:t>
            </w:r>
          </w:p>
        </w:tc>
      </w:tr>
      <w:tr w:rsidR="00575BC3" w:rsidTr="003755AB">
        <w:tc>
          <w:tcPr>
            <w:tcW w:w="3510" w:type="dxa"/>
          </w:tcPr>
          <w:p w:rsidR="00575BC3" w:rsidRDefault="00575BC3" w:rsidP="003755AB">
            <w:pPr>
              <w:tabs>
                <w:tab w:val="left" w:pos="1985"/>
                <w:tab w:val="left" w:pos="3261"/>
                <w:tab w:val="left" w:pos="5954"/>
              </w:tabs>
              <w:rPr>
                <w:sz w:val="20"/>
                <w:szCs w:val="20"/>
              </w:rPr>
            </w:pPr>
            <w:r w:rsidRPr="00466F6F">
              <w:rPr>
                <w:sz w:val="20"/>
                <w:szCs w:val="20"/>
              </w:rPr>
              <w:t>WiMAX</w:t>
            </w:r>
          </w:p>
          <w:p w:rsidR="00575BC3" w:rsidRPr="00466F6F" w:rsidRDefault="00575BC3" w:rsidP="003755AB">
            <w:pPr>
              <w:tabs>
                <w:tab w:val="left" w:pos="1985"/>
                <w:tab w:val="left" w:pos="3261"/>
                <w:tab w:val="left" w:pos="5954"/>
              </w:tabs>
              <w:rPr>
                <w:sz w:val="20"/>
                <w:szCs w:val="20"/>
              </w:rPr>
            </w:pPr>
            <w:r>
              <w:rPr>
                <w:sz w:val="20"/>
                <w:szCs w:val="20"/>
              </w:rPr>
              <w:t>(IEEE 802.16)</w:t>
            </w:r>
          </w:p>
        </w:tc>
        <w:tc>
          <w:tcPr>
            <w:tcW w:w="5732" w:type="dxa"/>
          </w:tcPr>
          <w:p w:rsidR="00575BC3" w:rsidRPr="00466F6F" w:rsidRDefault="00575BC3" w:rsidP="003755AB">
            <w:pPr>
              <w:tabs>
                <w:tab w:val="left" w:pos="1985"/>
                <w:tab w:val="left" w:pos="3261"/>
                <w:tab w:val="left" w:pos="5954"/>
              </w:tabs>
              <w:rPr>
                <w:sz w:val="20"/>
                <w:szCs w:val="20"/>
              </w:rPr>
            </w:pPr>
            <w:r>
              <w:rPr>
                <w:sz w:val="20"/>
                <w:szCs w:val="20"/>
              </w:rPr>
              <w:t>ITU-R Report</w:t>
            </w:r>
            <w:r w:rsidRPr="00466F6F">
              <w:rPr>
                <w:sz w:val="20"/>
                <w:szCs w:val="20"/>
              </w:rPr>
              <w:t xml:space="preserve"> M.2039-2, CEPT Report 40,</w:t>
            </w:r>
            <w:r>
              <w:rPr>
                <w:sz w:val="20"/>
                <w:szCs w:val="20"/>
              </w:rPr>
              <w:t xml:space="preserve"> CEPT Report 41,</w:t>
            </w:r>
            <w:r w:rsidRPr="00466F6F">
              <w:rPr>
                <w:sz w:val="20"/>
                <w:szCs w:val="20"/>
              </w:rPr>
              <w:t xml:space="preserve"> WMF-T23-005-R015v04</w:t>
            </w:r>
          </w:p>
        </w:tc>
      </w:tr>
      <w:tr w:rsidR="00575BC3" w:rsidTr="003755AB">
        <w:tc>
          <w:tcPr>
            <w:tcW w:w="3510" w:type="dxa"/>
          </w:tcPr>
          <w:p w:rsidR="00575BC3" w:rsidRDefault="00575BC3" w:rsidP="003755AB">
            <w:pPr>
              <w:tabs>
                <w:tab w:val="left" w:pos="1985"/>
                <w:tab w:val="left" w:pos="3261"/>
                <w:tab w:val="left" w:pos="5954"/>
              </w:tabs>
              <w:rPr>
                <w:sz w:val="20"/>
                <w:szCs w:val="20"/>
              </w:rPr>
            </w:pPr>
            <w:r w:rsidRPr="00466F6F">
              <w:rPr>
                <w:sz w:val="20"/>
                <w:szCs w:val="20"/>
              </w:rPr>
              <w:t>Multi-carrier CDMA</w:t>
            </w:r>
          </w:p>
          <w:p w:rsidR="00575BC3" w:rsidRPr="00466F6F" w:rsidRDefault="00575BC3" w:rsidP="003755AB">
            <w:pPr>
              <w:tabs>
                <w:tab w:val="left" w:pos="1985"/>
                <w:tab w:val="left" w:pos="3261"/>
                <w:tab w:val="left" w:pos="5954"/>
              </w:tabs>
              <w:rPr>
                <w:sz w:val="20"/>
                <w:szCs w:val="20"/>
              </w:rPr>
            </w:pPr>
            <w:r>
              <w:rPr>
                <w:sz w:val="20"/>
                <w:szCs w:val="20"/>
              </w:rPr>
              <w:t>(CDMA2000, EV-DV, EV-DO, HRPD)</w:t>
            </w:r>
          </w:p>
        </w:tc>
        <w:tc>
          <w:tcPr>
            <w:tcW w:w="5732" w:type="dxa"/>
          </w:tcPr>
          <w:p w:rsidR="00575BC3" w:rsidRPr="00466F6F" w:rsidRDefault="00575BC3" w:rsidP="003755AB">
            <w:pPr>
              <w:tabs>
                <w:tab w:val="left" w:pos="1985"/>
                <w:tab w:val="left" w:pos="3261"/>
                <w:tab w:val="left" w:pos="5954"/>
              </w:tabs>
              <w:rPr>
                <w:sz w:val="20"/>
                <w:szCs w:val="20"/>
              </w:rPr>
            </w:pPr>
            <w:r>
              <w:rPr>
                <w:sz w:val="20"/>
                <w:szCs w:val="20"/>
              </w:rPr>
              <w:t>ITU-R Report</w:t>
            </w:r>
            <w:r w:rsidRPr="00466F6F">
              <w:rPr>
                <w:sz w:val="20"/>
                <w:szCs w:val="20"/>
              </w:rPr>
              <w:t xml:space="preserve"> M.2039-2, ITU-R Rec. M.1580, ITU-R Rec. M.158</w:t>
            </w:r>
            <w:r>
              <w:rPr>
                <w:sz w:val="20"/>
                <w:szCs w:val="20"/>
              </w:rPr>
              <w:t xml:space="preserve">1, </w:t>
            </w:r>
            <w:r w:rsidRPr="00466F6F">
              <w:rPr>
                <w:sz w:val="20"/>
                <w:szCs w:val="20"/>
              </w:rPr>
              <w:t>TIA-97-C</w:t>
            </w:r>
          </w:p>
        </w:tc>
      </w:tr>
    </w:tbl>
    <w:p w:rsidR="00575BC3" w:rsidRDefault="00575BC3" w:rsidP="00575BC3"/>
    <w:p w:rsidR="00575BC3" w:rsidRDefault="00575BC3" w:rsidP="00575BC3">
      <w:r>
        <w:t xml:space="preserve">The aim of the system model is to allow testing of the compatibility of the technical framework and the reference technologies in the band and to simplify testing of compatibility with other services outside the band.  </w:t>
      </w:r>
    </w:p>
    <w:p w:rsidR="00575BC3" w:rsidRDefault="00575BC3" w:rsidP="00575BC3"/>
    <w:p w:rsidR="00575BC3" w:rsidRDefault="00575BC3" w:rsidP="00575BC3">
      <w:r>
        <w:t xml:space="preserve">Members of the Technical Liaison Group are asked to confirm that the proposed modelling values are suitable as many of the values presented are based on proposed values and there could have been developments in performance over time. </w:t>
      </w:r>
    </w:p>
    <w:p w:rsidR="00575BC3" w:rsidRDefault="00575BC3" w:rsidP="00575BC3"/>
    <w:p w:rsidR="00575BC3" w:rsidRDefault="00575BC3" w:rsidP="00575BC3">
      <w:pPr>
        <w:pStyle w:val="Heading3"/>
      </w:pPr>
      <w:r>
        <w:t>3.1</w:t>
      </w:r>
      <w:r>
        <w:tab/>
        <w:t>Current System Model</w:t>
      </w:r>
    </w:p>
    <w:p w:rsidR="00575BC3" w:rsidRDefault="00575BC3" w:rsidP="00575BC3">
      <w:r>
        <w:t xml:space="preserve">The current system model is based on a cellular GSM system in Frequency Division Duplex (FDD) mode. This consisted of a 30m omni directional base transmitter / receiver site communicating with a mobile omni antenna device at 1.5m. The </w:t>
      </w:r>
      <w:proofErr w:type="gramStart"/>
      <w:r>
        <w:t>deployment</w:t>
      </w:r>
      <w:proofErr w:type="gramEnd"/>
      <w:r>
        <w:t xml:space="preserve"> constraints of the framework are designed to support base transmit in the upper band (1805-1880 MHz) and base receive in the lower band (1710-1785 MHz).  </w:t>
      </w:r>
    </w:p>
    <w:p w:rsidR="00575BC3" w:rsidRDefault="00575BC3" w:rsidP="00575BC3"/>
    <w:p w:rsidR="00575BC3" w:rsidRDefault="00575BC3" w:rsidP="00575BC3">
      <w:r>
        <w:t>FDD cellular systems of IMT/IMT-Advanced follow these same characteristics. The domina</w:t>
      </w:r>
      <w:r w:rsidR="003755AB">
        <w:t>n</w:t>
      </w:r>
      <w:r>
        <w:t>t interference mode for FDD systems is high site to low site because of the uplink and downlink frequency separation arrangements. The current system model is depicted in Figure 1 below.</w:t>
      </w:r>
    </w:p>
    <w:p w:rsidR="00575BC3" w:rsidRDefault="00575BC3" w:rsidP="00575BC3"/>
    <w:p w:rsidR="00575BC3" w:rsidRDefault="00575BC3" w:rsidP="00575BC3"/>
    <w:p w:rsidR="00575BC3" w:rsidRDefault="00575BC3" w:rsidP="00575BC3"/>
    <w:p w:rsidR="00575BC3" w:rsidRDefault="00575BC3" w:rsidP="00575BC3"/>
    <w:p w:rsidR="00575BC3" w:rsidRDefault="00575BC3" w:rsidP="00575BC3"/>
    <w:p w:rsidR="00575BC3" w:rsidRDefault="00575BC3" w:rsidP="00575BC3"/>
    <w:p w:rsidR="00575BC3" w:rsidRDefault="00575BC3" w:rsidP="00575BC3"/>
    <w:p w:rsidR="00575BC3" w:rsidRDefault="00575BC3" w:rsidP="00575BC3"/>
    <w:p w:rsidR="00575BC3" w:rsidRDefault="00575BC3" w:rsidP="00575BC3"/>
    <w:p w:rsidR="00575BC3" w:rsidRDefault="00575BC3" w:rsidP="00575BC3"/>
    <w:p w:rsidR="00575BC3" w:rsidRDefault="00575BC3" w:rsidP="00575BC3">
      <w:r>
        <w:t>Figure 1: Current System Model</w:t>
      </w:r>
    </w:p>
    <w:p w:rsidR="00575BC3" w:rsidRDefault="008A0FBE" w:rsidP="00575BC3">
      <w:r>
        <w:pict>
          <v:group id="_x0000_s1072" editas="canvas" style="width:417.9pt;height:336.05pt;mso-position-horizontal-relative:char;mso-position-vertical-relative:line" coordorigin="2362,4680" coordsize="6667,536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3" type="#_x0000_t75" style="position:absolute;left:2362;top:4680;width:6667;height:5362" o:preferrelative="f">
              <v:fill o:detectmouseclick="t"/>
              <v:path o:extrusionok="t" o:connecttype="none"/>
              <o:lock v:ext="edit" text="t"/>
            </v:shape>
            <v:shapetype id="_x0000_t32" coordsize="21600,21600" o:spt="32" o:oned="t" path="m,l21600,21600e" filled="f">
              <v:path arrowok="t" fillok="f" o:connecttype="none"/>
              <o:lock v:ext="edit" shapetype="t"/>
            </v:shapetype>
            <v:shape id="_x0000_s1074" type="#_x0000_t32" style="position:absolute;left:3570;top:5345;width:14;height:1136" o:connectortype="straight"/>
            <v:roundrect id="_x0000_s1075" style="position:absolute;left:3675;top:5136;width:57;height:296" arcsize="10923f" fillcolor="black"/>
            <v:roundrect id="_x0000_s1076" style="position:absolute;left:3732;top:5345;width:55;height:296" arcsize="10923f" fillcolor="black"/>
            <v:roundrect id="_x0000_s1077" style="position:absolute;left:3369;top:5242;width:59;height:299" arcsize="10923f" fillcolor="black"/>
            <v:shape id="_x0000_s1078" type="#_x0000_t32" style="position:absolute;left:3428;top:5345;width:156;height:46;flip:y" o:connectortype="straight"/>
            <v:shape id="_x0000_s1079" type="#_x0000_t32" style="position:absolute;left:3584;top:5282;width:91;height:63;flip:x" o:connectortype="straight"/>
            <v:shape id="_x0000_s1080" type="#_x0000_t32" style="position:absolute;left:3584;top:5345;width:148;height:150;flip:x y" o:connectortype="straight"/>
            <v:oval id="_x0000_s1081" style="position:absolute;left:2675;top:5862;width:1869;height:1290" filled="f"/>
            <v:shape id="_x0000_s1082" type="#_x0000_t32" style="position:absolute;left:3570;top:4958;width:4189;height:4894;flip:x" o:connectortype="straight" strokeweight="2.25pt">
              <v:stroke dashstyle="dashDot"/>
            </v:shape>
            <v:shapetype id="_x0000_t202" coordsize="21600,21600" o:spt="202" path="m,l,21600r21600,l21600,xe">
              <v:stroke joinstyle="miter"/>
              <v:path gradientshapeok="t" o:connecttype="rect"/>
            </v:shapetype>
            <v:shape id="_x0000_s1083" type="#_x0000_t202" style="position:absolute;left:2774;top:9518;width:1861;height:443" stroked="f">
              <v:textbox style="mso-next-textbox:#_x0000_s1083" inset="0,,0">
                <w:txbxContent>
                  <w:p w:rsidR="007123CF" w:rsidRPr="00CA1D67" w:rsidRDefault="007123CF" w:rsidP="00575BC3">
                    <w:pPr>
                      <w:rPr>
                        <w:b/>
                      </w:rPr>
                    </w:pPr>
                    <w:r>
                      <w:rPr>
                        <w:b/>
                      </w:rPr>
                      <w:t>Licence</w:t>
                    </w:r>
                    <w:r w:rsidRPr="00CA1D67">
                      <w:rPr>
                        <w:b/>
                      </w:rPr>
                      <w:t xml:space="preserve"> boundary</w:t>
                    </w:r>
                  </w:p>
                </w:txbxContent>
              </v:textbox>
            </v:shape>
            <v:shape id="_x0000_s1084" type="#_x0000_t32" style="position:absolute;left:7818;top:7089;width:14;height:1136" o:connectortype="straight"/>
            <v:roundrect id="_x0000_s1085" style="position:absolute;left:7924;top:6879;width:57;height:297" arcsize="10923f" fillcolor="black"/>
            <v:roundrect id="_x0000_s1086" style="position:absolute;left:7981;top:7089;width:55;height:296" arcsize="10923f" fillcolor="black"/>
            <v:roundrect id="_x0000_s1087" style="position:absolute;left:7618;top:6986;width:57;height:299" arcsize="10923f" fillcolor="black"/>
            <v:shape id="_x0000_s1088" type="#_x0000_t32" style="position:absolute;left:7675;top:7089;width:157;height:46;flip:y" o:connectortype="straight"/>
            <v:shape id="_x0000_s1089" type="#_x0000_t32" style="position:absolute;left:7832;top:7026;width:92;height:63;flip:x" o:connectortype="straight"/>
            <v:shape id="_x0000_s1090" type="#_x0000_t32" style="position:absolute;left:7832;top:7089;width:149;height:150;flip:x y" o:connectortype="straight"/>
            <v:oval id="_x0000_s1091" style="position:absolute;left:6851;top:7503;width:1869;height:1241" filled="f"/>
            <v:shape id="_x0000_s1092" type="#_x0000_t32" style="position:absolute;left:4125;top:5432;width:1515;height:1788;flip:y" o:connectortype="straight"/>
            <v:shape id="_x0000_s1093" type="#_x0000_t32" style="position:absolute;left:6851;top:6410;width:1333;height:1561;flip:y" o:connectortype="straight"/>
            <v:shape id="_x0000_s1094" type="#_x0000_t32" style="position:absolute;left:7135;top:6624;width:1894;height:2470;flip:y" o:connectortype="straight"/>
            <v:shape id="_x0000_s1095" type="#_x0000_t32" style="position:absolute;left:2774;top:5242;width:1861;height:2143;flip:y" o:connectortype="straight"/>
            <v:shape id="_x0000_s1096" type="#_x0000_t32" style="position:absolute;left:4635;top:5282;width:883;height:259" o:connectortype="straight">
              <v:stroke startarrow="block" endarrow="block"/>
            </v:shape>
            <v:shape id="_x0000_s1097" type="#_x0000_t32" style="position:absolute;left:5518;top:5541;width:1333;height:455" o:connectortype="straight">
              <v:stroke startarrow="block" endarrow="block"/>
            </v:shape>
            <v:shape id="_x0000_s1098" type="#_x0000_t32" style="position:absolute;left:6914;top:5996;width:1270;height:414" o:connectortype="straight">
              <v:stroke startarrow="block" endarrow="block"/>
            </v:shape>
            <v:shape id="_x0000_s1099" type="#_x0000_t32" style="position:absolute;left:8184;top:6410;width:845;height:285" o:connectortype="straight">
              <v:stroke startarrow="block" endarrow="block"/>
            </v:shape>
            <v:shape id="_x0000_s1100" type="#_x0000_t202" style="position:absolute;left:7251;top:5782;width:785;height:384" filled="f" stroked="f">
              <v:textbox style="mso-next-textbox:#_x0000_s1100">
                <w:txbxContent>
                  <w:p w:rsidR="007123CF" w:rsidRDefault="007123CF" w:rsidP="00575BC3">
                    <w:r>
                      <w:t>4.8 km</w:t>
                    </w:r>
                  </w:p>
                </w:txbxContent>
              </v:textbox>
            </v:shape>
            <v:shape id="_x0000_s1101" type="#_x0000_t202" style="position:absolute;left:8246;top:6166;width:783;height:383" filled="f" stroked="f">
              <v:textbox style="mso-next-textbox:#_x0000_s1101">
                <w:txbxContent>
                  <w:p w:rsidR="007123CF" w:rsidRDefault="007123CF" w:rsidP="00575BC3">
                    <w:r>
                      <w:t>1.5 km</w:t>
                    </w:r>
                  </w:p>
                </w:txbxContent>
              </v:textbox>
            </v:shape>
            <v:shape id="_x0000_s1102" type="#_x0000_t202" style="position:absolute;left:5075;top:5048;width:783;height:384" filled="f" stroked="f">
              <v:textbox style="mso-next-textbox:#_x0000_s1102">
                <w:txbxContent>
                  <w:p w:rsidR="007123CF" w:rsidRDefault="007123CF" w:rsidP="00575BC3">
                    <w:r>
                      <w:t>1.5 km</w:t>
                    </w:r>
                  </w:p>
                </w:txbxContent>
              </v:textbox>
            </v:shape>
            <v:shape id="_x0000_s1103" type="#_x0000_t202" style="position:absolute;left:6046;top:5391;width:783;height:384" filled="f" stroked="f">
              <v:textbox style="mso-next-textbox:#_x0000_s1103">
                <w:txbxContent>
                  <w:p w:rsidR="007123CF" w:rsidRDefault="007123CF" w:rsidP="00575BC3">
                    <w:r>
                      <w:t>4.8 km</w:t>
                    </w:r>
                  </w:p>
                </w:txbxContent>
              </v:textbox>
            </v:shape>
            <v:shape id="_x0000_s1104" type="#_x0000_t202" style="position:absolute;left:2362;top:4736;width:2022;height:759" filled="f" stroked="f">
              <v:textbox style="mso-next-textbox:#_x0000_s1104" inset="0,0,0,0">
                <w:txbxContent>
                  <w:p w:rsidR="007123CF" w:rsidRDefault="007123CF" w:rsidP="00575BC3">
                    <w:pPr>
                      <w:rPr>
                        <w:sz w:val="20"/>
                      </w:rPr>
                    </w:pPr>
                    <w:r>
                      <w:rPr>
                        <w:b/>
                        <w:sz w:val="20"/>
                      </w:rPr>
                      <w:t xml:space="preserve">GSM </w:t>
                    </w:r>
                    <w:r w:rsidRPr="00476B38">
                      <w:rPr>
                        <w:b/>
                        <w:sz w:val="20"/>
                      </w:rPr>
                      <w:t>Base station</w:t>
                    </w:r>
                    <w:r>
                      <w:rPr>
                        <w:sz w:val="20"/>
                      </w:rPr>
                      <w:t>, horizontal EIRP = 58 dBm/250kHz</w:t>
                    </w:r>
                  </w:p>
                  <w:p w:rsidR="007123CF" w:rsidRPr="0069075B" w:rsidRDefault="007123CF" w:rsidP="00575BC3">
                    <w:pPr>
                      <w:rPr>
                        <w:sz w:val="20"/>
                      </w:rPr>
                    </w:pPr>
                    <w:r>
                      <w:rPr>
                        <w:sz w:val="20"/>
                      </w:rPr>
                      <w:t>Height = 30m</w:t>
                    </w:r>
                  </w:p>
                </w:txbxContent>
              </v:textbox>
            </v:shape>
            <v:shape id="_x0000_s1105" type="#_x0000_t32" style="position:absolute;left:6985;top:7612;width:1;height:301" o:connectortype="straight"/>
            <v:shape id="_x0000_s1106" type="#_x0000_t32" style="position:absolute;left:6829;top:7550;width:310;height:109;flip:x" o:connectortype="straight"/>
            <v:shape id="_x0000_s1107" type="#_x0000_t32" style="position:absolute;left:6829;top:7550;width:310;height:109;flip:x y" o:connectortype="straight"/>
            <v:shape id="_x0000_s1108" type="#_x0000_t202" style="position:absolute;left:5363;top:8429;width:1466;height:1089" filled="f" stroked="f">
              <v:textbox style="mso-next-textbox:#_x0000_s1108" inset="0,,0">
                <w:txbxContent>
                  <w:p w:rsidR="007123CF" w:rsidRDefault="007123CF" w:rsidP="00575BC3">
                    <w:pPr>
                      <w:rPr>
                        <w:sz w:val="20"/>
                      </w:rPr>
                    </w:pPr>
                    <w:r w:rsidRPr="000D30F5">
                      <w:rPr>
                        <w:b/>
                        <w:sz w:val="20"/>
                      </w:rPr>
                      <w:t>GSM mobile station</w:t>
                    </w:r>
                    <w:r>
                      <w:rPr>
                        <w:sz w:val="20"/>
                      </w:rPr>
                      <w:t>, Benchmark level of protection =</w:t>
                    </w:r>
                  </w:p>
                  <w:p w:rsidR="007123CF" w:rsidRDefault="007123CF" w:rsidP="00575BC3">
                    <w:pPr>
                      <w:rPr>
                        <w:sz w:val="20"/>
                      </w:rPr>
                    </w:pPr>
                    <w:r>
                      <w:rPr>
                        <w:sz w:val="20"/>
                      </w:rPr>
                      <w:t xml:space="preserve"> -113dBm/250kHz</w:t>
                    </w:r>
                  </w:p>
                  <w:p w:rsidR="007123CF" w:rsidRPr="0069075B" w:rsidRDefault="007123CF" w:rsidP="00575BC3">
                    <w:pPr>
                      <w:rPr>
                        <w:sz w:val="20"/>
                      </w:rPr>
                    </w:pPr>
                    <w:r>
                      <w:rPr>
                        <w:sz w:val="20"/>
                      </w:rPr>
                      <w:t>Height = 1.5m</w:t>
                    </w:r>
                  </w:p>
                </w:txbxContent>
              </v:textbox>
            </v:shape>
            <v:shape id="_x0000_s1109" type="#_x0000_t32" style="position:absolute;left:6096;top:7822;width:818;height:607;flip:y" o:connectortype="straight">
              <v:stroke endarrow="block"/>
            </v:shape>
            <w10:wrap type="none"/>
            <w10:anchorlock/>
          </v:group>
        </w:pict>
      </w:r>
    </w:p>
    <w:p w:rsidR="00575BC3" w:rsidRDefault="00575BC3" w:rsidP="00575BC3"/>
    <w:p w:rsidR="00575BC3" w:rsidRDefault="00575BC3" w:rsidP="00575BC3">
      <w:r>
        <w:t>The current framework also allows high sited transmitters in the lower band outside areas of high mobile use.</w:t>
      </w:r>
      <w:r>
        <w:rPr>
          <w:rStyle w:val="FootnoteReference"/>
        </w:rPr>
        <w:footnoteReference w:id="2"/>
      </w:r>
      <w:r>
        <w:t xml:space="preserve"> In effect this allows fixed point-to-point services or Time Division </w:t>
      </w:r>
      <w:proofErr w:type="spellStart"/>
      <w:r>
        <w:t>Duplexing</w:t>
      </w:r>
      <w:proofErr w:type="spellEnd"/>
      <w:r>
        <w:t xml:space="preserve"> (TDD) in these areas. Although this provides additional flexibility to the framework it also has the potential to cause high site to high site interference to FDD receivers across geographical boundaries. Additional provisions defined in a specific Advisory Guideline are provided in the framework to manage this interference, which will be discussed further in the third discussion paper.</w:t>
      </w:r>
    </w:p>
    <w:p w:rsidR="00575BC3" w:rsidRDefault="00575BC3" w:rsidP="00575BC3"/>
    <w:p w:rsidR="00575BC3" w:rsidRDefault="00575BC3" w:rsidP="00575BC3">
      <w:pPr>
        <w:pStyle w:val="Heading3"/>
      </w:pPr>
      <w:r>
        <w:t>3.2</w:t>
      </w:r>
      <w:r>
        <w:tab/>
        <w:t>Proposed system models</w:t>
      </w:r>
    </w:p>
    <w:p w:rsidR="00575BC3" w:rsidRDefault="00575BC3" w:rsidP="00575BC3">
      <w:pPr>
        <w:ind w:right="27"/>
      </w:pPr>
      <w:r>
        <w:t>It is proposed to maintain the priority for FDD services in high mobile use areas, and to preserve the deployment flexibility in the framework by continuing to allow both FDD and TDD in regional areas. These issues are managed using deployment constraints and are discussed further in Section 7.</w:t>
      </w:r>
    </w:p>
    <w:p w:rsidR="00575BC3" w:rsidRDefault="00575BC3" w:rsidP="00575BC3">
      <w:pPr>
        <w:rPr>
          <w:lang w:val="de-DE"/>
        </w:rPr>
      </w:pPr>
    </w:p>
    <w:p w:rsidR="00575BC3" w:rsidRDefault="00575BC3" w:rsidP="00575BC3">
      <w:r>
        <w:lastRenderedPageBreak/>
        <w:t>The system</w:t>
      </w:r>
      <w:r w:rsidRPr="006E156F">
        <w:t xml:space="preserve"> </w:t>
      </w:r>
      <w:r>
        <w:t>model</w:t>
      </w:r>
      <w:r w:rsidRPr="006E156F">
        <w:t xml:space="preserve"> parameters</w:t>
      </w:r>
      <w:r>
        <w:t xml:space="preserve"> used to develop the new technical framework are described in Tables 3 – 6, and are based on the relevant standards and CEPT/ECC/ITU reports previously mentioned for each of the reference technologies.</w:t>
      </w:r>
    </w:p>
    <w:p w:rsidR="00575BC3" w:rsidRDefault="00575BC3" w:rsidP="00575BC3"/>
    <w:p w:rsidR="00575BC3" w:rsidRDefault="00575BC3" w:rsidP="00575BC3"/>
    <w:p w:rsidR="00575BC3" w:rsidRDefault="00575BC3" w:rsidP="00575BC3"/>
    <w:p w:rsidR="00575BC3" w:rsidRPr="006E156F" w:rsidRDefault="00575BC3" w:rsidP="00575BC3">
      <w:r w:rsidRPr="006E156F">
        <w:t xml:space="preserve"> </w:t>
      </w:r>
      <w:r>
        <w:t>Table 3 – base station transmitter parameters</w:t>
      </w:r>
    </w:p>
    <w:tbl>
      <w:tblPr>
        <w:tblStyle w:val="TableGrid"/>
        <w:tblW w:w="9322" w:type="dxa"/>
        <w:tblLayout w:type="fixed"/>
        <w:tblLook w:val="01E0"/>
      </w:tblPr>
      <w:tblGrid>
        <w:gridCol w:w="2093"/>
        <w:gridCol w:w="1276"/>
        <w:gridCol w:w="1417"/>
        <w:gridCol w:w="1559"/>
        <w:gridCol w:w="1560"/>
        <w:gridCol w:w="1417"/>
      </w:tblGrid>
      <w:tr w:rsidR="00575BC3" w:rsidTr="003755AB">
        <w:tc>
          <w:tcPr>
            <w:tcW w:w="2093" w:type="dxa"/>
          </w:tcPr>
          <w:p w:rsidR="00575BC3" w:rsidRPr="00B16E61" w:rsidRDefault="00575BC3" w:rsidP="003755AB">
            <w:pPr>
              <w:rPr>
                <w:b/>
              </w:rPr>
            </w:pPr>
            <w:r w:rsidRPr="00EC30EE">
              <w:rPr>
                <w:b/>
              </w:rPr>
              <w:t>Transmitter – Base Station</w:t>
            </w:r>
          </w:p>
        </w:tc>
        <w:tc>
          <w:tcPr>
            <w:tcW w:w="1276" w:type="dxa"/>
          </w:tcPr>
          <w:p w:rsidR="00575BC3" w:rsidRPr="00B16E61" w:rsidRDefault="00575BC3" w:rsidP="003755AB">
            <w:pPr>
              <w:jc w:val="center"/>
              <w:rPr>
                <w:b/>
              </w:rPr>
            </w:pPr>
            <w:r w:rsidRPr="00EC30EE">
              <w:rPr>
                <w:b/>
              </w:rPr>
              <w:t>GSM</w:t>
            </w:r>
          </w:p>
        </w:tc>
        <w:tc>
          <w:tcPr>
            <w:tcW w:w="1417" w:type="dxa"/>
          </w:tcPr>
          <w:p w:rsidR="00575BC3" w:rsidRPr="00B16E61" w:rsidRDefault="00575BC3" w:rsidP="003755AB">
            <w:pPr>
              <w:jc w:val="center"/>
              <w:rPr>
                <w:b/>
              </w:rPr>
            </w:pPr>
            <w:r w:rsidRPr="00EC30EE">
              <w:rPr>
                <w:b/>
              </w:rPr>
              <w:t>UMTS</w:t>
            </w:r>
          </w:p>
        </w:tc>
        <w:tc>
          <w:tcPr>
            <w:tcW w:w="1559" w:type="dxa"/>
          </w:tcPr>
          <w:p w:rsidR="00575BC3" w:rsidRPr="00B16E61" w:rsidRDefault="00575BC3" w:rsidP="003755AB">
            <w:pPr>
              <w:jc w:val="center"/>
              <w:rPr>
                <w:b/>
              </w:rPr>
            </w:pPr>
            <w:r w:rsidRPr="00EC30EE">
              <w:rPr>
                <w:b/>
              </w:rPr>
              <w:t>LTE</w:t>
            </w:r>
          </w:p>
        </w:tc>
        <w:tc>
          <w:tcPr>
            <w:tcW w:w="1560" w:type="dxa"/>
          </w:tcPr>
          <w:p w:rsidR="00575BC3" w:rsidRPr="00B16E61" w:rsidRDefault="00575BC3" w:rsidP="003755AB">
            <w:pPr>
              <w:jc w:val="center"/>
              <w:rPr>
                <w:b/>
              </w:rPr>
            </w:pPr>
            <w:r w:rsidRPr="00EC30EE">
              <w:rPr>
                <w:b/>
              </w:rPr>
              <w:t>WiMAX (FDD)</w:t>
            </w:r>
          </w:p>
        </w:tc>
        <w:tc>
          <w:tcPr>
            <w:tcW w:w="1417" w:type="dxa"/>
          </w:tcPr>
          <w:p w:rsidR="00575BC3" w:rsidRPr="00B16E61" w:rsidRDefault="00575BC3" w:rsidP="003755AB">
            <w:pPr>
              <w:jc w:val="center"/>
              <w:rPr>
                <w:b/>
              </w:rPr>
            </w:pPr>
            <w:r w:rsidRPr="00EC30EE">
              <w:rPr>
                <w:b/>
              </w:rPr>
              <w:t>MC-CDMA</w:t>
            </w:r>
          </w:p>
        </w:tc>
      </w:tr>
      <w:tr w:rsidR="00575BC3" w:rsidTr="003755AB">
        <w:tc>
          <w:tcPr>
            <w:tcW w:w="2093" w:type="dxa"/>
          </w:tcPr>
          <w:p w:rsidR="00575BC3" w:rsidRDefault="00575BC3" w:rsidP="003755AB">
            <w:r>
              <w:t>Height above ground level</w:t>
            </w:r>
          </w:p>
        </w:tc>
        <w:tc>
          <w:tcPr>
            <w:tcW w:w="1276" w:type="dxa"/>
          </w:tcPr>
          <w:p w:rsidR="00575BC3" w:rsidRDefault="00575BC3" w:rsidP="003755AB">
            <w:pPr>
              <w:jc w:val="center"/>
            </w:pPr>
            <w:r>
              <w:t>30m</w:t>
            </w:r>
          </w:p>
        </w:tc>
        <w:tc>
          <w:tcPr>
            <w:tcW w:w="1417" w:type="dxa"/>
          </w:tcPr>
          <w:p w:rsidR="00575BC3" w:rsidRDefault="00575BC3" w:rsidP="003755AB">
            <w:pPr>
              <w:jc w:val="center"/>
            </w:pPr>
            <w:r>
              <w:t>30m</w:t>
            </w:r>
          </w:p>
        </w:tc>
        <w:tc>
          <w:tcPr>
            <w:tcW w:w="1559" w:type="dxa"/>
          </w:tcPr>
          <w:p w:rsidR="00575BC3" w:rsidRDefault="00575BC3" w:rsidP="003755AB">
            <w:pPr>
              <w:jc w:val="center"/>
            </w:pPr>
            <w:r>
              <w:t>30m</w:t>
            </w:r>
          </w:p>
        </w:tc>
        <w:tc>
          <w:tcPr>
            <w:tcW w:w="1560" w:type="dxa"/>
          </w:tcPr>
          <w:p w:rsidR="00575BC3" w:rsidRDefault="00575BC3" w:rsidP="003755AB">
            <w:pPr>
              <w:jc w:val="center"/>
            </w:pPr>
            <w:r>
              <w:t>30m</w:t>
            </w:r>
          </w:p>
        </w:tc>
        <w:tc>
          <w:tcPr>
            <w:tcW w:w="1417" w:type="dxa"/>
          </w:tcPr>
          <w:p w:rsidR="00575BC3" w:rsidRDefault="00575BC3" w:rsidP="003755AB">
            <w:pPr>
              <w:jc w:val="center"/>
            </w:pPr>
            <w:r>
              <w:t>30m</w:t>
            </w:r>
          </w:p>
        </w:tc>
      </w:tr>
      <w:tr w:rsidR="00575BC3" w:rsidTr="003755AB">
        <w:tc>
          <w:tcPr>
            <w:tcW w:w="2093" w:type="dxa"/>
          </w:tcPr>
          <w:p w:rsidR="00575BC3" w:rsidRDefault="00575BC3" w:rsidP="003755AB">
            <w:r>
              <w:t>Transmitter power</w:t>
            </w:r>
          </w:p>
        </w:tc>
        <w:tc>
          <w:tcPr>
            <w:tcW w:w="1276" w:type="dxa"/>
          </w:tcPr>
          <w:p w:rsidR="00575BC3" w:rsidRDefault="00575BC3" w:rsidP="003755AB">
            <w:pPr>
              <w:jc w:val="center"/>
            </w:pPr>
            <w:r>
              <w:t>43 dBm /200kHz</w:t>
            </w:r>
          </w:p>
        </w:tc>
        <w:tc>
          <w:tcPr>
            <w:tcW w:w="1417" w:type="dxa"/>
          </w:tcPr>
          <w:p w:rsidR="00575BC3" w:rsidRDefault="00575BC3" w:rsidP="003755AB">
            <w:pPr>
              <w:jc w:val="center"/>
            </w:pPr>
            <w:r>
              <w:t>43 dBm /3.84MHz</w:t>
            </w:r>
          </w:p>
        </w:tc>
        <w:tc>
          <w:tcPr>
            <w:tcW w:w="1559" w:type="dxa"/>
          </w:tcPr>
          <w:p w:rsidR="00575BC3" w:rsidRDefault="00575BC3" w:rsidP="003755AB">
            <w:pPr>
              <w:jc w:val="center"/>
            </w:pPr>
            <w:r>
              <w:t>43 dBm /5MHz</w:t>
            </w:r>
          </w:p>
        </w:tc>
        <w:tc>
          <w:tcPr>
            <w:tcW w:w="1560" w:type="dxa"/>
          </w:tcPr>
          <w:p w:rsidR="00575BC3" w:rsidRDefault="00575BC3" w:rsidP="003755AB">
            <w:pPr>
              <w:jc w:val="center"/>
            </w:pPr>
            <w:r>
              <w:t>43 dBm /5MHz</w:t>
            </w:r>
          </w:p>
        </w:tc>
        <w:tc>
          <w:tcPr>
            <w:tcW w:w="1417" w:type="dxa"/>
          </w:tcPr>
          <w:p w:rsidR="00575BC3" w:rsidRDefault="00575BC3" w:rsidP="003755AB">
            <w:pPr>
              <w:jc w:val="center"/>
            </w:pPr>
            <w:r>
              <w:t>43 dBm /3.75MHz</w:t>
            </w:r>
          </w:p>
        </w:tc>
      </w:tr>
      <w:tr w:rsidR="00575BC3" w:rsidTr="003755AB">
        <w:tc>
          <w:tcPr>
            <w:tcW w:w="2093" w:type="dxa"/>
          </w:tcPr>
          <w:p w:rsidR="00575BC3" w:rsidRDefault="00575BC3" w:rsidP="003755AB">
            <w:r>
              <w:t>Antenna Gain</w:t>
            </w:r>
          </w:p>
        </w:tc>
        <w:tc>
          <w:tcPr>
            <w:tcW w:w="1276" w:type="dxa"/>
          </w:tcPr>
          <w:p w:rsidR="00575BC3" w:rsidRDefault="00575BC3" w:rsidP="003755AB">
            <w:pPr>
              <w:jc w:val="center"/>
            </w:pPr>
            <w:r>
              <w:t>17 dBi</w:t>
            </w:r>
          </w:p>
        </w:tc>
        <w:tc>
          <w:tcPr>
            <w:tcW w:w="1417" w:type="dxa"/>
          </w:tcPr>
          <w:p w:rsidR="00575BC3" w:rsidRDefault="00575BC3" w:rsidP="003755AB">
            <w:pPr>
              <w:jc w:val="center"/>
            </w:pPr>
            <w:r>
              <w:t>17 dBi</w:t>
            </w:r>
          </w:p>
        </w:tc>
        <w:tc>
          <w:tcPr>
            <w:tcW w:w="1559" w:type="dxa"/>
          </w:tcPr>
          <w:p w:rsidR="00575BC3" w:rsidRDefault="00575BC3" w:rsidP="003755AB">
            <w:pPr>
              <w:jc w:val="center"/>
            </w:pPr>
            <w:r>
              <w:t>17 dBi</w:t>
            </w:r>
          </w:p>
        </w:tc>
        <w:tc>
          <w:tcPr>
            <w:tcW w:w="1560" w:type="dxa"/>
          </w:tcPr>
          <w:p w:rsidR="00575BC3" w:rsidRDefault="00575BC3" w:rsidP="003755AB">
            <w:pPr>
              <w:jc w:val="center"/>
            </w:pPr>
            <w:r>
              <w:t>17 dBi</w:t>
            </w:r>
          </w:p>
        </w:tc>
        <w:tc>
          <w:tcPr>
            <w:tcW w:w="1417" w:type="dxa"/>
          </w:tcPr>
          <w:p w:rsidR="00575BC3" w:rsidRDefault="00575BC3" w:rsidP="003755AB">
            <w:pPr>
              <w:jc w:val="center"/>
            </w:pPr>
            <w:r>
              <w:t>17 dBi</w:t>
            </w:r>
          </w:p>
        </w:tc>
      </w:tr>
      <w:tr w:rsidR="00575BC3" w:rsidTr="003755AB">
        <w:tc>
          <w:tcPr>
            <w:tcW w:w="2093" w:type="dxa"/>
          </w:tcPr>
          <w:p w:rsidR="00575BC3" w:rsidRDefault="00575BC3" w:rsidP="003755AB">
            <w:r>
              <w:t>Losses</w:t>
            </w:r>
          </w:p>
        </w:tc>
        <w:tc>
          <w:tcPr>
            <w:tcW w:w="1276" w:type="dxa"/>
          </w:tcPr>
          <w:p w:rsidR="00575BC3" w:rsidRDefault="00575BC3" w:rsidP="003755AB">
            <w:pPr>
              <w:jc w:val="center"/>
            </w:pPr>
            <w:r>
              <w:t>2 dB</w:t>
            </w:r>
          </w:p>
        </w:tc>
        <w:tc>
          <w:tcPr>
            <w:tcW w:w="1417" w:type="dxa"/>
          </w:tcPr>
          <w:p w:rsidR="00575BC3" w:rsidRDefault="00575BC3" w:rsidP="003755AB">
            <w:pPr>
              <w:jc w:val="center"/>
            </w:pPr>
            <w:r>
              <w:t>2 dB</w:t>
            </w:r>
          </w:p>
        </w:tc>
        <w:tc>
          <w:tcPr>
            <w:tcW w:w="1559" w:type="dxa"/>
          </w:tcPr>
          <w:p w:rsidR="00575BC3" w:rsidRDefault="00575BC3" w:rsidP="003755AB">
            <w:pPr>
              <w:jc w:val="center"/>
            </w:pPr>
            <w:r>
              <w:t>2 dB</w:t>
            </w:r>
          </w:p>
        </w:tc>
        <w:tc>
          <w:tcPr>
            <w:tcW w:w="1560" w:type="dxa"/>
          </w:tcPr>
          <w:p w:rsidR="00575BC3" w:rsidRDefault="00575BC3" w:rsidP="003755AB">
            <w:pPr>
              <w:jc w:val="center"/>
            </w:pPr>
            <w:r>
              <w:t>2 dB</w:t>
            </w:r>
          </w:p>
        </w:tc>
        <w:tc>
          <w:tcPr>
            <w:tcW w:w="1417" w:type="dxa"/>
          </w:tcPr>
          <w:p w:rsidR="00575BC3" w:rsidRDefault="00575BC3" w:rsidP="003755AB">
            <w:pPr>
              <w:jc w:val="center"/>
            </w:pPr>
            <w:r>
              <w:t>2 dB</w:t>
            </w:r>
          </w:p>
        </w:tc>
      </w:tr>
      <w:tr w:rsidR="00575BC3" w:rsidTr="003755AB">
        <w:tc>
          <w:tcPr>
            <w:tcW w:w="2093" w:type="dxa"/>
          </w:tcPr>
          <w:p w:rsidR="00575BC3" w:rsidRDefault="00575BC3" w:rsidP="003755AB">
            <w:r>
              <w:t>Antenna gain (includes loss)</w:t>
            </w:r>
          </w:p>
        </w:tc>
        <w:tc>
          <w:tcPr>
            <w:tcW w:w="1276" w:type="dxa"/>
          </w:tcPr>
          <w:p w:rsidR="00575BC3" w:rsidRDefault="00575BC3" w:rsidP="003755AB">
            <w:pPr>
              <w:jc w:val="center"/>
            </w:pPr>
            <w:r>
              <w:t>15 dBi</w:t>
            </w:r>
          </w:p>
        </w:tc>
        <w:tc>
          <w:tcPr>
            <w:tcW w:w="1417" w:type="dxa"/>
          </w:tcPr>
          <w:p w:rsidR="00575BC3" w:rsidRDefault="00575BC3" w:rsidP="003755AB">
            <w:pPr>
              <w:jc w:val="center"/>
            </w:pPr>
            <w:r>
              <w:t>15 dBi</w:t>
            </w:r>
          </w:p>
        </w:tc>
        <w:tc>
          <w:tcPr>
            <w:tcW w:w="1559" w:type="dxa"/>
          </w:tcPr>
          <w:p w:rsidR="00575BC3" w:rsidRDefault="00575BC3" w:rsidP="003755AB">
            <w:pPr>
              <w:jc w:val="center"/>
            </w:pPr>
            <w:r>
              <w:t>15 dBi</w:t>
            </w:r>
          </w:p>
        </w:tc>
        <w:tc>
          <w:tcPr>
            <w:tcW w:w="1560" w:type="dxa"/>
          </w:tcPr>
          <w:p w:rsidR="00575BC3" w:rsidRDefault="00575BC3" w:rsidP="003755AB">
            <w:pPr>
              <w:jc w:val="center"/>
            </w:pPr>
            <w:r>
              <w:t>15 dBi</w:t>
            </w:r>
          </w:p>
        </w:tc>
        <w:tc>
          <w:tcPr>
            <w:tcW w:w="1417" w:type="dxa"/>
          </w:tcPr>
          <w:p w:rsidR="00575BC3" w:rsidRDefault="00575BC3" w:rsidP="003755AB">
            <w:pPr>
              <w:jc w:val="center"/>
            </w:pPr>
            <w:r>
              <w:t>15 dBi</w:t>
            </w:r>
          </w:p>
        </w:tc>
      </w:tr>
      <w:tr w:rsidR="00575BC3" w:rsidTr="003755AB">
        <w:tc>
          <w:tcPr>
            <w:tcW w:w="2093" w:type="dxa"/>
          </w:tcPr>
          <w:p w:rsidR="00575BC3" w:rsidRDefault="00575BC3" w:rsidP="003755AB">
            <w:r>
              <w:t>Max EIRP/channel BW</w:t>
            </w:r>
          </w:p>
        </w:tc>
        <w:tc>
          <w:tcPr>
            <w:tcW w:w="1276" w:type="dxa"/>
          </w:tcPr>
          <w:p w:rsidR="00575BC3" w:rsidRDefault="00575BC3" w:rsidP="003755AB">
            <w:pPr>
              <w:jc w:val="center"/>
            </w:pPr>
            <w:r>
              <w:t>58 dBm /200kHz</w:t>
            </w:r>
          </w:p>
        </w:tc>
        <w:tc>
          <w:tcPr>
            <w:tcW w:w="1417" w:type="dxa"/>
          </w:tcPr>
          <w:p w:rsidR="00575BC3" w:rsidRDefault="00575BC3" w:rsidP="003755AB">
            <w:pPr>
              <w:jc w:val="center"/>
            </w:pPr>
            <w:r>
              <w:t>58 dBm /3.84MHz</w:t>
            </w:r>
          </w:p>
        </w:tc>
        <w:tc>
          <w:tcPr>
            <w:tcW w:w="1559" w:type="dxa"/>
          </w:tcPr>
          <w:p w:rsidR="00575BC3" w:rsidRDefault="00575BC3" w:rsidP="003755AB">
            <w:pPr>
              <w:jc w:val="center"/>
            </w:pPr>
            <w:r>
              <w:t>58 dBm /5MHz</w:t>
            </w:r>
          </w:p>
        </w:tc>
        <w:tc>
          <w:tcPr>
            <w:tcW w:w="1560" w:type="dxa"/>
          </w:tcPr>
          <w:p w:rsidR="00575BC3" w:rsidRDefault="00575BC3" w:rsidP="003755AB">
            <w:pPr>
              <w:jc w:val="center"/>
            </w:pPr>
            <w:r>
              <w:t>58 dBm /5MHz</w:t>
            </w:r>
          </w:p>
        </w:tc>
        <w:tc>
          <w:tcPr>
            <w:tcW w:w="1417" w:type="dxa"/>
          </w:tcPr>
          <w:p w:rsidR="00575BC3" w:rsidRDefault="00575BC3" w:rsidP="003755AB">
            <w:pPr>
              <w:jc w:val="center"/>
            </w:pPr>
            <w:r>
              <w:t>58 dBm /3.75MHz</w:t>
            </w:r>
          </w:p>
        </w:tc>
      </w:tr>
      <w:tr w:rsidR="00575BC3" w:rsidTr="003755AB">
        <w:tc>
          <w:tcPr>
            <w:tcW w:w="2093" w:type="dxa"/>
          </w:tcPr>
          <w:p w:rsidR="00575BC3" w:rsidRDefault="00575BC3" w:rsidP="003755AB">
            <w:r>
              <w:t>Hor. Rad. True Mean Power</w:t>
            </w:r>
          </w:p>
        </w:tc>
        <w:tc>
          <w:tcPr>
            <w:tcW w:w="1276" w:type="dxa"/>
          </w:tcPr>
          <w:p w:rsidR="00575BC3" w:rsidRDefault="00575BC3" w:rsidP="003755AB">
            <w:pPr>
              <w:jc w:val="center"/>
            </w:pPr>
            <w:r>
              <w:t>49.7 dBm / 30kHz</w:t>
            </w:r>
          </w:p>
        </w:tc>
        <w:tc>
          <w:tcPr>
            <w:tcW w:w="1417" w:type="dxa"/>
          </w:tcPr>
          <w:p w:rsidR="00575BC3" w:rsidRDefault="00575BC3" w:rsidP="003755AB">
            <w:pPr>
              <w:jc w:val="center"/>
            </w:pPr>
            <w:r>
              <w:t>37 dBm / 30kHz</w:t>
            </w:r>
          </w:p>
        </w:tc>
        <w:tc>
          <w:tcPr>
            <w:tcW w:w="1559" w:type="dxa"/>
          </w:tcPr>
          <w:p w:rsidR="00575BC3" w:rsidRDefault="00575BC3" w:rsidP="003755AB">
            <w:pPr>
              <w:jc w:val="center"/>
            </w:pPr>
            <w:r>
              <w:t>35.8 dBm / 30kHz</w:t>
            </w:r>
          </w:p>
        </w:tc>
        <w:tc>
          <w:tcPr>
            <w:tcW w:w="1560" w:type="dxa"/>
          </w:tcPr>
          <w:p w:rsidR="00575BC3" w:rsidRDefault="00575BC3" w:rsidP="003755AB">
            <w:pPr>
              <w:jc w:val="center"/>
            </w:pPr>
            <w:r>
              <w:t>35.8 dBm / 30kHz</w:t>
            </w:r>
          </w:p>
        </w:tc>
        <w:tc>
          <w:tcPr>
            <w:tcW w:w="1417" w:type="dxa"/>
          </w:tcPr>
          <w:p w:rsidR="00575BC3" w:rsidRDefault="00575BC3" w:rsidP="003755AB">
            <w:pPr>
              <w:jc w:val="center"/>
            </w:pPr>
            <w:r>
              <w:t>35 dBm / 30kHz</w:t>
            </w:r>
          </w:p>
        </w:tc>
      </w:tr>
      <w:tr w:rsidR="00575BC3" w:rsidTr="003755AB">
        <w:tc>
          <w:tcPr>
            <w:tcW w:w="2093" w:type="dxa"/>
          </w:tcPr>
          <w:p w:rsidR="00575BC3" w:rsidRDefault="00575BC3" w:rsidP="003755AB">
            <w:r>
              <w:t>ACLR@ 5MHz</w:t>
            </w:r>
          </w:p>
        </w:tc>
        <w:tc>
          <w:tcPr>
            <w:tcW w:w="1276" w:type="dxa"/>
          </w:tcPr>
          <w:p w:rsidR="00575BC3" w:rsidRDefault="00575BC3" w:rsidP="003755AB">
            <w:pPr>
              <w:jc w:val="center"/>
            </w:pPr>
            <w:r>
              <w:t>-</w:t>
            </w:r>
          </w:p>
        </w:tc>
        <w:tc>
          <w:tcPr>
            <w:tcW w:w="1417" w:type="dxa"/>
          </w:tcPr>
          <w:p w:rsidR="00575BC3" w:rsidRDefault="00575BC3" w:rsidP="003755AB">
            <w:r>
              <w:t xml:space="preserve">        45 dB</w:t>
            </w:r>
          </w:p>
        </w:tc>
        <w:tc>
          <w:tcPr>
            <w:tcW w:w="1559" w:type="dxa"/>
          </w:tcPr>
          <w:p w:rsidR="00575BC3" w:rsidRDefault="00575BC3" w:rsidP="003755AB">
            <w:r>
              <w:t xml:space="preserve">        45 dB </w:t>
            </w:r>
          </w:p>
        </w:tc>
        <w:tc>
          <w:tcPr>
            <w:tcW w:w="1560" w:type="dxa"/>
          </w:tcPr>
          <w:p w:rsidR="00575BC3" w:rsidRDefault="00575BC3" w:rsidP="003755AB">
            <w:pPr>
              <w:jc w:val="center"/>
            </w:pPr>
            <w:r>
              <w:t>45 dB</w:t>
            </w:r>
          </w:p>
        </w:tc>
        <w:tc>
          <w:tcPr>
            <w:tcW w:w="1417" w:type="dxa"/>
          </w:tcPr>
          <w:p w:rsidR="00575BC3" w:rsidRDefault="00575BC3" w:rsidP="003755AB">
            <w:pPr>
              <w:jc w:val="center"/>
            </w:pPr>
            <w:r>
              <w:t>49.3 dB</w:t>
            </w:r>
          </w:p>
        </w:tc>
      </w:tr>
      <w:tr w:rsidR="00575BC3" w:rsidTr="003755AB">
        <w:tc>
          <w:tcPr>
            <w:tcW w:w="2093" w:type="dxa"/>
          </w:tcPr>
          <w:p w:rsidR="00575BC3" w:rsidRDefault="00575BC3" w:rsidP="003755AB">
            <w:r>
              <w:t xml:space="preserve">             10 MHz</w:t>
            </w:r>
          </w:p>
        </w:tc>
        <w:tc>
          <w:tcPr>
            <w:tcW w:w="1276" w:type="dxa"/>
          </w:tcPr>
          <w:p w:rsidR="00575BC3" w:rsidRDefault="00575BC3" w:rsidP="003755AB">
            <w:pPr>
              <w:jc w:val="center"/>
            </w:pPr>
            <w:r>
              <w:t>-</w:t>
            </w:r>
          </w:p>
        </w:tc>
        <w:tc>
          <w:tcPr>
            <w:tcW w:w="1417" w:type="dxa"/>
          </w:tcPr>
          <w:p w:rsidR="00575BC3" w:rsidRDefault="00575BC3" w:rsidP="003755AB">
            <w:r>
              <w:t xml:space="preserve">        50 dB</w:t>
            </w:r>
          </w:p>
        </w:tc>
        <w:tc>
          <w:tcPr>
            <w:tcW w:w="1559" w:type="dxa"/>
          </w:tcPr>
          <w:p w:rsidR="00575BC3" w:rsidRDefault="00575BC3" w:rsidP="003755AB">
            <w:r>
              <w:t xml:space="preserve">        45 dB</w:t>
            </w:r>
          </w:p>
        </w:tc>
        <w:tc>
          <w:tcPr>
            <w:tcW w:w="1560" w:type="dxa"/>
          </w:tcPr>
          <w:p w:rsidR="00575BC3" w:rsidRDefault="00575BC3" w:rsidP="003755AB">
            <w:pPr>
              <w:jc w:val="center"/>
            </w:pPr>
            <w:r>
              <w:t>50 dB</w:t>
            </w:r>
          </w:p>
        </w:tc>
        <w:tc>
          <w:tcPr>
            <w:tcW w:w="1417" w:type="dxa"/>
          </w:tcPr>
          <w:p w:rsidR="00575BC3" w:rsidRDefault="00575BC3" w:rsidP="003755AB">
            <w:pPr>
              <w:jc w:val="center"/>
            </w:pPr>
            <w:r>
              <w:t>62.2 dB</w:t>
            </w:r>
          </w:p>
        </w:tc>
      </w:tr>
    </w:tbl>
    <w:p w:rsidR="00575BC3" w:rsidRDefault="00575BC3" w:rsidP="00575BC3">
      <w:pPr>
        <w:ind w:firstLine="426"/>
      </w:pPr>
    </w:p>
    <w:p w:rsidR="00575BC3" w:rsidRDefault="00575BC3" w:rsidP="00575BC3">
      <w:r>
        <w:t>Table 4 – base station receiver parameters</w:t>
      </w:r>
    </w:p>
    <w:tbl>
      <w:tblPr>
        <w:tblStyle w:val="TableGrid"/>
        <w:tblW w:w="0" w:type="auto"/>
        <w:tblLook w:val="01E0"/>
      </w:tblPr>
      <w:tblGrid>
        <w:gridCol w:w="2067"/>
        <w:gridCol w:w="1401"/>
        <w:gridCol w:w="1264"/>
        <w:gridCol w:w="1518"/>
        <w:gridCol w:w="1523"/>
        <w:gridCol w:w="1401"/>
      </w:tblGrid>
      <w:tr w:rsidR="00575BC3" w:rsidTr="003755AB">
        <w:trPr>
          <w:tblHeader/>
        </w:trPr>
        <w:tc>
          <w:tcPr>
            <w:tcW w:w="2093" w:type="dxa"/>
          </w:tcPr>
          <w:p w:rsidR="00575BC3" w:rsidRPr="00B16E61" w:rsidRDefault="00575BC3" w:rsidP="003755AB">
            <w:pPr>
              <w:rPr>
                <w:b/>
              </w:rPr>
            </w:pPr>
            <w:r w:rsidRPr="00EC30EE">
              <w:rPr>
                <w:b/>
              </w:rPr>
              <w:t>Receiver – Base Station</w:t>
            </w:r>
          </w:p>
        </w:tc>
        <w:tc>
          <w:tcPr>
            <w:tcW w:w="1417" w:type="dxa"/>
          </w:tcPr>
          <w:p w:rsidR="00575BC3" w:rsidRPr="00B16E61" w:rsidRDefault="00575BC3" w:rsidP="003755AB">
            <w:pPr>
              <w:jc w:val="center"/>
              <w:rPr>
                <w:b/>
              </w:rPr>
            </w:pPr>
            <w:r w:rsidRPr="00EC30EE">
              <w:rPr>
                <w:b/>
              </w:rPr>
              <w:t>GSM</w:t>
            </w:r>
          </w:p>
        </w:tc>
        <w:tc>
          <w:tcPr>
            <w:tcW w:w="1276" w:type="dxa"/>
          </w:tcPr>
          <w:p w:rsidR="00575BC3" w:rsidRPr="00B16E61" w:rsidRDefault="00575BC3" w:rsidP="003755AB">
            <w:pPr>
              <w:jc w:val="center"/>
              <w:rPr>
                <w:b/>
              </w:rPr>
            </w:pPr>
            <w:r w:rsidRPr="00EC30EE">
              <w:rPr>
                <w:b/>
              </w:rPr>
              <w:t>UMTS</w:t>
            </w:r>
          </w:p>
        </w:tc>
        <w:tc>
          <w:tcPr>
            <w:tcW w:w="1559" w:type="dxa"/>
          </w:tcPr>
          <w:p w:rsidR="00575BC3" w:rsidRPr="00B16E61" w:rsidRDefault="00575BC3" w:rsidP="003755AB">
            <w:pPr>
              <w:jc w:val="center"/>
              <w:rPr>
                <w:b/>
              </w:rPr>
            </w:pPr>
            <w:r w:rsidRPr="00EC30EE">
              <w:rPr>
                <w:b/>
              </w:rPr>
              <w:t>LTE</w:t>
            </w:r>
          </w:p>
        </w:tc>
        <w:tc>
          <w:tcPr>
            <w:tcW w:w="1560" w:type="dxa"/>
          </w:tcPr>
          <w:p w:rsidR="00575BC3" w:rsidRPr="00B16E61" w:rsidRDefault="00575BC3" w:rsidP="003755AB">
            <w:pPr>
              <w:jc w:val="center"/>
              <w:rPr>
                <w:b/>
              </w:rPr>
            </w:pPr>
            <w:r w:rsidRPr="00EC30EE">
              <w:rPr>
                <w:b/>
              </w:rPr>
              <w:t>WiMAX (FDD)</w:t>
            </w:r>
          </w:p>
        </w:tc>
        <w:tc>
          <w:tcPr>
            <w:tcW w:w="1417" w:type="dxa"/>
          </w:tcPr>
          <w:p w:rsidR="00575BC3" w:rsidRPr="00B16E61" w:rsidRDefault="00575BC3" w:rsidP="003755AB">
            <w:pPr>
              <w:jc w:val="center"/>
              <w:rPr>
                <w:b/>
              </w:rPr>
            </w:pPr>
            <w:r w:rsidRPr="00EC30EE">
              <w:rPr>
                <w:b/>
              </w:rPr>
              <w:t>MC-CDMA</w:t>
            </w:r>
          </w:p>
        </w:tc>
      </w:tr>
      <w:tr w:rsidR="00575BC3" w:rsidTr="003755AB">
        <w:tc>
          <w:tcPr>
            <w:tcW w:w="2093" w:type="dxa"/>
          </w:tcPr>
          <w:p w:rsidR="00575BC3" w:rsidRDefault="00575BC3" w:rsidP="003755AB">
            <w:r>
              <w:t>Antenna gain (includes loss)</w:t>
            </w:r>
          </w:p>
        </w:tc>
        <w:tc>
          <w:tcPr>
            <w:tcW w:w="1417" w:type="dxa"/>
          </w:tcPr>
          <w:p w:rsidR="00575BC3" w:rsidRDefault="00575BC3" w:rsidP="003755AB">
            <w:pPr>
              <w:jc w:val="center"/>
            </w:pPr>
            <w:r>
              <w:t>15 dBi</w:t>
            </w:r>
          </w:p>
        </w:tc>
        <w:tc>
          <w:tcPr>
            <w:tcW w:w="1276" w:type="dxa"/>
          </w:tcPr>
          <w:p w:rsidR="00575BC3" w:rsidRDefault="00575BC3" w:rsidP="003755AB">
            <w:pPr>
              <w:jc w:val="center"/>
            </w:pPr>
            <w:r>
              <w:t>15 dBi</w:t>
            </w:r>
          </w:p>
        </w:tc>
        <w:tc>
          <w:tcPr>
            <w:tcW w:w="1559" w:type="dxa"/>
          </w:tcPr>
          <w:p w:rsidR="00575BC3" w:rsidRDefault="00575BC3" w:rsidP="003755AB">
            <w:pPr>
              <w:jc w:val="center"/>
            </w:pPr>
            <w:r>
              <w:t>15 dBi</w:t>
            </w:r>
          </w:p>
        </w:tc>
        <w:tc>
          <w:tcPr>
            <w:tcW w:w="1560" w:type="dxa"/>
          </w:tcPr>
          <w:p w:rsidR="00575BC3" w:rsidRDefault="00575BC3" w:rsidP="003755AB">
            <w:pPr>
              <w:jc w:val="center"/>
            </w:pPr>
            <w:r>
              <w:t>15 dBi</w:t>
            </w:r>
          </w:p>
        </w:tc>
        <w:tc>
          <w:tcPr>
            <w:tcW w:w="1417" w:type="dxa"/>
          </w:tcPr>
          <w:p w:rsidR="00575BC3" w:rsidRDefault="00575BC3" w:rsidP="003755AB">
            <w:pPr>
              <w:jc w:val="center"/>
            </w:pPr>
            <w:r>
              <w:t>15 dBi</w:t>
            </w:r>
          </w:p>
        </w:tc>
      </w:tr>
      <w:tr w:rsidR="00575BC3" w:rsidTr="003755AB">
        <w:tc>
          <w:tcPr>
            <w:tcW w:w="2093" w:type="dxa"/>
          </w:tcPr>
          <w:p w:rsidR="00575BC3" w:rsidRDefault="00575BC3" w:rsidP="003755AB">
            <w:r>
              <w:t>NF</w:t>
            </w:r>
          </w:p>
        </w:tc>
        <w:tc>
          <w:tcPr>
            <w:tcW w:w="1417" w:type="dxa"/>
          </w:tcPr>
          <w:p w:rsidR="00575BC3" w:rsidRDefault="00575BC3" w:rsidP="003755AB">
            <w:pPr>
              <w:jc w:val="center"/>
            </w:pPr>
            <w:r>
              <w:t>5 dB</w:t>
            </w:r>
          </w:p>
        </w:tc>
        <w:tc>
          <w:tcPr>
            <w:tcW w:w="1276" w:type="dxa"/>
          </w:tcPr>
          <w:p w:rsidR="00575BC3" w:rsidRDefault="00575BC3" w:rsidP="003755AB">
            <w:pPr>
              <w:jc w:val="center"/>
            </w:pPr>
            <w:r>
              <w:t>5 dB</w:t>
            </w:r>
          </w:p>
        </w:tc>
        <w:tc>
          <w:tcPr>
            <w:tcW w:w="1559" w:type="dxa"/>
          </w:tcPr>
          <w:p w:rsidR="00575BC3" w:rsidRDefault="00575BC3" w:rsidP="003755AB">
            <w:pPr>
              <w:jc w:val="center"/>
            </w:pPr>
            <w:r>
              <w:t>5 dB</w:t>
            </w:r>
          </w:p>
        </w:tc>
        <w:tc>
          <w:tcPr>
            <w:tcW w:w="1560" w:type="dxa"/>
          </w:tcPr>
          <w:p w:rsidR="00575BC3" w:rsidRDefault="00575BC3" w:rsidP="003755AB">
            <w:pPr>
              <w:jc w:val="center"/>
            </w:pPr>
            <w:r>
              <w:t>5 dB</w:t>
            </w:r>
          </w:p>
        </w:tc>
        <w:tc>
          <w:tcPr>
            <w:tcW w:w="1417" w:type="dxa"/>
          </w:tcPr>
          <w:p w:rsidR="00575BC3" w:rsidRDefault="00575BC3" w:rsidP="003755AB">
            <w:pPr>
              <w:jc w:val="center"/>
            </w:pPr>
            <w:r>
              <w:t>5 dB</w:t>
            </w:r>
          </w:p>
        </w:tc>
      </w:tr>
      <w:tr w:rsidR="00575BC3" w:rsidTr="003755AB">
        <w:tc>
          <w:tcPr>
            <w:tcW w:w="2093" w:type="dxa"/>
          </w:tcPr>
          <w:p w:rsidR="00575BC3" w:rsidRDefault="00575BC3" w:rsidP="003755AB">
            <w:r>
              <w:t>Receiver noise floor</w:t>
            </w:r>
          </w:p>
        </w:tc>
        <w:tc>
          <w:tcPr>
            <w:tcW w:w="1417" w:type="dxa"/>
          </w:tcPr>
          <w:p w:rsidR="00575BC3" w:rsidRDefault="00575BC3" w:rsidP="003755AB">
            <w:pPr>
              <w:jc w:val="center"/>
            </w:pPr>
            <w:r>
              <w:t>Rec. Sens.= -104 dBm / 200kHz</w:t>
            </w:r>
          </w:p>
        </w:tc>
        <w:tc>
          <w:tcPr>
            <w:tcW w:w="1276" w:type="dxa"/>
          </w:tcPr>
          <w:p w:rsidR="00575BC3" w:rsidRDefault="00575BC3" w:rsidP="003755AB">
            <w:pPr>
              <w:jc w:val="center"/>
            </w:pPr>
            <w:r>
              <w:t>-103dBm / 3.84MHz</w:t>
            </w:r>
          </w:p>
        </w:tc>
        <w:tc>
          <w:tcPr>
            <w:tcW w:w="1559" w:type="dxa"/>
          </w:tcPr>
          <w:p w:rsidR="00575BC3" w:rsidRDefault="00575BC3" w:rsidP="003755AB">
            <w:pPr>
              <w:jc w:val="center"/>
            </w:pPr>
            <w:r>
              <w:t>-102dBm / 4.5MHz</w:t>
            </w:r>
          </w:p>
        </w:tc>
        <w:tc>
          <w:tcPr>
            <w:tcW w:w="1560" w:type="dxa"/>
          </w:tcPr>
          <w:p w:rsidR="00575BC3" w:rsidRDefault="00575BC3" w:rsidP="003755AB">
            <w:pPr>
              <w:jc w:val="center"/>
            </w:pPr>
            <w:r>
              <w:t>-102 dBm / 4.5MHz</w:t>
            </w:r>
          </w:p>
        </w:tc>
        <w:tc>
          <w:tcPr>
            <w:tcW w:w="1417" w:type="dxa"/>
          </w:tcPr>
          <w:p w:rsidR="00575BC3" w:rsidRDefault="00575BC3" w:rsidP="003755AB">
            <w:pPr>
              <w:jc w:val="center"/>
            </w:pPr>
            <w:r>
              <w:t>-103dBm / 3.75MHz</w:t>
            </w:r>
          </w:p>
        </w:tc>
      </w:tr>
      <w:tr w:rsidR="00575BC3" w:rsidTr="003755AB">
        <w:tc>
          <w:tcPr>
            <w:tcW w:w="2093" w:type="dxa"/>
          </w:tcPr>
          <w:p w:rsidR="00575BC3" w:rsidRDefault="00575BC3" w:rsidP="003755AB">
            <w:r>
              <w:t>Required I/N</w:t>
            </w:r>
          </w:p>
        </w:tc>
        <w:tc>
          <w:tcPr>
            <w:tcW w:w="1417" w:type="dxa"/>
          </w:tcPr>
          <w:p w:rsidR="00575BC3" w:rsidRDefault="00575BC3" w:rsidP="003755AB">
            <w:pPr>
              <w:jc w:val="center"/>
            </w:pPr>
            <w:r>
              <w:t>C/I = 9 dB</w:t>
            </w:r>
          </w:p>
        </w:tc>
        <w:tc>
          <w:tcPr>
            <w:tcW w:w="1276" w:type="dxa"/>
          </w:tcPr>
          <w:p w:rsidR="00575BC3" w:rsidRDefault="00575BC3" w:rsidP="003755AB">
            <w:pPr>
              <w:jc w:val="center"/>
            </w:pPr>
            <w:r>
              <w:t xml:space="preserve"> -6 dB</w:t>
            </w:r>
          </w:p>
        </w:tc>
        <w:tc>
          <w:tcPr>
            <w:tcW w:w="1559" w:type="dxa"/>
          </w:tcPr>
          <w:p w:rsidR="00575BC3" w:rsidRDefault="00575BC3" w:rsidP="003755AB">
            <w:pPr>
              <w:jc w:val="center"/>
            </w:pPr>
            <w:r>
              <w:t>-6 dB</w:t>
            </w:r>
          </w:p>
        </w:tc>
        <w:tc>
          <w:tcPr>
            <w:tcW w:w="1560" w:type="dxa"/>
          </w:tcPr>
          <w:p w:rsidR="00575BC3" w:rsidRDefault="00575BC3" w:rsidP="003755AB">
            <w:pPr>
              <w:jc w:val="center"/>
            </w:pPr>
            <w:r>
              <w:t>-6 dB</w:t>
            </w:r>
          </w:p>
        </w:tc>
        <w:tc>
          <w:tcPr>
            <w:tcW w:w="1417" w:type="dxa"/>
          </w:tcPr>
          <w:p w:rsidR="00575BC3" w:rsidRDefault="00575BC3" w:rsidP="003755AB">
            <w:pPr>
              <w:jc w:val="center"/>
            </w:pPr>
            <w:r>
              <w:t>-6 dB</w:t>
            </w:r>
          </w:p>
        </w:tc>
      </w:tr>
      <w:tr w:rsidR="00575BC3" w:rsidTr="003755AB">
        <w:tc>
          <w:tcPr>
            <w:tcW w:w="2093" w:type="dxa"/>
          </w:tcPr>
          <w:p w:rsidR="00575BC3" w:rsidRDefault="00575BC3" w:rsidP="003755AB">
            <w:r>
              <w:t>Max Interferer.  At the receiver</w:t>
            </w:r>
          </w:p>
        </w:tc>
        <w:tc>
          <w:tcPr>
            <w:tcW w:w="1417" w:type="dxa"/>
          </w:tcPr>
          <w:p w:rsidR="00575BC3" w:rsidRDefault="00575BC3" w:rsidP="003755AB">
            <w:pPr>
              <w:jc w:val="center"/>
            </w:pPr>
            <w:r>
              <w:t>-113 dBm / 200kHz</w:t>
            </w:r>
          </w:p>
        </w:tc>
        <w:tc>
          <w:tcPr>
            <w:tcW w:w="1276" w:type="dxa"/>
          </w:tcPr>
          <w:p w:rsidR="00575BC3" w:rsidRDefault="00575BC3" w:rsidP="003755AB">
            <w:pPr>
              <w:jc w:val="center"/>
            </w:pPr>
            <w:r>
              <w:t>-109 dBm / 3.84MHz</w:t>
            </w:r>
          </w:p>
        </w:tc>
        <w:tc>
          <w:tcPr>
            <w:tcW w:w="1559" w:type="dxa"/>
          </w:tcPr>
          <w:p w:rsidR="00575BC3" w:rsidRDefault="00575BC3" w:rsidP="003755AB">
            <w:pPr>
              <w:jc w:val="center"/>
            </w:pPr>
            <w:r>
              <w:t>-108 dBm / 4.5MHz</w:t>
            </w:r>
          </w:p>
        </w:tc>
        <w:tc>
          <w:tcPr>
            <w:tcW w:w="1560" w:type="dxa"/>
          </w:tcPr>
          <w:p w:rsidR="00575BC3" w:rsidRDefault="00575BC3" w:rsidP="003755AB">
            <w:pPr>
              <w:jc w:val="center"/>
            </w:pPr>
            <w:r>
              <w:t xml:space="preserve">-108dBm / 4.5MHz </w:t>
            </w:r>
          </w:p>
        </w:tc>
        <w:tc>
          <w:tcPr>
            <w:tcW w:w="1417" w:type="dxa"/>
          </w:tcPr>
          <w:p w:rsidR="00575BC3" w:rsidRDefault="00575BC3" w:rsidP="003755AB">
            <w:pPr>
              <w:jc w:val="center"/>
            </w:pPr>
            <w:r>
              <w:t>-109dBm / 3.75MHz</w:t>
            </w:r>
          </w:p>
        </w:tc>
      </w:tr>
      <w:tr w:rsidR="00575BC3" w:rsidTr="003755AB">
        <w:tc>
          <w:tcPr>
            <w:tcW w:w="2093" w:type="dxa"/>
          </w:tcPr>
          <w:p w:rsidR="00575BC3" w:rsidRDefault="00575BC3" w:rsidP="003755AB">
            <w:r>
              <w:t>Max Interferer.  At the receiver</w:t>
            </w:r>
          </w:p>
        </w:tc>
        <w:tc>
          <w:tcPr>
            <w:tcW w:w="1417" w:type="dxa"/>
          </w:tcPr>
          <w:p w:rsidR="00575BC3" w:rsidRDefault="00575BC3" w:rsidP="003755AB">
            <w:pPr>
              <w:jc w:val="center"/>
            </w:pPr>
            <w:r>
              <w:t>-121 dBm / 30kHz</w:t>
            </w:r>
          </w:p>
        </w:tc>
        <w:tc>
          <w:tcPr>
            <w:tcW w:w="1276" w:type="dxa"/>
          </w:tcPr>
          <w:p w:rsidR="00575BC3" w:rsidRDefault="00575BC3" w:rsidP="003755AB">
            <w:pPr>
              <w:jc w:val="center"/>
            </w:pPr>
            <w:r>
              <w:t>-130 dBm / 30kHz</w:t>
            </w:r>
          </w:p>
        </w:tc>
        <w:tc>
          <w:tcPr>
            <w:tcW w:w="1559" w:type="dxa"/>
          </w:tcPr>
          <w:p w:rsidR="00575BC3" w:rsidRDefault="00575BC3" w:rsidP="003755AB">
            <w:pPr>
              <w:jc w:val="center"/>
            </w:pPr>
            <w:r>
              <w:t>-130 dBm / 30kHz</w:t>
            </w:r>
          </w:p>
        </w:tc>
        <w:tc>
          <w:tcPr>
            <w:tcW w:w="1560" w:type="dxa"/>
          </w:tcPr>
          <w:p w:rsidR="00575BC3" w:rsidRDefault="00575BC3" w:rsidP="003755AB">
            <w:pPr>
              <w:jc w:val="center"/>
            </w:pPr>
            <w:r>
              <w:t xml:space="preserve">-130 dBm / 30kHz </w:t>
            </w:r>
          </w:p>
        </w:tc>
        <w:tc>
          <w:tcPr>
            <w:tcW w:w="1417" w:type="dxa"/>
          </w:tcPr>
          <w:p w:rsidR="00575BC3" w:rsidRDefault="00575BC3" w:rsidP="003755AB">
            <w:pPr>
              <w:jc w:val="center"/>
            </w:pPr>
            <w:r>
              <w:t>-130 dBm / 30kHz</w:t>
            </w:r>
          </w:p>
        </w:tc>
      </w:tr>
      <w:tr w:rsidR="00575BC3" w:rsidTr="003755AB">
        <w:tc>
          <w:tcPr>
            <w:tcW w:w="2093" w:type="dxa"/>
          </w:tcPr>
          <w:p w:rsidR="00575BC3" w:rsidRDefault="00575BC3" w:rsidP="003755AB">
            <w:r>
              <w:t>Blocking in-band (/Rx BW)</w:t>
            </w:r>
          </w:p>
        </w:tc>
        <w:tc>
          <w:tcPr>
            <w:tcW w:w="1417" w:type="dxa"/>
          </w:tcPr>
          <w:p w:rsidR="00575BC3" w:rsidRDefault="00575BC3" w:rsidP="003755AB">
            <w:pPr>
              <w:jc w:val="center"/>
            </w:pPr>
            <w:r>
              <w:t>-35 dBm (CW)</w:t>
            </w:r>
          </w:p>
        </w:tc>
        <w:tc>
          <w:tcPr>
            <w:tcW w:w="1276" w:type="dxa"/>
          </w:tcPr>
          <w:p w:rsidR="00575BC3" w:rsidRDefault="00575BC3" w:rsidP="003755AB">
            <w:pPr>
              <w:jc w:val="center"/>
            </w:pPr>
            <w:r>
              <w:t xml:space="preserve"> -40 dBm /3.84 MHz</w:t>
            </w:r>
          </w:p>
        </w:tc>
        <w:tc>
          <w:tcPr>
            <w:tcW w:w="1559" w:type="dxa"/>
          </w:tcPr>
          <w:p w:rsidR="00575BC3" w:rsidRDefault="00575BC3" w:rsidP="003755AB">
            <w:pPr>
              <w:jc w:val="center"/>
            </w:pPr>
            <w:r>
              <w:t xml:space="preserve">  -43 dBm /4.5 MHz</w:t>
            </w:r>
          </w:p>
        </w:tc>
        <w:tc>
          <w:tcPr>
            <w:tcW w:w="1560" w:type="dxa"/>
          </w:tcPr>
          <w:p w:rsidR="00575BC3" w:rsidRDefault="00575BC3" w:rsidP="003755AB">
            <w:pPr>
              <w:jc w:val="center"/>
            </w:pPr>
            <w:r>
              <w:t>-40 dBm    /4.5 MHz</w:t>
            </w:r>
          </w:p>
        </w:tc>
        <w:tc>
          <w:tcPr>
            <w:tcW w:w="1417" w:type="dxa"/>
          </w:tcPr>
          <w:p w:rsidR="00575BC3" w:rsidRDefault="00575BC3" w:rsidP="003755AB">
            <w:pPr>
              <w:jc w:val="center"/>
            </w:pPr>
            <w:r>
              <w:t>-</w:t>
            </w:r>
          </w:p>
        </w:tc>
      </w:tr>
      <w:tr w:rsidR="00575BC3" w:rsidTr="003755AB">
        <w:tc>
          <w:tcPr>
            <w:tcW w:w="2093" w:type="dxa"/>
          </w:tcPr>
          <w:p w:rsidR="00575BC3" w:rsidRDefault="00575BC3" w:rsidP="003755AB">
            <w:r>
              <w:t>Blocking out-of-band (CW)</w:t>
            </w:r>
          </w:p>
        </w:tc>
        <w:tc>
          <w:tcPr>
            <w:tcW w:w="1417" w:type="dxa"/>
          </w:tcPr>
          <w:p w:rsidR="00575BC3" w:rsidRDefault="00575BC3" w:rsidP="003755AB">
            <w:pPr>
              <w:jc w:val="center"/>
            </w:pPr>
            <w:r>
              <w:t>0 dBm</w:t>
            </w:r>
          </w:p>
        </w:tc>
        <w:tc>
          <w:tcPr>
            <w:tcW w:w="1276" w:type="dxa"/>
          </w:tcPr>
          <w:p w:rsidR="00575BC3" w:rsidRDefault="00575BC3" w:rsidP="003755AB">
            <w:pPr>
              <w:jc w:val="center"/>
            </w:pPr>
            <w:r>
              <w:t>-15 dBm</w:t>
            </w:r>
          </w:p>
        </w:tc>
        <w:tc>
          <w:tcPr>
            <w:tcW w:w="1559" w:type="dxa"/>
          </w:tcPr>
          <w:p w:rsidR="00575BC3" w:rsidRDefault="00575BC3" w:rsidP="003755AB">
            <w:pPr>
              <w:jc w:val="center"/>
            </w:pPr>
            <w:r>
              <w:t>-15 dBm</w:t>
            </w:r>
          </w:p>
        </w:tc>
        <w:tc>
          <w:tcPr>
            <w:tcW w:w="1560" w:type="dxa"/>
          </w:tcPr>
          <w:p w:rsidR="00575BC3" w:rsidRDefault="00575BC3" w:rsidP="003755AB">
            <w:pPr>
              <w:jc w:val="center"/>
            </w:pPr>
            <w:r>
              <w:t>-15 dBm</w:t>
            </w:r>
          </w:p>
        </w:tc>
        <w:tc>
          <w:tcPr>
            <w:tcW w:w="1417" w:type="dxa"/>
          </w:tcPr>
          <w:p w:rsidR="00575BC3" w:rsidRDefault="00575BC3" w:rsidP="003755AB">
            <w:pPr>
              <w:jc w:val="center"/>
            </w:pPr>
            <w:r>
              <w:t>-</w:t>
            </w:r>
          </w:p>
        </w:tc>
      </w:tr>
      <w:tr w:rsidR="00575BC3" w:rsidTr="003755AB">
        <w:tc>
          <w:tcPr>
            <w:tcW w:w="2093" w:type="dxa"/>
          </w:tcPr>
          <w:p w:rsidR="00575BC3" w:rsidRDefault="00575BC3" w:rsidP="003755AB">
            <w:r>
              <w:t>ACS @ 5 MHz</w:t>
            </w:r>
          </w:p>
        </w:tc>
        <w:tc>
          <w:tcPr>
            <w:tcW w:w="1417" w:type="dxa"/>
          </w:tcPr>
          <w:p w:rsidR="00575BC3" w:rsidRDefault="00575BC3" w:rsidP="003755AB">
            <w:pPr>
              <w:jc w:val="center"/>
            </w:pPr>
            <w:r>
              <w:t>-</w:t>
            </w:r>
          </w:p>
        </w:tc>
        <w:tc>
          <w:tcPr>
            <w:tcW w:w="1276" w:type="dxa"/>
          </w:tcPr>
          <w:p w:rsidR="00575BC3" w:rsidRDefault="00575BC3" w:rsidP="003755AB">
            <w:pPr>
              <w:jc w:val="center"/>
            </w:pPr>
            <w:r>
              <w:t>46 dB</w:t>
            </w:r>
          </w:p>
        </w:tc>
        <w:tc>
          <w:tcPr>
            <w:tcW w:w="1559" w:type="dxa"/>
          </w:tcPr>
          <w:p w:rsidR="00575BC3" w:rsidRDefault="00575BC3" w:rsidP="003755AB">
            <w:pPr>
              <w:jc w:val="center"/>
            </w:pPr>
            <w:r>
              <w:t>4</w:t>
            </w:r>
            <w:r w:rsidR="00185B2A">
              <w:t>3.5</w:t>
            </w:r>
            <w:r>
              <w:t xml:space="preserve"> dB</w:t>
            </w:r>
            <w:r>
              <w:rPr>
                <w:rStyle w:val="FootnoteReference"/>
              </w:rPr>
              <w:footnoteReference w:id="3"/>
            </w:r>
          </w:p>
        </w:tc>
        <w:tc>
          <w:tcPr>
            <w:tcW w:w="1560" w:type="dxa"/>
          </w:tcPr>
          <w:p w:rsidR="00575BC3" w:rsidRDefault="00575BC3" w:rsidP="003755AB">
            <w:pPr>
              <w:jc w:val="center"/>
            </w:pPr>
            <w:r>
              <w:t>46 dB</w:t>
            </w:r>
          </w:p>
        </w:tc>
        <w:tc>
          <w:tcPr>
            <w:tcW w:w="1417" w:type="dxa"/>
          </w:tcPr>
          <w:p w:rsidR="00575BC3" w:rsidRDefault="00575BC3" w:rsidP="003755AB">
            <w:pPr>
              <w:jc w:val="center"/>
            </w:pPr>
          </w:p>
        </w:tc>
      </w:tr>
      <w:tr w:rsidR="00575BC3" w:rsidTr="003755AB">
        <w:tc>
          <w:tcPr>
            <w:tcW w:w="2093" w:type="dxa"/>
          </w:tcPr>
          <w:p w:rsidR="00575BC3" w:rsidRDefault="00575BC3" w:rsidP="003755AB">
            <w:r>
              <w:t xml:space="preserve">            10 MHz</w:t>
            </w:r>
          </w:p>
        </w:tc>
        <w:tc>
          <w:tcPr>
            <w:tcW w:w="1417" w:type="dxa"/>
          </w:tcPr>
          <w:p w:rsidR="00575BC3" w:rsidRDefault="00575BC3" w:rsidP="003755AB">
            <w:pPr>
              <w:jc w:val="center"/>
            </w:pPr>
            <w:r>
              <w:t>-</w:t>
            </w:r>
          </w:p>
        </w:tc>
        <w:tc>
          <w:tcPr>
            <w:tcW w:w="1276" w:type="dxa"/>
          </w:tcPr>
          <w:p w:rsidR="00575BC3" w:rsidRDefault="00575BC3" w:rsidP="003755AB">
            <w:pPr>
              <w:jc w:val="center"/>
            </w:pPr>
            <w:r>
              <w:t>-</w:t>
            </w:r>
          </w:p>
        </w:tc>
        <w:tc>
          <w:tcPr>
            <w:tcW w:w="1559" w:type="dxa"/>
          </w:tcPr>
          <w:p w:rsidR="00575BC3" w:rsidRDefault="00575BC3" w:rsidP="003755AB">
            <w:pPr>
              <w:jc w:val="center"/>
            </w:pPr>
            <w:r>
              <w:t>-</w:t>
            </w:r>
          </w:p>
        </w:tc>
        <w:tc>
          <w:tcPr>
            <w:tcW w:w="1560" w:type="dxa"/>
          </w:tcPr>
          <w:p w:rsidR="00575BC3" w:rsidRDefault="00575BC3" w:rsidP="003755AB">
            <w:pPr>
              <w:jc w:val="center"/>
            </w:pPr>
            <w:r>
              <w:t>56 dB</w:t>
            </w:r>
          </w:p>
        </w:tc>
        <w:tc>
          <w:tcPr>
            <w:tcW w:w="1417" w:type="dxa"/>
          </w:tcPr>
          <w:p w:rsidR="00575BC3" w:rsidRDefault="00575BC3" w:rsidP="003755AB">
            <w:pPr>
              <w:jc w:val="center"/>
            </w:pPr>
          </w:p>
        </w:tc>
      </w:tr>
      <w:tr w:rsidR="00575BC3" w:rsidTr="003755AB">
        <w:tc>
          <w:tcPr>
            <w:tcW w:w="2093" w:type="dxa"/>
          </w:tcPr>
          <w:p w:rsidR="00575BC3" w:rsidRDefault="00575BC3" w:rsidP="003755AB">
            <w:r>
              <w:t xml:space="preserve">Maximum tolerable </w:t>
            </w:r>
            <w:r>
              <w:lastRenderedPageBreak/>
              <w:t>intermodulation interference level (dBm/30kHz)</w:t>
            </w:r>
            <w:r>
              <w:rPr>
                <w:rStyle w:val="FootnoteReference"/>
              </w:rPr>
              <w:footnoteReference w:id="4"/>
            </w:r>
          </w:p>
        </w:tc>
        <w:tc>
          <w:tcPr>
            <w:tcW w:w="1417" w:type="dxa"/>
          </w:tcPr>
          <w:p w:rsidR="00575BC3" w:rsidRDefault="00575BC3" w:rsidP="003755AB">
            <w:pPr>
              <w:jc w:val="center"/>
            </w:pPr>
            <w:r>
              <w:lastRenderedPageBreak/>
              <w:t xml:space="preserve">-57 dBm @ 700 &amp; </w:t>
            </w:r>
            <w:r>
              <w:lastRenderedPageBreak/>
              <w:t>1500kHz or equivalent offsets</w:t>
            </w:r>
          </w:p>
        </w:tc>
        <w:tc>
          <w:tcPr>
            <w:tcW w:w="1276" w:type="dxa"/>
          </w:tcPr>
          <w:p w:rsidR="00575BC3" w:rsidRDefault="00575BC3" w:rsidP="003755AB">
            <w:pPr>
              <w:jc w:val="center"/>
            </w:pPr>
            <w:r>
              <w:lastRenderedPageBreak/>
              <w:t xml:space="preserve">-69 dBm @ 7.5 &amp; </w:t>
            </w:r>
            <w:r>
              <w:lastRenderedPageBreak/>
              <w:t>17.5 MHz offsets</w:t>
            </w:r>
          </w:p>
        </w:tc>
        <w:tc>
          <w:tcPr>
            <w:tcW w:w="1559" w:type="dxa"/>
          </w:tcPr>
          <w:p w:rsidR="00575BC3" w:rsidRDefault="00575BC3" w:rsidP="003755AB">
            <w:pPr>
              <w:jc w:val="center"/>
            </w:pPr>
            <w:r>
              <w:lastRenderedPageBreak/>
              <w:t xml:space="preserve">-74 dBm starting @ </w:t>
            </w:r>
            <w:r>
              <w:lastRenderedPageBreak/>
              <w:t>offsets of 2.1 MHz</w:t>
            </w:r>
          </w:p>
        </w:tc>
        <w:tc>
          <w:tcPr>
            <w:tcW w:w="1560" w:type="dxa"/>
          </w:tcPr>
          <w:p w:rsidR="00575BC3" w:rsidRDefault="00575BC3" w:rsidP="003755AB">
            <w:pPr>
              <w:jc w:val="center"/>
            </w:pPr>
            <w:r>
              <w:lastRenderedPageBreak/>
              <w:t xml:space="preserve">-70 dBm starting @ </w:t>
            </w:r>
            <w:r>
              <w:lastRenderedPageBreak/>
              <w:t>offsets of 7.5 &amp; 17.5 MHz</w:t>
            </w:r>
          </w:p>
        </w:tc>
        <w:tc>
          <w:tcPr>
            <w:tcW w:w="1417" w:type="dxa"/>
          </w:tcPr>
          <w:p w:rsidR="00575BC3" w:rsidRDefault="00575BC3" w:rsidP="003755AB">
            <w:pPr>
              <w:jc w:val="center"/>
            </w:pPr>
            <w:r>
              <w:lastRenderedPageBreak/>
              <w:t xml:space="preserve">-54 dBm @ 1.25 &amp; 2.5 </w:t>
            </w:r>
            <w:r>
              <w:lastRenderedPageBreak/>
              <w:t>MHz or equivalent offsets</w:t>
            </w:r>
          </w:p>
        </w:tc>
      </w:tr>
    </w:tbl>
    <w:p w:rsidR="00575BC3" w:rsidRDefault="00575BC3" w:rsidP="00575BC3">
      <w:r>
        <w:lastRenderedPageBreak/>
        <w:tab/>
      </w:r>
    </w:p>
    <w:p w:rsidR="00575BC3" w:rsidRDefault="00575BC3" w:rsidP="00575BC3"/>
    <w:p w:rsidR="00575BC3" w:rsidRDefault="00575BC3" w:rsidP="00575BC3">
      <w:r>
        <w:t>Table 5 – user terminal transmitter parameters</w:t>
      </w:r>
    </w:p>
    <w:tbl>
      <w:tblPr>
        <w:tblStyle w:val="TableGrid"/>
        <w:tblW w:w="9322" w:type="dxa"/>
        <w:tblLayout w:type="fixed"/>
        <w:tblLook w:val="04A0"/>
      </w:tblPr>
      <w:tblGrid>
        <w:gridCol w:w="1809"/>
        <w:gridCol w:w="1560"/>
        <w:gridCol w:w="1417"/>
        <w:gridCol w:w="1559"/>
        <w:gridCol w:w="1560"/>
        <w:gridCol w:w="1417"/>
      </w:tblGrid>
      <w:tr w:rsidR="00575BC3" w:rsidTr="003755AB">
        <w:tc>
          <w:tcPr>
            <w:tcW w:w="1809" w:type="dxa"/>
          </w:tcPr>
          <w:p w:rsidR="00575BC3" w:rsidRPr="00B16E61" w:rsidRDefault="00575BC3" w:rsidP="003755AB">
            <w:pPr>
              <w:rPr>
                <w:b/>
              </w:rPr>
            </w:pPr>
            <w:r w:rsidRPr="00EC30EE">
              <w:rPr>
                <w:b/>
              </w:rPr>
              <w:t xml:space="preserve">Transmitter – User Terminal   </w:t>
            </w:r>
          </w:p>
        </w:tc>
        <w:tc>
          <w:tcPr>
            <w:tcW w:w="1560" w:type="dxa"/>
          </w:tcPr>
          <w:p w:rsidR="00575BC3" w:rsidRPr="00B16E61" w:rsidRDefault="00575BC3" w:rsidP="003755AB">
            <w:pPr>
              <w:jc w:val="center"/>
              <w:rPr>
                <w:b/>
              </w:rPr>
            </w:pPr>
            <w:r w:rsidRPr="00EC30EE">
              <w:rPr>
                <w:b/>
              </w:rPr>
              <w:t>GSM</w:t>
            </w:r>
            <w:r w:rsidR="00532081">
              <w:rPr>
                <w:b/>
              </w:rPr>
              <w:t xml:space="preserve"> mobile / GSM-R vehicle</w:t>
            </w:r>
          </w:p>
        </w:tc>
        <w:tc>
          <w:tcPr>
            <w:tcW w:w="1417" w:type="dxa"/>
          </w:tcPr>
          <w:p w:rsidR="00575BC3" w:rsidRPr="00B16E61" w:rsidRDefault="00575BC3" w:rsidP="003755AB">
            <w:pPr>
              <w:jc w:val="center"/>
              <w:rPr>
                <w:b/>
              </w:rPr>
            </w:pPr>
            <w:r w:rsidRPr="00EC30EE">
              <w:rPr>
                <w:b/>
              </w:rPr>
              <w:t>UMTS</w:t>
            </w:r>
          </w:p>
        </w:tc>
        <w:tc>
          <w:tcPr>
            <w:tcW w:w="1559" w:type="dxa"/>
          </w:tcPr>
          <w:p w:rsidR="00575BC3" w:rsidRPr="00B16E61" w:rsidRDefault="00575BC3" w:rsidP="003755AB">
            <w:pPr>
              <w:jc w:val="center"/>
              <w:rPr>
                <w:b/>
              </w:rPr>
            </w:pPr>
            <w:r w:rsidRPr="00EC30EE">
              <w:rPr>
                <w:b/>
              </w:rPr>
              <w:t>LTE</w:t>
            </w:r>
          </w:p>
        </w:tc>
        <w:tc>
          <w:tcPr>
            <w:tcW w:w="1560" w:type="dxa"/>
          </w:tcPr>
          <w:p w:rsidR="00575BC3" w:rsidRPr="00B16E61" w:rsidRDefault="00575BC3" w:rsidP="003755AB">
            <w:pPr>
              <w:jc w:val="center"/>
              <w:rPr>
                <w:b/>
              </w:rPr>
            </w:pPr>
            <w:r w:rsidRPr="00EC30EE">
              <w:rPr>
                <w:b/>
              </w:rPr>
              <w:t>WiMAX</w:t>
            </w:r>
          </w:p>
          <w:p w:rsidR="00575BC3" w:rsidRPr="00B16E61" w:rsidRDefault="00575BC3" w:rsidP="003755AB">
            <w:pPr>
              <w:jc w:val="center"/>
              <w:rPr>
                <w:b/>
              </w:rPr>
            </w:pPr>
            <w:r w:rsidRPr="00EC30EE">
              <w:rPr>
                <w:b/>
              </w:rPr>
              <w:t>(FDD)</w:t>
            </w:r>
          </w:p>
        </w:tc>
        <w:tc>
          <w:tcPr>
            <w:tcW w:w="1417" w:type="dxa"/>
          </w:tcPr>
          <w:p w:rsidR="00575BC3" w:rsidRPr="00B16E61" w:rsidRDefault="00575BC3" w:rsidP="003755AB">
            <w:pPr>
              <w:jc w:val="center"/>
              <w:rPr>
                <w:b/>
              </w:rPr>
            </w:pPr>
            <w:r w:rsidRPr="00EC30EE">
              <w:rPr>
                <w:b/>
              </w:rPr>
              <w:t>MC-CDMA</w:t>
            </w:r>
          </w:p>
        </w:tc>
      </w:tr>
      <w:tr w:rsidR="00575BC3" w:rsidTr="003755AB">
        <w:tc>
          <w:tcPr>
            <w:tcW w:w="1809" w:type="dxa"/>
          </w:tcPr>
          <w:p w:rsidR="00575BC3" w:rsidRDefault="00575BC3" w:rsidP="003755AB">
            <w:r>
              <w:t>Height above ground level</w:t>
            </w:r>
          </w:p>
        </w:tc>
        <w:tc>
          <w:tcPr>
            <w:tcW w:w="1560" w:type="dxa"/>
          </w:tcPr>
          <w:p w:rsidR="00575BC3" w:rsidRDefault="00575BC3" w:rsidP="003755AB">
            <w:pPr>
              <w:jc w:val="center"/>
            </w:pPr>
            <w:r>
              <w:t>1.5m</w:t>
            </w:r>
            <w:r w:rsidR="00532081">
              <w:t xml:space="preserve"> / 4m</w:t>
            </w:r>
          </w:p>
        </w:tc>
        <w:tc>
          <w:tcPr>
            <w:tcW w:w="1417" w:type="dxa"/>
          </w:tcPr>
          <w:p w:rsidR="00575BC3" w:rsidRDefault="00575BC3" w:rsidP="003755AB">
            <w:pPr>
              <w:jc w:val="center"/>
            </w:pPr>
            <w:r w:rsidRPr="004557E8">
              <w:t>1.5m</w:t>
            </w:r>
          </w:p>
        </w:tc>
        <w:tc>
          <w:tcPr>
            <w:tcW w:w="1559" w:type="dxa"/>
          </w:tcPr>
          <w:p w:rsidR="00575BC3" w:rsidRDefault="00575BC3" w:rsidP="003755AB">
            <w:pPr>
              <w:jc w:val="center"/>
            </w:pPr>
            <w:r w:rsidRPr="004557E8">
              <w:t>1.5m</w:t>
            </w:r>
          </w:p>
        </w:tc>
        <w:tc>
          <w:tcPr>
            <w:tcW w:w="1560" w:type="dxa"/>
          </w:tcPr>
          <w:p w:rsidR="00575BC3" w:rsidRDefault="00575BC3" w:rsidP="003755AB">
            <w:pPr>
              <w:jc w:val="center"/>
            </w:pPr>
            <w:r w:rsidRPr="004557E8">
              <w:t>1.5m</w:t>
            </w:r>
          </w:p>
        </w:tc>
        <w:tc>
          <w:tcPr>
            <w:tcW w:w="1417" w:type="dxa"/>
          </w:tcPr>
          <w:p w:rsidR="00575BC3" w:rsidRDefault="00575BC3" w:rsidP="003755AB">
            <w:pPr>
              <w:jc w:val="center"/>
            </w:pPr>
            <w:r w:rsidRPr="004557E8">
              <w:t>1.5m</w:t>
            </w:r>
          </w:p>
        </w:tc>
      </w:tr>
      <w:tr w:rsidR="00575BC3" w:rsidTr="003755AB">
        <w:tc>
          <w:tcPr>
            <w:tcW w:w="1809" w:type="dxa"/>
          </w:tcPr>
          <w:p w:rsidR="00575BC3" w:rsidRDefault="00575BC3" w:rsidP="003755AB">
            <w:r>
              <w:t xml:space="preserve">Tx Power           </w:t>
            </w:r>
          </w:p>
        </w:tc>
        <w:tc>
          <w:tcPr>
            <w:tcW w:w="1560" w:type="dxa"/>
          </w:tcPr>
          <w:p w:rsidR="00575BC3" w:rsidRDefault="00575BC3" w:rsidP="00532081">
            <w:pPr>
              <w:jc w:val="center"/>
            </w:pPr>
            <w:r>
              <w:t xml:space="preserve">30 </w:t>
            </w:r>
            <w:r w:rsidR="00532081">
              <w:t>/ 36 dBm/200kHz</w:t>
            </w:r>
          </w:p>
        </w:tc>
        <w:tc>
          <w:tcPr>
            <w:tcW w:w="1417" w:type="dxa"/>
          </w:tcPr>
          <w:p w:rsidR="00575BC3" w:rsidRDefault="00575BC3" w:rsidP="003755AB">
            <w:pPr>
              <w:jc w:val="center"/>
            </w:pPr>
            <w:r>
              <w:t>21 dBm /3.84MHz</w:t>
            </w:r>
          </w:p>
        </w:tc>
        <w:tc>
          <w:tcPr>
            <w:tcW w:w="1559" w:type="dxa"/>
          </w:tcPr>
          <w:p w:rsidR="00575BC3" w:rsidRDefault="00575BC3" w:rsidP="003755AB">
            <w:pPr>
              <w:jc w:val="center"/>
            </w:pPr>
            <w:r>
              <w:t>23 dBm /4.5MHz</w:t>
            </w:r>
          </w:p>
        </w:tc>
        <w:tc>
          <w:tcPr>
            <w:tcW w:w="1560" w:type="dxa"/>
          </w:tcPr>
          <w:p w:rsidR="00575BC3" w:rsidRDefault="00575BC3" w:rsidP="003755AB">
            <w:pPr>
              <w:jc w:val="center"/>
            </w:pPr>
            <w:r>
              <w:t>23dBm /4.5MHz</w:t>
            </w:r>
          </w:p>
        </w:tc>
        <w:tc>
          <w:tcPr>
            <w:tcW w:w="1417" w:type="dxa"/>
          </w:tcPr>
          <w:p w:rsidR="00575BC3" w:rsidRDefault="00575BC3" w:rsidP="003755AB">
            <w:pPr>
              <w:jc w:val="center"/>
            </w:pPr>
            <w:r>
              <w:t>24 dBm         /3.75MHz</w:t>
            </w:r>
          </w:p>
        </w:tc>
      </w:tr>
      <w:tr w:rsidR="00575BC3" w:rsidTr="003755AB">
        <w:tc>
          <w:tcPr>
            <w:tcW w:w="1809" w:type="dxa"/>
          </w:tcPr>
          <w:p w:rsidR="00575BC3" w:rsidRDefault="00575BC3" w:rsidP="003755AB">
            <w:r>
              <w:t>Antenna Gain</w:t>
            </w:r>
          </w:p>
        </w:tc>
        <w:tc>
          <w:tcPr>
            <w:tcW w:w="1560" w:type="dxa"/>
          </w:tcPr>
          <w:p w:rsidR="00575BC3" w:rsidRDefault="00575BC3" w:rsidP="00532081">
            <w:pPr>
              <w:jc w:val="center"/>
            </w:pPr>
            <w:r>
              <w:t xml:space="preserve">0 </w:t>
            </w:r>
            <w:r w:rsidR="00532081">
              <w:t>/ 6</w:t>
            </w:r>
            <w:r>
              <w:t xml:space="preserve"> dBi</w:t>
            </w:r>
          </w:p>
        </w:tc>
        <w:tc>
          <w:tcPr>
            <w:tcW w:w="1417" w:type="dxa"/>
          </w:tcPr>
          <w:p w:rsidR="00575BC3" w:rsidRDefault="00575BC3" w:rsidP="003755AB">
            <w:pPr>
              <w:jc w:val="center"/>
            </w:pPr>
            <w:r>
              <w:t>0 dBi</w:t>
            </w:r>
          </w:p>
        </w:tc>
        <w:tc>
          <w:tcPr>
            <w:tcW w:w="1559" w:type="dxa"/>
          </w:tcPr>
          <w:p w:rsidR="00575BC3" w:rsidRDefault="00575BC3" w:rsidP="003755AB">
            <w:pPr>
              <w:jc w:val="center"/>
            </w:pPr>
            <w:r>
              <w:t>0 dBi</w:t>
            </w:r>
          </w:p>
        </w:tc>
        <w:tc>
          <w:tcPr>
            <w:tcW w:w="1560" w:type="dxa"/>
          </w:tcPr>
          <w:p w:rsidR="00575BC3" w:rsidRDefault="00575BC3" w:rsidP="003755AB">
            <w:pPr>
              <w:jc w:val="center"/>
            </w:pPr>
            <w:r>
              <w:t>0 dBi</w:t>
            </w:r>
          </w:p>
        </w:tc>
        <w:tc>
          <w:tcPr>
            <w:tcW w:w="1417" w:type="dxa"/>
          </w:tcPr>
          <w:p w:rsidR="00575BC3" w:rsidRDefault="00575BC3" w:rsidP="003755AB">
            <w:pPr>
              <w:jc w:val="center"/>
            </w:pPr>
            <w:r>
              <w:t>0 dBi</w:t>
            </w:r>
          </w:p>
        </w:tc>
      </w:tr>
      <w:tr w:rsidR="00575BC3" w:rsidTr="003755AB">
        <w:tc>
          <w:tcPr>
            <w:tcW w:w="1809" w:type="dxa"/>
          </w:tcPr>
          <w:p w:rsidR="00575BC3" w:rsidRDefault="00575BC3" w:rsidP="003755AB">
            <w:r>
              <w:t>Feeder loss</w:t>
            </w:r>
          </w:p>
        </w:tc>
        <w:tc>
          <w:tcPr>
            <w:tcW w:w="1560" w:type="dxa"/>
          </w:tcPr>
          <w:p w:rsidR="00575BC3" w:rsidRDefault="00575BC3" w:rsidP="00532081">
            <w:pPr>
              <w:jc w:val="center"/>
            </w:pPr>
            <w:r>
              <w:t xml:space="preserve">0 </w:t>
            </w:r>
            <w:r w:rsidR="00532081">
              <w:t>/ 3</w:t>
            </w:r>
            <w:r>
              <w:t xml:space="preserve"> dB </w:t>
            </w:r>
          </w:p>
        </w:tc>
        <w:tc>
          <w:tcPr>
            <w:tcW w:w="1417" w:type="dxa"/>
          </w:tcPr>
          <w:p w:rsidR="00575BC3" w:rsidRDefault="00575BC3" w:rsidP="003755AB">
            <w:pPr>
              <w:jc w:val="center"/>
            </w:pPr>
            <w:r>
              <w:t>0 dB</w:t>
            </w:r>
          </w:p>
        </w:tc>
        <w:tc>
          <w:tcPr>
            <w:tcW w:w="1559" w:type="dxa"/>
          </w:tcPr>
          <w:p w:rsidR="00575BC3" w:rsidRDefault="00575BC3" w:rsidP="003755AB">
            <w:pPr>
              <w:jc w:val="center"/>
            </w:pPr>
            <w:r>
              <w:t>0 dB</w:t>
            </w:r>
          </w:p>
        </w:tc>
        <w:tc>
          <w:tcPr>
            <w:tcW w:w="1560" w:type="dxa"/>
          </w:tcPr>
          <w:p w:rsidR="00575BC3" w:rsidRDefault="00575BC3" w:rsidP="003755AB">
            <w:pPr>
              <w:jc w:val="center"/>
            </w:pPr>
            <w:r>
              <w:t>0 dB</w:t>
            </w:r>
          </w:p>
        </w:tc>
        <w:tc>
          <w:tcPr>
            <w:tcW w:w="1417" w:type="dxa"/>
          </w:tcPr>
          <w:p w:rsidR="00575BC3" w:rsidRDefault="00575BC3" w:rsidP="003755AB">
            <w:pPr>
              <w:jc w:val="center"/>
            </w:pPr>
            <w:r>
              <w:t>0 dB</w:t>
            </w:r>
          </w:p>
        </w:tc>
      </w:tr>
      <w:tr w:rsidR="00575BC3" w:rsidTr="003755AB">
        <w:tc>
          <w:tcPr>
            <w:tcW w:w="1809" w:type="dxa"/>
          </w:tcPr>
          <w:p w:rsidR="00575BC3" w:rsidRDefault="00575BC3" w:rsidP="003755AB">
            <w:r>
              <w:t>Max EIRP</w:t>
            </w:r>
          </w:p>
        </w:tc>
        <w:tc>
          <w:tcPr>
            <w:tcW w:w="1560" w:type="dxa"/>
          </w:tcPr>
          <w:p w:rsidR="00575BC3" w:rsidRDefault="00575BC3" w:rsidP="00532081">
            <w:pPr>
              <w:jc w:val="center"/>
            </w:pPr>
            <w:r>
              <w:t>21.8</w:t>
            </w:r>
            <w:r w:rsidR="00532081">
              <w:t xml:space="preserve"> / 30.8</w:t>
            </w:r>
            <w:r>
              <w:t xml:space="preserve"> dBm/30kHz </w:t>
            </w:r>
          </w:p>
        </w:tc>
        <w:tc>
          <w:tcPr>
            <w:tcW w:w="1417" w:type="dxa"/>
          </w:tcPr>
          <w:p w:rsidR="00575BC3" w:rsidRDefault="00575BC3" w:rsidP="003755AB">
            <w:pPr>
              <w:jc w:val="center"/>
            </w:pPr>
            <w:r>
              <w:t>0 dBm /30kHz</w:t>
            </w:r>
          </w:p>
        </w:tc>
        <w:tc>
          <w:tcPr>
            <w:tcW w:w="1559" w:type="dxa"/>
          </w:tcPr>
          <w:p w:rsidR="00575BC3" w:rsidRDefault="00575BC3" w:rsidP="003755AB">
            <w:pPr>
              <w:jc w:val="center"/>
            </w:pPr>
            <w:r>
              <w:t>1.2 dBm /30kHz</w:t>
            </w:r>
          </w:p>
        </w:tc>
        <w:tc>
          <w:tcPr>
            <w:tcW w:w="1560" w:type="dxa"/>
          </w:tcPr>
          <w:p w:rsidR="00575BC3" w:rsidRDefault="00575BC3" w:rsidP="003755AB">
            <w:pPr>
              <w:jc w:val="center"/>
            </w:pPr>
            <w:r>
              <w:t>1.2dBm /30kHz</w:t>
            </w:r>
          </w:p>
        </w:tc>
        <w:tc>
          <w:tcPr>
            <w:tcW w:w="1417" w:type="dxa"/>
          </w:tcPr>
          <w:p w:rsidR="00575BC3" w:rsidRDefault="00575BC3" w:rsidP="003755AB">
            <w:pPr>
              <w:jc w:val="center"/>
            </w:pPr>
            <w:r>
              <w:t>3 dBm  /30kHz</w:t>
            </w:r>
          </w:p>
        </w:tc>
      </w:tr>
      <w:tr w:rsidR="00575BC3" w:rsidTr="003755AB">
        <w:tc>
          <w:tcPr>
            <w:tcW w:w="1809" w:type="dxa"/>
          </w:tcPr>
          <w:p w:rsidR="00575BC3" w:rsidRDefault="00575BC3" w:rsidP="003755AB">
            <w:r>
              <w:t xml:space="preserve">ACLR@ 5MHz  </w:t>
            </w:r>
          </w:p>
        </w:tc>
        <w:tc>
          <w:tcPr>
            <w:tcW w:w="1560" w:type="dxa"/>
          </w:tcPr>
          <w:p w:rsidR="00575BC3" w:rsidRDefault="00575BC3" w:rsidP="003755AB">
            <w:pPr>
              <w:jc w:val="center"/>
            </w:pPr>
            <w:r>
              <w:t>-</w:t>
            </w:r>
          </w:p>
        </w:tc>
        <w:tc>
          <w:tcPr>
            <w:tcW w:w="1417" w:type="dxa"/>
          </w:tcPr>
          <w:p w:rsidR="00575BC3" w:rsidRDefault="00575BC3" w:rsidP="003755AB">
            <w:pPr>
              <w:jc w:val="center"/>
            </w:pPr>
            <w:r>
              <w:t>33 dB</w:t>
            </w:r>
          </w:p>
        </w:tc>
        <w:tc>
          <w:tcPr>
            <w:tcW w:w="1559" w:type="dxa"/>
          </w:tcPr>
          <w:p w:rsidR="00575BC3" w:rsidRDefault="00575BC3" w:rsidP="003755AB">
            <w:pPr>
              <w:jc w:val="center"/>
            </w:pPr>
            <w:r>
              <w:t>30 dB</w:t>
            </w:r>
          </w:p>
        </w:tc>
        <w:tc>
          <w:tcPr>
            <w:tcW w:w="1560" w:type="dxa"/>
          </w:tcPr>
          <w:p w:rsidR="00575BC3" w:rsidRDefault="00575BC3" w:rsidP="003755AB">
            <w:pPr>
              <w:jc w:val="center"/>
            </w:pPr>
            <w:r>
              <w:t>30 dB</w:t>
            </w:r>
          </w:p>
        </w:tc>
        <w:tc>
          <w:tcPr>
            <w:tcW w:w="1417" w:type="dxa"/>
          </w:tcPr>
          <w:p w:rsidR="00575BC3" w:rsidRDefault="00575BC3" w:rsidP="003755AB">
            <w:pPr>
              <w:jc w:val="center"/>
            </w:pPr>
            <w:r>
              <w:t>33 dB</w:t>
            </w:r>
          </w:p>
        </w:tc>
      </w:tr>
      <w:tr w:rsidR="00575BC3" w:rsidTr="003755AB">
        <w:tc>
          <w:tcPr>
            <w:tcW w:w="1809" w:type="dxa"/>
          </w:tcPr>
          <w:p w:rsidR="00575BC3" w:rsidRDefault="00575BC3" w:rsidP="003755AB">
            <w:r>
              <w:tab/>
              <w:t xml:space="preserve">10 MHz  </w:t>
            </w:r>
          </w:p>
        </w:tc>
        <w:tc>
          <w:tcPr>
            <w:tcW w:w="1560" w:type="dxa"/>
          </w:tcPr>
          <w:p w:rsidR="00575BC3" w:rsidRDefault="00575BC3" w:rsidP="003755AB">
            <w:pPr>
              <w:jc w:val="center"/>
            </w:pPr>
            <w:r>
              <w:t>-</w:t>
            </w:r>
          </w:p>
        </w:tc>
        <w:tc>
          <w:tcPr>
            <w:tcW w:w="1417" w:type="dxa"/>
          </w:tcPr>
          <w:p w:rsidR="00575BC3" w:rsidRDefault="00575BC3" w:rsidP="003755AB">
            <w:pPr>
              <w:jc w:val="center"/>
            </w:pPr>
            <w:r>
              <w:t>43 dB</w:t>
            </w:r>
          </w:p>
        </w:tc>
        <w:tc>
          <w:tcPr>
            <w:tcW w:w="1559" w:type="dxa"/>
          </w:tcPr>
          <w:p w:rsidR="00575BC3" w:rsidRDefault="00575BC3" w:rsidP="003755AB">
            <w:pPr>
              <w:jc w:val="center"/>
            </w:pPr>
            <w:r>
              <w:t>44 dB</w:t>
            </w:r>
          </w:p>
        </w:tc>
        <w:tc>
          <w:tcPr>
            <w:tcW w:w="1560" w:type="dxa"/>
          </w:tcPr>
          <w:p w:rsidR="00575BC3" w:rsidRDefault="00575BC3" w:rsidP="003755AB">
            <w:pPr>
              <w:jc w:val="center"/>
            </w:pPr>
            <w:r>
              <w:t>44 dB</w:t>
            </w:r>
          </w:p>
        </w:tc>
        <w:tc>
          <w:tcPr>
            <w:tcW w:w="1417" w:type="dxa"/>
          </w:tcPr>
          <w:p w:rsidR="00575BC3" w:rsidRDefault="00575BC3" w:rsidP="003755AB">
            <w:pPr>
              <w:jc w:val="center"/>
            </w:pPr>
            <w:r>
              <w:t>43 dB</w:t>
            </w:r>
          </w:p>
        </w:tc>
      </w:tr>
    </w:tbl>
    <w:p w:rsidR="00575BC3" w:rsidRDefault="00575BC3" w:rsidP="00575BC3">
      <w:pPr>
        <w:rPr>
          <w:sz w:val="16"/>
          <w:szCs w:val="16"/>
        </w:rPr>
      </w:pPr>
    </w:p>
    <w:p w:rsidR="00575BC3" w:rsidRPr="00F35562" w:rsidRDefault="00575BC3" w:rsidP="00575BC3">
      <w:r w:rsidRPr="00F35562">
        <w:t>Table</w:t>
      </w:r>
      <w:r>
        <w:t xml:space="preserve"> 6 – user terminal receiver parameters</w:t>
      </w:r>
    </w:p>
    <w:tbl>
      <w:tblPr>
        <w:tblStyle w:val="TableGrid"/>
        <w:tblW w:w="9322" w:type="dxa"/>
        <w:tblLayout w:type="fixed"/>
        <w:tblLook w:val="01E0"/>
      </w:tblPr>
      <w:tblGrid>
        <w:gridCol w:w="1809"/>
        <w:gridCol w:w="1560"/>
        <w:gridCol w:w="1417"/>
        <w:gridCol w:w="1559"/>
        <w:gridCol w:w="1560"/>
        <w:gridCol w:w="1417"/>
      </w:tblGrid>
      <w:tr w:rsidR="00575BC3" w:rsidTr="003755AB">
        <w:trPr>
          <w:tblHeader/>
        </w:trPr>
        <w:tc>
          <w:tcPr>
            <w:tcW w:w="1809" w:type="dxa"/>
          </w:tcPr>
          <w:p w:rsidR="00575BC3" w:rsidRPr="00B16E61" w:rsidRDefault="00575BC3" w:rsidP="003755AB">
            <w:pPr>
              <w:rPr>
                <w:b/>
              </w:rPr>
            </w:pPr>
            <w:r w:rsidRPr="00EC30EE">
              <w:rPr>
                <w:b/>
              </w:rPr>
              <w:t>Receiver –  User Terminal</w:t>
            </w:r>
          </w:p>
        </w:tc>
        <w:tc>
          <w:tcPr>
            <w:tcW w:w="1560" w:type="dxa"/>
          </w:tcPr>
          <w:p w:rsidR="00575BC3" w:rsidRPr="00B16E61" w:rsidRDefault="00575BC3" w:rsidP="003755AB">
            <w:pPr>
              <w:jc w:val="center"/>
              <w:rPr>
                <w:b/>
              </w:rPr>
            </w:pPr>
            <w:r w:rsidRPr="00EC30EE">
              <w:rPr>
                <w:b/>
              </w:rPr>
              <w:t>GSM</w:t>
            </w:r>
          </w:p>
          <w:p w:rsidR="00575BC3" w:rsidRPr="00B16E61" w:rsidRDefault="00575BC3" w:rsidP="003755AB">
            <w:pPr>
              <w:jc w:val="center"/>
              <w:rPr>
                <w:b/>
              </w:rPr>
            </w:pPr>
            <w:r>
              <w:rPr>
                <w:b/>
              </w:rPr>
              <w:t>m</w:t>
            </w:r>
            <w:r w:rsidRPr="00EC30EE">
              <w:rPr>
                <w:b/>
              </w:rPr>
              <w:t>obile / GSM-R vehicle</w:t>
            </w:r>
          </w:p>
        </w:tc>
        <w:tc>
          <w:tcPr>
            <w:tcW w:w="1417" w:type="dxa"/>
          </w:tcPr>
          <w:p w:rsidR="00575BC3" w:rsidRPr="00B16E61" w:rsidRDefault="00575BC3" w:rsidP="003755AB">
            <w:pPr>
              <w:jc w:val="center"/>
              <w:rPr>
                <w:b/>
              </w:rPr>
            </w:pPr>
            <w:r w:rsidRPr="00EC30EE">
              <w:rPr>
                <w:b/>
              </w:rPr>
              <w:t>UMTS</w:t>
            </w:r>
          </w:p>
        </w:tc>
        <w:tc>
          <w:tcPr>
            <w:tcW w:w="1559" w:type="dxa"/>
          </w:tcPr>
          <w:p w:rsidR="00575BC3" w:rsidRPr="00B16E61" w:rsidRDefault="00575BC3" w:rsidP="003755AB">
            <w:pPr>
              <w:jc w:val="center"/>
              <w:rPr>
                <w:b/>
              </w:rPr>
            </w:pPr>
            <w:r w:rsidRPr="00EC30EE">
              <w:rPr>
                <w:b/>
              </w:rPr>
              <w:t>LTE</w:t>
            </w:r>
          </w:p>
        </w:tc>
        <w:tc>
          <w:tcPr>
            <w:tcW w:w="1560" w:type="dxa"/>
          </w:tcPr>
          <w:p w:rsidR="00575BC3" w:rsidRPr="00B16E61" w:rsidRDefault="00575BC3" w:rsidP="003755AB">
            <w:pPr>
              <w:jc w:val="center"/>
              <w:rPr>
                <w:b/>
              </w:rPr>
            </w:pPr>
            <w:r w:rsidRPr="00EC30EE">
              <w:rPr>
                <w:b/>
              </w:rPr>
              <w:t>WiMAX (FDD)</w:t>
            </w:r>
          </w:p>
        </w:tc>
        <w:tc>
          <w:tcPr>
            <w:tcW w:w="1417" w:type="dxa"/>
          </w:tcPr>
          <w:p w:rsidR="00575BC3" w:rsidRPr="00B16E61" w:rsidRDefault="00575BC3" w:rsidP="003755AB">
            <w:pPr>
              <w:jc w:val="center"/>
              <w:rPr>
                <w:b/>
              </w:rPr>
            </w:pPr>
            <w:r w:rsidRPr="00EC30EE">
              <w:rPr>
                <w:b/>
              </w:rPr>
              <w:t>MC-CDMA</w:t>
            </w:r>
          </w:p>
        </w:tc>
      </w:tr>
      <w:tr w:rsidR="00575BC3" w:rsidTr="003755AB">
        <w:tc>
          <w:tcPr>
            <w:tcW w:w="1809" w:type="dxa"/>
          </w:tcPr>
          <w:p w:rsidR="00575BC3" w:rsidRDefault="00575BC3" w:rsidP="003755AB">
            <w:r>
              <w:t xml:space="preserve">Antenna gain (including losses) </w:t>
            </w:r>
          </w:p>
        </w:tc>
        <w:tc>
          <w:tcPr>
            <w:tcW w:w="1560" w:type="dxa"/>
          </w:tcPr>
          <w:p w:rsidR="00575BC3" w:rsidRDefault="00575BC3" w:rsidP="003755AB">
            <w:pPr>
              <w:jc w:val="center"/>
            </w:pPr>
            <w:r>
              <w:t xml:space="preserve">0 / </w:t>
            </w:r>
            <w:r w:rsidR="00532081">
              <w:t>3</w:t>
            </w:r>
            <w:r>
              <w:t xml:space="preserve"> dBi</w:t>
            </w:r>
          </w:p>
        </w:tc>
        <w:tc>
          <w:tcPr>
            <w:tcW w:w="1417" w:type="dxa"/>
          </w:tcPr>
          <w:p w:rsidR="00575BC3" w:rsidRDefault="00575BC3" w:rsidP="003755AB">
            <w:pPr>
              <w:jc w:val="center"/>
            </w:pPr>
            <w:r>
              <w:t>0 dBi</w:t>
            </w:r>
          </w:p>
        </w:tc>
        <w:tc>
          <w:tcPr>
            <w:tcW w:w="1559" w:type="dxa"/>
          </w:tcPr>
          <w:p w:rsidR="00575BC3" w:rsidRDefault="00575BC3" w:rsidP="003755AB">
            <w:pPr>
              <w:jc w:val="center"/>
            </w:pPr>
            <w:r>
              <w:t>0 dBi</w:t>
            </w:r>
          </w:p>
        </w:tc>
        <w:tc>
          <w:tcPr>
            <w:tcW w:w="1560" w:type="dxa"/>
          </w:tcPr>
          <w:p w:rsidR="00575BC3" w:rsidRDefault="00575BC3" w:rsidP="003755AB">
            <w:pPr>
              <w:jc w:val="center"/>
            </w:pPr>
            <w:r>
              <w:t>0 dBi</w:t>
            </w:r>
          </w:p>
        </w:tc>
        <w:tc>
          <w:tcPr>
            <w:tcW w:w="1417" w:type="dxa"/>
          </w:tcPr>
          <w:p w:rsidR="00575BC3" w:rsidRDefault="00575BC3" w:rsidP="003755AB">
            <w:pPr>
              <w:jc w:val="center"/>
            </w:pPr>
            <w:r>
              <w:t>0 dBi</w:t>
            </w:r>
          </w:p>
        </w:tc>
      </w:tr>
      <w:tr w:rsidR="00575BC3" w:rsidTr="003755AB">
        <w:tc>
          <w:tcPr>
            <w:tcW w:w="1809" w:type="dxa"/>
          </w:tcPr>
          <w:p w:rsidR="00575BC3" w:rsidRDefault="00575BC3" w:rsidP="003755AB">
            <w:r>
              <w:t>Receiver sensitivity</w:t>
            </w:r>
          </w:p>
        </w:tc>
        <w:tc>
          <w:tcPr>
            <w:tcW w:w="1560" w:type="dxa"/>
          </w:tcPr>
          <w:p w:rsidR="00575BC3" w:rsidRDefault="00575BC3" w:rsidP="003755AB">
            <w:pPr>
              <w:jc w:val="center"/>
            </w:pPr>
            <w:r>
              <w:t xml:space="preserve">-108 </w:t>
            </w:r>
            <w:r w:rsidR="002D5188">
              <w:t xml:space="preserve">/ -110 </w:t>
            </w:r>
            <w:r>
              <w:t>dBm/30kHz</w:t>
            </w:r>
          </w:p>
        </w:tc>
        <w:tc>
          <w:tcPr>
            <w:tcW w:w="1417" w:type="dxa"/>
          </w:tcPr>
          <w:p w:rsidR="00575BC3" w:rsidRDefault="00575BC3" w:rsidP="003755AB">
            <w:pPr>
              <w:jc w:val="center"/>
            </w:pPr>
            <w:r>
              <w:t>-135 dBm /30kHz</w:t>
            </w:r>
          </w:p>
        </w:tc>
        <w:tc>
          <w:tcPr>
            <w:tcW w:w="1559" w:type="dxa"/>
          </w:tcPr>
          <w:p w:rsidR="00575BC3" w:rsidRDefault="00575BC3" w:rsidP="003755AB">
            <w:pPr>
              <w:jc w:val="center"/>
            </w:pPr>
            <w:r>
              <w:t>-119 dBm /30kHz</w:t>
            </w:r>
          </w:p>
        </w:tc>
        <w:tc>
          <w:tcPr>
            <w:tcW w:w="1560" w:type="dxa"/>
          </w:tcPr>
          <w:p w:rsidR="00575BC3" w:rsidRDefault="00575BC3" w:rsidP="003755AB">
            <w:pPr>
              <w:jc w:val="center"/>
            </w:pPr>
            <w:r>
              <w:t>-120 dBm /30kHz</w:t>
            </w:r>
          </w:p>
        </w:tc>
        <w:tc>
          <w:tcPr>
            <w:tcW w:w="1417" w:type="dxa"/>
          </w:tcPr>
          <w:p w:rsidR="00575BC3" w:rsidRDefault="00575BC3" w:rsidP="003755AB">
            <w:pPr>
              <w:jc w:val="center"/>
            </w:pPr>
            <w:r>
              <w:t>-140 dBm /30kHz</w:t>
            </w:r>
            <w:r>
              <w:rPr>
                <w:rStyle w:val="FootnoteReference"/>
              </w:rPr>
              <w:footnoteReference w:id="5"/>
            </w:r>
          </w:p>
        </w:tc>
      </w:tr>
      <w:tr w:rsidR="00575BC3" w:rsidTr="003755AB">
        <w:tc>
          <w:tcPr>
            <w:tcW w:w="1809" w:type="dxa"/>
          </w:tcPr>
          <w:p w:rsidR="00575BC3" w:rsidRDefault="00575BC3" w:rsidP="003755AB">
            <w:r>
              <w:t>Interference degradation margin</w:t>
            </w:r>
          </w:p>
        </w:tc>
        <w:tc>
          <w:tcPr>
            <w:tcW w:w="1560" w:type="dxa"/>
          </w:tcPr>
          <w:p w:rsidR="00575BC3" w:rsidRPr="004334CB" w:rsidRDefault="00575BC3" w:rsidP="003755AB">
            <w:pPr>
              <w:jc w:val="center"/>
            </w:pPr>
            <w:r>
              <w:t>3 dB</w:t>
            </w:r>
          </w:p>
        </w:tc>
        <w:tc>
          <w:tcPr>
            <w:tcW w:w="1417" w:type="dxa"/>
          </w:tcPr>
          <w:p w:rsidR="00575BC3" w:rsidRDefault="00575BC3" w:rsidP="003755AB">
            <w:pPr>
              <w:jc w:val="center"/>
            </w:pPr>
            <w:r w:rsidRPr="0025587B">
              <w:t>3 dB</w:t>
            </w:r>
          </w:p>
        </w:tc>
        <w:tc>
          <w:tcPr>
            <w:tcW w:w="1559" w:type="dxa"/>
          </w:tcPr>
          <w:p w:rsidR="00575BC3" w:rsidRDefault="00575BC3" w:rsidP="003755AB">
            <w:pPr>
              <w:jc w:val="center"/>
            </w:pPr>
            <w:r w:rsidRPr="0025587B">
              <w:t>3 dB</w:t>
            </w:r>
          </w:p>
        </w:tc>
        <w:tc>
          <w:tcPr>
            <w:tcW w:w="1560" w:type="dxa"/>
          </w:tcPr>
          <w:p w:rsidR="00575BC3" w:rsidRDefault="00575BC3" w:rsidP="003755AB">
            <w:pPr>
              <w:jc w:val="center"/>
            </w:pPr>
            <w:r w:rsidRPr="0025587B">
              <w:t>3 dB</w:t>
            </w:r>
          </w:p>
        </w:tc>
        <w:tc>
          <w:tcPr>
            <w:tcW w:w="1417" w:type="dxa"/>
          </w:tcPr>
          <w:p w:rsidR="00575BC3" w:rsidRDefault="00575BC3" w:rsidP="003755AB">
            <w:pPr>
              <w:jc w:val="center"/>
            </w:pPr>
            <w:r w:rsidRPr="0025587B">
              <w:t>3 dB</w:t>
            </w:r>
          </w:p>
        </w:tc>
      </w:tr>
      <w:tr w:rsidR="00575BC3" w:rsidTr="003755AB">
        <w:tc>
          <w:tcPr>
            <w:tcW w:w="1809" w:type="dxa"/>
          </w:tcPr>
          <w:p w:rsidR="00575BC3" w:rsidRDefault="00575BC3" w:rsidP="003755AB">
            <w:r>
              <w:t>Fade margin (75% of locations)</w:t>
            </w:r>
          </w:p>
        </w:tc>
        <w:tc>
          <w:tcPr>
            <w:tcW w:w="1560" w:type="dxa"/>
          </w:tcPr>
          <w:p w:rsidR="00575BC3" w:rsidRDefault="00575BC3" w:rsidP="003755AB">
            <w:pPr>
              <w:jc w:val="center"/>
            </w:pPr>
            <w:r>
              <w:t>6 dB</w:t>
            </w:r>
          </w:p>
        </w:tc>
        <w:tc>
          <w:tcPr>
            <w:tcW w:w="1417" w:type="dxa"/>
          </w:tcPr>
          <w:p w:rsidR="00575BC3" w:rsidRDefault="00575BC3" w:rsidP="003755AB">
            <w:pPr>
              <w:jc w:val="center"/>
            </w:pPr>
            <w:r w:rsidRPr="00F544AB">
              <w:t>6 dB</w:t>
            </w:r>
          </w:p>
        </w:tc>
        <w:tc>
          <w:tcPr>
            <w:tcW w:w="1559" w:type="dxa"/>
          </w:tcPr>
          <w:p w:rsidR="00575BC3" w:rsidRDefault="00575BC3" w:rsidP="003755AB">
            <w:pPr>
              <w:jc w:val="center"/>
            </w:pPr>
            <w:r w:rsidRPr="00F544AB">
              <w:t>6 dB</w:t>
            </w:r>
          </w:p>
        </w:tc>
        <w:tc>
          <w:tcPr>
            <w:tcW w:w="1560" w:type="dxa"/>
          </w:tcPr>
          <w:p w:rsidR="00575BC3" w:rsidRDefault="00575BC3" w:rsidP="003755AB">
            <w:pPr>
              <w:jc w:val="center"/>
            </w:pPr>
            <w:r w:rsidRPr="00F544AB">
              <w:t>6 dB</w:t>
            </w:r>
          </w:p>
        </w:tc>
        <w:tc>
          <w:tcPr>
            <w:tcW w:w="1417" w:type="dxa"/>
          </w:tcPr>
          <w:p w:rsidR="00575BC3" w:rsidRDefault="00575BC3" w:rsidP="003755AB">
            <w:pPr>
              <w:jc w:val="center"/>
            </w:pPr>
            <w:r w:rsidRPr="00F544AB">
              <w:t>6 dB</w:t>
            </w:r>
          </w:p>
        </w:tc>
      </w:tr>
      <w:tr w:rsidR="00575BC3" w:rsidTr="003755AB">
        <w:tc>
          <w:tcPr>
            <w:tcW w:w="1809" w:type="dxa"/>
          </w:tcPr>
          <w:p w:rsidR="00575BC3" w:rsidRDefault="00575BC3" w:rsidP="003755AB">
            <w:r>
              <w:t>Body loss</w:t>
            </w:r>
          </w:p>
        </w:tc>
        <w:tc>
          <w:tcPr>
            <w:tcW w:w="1560" w:type="dxa"/>
          </w:tcPr>
          <w:p w:rsidR="00575BC3" w:rsidRDefault="00575BC3" w:rsidP="003755AB">
            <w:pPr>
              <w:jc w:val="center"/>
            </w:pPr>
            <w:r>
              <w:t>3 / 0 dB</w:t>
            </w:r>
          </w:p>
        </w:tc>
        <w:tc>
          <w:tcPr>
            <w:tcW w:w="1417" w:type="dxa"/>
          </w:tcPr>
          <w:p w:rsidR="00575BC3" w:rsidRPr="00F544AB" w:rsidRDefault="00575BC3" w:rsidP="003755AB">
            <w:pPr>
              <w:jc w:val="center"/>
            </w:pPr>
            <w:r>
              <w:t>0 dB</w:t>
            </w:r>
            <w:r>
              <w:rPr>
                <w:rStyle w:val="FootnoteReference"/>
              </w:rPr>
              <w:footnoteReference w:id="6"/>
            </w:r>
          </w:p>
        </w:tc>
        <w:tc>
          <w:tcPr>
            <w:tcW w:w="1559" w:type="dxa"/>
          </w:tcPr>
          <w:p w:rsidR="00575BC3" w:rsidRPr="00B16359" w:rsidRDefault="00575BC3" w:rsidP="003755AB">
            <w:pPr>
              <w:jc w:val="center"/>
              <w:rPr>
                <w:vertAlign w:val="superscript"/>
              </w:rPr>
            </w:pPr>
            <w:r>
              <w:t>0 dB</w:t>
            </w:r>
            <w:r w:rsidRPr="00776291">
              <w:rPr>
                <w:vertAlign w:val="superscript"/>
              </w:rPr>
              <w:t>6</w:t>
            </w:r>
          </w:p>
        </w:tc>
        <w:tc>
          <w:tcPr>
            <w:tcW w:w="1560" w:type="dxa"/>
          </w:tcPr>
          <w:p w:rsidR="00575BC3" w:rsidRPr="00B16359" w:rsidRDefault="00575BC3" w:rsidP="003755AB">
            <w:pPr>
              <w:jc w:val="center"/>
              <w:rPr>
                <w:vertAlign w:val="superscript"/>
              </w:rPr>
            </w:pPr>
            <w:r>
              <w:t>0 dB</w:t>
            </w:r>
            <w:r w:rsidRPr="00776291">
              <w:rPr>
                <w:vertAlign w:val="superscript"/>
              </w:rPr>
              <w:t>6</w:t>
            </w:r>
          </w:p>
        </w:tc>
        <w:tc>
          <w:tcPr>
            <w:tcW w:w="1417" w:type="dxa"/>
          </w:tcPr>
          <w:p w:rsidR="00575BC3" w:rsidRPr="00B16359" w:rsidRDefault="00575BC3" w:rsidP="003755AB">
            <w:pPr>
              <w:jc w:val="center"/>
              <w:rPr>
                <w:vertAlign w:val="superscript"/>
              </w:rPr>
            </w:pPr>
            <w:r>
              <w:t>0 dB</w:t>
            </w:r>
            <w:r w:rsidRPr="00776291">
              <w:rPr>
                <w:vertAlign w:val="superscript"/>
              </w:rPr>
              <w:t>6</w:t>
            </w:r>
          </w:p>
        </w:tc>
      </w:tr>
      <w:tr w:rsidR="00575BC3" w:rsidTr="003755AB">
        <w:tc>
          <w:tcPr>
            <w:tcW w:w="1809" w:type="dxa"/>
          </w:tcPr>
          <w:p w:rsidR="00575BC3" w:rsidRDefault="00575BC3" w:rsidP="003755AB">
            <w:r>
              <w:t>Min. wanted level</w:t>
            </w:r>
            <w:r w:rsidR="006B181B">
              <w:t xml:space="preserve"> at receiver</w:t>
            </w:r>
          </w:p>
        </w:tc>
        <w:tc>
          <w:tcPr>
            <w:tcW w:w="1560" w:type="dxa"/>
          </w:tcPr>
          <w:p w:rsidR="00575BC3" w:rsidRDefault="00575BC3" w:rsidP="0086453C">
            <w:pPr>
              <w:jc w:val="center"/>
            </w:pPr>
            <w:r>
              <w:t>-96 / -</w:t>
            </w:r>
            <w:r w:rsidR="0086453C">
              <w:t>101</w:t>
            </w:r>
            <w:r>
              <w:t xml:space="preserve"> dBm/30kHz</w:t>
            </w:r>
          </w:p>
        </w:tc>
        <w:tc>
          <w:tcPr>
            <w:tcW w:w="1417" w:type="dxa"/>
          </w:tcPr>
          <w:p w:rsidR="00575BC3" w:rsidRPr="00F544AB" w:rsidRDefault="00575BC3" w:rsidP="003755AB">
            <w:pPr>
              <w:jc w:val="center"/>
            </w:pPr>
            <w:r>
              <w:t xml:space="preserve">-126 dBm/30kHz </w:t>
            </w:r>
          </w:p>
        </w:tc>
        <w:tc>
          <w:tcPr>
            <w:tcW w:w="1559" w:type="dxa"/>
          </w:tcPr>
          <w:p w:rsidR="00575BC3" w:rsidRPr="00F544AB" w:rsidRDefault="00575BC3" w:rsidP="003755AB">
            <w:pPr>
              <w:jc w:val="center"/>
            </w:pPr>
            <w:r>
              <w:t xml:space="preserve">-110 dBm/30kHz </w:t>
            </w:r>
          </w:p>
        </w:tc>
        <w:tc>
          <w:tcPr>
            <w:tcW w:w="1560" w:type="dxa"/>
          </w:tcPr>
          <w:p w:rsidR="00575BC3" w:rsidRPr="00F544AB" w:rsidRDefault="00575BC3" w:rsidP="003755AB">
            <w:pPr>
              <w:jc w:val="center"/>
            </w:pPr>
            <w:r>
              <w:t xml:space="preserve">-111 dBm/30kHz </w:t>
            </w:r>
          </w:p>
        </w:tc>
        <w:tc>
          <w:tcPr>
            <w:tcW w:w="1417" w:type="dxa"/>
          </w:tcPr>
          <w:p w:rsidR="00575BC3" w:rsidRPr="00F544AB" w:rsidRDefault="00575BC3" w:rsidP="003755AB">
            <w:pPr>
              <w:jc w:val="center"/>
            </w:pPr>
            <w:r>
              <w:t>-131 dBm/30kHz</w:t>
            </w:r>
          </w:p>
        </w:tc>
      </w:tr>
      <w:tr w:rsidR="00575BC3" w:rsidTr="003755AB">
        <w:tc>
          <w:tcPr>
            <w:tcW w:w="1809" w:type="dxa"/>
          </w:tcPr>
          <w:p w:rsidR="00575BC3" w:rsidRDefault="00575BC3" w:rsidP="003755AB">
            <w:r>
              <w:t>Receiver noise floor (</w:t>
            </w:r>
            <w:proofErr w:type="spellStart"/>
            <w:r>
              <w:t>kTB</w:t>
            </w:r>
            <w:proofErr w:type="spellEnd"/>
            <w:r>
              <w:t xml:space="preserve"> + 9 dB noise figure)</w:t>
            </w:r>
          </w:p>
        </w:tc>
        <w:tc>
          <w:tcPr>
            <w:tcW w:w="1560" w:type="dxa"/>
          </w:tcPr>
          <w:p w:rsidR="00575BC3" w:rsidRDefault="00575BC3" w:rsidP="003755AB">
            <w:pPr>
              <w:jc w:val="center"/>
            </w:pPr>
            <w:r>
              <w:t>-112 dBm/200kHz</w:t>
            </w:r>
          </w:p>
        </w:tc>
        <w:tc>
          <w:tcPr>
            <w:tcW w:w="1417" w:type="dxa"/>
          </w:tcPr>
          <w:p w:rsidR="00575BC3" w:rsidRDefault="00575BC3" w:rsidP="003755AB">
            <w:pPr>
              <w:jc w:val="center"/>
            </w:pPr>
            <w:r>
              <w:t>-99 dBm/3.84 MHz</w:t>
            </w:r>
          </w:p>
        </w:tc>
        <w:tc>
          <w:tcPr>
            <w:tcW w:w="1559" w:type="dxa"/>
          </w:tcPr>
          <w:p w:rsidR="00575BC3" w:rsidRDefault="00575BC3" w:rsidP="003755AB">
            <w:pPr>
              <w:jc w:val="center"/>
            </w:pPr>
            <w:r>
              <w:t>-98 dBm/4.5 MHz</w:t>
            </w:r>
          </w:p>
        </w:tc>
        <w:tc>
          <w:tcPr>
            <w:tcW w:w="1560" w:type="dxa"/>
          </w:tcPr>
          <w:p w:rsidR="00575BC3" w:rsidRDefault="00575BC3" w:rsidP="003755AB">
            <w:pPr>
              <w:jc w:val="center"/>
            </w:pPr>
            <w:r>
              <w:t>-98 dBm/4.5 MHz</w:t>
            </w:r>
          </w:p>
        </w:tc>
        <w:tc>
          <w:tcPr>
            <w:tcW w:w="1417" w:type="dxa"/>
          </w:tcPr>
          <w:p w:rsidR="00575BC3" w:rsidRDefault="00575BC3" w:rsidP="003755AB">
            <w:pPr>
              <w:jc w:val="center"/>
            </w:pPr>
            <w:r>
              <w:t>-99 dBm/3.75 MHz</w:t>
            </w:r>
          </w:p>
        </w:tc>
      </w:tr>
      <w:tr w:rsidR="00575BC3" w:rsidTr="00C52A88">
        <w:trPr>
          <w:trHeight w:val="70"/>
        </w:trPr>
        <w:tc>
          <w:tcPr>
            <w:tcW w:w="1809" w:type="dxa"/>
          </w:tcPr>
          <w:p w:rsidR="00575BC3" w:rsidRDefault="00575BC3" w:rsidP="003755AB">
            <w:r>
              <w:lastRenderedPageBreak/>
              <w:t>Required I/N</w:t>
            </w:r>
          </w:p>
        </w:tc>
        <w:tc>
          <w:tcPr>
            <w:tcW w:w="1560" w:type="dxa"/>
          </w:tcPr>
          <w:p w:rsidR="00575BC3" w:rsidRDefault="00575BC3" w:rsidP="003755AB">
            <w:pPr>
              <w:jc w:val="center"/>
            </w:pPr>
            <w:r>
              <w:t>C/I = 9 dB</w:t>
            </w:r>
          </w:p>
        </w:tc>
        <w:tc>
          <w:tcPr>
            <w:tcW w:w="1417" w:type="dxa"/>
          </w:tcPr>
          <w:p w:rsidR="00575BC3" w:rsidRDefault="00575BC3" w:rsidP="003755AB">
            <w:pPr>
              <w:jc w:val="center"/>
            </w:pPr>
            <w:r>
              <w:t>-6 dB</w:t>
            </w:r>
          </w:p>
        </w:tc>
        <w:tc>
          <w:tcPr>
            <w:tcW w:w="1559" w:type="dxa"/>
          </w:tcPr>
          <w:p w:rsidR="00575BC3" w:rsidRDefault="00575BC3" w:rsidP="003755AB">
            <w:pPr>
              <w:jc w:val="center"/>
            </w:pPr>
            <w:r>
              <w:t>-6 dB</w:t>
            </w:r>
          </w:p>
        </w:tc>
        <w:tc>
          <w:tcPr>
            <w:tcW w:w="1560" w:type="dxa"/>
          </w:tcPr>
          <w:p w:rsidR="00575BC3" w:rsidRDefault="00575BC3" w:rsidP="003755AB">
            <w:pPr>
              <w:jc w:val="center"/>
            </w:pPr>
            <w:r>
              <w:t>-6 dB</w:t>
            </w:r>
          </w:p>
        </w:tc>
        <w:tc>
          <w:tcPr>
            <w:tcW w:w="1417" w:type="dxa"/>
          </w:tcPr>
          <w:p w:rsidR="00575BC3" w:rsidRDefault="00575BC3" w:rsidP="003755AB">
            <w:pPr>
              <w:jc w:val="center"/>
            </w:pPr>
            <w:r>
              <w:t>-6 dB</w:t>
            </w:r>
          </w:p>
        </w:tc>
      </w:tr>
      <w:tr w:rsidR="00575BC3" w:rsidTr="003755AB">
        <w:tc>
          <w:tcPr>
            <w:tcW w:w="1809" w:type="dxa"/>
          </w:tcPr>
          <w:p w:rsidR="00575BC3" w:rsidRDefault="00575BC3" w:rsidP="00A35282">
            <w:r>
              <w:t>Interference threshold</w:t>
            </w:r>
            <w:r w:rsidR="002E3621">
              <w:t xml:space="preserve"> at receive antenna</w:t>
            </w:r>
          </w:p>
        </w:tc>
        <w:tc>
          <w:tcPr>
            <w:tcW w:w="1560" w:type="dxa"/>
          </w:tcPr>
          <w:p w:rsidR="00575BC3" w:rsidRDefault="00575BC3" w:rsidP="0086453C">
            <w:pPr>
              <w:jc w:val="center"/>
            </w:pPr>
            <w:r>
              <w:t>-105 / -1</w:t>
            </w:r>
            <w:r w:rsidR="0086453C">
              <w:t>13</w:t>
            </w:r>
            <w:r>
              <w:t xml:space="preserve"> dBm/30kHz</w:t>
            </w:r>
          </w:p>
        </w:tc>
        <w:tc>
          <w:tcPr>
            <w:tcW w:w="1417" w:type="dxa"/>
          </w:tcPr>
          <w:p w:rsidR="00575BC3" w:rsidRDefault="00575BC3" w:rsidP="003755AB">
            <w:pPr>
              <w:jc w:val="center"/>
            </w:pPr>
            <w:r>
              <w:t>-126 dBm/30kHz</w:t>
            </w:r>
          </w:p>
        </w:tc>
        <w:tc>
          <w:tcPr>
            <w:tcW w:w="1559" w:type="dxa"/>
          </w:tcPr>
          <w:p w:rsidR="00575BC3" w:rsidRDefault="00575BC3" w:rsidP="003755AB">
            <w:pPr>
              <w:jc w:val="center"/>
            </w:pPr>
            <w:r>
              <w:t>-126 dBm/30kHz</w:t>
            </w:r>
          </w:p>
        </w:tc>
        <w:tc>
          <w:tcPr>
            <w:tcW w:w="1560" w:type="dxa"/>
          </w:tcPr>
          <w:p w:rsidR="00575BC3" w:rsidRDefault="00575BC3" w:rsidP="003755AB">
            <w:pPr>
              <w:jc w:val="center"/>
            </w:pPr>
            <w:r>
              <w:t>-126 dBm/30kHz</w:t>
            </w:r>
          </w:p>
        </w:tc>
        <w:tc>
          <w:tcPr>
            <w:tcW w:w="1417" w:type="dxa"/>
          </w:tcPr>
          <w:p w:rsidR="00575BC3" w:rsidRDefault="00575BC3" w:rsidP="003755AB">
            <w:pPr>
              <w:jc w:val="center"/>
            </w:pPr>
            <w:r>
              <w:t>-126 dBm/30kHz</w:t>
            </w:r>
          </w:p>
        </w:tc>
      </w:tr>
    </w:tbl>
    <w:p w:rsidR="00575BC3" w:rsidRDefault="00575BC3" w:rsidP="00575BC3">
      <w:pPr>
        <w:rPr>
          <w:sz w:val="16"/>
          <w:szCs w:val="16"/>
        </w:rPr>
      </w:pPr>
    </w:p>
    <w:p w:rsidR="00575BC3" w:rsidRDefault="00575BC3" w:rsidP="00575BC3">
      <w:pPr>
        <w:pStyle w:val="Heading2"/>
      </w:pPr>
      <w:r>
        <w:t>4.</w:t>
      </w:r>
      <w:r>
        <w:tab/>
        <w:t>Propagation Modelling</w:t>
      </w:r>
    </w:p>
    <w:p w:rsidR="00575BC3" w:rsidRDefault="00575BC3" w:rsidP="00575BC3">
      <w:pPr>
        <w:spacing w:after="60"/>
      </w:pPr>
      <w:r>
        <w:t>The propagation model chosen for the technical framework appears in the Section 145 Determination as part of the device boundary criterion.  The propagation model selected for the technical framework needs to be:</w:t>
      </w:r>
    </w:p>
    <w:p w:rsidR="00575BC3" w:rsidRDefault="00575BC3" w:rsidP="00575BC3">
      <w:pPr>
        <w:numPr>
          <w:ilvl w:val="0"/>
          <w:numId w:val="3"/>
        </w:numPr>
      </w:pPr>
      <w:r>
        <w:t>suitable for FDD systems (e.g. antenna height range);</w:t>
      </w:r>
    </w:p>
    <w:p w:rsidR="00575BC3" w:rsidRDefault="00575BC3" w:rsidP="00575BC3">
      <w:pPr>
        <w:numPr>
          <w:ilvl w:val="0"/>
          <w:numId w:val="3"/>
        </w:numPr>
      </w:pPr>
      <w:r>
        <w:t>a generic model that does not require detailed information on terrain or land usage;</w:t>
      </w:r>
    </w:p>
    <w:p w:rsidR="00575BC3" w:rsidRDefault="00575BC3" w:rsidP="00575BC3">
      <w:pPr>
        <w:numPr>
          <w:ilvl w:val="0"/>
          <w:numId w:val="3"/>
        </w:numPr>
      </w:pPr>
      <w:r>
        <w:t xml:space="preserve">not too complex and can be easily repeated with certainty; and </w:t>
      </w:r>
    </w:p>
    <w:p w:rsidR="00575BC3" w:rsidRDefault="00575BC3" w:rsidP="00575BC3">
      <w:pPr>
        <w:numPr>
          <w:ilvl w:val="0"/>
          <w:numId w:val="3"/>
        </w:numPr>
      </w:pPr>
      <w:proofErr w:type="gramStart"/>
      <w:r>
        <w:t>suitable</w:t>
      </w:r>
      <w:proofErr w:type="gramEnd"/>
      <w:r>
        <w:t xml:space="preserve"> for use in the 1800 MHz band.</w:t>
      </w:r>
    </w:p>
    <w:p w:rsidR="00575BC3" w:rsidRDefault="00575BC3" w:rsidP="00575BC3">
      <w:pPr>
        <w:ind w:left="360"/>
      </w:pPr>
    </w:p>
    <w:p w:rsidR="00575BC3" w:rsidRDefault="00575BC3" w:rsidP="00575BC3">
      <w:r>
        <w:t xml:space="preserve">The propagation model does not need to be suitable for the detailed planning of services, and licensees are free to use any model for their own planning needs.  The selected propagation model will be the basis of the device boundary criterion on which the ACMA may decide to reject the registration of a transmitter to be operated under the spectrum licence. </w:t>
      </w:r>
    </w:p>
    <w:p w:rsidR="00575BC3" w:rsidRDefault="00575BC3" w:rsidP="00575BC3"/>
    <w:p w:rsidR="00575BC3" w:rsidRDefault="00575BC3" w:rsidP="00575BC3">
      <w:pPr>
        <w:pStyle w:val="Heading3"/>
      </w:pPr>
      <w:r>
        <w:t>4.1</w:t>
      </w:r>
      <w:r>
        <w:tab/>
      </w:r>
      <w:bookmarkStart w:id="2" w:name="OLE_LINK2"/>
      <w:r>
        <w:t>Propagation Modelling used in the Current DBC</w:t>
      </w:r>
    </w:p>
    <w:p w:rsidR="00575BC3" w:rsidRDefault="00575BC3" w:rsidP="00575BC3">
      <w:r>
        <w:t xml:space="preserve">Figure 2 provides a comparison of the current DBC propagation model with other recognised propagation models. The models all assume a frequency of 1840 MHz and antenna heights of 30m for base stations and 1.5 for mobile stations. </w:t>
      </w:r>
    </w:p>
    <w:p w:rsidR="00575BC3" w:rsidRDefault="00575BC3" w:rsidP="00575BC3"/>
    <w:p w:rsidR="00575BC3" w:rsidRDefault="00575BC3" w:rsidP="00575BC3">
      <w:r>
        <w:t>To make the comparison with the other propagation models the current 1800 MHz DBC has been converted to a path loss by subtracting the current L</w:t>
      </w:r>
      <w:r w:rsidR="00AF34B9">
        <w:t>evel of Protection (L</w:t>
      </w:r>
      <w:r>
        <w:t>OP</w:t>
      </w:r>
      <w:r w:rsidR="00AF34B9">
        <w:t>)</w:t>
      </w:r>
      <w:r>
        <w:t xml:space="preserve"> of -122 dBm/30kHz from the DBC formula. The Scaling Parameter has also been set to zero to model the interference level at the boundary.</w:t>
      </w:r>
    </w:p>
    <w:p w:rsidR="00575BC3" w:rsidRDefault="00575BC3" w:rsidP="00575BC3"/>
    <w:p w:rsidR="00575BC3" w:rsidRDefault="00575BC3" w:rsidP="00575BC3">
      <w:pPr>
        <w:sectPr w:rsidR="00575BC3">
          <w:footerReference w:type="default" r:id="rId11"/>
          <w:pgSz w:w="11906" w:h="16838"/>
          <w:pgMar w:top="1440" w:right="1474" w:bottom="1440" w:left="1474" w:header="709" w:footer="709" w:gutter="0"/>
          <w:pgNumType w:start="1"/>
          <w:cols w:space="708"/>
          <w:docGrid w:linePitch="360"/>
        </w:sectPr>
      </w:pPr>
      <w:r>
        <w:t>For comparison purposes, Figure 2 also includes a modified Okumura field strength curve for an effective antenna height of 30 metres. This curve was taken from Figure 41(d) (for frequency of 1500 MHz) of the Okumura paper</w:t>
      </w:r>
      <w:r>
        <w:rPr>
          <w:rStyle w:val="FootnoteReference"/>
        </w:rPr>
        <w:footnoteReference w:id="7"/>
      </w:r>
      <w:r>
        <w:t xml:space="preserve"> and converted to a received power level using the conversion formula in ITU-R Recommendation P.525. The path loss was determined assuming a transmitter ERP of 60 dBm (1 kW). The path loss was also modified for a frequency of 1840 MHz by adding 2.3 dB.</w:t>
      </w:r>
      <w:r>
        <w:rPr>
          <w:rStyle w:val="FootnoteReference"/>
        </w:rPr>
        <w:footnoteReference w:id="8"/>
      </w:r>
      <w:r>
        <w:t xml:space="preserve"> </w:t>
      </w:r>
    </w:p>
    <w:p w:rsidR="00575BC3" w:rsidRDefault="00575BC3" w:rsidP="00575BC3"/>
    <w:p w:rsidR="00575BC3" w:rsidRDefault="00575BC3" w:rsidP="00575BC3">
      <w:pPr>
        <w:jc w:val="center"/>
      </w:pPr>
      <w:r>
        <w:t>Figure 2 – Propagation Model Comparison</w:t>
      </w:r>
    </w:p>
    <w:p w:rsidR="00575BC3" w:rsidRDefault="00575BC3" w:rsidP="00575BC3">
      <w:r>
        <w:rPr>
          <w:noProof/>
        </w:rPr>
        <w:drawing>
          <wp:inline distT="0" distB="0" distL="0" distR="0">
            <wp:extent cx="8858250" cy="486727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8858250" cy="4867275"/>
                    </a:xfrm>
                    <a:prstGeom prst="rect">
                      <a:avLst/>
                    </a:prstGeom>
                    <a:noFill/>
                    <a:ln w="9525">
                      <a:noFill/>
                      <a:miter lim="800000"/>
                      <a:headEnd/>
                      <a:tailEnd/>
                    </a:ln>
                  </pic:spPr>
                </pic:pic>
              </a:graphicData>
            </a:graphic>
          </wp:inline>
        </w:drawing>
      </w:r>
    </w:p>
    <w:p w:rsidR="00575BC3" w:rsidRDefault="00575BC3" w:rsidP="00575BC3"/>
    <w:p w:rsidR="00575BC3" w:rsidRDefault="00575BC3" w:rsidP="00575BC3"/>
    <w:p w:rsidR="00575BC3" w:rsidRDefault="00575BC3" w:rsidP="00575BC3">
      <w:pPr>
        <w:sectPr w:rsidR="00575BC3" w:rsidSect="00673FFF">
          <w:footerReference w:type="default" r:id="rId13"/>
          <w:pgSz w:w="16838" w:h="11906" w:orient="landscape"/>
          <w:pgMar w:top="1474" w:right="1440" w:bottom="1474" w:left="1440" w:header="709" w:footer="709" w:gutter="0"/>
          <w:pgNumType w:start="0"/>
          <w:cols w:space="708"/>
          <w:docGrid w:linePitch="360"/>
        </w:sectPr>
      </w:pPr>
    </w:p>
    <w:p w:rsidR="00575BC3" w:rsidRDefault="00575BC3" w:rsidP="00575BC3">
      <w:r>
        <w:lastRenderedPageBreak/>
        <w:t xml:space="preserve">As shown in Figure 2, the current 1800 MHz band DBC matches the original </w:t>
      </w:r>
      <w:proofErr w:type="spellStart"/>
      <w:r>
        <w:t>Hata</w:t>
      </w:r>
      <w:proofErr w:type="spellEnd"/>
      <w:r>
        <w:rPr>
          <w:rStyle w:val="FootnoteReference"/>
        </w:rPr>
        <w:footnoteReference w:id="9"/>
      </w:r>
      <w:r>
        <w:t xml:space="preserve"> urban model for distances less than 20km. A</w:t>
      </w:r>
      <w:r w:rsidRPr="006D0993">
        <w:t xml:space="preserve">s the original </w:t>
      </w:r>
      <w:proofErr w:type="spellStart"/>
      <w:r w:rsidRPr="006D0993">
        <w:t>Hata</w:t>
      </w:r>
      <w:proofErr w:type="spellEnd"/>
      <w:r w:rsidRPr="006D0993">
        <w:t xml:space="preserve"> model is not applicable for greater distances</w:t>
      </w:r>
      <w:r>
        <w:t>,</w:t>
      </w:r>
      <w:r w:rsidRPr="006D0993">
        <w:t xml:space="preserve"> </w:t>
      </w:r>
      <w:r>
        <w:t>f</w:t>
      </w:r>
      <w:r w:rsidRPr="006D0993">
        <w:t>or</w:t>
      </w:r>
      <w:r w:rsidRPr="00562403">
        <w:t xml:space="preserve"> distances greater than 20km, the </w:t>
      </w:r>
      <w:r w:rsidRPr="006D0993">
        <w:t xml:space="preserve">formula </w:t>
      </w:r>
      <w:r w:rsidRPr="00562403">
        <w:t>used</w:t>
      </w:r>
      <w:r w:rsidRPr="006D0993">
        <w:t xml:space="preserve"> match</w:t>
      </w:r>
      <w:r w:rsidRPr="00562403">
        <w:t>es</w:t>
      </w:r>
      <w:r w:rsidRPr="006D0993">
        <w:t xml:space="preserve"> the original Okumura field strength curves.</w:t>
      </w:r>
    </w:p>
    <w:p w:rsidR="00575BC3" w:rsidRPr="00655B27" w:rsidRDefault="00575BC3" w:rsidP="00575BC3"/>
    <w:p w:rsidR="00575BC3" w:rsidRPr="00EC7856" w:rsidRDefault="00575BC3" w:rsidP="00575BC3">
      <w:pPr>
        <w:pStyle w:val="Heading3"/>
      </w:pPr>
      <w:r>
        <w:t>4.2</w:t>
      </w:r>
      <w:r>
        <w:tab/>
      </w:r>
      <w:r w:rsidRPr="00EC7856">
        <w:t xml:space="preserve">Proposed </w:t>
      </w:r>
      <w:r>
        <w:t xml:space="preserve">Propagation </w:t>
      </w:r>
      <w:r w:rsidR="002323B1">
        <w:t>M</w:t>
      </w:r>
      <w:r>
        <w:t xml:space="preserve">odel </w:t>
      </w:r>
    </w:p>
    <w:p w:rsidR="00575BC3" w:rsidRDefault="00575BC3" w:rsidP="00575BC3">
      <w:r>
        <w:t xml:space="preserve">The proposed propagation model for the updated framework is based on the modified </w:t>
      </w:r>
      <w:proofErr w:type="spellStart"/>
      <w:r>
        <w:t>Hata</w:t>
      </w:r>
      <w:proofErr w:type="spellEnd"/>
      <w:r>
        <w:t xml:space="preserve"> - Urban model as detailed in ERC Report 68 (Feb 2000</w:t>
      </w:r>
      <w:r w:rsidRPr="00DC760D">
        <w:t>).</w:t>
      </w:r>
      <w:r w:rsidRPr="00DC760D">
        <w:rPr>
          <w:rStyle w:val="FootnoteReference"/>
        </w:rPr>
        <w:footnoteReference w:id="10"/>
      </w:r>
      <w:bookmarkEnd w:id="2"/>
      <w:r>
        <w:t xml:space="preserve"> This model is widely used by the International Telecommunication Union Radiocommunications sector (ITU-R) for high site-to-low site propagation modelling in various VHF and UHF sharing studies.</w:t>
      </w:r>
    </w:p>
    <w:p w:rsidR="00575BC3" w:rsidRDefault="00575BC3" w:rsidP="00575BC3"/>
    <w:p w:rsidR="00575BC3" w:rsidRDefault="00575BC3" w:rsidP="00575BC3">
      <w:r>
        <w:t xml:space="preserve">The </w:t>
      </w:r>
      <w:proofErr w:type="spellStart"/>
      <w:r>
        <w:t>Hata</w:t>
      </w:r>
      <w:proofErr w:type="spellEnd"/>
      <w:r>
        <w:t xml:space="preserve"> model is an empirical model (based on measurements) and provides a good measure of the effects of building clutter and antenna height effects in urban/suburban areas.  While typically associated with mobile applications it is also applicable for fixed paths.  The model is recommended for antenna height of 200 metres, and provides acceptable results for antenna heights of 500 metres.</w:t>
      </w:r>
    </w:p>
    <w:p w:rsidR="00575BC3" w:rsidRDefault="00575BC3" w:rsidP="00575BC3"/>
    <w:p w:rsidR="00575BC3" w:rsidRDefault="00575BC3" w:rsidP="00575BC3"/>
    <w:p w:rsidR="00575BC3" w:rsidRDefault="00575BC3" w:rsidP="00575BC3">
      <w:pPr>
        <w:pStyle w:val="Heading2"/>
      </w:pPr>
      <w:r>
        <w:t>5.</w:t>
      </w:r>
      <w:r>
        <w:tab/>
        <w:t>Level of Protection (LOP)</w:t>
      </w:r>
    </w:p>
    <w:p w:rsidR="00575BC3" w:rsidRDefault="00575BC3" w:rsidP="00575BC3">
      <w:pPr>
        <w:ind w:right="27"/>
      </w:pPr>
      <w:r>
        <w:t xml:space="preserve">The Level of Protection (LOP) is the benchmark protection level given to receivers from co-channel emissions from transmitters operating in adjacent geographic licence areas.  This benchmark level is also necessary for the calculation of the device boundary criterion </w:t>
      </w:r>
      <w:r w:rsidR="005630CA">
        <w:t xml:space="preserve">which is </w:t>
      </w:r>
      <w:r>
        <w:t xml:space="preserve">used to determine if a transmitter is likely to cause unacceptable interference </w:t>
      </w:r>
      <w:r w:rsidR="002323B1">
        <w:t>prior to the ACMA registering</w:t>
      </w:r>
      <w:r w:rsidR="00D2494D">
        <w:t xml:space="preserve"> </w:t>
      </w:r>
      <w:r w:rsidR="003D1ABD">
        <w:t>a transmitter</w:t>
      </w:r>
      <w:r w:rsidR="00D2494D">
        <w:t xml:space="preserve"> </w:t>
      </w:r>
      <w:r w:rsidR="003D1ABD">
        <w:t>and therefore limits</w:t>
      </w:r>
      <w:r>
        <w:t xml:space="preserve"> emissions over the geographic boundaries of the licence.  </w:t>
      </w:r>
    </w:p>
    <w:p w:rsidR="00575BC3" w:rsidRDefault="00575BC3" w:rsidP="00575BC3">
      <w:pPr>
        <w:ind w:right="27"/>
      </w:pPr>
    </w:p>
    <w:p w:rsidR="00575BC3" w:rsidRDefault="00575BC3" w:rsidP="00575BC3">
      <w:pPr>
        <w:ind w:right="27"/>
      </w:pPr>
      <w:r>
        <w:t>The LOP in the spectrum licence technical framework is typically based on factors including the receiver sensitivity, the system noise floors, protection ratios, margins and allowances. FDD system arrangements make the interference path a high site to low site or a low site to high site propagation path.  This type of propagation path has higher losses compared to near free space high site to high site paths.  This reduces the necessary separation distance from the interference source.</w:t>
      </w:r>
    </w:p>
    <w:p w:rsidR="00575BC3" w:rsidRDefault="00575BC3" w:rsidP="00575BC3">
      <w:pPr>
        <w:ind w:right="27"/>
      </w:pPr>
    </w:p>
    <w:p w:rsidR="00575BC3" w:rsidRDefault="00575BC3" w:rsidP="00575BC3">
      <w:pPr>
        <w:ind w:right="27"/>
      </w:pPr>
      <w:r>
        <w:t xml:space="preserve">  </w:t>
      </w:r>
    </w:p>
    <w:p w:rsidR="00575BC3" w:rsidRDefault="00575BC3" w:rsidP="00575BC3">
      <w:pPr>
        <w:ind w:right="27"/>
        <w:rPr>
          <w:b/>
        </w:rPr>
      </w:pPr>
      <w:r>
        <w:rPr>
          <w:b/>
        </w:rPr>
        <w:t>The Protection This Level of Protection Does Not Provide</w:t>
      </w:r>
    </w:p>
    <w:p w:rsidR="00575BC3" w:rsidRDefault="00575BC3" w:rsidP="00575BC3">
      <w:pPr>
        <w:ind w:right="27"/>
      </w:pPr>
      <w:r>
        <w:t xml:space="preserve">It should be noted that this Level of Protection does not apply to emissions from devices operating in frequency adjacent spectrum licences in the same geographic area. Guidance and protection requirements to manage out-of-band interference are contained in the Section 262 Advisory Guidelines, and will be discussed further in </w:t>
      </w:r>
      <w:r w:rsidRPr="001113AE">
        <w:t>discussion paper 3.</w:t>
      </w:r>
      <w:r>
        <w:t xml:space="preserve"> It is also noted that spectrum licensees are also required to manage out-of-band interference that arises from devices being located within 200 metres of each other.</w:t>
      </w:r>
    </w:p>
    <w:p w:rsidR="00575BC3" w:rsidRDefault="00575BC3" w:rsidP="00575BC3">
      <w:pPr>
        <w:ind w:right="27"/>
      </w:pPr>
      <w:r>
        <w:t xml:space="preserve"> </w:t>
      </w:r>
    </w:p>
    <w:p w:rsidR="00575BC3" w:rsidRDefault="00575BC3" w:rsidP="00575BC3">
      <w:pPr>
        <w:pStyle w:val="Heading3"/>
      </w:pPr>
      <w:r>
        <w:lastRenderedPageBreak/>
        <w:t>5.1</w:t>
      </w:r>
      <w:r>
        <w:tab/>
        <w:t>Current Level of Protection</w:t>
      </w:r>
    </w:p>
    <w:p w:rsidR="00575BC3" w:rsidRDefault="00575BC3" w:rsidP="00575BC3">
      <w:r>
        <w:t>The current LOP is based on the required protection for the technology or technologies expected to be used in the band. In the 1800 MHz band the current LOP is based on a mobile GSM receiver and is set at -122.2 dBm/30kHz (converted from -113 dBm/250 kHz). The current LOP is calculated as follows:</w:t>
      </w:r>
    </w:p>
    <w:p w:rsidR="00575BC3" w:rsidRDefault="00575BC3" w:rsidP="00575BC3"/>
    <w:p w:rsidR="00575BC3" w:rsidRDefault="00575BC3" w:rsidP="00575BC3">
      <w:r>
        <w:t>Table 7 – calculation of the current LOP value</w:t>
      </w:r>
    </w:p>
    <w:tbl>
      <w:tblPr>
        <w:tblStyle w:val="TableGrid"/>
        <w:tblW w:w="0" w:type="auto"/>
        <w:jc w:val="center"/>
        <w:tblLook w:val="04A0"/>
      </w:tblPr>
      <w:tblGrid>
        <w:gridCol w:w="3124"/>
        <w:gridCol w:w="2255"/>
        <w:gridCol w:w="2145"/>
      </w:tblGrid>
      <w:tr w:rsidR="00575BC3" w:rsidTr="003755AB">
        <w:trPr>
          <w:jc w:val="center"/>
        </w:trPr>
        <w:tc>
          <w:tcPr>
            <w:tcW w:w="3124" w:type="dxa"/>
          </w:tcPr>
          <w:p w:rsidR="00575BC3" w:rsidRPr="00B9328E" w:rsidRDefault="00575BC3" w:rsidP="003755AB">
            <w:pPr>
              <w:rPr>
                <w:b/>
              </w:rPr>
            </w:pPr>
            <w:r w:rsidRPr="00EC30EE">
              <w:rPr>
                <w:b/>
              </w:rPr>
              <w:t>Parameter</w:t>
            </w:r>
          </w:p>
        </w:tc>
        <w:tc>
          <w:tcPr>
            <w:tcW w:w="2255" w:type="dxa"/>
          </w:tcPr>
          <w:p w:rsidR="00575BC3" w:rsidRPr="00B9328E" w:rsidRDefault="00575BC3" w:rsidP="003755AB">
            <w:pPr>
              <w:rPr>
                <w:b/>
              </w:rPr>
            </w:pPr>
            <w:r w:rsidRPr="00EC30EE">
              <w:rPr>
                <w:b/>
              </w:rPr>
              <w:t>Value</w:t>
            </w:r>
          </w:p>
        </w:tc>
        <w:tc>
          <w:tcPr>
            <w:tcW w:w="2145" w:type="dxa"/>
          </w:tcPr>
          <w:p w:rsidR="00575BC3" w:rsidRDefault="00575BC3" w:rsidP="003755AB"/>
        </w:tc>
      </w:tr>
      <w:tr w:rsidR="00575BC3" w:rsidTr="003755AB">
        <w:trPr>
          <w:jc w:val="center"/>
        </w:trPr>
        <w:tc>
          <w:tcPr>
            <w:tcW w:w="3124" w:type="dxa"/>
          </w:tcPr>
          <w:p w:rsidR="00575BC3" w:rsidRDefault="00575BC3" w:rsidP="003755AB">
            <w:r>
              <w:t>Receiver sensitivity (in a slow fade environment)</w:t>
            </w:r>
          </w:p>
        </w:tc>
        <w:tc>
          <w:tcPr>
            <w:tcW w:w="2255" w:type="dxa"/>
          </w:tcPr>
          <w:p w:rsidR="00575BC3" w:rsidRDefault="00575BC3" w:rsidP="003755AB">
            <w:r>
              <w:t>-98 dBm/250kHz</w:t>
            </w:r>
          </w:p>
        </w:tc>
        <w:tc>
          <w:tcPr>
            <w:tcW w:w="2145" w:type="dxa"/>
          </w:tcPr>
          <w:p w:rsidR="00575BC3" w:rsidRDefault="00575BC3" w:rsidP="003755AB">
            <w:r>
              <w:t>A</w:t>
            </w:r>
          </w:p>
        </w:tc>
      </w:tr>
      <w:tr w:rsidR="00575BC3" w:rsidTr="003755AB">
        <w:trPr>
          <w:jc w:val="center"/>
        </w:trPr>
        <w:tc>
          <w:tcPr>
            <w:tcW w:w="3124" w:type="dxa"/>
          </w:tcPr>
          <w:p w:rsidR="00575BC3" w:rsidRDefault="00575BC3" w:rsidP="003755AB">
            <w:r>
              <w:t>Interference degradation margin</w:t>
            </w:r>
          </w:p>
        </w:tc>
        <w:tc>
          <w:tcPr>
            <w:tcW w:w="2255" w:type="dxa"/>
          </w:tcPr>
          <w:p w:rsidR="00575BC3" w:rsidRDefault="00575BC3" w:rsidP="003755AB">
            <w:r>
              <w:t>4 dB</w:t>
            </w:r>
          </w:p>
        </w:tc>
        <w:tc>
          <w:tcPr>
            <w:tcW w:w="2145" w:type="dxa"/>
          </w:tcPr>
          <w:p w:rsidR="00575BC3" w:rsidRDefault="00575BC3" w:rsidP="003755AB">
            <w:r>
              <w:t>B</w:t>
            </w:r>
          </w:p>
        </w:tc>
      </w:tr>
      <w:tr w:rsidR="00575BC3" w:rsidTr="003755AB">
        <w:trPr>
          <w:jc w:val="center"/>
        </w:trPr>
        <w:tc>
          <w:tcPr>
            <w:tcW w:w="3124" w:type="dxa"/>
          </w:tcPr>
          <w:p w:rsidR="00575BC3" w:rsidRDefault="00575BC3" w:rsidP="003755AB">
            <w:r>
              <w:t>Reliability Margin (75% of locations)</w:t>
            </w:r>
          </w:p>
        </w:tc>
        <w:tc>
          <w:tcPr>
            <w:tcW w:w="2255" w:type="dxa"/>
          </w:tcPr>
          <w:p w:rsidR="00575BC3" w:rsidRDefault="00575BC3" w:rsidP="003755AB">
            <w:r>
              <w:t>8 dB</w:t>
            </w:r>
          </w:p>
        </w:tc>
        <w:tc>
          <w:tcPr>
            <w:tcW w:w="2145" w:type="dxa"/>
          </w:tcPr>
          <w:p w:rsidR="00575BC3" w:rsidRDefault="00575BC3" w:rsidP="003755AB">
            <w:r>
              <w:t>C</w:t>
            </w:r>
          </w:p>
        </w:tc>
      </w:tr>
      <w:tr w:rsidR="00575BC3" w:rsidTr="003755AB">
        <w:trPr>
          <w:jc w:val="center"/>
        </w:trPr>
        <w:tc>
          <w:tcPr>
            <w:tcW w:w="3124" w:type="dxa"/>
          </w:tcPr>
          <w:p w:rsidR="00575BC3" w:rsidRDefault="00575BC3" w:rsidP="003755AB">
            <w:r>
              <w:t>Antenna/body loss</w:t>
            </w:r>
          </w:p>
        </w:tc>
        <w:tc>
          <w:tcPr>
            <w:tcW w:w="2255" w:type="dxa"/>
          </w:tcPr>
          <w:p w:rsidR="00575BC3" w:rsidRDefault="00575BC3" w:rsidP="003755AB">
            <w:r>
              <w:t>3 dB</w:t>
            </w:r>
          </w:p>
        </w:tc>
        <w:tc>
          <w:tcPr>
            <w:tcW w:w="2145" w:type="dxa"/>
          </w:tcPr>
          <w:p w:rsidR="00575BC3" w:rsidRDefault="00575BC3" w:rsidP="003755AB">
            <w:r>
              <w:t>D</w:t>
            </w:r>
          </w:p>
        </w:tc>
      </w:tr>
      <w:tr w:rsidR="00575BC3" w:rsidTr="003755AB">
        <w:trPr>
          <w:jc w:val="center"/>
        </w:trPr>
        <w:tc>
          <w:tcPr>
            <w:tcW w:w="3124" w:type="dxa"/>
          </w:tcPr>
          <w:p w:rsidR="00575BC3" w:rsidRDefault="00575BC3" w:rsidP="003755AB">
            <w:r>
              <w:t>Mobile station wanted level</w:t>
            </w:r>
          </w:p>
        </w:tc>
        <w:tc>
          <w:tcPr>
            <w:tcW w:w="2255" w:type="dxa"/>
          </w:tcPr>
          <w:p w:rsidR="00575BC3" w:rsidRDefault="00575BC3" w:rsidP="003755AB">
            <w:r>
              <w:t>-83 dBm/250kHz</w:t>
            </w:r>
          </w:p>
        </w:tc>
        <w:tc>
          <w:tcPr>
            <w:tcW w:w="2145" w:type="dxa"/>
          </w:tcPr>
          <w:p w:rsidR="00575BC3" w:rsidRDefault="00575BC3" w:rsidP="003755AB">
            <w:r>
              <w:t>E = A+B+C+D</w:t>
            </w:r>
          </w:p>
        </w:tc>
      </w:tr>
      <w:tr w:rsidR="00575BC3" w:rsidTr="003755AB">
        <w:trPr>
          <w:jc w:val="center"/>
        </w:trPr>
        <w:tc>
          <w:tcPr>
            <w:tcW w:w="3124" w:type="dxa"/>
          </w:tcPr>
          <w:p w:rsidR="00575BC3" w:rsidRDefault="00575BC3" w:rsidP="003755AB">
            <w:r>
              <w:t>Protection ratio (C/I)</w:t>
            </w:r>
          </w:p>
        </w:tc>
        <w:tc>
          <w:tcPr>
            <w:tcW w:w="2255" w:type="dxa"/>
          </w:tcPr>
          <w:p w:rsidR="00575BC3" w:rsidRDefault="00575BC3" w:rsidP="003755AB">
            <w:r>
              <w:t>13 dB</w:t>
            </w:r>
          </w:p>
        </w:tc>
        <w:tc>
          <w:tcPr>
            <w:tcW w:w="2145" w:type="dxa"/>
          </w:tcPr>
          <w:p w:rsidR="00575BC3" w:rsidRDefault="00575BC3" w:rsidP="003755AB">
            <w:r>
              <w:t>F</w:t>
            </w:r>
          </w:p>
        </w:tc>
      </w:tr>
      <w:tr w:rsidR="00575BC3" w:rsidTr="003755AB">
        <w:trPr>
          <w:jc w:val="center"/>
        </w:trPr>
        <w:tc>
          <w:tcPr>
            <w:tcW w:w="3124" w:type="dxa"/>
          </w:tcPr>
          <w:p w:rsidR="00575BC3" w:rsidRDefault="00575BC3" w:rsidP="003755AB">
            <w:r>
              <w:t>Correction factor on the interference path (for 95% of the time)</w:t>
            </w:r>
          </w:p>
        </w:tc>
        <w:tc>
          <w:tcPr>
            <w:tcW w:w="2255" w:type="dxa"/>
          </w:tcPr>
          <w:p w:rsidR="00575BC3" w:rsidRDefault="00575BC3" w:rsidP="003755AB">
            <w:r>
              <w:t>17 dB</w:t>
            </w:r>
          </w:p>
        </w:tc>
        <w:tc>
          <w:tcPr>
            <w:tcW w:w="2145" w:type="dxa"/>
          </w:tcPr>
          <w:p w:rsidR="00575BC3" w:rsidRDefault="00575BC3" w:rsidP="003755AB">
            <w:r>
              <w:t>G</w:t>
            </w:r>
          </w:p>
        </w:tc>
      </w:tr>
      <w:tr w:rsidR="00575BC3" w:rsidTr="003755AB">
        <w:trPr>
          <w:jc w:val="center"/>
        </w:trPr>
        <w:tc>
          <w:tcPr>
            <w:tcW w:w="3124" w:type="dxa"/>
          </w:tcPr>
          <w:p w:rsidR="00575BC3" w:rsidRDefault="00575BC3" w:rsidP="003755AB">
            <w:r>
              <w:t>LOP</w:t>
            </w:r>
          </w:p>
        </w:tc>
        <w:tc>
          <w:tcPr>
            <w:tcW w:w="2255" w:type="dxa"/>
          </w:tcPr>
          <w:p w:rsidR="00575BC3" w:rsidRDefault="00575BC3" w:rsidP="003755AB">
            <w:r>
              <w:t>-113 dBm/250kHz</w:t>
            </w:r>
          </w:p>
          <w:p w:rsidR="00575BC3" w:rsidRDefault="00575BC3" w:rsidP="003755AB">
            <w:r>
              <w:t>(-122.2 dBm/30kHz)</w:t>
            </w:r>
          </w:p>
        </w:tc>
        <w:tc>
          <w:tcPr>
            <w:tcW w:w="2145" w:type="dxa"/>
          </w:tcPr>
          <w:p w:rsidR="00575BC3" w:rsidRDefault="00575BC3" w:rsidP="003755AB">
            <w:r>
              <w:t>E-F-G</w:t>
            </w:r>
          </w:p>
        </w:tc>
      </w:tr>
    </w:tbl>
    <w:p w:rsidR="00575BC3" w:rsidRDefault="00575BC3" w:rsidP="00575BC3"/>
    <w:p w:rsidR="00575BC3" w:rsidRDefault="00575BC3" w:rsidP="00575BC3">
      <w:pPr>
        <w:pStyle w:val="Heading3"/>
      </w:pPr>
      <w:r>
        <w:t>5.2</w:t>
      </w:r>
      <w:r>
        <w:tab/>
      </w:r>
      <w:r w:rsidRPr="00EC7856">
        <w:t xml:space="preserve">Proposed </w:t>
      </w:r>
      <w:r>
        <w:t xml:space="preserve">Level of Protection  </w:t>
      </w:r>
    </w:p>
    <w:p w:rsidR="00575BC3" w:rsidRDefault="00575BC3" w:rsidP="00575BC3">
      <w:r>
        <w:t xml:space="preserve">The intention of the proposed LOP is to reduce transmitter deployment restrictions by allowing transmitters to be located closer to the licence boundary. This is achieved through identifying a compromise between the level of emissions over the boundary and the anticipated protection requirements of receivers. </w:t>
      </w:r>
    </w:p>
    <w:p w:rsidR="00575BC3" w:rsidRDefault="00575BC3" w:rsidP="00575BC3"/>
    <w:p w:rsidR="00575BC3" w:rsidRDefault="00575BC3" w:rsidP="00575BC3">
      <w:r>
        <w:t xml:space="preserve">The proposed LOP is specified at the licence boundary and is developed considering the interference requirements of the reference technologies, as well as the necessary separation distances to meet these requirements. It is intended that the proposed LOP at the boundary is sufficient to ensure that there is adequate  separation between base stations and the boundary to manage co-existence of adjacent area services after considering all potential interference paths. </w:t>
      </w:r>
    </w:p>
    <w:p w:rsidR="00575BC3" w:rsidRDefault="00575BC3" w:rsidP="00575BC3"/>
    <w:p w:rsidR="00575BC3" w:rsidRDefault="00575BC3" w:rsidP="00575BC3">
      <w:r>
        <w:t xml:space="preserve">For FDD system the interference paths at the area boundary are between base stations and mobile stations. The necessary separation distance between area adjacent services can be determined after analysing each interference path and calculating the required minimum path loss. As this band is expected to be used by existing and future GSM technologies as well as IMT technologies, it is necessary to consider how these different technologies will co-exist across the geographical boundary. </w:t>
      </w:r>
    </w:p>
    <w:p w:rsidR="00575BC3" w:rsidRDefault="00575BC3" w:rsidP="00575BC3"/>
    <w:p w:rsidR="00575BC3" w:rsidRDefault="00575BC3" w:rsidP="00575BC3">
      <w:r>
        <w:t xml:space="preserve">Table 8 below details the required path loss and separation distance (using the modified </w:t>
      </w:r>
      <w:proofErr w:type="spellStart"/>
      <w:r>
        <w:t>Hata</w:t>
      </w:r>
      <w:proofErr w:type="spellEnd"/>
      <w:r>
        <w:t xml:space="preserve"> – Urban propagation model) for all interference paths across the licence boundary, and includes the notional EIRP and protection requirements for GSM and IMT technologies as detailed in Section 3.2.</w:t>
      </w:r>
    </w:p>
    <w:p w:rsidR="00575BC3" w:rsidRDefault="00575BC3" w:rsidP="00575BC3"/>
    <w:p w:rsidR="00575BC3" w:rsidRDefault="00575BC3" w:rsidP="00575BC3"/>
    <w:p w:rsidR="00575BC3" w:rsidRDefault="00575BC3" w:rsidP="00575BC3">
      <w:r>
        <w:lastRenderedPageBreak/>
        <w:t xml:space="preserve">Table 8 – Minimum coupling losses required for co-existence across the licence boundary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3"/>
        <w:gridCol w:w="1833"/>
        <w:gridCol w:w="1832"/>
        <w:gridCol w:w="1833"/>
        <w:gridCol w:w="1833"/>
      </w:tblGrid>
      <w:tr w:rsidR="00575BC3" w:rsidTr="003755AB">
        <w:tc>
          <w:tcPr>
            <w:tcW w:w="1843" w:type="dxa"/>
          </w:tcPr>
          <w:p w:rsidR="00575BC3" w:rsidRDefault="00575BC3" w:rsidP="003755AB"/>
        </w:tc>
        <w:tc>
          <w:tcPr>
            <w:tcW w:w="1833" w:type="dxa"/>
          </w:tcPr>
          <w:p w:rsidR="00575BC3" w:rsidRPr="001113AE" w:rsidRDefault="00575BC3" w:rsidP="003755AB">
            <w:pPr>
              <w:rPr>
                <w:b/>
              </w:rPr>
            </w:pPr>
            <w:r w:rsidRPr="001113AE">
              <w:rPr>
                <w:b/>
              </w:rPr>
              <w:t>GSM BS to IMT MS</w:t>
            </w:r>
          </w:p>
        </w:tc>
        <w:tc>
          <w:tcPr>
            <w:tcW w:w="1832" w:type="dxa"/>
          </w:tcPr>
          <w:p w:rsidR="00575BC3" w:rsidRPr="001113AE" w:rsidRDefault="00575BC3" w:rsidP="003755AB">
            <w:pPr>
              <w:rPr>
                <w:b/>
              </w:rPr>
            </w:pPr>
            <w:r w:rsidRPr="001113AE">
              <w:rPr>
                <w:b/>
              </w:rPr>
              <w:t>IMT BS to GSM MS</w:t>
            </w:r>
          </w:p>
        </w:tc>
        <w:tc>
          <w:tcPr>
            <w:tcW w:w="1833" w:type="dxa"/>
          </w:tcPr>
          <w:p w:rsidR="00575BC3" w:rsidRPr="001113AE" w:rsidRDefault="00575BC3" w:rsidP="003755AB">
            <w:pPr>
              <w:rPr>
                <w:b/>
              </w:rPr>
            </w:pPr>
            <w:r w:rsidRPr="001113AE">
              <w:rPr>
                <w:b/>
              </w:rPr>
              <w:t>GSM MS to IMT BS</w:t>
            </w:r>
          </w:p>
        </w:tc>
        <w:tc>
          <w:tcPr>
            <w:tcW w:w="1833" w:type="dxa"/>
          </w:tcPr>
          <w:p w:rsidR="00575BC3" w:rsidRPr="001113AE" w:rsidRDefault="00575BC3" w:rsidP="003755AB">
            <w:pPr>
              <w:rPr>
                <w:b/>
              </w:rPr>
            </w:pPr>
            <w:r w:rsidRPr="001113AE">
              <w:rPr>
                <w:b/>
              </w:rPr>
              <w:t>IMT MS to GSM BS</w:t>
            </w:r>
          </w:p>
        </w:tc>
      </w:tr>
      <w:tr w:rsidR="00575BC3" w:rsidTr="003755AB">
        <w:tc>
          <w:tcPr>
            <w:tcW w:w="1843" w:type="dxa"/>
          </w:tcPr>
          <w:p w:rsidR="00575BC3" w:rsidRPr="001113AE" w:rsidRDefault="00575BC3" w:rsidP="003755AB">
            <w:pPr>
              <w:rPr>
                <w:b/>
              </w:rPr>
            </w:pPr>
            <w:r w:rsidRPr="001113AE">
              <w:rPr>
                <w:b/>
              </w:rPr>
              <w:t>EIRP dBm/30kHz</w:t>
            </w:r>
          </w:p>
        </w:tc>
        <w:tc>
          <w:tcPr>
            <w:tcW w:w="1833" w:type="dxa"/>
          </w:tcPr>
          <w:p w:rsidR="00575BC3" w:rsidRDefault="00575BC3" w:rsidP="003755AB">
            <w:r>
              <w:t>50</w:t>
            </w:r>
          </w:p>
        </w:tc>
        <w:tc>
          <w:tcPr>
            <w:tcW w:w="1832" w:type="dxa"/>
          </w:tcPr>
          <w:p w:rsidR="00575BC3" w:rsidRDefault="00575BC3" w:rsidP="003755AB">
            <w:r>
              <w:t>36</w:t>
            </w:r>
          </w:p>
        </w:tc>
        <w:tc>
          <w:tcPr>
            <w:tcW w:w="1833" w:type="dxa"/>
          </w:tcPr>
          <w:p w:rsidR="00575BC3" w:rsidRDefault="00575BC3" w:rsidP="003755AB">
            <w:r>
              <w:t>22</w:t>
            </w:r>
          </w:p>
        </w:tc>
        <w:tc>
          <w:tcPr>
            <w:tcW w:w="1833" w:type="dxa"/>
          </w:tcPr>
          <w:p w:rsidR="00575BC3" w:rsidRDefault="00575BC3" w:rsidP="003755AB">
            <w:r>
              <w:t>3</w:t>
            </w:r>
          </w:p>
        </w:tc>
      </w:tr>
      <w:tr w:rsidR="00575BC3" w:rsidTr="003755AB">
        <w:tc>
          <w:tcPr>
            <w:tcW w:w="1843" w:type="dxa"/>
          </w:tcPr>
          <w:p w:rsidR="00575BC3" w:rsidRPr="001113AE" w:rsidRDefault="00575BC3" w:rsidP="004C372E">
            <w:pPr>
              <w:rPr>
                <w:b/>
              </w:rPr>
            </w:pPr>
            <w:r w:rsidRPr="001113AE">
              <w:rPr>
                <w:b/>
              </w:rPr>
              <w:t>Max Int. (at Rx</w:t>
            </w:r>
            <w:r>
              <w:rPr>
                <w:b/>
              </w:rPr>
              <w:t xml:space="preserve"> </w:t>
            </w:r>
            <w:r w:rsidR="004C372E">
              <w:rPr>
                <w:b/>
              </w:rPr>
              <w:t>a</w:t>
            </w:r>
            <w:r>
              <w:rPr>
                <w:b/>
              </w:rPr>
              <w:t>nt</w:t>
            </w:r>
            <w:r w:rsidR="004C372E">
              <w:rPr>
                <w:b/>
              </w:rPr>
              <w:t>enna</w:t>
            </w:r>
            <w:r>
              <w:rPr>
                <w:b/>
              </w:rPr>
              <w:t xml:space="preserve"> </w:t>
            </w:r>
            <w:r w:rsidRPr="001113AE">
              <w:rPr>
                <w:b/>
              </w:rPr>
              <w:t>) dBm/30kHz</w:t>
            </w:r>
          </w:p>
        </w:tc>
        <w:tc>
          <w:tcPr>
            <w:tcW w:w="1833" w:type="dxa"/>
          </w:tcPr>
          <w:p w:rsidR="00575BC3" w:rsidRPr="00CB0891" w:rsidRDefault="00575BC3" w:rsidP="003755AB">
            <w:r w:rsidRPr="00CB0891">
              <w:t>-126</w:t>
            </w:r>
          </w:p>
        </w:tc>
        <w:tc>
          <w:tcPr>
            <w:tcW w:w="1832" w:type="dxa"/>
          </w:tcPr>
          <w:p w:rsidR="00575BC3" w:rsidRDefault="00575BC3" w:rsidP="003755AB">
            <w:r>
              <w:t>-105</w:t>
            </w:r>
          </w:p>
        </w:tc>
        <w:tc>
          <w:tcPr>
            <w:tcW w:w="1833" w:type="dxa"/>
          </w:tcPr>
          <w:p w:rsidR="00575BC3" w:rsidRDefault="00575BC3" w:rsidP="003755AB">
            <w:r>
              <w:t>-145</w:t>
            </w:r>
          </w:p>
        </w:tc>
        <w:tc>
          <w:tcPr>
            <w:tcW w:w="1833" w:type="dxa"/>
          </w:tcPr>
          <w:p w:rsidR="00575BC3" w:rsidRDefault="00575BC3" w:rsidP="003755AB">
            <w:r>
              <w:t>-136</w:t>
            </w:r>
          </w:p>
        </w:tc>
      </w:tr>
      <w:tr w:rsidR="00575BC3" w:rsidTr="003755AB">
        <w:tc>
          <w:tcPr>
            <w:tcW w:w="1843" w:type="dxa"/>
          </w:tcPr>
          <w:p w:rsidR="00575BC3" w:rsidRPr="001113AE" w:rsidRDefault="00575BC3" w:rsidP="003755AB">
            <w:pPr>
              <w:rPr>
                <w:b/>
              </w:rPr>
            </w:pPr>
            <w:r>
              <w:rPr>
                <w:b/>
              </w:rPr>
              <w:t>Required path loss</w:t>
            </w:r>
            <w:r w:rsidRPr="001113AE">
              <w:rPr>
                <w:b/>
              </w:rPr>
              <w:t xml:space="preserve"> </w:t>
            </w:r>
            <w:r>
              <w:rPr>
                <w:b/>
              </w:rPr>
              <w:t>(</w:t>
            </w:r>
            <w:r w:rsidRPr="001113AE">
              <w:rPr>
                <w:b/>
              </w:rPr>
              <w:t>dB</w:t>
            </w:r>
            <w:r>
              <w:rPr>
                <w:b/>
              </w:rPr>
              <w:t>)</w:t>
            </w:r>
          </w:p>
        </w:tc>
        <w:tc>
          <w:tcPr>
            <w:tcW w:w="1833" w:type="dxa"/>
          </w:tcPr>
          <w:p w:rsidR="00575BC3" w:rsidRPr="00CB0891" w:rsidRDefault="00575BC3" w:rsidP="003755AB">
            <w:r w:rsidRPr="00CB0891">
              <w:t>176</w:t>
            </w:r>
          </w:p>
        </w:tc>
        <w:tc>
          <w:tcPr>
            <w:tcW w:w="1832" w:type="dxa"/>
          </w:tcPr>
          <w:p w:rsidR="00575BC3" w:rsidRDefault="00575BC3" w:rsidP="003755AB">
            <w:r>
              <w:t>141</w:t>
            </w:r>
          </w:p>
        </w:tc>
        <w:tc>
          <w:tcPr>
            <w:tcW w:w="1833" w:type="dxa"/>
          </w:tcPr>
          <w:p w:rsidR="00575BC3" w:rsidRDefault="00575BC3" w:rsidP="003755AB">
            <w:r>
              <w:t>167</w:t>
            </w:r>
          </w:p>
        </w:tc>
        <w:tc>
          <w:tcPr>
            <w:tcW w:w="1833" w:type="dxa"/>
          </w:tcPr>
          <w:p w:rsidR="00575BC3" w:rsidRDefault="00575BC3" w:rsidP="003755AB">
            <w:r>
              <w:t>139</w:t>
            </w:r>
          </w:p>
        </w:tc>
      </w:tr>
      <w:tr w:rsidR="00575BC3" w:rsidTr="003755AB">
        <w:tc>
          <w:tcPr>
            <w:tcW w:w="1843" w:type="dxa"/>
            <w:tcBorders>
              <w:bottom w:val="double" w:sz="12" w:space="0" w:color="auto"/>
            </w:tcBorders>
          </w:tcPr>
          <w:p w:rsidR="00575BC3" w:rsidRPr="001113AE" w:rsidRDefault="00575BC3" w:rsidP="003755AB">
            <w:pPr>
              <w:rPr>
                <w:b/>
              </w:rPr>
            </w:pPr>
            <w:r>
              <w:rPr>
                <w:b/>
              </w:rPr>
              <w:t>Separation distance</w:t>
            </w:r>
            <w:r w:rsidRPr="001113AE">
              <w:rPr>
                <w:b/>
              </w:rPr>
              <w:t xml:space="preserve"> </w:t>
            </w:r>
            <w:r>
              <w:rPr>
                <w:b/>
              </w:rPr>
              <w:t>(</w:t>
            </w:r>
            <w:r w:rsidRPr="001113AE">
              <w:rPr>
                <w:b/>
              </w:rPr>
              <w:t>km</w:t>
            </w:r>
            <w:r>
              <w:rPr>
                <w:b/>
              </w:rPr>
              <w:t>)</w:t>
            </w:r>
          </w:p>
        </w:tc>
        <w:tc>
          <w:tcPr>
            <w:tcW w:w="1833" w:type="dxa"/>
            <w:tcBorders>
              <w:bottom w:val="double" w:sz="12" w:space="0" w:color="auto"/>
            </w:tcBorders>
          </w:tcPr>
          <w:p w:rsidR="00575BC3" w:rsidRDefault="00575BC3" w:rsidP="003755AB">
            <w:r>
              <w:t>13.5</w:t>
            </w:r>
          </w:p>
        </w:tc>
        <w:tc>
          <w:tcPr>
            <w:tcW w:w="1832" w:type="dxa"/>
            <w:tcBorders>
              <w:bottom w:val="double" w:sz="12" w:space="0" w:color="auto"/>
            </w:tcBorders>
          </w:tcPr>
          <w:p w:rsidR="00575BC3" w:rsidRDefault="00575BC3" w:rsidP="003755AB">
            <w:r>
              <w:t>1.3</w:t>
            </w:r>
          </w:p>
        </w:tc>
        <w:tc>
          <w:tcPr>
            <w:tcW w:w="1833" w:type="dxa"/>
            <w:tcBorders>
              <w:bottom w:val="double" w:sz="12" w:space="0" w:color="auto"/>
            </w:tcBorders>
          </w:tcPr>
          <w:p w:rsidR="00575BC3" w:rsidRDefault="00575BC3" w:rsidP="003755AB">
            <w:r>
              <w:t>7.5</w:t>
            </w:r>
          </w:p>
        </w:tc>
        <w:tc>
          <w:tcPr>
            <w:tcW w:w="1833" w:type="dxa"/>
            <w:tcBorders>
              <w:bottom w:val="double" w:sz="12" w:space="0" w:color="auto"/>
            </w:tcBorders>
          </w:tcPr>
          <w:p w:rsidR="00575BC3" w:rsidRDefault="00575BC3" w:rsidP="003755AB">
            <w:r>
              <w:t>1.2</w:t>
            </w:r>
          </w:p>
        </w:tc>
      </w:tr>
      <w:tr w:rsidR="00575BC3" w:rsidTr="003755AB">
        <w:tc>
          <w:tcPr>
            <w:tcW w:w="1843" w:type="dxa"/>
            <w:tcBorders>
              <w:top w:val="double" w:sz="12" w:space="0" w:color="auto"/>
            </w:tcBorders>
          </w:tcPr>
          <w:p w:rsidR="00575BC3" w:rsidRDefault="00575BC3" w:rsidP="003755AB"/>
        </w:tc>
        <w:tc>
          <w:tcPr>
            <w:tcW w:w="1833" w:type="dxa"/>
            <w:tcBorders>
              <w:top w:val="double" w:sz="12" w:space="0" w:color="auto"/>
            </w:tcBorders>
          </w:tcPr>
          <w:p w:rsidR="00575BC3" w:rsidRPr="001113AE" w:rsidRDefault="00575BC3" w:rsidP="003755AB">
            <w:pPr>
              <w:rPr>
                <w:b/>
              </w:rPr>
            </w:pPr>
            <w:r>
              <w:rPr>
                <w:b/>
              </w:rPr>
              <w:t>GSM BS to GSM</w:t>
            </w:r>
            <w:r w:rsidRPr="001113AE">
              <w:rPr>
                <w:b/>
              </w:rPr>
              <w:t xml:space="preserve"> MS</w:t>
            </w:r>
          </w:p>
        </w:tc>
        <w:tc>
          <w:tcPr>
            <w:tcW w:w="1832" w:type="dxa"/>
            <w:tcBorders>
              <w:top w:val="double" w:sz="12" w:space="0" w:color="auto"/>
            </w:tcBorders>
          </w:tcPr>
          <w:p w:rsidR="00575BC3" w:rsidRPr="001113AE" w:rsidRDefault="00575BC3" w:rsidP="003755AB">
            <w:pPr>
              <w:rPr>
                <w:b/>
              </w:rPr>
            </w:pPr>
            <w:r w:rsidRPr="001113AE">
              <w:rPr>
                <w:b/>
              </w:rPr>
              <w:t>GSM MS</w:t>
            </w:r>
            <w:r>
              <w:rPr>
                <w:b/>
              </w:rPr>
              <w:t xml:space="preserve"> to GSM BS</w:t>
            </w:r>
          </w:p>
        </w:tc>
        <w:tc>
          <w:tcPr>
            <w:tcW w:w="1833" w:type="dxa"/>
            <w:tcBorders>
              <w:top w:val="double" w:sz="12" w:space="0" w:color="auto"/>
            </w:tcBorders>
          </w:tcPr>
          <w:p w:rsidR="00575BC3" w:rsidRPr="001113AE" w:rsidRDefault="00575BC3" w:rsidP="003755AB">
            <w:pPr>
              <w:rPr>
                <w:b/>
              </w:rPr>
            </w:pPr>
            <w:r w:rsidRPr="001113AE">
              <w:rPr>
                <w:b/>
              </w:rPr>
              <w:t>IMT BS</w:t>
            </w:r>
            <w:r>
              <w:rPr>
                <w:b/>
              </w:rPr>
              <w:t xml:space="preserve"> to IMT MS</w:t>
            </w:r>
          </w:p>
        </w:tc>
        <w:tc>
          <w:tcPr>
            <w:tcW w:w="1833" w:type="dxa"/>
            <w:tcBorders>
              <w:top w:val="double" w:sz="12" w:space="0" w:color="auto"/>
            </w:tcBorders>
          </w:tcPr>
          <w:p w:rsidR="00575BC3" w:rsidRPr="001113AE" w:rsidRDefault="00575BC3" w:rsidP="003755AB">
            <w:pPr>
              <w:rPr>
                <w:b/>
              </w:rPr>
            </w:pPr>
            <w:r w:rsidRPr="001113AE">
              <w:rPr>
                <w:b/>
              </w:rPr>
              <w:t xml:space="preserve">IMT MS to </w:t>
            </w:r>
            <w:r>
              <w:rPr>
                <w:b/>
              </w:rPr>
              <w:t>IMT</w:t>
            </w:r>
            <w:r w:rsidRPr="001113AE">
              <w:rPr>
                <w:b/>
              </w:rPr>
              <w:t xml:space="preserve"> BS</w:t>
            </w:r>
          </w:p>
        </w:tc>
      </w:tr>
      <w:tr w:rsidR="00575BC3" w:rsidTr="003755AB">
        <w:tc>
          <w:tcPr>
            <w:tcW w:w="1843" w:type="dxa"/>
          </w:tcPr>
          <w:p w:rsidR="00575BC3" w:rsidRPr="001113AE" w:rsidRDefault="00575BC3" w:rsidP="003755AB">
            <w:pPr>
              <w:rPr>
                <w:b/>
              </w:rPr>
            </w:pPr>
            <w:r w:rsidRPr="001113AE">
              <w:rPr>
                <w:b/>
              </w:rPr>
              <w:t>EIRP dBm/30kHz</w:t>
            </w:r>
          </w:p>
        </w:tc>
        <w:tc>
          <w:tcPr>
            <w:tcW w:w="1833" w:type="dxa"/>
          </w:tcPr>
          <w:p w:rsidR="00575BC3" w:rsidRDefault="00575BC3" w:rsidP="003755AB">
            <w:r>
              <w:t>50</w:t>
            </w:r>
          </w:p>
        </w:tc>
        <w:tc>
          <w:tcPr>
            <w:tcW w:w="1832" w:type="dxa"/>
          </w:tcPr>
          <w:p w:rsidR="00575BC3" w:rsidRDefault="00575BC3" w:rsidP="003755AB">
            <w:r>
              <w:t>22</w:t>
            </w:r>
          </w:p>
        </w:tc>
        <w:tc>
          <w:tcPr>
            <w:tcW w:w="1833" w:type="dxa"/>
          </w:tcPr>
          <w:p w:rsidR="00575BC3" w:rsidRDefault="00575BC3" w:rsidP="003755AB">
            <w:r>
              <w:t>36</w:t>
            </w:r>
          </w:p>
        </w:tc>
        <w:tc>
          <w:tcPr>
            <w:tcW w:w="1833" w:type="dxa"/>
          </w:tcPr>
          <w:p w:rsidR="00575BC3" w:rsidRDefault="00575BC3" w:rsidP="003755AB">
            <w:r>
              <w:t>3</w:t>
            </w:r>
          </w:p>
        </w:tc>
      </w:tr>
      <w:tr w:rsidR="00575BC3" w:rsidTr="003755AB">
        <w:tc>
          <w:tcPr>
            <w:tcW w:w="1843" w:type="dxa"/>
          </w:tcPr>
          <w:p w:rsidR="00575BC3" w:rsidRPr="001113AE" w:rsidRDefault="00575BC3" w:rsidP="004C372E">
            <w:pPr>
              <w:rPr>
                <w:b/>
              </w:rPr>
            </w:pPr>
            <w:r w:rsidRPr="001113AE">
              <w:rPr>
                <w:b/>
              </w:rPr>
              <w:t>Max Int. (</w:t>
            </w:r>
            <w:r>
              <w:rPr>
                <w:b/>
              </w:rPr>
              <w:t>Rx</w:t>
            </w:r>
            <w:r w:rsidRPr="001113AE">
              <w:rPr>
                <w:b/>
              </w:rPr>
              <w:t xml:space="preserve"> </w:t>
            </w:r>
            <w:r w:rsidR="004C372E">
              <w:rPr>
                <w:b/>
              </w:rPr>
              <w:t>a</w:t>
            </w:r>
            <w:r>
              <w:rPr>
                <w:b/>
              </w:rPr>
              <w:t>nt</w:t>
            </w:r>
            <w:r w:rsidR="004C372E">
              <w:rPr>
                <w:b/>
              </w:rPr>
              <w:t>enna</w:t>
            </w:r>
            <w:r w:rsidRPr="001113AE">
              <w:rPr>
                <w:b/>
              </w:rPr>
              <w:t>) dBm/30kHz</w:t>
            </w:r>
          </w:p>
        </w:tc>
        <w:tc>
          <w:tcPr>
            <w:tcW w:w="1833" w:type="dxa"/>
          </w:tcPr>
          <w:p w:rsidR="00575BC3" w:rsidRPr="00CB0891" w:rsidRDefault="00575BC3" w:rsidP="003755AB">
            <w:r>
              <w:t>-105</w:t>
            </w:r>
          </w:p>
        </w:tc>
        <w:tc>
          <w:tcPr>
            <w:tcW w:w="1832" w:type="dxa"/>
          </w:tcPr>
          <w:p w:rsidR="00575BC3" w:rsidRDefault="00575BC3" w:rsidP="003755AB">
            <w:r>
              <w:t>-136</w:t>
            </w:r>
          </w:p>
        </w:tc>
        <w:tc>
          <w:tcPr>
            <w:tcW w:w="1833" w:type="dxa"/>
          </w:tcPr>
          <w:p w:rsidR="00575BC3" w:rsidRDefault="00575BC3" w:rsidP="003755AB">
            <w:r>
              <w:t>-126</w:t>
            </w:r>
          </w:p>
        </w:tc>
        <w:tc>
          <w:tcPr>
            <w:tcW w:w="1833" w:type="dxa"/>
          </w:tcPr>
          <w:p w:rsidR="00575BC3" w:rsidRDefault="00575BC3" w:rsidP="003755AB">
            <w:r>
              <w:t>-145</w:t>
            </w:r>
          </w:p>
        </w:tc>
      </w:tr>
      <w:tr w:rsidR="00575BC3" w:rsidTr="003755AB">
        <w:tc>
          <w:tcPr>
            <w:tcW w:w="1843" w:type="dxa"/>
          </w:tcPr>
          <w:p w:rsidR="00575BC3" w:rsidRPr="001113AE" w:rsidRDefault="00575BC3" w:rsidP="003755AB">
            <w:pPr>
              <w:rPr>
                <w:b/>
              </w:rPr>
            </w:pPr>
            <w:r>
              <w:rPr>
                <w:b/>
              </w:rPr>
              <w:t>Required path loss</w:t>
            </w:r>
            <w:r w:rsidRPr="001113AE">
              <w:rPr>
                <w:b/>
              </w:rPr>
              <w:t xml:space="preserve"> </w:t>
            </w:r>
            <w:r>
              <w:rPr>
                <w:b/>
              </w:rPr>
              <w:t>(</w:t>
            </w:r>
            <w:r w:rsidRPr="001113AE">
              <w:rPr>
                <w:b/>
              </w:rPr>
              <w:t>dB</w:t>
            </w:r>
            <w:r>
              <w:rPr>
                <w:b/>
              </w:rPr>
              <w:t>)</w:t>
            </w:r>
          </w:p>
        </w:tc>
        <w:tc>
          <w:tcPr>
            <w:tcW w:w="1833" w:type="dxa"/>
          </w:tcPr>
          <w:p w:rsidR="00575BC3" w:rsidRPr="00CB0891" w:rsidRDefault="00575BC3" w:rsidP="003755AB">
            <w:r>
              <w:t>155</w:t>
            </w:r>
          </w:p>
        </w:tc>
        <w:tc>
          <w:tcPr>
            <w:tcW w:w="1832" w:type="dxa"/>
          </w:tcPr>
          <w:p w:rsidR="00575BC3" w:rsidRDefault="00575BC3" w:rsidP="003755AB">
            <w:r>
              <w:t>158</w:t>
            </w:r>
          </w:p>
        </w:tc>
        <w:tc>
          <w:tcPr>
            <w:tcW w:w="1833" w:type="dxa"/>
          </w:tcPr>
          <w:p w:rsidR="00575BC3" w:rsidRDefault="00575BC3" w:rsidP="003755AB">
            <w:r>
              <w:t>162</w:t>
            </w:r>
          </w:p>
        </w:tc>
        <w:tc>
          <w:tcPr>
            <w:tcW w:w="1833" w:type="dxa"/>
          </w:tcPr>
          <w:p w:rsidR="00575BC3" w:rsidRDefault="00575BC3" w:rsidP="003755AB">
            <w:r>
              <w:t>148</w:t>
            </w:r>
          </w:p>
        </w:tc>
      </w:tr>
      <w:tr w:rsidR="00575BC3" w:rsidTr="003755AB">
        <w:tc>
          <w:tcPr>
            <w:tcW w:w="1843" w:type="dxa"/>
          </w:tcPr>
          <w:p w:rsidR="00575BC3" w:rsidRPr="001113AE" w:rsidRDefault="00575BC3" w:rsidP="003755AB">
            <w:pPr>
              <w:rPr>
                <w:b/>
              </w:rPr>
            </w:pPr>
            <w:r>
              <w:rPr>
                <w:b/>
              </w:rPr>
              <w:t>Separation distance</w:t>
            </w:r>
            <w:r w:rsidRPr="001113AE">
              <w:rPr>
                <w:b/>
              </w:rPr>
              <w:t xml:space="preserve"> </w:t>
            </w:r>
            <w:r>
              <w:rPr>
                <w:b/>
              </w:rPr>
              <w:t>(</w:t>
            </w:r>
            <w:r w:rsidRPr="001113AE">
              <w:rPr>
                <w:b/>
              </w:rPr>
              <w:t>km</w:t>
            </w:r>
            <w:r>
              <w:rPr>
                <w:b/>
              </w:rPr>
              <w:t>)</w:t>
            </w:r>
          </w:p>
        </w:tc>
        <w:tc>
          <w:tcPr>
            <w:tcW w:w="1833" w:type="dxa"/>
          </w:tcPr>
          <w:p w:rsidR="00575BC3" w:rsidRDefault="00575BC3" w:rsidP="003755AB">
            <w:r>
              <w:t>3.5</w:t>
            </w:r>
          </w:p>
        </w:tc>
        <w:tc>
          <w:tcPr>
            <w:tcW w:w="1832" w:type="dxa"/>
          </w:tcPr>
          <w:p w:rsidR="00575BC3" w:rsidRDefault="00575BC3" w:rsidP="003755AB">
            <w:r>
              <w:t>4</w:t>
            </w:r>
          </w:p>
        </w:tc>
        <w:tc>
          <w:tcPr>
            <w:tcW w:w="1833" w:type="dxa"/>
          </w:tcPr>
          <w:p w:rsidR="00575BC3" w:rsidRDefault="00575BC3" w:rsidP="003755AB">
            <w:r>
              <w:t>5.5</w:t>
            </w:r>
          </w:p>
        </w:tc>
        <w:tc>
          <w:tcPr>
            <w:tcW w:w="1833" w:type="dxa"/>
          </w:tcPr>
          <w:p w:rsidR="00575BC3" w:rsidRDefault="00575BC3" w:rsidP="003755AB">
            <w:r>
              <w:t>2</w:t>
            </w:r>
          </w:p>
        </w:tc>
      </w:tr>
    </w:tbl>
    <w:p w:rsidR="00575BC3" w:rsidRDefault="00575BC3" w:rsidP="00575BC3"/>
    <w:p w:rsidR="00575BC3" w:rsidRDefault="00575BC3" w:rsidP="00575BC3">
      <w:r>
        <w:t xml:space="preserve">As evident in Table 8, the scenario that requires the highest level of path loss isolation is for interference from a GSM base station to an IMT mobile station. </w:t>
      </w:r>
    </w:p>
    <w:p w:rsidR="00575BC3" w:rsidRDefault="00575BC3" w:rsidP="00575BC3"/>
    <w:p w:rsidR="00575BC3" w:rsidRDefault="00575BC3" w:rsidP="00575BC3">
      <w:r>
        <w:t xml:space="preserve">The interference threshold level assumed for IMT mobile stations in Table 8 is based on the receiver noise floor plus </w:t>
      </w:r>
      <w:proofErr w:type="gramStart"/>
      <w:r>
        <w:t>an Interference</w:t>
      </w:r>
      <w:proofErr w:type="gramEnd"/>
      <w:r>
        <w:t xml:space="preserve"> to Noise ratio (I/N) of -6 dB.</w:t>
      </w:r>
      <w:r w:rsidRPr="006450D1">
        <w:rPr>
          <w:rStyle w:val="FootnoteTextChar"/>
        </w:rPr>
        <w:t xml:space="preserve"> </w:t>
      </w:r>
      <w:r>
        <w:rPr>
          <w:rStyle w:val="FootnoteReference"/>
        </w:rPr>
        <w:footnoteReference w:id="11"/>
      </w:r>
      <w:r>
        <w:t xml:space="preserve"> This equates to approximately -126 dBm/30kHz.</w:t>
      </w:r>
    </w:p>
    <w:p w:rsidR="00575BC3" w:rsidRDefault="00575BC3" w:rsidP="00575BC3"/>
    <w:p w:rsidR="00575BC3" w:rsidRDefault="00575BC3" w:rsidP="00575BC3">
      <w:r>
        <w:t xml:space="preserve">A LOP based on the interference threshold of -126 dBm/30kHz will place additional constrains on licensees when coordinating with the DBC. That is, it will require transmitters to be located further from the licence boundary. Although not ideal for optimal performance, it is expected that IMT technologies will be able to tolerate an interference level greater than -126 dBm/30kHz and still maintain a service through the use of more robust modulation and coding schemes as well as reduced data-rates (or smaller cells) for affected mobile receivers at the cell edge. Therefore, to allow base stations to be located closer to the licence boundary, the proposed LOP is not based on this scenario (i.e. the interference path from GSM base station to IMT mobile station). </w:t>
      </w:r>
    </w:p>
    <w:p w:rsidR="00575BC3" w:rsidRDefault="00575BC3" w:rsidP="00575BC3"/>
    <w:p w:rsidR="00575BC3" w:rsidRDefault="00575BC3" w:rsidP="00575BC3">
      <w:r>
        <w:t xml:space="preserve">The scenario with the next highest path loss requirement in Table 8 is interference from a GSM mobile station to an IMT base station. This represents a critical scenario as base stations are a higher risk of interference because of their relative antenna height and fixed location. Therefore the LOP chosen at the boundary should be adequate to maintain a satisfactory separation between GSM mobile stations and LTE base stations, i.e. 7.5 km. </w:t>
      </w:r>
    </w:p>
    <w:p w:rsidR="00575BC3" w:rsidRDefault="00575BC3" w:rsidP="00575BC3"/>
    <w:p w:rsidR="00575BC3" w:rsidRDefault="00575BC3" w:rsidP="00575BC3">
      <w:r>
        <w:lastRenderedPageBreak/>
        <w:t xml:space="preserve">A deployment model for IMT and GSM technologies can be described as shown below in Figure 3 using </w:t>
      </w:r>
      <w:r w:rsidRPr="001653E5">
        <w:t>the proposed propagation</w:t>
      </w:r>
      <w:r>
        <w:t xml:space="preserve"> model and the GSM mobile station to IMT base station isolation requirement of 7.5km from Table 8. Figure 3 also includes an assumed 2 km cell radius for both technologies.</w:t>
      </w:r>
      <w:r>
        <w:rPr>
          <w:rStyle w:val="FootnoteReference"/>
        </w:rPr>
        <w:footnoteReference w:id="12"/>
      </w:r>
      <w:r>
        <w:t xml:space="preserve"> To get the necessary base station separation from the boundary to satisfy the 7.5 km separation (GSM mobile to IMT base) as shown in Figure 3, the LOP of -115 dBm/30kHz at the licence boundary is required. That is, the proposed LOP </w:t>
      </w:r>
      <w:proofErr w:type="spellStart"/>
      <w:r>
        <w:t>of</w:t>
      </w:r>
      <w:proofErr w:type="spellEnd"/>
      <w:r>
        <w:t xml:space="preserve"> -115dBm/30kHz will require the IMT base station to be located 3 km from the boundary, and the GSM base station to be located 6.5 km from the boundary. </w:t>
      </w:r>
    </w:p>
    <w:p w:rsidR="00575BC3" w:rsidRDefault="00575BC3" w:rsidP="00575BC3"/>
    <w:p w:rsidR="00575BC3" w:rsidRDefault="00575BC3" w:rsidP="00575BC3">
      <w:r>
        <w:t>Figure 3 – system model for co-existence across the licence boundary</w:t>
      </w:r>
      <w:r w:rsidR="008A0FBE">
        <w:pict>
          <v:group id="_x0000_s1026" editas="canvas" style="width:417.9pt;height:336.05pt;mso-position-horizontal-relative:char;mso-position-vertical-relative:line" coordorigin="2362,4680" coordsize="6667,5362">
            <o:lock v:ext="edit" aspectratio="t"/>
            <v:shape id="_x0000_s1027" type="#_x0000_t75" style="position:absolute;left:2362;top:4680;width:6667;height:5362" o:preferrelative="f">
              <v:fill o:detectmouseclick="t"/>
              <v:path o:extrusionok="t" o:connecttype="none"/>
              <o:lock v:ext="edit" text="t"/>
            </v:shape>
            <v:shape id="_x0000_s1028" type="#_x0000_t32" style="position:absolute;left:3992;top:5645;width:14;height:1136" o:connectortype="straight"/>
            <v:roundrect id="_x0000_s1029" style="position:absolute;left:4097;top:5436;width:57;height:296" arcsize="10923f" fillcolor="black"/>
            <v:roundrect id="_x0000_s1030" style="position:absolute;left:4154;top:5645;width:55;height:296" arcsize="10923f" fillcolor="black"/>
            <v:roundrect id="_x0000_s1031" style="position:absolute;left:3791;top:5542;width:59;height:299" arcsize="10923f" fillcolor="black"/>
            <v:shape id="_x0000_s1032" type="#_x0000_t32" style="position:absolute;left:3850;top:5645;width:156;height:46;flip:y" o:connectortype="straight"/>
            <v:shape id="_x0000_s1033" type="#_x0000_t32" style="position:absolute;left:4006;top:5582;width:91;height:63;flip:x" o:connectortype="straight"/>
            <v:shape id="_x0000_s1034" type="#_x0000_t32" style="position:absolute;left:4006;top:5645;width:148;height:150;flip:x y" o:connectortype="straight"/>
            <v:oval id="_x0000_s1035" style="position:absolute;left:2896;top:5983;width:2115;height:1567" filled="f"/>
            <v:shape id="_x0000_s1036" type="#_x0000_t32" style="position:absolute;left:3303;top:4866;width:4190;height:4894;flip:x" o:connectortype="straight" strokeweight="2.25pt">
              <v:stroke dashstyle="dashDot"/>
            </v:shape>
            <v:shape id="_x0000_s1037" type="#_x0000_t32" style="position:absolute;left:4635;top:7023;width:2;height:300" o:connectortype="straight"/>
            <v:shape id="_x0000_s1038" type="#_x0000_t32" style="position:absolute;left:4480;top:6961;width:309;height:110;flip:x" o:connectortype="straight"/>
            <v:shape id="_x0000_s1039" type="#_x0000_t32" style="position:absolute;left:4480;top:6961;width:309;height:110;flip:x y" o:connectortype="straight"/>
            <v:shape id="_x0000_s1040" type="#_x0000_t202" style="position:absolute;left:2774;top:9518;width:1861;height:443" stroked="f">
              <v:textbox style="mso-next-textbox:#_x0000_s1040" inset="0,,0">
                <w:txbxContent>
                  <w:p w:rsidR="007123CF" w:rsidRPr="00CA1D67" w:rsidRDefault="007123CF" w:rsidP="00575BC3">
                    <w:pPr>
                      <w:rPr>
                        <w:b/>
                      </w:rPr>
                    </w:pPr>
                    <w:r>
                      <w:rPr>
                        <w:b/>
                      </w:rPr>
                      <w:t>Licence</w:t>
                    </w:r>
                    <w:r w:rsidRPr="00CA1D67">
                      <w:rPr>
                        <w:b/>
                      </w:rPr>
                      <w:t xml:space="preserve"> boundary</w:t>
                    </w:r>
                  </w:p>
                </w:txbxContent>
              </v:textbox>
            </v:shape>
            <v:shape id="_x0000_s1041" type="#_x0000_t202" style="position:absolute;left:2774;top:7803;width:1530;height:710" filled="f" stroked="f">
              <v:textbox style="mso-next-textbox:#_x0000_s1041" inset="0,,0">
                <w:txbxContent>
                  <w:p w:rsidR="007123CF" w:rsidRDefault="007123CF" w:rsidP="00575BC3">
                    <w:pPr>
                      <w:rPr>
                        <w:sz w:val="20"/>
                      </w:rPr>
                    </w:pPr>
                    <w:r w:rsidRPr="000D30F5">
                      <w:rPr>
                        <w:b/>
                        <w:sz w:val="20"/>
                      </w:rPr>
                      <w:t>IMT mobile station</w:t>
                    </w:r>
                    <w:r>
                      <w:rPr>
                        <w:sz w:val="20"/>
                      </w:rPr>
                      <w:t>, EIRP = 3 dBm/30kHz</w:t>
                    </w:r>
                  </w:p>
                  <w:p w:rsidR="007123CF" w:rsidRPr="0069075B" w:rsidRDefault="007123CF" w:rsidP="00575BC3">
                    <w:pPr>
                      <w:rPr>
                        <w:sz w:val="20"/>
                      </w:rPr>
                    </w:pPr>
                    <w:r>
                      <w:rPr>
                        <w:sz w:val="20"/>
                      </w:rPr>
                      <w:t>Height = 1.5m</w:t>
                    </w:r>
                  </w:p>
                </w:txbxContent>
              </v:textbox>
            </v:shape>
            <v:shape id="_x0000_s1042" type="#_x0000_t32" style="position:absolute;left:7636;top:7002;width:15;height:1136" o:connectortype="straight"/>
            <v:roundrect id="_x0000_s1043" style="position:absolute;left:7742;top:6792;width:57;height:297" arcsize="10923f" fillcolor="black"/>
            <v:roundrect id="_x0000_s1044" style="position:absolute;left:7799;top:7002;width:55;height:296" arcsize="10923f" fillcolor="black"/>
            <v:roundrect id="_x0000_s1045" style="position:absolute;left:7436;top:6899;width:57;height:299" arcsize="10923f" fillcolor="black"/>
            <v:shape id="_x0000_s1046" type="#_x0000_t32" style="position:absolute;left:7493;top:7002;width:158;height:46;flip:y" o:connectortype="straight"/>
            <v:shape id="_x0000_s1047" type="#_x0000_t32" style="position:absolute;left:7651;top:6939;width:91;height:63;flip:x" o:connectortype="straight"/>
            <v:shape id="_x0000_s1048" type="#_x0000_t32" style="position:absolute;left:7651;top:7002;width:148;height:150;flip:x y" o:connectortype="straight"/>
            <v:oval id="_x0000_s1049" style="position:absolute;left:6541;top:7309;width:2179;height:1732" filled="f"/>
            <v:shape id="_x0000_s1050" type="#_x0000_t32" style="position:absolute;left:4702;top:5732;width:1313;height:1601;flip:y" o:connectortype="straight"/>
            <v:shape id="_x0000_s1051" type="#_x0000_t32" style="position:absolute;left:6571;top:5795;width:1770;height:2043;flip:y" o:connectortype="straight"/>
            <v:shape id="_x0000_s1052" type="#_x0000_t32" style="position:absolute;left:6895;top:6623;width:1895;height:2470;flip:y" o:connectortype="straight"/>
            <v:shape id="_x0000_s1053" type="#_x0000_t32" style="position:absolute;left:3208;top:4931;width:2357;height:2692;flip:y" o:connectortype="straight"/>
            <v:shape id="_x0000_s1054" type="#_x0000_t32" style="position:absolute;left:5178;top:5391;width:837;height:313" o:connectortype="straight">
              <v:stroke startarrow="block" endarrow="block"/>
            </v:shape>
            <v:shape id="_x0000_s1055" type="#_x0000_t32" style="position:absolute;left:6015;top:5704;width:526;height:225" o:connectortype="straight">
              <v:stroke startarrow="block" endarrow="block"/>
            </v:shape>
            <v:shape id="_x0000_s1056" type="#_x0000_t32" style="position:absolute;left:6571;top:5929;width:1317;height:418" o:connectortype="straight">
              <v:stroke startarrow="block" endarrow="block"/>
            </v:shape>
            <v:shape id="_x0000_s1057" type="#_x0000_t32" style="position:absolute;left:7888;top:6347;width:902;height:276" o:connectortype="straight">
              <v:stroke startarrow="block" endarrow="block"/>
            </v:shape>
            <v:shape id="_x0000_s1058" type="#_x0000_t202" style="position:absolute;left:6996;top:5850;width:785;height:385" filled="f" stroked="f">
              <v:textbox style="mso-next-textbox:#_x0000_s1058">
                <w:txbxContent>
                  <w:p w:rsidR="007123CF" w:rsidRDefault="007123CF" w:rsidP="00575BC3">
                    <w:r>
                      <w:t>4.5 km</w:t>
                    </w:r>
                  </w:p>
                </w:txbxContent>
              </v:textbox>
            </v:shape>
            <v:shape id="_x0000_s1059" type="#_x0000_t202" style="position:absolute;left:8090;top:6166;width:783;height:384" filled="f" stroked="f">
              <v:textbox style="mso-next-textbox:#_x0000_s1059">
                <w:txbxContent>
                  <w:p w:rsidR="007123CF" w:rsidRDefault="007123CF" w:rsidP="00575BC3">
                    <w:r>
                      <w:t>2 km</w:t>
                    </w:r>
                  </w:p>
                </w:txbxContent>
              </v:textbox>
            </v:shape>
            <v:shape id="_x0000_s1060" type="#_x0000_t202" style="position:absolute;left:5348;top:5215;width:783;height:385" filled="f" stroked="f">
              <v:textbox style="mso-next-textbox:#_x0000_s1060">
                <w:txbxContent>
                  <w:p w:rsidR="007123CF" w:rsidRDefault="007123CF" w:rsidP="00575BC3">
                    <w:r>
                      <w:t>2 km</w:t>
                    </w:r>
                  </w:p>
                </w:txbxContent>
              </v:textbox>
            </v:shape>
            <v:shape id="_x0000_s1061" type="#_x0000_t202" style="position:absolute;left:6112;top:5542;width:783;height:384" filled="f" stroked="f">
              <v:textbox style="mso-next-textbox:#_x0000_s1061">
                <w:txbxContent>
                  <w:p w:rsidR="007123CF" w:rsidRDefault="007123CF" w:rsidP="00575BC3">
                    <w:r>
                      <w:t>1 km</w:t>
                    </w:r>
                  </w:p>
                </w:txbxContent>
              </v:textbox>
            </v:shape>
            <v:shape id="_x0000_s1062" type="#_x0000_t202" style="position:absolute;left:2680;top:4931;width:2022;height:760" filled="f" stroked="f">
              <v:textbox style="mso-next-textbox:#_x0000_s1062" inset="0,0,0,0">
                <w:txbxContent>
                  <w:p w:rsidR="007123CF" w:rsidRDefault="007123CF" w:rsidP="00575BC3">
                    <w:pPr>
                      <w:rPr>
                        <w:sz w:val="20"/>
                      </w:rPr>
                    </w:pPr>
                    <w:r w:rsidRPr="00476B38">
                      <w:rPr>
                        <w:b/>
                        <w:sz w:val="20"/>
                      </w:rPr>
                      <w:t>IMT Base station</w:t>
                    </w:r>
                    <w:r>
                      <w:rPr>
                        <w:sz w:val="20"/>
                      </w:rPr>
                      <w:t>, horizontal EIRP = 36 dBm/30kHz</w:t>
                    </w:r>
                  </w:p>
                  <w:p w:rsidR="007123CF" w:rsidRPr="0069075B" w:rsidRDefault="007123CF" w:rsidP="00575BC3">
                    <w:pPr>
                      <w:rPr>
                        <w:sz w:val="20"/>
                      </w:rPr>
                    </w:pPr>
                    <w:r>
                      <w:rPr>
                        <w:sz w:val="20"/>
                      </w:rPr>
                      <w:t>Height = 30m</w:t>
                    </w:r>
                  </w:p>
                </w:txbxContent>
              </v:textbox>
            </v:shape>
            <v:shape id="_x0000_s1063" type="#_x0000_t202" style="position:absolute;left:7007;top:9093;width:2022;height:759" filled="f" stroked="f">
              <v:textbox style="mso-next-textbox:#_x0000_s1063" inset="0,0,0,0">
                <w:txbxContent>
                  <w:p w:rsidR="007123CF" w:rsidRDefault="007123CF" w:rsidP="00575BC3">
                    <w:pPr>
                      <w:rPr>
                        <w:sz w:val="20"/>
                      </w:rPr>
                    </w:pPr>
                    <w:r w:rsidRPr="00476B38">
                      <w:rPr>
                        <w:b/>
                        <w:sz w:val="20"/>
                      </w:rPr>
                      <w:t>GSM Base station</w:t>
                    </w:r>
                    <w:r>
                      <w:rPr>
                        <w:sz w:val="20"/>
                      </w:rPr>
                      <w:t>, horizontal EIRP = 50 dBm/30kHz</w:t>
                    </w:r>
                  </w:p>
                  <w:p w:rsidR="007123CF" w:rsidRPr="0069075B" w:rsidRDefault="007123CF" w:rsidP="00575BC3">
                    <w:pPr>
                      <w:rPr>
                        <w:sz w:val="20"/>
                      </w:rPr>
                    </w:pPr>
                    <w:r>
                      <w:rPr>
                        <w:sz w:val="20"/>
                      </w:rPr>
                      <w:t>Height = 30m</w:t>
                    </w:r>
                  </w:p>
                </w:txbxContent>
              </v:textbox>
            </v:shape>
            <v:shape id="_x0000_s1064" type="#_x0000_t32" style="position:absolute;left:6697;top:7503;width:1;height:300" o:connectortype="straight"/>
            <v:shape id="_x0000_s1065" type="#_x0000_t32" style="position:absolute;left:6541;top:7440;width:310;height:110;flip:x" o:connectortype="straight"/>
            <v:shape id="_x0000_s1066" type="#_x0000_t32" style="position:absolute;left:6541;top:7440;width:310;height:110;flip:x y" o:connectortype="straight"/>
            <v:shape id="_x0000_s1067" type="#_x0000_t202" style="position:absolute;left:5011;top:8138;width:1530;height:726" filled="f" stroked="f">
              <v:textbox style="mso-next-textbox:#_x0000_s1067" inset="0,,0">
                <w:txbxContent>
                  <w:p w:rsidR="007123CF" w:rsidRDefault="007123CF" w:rsidP="00575BC3">
                    <w:pPr>
                      <w:rPr>
                        <w:sz w:val="20"/>
                      </w:rPr>
                    </w:pPr>
                    <w:r w:rsidRPr="000D30F5">
                      <w:rPr>
                        <w:b/>
                        <w:sz w:val="20"/>
                      </w:rPr>
                      <w:t>GSM mobile station</w:t>
                    </w:r>
                    <w:r>
                      <w:rPr>
                        <w:sz w:val="20"/>
                      </w:rPr>
                      <w:t>, EIRP = 22 dBm/30kHz</w:t>
                    </w:r>
                  </w:p>
                  <w:p w:rsidR="007123CF" w:rsidRPr="0069075B" w:rsidRDefault="007123CF" w:rsidP="00575BC3">
                    <w:pPr>
                      <w:rPr>
                        <w:sz w:val="20"/>
                      </w:rPr>
                    </w:pPr>
                    <w:r>
                      <w:rPr>
                        <w:sz w:val="20"/>
                      </w:rPr>
                      <w:t>Height = 1.5m</w:t>
                    </w:r>
                  </w:p>
                </w:txbxContent>
              </v:textbox>
            </v:shape>
            <v:shape id="_x0000_s1068" type="#_x0000_t32" style="position:absolute;left:4304;top:7320;width:398;height:838;flip:y" o:connectortype="straight">
              <v:stroke endarrow="block"/>
            </v:shape>
            <v:shape id="_x0000_s1069" type="#_x0000_t32" style="position:absolute;left:5776;top:7623;width:922;height:515;flip:y" o:connectortype="straight">
              <v:stroke endarrow="block"/>
            </v:shape>
            <v:shape id="_x0000_s1070" type="#_x0000_t32" style="position:absolute;left:5565;top:4931;width:2705;height:910" o:connectortype="straight">
              <v:stroke startarrow="block" endarrow="block"/>
            </v:shape>
            <v:shape id="_x0000_s1071" type="#_x0000_t202" style="position:absolute;left:6851;top:4931;width:800;height:385" fillcolor="white [3212]" stroked="f">
              <v:textbox style="mso-next-textbox:#_x0000_s1071">
                <w:txbxContent>
                  <w:p w:rsidR="007123CF" w:rsidRDefault="007123CF" w:rsidP="00575BC3">
                    <w:r>
                      <w:t>7.5 km</w:t>
                    </w:r>
                  </w:p>
                </w:txbxContent>
              </v:textbox>
            </v:shape>
            <w10:wrap type="none"/>
            <w10:anchorlock/>
          </v:group>
        </w:pict>
      </w:r>
    </w:p>
    <w:p w:rsidR="00575BC3" w:rsidRDefault="00575BC3" w:rsidP="00575BC3"/>
    <w:p w:rsidR="00575BC3" w:rsidRDefault="00575BC3" w:rsidP="00575BC3">
      <w:r>
        <w:t>Given the proposed level of protection of -115 dBm/30kHz at the boundary and the subsequent base station separation from the boundary as shown in Figure 3, Table 9 below shows the calculated interference level for each scenario presented in Table 8.</w:t>
      </w:r>
    </w:p>
    <w:p w:rsidR="00575BC3" w:rsidRDefault="00575BC3" w:rsidP="00575BC3"/>
    <w:p w:rsidR="00575BC3" w:rsidRDefault="00575BC3" w:rsidP="00575BC3"/>
    <w:p w:rsidR="00575BC3" w:rsidRDefault="00575BC3" w:rsidP="00575BC3"/>
    <w:p w:rsidR="00575BC3" w:rsidRDefault="00575BC3" w:rsidP="00575BC3"/>
    <w:p w:rsidR="00575BC3" w:rsidRDefault="00575BC3" w:rsidP="00575BC3"/>
    <w:p w:rsidR="007F5810" w:rsidRDefault="007F5810" w:rsidP="00575BC3"/>
    <w:p w:rsidR="00575BC3" w:rsidRDefault="00575BC3" w:rsidP="00575BC3"/>
    <w:p w:rsidR="00575BC3" w:rsidRDefault="00575BC3" w:rsidP="00575BC3">
      <w:r>
        <w:lastRenderedPageBreak/>
        <w:t>Table 9: maximum received interference level across the licence boundary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1583"/>
        <w:gridCol w:w="1832"/>
        <w:gridCol w:w="1833"/>
        <w:gridCol w:w="1833"/>
      </w:tblGrid>
      <w:tr w:rsidR="00575BC3" w:rsidTr="00B172E8">
        <w:tc>
          <w:tcPr>
            <w:tcW w:w="2093" w:type="dxa"/>
          </w:tcPr>
          <w:p w:rsidR="00575BC3" w:rsidRDefault="00575BC3" w:rsidP="003755AB"/>
        </w:tc>
        <w:tc>
          <w:tcPr>
            <w:tcW w:w="1583" w:type="dxa"/>
          </w:tcPr>
          <w:p w:rsidR="00575BC3" w:rsidRPr="001113AE" w:rsidRDefault="00575BC3" w:rsidP="003755AB">
            <w:pPr>
              <w:rPr>
                <w:b/>
              </w:rPr>
            </w:pPr>
            <w:r w:rsidRPr="001113AE">
              <w:rPr>
                <w:b/>
              </w:rPr>
              <w:t>GSM BS to IMT MS</w:t>
            </w:r>
          </w:p>
        </w:tc>
        <w:tc>
          <w:tcPr>
            <w:tcW w:w="1832" w:type="dxa"/>
          </w:tcPr>
          <w:p w:rsidR="00575BC3" w:rsidRPr="001113AE" w:rsidRDefault="00575BC3" w:rsidP="003755AB">
            <w:pPr>
              <w:rPr>
                <w:b/>
              </w:rPr>
            </w:pPr>
            <w:r w:rsidRPr="001113AE">
              <w:rPr>
                <w:b/>
              </w:rPr>
              <w:t>IMT BS to GSM MS</w:t>
            </w:r>
          </w:p>
        </w:tc>
        <w:tc>
          <w:tcPr>
            <w:tcW w:w="1833" w:type="dxa"/>
          </w:tcPr>
          <w:p w:rsidR="00575BC3" w:rsidRPr="001113AE" w:rsidRDefault="00575BC3" w:rsidP="003755AB">
            <w:pPr>
              <w:rPr>
                <w:b/>
              </w:rPr>
            </w:pPr>
            <w:r w:rsidRPr="001113AE">
              <w:rPr>
                <w:b/>
              </w:rPr>
              <w:t>GSM MS to IMT BS</w:t>
            </w:r>
          </w:p>
        </w:tc>
        <w:tc>
          <w:tcPr>
            <w:tcW w:w="1833" w:type="dxa"/>
          </w:tcPr>
          <w:p w:rsidR="00575BC3" w:rsidRPr="001113AE" w:rsidRDefault="00575BC3" w:rsidP="003755AB">
            <w:pPr>
              <w:rPr>
                <w:b/>
              </w:rPr>
            </w:pPr>
            <w:r w:rsidRPr="001113AE">
              <w:rPr>
                <w:b/>
              </w:rPr>
              <w:t>IMT MS to GSM BS</w:t>
            </w:r>
          </w:p>
        </w:tc>
      </w:tr>
      <w:tr w:rsidR="00575BC3" w:rsidTr="00B172E8">
        <w:tc>
          <w:tcPr>
            <w:tcW w:w="2093" w:type="dxa"/>
          </w:tcPr>
          <w:p w:rsidR="00575BC3" w:rsidRPr="001113AE" w:rsidRDefault="00575BC3" w:rsidP="003755AB">
            <w:pPr>
              <w:rPr>
                <w:b/>
              </w:rPr>
            </w:pPr>
            <w:r w:rsidRPr="001113AE">
              <w:rPr>
                <w:b/>
              </w:rPr>
              <w:t>EIRP dBm/30kHz</w:t>
            </w:r>
          </w:p>
        </w:tc>
        <w:tc>
          <w:tcPr>
            <w:tcW w:w="1583" w:type="dxa"/>
          </w:tcPr>
          <w:p w:rsidR="00575BC3" w:rsidRDefault="00575BC3" w:rsidP="003755AB">
            <w:r>
              <w:t>50</w:t>
            </w:r>
          </w:p>
        </w:tc>
        <w:tc>
          <w:tcPr>
            <w:tcW w:w="1832" w:type="dxa"/>
          </w:tcPr>
          <w:p w:rsidR="00575BC3" w:rsidRDefault="00575BC3" w:rsidP="003755AB">
            <w:r>
              <w:t>36</w:t>
            </w:r>
          </w:p>
        </w:tc>
        <w:tc>
          <w:tcPr>
            <w:tcW w:w="1833" w:type="dxa"/>
          </w:tcPr>
          <w:p w:rsidR="00575BC3" w:rsidRDefault="00575BC3" w:rsidP="003755AB">
            <w:r>
              <w:t>22</w:t>
            </w:r>
          </w:p>
        </w:tc>
        <w:tc>
          <w:tcPr>
            <w:tcW w:w="1833" w:type="dxa"/>
          </w:tcPr>
          <w:p w:rsidR="00575BC3" w:rsidRDefault="00575BC3" w:rsidP="003755AB">
            <w:r>
              <w:t>3</w:t>
            </w:r>
          </w:p>
        </w:tc>
      </w:tr>
      <w:tr w:rsidR="00575BC3" w:rsidTr="00B172E8">
        <w:tc>
          <w:tcPr>
            <w:tcW w:w="2093" w:type="dxa"/>
          </w:tcPr>
          <w:p w:rsidR="00575BC3" w:rsidRPr="001113AE" w:rsidRDefault="00575BC3" w:rsidP="003755AB">
            <w:pPr>
              <w:rPr>
                <w:b/>
              </w:rPr>
            </w:pPr>
            <w:r>
              <w:rPr>
                <w:b/>
              </w:rPr>
              <w:t>Separation distance (km)</w:t>
            </w:r>
          </w:p>
        </w:tc>
        <w:tc>
          <w:tcPr>
            <w:tcW w:w="1583" w:type="dxa"/>
          </w:tcPr>
          <w:p w:rsidR="00575BC3" w:rsidRPr="00CB0891" w:rsidRDefault="00575BC3" w:rsidP="003755AB">
            <w:r>
              <w:t>7.5</w:t>
            </w:r>
          </w:p>
        </w:tc>
        <w:tc>
          <w:tcPr>
            <w:tcW w:w="1832" w:type="dxa"/>
          </w:tcPr>
          <w:p w:rsidR="00575BC3" w:rsidRDefault="00575BC3" w:rsidP="003755AB">
            <w:r>
              <w:t>7.5</w:t>
            </w:r>
          </w:p>
        </w:tc>
        <w:tc>
          <w:tcPr>
            <w:tcW w:w="1833" w:type="dxa"/>
          </w:tcPr>
          <w:p w:rsidR="00575BC3" w:rsidRDefault="00575BC3" w:rsidP="003755AB">
            <w:r>
              <w:t>7.5</w:t>
            </w:r>
          </w:p>
        </w:tc>
        <w:tc>
          <w:tcPr>
            <w:tcW w:w="1833" w:type="dxa"/>
          </w:tcPr>
          <w:p w:rsidR="00575BC3" w:rsidRDefault="00575BC3" w:rsidP="003755AB">
            <w:r>
              <w:t>7.5</w:t>
            </w:r>
          </w:p>
        </w:tc>
      </w:tr>
      <w:tr w:rsidR="00575BC3" w:rsidTr="00B172E8">
        <w:tc>
          <w:tcPr>
            <w:tcW w:w="2093" w:type="dxa"/>
          </w:tcPr>
          <w:p w:rsidR="00575BC3" w:rsidRPr="001113AE" w:rsidRDefault="00575BC3" w:rsidP="003755AB">
            <w:pPr>
              <w:rPr>
                <w:b/>
              </w:rPr>
            </w:pPr>
            <w:r>
              <w:rPr>
                <w:b/>
              </w:rPr>
              <w:t>Path loss</w:t>
            </w:r>
            <w:r w:rsidRPr="001113AE">
              <w:rPr>
                <w:b/>
              </w:rPr>
              <w:t xml:space="preserve"> </w:t>
            </w:r>
            <w:r>
              <w:rPr>
                <w:b/>
              </w:rPr>
              <w:t>(</w:t>
            </w:r>
            <w:r w:rsidRPr="001113AE">
              <w:rPr>
                <w:b/>
              </w:rPr>
              <w:t>dB</w:t>
            </w:r>
            <w:r>
              <w:rPr>
                <w:b/>
              </w:rPr>
              <w:t>)</w:t>
            </w:r>
          </w:p>
        </w:tc>
        <w:tc>
          <w:tcPr>
            <w:tcW w:w="1583" w:type="dxa"/>
          </w:tcPr>
          <w:p w:rsidR="00575BC3" w:rsidRPr="00CB0891" w:rsidRDefault="00575BC3" w:rsidP="003755AB">
            <w:r>
              <w:t>167.4</w:t>
            </w:r>
          </w:p>
        </w:tc>
        <w:tc>
          <w:tcPr>
            <w:tcW w:w="1832" w:type="dxa"/>
          </w:tcPr>
          <w:p w:rsidR="00575BC3" w:rsidRDefault="00575BC3" w:rsidP="003755AB">
            <w:r>
              <w:t>167.4</w:t>
            </w:r>
          </w:p>
        </w:tc>
        <w:tc>
          <w:tcPr>
            <w:tcW w:w="1833" w:type="dxa"/>
          </w:tcPr>
          <w:p w:rsidR="00575BC3" w:rsidRDefault="00575BC3" w:rsidP="003755AB">
            <w:r>
              <w:t>167.4</w:t>
            </w:r>
          </w:p>
        </w:tc>
        <w:tc>
          <w:tcPr>
            <w:tcW w:w="1833" w:type="dxa"/>
          </w:tcPr>
          <w:p w:rsidR="00575BC3" w:rsidRDefault="00575BC3" w:rsidP="003755AB">
            <w:r>
              <w:t>167.4</w:t>
            </w:r>
          </w:p>
        </w:tc>
      </w:tr>
      <w:tr w:rsidR="00575BC3" w:rsidTr="00B172E8">
        <w:tc>
          <w:tcPr>
            <w:tcW w:w="2093" w:type="dxa"/>
            <w:tcBorders>
              <w:bottom w:val="single" w:sz="4" w:space="0" w:color="auto"/>
            </w:tcBorders>
          </w:tcPr>
          <w:p w:rsidR="00575BC3" w:rsidRPr="001113AE" w:rsidRDefault="00575BC3" w:rsidP="003755AB">
            <w:pPr>
              <w:rPr>
                <w:b/>
              </w:rPr>
            </w:pPr>
            <w:r>
              <w:rPr>
                <w:b/>
              </w:rPr>
              <w:t xml:space="preserve">Interference level at Rx </w:t>
            </w:r>
            <w:r w:rsidR="00B172E8">
              <w:rPr>
                <w:b/>
              </w:rPr>
              <w:t xml:space="preserve">antenna </w:t>
            </w:r>
            <w:r>
              <w:rPr>
                <w:b/>
              </w:rPr>
              <w:t>dBm/30kHz</w:t>
            </w:r>
          </w:p>
        </w:tc>
        <w:tc>
          <w:tcPr>
            <w:tcW w:w="1583" w:type="dxa"/>
            <w:tcBorders>
              <w:bottom w:val="single" w:sz="4" w:space="0" w:color="auto"/>
            </w:tcBorders>
          </w:tcPr>
          <w:p w:rsidR="00575BC3" w:rsidRDefault="00575BC3" w:rsidP="003755AB">
            <w:r>
              <w:t>-117.4</w:t>
            </w:r>
          </w:p>
        </w:tc>
        <w:tc>
          <w:tcPr>
            <w:tcW w:w="1832" w:type="dxa"/>
            <w:tcBorders>
              <w:bottom w:val="single" w:sz="4" w:space="0" w:color="auto"/>
            </w:tcBorders>
          </w:tcPr>
          <w:p w:rsidR="00575BC3" w:rsidRDefault="00575BC3" w:rsidP="003755AB">
            <w:r>
              <w:t>-131.4</w:t>
            </w:r>
          </w:p>
        </w:tc>
        <w:tc>
          <w:tcPr>
            <w:tcW w:w="1833" w:type="dxa"/>
            <w:tcBorders>
              <w:bottom w:val="single" w:sz="4" w:space="0" w:color="auto"/>
            </w:tcBorders>
          </w:tcPr>
          <w:p w:rsidR="00575BC3" w:rsidRDefault="00575BC3" w:rsidP="003755AB">
            <w:r>
              <w:t>-145.4</w:t>
            </w:r>
          </w:p>
        </w:tc>
        <w:tc>
          <w:tcPr>
            <w:tcW w:w="1833" w:type="dxa"/>
            <w:tcBorders>
              <w:bottom w:val="single" w:sz="4" w:space="0" w:color="auto"/>
            </w:tcBorders>
          </w:tcPr>
          <w:p w:rsidR="00575BC3" w:rsidRDefault="00575BC3" w:rsidP="003755AB">
            <w:r>
              <w:t>-164.4</w:t>
            </w:r>
          </w:p>
        </w:tc>
      </w:tr>
      <w:tr w:rsidR="00575BC3" w:rsidTr="00B172E8">
        <w:tc>
          <w:tcPr>
            <w:tcW w:w="2093" w:type="dxa"/>
            <w:tcBorders>
              <w:bottom w:val="double" w:sz="12" w:space="0" w:color="auto"/>
            </w:tcBorders>
          </w:tcPr>
          <w:p w:rsidR="00575BC3" w:rsidRDefault="00575BC3" w:rsidP="004C372E">
            <w:pPr>
              <w:rPr>
                <w:b/>
              </w:rPr>
            </w:pPr>
            <w:r w:rsidRPr="001113AE">
              <w:rPr>
                <w:b/>
              </w:rPr>
              <w:t>Max Int. (Rx</w:t>
            </w:r>
            <w:r>
              <w:rPr>
                <w:b/>
              </w:rPr>
              <w:t xml:space="preserve"> </w:t>
            </w:r>
            <w:r w:rsidR="004C372E">
              <w:rPr>
                <w:b/>
              </w:rPr>
              <w:t>a</w:t>
            </w:r>
            <w:r>
              <w:rPr>
                <w:b/>
              </w:rPr>
              <w:t>nt</w:t>
            </w:r>
            <w:r w:rsidR="004C372E">
              <w:rPr>
                <w:b/>
              </w:rPr>
              <w:t>enna</w:t>
            </w:r>
            <w:r w:rsidRPr="001113AE">
              <w:rPr>
                <w:b/>
              </w:rPr>
              <w:t>) dBm/30kHz</w:t>
            </w:r>
          </w:p>
        </w:tc>
        <w:tc>
          <w:tcPr>
            <w:tcW w:w="1583" w:type="dxa"/>
            <w:tcBorders>
              <w:bottom w:val="double" w:sz="12" w:space="0" w:color="auto"/>
            </w:tcBorders>
          </w:tcPr>
          <w:p w:rsidR="00575BC3" w:rsidRDefault="00575BC3" w:rsidP="003755AB">
            <w:r w:rsidRPr="00CB0891">
              <w:t>-126</w:t>
            </w:r>
          </w:p>
        </w:tc>
        <w:tc>
          <w:tcPr>
            <w:tcW w:w="1832" w:type="dxa"/>
            <w:tcBorders>
              <w:bottom w:val="double" w:sz="12" w:space="0" w:color="auto"/>
            </w:tcBorders>
          </w:tcPr>
          <w:p w:rsidR="00575BC3" w:rsidRDefault="00575BC3" w:rsidP="003755AB">
            <w:r>
              <w:t>-105</w:t>
            </w:r>
          </w:p>
        </w:tc>
        <w:tc>
          <w:tcPr>
            <w:tcW w:w="1833" w:type="dxa"/>
            <w:tcBorders>
              <w:bottom w:val="double" w:sz="12" w:space="0" w:color="auto"/>
            </w:tcBorders>
          </w:tcPr>
          <w:p w:rsidR="00575BC3" w:rsidRDefault="00575BC3" w:rsidP="003755AB">
            <w:r>
              <w:t>-145</w:t>
            </w:r>
          </w:p>
        </w:tc>
        <w:tc>
          <w:tcPr>
            <w:tcW w:w="1833" w:type="dxa"/>
            <w:tcBorders>
              <w:bottom w:val="double" w:sz="12" w:space="0" w:color="auto"/>
            </w:tcBorders>
          </w:tcPr>
          <w:p w:rsidR="00575BC3" w:rsidRDefault="00575BC3" w:rsidP="003755AB">
            <w:r>
              <w:t>-136</w:t>
            </w:r>
          </w:p>
        </w:tc>
      </w:tr>
      <w:tr w:rsidR="00575BC3" w:rsidTr="00B172E8">
        <w:tc>
          <w:tcPr>
            <w:tcW w:w="2093" w:type="dxa"/>
            <w:tcBorders>
              <w:top w:val="double" w:sz="12" w:space="0" w:color="auto"/>
            </w:tcBorders>
          </w:tcPr>
          <w:p w:rsidR="00575BC3" w:rsidRDefault="00575BC3" w:rsidP="003755AB"/>
        </w:tc>
        <w:tc>
          <w:tcPr>
            <w:tcW w:w="1583" w:type="dxa"/>
            <w:tcBorders>
              <w:top w:val="double" w:sz="12" w:space="0" w:color="auto"/>
            </w:tcBorders>
          </w:tcPr>
          <w:p w:rsidR="00575BC3" w:rsidRPr="001113AE" w:rsidRDefault="00575BC3" w:rsidP="003755AB">
            <w:pPr>
              <w:rPr>
                <w:b/>
              </w:rPr>
            </w:pPr>
            <w:r>
              <w:rPr>
                <w:b/>
              </w:rPr>
              <w:t>GSM BS to GSM</w:t>
            </w:r>
            <w:r w:rsidRPr="001113AE">
              <w:rPr>
                <w:b/>
              </w:rPr>
              <w:t xml:space="preserve"> MS</w:t>
            </w:r>
          </w:p>
        </w:tc>
        <w:tc>
          <w:tcPr>
            <w:tcW w:w="1832" w:type="dxa"/>
            <w:tcBorders>
              <w:top w:val="double" w:sz="12" w:space="0" w:color="auto"/>
            </w:tcBorders>
          </w:tcPr>
          <w:p w:rsidR="00575BC3" w:rsidRPr="001113AE" w:rsidRDefault="00575BC3" w:rsidP="003755AB">
            <w:pPr>
              <w:rPr>
                <w:b/>
              </w:rPr>
            </w:pPr>
            <w:r w:rsidRPr="001113AE">
              <w:rPr>
                <w:b/>
              </w:rPr>
              <w:t>GSM MS</w:t>
            </w:r>
            <w:r>
              <w:rPr>
                <w:b/>
              </w:rPr>
              <w:t xml:space="preserve"> to GSM BS</w:t>
            </w:r>
          </w:p>
        </w:tc>
        <w:tc>
          <w:tcPr>
            <w:tcW w:w="1833" w:type="dxa"/>
            <w:tcBorders>
              <w:top w:val="double" w:sz="12" w:space="0" w:color="auto"/>
            </w:tcBorders>
          </w:tcPr>
          <w:p w:rsidR="00575BC3" w:rsidRPr="001113AE" w:rsidRDefault="00575BC3" w:rsidP="003755AB">
            <w:pPr>
              <w:rPr>
                <w:b/>
              </w:rPr>
            </w:pPr>
            <w:r w:rsidRPr="001113AE">
              <w:rPr>
                <w:b/>
              </w:rPr>
              <w:t>IMT BS</w:t>
            </w:r>
            <w:r>
              <w:rPr>
                <w:b/>
              </w:rPr>
              <w:t xml:space="preserve"> to IMT MS</w:t>
            </w:r>
          </w:p>
        </w:tc>
        <w:tc>
          <w:tcPr>
            <w:tcW w:w="1833" w:type="dxa"/>
            <w:tcBorders>
              <w:top w:val="double" w:sz="12" w:space="0" w:color="auto"/>
            </w:tcBorders>
          </w:tcPr>
          <w:p w:rsidR="00575BC3" w:rsidRPr="001113AE" w:rsidRDefault="00575BC3" w:rsidP="003755AB">
            <w:pPr>
              <w:rPr>
                <w:b/>
              </w:rPr>
            </w:pPr>
            <w:r w:rsidRPr="001113AE">
              <w:rPr>
                <w:b/>
              </w:rPr>
              <w:t xml:space="preserve">IMT MS to </w:t>
            </w:r>
            <w:r>
              <w:rPr>
                <w:b/>
              </w:rPr>
              <w:t>IMT</w:t>
            </w:r>
            <w:r w:rsidRPr="001113AE">
              <w:rPr>
                <w:b/>
              </w:rPr>
              <w:t xml:space="preserve"> BS</w:t>
            </w:r>
          </w:p>
        </w:tc>
      </w:tr>
      <w:tr w:rsidR="00575BC3" w:rsidTr="00B172E8">
        <w:tc>
          <w:tcPr>
            <w:tcW w:w="2093" w:type="dxa"/>
          </w:tcPr>
          <w:p w:rsidR="00575BC3" w:rsidRPr="001113AE" w:rsidRDefault="00575BC3" w:rsidP="003755AB">
            <w:pPr>
              <w:rPr>
                <w:b/>
              </w:rPr>
            </w:pPr>
            <w:r w:rsidRPr="001113AE">
              <w:rPr>
                <w:b/>
              </w:rPr>
              <w:t>EIRP dBm/30kHz</w:t>
            </w:r>
          </w:p>
        </w:tc>
        <w:tc>
          <w:tcPr>
            <w:tcW w:w="1583" w:type="dxa"/>
          </w:tcPr>
          <w:p w:rsidR="00575BC3" w:rsidRDefault="00575BC3" w:rsidP="003755AB">
            <w:r>
              <w:t>50</w:t>
            </w:r>
          </w:p>
        </w:tc>
        <w:tc>
          <w:tcPr>
            <w:tcW w:w="1832" w:type="dxa"/>
          </w:tcPr>
          <w:p w:rsidR="00575BC3" w:rsidRDefault="00575BC3" w:rsidP="003755AB">
            <w:r>
              <w:t>22</w:t>
            </w:r>
          </w:p>
        </w:tc>
        <w:tc>
          <w:tcPr>
            <w:tcW w:w="1833" w:type="dxa"/>
          </w:tcPr>
          <w:p w:rsidR="00575BC3" w:rsidRDefault="00575BC3" w:rsidP="003755AB">
            <w:r>
              <w:t>36</w:t>
            </w:r>
          </w:p>
        </w:tc>
        <w:tc>
          <w:tcPr>
            <w:tcW w:w="1833" w:type="dxa"/>
          </w:tcPr>
          <w:p w:rsidR="00575BC3" w:rsidRDefault="00575BC3" w:rsidP="003755AB">
            <w:r>
              <w:t>3</w:t>
            </w:r>
          </w:p>
        </w:tc>
      </w:tr>
      <w:tr w:rsidR="00575BC3" w:rsidTr="00B172E8">
        <w:tc>
          <w:tcPr>
            <w:tcW w:w="2093" w:type="dxa"/>
          </w:tcPr>
          <w:p w:rsidR="00575BC3" w:rsidRPr="001113AE" w:rsidRDefault="00575BC3" w:rsidP="003755AB">
            <w:pPr>
              <w:rPr>
                <w:b/>
              </w:rPr>
            </w:pPr>
            <w:r>
              <w:rPr>
                <w:b/>
              </w:rPr>
              <w:t>Separation distance (km)</w:t>
            </w:r>
          </w:p>
        </w:tc>
        <w:tc>
          <w:tcPr>
            <w:tcW w:w="1583" w:type="dxa"/>
          </w:tcPr>
          <w:p w:rsidR="00575BC3" w:rsidRPr="00CB0891" w:rsidRDefault="00575BC3" w:rsidP="003755AB">
            <w:r>
              <w:t>11</w:t>
            </w:r>
          </w:p>
        </w:tc>
        <w:tc>
          <w:tcPr>
            <w:tcW w:w="1832" w:type="dxa"/>
          </w:tcPr>
          <w:p w:rsidR="00575BC3" w:rsidRDefault="00575BC3" w:rsidP="003755AB">
            <w:r>
              <w:t>11</w:t>
            </w:r>
          </w:p>
        </w:tc>
        <w:tc>
          <w:tcPr>
            <w:tcW w:w="1833" w:type="dxa"/>
          </w:tcPr>
          <w:p w:rsidR="00575BC3" w:rsidRDefault="00575BC3" w:rsidP="003755AB">
            <w:r>
              <w:t>4</w:t>
            </w:r>
          </w:p>
        </w:tc>
        <w:tc>
          <w:tcPr>
            <w:tcW w:w="1833" w:type="dxa"/>
          </w:tcPr>
          <w:p w:rsidR="00575BC3" w:rsidRDefault="00575BC3" w:rsidP="003755AB">
            <w:r>
              <w:t>4</w:t>
            </w:r>
          </w:p>
        </w:tc>
      </w:tr>
      <w:tr w:rsidR="00575BC3" w:rsidTr="00B172E8">
        <w:tc>
          <w:tcPr>
            <w:tcW w:w="2093" w:type="dxa"/>
          </w:tcPr>
          <w:p w:rsidR="00575BC3" w:rsidRPr="001113AE" w:rsidRDefault="00575BC3" w:rsidP="003755AB">
            <w:pPr>
              <w:rPr>
                <w:b/>
              </w:rPr>
            </w:pPr>
            <w:r>
              <w:rPr>
                <w:b/>
              </w:rPr>
              <w:t>Path loss</w:t>
            </w:r>
            <w:r w:rsidRPr="001113AE">
              <w:rPr>
                <w:b/>
              </w:rPr>
              <w:t xml:space="preserve"> </w:t>
            </w:r>
            <w:r>
              <w:rPr>
                <w:b/>
              </w:rPr>
              <w:t>(</w:t>
            </w:r>
            <w:r w:rsidRPr="001113AE">
              <w:rPr>
                <w:b/>
              </w:rPr>
              <w:t>dB</w:t>
            </w:r>
            <w:r>
              <w:rPr>
                <w:b/>
              </w:rPr>
              <w:t>)</w:t>
            </w:r>
          </w:p>
        </w:tc>
        <w:tc>
          <w:tcPr>
            <w:tcW w:w="1583" w:type="dxa"/>
          </w:tcPr>
          <w:p w:rsidR="00575BC3" w:rsidRPr="00CB0891" w:rsidRDefault="00575BC3" w:rsidP="003755AB">
            <w:r>
              <w:t>173.2</w:t>
            </w:r>
          </w:p>
        </w:tc>
        <w:tc>
          <w:tcPr>
            <w:tcW w:w="1832" w:type="dxa"/>
          </w:tcPr>
          <w:p w:rsidR="00575BC3" w:rsidRDefault="00575BC3" w:rsidP="003755AB">
            <w:r>
              <w:t>173.2</w:t>
            </w:r>
          </w:p>
        </w:tc>
        <w:tc>
          <w:tcPr>
            <w:tcW w:w="1833" w:type="dxa"/>
          </w:tcPr>
          <w:p w:rsidR="00575BC3" w:rsidRDefault="00575BC3" w:rsidP="003755AB">
            <w:r>
              <w:t>157.7</w:t>
            </w:r>
          </w:p>
        </w:tc>
        <w:tc>
          <w:tcPr>
            <w:tcW w:w="1833" w:type="dxa"/>
          </w:tcPr>
          <w:p w:rsidR="00575BC3" w:rsidRDefault="00575BC3" w:rsidP="003755AB">
            <w:r>
              <w:t>157.7</w:t>
            </w:r>
          </w:p>
        </w:tc>
      </w:tr>
      <w:tr w:rsidR="00575BC3" w:rsidTr="00B172E8">
        <w:tc>
          <w:tcPr>
            <w:tcW w:w="2093" w:type="dxa"/>
          </w:tcPr>
          <w:p w:rsidR="00575BC3" w:rsidRPr="001113AE" w:rsidRDefault="00575BC3" w:rsidP="003755AB">
            <w:pPr>
              <w:rPr>
                <w:b/>
              </w:rPr>
            </w:pPr>
            <w:r>
              <w:rPr>
                <w:b/>
              </w:rPr>
              <w:t xml:space="preserve">Interference level at Rx </w:t>
            </w:r>
            <w:r w:rsidR="004C372E">
              <w:rPr>
                <w:b/>
              </w:rPr>
              <w:t xml:space="preserve">antenna </w:t>
            </w:r>
            <w:r>
              <w:rPr>
                <w:b/>
              </w:rPr>
              <w:t>dBm/30kHz</w:t>
            </w:r>
          </w:p>
        </w:tc>
        <w:tc>
          <w:tcPr>
            <w:tcW w:w="1583" w:type="dxa"/>
          </w:tcPr>
          <w:p w:rsidR="00575BC3" w:rsidRDefault="00575BC3" w:rsidP="003755AB">
            <w:r>
              <w:t>-123.2</w:t>
            </w:r>
          </w:p>
        </w:tc>
        <w:tc>
          <w:tcPr>
            <w:tcW w:w="1832" w:type="dxa"/>
          </w:tcPr>
          <w:p w:rsidR="00575BC3" w:rsidRDefault="00575BC3" w:rsidP="003755AB">
            <w:r>
              <w:t>-151.2</w:t>
            </w:r>
          </w:p>
        </w:tc>
        <w:tc>
          <w:tcPr>
            <w:tcW w:w="1833" w:type="dxa"/>
          </w:tcPr>
          <w:p w:rsidR="00575BC3" w:rsidRDefault="00575BC3" w:rsidP="003755AB">
            <w:r>
              <w:t>-121.7</w:t>
            </w:r>
          </w:p>
        </w:tc>
        <w:tc>
          <w:tcPr>
            <w:tcW w:w="1833" w:type="dxa"/>
          </w:tcPr>
          <w:p w:rsidR="00575BC3" w:rsidRDefault="00575BC3" w:rsidP="003755AB">
            <w:r>
              <w:t>-154.7</w:t>
            </w:r>
          </w:p>
        </w:tc>
      </w:tr>
      <w:tr w:rsidR="00575BC3" w:rsidTr="00B172E8">
        <w:tc>
          <w:tcPr>
            <w:tcW w:w="2093" w:type="dxa"/>
          </w:tcPr>
          <w:p w:rsidR="00575BC3" w:rsidRDefault="00575BC3" w:rsidP="004C372E">
            <w:pPr>
              <w:rPr>
                <w:b/>
              </w:rPr>
            </w:pPr>
            <w:r w:rsidRPr="001113AE">
              <w:rPr>
                <w:b/>
              </w:rPr>
              <w:t>Max Int. (</w:t>
            </w:r>
            <w:r>
              <w:rPr>
                <w:b/>
              </w:rPr>
              <w:t>Rx</w:t>
            </w:r>
            <w:r w:rsidRPr="001113AE">
              <w:rPr>
                <w:b/>
              </w:rPr>
              <w:t xml:space="preserve"> </w:t>
            </w:r>
            <w:r w:rsidR="004C372E">
              <w:rPr>
                <w:b/>
              </w:rPr>
              <w:t>a</w:t>
            </w:r>
            <w:r>
              <w:rPr>
                <w:b/>
              </w:rPr>
              <w:t>nt</w:t>
            </w:r>
            <w:r w:rsidR="004C372E">
              <w:rPr>
                <w:b/>
              </w:rPr>
              <w:t>enna</w:t>
            </w:r>
            <w:r w:rsidRPr="001113AE">
              <w:rPr>
                <w:b/>
              </w:rPr>
              <w:t>) dBm/30kHz</w:t>
            </w:r>
          </w:p>
        </w:tc>
        <w:tc>
          <w:tcPr>
            <w:tcW w:w="1583" w:type="dxa"/>
          </w:tcPr>
          <w:p w:rsidR="00575BC3" w:rsidRDefault="00575BC3" w:rsidP="003755AB">
            <w:r>
              <w:t>-105</w:t>
            </w:r>
          </w:p>
        </w:tc>
        <w:tc>
          <w:tcPr>
            <w:tcW w:w="1832" w:type="dxa"/>
          </w:tcPr>
          <w:p w:rsidR="00575BC3" w:rsidRDefault="00575BC3" w:rsidP="003755AB">
            <w:r>
              <w:t>-136</w:t>
            </w:r>
          </w:p>
        </w:tc>
        <w:tc>
          <w:tcPr>
            <w:tcW w:w="1833" w:type="dxa"/>
          </w:tcPr>
          <w:p w:rsidR="00575BC3" w:rsidRDefault="00575BC3" w:rsidP="003755AB">
            <w:r>
              <w:t>-126</w:t>
            </w:r>
          </w:p>
        </w:tc>
        <w:tc>
          <w:tcPr>
            <w:tcW w:w="1833" w:type="dxa"/>
          </w:tcPr>
          <w:p w:rsidR="00575BC3" w:rsidRDefault="00575BC3" w:rsidP="003755AB">
            <w:r>
              <w:t>-145</w:t>
            </w:r>
          </w:p>
        </w:tc>
      </w:tr>
    </w:tbl>
    <w:p w:rsidR="00575BC3" w:rsidRPr="00BD0640" w:rsidRDefault="00575BC3" w:rsidP="00575BC3">
      <w:pPr>
        <w:pStyle w:val="Heading3"/>
        <w:rPr>
          <w:rFonts w:ascii="Times New Roman" w:hAnsi="Times New Roman" w:cs="Times New Roman"/>
          <w:b w:val="0"/>
        </w:rPr>
      </w:pPr>
      <w:r w:rsidRPr="00B9744D">
        <w:rPr>
          <w:rFonts w:ascii="Times New Roman" w:eastAsia="Times New Roman" w:hAnsi="Times New Roman" w:cs="Times New Roman"/>
          <w:b w:val="0"/>
          <w:bCs w:val="0"/>
          <w:color w:val="auto"/>
        </w:rPr>
        <w:t>As evident in Table 9, all stations will receive an interference level less than the maximum tolerable level as described in Section 3.2 for the reference technologies, with the exception of IMT mobile stations.</w:t>
      </w:r>
    </w:p>
    <w:p w:rsidR="00575BC3" w:rsidRDefault="00575BC3" w:rsidP="00575BC3"/>
    <w:p w:rsidR="00575BC3" w:rsidRDefault="00575BC3" w:rsidP="00575BC3">
      <w:r>
        <w:t>In</w:t>
      </w:r>
      <w:r w:rsidRPr="00BD0640">
        <w:t xml:space="preserve"> the worst case the IMT mobile station will receive an interference level of -117</w:t>
      </w:r>
      <w:r>
        <w:t>.4</w:t>
      </w:r>
      <w:r w:rsidRPr="00BD0640">
        <w:t xml:space="preserve"> dBm/30kHz</w:t>
      </w:r>
      <w:r>
        <w:t xml:space="preserve"> from an adjacent GSM base station</w:t>
      </w:r>
      <w:r w:rsidRPr="00BD0640">
        <w:t>. Although this is greater than the interference threshold of -126 dBm/30kHz, it still equates to a carrier-to-interference ratio (C/I) of 7</w:t>
      </w:r>
      <w:r>
        <w:t>.4</w:t>
      </w:r>
      <w:r w:rsidRPr="00BD0640">
        <w:t xml:space="preserve"> dB, assuming the minimum wanted level of -110 dBm/30kHz for LTE.</w:t>
      </w:r>
    </w:p>
    <w:p w:rsidR="00575BC3" w:rsidRDefault="00575BC3" w:rsidP="00575BC3"/>
    <w:p w:rsidR="00A847E2" w:rsidRDefault="00575BC3" w:rsidP="00575BC3">
      <w:r>
        <w:t>The LOP of -115 dBm/30kHz at the boundary is intended to provide adequate base station separation from the boundary to enable co-existence between adjacent area services while not placing overly restrictive constraints on transmitter deployment. Protecting to the full interference threshold of -126 dBm/30kHz will result in greater transmitter separation from the boundary and more constraints on deployment. However, if greater protection is required for particular circumstances, licensees can decide to place services further from the boundary to gain the required extra protection.</w:t>
      </w:r>
    </w:p>
    <w:p w:rsidR="00A847E2" w:rsidRDefault="00A847E2" w:rsidP="00575BC3"/>
    <w:p w:rsidR="00575BC3" w:rsidRDefault="00575BC3" w:rsidP="00575BC3">
      <w:pPr>
        <w:pBdr>
          <w:top w:val="single" w:sz="4" w:space="1" w:color="auto"/>
          <w:left w:val="single" w:sz="4" w:space="4" w:color="auto"/>
          <w:bottom w:val="single" w:sz="4" w:space="1" w:color="auto"/>
          <w:right w:val="single" w:sz="4" w:space="4" w:color="auto"/>
        </w:pBdr>
      </w:pPr>
      <w:r>
        <w:t>The proposed Level of Protection (LOP) at the licence geographic boundary is -115 dBm/30kHz. Advice is sort from the TLG as the whether the proposed LOP provides a sufficient balance between deployment flexibility and receiver protection, considering the likely receiver locations and deployment configurations.</w:t>
      </w:r>
    </w:p>
    <w:p w:rsidR="00A847E2" w:rsidRDefault="00A847E2" w:rsidP="00A847E2"/>
    <w:p w:rsidR="00575BC3" w:rsidRPr="00DC5B91" w:rsidRDefault="00575BC3" w:rsidP="00575BC3">
      <w:pPr>
        <w:pStyle w:val="Heading2"/>
      </w:pPr>
      <w:r>
        <w:lastRenderedPageBreak/>
        <w:t>6.</w:t>
      </w:r>
      <w:r>
        <w:tab/>
        <w:t>Device Boundary Criterion (DBC)</w:t>
      </w:r>
    </w:p>
    <w:p w:rsidR="00575BC3" w:rsidRDefault="00575BC3" w:rsidP="00575BC3">
      <w:r>
        <w:t xml:space="preserve">The device boundary of a transmitter, calculated using the Device Boundary Criterion (DBC), must lie within the geographic area of the licence otherwise the transmitter may be declared under the Section 145 Determination to cause unacceptable interference.  The device boundary aims to minimise co-channel interference across the geographic boundary of the licence.  </w:t>
      </w:r>
    </w:p>
    <w:p w:rsidR="00575BC3" w:rsidRDefault="00575BC3" w:rsidP="00575BC3"/>
    <w:p w:rsidR="00575BC3" w:rsidRDefault="00575BC3" w:rsidP="00575BC3">
      <w:r>
        <w:t xml:space="preserve">It does this by regulating the maximum radiated power level of transmitters located near the boundary of the licence.  Alternatively it can be seen as a tool for calculating the necessary separation of transmitters from the boundary of the licence to prevent interference to receivers in the adjacent licence geographic area.  The device boundary is drawn up by applying the device boundary criterion to the radio propagation paths along radials about the proposed transmitter site.  </w:t>
      </w:r>
    </w:p>
    <w:p w:rsidR="00575BC3" w:rsidRDefault="00575BC3" w:rsidP="00575BC3"/>
    <w:p w:rsidR="00575BC3" w:rsidRDefault="00575BC3" w:rsidP="00575BC3">
      <w:r>
        <w:t>The device boundary criterion value is calculated at set distances outward along each radial. The position of the device boundary is located where the value of the device boundary criterion diminishes to zero or first becomes a negative value.</w:t>
      </w:r>
    </w:p>
    <w:p w:rsidR="00575BC3" w:rsidRDefault="00575BC3" w:rsidP="00575BC3"/>
    <w:p w:rsidR="00575BC3" w:rsidRDefault="00575BC3" w:rsidP="00575BC3">
      <w:r>
        <w:t xml:space="preserve">The device boundary criterion is the difference between the horizontally radiated power of the transmitter including the level of measurement uncertainty and the modelled propagation loss of the path combined with the level of protection given to receivers in the geographically adjacent licence area. </w:t>
      </w:r>
    </w:p>
    <w:p w:rsidR="00575BC3" w:rsidRDefault="00575BC3" w:rsidP="00575BC3"/>
    <w:p w:rsidR="00575BC3" w:rsidRDefault="00575BC3" w:rsidP="00575BC3">
      <w:pPr>
        <w:pStyle w:val="Heading3"/>
      </w:pPr>
      <w:r>
        <w:t>6</w:t>
      </w:r>
      <w:r w:rsidRPr="00EC7856">
        <w:t>.1</w:t>
      </w:r>
      <w:r>
        <w:tab/>
        <w:t>Current Boundary Criterion</w:t>
      </w:r>
    </w:p>
    <w:p w:rsidR="00575BC3" w:rsidRPr="0018608F" w:rsidRDefault="00575BC3" w:rsidP="00575BC3">
      <w:r>
        <w:t xml:space="preserve">The current DBC is based on the original </w:t>
      </w:r>
      <w:proofErr w:type="spellStart"/>
      <w:r>
        <w:t>Hata</w:t>
      </w:r>
      <w:proofErr w:type="spellEnd"/>
      <w:r>
        <w:t xml:space="preserve"> urban propagation model and Okumura field strength curves, as well as the Level of Protection (LOP) of -122 dBm/30kHz. The current DBC also has the Scaling Parameter set to 4.8, which means that the LOP is met at the point 4.8 km beyond the boundary and not at the boundary. This is because the current system model in Figure 1 assumes the GSM mobile station being located at least 4.8 km from the boundary.</w:t>
      </w:r>
    </w:p>
    <w:p w:rsidR="00575BC3" w:rsidRDefault="00575BC3" w:rsidP="00575BC3"/>
    <w:p w:rsidR="00575BC3" w:rsidRDefault="00575BC3" w:rsidP="00575BC3">
      <w:r>
        <w:t>As with all previous spectrum licence bands, the 1800 MHz band DBC requires calculation along radials from the transmitter location. In the 1800 MHz band there are 144 radial with 2.5</w:t>
      </w:r>
      <w:r>
        <w:rPr>
          <w:rFonts w:ascii="Arial" w:hAnsi="Arial" w:cs="Arial"/>
        </w:rPr>
        <w:t>º</w:t>
      </w:r>
      <w:r>
        <w:t xml:space="preserve"> spacing with the first radial starting at 1.25</w:t>
      </w:r>
      <w:r>
        <w:rPr>
          <w:rFonts w:ascii="Arial" w:hAnsi="Arial" w:cs="Arial"/>
        </w:rPr>
        <w:t>º</w:t>
      </w:r>
      <w:r>
        <w:t xml:space="preserve"> referenced from true north.</w:t>
      </w:r>
    </w:p>
    <w:p w:rsidR="00575BC3" w:rsidRDefault="00575BC3" w:rsidP="00575BC3"/>
    <w:p w:rsidR="00575BC3" w:rsidRDefault="00575BC3" w:rsidP="00575BC3">
      <w:r>
        <w:t>The area between each radial (sectors) is divided into 30 segments that are at 5 minute increments along the radial. An illustration of sectors and segments arrangements is shown below in Figure 4.</w:t>
      </w:r>
    </w:p>
    <w:p w:rsidR="0086453C" w:rsidRDefault="0086453C" w:rsidP="00575BC3"/>
    <w:p w:rsidR="00575BC3" w:rsidRDefault="00575BC3" w:rsidP="00575BC3">
      <w:r>
        <w:t>Figure 4 – Sectors and segments</w:t>
      </w:r>
    </w:p>
    <w:p w:rsidR="00575BC3" w:rsidRDefault="00575BC3" w:rsidP="00575BC3">
      <w:pPr>
        <w:tabs>
          <w:tab w:val="left" w:pos="851"/>
          <w:tab w:val="left" w:pos="4678"/>
        </w:tabs>
      </w:pPr>
      <w:r>
        <w:tab/>
      </w:r>
      <w:r>
        <w:tab/>
      </w:r>
      <w:proofErr w:type="gramStart"/>
      <w:r>
        <w:t>segment</w:t>
      </w:r>
      <w:proofErr w:type="gramEnd"/>
    </w:p>
    <w:p w:rsidR="00575BC3" w:rsidRDefault="008A0FBE" w:rsidP="00575BC3">
      <w:pPr>
        <w:tabs>
          <w:tab w:val="left" w:pos="851"/>
        </w:tabs>
      </w:pPr>
      <w:r>
        <w:pict>
          <v:group id="_x0000_s1110" style="position:absolute;margin-left:140.5pt;margin-top:4.1pt;width:104.05pt;height:89.35pt;z-index:251658240" coordsize="20000,20000" o:allowincell="f">
            <v:oval id="_x0000_s1111" style="position:absolute;left:86;top:2182;width:15262;height:17773" fillcolor="#d9d9d9"/>
            <v:shape id="_x0000_s1112" style="position:absolute;left:7717;top:10643;width:5565;height:9256" coordsize="20000,20000" path="m553,l276,,19965,13615r-2867,2177l14266,17074r-3385,895l7530,19057r-3627,556l,19976,553,xe" fillcolor="#404040" strokeweight="1pt">
              <v:stroke startarrowwidth="narrow" startarrowlength="short" endarrowwidth="narrow" endarrowlength="short"/>
              <v:path arrowok="t"/>
            </v:shape>
            <v:line id="_x0000_s1113" style="position:absolute" from="12455,17739" to="19385,19351" strokeweight="1pt">
              <v:stroke startarrow="open" startarrowwidth="narrow" startarrowlength="short" endarrowwidth="narrow" endarrowlength="short"/>
            </v:line>
            <v:oval id="_x0000_s1114" style="position:absolute;left:1518;top:3693;width:12533;height:14594"/>
            <v:group id="_x0000_s1115" style="position:absolute;left:2883;top:5282;width:9813;height:11427" coordsize="20000,20000">
              <v:oval id="_x0000_s1116" style="position:absolute;width:20000;height:20000" fillcolor="#d9d9d9"/>
              <v:group id="_x0000_s1117" style="position:absolute;left:3055;top:2762;width:14436;height:14438" coordsize="20000,20000">
                <v:oval id="_x0000_s1118" style="position:absolute;width:20000;height:20000" fillcolor="#d9d9d9"/>
                <v:oval id="_x0000_s1119" style="position:absolute;left:3854;top:3855;width:12319;height:12319" fillcolor="#d9d9d9"/>
              </v:group>
            </v:group>
            <v:shape id="_x0000_s1120" style="position:absolute;left:7717;top:4622;width:7795;height:6312" coordsize="20000,20000" path="m,19681r,284l14057,r1479,3191l17016,6667r1110,3191l18693,12234r740,4255l19975,19681,,19681xe" fillcolor="#b2b2b2" strokeweight="1pt">
              <v:stroke startarrowwidth="narrow" startarrowlength="short" endarrowwidth="narrow" endarrowlength="short"/>
              <v:path arrowok="t"/>
            </v:shape>
            <v:group id="_x0000_s1121" style="position:absolute;top:2193;width:15291;height:17807" coordorigin=",281" coordsize="20000,19426">
              <v:line id="_x0000_s1122" style="position:absolute" from="0,9793" to="20000,9805" strokeweight="1pt">
                <v:stroke startarrowwidth="narrow" startarrowlength="short" endarrowwidth="narrow" endarrowlength="short"/>
              </v:line>
              <v:line id="_x0000_s1123" style="position:absolute" from="10094,281" to="10107,19707" strokeweight="1pt">
                <v:stroke startarrowwidth="narrow" startarrowlength="short" endarrowwidth="narrow" endarrowlength="short"/>
              </v:line>
              <v:line id="_x0000_s1124" style="position:absolute;flip:x" from="2653,3028" to="17184,16594" strokeweight="1pt">
                <v:stroke startarrowwidth="narrow" startarrowlength="short" endarrowwidth="narrow" endarrowlength="short"/>
              </v:line>
              <v:line id="_x0000_s1125" style="position:absolute" from="2828,2931" to="17361,16495" strokeweight="1pt">
                <v:stroke startarrowwidth="narrow" startarrowlength="short" endarrowwidth="narrow" endarrowlength="short"/>
              </v:line>
            </v:group>
            <v:line id="_x0000_s1126" style="position:absolute;flip:x" from="13071,9188" to="20000,9200" strokeweight="1pt">
              <v:stroke startarrowwidth="narrow" startarrowlength="short" endarrow="open" endarrowwidth="narrow" endarrowlength="short"/>
            </v:line>
            <v:line id="_x0000_s1127" style="position:absolute;flip:x" from="9025,0" to="15954,4846" strokeweight="1pt">
              <v:stroke startarrowwidth="narrow" startarrowlength="short" endarrow="open" endarrowwidth="narrow" endarrowlength="short"/>
            </v:line>
            <w10:anchorlock/>
          </v:group>
        </w:pict>
      </w:r>
      <w:r w:rsidR="00575BC3">
        <w:tab/>
      </w:r>
      <w:r w:rsidR="00575BC3">
        <w:tab/>
      </w:r>
      <w:r w:rsidR="00575BC3">
        <w:tab/>
      </w:r>
      <w:r w:rsidR="00575BC3">
        <w:tab/>
      </w:r>
      <w:r w:rsidR="00575BC3">
        <w:tab/>
      </w:r>
      <w:r w:rsidR="00575BC3">
        <w:tab/>
      </w:r>
      <w:r w:rsidR="00575BC3">
        <w:tab/>
      </w:r>
    </w:p>
    <w:p w:rsidR="00575BC3" w:rsidRDefault="00575BC3" w:rsidP="00575BC3">
      <w:pPr>
        <w:tabs>
          <w:tab w:val="left" w:pos="851"/>
        </w:tabs>
      </w:pPr>
    </w:p>
    <w:p w:rsidR="00575BC3" w:rsidRDefault="00575BC3" w:rsidP="00575BC3">
      <w:pPr>
        <w:tabs>
          <w:tab w:val="left" w:pos="426"/>
          <w:tab w:val="left" w:pos="2835"/>
          <w:tab w:val="left" w:pos="3686"/>
          <w:tab w:val="left" w:pos="4536"/>
          <w:tab w:val="left" w:pos="5103"/>
        </w:tabs>
        <w:spacing w:before="180"/>
      </w:pPr>
      <w:r>
        <w:tab/>
      </w:r>
      <w:r>
        <w:rPr>
          <w:i/>
        </w:rPr>
        <w:t>(</w:t>
      </w:r>
      <w:proofErr w:type="gramStart"/>
      <w:r>
        <w:rPr>
          <w:i/>
        </w:rPr>
        <w:t>not</w:t>
      </w:r>
      <w:proofErr w:type="gramEnd"/>
      <w:r>
        <w:rPr>
          <w:i/>
        </w:rPr>
        <w:t xml:space="preserve"> to scale)</w:t>
      </w:r>
      <w:r>
        <w:tab/>
      </w:r>
      <w:r>
        <w:tab/>
      </w:r>
      <w:r>
        <w:tab/>
      </w:r>
      <w:r>
        <w:tab/>
        <w:t>sector</w:t>
      </w:r>
      <w:r>
        <w:tab/>
      </w:r>
    </w:p>
    <w:p w:rsidR="00575BC3" w:rsidRDefault="00575BC3" w:rsidP="00575BC3">
      <w:pPr>
        <w:tabs>
          <w:tab w:val="left" w:pos="851"/>
        </w:tabs>
        <w:ind w:right="-284"/>
      </w:pPr>
      <w:r>
        <w:tab/>
      </w:r>
      <w:r>
        <w:tab/>
      </w:r>
      <w:r>
        <w:tab/>
      </w:r>
      <w:r>
        <w:tab/>
      </w:r>
    </w:p>
    <w:p w:rsidR="00575BC3" w:rsidRDefault="00575BC3" w:rsidP="00575BC3">
      <w:pPr>
        <w:tabs>
          <w:tab w:val="left" w:pos="0"/>
          <w:tab w:val="left" w:pos="709"/>
          <w:tab w:val="left" w:pos="1418"/>
          <w:tab w:val="left" w:pos="2127"/>
          <w:tab w:val="left" w:pos="2835"/>
          <w:tab w:val="left" w:pos="3544"/>
          <w:tab w:val="left" w:pos="4253"/>
          <w:tab w:val="left" w:pos="5103"/>
        </w:tabs>
        <w:spacing w:before="120"/>
        <w:ind w:right="-1327"/>
      </w:pPr>
      <w:r>
        <w:tab/>
      </w:r>
      <w:r>
        <w:tab/>
      </w:r>
      <w:r>
        <w:tab/>
      </w:r>
      <w:r>
        <w:tab/>
      </w:r>
      <w:r>
        <w:tab/>
      </w:r>
      <w:r>
        <w:tab/>
      </w:r>
      <w:r>
        <w:tab/>
      </w:r>
      <w:proofErr w:type="gramStart"/>
      <w:r>
        <w:t>sector/segment</w:t>
      </w:r>
      <w:proofErr w:type="gramEnd"/>
      <w:r>
        <w:t xml:space="preserve"> intersection area</w:t>
      </w:r>
    </w:p>
    <w:p w:rsidR="00575BC3" w:rsidRDefault="00575BC3" w:rsidP="00575BC3">
      <w:pPr>
        <w:tabs>
          <w:tab w:val="left" w:pos="0"/>
          <w:tab w:val="left" w:pos="709"/>
          <w:tab w:val="left" w:pos="1418"/>
          <w:tab w:val="left" w:pos="2268"/>
          <w:tab w:val="left" w:pos="2835"/>
          <w:tab w:val="left" w:pos="3402"/>
          <w:tab w:val="left" w:pos="4395"/>
          <w:tab w:val="left" w:pos="5387"/>
        </w:tabs>
        <w:ind w:right="-1327"/>
      </w:pPr>
      <w:r>
        <w:tab/>
      </w:r>
      <w:r>
        <w:tab/>
      </w:r>
      <w:r>
        <w:tab/>
      </w:r>
      <w:r>
        <w:tab/>
      </w:r>
      <w:r>
        <w:tab/>
      </w:r>
      <w:r>
        <w:tab/>
      </w:r>
      <w:r>
        <w:tab/>
      </w:r>
      <w:proofErr w:type="gramStart"/>
      <w:r>
        <w:t>for</w:t>
      </w:r>
      <w:proofErr w:type="gramEnd"/>
      <w:r>
        <w:t xml:space="preserve"> calculating </w:t>
      </w:r>
      <w:proofErr w:type="spellStart"/>
      <w:r>
        <w:t>hag</w:t>
      </w:r>
      <w:r>
        <w:rPr>
          <w:vertAlign w:val="subscript"/>
        </w:rPr>
        <w:t>m</w:t>
      </w:r>
      <w:proofErr w:type="spellEnd"/>
      <w:r>
        <w:t>(</w:t>
      </w:r>
      <w:r>
        <w:sym w:font="Symbol" w:char="F066"/>
      </w:r>
      <w:r>
        <w:rPr>
          <w:vertAlign w:val="subscript"/>
        </w:rPr>
        <w:t>n</w:t>
      </w:r>
      <w:r>
        <w:t>)</w:t>
      </w:r>
    </w:p>
    <w:p w:rsidR="00575BC3" w:rsidRDefault="00575BC3" w:rsidP="00575BC3"/>
    <w:p w:rsidR="00575BC3" w:rsidRDefault="00575BC3" w:rsidP="00575BC3"/>
    <w:p w:rsidR="00575BC3" w:rsidRDefault="00575BC3" w:rsidP="00575BC3">
      <w:r>
        <w:t>The DBC calculation is made at 5 minute steps along each radial, up to a maximum of 30 steps. The DBC calculation also uses the average terrain height in each segment (</w:t>
      </w:r>
      <w:proofErr w:type="spellStart"/>
      <w:r>
        <w:t>hag</w:t>
      </w:r>
      <w:r>
        <w:rPr>
          <w:vertAlign w:val="subscript"/>
        </w:rPr>
        <w:t>m</w:t>
      </w:r>
      <w:proofErr w:type="spellEnd"/>
      <w:r>
        <w:t xml:space="preserve">), which is calculated by averaging the terrain height of the </w:t>
      </w:r>
      <w:proofErr w:type="spellStart"/>
      <w:r>
        <w:t>RadDEM</w:t>
      </w:r>
      <w:proofErr w:type="spellEnd"/>
      <w:r>
        <w:rPr>
          <w:rStyle w:val="FootnoteReference"/>
        </w:rPr>
        <w:footnoteReference w:id="13"/>
      </w:r>
      <w:r>
        <w:t xml:space="preserve"> cells that have half or more of their area within the segment.</w:t>
      </w:r>
    </w:p>
    <w:p w:rsidR="00575BC3" w:rsidRDefault="00575BC3" w:rsidP="00575BC3"/>
    <w:p w:rsidR="00575BC3" w:rsidRDefault="00575BC3" w:rsidP="00575BC3">
      <w:r>
        <w:t>The current DBC also limits the effect</w:t>
      </w:r>
      <w:r w:rsidR="00FE3302">
        <w:t>ive</w:t>
      </w:r>
      <w:r>
        <w:t xml:space="preserve"> antenna heights used in the calculation, where heights greater than 1600m and less than 1.5m are set at 1600m and 1.5m respectively.</w:t>
      </w:r>
    </w:p>
    <w:p w:rsidR="00575BC3" w:rsidRDefault="00575BC3" w:rsidP="00575BC3"/>
    <w:p w:rsidR="00575BC3" w:rsidRDefault="00575BC3" w:rsidP="00575BC3">
      <w:pPr>
        <w:pStyle w:val="Heading3"/>
      </w:pPr>
      <w:r>
        <w:t>6.2</w:t>
      </w:r>
      <w:r>
        <w:tab/>
        <w:t>Proposed Device Boundary Criterion Methodology</w:t>
      </w:r>
    </w:p>
    <w:p w:rsidR="00575BC3" w:rsidRDefault="00575BC3" w:rsidP="00575BC3">
      <w:r>
        <w:t>The proposed methodology aims to improve the accuracy, reliability and ease of implementing the device boundary. It also aims to provide a consistent methodology across all new spectrum licence bands and those that are due to expire.</w:t>
      </w:r>
    </w:p>
    <w:p w:rsidR="00575BC3" w:rsidRDefault="00575BC3" w:rsidP="00575BC3"/>
    <w:p w:rsidR="00575BC3" w:rsidRPr="00B57AD2" w:rsidRDefault="00575BC3" w:rsidP="00575BC3">
      <w:pPr>
        <w:rPr>
          <w:i/>
        </w:rPr>
      </w:pPr>
      <w:r>
        <w:t>The proposed new DBC methodology increases the number of radials to 360 (1</w:t>
      </w:r>
      <w:r>
        <w:rPr>
          <w:rFonts w:ascii="Arial" w:hAnsi="Arial" w:cs="Arial"/>
        </w:rPr>
        <w:t>º</w:t>
      </w:r>
      <w:r>
        <w:t xml:space="preserve"> spacing), and decreases the step size along each</w:t>
      </w:r>
      <w:r w:rsidRPr="00261E49">
        <w:t xml:space="preserve"> </w:t>
      </w:r>
      <w:r>
        <w:t xml:space="preserve">radial, where the DBC calculation is made, to 500 metres. It is intended that this increase in resolution will increase the accuracy of the DBC by taking better account terrain elevations as well as facilitating deployment of devices closer to the boundary. The method in which the average terrain height at each increment is calculated is also proposed to change, with the aim of simplifying the process and removing ambiguity. Further detail of the proposed methodology can be found in the paper </w:t>
      </w:r>
      <w:r w:rsidR="00063939" w:rsidRPr="00B57AD2">
        <w:rPr>
          <w:i/>
        </w:rPr>
        <w:t>Proposed Device Boundary Criterion Methodology.</w:t>
      </w:r>
    </w:p>
    <w:p w:rsidR="00575BC3" w:rsidRDefault="00575BC3" w:rsidP="00575BC3"/>
    <w:p w:rsidR="00575BC3" w:rsidRDefault="00575BC3" w:rsidP="00575BC3">
      <w:r>
        <w:t>In order to simplify the DBC process it is proposed to reduce the maximum effective antenna height used in the calculation to 500 metres. In this way just one propagation model can be used in the DBC calculation. A review of existing registered devices in the 1800 MHz band indicates that</w:t>
      </w:r>
      <w:r w:rsidR="00BA1986">
        <w:t xml:space="preserve"> 99.9% of existing sites have an</w:t>
      </w:r>
      <w:r>
        <w:t xml:space="preserve"> effective antenna height </w:t>
      </w:r>
      <w:r w:rsidR="00BA1986">
        <w:t>of</w:t>
      </w:r>
      <w:r>
        <w:t xml:space="preserve"> less than 500m</w:t>
      </w:r>
      <w:r w:rsidR="00C129DC">
        <w:t xml:space="preserve"> on at least one </w:t>
      </w:r>
      <w:r>
        <w:t>radial</w:t>
      </w:r>
      <w:r w:rsidR="00C129DC">
        <w:t xml:space="preserve"> at the point</w:t>
      </w:r>
      <w:r>
        <w:t xml:space="preserve"> where the device boundary is satisfied.</w:t>
      </w:r>
      <w:r w:rsidR="00BA1986">
        <w:rPr>
          <w:rStyle w:val="FootnoteReference"/>
        </w:rPr>
        <w:footnoteReference w:id="14"/>
      </w:r>
      <w:r>
        <w:t xml:space="preserve"> </w:t>
      </w:r>
    </w:p>
    <w:p w:rsidR="00575BC3" w:rsidRDefault="00575BC3" w:rsidP="00575BC3"/>
    <w:p w:rsidR="00575BC3" w:rsidRDefault="00575BC3" w:rsidP="00575BC3">
      <w:r>
        <w:t>Given the maximum effective antenna height of 500m, the propagation model as described in Section 4, and the proposed LOP as described in Section 5, the maximum radial length is</w:t>
      </w:r>
      <w:r w:rsidR="003755AB">
        <w:t xml:space="preserve"> </w:t>
      </w:r>
      <w:r w:rsidR="003755AB" w:rsidRPr="00B57AD2">
        <w:t>approximately</w:t>
      </w:r>
      <w:r w:rsidRPr="00B57AD2">
        <w:t xml:space="preserve"> </w:t>
      </w:r>
      <w:r w:rsidR="003755AB" w:rsidRPr="00B57AD2">
        <w:t>40 km (rounded up from 39 km)</w:t>
      </w:r>
      <w:r w:rsidRPr="00B57AD2">
        <w:t>.</w:t>
      </w:r>
      <w:r>
        <w:t xml:space="preserve"> Devices located greater </w:t>
      </w:r>
      <w:r w:rsidRPr="00B57AD2">
        <w:t xml:space="preserve">than </w:t>
      </w:r>
      <w:r w:rsidR="003755AB" w:rsidRPr="00B57AD2">
        <w:t>40</w:t>
      </w:r>
      <w:r w:rsidRPr="00B57AD2">
        <w:t xml:space="preserve"> km from the boundary will always pass the proposed DBC. Therefore services located greater than </w:t>
      </w:r>
      <w:r w:rsidR="003755AB" w:rsidRPr="00B57AD2">
        <w:t>40</w:t>
      </w:r>
      <w:r w:rsidRPr="00B57AD2">
        <w:t xml:space="preserve"> km</w:t>
      </w:r>
      <w:r>
        <w:t xml:space="preserve"> from a geographical boundary are deemed to comply with the DBC, and are taken not to cause unacceptable interference. </w:t>
      </w:r>
    </w:p>
    <w:p w:rsidR="00575BC3" w:rsidRDefault="00575BC3" w:rsidP="00575BC3"/>
    <w:p w:rsidR="00575BC3" w:rsidRDefault="00575BC3" w:rsidP="00575BC3">
      <w:r>
        <w:t xml:space="preserve">As previously indicated, the current DBC includes a Scaling Parameter of 4.8, which means that the LOP is met 4.8 km beyond the licence boundary, which is the closest GSM mobile receivers were assumed to be to the boundary. Given that the updated deployment model in Section 5.2 (Figure 3) assumes both GSM and IMT technologies which has mobile receivers located at different minimum distances from the licence boundary, setting the LOP to a fixed location beyond the boundary is not feasible. The proposed LOP </w:t>
      </w:r>
      <w:proofErr w:type="gramStart"/>
      <w:r>
        <w:t xml:space="preserve">of -115 dBm/30kHz </w:t>
      </w:r>
      <w:r w:rsidR="00BF7180">
        <w:t xml:space="preserve">is </w:t>
      </w:r>
      <w:r w:rsidR="00BF7180">
        <w:lastRenderedPageBreak/>
        <w:t xml:space="preserve">specified </w:t>
      </w:r>
      <w:r>
        <w:t xml:space="preserve">at the boundary </w:t>
      </w:r>
      <w:r w:rsidR="00BF7180">
        <w:t xml:space="preserve">and </w:t>
      </w:r>
      <w:r>
        <w:t>is intended to ensure that the appropriate protection of services either side of the licence boundary is met</w:t>
      </w:r>
      <w:proofErr w:type="gramEnd"/>
      <w:r>
        <w:t>.</w:t>
      </w:r>
      <w:r w:rsidR="00BF7180">
        <w:t xml:space="preserve"> </w:t>
      </w:r>
    </w:p>
    <w:p w:rsidR="00575BC3" w:rsidRDefault="00575BC3" w:rsidP="00575BC3"/>
    <w:p w:rsidR="004671CE" w:rsidRDefault="00F6268F" w:rsidP="00575BC3">
      <w:r>
        <w:t>As the Scaling Parameter will by default be zero, i</w:t>
      </w:r>
      <w:r w:rsidR="004671CE">
        <w:t xml:space="preserve">t is proposed to remove </w:t>
      </w:r>
      <w:r>
        <w:t>it</w:t>
      </w:r>
      <w:r w:rsidR="004671CE">
        <w:t xml:space="preserve"> from the proposed DBC. Although a Scaling Parameter of zero could be included, it is considered that it is not a necessary component of the DBC and removing it does not affect how licensees can make agreements when required.</w:t>
      </w:r>
    </w:p>
    <w:p w:rsidR="00575BC3" w:rsidRDefault="00575BC3" w:rsidP="00575BC3"/>
    <w:p w:rsidR="00575BC3" w:rsidRDefault="00575BC3" w:rsidP="00575BC3">
      <w:r>
        <w:t xml:space="preserve">The proposed propagation loss component of the proposed DBC is shown below. The remaining components of the proposed DBC are included </w:t>
      </w:r>
      <w:r w:rsidRPr="009916ED">
        <w:t>in</w:t>
      </w:r>
      <w:r>
        <w:t xml:space="preserve"> </w:t>
      </w:r>
      <w:r w:rsidR="009916ED" w:rsidRPr="009916ED">
        <w:t>the</w:t>
      </w:r>
      <w:r w:rsidR="009916ED">
        <w:t xml:space="preserve"> </w:t>
      </w:r>
      <w:r w:rsidR="009916ED">
        <w:rPr>
          <w:i/>
        </w:rPr>
        <w:t>TLG reference paper -</w:t>
      </w:r>
      <w:r>
        <w:t xml:space="preserve"> </w:t>
      </w:r>
      <w:r w:rsidR="00063939" w:rsidRPr="00B57AD2">
        <w:rPr>
          <w:i/>
        </w:rPr>
        <w:t>Proposed Device Boundary Criterion Methodology.</w:t>
      </w:r>
    </w:p>
    <w:p w:rsidR="00575BC3" w:rsidRDefault="00575BC3" w:rsidP="00575BC3"/>
    <w:tbl>
      <w:tblPr>
        <w:tblStyle w:val="TableGrid"/>
        <w:tblW w:w="9606" w:type="dxa"/>
        <w:tblLook w:val="04A0"/>
      </w:tblPr>
      <w:tblGrid>
        <w:gridCol w:w="9606"/>
      </w:tblGrid>
      <w:tr w:rsidR="00575BC3" w:rsidTr="00D622EE">
        <w:tc>
          <w:tcPr>
            <w:tcW w:w="9606" w:type="dxa"/>
          </w:tcPr>
          <w:p w:rsidR="00575BC3" w:rsidRDefault="00575BC3" w:rsidP="003755AB">
            <w:pPr>
              <w:rPr>
                <w:b/>
              </w:rPr>
            </w:pPr>
            <w:r w:rsidRPr="00FC35DF">
              <w:rPr>
                <w:b/>
              </w:rPr>
              <w:t>Proposed devi</w:t>
            </w:r>
            <w:r>
              <w:rPr>
                <w:b/>
              </w:rPr>
              <w:t>ce boundary criterion calculation (Schedule 2 Part 3)</w:t>
            </w:r>
          </w:p>
          <w:p w:rsidR="00575BC3" w:rsidRPr="00FC35DF" w:rsidRDefault="00575BC3" w:rsidP="003755AB">
            <w:pPr>
              <w:rPr>
                <w:b/>
              </w:rPr>
            </w:pPr>
          </w:p>
          <w:p w:rsidR="00575BC3" w:rsidRDefault="00575BC3" w:rsidP="003755AB">
            <w:bookmarkStart w:id="3" w:name="_Toc300042640"/>
            <w:r w:rsidRPr="00562403">
              <w:rPr>
                <w:b/>
              </w:rPr>
              <w:t>Part 3</w:t>
            </w:r>
            <w:r w:rsidRPr="00562403">
              <w:rPr>
                <w:b/>
              </w:rPr>
              <w:tab/>
              <w:t>Calculation of Propagation Loss</w:t>
            </w:r>
            <w:bookmarkEnd w:id="3"/>
          </w:p>
          <w:p w:rsidR="00575BC3" w:rsidRPr="00390825" w:rsidRDefault="00575BC3" w:rsidP="00575BC3">
            <w:pPr>
              <w:pStyle w:val="ListParagraph"/>
              <w:numPr>
                <w:ilvl w:val="0"/>
                <w:numId w:val="21"/>
              </w:numPr>
              <w:spacing w:line="240" w:lineRule="atLeast"/>
              <w:ind w:left="714" w:hanging="357"/>
              <w:contextualSpacing/>
            </w:pPr>
            <w:r w:rsidRPr="00390825">
              <w:t xml:space="preserve">In calculating </w:t>
            </w:r>
            <w:r w:rsidRPr="00390825">
              <w:rPr>
                <w:i/>
              </w:rPr>
              <w:t>PL(</w:t>
            </w:r>
            <w:proofErr w:type="spellStart"/>
            <w:r w:rsidRPr="00390825">
              <w:rPr>
                <w:i/>
              </w:rPr>
              <w:t>l</w:t>
            </w:r>
            <w:r w:rsidRPr="00390825">
              <w:rPr>
                <w:i/>
                <w:vertAlign w:val="subscript"/>
              </w:rPr>
              <w:t>r</w:t>
            </w:r>
            <w:proofErr w:type="spellEnd"/>
            <w:r w:rsidRPr="00390825">
              <w:rPr>
                <w:i/>
              </w:rPr>
              <w:t xml:space="preserve">, </w:t>
            </w:r>
            <w:proofErr w:type="spellStart"/>
            <w:r w:rsidRPr="00390825">
              <w:rPr>
                <w:i/>
              </w:rPr>
              <w:t>L</w:t>
            </w:r>
            <w:r w:rsidRPr="00390825">
              <w:rPr>
                <w:i/>
                <w:vertAlign w:val="subscript"/>
              </w:rPr>
              <w:t>r</w:t>
            </w:r>
            <w:proofErr w:type="spellEnd"/>
            <w:r w:rsidRPr="00390825">
              <w:rPr>
                <w:i/>
              </w:rPr>
              <w:t>):</w:t>
            </w:r>
          </w:p>
          <w:p w:rsidR="00575BC3" w:rsidRDefault="00575BC3" w:rsidP="003755AB"/>
          <w:tbl>
            <w:tblPr>
              <w:tblW w:w="7566" w:type="dxa"/>
              <w:tblInd w:w="817" w:type="dxa"/>
              <w:tblLook w:val="04A0"/>
            </w:tblPr>
            <w:tblGrid>
              <w:gridCol w:w="1200"/>
              <w:gridCol w:w="283"/>
              <w:gridCol w:w="6083"/>
            </w:tblGrid>
            <w:tr w:rsidR="00575BC3" w:rsidTr="003755AB">
              <w:tc>
                <w:tcPr>
                  <w:tcW w:w="1200" w:type="dxa"/>
                </w:tcPr>
                <w:p w:rsidR="00575BC3" w:rsidRPr="00FC35DF" w:rsidRDefault="00575BC3" w:rsidP="003755AB">
                  <w:pPr>
                    <w:rPr>
                      <w:i/>
                    </w:rPr>
                  </w:pPr>
                  <w:r w:rsidRPr="00FC35DF">
                    <w:rPr>
                      <w:i/>
                    </w:rPr>
                    <w:t>f</w:t>
                  </w:r>
                </w:p>
              </w:tc>
              <w:tc>
                <w:tcPr>
                  <w:tcW w:w="0" w:type="auto"/>
                </w:tcPr>
                <w:p w:rsidR="00575BC3" w:rsidRDefault="00575BC3" w:rsidP="003755AB">
                  <w:r>
                    <w:t>:</w:t>
                  </w:r>
                </w:p>
              </w:tc>
              <w:tc>
                <w:tcPr>
                  <w:tcW w:w="0" w:type="auto"/>
                </w:tcPr>
                <w:p w:rsidR="00575BC3" w:rsidRDefault="0036175D" w:rsidP="003755AB">
                  <w:r>
                    <w:t>assigned</w:t>
                  </w:r>
                  <w:r w:rsidR="00575BC3">
                    <w:t xml:space="preserve"> frequency of transmitter (megahertz)</w:t>
                  </w:r>
                </w:p>
              </w:tc>
            </w:tr>
            <w:tr w:rsidR="00575BC3" w:rsidTr="003755AB">
              <w:tc>
                <w:tcPr>
                  <w:tcW w:w="1200" w:type="dxa"/>
                </w:tcPr>
                <w:p w:rsidR="00575BC3" w:rsidRDefault="00575BC3" w:rsidP="003755AB">
                  <w:proofErr w:type="spellStart"/>
                  <w:r w:rsidRPr="00FC35DF">
                    <w:rPr>
                      <w:i/>
                    </w:rPr>
                    <w:t>h</w:t>
                  </w:r>
                  <w:r w:rsidRPr="00FC35DF">
                    <w:rPr>
                      <w:i/>
                      <w:vertAlign w:val="subscript"/>
                    </w:rPr>
                    <w:t>gr</w:t>
                  </w:r>
                  <w:proofErr w:type="spellEnd"/>
                </w:p>
              </w:tc>
              <w:tc>
                <w:tcPr>
                  <w:tcW w:w="0" w:type="auto"/>
                </w:tcPr>
                <w:p w:rsidR="00575BC3" w:rsidRDefault="00575BC3" w:rsidP="003755AB">
                  <w:r>
                    <w:t>:</w:t>
                  </w:r>
                </w:p>
              </w:tc>
              <w:tc>
                <w:tcPr>
                  <w:tcW w:w="0" w:type="auto"/>
                </w:tcPr>
                <w:p w:rsidR="00575BC3" w:rsidRDefault="00575BC3" w:rsidP="003755AB">
                  <w:r>
                    <w:t>is the nominal receive antenna height above ground level being 1.5 metres</w:t>
                  </w:r>
                </w:p>
              </w:tc>
            </w:tr>
            <w:tr w:rsidR="00575BC3" w:rsidTr="003755AB">
              <w:tc>
                <w:tcPr>
                  <w:tcW w:w="1200" w:type="dxa"/>
                </w:tcPr>
                <w:p w:rsidR="00575BC3" w:rsidRPr="00FC35DF" w:rsidRDefault="00575BC3" w:rsidP="003755AB">
                  <w:pPr>
                    <w:rPr>
                      <w:i/>
                    </w:rPr>
                  </w:pPr>
                  <w:r w:rsidRPr="00FC35DF">
                    <w:rPr>
                      <w:position w:val="-14"/>
                    </w:rPr>
                    <w:object w:dxaOrig="620" w:dyaOrig="380">
                      <v:shape id="_x0000_i1027" type="#_x0000_t75" style="width:30.75pt;height:18.75pt" o:ole="">
                        <v:imagedata r:id="rId14" o:title=""/>
                      </v:shape>
                      <o:OLEObject Type="Embed" ProgID="Equation.3" ShapeID="_x0000_i1027" DrawAspect="Content" ObjectID="_1394441235" r:id="rId15"/>
                    </w:object>
                  </w:r>
                </w:p>
              </w:tc>
              <w:tc>
                <w:tcPr>
                  <w:tcW w:w="0" w:type="auto"/>
                </w:tcPr>
                <w:p w:rsidR="00575BC3" w:rsidRDefault="00575BC3" w:rsidP="003755AB">
                  <w:r>
                    <w:t>:</w:t>
                  </w:r>
                </w:p>
              </w:tc>
              <w:tc>
                <w:tcPr>
                  <w:tcW w:w="0" w:type="auto"/>
                </w:tcPr>
                <w:p w:rsidR="00575BC3" w:rsidRDefault="00575BC3" w:rsidP="003755AB">
                  <w:r>
                    <w:t>is the transmit effective antenna height (metres) as defined in Schedule 3</w:t>
                  </w:r>
                </w:p>
              </w:tc>
            </w:tr>
            <w:tr w:rsidR="00575BC3" w:rsidTr="003755AB">
              <w:tc>
                <w:tcPr>
                  <w:tcW w:w="1200" w:type="dxa"/>
                </w:tcPr>
                <w:p w:rsidR="00575BC3" w:rsidRDefault="00575BC3" w:rsidP="003755AB">
                  <w:pPr>
                    <w:ind w:right="-76"/>
                    <w:rPr>
                      <w:i/>
                    </w:rPr>
                  </w:pPr>
                  <w:r w:rsidRPr="00FC35DF">
                    <w:rPr>
                      <w:i/>
                    </w:rPr>
                    <w:t>d(</w:t>
                  </w:r>
                  <w:proofErr w:type="spellStart"/>
                  <w:r w:rsidRPr="00FC35DF">
                    <w:rPr>
                      <w:i/>
                    </w:rPr>
                    <w:t>l</w:t>
                  </w:r>
                  <w:r w:rsidRPr="00FC35DF">
                    <w:rPr>
                      <w:i/>
                      <w:vertAlign w:val="subscript"/>
                    </w:rPr>
                    <w:t>mn</w:t>
                  </w:r>
                  <w:proofErr w:type="spellEnd"/>
                  <w:r w:rsidRPr="00FC35DF">
                    <w:rPr>
                      <w:i/>
                    </w:rPr>
                    <w:t xml:space="preserve">, </w:t>
                  </w:r>
                  <w:proofErr w:type="spellStart"/>
                  <w:r>
                    <w:rPr>
                      <w:i/>
                    </w:rPr>
                    <w:t>L</w:t>
                  </w:r>
                  <w:r w:rsidRPr="00FC35DF">
                    <w:rPr>
                      <w:i/>
                      <w:vertAlign w:val="subscript"/>
                    </w:rPr>
                    <w:t>mn</w:t>
                  </w:r>
                  <w:proofErr w:type="spellEnd"/>
                  <w:r w:rsidRPr="00FC35DF">
                    <w:rPr>
                      <w:i/>
                    </w:rPr>
                    <w:t>)</w:t>
                  </w:r>
                </w:p>
                <w:p w:rsidR="00042C6B" w:rsidRDefault="00042C6B" w:rsidP="003755AB">
                  <w:pPr>
                    <w:ind w:right="-76"/>
                    <w:rPr>
                      <w:i/>
                    </w:rPr>
                  </w:pPr>
                </w:p>
                <w:p w:rsidR="00042C6B" w:rsidRDefault="00042C6B" w:rsidP="003755AB">
                  <w:pPr>
                    <w:ind w:right="-76"/>
                    <w:rPr>
                      <w:i/>
                    </w:rPr>
                  </w:pPr>
                </w:p>
                <w:p w:rsidR="00042C6B" w:rsidRDefault="00042C6B" w:rsidP="003755AB">
                  <w:pPr>
                    <w:ind w:right="-76"/>
                    <w:rPr>
                      <w:i/>
                    </w:rPr>
                  </w:pPr>
                </w:p>
              </w:tc>
              <w:tc>
                <w:tcPr>
                  <w:tcW w:w="0" w:type="auto"/>
                </w:tcPr>
                <w:p w:rsidR="00575BC3" w:rsidRDefault="00575BC3" w:rsidP="003755AB">
                  <w:r>
                    <w:t>:</w:t>
                  </w:r>
                </w:p>
                <w:p w:rsidR="00042C6B" w:rsidRDefault="00042C6B" w:rsidP="003755AB"/>
                <w:p w:rsidR="00042C6B" w:rsidRDefault="00042C6B" w:rsidP="003755AB"/>
                <w:p w:rsidR="00042C6B" w:rsidRDefault="00042C6B" w:rsidP="003755AB"/>
              </w:tc>
              <w:tc>
                <w:tcPr>
                  <w:tcW w:w="0" w:type="auto"/>
                </w:tcPr>
                <w:p w:rsidR="00042C6B" w:rsidRPr="009B7A35" w:rsidRDefault="00575BC3" w:rsidP="004671CE">
                  <w:proofErr w:type="gramStart"/>
                  <w:r>
                    <w:t>is</w:t>
                  </w:r>
                  <w:proofErr w:type="gramEnd"/>
                  <w:r>
                    <w:t xml:space="preserve"> the distance in kilometres between the location of the transmitter, </w:t>
                  </w:r>
                  <w:r w:rsidRPr="00FC35DF">
                    <w:rPr>
                      <w:i/>
                    </w:rPr>
                    <w:t>(</w:t>
                  </w:r>
                  <w:proofErr w:type="spellStart"/>
                  <w:r w:rsidRPr="00FC35DF">
                    <w:rPr>
                      <w:i/>
                      <w:iCs/>
                    </w:rPr>
                    <w:t>l</w:t>
                  </w:r>
                  <w:r w:rsidRPr="00FC35DF">
                    <w:rPr>
                      <w:i/>
                      <w:iCs/>
                      <w:vertAlign w:val="subscript"/>
                    </w:rPr>
                    <w:t>t</w:t>
                  </w:r>
                  <w:proofErr w:type="spellEnd"/>
                  <w:r w:rsidRPr="00FC35DF">
                    <w:rPr>
                      <w:i/>
                    </w:rPr>
                    <w:t>, L</w:t>
                  </w:r>
                  <w:r w:rsidRPr="00FC35DF">
                    <w:rPr>
                      <w:i/>
                      <w:vertAlign w:val="subscript"/>
                    </w:rPr>
                    <w:t>t</w:t>
                  </w:r>
                  <w:r w:rsidRPr="00FC35DF">
                    <w:rPr>
                      <w:i/>
                    </w:rPr>
                    <w:t>)</w:t>
                  </w:r>
                  <w:r>
                    <w:t xml:space="preserve">, </w:t>
                  </w:r>
                  <w:r w:rsidRPr="005501FB">
                    <w:t xml:space="preserve">and </w:t>
                  </w:r>
                  <w:r>
                    <w:t xml:space="preserve">the </w:t>
                  </w:r>
                  <w:proofErr w:type="spellStart"/>
                  <w:r>
                    <w:t>m</w:t>
                  </w:r>
                  <w:r w:rsidRPr="00FC35DF">
                    <w:rPr>
                      <w:vertAlign w:val="superscript"/>
                    </w:rPr>
                    <w:t>th</w:t>
                  </w:r>
                  <w:proofErr w:type="spellEnd"/>
                  <w:r>
                    <w:t xml:space="preserve"> increment on the n</w:t>
                  </w:r>
                  <w:r w:rsidRPr="00FC35DF">
                    <w:rPr>
                      <w:vertAlign w:val="superscript"/>
                    </w:rPr>
                    <w:t>th</w:t>
                  </w:r>
                  <w:r>
                    <w:t xml:space="preserve"> radial</w:t>
                  </w:r>
                  <w:r w:rsidRPr="005501FB" w:rsidDel="009B7A35">
                    <w:t xml:space="preserve"> </w:t>
                  </w:r>
                  <w:r w:rsidRPr="00FC35DF">
                    <w:rPr>
                      <w:i/>
                    </w:rPr>
                    <w:t>(</w:t>
                  </w:r>
                  <w:proofErr w:type="spellStart"/>
                  <w:r w:rsidRPr="00FC35DF">
                    <w:rPr>
                      <w:i/>
                    </w:rPr>
                    <w:t>l</w:t>
                  </w:r>
                  <w:r w:rsidRPr="00FC35DF">
                    <w:rPr>
                      <w:i/>
                      <w:vertAlign w:val="subscript"/>
                    </w:rPr>
                    <w:t>mn</w:t>
                  </w:r>
                  <w:proofErr w:type="spellEnd"/>
                  <w:r w:rsidRPr="00FC35DF">
                    <w:rPr>
                      <w:i/>
                    </w:rPr>
                    <w:t xml:space="preserve">, </w:t>
                  </w:r>
                  <w:proofErr w:type="spellStart"/>
                  <w:r w:rsidRPr="00FC35DF">
                    <w:rPr>
                      <w:i/>
                    </w:rPr>
                    <w:t>L</w:t>
                  </w:r>
                  <w:r w:rsidRPr="00FC35DF">
                    <w:rPr>
                      <w:i/>
                      <w:vertAlign w:val="subscript"/>
                    </w:rPr>
                    <w:t>mn</w:t>
                  </w:r>
                  <w:proofErr w:type="spellEnd"/>
                  <w:r>
                    <w:rPr>
                      <w:i/>
                    </w:rPr>
                    <w:t>).</w:t>
                  </w:r>
                </w:p>
              </w:tc>
            </w:tr>
          </w:tbl>
          <w:p w:rsidR="00575BC3" w:rsidRDefault="00575BC3" w:rsidP="003755AB">
            <w:pPr>
              <w:pStyle w:val="ListParagraph"/>
              <w:ind w:left="993"/>
            </w:pPr>
            <w:r>
              <w:t xml:space="preserve">if </w:t>
            </w:r>
            <w:r w:rsidRPr="00A91069">
              <w:rPr>
                <w:position w:val="-14"/>
              </w:rPr>
              <w:object w:dxaOrig="620" w:dyaOrig="380">
                <v:shape id="_x0000_i1028" type="#_x0000_t75" style="width:30.75pt;height:18.75pt" o:ole="">
                  <v:imagedata r:id="rId14" o:title=""/>
                </v:shape>
                <o:OLEObject Type="Embed" ProgID="Equation.3" ShapeID="_x0000_i1028" DrawAspect="Content" ObjectID="_1394441236" r:id="rId16"/>
              </w:object>
            </w:r>
            <w:r>
              <w:t xml:space="preserve"> &lt; 1.5 metres, then </w:t>
            </w:r>
            <w:r w:rsidRPr="00A91069">
              <w:rPr>
                <w:position w:val="-14"/>
              </w:rPr>
              <w:object w:dxaOrig="620" w:dyaOrig="380">
                <v:shape id="_x0000_i1029" type="#_x0000_t75" style="width:30.75pt;height:18.75pt" o:ole="">
                  <v:imagedata r:id="rId14" o:title=""/>
                </v:shape>
                <o:OLEObject Type="Embed" ProgID="Equation.3" ShapeID="_x0000_i1029" DrawAspect="Content" ObjectID="_1394441237" r:id="rId17"/>
              </w:object>
            </w:r>
            <w:r>
              <w:t xml:space="preserve"> = 1.5 metres; or</w:t>
            </w:r>
          </w:p>
          <w:p w:rsidR="00575BC3" w:rsidRDefault="00575BC3" w:rsidP="003755AB">
            <w:pPr>
              <w:pStyle w:val="ListParagraph"/>
              <w:ind w:left="993"/>
              <w:rPr>
                <w:rFonts w:eastAsiaTheme="minorEastAsia" w:cstheme="minorBidi"/>
                <w:b/>
                <w:bCs/>
                <w:szCs w:val="22"/>
              </w:rPr>
            </w:pPr>
            <w:proofErr w:type="gramStart"/>
            <w:r>
              <w:t>if</w:t>
            </w:r>
            <w:proofErr w:type="gramEnd"/>
            <w:r>
              <w:t xml:space="preserve"> </w:t>
            </w:r>
            <w:r w:rsidRPr="00A91069">
              <w:rPr>
                <w:position w:val="-14"/>
              </w:rPr>
              <w:object w:dxaOrig="620" w:dyaOrig="380">
                <v:shape id="_x0000_i1030" type="#_x0000_t75" style="width:30.75pt;height:18.75pt" o:ole="">
                  <v:imagedata r:id="rId14" o:title=""/>
                </v:shape>
                <o:OLEObject Type="Embed" ProgID="Equation.3" ShapeID="_x0000_i1030" DrawAspect="Content" ObjectID="_1394441238" r:id="rId18"/>
              </w:object>
            </w:r>
            <w:r>
              <w:t xml:space="preserve"> &gt; 500 metres then </w:t>
            </w:r>
            <w:r w:rsidRPr="00A91069">
              <w:rPr>
                <w:position w:val="-14"/>
              </w:rPr>
              <w:object w:dxaOrig="620" w:dyaOrig="380">
                <v:shape id="_x0000_i1031" type="#_x0000_t75" style="width:30.75pt;height:18.75pt" o:ole="">
                  <v:imagedata r:id="rId14" o:title=""/>
                </v:shape>
                <o:OLEObject Type="Embed" ProgID="Equation.3" ShapeID="_x0000_i1031" DrawAspect="Content" ObjectID="_1394441239" r:id="rId19"/>
              </w:object>
            </w:r>
            <w:r>
              <w:t xml:space="preserve"> = 500 metres.</w:t>
            </w:r>
          </w:p>
          <w:p w:rsidR="00575BC3" w:rsidRDefault="00575BC3" w:rsidP="003755AB">
            <w:pPr>
              <w:pStyle w:val="ListParagraph"/>
              <w:ind w:left="993"/>
            </w:pPr>
          </w:p>
          <w:p w:rsidR="00575BC3" w:rsidRPr="00390825" w:rsidRDefault="00575BC3" w:rsidP="00575BC3">
            <w:pPr>
              <w:pStyle w:val="ListParagraph"/>
              <w:numPr>
                <w:ilvl w:val="0"/>
                <w:numId w:val="21"/>
              </w:numPr>
              <w:spacing w:line="240" w:lineRule="atLeast"/>
              <w:contextualSpacing/>
            </w:pPr>
            <w:r w:rsidRPr="00390825">
              <w:t xml:space="preserve">The propagation loss for the </w:t>
            </w:r>
            <w:proofErr w:type="spellStart"/>
            <w:r w:rsidRPr="00390825">
              <w:t>m</w:t>
            </w:r>
            <w:r w:rsidRPr="00390825">
              <w:rPr>
                <w:vertAlign w:val="superscript"/>
              </w:rPr>
              <w:t>th</w:t>
            </w:r>
            <w:proofErr w:type="spellEnd"/>
            <w:r w:rsidRPr="00390825">
              <w:t xml:space="preserve"> increment on the n</w:t>
            </w:r>
            <w:r w:rsidRPr="00390825">
              <w:rPr>
                <w:vertAlign w:val="superscript"/>
              </w:rPr>
              <w:t>th</w:t>
            </w:r>
            <w:r w:rsidRPr="00390825">
              <w:t xml:space="preserve"> radial is established as follows:</w:t>
            </w:r>
          </w:p>
          <w:p w:rsidR="00575BC3" w:rsidRDefault="00575BC3" w:rsidP="003755AB"/>
          <w:p w:rsidR="00575BC3" w:rsidRDefault="00575BC3" w:rsidP="003755AB">
            <w:pPr>
              <w:ind w:left="720"/>
            </w:pPr>
            <w:r>
              <w:t>Step 1: Calculate the constants required</w:t>
            </w:r>
          </w:p>
          <w:p w:rsidR="00575BC3" w:rsidRPr="00FC35DF" w:rsidRDefault="00575BC3" w:rsidP="003755AB">
            <w:pPr>
              <w:ind w:firstLine="720"/>
              <w:rPr>
                <w:position w:val="-14"/>
              </w:rPr>
            </w:pPr>
            <w:r w:rsidRPr="00FC35DF">
              <w:rPr>
                <w:position w:val="-14"/>
              </w:rPr>
              <w:object w:dxaOrig="7100" w:dyaOrig="340">
                <v:shape id="_x0000_i1032" type="#_x0000_t75" style="width:354pt;height:17.25pt" o:ole="">
                  <v:imagedata r:id="rId20" o:title=""/>
                </v:shape>
                <o:OLEObject Type="Embed" ProgID="Equation.3" ShapeID="_x0000_i1032" DrawAspect="Content" ObjectID="_1394441240" r:id="rId21"/>
              </w:object>
            </w:r>
            <w:r w:rsidRPr="00FC35DF">
              <w:rPr>
                <w:position w:val="-14"/>
              </w:rPr>
              <w:tab/>
            </w:r>
            <w:r w:rsidRPr="00FC35DF">
              <w:rPr>
                <w:position w:val="-14"/>
              </w:rPr>
              <w:object w:dxaOrig="3340" w:dyaOrig="380">
                <v:shape id="_x0000_i1033" type="#_x0000_t75" style="width:167.25pt;height:19.5pt" o:ole="">
                  <v:imagedata r:id="rId22" o:title=""/>
                </v:shape>
                <o:OLEObject Type="Embed" ProgID="Equation.3" ShapeID="_x0000_i1033" DrawAspect="Content" ObjectID="_1394441241" r:id="rId23"/>
              </w:object>
            </w:r>
          </w:p>
          <w:p w:rsidR="00575BC3" w:rsidRDefault="00575BC3" w:rsidP="003755AB">
            <w:pPr>
              <w:ind w:firstLine="720"/>
              <w:rPr>
                <w:position w:val="-14"/>
              </w:rPr>
            </w:pPr>
          </w:p>
          <w:p w:rsidR="00575BC3" w:rsidRPr="00FC35DF" w:rsidRDefault="00117DAE" w:rsidP="003755AB">
            <w:pPr>
              <w:ind w:firstLine="720"/>
              <w:rPr>
                <w:position w:val="-28"/>
              </w:rPr>
            </w:pPr>
            <w:r w:rsidRPr="00F24AEF">
              <w:rPr>
                <w:position w:val="-32"/>
              </w:rPr>
              <w:object w:dxaOrig="9220" w:dyaOrig="760">
                <v:shape id="_x0000_i1034" type="#_x0000_t75" style="width:441.75pt;height:38.25pt" o:ole="">
                  <v:imagedata r:id="rId24" o:title=""/>
                </v:shape>
                <o:OLEObject Type="Embed" ProgID="Equation.3" ShapeID="_x0000_i1034" DrawAspect="Content" ObjectID="_1394441242" r:id="rId25"/>
              </w:object>
            </w:r>
          </w:p>
          <w:p w:rsidR="00575BC3" w:rsidRPr="00FC35DF" w:rsidRDefault="00575BC3" w:rsidP="003755AB">
            <w:pPr>
              <w:ind w:firstLine="720"/>
              <w:rPr>
                <w:position w:val="-14"/>
              </w:rPr>
            </w:pPr>
          </w:p>
          <w:p w:rsidR="00575BC3" w:rsidRDefault="00575BC3" w:rsidP="003755AB">
            <w:pPr>
              <w:ind w:firstLine="720"/>
              <w:rPr>
                <w:position w:val="-14"/>
              </w:rPr>
            </w:pPr>
            <w:r w:rsidRPr="00FC35DF">
              <w:rPr>
                <w:position w:val="-14"/>
              </w:rPr>
              <w:t xml:space="preserve">Step 2: Calculate the propagation loss for the </w:t>
            </w:r>
            <w:proofErr w:type="spellStart"/>
            <w:r w:rsidRPr="00FC35DF">
              <w:rPr>
                <w:position w:val="-14"/>
              </w:rPr>
              <w:t>m</w:t>
            </w:r>
            <w:r w:rsidRPr="00FC35DF">
              <w:rPr>
                <w:position w:val="-14"/>
                <w:vertAlign w:val="superscript"/>
              </w:rPr>
              <w:t>th</w:t>
            </w:r>
            <w:proofErr w:type="spellEnd"/>
            <w:r w:rsidRPr="00FC35DF">
              <w:rPr>
                <w:position w:val="-14"/>
              </w:rPr>
              <w:t xml:space="preserve"> increment on the n</w:t>
            </w:r>
            <w:r w:rsidRPr="00FC35DF">
              <w:rPr>
                <w:position w:val="-14"/>
                <w:vertAlign w:val="superscript"/>
              </w:rPr>
              <w:t>th</w:t>
            </w:r>
            <w:r w:rsidRPr="00FC35DF">
              <w:rPr>
                <w:position w:val="-14"/>
              </w:rPr>
              <w:t xml:space="preserve"> radial</w:t>
            </w:r>
          </w:p>
          <w:p w:rsidR="00575BC3" w:rsidRDefault="00575BC3" w:rsidP="003755AB">
            <w:pPr>
              <w:ind w:firstLine="720"/>
              <w:rPr>
                <w:position w:val="-14"/>
              </w:rPr>
            </w:pPr>
          </w:p>
          <w:p w:rsidR="00575BC3" w:rsidRPr="006F1621" w:rsidRDefault="009D6B1F" w:rsidP="003755AB">
            <w:pPr>
              <w:pStyle w:val="ListBullet"/>
              <w:numPr>
                <w:ilvl w:val="0"/>
                <w:numId w:val="0"/>
              </w:numPr>
              <w:ind w:left="720"/>
            </w:pPr>
            <w:r w:rsidRPr="0042099B">
              <w:rPr>
                <w:position w:val="-36"/>
              </w:rPr>
              <w:object w:dxaOrig="8020" w:dyaOrig="840">
                <v:shape id="_x0000_i1035" type="#_x0000_t75" style="width:402pt;height:42.75pt" o:ole="">
                  <v:imagedata r:id="rId26" o:title=""/>
                </v:shape>
                <o:OLEObject Type="Embed" ProgID="Equation.3" ShapeID="_x0000_i1035" DrawAspect="Content" ObjectID="_1394441243" r:id="rId27"/>
              </w:object>
            </w:r>
          </w:p>
          <w:p w:rsidR="00575BC3" w:rsidRPr="00FB02B2" w:rsidRDefault="00575BC3" w:rsidP="003755AB">
            <w:pPr>
              <w:rPr>
                <w:i/>
              </w:rPr>
            </w:pPr>
          </w:p>
        </w:tc>
      </w:tr>
    </w:tbl>
    <w:p w:rsidR="00575BC3" w:rsidRDefault="00575BC3" w:rsidP="00575BC3"/>
    <w:p w:rsidR="00575BC3" w:rsidRDefault="00575BC3" w:rsidP="00575BC3">
      <w:pPr>
        <w:pStyle w:val="Heading3"/>
      </w:pPr>
      <w:r>
        <w:lastRenderedPageBreak/>
        <w:t>6.3</w:t>
      </w:r>
      <w:r>
        <w:tab/>
        <w:t>Proposed New Digital Elevation Model (DEM)</w:t>
      </w:r>
    </w:p>
    <w:p w:rsidR="00575BC3" w:rsidRDefault="00575BC3" w:rsidP="00575BC3">
      <w:r>
        <w:t>As indicated in the first 1800 MHz band discussion paper, the ACMA is intends to transition from the Australian Geodetic Datum 1966 (AGD66) to the Geocentric Datum of Australia 1994 (GDA94).</w:t>
      </w:r>
    </w:p>
    <w:p w:rsidR="00575BC3" w:rsidRDefault="00575BC3" w:rsidP="00575BC3"/>
    <w:p w:rsidR="00575BC3" w:rsidRPr="00426A20" w:rsidRDefault="00575BC3" w:rsidP="00575BC3">
      <w:r w:rsidRPr="00562403">
        <w:t xml:space="preserve">This change in datum will also require the Digital Elevation Model (DEM) used in spectrum licensing to also be in GDA94. Currently effective antenna heights calculations are made using </w:t>
      </w:r>
      <w:proofErr w:type="spellStart"/>
      <w:r w:rsidRPr="00562403">
        <w:t>RadDEM</w:t>
      </w:r>
      <w:proofErr w:type="spellEnd"/>
      <w:r w:rsidRPr="00562403">
        <w:t xml:space="preserve">, which is a 9 second DEM and is in the AGD66 format. It is intended to use a DEM already in GDA94 rather than convert </w:t>
      </w:r>
      <w:proofErr w:type="spellStart"/>
      <w:r w:rsidRPr="00562403">
        <w:t>RadDEM</w:t>
      </w:r>
      <w:proofErr w:type="spellEnd"/>
      <w:r w:rsidRPr="00562403">
        <w:t xml:space="preserve"> to GDA 94</w:t>
      </w:r>
      <w:r w:rsidRPr="002D1B9D">
        <w:t>. The</w:t>
      </w:r>
      <w:r>
        <w:t xml:space="preserve"> likely DEM to be used is published by </w:t>
      </w:r>
      <w:proofErr w:type="spellStart"/>
      <w:r>
        <w:t>Geoscience</w:t>
      </w:r>
      <w:proofErr w:type="spellEnd"/>
      <w:r>
        <w:t xml:space="preserve"> Australia and is called </w:t>
      </w:r>
      <w:r w:rsidRPr="00562403">
        <w:rPr>
          <w:i/>
        </w:rPr>
        <w:t xml:space="preserve">GEODATA 9 </w:t>
      </w:r>
      <w:r w:rsidR="00063939">
        <w:rPr>
          <w:i/>
        </w:rPr>
        <w:t>S</w:t>
      </w:r>
      <w:r w:rsidRPr="00562403">
        <w:rPr>
          <w:i/>
        </w:rPr>
        <w:t>econd D</w:t>
      </w:r>
      <w:r w:rsidR="00063939">
        <w:rPr>
          <w:i/>
        </w:rPr>
        <w:t>igital Elevation Model Version 3</w:t>
      </w:r>
      <w:r>
        <w:rPr>
          <w:i/>
        </w:rPr>
        <w:t>.</w:t>
      </w:r>
      <w:r>
        <w:t xml:space="preserve"> For more information </w:t>
      </w:r>
      <w:r w:rsidR="00063939">
        <w:t>refer to</w:t>
      </w:r>
      <w:r>
        <w:t xml:space="preserve"> </w:t>
      </w:r>
      <w:r w:rsidR="00063939">
        <w:t xml:space="preserve">the </w:t>
      </w:r>
      <w:r w:rsidR="00063939" w:rsidRPr="00B57AD2">
        <w:rPr>
          <w:i/>
        </w:rPr>
        <w:t xml:space="preserve">TLG reference paper – </w:t>
      </w:r>
      <w:r w:rsidR="0036175D" w:rsidRPr="00B57AD2">
        <w:rPr>
          <w:i/>
        </w:rPr>
        <w:t>Adoption</w:t>
      </w:r>
      <w:r w:rsidR="00063939" w:rsidRPr="00B57AD2">
        <w:rPr>
          <w:i/>
        </w:rPr>
        <w:t xml:space="preserve"> of GDA94 for spectrum licensing</w:t>
      </w:r>
      <w:r w:rsidRPr="00B57AD2">
        <w:rPr>
          <w:i/>
        </w:rPr>
        <w:t>.</w:t>
      </w:r>
    </w:p>
    <w:p w:rsidR="00575BC3" w:rsidRDefault="00575BC3" w:rsidP="00575BC3"/>
    <w:p w:rsidR="00575BC3" w:rsidRDefault="00575BC3" w:rsidP="00575BC3">
      <w:pPr>
        <w:pStyle w:val="Heading3"/>
      </w:pPr>
      <w:r>
        <w:t>6.4</w:t>
      </w:r>
      <w:r>
        <w:tab/>
        <w:t xml:space="preserve">Comparison of the Proposed and Current DBC </w:t>
      </w:r>
    </w:p>
    <w:p w:rsidR="00575BC3" w:rsidRDefault="00575BC3" w:rsidP="00575BC3">
      <w:r>
        <w:t>A comparison between the current and proposed DBC methodologies was undertaken to assess the impact of the proposed changes to the DBC methodology, including the proposed changes to the propagation model and the LOP.</w:t>
      </w:r>
    </w:p>
    <w:p w:rsidR="00575BC3" w:rsidRDefault="00575BC3" w:rsidP="00575BC3"/>
    <w:p w:rsidR="00575BC3" w:rsidRDefault="00575BC3" w:rsidP="00575BC3">
      <w:r>
        <w:t xml:space="preserve">The plot in Figure 5 shows the EIRP from a transmitter versus the required separation distance from the licence boundary for different effective antenna heights for both the current and proposed DBC. This comparison shows that for low antenna heights the current DBC tends to be less restrictive, where as for larger heights, the proposed DBC tends to become more restrictive. </w:t>
      </w:r>
    </w:p>
    <w:p w:rsidR="00575BC3" w:rsidRDefault="00575BC3" w:rsidP="00575BC3"/>
    <w:p w:rsidR="00575BC3" w:rsidRDefault="00575BC3" w:rsidP="00575BC3">
      <w:r>
        <w:t>For low EIRP levels the current DBC will allow transmitters to be deployed closer to the licence boundary than the proposed DBC. This is particularly evident for low effective antenna heights such as 30m, where a 36dBm/30kHz LTE transmitter could be deployed at the boundary if it were not limited by the current 5 minute increment size. This is due to the Scaling Parameter being set to the default value of 4.8. This shows that a decrease in increment step size to 500m could not be feasibly implemented with the current DBC and a Scaling Parameter of 4.8.</w:t>
      </w:r>
    </w:p>
    <w:p w:rsidR="00575BC3" w:rsidRDefault="00575BC3" w:rsidP="00575BC3"/>
    <w:p w:rsidR="00575BC3" w:rsidRDefault="00575BC3" w:rsidP="00575BC3">
      <w:r>
        <w:t>A preliminary evaluation of the proposed DBC has been run against all existing device registrations in the band to evaluate the affect the proposed DBC will have on existing registrations. This evaluation found that the vast majority of registrations that had passed the current DBC will also pass the proposed DBC. It also found that for some registrations that failed the current DBC and thus were registered using guard space or agreement, will now pass using the proposed DBC.</w:t>
      </w:r>
    </w:p>
    <w:p w:rsidR="00575BC3" w:rsidRDefault="00575BC3" w:rsidP="00575BC3"/>
    <w:p w:rsidR="00575BC3" w:rsidRDefault="00575BC3" w:rsidP="00575BC3">
      <w:r>
        <w:t xml:space="preserve">TLG members are encouraged to evaluate the proposed DBC methodology to determine what affect it will have on existing and future devices. </w:t>
      </w:r>
    </w:p>
    <w:p w:rsidR="00575BC3" w:rsidRDefault="00575BC3" w:rsidP="00575BC3">
      <w:pPr>
        <w:sectPr w:rsidR="00575BC3" w:rsidSect="00673FFF">
          <w:headerReference w:type="default" r:id="rId28"/>
          <w:pgSz w:w="11906" w:h="16838"/>
          <w:pgMar w:top="1440" w:right="1474" w:bottom="1440" w:left="1474" w:header="709" w:footer="709" w:gutter="0"/>
          <w:pgNumType w:start="0"/>
          <w:cols w:space="708"/>
          <w:docGrid w:linePitch="360"/>
        </w:sectPr>
      </w:pPr>
    </w:p>
    <w:p w:rsidR="00575BC3" w:rsidRDefault="00575BC3" w:rsidP="00575BC3">
      <w:r>
        <w:lastRenderedPageBreak/>
        <w:t>Figure 5: Comparison of required separation distances between the current and proposed DBC</w:t>
      </w:r>
    </w:p>
    <w:p w:rsidR="00575BC3" w:rsidRDefault="00575BC3" w:rsidP="00575BC3">
      <w:pPr>
        <w:sectPr w:rsidR="00575BC3" w:rsidSect="00673FFF">
          <w:pgSz w:w="16838" w:h="11906" w:orient="landscape"/>
          <w:pgMar w:top="1474" w:right="1440" w:bottom="1474" w:left="1440" w:header="709" w:footer="709" w:gutter="0"/>
          <w:pgNumType w:start="0"/>
          <w:cols w:space="708"/>
          <w:docGrid w:linePitch="360"/>
        </w:sectPr>
      </w:pPr>
      <w:r>
        <w:rPr>
          <w:noProof/>
        </w:rPr>
        <w:drawing>
          <wp:inline distT="0" distB="0" distL="0" distR="0">
            <wp:extent cx="7620000" cy="5324475"/>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9" cstate="print"/>
                    <a:srcRect/>
                    <a:stretch>
                      <a:fillRect/>
                    </a:stretch>
                  </pic:blipFill>
                  <pic:spPr bwMode="auto">
                    <a:xfrm>
                      <a:off x="0" y="0"/>
                      <a:ext cx="7620000" cy="5324475"/>
                    </a:xfrm>
                    <a:prstGeom prst="rect">
                      <a:avLst/>
                    </a:prstGeom>
                    <a:noFill/>
                    <a:ln w="9525">
                      <a:noFill/>
                      <a:miter lim="800000"/>
                      <a:headEnd/>
                      <a:tailEnd/>
                    </a:ln>
                  </pic:spPr>
                </pic:pic>
              </a:graphicData>
            </a:graphic>
          </wp:inline>
        </w:drawing>
      </w:r>
    </w:p>
    <w:p w:rsidR="00575BC3" w:rsidRDefault="00575BC3" w:rsidP="00575BC3">
      <w:pPr>
        <w:pStyle w:val="Heading2"/>
      </w:pPr>
      <w:r>
        <w:lastRenderedPageBreak/>
        <w:t>7.</w:t>
      </w:r>
      <w:r>
        <w:tab/>
        <w:t>Other Device Registration Arrangements</w:t>
      </w:r>
    </w:p>
    <w:p w:rsidR="00575BC3" w:rsidRDefault="00575BC3" w:rsidP="00575BC3">
      <w:r>
        <w:t>The Section 145 Determination also includes other device registration arrangements that:</w:t>
      </w:r>
    </w:p>
    <w:p w:rsidR="00575BC3" w:rsidRDefault="00575BC3" w:rsidP="00575BC3">
      <w:pPr>
        <w:numPr>
          <w:ilvl w:val="0"/>
          <w:numId w:val="4"/>
        </w:numPr>
      </w:pPr>
      <w:r>
        <w:t xml:space="preserve">provide </w:t>
      </w:r>
      <w:r w:rsidR="001235B1">
        <w:t>for coexistence with</w:t>
      </w:r>
      <w:r>
        <w:t xml:space="preserve"> adjacent band DECT services;</w:t>
      </w:r>
    </w:p>
    <w:p w:rsidR="00575BC3" w:rsidRDefault="00575BC3" w:rsidP="00575BC3">
      <w:pPr>
        <w:numPr>
          <w:ilvl w:val="0"/>
          <w:numId w:val="4"/>
        </w:numPr>
      </w:pPr>
      <w:r>
        <w:t>declare the use of low power transmitters within the licence area as not causing unacceptable interference;</w:t>
      </w:r>
    </w:p>
    <w:p w:rsidR="00575BC3" w:rsidRDefault="00575BC3" w:rsidP="00575BC3">
      <w:pPr>
        <w:numPr>
          <w:ilvl w:val="0"/>
          <w:numId w:val="4"/>
        </w:numPr>
      </w:pPr>
      <w:r>
        <w:t>provide the definition of a group of transmitters or receivers for the group registration;</w:t>
      </w:r>
    </w:p>
    <w:p w:rsidR="00575BC3" w:rsidRDefault="00575BC3" w:rsidP="00575BC3">
      <w:pPr>
        <w:numPr>
          <w:ilvl w:val="0"/>
          <w:numId w:val="4"/>
        </w:numPr>
      </w:pPr>
      <w:r>
        <w:t xml:space="preserve">simplify the registration requirements for devices located well away from the geographic boundary (greater than </w:t>
      </w:r>
      <w:r w:rsidR="003755AB" w:rsidRPr="00B57AD2">
        <w:t>40</w:t>
      </w:r>
      <w:r w:rsidRPr="00B57AD2">
        <w:t xml:space="preserve"> km</w:t>
      </w:r>
      <w:r>
        <w:t xml:space="preserve"> as proposed in Section 6); and</w:t>
      </w:r>
    </w:p>
    <w:p w:rsidR="00575BC3" w:rsidRDefault="00575BC3" w:rsidP="00575BC3">
      <w:pPr>
        <w:numPr>
          <w:ilvl w:val="0"/>
          <w:numId w:val="4"/>
        </w:numPr>
      </w:pPr>
      <w:proofErr w:type="gramStart"/>
      <w:r>
        <w:t>set</w:t>
      </w:r>
      <w:proofErr w:type="gramEnd"/>
      <w:r>
        <w:t xml:space="preserve"> out deployment constraints to encourage high site / low site frequency selection in areas of defined high mobile use.</w:t>
      </w:r>
    </w:p>
    <w:p w:rsidR="00575BC3" w:rsidRDefault="00575BC3" w:rsidP="00575BC3">
      <w:pPr>
        <w:pStyle w:val="Heading3"/>
      </w:pPr>
      <w:r>
        <w:t>7.1</w:t>
      </w:r>
      <w:r>
        <w:tab/>
        <w:t>Protection of adjacent band DECT services</w:t>
      </w:r>
    </w:p>
    <w:p w:rsidR="00575BC3" w:rsidRDefault="00575BC3" w:rsidP="00575BC3">
      <w:r>
        <w:t xml:space="preserve">Digital Enhanced Cordless Telephone (DECT) services operate in the band 1880-1900 MHz which is adjacent to the 1800 MHz spectrum licensed band. DECT services are class licensed and authorised under the Radiocommunications (Cordless </w:t>
      </w:r>
      <w:r w:rsidR="004B2F0B">
        <w:t>C</w:t>
      </w:r>
      <w:r>
        <w:t>ommunications Devices) Class Licence 2001.</w:t>
      </w:r>
      <w:r>
        <w:rPr>
          <w:rStyle w:val="FootnoteReference"/>
        </w:rPr>
        <w:footnoteReference w:id="15"/>
      </w:r>
    </w:p>
    <w:p w:rsidR="00575BC3" w:rsidRDefault="00575BC3" w:rsidP="00575BC3"/>
    <w:p w:rsidR="00575BC3" w:rsidRDefault="00575BC3" w:rsidP="00575BC3">
      <w:r>
        <w:t>The current framework specifies an EIRP limit of 24.5 dBm/30kHz in the top 2.5 MHz</w:t>
      </w:r>
      <w:r>
        <w:rPr>
          <w:rStyle w:val="FootnoteReference"/>
        </w:rPr>
        <w:footnoteReference w:id="16"/>
      </w:r>
      <w:r>
        <w:t xml:space="preserve"> segment of the band to provide </w:t>
      </w:r>
      <w:r w:rsidR="001235B1">
        <w:t>for coexistence with</w:t>
      </w:r>
      <w:r>
        <w:t xml:space="preserve"> adjacent band DECT services. This specification is contained in the current Section 145 Determination.</w:t>
      </w:r>
    </w:p>
    <w:p w:rsidR="00575BC3" w:rsidRDefault="00575BC3" w:rsidP="00575BC3"/>
    <w:p w:rsidR="00575BC3" w:rsidRDefault="00575BC3" w:rsidP="00575BC3">
      <w:r>
        <w:t>European studies ECC Reports 96</w:t>
      </w:r>
      <w:r>
        <w:rPr>
          <w:rStyle w:val="FootnoteReference"/>
        </w:rPr>
        <w:footnoteReference w:id="17"/>
      </w:r>
      <w:r>
        <w:t xml:space="preserve"> and 146</w:t>
      </w:r>
      <w:r>
        <w:rPr>
          <w:rStyle w:val="FootnoteReference"/>
        </w:rPr>
        <w:footnoteReference w:id="18"/>
      </w:r>
      <w:r>
        <w:t xml:space="preserve"> and CEPT Report 41</w:t>
      </w:r>
      <w:r>
        <w:rPr>
          <w:rStyle w:val="FootnoteReference"/>
        </w:rPr>
        <w:footnoteReference w:id="19"/>
      </w:r>
      <w:r>
        <w:t xml:space="preserve"> conclude that no guard band is required between GSM, UMTS, LTE or WiMAX services at the boundary 1880 MHz to </w:t>
      </w:r>
      <w:r w:rsidR="001235B1">
        <w:t>allow coexistence with</w:t>
      </w:r>
      <w:r>
        <w:t xml:space="preserve"> DECT services. This is because of the ability of DECT to relocate to other frequencies away from the 1800 MHz boundary to avoid interference.  </w:t>
      </w:r>
    </w:p>
    <w:p w:rsidR="00575BC3" w:rsidRDefault="00575BC3" w:rsidP="00575BC3"/>
    <w:p w:rsidR="00575BC3" w:rsidRDefault="00575BC3" w:rsidP="00575BC3">
      <w:r>
        <w:t>It is considered that the current EIRP limit of 24.5 dBm/30kHz in the top 2.5 MHz segment is overly conservative</w:t>
      </w:r>
      <w:r w:rsidRPr="00F9506E">
        <w:t xml:space="preserve"> </w:t>
      </w:r>
      <w:r>
        <w:t>and restricts the efficient use of this spectrum. From the specifications of the reference technologies in Section 3, the maximum base station EIRP is 50 dBm/30kHz, based on a GSM station.</w:t>
      </w:r>
    </w:p>
    <w:p w:rsidR="00575BC3" w:rsidRDefault="00575BC3" w:rsidP="00575BC3"/>
    <w:p w:rsidR="00575BC3" w:rsidRDefault="00575BC3" w:rsidP="00575BC3">
      <w:r>
        <w:t>In addition to the above mentioned European studies, the ACMA has undertaken a study to assess the relationship betwe</w:t>
      </w:r>
      <w:r w:rsidR="00776291">
        <w:t>en the EIRP in the top</w:t>
      </w:r>
      <w:r>
        <w:t xml:space="preserve"> 2.5 MHz</w:t>
      </w:r>
      <w:r w:rsidR="00776291">
        <w:t xml:space="preserve"> segment</w:t>
      </w:r>
      <w:r>
        <w:t xml:space="preserve"> and the resulting </w:t>
      </w:r>
      <w:r w:rsidR="001235B1">
        <w:t>effect on</w:t>
      </w:r>
      <w:r>
        <w:t xml:space="preserve"> DECT services.</w:t>
      </w:r>
      <w:r>
        <w:rPr>
          <w:rStyle w:val="FootnoteReference"/>
        </w:rPr>
        <w:footnoteReference w:id="20"/>
      </w:r>
      <w:r>
        <w:t xml:space="preserve"> Based on this study it is expected that an emission level of 50 dBm/30kHz in the top 2.5 MHz segment will have a minimal </w:t>
      </w:r>
      <w:r w:rsidR="001235B1">
        <w:t>effect on</w:t>
      </w:r>
      <w:r>
        <w:t xml:space="preserve"> DECT services. Therefore, increasing the EIRP cap to 50 dBm/30kHz will maintain an equitable balance </w:t>
      </w:r>
      <w:r>
        <w:lastRenderedPageBreak/>
        <w:t xml:space="preserve">between enabling efficient use of this segment by spectrum licensees </w:t>
      </w:r>
      <w:r w:rsidR="001235B1">
        <w:t>while providing for coexistence with</w:t>
      </w:r>
      <w:r>
        <w:t xml:space="preserve"> adjacent band DECT services. </w:t>
      </w:r>
    </w:p>
    <w:p w:rsidR="00575BC3" w:rsidRDefault="00575BC3" w:rsidP="00575BC3"/>
    <w:tbl>
      <w:tblPr>
        <w:tblStyle w:val="TableGrid"/>
        <w:tblW w:w="0" w:type="auto"/>
        <w:tblLook w:val="04A0"/>
      </w:tblPr>
      <w:tblGrid>
        <w:gridCol w:w="9174"/>
      </w:tblGrid>
      <w:tr w:rsidR="00575BC3" w:rsidTr="003755AB">
        <w:tc>
          <w:tcPr>
            <w:tcW w:w="9374" w:type="dxa"/>
          </w:tcPr>
          <w:p w:rsidR="00575BC3" w:rsidRDefault="00575BC3" w:rsidP="003755AB">
            <w:r>
              <w:t>It is proposed to increase the EIRP cap in the top 2.5 MHz segment (1877.5-1880 MHz) of the 1800 MHz band to 50 dBm/30kHz.</w:t>
            </w:r>
          </w:p>
        </w:tc>
      </w:tr>
    </w:tbl>
    <w:p w:rsidR="00575BC3" w:rsidRDefault="00575BC3" w:rsidP="00575BC3"/>
    <w:p w:rsidR="00575BC3" w:rsidRDefault="00575BC3" w:rsidP="00575BC3">
      <w:pPr>
        <w:pStyle w:val="Heading3"/>
      </w:pPr>
      <w:r>
        <w:t>7.2</w:t>
      </w:r>
      <w:r>
        <w:tab/>
        <w:t>Proposed registration exemption requirements</w:t>
      </w:r>
    </w:p>
    <w:p w:rsidR="00575BC3" w:rsidRDefault="00575BC3" w:rsidP="00575BC3">
      <w:r>
        <w:t>The current framework includes a provision that exempts mobile transmitters or fixed indoor transmitters with an EIRP of less than 24.5 dBm/30 kHz from registration. The current definition of an indoor fixed transmitter includes a requirement that it is located greater than 5 metres from an external surface.</w:t>
      </w:r>
    </w:p>
    <w:p w:rsidR="00575BC3" w:rsidRDefault="00575BC3" w:rsidP="00575BC3"/>
    <w:p w:rsidR="00575BC3" w:rsidRDefault="00575BC3" w:rsidP="00575BC3">
      <w:r>
        <w:t>It is proposed to change the framework so that types of devices such as femtocells</w:t>
      </w:r>
      <w:r>
        <w:rPr>
          <w:rStyle w:val="FootnoteReference"/>
        </w:rPr>
        <w:footnoteReference w:id="21"/>
      </w:r>
      <w:r>
        <w:t xml:space="preserve"> and leaky-feeder systems are not required to be registered. This will be implemented through specifying that any device that has an EIRP level below a specified limit is exempt from registration. This exemption will include mobile transmitters, and low powered indoor and outdoor fixed transmitters</w:t>
      </w:r>
      <w:r w:rsidR="004E410B">
        <w:t xml:space="preserve"> which have a low interference risk</w:t>
      </w:r>
      <w:r>
        <w:t xml:space="preserve">. </w:t>
      </w:r>
    </w:p>
    <w:p w:rsidR="00575BC3" w:rsidRDefault="00575BC3" w:rsidP="00575BC3"/>
    <w:p w:rsidR="00092C86" w:rsidRDefault="00CF2C80" w:rsidP="00575BC3">
      <w:r>
        <w:t>There are two EIRP limits proposed considering</w:t>
      </w:r>
      <w:r w:rsidR="004B7E69">
        <w:t xml:space="preserve"> the range of </w:t>
      </w:r>
      <w:r w:rsidR="004E410B">
        <w:t>technologies</w:t>
      </w:r>
      <w:r w:rsidR="00CA4A55">
        <w:t xml:space="preserve"> and network types</w:t>
      </w:r>
      <w:r w:rsidR="004E410B">
        <w:t xml:space="preserve"> expected to be used in the band; one for fixed transmitters and another for mobile transmitters. </w:t>
      </w:r>
    </w:p>
    <w:p w:rsidR="00092C86" w:rsidRDefault="00092C86" w:rsidP="00575BC3"/>
    <w:p w:rsidR="004B7E69" w:rsidRDefault="00575BC3" w:rsidP="00575BC3">
      <w:r>
        <w:t>The</w:t>
      </w:r>
      <w:r w:rsidR="004E410B">
        <w:t xml:space="preserve"> proposed</w:t>
      </w:r>
      <w:r>
        <w:t xml:space="preserve"> EIRP limit </w:t>
      </w:r>
      <w:r w:rsidR="004E410B">
        <w:t>for</w:t>
      </w:r>
      <w:r>
        <w:t xml:space="preserve"> fixed transmitters</w:t>
      </w:r>
      <w:r w:rsidR="004E410B">
        <w:t xml:space="preserve"> is 33 dBm</w:t>
      </w:r>
      <w:r>
        <w:t xml:space="preserve"> within the occupied bandwidth of the transmitter</w:t>
      </w:r>
      <w:r w:rsidR="001A0D49">
        <w:t>.</w:t>
      </w:r>
      <w:r w:rsidR="004E410B">
        <w:t xml:space="preserve"> This limit is b</w:t>
      </w:r>
      <w:r w:rsidR="00CF2C80">
        <w:t>ased on the current mobile and fixed indoor transmitter exemption limit</w:t>
      </w:r>
      <w:r w:rsidR="004E410B">
        <w:t xml:space="preserve"> </w:t>
      </w:r>
      <w:proofErr w:type="gramStart"/>
      <w:r w:rsidR="004E410B">
        <w:t>of 24.5 dBm/30kHz converted to a 200 kHz bandwidth (i.e. 33 dBm/200kHz)</w:t>
      </w:r>
      <w:proofErr w:type="gramEnd"/>
      <w:r w:rsidR="001A0D49">
        <w:t>.</w:t>
      </w:r>
    </w:p>
    <w:p w:rsidR="004B7E69" w:rsidRDefault="004B7E69" w:rsidP="00575BC3"/>
    <w:p w:rsidR="00575BC3" w:rsidRDefault="004B7E69" w:rsidP="00575BC3">
      <w:r>
        <w:t xml:space="preserve">The proposed EIRP limit </w:t>
      </w:r>
      <w:r w:rsidR="004E410B">
        <w:t xml:space="preserve">for mobile transmitters </w:t>
      </w:r>
      <w:r>
        <w:t>is 39 dBm within the occupied bandwidth of the transmitter. This level is based on a GSM-R vehicle mobile station which may have an EIRP of up to 39 dBm/200 kHz, based on a 36 dBm/200 kHz transmit power and a 3 dBi antenna gain (including feeder loss).</w:t>
      </w:r>
    </w:p>
    <w:p w:rsidR="00575BC3" w:rsidRDefault="00575BC3" w:rsidP="00575BC3"/>
    <w:p w:rsidR="00575BC3" w:rsidRDefault="00575BC3" w:rsidP="00575BC3">
      <w:r>
        <w:t xml:space="preserve">Any mobile transmitter with an EIRP exceeding </w:t>
      </w:r>
      <w:proofErr w:type="gramStart"/>
      <w:r>
        <w:t>3</w:t>
      </w:r>
      <w:r w:rsidR="001A0D49">
        <w:t>9</w:t>
      </w:r>
      <w:r>
        <w:t xml:space="preserve"> dBm/occupied bandwidth</w:t>
      </w:r>
      <w:proofErr w:type="gramEnd"/>
      <w:r>
        <w:t xml:space="preserve"> will be deemed to cause unacceptable interference under the updated Section 145 Determination. Any fixed transmitter with an EIRP exceeding </w:t>
      </w:r>
      <w:proofErr w:type="gramStart"/>
      <w:r>
        <w:t>33 dBm/occupied bandwidth</w:t>
      </w:r>
      <w:proofErr w:type="gramEnd"/>
      <w:r>
        <w:t xml:space="preserve"> will be required to be registered in accordance with the provisions in the Section 145 Determination.  </w:t>
      </w:r>
    </w:p>
    <w:p w:rsidR="00575BC3" w:rsidRDefault="00575BC3" w:rsidP="00575BC3"/>
    <w:p w:rsidR="00575BC3" w:rsidRDefault="00575BC3" w:rsidP="00575BC3">
      <w:r>
        <w:t>It should be noted that although low powered transmitters such as</w:t>
      </w:r>
      <w:r w:rsidR="00930F47">
        <w:t xml:space="preserve"> mobiles phones and</w:t>
      </w:r>
      <w:r>
        <w:t xml:space="preserve"> femtocells are exempt from the device registration requirements, it is the </w:t>
      </w:r>
      <w:r w:rsidR="00A74CD0">
        <w:t>licensee’s</w:t>
      </w:r>
      <w:r>
        <w:t xml:space="preserve"> responsibility </w:t>
      </w:r>
      <w:r w:rsidR="001235B1">
        <w:t xml:space="preserve">to ensure </w:t>
      </w:r>
      <w:r>
        <w:t>that all devices operated under their spectrum licence comply with the conditions of the licence.</w:t>
      </w:r>
    </w:p>
    <w:p w:rsidR="00575BC3" w:rsidRDefault="00575BC3" w:rsidP="00575BC3"/>
    <w:tbl>
      <w:tblPr>
        <w:tblStyle w:val="TableGrid"/>
        <w:tblW w:w="0" w:type="auto"/>
        <w:tblLook w:val="04A0"/>
      </w:tblPr>
      <w:tblGrid>
        <w:gridCol w:w="9174"/>
      </w:tblGrid>
      <w:tr w:rsidR="00575BC3" w:rsidTr="003755AB">
        <w:tc>
          <w:tcPr>
            <w:tcW w:w="9174" w:type="dxa"/>
          </w:tcPr>
          <w:p w:rsidR="00CF2C80" w:rsidRDefault="00575BC3" w:rsidP="003755AB">
            <w:r>
              <w:t>It is proposed that any</w:t>
            </w:r>
            <w:r w:rsidR="00CF2C80">
              <w:t>:</w:t>
            </w:r>
          </w:p>
          <w:p w:rsidR="0081744F" w:rsidRDefault="00CF2C80">
            <w:pPr>
              <w:pStyle w:val="ListParagraph"/>
              <w:numPr>
                <w:ilvl w:val="0"/>
                <w:numId w:val="32"/>
              </w:numPr>
              <w:rPr>
                <w:rFonts w:asciiTheme="majorHAnsi" w:eastAsiaTheme="majorEastAsia" w:hAnsiTheme="majorHAnsi" w:cstheme="majorBidi"/>
                <w:b/>
                <w:bCs/>
                <w:i/>
                <w:iCs/>
                <w:color w:val="4F81BD" w:themeColor="accent1"/>
              </w:rPr>
            </w:pPr>
            <w:r>
              <w:t>fixed transmitter</w:t>
            </w:r>
            <w:r w:rsidR="00575BC3">
              <w:t xml:space="preserve"> with an EIRP of less than 33 dBm</w:t>
            </w:r>
            <w:r>
              <w:t>; or</w:t>
            </w:r>
          </w:p>
          <w:p w:rsidR="0081744F" w:rsidRDefault="00CF2C80">
            <w:pPr>
              <w:pStyle w:val="ListParagraph"/>
              <w:numPr>
                <w:ilvl w:val="0"/>
                <w:numId w:val="32"/>
              </w:numPr>
              <w:rPr>
                <w:rFonts w:asciiTheme="majorHAnsi" w:eastAsiaTheme="majorEastAsia" w:hAnsiTheme="majorHAnsi" w:cstheme="majorBidi"/>
                <w:b/>
                <w:bCs/>
                <w:i/>
                <w:iCs/>
                <w:color w:val="4F81BD" w:themeColor="accent1"/>
              </w:rPr>
            </w:pPr>
            <w:r>
              <w:t>mobile</w:t>
            </w:r>
            <w:r w:rsidR="00575BC3">
              <w:t xml:space="preserve"> </w:t>
            </w:r>
            <w:r>
              <w:t>transmitter with an EIRP of less than 39 dBm;</w:t>
            </w:r>
          </w:p>
          <w:p w:rsidR="00575BC3" w:rsidRDefault="00575BC3" w:rsidP="00CF2C80">
            <w:proofErr w:type="gramStart"/>
            <w:r>
              <w:t>within</w:t>
            </w:r>
            <w:proofErr w:type="gramEnd"/>
            <w:r>
              <w:t xml:space="preserve"> the occupied bandwidth of the transmitter is</w:t>
            </w:r>
            <w:r w:rsidR="00B57AD2">
              <w:t xml:space="preserve"> deemed not to cause unacceptable interference and is</w:t>
            </w:r>
            <w:r>
              <w:t xml:space="preserve"> exempt from registration.</w:t>
            </w:r>
          </w:p>
          <w:p w:rsidR="00575BC3" w:rsidRDefault="00575BC3" w:rsidP="003755AB"/>
          <w:p w:rsidR="00575BC3" w:rsidRDefault="00575BC3" w:rsidP="004E410B">
            <w:r>
              <w:t xml:space="preserve">Advice is sort from the TLG as to whether the proposed EIRP limit will include all mobile transmitter types and technologies expected to be used in the band. </w:t>
            </w:r>
          </w:p>
        </w:tc>
      </w:tr>
    </w:tbl>
    <w:p w:rsidR="00092C86" w:rsidRPr="00092C86" w:rsidRDefault="00092C86" w:rsidP="00092C86"/>
    <w:p w:rsidR="00575BC3" w:rsidRDefault="00575BC3" w:rsidP="00575BC3">
      <w:pPr>
        <w:pStyle w:val="Heading3"/>
      </w:pPr>
      <w:r>
        <w:t>7.3</w:t>
      </w:r>
      <w:r>
        <w:tab/>
        <w:t>Definition of groups of transmitters and receivers</w:t>
      </w:r>
    </w:p>
    <w:p w:rsidR="00575BC3" w:rsidRDefault="00575BC3" w:rsidP="00575BC3">
      <w:r>
        <w:t>Allowing group registrations from transmitters and receivers reduces the administrative burden for licensees with devices with similar characteristics. In providing the definition of groups of devices, consideration is necessary to ensure that any reduction in registration requirements does not significantly increase the risk of interference or future coordination difficulties.</w:t>
      </w:r>
    </w:p>
    <w:p w:rsidR="00575BC3" w:rsidRDefault="00575BC3" w:rsidP="00575BC3"/>
    <w:p w:rsidR="00575BC3" w:rsidRDefault="00575BC3" w:rsidP="00575BC3">
      <w:r>
        <w:t xml:space="preserve">After reviewing the band, it is proposed to remove the provisions for group registration of transmitters and receivers that are located within the limits of a town specified in the Towns Mobile List. It is considered that this current arrangement reduces the accuracy of the Register of Radiocommunication Licences (RRL) through not detailing the locations of individual devices that may be separated by kilometres. This may lead to coordination difficulties with adjacent services that rely on the RRL for coordination. </w:t>
      </w:r>
    </w:p>
    <w:p w:rsidR="00575BC3" w:rsidRDefault="00575BC3" w:rsidP="00575BC3"/>
    <w:p w:rsidR="00575BC3" w:rsidRDefault="00575BC3" w:rsidP="00575BC3">
      <w:r>
        <w:t xml:space="preserve">Arrangements for groups of transmitters located </w:t>
      </w:r>
      <w:r w:rsidR="00C16306">
        <w:t>within 10 metres of the same central point</w:t>
      </w:r>
      <w:r>
        <w:t xml:space="preserve"> will remain unchanged.</w:t>
      </w:r>
    </w:p>
    <w:p w:rsidR="00575BC3" w:rsidRDefault="00575BC3" w:rsidP="00575BC3"/>
    <w:tbl>
      <w:tblPr>
        <w:tblStyle w:val="TableGrid"/>
        <w:tblW w:w="0" w:type="auto"/>
        <w:tblLook w:val="04A0"/>
      </w:tblPr>
      <w:tblGrid>
        <w:gridCol w:w="9174"/>
      </w:tblGrid>
      <w:tr w:rsidR="00575BC3" w:rsidTr="003755AB">
        <w:tc>
          <w:tcPr>
            <w:tcW w:w="9174" w:type="dxa"/>
          </w:tcPr>
          <w:p w:rsidR="00575BC3" w:rsidRDefault="00575BC3" w:rsidP="003755AB">
            <w:r>
              <w:t xml:space="preserve">It is proposed to remove the provisions for group registration of transmitters and receivers that are located within the limits of a town specified in the Towns Mobile List. </w:t>
            </w:r>
          </w:p>
          <w:p w:rsidR="00575BC3" w:rsidRDefault="00575BC3" w:rsidP="003755AB">
            <w:pPr>
              <w:ind w:left="1080"/>
            </w:pPr>
            <w:r w:rsidDel="00EF3D40">
              <w:t xml:space="preserve"> </w:t>
            </w:r>
          </w:p>
        </w:tc>
      </w:tr>
    </w:tbl>
    <w:p w:rsidR="00575BC3" w:rsidRDefault="00575BC3" w:rsidP="00575BC3"/>
    <w:p w:rsidR="00575BC3" w:rsidRDefault="00575BC3" w:rsidP="00575BC3">
      <w:pPr>
        <w:pStyle w:val="Heading3"/>
      </w:pPr>
      <w:r>
        <w:t>7.4</w:t>
      </w:r>
      <w:r>
        <w:tab/>
        <w:t>Proposed deployment constraints</w:t>
      </w:r>
    </w:p>
    <w:p w:rsidR="00575BC3" w:rsidRDefault="00575BC3" w:rsidP="00575BC3">
      <w:r>
        <w:t>To give priority to FDD systems in areas of high mobile use the current framework does not allow transmitters in the lower band at effective antenna heights above 10 metres. Outside these areas high sited transmitters are allowed in the lower band.</w:t>
      </w:r>
    </w:p>
    <w:p w:rsidR="00575BC3" w:rsidRDefault="00575BC3" w:rsidP="00575BC3"/>
    <w:p w:rsidR="00575BC3" w:rsidRDefault="00575BC3" w:rsidP="00575BC3">
      <w:r>
        <w:t>As indicated in the system model, it is proposed to maintain the current deployment constraints which provide a balance between protection of FDD in major population areas and deployment flexibility in regional areas.</w:t>
      </w:r>
    </w:p>
    <w:p w:rsidR="00575BC3" w:rsidRDefault="00575BC3" w:rsidP="00575BC3"/>
    <w:p w:rsidR="00575BC3" w:rsidRDefault="00575BC3" w:rsidP="00575BC3">
      <w:r>
        <w:t>Areas of high mobile use are designated in the Section 145 Determination and include all of the major capital city areas as well as a subset of the Canberra area (limited to cover the Canberra and Queanbeyan greater metropolitan areas).</w:t>
      </w:r>
    </w:p>
    <w:p w:rsidR="00575BC3" w:rsidRDefault="00575BC3" w:rsidP="00575BC3"/>
    <w:p w:rsidR="00575BC3" w:rsidRDefault="00575BC3" w:rsidP="00575BC3">
      <w:r>
        <w:t>It is proposed to maintain the existing areas as well as introducing additional areas to include Darwin and Hobart. This is intended to give priority to FDD in these areas to support the growth of mobile networks.</w:t>
      </w:r>
    </w:p>
    <w:p w:rsidR="00575BC3" w:rsidRDefault="00575BC3" w:rsidP="00575BC3"/>
    <w:tbl>
      <w:tblPr>
        <w:tblStyle w:val="TableGrid"/>
        <w:tblW w:w="0" w:type="auto"/>
        <w:tblLook w:val="04A0"/>
      </w:tblPr>
      <w:tblGrid>
        <w:gridCol w:w="9174"/>
      </w:tblGrid>
      <w:tr w:rsidR="00575BC3" w:rsidTr="003755AB">
        <w:tc>
          <w:tcPr>
            <w:tcW w:w="9374" w:type="dxa"/>
          </w:tcPr>
          <w:p w:rsidR="00575BC3" w:rsidRDefault="00575BC3" w:rsidP="003755AB">
            <w:pPr>
              <w:autoSpaceDE w:val="0"/>
              <w:autoSpaceDN w:val="0"/>
              <w:adjustRightInd w:val="0"/>
              <w:rPr>
                <w:bCs/>
              </w:rPr>
            </w:pPr>
            <w:r w:rsidRPr="007B09BD">
              <w:rPr>
                <w:bCs/>
              </w:rPr>
              <w:t xml:space="preserve">It is </w:t>
            </w:r>
            <w:r>
              <w:rPr>
                <w:bCs/>
              </w:rPr>
              <w:t>proposed to introduce two new areas of designated high mobile use, in which the deployment constraints will be based on FDD use. In these areas a transmitter in the lower band with an effective antenna height of greater than 10 metres in the 1</w:t>
            </w:r>
            <w:r w:rsidRPr="00656709">
              <w:rPr>
                <w:bCs/>
                <w:vertAlign w:val="superscript"/>
              </w:rPr>
              <w:t>st</w:t>
            </w:r>
            <w:r>
              <w:rPr>
                <w:bCs/>
              </w:rPr>
              <w:t xml:space="preserve"> increment on each radial is taken to cause unacceptable interference. These proposed new areas are:</w:t>
            </w:r>
          </w:p>
          <w:p w:rsidR="00575BC3" w:rsidRDefault="00575BC3" w:rsidP="003755AB">
            <w:pPr>
              <w:numPr>
                <w:ilvl w:val="0"/>
                <w:numId w:val="10"/>
              </w:numPr>
              <w:autoSpaceDE w:val="0"/>
              <w:autoSpaceDN w:val="0"/>
              <w:adjustRightInd w:val="0"/>
              <w:rPr>
                <w:bCs/>
              </w:rPr>
            </w:pPr>
            <w:r>
              <w:rPr>
                <w:bCs/>
              </w:rPr>
              <w:t xml:space="preserve">Darwin high mobile use area – which is identical to the Darwin spectrum licence area as </w:t>
            </w:r>
            <w:r w:rsidRPr="00181733">
              <w:rPr>
                <w:bCs/>
              </w:rPr>
              <w:t>designated</w:t>
            </w:r>
            <w:r>
              <w:rPr>
                <w:bCs/>
              </w:rPr>
              <w:t xml:space="preserve"> in the Marketing Plan; and</w:t>
            </w:r>
          </w:p>
          <w:p w:rsidR="00575BC3" w:rsidRDefault="00575BC3" w:rsidP="003755AB">
            <w:pPr>
              <w:numPr>
                <w:ilvl w:val="0"/>
                <w:numId w:val="10"/>
              </w:numPr>
              <w:autoSpaceDE w:val="0"/>
              <w:autoSpaceDN w:val="0"/>
              <w:adjustRightInd w:val="0"/>
              <w:rPr>
                <w:bCs/>
              </w:rPr>
            </w:pPr>
            <w:r>
              <w:rPr>
                <w:bCs/>
              </w:rPr>
              <w:lastRenderedPageBreak/>
              <w:t>Hobart high mobile use area – which is a subset of the designated Tasmanian spectrum licence area that only includes the Hobart greater metropolitan area. This proposed area is described by connection the coordinates in Table 9 below.</w:t>
            </w:r>
          </w:p>
          <w:p w:rsidR="00575BC3" w:rsidRDefault="00575BC3" w:rsidP="003755AB">
            <w:pPr>
              <w:autoSpaceDE w:val="0"/>
              <w:autoSpaceDN w:val="0"/>
              <w:adjustRightInd w:val="0"/>
              <w:rPr>
                <w:bCs/>
              </w:rPr>
            </w:pPr>
            <w:r>
              <w:rPr>
                <w:bCs/>
              </w:rPr>
              <w:t xml:space="preserve"> </w:t>
            </w:r>
          </w:p>
          <w:p w:rsidR="00575BC3" w:rsidRPr="007B09BD" w:rsidRDefault="00575BC3" w:rsidP="003755AB">
            <w:pPr>
              <w:autoSpaceDE w:val="0"/>
              <w:autoSpaceDN w:val="0"/>
              <w:adjustRightInd w:val="0"/>
              <w:rPr>
                <w:bCs/>
              </w:rPr>
            </w:pPr>
            <w:r>
              <w:rPr>
                <w:bCs/>
              </w:rPr>
              <w:t>Table 9: coordinates for the proposed Hobart high mobile use area (referenced in AGD66 Datum)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4"/>
              <w:gridCol w:w="2830"/>
            </w:tblGrid>
            <w:tr w:rsidR="00575BC3" w:rsidTr="003755AB">
              <w:trPr>
                <w:trHeight w:val="100"/>
                <w:jc w:val="center"/>
              </w:trPr>
              <w:tc>
                <w:tcPr>
                  <w:tcW w:w="2514" w:type="dxa"/>
                </w:tcPr>
                <w:p w:rsidR="00575BC3" w:rsidRPr="002E1BBA" w:rsidRDefault="00575BC3" w:rsidP="003755AB">
                  <w:pPr>
                    <w:jc w:val="center"/>
                    <w:rPr>
                      <w:b/>
                    </w:rPr>
                  </w:pPr>
                  <w:r w:rsidRPr="002E1BBA">
                    <w:rPr>
                      <w:rFonts w:ascii="Arial" w:hAnsi="Arial" w:cs="Arial"/>
                      <w:b/>
                    </w:rPr>
                    <w:t>º</w:t>
                  </w:r>
                  <w:r w:rsidRPr="002E1BBA">
                    <w:rPr>
                      <w:b/>
                    </w:rPr>
                    <w:t xml:space="preserve"> ‘ “ East</w:t>
                  </w:r>
                </w:p>
              </w:tc>
              <w:tc>
                <w:tcPr>
                  <w:tcW w:w="2830" w:type="dxa"/>
                </w:tcPr>
                <w:p w:rsidR="00575BC3" w:rsidRPr="002E1BBA" w:rsidRDefault="00575BC3" w:rsidP="003755AB">
                  <w:pPr>
                    <w:jc w:val="center"/>
                    <w:rPr>
                      <w:b/>
                    </w:rPr>
                  </w:pPr>
                  <w:r w:rsidRPr="002E1BBA">
                    <w:rPr>
                      <w:rFonts w:ascii="Arial" w:hAnsi="Arial" w:cs="Arial"/>
                      <w:b/>
                    </w:rPr>
                    <w:t>º</w:t>
                  </w:r>
                  <w:r w:rsidRPr="002E1BBA">
                    <w:rPr>
                      <w:b/>
                    </w:rPr>
                    <w:t xml:space="preserve"> ‘ “ South</w:t>
                  </w:r>
                </w:p>
              </w:tc>
            </w:tr>
            <w:tr w:rsidR="00575BC3" w:rsidTr="003755AB">
              <w:trPr>
                <w:trHeight w:val="107"/>
                <w:jc w:val="center"/>
              </w:trPr>
              <w:tc>
                <w:tcPr>
                  <w:tcW w:w="2514" w:type="dxa"/>
                </w:tcPr>
                <w:p w:rsidR="00575BC3" w:rsidRDefault="00575BC3" w:rsidP="003755AB">
                  <w:r>
                    <w:t>147 05 00</w:t>
                  </w:r>
                </w:p>
              </w:tc>
              <w:tc>
                <w:tcPr>
                  <w:tcW w:w="2830" w:type="dxa"/>
                </w:tcPr>
                <w:p w:rsidR="00575BC3" w:rsidRDefault="00575BC3" w:rsidP="003755AB">
                  <w:r>
                    <w:t>42 40 00</w:t>
                  </w:r>
                </w:p>
              </w:tc>
            </w:tr>
            <w:tr w:rsidR="00575BC3" w:rsidTr="003755AB">
              <w:trPr>
                <w:trHeight w:val="100"/>
                <w:jc w:val="center"/>
              </w:trPr>
              <w:tc>
                <w:tcPr>
                  <w:tcW w:w="2514" w:type="dxa"/>
                </w:tcPr>
                <w:p w:rsidR="00575BC3" w:rsidRDefault="00575BC3" w:rsidP="003755AB">
                  <w:r>
                    <w:t>147 40 00</w:t>
                  </w:r>
                </w:p>
              </w:tc>
              <w:tc>
                <w:tcPr>
                  <w:tcW w:w="2830" w:type="dxa"/>
                </w:tcPr>
                <w:p w:rsidR="00575BC3" w:rsidRDefault="00575BC3" w:rsidP="003755AB">
                  <w:r>
                    <w:t>42 40 00</w:t>
                  </w:r>
                </w:p>
              </w:tc>
            </w:tr>
            <w:tr w:rsidR="00575BC3" w:rsidTr="003755AB">
              <w:trPr>
                <w:trHeight w:val="107"/>
                <w:jc w:val="center"/>
              </w:trPr>
              <w:tc>
                <w:tcPr>
                  <w:tcW w:w="2514" w:type="dxa"/>
                </w:tcPr>
                <w:p w:rsidR="00575BC3" w:rsidRDefault="00575BC3" w:rsidP="003755AB">
                  <w:r>
                    <w:t>147 40 00</w:t>
                  </w:r>
                </w:p>
              </w:tc>
              <w:tc>
                <w:tcPr>
                  <w:tcW w:w="2830" w:type="dxa"/>
                </w:tcPr>
                <w:p w:rsidR="00575BC3" w:rsidRDefault="00575BC3" w:rsidP="003755AB">
                  <w:r>
                    <w:t>43 05 00</w:t>
                  </w:r>
                </w:p>
              </w:tc>
            </w:tr>
            <w:tr w:rsidR="00575BC3" w:rsidTr="003755AB">
              <w:trPr>
                <w:trHeight w:val="107"/>
                <w:jc w:val="center"/>
              </w:trPr>
              <w:tc>
                <w:tcPr>
                  <w:tcW w:w="2514" w:type="dxa"/>
                </w:tcPr>
                <w:p w:rsidR="00575BC3" w:rsidRDefault="00575BC3" w:rsidP="003755AB">
                  <w:r>
                    <w:t>147 05 00</w:t>
                  </w:r>
                </w:p>
              </w:tc>
              <w:tc>
                <w:tcPr>
                  <w:tcW w:w="2830" w:type="dxa"/>
                </w:tcPr>
                <w:p w:rsidR="00575BC3" w:rsidRDefault="00575BC3" w:rsidP="003755AB">
                  <w:r>
                    <w:t>43 05 00</w:t>
                  </w:r>
                </w:p>
              </w:tc>
            </w:tr>
          </w:tbl>
          <w:p w:rsidR="00575BC3" w:rsidRDefault="00575BC3" w:rsidP="003755AB">
            <w:pPr>
              <w:autoSpaceDE w:val="0"/>
              <w:autoSpaceDN w:val="0"/>
              <w:adjustRightInd w:val="0"/>
              <w:rPr>
                <w:bCs/>
              </w:rPr>
            </w:pPr>
          </w:p>
          <w:p w:rsidR="00575BC3" w:rsidRDefault="00575BC3" w:rsidP="003755AB">
            <w:pPr>
              <w:autoSpaceDE w:val="0"/>
              <w:autoSpaceDN w:val="0"/>
              <w:adjustRightInd w:val="0"/>
              <w:rPr>
                <w:bCs/>
              </w:rPr>
            </w:pPr>
            <w:r>
              <w:rPr>
                <w:bCs/>
              </w:rPr>
              <w:t>Note: The definition for high mobile use areas may be converted to GDA94 or replaced with hierarchal identifiers</w:t>
            </w:r>
            <w:r>
              <w:rPr>
                <w:rStyle w:val="FootnoteReference"/>
                <w:bCs/>
              </w:rPr>
              <w:footnoteReference w:id="22"/>
            </w:r>
            <w:r>
              <w:rPr>
                <w:bCs/>
              </w:rPr>
              <w:t xml:space="preserve"> in the update to the Section 145 Determination.</w:t>
            </w:r>
          </w:p>
          <w:p w:rsidR="00575BC3" w:rsidRPr="007B09BD" w:rsidRDefault="00575BC3" w:rsidP="003755AB">
            <w:pPr>
              <w:autoSpaceDE w:val="0"/>
              <w:autoSpaceDN w:val="0"/>
              <w:adjustRightInd w:val="0"/>
              <w:rPr>
                <w:bCs/>
              </w:rPr>
            </w:pPr>
          </w:p>
        </w:tc>
      </w:tr>
    </w:tbl>
    <w:p w:rsidR="00575BC3" w:rsidRDefault="00575BC3" w:rsidP="00575BC3">
      <w:pPr>
        <w:autoSpaceDE w:val="0"/>
        <w:autoSpaceDN w:val="0"/>
        <w:adjustRightInd w:val="0"/>
        <w:rPr>
          <w:b/>
          <w:bCs/>
          <w:sz w:val="28"/>
          <w:szCs w:val="28"/>
        </w:rPr>
      </w:pPr>
    </w:p>
    <w:p w:rsidR="009806C3" w:rsidRDefault="009806C3" w:rsidP="00575BC3">
      <w:pPr>
        <w:autoSpaceDE w:val="0"/>
        <w:autoSpaceDN w:val="0"/>
        <w:adjustRightInd w:val="0"/>
        <w:rPr>
          <w:b/>
          <w:bCs/>
          <w:sz w:val="28"/>
          <w:szCs w:val="28"/>
        </w:rPr>
      </w:pPr>
    </w:p>
    <w:p w:rsidR="008A0FBE" w:rsidRDefault="007123CF" w:rsidP="008A0FBE">
      <w:r>
        <w:t>Clause 7(9) of the</w:t>
      </w:r>
      <w:r w:rsidR="0081744F">
        <w:t xml:space="preserve"> current Section 145 Determination </w:t>
      </w:r>
      <w:r w:rsidR="009806C3">
        <w:t xml:space="preserve">states that the </w:t>
      </w:r>
      <w:r w:rsidR="0081744F">
        <w:t>following transmitters</w:t>
      </w:r>
      <w:r w:rsidR="009806C3">
        <w:t xml:space="preserve"> are not deemed to cause unacceptable interference</w:t>
      </w:r>
      <w:r w:rsidR="003B6FAB">
        <w:t xml:space="preserve"> even</w:t>
      </w:r>
      <w:r w:rsidR="009806C3">
        <w:t xml:space="preserve"> if any part of their device boundary lies outside their licence area</w:t>
      </w:r>
      <w:r w:rsidR="0081744F">
        <w:t>:</w:t>
      </w:r>
    </w:p>
    <w:p w:rsidR="008A0FBE" w:rsidRDefault="0081744F" w:rsidP="008A0FBE">
      <w:pPr>
        <w:pStyle w:val="ListParagraph"/>
        <w:numPr>
          <w:ilvl w:val="0"/>
          <w:numId w:val="34"/>
        </w:numPr>
      </w:pPr>
      <w:r>
        <w:t>Transmitters that have an effective antenna height of less than 20</w:t>
      </w:r>
      <w:r w:rsidR="00F72D63">
        <w:t xml:space="preserve"> metres</w:t>
      </w:r>
      <w:r>
        <w:t>; and</w:t>
      </w:r>
    </w:p>
    <w:p w:rsidR="008A0FBE" w:rsidRDefault="0081744F" w:rsidP="008A0FBE">
      <w:pPr>
        <w:pStyle w:val="ListParagraph"/>
        <w:numPr>
          <w:ilvl w:val="0"/>
          <w:numId w:val="34"/>
        </w:numPr>
      </w:pPr>
      <w:r>
        <w:t>Operate in the band:</w:t>
      </w:r>
    </w:p>
    <w:p w:rsidR="008A0FBE" w:rsidRDefault="0081744F" w:rsidP="008A0FBE">
      <w:pPr>
        <w:pStyle w:val="ListParagraph"/>
        <w:numPr>
          <w:ilvl w:val="1"/>
          <w:numId w:val="34"/>
        </w:numPr>
      </w:pPr>
      <w:r>
        <w:t>1805 – 1880 MHz in any locations; or</w:t>
      </w:r>
    </w:p>
    <w:p w:rsidR="008A0FBE" w:rsidRDefault="0081744F" w:rsidP="008A0FBE">
      <w:pPr>
        <w:pStyle w:val="ListParagraph"/>
        <w:numPr>
          <w:ilvl w:val="1"/>
          <w:numId w:val="34"/>
        </w:numPr>
      </w:pPr>
      <w:r>
        <w:t>1710 – 1785 MHz outside areas of high mobile use.</w:t>
      </w:r>
    </w:p>
    <w:p w:rsidR="008A0FBE" w:rsidRDefault="008A0FBE" w:rsidP="008A0FBE"/>
    <w:p w:rsidR="00000000" w:rsidRDefault="0081744F">
      <w:r>
        <w:t xml:space="preserve">In effect, this provision </w:t>
      </w:r>
      <w:r w:rsidR="009806C3">
        <w:t xml:space="preserve">exempts these transmitters from calculating a DBC and </w:t>
      </w:r>
      <w:r>
        <w:t>will allow low sited transmitters to be deployed in close proximity to a geographical boundary without any EIRP restrictio</w:t>
      </w:r>
      <w:r w:rsidR="007123CF">
        <w:t xml:space="preserve">n. Although this provides increased deployment </w:t>
      </w:r>
      <w:r>
        <w:t>flexibility to the framework</w:t>
      </w:r>
      <w:r w:rsidR="003B6FAB">
        <w:t xml:space="preserve"> it also creates unwarranted potential co-frequency interference issues. </w:t>
      </w:r>
    </w:p>
    <w:p w:rsidR="00000000" w:rsidRDefault="00D5251C"/>
    <w:p w:rsidR="008A0FBE" w:rsidRDefault="00976738" w:rsidP="008A0FBE">
      <w:r>
        <w:t>With changes to the registration exemption requirements (detailed in Section 7.2), t</w:t>
      </w:r>
      <w:r w:rsidR="003B6FAB">
        <w:t>his provision is considered unnecessary in the updated framework.</w:t>
      </w:r>
    </w:p>
    <w:p w:rsidR="0081744F" w:rsidRDefault="0081744F" w:rsidP="00575BC3">
      <w:pPr>
        <w:autoSpaceDE w:val="0"/>
        <w:autoSpaceDN w:val="0"/>
        <w:adjustRightInd w:val="0"/>
        <w:rPr>
          <w:b/>
          <w:bCs/>
          <w:sz w:val="28"/>
          <w:szCs w:val="28"/>
        </w:rPr>
      </w:pPr>
    </w:p>
    <w:tbl>
      <w:tblPr>
        <w:tblStyle w:val="TableGrid"/>
        <w:tblW w:w="0" w:type="auto"/>
        <w:tblLook w:val="04A0"/>
      </w:tblPr>
      <w:tblGrid>
        <w:gridCol w:w="9174"/>
      </w:tblGrid>
      <w:tr w:rsidR="007123CF" w:rsidTr="007123CF">
        <w:tc>
          <w:tcPr>
            <w:tcW w:w="9174" w:type="dxa"/>
          </w:tcPr>
          <w:p w:rsidR="007123CF" w:rsidRPr="007123CF" w:rsidRDefault="007123CF" w:rsidP="00575BC3">
            <w:pPr>
              <w:autoSpaceDE w:val="0"/>
              <w:autoSpaceDN w:val="0"/>
              <w:adjustRightInd w:val="0"/>
              <w:rPr>
                <w:bCs/>
              </w:rPr>
            </w:pPr>
            <w:r>
              <w:rPr>
                <w:bCs/>
              </w:rPr>
              <w:t>It is proposed to remove Clause 7(9) from the Section 145 Determination of the updated technical framework</w:t>
            </w:r>
          </w:p>
        </w:tc>
      </w:tr>
    </w:tbl>
    <w:p w:rsidR="007123CF" w:rsidRDefault="007123CF" w:rsidP="00575BC3">
      <w:pPr>
        <w:autoSpaceDE w:val="0"/>
        <w:autoSpaceDN w:val="0"/>
        <w:adjustRightInd w:val="0"/>
      </w:pPr>
    </w:p>
    <w:p w:rsidR="007123CF" w:rsidRDefault="007123CF" w:rsidP="00575BC3">
      <w:pPr>
        <w:autoSpaceDE w:val="0"/>
        <w:autoSpaceDN w:val="0"/>
        <w:adjustRightInd w:val="0"/>
      </w:pPr>
      <w:r>
        <w:t>It is expected that the proposed changes to the registration exemption requirements described in Section 7.2 (which includes low EIRP outdoor stations which are typically deployed at low heights)</w:t>
      </w:r>
      <w:r w:rsidR="009806C3">
        <w:t>,</w:t>
      </w:r>
      <w:r>
        <w:t xml:space="preserve"> will offset some of the reduced flexibility as a result of removing this provision.</w:t>
      </w:r>
    </w:p>
    <w:p w:rsidR="009806C3" w:rsidRDefault="009806C3" w:rsidP="00575BC3">
      <w:pPr>
        <w:autoSpaceDE w:val="0"/>
        <w:autoSpaceDN w:val="0"/>
        <w:adjustRightInd w:val="0"/>
      </w:pPr>
    </w:p>
    <w:p w:rsidR="009806C3" w:rsidRDefault="009806C3" w:rsidP="00575BC3">
      <w:pPr>
        <w:autoSpaceDE w:val="0"/>
        <w:autoSpaceDN w:val="0"/>
        <w:adjustRightInd w:val="0"/>
        <w:rPr>
          <w:b/>
          <w:bCs/>
          <w:sz w:val="28"/>
          <w:szCs w:val="28"/>
        </w:rPr>
      </w:pPr>
    </w:p>
    <w:p w:rsidR="00575BC3" w:rsidRDefault="00575BC3" w:rsidP="00575BC3">
      <w:pPr>
        <w:pStyle w:val="Heading2"/>
      </w:pPr>
      <w:r>
        <w:t>8.</w:t>
      </w:r>
      <w:r>
        <w:tab/>
        <w:t>Comment Period</w:t>
      </w:r>
    </w:p>
    <w:p w:rsidR="00575BC3" w:rsidRDefault="00575BC3" w:rsidP="00575BC3">
      <w:pPr>
        <w:rPr>
          <w:b/>
          <w:bCs/>
          <w:sz w:val="28"/>
          <w:szCs w:val="28"/>
        </w:rPr>
      </w:pPr>
      <w:r>
        <w:t>The</w:t>
      </w:r>
      <w:r w:rsidR="000D5CFE">
        <w:t xml:space="preserve"> comment period for the </w:t>
      </w:r>
      <w:r w:rsidR="0081744F">
        <w:t>third</w:t>
      </w:r>
      <w:r>
        <w:t xml:space="preserve"> release of the discussion paper </w:t>
      </w:r>
      <w:r w:rsidRPr="00E40BB4">
        <w:t>closes</w:t>
      </w:r>
      <w:r w:rsidR="00E40BB4" w:rsidRPr="00E40BB4">
        <w:t xml:space="preserve"> 3</w:t>
      </w:r>
      <w:r w:rsidR="00E40BB4" w:rsidRPr="00E40BB4">
        <w:rPr>
          <w:vertAlign w:val="superscript"/>
        </w:rPr>
        <w:t>rd</w:t>
      </w:r>
      <w:r w:rsidR="00FE0530" w:rsidRPr="00E40BB4">
        <w:rPr>
          <w:vertAlign w:val="superscript"/>
        </w:rPr>
        <w:t xml:space="preserve"> </w:t>
      </w:r>
      <w:r w:rsidR="00D24126" w:rsidRPr="00E40BB4">
        <w:t xml:space="preserve">of </w:t>
      </w:r>
      <w:r w:rsidR="00E40BB4">
        <w:t>February</w:t>
      </w:r>
      <w:r>
        <w:t xml:space="preserve"> 201</w:t>
      </w:r>
      <w:r w:rsidR="00E40BB4">
        <w:t>2</w:t>
      </w:r>
      <w:r>
        <w:t>.  Comments should be placed on the 1800 MHz Spectrum Licence TLG SharePoint site.</w:t>
      </w:r>
    </w:p>
    <w:p w:rsidR="00D53772" w:rsidRDefault="00D53772"/>
    <w:sectPr w:rsidR="00D53772" w:rsidSect="00673FFF">
      <w:pgSz w:w="11906" w:h="16838"/>
      <w:pgMar w:top="1440" w:right="1474" w:bottom="1440" w:left="1474" w:header="709" w:footer="709" w:gutter="0"/>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23CF" w:rsidRDefault="007123CF" w:rsidP="00575BC3">
      <w:r>
        <w:separator/>
      </w:r>
    </w:p>
  </w:endnote>
  <w:endnote w:type="continuationSeparator" w:id="0">
    <w:p w:rsidR="007123CF" w:rsidRDefault="007123CF" w:rsidP="00575BC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NeueLT Std Lt">
    <w:panose1 w:val="00000000000000000000"/>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New (W1)">
    <w:altName w:val="Times New Roman"/>
    <w:charset w:val="00"/>
    <w:family w:val="roman"/>
    <w:pitch w:val="variable"/>
    <w:sig w:usb0="20007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3CF" w:rsidRDefault="007123CF">
    <w:pPr>
      <w:pStyle w:val="Footer"/>
    </w:pPr>
    <w:r>
      <w:tab/>
    </w:r>
    <w:r w:rsidR="008A0FBE">
      <w:rPr>
        <w:rStyle w:val="PageNumber"/>
      </w:rPr>
      <w:fldChar w:fldCharType="begin"/>
    </w:r>
    <w:r>
      <w:rPr>
        <w:rStyle w:val="PageNumber"/>
      </w:rPr>
      <w:instrText xml:space="preserve"> PAGE </w:instrText>
    </w:r>
    <w:r w:rsidR="008A0FBE">
      <w:rPr>
        <w:rStyle w:val="PageNumber"/>
      </w:rPr>
      <w:fldChar w:fldCharType="separate"/>
    </w:r>
    <w:r w:rsidR="00D5251C">
      <w:rPr>
        <w:rStyle w:val="PageNumber"/>
        <w:noProof/>
      </w:rPr>
      <w:t>1</w:t>
    </w:r>
    <w:r w:rsidR="008A0FBE">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3CF" w:rsidRDefault="007123CF">
    <w:pPr>
      <w:pStyle w:val="Footer"/>
    </w:pPr>
    <w:r>
      <w:tab/>
    </w:r>
    <w:r w:rsidR="008A0FBE">
      <w:rPr>
        <w:rStyle w:val="PageNumber"/>
      </w:rPr>
      <w:fldChar w:fldCharType="begin"/>
    </w:r>
    <w:r>
      <w:rPr>
        <w:rStyle w:val="PageNumber"/>
      </w:rPr>
      <w:instrText xml:space="preserve"> PAGE </w:instrText>
    </w:r>
    <w:r w:rsidR="008A0FBE">
      <w:rPr>
        <w:rStyle w:val="PageNumber"/>
      </w:rPr>
      <w:fldChar w:fldCharType="separate"/>
    </w:r>
    <w:r w:rsidR="00D5251C">
      <w:rPr>
        <w:rStyle w:val="PageNumber"/>
        <w:noProof/>
      </w:rPr>
      <w:t>0</w:t>
    </w:r>
    <w:r w:rsidR="008A0FBE">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23CF" w:rsidRDefault="007123CF" w:rsidP="00575BC3">
      <w:r>
        <w:separator/>
      </w:r>
    </w:p>
  </w:footnote>
  <w:footnote w:type="continuationSeparator" w:id="0">
    <w:p w:rsidR="007123CF" w:rsidRDefault="007123CF" w:rsidP="00575BC3">
      <w:r>
        <w:continuationSeparator/>
      </w:r>
    </w:p>
  </w:footnote>
  <w:footnote w:id="1">
    <w:p w:rsidR="007123CF" w:rsidRDefault="007123CF" w:rsidP="00575BC3">
      <w:pPr>
        <w:pStyle w:val="FootnoteText"/>
      </w:pPr>
      <w:r>
        <w:rPr>
          <w:rStyle w:val="FootnoteReference"/>
        </w:rPr>
        <w:footnoteRef/>
      </w:r>
      <w:r>
        <w:t xml:space="preserve"> The licence contains a statutory condition exempting mobile and fixed indoor devices from device registration requirements, see subsection 69 (2) of </w:t>
      </w:r>
      <w:r w:rsidRPr="001D318B">
        <w:rPr>
          <w:i/>
        </w:rPr>
        <w:t>the Act</w:t>
      </w:r>
      <w:r>
        <w:t>.  However while not mandatory, registration could be desirable in some circumstances and the section 145 Determination arrangements ensure that this is possible.</w:t>
      </w:r>
    </w:p>
  </w:footnote>
  <w:footnote w:id="2">
    <w:p w:rsidR="007123CF" w:rsidRPr="004D0276" w:rsidRDefault="007123CF" w:rsidP="00575BC3">
      <w:pPr>
        <w:pStyle w:val="FootnoteText"/>
        <w:rPr>
          <w:i/>
        </w:rPr>
      </w:pPr>
      <w:r>
        <w:rPr>
          <w:rStyle w:val="FootnoteReference"/>
        </w:rPr>
        <w:footnoteRef/>
      </w:r>
      <w:r>
        <w:t xml:space="preserve"> Areas of high mobile use are defined in Schedule 4 of the </w:t>
      </w:r>
      <w:r>
        <w:rPr>
          <w:i/>
        </w:rPr>
        <w:t>Radiocommunications (Unacceptable Levels of Interference – 1800 MHz Band) Determination 1999</w:t>
      </w:r>
    </w:p>
  </w:footnote>
  <w:footnote w:id="3">
    <w:p w:rsidR="007123CF" w:rsidRDefault="007123CF" w:rsidP="00575BC3">
      <w:pPr>
        <w:pStyle w:val="FootnoteText"/>
      </w:pPr>
      <w:r>
        <w:rPr>
          <w:rStyle w:val="FootnoteReference"/>
        </w:rPr>
        <w:footnoteRef/>
      </w:r>
      <w:r>
        <w:t xml:space="preserve"> Calculated using the adjacent interference level of -52 dBm and wanted level of -95.5 dBm from 3GPP 36.104, (-52 - -95.5 = 43.5 dB). This value is consistent with the value proposed in the third 1800 MHz band discussion paper.</w:t>
      </w:r>
    </w:p>
  </w:footnote>
  <w:footnote w:id="4">
    <w:p w:rsidR="007123CF" w:rsidRDefault="007123CF" w:rsidP="00575BC3">
      <w:pPr>
        <w:pStyle w:val="FootnoteText"/>
      </w:pPr>
      <w:r>
        <w:rPr>
          <w:rStyle w:val="FootnoteReference"/>
        </w:rPr>
        <w:footnoteRef/>
      </w:r>
      <w:r>
        <w:t xml:space="preserve"> Offsets for intermodulation performance refers to the unwanted signal centre frequency from the receiver channel edge</w:t>
      </w:r>
    </w:p>
  </w:footnote>
  <w:footnote w:id="5">
    <w:p w:rsidR="007123CF" w:rsidRDefault="007123CF" w:rsidP="00575BC3">
      <w:pPr>
        <w:pStyle w:val="FootnoteText"/>
      </w:pPr>
      <w:r>
        <w:rPr>
          <w:rStyle w:val="FootnoteReference"/>
        </w:rPr>
        <w:footnoteRef/>
      </w:r>
      <w:r>
        <w:t xml:space="preserve"> Assumes single 9600 bit/s traffic channel</w:t>
      </w:r>
    </w:p>
  </w:footnote>
  <w:footnote w:id="6">
    <w:p w:rsidR="007123CF" w:rsidRDefault="007123CF" w:rsidP="00575BC3">
      <w:pPr>
        <w:pStyle w:val="FootnoteText"/>
      </w:pPr>
      <w:r>
        <w:rPr>
          <w:rStyle w:val="FootnoteReference"/>
        </w:rPr>
        <w:footnoteRef/>
      </w:r>
      <w:r>
        <w:t xml:space="preserve"> Assumed non-hand held device, e.g. USB modem, which results in a larger cell radius which is used as a worst case in determining the impact of the proposed LOP in Section 5.2. </w:t>
      </w:r>
    </w:p>
  </w:footnote>
  <w:footnote w:id="7">
    <w:p w:rsidR="007123CF" w:rsidRPr="00514419" w:rsidRDefault="007123CF" w:rsidP="00575BC3">
      <w:pPr>
        <w:pStyle w:val="FootnoteText"/>
      </w:pPr>
      <w:r w:rsidRPr="00562403">
        <w:rPr>
          <w:rStyle w:val="FootnoteReference"/>
        </w:rPr>
        <w:footnoteRef/>
      </w:r>
      <w:r w:rsidRPr="00562403">
        <w:t xml:space="preserve"> Y. Okumura, et al., “Field Strength and Its Variability in VHF and UHF Land-Mobile Radio Service,”</w:t>
      </w:r>
      <w:r w:rsidRPr="00562403">
        <w:rPr>
          <w:i/>
        </w:rPr>
        <w:t xml:space="preserve"> Rev. Elect. </w:t>
      </w:r>
      <w:proofErr w:type="spellStart"/>
      <w:proofErr w:type="gramStart"/>
      <w:r w:rsidRPr="00562403">
        <w:rPr>
          <w:i/>
        </w:rPr>
        <w:t>Commun</w:t>
      </w:r>
      <w:proofErr w:type="spellEnd"/>
      <w:r w:rsidRPr="00562403">
        <w:rPr>
          <w:i/>
        </w:rPr>
        <w:t>.</w:t>
      </w:r>
      <w:proofErr w:type="gramEnd"/>
      <w:r w:rsidRPr="00562403">
        <w:rPr>
          <w:i/>
        </w:rPr>
        <w:t xml:space="preserve"> Lab., vol. 16, no. 9-10, Sept, -Oct. 1968.</w:t>
      </w:r>
    </w:p>
  </w:footnote>
  <w:footnote w:id="8">
    <w:p w:rsidR="007123CF" w:rsidRDefault="007123CF" w:rsidP="00575BC3">
      <w:pPr>
        <w:pStyle w:val="FootnoteText"/>
      </w:pPr>
      <w:r>
        <w:rPr>
          <w:rStyle w:val="FootnoteReference"/>
        </w:rPr>
        <w:footnoteRef/>
      </w:r>
      <w:r>
        <w:t xml:space="preserve"> 2.3 dB is the difference between 1500 MHz and 1840 MHz using the frequency component of the original </w:t>
      </w:r>
      <w:proofErr w:type="spellStart"/>
      <w:r>
        <w:t>Hata</w:t>
      </w:r>
      <w:proofErr w:type="spellEnd"/>
      <w:r>
        <w:t xml:space="preserve"> model, i.e. </w:t>
      </w:r>
      <w:proofErr w:type="gramStart"/>
      <w:r>
        <w:t>26.16log(</w:t>
      </w:r>
      <w:proofErr w:type="gramEnd"/>
      <w:r>
        <w:t xml:space="preserve">1840) – 26.16log(1500) = 2.3. </w:t>
      </w:r>
    </w:p>
  </w:footnote>
  <w:footnote w:id="9">
    <w:p w:rsidR="007123CF" w:rsidRPr="00C8717E" w:rsidRDefault="007123CF" w:rsidP="00575BC3">
      <w:pPr>
        <w:pStyle w:val="FootnoteText"/>
      </w:pPr>
      <w:r>
        <w:rPr>
          <w:rStyle w:val="FootnoteReference"/>
        </w:rPr>
        <w:footnoteRef/>
      </w:r>
      <w:r>
        <w:t xml:space="preserve"> </w:t>
      </w:r>
      <w:proofErr w:type="spellStart"/>
      <w:proofErr w:type="gramStart"/>
      <w:r>
        <w:t>Hata</w:t>
      </w:r>
      <w:proofErr w:type="spellEnd"/>
      <w:r>
        <w:t xml:space="preserve">, </w:t>
      </w:r>
      <w:proofErr w:type="spellStart"/>
      <w:r>
        <w:t>Masaharu</w:t>
      </w:r>
      <w:proofErr w:type="spellEnd"/>
      <w:r>
        <w:t xml:space="preserve">, “Empirical Formula for Propagation Loss in Land Mobile Radio Services,” </w:t>
      </w:r>
      <w:r w:rsidRPr="00C8717E">
        <w:rPr>
          <w:i/>
        </w:rPr>
        <w:t>IEEE transaction on Vehicular Technology</w:t>
      </w:r>
      <w:r>
        <w:rPr>
          <w:i/>
        </w:rPr>
        <w:t>,</w:t>
      </w:r>
      <w:r w:rsidRPr="00C8717E">
        <w:rPr>
          <w:i/>
        </w:rPr>
        <w:t xml:space="preserve"> </w:t>
      </w:r>
      <w:r>
        <w:t>Vol, VT-29, No 3, pp. 317-325, August 1980.</w:t>
      </w:r>
      <w:proofErr w:type="gramEnd"/>
    </w:p>
  </w:footnote>
  <w:footnote w:id="10">
    <w:p w:rsidR="007123CF" w:rsidRPr="005F4CC4" w:rsidRDefault="007123CF" w:rsidP="00575BC3">
      <w:pPr>
        <w:pStyle w:val="FootnoteText"/>
        <w:rPr>
          <w:i/>
        </w:rPr>
      </w:pPr>
      <w:r>
        <w:rPr>
          <w:rStyle w:val="FootnoteReference"/>
        </w:rPr>
        <w:footnoteRef/>
      </w:r>
      <w:r>
        <w:t xml:space="preserve"> “</w:t>
      </w:r>
      <w:r w:rsidRPr="005F4CC4">
        <w:t>Monte-Carlo simulation methodology for the use in sharing and compatibility studies between different radio services or systems</w:t>
      </w:r>
      <w:r>
        <w:t xml:space="preserve">”, </w:t>
      </w:r>
      <w:r w:rsidRPr="005F4CC4">
        <w:rPr>
          <w:i/>
        </w:rPr>
        <w:t>Naples, February 2000, revised in Regensburg, May 2001 and Baden, June 2002.</w:t>
      </w:r>
    </w:p>
  </w:footnote>
  <w:footnote w:id="11">
    <w:p w:rsidR="007123CF" w:rsidRDefault="007123CF" w:rsidP="00575BC3">
      <w:pPr>
        <w:pStyle w:val="FootnoteText"/>
      </w:pPr>
      <w:r>
        <w:rPr>
          <w:rStyle w:val="FootnoteReference"/>
        </w:rPr>
        <w:footnoteRef/>
      </w:r>
      <w:r>
        <w:t xml:space="preserve"> See ITU-R Report M.2039 – Characteristics of terrestrial IMT-2000 systems for frequency sharing/interference analysis.</w:t>
      </w:r>
    </w:p>
  </w:footnote>
  <w:footnote w:id="12">
    <w:p w:rsidR="007123CF" w:rsidRDefault="007123CF" w:rsidP="00575BC3">
      <w:pPr>
        <w:pStyle w:val="FootnoteText"/>
      </w:pPr>
      <w:r>
        <w:rPr>
          <w:rStyle w:val="FootnoteReference"/>
        </w:rPr>
        <w:footnoteRef/>
      </w:r>
      <w:r>
        <w:t xml:space="preserve"> The 2 km cell radius is calculated using the mobile minimum wanted levels from Section 3 and the modified </w:t>
      </w:r>
      <w:proofErr w:type="spellStart"/>
      <w:r>
        <w:t>Hata</w:t>
      </w:r>
      <w:proofErr w:type="spellEnd"/>
      <w:r>
        <w:t xml:space="preserve"> - Urban propagation model. For the IMT mobile station, the minimum wanted level for LTE is used as this is the highest of the IMT technologies.</w:t>
      </w:r>
    </w:p>
  </w:footnote>
  <w:footnote w:id="13">
    <w:p w:rsidR="007123CF" w:rsidRDefault="007123CF" w:rsidP="00575BC3">
      <w:pPr>
        <w:pStyle w:val="FootnoteText"/>
      </w:pPr>
      <w:r>
        <w:rPr>
          <w:rStyle w:val="FootnoteReference"/>
        </w:rPr>
        <w:footnoteRef/>
      </w:r>
      <w:r>
        <w:t xml:space="preserve"> </w:t>
      </w:r>
      <w:proofErr w:type="spellStart"/>
      <w:r>
        <w:t>RadDEM</w:t>
      </w:r>
      <w:proofErr w:type="spellEnd"/>
      <w:r>
        <w:t xml:space="preserve"> means the digital elevation model developed by the ACMA for radiocommunications purposed that contains modelled terrain height information for Australia in cells of a size of 9 seconds or arc.</w:t>
      </w:r>
    </w:p>
  </w:footnote>
  <w:footnote w:id="14">
    <w:p w:rsidR="007123CF" w:rsidRDefault="007123CF">
      <w:pPr>
        <w:pStyle w:val="FootnoteText"/>
      </w:pPr>
      <w:r>
        <w:rPr>
          <w:rStyle w:val="FootnoteReference"/>
        </w:rPr>
        <w:footnoteRef/>
      </w:r>
      <w:r>
        <w:t xml:space="preserve"> This analysis was made using the proposed DBC and LOP. A site was counted as having an effective antenna height of greater than 500m if the effective height where the DBC was satisfied on at least one radial is greater than 500m. Therefore, it is expected that the total number of radials with an effective height greater than 500m where the DBC is satisfied would be significantly less than 0.1%.</w:t>
      </w:r>
    </w:p>
  </w:footnote>
  <w:footnote w:id="15">
    <w:p w:rsidR="007123CF" w:rsidRDefault="007123CF" w:rsidP="00575BC3">
      <w:pPr>
        <w:pStyle w:val="FootnoteText"/>
      </w:pPr>
      <w:r>
        <w:rPr>
          <w:rStyle w:val="FootnoteReference"/>
        </w:rPr>
        <w:footnoteRef/>
      </w:r>
      <w:r>
        <w:t xml:space="preserve"> A copy can be found at: </w:t>
      </w:r>
      <w:hyperlink r:id="rId1" w:history="1">
        <w:r w:rsidRPr="00D95D64">
          <w:rPr>
            <w:rStyle w:val="Hyperlink"/>
          </w:rPr>
          <w:t>http://www.comlaw.gov.au/Details/F2008C00546</w:t>
        </w:r>
      </w:hyperlink>
    </w:p>
  </w:footnote>
  <w:footnote w:id="16">
    <w:p w:rsidR="007123CF" w:rsidRDefault="007123CF" w:rsidP="00575BC3">
      <w:pPr>
        <w:pStyle w:val="FootnoteText"/>
      </w:pPr>
      <w:r>
        <w:rPr>
          <w:rStyle w:val="FootnoteReference"/>
        </w:rPr>
        <w:footnoteRef/>
      </w:r>
      <w:r>
        <w:t xml:space="preserve"> 1877.5-1880 MHz</w:t>
      </w:r>
    </w:p>
  </w:footnote>
  <w:footnote w:id="17">
    <w:p w:rsidR="007123CF" w:rsidRDefault="007123CF" w:rsidP="00575BC3">
      <w:pPr>
        <w:pStyle w:val="FootnoteText"/>
      </w:pPr>
      <w:r>
        <w:rPr>
          <w:rStyle w:val="FootnoteReference"/>
        </w:rPr>
        <w:footnoteRef/>
      </w:r>
      <w:r>
        <w:t xml:space="preserve"> See: </w:t>
      </w:r>
      <w:hyperlink r:id="rId2" w:history="1">
        <w:r w:rsidRPr="00D95D64">
          <w:rPr>
            <w:rStyle w:val="Hyperlink"/>
          </w:rPr>
          <w:t>http://www.erodocdb.dk/doks/filedownload.aspx?fileid=3324&amp;fileurl=http://www.erodocdb.dk/Docs/doc98/official/pdf/ECCREP096.PDF</w:t>
        </w:r>
      </w:hyperlink>
    </w:p>
  </w:footnote>
  <w:footnote w:id="18">
    <w:p w:rsidR="007123CF" w:rsidRDefault="007123CF" w:rsidP="00575BC3">
      <w:pPr>
        <w:pStyle w:val="FootnoteText"/>
      </w:pPr>
      <w:r>
        <w:rPr>
          <w:rStyle w:val="FootnoteReference"/>
        </w:rPr>
        <w:footnoteRef/>
      </w:r>
      <w:r>
        <w:t xml:space="preserve"> See: </w:t>
      </w:r>
      <w:hyperlink r:id="rId3" w:history="1">
        <w:r w:rsidRPr="00D95D64">
          <w:rPr>
            <w:rStyle w:val="Hyperlink"/>
          </w:rPr>
          <w:t>http://www.erodocdb.dk/doks/filedownload.aspx?fileid=3658&amp;fileurl=http://www.erodocdb.dk/Docs/doc98/official/pdf/ECCREP146.PDF</w:t>
        </w:r>
      </w:hyperlink>
    </w:p>
  </w:footnote>
  <w:footnote w:id="19">
    <w:p w:rsidR="007123CF" w:rsidRDefault="007123CF" w:rsidP="00575BC3">
      <w:pPr>
        <w:pStyle w:val="FootnoteText"/>
      </w:pPr>
      <w:r>
        <w:rPr>
          <w:rStyle w:val="FootnoteReference"/>
        </w:rPr>
        <w:footnoteRef/>
      </w:r>
      <w:r>
        <w:t xml:space="preserve"> See: </w:t>
      </w:r>
      <w:hyperlink r:id="rId4" w:history="1">
        <w:r w:rsidRPr="00D95D64">
          <w:rPr>
            <w:rStyle w:val="Hyperlink"/>
          </w:rPr>
          <w:t>http://www.erodocdb.dk/doks/filedownload.aspx?fileid=3688&amp;fileurl=http://www.erodocdb.dk/Docs/doc98/official/pdf/CEPTREP041.PDF</w:t>
        </w:r>
      </w:hyperlink>
    </w:p>
  </w:footnote>
  <w:footnote w:id="20">
    <w:p w:rsidR="007123CF" w:rsidRPr="0080664C" w:rsidRDefault="007123CF" w:rsidP="00575BC3">
      <w:pPr>
        <w:pStyle w:val="FootnoteText"/>
        <w:rPr>
          <w:i/>
        </w:rPr>
      </w:pPr>
      <w:r>
        <w:rPr>
          <w:rStyle w:val="FootnoteReference"/>
        </w:rPr>
        <w:footnoteRef/>
      </w:r>
      <w:r>
        <w:t xml:space="preserve"> See the report </w:t>
      </w:r>
      <w:r>
        <w:rPr>
          <w:i/>
        </w:rPr>
        <w:t>‘Interference impact analysis for DECT services from 1800 MHz and 2 GHz band spectrum licensed transmitters’.</w:t>
      </w:r>
    </w:p>
  </w:footnote>
  <w:footnote w:id="21">
    <w:p w:rsidR="007123CF" w:rsidRDefault="007123CF" w:rsidP="00575BC3">
      <w:pPr>
        <w:pStyle w:val="FootnoteText"/>
      </w:pPr>
      <w:r>
        <w:rPr>
          <w:rStyle w:val="FootnoteReference"/>
        </w:rPr>
        <w:footnoteRef/>
      </w:r>
      <w:r>
        <w:t xml:space="preserve"> A femtocell is a fixed low power base station typically connected to the network via the customers broadband internet connection</w:t>
      </w:r>
    </w:p>
  </w:footnote>
  <w:footnote w:id="22">
    <w:p w:rsidR="007123CF" w:rsidRPr="00EC506F" w:rsidRDefault="007123CF" w:rsidP="00575BC3">
      <w:pPr>
        <w:pStyle w:val="FootnoteText"/>
      </w:pPr>
      <w:r>
        <w:rPr>
          <w:rStyle w:val="FootnoteReference"/>
        </w:rPr>
        <w:footnoteRef/>
      </w:r>
      <w:r>
        <w:t xml:space="preserve"> Refer to the </w:t>
      </w:r>
      <w:r>
        <w:rPr>
          <w:i/>
        </w:rPr>
        <w:t xml:space="preserve">TLG Reference Paper – GDA94 Adoption </w:t>
      </w:r>
      <w:r>
        <w:t>for a definition of hierarchical identifiers.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3CF" w:rsidRDefault="007123CF">
    <w:pPr>
      <w:autoSpaceDE w:val="0"/>
      <w:autoSpaceDN w:val="0"/>
      <w:adjustRightInd w:val="0"/>
      <w:ind w:left="7920"/>
      <w:rPr>
        <w:sz w:val="16"/>
        <w:szCs w:val="16"/>
        <w:lang w:val="de-DE"/>
      </w:rPr>
    </w:pPr>
    <w:r>
      <w:rPr>
        <w:sz w:val="16"/>
        <w:szCs w:val="16"/>
      </w:rPr>
      <w:t xml:space="preserve">              Page </w:t>
    </w:r>
    <w:r w:rsidR="008A0FBE">
      <w:rPr>
        <w:rStyle w:val="PageNumber"/>
        <w:rFonts w:ascii="Times New (W1)" w:hAnsi="Times New (W1)"/>
        <w:sz w:val="16"/>
        <w:szCs w:val="16"/>
      </w:rPr>
      <w:fldChar w:fldCharType="begin"/>
    </w:r>
    <w:r>
      <w:rPr>
        <w:rStyle w:val="PageNumber"/>
        <w:rFonts w:ascii="Times New (W1)" w:hAnsi="Times New (W1)"/>
        <w:sz w:val="16"/>
        <w:szCs w:val="16"/>
      </w:rPr>
      <w:instrText xml:space="preserve"> PAGE </w:instrText>
    </w:r>
    <w:r w:rsidR="008A0FBE">
      <w:rPr>
        <w:rStyle w:val="PageNumber"/>
        <w:rFonts w:ascii="Times New (W1)" w:hAnsi="Times New (W1)"/>
        <w:sz w:val="16"/>
        <w:szCs w:val="16"/>
      </w:rPr>
      <w:fldChar w:fldCharType="separate"/>
    </w:r>
    <w:r w:rsidR="00D5251C">
      <w:rPr>
        <w:rStyle w:val="PageNumber"/>
        <w:rFonts w:ascii="Times New (W1)" w:hAnsi="Times New (W1)"/>
        <w:noProof/>
        <w:sz w:val="16"/>
        <w:szCs w:val="16"/>
      </w:rPr>
      <w:t>0</w:t>
    </w:r>
    <w:r w:rsidR="008A0FBE">
      <w:rPr>
        <w:rStyle w:val="PageNumber"/>
        <w:rFonts w:ascii="Times New (W1)" w:hAnsi="Times New (W1)"/>
        <w:sz w:val="16"/>
        <w:szCs w:val="16"/>
      </w:rPr>
      <w:fldChar w:fldCharType="end"/>
    </w:r>
  </w:p>
  <w:p w:rsidR="007123CF" w:rsidRDefault="007123C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F3E7358"/>
    <w:lvl w:ilvl="0">
      <w:start w:val="1"/>
      <w:numFmt w:val="bullet"/>
      <w:pStyle w:val="ListBullet"/>
      <w:lvlText w:val=""/>
      <w:lvlJc w:val="left"/>
      <w:pPr>
        <w:ind w:left="1445" w:hanging="360"/>
      </w:pPr>
      <w:rPr>
        <w:rFonts w:ascii="Symbol" w:hAnsi="Symbol" w:hint="default"/>
        <w:sz w:val="20"/>
      </w:rPr>
    </w:lvl>
  </w:abstractNum>
  <w:abstractNum w:abstractNumId="1">
    <w:nsid w:val="0CAD7940"/>
    <w:multiLevelType w:val="hybridMultilevel"/>
    <w:tmpl w:val="B9A6A4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DCC06F2"/>
    <w:multiLevelType w:val="hybridMultilevel"/>
    <w:tmpl w:val="56C8AA84"/>
    <w:lvl w:ilvl="0" w:tplc="093A71E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03C7E4F"/>
    <w:multiLevelType w:val="hybridMultilevel"/>
    <w:tmpl w:val="AE4AF0CE"/>
    <w:lvl w:ilvl="0" w:tplc="0C090017">
      <w:start w:val="1"/>
      <w:numFmt w:val="lowerLetter"/>
      <w:lvlText w:val="%1)"/>
      <w:lvlJc w:val="left"/>
      <w:pPr>
        <w:ind w:left="720" w:hanging="363"/>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nsid w:val="18884E59"/>
    <w:multiLevelType w:val="hybridMultilevel"/>
    <w:tmpl w:val="B846C3CE"/>
    <w:lvl w:ilvl="0" w:tplc="A5E021B0">
      <w:start w:val="1"/>
      <w:numFmt w:val="lowerLetter"/>
      <w:lvlText w:val="%1)"/>
      <w:lvlJc w:val="left"/>
      <w:pPr>
        <w:ind w:left="717" w:hanging="360"/>
      </w:pPr>
      <w:rPr>
        <w:rFonts w:hint="default"/>
      </w:rPr>
    </w:lvl>
    <w:lvl w:ilvl="1" w:tplc="0C090019" w:tentative="1">
      <w:start w:val="1"/>
      <w:numFmt w:val="lowerLetter"/>
      <w:lvlText w:val="%2."/>
      <w:lvlJc w:val="left"/>
      <w:pPr>
        <w:ind w:left="1437" w:hanging="360"/>
      </w:pPr>
    </w:lvl>
    <w:lvl w:ilvl="2" w:tplc="0C09001B" w:tentative="1">
      <w:start w:val="1"/>
      <w:numFmt w:val="lowerRoman"/>
      <w:lvlText w:val="%3."/>
      <w:lvlJc w:val="right"/>
      <w:pPr>
        <w:ind w:left="2157" w:hanging="180"/>
      </w:pPr>
    </w:lvl>
    <w:lvl w:ilvl="3" w:tplc="0C09000F" w:tentative="1">
      <w:start w:val="1"/>
      <w:numFmt w:val="decimal"/>
      <w:lvlText w:val="%4."/>
      <w:lvlJc w:val="left"/>
      <w:pPr>
        <w:ind w:left="2877" w:hanging="360"/>
      </w:pPr>
    </w:lvl>
    <w:lvl w:ilvl="4" w:tplc="0C090019" w:tentative="1">
      <w:start w:val="1"/>
      <w:numFmt w:val="lowerLetter"/>
      <w:lvlText w:val="%5."/>
      <w:lvlJc w:val="left"/>
      <w:pPr>
        <w:ind w:left="3597" w:hanging="360"/>
      </w:pPr>
    </w:lvl>
    <w:lvl w:ilvl="5" w:tplc="0C09001B" w:tentative="1">
      <w:start w:val="1"/>
      <w:numFmt w:val="lowerRoman"/>
      <w:lvlText w:val="%6."/>
      <w:lvlJc w:val="right"/>
      <w:pPr>
        <w:ind w:left="4317" w:hanging="180"/>
      </w:pPr>
    </w:lvl>
    <w:lvl w:ilvl="6" w:tplc="0C09000F" w:tentative="1">
      <w:start w:val="1"/>
      <w:numFmt w:val="decimal"/>
      <w:lvlText w:val="%7."/>
      <w:lvlJc w:val="left"/>
      <w:pPr>
        <w:ind w:left="5037" w:hanging="360"/>
      </w:pPr>
    </w:lvl>
    <w:lvl w:ilvl="7" w:tplc="0C090019" w:tentative="1">
      <w:start w:val="1"/>
      <w:numFmt w:val="lowerLetter"/>
      <w:lvlText w:val="%8."/>
      <w:lvlJc w:val="left"/>
      <w:pPr>
        <w:ind w:left="5757" w:hanging="360"/>
      </w:pPr>
    </w:lvl>
    <w:lvl w:ilvl="8" w:tplc="0C09001B" w:tentative="1">
      <w:start w:val="1"/>
      <w:numFmt w:val="lowerRoman"/>
      <w:lvlText w:val="%9."/>
      <w:lvlJc w:val="right"/>
      <w:pPr>
        <w:ind w:left="6477" w:hanging="180"/>
      </w:pPr>
    </w:lvl>
  </w:abstractNum>
  <w:abstractNum w:abstractNumId="5">
    <w:nsid w:val="209F285F"/>
    <w:multiLevelType w:val="hybridMultilevel"/>
    <w:tmpl w:val="E2C05FBA"/>
    <w:lvl w:ilvl="0" w:tplc="6D1A05E8">
      <w:start w:val="1"/>
      <w:numFmt w:val="bullet"/>
      <w:lvlText w:val=""/>
      <w:lvlJc w:val="left"/>
      <w:pPr>
        <w:tabs>
          <w:tab w:val="num" w:pos="720"/>
        </w:tabs>
        <w:ind w:left="720" w:hanging="360"/>
      </w:pPr>
      <w:rPr>
        <w:rFonts w:ascii="Symbol" w:hAnsi="Symbol" w:hint="default"/>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20C1503A"/>
    <w:multiLevelType w:val="hybridMultilevel"/>
    <w:tmpl w:val="45C29A1A"/>
    <w:lvl w:ilvl="0" w:tplc="0C090017">
      <w:start w:val="1"/>
      <w:numFmt w:val="lowerLetter"/>
      <w:lvlText w:val="%1)"/>
      <w:lvlJc w:val="left"/>
      <w:pPr>
        <w:ind w:left="1440" w:hanging="360"/>
      </w:pPr>
      <w:rPr>
        <w:rFonts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
    <w:nsid w:val="21347767"/>
    <w:multiLevelType w:val="hybridMultilevel"/>
    <w:tmpl w:val="FDA07300"/>
    <w:lvl w:ilvl="0" w:tplc="4E7C70EE">
      <w:start w:val="1"/>
      <w:numFmt w:val="decimal"/>
      <w:lvlText w:val="%1."/>
      <w:lvlJc w:val="left"/>
      <w:pPr>
        <w:ind w:left="720" w:hanging="363"/>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nsid w:val="2C0920F9"/>
    <w:multiLevelType w:val="hybridMultilevel"/>
    <w:tmpl w:val="B656781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3033529A"/>
    <w:multiLevelType w:val="hybridMultilevel"/>
    <w:tmpl w:val="E2E60F42"/>
    <w:lvl w:ilvl="0" w:tplc="854AE782">
      <w:start w:val="1"/>
      <w:numFmt w:val="decimal"/>
      <w:lvlText w:val="%1."/>
      <w:lvlJc w:val="left"/>
      <w:pPr>
        <w:ind w:left="720" w:hanging="363"/>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0">
    <w:nsid w:val="36D53775"/>
    <w:multiLevelType w:val="hybridMultilevel"/>
    <w:tmpl w:val="23A6DEB6"/>
    <w:lvl w:ilvl="0" w:tplc="78364BD8">
      <w:start w:val="33"/>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CF41552"/>
    <w:multiLevelType w:val="hybridMultilevel"/>
    <w:tmpl w:val="2DC8C41C"/>
    <w:lvl w:ilvl="0" w:tplc="F7B0AD34">
      <w:start w:val="4"/>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0BE766D"/>
    <w:multiLevelType w:val="hybridMultilevel"/>
    <w:tmpl w:val="1BFE222C"/>
    <w:lvl w:ilvl="0" w:tplc="0C09000F">
      <w:start w:val="1"/>
      <w:numFmt w:val="decimal"/>
      <w:lvlText w:val="%1."/>
      <w:lvlJc w:val="left"/>
      <w:pPr>
        <w:ind w:left="720" w:hanging="363"/>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3">
    <w:nsid w:val="432D61A1"/>
    <w:multiLevelType w:val="hybridMultilevel"/>
    <w:tmpl w:val="6ED2D9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438759B6"/>
    <w:multiLevelType w:val="hybridMultilevel"/>
    <w:tmpl w:val="ED70A8C8"/>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5">
    <w:nsid w:val="4B6D63AD"/>
    <w:multiLevelType w:val="hybridMultilevel"/>
    <w:tmpl w:val="E9027146"/>
    <w:lvl w:ilvl="0" w:tplc="98EE7D4A">
      <w:start w:val="3"/>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E985718"/>
    <w:multiLevelType w:val="hybridMultilevel"/>
    <w:tmpl w:val="0E02B5E2"/>
    <w:lvl w:ilvl="0" w:tplc="6D1A05E8">
      <w:start w:val="1"/>
      <w:numFmt w:val="bullet"/>
      <w:lvlText w:val=""/>
      <w:lvlJc w:val="left"/>
      <w:pPr>
        <w:tabs>
          <w:tab w:val="num" w:pos="720"/>
        </w:tabs>
        <w:ind w:left="720" w:hanging="360"/>
      </w:pPr>
      <w:rPr>
        <w:rFonts w:ascii="Symbol" w:hAnsi="Symbol" w:hint="default"/>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nsid w:val="4F466E39"/>
    <w:multiLevelType w:val="hybridMultilevel"/>
    <w:tmpl w:val="AE4AF0CE"/>
    <w:lvl w:ilvl="0" w:tplc="0C090017">
      <w:start w:val="1"/>
      <w:numFmt w:val="lowerLetter"/>
      <w:lvlText w:val="%1)"/>
      <w:lvlJc w:val="left"/>
      <w:pPr>
        <w:ind w:left="720" w:hanging="363"/>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8">
    <w:nsid w:val="51DC26FE"/>
    <w:multiLevelType w:val="hybridMultilevel"/>
    <w:tmpl w:val="181EB42A"/>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9">
    <w:nsid w:val="55270D43"/>
    <w:multiLevelType w:val="hybridMultilevel"/>
    <w:tmpl w:val="18C23EA0"/>
    <w:lvl w:ilvl="0" w:tplc="093A71EC">
      <w:start w:val="1"/>
      <w:numFmt w:val="lowerLetter"/>
      <w:lvlText w:val="(%1)"/>
      <w:lvlJc w:val="left"/>
      <w:pPr>
        <w:ind w:left="720" w:hanging="360"/>
      </w:pPr>
      <w:rPr>
        <w:rFonts w:hint="default"/>
      </w:rPr>
    </w:lvl>
    <w:lvl w:ilvl="1" w:tplc="0C09001B">
      <w:start w:val="1"/>
      <w:numFmt w:val="lowerRoman"/>
      <w:lvlText w:val="%2."/>
      <w:lvlJc w:val="righ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58712A87"/>
    <w:multiLevelType w:val="hybridMultilevel"/>
    <w:tmpl w:val="5E22D576"/>
    <w:lvl w:ilvl="0" w:tplc="6D1A05E8">
      <w:start w:val="1"/>
      <w:numFmt w:val="bullet"/>
      <w:lvlText w:val=""/>
      <w:lvlJc w:val="left"/>
      <w:pPr>
        <w:tabs>
          <w:tab w:val="num" w:pos="720"/>
        </w:tabs>
        <w:ind w:left="720" w:hanging="360"/>
      </w:pPr>
      <w:rPr>
        <w:rFonts w:ascii="Symbol" w:hAnsi="Symbol" w:hint="default"/>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5ECA2DB8"/>
    <w:multiLevelType w:val="hybridMultilevel"/>
    <w:tmpl w:val="8F7C2734"/>
    <w:lvl w:ilvl="0" w:tplc="6D1A05E8">
      <w:start w:val="1"/>
      <w:numFmt w:val="bullet"/>
      <w:lvlText w:val=""/>
      <w:lvlJc w:val="left"/>
      <w:pPr>
        <w:tabs>
          <w:tab w:val="num" w:pos="720"/>
        </w:tabs>
        <w:ind w:left="720" w:hanging="360"/>
      </w:pPr>
      <w:rPr>
        <w:rFonts w:ascii="Symbol" w:hAnsi="Symbol" w:hint="default"/>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nsid w:val="63C414D7"/>
    <w:multiLevelType w:val="hybridMultilevel"/>
    <w:tmpl w:val="41BC20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649154D2"/>
    <w:multiLevelType w:val="hybridMultilevel"/>
    <w:tmpl w:val="ADE235C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64931C44"/>
    <w:multiLevelType w:val="hybridMultilevel"/>
    <w:tmpl w:val="1C9CD6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64F60898"/>
    <w:multiLevelType w:val="hybridMultilevel"/>
    <w:tmpl w:val="F4725138"/>
    <w:lvl w:ilvl="0" w:tplc="3120E0DC">
      <w:start w:val="1"/>
      <w:numFmt w:val="decimal"/>
      <w:lvlText w:val="%1."/>
      <w:lvlJc w:val="left"/>
      <w:pPr>
        <w:ind w:left="720" w:hanging="363"/>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6">
    <w:nsid w:val="6A186EDF"/>
    <w:multiLevelType w:val="hybridMultilevel"/>
    <w:tmpl w:val="4D56667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6CD02EBC"/>
    <w:multiLevelType w:val="hybridMultilevel"/>
    <w:tmpl w:val="7538810A"/>
    <w:lvl w:ilvl="0" w:tplc="0C090017">
      <w:start w:val="1"/>
      <w:numFmt w:val="lowerLetter"/>
      <w:lvlText w:val="%1)"/>
      <w:lvlJc w:val="left"/>
      <w:pPr>
        <w:ind w:left="1083" w:hanging="363"/>
      </w:pPr>
      <w:rPr>
        <w:rFonts w:hint="default"/>
      </w:rPr>
    </w:lvl>
    <w:lvl w:ilvl="1" w:tplc="0C090019" w:tentative="1">
      <w:start w:val="1"/>
      <w:numFmt w:val="lowerLetter"/>
      <w:lvlText w:val="%2."/>
      <w:lvlJc w:val="left"/>
      <w:pPr>
        <w:ind w:left="2163" w:hanging="360"/>
      </w:pPr>
    </w:lvl>
    <w:lvl w:ilvl="2" w:tplc="0C09001B" w:tentative="1">
      <w:start w:val="1"/>
      <w:numFmt w:val="lowerRoman"/>
      <w:lvlText w:val="%3."/>
      <w:lvlJc w:val="right"/>
      <w:pPr>
        <w:ind w:left="2883" w:hanging="180"/>
      </w:pPr>
    </w:lvl>
    <w:lvl w:ilvl="3" w:tplc="0C09000F" w:tentative="1">
      <w:start w:val="1"/>
      <w:numFmt w:val="decimal"/>
      <w:lvlText w:val="%4."/>
      <w:lvlJc w:val="left"/>
      <w:pPr>
        <w:ind w:left="3603" w:hanging="360"/>
      </w:pPr>
    </w:lvl>
    <w:lvl w:ilvl="4" w:tplc="0C090019" w:tentative="1">
      <w:start w:val="1"/>
      <w:numFmt w:val="lowerLetter"/>
      <w:lvlText w:val="%5."/>
      <w:lvlJc w:val="left"/>
      <w:pPr>
        <w:ind w:left="4323" w:hanging="360"/>
      </w:pPr>
    </w:lvl>
    <w:lvl w:ilvl="5" w:tplc="0C09001B" w:tentative="1">
      <w:start w:val="1"/>
      <w:numFmt w:val="lowerRoman"/>
      <w:lvlText w:val="%6."/>
      <w:lvlJc w:val="right"/>
      <w:pPr>
        <w:ind w:left="5043" w:hanging="180"/>
      </w:pPr>
    </w:lvl>
    <w:lvl w:ilvl="6" w:tplc="0C09000F" w:tentative="1">
      <w:start w:val="1"/>
      <w:numFmt w:val="decimal"/>
      <w:lvlText w:val="%7."/>
      <w:lvlJc w:val="left"/>
      <w:pPr>
        <w:ind w:left="5763" w:hanging="360"/>
      </w:pPr>
    </w:lvl>
    <w:lvl w:ilvl="7" w:tplc="0C090019" w:tentative="1">
      <w:start w:val="1"/>
      <w:numFmt w:val="lowerLetter"/>
      <w:lvlText w:val="%8."/>
      <w:lvlJc w:val="left"/>
      <w:pPr>
        <w:ind w:left="6483" w:hanging="360"/>
      </w:pPr>
    </w:lvl>
    <w:lvl w:ilvl="8" w:tplc="0C09001B" w:tentative="1">
      <w:start w:val="1"/>
      <w:numFmt w:val="lowerRoman"/>
      <w:lvlText w:val="%9."/>
      <w:lvlJc w:val="right"/>
      <w:pPr>
        <w:ind w:left="7203" w:hanging="180"/>
      </w:pPr>
    </w:lvl>
  </w:abstractNum>
  <w:abstractNum w:abstractNumId="28">
    <w:nsid w:val="75D41128"/>
    <w:multiLevelType w:val="hybridMultilevel"/>
    <w:tmpl w:val="E7147C9A"/>
    <w:lvl w:ilvl="0" w:tplc="8692F89A">
      <w:start w:val="1"/>
      <w:numFmt w:val="lowerLetter"/>
      <w:lvlText w:val="(%1)"/>
      <w:lvlJc w:val="left"/>
      <w:pPr>
        <w:ind w:left="765" w:hanging="360"/>
      </w:pPr>
      <w:rPr>
        <w:rFonts w:ascii="Times New Roman" w:eastAsia="Times New Roman" w:hAnsi="Times New Roman" w:cs="Times New Roman"/>
        <w:b w:val="0"/>
        <w:i w:val="0"/>
        <w:color w:val="000000" w:themeColor="text1"/>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29">
    <w:nsid w:val="76F573D4"/>
    <w:multiLevelType w:val="hybridMultilevel"/>
    <w:tmpl w:val="E85EE61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77FF56C4"/>
    <w:multiLevelType w:val="hybridMultilevel"/>
    <w:tmpl w:val="C772F0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7A612269"/>
    <w:multiLevelType w:val="hybridMultilevel"/>
    <w:tmpl w:val="9B3616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7E7B7F2E"/>
    <w:multiLevelType w:val="hybridMultilevel"/>
    <w:tmpl w:val="BD8634EE"/>
    <w:lvl w:ilvl="0" w:tplc="6D1A05E8">
      <w:start w:val="1"/>
      <w:numFmt w:val="bullet"/>
      <w:lvlText w:val=""/>
      <w:lvlJc w:val="left"/>
      <w:pPr>
        <w:tabs>
          <w:tab w:val="num" w:pos="720"/>
        </w:tabs>
        <w:ind w:left="720" w:hanging="360"/>
      </w:pPr>
      <w:rPr>
        <w:rFonts w:ascii="Symbol" w:hAnsi="Symbol" w:hint="default"/>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3">
    <w:nsid w:val="7EB82777"/>
    <w:multiLevelType w:val="hybridMultilevel"/>
    <w:tmpl w:val="978A39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0"/>
  </w:num>
  <w:num w:numId="2">
    <w:abstractNumId w:val="32"/>
  </w:num>
  <w:num w:numId="3">
    <w:abstractNumId w:val="8"/>
  </w:num>
  <w:num w:numId="4">
    <w:abstractNumId w:val="5"/>
  </w:num>
  <w:num w:numId="5">
    <w:abstractNumId w:val="21"/>
  </w:num>
  <w:num w:numId="6">
    <w:abstractNumId w:val="16"/>
  </w:num>
  <w:num w:numId="7">
    <w:abstractNumId w:val="11"/>
  </w:num>
  <w:num w:numId="8">
    <w:abstractNumId w:val="10"/>
  </w:num>
  <w:num w:numId="9">
    <w:abstractNumId w:val="13"/>
  </w:num>
  <w:num w:numId="10">
    <w:abstractNumId w:val="30"/>
  </w:num>
  <w:num w:numId="11">
    <w:abstractNumId w:val="15"/>
  </w:num>
  <w:num w:numId="12">
    <w:abstractNumId w:val="24"/>
  </w:num>
  <w:num w:numId="13">
    <w:abstractNumId w:val="31"/>
  </w:num>
  <w:num w:numId="14">
    <w:abstractNumId w:val="0"/>
  </w:num>
  <w:num w:numId="15">
    <w:abstractNumId w:val="19"/>
  </w:num>
  <w:num w:numId="16">
    <w:abstractNumId w:val="29"/>
  </w:num>
  <w:num w:numId="17">
    <w:abstractNumId w:val="2"/>
  </w:num>
  <w:num w:numId="18">
    <w:abstractNumId w:val="25"/>
  </w:num>
  <w:num w:numId="19">
    <w:abstractNumId w:val="12"/>
  </w:num>
  <w:num w:numId="20">
    <w:abstractNumId w:val="3"/>
  </w:num>
  <w:num w:numId="21">
    <w:abstractNumId w:val="7"/>
  </w:num>
  <w:num w:numId="22">
    <w:abstractNumId w:val="9"/>
  </w:num>
  <w:num w:numId="23">
    <w:abstractNumId w:val="23"/>
  </w:num>
  <w:num w:numId="24">
    <w:abstractNumId w:val="6"/>
  </w:num>
  <w:num w:numId="25">
    <w:abstractNumId w:val="4"/>
  </w:num>
  <w:num w:numId="26">
    <w:abstractNumId w:val="27"/>
  </w:num>
  <w:num w:numId="27">
    <w:abstractNumId w:val="33"/>
  </w:num>
  <w:num w:numId="28">
    <w:abstractNumId w:val="22"/>
  </w:num>
  <w:num w:numId="29">
    <w:abstractNumId w:val="17"/>
  </w:num>
  <w:num w:numId="30">
    <w:abstractNumId w:val="18"/>
  </w:num>
  <w:num w:numId="31">
    <w:abstractNumId w:val="1"/>
  </w:num>
  <w:num w:numId="32">
    <w:abstractNumId w:val="28"/>
  </w:num>
  <w:num w:numId="33">
    <w:abstractNumId w:val="14"/>
  </w:num>
  <w:num w:numId="34">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75BC3"/>
    <w:rsid w:val="000273C3"/>
    <w:rsid w:val="00035F62"/>
    <w:rsid w:val="00042C6B"/>
    <w:rsid w:val="00063939"/>
    <w:rsid w:val="00090143"/>
    <w:rsid w:val="00092C86"/>
    <w:rsid w:val="000D5CFE"/>
    <w:rsid w:val="00117DAE"/>
    <w:rsid w:val="001209CC"/>
    <w:rsid w:val="001235B1"/>
    <w:rsid w:val="00142487"/>
    <w:rsid w:val="00185B2A"/>
    <w:rsid w:val="001A0D49"/>
    <w:rsid w:val="001C3706"/>
    <w:rsid w:val="002323B1"/>
    <w:rsid w:val="002608F4"/>
    <w:rsid w:val="00291E74"/>
    <w:rsid w:val="002D5188"/>
    <w:rsid w:val="002E3621"/>
    <w:rsid w:val="00321502"/>
    <w:rsid w:val="0036175D"/>
    <w:rsid w:val="003755AB"/>
    <w:rsid w:val="003774BD"/>
    <w:rsid w:val="003B6FAB"/>
    <w:rsid w:val="003D1ABD"/>
    <w:rsid w:val="003F1EA1"/>
    <w:rsid w:val="00400F1F"/>
    <w:rsid w:val="00460A87"/>
    <w:rsid w:val="00462556"/>
    <w:rsid w:val="00465CF0"/>
    <w:rsid w:val="004671CE"/>
    <w:rsid w:val="00497483"/>
    <w:rsid w:val="004B2F0B"/>
    <w:rsid w:val="004B7E69"/>
    <w:rsid w:val="004C0EA3"/>
    <w:rsid w:val="004C372E"/>
    <w:rsid w:val="004E410B"/>
    <w:rsid w:val="004F32A3"/>
    <w:rsid w:val="00505B90"/>
    <w:rsid w:val="00532081"/>
    <w:rsid w:val="005630CA"/>
    <w:rsid w:val="00575BC3"/>
    <w:rsid w:val="005C1234"/>
    <w:rsid w:val="005D19F6"/>
    <w:rsid w:val="006373D7"/>
    <w:rsid w:val="00652464"/>
    <w:rsid w:val="00673FFF"/>
    <w:rsid w:val="006759EF"/>
    <w:rsid w:val="00697FC1"/>
    <w:rsid w:val="006B181B"/>
    <w:rsid w:val="006C59D2"/>
    <w:rsid w:val="007123CF"/>
    <w:rsid w:val="00756620"/>
    <w:rsid w:val="00776291"/>
    <w:rsid w:val="00777F91"/>
    <w:rsid w:val="007F5810"/>
    <w:rsid w:val="0081744F"/>
    <w:rsid w:val="0086453C"/>
    <w:rsid w:val="00882E8E"/>
    <w:rsid w:val="008A0FBE"/>
    <w:rsid w:val="008B2828"/>
    <w:rsid w:val="008B6F1B"/>
    <w:rsid w:val="008D4CF3"/>
    <w:rsid w:val="00930F47"/>
    <w:rsid w:val="00976738"/>
    <w:rsid w:val="009806C3"/>
    <w:rsid w:val="009916ED"/>
    <w:rsid w:val="00995FA2"/>
    <w:rsid w:val="009C5357"/>
    <w:rsid w:val="009D6B1F"/>
    <w:rsid w:val="009F1EE4"/>
    <w:rsid w:val="00A35282"/>
    <w:rsid w:val="00A643AB"/>
    <w:rsid w:val="00A74CD0"/>
    <w:rsid w:val="00A847E2"/>
    <w:rsid w:val="00AD4F71"/>
    <w:rsid w:val="00AF34B9"/>
    <w:rsid w:val="00B06AA7"/>
    <w:rsid w:val="00B172E8"/>
    <w:rsid w:val="00B40951"/>
    <w:rsid w:val="00B57AD2"/>
    <w:rsid w:val="00B707C9"/>
    <w:rsid w:val="00BA1986"/>
    <w:rsid w:val="00BF7180"/>
    <w:rsid w:val="00C07BDD"/>
    <w:rsid w:val="00C129DC"/>
    <w:rsid w:val="00C16306"/>
    <w:rsid w:val="00C26E0A"/>
    <w:rsid w:val="00C3694B"/>
    <w:rsid w:val="00C52A88"/>
    <w:rsid w:val="00C95058"/>
    <w:rsid w:val="00CA4A55"/>
    <w:rsid w:val="00CA67AC"/>
    <w:rsid w:val="00CF2C80"/>
    <w:rsid w:val="00D15AA6"/>
    <w:rsid w:val="00D24126"/>
    <w:rsid w:val="00D2494D"/>
    <w:rsid w:val="00D5251C"/>
    <w:rsid w:val="00D53772"/>
    <w:rsid w:val="00D622EE"/>
    <w:rsid w:val="00D628A0"/>
    <w:rsid w:val="00DA6A79"/>
    <w:rsid w:val="00DB6F5C"/>
    <w:rsid w:val="00DC3E14"/>
    <w:rsid w:val="00E17E87"/>
    <w:rsid w:val="00E34BB1"/>
    <w:rsid w:val="00E40BB4"/>
    <w:rsid w:val="00E51AD6"/>
    <w:rsid w:val="00EA19AB"/>
    <w:rsid w:val="00EA6152"/>
    <w:rsid w:val="00EC59D6"/>
    <w:rsid w:val="00EC632D"/>
    <w:rsid w:val="00F27C66"/>
    <w:rsid w:val="00F6268F"/>
    <w:rsid w:val="00F72D63"/>
    <w:rsid w:val="00F81D50"/>
    <w:rsid w:val="00F85828"/>
    <w:rsid w:val="00FE0530"/>
    <w:rsid w:val="00FE3302"/>
    <w:rsid w:val="00FF5CA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138"/>
    <o:shapelayout v:ext="edit">
      <o:idmap v:ext="edit" data="1"/>
      <o:rules v:ext="edit">
        <o:r id="V:Rule48" type="connector" idref="#_x0000_s1052"/>
        <o:r id="V:Rule49" type="connector" idref="#_x0000_s1082"/>
        <o:r id="V:Rule50" type="connector" idref="#_x0000_s1034"/>
        <o:r id="V:Rule51" type="connector" idref="#_x0000_s1078"/>
        <o:r id="V:Rule52" type="connector" idref="#_x0000_s1042"/>
        <o:r id="V:Rule53" type="connector" idref="#_x0000_s1107"/>
        <o:r id="V:Rule54" type="connector" idref="#_x0000_s1046"/>
        <o:r id="V:Rule55" type="connector" idref="#_x0000_s1084"/>
        <o:r id="V:Rule56" type="connector" idref="#_x0000_s1037"/>
        <o:r id="V:Rule57" type="connector" idref="#_x0000_s1093"/>
        <o:r id="V:Rule58" type="connector" idref="#_x0000_s1048"/>
        <o:r id="V:Rule59" type="connector" idref="#_x0000_s1080"/>
        <o:r id="V:Rule60" type="connector" idref="#_x0000_s1079"/>
        <o:r id="V:Rule61" type="connector" idref="#_x0000_s1097"/>
        <o:r id="V:Rule62" type="connector" idref="#_x0000_s1051"/>
        <o:r id="V:Rule63" type="connector" idref="#_x0000_s1105"/>
        <o:r id="V:Rule64" type="connector" idref="#_x0000_s1068">
          <o:proxy start="" idref="#_x0000_s1041" connectloc="3"/>
          <o:proxy end="" idref="#_x0000_s1035" connectloc="5"/>
        </o:r>
        <o:r id="V:Rule65" type="connector" idref="#_x0000_s1096"/>
        <o:r id="V:Rule66" type="connector" idref="#_x0000_s1056"/>
        <o:r id="V:Rule67" type="connector" idref="#_x0000_s1033"/>
        <o:r id="V:Rule68" type="connector" idref="#_x0000_s1064"/>
        <o:r id="V:Rule69" type="connector" idref="#_x0000_s1094"/>
        <o:r id="V:Rule70" type="connector" idref="#_x0000_s1054"/>
        <o:r id="V:Rule71" type="connector" idref="#_x0000_s1088"/>
        <o:r id="V:Rule72" type="connector" idref="#_x0000_s1092"/>
        <o:r id="V:Rule73" type="connector" idref="#_x0000_s1032"/>
        <o:r id="V:Rule74" type="connector" idref="#_x0000_s1074"/>
        <o:r id="V:Rule75" type="connector" idref="#_x0000_s1028"/>
        <o:r id="V:Rule76" type="connector" idref="#_x0000_s1069">
          <o:proxy start="" idref="#_x0000_s1067" connectloc="0"/>
        </o:r>
        <o:r id="V:Rule77" type="connector" idref="#_x0000_s1089"/>
        <o:r id="V:Rule78" type="connector" idref="#_x0000_s1070"/>
        <o:r id="V:Rule79" type="connector" idref="#_x0000_s1065"/>
        <o:r id="V:Rule80" type="connector" idref="#_x0000_s1036"/>
        <o:r id="V:Rule81" type="connector" idref="#_x0000_s1050"/>
        <o:r id="V:Rule82" type="connector" idref="#_x0000_s1047"/>
        <o:r id="V:Rule83" type="connector" idref="#_x0000_s1095"/>
        <o:r id="V:Rule84" type="connector" idref="#_x0000_s1066"/>
        <o:r id="V:Rule85" type="connector" idref="#_x0000_s1099"/>
        <o:r id="V:Rule86" type="connector" idref="#_x0000_s1057"/>
        <o:r id="V:Rule87" type="connector" idref="#_x0000_s1038"/>
        <o:r id="V:Rule88" type="connector" idref="#_x0000_s1090"/>
        <o:r id="V:Rule89" type="connector" idref="#_x0000_s1109">
          <o:proxy start="" idref="#_x0000_s1108" connectloc="0"/>
        </o:r>
        <o:r id="V:Rule90" type="connector" idref="#_x0000_s1039"/>
        <o:r id="V:Rule91" type="connector" idref="#_x0000_s1053"/>
        <o:r id="V:Rule92" type="connector" idref="#_x0000_s1106"/>
        <o:r id="V:Rule93" type="connector" idref="#_x0000_s1098"/>
        <o:r id="V:Rule94" type="connector" idref="#_x0000_s105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5BC3"/>
    <w:rPr>
      <w:sz w:val="24"/>
      <w:szCs w:val="24"/>
    </w:rPr>
  </w:style>
  <w:style w:type="paragraph" w:styleId="Heading1">
    <w:name w:val="heading 1"/>
    <w:basedOn w:val="Normal"/>
    <w:next w:val="Normal"/>
    <w:link w:val="Heading1Char"/>
    <w:uiPriority w:val="9"/>
    <w:qFormat/>
    <w:rsid w:val="006C59D2"/>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575BC3"/>
    <w:pPr>
      <w:keepNext/>
      <w:keepLines/>
      <w:spacing w:before="20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uiPriority w:val="9"/>
    <w:unhideWhenUsed/>
    <w:qFormat/>
    <w:rsid w:val="00575BC3"/>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59D2"/>
    <w:rPr>
      <w:rFonts w:asciiTheme="majorHAnsi" w:eastAsiaTheme="majorEastAsia" w:hAnsiTheme="majorHAnsi" w:cstheme="majorBidi"/>
      <w:b/>
      <w:bCs/>
      <w:kern w:val="32"/>
      <w:sz w:val="32"/>
      <w:szCs w:val="32"/>
      <w:lang w:val="en-GB"/>
    </w:rPr>
  </w:style>
  <w:style w:type="paragraph" w:styleId="ListParagraph">
    <w:name w:val="List Paragraph"/>
    <w:basedOn w:val="Normal"/>
    <w:uiPriority w:val="34"/>
    <w:qFormat/>
    <w:rsid w:val="006C59D2"/>
    <w:pPr>
      <w:ind w:left="720"/>
    </w:pPr>
  </w:style>
  <w:style w:type="paragraph" w:styleId="TOCHeading">
    <w:name w:val="TOC Heading"/>
    <w:basedOn w:val="Heading1"/>
    <w:next w:val="Normal"/>
    <w:uiPriority w:val="39"/>
    <w:semiHidden/>
    <w:unhideWhenUsed/>
    <w:qFormat/>
    <w:rsid w:val="006C59D2"/>
    <w:pPr>
      <w:keepLines/>
      <w:spacing w:before="480" w:after="0" w:line="276" w:lineRule="auto"/>
      <w:outlineLvl w:val="9"/>
    </w:pPr>
    <w:rPr>
      <w:color w:val="365F91" w:themeColor="accent1" w:themeShade="BF"/>
      <w:kern w:val="0"/>
      <w:sz w:val="28"/>
      <w:szCs w:val="28"/>
      <w:lang w:val="en-US" w:eastAsia="en-US"/>
    </w:rPr>
  </w:style>
  <w:style w:type="character" w:customStyle="1" w:styleId="Heading2Char">
    <w:name w:val="Heading 2 Char"/>
    <w:basedOn w:val="DefaultParagraphFont"/>
    <w:link w:val="Heading2"/>
    <w:uiPriority w:val="9"/>
    <w:rsid w:val="00575BC3"/>
    <w:rPr>
      <w:rFonts w:ascii="Cambria" w:hAnsi="Cambria"/>
      <w:b/>
      <w:bCs/>
      <w:color w:val="4F81BD"/>
      <w:sz w:val="26"/>
      <w:szCs w:val="26"/>
      <w:lang w:eastAsia="en-US"/>
    </w:rPr>
  </w:style>
  <w:style w:type="character" w:customStyle="1" w:styleId="Heading3Char">
    <w:name w:val="Heading 3 Char"/>
    <w:basedOn w:val="DefaultParagraphFont"/>
    <w:link w:val="Heading3"/>
    <w:uiPriority w:val="9"/>
    <w:rsid w:val="00575BC3"/>
    <w:rPr>
      <w:rFonts w:asciiTheme="majorHAnsi" w:eastAsiaTheme="majorEastAsia" w:hAnsiTheme="majorHAnsi" w:cstheme="majorBidi"/>
      <w:b/>
      <w:bCs/>
      <w:color w:val="4F81BD" w:themeColor="accent1"/>
      <w:sz w:val="24"/>
      <w:szCs w:val="24"/>
    </w:rPr>
  </w:style>
  <w:style w:type="table" w:styleId="TableGrid">
    <w:name w:val="Table Grid"/>
    <w:basedOn w:val="TableNormal"/>
    <w:rsid w:val="00575B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575BC3"/>
    <w:pPr>
      <w:spacing w:after="120"/>
    </w:pPr>
    <w:rPr>
      <w:szCs w:val="20"/>
    </w:rPr>
  </w:style>
  <w:style w:type="character" w:customStyle="1" w:styleId="BodyTextChar">
    <w:name w:val="Body Text Char"/>
    <w:basedOn w:val="DefaultParagraphFont"/>
    <w:link w:val="BodyText"/>
    <w:rsid w:val="00575BC3"/>
    <w:rPr>
      <w:sz w:val="24"/>
    </w:rPr>
  </w:style>
  <w:style w:type="character" w:styleId="Hyperlink">
    <w:name w:val="Hyperlink"/>
    <w:basedOn w:val="DefaultParagraphFont"/>
    <w:rsid w:val="00575BC3"/>
    <w:rPr>
      <w:color w:val="0000FF"/>
      <w:u w:val="single"/>
    </w:rPr>
  </w:style>
  <w:style w:type="paragraph" w:styleId="BalloonText">
    <w:name w:val="Balloon Text"/>
    <w:basedOn w:val="Normal"/>
    <w:link w:val="BalloonTextChar"/>
    <w:semiHidden/>
    <w:rsid w:val="00575BC3"/>
    <w:rPr>
      <w:rFonts w:ascii="Tahoma" w:hAnsi="Tahoma" w:cs="Tahoma"/>
      <w:sz w:val="16"/>
      <w:szCs w:val="16"/>
    </w:rPr>
  </w:style>
  <w:style w:type="character" w:customStyle="1" w:styleId="BalloonTextChar">
    <w:name w:val="Balloon Text Char"/>
    <w:basedOn w:val="DefaultParagraphFont"/>
    <w:link w:val="BalloonText"/>
    <w:semiHidden/>
    <w:rsid w:val="00575BC3"/>
    <w:rPr>
      <w:rFonts w:ascii="Tahoma" w:hAnsi="Tahoma" w:cs="Tahoma"/>
      <w:sz w:val="16"/>
      <w:szCs w:val="16"/>
    </w:rPr>
  </w:style>
  <w:style w:type="paragraph" w:styleId="FootnoteText">
    <w:name w:val="footnote text"/>
    <w:basedOn w:val="Normal"/>
    <w:link w:val="FootnoteTextChar"/>
    <w:uiPriority w:val="99"/>
    <w:rsid w:val="00575BC3"/>
    <w:rPr>
      <w:sz w:val="20"/>
      <w:szCs w:val="20"/>
    </w:rPr>
  </w:style>
  <w:style w:type="character" w:customStyle="1" w:styleId="FootnoteTextChar">
    <w:name w:val="Footnote Text Char"/>
    <w:basedOn w:val="DefaultParagraphFont"/>
    <w:link w:val="FootnoteText"/>
    <w:uiPriority w:val="99"/>
    <w:rsid w:val="00575BC3"/>
  </w:style>
  <w:style w:type="character" w:styleId="FootnoteReference">
    <w:name w:val="footnote reference"/>
    <w:basedOn w:val="DefaultParagraphFont"/>
    <w:uiPriority w:val="99"/>
    <w:rsid w:val="00575BC3"/>
    <w:rPr>
      <w:vertAlign w:val="superscript"/>
    </w:rPr>
  </w:style>
  <w:style w:type="paragraph" w:styleId="Header">
    <w:name w:val="header"/>
    <w:basedOn w:val="Normal"/>
    <w:link w:val="HeaderChar"/>
    <w:rsid w:val="00575BC3"/>
    <w:pPr>
      <w:tabs>
        <w:tab w:val="center" w:pos="4153"/>
        <w:tab w:val="right" w:pos="8306"/>
      </w:tabs>
    </w:pPr>
  </w:style>
  <w:style w:type="character" w:customStyle="1" w:styleId="HeaderChar">
    <w:name w:val="Header Char"/>
    <w:basedOn w:val="DefaultParagraphFont"/>
    <w:link w:val="Header"/>
    <w:rsid w:val="00575BC3"/>
    <w:rPr>
      <w:sz w:val="24"/>
      <w:szCs w:val="24"/>
    </w:rPr>
  </w:style>
  <w:style w:type="paragraph" w:styleId="Footer">
    <w:name w:val="footer"/>
    <w:basedOn w:val="Normal"/>
    <w:link w:val="FooterChar"/>
    <w:rsid w:val="00575BC3"/>
    <w:pPr>
      <w:tabs>
        <w:tab w:val="center" w:pos="4153"/>
        <w:tab w:val="right" w:pos="8306"/>
      </w:tabs>
    </w:pPr>
  </w:style>
  <w:style w:type="character" w:customStyle="1" w:styleId="FooterChar">
    <w:name w:val="Footer Char"/>
    <w:basedOn w:val="DefaultParagraphFont"/>
    <w:link w:val="Footer"/>
    <w:rsid w:val="00575BC3"/>
    <w:rPr>
      <w:sz w:val="24"/>
      <w:szCs w:val="24"/>
    </w:rPr>
  </w:style>
  <w:style w:type="character" w:styleId="PageNumber">
    <w:name w:val="page number"/>
    <w:basedOn w:val="DefaultParagraphFont"/>
    <w:rsid w:val="00575BC3"/>
  </w:style>
  <w:style w:type="character" w:styleId="CommentReference">
    <w:name w:val="annotation reference"/>
    <w:basedOn w:val="DefaultParagraphFont"/>
    <w:rsid w:val="00575BC3"/>
    <w:rPr>
      <w:sz w:val="16"/>
      <w:szCs w:val="16"/>
    </w:rPr>
  </w:style>
  <w:style w:type="paragraph" w:styleId="CommentText">
    <w:name w:val="annotation text"/>
    <w:basedOn w:val="Normal"/>
    <w:link w:val="CommentTextChar"/>
    <w:rsid w:val="00575BC3"/>
    <w:rPr>
      <w:sz w:val="20"/>
      <w:szCs w:val="20"/>
    </w:rPr>
  </w:style>
  <w:style w:type="character" w:customStyle="1" w:styleId="CommentTextChar">
    <w:name w:val="Comment Text Char"/>
    <w:basedOn w:val="DefaultParagraphFont"/>
    <w:link w:val="CommentText"/>
    <w:rsid w:val="00575BC3"/>
  </w:style>
  <w:style w:type="paragraph" w:styleId="CommentSubject">
    <w:name w:val="annotation subject"/>
    <w:basedOn w:val="CommentText"/>
    <w:next w:val="CommentText"/>
    <w:link w:val="CommentSubjectChar"/>
    <w:rsid w:val="00575BC3"/>
    <w:rPr>
      <w:b/>
      <w:bCs/>
    </w:rPr>
  </w:style>
  <w:style w:type="character" w:customStyle="1" w:styleId="CommentSubjectChar">
    <w:name w:val="Comment Subject Char"/>
    <w:basedOn w:val="CommentTextChar"/>
    <w:link w:val="CommentSubject"/>
    <w:rsid w:val="00575BC3"/>
    <w:rPr>
      <w:b/>
      <w:bCs/>
    </w:rPr>
  </w:style>
  <w:style w:type="character" w:styleId="FollowedHyperlink">
    <w:name w:val="FollowedHyperlink"/>
    <w:basedOn w:val="DefaultParagraphFont"/>
    <w:rsid w:val="00575BC3"/>
    <w:rPr>
      <w:color w:val="800080" w:themeColor="followedHyperlink"/>
      <w:u w:val="single"/>
    </w:rPr>
  </w:style>
  <w:style w:type="paragraph" w:styleId="ListBullet">
    <w:name w:val="List Bullet"/>
    <w:basedOn w:val="Normal"/>
    <w:rsid w:val="00575BC3"/>
    <w:pPr>
      <w:numPr>
        <w:numId w:val="14"/>
      </w:numPr>
      <w:spacing w:after="80" w:line="240" w:lineRule="atLeast"/>
      <w:ind w:left="0" w:firstLine="0"/>
    </w:pPr>
    <w:rPr>
      <w:rFonts w:ascii="HelveticaNeueLT Std Lt" w:hAnsi="HelveticaNeueLT Std Lt"/>
      <w:sz w:val="20"/>
    </w:rPr>
  </w:style>
  <w:style w:type="paragraph" w:styleId="Revision">
    <w:name w:val="Revision"/>
    <w:hidden/>
    <w:uiPriority w:val="99"/>
    <w:semiHidden/>
    <w:rsid w:val="00575BC3"/>
    <w:rPr>
      <w:sz w:val="24"/>
      <w:szCs w:val="24"/>
    </w:rPr>
  </w:style>
  <w:style w:type="paragraph" w:styleId="NoSpacing">
    <w:name w:val="No Spacing"/>
    <w:uiPriority w:val="1"/>
    <w:qFormat/>
    <w:rsid w:val="0081744F"/>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oleObject" Target="embeddings/oleObject4.bin"/><Relationship Id="rId26" Type="http://schemas.openxmlformats.org/officeDocument/2006/relationships/image" Target="media/image6.wmf"/><Relationship Id="rId3" Type="http://schemas.openxmlformats.org/officeDocument/2006/relationships/customXml" Target="../customXml/item3.xml"/><Relationship Id="rId21" Type="http://schemas.openxmlformats.org/officeDocument/2006/relationships/oleObject" Target="embeddings/oleObject6.bin"/><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oleObject" Target="embeddings/oleObject3.bin"/><Relationship Id="rId25" Type="http://schemas.openxmlformats.org/officeDocument/2006/relationships/oleObject" Target="embeddings/oleObject8.bin"/><Relationship Id="rId2" Type="http://schemas.openxmlformats.org/officeDocument/2006/relationships/customXml" Target="../customXml/item2.xml"/><Relationship Id="rId16" Type="http://schemas.openxmlformats.org/officeDocument/2006/relationships/oleObject" Target="embeddings/oleObject2.bin"/><Relationship Id="rId20" Type="http://schemas.openxmlformats.org/officeDocument/2006/relationships/image" Target="media/image3.wmf"/><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image" Target="media/image5.wmf"/><Relationship Id="rId5" Type="http://schemas.openxmlformats.org/officeDocument/2006/relationships/numbering" Target="numbering.xml"/><Relationship Id="rId15" Type="http://schemas.openxmlformats.org/officeDocument/2006/relationships/oleObject" Target="embeddings/oleObject1.bin"/><Relationship Id="rId23" Type="http://schemas.openxmlformats.org/officeDocument/2006/relationships/oleObject" Target="embeddings/oleObject7.bin"/><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oleObject" Target="embeddings/oleObject5.bin"/><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image" Target="media/image4.wmf"/><Relationship Id="rId27" Type="http://schemas.openxmlformats.org/officeDocument/2006/relationships/oleObject" Target="embeddings/oleObject9.bin"/><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erodocdb.dk/doks/filedownload.aspx?fileid=3658&amp;fileurl=http://www.erodocdb.dk/Docs/doc98/official/pdf/ECCREP146.PDF" TargetMode="External"/><Relationship Id="rId2" Type="http://schemas.openxmlformats.org/officeDocument/2006/relationships/hyperlink" Target="http://www.erodocdb.dk/doks/filedownload.aspx?fileid=3324&amp;fileurl=http://www.erodocdb.dk/Docs/doc98/official/pdf/ECCREP096.PDF" TargetMode="External"/><Relationship Id="rId1" Type="http://schemas.openxmlformats.org/officeDocument/2006/relationships/hyperlink" Target="http://www.comlaw.gov.au/Details/F2008C00546" TargetMode="External"/><Relationship Id="rId4" Type="http://schemas.openxmlformats.org/officeDocument/2006/relationships/hyperlink" Target="http://www.erodocdb.dk/doks/filedownload.aspx?fileid=3688&amp;fileurl=http://www.erodocdb.dk/Docs/doc98/official/pdf/CEPTREP04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A2F843A63D8647BE1CE862D64851A2" ma:contentTypeVersion="0" ma:contentTypeDescription="Create a new document." ma:contentTypeScope="" ma:versionID="96b76e5dfc58f4970d0652418956fb6d">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C4432E-28A5-4405-9938-200B77988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AD6F6CF-936D-4F73-8120-1CA1DA50D8B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B3293D9-4593-4612-A075-FED5048BE147}">
  <ds:schemaRefs>
    <ds:schemaRef ds:uri="http://schemas.microsoft.com/sharepoint/v3/contenttype/forms"/>
  </ds:schemaRefs>
</ds:datastoreItem>
</file>

<file path=customXml/itemProps4.xml><?xml version="1.0" encoding="utf-8"?>
<ds:datastoreItem xmlns:ds="http://schemas.openxmlformats.org/officeDocument/2006/customXml" ds:itemID="{F1F585F7-7457-4650-A250-996ED16A5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1042</TotalTime>
  <Pages>22</Pages>
  <Words>6564</Words>
  <Characters>37417</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1800 TLG Discussion Paper No.2 (v1)</vt:lpstr>
    </vt:vector>
  </TitlesOfParts>
  <Company>Australian Communications and Media Authority</Company>
  <LinksUpToDate>false</LinksUpToDate>
  <CharactersWithSpaces>43894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1800 MHz Spectrum Licence Band - Discussion Paper # 2</dc:title>
  <dc:creator/>
  <cp:lastModifiedBy>Australian Communications and Media Authority</cp:lastModifiedBy>
  <cp:revision>10</cp:revision>
  <dcterms:created xsi:type="dcterms:W3CDTF">2011-11-16T00:49:00Z</dcterms:created>
  <dcterms:modified xsi:type="dcterms:W3CDTF">2012-03-28T01:01:00Z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0x010100B3A2F843A63D8647BE1CE862D64851A2</vt:lpwstr>
  </property>
</Properties>
</file>